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xml" ContentType="application/vnd.openxmlformats-officedocument.drawingml.chartshapes+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2.xml" ContentType="application/vnd.openxmlformats-officedocument.drawingml.chartshapes+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5.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6.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7.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8.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9.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0.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1.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2.xml" ContentType="application/vnd.openxmlformats-officedocument.drawingml.chart+xml"/>
  <Override PartName="/word/charts/style49.xml" ContentType="application/vnd.ms-office.chartstyle+xml"/>
  <Override PartName="/word/charts/colors4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42" w:rightFromText="142" w:vertAnchor="page" w:horzAnchor="margin" w:tblpY="3260"/>
        <w:tblW w:w="1101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1017"/>
      </w:tblGrid>
      <w:tr w:rsidR="00D84822" w:rsidRPr="00364545" w14:paraId="72E4B60E" w14:textId="77777777" w:rsidTr="00D84822">
        <w:trPr>
          <w:trHeight w:val="12053"/>
        </w:trPr>
        <w:tc>
          <w:tcPr>
            <w:tcW w:w="11017" w:type="dxa"/>
            <w:shd w:val="clear" w:color="auto" w:fill="F2F2F2" w:themeFill="background1" w:themeFillShade="F2"/>
          </w:tcPr>
          <w:p w14:paraId="6BC154F2" w14:textId="77777777" w:rsidR="00D84822" w:rsidRPr="00364545" w:rsidRDefault="00D84822" w:rsidP="00D84822">
            <w:pPr>
              <w:rPr>
                <w:rFonts w:cs="Arial"/>
                <w:caps/>
                <w:color w:val="FFFFFF" w:themeColor="background1"/>
                <w14:textFill>
                  <w14:noFill/>
                </w14:textFill>
              </w:rPr>
            </w:pPr>
            <w:r w:rsidRPr="00364545">
              <w:rPr>
                <w:caps/>
                <w:noProof/>
                <w:color w:val="FFFFFF" w:themeColor="background1"/>
                <w:lang w:val="fr-FR"/>
                <w14:textFill>
                  <w14:noFill/>
                </w14:textFill>
              </w:rPr>
              <mc:AlternateContent>
                <mc:Choice Requires="wps">
                  <w:drawing>
                    <wp:anchor distT="45720" distB="45720" distL="114300" distR="114300" simplePos="0" relativeHeight="251860480" behindDoc="0" locked="0" layoutInCell="1" allowOverlap="1" wp14:anchorId="4B2937E3" wp14:editId="0751E299">
                      <wp:simplePos x="0" y="0"/>
                      <wp:positionH relativeFrom="column">
                        <wp:posOffset>700405</wp:posOffset>
                      </wp:positionH>
                      <wp:positionV relativeFrom="paragraph">
                        <wp:posOffset>2657475</wp:posOffset>
                      </wp:positionV>
                      <wp:extent cx="5556250" cy="3038475"/>
                      <wp:effectExtent l="0" t="0" r="6350" b="9525"/>
                      <wp:wrapSquare wrapText="bothSides"/>
                      <wp:docPr id="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0" cy="3038475"/>
                              </a:xfrm>
                              <a:prstGeom prst="rect">
                                <a:avLst/>
                              </a:prstGeom>
                              <a:noFill/>
                              <a:ln w="9525">
                                <a:noFill/>
                                <a:miter lim="800000"/>
                                <a:headEnd/>
                                <a:tailEnd/>
                              </a:ln>
                            </wps:spPr>
                            <wps:txbx>
                              <w:txbxContent>
                                <w:p w14:paraId="0AD88F43" w14:textId="77777777" w:rsidR="00FB41BB" w:rsidRPr="000C08B6" w:rsidRDefault="00FB41BB" w:rsidP="00D84822">
                                  <w:pPr>
                                    <w:pStyle w:val="Titrerapport"/>
                                    <w:jc w:val="left"/>
                                    <w:rPr>
                                      <w:rFonts w:ascii="Marianne ExtraBold" w:hAnsi="Marianne ExtraBold"/>
                                      <w:b w:val="0"/>
                                    </w:rPr>
                                  </w:pPr>
                                  <w:r>
                                    <w:rPr>
                                      <w:rFonts w:ascii="Marianne ExtraBold" w:hAnsi="Marianne ExtraBold"/>
                                      <w:b w:val="0"/>
                                    </w:rPr>
                                    <w:t>Eighth National Communication of France</w:t>
                                  </w:r>
                                </w:p>
                                <w:p w14:paraId="30FCC293" w14:textId="77777777" w:rsidR="00FB41BB" w:rsidRPr="000C08B6" w:rsidRDefault="00FB41BB" w:rsidP="00D84822">
                                  <w:pPr>
                                    <w:pStyle w:val="Soustitrerapport"/>
                                    <w:jc w:val="left"/>
                                    <w:rPr>
                                      <w:rFonts w:ascii="Marianne Medium" w:hAnsi="Marianne Medium"/>
                                      <w:b w:val="0"/>
                                      <w:i w:val="0"/>
                                    </w:rPr>
                                  </w:pPr>
                                  <w:r>
                                    <w:rPr>
                                      <w:rFonts w:ascii="Marianne Medium" w:hAnsi="Marianne Medium"/>
                                      <w:b w:val="0"/>
                                      <w:i w:val="0"/>
                                    </w:rPr>
                                    <w:t>United Nations Framework Convention on Climate Change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2937E3" id="_x0000_t202" coordsize="21600,21600" o:spt="202" path="m,l,21600r21600,l21600,xe">
                      <v:stroke joinstyle="miter"/>
                      <v:path gradientshapeok="t" o:connecttype="rect"/>
                    </v:shapetype>
                    <v:shape id="Zone de texte 2" o:spid="_x0000_s1026" type="#_x0000_t202" style="position:absolute;left:0;text-align:left;margin-left:55.15pt;margin-top:209.25pt;width:437.5pt;height:239.25pt;z-index:25186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" filled="f" stroked="f">
                      <v:textbox inset="0,0,0,0">
                        <w:txbxContent>
                          <w:p w14:paraId="0AD88F43" w14:textId="77777777" w:rsidR="00FB41BB" w:rsidRPr="000C08B6" w:rsidRDefault="00FB41BB" w:rsidP="00D84822">
                            <w:pPr>
                              <w:pStyle w:val="Titrerapport"/>
                              <w:jc w:val="left"/>
                              <w:rPr>
                                <w:rFonts w:ascii="Marianne ExtraBold" w:hAnsi="Marianne ExtraBold"/>
                                <w:b w:val="0"/>
                              </w:rPr>
                            </w:pPr>
                            <w:r>
                              <w:rPr>
                                <w:rFonts w:ascii="Marianne ExtraBold" w:hAnsi="Marianne ExtraBold"/>
                                <w:b w:val="0"/>
                              </w:rPr>
                              <w:t>Eighth National Communication of France</w:t>
                            </w:r>
                          </w:p>
                          <w:p w14:paraId="30FCC293" w14:textId="77777777" w:rsidR="00FB41BB" w:rsidRPr="000C08B6" w:rsidRDefault="00FB41BB" w:rsidP="00D84822">
                            <w:pPr>
                              <w:pStyle w:val="Soustitrerapport"/>
                              <w:jc w:val="left"/>
                              <w:rPr>
                                <w:rFonts w:ascii="Marianne Medium" w:hAnsi="Marianne Medium"/>
                                <w:b w:val="0"/>
                                <w:i w:val="0"/>
                              </w:rPr>
                            </w:pPr>
                            <w:r>
                              <w:rPr>
                                <w:rFonts w:ascii="Marianne Medium" w:hAnsi="Marianne Medium"/>
                                <w:b w:val="0"/>
                                <w:i w:val="0"/>
                              </w:rPr>
                              <w:t>United Nations Framework Convention on Climate Change</w:t>
                            </w:r>
                          </w:p>
                        </w:txbxContent>
                      </v:textbox>
                      <w10:wrap type="square"/>
                    </v:shape>
                  </w:pict>
                </mc:Fallback>
              </mc:AlternateContent>
            </w:r>
            <w:r w:rsidRPr="00364545">
              <w:rPr>
                <w:noProof/>
                <w:lang w:val="fr-FR"/>
              </w:rPr>
              <mc:AlternateContent>
                <mc:Choice Requires="wps">
                  <w:drawing>
                    <wp:anchor distT="0" distB="0" distL="114300" distR="114300" simplePos="0" relativeHeight="251861504" behindDoc="0" locked="0" layoutInCell="1" allowOverlap="1" wp14:anchorId="6B6EC6F8" wp14:editId="13D40B90">
                      <wp:simplePos x="0" y="0"/>
                      <wp:positionH relativeFrom="column">
                        <wp:posOffset>2969027</wp:posOffset>
                      </wp:positionH>
                      <wp:positionV relativeFrom="paragraph">
                        <wp:posOffset>5087900</wp:posOffset>
                      </wp:positionV>
                      <wp:extent cx="876911" cy="6910070"/>
                      <wp:effectExtent l="5715" t="0" r="5715" b="5715"/>
                      <wp:wrapNone/>
                      <wp:docPr id="389" name="Rectangle 389"/>
                      <wp:cNvGraphicFramePr/>
                      <a:graphic xmlns:a="http://schemas.openxmlformats.org/drawingml/2006/main">
                        <a:graphicData uri="http://schemas.microsoft.com/office/word/2010/wordprocessingShape">
                          <wps:wsp>
                            <wps:cNvSpPr/>
                            <wps:spPr>
                              <a:xfrm rot="5400000">
                                <a:off x="0" y="0"/>
                                <a:ext cx="876911" cy="69100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9E8BF" id="Rectangle 389" o:spid="_x0000_s1026" style="position:absolute;margin-left:233.8pt;margin-top:400.6pt;width:69.05pt;height:544.1pt;rotation:90;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" fillcolor="white [3212]" stroked="f" strokeweight="2pt"/>
                  </w:pict>
                </mc:Fallback>
              </mc:AlternateContent>
            </w:r>
          </w:p>
        </w:tc>
      </w:tr>
    </w:tbl>
    <w:p w14:paraId="5BCEE205" w14:textId="789E6E3B" w:rsidR="00466AA3" w:rsidRPr="00364545" w:rsidRDefault="006B4DCF">
      <w:pPr>
        <w:rPr>
          <w:rFonts w:cs="Arial"/>
          <w:caps/>
        </w:rPr>
      </w:pPr>
      <w:r w:rsidRPr="00364545">
        <w:rPr>
          <w:noProof/>
          <w:lang w:val="fr-FR"/>
        </w:rPr>
        <w:drawing>
          <wp:anchor distT="0" distB="0" distL="114300" distR="114300" simplePos="0" relativeHeight="251838976" behindDoc="0" locked="0" layoutInCell="1" allowOverlap="1" wp14:anchorId="5424E78E" wp14:editId="5079B49C">
            <wp:simplePos x="0" y="0"/>
            <wp:positionH relativeFrom="page">
              <wp:posOffset>418888</wp:posOffset>
            </wp:positionH>
            <wp:positionV relativeFrom="page">
              <wp:posOffset>350520</wp:posOffset>
            </wp:positionV>
            <wp:extent cx="1971040" cy="1428115"/>
            <wp:effectExtent l="0" t="0" r="0" b="63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noChangeArrowheads="1"/>
                    </pic:cNvPicPr>
                  </pic:nvPicPr>
                  <pic:blipFill>
                    <a:blip r:embed="rId11"/>
                    <a:stretch>
                      <a:fillRect/>
                    </a:stretch>
                  </pic:blipFill>
                  <pic:spPr bwMode="auto">
                    <a:xfrm>
                      <a:off x="0" y="0"/>
                      <a:ext cx="1971040" cy="1428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545">
        <w:rPr>
          <w:noProof/>
          <w:lang w:val="fr-FR"/>
        </w:rPr>
        <w:drawing>
          <wp:anchor distT="0" distB="0" distL="114300" distR="114300" simplePos="0" relativeHeight="251832832" behindDoc="0" locked="0" layoutInCell="1" allowOverlap="1" wp14:anchorId="2F6903F5" wp14:editId="70F7BF9F">
            <wp:simplePos x="0" y="0"/>
            <wp:positionH relativeFrom="page">
              <wp:posOffset>5156518</wp:posOffset>
            </wp:positionH>
            <wp:positionV relativeFrom="page">
              <wp:posOffset>-1891983</wp:posOffset>
            </wp:positionV>
            <wp:extent cx="1713600" cy="1040400"/>
            <wp:effectExtent l="0" t="0" r="1270" b="7620"/>
            <wp:wrapNone/>
            <wp:docPr id="13" name="Image 13" descr="C:\Users\coralie.fondeville\AppData\Local\Microsoft\Windows\INetCache\Content.Word\MIN_Charge_Ville_et_Logement_CMJN-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alie.fondeville\AppData\Local\Microsoft\Windows\INetCache\Content.Word\MIN_Charge_Ville_et_Logement_CMJN-42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13600" cy="104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C520A" w14:textId="5611EE87" w:rsidR="00246278" w:rsidRPr="00364545" w:rsidRDefault="00246278" w:rsidP="00B65589">
      <w:pPr>
        <w:sectPr w:rsidR="00246278" w:rsidRPr="00364545" w:rsidSect="00A8610E">
          <w:footerReference w:type="default" r:id="rId13"/>
          <w:headerReference w:type="first" r:id="rId14"/>
          <w:pgSz w:w="11906" w:h="16838" w:code="9"/>
          <w:pgMar w:top="1230" w:right="907" w:bottom="1650" w:left="1049" w:header="284" w:footer="284" w:gutter="0"/>
          <w:cols w:space="708"/>
          <w:titlePg/>
          <w:docGrid w:linePitch="360"/>
        </w:sectPr>
      </w:pPr>
    </w:p>
    <w:sdt>
      <w:sdtPr>
        <w:rPr>
          <w:rFonts w:ascii="Marianne" w:eastAsia="Times New Roman" w:hAnsi="Marianne" w:cs="Times New Roman"/>
          <w:color w:val="auto"/>
          <w:sz w:val="21"/>
          <w:szCs w:val="24"/>
        </w:rPr>
        <w:id w:val="239524238"/>
        <w:docPartObj>
          <w:docPartGallery w:val="Table of Contents"/>
          <w:docPartUnique/>
        </w:docPartObj>
      </w:sdtPr>
      <w:sdtEndPr>
        <w:rPr>
          <w:b/>
          <w:bCs/>
          <w:sz w:val="22"/>
        </w:rPr>
      </w:sdtEndPr>
      <w:sdtContent>
        <w:p w14:paraId="6147AB3B" w14:textId="77777777" w:rsidR="009D3165" w:rsidRPr="00364545" w:rsidRDefault="009D3165" w:rsidP="00E70B93">
          <w:pPr>
            <w:pStyle w:val="TOCHeading"/>
            <w:jc w:val="left"/>
            <w:rPr>
              <w:rFonts w:ascii="Marianne" w:eastAsia="Times New Roman" w:hAnsi="Marianne" w:cs="Times New Roman"/>
              <w:color w:val="auto"/>
              <w:sz w:val="21"/>
              <w:szCs w:val="24"/>
            </w:rPr>
          </w:pPr>
        </w:p>
        <w:p w14:paraId="0E888824" w14:textId="77777777" w:rsidR="009D3165" w:rsidRPr="00364545" w:rsidRDefault="009D3165">
          <w:pPr>
            <w:spacing w:before="0" w:after="0" w:line="240" w:lineRule="atLeast"/>
            <w:jc w:val="left"/>
            <w:rPr>
              <w:sz w:val="21"/>
            </w:rPr>
          </w:pPr>
          <w:r w:rsidRPr="00364545">
            <w:br w:type="page"/>
          </w:r>
        </w:p>
        <w:p w14:paraId="39075F62" w14:textId="1580F01F" w:rsidR="003D55E6" w:rsidRPr="00364545" w:rsidRDefault="003D55E6" w:rsidP="00E70B93">
          <w:pPr>
            <w:pStyle w:val="TOCHeading"/>
            <w:jc w:val="left"/>
          </w:pPr>
          <w:r w:rsidRPr="00364545">
            <w:lastRenderedPageBreak/>
            <w:t>Table of contents</w:t>
          </w:r>
        </w:p>
        <w:p w14:paraId="3002C2B5" w14:textId="031FD300" w:rsidR="000B6A2E" w:rsidRDefault="003D55E6">
          <w:pPr>
            <w:pStyle w:val="TOC1"/>
            <w:rPr>
              <w:rFonts w:eastAsiaTheme="minorEastAsia" w:cstheme="minorBidi"/>
              <w:b w:val="0"/>
              <w:bCs w:val="0"/>
              <w:caps w:val="0"/>
              <w:noProof/>
              <w:szCs w:val="22"/>
              <w:lang w:val="fr-FR"/>
            </w:rPr>
          </w:pPr>
          <w:r w:rsidRPr="00364545">
            <w:fldChar w:fldCharType="begin"/>
          </w:r>
          <w:r w:rsidRPr="00364545">
            <w:instrText xml:space="preserve"> TOC \o "1-3" \h \z \u </w:instrText>
          </w:r>
          <w:r w:rsidRPr="00364545">
            <w:fldChar w:fldCharType="separate"/>
          </w:r>
          <w:hyperlink w:anchor="_Toc138341759" w:history="1">
            <w:r w:rsidR="000B6A2E" w:rsidRPr="00A7616D">
              <w:rPr>
                <w:rStyle w:val="Hyperlink"/>
                <w:rFonts w:eastAsiaTheme="majorEastAsia"/>
                <w:noProof/>
              </w:rPr>
              <w:t>Chapter I - Executive Summary</w:t>
            </w:r>
            <w:r w:rsidR="000B6A2E">
              <w:rPr>
                <w:noProof/>
                <w:webHidden/>
              </w:rPr>
              <w:tab/>
            </w:r>
            <w:r w:rsidR="000B6A2E">
              <w:rPr>
                <w:noProof/>
                <w:webHidden/>
              </w:rPr>
              <w:fldChar w:fldCharType="begin"/>
            </w:r>
            <w:r w:rsidR="000B6A2E">
              <w:rPr>
                <w:noProof/>
                <w:webHidden/>
              </w:rPr>
              <w:instrText xml:space="preserve"> PAGEREF _Toc138341759 \h </w:instrText>
            </w:r>
            <w:r w:rsidR="000B6A2E">
              <w:rPr>
                <w:noProof/>
                <w:webHidden/>
              </w:rPr>
            </w:r>
            <w:r w:rsidR="000B6A2E">
              <w:rPr>
                <w:noProof/>
                <w:webHidden/>
              </w:rPr>
              <w:fldChar w:fldCharType="separate"/>
            </w:r>
            <w:r w:rsidR="009A2FAA">
              <w:rPr>
                <w:noProof/>
                <w:webHidden/>
              </w:rPr>
              <w:t>17</w:t>
            </w:r>
            <w:r w:rsidR="000B6A2E">
              <w:rPr>
                <w:noProof/>
                <w:webHidden/>
              </w:rPr>
              <w:fldChar w:fldCharType="end"/>
            </w:r>
          </w:hyperlink>
        </w:p>
        <w:p w14:paraId="74F45578" w14:textId="320EC09D"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760" w:history="1">
            <w:r w:rsidR="000B6A2E" w:rsidRPr="00A7616D">
              <w:rPr>
                <w:rStyle w:val="Hyperlink"/>
                <w:rFonts w:eastAsiaTheme="majorEastAsia"/>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National circumstances</w:t>
            </w:r>
            <w:r w:rsidR="000B6A2E">
              <w:rPr>
                <w:noProof/>
                <w:webHidden/>
              </w:rPr>
              <w:tab/>
            </w:r>
            <w:r w:rsidR="000B6A2E">
              <w:rPr>
                <w:noProof/>
                <w:webHidden/>
              </w:rPr>
              <w:fldChar w:fldCharType="begin"/>
            </w:r>
            <w:r w:rsidR="000B6A2E">
              <w:rPr>
                <w:noProof/>
                <w:webHidden/>
              </w:rPr>
              <w:instrText xml:space="preserve"> PAGEREF _Toc138341760 \h </w:instrText>
            </w:r>
            <w:r w:rsidR="000B6A2E">
              <w:rPr>
                <w:noProof/>
                <w:webHidden/>
              </w:rPr>
            </w:r>
            <w:r w:rsidR="000B6A2E">
              <w:rPr>
                <w:noProof/>
                <w:webHidden/>
              </w:rPr>
              <w:fldChar w:fldCharType="separate"/>
            </w:r>
            <w:r w:rsidR="009A2FAA">
              <w:rPr>
                <w:noProof/>
                <w:webHidden/>
              </w:rPr>
              <w:t>17</w:t>
            </w:r>
            <w:r w:rsidR="000B6A2E">
              <w:rPr>
                <w:noProof/>
                <w:webHidden/>
              </w:rPr>
              <w:fldChar w:fldCharType="end"/>
            </w:r>
          </w:hyperlink>
        </w:p>
        <w:p w14:paraId="5C7FD3E1" w14:textId="4FC339FE"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61" w:history="1">
            <w:r w:rsidR="000B6A2E" w:rsidRPr="00A7616D">
              <w:rPr>
                <w:rStyle w:val="Hyperlink"/>
                <w:rFonts w:ascii="Marianne" w:eastAsiaTheme="majorEastAsia" w:hAnsi="Marianne"/>
                <w:noProof/>
              </w:rPr>
              <w:t>A.1.</w:t>
            </w:r>
            <w:r w:rsidR="000B6A2E">
              <w:rPr>
                <w:rFonts w:eastAsiaTheme="minorEastAsia" w:cstheme="minorBidi"/>
                <w:i w:val="0"/>
                <w:iCs w:val="0"/>
                <w:noProof/>
                <w:szCs w:val="22"/>
                <w:lang w:val="fr-FR"/>
              </w:rPr>
              <w:tab/>
            </w:r>
            <w:r w:rsidR="000B6A2E" w:rsidRPr="00A7616D">
              <w:rPr>
                <w:rStyle w:val="Hyperlink"/>
                <w:rFonts w:eastAsiaTheme="majorEastAsia"/>
                <w:noProof/>
              </w:rPr>
              <w:t>A country committed to meeting the challenge of climate change</w:t>
            </w:r>
            <w:r w:rsidR="000B6A2E">
              <w:rPr>
                <w:noProof/>
                <w:webHidden/>
              </w:rPr>
              <w:tab/>
            </w:r>
            <w:r w:rsidR="000B6A2E">
              <w:rPr>
                <w:noProof/>
                <w:webHidden/>
              </w:rPr>
              <w:fldChar w:fldCharType="begin"/>
            </w:r>
            <w:r w:rsidR="000B6A2E">
              <w:rPr>
                <w:noProof/>
                <w:webHidden/>
              </w:rPr>
              <w:instrText xml:space="preserve"> PAGEREF _Toc138341761 \h </w:instrText>
            </w:r>
            <w:r w:rsidR="000B6A2E">
              <w:rPr>
                <w:noProof/>
                <w:webHidden/>
              </w:rPr>
            </w:r>
            <w:r w:rsidR="000B6A2E">
              <w:rPr>
                <w:noProof/>
                <w:webHidden/>
              </w:rPr>
              <w:fldChar w:fldCharType="separate"/>
            </w:r>
            <w:r w:rsidR="009A2FAA">
              <w:rPr>
                <w:noProof/>
                <w:webHidden/>
              </w:rPr>
              <w:t>17</w:t>
            </w:r>
            <w:r w:rsidR="000B6A2E">
              <w:rPr>
                <w:noProof/>
                <w:webHidden/>
              </w:rPr>
              <w:fldChar w:fldCharType="end"/>
            </w:r>
          </w:hyperlink>
        </w:p>
        <w:p w14:paraId="2EF03F2C" w14:textId="565ACE2B"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62" w:history="1">
            <w:r w:rsidR="000B6A2E" w:rsidRPr="00A7616D">
              <w:rPr>
                <w:rStyle w:val="Hyperlink"/>
                <w:rFonts w:ascii="Marianne" w:eastAsiaTheme="majorEastAsia" w:hAnsi="Marianne"/>
                <w:noProof/>
              </w:rPr>
              <w:t>A.2.</w:t>
            </w:r>
            <w:r w:rsidR="000B6A2E">
              <w:rPr>
                <w:rFonts w:eastAsiaTheme="minorEastAsia" w:cstheme="minorBidi"/>
                <w:i w:val="0"/>
                <w:iCs w:val="0"/>
                <w:noProof/>
                <w:szCs w:val="22"/>
                <w:lang w:val="fr-FR"/>
              </w:rPr>
              <w:tab/>
            </w:r>
            <w:r w:rsidR="000B6A2E" w:rsidRPr="00A7616D">
              <w:rPr>
                <w:rStyle w:val="Hyperlink"/>
                <w:rFonts w:eastAsiaTheme="majorEastAsia"/>
                <w:noProof/>
              </w:rPr>
              <w:t>Recent developments</w:t>
            </w:r>
            <w:r w:rsidR="000B6A2E">
              <w:rPr>
                <w:noProof/>
                <w:webHidden/>
              </w:rPr>
              <w:tab/>
            </w:r>
            <w:r w:rsidR="000B6A2E">
              <w:rPr>
                <w:noProof/>
                <w:webHidden/>
              </w:rPr>
              <w:fldChar w:fldCharType="begin"/>
            </w:r>
            <w:r w:rsidR="000B6A2E">
              <w:rPr>
                <w:noProof/>
                <w:webHidden/>
              </w:rPr>
              <w:instrText xml:space="preserve"> PAGEREF _Toc138341762 \h </w:instrText>
            </w:r>
            <w:r w:rsidR="000B6A2E">
              <w:rPr>
                <w:noProof/>
                <w:webHidden/>
              </w:rPr>
            </w:r>
            <w:r w:rsidR="000B6A2E">
              <w:rPr>
                <w:noProof/>
                <w:webHidden/>
              </w:rPr>
              <w:fldChar w:fldCharType="separate"/>
            </w:r>
            <w:r w:rsidR="009A2FAA">
              <w:rPr>
                <w:noProof/>
                <w:webHidden/>
              </w:rPr>
              <w:t>17</w:t>
            </w:r>
            <w:r w:rsidR="000B6A2E">
              <w:rPr>
                <w:noProof/>
                <w:webHidden/>
              </w:rPr>
              <w:fldChar w:fldCharType="end"/>
            </w:r>
          </w:hyperlink>
        </w:p>
        <w:p w14:paraId="51B44C0E" w14:textId="58D52FD4"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763"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Information related to the GHG inventory includes information related to the national inventory system and the national registry</w:t>
            </w:r>
            <w:r w:rsidR="000B6A2E">
              <w:rPr>
                <w:noProof/>
                <w:webHidden/>
              </w:rPr>
              <w:tab/>
            </w:r>
            <w:r w:rsidR="000B6A2E">
              <w:rPr>
                <w:noProof/>
                <w:webHidden/>
              </w:rPr>
              <w:fldChar w:fldCharType="begin"/>
            </w:r>
            <w:r w:rsidR="000B6A2E">
              <w:rPr>
                <w:noProof/>
                <w:webHidden/>
              </w:rPr>
              <w:instrText xml:space="preserve"> PAGEREF _Toc138341763 \h </w:instrText>
            </w:r>
            <w:r w:rsidR="000B6A2E">
              <w:rPr>
                <w:noProof/>
                <w:webHidden/>
              </w:rPr>
            </w:r>
            <w:r w:rsidR="000B6A2E">
              <w:rPr>
                <w:noProof/>
                <w:webHidden/>
              </w:rPr>
              <w:fldChar w:fldCharType="separate"/>
            </w:r>
            <w:r w:rsidR="009A2FAA">
              <w:rPr>
                <w:noProof/>
                <w:webHidden/>
              </w:rPr>
              <w:t>20</w:t>
            </w:r>
            <w:r w:rsidR="000B6A2E">
              <w:rPr>
                <w:noProof/>
                <w:webHidden/>
              </w:rPr>
              <w:fldChar w:fldCharType="end"/>
            </w:r>
          </w:hyperlink>
        </w:p>
        <w:p w14:paraId="0CD6A375" w14:textId="51614866"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64" w:history="1">
            <w:r w:rsidR="000B6A2E" w:rsidRPr="00A7616D">
              <w:rPr>
                <w:rStyle w:val="Hyperlink"/>
                <w:rFonts w:ascii="Marianne" w:eastAsiaTheme="majorEastAsia" w:hAnsi="Marianne"/>
                <w:noProof/>
              </w:rPr>
              <w:t>B.1.</w:t>
            </w:r>
            <w:r w:rsidR="000B6A2E">
              <w:rPr>
                <w:rFonts w:eastAsiaTheme="minorEastAsia" w:cstheme="minorBidi"/>
                <w:i w:val="0"/>
                <w:iCs w:val="0"/>
                <w:noProof/>
                <w:szCs w:val="22"/>
                <w:lang w:val="fr-FR"/>
              </w:rPr>
              <w:tab/>
            </w:r>
            <w:r w:rsidR="000B6A2E" w:rsidRPr="00A7616D">
              <w:rPr>
                <w:rStyle w:val="Hyperlink"/>
                <w:rFonts w:eastAsiaTheme="majorEastAsia"/>
                <w:noProof/>
              </w:rPr>
              <w:t>Trends</w:t>
            </w:r>
            <w:r w:rsidR="000B6A2E">
              <w:rPr>
                <w:noProof/>
                <w:webHidden/>
              </w:rPr>
              <w:tab/>
            </w:r>
            <w:r w:rsidR="000B6A2E">
              <w:rPr>
                <w:noProof/>
                <w:webHidden/>
              </w:rPr>
              <w:fldChar w:fldCharType="begin"/>
            </w:r>
            <w:r w:rsidR="000B6A2E">
              <w:rPr>
                <w:noProof/>
                <w:webHidden/>
              </w:rPr>
              <w:instrText xml:space="preserve"> PAGEREF _Toc138341764 \h </w:instrText>
            </w:r>
            <w:r w:rsidR="000B6A2E">
              <w:rPr>
                <w:noProof/>
                <w:webHidden/>
              </w:rPr>
            </w:r>
            <w:r w:rsidR="000B6A2E">
              <w:rPr>
                <w:noProof/>
                <w:webHidden/>
              </w:rPr>
              <w:fldChar w:fldCharType="separate"/>
            </w:r>
            <w:r w:rsidR="009A2FAA">
              <w:rPr>
                <w:noProof/>
                <w:webHidden/>
              </w:rPr>
              <w:t>20</w:t>
            </w:r>
            <w:r w:rsidR="000B6A2E">
              <w:rPr>
                <w:noProof/>
                <w:webHidden/>
              </w:rPr>
              <w:fldChar w:fldCharType="end"/>
            </w:r>
          </w:hyperlink>
        </w:p>
        <w:p w14:paraId="21498856" w14:textId="4BEFBD24"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65" w:history="1">
            <w:r w:rsidR="000B6A2E" w:rsidRPr="00A7616D">
              <w:rPr>
                <w:rStyle w:val="Hyperlink"/>
                <w:rFonts w:ascii="Marianne" w:eastAsiaTheme="majorEastAsia" w:hAnsi="Marianne"/>
                <w:noProof/>
              </w:rPr>
              <w:t>B.2.</w:t>
            </w:r>
            <w:r w:rsidR="000B6A2E">
              <w:rPr>
                <w:rFonts w:eastAsiaTheme="minorEastAsia" w:cstheme="minorBidi"/>
                <w:i w:val="0"/>
                <w:iCs w:val="0"/>
                <w:noProof/>
                <w:szCs w:val="22"/>
                <w:lang w:val="fr-FR"/>
              </w:rPr>
              <w:tab/>
            </w:r>
            <w:r w:rsidR="000B6A2E" w:rsidRPr="00A7616D">
              <w:rPr>
                <w:rStyle w:val="Hyperlink"/>
                <w:rFonts w:eastAsiaTheme="majorEastAsia"/>
                <w:noProof/>
              </w:rPr>
              <w:t>The national system</w:t>
            </w:r>
            <w:r w:rsidR="000B6A2E">
              <w:rPr>
                <w:noProof/>
                <w:webHidden/>
              </w:rPr>
              <w:tab/>
            </w:r>
            <w:r w:rsidR="000B6A2E">
              <w:rPr>
                <w:noProof/>
                <w:webHidden/>
              </w:rPr>
              <w:fldChar w:fldCharType="begin"/>
            </w:r>
            <w:r w:rsidR="000B6A2E">
              <w:rPr>
                <w:noProof/>
                <w:webHidden/>
              </w:rPr>
              <w:instrText xml:space="preserve"> PAGEREF _Toc138341765 \h </w:instrText>
            </w:r>
            <w:r w:rsidR="000B6A2E">
              <w:rPr>
                <w:noProof/>
                <w:webHidden/>
              </w:rPr>
            </w:r>
            <w:r w:rsidR="000B6A2E">
              <w:rPr>
                <w:noProof/>
                <w:webHidden/>
              </w:rPr>
              <w:fldChar w:fldCharType="separate"/>
            </w:r>
            <w:r w:rsidR="009A2FAA">
              <w:rPr>
                <w:noProof/>
                <w:webHidden/>
              </w:rPr>
              <w:t>21</w:t>
            </w:r>
            <w:r w:rsidR="000B6A2E">
              <w:rPr>
                <w:noProof/>
                <w:webHidden/>
              </w:rPr>
              <w:fldChar w:fldCharType="end"/>
            </w:r>
          </w:hyperlink>
        </w:p>
        <w:p w14:paraId="1D001400" w14:textId="47FC8634"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766" w:history="1">
            <w:r w:rsidR="000B6A2E" w:rsidRPr="00A7616D">
              <w:rPr>
                <w:rStyle w:val="Hyperlink"/>
                <w:rFonts w:eastAsiaTheme="majorEastAsia"/>
                <w:noProof/>
              </w:rPr>
              <w:t>C.</w:t>
            </w:r>
            <w:r w:rsidR="000B6A2E">
              <w:rPr>
                <w:rFonts w:eastAsiaTheme="minorEastAsia" w:cstheme="minorBidi"/>
                <w:smallCaps w:val="0"/>
                <w:noProof/>
                <w:szCs w:val="22"/>
                <w:lang w:val="fr-FR"/>
              </w:rPr>
              <w:tab/>
            </w:r>
            <w:r w:rsidR="000B6A2E" w:rsidRPr="00A7616D">
              <w:rPr>
                <w:rStyle w:val="Hyperlink"/>
                <w:rFonts w:eastAsiaTheme="majorEastAsia"/>
                <w:noProof/>
              </w:rPr>
              <w:t>Policies and measures</w:t>
            </w:r>
            <w:r w:rsidR="000B6A2E">
              <w:rPr>
                <w:noProof/>
                <w:webHidden/>
              </w:rPr>
              <w:tab/>
            </w:r>
            <w:r w:rsidR="000B6A2E">
              <w:rPr>
                <w:noProof/>
                <w:webHidden/>
              </w:rPr>
              <w:fldChar w:fldCharType="begin"/>
            </w:r>
            <w:r w:rsidR="000B6A2E">
              <w:rPr>
                <w:noProof/>
                <w:webHidden/>
              </w:rPr>
              <w:instrText xml:space="preserve"> PAGEREF _Toc138341766 \h </w:instrText>
            </w:r>
            <w:r w:rsidR="000B6A2E">
              <w:rPr>
                <w:noProof/>
                <w:webHidden/>
              </w:rPr>
            </w:r>
            <w:r w:rsidR="000B6A2E">
              <w:rPr>
                <w:noProof/>
                <w:webHidden/>
              </w:rPr>
              <w:fldChar w:fldCharType="separate"/>
            </w:r>
            <w:r w:rsidR="009A2FAA">
              <w:rPr>
                <w:noProof/>
                <w:webHidden/>
              </w:rPr>
              <w:t>21</w:t>
            </w:r>
            <w:r w:rsidR="000B6A2E">
              <w:rPr>
                <w:noProof/>
                <w:webHidden/>
              </w:rPr>
              <w:fldChar w:fldCharType="end"/>
            </w:r>
          </w:hyperlink>
        </w:p>
        <w:p w14:paraId="270C05CA" w14:textId="730AE0E2"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67" w:history="1">
            <w:r w:rsidR="000B6A2E" w:rsidRPr="00A7616D">
              <w:rPr>
                <w:rStyle w:val="Hyperlink"/>
                <w:rFonts w:ascii="Marianne" w:eastAsiaTheme="majorEastAsia" w:hAnsi="Marianne"/>
                <w:noProof/>
              </w:rPr>
              <w:t>C.1.</w:t>
            </w:r>
            <w:r w:rsidR="000B6A2E">
              <w:rPr>
                <w:rFonts w:eastAsiaTheme="minorEastAsia" w:cstheme="minorBidi"/>
                <w:i w:val="0"/>
                <w:iCs w:val="0"/>
                <w:noProof/>
                <w:szCs w:val="22"/>
                <w:lang w:val="fr-FR"/>
              </w:rPr>
              <w:tab/>
            </w:r>
            <w:r w:rsidR="000B6A2E" w:rsidRPr="00A7616D">
              <w:rPr>
                <w:rStyle w:val="Hyperlink"/>
                <w:rFonts w:eastAsiaTheme="majorEastAsia"/>
                <w:noProof/>
              </w:rPr>
              <w:t>Transport</w:t>
            </w:r>
            <w:r w:rsidR="000B6A2E">
              <w:rPr>
                <w:noProof/>
                <w:webHidden/>
              </w:rPr>
              <w:tab/>
            </w:r>
            <w:r w:rsidR="000B6A2E">
              <w:rPr>
                <w:noProof/>
                <w:webHidden/>
              </w:rPr>
              <w:fldChar w:fldCharType="begin"/>
            </w:r>
            <w:r w:rsidR="000B6A2E">
              <w:rPr>
                <w:noProof/>
                <w:webHidden/>
              </w:rPr>
              <w:instrText xml:space="preserve"> PAGEREF _Toc138341767 \h </w:instrText>
            </w:r>
            <w:r w:rsidR="000B6A2E">
              <w:rPr>
                <w:noProof/>
                <w:webHidden/>
              </w:rPr>
            </w:r>
            <w:r w:rsidR="000B6A2E">
              <w:rPr>
                <w:noProof/>
                <w:webHidden/>
              </w:rPr>
              <w:fldChar w:fldCharType="separate"/>
            </w:r>
            <w:r w:rsidR="009A2FAA">
              <w:rPr>
                <w:noProof/>
                <w:webHidden/>
              </w:rPr>
              <w:t>22</w:t>
            </w:r>
            <w:r w:rsidR="000B6A2E">
              <w:rPr>
                <w:noProof/>
                <w:webHidden/>
              </w:rPr>
              <w:fldChar w:fldCharType="end"/>
            </w:r>
          </w:hyperlink>
        </w:p>
        <w:p w14:paraId="1346DC4B" w14:textId="69E634B3"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68" w:history="1">
            <w:r w:rsidR="000B6A2E" w:rsidRPr="00A7616D">
              <w:rPr>
                <w:rStyle w:val="Hyperlink"/>
                <w:rFonts w:ascii="Marianne" w:eastAsiaTheme="majorEastAsia" w:hAnsi="Marianne"/>
                <w:noProof/>
              </w:rPr>
              <w:t>C.2.</w:t>
            </w:r>
            <w:r w:rsidR="000B6A2E">
              <w:rPr>
                <w:rFonts w:eastAsiaTheme="minorEastAsia" w:cstheme="minorBidi"/>
                <w:i w:val="0"/>
                <w:iCs w:val="0"/>
                <w:noProof/>
                <w:szCs w:val="22"/>
                <w:lang w:val="fr-FR"/>
              </w:rPr>
              <w:tab/>
            </w:r>
            <w:r w:rsidR="000B6A2E" w:rsidRPr="00A7616D">
              <w:rPr>
                <w:rStyle w:val="Hyperlink"/>
                <w:rFonts w:eastAsiaTheme="majorEastAsia"/>
                <w:noProof/>
              </w:rPr>
              <w:t>The residential/tertiary sector</w:t>
            </w:r>
            <w:r w:rsidR="000B6A2E">
              <w:rPr>
                <w:noProof/>
                <w:webHidden/>
              </w:rPr>
              <w:tab/>
            </w:r>
            <w:r w:rsidR="000B6A2E">
              <w:rPr>
                <w:noProof/>
                <w:webHidden/>
              </w:rPr>
              <w:fldChar w:fldCharType="begin"/>
            </w:r>
            <w:r w:rsidR="000B6A2E">
              <w:rPr>
                <w:noProof/>
                <w:webHidden/>
              </w:rPr>
              <w:instrText xml:space="preserve"> PAGEREF _Toc138341768 \h </w:instrText>
            </w:r>
            <w:r w:rsidR="000B6A2E">
              <w:rPr>
                <w:noProof/>
                <w:webHidden/>
              </w:rPr>
            </w:r>
            <w:r w:rsidR="000B6A2E">
              <w:rPr>
                <w:noProof/>
                <w:webHidden/>
              </w:rPr>
              <w:fldChar w:fldCharType="separate"/>
            </w:r>
            <w:r w:rsidR="009A2FAA">
              <w:rPr>
                <w:noProof/>
                <w:webHidden/>
              </w:rPr>
              <w:t>22</w:t>
            </w:r>
            <w:r w:rsidR="000B6A2E">
              <w:rPr>
                <w:noProof/>
                <w:webHidden/>
              </w:rPr>
              <w:fldChar w:fldCharType="end"/>
            </w:r>
          </w:hyperlink>
        </w:p>
        <w:p w14:paraId="207DEEC8" w14:textId="46B1D33D"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69" w:history="1">
            <w:r w:rsidR="000B6A2E" w:rsidRPr="00A7616D">
              <w:rPr>
                <w:rStyle w:val="Hyperlink"/>
                <w:rFonts w:ascii="Marianne" w:eastAsiaTheme="majorEastAsia" w:hAnsi="Marianne"/>
                <w:noProof/>
              </w:rPr>
              <w:t>C.3.</w:t>
            </w:r>
            <w:r w:rsidR="000B6A2E">
              <w:rPr>
                <w:rFonts w:eastAsiaTheme="minorEastAsia" w:cstheme="minorBidi"/>
                <w:i w:val="0"/>
                <w:iCs w:val="0"/>
                <w:noProof/>
                <w:szCs w:val="22"/>
                <w:lang w:val="fr-FR"/>
              </w:rPr>
              <w:tab/>
            </w:r>
            <w:r w:rsidR="000B6A2E" w:rsidRPr="00A7616D">
              <w:rPr>
                <w:rStyle w:val="Hyperlink"/>
                <w:rFonts w:eastAsiaTheme="majorEastAsia"/>
                <w:noProof/>
              </w:rPr>
              <w:t>The industrial sector</w:t>
            </w:r>
            <w:r w:rsidR="000B6A2E">
              <w:rPr>
                <w:noProof/>
                <w:webHidden/>
              </w:rPr>
              <w:tab/>
            </w:r>
            <w:r w:rsidR="000B6A2E">
              <w:rPr>
                <w:noProof/>
                <w:webHidden/>
              </w:rPr>
              <w:fldChar w:fldCharType="begin"/>
            </w:r>
            <w:r w:rsidR="000B6A2E">
              <w:rPr>
                <w:noProof/>
                <w:webHidden/>
              </w:rPr>
              <w:instrText xml:space="preserve"> PAGEREF _Toc138341769 \h </w:instrText>
            </w:r>
            <w:r w:rsidR="000B6A2E">
              <w:rPr>
                <w:noProof/>
                <w:webHidden/>
              </w:rPr>
            </w:r>
            <w:r w:rsidR="000B6A2E">
              <w:rPr>
                <w:noProof/>
                <w:webHidden/>
              </w:rPr>
              <w:fldChar w:fldCharType="separate"/>
            </w:r>
            <w:r w:rsidR="009A2FAA">
              <w:rPr>
                <w:noProof/>
                <w:webHidden/>
              </w:rPr>
              <w:t>23</w:t>
            </w:r>
            <w:r w:rsidR="000B6A2E">
              <w:rPr>
                <w:noProof/>
                <w:webHidden/>
              </w:rPr>
              <w:fldChar w:fldCharType="end"/>
            </w:r>
          </w:hyperlink>
        </w:p>
        <w:p w14:paraId="1A3E37B7" w14:textId="6A974007"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70" w:history="1">
            <w:r w:rsidR="000B6A2E" w:rsidRPr="00A7616D">
              <w:rPr>
                <w:rStyle w:val="Hyperlink"/>
                <w:rFonts w:ascii="Marianne" w:eastAsiaTheme="majorEastAsia" w:hAnsi="Marianne"/>
                <w:noProof/>
              </w:rPr>
              <w:t>C.4.</w:t>
            </w:r>
            <w:r w:rsidR="000B6A2E">
              <w:rPr>
                <w:rFonts w:eastAsiaTheme="minorEastAsia" w:cstheme="minorBidi"/>
                <w:i w:val="0"/>
                <w:iCs w:val="0"/>
                <w:noProof/>
                <w:szCs w:val="22"/>
                <w:lang w:val="fr-FR"/>
              </w:rPr>
              <w:tab/>
            </w:r>
            <w:r w:rsidR="000B6A2E" w:rsidRPr="00A7616D">
              <w:rPr>
                <w:rStyle w:val="Hyperlink"/>
                <w:rFonts w:eastAsiaTheme="majorEastAsia"/>
                <w:noProof/>
              </w:rPr>
              <w:t>The energy sector</w:t>
            </w:r>
            <w:r w:rsidR="000B6A2E">
              <w:rPr>
                <w:noProof/>
                <w:webHidden/>
              </w:rPr>
              <w:tab/>
            </w:r>
            <w:r w:rsidR="000B6A2E">
              <w:rPr>
                <w:noProof/>
                <w:webHidden/>
              </w:rPr>
              <w:fldChar w:fldCharType="begin"/>
            </w:r>
            <w:r w:rsidR="000B6A2E">
              <w:rPr>
                <w:noProof/>
                <w:webHidden/>
              </w:rPr>
              <w:instrText xml:space="preserve"> PAGEREF _Toc138341770 \h </w:instrText>
            </w:r>
            <w:r w:rsidR="000B6A2E">
              <w:rPr>
                <w:noProof/>
                <w:webHidden/>
              </w:rPr>
            </w:r>
            <w:r w:rsidR="000B6A2E">
              <w:rPr>
                <w:noProof/>
                <w:webHidden/>
              </w:rPr>
              <w:fldChar w:fldCharType="separate"/>
            </w:r>
            <w:r w:rsidR="009A2FAA">
              <w:rPr>
                <w:noProof/>
                <w:webHidden/>
              </w:rPr>
              <w:t>23</w:t>
            </w:r>
            <w:r w:rsidR="000B6A2E">
              <w:rPr>
                <w:noProof/>
                <w:webHidden/>
              </w:rPr>
              <w:fldChar w:fldCharType="end"/>
            </w:r>
          </w:hyperlink>
        </w:p>
        <w:p w14:paraId="5FEC1EC7" w14:textId="1C725693"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71" w:history="1">
            <w:r w:rsidR="000B6A2E" w:rsidRPr="00A7616D">
              <w:rPr>
                <w:rStyle w:val="Hyperlink"/>
                <w:rFonts w:ascii="Marianne" w:eastAsiaTheme="majorEastAsia" w:hAnsi="Marianne"/>
                <w:noProof/>
              </w:rPr>
              <w:t>C.5.</w:t>
            </w:r>
            <w:r w:rsidR="000B6A2E">
              <w:rPr>
                <w:rFonts w:eastAsiaTheme="minorEastAsia" w:cstheme="minorBidi"/>
                <w:i w:val="0"/>
                <w:iCs w:val="0"/>
                <w:noProof/>
                <w:szCs w:val="22"/>
                <w:lang w:val="fr-FR"/>
              </w:rPr>
              <w:tab/>
            </w:r>
            <w:r w:rsidR="000B6A2E" w:rsidRPr="00A7616D">
              <w:rPr>
                <w:rStyle w:val="Hyperlink"/>
                <w:rFonts w:eastAsiaTheme="majorEastAsia"/>
                <w:noProof/>
              </w:rPr>
              <w:t>The agricultural and forestry sectors</w:t>
            </w:r>
            <w:r w:rsidR="000B6A2E">
              <w:rPr>
                <w:noProof/>
                <w:webHidden/>
              </w:rPr>
              <w:tab/>
            </w:r>
            <w:r w:rsidR="000B6A2E">
              <w:rPr>
                <w:noProof/>
                <w:webHidden/>
              </w:rPr>
              <w:fldChar w:fldCharType="begin"/>
            </w:r>
            <w:r w:rsidR="000B6A2E">
              <w:rPr>
                <w:noProof/>
                <w:webHidden/>
              </w:rPr>
              <w:instrText xml:space="preserve"> PAGEREF _Toc138341771 \h </w:instrText>
            </w:r>
            <w:r w:rsidR="000B6A2E">
              <w:rPr>
                <w:noProof/>
                <w:webHidden/>
              </w:rPr>
            </w:r>
            <w:r w:rsidR="000B6A2E">
              <w:rPr>
                <w:noProof/>
                <w:webHidden/>
              </w:rPr>
              <w:fldChar w:fldCharType="separate"/>
            </w:r>
            <w:r w:rsidR="009A2FAA">
              <w:rPr>
                <w:noProof/>
                <w:webHidden/>
              </w:rPr>
              <w:t>24</w:t>
            </w:r>
            <w:r w:rsidR="000B6A2E">
              <w:rPr>
                <w:noProof/>
                <w:webHidden/>
              </w:rPr>
              <w:fldChar w:fldCharType="end"/>
            </w:r>
          </w:hyperlink>
        </w:p>
        <w:p w14:paraId="00659416" w14:textId="0A60623F"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72" w:history="1">
            <w:r w:rsidR="000B6A2E" w:rsidRPr="00A7616D">
              <w:rPr>
                <w:rStyle w:val="Hyperlink"/>
                <w:rFonts w:ascii="Marianne" w:eastAsiaTheme="majorEastAsia" w:hAnsi="Marianne"/>
                <w:noProof/>
              </w:rPr>
              <w:t>C.6.</w:t>
            </w:r>
            <w:r w:rsidR="000B6A2E">
              <w:rPr>
                <w:rFonts w:eastAsiaTheme="minorEastAsia" w:cstheme="minorBidi"/>
                <w:i w:val="0"/>
                <w:iCs w:val="0"/>
                <w:noProof/>
                <w:szCs w:val="22"/>
                <w:lang w:val="fr-FR"/>
              </w:rPr>
              <w:tab/>
            </w:r>
            <w:r w:rsidR="000B6A2E" w:rsidRPr="00A7616D">
              <w:rPr>
                <w:rStyle w:val="Hyperlink"/>
                <w:rFonts w:eastAsiaTheme="majorEastAsia"/>
                <w:noProof/>
                <w:shd w:val="clear" w:color="auto" w:fill="FFFFFF"/>
              </w:rPr>
              <w:t>Waste management</w:t>
            </w:r>
            <w:r w:rsidR="000B6A2E">
              <w:rPr>
                <w:noProof/>
                <w:webHidden/>
              </w:rPr>
              <w:tab/>
            </w:r>
            <w:r w:rsidR="000B6A2E">
              <w:rPr>
                <w:noProof/>
                <w:webHidden/>
              </w:rPr>
              <w:fldChar w:fldCharType="begin"/>
            </w:r>
            <w:r w:rsidR="000B6A2E">
              <w:rPr>
                <w:noProof/>
                <w:webHidden/>
              </w:rPr>
              <w:instrText xml:space="preserve"> PAGEREF _Toc138341772 \h </w:instrText>
            </w:r>
            <w:r w:rsidR="000B6A2E">
              <w:rPr>
                <w:noProof/>
                <w:webHidden/>
              </w:rPr>
            </w:r>
            <w:r w:rsidR="000B6A2E">
              <w:rPr>
                <w:noProof/>
                <w:webHidden/>
              </w:rPr>
              <w:fldChar w:fldCharType="separate"/>
            </w:r>
            <w:r w:rsidR="009A2FAA">
              <w:rPr>
                <w:noProof/>
                <w:webHidden/>
              </w:rPr>
              <w:t>25</w:t>
            </w:r>
            <w:r w:rsidR="000B6A2E">
              <w:rPr>
                <w:noProof/>
                <w:webHidden/>
              </w:rPr>
              <w:fldChar w:fldCharType="end"/>
            </w:r>
          </w:hyperlink>
        </w:p>
        <w:p w14:paraId="53EEB0A9" w14:textId="281760DD"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73" w:history="1">
            <w:r w:rsidR="000B6A2E" w:rsidRPr="00A7616D">
              <w:rPr>
                <w:rStyle w:val="Hyperlink"/>
                <w:rFonts w:ascii="Marianne" w:eastAsiaTheme="majorEastAsia" w:hAnsi="Marianne"/>
                <w:noProof/>
              </w:rPr>
              <w:t>C.7.</w:t>
            </w:r>
            <w:r w:rsidR="000B6A2E">
              <w:rPr>
                <w:rFonts w:eastAsiaTheme="minorEastAsia" w:cstheme="minorBidi"/>
                <w:i w:val="0"/>
                <w:iCs w:val="0"/>
                <w:noProof/>
                <w:szCs w:val="22"/>
                <w:lang w:val="fr-FR"/>
              </w:rPr>
              <w:tab/>
            </w:r>
            <w:r w:rsidR="000B6A2E" w:rsidRPr="00A7616D">
              <w:rPr>
                <w:rStyle w:val="Hyperlink"/>
                <w:rFonts w:eastAsiaTheme="majorEastAsia"/>
                <w:noProof/>
                <w:shd w:val="clear" w:color="auto" w:fill="FFFFFF"/>
              </w:rPr>
              <w:t>Cross-sector policies and measures</w:t>
            </w:r>
            <w:r w:rsidR="000B6A2E">
              <w:rPr>
                <w:noProof/>
                <w:webHidden/>
              </w:rPr>
              <w:tab/>
            </w:r>
            <w:r w:rsidR="000B6A2E">
              <w:rPr>
                <w:noProof/>
                <w:webHidden/>
              </w:rPr>
              <w:fldChar w:fldCharType="begin"/>
            </w:r>
            <w:r w:rsidR="000B6A2E">
              <w:rPr>
                <w:noProof/>
                <w:webHidden/>
              </w:rPr>
              <w:instrText xml:space="preserve"> PAGEREF _Toc138341773 \h </w:instrText>
            </w:r>
            <w:r w:rsidR="000B6A2E">
              <w:rPr>
                <w:noProof/>
                <w:webHidden/>
              </w:rPr>
            </w:r>
            <w:r w:rsidR="000B6A2E">
              <w:rPr>
                <w:noProof/>
                <w:webHidden/>
              </w:rPr>
              <w:fldChar w:fldCharType="separate"/>
            </w:r>
            <w:r w:rsidR="009A2FAA">
              <w:rPr>
                <w:noProof/>
                <w:webHidden/>
              </w:rPr>
              <w:t>25</w:t>
            </w:r>
            <w:r w:rsidR="000B6A2E">
              <w:rPr>
                <w:noProof/>
                <w:webHidden/>
              </w:rPr>
              <w:fldChar w:fldCharType="end"/>
            </w:r>
          </w:hyperlink>
        </w:p>
        <w:p w14:paraId="06FC24BB" w14:textId="26FD95C2"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74" w:history="1">
            <w:r w:rsidR="000B6A2E" w:rsidRPr="00A7616D">
              <w:rPr>
                <w:rStyle w:val="Hyperlink"/>
                <w:rFonts w:ascii="Marianne" w:eastAsiaTheme="majorEastAsia" w:hAnsi="Marianne"/>
                <w:noProof/>
              </w:rPr>
              <w:t>C.8.</w:t>
            </w:r>
            <w:r w:rsidR="000B6A2E">
              <w:rPr>
                <w:rFonts w:eastAsiaTheme="minorEastAsia" w:cstheme="minorBidi"/>
                <w:i w:val="0"/>
                <w:iCs w:val="0"/>
                <w:noProof/>
                <w:szCs w:val="22"/>
                <w:lang w:val="fr-FR"/>
              </w:rPr>
              <w:tab/>
            </w:r>
            <w:r w:rsidR="000B6A2E" w:rsidRPr="00A7616D">
              <w:rPr>
                <w:rStyle w:val="Hyperlink"/>
                <w:rFonts w:eastAsiaTheme="majorEastAsia"/>
                <w:noProof/>
                <w:shd w:val="clear" w:color="auto" w:fill="FFFFFF"/>
              </w:rPr>
              <w:t>Cross-cutting policies and measures on F-Gases</w:t>
            </w:r>
            <w:r w:rsidR="000B6A2E">
              <w:rPr>
                <w:noProof/>
                <w:webHidden/>
              </w:rPr>
              <w:tab/>
            </w:r>
            <w:r w:rsidR="000B6A2E">
              <w:rPr>
                <w:noProof/>
                <w:webHidden/>
              </w:rPr>
              <w:fldChar w:fldCharType="begin"/>
            </w:r>
            <w:r w:rsidR="000B6A2E">
              <w:rPr>
                <w:noProof/>
                <w:webHidden/>
              </w:rPr>
              <w:instrText xml:space="preserve"> PAGEREF _Toc138341774 \h </w:instrText>
            </w:r>
            <w:r w:rsidR="000B6A2E">
              <w:rPr>
                <w:noProof/>
                <w:webHidden/>
              </w:rPr>
            </w:r>
            <w:r w:rsidR="000B6A2E">
              <w:rPr>
                <w:noProof/>
                <w:webHidden/>
              </w:rPr>
              <w:fldChar w:fldCharType="separate"/>
            </w:r>
            <w:r w:rsidR="009A2FAA">
              <w:rPr>
                <w:noProof/>
                <w:webHidden/>
              </w:rPr>
              <w:t>25</w:t>
            </w:r>
            <w:r w:rsidR="000B6A2E">
              <w:rPr>
                <w:noProof/>
                <w:webHidden/>
              </w:rPr>
              <w:fldChar w:fldCharType="end"/>
            </w:r>
          </w:hyperlink>
        </w:p>
        <w:p w14:paraId="1219D9ED" w14:textId="312ED155"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775" w:history="1">
            <w:r w:rsidR="000B6A2E" w:rsidRPr="00A7616D">
              <w:rPr>
                <w:rStyle w:val="Hyperlink"/>
                <w:rFonts w:eastAsiaTheme="majorEastAsia"/>
                <w:noProof/>
              </w:rPr>
              <w:t>D.</w:t>
            </w:r>
            <w:r w:rsidR="000B6A2E">
              <w:rPr>
                <w:rFonts w:eastAsiaTheme="minorEastAsia" w:cstheme="minorBidi"/>
                <w:smallCaps w:val="0"/>
                <w:noProof/>
                <w:szCs w:val="22"/>
                <w:lang w:val="fr-FR"/>
              </w:rPr>
              <w:tab/>
            </w:r>
            <w:r w:rsidR="000B6A2E" w:rsidRPr="00A7616D">
              <w:rPr>
                <w:rStyle w:val="Hyperlink"/>
                <w:rFonts w:eastAsiaTheme="majorEastAsia"/>
                <w:noProof/>
              </w:rPr>
              <w:t>Projection of GHG emissions and quantification of the impact of policies and measures</w:t>
            </w:r>
            <w:r w:rsidR="000B6A2E">
              <w:rPr>
                <w:noProof/>
                <w:webHidden/>
              </w:rPr>
              <w:tab/>
            </w:r>
            <w:r w:rsidR="000B6A2E">
              <w:rPr>
                <w:noProof/>
                <w:webHidden/>
              </w:rPr>
              <w:fldChar w:fldCharType="begin"/>
            </w:r>
            <w:r w:rsidR="000B6A2E">
              <w:rPr>
                <w:noProof/>
                <w:webHidden/>
              </w:rPr>
              <w:instrText xml:space="preserve"> PAGEREF _Toc138341775 \h </w:instrText>
            </w:r>
            <w:r w:rsidR="000B6A2E">
              <w:rPr>
                <w:noProof/>
                <w:webHidden/>
              </w:rPr>
            </w:r>
            <w:r w:rsidR="000B6A2E">
              <w:rPr>
                <w:noProof/>
                <w:webHidden/>
              </w:rPr>
              <w:fldChar w:fldCharType="separate"/>
            </w:r>
            <w:r w:rsidR="009A2FAA">
              <w:rPr>
                <w:noProof/>
                <w:webHidden/>
              </w:rPr>
              <w:t>26</w:t>
            </w:r>
            <w:r w:rsidR="000B6A2E">
              <w:rPr>
                <w:noProof/>
                <w:webHidden/>
              </w:rPr>
              <w:fldChar w:fldCharType="end"/>
            </w:r>
          </w:hyperlink>
        </w:p>
        <w:p w14:paraId="04CA1139" w14:textId="5AE6F11D"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76" w:history="1">
            <w:r w:rsidR="000B6A2E" w:rsidRPr="00A7616D">
              <w:rPr>
                <w:rStyle w:val="Hyperlink"/>
                <w:rFonts w:ascii="Marianne" w:eastAsiaTheme="majorEastAsia" w:hAnsi="Marianne"/>
                <w:noProof/>
              </w:rPr>
              <w:t>D.1.</w:t>
            </w:r>
            <w:r w:rsidR="000B6A2E">
              <w:rPr>
                <w:rFonts w:eastAsiaTheme="minorEastAsia" w:cstheme="minorBidi"/>
                <w:i w:val="0"/>
                <w:iCs w:val="0"/>
                <w:noProof/>
                <w:szCs w:val="22"/>
                <w:lang w:val="fr-FR"/>
              </w:rPr>
              <w:tab/>
            </w:r>
            <w:r w:rsidR="000B6A2E" w:rsidRPr="00A7616D">
              <w:rPr>
                <w:rStyle w:val="Hyperlink"/>
                <w:rFonts w:eastAsiaTheme="majorEastAsia"/>
                <w:noProof/>
              </w:rPr>
              <w:t>Update of AME and AMS scenarios</w:t>
            </w:r>
            <w:r w:rsidR="000B6A2E">
              <w:rPr>
                <w:noProof/>
                <w:webHidden/>
              </w:rPr>
              <w:tab/>
            </w:r>
            <w:r w:rsidR="000B6A2E">
              <w:rPr>
                <w:noProof/>
                <w:webHidden/>
              </w:rPr>
              <w:fldChar w:fldCharType="begin"/>
            </w:r>
            <w:r w:rsidR="000B6A2E">
              <w:rPr>
                <w:noProof/>
                <w:webHidden/>
              </w:rPr>
              <w:instrText xml:space="preserve"> PAGEREF _Toc138341776 \h </w:instrText>
            </w:r>
            <w:r w:rsidR="000B6A2E">
              <w:rPr>
                <w:noProof/>
                <w:webHidden/>
              </w:rPr>
            </w:r>
            <w:r w:rsidR="000B6A2E">
              <w:rPr>
                <w:noProof/>
                <w:webHidden/>
              </w:rPr>
              <w:fldChar w:fldCharType="separate"/>
            </w:r>
            <w:r w:rsidR="009A2FAA">
              <w:rPr>
                <w:noProof/>
                <w:webHidden/>
              </w:rPr>
              <w:t>26</w:t>
            </w:r>
            <w:r w:rsidR="000B6A2E">
              <w:rPr>
                <w:noProof/>
                <w:webHidden/>
              </w:rPr>
              <w:fldChar w:fldCharType="end"/>
            </w:r>
          </w:hyperlink>
        </w:p>
        <w:p w14:paraId="57036D0E" w14:textId="2B9F1C34"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77" w:history="1">
            <w:r w:rsidR="000B6A2E" w:rsidRPr="00A7616D">
              <w:rPr>
                <w:rStyle w:val="Hyperlink"/>
                <w:rFonts w:ascii="Marianne" w:eastAsiaTheme="majorEastAsia" w:hAnsi="Marianne"/>
                <w:noProof/>
              </w:rPr>
              <w:t>D.2.</w:t>
            </w:r>
            <w:r w:rsidR="000B6A2E">
              <w:rPr>
                <w:rFonts w:eastAsiaTheme="minorEastAsia" w:cstheme="minorBidi"/>
                <w:i w:val="0"/>
                <w:iCs w:val="0"/>
                <w:noProof/>
                <w:szCs w:val="22"/>
                <w:lang w:val="fr-FR"/>
              </w:rPr>
              <w:tab/>
            </w:r>
            <w:r w:rsidR="000B6A2E" w:rsidRPr="00A7616D">
              <w:rPr>
                <w:rStyle w:val="Hyperlink"/>
                <w:rFonts w:eastAsiaTheme="majorEastAsia"/>
                <w:noProof/>
              </w:rPr>
              <w:t>Presentation of results</w:t>
            </w:r>
            <w:r w:rsidR="000B6A2E">
              <w:rPr>
                <w:noProof/>
                <w:webHidden/>
              </w:rPr>
              <w:tab/>
            </w:r>
            <w:r w:rsidR="000B6A2E">
              <w:rPr>
                <w:noProof/>
                <w:webHidden/>
              </w:rPr>
              <w:fldChar w:fldCharType="begin"/>
            </w:r>
            <w:r w:rsidR="000B6A2E">
              <w:rPr>
                <w:noProof/>
                <w:webHidden/>
              </w:rPr>
              <w:instrText xml:space="preserve"> PAGEREF _Toc138341777 \h </w:instrText>
            </w:r>
            <w:r w:rsidR="000B6A2E">
              <w:rPr>
                <w:noProof/>
                <w:webHidden/>
              </w:rPr>
            </w:r>
            <w:r w:rsidR="000B6A2E">
              <w:rPr>
                <w:noProof/>
                <w:webHidden/>
              </w:rPr>
              <w:fldChar w:fldCharType="separate"/>
            </w:r>
            <w:r w:rsidR="009A2FAA">
              <w:rPr>
                <w:noProof/>
                <w:webHidden/>
              </w:rPr>
              <w:t>26</w:t>
            </w:r>
            <w:r w:rsidR="000B6A2E">
              <w:rPr>
                <w:noProof/>
                <w:webHidden/>
              </w:rPr>
              <w:fldChar w:fldCharType="end"/>
            </w:r>
          </w:hyperlink>
        </w:p>
        <w:p w14:paraId="397B9883" w14:textId="1CC4B12E"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778" w:history="1">
            <w:r w:rsidR="000B6A2E" w:rsidRPr="00A7616D">
              <w:rPr>
                <w:rStyle w:val="Hyperlink"/>
                <w:rFonts w:eastAsiaTheme="majorEastAsia"/>
                <w:noProof/>
              </w:rPr>
              <w:t>E.</w:t>
            </w:r>
            <w:r w:rsidR="000B6A2E">
              <w:rPr>
                <w:rFonts w:eastAsiaTheme="minorEastAsia" w:cstheme="minorBidi"/>
                <w:smallCaps w:val="0"/>
                <w:noProof/>
                <w:szCs w:val="22"/>
                <w:lang w:val="fr-FR"/>
              </w:rPr>
              <w:tab/>
            </w:r>
            <w:r w:rsidR="000B6A2E" w:rsidRPr="00A7616D">
              <w:rPr>
                <w:rStyle w:val="Hyperlink"/>
                <w:rFonts w:eastAsiaTheme="majorEastAsia"/>
                <w:noProof/>
              </w:rPr>
              <w:t>Impacts, vulnerability and adaptation</w:t>
            </w:r>
            <w:r w:rsidR="000B6A2E">
              <w:rPr>
                <w:noProof/>
                <w:webHidden/>
              </w:rPr>
              <w:tab/>
            </w:r>
            <w:r w:rsidR="000B6A2E">
              <w:rPr>
                <w:noProof/>
                <w:webHidden/>
              </w:rPr>
              <w:fldChar w:fldCharType="begin"/>
            </w:r>
            <w:r w:rsidR="000B6A2E">
              <w:rPr>
                <w:noProof/>
                <w:webHidden/>
              </w:rPr>
              <w:instrText xml:space="preserve"> PAGEREF _Toc138341778 \h </w:instrText>
            </w:r>
            <w:r w:rsidR="000B6A2E">
              <w:rPr>
                <w:noProof/>
                <w:webHidden/>
              </w:rPr>
            </w:r>
            <w:r w:rsidR="000B6A2E">
              <w:rPr>
                <w:noProof/>
                <w:webHidden/>
              </w:rPr>
              <w:fldChar w:fldCharType="separate"/>
            </w:r>
            <w:r w:rsidR="009A2FAA">
              <w:rPr>
                <w:noProof/>
                <w:webHidden/>
              </w:rPr>
              <w:t>27</w:t>
            </w:r>
            <w:r w:rsidR="000B6A2E">
              <w:rPr>
                <w:noProof/>
                <w:webHidden/>
              </w:rPr>
              <w:fldChar w:fldCharType="end"/>
            </w:r>
          </w:hyperlink>
        </w:p>
        <w:p w14:paraId="5596BF0B" w14:textId="35823840"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79" w:history="1">
            <w:r w:rsidR="000B6A2E" w:rsidRPr="00A7616D">
              <w:rPr>
                <w:rStyle w:val="Hyperlink"/>
                <w:rFonts w:ascii="Marianne" w:eastAsiaTheme="majorEastAsia" w:hAnsi="Marianne"/>
                <w:noProof/>
              </w:rPr>
              <w:t>E.1.</w:t>
            </w:r>
            <w:r w:rsidR="000B6A2E">
              <w:rPr>
                <w:rFonts w:eastAsiaTheme="minorEastAsia" w:cstheme="minorBidi"/>
                <w:i w:val="0"/>
                <w:iCs w:val="0"/>
                <w:noProof/>
                <w:szCs w:val="22"/>
                <w:lang w:val="fr-FR"/>
              </w:rPr>
              <w:tab/>
            </w:r>
            <w:r w:rsidR="000B6A2E" w:rsidRPr="00A7616D">
              <w:rPr>
                <w:rStyle w:val="Hyperlink"/>
                <w:rFonts w:eastAsiaTheme="majorEastAsia"/>
                <w:noProof/>
              </w:rPr>
              <w:t>The impacts of climate change</w:t>
            </w:r>
            <w:r w:rsidR="000B6A2E">
              <w:rPr>
                <w:noProof/>
                <w:webHidden/>
              </w:rPr>
              <w:tab/>
            </w:r>
            <w:r w:rsidR="000B6A2E">
              <w:rPr>
                <w:noProof/>
                <w:webHidden/>
              </w:rPr>
              <w:fldChar w:fldCharType="begin"/>
            </w:r>
            <w:r w:rsidR="000B6A2E">
              <w:rPr>
                <w:noProof/>
                <w:webHidden/>
              </w:rPr>
              <w:instrText xml:space="preserve"> PAGEREF _Toc138341779 \h </w:instrText>
            </w:r>
            <w:r w:rsidR="000B6A2E">
              <w:rPr>
                <w:noProof/>
                <w:webHidden/>
              </w:rPr>
            </w:r>
            <w:r w:rsidR="000B6A2E">
              <w:rPr>
                <w:noProof/>
                <w:webHidden/>
              </w:rPr>
              <w:fldChar w:fldCharType="separate"/>
            </w:r>
            <w:r w:rsidR="009A2FAA">
              <w:rPr>
                <w:noProof/>
                <w:webHidden/>
              </w:rPr>
              <w:t>27</w:t>
            </w:r>
            <w:r w:rsidR="000B6A2E">
              <w:rPr>
                <w:noProof/>
                <w:webHidden/>
              </w:rPr>
              <w:fldChar w:fldCharType="end"/>
            </w:r>
          </w:hyperlink>
        </w:p>
        <w:p w14:paraId="132BE097" w14:textId="32462F0D"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80" w:history="1">
            <w:r w:rsidR="000B6A2E" w:rsidRPr="00A7616D">
              <w:rPr>
                <w:rStyle w:val="Hyperlink"/>
                <w:rFonts w:ascii="Marianne" w:eastAsiaTheme="majorEastAsia" w:hAnsi="Marianne"/>
                <w:noProof/>
              </w:rPr>
              <w:t>E.2.</w:t>
            </w:r>
            <w:r w:rsidR="000B6A2E">
              <w:rPr>
                <w:rFonts w:eastAsiaTheme="minorEastAsia" w:cstheme="minorBidi"/>
                <w:i w:val="0"/>
                <w:iCs w:val="0"/>
                <w:noProof/>
                <w:szCs w:val="22"/>
                <w:lang w:val="fr-FR"/>
              </w:rPr>
              <w:tab/>
            </w:r>
            <w:r w:rsidR="000B6A2E" w:rsidRPr="00A7616D">
              <w:rPr>
                <w:rStyle w:val="Hyperlink"/>
                <w:rFonts w:eastAsiaTheme="majorEastAsia"/>
                <w:noProof/>
              </w:rPr>
              <w:t>Expected impacts of climate change</w:t>
            </w:r>
            <w:r w:rsidR="000B6A2E">
              <w:rPr>
                <w:noProof/>
                <w:webHidden/>
              </w:rPr>
              <w:tab/>
            </w:r>
            <w:r w:rsidR="000B6A2E">
              <w:rPr>
                <w:noProof/>
                <w:webHidden/>
              </w:rPr>
              <w:fldChar w:fldCharType="begin"/>
            </w:r>
            <w:r w:rsidR="000B6A2E">
              <w:rPr>
                <w:noProof/>
                <w:webHidden/>
              </w:rPr>
              <w:instrText xml:space="preserve"> PAGEREF _Toc138341780 \h </w:instrText>
            </w:r>
            <w:r w:rsidR="000B6A2E">
              <w:rPr>
                <w:noProof/>
                <w:webHidden/>
              </w:rPr>
            </w:r>
            <w:r w:rsidR="000B6A2E">
              <w:rPr>
                <w:noProof/>
                <w:webHidden/>
              </w:rPr>
              <w:fldChar w:fldCharType="separate"/>
            </w:r>
            <w:r w:rsidR="009A2FAA">
              <w:rPr>
                <w:noProof/>
                <w:webHidden/>
              </w:rPr>
              <w:t>28</w:t>
            </w:r>
            <w:r w:rsidR="000B6A2E">
              <w:rPr>
                <w:noProof/>
                <w:webHidden/>
              </w:rPr>
              <w:fldChar w:fldCharType="end"/>
            </w:r>
          </w:hyperlink>
        </w:p>
        <w:p w14:paraId="1553C14C" w14:textId="7A20056F"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81" w:history="1">
            <w:r w:rsidR="000B6A2E" w:rsidRPr="00A7616D">
              <w:rPr>
                <w:rStyle w:val="Hyperlink"/>
                <w:rFonts w:ascii="Marianne" w:eastAsiaTheme="majorEastAsia" w:hAnsi="Marianne"/>
                <w:noProof/>
              </w:rPr>
              <w:t>E.3.</w:t>
            </w:r>
            <w:r w:rsidR="000B6A2E">
              <w:rPr>
                <w:rFonts w:eastAsiaTheme="minorEastAsia" w:cstheme="minorBidi"/>
                <w:i w:val="0"/>
                <w:iCs w:val="0"/>
                <w:noProof/>
                <w:szCs w:val="22"/>
                <w:lang w:val="fr-FR"/>
              </w:rPr>
              <w:tab/>
            </w:r>
            <w:r w:rsidR="000B6A2E" w:rsidRPr="00A7616D">
              <w:rPr>
                <w:rStyle w:val="Hyperlink"/>
                <w:rFonts w:eastAsiaTheme="majorEastAsia"/>
                <w:noProof/>
              </w:rPr>
              <w:t>Adaptation</w:t>
            </w:r>
            <w:r w:rsidR="000B6A2E">
              <w:rPr>
                <w:noProof/>
                <w:webHidden/>
              </w:rPr>
              <w:tab/>
            </w:r>
            <w:r w:rsidR="000B6A2E">
              <w:rPr>
                <w:noProof/>
                <w:webHidden/>
              </w:rPr>
              <w:fldChar w:fldCharType="begin"/>
            </w:r>
            <w:r w:rsidR="000B6A2E">
              <w:rPr>
                <w:noProof/>
                <w:webHidden/>
              </w:rPr>
              <w:instrText xml:space="preserve"> PAGEREF _Toc138341781 \h </w:instrText>
            </w:r>
            <w:r w:rsidR="000B6A2E">
              <w:rPr>
                <w:noProof/>
                <w:webHidden/>
              </w:rPr>
            </w:r>
            <w:r w:rsidR="000B6A2E">
              <w:rPr>
                <w:noProof/>
                <w:webHidden/>
              </w:rPr>
              <w:fldChar w:fldCharType="separate"/>
            </w:r>
            <w:r w:rsidR="009A2FAA">
              <w:rPr>
                <w:noProof/>
                <w:webHidden/>
              </w:rPr>
              <w:t>28</w:t>
            </w:r>
            <w:r w:rsidR="000B6A2E">
              <w:rPr>
                <w:noProof/>
                <w:webHidden/>
              </w:rPr>
              <w:fldChar w:fldCharType="end"/>
            </w:r>
          </w:hyperlink>
        </w:p>
        <w:p w14:paraId="492B3C2D" w14:textId="1A982CE2"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782" w:history="1">
            <w:r w:rsidR="000B6A2E" w:rsidRPr="00A7616D">
              <w:rPr>
                <w:rStyle w:val="Hyperlink"/>
                <w:rFonts w:eastAsiaTheme="majorEastAsia"/>
                <w:noProof/>
              </w:rPr>
              <w:t>F.</w:t>
            </w:r>
            <w:r w:rsidR="000B6A2E">
              <w:rPr>
                <w:rFonts w:eastAsiaTheme="minorEastAsia" w:cstheme="minorBidi"/>
                <w:smallCaps w:val="0"/>
                <w:noProof/>
                <w:szCs w:val="22"/>
                <w:lang w:val="fr-FR"/>
              </w:rPr>
              <w:tab/>
            </w:r>
            <w:r w:rsidR="000B6A2E" w:rsidRPr="00A7616D">
              <w:rPr>
                <w:rStyle w:val="Hyperlink"/>
                <w:rFonts w:eastAsiaTheme="majorEastAsia"/>
                <w:noProof/>
              </w:rPr>
              <w:t>Financial resources and technology transfer</w:t>
            </w:r>
            <w:r w:rsidR="000B6A2E">
              <w:rPr>
                <w:noProof/>
                <w:webHidden/>
              </w:rPr>
              <w:tab/>
            </w:r>
            <w:r w:rsidR="000B6A2E">
              <w:rPr>
                <w:noProof/>
                <w:webHidden/>
              </w:rPr>
              <w:fldChar w:fldCharType="begin"/>
            </w:r>
            <w:r w:rsidR="000B6A2E">
              <w:rPr>
                <w:noProof/>
                <w:webHidden/>
              </w:rPr>
              <w:instrText xml:space="preserve"> PAGEREF _Toc138341782 \h </w:instrText>
            </w:r>
            <w:r w:rsidR="000B6A2E">
              <w:rPr>
                <w:noProof/>
                <w:webHidden/>
              </w:rPr>
            </w:r>
            <w:r w:rsidR="000B6A2E">
              <w:rPr>
                <w:noProof/>
                <w:webHidden/>
              </w:rPr>
              <w:fldChar w:fldCharType="separate"/>
            </w:r>
            <w:r w:rsidR="009A2FAA">
              <w:rPr>
                <w:noProof/>
                <w:webHidden/>
              </w:rPr>
              <w:t>28</w:t>
            </w:r>
            <w:r w:rsidR="000B6A2E">
              <w:rPr>
                <w:noProof/>
                <w:webHidden/>
              </w:rPr>
              <w:fldChar w:fldCharType="end"/>
            </w:r>
          </w:hyperlink>
        </w:p>
        <w:p w14:paraId="1AB073B3" w14:textId="729897CA"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83" w:history="1">
            <w:r w:rsidR="000B6A2E" w:rsidRPr="00A7616D">
              <w:rPr>
                <w:rStyle w:val="Hyperlink"/>
                <w:rFonts w:ascii="Marianne" w:eastAsiaTheme="majorEastAsia" w:hAnsi="Marianne"/>
                <w:noProof/>
              </w:rPr>
              <w:t>F.1.</w:t>
            </w:r>
            <w:r w:rsidR="000B6A2E">
              <w:rPr>
                <w:rFonts w:eastAsiaTheme="minorEastAsia" w:cstheme="minorBidi"/>
                <w:i w:val="0"/>
                <w:iCs w:val="0"/>
                <w:noProof/>
                <w:szCs w:val="22"/>
                <w:lang w:val="fr-FR"/>
              </w:rPr>
              <w:tab/>
            </w:r>
            <w:r w:rsidR="000B6A2E" w:rsidRPr="00A7616D">
              <w:rPr>
                <w:rStyle w:val="Hyperlink"/>
                <w:rFonts w:eastAsiaTheme="majorEastAsia"/>
                <w:noProof/>
              </w:rPr>
              <w:t>Official development assistance/bilateral cooperation</w:t>
            </w:r>
            <w:r w:rsidR="000B6A2E">
              <w:rPr>
                <w:noProof/>
                <w:webHidden/>
              </w:rPr>
              <w:tab/>
            </w:r>
            <w:r w:rsidR="000B6A2E">
              <w:rPr>
                <w:noProof/>
                <w:webHidden/>
              </w:rPr>
              <w:fldChar w:fldCharType="begin"/>
            </w:r>
            <w:r w:rsidR="000B6A2E">
              <w:rPr>
                <w:noProof/>
                <w:webHidden/>
              </w:rPr>
              <w:instrText xml:space="preserve"> PAGEREF _Toc138341783 \h </w:instrText>
            </w:r>
            <w:r w:rsidR="000B6A2E">
              <w:rPr>
                <w:noProof/>
                <w:webHidden/>
              </w:rPr>
            </w:r>
            <w:r w:rsidR="000B6A2E">
              <w:rPr>
                <w:noProof/>
                <w:webHidden/>
              </w:rPr>
              <w:fldChar w:fldCharType="separate"/>
            </w:r>
            <w:r w:rsidR="009A2FAA">
              <w:rPr>
                <w:noProof/>
                <w:webHidden/>
              </w:rPr>
              <w:t>29</w:t>
            </w:r>
            <w:r w:rsidR="000B6A2E">
              <w:rPr>
                <w:noProof/>
                <w:webHidden/>
              </w:rPr>
              <w:fldChar w:fldCharType="end"/>
            </w:r>
          </w:hyperlink>
        </w:p>
        <w:p w14:paraId="7E535C56" w14:textId="2D3B30A8"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84" w:history="1">
            <w:r w:rsidR="000B6A2E" w:rsidRPr="00A7616D">
              <w:rPr>
                <w:rStyle w:val="Hyperlink"/>
                <w:rFonts w:ascii="Marianne" w:eastAsiaTheme="majorEastAsia" w:hAnsi="Marianne"/>
                <w:noProof/>
              </w:rPr>
              <w:t>F.2.</w:t>
            </w:r>
            <w:r w:rsidR="000B6A2E">
              <w:rPr>
                <w:rFonts w:eastAsiaTheme="minorEastAsia" w:cstheme="minorBidi"/>
                <w:i w:val="0"/>
                <w:iCs w:val="0"/>
                <w:noProof/>
                <w:szCs w:val="22"/>
                <w:lang w:val="fr-FR"/>
              </w:rPr>
              <w:tab/>
            </w:r>
            <w:r w:rsidR="000B6A2E" w:rsidRPr="00A7616D">
              <w:rPr>
                <w:rStyle w:val="Hyperlink"/>
                <w:rFonts w:eastAsiaTheme="majorEastAsia"/>
                <w:noProof/>
              </w:rPr>
              <w:t>Official development assistance/multilateral cooperation</w:t>
            </w:r>
            <w:r w:rsidR="000B6A2E">
              <w:rPr>
                <w:noProof/>
                <w:webHidden/>
              </w:rPr>
              <w:tab/>
            </w:r>
            <w:r w:rsidR="000B6A2E">
              <w:rPr>
                <w:noProof/>
                <w:webHidden/>
              </w:rPr>
              <w:fldChar w:fldCharType="begin"/>
            </w:r>
            <w:r w:rsidR="000B6A2E">
              <w:rPr>
                <w:noProof/>
                <w:webHidden/>
              </w:rPr>
              <w:instrText xml:space="preserve"> PAGEREF _Toc138341784 \h </w:instrText>
            </w:r>
            <w:r w:rsidR="000B6A2E">
              <w:rPr>
                <w:noProof/>
                <w:webHidden/>
              </w:rPr>
            </w:r>
            <w:r w:rsidR="000B6A2E">
              <w:rPr>
                <w:noProof/>
                <w:webHidden/>
              </w:rPr>
              <w:fldChar w:fldCharType="separate"/>
            </w:r>
            <w:r w:rsidR="009A2FAA">
              <w:rPr>
                <w:noProof/>
                <w:webHidden/>
              </w:rPr>
              <w:t>29</w:t>
            </w:r>
            <w:r w:rsidR="000B6A2E">
              <w:rPr>
                <w:noProof/>
                <w:webHidden/>
              </w:rPr>
              <w:fldChar w:fldCharType="end"/>
            </w:r>
          </w:hyperlink>
        </w:p>
        <w:p w14:paraId="5F0A45ED" w14:textId="2021D956"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85" w:history="1">
            <w:r w:rsidR="000B6A2E" w:rsidRPr="00A7616D">
              <w:rPr>
                <w:rStyle w:val="Hyperlink"/>
                <w:rFonts w:ascii="Marianne" w:eastAsiaTheme="majorEastAsia" w:hAnsi="Marianne"/>
                <w:noProof/>
              </w:rPr>
              <w:t>F.3.</w:t>
            </w:r>
            <w:r w:rsidR="000B6A2E">
              <w:rPr>
                <w:rFonts w:eastAsiaTheme="minorEastAsia" w:cstheme="minorBidi"/>
                <w:i w:val="0"/>
                <w:iCs w:val="0"/>
                <w:noProof/>
                <w:szCs w:val="22"/>
                <w:lang w:val="fr-FR"/>
              </w:rPr>
              <w:tab/>
            </w:r>
            <w:r w:rsidR="000B6A2E" w:rsidRPr="00A7616D">
              <w:rPr>
                <w:rStyle w:val="Hyperlink"/>
                <w:rFonts w:eastAsiaTheme="majorEastAsia"/>
                <w:noProof/>
              </w:rPr>
              <w:t>Technological cooperation</w:t>
            </w:r>
            <w:r w:rsidR="000B6A2E">
              <w:rPr>
                <w:noProof/>
                <w:webHidden/>
              </w:rPr>
              <w:tab/>
            </w:r>
            <w:r w:rsidR="000B6A2E">
              <w:rPr>
                <w:noProof/>
                <w:webHidden/>
              </w:rPr>
              <w:fldChar w:fldCharType="begin"/>
            </w:r>
            <w:r w:rsidR="000B6A2E">
              <w:rPr>
                <w:noProof/>
                <w:webHidden/>
              </w:rPr>
              <w:instrText xml:space="preserve"> PAGEREF _Toc138341785 \h </w:instrText>
            </w:r>
            <w:r w:rsidR="000B6A2E">
              <w:rPr>
                <w:noProof/>
                <w:webHidden/>
              </w:rPr>
            </w:r>
            <w:r w:rsidR="000B6A2E">
              <w:rPr>
                <w:noProof/>
                <w:webHidden/>
              </w:rPr>
              <w:fldChar w:fldCharType="separate"/>
            </w:r>
            <w:r w:rsidR="009A2FAA">
              <w:rPr>
                <w:noProof/>
                <w:webHidden/>
              </w:rPr>
              <w:t>30</w:t>
            </w:r>
            <w:r w:rsidR="000B6A2E">
              <w:rPr>
                <w:noProof/>
                <w:webHidden/>
              </w:rPr>
              <w:fldChar w:fldCharType="end"/>
            </w:r>
          </w:hyperlink>
        </w:p>
        <w:p w14:paraId="28298A83" w14:textId="611285E6"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86" w:history="1">
            <w:r w:rsidR="000B6A2E" w:rsidRPr="00A7616D">
              <w:rPr>
                <w:rStyle w:val="Hyperlink"/>
                <w:rFonts w:ascii="Marianne" w:eastAsiaTheme="majorEastAsia" w:hAnsi="Marianne"/>
                <w:noProof/>
              </w:rPr>
              <w:t>F.4.</w:t>
            </w:r>
            <w:r w:rsidR="000B6A2E">
              <w:rPr>
                <w:rFonts w:eastAsiaTheme="minorEastAsia" w:cstheme="minorBidi"/>
                <w:i w:val="0"/>
                <w:iCs w:val="0"/>
                <w:noProof/>
                <w:szCs w:val="22"/>
                <w:lang w:val="fr-FR"/>
              </w:rPr>
              <w:tab/>
            </w:r>
            <w:r w:rsidR="000B6A2E" w:rsidRPr="00A7616D">
              <w:rPr>
                <w:rStyle w:val="Hyperlink"/>
                <w:rFonts w:eastAsiaTheme="majorEastAsia"/>
                <w:noProof/>
              </w:rPr>
              <w:t>Capacity building</w:t>
            </w:r>
            <w:r w:rsidR="000B6A2E">
              <w:rPr>
                <w:noProof/>
                <w:webHidden/>
              </w:rPr>
              <w:tab/>
            </w:r>
            <w:r w:rsidR="000B6A2E">
              <w:rPr>
                <w:noProof/>
                <w:webHidden/>
              </w:rPr>
              <w:fldChar w:fldCharType="begin"/>
            </w:r>
            <w:r w:rsidR="000B6A2E">
              <w:rPr>
                <w:noProof/>
                <w:webHidden/>
              </w:rPr>
              <w:instrText xml:space="preserve"> PAGEREF _Toc138341786 \h </w:instrText>
            </w:r>
            <w:r w:rsidR="000B6A2E">
              <w:rPr>
                <w:noProof/>
                <w:webHidden/>
              </w:rPr>
            </w:r>
            <w:r w:rsidR="000B6A2E">
              <w:rPr>
                <w:noProof/>
                <w:webHidden/>
              </w:rPr>
              <w:fldChar w:fldCharType="separate"/>
            </w:r>
            <w:r w:rsidR="009A2FAA">
              <w:rPr>
                <w:noProof/>
                <w:webHidden/>
              </w:rPr>
              <w:t>31</w:t>
            </w:r>
            <w:r w:rsidR="000B6A2E">
              <w:rPr>
                <w:noProof/>
                <w:webHidden/>
              </w:rPr>
              <w:fldChar w:fldCharType="end"/>
            </w:r>
          </w:hyperlink>
        </w:p>
        <w:p w14:paraId="5CB38F44" w14:textId="2249D4A1"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787" w:history="1">
            <w:r w:rsidR="000B6A2E" w:rsidRPr="00A7616D">
              <w:rPr>
                <w:rStyle w:val="Hyperlink"/>
                <w:rFonts w:eastAsiaTheme="majorEastAsia"/>
                <w:noProof/>
              </w:rPr>
              <w:t>G.</w:t>
            </w:r>
            <w:r w:rsidR="000B6A2E">
              <w:rPr>
                <w:rFonts w:eastAsiaTheme="minorEastAsia" w:cstheme="minorBidi"/>
                <w:smallCaps w:val="0"/>
                <w:noProof/>
                <w:szCs w:val="22"/>
                <w:lang w:val="fr-FR"/>
              </w:rPr>
              <w:tab/>
            </w:r>
            <w:r w:rsidR="000B6A2E" w:rsidRPr="00A7616D">
              <w:rPr>
                <w:rStyle w:val="Hyperlink"/>
                <w:rFonts w:eastAsiaTheme="majorEastAsia"/>
                <w:noProof/>
              </w:rPr>
              <w:t>Research and observation</w:t>
            </w:r>
            <w:r w:rsidR="000B6A2E">
              <w:rPr>
                <w:noProof/>
                <w:webHidden/>
              </w:rPr>
              <w:tab/>
            </w:r>
            <w:r w:rsidR="000B6A2E">
              <w:rPr>
                <w:noProof/>
                <w:webHidden/>
              </w:rPr>
              <w:fldChar w:fldCharType="begin"/>
            </w:r>
            <w:r w:rsidR="000B6A2E">
              <w:rPr>
                <w:noProof/>
                <w:webHidden/>
              </w:rPr>
              <w:instrText xml:space="preserve"> PAGEREF _Toc138341787 \h </w:instrText>
            </w:r>
            <w:r w:rsidR="000B6A2E">
              <w:rPr>
                <w:noProof/>
                <w:webHidden/>
              </w:rPr>
            </w:r>
            <w:r w:rsidR="000B6A2E">
              <w:rPr>
                <w:noProof/>
                <w:webHidden/>
              </w:rPr>
              <w:fldChar w:fldCharType="separate"/>
            </w:r>
            <w:r w:rsidR="009A2FAA">
              <w:rPr>
                <w:noProof/>
                <w:webHidden/>
              </w:rPr>
              <w:t>31</w:t>
            </w:r>
            <w:r w:rsidR="000B6A2E">
              <w:rPr>
                <w:noProof/>
                <w:webHidden/>
              </w:rPr>
              <w:fldChar w:fldCharType="end"/>
            </w:r>
          </w:hyperlink>
        </w:p>
        <w:p w14:paraId="6F8C0F13" w14:textId="0BE3A7ED"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88" w:history="1">
            <w:r w:rsidR="000B6A2E" w:rsidRPr="00A7616D">
              <w:rPr>
                <w:rStyle w:val="Hyperlink"/>
                <w:rFonts w:ascii="Marianne" w:eastAsiaTheme="majorEastAsia" w:hAnsi="Marianne"/>
                <w:noProof/>
              </w:rPr>
              <w:t>G.1.</w:t>
            </w:r>
            <w:r w:rsidR="000B6A2E">
              <w:rPr>
                <w:rFonts w:eastAsiaTheme="minorEastAsia" w:cstheme="minorBidi"/>
                <w:i w:val="0"/>
                <w:iCs w:val="0"/>
                <w:noProof/>
                <w:szCs w:val="22"/>
                <w:lang w:val="fr-FR"/>
              </w:rPr>
              <w:tab/>
            </w:r>
            <w:r w:rsidR="000B6A2E" w:rsidRPr="00A7616D">
              <w:rPr>
                <w:rStyle w:val="Hyperlink"/>
                <w:rFonts w:eastAsiaTheme="majorEastAsia"/>
                <w:noProof/>
              </w:rPr>
              <w:t>Research</w:t>
            </w:r>
            <w:r w:rsidR="000B6A2E">
              <w:rPr>
                <w:noProof/>
                <w:webHidden/>
              </w:rPr>
              <w:tab/>
            </w:r>
            <w:r w:rsidR="000B6A2E">
              <w:rPr>
                <w:noProof/>
                <w:webHidden/>
              </w:rPr>
              <w:fldChar w:fldCharType="begin"/>
            </w:r>
            <w:r w:rsidR="000B6A2E">
              <w:rPr>
                <w:noProof/>
                <w:webHidden/>
              </w:rPr>
              <w:instrText xml:space="preserve"> PAGEREF _Toc138341788 \h </w:instrText>
            </w:r>
            <w:r w:rsidR="000B6A2E">
              <w:rPr>
                <w:noProof/>
                <w:webHidden/>
              </w:rPr>
            </w:r>
            <w:r w:rsidR="000B6A2E">
              <w:rPr>
                <w:noProof/>
                <w:webHidden/>
              </w:rPr>
              <w:fldChar w:fldCharType="separate"/>
            </w:r>
            <w:r w:rsidR="009A2FAA">
              <w:rPr>
                <w:noProof/>
                <w:webHidden/>
              </w:rPr>
              <w:t>31</w:t>
            </w:r>
            <w:r w:rsidR="000B6A2E">
              <w:rPr>
                <w:noProof/>
                <w:webHidden/>
              </w:rPr>
              <w:fldChar w:fldCharType="end"/>
            </w:r>
          </w:hyperlink>
        </w:p>
        <w:p w14:paraId="6B2B30E7" w14:textId="26F37AE4"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789" w:history="1">
            <w:r w:rsidR="000B6A2E" w:rsidRPr="00A7616D">
              <w:rPr>
                <w:rStyle w:val="Hyperlink"/>
                <w:rFonts w:ascii="Marianne" w:eastAsiaTheme="majorEastAsia" w:hAnsi="Marianne"/>
                <w:noProof/>
              </w:rPr>
              <w:t>G.2.</w:t>
            </w:r>
            <w:r w:rsidR="000B6A2E">
              <w:rPr>
                <w:rFonts w:eastAsiaTheme="minorEastAsia" w:cstheme="minorBidi"/>
                <w:i w:val="0"/>
                <w:iCs w:val="0"/>
                <w:noProof/>
                <w:szCs w:val="22"/>
                <w:lang w:val="fr-FR"/>
              </w:rPr>
              <w:tab/>
            </w:r>
            <w:r w:rsidR="000B6A2E" w:rsidRPr="00A7616D">
              <w:rPr>
                <w:rStyle w:val="Hyperlink"/>
                <w:rFonts w:eastAsiaTheme="majorEastAsia"/>
                <w:noProof/>
              </w:rPr>
              <w:t>Systematic observation</w:t>
            </w:r>
            <w:r w:rsidR="000B6A2E">
              <w:rPr>
                <w:noProof/>
                <w:webHidden/>
              </w:rPr>
              <w:tab/>
            </w:r>
            <w:r w:rsidR="000B6A2E">
              <w:rPr>
                <w:noProof/>
                <w:webHidden/>
              </w:rPr>
              <w:fldChar w:fldCharType="begin"/>
            </w:r>
            <w:r w:rsidR="000B6A2E">
              <w:rPr>
                <w:noProof/>
                <w:webHidden/>
              </w:rPr>
              <w:instrText xml:space="preserve"> PAGEREF _Toc138341789 \h </w:instrText>
            </w:r>
            <w:r w:rsidR="000B6A2E">
              <w:rPr>
                <w:noProof/>
                <w:webHidden/>
              </w:rPr>
            </w:r>
            <w:r w:rsidR="000B6A2E">
              <w:rPr>
                <w:noProof/>
                <w:webHidden/>
              </w:rPr>
              <w:fldChar w:fldCharType="separate"/>
            </w:r>
            <w:r w:rsidR="009A2FAA">
              <w:rPr>
                <w:noProof/>
                <w:webHidden/>
              </w:rPr>
              <w:t>32</w:t>
            </w:r>
            <w:r w:rsidR="000B6A2E">
              <w:rPr>
                <w:noProof/>
                <w:webHidden/>
              </w:rPr>
              <w:fldChar w:fldCharType="end"/>
            </w:r>
          </w:hyperlink>
        </w:p>
        <w:p w14:paraId="7300086C" w14:textId="517D1663"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790" w:history="1">
            <w:r w:rsidR="000B6A2E" w:rsidRPr="00A7616D">
              <w:rPr>
                <w:rStyle w:val="Hyperlink"/>
                <w:rFonts w:eastAsiaTheme="majorEastAsia"/>
                <w:noProof/>
              </w:rPr>
              <w:t>H.</w:t>
            </w:r>
            <w:r w:rsidR="000B6A2E">
              <w:rPr>
                <w:rFonts w:eastAsiaTheme="minorEastAsia" w:cstheme="minorBidi"/>
                <w:smallCaps w:val="0"/>
                <w:noProof/>
                <w:szCs w:val="22"/>
                <w:lang w:val="fr-FR"/>
              </w:rPr>
              <w:tab/>
            </w:r>
            <w:r w:rsidR="000B6A2E" w:rsidRPr="00A7616D">
              <w:rPr>
                <w:rStyle w:val="Hyperlink"/>
                <w:rFonts w:eastAsiaTheme="majorEastAsia"/>
                <w:noProof/>
              </w:rPr>
              <w:t>Public education, training and awareness-raising</w:t>
            </w:r>
            <w:r w:rsidR="000B6A2E">
              <w:rPr>
                <w:noProof/>
                <w:webHidden/>
              </w:rPr>
              <w:tab/>
            </w:r>
            <w:r w:rsidR="000B6A2E">
              <w:rPr>
                <w:noProof/>
                <w:webHidden/>
              </w:rPr>
              <w:fldChar w:fldCharType="begin"/>
            </w:r>
            <w:r w:rsidR="000B6A2E">
              <w:rPr>
                <w:noProof/>
                <w:webHidden/>
              </w:rPr>
              <w:instrText xml:space="preserve"> PAGEREF _Toc138341790 \h </w:instrText>
            </w:r>
            <w:r w:rsidR="000B6A2E">
              <w:rPr>
                <w:noProof/>
                <w:webHidden/>
              </w:rPr>
            </w:r>
            <w:r w:rsidR="000B6A2E">
              <w:rPr>
                <w:noProof/>
                <w:webHidden/>
              </w:rPr>
              <w:fldChar w:fldCharType="separate"/>
            </w:r>
            <w:r w:rsidR="009A2FAA">
              <w:rPr>
                <w:noProof/>
                <w:webHidden/>
              </w:rPr>
              <w:t>33</w:t>
            </w:r>
            <w:r w:rsidR="000B6A2E">
              <w:rPr>
                <w:noProof/>
                <w:webHidden/>
              </w:rPr>
              <w:fldChar w:fldCharType="end"/>
            </w:r>
          </w:hyperlink>
        </w:p>
        <w:p w14:paraId="635016D6" w14:textId="51578A99" w:rsidR="000B6A2E" w:rsidRDefault="003714FB">
          <w:pPr>
            <w:pStyle w:val="TOC1"/>
            <w:rPr>
              <w:rFonts w:eastAsiaTheme="minorEastAsia" w:cstheme="minorBidi"/>
              <w:b w:val="0"/>
              <w:bCs w:val="0"/>
              <w:caps w:val="0"/>
              <w:noProof/>
              <w:szCs w:val="22"/>
              <w:lang w:val="fr-FR"/>
            </w:rPr>
          </w:pPr>
          <w:hyperlink w:anchor="_Toc138341791" w:history="1">
            <w:r w:rsidR="000B6A2E" w:rsidRPr="00A7616D">
              <w:rPr>
                <w:rStyle w:val="Hyperlink"/>
                <w:rFonts w:eastAsiaTheme="majorEastAsia"/>
                <w:noProof/>
              </w:rPr>
              <w:t>Chapter II - National circumstances relating to greenhouse gas emissions and removals</w:t>
            </w:r>
            <w:r w:rsidR="000B6A2E">
              <w:rPr>
                <w:noProof/>
                <w:webHidden/>
              </w:rPr>
              <w:tab/>
            </w:r>
            <w:r w:rsidR="000B6A2E">
              <w:rPr>
                <w:noProof/>
                <w:webHidden/>
              </w:rPr>
              <w:fldChar w:fldCharType="begin"/>
            </w:r>
            <w:r w:rsidR="000B6A2E">
              <w:rPr>
                <w:noProof/>
                <w:webHidden/>
              </w:rPr>
              <w:instrText xml:space="preserve"> PAGEREF _Toc138341791 \h </w:instrText>
            </w:r>
            <w:r w:rsidR="000B6A2E">
              <w:rPr>
                <w:noProof/>
                <w:webHidden/>
              </w:rPr>
            </w:r>
            <w:r w:rsidR="000B6A2E">
              <w:rPr>
                <w:noProof/>
                <w:webHidden/>
              </w:rPr>
              <w:fldChar w:fldCharType="separate"/>
            </w:r>
            <w:r w:rsidR="009A2FAA">
              <w:rPr>
                <w:noProof/>
                <w:webHidden/>
              </w:rPr>
              <w:t>35</w:t>
            </w:r>
            <w:r w:rsidR="000B6A2E">
              <w:rPr>
                <w:noProof/>
                <w:webHidden/>
              </w:rPr>
              <w:fldChar w:fldCharType="end"/>
            </w:r>
          </w:hyperlink>
        </w:p>
        <w:p w14:paraId="1288F679" w14:textId="3D127116"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792" w:history="1">
            <w:r w:rsidR="000B6A2E" w:rsidRPr="00A7616D">
              <w:rPr>
                <w:rStyle w:val="Hyperlink"/>
                <w:rFonts w:eastAsiaTheme="majorEastAsia"/>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Institutions</w:t>
            </w:r>
            <w:r w:rsidR="000B6A2E">
              <w:rPr>
                <w:noProof/>
                <w:webHidden/>
              </w:rPr>
              <w:tab/>
            </w:r>
            <w:r w:rsidR="000B6A2E">
              <w:rPr>
                <w:noProof/>
                <w:webHidden/>
              </w:rPr>
              <w:fldChar w:fldCharType="begin"/>
            </w:r>
            <w:r w:rsidR="000B6A2E">
              <w:rPr>
                <w:noProof/>
                <w:webHidden/>
              </w:rPr>
              <w:instrText xml:space="preserve"> PAGEREF _Toc138341792 \h </w:instrText>
            </w:r>
            <w:r w:rsidR="000B6A2E">
              <w:rPr>
                <w:noProof/>
                <w:webHidden/>
              </w:rPr>
            </w:r>
            <w:r w:rsidR="000B6A2E">
              <w:rPr>
                <w:noProof/>
                <w:webHidden/>
              </w:rPr>
              <w:fldChar w:fldCharType="separate"/>
            </w:r>
            <w:r w:rsidR="009A2FAA">
              <w:rPr>
                <w:noProof/>
                <w:webHidden/>
              </w:rPr>
              <w:t>35</w:t>
            </w:r>
            <w:r w:rsidR="000B6A2E">
              <w:rPr>
                <w:noProof/>
                <w:webHidden/>
              </w:rPr>
              <w:fldChar w:fldCharType="end"/>
            </w:r>
          </w:hyperlink>
        </w:p>
        <w:p w14:paraId="2B64348F" w14:textId="33AC9B5B"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793"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Demographics</w:t>
            </w:r>
            <w:r w:rsidR="000B6A2E">
              <w:rPr>
                <w:noProof/>
                <w:webHidden/>
              </w:rPr>
              <w:tab/>
            </w:r>
            <w:r w:rsidR="000B6A2E">
              <w:rPr>
                <w:noProof/>
                <w:webHidden/>
              </w:rPr>
              <w:fldChar w:fldCharType="begin"/>
            </w:r>
            <w:r w:rsidR="000B6A2E">
              <w:rPr>
                <w:noProof/>
                <w:webHidden/>
              </w:rPr>
              <w:instrText xml:space="preserve"> PAGEREF _Toc138341793 \h </w:instrText>
            </w:r>
            <w:r w:rsidR="000B6A2E">
              <w:rPr>
                <w:noProof/>
                <w:webHidden/>
              </w:rPr>
            </w:r>
            <w:r w:rsidR="000B6A2E">
              <w:rPr>
                <w:noProof/>
                <w:webHidden/>
              </w:rPr>
              <w:fldChar w:fldCharType="separate"/>
            </w:r>
            <w:r w:rsidR="009A2FAA">
              <w:rPr>
                <w:noProof/>
                <w:webHidden/>
              </w:rPr>
              <w:t>35</w:t>
            </w:r>
            <w:r w:rsidR="000B6A2E">
              <w:rPr>
                <w:noProof/>
                <w:webHidden/>
              </w:rPr>
              <w:fldChar w:fldCharType="end"/>
            </w:r>
          </w:hyperlink>
        </w:p>
        <w:p w14:paraId="3E41190E" w14:textId="075371EE"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794" w:history="1">
            <w:r w:rsidR="000B6A2E" w:rsidRPr="00A7616D">
              <w:rPr>
                <w:rStyle w:val="Hyperlink"/>
                <w:rFonts w:eastAsiaTheme="majorEastAsia"/>
                <w:noProof/>
              </w:rPr>
              <w:t>C.</w:t>
            </w:r>
            <w:r w:rsidR="000B6A2E">
              <w:rPr>
                <w:rFonts w:eastAsiaTheme="minorEastAsia" w:cstheme="minorBidi"/>
                <w:smallCaps w:val="0"/>
                <w:noProof/>
                <w:szCs w:val="22"/>
                <w:lang w:val="fr-FR"/>
              </w:rPr>
              <w:tab/>
            </w:r>
            <w:r w:rsidR="000B6A2E" w:rsidRPr="00A7616D">
              <w:rPr>
                <w:rStyle w:val="Hyperlink"/>
                <w:rFonts w:eastAsiaTheme="majorEastAsia"/>
                <w:noProof/>
              </w:rPr>
              <w:t>Geography</w:t>
            </w:r>
            <w:r w:rsidR="000B6A2E">
              <w:rPr>
                <w:noProof/>
                <w:webHidden/>
              </w:rPr>
              <w:tab/>
            </w:r>
            <w:r w:rsidR="000B6A2E">
              <w:rPr>
                <w:noProof/>
                <w:webHidden/>
              </w:rPr>
              <w:fldChar w:fldCharType="begin"/>
            </w:r>
            <w:r w:rsidR="000B6A2E">
              <w:rPr>
                <w:noProof/>
                <w:webHidden/>
              </w:rPr>
              <w:instrText xml:space="preserve"> PAGEREF _Toc138341794 \h </w:instrText>
            </w:r>
            <w:r w:rsidR="000B6A2E">
              <w:rPr>
                <w:noProof/>
                <w:webHidden/>
              </w:rPr>
            </w:r>
            <w:r w:rsidR="000B6A2E">
              <w:rPr>
                <w:noProof/>
                <w:webHidden/>
              </w:rPr>
              <w:fldChar w:fldCharType="separate"/>
            </w:r>
            <w:r w:rsidR="009A2FAA">
              <w:rPr>
                <w:noProof/>
                <w:webHidden/>
              </w:rPr>
              <w:t>38</w:t>
            </w:r>
            <w:r w:rsidR="000B6A2E">
              <w:rPr>
                <w:noProof/>
                <w:webHidden/>
              </w:rPr>
              <w:fldChar w:fldCharType="end"/>
            </w:r>
          </w:hyperlink>
        </w:p>
        <w:p w14:paraId="626B1662" w14:textId="53C647C1"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795" w:history="1">
            <w:r w:rsidR="000B6A2E" w:rsidRPr="00A7616D">
              <w:rPr>
                <w:rStyle w:val="Hyperlink"/>
                <w:rFonts w:eastAsiaTheme="majorEastAsia"/>
                <w:noProof/>
              </w:rPr>
              <w:t>D.</w:t>
            </w:r>
            <w:r w:rsidR="000B6A2E">
              <w:rPr>
                <w:rFonts w:eastAsiaTheme="minorEastAsia" w:cstheme="minorBidi"/>
                <w:smallCaps w:val="0"/>
                <w:noProof/>
                <w:szCs w:val="22"/>
                <w:lang w:val="fr-FR"/>
              </w:rPr>
              <w:tab/>
            </w:r>
            <w:r w:rsidR="000B6A2E" w:rsidRPr="00A7616D">
              <w:rPr>
                <w:rStyle w:val="Hyperlink"/>
                <w:rFonts w:eastAsiaTheme="majorEastAsia"/>
                <w:noProof/>
              </w:rPr>
              <w:t>Climate</w:t>
            </w:r>
            <w:r w:rsidR="000B6A2E">
              <w:rPr>
                <w:noProof/>
                <w:webHidden/>
              </w:rPr>
              <w:tab/>
            </w:r>
            <w:r w:rsidR="000B6A2E">
              <w:rPr>
                <w:noProof/>
                <w:webHidden/>
              </w:rPr>
              <w:fldChar w:fldCharType="begin"/>
            </w:r>
            <w:r w:rsidR="000B6A2E">
              <w:rPr>
                <w:noProof/>
                <w:webHidden/>
              </w:rPr>
              <w:instrText xml:space="preserve"> PAGEREF _Toc138341795 \h </w:instrText>
            </w:r>
            <w:r w:rsidR="000B6A2E">
              <w:rPr>
                <w:noProof/>
                <w:webHidden/>
              </w:rPr>
            </w:r>
            <w:r w:rsidR="000B6A2E">
              <w:rPr>
                <w:noProof/>
                <w:webHidden/>
              </w:rPr>
              <w:fldChar w:fldCharType="separate"/>
            </w:r>
            <w:r w:rsidR="009A2FAA">
              <w:rPr>
                <w:noProof/>
                <w:webHidden/>
              </w:rPr>
              <w:t>41</w:t>
            </w:r>
            <w:r w:rsidR="000B6A2E">
              <w:rPr>
                <w:noProof/>
                <w:webHidden/>
              </w:rPr>
              <w:fldChar w:fldCharType="end"/>
            </w:r>
          </w:hyperlink>
        </w:p>
        <w:p w14:paraId="4146A7CF" w14:textId="51105727"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796" w:history="1">
            <w:r w:rsidR="000B6A2E" w:rsidRPr="00A7616D">
              <w:rPr>
                <w:rStyle w:val="Hyperlink"/>
                <w:rFonts w:ascii="Marianne" w:eastAsiaTheme="majorEastAsia" w:hAnsi="Marianne"/>
                <w:noProof/>
              </w:rPr>
              <w:t>E.</w:t>
            </w:r>
            <w:r w:rsidR="000B6A2E">
              <w:rPr>
                <w:rFonts w:eastAsiaTheme="minorEastAsia" w:cstheme="minorBidi"/>
                <w:smallCaps w:val="0"/>
                <w:noProof/>
                <w:szCs w:val="22"/>
                <w:lang w:val="fr-FR"/>
              </w:rPr>
              <w:tab/>
            </w:r>
            <w:r w:rsidR="000B6A2E" w:rsidRPr="00A7616D">
              <w:rPr>
                <w:rStyle w:val="Hyperlink"/>
                <w:rFonts w:eastAsiaTheme="majorEastAsia"/>
                <w:noProof/>
              </w:rPr>
              <w:t>Economy</w:t>
            </w:r>
            <w:r w:rsidR="000B6A2E">
              <w:rPr>
                <w:noProof/>
                <w:webHidden/>
              </w:rPr>
              <w:tab/>
            </w:r>
            <w:r w:rsidR="000B6A2E">
              <w:rPr>
                <w:noProof/>
                <w:webHidden/>
              </w:rPr>
              <w:fldChar w:fldCharType="begin"/>
            </w:r>
            <w:r w:rsidR="000B6A2E">
              <w:rPr>
                <w:noProof/>
                <w:webHidden/>
              </w:rPr>
              <w:instrText xml:space="preserve"> PAGEREF _Toc138341796 \h </w:instrText>
            </w:r>
            <w:r w:rsidR="000B6A2E">
              <w:rPr>
                <w:noProof/>
                <w:webHidden/>
              </w:rPr>
            </w:r>
            <w:r w:rsidR="000B6A2E">
              <w:rPr>
                <w:noProof/>
                <w:webHidden/>
              </w:rPr>
              <w:fldChar w:fldCharType="separate"/>
            </w:r>
            <w:r w:rsidR="009A2FAA">
              <w:rPr>
                <w:noProof/>
                <w:webHidden/>
              </w:rPr>
              <w:t>43</w:t>
            </w:r>
            <w:r w:rsidR="000B6A2E">
              <w:rPr>
                <w:noProof/>
                <w:webHidden/>
              </w:rPr>
              <w:fldChar w:fldCharType="end"/>
            </w:r>
          </w:hyperlink>
        </w:p>
        <w:p w14:paraId="4EA093DA" w14:textId="58CB7AF2"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97" w:history="1">
            <w:r w:rsidR="000B6A2E" w:rsidRPr="00A7616D">
              <w:rPr>
                <w:rStyle w:val="Hyperlink"/>
                <w:rFonts w:ascii="Marianne" w:eastAsiaTheme="majorEastAsia" w:hAnsi="Marianne"/>
                <w:noProof/>
              </w:rPr>
              <w:t>E.1.</w:t>
            </w:r>
            <w:r w:rsidR="000B6A2E">
              <w:rPr>
                <w:rFonts w:eastAsiaTheme="minorEastAsia" w:cstheme="minorBidi"/>
                <w:i w:val="0"/>
                <w:iCs w:val="0"/>
                <w:noProof/>
                <w:szCs w:val="22"/>
                <w:lang w:val="fr-FR"/>
              </w:rPr>
              <w:tab/>
            </w:r>
            <w:r w:rsidR="000B6A2E" w:rsidRPr="00A7616D">
              <w:rPr>
                <w:rStyle w:val="Hyperlink"/>
                <w:rFonts w:eastAsiaTheme="majorEastAsia"/>
                <w:noProof/>
              </w:rPr>
              <w:t>Transport</w:t>
            </w:r>
            <w:r w:rsidR="000B6A2E">
              <w:rPr>
                <w:noProof/>
                <w:webHidden/>
              </w:rPr>
              <w:tab/>
            </w:r>
            <w:r w:rsidR="000B6A2E">
              <w:rPr>
                <w:noProof/>
                <w:webHidden/>
              </w:rPr>
              <w:fldChar w:fldCharType="begin"/>
            </w:r>
            <w:r w:rsidR="000B6A2E">
              <w:rPr>
                <w:noProof/>
                <w:webHidden/>
              </w:rPr>
              <w:instrText xml:space="preserve"> PAGEREF _Toc138341797 \h </w:instrText>
            </w:r>
            <w:r w:rsidR="000B6A2E">
              <w:rPr>
                <w:noProof/>
                <w:webHidden/>
              </w:rPr>
            </w:r>
            <w:r w:rsidR="000B6A2E">
              <w:rPr>
                <w:noProof/>
                <w:webHidden/>
              </w:rPr>
              <w:fldChar w:fldCharType="separate"/>
            </w:r>
            <w:r w:rsidR="009A2FAA">
              <w:rPr>
                <w:noProof/>
                <w:webHidden/>
              </w:rPr>
              <w:t>45</w:t>
            </w:r>
            <w:r w:rsidR="000B6A2E">
              <w:rPr>
                <w:noProof/>
                <w:webHidden/>
              </w:rPr>
              <w:fldChar w:fldCharType="end"/>
            </w:r>
          </w:hyperlink>
        </w:p>
        <w:p w14:paraId="0155025E" w14:textId="3F34F8FD"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98" w:history="1">
            <w:r w:rsidR="000B6A2E" w:rsidRPr="00A7616D">
              <w:rPr>
                <w:rStyle w:val="Hyperlink"/>
                <w:rFonts w:ascii="Marianne" w:eastAsiaTheme="majorEastAsia" w:hAnsi="Marianne"/>
                <w:noProof/>
              </w:rPr>
              <w:t>E.2.</w:t>
            </w:r>
            <w:r w:rsidR="000B6A2E">
              <w:rPr>
                <w:rFonts w:eastAsiaTheme="minorEastAsia" w:cstheme="minorBidi"/>
                <w:i w:val="0"/>
                <w:iCs w:val="0"/>
                <w:noProof/>
                <w:szCs w:val="22"/>
                <w:lang w:val="fr-FR"/>
              </w:rPr>
              <w:tab/>
            </w:r>
            <w:r w:rsidR="000B6A2E" w:rsidRPr="00A7616D">
              <w:rPr>
                <w:rStyle w:val="Hyperlink"/>
                <w:rFonts w:eastAsiaTheme="majorEastAsia"/>
                <w:noProof/>
              </w:rPr>
              <w:t>Construction / Residential / Tertiary</w:t>
            </w:r>
            <w:r w:rsidR="000B6A2E">
              <w:rPr>
                <w:noProof/>
                <w:webHidden/>
              </w:rPr>
              <w:tab/>
            </w:r>
            <w:r w:rsidR="000B6A2E">
              <w:rPr>
                <w:noProof/>
                <w:webHidden/>
              </w:rPr>
              <w:fldChar w:fldCharType="begin"/>
            </w:r>
            <w:r w:rsidR="000B6A2E">
              <w:rPr>
                <w:noProof/>
                <w:webHidden/>
              </w:rPr>
              <w:instrText xml:space="preserve"> PAGEREF _Toc138341798 \h </w:instrText>
            </w:r>
            <w:r w:rsidR="000B6A2E">
              <w:rPr>
                <w:noProof/>
                <w:webHidden/>
              </w:rPr>
            </w:r>
            <w:r w:rsidR="000B6A2E">
              <w:rPr>
                <w:noProof/>
                <w:webHidden/>
              </w:rPr>
              <w:fldChar w:fldCharType="separate"/>
            </w:r>
            <w:r w:rsidR="009A2FAA">
              <w:rPr>
                <w:noProof/>
                <w:webHidden/>
              </w:rPr>
              <w:t>50</w:t>
            </w:r>
            <w:r w:rsidR="000B6A2E">
              <w:rPr>
                <w:noProof/>
                <w:webHidden/>
              </w:rPr>
              <w:fldChar w:fldCharType="end"/>
            </w:r>
          </w:hyperlink>
        </w:p>
        <w:p w14:paraId="35488067" w14:textId="4A82D7AE"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799" w:history="1">
            <w:r w:rsidR="000B6A2E" w:rsidRPr="00A7616D">
              <w:rPr>
                <w:rStyle w:val="Hyperlink"/>
                <w:rFonts w:ascii="Marianne" w:eastAsiaTheme="majorEastAsia" w:hAnsi="Marianne"/>
                <w:noProof/>
              </w:rPr>
              <w:t>E.3.</w:t>
            </w:r>
            <w:r w:rsidR="000B6A2E">
              <w:rPr>
                <w:rFonts w:eastAsiaTheme="minorEastAsia" w:cstheme="minorBidi"/>
                <w:i w:val="0"/>
                <w:iCs w:val="0"/>
                <w:noProof/>
                <w:szCs w:val="22"/>
                <w:lang w:val="fr-FR"/>
              </w:rPr>
              <w:tab/>
            </w:r>
            <w:r w:rsidR="000B6A2E" w:rsidRPr="00A7616D">
              <w:rPr>
                <w:rStyle w:val="Hyperlink"/>
                <w:rFonts w:eastAsiaTheme="majorEastAsia"/>
                <w:noProof/>
              </w:rPr>
              <w:t>Energy</w:t>
            </w:r>
            <w:r w:rsidR="000B6A2E">
              <w:rPr>
                <w:noProof/>
                <w:webHidden/>
              </w:rPr>
              <w:tab/>
            </w:r>
            <w:r w:rsidR="000B6A2E">
              <w:rPr>
                <w:noProof/>
                <w:webHidden/>
              </w:rPr>
              <w:fldChar w:fldCharType="begin"/>
            </w:r>
            <w:r w:rsidR="000B6A2E">
              <w:rPr>
                <w:noProof/>
                <w:webHidden/>
              </w:rPr>
              <w:instrText xml:space="preserve"> PAGEREF _Toc138341799 \h </w:instrText>
            </w:r>
            <w:r w:rsidR="000B6A2E">
              <w:rPr>
                <w:noProof/>
                <w:webHidden/>
              </w:rPr>
            </w:r>
            <w:r w:rsidR="000B6A2E">
              <w:rPr>
                <w:noProof/>
                <w:webHidden/>
              </w:rPr>
              <w:fldChar w:fldCharType="separate"/>
            </w:r>
            <w:r w:rsidR="009A2FAA">
              <w:rPr>
                <w:noProof/>
                <w:webHidden/>
              </w:rPr>
              <w:t>53</w:t>
            </w:r>
            <w:r w:rsidR="000B6A2E">
              <w:rPr>
                <w:noProof/>
                <w:webHidden/>
              </w:rPr>
              <w:fldChar w:fldCharType="end"/>
            </w:r>
          </w:hyperlink>
        </w:p>
        <w:p w14:paraId="3972C85C" w14:textId="405B3D77"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00" w:history="1">
            <w:r w:rsidR="000B6A2E" w:rsidRPr="00A7616D">
              <w:rPr>
                <w:rStyle w:val="Hyperlink"/>
                <w:rFonts w:ascii="Marianne" w:eastAsiaTheme="majorEastAsia" w:hAnsi="Marianne"/>
                <w:noProof/>
              </w:rPr>
              <w:t>E.4.</w:t>
            </w:r>
            <w:r w:rsidR="000B6A2E">
              <w:rPr>
                <w:rFonts w:eastAsiaTheme="minorEastAsia" w:cstheme="minorBidi"/>
                <w:i w:val="0"/>
                <w:iCs w:val="0"/>
                <w:noProof/>
                <w:szCs w:val="22"/>
                <w:lang w:val="fr-FR"/>
              </w:rPr>
              <w:tab/>
            </w:r>
            <w:r w:rsidR="000B6A2E" w:rsidRPr="00A7616D">
              <w:rPr>
                <w:rStyle w:val="Hyperlink"/>
                <w:rFonts w:eastAsiaTheme="majorEastAsia"/>
                <w:noProof/>
              </w:rPr>
              <w:t>Industry</w:t>
            </w:r>
            <w:r w:rsidR="000B6A2E">
              <w:rPr>
                <w:noProof/>
                <w:webHidden/>
              </w:rPr>
              <w:tab/>
            </w:r>
            <w:r w:rsidR="000B6A2E">
              <w:rPr>
                <w:noProof/>
                <w:webHidden/>
              </w:rPr>
              <w:fldChar w:fldCharType="begin"/>
            </w:r>
            <w:r w:rsidR="000B6A2E">
              <w:rPr>
                <w:noProof/>
                <w:webHidden/>
              </w:rPr>
              <w:instrText xml:space="preserve"> PAGEREF _Toc138341800 \h </w:instrText>
            </w:r>
            <w:r w:rsidR="000B6A2E">
              <w:rPr>
                <w:noProof/>
                <w:webHidden/>
              </w:rPr>
            </w:r>
            <w:r w:rsidR="000B6A2E">
              <w:rPr>
                <w:noProof/>
                <w:webHidden/>
              </w:rPr>
              <w:fldChar w:fldCharType="separate"/>
            </w:r>
            <w:r w:rsidR="009A2FAA">
              <w:rPr>
                <w:noProof/>
                <w:webHidden/>
              </w:rPr>
              <w:t>57</w:t>
            </w:r>
            <w:r w:rsidR="000B6A2E">
              <w:rPr>
                <w:noProof/>
                <w:webHidden/>
              </w:rPr>
              <w:fldChar w:fldCharType="end"/>
            </w:r>
          </w:hyperlink>
        </w:p>
        <w:p w14:paraId="037D47B5" w14:textId="6AD23116"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01" w:history="1">
            <w:r w:rsidR="000B6A2E" w:rsidRPr="00A7616D">
              <w:rPr>
                <w:rStyle w:val="Hyperlink"/>
                <w:rFonts w:ascii="Marianne" w:eastAsiaTheme="majorEastAsia" w:hAnsi="Marianne"/>
                <w:noProof/>
              </w:rPr>
              <w:t>E.5.</w:t>
            </w:r>
            <w:r w:rsidR="000B6A2E">
              <w:rPr>
                <w:rFonts w:eastAsiaTheme="minorEastAsia" w:cstheme="minorBidi"/>
                <w:i w:val="0"/>
                <w:iCs w:val="0"/>
                <w:noProof/>
                <w:szCs w:val="22"/>
                <w:lang w:val="fr-FR"/>
              </w:rPr>
              <w:tab/>
            </w:r>
            <w:r w:rsidR="000B6A2E" w:rsidRPr="00A7616D">
              <w:rPr>
                <w:rStyle w:val="Hyperlink"/>
                <w:rFonts w:eastAsiaTheme="majorEastAsia"/>
                <w:noProof/>
              </w:rPr>
              <w:t>The agricultural and forestry sectors</w:t>
            </w:r>
            <w:r w:rsidR="000B6A2E">
              <w:rPr>
                <w:noProof/>
                <w:webHidden/>
              </w:rPr>
              <w:tab/>
            </w:r>
            <w:r w:rsidR="000B6A2E">
              <w:rPr>
                <w:noProof/>
                <w:webHidden/>
              </w:rPr>
              <w:fldChar w:fldCharType="begin"/>
            </w:r>
            <w:r w:rsidR="000B6A2E">
              <w:rPr>
                <w:noProof/>
                <w:webHidden/>
              </w:rPr>
              <w:instrText xml:space="preserve"> PAGEREF _Toc138341801 \h </w:instrText>
            </w:r>
            <w:r w:rsidR="000B6A2E">
              <w:rPr>
                <w:noProof/>
                <w:webHidden/>
              </w:rPr>
            </w:r>
            <w:r w:rsidR="000B6A2E">
              <w:rPr>
                <w:noProof/>
                <w:webHidden/>
              </w:rPr>
              <w:fldChar w:fldCharType="separate"/>
            </w:r>
            <w:r w:rsidR="009A2FAA">
              <w:rPr>
                <w:noProof/>
                <w:webHidden/>
              </w:rPr>
              <w:t>59</w:t>
            </w:r>
            <w:r w:rsidR="000B6A2E">
              <w:rPr>
                <w:noProof/>
                <w:webHidden/>
              </w:rPr>
              <w:fldChar w:fldCharType="end"/>
            </w:r>
          </w:hyperlink>
        </w:p>
        <w:p w14:paraId="7834911D" w14:textId="760D7576"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02" w:history="1">
            <w:r w:rsidR="000B6A2E" w:rsidRPr="00A7616D">
              <w:rPr>
                <w:rStyle w:val="Hyperlink"/>
                <w:rFonts w:ascii="Marianne" w:eastAsiaTheme="majorEastAsia" w:hAnsi="Marianne"/>
                <w:noProof/>
              </w:rPr>
              <w:t>E.6.</w:t>
            </w:r>
            <w:r w:rsidR="000B6A2E">
              <w:rPr>
                <w:rFonts w:eastAsiaTheme="minorEastAsia" w:cstheme="minorBidi"/>
                <w:i w:val="0"/>
                <w:iCs w:val="0"/>
                <w:noProof/>
                <w:szCs w:val="22"/>
                <w:lang w:val="fr-FR"/>
              </w:rPr>
              <w:tab/>
            </w:r>
            <w:r w:rsidR="000B6A2E" w:rsidRPr="00A7616D">
              <w:rPr>
                <w:rStyle w:val="Hyperlink"/>
                <w:rFonts w:eastAsiaTheme="majorEastAsia"/>
                <w:noProof/>
              </w:rPr>
              <w:t>Waste</w:t>
            </w:r>
            <w:r w:rsidR="000B6A2E">
              <w:rPr>
                <w:noProof/>
                <w:webHidden/>
              </w:rPr>
              <w:tab/>
            </w:r>
            <w:r w:rsidR="000B6A2E">
              <w:rPr>
                <w:noProof/>
                <w:webHidden/>
              </w:rPr>
              <w:fldChar w:fldCharType="begin"/>
            </w:r>
            <w:r w:rsidR="000B6A2E">
              <w:rPr>
                <w:noProof/>
                <w:webHidden/>
              </w:rPr>
              <w:instrText xml:space="preserve"> PAGEREF _Toc138341802 \h </w:instrText>
            </w:r>
            <w:r w:rsidR="000B6A2E">
              <w:rPr>
                <w:noProof/>
                <w:webHidden/>
              </w:rPr>
            </w:r>
            <w:r w:rsidR="000B6A2E">
              <w:rPr>
                <w:noProof/>
                <w:webHidden/>
              </w:rPr>
              <w:fldChar w:fldCharType="separate"/>
            </w:r>
            <w:r w:rsidR="009A2FAA">
              <w:rPr>
                <w:noProof/>
                <w:webHidden/>
              </w:rPr>
              <w:t>65</w:t>
            </w:r>
            <w:r w:rsidR="000B6A2E">
              <w:rPr>
                <w:noProof/>
                <w:webHidden/>
              </w:rPr>
              <w:fldChar w:fldCharType="end"/>
            </w:r>
          </w:hyperlink>
        </w:p>
        <w:p w14:paraId="13B005BE" w14:textId="6DAB19A9" w:rsidR="000B6A2E" w:rsidRDefault="003714FB">
          <w:pPr>
            <w:pStyle w:val="TOC1"/>
            <w:rPr>
              <w:rFonts w:eastAsiaTheme="minorEastAsia" w:cstheme="minorBidi"/>
              <w:b w:val="0"/>
              <w:bCs w:val="0"/>
              <w:caps w:val="0"/>
              <w:noProof/>
              <w:szCs w:val="22"/>
              <w:lang w:val="fr-FR"/>
            </w:rPr>
          </w:pPr>
          <w:hyperlink w:anchor="_Toc138341803" w:history="1">
            <w:r w:rsidR="000B6A2E" w:rsidRPr="00A7616D">
              <w:rPr>
                <w:rStyle w:val="Hyperlink"/>
                <w:rFonts w:eastAsiaTheme="majorEastAsia"/>
                <w:noProof/>
              </w:rPr>
              <w:t>Chapter III - Information regarding the greenhouse gas inventory</w:t>
            </w:r>
            <w:r w:rsidR="000B6A2E">
              <w:rPr>
                <w:noProof/>
                <w:webHidden/>
              </w:rPr>
              <w:tab/>
            </w:r>
            <w:r w:rsidR="000B6A2E">
              <w:rPr>
                <w:noProof/>
                <w:webHidden/>
              </w:rPr>
              <w:fldChar w:fldCharType="begin"/>
            </w:r>
            <w:r w:rsidR="000B6A2E">
              <w:rPr>
                <w:noProof/>
                <w:webHidden/>
              </w:rPr>
              <w:instrText xml:space="preserve"> PAGEREF _Toc138341803 \h </w:instrText>
            </w:r>
            <w:r w:rsidR="000B6A2E">
              <w:rPr>
                <w:noProof/>
                <w:webHidden/>
              </w:rPr>
            </w:r>
            <w:r w:rsidR="000B6A2E">
              <w:rPr>
                <w:noProof/>
                <w:webHidden/>
              </w:rPr>
              <w:fldChar w:fldCharType="separate"/>
            </w:r>
            <w:r w:rsidR="009A2FAA">
              <w:rPr>
                <w:noProof/>
                <w:webHidden/>
              </w:rPr>
              <w:t>67</w:t>
            </w:r>
            <w:r w:rsidR="000B6A2E">
              <w:rPr>
                <w:noProof/>
                <w:webHidden/>
              </w:rPr>
              <w:fldChar w:fldCharType="end"/>
            </w:r>
          </w:hyperlink>
        </w:p>
        <w:p w14:paraId="62D8F568" w14:textId="3AC9175E"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04" w:history="1">
            <w:r w:rsidR="000B6A2E" w:rsidRPr="00A7616D">
              <w:rPr>
                <w:rStyle w:val="Hyperlink"/>
                <w:rFonts w:eastAsiaTheme="majorEastAsia"/>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Summary tables</w:t>
            </w:r>
            <w:r w:rsidR="000B6A2E">
              <w:rPr>
                <w:noProof/>
                <w:webHidden/>
              </w:rPr>
              <w:tab/>
            </w:r>
            <w:r w:rsidR="000B6A2E">
              <w:rPr>
                <w:noProof/>
                <w:webHidden/>
              </w:rPr>
              <w:fldChar w:fldCharType="begin"/>
            </w:r>
            <w:r w:rsidR="000B6A2E">
              <w:rPr>
                <w:noProof/>
                <w:webHidden/>
              </w:rPr>
              <w:instrText xml:space="preserve"> PAGEREF _Toc138341804 \h </w:instrText>
            </w:r>
            <w:r w:rsidR="000B6A2E">
              <w:rPr>
                <w:noProof/>
                <w:webHidden/>
              </w:rPr>
            </w:r>
            <w:r w:rsidR="000B6A2E">
              <w:rPr>
                <w:noProof/>
                <w:webHidden/>
              </w:rPr>
              <w:fldChar w:fldCharType="separate"/>
            </w:r>
            <w:r w:rsidR="009A2FAA">
              <w:rPr>
                <w:noProof/>
                <w:webHidden/>
              </w:rPr>
              <w:t>67</w:t>
            </w:r>
            <w:r w:rsidR="000B6A2E">
              <w:rPr>
                <w:noProof/>
                <w:webHidden/>
              </w:rPr>
              <w:fldChar w:fldCharType="end"/>
            </w:r>
          </w:hyperlink>
        </w:p>
        <w:p w14:paraId="384B7724" w14:textId="37655F56"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05"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Descriptive summary of France's greenhouse gas emissions inventory</w:t>
            </w:r>
            <w:r w:rsidR="000B6A2E">
              <w:rPr>
                <w:noProof/>
                <w:webHidden/>
              </w:rPr>
              <w:tab/>
            </w:r>
            <w:r w:rsidR="000B6A2E">
              <w:rPr>
                <w:noProof/>
                <w:webHidden/>
              </w:rPr>
              <w:fldChar w:fldCharType="begin"/>
            </w:r>
            <w:r w:rsidR="000B6A2E">
              <w:rPr>
                <w:noProof/>
                <w:webHidden/>
              </w:rPr>
              <w:instrText xml:space="preserve"> PAGEREF _Toc138341805 \h </w:instrText>
            </w:r>
            <w:r w:rsidR="000B6A2E">
              <w:rPr>
                <w:noProof/>
                <w:webHidden/>
              </w:rPr>
            </w:r>
            <w:r w:rsidR="000B6A2E">
              <w:rPr>
                <w:noProof/>
                <w:webHidden/>
              </w:rPr>
              <w:fldChar w:fldCharType="separate"/>
            </w:r>
            <w:r w:rsidR="009A2FAA">
              <w:rPr>
                <w:noProof/>
                <w:webHidden/>
              </w:rPr>
              <w:t>72</w:t>
            </w:r>
            <w:r w:rsidR="000B6A2E">
              <w:rPr>
                <w:noProof/>
                <w:webHidden/>
              </w:rPr>
              <w:fldChar w:fldCharType="end"/>
            </w:r>
          </w:hyperlink>
        </w:p>
        <w:p w14:paraId="42266A2F" w14:textId="7C57959E"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06" w:history="1">
            <w:r w:rsidR="000B6A2E" w:rsidRPr="00A7616D">
              <w:rPr>
                <w:rStyle w:val="Hyperlink"/>
                <w:rFonts w:ascii="Marianne" w:eastAsiaTheme="majorEastAsia" w:hAnsi="Marianne"/>
                <w:noProof/>
              </w:rPr>
              <w:t>B.1.</w:t>
            </w:r>
            <w:r w:rsidR="000B6A2E">
              <w:rPr>
                <w:rFonts w:eastAsiaTheme="minorEastAsia" w:cstheme="minorBidi"/>
                <w:i w:val="0"/>
                <w:iCs w:val="0"/>
                <w:noProof/>
                <w:szCs w:val="22"/>
                <w:lang w:val="fr-FR"/>
              </w:rPr>
              <w:tab/>
            </w:r>
            <w:r w:rsidR="000B6A2E" w:rsidRPr="00A7616D">
              <w:rPr>
                <w:rStyle w:val="Hyperlink"/>
                <w:rFonts w:eastAsiaTheme="majorEastAsia"/>
                <w:noProof/>
              </w:rPr>
              <w:t>Breakdown of carbon dioxide emissions by sector (CO</w:t>
            </w:r>
            <w:r w:rsidR="000B6A2E" w:rsidRPr="00A7616D">
              <w:rPr>
                <w:rStyle w:val="Hyperlink"/>
                <w:rFonts w:eastAsiaTheme="majorEastAsia"/>
                <w:noProof/>
                <w:vertAlign w:val="subscript"/>
              </w:rPr>
              <w:t>2</w:t>
            </w:r>
            <w:r w:rsidR="000B6A2E" w:rsidRPr="00A7616D">
              <w:rPr>
                <w:rStyle w:val="Hyperlink"/>
                <w:rFonts w:eastAsiaTheme="majorEastAsia"/>
                <w:noProof/>
              </w:rPr>
              <w:t>)</w:t>
            </w:r>
            <w:r w:rsidR="000B6A2E">
              <w:rPr>
                <w:noProof/>
                <w:webHidden/>
              </w:rPr>
              <w:tab/>
            </w:r>
            <w:r w:rsidR="000B6A2E">
              <w:rPr>
                <w:noProof/>
                <w:webHidden/>
              </w:rPr>
              <w:fldChar w:fldCharType="begin"/>
            </w:r>
            <w:r w:rsidR="000B6A2E">
              <w:rPr>
                <w:noProof/>
                <w:webHidden/>
              </w:rPr>
              <w:instrText xml:space="preserve"> PAGEREF _Toc138341806 \h </w:instrText>
            </w:r>
            <w:r w:rsidR="000B6A2E">
              <w:rPr>
                <w:noProof/>
                <w:webHidden/>
              </w:rPr>
            </w:r>
            <w:r w:rsidR="000B6A2E">
              <w:rPr>
                <w:noProof/>
                <w:webHidden/>
              </w:rPr>
              <w:fldChar w:fldCharType="separate"/>
            </w:r>
            <w:r w:rsidR="009A2FAA">
              <w:rPr>
                <w:noProof/>
                <w:webHidden/>
              </w:rPr>
              <w:t>73</w:t>
            </w:r>
            <w:r w:rsidR="000B6A2E">
              <w:rPr>
                <w:noProof/>
                <w:webHidden/>
              </w:rPr>
              <w:fldChar w:fldCharType="end"/>
            </w:r>
          </w:hyperlink>
        </w:p>
        <w:p w14:paraId="56C45933" w14:textId="5B90F6CB"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07" w:history="1">
            <w:r w:rsidR="000B6A2E" w:rsidRPr="00A7616D">
              <w:rPr>
                <w:rStyle w:val="Hyperlink"/>
                <w:rFonts w:ascii="Marianne" w:eastAsiaTheme="majorEastAsia" w:hAnsi="Marianne"/>
                <w:noProof/>
              </w:rPr>
              <w:t>B.2.</w:t>
            </w:r>
            <w:r w:rsidR="000B6A2E">
              <w:rPr>
                <w:rFonts w:eastAsiaTheme="minorEastAsia" w:cstheme="minorBidi"/>
                <w:i w:val="0"/>
                <w:iCs w:val="0"/>
                <w:noProof/>
                <w:szCs w:val="22"/>
                <w:lang w:val="fr-FR"/>
              </w:rPr>
              <w:tab/>
            </w:r>
            <w:r w:rsidR="000B6A2E" w:rsidRPr="00A7616D">
              <w:rPr>
                <w:rStyle w:val="Hyperlink"/>
                <w:rFonts w:eastAsiaTheme="majorEastAsia"/>
                <w:noProof/>
              </w:rPr>
              <w:t>Breakdown of methane emissions by sector (CH</w:t>
            </w:r>
            <w:r w:rsidR="000B6A2E" w:rsidRPr="00A7616D">
              <w:rPr>
                <w:rStyle w:val="Hyperlink"/>
                <w:rFonts w:eastAsiaTheme="majorEastAsia"/>
                <w:noProof/>
                <w:vertAlign w:val="subscript"/>
              </w:rPr>
              <w:t>4</w:t>
            </w:r>
            <w:r w:rsidR="000B6A2E" w:rsidRPr="00A7616D">
              <w:rPr>
                <w:rStyle w:val="Hyperlink"/>
                <w:rFonts w:eastAsiaTheme="majorEastAsia"/>
                <w:noProof/>
              </w:rPr>
              <w:t>)</w:t>
            </w:r>
            <w:r w:rsidR="000B6A2E">
              <w:rPr>
                <w:noProof/>
                <w:webHidden/>
              </w:rPr>
              <w:tab/>
            </w:r>
            <w:r w:rsidR="000B6A2E">
              <w:rPr>
                <w:noProof/>
                <w:webHidden/>
              </w:rPr>
              <w:fldChar w:fldCharType="begin"/>
            </w:r>
            <w:r w:rsidR="000B6A2E">
              <w:rPr>
                <w:noProof/>
                <w:webHidden/>
              </w:rPr>
              <w:instrText xml:space="preserve"> PAGEREF _Toc138341807 \h </w:instrText>
            </w:r>
            <w:r w:rsidR="000B6A2E">
              <w:rPr>
                <w:noProof/>
                <w:webHidden/>
              </w:rPr>
            </w:r>
            <w:r w:rsidR="000B6A2E">
              <w:rPr>
                <w:noProof/>
                <w:webHidden/>
              </w:rPr>
              <w:fldChar w:fldCharType="separate"/>
            </w:r>
            <w:r w:rsidR="009A2FAA">
              <w:rPr>
                <w:noProof/>
                <w:webHidden/>
              </w:rPr>
              <w:t>74</w:t>
            </w:r>
            <w:r w:rsidR="000B6A2E">
              <w:rPr>
                <w:noProof/>
                <w:webHidden/>
              </w:rPr>
              <w:fldChar w:fldCharType="end"/>
            </w:r>
          </w:hyperlink>
        </w:p>
        <w:p w14:paraId="459EE859" w14:textId="5F25EE02"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08" w:history="1">
            <w:r w:rsidR="000B6A2E" w:rsidRPr="00A7616D">
              <w:rPr>
                <w:rStyle w:val="Hyperlink"/>
                <w:rFonts w:ascii="Marianne" w:eastAsiaTheme="majorEastAsia" w:hAnsi="Marianne"/>
                <w:noProof/>
              </w:rPr>
              <w:t>B.3.</w:t>
            </w:r>
            <w:r w:rsidR="000B6A2E">
              <w:rPr>
                <w:rFonts w:eastAsiaTheme="minorEastAsia" w:cstheme="minorBidi"/>
                <w:i w:val="0"/>
                <w:iCs w:val="0"/>
                <w:noProof/>
                <w:szCs w:val="22"/>
                <w:lang w:val="fr-FR"/>
              </w:rPr>
              <w:tab/>
            </w:r>
            <w:r w:rsidR="000B6A2E" w:rsidRPr="00A7616D">
              <w:rPr>
                <w:rStyle w:val="Hyperlink"/>
                <w:rFonts w:eastAsiaTheme="majorEastAsia"/>
                <w:noProof/>
              </w:rPr>
              <w:t xml:space="preserve">Breakdown of nitrous oxide emissions by sector (N </w:t>
            </w:r>
            <w:r w:rsidR="000B6A2E" w:rsidRPr="00A7616D">
              <w:rPr>
                <w:rStyle w:val="Hyperlink"/>
                <w:rFonts w:eastAsiaTheme="majorEastAsia"/>
                <w:noProof/>
                <w:vertAlign w:val="subscript"/>
              </w:rPr>
              <w:t>2</w:t>
            </w:r>
            <w:r w:rsidR="000B6A2E" w:rsidRPr="00A7616D">
              <w:rPr>
                <w:rStyle w:val="Hyperlink"/>
                <w:rFonts w:eastAsiaTheme="majorEastAsia"/>
                <w:noProof/>
              </w:rPr>
              <w:t xml:space="preserve"> O)</w:t>
            </w:r>
            <w:r w:rsidR="000B6A2E">
              <w:rPr>
                <w:noProof/>
                <w:webHidden/>
              </w:rPr>
              <w:tab/>
            </w:r>
            <w:r w:rsidR="000B6A2E">
              <w:rPr>
                <w:noProof/>
                <w:webHidden/>
              </w:rPr>
              <w:fldChar w:fldCharType="begin"/>
            </w:r>
            <w:r w:rsidR="000B6A2E">
              <w:rPr>
                <w:noProof/>
                <w:webHidden/>
              </w:rPr>
              <w:instrText xml:space="preserve"> PAGEREF _Toc138341808 \h </w:instrText>
            </w:r>
            <w:r w:rsidR="000B6A2E">
              <w:rPr>
                <w:noProof/>
                <w:webHidden/>
              </w:rPr>
            </w:r>
            <w:r w:rsidR="000B6A2E">
              <w:rPr>
                <w:noProof/>
                <w:webHidden/>
              </w:rPr>
              <w:fldChar w:fldCharType="separate"/>
            </w:r>
            <w:r w:rsidR="009A2FAA">
              <w:rPr>
                <w:noProof/>
                <w:webHidden/>
              </w:rPr>
              <w:t>75</w:t>
            </w:r>
            <w:r w:rsidR="000B6A2E">
              <w:rPr>
                <w:noProof/>
                <w:webHidden/>
              </w:rPr>
              <w:fldChar w:fldCharType="end"/>
            </w:r>
          </w:hyperlink>
        </w:p>
        <w:p w14:paraId="7C446A9B" w14:textId="2EDC60DE"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09" w:history="1">
            <w:r w:rsidR="000B6A2E" w:rsidRPr="00A7616D">
              <w:rPr>
                <w:rStyle w:val="Hyperlink"/>
                <w:rFonts w:ascii="Marianne" w:eastAsiaTheme="majorEastAsia" w:hAnsi="Marianne"/>
                <w:noProof/>
              </w:rPr>
              <w:t>B.4.</w:t>
            </w:r>
            <w:r w:rsidR="000B6A2E">
              <w:rPr>
                <w:rFonts w:eastAsiaTheme="minorEastAsia" w:cstheme="minorBidi"/>
                <w:i w:val="0"/>
                <w:iCs w:val="0"/>
                <w:noProof/>
                <w:szCs w:val="22"/>
                <w:lang w:val="fr-FR"/>
              </w:rPr>
              <w:tab/>
            </w:r>
            <w:r w:rsidR="000B6A2E" w:rsidRPr="00A7616D">
              <w:rPr>
                <w:rStyle w:val="Hyperlink"/>
                <w:rFonts w:eastAsiaTheme="majorEastAsia"/>
                <w:noProof/>
              </w:rPr>
              <w:t>Breakdown of emissions by sector: fluorinated gases (PFC, HFC, SF</w:t>
            </w:r>
            <w:r w:rsidR="000B6A2E" w:rsidRPr="00A7616D">
              <w:rPr>
                <w:rStyle w:val="Hyperlink"/>
                <w:rFonts w:eastAsiaTheme="majorEastAsia"/>
                <w:noProof/>
                <w:vertAlign w:val="subscript"/>
              </w:rPr>
              <w:t>6</w:t>
            </w:r>
            <w:r w:rsidR="000B6A2E" w:rsidRPr="00A7616D">
              <w:rPr>
                <w:rStyle w:val="Hyperlink"/>
                <w:rFonts w:eastAsiaTheme="majorEastAsia"/>
                <w:noProof/>
              </w:rPr>
              <w:t>, NF</w:t>
            </w:r>
            <w:r w:rsidR="000B6A2E" w:rsidRPr="00A7616D">
              <w:rPr>
                <w:rStyle w:val="Hyperlink"/>
                <w:rFonts w:eastAsiaTheme="majorEastAsia"/>
                <w:noProof/>
                <w:vertAlign w:val="subscript"/>
              </w:rPr>
              <w:t>3</w:t>
            </w:r>
            <w:r w:rsidR="000B6A2E" w:rsidRPr="00A7616D">
              <w:rPr>
                <w:rStyle w:val="Hyperlink"/>
                <w:rFonts w:eastAsiaTheme="majorEastAsia"/>
                <w:noProof/>
              </w:rPr>
              <w:t>)</w:t>
            </w:r>
            <w:r w:rsidR="000B6A2E">
              <w:rPr>
                <w:noProof/>
                <w:webHidden/>
              </w:rPr>
              <w:tab/>
            </w:r>
            <w:r w:rsidR="000B6A2E">
              <w:rPr>
                <w:noProof/>
                <w:webHidden/>
              </w:rPr>
              <w:fldChar w:fldCharType="begin"/>
            </w:r>
            <w:r w:rsidR="000B6A2E">
              <w:rPr>
                <w:noProof/>
                <w:webHidden/>
              </w:rPr>
              <w:instrText xml:space="preserve"> PAGEREF _Toc138341809 \h </w:instrText>
            </w:r>
            <w:r w:rsidR="000B6A2E">
              <w:rPr>
                <w:noProof/>
                <w:webHidden/>
              </w:rPr>
            </w:r>
            <w:r w:rsidR="000B6A2E">
              <w:rPr>
                <w:noProof/>
                <w:webHidden/>
              </w:rPr>
              <w:fldChar w:fldCharType="separate"/>
            </w:r>
            <w:r w:rsidR="009A2FAA">
              <w:rPr>
                <w:noProof/>
                <w:webHidden/>
              </w:rPr>
              <w:t>75</w:t>
            </w:r>
            <w:r w:rsidR="000B6A2E">
              <w:rPr>
                <w:noProof/>
                <w:webHidden/>
              </w:rPr>
              <w:fldChar w:fldCharType="end"/>
            </w:r>
          </w:hyperlink>
        </w:p>
        <w:p w14:paraId="67BAB910" w14:textId="70AEF96B"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10" w:history="1">
            <w:r w:rsidR="000B6A2E" w:rsidRPr="00A7616D">
              <w:rPr>
                <w:rStyle w:val="Hyperlink"/>
                <w:rFonts w:ascii="Marianne" w:eastAsiaTheme="majorEastAsia" w:hAnsi="Marianne"/>
                <w:noProof/>
              </w:rPr>
              <w:t>B.5.</w:t>
            </w:r>
            <w:r w:rsidR="000B6A2E">
              <w:rPr>
                <w:rFonts w:eastAsiaTheme="minorEastAsia" w:cstheme="minorBidi"/>
                <w:i w:val="0"/>
                <w:iCs w:val="0"/>
                <w:noProof/>
                <w:szCs w:val="22"/>
                <w:lang w:val="fr-FR"/>
              </w:rPr>
              <w:tab/>
            </w:r>
            <w:r w:rsidR="000B6A2E" w:rsidRPr="00A7616D">
              <w:rPr>
                <w:rStyle w:val="Hyperlink"/>
                <w:rFonts w:eastAsiaTheme="majorEastAsia"/>
                <w:noProof/>
              </w:rPr>
              <w:t>Analysis of total greenhouse gas emissions by sector of activity</w:t>
            </w:r>
            <w:r w:rsidR="000B6A2E">
              <w:rPr>
                <w:noProof/>
                <w:webHidden/>
              </w:rPr>
              <w:tab/>
            </w:r>
            <w:r w:rsidR="000B6A2E">
              <w:rPr>
                <w:noProof/>
                <w:webHidden/>
              </w:rPr>
              <w:fldChar w:fldCharType="begin"/>
            </w:r>
            <w:r w:rsidR="000B6A2E">
              <w:rPr>
                <w:noProof/>
                <w:webHidden/>
              </w:rPr>
              <w:instrText xml:space="preserve"> PAGEREF _Toc138341810 \h </w:instrText>
            </w:r>
            <w:r w:rsidR="000B6A2E">
              <w:rPr>
                <w:noProof/>
                <w:webHidden/>
              </w:rPr>
            </w:r>
            <w:r w:rsidR="000B6A2E">
              <w:rPr>
                <w:noProof/>
                <w:webHidden/>
              </w:rPr>
              <w:fldChar w:fldCharType="separate"/>
            </w:r>
            <w:r w:rsidR="009A2FAA">
              <w:rPr>
                <w:noProof/>
                <w:webHidden/>
              </w:rPr>
              <w:t>76</w:t>
            </w:r>
            <w:r w:rsidR="000B6A2E">
              <w:rPr>
                <w:noProof/>
                <w:webHidden/>
              </w:rPr>
              <w:fldChar w:fldCharType="end"/>
            </w:r>
          </w:hyperlink>
        </w:p>
        <w:p w14:paraId="015A854A" w14:textId="2DDB821C"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11" w:history="1">
            <w:r w:rsidR="000B6A2E" w:rsidRPr="00A7616D">
              <w:rPr>
                <w:rStyle w:val="Hyperlink"/>
                <w:rFonts w:eastAsiaTheme="majorEastAsia"/>
                <w:noProof/>
              </w:rPr>
              <w:t>C.</w:t>
            </w:r>
            <w:r w:rsidR="000B6A2E">
              <w:rPr>
                <w:rFonts w:eastAsiaTheme="minorEastAsia" w:cstheme="minorBidi"/>
                <w:smallCaps w:val="0"/>
                <w:noProof/>
                <w:szCs w:val="22"/>
                <w:lang w:val="fr-FR"/>
              </w:rPr>
              <w:tab/>
            </w:r>
            <w:r w:rsidR="000B6A2E" w:rsidRPr="00A7616D">
              <w:rPr>
                <w:rStyle w:val="Hyperlink"/>
                <w:rFonts w:eastAsiaTheme="majorEastAsia"/>
                <w:noProof/>
              </w:rPr>
              <w:t>National inventory system (Article 5.1 of the Kyoto Protocol)</w:t>
            </w:r>
            <w:r w:rsidR="000B6A2E">
              <w:rPr>
                <w:noProof/>
                <w:webHidden/>
              </w:rPr>
              <w:tab/>
            </w:r>
            <w:r w:rsidR="000B6A2E">
              <w:rPr>
                <w:noProof/>
                <w:webHidden/>
              </w:rPr>
              <w:fldChar w:fldCharType="begin"/>
            </w:r>
            <w:r w:rsidR="000B6A2E">
              <w:rPr>
                <w:noProof/>
                <w:webHidden/>
              </w:rPr>
              <w:instrText xml:space="preserve"> PAGEREF _Toc138341811 \h </w:instrText>
            </w:r>
            <w:r w:rsidR="000B6A2E">
              <w:rPr>
                <w:noProof/>
                <w:webHidden/>
              </w:rPr>
            </w:r>
            <w:r w:rsidR="000B6A2E">
              <w:rPr>
                <w:noProof/>
                <w:webHidden/>
              </w:rPr>
              <w:fldChar w:fldCharType="separate"/>
            </w:r>
            <w:r w:rsidR="009A2FAA">
              <w:rPr>
                <w:noProof/>
                <w:webHidden/>
              </w:rPr>
              <w:t>84</w:t>
            </w:r>
            <w:r w:rsidR="000B6A2E">
              <w:rPr>
                <w:noProof/>
                <w:webHidden/>
              </w:rPr>
              <w:fldChar w:fldCharType="end"/>
            </w:r>
          </w:hyperlink>
        </w:p>
        <w:p w14:paraId="08B81FA2" w14:textId="015A8C51"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12" w:history="1">
            <w:r w:rsidR="000B6A2E" w:rsidRPr="00A7616D">
              <w:rPr>
                <w:rStyle w:val="Hyperlink"/>
                <w:rFonts w:ascii="Marianne" w:eastAsiaTheme="majorEastAsia" w:hAnsi="Marianne"/>
                <w:noProof/>
              </w:rPr>
              <w:t>C.1.</w:t>
            </w:r>
            <w:r w:rsidR="000B6A2E">
              <w:rPr>
                <w:rFonts w:eastAsiaTheme="minorEastAsia" w:cstheme="minorBidi"/>
                <w:i w:val="0"/>
                <w:iCs w:val="0"/>
                <w:noProof/>
                <w:szCs w:val="22"/>
                <w:lang w:val="fr-FR"/>
              </w:rPr>
              <w:tab/>
            </w:r>
            <w:r w:rsidR="000B6A2E" w:rsidRPr="00A7616D">
              <w:rPr>
                <w:rStyle w:val="Hyperlink"/>
                <w:rFonts w:eastAsiaTheme="majorEastAsia"/>
                <w:noProof/>
              </w:rPr>
              <w:t>Name and contact details of the Party's designated national inventory system manager</w:t>
            </w:r>
            <w:r w:rsidR="000B6A2E">
              <w:rPr>
                <w:noProof/>
                <w:webHidden/>
              </w:rPr>
              <w:tab/>
            </w:r>
            <w:r w:rsidR="000B6A2E">
              <w:rPr>
                <w:noProof/>
                <w:webHidden/>
              </w:rPr>
              <w:fldChar w:fldCharType="begin"/>
            </w:r>
            <w:r w:rsidR="000B6A2E">
              <w:rPr>
                <w:noProof/>
                <w:webHidden/>
              </w:rPr>
              <w:instrText xml:space="preserve"> PAGEREF _Toc138341812 \h </w:instrText>
            </w:r>
            <w:r w:rsidR="000B6A2E">
              <w:rPr>
                <w:noProof/>
                <w:webHidden/>
              </w:rPr>
            </w:r>
            <w:r w:rsidR="000B6A2E">
              <w:rPr>
                <w:noProof/>
                <w:webHidden/>
              </w:rPr>
              <w:fldChar w:fldCharType="separate"/>
            </w:r>
            <w:r w:rsidR="009A2FAA">
              <w:rPr>
                <w:noProof/>
                <w:webHidden/>
              </w:rPr>
              <w:t>84</w:t>
            </w:r>
            <w:r w:rsidR="000B6A2E">
              <w:rPr>
                <w:noProof/>
                <w:webHidden/>
              </w:rPr>
              <w:fldChar w:fldCharType="end"/>
            </w:r>
          </w:hyperlink>
        </w:p>
        <w:p w14:paraId="1AA242BA" w14:textId="7F39876D"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13" w:history="1">
            <w:r w:rsidR="000B6A2E" w:rsidRPr="00A7616D">
              <w:rPr>
                <w:rStyle w:val="Hyperlink"/>
                <w:rFonts w:ascii="Marianne" w:eastAsiaTheme="majorEastAsia" w:hAnsi="Marianne"/>
                <w:noProof/>
              </w:rPr>
              <w:t>C.2.</w:t>
            </w:r>
            <w:r w:rsidR="000B6A2E">
              <w:rPr>
                <w:rFonts w:eastAsiaTheme="minorEastAsia" w:cstheme="minorBidi"/>
                <w:i w:val="0"/>
                <w:iCs w:val="0"/>
                <w:noProof/>
                <w:szCs w:val="22"/>
                <w:lang w:val="fr-FR"/>
              </w:rPr>
              <w:tab/>
            </w:r>
            <w:r w:rsidR="000B6A2E" w:rsidRPr="00A7616D">
              <w:rPr>
                <w:rStyle w:val="Hyperlink"/>
                <w:rFonts w:eastAsiaTheme="majorEastAsia"/>
                <w:noProof/>
              </w:rPr>
              <w:t>Distribution of roles and responsibilities within the national system</w:t>
            </w:r>
            <w:r w:rsidR="000B6A2E">
              <w:rPr>
                <w:noProof/>
                <w:webHidden/>
              </w:rPr>
              <w:tab/>
            </w:r>
            <w:r w:rsidR="000B6A2E">
              <w:rPr>
                <w:noProof/>
                <w:webHidden/>
              </w:rPr>
              <w:fldChar w:fldCharType="begin"/>
            </w:r>
            <w:r w:rsidR="000B6A2E">
              <w:rPr>
                <w:noProof/>
                <w:webHidden/>
              </w:rPr>
              <w:instrText xml:space="preserve"> PAGEREF _Toc138341813 \h </w:instrText>
            </w:r>
            <w:r w:rsidR="000B6A2E">
              <w:rPr>
                <w:noProof/>
                <w:webHidden/>
              </w:rPr>
            </w:r>
            <w:r w:rsidR="000B6A2E">
              <w:rPr>
                <w:noProof/>
                <w:webHidden/>
              </w:rPr>
              <w:fldChar w:fldCharType="separate"/>
            </w:r>
            <w:r w:rsidR="009A2FAA">
              <w:rPr>
                <w:noProof/>
                <w:webHidden/>
              </w:rPr>
              <w:t>84</w:t>
            </w:r>
            <w:r w:rsidR="000B6A2E">
              <w:rPr>
                <w:noProof/>
                <w:webHidden/>
              </w:rPr>
              <w:fldChar w:fldCharType="end"/>
            </w:r>
          </w:hyperlink>
        </w:p>
        <w:p w14:paraId="5DE69360" w14:textId="6406E89A"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14" w:history="1">
            <w:r w:rsidR="000B6A2E" w:rsidRPr="00A7616D">
              <w:rPr>
                <w:rStyle w:val="Hyperlink"/>
                <w:rFonts w:ascii="Marianne" w:eastAsiaTheme="majorEastAsia" w:hAnsi="Marianne"/>
                <w:noProof/>
              </w:rPr>
              <w:t>C.3.</w:t>
            </w:r>
            <w:r w:rsidR="000B6A2E">
              <w:rPr>
                <w:rFonts w:eastAsiaTheme="minorEastAsia" w:cstheme="minorBidi"/>
                <w:i w:val="0"/>
                <w:iCs w:val="0"/>
                <w:noProof/>
                <w:szCs w:val="22"/>
                <w:lang w:val="fr-FR"/>
              </w:rPr>
              <w:tab/>
            </w:r>
            <w:r w:rsidR="000B6A2E" w:rsidRPr="00A7616D">
              <w:rPr>
                <w:rStyle w:val="Hyperlink"/>
                <w:rFonts w:eastAsiaTheme="majorEastAsia"/>
                <w:noProof/>
              </w:rPr>
              <w:t>Collection process, choice of emission factors and emission calculations</w:t>
            </w:r>
            <w:r w:rsidR="000B6A2E">
              <w:rPr>
                <w:noProof/>
                <w:webHidden/>
              </w:rPr>
              <w:tab/>
            </w:r>
            <w:r w:rsidR="000B6A2E">
              <w:rPr>
                <w:noProof/>
                <w:webHidden/>
              </w:rPr>
              <w:fldChar w:fldCharType="begin"/>
            </w:r>
            <w:r w:rsidR="000B6A2E">
              <w:rPr>
                <w:noProof/>
                <w:webHidden/>
              </w:rPr>
              <w:instrText xml:space="preserve"> PAGEREF _Toc138341814 \h </w:instrText>
            </w:r>
            <w:r w:rsidR="000B6A2E">
              <w:rPr>
                <w:noProof/>
                <w:webHidden/>
              </w:rPr>
            </w:r>
            <w:r w:rsidR="000B6A2E">
              <w:rPr>
                <w:noProof/>
                <w:webHidden/>
              </w:rPr>
              <w:fldChar w:fldCharType="separate"/>
            </w:r>
            <w:r w:rsidR="009A2FAA">
              <w:rPr>
                <w:noProof/>
                <w:webHidden/>
              </w:rPr>
              <w:t>88</w:t>
            </w:r>
            <w:r w:rsidR="000B6A2E">
              <w:rPr>
                <w:noProof/>
                <w:webHidden/>
              </w:rPr>
              <w:fldChar w:fldCharType="end"/>
            </w:r>
          </w:hyperlink>
        </w:p>
        <w:p w14:paraId="71B0BC1A" w14:textId="076D8DF2"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15" w:history="1">
            <w:r w:rsidR="000B6A2E" w:rsidRPr="00A7616D">
              <w:rPr>
                <w:rStyle w:val="Hyperlink"/>
                <w:rFonts w:ascii="Marianne" w:eastAsiaTheme="majorEastAsia" w:hAnsi="Marianne"/>
                <w:noProof/>
              </w:rPr>
              <w:t>C.4.</w:t>
            </w:r>
            <w:r w:rsidR="000B6A2E">
              <w:rPr>
                <w:rFonts w:eastAsiaTheme="minorEastAsia" w:cstheme="minorBidi"/>
                <w:i w:val="0"/>
                <w:iCs w:val="0"/>
                <w:noProof/>
                <w:szCs w:val="22"/>
                <w:lang w:val="fr-FR"/>
              </w:rPr>
              <w:tab/>
            </w:r>
            <w:r w:rsidR="000B6A2E" w:rsidRPr="00A7616D">
              <w:rPr>
                <w:rStyle w:val="Hyperlink"/>
                <w:rFonts w:eastAsiaTheme="majorEastAsia"/>
                <w:noProof/>
              </w:rPr>
              <w:t>Results of the analysis of key categories (see also NIR 2022 France for more details)</w:t>
            </w:r>
            <w:r w:rsidR="000B6A2E">
              <w:rPr>
                <w:noProof/>
                <w:webHidden/>
              </w:rPr>
              <w:tab/>
            </w:r>
            <w:r w:rsidR="000B6A2E">
              <w:rPr>
                <w:noProof/>
                <w:webHidden/>
              </w:rPr>
              <w:fldChar w:fldCharType="begin"/>
            </w:r>
            <w:r w:rsidR="000B6A2E">
              <w:rPr>
                <w:noProof/>
                <w:webHidden/>
              </w:rPr>
              <w:instrText xml:space="preserve"> PAGEREF _Toc138341815 \h </w:instrText>
            </w:r>
            <w:r w:rsidR="000B6A2E">
              <w:rPr>
                <w:noProof/>
                <w:webHidden/>
              </w:rPr>
            </w:r>
            <w:r w:rsidR="000B6A2E">
              <w:rPr>
                <w:noProof/>
                <w:webHidden/>
              </w:rPr>
              <w:fldChar w:fldCharType="separate"/>
            </w:r>
            <w:r w:rsidR="009A2FAA">
              <w:rPr>
                <w:noProof/>
                <w:webHidden/>
              </w:rPr>
              <w:t>89</w:t>
            </w:r>
            <w:r w:rsidR="000B6A2E">
              <w:rPr>
                <w:noProof/>
                <w:webHidden/>
              </w:rPr>
              <w:fldChar w:fldCharType="end"/>
            </w:r>
          </w:hyperlink>
        </w:p>
        <w:p w14:paraId="242D1B19" w14:textId="28F44647"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16" w:history="1">
            <w:r w:rsidR="000B6A2E" w:rsidRPr="00A7616D">
              <w:rPr>
                <w:rStyle w:val="Hyperlink"/>
                <w:rFonts w:ascii="Marianne" w:eastAsiaTheme="majorEastAsia" w:hAnsi="Marianne"/>
                <w:noProof/>
              </w:rPr>
              <w:t>C.5.</w:t>
            </w:r>
            <w:r w:rsidR="000B6A2E">
              <w:rPr>
                <w:rFonts w:eastAsiaTheme="minorEastAsia" w:cstheme="minorBidi"/>
                <w:i w:val="0"/>
                <w:iCs w:val="0"/>
                <w:noProof/>
                <w:szCs w:val="22"/>
                <w:lang w:val="fr-FR"/>
              </w:rPr>
              <w:tab/>
            </w:r>
            <w:r w:rsidR="000B6A2E" w:rsidRPr="00A7616D">
              <w:rPr>
                <w:rStyle w:val="Hyperlink"/>
                <w:rFonts w:eastAsiaTheme="majorEastAsia"/>
                <w:noProof/>
              </w:rPr>
              <w:t>Recalculations and improvements</w:t>
            </w:r>
            <w:r w:rsidR="000B6A2E">
              <w:rPr>
                <w:noProof/>
                <w:webHidden/>
              </w:rPr>
              <w:tab/>
            </w:r>
            <w:r w:rsidR="000B6A2E">
              <w:rPr>
                <w:noProof/>
                <w:webHidden/>
              </w:rPr>
              <w:fldChar w:fldCharType="begin"/>
            </w:r>
            <w:r w:rsidR="000B6A2E">
              <w:rPr>
                <w:noProof/>
                <w:webHidden/>
              </w:rPr>
              <w:instrText xml:space="preserve"> PAGEREF _Toc138341816 \h </w:instrText>
            </w:r>
            <w:r w:rsidR="000B6A2E">
              <w:rPr>
                <w:noProof/>
                <w:webHidden/>
              </w:rPr>
            </w:r>
            <w:r w:rsidR="000B6A2E">
              <w:rPr>
                <w:noProof/>
                <w:webHidden/>
              </w:rPr>
              <w:fldChar w:fldCharType="separate"/>
            </w:r>
            <w:r w:rsidR="009A2FAA">
              <w:rPr>
                <w:noProof/>
                <w:webHidden/>
              </w:rPr>
              <w:t>90</w:t>
            </w:r>
            <w:r w:rsidR="000B6A2E">
              <w:rPr>
                <w:noProof/>
                <w:webHidden/>
              </w:rPr>
              <w:fldChar w:fldCharType="end"/>
            </w:r>
          </w:hyperlink>
        </w:p>
        <w:p w14:paraId="7175460D" w14:textId="27EB4094"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17" w:history="1">
            <w:r w:rsidR="000B6A2E" w:rsidRPr="00A7616D">
              <w:rPr>
                <w:rStyle w:val="Hyperlink"/>
                <w:rFonts w:ascii="Marianne" w:eastAsiaTheme="majorEastAsia" w:hAnsi="Marianne"/>
                <w:noProof/>
              </w:rPr>
              <w:t>C.6.</w:t>
            </w:r>
            <w:r w:rsidR="000B6A2E">
              <w:rPr>
                <w:rFonts w:eastAsiaTheme="minorEastAsia" w:cstheme="minorBidi"/>
                <w:i w:val="0"/>
                <w:iCs w:val="0"/>
                <w:noProof/>
                <w:szCs w:val="22"/>
                <w:lang w:val="fr-FR"/>
              </w:rPr>
              <w:tab/>
            </w:r>
            <w:r w:rsidR="000B6A2E" w:rsidRPr="00A7616D">
              <w:rPr>
                <w:rStyle w:val="Hyperlink"/>
                <w:rFonts w:eastAsiaTheme="majorEastAsia"/>
                <w:noProof/>
              </w:rPr>
              <w:t>Description of the quality assurance and quality control procedure</w:t>
            </w:r>
            <w:r w:rsidR="000B6A2E">
              <w:rPr>
                <w:noProof/>
                <w:webHidden/>
              </w:rPr>
              <w:tab/>
            </w:r>
            <w:r w:rsidR="000B6A2E">
              <w:rPr>
                <w:noProof/>
                <w:webHidden/>
              </w:rPr>
              <w:fldChar w:fldCharType="begin"/>
            </w:r>
            <w:r w:rsidR="000B6A2E">
              <w:rPr>
                <w:noProof/>
                <w:webHidden/>
              </w:rPr>
              <w:instrText xml:space="preserve"> PAGEREF _Toc138341817 \h </w:instrText>
            </w:r>
            <w:r w:rsidR="000B6A2E">
              <w:rPr>
                <w:noProof/>
                <w:webHidden/>
              </w:rPr>
            </w:r>
            <w:r w:rsidR="000B6A2E">
              <w:rPr>
                <w:noProof/>
                <w:webHidden/>
              </w:rPr>
              <w:fldChar w:fldCharType="separate"/>
            </w:r>
            <w:r w:rsidR="009A2FAA">
              <w:rPr>
                <w:noProof/>
                <w:webHidden/>
              </w:rPr>
              <w:t>91</w:t>
            </w:r>
            <w:r w:rsidR="000B6A2E">
              <w:rPr>
                <w:noProof/>
                <w:webHidden/>
              </w:rPr>
              <w:fldChar w:fldCharType="end"/>
            </w:r>
          </w:hyperlink>
        </w:p>
        <w:p w14:paraId="3B0D54DD" w14:textId="6D087791"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18" w:history="1">
            <w:r w:rsidR="000B6A2E" w:rsidRPr="00A7616D">
              <w:rPr>
                <w:rStyle w:val="Hyperlink"/>
                <w:rFonts w:ascii="Marianne" w:eastAsiaTheme="majorEastAsia" w:hAnsi="Marianne"/>
                <w:noProof/>
              </w:rPr>
              <w:t>C.7.</w:t>
            </w:r>
            <w:r w:rsidR="000B6A2E">
              <w:rPr>
                <w:rFonts w:eastAsiaTheme="minorEastAsia" w:cstheme="minorBidi"/>
                <w:i w:val="0"/>
                <w:iCs w:val="0"/>
                <w:noProof/>
                <w:szCs w:val="22"/>
                <w:lang w:val="fr-FR"/>
              </w:rPr>
              <w:tab/>
            </w:r>
            <w:r w:rsidR="000B6A2E" w:rsidRPr="00A7616D">
              <w:rPr>
                <w:rStyle w:val="Hyperlink"/>
                <w:rFonts w:eastAsiaTheme="majorEastAsia"/>
                <w:noProof/>
              </w:rPr>
              <w:t>Description of the official validation procedure of the inventory</w:t>
            </w:r>
            <w:r w:rsidR="000B6A2E">
              <w:rPr>
                <w:noProof/>
                <w:webHidden/>
              </w:rPr>
              <w:tab/>
            </w:r>
            <w:r w:rsidR="000B6A2E">
              <w:rPr>
                <w:noProof/>
                <w:webHidden/>
              </w:rPr>
              <w:fldChar w:fldCharType="begin"/>
            </w:r>
            <w:r w:rsidR="000B6A2E">
              <w:rPr>
                <w:noProof/>
                <w:webHidden/>
              </w:rPr>
              <w:instrText xml:space="preserve"> PAGEREF _Toc138341818 \h </w:instrText>
            </w:r>
            <w:r w:rsidR="000B6A2E">
              <w:rPr>
                <w:noProof/>
                <w:webHidden/>
              </w:rPr>
            </w:r>
            <w:r w:rsidR="000B6A2E">
              <w:rPr>
                <w:noProof/>
                <w:webHidden/>
              </w:rPr>
              <w:fldChar w:fldCharType="separate"/>
            </w:r>
            <w:r w:rsidR="009A2FAA">
              <w:rPr>
                <w:noProof/>
                <w:webHidden/>
              </w:rPr>
              <w:t>96</w:t>
            </w:r>
            <w:r w:rsidR="000B6A2E">
              <w:rPr>
                <w:noProof/>
                <w:webHidden/>
              </w:rPr>
              <w:fldChar w:fldCharType="end"/>
            </w:r>
          </w:hyperlink>
        </w:p>
        <w:p w14:paraId="097D6ABF" w14:textId="433EC69B"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19" w:history="1">
            <w:r w:rsidR="000B6A2E" w:rsidRPr="00A7616D">
              <w:rPr>
                <w:rStyle w:val="Hyperlink"/>
                <w:rFonts w:eastAsiaTheme="majorEastAsia"/>
                <w:noProof/>
              </w:rPr>
              <w:t>D.</w:t>
            </w:r>
            <w:r w:rsidR="000B6A2E">
              <w:rPr>
                <w:rFonts w:eastAsiaTheme="minorEastAsia" w:cstheme="minorBidi"/>
                <w:smallCaps w:val="0"/>
                <w:noProof/>
                <w:szCs w:val="22"/>
                <w:lang w:val="fr-FR"/>
              </w:rPr>
              <w:tab/>
            </w:r>
            <w:r w:rsidR="000B6A2E" w:rsidRPr="00A7616D">
              <w:rPr>
                <w:rStyle w:val="Hyperlink"/>
                <w:rFonts w:eastAsiaTheme="majorEastAsia"/>
                <w:noProof/>
              </w:rPr>
              <w:t>National register</w:t>
            </w:r>
            <w:r w:rsidR="000B6A2E">
              <w:rPr>
                <w:noProof/>
                <w:webHidden/>
              </w:rPr>
              <w:tab/>
            </w:r>
            <w:r w:rsidR="000B6A2E">
              <w:rPr>
                <w:noProof/>
                <w:webHidden/>
              </w:rPr>
              <w:fldChar w:fldCharType="begin"/>
            </w:r>
            <w:r w:rsidR="000B6A2E">
              <w:rPr>
                <w:noProof/>
                <w:webHidden/>
              </w:rPr>
              <w:instrText xml:space="preserve"> PAGEREF _Toc138341819 \h </w:instrText>
            </w:r>
            <w:r w:rsidR="000B6A2E">
              <w:rPr>
                <w:noProof/>
                <w:webHidden/>
              </w:rPr>
            </w:r>
            <w:r w:rsidR="000B6A2E">
              <w:rPr>
                <w:noProof/>
                <w:webHidden/>
              </w:rPr>
              <w:fldChar w:fldCharType="separate"/>
            </w:r>
            <w:r w:rsidR="009A2FAA">
              <w:rPr>
                <w:noProof/>
                <w:webHidden/>
              </w:rPr>
              <w:t>96</w:t>
            </w:r>
            <w:r w:rsidR="000B6A2E">
              <w:rPr>
                <w:noProof/>
                <w:webHidden/>
              </w:rPr>
              <w:fldChar w:fldCharType="end"/>
            </w:r>
          </w:hyperlink>
        </w:p>
        <w:p w14:paraId="2B74C74D" w14:textId="305280D7" w:rsidR="000B6A2E" w:rsidRDefault="003714FB">
          <w:pPr>
            <w:pStyle w:val="TOC1"/>
            <w:rPr>
              <w:rFonts w:eastAsiaTheme="minorEastAsia" w:cstheme="minorBidi"/>
              <w:b w:val="0"/>
              <w:bCs w:val="0"/>
              <w:caps w:val="0"/>
              <w:noProof/>
              <w:szCs w:val="22"/>
              <w:lang w:val="fr-FR"/>
            </w:rPr>
          </w:pPr>
          <w:hyperlink w:anchor="_Toc138341820" w:history="1">
            <w:r w:rsidR="000B6A2E" w:rsidRPr="00A7616D">
              <w:rPr>
                <w:rStyle w:val="Hyperlink"/>
                <w:rFonts w:eastAsiaTheme="majorEastAsia"/>
                <w:noProof/>
              </w:rPr>
              <w:t>Chapter IV - Policies and Measures</w:t>
            </w:r>
            <w:r w:rsidR="000B6A2E">
              <w:rPr>
                <w:noProof/>
                <w:webHidden/>
              </w:rPr>
              <w:tab/>
            </w:r>
            <w:r w:rsidR="000B6A2E">
              <w:rPr>
                <w:noProof/>
                <w:webHidden/>
              </w:rPr>
              <w:fldChar w:fldCharType="begin"/>
            </w:r>
            <w:r w:rsidR="000B6A2E">
              <w:rPr>
                <w:noProof/>
                <w:webHidden/>
              </w:rPr>
              <w:instrText xml:space="preserve"> PAGEREF _Toc138341820 \h </w:instrText>
            </w:r>
            <w:r w:rsidR="000B6A2E">
              <w:rPr>
                <w:noProof/>
                <w:webHidden/>
              </w:rPr>
            </w:r>
            <w:r w:rsidR="000B6A2E">
              <w:rPr>
                <w:noProof/>
                <w:webHidden/>
              </w:rPr>
              <w:fldChar w:fldCharType="separate"/>
            </w:r>
            <w:r w:rsidR="009A2FAA">
              <w:rPr>
                <w:noProof/>
                <w:webHidden/>
              </w:rPr>
              <w:t>99</w:t>
            </w:r>
            <w:r w:rsidR="000B6A2E">
              <w:rPr>
                <w:noProof/>
                <w:webHidden/>
              </w:rPr>
              <w:fldChar w:fldCharType="end"/>
            </w:r>
          </w:hyperlink>
        </w:p>
        <w:p w14:paraId="3A0EAB5E" w14:textId="031AD113"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21" w:history="1">
            <w:r w:rsidR="000B6A2E" w:rsidRPr="00A7616D">
              <w:rPr>
                <w:rStyle w:val="Hyperlink"/>
                <w:rFonts w:eastAsiaTheme="majorEastAsia"/>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The design of policies and measures</w:t>
            </w:r>
            <w:r w:rsidR="000B6A2E">
              <w:rPr>
                <w:noProof/>
                <w:webHidden/>
              </w:rPr>
              <w:tab/>
            </w:r>
            <w:r w:rsidR="000B6A2E">
              <w:rPr>
                <w:noProof/>
                <w:webHidden/>
              </w:rPr>
              <w:fldChar w:fldCharType="begin"/>
            </w:r>
            <w:r w:rsidR="000B6A2E">
              <w:rPr>
                <w:noProof/>
                <w:webHidden/>
              </w:rPr>
              <w:instrText xml:space="preserve"> PAGEREF _Toc138341821 \h </w:instrText>
            </w:r>
            <w:r w:rsidR="000B6A2E">
              <w:rPr>
                <w:noProof/>
                <w:webHidden/>
              </w:rPr>
            </w:r>
            <w:r w:rsidR="000B6A2E">
              <w:rPr>
                <w:noProof/>
                <w:webHidden/>
              </w:rPr>
              <w:fldChar w:fldCharType="separate"/>
            </w:r>
            <w:r w:rsidR="009A2FAA">
              <w:rPr>
                <w:noProof/>
                <w:webHidden/>
              </w:rPr>
              <w:t>99</w:t>
            </w:r>
            <w:r w:rsidR="000B6A2E">
              <w:rPr>
                <w:noProof/>
                <w:webHidden/>
              </w:rPr>
              <w:fldChar w:fldCharType="end"/>
            </w:r>
          </w:hyperlink>
        </w:p>
        <w:p w14:paraId="5FD0F92F" w14:textId="6A010E9E"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22" w:history="1">
            <w:r w:rsidR="000B6A2E" w:rsidRPr="00A7616D">
              <w:rPr>
                <w:rStyle w:val="Hyperlink"/>
                <w:rFonts w:ascii="Marianne" w:eastAsiaTheme="majorEastAsia" w:hAnsi="Marianne"/>
                <w:noProof/>
              </w:rPr>
              <w:t>A.1.</w:t>
            </w:r>
            <w:r w:rsidR="000B6A2E">
              <w:rPr>
                <w:rFonts w:eastAsiaTheme="minorEastAsia" w:cstheme="minorBidi"/>
                <w:i w:val="0"/>
                <w:iCs w:val="0"/>
                <w:noProof/>
                <w:szCs w:val="22"/>
                <w:lang w:val="fr-FR"/>
              </w:rPr>
              <w:tab/>
            </w:r>
            <w:r w:rsidR="000B6A2E" w:rsidRPr="00A7616D">
              <w:rPr>
                <w:rStyle w:val="Hyperlink"/>
                <w:rFonts w:eastAsiaTheme="majorEastAsia"/>
                <w:noProof/>
              </w:rPr>
              <w:t>Institutional foundations</w:t>
            </w:r>
            <w:r w:rsidR="000B6A2E">
              <w:rPr>
                <w:noProof/>
                <w:webHidden/>
              </w:rPr>
              <w:tab/>
            </w:r>
            <w:r w:rsidR="000B6A2E">
              <w:rPr>
                <w:noProof/>
                <w:webHidden/>
              </w:rPr>
              <w:fldChar w:fldCharType="begin"/>
            </w:r>
            <w:r w:rsidR="000B6A2E">
              <w:rPr>
                <w:noProof/>
                <w:webHidden/>
              </w:rPr>
              <w:instrText xml:space="preserve"> PAGEREF _Toc138341822 \h </w:instrText>
            </w:r>
            <w:r w:rsidR="000B6A2E">
              <w:rPr>
                <w:noProof/>
                <w:webHidden/>
              </w:rPr>
            </w:r>
            <w:r w:rsidR="000B6A2E">
              <w:rPr>
                <w:noProof/>
                <w:webHidden/>
              </w:rPr>
              <w:fldChar w:fldCharType="separate"/>
            </w:r>
            <w:r w:rsidR="009A2FAA">
              <w:rPr>
                <w:noProof/>
                <w:webHidden/>
              </w:rPr>
              <w:t>99</w:t>
            </w:r>
            <w:r w:rsidR="000B6A2E">
              <w:rPr>
                <w:noProof/>
                <w:webHidden/>
              </w:rPr>
              <w:fldChar w:fldCharType="end"/>
            </w:r>
          </w:hyperlink>
        </w:p>
        <w:p w14:paraId="6EF45737" w14:textId="5A82FCD1"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23" w:history="1">
            <w:r w:rsidR="000B6A2E" w:rsidRPr="00A7616D">
              <w:rPr>
                <w:rStyle w:val="Hyperlink"/>
                <w:rFonts w:ascii="Marianne" w:eastAsiaTheme="majorEastAsia" w:hAnsi="Marianne"/>
                <w:noProof/>
                <w:lang w:val="fr-FR"/>
              </w:rPr>
              <w:t>A.2.</w:t>
            </w:r>
            <w:r w:rsidR="000B6A2E">
              <w:rPr>
                <w:rFonts w:eastAsiaTheme="minorEastAsia" w:cstheme="minorBidi"/>
                <w:i w:val="0"/>
                <w:iCs w:val="0"/>
                <w:noProof/>
                <w:szCs w:val="22"/>
                <w:lang w:val="fr-FR"/>
              </w:rPr>
              <w:tab/>
            </w:r>
            <w:r w:rsidR="000B6A2E" w:rsidRPr="00A7616D">
              <w:rPr>
                <w:rStyle w:val="Hyperlink"/>
                <w:rFonts w:eastAsiaTheme="majorEastAsia"/>
                <w:noProof/>
                <w:lang w:val="fr-FR"/>
              </w:rPr>
              <w:t>Les fondements de la politique climatique</w:t>
            </w:r>
            <w:r w:rsidR="000B6A2E">
              <w:rPr>
                <w:noProof/>
                <w:webHidden/>
              </w:rPr>
              <w:tab/>
            </w:r>
            <w:r w:rsidR="000B6A2E">
              <w:rPr>
                <w:noProof/>
                <w:webHidden/>
              </w:rPr>
              <w:fldChar w:fldCharType="begin"/>
            </w:r>
            <w:r w:rsidR="000B6A2E">
              <w:rPr>
                <w:noProof/>
                <w:webHidden/>
              </w:rPr>
              <w:instrText xml:space="preserve"> PAGEREF _Toc138341823 \h </w:instrText>
            </w:r>
            <w:r w:rsidR="000B6A2E">
              <w:rPr>
                <w:noProof/>
                <w:webHidden/>
              </w:rPr>
            </w:r>
            <w:r w:rsidR="000B6A2E">
              <w:rPr>
                <w:noProof/>
                <w:webHidden/>
              </w:rPr>
              <w:fldChar w:fldCharType="separate"/>
            </w:r>
            <w:r w:rsidR="009A2FAA">
              <w:rPr>
                <w:noProof/>
                <w:webHidden/>
              </w:rPr>
              <w:t>101</w:t>
            </w:r>
            <w:r w:rsidR="000B6A2E">
              <w:rPr>
                <w:noProof/>
                <w:webHidden/>
              </w:rPr>
              <w:fldChar w:fldCharType="end"/>
            </w:r>
          </w:hyperlink>
        </w:p>
        <w:p w14:paraId="2EC2BC56" w14:textId="55B75B1E"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24" w:history="1">
            <w:r w:rsidR="000B6A2E" w:rsidRPr="00A7616D">
              <w:rPr>
                <w:rStyle w:val="Hyperlink"/>
                <w:rFonts w:ascii="Marianne" w:eastAsiaTheme="majorEastAsia" w:hAnsi="Marianne"/>
                <w:noProof/>
              </w:rPr>
              <w:t>A.3.</w:t>
            </w:r>
            <w:r w:rsidR="000B6A2E">
              <w:rPr>
                <w:rFonts w:eastAsiaTheme="minorEastAsia" w:cstheme="minorBidi"/>
                <w:i w:val="0"/>
                <w:iCs w:val="0"/>
                <w:noProof/>
                <w:szCs w:val="22"/>
                <w:lang w:val="fr-FR"/>
              </w:rPr>
              <w:tab/>
            </w:r>
            <w:r w:rsidR="000B6A2E" w:rsidRPr="00A7616D">
              <w:rPr>
                <w:rStyle w:val="Hyperlink"/>
                <w:rFonts w:eastAsiaTheme="majorEastAsia"/>
                <w:noProof/>
              </w:rPr>
              <w:t>Monitoring and evaluation of climate policy</w:t>
            </w:r>
            <w:r w:rsidR="000B6A2E">
              <w:rPr>
                <w:noProof/>
                <w:webHidden/>
              </w:rPr>
              <w:tab/>
            </w:r>
            <w:r w:rsidR="000B6A2E">
              <w:rPr>
                <w:noProof/>
                <w:webHidden/>
              </w:rPr>
              <w:fldChar w:fldCharType="begin"/>
            </w:r>
            <w:r w:rsidR="000B6A2E">
              <w:rPr>
                <w:noProof/>
                <w:webHidden/>
              </w:rPr>
              <w:instrText xml:space="preserve"> PAGEREF _Toc138341824 \h </w:instrText>
            </w:r>
            <w:r w:rsidR="000B6A2E">
              <w:rPr>
                <w:noProof/>
                <w:webHidden/>
              </w:rPr>
            </w:r>
            <w:r w:rsidR="000B6A2E">
              <w:rPr>
                <w:noProof/>
                <w:webHidden/>
              </w:rPr>
              <w:fldChar w:fldCharType="separate"/>
            </w:r>
            <w:r w:rsidR="009A2FAA">
              <w:rPr>
                <w:noProof/>
                <w:webHidden/>
              </w:rPr>
              <w:t>104</w:t>
            </w:r>
            <w:r w:rsidR="000B6A2E">
              <w:rPr>
                <w:noProof/>
                <w:webHidden/>
              </w:rPr>
              <w:fldChar w:fldCharType="end"/>
            </w:r>
          </w:hyperlink>
        </w:p>
        <w:p w14:paraId="7FC003AF" w14:textId="167FEEBF"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25" w:history="1">
            <w:r w:rsidR="000B6A2E" w:rsidRPr="00A7616D">
              <w:rPr>
                <w:rStyle w:val="Hyperlink"/>
                <w:rFonts w:ascii="Marianne" w:eastAsiaTheme="majorEastAsia" w:hAnsi="Marianne"/>
                <w:noProof/>
              </w:rPr>
              <w:t>A.4.</w:t>
            </w:r>
            <w:r w:rsidR="000B6A2E">
              <w:rPr>
                <w:rFonts w:eastAsiaTheme="minorEastAsia" w:cstheme="minorBidi"/>
                <w:i w:val="0"/>
                <w:iCs w:val="0"/>
                <w:noProof/>
                <w:szCs w:val="22"/>
                <w:lang w:val="fr-FR"/>
              </w:rPr>
              <w:tab/>
            </w:r>
            <w:r w:rsidR="000B6A2E" w:rsidRPr="00A7616D">
              <w:rPr>
                <w:rStyle w:val="Hyperlink"/>
                <w:rFonts w:eastAsiaTheme="majorEastAsia"/>
                <w:noProof/>
              </w:rPr>
              <w:t>Implementing European policies</w:t>
            </w:r>
            <w:r w:rsidR="000B6A2E">
              <w:rPr>
                <w:noProof/>
                <w:webHidden/>
              </w:rPr>
              <w:tab/>
            </w:r>
            <w:r w:rsidR="000B6A2E">
              <w:rPr>
                <w:noProof/>
                <w:webHidden/>
              </w:rPr>
              <w:fldChar w:fldCharType="begin"/>
            </w:r>
            <w:r w:rsidR="000B6A2E">
              <w:rPr>
                <w:noProof/>
                <w:webHidden/>
              </w:rPr>
              <w:instrText xml:space="preserve"> PAGEREF _Toc138341825 \h </w:instrText>
            </w:r>
            <w:r w:rsidR="000B6A2E">
              <w:rPr>
                <w:noProof/>
                <w:webHidden/>
              </w:rPr>
            </w:r>
            <w:r w:rsidR="000B6A2E">
              <w:rPr>
                <w:noProof/>
                <w:webHidden/>
              </w:rPr>
              <w:fldChar w:fldCharType="separate"/>
            </w:r>
            <w:r w:rsidR="009A2FAA">
              <w:rPr>
                <w:noProof/>
                <w:webHidden/>
              </w:rPr>
              <w:t>105</w:t>
            </w:r>
            <w:r w:rsidR="000B6A2E">
              <w:rPr>
                <w:noProof/>
                <w:webHidden/>
              </w:rPr>
              <w:fldChar w:fldCharType="end"/>
            </w:r>
          </w:hyperlink>
        </w:p>
        <w:p w14:paraId="045A459E" w14:textId="4A119D21"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26"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Policies and measures and their impacts</w:t>
            </w:r>
            <w:r w:rsidR="000B6A2E">
              <w:rPr>
                <w:noProof/>
                <w:webHidden/>
              </w:rPr>
              <w:tab/>
            </w:r>
            <w:r w:rsidR="000B6A2E">
              <w:rPr>
                <w:noProof/>
                <w:webHidden/>
              </w:rPr>
              <w:fldChar w:fldCharType="begin"/>
            </w:r>
            <w:r w:rsidR="000B6A2E">
              <w:rPr>
                <w:noProof/>
                <w:webHidden/>
              </w:rPr>
              <w:instrText xml:space="preserve"> PAGEREF _Toc138341826 \h </w:instrText>
            </w:r>
            <w:r w:rsidR="000B6A2E">
              <w:rPr>
                <w:noProof/>
                <w:webHidden/>
              </w:rPr>
            </w:r>
            <w:r w:rsidR="000B6A2E">
              <w:rPr>
                <w:noProof/>
                <w:webHidden/>
              </w:rPr>
              <w:fldChar w:fldCharType="separate"/>
            </w:r>
            <w:r w:rsidR="009A2FAA">
              <w:rPr>
                <w:noProof/>
                <w:webHidden/>
              </w:rPr>
              <w:t>107</w:t>
            </w:r>
            <w:r w:rsidR="000B6A2E">
              <w:rPr>
                <w:noProof/>
                <w:webHidden/>
              </w:rPr>
              <w:fldChar w:fldCharType="end"/>
            </w:r>
          </w:hyperlink>
        </w:p>
        <w:p w14:paraId="162D6763" w14:textId="622647CE"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27" w:history="1">
            <w:r w:rsidR="000B6A2E" w:rsidRPr="00A7616D">
              <w:rPr>
                <w:rStyle w:val="Hyperlink"/>
                <w:rFonts w:ascii="Marianne" w:eastAsiaTheme="majorEastAsia" w:hAnsi="Marianne"/>
                <w:noProof/>
              </w:rPr>
              <w:t>B.1.</w:t>
            </w:r>
            <w:r w:rsidR="000B6A2E">
              <w:rPr>
                <w:rFonts w:eastAsiaTheme="minorEastAsia" w:cstheme="minorBidi"/>
                <w:i w:val="0"/>
                <w:iCs w:val="0"/>
                <w:noProof/>
                <w:szCs w:val="22"/>
                <w:lang w:val="fr-FR"/>
              </w:rPr>
              <w:tab/>
            </w:r>
            <w:r w:rsidR="000B6A2E" w:rsidRPr="00A7616D">
              <w:rPr>
                <w:rStyle w:val="Hyperlink"/>
                <w:rFonts w:eastAsiaTheme="majorEastAsia"/>
                <w:noProof/>
              </w:rPr>
              <w:t>Transport</w:t>
            </w:r>
            <w:r w:rsidR="000B6A2E">
              <w:rPr>
                <w:noProof/>
                <w:webHidden/>
              </w:rPr>
              <w:tab/>
            </w:r>
            <w:r w:rsidR="000B6A2E">
              <w:rPr>
                <w:noProof/>
                <w:webHidden/>
              </w:rPr>
              <w:fldChar w:fldCharType="begin"/>
            </w:r>
            <w:r w:rsidR="000B6A2E">
              <w:rPr>
                <w:noProof/>
                <w:webHidden/>
              </w:rPr>
              <w:instrText xml:space="preserve"> PAGEREF _Toc138341827 \h </w:instrText>
            </w:r>
            <w:r w:rsidR="000B6A2E">
              <w:rPr>
                <w:noProof/>
                <w:webHidden/>
              </w:rPr>
            </w:r>
            <w:r w:rsidR="000B6A2E">
              <w:rPr>
                <w:noProof/>
                <w:webHidden/>
              </w:rPr>
              <w:fldChar w:fldCharType="separate"/>
            </w:r>
            <w:r w:rsidR="009A2FAA">
              <w:rPr>
                <w:noProof/>
                <w:webHidden/>
              </w:rPr>
              <w:t>107</w:t>
            </w:r>
            <w:r w:rsidR="000B6A2E">
              <w:rPr>
                <w:noProof/>
                <w:webHidden/>
              </w:rPr>
              <w:fldChar w:fldCharType="end"/>
            </w:r>
          </w:hyperlink>
        </w:p>
        <w:p w14:paraId="66E40227" w14:textId="4491C158"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28" w:history="1">
            <w:r w:rsidR="000B6A2E" w:rsidRPr="00A7616D">
              <w:rPr>
                <w:rStyle w:val="Hyperlink"/>
                <w:rFonts w:ascii="Marianne" w:eastAsiaTheme="majorEastAsia" w:hAnsi="Marianne"/>
                <w:noProof/>
              </w:rPr>
              <w:t>B.2.</w:t>
            </w:r>
            <w:r w:rsidR="000B6A2E">
              <w:rPr>
                <w:rFonts w:eastAsiaTheme="minorEastAsia" w:cstheme="minorBidi"/>
                <w:i w:val="0"/>
                <w:iCs w:val="0"/>
                <w:noProof/>
                <w:szCs w:val="22"/>
                <w:lang w:val="fr-FR"/>
              </w:rPr>
              <w:tab/>
            </w:r>
            <w:r w:rsidR="000B6A2E" w:rsidRPr="00A7616D">
              <w:rPr>
                <w:rStyle w:val="Hyperlink"/>
                <w:rFonts w:eastAsiaTheme="majorEastAsia"/>
                <w:noProof/>
              </w:rPr>
              <w:t>Residential/tertiary</w:t>
            </w:r>
            <w:r w:rsidR="000B6A2E">
              <w:rPr>
                <w:noProof/>
                <w:webHidden/>
              </w:rPr>
              <w:tab/>
            </w:r>
            <w:r w:rsidR="000B6A2E">
              <w:rPr>
                <w:noProof/>
                <w:webHidden/>
              </w:rPr>
              <w:fldChar w:fldCharType="begin"/>
            </w:r>
            <w:r w:rsidR="000B6A2E">
              <w:rPr>
                <w:noProof/>
                <w:webHidden/>
              </w:rPr>
              <w:instrText xml:space="preserve"> PAGEREF _Toc138341828 \h </w:instrText>
            </w:r>
            <w:r w:rsidR="000B6A2E">
              <w:rPr>
                <w:noProof/>
                <w:webHidden/>
              </w:rPr>
            </w:r>
            <w:r w:rsidR="000B6A2E">
              <w:rPr>
                <w:noProof/>
                <w:webHidden/>
              </w:rPr>
              <w:fldChar w:fldCharType="separate"/>
            </w:r>
            <w:r w:rsidR="009A2FAA">
              <w:rPr>
                <w:noProof/>
                <w:webHidden/>
              </w:rPr>
              <w:t>117</w:t>
            </w:r>
            <w:r w:rsidR="000B6A2E">
              <w:rPr>
                <w:noProof/>
                <w:webHidden/>
              </w:rPr>
              <w:fldChar w:fldCharType="end"/>
            </w:r>
          </w:hyperlink>
        </w:p>
        <w:p w14:paraId="54336D0E" w14:textId="433D955A"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29" w:history="1">
            <w:r w:rsidR="000B6A2E" w:rsidRPr="00A7616D">
              <w:rPr>
                <w:rStyle w:val="Hyperlink"/>
                <w:rFonts w:ascii="Marianne" w:eastAsiaTheme="majorEastAsia" w:hAnsi="Marianne"/>
                <w:noProof/>
              </w:rPr>
              <w:t>B.3.</w:t>
            </w:r>
            <w:r w:rsidR="000B6A2E">
              <w:rPr>
                <w:rFonts w:eastAsiaTheme="minorEastAsia" w:cstheme="minorBidi"/>
                <w:i w:val="0"/>
                <w:iCs w:val="0"/>
                <w:noProof/>
                <w:szCs w:val="22"/>
                <w:lang w:val="fr-FR"/>
              </w:rPr>
              <w:tab/>
            </w:r>
            <w:r w:rsidR="000B6A2E" w:rsidRPr="00A7616D">
              <w:rPr>
                <w:rStyle w:val="Hyperlink"/>
                <w:rFonts w:eastAsiaTheme="majorEastAsia"/>
                <w:noProof/>
              </w:rPr>
              <w:t>Manufacturing industry</w:t>
            </w:r>
            <w:r w:rsidR="000B6A2E">
              <w:rPr>
                <w:noProof/>
                <w:webHidden/>
              </w:rPr>
              <w:tab/>
            </w:r>
            <w:r w:rsidR="000B6A2E">
              <w:rPr>
                <w:noProof/>
                <w:webHidden/>
              </w:rPr>
              <w:fldChar w:fldCharType="begin"/>
            </w:r>
            <w:r w:rsidR="000B6A2E">
              <w:rPr>
                <w:noProof/>
                <w:webHidden/>
              </w:rPr>
              <w:instrText xml:space="preserve"> PAGEREF _Toc138341829 \h </w:instrText>
            </w:r>
            <w:r w:rsidR="000B6A2E">
              <w:rPr>
                <w:noProof/>
                <w:webHidden/>
              </w:rPr>
            </w:r>
            <w:r w:rsidR="000B6A2E">
              <w:rPr>
                <w:noProof/>
                <w:webHidden/>
              </w:rPr>
              <w:fldChar w:fldCharType="separate"/>
            </w:r>
            <w:r w:rsidR="009A2FAA">
              <w:rPr>
                <w:noProof/>
                <w:webHidden/>
              </w:rPr>
              <w:t>124</w:t>
            </w:r>
            <w:r w:rsidR="000B6A2E">
              <w:rPr>
                <w:noProof/>
                <w:webHidden/>
              </w:rPr>
              <w:fldChar w:fldCharType="end"/>
            </w:r>
          </w:hyperlink>
        </w:p>
        <w:p w14:paraId="53EB9896" w14:textId="4A614DFA"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30" w:history="1">
            <w:r w:rsidR="000B6A2E" w:rsidRPr="00A7616D">
              <w:rPr>
                <w:rStyle w:val="Hyperlink"/>
                <w:rFonts w:ascii="Marianne" w:eastAsiaTheme="majorEastAsia" w:hAnsi="Marianne"/>
                <w:noProof/>
              </w:rPr>
              <w:t>B.4.</w:t>
            </w:r>
            <w:r w:rsidR="000B6A2E">
              <w:rPr>
                <w:rFonts w:eastAsiaTheme="minorEastAsia" w:cstheme="minorBidi"/>
                <w:i w:val="0"/>
                <w:iCs w:val="0"/>
                <w:noProof/>
                <w:szCs w:val="22"/>
                <w:lang w:val="fr-FR"/>
              </w:rPr>
              <w:tab/>
            </w:r>
            <w:r w:rsidR="000B6A2E" w:rsidRPr="00A7616D">
              <w:rPr>
                <w:rStyle w:val="Hyperlink"/>
                <w:rFonts w:eastAsiaTheme="majorEastAsia"/>
                <w:noProof/>
              </w:rPr>
              <w:t>Energy industry</w:t>
            </w:r>
            <w:r w:rsidR="000B6A2E">
              <w:rPr>
                <w:noProof/>
                <w:webHidden/>
              </w:rPr>
              <w:tab/>
            </w:r>
            <w:r w:rsidR="000B6A2E">
              <w:rPr>
                <w:noProof/>
                <w:webHidden/>
              </w:rPr>
              <w:fldChar w:fldCharType="begin"/>
            </w:r>
            <w:r w:rsidR="000B6A2E">
              <w:rPr>
                <w:noProof/>
                <w:webHidden/>
              </w:rPr>
              <w:instrText xml:space="preserve"> PAGEREF _Toc138341830 \h </w:instrText>
            </w:r>
            <w:r w:rsidR="000B6A2E">
              <w:rPr>
                <w:noProof/>
                <w:webHidden/>
              </w:rPr>
            </w:r>
            <w:r w:rsidR="000B6A2E">
              <w:rPr>
                <w:noProof/>
                <w:webHidden/>
              </w:rPr>
              <w:fldChar w:fldCharType="separate"/>
            </w:r>
            <w:r w:rsidR="009A2FAA">
              <w:rPr>
                <w:noProof/>
                <w:webHidden/>
              </w:rPr>
              <w:t>127</w:t>
            </w:r>
            <w:r w:rsidR="000B6A2E">
              <w:rPr>
                <w:noProof/>
                <w:webHidden/>
              </w:rPr>
              <w:fldChar w:fldCharType="end"/>
            </w:r>
          </w:hyperlink>
        </w:p>
        <w:p w14:paraId="10499EEB" w14:textId="2158436B"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31" w:history="1">
            <w:r w:rsidR="000B6A2E" w:rsidRPr="00A7616D">
              <w:rPr>
                <w:rStyle w:val="Hyperlink"/>
                <w:rFonts w:ascii="Marianne" w:eastAsiaTheme="majorEastAsia" w:hAnsi="Marianne"/>
                <w:noProof/>
              </w:rPr>
              <w:t>B.5.</w:t>
            </w:r>
            <w:r w:rsidR="000B6A2E">
              <w:rPr>
                <w:rFonts w:eastAsiaTheme="minorEastAsia" w:cstheme="minorBidi"/>
                <w:i w:val="0"/>
                <w:iCs w:val="0"/>
                <w:noProof/>
                <w:szCs w:val="22"/>
                <w:lang w:val="fr-FR"/>
              </w:rPr>
              <w:tab/>
            </w:r>
            <w:r w:rsidR="000B6A2E" w:rsidRPr="00A7616D">
              <w:rPr>
                <w:rStyle w:val="Hyperlink"/>
                <w:rFonts w:eastAsiaTheme="majorEastAsia"/>
                <w:noProof/>
              </w:rPr>
              <w:t>Agriculture</w:t>
            </w:r>
            <w:r w:rsidR="000B6A2E">
              <w:rPr>
                <w:noProof/>
                <w:webHidden/>
              </w:rPr>
              <w:tab/>
            </w:r>
            <w:r w:rsidR="000B6A2E">
              <w:rPr>
                <w:noProof/>
                <w:webHidden/>
              </w:rPr>
              <w:fldChar w:fldCharType="begin"/>
            </w:r>
            <w:r w:rsidR="000B6A2E">
              <w:rPr>
                <w:noProof/>
                <w:webHidden/>
              </w:rPr>
              <w:instrText xml:space="preserve"> PAGEREF _Toc138341831 \h </w:instrText>
            </w:r>
            <w:r w:rsidR="000B6A2E">
              <w:rPr>
                <w:noProof/>
                <w:webHidden/>
              </w:rPr>
            </w:r>
            <w:r w:rsidR="000B6A2E">
              <w:rPr>
                <w:noProof/>
                <w:webHidden/>
              </w:rPr>
              <w:fldChar w:fldCharType="separate"/>
            </w:r>
            <w:r w:rsidR="009A2FAA">
              <w:rPr>
                <w:noProof/>
                <w:webHidden/>
              </w:rPr>
              <w:t>133</w:t>
            </w:r>
            <w:r w:rsidR="000B6A2E">
              <w:rPr>
                <w:noProof/>
                <w:webHidden/>
              </w:rPr>
              <w:fldChar w:fldCharType="end"/>
            </w:r>
          </w:hyperlink>
        </w:p>
        <w:p w14:paraId="73624A7A" w14:textId="0D754C2A"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32" w:history="1">
            <w:r w:rsidR="000B6A2E" w:rsidRPr="00A7616D">
              <w:rPr>
                <w:rStyle w:val="Hyperlink"/>
                <w:rFonts w:ascii="Marianne" w:eastAsiaTheme="majorEastAsia" w:hAnsi="Marianne"/>
                <w:noProof/>
              </w:rPr>
              <w:t>B.6.</w:t>
            </w:r>
            <w:r w:rsidR="000B6A2E">
              <w:rPr>
                <w:rFonts w:eastAsiaTheme="minorEastAsia" w:cstheme="minorBidi"/>
                <w:i w:val="0"/>
                <w:iCs w:val="0"/>
                <w:noProof/>
                <w:szCs w:val="22"/>
                <w:lang w:val="fr-FR"/>
              </w:rPr>
              <w:tab/>
            </w:r>
            <w:r w:rsidR="000B6A2E" w:rsidRPr="00A7616D">
              <w:rPr>
                <w:rStyle w:val="Hyperlink"/>
                <w:rFonts w:eastAsiaTheme="majorEastAsia"/>
                <w:noProof/>
              </w:rPr>
              <w:t>Land use, land-use change and forestry (LULUCF)</w:t>
            </w:r>
            <w:r w:rsidR="000B6A2E">
              <w:rPr>
                <w:noProof/>
                <w:webHidden/>
              </w:rPr>
              <w:tab/>
            </w:r>
            <w:r w:rsidR="000B6A2E">
              <w:rPr>
                <w:noProof/>
                <w:webHidden/>
              </w:rPr>
              <w:fldChar w:fldCharType="begin"/>
            </w:r>
            <w:r w:rsidR="000B6A2E">
              <w:rPr>
                <w:noProof/>
                <w:webHidden/>
              </w:rPr>
              <w:instrText xml:space="preserve"> PAGEREF _Toc138341832 \h </w:instrText>
            </w:r>
            <w:r w:rsidR="000B6A2E">
              <w:rPr>
                <w:noProof/>
                <w:webHidden/>
              </w:rPr>
            </w:r>
            <w:r w:rsidR="000B6A2E">
              <w:rPr>
                <w:noProof/>
                <w:webHidden/>
              </w:rPr>
              <w:fldChar w:fldCharType="separate"/>
            </w:r>
            <w:r w:rsidR="009A2FAA">
              <w:rPr>
                <w:noProof/>
                <w:webHidden/>
              </w:rPr>
              <w:t>143</w:t>
            </w:r>
            <w:r w:rsidR="000B6A2E">
              <w:rPr>
                <w:noProof/>
                <w:webHidden/>
              </w:rPr>
              <w:fldChar w:fldCharType="end"/>
            </w:r>
          </w:hyperlink>
        </w:p>
        <w:p w14:paraId="1CD01180" w14:textId="1ED008CD"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33" w:history="1">
            <w:r w:rsidR="000B6A2E" w:rsidRPr="00A7616D">
              <w:rPr>
                <w:rStyle w:val="Hyperlink"/>
                <w:rFonts w:ascii="Marianne" w:eastAsiaTheme="majorEastAsia" w:hAnsi="Marianne"/>
                <w:noProof/>
              </w:rPr>
              <w:t>B.7.</w:t>
            </w:r>
            <w:r w:rsidR="000B6A2E">
              <w:rPr>
                <w:rFonts w:eastAsiaTheme="minorEastAsia" w:cstheme="minorBidi"/>
                <w:i w:val="0"/>
                <w:iCs w:val="0"/>
                <w:noProof/>
                <w:szCs w:val="22"/>
                <w:lang w:val="fr-FR"/>
              </w:rPr>
              <w:tab/>
            </w:r>
            <w:r w:rsidR="000B6A2E" w:rsidRPr="00A7616D">
              <w:rPr>
                <w:rStyle w:val="Hyperlink"/>
                <w:rFonts w:eastAsiaTheme="majorEastAsia"/>
                <w:noProof/>
              </w:rPr>
              <w:t>Waste treatment</w:t>
            </w:r>
            <w:r w:rsidR="000B6A2E">
              <w:rPr>
                <w:noProof/>
                <w:webHidden/>
              </w:rPr>
              <w:tab/>
            </w:r>
            <w:r w:rsidR="000B6A2E">
              <w:rPr>
                <w:noProof/>
                <w:webHidden/>
              </w:rPr>
              <w:fldChar w:fldCharType="begin"/>
            </w:r>
            <w:r w:rsidR="000B6A2E">
              <w:rPr>
                <w:noProof/>
                <w:webHidden/>
              </w:rPr>
              <w:instrText xml:space="preserve"> PAGEREF _Toc138341833 \h </w:instrText>
            </w:r>
            <w:r w:rsidR="000B6A2E">
              <w:rPr>
                <w:noProof/>
                <w:webHidden/>
              </w:rPr>
            </w:r>
            <w:r w:rsidR="000B6A2E">
              <w:rPr>
                <w:noProof/>
                <w:webHidden/>
              </w:rPr>
              <w:fldChar w:fldCharType="separate"/>
            </w:r>
            <w:r w:rsidR="009A2FAA">
              <w:rPr>
                <w:noProof/>
                <w:webHidden/>
              </w:rPr>
              <w:t>150</w:t>
            </w:r>
            <w:r w:rsidR="000B6A2E">
              <w:rPr>
                <w:noProof/>
                <w:webHidden/>
              </w:rPr>
              <w:fldChar w:fldCharType="end"/>
            </w:r>
          </w:hyperlink>
        </w:p>
        <w:p w14:paraId="753C139E" w14:textId="2E9DFA58"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34" w:history="1">
            <w:r w:rsidR="000B6A2E" w:rsidRPr="00A7616D">
              <w:rPr>
                <w:rStyle w:val="Hyperlink"/>
                <w:rFonts w:ascii="Marianne" w:eastAsiaTheme="majorEastAsia" w:hAnsi="Marianne"/>
                <w:noProof/>
              </w:rPr>
              <w:t>B.8.</w:t>
            </w:r>
            <w:r w:rsidR="000B6A2E">
              <w:rPr>
                <w:rFonts w:eastAsiaTheme="minorEastAsia" w:cstheme="minorBidi"/>
                <w:i w:val="0"/>
                <w:iCs w:val="0"/>
                <w:noProof/>
                <w:szCs w:val="22"/>
                <w:lang w:val="fr-FR"/>
              </w:rPr>
              <w:tab/>
            </w:r>
            <w:r w:rsidR="000B6A2E" w:rsidRPr="00A7616D">
              <w:rPr>
                <w:rStyle w:val="Hyperlink"/>
                <w:rFonts w:eastAsiaTheme="majorEastAsia"/>
                <w:noProof/>
              </w:rPr>
              <w:t>Cross-sector policies and measures</w:t>
            </w:r>
            <w:r w:rsidR="000B6A2E">
              <w:rPr>
                <w:noProof/>
                <w:webHidden/>
              </w:rPr>
              <w:tab/>
            </w:r>
            <w:r w:rsidR="000B6A2E">
              <w:rPr>
                <w:noProof/>
                <w:webHidden/>
              </w:rPr>
              <w:fldChar w:fldCharType="begin"/>
            </w:r>
            <w:r w:rsidR="000B6A2E">
              <w:rPr>
                <w:noProof/>
                <w:webHidden/>
              </w:rPr>
              <w:instrText xml:space="preserve"> PAGEREF _Toc138341834 \h </w:instrText>
            </w:r>
            <w:r w:rsidR="000B6A2E">
              <w:rPr>
                <w:noProof/>
                <w:webHidden/>
              </w:rPr>
            </w:r>
            <w:r w:rsidR="000B6A2E">
              <w:rPr>
                <w:noProof/>
                <w:webHidden/>
              </w:rPr>
              <w:fldChar w:fldCharType="separate"/>
            </w:r>
            <w:r w:rsidR="009A2FAA">
              <w:rPr>
                <w:noProof/>
                <w:webHidden/>
              </w:rPr>
              <w:t>153</w:t>
            </w:r>
            <w:r w:rsidR="000B6A2E">
              <w:rPr>
                <w:noProof/>
                <w:webHidden/>
              </w:rPr>
              <w:fldChar w:fldCharType="end"/>
            </w:r>
          </w:hyperlink>
        </w:p>
        <w:p w14:paraId="1CC9967A" w14:textId="0E4E1705"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35" w:history="1">
            <w:r w:rsidR="000B6A2E" w:rsidRPr="00A7616D">
              <w:rPr>
                <w:rStyle w:val="Hyperlink"/>
                <w:rFonts w:eastAsiaTheme="majorEastAsia"/>
                <w:noProof/>
              </w:rPr>
              <w:t>C.</w:t>
            </w:r>
            <w:r w:rsidR="000B6A2E">
              <w:rPr>
                <w:rFonts w:eastAsiaTheme="minorEastAsia" w:cstheme="minorBidi"/>
                <w:smallCaps w:val="0"/>
                <w:noProof/>
                <w:szCs w:val="22"/>
                <w:lang w:val="fr-FR"/>
              </w:rPr>
              <w:tab/>
            </w:r>
            <w:r w:rsidR="000B6A2E" w:rsidRPr="00A7616D">
              <w:rPr>
                <w:rStyle w:val="Hyperlink"/>
                <w:rFonts w:eastAsiaTheme="majorEastAsia"/>
                <w:noProof/>
              </w:rPr>
              <w:t>Policies and measures implemented in accordance with Article 2 of the Kyoto Protocol</w:t>
            </w:r>
            <w:r w:rsidR="000B6A2E">
              <w:rPr>
                <w:noProof/>
                <w:webHidden/>
              </w:rPr>
              <w:tab/>
            </w:r>
            <w:r w:rsidR="000B6A2E">
              <w:rPr>
                <w:noProof/>
                <w:webHidden/>
              </w:rPr>
              <w:fldChar w:fldCharType="begin"/>
            </w:r>
            <w:r w:rsidR="000B6A2E">
              <w:rPr>
                <w:noProof/>
                <w:webHidden/>
              </w:rPr>
              <w:instrText xml:space="preserve"> PAGEREF _Toc138341835 \h </w:instrText>
            </w:r>
            <w:r w:rsidR="000B6A2E">
              <w:rPr>
                <w:noProof/>
                <w:webHidden/>
              </w:rPr>
            </w:r>
            <w:r w:rsidR="000B6A2E">
              <w:rPr>
                <w:noProof/>
                <w:webHidden/>
              </w:rPr>
              <w:fldChar w:fldCharType="separate"/>
            </w:r>
            <w:r w:rsidR="009A2FAA">
              <w:rPr>
                <w:noProof/>
                <w:webHidden/>
              </w:rPr>
              <w:t>155</w:t>
            </w:r>
            <w:r w:rsidR="000B6A2E">
              <w:rPr>
                <w:noProof/>
                <w:webHidden/>
              </w:rPr>
              <w:fldChar w:fldCharType="end"/>
            </w:r>
          </w:hyperlink>
        </w:p>
        <w:p w14:paraId="7C9E8661" w14:textId="7843F155"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36" w:history="1">
            <w:r w:rsidR="000B6A2E" w:rsidRPr="00A7616D">
              <w:rPr>
                <w:rStyle w:val="Hyperlink"/>
                <w:rFonts w:ascii="Marianne" w:eastAsiaTheme="majorEastAsia" w:hAnsi="Marianne"/>
                <w:noProof/>
              </w:rPr>
              <w:t>C.1.</w:t>
            </w:r>
            <w:r w:rsidR="000B6A2E">
              <w:rPr>
                <w:rFonts w:eastAsiaTheme="minorEastAsia" w:cstheme="minorBidi"/>
                <w:i w:val="0"/>
                <w:iCs w:val="0"/>
                <w:noProof/>
                <w:szCs w:val="22"/>
                <w:lang w:val="fr-FR"/>
              </w:rPr>
              <w:tab/>
            </w:r>
            <w:r w:rsidR="000B6A2E" w:rsidRPr="00A7616D">
              <w:rPr>
                <w:rStyle w:val="Hyperlink"/>
                <w:rFonts w:eastAsiaTheme="majorEastAsia"/>
                <w:noProof/>
              </w:rPr>
              <w:t>Policies and measures relating to international bunkers (Article 2.2)</w:t>
            </w:r>
            <w:r w:rsidR="000B6A2E">
              <w:rPr>
                <w:noProof/>
                <w:webHidden/>
              </w:rPr>
              <w:tab/>
            </w:r>
            <w:r w:rsidR="000B6A2E">
              <w:rPr>
                <w:noProof/>
                <w:webHidden/>
              </w:rPr>
              <w:fldChar w:fldCharType="begin"/>
            </w:r>
            <w:r w:rsidR="000B6A2E">
              <w:rPr>
                <w:noProof/>
                <w:webHidden/>
              </w:rPr>
              <w:instrText xml:space="preserve"> PAGEREF _Toc138341836 \h </w:instrText>
            </w:r>
            <w:r w:rsidR="000B6A2E">
              <w:rPr>
                <w:noProof/>
                <w:webHidden/>
              </w:rPr>
            </w:r>
            <w:r w:rsidR="000B6A2E">
              <w:rPr>
                <w:noProof/>
                <w:webHidden/>
              </w:rPr>
              <w:fldChar w:fldCharType="separate"/>
            </w:r>
            <w:r w:rsidR="009A2FAA">
              <w:rPr>
                <w:noProof/>
                <w:webHidden/>
              </w:rPr>
              <w:t>155</w:t>
            </w:r>
            <w:r w:rsidR="000B6A2E">
              <w:rPr>
                <w:noProof/>
                <w:webHidden/>
              </w:rPr>
              <w:fldChar w:fldCharType="end"/>
            </w:r>
          </w:hyperlink>
        </w:p>
        <w:p w14:paraId="6896430D" w14:textId="26B7C7AD"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37" w:history="1">
            <w:r w:rsidR="000B6A2E" w:rsidRPr="00A7616D">
              <w:rPr>
                <w:rStyle w:val="Hyperlink"/>
                <w:rFonts w:ascii="Marianne" w:eastAsiaTheme="majorEastAsia" w:hAnsi="Marianne"/>
                <w:noProof/>
              </w:rPr>
              <w:t>C.2.</w:t>
            </w:r>
            <w:r w:rsidR="000B6A2E">
              <w:rPr>
                <w:rFonts w:eastAsiaTheme="minorEastAsia" w:cstheme="minorBidi"/>
                <w:i w:val="0"/>
                <w:iCs w:val="0"/>
                <w:noProof/>
                <w:szCs w:val="22"/>
                <w:lang w:val="fr-FR"/>
              </w:rPr>
              <w:tab/>
            </w:r>
            <w:r w:rsidR="000B6A2E" w:rsidRPr="00A7616D">
              <w:rPr>
                <w:rStyle w:val="Hyperlink"/>
                <w:rFonts w:eastAsiaTheme="majorEastAsia"/>
                <w:noProof/>
              </w:rPr>
              <w:t>Minimisation of adverse effects on developing countries of policies and measures implemented (Article 2.3)</w:t>
            </w:r>
            <w:r w:rsidR="000B6A2E">
              <w:rPr>
                <w:noProof/>
                <w:webHidden/>
              </w:rPr>
              <w:tab/>
            </w:r>
            <w:r w:rsidR="000B6A2E">
              <w:rPr>
                <w:noProof/>
                <w:webHidden/>
              </w:rPr>
              <w:fldChar w:fldCharType="begin"/>
            </w:r>
            <w:r w:rsidR="000B6A2E">
              <w:rPr>
                <w:noProof/>
                <w:webHidden/>
              </w:rPr>
              <w:instrText xml:space="preserve"> PAGEREF _Toc138341837 \h </w:instrText>
            </w:r>
            <w:r w:rsidR="000B6A2E">
              <w:rPr>
                <w:noProof/>
                <w:webHidden/>
              </w:rPr>
            </w:r>
            <w:r w:rsidR="000B6A2E">
              <w:rPr>
                <w:noProof/>
                <w:webHidden/>
              </w:rPr>
              <w:fldChar w:fldCharType="separate"/>
            </w:r>
            <w:r w:rsidR="009A2FAA">
              <w:rPr>
                <w:noProof/>
                <w:webHidden/>
              </w:rPr>
              <w:t>156</w:t>
            </w:r>
            <w:r w:rsidR="000B6A2E">
              <w:rPr>
                <w:noProof/>
                <w:webHidden/>
              </w:rPr>
              <w:fldChar w:fldCharType="end"/>
            </w:r>
          </w:hyperlink>
        </w:p>
        <w:p w14:paraId="679747D3" w14:textId="44B25750" w:rsidR="000B6A2E" w:rsidRDefault="003714FB">
          <w:pPr>
            <w:pStyle w:val="TOC1"/>
            <w:rPr>
              <w:rFonts w:eastAsiaTheme="minorEastAsia" w:cstheme="minorBidi"/>
              <w:b w:val="0"/>
              <w:bCs w:val="0"/>
              <w:caps w:val="0"/>
              <w:noProof/>
              <w:szCs w:val="22"/>
              <w:lang w:val="fr-FR"/>
            </w:rPr>
          </w:pPr>
          <w:hyperlink w:anchor="_Toc138341838" w:history="1">
            <w:r w:rsidR="000B6A2E" w:rsidRPr="00A7616D">
              <w:rPr>
                <w:rStyle w:val="Hyperlink"/>
                <w:rFonts w:eastAsiaTheme="majorEastAsia"/>
                <w:noProof/>
              </w:rPr>
              <w:t>Chapter V - GHG emission projections and quantification of the impact of policies and measures</w:t>
            </w:r>
            <w:r w:rsidR="000B6A2E">
              <w:rPr>
                <w:noProof/>
                <w:webHidden/>
              </w:rPr>
              <w:tab/>
            </w:r>
            <w:r w:rsidR="000B6A2E">
              <w:rPr>
                <w:noProof/>
                <w:webHidden/>
              </w:rPr>
              <w:fldChar w:fldCharType="begin"/>
            </w:r>
            <w:r w:rsidR="000B6A2E">
              <w:rPr>
                <w:noProof/>
                <w:webHidden/>
              </w:rPr>
              <w:instrText xml:space="preserve"> PAGEREF _Toc138341838 \h </w:instrText>
            </w:r>
            <w:r w:rsidR="000B6A2E">
              <w:rPr>
                <w:noProof/>
                <w:webHidden/>
              </w:rPr>
            </w:r>
            <w:r w:rsidR="000B6A2E">
              <w:rPr>
                <w:noProof/>
                <w:webHidden/>
              </w:rPr>
              <w:fldChar w:fldCharType="separate"/>
            </w:r>
            <w:r w:rsidR="009A2FAA">
              <w:rPr>
                <w:noProof/>
                <w:webHidden/>
              </w:rPr>
              <w:t>158</w:t>
            </w:r>
            <w:r w:rsidR="000B6A2E">
              <w:rPr>
                <w:noProof/>
                <w:webHidden/>
              </w:rPr>
              <w:fldChar w:fldCharType="end"/>
            </w:r>
          </w:hyperlink>
        </w:p>
        <w:p w14:paraId="31AB5E64" w14:textId="23661D2F"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39" w:history="1">
            <w:r w:rsidR="000B6A2E" w:rsidRPr="00A7616D">
              <w:rPr>
                <w:rStyle w:val="Hyperlink"/>
                <w:rFonts w:eastAsiaTheme="majorEastAsia"/>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Projections</w:t>
            </w:r>
            <w:r w:rsidR="000B6A2E">
              <w:rPr>
                <w:noProof/>
                <w:webHidden/>
              </w:rPr>
              <w:tab/>
            </w:r>
            <w:r w:rsidR="000B6A2E">
              <w:rPr>
                <w:noProof/>
                <w:webHidden/>
              </w:rPr>
              <w:fldChar w:fldCharType="begin"/>
            </w:r>
            <w:r w:rsidR="000B6A2E">
              <w:rPr>
                <w:noProof/>
                <w:webHidden/>
              </w:rPr>
              <w:instrText xml:space="preserve"> PAGEREF _Toc138341839 \h </w:instrText>
            </w:r>
            <w:r w:rsidR="000B6A2E">
              <w:rPr>
                <w:noProof/>
                <w:webHidden/>
              </w:rPr>
            </w:r>
            <w:r w:rsidR="000B6A2E">
              <w:rPr>
                <w:noProof/>
                <w:webHidden/>
              </w:rPr>
              <w:fldChar w:fldCharType="separate"/>
            </w:r>
            <w:r w:rsidR="009A2FAA">
              <w:rPr>
                <w:noProof/>
                <w:webHidden/>
              </w:rPr>
              <w:t>158</w:t>
            </w:r>
            <w:r w:rsidR="000B6A2E">
              <w:rPr>
                <w:noProof/>
                <w:webHidden/>
              </w:rPr>
              <w:fldChar w:fldCharType="end"/>
            </w:r>
          </w:hyperlink>
        </w:p>
        <w:p w14:paraId="1650FC05" w14:textId="316DFA04"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40" w:history="1">
            <w:r w:rsidR="000B6A2E" w:rsidRPr="00A7616D">
              <w:rPr>
                <w:rStyle w:val="Hyperlink"/>
                <w:rFonts w:ascii="Marianne" w:eastAsiaTheme="majorEastAsia" w:hAnsi="Marianne"/>
                <w:noProof/>
              </w:rPr>
              <w:t>A.1.</w:t>
            </w:r>
            <w:r w:rsidR="000B6A2E">
              <w:rPr>
                <w:rFonts w:eastAsiaTheme="minorEastAsia" w:cstheme="minorBidi"/>
                <w:i w:val="0"/>
                <w:iCs w:val="0"/>
                <w:noProof/>
                <w:szCs w:val="22"/>
                <w:lang w:val="fr-FR"/>
              </w:rPr>
              <w:tab/>
            </w:r>
            <w:r w:rsidR="000B6A2E" w:rsidRPr="00A7616D">
              <w:rPr>
                <w:rStyle w:val="Hyperlink"/>
                <w:rFonts w:eastAsiaTheme="majorEastAsia"/>
                <w:noProof/>
              </w:rPr>
              <w:t>Definition of scenarios</w:t>
            </w:r>
            <w:r w:rsidR="000B6A2E">
              <w:rPr>
                <w:noProof/>
                <w:webHidden/>
              </w:rPr>
              <w:tab/>
            </w:r>
            <w:r w:rsidR="000B6A2E">
              <w:rPr>
                <w:noProof/>
                <w:webHidden/>
              </w:rPr>
              <w:fldChar w:fldCharType="begin"/>
            </w:r>
            <w:r w:rsidR="000B6A2E">
              <w:rPr>
                <w:noProof/>
                <w:webHidden/>
              </w:rPr>
              <w:instrText xml:space="preserve"> PAGEREF _Toc138341840 \h </w:instrText>
            </w:r>
            <w:r w:rsidR="000B6A2E">
              <w:rPr>
                <w:noProof/>
                <w:webHidden/>
              </w:rPr>
            </w:r>
            <w:r w:rsidR="000B6A2E">
              <w:rPr>
                <w:noProof/>
                <w:webHidden/>
              </w:rPr>
              <w:fldChar w:fldCharType="separate"/>
            </w:r>
            <w:r w:rsidR="009A2FAA">
              <w:rPr>
                <w:noProof/>
                <w:webHidden/>
              </w:rPr>
              <w:t>158</w:t>
            </w:r>
            <w:r w:rsidR="000B6A2E">
              <w:rPr>
                <w:noProof/>
                <w:webHidden/>
              </w:rPr>
              <w:fldChar w:fldCharType="end"/>
            </w:r>
          </w:hyperlink>
        </w:p>
        <w:p w14:paraId="3BE10F8D" w14:textId="739F2F6F"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41" w:history="1">
            <w:r w:rsidR="000B6A2E" w:rsidRPr="00A7616D">
              <w:rPr>
                <w:rStyle w:val="Hyperlink"/>
                <w:rFonts w:ascii="Marianne" w:eastAsiaTheme="majorEastAsia" w:hAnsi="Marianne"/>
                <w:noProof/>
              </w:rPr>
              <w:t>A.2.</w:t>
            </w:r>
            <w:r w:rsidR="000B6A2E">
              <w:rPr>
                <w:rFonts w:eastAsiaTheme="minorEastAsia" w:cstheme="minorBidi"/>
                <w:i w:val="0"/>
                <w:iCs w:val="0"/>
                <w:noProof/>
                <w:szCs w:val="22"/>
                <w:lang w:val="fr-FR"/>
              </w:rPr>
              <w:tab/>
            </w:r>
            <w:r w:rsidR="000B6A2E" w:rsidRPr="00A7616D">
              <w:rPr>
                <w:rStyle w:val="Hyperlink"/>
                <w:rFonts w:eastAsiaTheme="majorEastAsia"/>
                <w:noProof/>
              </w:rPr>
              <w:t>Sensitivity analysis</w:t>
            </w:r>
            <w:r w:rsidR="000B6A2E">
              <w:rPr>
                <w:noProof/>
                <w:webHidden/>
              </w:rPr>
              <w:tab/>
            </w:r>
            <w:r w:rsidR="000B6A2E">
              <w:rPr>
                <w:noProof/>
                <w:webHidden/>
              </w:rPr>
              <w:fldChar w:fldCharType="begin"/>
            </w:r>
            <w:r w:rsidR="000B6A2E">
              <w:rPr>
                <w:noProof/>
                <w:webHidden/>
              </w:rPr>
              <w:instrText xml:space="preserve"> PAGEREF _Toc138341841 \h </w:instrText>
            </w:r>
            <w:r w:rsidR="000B6A2E">
              <w:rPr>
                <w:noProof/>
                <w:webHidden/>
              </w:rPr>
            </w:r>
            <w:r w:rsidR="000B6A2E">
              <w:rPr>
                <w:noProof/>
                <w:webHidden/>
              </w:rPr>
              <w:fldChar w:fldCharType="separate"/>
            </w:r>
            <w:r w:rsidR="009A2FAA">
              <w:rPr>
                <w:noProof/>
                <w:webHidden/>
              </w:rPr>
              <w:t>165</w:t>
            </w:r>
            <w:r w:rsidR="000B6A2E">
              <w:rPr>
                <w:noProof/>
                <w:webHidden/>
              </w:rPr>
              <w:fldChar w:fldCharType="end"/>
            </w:r>
          </w:hyperlink>
        </w:p>
        <w:p w14:paraId="441E75DB" w14:textId="38ED95CF"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42" w:history="1">
            <w:r w:rsidR="000B6A2E" w:rsidRPr="00A7616D">
              <w:rPr>
                <w:rStyle w:val="Hyperlink"/>
                <w:rFonts w:ascii="Marianne" w:eastAsiaTheme="majorEastAsia" w:hAnsi="Marianne"/>
                <w:noProof/>
              </w:rPr>
              <w:t>A.3.</w:t>
            </w:r>
            <w:r w:rsidR="000B6A2E">
              <w:rPr>
                <w:rFonts w:eastAsiaTheme="minorEastAsia" w:cstheme="minorBidi"/>
                <w:i w:val="0"/>
                <w:iCs w:val="0"/>
                <w:noProof/>
                <w:szCs w:val="22"/>
                <w:lang w:val="fr-FR"/>
              </w:rPr>
              <w:tab/>
            </w:r>
            <w:r w:rsidR="000B6A2E" w:rsidRPr="00A7616D">
              <w:rPr>
                <w:rStyle w:val="Hyperlink"/>
                <w:rFonts w:eastAsiaTheme="majorEastAsia"/>
                <w:noProof/>
              </w:rPr>
              <w:t>Presentation of projections against actual data</w:t>
            </w:r>
            <w:r w:rsidR="000B6A2E">
              <w:rPr>
                <w:noProof/>
                <w:webHidden/>
              </w:rPr>
              <w:tab/>
            </w:r>
            <w:r w:rsidR="000B6A2E">
              <w:rPr>
                <w:noProof/>
                <w:webHidden/>
              </w:rPr>
              <w:fldChar w:fldCharType="begin"/>
            </w:r>
            <w:r w:rsidR="000B6A2E">
              <w:rPr>
                <w:noProof/>
                <w:webHidden/>
              </w:rPr>
              <w:instrText xml:space="preserve"> PAGEREF _Toc138341842 \h </w:instrText>
            </w:r>
            <w:r w:rsidR="000B6A2E">
              <w:rPr>
                <w:noProof/>
                <w:webHidden/>
              </w:rPr>
            </w:r>
            <w:r w:rsidR="000B6A2E">
              <w:rPr>
                <w:noProof/>
                <w:webHidden/>
              </w:rPr>
              <w:fldChar w:fldCharType="separate"/>
            </w:r>
            <w:r w:rsidR="009A2FAA">
              <w:rPr>
                <w:noProof/>
                <w:webHidden/>
              </w:rPr>
              <w:t>165</w:t>
            </w:r>
            <w:r w:rsidR="000B6A2E">
              <w:rPr>
                <w:noProof/>
                <w:webHidden/>
              </w:rPr>
              <w:fldChar w:fldCharType="end"/>
            </w:r>
          </w:hyperlink>
        </w:p>
        <w:p w14:paraId="5F9C2008" w14:textId="40A93C8E"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43"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Cover and presentation</w:t>
            </w:r>
            <w:r w:rsidR="000B6A2E">
              <w:rPr>
                <w:noProof/>
                <w:webHidden/>
              </w:rPr>
              <w:tab/>
            </w:r>
            <w:r w:rsidR="000B6A2E">
              <w:rPr>
                <w:noProof/>
                <w:webHidden/>
              </w:rPr>
              <w:fldChar w:fldCharType="begin"/>
            </w:r>
            <w:r w:rsidR="000B6A2E">
              <w:rPr>
                <w:noProof/>
                <w:webHidden/>
              </w:rPr>
              <w:instrText xml:space="preserve"> PAGEREF _Toc138341843 \h </w:instrText>
            </w:r>
            <w:r w:rsidR="000B6A2E">
              <w:rPr>
                <w:noProof/>
                <w:webHidden/>
              </w:rPr>
            </w:r>
            <w:r w:rsidR="000B6A2E">
              <w:rPr>
                <w:noProof/>
                <w:webHidden/>
              </w:rPr>
              <w:fldChar w:fldCharType="separate"/>
            </w:r>
            <w:r w:rsidR="009A2FAA">
              <w:rPr>
                <w:noProof/>
                <w:webHidden/>
              </w:rPr>
              <w:t>170</w:t>
            </w:r>
            <w:r w:rsidR="000B6A2E">
              <w:rPr>
                <w:noProof/>
                <w:webHidden/>
              </w:rPr>
              <w:fldChar w:fldCharType="end"/>
            </w:r>
          </w:hyperlink>
        </w:p>
        <w:p w14:paraId="0385CC12" w14:textId="0380CA29"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44" w:history="1">
            <w:r w:rsidR="000B6A2E" w:rsidRPr="00A7616D">
              <w:rPr>
                <w:rStyle w:val="Hyperlink"/>
                <w:rFonts w:ascii="Marianne" w:eastAsiaTheme="majorEastAsia" w:hAnsi="Marianne"/>
                <w:noProof/>
              </w:rPr>
              <w:t>B.1.</w:t>
            </w:r>
            <w:r w:rsidR="000B6A2E">
              <w:rPr>
                <w:rFonts w:eastAsiaTheme="minorEastAsia" w:cstheme="minorBidi"/>
                <w:i w:val="0"/>
                <w:iCs w:val="0"/>
                <w:noProof/>
                <w:szCs w:val="22"/>
                <w:lang w:val="fr-FR"/>
              </w:rPr>
              <w:tab/>
            </w:r>
            <w:r w:rsidR="000B6A2E" w:rsidRPr="00A7616D">
              <w:rPr>
                <w:rStyle w:val="Hyperlink"/>
                <w:rFonts w:eastAsiaTheme="majorEastAsia"/>
                <w:noProof/>
              </w:rPr>
              <w:t>Trends by sector of activity</w:t>
            </w:r>
            <w:r w:rsidR="000B6A2E">
              <w:rPr>
                <w:noProof/>
                <w:webHidden/>
              </w:rPr>
              <w:tab/>
            </w:r>
            <w:r w:rsidR="000B6A2E">
              <w:rPr>
                <w:noProof/>
                <w:webHidden/>
              </w:rPr>
              <w:fldChar w:fldCharType="begin"/>
            </w:r>
            <w:r w:rsidR="000B6A2E">
              <w:rPr>
                <w:noProof/>
                <w:webHidden/>
              </w:rPr>
              <w:instrText xml:space="preserve"> PAGEREF _Toc138341844 \h </w:instrText>
            </w:r>
            <w:r w:rsidR="000B6A2E">
              <w:rPr>
                <w:noProof/>
                <w:webHidden/>
              </w:rPr>
            </w:r>
            <w:r w:rsidR="000B6A2E">
              <w:rPr>
                <w:noProof/>
                <w:webHidden/>
              </w:rPr>
              <w:fldChar w:fldCharType="separate"/>
            </w:r>
            <w:r w:rsidR="009A2FAA">
              <w:rPr>
                <w:noProof/>
                <w:webHidden/>
              </w:rPr>
              <w:t>170</w:t>
            </w:r>
            <w:r w:rsidR="000B6A2E">
              <w:rPr>
                <w:noProof/>
                <w:webHidden/>
              </w:rPr>
              <w:fldChar w:fldCharType="end"/>
            </w:r>
          </w:hyperlink>
        </w:p>
        <w:p w14:paraId="3EF27700" w14:textId="46139967"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45" w:history="1">
            <w:r w:rsidR="000B6A2E" w:rsidRPr="00A7616D">
              <w:rPr>
                <w:rStyle w:val="Hyperlink"/>
                <w:rFonts w:ascii="Marianne" w:eastAsiaTheme="majorEastAsia" w:hAnsi="Marianne"/>
                <w:noProof/>
              </w:rPr>
              <w:t>B.2.</w:t>
            </w:r>
            <w:r w:rsidR="000B6A2E">
              <w:rPr>
                <w:rFonts w:eastAsiaTheme="minorEastAsia" w:cstheme="minorBidi"/>
                <w:i w:val="0"/>
                <w:iCs w:val="0"/>
                <w:noProof/>
                <w:szCs w:val="22"/>
                <w:lang w:val="fr-FR"/>
              </w:rPr>
              <w:tab/>
            </w:r>
            <w:r w:rsidR="000B6A2E" w:rsidRPr="00A7616D">
              <w:rPr>
                <w:rStyle w:val="Hyperlink"/>
                <w:rFonts w:eastAsiaTheme="majorEastAsia"/>
                <w:noProof/>
              </w:rPr>
              <w:t>Trends by gas</w:t>
            </w:r>
            <w:r w:rsidR="000B6A2E">
              <w:rPr>
                <w:noProof/>
                <w:webHidden/>
              </w:rPr>
              <w:tab/>
            </w:r>
            <w:r w:rsidR="000B6A2E">
              <w:rPr>
                <w:noProof/>
                <w:webHidden/>
              </w:rPr>
              <w:fldChar w:fldCharType="begin"/>
            </w:r>
            <w:r w:rsidR="000B6A2E">
              <w:rPr>
                <w:noProof/>
                <w:webHidden/>
              </w:rPr>
              <w:instrText xml:space="preserve"> PAGEREF _Toc138341845 \h </w:instrText>
            </w:r>
            <w:r w:rsidR="000B6A2E">
              <w:rPr>
                <w:noProof/>
                <w:webHidden/>
              </w:rPr>
            </w:r>
            <w:r w:rsidR="000B6A2E">
              <w:rPr>
                <w:noProof/>
                <w:webHidden/>
              </w:rPr>
              <w:fldChar w:fldCharType="separate"/>
            </w:r>
            <w:r w:rsidR="009A2FAA">
              <w:rPr>
                <w:noProof/>
                <w:webHidden/>
              </w:rPr>
              <w:t>175</w:t>
            </w:r>
            <w:r w:rsidR="000B6A2E">
              <w:rPr>
                <w:noProof/>
                <w:webHidden/>
              </w:rPr>
              <w:fldChar w:fldCharType="end"/>
            </w:r>
          </w:hyperlink>
        </w:p>
        <w:p w14:paraId="76CC1822" w14:textId="4B2F5FC9"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47" w:history="1">
            <w:r w:rsidR="000B6A2E" w:rsidRPr="00A7616D">
              <w:rPr>
                <w:rStyle w:val="Hyperlink"/>
                <w:rFonts w:eastAsiaTheme="majorEastAsia"/>
                <w:noProof/>
              </w:rPr>
              <w:t>C.</w:t>
            </w:r>
            <w:r w:rsidR="000B6A2E">
              <w:rPr>
                <w:rFonts w:eastAsiaTheme="minorEastAsia" w:cstheme="minorBidi"/>
                <w:smallCaps w:val="0"/>
                <w:noProof/>
                <w:szCs w:val="22"/>
                <w:lang w:val="fr-FR"/>
              </w:rPr>
              <w:tab/>
            </w:r>
            <w:r w:rsidR="000B6A2E" w:rsidRPr="00A7616D">
              <w:rPr>
                <w:rStyle w:val="Hyperlink"/>
                <w:rFonts w:eastAsiaTheme="majorEastAsia"/>
                <w:noProof/>
              </w:rPr>
              <w:t>Assessment of the overall impact of policies and measures</w:t>
            </w:r>
            <w:r w:rsidR="000B6A2E">
              <w:rPr>
                <w:noProof/>
                <w:webHidden/>
              </w:rPr>
              <w:tab/>
            </w:r>
            <w:r w:rsidR="000B6A2E">
              <w:rPr>
                <w:noProof/>
                <w:webHidden/>
              </w:rPr>
              <w:fldChar w:fldCharType="begin"/>
            </w:r>
            <w:r w:rsidR="000B6A2E">
              <w:rPr>
                <w:noProof/>
                <w:webHidden/>
              </w:rPr>
              <w:instrText xml:space="preserve"> PAGEREF _Toc138341847 \h </w:instrText>
            </w:r>
            <w:r w:rsidR="000B6A2E">
              <w:rPr>
                <w:noProof/>
                <w:webHidden/>
              </w:rPr>
            </w:r>
            <w:r w:rsidR="000B6A2E">
              <w:rPr>
                <w:noProof/>
                <w:webHidden/>
              </w:rPr>
              <w:fldChar w:fldCharType="separate"/>
            </w:r>
            <w:r w:rsidR="009A2FAA">
              <w:rPr>
                <w:noProof/>
                <w:webHidden/>
              </w:rPr>
              <w:t>201</w:t>
            </w:r>
            <w:r w:rsidR="000B6A2E">
              <w:rPr>
                <w:noProof/>
                <w:webHidden/>
              </w:rPr>
              <w:fldChar w:fldCharType="end"/>
            </w:r>
          </w:hyperlink>
        </w:p>
        <w:p w14:paraId="0EC6C817" w14:textId="3F66DC24"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48" w:history="1">
            <w:r w:rsidR="000B6A2E" w:rsidRPr="00A7616D">
              <w:rPr>
                <w:rStyle w:val="Hyperlink"/>
                <w:rFonts w:eastAsiaTheme="majorEastAsia"/>
                <w:noProof/>
              </w:rPr>
              <w:t>D.</w:t>
            </w:r>
            <w:r w:rsidR="000B6A2E">
              <w:rPr>
                <w:rFonts w:eastAsiaTheme="minorEastAsia" w:cstheme="minorBidi"/>
                <w:smallCaps w:val="0"/>
                <w:noProof/>
                <w:szCs w:val="22"/>
                <w:lang w:val="fr-FR"/>
              </w:rPr>
              <w:tab/>
            </w:r>
            <w:r w:rsidR="000B6A2E" w:rsidRPr="00A7616D">
              <w:rPr>
                <w:rStyle w:val="Hyperlink"/>
                <w:rFonts w:eastAsiaTheme="majorEastAsia"/>
                <w:noProof/>
              </w:rPr>
              <w:t>Role of credits from the mechanisms created by Articles 6, 12 and 17 of the Kyoto Protocol in achieving France's quantitative targets</w:t>
            </w:r>
            <w:r w:rsidR="000B6A2E">
              <w:rPr>
                <w:noProof/>
                <w:webHidden/>
              </w:rPr>
              <w:tab/>
            </w:r>
            <w:r w:rsidR="000B6A2E">
              <w:rPr>
                <w:noProof/>
                <w:webHidden/>
              </w:rPr>
              <w:fldChar w:fldCharType="begin"/>
            </w:r>
            <w:r w:rsidR="000B6A2E">
              <w:rPr>
                <w:noProof/>
                <w:webHidden/>
              </w:rPr>
              <w:instrText xml:space="preserve"> PAGEREF _Toc138341848 \h </w:instrText>
            </w:r>
            <w:r w:rsidR="000B6A2E">
              <w:rPr>
                <w:noProof/>
                <w:webHidden/>
              </w:rPr>
            </w:r>
            <w:r w:rsidR="000B6A2E">
              <w:rPr>
                <w:noProof/>
                <w:webHidden/>
              </w:rPr>
              <w:fldChar w:fldCharType="separate"/>
            </w:r>
            <w:r w:rsidR="009A2FAA">
              <w:rPr>
                <w:noProof/>
                <w:webHidden/>
              </w:rPr>
              <w:t>202</w:t>
            </w:r>
            <w:r w:rsidR="000B6A2E">
              <w:rPr>
                <w:noProof/>
                <w:webHidden/>
              </w:rPr>
              <w:fldChar w:fldCharType="end"/>
            </w:r>
          </w:hyperlink>
        </w:p>
        <w:p w14:paraId="7AF6D805" w14:textId="04443340"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49" w:history="1">
            <w:r w:rsidR="000B6A2E" w:rsidRPr="00A7616D">
              <w:rPr>
                <w:rStyle w:val="Hyperlink"/>
                <w:rFonts w:eastAsiaTheme="majorEastAsia"/>
                <w:noProof/>
              </w:rPr>
              <w:t>E.</w:t>
            </w:r>
            <w:r w:rsidR="000B6A2E">
              <w:rPr>
                <w:rFonts w:eastAsiaTheme="minorEastAsia" w:cstheme="minorBidi"/>
                <w:smallCaps w:val="0"/>
                <w:noProof/>
                <w:szCs w:val="22"/>
                <w:lang w:val="fr-FR"/>
              </w:rPr>
              <w:tab/>
            </w:r>
            <w:r w:rsidR="000B6A2E" w:rsidRPr="00A7616D">
              <w:rPr>
                <w:rStyle w:val="Hyperlink"/>
                <w:rFonts w:eastAsiaTheme="majorEastAsia"/>
                <w:noProof/>
              </w:rPr>
              <w:t>Methodology</w:t>
            </w:r>
            <w:r w:rsidR="000B6A2E">
              <w:rPr>
                <w:noProof/>
                <w:webHidden/>
              </w:rPr>
              <w:tab/>
            </w:r>
            <w:r w:rsidR="000B6A2E">
              <w:rPr>
                <w:noProof/>
                <w:webHidden/>
              </w:rPr>
              <w:fldChar w:fldCharType="begin"/>
            </w:r>
            <w:r w:rsidR="000B6A2E">
              <w:rPr>
                <w:noProof/>
                <w:webHidden/>
              </w:rPr>
              <w:instrText xml:space="preserve"> PAGEREF _Toc138341849 \h </w:instrText>
            </w:r>
            <w:r w:rsidR="000B6A2E">
              <w:rPr>
                <w:noProof/>
                <w:webHidden/>
              </w:rPr>
            </w:r>
            <w:r w:rsidR="000B6A2E">
              <w:rPr>
                <w:noProof/>
                <w:webHidden/>
              </w:rPr>
              <w:fldChar w:fldCharType="separate"/>
            </w:r>
            <w:r w:rsidR="009A2FAA">
              <w:rPr>
                <w:noProof/>
                <w:webHidden/>
              </w:rPr>
              <w:t>203</w:t>
            </w:r>
            <w:r w:rsidR="000B6A2E">
              <w:rPr>
                <w:noProof/>
                <w:webHidden/>
              </w:rPr>
              <w:fldChar w:fldCharType="end"/>
            </w:r>
          </w:hyperlink>
        </w:p>
        <w:p w14:paraId="6ACA2476" w14:textId="02B84F81"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50" w:history="1">
            <w:r w:rsidR="000B6A2E" w:rsidRPr="00A7616D">
              <w:rPr>
                <w:rStyle w:val="Hyperlink"/>
                <w:rFonts w:ascii="Marianne" w:eastAsiaTheme="majorEastAsia" w:hAnsi="Marianne"/>
                <w:noProof/>
              </w:rPr>
              <w:t>E.1.</w:t>
            </w:r>
            <w:r w:rsidR="000B6A2E">
              <w:rPr>
                <w:rFonts w:eastAsiaTheme="minorEastAsia" w:cstheme="minorBidi"/>
                <w:i w:val="0"/>
                <w:iCs w:val="0"/>
                <w:noProof/>
                <w:szCs w:val="22"/>
                <w:lang w:val="fr-FR"/>
              </w:rPr>
              <w:tab/>
            </w:r>
            <w:r w:rsidR="000B6A2E" w:rsidRPr="00A7616D">
              <w:rPr>
                <w:rStyle w:val="Hyperlink"/>
                <w:rFonts w:eastAsiaTheme="majorEastAsia"/>
                <w:noProof/>
              </w:rPr>
              <w:t>Modelling used</w:t>
            </w:r>
            <w:r w:rsidR="000B6A2E">
              <w:rPr>
                <w:noProof/>
                <w:webHidden/>
              </w:rPr>
              <w:tab/>
            </w:r>
            <w:r w:rsidR="000B6A2E">
              <w:rPr>
                <w:noProof/>
                <w:webHidden/>
              </w:rPr>
              <w:fldChar w:fldCharType="begin"/>
            </w:r>
            <w:r w:rsidR="000B6A2E">
              <w:rPr>
                <w:noProof/>
                <w:webHidden/>
              </w:rPr>
              <w:instrText xml:space="preserve"> PAGEREF _Toc138341850 \h </w:instrText>
            </w:r>
            <w:r w:rsidR="000B6A2E">
              <w:rPr>
                <w:noProof/>
                <w:webHidden/>
              </w:rPr>
            </w:r>
            <w:r w:rsidR="000B6A2E">
              <w:rPr>
                <w:noProof/>
                <w:webHidden/>
              </w:rPr>
              <w:fldChar w:fldCharType="separate"/>
            </w:r>
            <w:r w:rsidR="009A2FAA">
              <w:rPr>
                <w:noProof/>
                <w:webHidden/>
              </w:rPr>
              <w:t>203</w:t>
            </w:r>
            <w:r w:rsidR="000B6A2E">
              <w:rPr>
                <w:noProof/>
                <w:webHidden/>
              </w:rPr>
              <w:fldChar w:fldCharType="end"/>
            </w:r>
          </w:hyperlink>
        </w:p>
        <w:p w14:paraId="67E5AB64" w14:textId="5B7A5B59"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51" w:history="1">
            <w:r w:rsidR="000B6A2E" w:rsidRPr="00A7616D">
              <w:rPr>
                <w:rStyle w:val="Hyperlink"/>
                <w:rFonts w:ascii="Marianne" w:eastAsiaTheme="majorEastAsia" w:hAnsi="Marianne"/>
                <w:noProof/>
              </w:rPr>
              <w:t>E.2.</w:t>
            </w:r>
            <w:r w:rsidR="000B6A2E">
              <w:rPr>
                <w:rFonts w:eastAsiaTheme="minorEastAsia" w:cstheme="minorBidi"/>
                <w:i w:val="0"/>
                <w:iCs w:val="0"/>
                <w:noProof/>
                <w:szCs w:val="22"/>
                <w:lang w:val="fr-FR"/>
              </w:rPr>
              <w:tab/>
            </w:r>
            <w:r w:rsidR="000B6A2E" w:rsidRPr="00A7616D">
              <w:rPr>
                <w:rStyle w:val="Hyperlink"/>
                <w:rFonts w:eastAsiaTheme="majorEastAsia"/>
                <w:noProof/>
              </w:rPr>
              <w:t>Baseline scenario assumptions</w:t>
            </w:r>
            <w:r w:rsidR="000B6A2E">
              <w:rPr>
                <w:noProof/>
                <w:webHidden/>
              </w:rPr>
              <w:tab/>
            </w:r>
            <w:r w:rsidR="000B6A2E">
              <w:rPr>
                <w:noProof/>
                <w:webHidden/>
              </w:rPr>
              <w:fldChar w:fldCharType="begin"/>
            </w:r>
            <w:r w:rsidR="000B6A2E">
              <w:rPr>
                <w:noProof/>
                <w:webHidden/>
              </w:rPr>
              <w:instrText xml:space="preserve"> PAGEREF _Toc138341851 \h </w:instrText>
            </w:r>
            <w:r w:rsidR="000B6A2E">
              <w:rPr>
                <w:noProof/>
                <w:webHidden/>
              </w:rPr>
            </w:r>
            <w:r w:rsidR="000B6A2E">
              <w:rPr>
                <w:noProof/>
                <w:webHidden/>
              </w:rPr>
              <w:fldChar w:fldCharType="separate"/>
            </w:r>
            <w:r w:rsidR="009A2FAA">
              <w:rPr>
                <w:noProof/>
                <w:webHidden/>
              </w:rPr>
              <w:t>206</w:t>
            </w:r>
            <w:r w:rsidR="000B6A2E">
              <w:rPr>
                <w:noProof/>
                <w:webHidden/>
              </w:rPr>
              <w:fldChar w:fldCharType="end"/>
            </w:r>
          </w:hyperlink>
        </w:p>
        <w:p w14:paraId="70ED0426" w14:textId="6863D9B3" w:rsidR="000B6A2E" w:rsidRDefault="003714FB">
          <w:pPr>
            <w:pStyle w:val="TOC1"/>
            <w:rPr>
              <w:rFonts w:eastAsiaTheme="minorEastAsia" w:cstheme="minorBidi"/>
              <w:b w:val="0"/>
              <w:bCs w:val="0"/>
              <w:caps w:val="0"/>
              <w:noProof/>
              <w:szCs w:val="22"/>
              <w:lang w:val="fr-FR"/>
            </w:rPr>
          </w:pPr>
          <w:hyperlink w:anchor="_Toc138341852" w:history="1">
            <w:r w:rsidR="000B6A2E" w:rsidRPr="00A7616D">
              <w:rPr>
                <w:rStyle w:val="Hyperlink"/>
                <w:rFonts w:eastAsiaTheme="majorEastAsia"/>
                <w:noProof/>
              </w:rPr>
              <w:t>Chapter VI - Impact, vulnerability and adaptation</w:t>
            </w:r>
            <w:r w:rsidR="000B6A2E">
              <w:rPr>
                <w:noProof/>
                <w:webHidden/>
              </w:rPr>
              <w:tab/>
            </w:r>
            <w:r w:rsidR="000B6A2E">
              <w:rPr>
                <w:noProof/>
                <w:webHidden/>
              </w:rPr>
              <w:fldChar w:fldCharType="begin"/>
            </w:r>
            <w:r w:rsidR="000B6A2E">
              <w:rPr>
                <w:noProof/>
                <w:webHidden/>
              </w:rPr>
              <w:instrText xml:space="preserve"> PAGEREF _Toc138341852 \h </w:instrText>
            </w:r>
            <w:r w:rsidR="000B6A2E">
              <w:rPr>
                <w:noProof/>
                <w:webHidden/>
              </w:rPr>
            </w:r>
            <w:r w:rsidR="000B6A2E">
              <w:rPr>
                <w:noProof/>
                <w:webHidden/>
              </w:rPr>
              <w:fldChar w:fldCharType="separate"/>
            </w:r>
            <w:r w:rsidR="009A2FAA">
              <w:rPr>
                <w:noProof/>
                <w:webHidden/>
              </w:rPr>
              <w:t>211</w:t>
            </w:r>
            <w:r w:rsidR="000B6A2E">
              <w:rPr>
                <w:noProof/>
                <w:webHidden/>
              </w:rPr>
              <w:fldChar w:fldCharType="end"/>
            </w:r>
          </w:hyperlink>
        </w:p>
        <w:p w14:paraId="4FC52A6D" w14:textId="748B54FC"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53" w:history="1">
            <w:r w:rsidR="000B6A2E" w:rsidRPr="00A7616D">
              <w:rPr>
                <w:rStyle w:val="Hyperlink"/>
                <w:rFonts w:eastAsiaTheme="majorEastAsia"/>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Modelling, Predictions, and Scenarios</w:t>
            </w:r>
            <w:r w:rsidR="000B6A2E">
              <w:rPr>
                <w:noProof/>
                <w:webHidden/>
              </w:rPr>
              <w:tab/>
            </w:r>
            <w:r w:rsidR="000B6A2E">
              <w:rPr>
                <w:noProof/>
                <w:webHidden/>
              </w:rPr>
              <w:fldChar w:fldCharType="begin"/>
            </w:r>
            <w:r w:rsidR="000B6A2E">
              <w:rPr>
                <w:noProof/>
                <w:webHidden/>
              </w:rPr>
              <w:instrText xml:space="preserve"> PAGEREF _Toc138341853 \h </w:instrText>
            </w:r>
            <w:r w:rsidR="000B6A2E">
              <w:rPr>
                <w:noProof/>
                <w:webHidden/>
              </w:rPr>
            </w:r>
            <w:r w:rsidR="000B6A2E">
              <w:rPr>
                <w:noProof/>
                <w:webHidden/>
              </w:rPr>
              <w:fldChar w:fldCharType="separate"/>
            </w:r>
            <w:r w:rsidR="009A2FAA">
              <w:rPr>
                <w:noProof/>
                <w:webHidden/>
              </w:rPr>
              <w:t>213</w:t>
            </w:r>
            <w:r w:rsidR="000B6A2E">
              <w:rPr>
                <w:noProof/>
                <w:webHidden/>
              </w:rPr>
              <w:fldChar w:fldCharType="end"/>
            </w:r>
          </w:hyperlink>
        </w:p>
        <w:p w14:paraId="59F984EB" w14:textId="0D38020E"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54" w:history="1">
            <w:r w:rsidR="000B6A2E" w:rsidRPr="00A7616D">
              <w:rPr>
                <w:rStyle w:val="Hyperlink"/>
                <w:rFonts w:ascii="Marianne" w:eastAsiaTheme="majorEastAsia" w:hAnsi="Marianne"/>
                <w:noProof/>
              </w:rPr>
              <w:t>A.1.</w:t>
            </w:r>
            <w:r w:rsidR="000B6A2E">
              <w:rPr>
                <w:rFonts w:eastAsiaTheme="minorEastAsia" w:cstheme="minorBidi"/>
                <w:i w:val="0"/>
                <w:iCs w:val="0"/>
                <w:noProof/>
                <w:szCs w:val="22"/>
                <w:lang w:val="fr-FR"/>
              </w:rPr>
              <w:tab/>
            </w:r>
            <w:r w:rsidR="000B6A2E" w:rsidRPr="00A7616D">
              <w:rPr>
                <w:rStyle w:val="Hyperlink"/>
                <w:rFonts w:eastAsiaTheme="majorEastAsia"/>
                <w:noProof/>
              </w:rPr>
              <w:t>Observed developments and trends</w:t>
            </w:r>
            <w:r w:rsidR="000B6A2E">
              <w:rPr>
                <w:noProof/>
                <w:webHidden/>
              </w:rPr>
              <w:tab/>
            </w:r>
            <w:r w:rsidR="000B6A2E">
              <w:rPr>
                <w:noProof/>
                <w:webHidden/>
              </w:rPr>
              <w:fldChar w:fldCharType="begin"/>
            </w:r>
            <w:r w:rsidR="000B6A2E">
              <w:rPr>
                <w:noProof/>
                <w:webHidden/>
              </w:rPr>
              <w:instrText xml:space="preserve"> PAGEREF _Toc138341854 \h </w:instrText>
            </w:r>
            <w:r w:rsidR="000B6A2E">
              <w:rPr>
                <w:noProof/>
                <w:webHidden/>
              </w:rPr>
            </w:r>
            <w:r w:rsidR="000B6A2E">
              <w:rPr>
                <w:noProof/>
                <w:webHidden/>
              </w:rPr>
              <w:fldChar w:fldCharType="separate"/>
            </w:r>
            <w:r w:rsidR="009A2FAA">
              <w:rPr>
                <w:noProof/>
                <w:webHidden/>
              </w:rPr>
              <w:t>213</w:t>
            </w:r>
            <w:r w:rsidR="000B6A2E">
              <w:rPr>
                <w:noProof/>
                <w:webHidden/>
              </w:rPr>
              <w:fldChar w:fldCharType="end"/>
            </w:r>
          </w:hyperlink>
        </w:p>
        <w:p w14:paraId="546D05BC" w14:textId="5C6E9AC4"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55" w:history="1">
            <w:r w:rsidR="000B6A2E" w:rsidRPr="00A7616D">
              <w:rPr>
                <w:rStyle w:val="Hyperlink"/>
                <w:rFonts w:ascii="Marianne" w:eastAsiaTheme="majorEastAsia" w:hAnsi="Marianne"/>
                <w:noProof/>
              </w:rPr>
              <w:t>A.2.</w:t>
            </w:r>
            <w:r w:rsidR="000B6A2E">
              <w:rPr>
                <w:rFonts w:eastAsiaTheme="minorEastAsia" w:cstheme="minorBidi"/>
                <w:i w:val="0"/>
                <w:iCs w:val="0"/>
                <w:noProof/>
                <w:szCs w:val="22"/>
                <w:lang w:val="fr-FR"/>
              </w:rPr>
              <w:tab/>
            </w:r>
            <w:r w:rsidR="000B6A2E" w:rsidRPr="00A7616D">
              <w:rPr>
                <w:rStyle w:val="Hyperlink"/>
                <w:rFonts w:eastAsiaTheme="majorEastAsia"/>
                <w:noProof/>
              </w:rPr>
              <w:t>Picturing Future Climate</w:t>
            </w:r>
            <w:r w:rsidR="000B6A2E">
              <w:rPr>
                <w:noProof/>
                <w:webHidden/>
              </w:rPr>
              <w:tab/>
            </w:r>
            <w:r w:rsidR="000B6A2E">
              <w:rPr>
                <w:noProof/>
                <w:webHidden/>
              </w:rPr>
              <w:fldChar w:fldCharType="begin"/>
            </w:r>
            <w:r w:rsidR="000B6A2E">
              <w:rPr>
                <w:noProof/>
                <w:webHidden/>
              </w:rPr>
              <w:instrText xml:space="preserve"> PAGEREF _Toc138341855 \h </w:instrText>
            </w:r>
            <w:r w:rsidR="000B6A2E">
              <w:rPr>
                <w:noProof/>
                <w:webHidden/>
              </w:rPr>
            </w:r>
            <w:r w:rsidR="000B6A2E">
              <w:rPr>
                <w:noProof/>
                <w:webHidden/>
              </w:rPr>
              <w:fldChar w:fldCharType="separate"/>
            </w:r>
            <w:r w:rsidR="009A2FAA">
              <w:rPr>
                <w:noProof/>
                <w:webHidden/>
              </w:rPr>
              <w:t>216</w:t>
            </w:r>
            <w:r w:rsidR="000B6A2E">
              <w:rPr>
                <w:noProof/>
                <w:webHidden/>
              </w:rPr>
              <w:fldChar w:fldCharType="end"/>
            </w:r>
          </w:hyperlink>
        </w:p>
        <w:p w14:paraId="7581D961" w14:textId="5EA073F3"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56" w:history="1">
            <w:r w:rsidR="000B6A2E" w:rsidRPr="00A7616D">
              <w:rPr>
                <w:rStyle w:val="Hyperlink"/>
                <w:rFonts w:ascii="Marianne" w:eastAsiaTheme="majorEastAsia" w:hAnsi="Marianne"/>
                <w:noProof/>
              </w:rPr>
              <w:t>A.3.</w:t>
            </w:r>
            <w:r w:rsidR="000B6A2E">
              <w:rPr>
                <w:rFonts w:eastAsiaTheme="minorEastAsia" w:cstheme="minorBidi"/>
                <w:i w:val="0"/>
                <w:iCs w:val="0"/>
                <w:noProof/>
                <w:szCs w:val="22"/>
                <w:lang w:val="fr-FR"/>
              </w:rPr>
              <w:tab/>
            </w:r>
            <w:r w:rsidR="000B6A2E" w:rsidRPr="00A7616D">
              <w:rPr>
                <w:rStyle w:val="Hyperlink"/>
                <w:rFonts w:eastAsiaTheme="majorEastAsia"/>
                <w:noProof/>
              </w:rPr>
              <w:t>Expected impacts of climate change</w:t>
            </w:r>
            <w:r w:rsidR="000B6A2E">
              <w:rPr>
                <w:noProof/>
                <w:webHidden/>
              </w:rPr>
              <w:tab/>
            </w:r>
            <w:r w:rsidR="000B6A2E">
              <w:rPr>
                <w:noProof/>
                <w:webHidden/>
              </w:rPr>
              <w:fldChar w:fldCharType="begin"/>
            </w:r>
            <w:r w:rsidR="000B6A2E">
              <w:rPr>
                <w:noProof/>
                <w:webHidden/>
              </w:rPr>
              <w:instrText xml:space="preserve"> PAGEREF _Toc138341856 \h </w:instrText>
            </w:r>
            <w:r w:rsidR="000B6A2E">
              <w:rPr>
                <w:noProof/>
                <w:webHidden/>
              </w:rPr>
            </w:r>
            <w:r w:rsidR="000B6A2E">
              <w:rPr>
                <w:noProof/>
                <w:webHidden/>
              </w:rPr>
              <w:fldChar w:fldCharType="separate"/>
            </w:r>
            <w:r w:rsidR="009A2FAA">
              <w:rPr>
                <w:noProof/>
                <w:webHidden/>
              </w:rPr>
              <w:t>217</w:t>
            </w:r>
            <w:r w:rsidR="000B6A2E">
              <w:rPr>
                <w:noProof/>
                <w:webHidden/>
              </w:rPr>
              <w:fldChar w:fldCharType="end"/>
            </w:r>
          </w:hyperlink>
        </w:p>
        <w:p w14:paraId="117D6783" w14:textId="5E263F12"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57"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Assessment of hazards and vulnerability to climate change</w:t>
            </w:r>
            <w:r w:rsidR="000B6A2E">
              <w:rPr>
                <w:noProof/>
                <w:webHidden/>
              </w:rPr>
              <w:tab/>
            </w:r>
            <w:r w:rsidR="000B6A2E">
              <w:rPr>
                <w:noProof/>
                <w:webHidden/>
              </w:rPr>
              <w:fldChar w:fldCharType="begin"/>
            </w:r>
            <w:r w:rsidR="000B6A2E">
              <w:rPr>
                <w:noProof/>
                <w:webHidden/>
              </w:rPr>
              <w:instrText xml:space="preserve"> PAGEREF _Toc138341857 \h </w:instrText>
            </w:r>
            <w:r w:rsidR="000B6A2E">
              <w:rPr>
                <w:noProof/>
                <w:webHidden/>
              </w:rPr>
            </w:r>
            <w:r w:rsidR="000B6A2E">
              <w:rPr>
                <w:noProof/>
                <w:webHidden/>
              </w:rPr>
              <w:fldChar w:fldCharType="separate"/>
            </w:r>
            <w:r w:rsidR="009A2FAA">
              <w:rPr>
                <w:noProof/>
                <w:webHidden/>
              </w:rPr>
              <w:t>222</w:t>
            </w:r>
            <w:r w:rsidR="000B6A2E">
              <w:rPr>
                <w:noProof/>
                <w:webHidden/>
              </w:rPr>
              <w:fldChar w:fldCharType="end"/>
            </w:r>
          </w:hyperlink>
        </w:p>
        <w:p w14:paraId="12F8B714" w14:textId="6C215F39"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58" w:history="1">
            <w:r w:rsidR="000B6A2E" w:rsidRPr="00A7616D">
              <w:rPr>
                <w:rStyle w:val="Hyperlink"/>
                <w:rFonts w:eastAsiaTheme="majorEastAsia"/>
                <w:noProof/>
              </w:rPr>
              <w:t>C.</w:t>
            </w:r>
            <w:r w:rsidR="000B6A2E">
              <w:rPr>
                <w:rFonts w:eastAsiaTheme="minorEastAsia" w:cstheme="minorBidi"/>
                <w:smallCaps w:val="0"/>
                <w:noProof/>
                <w:szCs w:val="22"/>
                <w:lang w:val="fr-FR"/>
              </w:rPr>
              <w:tab/>
            </w:r>
            <w:r w:rsidR="000B6A2E" w:rsidRPr="00A7616D">
              <w:rPr>
                <w:rStyle w:val="Hyperlink"/>
                <w:rFonts w:eastAsiaTheme="majorEastAsia"/>
                <w:noProof/>
              </w:rPr>
              <w:t>Impacts of Climate Change</w:t>
            </w:r>
            <w:r w:rsidR="000B6A2E">
              <w:rPr>
                <w:noProof/>
                <w:webHidden/>
              </w:rPr>
              <w:tab/>
            </w:r>
            <w:r w:rsidR="000B6A2E">
              <w:rPr>
                <w:noProof/>
                <w:webHidden/>
              </w:rPr>
              <w:fldChar w:fldCharType="begin"/>
            </w:r>
            <w:r w:rsidR="000B6A2E">
              <w:rPr>
                <w:noProof/>
                <w:webHidden/>
              </w:rPr>
              <w:instrText xml:space="preserve"> PAGEREF _Toc138341858 \h </w:instrText>
            </w:r>
            <w:r w:rsidR="000B6A2E">
              <w:rPr>
                <w:noProof/>
                <w:webHidden/>
              </w:rPr>
            </w:r>
            <w:r w:rsidR="000B6A2E">
              <w:rPr>
                <w:noProof/>
                <w:webHidden/>
              </w:rPr>
              <w:fldChar w:fldCharType="separate"/>
            </w:r>
            <w:r w:rsidR="009A2FAA">
              <w:rPr>
                <w:noProof/>
                <w:webHidden/>
              </w:rPr>
              <w:t>226</w:t>
            </w:r>
            <w:r w:rsidR="000B6A2E">
              <w:rPr>
                <w:noProof/>
                <w:webHidden/>
              </w:rPr>
              <w:fldChar w:fldCharType="end"/>
            </w:r>
          </w:hyperlink>
        </w:p>
        <w:p w14:paraId="6A942D5D" w14:textId="0A4C29A4"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59" w:history="1">
            <w:r w:rsidR="000B6A2E" w:rsidRPr="00A7616D">
              <w:rPr>
                <w:rStyle w:val="Hyperlink"/>
                <w:rFonts w:eastAsiaTheme="majorEastAsia"/>
                <w:noProof/>
              </w:rPr>
              <w:t>D.</w:t>
            </w:r>
            <w:r w:rsidR="000B6A2E">
              <w:rPr>
                <w:rFonts w:eastAsiaTheme="minorEastAsia" w:cstheme="minorBidi"/>
                <w:smallCaps w:val="0"/>
                <w:noProof/>
                <w:szCs w:val="22"/>
                <w:lang w:val="fr-FR"/>
              </w:rPr>
              <w:tab/>
            </w:r>
            <w:r w:rsidR="000B6A2E" w:rsidRPr="00A7616D">
              <w:rPr>
                <w:rStyle w:val="Hyperlink"/>
                <w:rFonts w:eastAsiaTheme="majorEastAsia"/>
                <w:noProof/>
              </w:rPr>
              <w:t>National adaptation policies and strategies</w:t>
            </w:r>
            <w:r w:rsidR="000B6A2E">
              <w:rPr>
                <w:noProof/>
                <w:webHidden/>
              </w:rPr>
              <w:tab/>
            </w:r>
            <w:r w:rsidR="000B6A2E">
              <w:rPr>
                <w:noProof/>
                <w:webHidden/>
              </w:rPr>
              <w:fldChar w:fldCharType="begin"/>
            </w:r>
            <w:r w:rsidR="000B6A2E">
              <w:rPr>
                <w:noProof/>
                <w:webHidden/>
              </w:rPr>
              <w:instrText xml:space="preserve"> PAGEREF _Toc138341859 \h </w:instrText>
            </w:r>
            <w:r w:rsidR="000B6A2E">
              <w:rPr>
                <w:noProof/>
                <w:webHidden/>
              </w:rPr>
            </w:r>
            <w:r w:rsidR="000B6A2E">
              <w:rPr>
                <w:noProof/>
                <w:webHidden/>
              </w:rPr>
              <w:fldChar w:fldCharType="separate"/>
            </w:r>
            <w:r w:rsidR="009A2FAA">
              <w:rPr>
                <w:noProof/>
                <w:webHidden/>
              </w:rPr>
              <w:t>230</w:t>
            </w:r>
            <w:r w:rsidR="000B6A2E">
              <w:rPr>
                <w:noProof/>
                <w:webHidden/>
              </w:rPr>
              <w:fldChar w:fldCharType="end"/>
            </w:r>
          </w:hyperlink>
        </w:p>
        <w:p w14:paraId="519D4457" w14:textId="6A79611F"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60" w:history="1">
            <w:r w:rsidR="000B6A2E" w:rsidRPr="00A7616D">
              <w:rPr>
                <w:rStyle w:val="Hyperlink"/>
                <w:rFonts w:ascii="Marianne" w:eastAsiaTheme="majorEastAsia" w:hAnsi="Marianne"/>
                <w:noProof/>
              </w:rPr>
              <w:t>D.1.</w:t>
            </w:r>
            <w:r w:rsidR="000B6A2E">
              <w:rPr>
                <w:rFonts w:eastAsiaTheme="minorEastAsia" w:cstheme="minorBidi"/>
                <w:i w:val="0"/>
                <w:iCs w:val="0"/>
                <w:noProof/>
                <w:szCs w:val="22"/>
                <w:lang w:val="fr-FR"/>
              </w:rPr>
              <w:tab/>
            </w:r>
            <w:r w:rsidR="000B6A2E" w:rsidRPr="00A7616D">
              <w:rPr>
                <w:rStyle w:val="Hyperlink"/>
                <w:rFonts w:eastAsiaTheme="majorEastAsia"/>
                <w:noProof/>
              </w:rPr>
              <w:t>The Climate and Resilience Law</w:t>
            </w:r>
            <w:r w:rsidR="000B6A2E">
              <w:rPr>
                <w:noProof/>
                <w:webHidden/>
              </w:rPr>
              <w:tab/>
            </w:r>
            <w:r w:rsidR="000B6A2E">
              <w:rPr>
                <w:noProof/>
                <w:webHidden/>
              </w:rPr>
              <w:fldChar w:fldCharType="begin"/>
            </w:r>
            <w:r w:rsidR="000B6A2E">
              <w:rPr>
                <w:noProof/>
                <w:webHidden/>
              </w:rPr>
              <w:instrText xml:space="preserve"> PAGEREF _Toc138341860 \h </w:instrText>
            </w:r>
            <w:r w:rsidR="000B6A2E">
              <w:rPr>
                <w:noProof/>
                <w:webHidden/>
              </w:rPr>
            </w:r>
            <w:r w:rsidR="000B6A2E">
              <w:rPr>
                <w:noProof/>
                <w:webHidden/>
              </w:rPr>
              <w:fldChar w:fldCharType="separate"/>
            </w:r>
            <w:r w:rsidR="009A2FAA">
              <w:rPr>
                <w:noProof/>
                <w:webHidden/>
              </w:rPr>
              <w:t>230</w:t>
            </w:r>
            <w:r w:rsidR="000B6A2E">
              <w:rPr>
                <w:noProof/>
                <w:webHidden/>
              </w:rPr>
              <w:fldChar w:fldCharType="end"/>
            </w:r>
          </w:hyperlink>
        </w:p>
        <w:p w14:paraId="1953AB9A" w14:textId="226032E1"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61" w:history="1">
            <w:r w:rsidR="000B6A2E" w:rsidRPr="00A7616D">
              <w:rPr>
                <w:rStyle w:val="Hyperlink"/>
                <w:rFonts w:ascii="Marianne" w:eastAsiaTheme="majorEastAsia" w:hAnsi="Marianne"/>
                <w:noProof/>
              </w:rPr>
              <w:t>D.2.</w:t>
            </w:r>
            <w:r w:rsidR="000B6A2E">
              <w:rPr>
                <w:rFonts w:eastAsiaTheme="minorEastAsia" w:cstheme="minorBidi"/>
                <w:i w:val="0"/>
                <w:iCs w:val="0"/>
                <w:noProof/>
                <w:szCs w:val="22"/>
                <w:lang w:val="fr-FR"/>
              </w:rPr>
              <w:tab/>
            </w:r>
            <w:r w:rsidR="000B6A2E" w:rsidRPr="00A7616D">
              <w:rPr>
                <w:rStyle w:val="Hyperlink"/>
                <w:rFonts w:eastAsiaTheme="majorEastAsia"/>
                <w:noProof/>
              </w:rPr>
              <w:t>France's Climate Plan</w:t>
            </w:r>
            <w:r w:rsidR="000B6A2E">
              <w:rPr>
                <w:noProof/>
                <w:webHidden/>
              </w:rPr>
              <w:tab/>
            </w:r>
            <w:r w:rsidR="000B6A2E">
              <w:rPr>
                <w:noProof/>
                <w:webHidden/>
              </w:rPr>
              <w:fldChar w:fldCharType="begin"/>
            </w:r>
            <w:r w:rsidR="000B6A2E">
              <w:rPr>
                <w:noProof/>
                <w:webHidden/>
              </w:rPr>
              <w:instrText xml:space="preserve"> PAGEREF _Toc138341861 \h </w:instrText>
            </w:r>
            <w:r w:rsidR="000B6A2E">
              <w:rPr>
                <w:noProof/>
                <w:webHidden/>
              </w:rPr>
            </w:r>
            <w:r w:rsidR="000B6A2E">
              <w:rPr>
                <w:noProof/>
                <w:webHidden/>
              </w:rPr>
              <w:fldChar w:fldCharType="separate"/>
            </w:r>
            <w:r w:rsidR="009A2FAA">
              <w:rPr>
                <w:noProof/>
                <w:webHidden/>
              </w:rPr>
              <w:t>230</w:t>
            </w:r>
            <w:r w:rsidR="000B6A2E">
              <w:rPr>
                <w:noProof/>
                <w:webHidden/>
              </w:rPr>
              <w:fldChar w:fldCharType="end"/>
            </w:r>
          </w:hyperlink>
        </w:p>
        <w:p w14:paraId="39EAFF4C" w14:textId="348F13BE"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62" w:history="1">
            <w:r w:rsidR="000B6A2E" w:rsidRPr="00A7616D">
              <w:rPr>
                <w:rStyle w:val="Hyperlink"/>
                <w:rFonts w:ascii="Marianne" w:eastAsiaTheme="majorEastAsia" w:hAnsi="Marianne"/>
                <w:noProof/>
              </w:rPr>
              <w:t>D.3.</w:t>
            </w:r>
            <w:r w:rsidR="000B6A2E">
              <w:rPr>
                <w:rFonts w:eastAsiaTheme="minorEastAsia" w:cstheme="minorBidi"/>
                <w:i w:val="0"/>
                <w:iCs w:val="0"/>
                <w:noProof/>
                <w:szCs w:val="22"/>
                <w:lang w:val="fr-FR"/>
              </w:rPr>
              <w:tab/>
            </w:r>
            <w:r w:rsidR="000B6A2E" w:rsidRPr="00A7616D">
              <w:rPr>
                <w:rStyle w:val="Hyperlink"/>
                <w:rFonts w:eastAsiaTheme="majorEastAsia"/>
                <w:noProof/>
              </w:rPr>
              <w:t>France's National Adaptation Strategy</w:t>
            </w:r>
            <w:r w:rsidR="000B6A2E">
              <w:rPr>
                <w:noProof/>
                <w:webHidden/>
              </w:rPr>
              <w:tab/>
            </w:r>
            <w:r w:rsidR="000B6A2E">
              <w:rPr>
                <w:noProof/>
                <w:webHidden/>
              </w:rPr>
              <w:fldChar w:fldCharType="begin"/>
            </w:r>
            <w:r w:rsidR="000B6A2E">
              <w:rPr>
                <w:noProof/>
                <w:webHidden/>
              </w:rPr>
              <w:instrText xml:space="preserve"> PAGEREF _Toc138341862 \h </w:instrText>
            </w:r>
            <w:r w:rsidR="000B6A2E">
              <w:rPr>
                <w:noProof/>
                <w:webHidden/>
              </w:rPr>
            </w:r>
            <w:r w:rsidR="000B6A2E">
              <w:rPr>
                <w:noProof/>
                <w:webHidden/>
              </w:rPr>
              <w:fldChar w:fldCharType="separate"/>
            </w:r>
            <w:r w:rsidR="009A2FAA">
              <w:rPr>
                <w:noProof/>
                <w:webHidden/>
              </w:rPr>
              <w:t>231</w:t>
            </w:r>
            <w:r w:rsidR="000B6A2E">
              <w:rPr>
                <w:noProof/>
                <w:webHidden/>
              </w:rPr>
              <w:fldChar w:fldCharType="end"/>
            </w:r>
          </w:hyperlink>
        </w:p>
        <w:p w14:paraId="0750E3F9" w14:textId="2A3BAD2E"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63" w:history="1">
            <w:r w:rsidR="000B6A2E" w:rsidRPr="00A7616D">
              <w:rPr>
                <w:rStyle w:val="Hyperlink"/>
                <w:rFonts w:ascii="Marianne" w:eastAsiaTheme="majorEastAsia" w:hAnsi="Marianne"/>
                <w:noProof/>
              </w:rPr>
              <w:t>D.4.</w:t>
            </w:r>
            <w:r w:rsidR="000B6A2E">
              <w:rPr>
                <w:rFonts w:eastAsiaTheme="minorEastAsia" w:cstheme="minorBidi"/>
                <w:i w:val="0"/>
                <w:iCs w:val="0"/>
                <w:noProof/>
                <w:szCs w:val="22"/>
                <w:lang w:val="fr-FR"/>
              </w:rPr>
              <w:tab/>
            </w:r>
            <w:r w:rsidR="000B6A2E" w:rsidRPr="00A7616D">
              <w:rPr>
                <w:rStyle w:val="Hyperlink"/>
                <w:rFonts w:eastAsiaTheme="majorEastAsia"/>
                <w:noProof/>
              </w:rPr>
              <w:t>The National Climate Change Adaptation Plan</w:t>
            </w:r>
            <w:r w:rsidR="000B6A2E">
              <w:rPr>
                <w:noProof/>
                <w:webHidden/>
              </w:rPr>
              <w:tab/>
            </w:r>
            <w:r w:rsidR="000B6A2E">
              <w:rPr>
                <w:noProof/>
                <w:webHidden/>
              </w:rPr>
              <w:fldChar w:fldCharType="begin"/>
            </w:r>
            <w:r w:rsidR="000B6A2E">
              <w:rPr>
                <w:noProof/>
                <w:webHidden/>
              </w:rPr>
              <w:instrText xml:space="preserve"> PAGEREF _Toc138341863 \h </w:instrText>
            </w:r>
            <w:r w:rsidR="000B6A2E">
              <w:rPr>
                <w:noProof/>
                <w:webHidden/>
              </w:rPr>
            </w:r>
            <w:r w:rsidR="000B6A2E">
              <w:rPr>
                <w:noProof/>
                <w:webHidden/>
              </w:rPr>
              <w:fldChar w:fldCharType="separate"/>
            </w:r>
            <w:r w:rsidR="009A2FAA">
              <w:rPr>
                <w:noProof/>
                <w:webHidden/>
              </w:rPr>
              <w:t>231</w:t>
            </w:r>
            <w:r w:rsidR="000B6A2E">
              <w:rPr>
                <w:noProof/>
                <w:webHidden/>
              </w:rPr>
              <w:fldChar w:fldCharType="end"/>
            </w:r>
          </w:hyperlink>
        </w:p>
        <w:p w14:paraId="4546875F" w14:textId="26A075BB"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64" w:history="1">
            <w:r w:rsidR="000B6A2E" w:rsidRPr="00A7616D">
              <w:rPr>
                <w:rStyle w:val="Hyperlink"/>
                <w:rFonts w:ascii="Marianne" w:eastAsiaTheme="majorEastAsia" w:hAnsi="Marianne"/>
                <w:noProof/>
              </w:rPr>
              <w:t>D.5.</w:t>
            </w:r>
            <w:r w:rsidR="000B6A2E">
              <w:rPr>
                <w:rFonts w:eastAsiaTheme="minorEastAsia" w:cstheme="minorBidi"/>
                <w:i w:val="0"/>
                <w:iCs w:val="0"/>
                <w:noProof/>
                <w:szCs w:val="22"/>
                <w:lang w:val="fr-FR"/>
              </w:rPr>
              <w:tab/>
            </w:r>
            <w:r w:rsidR="000B6A2E" w:rsidRPr="00A7616D">
              <w:rPr>
                <w:rStyle w:val="Hyperlink"/>
                <w:rFonts w:eastAsiaTheme="majorEastAsia"/>
                <w:noProof/>
              </w:rPr>
              <w:t>The action of local authorities</w:t>
            </w:r>
            <w:r w:rsidR="000B6A2E">
              <w:rPr>
                <w:noProof/>
                <w:webHidden/>
              </w:rPr>
              <w:tab/>
            </w:r>
            <w:r w:rsidR="000B6A2E">
              <w:rPr>
                <w:noProof/>
                <w:webHidden/>
              </w:rPr>
              <w:fldChar w:fldCharType="begin"/>
            </w:r>
            <w:r w:rsidR="000B6A2E">
              <w:rPr>
                <w:noProof/>
                <w:webHidden/>
              </w:rPr>
              <w:instrText xml:space="preserve"> PAGEREF _Toc138341864 \h </w:instrText>
            </w:r>
            <w:r w:rsidR="000B6A2E">
              <w:rPr>
                <w:noProof/>
                <w:webHidden/>
              </w:rPr>
            </w:r>
            <w:r w:rsidR="000B6A2E">
              <w:rPr>
                <w:noProof/>
                <w:webHidden/>
              </w:rPr>
              <w:fldChar w:fldCharType="separate"/>
            </w:r>
            <w:r w:rsidR="009A2FAA">
              <w:rPr>
                <w:noProof/>
                <w:webHidden/>
              </w:rPr>
              <w:t>233</w:t>
            </w:r>
            <w:r w:rsidR="000B6A2E">
              <w:rPr>
                <w:noProof/>
                <w:webHidden/>
              </w:rPr>
              <w:fldChar w:fldCharType="end"/>
            </w:r>
          </w:hyperlink>
        </w:p>
        <w:p w14:paraId="3DC41F07" w14:textId="1A27DAE8"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65" w:history="1">
            <w:r w:rsidR="000B6A2E" w:rsidRPr="00A7616D">
              <w:rPr>
                <w:rStyle w:val="Hyperlink"/>
                <w:rFonts w:eastAsiaTheme="majorEastAsia"/>
                <w:noProof/>
              </w:rPr>
              <w:t>E.</w:t>
            </w:r>
            <w:r w:rsidR="000B6A2E">
              <w:rPr>
                <w:rFonts w:eastAsiaTheme="minorEastAsia" w:cstheme="minorBidi"/>
                <w:smallCaps w:val="0"/>
                <w:noProof/>
                <w:szCs w:val="22"/>
                <w:lang w:val="fr-FR"/>
              </w:rPr>
              <w:tab/>
            </w:r>
            <w:r w:rsidR="000B6A2E" w:rsidRPr="00A7616D">
              <w:rPr>
                <w:rStyle w:val="Hyperlink"/>
                <w:rFonts w:eastAsiaTheme="majorEastAsia"/>
                <w:noProof/>
              </w:rPr>
              <w:t>Monitoring and evaluation framework</w:t>
            </w:r>
            <w:r w:rsidR="000B6A2E">
              <w:rPr>
                <w:noProof/>
                <w:webHidden/>
              </w:rPr>
              <w:tab/>
            </w:r>
            <w:r w:rsidR="000B6A2E">
              <w:rPr>
                <w:noProof/>
                <w:webHidden/>
              </w:rPr>
              <w:fldChar w:fldCharType="begin"/>
            </w:r>
            <w:r w:rsidR="000B6A2E">
              <w:rPr>
                <w:noProof/>
                <w:webHidden/>
              </w:rPr>
              <w:instrText xml:space="preserve"> PAGEREF _Toc138341865 \h </w:instrText>
            </w:r>
            <w:r w:rsidR="000B6A2E">
              <w:rPr>
                <w:noProof/>
                <w:webHidden/>
              </w:rPr>
            </w:r>
            <w:r w:rsidR="000B6A2E">
              <w:rPr>
                <w:noProof/>
                <w:webHidden/>
              </w:rPr>
              <w:fldChar w:fldCharType="separate"/>
            </w:r>
            <w:r w:rsidR="009A2FAA">
              <w:rPr>
                <w:noProof/>
                <w:webHidden/>
              </w:rPr>
              <w:t>237</w:t>
            </w:r>
            <w:r w:rsidR="000B6A2E">
              <w:rPr>
                <w:noProof/>
                <w:webHidden/>
              </w:rPr>
              <w:fldChar w:fldCharType="end"/>
            </w:r>
          </w:hyperlink>
        </w:p>
        <w:p w14:paraId="27E72F61" w14:textId="21C44F5C"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66" w:history="1">
            <w:r w:rsidR="000B6A2E" w:rsidRPr="00A7616D">
              <w:rPr>
                <w:rStyle w:val="Hyperlink"/>
                <w:rFonts w:eastAsiaTheme="majorEastAsia"/>
                <w:noProof/>
              </w:rPr>
              <w:t>F.</w:t>
            </w:r>
            <w:r w:rsidR="000B6A2E">
              <w:rPr>
                <w:rFonts w:eastAsiaTheme="minorEastAsia" w:cstheme="minorBidi"/>
                <w:smallCaps w:val="0"/>
                <w:noProof/>
                <w:szCs w:val="22"/>
                <w:lang w:val="fr-FR"/>
              </w:rPr>
              <w:tab/>
            </w:r>
            <w:r w:rsidR="000B6A2E" w:rsidRPr="00A7616D">
              <w:rPr>
                <w:rStyle w:val="Hyperlink"/>
                <w:rFonts w:eastAsiaTheme="majorEastAsia"/>
                <w:noProof/>
              </w:rPr>
              <w:t>Progress and results of adaptation measures</w:t>
            </w:r>
            <w:r w:rsidR="000B6A2E">
              <w:rPr>
                <w:noProof/>
                <w:webHidden/>
              </w:rPr>
              <w:tab/>
            </w:r>
            <w:r w:rsidR="000B6A2E">
              <w:rPr>
                <w:noProof/>
                <w:webHidden/>
              </w:rPr>
              <w:fldChar w:fldCharType="begin"/>
            </w:r>
            <w:r w:rsidR="000B6A2E">
              <w:rPr>
                <w:noProof/>
                <w:webHidden/>
              </w:rPr>
              <w:instrText xml:space="preserve"> PAGEREF _Toc138341866 \h </w:instrText>
            </w:r>
            <w:r w:rsidR="000B6A2E">
              <w:rPr>
                <w:noProof/>
                <w:webHidden/>
              </w:rPr>
            </w:r>
            <w:r w:rsidR="000B6A2E">
              <w:rPr>
                <w:noProof/>
                <w:webHidden/>
              </w:rPr>
              <w:fldChar w:fldCharType="separate"/>
            </w:r>
            <w:r w:rsidR="009A2FAA">
              <w:rPr>
                <w:noProof/>
                <w:webHidden/>
              </w:rPr>
              <w:t>239</w:t>
            </w:r>
            <w:r w:rsidR="000B6A2E">
              <w:rPr>
                <w:noProof/>
                <w:webHidden/>
              </w:rPr>
              <w:fldChar w:fldCharType="end"/>
            </w:r>
          </w:hyperlink>
        </w:p>
        <w:p w14:paraId="6B115BED" w14:textId="458012A8"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67" w:history="1">
            <w:r w:rsidR="000B6A2E" w:rsidRPr="00A7616D">
              <w:rPr>
                <w:rStyle w:val="Hyperlink"/>
                <w:rFonts w:ascii="Marianne" w:eastAsiaTheme="majorEastAsia" w:hAnsi="Marianne"/>
                <w:noProof/>
              </w:rPr>
              <w:t>F.1.</w:t>
            </w:r>
            <w:r w:rsidR="000B6A2E">
              <w:rPr>
                <w:rFonts w:eastAsiaTheme="minorEastAsia" w:cstheme="minorBidi"/>
                <w:i w:val="0"/>
                <w:iCs w:val="0"/>
                <w:noProof/>
                <w:szCs w:val="22"/>
                <w:lang w:val="fr-FR"/>
              </w:rPr>
              <w:tab/>
            </w:r>
            <w:r w:rsidR="000B6A2E" w:rsidRPr="00A7616D">
              <w:rPr>
                <w:rStyle w:val="Hyperlink"/>
                <w:rFonts w:eastAsiaTheme="majorEastAsia"/>
                <w:noProof/>
              </w:rPr>
              <w:t>Key findings from the mid-term evaluation of the second national climate change adaptation plan</w:t>
            </w:r>
            <w:r w:rsidR="000B6A2E">
              <w:rPr>
                <w:noProof/>
                <w:webHidden/>
              </w:rPr>
              <w:tab/>
            </w:r>
            <w:r w:rsidR="000B6A2E">
              <w:rPr>
                <w:noProof/>
                <w:webHidden/>
              </w:rPr>
              <w:fldChar w:fldCharType="begin"/>
            </w:r>
            <w:r w:rsidR="000B6A2E">
              <w:rPr>
                <w:noProof/>
                <w:webHidden/>
              </w:rPr>
              <w:instrText xml:space="preserve"> PAGEREF _Toc138341867 \h </w:instrText>
            </w:r>
            <w:r w:rsidR="000B6A2E">
              <w:rPr>
                <w:noProof/>
                <w:webHidden/>
              </w:rPr>
            </w:r>
            <w:r w:rsidR="000B6A2E">
              <w:rPr>
                <w:noProof/>
                <w:webHidden/>
              </w:rPr>
              <w:fldChar w:fldCharType="separate"/>
            </w:r>
            <w:r w:rsidR="009A2FAA">
              <w:rPr>
                <w:noProof/>
                <w:webHidden/>
              </w:rPr>
              <w:t>239</w:t>
            </w:r>
            <w:r w:rsidR="000B6A2E">
              <w:rPr>
                <w:noProof/>
                <w:webHidden/>
              </w:rPr>
              <w:fldChar w:fldCharType="end"/>
            </w:r>
          </w:hyperlink>
        </w:p>
        <w:p w14:paraId="14007C13" w14:textId="29F4211A"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68" w:history="1">
            <w:r w:rsidR="000B6A2E" w:rsidRPr="00A7616D">
              <w:rPr>
                <w:rStyle w:val="Hyperlink"/>
                <w:rFonts w:ascii="Marianne" w:eastAsiaTheme="majorEastAsia" w:hAnsi="Marianne"/>
                <w:noProof/>
              </w:rPr>
              <w:t>F.2.</w:t>
            </w:r>
            <w:r w:rsidR="000B6A2E">
              <w:rPr>
                <w:rFonts w:eastAsiaTheme="minorEastAsia" w:cstheme="minorBidi"/>
                <w:i w:val="0"/>
                <w:iCs w:val="0"/>
                <w:noProof/>
                <w:szCs w:val="22"/>
                <w:lang w:val="fr-FR"/>
              </w:rPr>
              <w:tab/>
            </w:r>
            <w:r w:rsidR="000B6A2E" w:rsidRPr="00A7616D">
              <w:rPr>
                <w:rStyle w:val="Hyperlink"/>
                <w:rFonts w:eastAsiaTheme="majorEastAsia"/>
                <w:noProof/>
              </w:rPr>
              <w:t>Economic assessment of the costs of adaptation to climate change</w:t>
            </w:r>
            <w:r w:rsidR="000B6A2E">
              <w:rPr>
                <w:noProof/>
                <w:webHidden/>
              </w:rPr>
              <w:tab/>
            </w:r>
            <w:r w:rsidR="000B6A2E">
              <w:rPr>
                <w:noProof/>
                <w:webHidden/>
              </w:rPr>
              <w:fldChar w:fldCharType="begin"/>
            </w:r>
            <w:r w:rsidR="000B6A2E">
              <w:rPr>
                <w:noProof/>
                <w:webHidden/>
              </w:rPr>
              <w:instrText xml:space="preserve"> PAGEREF _Toc138341868 \h </w:instrText>
            </w:r>
            <w:r w:rsidR="000B6A2E">
              <w:rPr>
                <w:noProof/>
                <w:webHidden/>
              </w:rPr>
            </w:r>
            <w:r w:rsidR="000B6A2E">
              <w:rPr>
                <w:noProof/>
                <w:webHidden/>
              </w:rPr>
              <w:fldChar w:fldCharType="separate"/>
            </w:r>
            <w:r w:rsidR="009A2FAA">
              <w:rPr>
                <w:noProof/>
                <w:webHidden/>
              </w:rPr>
              <w:t>246</w:t>
            </w:r>
            <w:r w:rsidR="000B6A2E">
              <w:rPr>
                <w:noProof/>
                <w:webHidden/>
              </w:rPr>
              <w:fldChar w:fldCharType="end"/>
            </w:r>
          </w:hyperlink>
        </w:p>
        <w:p w14:paraId="71A4AACF" w14:textId="364A8872"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69" w:history="1">
            <w:r w:rsidR="000B6A2E" w:rsidRPr="00A7616D">
              <w:rPr>
                <w:rStyle w:val="Hyperlink"/>
                <w:rFonts w:ascii="Marianne" w:eastAsiaTheme="majorEastAsia" w:hAnsi="Marianne"/>
                <w:noProof/>
              </w:rPr>
              <w:t>F.3.</w:t>
            </w:r>
            <w:r w:rsidR="000B6A2E">
              <w:rPr>
                <w:rFonts w:eastAsiaTheme="minorEastAsia" w:cstheme="minorBidi"/>
                <w:i w:val="0"/>
                <w:iCs w:val="0"/>
                <w:noProof/>
                <w:szCs w:val="22"/>
                <w:lang w:val="fr-FR"/>
              </w:rPr>
              <w:tab/>
            </w:r>
            <w:r w:rsidR="000B6A2E" w:rsidRPr="00A7616D">
              <w:rPr>
                <w:rStyle w:val="Hyperlink"/>
                <w:rFonts w:eastAsiaTheme="majorEastAsia"/>
                <w:noProof/>
              </w:rPr>
              <w:t>Launch of a resource centre for climate change adaptation</w:t>
            </w:r>
            <w:r w:rsidR="000B6A2E">
              <w:rPr>
                <w:noProof/>
                <w:webHidden/>
              </w:rPr>
              <w:tab/>
            </w:r>
            <w:r w:rsidR="000B6A2E">
              <w:rPr>
                <w:noProof/>
                <w:webHidden/>
              </w:rPr>
              <w:fldChar w:fldCharType="begin"/>
            </w:r>
            <w:r w:rsidR="000B6A2E">
              <w:rPr>
                <w:noProof/>
                <w:webHidden/>
              </w:rPr>
              <w:instrText xml:space="preserve"> PAGEREF _Toc138341869 \h </w:instrText>
            </w:r>
            <w:r w:rsidR="000B6A2E">
              <w:rPr>
                <w:noProof/>
                <w:webHidden/>
              </w:rPr>
            </w:r>
            <w:r w:rsidR="000B6A2E">
              <w:rPr>
                <w:noProof/>
                <w:webHidden/>
              </w:rPr>
              <w:fldChar w:fldCharType="separate"/>
            </w:r>
            <w:r w:rsidR="009A2FAA">
              <w:rPr>
                <w:noProof/>
                <w:webHidden/>
              </w:rPr>
              <w:t>247</w:t>
            </w:r>
            <w:r w:rsidR="000B6A2E">
              <w:rPr>
                <w:noProof/>
                <w:webHidden/>
              </w:rPr>
              <w:fldChar w:fldCharType="end"/>
            </w:r>
          </w:hyperlink>
        </w:p>
        <w:p w14:paraId="5539B318" w14:textId="042F57DE" w:rsidR="000B6A2E" w:rsidRDefault="003714FB">
          <w:pPr>
            <w:pStyle w:val="TOC1"/>
            <w:rPr>
              <w:rFonts w:eastAsiaTheme="minorEastAsia" w:cstheme="minorBidi"/>
              <w:b w:val="0"/>
              <w:bCs w:val="0"/>
              <w:caps w:val="0"/>
              <w:noProof/>
              <w:szCs w:val="22"/>
              <w:lang w:val="fr-FR"/>
            </w:rPr>
          </w:pPr>
          <w:hyperlink w:anchor="_Toc138341870" w:history="1">
            <w:r w:rsidR="000B6A2E" w:rsidRPr="00A7616D">
              <w:rPr>
                <w:rStyle w:val="Hyperlink"/>
                <w:rFonts w:eastAsiaTheme="majorEastAsia"/>
                <w:noProof/>
              </w:rPr>
              <w:t>Chapter VII – Financial resources and technology transfer</w:t>
            </w:r>
            <w:r w:rsidR="000B6A2E">
              <w:rPr>
                <w:noProof/>
                <w:webHidden/>
              </w:rPr>
              <w:tab/>
            </w:r>
            <w:r w:rsidR="000B6A2E">
              <w:rPr>
                <w:noProof/>
                <w:webHidden/>
              </w:rPr>
              <w:fldChar w:fldCharType="begin"/>
            </w:r>
            <w:r w:rsidR="000B6A2E">
              <w:rPr>
                <w:noProof/>
                <w:webHidden/>
              </w:rPr>
              <w:instrText xml:space="preserve"> PAGEREF _Toc138341870 \h </w:instrText>
            </w:r>
            <w:r w:rsidR="000B6A2E">
              <w:rPr>
                <w:noProof/>
                <w:webHidden/>
              </w:rPr>
            </w:r>
            <w:r w:rsidR="000B6A2E">
              <w:rPr>
                <w:noProof/>
                <w:webHidden/>
              </w:rPr>
              <w:fldChar w:fldCharType="separate"/>
            </w:r>
            <w:r w:rsidR="009A2FAA">
              <w:rPr>
                <w:noProof/>
                <w:webHidden/>
              </w:rPr>
              <w:t>251</w:t>
            </w:r>
            <w:r w:rsidR="000B6A2E">
              <w:rPr>
                <w:noProof/>
                <w:webHidden/>
              </w:rPr>
              <w:fldChar w:fldCharType="end"/>
            </w:r>
          </w:hyperlink>
        </w:p>
        <w:p w14:paraId="21988F24" w14:textId="7484D294"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71" w:history="1">
            <w:r w:rsidR="000B6A2E" w:rsidRPr="00A7616D">
              <w:rPr>
                <w:rStyle w:val="Hyperlink"/>
                <w:rFonts w:eastAsiaTheme="majorEastAsia"/>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Mobilising financial resources from bilateral sources</w:t>
            </w:r>
            <w:r w:rsidR="000B6A2E">
              <w:rPr>
                <w:noProof/>
                <w:webHidden/>
              </w:rPr>
              <w:tab/>
            </w:r>
            <w:r w:rsidR="000B6A2E">
              <w:rPr>
                <w:noProof/>
                <w:webHidden/>
              </w:rPr>
              <w:fldChar w:fldCharType="begin"/>
            </w:r>
            <w:r w:rsidR="000B6A2E">
              <w:rPr>
                <w:noProof/>
                <w:webHidden/>
              </w:rPr>
              <w:instrText xml:space="preserve"> PAGEREF _Toc138341871 \h </w:instrText>
            </w:r>
            <w:r w:rsidR="000B6A2E">
              <w:rPr>
                <w:noProof/>
                <w:webHidden/>
              </w:rPr>
            </w:r>
            <w:r w:rsidR="000B6A2E">
              <w:rPr>
                <w:noProof/>
                <w:webHidden/>
              </w:rPr>
              <w:fldChar w:fldCharType="separate"/>
            </w:r>
            <w:r w:rsidR="009A2FAA">
              <w:rPr>
                <w:noProof/>
                <w:webHidden/>
              </w:rPr>
              <w:t>251</w:t>
            </w:r>
            <w:r w:rsidR="000B6A2E">
              <w:rPr>
                <w:noProof/>
                <w:webHidden/>
              </w:rPr>
              <w:fldChar w:fldCharType="end"/>
            </w:r>
          </w:hyperlink>
        </w:p>
        <w:p w14:paraId="74B80F5F" w14:textId="64CA0727"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72" w:history="1">
            <w:r w:rsidR="000B6A2E" w:rsidRPr="00A7616D">
              <w:rPr>
                <w:rStyle w:val="Hyperlink"/>
                <w:rFonts w:ascii="Marianne" w:eastAsiaTheme="majorEastAsia" w:hAnsi="Marianne"/>
                <w:noProof/>
              </w:rPr>
              <w:t>A.1.</w:t>
            </w:r>
            <w:r w:rsidR="000B6A2E">
              <w:rPr>
                <w:rFonts w:eastAsiaTheme="minorEastAsia" w:cstheme="minorBidi"/>
                <w:i w:val="0"/>
                <w:iCs w:val="0"/>
                <w:noProof/>
                <w:szCs w:val="22"/>
                <w:lang w:val="fr-FR"/>
              </w:rPr>
              <w:tab/>
            </w:r>
            <w:r w:rsidR="000B6A2E" w:rsidRPr="00A7616D">
              <w:rPr>
                <w:rStyle w:val="Hyperlink"/>
                <w:rFonts w:eastAsiaTheme="majorEastAsia"/>
                <w:noProof/>
              </w:rPr>
              <w:t>Financial support provided by the Agence Française de Développement Group</w:t>
            </w:r>
            <w:r w:rsidR="000B6A2E">
              <w:rPr>
                <w:noProof/>
                <w:webHidden/>
              </w:rPr>
              <w:tab/>
            </w:r>
            <w:r w:rsidR="000B6A2E">
              <w:rPr>
                <w:noProof/>
                <w:webHidden/>
              </w:rPr>
              <w:fldChar w:fldCharType="begin"/>
            </w:r>
            <w:r w:rsidR="000B6A2E">
              <w:rPr>
                <w:noProof/>
                <w:webHidden/>
              </w:rPr>
              <w:instrText xml:space="preserve"> PAGEREF _Toc138341872 \h </w:instrText>
            </w:r>
            <w:r w:rsidR="000B6A2E">
              <w:rPr>
                <w:noProof/>
                <w:webHidden/>
              </w:rPr>
            </w:r>
            <w:r w:rsidR="000B6A2E">
              <w:rPr>
                <w:noProof/>
                <w:webHidden/>
              </w:rPr>
              <w:fldChar w:fldCharType="separate"/>
            </w:r>
            <w:r w:rsidR="009A2FAA">
              <w:rPr>
                <w:noProof/>
                <w:webHidden/>
              </w:rPr>
              <w:t>251</w:t>
            </w:r>
            <w:r w:rsidR="000B6A2E">
              <w:rPr>
                <w:noProof/>
                <w:webHidden/>
              </w:rPr>
              <w:fldChar w:fldCharType="end"/>
            </w:r>
          </w:hyperlink>
        </w:p>
        <w:p w14:paraId="5432B1A9" w14:textId="3C784B98"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73" w:history="1">
            <w:r w:rsidR="000B6A2E" w:rsidRPr="00A7616D">
              <w:rPr>
                <w:rStyle w:val="Hyperlink"/>
                <w:rFonts w:ascii="Marianne" w:eastAsiaTheme="majorEastAsia" w:hAnsi="Marianne"/>
                <w:noProof/>
              </w:rPr>
              <w:t>A.2.</w:t>
            </w:r>
            <w:r w:rsidR="000B6A2E">
              <w:rPr>
                <w:rFonts w:eastAsiaTheme="minorEastAsia" w:cstheme="minorBidi"/>
                <w:i w:val="0"/>
                <w:iCs w:val="0"/>
                <w:noProof/>
                <w:szCs w:val="22"/>
                <w:lang w:val="fr-FR"/>
              </w:rPr>
              <w:tab/>
            </w:r>
            <w:r w:rsidR="000B6A2E" w:rsidRPr="00A7616D">
              <w:rPr>
                <w:rStyle w:val="Hyperlink"/>
                <w:rFonts w:eastAsiaTheme="majorEastAsia"/>
                <w:noProof/>
              </w:rPr>
              <w:t>Methodology for accounting for AFD Group’s climate commitments</w:t>
            </w:r>
            <w:r w:rsidR="000B6A2E">
              <w:rPr>
                <w:noProof/>
                <w:webHidden/>
              </w:rPr>
              <w:tab/>
            </w:r>
            <w:r w:rsidR="000B6A2E">
              <w:rPr>
                <w:noProof/>
                <w:webHidden/>
              </w:rPr>
              <w:fldChar w:fldCharType="begin"/>
            </w:r>
            <w:r w:rsidR="000B6A2E">
              <w:rPr>
                <w:noProof/>
                <w:webHidden/>
              </w:rPr>
              <w:instrText xml:space="preserve"> PAGEREF _Toc138341873 \h </w:instrText>
            </w:r>
            <w:r w:rsidR="000B6A2E">
              <w:rPr>
                <w:noProof/>
                <w:webHidden/>
              </w:rPr>
            </w:r>
            <w:r w:rsidR="000B6A2E">
              <w:rPr>
                <w:noProof/>
                <w:webHidden/>
              </w:rPr>
              <w:fldChar w:fldCharType="separate"/>
            </w:r>
            <w:r w:rsidR="009A2FAA">
              <w:rPr>
                <w:noProof/>
                <w:webHidden/>
              </w:rPr>
              <w:t>253</w:t>
            </w:r>
            <w:r w:rsidR="000B6A2E">
              <w:rPr>
                <w:noProof/>
                <w:webHidden/>
              </w:rPr>
              <w:fldChar w:fldCharType="end"/>
            </w:r>
          </w:hyperlink>
        </w:p>
        <w:p w14:paraId="37D68DDE" w14:textId="7F1A583B"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74" w:history="1">
            <w:r w:rsidR="000B6A2E" w:rsidRPr="00A7616D">
              <w:rPr>
                <w:rStyle w:val="Hyperlink"/>
                <w:rFonts w:ascii="Marianne" w:eastAsiaTheme="majorEastAsia" w:hAnsi="Marianne"/>
                <w:noProof/>
              </w:rPr>
              <w:t>A.3.</w:t>
            </w:r>
            <w:r w:rsidR="000B6A2E">
              <w:rPr>
                <w:rFonts w:eastAsiaTheme="minorEastAsia" w:cstheme="minorBidi"/>
                <w:i w:val="0"/>
                <w:iCs w:val="0"/>
                <w:noProof/>
                <w:szCs w:val="22"/>
                <w:lang w:val="fr-FR"/>
              </w:rPr>
              <w:tab/>
            </w:r>
            <w:r w:rsidR="000B6A2E" w:rsidRPr="00A7616D">
              <w:rPr>
                <w:rStyle w:val="Hyperlink"/>
                <w:rFonts w:eastAsiaTheme="majorEastAsia"/>
                <w:noProof/>
              </w:rPr>
              <w:t>Private climate finance mobilised by AFD Group financing</w:t>
            </w:r>
            <w:r w:rsidR="000B6A2E">
              <w:rPr>
                <w:noProof/>
                <w:webHidden/>
              </w:rPr>
              <w:tab/>
            </w:r>
            <w:r w:rsidR="000B6A2E">
              <w:rPr>
                <w:noProof/>
                <w:webHidden/>
              </w:rPr>
              <w:fldChar w:fldCharType="begin"/>
            </w:r>
            <w:r w:rsidR="000B6A2E">
              <w:rPr>
                <w:noProof/>
                <w:webHidden/>
              </w:rPr>
              <w:instrText xml:space="preserve"> PAGEREF _Toc138341874 \h </w:instrText>
            </w:r>
            <w:r w:rsidR="000B6A2E">
              <w:rPr>
                <w:noProof/>
                <w:webHidden/>
              </w:rPr>
            </w:r>
            <w:r w:rsidR="000B6A2E">
              <w:rPr>
                <w:noProof/>
                <w:webHidden/>
              </w:rPr>
              <w:fldChar w:fldCharType="separate"/>
            </w:r>
            <w:r w:rsidR="009A2FAA">
              <w:rPr>
                <w:noProof/>
                <w:webHidden/>
              </w:rPr>
              <w:t>254</w:t>
            </w:r>
            <w:r w:rsidR="000B6A2E">
              <w:rPr>
                <w:noProof/>
                <w:webHidden/>
              </w:rPr>
              <w:fldChar w:fldCharType="end"/>
            </w:r>
          </w:hyperlink>
        </w:p>
        <w:p w14:paraId="3D0D3F96" w14:textId="160FF8B0"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75" w:history="1">
            <w:r w:rsidR="000B6A2E" w:rsidRPr="00A7616D">
              <w:rPr>
                <w:rStyle w:val="Hyperlink"/>
                <w:rFonts w:ascii="Marianne" w:eastAsiaTheme="majorEastAsia" w:hAnsi="Marianne"/>
                <w:noProof/>
              </w:rPr>
              <w:t>A.4.</w:t>
            </w:r>
            <w:r w:rsidR="000B6A2E">
              <w:rPr>
                <w:rFonts w:eastAsiaTheme="minorEastAsia" w:cstheme="minorBidi"/>
                <w:i w:val="0"/>
                <w:iCs w:val="0"/>
                <w:noProof/>
                <w:szCs w:val="22"/>
                <w:lang w:val="fr-FR"/>
              </w:rPr>
              <w:tab/>
            </w:r>
            <w:r w:rsidR="000B6A2E" w:rsidRPr="00A7616D">
              <w:rPr>
                <w:rStyle w:val="Hyperlink"/>
                <w:rFonts w:eastAsiaTheme="majorEastAsia"/>
                <w:noProof/>
              </w:rPr>
              <w:t>Financial support provided by the FGEF</w:t>
            </w:r>
            <w:r w:rsidR="000B6A2E">
              <w:rPr>
                <w:noProof/>
                <w:webHidden/>
              </w:rPr>
              <w:tab/>
            </w:r>
            <w:r w:rsidR="000B6A2E">
              <w:rPr>
                <w:noProof/>
                <w:webHidden/>
              </w:rPr>
              <w:fldChar w:fldCharType="begin"/>
            </w:r>
            <w:r w:rsidR="000B6A2E">
              <w:rPr>
                <w:noProof/>
                <w:webHidden/>
              </w:rPr>
              <w:instrText xml:space="preserve"> PAGEREF _Toc138341875 \h </w:instrText>
            </w:r>
            <w:r w:rsidR="000B6A2E">
              <w:rPr>
                <w:noProof/>
                <w:webHidden/>
              </w:rPr>
            </w:r>
            <w:r w:rsidR="000B6A2E">
              <w:rPr>
                <w:noProof/>
                <w:webHidden/>
              </w:rPr>
              <w:fldChar w:fldCharType="separate"/>
            </w:r>
            <w:r w:rsidR="009A2FAA">
              <w:rPr>
                <w:noProof/>
                <w:webHidden/>
              </w:rPr>
              <w:t>254</w:t>
            </w:r>
            <w:r w:rsidR="000B6A2E">
              <w:rPr>
                <w:noProof/>
                <w:webHidden/>
              </w:rPr>
              <w:fldChar w:fldCharType="end"/>
            </w:r>
          </w:hyperlink>
        </w:p>
        <w:p w14:paraId="404D3156" w14:textId="6E1AC121"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76" w:history="1">
            <w:r w:rsidR="000B6A2E" w:rsidRPr="00A7616D">
              <w:rPr>
                <w:rStyle w:val="Hyperlink"/>
                <w:rFonts w:ascii="Marianne" w:eastAsiaTheme="majorEastAsia" w:hAnsi="Marianne"/>
                <w:noProof/>
              </w:rPr>
              <w:t>A.5.</w:t>
            </w:r>
            <w:r w:rsidR="000B6A2E">
              <w:rPr>
                <w:rFonts w:eastAsiaTheme="minorEastAsia" w:cstheme="minorBidi"/>
                <w:i w:val="0"/>
                <w:iCs w:val="0"/>
                <w:noProof/>
                <w:szCs w:val="22"/>
                <w:lang w:val="fr-FR"/>
              </w:rPr>
              <w:tab/>
            </w:r>
            <w:r w:rsidR="000B6A2E" w:rsidRPr="00A7616D">
              <w:rPr>
                <w:rStyle w:val="Hyperlink"/>
                <w:rFonts w:eastAsiaTheme="majorEastAsia"/>
                <w:noProof/>
              </w:rPr>
              <w:t>Financial support provided in the form of grants (FASEP) and loans by the French Treasury</w:t>
            </w:r>
            <w:r w:rsidR="000B6A2E">
              <w:rPr>
                <w:noProof/>
                <w:webHidden/>
              </w:rPr>
              <w:tab/>
            </w:r>
            <w:r w:rsidR="000B6A2E">
              <w:rPr>
                <w:noProof/>
                <w:webHidden/>
              </w:rPr>
              <w:fldChar w:fldCharType="begin"/>
            </w:r>
            <w:r w:rsidR="000B6A2E">
              <w:rPr>
                <w:noProof/>
                <w:webHidden/>
              </w:rPr>
              <w:instrText xml:space="preserve"> PAGEREF _Toc138341876 \h </w:instrText>
            </w:r>
            <w:r w:rsidR="000B6A2E">
              <w:rPr>
                <w:noProof/>
                <w:webHidden/>
              </w:rPr>
            </w:r>
            <w:r w:rsidR="000B6A2E">
              <w:rPr>
                <w:noProof/>
                <w:webHidden/>
              </w:rPr>
              <w:fldChar w:fldCharType="separate"/>
            </w:r>
            <w:r w:rsidR="009A2FAA">
              <w:rPr>
                <w:noProof/>
                <w:webHidden/>
              </w:rPr>
              <w:t>254</w:t>
            </w:r>
            <w:r w:rsidR="000B6A2E">
              <w:rPr>
                <w:noProof/>
                <w:webHidden/>
              </w:rPr>
              <w:fldChar w:fldCharType="end"/>
            </w:r>
          </w:hyperlink>
        </w:p>
        <w:p w14:paraId="6C6A93E5" w14:textId="49AB0316"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77"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Mobilising financial resources from multilateral sources</w:t>
            </w:r>
            <w:r w:rsidR="000B6A2E">
              <w:rPr>
                <w:noProof/>
                <w:webHidden/>
              </w:rPr>
              <w:tab/>
            </w:r>
            <w:r w:rsidR="000B6A2E">
              <w:rPr>
                <w:noProof/>
                <w:webHidden/>
              </w:rPr>
              <w:fldChar w:fldCharType="begin"/>
            </w:r>
            <w:r w:rsidR="000B6A2E">
              <w:rPr>
                <w:noProof/>
                <w:webHidden/>
              </w:rPr>
              <w:instrText xml:space="preserve"> PAGEREF _Toc138341877 \h </w:instrText>
            </w:r>
            <w:r w:rsidR="000B6A2E">
              <w:rPr>
                <w:noProof/>
                <w:webHidden/>
              </w:rPr>
            </w:r>
            <w:r w:rsidR="000B6A2E">
              <w:rPr>
                <w:noProof/>
                <w:webHidden/>
              </w:rPr>
              <w:fldChar w:fldCharType="separate"/>
            </w:r>
            <w:r w:rsidR="009A2FAA">
              <w:rPr>
                <w:noProof/>
                <w:webHidden/>
              </w:rPr>
              <w:t>255</w:t>
            </w:r>
            <w:r w:rsidR="000B6A2E">
              <w:rPr>
                <w:noProof/>
                <w:webHidden/>
              </w:rPr>
              <w:fldChar w:fldCharType="end"/>
            </w:r>
          </w:hyperlink>
        </w:p>
        <w:p w14:paraId="4FB8A85C" w14:textId="2C0FDD06"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78" w:history="1">
            <w:r w:rsidR="000B6A2E" w:rsidRPr="00A7616D">
              <w:rPr>
                <w:rStyle w:val="Hyperlink"/>
                <w:rFonts w:ascii="Marianne" w:eastAsiaTheme="majorEastAsia" w:hAnsi="Marianne"/>
                <w:noProof/>
              </w:rPr>
              <w:t>B.1.</w:t>
            </w:r>
            <w:r w:rsidR="000B6A2E">
              <w:rPr>
                <w:rFonts w:eastAsiaTheme="minorEastAsia" w:cstheme="minorBidi"/>
                <w:i w:val="0"/>
                <w:iCs w:val="0"/>
                <w:noProof/>
                <w:szCs w:val="22"/>
                <w:lang w:val="fr-FR"/>
              </w:rPr>
              <w:tab/>
            </w:r>
            <w:r w:rsidR="000B6A2E" w:rsidRPr="00A7616D">
              <w:rPr>
                <w:rStyle w:val="Hyperlink"/>
                <w:rFonts w:eastAsiaTheme="majorEastAsia"/>
                <w:noProof/>
              </w:rPr>
              <w:t>Contribution to the Green Climate Fund</w:t>
            </w:r>
            <w:r w:rsidR="000B6A2E">
              <w:rPr>
                <w:noProof/>
                <w:webHidden/>
              </w:rPr>
              <w:tab/>
            </w:r>
            <w:r w:rsidR="000B6A2E">
              <w:rPr>
                <w:noProof/>
                <w:webHidden/>
              </w:rPr>
              <w:fldChar w:fldCharType="begin"/>
            </w:r>
            <w:r w:rsidR="000B6A2E">
              <w:rPr>
                <w:noProof/>
                <w:webHidden/>
              </w:rPr>
              <w:instrText xml:space="preserve"> PAGEREF _Toc138341878 \h </w:instrText>
            </w:r>
            <w:r w:rsidR="000B6A2E">
              <w:rPr>
                <w:noProof/>
                <w:webHidden/>
              </w:rPr>
            </w:r>
            <w:r w:rsidR="000B6A2E">
              <w:rPr>
                <w:noProof/>
                <w:webHidden/>
              </w:rPr>
              <w:fldChar w:fldCharType="separate"/>
            </w:r>
            <w:r w:rsidR="009A2FAA">
              <w:rPr>
                <w:noProof/>
                <w:webHidden/>
              </w:rPr>
              <w:t>255</w:t>
            </w:r>
            <w:r w:rsidR="000B6A2E">
              <w:rPr>
                <w:noProof/>
                <w:webHidden/>
              </w:rPr>
              <w:fldChar w:fldCharType="end"/>
            </w:r>
          </w:hyperlink>
        </w:p>
        <w:p w14:paraId="7A1FA81C" w14:textId="2B26F69F"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79" w:history="1">
            <w:r w:rsidR="000B6A2E" w:rsidRPr="00A7616D">
              <w:rPr>
                <w:rStyle w:val="Hyperlink"/>
                <w:rFonts w:ascii="Marianne" w:eastAsiaTheme="majorEastAsia" w:hAnsi="Marianne"/>
                <w:noProof/>
              </w:rPr>
              <w:t>B.2.</w:t>
            </w:r>
            <w:r w:rsidR="000B6A2E">
              <w:rPr>
                <w:rFonts w:eastAsiaTheme="minorEastAsia" w:cstheme="minorBidi"/>
                <w:i w:val="0"/>
                <w:iCs w:val="0"/>
                <w:noProof/>
                <w:szCs w:val="22"/>
                <w:lang w:val="fr-FR"/>
              </w:rPr>
              <w:tab/>
            </w:r>
            <w:r w:rsidR="000B6A2E" w:rsidRPr="00A7616D">
              <w:rPr>
                <w:rStyle w:val="Hyperlink"/>
                <w:rFonts w:eastAsiaTheme="majorEastAsia"/>
                <w:noProof/>
              </w:rPr>
              <w:t>Contribution to the Global Environment Facility</w:t>
            </w:r>
            <w:r w:rsidR="000B6A2E">
              <w:rPr>
                <w:noProof/>
                <w:webHidden/>
              </w:rPr>
              <w:tab/>
            </w:r>
            <w:r w:rsidR="000B6A2E">
              <w:rPr>
                <w:noProof/>
                <w:webHidden/>
              </w:rPr>
              <w:fldChar w:fldCharType="begin"/>
            </w:r>
            <w:r w:rsidR="000B6A2E">
              <w:rPr>
                <w:noProof/>
                <w:webHidden/>
              </w:rPr>
              <w:instrText xml:space="preserve"> PAGEREF _Toc138341879 \h </w:instrText>
            </w:r>
            <w:r w:rsidR="000B6A2E">
              <w:rPr>
                <w:noProof/>
                <w:webHidden/>
              </w:rPr>
            </w:r>
            <w:r w:rsidR="000B6A2E">
              <w:rPr>
                <w:noProof/>
                <w:webHidden/>
              </w:rPr>
              <w:fldChar w:fldCharType="separate"/>
            </w:r>
            <w:r w:rsidR="009A2FAA">
              <w:rPr>
                <w:noProof/>
                <w:webHidden/>
              </w:rPr>
              <w:t>256</w:t>
            </w:r>
            <w:r w:rsidR="000B6A2E">
              <w:rPr>
                <w:noProof/>
                <w:webHidden/>
              </w:rPr>
              <w:fldChar w:fldCharType="end"/>
            </w:r>
          </w:hyperlink>
        </w:p>
        <w:p w14:paraId="2B814072" w14:textId="1329E05E"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80" w:history="1">
            <w:r w:rsidR="000B6A2E" w:rsidRPr="00A7616D">
              <w:rPr>
                <w:rStyle w:val="Hyperlink"/>
                <w:rFonts w:ascii="Marianne" w:eastAsiaTheme="majorEastAsia" w:hAnsi="Marianne"/>
                <w:noProof/>
              </w:rPr>
              <w:t>B.3.</w:t>
            </w:r>
            <w:r w:rsidR="000B6A2E">
              <w:rPr>
                <w:rFonts w:eastAsiaTheme="minorEastAsia" w:cstheme="minorBidi"/>
                <w:i w:val="0"/>
                <w:iCs w:val="0"/>
                <w:noProof/>
                <w:szCs w:val="22"/>
                <w:lang w:val="fr-FR"/>
              </w:rPr>
              <w:tab/>
            </w:r>
            <w:r w:rsidR="000B6A2E" w:rsidRPr="00A7616D">
              <w:rPr>
                <w:rStyle w:val="Hyperlink"/>
                <w:rFonts w:eastAsiaTheme="majorEastAsia"/>
                <w:noProof/>
              </w:rPr>
              <w:t>Contribution to the Least Developed Countries Fund</w:t>
            </w:r>
            <w:r w:rsidR="000B6A2E">
              <w:rPr>
                <w:noProof/>
                <w:webHidden/>
              </w:rPr>
              <w:tab/>
            </w:r>
            <w:r w:rsidR="000B6A2E">
              <w:rPr>
                <w:noProof/>
                <w:webHidden/>
              </w:rPr>
              <w:fldChar w:fldCharType="begin"/>
            </w:r>
            <w:r w:rsidR="000B6A2E">
              <w:rPr>
                <w:noProof/>
                <w:webHidden/>
              </w:rPr>
              <w:instrText xml:space="preserve"> PAGEREF _Toc138341880 \h </w:instrText>
            </w:r>
            <w:r w:rsidR="000B6A2E">
              <w:rPr>
                <w:noProof/>
                <w:webHidden/>
              </w:rPr>
            </w:r>
            <w:r w:rsidR="000B6A2E">
              <w:rPr>
                <w:noProof/>
                <w:webHidden/>
              </w:rPr>
              <w:fldChar w:fldCharType="separate"/>
            </w:r>
            <w:r w:rsidR="009A2FAA">
              <w:rPr>
                <w:noProof/>
                <w:webHidden/>
              </w:rPr>
              <w:t>257</w:t>
            </w:r>
            <w:r w:rsidR="000B6A2E">
              <w:rPr>
                <w:noProof/>
                <w:webHidden/>
              </w:rPr>
              <w:fldChar w:fldCharType="end"/>
            </w:r>
          </w:hyperlink>
        </w:p>
        <w:p w14:paraId="18921C13" w14:textId="078307EF"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81" w:history="1">
            <w:r w:rsidR="000B6A2E" w:rsidRPr="00A7616D">
              <w:rPr>
                <w:rStyle w:val="Hyperlink"/>
                <w:rFonts w:eastAsiaTheme="majorEastAsia"/>
                <w:noProof/>
              </w:rPr>
              <w:t>C.</w:t>
            </w:r>
            <w:r w:rsidR="000B6A2E">
              <w:rPr>
                <w:rFonts w:eastAsiaTheme="minorEastAsia" w:cstheme="minorBidi"/>
                <w:smallCaps w:val="0"/>
                <w:noProof/>
                <w:szCs w:val="22"/>
                <w:lang w:val="fr-FR"/>
              </w:rPr>
              <w:tab/>
            </w:r>
            <w:r w:rsidR="000B6A2E" w:rsidRPr="00A7616D">
              <w:rPr>
                <w:rStyle w:val="Hyperlink"/>
                <w:rFonts w:eastAsiaTheme="majorEastAsia"/>
                <w:noProof/>
              </w:rPr>
              <w:t>Technological cooperation</w:t>
            </w:r>
            <w:r w:rsidR="000B6A2E">
              <w:rPr>
                <w:noProof/>
                <w:webHidden/>
              </w:rPr>
              <w:tab/>
            </w:r>
            <w:r w:rsidR="000B6A2E">
              <w:rPr>
                <w:noProof/>
                <w:webHidden/>
              </w:rPr>
              <w:fldChar w:fldCharType="begin"/>
            </w:r>
            <w:r w:rsidR="000B6A2E">
              <w:rPr>
                <w:noProof/>
                <w:webHidden/>
              </w:rPr>
              <w:instrText xml:space="preserve"> PAGEREF _Toc138341881 \h </w:instrText>
            </w:r>
            <w:r w:rsidR="000B6A2E">
              <w:rPr>
                <w:noProof/>
                <w:webHidden/>
              </w:rPr>
            </w:r>
            <w:r w:rsidR="000B6A2E">
              <w:rPr>
                <w:noProof/>
                <w:webHidden/>
              </w:rPr>
              <w:fldChar w:fldCharType="separate"/>
            </w:r>
            <w:r w:rsidR="009A2FAA">
              <w:rPr>
                <w:noProof/>
                <w:webHidden/>
              </w:rPr>
              <w:t>257</w:t>
            </w:r>
            <w:r w:rsidR="000B6A2E">
              <w:rPr>
                <w:noProof/>
                <w:webHidden/>
              </w:rPr>
              <w:fldChar w:fldCharType="end"/>
            </w:r>
          </w:hyperlink>
        </w:p>
        <w:p w14:paraId="384BC365" w14:textId="0A9B0BCE"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82" w:history="1">
            <w:r w:rsidR="000B6A2E" w:rsidRPr="00A7616D">
              <w:rPr>
                <w:rStyle w:val="Hyperlink"/>
                <w:rFonts w:ascii="Marianne" w:eastAsiaTheme="majorEastAsia" w:hAnsi="Marianne"/>
                <w:noProof/>
              </w:rPr>
              <w:t>C.1.</w:t>
            </w:r>
            <w:r w:rsidR="000B6A2E">
              <w:rPr>
                <w:rFonts w:eastAsiaTheme="minorEastAsia" w:cstheme="minorBidi"/>
                <w:i w:val="0"/>
                <w:iCs w:val="0"/>
                <w:noProof/>
                <w:szCs w:val="22"/>
                <w:lang w:val="fr-FR"/>
              </w:rPr>
              <w:tab/>
            </w:r>
            <w:r w:rsidR="000B6A2E" w:rsidRPr="00A7616D">
              <w:rPr>
                <w:rStyle w:val="Hyperlink"/>
                <w:rFonts w:eastAsiaTheme="majorEastAsia"/>
                <w:noProof/>
              </w:rPr>
              <w:t>ADEME’s role</w:t>
            </w:r>
            <w:r w:rsidR="000B6A2E">
              <w:rPr>
                <w:noProof/>
                <w:webHidden/>
              </w:rPr>
              <w:tab/>
            </w:r>
            <w:r w:rsidR="000B6A2E">
              <w:rPr>
                <w:noProof/>
                <w:webHidden/>
              </w:rPr>
              <w:fldChar w:fldCharType="begin"/>
            </w:r>
            <w:r w:rsidR="000B6A2E">
              <w:rPr>
                <w:noProof/>
                <w:webHidden/>
              </w:rPr>
              <w:instrText xml:space="preserve"> PAGEREF _Toc138341882 \h </w:instrText>
            </w:r>
            <w:r w:rsidR="000B6A2E">
              <w:rPr>
                <w:noProof/>
                <w:webHidden/>
              </w:rPr>
            </w:r>
            <w:r w:rsidR="000B6A2E">
              <w:rPr>
                <w:noProof/>
                <w:webHidden/>
              </w:rPr>
              <w:fldChar w:fldCharType="separate"/>
            </w:r>
            <w:r w:rsidR="009A2FAA">
              <w:rPr>
                <w:noProof/>
                <w:webHidden/>
              </w:rPr>
              <w:t>257</w:t>
            </w:r>
            <w:r w:rsidR="000B6A2E">
              <w:rPr>
                <w:noProof/>
                <w:webHidden/>
              </w:rPr>
              <w:fldChar w:fldCharType="end"/>
            </w:r>
          </w:hyperlink>
        </w:p>
        <w:p w14:paraId="4D93BFE6" w14:textId="6F4B9490"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83" w:history="1">
            <w:r w:rsidR="000B6A2E" w:rsidRPr="00A7616D">
              <w:rPr>
                <w:rStyle w:val="Hyperlink"/>
                <w:rFonts w:ascii="Marianne" w:eastAsiaTheme="majorEastAsia" w:hAnsi="Marianne"/>
                <w:noProof/>
              </w:rPr>
              <w:t>C.2.</w:t>
            </w:r>
            <w:r w:rsidR="000B6A2E">
              <w:rPr>
                <w:rFonts w:eastAsiaTheme="minorEastAsia" w:cstheme="minorBidi"/>
                <w:i w:val="0"/>
                <w:iCs w:val="0"/>
                <w:noProof/>
                <w:szCs w:val="22"/>
                <w:lang w:val="fr-FR"/>
              </w:rPr>
              <w:tab/>
            </w:r>
            <w:r w:rsidR="000B6A2E" w:rsidRPr="00A7616D">
              <w:rPr>
                <w:rStyle w:val="Hyperlink"/>
                <w:rFonts w:eastAsiaTheme="majorEastAsia"/>
                <w:noProof/>
              </w:rPr>
              <w:t>Le Citepa</w:t>
            </w:r>
            <w:r w:rsidR="000B6A2E">
              <w:rPr>
                <w:noProof/>
                <w:webHidden/>
              </w:rPr>
              <w:tab/>
            </w:r>
            <w:r w:rsidR="000B6A2E">
              <w:rPr>
                <w:noProof/>
                <w:webHidden/>
              </w:rPr>
              <w:fldChar w:fldCharType="begin"/>
            </w:r>
            <w:r w:rsidR="000B6A2E">
              <w:rPr>
                <w:noProof/>
                <w:webHidden/>
              </w:rPr>
              <w:instrText xml:space="preserve"> PAGEREF _Toc138341883 \h </w:instrText>
            </w:r>
            <w:r w:rsidR="000B6A2E">
              <w:rPr>
                <w:noProof/>
                <w:webHidden/>
              </w:rPr>
            </w:r>
            <w:r w:rsidR="000B6A2E">
              <w:rPr>
                <w:noProof/>
                <w:webHidden/>
              </w:rPr>
              <w:fldChar w:fldCharType="separate"/>
            </w:r>
            <w:r w:rsidR="009A2FAA">
              <w:rPr>
                <w:noProof/>
                <w:webHidden/>
              </w:rPr>
              <w:t>260</w:t>
            </w:r>
            <w:r w:rsidR="000B6A2E">
              <w:rPr>
                <w:noProof/>
                <w:webHidden/>
              </w:rPr>
              <w:fldChar w:fldCharType="end"/>
            </w:r>
          </w:hyperlink>
        </w:p>
        <w:p w14:paraId="3835BBF6" w14:textId="31102B0D"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84" w:history="1">
            <w:r w:rsidR="000B6A2E" w:rsidRPr="00A7616D">
              <w:rPr>
                <w:rStyle w:val="Hyperlink"/>
                <w:rFonts w:eastAsiaTheme="majorEastAsia"/>
                <w:noProof/>
              </w:rPr>
              <w:t>D.</w:t>
            </w:r>
            <w:r w:rsidR="000B6A2E">
              <w:rPr>
                <w:rFonts w:eastAsiaTheme="minorEastAsia" w:cstheme="minorBidi"/>
                <w:smallCaps w:val="0"/>
                <w:noProof/>
                <w:szCs w:val="22"/>
                <w:lang w:val="fr-FR"/>
              </w:rPr>
              <w:tab/>
            </w:r>
            <w:r w:rsidR="000B6A2E" w:rsidRPr="00A7616D">
              <w:rPr>
                <w:rStyle w:val="Hyperlink"/>
                <w:rFonts w:eastAsiaTheme="majorEastAsia"/>
                <w:noProof/>
              </w:rPr>
              <w:t>Building capacity</w:t>
            </w:r>
            <w:r w:rsidR="000B6A2E">
              <w:rPr>
                <w:noProof/>
                <w:webHidden/>
              </w:rPr>
              <w:tab/>
            </w:r>
            <w:r w:rsidR="000B6A2E">
              <w:rPr>
                <w:noProof/>
                <w:webHidden/>
              </w:rPr>
              <w:fldChar w:fldCharType="begin"/>
            </w:r>
            <w:r w:rsidR="000B6A2E">
              <w:rPr>
                <w:noProof/>
                <w:webHidden/>
              </w:rPr>
              <w:instrText xml:space="preserve"> PAGEREF _Toc138341884 \h </w:instrText>
            </w:r>
            <w:r w:rsidR="000B6A2E">
              <w:rPr>
                <w:noProof/>
                <w:webHidden/>
              </w:rPr>
            </w:r>
            <w:r w:rsidR="000B6A2E">
              <w:rPr>
                <w:noProof/>
                <w:webHidden/>
              </w:rPr>
              <w:fldChar w:fldCharType="separate"/>
            </w:r>
            <w:r w:rsidR="009A2FAA">
              <w:rPr>
                <w:noProof/>
                <w:webHidden/>
              </w:rPr>
              <w:t>260</w:t>
            </w:r>
            <w:r w:rsidR="000B6A2E">
              <w:rPr>
                <w:noProof/>
                <w:webHidden/>
              </w:rPr>
              <w:fldChar w:fldCharType="end"/>
            </w:r>
          </w:hyperlink>
        </w:p>
        <w:p w14:paraId="0078AB4E" w14:textId="27C61854"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85" w:history="1">
            <w:r w:rsidR="000B6A2E" w:rsidRPr="00A7616D">
              <w:rPr>
                <w:rStyle w:val="Hyperlink"/>
                <w:rFonts w:ascii="Marianne" w:eastAsiaTheme="majorEastAsia" w:hAnsi="Marianne"/>
                <w:noProof/>
              </w:rPr>
              <w:t>D.1.</w:t>
            </w:r>
            <w:r w:rsidR="000B6A2E">
              <w:rPr>
                <w:rFonts w:eastAsiaTheme="minorEastAsia" w:cstheme="minorBidi"/>
                <w:i w:val="0"/>
                <w:iCs w:val="0"/>
                <w:noProof/>
                <w:szCs w:val="22"/>
                <w:lang w:val="fr-FR"/>
              </w:rPr>
              <w:tab/>
            </w:r>
            <w:r w:rsidR="000B6A2E" w:rsidRPr="00A7616D">
              <w:rPr>
                <w:rStyle w:val="Hyperlink"/>
                <w:rFonts w:eastAsiaTheme="majorEastAsia"/>
                <w:noProof/>
              </w:rPr>
              <w:t>Adapting to climate change</w:t>
            </w:r>
            <w:r w:rsidR="000B6A2E">
              <w:rPr>
                <w:noProof/>
                <w:webHidden/>
              </w:rPr>
              <w:tab/>
            </w:r>
            <w:r w:rsidR="000B6A2E">
              <w:rPr>
                <w:noProof/>
                <w:webHidden/>
              </w:rPr>
              <w:fldChar w:fldCharType="begin"/>
            </w:r>
            <w:r w:rsidR="000B6A2E">
              <w:rPr>
                <w:noProof/>
                <w:webHidden/>
              </w:rPr>
              <w:instrText xml:space="preserve"> PAGEREF _Toc138341885 \h </w:instrText>
            </w:r>
            <w:r w:rsidR="000B6A2E">
              <w:rPr>
                <w:noProof/>
                <w:webHidden/>
              </w:rPr>
            </w:r>
            <w:r w:rsidR="000B6A2E">
              <w:rPr>
                <w:noProof/>
                <w:webHidden/>
              </w:rPr>
              <w:fldChar w:fldCharType="separate"/>
            </w:r>
            <w:r w:rsidR="009A2FAA">
              <w:rPr>
                <w:noProof/>
                <w:webHidden/>
              </w:rPr>
              <w:t>260</w:t>
            </w:r>
            <w:r w:rsidR="000B6A2E">
              <w:rPr>
                <w:noProof/>
                <w:webHidden/>
              </w:rPr>
              <w:fldChar w:fldCharType="end"/>
            </w:r>
          </w:hyperlink>
        </w:p>
        <w:p w14:paraId="30508822" w14:textId="1A1F74EB"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86" w:history="1">
            <w:r w:rsidR="000B6A2E" w:rsidRPr="00A7616D">
              <w:rPr>
                <w:rStyle w:val="Hyperlink"/>
                <w:rFonts w:ascii="Marianne" w:eastAsiaTheme="majorEastAsia" w:hAnsi="Marianne"/>
                <w:noProof/>
              </w:rPr>
              <w:t>D.2.</w:t>
            </w:r>
            <w:r w:rsidR="000B6A2E">
              <w:rPr>
                <w:rFonts w:eastAsiaTheme="minorEastAsia" w:cstheme="minorBidi"/>
                <w:i w:val="0"/>
                <w:iCs w:val="0"/>
                <w:noProof/>
                <w:szCs w:val="22"/>
                <w:lang w:val="fr-FR"/>
              </w:rPr>
              <w:tab/>
            </w:r>
            <w:r w:rsidR="000B6A2E" w:rsidRPr="00A7616D">
              <w:rPr>
                <w:rStyle w:val="Hyperlink"/>
                <w:rFonts w:eastAsiaTheme="majorEastAsia"/>
                <w:noProof/>
              </w:rPr>
              <w:t>Preparation and implementation of Nationally Determined Contributions (NDCs)</w:t>
            </w:r>
            <w:r w:rsidR="000B6A2E">
              <w:rPr>
                <w:noProof/>
                <w:webHidden/>
              </w:rPr>
              <w:tab/>
            </w:r>
            <w:r w:rsidR="000B6A2E">
              <w:rPr>
                <w:noProof/>
                <w:webHidden/>
              </w:rPr>
              <w:fldChar w:fldCharType="begin"/>
            </w:r>
            <w:r w:rsidR="000B6A2E">
              <w:rPr>
                <w:noProof/>
                <w:webHidden/>
              </w:rPr>
              <w:instrText xml:space="preserve"> PAGEREF _Toc138341886 \h </w:instrText>
            </w:r>
            <w:r w:rsidR="000B6A2E">
              <w:rPr>
                <w:noProof/>
                <w:webHidden/>
              </w:rPr>
            </w:r>
            <w:r w:rsidR="000B6A2E">
              <w:rPr>
                <w:noProof/>
                <w:webHidden/>
              </w:rPr>
              <w:fldChar w:fldCharType="separate"/>
            </w:r>
            <w:r w:rsidR="009A2FAA">
              <w:rPr>
                <w:noProof/>
                <w:webHidden/>
              </w:rPr>
              <w:t>261</w:t>
            </w:r>
            <w:r w:rsidR="000B6A2E">
              <w:rPr>
                <w:noProof/>
                <w:webHidden/>
              </w:rPr>
              <w:fldChar w:fldCharType="end"/>
            </w:r>
          </w:hyperlink>
        </w:p>
        <w:p w14:paraId="1C834E0E" w14:textId="601A6754"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87" w:history="1">
            <w:r w:rsidR="000B6A2E" w:rsidRPr="00A7616D">
              <w:rPr>
                <w:rStyle w:val="Hyperlink"/>
                <w:rFonts w:ascii="Marianne" w:eastAsiaTheme="majorEastAsia" w:hAnsi="Marianne"/>
                <w:noProof/>
              </w:rPr>
              <w:t>D.3.</w:t>
            </w:r>
            <w:r w:rsidR="000B6A2E">
              <w:rPr>
                <w:rFonts w:eastAsiaTheme="minorEastAsia" w:cstheme="minorBidi"/>
                <w:i w:val="0"/>
                <w:iCs w:val="0"/>
                <w:noProof/>
                <w:szCs w:val="22"/>
                <w:lang w:val="fr-FR"/>
              </w:rPr>
              <w:tab/>
            </w:r>
            <w:r w:rsidR="000B6A2E" w:rsidRPr="00A7616D">
              <w:rPr>
                <w:rStyle w:val="Hyperlink"/>
                <w:rFonts w:eastAsiaTheme="majorEastAsia"/>
                <w:noProof/>
              </w:rPr>
              <w:t>Establishing a national reporting system (GHG inventory, projections, mitigation measures, adaptation)</w:t>
            </w:r>
            <w:r w:rsidR="000B6A2E">
              <w:rPr>
                <w:noProof/>
                <w:webHidden/>
              </w:rPr>
              <w:tab/>
            </w:r>
            <w:r w:rsidR="000B6A2E">
              <w:rPr>
                <w:noProof/>
                <w:webHidden/>
              </w:rPr>
              <w:fldChar w:fldCharType="begin"/>
            </w:r>
            <w:r w:rsidR="000B6A2E">
              <w:rPr>
                <w:noProof/>
                <w:webHidden/>
              </w:rPr>
              <w:instrText xml:space="preserve"> PAGEREF _Toc138341887 \h </w:instrText>
            </w:r>
            <w:r w:rsidR="000B6A2E">
              <w:rPr>
                <w:noProof/>
                <w:webHidden/>
              </w:rPr>
            </w:r>
            <w:r w:rsidR="000B6A2E">
              <w:rPr>
                <w:noProof/>
                <w:webHidden/>
              </w:rPr>
              <w:fldChar w:fldCharType="separate"/>
            </w:r>
            <w:r w:rsidR="009A2FAA">
              <w:rPr>
                <w:noProof/>
                <w:webHidden/>
              </w:rPr>
              <w:t>262</w:t>
            </w:r>
            <w:r w:rsidR="000B6A2E">
              <w:rPr>
                <w:noProof/>
                <w:webHidden/>
              </w:rPr>
              <w:fldChar w:fldCharType="end"/>
            </w:r>
          </w:hyperlink>
        </w:p>
        <w:p w14:paraId="74563BEC" w14:textId="09B795F4"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88" w:history="1">
            <w:r w:rsidR="000B6A2E" w:rsidRPr="00A7616D">
              <w:rPr>
                <w:rStyle w:val="Hyperlink"/>
                <w:rFonts w:ascii="Marianne" w:eastAsiaTheme="majorEastAsia" w:hAnsi="Marianne"/>
                <w:noProof/>
              </w:rPr>
              <w:t>D.4.</w:t>
            </w:r>
            <w:r w:rsidR="000B6A2E">
              <w:rPr>
                <w:rFonts w:eastAsiaTheme="minorEastAsia" w:cstheme="minorBidi"/>
                <w:i w:val="0"/>
                <w:iCs w:val="0"/>
                <w:noProof/>
                <w:szCs w:val="22"/>
                <w:lang w:val="fr-FR"/>
              </w:rPr>
              <w:tab/>
            </w:r>
            <w:r w:rsidR="000B6A2E" w:rsidRPr="00A7616D">
              <w:rPr>
                <w:rStyle w:val="Hyperlink"/>
                <w:rFonts w:eastAsiaTheme="majorEastAsia"/>
                <w:noProof/>
              </w:rPr>
              <w:t>French support for the implementation of a national GHG inventory system in Algeria</w:t>
            </w:r>
            <w:r w:rsidR="000B6A2E">
              <w:rPr>
                <w:noProof/>
                <w:webHidden/>
              </w:rPr>
              <w:tab/>
            </w:r>
            <w:r w:rsidR="000B6A2E">
              <w:rPr>
                <w:noProof/>
                <w:webHidden/>
              </w:rPr>
              <w:fldChar w:fldCharType="begin"/>
            </w:r>
            <w:r w:rsidR="000B6A2E">
              <w:rPr>
                <w:noProof/>
                <w:webHidden/>
              </w:rPr>
              <w:instrText xml:space="preserve"> PAGEREF _Toc138341888 \h </w:instrText>
            </w:r>
            <w:r w:rsidR="000B6A2E">
              <w:rPr>
                <w:noProof/>
                <w:webHidden/>
              </w:rPr>
            </w:r>
            <w:r w:rsidR="000B6A2E">
              <w:rPr>
                <w:noProof/>
                <w:webHidden/>
              </w:rPr>
              <w:fldChar w:fldCharType="separate"/>
            </w:r>
            <w:r w:rsidR="009A2FAA">
              <w:rPr>
                <w:noProof/>
                <w:webHidden/>
              </w:rPr>
              <w:t>263</w:t>
            </w:r>
            <w:r w:rsidR="000B6A2E">
              <w:rPr>
                <w:noProof/>
                <w:webHidden/>
              </w:rPr>
              <w:fldChar w:fldCharType="end"/>
            </w:r>
          </w:hyperlink>
        </w:p>
        <w:p w14:paraId="2B45C436" w14:textId="20FA8429"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89" w:history="1">
            <w:r w:rsidR="000B6A2E" w:rsidRPr="00A7616D">
              <w:rPr>
                <w:rStyle w:val="Hyperlink"/>
                <w:rFonts w:ascii="Marianne" w:eastAsiaTheme="majorEastAsia" w:hAnsi="Marianne"/>
                <w:noProof/>
              </w:rPr>
              <w:t>D.5.</w:t>
            </w:r>
            <w:r w:rsidR="000B6A2E">
              <w:rPr>
                <w:rFonts w:eastAsiaTheme="minorEastAsia" w:cstheme="minorBidi"/>
                <w:i w:val="0"/>
                <w:iCs w:val="0"/>
                <w:noProof/>
                <w:szCs w:val="22"/>
                <w:lang w:val="fr-FR"/>
              </w:rPr>
              <w:tab/>
            </w:r>
            <w:r w:rsidR="000B6A2E" w:rsidRPr="00A7616D">
              <w:rPr>
                <w:rStyle w:val="Hyperlink"/>
                <w:rFonts w:eastAsiaTheme="majorEastAsia"/>
                <w:noProof/>
              </w:rPr>
              <w:t>Software for MRV of air pollutant and GHG emissions: RISQ</w:t>
            </w:r>
            <w:r w:rsidR="000B6A2E">
              <w:rPr>
                <w:noProof/>
                <w:webHidden/>
              </w:rPr>
              <w:tab/>
            </w:r>
            <w:r w:rsidR="000B6A2E">
              <w:rPr>
                <w:noProof/>
                <w:webHidden/>
              </w:rPr>
              <w:fldChar w:fldCharType="begin"/>
            </w:r>
            <w:r w:rsidR="000B6A2E">
              <w:rPr>
                <w:noProof/>
                <w:webHidden/>
              </w:rPr>
              <w:instrText xml:space="preserve"> PAGEREF _Toc138341889 \h </w:instrText>
            </w:r>
            <w:r w:rsidR="000B6A2E">
              <w:rPr>
                <w:noProof/>
                <w:webHidden/>
              </w:rPr>
            </w:r>
            <w:r w:rsidR="000B6A2E">
              <w:rPr>
                <w:noProof/>
                <w:webHidden/>
              </w:rPr>
              <w:fldChar w:fldCharType="separate"/>
            </w:r>
            <w:r w:rsidR="009A2FAA">
              <w:rPr>
                <w:noProof/>
                <w:webHidden/>
              </w:rPr>
              <w:t>263</w:t>
            </w:r>
            <w:r w:rsidR="000B6A2E">
              <w:rPr>
                <w:noProof/>
                <w:webHidden/>
              </w:rPr>
              <w:fldChar w:fldCharType="end"/>
            </w:r>
          </w:hyperlink>
        </w:p>
        <w:p w14:paraId="2E85040A" w14:textId="11F26122"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90" w:history="1">
            <w:r w:rsidR="000B6A2E" w:rsidRPr="00A7616D">
              <w:rPr>
                <w:rStyle w:val="Hyperlink"/>
                <w:rFonts w:ascii="Marianne" w:eastAsiaTheme="majorEastAsia" w:hAnsi="Marianne"/>
                <w:noProof/>
              </w:rPr>
              <w:t>D.6.</w:t>
            </w:r>
            <w:r w:rsidR="000B6A2E">
              <w:rPr>
                <w:rFonts w:eastAsiaTheme="minorEastAsia" w:cstheme="minorBidi"/>
                <w:i w:val="0"/>
                <w:iCs w:val="0"/>
                <w:noProof/>
                <w:szCs w:val="22"/>
                <w:lang w:val="fr-FR"/>
              </w:rPr>
              <w:tab/>
            </w:r>
            <w:r w:rsidR="000B6A2E" w:rsidRPr="00A7616D">
              <w:rPr>
                <w:rStyle w:val="Hyperlink"/>
                <w:rFonts w:eastAsiaTheme="majorEastAsia"/>
                <w:noProof/>
              </w:rPr>
              <w:t>The Franco-Chinese centre with CRAES</w:t>
            </w:r>
            <w:r w:rsidR="000B6A2E">
              <w:rPr>
                <w:noProof/>
                <w:webHidden/>
              </w:rPr>
              <w:tab/>
            </w:r>
            <w:r w:rsidR="000B6A2E">
              <w:rPr>
                <w:noProof/>
                <w:webHidden/>
              </w:rPr>
              <w:fldChar w:fldCharType="begin"/>
            </w:r>
            <w:r w:rsidR="000B6A2E">
              <w:rPr>
                <w:noProof/>
                <w:webHidden/>
              </w:rPr>
              <w:instrText xml:space="preserve"> PAGEREF _Toc138341890 \h </w:instrText>
            </w:r>
            <w:r w:rsidR="000B6A2E">
              <w:rPr>
                <w:noProof/>
                <w:webHidden/>
              </w:rPr>
            </w:r>
            <w:r w:rsidR="000B6A2E">
              <w:rPr>
                <w:noProof/>
                <w:webHidden/>
              </w:rPr>
              <w:fldChar w:fldCharType="separate"/>
            </w:r>
            <w:r w:rsidR="009A2FAA">
              <w:rPr>
                <w:noProof/>
                <w:webHidden/>
              </w:rPr>
              <w:t>263</w:t>
            </w:r>
            <w:r w:rsidR="000B6A2E">
              <w:rPr>
                <w:noProof/>
                <w:webHidden/>
              </w:rPr>
              <w:fldChar w:fldCharType="end"/>
            </w:r>
          </w:hyperlink>
        </w:p>
        <w:p w14:paraId="3FF8C4DB" w14:textId="7F625FA5"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91" w:history="1">
            <w:r w:rsidR="000B6A2E" w:rsidRPr="00A7616D">
              <w:rPr>
                <w:rStyle w:val="Hyperlink"/>
                <w:rFonts w:ascii="Marianne" w:eastAsiaTheme="majorEastAsia" w:hAnsi="Marianne"/>
                <w:noProof/>
              </w:rPr>
              <w:t>D.7.</w:t>
            </w:r>
            <w:r w:rsidR="000B6A2E">
              <w:rPr>
                <w:rFonts w:eastAsiaTheme="minorEastAsia" w:cstheme="minorBidi"/>
                <w:i w:val="0"/>
                <w:iCs w:val="0"/>
                <w:noProof/>
                <w:szCs w:val="22"/>
                <w:lang w:val="fr-FR"/>
              </w:rPr>
              <w:tab/>
            </w:r>
            <w:r w:rsidR="000B6A2E" w:rsidRPr="00A7616D">
              <w:rPr>
                <w:rStyle w:val="Hyperlink"/>
                <w:rFonts w:eastAsiaTheme="majorEastAsia"/>
                <w:noProof/>
              </w:rPr>
              <w:t>ADEME’s role</w:t>
            </w:r>
            <w:r w:rsidR="000B6A2E">
              <w:rPr>
                <w:noProof/>
                <w:webHidden/>
              </w:rPr>
              <w:tab/>
            </w:r>
            <w:r w:rsidR="000B6A2E">
              <w:rPr>
                <w:noProof/>
                <w:webHidden/>
              </w:rPr>
              <w:fldChar w:fldCharType="begin"/>
            </w:r>
            <w:r w:rsidR="000B6A2E">
              <w:rPr>
                <w:noProof/>
                <w:webHidden/>
              </w:rPr>
              <w:instrText xml:space="preserve"> PAGEREF _Toc138341891 \h </w:instrText>
            </w:r>
            <w:r w:rsidR="000B6A2E">
              <w:rPr>
                <w:noProof/>
                <w:webHidden/>
              </w:rPr>
            </w:r>
            <w:r w:rsidR="000B6A2E">
              <w:rPr>
                <w:noProof/>
                <w:webHidden/>
              </w:rPr>
              <w:fldChar w:fldCharType="separate"/>
            </w:r>
            <w:r w:rsidR="009A2FAA">
              <w:rPr>
                <w:noProof/>
                <w:webHidden/>
              </w:rPr>
              <w:t>264</w:t>
            </w:r>
            <w:r w:rsidR="000B6A2E">
              <w:rPr>
                <w:noProof/>
                <w:webHidden/>
              </w:rPr>
              <w:fldChar w:fldCharType="end"/>
            </w:r>
          </w:hyperlink>
        </w:p>
        <w:p w14:paraId="45A4DB80" w14:textId="17F3387B" w:rsidR="000B6A2E" w:rsidRDefault="003714FB">
          <w:pPr>
            <w:pStyle w:val="TOC1"/>
            <w:rPr>
              <w:rFonts w:eastAsiaTheme="minorEastAsia" w:cstheme="minorBidi"/>
              <w:b w:val="0"/>
              <w:bCs w:val="0"/>
              <w:caps w:val="0"/>
              <w:noProof/>
              <w:szCs w:val="22"/>
              <w:lang w:val="fr-FR"/>
            </w:rPr>
          </w:pPr>
          <w:hyperlink w:anchor="_Toc138341892" w:history="1">
            <w:r w:rsidR="000B6A2E" w:rsidRPr="00A7616D">
              <w:rPr>
                <w:rStyle w:val="Hyperlink"/>
                <w:rFonts w:eastAsiaTheme="majorEastAsia"/>
                <w:noProof/>
              </w:rPr>
              <w:t>Chapter VIII – Research and systematic observation</w:t>
            </w:r>
            <w:r w:rsidR="000B6A2E">
              <w:rPr>
                <w:noProof/>
                <w:webHidden/>
              </w:rPr>
              <w:tab/>
            </w:r>
            <w:r w:rsidR="000B6A2E">
              <w:rPr>
                <w:noProof/>
                <w:webHidden/>
              </w:rPr>
              <w:fldChar w:fldCharType="begin"/>
            </w:r>
            <w:r w:rsidR="000B6A2E">
              <w:rPr>
                <w:noProof/>
                <w:webHidden/>
              </w:rPr>
              <w:instrText xml:space="preserve"> PAGEREF _Toc138341892 \h </w:instrText>
            </w:r>
            <w:r w:rsidR="000B6A2E">
              <w:rPr>
                <w:noProof/>
                <w:webHidden/>
              </w:rPr>
            </w:r>
            <w:r w:rsidR="000B6A2E">
              <w:rPr>
                <w:noProof/>
                <w:webHidden/>
              </w:rPr>
              <w:fldChar w:fldCharType="separate"/>
            </w:r>
            <w:r w:rsidR="009A2FAA">
              <w:rPr>
                <w:noProof/>
                <w:webHidden/>
              </w:rPr>
              <w:t>267</w:t>
            </w:r>
            <w:r w:rsidR="000B6A2E">
              <w:rPr>
                <w:noProof/>
                <w:webHidden/>
              </w:rPr>
              <w:fldChar w:fldCharType="end"/>
            </w:r>
          </w:hyperlink>
        </w:p>
        <w:p w14:paraId="6085A473" w14:textId="3F40D494"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893" w:history="1">
            <w:r w:rsidR="000B6A2E" w:rsidRPr="00A7616D">
              <w:rPr>
                <w:rStyle w:val="Hyperlink"/>
                <w:rFonts w:ascii="Times New Roman" w:eastAsiaTheme="majorEastAsia" w:hAnsi="Times New Roman"/>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Overview of climate research and observation in France</w:t>
            </w:r>
            <w:r w:rsidR="000B6A2E">
              <w:rPr>
                <w:noProof/>
                <w:webHidden/>
              </w:rPr>
              <w:tab/>
            </w:r>
            <w:r w:rsidR="000B6A2E">
              <w:rPr>
                <w:noProof/>
                <w:webHidden/>
              </w:rPr>
              <w:fldChar w:fldCharType="begin"/>
            </w:r>
            <w:r w:rsidR="000B6A2E">
              <w:rPr>
                <w:noProof/>
                <w:webHidden/>
              </w:rPr>
              <w:instrText xml:space="preserve"> PAGEREF _Toc138341893 \h </w:instrText>
            </w:r>
            <w:r w:rsidR="000B6A2E">
              <w:rPr>
                <w:noProof/>
                <w:webHidden/>
              </w:rPr>
            </w:r>
            <w:r w:rsidR="000B6A2E">
              <w:rPr>
                <w:noProof/>
                <w:webHidden/>
              </w:rPr>
              <w:fldChar w:fldCharType="separate"/>
            </w:r>
            <w:r w:rsidR="009A2FAA">
              <w:rPr>
                <w:noProof/>
                <w:webHidden/>
              </w:rPr>
              <w:t>267</w:t>
            </w:r>
            <w:r w:rsidR="000B6A2E">
              <w:rPr>
                <w:noProof/>
                <w:webHidden/>
              </w:rPr>
              <w:fldChar w:fldCharType="end"/>
            </w:r>
          </w:hyperlink>
        </w:p>
        <w:p w14:paraId="0202BFA6" w14:textId="5B3297E9"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94" w:history="1">
            <w:r w:rsidR="000B6A2E" w:rsidRPr="00A7616D">
              <w:rPr>
                <w:rStyle w:val="Hyperlink"/>
                <w:rFonts w:ascii="Marianne" w:eastAsiaTheme="majorEastAsia" w:hAnsi="Marianne"/>
                <w:noProof/>
              </w:rPr>
              <w:t>A.1.</w:t>
            </w:r>
            <w:r w:rsidR="000B6A2E">
              <w:rPr>
                <w:rFonts w:eastAsiaTheme="minorEastAsia" w:cstheme="minorBidi"/>
                <w:i w:val="0"/>
                <w:iCs w:val="0"/>
                <w:noProof/>
                <w:szCs w:val="22"/>
                <w:lang w:val="fr-FR"/>
              </w:rPr>
              <w:tab/>
            </w:r>
            <w:r w:rsidR="000B6A2E" w:rsidRPr="00A7616D">
              <w:rPr>
                <w:rStyle w:val="Hyperlink"/>
                <w:rFonts w:eastAsiaTheme="majorEastAsia"/>
                <w:noProof/>
              </w:rPr>
              <w:t>Overall research action carried out by public authorities</w:t>
            </w:r>
            <w:r w:rsidR="000B6A2E">
              <w:rPr>
                <w:noProof/>
                <w:webHidden/>
              </w:rPr>
              <w:tab/>
            </w:r>
            <w:r w:rsidR="000B6A2E">
              <w:rPr>
                <w:noProof/>
                <w:webHidden/>
              </w:rPr>
              <w:fldChar w:fldCharType="begin"/>
            </w:r>
            <w:r w:rsidR="000B6A2E">
              <w:rPr>
                <w:noProof/>
                <w:webHidden/>
              </w:rPr>
              <w:instrText xml:space="preserve"> PAGEREF _Toc138341894 \h </w:instrText>
            </w:r>
            <w:r w:rsidR="000B6A2E">
              <w:rPr>
                <w:noProof/>
                <w:webHidden/>
              </w:rPr>
            </w:r>
            <w:r w:rsidR="000B6A2E">
              <w:rPr>
                <w:noProof/>
                <w:webHidden/>
              </w:rPr>
              <w:fldChar w:fldCharType="separate"/>
            </w:r>
            <w:r w:rsidR="009A2FAA">
              <w:rPr>
                <w:noProof/>
                <w:webHidden/>
              </w:rPr>
              <w:t>267</w:t>
            </w:r>
            <w:r w:rsidR="000B6A2E">
              <w:rPr>
                <w:noProof/>
                <w:webHidden/>
              </w:rPr>
              <w:fldChar w:fldCharType="end"/>
            </w:r>
          </w:hyperlink>
        </w:p>
        <w:p w14:paraId="3E7EFE0D" w14:textId="33F8395A"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95" w:history="1">
            <w:r w:rsidR="000B6A2E" w:rsidRPr="00A7616D">
              <w:rPr>
                <w:rStyle w:val="Hyperlink"/>
                <w:rFonts w:ascii="Marianne" w:eastAsiaTheme="majorEastAsia" w:hAnsi="Marianne"/>
                <w:noProof/>
              </w:rPr>
              <w:t>A.2.</w:t>
            </w:r>
            <w:r w:rsidR="000B6A2E">
              <w:rPr>
                <w:rFonts w:eastAsiaTheme="minorEastAsia" w:cstheme="minorBidi"/>
                <w:i w:val="0"/>
                <w:iCs w:val="0"/>
                <w:noProof/>
                <w:szCs w:val="22"/>
                <w:lang w:val="fr-FR"/>
              </w:rPr>
              <w:tab/>
            </w:r>
            <w:r w:rsidR="000B6A2E" w:rsidRPr="00A7616D">
              <w:rPr>
                <w:rStyle w:val="Hyperlink"/>
                <w:rFonts w:eastAsiaTheme="majorEastAsia"/>
                <w:noProof/>
              </w:rPr>
              <w:t>Action by Public Authorities in Climate Change Research</w:t>
            </w:r>
            <w:r w:rsidR="000B6A2E">
              <w:rPr>
                <w:noProof/>
                <w:webHidden/>
              </w:rPr>
              <w:tab/>
            </w:r>
            <w:r w:rsidR="000B6A2E">
              <w:rPr>
                <w:noProof/>
                <w:webHidden/>
              </w:rPr>
              <w:fldChar w:fldCharType="begin"/>
            </w:r>
            <w:r w:rsidR="000B6A2E">
              <w:rPr>
                <w:noProof/>
                <w:webHidden/>
              </w:rPr>
              <w:instrText xml:space="preserve"> PAGEREF _Toc138341895 \h </w:instrText>
            </w:r>
            <w:r w:rsidR="000B6A2E">
              <w:rPr>
                <w:noProof/>
                <w:webHidden/>
              </w:rPr>
            </w:r>
            <w:r w:rsidR="000B6A2E">
              <w:rPr>
                <w:noProof/>
                <w:webHidden/>
              </w:rPr>
              <w:fldChar w:fldCharType="separate"/>
            </w:r>
            <w:r w:rsidR="009A2FAA">
              <w:rPr>
                <w:noProof/>
                <w:webHidden/>
              </w:rPr>
              <w:t>273</w:t>
            </w:r>
            <w:r w:rsidR="000B6A2E">
              <w:rPr>
                <w:noProof/>
                <w:webHidden/>
              </w:rPr>
              <w:fldChar w:fldCharType="end"/>
            </w:r>
          </w:hyperlink>
        </w:p>
        <w:p w14:paraId="28E4FBCA" w14:textId="725C64DB"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96" w:history="1">
            <w:r w:rsidR="000B6A2E" w:rsidRPr="00A7616D">
              <w:rPr>
                <w:rStyle w:val="Hyperlink"/>
                <w:rFonts w:ascii="Marianne" w:eastAsiaTheme="majorEastAsia" w:hAnsi="Marianne"/>
                <w:noProof/>
              </w:rPr>
              <w:t>A.3.</w:t>
            </w:r>
            <w:r w:rsidR="000B6A2E">
              <w:rPr>
                <w:rFonts w:eastAsiaTheme="minorEastAsia" w:cstheme="minorBidi"/>
                <w:i w:val="0"/>
                <w:iCs w:val="0"/>
                <w:noProof/>
                <w:szCs w:val="22"/>
                <w:lang w:val="fr-FR"/>
              </w:rPr>
              <w:tab/>
            </w:r>
            <w:r w:rsidR="000B6A2E" w:rsidRPr="00A7616D">
              <w:rPr>
                <w:rStyle w:val="Hyperlink"/>
                <w:rFonts w:eastAsiaTheme="majorEastAsia"/>
                <w:noProof/>
              </w:rPr>
              <w:t>Research faced with the Stakes of Climate Change</w:t>
            </w:r>
            <w:r w:rsidR="000B6A2E">
              <w:rPr>
                <w:noProof/>
                <w:webHidden/>
              </w:rPr>
              <w:tab/>
            </w:r>
            <w:r w:rsidR="000B6A2E">
              <w:rPr>
                <w:noProof/>
                <w:webHidden/>
              </w:rPr>
              <w:fldChar w:fldCharType="begin"/>
            </w:r>
            <w:r w:rsidR="000B6A2E">
              <w:rPr>
                <w:noProof/>
                <w:webHidden/>
              </w:rPr>
              <w:instrText xml:space="preserve"> PAGEREF _Toc138341896 \h </w:instrText>
            </w:r>
            <w:r w:rsidR="000B6A2E">
              <w:rPr>
                <w:noProof/>
                <w:webHidden/>
              </w:rPr>
            </w:r>
            <w:r w:rsidR="000B6A2E">
              <w:rPr>
                <w:noProof/>
                <w:webHidden/>
              </w:rPr>
              <w:fldChar w:fldCharType="separate"/>
            </w:r>
            <w:r w:rsidR="009A2FAA">
              <w:rPr>
                <w:noProof/>
                <w:webHidden/>
              </w:rPr>
              <w:t>279</w:t>
            </w:r>
            <w:r w:rsidR="000B6A2E">
              <w:rPr>
                <w:noProof/>
                <w:webHidden/>
              </w:rPr>
              <w:fldChar w:fldCharType="end"/>
            </w:r>
          </w:hyperlink>
        </w:p>
        <w:p w14:paraId="739C2E4D" w14:textId="602E69E2"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897" w:history="1">
            <w:r w:rsidR="000B6A2E" w:rsidRPr="00A7616D">
              <w:rPr>
                <w:rStyle w:val="Hyperlink"/>
                <w:rFonts w:ascii="Marianne" w:eastAsiaTheme="majorEastAsia" w:hAnsi="Marianne"/>
                <w:noProof/>
              </w:rPr>
              <w:t>A.4.</w:t>
            </w:r>
            <w:r w:rsidR="000B6A2E">
              <w:rPr>
                <w:rFonts w:eastAsiaTheme="minorEastAsia" w:cstheme="minorBidi"/>
                <w:i w:val="0"/>
                <w:iCs w:val="0"/>
                <w:noProof/>
                <w:szCs w:val="22"/>
                <w:lang w:val="fr-FR"/>
              </w:rPr>
              <w:tab/>
            </w:r>
            <w:r w:rsidR="000B6A2E" w:rsidRPr="00A7616D">
              <w:rPr>
                <w:rStyle w:val="Hyperlink"/>
                <w:rFonts w:eastAsiaTheme="majorEastAsia"/>
                <w:noProof/>
              </w:rPr>
              <w:t>France’s Influence in Climate Research</w:t>
            </w:r>
            <w:r w:rsidR="000B6A2E">
              <w:rPr>
                <w:noProof/>
                <w:webHidden/>
              </w:rPr>
              <w:tab/>
            </w:r>
            <w:r w:rsidR="000B6A2E">
              <w:rPr>
                <w:noProof/>
                <w:webHidden/>
              </w:rPr>
              <w:fldChar w:fldCharType="begin"/>
            </w:r>
            <w:r w:rsidR="000B6A2E">
              <w:rPr>
                <w:noProof/>
                <w:webHidden/>
              </w:rPr>
              <w:instrText xml:space="preserve"> PAGEREF _Toc138341897 \h </w:instrText>
            </w:r>
            <w:r w:rsidR="000B6A2E">
              <w:rPr>
                <w:noProof/>
                <w:webHidden/>
              </w:rPr>
            </w:r>
            <w:r w:rsidR="000B6A2E">
              <w:rPr>
                <w:noProof/>
                <w:webHidden/>
              </w:rPr>
              <w:fldChar w:fldCharType="separate"/>
            </w:r>
            <w:r w:rsidR="009A2FAA">
              <w:rPr>
                <w:noProof/>
                <w:webHidden/>
              </w:rPr>
              <w:t>280</w:t>
            </w:r>
            <w:r w:rsidR="000B6A2E">
              <w:rPr>
                <w:noProof/>
                <w:webHidden/>
              </w:rPr>
              <w:fldChar w:fldCharType="end"/>
            </w:r>
          </w:hyperlink>
        </w:p>
        <w:p w14:paraId="49A92979" w14:textId="0CE391B6"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898"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Systematic Observation</w:t>
            </w:r>
            <w:r w:rsidR="000B6A2E">
              <w:rPr>
                <w:noProof/>
                <w:webHidden/>
              </w:rPr>
              <w:tab/>
            </w:r>
            <w:r w:rsidR="000B6A2E">
              <w:rPr>
                <w:noProof/>
                <w:webHidden/>
              </w:rPr>
              <w:fldChar w:fldCharType="begin"/>
            </w:r>
            <w:r w:rsidR="000B6A2E">
              <w:rPr>
                <w:noProof/>
                <w:webHidden/>
              </w:rPr>
              <w:instrText xml:space="preserve"> PAGEREF _Toc138341898 \h </w:instrText>
            </w:r>
            <w:r w:rsidR="000B6A2E">
              <w:rPr>
                <w:noProof/>
                <w:webHidden/>
              </w:rPr>
            </w:r>
            <w:r w:rsidR="000B6A2E">
              <w:rPr>
                <w:noProof/>
                <w:webHidden/>
              </w:rPr>
              <w:fldChar w:fldCharType="separate"/>
            </w:r>
            <w:r w:rsidR="009A2FAA">
              <w:rPr>
                <w:noProof/>
                <w:webHidden/>
              </w:rPr>
              <w:t>283</w:t>
            </w:r>
            <w:r w:rsidR="000B6A2E">
              <w:rPr>
                <w:noProof/>
                <w:webHidden/>
              </w:rPr>
              <w:fldChar w:fldCharType="end"/>
            </w:r>
          </w:hyperlink>
        </w:p>
        <w:p w14:paraId="79A8D734" w14:textId="3A444544"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899" w:history="1">
            <w:r w:rsidR="000B6A2E" w:rsidRPr="00A7616D">
              <w:rPr>
                <w:rStyle w:val="Hyperlink"/>
                <w:rFonts w:ascii="Marianne" w:eastAsiaTheme="majorEastAsia" w:hAnsi="Marianne"/>
                <w:noProof/>
              </w:rPr>
              <w:t>B.1.</w:t>
            </w:r>
            <w:r w:rsidR="000B6A2E">
              <w:rPr>
                <w:rFonts w:eastAsiaTheme="minorEastAsia" w:cstheme="minorBidi"/>
                <w:i w:val="0"/>
                <w:iCs w:val="0"/>
                <w:noProof/>
                <w:szCs w:val="22"/>
                <w:lang w:val="fr-FR"/>
              </w:rPr>
              <w:tab/>
            </w:r>
            <w:r w:rsidR="000B6A2E" w:rsidRPr="00A7616D">
              <w:rPr>
                <w:rStyle w:val="Hyperlink"/>
                <w:rFonts w:eastAsiaTheme="majorEastAsia"/>
                <w:noProof/>
              </w:rPr>
              <w:t>National Observation Services in the Domain of the Atmosphere</w:t>
            </w:r>
            <w:r w:rsidR="000B6A2E">
              <w:rPr>
                <w:noProof/>
                <w:webHidden/>
              </w:rPr>
              <w:tab/>
            </w:r>
            <w:r w:rsidR="000B6A2E">
              <w:rPr>
                <w:noProof/>
                <w:webHidden/>
              </w:rPr>
              <w:fldChar w:fldCharType="begin"/>
            </w:r>
            <w:r w:rsidR="000B6A2E">
              <w:rPr>
                <w:noProof/>
                <w:webHidden/>
              </w:rPr>
              <w:instrText xml:space="preserve"> PAGEREF _Toc138341899 \h </w:instrText>
            </w:r>
            <w:r w:rsidR="000B6A2E">
              <w:rPr>
                <w:noProof/>
                <w:webHidden/>
              </w:rPr>
            </w:r>
            <w:r w:rsidR="000B6A2E">
              <w:rPr>
                <w:noProof/>
                <w:webHidden/>
              </w:rPr>
              <w:fldChar w:fldCharType="separate"/>
            </w:r>
            <w:r w:rsidR="009A2FAA">
              <w:rPr>
                <w:noProof/>
                <w:webHidden/>
              </w:rPr>
              <w:t>284</w:t>
            </w:r>
            <w:r w:rsidR="000B6A2E">
              <w:rPr>
                <w:noProof/>
                <w:webHidden/>
              </w:rPr>
              <w:fldChar w:fldCharType="end"/>
            </w:r>
          </w:hyperlink>
        </w:p>
        <w:p w14:paraId="5D54D455" w14:textId="7FDDB149"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900" w:history="1">
            <w:r w:rsidR="000B6A2E" w:rsidRPr="00A7616D">
              <w:rPr>
                <w:rStyle w:val="Hyperlink"/>
                <w:rFonts w:ascii="Marianne" w:eastAsiaTheme="majorEastAsia" w:hAnsi="Marianne"/>
                <w:noProof/>
              </w:rPr>
              <w:t>B.2.</w:t>
            </w:r>
            <w:r w:rsidR="000B6A2E">
              <w:rPr>
                <w:rFonts w:eastAsiaTheme="minorEastAsia" w:cstheme="minorBidi"/>
                <w:i w:val="0"/>
                <w:iCs w:val="0"/>
                <w:noProof/>
                <w:szCs w:val="22"/>
                <w:lang w:val="fr-FR"/>
              </w:rPr>
              <w:tab/>
            </w:r>
            <w:r w:rsidR="000B6A2E" w:rsidRPr="00A7616D">
              <w:rPr>
                <w:rStyle w:val="Hyperlink"/>
                <w:rFonts w:eastAsiaTheme="majorEastAsia"/>
                <w:noProof/>
              </w:rPr>
              <w:t>Participation in International Physical -Chemical Measuring Networks (GAW, EMEP)</w:t>
            </w:r>
            <w:r w:rsidR="000B6A2E">
              <w:rPr>
                <w:noProof/>
                <w:webHidden/>
              </w:rPr>
              <w:tab/>
            </w:r>
            <w:r w:rsidR="000B6A2E">
              <w:rPr>
                <w:noProof/>
                <w:webHidden/>
              </w:rPr>
              <w:fldChar w:fldCharType="begin"/>
            </w:r>
            <w:r w:rsidR="000B6A2E">
              <w:rPr>
                <w:noProof/>
                <w:webHidden/>
              </w:rPr>
              <w:instrText xml:space="preserve"> PAGEREF _Toc138341900 \h </w:instrText>
            </w:r>
            <w:r w:rsidR="000B6A2E">
              <w:rPr>
                <w:noProof/>
                <w:webHidden/>
              </w:rPr>
            </w:r>
            <w:r w:rsidR="000B6A2E">
              <w:rPr>
                <w:noProof/>
                <w:webHidden/>
              </w:rPr>
              <w:fldChar w:fldCharType="separate"/>
            </w:r>
            <w:r w:rsidR="009A2FAA">
              <w:rPr>
                <w:noProof/>
                <w:webHidden/>
              </w:rPr>
              <w:t>285</w:t>
            </w:r>
            <w:r w:rsidR="000B6A2E">
              <w:rPr>
                <w:noProof/>
                <w:webHidden/>
              </w:rPr>
              <w:fldChar w:fldCharType="end"/>
            </w:r>
          </w:hyperlink>
        </w:p>
        <w:p w14:paraId="1A62B731" w14:textId="1EDEC37A"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901" w:history="1">
            <w:r w:rsidR="000B6A2E" w:rsidRPr="00A7616D">
              <w:rPr>
                <w:rStyle w:val="Hyperlink"/>
                <w:rFonts w:ascii="Marianne" w:eastAsiaTheme="majorEastAsia" w:hAnsi="Marianne"/>
                <w:noProof/>
              </w:rPr>
              <w:t>B.3.</w:t>
            </w:r>
            <w:r w:rsidR="000B6A2E">
              <w:rPr>
                <w:rFonts w:eastAsiaTheme="minorEastAsia" w:cstheme="minorBidi"/>
                <w:i w:val="0"/>
                <w:iCs w:val="0"/>
                <w:noProof/>
                <w:szCs w:val="22"/>
                <w:lang w:val="fr-FR"/>
              </w:rPr>
              <w:tab/>
            </w:r>
            <w:r w:rsidR="000B6A2E" w:rsidRPr="00A7616D">
              <w:rPr>
                <w:rStyle w:val="Hyperlink"/>
                <w:rFonts w:eastAsiaTheme="majorEastAsia"/>
                <w:noProof/>
              </w:rPr>
              <w:t>Météo France Observation Systems</w:t>
            </w:r>
            <w:r w:rsidR="000B6A2E">
              <w:rPr>
                <w:noProof/>
                <w:webHidden/>
              </w:rPr>
              <w:tab/>
            </w:r>
            <w:r w:rsidR="000B6A2E">
              <w:rPr>
                <w:noProof/>
                <w:webHidden/>
              </w:rPr>
              <w:fldChar w:fldCharType="begin"/>
            </w:r>
            <w:r w:rsidR="000B6A2E">
              <w:rPr>
                <w:noProof/>
                <w:webHidden/>
              </w:rPr>
              <w:instrText xml:space="preserve"> PAGEREF _Toc138341901 \h </w:instrText>
            </w:r>
            <w:r w:rsidR="000B6A2E">
              <w:rPr>
                <w:noProof/>
                <w:webHidden/>
              </w:rPr>
            </w:r>
            <w:r w:rsidR="000B6A2E">
              <w:rPr>
                <w:noProof/>
                <w:webHidden/>
              </w:rPr>
              <w:fldChar w:fldCharType="separate"/>
            </w:r>
            <w:r w:rsidR="009A2FAA">
              <w:rPr>
                <w:noProof/>
                <w:webHidden/>
              </w:rPr>
              <w:t>285</w:t>
            </w:r>
            <w:r w:rsidR="000B6A2E">
              <w:rPr>
                <w:noProof/>
                <w:webHidden/>
              </w:rPr>
              <w:fldChar w:fldCharType="end"/>
            </w:r>
          </w:hyperlink>
        </w:p>
        <w:p w14:paraId="581AA55F" w14:textId="3EE8A9A5"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902" w:history="1">
            <w:r w:rsidR="000B6A2E" w:rsidRPr="00A7616D">
              <w:rPr>
                <w:rStyle w:val="Hyperlink"/>
                <w:rFonts w:ascii="Marianne" w:eastAsiaTheme="majorEastAsia" w:hAnsi="Marianne"/>
                <w:noProof/>
              </w:rPr>
              <w:t>B.4.</w:t>
            </w:r>
            <w:r w:rsidR="000B6A2E">
              <w:rPr>
                <w:rFonts w:eastAsiaTheme="minorEastAsia" w:cstheme="minorBidi"/>
                <w:i w:val="0"/>
                <w:iCs w:val="0"/>
                <w:noProof/>
                <w:szCs w:val="22"/>
                <w:lang w:val="fr-FR"/>
              </w:rPr>
              <w:tab/>
            </w:r>
            <w:r w:rsidR="000B6A2E" w:rsidRPr="00A7616D">
              <w:rPr>
                <w:rStyle w:val="Hyperlink"/>
                <w:rFonts w:eastAsiaTheme="majorEastAsia"/>
                <w:noProof/>
              </w:rPr>
              <w:t>National Observation Services in the Domain of the Oceans</w:t>
            </w:r>
            <w:r w:rsidR="000B6A2E">
              <w:rPr>
                <w:noProof/>
                <w:webHidden/>
              </w:rPr>
              <w:tab/>
            </w:r>
            <w:r w:rsidR="000B6A2E">
              <w:rPr>
                <w:noProof/>
                <w:webHidden/>
              </w:rPr>
              <w:fldChar w:fldCharType="begin"/>
            </w:r>
            <w:r w:rsidR="000B6A2E">
              <w:rPr>
                <w:noProof/>
                <w:webHidden/>
              </w:rPr>
              <w:instrText xml:space="preserve"> PAGEREF _Toc138341902 \h </w:instrText>
            </w:r>
            <w:r w:rsidR="000B6A2E">
              <w:rPr>
                <w:noProof/>
                <w:webHidden/>
              </w:rPr>
            </w:r>
            <w:r w:rsidR="000B6A2E">
              <w:rPr>
                <w:noProof/>
                <w:webHidden/>
              </w:rPr>
              <w:fldChar w:fldCharType="separate"/>
            </w:r>
            <w:r w:rsidR="009A2FAA">
              <w:rPr>
                <w:noProof/>
                <w:webHidden/>
              </w:rPr>
              <w:t>286</w:t>
            </w:r>
            <w:r w:rsidR="000B6A2E">
              <w:rPr>
                <w:noProof/>
                <w:webHidden/>
              </w:rPr>
              <w:fldChar w:fldCharType="end"/>
            </w:r>
          </w:hyperlink>
        </w:p>
        <w:p w14:paraId="11470DCC" w14:textId="497FC013"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903" w:history="1">
            <w:r w:rsidR="000B6A2E" w:rsidRPr="00A7616D">
              <w:rPr>
                <w:rStyle w:val="Hyperlink"/>
                <w:rFonts w:ascii="Marianne" w:eastAsiaTheme="majorEastAsia" w:hAnsi="Marianne"/>
                <w:noProof/>
              </w:rPr>
              <w:t>B.5.</w:t>
            </w:r>
            <w:r w:rsidR="000B6A2E">
              <w:rPr>
                <w:rFonts w:eastAsiaTheme="minorEastAsia" w:cstheme="minorBidi"/>
                <w:i w:val="0"/>
                <w:iCs w:val="0"/>
                <w:noProof/>
                <w:szCs w:val="22"/>
                <w:lang w:val="fr-FR"/>
              </w:rPr>
              <w:tab/>
            </w:r>
            <w:r w:rsidR="000B6A2E" w:rsidRPr="00A7616D">
              <w:rPr>
                <w:rStyle w:val="Hyperlink"/>
                <w:rFonts w:eastAsiaTheme="majorEastAsia"/>
                <w:noProof/>
              </w:rPr>
              <w:t>Climate Observation in Space</w:t>
            </w:r>
            <w:r w:rsidR="000B6A2E">
              <w:rPr>
                <w:noProof/>
                <w:webHidden/>
              </w:rPr>
              <w:tab/>
            </w:r>
            <w:r w:rsidR="000B6A2E">
              <w:rPr>
                <w:noProof/>
                <w:webHidden/>
              </w:rPr>
              <w:fldChar w:fldCharType="begin"/>
            </w:r>
            <w:r w:rsidR="000B6A2E">
              <w:rPr>
                <w:noProof/>
                <w:webHidden/>
              </w:rPr>
              <w:instrText xml:space="preserve"> PAGEREF _Toc138341903 \h </w:instrText>
            </w:r>
            <w:r w:rsidR="000B6A2E">
              <w:rPr>
                <w:noProof/>
                <w:webHidden/>
              </w:rPr>
            </w:r>
            <w:r w:rsidR="000B6A2E">
              <w:rPr>
                <w:noProof/>
                <w:webHidden/>
              </w:rPr>
              <w:fldChar w:fldCharType="separate"/>
            </w:r>
            <w:r w:rsidR="009A2FAA">
              <w:rPr>
                <w:noProof/>
                <w:webHidden/>
              </w:rPr>
              <w:t>287</w:t>
            </w:r>
            <w:r w:rsidR="000B6A2E">
              <w:rPr>
                <w:noProof/>
                <w:webHidden/>
              </w:rPr>
              <w:fldChar w:fldCharType="end"/>
            </w:r>
          </w:hyperlink>
        </w:p>
        <w:p w14:paraId="6DE90E3E" w14:textId="089648E0" w:rsidR="000B6A2E" w:rsidRDefault="003714FB">
          <w:pPr>
            <w:pStyle w:val="TOC1"/>
            <w:rPr>
              <w:rFonts w:eastAsiaTheme="minorEastAsia" w:cstheme="minorBidi"/>
              <w:b w:val="0"/>
              <w:bCs w:val="0"/>
              <w:caps w:val="0"/>
              <w:noProof/>
              <w:szCs w:val="22"/>
              <w:lang w:val="fr-FR"/>
            </w:rPr>
          </w:pPr>
          <w:hyperlink w:anchor="_Toc138341904" w:history="1">
            <w:r w:rsidR="000B6A2E" w:rsidRPr="00A7616D">
              <w:rPr>
                <w:rStyle w:val="Hyperlink"/>
                <w:rFonts w:eastAsiaTheme="majorEastAsia"/>
                <w:noProof/>
              </w:rPr>
              <w:t>Chapter IX - Education, Training and Raising Public Awareness</w:t>
            </w:r>
            <w:r w:rsidR="000B6A2E">
              <w:rPr>
                <w:noProof/>
                <w:webHidden/>
              </w:rPr>
              <w:tab/>
            </w:r>
            <w:r w:rsidR="000B6A2E">
              <w:rPr>
                <w:noProof/>
                <w:webHidden/>
              </w:rPr>
              <w:fldChar w:fldCharType="begin"/>
            </w:r>
            <w:r w:rsidR="000B6A2E">
              <w:rPr>
                <w:noProof/>
                <w:webHidden/>
              </w:rPr>
              <w:instrText xml:space="preserve"> PAGEREF _Toc138341904 \h </w:instrText>
            </w:r>
            <w:r w:rsidR="000B6A2E">
              <w:rPr>
                <w:noProof/>
                <w:webHidden/>
              </w:rPr>
            </w:r>
            <w:r w:rsidR="000B6A2E">
              <w:rPr>
                <w:noProof/>
                <w:webHidden/>
              </w:rPr>
              <w:fldChar w:fldCharType="separate"/>
            </w:r>
            <w:r w:rsidR="009A2FAA">
              <w:rPr>
                <w:noProof/>
                <w:webHidden/>
              </w:rPr>
              <w:t>288</w:t>
            </w:r>
            <w:r w:rsidR="000B6A2E">
              <w:rPr>
                <w:noProof/>
                <w:webHidden/>
              </w:rPr>
              <w:fldChar w:fldCharType="end"/>
            </w:r>
          </w:hyperlink>
        </w:p>
        <w:p w14:paraId="20D45723" w14:textId="40C509AE"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905" w:history="1">
            <w:r w:rsidR="000B6A2E" w:rsidRPr="00A7616D">
              <w:rPr>
                <w:rStyle w:val="Hyperlink"/>
                <w:rFonts w:eastAsiaTheme="majorEastAsia"/>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Status of Opinions</w:t>
            </w:r>
            <w:r w:rsidR="000B6A2E">
              <w:rPr>
                <w:noProof/>
                <w:webHidden/>
              </w:rPr>
              <w:tab/>
            </w:r>
            <w:r w:rsidR="000B6A2E">
              <w:rPr>
                <w:noProof/>
                <w:webHidden/>
              </w:rPr>
              <w:fldChar w:fldCharType="begin"/>
            </w:r>
            <w:r w:rsidR="000B6A2E">
              <w:rPr>
                <w:noProof/>
                <w:webHidden/>
              </w:rPr>
              <w:instrText xml:space="preserve"> PAGEREF _Toc138341905 \h </w:instrText>
            </w:r>
            <w:r w:rsidR="000B6A2E">
              <w:rPr>
                <w:noProof/>
                <w:webHidden/>
              </w:rPr>
            </w:r>
            <w:r w:rsidR="000B6A2E">
              <w:rPr>
                <w:noProof/>
                <w:webHidden/>
              </w:rPr>
              <w:fldChar w:fldCharType="separate"/>
            </w:r>
            <w:r w:rsidR="009A2FAA">
              <w:rPr>
                <w:noProof/>
                <w:webHidden/>
              </w:rPr>
              <w:t>288</w:t>
            </w:r>
            <w:r w:rsidR="000B6A2E">
              <w:rPr>
                <w:noProof/>
                <w:webHidden/>
              </w:rPr>
              <w:fldChar w:fldCharType="end"/>
            </w:r>
          </w:hyperlink>
        </w:p>
        <w:p w14:paraId="0D1FA1E0" w14:textId="4874F180"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906" w:history="1">
            <w:r w:rsidR="000B6A2E" w:rsidRPr="00A7616D">
              <w:rPr>
                <w:rStyle w:val="Hyperlink"/>
                <w:rFonts w:ascii="Marianne" w:eastAsiaTheme="majorEastAsia" w:hAnsi="Marianne"/>
                <w:noProof/>
              </w:rPr>
              <w:t>A.1.</w:t>
            </w:r>
            <w:r w:rsidR="000B6A2E">
              <w:rPr>
                <w:rFonts w:eastAsiaTheme="minorEastAsia" w:cstheme="minorBidi"/>
                <w:i w:val="0"/>
                <w:iCs w:val="0"/>
                <w:noProof/>
                <w:szCs w:val="22"/>
                <w:lang w:val="fr-FR"/>
              </w:rPr>
              <w:tab/>
            </w:r>
            <w:r w:rsidR="000B6A2E" w:rsidRPr="00A7616D">
              <w:rPr>
                <w:rStyle w:val="Hyperlink"/>
                <w:rFonts w:eastAsiaTheme="majorEastAsia"/>
                <w:noProof/>
              </w:rPr>
              <w:t>A major increase in awareness of French people about climate change.</w:t>
            </w:r>
            <w:r w:rsidR="000B6A2E">
              <w:rPr>
                <w:noProof/>
                <w:webHidden/>
              </w:rPr>
              <w:tab/>
            </w:r>
            <w:r w:rsidR="000B6A2E">
              <w:rPr>
                <w:noProof/>
                <w:webHidden/>
              </w:rPr>
              <w:fldChar w:fldCharType="begin"/>
            </w:r>
            <w:r w:rsidR="000B6A2E">
              <w:rPr>
                <w:noProof/>
                <w:webHidden/>
              </w:rPr>
              <w:instrText xml:space="preserve"> PAGEREF _Toc138341906 \h </w:instrText>
            </w:r>
            <w:r w:rsidR="000B6A2E">
              <w:rPr>
                <w:noProof/>
                <w:webHidden/>
              </w:rPr>
            </w:r>
            <w:r w:rsidR="000B6A2E">
              <w:rPr>
                <w:noProof/>
                <w:webHidden/>
              </w:rPr>
              <w:fldChar w:fldCharType="separate"/>
            </w:r>
            <w:r w:rsidR="009A2FAA">
              <w:rPr>
                <w:noProof/>
                <w:webHidden/>
              </w:rPr>
              <w:t>288</w:t>
            </w:r>
            <w:r w:rsidR="000B6A2E">
              <w:rPr>
                <w:noProof/>
                <w:webHidden/>
              </w:rPr>
              <w:fldChar w:fldCharType="end"/>
            </w:r>
          </w:hyperlink>
        </w:p>
        <w:p w14:paraId="1191BEC8" w14:textId="3D2CD8FD"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907" w:history="1">
            <w:r w:rsidR="000B6A2E" w:rsidRPr="00A7616D">
              <w:rPr>
                <w:rStyle w:val="Hyperlink"/>
                <w:rFonts w:ascii="Marianne" w:eastAsiaTheme="majorEastAsia" w:hAnsi="Marianne"/>
                <w:noProof/>
              </w:rPr>
              <w:t>A.2.</w:t>
            </w:r>
            <w:r w:rsidR="000B6A2E">
              <w:rPr>
                <w:rFonts w:eastAsiaTheme="minorEastAsia" w:cstheme="minorBidi"/>
                <w:i w:val="0"/>
                <w:iCs w:val="0"/>
                <w:noProof/>
                <w:szCs w:val="22"/>
                <w:lang w:val="fr-FR"/>
              </w:rPr>
              <w:tab/>
            </w:r>
            <w:r w:rsidR="000B6A2E" w:rsidRPr="00A7616D">
              <w:rPr>
                <w:rStyle w:val="Hyperlink"/>
                <w:rFonts w:eastAsiaTheme="majorEastAsia"/>
                <w:noProof/>
              </w:rPr>
              <w:t>Raised awareness generates large expectations as regards public authorities</w:t>
            </w:r>
            <w:r w:rsidR="000B6A2E">
              <w:rPr>
                <w:noProof/>
                <w:webHidden/>
              </w:rPr>
              <w:tab/>
            </w:r>
            <w:r w:rsidR="000B6A2E">
              <w:rPr>
                <w:noProof/>
                <w:webHidden/>
              </w:rPr>
              <w:fldChar w:fldCharType="begin"/>
            </w:r>
            <w:r w:rsidR="000B6A2E">
              <w:rPr>
                <w:noProof/>
                <w:webHidden/>
              </w:rPr>
              <w:instrText xml:space="preserve"> PAGEREF _Toc138341907 \h </w:instrText>
            </w:r>
            <w:r w:rsidR="000B6A2E">
              <w:rPr>
                <w:noProof/>
                <w:webHidden/>
              </w:rPr>
            </w:r>
            <w:r w:rsidR="000B6A2E">
              <w:rPr>
                <w:noProof/>
                <w:webHidden/>
              </w:rPr>
              <w:fldChar w:fldCharType="separate"/>
            </w:r>
            <w:r w:rsidR="009A2FAA">
              <w:rPr>
                <w:noProof/>
                <w:webHidden/>
              </w:rPr>
              <w:t>291</w:t>
            </w:r>
            <w:r w:rsidR="000B6A2E">
              <w:rPr>
                <w:noProof/>
                <w:webHidden/>
              </w:rPr>
              <w:fldChar w:fldCharType="end"/>
            </w:r>
          </w:hyperlink>
        </w:p>
        <w:p w14:paraId="1F50BF2C" w14:textId="50489149"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908" w:history="1">
            <w:r w:rsidR="000B6A2E" w:rsidRPr="00A7616D">
              <w:rPr>
                <w:rStyle w:val="Hyperlink"/>
                <w:rFonts w:ascii="Marianne" w:eastAsiaTheme="majorEastAsia" w:hAnsi="Marianne"/>
                <w:noProof/>
              </w:rPr>
              <w:t>A.3.</w:t>
            </w:r>
            <w:r w:rsidR="000B6A2E">
              <w:rPr>
                <w:rFonts w:eastAsiaTheme="minorEastAsia" w:cstheme="minorBidi"/>
                <w:i w:val="0"/>
                <w:iCs w:val="0"/>
                <w:noProof/>
                <w:szCs w:val="22"/>
                <w:lang w:val="fr-FR"/>
              </w:rPr>
              <w:tab/>
            </w:r>
            <w:r w:rsidR="000B6A2E" w:rsidRPr="00A7616D">
              <w:rPr>
                <w:rStyle w:val="Hyperlink"/>
                <w:rFonts w:eastAsiaTheme="majorEastAsia"/>
                <w:noProof/>
              </w:rPr>
              <w:t>The development of renewable energies, a great priority for the French.</w:t>
            </w:r>
            <w:r w:rsidR="000B6A2E">
              <w:rPr>
                <w:noProof/>
                <w:webHidden/>
              </w:rPr>
              <w:tab/>
            </w:r>
            <w:r w:rsidR="000B6A2E">
              <w:rPr>
                <w:noProof/>
                <w:webHidden/>
              </w:rPr>
              <w:fldChar w:fldCharType="begin"/>
            </w:r>
            <w:r w:rsidR="000B6A2E">
              <w:rPr>
                <w:noProof/>
                <w:webHidden/>
              </w:rPr>
              <w:instrText xml:space="preserve"> PAGEREF _Toc138341908 \h </w:instrText>
            </w:r>
            <w:r w:rsidR="000B6A2E">
              <w:rPr>
                <w:noProof/>
                <w:webHidden/>
              </w:rPr>
            </w:r>
            <w:r w:rsidR="000B6A2E">
              <w:rPr>
                <w:noProof/>
                <w:webHidden/>
              </w:rPr>
              <w:fldChar w:fldCharType="separate"/>
            </w:r>
            <w:r w:rsidR="009A2FAA">
              <w:rPr>
                <w:noProof/>
                <w:webHidden/>
              </w:rPr>
              <w:t>292</w:t>
            </w:r>
            <w:r w:rsidR="000B6A2E">
              <w:rPr>
                <w:noProof/>
                <w:webHidden/>
              </w:rPr>
              <w:fldChar w:fldCharType="end"/>
            </w:r>
          </w:hyperlink>
        </w:p>
        <w:p w14:paraId="77C2BD85" w14:textId="45D8D50F"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909" w:history="1">
            <w:r w:rsidR="000B6A2E" w:rsidRPr="00A7616D">
              <w:rPr>
                <w:rStyle w:val="Hyperlink"/>
                <w:rFonts w:ascii="Marianne" w:eastAsiaTheme="majorEastAsia" w:hAnsi="Marianne"/>
                <w:noProof/>
              </w:rPr>
              <w:t>A.4.</w:t>
            </w:r>
            <w:r w:rsidR="000B6A2E">
              <w:rPr>
                <w:rFonts w:eastAsiaTheme="minorEastAsia" w:cstheme="minorBidi"/>
                <w:i w:val="0"/>
                <w:iCs w:val="0"/>
                <w:noProof/>
                <w:szCs w:val="22"/>
                <w:lang w:val="fr-FR"/>
              </w:rPr>
              <w:tab/>
            </w:r>
            <w:r w:rsidR="000B6A2E" w:rsidRPr="00A7616D">
              <w:rPr>
                <w:rStyle w:val="Hyperlink"/>
                <w:rFonts w:eastAsiaTheme="majorEastAsia"/>
                <w:noProof/>
              </w:rPr>
              <w:t>Objective documented information at the root of awareness raising</w:t>
            </w:r>
            <w:r w:rsidR="000B6A2E">
              <w:rPr>
                <w:noProof/>
                <w:webHidden/>
              </w:rPr>
              <w:tab/>
            </w:r>
            <w:r w:rsidR="000B6A2E">
              <w:rPr>
                <w:noProof/>
                <w:webHidden/>
              </w:rPr>
              <w:fldChar w:fldCharType="begin"/>
            </w:r>
            <w:r w:rsidR="000B6A2E">
              <w:rPr>
                <w:noProof/>
                <w:webHidden/>
              </w:rPr>
              <w:instrText xml:space="preserve"> PAGEREF _Toc138341909 \h </w:instrText>
            </w:r>
            <w:r w:rsidR="000B6A2E">
              <w:rPr>
                <w:noProof/>
                <w:webHidden/>
              </w:rPr>
            </w:r>
            <w:r w:rsidR="000B6A2E">
              <w:rPr>
                <w:noProof/>
                <w:webHidden/>
              </w:rPr>
              <w:fldChar w:fldCharType="separate"/>
            </w:r>
            <w:r w:rsidR="009A2FAA">
              <w:rPr>
                <w:noProof/>
                <w:webHidden/>
              </w:rPr>
              <w:t>292</w:t>
            </w:r>
            <w:r w:rsidR="000B6A2E">
              <w:rPr>
                <w:noProof/>
                <w:webHidden/>
              </w:rPr>
              <w:fldChar w:fldCharType="end"/>
            </w:r>
          </w:hyperlink>
        </w:p>
        <w:p w14:paraId="04ED7C8C" w14:textId="0587F206"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910" w:history="1">
            <w:r w:rsidR="000B6A2E" w:rsidRPr="00A7616D">
              <w:rPr>
                <w:rStyle w:val="Hyperlink"/>
                <w:rFonts w:ascii="Marianne" w:eastAsiaTheme="majorEastAsia" w:hAnsi="Marianne"/>
                <w:noProof/>
              </w:rPr>
              <w:t>A.5.</w:t>
            </w:r>
            <w:r w:rsidR="000B6A2E">
              <w:rPr>
                <w:rFonts w:eastAsiaTheme="minorEastAsia" w:cstheme="minorBidi"/>
                <w:i w:val="0"/>
                <w:iCs w:val="0"/>
                <w:noProof/>
                <w:szCs w:val="22"/>
                <w:lang w:val="fr-FR"/>
              </w:rPr>
              <w:tab/>
            </w:r>
            <w:r w:rsidR="000B6A2E" w:rsidRPr="00A7616D">
              <w:rPr>
                <w:rStyle w:val="Hyperlink"/>
                <w:rFonts w:eastAsiaTheme="majorEastAsia"/>
                <w:noProof/>
              </w:rPr>
              <w:t>Advertising and Sales Communications: a major tool for ecological transitioning</w:t>
            </w:r>
            <w:r w:rsidR="000B6A2E">
              <w:rPr>
                <w:noProof/>
                <w:webHidden/>
              </w:rPr>
              <w:tab/>
            </w:r>
            <w:r w:rsidR="000B6A2E">
              <w:rPr>
                <w:noProof/>
                <w:webHidden/>
              </w:rPr>
              <w:fldChar w:fldCharType="begin"/>
            </w:r>
            <w:r w:rsidR="000B6A2E">
              <w:rPr>
                <w:noProof/>
                <w:webHidden/>
              </w:rPr>
              <w:instrText xml:space="preserve"> PAGEREF _Toc138341910 \h </w:instrText>
            </w:r>
            <w:r w:rsidR="000B6A2E">
              <w:rPr>
                <w:noProof/>
                <w:webHidden/>
              </w:rPr>
            </w:r>
            <w:r w:rsidR="000B6A2E">
              <w:rPr>
                <w:noProof/>
                <w:webHidden/>
              </w:rPr>
              <w:fldChar w:fldCharType="separate"/>
            </w:r>
            <w:r w:rsidR="009A2FAA">
              <w:rPr>
                <w:noProof/>
                <w:webHidden/>
              </w:rPr>
              <w:t>293</w:t>
            </w:r>
            <w:r w:rsidR="000B6A2E">
              <w:rPr>
                <w:noProof/>
                <w:webHidden/>
              </w:rPr>
              <w:fldChar w:fldCharType="end"/>
            </w:r>
          </w:hyperlink>
        </w:p>
        <w:p w14:paraId="25CFC99F" w14:textId="369E1C6E"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911"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Education and Training</w:t>
            </w:r>
            <w:r w:rsidR="000B6A2E">
              <w:rPr>
                <w:noProof/>
                <w:webHidden/>
              </w:rPr>
              <w:tab/>
            </w:r>
            <w:r w:rsidR="000B6A2E">
              <w:rPr>
                <w:noProof/>
                <w:webHidden/>
              </w:rPr>
              <w:fldChar w:fldCharType="begin"/>
            </w:r>
            <w:r w:rsidR="000B6A2E">
              <w:rPr>
                <w:noProof/>
                <w:webHidden/>
              </w:rPr>
              <w:instrText xml:space="preserve"> PAGEREF _Toc138341911 \h </w:instrText>
            </w:r>
            <w:r w:rsidR="000B6A2E">
              <w:rPr>
                <w:noProof/>
                <w:webHidden/>
              </w:rPr>
            </w:r>
            <w:r w:rsidR="000B6A2E">
              <w:rPr>
                <w:noProof/>
                <w:webHidden/>
              </w:rPr>
              <w:fldChar w:fldCharType="separate"/>
            </w:r>
            <w:r w:rsidR="009A2FAA">
              <w:rPr>
                <w:noProof/>
                <w:webHidden/>
              </w:rPr>
              <w:t>294</w:t>
            </w:r>
            <w:r w:rsidR="000B6A2E">
              <w:rPr>
                <w:noProof/>
                <w:webHidden/>
              </w:rPr>
              <w:fldChar w:fldCharType="end"/>
            </w:r>
          </w:hyperlink>
        </w:p>
        <w:p w14:paraId="2F76AC88" w14:textId="4DCEC356"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912" w:history="1">
            <w:r w:rsidR="000B6A2E" w:rsidRPr="00A7616D">
              <w:rPr>
                <w:rStyle w:val="Hyperlink"/>
                <w:rFonts w:ascii="Marianne" w:eastAsiaTheme="majorEastAsia" w:hAnsi="Marianne"/>
                <w:noProof/>
              </w:rPr>
              <w:t>B.1.</w:t>
            </w:r>
            <w:r w:rsidR="000B6A2E">
              <w:rPr>
                <w:rFonts w:eastAsiaTheme="minorEastAsia" w:cstheme="minorBidi"/>
                <w:i w:val="0"/>
                <w:iCs w:val="0"/>
                <w:noProof/>
                <w:szCs w:val="22"/>
                <w:lang w:val="fr-FR"/>
              </w:rPr>
              <w:tab/>
            </w:r>
            <w:r w:rsidR="000B6A2E" w:rsidRPr="00A7616D">
              <w:rPr>
                <w:rStyle w:val="Hyperlink"/>
                <w:rFonts w:eastAsiaTheme="majorEastAsia"/>
                <w:noProof/>
              </w:rPr>
              <w:t>Education in sustainable development at school, deployed by the National Education Ministry across all schools, middle and high schools in France</w:t>
            </w:r>
            <w:r w:rsidR="000B6A2E">
              <w:rPr>
                <w:noProof/>
                <w:webHidden/>
              </w:rPr>
              <w:tab/>
            </w:r>
            <w:r w:rsidR="000B6A2E">
              <w:rPr>
                <w:noProof/>
                <w:webHidden/>
              </w:rPr>
              <w:fldChar w:fldCharType="begin"/>
            </w:r>
            <w:r w:rsidR="000B6A2E">
              <w:rPr>
                <w:noProof/>
                <w:webHidden/>
              </w:rPr>
              <w:instrText xml:space="preserve"> PAGEREF _Toc138341912 \h </w:instrText>
            </w:r>
            <w:r w:rsidR="000B6A2E">
              <w:rPr>
                <w:noProof/>
                <w:webHidden/>
              </w:rPr>
            </w:r>
            <w:r w:rsidR="000B6A2E">
              <w:rPr>
                <w:noProof/>
                <w:webHidden/>
              </w:rPr>
              <w:fldChar w:fldCharType="separate"/>
            </w:r>
            <w:r w:rsidR="009A2FAA">
              <w:rPr>
                <w:noProof/>
                <w:webHidden/>
              </w:rPr>
              <w:t>294</w:t>
            </w:r>
            <w:r w:rsidR="000B6A2E">
              <w:rPr>
                <w:noProof/>
                <w:webHidden/>
              </w:rPr>
              <w:fldChar w:fldCharType="end"/>
            </w:r>
          </w:hyperlink>
        </w:p>
        <w:p w14:paraId="76C5BA17" w14:textId="021BA068"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913" w:history="1">
            <w:r w:rsidR="000B6A2E" w:rsidRPr="00A7616D">
              <w:rPr>
                <w:rStyle w:val="Hyperlink"/>
                <w:rFonts w:ascii="Marianne" w:eastAsiaTheme="majorEastAsia" w:hAnsi="Marianne"/>
                <w:noProof/>
              </w:rPr>
              <w:t>B.2.</w:t>
            </w:r>
            <w:r w:rsidR="000B6A2E">
              <w:rPr>
                <w:rFonts w:eastAsiaTheme="minorEastAsia" w:cstheme="minorBidi"/>
                <w:i w:val="0"/>
                <w:iCs w:val="0"/>
                <w:noProof/>
                <w:szCs w:val="22"/>
                <w:lang w:val="fr-FR"/>
              </w:rPr>
              <w:tab/>
            </w:r>
            <w:r w:rsidR="000B6A2E" w:rsidRPr="00A7616D">
              <w:rPr>
                <w:rStyle w:val="Hyperlink"/>
                <w:rFonts w:eastAsiaTheme="majorEastAsia"/>
                <w:noProof/>
              </w:rPr>
              <w:t>Enhanced teacher training and teaching resources</w:t>
            </w:r>
            <w:r w:rsidR="000B6A2E">
              <w:rPr>
                <w:noProof/>
                <w:webHidden/>
              </w:rPr>
              <w:tab/>
            </w:r>
            <w:r w:rsidR="000B6A2E">
              <w:rPr>
                <w:noProof/>
                <w:webHidden/>
              </w:rPr>
              <w:fldChar w:fldCharType="begin"/>
            </w:r>
            <w:r w:rsidR="000B6A2E">
              <w:rPr>
                <w:noProof/>
                <w:webHidden/>
              </w:rPr>
              <w:instrText xml:space="preserve"> PAGEREF _Toc138341913 \h </w:instrText>
            </w:r>
            <w:r w:rsidR="000B6A2E">
              <w:rPr>
                <w:noProof/>
                <w:webHidden/>
              </w:rPr>
            </w:r>
            <w:r w:rsidR="000B6A2E">
              <w:rPr>
                <w:noProof/>
                <w:webHidden/>
              </w:rPr>
              <w:fldChar w:fldCharType="separate"/>
            </w:r>
            <w:r w:rsidR="009A2FAA">
              <w:rPr>
                <w:noProof/>
                <w:webHidden/>
              </w:rPr>
              <w:t>296</w:t>
            </w:r>
            <w:r w:rsidR="000B6A2E">
              <w:rPr>
                <w:noProof/>
                <w:webHidden/>
              </w:rPr>
              <w:fldChar w:fldCharType="end"/>
            </w:r>
          </w:hyperlink>
        </w:p>
        <w:p w14:paraId="1A80F8A6" w14:textId="11F8B231"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914" w:history="1">
            <w:r w:rsidR="000B6A2E" w:rsidRPr="00A7616D">
              <w:rPr>
                <w:rStyle w:val="Hyperlink"/>
                <w:rFonts w:eastAsiaTheme="majorEastAsia"/>
                <w:noProof/>
              </w:rPr>
              <w:t>C.</w:t>
            </w:r>
            <w:r w:rsidR="000B6A2E">
              <w:rPr>
                <w:rFonts w:eastAsiaTheme="minorEastAsia" w:cstheme="minorBidi"/>
                <w:smallCaps w:val="0"/>
                <w:noProof/>
                <w:szCs w:val="22"/>
                <w:lang w:val="fr-FR"/>
              </w:rPr>
              <w:tab/>
            </w:r>
            <w:r w:rsidR="000B6A2E" w:rsidRPr="00A7616D">
              <w:rPr>
                <w:rStyle w:val="Hyperlink"/>
                <w:rFonts w:eastAsiaTheme="majorEastAsia"/>
                <w:noProof/>
              </w:rPr>
              <w:t>Public Awareness Raising and Participation</w:t>
            </w:r>
            <w:r w:rsidR="000B6A2E">
              <w:rPr>
                <w:noProof/>
                <w:webHidden/>
              </w:rPr>
              <w:tab/>
            </w:r>
            <w:r w:rsidR="000B6A2E">
              <w:rPr>
                <w:noProof/>
                <w:webHidden/>
              </w:rPr>
              <w:fldChar w:fldCharType="begin"/>
            </w:r>
            <w:r w:rsidR="000B6A2E">
              <w:rPr>
                <w:noProof/>
                <w:webHidden/>
              </w:rPr>
              <w:instrText xml:space="preserve"> PAGEREF _Toc138341914 \h </w:instrText>
            </w:r>
            <w:r w:rsidR="000B6A2E">
              <w:rPr>
                <w:noProof/>
                <w:webHidden/>
              </w:rPr>
            </w:r>
            <w:r w:rsidR="000B6A2E">
              <w:rPr>
                <w:noProof/>
                <w:webHidden/>
              </w:rPr>
              <w:fldChar w:fldCharType="separate"/>
            </w:r>
            <w:r w:rsidR="009A2FAA">
              <w:rPr>
                <w:noProof/>
                <w:webHidden/>
              </w:rPr>
              <w:t>298</w:t>
            </w:r>
            <w:r w:rsidR="000B6A2E">
              <w:rPr>
                <w:noProof/>
                <w:webHidden/>
              </w:rPr>
              <w:fldChar w:fldCharType="end"/>
            </w:r>
          </w:hyperlink>
        </w:p>
        <w:p w14:paraId="60CFA82F" w14:textId="717E2D27" w:rsidR="000B6A2E" w:rsidRDefault="003714FB">
          <w:pPr>
            <w:pStyle w:val="TOC3"/>
            <w:tabs>
              <w:tab w:val="left" w:pos="1000"/>
              <w:tab w:val="right" w:leader="dot" w:pos="9940"/>
            </w:tabs>
            <w:rPr>
              <w:rFonts w:eastAsiaTheme="minorEastAsia" w:cstheme="minorBidi"/>
              <w:i w:val="0"/>
              <w:iCs w:val="0"/>
              <w:noProof/>
              <w:szCs w:val="22"/>
              <w:lang w:val="fr-FR"/>
            </w:rPr>
          </w:pPr>
          <w:hyperlink w:anchor="_Toc138341915" w:history="1">
            <w:r w:rsidR="000B6A2E" w:rsidRPr="00A7616D">
              <w:rPr>
                <w:rStyle w:val="Hyperlink"/>
                <w:rFonts w:ascii="Marianne" w:eastAsiaTheme="majorEastAsia" w:hAnsi="Marianne"/>
                <w:noProof/>
              </w:rPr>
              <w:t>C.1.</w:t>
            </w:r>
            <w:r w:rsidR="000B6A2E">
              <w:rPr>
                <w:rFonts w:eastAsiaTheme="minorEastAsia" w:cstheme="minorBidi"/>
                <w:i w:val="0"/>
                <w:iCs w:val="0"/>
                <w:noProof/>
                <w:szCs w:val="22"/>
                <w:lang w:val="fr-FR"/>
              </w:rPr>
              <w:tab/>
            </w:r>
            <w:r w:rsidR="000B6A2E" w:rsidRPr="00A7616D">
              <w:rPr>
                <w:rStyle w:val="Hyperlink"/>
                <w:rFonts w:eastAsiaTheme="majorEastAsia"/>
                <w:noProof/>
              </w:rPr>
              <w:t>Citizen Participation</w:t>
            </w:r>
            <w:r w:rsidR="000B6A2E">
              <w:rPr>
                <w:noProof/>
                <w:webHidden/>
              </w:rPr>
              <w:tab/>
            </w:r>
            <w:r w:rsidR="000B6A2E">
              <w:rPr>
                <w:noProof/>
                <w:webHidden/>
              </w:rPr>
              <w:fldChar w:fldCharType="begin"/>
            </w:r>
            <w:r w:rsidR="000B6A2E">
              <w:rPr>
                <w:noProof/>
                <w:webHidden/>
              </w:rPr>
              <w:instrText xml:space="preserve"> PAGEREF _Toc138341915 \h </w:instrText>
            </w:r>
            <w:r w:rsidR="000B6A2E">
              <w:rPr>
                <w:noProof/>
                <w:webHidden/>
              </w:rPr>
            </w:r>
            <w:r w:rsidR="000B6A2E">
              <w:rPr>
                <w:noProof/>
                <w:webHidden/>
              </w:rPr>
              <w:fldChar w:fldCharType="separate"/>
            </w:r>
            <w:r w:rsidR="009A2FAA">
              <w:rPr>
                <w:noProof/>
                <w:webHidden/>
              </w:rPr>
              <w:t>298</w:t>
            </w:r>
            <w:r w:rsidR="000B6A2E">
              <w:rPr>
                <w:noProof/>
                <w:webHidden/>
              </w:rPr>
              <w:fldChar w:fldCharType="end"/>
            </w:r>
          </w:hyperlink>
        </w:p>
        <w:p w14:paraId="1973EF8A" w14:textId="0F03CCAA"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916" w:history="1">
            <w:r w:rsidR="000B6A2E" w:rsidRPr="00A7616D">
              <w:rPr>
                <w:rStyle w:val="Hyperlink"/>
                <w:rFonts w:ascii="Marianne" w:eastAsiaTheme="majorEastAsia" w:hAnsi="Marianne"/>
                <w:noProof/>
              </w:rPr>
              <w:t>C.2.</w:t>
            </w:r>
            <w:r w:rsidR="000B6A2E">
              <w:rPr>
                <w:rFonts w:eastAsiaTheme="minorEastAsia" w:cstheme="minorBidi"/>
                <w:i w:val="0"/>
                <w:iCs w:val="0"/>
                <w:noProof/>
                <w:szCs w:val="22"/>
                <w:lang w:val="fr-FR"/>
              </w:rPr>
              <w:tab/>
            </w:r>
            <w:r w:rsidR="000B6A2E" w:rsidRPr="00A7616D">
              <w:rPr>
                <w:rStyle w:val="Hyperlink"/>
                <w:rFonts w:eastAsiaTheme="majorEastAsia"/>
                <w:noProof/>
              </w:rPr>
              <w:t>Youth delegates: the representatives of youth in climate negotiating teams and harbingers of future public participation in France</w:t>
            </w:r>
            <w:r w:rsidR="000B6A2E">
              <w:rPr>
                <w:noProof/>
                <w:webHidden/>
              </w:rPr>
              <w:tab/>
            </w:r>
            <w:r w:rsidR="000B6A2E">
              <w:rPr>
                <w:noProof/>
                <w:webHidden/>
              </w:rPr>
              <w:fldChar w:fldCharType="begin"/>
            </w:r>
            <w:r w:rsidR="000B6A2E">
              <w:rPr>
                <w:noProof/>
                <w:webHidden/>
              </w:rPr>
              <w:instrText xml:space="preserve"> PAGEREF _Toc138341916 \h </w:instrText>
            </w:r>
            <w:r w:rsidR="000B6A2E">
              <w:rPr>
                <w:noProof/>
                <w:webHidden/>
              </w:rPr>
            </w:r>
            <w:r w:rsidR="000B6A2E">
              <w:rPr>
                <w:noProof/>
                <w:webHidden/>
              </w:rPr>
              <w:fldChar w:fldCharType="separate"/>
            </w:r>
            <w:r w:rsidR="009A2FAA">
              <w:rPr>
                <w:noProof/>
                <w:webHidden/>
              </w:rPr>
              <w:t>299</w:t>
            </w:r>
            <w:r w:rsidR="000B6A2E">
              <w:rPr>
                <w:noProof/>
                <w:webHidden/>
              </w:rPr>
              <w:fldChar w:fldCharType="end"/>
            </w:r>
          </w:hyperlink>
        </w:p>
        <w:p w14:paraId="0FB93A28" w14:textId="6F6726E3"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917" w:history="1">
            <w:r w:rsidR="000B6A2E" w:rsidRPr="00A7616D">
              <w:rPr>
                <w:rStyle w:val="Hyperlink"/>
                <w:rFonts w:ascii="Marianne" w:eastAsiaTheme="majorEastAsia" w:hAnsi="Marianne"/>
                <w:noProof/>
              </w:rPr>
              <w:t>C.3.</w:t>
            </w:r>
            <w:r w:rsidR="000B6A2E">
              <w:rPr>
                <w:rFonts w:eastAsiaTheme="minorEastAsia" w:cstheme="minorBidi"/>
                <w:i w:val="0"/>
                <w:iCs w:val="0"/>
                <w:noProof/>
                <w:szCs w:val="22"/>
                <w:lang w:val="fr-FR"/>
              </w:rPr>
              <w:tab/>
            </w:r>
            <w:r w:rsidR="000B6A2E" w:rsidRPr="00A7616D">
              <w:rPr>
                <w:rStyle w:val="Hyperlink"/>
                <w:rFonts w:eastAsiaTheme="majorEastAsia"/>
                <w:noProof/>
              </w:rPr>
              <w:t>Informing Consumers on the Impact of Products on the Climate and Environment</w:t>
            </w:r>
            <w:r w:rsidR="000B6A2E">
              <w:rPr>
                <w:noProof/>
                <w:webHidden/>
              </w:rPr>
              <w:tab/>
            </w:r>
            <w:r w:rsidR="000B6A2E">
              <w:rPr>
                <w:noProof/>
                <w:webHidden/>
              </w:rPr>
              <w:fldChar w:fldCharType="begin"/>
            </w:r>
            <w:r w:rsidR="000B6A2E">
              <w:rPr>
                <w:noProof/>
                <w:webHidden/>
              </w:rPr>
              <w:instrText xml:space="preserve"> PAGEREF _Toc138341917 \h </w:instrText>
            </w:r>
            <w:r w:rsidR="000B6A2E">
              <w:rPr>
                <w:noProof/>
                <w:webHidden/>
              </w:rPr>
            </w:r>
            <w:r w:rsidR="000B6A2E">
              <w:rPr>
                <w:noProof/>
                <w:webHidden/>
              </w:rPr>
              <w:fldChar w:fldCharType="separate"/>
            </w:r>
            <w:r w:rsidR="009A2FAA">
              <w:rPr>
                <w:noProof/>
                <w:webHidden/>
              </w:rPr>
              <w:t>299</w:t>
            </w:r>
            <w:r w:rsidR="000B6A2E">
              <w:rPr>
                <w:noProof/>
                <w:webHidden/>
              </w:rPr>
              <w:fldChar w:fldCharType="end"/>
            </w:r>
          </w:hyperlink>
        </w:p>
        <w:p w14:paraId="4FF8CCC6" w14:textId="6D316F36"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918" w:history="1">
            <w:r w:rsidR="000B6A2E" w:rsidRPr="00A7616D">
              <w:rPr>
                <w:rStyle w:val="Hyperlink"/>
                <w:rFonts w:ascii="Marianne" w:eastAsiaTheme="majorEastAsia" w:hAnsi="Marianne"/>
                <w:noProof/>
              </w:rPr>
              <w:t>C.4.</w:t>
            </w:r>
            <w:r w:rsidR="000B6A2E">
              <w:rPr>
                <w:rFonts w:eastAsiaTheme="minorEastAsia" w:cstheme="minorBidi"/>
                <w:i w:val="0"/>
                <w:iCs w:val="0"/>
                <w:noProof/>
                <w:szCs w:val="22"/>
                <w:lang w:val="fr-FR"/>
              </w:rPr>
              <w:tab/>
            </w:r>
            <w:r w:rsidR="000B6A2E" w:rsidRPr="00A7616D">
              <w:rPr>
                <w:rStyle w:val="Hyperlink"/>
                <w:rFonts w:eastAsiaTheme="majorEastAsia"/>
                <w:noProof/>
              </w:rPr>
              <w:t>Making Editing and Weather Services in Newscasts</w:t>
            </w:r>
            <w:r w:rsidR="000B6A2E">
              <w:rPr>
                <w:noProof/>
                <w:webHidden/>
              </w:rPr>
              <w:tab/>
            </w:r>
            <w:r w:rsidR="000B6A2E">
              <w:rPr>
                <w:noProof/>
                <w:webHidden/>
              </w:rPr>
              <w:fldChar w:fldCharType="begin"/>
            </w:r>
            <w:r w:rsidR="000B6A2E">
              <w:rPr>
                <w:noProof/>
                <w:webHidden/>
              </w:rPr>
              <w:instrText xml:space="preserve"> PAGEREF _Toc138341918 \h </w:instrText>
            </w:r>
            <w:r w:rsidR="000B6A2E">
              <w:rPr>
                <w:noProof/>
                <w:webHidden/>
              </w:rPr>
            </w:r>
            <w:r w:rsidR="000B6A2E">
              <w:rPr>
                <w:noProof/>
                <w:webHidden/>
              </w:rPr>
              <w:fldChar w:fldCharType="separate"/>
            </w:r>
            <w:r w:rsidR="009A2FAA">
              <w:rPr>
                <w:noProof/>
                <w:webHidden/>
              </w:rPr>
              <w:t>300</w:t>
            </w:r>
            <w:r w:rsidR="000B6A2E">
              <w:rPr>
                <w:noProof/>
                <w:webHidden/>
              </w:rPr>
              <w:fldChar w:fldCharType="end"/>
            </w:r>
          </w:hyperlink>
        </w:p>
        <w:p w14:paraId="16D4A345" w14:textId="1B5116A9"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919" w:history="1">
            <w:r w:rsidR="000B6A2E" w:rsidRPr="00A7616D">
              <w:rPr>
                <w:rStyle w:val="Hyperlink"/>
                <w:rFonts w:eastAsiaTheme="majorEastAsia"/>
                <w:noProof/>
              </w:rPr>
              <w:t>D.</w:t>
            </w:r>
            <w:r w:rsidR="000B6A2E">
              <w:rPr>
                <w:rFonts w:eastAsiaTheme="minorEastAsia" w:cstheme="minorBidi"/>
                <w:smallCaps w:val="0"/>
                <w:noProof/>
                <w:szCs w:val="22"/>
                <w:lang w:val="fr-FR"/>
              </w:rPr>
              <w:tab/>
            </w:r>
            <w:r w:rsidR="000B6A2E" w:rsidRPr="00A7616D">
              <w:rPr>
                <w:rStyle w:val="Hyperlink"/>
                <w:rFonts w:eastAsiaTheme="majorEastAsia"/>
                <w:noProof/>
              </w:rPr>
              <w:t>Cooperation</w:t>
            </w:r>
            <w:r w:rsidR="000B6A2E">
              <w:rPr>
                <w:noProof/>
                <w:webHidden/>
              </w:rPr>
              <w:tab/>
            </w:r>
            <w:r w:rsidR="000B6A2E">
              <w:rPr>
                <w:noProof/>
                <w:webHidden/>
              </w:rPr>
              <w:fldChar w:fldCharType="begin"/>
            </w:r>
            <w:r w:rsidR="000B6A2E">
              <w:rPr>
                <w:noProof/>
                <w:webHidden/>
              </w:rPr>
              <w:instrText xml:space="preserve"> PAGEREF _Toc138341919 \h </w:instrText>
            </w:r>
            <w:r w:rsidR="000B6A2E">
              <w:rPr>
                <w:noProof/>
                <w:webHidden/>
              </w:rPr>
            </w:r>
            <w:r w:rsidR="000B6A2E">
              <w:rPr>
                <w:noProof/>
                <w:webHidden/>
              </w:rPr>
              <w:fldChar w:fldCharType="separate"/>
            </w:r>
            <w:r w:rsidR="009A2FAA">
              <w:rPr>
                <w:noProof/>
                <w:webHidden/>
              </w:rPr>
              <w:t>300</w:t>
            </w:r>
            <w:r w:rsidR="000B6A2E">
              <w:rPr>
                <w:noProof/>
                <w:webHidden/>
              </w:rPr>
              <w:fldChar w:fldCharType="end"/>
            </w:r>
          </w:hyperlink>
        </w:p>
        <w:p w14:paraId="768851A6" w14:textId="5AC722C6" w:rsidR="000B6A2E" w:rsidRDefault="003714FB">
          <w:pPr>
            <w:pStyle w:val="TOC3"/>
            <w:tabs>
              <w:tab w:val="left" w:pos="1200"/>
              <w:tab w:val="right" w:leader="dot" w:pos="9940"/>
            </w:tabs>
            <w:rPr>
              <w:rFonts w:eastAsiaTheme="minorEastAsia" w:cstheme="minorBidi"/>
              <w:i w:val="0"/>
              <w:iCs w:val="0"/>
              <w:noProof/>
              <w:szCs w:val="22"/>
              <w:lang w:val="fr-FR"/>
            </w:rPr>
          </w:pPr>
          <w:hyperlink w:anchor="_Toc138341920" w:history="1">
            <w:r w:rsidR="000B6A2E" w:rsidRPr="00A7616D">
              <w:rPr>
                <w:rStyle w:val="Hyperlink"/>
                <w:rFonts w:ascii="Marianne" w:eastAsiaTheme="majorEastAsia" w:hAnsi="Marianne"/>
                <w:noProof/>
              </w:rPr>
              <w:t>D.1.</w:t>
            </w:r>
            <w:r w:rsidR="000B6A2E">
              <w:rPr>
                <w:rFonts w:eastAsiaTheme="minorEastAsia" w:cstheme="minorBidi"/>
                <w:i w:val="0"/>
                <w:iCs w:val="0"/>
                <w:noProof/>
                <w:szCs w:val="22"/>
                <w:lang w:val="fr-FR"/>
              </w:rPr>
              <w:tab/>
            </w:r>
            <w:r w:rsidR="000B6A2E" w:rsidRPr="00A7616D">
              <w:rPr>
                <w:rStyle w:val="Hyperlink"/>
                <w:rFonts w:eastAsiaTheme="majorEastAsia"/>
                <w:noProof/>
              </w:rPr>
              <w:t>International Cooperation</w:t>
            </w:r>
            <w:r w:rsidR="000B6A2E">
              <w:rPr>
                <w:noProof/>
                <w:webHidden/>
              </w:rPr>
              <w:tab/>
            </w:r>
            <w:r w:rsidR="000B6A2E">
              <w:rPr>
                <w:noProof/>
                <w:webHidden/>
              </w:rPr>
              <w:fldChar w:fldCharType="begin"/>
            </w:r>
            <w:r w:rsidR="000B6A2E">
              <w:rPr>
                <w:noProof/>
                <w:webHidden/>
              </w:rPr>
              <w:instrText xml:space="preserve"> PAGEREF _Toc138341920 \h </w:instrText>
            </w:r>
            <w:r w:rsidR="000B6A2E">
              <w:rPr>
                <w:noProof/>
                <w:webHidden/>
              </w:rPr>
            </w:r>
            <w:r w:rsidR="000B6A2E">
              <w:rPr>
                <w:noProof/>
                <w:webHidden/>
              </w:rPr>
              <w:fldChar w:fldCharType="separate"/>
            </w:r>
            <w:r w:rsidR="009A2FAA">
              <w:rPr>
                <w:noProof/>
                <w:webHidden/>
              </w:rPr>
              <w:t>300</w:t>
            </w:r>
            <w:r w:rsidR="000B6A2E">
              <w:rPr>
                <w:noProof/>
                <w:webHidden/>
              </w:rPr>
              <w:fldChar w:fldCharType="end"/>
            </w:r>
          </w:hyperlink>
        </w:p>
        <w:p w14:paraId="66B1475C" w14:textId="70F6C3EF" w:rsidR="000B6A2E" w:rsidRDefault="003714FB">
          <w:pPr>
            <w:pStyle w:val="TOC1"/>
            <w:rPr>
              <w:rFonts w:eastAsiaTheme="minorEastAsia" w:cstheme="minorBidi"/>
              <w:b w:val="0"/>
              <w:bCs w:val="0"/>
              <w:caps w:val="0"/>
              <w:noProof/>
              <w:szCs w:val="22"/>
              <w:lang w:val="fr-FR"/>
            </w:rPr>
          </w:pPr>
          <w:hyperlink w:anchor="_Toc138341921" w:history="1">
            <w:r w:rsidR="000B6A2E" w:rsidRPr="00A7616D">
              <w:rPr>
                <w:rStyle w:val="Hyperlink"/>
                <w:rFonts w:eastAsiaTheme="majorEastAsia"/>
                <w:noProof/>
              </w:rPr>
              <w:t>Appendix I - Contribution so the Eighth National Communication by France under CCNUCC.</w:t>
            </w:r>
            <w:r w:rsidR="000B6A2E">
              <w:rPr>
                <w:noProof/>
                <w:webHidden/>
              </w:rPr>
              <w:tab/>
            </w:r>
            <w:r w:rsidR="000B6A2E">
              <w:rPr>
                <w:noProof/>
                <w:webHidden/>
              </w:rPr>
              <w:fldChar w:fldCharType="begin"/>
            </w:r>
            <w:r w:rsidR="000B6A2E">
              <w:rPr>
                <w:noProof/>
                <w:webHidden/>
              </w:rPr>
              <w:instrText xml:space="preserve"> PAGEREF _Toc138341921 \h </w:instrText>
            </w:r>
            <w:r w:rsidR="000B6A2E">
              <w:rPr>
                <w:noProof/>
                <w:webHidden/>
              </w:rPr>
            </w:r>
            <w:r w:rsidR="000B6A2E">
              <w:rPr>
                <w:noProof/>
                <w:webHidden/>
              </w:rPr>
              <w:fldChar w:fldCharType="separate"/>
            </w:r>
            <w:r w:rsidR="009A2FAA">
              <w:rPr>
                <w:noProof/>
                <w:webHidden/>
              </w:rPr>
              <w:t>303</w:t>
            </w:r>
            <w:r w:rsidR="000B6A2E">
              <w:rPr>
                <w:noProof/>
                <w:webHidden/>
              </w:rPr>
              <w:fldChar w:fldCharType="end"/>
            </w:r>
          </w:hyperlink>
        </w:p>
        <w:p w14:paraId="3A0B9094" w14:textId="17C80365" w:rsidR="000B6A2E" w:rsidRDefault="003714FB">
          <w:pPr>
            <w:pStyle w:val="TOC1"/>
            <w:rPr>
              <w:rFonts w:eastAsiaTheme="minorEastAsia" w:cstheme="minorBidi"/>
              <w:b w:val="0"/>
              <w:bCs w:val="0"/>
              <w:caps w:val="0"/>
              <w:noProof/>
              <w:szCs w:val="22"/>
              <w:lang w:val="fr-FR"/>
            </w:rPr>
          </w:pPr>
          <w:hyperlink w:anchor="_Toc138341922" w:history="1">
            <w:r w:rsidR="000B6A2E" w:rsidRPr="00A7616D">
              <w:rPr>
                <w:rStyle w:val="Hyperlink"/>
                <w:rFonts w:eastAsiaTheme="majorEastAsia"/>
                <w:noProof/>
              </w:rPr>
              <w:t>Appendix II - Inventory of Greenhouse Gas Emissions, CRF Format and SECTEN Format</w:t>
            </w:r>
            <w:r w:rsidR="000B6A2E">
              <w:rPr>
                <w:noProof/>
                <w:webHidden/>
              </w:rPr>
              <w:tab/>
            </w:r>
            <w:r w:rsidR="000B6A2E">
              <w:rPr>
                <w:noProof/>
                <w:webHidden/>
              </w:rPr>
              <w:fldChar w:fldCharType="begin"/>
            </w:r>
            <w:r w:rsidR="000B6A2E">
              <w:rPr>
                <w:noProof/>
                <w:webHidden/>
              </w:rPr>
              <w:instrText xml:space="preserve"> PAGEREF _Toc138341922 \h </w:instrText>
            </w:r>
            <w:r w:rsidR="000B6A2E">
              <w:rPr>
                <w:noProof/>
                <w:webHidden/>
              </w:rPr>
            </w:r>
            <w:r w:rsidR="000B6A2E">
              <w:rPr>
                <w:noProof/>
                <w:webHidden/>
              </w:rPr>
              <w:fldChar w:fldCharType="separate"/>
            </w:r>
            <w:r w:rsidR="009A2FAA">
              <w:rPr>
                <w:noProof/>
                <w:webHidden/>
              </w:rPr>
              <w:t>305</w:t>
            </w:r>
            <w:r w:rsidR="000B6A2E">
              <w:rPr>
                <w:noProof/>
                <w:webHidden/>
              </w:rPr>
              <w:fldChar w:fldCharType="end"/>
            </w:r>
          </w:hyperlink>
        </w:p>
        <w:p w14:paraId="68B656C7" w14:textId="2886042F"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923" w:history="1">
            <w:r w:rsidR="000B6A2E" w:rsidRPr="00A7616D">
              <w:rPr>
                <w:rStyle w:val="Hyperlink"/>
                <w:rFonts w:eastAsiaTheme="majorEastAsia"/>
                <w:noProof/>
              </w:rPr>
              <w:t>A.</w:t>
            </w:r>
            <w:r w:rsidR="000B6A2E">
              <w:rPr>
                <w:rFonts w:eastAsiaTheme="minorEastAsia" w:cstheme="minorBidi"/>
                <w:smallCaps w:val="0"/>
                <w:noProof/>
                <w:szCs w:val="22"/>
                <w:lang w:val="fr-FR"/>
              </w:rPr>
              <w:tab/>
            </w:r>
            <w:r w:rsidR="000B6A2E" w:rsidRPr="00A7616D">
              <w:rPr>
                <w:rStyle w:val="Hyperlink"/>
                <w:rFonts w:eastAsiaTheme="majorEastAsia"/>
                <w:noProof/>
              </w:rPr>
              <w:t>Trend for CO</w:t>
            </w:r>
            <w:r w:rsidR="000B6A2E" w:rsidRPr="00A7616D">
              <w:rPr>
                <w:rStyle w:val="Hyperlink"/>
                <w:rFonts w:eastAsiaTheme="majorEastAsia"/>
                <w:noProof/>
                <w:vertAlign w:val="subscript"/>
              </w:rPr>
              <w:t>2</w:t>
            </w:r>
            <w:r w:rsidR="000B6A2E" w:rsidRPr="00A7616D">
              <w:rPr>
                <w:rStyle w:val="Hyperlink"/>
                <w:rFonts w:eastAsiaTheme="majorEastAsia"/>
                <w:noProof/>
              </w:rPr>
              <w:t xml:space="preserve"> (“Kyoto” scope - ktCO</w:t>
            </w:r>
            <w:r w:rsidR="000B6A2E" w:rsidRPr="00A7616D">
              <w:rPr>
                <w:rStyle w:val="Hyperlink"/>
                <w:rFonts w:eastAsiaTheme="majorEastAsia"/>
                <w:noProof/>
                <w:vertAlign w:val="subscript"/>
              </w:rPr>
              <w:t>2</w:t>
            </w:r>
            <w:r w:rsidR="000B6A2E" w:rsidRPr="00A7616D">
              <w:rPr>
                <w:rStyle w:val="Hyperlink"/>
                <w:rFonts w:eastAsiaTheme="majorEastAsia"/>
                <w:noProof/>
              </w:rPr>
              <w:t>)</w:t>
            </w:r>
            <w:r w:rsidR="000B6A2E">
              <w:rPr>
                <w:noProof/>
                <w:webHidden/>
              </w:rPr>
              <w:tab/>
            </w:r>
            <w:r w:rsidR="000B6A2E">
              <w:rPr>
                <w:noProof/>
                <w:webHidden/>
              </w:rPr>
              <w:fldChar w:fldCharType="begin"/>
            </w:r>
            <w:r w:rsidR="000B6A2E">
              <w:rPr>
                <w:noProof/>
                <w:webHidden/>
              </w:rPr>
              <w:instrText xml:space="preserve"> PAGEREF _Toc138341923 \h </w:instrText>
            </w:r>
            <w:r w:rsidR="000B6A2E">
              <w:rPr>
                <w:noProof/>
                <w:webHidden/>
              </w:rPr>
            </w:r>
            <w:r w:rsidR="000B6A2E">
              <w:rPr>
                <w:noProof/>
                <w:webHidden/>
              </w:rPr>
              <w:fldChar w:fldCharType="separate"/>
            </w:r>
            <w:r w:rsidR="009A2FAA">
              <w:rPr>
                <w:noProof/>
                <w:webHidden/>
              </w:rPr>
              <w:t>305</w:t>
            </w:r>
            <w:r w:rsidR="000B6A2E">
              <w:rPr>
                <w:noProof/>
                <w:webHidden/>
              </w:rPr>
              <w:fldChar w:fldCharType="end"/>
            </w:r>
          </w:hyperlink>
        </w:p>
        <w:p w14:paraId="362C0867" w14:textId="20CE38F2"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924" w:history="1">
            <w:r w:rsidR="000B6A2E" w:rsidRPr="00A7616D">
              <w:rPr>
                <w:rStyle w:val="Hyperlink"/>
                <w:rFonts w:eastAsiaTheme="majorEastAsia"/>
                <w:noProof/>
              </w:rPr>
              <w:t>B.</w:t>
            </w:r>
            <w:r w:rsidR="000B6A2E">
              <w:rPr>
                <w:rFonts w:eastAsiaTheme="minorEastAsia" w:cstheme="minorBidi"/>
                <w:smallCaps w:val="0"/>
                <w:noProof/>
                <w:szCs w:val="22"/>
                <w:lang w:val="fr-FR"/>
              </w:rPr>
              <w:tab/>
            </w:r>
            <w:r w:rsidR="000B6A2E" w:rsidRPr="00A7616D">
              <w:rPr>
                <w:rStyle w:val="Hyperlink"/>
                <w:rFonts w:eastAsiaTheme="majorEastAsia"/>
                <w:noProof/>
              </w:rPr>
              <w:t>Trend for CH</w:t>
            </w:r>
            <w:r w:rsidR="000B6A2E" w:rsidRPr="00A7616D">
              <w:rPr>
                <w:rStyle w:val="Hyperlink"/>
                <w:rFonts w:eastAsiaTheme="majorEastAsia"/>
                <w:noProof/>
                <w:vertAlign w:val="subscript"/>
              </w:rPr>
              <w:t>4</w:t>
            </w:r>
            <w:r w:rsidR="000B6A2E" w:rsidRPr="00A7616D">
              <w:rPr>
                <w:rStyle w:val="Hyperlink"/>
                <w:rFonts w:eastAsiaTheme="majorEastAsia"/>
                <w:noProof/>
              </w:rPr>
              <w:t xml:space="preserve"> (“Kyoto” scope - kt)</w:t>
            </w:r>
            <w:r w:rsidR="000B6A2E">
              <w:rPr>
                <w:noProof/>
                <w:webHidden/>
              </w:rPr>
              <w:tab/>
            </w:r>
            <w:r w:rsidR="000B6A2E">
              <w:rPr>
                <w:noProof/>
                <w:webHidden/>
              </w:rPr>
              <w:fldChar w:fldCharType="begin"/>
            </w:r>
            <w:r w:rsidR="000B6A2E">
              <w:rPr>
                <w:noProof/>
                <w:webHidden/>
              </w:rPr>
              <w:instrText xml:space="preserve"> PAGEREF _Toc138341924 \h </w:instrText>
            </w:r>
            <w:r w:rsidR="000B6A2E">
              <w:rPr>
                <w:noProof/>
                <w:webHidden/>
              </w:rPr>
            </w:r>
            <w:r w:rsidR="000B6A2E">
              <w:rPr>
                <w:noProof/>
                <w:webHidden/>
              </w:rPr>
              <w:fldChar w:fldCharType="separate"/>
            </w:r>
            <w:r w:rsidR="009A2FAA">
              <w:rPr>
                <w:noProof/>
                <w:webHidden/>
              </w:rPr>
              <w:t>315</w:t>
            </w:r>
            <w:r w:rsidR="000B6A2E">
              <w:rPr>
                <w:noProof/>
                <w:webHidden/>
              </w:rPr>
              <w:fldChar w:fldCharType="end"/>
            </w:r>
          </w:hyperlink>
        </w:p>
        <w:p w14:paraId="524B37C6" w14:textId="0A8978BA"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925" w:history="1">
            <w:r w:rsidR="000B6A2E" w:rsidRPr="00A7616D">
              <w:rPr>
                <w:rStyle w:val="Hyperlink"/>
                <w:rFonts w:eastAsiaTheme="majorEastAsia"/>
                <w:noProof/>
              </w:rPr>
              <w:t>C.</w:t>
            </w:r>
            <w:r w:rsidR="000B6A2E">
              <w:rPr>
                <w:rFonts w:eastAsiaTheme="minorEastAsia" w:cstheme="minorBidi"/>
                <w:smallCaps w:val="0"/>
                <w:noProof/>
                <w:szCs w:val="22"/>
                <w:lang w:val="fr-FR"/>
              </w:rPr>
              <w:tab/>
            </w:r>
            <w:r w:rsidR="000B6A2E" w:rsidRPr="00A7616D">
              <w:rPr>
                <w:rStyle w:val="Hyperlink"/>
                <w:rFonts w:eastAsiaTheme="majorEastAsia"/>
                <w:noProof/>
              </w:rPr>
              <w:t>Trend for N</w:t>
            </w:r>
            <w:r w:rsidR="000B6A2E" w:rsidRPr="00A7616D">
              <w:rPr>
                <w:rStyle w:val="Hyperlink"/>
                <w:rFonts w:eastAsiaTheme="majorEastAsia"/>
                <w:noProof/>
                <w:vertAlign w:val="subscript"/>
              </w:rPr>
              <w:t>2</w:t>
            </w:r>
            <w:r w:rsidR="000B6A2E" w:rsidRPr="00A7616D">
              <w:rPr>
                <w:rStyle w:val="Hyperlink"/>
                <w:rFonts w:eastAsiaTheme="majorEastAsia"/>
                <w:noProof/>
              </w:rPr>
              <w:t>O (“Kyoto” scope - kt)</w:t>
            </w:r>
            <w:r w:rsidR="000B6A2E">
              <w:rPr>
                <w:noProof/>
                <w:webHidden/>
              </w:rPr>
              <w:tab/>
            </w:r>
            <w:r w:rsidR="000B6A2E">
              <w:rPr>
                <w:noProof/>
                <w:webHidden/>
              </w:rPr>
              <w:fldChar w:fldCharType="begin"/>
            </w:r>
            <w:r w:rsidR="000B6A2E">
              <w:rPr>
                <w:noProof/>
                <w:webHidden/>
              </w:rPr>
              <w:instrText xml:space="preserve"> PAGEREF _Toc138341925 \h </w:instrText>
            </w:r>
            <w:r w:rsidR="000B6A2E">
              <w:rPr>
                <w:noProof/>
                <w:webHidden/>
              </w:rPr>
            </w:r>
            <w:r w:rsidR="000B6A2E">
              <w:rPr>
                <w:noProof/>
                <w:webHidden/>
              </w:rPr>
              <w:fldChar w:fldCharType="separate"/>
            </w:r>
            <w:r w:rsidR="009A2FAA">
              <w:rPr>
                <w:noProof/>
                <w:webHidden/>
              </w:rPr>
              <w:t>324</w:t>
            </w:r>
            <w:r w:rsidR="000B6A2E">
              <w:rPr>
                <w:noProof/>
                <w:webHidden/>
              </w:rPr>
              <w:fldChar w:fldCharType="end"/>
            </w:r>
          </w:hyperlink>
        </w:p>
        <w:p w14:paraId="2AA79766" w14:textId="4ACBF588" w:rsidR="000B6A2E" w:rsidRDefault="003714FB">
          <w:pPr>
            <w:pStyle w:val="TOC2"/>
            <w:tabs>
              <w:tab w:val="left" w:pos="800"/>
              <w:tab w:val="right" w:leader="dot" w:pos="9940"/>
            </w:tabs>
            <w:rPr>
              <w:rFonts w:eastAsiaTheme="minorEastAsia" w:cstheme="minorBidi"/>
              <w:smallCaps w:val="0"/>
              <w:noProof/>
              <w:szCs w:val="22"/>
              <w:lang w:val="fr-FR"/>
            </w:rPr>
          </w:pPr>
          <w:hyperlink w:anchor="_Toc138341926" w:history="1">
            <w:r w:rsidR="000B6A2E" w:rsidRPr="00A7616D">
              <w:rPr>
                <w:rStyle w:val="Hyperlink"/>
                <w:rFonts w:eastAsiaTheme="majorEastAsia"/>
                <w:noProof/>
              </w:rPr>
              <w:t>D.</w:t>
            </w:r>
            <w:r w:rsidR="000B6A2E">
              <w:rPr>
                <w:rFonts w:eastAsiaTheme="minorEastAsia" w:cstheme="minorBidi"/>
                <w:smallCaps w:val="0"/>
                <w:noProof/>
                <w:szCs w:val="22"/>
                <w:lang w:val="fr-FR"/>
              </w:rPr>
              <w:tab/>
            </w:r>
            <w:r w:rsidR="000B6A2E" w:rsidRPr="00A7616D">
              <w:rPr>
                <w:rStyle w:val="Hyperlink"/>
                <w:rFonts w:eastAsiaTheme="majorEastAsia"/>
                <w:noProof/>
              </w:rPr>
              <w:t>Trend for fluorinated gases (“Kyoto” scope - ktCO</w:t>
            </w:r>
            <w:r w:rsidR="000B6A2E" w:rsidRPr="00A7616D">
              <w:rPr>
                <w:rStyle w:val="Hyperlink"/>
                <w:rFonts w:eastAsiaTheme="majorEastAsia"/>
                <w:noProof/>
                <w:vertAlign w:val="subscript"/>
              </w:rPr>
              <w:t xml:space="preserve"> 2e</w:t>
            </w:r>
            <w:r w:rsidR="000B6A2E" w:rsidRPr="00A7616D">
              <w:rPr>
                <w:rStyle w:val="Hyperlink"/>
                <w:rFonts w:eastAsiaTheme="majorEastAsia"/>
                <w:noProof/>
              </w:rPr>
              <w:t>)</w:t>
            </w:r>
            <w:r w:rsidR="000B6A2E">
              <w:rPr>
                <w:noProof/>
                <w:webHidden/>
              </w:rPr>
              <w:tab/>
            </w:r>
            <w:r w:rsidR="000B6A2E">
              <w:rPr>
                <w:noProof/>
                <w:webHidden/>
              </w:rPr>
              <w:fldChar w:fldCharType="begin"/>
            </w:r>
            <w:r w:rsidR="000B6A2E">
              <w:rPr>
                <w:noProof/>
                <w:webHidden/>
              </w:rPr>
              <w:instrText xml:space="preserve"> PAGEREF _Toc138341926 \h </w:instrText>
            </w:r>
            <w:r w:rsidR="000B6A2E">
              <w:rPr>
                <w:noProof/>
                <w:webHidden/>
              </w:rPr>
            </w:r>
            <w:r w:rsidR="000B6A2E">
              <w:rPr>
                <w:noProof/>
                <w:webHidden/>
              </w:rPr>
              <w:fldChar w:fldCharType="separate"/>
            </w:r>
            <w:r w:rsidR="009A2FAA">
              <w:rPr>
                <w:noProof/>
                <w:webHidden/>
              </w:rPr>
              <w:t>332</w:t>
            </w:r>
            <w:r w:rsidR="000B6A2E">
              <w:rPr>
                <w:noProof/>
                <w:webHidden/>
              </w:rPr>
              <w:fldChar w:fldCharType="end"/>
            </w:r>
          </w:hyperlink>
        </w:p>
        <w:p w14:paraId="7A67F02E" w14:textId="7C8A9E97"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927" w:history="1">
            <w:r w:rsidR="000B6A2E" w:rsidRPr="00A7616D">
              <w:rPr>
                <w:rStyle w:val="Hyperlink"/>
                <w:rFonts w:eastAsiaTheme="majorEastAsia"/>
                <w:noProof/>
              </w:rPr>
              <w:t>E.</w:t>
            </w:r>
            <w:r w:rsidR="000B6A2E">
              <w:rPr>
                <w:rFonts w:eastAsiaTheme="minorEastAsia" w:cstheme="minorBidi"/>
                <w:smallCaps w:val="0"/>
                <w:noProof/>
                <w:szCs w:val="22"/>
                <w:lang w:val="fr-FR"/>
              </w:rPr>
              <w:tab/>
            </w:r>
            <w:r w:rsidR="000B6A2E" w:rsidRPr="00A7616D">
              <w:rPr>
                <w:rStyle w:val="Hyperlink"/>
                <w:rFonts w:eastAsiaTheme="majorEastAsia"/>
                <w:noProof/>
              </w:rPr>
              <w:t>Summary (“Kyoto” scope - ktCO</w:t>
            </w:r>
            <w:r w:rsidR="000B6A2E" w:rsidRPr="00A7616D">
              <w:rPr>
                <w:rStyle w:val="Hyperlink"/>
                <w:rFonts w:eastAsiaTheme="majorEastAsia"/>
                <w:noProof/>
                <w:vertAlign w:val="subscript"/>
              </w:rPr>
              <w:t>2</w:t>
            </w:r>
            <w:r w:rsidR="000B6A2E" w:rsidRPr="00A7616D">
              <w:rPr>
                <w:rStyle w:val="Hyperlink"/>
                <w:rFonts w:eastAsiaTheme="majorEastAsia"/>
                <w:noProof/>
              </w:rPr>
              <w:t>e)</w:t>
            </w:r>
            <w:r w:rsidR="000B6A2E">
              <w:rPr>
                <w:noProof/>
                <w:webHidden/>
              </w:rPr>
              <w:tab/>
            </w:r>
            <w:r w:rsidR="000B6A2E">
              <w:rPr>
                <w:noProof/>
                <w:webHidden/>
              </w:rPr>
              <w:fldChar w:fldCharType="begin"/>
            </w:r>
            <w:r w:rsidR="000B6A2E">
              <w:rPr>
                <w:noProof/>
                <w:webHidden/>
              </w:rPr>
              <w:instrText xml:space="preserve"> PAGEREF _Toc138341927 \h </w:instrText>
            </w:r>
            <w:r w:rsidR="000B6A2E">
              <w:rPr>
                <w:noProof/>
                <w:webHidden/>
              </w:rPr>
            </w:r>
            <w:r w:rsidR="000B6A2E">
              <w:rPr>
                <w:noProof/>
                <w:webHidden/>
              </w:rPr>
              <w:fldChar w:fldCharType="separate"/>
            </w:r>
            <w:r w:rsidR="009A2FAA">
              <w:rPr>
                <w:noProof/>
                <w:webHidden/>
              </w:rPr>
              <w:t>339</w:t>
            </w:r>
            <w:r w:rsidR="000B6A2E">
              <w:rPr>
                <w:noProof/>
                <w:webHidden/>
              </w:rPr>
              <w:fldChar w:fldCharType="end"/>
            </w:r>
          </w:hyperlink>
        </w:p>
        <w:p w14:paraId="00760389" w14:textId="4428C7C3" w:rsidR="000B6A2E" w:rsidRDefault="003714FB">
          <w:pPr>
            <w:pStyle w:val="TOC2"/>
            <w:tabs>
              <w:tab w:val="left" w:pos="600"/>
              <w:tab w:val="right" w:leader="dot" w:pos="9940"/>
            </w:tabs>
            <w:rPr>
              <w:rFonts w:eastAsiaTheme="minorEastAsia" w:cstheme="minorBidi"/>
              <w:smallCaps w:val="0"/>
              <w:noProof/>
              <w:szCs w:val="22"/>
              <w:lang w:val="fr-FR"/>
            </w:rPr>
          </w:pPr>
          <w:hyperlink w:anchor="_Toc138341928" w:history="1">
            <w:r w:rsidR="000B6A2E" w:rsidRPr="00A7616D">
              <w:rPr>
                <w:rStyle w:val="Hyperlink"/>
                <w:rFonts w:eastAsiaTheme="majorEastAsia"/>
                <w:noProof/>
              </w:rPr>
              <w:t>F.</w:t>
            </w:r>
            <w:r w:rsidR="000B6A2E">
              <w:rPr>
                <w:rFonts w:eastAsiaTheme="minorEastAsia" w:cstheme="minorBidi"/>
                <w:smallCaps w:val="0"/>
                <w:noProof/>
                <w:szCs w:val="22"/>
                <w:lang w:val="fr-FR"/>
              </w:rPr>
              <w:tab/>
            </w:r>
            <w:r w:rsidR="000B6A2E" w:rsidRPr="00A7616D">
              <w:rPr>
                <w:rStyle w:val="Hyperlink"/>
                <w:rFonts w:eastAsiaTheme="majorEastAsia"/>
                <w:noProof/>
              </w:rPr>
              <w:t>SECTEN Format</w:t>
            </w:r>
            <w:r w:rsidR="000B6A2E">
              <w:rPr>
                <w:noProof/>
                <w:webHidden/>
              </w:rPr>
              <w:tab/>
            </w:r>
            <w:r w:rsidR="000B6A2E">
              <w:rPr>
                <w:noProof/>
                <w:webHidden/>
              </w:rPr>
              <w:fldChar w:fldCharType="begin"/>
            </w:r>
            <w:r w:rsidR="000B6A2E">
              <w:rPr>
                <w:noProof/>
                <w:webHidden/>
              </w:rPr>
              <w:instrText xml:space="preserve"> PAGEREF _Toc138341928 \h </w:instrText>
            </w:r>
            <w:r w:rsidR="000B6A2E">
              <w:rPr>
                <w:noProof/>
                <w:webHidden/>
              </w:rPr>
            </w:r>
            <w:r w:rsidR="000B6A2E">
              <w:rPr>
                <w:noProof/>
                <w:webHidden/>
              </w:rPr>
              <w:fldChar w:fldCharType="separate"/>
            </w:r>
            <w:r w:rsidR="009A2FAA">
              <w:rPr>
                <w:noProof/>
                <w:webHidden/>
              </w:rPr>
              <w:t>343</w:t>
            </w:r>
            <w:r w:rsidR="000B6A2E">
              <w:rPr>
                <w:noProof/>
                <w:webHidden/>
              </w:rPr>
              <w:fldChar w:fldCharType="end"/>
            </w:r>
          </w:hyperlink>
        </w:p>
        <w:p w14:paraId="4A7244C2" w14:textId="512FE0B1" w:rsidR="000B6A2E" w:rsidRDefault="003714FB">
          <w:pPr>
            <w:pStyle w:val="TOC1"/>
            <w:rPr>
              <w:rFonts w:eastAsiaTheme="minorEastAsia" w:cstheme="minorBidi"/>
              <w:b w:val="0"/>
              <w:bCs w:val="0"/>
              <w:caps w:val="0"/>
              <w:noProof/>
              <w:szCs w:val="22"/>
              <w:lang w:val="fr-FR"/>
            </w:rPr>
          </w:pPr>
          <w:hyperlink w:anchor="_Toc138341929" w:history="1">
            <w:r w:rsidR="000B6A2E" w:rsidRPr="00A7616D">
              <w:rPr>
                <w:rStyle w:val="Hyperlink"/>
                <w:rFonts w:eastAsiaTheme="majorEastAsia"/>
                <w:noProof/>
              </w:rPr>
              <w:t>Appendix III - Assessments of Key Sources and Associated Analyses Excluding UTCATF</w:t>
            </w:r>
            <w:r w:rsidR="000B6A2E">
              <w:rPr>
                <w:noProof/>
                <w:webHidden/>
              </w:rPr>
              <w:tab/>
            </w:r>
            <w:r w:rsidR="000B6A2E">
              <w:rPr>
                <w:noProof/>
                <w:webHidden/>
              </w:rPr>
              <w:fldChar w:fldCharType="begin"/>
            </w:r>
            <w:r w:rsidR="000B6A2E">
              <w:rPr>
                <w:noProof/>
                <w:webHidden/>
              </w:rPr>
              <w:instrText xml:space="preserve"> PAGEREF _Toc138341929 \h </w:instrText>
            </w:r>
            <w:r w:rsidR="000B6A2E">
              <w:rPr>
                <w:noProof/>
                <w:webHidden/>
              </w:rPr>
            </w:r>
            <w:r w:rsidR="000B6A2E">
              <w:rPr>
                <w:noProof/>
                <w:webHidden/>
              </w:rPr>
              <w:fldChar w:fldCharType="separate"/>
            </w:r>
            <w:r w:rsidR="009A2FAA">
              <w:rPr>
                <w:noProof/>
                <w:webHidden/>
              </w:rPr>
              <w:t>348</w:t>
            </w:r>
            <w:r w:rsidR="000B6A2E">
              <w:rPr>
                <w:noProof/>
                <w:webHidden/>
              </w:rPr>
              <w:fldChar w:fldCharType="end"/>
            </w:r>
          </w:hyperlink>
        </w:p>
        <w:p w14:paraId="1CC4A3D7" w14:textId="07C4F4AF" w:rsidR="000B6A2E" w:rsidRDefault="003714FB">
          <w:pPr>
            <w:pStyle w:val="TOC2"/>
            <w:tabs>
              <w:tab w:val="right" w:leader="dot" w:pos="9940"/>
            </w:tabs>
            <w:rPr>
              <w:rFonts w:eastAsiaTheme="minorEastAsia" w:cstheme="minorBidi"/>
              <w:smallCaps w:val="0"/>
              <w:noProof/>
              <w:szCs w:val="22"/>
              <w:lang w:val="fr-FR"/>
            </w:rPr>
          </w:pPr>
          <w:hyperlink w:anchor="_Toc138341930" w:history="1">
            <w:r w:rsidR="000B6A2E" w:rsidRPr="00A7616D">
              <w:rPr>
                <w:rStyle w:val="Hyperlink"/>
                <w:rFonts w:eastAsiaTheme="majorEastAsia"/>
                <w:noProof/>
              </w:rPr>
              <w:t>Addition Items required in the context of Article 7.2 of the Kyoto Protocol</w:t>
            </w:r>
            <w:r w:rsidR="000B6A2E">
              <w:rPr>
                <w:noProof/>
                <w:webHidden/>
              </w:rPr>
              <w:tab/>
            </w:r>
            <w:r w:rsidR="000B6A2E">
              <w:rPr>
                <w:noProof/>
                <w:webHidden/>
              </w:rPr>
              <w:fldChar w:fldCharType="begin"/>
            </w:r>
            <w:r w:rsidR="000B6A2E">
              <w:rPr>
                <w:noProof/>
                <w:webHidden/>
              </w:rPr>
              <w:instrText xml:space="preserve"> PAGEREF _Toc138341930 \h </w:instrText>
            </w:r>
            <w:r w:rsidR="000B6A2E">
              <w:rPr>
                <w:noProof/>
                <w:webHidden/>
              </w:rPr>
            </w:r>
            <w:r w:rsidR="000B6A2E">
              <w:rPr>
                <w:noProof/>
                <w:webHidden/>
              </w:rPr>
              <w:fldChar w:fldCharType="separate"/>
            </w:r>
            <w:r w:rsidR="009A2FAA">
              <w:rPr>
                <w:noProof/>
                <w:webHidden/>
              </w:rPr>
              <w:t>348</w:t>
            </w:r>
            <w:r w:rsidR="000B6A2E">
              <w:rPr>
                <w:noProof/>
                <w:webHidden/>
              </w:rPr>
              <w:fldChar w:fldCharType="end"/>
            </w:r>
          </w:hyperlink>
        </w:p>
        <w:p w14:paraId="3ECE3A7C" w14:textId="4EB51F8C" w:rsidR="000B6A2E" w:rsidRDefault="003714FB">
          <w:pPr>
            <w:pStyle w:val="TOC1"/>
            <w:rPr>
              <w:rFonts w:eastAsiaTheme="minorEastAsia" w:cstheme="minorBidi"/>
              <w:b w:val="0"/>
              <w:bCs w:val="0"/>
              <w:caps w:val="0"/>
              <w:noProof/>
              <w:szCs w:val="22"/>
              <w:lang w:val="fr-FR"/>
            </w:rPr>
          </w:pPr>
          <w:hyperlink w:anchor="_Toc138341931" w:history="1">
            <w:r w:rsidR="000B6A2E" w:rsidRPr="00A7616D">
              <w:rPr>
                <w:rStyle w:val="Hyperlink"/>
                <w:rFonts w:eastAsiaTheme="majorEastAsia"/>
                <w:noProof/>
              </w:rPr>
              <w:t>Appendix IV - Assessments of Key Sources and Associated Analyses Including UTCATF</w:t>
            </w:r>
            <w:r w:rsidR="000B6A2E">
              <w:rPr>
                <w:noProof/>
                <w:webHidden/>
              </w:rPr>
              <w:tab/>
            </w:r>
            <w:r w:rsidR="000B6A2E">
              <w:rPr>
                <w:noProof/>
                <w:webHidden/>
              </w:rPr>
              <w:fldChar w:fldCharType="begin"/>
            </w:r>
            <w:r w:rsidR="000B6A2E">
              <w:rPr>
                <w:noProof/>
                <w:webHidden/>
              </w:rPr>
              <w:instrText xml:space="preserve"> PAGEREF _Toc138341931 \h </w:instrText>
            </w:r>
            <w:r w:rsidR="000B6A2E">
              <w:rPr>
                <w:noProof/>
                <w:webHidden/>
              </w:rPr>
            </w:r>
            <w:r w:rsidR="000B6A2E">
              <w:rPr>
                <w:noProof/>
                <w:webHidden/>
              </w:rPr>
              <w:fldChar w:fldCharType="separate"/>
            </w:r>
            <w:r w:rsidR="009A2FAA">
              <w:rPr>
                <w:noProof/>
                <w:webHidden/>
              </w:rPr>
              <w:t>350</w:t>
            </w:r>
            <w:r w:rsidR="000B6A2E">
              <w:rPr>
                <w:noProof/>
                <w:webHidden/>
              </w:rPr>
              <w:fldChar w:fldCharType="end"/>
            </w:r>
          </w:hyperlink>
        </w:p>
        <w:p w14:paraId="0C2EC927" w14:textId="7F119FBF" w:rsidR="00D20917" w:rsidRPr="00364545" w:rsidRDefault="003D55E6" w:rsidP="00C82713">
          <w:r w:rsidRPr="00364545">
            <w:rPr>
              <w:b/>
            </w:rPr>
            <w:fldChar w:fldCharType="end"/>
          </w:r>
        </w:p>
      </w:sdtContent>
    </w:sdt>
    <w:p w14:paraId="52EF0289" w14:textId="434AB952" w:rsidR="00A55861" w:rsidRPr="00364545" w:rsidRDefault="00A55861">
      <w:pPr>
        <w:spacing w:line="240" w:lineRule="atLeast"/>
        <w:jc w:val="left"/>
      </w:pPr>
      <w:r w:rsidRPr="00364545">
        <w:br w:type="page"/>
      </w:r>
    </w:p>
    <w:p w14:paraId="7F867E3C" w14:textId="394EE156" w:rsidR="00165BDF" w:rsidRPr="00364545" w:rsidRDefault="00165BDF" w:rsidP="00165BDF">
      <w:pPr>
        <w:pStyle w:val="TOCHeading"/>
      </w:pPr>
      <w:r w:rsidRPr="00364545">
        <w:lastRenderedPageBreak/>
        <w:t>List of illustrations</w:t>
      </w:r>
    </w:p>
    <w:p w14:paraId="0F9A13E2" w14:textId="5EDEE483" w:rsidR="00AB51D9" w:rsidRPr="00364545" w:rsidRDefault="00165BDF">
      <w:pPr>
        <w:pStyle w:val="TableofFigures"/>
        <w:tabs>
          <w:tab w:val="right" w:leader="dot" w:pos="9940"/>
        </w:tabs>
        <w:rPr>
          <w:rFonts w:asciiTheme="minorHAnsi" w:eastAsiaTheme="minorEastAsia" w:hAnsiTheme="minorHAnsi" w:cstheme="minorBidi"/>
          <w:noProof/>
          <w:szCs w:val="22"/>
        </w:rPr>
      </w:pPr>
      <w:r w:rsidRPr="00364545">
        <w:fldChar w:fldCharType="begin"/>
      </w:r>
      <w:r w:rsidRPr="00364545">
        <w:instrText xml:space="preserve"> TOC \h \z \c "Figure" </w:instrText>
      </w:r>
      <w:r w:rsidRPr="00364545">
        <w:fldChar w:fldCharType="separate"/>
      </w:r>
      <w:hyperlink w:anchor="_Toc123916412" w:history="1">
        <w:r w:rsidR="00AB51D9" w:rsidRPr="00364545">
          <w:rPr>
            <w:rStyle w:val="Hyperlink"/>
            <w:noProof/>
          </w:rPr>
          <w:t>Figure 1 : Trajectoires des émissions nationales jusqu’en 2050 selon les différents scenarios hors secteur des terres (haut) et avec (bas)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_Toc123916412 \h </w:instrText>
        </w:r>
        <w:r w:rsidR="00AB51D9" w:rsidRPr="00364545">
          <w:rPr>
            <w:noProof/>
            <w:webHidden/>
          </w:rPr>
        </w:r>
        <w:r w:rsidR="00AB51D9" w:rsidRPr="00364545">
          <w:rPr>
            <w:noProof/>
            <w:webHidden/>
          </w:rPr>
          <w:fldChar w:fldCharType="separate"/>
        </w:r>
        <w:r w:rsidR="009A2FAA">
          <w:rPr>
            <w:noProof/>
            <w:webHidden/>
          </w:rPr>
          <w:t>27</w:t>
        </w:r>
        <w:r w:rsidR="00AB51D9" w:rsidRPr="00364545">
          <w:rPr>
            <w:noProof/>
            <w:webHidden/>
          </w:rPr>
          <w:fldChar w:fldCharType="end"/>
        </w:r>
      </w:hyperlink>
    </w:p>
    <w:p w14:paraId="24F9725C" w14:textId="27F15101"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13" w:history="1">
        <w:r w:rsidR="00AB51D9" w:rsidRPr="00364545">
          <w:rPr>
            <w:rStyle w:val="Hyperlink"/>
            <w:noProof/>
          </w:rPr>
          <w:t>Figure 2: Projection de l’évolution de la population française de 2018 à 2070 en milliers d’habitants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_Toc123916413 \h </w:instrText>
        </w:r>
        <w:r w:rsidR="00AB51D9" w:rsidRPr="00364545">
          <w:rPr>
            <w:noProof/>
            <w:webHidden/>
          </w:rPr>
        </w:r>
        <w:r w:rsidR="00AB51D9" w:rsidRPr="00364545">
          <w:rPr>
            <w:noProof/>
            <w:webHidden/>
          </w:rPr>
          <w:fldChar w:fldCharType="separate"/>
        </w:r>
        <w:r w:rsidR="009A2FAA">
          <w:rPr>
            <w:noProof/>
            <w:webHidden/>
          </w:rPr>
          <w:t>36</w:t>
        </w:r>
        <w:r w:rsidR="00AB51D9" w:rsidRPr="00364545">
          <w:rPr>
            <w:noProof/>
            <w:webHidden/>
          </w:rPr>
          <w:fldChar w:fldCharType="end"/>
        </w:r>
      </w:hyperlink>
    </w:p>
    <w:p w14:paraId="10A5022D" w14:textId="6FBD5DE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14" w:history="1">
        <w:r w:rsidR="00AB51D9" w:rsidRPr="00364545">
          <w:rPr>
            <w:rStyle w:val="Hyperlink"/>
            <w:noProof/>
          </w:rPr>
          <w:t>Figure 3: Evolution de la taille des ménages en France hors Mayotte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_Toc123916414 \h </w:instrText>
        </w:r>
        <w:r w:rsidR="00AB51D9" w:rsidRPr="00364545">
          <w:rPr>
            <w:noProof/>
            <w:webHidden/>
          </w:rPr>
        </w:r>
        <w:r w:rsidR="00AB51D9" w:rsidRPr="00364545">
          <w:rPr>
            <w:noProof/>
            <w:webHidden/>
          </w:rPr>
          <w:fldChar w:fldCharType="separate"/>
        </w:r>
        <w:r w:rsidR="009A2FAA">
          <w:rPr>
            <w:noProof/>
            <w:webHidden/>
          </w:rPr>
          <w:t>37</w:t>
        </w:r>
        <w:r w:rsidR="00AB51D9" w:rsidRPr="00364545">
          <w:rPr>
            <w:noProof/>
            <w:webHidden/>
          </w:rPr>
          <w:fldChar w:fldCharType="end"/>
        </w:r>
      </w:hyperlink>
    </w:p>
    <w:p w14:paraId="25512827" w14:textId="4EC8CFF2"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15" w:history="1">
        <w:r w:rsidR="00AB51D9" w:rsidRPr="00364545">
          <w:rPr>
            <w:rStyle w:val="Hyperlink"/>
            <w:noProof/>
          </w:rPr>
          <w:t>Figure 4: Espérance de vie à la naissance et taux de mortalité infantile de 1950 à 2019 en France métropolitaine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_Toc123916415 \h </w:instrText>
        </w:r>
        <w:r w:rsidR="00AB51D9" w:rsidRPr="00364545">
          <w:rPr>
            <w:noProof/>
            <w:webHidden/>
          </w:rPr>
        </w:r>
        <w:r w:rsidR="00AB51D9" w:rsidRPr="00364545">
          <w:rPr>
            <w:noProof/>
            <w:webHidden/>
          </w:rPr>
          <w:fldChar w:fldCharType="separate"/>
        </w:r>
        <w:r w:rsidR="009A2FAA">
          <w:rPr>
            <w:noProof/>
            <w:webHidden/>
          </w:rPr>
          <w:t>38</w:t>
        </w:r>
        <w:r w:rsidR="00AB51D9" w:rsidRPr="00364545">
          <w:rPr>
            <w:noProof/>
            <w:webHidden/>
          </w:rPr>
          <w:fldChar w:fldCharType="end"/>
        </w:r>
      </w:hyperlink>
    </w:p>
    <w:p w14:paraId="357E35AA" w14:textId="08DE4D29"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16" w:history="1">
        <w:r w:rsidR="00AB51D9" w:rsidRPr="00364545">
          <w:rPr>
            <w:rStyle w:val="Hyperlink"/>
            <w:noProof/>
          </w:rPr>
          <w:t>Figure 5: Carte d'occupation des sols en France en 2018</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_Toc123916416 \h </w:instrText>
        </w:r>
        <w:r w:rsidR="00AB51D9" w:rsidRPr="00364545">
          <w:rPr>
            <w:noProof/>
            <w:webHidden/>
          </w:rPr>
        </w:r>
        <w:r w:rsidR="00AB51D9" w:rsidRPr="00364545">
          <w:rPr>
            <w:noProof/>
            <w:webHidden/>
          </w:rPr>
          <w:fldChar w:fldCharType="separate"/>
        </w:r>
        <w:r w:rsidR="009A2FAA">
          <w:rPr>
            <w:noProof/>
            <w:webHidden/>
          </w:rPr>
          <w:t>40</w:t>
        </w:r>
        <w:r w:rsidR="00AB51D9" w:rsidRPr="00364545">
          <w:rPr>
            <w:noProof/>
            <w:webHidden/>
          </w:rPr>
          <w:fldChar w:fldCharType="end"/>
        </w:r>
      </w:hyperlink>
    </w:p>
    <w:p w14:paraId="45DD77E6" w14:textId="5342D3F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17" w:history="1">
        <w:r w:rsidR="00AB51D9" w:rsidRPr="00364545">
          <w:rPr>
            <w:rStyle w:val="Hyperlink"/>
            <w:noProof/>
          </w:rPr>
          <w:t>Figure 6: Typologie climatique de la France - Les zones ombrées correspondent à des aires de transition.</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_Toc123916417 \h </w:instrText>
        </w:r>
        <w:r w:rsidR="00AB51D9" w:rsidRPr="00364545">
          <w:rPr>
            <w:noProof/>
            <w:webHidden/>
          </w:rPr>
        </w:r>
        <w:r w:rsidR="00AB51D9" w:rsidRPr="00364545">
          <w:rPr>
            <w:noProof/>
            <w:webHidden/>
          </w:rPr>
          <w:fldChar w:fldCharType="separate"/>
        </w:r>
        <w:r w:rsidR="009A2FAA">
          <w:rPr>
            <w:noProof/>
            <w:webHidden/>
          </w:rPr>
          <w:t>41</w:t>
        </w:r>
        <w:r w:rsidR="00AB51D9" w:rsidRPr="00364545">
          <w:rPr>
            <w:noProof/>
            <w:webHidden/>
          </w:rPr>
          <w:fldChar w:fldCharType="end"/>
        </w:r>
      </w:hyperlink>
    </w:p>
    <w:p w14:paraId="5C4D94C9" w14:textId="45CB96A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18" w:history="1">
        <w:r w:rsidR="00AB51D9" w:rsidRPr="00364545">
          <w:rPr>
            <w:rStyle w:val="Hyperlink"/>
            <w:noProof/>
          </w:rPr>
          <w:t>Figure 7: Ecart à la normale des températures moyennes depuis 1900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_Toc123916418 \h </w:instrText>
        </w:r>
        <w:r w:rsidR="00AB51D9" w:rsidRPr="00364545">
          <w:rPr>
            <w:noProof/>
            <w:webHidden/>
          </w:rPr>
        </w:r>
        <w:r w:rsidR="00AB51D9" w:rsidRPr="00364545">
          <w:rPr>
            <w:noProof/>
            <w:webHidden/>
          </w:rPr>
          <w:fldChar w:fldCharType="separate"/>
        </w:r>
        <w:r w:rsidR="009A2FAA">
          <w:rPr>
            <w:noProof/>
            <w:webHidden/>
          </w:rPr>
          <w:t>42</w:t>
        </w:r>
        <w:r w:rsidR="00AB51D9" w:rsidRPr="00364545">
          <w:rPr>
            <w:noProof/>
            <w:webHidden/>
          </w:rPr>
          <w:fldChar w:fldCharType="end"/>
        </w:r>
      </w:hyperlink>
    </w:p>
    <w:p w14:paraId="2751C1E1" w14:textId="2E5F8DA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19" w:history="1">
        <w:r w:rsidR="00AB51D9" w:rsidRPr="00364545">
          <w:rPr>
            <w:rStyle w:val="Hyperlink"/>
            <w:noProof/>
          </w:rPr>
          <w:t>Figure 8: Écart à la moyenne annuelle de référence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_Toc123916419 \h </w:instrText>
        </w:r>
        <w:r w:rsidR="00AB51D9" w:rsidRPr="00364545">
          <w:rPr>
            <w:noProof/>
            <w:webHidden/>
          </w:rPr>
        </w:r>
        <w:r w:rsidR="00AB51D9" w:rsidRPr="00364545">
          <w:rPr>
            <w:noProof/>
            <w:webHidden/>
          </w:rPr>
          <w:fldChar w:fldCharType="separate"/>
        </w:r>
        <w:r w:rsidR="009A2FAA">
          <w:rPr>
            <w:noProof/>
            <w:webHidden/>
          </w:rPr>
          <w:t>43</w:t>
        </w:r>
        <w:r w:rsidR="00AB51D9" w:rsidRPr="00364545">
          <w:rPr>
            <w:noProof/>
            <w:webHidden/>
          </w:rPr>
          <w:fldChar w:fldCharType="end"/>
        </w:r>
      </w:hyperlink>
    </w:p>
    <w:p w14:paraId="0687ACEF" w14:textId="22C9818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0" w:history="1">
        <w:r w:rsidR="00AB51D9" w:rsidRPr="00364545">
          <w:rPr>
            <w:rStyle w:val="Hyperlink"/>
            <w:noProof/>
          </w:rPr>
          <w:t>Figure 9: Evolution du PIB de 1950 à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_Toc123916420 \h </w:instrText>
        </w:r>
        <w:r w:rsidR="00AB51D9" w:rsidRPr="00364545">
          <w:rPr>
            <w:noProof/>
            <w:webHidden/>
          </w:rPr>
        </w:r>
        <w:r w:rsidR="00AB51D9" w:rsidRPr="00364545">
          <w:rPr>
            <w:noProof/>
            <w:webHidden/>
          </w:rPr>
          <w:fldChar w:fldCharType="separate"/>
        </w:r>
        <w:r w:rsidR="009A2FAA">
          <w:rPr>
            <w:noProof/>
            <w:webHidden/>
          </w:rPr>
          <w:t>44</w:t>
        </w:r>
        <w:r w:rsidR="00AB51D9" w:rsidRPr="00364545">
          <w:rPr>
            <w:noProof/>
            <w:webHidden/>
          </w:rPr>
          <w:fldChar w:fldCharType="end"/>
        </w:r>
      </w:hyperlink>
    </w:p>
    <w:p w14:paraId="1E01F849" w14:textId="277BE82C"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1" w:history="1">
        <w:r w:rsidR="00AB51D9" w:rsidRPr="00364545">
          <w:rPr>
            <w:rStyle w:val="Hyperlink"/>
            <w:noProof/>
          </w:rPr>
          <w:t>Figure 10 : Evolution du solde extérieur de 1971 à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_Toc123916421 \h </w:instrText>
        </w:r>
        <w:r w:rsidR="00AB51D9" w:rsidRPr="00364545">
          <w:rPr>
            <w:noProof/>
            <w:webHidden/>
          </w:rPr>
        </w:r>
        <w:r w:rsidR="00AB51D9" w:rsidRPr="00364545">
          <w:rPr>
            <w:noProof/>
            <w:webHidden/>
          </w:rPr>
          <w:fldChar w:fldCharType="separate"/>
        </w:r>
        <w:r w:rsidR="009A2FAA">
          <w:rPr>
            <w:noProof/>
            <w:webHidden/>
          </w:rPr>
          <w:t>45</w:t>
        </w:r>
        <w:r w:rsidR="00AB51D9" w:rsidRPr="00364545">
          <w:rPr>
            <w:noProof/>
            <w:webHidden/>
          </w:rPr>
          <w:fldChar w:fldCharType="end"/>
        </w:r>
      </w:hyperlink>
    </w:p>
    <w:p w14:paraId="4C9EC97B" w14:textId="5786B3A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2" w:history="1">
        <w:r w:rsidR="00AB51D9" w:rsidRPr="00364545">
          <w:rPr>
            <w:rStyle w:val="Hyperlink"/>
            <w:noProof/>
          </w:rPr>
          <w:t>Figure 11 : Figure : Transport intérieur terrestre de marchandises par mode de 1985 à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_Toc123916422 \h </w:instrText>
        </w:r>
        <w:r w:rsidR="00AB51D9" w:rsidRPr="00364545">
          <w:rPr>
            <w:noProof/>
            <w:webHidden/>
          </w:rPr>
        </w:r>
        <w:r w:rsidR="00AB51D9" w:rsidRPr="00364545">
          <w:rPr>
            <w:noProof/>
            <w:webHidden/>
          </w:rPr>
          <w:fldChar w:fldCharType="separate"/>
        </w:r>
        <w:r w:rsidR="009A2FAA">
          <w:rPr>
            <w:noProof/>
            <w:webHidden/>
          </w:rPr>
          <w:t>47</w:t>
        </w:r>
        <w:r w:rsidR="00AB51D9" w:rsidRPr="00364545">
          <w:rPr>
            <w:noProof/>
            <w:webHidden/>
          </w:rPr>
          <w:fldChar w:fldCharType="end"/>
        </w:r>
      </w:hyperlink>
    </w:p>
    <w:p w14:paraId="02A46009" w14:textId="65A7EFED"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3" w:history="1">
        <w:r w:rsidR="00AB51D9" w:rsidRPr="00364545">
          <w:rPr>
            <w:rStyle w:val="Hyperlink"/>
            <w:noProof/>
          </w:rPr>
          <w:t>Figure 12 : Evolution des modes de transports collectifs depuis 2012</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_Toc123916423 \h </w:instrText>
        </w:r>
        <w:r w:rsidR="00AB51D9" w:rsidRPr="00364545">
          <w:rPr>
            <w:noProof/>
            <w:webHidden/>
          </w:rPr>
        </w:r>
        <w:r w:rsidR="00AB51D9" w:rsidRPr="00364545">
          <w:rPr>
            <w:noProof/>
            <w:webHidden/>
          </w:rPr>
          <w:fldChar w:fldCharType="separate"/>
        </w:r>
        <w:r w:rsidR="009A2FAA">
          <w:rPr>
            <w:noProof/>
            <w:webHidden/>
          </w:rPr>
          <w:t>48</w:t>
        </w:r>
        <w:r w:rsidR="00AB51D9" w:rsidRPr="00364545">
          <w:rPr>
            <w:noProof/>
            <w:webHidden/>
          </w:rPr>
          <w:fldChar w:fldCharType="end"/>
        </w:r>
      </w:hyperlink>
    </w:p>
    <w:p w14:paraId="7704DF68" w14:textId="76AC4F81"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4" w:history="1">
        <w:r w:rsidR="00AB51D9" w:rsidRPr="00364545">
          <w:rPr>
            <w:rStyle w:val="Hyperlink"/>
            <w:noProof/>
          </w:rPr>
          <w:t>Figure 13 : Figure Parc français de véhicules de 2011 à 2022, en millions d’unités : en haut, pour les voitures particulières ; en bas pour les véhicules utilitaires légers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_Toc123916424 \h </w:instrText>
        </w:r>
        <w:r w:rsidR="00AB51D9" w:rsidRPr="00364545">
          <w:rPr>
            <w:noProof/>
            <w:webHidden/>
          </w:rPr>
        </w:r>
        <w:r w:rsidR="00AB51D9" w:rsidRPr="00364545">
          <w:rPr>
            <w:noProof/>
            <w:webHidden/>
          </w:rPr>
          <w:fldChar w:fldCharType="separate"/>
        </w:r>
        <w:r w:rsidR="009A2FAA">
          <w:rPr>
            <w:noProof/>
            <w:webHidden/>
          </w:rPr>
          <w:t>49</w:t>
        </w:r>
        <w:r w:rsidR="00AB51D9" w:rsidRPr="00364545">
          <w:rPr>
            <w:noProof/>
            <w:webHidden/>
          </w:rPr>
          <w:fldChar w:fldCharType="end"/>
        </w:r>
      </w:hyperlink>
    </w:p>
    <w:p w14:paraId="10FB8416" w14:textId="4B73041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5" w:history="1">
        <w:r w:rsidR="00AB51D9" w:rsidRPr="00364545">
          <w:rPr>
            <w:rStyle w:val="Hyperlink"/>
            <w:noProof/>
          </w:rPr>
          <w:t>Figure 14 : Part des différentes énergies dans la vente de voitures en France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_Toc123916425 \h </w:instrText>
        </w:r>
        <w:r w:rsidR="00AB51D9" w:rsidRPr="00364545">
          <w:rPr>
            <w:noProof/>
            <w:webHidden/>
          </w:rPr>
        </w:r>
        <w:r w:rsidR="00AB51D9" w:rsidRPr="00364545">
          <w:rPr>
            <w:noProof/>
            <w:webHidden/>
          </w:rPr>
          <w:fldChar w:fldCharType="separate"/>
        </w:r>
        <w:r w:rsidR="009A2FAA">
          <w:rPr>
            <w:noProof/>
            <w:webHidden/>
          </w:rPr>
          <w:t>49</w:t>
        </w:r>
        <w:r w:rsidR="00AB51D9" w:rsidRPr="00364545">
          <w:rPr>
            <w:noProof/>
            <w:webHidden/>
          </w:rPr>
          <w:fldChar w:fldCharType="end"/>
        </w:r>
      </w:hyperlink>
    </w:p>
    <w:p w14:paraId="1C06E862" w14:textId="1670ECDB"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6" w:history="1">
        <w:r w:rsidR="00AB51D9" w:rsidRPr="00364545">
          <w:rPr>
            <w:rStyle w:val="Hyperlink"/>
            <w:noProof/>
          </w:rPr>
          <w:t>Figure 15 : Figure Part en% des consommations d’énergies renouvelables dans les consommations totales d’énergie du transport</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_Toc123916426 \h </w:instrText>
        </w:r>
        <w:r w:rsidR="00AB51D9" w:rsidRPr="00364545">
          <w:rPr>
            <w:noProof/>
            <w:webHidden/>
          </w:rPr>
        </w:r>
        <w:r w:rsidR="00AB51D9" w:rsidRPr="00364545">
          <w:rPr>
            <w:noProof/>
            <w:webHidden/>
          </w:rPr>
          <w:fldChar w:fldCharType="separate"/>
        </w:r>
        <w:r w:rsidR="009A2FAA">
          <w:rPr>
            <w:noProof/>
            <w:webHidden/>
          </w:rPr>
          <w:t>50</w:t>
        </w:r>
        <w:r w:rsidR="00AB51D9" w:rsidRPr="00364545">
          <w:rPr>
            <w:noProof/>
            <w:webHidden/>
          </w:rPr>
          <w:fldChar w:fldCharType="end"/>
        </w:r>
      </w:hyperlink>
    </w:p>
    <w:p w14:paraId="500DA768" w14:textId="053B42C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7" w:history="1">
        <w:r w:rsidR="00AB51D9" w:rsidRPr="00364545">
          <w:rPr>
            <w:rStyle w:val="Hyperlink"/>
            <w:noProof/>
          </w:rPr>
          <w:t>Figure 16 : Evolution annuelle moyenne du nombre de logements par type d’habitats depuis 1986</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_Toc123916427 \h </w:instrText>
        </w:r>
        <w:r w:rsidR="00AB51D9" w:rsidRPr="00364545">
          <w:rPr>
            <w:noProof/>
            <w:webHidden/>
          </w:rPr>
        </w:r>
        <w:r w:rsidR="00AB51D9" w:rsidRPr="00364545">
          <w:rPr>
            <w:noProof/>
            <w:webHidden/>
          </w:rPr>
          <w:fldChar w:fldCharType="separate"/>
        </w:r>
        <w:r w:rsidR="009A2FAA">
          <w:rPr>
            <w:noProof/>
            <w:webHidden/>
          </w:rPr>
          <w:t>52</w:t>
        </w:r>
        <w:r w:rsidR="00AB51D9" w:rsidRPr="00364545">
          <w:rPr>
            <w:noProof/>
            <w:webHidden/>
          </w:rPr>
          <w:fldChar w:fldCharType="end"/>
        </w:r>
      </w:hyperlink>
    </w:p>
    <w:p w14:paraId="36DC1646" w14:textId="4D7CE4F7"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8" w:history="1">
        <w:r w:rsidR="00AB51D9" w:rsidRPr="00364545">
          <w:rPr>
            <w:rStyle w:val="Hyperlink"/>
            <w:noProof/>
          </w:rPr>
          <w:t>Figure 17 : Production d’énergie primaire de 1970 à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_Toc123916428 \h </w:instrText>
        </w:r>
        <w:r w:rsidR="00AB51D9" w:rsidRPr="00364545">
          <w:rPr>
            <w:noProof/>
            <w:webHidden/>
          </w:rPr>
        </w:r>
        <w:r w:rsidR="00AB51D9" w:rsidRPr="00364545">
          <w:rPr>
            <w:noProof/>
            <w:webHidden/>
          </w:rPr>
          <w:fldChar w:fldCharType="separate"/>
        </w:r>
        <w:r w:rsidR="009A2FAA">
          <w:rPr>
            <w:noProof/>
            <w:webHidden/>
          </w:rPr>
          <w:t>54</w:t>
        </w:r>
        <w:r w:rsidR="00AB51D9" w:rsidRPr="00364545">
          <w:rPr>
            <w:noProof/>
            <w:webHidden/>
          </w:rPr>
          <w:fldChar w:fldCharType="end"/>
        </w:r>
      </w:hyperlink>
    </w:p>
    <w:p w14:paraId="344F5EEF" w14:textId="4B68C56D"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29" w:history="1">
        <w:r w:rsidR="00AB51D9" w:rsidRPr="00364545">
          <w:rPr>
            <w:rStyle w:val="Hyperlink"/>
            <w:noProof/>
          </w:rPr>
          <w:t>Figure 18 : Evolution de la consommation d’énergie primaire par forme d’énergie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_Toc123916429 \h </w:instrText>
        </w:r>
        <w:r w:rsidR="00AB51D9" w:rsidRPr="00364545">
          <w:rPr>
            <w:noProof/>
            <w:webHidden/>
          </w:rPr>
        </w:r>
        <w:r w:rsidR="00AB51D9" w:rsidRPr="00364545">
          <w:rPr>
            <w:noProof/>
            <w:webHidden/>
          </w:rPr>
          <w:fldChar w:fldCharType="separate"/>
        </w:r>
        <w:r w:rsidR="009A2FAA">
          <w:rPr>
            <w:noProof/>
            <w:webHidden/>
          </w:rPr>
          <w:t>55</w:t>
        </w:r>
        <w:r w:rsidR="00AB51D9" w:rsidRPr="00364545">
          <w:rPr>
            <w:noProof/>
            <w:webHidden/>
          </w:rPr>
          <w:fldChar w:fldCharType="end"/>
        </w:r>
      </w:hyperlink>
    </w:p>
    <w:p w14:paraId="63F9D90E" w14:textId="0D6ABD71"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0" w:history="1">
        <w:r w:rsidR="00AB51D9" w:rsidRPr="00364545">
          <w:rPr>
            <w:rStyle w:val="Hyperlink"/>
            <w:noProof/>
          </w:rPr>
          <w:t>Figure 19 : Figure : Bouquet d’énergie primaire en 2021. * EnR : énergies renouvelables ; ** Production nucléaire (hors solde exportateur) et production hydraulique issue des stations de transfert d’énergie par pompage ; *** Hydraulique hors pompage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_Toc123916430 \h </w:instrText>
        </w:r>
        <w:r w:rsidR="00AB51D9" w:rsidRPr="00364545">
          <w:rPr>
            <w:noProof/>
            <w:webHidden/>
          </w:rPr>
        </w:r>
        <w:r w:rsidR="00AB51D9" w:rsidRPr="00364545">
          <w:rPr>
            <w:noProof/>
            <w:webHidden/>
          </w:rPr>
          <w:fldChar w:fldCharType="separate"/>
        </w:r>
        <w:r w:rsidR="009A2FAA">
          <w:rPr>
            <w:noProof/>
            <w:webHidden/>
          </w:rPr>
          <w:t>55</w:t>
        </w:r>
        <w:r w:rsidR="00AB51D9" w:rsidRPr="00364545">
          <w:rPr>
            <w:noProof/>
            <w:webHidden/>
          </w:rPr>
          <w:fldChar w:fldCharType="end"/>
        </w:r>
      </w:hyperlink>
    </w:p>
    <w:p w14:paraId="0308CCF3" w14:textId="52F25F8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1" w:history="1">
        <w:r w:rsidR="00AB51D9" w:rsidRPr="00364545">
          <w:rPr>
            <w:rStyle w:val="Hyperlink"/>
            <w:noProof/>
          </w:rPr>
          <w:t>Figure 20 : Progression de la progression primaire d’énergies renouvelables par filière en Métropole+ DOM (à partir de 2011) en Mtep depuis 1990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_Toc123916431 \h </w:instrText>
        </w:r>
        <w:r w:rsidR="00AB51D9" w:rsidRPr="00364545">
          <w:rPr>
            <w:noProof/>
            <w:webHidden/>
          </w:rPr>
        </w:r>
        <w:r w:rsidR="00AB51D9" w:rsidRPr="00364545">
          <w:rPr>
            <w:noProof/>
            <w:webHidden/>
          </w:rPr>
          <w:fldChar w:fldCharType="separate"/>
        </w:r>
        <w:r w:rsidR="009A2FAA">
          <w:rPr>
            <w:noProof/>
            <w:webHidden/>
          </w:rPr>
          <w:t>56</w:t>
        </w:r>
        <w:r w:rsidR="00AB51D9" w:rsidRPr="00364545">
          <w:rPr>
            <w:noProof/>
            <w:webHidden/>
          </w:rPr>
          <w:fldChar w:fldCharType="end"/>
        </w:r>
      </w:hyperlink>
    </w:p>
    <w:p w14:paraId="03AB381C" w14:textId="3747C930"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2" w:history="1">
        <w:r w:rsidR="00AB51D9" w:rsidRPr="00364545">
          <w:rPr>
            <w:rStyle w:val="Hyperlink"/>
            <w:noProof/>
          </w:rPr>
          <w:t>Figure 21 : Part de chaque filière dans la production primaire d’énergies renouvelables en 2021 – * Hydraulique hors pompage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_Toc123916432 \h </w:instrText>
        </w:r>
        <w:r w:rsidR="00AB51D9" w:rsidRPr="00364545">
          <w:rPr>
            <w:noProof/>
            <w:webHidden/>
          </w:rPr>
        </w:r>
        <w:r w:rsidR="00AB51D9" w:rsidRPr="00364545">
          <w:rPr>
            <w:noProof/>
            <w:webHidden/>
          </w:rPr>
          <w:fldChar w:fldCharType="separate"/>
        </w:r>
        <w:r w:rsidR="009A2FAA">
          <w:rPr>
            <w:noProof/>
            <w:webHidden/>
          </w:rPr>
          <w:t>57</w:t>
        </w:r>
        <w:r w:rsidR="00AB51D9" w:rsidRPr="00364545">
          <w:rPr>
            <w:noProof/>
            <w:webHidden/>
          </w:rPr>
          <w:fldChar w:fldCharType="end"/>
        </w:r>
      </w:hyperlink>
    </w:p>
    <w:p w14:paraId="5A9435A2" w14:textId="57FDF5AD"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3" w:history="1">
        <w:r w:rsidR="00AB51D9" w:rsidRPr="00364545">
          <w:rPr>
            <w:rStyle w:val="Hyperlink"/>
            <w:noProof/>
          </w:rPr>
          <w:t>Figure 22 : Indice mensuel de la production industrielle depuis 205, base de référence 100 en 2015.</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_Toc123916433 \h </w:instrText>
        </w:r>
        <w:r w:rsidR="00AB51D9" w:rsidRPr="00364545">
          <w:rPr>
            <w:noProof/>
            <w:webHidden/>
          </w:rPr>
        </w:r>
        <w:r w:rsidR="00AB51D9" w:rsidRPr="00364545">
          <w:rPr>
            <w:noProof/>
            <w:webHidden/>
          </w:rPr>
          <w:fldChar w:fldCharType="separate"/>
        </w:r>
        <w:r w:rsidR="009A2FAA">
          <w:rPr>
            <w:noProof/>
            <w:webHidden/>
          </w:rPr>
          <w:t>58</w:t>
        </w:r>
        <w:r w:rsidR="00AB51D9" w:rsidRPr="00364545">
          <w:rPr>
            <w:noProof/>
            <w:webHidden/>
          </w:rPr>
          <w:fldChar w:fldCharType="end"/>
        </w:r>
      </w:hyperlink>
    </w:p>
    <w:p w14:paraId="02DA5FD0" w14:textId="44C6D360"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4" w:history="1">
        <w:r w:rsidR="00AB51D9" w:rsidRPr="00364545">
          <w:rPr>
            <w:rStyle w:val="Hyperlink"/>
            <w:noProof/>
          </w:rPr>
          <w:t>Figure 23 : Evolution du nombre d’exploitations agricoles de 1970 à 2020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_Toc123916434 \h </w:instrText>
        </w:r>
        <w:r w:rsidR="00AB51D9" w:rsidRPr="00364545">
          <w:rPr>
            <w:noProof/>
            <w:webHidden/>
          </w:rPr>
        </w:r>
        <w:r w:rsidR="00AB51D9" w:rsidRPr="00364545">
          <w:rPr>
            <w:noProof/>
            <w:webHidden/>
          </w:rPr>
          <w:fldChar w:fldCharType="separate"/>
        </w:r>
        <w:r w:rsidR="009A2FAA">
          <w:rPr>
            <w:noProof/>
            <w:webHidden/>
          </w:rPr>
          <w:t>60</w:t>
        </w:r>
        <w:r w:rsidR="00AB51D9" w:rsidRPr="00364545">
          <w:rPr>
            <w:noProof/>
            <w:webHidden/>
          </w:rPr>
          <w:fldChar w:fldCharType="end"/>
        </w:r>
      </w:hyperlink>
    </w:p>
    <w:p w14:paraId="0E9A5C32" w14:textId="1AA7E870"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5" w:history="1">
        <w:r w:rsidR="00AB51D9" w:rsidRPr="00364545">
          <w:rPr>
            <w:rStyle w:val="Hyperlink"/>
            <w:noProof/>
          </w:rPr>
          <w:t>Figure 24 : Evolution de la surface moyenne des exploitations agricoles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_Toc123916435 \h </w:instrText>
        </w:r>
        <w:r w:rsidR="00AB51D9" w:rsidRPr="00364545">
          <w:rPr>
            <w:noProof/>
            <w:webHidden/>
          </w:rPr>
        </w:r>
        <w:r w:rsidR="00AB51D9" w:rsidRPr="00364545">
          <w:rPr>
            <w:noProof/>
            <w:webHidden/>
          </w:rPr>
          <w:fldChar w:fldCharType="separate"/>
        </w:r>
        <w:r w:rsidR="009A2FAA">
          <w:rPr>
            <w:noProof/>
            <w:webHidden/>
          </w:rPr>
          <w:t>60</w:t>
        </w:r>
        <w:r w:rsidR="00AB51D9" w:rsidRPr="00364545">
          <w:rPr>
            <w:noProof/>
            <w:webHidden/>
          </w:rPr>
          <w:fldChar w:fldCharType="end"/>
        </w:r>
      </w:hyperlink>
    </w:p>
    <w:p w14:paraId="52CFB565" w14:textId="368CCD01"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6" w:history="1">
        <w:r w:rsidR="00AB51D9" w:rsidRPr="00364545">
          <w:rPr>
            <w:rStyle w:val="Hyperlink"/>
            <w:noProof/>
          </w:rPr>
          <w:t>Figure 25 : Nombre d’exploitations par classe de SAU</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_Toc123916436 \h </w:instrText>
        </w:r>
        <w:r w:rsidR="00AB51D9" w:rsidRPr="00364545">
          <w:rPr>
            <w:noProof/>
            <w:webHidden/>
          </w:rPr>
        </w:r>
        <w:r w:rsidR="00AB51D9" w:rsidRPr="00364545">
          <w:rPr>
            <w:noProof/>
            <w:webHidden/>
          </w:rPr>
          <w:fldChar w:fldCharType="separate"/>
        </w:r>
        <w:r w:rsidR="009A2FAA">
          <w:rPr>
            <w:noProof/>
            <w:webHidden/>
          </w:rPr>
          <w:t>61</w:t>
        </w:r>
        <w:r w:rsidR="00AB51D9" w:rsidRPr="00364545">
          <w:rPr>
            <w:noProof/>
            <w:webHidden/>
          </w:rPr>
          <w:fldChar w:fldCharType="end"/>
        </w:r>
      </w:hyperlink>
    </w:p>
    <w:p w14:paraId="056EBC43" w14:textId="52A181AB"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7" w:history="1">
        <w:r w:rsidR="00AB51D9" w:rsidRPr="00364545">
          <w:rPr>
            <w:rStyle w:val="Hyperlink"/>
            <w:noProof/>
          </w:rPr>
          <w:t>Figure 26 : Part de la SAU selon la spécialisation des exploitations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_Toc123916437 \h </w:instrText>
        </w:r>
        <w:r w:rsidR="00AB51D9" w:rsidRPr="00364545">
          <w:rPr>
            <w:noProof/>
            <w:webHidden/>
          </w:rPr>
        </w:r>
        <w:r w:rsidR="00AB51D9" w:rsidRPr="00364545">
          <w:rPr>
            <w:noProof/>
            <w:webHidden/>
          </w:rPr>
          <w:fldChar w:fldCharType="separate"/>
        </w:r>
        <w:r w:rsidR="009A2FAA">
          <w:rPr>
            <w:noProof/>
            <w:webHidden/>
          </w:rPr>
          <w:t>61</w:t>
        </w:r>
        <w:r w:rsidR="00AB51D9" w:rsidRPr="00364545">
          <w:rPr>
            <w:noProof/>
            <w:webHidden/>
          </w:rPr>
          <w:fldChar w:fldCharType="end"/>
        </w:r>
      </w:hyperlink>
    </w:p>
    <w:p w14:paraId="0438FE48" w14:textId="18F862F4"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8" w:history="1">
        <w:r w:rsidR="00AB51D9" w:rsidRPr="00364545">
          <w:rPr>
            <w:rStyle w:val="Hyperlink"/>
            <w:noProof/>
          </w:rPr>
          <w:t>Figure 27 : Evolution de l’emplois agricoles en équivalent temps plein de 1970 à 2020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_Toc123916438 \h </w:instrText>
        </w:r>
        <w:r w:rsidR="00AB51D9" w:rsidRPr="00364545">
          <w:rPr>
            <w:noProof/>
            <w:webHidden/>
          </w:rPr>
        </w:r>
        <w:r w:rsidR="00AB51D9" w:rsidRPr="00364545">
          <w:rPr>
            <w:noProof/>
            <w:webHidden/>
          </w:rPr>
          <w:fldChar w:fldCharType="separate"/>
        </w:r>
        <w:r w:rsidR="009A2FAA">
          <w:rPr>
            <w:noProof/>
            <w:webHidden/>
          </w:rPr>
          <w:t>62</w:t>
        </w:r>
        <w:r w:rsidR="00AB51D9" w:rsidRPr="00364545">
          <w:rPr>
            <w:noProof/>
            <w:webHidden/>
          </w:rPr>
          <w:fldChar w:fldCharType="end"/>
        </w:r>
      </w:hyperlink>
    </w:p>
    <w:p w14:paraId="197FBC84" w14:textId="0BF8D85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39" w:history="1">
        <w:r w:rsidR="00AB51D9" w:rsidRPr="00364545">
          <w:rPr>
            <w:rStyle w:val="Hyperlink"/>
            <w:noProof/>
          </w:rPr>
          <w:t>Figure 28 : Evolution de la surface forestière en France de 1840 à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_Toc123916439 \h </w:instrText>
        </w:r>
        <w:r w:rsidR="00AB51D9" w:rsidRPr="00364545">
          <w:rPr>
            <w:noProof/>
            <w:webHidden/>
          </w:rPr>
        </w:r>
        <w:r w:rsidR="00AB51D9" w:rsidRPr="00364545">
          <w:rPr>
            <w:noProof/>
            <w:webHidden/>
          </w:rPr>
          <w:fldChar w:fldCharType="separate"/>
        </w:r>
        <w:r w:rsidR="009A2FAA">
          <w:rPr>
            <w:noProof/>
            <w:webHidden/>
          </w:rPr>
          <w:t>63</w:t>
        </w:r>
        <w:r w:rsidR="00AB51D9" w:rsidRPr="00364545">
          <w:rPr>
            <w:noProof/>
            <w:webHidden/>
          </w:rPr>
          <w:fldChar w:fldCharType="end"/>
        </w:r>
      </w:hyperlink>
    </w:p>
    <w:p w14:paraId="546FDBCF" w14:textId="6490A087"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0" w:history="1">
        <w:r w:rsidR="00AB51D9" w:rsidRPr="00364545">
          <w:rPr>
            <w:rStyle w:val="Hyperlink"/>
            <w:noProof/>
          </w:rPr>
          <w:t>Figure 29 : Évolution du total des émissions de GES entre 1990 et 2020 de la France en millions de tonnes équivalent CO</w:t>
        </w:r>
        <w:r w:rsidR="00AB51D9" w:rsidRPr="00364545">
          <w:rPr>
            <w:rStyle w:val="Hyperlink"/>
            <w:noProof/>
            <w:vertAlign w:val="subscript"/>
          </w:rPr>
          <w:t>2</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_Toc123916440 \h </w:instrText>
        </w:r>
        <w:r w:rsidR="00AB51D9" w:rsidRPr="00364545">
          <w:rPr>
            <w:noProof/>
            <w:webHidden/>
          </w:rPr>
        </w:r>
        <w:r w:rsidR="00AB51D9" w:rsidRPr="00364545">
          <w:rPr>
            <w:noProof/>
            <w:webHidden/>
          </w:rPr>
          <w:fldChar w:fldCharType="separate"/>
        </w:r>
        <w:r w:rsidR="009A2FAA">
          <w:rPr>
            <w:noProof/>
            <w:webHidden/>
          </w:rPr>
          <w:t>68</w:t>
        </w:r>
        <w:r w:rsidR="00AB51D9" w:rsidRPr="00364545">
          <w:rPr>
            <w:noProof/>
            <w:webHidden/>
          </w:rPr>
          <w:fldChar w:fldCharType="end"/>
        </w:r>
      </w:hyperlink>
    </w:p>
    <w:p w14:paraId="62507574" w14:textId="1B6B3ED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1" w:history="1">
        <w:r w:rsidR="00AB51D9" w:rsidRPr="00364545">
          <w:rPr>
            <w:rStyle w:val="Hyperlink"/>
            <w:noProof/>
          </w:rPr>
          <w:t>Figure 30 : Émissions de CO</w:t>
        </w:r>
        <w:r w:rsidR="00AB51D9" w:rsidRPr="00364545">
          <w:rPr>
            <w:rStyle w:val="Hyperlink"/>
            <w:noProof/>
            <w:vertAlign w:val="subscript"/>
          </w:rPr>
          <w:t>2</w:t>
        </w:r>
        <w:r w:rsidR="00AB51D9" w:rsidRPr="00364545">
          <w:rPr>
            <w:rStyle w:val="Hyperlink"/>
            <w:noProof/>
          </w:rPr>
          <w:t>, CH</w:t>
        </w:r>
        <w:r w:rsidR="00AB51D9" w:rsidRPr="00364545">
          <w:rPr>
            <w:rStyle w:val="Hyperlink"/>
            <w:noProof/>
            <w:vertAlign w:val="subscript"/>
          </w:rPr>
          <w:t>4</w:t>
        </w:r>
        <w:r w:rsidR="00AB51D9" w:rsidRPr="00364545">
          <w:rPr>
            <w:rStyle w:val="Hyperlink"/>
            <w:noProof/>
          </w:rPr>
          <w:t xml:space="preserve"> , N</w:t>
        </w:r>
        <w:r w:rsidR="00AB51D9" w:rsidRPr="00364545">
          <w:rPr>
            <w:rStyle w:val="Hyperlink"/>
            <w:noProof/>
            <w:vertAlign w:val="subscript"/>
          </w:rPr>
          <w:t>2</w:t>
        </w:r>
        <w:r w:rsidR="00AB51D9" w:rsidRPr="00364545">
          <w:rPr>
            <w:rStyle w:val="Hyperlink"/>
            <w:noProof/>
          </w:rPr>
          <w:t>O , HFCs et PFCs depuis 1990 en millions de tonnes équivalent CO</w:t>
        </w:r>
        <w:r w:rsidR="00AB51D9" w:rsidRPr="00364545">
          <w:rPr>
            <w:rStyle w:val="Hyperlink"/>
            <w:noProof/>
            <w:vertAlign w:val="subscript"/>
          </w:rPr>
          <w:t>2</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_Toc123916441 \h </w:instrText>
        </w:r>
        <w:r w:rsidR="00AB51D9" w:rsidRPr="00364545">
          <w:rPr>
            <w:noProof/>
            <w:webHidden/>
          </w:rPr>
        </w:r>
        <w:r w:rsidR="00AB51D9" w:rsidRPr="00364545">
          <w:rPr>
            <w:noProof/>
            <w:webHidden/>
          </w:rPr>
          <w:fldChar w:fldCharType="separate"/>
        </w:r>
        <w:r w:rsidR="009A2FAA">
          <w:rPr>
            <w:noProof/>
            <w:webHidden/>
          </w:rPr>
          <w:t>72</w:t>
        </w:r>
        <w:r w:rsidR="00AB51D9" w:rsidRPr="00364545">
          <w:rPr>
            <w:noProof/>
            <w:webHidden/>
          </w:rPr>
          <w:fldChar w:fldCharType="end"/>
        </w:r>
      </w:hyperlink>
    </w:p>
    <w:p w14:paraId="43B6DA80" w14:textId="7C56E292"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2" w:history="1">
        <w:r w:rsidR="00AB51D9" w:rsidRPr="00364545">
          <w:rPr>
            <w:rStyle w:val="Hyperlink"/>
            <w:noProof/>
          </w:rPr>
          <w:t>Figure 31 : Evolution de la part des différents gaz fluorés depuis 1990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_Toc123916442 \h </w:instrText>
        </w:r>
        <w:r w:rsidR="00AB51D9" w:rsidRPr="00364545">
          <w:rPr>
            <w:noProof/>
            <w:webHidden/>
          </w:rPr>
        </w:r>
        <w:r w:rsidR="00AB51D9" w:rsidRPr="00364545">
          <w:rPr>
            <w:noProof/>
            <w:webHidden/>
          </w:rPr>
          <w:fldChar w:fldCharType="separate"/>
        </w:r>
        <w:r w:rsidR="009A2FAA">
          <w:rPr>
            <w:noProof/>
            <w:webHidden/>
          </w:rPr>
          <w:t>73</w:t>
        </w:r>
        <w:r w:rsidR="00AB51D9" w:rsidRPr="00364545">
          <w:rPr>
            <w:noProof/>
            <w:webHidden/>
          </w:rPr>
          <w:fldChar w:fldCharType="end"/>
        </w:r>
      </w:hyperlink>
    </w:p>
    <w:p w14:paraId="58E947E6" w14:textId="2C3EEFC7"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3" w:history="1">
        <w:r w:rsidR="00AB51D9" w:rsidRPr="00364545">
          <w:rPr>
            <w:rStyle w:val="Hyperlink"/>
            <w:noProof/>
          </w:rPr>
          <w:t>Figure 32 : Répartition des émissions de CO</w:t>
        </w:r>
        <w:r w:rsidR="00AB51D9" w:rsidRPr="00364545">
          <w:rPr>
            <w:rStyle w:val="Hyperlink"/>
            <w:noProof/>
            <w:vertAlign w:val="subscript"/>
          </w:rPr>
          <w:t>2</w:t>
        </w:r>
        <w:r w:rsidR="00AB51D9" w:rsidRPr="00364545">
          <w:rPr>
            <w:rStyle w:val="Hyperlink"/>
            <w:noProof/>
          </w:rPr>
          <w:t xml:space="preserve"> en 2020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_Toc123916443 \h </w:instrText>
        </w:r>
        <w:r w:rsidR="00AB51D9" w:rsidRPr="00364545">
          <w:rPr>
            <w:noProof/>
            <w:webHidden/>
          </w:rPr>
        </w:r>
        <w:r w:rsidR="00AB51D9" w:rsidRPr="00364545">
          <w:rPr>
            <w:noProof/>
            <w:webHidden/>
          </w:rPr>
          <w:fldChar w:fldCharType="separate"/>
        </w:r>
        <w:r w:rsidR="009A2FAA">
          <w:rPr>
            <w:noProof/>
            <w:webHidden/>
          </w:rPr>
          <w:t>74</w:t>
        </w:r>
        <w:r w:rsidR="00AB51D9" w:rsidRPr="00364545">
          <w:rPr>
            <w:noProof/>
            <w:webHidden/>
          </w:rPr>
          <w:fldChar w:fldCharType="end"/>
        </w:r>
      </w:hyperlink>
    </w:p>
    <w:p w14:paraId="087835DF" w14:textId="05817F2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4" w:history="1">
        <w:r w:rsidR="00AB51D9" w:rsidRPr="00364545">
          <w:rPr>
            <w:rStyle w:val="Hyperlink"/>
            <w:noProof/>
          </w:rPr>
          <w:t>Figure 33 : Répartition des émissions de CH</w:t>
        </w:r>
        <w:r w:rsidR="00AB51D9" w:rsidRPr="00364545">
          <w:rPr>
            <w:rStyle w:val="Hyperlink"/>
            <w:noProof/>
            <w:vertAlign w:val="subscript"/>
          </w:rPr>
          <w:t>4</w:t>
        </w:r>
        <w:r w:rsidR="00AB51D9" w:rsidRPr="00364545">
          <w:rPr>
            <w:rStyle w:val="Hyperlink"/>
            <w:noProof/>
          </w:rPr>
          <w:t xml:space="preserve"> en 2020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_Toc123916444 \h </w:instrText>
        </w:r>
        <w:r w:rsidR="00AB51D9" w:rsidRPr="00364545">
          <w:rPr>
            <w:noProof/>
            <w:webHidden/>
          </w:rPr>
        </w:r>
        <w:r w:rsidR="00AB51D9" w:rsidRPr="00364545">
          <w:rPr>
            <w:noProof/>
            <w:webHidden/>
          </w:rPr>
          <w:fldChar w:fldCharType="separate"/>
        </w:r>
        <w:r w:rsidR="009A2FAA">
          <w:rPr>
            <w:noProof/>
            <w:webHidden/>
          </w:rPr>
          <w:t>74</w:t>
        </w:r>
        <w:r w:rsidR="00AB51D9" w:rsidRPr="00364545">
          <w:rPr>
            <w:noProof/>
            <w:webHidden/>
          </w:rPr>
          <w:fldChar w:fldCharType="end"/>
        </w:r>
      </w:hyperlink>
    </w:p>
    <w:p w14:paraId="06B77465" w14:textId="53F70D06"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5" w:history="1">
        <w:r w:rsidR="00AB51D9" w:rsidRPr="00364545">
          <w:rPr>
            <w:rStyle w:val="Hyperlink"/>
            <w:noProof/>
          </w:rPr>
          <w:t>Figure 34 : Répartition des émissions de N</w:t>
        </w:r>
        <w:r w:rsidR="00AB51D9" w:rsidRPr="00364545">
          <w:rPr>
            <w:rStyle w:val="Hyperlink"/>
            <w:noProof/>
            <w:vertAlign w:val="subscript"/>
          </w:rPr>
          <w:t>2</w:t>
        </w:r>
        <w:r w:rsidR="00AB51D9" w:rsidRPr="00364545">
          <w:rPr>
            <w:rStyle w:val="Hyperlink"/>
            <w:noProof/>
          </w:rPr>
          <w:t>O en 2020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_Toc123916445 \h </w:instrText>
        </w:r>
        <w:r w:rsidR="00AB51D9" w:rsidRPr="00364545">
          <w:rPr>
            <w:noProof/>
            <w:webHidden/>
          </w:rPr>
        </w:r>
        <w:r w:rsidR="00AB51D9" w:rsidRPr="00364545">
          <w:rPr>
            <w:noProof/>
            <w:webHidden/>
          </w:rPr>
          <w:fldChar w:fldCharType="separate"/>
        </w:r>
        <w:r w:rsidR="009A2FAA">
          <w:rPr>
            <w:noProof/>
            <w:webHidden/>
          </w:rPr>
          <w:t>75</w:t>
        </w:r>
        <w:r w:rsidR="00AB51D9" w:rsidRPr="00364545">
          <w:rPr>
            <w:noProof/>
            <w:webHidden/>
          </w:rPr>
          <w:fldChar w:fldCharType="end"/>
        </w:r>
      </w:hyperlink>
    </w:p>
    <w:p w14:paraId="46F90C00" w14:textId="47BB7892"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6" w:history="1">
        <w:r w:rsidR="00AB51D9" w:rsidRPr="00364545">
          <w:rPr>
            <w:rStyle w:val="Hyperlink"/>
            <w:noProof/>
          </w:rPr>
          <w:t>Figure 35 : Répartition des émissions de N</w:t>
        </w:r>
        <w:r w:rsidR="00AB51D9" w:rsidRPr="00364545">
          <w:rPr>
            <w:rStyle w:val="Hyperlink"/>
            <w:noProof/>
            <w:vertAlign w:val="subscript"/>
          </w:rPr>
          <w:t>2</w:t>
        </w:r>
        <w:r w:rsidR="00AB51D9" w:rsidRPr="00364545">
          <w:rPr>
            <w:rStyle w:val="Hyperlink"/>
            <w:noProof/>
          </w:rPr>
          <w:t>O en 2020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_Toc123916446 \h </w:instrText>
        </w:r>
        <w:r w:rsidR="00AB51D9" w:rsidRPr="00364545">
          <w:rPr>
            <w:noProof/>
            <w:webHidden/>
          </w:rPr>
        </w:r>
        <w:r w:rsidR="00AB51D9" w:rsidRPr="00364545">
          <w:rPr>
            <w:noProof/>
            <w:webHidden/>
          </w:rPr>
          <w:fldChar w:fldCharType="separate"/>
        </w:r>
        <w:r w:rsidR="009A2FAA">
          <w:rPr>
            <w:noProof/>
            <w:webHidden/>
          </w:rPr>
          <w:t>76</w:t>
        </w:r>
        <w:r w:rsidR="00AB51D9" w:rsidRPr="00364545">
          <w:rPr>
            <w:noProof/>
            <w:webHidden/>
          </w:rPr>
          <w:fldChar w:fldCharType="end"/>
        </w:r>
      </w:hyperlink>
    </w:p>
    <w:p w14:paraId="5B4E3683" w14:textId="7E0D474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7" w:history="1">
        <w:r w:rsidR="00AB51D9" w:rsidRPr="00364545">
          <w:rPr>
            <w:rStyle w:val="Hyperlink"/>
            <w:noProof/>
          </w:rPr>
          <w:t>Figure 36 : Taux d’incorporation d’agro-carburants en France métropolitaine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_Toc123916447 \h </w:instrText>
        </w:r>
        <w:r w:rsidR="00AB51D9" w:rsidRPr="00364545">
          <w:rPr>
            <w:noProof/>
            <w:webHidden/>
          </w:rPr>
        </w:r>
        <w:r w:rsidR="00AB51D9" w:rsidRPr="00364545">
          <w:rPr>
            <w:noProof/>
            <w:webHidden/>
          </w:rPr>
          <w:fldChar w:fldCharType="separate"/>
        </w:r>
        <w:r w:rsidR="009A2FAA">
          <w:rPr>
            <w:noProof/>
            <w:webHidden/>
          </w:rPr>
          <w:t>77</w:t>
        </w:r>
        <w:r w:rsidR="00AB51D9" w:rsidRPr="00364545">
          <w:rPr>
            <w:noProof/>
            <w:webHidden/>
          </w:rPr>
          <w:fldChar w:fldCharType="end"/>
        </w:r>
      </w:hyperlink>
    </w:p>
    <w:p w14:paraId="628E299D" w14:textId="5E73C774"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8" w:history="1">
        <w:r w:rsidR="00AB51D9" w:rsidRPr="00364545">
          <w:rPr>
            <w:rStyle w:val="Hyperlink"/>
            <w:noProof/>
          </w:rPr>
          <w:t>Figure 37 : Evolution des émissions dans l'air de CO</w:t>
        </w:r>
        <w:r w:rsidR="00AB51D9" w:rsidRPr="00364545">
          <w:rPr>
            <w:rStyle w:val="Hyperlink"/>
            <w:noProof/>
            <w:vertAlign w:val="subscript"/>
          </w:rPr>
          <w:t>2e</w:t>
        </w:r>
        <w:r w:rsidR="00AB51D9" w:rsidRPr="00364545">
          <w:rPr>
            <w:rStyle w:val="Hyperlink"/>
            <w:noProof/>
          </w:rPr>
          <w:t xml:space="preserve"> du secteur des transports depuis 1990 en France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_Toc123916448 \h </w:instrText>
        </w:r>
        <w:r w:rsidR="00AB51D9" w:rsidRPr="00364545">
          <w:rPr>
            <w:noProof/>
            <w:webHidden/>
          </w:rPr>
        </w:r>
        <w:r w:rsidR="00AB51D9" w:rsidRPr="00364545">
          <w:rPr>
            <w:noProof/>
            <w:webHidden/>
          </w:rPr>
          <w:fldChar w:fldCharType="separate"/>
        </w:r>
        <w:r w:rsidR="009A2FAA">
          <w:rPr>
            <w:noProof/>
            <w:webHidden/>
          </w:rPr>
          <w:t>77</w:t>
        </w:r>
        <w:r w:rsidR="00AB51D9" w:rsidRPr="00364545">
          <w:rPr>
            <w:noProof/>
            <w:webHidden/>
          </w:rPr>
          <w:fldChar w:fldCharType="end"/>
        </w:r>
      </w:hyperlink>
    </w:p>
    <w:p w14:paraId="02DF46B4" w14:textId="1AB79F8F"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49" w:history="1">
        <w:r w:rsidR="00AB51D9" w:rsidRPr="00364545">
          <w:rPr>
            <w:rStyle w:val="Hyperlink"/>
            <w:noProof/>
          </w:rPr>
          <w:t>Figure 38 : Répartition des émissions de GES par mode de transport en France en 2020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_Toc123916449 \h </w:instrText>
        </w:r>
        <w:r w:rsidR="00AB51D9" w:rsidRPr="00364545">
          <w:rPr>
            <w:noProof/>
            <w:webHidden/>
          </w:rPr>
        </w:r>
        <w:r w:rsidR="00AB51D9" w:rsidRPr="00364545">
          <w:rPr>
            <w:noProof/>
            <w:webHidden/>
          </w:rPr>
          <w:fldChar w:fldCharType="separate"/>
        </w:r>
        <w:r w:rsidR="009A2FAA">
          <w:rPr>
            <w:noProof/>
            <w:webHidden/>
          </w:rPr>
          <w:t>78</w:t>
        </w:r>
        <w:r w:rsidR="00AB51D9" w:rsidRPr="00364545">
          <w:rPr>
            <w:noProof/>
            <w:webHidden/>
          </w:rPr>
          <w:fldChar w:fldCharType="end"/>
        </w:r>
      </w:hyperlink>
    </w:p>
    <w:p w14:paraId="4AA812A0" w14:textId="1170F271"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0" w:history="1">
        <w:r w:rsidR="00AB51D9" w:rsidRPr="00364545">
          <w:rPr>
            <w:rStyle w:val="Hyperlink"/>
            <w:noProof/>
          </w:rPr>
          <w:t>Figure 39 : Emissions des secteurs autres que routier depuis 1990, en MtCO</w:t>
        </w:r>
        <w:r w:rsidR="00AB51D9" w:rsidRPr="00364545">
          <w:rPr>
            <w:rStyle w:val="Hyperlink"/>
            <w:noProof/>
            <w:vertAlign w:val="subscript"/>
          </w:rPr>
          <w:t>2e</w:t>
        </w:r>
        <w:r w:rsidR="00AB51D9" w:rsidRPr="00364545">
          <w:rPr>
            <w:rStyle w:val="Hyperlink"/>
            <w:noProof/>
          </w:rPr>
          <w:t xml:space="preserve">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_Toc123916450 \h </w:instrText>
        </w:r>
        <w:r w:rsidR="00AB51D9" w:rsidRPr="00364545">
          <w:rPr>
            <w:noProof/>
            <w:webHidden/>
          </w:rPr>
        </w:r>
        <w:r w:rsidR="00AB51D9" w:rsidRPr="00364545">
          <w:rPr>
            <w:noProof/>
            <w:webHidden/>
          </w:rPr>
          <w:fldChar w:fldCharType="separate"/>
        </w:r>
        <w:r w:rsidR="009A2FAA">
          <w:rPr>
            <w:noProof/>
            <w:webHidden/>
          </w:rPr>
          <w:t>78</w:t>
        </w:r>
        <w:r w:rsidR="00AB51D9" w:rsidRPr="00364545">
          <w:rPr>
            <w:noProof/>
            <w:webHidden/>
          </w:rPr>
          <w:fldChar w:fldCharType="end"/>
        </w:r>
      </w:hyperlink>
    </w:p>
    <w:p w14:paraId="2CDF568D" w14:textId="35118316"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1" w:history="1">
        <w:r w:rsidR="00AB51D9" w:rsidRPr="00364545">
          <w:rPr>
            <w:rStyle w:val="Hyperlink"/>
            <w:noProof/>
          </w:rPr>
          <w:t>Figure 40 : Emissions des secteurs résidentiel et tertiaire depuis 1990, en MtCO</w:t>
        </w:r>
        <w:r w:rsidR="00AB51D9" w:rsidRPr="00364545">
          <w:rPr>
            <w:rStyle w:val="Hyperlink"/>
            <w:noProof/>
            <w:vertAlign w:val="subscript"/>
          </w:rPr>
          <w:t>2e</w:t>
        </w:r>
        <w:r w:rsidR="00AB51D9" w:rsidRPr="00364545">
          <w:rPr>
            <w:rStyle w:val="Hyperlink"/>
            <w:noProof/>
          </w:rPr>
          <w:t xml:space="preserve">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_Toc123916451 \h </w:instrText>
        </w:r>
        <w:r w:rsidR="00AB51D9" w:rsidRPr="00364545">
          <w:rPr>
            <w:noProof/>
            <w:webHidden/>
          </w:rPr>
        </w:r>
        <w:r w:rsidR="00AB51D9" w:rsidRPr="00364545">
          <w:rPr>
            <w:noProof/>
            <w:webHidden/>
          </w:rPr>
          <w:fldChar w:fldCharType="separate"/>
        </w:r>
        <w:r w:rsidR="009A2FAA">
          <w:rPr>
            <w:noProof/>
            <w:webHidden/>
          </w:rPr>
          <w:t>79</w:t>
        </w:r>
        <w:r w:rsidR="00AB51D9" w:rsidRPr="00364545">
          <w:rPr>
            <w:noProof/>
            <w:webHidden/>
          </w:rPr>
          <w:fldChar w:fldCharType="end"/>
        </w:r>
      </w:hyperlink>
    </w:p>
    <w:p w14:paraId="0F082236" w14:textId="7BDEB902"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2" w:history="1">
        <w:r w:rsidR="00AB51D9" w:rsidRPr="00364545">
          <w:rPr>
            <w:rStyle w:val="Hyperlink"/>
            <w:noProof/>
          </w:rPr>
          <w:t>Figure 41 : Emissions des secteurs de l’industrie manufacturière et la construction depuis 1990, en MtCO</w:t>
        </w:r>
        <w:r w:rsidR="00AB51D9" w:rsidRPr="00364545">
          <w:rPr>
            <w:rStyle w:val="Hyperlink"/>
            <w:noProof/>
            <w:vertAlign w:val="subscript"/>
          </w:rPr>
          <w:t>2e</w:t>
        </w:r>
        <w:r w:rsidR="00AB51D9" w:rsidRPr="00364545">
          <w:rPr>
            <w:rStyle w:val="Hyperlink"/>
            <w:noProof/>
          </w:rPr>
          <w:t xml:space="preserve">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_Toc123916452 \h </w:instrText>
        </w:r>
        <w:r w:rsidR="00AB51D9" w:rsidRPr="00364545">
          <w:rPr>
            <w:noProof/>
            <w:webHidden/>
          </w:rPr>
        </w:r>
        <w:r w:rsidR="00AB51D9" w:rsidRPr="00364545">
          <w:rPr>
            <w:noProof/>
            <w:webHidden/>
          </w:rPr>
          <w:fldChar w:fldCharType="separate"/>
        </w:r>
        <w:r w:rsidR="009A2FAA">
          <w:rPr>
            <w:noProof/>
            <w:webHidden/>
          </w:rPr>
          <w:t>80</w:t>
        </w:r>
        <w:r w:rsidR="00AB51D9" w:rsidRPr="00364545">
          <w:rPr>
            <w:noProof/>
            <w:webHidden/>
          </w:rPr>
          <w:fldChar w:fldCharType="end"/>
        </w:r>
      </w:hyperlink>
    </w:p>
    <w:p w14:paraId="461533EE" w14:textId="2A6C6FA6"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3" w:history="1">
        <w:r w:rsidR="00AB51D9" w:rsidRPr="00364545">
          <w:rPr>
            <w:rStyle w:val="Hyperlink"/>
            <w:noProof/>
          </w:rPr>
          <w:t>Figure 42 : Emissions des secteurs de l’industrie de l’énergie depuis 1990, en MtCO</w:t>
        </w:r>
        <w:r w:rsidR="00AB51D9" w:rsidRPr="00364545">
          <w:rPr>
            <w:rStyle w:val="Hyperlink"/>
            <w:noProof/>
            <w:vertAlign w:val="subscript"/>
          </w:rPr>
          <w:t>2e</w:t>
        </w:r>
        <w:r w:rsidR="00AB51D9" w:rsidRPr="00364545">
          <w:rPr>
            <w:rStyle w:val="Hyperlink"/>
            <w:noProof/>
          </w:rPr>
          <w:t xml:space="preserve">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_Toc123916453 \h </w:instrText>
        </w:r>
        <w:r w:rsidR="00AB51D9" w:rsidRPr="00364545">
          <w:rPr>
            <w:noProof/>
            <w:webHidden/>
          </w:rPr>
        </w:r>
        <w:r w:rsidR="00AB51D9" w:rsidRPr="00364545">
          <w:rPr>
            <w:noProof/>
            <w:webHidden/>
          </w:rPr>
          <w:fldChar w:fldCharType="separate"/>
        </w:r>
        <w:r w:rsidR="009A2FAA">
          <w:rPr>
            <w:noProof/>
            <w:webHidden/>
          </w:rPr>
          <w:t>81</w:t>
        </w:r>
        <w:r w:rsidR="00AB51D9" w:rsidRPr="00364545">
          <w:rPr>
            <w:noProof/>
            <w:webHidden/>
          </w:rPr>
          <w:fldChar w:fldCharType="end"/>
        </w:r>
      </w:hyperlink>
    </w:p>
    <w:p w14:paraId="367601C9" w14:textId="1D03F8C4"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4" w:history="1">
        <w:r w:rsidR="00AB51D9" w:rsidRPr="00364545">
          <w:rPr>
            <w:rStyle w:val="Hyperlink"/>
            <w:noProof/>
          </w:rPr>
          <w:t>Figure 43 : Emissions du secteur agricole depuis 1990, en MtCO</w:t>
        </w:r>
        <w:r w:rsidR="00AB51D9" w:rsidRPr="00364545">
          <w:rPr>
            <w:rStyle w:val="Hyperlink"/>
            <w:noProof/>
            <w:vertAlign w:val="subscript"/>
          </w:rPr>
          <w:t>2e</w:t>
        </w:r>
        <w:r w:rsidR="00AB51D9" w:rsidRPr="00364545">
          <w:rPr>
            <w:rStyle w:val="Hyperlink"/>
            <w:noProof/>
          </w:rPr>
          <w:t xml:space="preserve">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_Toc123916454 \h </w:instrText>
        </w:r>
        <w:r w:rsidR="00AB51D9" w:rsidRPr="00364545">
          <w:rPr>
            <w:noProof/>
            <w:webHidden/>
          </w:rPr>
        </w:r>
        <w:r w:rsidR="00AB51D9" w:rsidRPr="00364545">
          <w:rPr>
            <w:noProof/>
            <w:webHidden/>
          </w:rPr>
          <w:fldChar w:fldCharType="separate"/>
        </w:r>
        <w:r w:rsidR="009A2FAA">
          <w:rPr>
            <w:noProof/>
            <w:webHidden/>
          </w:rPr>
          <w:t>82</w:t>
        </w:r>
        <w:r w:rsidR="00AB51D9" w:rsidRPr="00364545">
          <w:rPr>
            <w:noProof/>
            <w:webHidden/>
          </w:rPr>
          <w:fldChar w:fldCharType="end"/>
        </w:r>
      </w:hyperlink>
    </w:p>
    <w:p w14:paraId="682F4B11" w14:textId="3C6B394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5" w:history="1">
        <w:r w:rsidR="00AB51D9" w:rsidRPr="00364545">
          <w:rPr>
            <w:rStyle w:val="Hyperlink"/>
            <w:noProof/>
          </w:rPr>
          <w:t>Figure 44 : Emissions du secteur agricole depuis 1990 par gaz, en MtCO</w:t>
        </w:r>
        <w:r w:rsidR="00AB51D9" w:rsidRPr="00364545">
          <w:rPr>
            <w:rStyle w:val="Hyperlink"/>
            <w:noProof/>
            <w:vertAlign w:val="subscript"/>
          </w:rPr>
          <w:t>2e</w:t>
        </w:r>
        <w:r w:rsidR="00AB51D9" w:rsidRPr="00364545">
          <w:rPr>
            <w:rStyle w:val="Hyperlink"/>
            <w:noProof/>
          </w:rPr>
          <w:t xml:space="preserve">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_Toc123916455 \h </w:instrText>
        </w:r>
        <w:r w:rsidR="00AB51D9" w:rsidRPr="00364545">
          <w:rPr>
            <w:noProof/>
            <w:webHidden/>
          </w:rPr>
        </w:r>
        <w:r w:rsidR="00AB51D9" w:rsidRPr="00364545">
          <w:rPr>
            <w:noProof/>
            <w:webHidden/>
          </w:rPr>
          <w:fldChar w:fldCharType="separate"/>
        </w:r>
        <w:r w:rsidR="009A2FAA">
          <w:rPr>
            <w:noProof/>
            <w:webHidden/>
          </w:rPr>
          <w:t>82</w:t>
        </w:r>
        <w:r w:rsidR="00AB51D9" w:rsidRPr="00364545">
          <w:rPr>
            <w:noProof/>
            <w:webHidden/>
          </w:rPr>
          <w:fldChar w:fldCharType="end"/>
        </w:r>
      </w:hyperlink>
    </w:p>
    <w:p w14:paraId="795FBD37" w14:textId="7881ADA9"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6" w:history="1">
        <w:r w:rsidR="00AB51D9" w:rsidRPr="00364545">
          <w:rPr>
            <w:rStyle w:val="Hyperlink"/>
            <w:noProof/>
          </w:rPr>
          <w:t>Figure 45 : Emissions du secteur UTCATF depuis 1990, en MtCO</w:t>
        </w:r>
        <w:r w:rsidR="00AB51D9" w:rsidRPr="00364545">
          <w:rPr>
            <w:rStyle w:val="Hyperlink"/>
            <w:noProof/>
            <w:vertAlign w:val="subscript"/>
          </w:rPr>
          <w:t>2e</w:t>
        </w:r>
        <w:r w:rsidR="00AB51D9" w:rsidRPr="00364545">
          <w:rPr>
            <w:rStyle w:val="Hyperlink"/>
            <w:noProof/>
          </w:rPr>
          <w:t xml:space="preserve">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_Toc123916456 \h </w:instrText>
        </w:r>
        <w:r w:rsidR="00AB51D9" w:rsidRPr="00364545">
          <w:rPr>
            <w:noProof/>
            <w:webHidden/>
          </w:rPr>
        </w:r>
        <w:r w:rsidR="00AB51D9" w:rsidRPr="00364545">
          <w:rPr>
            <w:noProof/>
            <w:webHidden/>
          </w:rPr>
          <w:fldChar w:fldCharType="separate"/>
        </w:r>
        <w:r w:rsidR="009A2FAA">
          <w:rPr>
            <w:noProof/>
            <w:webHidden/>
          </w:rPr>
          <w:t>83</w:t>
        </w:r>
        <w:r w:rsidR="00AB51D9" w:rsidRPr="00364545">
          <w:rPr>
            <w:noProof/>
            <w:webHidden/>
          </w:rPr>
          <w:fldChar w:fldCharType="end"/>
        </w:r>
      </w:hyperlink>
    </w:p>
    <w:p w14:paraId="68EAD25A" w14:textId="21F02E2C"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7" w:history="1">
        <w:r w:rsidR="00AB51D9" w:rsidRPr="00364545">
          <w:rPr>
            <w:rStyle w:val="Hyperlink"/>
            <w:noProof/>
          </w:rPr>
          <w:t>Figure 46 : Emissions du secteur des déchets depuis 1990, en MtCO</w:t>
        </w:r>
        <w:r w:rsidR="00AB51D9" w:rsidRPr="00364545">
          <w:rPr>
            <w:rStyle w:val="Hyperlink"/>
            <w:noProof/>
            <w:vertAlign w:val="subscript"/>
          </w:rPr>
          <w:t>2e</w:t>
        </w:r>
        <w:r w:rsidR="00AB51D9" w:rsidRPr="00364545">
          <w:rPr>
            <w:rStyle w:val="Hyperlink"/>
            <w:noProof/>
          </w:rPr>
          <w:t xml:space="preserve"> (Métropole et Outre-mer 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_Toc123916457 \h </w:instrText>
        </w:r>
        <w:r w:rsidR="00AB51D9" w:rsidRPr="00364545">
          <w:rPr>
            <w:noProof/>
            <w:webHidden/>
          </w:rPr>
        </w:r>
        <w:r w:rsidR="00AB51D9" w:rsidRPr="00364545">
          <w:rPr>
            <w:noProof/>
            <w:webHidden/>
          </w:rPr>
          <w:fldChar w:fldCharType="separate"/>
        </w:r>
        <w:r w:rsidR="009A2FAA">
          <w:rPr>
            <w:noProof/>
            <w:webHidden/>
          </w:rPr>
          <w:t>84</w:t>
        </w:r>
        <w:r w:rsidR="00AB51D9" w:rsidRPr="00364545">
          <w:rPr>
            <w:noProof/>
            <w:webHidden/>
          </w:rPr>
          <w:fldChar w:fldCharType="end"/>
        </w:r>
      </w:hyperlink>
    </w:p>
    <w:p w14:paraId="1394ABC7" w14:textId="1628188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8" w:history="1">
        <w:r w:rsidR="00AB51D9" w:rsidRPr="00364545">
          <w:rPr>
            <w:rStyle w:val="Hyperlink"/>
            <w:noProof/>
          </w:rPr>
          <w:t>Figure 47 : Evolution historique des émissions de GES hors secteur des terres et budgets carbone jusqu’à 2033</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_Toc123916458 \h </w:instrText>
        </w:r>
        <w:r w:rsidR="00AB51D9" w:rsidRPr="00364545">
          <w:rPr>
            <w:noProof/>
            <w:webHidden/>
          </w:rPr>
        </w:r>
        <w:r w:rsidR="00AB51D9" w:rsidRPr="00364545">
          <w:rPr>
            <w:noProof/>
            <w:webHidden/>
          </w:rPr>
          <w:fldChar w:fldCharType="separate"/>
        </w:r>
        <w:r w:rsidR="009A2FAA">
          <w:rPr>
            <w:noProof/>
            <w:webHidden/>
          </w:rPr>
          <w:t>102</w:t>
        </w:r>
        <w:r w:rsidR="00AB51D9" w:rsidRPr="00364545">
          <w:rPr>
            <w:noProof/>
            <w:webHidden/>
          </w:rPr>
          <w:fldChar w:fldCharType="end"/>
        </w:r>
      </w:hyperlink>
    </w:p>
    <w:p w14:paraId="498EA60B" w14:textId="1B4235B6"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59" w:history="1">
        <w:r w:rsidR="00AB51D9" w:rsidRPr="00364545">
          <w:rPr>
            <w:rStyle w:val="Hyperlink"/>
            <w:noProof/>
          </w:rPr>
          <w:t>Figure 48 : Trajectoire linéaire de réduction d’émissions pour atteindre la neutralité en 2050 et budgets carbone associés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_Toc123916459 \h </w:instrText>
        </w:r>
        <w:r w:rsidR="00AB51D9" w:rsidRPr="00364545">
          <w:rPr>
            <w:noProof/>
            <w:webHidden/>
          </w:rPr>
        </w:r>
        <w:r w:rsidR="00AB51D9" w:rsidRPr="00364545">
          <w:rPr>
            <w:noProof/>
            <w:webHidden/>
          </w:rPr>
          <w:fldChar w:fldCharType="separate"/>
        </w:r>
        <w:r w:rsidR="009A2FAA">
          <w:rPr>
            <w:noProof/>
            <w:webHidden/>
          </w:rPr>
          <w:t>103</w:t>
        </w:r>
        <w:r w:rsidR="00AB51D9" w:rsidRPr="00364545">
          <w:rPr>
            <w:noProof/>
            <w:webHidden/>
          </w:rPr>
          <w:fldChar w:fldCharType="end"/>
        </w:r>
      </w:hyperlink>
    </w:p>
    <w:p w14:paraId="0084C90B" w14:textId="561336D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0" w:history="1">
        <w:r w:rsidR="00AB51D9" w:rsidRPr="00364545">
          <w:rPr>
            <w:rStyle w:val="Hyperlink"/>
            <w:noProof/>
          </w:rPr>
          <w:t xml:space="preserve">Figure 49 : </w:t>
        </w:r>
        <w:r w:rsidR="00AB51D9" w:rsidRPr="00364545">
          <w:rPr>
            <w:rStyle w:val="Hyperlink"/>
            <w:rFonts w:eastAsiaTheme="minorHAnsi"/>
            <w:noProof/>
          </w:rPr>
          <w:t>Evolution des ventes de voitures électriques (VE) et hybrides rechargeables (VHR)</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_Toc123916460 \h </w:instrText>
        </w:r>
        <w:r w:rsidR="00AB51D9" w:rsidRPr="00364545">
          <w:rPr>
            <w:noProof/>
            <w:webHidden/>
          </w:rPr>
        </w:r>
        <w:r w:rsidR="00AB51D9" w:rsidRPr="00364545">
          <w:rPr>
            <w:noProof/>
            <w:webHidden/>
          </w:rPr>
          <w:fldChar w:fldCharType="separate"/>
        </w:r>
        <w:r w:rsidR="009A2FAA">
          <w:rPr>
            <w:noProof/>
            <w:webHidden/>
          </w:rPr>
          <w:t>110</w:t>
        </w:r>
        <w:r w:rsidR="00AB51D9" w:rsidRPr="00364545">
          <w:rPr>
            <w:noProof/>
            <w:webHidden/>
          </w:rPr>
          <w:fldChar w:fldCharType="end"/>
        </w:r>
      </w:hyperlink>
    </w:p>
    <w:p w14:paraId="012164B2" w14:textId="3A2BF15C"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1" w:history="1">
        <w:r w:rsidR="00AB51D9" w:rsidRPr="00364545">
          <w:rPr>
            <w:rStyle w:val="Hyperlink"/>
            <w:noProof/>
          </w:rPr>
          <w:t>Figure 50 : Comparaison des émissions en 2030 entre l’AME 2021 et l’AMS 2018 et effet des différents facteurs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_Toc123916461 \h </w:instrText>
        </w:r>
        <w:r w:rsidR="00AB51D9" w:rsidRPr="00364545">
          <w:rPr>
            <w:noProof/>
            <w:webHidden/>
          </w:rPr>
        </w:r>
        <w:r w:rsidR="00AB51D9" w:rsidRPr="00364545">
          <w:rPr>
            <w:noProof/>
            <w:webHidden/>
          </w:rPr>
          <w:fldChar w:fldCharType="separate"/>
        </w:r>
        <w:r w:rsidR="009A2FAA">
          <w:rPr>
            <w:noProof/>
            <w:webHidden/>
          </w:rPr>
          <w:t>167</w:t>
        </w:r>
        <w:r w:rsidR="00AB51D9" w:rsidRPr="00364545">
          <w:rPr>
            <w:noProof/>
            <w:webHidden/>
          </w:rPr>
          <w:fldChar w:fldCharType="end"/>
        </w:r>
      </w:hyperlink>
    </w:p>
    <w:p w14:paraId="7920AEE5" w14:textId="42D717AF"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2" w:history="1">
        <w:r w:rsidR="00AB51D9" w:rsidRPr="00364545">
          <w:rPr>
            <w:rStyle w:val="Hyperlink"/>
            <w:noProof/>
          </w:rPr>
          <w:t>Figure 51 : Comparaison des émissions en 2050 entre l’AME 2021 et l’AMS 2018 et effet des différents facteurs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_Toc123916462 \h </w:instrText>
        </w:r>
        <w:r w:rsidR="00AB51D9" w:rsidRPr="00364545">
          <w:rPr>
            <w:noProof/>
            <w:webHidden/>
          </w:rPr>
        </w:r>
        <w:r w:rsidR="00AB51D9" w:rsidRPr="00364545">
          <w:rPr>
            <w:noProof/>
            <w:webHidden/>
          </w:rPr>
          <w:fldChar w:fldCharType="separate"/>
        </w:r>
        <w:r w:rsidR="009A2FAA">
          <w:rPr>
            <w:noProof/>
            <w:webHidden/>
          </w:rPr>
          <w:t>167</w:t>
        </w:r>
        <w:r w:rsidR="00AB51D9" w:rsidRPr="00364545">
          <w:rPr>
            <w:noProof/>
            <w:webHidden/>
          </w:rPr>
          <w:fldChar w:fldCharType="end"/>
        </w:r>
      </w:hyperlink>
    </w:p>
    <w:p w14:paraId="75E26F4D" w14:textId="50B4766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3" w:history="1">
        <w:r w:rsidR="00AB51D9" w:rsidRPr="00364545">
          <w:rPr>
            <w:rStyle w:val="Hyperlink"/>
            <w:noProof/>
          </w:rPr>
          <w:t>Figure 52 : Trajectoire des émissions hors UTCATF jusqu’à 2050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_Toc123916463 \h </w:instrText>
        </w:r>
        <w:r w:rsidR="00AB51D9" w:rsidRPr="00364545">
          <w:rPr>
            <w:noProof/>
            <w:webHidden/>
          </w:rPr>
        </w:r>
        <w:r w:rsidR="00AB51D9" w:rsidRPr="00364545">
          <w:rPr>
            <w:noProof/>
            <w:webHidden/>
          </w:rPr>
          <w:fldChar w:fldCharType="separate"/>
        </w:r>
        <w:r w:rsidR="009A2FAA">
          <w:rPr>
            <w:noProof/>
            <w:webHidden/>
          </w:rPr>
          <w:t>170</w:t>
        </w:r>
        <w:r w:rsidR="00AB51D9" w:rsidRPr="00364545">
          <w:rPr>
            <w:noProof/>
            <w:webHidden/>
          </w:rPr>
          <w:fldChar w:fldCharType="end"/>
        </w:r>
      </w:hyperlink>
    </w:p>
    <w:p w14:paraId="0AD4C20E" w14:textId="36303C5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4" w:history="1">
        <w:r w:rsidR="00AB51D9" w:rsidRPr="00364545">
          <w:rPr>
            <w:rStyle w:val="Hyperlink"/>
            <w:noProof/>
          </w:rPr>
          <w:t>Figure 53 : Trajectoire des émissions avec UTCATF jusqu’à 2050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_Toc123916464 \h </w:instrText>
        </w:r>
        <w:r w:rsidR="00AB51D9" w:rsidRPr="00364545">
          <w:rPr>
            <w:noProof/>
            <w:webHidden/>
          </w:rPr>
        </w:r>
        <w:r w:rsidR="00AB51D9" w:rsidRPr="00364545">
          <w:rPr>
            <w:noProof/>
            <w:webHidden/>
          </w:rPr>
          <w:fldChar w:fldCharType="separate"/>
        </w:r>
        <w:r w:rsidR="009A2FAA">
          <w:rPr>
            <w:noProof/>
            <w:webHidden/>
          </w:rPr>
          <w:t>170</w:t>
        </w:r>
        <w:r w:rsidR="00AB51D9" w:rsidRPr="00364545">
          <w:rPr>
            <w:noProof/>
            <w:webHidden/>
          </w:rPr>
          <w:fldChar w:fldCharType="end"/>
        </w:r>
      </w:hyperlink>
    </w:p>
    <w:p w14:paraId="1F2547EA" w14:textId="7387C266"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5" w:history="1">
        <w:r w:rsidR="00AB51D9" w:rsidRPr="00364545">
          <w:rPr>
            <w:rStyle w:val="Hyperlink"/>
            <w:noProof/>
          </w:rPr>
          <w:t>Figure 54 : Projection par secteur en ktCO</w:t>
        </w:r>
        <w:r w:rsidR="00AB51D9" w:rsidRPr="00364545">
          <w:rPr>
            <w:rStyle w:val="Hyperlink"/>
            <w:noProof/>
            <w:vertAlign w:val="subscript"/>
          </w:rPr>
          <w:t>2e</w:t>
        </w:r>
        <w:r w:rsidR="00AB51D9" w:rsidRPr="00364545">
          <w:rPr>
            <w:rStyle w:val="Hyperlink"/>
            <w:noProof/>
          </w:rPr>
          <w:t>, au format Kyoto, scénario AME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_Toc123916465 \h </w:instrText>
        </w:r>
        <w:r w:rsidR="00AB51D9" w:rsidRPr="00364545">
          <w:rPr>
            <w:noProof/>
            <w:webHidden/>
          </w:rPr>
        </w:r>
        <w:r w:rsidR="00AB51D9" w:rsidRPr="00364545">
          <w:rPr>
            <w:noProof/>
            <w:webHidden/>
          </w:rPr>
          <w:fldChar w:fldCharType="separate"/>
        </w:r>
        <w:r w:rsidR="009A2FAA">
          <w:rPr>
            <w:noProof/>
            <w:webHidden/>
          </w:rPr>
          <w:t>187</w:t>
        </w:r>
        <w:r w:rsidR="00AB51D9" w:rsidRPr="00364545">
          <w:rPr>
            <w:noProof/>
            <w:webHidden/>
          </w:rPr>
          <w:fldChar w:fldCharType="end"/>
        </w:r>
      </w:hyperlink>
    </w:p>
    <w:p w14:paraId="744491A7" w14:textId="3A39B95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6" w:history="1">
        <w:r w:rsidR="00AB51D9" w:rsidRPr="00364545">
          <w:rPr>
            <w:rStyle w:val="Hyperlink"/>
            <w:noProof/>
          </w:rPr>
          <w:t>Figure 55 : Projection par secteur en ktCO</w:t>
        </w:r>
        <w:r w:rsidR="00AB51D9" w:rsidRPr="00364545">
          <w:rPr>
            <w:rStyle w:val="Hyperlink"/>
            <w:noProof/>
            <w:vertAlign w:val="subscript"/>
          </w:rPr>
          <w:t>2e</w:t>
        </w:r>
        <w:r w:rsidR="00AB51D9" w:rsidRPr="00364545">
          <w:rPr>
            <w:rStyle w:val="Hyperlink"/>
            <w:noProof/>
          </w:rPr>
          <w:t>, au format Kyoto, scénario AMS 2018</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_Toc123916466 \h </w:instrText>
        </w:r>
        <w:r w:rsidR="00AB51D9" w:rsidRPr="00364545">
          <w:rPr>
            <w:noProof/>
            <w:webHidden/>
          </w:rPr>
        </w:r>
        <w:r w:rsidR="00AB51D9" w:rsidRPr="00364545">
          <w:rPr>
            <w:noProof/>
            <w:webHidden/>
          </w:rPr>
          <w:fldChar w:fldCharType="separate"/>
        </w:r>
        <w:r w:rsidR="009A2FAA">
          <w:rPr>
            <w:noProof/>
            <w:webHidden/>
          </w:rPr>
          <w:t>188</w:t>
        </w:r>
        <w:r w:rsidR="00AB51D9" w:rsidRPr="00364545">
          <w:rPr>
            <w:noProof/>
            <w:webHidden/>
          </w:rPr>
          <w:fldChar w:fldCharType="end"/>
        </w:r>
      </w:hyperlink>
    </w:p>
    <w:p w14:paraId="0594B5F9" w14:textId="53891DCB"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7" w:history="1">
        <w:r w:rsidR="00AB51D9" w:rsidRPr="00364545">
          <w:rPr>
            <w:rStyle w:val="Hyperlink"/>
            <w:noProof/>
          </w:rPr>
          <w:t>Figure 56 : Détail des catégories du secteur énergie en ktCO</w:t>
        </w:r>
        <w:r w:rsidR="00AB51D9" w:rsidRPr="00364545">
          <w:rPr>
            <w:rStyle w:val="Hyperlink"/>
            <w:noProof/>
            <w:vertAlign w:val="subscript"/>
          </w:rPr>
          <w:t>2e</w:t>
        </w:r>
        <w:r w:rsidR="00AB51D9" w:rsidRPr="00364545">
          <w:rPr>
            <w:rStyle w:val="Hyperlink"/>
            <w:noProof/>
          </w:rPr>
          <w:t>, au périmètre Kyoto, scénario AME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_Toc123916467 \h </w:instrText>
        </w:r>
        <w:r w:rsidR="00AB51D9" w:rsidRPr="00364545">
          <w:rPr>
            <w:noProof/>
            <w:webHidden/>
          </w:rPr>
        </w:r>
        <w:r w:rsidR="00AB51D9" w:rsidRPr="00364545">
          <w:rPr>
            <w:noProof/>
            <w:webHidden/>
          </w:rPr>
          <w:fldChar w:fldCharType="separate"/>
        </w:r>
        <w:r w:rsidR="009A2FAA">
          <w:rPr>
            <w:noProof/>
            <w:webHidden/>
          </w:rPr>
          <w:t>189</w:t>
        </w:r>
        <w:r w:rsidR="00AB51D9" w:rsidRPr="00364545">
          <w:rPr>
            <w:noProof/>
            <w:webHidden/>
          </w:rPr>
          <w:fldChar w:fldCharType="end"/>
        </w:r>
      </w:hyperlink>
    </w:p>
    <w:p w14:paraId="3515C023" w14:textId="4E48DBFF"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8" w:history="1">
        <w:r w:rsidR="00AB51D9" w:rsidRPr="00364545">
          <w:rPr>
            <w:rStyle w:val="Hyperlink"/>
            <w:noProof/>
          </w:rPr>
          <w:t>Figure 57 : Détail des catégories du secteur énergie en ktCO</w:t>
        </w:r>
        <w:r w:rsidR="00AB51D9" w:rsidRPr="00364545">
          <w:rPr>
            <w:rStyle w:val="Hyperlink"/>
            <w:noProof/>
            <w:vertAlign w:val="subscript"/>
          </w:rPr>
          <w:t>2e</w:t>
        </w:r>
        <w:r w:rsidR="00AB51D9" w:rsidRPr="00364545">
          <w:rPr>
            <w:rStyle w:val="Hyperlink"/>
            <w:noProof/>
          </w:rPr>
          <w:t>, au périmètre Kyoto, scénario AMS 2018</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_Toc123916468 \h </w:instrText>
        </w:r>
        <w:r w:rsidR="00AB51D9" w:rsidRPr="00364545">
          <w:rPr>
            <w:noProof/>
            <w:webHidden/>
          </w:rPr>
        </w:r>
        <w:r w:rsidR="00AB51D9" w:rsidRPr="00364545">
          <w:rPr>
            <w:noProof/>
            <w:webHidden/>
          </w:rPr>
          <w:fldChar w:fldCharType="separate"/>
        </w:r>
        <w:r w:rsidR="009A2FAA">
          <w:rPr>
            <w:noProof/>
            <w:webHidden/>
          </w:rPr>
          <w:t>190</w:t>
        </w:r>
        <w:r w:rsidR="00AB51D9" w:rsidRPr="00364545">
          <w:rPr>
            <w:noProof/>
            <w:webHidden/>
          </w:rPr>
          <w:fldChar w:fldCharType="end"/>
        </w:r>
      </w:hyperlink>
    </w:p>
    <w:p w14:paraId="1E78DEC6" w14:textId="5C2CAB0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69" w:history="1">
        <w:r w:rsidR="00AB51D9" w:rsidRPr="00364545">
          <w:rPr>
            <w:rStyle w:val="Hyperlink"/>
            <w:noProof/>
          </w:rPr>
          <w:t>Figure 58 : Projection par gaz hors UTCATF en ktCO</w:t>
        </w:r>
        <w:r w:rsidR="00AB51D9" w:rsidRPr="00364545">
          <w:rPr>
            <w:rStyle w:val="Hyperlink"/>
            <w:noProof/>
            <w:vertAlign w:val="subscript"/>
          </w:rPr>
          <w:t>2e</w:t>
        </w:r>
        <w:r w:rsidR="00AB51D9" w:rsidRPr="00364545">
          <w:rPr>
            <w:rStyle w:val="Hyperlink"/>
            <w:noProof/>
          </w:rPr>
          <w:t>, au format Kyoto, scénario AME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_Toc123916469 \h </w:instrText>
        </w:r>
        <w:r w:rsidR="00AB51D9" w:rsidRPr="00364545">
          <w:rPr>
            <w:noProof/>
            <w:webHidden/>
          </w:rPr>
        </w:r>
        <w:r w:rsidR="00AB51D9" w:rsidRPr="00364545">
          <w:rPr>
            <w:noProof/>
            <w:webHidden/>
          </w:rPr>
          <w:fldChar w:fldCharType="separate"/>
        </w:r>
        <w:r w:rsidR="009A2FAA">
          <w:rPr>
            <w:noProof/>
            <w:webHidden/>
          </w:rPr>
          <w:t>191</w:t>
        </w:r>
        <w:r w:rsidR="00AB51D9" w:rsidRPr="00364545">
          <w:rPr>
            <w:noProof/>
            <w:webHidden/>
          </w:rPr>
          <w:fldChar w:fldCharType="end"/>
        </w:r>
      </w:hyperlink>
    </w:p>
    <w:p w14:paraId="1E072687" w14:textId="38A98914"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0" w:history="1">
        <w:r w:rsidR="00AB51D9" w:rsidRPr="00364545">
          <w:rPr>
            <w:rStyle w:val="Hyperlink"/>
            <w:noProof/>
          </w:rPr>
          <w:t>Figure 59 : Projection par gaz avec UTCATF en ktCO</w:t>
        </w:r>
        <w:r w:rsidR="00AB51D9" w:rsidRPr="00364545">
          <w:rPr>
            <w:rStyle w:val="Hyperlink"/>
            <w:noProof/>
            <w:vertAlign w:val="subscript"/>
          </w:rPr>
          <w:t>2e</w:t>
        </w:r>
        <w:r w:rsidR="00AB51D9" w:rsidRPr="00364545">
          <w:rPr>
            <w:rStyle w:val="Hyperlink"/>
            <w:noProof/>
          </w:rPr>
          <w:t>, au format Kyoto, scénario AME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_Toc123916470 \h </w:instrText>
        </w:r>
        <w:r w:rsidR="00AB51D9" w:rsidRPr="00364545">
          <w:rPr>
            <w:noProof/>
            <w:webHidden/>
          </w:rPr>
        </w:r>
        <w:r w:rsidR="00AB51D9" w:rsidRPr="00364545">
          <w:rPr>
            <w:noProof/>
            <w:webHidden/>
          </w:rPr>
          <w:fldChar w:fldCharType="separate"/>
        </w:r>
        <w:r w:rsidR="009A2FAA">
          <w:rPr>
            <w:noProof/>
            <w:webHidden/>
          </w:rPr>
          <w:t>192</w:t>
        </w:r>
        <w:r w:rsidR="00AB51D9" w:rsidRPr="00364545">
          <w:rPr>
            <w:noProof/>
            <w:webHidden/>
          </w:rPr>
          <w:fldChar w:fldCharType="end"/>
        </w:r>
      </w:hyperlink>
    </w:p>
    <w:p w14:paraId="135DBF4B" w14:textId="5AFC88D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1" w:history="1">
        <w:r w:rsidR="00AB51D9" w:rsidRPr="00364545">
          <w:rPr>
            <w:rStyle w:val="Hyperlink"/>
            <w:noProof/>
          </w:rPr>
          <w:t>Figure 60 : Projection par gaz en ktCO</w:t>
        </w:r>
        <w:r w:rsidR="00AB51D9" w:rsidRPr="00364545">
          <w:rPr>
            <w:rStyle w:val="Hyperlink"/>
            <w:noProof/>
            <w:vertAlign w:val="subscript"/>
          </w:rPr>
          <w:t>2</w:t>
        </w:r>
        <w:r w:rsidR="00AB51D9" w:rsidRPr="00364545">
          <w:rPr>
            <w:rStyle w:val="Hyperlink"/>
            <w:noProof/>
          </w:rPr>
          <w:t>-eq, hors LULUCF (hors UTCF), au format Kyoto, scénario AME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_Toc123916471 \h </w:instrText>
        </w:r>
        <w:r w:rsidR="00AB51D9" w:rsidRPr="00364545">
          <w:rPr>
            <w:noProof/>
            <w:webHidden/>
          </w:rPr>
        </w:r>
        <w:r w:rsidR="00AB51D9" w:rsidRPr="00364545">
          <w:rPr>
            <w:noProof/>
            <w:webHidden/>
          </w:rPr>
          <w:fldChar w:fldCharType="separate"/>
        </w:r>
        <w:r w:rsidR="009A2FAA">
          <w:rPr>
            <w:noProof/>
            <w:webHidden/>
          </w:rPr>
          <w:t>193</w:t>
        </w:r>
        <w:r w:rsidR="00AB51D9" w:rsidRPr="00364545">
          <w:rPr>
            <w:noProof/>
            <w:webHidden/>
          </w:rPr>
          <w:fldChar w:fldCharType="end"/>
        </w:r>
      </w:hyperlink>
    </w:p>
    <w:p w14:paraId="0E806735" w14:textId="2519E836"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2" w:history="1">
        <w:r w:rsidR="00AB51D9" w:rsidRPr="00364545">
          <w:rPr>
            <w:rStyle w:val="Hyperlink"/>
            <w:noProof/>
          </w:rPr>
          <w:t>Figure 61 : Projection par gaz en ktCO</w:t>
        </w:r>
        <w:r w:rsidR="00AB51D9" w:rsidRPr="00364545">
          <w:rPr>
            <w:rStyle w:val="Hyperlink"/>
            <w:noProof/>
            <w:vertAlign w:val="subscript"/>
          </w:rPr>
          <w:t>2</w:t>
        </w:r>
        <w:r w:rsidR="00AB51D9" w:rsidRPr="00364545">
          <w:rPr>
            <w:rStyle w:val="Hyperlink"/>
            <w:noProof/>
          </w:rPr>
          <w:t>-eq, hors LULUCF (avec UTCF), au format Kyoto, scénario AMS 2018</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_Toc123916472 \h </w:instrText>
        </w:r>
        <w:r w:rsidR="00AB51D9" w:rsidRPr="00364545">
          <w:rPr>
            <w:noProof/>
            <w:webHidden/>
          </w:rPr>
        </w:r>
        <w:r w:rsidR="00AB51D9" w:rsidRPr="00364545">
          <w:rPr>
            <w:noProof/>
            <w:webHidden/>
          </w:rPr>
          <w:fldChar w:fldCharType="separate"/>
        </w:r>
        <w:r w:rsidR="009A2FAA">
          <w:rPr>
            <w:noProof/>
            <w:webHidden/>
          </w:rPr>
          <w:t>194</w:t>
        </w:r>
        <w:r w:rsidR="00AB51D9" w:rsidRPr="00364545">
          <w:rPr>
            <w:noProof/>
            <w:webHidden/>
          </w:rPr>
          <w:fldChar w:fldCharType="end"/>
        </w:r>
      </w:hyperlink>
    </w:p>
    <w:p w14:paraId="6F041040" w14:textId="6DEE261F"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3" w:history="1">
        <w:r w:rsidR="00AB51D9" w:rsidRPr="00364545">
          <w:rPr>
            <w:rStyle w:val="Hyperlink"/>
            <w:noProof/>
          </w:rPr>
          <w:t>Figure 62 : Projection par gaz hors UTCATF en ktCO</w:t>
        </w:r>
        <w:r w:rsidR="00AB51D9" w:rsidRPr="00364545">
          <w:rPr>
            <w:rStyle w:val="Hyperlink"/>
            <w:noProof/>
            <w:vertAlign w:val="subscript"/>
          </w:rPr>
          <w:t>2e</w:t>
        </w:r>
        <w:r w:rsidR="00AB51D9" w:rsidRPr="00364545">
          <w:rPr>
            <w:rStyle w:val="Hyperlink"/>
            <w:noProof/>
          </w:rPr>
          <w:t>, au format Kyoto, scénario AME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_Toc123916473 \h </w:instrText>
        </w:r>
        <w:r w:rsidR="00AB51D9" w:rsidRPr="00364545">
          <w:rPr>
            <w:noProof/>
            <w:webHidden/>
          </w:rPr>
        </w:r>
        <w:r w:rsidR="00AB51D9" w:rsidRPr="00364545">
          <w:rPr>
            <w:noProof/>
            <w:webHidden/>
          </w:rPr>
          <w:fldChar w:fldCharType="separate"/>
        </w:r>
        <w:r w:rsidR="009A2FAA">
          <w:rPr>
            <w:noProof/>
            <w:webHidden/>
          </w:rPr>
          <w:t>195</w:t>
        </w:r>
        <w:r w:rsidR="00AB51D9" w:rsidRPr="00364545">
          <w:rPr>
            <w:noProof/>
            <w:webHidden/>
          </w:rPr>
          <w:fldChar w:fldCharType="end"/>
        </w:r>
      </w:hyperlink>
    </w:p>
    <w:p w14:paraId="09F069B4" w14:textId="6439708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4" w:history="1">
        <w:r w:rsidR="00AB51D9" w:rsidRPr="00364545">
          <w:rPr>
            <w:rStyle w:val="Hyperlink"/>
            <w:noProof/>
          </w:rPr>
          <w:t>Figure 63 : Processus de modélisation de l'AME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_Toc123916474 \h </w:instrText>
        </w:r>
        <w:r w:rsidR="00AB51D9" w:rsidRPr="00364545">
          <w:rPr>
            <w:noProof/>
            <w:webHidden/>
          </w:rPr>
        </w:r>
        <w:r w:rsidR="00AB51D9" w:rsidRPr="00364545">
          <w:rPr>
            <w:noProof/>
            <w:webHidden/>
          </w:rPr>
          <w:fldChar w:fldCharType="separate"/>
        </w:r>
        <w:r w:rsidR="009A2FAA">
          <w:rPr>
            <w:noProof/>
            <w:webHidden/>
          </w:rPr>
          <w:t>203</w:t>
        </w:r>
        <w:r w:rsidR="00AB51D9" w:rsidRPr="00364545">
          <w:rPr>
            <w:noProof/>
            <w:webHidden/>
          </w:rPr>
          <w:fldChar w:fldCharType="end"/>
        </w:r>
      </w:hyperlink>
    </w:p>
    <w:p w14:paraId="6713DB01" w14:textId="0A9F52F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5" w:history="1">
        <w:r w:rsidR="00AB51D9" w:rsidRPr="00364545">
          <w:rPr>
            <w:rStyle w:val="Hyperlink"/>
            <w:noProof/>
          </w:rPr>
          <w:t>Figure 64 : Hypothèse de croissance de la population dans l’AME 2021 et l’AMS 2018</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_Toc123916475 \h </w:instrText>
        </w:r>
        <w:r w:rsidR="00AB51D9" w:rsidRPr="00364545">
          <w:rPr>
            <w:noProof/>
            <w:webHidden/>
          </w:rPr>
        </w:r>
        <w:r w:rsidR="00AB51D9" w:rsidRPr="00364545">
          <w:rPr>
            <w:noProof/>
            <w:webHidden/>
          </w:rPr>
          <w:fldChar w:fldCharType="separate"/>
        </w:r>
        <w:r w:rsidR="009A2FAA">
          <w:rPr>
            <w:noProof/>
            <w:webHidden/>
          </w:rPr>
          <w:t>208</w:t>
        </w:r>
        <w:r w:rsidR="00AB51D9" w:rsidRPr="00364545">
          <w:rPr>
            <w:noProof/>
            <w:webHidden/>
          </w:rPr>
          <w:fldChar w:fldCharType="end"/>
        </w:r>
      </w:hyperlink>
    </w:p>
    <w:p w14:paraId="7FC5B38A" w14:textId="1D3DEE9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6" w:history="1">
        <w:r w:rsidR="00AB51D9" w:rsidRPr="00364545">
          <w:rPr>
            <w:rStyle w:val="Hyperlink"/>
            <w:noProof/>
          </w:rPr>
          <w:t>Figure 65 : Evolution des températures décennales en France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_Toc123916476 \h </w:instrText>
        </w:r>
        <w:r w:rsidR="00AB51D9" w:rsidRPr="00364545">
          <w:rPr>
            <w:noProof/>
            <w:webHidden/>
          </w:rPr>
        </w:r>
        <w:r w:rsidR="00AB51D9" w:rsidRPr="00364545">
          <w:rPr>
            <w:noProof/>
            <w:webHidden/>
          </w:rPr>
          <w:fldChar w:fldCharType="separate"/>
        </w:r>
        <w:r w:rsidR="009A2FAA">
          <w:rPr>
            <w:noProof/>
            <w:webHidden/>
          </w:rPr>
          <w:t>213</w:t>
        </w:r>
        <w:r w:rsidR="00AB51D9" w:rsidRPr="00364545">
          <w:rPr>
            <w:noProof/>
            <w:webHidden/>
          </w:rPr>
          <w:fldChar w:fldCharType="end"/>
        </w:r>
      </w:hyperlink>
    </w:p>
    <w:p w14:paraId="5E85B0D6" w14:textId="6BF63D04"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7" w:history="1">
        <w:r w:rsidR="00AB51D9" w:rsidRPr="00364545">
          <w:rPr>
            <w:rStyle w:val="Hyperlink"/>
            <w:noProof/>
          </w:rPr>
          <w:t>Figure 66 : Evolution du cumul annuel des précipitations sur la période 1961-2012</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_Toc123916477 \h </w:instrText>
        </w:r>
        <w:r w:rsidR="00AB51D9" w:rsidRPr="00364545">
          <w:rPr>
            <w:noProof/>
            <w:webHidden/>
          </w:rPr>
        </w:r>
        <w:r w:rsidR="00AB51D9" w:rsidRPr="00364545">
          <w:rPr>
            <w:noProof/>
            <w:webHidden/>
          </w:rPr>
          <w:fldChar w:fldCharType="separate"/>
        </w:r>
        <w:r w:rsidR="009A2FAA">
          <w:rPr>
            <w:noProof/>
            <w:webHidden/>
          </w:rPr>
          <w:t>214</w:t>
        </w:r>
        <w:r w:rsidR="00AB51D9" w:rsidRPr="00364545">
          <w:rPr>
            <w:noProof/>
            <w:webHidden/>
          </w:rPr>
          <w:fldChar w:fldCharType="end"/>
        </w:r>
      </w:hyperlink>
    </w:p>
    <w:p w14:paraId="49DDFDC0" w14:textId="608FA475"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8" w:history="1">
        <w:r w:rsidR="00AB51D9" w:rsidRPr="00364545">
          <w:rPr>
            <w:rStyle w:val="Hyperlink"/>
            <w:noProof/>
          </w:rPr>
          <w:t>Figure 67 : Perte en eau des glaciers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_Toc123916478 \h </w:instrText>
        </w:r>
        <w:r w:rsidR="00AB51D9" w:rsidRPr="00364545">
          <w:rPr>
            <w:noProof/>
            <w:webHidden/>
          </w:rPr>
        </w:r>
        <w:r w:rsidR="00AB51D9" w:rsidRPr="00364545">
          <w:rPr>
            <w:noProof/>
            <w:webHidden/>
          </w:rPr>
          <w:fldChar w:fldCharType="separate"/>
        </w:r>
        <w:r w:rsidR="009A2FAA">
          <w:rPr>
            <w:noProof/>
            <w:webHidden/>
          </w:rPr>
          <w:t>215</w:t>
        </w:r>
        <w:r w:rsidR="00AB51D9" w:rsidRPr="00364545">
          <w:rPr>
            <w:noProof/>
            <w:webHidden/>
          </w:rPr>
          <w:fldChar w:fldCharType="end"/>
        </w:r>
      </w:hyperlink>
    </w:p>
    <w:p w14:paraId="645C79D4" w14:textId="01A50CD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79" w:history="1">
        <w:r w:rsidR="00AB51D9" w:rsidRPr="00364545">
          <w:rPr>
            <w:rStyle w:val="Hyperlink"/>
            <w:noProof/>
          </w:rPr>
          <w:t>Figure 68 : Impacts potentiels à 2050 et au-delà</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_Toc123916479 \h </w:instrText>
        </w:r>
        <w:r w:rsidR="00AB51D9" w:rsidRPr="00364545">
          <w:rPr>
            <w:noProof/>
            <w:webHidden/>
          </w:rPr>
        </w:r>
        <w:r w:rsidR="00AB51D9" w:rsidRPr="00364545">
          <w:rPr>
            <w:noProof/>
            <w:webHidden/>
          </w:rPr>
          <w:fldChar w:fldCharType="separate"/>
        </w:r>
        <w:r w:rsidR="009A2FAA">
          <w:rPr>
            <w:noProof/>
            <w:webHidden/>
          </w:rPr>
          <w:t>219</w:t>
        </w:r>
        <w:r w:rsidR="00AB51D9" w:rsidRPr="00364545">
          <w:rPr>
            <w:noProof/>
            <w:webHidden/>
          </w:rPr>
          <w:fldChar w:fldCharType="end"/>
        </w:r>
      </w:hyperlink>
    </w:p>
    <w:p w14:paraId="4ABA9401" w14:textId="33E9B8D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0" w:history="1">
        <w:r w:rsidR="00AB51D9" w:rsidRPr="00364545">
          <w:rPr>
            <w:rStyle w:val="Hyperlink"/>
            <w:noProof/>
          </w:rPr>
          <w:t>Figure 69 : Impacts possibles de l’élévation des températures selon différents scenarios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_Toc123916480 \h </w:instrText>
        </w:r>
        <w:r w:rsidR="00AB51D9" w:rsidRPr="00364545">
          <w:rPr>
            <w:noProof/>
            <w:webHidden/>
          </w:rPr>
        </w:r>
        <w:r w:rsidR="00AB51D9" w:rsidRPr="00364545">
          <w:rPr>
            <w:noProof/>
            <w:webHidden/>
          </w:rPr>
          <w:fldChar w:fldCharType="separate"/>
        </w:r>
        <w:r w:rsidR="009A2FAA">
          <w:rPr>
            <w:noProof/>
            <w:webHidden/>
          </w:rPr>
          <w:t>220</w:t>
        </w:r>
        <w:r w:rsidR="00AB51D9" w:rsidRPr="00364545">
          <w:rPr>
            <w:noProof/>
            <w:webHidden/>
          </w:rPr>
          <w:fldChar w:fldCharType="end"/>
        </w:r>
      </w:hyperlink>
    </w:p>
    <w:p w14:paraId="72CCC9F8" w14:textId="2865072B"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1" w:history="1">
        <w:r w:rsidR="00AB51D9" w:rsidRPr="00364545">
          <w:rPr>
            <w:rStyle w:val="Hyperlink"/>
            <w:noProof/>
          </w:rPr>
          <w:t>Figure 70 : Evolution de la distributions de groupes de végétaux à l’horizon 2050 et 2100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_Toc123916481 \h </w:instrText>
        </w:r>
        <w:r w:rsidR="00AB51D9" w:rsidRPr="00364545">
          <w:rPr>
            <w:noProof/>
            <w:webHidden/>
          </w:rPr>
        </w:r>
        <w:r w:rsidR="00AB51D9" w:rsidRPr="00364545">
          <w:rPr>
            <w:noProof/>
            <w:webHidden/>
          </w:rPr>
          <w:fldChar w:fldCharType="separate"/>
        </w:r>
        <w:r w:rsidR="009A2FAA">
          <w:rPr>
            <w:noProof/>
            <w:webHidden/>
          </w:rPr>
          <w:t>221</w:t>
        </w:r>
        <w:r w:rsidR="00AB51D9" w:rsidRPr="00364545">
          <w:rPr>
            <w:noProof/>
            <w:webHidden/>
          </w:rPr>
          <w:fldChar w:fldCharType="end"/>
        </w:r>
      </w:hyperlink>
    </w:p>
    <w:p w14:paraId="356D269B" w14:textId="5454736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2" w:history="1">
        <w:r w:rsidR="00AB51D9" w:rsidRPr="00364545">
          <w:rPr>
            <w:rStyle w:val="Hyperlink"/>
            <w:noProof/>
          </w:rPr>
          <w:t>Figure 71 : Longueur des infrastructures en fonction de leur nature submergées en cas d’élévation de la mer de 1 mètre auquel se superpose un aléa de submersion d’une durée de retour de 100 ans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_Toc123916482 \h </w:instrText>
        </w:r>
        <w:r w:rsidR="00AB51D9" w:rsidRPr="00364545">
          <w:rPr>
            <w:noProof/>
            <w:webHidden/>
          </w:rPr>
        </w:r>
        <w:r w:rsidR="00AB51D9" w:rsidRPr="00364545">
          <w:rPr>
            <w:noProof/>
            <w:webHidden/>
          </w:rPr>
          <w:fldChar w:fldCharType="separate"/>
        </w:r>
        <w:r w:rsidR="009A2FAA">
          <w:rPr>
            <w:noProof/>
            <w:webHidden/>
          </w:rPr>
          <w:t>222</w:t>
        </w:r>
        <w:r w:rsidR="00AB51D9" w:rsidRPr="00364545">
          <w:rPr>
            <w:noProof/>
            <w:webHidden/>
          </w:rPr>
          <w:fldChar w:fldCharType="end"/>
        </w:r>
      </w:hyperlink>
    </w:p>
    <w:p w14:paraId="376ED75C" w14:textId="46DB8AA9"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3" w:history="1">
        <w:r w:rsidR="00AB51D9" w:rsidRPr="00364545">
          <w:rPr>
            <w:rStyle w:val="Hyperlink"/>
            <w:noProof/>
          </w:rPr>
          <w:t>Figure 72 : Exposition des populations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_Toc123916483 \h </w:instrText>
        </w:r>
        <w:r w:rsidR="00AB51D9" w:rsidRPr="00364545">
          <w:rPr>
            <w:noProof/>
            <w:webHidden/>
          </w:rPr>
        </w:r>
        <w:r w:rsidR="00AB51D9" w:rsidRPr="00364545">
          <w:rPr>
            <w:noProof/>
            <w:webHidden/>
          </w:rPr>
          <w:fldChar w:fldCharType="separate"/>
        </w:r>
        <w:r w:rsidR="009A2FAA">
          <w:rPr>
            <w:noProof/>
            <w:webHidden/>
          </w:rPr>
          <w:t>224</w:t>
        </w:r>
        <w:r w:rsidR="00AB51D9" w:rsidRPr="00364545">
          <w:rPr>
            <w:noProof/>
            <w:webHidden/>
          </w:rPr>
          <w:fldChar w:fldCharType="end"/>
        </w:r>
      </w:hyperlink>
    </w:p>
    <w:p w14:paraId="3248B01A" w14:textId="6F634C3C"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4" w:history="1">
        <w:r w:rsidR="00AB51D9" w:rsidRPr="00364545">
          <w:rPr>
            <w:rStyle w:val="Hyperlink"/>
            <w:noProof/>
          </w:rPr>
          <w:t>Figure 73 : Incendies répertoriés en 2022 sur le territoire (MODIS/Sentinel 2)</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_Toc123916484 \h </w:instrText>
        </w:r>
        <w:r w:rsidR="00AB51D9" w:rsidRPr="00364545">
          <w:rPr>
            <w:noProof/>
            <w:webHidden/>
          </w:rPr>
        </w:r>
        <w:r w:rsidR="00AB51D9" w:rsidRPr="00364545">
          <w:rPr>
            <w:noProof/>
            <w:webHidden/>
          </w:rPr>
          <w:fldChar w:fldCharType="separate"/>
        </w:r>
        <w:r w:rsidR="009A2FAA">
          <w:rPr>
            <w:noProof/>
            <w:webHidden/>
          </w:rPr>
          <w:t>229</w:t>
        </w:r>
        <w:r w:rsidR="00AB51D9" w:rsidRPr="00364545">
          <w:rPr>
            <w:noProof/>
            <w:webHidden/>
          </w:rPr>
          <w:fldChar w:fldCharType="end"/>
        </w:r>
      </w:hyperlink>
    </w:p>
    <w:p w14:paraId="29989A75" w14:textId="4F7087A4"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5" w:history="1">
        <w:r w:rsidR="00AB51D9" w:rsidRPr="00364545">
          <w:rPr>
            <w:rStyle w:val="Hyperlink"/>
            <w:noProof/>
          </w:rPr>
          <w:t>Figure 74 : Carte d’avancement des PCAET en aout 2022</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_Toc123916485 \h </w:instrText>
        </w:r>
        <w:r w:rsidR="00AB51D9" w:rsidRPr="00364545">
          <w:rPr>
            <w:noProof/>
            <w:webHidden/>
          </w:rPr>
        </w:r>
        <w:r w:rsidR="00AB51D9" w:rsidRPr="00364545">
          <w:rPr>
            <w:noProof/>
            <w:webHidden/>
          </w:rPr>
          <w:fldChar w:fldCharType="separate"/>
        </w:r>
        <w:r w:rsidR="009A2FAA">
          <w:rPr>
            <w:noProof/>
            <w:webHidden/>
          </w:rPr>
          <w:t>234</w:t>
        </w:r>
        <w:r w:rsidR="00AB51D9" w:rsidRPr="00364545">
          <w:rPr>
            <w:noProof/>
            <w:webHidden/>
          </w:rPr>
          <w:fldChar w:fldCharType="end"/>
        </w:r>
      </w:hyperlink>
    </w:p>
    <w:p w14:paraId="5E6A3924" w14:textId="2B108382"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6" w:history="1">
        <w:r w:rsidR="00AB51D9" w:rsidRPr="00364545">
          <w:rPr>
            <w:rStyle w:val="Hyperlink"/>
            <w:noProof/>
          </w:rPr>
          <w:t>Figure 75 : Articulation entre dispositifs réglementaires, outils de planification et documents d'urbanisme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_Toc123916486 \h </w:instrText>
        </w:r>
        <w:r w:rsidR="00AB51D9" w:rsidRPr="00364545">
          <w:rPr>
            <w:noProof/>
            <w:webHidden/>
          </w:rPr>
        </w:r>
        <w:r w:rsidR="00AB51D9" w:rsidRPr="00364545">
          <w:rPr>
            <w:noProof/>
            <w:webHidden/>
          </w:rPr>
          <w:fldChar w:fldCharType="separate"/>
        </w:r>
        <w:r w:rsidR="009A2FAA">
          <w:rPr>
            <w:noProof/>
            <w:webHidden/>
          </w:rPr>
          <w:t>235</w:t>
        </w:r>
        <w:r w:rsidR="00AB51D9" w:rsidRPr="00364545">
          <w:rPr>
            <w:noProof/>
            <w:webHidden/>
          </w:rPr>
          <w:fldChar w:fldCharType="end"/>
        </w:r>
      </w:hyperlink>
    </w:p>
    <w:p w14:paraId="2C1F1496" w14:textId="3391DF67"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7" w:history="1">
        <w:r w:rsidR="00AB51D9" w:rsidRPr="00364545">
          <w:rPr>
            <w:rStyle w:val="Hyperlink"/>
            <w:noProof/>
          </w:rPr>
          <w:t>Figure 76 : Schéma simplifié de l’articulation des politiques d’atténuation et d’adaptation à plusieurs échelles de l’international à l’intercommunal</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_Toc123916487 \h </w:instrText>
        </w:r>
        <w:r w:rsidR="00AB51D9" w:rsidRPr="00364545">
          <w:rPr>
            <w:noProof/>
            <w:webHidden/>
          </w:rPr>
        </w:r>
        <w:r w:rsidR="00AB51D9" w:rsidRPr="00364545">
          <w:rPr>
            <w:noProof/>
            <w:webHidden/>
          </w:rPr>
          <w:fldChar w:fldCharType="separate"/>
        </w:r>
        <w:r w:rsidR="009A2FAA">
          <w:rPr>
            <w:noProof/>
            <w:webHidden/>
          </w:rPr>
          <w:t>237</w:t>
        </w:r>
        <w:r w:rsidR="00AB51D9" w:rsidRPr="00364545">
          <w:rPr>
            <w:noProof/>
            <w:webHidden/>
          </w:rPr>
          <w:fldChar w:fldCharType="end"/>
        </w:r>
      </w:hyperlink>
    </w:p>
    <w:p w14:paraId="3F6597A8" w14:textId="7E344FB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8" w:history="1">
        <w:r w:rsidR="00AB51D9" w:rsidRPr="00364545">
          <w:rPr>
            <w:rStyle w:val="Hyperlink"/>
            <w:noProof/>
          </w:rPr>
          <w:t>Figure 77 : Besoins financiers pour les mesures d’adaptations aux effets du changement climatique en France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_Toc123916488 \h </w:instrText>
        </w:r>
        <w:r w:rsidR="00AB51D9" w:rsidRPr="00364545">
          <w:rPr>
            <w:noProof/>
            <w:webHidden/>
          </w:rPr>
        </w:r>
        <w:r w:rsidR="00AB51D9" w:rsidRPr="00364545">
          <w:rPr>
            <w:noProof/>
            <w:webHidden/>
          </w:rPr>
          <w:fldChar w:fldCharType="separate"/>
        </w:r>
        <w:r w:rsidR="009A2FAA">
          <w:rPr>
            <w:noProof/>
            <w:webHidden/>
          </w:rPr>
          <w:t>247</w:t>
        </w:r>
        <w:r w:rsidR="00AB51D9" w:rsidRPr="00364545">
          <w:rPr>
            <w:noProof/>
            <w:webHidden/>
          </w:rPr>
          <w:fldChar w:fldCharType="end"/>
        </w:r>
      </w:hyperlink>
    </w:p>
    <w:p w14:paraId="3777E7B7" w14:textId="37E28BB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89" w:history="1">
        <w:r w:rsidR="00AB51D9" w:rsidRPr="00364545">
          <w:rPr>
            <w:rStyle w:val="Hyperlink"/>
            <w:noProof/>
          </w:rPr>
          <w:t>Figure 78 : Extrait de la page d’accueil du Centre de ressources pour l’adaptation au changement climatique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_Toc123916489 \h </w:instrText>
        </w:r>
        <w:r w:rsidR="00AB51D9" w:rsidRPr="00364545">
          <w:rPr>
            <w:noProof/>
            <w:webHidden/>
          </w:rPr>
        </w:r>
        <w:r w:rsidR="00AB51D9" w:rsidRPr="00364545">
          <w:rPr>
            <w:noProof/>
            <w:webHidden/>
          </w:rPr>
          <w:fldChar w:fldCharType="separate"/>
        </w:r>
        <w:r w:rsidR="009A2FAA">
          <w:rPr>
            <w:noProof/>
            <w:webHidden/>
          </w:rPr>
          <w:t>248</w:t>
        </w:r>
        <w:r w:rsidR="00AB51D9" w:rsidRPr="00364545">
          <w:rPr>
            <w:noProof/>
            <w:webHidden/>
          </w:rPr>
          <w:fldChar w:fldCharType="end"/>
        </w:r>
      </w:hyperlink>
    </w:p>
    <w:p w14:paraId="0E012F99" w14:textId="09162DAB"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90" w:history="1">
        <w:r w:rsidR="00AB51D9" w:rsidRPr="00364545">
          <w:rPr>
            <w:rStyle w:val="Hyperlink"/>
            <w:noProof/>
          </w:rPr>
          <w:t>Figure 79 : Axes prioritaires pour l’adaptation des infrastructures de réseaux au changement climatique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_Toc123916490 \h </w:instrText>
        </w:r>
        <w:r w:rsidR="00AB51D9" w:rsidRPr="00364545">
          <w:rPr>
            <w:noProof/>
            <w:webHidden/>
          </w:rPr>
        </w:r>
        <w:r w:rsidR="00AB51D9" w:rsidRPr="00364545">
          <w:rPr>
            <w:noProof/>
            <w:webHidden/>
          </w:rPr>
          <w:fldChar w:fldCharType="separate"/>
        </w:r>
        <w:r w:rsidR="009A2FAA">
          <w:rPr>
            <w:noProof/>
            <w:webHidden/>
          </w:rPr>
          <w:t>249</w:t>
        </w:r>
        <w:r w:rsidR="00AB51D9" w:rsidRPr="00364545">
          <w:rPr>
            <w:noProof/>
            <w:webHidden/>
          </w:rPr>
          <w:fldChar w:fldCharType="end"/>
        </w:r>
      </w:hyperlink>
    </w:p>
    <w:p w14:paraId="5E8BCB6F" w14:textId="32E2B23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91" w:history="1">
        <w:r w:rsidR="00AB51D9" w:rsidRPr="00364545">
          <w:rPr>
            <w:rStyle w:val="Hyperlink"/>
            <w:noProof/>
          </w:rPr>
          <w:t>Figure 80 : Evolution des financements climats totaux (figure de gauche) dont les financements adaptation (droite) du groupe AFD</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_Toc123916491 \h </w:instrText>
        </w:r>
        <w:r w:rsidR="00AB51D9" w:rsidRPr="00364545">
          <w:rPr>
            <w:noProof/>
            <w:webHidden/>
          </w:rPr>
        </w:r>
        <w:r w:rsidR="00AB51D9" w:rsidRPr="00364545">
          <w:rPr>
            <w:noProof/>
            <w:webHidden/>
          </w:rPr>
          <w:fldChar w:fldCharType="separate"/>
        </w:r>
        <w:r w:rsidR="009A2FAA">
          <w:rPr>
            <w:noProof/>
            <w:webHidden/>
          </w:rPr>
          <w:t>252</w:t>
        </w:r>
        <w:r w:rsidR="00AB51D9" w:rsidRPr="00364545">
          <w:rPr>
            <w:noProof/>
            <w:webHidden/>
          </w:rPr>
          <w:fldChar w:fldCharType="end"/>
        </w:r>
      </w:hyperlink>
    </w:p>
    <w:p w14:paraId="34084CC6" w14:textId="3DDBD18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92" w:history="1">
        <w:r w:rsidR="00AB51D9" w:rsidRPr="00364545">
          <w:rPr>
            <w:rStyle w:val="Hyperlink"/>
            <w:noProof/>
          </w:rPr>
          <w:t>Figure 81 : Évolution des préoccupations environnementales des Français (En%)</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_Toc123916492 \h </w:instrText>
        </w:r>
        <w:r w:rsidR="00AB51D9" w:rsidRPr="00364545">
          <w:rPr>
            <w:noProof/>
            <w:webHidden/>
          </w:rPr>
        </w:r>
        <w:r w:rsidR="00AB51D9" w:rsidRPr="00364545">
          <w:rPr>
            <w:noProof/>
            <w:webHidden/>
          </w:rPr>
          <w:fldChar w:fldCharType="separate"/>
        </w:r>
        <w:r w:rsidR="009A2FAA">
          <w:rPr>
            <w:noProof/>
            <w:webHidden/>
          </w:rPr>
          <w:t>288</w:t>
        </w:r>
        <w:r w:rsidR="00AB51D9" w:rsidRPr="00364545">
          <w:rPr>
            <w:noProof/>
            <w:webHidden/>
          </w:rPr>
          <w:fldChar w:fldCharType="end"/>
        </w:r>
      </w:hyperlink>
    </w:p>
    <w:p w14:paraId="7FCA41E3" w14:textId="494FA5D7" w:rsidR="00D172CE" w:rsidRPr="00364545" w:rsidRDefault="00165BDF" w:rsidP="00CB4956">
      <w:r w:rsidRPr="00364545">
        <w:fldChar w:fldCharType="end"/>
      </w:r>
    </w:p>
    <w:p w14:paraId="1807EBC1" w14:textId="71A10A37" w:rsidR="00D172CE" w:rsidRPr="00364545" w:rsidRDefault="00D172CE" w:rsidP="00D172CE">
      <w:pPr>
        <w:pStyle w:val="TOCHeading"/>
      </w:pPr>
      <w:r w:rsidRPr="00364545">
        <w:t>List of tables</w:t>
      </w:r>
    </w:p>
    <w:p w14:paraId="55A9C753" w14:textId="77777777" w:rsidR="008E4505" w:rsidRPr="00364545" w:rsidRDefault="008E4505">
      <w:pPr>
        <w:pStyle w:val="TableofFigures"/>
        <w:tabs>
          <w:tab w:val="right" w:leader="dot" w:pos="9940"/>
        </w:tabs>
      </w:pPr>
    </w:p>
    <w:p w14:paraId="5A5901CA" w14:textId="35030BCE" w:rsidR="00AB51D9" w:rsidRPr="00364545" w:rsidRDefault="00D172CE">
      <w:pPr>
        <w:pStyle w:val="TableofFigures"/>
        <w:tabs>
          <w:tab w:val="right" w:leader="dot" w:pos="9940"/>
        </w:tabs>
        <w:rPr>
          <w:rFonts w:asciiTheme="minorHAnsi" w:eastAsiaTheme="minorEastAsia" w:hAnsiTheme="minorHAnsi" w:cstheme="minorBidi"/>
          <w:noProof/>
          <w:szCs w:val="22"/>
        </w:rPr>
      </w:pPr>
      <w:r w:rsidRPr="00364545">
        <w:fldChar w:fldCharType="begin"/>
      </w:r>
      <w:r w:rsidRPr="00364545">
        <w:instrText xml:space="preserve"> TOC \h \z \c "Tableau" </w:instrText>
      </w:r>
      <w:r w:rsidRPr="00364545">
        <w:fldChar w:fldCharType="separate"/>
      </w:r>
      <w:hyperlink w:anchor="_Toc123916493" w:history="1">
        <w:r w:rsidR="00AB51D9" w:rsidRPr="00364545">
          <w:rPr>
            <w:rStyle w:val="Hyperlink"/>
            <w:noProof/>
          </w:rPr>
          <w:t>Tableau 1 : Transport intérieur terrestre de marchandises par mode en 1990, 2000, et de 2018 à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_Toc123916493 \h </w:instrText>
        </w:r>
        <w:r w:rsidR="00AB51D9" w:rsidRPr="00364545">
          <w:rPr>
            <w:noProof/>
            <w:webHidden/>
          </w:rPr>
        </w:r>
        <w:r w:rsidR="00AB51D9" w:rsidRPr="00364545">
          <w:rPr>
            <w:noProof/>
            <w:webHidden/>
          </w:rPr>
          <w:fldChar w:fldCharType="separate"/>
        </w:r>
        <w:r w:rsidR="009A2FAA">
          <w:rPr>
            <w:noProof/>
            <w:webHidden/>
          </w:rPr>
          <w:t>46</w:t>
        </w:r>
        <w:r w:rsidR="00AB51D9" w:rsidRPr="00364545">
          <w:rPr>
            <w:noProof/>
            <w:webHidden/>
          </w:rPr>
          <w:fldChar w:fldCharType="end"/>
        </w:r>
      </w:hyperlink>
    </w:p>
    <w:p w14:paraId="23A697B9" w14:textId="50E8A1CC"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94" w:history="1">
        <w:r w:rsidR="00AB51D9" w:rsidRPr="00364545">
          <w:rPr>
            <w:rStyle w:val="Hyperlink"/>
            <w:noProof/>
          </w:rPr>
          <w:t>Tableau 2 : Répartition du parc de logement selon la catégorie en France (hors Mayotte)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_Toc123916494 \h </w:instrText>
        </w:r>
        <w:r w:rsidR="00AB51D9" w:rsidRPr="00364545">
          <w:rPr>
            <w:noProof/>
            <w:webHidden/>
          </w:rPr>
        </w:r>
        <w:r w:rsidR="00AB51D9" w:rsidRPr="00364545">
          <w:rPr>
            <w:noProof/>
            <w:webHidden/>
          </w:rPr>
          <w:fldChar w:fldCharType="separate"/>
        </w:r>
        <w:r w:rsidR="009A2FAA">
          <w:rPr>
            <w:noProof/>
            <w:webHidden/>
          </w:rPr>
          <w:t>51</w:t>
        </w:r>
        <w:r w:rsidR="00AB51D9" w:rsidRPr="00364545">
          <w:rPr>
            <w:noProof/>
            <w:webHidden/>
          </w:rPr>
          <w:fldChar w:fldCharType="end"/>
        </w:r>
      </w:hyperlink>
    </w:p>
    <w:p w14:paraId="491758EB" w14:textId="0793DF49"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95" w:history="1">
        <w:r w:rsidR="00AB51D9" w:rsidRPr="00364545">
          <w:rPr>
            <w:rStyle w:val="Hyperlink"/>
            <w:noProof/>
          </w:rPr>
          <w:t>Tableau 3 : Répartition de l'habitat individuel et collectif selon la taille de l’unité urbaine au 1</w:t>
        </w:r>
        <w:r w:rsidR="00AB51D9" w:rsidRPr="00364545">
          <w:rPr>
            <w:rStyle w:val="Hyperlink"/>
            <w:noProof/>
            <w:vertAlign w:val="superscript"/>
          </w:rPr>
          <w:t>er</w:t>
        </w:r>
        <w:r w:rsidR="00AB51D9" w:rsidRPr="00364545">
          <w:rPr>
            <w:rStyle w:val="Hyperlink"/>
            <w:noProof/>
          </w:rPr>
          <w:t xml:space="preserve"> janvier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_Toc123916495 \h </w:instrText>
        </w:r>
        <w:r w:rsidR="00AB51D9" w:rsidRPr="00364545">
          <w:rPr>
            <w:noProof/>
            <w:webHidden/>
          </w:rPr>
        </w:r>
        <w:r w:rsidR="00AB51D9" w:rsidRPr="00364545">
          <w:rPr>
            <w:noProof/>
            <w:webHidden/>
          </w:rPr>
          <w:fldChar w:fldCharType="separate"/>
        </w:r>
        <w:r w:rsidR="009A2FAA">
          <w:rPr>
            <w:noProof/>
            <w:webHidden/>
          </w:rPr>
          <w:t>53</w:t>
        </w:r>
        <w:r w:rsidR="00AB51D9" w:rsidRPr="00364545">
          <w:rPr>
            <w:noProof/>
            <w:webHidden/>
          </w:rPr>
          <w:fldChar w:fldCharType="end"/>
        </w:r>
      </w:hyperlink>
    </w:p>
    <w:p w14:paraId="1FBAF881" w14:textId="4EE9B4A2"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96" w:history="1">
        <w:r w:rsidR="00AB51D9" w:rsidRPr="00364545">
          <w:rPr>
            <w:rStyle w:val="Hyperlink"/>
            <w:noProof/>
          </w:rPr>
          <w:t>Tableau 4 : Consommation finale brute d’énergie renouvelable par filières en 2005, 2010 et en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_Toc123916496 \h </w:instrText>
        </w:r>
        <w:r w:rsidR="00AB51D9" w:rsidRPr="00364545">
          <w:rPr>
            <w:noProof/>
            <w:webHidden/>
          </w:rPr>
        </w:r>
        <w:r w:rsidR="00AB51D9" w:rsidRPr="00364545">
          <w:rPr>
            <w:noProof/>
            <w:webHidden/>
          </w:rPr>
          <w:fldChar w:fldCharType="separate"/>
        </w:r>
        <w:r w:rsidR="009A2FAA">
          <w:rPr>
            <w:noProof/>
            <w:webHidden/>
          </w:rPr>
          <w:t>57</w:t>
        </w:r>
        <w:r w:rsidR="00AB51D9" w:rsidRPr="00364545">
          <w:rPr>
            <w:noProof/>
            <w:webHidden/>
          </w:rPr>
          <w:fldChar w:fldCharType="end"/>
        </w:r>
      </w:hyperlink>
    </w:p>
    <w:p w14:paraId="62DC2B20" w14:textId="76C37EC5"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97" w:history="1">
        <w:r w:rsidR="00AB51D9" w:rsidRPr="00364545">
          <w:rPr>
            <w:rStyle w:val="Hyperlink"/>
            <w:noProof/>
          </w:rPr>
          <w:t>Tableau 5 : Indicateurs macroéconomiques de l'industrie manufacturière en</w:t>
        </w:r>
        <w:r w:rsidR="00AB51D9" w:rsidRPr="00364545">
          <w:rPr>
            <w:rStyle w:val="Hyperlink"/>
            <w:rFonts w:ascii="Calibri" w:hAnsi="Calibri" w:cs="Calibri"/>
            <w:noProof/>
          </w:rPr>
          <w:t> </w:t>
        </w:r>
        <w:r w:rsidR="00AB51D9" w:rsidRPr="00364545">
          <w:rPr>
            <w:rStyle w:val="Hyperlink"/>
            <w:noProof/>
          </w:rPr>
          <w:t>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_Toc123916497 \h </w:instrText>
        </w:r>
        <w:r w:rsidR="00AB51D9" w:rsidRPr="00364545">
          <w:rPr>
            <w:noProof/>
            <w:webHidden/>
          </w:rPr>
        </w:r>
        <w:r w:rsidR="00AB51D9" w:rsidRPr="00364545">
          <w:rPr>
            <w:noProof/>
            <w:webHidden/>
          </w:rPr>
          <w:fldChar w:fldCharType="separate"/>
        </w:r>
        <w:r w:rsidR="009A2FAA">
          <w:rPr>
            <w:noProof/>
            <w:webHidden/>
          </w:rPr>
          <w:t>59</w:t>
        </w:r>
        <w:r w:rsidR="00AB51D9" w:rsidRPr="00364545">
          <w:rPr>
            <w:noProof/>
            <w:webHidden/>
          </w:rPr>
          <w:fldChar w:fldCharType="end"/>
        </w:r>
      </w:hyperlink>
    </w:p>
    <w:p w14:paraId="336F68A8" w14:textId="44E33630"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98" w:history="1">
        <w:r w:rsidR="00AB51D9" w:rsidRPr="00364545">
          <w:rPr>
            <w:rStyle w:val="Hyperlink"/>
            <w:noProof/>
          </w:rPr>
          <w:t>Tableau 6 : Émissions hors UTCATF en millions de tonnes équivalent CO</w:t>
        </w:r>
        <w:r w:rsidR="00AB51D9" w:rsidRPr="00364545">
          <w:rPr>
            <w:rStyle w:val="Hyperlink"/>
            <w:noProof/>
            <w:vertAlign w:val="subscript"/>
          </w:rPr>
          <w:t>2</w:t>
        </w:r>
        <w:r w:rsidR="00AB51D9" w:rsidRPr="00364545">
          <w:rPr>
            <w:rStyle w:val="Hyperlink"/>
            <w:noProof/>
          </w:rPr>
          <w:t xml:space="preserve"> pour l’année 1990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_Toc123916498 \h </w:instrText>
        </w:r>
        <w:r w:rsidR="00AB51D9" w:rsidRPr="00364545">
          <w:rPr>
            <w:noProof/>
            <w:webHidden/>
          </w:rPr>
        </w:r>
        <w:r w:rsidR="00AB51D9" w:rsidRPr="00364545">
          <w:rPr>
            <w:noProof/>
            <w:webHidden/>
          </w:rPr>
          <w:fldChar w:fldCharType="separate"/>
        </w:r>
        <w:r w:rsidR="009A2FAA">
          <w:rPr>
            <w:noProof/>
            <w:webHidden/>
          </w:rPr>
          <w:t>70</w:t>
        </w:r>
        <w:r w:rsidR="00AB51D9" w:rsidRPr="00364545">
          <w:rPr>
            <w:noProof/>
            <w:webHidden/>
          </w:rPr>
          <w:fldChar w:fldCharType="end"/>
        </w:r>
      </w:hyperlink>
    </w:p>
    <w:p w14:paraId="540EBC70" w14:textId="5BA2BB8F"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499" w:history="1">
        <w:r w:rsidR="00AB51D9" w:rsidRPr="00364545">
          <w:rPr>
            <w:rStyle w:val="Hyperlink"/>
            <w:noProof/>
          </w:rPr>
          <w:t>Tableau 7 : Emissions hors UTCATF en millions de tonnes équivalent CO</w:t>
        </w:r>
        <w:r w:rsidR="00AB51D9" w:rsidRPr="00364545">
          <w:rPr>
            <w:rStyle w:val="Hyperlink"/>
            <w:noProof/>
            <w:vertAlign w:val="subscript"/>
          </w:rPr>
          <w:t>2</w:t>
        </w:r>
        <w:r w:rsidR="00AB51D9" w:rsidRPr="00364545">
          <w:rPr>
            <w:rStyle w:val="Hyperlink"/>
            <w:noProof/>
          </w:rPr>
          <w:t xml:space="preserve"> pour l’année 2020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_Toc123916499 \h </w:instrText>
        </w:r>
        <w:r w:rsidR="00AB51D9" w:rsidRPr="00364545">
          <w:rPr>
            <w:noProof/>
            <w:webHidden/>
          </w:rPr>
        </w:r>
        <w:r w:rsidR="00AB51D9" w:rsidRPr="00364545">
          <w:rPr>
            <w:noProof/>
            <w:webHidden/>
          </w:rPr>
          <w:fldChar w:fldCharType="separate"/>
        </w:r>
        <w:r w:rsidR="009A2FAA">
          <w:rPr>
            <w:noProof/>
            <w:webHidden/>
          </w:rPr>
          <w:t>72</w:t>
        </w:r>
        <w:r w:rsidR="00AB51D9" w:rsidRPr="00364545">
          <w:rPr>
            <w:noProof/>
            <w:webHidden/>
          </w:rPr>
          <w:fldChar w:fldCharType="end"/>
        </w:r>
      </w:hyperlink>
    </w:p>
    <w:p w14:paraId="545FF27F" w14:textId="0D023AE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0" w:history="1">
        <w:r w:rsidR="00AB51D9" w:rsidRPr="00364545">
          <w:rPr>
            <w:rStyle w:val="Hyperlink"/>
            <w:noProof/>
          </w:rPr>
          <w:t>Tableau 8 : Liste des statistiques et données utilisées pour la réalisation des inventaires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_Toc123916500 \h </w:instrText>
        </w:r>
        <w:r w:rsidR="00AB51D9" w:rsidRPr="00364545">
          <w:rPr>
            <w:noProof/>
            <w:webHidden/>
          </w:rPr>
        </w:r>
        <w:r w:rsidR="00AB51D9" w:rsidRPr="00364545">
          <w:rPr>
            <w:noProof/>
            <w:webHidden/>
          </w:rPr>
          <w:fldChar w:fldCharType="separate"/>
        </w:r>
        <w:r w:rsidR="009A2FAA">
          <w:rPr>
            <w:noProof/>
            <w:webHidden/>
          </w:rPr>
          <w:t>87</w:t>
        </w:r>
        <w:r w:rsidR="00AB51D9" w:rsidRPr="00364545">
          <w:rPr>
            <w:noProof/>
            <w:webHidden/>
          </w:rPr>
          <w:fldChar w:fldCharType="end"/>
        </w:r>
      </w:hyperlink>
    </w:p>
    <w:p w14:paraId="7FE6DBDB" w14:textId="299ACDF2"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1" w:history="1">
        <w:r w:rsidR="00AB51D9" w:rsidRPr="00364545">
          <w:rPr>
            <w:rStyle w:val="Hyperlink"/>
            <w:noProof/>
          </w:rPr>
          <w:t>Tableau 9 : 2</w:t>
        </w:r>
        <w:r w:rsidR="00AB51D9" w:rsidRPr="00364545">
          <w:rPr>
            <w:rStyle w:val="Hyperlink"/>
            <w:noProof/>
            <w:vertAlign w:val="superscript"/>
          </w:rPr>
          <w:t>e</w:t>
        </w:r>
        <w:r w:rsidR="00AB51D9" w:rsidRPr="00364545">
          <w:rPr>
            <w:rStyle w:val="Hyperlink"/>
            <w:noProof/>
          </w:rPr>
          <w:t xml:space="preserve"> (2019-2023), 3</w:t>
        </w:r>
        <w:r w:rsidR="00AB51D9" w:rsidRPr="00364545">
          <w:rPr>
            <w:rStyle w:val="Hyperlink"/>
            <w:noProof/>
            <w:vertAlign w:val="superscript"/>
          </w:rPr>
          <w:t>e</w:t>
        </w:r>
        <w:r w:rsidR="00AB51D9" w:rsidRPr="00364545">
          <w:rPr>
            <w:rStyle w:val="Hyperlink"/>
            <w:noProof/>
          </w:rPr>
          <w:t xml:space="preserve"> (2024-2028) et 4</w:t>
        </w:r>
        <w:r w:rsidR="00AB51D9" w:rsidRPr="00364545">
          <w:rPr>
            <w:rStyle w:val="Hyperlink"/>
            <w:noProof/>
            <w:vertAlign w:val="superscript"/>
          </w:rPr>
          <w:t>e</w:t>
        </w:r>
        <w:r w:rsidR="00AB51D9" w:rsidRPr="00364545">
          <w:rPr>
            <w:rStyle w:val="Hyperlink"/>
            <w:noProof/>
          </w:rPr>
          <w:t xml:space="preserve"> (2029-2033) budgets carbone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_Toc123916501 \h </w:instrText>
        </w:r>
        <w:r w:rsidR="00AB51D9" w:rsidRPr="00364545">
          <w:rPr>
            <w:noProof/>
            <w:webHidden/>
          </w:rPr>
        </w:r>
        <w:r w:rsidR="00AB51D9" w:rsidRPr="00364545">
          <w:rPr>
            <w:noProof/>
            <w:webHidden/>
          </w:rPr>
          <w:fldChar w:fldCharType="separate"/>
        </w:r>
        <w:r w:rsidR="009A2FAA">
          <w:rPr>
            <w:noProof/>
            <w:webHidden/>
          </w:rPr>
          <w:t>102</w:t>
        </w:r>
        <w:r w:rsidR="00AB51D9" w:rsidRPr="00364545">
          <w:rPr>
            <w:noProof/>
            <w:webHidden/>
          </w:rPr>
          <w:fldChar w:fldCharType="end"/>
        </w:r>
      </w:hyperlink>
    </w:p>
    <w:p w14:paraId="568D6C13" w14:textId="32DB7377"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2" w:history="1">
        <w:r w:rsidR="00AB51D9" w:rsidRPr="00364545">
          <w:rPr>
            <w:rStyle w:val="Hyperlink"/>
            <w:noProof/>
          </w:rPr>
          <w:t>Tableau 10 : Projections d’émissions de GES (en ktCO</w:t>
        </w:r>
        <w:r w:rsidR="00AB51D9" w:rsidRPr="00364545">
          <w:rPr>
            <w:rStyle w:val="Hyperlink"/>
            <w:noProof/>
            <w:vertAlign w:val="subscript"/>
          </w:rPr>
          <w:t>2e</w:t>
        </w:r>
        <w:r w:rsidR="00AB51D9" w:rsidRPr="00364545">
          <w:rPr>
            <w:rStyle w:val="Hyperlink"/>
            <w:noProof/>
          </w:rPr>
          <w:t>) au périmètre Kyoto dans le scénario AME21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_Toc123916502 \h </w:instrText>
        </w:r>
        <w:r w:rsidR="00AB51D9" w:rsidRPr="00364545">
          <w:rPr>
            <w:noProof/>
            <w:webHidden/>
          </w:rPr>
        </w:r>
        <w:r w:rsidR="00AB51D9" w:rsidRPr="00364545">
          <w:rPr>
            <w:noProof/>
            <w:webHidden/>
          </w:rPr>
          <w:fldChar w:fldCharType="separate"/>
        </w:r>
        <w:r w:rsidR="009A2FAA">
          <w:rPr>
            <w:noProof/>
            <w:webHidden/>
          </w:rPr>
          <w:t>166</w:t>
        </w:r>
        <w:r w:rsidR="00AB51D9" w:rsidRPr="00364545">
          <w:rPr>
            <w:noProof/>
            <w:webHidden/>
          </w:rPr>
          <w:fldChar w:fldCharType="end"/>
        </w:r>
      </w:hyperlink>
    </w:p>
    <w:p w14:paraId="0A77F723" w14:textId="27E958B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3" w:history="1">
        <w:r w:rsidR="00AB51D9" w:rsidRPr="00364545">
          <w:rPr>
            <w:rStyle w:val="Hyperlink"/>
            <w:noProof/>
          </w:rPr>
          <w:t>Tableau 11 : Impact des différents facteurs sur le niveau d’émissions en 2030 et 2050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_Toc123916503 \h </w:instrText>
        </w:r>
        <w:r w:rsidR="00AB51D9" w:rsidRPr="00364545">
          <w:rPr>
            <w:noProof/>
            <w:webHidden/>
          </w:rPr>
        </w:r>
        <w:r w:rsidR="00AB51D9" w:rsidRPr="00364545">
          <w:rPr>
            <w:noProof/>
            <w:webHidden/>
          </w:rPr>
          <w:fldChar w:fldCharType="separate"/>
        </w:r>
        <w:r w:rsidR="009A2FAA">
          <w:rPr>
            <w:noProof/>
            <w:webHidden/>
          </w:rPr>
          <w:t>168</w:t>
        </w:r>
        <w:r w:rsidR="00AB51D9" w:rsidRPr="00364545">
          <w:rPr>
            <w:noProof/>
            <w:webHidden/>
          </w:rPr>
          <w:fldChar w:fldCharType="end"/>
        </w:r>
      </w:hyperlink>
    </w:p>
    <w:p w14:paraId="3750B236" w14:textId="3DFC94E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4" w:history="1">
        <w:r w:rsidR="00AB51D9" w:rsidRPr="00364545">
          <w:rPr>
            <w:rStyle w:val="Hyperlink"/>
            <w:noProof/>
          </w:rPr>
          <w:t>Tableau 12 : Projections d’émissions de GES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_Toc123916504 \h </w:instrText>
        </w:r>
        <w:r w:rsidR="00AB51D9" w:rsidRPr="00364545">
          <w:rPr>
            <w:noProof/>
            <w:webHidden/>
          </w:rPr>
        </w:r>
        <w:r w:rsidR="00AB51D9" w:rsidRPr="00364545">
          <w:rPr>
            <w:noProof/>
            <w:webHidden/>
          </w:rPr>
          <w:fldChar w:fldCharType="separate"/>
        </w:r>
        <w:r w:rsidR="009A2FAA">
          <w:rPr>
            <w:noProof/>
            <w:webHidden/>
          </w:rPr>
          <w:t>169</w:t>
        </w:r>
        <w:r w:rsidR="00AB51D9" w:rsidRPr="00364545">
          <w:rPr>
            <w:noProof/>
            <w:webHidden/>
          </w:rPr>
          <w:fldChar w:fldCharType="end"/>
        </w:r>
      </w:hyperlink>
    </w:p>
    <w:p w14:paraId="2DD199CF" w14:textId="1DE965D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5" w:history="1">
        <w:r w:rsidR="00AB51D9" w:rsidRPr="00364545">
          <w:rPr>
            <w:rStyle w:val="Hyperlink"/>
            <w:noProof/>
          </w:rPr>
          <w:t>Tableau 13 : Projections d’émissions de GES par secteur d’activité (en ktCO</w:t>
        </w:r>
        <w:r w:rsidR="00AB51D9" w:rsidRPr="00364545">
          <w:rPr>
            <w:rStyle w:val="Hyperlink"/>
            <w:noProof/>
            <w:vertAlign w:val="subscript"/>
          </w:rPr>
          <w:t>2e</w:t>
        </w:r>
        <w:r w:rsidR="00AB51D9" w:rsidRPr="00364545">
          <w:rPr>
            <w:rStyle w:val="Hyperlink"/>
            <w:noProof/>
          </w:rPr>
          <w:t>) au périmètre Kyoto dans le scénario AME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_Toc123916505 \h </w:instrText>
        </w:r>
        <w:r w:rsidR="00AB51D9" w:rsidRPr="00364545">
          <w:rPr>
            <w:noProof/>
            <w:webHidden/>
          </w:rPr>
        </w:r>
        <w:r w:rsidR="00AB51D9" w:rsidRPr="00364545">
          <w:rPr>
            <w:noProof/>
            <w:webHidden/>
          </w:rPr>
          <w:fldChar w:fldCharType="separate"/>
        </w:r>
        <w:r w:rsidR="009A2FAA">
          <w:rPr>
            <w:noProof/>
            <w:webHidden/>
          </w:rPr>
          <w:t>186</w:t>
        </w:r>
        <w:r w:rsidR="00AB51D9" w:rsidRPr="00364545">
          <w:rPr>
            <w:noProof/>
            <w:webHidden/>
          </w:rPr>
          <w:fldChar w:fldCharType="end"/>
        </w:r>
      </w:hyperlink>
    </w:p>
    <w:p w14:paraId="5D066C05" w14:textId="1DF5CA7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6" w:history="1">
        <w:r w:rsidR="00AB51D9" w:rsidRPr="00364545">
          <w:rPr>
            <w:rStyle w:val="Hyperlink"/>
            <w:noProof/>
          </w:rPr>
          <w:t>Tableau 14 : Projections d’émissions de GES par secteur d’activité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_Toc123916506 \h </w:instrText>
        </w:r>
        <w:r w:rsidR="00AB51D9" w:rsidRPr="00364545">
          <w:rPr>
            <w:noProof/>
            <w:webHidden/>
          </w:rPr>
        </w:r>
        <w:r w:rsidR="00AB51D9" w:rsidRPr="00364545">
          <w:rPr>
            <w:noProof/>
            <w:webHidden/>
          </w:rPr>
          <w:fldChar w:fldCharType="separate"/>
        </w:r>
        <w:r w:rsidR="009A2FAA">
          <w:rPr>
            <w:noProof/>
            <w:webHidden/>
          </w:rPr>
          <w:t>188</w:t>
        </w:r>
        <w:r w:rsidR="00AB51D9" w:rsidRPr="00364545">
          <w:rPr>
            <w:noProof/>
            <w:webHidden/>
          </w:rPr>
          <w:fldChar w:fldCharType="end"/>
        </w:r>
      </w:hyperlink>
    </w:p>
    <w:p w14:paraId="5A6AE324" w14:textId="796528B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7" w:history="1">
        <w:r w:rsidR="00AB51D9" w:rsidRPr="00364545">
          <w:rPr>
            <w:rStyle w:val="Hyperlink"/>
            <w:noProof/>
          </w:rPr>
          <w:t>Tableau 15 : Détail des catégories du secteur énergie (en ktCO</w:t>
        </w:r>
        <w:r w:rsidR="00AB51D9" w:rsidRPr="00364545">
          <w:rPr>
            <w:rStyle w:val="Hyperlink"/>
            <w:noProof/>
            <w:vertAlign w:val="subscript"/>
          </w:rPr>
          <w:t>2e</w:t>
        </w:r>
        <w:r w:rsidR="00AB51D9" w:rsidRPr="00364545">
          <w:rPr>
            <w:rStyle w:val="Hyperlink"/>
            <w:noProof/>
          </w:rPr>
          <w:t>) au périmètre Kyoto dans le scénario AME 2021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_Toc123916507 \h </w:instrText>
        </w:r>
        <w:r w:rsidR="00AB51D9" w:rsidRPr="00364545">
          <w:rPr>
            <w:noProof/>
            <w:webHidden/>
          </w:rPr>
        </w:r>
        <w:r w:rsidR="00AB51D9" w:rsidRPr="00364545">
          <w:rPr>
            <w:noProof/>
            <w:webHidden/>
          </w:rPr>
          <w:fldChar w:fldCharType="separate"/>
        </w:r>
        <w:r w:rsidR="009A2FAA">
          <w:rPr>
            <w:noProof/>
            <w:webHidden/>
          </w:rPr>
          <w:t>188</w:t>
        </w:r>
        <w:r w:rsidR="00AB51D9" w:rsidRPr="00364545">
          <w:rPr>
            <w:noProof/>
            <w:webHidden/>
          </w:rPr>
          <w:fldChar w:fldCharType="end"/>
        </w:r>
      </w:hyperlink>
    </w:p>
    <w:p w14:paraId="5198C86C" w14:textId="38D9085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8" w:history="1">
        <w:r w:rsidR="00AB51D9" w:rsidRPr="00364545">
          <w:rPr>
            <w:rStyle w:val="Hyperlink"/>
            <w:noProof/>
          </w:rPr>
          <w:t>Tableau 16 : Détail des catégories du secteur énergie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_Toc123916508 \h </w:instrText>
        </w:r>
        <w:r w:rsidR="00AB51D9" w:rsidRPr="00364545">
          <w:rPr>
            <w:noProof/>
            <w:webHidden/>
          </w:rPr>
        </w:r>
        <w:r w:rsidR="00AB51D9" w:rsidRPr="00364545">
          <w:rPr>
            <w:noProof/>
            <w:webHidden/>
          </w:rPr>
          <w:fldChar w:fldCharType="separate"/>
        </w:r>
        <w:r w:rsidR="009A2FAA">
          <w:rPr>
            <w:noProof/>
            <w:webHidden/>
          </w:rPr>
          <w:t>189</w:t>
        </w:r>
        <w:r w:rsidR="00AB51D9" w:rsidRPr="00364545">
          <w:rPr>
            <w:noProof/>
            <w:webHidden/>
          </w:rPr>
          <w:fldChar w:fldCharType="end"/>
        </w:r>
      </w:hyperlink>
    </w:p>
    <w:p w14:paraId="6D4DCA19" w14:textId="7921F39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09" w:history="1">
        <w:r w:rsidR="00AB51D9" w:rsidRPr="00364545">
          <w:rPr>
            <w:rStyle w:val="Hyperlink"/>
            <w:noProof/>
          </w:rPr>
          <w:t>Tableau 17 : Projections d’émissions de GES par gaz (en ktCO</w:t>
        </w:r>
        <w:r w:rsidR="00AB51D9" w:rsidRPr="00364545">
          <w:rPr>
            <w:rStyle w:val="Hyperlink"/>
            <w:noProof/>
            <w:vertAlign w:val="subscript"/>
          </w:rPr>
          <w:t>2e</w:t>
        </w:r>
        <w:r w:rsidR="00AB51D9" w:rsidRPr="00364545">
          <w:rPr>
            <w:rStyle w:val="Hyperlink"/>
            <w:noProof/>
          </w:rPr>
          <w:t>) au périmètre Kyoto dans le scénario AME 2021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_Toc123916509 \h </w:instrText>
        </w:r>
        <w:r w:rsidR="00AB51D9" w:rsidRPr="00364545">
          <w:rPr>
            <w:noProof/>
            <w:webHidden/>
          </w:rPr>
        </w:r>
        <w:r w:rsidR="00AB51D9" w:rsidRPr="00364545">
          <w:rPr>
            <w:noProof/>
            <w:webHidden/>
          </w:rPr>
          <w:fldChar w:fldCharType="separate"/>
        </w:r>
        <w:r w:rsidR="009A2FAA">
          <w:rPr>
            <w:noProof/>
            <w:webHidden/>
          </w:rPr>
          <w:t>191</w:t>
        </w:r>
        <w:r w:rsidR="00AB51D9" w:rsidRPr="00364545">
          <w:rPr>
            <w:noProof/>
            <w:webHidden/>
          </w:rPr>
          <w:fldChar w:fldCharType="end"/>
        </w:r>
      </w:hyperlink>
    </w:p>
    <w:p w14:paraId="5C4F0C61" w14:textId="268B60C5"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0" w:history="1">
        <w:r w:rsidR="00AB51D9" w:rsidRPr="00364545">
          <w:rPr>
            <w:rStyle w:val="Hyperlink"/>
            <w:noProof/>
          </w:rPr>
          <w:t>Tableau 18 : Projections d’émissions de GES par gaz (en ktCO</w:t>
        </w:r>
        <w:r w:rsidR="00AB51D9" w:rsidRPr="00364545">
          <w:rPr>
            <w:rStyle w:val="Hyperlink"/>
            <w:noProof/>
            <w:vertAlign w:val="subscript"/>
          </w:rPr>
          <w:t>2</w:t>
        </w:r>
        <w:r w:rsidR="00AB51D9" w:rsidRPr="00364545">
          <w:rPr>
            <w:rStyle w:val="Hyperlink"/>
            <w:noProof/>
          </w:rPr>
          <w:t>e)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_Toc123916510 \h </w:instrText>
        </w:r>
        <w:r w:rsidR="00AB51D9" w:rsidRPr="00364545">
          <w:rPr>
            <w:noProof/>
            <w:webHidden/>
          </w:rPr>
        </w:r>
        <w:r w:rsidR="00AB51D9" w:rsidRPr="00364545">
          <w:rPr>
            <w:noProof/>
            <w:webHidden/>
          </w:rPr>
          <w:fldChar w:fldCharType="separate"/>
        </w:r>
        <w:r w:rsidR="009A2FAA">
          <w:rPr>
            <w:noProof/>
            <w:webHidden/>
          </w:rPr>
          <w:t>193</w:t>
        </w:r>
        <w:r w:rsidR="00AB51D9" w:rsidRPr="00364545">
          <w:rPr>
            <w:noProof/>
            <w:webHidden/>
          </w:rPr>
          <w:fldChar w:fldCharType="end"/>
        </w:r>
      </w:hyperlink>
    </w:p>
    <w:p w14:paraId="5F9AC346" w14:textId="4C0C28ED"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1" w:history="1">
        <w:r w:rsidR="00AB51D9" w:rsidRPr="00364545">
          <w:rPr>
            <w:rStyle w:val="Hyperlink"/>
            <w:noProof/>
          </w:rPr>
          <w:t>Tableau 19 : Projections d’émissions de CO</w:t>
        </w:r>
        <w:r w:rsidR="00AB51D9" w:rsidRPr="00364545">
          <w:rPr>
            <w:rStyle w:val="Hyperlink"/>
            <w:noProof/>
            <w:vertAlign w:val="subscript"/>
          </w:rPr>
          <w:t>2</w:t>
        </w:r>
        <w:r w:rsidR="00AB51D9" w:rsidRPr="00364545">
          <w:rPr>
            <w:rStyle w:val="Hyperlink"/>
            <w:noProof/>
          </w:rPr>
          <w:t xml:space="preserve"> (en ktCO</w:t>
        </w:r>
        <w:r w:rsidR="00AB51D9" w:rsidRPr="00364545">
          <w:rPr>
            <w:rStyle w:val="Hyperlink"/>
            <w:noProof/>
            <w:vertAlign w:val="subscript"/>
          </w:rPr>
          <w:t>2</w:t>
        </w:r>
        <w:r w:rsidR="00AB51D9" w:rsidRPr="00364545">
          <w:rPr>
            <w:rStyle w:val="Hyperlink"/>
            <w:noProof/>
          </w:rPr>
          <w:t>e) au périmètre Kyoto dans le scénario AME 2021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_Toc123916511 \h </w:instrText>
        </w:r>
        <w:r w:rsidR="00AB51D9" w:rsidRPr="00364545">
          <w:rPr>
            <w:noProof/>
            <w:webHidden/>
          </w:rPr>
        </w:r>
        <w:r w:rsidR="00AB51D9" w:rsidRPr="00364545">
          <w:rPr>
            <w:noProof/>
            <w:webHidden/>
          </w:rPr>
          <w:fldChar w:fldCharType="separate"/>
        </w:r>
        <w:r w:rsidR="009A2FAA">
          <w:rPr>
            <w:noProof/>
            <w:webHidden/>
          </w:rPr>
          <w:t>195</w:t>
        </w:r>
        <w:r w:rsidR="00AB51D9" w:rsidRPr="00364545">
          <w:rPr>
            <w:noProof/>
            <w:webHidden/>
          </w:rPr>
          <w:fldChar w:fldCharType="end"/>
        </w:r>
      </w:hyperlink>
    </w:p>
    <w:p w14:paraId="4F422CB2" w14:textId="098AF141"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2" w:history="1">
        <w:r w:rsidR="00AB51D9" w:rsidRPr="00364545">
          <w:rPr>
            <w:rStyle w:val="Hyperlink"/>
            <w:noProof/>
          </w:rPr>
          <w:t>Tableau 20 : Projections d’émissions de CH</w:t>
        </w:r>
        <w:r w:rsidR="00AB51D9" w:rsidRPr="00364545">
          <w:rPr>
            <w:rStyle w:val="Hyperlink"/>
            <w:noProof/>
            <w:vertAlign w:val="subscript"/>
          </w:rPr>
          <w:t>4</w:t>
        </w:r>
        <w:r w:rsidR="00AB51D9" w:rsidRPr="00364545">
          <w:rPr>
            <w:rStyle w:val="Hyperlink"/>
            <w:noProof/>
          </w:rPr>
          <w:t xml:space="preserve"> (en ktCO</w:t>
        </w:r>
        <w:r w:rsidR="00AB51D9" w:rsidRPr="00364545">
          <w:rPr>
            <w:rStyle w:val="Hyperlink"/>
            <w:noProof/>
            <w:vertAlign w:val="subscript"/>
          </w:rPr>
          <w:t>2e</w:t>
        </w:r>
        <w:r w:rsidR="00AB51D9" w:rsidRPr="00364545">
          <w:rPr>
            <w:rStyle w:val="Hyperlink"/>
            <w:noProof/>
          </w:rPr>
          <w:t>) au périmètre Kyoto dans le scénario AME 2021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_Toc123916512 \h </w:instrText>
        </w:r>
        <w:r w:rsidR="00AB51D9" w:rsidRPr="00364545">
          <w:rPr>
            <w:noProof/>
            <w:webHidden/>
          </w:rPr>
        </w:r>
        <w:r w:rsidR="00AB51D9" w:rsidRPr="00364545">
          <w:rPr>
            <w:noProof/>
            <w:webHidden/>
          </w:rPr>
          <w:fldChar w:fldCharType="separate"/>
        </w:r>
        <w:r w:rsidR="009A2FAA">
          <w:rPr>
            <w:noProof/>
            <w:webHidden/>
          </w:rPr>
          <w:t>196</w:t>
        </w:r>
        <w:r w:rsidR="00AB51D9" w:rsidRPr="00364545">
          <w:rPr>
            <w:noProof/>
            <w:webHidden/>
          </w:rPr>
          <w:fldChar w:fldCharType="end"/>
        </w:r>
      </w:hyperlink>
    </w:p>
    <w:p w14:paraId="38B98174" w14:textId="32560655"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3" w:history="1">
        <w:r w:rsidR="00AB51D9" w:rsidRPr="00364545">
          <w:rPr>
            <w:rStyle w:val="Hyperlink"/>
            <w:noProof/>
          </w:rPr>
          <w:t>Tableau 21 : Projections d’émissions de N</w:t>
        </w:r>
        <w:r w:rsidR="00AB51D9" w:rsidRPr="00364545">
          <w:rPr>
            <w:rStyle w:val="Hyperlink"/>
            <w:noProof/>
            <w:vertAlign w:val="subscript"/>
          </w:rPr>
          <w:t>2</w:t>
        </w:r>
        <w:r w:rsidR="00AB51D9" w:rsidRPr="00364545">
          <w:rPr>
            <w:rStyle w:val="Hyperlink"/>
            <w:noProof/>
          </w:rPr>
          <w:t>O (en ktCO</w:t>
        </w:r>
        <w:r w:rsidR="00AB51D9" w:rsidRPr="00364545">
          <w:rPr>
            <w:rStyle w:val="Hyperlink"/>
            <w:noProof/>
            <w:vertAlign w:val="subscript"/>
          </w:rPr>
          <w:t>2e</w:t>
        </w:r>
        <w:r w:rsidR="00AB51D9" w:rsidRPr="00364545">
          <w:rPr>
            <w:rStyle w:val="Hyperlink"/>
            <w:noProof/>
          </w:rPr>
          <w:t>) au périmètre Kyoto dans le scénario AME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_Toc123916513 \h </w:instrText>
        </w:r>
        <w:r w:rsidR="00AB51D9" w:rsidRPr="00364545">
          <w:rPr>
            <w:noProof/>
            <w:webHidden/>
          </w:rPr>
        </w:r>
        <w:r w:rsidR="00AB51D9" w:rsidRPr="00364545">
          <w:rPr>
            <w:noProof/>
            <w:webHidden/>
          </w:rPr>
          <w:fldChar w:fldCharType="separate"/>
        </w:r>
        <w:r w:rsidR="009A2FAA">
          <w:rPr>
            <w:noProof/>
            <w:webHidden/>
          </w:rPr>
          <w:t>196</w:t>
        </w:r>
        <w:r w:rsidR="00AB51D9" w:rsidRPr="00364545">
          <w:rPr>
            <w:noProof/>
            <w:webHidden/>
          </w:rPr>
          <w:fldChar w:fldCharType="end"/>
        </w:r>
      </w:hyperlink>
    </w:p>
    <w:p w14:paraId="3FA82259" w14:textId="293DBBC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4" w:history="1">
        <w:r w:rsidR="00AB51D9" w:rsidRPr="00364545">
          <w:rPr>
            <w:rStyle w:val="Hyperlink"/>
            <w:noProof/>
          </w:rPr>
          <w:t>Tableau 22 : Projections d’émissions de HFC (en ktCO</w:t>
        </w:r>
        <w:r w:rsidR="00AB51D9" w:rsidRPr="00364545">
          <w:rPr>
            <w:rStyle w:val="Hyperlink"/>
            <w:noProof/>
            <w:vertAlign w:val="subscript"/>
          </w:rPr>
          <w:t>2e</w:t>
        </w:r>
        <w:r w:rsidR="00AB51D9" w:rsidRPr="00364545">
          <w:rPr>
            <w:rStyle w:val="Hyperlink"/>
            <w:noProof/>
          </w:rPr>
          <w:t>) au périmètre Kyoto dans le scénario AME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_Toc123916514 \h </w:instrText>
        </w:r>
        <w:r w:rsidR="00AB51D9" w:rsidRPr="00364545">
          <w:rPr>
            <w:noProof/>
            <w:webHidden/>
          </w:rPr>
        </w:r>
        <w:r w:rsidR="00AB51D9" w:rsidRPr="00364545">
          <w:rPr>
            <w:noProof/>
            <w:webHidden/>
          </w:rPr>
          <w:fldChar w:fldCharType="separate"/>
        </w:r>
        <w:r w:rsidR="009A2FAA">
          <w:rPr>
            <w:noProof/>
            <w:webHidden/>
          </w:rPr>
          <w:t>196</w:t>
        </w:r>
        <w:r w:rsidR="00AB51D9" w:rsidRPr="00364545">
          <w:rPr>
            <w:noProof/>
            <w:webHidden/>
          </w:rPr>
          <w:fldChar w:fldCharType="end"/>
        </w:r>
      </w:hyperlink>
    </w:p>
    <w:p w14:paraId="303A76B1" w14:textId="405A87E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5" w:history="1">
        <w:r w:rsidR="00AB51D9" w:rsidRPr="00364545">
          <w:rPr>
            <w:rStyle w:val="Hyperlink"/>
            <w:noProof/>
          </w:rPr>
          <w:t>Tableau 23 : Projections d’émissions de PFC (en ktCO</w:t>
        </w:r>
        <w:r w:rsidR="00AB51D9" w:rsidRPr="00364545">
          <w:rPr>
            <w:rStyle w:val="Hyperlink"/>
            <w:noProof/>
            <w:vertAlign w:val="subscript"/>
          </w:rPr>
          <w:t>2e</w:t>
        </w:r>
        <w:r w:rsidR="00AB51D9" w:rsidRPr="00364545">
          <w:rPr>
            <w:rStyle w:val="Hyperlink"/>
            <w:noProof/>
          </w:rPr>
          <w:t>) au périmètre Kyoto dans le scénario AME 2021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_Toc123916515 \h </w:instrText>
        </w:r>
        <w:r w:rsidR="00AB51D9" w:rsidRPr="00364545">
          <w:rPr>
            <w:noProof/>
            <w:webHidden/>
          </w:rPr>
        </w:r>
        <w:r w:rsidR="00AB51D9" w:rsidRPr="00364545">
          <w:rPr>
            <w:noProof/>
            <w:webHidden/>
          </w:rPr>
          <w:fldChar w:fldCharType="separate"/>
        </w:r>
        <w:r w:rsidR="009A2FAA">
          <w:rPr>
            <w:noProof/>
            <w:webHidden/>
          </w:rPr>
          <w:t>197</w:t>
        </w:r>
        <w:r w:rsidR="00AB51D9" w:rsidRPr="00364545">
          <w:rPr>
            <w:noProof/>
            <w:webHidden/>
          </w:rPr>
          <w:fldChar w:fldCharType="end"/>
        </w:r>
      </w:hyperlink>
    </w:p>
    <w:p w14:paraId="4DE82D48" w14:textId="6C1CA05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6" w:history="1">
        <w:r w:rsidR="00AB51D9" w:rsidRPr="00364545">
          <w:rPr>
            <w:rStyle w:val="Hyperlink"/>
            <w:noProof/>
          </w:rPr>
          <w:t>Tableau 24 : Projections d’émissions de SF</w:t>
        </w:r>
        <w:r w:rsidR="00AB51D9" w:rsidRPr="00364545">
          <w:rPr>
            <w:rStyle w:val="Hyperlink"/>
            <w:noProof/>
            <w:vertAlign w:val="subscript"/>
          </w:rPr>
          <w:t>6</w:t>
        </w:r>
        <w:r w:rsidR="00AB51D9" w:rsidRPr="00364545">
          <w:rPr>
            <w:rStyle w:val="Hyperlink"/>
            <w:noProof/>
          </w:rPr>
          <w:t xml:space="preserve"> (en ktCO</w:t>
        </w:r>
        <w:r w:rsidR="00AB51D9" w:rsidRPr="00364545">
          <w:rPr>
            <w:rStyle w:val="Hyperlink"/>
            <w:noProof/>
            <w:vertAlign w:val="subscript"/>
          </w:rPr>
          <w:t>2e</w:t>
        </w:r>
        <w:r w:rsidR="00AB51D9" w:rsidRPr="00364545">
          <w:rPr>
            <w:rStyle w:val="Hyperlink"/>
            <w:noProof/>
          </w:rPr>
          <w:t>) au périmètre Kyoto dans le scénario AME 2021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_Toc123916516 \h </w:instrText>
        </w:r>
        <w:r w:rsidR="00AB51D9" w:rsidRPr="00364545">
          <w:rPr>
            <w:noProof/>
            <w:webHidden/>
          </w:rPr>
        </w:r>
        <w:r w:rsidR="00AB51D9" w:rsidRPr="00364545">
          <w:rPr>
            <w:noProof/>
            <w:webHidden/>
          </w:rPr>
          <w:fldChar w:fldCharType="separate"/>
        </w:r>
        <w:r w:rsidR="009A2FAA">
          <w:rPr>
            <w:noProof/>
            <w:webHidden/>
          </w:rPr>
          <w:t>197</w:t>
        </w:r>
        <w:r w:rsidR="00AB51D9" w:rsidRPr="00364545">
          <w:rPr>
            <w:noProof/>
            <w:webHidden/>
          </w:rPr>
          <w:fldChar w:fldCharType="end"/>
        </w:r>
      </w:hyperlink>
    </w:p>
    <w:p w14:paraId="5F1DF9D9" w14:textId="21408B11"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7" w:history="1">
        <w:r w:rsidR="00AB51D9" w:rsidRPr="00364545">
          <w:rPr>
            <w:rStyle w:val="Hyperlink"/>
            <w:noProof/>
          </w:rPr>
          <w:t>Tableau 25 : Projections d’émissions de NF</w:t>
        </w:r>
        <w:r w:rsidR="00AB51D9" w:rsidRPr="00364545">
          <w:rPr>
            <w:rStyle w:val="Hyperlink"/>
            <w:noProof/>
            <w:vertAlign w:val="subscript"/>
          </w:rPr>
          <w:t>3</w:t>
        </w:r>
        <w:r w:rsidR="00AB51D9" w:rsidRPr="00364545">
          <w:rPr>
            <w:rStyle w:val="Hyperlink"/>
            <w:noProof/>
          </w:rPr>
          <w:t xml:space="preserve"> (en ktCO</w:t>
        </w:r>
        <w:r w:rsidR="00AB51D9" w:rsidRPr="00364545">
          <w:rPr>
            <w:rStyle w:val="Hyperlink"/>
            <w:noProof/>
            <w:vertAlign w:val="subscript"/>
          </w:rPr>
          <w:t>2e</w:t>
        </w:r>
        <w:r w:rsidR="00AB51D9" w:rsidRPr="00364545">
          <w:rPr>
            <w:rStyle w:val="Hyperlink"/>
            <w:noProof/>
          </w:rPr>
          <w:t>) au périmètre Kyoto dans le scénario AME 2021 (avec mesures existantes)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_Toc123916517 \h </w:instrText>
        </w:r>
        <w:r w:rsidR="00AB51D9" w:rsidRPr="00364545">
          <w:rPr>
            <w:noProof/>
            <w:webHidden/>
          </w:rPr>
        </w:r>
        <w:r w:rsidR="00AB51D9" w:rsidRPr="00364545">
          <w:rPr>
            <w:noProof/>
            <w:webHidden/>
          </w:rPr>
          <w:fldChar w:fldCharType="separate"/>
        </w:r>
        <w:r w:rsidR="009A2FAA">
          <w:rPr>
            <w:noProof/>
            <w:webHidden/>
          </w:rPr>
          <w:t>198</w:t>
        </w:r>
        <w:r w:rsidR="00AB51D9" w:rsidRPr="00364545">
          <w:rPr>
            <w:noProof/>
            <w:webHidden/>
          </w:rPr>
          <w:fldChar w:fldCharType="end"/>
        </w:r>
      </w:hyperlink>
    </w:p>
    <w:p w14:paraId="1C06D9BE" w14:textId="4423D415"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8" w:history="1">
        <w:r w:rsidR="00AB51D9" w:rsidRPr="00364545">
          <w:rPr>
            <w:rStyle w:val="Hyperlink"/>
            <w:noProof/>
          </w:rPr>
          <w:t>Tableau 26 : Projections d’émissions de CO</w:t>
        </w:r>
        <w:r w:rsidR="00AB51D9" w:rsidRPr="00364545">
          <w:rPr>
            <w:rStyle w:val="Hyperlink"/>
            <w:noProof/>
            <w:vertAlign w:val="subscript"/>
          </w:rPr>
          <w:t>2</w:t>
        </w:r>
        <w:r w:rsidR="00AB51D9" w:rsidRPr="00364545">
          <w:rPr>
            <w:rStyle w:val="Hyperlink"/>
            <w:noProof/>
          </w:rPr>
          <w:t xml:space="preserve">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_Toc123916518 \h </w:instrText>
        </w:r>
        <w:r w:rsidR="00AB51D9" w:rsidRPr="00364545">
          <w:rPr>
            <w:noProof/>
            <w:webHidden/>
          </w:rPr>
        </w:r>
        <w:r w:rsidR="00AB51D9" w:rsidRPr="00364545">
          <w:rPr>
            <w:noProof/>
            <w:webHidden/>
          </w:rPr>
          <w:fldChar w:fldCharType="separate"/>
        </w:r>
        <w:r w:rsidR="009A2FAA">
          <w:rPr>
            <w:noProof/>
            <w:webHidden/>
          </w:rPr>
          <w:t>198</w:t>
        </w:r>
        <w:r w:rsidR="00AB51D9" w:rsidRPr="00364545">
          <w:rPr>
            <w:noProof/>
            <w:webHidden/>
          </w:rPr>
          <w:fldChar w:fldCharType="end"/>
        </w:r>
      </w:hyperlink>
    </w:p>
    <w:p w14:paraId="4DDC14AE" w14:textId="2D8BF95B"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19" w:history="1">
        <w:r w:rsidR="00AB51D9" w:rsidRPr="00364545">
          <w:rPr>
            <w:rStyle w:val="Hyperlink"/>
            <w:noProof/>
          </w:rPr>
          <w:t>Tableau 27 : Projections d’émissions de CH</w:t>
        </w:r>
        <w:r w:rsidR="00AB51D9" w:rsidRPr="00364545">
          <w:rPr>
            <w:rStyle w:val="Hyperlink"/>
            <w:noProof/>
            <w:vertAlign w:val="subscript"/>
          </w:rPr>
          <w:t>4</w:t>
        </w:r>
        <w:r w:rsidR="00AB51D9" w:rsidRPr="00364545">
          <w:rPr>
            <w:rStyle w:val="Hyperlink"/>
            <w:noProof/>
          </w:rPr>
          <w:t xml:space="preserve">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_Toc123916519 \h </w:instrText>
        </w:r>
        <w:r w:rsidR="00AB51D9" w:rsidRPr="00364545">
          <w:rPr>
            <w:noProof/>
            <w:webHidden/>
          </w:rPr>
        </w:r>
        <w:r w:rsidR="00AB51D9" w:rsidRPr="00364545">
          <w:rPr>
            <w:noProof/>
            <w:webHidden/>
          </w:rPr>
          <w:fldChar w:fldCharType="separate"/>
        </w:r>
        <w:r w:rsidR="009A2FAA">
          <w:rPr>
            <w:noProof/>
            <w:webHidden/>
          </w:rPr>
          <w:t>198</w:t>
        </w:r>
        <w:r w:rsidR="00AB51D9" w:rsidRPr="00364545">
          <w:rPr>
            <w:noProof/>
            <w:webHidden/>
          </w:rPr>
          <w:fldChar w:fldCharType="end"/>
        </w:r>
      </w:hyperlink>
    </w:p>
    <w:p w14:paraId="0F123C11" w14:textId="6DE9D5B9"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0" w:history="1">
        <w:r w:rsidR="00AB51D9" w:rsidRPr="00364545">
          <w:rPr>
            <w:rStyle w:val="Hyperlink"/>
            <w:noProof/>
          </w:rPr>
          <w:t>Tableau 28 : Projections d’émissions de N</w:t>
        </w:r>
        <w:r w:rsidR="00AB51D9" w:rsidRPr="00364545">
          <w:rPr>
            <w:rStyle w:val="Hyperlink"/>
            <w:noProof/>
            <w:vertAlign w:val="subscript"/>
          </w:rPr>
          <w:t>2</w:t>
        </w:r>
        <w:r w:rsidR="00AB51D9" w:rsidRPr="00364545">
          <w:rPr>
            <w:rStyle w:val="Hyperlink"/>
            <w:noProof/>
          </w:rPr>
          <w:t>O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_Toc123916520 \h </w:instrText>
        </w:r>
        <w:r w:rsidR="00AB51D9" w:rsidRPr="00364545">
          <w:rPr>
            <w:noProof/>
            <w:webHidden/>
          </w:rPr>
        </w:r>
        <w:r w:rsidR="00AB51D9" w:rsidRPr="00364545">
          <w:rPr>
            <w:noProof/>
            <w:webHidden/>
          </w:rPr>
          <w:fldChar w:fldCharType="separate"/>
        </w:r>
        <w:r w:rsidR="009A2FAA">
          <w:rPr>
            <w:noProof/>
            <w:webHidden/>
          </w:rPr>
          <w:t>199</w:t>
        </w:r>
        <w:r w:rsidR="00AB51D9" w:rsidRPr="00364545">
          <w:rPr>
            <w:noProof/>
            <w:webHidden/>
          </w:rPr>
          <w:fldChar w:fldCharType="end"/>
        </w:r>
      </w:hyperlink>
    </w:p>
    <w:p w14:paraId="49971E62" w14:textId="3EB906D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1" w:history="1">
        <w:r w:rsidR="00AB51D9" w:rsidRPr="00364545">
          <w:rPr>
            <w:rStyle w:val="Hyperlink"/>
            <w:noProof/>
          </w:rPr>
          <w:t>Tableau 29 : Projections d’émissions de HFC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_Toc123916521 \h </w:instrText>
        </w:r>
        <w:r w:rsidR="00AB51D9" w:rsidRPr="00364545">
          <w:rPr>
            <w:noProof/>
            <w:webHidden/>
          </w:rPr>
        </w:r>
        <w:r w:rsidR="00AB51D9" w:rsidRPr="00364545">
          <w:rPr>
            <w:noProof/>
            <w:webHidden/>
          </w:rPr>
          <w:fldChar w:fldCharType="separate"/>
        </w:r>
        <w:r w:rsidR="009A2FAA">
          <w:rPr>
            <w:noProof/>
            <w:webHidden/>
          </w:rPr>
          <w:t>199</w:t>
        </w:r>
        <w:r w:rsidR="00AB51D9" w:rsidRPr="00364545">
          <w:rPr>
            <w:noProof/>
            <w:webHidden/>
          </w:rPr>
          <w:fldChar w:fldCharType="end"/>
        </w:r>
      </w:hyperlink>
    </w:p>
    <w:p w14:paraId="45757702" w14:textId="5B48C1B8"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2" w:history="1">
        <w:r w:rsidR="00AB51D9" w:rsidRPr="00364545">
          <w:rPr>
            <w:rStyle w:val="Hyperlink"/>
            <w:noProof/>
          </w:rPr>
          <w:t>Tableau 30 : Projections d’émissions de PFC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_Toc123916522 \h </w:instrText>
        </w:r>
        <w:r w:rsidR="00AB51D9" w:rsidRPr="00364545">
          <w:rPr>
            <w:noProof/>
            <w:webHidden/>
          </w:rPr>
        </w:r>
        <w:r w:rsidR="00AB51D9" w:rsidRPr="00364545">
          <w:rPr>
            <w:noProof/>
            <w:webHidden/>
          </w:rPr>
          <w:fldChar w:fldCharType="separate"/>
        </w:r>
        <w:r w:rsidR="009A2FAA">
          <w:rPr>
            <w:noProof/>
            <w:webHidden/>
          </w:rPr>
          <w:t>200</w:t>
        </w:r>
        <w:r w:rsidR="00AB51D9" w:rsidRPr="00364545">
          <w:rPr>
            <w:noProof/>
            <w:webHidden/>
          </w:rPr>
          <w:fldChar w:fldCharType="end"/>
        </w:r>
      </w:hyperlink>
    </w:p>
    <w:p w14:paraId="466366A9" w14:textId="113C9899"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3" w:history="1">
        <w:r w:rsidR="00AB51D9" w:rsidRPr="00364545">
          <w:rPr>
            <w:rStyle w:val="Hyperlink"/>
            <w:noProof/>
          </w:rPr>
          <w:t>Tableau 31 : Projections d’émissions de SF</w:t>
        </w:r>
        <w:r w:rsidR="00AB51D9" w:rsidRPr="00364545">
          <w:rPr>
            <w:rStyle w:val="Hyperlink"/>
            <w:noProof/>
            <w:vertAlign w:val="subscript"/>
          </w:rPr>
          <w:t>6</w:t>
        </w:r>
        <w:r w:rsidR="00AB51D9" w:rsidRPr="00364545">
          <w:rPr>
            <w:rStyle w:val="Hyperlink"/>
            <w:noProof/>
          </w:rPr>
          <w:t xml:space="preserve">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_Toc123916523 \h </w:instrText>
        </w:r>
        <w:r w:rsidR="00AB51D9" w:rsidRPr="00364545">
          <w:rPr>
            <w:noProof/>
            <w:webHidden/>
          </w:rPr>
        </w:r>
        <w:r w:rsidR="00AB51D9" w:rsidRPr="00364545">
          <w:rPr>
            <w:noProof/>
            <w:webHidden/>
          </w:rPr>
          <w:fldChar w:fldCharType="separate"/>
        </w:r>
        <w:r w:rsidR="009A2FAA">
          <w:rPr>
            <w:noProof/>
            <w:webHidden/>
          </w:rPr>
          <w:t>200</w:t>
        </w:r>
        <w:r w:rsidR="00AB51D9" w:rsidRPr="00364545">
          <w:rPr>
            <w:noProof/>
            <w:webHidden/>
          </w:rPr>
          <w:fldChar w:fldCharType="end"/>
        </w:r>
      </w:hyperlink>
    </w:p>
    <w:p w14:paraId="6E66408D" w14:textId="5CB6D682"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4" w:history="1">
        <w:r w:rsidR="00AB51D9" w:rsidRPr="00364545">
          <w:rPr>
            <w:rStyle w:val="Hyperlink"/>
            <w:noProof/>
          </w:rPr>
          <w:t>Tableau 32 : Projections d’émissions de NF</w:t>
        </w:r>
        <w:r w:rsidR="00AB51D9" w:rsidRPr="00364545">
          <w:rPr>
            <w:rStyle w:val="Hyperlink"/>
            <w:noProof/>
            <w:vertAlign w:val="subscript"/>
          </w:rPr>
          <w:t>3</w:t>
        </w:r>
        <w:r w:rsidR="00AB51D9" w:rsidRPr="00364545">
          <w:rPr>
            <w:rStyle w:val="Hyperlink"/>
            <w:noProof/>
          </w:rPr>
          <w:t xml:space="preserve"> (en ktCO</w:t>
        </w:r>
        <w:r w:rsidR="00AB51D9" w:rsidRPr="00364545">
          <w:rPr>
            <w:rStyle w:val="Hyperlink"/>
            <w:noProof/>
            <w:vertAlign w:val="subscript"/>
          </w:rPr>
          <w:t>2e</w:t>
        </w:r>
        <w:r w:rsidR="00AB51D9" w:rsidRPr="00364545">
          <w:rPr>
            <w:rStyle w:val="Hyperlink"/>
            <w:noProof/>
          </w:rPr>
          <w:t>) au périmètre Kyoto dans le scénario AMS 2018 (avec mesures supplémentaires)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_Toc123916524 \h </w:instrText>
        </w:r>
        <w:r w:rsidR="00AB51D9" w:rsidRPr="00364545">
          <w:rPr>
            <w:noProof/>
            <w:webHidden/>
          </w:rPr>
        </w:r>
        <w:r w:rsidR="00AB51D9" w:rsidRPr="00364545">
          <w:rPr>
            <w:noProof/>
            <w:webHidden/>
          </w:rPr>
          <w:fldChar w:fldCharType="separate"/>
        </w:r>
        <w:r w:rsidR="009A2FAA">
          <w:rPr>
            <w:noProof/>
            <w:webHidden/>
          </w:rPr>
          <w:t>200</w:t>
        </w:r>
        <w:r w:rsidR="00AB51D9" w:rsidRPr="00364545">
          <w:rPr>
            <w:noProof/>
            <w:webHidden/>
          </w:rPr>
          <w:fldChar w:fldCharType="end"/>
        </w:r>
      </w:hyperlink>
    </w:p>
    <w:p w14:paraId="63C75549" w14:textId="6D502A84"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5" w:history="1">
        <w:r w:rsidR="00AB51D9" w:rsidRPr="00364545">
          <w:rPr>
            <w:rStyle w:val="Hyperlink"/>
            <w:noProof/>
          </w:rPr>
          <w:t>Tableau 33 : Effet des politiques et mesures sur les émissions de gaz à effet de serre au horizon 2025, 2030, 2035 et 2040</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_Toc123916525 \h </w:instrText>
        </w:r>
        <w:r w:rsidR="00AB51D9" w:rsidRPr="00364545">
          <w:rPr>
            <w:noProof/>
            <w:webHidden/>
          </w:rPr>
        </w:r>
        <w:r w:rsidR="00AB51D9" w:rsidRPr="00364545">
          <w:rPr>
            <w:noProof/>
            <w:webHidden/>
          </w:rPr>
          <w:fldChar w:fldCharType="separate"/>
        </w:r>
        <w:r w:rsidR="009A2FAA">
          <w:rPr>
            <w:noProof/>
            <w:webHidden/>
          </w:rPr>
          <w:t>202</w:t>
        </w:r>
        <w:r w:rsidR="00AB51D9" w:rsidRPr="00364545">
          <w:rPr>
            <w:noProof/>
            <w:webHidden/>
          </w:rPr>
          <w:fldChar w:fldCharType="end"/>
        </w:r>
      </w:hyperlink>
    </w:p>
    <w:p w14:paraId="711FB94B" w14:textId="377BFC5F"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6" w:history="1">
        <w:r w:rsidR="00AB51D9" w:rsidRPr="00364545">
          <w:rPr>
            <w:rStyle w:val="Hyperlink"/>
            <w:noProof/>
          </w:rPr>
          <w:t>Tableau 34 : Détail des outils et modèles utilisés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_Toc123916526 \h </w:instrText>
        </w:r>
        <w:r w:rsidR="00AB51D9" w:rsidRPr="00364545">
          <w:rPr>
            <w:noProof/>
            <w:webHidden/>
          </w:rPr>
        </w:r>
        <w:r w:rsidR="00AB51D9" w:rsidRPr="00364545">
          <w:rPr>
            <w:noProof/>
            <w:webHidden/>
          </w:rPr>
          <w:fldChar w:fldCharType="separate"/>
        </w:r>
        <w:r w:rsidR="009A2FAA">
          <w:rPr>
            <w:noProof/>
            <w:webHidden/>
          </w:rPr>
          <w:t>205</w:t>
        </w:r>
        <w:r w:rsidR="00AB51D9" w:rsidRPr="00364545">
          <w:rPr>
            <w:noProof/>
            <w:webHidden/>
          </w:rPr>
          <w:fldChar w:fldCharType="end"/>
        </w:r>
      </w:hyperlink>
    </w:p>
    <w:p w14:paraId="69146209" w14:textId="2A8D8A1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7" w:history="1">
        <w:r w:rsidR="00AB51D9" w:rsidRPr="00364545">
          <w:rPr>
            <w:rStyle w:val="Hyperlink"/>
            <w:noProof/>
          </w:rPr>
          <w:t>Tableau 35 : Hypothèses de prix des énergies importées (en € 2013/boe) dans l’AME 21 et l’AMS 18</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_Toc123916527 \h </w:instrText>
        </w:r>
        <w:r w:rsidR="00AB51D9" w:rsidRPr="00364545">
          <w:rPr>
            <w:noProof/>
            <w:webHidden/>
          </w:rPr>
        </w:r>
        <w:r w:rsidR="00AB51D9" w:rsidRPr="00364545">
          <w:rPr>
            <w:noProof/>
            <w:webHidden/>
          </w:rPr>
          <w:fldChar w:fldCharType="separate"/>
        </w:r>
        <w:r w:rsidR="009A2FAA">
          <w:rPr>
            <w:noProof/>
            <w:webHidden/>
          </w:rPr>
          <w:t>207</w:t>
        </w:r>
        <w:r w:rsidR="00AB51D9" w:rsidRPr="00364545">
          <w:rPr>
            <w:noProof/>
            <w:webHidden/>
          </w:rPr>
          <w:fldChar w:fldCharType="end"/>
        </w:r>
      </w:hyperlink>
    </w:p>
    <w:p w14:paraId="4E01F3C5" w14:textId="12F6D246"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8" w:history="1">
        <w:r w:rsidR="00AB51D9" w:rsidRPr="00364545">
          <w:rPr>
            <w:rStyle w:val="Hyperlink"/>
            <w:noProof/>
          </w:rPr>
          <w:t>Tableau 36 : Hypothèses de prix du carbone sous l'ETS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_Toc123916528 \h </w:instrText>
        </w:r>
        <w:r w:rsidR="00AB51D9" w:rsidRPr="00364545">
          <w:rPr>
            <w:noProof/>
            <w:webHidden/>
          </w:rPr>
        </w:r>
        <w:r w:rsidR="00AB51D9" w:rsidRPr="00364545">
          <w:rPr>
            <w:noProof/>
            <w:webHidden/>
          </w:rPr>
          <w:fldChar w:fldCharType="separate"/>
        </w:r>
        <w:r w:rsidR="009A2FAA">
          <w:rPr>
            <w:noProof/>
            <w:webHidden/>
          </w:rPr>
          <w:t>207</w:t>
        </w:r>
        <w:r w:rsidR="00AB51D9" w:rsidRPr="00364545">
          <w:rPr>
            <w:noProof/>
            <w:webHidden/>
          </w:rPr>
          <w:fldChar w:fldCharType="end"/>
        </w:r>
      </w:hyperlink>
    </w:p>
    <w:p w14:paraId="3BF1BA1D" w14:textId="21ED72F7"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29" w:history="1">
        <w:r w:rsidR="00AB51D9" w:rsidRPr="00364545">
          <w:rPr>
            <w:rStyle w:val="Hyperlink"/>
            <w:noProof/>
          </w:rPr>
          <w:t>Tableau 37 : Hypothèses de croissance de la population pour l’AME 2021</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_Toc123916529 \h </w:instrText>
        </w:r>
        <w:r w:rsidR="00AB51D9" w:rsidRPr="00364545">
          <w:rPr>
            <w:noProof/>
            <w:webHidden/>
          </w:rPr>
        </w:r>
        <w:r w:rsidR="00AB51D9" w:rsidRPr="00364545">
          <w:rPr>
            <w:noProof/>
            <w:webHidden/>
          </w:rPr>
          <w:fldChar w:fldCharType="separate"/>
        </w:r>
        <w:r w:rsidR="009A2FAA">
          <w:rPr>
            <w:noProof/>
            <w:webHidden/>
          </w:rPr>
          <w:t>208</w:t>
        </w:r>
        <w:r w:rsidR="00AB51D9" w:rsidRPr="00364545">
          <w:rPr>
            <w:noProof/>
            <w:webHidden/>
          </w:rPr>
          <w:fldChar w:fldCharType="end"/>
        </w:r>
      </w:hyperlink>
    </w:p>
    <w:p w14:paraId="437DB371" w14:textId="2D6035AA"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30" w:history="1">
        <w:r w:rsidR="00AB51D9" w:rsidRPr="00364545">
          <w:rPr>
            <w:rStyle w:val="Hyperlink"/>
            <w:noProof/>
          </w:rPr>
          <w:t>Tableau 38 : Hypothèses de croissance de la population pour l’AMS 2018</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_Toc123916530 \h </w:instrText>
        </w:r>
        <w:r w:rsidR="00AB51D9" w:rsidRPr="00364545">
          <w:rPr>
            <w:noProof/>
            <w:webHidden/>
          </w:rPr>
        </w:r>
        <w:r w:rsidR="00AB51D9" w:rsidRPr="00364545">
          <w:rPr>
            <w:noProof/>
            <w:webHidden/>
          </w:rPr>
          <w:fldChar w:fldCharType="separate"/>
        </w:r>
        <w:r w:rsidR="009A2FAA">
          <w:rPr>
            <w:noProof/>
            <w:webHidden/>
          </w:rPr>
          <w:t>208</w:t>
        </w:r>
        <w:r w:rsidR="00AB51D9" w:rsidRPr="00364545">
          <w:rPr>
            <w:noProof/>
            <w:webHidden/>
          </w:rPr>
          <w:fldChar w:fldCharType="end"/>
        </w:r>
      </w:hyperlink>
    </w:p>
    <w:p w14:paraId="4859C5C6" w14:textId="5EF77C9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31" w:history="1">
        <w:r w:rsidR="00AB51D9" w:rsidRPr="00364545">
          <w:rPr>
            <w:rStyle w:val="Hyperlink"/>
            <w:noProof/>
          </w:rPr>
          <w:t>Tableau 39 : Hypothèses de croissance du PIB</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_Toc123916531 \h </w:instrText>
        </w:r>
        <w:r w:rsidR="00AB51D9" w:rsidRPr="00364545">
          <w:rPr>
            <w:noProof/>
            <w:webHidden/>
          </w:rPr>
        </w:r>
        <w:r w:rsidR="00AB51D9" w:rsidRPr="00364545">
          <w:rPr>
            <w:noProof/>
            <w:webHidden/>
          </w:rPr>
          <w:fldChar w:fldCharType="separate"/>
        </w:r>
        <w:r w:rsidR="009A2FAA">
          <w:rPr>
            <w:noProof/>
            <w:webHidden/>
          </w:rPr>
          <w:t>209</w:t>
        </w:r>
        <w:r w:rsidR="00AB51D9" w:rsidRPr="00364545">
          <w:rPr>
            <w:noProof/>
            <w:webHidden/>
          </w:rPr>
          <w:fldChar w:fldCharType="end"/>
        </w:r>
      </w:hyperlink>
    </w:p>
    <w:p w14:paraId="370520F6" w14:textId="5774ACA3"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32" w:history="1">
        <w:r w:rsidR="00AB51D9" w:rsidRPr="00364545">
          <w:rPr>
            <w:rStyle w:val="Hyperlink"/>
            <w:noProof/>
          </w:rPr>
          <w:t>Tableau 40 : Hypothèses d’évolutions de la valeur ajoutée industrielle</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_Toc123916532 \h </w:instrText>
        </w:r>
        <w:r w:rsidR="00AB51D9" w:rsidRPr="00364545">
          <w:rPr>
            <w:noProof/>
            <w:webHidden/>
          </w:rPr>
        </w:r>
        <w:r w:rsidR="00AB51D9" w:rsidRPr="00364545">
          <w:rPr>
            <w:noProof/>
            <w:webHidden/>
          </w:rPr>
          <w:fldChar w:fldCharType="separate"/>
        </w:r>
        <w:r w:rsidR="009A2FAA">
          <w:rPr>
            <w:noProof/>
            <w:webHidden/>
          </w:rPr>
          <w:t>210</w:t>
        </w:r>
        <w:r w:rsidR="00AB51D9" w:rsidRPr="00364545">
          <w:rPr>
            <w:noProof/>
            <w:webHidden/>
          </w:rPr>
          <w:fldChar w:fldCharType="end"/>
        </w:r>
      </w:hyperlink>
    </w:p>
    <w:p w14:paraId="5ACE43A6" w14:textId="320FD0FE" w:rsidR="00AB51D9" w:rsidRPr="00364545" w:rsidRDefault="003714FB">
      <w:pPr>
        <w:pStyle w:val="TableofFigures"/>
        <w:tabs>
          <w:tab w:val="right" w:leader="dot" w:pos="9940"/>
        </w:tabs>
        <w:rPr>
          <w:rFonts w:asciiTheme="minorHAnsi" w:eastAsiaTheme="minorEastAsia" w:hAnsiTheme="minorHAnsi" w:cstheme="minorBidi"/>
          <w:noProof/>
        </w:rPr>
      </w:pPr>
      <w:hyperlink w:anchor="_Toc123916533" w:history="1">
        <w:r w:rsidR="00AB51D9" w:rsidRPr="00364545">
          <w:rPr>
            <w:rStyle w:val="Hyperlink"/>
            <w:noProof/>
          </w:rPr>
          <w:t>Tableau 41 : Table CTF9 – Soutien en matière de renforcement des capacités</w:t>
        </w:r>
        <w:r w:rsidR="00AB51D9" w:rsidRPr="00364545">
          <w:rPr>
            <w:noProof/>
            <w:webHidden/>
          </w:rPr>
          <w:tab/>
        </w:r>
        <w:r w:rsidR="00AB51D9" w:rsidRPr="00364545">
          <w:rPr>
            <w:noProof/>
            <w:webHidden/>
          </w:rPr>
          <w:fldChar w:fldCharType="begin"/>
        </w:r>
        <w:r w:rsidR="00AB51D9" w:rsidRPr="00364545">
          <w:rPr>
            <w:noProof/>
            <w:webHidden/>
          </w:rPr>
          <w:instrText xml:space="preserve"> PAGEREF _Toc123916533 \h </w:instrText>
        </w:r>
        <w:r w:rsidR="00AB51D9" w:rsidRPr="00364545">
          <w:rPr>
            <w:noProof/>
            <w:webHidden/>
          </w:rPr>
        </w:r>
        <w:r w:rsidR="00AB51D9" w:rsidRPr="00364545">
          <w:rPr>
            <w:noProof/>
            <w:webHidden/>
          </w:rPr>
          <w:fldChar w:fldCharType="separate"/>
        </w:r>
        <w:r w:rsidR="009A2FAA">
          <w:rPr>
            <w:noProof/>
            <w:webHidden/>
          </w:rPr>
          <w:t>266</w:t>
        </w:r>
        <w:r w:rsidR="00AB51D9" w:rsidRPr="00364545">
          <w:rPr>
            <w:noProof/>
            <w:webHidden/>
          </w:rPr>
          <w:fldChar w:fldCharType="end"/>
        </w:r>
      </w:hyperlink>
    </w:p>
    <w:p w14:paraId="23B3A6B1" w14:textId="19EDFEE9" w:rsidR="00D172CE" w:rsidRPr="00364545" w:rsidRDefault="00D172CE" w:rsidP="00D172CE">
      <w:r w:rsidRPr="00364545">
        <w:fldChar w:fldCharType="end"/>
      </w:r>
    </w:p>
    <w:p w14:paraId="3DBE28AB" w14:textId="77777777" w:rsidR="00D172CE" w:rsidRPr="00364545" w:rsidRDefault="00D172CE" w:rsidP="00CB4956"/>
    <w:p w14:paraId="438E4208" w14:textId="77777777" w:rsidR="00D172CE" w:rsidRPr="00364545" w:rsidRDefault="00D172CE">
      <w:pPr>
        <w:spacing w:line="240" w:lineRule="atLeast"/>
        <w:jc w:val="left"/>
      </w:pPr>
      <w:r w:rsidRPr="00364545">
        <w:br w:type="page"/>
      </w:r>
    </w:p>
    <w:p w14:paraId="33FB843A" w14:textId="2F19B153" w:rsidR="0051771F" w:rsidRPr="00364545" w:rsidRDefault="005D5AA6" w:rsidP="0029657F">
      <w:pPr>
        <w:pStyle w:val="Titre1Niveau1"/>
        <w:ind w:left="0" w:right="27"/>
      </w:pPr>
      <w:bookmarkStart w:id="0" w:name="ChapitreI"/>
      <w:bookmarkStart w:id="1" w:name="_Toc138341759"/>
      <w:r w:rsidRPr="00364545">
        <w:t>Chapter I - Executive Summary</w:t>
      </w:r>
      <w:bookmarkEnd w:id="0"/>
      <w:bookmarkEnd w:id="1"/>
    </w:p>
    <w:p w14:paraId="6D65FD9D" w14:textId="77777777" w:rsidR="00133BB6" w:rsidRPr="00364545" w:rsidRDefault="00133BB6" w:rsidP="003F57EA">
      <w:pPr>
        <w:pStyle w:val="Titre2Niveau2"/>
      </w:pPr>
      <w:bookmarkStart w:id="2" w:name="__RefHeading__353_475148820"/>
      <w:bookmarkStart w:id="3" w:name="_Toc118276984"/>
      <w:bookmarkStart w:id="4" w:name="_Toc118296275"/>
      <w:bookmarkStart w:id="5" w:name="_Toc118381484"/>
      <w:bookmarkStart w:id="6" w:name="_Toc138341760"/>
      <w:r w:rsidRPr="00364545">
        <w:t>National circumstances</w:t>
      </w:r>
      <w:bookmarkEnd w:id="2"/>
      <w:bookmarkEnd w:id="3"/>
      <w:bookmarkEnd w:id="4"/>
      <w:bookmarkEnd w:id="5"/>
      <w:bookmarkEnd w:id="6"/>
    </w:p>
    <w:p w14:paraId="7CBF6871" w14:textId="2E191F52" w:rsidR="00133BB6" w:rsidRPr="00364545" w:rsidRDefault="00133BB6" w:rsidP="003F57EA">
      <w:pPr>
        <w:pStyle w:val="Titre3Niveau3"/>
      </w:pPr>
      <w:bookmarkStart w:id="7" w:name="_Toc118276985"/>
      <w:bookmarkStart w:id="8" w:name="_Toc118296276"/>
      <w:bookmarkStart w:id="9" w:name="_Toc118381485"/>
      <w:bookmarkStart w:id="10" w:name="_Toc138341761"/>
      <w:r w:rsidRPr="00364545">
        <w:t>A country committed to meeting the challenge of climate change</w:t>
      </w:r>
      <w:bookmarkEnd w:id="7"/>
      <w:bookmarkEnd w:id="8"/>
      <w:bookmarkEnd w:id="9"/>
      <w:bookmarkEnd w:id="10"/>
    </w:p>
    <w:p w14:paraId="5616B35B" w14:textId="41BA60EA" w:rsidR="00133BB6" w:rsidRPr="00364545" w:rsidRDefault="00133BB6" w:rsidP="00AA2B36">
      <w:pPr>
        <w:rPr>
          <w:rStyle w:val="Strong"/>
          <w:rFonts w:ascii="Calibri" w:hAnsi="Calibri" w:cs="Calibri"/>
        </w:rPr>
      </w:pPr>
      <w:r w:rsidRPr="00364545">
        <w:t>France's commitment to addressing climate change mitigation policies and measures began in the early 1990s with the Rio Conference and the signing of the United Nations Framework Convention on Climate Change in 1992. The country's climate policy has evolved and strengthened in line with international negotiations and the development of expertise in the area, and was outlined in an integrated manner in the National Climate Change Programme which was adopted in the year 2000. Following this, the national mitigation policy has been supported by the regular publication of Climate Plans in 2004, 2006, 2009, 2011, 2013 and 2017. In 2015, the law on energy transition for green growth instituted the ‘National Low-Carbon Strategy’ (a prescriptive strategy which outlines</w:t>
      </w:r>
      <w:r w:rsidRPr="00364545">
        <w:rPr>
          <w:b/>
        </w:rPr>
        <w:t xml:space="preserve"> </w:t>
      </w:r>
      <w:r w:rsidRPr="00364545">
        <w:rPr>
          <w:rStyle w:val="Strong"/>
        </w:rPr>
        <w:t xml:space="preserve">France's roadmap for implementing its climate change mitigation policy and meeting its short-, medium- and long-term greenhouse gas (GHG) emission reduction targets). </w:t>
      </w:r>
      <w:r w:rsidRPr="00364545">
        <w:rPr>
          <w:rStyle w:val="Strong"/>
          <w:b w:val="0"/>
        </w:rPr>
        <w:t xml:space="preserve">This document is reviewed every five years. </w:t>
      </w:r>
      <w:r w:rsidRPr="00364545">
        <w:rPr>
          <w:rStyle w:val="Strong"/>
        </w:rPr>
        <w:t>The first NLCS was adopted in November 2015. The current NLCS (second version) was adopted on 21 April 2020.</w:t>
      </w:r>
    </w:p>
    <w:p w14:paraId="3FEB9116" w14:textId="6B2C47FD" w:rsidR="00133BB6" w:rsidRPr="00364545" w:rsidRDefault="00133BB6" w:rsidP="00AA2B36">
      <w:r w:rsidRPr="00364545">
        <w:t>The first national adaptation strategy for climate change was published in 2006. In 2011, France adopted its first National Climate Change Adaptation Plan (PNACC) for the period 2011-2015. An evaluation of this adaptation plan and a consultation process led to the publication of the second National Adaptation Plan in December 2018.</w:t>
      </w:r>
    </w:p>
    <w:p w14:paraId="4B29C977" w14:textId="4D621091" w:rsidR="00133BB6" w:rsidRPr="00364545" w:rsidRDefault="00133BB6" w:rsidP="00133BB6">
      <w:pPr>
        <w:ind w:left="-2" w:right="54"/>
      </w:pPr>
      <w:r w:rsidRPr="00364545">
        <w:t>In line with the Paris Agreement adopted on 12 December 2015 and ratified on 5 October 2016, and as part of the European Green Deal through the publication in August 2021 of its Climate and Resilience Law, France is reiterating its commitment to fighting climate change and building up resilience to its effects.</w:t>
      </w:r>
    </w:p>
    <w:p w14:paraId="46226F9B" w14:textId="6C76BF86" w:rsidR="003723A6" w:rsidRPr="00364545" w:rsidRDefault="003723A6" w:rsidP="00133BB6">
      <w:pPr>
        <w:ind w:left="-2" w:right="54"/>
      </w:pPr>
    </w:p>
    <w:p w14:paraId="0A85FB7D" w14:textId="7ABAA5CD" w:rsidR="003723A6" w:rsidRPr="00364545" w:rsidRDefault="003723A6" w:rsidP="00AA2B36">
      <w:pPr>
        <w:ind w:right="57"/>
      </w:pPr>
      <w:r w:rsidRPr="00364545">
        <w:t>As far as energy policy is concerned, the Multiannual Energy Plan (MEP) sets out the guidelines and priorities for action by public authorities for the management of all forms of energy in mainland metropolitan France. The MEP must be compatible with the above-mentioned NLCS and cover a period of 10 years. The current MEP (2nd version, EPP2), covering the decade 2019-2028, was adopted in April 2020. The MEP is based on two main principles:</w:t>
      </w:r>
    </w:p>
    <w:p w14:paraId="33751A3E" w14:textId="77777777" w:rsidR="003723A6" w:rsidRPr="00364545" w:rsidRDefault="003723A6" w:rsidP="003F57EA">
      <w:pPr>
        <w:pStyle w:val="ListParagraph"/>
        <w:numPr>
          <w:ilvl w:val="0"/>
          <w:numId w:val="83"/>
        </w:numPr>
        <w:ind w:right="54"/>
      </w:pPr>
      <w:r w:rsidRPr="00364545">
        <w:t>reducing energy consumption.</w:t>
      </w:r>
    </w:p>
    <w:p w14:paraId="229E5B43" w14:textId="76339201" w:rsidR="003723A6" w:rsidRPr="00364545" w:rsidRDefault="003723A6" w:rsidP="003F57EA">
      <w:pPr>
        <w:pStyle w:val="ListParagraph"/>
        <w:numPr>
          <w:ilvl w:val="0"/>
          <w:numId w:val="83"/>
        </w:numPr>
        <w:ind w:right="54"/>
      </w:pPr>
      <w:r w:rsidRPr="00364545">
        <w:t>ending the use of fossil fuels (oil, gas, coal) and the total decarbonisation of our energy mix by 2050, in particular through the development of low-carbon energy sources (renewable energy, nuclear) and the transformation of uses (electrification in particular).</w:t>
      </w:r>
    </w:p>
    <w:p w14:paraId="1D22B738" w14:textId="1EA0AA21" w:rsidR="00133BB6" w:rsidRPr="00364545" w:rsidRDefault="00133BB6" w:rsidP="003F57EA">
      <w:pPr>
        <w:pStyle w:val="Titre3Niveau3"/>
      </w:pPr>
      <w:bookmarkStart w:id="11" w:name="_Toc118381486"/>
      <w:bookmarkStart w:id="12" w:name="_Toc138341762"/>
      <w:r w:rsidRPr="00364545">
        <w:t>Recent developments</w:t>
      </w:r>
      <w:bookmarkEnd w:id="11"/>
      <w:bookmarkEnd w:id="12"/>
    </w:p>
    <w:p w14:paraId="14AB793A" w14:textId="5671FAED" w:rsidR="00652F25" w:rsidRPr="00364545" w:rsidRDefault="00652F25" w:rsidP="00EF6DB6">
      <w:pPr>
        <w:pStyle w:val="Titre4niveau4"/>
      </w:pPr>
      <w:r w:rsidRPr="00364545">
        <w:t>At national level</w:t>
      </w:r>
    </w:p>
    <w:p w14:paraId="4A927FBE" w14:textId="367417F1" w:rsidR="00CF65D7" w:rsidRPr="00364545" w:rsidRDefault="00CF65D7" w:rsidP="00CF65D7">
      <w:r w:rsidRPr="00364545">
        <w:t>The sector-based approaches of the current NLCS have gradually been converted into legislation in recent years, leading to long-term changes in each of France's GHG-emitting sectors.</w:t>
      </w:r>
    </w:p>
    <w:p w14:paraId="749C7AC8" w14:textId="77777777" w:rsidR="00CF65D7" w:rsidRPr="00364545" w:rsidRDefault="00CF65D7" w:rsidP="00CF65D7">
      <w:pPr>
        <w:pStyle w:val="Default"/>
        <w:spacing w:after="120"/>
        <w:jc w:val="both"/>
        <w:rPr>
          <w:rFonts w:ascii="Marianne" w:hAnsi="Marianne"/>
          <w:sz w:val="22"/>
          <w:szCs w:val="22"/>
        </w:rPr>
      </w:pPr>
      <w:r w:rsidRPr="00364545">
        <w:rPr>
          <w:rFonts w:ascii="Marianne" w:hAnsi="Marianne"/>
          <w:sz w:val="22"/>
        </w:rPr>
        <w:t xml:space="preserve">In particular: </w:t>
      </w:r>
    </w:p>
    <w:p w14:paraId="321F39B3" w14:textId="04928427" w:rsidR="00CF65D7" w:rsidRPr="00364545" w:rsidRDefault="00CF65D7" w:rsidP="003F57EA">
      <w:pPr>
        <w:pStyle w:val="Default"/>
        <w:numPr>
          <w:ilvl w:val="0"/>
          <w:numId w:val="80"/>
        </w:numPr>
        <w:suppressAutoHyphens/>
        <w:autoSpaceDN/>
        <w:adjustRightInd/>
        <w:spacing w:after="120"/>
        <w:ind w:left="714" w:hanging="357"/>
        <w:jc w:val="both"/>
        <w:rPr>
          <w:rFonts w:ascii="Marianne" w:hAnsi="Marianne"/>
          <w:sz w:val="22"/>
          <w:szCs w:val="22"/>
        </w:rPr>
      </w:pPr>
      <w:r w:rsidRPr="00364545">
        <w:rPr>
          <w:rFonts w:ascii="Marianne" w:hAnsi="Marianne"/>
          <w:b/>
          <w:sz w:val="22"/>
        </w:rPr>
        <w:t>The law dated 30 December 2017 putting</w:t>
      </w:r>
      <w:r w:rsidRPr="00364545">
        <w:rPr>
          <w:rFonts w:ascii="Marianne" w:hAnsi="Marianne"/>
          <w:sz w:val="22"/>
        </w:rPr>
        <w:t xml:space="preserve"> </w:t>
      </w:r>
      <w:r w:rsidRPr="00364545">
        <w:rPr>
          <w:rFonts w:ascii="Marianne" w:hAnsi="Marianne"/>
          <w:b/>
          <w:sz w:val="22"/>
        </w:rPr>
        <w:t>an end to the exploration and exploitation of hydrocarbons in France</w:t>
      </w:r>
      <w:r w:rsidRPr="00364545">
        <w:rPr>
          <w:rFonts w:ascii="Marianne" w:hAnsi="Marianne"/>
          <w:sz w:val="22"/>
        </w:rPr>
        <w:t xml:space="preserve"> includes a ban on the renewal of existing exploitation concessions beyond 2040, as well as a ban on the issuance of new hydrocarbon exploration permits. Crude oil production in France has been reduced by a factor of more than five since the end of the 1980s. In 2020, it amounted to 645 thousand tonnes.</w:t>
      </w:r>
    </w:p>
    <w:p w14:paraId="03E4827F" w14:textId="68AC21A7" w:rsidR="00CF65D7" w:rsidRPr="00364545" w:rsidRDefault="00CF65D7" w:rsidP="003F57EA">
      <w:pPr>
        <w:pStyle w:val="Default"/>
        <w:numPr>
          <w:ilvl w:val="0"/>
          <w:numId w:val="80"/>
        </w:numPr>
        <w:suppressAutoHyphens/>
        <w:spacing w:after="120"/>
        <w:ind w:left="714" w:hanging="357"/>
        <w:jc w:val="both"/>
        <w:rPr>
          <w:rFonts w:ascii="Marianne" w:hAnsi="Marianne" w:cs="Calibri"/>
          <w:b/>
          <w:szCs w:val="22"/>
        </w:rPr>
      </w:pPr>
      <w:r w:rsidRPr="00364545">
        <w:rPr>
          <w:rFonts w:ascii="Marianne" w:hAnsi="Marianne"/>
          <w:b/>
          <w:sz w:val="22"/>
        </w:rPr>
        <w:t xml:space="preserve">The law dated 23 November 2018 on changes in housing, land management and digital technology. </w:t>
      </w:r>
      <w:r w:rsidRPr="00364545">
        <w:rPr>
          <w:rFonts w:ascii="Marianne" w:hAnsi="Marianne"/>
          <w:sz w:val="22"/>
        </w:rPr>
        <w:t xml:space="preserve">This law is intended to simplify the construction process while giving stakeholders a sense of responsibility in reducing the energy consumption of buildings. In particular, this law laid the foundations for the environmental regulation of new builds, known as RE2020, which came into force on </w:t>
      </w:r>
      <w:r w:rsidRPr="00364545">
        <w:t>1</w:t>
      </w:r>
      <w:r w:rsidRPr="00364545">
        <w:rPr>
          <w:rFonts w:ascii="Marianne" w:hAnsi="Marianne"/>
          <w:sz w:val="22"/>
        </w:rPr>
        <w:t xml:space="preserve"> January 2022, replacing the previous thermal regulation (RT2012). </w:t>
      </w:r>
    </w:p>
    <w:p w14:paraId="11F197A2" w14:textId="2E9400CD" w:rsidR="00CF65D7" w:rsidRPr="00364545" w:rsidRDefault="00CF65D7" w:rsidP="003F57EA">
      <w:pPr>
        <w:pStyle w:val="Default"/>
        <w:numPr>
          <w:ilvl w:val="0"/>
          <w:numId w:val="80"/>
        </w:numPr>
        <w:suppressAutoHyphens/>
        <w:spacing w:after="120"/>
        <w:ind w:left="714" w:hanging="357"/>
        <w:jc w:val="both"/>
        <w:rPr>
          <w:rFonts w:ascii="Marianne" w:hAnsi="Marianne"/>
          <w:sz w:val="22"/>
          <w:szCs w:val="22"/>
        </w:rPr>
      </w:pPr>
      <w:r w:rsidRPr="00364545">
        <w:rPr>
          <w:rFonts w:ascii="Marianne" w:hAnsi="Marianne"/>
          <w:b/>
          <w:sz w:val="22"/>
        </w:rPr>
        <w:t xml:space="preserve">The law dated 30 October 2018 on balanced trade relations in the agricultural and food sector and healthy, sustainable food accessible to all (EGALIM). </w:t>
      </w:r>
      <w:r w:rsidRPr="00364545">
        <w:rPr>
          <w:rFonts w:ascii="Marianne" w:hAnsi="Marianne"/>
          <w:sz w:val="22"/>
        </w:rPr>
        <w:t xml:space="preserve">This law is intended to initiate a significant change in the way we eat to support a more environmentally friendly agricultural system. </w:t>
      </w:r>
      <w:r w:rsidRPr="00364545">
        <w:rPr>
          <w:sz w:val="22"/>
        </w:rPr>
        <w:t>Specifically, the EGALIM law:</w:t>
      </w:r>
      <w:r w:rsidRPr="00364545">
        <w:rPr>
          <w:rFonts w:ascii="Marianne" w:hAnsi="Marianne"/>
          <w:sz w:val="22"/>
        </w:rPr>
        <w:t xml:space="preserve"> 1) Provides support for organic production systems by regulating the minimum share of quality and sustainable products served in public catering by </w:t>
      </w:r>
      <w:r w:rsidRPr="00364545">
        <w:t>1</w:t>
      </w:r>
      <w:r w:rsidRPr="00364545">
        <w:rPr>
          <w:rFonts w:ascii="Marianne" w:hAnsi="Marianne"/>
          <w:sz w:val="22"/>
        </w:rPr>
        <w:t xml:space="preserve"> January 2022; 2) Introduces the provision of one weekly vegetarian menu per week in public catering services on a trial basis.</w:t>
      </w:r>
    </w:p>
    <w:p w14:paraId="72F5695B" w14:textId="7EEF8FFC" w:rsidR="00CF65D7" w:rsidRPr="00364545" w:rsidRDefault="00CF65D7" w:rsidP="003F57EA">
      <w:pPr>
        <w:pStyle w:val="Default"/>
        <w:numPr>
          <w:ilvl w:val="0"/>
          <w:numId w:val="80"/>
        </w:numPr>
        <w:suppressAutoHyphens/>
        <w:autoSpaceDN/>
        <w:adjustRightInd/>
        <w:spacing w:after="120"/>
        <w:jc w:val="both"/>
        <w:rPr>
          <w:rFonts w:ascii="Marianne" w:hAnsi="Marianne"/>
          <w:sz w:val="22"/>
          <w:szCs w:val="22"/>
        </w:rPr>
      </w:pPr>
      <w:r w:rsidRPr="00364545">
        <w:rPr>
          <w:rFonts w:ascii="Marianne" w:hAnsi="Marianne"/>
          <w:b/>
          <w:sz w:val="22"/>
        </w:rPr>
        <w:t>The law dated 8 November 2019 on energy and the climate</w:t>
      </w:r>
      <w:r w:rsidRPr="00364545">
        <w:rPr>
          <w:rFonts w:ascii="Marianne" w:hAnsi="Marianne"/>
          <w:sz w:val="22"/>
        </w:rPr>
        <w:t xml:space="preserve"> has enshrined in law the objective of carbon neutrality by 2050. To achieve this, the law provides for a set of measures aimed at reducing our dependence on fossil fuels (end of coal-fired electricity production), accelerating the development of renewable energy (mandatory installation of solar panels on all new warehouses and commercial buildings with a floor area of over 1,000 square metres, introduction of renewable energy communities, support for the low-carbon and renewable hydrogen sector, etc.), combating thermal leakage (freezing of rents for energy leakage between two tenancies from 2021, etc.) and creating steering, governance and assessment tools for our climate policy</w:t>
      </w:r>
      <w:r w:rsidRPr="00364545">
        <w:rPr>
          <w:rFonts w:ascii="Calibri" w:hAnsi="Calibri"/>
          <w:sz w:val="22"/>
        </w:rPr>
        <w:t> </w:t>
      </w:r>
      <w:r w:rsidRPr="00364545">
        <w:rPr>
          <w:rFonts w:ascii="Marianne" w:hAnsi="Marianne"/>
          <w:sz w:val="22"/>
        </w:rPr>
        <w:t>(creation of the High Council on Climate, introduction of a five-year energy and climate programming law from 2023 onwards, etc.).</w:t>
      </w:r>
    </w:p>
    <w:p w14:paraId="4BD7C663" w14:textId="77777777" w:rsidR="00CF65D7" w:rsidRPr="00364545" w:rsidRDefault="00CF65D7" w:rsidP="003F57EA">
      <w:pPr>
        <w:pStyle w:val="Default"/>
        <w:numPr>
          <w:ilvl w:val="0"/>
          <w:numId w:val="80"/>
        </w:numPr>
        <w:suppressAutoHyphens/>
        <w:autoSpaceDN/>
        <w:adjustRightInd/>
        <w:spacing w:after="120"/>
        <w:ind w:left="714" w:hanging="357"/>
        <w:jc w:val="both"/>
        <w:rPr>
          <w:rFonts w:ascii="Marianne" w:hAnsi="Marianne"/>
          <w:sz w:val="22"/>
          <w:szCs w:val="22"/>
        </w:rPr>
      </w:pPr>
      <w:r w:rsidRPr="00364545">
        <w:rPr>
          <w:rFonts w:ascii="Marianne" w:hAnsi="Marianne"/>
          <w:b/>
          <w:sz w:val="22"/>
        </w:rPr>
        <w:t>The law dated 24 December 2019 on the orientation of mobility (LOM)</w:t>
      </w:r>
      <w:r w:rsidRPr="00364545">
        <w:rPr>
          <w:rFonts w:ascii="Marianne" w:hAnsi="Marianne"/>
          <w:sz w:val="22"/>
        </w:rPr>
        <w:t xml:space="preserve"> fundamentally transforms mobility policy and is based on three principles: investing more and better in everyday transport (increased resources for the maintenance of existing networks, investment in an RER plan for metropolitan areas, opening up rural areas, etc.), facilitating and encouraging the rollout of new solutions to enable everyone to travel (creation of a sustainable mobility pass, development of innovative mobility solutions </w:t>
      </w:r>
      <w:r w:rsidRPr="00364545">
        <w:rPr>
          <w:rFonts w:ascii="Marianne" w:hAnsi="Marianne"/>
        </w:rPr>
        <w:t xml:space="preserve"> </w:t>
      </w:r>
      <w:r w:rsidRPr="00364545">
        <w:rPr>
          <w:rFonts w:ascii="Marianne" w:hAnsi="Marianne"/>
          <w:sz w:val="22"/>
        </w:rPr>
        <w:t>by taking advantage of the digital revolution to offer new services to users, etc.), and initiating the transition to cleaner mobility (banning the sale of new light vehicles using carbon-based fossil fuels by 2040, setting up low-emission zones, etc.);</w:t>
      </w:r>
    </w:p>
    <w:p w14:paraId="253CA8F5" w14:textId="4773BCBE" w:rsidR="00CF65D7" w:rsidRPr="00364545" w:rsidRDefault="00CF65D7" w:rsidP="003F57EA">
      <w:pPr>
        <w:pStyle w:val="ListParagraph"/>
        <w:numPr>
          <w:ilvl w:val="0"/>
          <w:numId w:val="80"/>
        </w:numPr>
        <w:ind w:left="714" w:hanging="357"/>
        <w:contextualSpacing w:val="0"/>
        <w:rPr>
          <w:color w:val="000000"/>
          <w:szCs w:val="22"/>
        </w:rPr>
      </w:pPr>
      <w:r w:rsidRPr="00364545">
        <w:rPr>
          <w:b/>
        </w:rPr>
        <w:t xml:space="preserve">The Law dated 10 February 2020 on the fight against waste and the circular economy (AGEC) </w:t>
      </w:r>
      <w:r w:rsidRPr="00364545">
        <w:t xml:space="preserve"> aims to accelerate changes in the production and consumption model in order to limit waste and preserve natural resources, biodiversity and the climate through five main areas: getting rid of disposable plastic (end of single-use plastic packaging by 2040, reusable containers being authorised in retail outlets, etc.), better informing of consumers (environmental labelling, more efficient sorting thanks to a single logo and standardisation of the colour of waste bins, etc.), combating built-in obsolescence (display of a reparability index on products, use of spare parts from the circular economy, etc.) and better production (creation of new ‘polluter-pays’ schemes, creation of reuse funds, etc.)</w:t>
      </w:r>
    </w:p>
    <w:p w14:paraId="232A7B9F" w14:textId="470E0FAA" w:rsidR="00CF65D7" w:rsidRPr="00364545" w:rsidRDefault="00CF65D7" w:rsidP="003F57EA">
      <w:pPr>
        <w:pStyle w:val="ListParagraph"/>
        <w:numPr>
          <w:ilvl w:val="0"/>
          <w:numId w:val="80"/>
        </w:numPr>
        <w:ind w:left="714" w:hanging="357"/>
        <w:contextualSpacing w:val="0"/>
        <w:rPr>
          <w:color w:val="000000"/>
        </w:rPr>
      </w:pPr>
      <w:r w:rsidRPr="00364545">
        <w:t>Law No.2021-1104 dated 22 August 2021 combats climate change and strengthens resilience to its effects (known as the ‘Climate and Resilience Law’). This unprecedented law, which incorporates the legislative provisions recommended by the Citizens' Climate Convention, has consolidated this foundation. This law, which is organised into seven key areas (consumption, production and work, travel, housing, food, strengthening judicial protection of the environment and improving climate and environmental governance) covers all major GHG-emitting sectors. It complements or accelerates previous measures by setting more ambitious targets or timetables, or by creating new drivers to achieve our goals.</w:t>
      </w:r>
    </w:p>
    <w:p w14:paraId="6D861218" w14:textId="77777777" w:rsidR="00E07A8D" w:rsidRPr="00364545" w:rsidRDefault="00E07A8D" w:rsidP="00E07A8D">
      <w:pPr>
        <w:pStyle w:val="ListParagraph"/>
        <w:autoSpaceDE w:val="0"/>
        <w:autoSpaceDN w:val="0"/>
        <w:adjustRightInd w:val="0"/>
        <w:rPr>
          <w:color w:val="000000"/>
          <w:szCs w:val="22"/>
        </w:rPr>
      </w:pPr>
    </w:p>
    <w:p w14:paraId="017BD07E" w14:textId="161EEAE8" w:rsidR="00E07A8D" w:rsidRPr="00364545" w:rsidRDefault="00E07A8D" w:rsidP="00E07A8D">
      <w:pPr>
        <w:autoSpaceDE w:val="0"/>
        <w:autoSpaceDN w:val="0"/>
        <w:adjustRightInd w:val="0"/>
        <w:rPr>
          <w:szCs w:val="22"/>
        </w:rPr>
      </w:pPr>
      <w:r w:rsidRPr="00364545">
        <w:t>This work will be continued in the coming months (draft law on the acceleration of renewable energy, draft law on the acceleration of procedures related to the construction of new nuclear facilities, etc.).</w:t>
      </w:r>
    </w:p>
    <w:p w14:paraId="1EC73A6A" w14:textId="77777777" w:rsidR="00CF65D7" w:rsidRPr="00364545" w:rsidRDefault="00CF65D7" w:rsidP="00CF65D7"/>
    <w:p w14:paraId="6C6305DF" w14:textId="77777777" w:rsidR="00D2432A" w:rsidRPr="00364545" w:rsidRDefault="00D2432A" w:rsidP="00E07A8D">
      <w:pPr>
        <w:rPr>
          <w:b/>
        </w:rPr>
      </w:pPr>
      <w:r w:rsidRPr="00364545">
        <w:t>The Covid-19 pandemic resulted in an upheaval for our economy, the consequences of which are not yet fully appreciated. However, it is also an opportunity to initiate some structural change.</w:t>
      </w:r>
      <w:r w:rsidRPr="00364545">
        <w:rPr>
          <w:b/>
        </w:rPr>
        <w:t xml:space="preserve"> </w:t>
      </w:r>
    </w:p>
    <w:p w14:paraId="7B124203" w14:textId="77777777" w:rsidR="00D2432A" w:rsidRPr="00364545" w:rsidRDefault="00D2432A" w:rsidP="00E07A8D">
      <w:pPr>
        <w:rPr>
          <w:b/>
        </w:rPr>
      </w:pPr>
    </w:p>
    <w:p w14:paraId="7E213677" w14:textId="741AD9C6" w:rsidR="009710F6" w:rsidRPr="00364545" w:rsidRDefault="00E07A8D" w:rsidP="009710F6">
      <w:r w:rsidRPr="00364545">
        <w:t>To support the fundamental changes that this transition requires of us, the Government has committed significant financial resources. Together, the various plans and programmes cover all the sectors of the SNBC. As a result, € 30 billion of the € 100 billion ‘France Relance’ plan announced to deal with the effects of the Covid-19 health crisis have been specifically earmarked for financing the ecological  transition: support for the decarbonisation of industry, thermal renovation, greening transport, the transition of the automotive and aeronautical sectors, agricultural transition, the circular economy, etc. In addition, on 12 October 2021, the President of the Republic announced the major ‘France 2030’ investment plan, which has a budget of € 34 billion to be deployed over 5 years, half of which is dedicated to the ecological  transition. This plan is intended to stimulate technological innovation and support the transition of our sectors of excellence, be it energy, automotive or aeronautics.</w:t>
      </w:r>
      <w:r w:rsidRPr="00364545">
        <w:rPr>
          <w:rFonts w:ascii="Calibri" w:hAnsi="Calibri"/>
        </w:rPr>
        <w:t> </w:t>
      </w:r>
      <w:r w:rsidRPr="00364545">
        <w:t>€ 8 billion is earmarked for the energy sector in order to build a decarbonised and resilient France, in particular through the development of decarbonised hydrogen and decarbonising our industry.</w:t>
      </w:r>
      <w:r w:rsidRPr="00364545">
        <w:rPr>
          <w:rFonts w:ascii="Calibri" w:hAnsi="Calibri"/>
        </w:rPr>
        <w:t> </w:t>
      </w:r>
      <w:r w:rsidRPr="00364545">
        <w:t>Nearly €4 billion is also planned for ‘transport of the future’, with the aim of producing two million electric or hybrid vehicles per year, as well as the first low-carbon aircraft.</w:t>
      </w:r>
    </w:p>
    <w:p w14:paraId="7FF550BF" w14:textId="5AE35654" w:rsidR="00652F25" w:rsidRPr="00364545" w:rsidRDefault="00652F25" w:rsidP="00EF6DB6">
      <w:pPr>
        <w:pStyle w:val="Titre4niveau4"/>
      </w:pPr>
      <w:r w:rsidRPr="00364545">
        <w:t>At the local authority level</w:t>
      </w:r>
    </w:p>
    <w:p w14:paraId="57DBA2C7" w14:textId="551CB261" w:rsidR="00133BB6" w:rsidRPr="00364545" w:rsidRDefault="00133BB6" w:rsidP="00133BB6">
      <w:pPr>
        <w:ind w:left="-2" w:right="54"/>
      </w:pPr>
      <w:r w:rsidRPr="00364545">
        <w:t xml:space="preserve">The role played by local authorities in the low-carbon transition is essential: the regions, departments, EPCIs and communes have important leverage in their areas of competence, whether direct or indirect, for implementing the environmental and energy transition in their regions. </w:t>
      </w:r>
    </w:p>
    <w:p w14:paraId="2000986B" w14:textId="77777777" w:rsidR="00133BB6" w:rsidRPr="00364545" w:rsidRDefault="00133BB6" w:rsidP="00133BB6">
      <w:pPr>
        <w:ind w:left="-2" w:right="54"/>
      </w:pPr>
    </w:p>
    <w:p w14:paraId="51E3F878" w14:textId="38954777" w:rsidR="00133BB6" w:rsidRPr="00364545" w:rsidRDefault="00133BB6" w:rsidP="00133BB6">
      <w:pPr>
        <w:ind w:left="-2" w:right="54"/>
      </w:pPr>
      <w:r w:rsidRPr="00364545">
        <w:t xml:space="preserve">The Climate &amp; Resilience Law has reinforced the level of importance in terms of strategy regions play regarding renewable energy by putting in place several measures. A regional energy committee will be set up for each region within a metropolitan area. It will be responsible for promoting dialogue, particularly with local and regional authorities, on energy issues within the region. It will be involved in setting, monitoring and evaluating the implementation of the regional plan’s renewable energy and energy recovery development objectives for spatial planning, sustainable development and equality (SRADDET). Starting with the next revision of the Multiannual Energy Programme (MEP), regional renewable energy development targets will be established by decree for mainland metropolitan France following consultation with the regional councils concerned in order to contribute to the national targets. </w:t>
      </w:r>
    </w:p>
    <w:p w14:paraId="29BCDBBE" w14:textId="0DB2B4D0" w:rsidR="00133BB6" w:rsidRPr="00364545" w:rsidRDefault="00133BB6" w:rsidP="00190282">
      <w:pPr>
        <w:ind w:right="54"/>
      </w:pPr>
    </w:p>
    <w:p w14:paraId="31507D6F" w14:textId="35E84FD7" w:rsidR="00133BB6" w:rsidRPr="00364545" w:rsidRDefault="00133BB6" w:rsidP="00945C40">
      <w:pPr>
        <w:ind w:left="-2" w:right="54"/>
      </w:pPr>
      <w:r w:rsidRPr="00364545">
        <w:t>In terms of land use planning, the artificialisation of land has lasting (if not irreversible) impacts on our ability to preserve carbon sinks in the country and indirectly on our energy consumption, with resulting repercussions on travel. The objective set at a national level is to achieve a rate of zero net artificialisation by 2050. To this end, the climate and resilience law allows for the national objective of zero artificialisation to be applied at a regional level by engaging all levels of responsibility right up to the level of the local authority responsible for drawing up the local urban development plan.</w:t>
      </w:r>
    </w:p>
    <w:p w14:paraId="117C9495" w14:textId="78E6EF12" w:rsidR="00176265" w:rsidRPr="00364545" w:rsidRDefault="00133BB6" w:rsidP="003F57EA">
      <w:pPr>
        <w:pStyle w:val="Titre2Niveau2"/>
      </w:pPr>
      <w:bookmarkStart w:id="13" w:name="_Toc118381487"/>
      <w:bookmarkStart w:id="14" w:name="_Toc138341763"/>
      <w:r w:rsidRPr="00364545">
        <w:t>Information related to the GHG inventory includes information related to the national inventory system and the national registry</w:t>
      </w:r>
      <w:bookmarkStart w:id="15" w:name="_Toc121431289"/>
      <w:bookmarkStart w:id="16" w:name="_Toc121431449"/>
      <w:bookmarkStart w:id="17" w:name="_Toc121431610"/>
      <w:bookmarkStart w:id="18" w:name="_Toc121431773"/>
      <w:bookmarkStart w:id="19" w:name="_Toc121431935"/>
      <w:bookmarkStart w:id="20" w:name="_Toc121431290"/>
      <w:bookmarkStart w:id="21" w:name="_Toc121431450"/>
      <w:bookmarkStart w:id="22" w:name="_Toc121431611"/>
      <w:bookmarkStart w:id="23" w:name="_Toc121431774"/>
      <w:bookmarkStart w:id="24" w:name="_Toc121431936"/>
      <w:bookmarkStart w:id="25" w:name="_Toc118381488"/>
      <w:bookmarkEnd w:id="13"/>
      <w:bookmarkEnd w:id="15"/>
      <w:bookmarkEnd w:id="16"/>
      <w:bookmarkEnd w:id="17"/>
      <w:bookmarkEnd w:id="18"/>
      <w:bookmarkEnd w:id="19"/>
      <w:bookmarkEnd w:id="20"/>
      <w:bookmarkEnd w:id="21"/>
      <w:bookmarkEnd w:id="22"/>
      <w:bookmarkEnd w:id="23"/>
      <w:bookmarkEnd w:id="24"/>
      <w:bookmarkEnd w:id="14"/>
    </w:p>
    <w:p w14:paraId="3A78E747" w14:textId="3DBCDD24" w:rsidR="00133BB6" w:rsidRPr="00364545" w:rsidRDefault="00133BB6" w:rsidP="003F57EA">
      <w:pPr>
        <w:pStyle w:val="Titre3Niveau3"/>
      </w:pPr>
      <w:bookmarkStart w:id="26" w:name="_Toc138341764"/>
      <w:r w:rsidRPr="00364545">
        <w:t>Trends</w:t>
      </w:r>
      <w:bookmarkEnd w:id="25"/>
      <w:bookmarkEnd w:id="26"/>
    </w:p>
    <w:p w14:paraId="4B4D6A6E" w14:textId="48155AE8" w:rsidR="00133BB6" w:rsidRPr="00364545" w:rsidRDefault="00133BB6" w:rsidP="00133BB6">
      <w:r w:rsidRPr="00364545">
        <w:t>In 2020, French greenhouse gas emissions within the framework of the Convention were estimated to be 399.41 MtCO</w:t>
      </w:r>
      <w:r w:rsidRPr="00364545">
        <w:rPr>
          <w:vertAlign w:val="subscript"/>
        </w:rPr>
        <w:t>2e</w:t>
      </w:r>
      <w:r w:rsidRPr="00364545">
        <w:t xml:space="preserve"> excluding LULUCF. After relative emissions stability in the 1990s, there was a sharp decrease from 2005 onwards. Emissions fell sharply between 2019 and 2020 as a result of the lockdown measures put in place to combat the Covid-19 pandemic and the economic downturn. As a result, it is not possible to identify the effect of policies alone.</w:t>
      </w:r>
    </w:p>
    <w:p w14:paraId="0CD7B3B0" w14:textId="77777777" w:rsidR="00946A0A" w:rsidRPr="00364545" w:rsidRDefault="00946A0A" w:rsidP="00133BB6"/>
    <w:p w14:paraId="73F8DD6B" w14:textId="7F1A855C" w:rsidR="00133BB6" w:rsidRPr="00364545" w:rsidRDefault="00133BB6" w:rsidP="00133BB6">
      <w:r w:rsidRPr="00364545">
        <w:t>Energy use remains the main source of greenhouse gas emissions in France, accounting for 67% of emissions in 2020. For emissions resulting from energy combustion, the most emitting sector is transport (41.4% increase compared to 1990), while the energy industries account for 26.7% of emissions.</w:t>
      </w:r>
    </w:p>
    <w:p w14:paraId="2D533B72" w14:textId="77777777" w:rsidR="00133BB6" w:rsidRPr="00364545" w:rsidRDefault="00133BB6" w:rsidP="00133BB6">
      <w:pPr>
        <w:rPr>
          <w:rFonts w:ascii="Marianne Light" w:hAnsi="Marianne Light"/>
          <w:sz w:val="32"/>
          <w:szCs w:val="22"/>
        </w:rPr>
      </w:pPr>
    </w:p>
    <w:p w14:paraId="6D1C5BB4" w14:textId="6CBEAE53" w:rsidR="00133BB6" w:rsidRPr="00364545" w:rsidRDefault="00133BB6" w:rsidP="00133BB6">
      <w:r w:rsidRPr="00364545">
        <w:t>Between 1990 and 2020, France's greenhouse gas emissions (within the scope of the Kyoto Protocol) excluding LULUCF decreased by 27.8% compared to 1990, while the population increased by 16%. French emissions per capita within the same scope fell from 9.6 t CO</w:t>
      </w:r>
      <w:r w:rsidRPr="00364545">
        <w:rPr>
          <w:vertAlign w:val="subscript"/>
        </w:rPr>
        <w:t>2e</w:t>
      </w:r>
      <w:r w:rsidRPr="00364545">
        <w:t xml:space="preserve"> to 6 tCO</w:t>
      </w:r>
      <w:r w:rsidRPr="00364545">
        <w:rPr>
          <w:vertAlign w:val="subscript"/>
        </w:rPr>
        <w:t>2e</w:t>
      </w:r>
      <w:r w:rsidRPr="00364545">
        <w:t xml:space="preserve"> between 1990 and 2020, representing a reduction of 38%.</w:t>
      </w:r>
    </w:p>
    <w:p w14:paraId="294C6788" w14:textId="77777777" w:rsidR="00946A0A" w:rsidRPr="00364545" w:rsidRDefault="00946A0A" w:rsidP="00133BB6"/>
    <w:p w14:paraId="73F6F9AE" w14:textId="7E440205" w:rsidR="00133BB6" w:rsidRPr="00364545" w:rsidRDefault="00133BB6" w:rsidP="00133BB6">
      <w:r w:rsidRPr="00364545">
        <w:t>CO</w:t>
      </w:r>
      <w:r w:rsidRPr="00364545">
        <w:rPr>
          <w:vertAlign w:val="subscript"/>
        </w:rPr>
        <w:t>2</w:t>
      </w:r>
      <w:r w:rsidRPr="00364545">
        <w:t xml:space="preserve"> emissions have decreased by 27.3% between 1990 and 2020. N</w:t>
      </w:r>
      <w:r w:rsidRPr="00364545">
        <w:rPr>
          <w:vertAlign w:val="subscript"/>
        </w:rPr>
        <w:t>2</w:t>
      </w:r>
      <w:r w:rsidRPr="00364545">
        <w:t>O and CH</w:t>
      </w:r>
      <w:r w:rsidRPr="00364545">
        <w:rPr>
          <w:vertAlign w:val="subscript"/>
        </w:rPr>
        <w:t>4</w:t>
      </w:r>
      <w:r w:rsidRPr="00364545">
        <w:t xml:space="preserve"> emissions excluding LULUCF also decreased between 1990 and 2020 (by 44.2% and 21% respectively) thanks to the sector-specific measures implemented, such as methane recovery from landfills, reduction of the amount of input on agricultural soils and the implementation of abatement measures in industry.</w:t>
      </w:r>
    </w:p>
    <w:p w14:paraId="64D57AA0" w14:textId="2B71D679" w:rsidR="00133BB6" w:rsidRPr="00364545" w:rsidRDefault="00133BB6" w:rsidP="00EF6DB6">
      <w:pPr>
        <w:pStyle w:val="Titre4niveau4"/>
      </w:pPr>
      <w:r w:rsidRPr="00364545">
        <w:t>Analysis by sector of activity</w:t>
      </w:r>
    </w:p>
    <w:p w14:paraId="6CCE340C" w14:textId="58018469" w:rsidR="00133BB6" w:rsidRPr="00364545" w:rsidRDefault="00133BB6" w:rsidP="00133BB6">
      <w:r w:rsidRPr="00364545">
        <w:t>Transport is the greatest emitter of greenhouse gases in France. In 2020, it represented 27.7% of national emissions, i.e. 110.6 MtCO</w:t>
      </w:r>
      <w:r w:rsidRPr="00364545">
        <w:rPr>
          <w:vertAlign w:val="subscript"/>
        </w:rPr>
        <w:t>2e</w:t>
      </w:r>
      <w:r w:rsidRPr="00364545">
        <w:t>, with a strong increase between 1990 and 2004 (+18.1%) followed by a decrease of 24% since 2004. The strong growth in biofuels from 2005 onwards has made it possible to significantly limit these emissions from the road transport sector, which in 2020 represented 95.3% of the transport sector's emissions, and this proportion is still growing.</w:t>
      </w:r>
    </w:p>
    <w:p w14:paraId="20A17515" w14:textId="77777777" w:rsidR="00946A0A" w:rsidRPr="00364545" w:rsidRDefault="00946A0A" w:rsidP="00133BB6"/>
    <w:p w14:paraId="3DAFAE17" w14:textId="3DE9580C" w:rsidR="00133BB6" w:rsidRPr="00364545" w:rsidRDefault="00133BB6" w:rsidP="00133BB6">
      <w:r w:rsidRPr="00364545">
        <w:t>In 2020, greenhouse gas emissions from agriculture represented 70.6 MtCO</w:t>
      </w:r>
      <w:r w:rsidRPr="00364545">
        <w:rPr>
          <w:vertAlign w:val="subscript"/>
        </w:rPr>
        <w:t>2e</w:t>
      </w:r>
      <w:r w:rsidRPr="00364545">
        <w:t xml:space="preserve"> (excluding carbon sinks), or 17.7% of French emissions. The main sources of emissions are CH</w:t>
      </w:r>
      <w:r w:rsidRPr="00364545">
        <w:rPr>
          <w:vertAlign w:val="subscript"/>
        </w:rPr>
        <w:t>4</w:t>
      </w:r>
      <w:r w:rsidRPr="00364545">
        <w:t xml:space="preserve"> CH4 emitted by livestock (enteric fermentation) and N</w:t>
      </w:r>
      <w:r w:rsidRPr="00364545">
        <w:rPr>
          <w:vertAlign w:val="subscript"/>
        </w:rPr>
        <w:t>2</w:t>
      </w:r>
      <w:r w:rsidRPr="00364545">
        <w:t>O, which is linked to the nitrogen cycle. The continuing reduction of greenhouse gas emissions from agriculture since 1990 is due to the decrease in use of nitrogen fertilizer and a decrease in cattle numbers. If emissions due to energy combustion in the agricultural sector (machinery and buildings) are added, emissions then amount to 82 MtCO</w:t>
      </w:r>
      <w:r w:rsidRPr="00364545">
        <w:rPr>
          <w:vertAlign w:val="subscript"/>
        </w:rPr>
        <w:t>2e</w:t>
      </w:r>
      <w:r w:rsidRPr="00364545">
        <w:t>, i.e. 20.5% of total emissions.</w:t>
      </w:r>
    </w:p>
    <w:p w14:paraId="17B67A68" w14:textId="26DCB4D4" w:rsidR="00133BB6" w:rsidRPr="00364545" w:rsidRDefault="003723A6" w:rsidP="00133BB6">
      <w:r w:rsidRPr="00364545">
        <w:t>Emissions due to energy combustion in the residential/tertiary sector represented, in 2020, 15% of national emissions, i.e. 59.9 MtCO</w:t>
      </w:r>
      <w:r w:rsidRPr="00364545">
        <w:rPr>
          <w:vertAlign w:val="subscript"/>
        </w:rPr>
        <w:t>2e</w:t>
      </w:r>
      <w:r w:rsidRPr="00364545">
        <w:t>. This was down by 16 MtCO</w:t>
      </w:r>
      <w:r w:rsidRPr="00364545">
        <w:rPr>
          <w:vertAlign w:val="subscript"/>
        </w:rPr>
        <w:t>2e</w:t>
      </w:r>
      <w:r w:rsidRPr="00364545">
        <w:t xml:space="preserve"> in comparison with 1990 (85.9 MtCO</w:t>
      </w:r>
      <w:r w:rsidRPr="00364545">
        <w:rPr>
          <w:vertAlign w:val="subscript"/>
        </w:rPr>
        <w:t>2e</w:t>
      </w:r>
      <w:r w:rsidRPr="00364545">
        <w:t xml:space="preserve">, i.e. 21.5% of the total in 2015). This decrease is the result of a policy of financing energy renovation directed at decarbonised energy carriers and putting an end to subsidies for renewing carbon-based heating systems. This is also the result of a series of regulations for new builds. These measures have stabilised emissions from the tertiary sector by offsetting the increase in emissions linked to the increase in the number of dwellings with a change in the energy mix: fuel oil has fallen sharply in favour of gas and electricity, and the use of coal continues to decline. </w:t>
      </w:r>
    </w:p>
    <w:p w14:paraId="1D2DE468" w14:textId="33253949" w:rsidR="00AD1E0D" w:rsidRPr="00364545" w:rsidRDefault="00133BB6" w:rsidP="00133BB6">
      <w:r w:rsidRPr="00364545">
        <w:t>Compared to 1990, emissions from industry (including industrial processes) - which in 2020 accounted for 10% of the national total excluding LULUCF - are down sharply in France (-48.9%), due to the tertiarisation of the French economy linked to the loss of industrial sites and the economic crisis of 2008-2009. The majority of emission reductions are also due to process improvements and energy and carbon efficiency gains. The chemical sector saw its emissions fall by 81% in France between 1990 and 2020, thanks in particular to a drastic reduction in N</w:t>
      </w:r>
      <w:r w:rsidRPr="00364545">
        <w:rPr>
          <w:vertAlign w:val="subscript"/>
        </w:rPr>
        <w:t>2</w:t>
      </w:r>
      <w:r w:rsidRPr="00364545">
        <w:t>O emissions (-97.4%) linked to the production of adipic and nitric acids. If we add the emissions linked to energy consumption in industry, the sector accounts for 21.5% (of total emissions), down 40.5% since 1990.</w:t>
      </w:r>
    </w:p>
    <w:p w14:paraId="2CA6BD09" w14:textId="0FB4A3C3" w:rsidR="00AD1E0D" w:rsidRPr="00364545" w:rsidRDefault="00AD1E0D" w:rsidP="00AD1E0D">
      <w:r w:rsidRPr="00364545">
        <w:t>Emissions from the energy industries sector stood at 37.8 MtCO</w:t>
      </w:r>
      <w:r w:rsidRPr="00364545">
        <w:rPr>
          <w:vertAlign w:val="subscript"/>
        </w:rPr>
        <w:t>2e</w:t>
      </w:r>
      <w:r w:rsidRPr="00364545">
        <w:t xml:space="preserve"> in 2020, or only 9.4% of French emissions. These are down by 43.2% compared to 1990 (66.6 MtCO</w:t>
      </w:r>
      <w:r w:rsidRPr="00364545">
        <w:rPr>
          <w:vertAlign w:val="subscript"/>
        </w:rPr>
        <w:t>2e</w:t>
      </w:r>
      <w:r w:rsidRPr="00364545">
        <w:t>). Emissions from this sector are mainly linked to electricity production and district heating, which account for 80.9%, i.e. 30.6 MtCO</w:t>
      </w:r>
      <w:r w:rsidRPr="00364545">
        <w:rPr>
          <w:vertAlign w:val="subscript"/>
        </w:rPr>
        <w:t>2e</w:t>
      </w:r>
      <w:r w:rsidRPr="00364545">
        <w:t>, a sharp drop of 38.6% since 1990 (49.8 MtCO</w:t>
      </w:r>
      <w:r w:rsidRPr="00364545">
        <w:rPr>
          <w:vertAlign w:val="subscript"/>
        </w:rPr>
        <w:t>2e</w:t>
      </w:r>
      <w:r w:rsidRPr="00364545">
        <w:t>).</w:t>
      </w:r>
    </w:p>
    <w:p w14:paraId="32AA417D" w14:textId="45D652FE" w:rsidR="00133BB6" w:rsidRPr="00364545" w:rsidRDefault="00133BB6" w:rsidP="003F57EA">
      <w:pPr>
        <w:pStyle w:val="Titre3Niveau3"/>
      </w:pPr>
      <w:bookmarkStart w:id="27" w:name="_Toc118381489"/>
      <w:bookmarkStart w:id="28" w:name="_Toc138341765"/>
      <w:r w:rsidRPr="00364545">
        <w:t>The national system</w:t>
      </w:r>
      <w:bookmarkEnd w:id="27"/>
      <w:bookmarkEnd w:id="28"/>
    </w:p>
    <w:p w14:paraId="489F3925" w14:textId="77777777" w:rsidR="00133BB6" w:rsidRPr="00364545" w:rsidRDefault="00133BB6" w:rsidP="00133BB6">
      <w:r w:rsidRPr="00364545">
        <w:t>There has been no change to the national inventory system (SNIEBA - Système national d'inventaire d'émissions et de bilans dans l'atmosphère) that France has set up in accordance with Article 5.1 of the Kyoto Protocol. This system is governed by an interministerial order dated 24 August 2011</w:t>
      </w:r>
      <w:r w:rsidRPr="00364545">
        <w:rPr>
          <w:rStyle w:val="FootnoteReference"/>
        </w:rPr>
        <w:footnoteReference w:id="1"/>
      </w:r>
      <w:r w:rsidRPr="00364545">
        <w:t>.</w:t>
      </w:r>
    </w:p>
    <w:p w14:paraId="1F601E07" w14:textId="77777777" w:rsidR="00133BB6" w:rsidRPr="00364545" w:rsidRDefault="00133BB6" w:rsidP="00755E47">
      <w:pPr>
        <w:pStyle w:val="Titre2Niveau2"/>
      </w:pPr>
      <w:bookmarkStart w:id="29" w:name="_Toc118381490"/>
      <w:bookmarkStart w:id="30" w:name="_Toc138341766"/>
      <w:r w:rsidRPr="00364545">
        <w:t>Policies and measures</w:t>
      </w:r>
      <w:bookmarkEnd w:id="29"/>
      <w:bookmarkEnd w:id="30"/>
    </w:p>
    <w:p w14:paraId="456CC75D" w14:textId="1FFB1DEC" w:rsidR="00133BB6" w:rsidRPr="00364545" w:rsidRDefault="00133BB6" w:rsidP="00133BB6">
      <w:r w:rsidRPr="00364545">
        <w:t>The current National Low Carbon Strategy (NLCS) is the second version. It was adopted in April 2020. It is France's roadmap for implementing its climate change mitigation policy and meeting its European and international commitments. This strategy sets out significant reductions in GHG emissions in all GHG-emitting sectors of activity (transport, buildings, industry, agriculture, energy production, waste) and consequently provides strategic sector-based guidelines for implementing the transition to a low-carbon and sustainable economy in France. Taking all sectors as a whole, the current national target for 2030 is to reduce our GHG emissions by at least 40% compared to 1990. To allow medium-term visibility of reduction trajectories, the NLCS sets national GHG emission ceilings which must not be exceeded in any five-year period (carbon budgets) which are consistent with the trajectory aiming for carbon neutrality by 2050 and indicative annual carbon budgets. The current carbon budgets cover the period 2019-2033.</w:t>
      </w:r>
    </w:p>
    <w:p w14:paraId="792905EF" w14:textId="77777777" w:rsidR="00133BB6" w:rsidRPr="00364545" w:rsidRDefault="00133BB6" w:rsidP="00133BB6">
      <w:pPr>
        <w:rPr>
          <w:rFonts w:ascii="Arial" w:hAnsi="Arial" w:cs="Arial"/>
          <w:sz w:val="20"/>
          <w:szCs w:val="20"/>
        </w:rPr>
      </w:pPr>
    </w:p>
    <w:p w14:paraId="35D5A925" w14:textId="77777777" w:rsidR="00133BB6" w:rsidRPr="00364545" w:rsidRDefault="00133BB6" w:rsidP="00133BB6">
      <w:r w:rsidRPr="00364545">
        <w:t xml:space="preserve">The monitoring framework for implementing the NLCS (a baseline of 162 indicators) and the regular review process (every 5 years) of the NLCS enable France to assess its position in relation to its objectives and to implement the necessary adjustments in sector-based and regional policies if deviations from the target trajectory are observed. </w:t>
      </w:r>
    </w:p>
    <w:p w14:paraId="60C6CC14" w14:textId="77777777" w:rsidR="00133BB6" w:rsidRPr="00364545" w:rsidRDefault="00133BB6" w:rsidP="00133BB6"/>
    <w:p w14:paraId="675C43B3" w14:textId="66F8B310" w:rsidR="00133BB6" w:rsidRPr="00364545" w:rsidRDefault="00133BB6" w:rsidP="00AA2B36">
      <w:pPr>
        <w:ind w:left="-2" w:right="54"/>
        <w:rPr>
          <w:highlight w:val="yellow"/>
        </w:rPr>
      </w:pPr>
      <w:r w:rsidRPr="00364545">
        <w:t xml:space="preserve">The climate actions of local and regional authorities are based on regional planning tools: the Regional Plan for Sustainable Development and Equality of Territories (SRADDET) and the Regional Climate, Air and Energy Plans (SRCAE) for the Regions, the Regional Development Plan (SAR) for the Overseas Departments, and the Territorial Climate-Air-Energy Plan (PCAET) for inter-municipal authorities or their groupings. </w:t>
      </w:r>
    </w:p>
    <w:p w14:paraId="599E29B4" w14:textId="77777777" w:rsidR="00133BB6" w:rsidRPr="00364545" w:rsidRDefault="00133BB6" w:rsidP="00133BB6">
      <w:pPr>
        <w:rPr>
          <w:highlight w:val="yellow"/>
        </w:rPr>
      </w:pPr>
    </w:p>
    <w:p w14:paraId="3FD67CAE" w14:textId="133B67EC" w:rsidR="00176265" w:rsidRPr="00364545" w:rsidRDefault="00133BB6" w:rsidP="008D55E1">
      <w:r w:rsidRPr="00364545">
        <w:t>The following section provides an overview of the policies and measures France has put in place to reduce its emissions. These aim to activate the various mitigation drivers in all sectors: transport, residential and tertiary, energy, industry, waste, agriculture and forestry. The national measures are in addition to the European measures implemented by France as a Member State of the European Union.</w:t>
      </w:r>
      <w:bookmarkStart w:id="31" w:name="_Toc121431454"/>
      <w:bookmarkStart w:id="32" w:name="_Toc121431615"/>
      <w:bookmarkStart w:id="33" w:name="_Toc121431778"/>
      <w:bookmarkStart w:id="34" w:name="_Toc121431940"/>
      <w:bookmarkEnd w:id="31"/>
      <w:bookmarkEnd w:id="32"/>
      <w:bookmarkEnd w:id="33"/>
      <w:bookmarkEnd w:id="34"/>
    </w:p>
    <w:p w14:paraId="1D495EF7" w14:textId="66435310" w:rsidR="00133BB6" w:rsidRPr="00364545" w:rsidRDefault="00133BB6" w:rsidP="003F57EA">
      <w:pPr>
        <w:pStyle w:val="Titre3Niveau3"/>
      </w:pPr>
      <w:bookmarkStart w:id="35" w:name="_Toc138341767"/>
      <w:r w:rsidRPr="00364545">
        <w:t>Transport</w:t>
      </w:r>
      <w:bookmarkEnd w:id="35"/>
      <w:r w:rsidRPr="00364545">
        <w:t xml:space="preserve"> </w:t>
      </w:r>
    </w:p>
    <w:p w14:paraId="00906466" w14:textId="5CE54C01" w:rsidR="00F01DBF" w:rsidRPr="00364545" w:rsidRDefault="00F01DBF" w:rsidP="00F01DBF">
      <w:r w:rsidRPr="00364545">
        <w:t xml:space="preserve"> The policies and measures implemented in this sector target all drivers for decarbonisation:</w:t>
      </w:r>
    </w:p>
    <w:p w14:paraId="3E6853AE" w14:textId="3664774C" w:rsidR="00F01DBF" w:rsidRPr="00364545" w:rsidRDefault="00F01DBF" w:rsidP="003F57EA">
      <w:pPr>
        <w:pStyle w:val="ListParagraph"/>
        <w:numPr>
          <w:ilvl w:val="0"/>
          <w:numId w:val="63"/>
        </w:numPr>
      </w:pPr>
      <w:r w:rsidRPr="00364545">
        <w:t>improving the energy efficiency of new road transport vehicles by encouraging purchasers to buy the most efficient vehicles (information, malus system on vehicle weight) and by imposing emission standards on car manufacturers within the framework of gradually tightening European regulations.</w:t>
      </w:r>
    </w:p>
    <w:p w14:paraId="435EFDA6" w14:textId="47417D65" w:rsidR="00F01DBF" w:rsidRPr="00364545" w:rsidRDefault="00F01DBF" w:rsidP="003F57EA">
      <w:pPr>
        <w:pStyle w:val="ListParagraph"/>
        <w:numPr>
          <w:ilvl w:val="0"/>
          <w:numId w:val="63"/>
        </w:numPr>
      </w:pPr>
      <w:r w:rsidRPr="00364545">
        <w:t>encouraging the development of low-emission vehicles (in particular through purchase subsidies for electric and rechargeable hybrid vehicles, requirements for the greening of state, local authority and company fleets when they are renewed, and supporting the development of recharging infrastructures). The share of electric cars reached 9.7% in 2021 (12.7% in the first ten months of 2022).</w:t>
      </w:r>
      <w:r w:rsidRPr="00364545">
        <w:rPr>
          <w:rFonts w:ascii="Calibri" w:hAnsi="Calibri"/>
        </w:rPr>
        <w:t> </w:t>
      </w:r>
      <w:r w:rsidRPr="00364545">
        <w:t xml:space="preserve"> The share of plug-in hybrids reached 8.3% in 2021 (7.9% in the first ten months of 2022). </w:t>
      </w:r>
    </w:p>
    <w:p w14:paraId="2E359A87" w14:textId="77777777" w:rsidR="00F01DBF" w:rsidRPr="00364545" w:rsidRDefault="00F01DBF" w:rsidP="003F57EA">
      <w:pPr>
        <w:pStyle w:val="ListParagraph"/>
        <w:numPr>
          <w:ilvl w:val="0"/>
          <w:numId w:val="63"/>
        </w:numPr>
      </w:pPr>
      <w:r w:rsidRPr="00364545">
        <w:t>promoting the development of biofuels and other alternative fuels (mainly through fiscal measures).</w:t>
      </w:r>
    </w:p>
    <w:p w14:paraId="597602FC" w14:textId="77777777" w:rsidR="00F01DBF" w:rsidRPr="00364545" w:rsidRDefault="00F01DBF" w:rsidP="003F57EA">
      <w:pPr>
        <w:pStyle w:val="ListParagraph"/>
        <w:numPr>
          <w:ilvl w:val="0"/>
          <w:numId w:val="63"/>
        </w:numPr>
      </w:pPr>
      <w:r w:rsidRPr="00364545">
        <w:t>increasing vehicle occupancy (via support for carpooling, both on the supply and demand sides).</w:t>
      </w:r>
    </w:p>
    <w:p w14:paraId="4888D33A" w14:textId="231DADE3" w:rsidR="00131556" w:rsidRPr="00364545" w:rsidRDefault="00F01DBF" w:rsidP="003F57EA">
      <w:pPr>
        <w:pStyle w:val="ListParagraph"/>
        <w:numPr>
          <w:ilvl w:val="0"/>
          <w:numId w:val="63"/>
        </w:numPr>
      </w:pPr>
      <w:r w:rsidRPr="00364545">
        <w:t>supporting a shift to other modes of transport (by improving the supply of public transport services and alternative infrastructures to road transport, and measures to encourage cycling).</w:t>
      </w:r>
    </w:p>
    <w:p w14:paraId="301A8D48" w14:textId="60E23A6D" w:rsidR="00133BB6" w:rsidRPr="00364545" w:rsidRDefault="00133BB6" w:rsidP="003F57EA">
      <w:pPr>
        <w:pStyle w:val="Titre3Niveau3"/>
      </w:pPr>
      <w:bookmarkStart w:id="36" w:name="_Toc138341768"/>
      <w:r w:rsidRPr="00364545">
        <w:t>The residential/tertiary sector</w:t>
      </w:r>
      <w:bookmarkEnd w:id="36"/>
      <w:r w:rsidRPr="00364545">
        <w:t xml:space="preserve"> </w:t>
      </w:r>
    </w:p>
    <w:p w14:paraId="05AAD6EE" w14:textId="77777777" w:rsidR="00133BB6" w:rsidRPr="00364545" w:rsidRDefault="00133BB6" w:rsidP="00133BB6">
      <w:r w:rsidRPr="00364545">
        <w:rPr>
          <w:shd w:val="clear" w:color="auto" w:fill="FFFFFF"/>
        </w:rPr>
        <w:t xml:space="preserve">The measures implemented to reduce emissions from the residential/tertiary sector are mainly aimed at improving the thermal performance of building envelopes, promoting the use of efficient heating equipment which uses the least carbon-intensive energy sources, and improving the energy efficiency of other types of equipment (lighting, cooking, domestic hot water, electricity for specific appliances). These levers are available to new buildings and existing buildings. </w:t>
      </w:r>
    </w:p>
    <w:p w14:paraId="671DD2F1" w14:textId="36745CEA" w:rsidR="00133BB6" w:rsidRPr="00364545" w:rsidRDefault="00133BB6" w:rsidP="00133BB6">
      <w:pPr>
        <w:rPr>
          <w:highlight w:val="yellow"/>
        </w:rPr>
      </w:pPr>
      <w:r w:rsidRPr="00364545">
        <w:rPr>
          <w:shd w:val="clear" w:color="auto" w:fill="FFFFFF"/>
        </w:rPr>
        <w:t>The RE2020 environmental regulation sets ambitious and demanding standards for new builds. Its objective is to continue to improve the energy performance and comfort of buildings, while reducing their carbon impact. Energy consumption thresholds are being lowered, with stringent requirements on the quality of insulation. The carbon impact is to be minimised and considered holistically using a life-cycle analysis, from the manufacture of materials to demolition. Finally, buildings need to be more resilient to future climate conditions, including having a greater resistance to heat waves.</w:t>
      </w:r>
    </w:p>
    <w:p w14:paraId="7E326427" w14:textId="77777777" w:rsidR="00133BB6" w:rsidRPr="00364545" w:rsidRDefault="00133BB6" w:rsidP="00133BB6"/>
    <w:p w14:paraId="3770B039" w14:textId="77777777" w:rsidR="0032106B" w:rsidRPr="00364545" w:rsidRDefault="0032106B" w:rsidP="0032106B">
      <w:pPr>
        <w:rPr>
          <w:shd w:val="clear" w:color="auto" w:fill="FFFFFF"/>
        </w:rPr>
      </w:pPr>
      <w:r w:rsidRPr="00364545">
        <w:rPr>
          <w:shd w:val="clear" w:color="auto" w:fill="FFFFFF"/>
        </w:rPr>
        <w:t>Improving the energy performance of existing buildings requires budgetary, fiscal, regulatory and support measures: financing of energy renovations (‘MaPrimeRénov’’ state aid graduated according to income, energy saving certificates, zero-interest or reduced-rate loans, reduced VAT, etc.), accreditation of efficient renovations, training of professionals, awareness-raising among households in order to prompt the decision to renovate or to encourage positive practices (public service of one-stop shops for information, advice and support for households, requirements relating to the individualisation of heating costs in multi-family housing), requirement to implement thermal insulation when carrying out major renovation work on buildings.</w:t>
      </w:r>
    </w:p>
    <w:p w14:paraId="4191005E" w14:textId="588312AF" w:rsidR="0032106B" w:rsidRPr="00364545" w:rsidRDefault="0032106B" w:rsidP="0032106B">
      <w:pPr>
        <w:rPr>
          <w:shd w:val="clear" w:color="auto" w:fill="FFFFFF"/>
        </w:rPr>
      </w:pPr>
      <w:r w:rsidRPr="00364545">
        <w:rPr>
          <w:shd w:val="clear" w:color="auto" w:fill="FFFFFF"/>
        </w:rPr>
        <w:t xml:space="preserve"> </w:t>
      </w:r>
    </w:p>
    <w:p w14:paraId="72C7ECFD" w14:textId="77777777" w:rsidR="0032106B" w:rsidRPr="00364545" w:rsidRDefault="0032106B" w:rsidP="0032106B">
      <w:r w:rsidRPr="00364545">
        <w:rPr>
          <w:shd w:val="clear" w:color="auto" w:fill="FFFFFF"/>
        </w:rPr>
        <w:t>Recently, the Climate &amp; Resilience Act (enacted in July 2021) strengthened all of these measures, in particular by: including a carbon component in the Energy Performance Diagnostic (EPD) for buildings, which is mandatory for renting and selling; prohibiting the rental of the most energy-intensive and greenhouse gas-emitting housing (from 2023 for the most energy-intensive housing, then class G in the EPD in 2025, F in 2028, E in 2034). The recovery plan following the Covid-19 pandemic has increased the amounts of aid from MaPrimeRénov'. Finally, the tertiary sector is now subject to a requirement to reduce its energy consumption via the tertiary eco-energy scheme, which sets ambitious targets: -40% in 2030, -50% in 2040 and -60% in 2050.</w:t>
      </w:r>
    </w:p>
    <w:p w14:paraId="22CCA5CF" w14:textId="189EBD9F" w:rsidR="00133BB6" w:rsidRPr="00364545" w:rsidRDefault="00133BB6" w:rsidP="003F57EA">
      <w:pPr>
        <w:pStyle w:val="Titre3Niveau3"/>
      </w:pPr>
      <w:bookmarkStart w:id="37" w:name="_Toc138341769"/>
      <w:r w:rsidRPr="00364545">
        <w:t>The industrial sector</w:t>
      </w:r>
      <w:bookmarkEnd w:id="37"/>
    </w:p>
    <w:p w14:paraId="0113F785" w14:textId="493CD2D0" w:rsidR="007A2247" w:rsidRPr="00364545" w:rsidRDefault="00133BB6" w:rsidP="00133BB6">
      <w:pPr>
        <w:rPr>
          <w:shd w:val="clear" w:color="auto" w:fill="FFFFFF"/>
        </w:rPr>
      </w:pPr>
      <w:r w:rsidRPr="00364545">
        <w:rPr>
          <w:shd w:val="clear" w:color="auto" w:fill="FFFFFF"/>
        </w:rPr>
        <w:t xml:space="preserve">France's policy for reducing greenhouse gas emissions in the industrial sector is based mainly on capping the emissions of the highest emitting industrial installations through the European emissions trading system. </w:t>
      </w:r>
    </w:p>
    <w:p w14:paraId="08D6CCE4" w14:textId="489A2A58" w:rsidR="007A2247" w:rsidRPr="00364545" w:rsidRDefault="007A2247" w:rsidP="00133BB6">
      <w:pPr>
        <w:rPr>
          <w:shd w:val="clear" w:color="auto" w:fill="FFFFFF"/>
        </w:rPr>
      </w:pPr>
      <w:r w:rsidRPr="00364545">
        <w:rPr>
          <w:shd w:val="clear" w:color="auto" w:fill="FFFFFF"/>
        </w:rPr>
        <w:t>Since 2020, the incentive to reduce greenhouse gas emissions in industry has been strengthened by the implementation of support schemes for energy efficiency measures, process transformation and the production of heat for industrial use from biomass. The recovery plan has earmarked €1.2 billion for this between 2020 and 2022. The ‘France 2030’ investment plan will devote €5.61 billion to these schemes over the next five years.</w:t>
      </w:r>
    </w:p>
    <w:p w14:paraId="2001C075" w14:textId="19720E58" w:rsidR="00133BB6" w:rsidRPr="00364545" w:rsidRDefault="00AC6BD2" w:rsidP="00133BB6">
      <w:r w:rsidRPr="00364545">
        <w:rPr>
          <w:shd w:val="clear" w:color="auto" w:fill="FFFFFF"/>
        </w:rPr>
        <w:t>Finally, the improvement of energy efficiency and the recovery of waste heat are encouraged with the requirement to carry out a cost-benefit analysis for new installations generating waste heat in order to assess the appropriateness of recovering this heat in a heating or cooling network.</w:t>
      </w:r>
    </w:p>
    <w:p w14:paraId="7E40FC33" w14:textId="28F6AA80" w:rsidR="00133BB6" w:rsidRPr="00364545" w:rsidRDefault="00133BB6" w:rsidP="003F57EA">
      <w:pPr>
        <w:pStyle w:val="Titre3Niveau3"/>
      </w:pPr>
      <w:bookmarkStart w:id="38" w:name="_Toc138341770"/>
      <w:r w:rsidRPr="00364545">
        <w:t>The energy sector</w:t>
      </w:r>
      <w:bookmarkEnd w:id="38"/>
    </w:p>
    <w:p w14:paraId="15707A13" w14:textId="77777777" w:rsidR="0032106B" w:rsidRPr="00364545" w:rsidRDefault="0032106B" w:rsidP="0032106B">
      <w:r w:rsidRPr="00364545">
        <w:rPr>
          <w:shd w:val="clear" w:color="auto" w:fill="FFFFFF"/>
        </w:rPr>
        <w:t>In addition to sector-based policies to control energy consumption (particularly in the residential, tertiary and transport sectors), a number of cross-sector measures contribute to limiting energy demand and developing renewable energy. These include the following measures:</w:t>
      </w:r>
    </w:p>
    <w:p w14:paraId="1707F562" w14:textId="3AA54A98" w:rsidR="0032106B" w:rsidRPr="00364545" w:rsidRDefault="0032106B" w:rsidP="00BE086C">
      <w:pPr>
        <w:pStyle w:val="ListParagraph"/>
        <w:numPr>
          <w:ilvl w:val="0"/>
          <w:numId w:val="41"/>
        </w:numPr>
      </w:pPr>
      <w:r w:rsidRPr="00364545">
        <w:rPr>
          <w:shd w:val="clear" w:color="auto" w:fill="FFFFFF"/>
        </w:rPr>
        <w:t>a carbon tax component of €44.6/</w:t>
      </w:r>
      <w:r w:rsidRPr="00364545">
        <w:t>CO</w:t>
      </w:r>
      <w:r w:rsidRPr="00364545">
        <w:rPr>
          <w:vertAlign w:val="subscript"/>
        </w:rPr>
        <w:t>2</w:t>
      </w:r>
      <w:r w:rsidRPr="00364545">
        <w:rPr>
          <w:shd w:val="clear" w:color="auto" w:fill="FFFFFF"/>
        </w:rPr>
        <w:t xml:space="preserve"> introduced in the energy tax system to encourage energy efficiency and the development of low-carbon solutions in transport and buildings.</w:t>
      </w:r>
    </w:p>
    <w:p w14:paraId="275D7935" w14:textId="21AD008B" w:rsidR="0032106B" w:rsidRPr="00364545" w:rsidRDefault="0032106B" w:rsidP="00BE086C">
      <w:pPr>
        <w:pStyle w:val="ListParagraph"/>
        <w:numPr>
          <w:ilvl w:val="0"/>
          <w:numId w:val="41"/>
        </w:numPr>
      </w:pPr>
      <w:r w:rsidRPr="00364545">
        <w:rPr>
          <w:shd w:val="clear" w:color="auto" w:fill="FFFFFF"/>
        </w:rPr>
        <w:t>energy saving certificates based on an energy saving requirement imposed on the main energy suppliers (sellers of electricity, gas, heating oil, etc.). These actively encourage energy savings in all sectors (residential and tertiary buildings, industry, transport, agriculture, etc.), in particular through the allocation of financial aid to stakeholders who achieve savings. The 5</w:t>
      </w:r>
      <w:r w:rsidRPr="00364545">
        <w:rPr>
          <w:shd w:val="clear" w:color="auto" w:fill="FFFFFF"/>
          <w:vertAlign w:val="superscript"/>
        </w:rPr>
        <w:t>th</w:t>
      </w:r>
      <w:r w:rsidRPr="00364545">
        <w:rPr>
          <w:shd w:val="clear" w:color="auto" w:fill="FFFFFF"/>
        </w:rPr>
        <w:t xml:space="preserve"> period of the scheme (2022-2025) is increasing the levels of requirement.</w:t>
      </w:r>
    </w:p>
    <w:p w14:paraId="47FFC078" w14:textId="77777777" w:rsidR="0032106B" w:rsidRPr="00364545" w:rsidRDefault="0032106B" w:rsidP="00BE086C">
      <w:pPr>
        <w:pStyle w:val="ListParagraph"/>
        <w:numPr>
          <w:ilvl w:val="0"/>
          <w:numId w:val="41"/>
        </w:numPr>
      </w:pPr>
      <w:r w:rsidRPr="00364545">
        <w:rPr>
          <w:shd w:val="clear" w:color="auto" w:fill="FFFFFF"/>
        </w:rPr>
        <w:t xml:space="preserve">large companies have an obligation to carry out an energy audit every four years under the Energy Efficiency Directive </w:t>
      </w:r>
      <w:r w:rsidRPr="00364545">
        <w:t>2012/27/UE</w:t>
      </w:r>
      <w:r w:rsidRPr="00364545">
        <w:rPr>
          <w:shd w:val="clear" w:color="auto" w:fill="FFFFFF"/>
        </w:rPr>
        <w:t>. These audits help to identify relevant actions to achieve energy savings and are a driver for reducing the energy consumption of companies.</w:t>
      </w:r>
    </w:p>
    <w:p w14:paraId="398789BF" w14:textId="77777777" w:rsidR="0032106B" w:rsidRPr="00364545" w:rsidRDefault="0032106B" w:rsidP="00BE086C">
      <w:pPr>
        <w:pStyle w:val="ListParagraph"/>
        <w:numPr>
          <w:ilvl w:val="0"/>
          <w:numId w:val="41"/>
        </w:numPr>
      </w:pPr>
      <w:r w:rsidRPr="00364545">
        <w:rPr>
          <w:shd w:val="clear" w:color="auto" w:fill="FFFFFF"/>
        </w:rPr>
        <w:t>the Heat Fund supports the production of heat in the tertiary sector, industry and multi-family housing from renewable sources (biomass, geothermal, solar thermal, heat pumps). It also supports the development of heating networks, which are essential infrastructures for transporting heat to places of consumption.</w:t>
      </w:r>
    </w:p>
    <w:p w14:paraId="1FBC292C" w14:textId="128C8236" w:rsidR="0032106B" w:rsidRPr="00364545" w:rsidRDefault="00664ED0" w:rsidP="00BE086C">
      <w:pPr>
        <w:pStyle w:val="ListParagraph"/>
        <w:numPr>
          <w:ilvl w:val="0"/>
          <w:numId w:val="41"/>
        </w:numPr>
      </w:pPr>
      <w:r w:rsidRPr="00364545">
        <w:rPr>
          <w:shd w:val="clear" w:color="auto" w:fill="FFFFFF"/>
        </w:rPr>
        <w:t>support schemes for renewable energy (electricity and biogas): calls for tenders for additional remuneration for energy produced by medium and large-scale facilities, and feed-in tariffs for the compulsory purchase of energy produced by small-scale facilities. These schemes are designed to meet the quantitative targets for the development of renewable energy set out in the Multiannual Energy Plan;</w:t>
      </w:r>
    </w:p>
    <w:p w14:paraId="1D1C97AD" w14:textId="10844D16" w:rsidR="00133BB6" w:rsidRPr="00364545" w:rsidRDefault="0032106B" w:rsidP="00BE086C">
      <w:pPr>
        <w:pStyle w:val="ListParagraph"/>
        <w:numPr>
          <w:ilvl w:val="0"/>
          <w:numId w:val="41"/>
        </w:numPr>
      </w:pPr>
      <w:r w:rsidRPr="00364545">
        <w:rPr>
          <w:shd w:val="clear" w:color="auto" w:fill="FFFFFF"/>
        </w:rPr>
        <w:t>the capping of emissions from electricity, heat and refinery installations by the EU Emissions Trading Scheme.</w:t>
      </w:r>
    </w:p>
    <w:p w14:paraId="6CF376D3" w14:textId="404E4C68" w:rsidR="00133BB6" w:rsidRPr="00364545" w:rsidRDefault="00133BB6" w:rsidP="003F57EA">
      <w:pPr>
        <w:pStyle w:val="Titre3Niveau3"/>
      </w:pPr>
      <w:bookmarkStart w:id="39" w:name="_Toc138341771"/>
      <w:r w:rsidRPr="00364545">
        <w:t>The agricultural and forestry sectors</w:t>
      </w:r>
      <w:bookmarkEnd w:id="39"/>
    </w:p>
    <w:p w14:paraId="192CA004" w14:textId="3FB5EC79" w:rsidR="0096644E" w:rsidRPr="00364545" w:rsidRDefault="0096644E" w:rsidP="0096644E">
      <w:pPr>
        <w:rPr>
          <w:shd w:val="clear" w:color="auto" w:fill="FFFFFF"/>
        </w:rPr>
      </w:pPr>
      <w:r w:rsidRPr="00364545">
        <w:rPr>
          <w:shd w:val="clear" w:color="auto" w:fill="FFFFFF"/>
        </w:rPr>
        <w:t>Policies and measures in the agricultural sector are aimed at better control of nitrogen fertilisation, the fight against organic and mineral nitrogen surpluses, the reduction of livestock manure emissions, the development of renewable energy of agricultural origin (methanisation in particular), the improvement of the energy performance of farms, the increase of carbon stocks in agricultural soils and the reduction of losses and wastage.</w:t>
      </w:r>
    </w:p>
    <w:p w14:paraId="600382A8" w14:textId="77777777" w:rsidR="0096644E" w:rsidRPr="00364545" w:rsidRDefault="0096644E" w:rsidP="0096644E">
      <w:pPr>
        <w:rPr>
          <w:shd w:val="clear" w:color="auto" w:fill="FFFFFF"/>
        </w:rPr>
      </w:pPr>
    </w:p>
    <w:p w14:paraId="01B852A2" w14:textId="77777777" w:rsidR="0096644E" w:rsidRPr="00364545" w:rsidRDefault="0096644E" w:rsidP="0096644E">
      <w:r w:rsidRPr="00364545">
        <w:rPr>
          <w:shd w:val="clear" w:color="auto" w:fill="FFFFFF"/>
        </w:rPr>
        <w:t>The National Low Carbon Strategy sets 6 goals to ensure the transition of the agricultural sector, including the reduction of N</w:t>
      </w:r>
      <w:r w:rsidRPr="00364545">
        <w:rPr>
          <w:shd w:val="clear" w:color="auto" w:fill="FFFFFF"/>
          <w:vertAlign w:val="subscript"/>
        </w:rPr>
        <w:t>2</w:t>
      </w:r>
      <w:r w:rsidRPr="00364545">
        <w:rPr>
          <w:shd w:val="clear" w:color="auto" w:fill="FFFFFF"/>
        </w:rPr>
        <w:t>O, CH</w:t>
      </w:r>
      <w:r w:rsidRPr="00364545">
        <w:rPr>
          <w:shd w:val="clear" w:color="auto" w:fill="FFFFFF"/>
          <w:vertAlign w:val="subscript"/>
        </w:rPr>
        <w:t>4</w:t>
      </w:r>
      <w:r w:rsidRPr="00364545">
        <w:rPr>
          <w:shd w:val="clear" w:color="auto" w:fill="FFFFFF"/>
        </w:rPr>
        <w:t xml:space="preserve"> and CO</w:t>
      </w:r>
      <w:r w:rsidRPr="00364545">
        <w:rPr>
          <w:shd w:val="clear" w:color="auto" w:fill="FFFFFF"/>
          <w:vertAlign w:val="subscript"/>
        </w:rPr>
        <w:t>2</w:t>
      </w:r>
      <w:r w:rsidRPr="00364545">
        <w:rPr>
          <w:shd w:val="clear" w:color="auto" w:fill="FFFFFF"/>
        </w:rPr>
        <w:t xml:space="preserve">, the development of decarbonised energy production and the bioeconomy, the increase of carbon storage and the modification of food consumption patterns. </w:t>
      </w:r>
      <w:r w:rsidRPr="00364545">
        <w:t xml:space="preserve">To strengthen the contribution of agriculture to the fight against climate change, several structural measures are being implemented. The “Agricultural, Food and Forestry Transition” section of the “France Relance” plan has 3 objectives: to strengthen food sovereignty; to accelerate the agro-ecological transition to give all French people access to healthy, sustainable and local food; and to adapt agriculture and forestry to climate change. The National Strategic Plan (PSN) 2023-2027 will contribute to the dynamic of lowering emissions from agriculture and increasing carbon storage, in particular through reinforced cross-compliance, the eco-scheme and Pillar 2 measures. Article 274 of the “Climate and Resilience” Law states that the PSN must be compatible with the SNBC. A series of cross-sectional plans also contribute to these objectives: </w:t>
      </w:r>
      <w:r w:rsidRPr="00364545">
        <w:rPr>
          <w:shd w:val="clear" w:color="auto" w:fill="FFFFFF"/>
        </w:rPr>
        <w:t xml:space="preserve">the plan for competitiveness and adaptation of farms, the plan for energy methanisation and nitrogen autonomy and the plan for the development of agroforestry. </w:t>
      </w:r>
      <w:r w:rsidRPr="00364545">
        <w:t xml:space="preserve">Finally, </w:t>
      </w:r>
      <w:r w:rsidRPr="00364545">
        <w:rPr>
          <w:b/>
          <w:bCs/>
        </w:rPr>
        <w:t>the Ministry of Agriculture’s climate action plan</w:t>
      </w:r>
      <w:r w:rsidRPr="00364545">
        <w:t>, published in June 2021, outlines a roadmap for achieving climate objectives in the agricultural and forestry sectors, and recalls the overall coherence of the various levers and tools mobilised by the Ministry.</w:t>
      </w:r>
    </w:p>
    <w:p w14:paraId="1746BE09" w14:textId="77777777" w:rsidR="0096644E" w:rsidRPr="00364545" w:rsidRDefault="0096644E" w:rsidP="0096644E">
      <w:pPr>
        <w:rPr>
          <w:shd w:val="clear" w:color="auto" w:fill="FFFFFF"/>
        </w:rPr>
      </w:pPr>
    </w:p>
    <w:p w14:paraId="6C78D6C0" w14:textId="3E2E6BBC" w:rsidR="00133BB6" w:rsidRPr="00364545" w:rsidRDefault="0096644E" w:rsidP="00133BB6">
      <w:r w:rsidRPr="00364545">
        <w:rPr>
          <w:shd w:val="clear" w:color="auto" w:fill="FFFFFF"/>
        </w:rPr>
        <w:t>With regard to forestry, the measures in place seek to promote carbon sequestration in the forest ecosystem, and the resilience of stands to climate change through better forest management, and to develop the use of organically-sourced products (which allow both carbon storage and the substitution of materials or energy sources that are high emitters of greenhouse gases). Significant financial resources (France Relance, France 2030 etc.) have been deployed to achieve these objectives. More generally, the forestry and wood sector is the subject of specific attention associated with strengthened governance schemes. The Forestry and Wood Conferences, held between October 2021 and March 2022, made it possible to identify the main actions to be focused on in the short term in a concerted manner, and led to a political commitment to maintain substantial financial resources for the forest. These resources are associated with strengthened research and monitoring schemes, as well as a more demanding environmental framework.</w:t>
      </w:r>
    </w:p>
    <w:p w14:paraId="72D36FCB" w14:textId="5BA55E3D" w:rsidR="00133BB6" w:rsidRPr="00364545" w:rsidRDefault="00133BB6" w:rsidP="003F57EA">
      <w:pPr>
        <w:pStyle w:val="Titre3Niveau3"/>
      </w:pPr>
      <w:bookmarkStart w:id="40" w:name="_Toc138341772"/>
      <w:r w:rsidRPr="00364545">
        <w:rPr>
          <w:shd w:val="clear" w:color="auto" w:fill="FFFFFF"/>
        </w:rPr>
        <w:t>Waste management</w:t>
      </w:r>
      <w:bookmarkEnd w:id="40"/>
    </w:p>
    <w:p w14:paraId="3474BC41" w14:textId="77777777" w:rsidR="00133BB6" w:rsidRPr="00364545" w:rsidRDefault="00133BB6" w:rsidP="00133BB6">
      <w:r w:rsidRPr="00364545">
        <w:rPr>
          <w:shd w:val="clear" w:color="auto" w:fill="FFFFFF"/>
        </w:rPr>
        <w:t>The reduction of emissions from the waste sector is based on waste prevention (ban on single-use plastic bags, combating food waste, penalising built-in obsolescence), the implementation of expanded channels of producer responsibility, measures encouraging sorting to increase the quantity of recovered waste (compulsory sorting of paper, cardboard, plastic, metal, wood and glass from economic activity, compulsory sorting of bio-waste for large producers and then for households by 2025, expansion of sorting instructions, etc.), and fiscal measures aimed at limiting waste disposal in landfills or incinerators (waste tax component of the general tax on polluting activities). The waste prevention and management policy is financially supported by the waste fund (financed by revenue from the waste tax), and the calls for tender for the</w:t>
      </w:r>
      <w:r w:rsidRPr="00364545">
        <w:t xml:space="preserve"> ‘Territoires zéro déchet, zéro gaspillage’ (zero rubbish regions, zero waste) projects which support local authorities.</w:t>
      </w:r>
    </w:p>
    <w:p w14:paraId="7D66C6AD" w14:textId="5791FE99" w:rsidR="00133BB6" w:rsidRPr="00364545" w:rsidRDefault="00133BB6" w:rsidP="003F57EA">
      <w:pPr>
        <w:pStyle w:val="Titre3Niveau3"/>
      </w:pPr>
      <w:bookmarkStart w:id="41" w:name="_Toc138341773"/>
      <w:r w:rsidRPr="00364545">
        <w:rPr>
          <w:shd w:val="clear" w:color="auto" w:fill="FFFFFF"/>
        </w:rPr>
        <w:t>Cross-sector policies and measures</w:t>
      </w:r>
      <w:bookmarkEnd w:id="41"/>
      <w:r w:rsidRPr="00364545">
        <w:rPr>
          <w:shd w:val="clear" w:color="auto" w:fill="FFFFFF"/>
        </w:rPr>
        <w:t xml:space="preserve"> </w:t>
      </w:r>
    </w:p>
    <w:p w14:paraId="6AE0DC79" w14:textId="722B6A7B" w:rsidR="00133BB6" w:rsidRPr="00364545" w:rsidRDefault="00133BB6" w:rsidP="00133BB6">
      <w:r w:rsidRPr="00364545">
        <w:rPr>
          <w:shd w:val="clear" w:color="auto" w:fill="FFFFFF"/>
        </w:rPr>
        <w:t xml:space="preserve">Requirements have been put in place so that companies have to account for their greenhouse gas emissions. </w:t>
      </w:r>
    </w:p>
    <w:p w14:paraId="210BBED2" w14:textId="06A0D28B" w:rsidR="00133BB6" w:rsidRPr="00364545" w:rsidRDefault="00133BB6" w:rsidP="00133BB6">
      <w:r w:rsidRPr="00364545">
        <w:rPr>
          <w:shd w:val="clear" w:color="auto" w:fill="FFFFFF"/>
        </w:rPr>
        <w:t xml:space="preserve">Companies with more than 500 employees (as well as local authorities with more than 50,000 inhabitants, state departments and public organisations with more than 250 employees) must therefore </w:t>
      </w:r>
      <w:r w:rsidRPr="00364545">
        <w:t>regularly carry out an assessment of their greenhouse gas emissions and implement an action plan to reduce them. These reports and action plans must be published on a dedicated website accessible to the public or else a fine will be incurred. In addition, large companies must include in their non-financial reporting information on key greenhouse gas emissions generated by their activity, particularly through the use of the goods and services they produce. Institutional investors must publish information on their contribution to climate objectives and the financial risks associated with the energy and ecological  transition.</w:t>
      </w:r>
    </w:p>
    <w:p w14:paraId="317B9CA2" w14:textId="7AD5C321" w:rsidR="00133BB6" w:rsidRPr="00364545" w:rsidRDefault="00133BB6" w:rsidP="003F57EA">
      <w:pPr>
        <w:pStyle w:val="Titre3Niveau3"/>
      </w:pPr>
      <w:bookmarkStart w:id="42" w:name="_Toc123281438"/>
      <w:bookmarkStart w:id="43" w:name="_Toc138341774"/>
      <w:bookmarkEnd w:id="42"/>
      <w:r w:rsidRPr="00364545">
        <w:rPr>
          <w:shd w:val="clear" w:color="auto" w:fill="FFFFFF"/>
        </w:rPr>
        <w:t>Cross-cutting policies and measures on F-Gases</w:t>
      </w:r>
      <w:bookmarkEnd w:id="43"/>
    </w:p>
    <w:p w14:paraId="6E34C139" w14:textId="77777777" w:rsidR="00133BB6" w:rsidRPr="00364545" w:rsidRDefault="00133BB6" w:rsidP="00133BB6">
      <w:r w:rsidRPr="00364545">
        <w:t>EU Regulation 517/2014 (known as ‘F-Gas II’) puts in place a set of provisions to limit emissions of fluorinated gases from refrigeration and air-conditioning equipment used in buildings, industry and refrigerated transport. In particular, it establishes a system for gradually reducing the quantity of HFCs placed on the market, as well as sector-based bans on bringing products and equipment containing F-Gases above a certain GWP onto the market.</w:t>
      </w:r>
    </w:p>
    <w:p w14:paraId="41085197" w14:textId="20355C2B" w:rsidR="00D5243A" w:rsidRPr="00364545" w:rsidRDefault="00501FA3" w:rsidP="00755E47">
      <w:pPr>
        <w:pStyle w:val="Titre2Niveau2"/>
      </w:pPr>
      <w:bookmarkStart w:id="44" w:name="_Toc118381491"/>
      <w:bookmarkStart w:id="45" w:name="_Toc138341775"/>
      <w:r w:rsidRPr="00364545">
        <w:t>Projection of GHG emissions and quantification of the impact of policies and measures</w:t>
      </w:r>
      <w:bookmarkEnd w:id="44"/>
      <w:bookmarkEnd w:id="45"/>
    </w:p>
    <w:p w14:paraId="450F45E5" w14:textId="42BBEEE5" w:rsidR="006D25AD" w:rsidRPr="00364545" w:rsidRDefault="006D25AD" w:rsidP="003F57EA">
      <w:pPr>
        <w:pStyle w:val="Titre3Niveau3"/>
      </w:pPr>
      <w:bookmarkStart w:id="46" w:name="_Toc122004485"/>
      <w:bookmarkStart w:id="47" w:name="_Toc122006988"/>
      <w:bookmarkStart w:id="48" w:name="_Toc138341776"/>
      <w:bookmarkEnd w:id="46"/>
      <w:bookmarkEnd w:id="47"/>
      <w:r w:rsidRPr="00364545">
        <w:t>Update of AME and AMS scenarios</w:t>
      </w:r>
      <w:bookmarkEnd w:id="48"/>
    </w:p>
    <w:p w14:paraId="75F93A27" w14:textId="60B45F75" w:rsidR="006D25AD" w:rsidRPr="00364545" w:rsidRDefault="006D25AD" w:rsidP="00364602">
      <w:r w:rsidRPr="00364545">
        <w:t>Between April 2017 and March 2018 France conducted a large-scale scenario-building exercise for the 2050 time period. The previous exercise was carried out up to 2035. A scenario "with additional measures" or AMS 2018 was then created. It represents a way for France to reach its long-term objectives, notably carbon neutrality on its national territory in 2050. This scenario has already been presented in France's 4th Biennial Report.</w:t>
      </w:r>
    </w:p>
    <w:p w14:paraId="08115C10" w14:textId="77777777" w:rsidR="00364602" w:rsidRPr="00364545" w:rsidRDefault="00364602" w:rsidP="006444B0"/>
    <w:p w14:paraId="7538F3CF" w14:textId="0C9AB787" w:rsidR="006D25AD" w:rsidRPr="00364545" w:rsidRDefault="006D25AD" w:rsidP="006444B0">
      <w:r w:rsidRPr="00364545">
        <w:t xml:space="preserve">A scenario “with existing measures” or AME 2021, taking into account all policies and measures decided and implemented until 31 December 2019, was created in 2021. This 2050 scenario updates the AME 2018 scenario by integrating all the policies and measures decided and implemented between 1 July 2017 and 31 December 2019. </w:t>
      </w:r>
    </w:p>
    <w:p w14:paraId="6318B2A2" w14:textId="656FC251" w:rsidR="006D25AD" w:rsidRPr="00364545" w:rsidRDefault="006D25AD" w:rsidP="003F57EA">
      <w:pPr>
        <w:pStyle w:val="Titre3Niveau3"/>
      </w:pPr>
      <w:bookmarkStart w:id="49" w:name="_Toc138341777"/>
      <w:r w:rsidRPr="00364545">
        <w:t>Presentation of results</w:t>
      </w:r>
      <w:bookmarkEnd w:id="49"/>
    </w:p>
    <w:p w14:paraId="4589CAC4" w14:textId="1F03E5C8" w:rsidR="006D25AD" w:rsidRPr="00364545" w:rsidRDefault="006D25AD" w:rsidP="006444B0">
      <w:r w:rsidRPr="00364545">
        <w:t>In the AME 2021 scenario, within the scope of the Kyoto Protocol and excluding the LULUCF sector, emissions decrease to 367 MtCO</w:t>
      </w:r>
      <w:r w:rsidRPr="00364545">
        <w:rPr>
          <w:vertAlign w:val="subscript"/>
        </w:rPr>
        <w:t>2e</w:t>
      </w:r>
      <w:r w:rsidRPr="00364545">
        <w:t xml:space="preserve"> in 2030, i.e. a 33% reduction compared to 1990, and to 330MtCO</w:t>
      </w:r>
      <w:r w:rsidRPr="00364545">
        <w:rPr>
          <w:vertAlign w:val="subscript"/>
        </w:rPr>
        <w:t>2e</w:t>
      </w:r>
      <w:r w:rsidRPr="00364545">
        <w:t xml:space="preserve"> in 2050, i.e. a 39% reduction compared to 1990. With LULUCF, emissions decrease by 35% in 2030, and by 39% in 2050 compared to 1990. </w:t>
      </w:r>
    </w:p>
    <w:p w14:paraId="285ACB15" w14:textId="77777777" w:rsidR="00364602" w:rsidRPr="00364545" w:rsidRDefault="00364602" w:rsidP="006444B0"/>
    <w:p w14:paraId="523499D8" w14:textId="29834C55" w:rsidR="006D25AD" w:rsidRPr="00364545" w:rsidRDefault="006D25AD" w:rsidP="006444B0">
      <w:r w:rsidRPr="00364545">
        <w:t>In the AMS 2018 scenario, emissions reach 307 MtCO</w:t>
      </w:r>
      <w:r w:rsidRPr="00364545">
        <w:rPr>
          <w:vertAlign w:val="subscript"/>
        </w:rPr>
        <w:t>2e</w:t>
      </w:r>
      <w:r w:rsidRPr="00364545">
        <w:t xml:space="preserve"> in 2030, a 43% reduction compared to 1990, and 80 MtCO</w:t>
      </w:r>
      <w:r w:rsidRPr="00364545">
        <w:rPr>
          <w:vertAlign w:val="subscript"/>
        </w:rPr>
        <w:t>2e</w:t>
      </w:r>
      <w:r w:rsidRPr="00364545">
        <w:t xml:space="preserve"> in 2050, an 85% reduction compared to 1990. With LULUCF, these reductions reach 48% in 2030, and 100% in 2050 (reaching carbon neutrality). </w:t>
      </w:r>
    </w:p>
    <w:p w14:paraId="6C7AD9C6" w14:textId="3CB8D04C" w:rsidR="006D25AD" w:rsidRPr="00364545" w:rsidRDefault="006D25AD" w:rsidP="006444B0"/>
    <w:p w14:paraId="191BCB0E" w14:textId="15CBDC4B" w:rsidR="00E727B3" w:rsidRPr="00364545" w:rsidRDefault="00E727B3" w:rsidP="00E727B3">
      <w:pPr>
        <w:jc w:val="center"/>
      </w:pPr>
      <w:r w:rsidRPr="00364545">
        <w:rPr>
          <w:noProof/>
          <w:lang w:val="fr-FR"/>
        </w:rPr>
        <w:drawing>
          <wp:inline distT="0" distB="0" distL="0" distR="0" wp14:anchorId="0D966609" wp14:editId="145180EE">
            <wp:extent cx="4572000" cy="27432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pic:spPr>
                </pic:pic>
              </a:graphicData>
            </a:graphic>
          </wp:inline>
        </w:drawing>
      </w:r>
    </w:p>
    <w:p w14:paraId="6EBBC6BC" w14:textId="40AB51E9" w:rsidR="00E727B3" w:rsidRPr="00364545" w:rsidRDefault="006D25AD" w:rsidP="006444B0">
      <w:r w:rsidRPr="00364545">
        <w:tab/>
      </w:r>
    </w:p>
    <w:p w14:paraId="0DD54CA6" w14:textId="21ABBF9B" w:rsidR="00E727B3" w:rsidRPr="00364545" w:rsidRDefault="00E727B3" w:rsidP="00E727B3">
      <w:pPr>
        <w:jc w:val="center"/>
      </w:pPr>
      <w:r w:rsidRPr="00364545">
        <w:rPr>
          <w:noProof/>
          <w:lang w:val="fr-FR"/>
        </w:rPr>
        <w:drawing>
          <wp:inline distT="0" distB="0" distL="0" distR="0" wp14:anchorId="03DFFF81" wp14:editId="60652C9D">
            <wp:extent cx="4572000" cy="27432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pic:spPr>
                </pic:pic>
              </a:graphicData>
            </a:graphic>
          </wp:inline>
        </w:drawing>
      </w:r>
    </w:p>
    <w:p w14:paraId="79B3CA4F" w14:textId="73BC48D7" w:rsidR="00A335F6" w:rsidRPr="00364545" w:rsidRDefault="00A335F6" w:rsidP="0045532B">
      <w:pPr>
        <w:pStyle w:val="Caption"/>
      </w:pPr>
      <w:bookmarkStart w:id="50" w:name="_Toc123916412"/>
      <w:r w:rsidRPr="00364545">
        <w:t xml:space="preserve">Figure </w:t>
      </w:r>
      <w:r w:rsidR="003714FB">
        <w:fldChar w:fldCharType="begin"/>
      </w:r>
      <w:r w:rsidR="003714FB">
        <w:instrText xml:space="preserve"> SEQ Figure \* ARABIC </w:instrText>
      </w:r>
      <w:r w:rsidR="003714FB">
        <w:fldChar w:fldCharType="separate"/>
      </w:r>
      <w:r w:rsidR="009A2FAA">
        <w:rPr>
          <w:noProof/>
        </w:rPr>
        <w:t>1</w:t>
      </w:r>
      <w:r w:rsidR="003714FB">
        <w:rPr>
          <w:noProof/>
        </w:rPr>
        <w:fldChar w:fldCharType="end"/>
      </w:r>
      <w:r w:rsidRPr="00364545">
        <w:t>: National emission trajectories up to 2050 according to the different scenarios without the land sector (top) and with (bottom)</w:t>
      </w:r>
      <w:bookmarkEnd w:id="50"/>
    </w:p>
    <w:p w14:paraId="5B324A4B" w14:textId="24C84696" w:rsidR="00A335F6" w:rsidRPr="00364545" w:rsidRDefault="00A335F6" w:rsidP="0045532B">
      <w:pPr>
        <w:pStyle w:val="Caption"/>
      </w:pPr>
      <w:r w:rsidRPr="00364545">
        <w:t>Source: MTE-DGEC</w:t>
      </w:r>
    </w:p>
    <w:p w14:paraId="571DA700" w14:textId="77777777" w:rsidR="00E727B3" w:rsidRPr="00364545" w:rsidRDefault="00E727B3" w:rsidP="006444B0"/>
    <w:p w14:paraId="4B827D6C" w14:textId="49BD4CC1" w:rsidR="00364602" w:rsidRPr="00364545" w:rsidRDefault="006D25AD" w:rsidP="006444B0">
      <w:r w:rsidRPr="00364545">
        <w:t>As part of the Paris Agreement, the EU initially committed to reducing its gross greenhouse gas emissions by 40% by 2030 compared to 1990. In the same way as for its 2020 target, this effort has been divided between sectors covered by the European carbon market (EU ETS) and outside the EU ETS. France's target for the non-EU ETS sector was -37% by 2030 compared to 2005. As part of the increase in European ambition via the Green Deal, the EU’s overall target has been set at -55% net by 2030 compared to 1990. For France, this translates into a target of -47.5% in 2030 compared to 2005 for the non-EU ETS sector.</w:t>
      </w:r>
    </w:p>
    <w:p w14:paraId="7E365BCE" w14:textId="77777777" w:rsidR="00100397" w:rsidRPr="00364545" w:rsidRDefault="00100397" w:rsidP="006444B0"/>
    <w:p w14:paraId="65B5224D" w14:textId="1810F6AB" w:rsidR="005C2982" w:rsidRPr="00364545" w:rsidRDefault="006D25AD" w:rsidP="00364602">
      <w:r w:rsidRPr="00364545">
        <w:t>The reduction in emissions from the non-EU ETS sector in the AME 2021 scenario reaches -30% in 2030 compared to 2005. This reflects that existing measures (adopted up to 31 December 2019) should significantly reduce emissions, including compared to the AME 2018 scenario. However, additional measures will need to be adopted to meet the targets. This is the purpose of the French Energy and Climate Strategy, which is currently under review.</w:t>
      </w:r>
    </w:p>
    <w:p w14:paraId="45407A70" w14:textId="345E7878" w:rsidR="00176265" w:rsidRPr="00364545" w:rsidRDefault="00501FA3" w:rsidP="00755E47">
      <w:pPr>
        <w:pStyle w:val="Titre2Niveau2"/>
      </w:pPr>
      <w:bookmarkStart w:id="51" w:name="_Toc118276986"/>
      <w:bookmarkStart w:id="52" w:name="_Toc118296277"/>
      <w:bookmarkStart w:id="53" w:name="_Toc118381492"/>
      <w:bookmarkStart w:id="54" w:name="_Toc138341778"/>
      <w:r w:rsidRPr="00364545">
        <w:t>Impacts, vulnerability and adaptation</w:t>
      </w:r>
      <w:bookmarkStart w:id="55" w:name="_Toc121412457"/>
      <w:bookmarkStart w:id="56" w:name="_Toc121412585"/>
      <w:bookmarkStart w:id="57" w:name="_Toc121413770"/>
      <w:bookmarkStart w:id="58" w:name="_Toc121416252"/>
      <w:bookmarkStart w:id="59" w:name="_Toc121431626"/>
      <w:bookmarkStart w:id="60" w:name="_Toc121431789"/>
      <w:bookmarkStart w:id="61" w:name="_Toc121431951"/>
      <w:bookmarkStart w:id="62" w:name="_Toc121431627"/>
      <w:bookmarkStart w:id="63" w:name="_Toc121431790"/>
      <w:bookmarkStart w:id="64" w:name="_Toc121431952"/>
      <w:bookmarkEnd w:id="51"/>
      <w:bookmarkEnd w:id="52"/>
      <w:bookmarkEnd w:id="53"/>
      <w:bookmarkEnd w:id="55"/>
      <w:bookmarkEnd w:id="56"/>
      <w:bookmarkEnd w:id="57"/>
      <w:bookmarkEnd w:id="58"/>
      <w:bookmarkEnd w:id="59"/>
      <w:bookmarkEnd w:id="60"/>
      <w:bookmarkEnd w:id="61"/>
      <w:bookmarkEnd w:id="62"/>
      <w:bookmarkEnd w:id="63"/>
      <w:bookmarkEnd w:id="64"/>
      <w:bookmarkEnd w:id="54"/>
    </w:p>
    <w:p w14:paraId="0AB57C7C" w14:textId="72E7E4C6" w:rsidR="00A55861" w:rsidRPr="00364545" w:rsidRDefault="00A55861" w:rsidP="003F57EA">
      <w:pPr>
        <w:pStyle w:val="Titre3Niveau3"/>
      </w:pPr>
      <w:bookmarkStart w:id="65" w:name="_Toc138341779"/>
      <w:r w:rsidRPr="00364545">
        <w:t>The impacts of climate change</w:t>
      </w:r>
      <w:bookmarkEnd w:id="65"/>
    </w:p>
    <w:p w14:paraId="2217678B" w14:textId="02365706" w:rsidR="00501FA3" w:rsidRPr="00364545" w:rsidRDefault="00501FA3" w:rsidP="00501FA3">
      <w:r w:rsidRPr="00364545">
        <w:t>Much like the rest of the world, the change in average annual temperatures in metropolitan France has shown very clear warming since 1900. The rate of warming has varied, with a particularly marked increase since the 1980s. With the exception of 2021, the last few years (2017, 2018, 2019 and 2020) have been among the warmest since 1900. In 2020, the average annual temperature over the country reached 14.1°C, exceeding the norm (benchmark 1981-2010) by 1.5°C. The year 2020 was therefore the warmest in the period 1900-2020, ahead of 2018 (13.9°C) and 2014 (13.8°C).</w:t>
      </w:r>
    </w:p>
    <w:p w14:paraId="76EBF3F1" w14:textId="38F12BD1" w:rsidR="00501FA3" w:rsidRPr="00364545" w:rsidRDefault="00501FA3" w:rsidP="003F57EA">
      <w:pPr>
        <w:pStyle w:val="Titre3Niveau3"/>
      </w:pPr>
      <w:bookmarkStart w:id="66" w:name="_Toc118276988"/>
      <w:bookmarkStart w:id="67" w:name="_Toc118296279"/>
      <w:bookmarkStart w:id="68" w:name="_Toc118381494"/>
      <w:bookmarkStart w:id="69" w:name="_Toc138341780"/>
      <w:r w:rsidRPr="00364545">
        <w:t>Expected impacts of climate change</w:t>
      </w:r>
      <w:bookmarkEnd w:id="66"/>
      <w:bookmarkEnd w:id="67"/>
      <w:bookmarkEnd w:id="68"/>
      <w:bookmarkEnd w:id="69"/>
    </w:p>
    <w:p w14:paraId="25D28809" w14:textId="53E2B85C" w:rsidR="00501FA3" w:rsidRPr="00364545" w:rsidRDefault="00501FA3" w:rsidP="00501FA3">
      <w:r w:rsidRPr="00364545">
        <w:t>The situation in France will continue to worsen. The main patterns expected, consistent with the changes already detected, are the following:</w:t>
      </w:r>
    </w:p>
    <w:p w14:paraId="18B974F9" w14:textId="7FA9C2DC" w:rsidR="00501FA3" w:rsidRPr="00364545" w:rsidRDefault="00501FA3" w:rsidP="00BE086C">
      <w:pPr>
        <w:pStyle w:val="ListParagraph"/>
        <w:numPr>
          <w:ilvl w:val="0"/>
          <w:numId w:val="20"/>
        </w:numPr>
        <w:ind w:left="714" w:hanging="357"/>
        <w:contextualSpacing w:val="0"/>
      </w:pPr>
      <w:r w:rsidRPr="00364545">
        <w:t>A temperature increase higher than the global average of 2°C, especially in regions furthest from the coast, with heat waves becoming more frequent, more severe and extending beyond the traditional summer period. In metropolitan France, climate projections show a continuation of warming up to the 2050s, whatever the scenario. Over the second half of the 21st century, the change in annual average temperature differs significantly depending on the scenario considered. Under the scenario of high emissions (RCP8.5), warming could exceed 4.6°C by the end of the century.</w:t>
      </w:r>
    </w:p>
    <w:p w14:paraId="1DC934AC" w14:textId="79B5437D" w:rsidR="00501FA3" w:rsidRPr="00364545" w:rsidRDefault="00501FA3" w:rsidP="00BE086C">
      <w:pPr>
        <w:pStyle w:val="ListParagraph"/>
        <w:numPr>
          <w:ilvl w:val="0"/>
          <w:numId w:val="20"/>
        </w:numPr>
        <w:ind w:left="714" w:hanging="357"/>
        <w:contextualSpacing w:val="0"/>
      </w:pPr>
      <w:r w:rsidRPr="00364545">
        <w:t>More intense precipitation, even in areas where the annual amount of precipitation is set to decrease, will increase the risk of flooding. At the same time, droughts will be more frequent and severe, with sharply reduced low water flows in rivers and streams, increased pressure on water resources needed for ecosystems and human activities, and an increased risk of forest fires.</w:t>
      </w:r>
    </w:p>
    <w:p w14:paraId="4AF67783" w14:textId="08C8EA37" w:rsidR="00501FA3" w:rsidRPr="00364545" w:rsidRDefault="00501FA3" w:rsidP="00BE086C">
      <w:pPr>
        <w:pStyle w:val="ListParagraph"/>
        <w:numPr>
          <w:ilvl w:val="0"/>
          <w:numId w:val="20"/>
        </w:numPr>
        <w:ind w:left="714" w:hanging="357"/>
        <w:contextualSpacing w:val="0"/>
      </w:pPr>
      <w:r w:rsidRPr="00364545">
        <w:t>Rising sea levels will continue to accelerate and increase the risk of flooding.</w:t>
      </w:r>
    </w:p>
    <w:p w14:paraId="6C53ABF0" w14:textId="65D96ECB" w:rsidR="00501FA3" w:rsidRPr="00364545" w:rsidRDefault="00501FA3" w:rsidP="00BE086C">
      <w:pPr>
        <w:pStyle w:val="ListParagraph"/>
        <w:numPr>
          <w:ilvl w:val="0"/>
          <w:numId w:val="20"/>
        </w:numPr>
        <w:ind w:left="714" w:hanging="357"/>
        <w:contextualSpacing w:val="0"/>
      </w:pPr>
      <w:r w:rsidRPr="00364545">
        <w:t>The main trends in climate change are better understood today in the overseas territories. In the West Indies, warming could reach 2.5°C to 3°C by 2056-2080 compared to the 1981-2010 period. In La Réunion, warming during the 21st century could reach 3°C by 2071-2100 compared to the period 1976-2005, or even 4°C according to the latest projections. Heat waves would also become much more frequent in the overseas territories. Today's exceptional temperatures will become the norm in future.</w:t>
      </w:r>
    </w:p>
    <w:p w14:paraId="60F7FDBD" w14:textId="7BB81998" w:rsidR="00501FA3" w:rsidRPr="00364545" w:rsidRDefault="00501FA3" w:rsidP="00BE086C">
      <w:pPr>
        <w:pStyle w:val="ListParagraph"/>
        <w:numPr>
          <w:ilvl w:val="0"/>
          <w:numId w:val="20"/>
        </w:numPr>
        <w:ind w:left="714" w:hanging="357"/>
        <w:contextualSpacing w:val="0"/>
      </w:pPr>
      <w:r w:rsidRPr="00364545">
        <w:t>Uncertain changes in the frequency and severity of storms, except in tropical overseas regions where the severity of cyclones is expected to increase.</w:t>
      </w:r>
    </w:p>
    <w:p w14:paraId="24CE16B3" w14:textId="4273E149" w:rsidR="00501FA3" w:rsidRPr="00364545" w:rsidRDefault="00501FA3" w:rsidP="003F57EA">
      <w:pPr>
        <w:pStyle w:val="Titre3Niveau3"/>
      </w:pPr>
      <w:bookmarkStart w:id="70" w:name="_Toc118276989"/>
      <w:bookmarkStart w:id="71" w:name="_Toc118296280"/>
      <w:bookmarkStart w:id="72" w:name="_Toc118381495"/>
      <w:bookmarkStart w:id="73" w:name="_Toc138341781"/>
      <w:r w:rsidRPr="00364545">
        <w:t>Adaptation</w:t>
      </w:r>
      <w:bookmarkEnd w:id="70"/>
      <w:bookmarkEnd w:id="71"/>
      <w:bookmarkEnd w:id="72"/>
      <w:bookmarkEnd w:id="73"/>
    </w:p>
    <w:p w14:paraId="50698CA0" w14:textId="77777777" w:rsidR="00501FA3" w:rsidRPr="00364545" w:rsidRDefault="00501FA3" w:rsidP="00501FA3">
      <w:r w:rsidRPr="00364545">
        <w:t>The adaptation of the French territory to climate change is a major challenge which must be considered as an essential addition to the mitigation actions already under way. As announced in the Climate Plan published in July 2017, France published its second National Climate Change Adaptation Plan in 2018 which is to be implemented from 2018 to 2023. Its objective is to better protect the French against extreme weather events, as well as to build up the resilience of the main sectors of the economy (agriculture, industry, tourism) to climate change.</w:t>
      </w:r>
    </w:p>
    <w:p w14:paraId="7C44AA57" w14:textId="3C653D03" w:rsidR="00501FA3" w:rsidRPr="00364545" w:rsidRDefault="00501FA3" w:rsidP="00755E47">
      <w:pPr>
        <w:pStyle w:val="Titre2Niveau2"/>
      </w:pPr>
      <w:bookmarkStart w:id="74" w:name="_Toc118381496"/>
      <w:bookmarkStart w:id="75" w:name="_Toc138341782"/>
      <w:r w:rsidRPr="00364545">
        <w:t>Financial resources and technology transfer</w:t>
      </w:r>
      <w:bookmarkEnd w:id="74"/>
      <w:bookmarkEnd w:id="75"/>
    </w:p>
    <w:p w14:paraId="28A378C4" w14:textId="77777777" w:rsidR="005731A1" w:rsidRPr="003714FB" w:rsidRDefault="00E73BD6" w:rsidP="005731A1">
      <w:pPr>
        <w:rPr>
          <w:lang w:val="en-US"/>
        </w:rPr>
      </w:pPr>
      <w:r w:rsidRPr="00364545">
        <w:t>In 2021, France provided more than €6 billion in public funding for climate change mitigation and adaptation in developing countries through bilateral and multilateral sources. This level of commitment has increased significantly compared to 2017 (+36% with a level of commitments of €4.4bn in 2017) and has reached more than €26.4bn since 2017, mainly through the activity of the Agence Française de Développement Group</w:t>
      </w:r>
      <w:r w:rsidRPr="00364545">
        <w:rPr>
          <w:rStyle w:val="FootnoteReference"/>
        </w:rPr>
        <w:footnoteReference w:id="2"/>
      </w:r>
      <w:r w:rsidRPr="00364545">
        <w:t xml:space="preserve">. </w:t>
      </w:r>
      <w:r w:rsidR="005731A1" w:rsidRPr="003714FB">
        <w:rPr>
          <w:lang w:val="en-US"/>
        </w:rPr>
        <w:t>In the absence of a universally accepted definition of “new and additional financial resources” in article 4, paragraph 3 of the Convention, France defines new and additional climate finance as newly committed or disbursed climate finance during the year 2021. In its climate finance reporting France provides information only on those newly committed or disbursed resources included in its 2021 budget year. However, for the benefit of comparison between the different parties, we can also mention the evolution of our climate finance since the signing of the Paris Agreement, which is a baseline shared by several of the parties. In this respect, we provided 6.1 bn of new and additionnal climate finance in 2021, representing a significant increase since the 2015 baseline (e.g. 3bn)."</w:t>
      </w:r>
    </w:p>
    <w:p w14:paraId="2DA511B8" w14:textId="7E7D5120" w:rsidR="00E73BD6" w:rsidRPr="00364545" w:rsidRDefault="00E73BD6" w:rsidP="00E73BD6">
      <w:r w:rsidRPr="00364545">
        <w:t xml:space="preserve">The total commitment of multilateral funding is not reported, but only the share disbursed in 2020 and 2021. </w:t>
      </w:r>
    </w:p>
    <w:p w14:paraId="12E27EB3" w14:textId="0FBDB404" w:rsidR="00E73BD6" w:rsidRPr="00364545" w:rsidRDefault="00E73BD6" w:rsidP="00E73BD6">
      <w:r w:rsidRPr="00364545">
        <w:t>In addition, France provides technological cooperation and supports capacity building in developing countries through a number of channels, which are also presented in this report.</w:t>
      </w:r>
    </w:p>
    <w:p w14:paraId="7BAFB56C" w14:textId="190B72FF" w:rsidR="00E73BD6" w:rsidRPr="00364545" w:rsidRDefault="00E73BD6" w:rsidP="003F57EA">
      <w:pPr>
        <w:pStyle w:val="Titre3Niveau3"/>
      </w:pPr>
      <w:bookmarkStart w:id="76" w:name="_Toc138341783"/>
      <w:r w:rsidRPr="00364545">
        <w:t>Official development assistance/bilateral cooperation</w:t>
      </w:r>
      <w:bookmarkEnd w:id="76"/>
    </w:p>
    <w:p w14:paraId="79E3F51A" w14:textId="1B733D9E" w:rsidR="00E73BD6" w:rsidRPr="00364545" w:rsidRDefault="00E73BD6" w:rsidP="00E73BD6">
      <w:r w:rsidRPr="00364545">
        <w:t>Since 2017, AFD Group has committed at least 50% of its financing in developing countries to projects with climate co-benefits each year.</w:t>
      </w:r>
    </w:p>
    <w:p w14:paraId="393EECDE" w14:textId="77777777" w:rsidR="00E73BD6" w:rsidRPr="00364545" w:rsidRDefault="00E73BD6" w:rsidP="00E73BD6"/>
    <w:p w14:paraId="3E11D565" w14:textId="2F9A3ED7" w:rsidR="00E73BD6" w:rsidRPr="00364545" w:rsidRDefault="00E73BD6" w:rsidP="00E73BD6">
      <w:r w:rsidRPr="00364545">
        <w:t xml:space="preserve">In 2021, the AFD Group committed more than €6 billion in funding for projects with ‘climate’ co-benefits (compared to €4 billion in 2017), including €2 billion to help adaptation in developing countries, confirming the increase in its commitment to contribute to France's new objective. AFD Group’s climate commitments have thus made it possible to finance 330 projects in developing countries in 2021. In line with its climate strategy, AFD (excluding Proparco) will reach 58% of loans with a “climate” co-benefit in 2021, with Proparco reaching 34%. AFD Group’s climate financing increased significantly between 2017 and 2021 (+36%). </w:t>
      </w:r>
    </w:p>
    <w:p w14:paraId="4D3447E0" w14:textId="77777777" w:rsidR="00E73BD6" w:rsidRPr="00364545" w:rsidRDefault="00E73BD6" w:rsidP="00E73BD6"/>
    <w:p w14:paraId="3A69FCC0" w14:textId="1F70F30A" w:rsidR="00E73BD6" w:rsidRPr="00364545" w:rsidRDefault="00E73BD6" w:rsidP="003F57EA">
      <w:pPr>
        <w:pStyle w:val="Titre3Niveau3"/>
      </w:pPr>
      <w:bookmarkStart w:id="77" w:name="_Toc138341784"/>
      <w:r w:rsidRPr="00364545">
        <w:t>Official development assistance/multilateral cooperation</w:t>
      </w:r>
      <w:bookmarkEnd w:id="77"/>
    </w:p>
    <w:p w14:paraId="0652C060" w14:textId="3B54B783" w:rsidR="00BA2C8F" w:rsidRPr="00364545" w:rsidRDefault="00BA2C8F" w:rsidP="00BA2C8F">
      <w:r w:rsidRPr="00364545">
        <w:t>With a contribution of €13 billion ($15.5 billion) in 2021, France ranks fifth among the G7 countries in terms of official development assistance as a proportion of gross national income. It considers that the multilateral system must be an exemplary driving force in combating climate change, with the particular aim of supporting the implementation of nationally-determined contributions by developing countries that have signed the Paris Agreement. In this respect, France is one of the main contributors to multilateral financial institutions and funds dedicated to the climate.</w:t>
      </w:r>
    </w:p>
    <w:p w14:paraId="3C10F1EF" w14:textId="77777777" w:rsidR="00BA2C8F" w:rsidRPr="00364545" w:rsidRDefault="00BA2C8F" w:rsidP="00BA2C8F"/>
    <w:p w14:paraId="4B288C17" w14:textId="02E3CAF5" w:rsidR="00BA2C8F" w:rsidRPr="00364545" w:rsidRDefault="00BA2C8F" w:rsidP="00BA2C8F">
      <w:pPr>
        <w:rPr>
          <w:rFonts w:eastAsiaTheme="minorHAnsi"/>
          <w:b/>
        </w:rPr>
      </w:pPr>
      <w:r w:rsidRPr="00364545">
        <w:t xml:space="preserve">A significant part of France’s action is dedicated to its participation in development banks and multilateral development funds, such as the International Development Association (IDA), the World Bank concessional window, the African Development Fund (FAD), the African Development Bank concessional window and the International Fund for Agricultural Development (IFAD). These banks and funds devote part of their resources to combating the effects of climate change. France accounts for the “climate” share attributable to its contribution to these concessional funds. </w:t>
      </w:r>
      <w:r w:rsidRPr="00364545">
        <w:rPr>
          <w:b/>
        </w:rPr>
        <w:t>In 2018, the “climate” share of disbursements in these institutions was estimated at €372m.</w:t>
      </w:r>
    </w:p>
    <w:p w14:paraId="04AAB304" w14:textId="7DF7DA6A" w:rsidR="002F1518" w:rsidRPr="00364545" w:rsidRDefault="002F1518" w:rsidP="002F1518">
      <w:pPr>
        <w:spacing w:before="240" w:after="240"/>
      </w:pPr>
      <w:r w:rsidRPr="00364545">
        <w:t xml:space="preserve">The Green Climate Fund, agreed at the 2009 Copenhagen Summit, was intended to become the main multilateral fund dedicated to financing mitigation and adaptation in developing countries towards low-carbon and resilient economies. Its initial capitalisation was $10.3 billion USD. It aims for a balanced distribution between mitigation and adaptation and a minimum allocation of 50% of its resources to adaptation for least-developed countries, African states and small island developing states. </w:t>
      </w:r>
    </w:p>
    <w:p w14:paraId="77EDD578" w14:textId="0C530F2D" w:rsidR="00BA2C8F" w:rsidRPr="00364545" w:rsidRDefault="002F1518" w:rsidP="002F1518">
      <w:r w:rsidRPr="00364545">
        <w:t>France is contributing €1.5bn ($1.7bn) to replenishing the Green Climate Fund for the period 2020-2023</w:t>
      </w:r>
      <w:r w:rsidR="00AE6339" w:rsidRPr="00364545">
        <w:rPr>
          <w:rStyle w:val="FootnoteReference"/>
        </w:rPr>
        <w:footnoteReference w:id="3"/>
      </w:r>
      <w:r w:rsidRPr="00364545">
        <w:t>. This strong commitment, which represents a significant budgetary commitment, places France as the third largest contributor (in terms of donation) to the replenishment behind the United Kingdom and Germany, and the fourth largest historical contributor behind these countries and Japan.</w:t>
      </w:r>
    </w:p>
    <w:p w14:paraId="70511240" w14:textId="77777777" w:rsidR="002F1518" w:rsidRPr="00364545" w:rsidRDefault="002F1518" w:rsidP="002F1518"/>
    <w:p w14:paraId="0B13C48F" w14:textId="55331ED4" w:rsidR="002F1518" w:rsidRPr="00364545" w:rsidRDefault="002F1518" w:rsidP="002F1518">
      <w:r w:rsidRPr="00364545">
        <w:t xml:space="preserve">As a long-standing contributor to the Global Environment Facility (GEF) for more than 30 years, France has played its full part in the international community's effort to increase the resources mobilised by making a record contribution of $360 million, an increase of almost 40% in euros compared to its contribution during the previous replenishment. The Least Developed Countries Fund (LDCF) is dedicated to adaptation and technology transfer in developing countries, hosted and managed by the GEF. France provided €15m in grants in 2016, </w:t>
      </w:r>
      <w:r w:rsidRPr="00364545">
        <w:rPr>
          <w:b/>
        </w:rPr>
        <w:t xml:space="preserve">€10m in 2017, €7.5m in 2018 and €20m in 2021 (announced at COP26). France contributed €15m to the Adaptation Fund in 2018 </w:t>
      </w:r>
      <w:r w:rsidRPr="00364545">
        <w:t xml:space="preserve">(announced at COP24) </w:t>
      </w:r>
      <w:r w:rsidRPr="00364545">
        <w:rPr>
          <w:b/>
        </w:rPr>
        <w:t>and announced at COP27 a further contribution to the Adaptation Fund of €10m.</w:t>
      </w:r>
      <w:r w:rsidRPr="00364545">
        <w:t>.</w:t>
      </w:r>
    </w:p>
    <w:p w14:paraId="03F8CA23" w14:textId="6B262456" w:rsidR="00E73BD6" w:rsidRPr="00364545" w:rsidRDefault="00E73BD6" w:rsidP="003F57EA">
      <w:pPr>
        <w:pStyle w:val="Titre3Niveau3"/>
      </w:pPr>
      <w:bookmarkStart w:id="78" w:name="_Toc138341785"/>
      <w:r w:rsidRPr="00364545">
        <w:t>Technological cooperation</w:t>
      </w:r>
      <w:bookmarkEnd w:id="78"/>
    </w:p>
    <w:p w14:paraId="774ACBC3" w14:textId="77777777" w:rsidR="00300845" w:rsidRPr="00364545" w:rsidRDefault="00300845" w:rsidP="00E73BD6">
      <w:r w:rsidRPr="00364545">
        <w:t>Since the 7</w:t>
      </w:r>
      <w:r w:rsidRPr="00364545">
        <w:rPr>
          <w:vertAlign w:val="superscript"/>
        </w:rPr>
        <w:t>th</w:t>
      </w:r>
      <w:r w:rsidRPr="00364545">
        <w:t xml:space="preserve"> National Communication there has been a more general awareness of the need to strengthen adaptation to climate change while continuing mitigation efforts.</w:t>
      </w:r>
    </w:p>
    <w:p w14:paraId="04421F03" w14:textId="77777777" w:rsidR="00300845" w:rsidRPr="00364545" w:rsidRDefault="00300845" w:rsidP="00E73BD6"/>
    <w:p w14:paraId="031975A1" w14:textId="3A29E48E" w:rsidR="00300845" w:rsidRPr="00364545" w:rsidRDefault="00300845" w:rsidP="00300845">
      <w:r w:rsidRPr="00364545">
        <w:t>As a continuation of its national work on climate change adaptation, ADEME has launched a call for projects in 2022 aimed at strengthening this issue in the multilateral initiatives of the Action Agenda. ADEME has contributed to the international deployment of French climate technologies through several programmes and partnerships. Following COP21 and at the request of the French Ministry of Ecology, ADEME managed a programme to support the Climate Action Agenda coalitions. This programme mainly concerned the Global Alliance for Buildings and Construction (GlobalABC) and Mission Innovation, and included a cross-disciplinary focus: “Women and Climate”. The activities supported by this programme included aspects of technical and skills development.</w:t>
      </w:r>
    </w:p>
    <w:p w14:paraId="05C027D0" w14:textId="77777777" w:rsidR="00300845" w:rsidRPr="00364545" w:rsidRDefault="00300845" w:rsidP="00300845"/>
    <w:p w14:paraId="099F6FCE" w14:textId="2DAC9559" w:rsidR="00300845" w:rsidRPr="00364545" w:rsidRDefault="00300845" w:rsidP="00300845">
      <w:r w:rsidRPr="00364545">
        <w:t>At national level, ADEME has supported the development and deployment of new climate technologies, thanks to its annual budget allocation, the Programme d'Investissements d'Avenir (Investment Programme for the Future), and more recently the French Economic Recovery Plan (2020-2022).</w:t>
      </w:r>
    </w:p>
    <w:p w14:paraId="4490E6BD" w14:textId="77777777" w:rsidR="00300845" w:rsidRPr="00364545" w:rsidRDefault="00300845" w:rsidP="00300845"/>
    <w:p w14:paraId="05F0B446" w14:textId="1B53A050" w:rsidR="00300845" w:rsidRPr="00364545" w:rsidRDefault="00CE2485" w:rsidP="00300845">
      <w:r w:rsidRPr="00364545">
        <w:t>Citepa, the DGEC's operator for national emission inventories and capacity building in third countries (one course of action in the programme of operations refers to this), is involved at an international level through capacity building actions on climate change and air pollution, either via twinning, IPA (Instrument for Pre-Accession Assistance) or calls for tender (AO) from international donors, or to a lesser extent, via a course of action in its programme with the DGEC (around €40k per year), potentially in all emerging and developing countries (each year in around twenty countries depending on the AO). Most of the time, collaborations are bilateral via calls for tenders from technical agencies AFD/GIZ/European Environment Agency, as well as UN agencies (UNDP) or development banks (AFD/BM/ADB, etc.).</w:t>
      </w:r>
    </w:p>
    <w:p w14:paraId="28412450" w14:textId="134C0601" w:rsidR="00CE2485" w:rsidRPr="00364545" w:rsidRDefault="00CE2485" w:rsidP="003F57EA">
      <w:pPr>
        <w:pStyle w:val="Titre3Niveau3"/>
      </w:pPr>
      <w:bookmarkStart w:id="79" w:name="_Toc138341786"/>
      <w:r w:rsidRPr="00364545">
        <w:t>Capacity building</w:t>
      </w:r>
      <w:bookmarkEnd w:id="79"/>
    </w:p>
    <w:p w14:paraId="06AE92EE" w14:textId="080FFA74" w:rsidR="00CE2485" w:rsidRPr="00364545" w:rsidRDefault="00CE2485" w:rsidP="00CE2485">
      <w:r w:rsidRPr="00364545">
        <w:t>Since 2017, the AFD Group's Adapt'Action programme has been supporting vulnerable countries in the implementation of their adaptation strategies through technical assistance and capacity building activities in order to strengthen their climate governance, better integrate adaptation to climate change into their public policies and encourage developmental adaptation projects to emerge.</w:t>
      </w:r>
    </w:p>
    <w:p w14:paraId="3896D530" w14:textId="660C9EED" w:rsidR="00CE2485" w:rsidRPr="00364545" w:rsidRDefault="00CE2485" w:rsidP="00CE2485"/>
    <w:p w14:paraId="3862E6A4" w14:textId="49E90551" w:rsidR="00CE2485" w:rsidRPr="00364545" w:rsidRDefault="00CE2485" w:rsidP="003F50E9">
      <w:r w:rsidRPr="00364545">
        <w:t xml:space="preserve">Since 2014, France has participated technically and financially in the activities of the “French-speaking Cluster” by co-financing capacity-building workshops for French-speaking developing countries with Belgium, Switzerland and Germany. The Francophone Cluster is an initiative of the Partnership for Transparency in the Paris Agreement. Its aim is to enable the exchange of information, expertise and experiences between French-speaking partners, developing and developed countries, concerning GHG inventories, the development of mitigation measures, the MRV process and the formulation of Nationally Determined Contributions (NDCs). </w:t>
      </w:r>
    </w:p>
    <w:p w14:paraId="0B7DC0A2" w14:textId="683CFE4D" w:rsidR="00CE2485" w:rsidRPr="00364545" w:rsidRDefault="00CE2485" w:rsidP="003F50E9"/>
    <w:p w14:paraId="0D39D64C" w14:textId="1524920C" w:rsidR="00CE2485" w:rsidRPr="00364545" w:rsidRDefault="00CE2485" w:rsidP="00CE2485">
      <w:r w:rsidRPr="00364545">
        <w:t>At the national level, ADEME supports the capacity building of local authorities as regards climate change. This expertise has been shared internationally in capacity-building programmes for local authorities in sub-Saharan Africa. In partnership with the European Commission, ADEME has contributed to the work of the Covenant of Mayors in Sub-Saharan Africa (Com SSA)</w:t>
      </w:r>
    </w:p>
    <w:p w14:paraId="63CCD370" w14:textId="3D8693BB" w:rsidR="002E55B5" w:rsidRPr="00364545" w:rsidRDefault="00501FA3" w:rsidP="00755E47">
      <w:pPr>
        <w:pStyle w:val="Titre2Niveau2"/>
      </w:pPr>
      <w:bookmarkStart w:id="80" w:name="_Toc118381497"/>
      <w:bookmarkStart w:id="81" w:name="_Toc138341787"/>
      <w:r w:rsidRPr="00364545">
        <w:t>Research and observation</w:t>
      </w:r>
      <w:bookmarkStart w:id="82" w:name="_Toc118381498"/>
      <w:bookmarkEnd w:id="80"/>
      <w:bookmarkEnd w:id="81"/>
    </w:p>
    <w:p w14:paraId="6EDE4D5D" w14:textId="2723A287" w:rsidR="00DC331B" w:rsidRPr="00364545" w:rsidRDefault="00DC331B" w:rsidP="003F57EA">
      <w:pPr>
        <w:pStyle w:val="Titre3Niveau3"/>
      </w:pPr>
      <w:bookmarkStart w:id="83" w:name="_Toc138341788"/>
      <w:r w:rsidRPr="00364545">
        <w:t>Research</w:t>
      </w:r>
      <w:bookmarkEnd w:id="83"/>
    </w:p>
    <w:p w14:paraId="3FAF6BBF" w14:textId="55986E4D" w:rsidR="00CE2485" w:rsidRPr="00364545" w:rsidRDefault="000E2F47" w:rsidP="003F50E9">
      <w:r w:rsidRPr="00364545">
        <w:t>Faced with the challenges of climate change, French research is aligning its priorities with those of major European and international programmes. This is illustrated by France's participation in international bodies such as the IPCC (Intergovernmental Panel on Climate Change), the Future Earth programme (for which France coordinates the secretariat together with four other countries</w:t>
      </w:r>
      <w:r w:rsidRPr="00364545">
        <w:rPr>
          <w:vertAlign w:val="superscript"/>
        </w:rPr>
        <w:footnoteReference w:id="4"/>
      </w:r>
      <w:r w:rsidRPr="00364545">
        <w:t>), and the Belmont Forum consortium of funders. Its active participation in European joint programming initiatives (Horizon-Europe's JPIs), Article 185s (the PRIMA programme) and the fact that its research strategy is aligned with the challenges of the European research strategy within the Horizon Europe programme demonstrate this commitment. On a national scale, France is mobilising resources for the study of climate change, particularly in relation to major research projects.</w:t>
      </w:r>
    </w:p>
    <w:p w14:paraId="3D076BD3" w14:textId="788BD4E4" w:rsidR="000E2F47" w:rsidRPr="00364545" w:rsidRDefault="000E2F47" w:rsidP="003F50E9"/>
    <w:p w14:paraId="27733554" w14:textId="5504E7C0" w:rsidR="000E2F47" w:rsidRPr="00364545" w:rsidRDefault="000E2F47" w:rsidP="003F50E9">
      <w:r w:rsidRPr="00364545">
        <w:t>At a European level, the Ministry fully supports the ten Joint Programming Initiatives (JPI). Each JPI develops joint activities in order to coordinate European research.</w:t>
      </w:r>
    </w:p>
    <w:p w14:paraId="658EFC98" w14:textId="6DC5616F" w:rsidR="000E2F47" w:rsidRPr="00364545" w:rsidRDefault="000E2F47" w:rsidP="003F50E9"/>
    <w:p w14:paraId="4837D6C2" w14:textId="00B3C465" w:rsidR="000E2F47" w:rsidRPr="00364545" w:rsidRDefault="000E2F47" w:rsidP="003F50E9">
      <w:pPr>
        <w:rPr>
          <w:color w:val="000000"/>
          <w:szCs w:val="22"/>
        </w:rPr>
      </w:pPr>
      <w:r w:rsidRPr="00364545">
        <w:rPr>
          <w:color w:val="000000"/>
        </w:rPr>
        <w:t>French public research on climate in the broadest sense is carried out in higher education institutions which are represented in the AllEnvi alliance by the Conference of University Presidents (CPU, which brings together the heads of universities, national polytechnic institutes, Écoles Normales Supérieures and major institutions) and in twelve research organisations which devote a varying proportion of their activities to this field.</w:t>
      </w:r>
    </w:p>
    <w:p w14:paraId="4358604E" w14:textId="77777777" w:rsidR="003F50E9" w:rsidRPr="00364545" w:rsidRDefault="003F50E9" w:rsidP="003F50E9">
      <w:pPr>
        <w:rPr>
          <w:color w:val="000000"/>
          <w:szCs w:val="22"/>
        </w:rPr>
      </w:pPr>
    </w:p>
    <w:p w14:paraId="237643D1" w14:textId="30B254CC" w:rsidR="000E2F47" w:rsidRPr="00364545" w:rsidRDefault="000E2F47" w:rsidP="003F50E9">
      <w:pPr>
        <w:rPr>
          <w:color w:val="000000"/>
          <w:szCs w:val="22"/>
        </w:rPr>
      </w:pPr>
      <w:r w:rsidRPr="00364545">
        <w:rPr>
          <w:color w:val="000000"/>
        </w:rPr>
        <w:t>Several climate modelling centres exist in France which have led to the development of two major climate models, with one developed by the Institut Pierre-Simon-Laplace (IPSL) and the other by Météo-France. These models have been developed in partnership with numerous research units in France.</w:t>
      </w:r>
    </w:p>
    <w:p w14:paraId="446BDA25" w14:textId="77777777" w:rsidR="003F50E9" w:rsidRPr="00364545" w:rsidRDefault="003F50E9" w:rsidP="003F50E9"/>
    <w:p w14:paraId="530F699D" w14:textId="75B77C90" w:rsidR="000E2F47" w:rsidRPr="00364545" w:rsidRDefault="000E2F47" w:rsidP="003F50E9">
      <w:pPr>
        <w:rPr>
          <w:color w:val="000000"/>
        </w:rPr>
      </w:pPr>
      <w:r w:rsidRPr="00364545">
        <w:rPr>
          <w:color w:val="000000"/>
        </w:rPr>
        <w:t>Two national research organisations (IRD, CIRAD), under the dual supervision of the Ministry of Research and the Ministry of Foreign Affairs, carry out research and development activities with and for developing countries.</w:t>
      </w:r>
    </w:p>
    <w:p w14:paraId="1B32A563" w14:textId="4648C042" w:rsidR="000E2F47" w:rsidRPr="00364545" w:rsidRDefault="00DC331B" w:rsidP="003F57EA">
      <w:pPr>
        <w:pStyle w:val="Titre3Niveau3"/>
      </w:pPr>
      <w:bookmarkStart w:id="84" w:name="_Toc123281458"/>
      <w:bookmarkStart w:id="85" w:name="_Toc138341789"/>
      <w:bookmarkEnd w:id="84"/>
      <w:r w:rsidRPr="00364545">
        <w:t>Systematic observation</w:t>
      </w:r>
      <w:bookmarkEnd w:id="85"/>
    </w:p>
    <w:p w14:paraId="45CFD529" w14:textId="77777777" w:rsidR="003F50E9" w:rsidRPr="00364545" w:rsidRDefault="003F50E9" w:rsidP="003F50E9">
      <w:r w:rsidRPr="00364545">
        <w:t>France participates in the Global Climate Observing System (GCOS), a joint observation system comprising four areas of observation with specific networks: the atmosphere, the ocean, the terrestrial networks (glaciers and carbon fluxes) and the domain of space. This climate observation programme comes under the aegis of the World Meteorological Organisation (WMO), the International Council for Science (ICSU), the International Oceanographic Commission (IOC) and the United Nations Environment Programme (UNEP). The aim of the GCOS National Communication is to verify that the French system allows the climate to be monitored (spatial resolution, temporal frequency, operating status) and respects specific aspects related to the Climate Convention (Rio, 1992) and the Kyoto Protocol (1997).</w:t>
      </w:r>
    </w:p>
    <w:p w14:paraId="51316C65" w14:textId="77777777" w:rsidR="003F50E9" w:rsidRPr="00364545" w:rsidRDefault="003F50E9" w:rsidP="003F50E9">
      <w:r w:rsidRPr="00364545">
        <w:t>Two types of measurement networks are relevant according to their purpose: measurement networks for research and networks for public service purposes. The two networks inevitably interact.</w:t>
      </w:r>
    </w:p>
    <w:p w14:paraId="70184B1C" w14:textId="77777777" w:rsidR="003F50E9" w:rsidRPr="00364545" w:rsidRDefault="003F50E9" w:rsidP="003F50E9">
      <w:r w:rsidRPr="00364545">
        <w:t xml:space="preserve">In France, climate research relies on observation facilities approved by the Specialized Commission for Ocean-Atmosphere (CSOA) and managed locally by the Observatories of Sciences of the Universe (OSU). These facilities are the building blocks of national research infrastructures which are part of a national roadmap (set up in 2008 and updated in 2012, 2016 and 2021). For the past ten years, the organisation of the national infrastructure landscape has reflected France's desire to maintain existing observation systems, which are necessary for climate research in particular, in line with European or international research infrastructures. </w:t>
      </w:r>
    </w:p>
    <w:p w14:paraId="6F066B01" w14:textId="77777777" w:rsidR="003F50E9" w:rsidRPr="00364545" w:rsidRDefault="003F50E9" w:rsidP="003F50E9"/>
    <w:p w14:paraId="133267FD" w14:textId="4ECC7ACF" w:rsidR="003F50E9" w:rsidRPr="00364545" w:rsidRDefault="003F50E9" w:rsidP="003F50E9">
      <w:r w:rsidRPr="00364545">
        <w:t>Météo-France, the national meteorological and climatological service working on behalf of the state to ensure the meteorological safety of people and property, also has a role to play in cutting edge research and the latest scientific advances in the field of observation, forecasting and climate modelling. It occupies a central place in the systematic observation system because of its history, its links with the WMO and its geographical location.</w:t>
      </w:r>
    </w:p>
    <w:p w14:paraId="11269049" w14:textId="28EB3E96" w:rsidR="00501FA3" w:rsidRPr="00364545" w:rsidRDefault="00501FA3" w:rsidP="00E22CF8">
      <w:pPr>
        <w:pStyle w:val="Titre2Niveau2"/>
      </w:pPr>
      <w:bookmarkStart w:id="86" w:name="_Toc138341790"/>
      <w:r w:rsidRPr="00364545">
        <w:t>Public education, training and awareness-raising</w:t>
      </w:r>
      <w:bookmarkEnd w:id="82"/>
      <w:bookmarkEnd w:id="86"/>
    </w:p>
    <w:p w14:paraId="70393A1F" w14:textId="77777777" w:rsidR="00DC331B" w:rsidRPr="00364545" w:rsidRDefault="00DC331B" w:rsidP="00DC331B">
      <w:r w:rsidRPr="00364545">
        <w:t xml:space="preserve">In France, education on climate change issues is part of education about sustainable development and is done using an overarching approach which addresses all environmental issues, as well as the economic and social aspects of sustainable development. </w:t>
      </w:r>
    </w:p>
    <w:p w14:paraId="26D022D4" w14:textId="1F4B3142" w:rsidR="006D5177" w:rsidRPr="00364545" w:rsidRDefault="006D5177" w:rsidP="00DC331B">
      <w:pPr>
        <w:rPr>
          <w:rFonts w:eastAsiaTheme="majorEastAsia"/>
        </w:rPr>
      </w:pPr>
    </w:p>
    <w:p w14:paraId="3B6C4337" w14:textId="77777777" w:rsidR="00CB7596" w:rsidRPr="00364545" w:rsidRDefault="00CB7596" w:rsidP="00CB7596">
      <w:pPr>
        <w:rPr>
          <w:rFonts w:cstheme="minorHAnsi"/>
        </w:rPr>
      </w:pPr>
      <w:r w:rsidRPr="00364545">
        <w:t xml:space="preserve">Education about sustainable development is cross-curricular and can be found in the curriculum of all school subjects. It is also supported by practical educational projects involving students. </w:t>
      </w:r>
    </w:p>
    <w:p w14:paraId="22AD6820" w14:textId="07B545B7" w:rsidR="00CB7596" w:rsidRPr="00364545" w:rsidRDefault="00CB7596" w:rsidP="00CB7596">
      <w:pPr>
        <w:rPr>
          <w:rFonts w:cstheme="minorHAnsi"/>
          <w:bCs/>
        </w:rPr>
      </w:pPr>
      <w:r w:rsidRPr="00364545">
        <w:t>It involves all pupils in all the branches of the national education system (general, technological and vocational), throughout their schooling, from nursery school to the end of secondary school. The aim is to enable the younger generation to acquire the keys to understanding, knowledge and skills in order to better understand the complexity of the modern world, and to better act in a manner which respects others and the environment.</w:t>
      </w:r>
    </w:p>
    <w:p w14:paraId="5040341A" w14:textId="35EADF55" w:rsidR="00CB7596" w:rsidRPr="00364545" w:rsidRDefault="00CB7596" w:rsidP="00CB7596">
      <w:pPr>
        <w:rPr>
          <w:rFonts w:cstheme="minorHAnsi"/>
          <w:bCs/>
        </w:rPr>
      </w:pPr>
    </w:p>
    <w:p w14:paraId="11DEBA5E" w14:textId="260D3AE1" w:rsidR="00CB7596" w:rsidRPr="00364545" w:rsidRDefault="00CB7596" w:rsidP="00CB7596">
      <w:pPr>
        <w:rPr>
          <w:rFonts w:cs="Calibri"/>
        </w:rPr>
      </w:pPr>
      <w:r w:rsidRPr="00364545">
        <w:t>Since the inclusion of sustainable development education in the 2013 mission statement for schools, the legislation has been further strengthened in 2019 and 2021.</w:t>
      </w:r>
    </w:p>
    <w:p w14:paraId="28A06824" w14:textId="77777777" w:rsidR="00CB7596" w:rsidRPr="00364545" w:rsidRDefault="00CB7596" w:rsidP="00CB7596">
      <w:r w:rsidRPr="00364545">
        <w:t xml:space="preserve">In 2019, the law dated 26 July for a School of Trust completed this Article. </w:t>
      </w:r>
    </w:p>
    <w:p w14:paraId="2CC7E533" w14:textId="1A612274" w:rsidR="00CB7596" w:rsidRPr="00364545" w:rsidRDefault="00CB7596" w:rsidP="00CB7596">
      <w:pPr>
        <w:rPr>
          <w:rFonts w:cs="Calibri"/>
        </w:rPr>
      </w:pPr>
      <w:r w:rsidRPr="00364545">
        <w:t xml:space="preserve">In 2021, based on the proposals of the Citizens' Climate Convention, the Climate and Resilience Act dated 22 August strengthened the legislative foundation of sustainable development education (new dedicated article </w:t>
      </w:r>
      <w:hyperlink r:id="rId17" w:history="1">
        <w:r w:rsidRPr="00364545">
          <w:rPr>
            <w:rStyle w:val="Hyperlink"/>
            <w:rFonts w:ascii="Calibri" w:hAnsi="Calibri"/>
          </w:rPr>
          <w:t>L. 121-8</w:t>
        </w:r>
      </w:hyperlink>
      <w:r w:rsidRPr="00364545">
        <w:t xml:space="preserve"> of the Education Code). It also extended the remit of the Health and Citizenship Education Committees, which are partnership bodies in lower and upper secondary schools, to become CESCEs - Committees for Education in Health, Citizenship and the Environment (Article </w:t>
      </w:r>
      <w:hyperlink r:id="rId18" w:history="1">
        <w:r w:rsidRPr="00364545">
          <w:rPr>
            <w:rStyle w:val="Hyperlink"/>
            <w:rFonts w:ascii="Calibri" w:hAnsi="Calibri"/>
          </w:rPr>
          <w:t>L. 421-8</w:t>
        </w:r>
      </w:hyperlink>
      <w:r w:rsidRPr="00364545">
        <w:t xml:space="preserve"> of the Education Code).</w:t>
      </w:r>
    </w:p>
    <w:p w14:paraId="5CA20124" w14:textId="5D2D5AC5" w:rsidR="00CB7596" w:rsidRPr="00364545" w:rsidRDefault="00CB7596" w:rsidP="00CB7596">
      <w:pPr>
        <w:rPr>
          <w:rFonts w:cstheme="minorHAnsi"/>
        </w:rPr>
      </w:pPr>
      <w:r w:rsidRPr="00364545">
        <w:t>The Climate and Resilience Act dated 22 August 2021 also reaffirms the responsibility of the Ministry of Education in terms of content, the implementation of this content and the roll-out of sustainable development education in schools.</w:t>
      </w:r>
    </w:p>
    <w:p w14:paraId="0F071B25" w14:textId="33455DB9" w:rsidR="00CB7596" w:rsidRPr="00364545" w:rsidRDefault="00CB7596" w:rsidP="00CB7596">
      <w:r w:rsidRPr="00364545">
        <w:t xml:space="preserve">The last two ministerial circulars on sustainable development education, dated </w:t>
      </w:r>
      <w:hyperlink r:id="rId19" w:history="1">
        <w:r w:rsidRPr="00364545">
          <w:rPr>
            <w:rStyle w:val="Hyperlink"/>
            <w:rFonts w:ascii="Calibri" w:hAnsi="Calibri"/>
          </w:rPr>
          <w:t>27 August 2019</w:t>
        </w:r>
      </w:hyperlink>
      <w:r w:rsidRPr="00364545">
        <w:t xml:space="preserve"> and </w:t>
      </w:r>
      <w:hyperlink r:id="rId20" w:history="1">
        <w:r w:rsidRPr="00364545">
          <w:rPr>
            <w:rStyle w:val="Hyperlink"/>
            <w:rFonts w:ascii="Calibri" w:hAnsi="Calibri"/>
          </w:rPr>
          <w:t>24 September 2020</w:t>
        </w:r>
      </w:hyperlink>
      <w:r w:rsidRPr="00364545">
        <w:rPr>
          <w:rStyle w:val="Hyperlink"/>
          <w:rFonts w:ascii="Calibri" w:hAnsi="Calibri"/>
        </w:rPr>
        <w:t>,</w:t>
      </w:r>
      <w:r w:rsidRPr="00364545">
        <w:t xml:space="preserve"> outlined the main principles of sustainable development education and invited educational institutions to be exemplary models in their own right. Following a referral from the Minister to the Higher Committee on Curricula in 2019, school curricula have been enriched in the areas of biodiversity and climate, and more generally in the area of sustainable development.</w:t>
      </w:r>
    </w:p>
    <w:p w14:paraId="1253AD31" w14:textId="77777777" w:rsidR="00904207" w:rsidRPr="00364545" w:rsidRDefault="00904207" w:rsidP="00CB7596">
      <w:pPr>
        <w:rPr>
          <w:rFonts w:cstheme="minorHAnsi"/>
          <w:noProof/>
        </w:rPr>
      </w:pPr>
    </w:p>
    <w:p w14:paraId="5948025B" w14:textId="002E01E1" w:rsidR="00CB7596" w:rsidRPr="00364545" w:rsidRDefault="00CB7596" w:rsidP="00CB7596">
      <w:pPr>
        <w:rPr>
          <w:rFonts w:cstheme="minorHAnsi"/>
          <w:noProof/>
        </w:rPr>
      </w:pPr>
      <w:r w:rsidRPr="00364545">
        <w:t xml:space="preserve">As regards further education, issues related to sustainable development education have been integrated into the Ministry of Education’s National Training Plan (PNF) with the organisation of the annual Resource Forum on Education for Sustainable Development (FOREDD) (FOREDD), which has been in existence for 15 years. Other PNF education courses address these themes in the various disciplines, particularly in history/geography, life and earth sciences, and economic and social sciences, as well as in digital science and philosophy. At an academic level, academic training programmes include modules dedicated to sustainable development education, especially for history/geography and life and earth sciences teachers. </w:t>
      </w:r>
    </w:p>
    <w:p w14:paraId="3A8F5099" w14:textId="4157774A" w:rsidR="00CB7596" w:rsidRPr="00364545" w:rsidRDefault="00CB7596" w:rsidP="00CB7596">
      <w:r w:rsidRPr="00364545">
        <w:t>For two consecutive years, the Ministry has been reinforcing the PNF with new national training courses in addition to the FOREDD with the aim of training both teaching staff and managers in order to forge a common culture regarding sustainable development education. Climate change issues are integrated into these courses.</w:t>
      </w:r>
    </w:p>
    <w:p w14:paraId="028E806B" w14:textId="77777777" w:rsidR="00904207" w:rsidRPr="00364545" w:rsidRDefault="00904207" w:rsidP="00904207">
      <w:r w:rsidRPr="00364545">
        <w:t xml:space="preserve">The circular for the start of the 2022 academic year placed ecological transition amongst the ministerial priorities. </w:t>
      </w:r>
    </w:p>
    <w:p w14:paraId="2FE13FF2" w14:textId="77777777" w:rsidR="00904207" w:rsidRPr="00364545" w:rsidRDefault="00904207" w:rsidP="00904207">
      <w:r w:rsidRPr="00364545">
        <w:rPr>
          <w:color w:val="000000"/>
        </w:rPr>
        <w:t xml:space="preserve">Schools and colleges have been asked to carry on with their actions. This involves continuing with educational projects of which there are already many in number, notably those carried out by the eco-delegates, as well as schools and establishments placing the environmental and energy transition at the heart of their programme, notably through the E3D accreditation. </w:t>
      </w:r>
    </w:p>
    <w:p w14:paraId="17873F0C" w14:textId="48E8AD74" w:rsidR="00904207" w:rsidRPr="00364545" w:rsidRDefault="00904207" w:rsidP="00CB7596">
      <w:r w:rsidRPr="00364545">
        <w:t>A</w:t>
      </w:r>
      <w:r w:rsidRPr="00364545">
        <w:rPr>
          <w:color w:val="000000"/>
        </w:rPr>
        <w:t xml:space="preserve"> guide for the ecological transition of schools and educational establishments will be published in early 2023.</w:t>
      </w:r>
      <w:r w:rsidRPr="00364545">
        <w:t xml:space="preserve">. </w:t>
      </w:r>
    </w:p>
    <w:p w14:paraId="6E71F465" w14:textId="77777777" w:rsidR="00CB7596" w:rsidRPr="00364545" w:rsidRDefault="00CB7596" w:rsidP="00CB7596">
      <w:pPr>
        <w:rPr>
          <w:rFonts w:cstheme="minorHAnsi"/>
        </w:rPr>
      </w:pPr>
    </w:p>
    <w:p w14:paraId="0CFE8A48" w14:textId="77777777" w:rsidR="00CB7596" w:rsidRPr="00364545" w:rsidRDefault="00CB7596" w:rsidP="00CB7596">
      <w:pPr>
        <w:rPr>
          <w:rFonts w:eastAsiaTheme="majorEastAsia"/>
        </w:rPr>
      </w:pPr>
    </w:p>
    <w:p w14:paraId="705AEB56" w14:textId="5A086F05" w:rsidR="00DC331B" w:rsidRPr="00364545" w:rsidRDefault="00DC331B">
      <w:pPr>
        <w:spacing w:line="240" w:lineRule="atLeast"/>
        <w:jc w:val="left"/>
        <w:rPr>
          <w:rFonts w:eastAsiaTheme="majorEastAsia" w:cstheme="majorBidi"/>
          <w:bCs/>
          <w:spacing w:val="-10"/>
          <w:kern w:val="28"/>
          <w:sz w:val="48"/>
          <w:szCs w:val="56"/>
        </w:rPr>
      </w:pPr>
      <w:bookmarkStart w:id="87" w:name="ChapitreII"/>
    </w:p>
    <w:p w14:paraId="44A14964" w14:textId="533C81A6" w:rsidR="00CB7596" w:rsidRPr="00364545" w:rsidRDefault="00CB7596">
      <w:pPr>
        <w:spacing w:line="240" w:lineRule="atLeast"/>
        <w:jc w:val="left"/>
        <w:rPr>
          <w:rFonts w:eastAsiaTheme="majorEastAsia" w:cstheme="majorBidi"/>
          <w:bCs/>
          <w:spacing w:val="-10"/>
          <w:kern w:val="28"/>
          <w:sz w:val="48"/>
          <w:szCs w:val="56"/>
        </w:rPr>
      </w:pPr>
      <w:r w:rsidRPr="00364545">
        <w:br w:type="page"/>
      </w:r>
    </w:p>
    <w:p w14:paraId="5C144C7D" w14:textId="2B67B541" w:rsidR="0051771F" w:rsidRPr="00364545" w:rsidRDefault="0051771F" w:rsidP="0062059A">
      <w:pPr>
        <w:pStyle w:val="Titre1Niveau1"/>
        <w:ind w:left="0" w:right="27"/>
      </w:pPr>
      <w:bookmarkStart w:id="88" w:name="_Toc138341791"/>
      <w:r w:rsidRPr="00364545">
        <w:t>Chapter II - National circumstances relating to greenhouse gas emissions and removals</w:t>
      </w:r>
      <w:bookmarkEnd w:id="87"/>
      <w:bookmarkEnd w:id="88"/>
    </w:p>
    <w:p w14:paraId="292E769E" w14:textId="77777777" w:rsidR="00501FA3" w:rsidRPr="00364545" w:rsidRDefault="00501FA3" w:rsidP="003F57EA">
      <w:pPr>
        <w:pStyle w:val="Titre2Niveau2"/>
        <w:numPr>
          <w:ilvl w:val="0"/>
          <w:numId w:val="95"/>
        </w:numPr>
      </w:pPr>
      <w:bookmarkStart w:id="89" w:name="_Toc120567475"/>
      <w:bookmarkStart w:id="90" w:name="_Toc138341792"/>
      <w:bookmarkStart w:id="91" w:name="_Toc118276991"/>
      <w:r w:rsidRPr="00364545">
        <w:t>Institutions</w:t>
      </w:r>
      <w:bookmarkEnd w:id="89"/>
      <w:bookmarkEnd w:id="90"/>
    </w:p>
    <w:p w14:paraId="7689446A" w14:textId="77777777" w:rsidR="00501FA3" w:rsidRPr="00364545" w:rsidRDefault="00501FA3" w:rsidP="00501FA3">
      <w:r w:rsidRPr="00364545">
        <w:t>France is an ‘indivisible, secular, democratic and social’ constitutional republic (Article I of the Constitution of 4 October 1958) with a parliamentary system.</w:t>
      </w:r>
    </w:p>
    <w:p w14:paraId="0B129F7B" w14:textId="77777777" w:rsidR="00501FA3" w:rsidRPr="00364545" w:rsidRDefault="00501FA3" w:rsidP="00501FA3"/>
    <w:p w14:paraId="647CE6A8" w14:textId="77777777" w:rsidR="00501FA3" w:rsidRPr="00364545" w:rsidRDefault="00501FA3" w:rsidP="00501FA3">
      <w:r w:rsidRPr="00364545">
        <w:t>The President of the Republic is elected for 5 years by direct universal suffrage. The President appoints the Prime Minister and, on the latter’s recommendation, the members of the Government. The President of the Republic chairs the Council of Ministers and promulgates laws. The President is the head of the army. The Prime Minister directs the actions of the Government, which determines and conducts the policy of the Nation. The President is accountable to both houses of parliament: the National Assembly, whose 577 ‘députés’ are elected by direct universal suffrage for 5 years, and the Senate, which has 348 senators elected by indirect universal suffrage for 6 years.</w:t>
      </w:r>
    </w:p>
    <w:p w14:paraId="26A9A4FB" w14:textId="77777777" w:rsidR="00501FA3" w:rsidRPr="00364545" w:rsidRDefault="00501FA3" w:rsidP="00501FA3"/>
    <w:p w14:paraId="552B04E1" w14:textId="16C66F3C" w:rsidR="00501FA3" w:rsidRPr="00364545" w:rsidRDefault="00501FA3" w:rsidP="00501FA3">
      <w:r w:rsidRPr="00364545">
        <w:t>The constitutional reform of 28 March 2003 enshrined in Article 1 of the Constitution the decentralised organisation of the state</w:t>
      </w:r>
      <w:r w:rsidRPr="00364545">
        <w:rPr>
          <w:rStyle w:val="FootnoteReference"/>
        </w:rPr>
        <w:footnoteReference w:id="5"/>
      </w:r>
      <w:r w:rsidRPr="00364545">
        <w:t>. On 25 November 2014, the National Assembly adopted on second reading the new 12-region map, which included the merger of the Poitou-Charentes, Limousin and Aquitaine regions, as well as Nord-Pas-de-Calais and Picardie. This new map reduced the number of regions in metropolitan France from</w:t>
      </w:r>
      <w:r w:rsidRPr="00364545">
        <w:rPr>
          <w:rStyle w:val="FootnoteReference"/>
        </w:rPr>
        <w:footnoteReference w:id="6"/>
      </w:r>
      <w:r w:rsidRPr="00364545">
        <w:t xml:space="preserve"> 21 to 12.</w:t>
      </w:r>
    </w:p>
    <w:p w14:paraId="6E670174" w14:textId="77777777" w:rsidR="00501FA3" w:rsidRPr="00364545" w:rsidRDefault="00501FA3" w:rsidP="00501FA3">
      <w:r w:rsidRPr="00364545">
        <w:t>The last constitutional reform was on 23 July 2008. It extended the scope of application of the principle of equality to professional and social responsibility.</w:t>
      </w:r>
    </w:p>
    <w:p w14:paraId="00AFB78E" w14:textId="77777777" w:rsidR="00501FA3" w:rsidRPr="00364545" w:rsidRDefault="00501FA3" w:rsidP="003F57EA">
      <w:pPr>
        <w:pStyle w:val="Titre2Niveau2"/>
        <w:numPr>
          <w:ilvl w:val="0"/>
          <w:numId w:val="94"/>
        </w:numPr>
      </w:pPr>
      <w:bookmarkStart w:id="92" w:name="_Toc120567476"/>
      <w:bookmarkStart w:id="93" w:name="_Toc138341793"/>
      <w:r w:rsidRPr="00364545">
        <w:t>Demographics</w:t>
      </w:r>
      <w:bookmarkEnd w:id="92"/>
      <w:bookmarkEnd w:id="93"/>
    </w:p>
    <w:p w14:paraId="7021722A" w14:textId="5DCAD9EB" w:rsidR="00501FA3" w:rsidRPr="00364545" w:rsidRDefault="00501FA3" w:rsidP="00501FA3">
      <w:r w:rsidRPr="00364545">
        <w:t>On 1 January 2021, the population of France reached 67.8 million, including 2.2 million in the overseas departments (DOM). In 2021, the population increased by 0.3% (+187,000 people). This increase was partly due to the natural balance (+81,000), which was higher than in 2020 but lower than before the Covid-19 pandemic. Net migration was estimated at the end of 2021 at 140,000 people.</w:t>
      </w:r>
    </w:p>
    <w:p w14:paraId="4E259C36" w14:textId="77777777" w:rsidR="00501FA3" w:rsidRPr="00364545" w:rsidRDefault="00501FA3" w:rsidP="00501FA3">
      <w:r w:rsidRPr="00364545">
        <w:t>In 2021, 738,000 children were born in France, i.e. 3,000 more than in 2020. The drop in the number of births observed at the beginning of the year was then offset by an increase. The fertility rate declined from 2015 to 2020, then increased slightly in 2021 to 1.83 children per woman.</w:t>
      </w:r>
    </w:p>
    <w:p w14:paraId="107B6B75" w14:textId="77777777" w:rsidR="00501FA3" w:rsidRPr="00364545" w:rsidRDefault="00501FA3" w:rsidP="00501FA3"/>
    <w:p w14:paraId="69D615BC" w14:textId="1251179C" w:rsidR="00501FA3" w:rsidRPr="00364545" w:rsidRDefault="00501FA3" w:rsidP="00501FA3">
      <w:r w:rsidRPr="00364545">
        <w:t>The two most populous regions (Île-de-France and Auvergne-Rhône-Alpes) account for 30% of the French population, but only 13% of the territory. Île-de-France remains by far the most densely populated region with 1,022 inhabitants per km</w:t>
      </w:r>
      <w:r w:rsidRPr="00364545">
        <w:rPr>
          <w:vertAlign w:val="superscript"/>
        </w:rPr>
        <w:t>2</w:t>
      </w:r>
      <w:r w:rsidRPr="00364545">
        <w:t>, i.e. almost 10 times the average density in France, including the French overseas departments (106 inhabitants per km</w:t>
      </w:r>
      <w:r w:rsidRPr="00364545">
        <w:rPr>
          <w:vertAlign w:val="superscript"/>
        </w:rPr>
        <w:t>2</w:t>
      </w:r>
      <w:r w:rsidRPr="00364545">
        <w:t>).</w:t>
      </w:r>
    </w:p>
    <w:p w14:paraId="550CA9E8" w14:textId="6D9E3F5C" w:rsidR="00501FA3" w:rsidRPr="00364545" w:rsidRDefault="00501FA3" w:rsidP="00501FA3">
      <w:r w:rsidRPr="00364545">
        <w:t>On a comparable basis (excluding Mayotte), the population continues to grow, but more moderately than previously. In fact, population growth was around +0.5% between 2009 and 2014 and around +0.7% in the first half of the 2000s.</w:t>
      </w:r>
    </w:p>
    <w:p w14:paraId="61DF169A" w14:textId="77777777" w:rsidR="00501FA3" w:rsidRPr="00364545" w:rsidRDefault="00501FA3" w:rsidP="00501FA3"/>
    <w:p w14:paraId="4672EC4F" w14:textId="5521E051" w:rsidR="00501FA3" w:rsidRPr="00364545" w:rsidRDefault="00501FA3" w:rsidP="00501FA3">
      <w:r w:rsidRPr="00364545">
        <w:t>If recent demographic trends continue, France will have 76.5 million inhabitants on 1 January 2070, i.e. 10.7 million more than in 2013. These will mainly be people aged 65 or over (+10.4 million). The population aged 75 or over will be twice as large in 2070 as in 2013 (+7.8 million). The natural balance will be the main engine of growth at the beginning of the period. Then, towards 2050, population growth will be driven more by net migration. At the end of the forecast period, the natural balance is expected to increase again and to reach the level of the net migration.</w:t>
      </w:r>
    </w:p>
    <w:p w14:paraId="5A06F7EC" w14:textId="77777777" w:rsidR="00501FA3" w:rsidRPr="00364545" w:rsidRDefault="00501FA3" w:rsidP="00501FA3"/>
    <w:p w14:paraId="58620FF2" w14:textId="77777777" w:rsidR="00501FA3" w:rsidRPr="00364545" w:rsidRDefault="00501FA3" w:rsidP="00501FA3">
      <w:r w:rsidRPr="00364545">
        <w:t>The central scenario for population change in France</w:t>
      </w:r>
      <w:r w:rsidRPr="00364545">
        <w:rPr>
          <w:rStyle w:val="FootnoteReference"/>
        </w:rPr>
        <w:footnoteReference w:id="7"/>
      </w:r>
      <w:r w:rsidRPr="00364545">
        <w:t xml:space="preserve"> results in the following curve, in millions of inhabitants:</w:t>
      </w:r>
    </w:p>
    <w:p w14:paraId="4151AE6F" w14:textId="6C724FA6" w:rsidR="00501FA3" w:rsidRPr="00364545" w:rsidRDefault="00B052CA" w:rsidP="00A55861">
      <w:pPr>
        <w:jc w:val="center"/>
      </w:pPr>
      <w:r w:rsidRPr="00364545">
        <w:rPr>
          <w:noProof/>
          <w:lang w:val="fr-FR"/>
        </w:rPr>
        <w:drawing>
          <wp:inline distT="0" distB="0" distL="0" distR="0" wp14:anchorId="7866765C" wp14:editId="508CD78E">
            <wp:extent cx="6124575" cy="3752850"/>
            <wp:effectExtent l="0" t="0" r="9525" b="0"/>
            <wp:docPr id="28678" name="Graphique 28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AE66AEF" w14:textId="314FEAC2" w:rsidR="00A55861" w:rsidRPr="00364545" w:rsidRDefault="00A55861" w:rsidP="0045532B">
      <w:pPr>
        <w:pStyle w:val="Caption"/>
      </w:pPr>
      <w:bookmarkStart w:id="94" w:name="_Toc121411645"/>
      <w:bookmarkStart w:id="95" w:name="_Toc123916413"/>
      <w:r w:rsidRPr="00364545">
        <w:t xml:space="preserve">Figure </w:t>
      </w:r>
      <w:r w:rsidR="003714FB">
        <w:fldChar w:fldCharType="begin"/>
      </w:r>
      <w:r w:rsidR="003714FB">
        <w:instrText xml:space="preserve"> SEQ Figure \* ARABIC </w:instrText>
      </w:r>
      <w:r w:rsidR="003714FB">
        <w:fldChar w:fldCharType="separate"/>
      </w:r>
      <w:r w:rsidR="009A2FAA">
        <w:rPr>
          <w:noProof/>
        </w:rPr>
        <w:t>2</w:t>
      </w:r>
      <w:r w:rsidR="003714FB">
        <w:rPr>
          <w:noProof/>
        </w:rPr>
        <w:fldChar w:fldCharType="end"/>
      </w:r>
      <w:r w:rsidRPr="00364545">
        <w:t>: Projection of the change in the French population from 2018 to 2070 in thousands of inhabitants</w:t>
      </w:r>
      <w:bookmarkEnd w:id="94"/>
      <w:bookmarkEnd w:id="95"/>
    </w:p>
    <w:p w14:paraId="759D9FF4" w14:textId="59ADE79B" w:rsidR="00501FA3" w:rsidRPr="00364545" w:rsidRDefault="00A55861" w:rsidP="0045532B">
      <w:pPr>
        <w:pStyle w:val="Caption"/>
      </w:pPr>
      <w:r w:rsidRPr="00364545">
        <w:t>Source: Insee, Omphale 2022</w:t>
      </w:r>
    </w:p>
    <w:p w14:paraId="7F9B17A6" w14:textId="77777777" w:rsidR="00B052CA" w:rsidRPr="00364545" w:rsidRDefault="00B052CA" w:rsidP="00B052CA"/>
    <w:p w14:paraId="3B0E465B" w14:textId="025FBCFF" w:rsidR="00501FA3" w:rsidRPr="00364545" w:rsidRDefault="00B052CA" w:rsidP="00501FA3">
      <w:r w:rsidRPr="00364545">
        <w:t>According to the scenarios, the population is expected to change by between -5% and +10.6% in 2050 and -14% to +17% in 2070 compared to 2022.</w:t>
      </w:r>
    </w:p>
    <w:p w14:paraId="2DADEE7F" w14:textId="77777777" w:rsidR="00501FA3" w:rsidRPr="00364545" w:rsidRDefault="00501FA3" w:rsidP="00501FA3"/>
    <w:p w14:paraId="04A34506" w14:textId="77777777" w:rsidR="00501FA3" w:rsidRPr="00364545" w:rsidRDefault="00501FA3" w:rsidP="00501FA3">
      <w:pPr>
        <w:jc w:val="center"/>
      </w:pPr>
      <w:r w:rsidRPr="00364545">
        <w:rPr>
          <w:noProof/>
          <w:lang w:val="fr-FR"/>
        </w:rPr>
        <w:drawing>
          <wp:inline distT="0" distB="0" distL="0" distR="0" wp14:anchorId="5E8E4979" wp14:editId="13A5933B">
            <wp:extent cx="4572000" cy="2743200"/>
            <wp:effectExtent l="0" t="0" r="0" b="0"/>
            <wp:docPr id="32" name="Graphique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77A2941" w14:textId="441E57EA" w:rsidR="00A55861" w:rsidRPr="00364545" w:rsidRDefault="00501FA3" w:rsidP="00A55861">
      <w:pPr>
        <w:keepNext/>
      </w:pPr>
      <w:r w:rsidRPr="00364545">
        <w:t>.</w:t>
      </w:r>
    </w:p>
    <w:p w14:paraId="0488F9A7" w14:textId="2EA4A8E2" w:rsidR="00A55861" w:rsidRPr="00364545" w:rsidRDefault="00A55861" w:rsidP="0045532B">
      <w:pPr>
        <w:pStyle w:val="Caption"/>
      </w:pPr>
      <w:bookmarkStart w:id="96" w:name="_Toc121411646"/>
      <w:bookmarkStart w:id="97" w:name="_Toc123916414"/>
      <w:r w:rsidRPr="00364545">
        <w:t xml:space="preserve">Figure </w:t>
      </w:r>
      <w:r w:rsidR="003714FB">
        <w:fldChar w:fldCharType="begin"/>
      </w:r>
      <w:r w:rsidR="003714FB">
        <w:instrText xml:space="preserve"> SEQ Figure \* ARABIC </w:instrText>
      </w:r>
      <w:r w:rsidR="003714FB">
        <w:fldChar w:fldCharType="separate"/>
      </w:r>
      <w:r w:rsidR="009A2FAA">
        <w:rPr>
          <w:noProof/>
        </w:rPr>
        <w:t>3</w:t>
      </w:r>
      <w:r w:rsidR="003714FB">
        <w:rPr>
          <w:noProof/>
        </w:rPr>
        <w:fldChar w:fldCharType="end"/>
      </w:r>
      <w:r w:rsidRPr="00364545">
        <w:t>: Changes in household size in France not including Mayotte</w:t>
      </w:r>
      <w:bookmarkEnd w:id="96"/>
      <w:bookmarkEnd w:id="97"/>
    </w:p>
    <w:p w14:paraId="1BF78BD4" w14:textId="4DA315D2" w:rsidR="00501FA3" w:rsidRPr="00364545" w:rsidRDefault="00A55861" w:rsidP="0045532B">
      <w:pPr>
        <w:pStyle w:val="Caption"/>
      </w:pPr>
      <w:r w:rsidRPr="00364545">
        <w:t>Source: Insee, RP1968 survey at 1/4 - RP 1975 survey at 1/5 - RP1982 survey at 1/4 - RP1990 exhaustive survey - RP1999 to RP2019 main surveys.</w:t>
      </w:r>
    </w:p>
    <w:p w14:paraId="07AB75E4" w14:textId="77777777" w:rsidR="00A55861" w:rsidRPr="00364545" w:rsidRDefault="00A55861" w:rsidP="00A55861"/>
    <w:p w14:paraId="02BC0030" w14:textId="77777777" w:rsidR="00501FA3" w:rsidRPr="00364545" w:rsidRDefault="00501FA3" w:rsidP="00501FA3"/>
    <w:p w14:paraId="015FDF73" w14:textId="77777777" w:rsidR="00501FA3" w:rsidRPr="00364545" w:rsidRDefault="00501FA3" w:rsidP="00501FA3"/>
    <w:tbl>
      <w:tblPr>
        <w:tblStyle w:val="GridTable5Dark-Accent4"/>
        <w:tblW w:w="0" w:type="auto"/>
        <w:tblLook w:val="04A0" w:firstRow="1" w:lastRow="0" w:firstColumn="1" w:lastColumn="0" w:noHBand="0" w:noVBand="1"/>
      </w:tblPr>
      <w:tblGrid>
        <w:gridCol w:w="2485"/>
        <w:gridCol w:w="2485"/>
        <w:gridCol w:w="2485"/>
        <w:gridCol w:w="2485"/>
      </w:tblGrid>
      <w:tr w:rsidR="00501FA3" w:rsidRPr="00364545" w14:paraId="7AAE91B9" w14:textId="77777777" w:rsidTr="00AA2B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560BE01F" w14:textId="77777777" w:rsidR="00501FA3" w:rsidRPr="00364545" w:rsidRDefault="00501FA3" w:rsidP="00E53B5D"/>
        </w:tc>
        <w:tc>
          <w:tcPr>
            <w:tcW w:w="2485" w:type="dxa"/>
          </w:tcPr>
          <w:p w14:paraId="20A1EF95" w14:textId="77777777" w:rsidR="00501FA3" w:rsidRPr="00364545" w:rsidRDefault="00501FA3" w:rsidP="00AA2B36">
            <w:pPr>
              <w:jc w:val="left"/>
              <w:cnfStyle w:val="100000000000" w:firstRow="1" w:lastRow="0" w:firstColumn="0" w:lastColumn="0" w:oddVBand="0" w:evenVBand="0" w:oddHBand="0" w:evenHBand="0" w:firstRowFirstColumn="0" w:firstRowLastColumn="0" w:lastRowFirstColumn="0" w:lastRowLastColumn="0"/>
            </w:pPr>
            <w:r w:rsidRPr="00364545">
              <w:t>Live births in thousands</w:t>
            </w:r>
          </w:p>
        </w:tc>
        <w:tc>
          <w:tcPr>
            <w:tcW w:w="2485" w:type="dxa"/>
          </w:tcPr>
          <w:p w14:paraId="7F70E431" w14:textId="77777777" w:rsidR="00501FA3" w:rsidRPr="00364545" w:rsidRDefault="00501FA3" w:rsidP="00AA2B36">
            <w:pPr>
              <w:jc w:val="left"/>
              <w:cnfStyle w:val="100000000000" w:firstRow="1" w:lastRow="0" w:firstColumn="0" w:lastColumn="0" w:oddVBand="0" w:evenVBand="0" w:oddHBand="0" w:evenHBand="0" w:firstRowFirstColumn="0" w:firstRowLastColumn="0" w:lastRowFirstColumn="0" w:lastRowLastColumn="0"/>
            </w:pPr>
            <w:r w:rsidRPr="00364545">
              <w:t>Birth rate in ‰</w:t>
            </w:r>
          </w:p>
        </w:tc>
        <w:tc>
          <w:tcPr>
            <w:tcW w:w="2485" w:type="dxa"/>
          </w:tcPr>
          <w:p w14:paraId="28EF2D6E" w14:textId="77777777" w:rsidR="00501FA3" w:rsidRPr="00364545" w:rsidRDefault="00501FA3" w:rsidP="00AA2B36">
            <w:pPr>
              <w:jc w:val="left"/>
              <w:cnfStyle w:val="100000000000" w:firstRow="1" w:lastRow="0" w:firstColumn="0" w:lastColumn="0" w:oddVBand="0" w:evenVBand="0" w:oddHBand="0" w:evenHBand="0" w:firstRowFirstColumn="0" w:firstRowLastColumn="0" w:lastRowFirstColumn="0" w:lastRowLastColumn="0"/>
            </w:pPr>
            <w:r w:rsidRPr="00364545">
              <w:t>Total fertility rate per 100 women</w:t>
            </w:r>
          </w:p>
        </w:tc>
      </w:tr>
      <w:tr w:rsidR="00501FA3" w:rsidRPr="00364545" w14:paraId="6943A767"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0" w:type="dxa"/>
            <w:gridSpan w:val="4"/>
          </w:tcPr>
          <w:p w14:paraId="16197253" w14:textId="77777777" w:rsidR="00501FA3" w:rsidRPr="00364545" w:rsidRDefault="00501FA3" w:rsidP="00E53B5D">
            <w:pPr>
              <w:rPr>
                <w:b w:val="0"/>
              </w:rPr>
            </w:pPr>
            <w:r w:rsidRPr="00364545">
              <w:rPr>
                <w:b w:val="0"/>
              </w:rPr>
              <w:t>Metropolitan France</w:t>
            </w:r>
          </w:p>
        </w:tc>
      </w:tr>
      <w:tr w:rsidR="00501FA3" w:rsidRPr="00364545" w14:paraId="5AC036DF" w14:textId="77777777" w:rsidTr="00AA2B36">
        <w:tc>
          <w:tcPr>
            <w:cnfStyle w:val="001000000000" w:firstRow="0" w:lastRow="0" w:firstColumn="1" w:lastColumn="0" w:oddVBand="0" w:evenVBand="0" w:oddHBand="0" w:evenHBand="0" w:firstRowFirstColumn="0" w:firstRowLastColumn="0" w:lastRowFirstColumn="0" w:lastRowLastColumn="0"/>
            <w:tcW w:w="2485" w:type="dxa"/>
          </w:tcPr>
          <w:p w14:paraId="6379FEAC" w14:textId="77777777" w:rsidR="00501FA3" w:rsidRPr="00364545" w:rsidRDefault="00501FA3" w:rsidP="00E53B5D">
            <w:r w:rsidRPr="00364545">
              <w:t>1950</w:t>
            </w:r>
          </w:p>
        </w:tc>
        <w:tc>
          <w:tcPr>
            <w:tcW w:w="2485" w:type="dxa"/>
          </w:tcPr>
          <w:p w14:paraId="5A2BE7AC"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862.3</w:t>
            </w:r>
          </w:p>
        </w:tc>
        <w:tc>
          <w:tcPr>
            <w:tcW w:w="2485" w:type="dxa"/>
          </w:tcPr>
          <w:p w14:paraId="61638D7F"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20.6</w:t>
            </w:r>
          </w:p>
        </w:tc>
        <w:tc>
          <w:tcPr>
            <w:tcW w:w="2485" w:type="dxa"/>
          </w:tcPr>
          <w:p w14:paraId="43381D13"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294.7</w:t>
            </w:r>
          </w:p>
        </w:tc>
      </w:tr>
      <w:tr w:rsidR="00501FA3" w:rsidRPr="00364545" w14:paraId="045FCEFD"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1B05E21B" w14:textId="77777777" w:rsidR="00501FA3" w:rsidRPr="00364545" w:rsidRDefault="00501FA3" w:rsidP="00E53B5D">
            <w:r w:rsidRPr="00364545">
              <w:t>1980</w:t>
            </w:r>
          </w:p>
        </w:tc>
        <w:tc>
          <w:tcPr>
            <w:tcW w:w="2485" w:type="dxa"/>
          </w:tcPr>
          <w:p w14:paraId="4BBFD829"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800.4</w:t>
            </w:r>
          </w:p>
        </w:tc>
        <w:tc>
          <w:tcPr>
            <w:tcW w:w="2485" w:type="dxa"/>
          </w:tcPr>
          <w:p w14:paraId="19D47922"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14.9</w:t>
            </w:r>
          </w:p>
        </w:tc>
        <w:tc>
          <w:tcPr>
            <w:tcW w:w="2485" w:type="dxa"/>
          </w:tcPr>
          <w:p w14:paraId="0737D7D6"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194.5</w:t>
            </w:r>
          </w:p>
        </w:tc>
      </w:tr>
      <w:tr w:rsidR="00501FA3" w:rsidRPr="00364545" w14:paraId="64F78C5D" w14:textId="77777777" w:rsidTr="00AA2B36">
        <w:tc>
          <w:tcPr>
            <w:cnfStyle w:val="001000000000" w:firstRow="0" w:lastRow="0" w:firstColumn="1" w:lastColumn="0" w:oddVBand="0" w:evenVBand="0" w:oddHBand="0" w:evenHBand="0" w:firstRowFirstColumn="0" w:firstRowLastColumn="0" w:lastRowFirstColumn="0" w:lastRowLastColumn="0"/>
            <w:tcW w:w="2485" w:type="dxa"/>
          </w:tcPr>
          <w:p w14:paraId="6A9473C2" w14:textId="77777777" w:rsidR="00501FA3" w:rsidRPr="00364545" w:rsidRDefault="00501FA3" w:rsidP="00E53B5D">
            <w:r w:rsidRPr="00364545">
              <w:t>1990</w:t>
            </w:r>
          </w:p>
        </w:tc>
        <w:tc>
          <w:tcPr>
            <w:tcW w:w="2485" w:type="dxa"/>
          </w:tcPr>
          <w:p w14:paraId="5C29CDFD"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762.4</w:t>
            </w:r>
          </w:p>
        </w:tc>
        <w:tc>
          <w:tcPr>
            <w:tcW w:w="2485" w:type="dxa"/>
          </w:tcPr>
          <w:p w14:paraId="4AD04E0F"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13.4</w:t>
            </w:r>
          </w:p>
        </w:tc>
        <w:tc>
          <w:tcPr>
            <w:tcW w:w="2485" w:type="dxa"/>
          </w:tcPr>
          <w:p w14:paraId="344F658C"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177.8</w:t>
            </w:r>
          </w:p>
        </w:tc>
      </w:tr>
      <w:tr w:rsidR="00501FA3" w:rsidRPr="00364545" w14:paraId="1AEC5257"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07D0CA31" w14:textId="77777777" w:rsidR="00501FA3" w:rsidRPr="00364545" w:rsidRDefault="00501FA3" w:rsidP="00E53B5D">
            <w:r w:rsidRPr="00364545">
              <w:t>2000</w:t>
            </w:r>
          </w:p>
        </w:tc>
        <w:tc>
          <w:tcPr>
            <w:tcW w:w="2485" w:type="dxa"/>
          </w:tcPr>
          <w:p w14:paraId="6FE97DAF"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774.8</w:t>
            </w:r>
          </w:p>
        </w:tc>
        <w:tc>
          <w:tcPr>
            <w:tcW w:w="2485" w:type="dxa"/>
          </w:tcPr>
          <w:p w14:paraId="6B879224"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13.1</w:t>
            </w:r>
          </w:p>
        </w:tc>
        <w:tc>
          <w:tcPr>
            <w:tcW w:w="2485" w:type="dxa"/>
          </w:tcPr>
          <w:p w14:paraId="4AFE5AC0"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187.4</w:t>
            </w:r>
          </w:p>
        </w:tc>
      </w:tr>
      <w:tr w:rsidR="00501FA3" w:rsidRPr="00364545" w14:paraId="63F568E7" w14:textId="77777777" w:rsidTr="00AA2B36">
        <w:tc>
          <w:tcPr>
            <w:cnfStyle w:val="001000000000" w:firstRow="0" w:lastRow="0" w:firstColumn="1" w:lastColumn="0" w:oddVBand="0" w:evenVBand="0" w:oddHBand="0" w:evenHBand="0" w:firstRowFirstColumn="0" w:firstRowLastColumn="0" w:lastRowFirstColumn="0" w:lastRowLastColumn="0"/>
            <w:tcW w:w="2485" w:type="dxa"/>
          </w:tcPr>
          <w:p w14:paraId="771F9E3B" w14:textId="77777777" w:rsidR="00501FA3" w:rsidRPr="00364545" w:rsidRDefault="00501FA3" w:rsidP="00E53B5D">
            <w:r w:rsidRPr="00364545">
              <w:t>2018</w:t>
            </w:r>
          </w:p>
        </w:tc>
        <w:tc>
          <w:tcPr>
            <w:tcW w:w="2485" w:type="dxa"/>
          </w:tcPr>
          <w:p w14:paraId="13063A58"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719.7</w:t>
            </w:r>
          </w:p>
        </w:tc>
        <w:tc>
          <w:tcPr>
            <w:tcW w:w="2485" w:type="dxa"/>
          </w:tcPr>
          <w:p w14:paraId="70F8EDA6"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(p) 11,1</w:t>
            </w:r>
          </w:p>
        </w:tc>
        <w:tc>
          <w:tcPr>
            <w:tcW w:w="2485" w:type="dxa"/>
          </w:tcPr>
          <w:p w14:paraId="18C1F58A"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(p) 184,1</w:t>
            </w:r>
          </w:p>
        </w:tc>
      </w:tr>
      <w:tr w:rsidR="00501FA3" w:rsidRPr="00364545" w14:paraId="7F88C390"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58C6417B" w14:textId="77777777" w:rsidR="00501FA3" w:rsidRPr="00364545" w:rsidRDefault="00501FA3" w:rsidP="00E53B5D">
            <w:r w:rsidRPr="00364545">
              <w:t>2019 (p)</w:t>
            </w:r>
          </w:p>
        </w:tc>
        <w:tc>
          <w:tcPr>
            <w:tcW w:w="2485" w:type="dxa"/>
          </w:tcPr>
          <w:p w14:paraId="48CAE42C"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714.0</w:t>
            </w:r>
          </w:p>
        </w:tc>
        <w:tc>
          <w:tcPr>
            <w:tcW w:w="2485" w:type="dxa"/>
          </w:tcPr>
          <w:p w14:paraId="2AA059AE"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11.0</w:t>
            </w:r>
          </w:p>
        </w:tc>
        <w:tc>
          <w:tcPr>
            <w:tcW w:w="2485" w:type="dxa"/>
          </w:tcPr>
          <w:p w14:paraId="649D3F0D"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183.5</w:t>
            </w:r>
          </w:p>
        </w:tc>
      </w:tr>
      <w:tr w:rsidR="00501FA3" w:rsidRPr="00364545" w14:paraId="31A425D2" w14:textId="77777777" w:rsidTr="00AA2B36">
        <w:tc>
          <w:tcPr>
            <w:cnfStyle w:val="001000000000" w:firstRow="0" w:lastRow="0" w:firstColumn="1" w:lastColumn="0" w:oddVBand="0" w:evenVBand="0" w:oddHBand="0" w:evenHBand="0" w:firstRowFirstColumn="0" w:firstRowLastColumn="0" w:lastRowFirstColumn="0" w:lastRowLastColumn="0"/>
            <w:tcW w:w="9940" w:type="dxa"/>
            <w:gridSpan w:val="4"/>
          </w:tcPr>
          <w:p w14:paraId="3CC37674" w14:textId="77777777" w:rsidR="00501FA3" w:rsidRPr="00364545" w:rsidRDefault="00501FA3" w:rsidP="00501FA3">
            <w:pPr>
              <w:jc w:val="left"/>
              <w:rPr>
                <w:b w:val="0"/>
              </w:rPr>
            </w:pPr>
            <w:r w:rsidRPr="00364545">
              <w:rPr>
                <w:b w:val="0"/>
              </w:rPr>
              <w:t>France</w:t>
            </w:r>
            <w:r w:rsidRPr="00364545">
              <w:rPr>
                <w:b w:val="0"/>
                <w:vertAlign w:val="superscript"/>
              </w:rPr>
              <w:t>1</w:t>
            </w:r>
          </w:p>
        </w:tc>
      </w:tr>
      <w:tr w:rsidR="00501FA3" w:rsidRPr="00364545" w14:paraId="69CB6DCE"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014BAF6D" w14:textId="77777777" w:rsidR="00501FA3" w:rsidRPr="00364545" w:rsidRDefault="00501FA3" w:rsidP="00E53B5D">
            <w:r w:rsidRPr="00364545">
              <w:t>2000</w:t>
            </w:r>
          </w:p>
        </w:tc>
        <w:tc>
          <w:tcPr>
            <w:tcW w:w="2485" w:type="dxa"/>
          </w:tcPr>
          <w:p w14:paraId="4F959CAC"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807.4</w:t>
            </w:r>
          </w:p>
        </w:tc>
        <w:tc>
          <w:tcPr>
            <w:tcW w:w="2485" w:type="dxa"/>
          </w:tcPr>
          <w:p w14:paraId="39A8558B"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13.3</w:t>
            </w:r>
          </w:p>
        </w:tc>
        <w:tc>
          <w:tcPr>
            <w:tcW w:w="2485" w:type="dxa"/>
          </w:tcPr>
          <w:p w14:paraId="09E67962"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189.3</w:t>
            </w:r>
          </w:p>
        </w:tc>
      </w:tr>
      <w:tr w:rsidR="00501FA3" w:rsidRPr="00364545" w14:paraId="18BAFA64" w14:textId="77777777" w:rsidTr="00AA2B36">
        <w:tc>
          <w:tcPr>
            <w:cnfStyle w:val="001000000000" w:firstRow="0" w:lastRow="0" w:firstColumn="1" w:lastColumn="0" w:oddVBand="0" w:evenVBand="0" w:oddHBand="0" w:evenHBand="0" w:firstRowFirstColumn="0" w:firstRowLastColumn="0" w:lastRowFirstColumn="0" w:lastRowLastColumn="0"/>
            <w:tcW w:w="2485" w:type="dxa"/>
          </w:tcPr>
          <w:p w14:paraId="3C40636F" w14:textId="77777777" w:rsidR="00501FA3" w:rsidRPr="00364545" w:rsidRDefault="00501FA3" w:rsidP="00E53B5D">
            <w:r w:rsidRPr="00364545">
              <w:t>2018</w:t>
            </w:r>
          </w:p>
        </w:tc>
        <w:tc>
          <w:tcPr>
            <w:tcW w:w="2485" w:type="dxa"/>
          </w:tcPr>
          <w:p w14:paraId="0D336CDF"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758.6</w:t>
            </w:r>
          </w:p>
        </w:tc>
        <w:tc>
          <w:tcPr>
            <w:tcW w:w="2485" w:type="dxa"/>
          </w:tcPr>
          <w:p w14:paraId="08E46ECC"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(p) 11,3</w:t>
            </w:r>
          </w:p>
        </w:tc>
        <w:tc>
          <w:tcPr>
            <w:tcW w:w="2485" w:type="dxa"/>
          </w:tcPr>
          <w:p w14:paraId="3E7B3C09" w14:textId="77777777" w:rsidR="00501FA3" w:rsidRPr="00364545"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364545">
              <w:t>(p) 187,5</w:t>
            </w:r>
          </w:p>
        </w:tc>
      </w:tr>
      <w:tr w:rsidR="00501FA3" w:rsidRPr="00364545" w14:paraId="45B03AD2"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58248EFD" w14:textId="77777777" w:rsidR="00501FA3" w:rsidRPr="00364545" w:rsidRDefault="00501FA3" w:rsidP="00E53B5D">
            <w:r w:rsidRPr="00364545">
              <w:t>2019 (p)</w:t>
            </w:r>
          </w:p>
        </w:tc>
        <w:tc>
          <w:tcPr>
            <w:tcW w:w="2485" w:type="dxa"/>
          </w:tcPr>
          <w:p w14:paraId="0D8E76C0"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753.0</w:t>
            </w:r>
          </w:p>
        </w:tc>
        <w:tc>
          <w:tcPr>
            <w:tcW w:w="2485" w:type="dxa"/>
          </w:tcPr>
          <w:p w14:paraId="2D6E5A60"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11.2</w:t>
            </w:r>
          </w:p>
        </w:tc>
        <w:tc>
          <w:tcPr>
            <w:tcW w:w="2485" w:type="dxa"/>
          </w:tcPr>
          <w:p w14:paraId="7D8DD84F" w14:textId="77777777" w:rsidR="00501FA3" w:rsidRPr="00364545"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364545">
              <w:t>187.1</w:t>
            </w:r>
          </w:p>
        </w:tc>
      </w:tr>
      <w:tr w:rsidR="00501FA3" w:rsidRPr="00364545" w14:paraId="004E839B" w14:textId="77777777" w:rsidTr="00AA2B36">
        <w:tc>
          <w:tcPr>
            <w:cnfStyle w:val="001000000000" w:firstRow="0" w:lastRow="0" w:firstColumn="1" w:lastColumn="0" w:oddVBand="0" w:evenVBand="0" w:oddHBand="0" w:evenHBand="0" w:firstRowFirstColumn="0" w:firstRowLastColumn="0" w:lastRowFirstColumn="0" w:lastRowLastColumn="0"/>
            <w:tcW w:w="9940" w:type="dxa"/>
            <w:gridSpan w:val="4"/>
          </w:tcPr>
          <w:p w14:paraId="14CD6854" w14:textId="77777777" w:rsidR="00501FA3" w:rsidRPr="00364545" w:rsidRDefault="00501FA3" w:rsidP="00E53B5D">
            <w:r w:rsidRPr="00364545">
              <w:t>p: provisional data.</w:t>
            </w:r>
          </w:p>
          <w:p w14:paraId="2728106B" w14:textId="77777777" w:rsidR="00501FA3" w:rsidRPr="00364545" w:rsidRDefault="00501FA3" w:rsidP="00E53B5D">
            <w:r w:rsidRPr="00364545">
              <w:t>1. France excluding Mayotte in 2000, including Mayotte in 2018 and 2019.</w:t>
            </w:r>
          </w:p>
          <w:p w14:paraId="470AB1A9" w14:textId="77777777" w:rsidR="00501FA3" w:rsidRPr="00364545" w:rsidRDefault="00501FA3" w:rsidP="00E53B5D">
            <w:r w:rsidRPr="00364545">
              <w:t>Source: Insee, population estimates and civil status statistics.</w:t>
            </w:r>
          </w:p>
        </w:tc>
      </w:tr>
    </w:tbl>
    <w:p w14:paraId="5F1B714D" w14:textId="77777777" w:rsidR="00501FA3" w:rsidRPr="00364545" w:rsidRDefault="00501FA3" w:rsidP="00501FA3"/>
    <w:p w14:paraId="3AD68651" w14:textId="77777777" w:rsidR="00501FA3" w:rsidRPr="00364545" w:rsidRDefault="00501FA3" w:rsidP="00501FA3"/>
    <w:p w14:paraId="52EBB681" w14:textId="77777777" w:rsidR="00501FA3" w:rsidRPr="00364545" w:rsidRDefault="00501FA3" w:rsidP="00501FA3">
      <w:pPr>
        <w:jc w:val="center"/>
      </w:pPr>
      <w:r w:rsidRPr="00364545">
        <w:rPr>
          <w:noProof/>
          <w:lang w:val="fr-FR"/>
        </w:rPr>
        <w:drawing>
          <wp:inline distT="0" distB="0" distL="0" distR="0" wp14:anchorId="520E03F7" wp14:editId="7EBB0A25">
            <wp:extent cx="4046400" cy="36576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46400" cy="3657600"/>
                    </a:xfrm>
                    <a:prstGeom prst="rect">
                      <a:avLst/>
                    </a:prstGeom>
                  </pic:spPr>
                </pic:pic>
              </a:graphicData>
            </a:graphic>
          </wp:inline>
        </w:drawing>
      </w:r>
    </w:p>
    <w:p w14:paraId="69B0A5EB" w14:textId="4F31CFBB" w:rsidR="00A55861" w:rsidRPr="00364545" w:rsidRDefault="00A55861" w:rsidP="0045532B">
      <w:pPr>
        <w:pStyle w:val="Caption"/>
      </w:pPr>
      <w:bookmarkStart w:id="98" w:name="_Toc121411647"/>
      <w:bookmarkStart w:id="99" w:name="_Toc123916415"/>
      <w:bookmarkStart w:id="100" w:name="_Toc120567477"/>
      <w:r w:rsidRPr="00364545">
        <w:t xml:space="preserve">Figure </w:t>
      </w:r>
      <w:r w:rsidR="003714FB">
        <w:fldChar w:fldCharType="begin"/>
      </w:r>
      <w:r w:rsidR="003714FB">
        <w:instrText xml:space="preserve"> SEQ Figure \* ARABIC </w:instrText>
      </w:r>
      <w:r w:rsidR="003714FB">
        <w:fldChar w:fldCharType="separate"/>
      </w:r>
      <w:r w:rsidR="009A2FAA">
        <w:rPr>
          <w:noProof/>
        </w:rPr>
        <w:t>4</w:t>
      </w:r>
      <w:r w:rsidR="003714FB">
        <w:rPr>
          <w:noProof/>
        </w:rPr>
        <w:fldChar w:fldCharType="end"/>
      </w:r>
      <w:r w:rsidRPr="00364545">
        <w:t>: Life expectancy at birth and infant mortality rates from 1950 to 2019 in metropolitan France</w:t>
      </w:r>
      <w:bookmarkEnd w:id="98"/>
      <w:bookmarkEnd w:id="99"/>
    </w:p>
    <w:p w14:paraId="08E46D0B" w14:textId="440E0A5F" w:rsidR="00A55861" w:rsidRPr="00364545" w:rsidRDefault="00A55861" w:rsidP="0045532B">
      <w:pPr>
        <w:pStyle w:val="Caption"/>
      </w:pPr>
      <w:r w:rsidRPr="00364545">
        <w:t>Source: Insee, population estimates and civil status statistics.</w:t>
      </w:r>
    </w:p>
    <w:p w14:paraId="5A57B258" w14:textId="6E2D117B" w:rsidR="00501FA3" w:rsidRPr="00364545" w:rsidRDefault="00501FA3" w:rsidP="003F57EA">
      <w:pPr>
        <w:pStyle w:val="Titre2Niveau2"/>
        <w:numPr>
          <w:ilvl w:val="0"/>
          <w:numId w:val="94"/>
        </w:numPr>
      </w:pPr>
      <w:bookmarkStart w:id="101" w:name="_Toc138341794"/>
      <w:r w:rsidRPr="00364545">
        <w:t>Geography</w:t>
      </w:r>
      <w:bookmarkEnd w:id="100"/>
      <w:bookmarkEnd w:id="101"/>
    </w:p>
    <w:p w14:paraId="7161AE8F" w14:textId="0C074A65" w:rsidR="00501FA3" w:rsidRPr="00364545" w:rsidRDefault="00501FA3" w:rsidP="00501FA3">
      <w:r w:rsidRPr="00364545">
        <w:t>France is the country in the European Union with the largest surface area (550,000 km</w:t>
      </w:r>
      <w:r w:rsidRPr="00364545">
        <w:rPr>
          <w:vertAlign w:val="superscript"/>
        </w:rPr>
        <w:t>2</w:t>
      </w:r>
      <w:r w:rsidRPr="00364545">
        <w:t>, about 13% of the European Union area). Metropolitan France is located between the Atlantic and the Mediterranean, between latitudes 41°N and 51°N, and has approximately 5,500 km of coastline, including 2,000 km of beach - the country's main leisure attraction. A country of medium altitude, where plains and hills occupy two thirds of the territory, it nevertheless has two mountainous barriers, to the east and south: the Alps and the Pyrenees. Mont Blanc (4,810 m), the highest point in France, is located in the Alps on the border with Italy. The Massif Central in the centre of the country disperses water into four main basins: the Seine in the north, the Loire in the northwest, the Rhône in the east and the Garonne in the southwest.</w:t>
      </w:r>
    </w:p>
    <w:p w14:paraId="4B72A6EC" w14:textId="77777777" w:rsidR="00501FA3" w:rsidRPr="00364545" w:rsidRDefault="00501FA3" w:rsidP="00501FA3"/>
    <w:p w14:paraId="087A990F" w14:textId="2F355436" w:rsidR="00501FA3" w:rsidRPr="00364545" w:rsidRDefault="00501FA3" w:rsidP="00501FA3">
      <w:r w:rsidRPr="00364545">
        <w:t>According to the Teruti-Lucas</w:t>
      </w:r>
      <w:r w:rsidRPr="00364545">
        <w:rPr>
          <w:rStyle w:val="FootnoteReference"/>
        </w:rPr>
        <w:footnoteReference w:id="8"/>
      </w:r>
      <w:r w:rsidRPr="00364545">
        <w:t xml:space="preserve"> survey on land use, agricultural landscapes (cultivated and still under grass) occupy 51% of the metropolitan area. So-called natural areas (woodland, moorland, bare soil, wetlands and under water) account for 40% and artificialised land for 9% (built-up land, paved or stabilised land, other artificialised land).</w:t>
      </w:r>
    </w:p>
    <w:p w14:paraId="624E8873" w14:textId="77777777" w:rsidR="00501FA3" w:rsidRPr="00364545" w:rsidRDefault="00501FA3" w:rsidP="00501FA3"/>
    <w:p w14:paraId="79D57FDC" w14:textId="77777777" w:rsidR="00501FA3" w:rsidRPr="00364545" w:rsidRDefault="00501FA3" w:rsidP="00501FA3">
      <w:r w:rsidRPr="00364545">
        <w:t>The figure below corresponds to the data available within the framework of the CORINE Land Cover geographic database produced as part of the European Environmental Information Coordination Programme.</w:t>
      </w:r>
    </w:p>
    <w:p w14:paraId="57543CA6" w14:textId="043B8B38" w:rsidR="00501FA3" w:rsidRPr="00364545" w:rsidRDefault="00501FA3" w:rsidP="00501FA3">
      <w:pPr>
        <w:sectPr w:rsidR="00501FA3" w:rsidRPr="00364545" w:rsidSect="00777BD5">
          <w:pgSz w:w="11906" w:h="16838" w:code="9"/>
          <w:pgMar w:top="1229" w:right="907" w:bottom="1648" w:left="1049" w:header="284" w:footer="284" w:gutter="0"/>
          <w:cols w:space="708"/>
          <w:titlePg/>
          <w:docGrid w:linePitch="360"/>
        </w:sectPr>
      </w:pPr>
    </w:p>
    <w:p w14:paraId="53644F9A" w14:textId="4ACB8123" w:rsidR="00165BDF" w:rsidRPr="00364545" w:rsidRDefault="00165BDF" w:rsidP="00165BDF">
      <w:pPr>
        <w:jc w:val="center"/>
      </w:pPr>
      <w:r w:rsidRPr="00364545">
        <w:rPr>
          <w:noProof/>
          <w:lang w:val="fr-FR"/>
        </w:rPr>
        <w:drawing>
          <wp:inline distT="0" distB="0" distL="0" distR="0" wp14:anchorId="6C7B7EB2" wp14:editId="2BEE14D6">
            <wp:extent cx="6789600" cy="5572800"/>
            <wp:effectExtent l="0" t="0" r="0" b="8890"/>
            <wp:docPr id="28689" name="Image 28689" descr="L:\9_Intranet, Internet, communication\95_Rapport bisannuel\Rapport 2022 BR5 NC8\Rédaction NC8\2 - Circonstances nationales relatives aux GES\Sources\CLC_18_Fr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L:\9_Intranet, Internet, communication\95_Rapport bisannuel\Rapport 2022 BR5 NC8\Rédaction NC8\2 - Circonstances nationales relatives aux GES\Sources\CLC_18_Franc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89600" cy="5572800"/>
                    </a:xfrm>
                    <a:prstGeom prst="rect">
                      <a:avLst/>
                    </a:prstGeom>
                    <a:noFill/>
                    <a:ln>
                      <a:noFill/>
                    </a:ln>
                  </pic:spPr>
                </pic:pic>
              </a:graphicData>
            </a:graphic>
          </wp:inline>
        </w:drawing>
      </w:r>
    </w:p>
    <w:p w14:paraId="093D00C1" w14:textId="67F97635" w:rsidR="00165BDF" w:rsidRPr="00364545" w:rsidRDefault="00165BDF" w:rsidP="0045532B">
      <w:pPr>
        <w:pStyle w:val="Caption"/>
      </w:pPr>
      <w:bookmarkStart w:id="102" w:name="_Toc123916416"/>
      <w:r w:rsidRPr="00364545">
        <w:t xml:space="preserve">Figure </w:t>
      </w:r>
      <w:r w:rsidR="003714FB">
        <w:fldChar w:fldCharType="begin"/>
      </w:r>
      <w:r w:rsidR="003714FB">
        <w:instrText xml:space="preserve"> SEQ Figure \* ARABIC </w:instrText>
      </w:r>
      <w:r w:rsidR="003714FB">
        <w:fldChar w:fldCharType="separate"/>
      </w:r>
      <w:r w:rsidR="009A2FAA">
        <w:rPr>
          <w:noProof/>
        </w:rPr>
        <w:t>5</w:t>
      </w:r>
      <w:r w:rsidR="003714FB">
        <w:rPr>
          <w:noProof/>
        </w:rPr>
        <w:fldChar w:fldCharType="end"/>
      </w:r>
      <w:r w:rsidRPr="00364545">
        <w:t>: Map of land use in France in 2018</w:t>
      </w:r>
      <w:bookmarkEnd w:id="102"/>
    </w:p>
    <w:p w14:paraId="52A251BC" w14:textId="70ECA32E" w:rsidR="00165BDF" w:rsidRPr="00364545" w:rsidRDefault="00165BDF" w:rsidP="0045532B">
      <w:pPr>
        <w:pStyle w:val="Caption"/>
        <w:sectPr w:rsidR="00165BDF" w:rsidRPr="00364545" w:rsidSect="00E53B5D">
          <w:pgSz w:w="16838" w:h="11906" w:orient="landscape" w:code="9"/>
          <w:pgMar w:top="1049" w:right="1229" w:bottom="907" w:left="1648" w:header="284" w:footer="284" w:gutter="0"/>
          <w:cols w:space="708"/>
          <w:titlePg/>
          <w:docGrid w:linePitch="360"/>
        </w:sectPr>
      </w:pPr>
      <w:r w:rsidRPr="00364545">
        <w:t>Source: Citepa according to CORINE Land Cover</w:t>
      </w:r>
    </w:p>
    <w:p w14:paraId="6BA11F78" w14:textId="730C0665" w:rsidR="00501FA3" w:rsidRPr="00364545" w:rsidRDefault="00501FA3" w:rsidP="003F57EA">
      <w:pPr>
        <w:pStyle w:val="Titre2Niveau2"/>
        <w:numPr>
          <w:ilvl w:val="0"/>
          <w:numId w:val="94"/>
        </w:numPr>
      </w:pPr>
      <w:bookmarkStart w:id="103" w:name="_Toc120567478"/>
      <w:bookmarkStart w:id="104" w:name="_Toc138341795"/>
      <w:r w:rsidRPr="00364545">
        <w:t>Climate</w:t>
      </w:r>
      <w:bookmarkEnd w:id="91"/>
      <w:bookmarkEnd w:id="103"/>
      <w:bookmarkEnd w:id="104"/>
    </w:p>
    <w:p w14:paraId="1F413150" w14:textId="77777777" w:rsidR="00501FA3" w:rsidRPr="00364545" w:rsidRDefault="00501FA3" w:rsidP="00501FA3">
      <w:r w:rsidRPr="00364545">
        <w:t>Metropolitan France has a temperate climate compared to other parts of the world. It has rainfall throughout the year and relatively mild temperatures. These characteristics are due to the mid-latitude and the dominance of winds from the Atlantic.</w:t>
      </w:r>
    </w:p>
    <w:p w14:paraId="230D8123" w14:textId="77777777" w:rsidR="00501FA3" w:rsidRPr="00364545" w:rsidRDefault="00501FA3" w:rsidP="00501FA3">
      <w:r w:rsidRPr="00364545">
        <w:t>However, the regions have different climates depending on their latitude, altitude and proximity to the sea, as well as their position in relation to the three major mountain ranges (Pyrenees, Massif Central, Alps).</w:t>
      </w:r>
    </w:p>
    <w:p w14:paraId="581FE299" w14:textId="77777777" w:rsidR="00501FA3" w:rsidRPr="00364545" w:rsidRDefault="00501FA3" w:rsidP="00501FA3">
      <w:r w:rsidRPr="00364545">
        <w:t>At first glance, there are five main types of climate in metropolitan France: oceanic, altered oceanic, semi-continental, mountainous and Mediterranean. The climates of the French overseas territories are more contrasting. Most of the overseas territories are located in tropical or equatorial zones (the Caribbean, South America, the Indian Ocean, Polynesia, etc.). The others have harsh, cold climates (Saint Pierre and Miquelon), or even extreme climates (French Southern and Antarctic Lands, with a record low of -37.5°C in Dumont d'Urville in 1990).</w:t>
      </w:r>
    </w:p>
    <w:p w14:paraId="5A44DAFA" w14:textId="77777777" w:rsidR="00501FA3" w:rsidRPr="00364545" w:rsidRDefault="00501FA3" w:rsidP="00501FA3"/>
    <w:p w14:paraId="578D63DB" w14:textId="2B86163C" w:rsidR="00165BDF" w:rsidRPr="00364545" w:rsidRDefault="00501FA3" w:rsidP="00501FA3">
      <w:pPr>
        <w:rPr>
          <w:szCs w:val="21"/>
        </w:rPr>
      </w:pPr>
      <w:r w:rsidRPr="00364545">
        <w:t>Finally, the French overseas territories in the tropics are exposed to natural risks such as cyclones (Hurricane Irma in September 2017, Cyclone Fakir in 2018, Batsirai in 2022 in La Réunion).</w:t>
      </w:r>
    </w:p>
    <w:p w14:paraId="5042B413" w14:textId="02F0A958" w:rsidR="00501FA3" w:rsidRPr="00364545" w:rsidRDefault="00501FA3" w:rsidP="00165BDF">
      <w:pPr>
        <w:jc w:val="center"/>
        <w:rPr>
          <w:szCs w:val="21"/>
        </w:rPr>
      </w:pPr>
      <w:r w:rsidRPr="00364545">
        <w:rPr>
          <w:noProof/>
          <w:lang w:val="fr-FR"/>
        </w:rPr>
        <w:drawing>
          <wp:inline distT="0" distB="0" distL="0" distR="0" wp14:anchorId="64579A49" wp14:editId="659D4525">
            <wp:extent cx="3695700" cy="3495675"/>
            <wp:effectExtent l="0" t="0" r="0" b="9525"/>
            <wp:docPr id="2023" name="Picture 2023"/>
            <wp:cNvGraphicFramePr/>
            <a:graphic xmlns:a="http://schemas.openxmlformats.org/drawingml/2006/main">
              <a:graphicData uri="http://schemas.openxmlformats.org/drawingml/2006/picture">
                <pic:pic xmlns:pic="http://schemas.openxmlformats.org/drawingml/2006/picture">
                  <pic:nvPicPr>
                    <pic:cNvPr id="2023" name="Picture 2023"/>
                    <pic:cNvPicPr/>
                  </pic:nvPicPr>
                  <pic:blipFill>
                    <a:blip r:embed="rId25">
                      <a:extLst>
                        <a:ext uri="{28A0092B-C50C-407E-A947-70E740481C1C}">
                          <a14:useLocalDpi xmlns:a14="http://schemas.microsoft.com/office/drawing/2010/main" val="0"/>
                        </a:ext>
                      </a:extLst>
                    </a:blip>
                    <a:stretch>
                      <a:fillRect/>
                    </a:stretch>
                  </pic:blipFill>
                  <pic:spPr>
                    <a:xfrm>
                      <a:off x="0" y="0"/>
                      <a:ext cx="3695700" cy="3495675"/>
                    </a:xfrm>
                    <a:prstGeom prst="rect">
                      <a:avLst/>
                    </a:prstGeom>
                  </pic:spPr>
                </pic:pic>
              </a:graphicData>
            </a:graphic>
          </wp:inline>
        </w:drawing>
      </w:r>
    </w:p>
    <w:p w14:paraId="2F66D217" w14:textId="7E840EBE" w:rsidR="00165BDF" w:rsidRPr="00364545" w:rsidRDefault="00165BDF" w:rsidP="0045532B">
      <w:pPr>
        <w:pStyle w:val="Caption"/>
      </w:pPr>
      <w:bookmarkStart w:id="105" w:name="_Toc123916417"/>
      <w:r w:rsidRPr="00364545">
        <w:t xml:space="preserve">Figure </w:t>
      </w:r>
      <w:r w:rsidR="003714FB">
        <w:fldChar w:fldCharType="begin"/>
      </w:r>
      <w:r w:rsidR="003714FB">
        <w:instrText xml:space="preserve"> SEQ Figure \* ARABIC </w:instrText>
      </w:r>
      <w:r w:rsidR="003714FB">
        <w:fldChar w:fldCharType="separate"/>
      </w:r>
      <w:r w:rsidR="009A2FAA">
        <w:rPr>
          <w:noProof/>
        </w:rPr>
        <w:t>6</w:t>
      </w:r>
      <w:r w:rsidR="003714FB">
        <w:rPr>
          <w:noProof/>
        </w:rPr>
        <w:fldChar w:fldCharType="end"/>
      </w:r>
      <w:r w:rsidRPr="00364545">
        <w:t>: Climate typology of France - The shaded areas correspond to areas of transition.</w:t>
      </w:r>
      <w:bookmarkEnd w:id="105"/>
    </w:p>
    <w:p w14:paraId="3215C5BF" w14:textId="16969227" w:rsidR="00165BDF" w:rsidRPr="00364545" w:rsidRDefault="00165BDF" w:rsidP="0045532B">
      <w:pPr>
        <w:pStyle w:val="Caption"/>
      </w:pPr>
      <w:r w:rsidRPr="00364545">
        <w:t>The colours correspond to the average annual temperatures.</w:t>
      </w:r>
    </w:p>
    <w:p w14:paraId="7130D454" w14:textId="4B91C3EA" w:rsidR="00165BDF" w:rsidRPr="00364545" w:rsidRDefault="00165BDF" w:rsidP="0045532B">
      <w:pPr>
        <w:pStyle w:val="Caption"/>
        <w:rPr>
          <w:szCs w:val="21"/>
        </w:rPr>
      </w:pPr>
      <w:r w:rsidRPr="00364545">
        <w:t>Source: EU, Météo France</w:t>
      </w:r>
    </w:p>
    <w:p w14:paraId="47D83E82" w14:textId="7B5595AE" w:rsidR="00501FA3" w:rsidRPr="00364545" w:rsidRDefault="00501FA3" w:rsidP="00501FA3">
      <w:pPr>
        <w:spacing w:before="240" w:after="240"/>
      </w:pPr>
      <w:r w:rsidRPr="00364545">
        <w:rPr>
          <w:noProof/>
          <w:lang w:val="fr-FR"/>
        </w:rPr>
        <w:drawing>
          <wp:inline distT="0" distB="0" distL="0" distR="0" wp14:anchorId="1FE7973D" wp14:editId="12A1B87C">
            <wp:extent cx="6300372" cy="3915072"/>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18697" cy="3926459"/>
                    </a:xfrm>
                    <a:prstGeom prst="rect">
                      <a:avLst/>
                    </a:prstGeom>
                    <a:noFill/>
                  </pic:spPr>
                </pic:pic>
              </a:graphicData>
            </a:graphic>
          </wp:inline>
        </w:drawing>
      </w:r>
    </w:p>
    <w:p w14:paraId="475EFEA0" w14:textId="6AC1C81C" w:rsidR="00165BDF" w:rsidRPr="00364545" w:rsidRDefault="00165BDF" w:rsidP="0045532B">
      <w:pPr>
        <w:pStyle w:val="Caption"/>
      </w:pPr>
      <w:bookmarkStart w:id="106" w:name="_Toc123916418"/>
      <w:r w:rsidRPr="00364545">
        <w:t xml:space="preserve">Figure </w:t>
      </w:r>
      <w:r w:rsidR="003714FB">
        <w:fldChar w:fldCharType="begin"/>
      </w:r>
      <w:r w:rsidR="003714FB">
        <w:instrText xml:space="preserve"> SEQ Figure \* ARABIC </w:instrText>
      </w:r>
      <w:r w:rsidR="003714FB">
        <w:fldChar w:fldCharType="separate"/>
      </w:r>
      <w:r w:rsidR="009A2FAA">
        <w:rPr>
          <w:noProof/>
        </w:rPr>
        <w:t>7</w:t>
      </w:r>
      <w:r w:rsidR="003714FB">
        <w:rPr>
          <w:noProof/>
        </w:rPr>
        <w:fldChar w:fldCharType="end"/>
      </w:r>
      <w:r w:rsidRPr="00364545">
        <w:t>: Deviation from normal temperatures since 1900</w:t>
      </w:r>
      <w:bookmarkEnd w:id="106"/>
    </w:p>
    <w:p w14:paraId="4273E149" w14:textId="4CA7C0E0" w:rsidR="00165BDF" w:rsidRPr="00364545" w:rsidRDefault="00165BDF" w:rsidP="0045532B">
      <w:pPr>
        <w:pStyle w:val="Caption"/>
      </w:pPr>
      <w:r w:rsidRPr="00364545">
        <w:t>Source: Météo France</w:t>
      </w:r>
    </w:p>
    <w:p w14:paraId="4DE2E7E1" w14:textId="77777777" w:rsidR="00501FA3" w:rsidRPr="00364545" w:rsidRDefault="00501FA3" w:rsidP="00501FA3">
      <w:pPr>
        <w:spacing w:before="240" w:after="240"/>
      </w:pPr>
      <w:r w:rsidRPr="00364545">
        <w:t xml:space="preserve">The change in the average annual temperature in metropolitan France is shown in the figure below as a deviation from the average for the period 1961-1990. On a national scale, it has the same characteristics as at the global scale: the warming of average temperatures is very clear. Up until the mid-1980s, the difference is mostly negative: the annual average temperature is mostly below the average for the period 1961-1990. From the end of the 1980s onwards, average annual temperatures rise rapidly and the difference is consistently positive. Much like the rest of the world, the change in average annual temperatures in metropolitan France has shown clear warming since 1900. The rate of warming has varied, with a particularly marked increase since the 1980s. </w:t>
      </w:r>
    </w:p>
    <w:p w14:paraId="14E676BC" w14:textId="3DBF535C" w:rsidR="00501FA3" w:rsidRPr="00364545" w:rsidRDefault="00501FA3" w:rsidP="00501FA3">
      <w:pPr>
        <w:spacing w:before="240" w:after="240"/>
        <w:rPr>
          <w:rFonts w:ascii="Calibri" w:hAnsi="Calibri" w:cs="Calibri"/>
        </w:rPr>
      </w:pPr>
      <w:r w:rsidRPr="00364545">
        <w:t>With the exception of 2021, the last few years (2017, 2018, 2019 and 2020) have been among the warmest since 1900. In 2020, the average annual temperature over the country reached 14.1</w:t>
      </w:r>
      <w:r w:rsidRPr="00364545">
        <w:rPr>
          <w:rFonts w:ascii="Calibri" w:hAnsi="Calibri"/>
        </w:rPr>
        <w:t> </w:t>
      </w:r>
      <w:r w:rsidRPr="00364545">
        <w:t>°C, exceeding the norm (benchmark 1981-2010) by 1.5</w:t>
      </w:r>
      <w:r w:rsidRPr="00364545">
        <w:rPr>
          <w:rFonts w:ascii="Calibri" w:hAnsi="Calibri"/>
        </w:rPr>
        <w:t> </w:t>
      </w:r>
      <w:r w:rsidRPr="00364545">
        <w:t>°C. The year 2020 was therefore the warmest in the period 1900-2020, ahead of 2018 (13.9</w:t>
      </w:r>
      <w:r w:rsidRPr="00364545">
        <w:rPr>
          <w:rFonts w:ascii="Calibri" w:hAnsi="Calibri"/>
        </w:rPr>
        <w:t> </w:t>
      </w:r>
      <w:r w:rsidRPr="00364545">
        <w:t>°C) and 2014 (13.8</w:t>
      </w:r>
      <w:r w:rsidRPr="00364545">
        <w:rPr>
          <w:rFonts w:ascii="Calibri" w:hAnsi="Calibri"/>
        </w:rPr>
        <w:t> </w:t>
      </w:r>
      <w:r w:rsidRPr="00364545">
        <w:t>°C). The year 2019, which was the 4th hottest year in France since the beginning of the 20th century with an average temperature of 13.7</w:t>
      </w:r>
      <w:r w:rsidRPr="00364545">
        <w:rPr>
          <w:rFonts w:ascii="Calibri" w:hAnsi="Calibri"/>
        </w:rPr>
        <w:t> °</w:t>
      </w:r>
      <w:r w:rsidRPr="00364545">
        <w:t>C, was characterised</w:t>
      </w:r>
      <w:r w:rsidRPr="00364545">
        <w:rPr>
          <w:rFonts w:ascii="Calibri" w:hAnsi="Calibri"/>
        </w:rPr>
        <w:t xml:space="preserve"> </w:t>
      </w:r>
      <w:r w:rsidRPr="00364545">
        <w:t>by two heatwaves which affected France from 25 to 30 June and then from 21 to 26 July and, most importantly, by the numerous record highs which were broken across the country. For example, the new highest heat record for France was measured at 46°C on 28 June 2019 in Vérargues (Hérault) in the south-east. And, although 2021 was cooler than previous years, the average annual temperature was 0.4</w:t>
      </w:r>
      <w:r w:rsidRPr="00364545">
        <w:rPr>
          <w:rFonts w:ascii="Calibri" w:hAnsi="Calibri"/>
        </w:rPr>
        <w:t> °C</w:t>
      </w:r>
      <w:r w:rsidRPr="00364545">
        <w:t xml:space="preserve"> above normal (benchmark 1981-2010).</w:t>
      </w:r>
    </w:p>
    <w:p w14:paraId="6865D586" w14:textId="77777777" w:rsidR="00501FA3" w:rsidRPr="00364545" w:rsidRDefault="00501FA3" w:rsidP="00501FA3">
      <w:pPr>
        <w:spacing w:before="240" w:after="240"/>
        <w:rPr>
          <w:rFonts w:ascii="Calibri" w:hAnsi="Calibri" w:cs="Calibri"/>
        </w:rPr>
      </w:pPr>
      <w:r w:rsidRPr="00364545">
        <w:rPr>
          <w:noProof/>
          <w:lang w:val="fr-FR"/>
        </w:rPr>
        <w:drawing>
          <wp:inline distT="0" distB="0" distL="0" distR="0" wp14:anchorId="612F1ECC" wp14:editId="67BD6953">
            <wp:extent cx="4970585" cy="3908029"/>
            <wp:effectExtent l="0" t="0" r="190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73243" cy="3910119"/>
                    </a:xfrm>
                    <a:prstGeom prst="rect">
                      <a:avLst/>
                    </a:prstGeom>
                  </pic:spPr>
                </pic:pic>
              </a:graphicData>
            </a:graphic>
          </wp:inline>
        </w:drawing>
      </w:r>
    </w:p>
    <w:p w14:paraId="4D1A07D1" w14:textId="7FA730DB" w:rsidR="0096119B" w:rsidRPr="00364545" w:rsidRDefault="00165BDF" w:rsidP="0045532B">
      <w:pPr>
        <w:pStyle w:val="Caption"/>
      </w:pPr>
      <w:bookmarkStart w:id="107" w:name="_Toc123916419"/>
      <w:r w:rsidRPr="00364545">
        <w:t xml:space="preserve">Figure </w:t>
      </w:r>
      <w:r w:rsidR="003714FB">
        <w:fldChar w:fldCharType="begin"/>
      </w:r>
      <w:r w:rsidR="003714FB">
        <w:instrText xml:space="preserve"> SEQ Figure \* ARABIC </w:instrText>
      </w:r>
      <w:r w:rsidR="003714FB">
        <w:fldChar w:fldCharType="separate"/>
      </w:r>
      <w:r w:rsidR="009A2FAA">
        <w:rPr>
          <w:noProof/>
        </w:rPr>
        <w:t>8</w:t>
      </w:r>
      <w:r w:rsidR="003714FB">
        <w:rPr>
          <w:noProof/>
        </w:rPr>
        <w:fldChar w:fldCharType="end"/>
      </w:r>
      <w:r w:rsidRPr="00364545">
        <w:t>: Deviation from the annual benchmark average</w:t>
      </w:r>
      <w:bookmarkEnd w:id="107"/>
    </w:p>
    <w:p w14:paraId="25BD5D9B" w14:textId="4373D0B2" w:rsidR="00501FA3" w:rsidRPr="00364545" w:rsidRDefault="00165BDF" w:rsidP="0045532B">
      <w:pPr>
        <w:pStyle w:val="Caption"/>
      </w:pPr>
      <w:r w:rsidRPr="00364545">
        <w:t>Source: Météo France</w:t>
      </w:r>
    </w:p>
    <w:p w14:paraId="2F871EE8" w14:textId="77777777" w:rsidR="0096119B" w:rsidRPr="00364545" w:rsidRDefault="0096119B" w:rsidP="00501FA3"/>
    <w:p w14:paraId="779F25B4" w14:textId="129A4550" w:rsidR="000C5AF3" w:rsidRPr="00364545" w:rsidRDefault="00501FA3" w:rsidP="000C5AF3">
      <w:r w:rsidRPr="00364545">
        <w:t>As far as precipitation is concerned, the years 2017 to 2021 have been in line with the norm (figure above), while the first months of 2022 looked extremely dry. After an already poor winter, the lack of rain continued, with a 45</w:t>
      </w:r>
      <w:r w:rsidRPr="00364545">
        <w:rPr>
          <w:rFonts w:ascii="Calibri" w:hAnsi="Calibri"/>
        </w:rPr>
        <w:t>%</w:t>
      </w:r>
      <w:r w:rsidRPr="00364545">
        <w:t xml:space="preserve"> precipitation deficit. The spring of 2022 was also the 3rd driest since 1959.</w:t>
      </w:r>
      <w:bookmarkStart w:id="108" w:name="_Toc120567447"/>
    </w:p>
    <w:p w14:paraId="5D039668" w14:textId="54D7D8A5" w:rsidR="00501FA3" w:rsidRPr="00364545" w:rsidRDefault="00501FA3" w:rsidP="003F57EA">
      <w:pPr>
        <w:pStyle w:val="Titre2Niveau2"/>
        <w:numPr>
          <w:ilvl w:val="0"/>
          <w:numId w:val="94"/>
        </w:numPr>
        <w:rPr>
          <w:rFonts w:ascii="Marianne" w:hAnsi="Marianne"/>
          <w:sz w:val="21"/>
        </w:rPr>
      </w:pPr>
      <w:bookmarkStart w:id="109" w:name="_Toc138341796"/>
      <w:r w:rsidRPr="00364545">
        <w:t>Economy</w:t>
      </w:r>
      <w:bookmarkEnd w:id="108"/>
      <w:bookmarkEnd w:id="109"/>
    </w:p>
    <w:p w14:paraId="6DADE946" w14:textId="4361D3AC" w:rsidR="00501FA3" w:rsidRPr="00364545" w:rsidRDefault="00501FA3" w:rsidP="00501FA3">
      <w:r w:rsidRPr="00364545">
        <w:t>In 2021, France ranked 26</w:t>
      </w:r>
      <w:r w:rsidRPr="00364545">
        <w:rPr>
          <w:vertAlign w:val="superscript"/>
        </w:rPr>
        <w:t>th</w:t>
      </w:r>
      <w:r w:rsidRPr="00364545">
        <w:t xml:space="preserve"> in the world for GDP per capita in purchasing power parity, slightly above the EU average of 30</w:t>
      </w:r>
      <w:r w:rsidRPr="00364545">
        <w:rPr>
          <w:vertAlign w:val="superscript"/>
        </w:rPr>
        <w:t>th</w:t>
      </w:r>
      <w:r w:rsidRPr="00364545">
        <w:t xml:space="preserve"> but behind the euro area average of 25</w:t>
      </w:r>
      <w:r w:rsidRPr="00364545">
        <w:rPr>
          <w:vertAlign w:val="superscript"/>
        </w:rPr>
        <w:t>th</w:t>
      </w:r>
      <w:r w:rsidRPr="00364545">
        <w:t>. In ranking by GDP in purchasing power parity, France is the 10</w:t>
      </w:r>
      <w:r w:rsidRPr="00364545">
        <w:rPr>
          <w:vertAlign w:val="superscript"/>
        </w:rPr>
        <w:t>th</w:t>
      </w:r>
      <w:r w:rsidRPr="00364545">
        <w:t xml:space="preserve"> economic power (9</w:t>
      </w:r>
      <w:r w:rsidRPr="00364545">
        <w:rPr>
          <w:vertAlign w:val="superscript"/>
        </w:rPr>
        <w:t>th</w:t>
      </w:r>
      <w:r w:rsidRPr="00364545">
        <w:t xml:space="preserve"> without counting the EU). In 2021, France's GDP recovered and even exceeded its 2019 level, before the health crisis. It stood at €2,500.8 billion (in current euros), up by 6.8% compared to 2020, after a 7.8% drop in 2020.</w:t>
      </w:r>
    </w:p>
    <w:p w14:paraId="43DB05EF" w14:textId="77777777" w:rsidR="00501FA3" w:rsidRPr="00364545" w:rsidRDefault="00501FA3" w:rsidP="00501FA3"/>
    <w:p w14:paraId="447F840E" w14:textId="77777777" w:rsidR="00501FA3" w:rsidRPr="00364545" w:rsidRDefault="00501FA3" w:rsidP="00501FA3">
      <w:pPr>
        <w:jc w:val="center"/>
      </w:pPr>
      <w:r w:rsidRPr="00364545">
        <w:rPr>
          <w:noProof/>
          <w:lang w:val="fr-FR"/>
        </w:rPr>
        <w:drawing>
          <wp:inline distT="0" distB="0" distL="0" distR="0" wp14:anchorId="494004CA" wp14:editId="3804A189">
            <wp:extent cx="4572000" cy="2743200"/>
            <wp:effectExtent l="0" t="0" r="0" b="0"/>
            <wp:docPr id="35" name="Graphique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A467F96" w14:textId="5744B7E4" w:rsidR="00077E3D" w:rsidRPr="00364545" w:rsidRDefault="00077E3D" w:rsidP="0045532B">
      <w:pPr>
        <w:pStyle w:val="Caption"/>
      </w:pPr>
      <w:bookmarkStart w:id="110" w:name="_Toc123916420"/>
      <w:r w:rsidRPr="00364545">
        <w:t xml:space="preserve">Figure </w:t>
      </w:r>
      <w:r w:rsidR="003714FB">
        <w:fldChar w:fldCharType="begin"/>
      </w:r>
      <w:r w:rsidR="003714FB">
        <w:instrText xml:space="preserve"> SEQ Figure \* ARABIC </w:instrText>
      </w:r>
      <w:r w:rsidR="003714FB">
        <w:fldChar w:fldCharType="separate"/>
      </w:r>
      <w:r w:rsidR="009A2FAA">
        <w:rPr>
          <w:noProof/>
        </w:rPr>
        <w:t>9</w:t>
      </w:r>
      <w:r w:rsidR="003714FB">
        <w:rPr>
          <w:noProof/>
        </w:rPr>
        <w:fldChar w:fldCharType="end"/>
      </w:r>
      <w:r w:rsidRPr="00364545">
        <w:t>: Change in GDP from 1950 to 2021</w:t>
      </w:r>
      <w:bookmarkEnd w:id="110"/>
    </w:p>
    <w:p w14:paraId="10DD7B1C" w14:textId="10C32A9D" w:rsidR="00501FA3" w:rsidRPr="00364545" w:rsidRDefault="00077E3D" w:rsidP="0045532B">
      <w:pPr>
        <w:pStyle w:val="Caption"/>
      </w:pPr>
      <w:r w:rsidRPr="00364545">
        <w:t>Source INSEE National Accounts, 2014 baseline</w:t>
      </w:r>
    </w:p>
    <w:p w14:paraId="1BC88CB5" w14:textId="77777777" w:rsidR="00501FA3" w:rsidRPr="00364545" w:rsidRDefault="00501FA3" w:rsidP="00501FA3"/>
    <w:p w14:paraId="77CAC3AF" w14:textId="0F74B920" w:rsidR="00501FA3" w:rsidRPr="00364545" w:rsidRDefault="00501FA3" w:rsidP="00501FA3">
      <w:r w:rsidRPr="00364545">
        <w:t>The French economy is mainly a service economy. In 2021, exports represented 29.4% of gross domestic product (GDP) and imports 31.4%. In 2018, the tertiary sector employed 76.1% of the working population, while the primary sector (agriculture, fisheries, etc.) accounted for only 2.5% and the secondary sector (mainly industry) 20%. The balance of trade (goods and services) went into deficit in 2004, and this deficit increased up to 2011 before decreasing slightly but remaining significant in 2015. Since 2015, this deficit rose sharply again and reached €84.8 billion in 2021, mainly due to increasing energy costs.</w:t>
      </w:r>
    </w:p>
    <w:p w14:paraId="38C1F8CD" w14:textId="37F9101C" w:rsidR="00501FA3" w:rsidRPr="00364545" w:rsidRDefault="00501FA3" w:rsidP="00501FA3">
      <w:r w:rsidRPr="00364545">
        <w:t>In 2018, exports of goods and services slowed slightly (+ 3.5% in volume, compared with + 3.9%), mainly due to a slowdown in exports of manufactured goods (+ 3.6% in volume, compared with + 4.7%), which accounted for more than two-thirds of sales of goods and services. After a fall in 2020, trade in services experienced a record rebound, reaching €36.2 billion.</w:t>
      </w:r>
    </w:p>
    <w:p w14:paraId="04729D6E" w14:textId="77777777" w:rsidR="00501FA3" w:rsidRPr="00364545" w:rsidRDefault="00501FA3" w:rsidP="00501FA3"/>
    <w:p w14:paraId="3C0E26FB" w14:textId="77777777" w:rsidR="00501FA3" w:rsidRPr="00364545" w:rsidRDefault="00501FA3" w:rsidP="00501FA3">
      <w:pPr>
        <w:jc w:val="center"/>
      </w:pPr>
      <w:r w:rsidRPr="00364545">
        <w:rPr>
          <w:noProof/>
          <w:lang w:val="fr-FR"/>
        </w:rPr>
        <w:drawing>
          <wp:inline distT="0" distB="0" distL="0" distR="0" wp14:anchorId="24B5CAAE" wp14:editId="6D2D3ABE">
            <wp:extent cx="5481638" cy="4238625"/>
            <wp:effectExtent l="0" t="0" r="5080" b="9525"/>
            <wp:docPr id="33" name="Graphique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43FBB8A" w14:textId="6CB6E352" w:rsidR="00077E3D" w:rsidRPr="00364545" w:rsidRDefault="00077E3D" w:rsidP="0045532B">
      <w:pPr>
        <w:pStyle w:val="Caption"/>
      </w:pPr>
      <w:bookmarkStart w:id="111" w:name="_Toc123916421"/>
      <w:r w:rsidRPr="00364545">
        <w:t xml:space="preserve">Figure </w:t>
      </w:r>
      <w:r w:rsidR="003714FB">
        <w:fldChar w:fldCharType="begin"/>
      </w:r>
      <w:r w:rsidR="003714FB">
        <w:instrText xml:space="preserve"> SEQ Figure \* ARABIC </w:instrText>
      </w:r>
      <w:r w:rsidR="003714FB">
        <w:fldChar w:fldCharType="separate"/>
      </w:r>
      <w:r w:rsidR="009A2FAA">
        <w:rPr>
          <w:noProof/>
        </w:rPr>
        <w:t>10</w:t>
      </w:r>
      <w:r w:rsidR="003714FB">
        <w:rPr>
          <w:noProof/>
        </w:rPr>
        <w:fldChar w:fldCharType="end"/>
      </w:r>
      <w:r w:rsidRPr="00364545">
        <w:t>: Changes in the foreign trade balance from 1971 to 2021</w:t>
      </w:r>
      <w:bookmarkEnd w:id="111"/>
    </w:p>
    <w:p w14:paraId="0140FB84" w14:textId="500DBFF3" w:rsidR="00501FA3" w:rsidRPr="00364545" w:rsidRDefault="00077E3D" w:rsidP="0045532B">
      <w:pPr>
        <w:pStyle w:val="Caption"/>
      </w:pPr>
      <w:r w:rsidRPr="00364545">
        <w:t>Source: DGDDI, dissemination of results for May 2022</w:t>
      </w:r>
    </w:p>
    <w:p w14:paraId="29C5215C" w14:textId="20E2DAA8" w:rsidR="00501FA3" w:rsidRPr="00364545" w:rsidRDefault="00501FA3" w:rsidP="003F57EA">
      <w:pPr>
        <w:pStyle w:val="Titre3Niveau3"/>
      </w:pPr>
      <w:bookmarkStart w:id="112" w:name="_Toc120567448"/>
      <w:bookmarkStart w:id="113" w:name="_Toc138341797"/>
      <w:r w:rsidRPr="00364545">
        <w:t>Transport</w:t>
      </w:r>
      <w:bookmarkEnd w:id="112"/>
      <w:bookmarkEnd w:id="113"/>
    </w:p>
    <w:p w14:paraId="62CEC9D8" w14:textId="31CDA98B" w:rsidR="00501FA3" w:rsidRPr="00364545" w:rsidRDefault="00501FA3" w:rsidP="00501FA3">
      <w:r w:rsidRPr="00364545">
        <w:rPr>
          <w:b/>
        </w:rPr>
        <w:t>The transport sector is the largest consumer of petroleum products</w:t>
      </w:r>
      <w:r w:rsidRPr="00364545">
        <w:t>, with almost ¾ of the total consumption of refined petroleum products being for the road transport sector alone. The consumption of petroleum products in the transport sector remains stable overall at around 38-39 Mtoe. In the aviation sector, after a fairly upward trend up to 2018, consumption fell sharply with the health crisis (-53.3% between 2019 and 2020) and, although it rose again in 2021 (+6.9%), remained well below the pre-crisis level (-50% vs 2019).</w:t>
      </w:r>
    </w:p>
    <w:p w14:paraId="322244C4" w14:textId="77777777" w:rsidR="00501FA3" w:rsidRPr="00364545" w:rsidRDefault="00501FA3" w:rsidP="00501FA3"/>
    <w:p w14:paraId="67B4E2DA" w14:textId="68EBCDEC" w:rsidR="00501FA3" w:rsidRPr="00364545" w:rsidRDefault="00501FA3" w:rsidP="00501FA3">
      <w:r w:rsidRPr="00364545">
        <w:t>Alternative modes to road transport represent only a small share of freight transport. In 2020, alternative transport to road transport represented only 11.6% of land freight transport (excluding oil pipelines). This share has decreased compared to 2015 (14.4%) and even 2019 (12.2%). In 2021, with the economic recovery post-Covid-19, freight transport was expected to recover for all modes of transport, in particular rail, whose share was expected to reach 11% (vs. 9.6% in 2020 and 10% in 2019).</w:t>
      </w:r>
    </w:p>
    <w:p w14:paraId="216FA242" w14:textId="77777777" w:rsidR="00501FA3" w:rsidRPr="00364545" w:rsidRDefault="00501FA3" w:rsidP="00501FA3"/>
    <w:p w14:paraId="52B08861" w14:textId="149B9DD4" w:rsidR="00501FA3" w:rsidRPr="00364545" w:rsidRDefault="00501FA3" w:rsidP="00501FA3">
      <w:r w:rsidRPr="00364545">
        <w:t>As a result of the health crisis, domestic passenger transport fell sharply in 2020 (-23.5%). All modes of transport were affected, but the aviation sector was particularly hard hit (-55.4% vs. 2019). Individual transport in private vehicles was less affected (-19.2%). The share of public transport (14.7% in 2020) decreased compared to 2019 (19.2%). In 2021, domestic passenger transport recovered but remained below its pre-crisis level.</w:t>
      </w:r>
    </w:p>
    <w:p w14:paraId="596CD93D" w14:textId="77777777" w:rsidR="00501FA3" w:rsidRPr="00364545" w:rsidRDefault="00501FA3" w:rsidP="003F57EA">
      <w:pPr>
        <w:pStyle w:val="Titre4niveau4"/>
      </w:pPr>
      <w:r w:rsidRPr="00364545">
        <w:t>Freight transport</w:t>
      </w:r>
    </w:p>
    <w:p w14:paraId="3015F0EA" w14:textId="3947C913" w:rsidR="00501FA3" w:rsidRPr="00364545" w:rsidRDefault="00501FA3" w:rsidP="00501FA3">
      <w:r w:rsidRPr="00364545">
        <w:t>As shown in the two figures below, since 1990, inland freight transport grew strongly until the economic crisis of 2008, driven by road traffic. In 2021, with 343.8 billion tonne-kilometres, inland freight transport recovered from 2020 levels (+2.8%), but remained below the pre-Covid-19 crisis level. The recovery was driven in particular by road transport under the French flag carried out by heavy goods vehicles (+3.6%). In 2021, domestic road transport reached 292 billion tonne-kilometres, up by 1.7%. Compared to 2019, activity remained in decline (-1.6%).</w:t>
      </w:r>
    </w:p>
    <w:p w14:paraId="54C80950" w14:textId="77777777" w:rsidR="00501FA3" w:rsidRPr="00364545" w:rsidRDefault="00501FA3" w:rsidP="00501FA3">
      <w:r w:rsidRPr="00364545">
        <w:t xml:space="preserve"> </w:t>
      </w:r>
    </w:p>
    <w:p w14:paraId="191A26C5" w14:textId="77777777" w:rsidR="00501FA3" w:rsidRPr="00364545" w:rsidRDefault="00501FA3" w:rsidP="00501FA3"/>
    <w:p w14:paraId="1B4E0BD7" w14:textId="77777777" w:rsidR="00501FA3" w:rsidRPr="00364545" w:rsidRDefault="00501FA3" w:rsidP="00501FA3">
      <w:pPr>
        <w:jc w:val="center"/>
      </w:pPr>
      <w:r w:rsidRPr="00364545">
        <w:rPr>
          <w:noProof/>
          <w:lang w:val="fr-FR"/>
        </w:rPr>
        <w:drawing>
          <wp:inline distT="0" distB="0" distL="0" distR="0" wp14:anchorId="7B337A70" wp14:editId="00ED1ECA">
            <wp:extent cx="5136515" cy="5038725"/>
            <wp:effectExtent l="0" t="0" r="6985" b="952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36515" cy="5038725"/>
                    </a:xfrm>
                    <a:prstGeom prst="rect">
                      <a:avLst/>
                    </a:prstGeom>
                    <a:noFill/>
                    <a:ln>
                      <a:noFill/>
                    </a:ln>
                  </pic:spPr>
                </pic:pic>
              </a:graphicData>
            </a:graphic>
          </wp:inline>
        </w:drawing>
      </w:r>
    </w:p>
    <w:p w14:paraId="6CDB173F" w14:textId="77777777" w:rsidR="000C5AF3" w:rsidRPr="00364545" w:rsidRDefault="000C5AF3" w:rsidP="00501FA3"/>
    <w:p w14:paraId="29F1B004" w14:textId="745048AE" w:rsidR="000C5AF3" w:rsidRPr="00364545" w:rsidRDefault="000C5AF3" w:rsidP="0045532B">
      <w:pPr>
        <w:pStyle w:val="Caption"/>
      </w:pPr>
      <w:bookmarkStart w:id="114" w:name="_Toc123916493"/>
      <w:r w:rsidRPr="00364545">
        <w:t>Table</w:t>
      </w:r>
      <w:r w:rsidR="003714FB">
        <w:fldChar w:fldCharType="begin"/>
      </w:r>
      <w:r w:rsidR="003714FB">
        <w:instrText xml:space="preserve"> SEQ Tableau \* ARABIC </w:instrText>
      </w:r>
      <w:r w:rsidR="003714FB">
        <w:fldChar w:fldCharType="separate"/>
      </w:r>
      <w:r w:rsidR="009A2FAA">
        <w:rPr>
          <w:noProof/>
        </w:rPr>
        <w:t>1</w:t>
      </w:r>
      <w:r w:rsidR="003714FB">
        <w:rPr>
          <w:noProof/>
        </w:rPr>
        <w:fldChar w:fldCharType="end"/>
      </w:r>
      <w:r w:rsidRPr="00364545">
        <w:t>: Inland freight transport by mode in 1990, 2000, and 2018 to 2021</w:t>
      </w:r>
      <w:bookmarkEnd w:id="114"/>
    </w:p>
    <w:p w14:paraId="385BC4B1" w14:textId="458567F3" w:rsidR="000C5AF3" w:rsidRPr="00364545" w:rsidRDefault="000C5AF3" w:rsidP="0045532B">
      <w:pPr>
        <w:pStyle w:val="Caption"/>
      </w:pPr>
      <w:r w:rsidRPr="00364545">
        <w:t>Source: The data and statistical studies department</w:t>
      </w:r>
    </w:p>
    <w:p w14:paraId="795903CA" w14:textId="77777777" w:rsidR="00501FA3" w:rsidRPr="00364545" w:rsidRDefault="00501FA3" w:rsidP="00501FA3"/>
    <w:p w14:paraId="66F3534B" w14:textId="77777777" w:rsidR="00501FA3" w:rsidRPr="00364545" w:rsidRDefault="00501FA3" w:rsidP="00501FA3">
      <w:r w:rsidRPr="00364545">
        <w:t>Rail transport steadily declined between 1990 and 2010, reaching 35.8 billion tonne-kilometres in 2021 (-37.9% vs. 1990). The level of activity in 2021 increased by 14.3% compared to 2020, but more importantly by 5.6% compared to 2019, before the health crisis. Rail freight activity is essentially driven by the dynamics of national transportation which represents 60% of the sector.</w:t>
      </w:r>
    </w:p>
    <w:p w14:paraId="1FCF4847" w14:textId="77777777" w:rsidR="00501FA3" w:rsidRPr="00364545" w:rsidRDefault="00501FA3" w:rsidP="00501FA3"/>
    <w:p w14:paraId="6E149213" w14:textId="77777777" w:rsidR="00501FA3" w:rsidRPr="00364545" w:rsidRDefault="00501FA3" w:rsidP="00501FA3">
      <w:pPr>
        <w:jc w:val="center"/>
      </w:pPr>
      <w:r w:rsidRPr="00364545">
        <w:rPr>
          <w:noProof/>
          <w:lang w:val="fr-FR"/>
        </w:rPr>
        <w:drawing>
          <wp:inline distT="0" distB="0" distL="0" distR="0" wp14:anchorId="23C2E7DA" wp14:editId="07456014">
            <wp:extent cx="4572000" cy="2743200"/>
            <wp:effectExtent l="0" t="0" r="0" b="0"/>
            <wp:docPr id="38" name="Graphique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81003B7" w14:textId="178BC1FC" w:rsidR="000C5AF3" w:rsidRPr="00364545" w:rsidRDefault="000C5AF3" w:rsidP="0045532B">
      <w:pPr>
        <w:pStyle w:val="Caption"/>
      </w:pPr>
      <w:bookmarkStart w:id="115" w:name="_Toc123916422"/>
      <w:r w:rsidRPr="00364545">
        <w:t xml:space="preserve">Figure </w:t>
      </w:r>
      <w:r w:rsidR="003714FB">
        <w:fldChar w:fldCharType="begin"/>
      </w:r>
      <w:r w:rsidR="003714FB">
        <w:instrText xml:space="preserve"> SEQ Figure \* ARABIC </w:instrText>
      </w:r>
      <w:r w:rsidR="003714FB">
        <w:fldChar w:fldCharType="separate"/>
      </w:r>
      <w:r w:rsidR="009A2FAA">
        <w:rPr>
          <w:noProof/>
        </w:rPr>
        <w:t>11</w:t>
      </w:r>
      <w:r w:rsidR="003714FB">
        <w:rPr>
          <w:noProof/>
        </w:rPr>
        <w:fldChar w:fldCharType="end"/>
      </w:r>
      <w:r w:rsidRPr="00364545">
        <w:t>: Figure: Inland freight transport by mode 1985-2021</w:t>
      </w:r>
      <w:bookmarkEnd w:id="115"/>
    </w:p>
    <w:p w14:paraId="5602F7AB" w14:textId="7653959A" w:rsidR="000C5AF3" w:rsidRPr="00364545" w:rsidRDefault="000C5AF3" w:rsidP="0045532B">
      <w:pPr>
        <w:pStyle w:val="Caption"/>
      </w:pPr>
      <w:r w:rsidRPr="00364545">
        <w:t>Source: The data and statistical studies department</w:t>
      </w:r>
    </w:p>
    <w:p w14:paraId="5DB622B6" w14:textId="77777777" w:rsidR="00501FA3" w:rsidRPr="00364545" w:rsidRDefault="00501FA3" w:rsidP="00501FA3"/>
    <w:p w14:paraId="2F5E8C8A" w14:textId="77777777" w:rsidR="00501FA3" w:rsidRPr="00364545" w:rsidRDefault="00501FA3" w:rsidP="00501FA3">
      <w:r w:rsidRPr="00364545">
        <w:t>Inland waterway transport, which was in decline between 1990 and 1997, gradually recovered up to 2005. It then stabilised somewhat before declining again as of 2014. Inland waterway freight transport amounted to 6.8 billion tonne-kilometres in 2021.</w:t>
      </w:r>
    </w:p>
    <w:p w14:paraId="59425D9A" w14:textId="77777777" w:rsidR="00501FA3" w:rsidRPr="00364545" w:rsidRDefault="00501FA3" w:rsidP="00501FA3">
      <w:r w:rsidRPr="00364545">
        <w:t xml:space="preserve">Transport via oil pipeline has been in continuous decline since 1990 (-53%) </w:t>
      </w:r>
    </w:p>
    <w:p w14:paraId="620DC41F" w14:textId="77777777" w:rsidR="00501FA3" w:rsidRPr="00364545" w:rsidRDefault="00501FA3" w:rsidP="00501FA3"/>
    <w:p w14:paraId="4529B7AC" w14:textId="77777777" w:rsidR="00501FA3" w:rsidRPr="00364545" w:rsidRDefault="00501FA3" w:rsidP="00EF6DB6">
      <w:pPr>
        <w:pStyle w:val="Titre4niveau4"/>
      </w:pPr>
      <w:r w:rsidRPr="00364545">
        <w:t>Passenger transport</w:t>
      </w:r>
    </w:p>
    <w:p w14:paraId="6C78163A" w14:textId="77777777" w:rsidR="00501FA3" w:rsidRPr="00364545" w:rsidRDefault="00501FA3" w:rsidP="00501FA3"/>
    <w:p w14:paraId="55F9999E" w14:textId="1C8F23D6" w:rsidR="00501FA3" w:rsidRPr="00364545" w:rsidRDefault="00501FA3" w:rsidP="00501FA3">
      <w:r w:rsidRPr="00364545">
        <w:t xml:space="preserve">The overall volume of domestic passenger transport has increased steadily since 1990. The overall volume of private cars increased continuously up to 2018. After a slight decrease between 2018 and 2019 (-0.5%), the volume fell very sharply in 2020 (-25.5%) due to the restrictions put in place to combat the Covid-19 pandemic. The overall volume of domestic passenger transport by coach has remained relatively stable, while that of buses and trams increased until the health crisis. The volume of airline traffic rose sharply until the health crisis, when it fell by 55.5%. Despite a recovery in 2021, the pre-pandemic level has not yet been regained and the volume of air traffic was 37.6% lower than before the pandemic. The figure below illustrates these changes over the period 2012-2021. </w:t>
      </w:r>
    </w:p>
    <w:p w14:paraId="638727A0" w14:textId="77777777" w:rsidR="00501FA3" w:rsidRPr="00364545" w:rsidRDefault="00501FA3" w:rsidP="00501FA3"/>
    <w:p w14:paraId="53080E2C" w14:textId="77777777" w:rsidR="00501FA3" w:rsidRPr="00364545" w:rsidRDefault="00501FA3" w:rsidP="00501FA3">
      <w:pPr>
        <w:jc w:val="center"/>
      </w:pPr>
      <w:r w:rsidRPr="00364545">
        <w:rPr>
          <w:noProof/>
          <w:lang w:val="fr-FR"/>
        </w:rPr>
        <w:drawing>
          <wp:inline distT="0" distB="0" distL="0" distR="0" wp14:anchorId="0B83A1FE" wp14:editId="53EA4A60">
            <wp:extent cx="5277600" cy="26172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7600" cy="2617200"/>
                    </a:xfrm>
                    <a:prstGeom prst="rect">
                      <a:avLst/>
                    </a:prstGeom>
                  </pic:spPr>
                </pic:pic>
              </a:graphicData>
            </a:graphic>
          </wp:inline>
        </w:drawing>
      </w:r>
    </w:p>
    <w:p w14:paraId="25E77ECE" w14:textId="7B6A02CB" w:rsidR="000C5AF3" w:rsidRPr="00364545" w:rsidRDefault="000C5AF3" w:rsidP="0045532B">
      <w:pPr>
        <w:pStyle w:val="Caption"/>
      </w:pPr>
      <w:bookmarkStart w:id="116" w:name="_Toc123916423"/>
      <w:r w:rsidRPr="00364545">
        <w:t xml:space="preserve">Figure </w:t>
      </w:r>
      <w:r w:rsidR="003714FB">
        <w:fldChar w:fldCharType="begin"/>
      </w:r>
      <w:r w:rsidR="003714FB">
        <w:instrText xml:space="preserve"> SEQ Figure \* ARABIC </w:instrText>
      </w:r>
      <w:r w:rsidR="003714FB">
        <w:fldChar w:fldCharType="separate"/>
      </w:r>
      <w:r w:rsidR="009A2FAA">
        <w:rPr>
          <w:noProof/>
        </w:rPr>
        <w:t>12</w:t>
      </w:r>
      <w:r w:rsidR="003714FB">
        <w:rPr>
          <w:noProof/>
        </w:rPr>
        <w:fldChar w:fldCharType="end"/>
      </w:r>
      <w:r w:rsidRPr="00364545">
        <w:t>: Changes in modes of public transport since 2012</w:t>
      </w:r>
      <w:bookmarkEnd w:id="116"/>
    </w:p>
    <w:p w14:paraId="6D770F9C" w14:textId="73F6F14C" w:rsidR="00501FA3" w:rsidRPr="00364545" w:rsidRDefault="000C5AF3" w:rsidP="0045532B">
      <w:pPr>
        <w:pStyle w:val="Caption"/>
      </w:pPr>
      <w:r w:rsidRPr="00364545">
        <w:t>Source: The data and statistical studies department</w:t>
      </w:r>
    </w:p>
    <w:p w14:paraId="6393F501" w14:textId="77777777" w:rsidR="000C5AF3" w:rsidRPr="00364545" w:rsidRDefault="000C5AF3" w:rsidP="000C5AF3"/>
    <w:p w14:paraId="0B9EC797" w14:textId="3518F98A" w:rsidR="00501FA3" w:rsidRPr="00364545" w:rsidRDefault="00501FA3" w:rsidP="00501FA3">
      <w:r w:rsidRPr="00364545">
        <w:t xml:space="preserve">In 2015, domestic passenger transport activity grew significantly (+2.1%, after +0.8% in 2014), at a rate well above its annual average since 2010. </w:t>
      </w:r>
    </w:p>
    <w:p w14:paraId="655B9F54" w14:textId="77777777" w:rsidR="00501FA3" w:rsidRPr="00364545" w:rsidRDefault="00501FA3" w:rsidP="00501FA3"/>
    <w:p w14:paraId="06FC518E" w14:textId="68545465" w:rsidR="00501FA3" w:rsidRPr="00364545" w:rsidRDefault="00501FA3" w:rsidP="00501FA3">
      <w:r w:rsidRPr="00364545">
        <w:t>The two figures below illustrate the changes in the types of engines used, on the one hand for private cars, and on the other hand for light commercial vehicles. The proportion of diesel in the private car fleet increased up to 2015 and has since begun to decline, reaching 55.5% in 2022. For light vehicles, the proportion of diesel increased up to 2018, and started to decrease from 2021 onwards but remained very high at 95%. The proportion of electric cars (9.8%) in new car registrations increased in 2021. The greening of fleets supported by the Recovery Plan, European standards and the measures contained in the Mobility Act have contributed to this increase.</w:t>
      </w:r>
    </w:p>
    <w:p w14:paraId="18D1679D" w14:textId="77777777" w:rsidR="00501FA3" w:rsidRPr="00364545" w:rsidRDefault="00501FA3" w:rsidP="00501FA3"/>
    <w:p w14:paraId="3480C043" w14:textId="77777777" w:rsidR="00501FA3" w:rsidRPr="00364545" w:rsidRDefault="00501FA3" w:rsidP="00501FA3">
      <w:pPr>
        <w:jc w:val="center"/>
      </w:pPr>
      <w:r w:rsidRPr="00364545">
        <w:rPr>
          <w:noProof/>
          <w:lang w:val="fr-FR"/>
        </w:rPr>
        <w:drawing>
          <wp:inline distT="0" distB="0" distL="0" distR="0" wp14:anchorId="5E3436CD" wp14:editId="14274A9D">
            <wp:extent cx="6157554" cy="2743200"/>
            <wp:effectExtent l="0" t="0" r="15240" b="0"/>
            <wp:docPr id="40" name="Graphique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A5C9618" w14:textId="77777777" w:rsidR="00501FA3" w:rsidRPr="00364545" w:rsidRDefault="00501FA3" w:rsidP="00501FA3"/>
    <w:p w14:paraId="5CF6E2B2" w14:textId="77777777" w:rsidR="00501FA3" w:rsidRPr="00364545" w:rsidRDefault="00501FA3" w:rsidP="00501FA3">
      <w:pPr>
        <w:jc w:val="center"/>
      </w:pPr>
      <w:r w:rsidRPr="00364545">
        <w:rPr>
          <w:noProof/>
          <w:lang w:val="fr-FR"/>
        </w:rPr>
        <w:drawing>
          <wp:inline distT="0" distB="0" distL="0" distR="0" wp14:anchorId="42663157" wp14:editId="657FBB4F">
            <wp:extent cx="6167336" cy="3314700"/>
            <wp:effectExtent l="0" t="0" r="5080" b="0"/>
            <wp:docPr id="41" name="Graphique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A507539" w14:textId="2D230799" w:rsidR="00856AE5" w:rsidRPr="00364545" w:rsidRDefault="00856AE5" w:rsidP="0045532B">
      <w:pPr>
        <w:pStyle w:val="Caption"/>
      </w:pPr>
      <w:bookmarkStart w:id="117" w:name="_Toc123916424"/>
      <w:r w:rsidRPr="00364545">
        <w:t xml:space="preserve">Figure </w:t>
      </w:r>
      <w:r w:rsidR="003714FB">
        <w:fldChar w:fldCharType="begin"/>
      </w:r>
      <w:r w:rsidR="003714FB">
        <w:instrText xml:space="preserve"> SEQ Figure \* ARABIC </w:instrText>
      </w:r>
      <w:r w:rsidR="003714FB">
        <w:fldChar w:fldCharType="separate"/>
      </w:r>
      <w:r w:rsidR="009A2FAA">
        <w:rPr>
          <w:noProof/>
        </w:rPr>
        <w:t>13</w:t>
      </w:r>
      <w:r w:rsidR="003714FB">
        <w:rPr>
          <w:noProof/>
        </w:rPr>
        <w:fldChar w:fldCharType="end"/>
      </w:r>
      <w:r w:rsidRPr="00364545">
        <w:t>: Figure: French vehicle fleet from 2011 to 2022, in millions of units: top, for private cars; bottom, for light commercial vehicles</w:t>
      </w:r>
      <w:bookmarkEnd w:id="117"/>
    </w:p>
    <w:p w14:paraId="2AA6B0E2" w14:textId="19426660" w:rsidR="00501FA3" w:rsidRPr="00364545" w:rsidRDefault="00856AE5" w:rsidP="0045532B">
      <w:pPr>
        <w:pStyle w:val="Caption"/>
      </w:pPr>
      <w:r w:rsidRPr="00364545">
        <w:t>Source: The data and statistical studies department</w:t>
      </w:r>
    </w:p>
    <w:p w14:paraId="57DC992E" w14:textId="77777777" w:rsidR="00501FA3" w:rsidRPr="00364545" w:rsidRDefault="00501FA3" w:rsidP="00501FA3">
      <w:r w:rsidRPr="00364545">
        <w:rPr>
          <w:noProof/>
          <w:lang w:val="fr-FR"/>
        </w:rPr>
        <w:drawing>
          <wp:inline distT="0" distB="0" distL="0" distR="0" wp14:anchorId="7041A455" wp14:editId="493917BD">
            <wp:extent cx="6303010" cy="2743200"/>
            <wp:effectExtent l="0" t="0" r="2540" b="0"/>
            <wp:docPr id="42" name="Graphique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9D91EC0" w14:textId="63E47E1A" w:rsidR="00856AE5" w:rsidRPr="00364545" w:rsidRDefault="00856AE5" w:rsidP="0045532B">
      <w:pPr>
        <w:pStyle w:val="Caption"/>
      </w:pPr>
      <w:bookmarkStart w:id="118" w:name="_Toc123916425"/>
      <w:r w:rsidRPr="00364545">
        <w:t xml:space="preserve">Figure </w:t>
      </w:r>
      <w:r w:rsidR="003714FB">
        <w:fldChar w:fldCharType="begin"/>
      </w:r>
      <w:r w:rsidR="003714FB">
        <w:instrText xml:space="preserve"> SEQ Figure \* ARABIC </w:instrText>
      </w:r>
      <w:r w:rsidR="003714FB">
        <w:fldChar w:fldCharType="separate"/>
      </w:r>
      <w:r w:rsidR="009A2FAA">
        <w:rPr>
          <w:noProof/>
        </w:rPr>
        <w:t>14</w:t>
      </w:r>
      <w:r w:rsidR="003714FB">
        <w:rPr>
          <w:noProof/>
        </w:rPr>
        <w:fldChar w:fldCharType="end"/>
      </w:r>
      <w:r w:rsidRPr="00364545">
        <w:t>: Share of different energy sources in car sales in France</w:t>
      </w:r>
      <w:bookmarkEnd w:id="118"/>
    </w:p>
    <w:p w14:paraId="5FB0D9A2" w14:textId="41A9A2DB" w:rsidR="00501FA3" w:rsidRPr="00364545" w:rsidRDefault="00856AE5" w:rsidP="0045532B">
      <w:pPr>
        <w:pStyle w:val="Caption"/>
      </w:pPr>
      <w:r w:rsidRPr="00364545">
        <w:t>Source: CCFA, INSEE</w:t>
      </w:r>
    </w:p>
    <w:p w14:paraId="1E9A135D" w14:textId="77777777" w:rsidR="00501FA3" w:rsidRPr="00364545" w:rsidRDefault="00501FA3" w:rsidP="00501FA3"/>
    <w:p w14:paraId="17E5A5C3" w14:textId="77777777" w:rsidR="00501FA3" w:rsidRPr="00364545" w:rsidRDefault="00501FA3" w:rsidP="00501FA3">
      <w:r w:rsidRPr="00364545">
        <w:t>For private cars, diesel engines accounted for the majority of sales up to 2012 when this share then began to decline. In 2021, diesel sales accounted for only 30.6% of new car sales and in 2021 this share was expected to fall below 25%.</w:t>
      </w:r>
    </w:p>
    <w:p w14:paraId="6014EE8C" w14:textId="77777777" w:rsidR="00501FA3" w:rsidRPr="00364545" w:rsidRDefault="00501FA3" w:rsidP="00EF6DB6">
      <w:pPr>
        <w:pStyle w:val="Titre4niveau4"/>
      </w:pPr>
      <w:r w:rsidRPr="00364545">
        <w:t>The use of renewable energy in transport is increasing</w:t>
      </w:r>
    </w:p>
    <w:p w14:paraId="1E10605B" w14:textId="1A29F8C7" w:rsidR="00501FA3" w:rsidRPr="00364545" w:rsidRDefault="00501FA3" w:rsidP="00501FA3">
      <w:r w:rsidRPr="00364545">
        <w:t>Directive 2009 / 28 / EC on the promotion of use of renewable energy sources (RE) introduced two binding national targets, one of which concerns transport. For France, the share of renewable energy in the transport sector’s gross final energy consumption had to reach 10% by 2020. This share reached 9.2% in 2020, just missing the target set by the EU directive.</w:t>
      </w:r>
    </w:p>
    <w:p w14:paraId="754D4152" w14:textId="77777777" w:rsidR="00501FA3" w:rsidRPr="00364545" w:rsidRDefault="00501FA3" w:rsidP="00501FA3"/>
    <w:p w14:paraId="2FCFE4D2" w14:textId="665A4967" w:rsidR="00501FA3" w:rsidRPr="00364545" w:rsidRDefault="00317CCF" w:rsidP="00317CCF">
      <w:pPr>
        <w:jc w:val="center"/>
      </w:pPr>
      <w:r w:rsidRPr="00364545">
        <w:rPr>
          <w:noProof/>
          <w:lang w:val="fr-FR"/>
        </w:rPr>
        <w:drawing>
          <wp:inline distT="0" distB="0" distL="0" distR="0" wp14:anchorId="30BEED6E" wp14:editId="521F2BC8">
            <wp:extent cx="5210176" cy="3057526"/>
            <wp:effectExtent l="0" t="0" r="9525" b="9525"/>
            <wp:docPr id="28673" name="Graphique 28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A877768" w14:textId="111F112F" w:rsidR="00317CCF" w:rsidRPr="00364545" w:rsidRDefault="00317CCF" w:rsidP="0045532B">
      <w:pPr>
        <w:pStyle w:val="Caption"/>
      </w:pPr>
      <w:bookmarkStart w:id="119" w:name="_Toc123916426"/>
      <w:r w:rsidRPr="00364545">
        <w:t xml:space="preserve">Figure </w:t>
      </w:r>
      <w:r w:rsidR="003714FB">
        <w:fldChar w:fldCharType="begin"/>
      </w:r>
      <w:r w:rsidR="003714FB">
        <w:instrText xml:space="preserve"> SEQ Figure \* ARABIC </w:instrText>
      </w:r>
      <w:r w:rsidR="003714FB">
        <w:fldChar w:fldCharType="separate"/>
      </w:r>
      <w:r w:rsidR="009A2FAA">
        <w:rPr>
          <w:noProof/>
        </w:rPr>
        <w:t>15</w:t>
      </w:r>
      <w:r w:rsidR="003714FB">
        <w:rPr>
          <w:noProof/>
        </w:rPr>
        <w:fldChar w:fldCharType="end"/>
      </w:r>
      <w:r w:rsidRPr="00364545">
        <w:t>: Figure Share in % of renewable energy consumption in the overall transport energy consumption</w:t>
      </w:r>
      <w:bookmarkEnd w:id="119"/>
    </w:p>
    <w:p w14:paraId="26C7709B" w14:textId="15334269" w:rsidR="00501FA3" w:rsidRPr="00364545" w:rsidRDefault="00501FA3" w:rsidP="0045532B">
      <w:pPr>
        <w:pStyle w:val="Caption"/>
      </w:pPr>
      <w:r w:rsidRPr="00364545">
        <w:t>Source: The data and statistical studies department</w:t>
      </w:r>
    </w:p>
    <w:p w14:paraId="4C37B862" w14:textId="72A77FB9" w:rsidR="00501FA3" w:rsidRPr="00364545" w:rsidRDefault="00501FA3" w:rsidP="003F57EA">
      <w:pPr>
        <w:pStyle w:val="Titre3Niveau3"/>
      </w:pPr>
      <w:bookmarkStart w:id="120" w:name="_Toc120567449"/>
      <w:bookmarkStart w:id="121" w:name="_Toc138341798"/>
      <w:r w:rsidRPr="00364545">
        <w:t>Construction / Residential / Tertiary</w:t>
      </w:r>
      <w:bookmarkEnd w:id="120"/>
      <w:bookmarkEnd w:id="121"/>
    </w:p>
    <w:p w14:paraId="10A96BC9" w14:textId="3EC6B249" w:rsidR="00501FA3" w:rsidRPr="00364545" w:rsidRDefault="00501FA3" w:rsidP="00501FA3">
      <w:r w:rsidRPr="00364545">
        <w:t>The climate-adjusted consumption of the residential and tertiary sector as a whole increased up to 2006, then fell slightly before rising very sharply again in 2008. A new downward trend was seen up to 2019. Consumption increased in the residential sector in 2020 (+3%) due to the lockdowns. The economic recovery in 2021 led to an overall recovery which brought 2021 close to the level of 2019. This increase after the economic downturn in 2020 was due to an increase in post-Covid-19 energy consumption, primarily due to an increase in the heating of residential and tertiary buildings as a result of a harsher winter and late autumn, and a likely lengthening in the time ranges for energy consumption during the day linked to the increasing practice of working remotely.</w:t>
      </w:r>
    </w:p>
    <w:p w14:paraId="4E98ABE0" w14:textId="55D0B32B" w:rsidR="00501FA3" w:rsidRPr="00364545" w:rsidRDefault="00501FA3" w:rsidP="00501FA3">
      <w:r w:rsidRPr="00364545">
        <w:t xml:space="preserve">The share of the residential/tertiary sector in the total consumption increased from 41.5% in 1973 to 43% in 1990, and to 46.6% in 2021. </w:t>
      </w:r>
    </w:p>
    <w:p w14:paraId="60E2A6CA" w14:textId="77777777" w:rsidR="00501FA3" w:rsidRPr="00364545" w:rsidRDefault="00501FA3" w:rsidP="00501FA3"/>
    <w:p w14:paraId="72256BDF" w14:textId="77777777" w:rsidR="00501FA3" w:rsidRPr="00364545" w:rsidRDefault="00501FA3" w:rsidP="00501FA3">
      <w:r w:rsidRPr="00364545">
        <w:t>In particular, the consumption of heating oil for heating has been declining for over thirty years. Since 1990, natural gas has replaced coal and fuel oil for heating buildings, hot water and cooking. Price increases and support schemes have encouraged the replacement of oil-fired boilers with more efficient installations or installations which use other forms of energy, such as electricity, gas or renewable energy. Fuel oil is used less and less in district heating networks in favour of renewable energy in particular. Finally, the use of butane and propane has been falling sharply for several years.</w:t>
      </w:r>
    </w:p>
    <w:p w14:paraId="20A837B5" w14:textId="77777777" w:rsidR="00501FA3" w:rsidRPr="00364545" w:rsidRDefault="00501FA3" w:rsidP="00501FA3"/>
    <w:p w14:paraId="05F35FE6" w14:textId="25AB6D8E" w:rsidR="00260E0B" w:rsidRPr="00364545" w:rsidRDefault="00501FA3" w:rsidP="00501FA3">
      <w:r w:rsidRPr="00364545">
        <w:t>In 2018, natural gas combustion accounted for almost 64% of CO</w:t>
      </w:r>
      <w:r w:rsidRPr="00364545">
        <w:rPr>
          <w:vertAlign w:val="subscript"/>
        </w:rPr>
        <w:t>2</w:t>
      </w:r>
      <w:r w:rsidRPr="00364545">
        <w:t xml:space="preserve"> emissions linked to these uses. It should be noted that these emissions are highly dependent on climatic conditions. They decrease when temperatures are milder than the seasonal average and conversely increase when the climate is more severe.</w:t>
      </w:r>
    </w:p>
    <w:p w14:paraId="6DD535F5" w14:textId="79C06434" w:rsidR="00260E0B" w:rsidRPr="00364545" w:rsidRDefault="00260E0B" w:rsidP="00AA2B36">
      <w:pPr>
        <w:spacing w:before="240" w:after="240"/>
      </w:pPr>
      <w:r w:rsidRPr="00364545">
        <w:t>Since 1 January 2020, the energy transition tax credit (CITE) has been replaced by the ‘MaPrimeRénov’</w:t>
      </w:r>
      <w:r w:rsidRPr="00364545">
        <w:rPr>
          <w:rFonts w:ascii="Calibri" w:hAnsi="Calibri"/>
        </w:rPr>
        <w:t>’</w:t>
      </w:r>
      <w:r w:rsidRPr="00364545">
        <w:t xml:space="preserve"> scheme, which is accessible to all owners and co-owners of housing built at least 15 years ago. Its amount is adjusted according to the household income and the type of works. In 2021, this scheme financed the renovation of nearly 650</w:t>
      </w:r>
      <w:r w:rsidRPr="00364545">
        <w:rPr>
          <w:rFonts w:ascii="Calibri" w:hAnsi="Calibri"/>
        </w:rPr>
        <w:t>,</w:t>
      </w:r>
      <w:r w:rsidRPr="00364545">
        <w:t>000 homes, with a budget of just over €2 billion.</w:t>
      </w:r>
    </w:p>
    <w:p w14:paraId="44DA4210" w14:textId="77777777" w:rsidR="00501FA3" w:rsidRPr="00364545" w:rsidRDefault="00501FA3" w:rsidP="00EF6DB6">
      <w:pPr>
        <w:pStyle w:val="Titre4niveau4"/>
      </w:pPr>
      <w:r w:rsidRPr="00364545">
        <w:t xml:space="preserve">Residential </w:t>
      </w:r>
    </w:p>
    <w:p w14:paraId="042544BF" w14:textId="77777777" w:rsidR="00501FA3" w:rsidRPr="00364545" w:rsidRDefault="00501FA3" w:rsidP="00501FA3"/>
    <w:p w14:paraId="24CAFA34" w14:textId="5FEFEE0C" w:rsidR="00501FA3" w:rsidRPr="00364545" w:rsidRDefault="00501FA3" w:rsidP="00501FA3">
      <w:r w:rsidRPr="00364545">
        <w:t xml:space="preserve">For thirty years, the underlying growth trend for housing sock has been at a rate of about 1% per year (see table below). On 1 January 2021, the number of dwellings in France (excluding Mayotte) was 37.2 million: </w:t>
      </w:r>
    </w:p>
    <w:p w14:paraId="19ED53D1" w14:textId="77777777" w:rsidR="00501FA3" w:rsidRPr="00364545" w:rsidRDefault="00501FA3" w:rsidP="00501FA3"/>
    <w:tbl>
      <w:tblPr>
        <w:tblStyle w:val="ListTable4-Accent4"/>
        <w:tblW w:w="0" w:type="auto"/>
        <w:jc w:val="center"/>
        <w:tblLook w:val="04A0" w:firstRow="1" w:lastRow="0" w:firstColumn="1" w:lastColumn="0" w:noHBand="0" w:noVBand="1"/>
      </w:tblPr>
      <w:tblGrid>
        <w:gridCol w:w="1643"/>
        <w:gridCol w:w="735"/>
        <w:gridCol w:w="1481"/>
        <w:gridCol w:w="1115"/>
        <w:gridCol w:w="367"/>
        <w:gridCol w:w="1482"/>
        <w:gridCol w:w="1482"/>
        <w:gridCol w:w="1635"/>
      </w:tblGrid>
      <w:tr w:rsidR="00501FA3" w:rsidRPr="00364545" w14:paraId="4F4F40D4" w14:textId="77777777" w:rsidTr="00E53B5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4" w:type="dxa"/>
          </w:tcPr>
          <w:p w14:paraId="40B531DF" w14:textId="77777777" w:rsidR="00501FA3" w:rsidRPr="00364545" w:rsidRDefault="00501FA3" w:rsidP="00E53B5D"/>
        </w:tc>
        <w:tc>
          <w:tcPr>
            <w:tcW w:w="3334" w:type="dxa"/>
            <w:gridSpan w:val="3"/>
          </w:tcPr>
          <w:p w14:paraId="024713A7" w14:textId="77777777" w:rsidR="00501FA3" w:rsidRPr="00364545"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364545">
              <w:t>1982</w:t>
            </w:r>
          </w:p>
        </w:tc>
        <w:tc>
          <w:tcPr>
            <w:tcW w:w="3334" w:type="dxa"/>
            <w:gridSpan w:val="3"/>
          </w:tcPr>
          <w:p w14:paraId="7BC9A6C3" w14:textId="77777777" w:rsidR="00501FA3" w:rsidRPr="00364545"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364545">
              <w:t>2021</w:t>
            </w:r>
          </w:p>
        </w:tc>
        <w:tc>
          <w:tcPr>
            <w:tcW w:w="1638" w:type="dxa"/>
            <w:vMerge w:val="restart"/>
          </w:tcPr>
          <w:p w14:paraId="020F706C" w14:textId="77777777" w:rsidR="00501FA3" w:rsidRPr="00364545" w:rsidRDefault="00501FA3" w:rsidP="00E53B5D">
            <w:pPr>
              <w:cnfStyle w:val="100000000000" w:firstRow="1" w:lastRow="0" w:firstColumn="0" w:lastColumn="0" w:oddVBand="0" w:evenVBand="0" w:oddHBand="0" w:evenHBand="0" w:firstRowFirstColumn="0" w:firstRowLastColumn="0" w:lastRowFirstColumn="0" w:lastRowLastColumn="0"/>
            </w:pPr>
            <w:r w:rsidRPr="00364545">
              <w:t>Average annual change</w:t>
            </w:r>
          </w:p>
          <w:p w14:paraId="255880BB" w14:textId="128C3CDF" w:rsidR="00501FA3" w:rsidRPr="00364545" w:rsidRDefault="00501FA3" w:rsidP="00E53B5D">
            <w:pPr>
              <w:cnfStyle w:val="100000000000" w:firstRow="1" w:lastRow="0" w:firstColumn="0" w:lastColumn="0" w:oddVBand="0" w:evenVBand="0" w:oddHBand="0" w:evenHBand="0" w:firstRowFirstColumn="0" w:firstRowLastColumn="0" w:lastRowFirstColumn="0" w:lastRowLastColumn="0"/>
            </w:pPr>
            <w:r w:rsidRPr="00364545">
              <w:t>(in%)</w:t>
            </w:r>
          </w:p>
        </w:tc>
      </w:tr>
      <w:tr w:rsidR="00501FA3" w:rsidRPr="00364545" w14:paraId="7F25B3B5"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2E76ED04" w14:textId="77777777" w:rsidR="00501FA3" w:rsidRPr="00364545" w:rsidRDefault="00501FA3" w:rsidP="00E53B5D"/>
        </w:tc>
        <w:tc>
          <w:tcPr>
            <w:tcW w:w="1482" w:type="dxa"/>
          </w:tcPr>
          <w:p w14:paraId="236F90CA"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Number of dwellings</w:t>
            </w:r>
          </w:p>
          <w:p w14:paraId="0A126329"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(in thousands)</w:t>
            </w:r>
          </w:p>
        </w:tc>
        <w:tc>
          <w:tcPr>
            <w:tcW w:w="1483" w:type="dxa"/>
            <w:gridSpan w:val="2"/>
          </w:tcPr>
          <w:p w14:paraId="7E72E432"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Breakdown</w:t>
            </w:r>
          </w:p>
          <w:p w14:paraId="18A95D3C" w14:textId="2907E9D1"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(in%)</w:t>
            </w:r>
          </w:p>
        </w:tc>
        <w:tc>
          <w:tcPr>
            <w:tcW w:w="1483" w:type="dxa"/>
          </w:tcPr>
          <w:p w14:paraId="346A7F12"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Number of dwellings</w:t>
            </w:r>
          </w:p>
          <w:p w14:paraId="749998D2"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(in thousands)</w:t>
            </w:r>
          </w:p>
        </w:tc>
        <w:tc>
          <w:tcPr>
            <w:tcW w:w="1483" w:type="dxa"/>
          </w:tcPr>
          <w:p w14:paraId="4388B4D6"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Breakdown</w:t>
            </w:r>
          </w:p>
          <w:p w14:paraId="6E8E5C04" w14:textId="2FA1B03F"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(in%)</w:t>
            </w:r>
          </w:p>
        </w:tc>
        <w:tc>
          <w:tcPr>
            <w:tcW w:w="1638" w:type="dxa"/>
            <w:vMerge/>
          </w:tcPr>
          <w:p w14:paraId="666D0355" w14:textId="77777777" w:rsidR="00501FA3" w:rsidRPr="00364545" w:rsidRDefault="00501FA3" w:rsidP="00E53B5D">
            <w:pPr>
              <w:cnfStyle w:val="000000100000" w:firstRow="0" w:lastRow="0" w:firstColumn="0" w:lastColumn="0" w:oddVBand="0" w:evenVBand="0" w:oddHBand="1" w:evenHBand="0" w:firstRowFirstColumn="0" w:firstRowLastColumn="0" w:lastRowFirstColumn="0" w:lastRowLastColumn="0"/>
            </w:pPr>
          </w:p>
        </w:tc>
      </w:tr>
      <w:tr w:rsidR="00501FA3" w:rsidRPr="00364545" w14:paraId="4255C529"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646C332B" w14:textId="77777777" w:rsidR="00501FA3" w:rsidRPr="00364545" w:rsidRDefault="00501FA3" w:rsidP="00E53B5D">
            <w:r w:rsidRPr="00364545">
              <w:t>France, excluding Mayotte</w:t>
            </w:r>
          </w:p>
        </w:tc>
        <w:tc>
          <w:tcPr>
            <w:tcW w:w="1482" w:type="dxa"/>
          </w:tcPr>
          <w:p w14:paraId="25F3E1BF"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24,023</w:t>
            </w:r>
          </w:p>
        </w:tc>
        <w:tc>
          <w:tcPr>
            <w:tcW w:w="1483" w:type="dxa"/>
            <w:gridSpan w:val="2"/>
          </w:tcPr>
          <w:p w14:paraId="18283029"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100.0</w:t>
            </w:r>
          </w:p>
        </w:tc>
        <w:tc>
          <w:tcPr>
            <w:tcW w:w="1483" w:type="dxa"/>
          </w:tcPr>
          <w:p w14:paraId="58CC4B37"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37196</w:t>
            </w:r>
          </w:p>
        </w:tc>
        <w:tc>
          <w:tcPr>
            <w:tcW w:w="1483" w:type="dxa"/>
          </w:tcPr>
          <w:p w14:paraId="306E7145"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100.0</w:t>
            </w:r>
          </w:p>
        </w:tc>
        <w:tc>
          <w:tcPr>
            <w:tcW w:w="1638" w:type="dxa"/>
          </w:tcPr>
          <w:p w14:paraId="17FC3A50"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1.1</w:t>
            </w:r>
          </w:p>
        </w:tc>
      </w:tr>
      <w:tr w:rsidR="00501FA3" w:rsidRPr="00364545" w14:paraId="64265D08"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6F799547" w14:textId="77777777" w:rsidR="00501FA3" w:rsidRPr="00364545" w:rsidRDefault="00501FA3" w:rsidP="00E53B5D">
            <w:r w:rsidRPr="00364545">
              <w:t>Main residences</w:t>
            </w:r>
          </w:p>
        </w:tc>
        <w:tc>
          <w:tcPr>
            <w:tcW w:w="1482" w:type="dxa"/>
          </w:tcPr>
          <w:p w14:paraId="2660A767"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19,849</w:t>
            </w:r>
          </w:p>
        </w:tc>
        <w:tc>
          <w:tcPr>
            <w:tcW w:w="1483" w:type="dxa"/>
            <w:gridSpan w:val="2"/>
          </w:tcPr>
          <w:p w14:paraId="6502CF64"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82.6</w:t>
            </w:r>
          </w:p>
        </w:tc>
        <w:tc>
          <w:tcPr>
            <w:tcW w:w="1483" w:type="dxa"/>
          </w:tcPr>
          <w:p w14:paraId="37DB1947"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30434</w:t>
            </w:r>
          </w:p>
        </w:tc>
        <w:tc>
          <w:tcPr>
            <w:tcW w:w="1483" w:type="dxa"/>
          </w:tcPr>
          <w:p w14:paraId="6B658C7C"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81.8</w:t>
            </w:r>
          </w:p>
        </w:tc>
        <w:tc>
          <w:tcPr>
            <w:tcW w:w="1638" w:type="dxa"/>
          </w:tcPr>
          <w:p w14:paraId="31CB6D21"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1.1</w:t>
            </w:r>
          </w:p>
        </w:tc>
      </w:tr>
      <w:tr w:rsidR="00501FA3" w:rsidRPr="00364545" w14:paraId="381C08AF"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2ECBF824" w14:textId="77777777" w:rsidR="00501FA3" w:rsidRPr="00364545" w:rsidRDefault="00501FA3" w:rsidP="00E53B5D">
            <w:r w:rsidRPr="00364545">
              <w:t>Secondary residences or occasional accommodation</w:t>
            </w:r>
          </w:p>
        </w:tc>
        <w:tc>
          <w:tcPr>
            <w:tcW w:w="1482" w:type="dxa"/>
          </w:tcPr>
          <w:p w14:paraId="61FB36B2"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2,279</w:t>
            </w:r>
          </w:p>
        </w:tc>
        <w:tc>
          <w:tcPr>
            <w:tcW w:w="1483" w:type="dxa"/>
            <w:gridSpan w:val="2"/>
          </w:tcPr>
          <w:p w14:paraId="7D6E3EA6"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9.5</w:t>
            </w:r>
          </w:p>
        </w:tc>
        <w:tc>
          <w:tcPr>
            <w:tcW w:w="1483" w:type="dxa"/>
          </w:tcPr>
          <w:p w14:paraId="09666D67"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3678</w:t>
            </w:r>
          </w:p>
        </w:tc>
        <w:tc>
          <w:tcPr>
            <w:tcW w:w="1483" w:type="dxa"/>
          </w:tcPr>
          <w:p w14:paraId="397FCF13"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9.9</w:t>
            </w:r>
          </w:p>
        </w:tc>
        <w:tc>
          <w:tcPr>
            <w:tcW w:w="1638" w:type="dxa"/>
          </w:tcPr>
          <w:p w14:paraId="7737F0C1"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1.2</w:t>
            </w:r>
          </w:p>
        </w:tc>
      </w:tr>
      <w:tr w:rsidR="00501FA3" w:rsidRPr="00364545" w14:paraId="6ED1958D"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2686030F" w14:textId="77777777" w:rsidR="00501FA3" w:rsidRPr="00364545" w:rsidRDefault="00501FA3" w:rsidP="00E53B5D">
            <w:r w:rsidRPr="00364545">
              <w:t>Vacant housing</w:t>
            </w:r>
          </w:p>
        </w:tc>
        <w:tc>
          <w:tcPr>
            <w:tcW w:w="1482" w:type="dxa"/>
          </w:tcPr>
          <w:p w14:paraId="7E3015FC"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1,895</w:t>
            </w:r>
          </w:p>
        </w:tc>
        <w:tc>
          <w:tcPr>
            <w:tcW w:w="1483" w:type="dxa"/>
            <w:gridSpan w:val="2"/>
          </w:tcPr>
          <w:p w14:paraId="15C865F3"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7.9</w:t>
            </w:r>
          </w:p>
        </w:tc>
        <w:tc>
          <w:tcPr>
            <w:tcW w:w="1483" w:type="dxa"/>
          </w:tcPr>
          <w:p w14:paraId="43FBE96D"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3085</w:t>
            </w:r>
          </w:p>
        </w:tc>
        <w:tc>
          <w:tcPr>
            <w:tcW w:w="1483" w:type="dxa"/>
          </w:tcPr>
          <w:p w14:paraId="3236E5BF"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8.3</w:t>
            </w:r>
          </w:p>
        </w:tc>
        <w:tc>
          <w:tcPr>
            <w:tcW w:w="1638" w:type="dxa"/>
          </w:tcPr>
          <w:p w14:paraId="7F18A07B"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1.3</w:t>
            </w:r>
          </w:p>
        </w:tc>
      </w:tr>
      <w:tr w:rsidR="00501FA3" w:rsidRPr="00364545" w14:paraId="537F7BA9"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796340A0" w14:textId="77777777" w:rsidR="00501FA3" w:rsidRPr="00364545" w:rsidRDefault="00501FA3" w:rsidP="00E53B5D">
            <w:r w:rsidRPr="00364545">
              <w:t>Metropolitan France</w:t>
            </w:r>
          </w:p>
        </w:tc>
        <w:tc>
          <w:tcPr>
            <w:tcW w:w="1482" w:type="dxa"/>
          </w:tcPr>
          <w:p w14:paraId="6FB32472"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23,652</w:t>
            </w:r>
          </w:p>
        </w:tc>
        <w:tc>
          <w:tcPr>
            <w:tcW w:w="1483" w:type="dxa"/>
            <w:gridSpan w:val="2"/>
          </w:tcPr>
          <w:p w14:paraId="468A2007"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100.0</w:t>
            </w:r>
          </w:p>
        </w:tc>
        <w:tc>
          <w:tcPr>
            <w:tcW w:w="1483" w:type="dxa"/>
          </w:tcPr>
          <w:p w14:paraId="3BFB74B3"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36247</w:t>
            </w:r>
          </w:p>
        </w:tc>
        <w:tc>
          <w:tcPr>
            <w:tcW w:w="1483" w:type="dxa"/>
          </w:tcPr>
          <w:p w14:paraId="38B8CDCC"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100.0</w:t>
            </w:r>
          </w:p>
        </w:tc>
        <w:tc>
          <w:tcPr>
            <w:tcW w:w="1638" w:type="dxa"/>
          </w:tcPr>
          <w:p w14:paraId="24BBCBA0"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1.1</w:t>
            </w:r>
          </w:p>
        </w:tc>
      </w:tr>
      <w:tr w:rsidR="00501FA3" w:rsidRPr="00364545" w14:paraId="6C366195"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5CB7E79F" w14:textId="77777777" w:rsidR="00501FA3" w:rsidRPr="00364545" w:rsidRDefault="00501FA3" w:rsidP="00E53B5D">
            <w:r w:rsidRPr="00364545">
              <w:t>Main residences</w:t>
            </w:r>
          </w:p>
        </w:tc>
        <w:tc>
          <w:tcPr>
            <w:tcW w:w="1482" w:type="dxa"/>
          </w:tcPr>
          <w:p w14:paraId="163DA7D0"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19,542</w:t>
            </w:r>
          </w:p>
        </w:tc>
        <w:tc>
          <w:tcPr>
            <w:tcW w:w="1483" w:type="dxa"/>
            <w:gridSpan w:val="2"/>
          </w:tcPr>
          <w:p w14:paraId="565BA35D"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82.6</w:t>
            </w:r>
          </w:p>
        </w:tc>
        <w:tc>
          <w:tcPr>
            <w:tcW w:w="1483" w:type="dxa"/>
          </w:tcPr>
          <w:p w14:paraId="14970798"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29660</w:t>
            </w:r>
          </w:p>
        </w:tc>
        <w:tc>
          <w:tcPr>
            <w:tcW w:w="1483" w:type="dxa"/>
          </w:tcPr>
          <w:p w14:paraId="010B1FC6"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81.8</w:t>
            </w:r>
          </w:p>
        </w:tc>
        <w:tc>
          <w:tcPr>
            <w:tcW w:w="1638" w:type="dxa"/>
          </w:tcPr>
          <w:p w14:paraId="22CEA255"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1.1</w:t>
            </w:r>
          </w:p>
        </w:tc>
      </w:tr>
      <w:tr w:rsidR="00501FA3" w:rsidRPr="00364545" w14:paraId="1896F291"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7D4A7A23" w14:textId="77777777" w:rsidR="00501FA3" w:rsidRPr="00364545" w:rsidRDefault="00501FA3" w:rsidP="00E53B5D">
            <w:r w:rsidRPr="00364545">
              <w:t>Secondary residences or occasional accommodation</w:t>
            </w:r>
          </w:p>
        </w:tc>
        <w:tc>
          <w:tcPr>
            <w:tcW w:w="1482" w:type="dxa"/>
          </w:tcPr>
          <w:p w14:paraId="2D3C939E"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2,260</w:t>
            </w:r>
          </w:p>
        </w:tc>
        <w:tc>
          <w:tcPr>
            <w:tcW w:w="1483" w:type="dxa"/>
            <w:gridSpan w:val="2"/>
          </w:tcPr>
          <w:p w14:paraId="07F7D477"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9.6</w:t>
            </w:r>
          </w:p>
        </w:tc>
        <w:tc>
          <w:tcPr>
            <w:tcW w:w="1483" w:type="dxa"/>
          </w:tcPr>
          <w:p w14:paraId="499E9852"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3620</w:t>
            </w:r>
          </w:p>
        </w:tc>
        <w:tc>
          <w:tcPr>
            <w:tcW w:w="1483" w:type="dxa"/>
          </w:tcPr>
          <w:p w14:paraId="64465961"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10.0</w:t>
            </w:r>
          </w:p>
        </w:tc>
        <w:tc>
          <w:tcPr>
            <w:tcW w:w="1638" w:type="dxa"/>
          </w:tcPr>
          <w:p w14:paraId="79DFC509"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1.2</w:t>
            </w:r>
          </w:p>
        </w:tc>
      </w:tr>
      <w:tr w:rsidR="00501FA3" w:rsidRPr="00364545" w14:paraId="1DACF6DA"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71E467BC" w14:textId="77777777" w:rsidR="00501FA3" w:rsidRPr="00364545" w:rsidRDefault="00501FA3" w:rsidP="00E53B5D">
            <w:r w:rsidRPr="00364545">
              <w:t>Vacant housing</w:t>
            </w:r>
          </w:p>
        </w:tc>
        <w:tc>
          <w:tcPr>
            <w:tcW w:w="1482" w:type="dxa"/>
          </w:tcPr>
          <w:p w14:paraId="626C86F0"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1,850</w:t>
            </w:r>
          </w:p>
        </w:tc>
        <w:tc>
          <w:tcPr>
            <w:tcW w:w="1483" w:type="dxa"/>
            <w:gridSpan w:val="2"/>
          </w:tcPr>
          <w:p w14:paraId="788197E6"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7.8</w:t>
            </w:r>
          </w:p>
        </w:tc>
        <w:tc>
          <w:tcPr>
            <w:tcW w:w="1483" w:type="dxa"/>
          </w:tcPr>
          <w:p w14:paraId="1EAD5648"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2968</w:t>
            </w:r>
          </w:p>
        </w:tc>
        <w:tc>
          <w:tcPr>
            <w:tcW w:w="1483" w:type="dxa"/>
          </w:tcPr>
          <w:p w14:paraId="7AD3C837"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8.2</w:t>
            </w:r>
          </w:p>
        </w:tc>
        <w:tc>
          <w:tcPr>
            <w:tcW w:w="1638" w:type="dxa"/>
          </w:tcPr>
          <w:p w14:paraId="29B4F1CC"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1.2</w:t>
            </w:r>
          </w:p>
        </w:tc>
      </w:tr>
      <w:tr w:rsidR="00501FA3" w:rsidRPr="00364545" w14:paraId="58BCAC7E"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0F86D793" w14:textId="77777777" w:rsidR="00501FA3" w:rsidRPr="00364545" w:rsidRDefault="00501FA3" w:rsidP="00E53B5D">
            <w:r w:rsidRPr="00364545">
              <w:t>Overseas departments excluding Mayotte</w:t>
            </w:r>
          </w:p>
        </w:tc>
        <w:tc>
          <w:tcPr>
            <w:tcW w:w="1482" w:type="dxa"/>
          </w:tcPr>
          <w:p w14:paraId="4308D5BA"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371</w:t>
            </w:r>
          </w:p>
        </w:tc>
        <w:tc>
          <w:tcPr>
            <w:tcW w:w="1483" w:type="dxa"/>
            <w:gridSpan w:val="2"/>
          </w:tcPr>
          <w:p w14:paraId="44FC2AAB"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100.0</w:t>
            </w:r>
          </w:p>
        </w:tc>
        <w:tc>
          <w:tcPr>
            <w:tcW w:w="1483" w:type="dxa"/>
          </w:tcPr>
          <w:p w14:paraId="18FDC3C1"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949</w:t>
            </w:r>
          </w:p>
        </w:tc>
        <w:tc>
          <w:tcPr>
            <w:tcW w:w="1483" w:type="dxa"/>
          </w:tcPr>
          <w:p w14:paraId="5A4B9096"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100.0</w:t>
            </w:r>
          </w:p>
        </w:tc>
        <w:tc>
          <w:tcPr>
            <w:tcW w:w="1638" w:type="dxa"/>
          </w:tcPr>
          <w:p w14:paraId="1FF6C3A7"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2.4</w:t>
            </w:r>
          </w:p>
        </w:tc>
      </w:tr>
      <w:tr w:rsidR="00501FA3" w:rsidRPr="00364545" w14:paraId="489EC778"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59323AE8" w14:textId="77777777" w:rsidR="00501FA3" w:rsidRPr="00364545" w:rsidRDefault="00501FA3" w:rsidP="00E53B5D">
            <w:r w:rsidRPr="00364545">
              <w:t>Main residences</w:t>
            </w:r>
          </w:p>
        </w:tc>
        <w:tc>
          <w:tcPr>
            <w:tcW w:w="1482" w:type="dxa"/>
          </w:tcPr>
          <w:p w14:paraId="770ACE03"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308</w:t>
            </w:r>
          </w:p>
        </w:tc>
        <w:tc>
          <w:tcPr>
            <w:tcW w:w="1483" w:type="dxa"/>
            <w:gridSpan w:val="2"/>
          </w:tcPr>
          <w:p w14:paraId="748E5354"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82.9</w:t>
            </w:r>
          </w:p>
        </w:tc>
        <w:tc>
          <w:tcPr>
            <w:tcW w:w="1483" w:type="dxa"/>
          </w:tcPr>
          <w:p w14:paraId="131FC2AB"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774</w:t>
            </w:r>
          </w:p>
        </w:tc>
        <w:tc>
          <w:tcPr>
            <w:tcW w:w="1483" w:type="dxa"/>
          </w:tcPr>
          <w:p w14:paraId="447BC50E"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81.6</w:t>
            </w:r>
          </w:p>
        </w:tc>
        <w:tc>
          <w:tcPr>
            <w:tcW w:w="1638" w:type="dxa"/>
          </w:tcPr>
          <w:p w14:paraId="5B4386FF"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2.4</w:t>
            </w:r>
          </w:p>
        </w:tc>
      </w:tr>
      <w:tr w:rsidR="00501FA3" w:rsidRPr="00364545" w14:paraId="42168230"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0E57107A" w14:textId="77777777" w:rsidR="00501FA3" w:rsidRPr="00364545" w:rsidRDefault="00501FA3" w:rsidP="00E53B5D">
            <w:r w:rsidRPr="00364545">
              <w:t>Secondary residences or occasional accommodation</w:t>
            </w:r>
          </w:p>
        </w:tc>
        <w:tc>
          <w:tcPr>
            <w:tcW w:w="1482" w:type="dxa"/>
          </w:tcPr>
          <w:p w14:paraId="3D1FCF8B"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19</w:t>
            </w:r>
          </w:p>
        </w:tc>
        <w:tc>
          <w:tcPr>
            <w:tcW w:w="1483" w:type="dxa"/>
            <w:gridSpan w:val="2"/>
          </w:tcPr>
          <w:p w14:paraId="0869DC52"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5.0</w:t>
            </w:r>
          </w:p>
        </w:tc>
        <w:tc>
          <w:tcPr>
            <w:tcW w:w="1483" w:type="dxa"/>
          </w:tcPr>
          <w:p w14:paraId="6035DA94"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58</w:t>
            </w:r>
          </w:p>
        </w:tc>
        <w:tc>
          <w:tcPr>
            <w:tcW w:w="1483" w:type="dxa"/>
          </w:tcPr>
          <w:p w14:paraId="0D0F40BA"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6.1</w:t>
            </w:r>
          </w:p>
        </w:tc>
        <w:tc>
          <w:tcPr>
            <w:tcW w:w="1638" w:type="dxa"/>
          </w:tcPr>
          <w:p w14:paraId="1D32D4B2"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3.0</w:t>
            </w:r>
          </w:p>
        </w:tc>
      </w:tr>
      <w:tr w:rsidR="00501FA3" w:rsidRPr="00364545" w14:paraId="28EF85A3"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748D36E3" w14:textId="77777777" w:rsidR="00501FA3" w:rsidRPr="00364545" w:rsidRDefault="00501FA3" w:rsidP="00E53B5D">
            <w:r w:rsidRPr="00364545">
              <w:t>Vacant housing</w:t>
            </w:r>
          </w:p>
        </w:tc>
        <w:tc>
          <w:tcPr>
            <w:tcW w:w="1482" w:type="dxa"/>
          </w:tcPr>
          <w:p w14:paraId="687F9F4B"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45</w:t>
            </w:r>
          </w:p>
        </w:tc>
        <w:tc>
          <w:tcPr>
            <w:tcW w:w="1483" w:type="dxa"/>
            <w:gridSpan w:val="2"/>
          </w:tcPr>
          <w:p w14:paraId="030EF1C4"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12.1</w:t>
            </w:r>
          </w:p>
        </w:tc>
        <w:tc>
          <w:tcPr>
            <w:tcW w:w="1483" w:type="dxa"/>
          </w:tcPr>
          <w:p w14:paraId="6F5DA6CB"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117</w:t>
            </w:r>
          </w:p>
        </w:tc>
        <w:tc>
          <w:tcPr>
            <w:tcW w:w="1483" w:type="dxa"/>
          </w:tcPr>
          <w:p w14:paraId="76D4BB99"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12.3</w:t>
            </w:r>
          </w:p>
        </w:tc>
        <w:tc>
          <w:tcPr>
            <w:tcW w:w="1638" w:type="dxa"/>
          </w:tcPr>
          <w:p w14:paraId="5A2DC51B"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2.5</w:t>
            </w:r>
          </w:p>
        </w:tc>
      </w:tr>
    </w:tbl>
    <w:p w14:paraId="47F4A237" w14:textId="5ECED2BC" w:rsidR="008B017A" w:rsidRPr="00364545" w:rsidRDefault="008B017A" w:rsidP="0045532B">
      <w:pPr>
        <w:pStyle w:val="Caption"/>
      </w:pPr>
      <w:bookmarkStart w:id="122" w:name="_Toc123916494"/>
      <w:r w:rsidRPr="00364545">
        <w:t>Table</w:t>
      </w:r>
      <w:r w:rsidR="003714FB">
        <w:fldChar w:fldCharType="begin"/>
      </w:r>
      <w:r w:rsidR="003714FB">
        <w:instrText xml:space="preserve"> SEQ Tableau \* ARABIC </w:instrText>
      </w:r>
      <w:r w:rsidR="003714FB">
        <w:fldChar w:fldCharType="separate"/>
      </w:r>
      <w:r w:rsidR="009A2FAA">
        <w:rPr>
          <w:noProof/>
        </w:rPr>
        <w:t>2</w:t>
      </w:r>
      <w:r w:rsidR="003714FB">
        <w:rPr>
          <w:noProof/>
        </w:rPr>
        <w:fldChar w:fldCharType="end"/>
      </w:r>
      <w:r w:rsidRPr="00364545">
        <w:t>: Breakdown of the housing stock by category in France (excluding Mayotte)</w:t>
      </w:r>
      <w:bookmarkEnd w:id="122"/>
    </w:p>
    <w:p w14:paraId="2F4DFD58" w14:textId="5CADBDF3" w:rsidR="00501FA3" w:rsidRPr="00364545" w:rsidRDefault="008B017A" w:rsidP="0045532B">
      <w:pPr>
        <w:pStyle w:val="Caption"/>
      </w:pPr>
      <w:r w:rsidRPr="00364545">
        <w:t>Source: INSEE, the Data and Statistical Studies Department</w:t>
      </w:r>
    </w:p>
    <w:p w14:paraId="5DFCE565" w14:textId="77777777" w:rsidR="00501FA3" w:rsidRPr="00364545" w:rsidRDefault="00501FA3" w:rsidP="00501FA3">
      <w:r w:rsidRPr="00364545">
        <w:t xml:space="preserve"> </w:t>
      </w:r>
    </w:p>
    <w:p w14:paraId="49F93805" w14:textId="052B2A4C" w:rsidR="00501FA3" w:rsidRPr="00364545" w:rsidRDefault="00501FA3" w:rsidP="00501FA3">
      <w:r w:rsidRPr="00364545">
        <w:t xml:space="preserve">The number of multi-family housing is increasing faster than the number of single-family dwellings due to recent developments in new construction. Before 2008, there were more dwellings completed during the year in the single-family sector than in the multi-family sector. Since 2013, the opposite has been true. Multi-family housing accounted for 55% of housing in 2021 (as it did in 1982). It was in the majority among primary residences as well as among secondary residences and occasional accommodation. </w:t>
      </w:r>
    </w:p>
    <w:p w14:paraId="78E6F9F8" w14:textId="77777777" w:rsidR="00501FA3" w:rsidRPr="00364545" w:rsidRDefault="00501FA3" w:rsidP="00501FA3"/>
    <w:p w14:paraId="50109D59" w14:textId="77777777" w:rsidR="00501FA3" w:rsidRPr="00364545" w:rsidRDefault="00501FA3" w:rsidP="00501FA3">
      <w:pPr>
        <w:jc w:val="center"/>
      </w:pPr>
      <w:r w:rsidRPr="00364545">
        <w:rPr>
          <w:noProof/>
          <w:lang w:val="fr-FR"/>
        </w:rPr>
        <w:drawing>
          <wp:inline distT="0" distB="0" distL="0" distR="0" wp14:anchorId="37B42B61" wp14:editId="15F0F604">
            <wp:extent cx="4572000" cy="2743200"/>
            <wp:effectExtent l="0" t="0" r="0" b="0"/>
            <wp:docPr id="43" name="Graphique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D3BED36" w14:textId="4FBFA052" w:rsidR="002538C6" w:rsidRPr="00364545" w:rsidRDefault="002538C6" w:rsidP="0045532B">
      <w:pPr>
        <w:pStyle w:val="Caption"/>
      </w:pPr>
      <w:bookmarkStart w:id="123" w:name="_Toc123916427"/>
      <w:r w:rsidRPr="00364545">
        <w:t xml:space="preserve">Figure </w:t>
      </w:r>
      <w:r w:rsidR="003714FB">
        <w:fldChar w:fldCharType="begin"/>
      </w:r>
      <w:r w:rsidR="003714FB">
        <w:instrText xml:space="preserve"> SEQ Figure \* ARABIC </w:instrText>
      </w:r>
      <w:r w:rsidR="003714FB">
        <w:fldChar w:fldCharType="separate"/>
      </w:r>
      <w:r w:rsidR="009A2FAA">
        <w:rPr>
          <w:noProof/>
        </w:rPr>
        <w:t>16</w:t>
      </w:r>
      <w:r w:rsidR="003714FB">
        <w:rPr>
          <w:noProof/>
        </w:rPr>
        <w:fldChar w:fldCharType="end"/>
      </w:r>
      <w:r w:rsidRPr="00364545">
        <w:t>: Average annual change in the number of dwellings by type of housing since 1986</w:t>
      </w:r>
      <w:bookmarkEnd w:id="123"/>
    </w:p>
    <w:p w14:paraId="571DFCB4" w14:textId="5D54B62D" w:rsidR="00501FA3" w:rsidRPr="00364545" w:rsidRDefault="002538C6" w:rsidP="0045532B">
      <w:pPr>
        <w:pStyle w:val="Caption"/>
      </w:pPr>
      <w:r w:rsidRPr="00364545">
        <w:t>Source: INSEE, the Data and Statistical Studies Department</w:t>
      </w:r>
    </w:p>
    <w:p w14:paraId="3474605B" w14:textId="77777777" w:rsidR="00501FA3" w:rsidRPr="00364545" w:rsidRDefault="00501FA3" w:rsidP="00501FA3"/>
    <w:p w14:paraId="6FA14A2A" w14:textId="393E5E46" w:rsidR="00501FA3" w:rsidRPr="00364545" w:rsidRDefault="00501FA3" w:rsidP="00501FA3">
      <w:r w:rsidRPr="00364545">
        <w:t xml:space="preserve">The share of rural municipalities has decreased over the last thirty years (51% in 1986 to 43% in 2016) while that of small urban units has increased (from 32% to 39%) with urbanisation. In 2021 in metropolitan France, 16% of primary residences were located in the Paris conurbation and 20% in a community outside the urban unit. Secondary residences or occasional accommodation were located much more frequently in rural areas or in small urban units (less than 100,000 inhabitants): in four out of five cases compared to only half of the primary residences. </w:t>
      </w:r>
    </w:p>
    <w:p w14:paraId="19A71590" w14:textId="77777777" w:rsidR="00501FA3" w:rsidRPr="00364545" w:rsidRDefault="00501FA3" w:rsidP="00501FA3"/>
    <w:p w14:paraId="35F36967" w14:textId="11AE478B" w:rsidR="00501FA3" w:rsidRPr="00364545" w:rsidRDefault="00501FA3" w:rsidP="00501FA3">
      <w:r w:rsidRPr="00364545">
        <w:t>The table below details the breakdown of housing between single-family and multi-family dwellings according to the type of conurbation.</w:t>
      </w:r>
    </w:p>
    <w:tbl>
      <w:tblPr>
        <w:tblStyle w:val="ListTable3-Accent4"/>
        <w:tblW w:w="0" w:type="auto"/>
        <w:tblLook w:val="04A0" w:firstRow="1" w:lastRow="0" w:firstColumn="1" w:lastColumn="0" w:noHBand="0" w:noVBand="1"/>
      </w:tblPr>
      <w:tblGrid>
        <w:gridCol w:w="1988"/>
        <w:gridCol w:w="1988"/>
        <w:gridCol w:w="1988"/>
        <w:gridCol w:w="1988"/>
        <w:gridCol w:w="1988"/>
      </w:tblGrid>
      <w:tr w:rsidR="00501FA3" w:rsidRPr="00364545" w14:paraId="5ACD9220" w14:textId="77777777" w:rsidTr="00E53B5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8" w:type="dxa"/>
          </w:tcPr>
          <w:p w14:paraId="561F5E39" w14:textId="77777777" w:rsidR="00501FA3" w:rsidRPr="00364545" w:rsidRDefault="00501FA3" w:rsidP="00E53B5D">
            <w:r w:rsidRPr="00364545">
              <w:t>(in thousands)</w:t>
            </w:r>
          </w:p>
        </w:tc>
        <w:tc>
          <w:tcPr>
            <w:tcW w:w="1988" w:type="dxa"/>
          </w:tcPr>
          <w:p w14:paraId="0C6E8754" w14:textId="77777777" w:rsidR="00501FA3" w:rsidRPr="00364545"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364545">
              <w:t>Main residences</w:t>
            </w:r>
          </w:p>
        </w:tc>
        <w:tc>
          <w:tcPr>
            <w:tcW w:w="1988" w:type="dxa"/>
          </w:tcPr>
          <w:p w14:paraId="074A5419" w14:textId="77777777" w:rsidR="00501FA3" w:rsidRPr="00364545"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364545">
              <w:t>Secondary residences or occasional accommodation</w:t>
            </w:r>
          </w:p>
        </w:tc>
        <w:tc>
          <w:tcPr>
            <w:tcW w:w="1988" w:type="dxa"/>
          </w:tcPr>
          <w:p w14:paraId="4988E77F" w14:textId="77777777" w:rsidR="00501FA3" w:rsidRPr="00364545"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364545">
              <w:t>Vacant housing</w:t>
            </w:r>
          </w:p>
        </w:tc>
        <w:tc>
          <w:tcPr>
            <w:tcW w:w="1988" w:type="dxa"/>
          </w:tcPr>
          <w:p w14:paraId="2425D79E" w14:textId="77777777" w:rsidR="00501FA3" w:rsidRPr="00364545"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364545">
              <w:t>All dwellings</w:t>
            </w:r>
          </w:p>
        </w:tc>
      </w:tr>
      <w:tr w:rsidR="00501FA3" w:rsidRPr="00364545" w14:paraId="24FD0EFF"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1B6BCBA4" w14:textId="77777777" w:rsidR="00501FA3" w:rsidRPr="00364545" w:rsidRDefault="00501FA3" w:rsidP="00AA2B36">
            <w:pPr>
              <w:jc w:val="left"/>
            </w:pPr>
            <w:r w:rsidRPr="00364545">
              <w:t>Communes outside the urban unit</w:t>
            </w:r>
          </w:p>
        </w:tc>
        <w:tc>
          <w:tcPr>
            <w:tcW w:w="1988" w:type="dxa"/>
            <w:shd w:val="clear" w:color="auto" w:fill="EEB792"/>
          </w:tcPr>
          <w:p w14:paraId="11700947"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6,005</w:t>
            </w:r>
          </w:p>
        </w:tc>
        <w:tc>
          <w:tcPr>
            <w:tcW w:w="1988" w:type="dxa"/>
            <w:shd w:val="clear" w:color="auto" w:fill="EEB792"/>
          </w:tcPr>
          <w:p w14:paraId="1220B333"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1341</w:t>
            </w:r>
          </w:p>
        </w:tc>
        <w:tc>
          <w:tcPr>
            <w:tcW w:w="1988" w:type="dxa"/>
            <w:shd w:val="clear" w:color="auto" w:fill="EEB792"/>
          </w:tcPr>
          <w:p w14:paraId="0B876D2B"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726</w:t>
            </w:r>
          </w:p>
        </w:tc>
        <w:tc>
          <w:tcPr>
            <w:tcW w:w="1988" w:type="dxa"/>
            <w:shd w:val="clear" w:color="auto" w:fill="EEB792"/>
          </w:tcPr>
          <w:p w14:paraId="6573C297"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8072</w:t>
            </w:r>
          </w:p>
        </w:tc>
      </w:tr>
      <w:tr w:rsidR="00501FA3" w:rsidRPr="00364545" w14:paraId="094503D9"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1B3514F2" w14:textId="77777777" w:rsidR="00501FA3" w:rsidRPr="00364545" w:rsidRDefault="00501FA3" w:rsidP="00AA2B36">
            <w:pPr>
              <w:jc w:val="left"/>
              <w:rPr>
                <w:b w:val="0"/>
              </w:rPr>
            </w:pPr>
            <w:r w:rsidRPr="00364545">
              <w:t>Single-family</w:t>
            </w:r>
          </w:p>
        </w:tc>
        <w:tc>
          <w:tcPr>
            <w:tcW w:w="1988" w:type="dxa"/>
          </w:tcPr>
          <w:p w14:paraId="5E714641"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5,575</w:t>
            </w:r>
          </w:p>
        </w:tc>
        <w:tc>
          <w:tcPr>
            <w:tcW w:w="1988" w:type="dxa"/>
          </w:tcPr>
          <w:p w14:paraId="3AA10A40"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1035</w:t>
            </w:r>
          </w:p>
        </w:tc>
        <w:tc>
          <w:tcPr>
            <w:tcW w:w="1988" w:type="dxa"/>
          </w:tcPr>
          <w:p w14:paraId="4F12FC89"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629</w:t>
            </w:r>
          </w:p>
        </w:tc>
        <w:tc>
          <w:tcPr>
            <w:tcW w:w="1988" w:type="dxa"/>
          </w:tcPr>
          <w:p w14:paraId="266EF1F5"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7240</w:t>
            </w:r>
          </w:p>
        </w:tc>
      </w:tr>
      <w:tr w:rsidR="00501FA3" w:rsidRPr="00364545" w14:paraId="07E9FCD2"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37B14604" w14:textId="77777777" w:rsidR="00501FA3" w:rsidRPr="00364545" w:rsidRDefault="00501FA3" w:rsidP="00AA2B36">
            <w:pPr>
              <w:jc w:val="left"/>
              <w:rPr>
                <w:b w:val="0"/>
              </w:rPr>
            </w:pPr>
            <w:r w:rsidRPr="00364545">
              <w:t>Multi-family</w:t>
            </w:r>
          </w:p>
        </w:tc>
        <w:tc>
          <w:tcPr>
            <w:tcW w:w="1988" w:type="dxa"/>
          </w:tcPr>
          <w:p w14:paraId="26D7EB69"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431</w:t>
            </w:r>
          </w:p>
        </w:tc>
        <w:tc>
          <w:tcPr>
            <w:tcW w:w="1988" w:type="dxa"/>
          </w:tcPr>
          <w:p w14:paraId="446EDA76"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305</w:t>
            </w:r>
          </w:p>
        </w:tc>
        <w:tc>
          <w:tcPr>
            <w:tcW w:w="1988" w:type="dxa"/>
          </w:tcPr>
          <w:p w14:paraId="6BBFA6FF"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97</w:t>
            </w:r>
          </w:p>
        </w:tc>
        <w:tc>
          <w:tcPr>
            <w:tcW w:w="1988" w:type="dxa"/>
          </w:tcPr>
          <w:p w14:paraId="32768571"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833</w:t>
            </w:r>
          </w:p>
        </w:tc>
      </w:tr>
      <w:tr w:rsidR="00501FA3" w:rsidRPr="00364545" w14:paraId="3EB99395" w14:textId="77777777" w:rsidTr="00E53B5D">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3694C3AE" w14:textId="77777777" w:rsidR="00501FA3" w:rsidRPr="00364545" w:rsidRDefault="00501FA3" w:rsidP="00AA2B36">
            <w:pPr>
              <w:jc w:val="left"/>
            </w:pPr>
            <w:r w:rsidRPr="00364545">
              <w:t>Urban units of less than 100,000 inhabitants</w:t>
            </w:r>
          </w:p>
        </w:tc>
        <w:tc>
          <w:tcPr>
            <w:tcW w:w="1988" w:type="dxa"/>
            <w:shd w:val="clear" w:color="auto" w:fill="EEB792"/>
          </w:tcPr>
          <w:p w14:paraId="0423B751"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364545">
              <w:rPr>
                <w:b/>
              </w:rPr>
              <w:t>9,545</w:t>
            </w:r>
          </w:p>
        </w:tc>
        <w:tc>
          <w:tcPr>
            <w:tcW w:w="1988" w:type="dxa"/>
            <w:shd w:val="clear" w:color="auto" w:fill="EEB792"/>
          </w:tcPr>
          <w:p w14:paraId="693C4E61"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364545">
              <w:rPr>
                <w:b/>
              </w:rPr>
              <w:t>1440</w:t>
            </w:r>
          </w:p>
        </w:tc>
        <w:tc>
          <w:tcPr>
            <w:tcW w:w="1988" w:type="dxa"/>
            <w:shd w:val="clear" w:color="auto" w:fill="EEB792"/>
          </w:tcPr>
          <w:p w14:paraId="4997C2AB"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364545">
              <w:rPr>
                <w:b/>
              </w:rPr>
              <w:t>1054</w:t>
            </w:r>
          </w:p>
        </w:tc>
        <w:tc>
          <w:tcPr>
            <w:tcW w:w="1988" w:type="dxa"/>
            <w:shd w:val="clear" w:color="auto" w:fill="EEB792"/>
          </w:tcPr>
          <w:p w14:paraId="5E13F562"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364545">
              <w:rPr>
                <w:b/>
              </w:rPr>
              <w:t>12039</w:t>
            </w:r>
          </w:p>
        </w:tc>
      </w:tr>
      <w:tr w:rsidR="00501FA3" w:rsidRPr="00364545" w14:paraId="30580012"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705F92F1" w14:textId="77777777" w:rsidR="00501FA3" w:rsidRPr="00364545" w:rsidRDefault="00501FA3" w:rsidP="00AA2B36">
            <w:pPr>
              <w:jc w:val="left"/>
              <w:rPr>
                <w:b w:val="0"/>
              </w:rPr>
            </w:pPr>
            <w:r w:rsidRPr="00364545">
              <w:t>Single-family</w:t>
            </w:r>
          </w:p>
        </w:tc>
        <w:tc>
          <w:tcPr>
            <w:tcW w:w="1988" w:type="dxa"/>
          </w:tcPr>
          <w:p w14:paraId="1D952343"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6,353</w:t>
            </w:r>
          </w:p>
        </w:tc>
        <w:tc>
          <w:tcPr>
            <w:tcW w:w="1988" w:type="dxa"/>
          </w:tcPr>
          <w:p w14:paraId="7D76709E"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757</w:t>
            </w:r>
          </w:p>
        </w:tc>
        <w:tc>
          <w:tcPr>
            <w:tcW w:w="1988" w:type="dxa"/>
          </w:tcPr>
          <w:p w14:paraId="43CB4ED7"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535</w:t>
            </w:r>
          </w:p>
        </w:tc>
        <w:tc>
          <w:tcPr>
            <w:tcW w:w="1988" w:type="dxa"/>
          </w:tcPr>
          <w:p w14:paraId="699C683E"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7645</w:t>
            </w:r>
          </w:p>
        </w:tc>
      </w:tr>
      <w:tr w:rsidR="00501FA3" w:rsidRPr="00364545" w14:paraId="2F1715F3"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3B077B72" w14:textId="77777777" w:rsidR="00501FA3" w:rsidRPr="00364545" w:rsidRDefault="00501FA3" w:rsidP="00AA2B36">
            <w:pPr>
              <w:jc w:val="left"/>
              <w:rPr>
                <w:b w:val="0"/>
              </w:rPr>
            </w:pPr>
            <w:r w:rsidRPr="00364545">
              <w:t>Multi-family</w:t>
            </w:r>
          </w:p>
        </w:tc>
        <w:tc>
          <w:tcPr>
            <w:tcW w:w="1988" w:type="dxa"/>
          </w:tcPr>
          <w:p w14:paraId="29179424"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3,192</w:t>
            </w:r>
          </w:p>
        </w:tc>
        <w:tc>
          <w:tcPr>
            <w:tcW w:w="1988" w:type="dxa"/>
          </w:tcPr>
          <w:p w14:paraId="089AE6BF"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683</w:t>
            </w:r>
          </w:p>
        </w:tc>
        <w:tc>
          <w:tcPr>
            <w:tcW w:w="1988" w:type="dxa"/>
          </w:tcPr>
          <w:p w14:paraId="3992F3AC"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519</w:t>
            </w:r>
          </w:p>
        </w:tc>
        <w:tc>
          <w:tcPr>
            <w:tcW w:w="1988" w:type="dxa"/>
          </w:tcPr>
          <w:p w14:paraId="559ACF7F"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4394</w:t>
            </w:r>
          </w:p>
        </w:tc>
      </w:tr>
      <w:tr w:rsidR="00501FA3" w:rsidRPr="00364545" w14:paraId="5258406E"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23B1EAD0" w14:textId="77777777" w:rsidR="00501FA3" w:rsidRPr="00364545" w:rsidRDefault="00501FA3" w:rsidP="00AA2B36">
            <w:pPr>
              <w:jc w:val="left"/>
            </w:pPr>
            <w:r w:rsidRPr="00364545">
              <w:t>Urban units of 100,000 inhabitants or more (excluding Paris)</w:t>
            </w:r>
          </w:p>
        </w:tc>
        <w:tc>
          <w:tcPr>
            <w:tcW w:w="1988" w:type="dxa"/>
            <w:shd w:val="clear" w:color="auto" w:fill="EEB792"/>
          </w:tcPr>
          <w:p w14:paraId="7B89F7BD"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9,351</w:t>
            </w:r>
          </w:p>
        </w:tc>
        <w:tc>
          <w:tcPr>
            <w:tcW w:w="1988" w:type="dxa"/>
            <w:shd w:val="clear" w:color="auto" w:fill="EEB792"/>
          </w:tcPr>
          <w:p w14:paraId="76F2071E"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600</w:t>
            </w:r>
          </w:p>
        </w:tc>
        <w:tc>
          <w:tcPr>
            <w:tcW w:w="1988" w:type="dxa"/>
            <w:shd w:val="clear" w:color="auto" w:fill="EEB792"/>
          </w:tcPr>
          <w:p w14:paraId="3E07F4AC"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818</w:t>
            </w:r>
          </w:p>
        </w:tc>
        <w:tc>
          <w:tcPr>
            <w:tcW w:w="1988" w:type="dxa"/>
            <w:shd w:val="clear" w:color="auto" w:fill="EEB792"/>
          </w:tcPr>
          <w:p w14:paraId="52423E2E"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10769</w:t>
            </w:r>
          </w:p>
        </w:tc>
      </w:tr>
      <w:tr w:rsidR="00501FA3" w:rsidRPr="00364545" w14:paraId="75F00185"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1EAC8E03" w14:textId="77777777" w:rsidR="00501FA3" w:rsidRPr="00364545" w:rsidRDefault="00501FA3" w:rsidP="00AA2B36">
            <w:pPr>
              <w:jc w:val="left"/>
              <w:rPr>
                <w:b w:val="0"/>
              </w:rPr>
            </w:pPr>
            <w:r w:rsidRPr="00364545">
              <w:t>Single-family</w:t>
            </w:r>
          </w:p>
        </w:tc>
        <w:tc>
          <w:tcPr>
            <w:tcW w:w="1988" w:type="dxa"/>
          </w:tcPr>
          <w:p w14:paraId="5CD0B898"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3,668</w:t>
            </w:r>
          </w:p>
        </w:tc>
        <w:tc>
          <w:tcPr>
            <w:tcW w:w="1988" w:type="dxa"/>
          </w:tcPr>
          <w:p w14:paraId="4E467F34"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133</w:t>
            </w:r>
          </w:p>
        </w:tc>
        <w:tc>
          <w:tcPr>
            <w:tcW w:w="1988" w:type="dxa"/>
          </w:tcPr>
          <w:p w14:paraId="018ABB85"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213</w:t>
            </w:r>
          </w:p>
        </w:tc>
        <w:tc>
          <w:tcPr>
            <w:tcW w:w="1988" w:type="dxa"/>
          </w:tcPr>
          <w:p w14:paraId="424897B0"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4015</w:t>
            </w:r>
          </w:p>
        </w:tc>
      </w:tr>
      <w:tr w:rsidR="00501FA3" w:rsidRPr="00364545" w14:paraId="63148368"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137734AB" w14:textId="77777777" w:rsidR="00501FA3" w:rsidRPr="00364545" w:rsidRDefault="00501FA3" w:rsidP="00AA2B36">
            <w:pPr>
              <w:jc w:val="left"/>
              <w:rPr>
                <w:b w:val="0"/>
              </w:rPr>
            </w:pPr>
            <w:r w:rsidRPr="00364545">
              <w:t>Multi-family</w:t>
            </w:r>
          </w:p>
        </w:tc>
        <w:tc>
          <w:tcPr>
            <w:tcW w:w="1988" w:type="dxa"/>
          </w:tcPr>
          <w:p w14:paraId="5F2C4695"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5,683</w:t>
            </w:r>
          </w:p>
        </w:tc>
        <w:tc>
          <w:tcPr>
            <w:tcW w:w="1988" w:type="dxa"/>
          </w:tcPr>
          <w:p w14:paraId="409CA064"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467</w:t>
            </w:r>
          </w:p>
        </w:tc>
        <w:tc>
          <w:tcPr>
            <w:tcW w:w="1988" w:type="dxa"/>
          </w:tcPr>
          <w:p w14:paraId="53C1E322"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605</w:t>
            </w:r>
          </w:p>
        </w:tc>
        <w:tc>
          <w:tcPr>
            <w:tcW w:w="1988" w:type="dxa"/>
          </w:tcPr>
          <w:p w14:paraId="50338224"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6754</w:t>
            </w:r>
          </w:p>
        </w:tc>
      </w:tr>
      <w:tr w:rsidR="00501FA3" w:rsidRPr="00364545" w14:paraId="6081DCF8" w14:textId="77777777" w:rsidTr="00E53B5D">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25020EF0" w14:textId="77777777" w:rsidR="00501FA3" w:rsidRPr="00364545" w:rsidRDefault="00501FA3" w:rsidP="00AA2B36">
            <w:pPr>
              <w:jc w:val="left"/>
            </w:pPr>
            <w:r w:rsidRPr="00364545">
              <w:t>Urban unit of Paris</w:t>
            </w:r>
          </w:p>
        </w:tc>
        <w:tc>
          <w:tcPr>
            <w:tcW w:w="1988" w:type="dxa"/>
            <w:shd w:val="clear" w:color="auto" w:fill="EEB792"/>
          </w:tcPr>
          <w:p w14:paraId="5B03E514"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364545">
              <w:rPr>
                <w:b/>
              </w:rPr>
              <w:t>4,758</w:t>
            </w:r>
          </w:p>
        </w:tc>
        <w:tc>
          <w:tcPr>
            <w:tcW w:w="1988" w:type="dxa"/>
            <w:shd w:val="clear" w:color="auto" w:fill="EEB792"/>
          </w:tcPr>
          <w:p w14:paraId="3F780C94"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364545">
              <w:rPr>
                <w:b/>
              </w:rPr>
              <w:t>238</w:t>
            </w:r>
          </w:p>
        </w:tc>
        <w:tc>
          <w:tcPr>
            <w:tcW w:w="1988" w:type="dxa"/>
            <w:shd w:val="clear" w:color="auto" w:fill="EEB792"/>
          </w:tcPr>
          <w:p w14:paraId="7B875B36"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364545">
              <w:rPr>
                <w:b/>
              </w:rPr>
              <w:t>370</w:t>
            </w:r>
          </w:p>
        </w:tc>
        <w:tc>
          <w:tcPr>
            <w:tcW w:w="1988" w:type="dxa"/>
            <w:shd w:val="clear" w:color="auto" w:fill="EEB792"/>
          </w:tcPr>
          <w:p w14:paraId="12C31178"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364545">
              <w:rPr>
                <w:b/>
              </w:rPr>
              <w:t>5366</w:t>
            </w:r>
          </w:p>
        </w:tc>
      </w:tr>
      <w:tr w:rsidR="00501FA3" w:rsidRPr="00364545" w14:paraId="10EF7810"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7106EEA8" w14:textId="77777777" w:rsidR="00501FA3" w:rsidRPr="00364545" w:rsidRDefault="00501FA3" w:rsidP="00AA2B36">
            <w:pPr>
              <w:jc w:val="left"/>
              <w:rPr>
                <w:b w:val="0"/>
              </w:rPr>
            </w:pPr>
            <w:r w:rsidRPr="00364545">
              <w:t>Single-family</w:t>
            </w:r>
          </w:p>
        </w:tc>
        <w:tc>
          <w:tcPr>
            <w:tcW w:w="1988" w:type="dxa"/>
          </w:tcPr>
          <w:p w14:paraId="31FE97B2"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1,011</w:t>
            </w:r>
          </w:p>
        </w:tc>
        <w:tc>
          <w:tcPr>
            <w:tcW w:w="1988" w:type="dxa"/>
          </w:tcPr>
          <w:p w14:paraId="0F0E5A77"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12</w:t>
            </w:r>
          </w:p>
        </w:tc>
        <w:tc>
          <w:tcPr>
            <w:tcW w:w="1988" w:type="dxa"/>
          </w:tcPr>
          <w:p w14:paraId="34B12FB1"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48</w:t>
            </w:r>
          </w:p>
        </w:tc>
        <w:tc>
          <w:tcPr>
            <w:tcW w:w="1988" w:type="dxa"/>
          </w:tcPr>
          <w:p w14:paraId="0C7F7671"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1072</w:t>
            </w:r>
          </w:p>
        </w:tc>
      </w:tr>
      <w:tr w:rsidR="00501FA3" w:rsidRPr="00364545" w14:paraId="719E73F9"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4DDDBB54" w14:textId="77777777" w:rsidR="00501FA3" w:rsidRPr="00364545" w:rsidRDefault="00501FA3" w:rsidP="00AA2B36">
            <w:pPr>
              <w:jc w:val="left"/>
              <w:rPr>
                <w:b w:val="0"/>
              </w:rPr>
            </w:pPr>
            <w:r w:rsidRPr="00364545">
              <w:t>Multi-family</w:t>
            </w:r>
          </w:p>
        </w:tc>
        <w:tc>
          <w:tcPr>
            <w:tcW w:w="1988" w:type="dxa"/>
          </w:tcPr>
          <w:p w14:paraId="4E686439"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3,747</w:t>
            </w:r>
          </w:p>
        </w:tc>
        <w:tc>
          <w:tcPr>
            <w:tcW w:w="1988" w:type="dxa"/>
          </w:tcPr>
          <w:p w14:paraId="15D9CF54"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226</w:t>
            </w:r>
          </w:p>
        </w:tc>
        <w:tc>
          <w:tcPr>
            <w:tcW w:w="1988" w:type="dxa"/>
          </w:tcPr>
          <w:p w14:paraId="5FF37D37"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322</w:t>
            </w:r>
          </w:p>
        </w:tc>
        <w:tc>
          <w:tcPr>
            <w:tcW w:w="1988" w:type="dxa"/>
          </w:tcPr>
          <w:p w14:paraId="1B178D8F"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4295</w:t>
            </w:r>
          </w:p>
        </w:tc>
      </w:tr>
      <w:tr w:rsidR="00501FA3" w:rsidRPr="00364545" w14:paraId="1A350CB7"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66D40D2B" w14:textId="77777777" w:rsidR="00501FA3" w:rsidRPr="00364545" w:rsidRDefault="00501FA3" w:rsidP="00AA2B36">
            <w:pPr>
              <w:jc w:val="left"/>
            </w:pPr>
            <w:r w:rsidRPr="00364545">
              <w:t>All communes</w:t>
            </w:r>
          </w:p>
        </w:tc>
        <w:tc>
          <w:tcPr>
            <w:tcW w:w="1988" w:type="dxa"/>
            <w:shd w:val="clear" w:color="auto" w:fill="EEB792"/>
          </w:tcPr>
          <w:p w14:paraId="700A123F"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29,660</w:t>
            </w:r>
          </w:p>
        </w:tc>
        <w:tc>
          <w:tcPr>
            <w:tcW w:w="1988" w:type="dxa"/>
            <w:shd w:val="clear" w:color="auto" w:fill="EEB792"/>
          </w:tcPr>
          <w:p w14:paraId="4D6ADCBE"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3620</w:t>
            </w:r>
          </w:p>
        </w:tc>
        <w:tc>
          <w:tcPr>
            <w:tcW w:w="1988" w:type="dxa"/>
            <w:shd w:val="clear" w:color="auto" w:fill="EEB792"/>
          </w:tcPr>
          <w:p w14:paraId="17A3478F"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2968</w:t>
            </w:r>
          </w:p>
        </w:tc>
        <w:tc>
          <w:tcPr>
            <w:tcW w:w="1988" w:type="dxa"/>
            <w:shd w:val="clear" w:color="auto" w:fill="EEB792"/>
          </w:tcPr>
          <w:p w14:paraId="6DFCE6F4"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364545">
              <w:rPr>
                <w:b/>
              </w:rPr>
              <w:t>36247</w:t>
            </w:r>
          </w:p>
        </w:tc>
      </w:tr>
      <w:tr w:rsidR="00501FA3" w:rsidRPr="00364545" w14:paraId="2DE293E0"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00357584" w14:textId="77777777" w:rsidR="00501FA3" w:rsidRPr="00364545" w:rsidRDefault="00501FA3" w:rsidP="00AA2B36">
            <w:pPr>
              <w:jc w:val="left"/>
              <w:rPr>
                <w:b w:val="0"/>
              </w:rPr>
            </w:pPr>
            <w:r w:rsidRPr="00364545">
              <w:t>Single-family</w:t>
            </w:r>
          </w:p>
        </w:tc>
        <w:tc>
          <w:tcPr>
            <w:tcW w:w="1988" w:type="dxa"/>
          </w:tcPr>
          <w:p w14:paraId="1DEA02CD"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16,608</w:t>
            </w:r>
          </w:p>
        </w:tc>
        <w:tc>
          <w:tcPr>
            <w:tcW w:w="1988" w:type="dxa"/>
          </w:tcPr>
          <w:p w14:paraId="357A2EA4"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1939</w:t>
            </w:r>
          </w:p>
        </w:tc>
        <w:tc>
          <w:tcPr>
            <w:tcW w:w="1988" w:type="dxa"/>
          </w:tcPr>
          <w:p w14:paraId="2B5C2C56"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1425</w:t>
            </w:r>
          </w:p>
        </w:tc>
        <w:tc>
          <w:tcPr>
            <w:tcW w:w="1988" w:type="dxa"/>
          </w:tcPr>
          <w:p w14:paraId="0A1DA228" w14:textId="77777777" w:rsidR="00501FA3" w:rsidRPr="00364545"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364545">
              <w:t>19971</w:t>
            </w:r>
          </w:p>
        </w:tc>
      </w:tr>
      <w:tr w:rsidR="00501FA3" w:rsidRPr="00364545" w14:paraId="094124AA"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684FCCD1" w14:textId="77777777" w:rsidR="00501FA3" w:rsidRPr="00364545" w:rsidRDefault="00501FA3" w:rsidP="00AA2B36">
            <w:pPr>
              <w:jc w:val="left"/>
              <w:rPr>
                <w:b w:val="0"/>
              </w:rPr>
            </w:pPr>
            <w:r w:rsidRPr="00364545">
              <w:t>Multi-family</w:t>
            </w:r>
          </w:p>
        </w:tc>
        <w:tc>
          <w:tcPr>
            <w:tcW w:w="1988" w:type="dxa"/>
          </w:tcPr>
          <w:p w14:paraId="587162F6"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13,052</w:t>
            </w:r>
          </w:p>
        </w:tc>
        <w:tc>
          <w:tcPr>
            <w:tcW w:w="1988" w:type="dxa"/>
          </w:tcPr>
          <w:p w14:paraId="10EE6CEF"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1681</w:t>
            </w:r>
          </w:p>
        </w:tc>
        <w:tc>
          <w:tcPr>
            <w:tcW w:w="1988" w:type="dxa"/>
          </w:tcPr>
          <w:p w14:paraId="25D5C014"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1543</w:t>
            </w:r>
          </w:p>
        </w:tc>
        <w:tc>
          <w:tcPr>
            <w:tcW w:w="1988" w:type="dxa"/>
          </w:tcPr>
          <w:p w14:paraId="14367C09" w14:textId="77777777" w:rsidR="00501FA3" w:rsidRPr="00364545"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364545">
              <w:t>16276</w:t>
            </w:r>
          </w:p>
        </w:tc>
      </w:tr>
    </w:tbl>
    <w:p w14:paraId="5132CE27" w14:textId="00EADB72" w:rsidR="002538C6" w:rsidRPr="00364545" w:rsidRDefault="002538C6" w:rsidP="0045532B">
      <w:pPr>
        <w:pStyle w:val="Caption"/>
      </w:pPr>
      <w:bookmarkStart w:id="124" w:name="_Toc123916495"/>
      <w:r w:rsidRPr="00364545">
        <w:t xml:space="preserve">Table </w:t>
      </w:r>
      <w:r w:rsidR="003714FB">
        <w:fldChar w:fldCharType="begin"/>
      </w:r>
      <w:r w:rsidR="003714FB">
        <w:instrText xml:space="preserve"> SEQ Tableau \* ARABIC </w:instrText>
      </w:r>
      <w:r w:rsidR="003714FB">
        <w:fldChar w:fldCharType="separate"/>
      </w:r>
      <w:r w:rsidR="009A2FAA">
        <w:rPr>
          <w:noProof/>
        </w:rPr>
        <w:t>3</w:t>
      </w:r>
      <w:r w:rsidR="003714FB">
        <w:rPr>
          <w:noProof/>
        </w:rPr>
        <w:fldChar w:fldCharType="end"/>
      </w:r>
      <w:r w:rsidRPr="00364545">
        <w:t>: Breakdown of single-family and multi-family housing by size of urban unit on 1 January 2021</w:t>
      </w:r>
      <w:bookmarkEnd w:id="124"/>
    </w:p>
    <w:p w14:paraId="0521AFF5" w14:textId="147862B6" w:rsidR="00501FA3" w:rsidRPr="00364545" w:rsidRDefault="002538C6" w:rsidP="0045532B">
      <w:pPr>
        <w:pStyle w:val="Caption"/>
      </w:pPr>
      <w:r w:rsidRPr="00364545">
        <w:t>Source: INSEE, the Data and Statistical Studies Department</w:t>
      </w:r>
    </w:p>
    <w:p w14:paraId="7867FB74" w14:textId="0BC918A6" w:rsidR="00501FA3" w:rsidRPr="00364545" w:rsidRDefault="00501FA3" w:rsidP="003F57EA">
      <w:pPr>
        <w:pStyle w:val="Titre3Niveau3"/>
      </w:pPr>
      <w:bookmarkStart w:id="125" w:name="_Toc120567450"/>
      <w:bookmarkStart w:id="126" w:name="_Toc138341799"/>
      <w:r w:rsidRPr="00364545">
        <w:t>Energy</w:t>
      </w:r>
      <w:bookmarkEnd w:id="125"/>
      <w:bookmarkEnd w:id="126"/>
    </w:p>
    <w:p w14:paraId="48268CD9" w14:textId="77777777" w:rsidR="00501FA3" w:rsidRPr="00364545" w:rsidRDefault="00501FA3" w:rsidP="00501FA3">
      <w:r w:rsidRPr="00364545">
        <w:t>After a steady period of increase from 1990 to 2008, a decline in 2009 and an upturn from 2010, followed by a period of levelling off from 2010 to 2012, national primary energy production increased slightly again between 2013 and 2015 to set a new record, at nearly 140 Mtoe. A new downward trend began in 2015, and production in 2021 reached 131 Mtoe, down 6.4% compared to 2015.</w:t>
      </w:r>
    </w:p>
    <w:p w14:paraId="09F6367B" w14:textId="77777777" w:rsidR="00501FA3" w:rsidRPr="00364545" w:rsidRDefault="00501FA3" w:rsidP="00501FA3">
      <w:r w:rsidRPr="00364545">
        <w:t>Nuclear production reached its peak in 2005 with a primary energy production of 117 Mtoe. Since then, the level of production has decreased overall.</w:t>
      </w:r>
    </w:p>
    <w:p w14:paraId="4594B166" w14:textId="77777777" w:rsidR="00501FA3" w:rsidRPr="00364545" w:rsidRDefault="00501FA3" w:rsidP="00501FA3"/>
    <w:p w14:paraId="7466700A" w14:textId="77777777" w:rsidR="00501FA3" w:rsidRPr="00364545" w:rsidRDefault="00501FA3" w:rsidP="00501FA3">
      <w:r w:rsidRPr="00364545">
        <w:t xml:space="preserve">The graph below illustrates these long-term trends. Renewable energy has steadily increased in importance (16.6% of primary production in 2021; 2nd largest source of primary energy), while the percentage of nuclear power has remained dominant (75.4% in 2021). </w:t>
      </w:r>
    </w:p>
    <w:p w14:paraId="18E5359B" w14:textId="77777777" w:rsidR="00501FA3" w:rsidRPr="00364545" w:rsidRDefault="00501FA3" w:rsidP="00501FA3"/>
    <w:p w14:paraId="2C464C75" w14:textId="77777777" w:rsidR="00501FA3" w:rsidRPr="00364545" w:rsidRDefault="00501FA3" w:rsidP="00501FA3">
      <w:r w:rsidRPr="00364545">
        <w:rPr>
          <w:noProof/>
          <w:lang w:val="fr-FR"/>
        </w:rPr>
        <w:drawing>
          <wp:inline distT="0" distB="0" distL="0" distR="0" wp14:anchorId="581ABFC2" wp14:editId="153B5A2F">
            <wp:extent cx="6581775" cy="4247515"/>
            <wp:effectExtent l="0" t="0" r="9525" b="635"/>
            <wp:docPr id="44" name="Graphique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FEFF37B" w14:textId="77777777" w:rsidR="00501FA3" w:rsidRPr="00364545" w:rsidRDefault="00501FA3" w:rsidP="00501FA3"/>
    <w:p w14:paraId="7DE1CCC1" w14:textId="46477B99" w:rsidR="00B1027F" w:rsidRPr="00364545" w:rsidRDefault="00B1027F" w:rsidP="0045532B">
      <w:pPr>
        <w:pStyle w:val="Caption"/>
      </w:pPr>
      <w:bookmarkStart w:id="127" w:name="_Toc123916428"/>
      <w:r w:rsidRPr="00364545">
        <w:t xml:space="preserve">Figure </w:t>
      </w:r>
      <w:r w:rsidR="003714FB">
        <w:fldChar w:fldCharType="begin"/>
      </w:r>
      <w:r w:rsidR="003714FB">
        <w:instrText xml:space="preserve"> SEQ Figure \* ARABIC </w:instrText>
      </w:r>
      <w:r w:rsidR="003714FB">
        <w:fldChar w:fldCharType="separate"/>
      </w:r>
      <w:r w:rsidR="009A2FAA">
        <w:rPr>
          <w:noProof/>
        </w:rPr>
        <w:t>17</w:t>
      </w:r>
      <w:r w:rsidR="003714FB">
        <w:rPr>
          <w:noProof/>
        </w:rPr>
        <w:fldChar w:fldCharType="end"/>
      </w:r>
      <w:r w:rsidRPr="00364545">
        <w:t>: Primary energy production from 1970 to 2021</w:t>
      </w:r>
      <w:bookmarkEnd w:id="127"/>
    </w:p>
    <w:p w14:paraId="58E085EB" w14:textId="5B993DFC" w:rsidR="00501FA3" w:rsidRPr="00364545" w:rsidRDefault="00B1027F" w:rsidP="0045532B">
      <w:pPr>
        <w:pStyle w:val="Caption"/>
      </w:pPr>
      <w:r w:rsidRPr="00364545">
        <w:t>Source: The Data and Statistical Studies Department, Energy balance for 2022</w:t>
      </w:r>
    </w:p>
    <w:p w14:paraId="6337270A" w14:textId="1426F87F" w:rsidR="00501FA3" w:rsidRPr="00364545" w:rsidRDefault="00501FA3" w:rsidP="00501FA3"/>
    <w:p w14:paraId="55E18871" w14:textId="77777777" w:rsidR="00501FA3" w:rsidRPr="00364545" w:rsidRDefault="00501FA3" w:rsidP="00501FA3">
      <w:r w:rsidRPr="00364545">
        <w:t>Climate-corrected primary energy consumption (HVAC) increased up to 2005 and then showed some stability up to 2011. Since then, it has fallen slightly, despite a recovery in 2011. In 2021, primary consumption for HVAC amounted to 237 Mtoe.</w:t>
      </w:r>
    </w:p>
    <w:p w14:paraId="483C40C6" w14:textId="77777777" w:rsidR="00501FA3" w:rsidRPr="00364545" w:rsidRDefault="00501FA3" w:rsidP="00501FA3">
      <w:r w:rsidRPr="00364545">
        <w:t>Climate-corrected final energy consumption increased up to 2001, then remained broadly stable until 2011 and has declined slightly but continuously since then. It reached 139.1 Mtoe in 2021.</w:t>
      </w:r>
    </w:p>
    <w:p w14:paraId="4A8DD115" w14:textId="77777777" w:rsidR="00501FA3" w:rsidRPr="00364545" w:rsidRDefault="00501FA3" w:rsidP="00501FA3"/>
    <w:p w14:paraId="3D9AF4B6" w14:textId="77777777" w:rsidR="00501FA3" w:rsidRPr="00364545" w:rsidRDefault="00501FA3" w:rsidP="00501FA3"/>
    <w:p w14:paraId="7CAABB09" w14:textId="77777777" w:rsidR="00501FA3" w:rsidRPr="00364545" w:rsidRDefault="00501FA3" w:rsidP="00501FA3"/>
    <w:p w14:paraId="3CD64F11" w14:textId="77777777" w:rsidR="00501FA3" w:rsidRPr="00364545" w:rsidRDefault="00501FA3" w:rsidP="00501FA3">
      <w:r w:rsidRPr="00364545">
        <w:rPr>
          <w:noProof/>
          <w:lang w:val="fr-FR"/>
        </w:rPr>
        <w:drawing>
          <wp:inline distT="0" distB="0" distL="0" distR="0" wp14:anchorId="20FF7559" wp14:editId="03459A9F">
            <wp:extent cx="6515100" cy="3542665"/>
            <wp:effectExtent l="0" t="0" r="0" b="635"/>
            <wp:docPr id="45" name="Graphique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4A41054" w14:textId="77777777" w:rsidR="00501FA3" w:rsidRPr="00364545" w:rsidRDefault="00501FA3" w:rsidP="00501FA3"/>
    <w:p w14:paraId="1192FCE8" w14:textId="6E093641" w:rsidR="006D7A26" w:rsidRPr="00364545" w:rsidRDefault="006D7A26" w:rsidP="0045532B">
      <w:pPr>
        <w:pStyle w:val="Caption"/>
      </w:pPr>
      <w:bookmarkStart w:id="128" w:name="_Toc123916429"/>
      <w:r w:rsidRPr="00364545">
        <w:t xml:space="preserve">Figure </w:t>
      </w:r>
      <w:r w:rsidR="003714FB">
        <w:fldChar w:fldCharType="begin"/>
      </w:r>
      <w:r w:rsidR="003714FB">
        <w:instrText xml:space="preserve"> SEQ Figure \* ARABIC </w:instrText>
      </w:r>
      <w:r w:rsidR="003714FB">
        <w:fldChar w:fldCharType="separate"/>
      </w:r>
      <w:r w:rsidR="009A2FAA">
        <w:rPr>
          <w:noProof/>
        </w:rPr>
        <w:t>18</w:t>
      </w:r>
      <w:r w:rsidR="003714FB">
        <w:rPr>
          <w:noProof/>
        </w:rPr>
        <w:fldChar w:fldCharType="end"/>
      </w:r>
      <w:r w:rsidRPr="00364545">
        <w:t>: Changes in primary energy consumption by type of energy</w:t>
      </w:r>
      <w:bookmarkEnd w:id="128"/>
    </w:p>
    <w:p w14:paraId="673829B2" w14:textId="1689E253" w:rsidR="00501FA3" w:rsidRPr="00364545" w:rsidRDefault="006D7A26" w:rsidP="0045532B">
      <w:pPr>
        <w:pStyle w:val="Caption"/>
      </w:pPr>
      <w:r w:rsidRPr="00364545">
        <w:t>Source: The Data and Statistical Studies Department, Energy balance for 2022</w:t>
      </w:r>
    </w:p>
    <w:p w14:paraId="70A48128" w14:textId="77777777" w:rsidR="00501FA3" w:rsidRPr="00364545" w:rsidRDefault="00501FA3" w:rsidP="00501FA3"/>
    <w:p w14:paraId="71FBC028" w14:textId="6DFB222D" w:rsidR="00501FA3" w:rsidRPr="00364545" w:rsidRDefault="00501FA3" w:rsidP="00501FA3">
      <w:r w:rsidRPr="00364545">
        <w:t>The primary energy mix in 2021 comprised 40% non-renewable nuclear primary electricity and 13% renewable energy. Oil still occupies almost a third (27.7%) and gas 15.5%, while the proportion of coal continued to decline (3.0%), as shown in the figure below.</w:t>
      </w:r>
    </w:p>
    <w:p w14:paraId="6207BCA2" w14:textId="77777777" w:rsidR="00501FA3" w:rsidRPr="00364545" w:rsidRDefault="00501FA3" w:rsidP="00501FA3"/>
    <w:p w14:paraId="5DDC87AA" w14:textId="77777777" w:rsidR="00501FA3" w:rsidRPr="00364545" w:rsidRDefault="00501FA3" w:rsidP="00501FA3"/>
    <w:p w14:paraId="704D656A" w14:textId="77777777" w:rsidR="00501FA3" w:rsidRPr="00364545" w:rsidRDefault="00501FA3" w:rsidP="00501FA3">
      <w:r w:rsidRPr="00364545">
        <w:rPr>
          <w:noProof/>
          <w:lang w:val="fr-FR"/>
        </w:rPr>
        <w:drawing>
          <wp:inline distT="0" distB="0" distL="0" distR="0" wp14:anchorId="20497D96" wp14:editId="3E63A355">
            <wp:extent cx="6318250" cy="2705100"/>
            <wp:effectExtent l="0" t="0" r="6350" b="0"/>
            <wp:docPr id="46" name="Graphique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D9A3C87" w14:textId="0CDAC8F6" w:rsidR="006D7A26" w:rsidRPr="00364545" w:rsidRDefault="006D7A26" w:rsidP="0045532B">
      <w:pPr>
        <w:pStyle w:val="Caption"/>
      </w:pPr>
      <w:bookmarkStart w:id="129" w:name="_Toc123916430"/>
      <w:r w:rsidRPr="00364545">
        <w:t xml:space="preserve">Figure </w:t>
      </w:r>
      <w:r w:rsidR="003714FB">
        <w:fldChar w:fldCharType="begin"/>
      </w:r>
      <w:r w:rsidR="003714FB">
        <w:instrText xml:space="preserve"> SEQ Figure \* ARABIC </w:instrText>
      </w:r>
      <w:r w:rsidR="003714FB">
        <w:fldChar w:fldCharType="separate"/>
      </w:r>
      <w:r w:rsidR="009A2FAA">
        <w:rPr>
          <w:noProof/>
        </w:rPr>
        <w:t>19</w:t>
      </w:r>
      <w:r w:rsidR="003714FB">
        <w:rPr>
          <w:noProof/>
        </w:rPr>
        <w:fldChar w:fldCharType="end"/>
      </w:r>
      <w:r w:rsidRPr="00364545">
        <w:t>: Figure: Primary energy mix in 2021. * EnR: renewable energy; ** Nuclear generation (excluding export balance) and hydro generation from pumped storage; *** Hydro generation excluding pumped storage</w:t>
      </w:r>
      <w:bookmarkEnd w:id="129"/>
    </w:p>
    <w:p w14:paraId="414A2962" w14:textId="3FB72234" w:rsidR="006D7A26" w:rsidRPr="00364545" w:rsidRDefault="006D7A26" w:rsidP="0045532B">
      <w:pPr>
        <w:pStyle w:val="Caption"/>
      </w:pPr>
      <w:r w:rsidRPr="00364545">
        <w:t>Source: The Data and Statistical Studies Department, Energy balance for 2022</w:t>
      </w:r>
    </w:p>
    <w:p w14:paraId="65996C20" w14:textId="2FC922E0" w:rsidR="00501FA3" w:rsidRPr="00364545" w:rsidRDefault="00501FA3" w:rsidP="00501FA3"/>
    <w:p w14:paraId="49D5FEE9" w14:textId="77777777" w:rsidR="00501FA3" w:rsidRPr="00364545" w:rsidRDefault="00501FA3" w:rsidP="00501FA3"/>
    <w:p w14:paraId="31A11114" w14:textId="5854E59A" w:rsidR="00501FA3" w:rsidRPr="00364545" w:rsidRDefault="00501FA3" w:rsidP="00501FA3">
      <w:r w:rsidRPr="00364545">
        <w:t>Renewable energy, which includes biomass, the renewable portion of incinerated waste, renewable primary heat, hydraulic (excluding pumping), tidal, wind and photovoltaic energy. The primary production of renewable energy reached 31 Mtoe in 2021.</w:t>
      </w:r>
    </w:p>
    <w:p w14:paraId="0B18FD57" w14:textId="77777777" w:rsidR="00501FA3" w:rsidRPr="00364545" w:rsidRDefault="00501FA3" w:rsidP="00501FA3"/>
    <w:p w14:paraId="58BBBA9C" w14:textId="77777777" w:rsidR="00501FA3" w:rsidRPr="00364545" w:rsidRDefault="00501FA3" w:rsidP="00501FA3">
      <w:r w:rsidRPr="00364545">
        <w:t>The graph below illustrates the growth in renewable energy since the beginning of the greenhouse gas report: we can see that these energies took off in 2007.</w:t>
      </w:r>
    </w:p>
    <w:p w14:paraId="34F2E1DE" w14:textId="77777777" w:rsidR="00501FA3" w:rsidRPr="00364545" w:rsidRDefault="00501FA3" w:rsidP="00501FA3"/>
    <w:p w14:paraId="64CFCA67" w14:textId="77777777" w:rsidR="00501FA3" w:rsidRPr="00364545" w:rsidRDefault="00501FA3" w:rsidP="00E53B5D">
      <w:pPr>
        <w:jc w:val="center"/>
      </w:pPr>
      <w:r w:rsidRPr="00364545">
        <w:rPr>
          <w:noProof/>
          <w:lang w:val="fr-FR"/>
        </w:rPr>
        <w:drawing>
          <wp:inline distT="0" distB="0" distL="0" distR="0" wp14:anchorId="0F7DDB6F" wp14:editId="6A57E5D9">
            <wp:extent cx="6318250" cy="3886835"/>
            <wp:effectExtent l="0" t="0" r="6350" b="18415"/>
            <wp:docPr id="47" name="Graphique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E13FCCB" w14:textId="0BB66DC2" w:rsidR="00C07E57" w:rsidRPr="00364545" w:rsidRDefault="00C07E57" w:rsidP="0045532B">
      <w:pPr>
        <w:pStyle w:val="Caption"/>
      </w:pPr>
      <w:bookmarkStart w:id="130" w:name="_Toc123916431"/>
      <w:r w:rsidRPr="00364545">
        <w:t xml:space="preserve">Figure </w:t>
      </w:r>
      <w:r w:rsidR="003714FB">
        <w:fldChar w:fldCharType="begin"/>
      </w:r>
      <w:r w:rsidR="003714FB">
        <w:instrText xml:space="preserve"> SEQ Figure \* ARABIC </w:instrText>
      </w:r>
      <w:r w:rsidR="003714FB">
        <w:fldChar w:fldCharType="separate"/>
      </w:r>
      <w:r w:rsidR="009A2FAA">
        <w:rPr>
          <w:noProof/>
        </w:rPr>
        <w:t>20</w:t>
      </w:r>
      <w:r w:rsidR="003714FB">
        <w:rPr>
          <w:noProof/>
        </w:rPr>
        <w:fldChar w:fldCharType="end"/>
      </w:r>
      <w:r w:rsidRPr="00364545">
        <w:t>: Evolution of the growth of primary renewable energy by sector in metropolitan France + DOM (from 2011) in Mtoe since 1990</w:t>
      </w:r>
      <w:bookmarkEnd w:id="130"/>
    </w:p>
    <w:p w14:paraId="05C5BED1" w14:textId="78F28673" w:rsidR="00501FA3" w:rsidRPr="00364545" w:rsidRDefault="00C07E57" w:rsidP="0045532B">
      <w:pPr>
        <w:pStyle w:val="Caption"/>
      </w:pPr>
      <w:r w:rsidRPr="00364545">
        <w:t>Source: The Data and Statistical Studies Department, Energy balance for 2022</w:t>
      </w:r>
    </w:p>
    <w:p w14:paraId="0E35FA9F" w14:textId="77777777" w:rsidR="00501FA3" w:rsidRPr="00364545" w:rsidRDefault="00501FA3" w:rsidP="00501FA3"/>
    <w:p w14:paraId="47DC5D0F" w14:textId="49CA56BB" w:rsidR="00501FA3" w:rsidRPr="00364545" w:rsidRDefault="00501FA3" w:rsidP="00501FA3">
      <w:r w:rsidRPr="00364545">
        <w:t>In 2021, about 53% of the primary production of renewable energy came from biomass: 37.8% for wood energy, 6.4% for biofuels, 4.6% for biogas and 4.2% for renewable urban waste.</w:t>
      </w:r>
    </w:p>
    <w:p w14:paraId="6BEAE43C" w14:textId="77777777" w:rsidR="00501FA3" w:rsidRPr="00364545" w:rsidRDefault="00501FA3" w:rsidP="00501FA3"/>
    <w:p w14:paraId="2D42BF32" w14:textId="726E32AD" w:rsidR="00501FA3" w:rsidRPr="00364545" w:rsidRDefault="00501FA3" w:rsidP="00501FA3">
      <w:r w:rsidRPr="00364545">
        <w:t>Primary renewable electricity, which includes renewable hydro, marine, wind and photovoltaic energy, accounted for one third of primary renewable energy production in 2021. Primary heat from aerothermal, geothermal or solar sources represents 14.7% of the primary production of renewable energy.</w:t>
      </w:r>
    </w:p>
    <w:p w14:paraId="74AD9C21" w14:textId="77777777" w:rsidR="00501FA3" w:rsidRPr="00364545" w:rsidRDefault="00501FA3" w:rsidP="00501FA3"/>
    <w:p w14:paraId="434B9C51" w14:textId="77777777" w:rsidR="00501FA3" w:rsidRPr="00364545" w:rsidRDefault="00501FA3" w:rsidP="00501FA3"/>
    <w:p w14:paraId="46B8B2DB" w14:textId="77777777" w:rsidR="00501FA3" w:rsidRPr="00364545" w:rsidRDefault="00501FA3" w:rsidP="00501FA3"/>
    <w:p w14:paraId="36B256D2" w14:textId="77777777" w:rsidR="00501FA3" w:rsidRPr="00364545" w:rsidRDefault="00501FA3" w:rsidP="00501FA3"/>
    <w:p w14:paraId="72B99944" w14:textId="77777777" w:rsidR="00501FA3" w:rsidRPr="00364545" w:rsidRDefault="00501FA3" w:rsidP="00E53B5D">
      <w:pPr>
        <w:jc w:val="center"/>
      </w:pPr>
      <w:r w:rsidRPr="00364545">
        <w:rPr>
          <w:noProof/>
          <w:lang w:val="fr-FR"/>
        </w:rPr>
        <w:drawing>
          <wp:inline distT="0" distB="0" distL="0" distR="0" wp14:anchorId="49199C55" wp14:editId="768F554C">
            <wp:extent cx="5752800" cy="3016800"/>
            <wp:effectExtent l="0" t="0" r="635" b="12700"/>
            <wp:docPr id="48" name="Graphique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9E6DDD3" w14:textId="19552CAC" w:rsidR="00C07E57" w:rsidRPr="00364545" w:rsidRDefault="00C07E57" w:rsidP="0045532B">
      <w:pPr>
        <w:pStyle w:val="Caption"/>
      </w:pPr>
      <w:bookmarkStart w:id="131" w:name="_Toc123916432"/>
      <w:r w:rsidRPr="00364545">
        <w:t xml:space="preserve">Figure </w:t>
      </w:r>
      <w:r w:rsidR="003714FB">
        <w:fldChar w:fldCharType="begin"/>
      </w:r>
      <w:r w:rsidR="003714FB">
        <w:instrText xml:space="preserve"> SEQ Figure \* ARABIC </w:instrText>
      </w:r>
      <w:r w:rsidR="003714FB">
        <w:fldChar w:fldCharType="separate"/>
      </w:r>
      <w:r w:rsidR="009A2FAA">
        <w:rPr>
          <w:noProof/>
        </w:rPr>
        <w:t>21</w:t>
      </w:r>
      <w:r w:rsidR="003714FB">
        <w:rPr>
          <w:noProof/>
        </w:rPr>
        <w:fldChar w:fldCharType="end"/>
      </w:r>
      <w:r w:rsidRPr="00364545">
        <w:t>: Share of each sector in the primary production of renewable energy in 2021 - * Hydropower excluding pumping</w:t>
      </w:r>
      <w:bookmarkEnd w:id="131"/>
    </w:p>
    <w:p w14:paraId="75F80CFB" w14:textId="4A116621" w:rsidR="00501FA3" w:rsidRPr="00364545" w:rsidRDefault="00C07E57" w:rsidP="0045532B">
      <w:pPr>
        <w:pStyle w:val="Caption"/>
      </w:pPr>
      <w:r w:rsidRPr="00364545">
        <w:t>Source: The Data and Statistical Studies Department, Energy balance for 2022</w:t>
      </w:r>
    </w:p>
    <w:p w14:paraId="1887CF31" w14:textId="77777777" w:rsidR="00C07E57" w:rsidRPr="00364545" w:rsidRDefault="00C07E57" w:rsidP="00C07E57"/>
    <w:p w14:paraId="4816E3A8" w14:textId="3DBC82E8" w:rsidR="00501FA3" w:rsidRPr="00364545" w:rsidRDefault="00501FA3" w:rsidP="00501FA3">
      <w:r w:rsidRPr="00364545">
        <w:t>As illustrated in the table below, the increase in renewable energy in final consumption has been particularly strong since 2005: +38.7% between 2005 and 2010 and +85.6% between 2005 and 2021. This progression has been particularly strong in photovoltaic solar energy (1400-fold increase), wind energy (38-fold increase), biofuels (3-fold increase), heat pumps (17-fold increase), biomass and waste (22% increase).</w:t>
      </w:r>
    </w:p>
    <w:p w14:paraId="31288238" w14:textId="77777777" w:rsidR="00501FA3" w:rsidRPr="00364545" w:rsidRDefault="00501FA3" w:rsidP="00501FA3"/>
    <w:tbl>
      <w:tblPr>
        <w:tblStyle w:val="GridTable4-Accent4"/>
        <w:tblW w:w="0" w:type="auto"/>
        <w:tblLook w:val="04A0" w:firstRow="1" w:lastRow="0" w:firstColumn="1" w:lastColumn="0" w:noHBand="0" w:noVBand="1"/>
      </w:tblPr>
      <w:tblGrid>
        <w:gridCol w:w="2727"/>
        <w:gridCol w:w="2362"/>
        <w:gridCol w:w="2362"/>
        <w:gridCol w:w="2489"/>
      </w:tblGrid>
      <w:tr w:rsidR="00501FA3" w:rsidRPr="00364545" w14:paraId="1E4BD2EC" w14:textId="77777777" w:rsidTr="00E53B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7A185E2E" w14:textId="77777777" w:rsidR="00501FA3" w:rsidRPr="00364545" w:rsidRDefault="00501FA3" w:rsidP="00E53B5D">
            <w:r w:rsidRPr="00364545">
              <w:t>By sector</w:t>
            </w:r>
          </w:p>
        </w:tc>
        <w:tc>
          <w:tcPr>
            <w:tcW w:w="2362" w:type="dxa"/>
          </w:tcPr>
          <w:p w14:paraId="13E201A0" w14:textId="77777777" w:rsidR="00501FA3" w:rsidRPr="00364545" w:rsidRDefault="00501FA3" w:rsidP="00E53B5D">
            <w:pPr>
              <w:cnfStyle w:val="100000000000" w:firstRow="1" w:lastRow="0" w:firstColumn="0" w:lastColumn="0" w:oddVBand="0" w:evenVBand="0" w:oddHBand="0" w:evenHBand="0" w:firstRowFirstColumn="0" w:firstRowLastColumn="0" w:lastRowFirstColumn="0" w:lastRowLastColumn="0"/>
            </w:pPr>
          </w:p>
        </w:tc>
        <w:tc>
          <w:tcPr>
            <w:tcW w:w="2362" w:type="dxa"/>
          </w:tcPr>
          <w:p w14:paraId="606514CA" w14:textId="77777777" w:rsidR="00501FA3" w:rsidRPr="00364545" w:rsidRDefault="00501FA3" w:rsidP="00E53B5D">
            <w:pPr>
              <w:jc w:val="right"/>
              <w:cnfStyle w:val="100000000000" w:firstRow="1" w:lastRow="0" w:firstColumn="0" w:lastColumn="0" w:oddVBand="0" w:evenVBand="0" w:oddHBand="0" w:evenHBand="0" w:firstRowFirstColumn="0" w:firstRowLastColumn="0" w:lastRowFirstColumn="0" w:lastRowLastColumn="0"/>
            </w:pPr>
          </w:p>
        </w:tc>
        <w:tc>
          <w:tcPr>
            <w:tcW w:w="2489" w:type="dxa"/>
          </w:tcPr>
          <w:p w14:paraId="20DB7608" w14:textId="77777777" w:rsidR="00501FA3" w:rsidRPr="00364545" w:rsidRDefault="00501FA3" w:rsidP="00E53B5D">
            <w:pPr>
              <w:jc w:val="right"/>
              <w:cnfStyle w:val="100000000000" w:firstRow="1" w:lastRow="0" w:firstColumn="0" w:lastColumn="0" w:oddVBand="0" w:evenVBand="0" w:oddHBand="0" w:evenHBand="0" w:firstRowFirstColumn="0" w:firstRowLastColumn="0" w:lastRowFirstColumn="0" w:lastRowLastColumn="0"/>
            </w:pPr>
            <w:r w:rsidRPr="00364545">
              <w:t>In Mtoe</w:t>
            </w:r>
          </w:p>
        </w:tc>
      </w:tr>
      <w:tr w:rsidR="00501FA3" w:rsidRPr="00364545" w14:paraId="47D36F95"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5DE75C2F" w14:textId="77777777" w:rsidR="00501FA3" w:rsidRPr="00364545" w:rsidRDefault="00501FA3" w:rsidP="00E53B5D"/>
        </w:tc>
        <w:tc>
          <w:tcPr>
            <w:tcW w:w="2362" w:type="dxa"/>
          </w:tcPr>
          <w:p w14:paraId="0FC8569C"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2005</w:t>
            </w:r>
          </w:p>
        </w:tc>
        <w:tc>
          <w:tcPr>
            <w:tcW w:w="2362" w:type="dxa"/>
          </w:tcPr>
          <w:p w14:paraId="13AF68DB"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2010</w:t>
            </w:r>
          </w:p>
        </w:tc>
        <w:tc>
          <w:tcPr>
            <w:tcW w:w="2489" w:type="dxa"/>
          </w:tcPr>
          <w:p w14:paraId="4B56464A"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2021</w:t>
            </w:r>
          </w:p>
        </w:tc>
      </w:tr>
      <w:tr w:rsidR="00501FA3" w:rsidRPr="00364545" w14:paraId="123C3019"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156C73C9" w14:textId="77777777" w:rsidR="00501FA3" w:rsidRPr="00364545" w:rsidRDefault="00501FA3" w:rsidP="00E53B5D">
            <w:pPr>
              <w:rPr>
                <w:b w:val="0"/>
              </w:rPr>
            </w:pPr>
            <w:r w:rsidRPr="00364545">
              <w:rPr>
                <w:b w:val="0"/>
              </w:rPr>
              <w:t>Renewable hydroelectricity</w:t>
            </w:r>
          </w:p>
        </w:tc>
        <w:tc>
          <w:tcPr>
            <w:tcW w:w="2362" w:type="dxa"/>
          </w:tcPr>
          <w:p w14:paraId="7CA29286"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4.4</w:t>
            </w:r>
          </w:p>
        </w:tc>
        <w:tc>
          <w:tcPr>
            <w:tcW w:w="2362" w:type="dxa"/>
          </w:tcPr>
          <w:p w14:paraId="03DC1AD7"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5.4</w:t>
            </w:r>
          </w:p>
        </w:tc>
        <w:tc>
          <w:tcPr>
            <w:tcW w:w="2489" w:type="dxa"/>
          </w:tcPr>
          <w:p w14:paraId="2DFE5CD5"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5.1</w:t>
            </w:r>
          </w:p>
        </w:tc>
      </w:tr>
      <w:tr w:rsidR="00501FA3" w:rsidRPr="00364545" w14:paraId="614F9A1F"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2A0DE4F5" w14:textId="77777777" w:rsidR="00501FA3" w:rsidRPr="00364545" w:rsidRDefault="00501FA3" w:rsidP="00E53B5D">
            <w:pPr>
              <w:rPr>
                <w:b w:val="0"/>
              </w:rPr>
            </w:pPr>
            <w:r w:rsidRPr="00364545">
              <w:rPr>
                <w:b w:val="0"/>
              </w:rPr>
              <w:t>Wind power</w:t>
            </w:r>
          </w:p>
        </w:tc>
        <w:tc>
          <w:tcPr>
            <w:tcW w:w="2362" w:type="dxa"/>
          </w:tcPr>
          <w:p w14:paraId="7215557B"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0.1</w:t>
            </w:r>
          </w:p>
        </w:tc>
        <w:tc>
          <w:tcPr>
            <w:tcW w:w="2362" w:type="dxa"/>
          </w:tcPr>
          <w:p w14:paraId="377D3EA7"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0.9</w:t>
            </w:r>
          </w:p>
        </w:tc>
        <w:tc>
          <w:tcPr>
            <w:tcW w:w="2489" w:type="dxa"/>
          </w:tcPr>
          <w:p w14:paraId="5AD966F5"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3.2</w:t>
            </w:r>
          </w:p>
        </w:tc>
      </w:tr>
      <w:tr w:rsidR="00501FA3" w:rsidRPr="00364545" w14:paraId="6A5E2BDE"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45D87E4A" w14:textId="77777777" w:rsidR="00501FA3" w:rsidRPr="00364545" w:rsidRDefault="00501FA3" w:rsidP="00E53B5D">
            <w:pPr>
              <w:rPr>
                <w:b w:val="0"/>
              </w:rPr>
            </w:pPr>
            <w:r w:rsidRPr="00364545">
              <w:rPr>
                <w:b w:val="0"/>
              </w:rPr>
              <w:t>Biomass</w:t>
            </w:r>
          </w:p>
        </w:tc>
        <w:tc>
          <w:tcPr>
            <w:tcW w:w="2362" w:type="dxa"/>
          </w:tcPr>
          <w:p w14:paraId="1D71AD5C"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9.1</w:t>
            </w:r>
          </w:p>
        </w:tc>
        <w:tc>
          <w:tcPr>
            <w:tcW w:w="2362" w:type="dxa"/>
          </w:tcPr>
          <w:p w14:paraId="2D14590C"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10.3</w:t>
            </w:r>
          </w:p>
        </w:tc>
        <w:tc>
          <w:tcPr>
            <w:tcW w:w="2489" w:type="dxa"/>
          </w:tcPr>
          <w:p w14:paraId="00A8E4CD"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11.2</w:t>
            </w:r>
          </w:p>
        </w:tc>
      </w:tr>
      <w:tr w:rsidR="00501FA3" w:rsidRPr="00364545" w14:paraId="654E60EF"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39C5C19C" w14:textId="77777777" w:rsidR="00501FA3" w:rsidRPr="00364545" w:rsidRDefault="00501FA3" w:rsidP="00E53B5D">
            <w:pPr>
              <w:rPr>
                <w:b w:val="0"/>
              </w:rPr>
            </w:pPr>
            <w:r w:rsidRPr="00364545">
              <w:rPr>
                <w:b w:val="0"/>
              </w:rPr>
              <w:t>Renewable waste</w:t>
            </w:r>
          </w:p>
        </w:tc>
        <w:tc>
          <w:tcPr>
            <w:tcW w:w="2362" w:type="dxa"/>
          </w:tcPr>
          <w:p w14:paraId="72A15A6E"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1.1</w:t>
            </w:r>
          </w:p>
        </w:tc>
        <w:tc>
          <w:tcPr>
            <w:tcW w:w="2362" w:type="dxa"/>
          </w:tcPr>
          <w:p w14:paraId="33172938"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1.2</w:t>
            </w:r>
          </w:p>
        </w:tc>
        <w:tc>
          <w:tcPr>
            <w:tcW w:w="2489" w:type="dxa"/>
          </w:tcPr>
          <w:p w14:paraId="1A951B8B"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1.3</w:t>
            </w:r>
          </w:p>
        </w:tc>
      </w:tr>
      <w:tr w:rsidR="00501FA3" w:rsidRPr="00364545" w14:paraId="22201815"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0AE9AEEF" w14:textId="77777777" w:rsidR="00501FA3" w:rsidRPr="00364545" w:rsidRDefault="00501FA3" w:rsidP="00E53B5D">
            <w:pPr>
              <w:rPr>
                <w:b w:val="0"/>
              </w:rPr>
            </w:pPr>
            <w:r w:rsidRPr="00364545">
              <w:rPr>
                <w:b w:val="0"/>
              </w:rPr>
              <w:t>Biofuels</w:t>
            </w:r>
          </w:p>
        </w:tc>
        <w:tc>
          <w:tcPr>
            <w:tcW w:w="2362" w:type="dxa"/>
          </w:tcPr>
          <w:p w14:paraId="41E8AED6"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0.6</w:t>
            </w:r>
          </w:p>
        </w:tc>
        <w:tc>
          <w:tcPr>
            <w:tcW w:w="2362" w:type="dxa"/>
          </w:tcPr>
          <w:p w14:paraId="1688216F"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2.3</w:t>
            </w:r>
          </w:p>
        </w:tc>
        <w:tc>
          <w:tcPr>
            <w:tcW w:w="2489" w:type="dxa"/>
          </w:tcPr>
          <w:p w14:paraId="7F77630E"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1.9</w:t>
            </w:r>
          </w:p>
        </w:tc>
      </w:tr>
      <w:tr w:rsidR="00501FA3" w:rsidRPr="00364545" w14:paraId="4D796727"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4448AB2E" w14:textId="77777777" w:rsidR="00501FA3" w:rsidRPr="00364545" w:rsidRDefault="00501FA3" w:rsidP="00E53B5D">
            <w:pPr>
              <w:rPr>
                <w:b w:val="0"/>
              </w:rPr>
            </w:pPr>
            <w:r w:rsidRPr="00364545">
              <w:rPr>
                <w:b w:val="0"/>
              </w:rPr>
              <w:t>Heat pumps</w:t>
            </w:r>
          </w:p>
        </w:tc>
        <w:tc>
          <w:tcPr>
            <w:tcW w:w="2362" w:type="dxa"/>
          </w:tcPr>
          <w:p w14:paraId="32DBDD7A"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0.2</w:t>
            </w:r>
          </w:p>
        </w:tc>
        <w:tc>
          <w:tcPr>
            <w:tcW w:w="2362" w:type="dxa"/>
          </w:tcPr>
          <w:p w14:paraId="37CC5C06"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1.3</w:t>
            </w:r>
          </w:p>
        </w:tc>
        <w:tc>
          <w:tcPr>
            <w:tcW w:w="2489" w:type="dxa"/>
          </w:tcPr>
          <w:p w14:paraId="35F32FB1"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3.7</w:t>
            </w:r>
          </w:p>
        </w:tc>
      </w:tr>
      <w:tr w:rsidR="00501FA3" w:rsidRPr="00364545" w14:paraId="6DE82C4D"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45771271" w14:textId="77777777" w:rsidR="00501FA3" w:rsidRPr="00364545" w:rsidRDefault="00501FA3" w:rsidP="00E53B5D">
            <w:pPr>
              <w:rPr>
                <w:b w:val="0"/>
              </w:rPr>
            </w:pPr>
            <w:r w:rsidRPr="00364545">
              <w:rPr>
                <w:b w:val="0"/>
              </w:rPr>
              <w:t>Photovoltaic</w:t>
            </w:r>
          </w:p>
        </w:tc>
        <w:tc>
          <w:tcPr>
            <w:tcW w:w="2362" w:type="dxa"/>
          </w:tcPr>
          <w:p w14:paraId="040B59A3"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0</w:t>
            </w:r>
          </w:p>
        </w:tc>
        <w:tc>
          <w:tcPr>
            <w:tcW w:w="2362" w:type="dxa"/>
          </w:tcPr>
          <w:p w14:paraId="427A7ADC"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0.1</w:t>
            </w:r>
          </w:p>
        </w:tc>
        <w:tc>
          <w:tcPr>
            <w:tcW w:w="2489" w:type="dxa"/>
          </w:tcPr>
          <w:p w14:paraId="6FC8300C"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364545">
              <w:t>1.3</w:t>
            </w:r>
          </w:p>
        </w:tc>
      </w:tr>
      <w:tr w:rsidR="00501FA3" w:rsidRPr="00364545" w14:paraId="03DB7874"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7EF86E32" w14:textId="77777777" w:rsidR="00501FA3" w:rsidRPr="00364545" w:rsidRDefault="00501FA3" w:rsidP="00E53B5D">
            <w:pPr>
              <w:rPr>
                <w:b w:val="0"/>
              </w:rPr>
            </w:pPr>
            <w:r w:rsidRPr="00364545">
              <w:rPr>
                <w:b w:val="0"/>
              </w:rPr>
              <w:t>Other renewables</w:t>
            </w:r>
          </w:p>
        </w:tc>
        <w:tc>
          <w:tcPr>
            <w:tcW w:w="2362" w:type="dxa"/>
          </w:tcPr>
          <w:p w14:paraId="1BA8677B"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0.5</w:t>
            </w:r>
          </w:p>
        </w:tc>
        <w:tc>
          <w:tcPr>
            <w:tcW w:w="2362" w:type="dxa"/>
          </w:tcPr>
          <w:p w14:paraId="2696A224"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0.7</w:t>
            </w:r>
          </w:p>
        </w:tc>
        <w:tc>
          <w:tcPr>
            <w:tcW w:w="2489" w:type="dxa"/>
          </w:tcPr>
          <w:p w14:paraId="7BD70B5A" w14:textId="77777777" w:rsidR="00501FA3" w:rsidRPr="00364545" w:rsidRDefault="00501FA3" w:rsidP="00E53B5D">
            <w:pPr>
              <w:jc w:val="center"/>
              <w:cnfStyle w:val="000000100000" w:firstRow="0" w:lastRow="0" w:firstColumn="0" w:lastColumn="0" w:oddVBand="0" w:evenVBand="0" w:oddHBand="1" w:evenHBand="0" w:firstRowFirstColumn="0" w:firstRowLastColumn="0" w:lastRowFirstColumn="0" w:lastRowLastColumn="0"/>
            </w:pPr>
            <w:r w:rsidRPr="00364545">
              <w:t>2.1</w:t>
            </w:r>
          </w:p>
        </w:tc>
      </w:tr>
      <w:tr w:rsidR="00501FA3" w:rsidRPr="00364545" w14:paraId="3F1F629C"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15A8BE41" w14:textId="77777777" w:rsidR="00501FA3" w:rsidRPr="00364545" w:rsidRDefault="00501FA3" w:rsidP="00E53B5D">
            <w:r w:rsidRPr="00364545">
              <w:t>TOTAL</w:t>
            </w:r>
          </w:p>
        </w:tc>
        <w:tc>
          <w:tcPr>
            <w:tcW w:w="2362" w:type="dxa"/>
          </w:tcPr>
          <w:p w14:paraId="05977B5D"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rPr>
                <w:b/>
              </w:rPr>
            </w:pPr>
            <w:r w:rsidRPr="00364545">
              <w:rPr>
                <w:b/>
              </w:rPr>
              <w:t>16</w:t>
            </w:r>
          </w:p>
        </w:tc>
        <w:tc>
          <w:tcPr>
            <w:tcW w:w="2362" w:type="dxa"/>
          </w:tcPr>
          <w:p w14:paraId="1F6457A8"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rPr>
                <w:b/>
              </w:rPr>
            </w:pPr>
            <w:r w:rsidRPr="00364545">
              <w:rPr>
                <w:b/>
              </w:rPr>
              <w:t>22.2</w:t>
            </w:r>
          </w:p>
        </w:tc>
        <w:tc>
          <w:tcPr>
            <w:tcW w:w="2489" w:type="dxa"/>
          </w:tcPr>
          <w:p w14:paraId="67839CB3" w14:textId="77777777" w:rsidR="00501FA3" w:rsidRPr="00364545" w:rsidRDefault="00501FA3" w:rsidP="00E53B5D">
            <w:pPr>
              <w:jc w:val="center"/>
              <w:cnfStyle w:val="000000000000" w:firstRow="0" w:lastRow="0" w:firstColumn="0" w:lastColumn="0" w:oddVBand="0" w:evenVBand="0" w:oddHBand="0" w:evenHBand="0" w:firstRowFirstColumn="0" w:firstRowLastColumn="0" w:lastRowFirstColumn="0" w:lastRowLastColumn="0"/>
              <w:rPr>
                <w:b/>
              </w:rPr>
            </w:pPr>
            <w:r w:rsidRPr="00364545">
              <w:rPr>
                <w:b/>
              </w:rPr>
              <w:t>29.7</w:t>
            </w:r>
          </w:p>
        </w:tc>
      </w:tr>
    </w:tbl>
    <w:p w14:paraId="1B5DB2EF" w14:textId="7C80F11B" w:rsidR="00C07E57" w:rsidRPr="00364545" w:rsidRDefault="00C07E57" w:rsidP="0045532B">
      <w:pPr>
        <w:pStyle w:val="Caption"/>
      </w:pPr>
      <w:bookmarkStart w:id="132" w:name="_Toc123916496"/>
      <w:r w:rsidRPr="00364545">
        <w:t xml:space="preserve">Table </w:t>
      </w:r>
      <w:r w:rsidR="003714FB">
        <w:fldChar w:fldCharType="begin"/>
      </w:r>
      <w:r w:rsidR="003714FB">
        <w:instrText xml:space="preserve"> SEQ Tableau \* ARABIC </w:instrText>
      </w:r>
      <w:r w:rsidR="003714FB">
        <w:fldChar w:fldCharType="separate"/>
      </w:r>
      <w:r w:rsidR="009A2FAA">
        <w:rPr>
          <w:noProof/>
        </w:rPr>
        <w:t>4</w:t>
      </w:r>
      <w:r w:rsidR="003714FB">
        <w:rPr>
          <w:noProof/>
        </w:rPr>
        <w:fldChar w:fldCharType="end"/>
      </w:r>
      <w:r w:rsidRPr="00364545">
        <w:t>: Gross final consumption of renewable energy by sector in 2005, 2010 and 2021</w:t>
      </w:r>
      <w:bookmarkEnd w:id="132"/>
    </w:p>
    <w:p w14:paraId="62F2224B" w14:textId="784D6F4E" w:rsidR="00501FA3" w:rsidRPr="00364545" w:rsidRDefault="00C07E57" w:rsidP="0045532B">
      <w:pPr>
        <w:pStyle w:val="Caption"/>
      </w:pPr>
      <w:r w:rsidRPr="00364545">
        <w:t xml:space="preserve">Source: The Data and Statistical Studies Department, Energy balance for 2022 </w:t>
      </w:r>
    </w:p>
    <w:p w14:paraId="7E1A8BE8" w14:textId="260B527E" w:rsidR="00501FA3" w:rsidRPr="00364545" w:rsidRDefault="00501FA3" w:rsidP="003F57EA">
      <w:pPr>
        <w:pStyle w:val="Titre3Niveau3"/>
      </w:pPr>
      <w:bookmarkStart w:id="133" w:name="_Toc120567451"/>
      <w:bookmarkStart w:id="134" w:name="_Toc138341800"/>
      <w:r w:rsidRPr="00364545">
        <w:t>Industry</w:t>
      </w:r>
      <w:bookmarkEnd w:id="133"/>
      <w:bookmarkEnd w:id="134"/>
    </w:p>
    <w:p w14:paraId="5B763C5D" w14:textId="11C0989C" w:rsidR="00501FA3" w:rsidRPr="00364545" w:rsidRDefault="00501FA3" w:rsidP="00501FA3">
      <w:r w:rsidRPr="00364545">
        <w:t>Since 2015, industrial production has been on an upward trend in the sectors of transportation equipment manufacturing, capital goods and other industrial goods. Production has been stable in the agri-food sector and only the refining sector has continued its decline.</w:t>
      </w:r>
    </w:p>
    <w:p w14:paraId="61F6AA01" w14:textId="4B443818" w:rsidR="00501FA3" w:rsidRPr="00364545" w:rsidRDefault="00501FA3" w:rsidP="00501FA3">
      <w:r w:rsidRPr="00364545">
        <w:t>Overall production fell sharply in 2020 due to the Covid-19 pandemic. All sectors experienced a strong recovery in May 2020 at the end of the first lockdown. This recovery was, however, less significant in coking and refining and the manufacture of transport equipment - two sectors which have not yet recovered to their 2015 production levels.</w:t>
      </w:r>
    </w:p>
    <w:p w14:paraId="1328C444" w14:textId="1D2F48D9" w:rsidR="00347286" w:rsidRPr="00364545" w:rsidRDefault="00347286" w:rsidP="00501FA3">
      <w:r w:rsidRPr="00364545">
        <w:t>Insee259’s monthly industrial production index dropped from an average value of 103.9 over 2019 to 92.8 in 2020, then rose to 98.2 over 2021 (base 100 in 2015).</w:t>
      </w:r>
    </w:p>
    <w:p w14:paraId="3A0A7DFB" w14:textId="77777777" w:rsidR="00347286" w:rsidRPr="00364545" w:rsidRDefault="00347286" w:rsidP="00501FA3"/>
    <w:p w14:paraId="4EE4C99F" w14:textId="77777777" w:rsidR="00501FA3" w:rsidRPr="00364545" w:rsidRDefault="00501FA3" w:rsidP="00501FA3">
      <w:r w:rsidRPr="00364545">
        <w:t>The graph below illustrates the changes in manufacturing output by industry in volume.</w:t>
      </w:r>
    </w:p>
    <w:p w14:paraId="3A17A9C3" w14:textId="77777777" w:rsidR="00501FA3" w:rsidRPr="00364545" w:rsidRDefault="00501FA3" w:rsidP="00501FA3"/>
    <w:p w14:paraId="38D85EE1" w14:textId="77777777" w:rsidR="00501FA3" w:rsidRPr="00364545" w:rsidRDefault="00501FA3" w:rsidP="00501FA3">
      <w:r w:rsidRPr="00364545">
        <w:rPr>
          <w:noProof/>
          <w:lang w:val="fr-FR"/>
        </w:rPr>
        <w:drawing>
          <wp:inline distT="0" distB="0" distL="0" distR="0" wp14:anchorId="73C83E71" wp14:editId="64105C60">
            <wp:extent cx="6318250" cy="3968750"/>
            <wp:effectExtent l="0" t="0" r="6350" b="12700"/>
            <wp:docPr id="49" name="Graphique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FBCAAB0" w14:textId="77777777" w:rsidR="00501FA3" w:rsidRPr="00364545" w:rsidRDefault="00501FA3" w:rsidP="00501FA3"/>
    <w:p w14:paraId="021D6192" w14:textId="586802EF" w:rsidR="00C07E57" w:rsidRPr="00364545" w:rsidRDefault="00C07E57" w:rsidP="0045532B">
      <w:pPr>
        <w:pStyle w:val="Caption"/>
      </w:pPr>
      <w:bookmarkStart w:id="135" w:name="_Toc123916433"/>
      <w:r w:rsidRPr="00364545">
        <w:t xml:space="preserve">Figure </w:t>
      </w:r>
      <w:r w:rsidR="003714FB">
        <w:fldChar w:fldCharType="begin"/>
      </w:r>
      <w:r w:rsidR="003714FB">
        <w:instrText xml:space="preserve"> SEQ Figure \* ARABIC </w:instrText>
      </w:r>
      <w:r w:rsidR="003714FB">
        <w:fldChar w:fldCharType="separate"/>
      </w:r>
      <w:r w:rsidR="009A2FAA">
        <w:rPr>
          <w:noProof/>
        </w:rPr>
        <w:t>22</w:t>
      </w:r>
      <w:r w:rsidR="003714FB">
        <w:rPr>
          <w:noProof/>
        </w:rPr>
        <w:fldChar w:fldCharType="end"/>
      </w:r>
      <w:r w:rsidRPr="00364545">
        <w:t>: Monthly industrial production index since 2015, baseline 100 in 2015.</w:t>
      </w:r>
      <w:bookmarkEnd w:id="135"/>
    </w:p>
    <w:p w14:paraId="5AA34D3D" w14:textId="3C34D87C" w:rsidR="00C07E57" w:rsidRPr="00364545" w:rsidRDefault="00C07E57" w:rsidP="0045532B">
      <w:pPr>
        <w:pStyle w:val="Caption"/>
      </w:pPr>
      <w:r w:rsidRPr="00364545">
        <w:t>Source: INSEE, SSP, the Data and Statistical Studies Department</w:t>
      </w:r>
    </w:p>
    <w:p w14:paraId="18A5CEE3" w14:textId="667D3605" w:rsidR="00501FA3" w:rsidRPr="00364545" w:rsidRDefault="00501FA3" w:rsidP="00501FA3"/>
    <w:p w14:paraId="2BFE8E9E" w14:textId="77777777" w:rsidR="00501FA3" w:rsidRPr="00364545" w:rsidRDefault="00501FA3" w:rsidP="00501FA3"/>
    <w:p w14:paraId="5FB2070F" w14:textId="77777777" w:rsidR="00501FA3" w:rsidRPr="00364545" w:rsidRDefault="00501FA3" w:rsidP="00501FA3"/>
    <w:p w14:paraId="6A627D5E" w14:textId="77777777" w:rsidR="00347286" w:rsidRPr="00364545" w:rsidRDefault="00347286" w:rsidP="00347286">
      <w:pPr>
        <w:rPr>
          <w:b/>
          <w:bCs/>
        </w:rPr>
      </w:pPr>
      <w:r w:rsidRPr="00364545">
        <w:t>The table below shows the</w:t>
      </w:r>
      <w:r w:rsidRPr="00364545">
        <w:rPr>
          <w:b/>
        </w:rPr>
        <w:t xml:space="preserve"> macroeconomic indicators for the manufacturing industry in</w:t>
      </w:r>
      <w:r w:rsidRPr="00364545">
        <w:rPr>
          <w:rFonts w:ascii="Calibri" w:hAnsi="Calibri"/>
          <w:b/>
        </w:rPr>
        <w:t> </w:t>
      </w:r>
      <w:r w:rsidRPr="00364545">
        <w:rPr>
          <w:b/>
        </w:rPr>
        <w:t>2021</w:t>
      </w:r>
    </w:p>
    <w:tbl>
      <w:tblPr>
        <w:tblStyle w:val="ListTable4-Accent4"/>
        <w:tblW w:w="0" w:type="auto"/>
        <w:tblLook w:val="04A0" w:firstRow="1" w:lastRow="0" w:firstColumn="1" w:lastColumn="0" w:noHBand="0" w:noVBand="1"/>
      </w:tblPr>
      <w:tblGrid>
        <w:gridCol w:w="3093"/>
        <w:gridCol w:w="1832"/>
        <w:gridCol w:w="981"/>
        <w:gridCol w:w="809"/>
        <w:gridCol w:w="762"/>
        <w:gridCol w:w="762"/>
        <w:gridCol w:w="1701"/>
      </w:tblGrid>
      <w:tr w:rsidR="00347286" w:rsidRPr="00364545" w14:paraId="77FB0693" w14:textId="77777777" w:rsidTr="005675FA">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0" w:type="auto"/>
            <w:gridSpan w:val="7"/>
            <w:hideMark/>
          </w:tcPr>
          <w:p w14:paraId="5F707310" w14:textId="77777777" w:rsidR="00347286" w:rsidRPr="00364545" w:rsidRDefault="00347286" w:rsidP="00FA30E8">
            <w:pPr>
              <w:rPr>
                <w:sz w:val="16"/>
                <w:szCs w:val="16"/>
              </w:rPr>
            </w:pPr>
            <w:r w:rsidRPr="00364545">
              <w:rPr>
                <w:sz w:val="16"/>
              </w:rPr>
              <w:t>Macroeconomic indicators for the manufacturing industry in</w:t>
            </w:r>
            <w:r w:rsidRPr="00364545">
              <w:rPr>
                <w:rFonts w:ascii="Calibri" w:hAnsi="Calibri"/>
                <w:sz w:val="16"/>
              </w:rPr>
              <w:t> </w:t>
            </w:r>
            <w:r w:rsidRPr="00364545">
              <w:rPr>
                <w:sz w:val="16"/>
              </w:rPr>
              <w:t>2021</w:t>
            </w:r>
          </w:p>
        </w:tc>
      </w:tr>
      <w:tr w:rsidR="00347286" w:rsidRPr="00364545" w14:paraId="4BFA606E"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4382677" w14:textId="56510123" w:rsidR="00347286" w:rsidRPr="00364545" w:rsidRDefault="003714FB" w:rsidP="00FA30E8">
            <w:pPr>
              <w:rPr>
                <w:b w:val="0"/>
                <w:bCs w:val="0"/>
                <w:sz w:val="16"/>
                <w:szCs w:val="16"/>
              </w:rPr>
            </w:pPr>
            <w:hyperlink r:id="rId44" w:anchor="c1934" w:history="1">
              <w:r w:rsidR="00347286" w:rsidRPr="00364545">
                <w:rPr>
                  <w:rStyle w:val="Hyperlink"/>
                  <w:sz w:val="16"/>
                </w:rPr>
                <w:t>Manufacturing industry branch</w:t>
              </w:r>
            </w:hyperlink>
          </w:p>
        </w:tc>
        <w:tc>
          <w:tcPr>
            <w:tcW w:w="0" w:type="auto"/>
            <w:vMerge w:val="restart"/>
            <w:hideMark/>
          </w:tcPr>
          <w:p w14:paraId="2928A72E"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b/>
                <w:bCs/>
                <w:sz w:val="16"/>
                <w:szCs w:val="16"/>
              </w:rPr>
            </w:pPr>
            <w:r w:rsidRPr="00364545">
              <w:rPr>
                <w:b/>
                <w:sz w:val="16"/>
              </w:rPr>
              <w:t>Production in value (in</w:t>
            </w:r>
            <w:r w:rsidRPr="00364545">
              <w:rPr>
                <w:rFonts w:ascii="Calibri" w:hAnsi="Calibri"/>
                <w:b/>
                <w:sz w:val="16"/>
              </w:rPr>
              <w:t> </w:t>
            </w:r>
            <w:r w:rsidRPr="00364545">
              <w:rPr>
                <w:b/>
                <w:sz w:val="16"/>
              </w:rPr>
              <w:t>billions of euros)</w:t>
            </w:r>
          </w:p>
        </w:tc>
        <w:tc>
          <w:tcPr>
            <w:tcW w:w="0" w:type="auto"/>
            <w:gridSpan w:val="5"/>
            <w:hideMark/>
          </w:tcPr>
          <w:p w14:paraId="17A2649C"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b/>
                <w:bCs/>
                <w:sz w:val="16"/>
                <w:szCs w:val="16"/>
              </w:rPr>
            </w:pPr>
            <w:r w:rsidRPr="00364545">
              <w:rPr>
                <w:b/>
                <w:sz w:val="16"/>
              </w:rPr>
              <w:t>Changes in 2021/2020 in volume (in</w:t>
            </w:r>
            <w:r w:rsidRPr="00364545">
              <w:rPr>
                <w:rFonts w:ascii="Calibri" w:hAnsi="Calibri"/>
                <w:b/>
                <w:sz w:val="16"/>
              </w:rPr>
              <w:t> </w:t>
            </w:r>
            <w:r w:rsidRPr="00364545">
              <w:rPr>
                <w:b/>
                <w:sz w:val="16"/>
              </w:rPr>
              <w:t>%)</w:t>
            </w:r>
          </w:p>
        </w:tc>
      </w:tr>
      <w:tr w:rsidR="00347286" w:rsidRPr="00364545" w14:paraId="06DCB685"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vMerge/>
            <w:hideMark/>
          </w:tcPr>
          <w:p w14:paraId="5F5238CC" w14:textId="77777777" w:rsidR="00347286" w:rsidRPr="00364545" w:rsidRDefault="00347286" w:rsidP="00FA30E8">
            <w:pPr>
              <w:rPr>
                <w:b w:val="0"/>
                <w:bCs w:val="0"/>
                <w:sz w:val="16"/>
                <w:szCs w:val="16"/>
              </w:rPr>
            </w:pPr>
          </w:p>
        </w:tc>
        <w:tc>
          <w:tcPr>
            <w:tcW w:w="0" w:type="auto"/>
            <w:vMerge/>
            <w:hideMark/>
          </w:tcPr>
          <w:p w14:paraId="7059C5F8"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p>
        </w:tc>
        <w:tc>
          <w:tcPr>
            <w:tcW w:w="0" w:type="auto"/>
            <w:hideMark/>
          </w:tcPr>
          <w:p w14:paraId="3F0CAF75"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364545">
              <w:rPr>
                <w:b/>
                <w:sz w:val="16"/>
              </w:rPr>
              <w:t>Production</w:t>
            </w:r>
          </w:p>
        </w:tc>
        <w:tc>
          <w:tcPr>
            <w:tcW w:w="0" w:type="auto"/>
            <w:hideMark/>
          </w:tcPr>
          <w:p w14:paraId="64B3F8CA" w14:textId="76C04A89" w:rsidR="00347286" w:rsidRPr="00364545" w:rsidRDefault="003714FB" w:rsidP="00FA30E8">
            <w:pPr>
              <w:cnfStyle w:val="000000000000" w:firstRow="0" w:lastRow="0" w:firstColumn="0" w:lastColumn="0" w:oddVBand="0" w:evenVBand="0" w:oddHBand="0" w:evenHBand="0" w:firstRowFirstColumn="0" w:firstRowLastColumn="0" w:lastRowFirstColumn="0" w:lastRowLastColumn="0"/>
              <w:rPr>
                <w:b/>
                <w:bCs/>
                <w:sz w:val="16"/>
                <w:szCs w:val="16"/>
              </w:rPr>
            </w:pPr>
            <w:hyperlink r:id="rId45" w:anchor="c1950" w:history="1">
              <w:r w:rsidR="00630688" w:rsidRPr="00364545">
                <w:rPr>
                  <w:rStyle w:val="Hyperlink"/>
                  <w:sz w:val="16"/>
                </w:rPr>
                <w:t>Added value</w:t>
              </w:r>
            </w:hyperlink>
          </w:p>
        </w:tc>
        <w:tc>
          <w:tcPr>
            <w:tcW w:w="0" w:type="auto"/>
            <w:hideMark/>
          </w:tcPr>
          <w:p w14:paraId="675C3CB1" w14:textId="564BF224" w:rsidR="00347286" w:rsidRPr="00364545" w:rsidRDefault="003714FB" w:rsidP="00FA30E8">
            <w:pPr>
              <w:cnfStyle w:val="000000000000" w:firstRow="0" w:lastRow="0" w:firstColumn="0" w:lastColumn="0" w:oddVBand="0" w:evenVBand="0" w:oddHBand="0" w:evenHBand="0" w:firstRowFirstColumn="0" w:firstRowLastColumn="0" w:lastRowFirstColumn="0" w:lastRowLastColumn="0"/>
              <w:rPr>
                <w:b/>
                <w:bCs/>
                <w:sz w:val="16"/>
                <w:szCs w:val="16"/>
              </w:rPr>
            </w:pPr>
            <w:hyperlink r:id="rId46" w:anchor="c1425" w:history="1">
              <w:r w:rsidR="00630688" w:rsidRPr="00364545">
                <w:rPr>
                  <w:rStyle w:val="Hyperlink"/>
                  <w:sz w:val="16"/>
                </w:rPr>
                <w:t>Exports</w:t>
              </w:r>
            </w:hyperlink>
            <w:r w:rsidR="00630688" w:rsidRPr="00364545">
              <w:rPr>
                <w:b/>
                <w:sz w:val="16"/>
              </w:rPr>
              <w:t>¹</w:t>
            </w:r>
          </w:p>
        </w:tc>
        <w:tc>
          <w:tcPr>
            <w:tcW w:w="0" w:type="auto"/>
            <w:hideMark/>
          </w:tcPr>
          <w:p w14:paraId="58912DF0" w14:textId="065B3C0A" w:rsidR="00347286" w:rsidRPr="00364545" w:rsidRDefault="003714FB" w:rsidP="00FA30E8">
            <w:pPr>
              <w:cnfStyle w:val="000000000000" w:firstRow="0" w:lastRow="0" w:firstColumn="0" w:lastColumn="0" w:oddVBand="0" w:evenVBand="0" w:oddHBand="0" w:evenHBand="0" w:firstRowFirstColumn="0" w:firstRowLastColumn="0" w:lastRowFirstColumn="0" w:lastRowLastColumn="0"/>
              <w:rPr>
                <w:b/>
                <w:bCs/>
                <w:sz w:val="16"/>
                <w:szCs w:val="16"/>
              </w:rPr>
            </w:pPr>
            <w:hyperlink r:id="rId47" w:anchor="c1527" w:history="1">
              <w:r w:rsidR="00630688" w:rsidRPr="00364545">
                <w:rPr>
                  <w:rStyle w:val="Hyperlink"/>
                  <w:sz w:val="16"/>
                </w:rPr>
                <w:t>Imports</w:t>
              </w:r>
            </w:hyperlink>
            <w:r w:rsidR="00630688" w:rsidRPr="00364545">
              <w:rPr>
                <w:b/>
                <w:sz w:val="16"/>
              </w:rPr>
              <w:t>¹</w:t>
            </w:r>
          </w:p>
        </w:tc>
        <w:tc>
          <w:tcPr>
            <w:tcW w:w="0" w:type="auto"/>
            <w:hideMark/>
          </w:tcPr>
          <w:p w14:paraId="549C2FA5" w14:textId="2868FEF5" w:rsidR="00347286" w:rsidRPr="00364545" w:rsidRDefault="003714FB" w:rsidP="00FA30E8">
            <w:pPr>
              <w:cnfStyle w:val="000000000000" w:firstRow="0" w:lastRow="0" w:firstColumn="0" w:lastColumn="0" w:oddVBand="0" w:evenVBand="0" w:oddHBand="0" w:evenHBand="0" w:firstRowFirstColumn="0" w:firstRowLastColumn="0" w:lastRowFirstColumn="0" w:lastRowLastColumn="0"/>
              <w:rPr>
                <w:b/>
                <w:bCs/>
                <w:sz w:val="16"/>
                <w:szCs w:val="16"/>
              </w:rPr>
            </w:pPr>
            <w:hyperlink r:id="rId48" w:anchor="c1322" w:history="1">
              <w:r w:rsidR="00630688" w:rsidRPr="00364545">
                <w:rPr>
                  <w:rStyle w:val="Hyperlink"/>
                  <w:sz w:val="16"/>
                </w:rPr>
                <w:t>Household consumption expenditure</w:t>
              </w:r>
            </w:hyperlink>
          </w:p>
        </w:tc>
      </w:tr>
      <w:tr w:rsidR="005675FA" w:rsidRPr="00364545" w14:paraId="05136C6C"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5C52BD2B" w14:textId="77777777" w:rsidR="00347286" w:rsidRPr="00364545" w:rsidRDefault="00347286" w:rsidP="00FA30E8">
            <w:pPr>
              <w:rPr>
                <w:sz w:val="16"/>
                <w:szCs w:val="16"/>
              </w:rPr>
            </w:pPr>
            <w:r w:rsidRPr="00364545">
              <w:rPr>
                <w:sz w:val="16"/>
              </w:rPr>
              <w:t>Food, beverage and tobacco product manufacturing</w:t>
            </w:r>
          </w:p>
        </w:tc>
        <w:tc>
          <w:tcPr>
            <w:tcW w:w="0" w:type="auto"/>
            <w:noWrap/>
            <w:hideMark/>
          </w:tcPr>
          <w:p w14:paraId="6D3004F1"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169</w:t>
            </w:r>
          </w:p>
        </w:tc>
        <w:tc>
          <w:tcPr>
            <w:tcW w:w="0" w:type="auto"/>
            <w:noWrap/>
            <w:hideMark/>
          </w:tcPr>
          <w:p w14:paraId="663A8816"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4.0</w:t>
            </w:r>
          </w:p>
        </w:tc>
        <w:tc>
          <w:tcPr>
            <w:tcW w:w="0" w:type="auto"/>
            <w:noWrap/>
            <w:hideMark/>
          </w:tcPr>
          <w:p w14:paraId="6E839B9E"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2.7</w:t>
            </w:r>
          </w:p>
        </w:tc>
        <w:tc>
          <w:tcPr>
            <w:tcW w:w="0" w:type="auto"/>
            <w:noWrap/>
            <w:hideMark/>
          </w:tcPr>
          <w:p w14:paraId="49F5DE41"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12.3</w:t>
            </w:r>
          </w:p>
        </w:tc>
        <w:tc>
          <w:tcPr>
            <w:tcW w:w="0" w:type="auto"/>
            <w:noWrap/>
            <w:hideMark/>
          </w:tcPr>
          <w:p w14:paraId="785C4624"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5.1</w:t>
            </w:r>
          </w:p>
        </w:tc>
        <w:tc>
          <w:tcPr>
            <w:tcW w:w="0" w:type="auto"/>
            <w:noWrap/>
            <w:hideMark/>
          </w:tcPr>
          <w:p w14:paraId="06FBCDD1"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-0.5</w:t>
            </w:r>
          </w:p>
        </w:tc>
      </w:tr>
      <w:tr w:rsidR="00347286" w:rsidRPr="00364545" w14:paraId="25ABBBBA"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55332621" w14:textId="77777777" w:rsidR="00347286" w:rsidRPr="00364545" w:rsidRDefault="00347286" w:rsidP="00FA30E8">
            <w:pPr>
              <w:rPr>
                <w:sz w:val="16"/>
                <w:szCs w:val="16"/>
              </w:rPr>
            </w:pPr>
            <w:r w:rsidRPr="00364545">
              <w:rPr>
                <w:sz w:val="16"/>
              </w:rPr>
              <w:t>Coking and refining</w:t>
            </w:r>
          </w:p>
        </w:tc>
        <w:tc>
          <w:tcPr>
            <w:tcW w:w="0" w:type="auto"/>
            <w:noWrap/>
            <w:hideMark/>
          </w:tcPr>
          <w:p w14:paraId="264A90FD"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27</w:t>
            </w:r>
          </w:p>
        </w:tc>
        <w:tc>
          <w:tcPr>
            <w:tcW w:w="0" w:type="auto"/>
            <w:noWrap/>
            <w:hideMark/>
          </w:tcPr>
          <w:p w14:paraId="15A8FAF3"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3.1</w:t>
            </w:r>
          </w:p>
        </w:tc>
        <w:tc>
          <w:tcPr>
            <w:tcW w:w="0" w:type="auto"/>
            <w:noWrap/>
            <w:hideMark/>
          </w:tcPr>
          <w:p w14:paraId="0EB0093B"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-25.9</w:t>
            </w:r>
          </w:p>
        </w:tc>
        <w:tc>
          <w:tcPr>
            <w:tcW w:w="0" w:type="auto"/>
            <w:noWrap/>
            <w:hideMark/>
          </w:tcPr>
          <w:p w14:paraId="125EE4D1"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-6.7</w:t>
            </w:r>
          </w:p>
        </w:tc>
        <w:tc>
          <w:tcPr>
            <w:tcW w:w="0" w:type="auto"/>
            <w:noWrap/>
            <w:hideMark/>
          </w:tcPr>
          <w:p w14:paraId="5D7CEB3C"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11.8</w:t>
            </w:r>
          </w:p>
        </w:tc>
        <w:tc>
          <w:tcPr>
            <w:tcW w:w="0" w:type="auto"/>
            <w:noWrap/>
            <w:hideMark/>
          </w:tcPr>
          <w:p w14:paraId="1C593750"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14.4</w:t>
            </w:r>
          </w:p>
        </w:tc>
      </w:tr>
      <w:tr w:rsidR="005675FA" w:rsidRPr="00364545" w14:paraId="5F19FA8B"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484D82DF" w14:textId="77777777" w:rsidR="00347286" w:rsidRPr="00364545" w:rsidRDefault="00347286" w:rsidP="00FA30E8">
            <w:pPr>
              <w:rPr>
                <w:sz w:val="16"/>
                <w:szCs w:val="16"/>
              </w:rPr>
            </w:pPr>
            <w:r w:rsidRPr="00364545">
              <w:rPr>
                <w:sz w:val="16"/>
              </w:rPr>
              <w:t>Manufacture of electrical, electronic and computer equipment and machinery</w:t>
            </w:r>
          </w:p>
        </w:tc>
        <w:tc>
          <w:tcPr>
            <w:tcW w:w="0" w:type="auto"/>
            <w:noWrap/>
            <w:hideMark/>
          </w:tcPr>
          <w:p w14:paraId="60A2769B"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89</w:t>
            </w:r>
          </w:p>
        </w:tc>
        <w:tc>
          <w:tcPr>
            <w:tcW w:w="0" w:type="auto"/>
            <w:noWrap/>
            <w:hideMark/>
          </w:tcPr>
          <w:p w14:paraId="53AD1118"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10.7</w:t>
            </w:r>
          </w:p>
        </w:tc>
        <w:tc>
          <w:tcPr>
            <w:tcW w:w="0" w:type="auto"/>
            <w:noWrap/>
            <w:hideMark/>
          </w:tcPr>
          <w:p w14:paraId="31759811"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9.5</w:t>
            </w:r>
          </w:p>
        </w:tc>
        <w:tc>
          <w:tcPr>
            <w:tcW w:w="0" w:type="auto"/>
            <w:noWrap/>
            <w:hideMark/>
          </w:tcPr>
          <w:p w14:paraId="07578F8F"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9.7</w:t>
            </w:r>
          </w:p>
        </w:tc>
        <w:tc>
          <w:tcPr>
            <w:tcW w:w="0" w:type="auto"/>
            <w:noWrap/>
            <w:hideMark/>
          </w:tcPr>
          <w:p w14:paraId="452B0A16"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13.2</w:t>
            </w:r>
          </w:p>
        </w:tc>
        <w:tc>
          <w:tcPr>
            <w:tcW w:w="0" w:type="auto"/>
            <w:noWrap/>
            <w:hideMark/>
          </w:tcPr>
          <w:p w14:paraId="1F2EBD1E"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6.9</w:t>
            </w:r>
          </w:p>
        </w:tc>
      </w:tr>
      <w:tr w:rsidR="00347286" w:rsidRPr="00364545" w14:paraId="7C9E6DF9"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02AD8DC0" w14:textId="77777777" w:rsidR="00347286" w:rsidRPr="00364545" w:rsidRDefault="00347286" w:rsidP="00FA30E8">
            <w:pPr>
              <w:rPr>
                <w:i/>
                <w:iCs/>
                <w:sz w:val="16"/>
                <w:szCs w:val="16"/>
              </w:rPr>
            </w:pPr>
            <w:r w:rsidRPr="00364545">
              <w:rPr>
                <w:i/>
                <w:sz w:val="16"/>
              </w:rPr>
              <w:t>of which computer, electronic and optical products</w:t>
            </w:r>
          </w:p>
        </w:tc>
        <w:tc>
          <w:tcPr>
            <w:tcW w:w="0" w:type="auto"/>
            <w:noWrap/>
            <w:hideMark/>
          </w:tcPr>
          <w:p w14:paraId="5723BDC3"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28</w:t>
            </w:r>
          </w:p>
        </w:tc>
        <w:tc>
          <w:tcPr>
            <w:tcW w:w="0" w:type="auto"/>
            <w:noWrap/>
            <w:hideMark/>
          </w:tcPr>
          <w:p w14:paraId="1133D8D5"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7.9</w:t>
            </w:r>
          </w:p>
        </w:tc>
        <w:tc>
          <w:tcPr>
            <w:tcW w:w="0" w:type="auto"/>
            <w:noWrap/>
            <w:hideMark/>
          </w:tcPr>
          <w:p w14:paraId="0D121895"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9.2</w:t>
            </w:r>
          </w:p>
        </w:tc>
        <w:tc>
          <w:tcPr>
            <w:tcW w:w="0" w:type="auto"/>
            <w:noWrap/>
            <w:hideMark/>
          </w:tcPr>
          <w:p w14:paraId="0A45BE42"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9.3</w:t>
            </w:r>
          </w:p>
        </w:tc>
        <w:tc>
          <w:tcPr>
            <w:tcW w:w="0" w:type="auto"/>
            <w:noWrap/>
            <w:hideMark/>
          </w:tcPr>
          <w:p w14:paraId="30A0B14F"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13.1</w:t>
            </w:r>
          </w:p>
        </w:tc>
        <w:tc>
          <w:tcPr>
            <w:tcW w:w="0" w:type="auto"/>
            <w:noWrap/>
            <w:hideMark/>
          </w:tcPr>
          <w:p w14:paraId="1FBEFA8B"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7.6</w:t>
            </w:r>
          </w:p>
        </w:tc>
      </w:tr>
      <w:tr w:rsidR="005675FA" w:rsidRPr="00364545" w14:paraId="18A491DA"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64EDF499" w14:textId="77777777" w:rsidR="00347286" w:rsidRPr="00364545" w:rsidRDefault="00347286" w:rsidP="00FA30E8">
            <w:pPr>
              <w:rPr>
                <w:sz w:val="16"/>
                <w:szCs w:val="16"/>
              </w:rPr>
            </w:pPr>
            <w:r w:rsidRPr="00364545">
              <w:rPr>
                <w:sz w:val="16"/>
              </w:rPr>
              <w:t>Manufacture of transport equipment</w:t>
            </w:r>
          </w:p>
        </w:tc>
        <w:tc>
          <w:tcPr>
            <w:tcW w:w="0" w:type="auto"/>
            <w:noWrap/>
            <w:hideMark/>
          </w:tcPr>
          <w:p w14:paraId="17CD7743"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115</w:t>
            </w:r>
          </w:p>
        </w:tc>
        <w:tc>
          <w:tcPr>
            <w:tcW w:w="0" w:type="auto"/>
            <w:noWrap/>
            <w:hideMark/>
          </w:tcPr>
          <w:p w14:paraId="40650B79"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3.7</w:t>
            </w:r>
          </w:p>
        </w:tc>
        <w:tc>
          <w:tcPr>
            <w:tcW w:w="0" w:type="auto"/>
            <w:noWrap/>
            <w:hideMark/>
          </w:tcPr>
          <w:p w14:paraId="7F75FB64"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0.8</w:t>
            </w:r>
          </w:p>
        </w:tc>
        <w:tc>
          <w:tcPr>
            <w:tcW w:w="0" w:type="auto"/>
            <w:noWrap/>
            <w:hideMark/>
          </w:tcPr>
          <w:p w14:paraId="6C3A34BF"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3.9</w:t>
            </w:r>
          </w:p>
        </w:tc>
        <w:tc>
          <w:tcPr>
            <w:tcW w:w="0" w:type="auto"/>
            <w:noWrap/>
            <w:hideMark/>
          </w:tcPr>
          <w:p w14:paraId="10066253"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3.9</w:t>
            </w:r>
          </w:p>
        </w:tc>
        <w:tc>
          <w:tcPr>
            <w:tcW w:w="0" w:type="auto"/>
            <w:noWrap/>
            <w:hideMark/>
          </w:tcPr>
          <w:p w14:paraId="5FF6C305" w14:textId="77777777" w:rsidR="00347286" w:rsidRPr="00364545"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364545">
              <w:rPr>
                <w:sz w:val="16"/>
              </w:rPr>
              <w:t>5.6</w:t>
            </w:r>
          </w:p>
        </w:tc>
      </w:tr>
      <w:tr w:rsidR="00347286" w:rsidRPr="00364545" w14:paraId="57AD0684"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7C7C1569" w14:textId="77777777" w:rsidR="00347286" w:rsidRPr="00364545" w:rsidRDefault="00347286" w:rsidP="00FA30E8">
            <w:pPr>
              <w:rPr>
                <w:sz w:val="16"/>
                <w:szCs w:val="16"/>
              </w:rPr>
            </w:pPr>
            <w:r w:rsidRPr="00364545">
              <w:rPr>
                <w:sz w:val="16"/>
              </w:rPr>
              <w:t>Manufacture of other industrial products</w:t>
            </w:r>
          </w:p>
        </w:tc>
        <w:tc>
          <w:tcPr>
            <w:tcW w:w="0" w:type="auto"/>
            <w:noWrap/>
            <w:hideMark/>
          </w:tcPr>
          <w:p w14:paraId="3F4E4658"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378</w:t>
            </w:r>
          </w:p>
        </w:tc>
        <w:tc>
          <w:tcPr>
            <w:tcW w:w="0" w:type="auto"/>
            <w:noWrap/>
            <w:hideMark/>
          </w:tcPr>
          <w:p w14:paraId="38ED78B5"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8.0</w:t>
            </w:r>
          </w:p>
        </w:tc>
        <w:tc>
          <w:tcPr>
            <w:tcW w:w="0" w:type="auto"/>
            <w:noWrap/>
            <w:hideMark/>
          </w:tcPr>
          <w:p w14:paraId="093C9053"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6.3</w:t>
            </w:r>
          </w:p>
        </w:tc>
        <w:tc>
          <w:tcPr>
            <w:tcW w:w="0" w:type="auto"/>
            <w:noWrap/>
            <w:hideMark/>
          </w:tcPr>
          <w:p w14:paraId="73796816"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6.9</w:t>
            </w:r>
          </w:p>
        </w:tc>
        <w:tc>
          <w:tcPr>
            <w:tcW w:w="0" w:type="auto"/>
            <w:noWrap/>
            <w:hideMark/>
          </w:tcPr>
          <w:p w14:paraId="139B0D14"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6.2</w:t>
            </w:r>
          </w:p>
        </w:tc>
        <w:tc>
          <w:tcPr>
            <w:tcW w:w="0" w:type="auto"/>
            <w:noWrap/>
            <w:hideMark/>
          </w:tcPr>
          <w:p w14:paraId="3E51801F" w14:textId="77777777" w:rsidR="00347286" w:rsidRPr="00364545"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364545">
              <w:rPr>
                <w:sz w:val="16"/>
              </w:rPr>
              <w:t>7.5</w:t>
            </w:r>
          </w:p>
        </w:tc>
      </w:tr>
      <w:tr w:rsidR="00347286" w:rsidRPr="00364545" w14:paraId="74CB8B2E"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23DFED51" w14:textId="77777777" w:rsidR="00347286" w:rsidRPr="00364545" w:rsidRDefault="00347286" w:rsidP="00FA30E8">
            <w:pPr>
              <w:rPr>
                <w:i/>
                <w:iCs/>
                <w:sz w:val="16"/>
                <w:szCs w:val="16"/>
              </w:rPr>
            </w:pPr>
            <w:r w:rsidRPr="00364545">
              <w:rPr>
                <w:rFonts w:ascii="Calibri" w:hAnsi="Calibri"/>
                <w:i/>
                <w:sz w:val="16"/>
              </w:rPr>
              <w:t>   </w:t>
            </w:r>
            <w:r w:rsidRPr="00364545">
              <w:rPr>
                <w:i/>
                <w:sz w:val="16"/>
              </w:rPr>
              <w:t>including:</w:t>
            </w:r>
          </w:p>
        </w:tc>
        <w:tc>
          <w:tcPr>
            <w:tcW w:w="0" w:type="auto"/>
            <w:gridSpan w:val="6"/>
            <w:noWrap/>
            <w:hideMark/>
          </w:tcPr>
          <w:p w14:paraId="609FFD76" w14:textId="77777777" w:rsidR="00347286" w:rsidRPr="00364545" w:rsidRDefault="00347286" w:rsidP="005675FA">
            <w:pPr>
              <w:jc w:val="right"/>
              <w:cnfStyle w:val="000000100000" w:firstRow="0" w:lastRow="0" w:firstColumn="0" w:lastColumn="0" w:oddVBand="0" w:evenVBand="0" w:oddHBand="1" w:evenHBand="0" w:firstRowFirstColumn="0" w:firstRowLastColumn="0" w:lastRowFirstColumn="0" w:lastRowLastColumn="0"/>
              <w:rPr>
                <w:i/>
                <w:iCs/>
                <w:sz w:val="16"/>
                <w:szCs w:val="16"/>
              </w:rPr>
            </w:pPr>
          </w:p>
        </w:tc>
      </w:tr>
      <w:tr w:rsidR="00347286" w:rsidRPr="00364545" w14:paraId="4E65B2D4"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3FA75275" w14:textId="77777777" w:rsidR="00347286" w:rsidRPr="00364545" w:rsidRDefault="00347286" w:rsidP="00FA30E8">
            <w:pPr>
              <w:rPr>
                <w:i/>
                <w:iCs/>
                <w:sz w:val="16"/>
                <w:szCs w:val="16"/>
              </w:rPr>
            </w:pPr>
            <w:r w:rsidRPr="00364545">
              <w:rPr>
                <w:rFonts w:ascii="Calibri" w:hAnsi="Calibri"/>
                <w:i/>
                <w:sz w:val="16"/>
              </w:rPr>
              <w:t>   </w:t>
            </w:r>
            <w:r w:rsidRPr="00364545">
              <w:rPr>
                <w:i/>
                <w:sz w:val="16"/>
              </w:rPr>
              <w:t>the textile industry, clothing industry, leather and footwear</w:t>
            </w:r>
          </w:p>
        </w:tc>
        <w:tc>
          <w:tcPr>
            <w:tcW w:w="0" w:type="auto"/>
            <w:noWrap/>
            <w:hideMark/>
          </w:tcPr>
          <w:p w14:paraId="111317F7" w14:textId="77777777" w:rsidR="00347286" w:rsidRPr="00364545" w:rsidRDefault="00347286" w:rsidP="005675FA">
            <w:pPr>
              <w:jc w:val="right"/>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17</w:t>
            </w:r>
          </w:p>
        </w:tc>
        <w:tc>
          <w:tcPr>
            <w:tcW w:w="0" w:type="auto"/>
            <w:noWrap/>
            <w:hideMark/>
          </w:tcPr>
          <w:p w14:paraId="248B20D2"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11.8</w:t>
            </w:r>
          </w:p>
        </w:tc>
        <w:tc>
          <w:tcPr>
            <w:tcW w:w="0" w:type="auto"/>
            <w:noWrap/>
            <w:hideMark/>
          </w:tcPr>
          <w:p w14:paraId="0876D3B6"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11.3</w:t>
            </w:r>
          </w:p>
        </w:tc>
        <w:tc>
          <w:tcPr>
            <w:tcW w:w="0" w:type="auto"/>
            <w:noWrap/>
            <w:hideMark/>
          </w:tcPr>
          <w:p w14:paraId="51A4A22A"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17.7</w:t>
            </w:r>
          </w:p>
        </w:tc>
        <w:tc>
          <w:tcPr>
            <w:tcW w:w="0" w:type="auto"/>
            <w:noWrap/>
            <w:hideMark/>
          </w:tcPr>
          <w:p w14:paraId="33EE162D"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8.2</w:t>
            </w:r>
          </w:p>
        </w:tc>
        <w:tc>
          <w:tcPr>
            <w:tcW w:w="0" w:type="auto"/>
            <w:noWrap/>
            <w:hideMark/>
          </w:tcPr>
          <w:p w14:paraId="4FD58BEC"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8.3</w:t>
            </w:r>
          </w:p>
        </w:tc>
      </w:tr>
      <w:tr w:rsidR="005675FA" w:rsidRPr="00364545" w14:paraId="1204BD23"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2E8A3D8B" w14:textId="77777777" w:rsidR="00347286" w:rsidRPr="00364545" w:rsidRDefault="00347286" w:rsidP="00FA30E8">
            <w:pPr>
              <w:rPr>
                <w:i/>
                <w:iCs/>
                <w:sz w:val="16"/>
                <w:szCs w:val="16"/>
              </w:rPr>
            </w:pPr>
            <w:r w:rsidRPr="00364545">
              <w:rPr>
                <w:rFonts w:ascii="Calibri" w:hAnsi="Calibri"/>
                <w:i/>
                <w:sz w:val="16"/>
              </w:rPr>
              <w:t>   </w:t>
            </w:r>
            <w:r w:rsidRPr="00364545">
              <w:rPr>
                <w:i/>
                <w:sz w:val="16"/>
              </w:rPr>
              <w:t>the chemical industry</w:t>
            </w:r>
          </w:p>
        </w:tc>
        <w:tc>
          <w:tcPr>
            <w:tcW w:w="0" w:type="auto"/>
            <w:noWrap/>
            <w:hideMark/>
          </w:tcPr>
          <w:p w14:paraId="0867BEC3" w14:textId="77777777" w:rsidR="00347286" w:rsidRPr="00364545" w:rsidRDefault="00347286" w:rsidP="005675FA">
            <w:pPr>
              <w:jc w:val="right"/>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73</w:t>
            </w:r>
          </w:p>
        </w:tc>
        <w:tc>
          <w:tcPr>
            <w:tcW w:w="0" w:type="auto"/>
            <w:noWrap/>
            <w:hideMark/>
          </w:tcPr>
          <w:p w14:paraId="0F0DFA56"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5.2</w:t>
            </w:r>
          </w:p>
        </w:tc>
        <w:tc>
          <w:tcPr>
            <w:tcW w:w="0" w:type="auto"/>
            <w:noWrap/>
            <w:hideMark/>
          </w:tcPr>
          <w:p w14:paraId="26497143"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5.2</w:t>
            </w:r>
          </w:p>
        </w:tc>
        <w:tc>
          <w:tcPr>
            <w:tcW w:w="0" w:type="auto"/>
            <w:noWrap/>
            <w:hideMark/>
          </w:tcPr>
          <w:p w14:paraId="6A8ADDC5"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6.9</w:t>
            </w:r>
          </w:p>
        </w:tc>
        <w:tc>
          <w:tcPr>
            <w:tcW w:w="0" w:type="auto"/>
            <w:noWrap/>
            <w:hideMark/>
          </w:tcPr>
          <w:p w14:paraId="6C6AC4E0"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4.4</w:t>
            </w:r>
          </w:p>
        </w:tc>
        <w:tc>
          <w:tcPr>
            <w:tcW w:w="0" w:type="auto"/>
            <w:noWrap/>
            <w:hideMark/>
          </w:tcPr>
          <w:p w14:paraId="570FBE4F"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0.9</w:t>
            </w:r>
          </w:p>
        </w:tc>
      </w:tr>
      <w:tr w:rsidR="00347286" w:rsidRPr="00364545" w14:paraId="4C3B5B17"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5AD8926C" w14:textId="77777777" w:rsidR="00347286" w:rsidRPr="00364545" w:rsidRDefault="00347286" w:rsidP="00FA30E8">
            <w:pPr>
              <w:rPr>
                <w:i/>
                <w:iCs/>
                <w:sz w:val="16"/>
                <w:szCs w:val="16"/>
              </w:rPr>
            </w:pPr>
            <w:r w:rsidRPr="00364545">
              <w:rPr>
                <w:rFonts w:ascii="Calibri" w:hAnsi="Calibri"/>
                <w:i/>
                <w:sz w:val="16"/>
              </w:rPr>
              <w:t>   </w:t>
            </w:r>
            <w:r w:rsidRPr="00364545">
              <w:rPr>
                <w:i/>
                <w:sz w:val="16"/>
              </w:rPr>
              <w:t>the pharmaceutical industry</w:t>
            </w:r>
          </w:p>
        </w:tc>
        <w:tc>
          <w:tcPr>
            <w:tcW w:w="0" w:type="auto"/>
            <w:noWrap/>
            <w:hideMark/>
          </w:tcPr>
          <w:p w14:paraId="4176279B" w14:textId="77777777" w:rsidR="00347286" w:rsidRPr="00364545" w:rsidRDefault="00347286" w:rsidP="005675FA">
            <w:pPr>
              <w:jc w:val="right"/>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30</w:t>
            </w:r>
          </w:p>
        </w:tc>
        <w:tc>
          <w:tcPr>
            <w:tcW w:w="0" w:type="auto"/>
            <w:noWrap/>
            <w:hideMark/>
          </w:tcPr>
          <w:p w14:paraId="6CDA2E23"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0.8</w:t>
            </w:r>
          </w:p>
        </w:tc>
        <w:tc>
          <w:tcPr>
            <w:tcW w:w="0" w:type="auto"/>
            <w:noWrap/>
            <w:hideMark/>
          </w:tcPr>
          <w:p w14:paraId="0928E3D6"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-1.2</w:t>
            </w:r>
          </w:p>
        </w:tc>
        <w:tc>
          <w:tcPr>
            <w:tcW w:w="0" w:type="auto"/>
            <w:noWrap/>
            <w:hideMark/>
          </w:tcPr>
          <w:p w14:paraId="00B94A9C"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-3.9</w:t>
            </w:r>
          </w:p>
        </w:tc>
        <w:tc>
          <w:tcPr>
            <w:tcW w:w="0" w:type="auto"/>
            <w:noWrap/>
            <w:hideMark/>
          </w:tcPr>
          <w:p w14:paraId="5F6FE92F"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1.6</w:t>
            </w:r>
          </w:p>
        </w:tc>
        <w:tc>
          <w:tcPr>
            <w:tcW w:w="0" w:type="auto"/>
            <w:noWrap/>
            <w:hideMark/>
          </w:tcPr>
          <w:p w14:paraId="635197D9"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364545">
              <w:rPr>
                <w:i/>
                <w:sz w:val="16"/>
              </w:rPr>
              <w:t>4.3</w:t>
            </w:r>
          </w:p>
        </w:tc>
      </w:tr>
      <w:tr w:rsidR="005675FA" w:rsidRPr="00364545" w14:paraId="3B2B421C"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1C22537B" w14:textId="77777777" w:rsidR="00347286" w:rsidRPr="00364545" w:rsidRDefault="00347286" w:rsidP="00FA30E8">
            <w:pPr>
              <w:rPr>
                <w:i/>
                <w:iCs/>
                <w:sz w:val="16"/>
                <w:szCs w:val="16"/>
              </w:rPr>
            </w:pPr>
            <w:r w:rsidRPr="00364545">
              <w:rPr>
                <w:rFonts w:ascii="Calibri" w:hAnsi="Calibri"/>
                <w:i/>
                <w:sz w:val="16"/>
              </w:rPr>
              <w:t>   </w:t>
            </w:r>
            <w:r w:rsidRPr="00364545">
              <w:rPr>
                <w:i/>
                <w:sz w:val="16"/>
              </w:rPr>
              <w:t>metallurgy and metal products manufacturing except machinery</w:t>
            </w:r>
          </w:p>
        </w:tc>
        <w:tc>
          <w:tcPr>
            <w:tcW w:w="0" w:type="auto"/>
            <w:noWrap/>
            <w:hideMark/>
          </w:tcPr>
          <w:p w14:paraId="6BE94C27" w14:textId="77777777" w:rsidR="00347286" w:rsidRPr="00364545" w:rsidRDefault="00347286" w:rsidP="005675FA">
            <w:pPr>
              <w:jc w:val="right"/>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87</w:t>
            </w:r>
          </w:p>
        </w:tc>
        <w:tc>
          <w:tcPr>
            <w:tcW w:w="0" w:type="auto"/>
            <w:noWrap/>
            <w:hideMark/>
          </w:tcPr>
          <w:p w14:paraId="701B7664"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12.4</w:t>
            </w:r>
          </w:p>
        </w:tc>
        <w:tc>
          <w:tcPr>
            <w:tcW w:w="0" w:type="auto"/>
            <w:noWrap/>
            <w:hideMark/>
          </w:tcPr>
          <w:p w14:paraId="6899CED7"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10.2</w:t>
            </w:r>
          </w:p>
        </w:tc>
        <w:tc>
          <w:tcPr>
            <w:tcW w:w="0" w:type="auto"/>
            <w:noWrap/>
            <w:hideMark/>
          </w:tcPr>
          <w:p w14:paraId="6FA0F953"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8.9</w:t>
            </w:r>
          </w:p>
        </w:tc>
        <w:tc>
          <w:tcPr>
            <w:tcW w:w="0" w:type="auto"/>
            <w:noWrap/>
            <w:hideMark/>
          </w:tcPr>
          <w:p w14:paraId="0D89E296"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10.5</w:t>
            </w:r>
          </w:p>
        </w:tc>
        <w:tc>
          <w:tcPr>
            <w:tcW w:w="0" w:type="auto"/>
            <w:noWrap/>
            <w:hideMark/>
          </w:tcPr>
          <w:p w14:paraId="7DC64AA9" w14:textId="77777777" w:rsidR="00347286" w:rsidRPr="00364545"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364545">
              <w:rPr>
                <w:i/>
                <w:sz w:val="16"/>
              </w:rPr>
              <w:t>1.4</w:t>
            </w:r>
          </w:p>
        </w:tc>
      </w:tr>
      <w:tr w:rsidR="00347286" w:rsidRPr="00364545" w14:paraId="40D02BE6"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05940ACF" w14:textId="77777777" w:rsidR="00347286" w:rsidRPr="00364545" w:rsidRDefault="00347286" w:rsidP="00FA30E8">
            <w:pPr>
              <w:rPr>
                <w:b w:val="0"/>
                <w:bCs w:val="0"/>
                <w:sz w:val="16"/>
                <w:szCs w:val="16"/>
              </w:rPr>
            </w:pPr>
            <w:r w:rsidRPr="00364545">
              <w:rPr>
                <w:sz w:val="16"/>
              </w:rPr>
              <w:t>Together</w:t>
            </w:r>
          </w:p>
        </w:tc>
        <w:tc>
          <w:tcPr>
            <w:tcW w:w="0" w:type="auto"/>
            <w:noWrap/>
            <w:hideMark/>
          </w:tcPr>
          <w:p w14:paraId="1B6F6A7D" w14:textId="77777777" w:rsidR="00347286" w:rsidRPr="00364545" w:rsidRDefault="00347286" w:rsidP="005675FA">
            <w:pPr>
              <w:jc w:val="right"/>
              <w:cnfStyle w:val="000000000000" w:firstRow="0" w:lastRow="0" w:firstColumn="0" w:lastColumn="0" w:oddVBand="0" w:evenVBand="0" w:oddHBand="0" w:evenHBand="0" w:firstRowFirstColumn="0" w:firstRowLastColumn="0" w:lastRowFirstColumn="0" w:lastRowLastColumn="0"/>
              <w:rPr>
                <w:b/>
                <w:bCs/>
                <w:sz w:val="16"/>
                <w:szCs w:val="16"/>
              </w:rPr>
            </w:pPr>
            <w:r w:rsidRPr="00364545">
              <w:rPr>
                <w:b/>
                <w:sz w:val="16"/>
              </w:rPr>
              <w:t>779</w:t>
            </w:r>
          </w:p>
        </w:tc>
        <w:tc>
          <w:tcPr>
            <w:tcW w:w="0" w:type="auto"/>
            <w:noWrap/>
            <w:hideMark/>
          </w:tcPr>
          <w:p w14:paraId="1C54F53C"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364545">
              <w:rPr>
                <w:b/>
                <w:sz w:val="16"/>
              </w:rPr>
              <w:t>6.6</w:t>
            </w:r>
          </w:p>
        </w:tc>
        <w:tc>
          <w:tcPr>
            <w:tcW w:w="0" w:type="auto"/>
            <w:noWrap/>
            <w:hideMark/>
          </w:tcPr>
          <w:p w14:paraId="0250BEA4"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364545">
              <w:rPr>
                <w:b/>
                <w:sz w:val="16"/>
              </w:rPr>
              <w:t>5.3</w:t>
            </w:r>
          </w:p>
        </w:tc>
        <w:tc>
          <w:tcPr>
            <w:tcW w:w="0" w:type="auto"/>
            <w:noWrap/>
            <w:hideMark/>
          </w:tcPr>
          <w:p w14:paraId="6EAE43C3"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364545">
              <w:rPr>
                <w:b/>
                <w:sz w:val="16"/>
              </w:rPr>
              <w:t>7.2</w:t>
            </w:r>
          </w:p>
        </w:tc>
        <w:tc>
          <w:tcPr>
            <w:tcW w:w="0" w:type="auto"/>
            <w:noWrap/>
            <w:hideMark/>
          </w:tcPr>
          <w:p w14:paraId="2E6A73CC"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364545">
              <w:rPr>
                <w:b/>
                <w:sz w:val="16"/>
              </w:rPr>
              <w:t>7.6</w:t>
            </w:r>
          </w:p>
        </w:tc>
        <w:tc>
          <w:tcPr>
            <w:tcW w:w="0" w:type="auto"/>
            <w:noWrap/>
            <w:hideMark/>
          </w:tcPr>
          <w:p w14:paraId="44E92F80" w14:textId="77777777" w:rsidR="00347286" w:rsidRPr="00364545"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364545">
              <w:rPr>
                <w:b/>
                <w:sz w:val="16"/>
              </w:rPr>
              <w:t>4.4</w:t>
            </w:r>
          </w:p>
        </w:tc>
      </w:tr>
    </w:tbl>
    <w:p w14:paraId="0D30EDB3" w14:textId="5F64F36C" w:rsidR="00347286" w:rsidRPr="00364545" w:rsidRDefault="00347286" w:rsidP="00347286">
      <w:pPr>
        <w:rPr>
          <w:sz w:val="16"/>
        </w:rPr>
      </w:pPr>
      <w:r w:rsidRPr="00364545">
        <w:rPr>
          <w:sz w:val="16"/>
        </w:rPr>
        <w:t>1. Exports of goods are valued</w:t>
      </w:r>
      <w:r w:rsidRPr="00364545">
        <w:rPr>
          <w:rFonts w:ascii="Calibri" w:hAnsi="Calibri"/>
          <w:sz w:val="16"/>
        </w:rPr>
        <w:t> </w:t>
      </w:r>
      <w:hyperlink r:id="rId49" w:anchor="c1347" w:history="1">
        <w:r w:rsidRPr="00364545">
          <w:rPr>
            <w:rStyle w:val="Hyperlink"/>
            <w:sz w:val="16"/>
          </w:rPr>
          <w:t>FOB</w:t>
        </w:r>
      </w:hyperlink>
      <w:r w:rsidRPr="00364545">
        <w:rPr>
          <w:sz w:val="16"/>
        </w:rPr>
        <w:t>, imports of goods are valued</w:t>
      </w:r>
      <w:r w:rsidRPr="00364545">
        <w:rPr>
          <w:rFonts w:ascii="Calibri" w:hAnsi="Calibri"/>
          <w:sz w:val="16"/>
        </w:rPr>
        <w:t> </w:t>
      </w:r>
      <w:hyperlink r:id="rId50" w:anchor="c1860" w:history="1">
        <w:r w:rsidRPr="00364545">
          <w:rPr>
            <w:rStyle w:val="Hyperlink"/>
            <w:sz w:val="16"/>
          </w:rPr>
          <w:t>CIF</w:t>
        </w:r>
      </w:hyperlink>
      <w:r w:rsidRPr="00364545">
        <w:rPr>
          <w:sz w:val="16"/>
        </w:rPr>
        <w:t>.</w:t>
      </w:r>
    </w:p>
    <w:p w14:paraId="291BA905" w14:textId="77777777" w:rsidR="00347286" w:rsidRPr="00364545" w:rsidRDefault="00347286" w:rsidP="00347286">
      <w:pPr>
        <w:rPr>
          <w:sz w:val="16"/>
        </w:rPr>
      </w:pPr>
      <w:r w:rsidRPr="00364545">
        <w:rPr>
          <w:sz w:val="16"/>
        </w:rPr>
        <w:t>Note: in 2021, the value of production in the manufacturing industry was €779</w:t>
      </w:r>
      <w:r w:rsidRPr="00364545">
        <w:rPr>
          <w:rFonts w:ascii="Calibri" w:hAnsi="Calibri"/>
          <w:sz w:val="16"/>
        </w:rPr>
        <w:t> </w:t>
      </w:r>
      <w:r w:rsidRPr="00364545">
        <w:rPr>
          <w:sz w:val="16"/>
        </w:rPr>
        <w:t>billion.</w:t>
      </w:r>
    </w:p>
    <w:p w14:paraId="252FF91D" w14:textId="29D56B64" w:rsidR="00347286" w:rsidRPr="00364545" w:rsidRDefault="00347286" w:rsidP="00347286">
      <w:pPr>
        <w:rPr>
          <w:sz w:val="16"/>
        </w:rPr>
      </w:pPr>
      <w:r w:rsidRPr="00364545">
        <w:rPr>
          <w:sz w:val="16"/>
        </w:rPr>
        <w:t>Scope: France.</w:t>
      </w:r>
    </w:p>
    <w:p w14:paraId="71DD57B6" w14:textId="4708097C" w:rsidR="00347286" w:rsidRPr="00364545" w:rsidRDefault="00347286" w:rsidP="00347286">
      <w:pPr>
        <w:pStyle w:val="Caption"/>
        <w:rPr>
          <w:bCs/>
        </w:rPr>
      </w:pPr>
      <w:bookmarkStart w:id="136" w:name="_Toc123916497"/>
      <w:r w:rsidRPr="00364545">
        <w:t xml:space="preserve">Table </w:t>
      </w:r>
      <w:r w:rsidR="003714FB">
        <w:fldChar w:fldCharType="begin"/>
      </w:r>
      <w:r w:rsidR="003714FB">
        <w:instrText xml:space="preserve"> SEQ Tableau \* ARABIC </w:instrText>
      </w:r>
      <w:r w:rsidR="003714FB">
        <w:fldChar w:fldCharType="separate"/>
      </w:r>
      <w:r w:rsidR="009A2FAA">
        <w:rPr>
          <w:noProof/>
        </w:rPr>
        <w:t>5</w:t>
      </w:r>
      <w:r w:rsidR="003714FB">
        <w:rPr>
          <w:noProof/>
        </w:rPr>
        <w:fldChar w:fldCharType="end"/>
      </w:r>
      <w:r w:rsidRPr="00364545">
        <w:t>: Macroeconomic indicators for the manufacturing industry in</w:t>
      </w:r>
      <w:r w:rsidRPr="00364545">
        <w:rPr>
          <w:rFonts w:ascii="Calibri" w:hAnsi="Calibri"/>
        </w:rPr>
        <w:t> </w:t>
      </w:r>
      <w:r w:rsidRPr="00364545">
        <w:t>2021</w:t>
      </w:r>
      <w:bookmarkEnd w:id="136"/>
    </w:p>
    <w:p w14:paraId="3C748E46" w14:textId="79C4DD1D" w:rsidR="00347286" w:rsidRPr="00364545" w:rsidRDefault="00347286" w:rsidP="00347286">
      <w:pPr>
        <w:pStyle w:val="Caption"/>
      </w:pPr>
      <w:r w:rsidRPr="00364545">
        <w:t xml:space="preserve">Source: Insee, </w:t>
      </w:r>
      <w:hyperlink r:id="rId51" w:history="1">
        <w:r w:rsidRPr="00364545">
          <w:t>national accounts - 2014 base.</w:t>
        </w:r>
      </w:hyperlink>
    </w:p>
    <w:p w14:paraId="5F7945E0" w14:textId="77777777" w:rsidR="00347286" w:rsidRPr="00364545" w:rsidRDefault="00347286" w:rsidP="00347286"/>
    <w:p w14:paraId="67891087" w14:textId="390C78E8" w:rsidR="00501FA3" w:rsidRPr="00364545" w:rsidRDefault="00347286" w:rsidP="00347286">
      <w:pPr>
        <w:rPr>
          <w:rFonts w:eastAsia="Calibri"/>
          <w:bCs/>
        </w:rPr>
      </w:pPr>
      <w:r w:rsidRPr="00364545">
        <w:t xml:space="preserve">Employment (full-time equivalent, FTE) in the manufacturing industry declined slightly from 2015 to 2018 before beginning to rise to the end of 2019. Covid resulted in only a moderate decline in 2020. </w:t>
      </w:r>
      <w:r w:rsidRPr="00364545">
        <w:rPr>
          <w:rFonts w:ascii="Calibri" w:hAnsi="Calibri"/>
        </w:rPr>
        <w:t> </w:t>
      </w:r>
      <w:r w:rsidRPr="00364545">
        <w:t>By the end of</w:t>
      </w:r>
      <w:r w:rsidRPr="00364545">
        <w:rPr>
          <w:rFonts w:ascii="Calibri" w:hAnsi="Calibri"/>
        </w:rPr>
        <w:t> </w:t>
      </w:r>
      <w:r w:rsidRPr="00364545">
        <w:t>2020, 3.1</w:t>
      </w:r>
      <w:r w:rsidRPr="00364545">
        <w:rPr>
          <w:rFonts w:ascii="Calibri" w:hAnsi="Calibri"/>
        </w:rPr>
        <w:t> </w:t>
      </w:r>
      <w:r w:rsidRPr="00364545">
        <w:t>million people were employed in the industry. Industrial employment (excluding temporary work) increased slightly again in the fourth quarter of 2021, in line with previous quarters: +0.2</w:t>
      </w:r>
      <w:r w:rsidRPr="00364545">
        <w:rPr>
          <w:rFonts w:ascii="Calibri" w:hAnsi="Calibri"/>
        </w:rPr>
        <w:t> </w:t>
      </w:r>
      <w:r w:rsidRPr="00364545">
        <w:t>% after +0.1% in the second and third quarters of 2021 and +0.2</w:t>
      </w:r>
      <w:r w:rsidRPr="00364545">
        <w:rPr>
          <w:rFonts w:ascii="Calibri" w:hAnsi="Calibri"/>
        </w:rPr>
        <w:t> </w:t>
      </w:r>
      <w:r w:rsidRPr="00364545">
        <w:t>% in the first quarter. However, it fell by 1.9</w:t>
      </w:r>
      <w:r w:rsidRPr="00364545">
        <w:rPr>
          <w:rFonts w:ascii="Calibri" w:hAnsi="Calibri"/>
        </w:rPr>
        <w:t> </w:t>
      </w:r>
      <w:r w:rsidRPr="00364545">
        <w:t>% over the whole of 2020 (−56</w:t>
      </w:r>
      <w:r w:rsidRPr="00364545">
        <w:rPr>
          <w:rFonts w:ascii="Calibri" w:hAnsi="Calibri"/>
        </w:rPr>
        <w:t> </w:t>
      </w:r>
      <w:r w:rsidRPr="00364545">
        <w:t>200 jobs). At the end of December 2021, employment in industry remained below its pre-pandemic level</w:t>
      </w:r>
      <w:r w:rsidRPr="00364545">
        <w:rPr>
          <w:rFonts w:ascii="Calibri" w:hAnsi="Calibri"/>
        </w:rPr>
        <w:t> </w:t>
      </w:r>
      <w:r w:rsidRPr="00364545">
        <w:t>: −1.2</w:t>
      </w:r>
      <w:r w:rsidRPr="00364545">
        <w:rPr>
          <w:rFonts w:ascii="Calibri" w:hAnsi="Calibri"/>
        </w:rPr>
        <w:t> </w:t>
      </w:r>
      <w:r w:rsidRPr="00364545">
        <w:t>% compared to the end of 2019 (or −38</w:t>
      </w:r>
      <w:r w:rsidRPr="00364545">
        <w:rPr>
          <w:rFonts w:ascii="Calibri" w:hAnsi="Calibri"/>
        </w:rPr>
        <w:t> </w:t>
      </w:r>
      <w:r w:rsidRPr="00364545">
        <w:t>200 jobs).</w:t>
      </w:r>
    </w:p>
    <w:p w14:paraId="197DD9EF" w14:textId="4D7D0A0C" w:rsidR="00501FA3" w:rsidRPr="00364545" w:rsidRDefault="00501FA3" w:rsidP="003F57EA">
      <w:pPr>
        <w:pStyle w:val="Titre3Niveau3"/>
      </w:pPr>
      <w:bookmarkStart w:id="137" w:name="_Toc120567452"/>
      <w:bookmarkStart w:id="138" w:name="_Toc138341801"/>
      <w:r w:rsidRPr="00364545">
        <w:t>The agricultural and forestry sectors</w:t>
      </w:r>
      <w:bookmarkEnd w:id="137"/>
      <w:bookmarkEnd w:id="138"/>
    </w:p>
    <w:p w14:paraId="4A1E4572" w14:textId="77777777" w:rsidR="000D2594" w:rsidRPr="00364545" w:rsidRDefault="000D2594" w:rsidP="00EF6DB6">
      <w:pPr>
        <w:pStyle w:val="Titre4niveau4"/>
      </w:pPr>
      <w:r w:rsidRPr="00364545">
        <w:t>Agriculture</w:t>
      </w:r>
    </w:p>
    <w:p w14:paraId="6ABB5F94" w14:textId="1EDFE3E8" w:rsidR="000D2594" w:rsidRPr="00364545" w:rsidRDefault="0096644E" w:rsidP="000D2594">
      <w:r w:rsidRPr="00364545">
        <w:t>In 2020, France had 416,436 farms (390,000 in mainland France), 21% less than in 2010. This decline has been continuous since the 1970s when there were 4 times as many farms, but the decline was at its height between 1988 and 2000, with a drop of 350,000 farms in 12 years. The average annual decline was about 2.3% between 2010 and 2020.</w:t>
      </w:r>
    </w:p>
    <w:p w14:paraId="0E36EEE9" w14:textId="77777777" w:rsidR="0096644E" w:rsidRPr="00364545" w:rsidRDefault="0096644E" w:rsidP="000D2594"/>
    <w:p w14:paraId="314E9EB0" w14:textId="77777777" w:rsidR="000D2594" w:rsidRPr="00364545" w:rsidRDefault="000D2594" w:rsidP="000D2594">
      <w:pPr>
        <w:jc w:val="center"/>
      </w:pPr>
      <w:r w:rsidRPr="00364545">
        <w:rPr>
          <w:noProof/>
          <w:lang w:val="fr-FR"/>
        </w:rPr>
        <w:drawing>
          <wp:inline distT="0" distB="0" distL="0" distR="0" wp14:anchorId="1D3EBA7B" wp14:editId="0A84D3A2">
            <wp:extent cx="4572000" cy="2743200"/>
            <wp:effectExtent l="0" t="0" r="0" b="0"/>
            <wp:docPr id="28690" name="Graphique 28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0B97D9E" w14:textId="3F00F697" w:rsidR="000D2594" w:rsidRPr="00364545" w:rsidRDefault="000D2594" w:rsidP="0045532B">
      <w:pPr>
        <w:pStyle w:val="Caption"/>
      </w:pPr>
      <w:bookmarkStart w:id="139" w:name="_Toc123916434"/>
      <w:r w:rsidRPr="00364545">
        <w:t xml:space="preserve">Figure </w:t>
      </w:r>
      <w:r w:rsidR="003714FB">
        <w:fldChar w:fldCharType="begin"/>
      </w:r>
      <w:r w:rsidR="003714FB">
        <w:instrText xml:space="preserve"> SEQ Figure \* ARABIC </w:instrText>
      </w:r>
      <w:r w:rsidR="003714FB">
        <w:fldChar w:fldCharType="separate"/>
      </w:r>
      <w:r w:rsidR="009A2FAA">
        <w:rPr>
          <w:noProof/>
        </w:rPr>
        <w:t>23</w:t>
      </w:r>
      <w:r w:rsidR="003714FB">
        <w:rPr>
          <w:noProof/>
        </w:rPr>
        <w:fldChar w:fldCharType="end"/>
      </w:r>
      <w:r w:rsidRPr="00364545">
        <w:t>: Changes in the number of farms from 1970 to 2020</w:t>
      </w:r>
      <w:bookmarkEnd w:id="139"/>
    </w:p>
    <w:p w14:paraId="302A8B53" w14:textId="5C8DF3CF" w:rsidR="000D2594" w:rsidRPr="00364545" w:rsidRDefault="000D2594" w:rsidP="0045532B">
      <w:pPr>
        <w:pStyle w:val="Caption"/>
      </w:pPr>
      <w:r w:rsidRPr="00364545">
        <w:t>Source: AGRESTE, 2020 Agricultural Census</w:t>
      </w:r>
    </w:p>
    <w:p w14:paraId="6B2FAA45" w14:textId="77777777" w:rsidR="000D2594" w:rsidRPr="00364545" w:rsidRDefault="000D2594" w:rsidP="000D2594"/>
    <w:p w14:paraId="1EA3FEF9" w14:textId="77777777" w:rsidR="000D2594" w:rsidRPr="00364545" w:rsidRDefault="000D2594" w:rsidP="000D2594">
      <w:r w:rsidRPr="00364545">
        <w:t>The decrease in the number of farms has not been, however, accompanied by a reduction in the surface area of agricultural land, which remained stable overall: with 26.7 Mha, it has only decreased by 1% since 2010. Agriculture still occupies nearly 50% of the space in metropolitan France.</w:t>
      </w:r>
    </w:p>
    <w:p w14:paraId="14794B22" w14:textId="77777777" w:rsidR="000D2594" w:rsidRPr="00364545" w:rsidRDefault="000D2594" w:rsidP="000D2594">
      <w:r w:rsidRPr="00364545">
        <w:t>The decrease in the number of farms has been accompanied by an increase in the average UAA of farms to 69 ha, compared to 55 ha in 2010.</w:t>
      </w:r>
    </w:p>
    <w:p w14:paraId="0C44256E" w14:textId="77777777" w:rsidR="000D2594" w:rsidRPr="00364545" w:rsidRDefault="000D2594" w:rsidP="000D2594">
      <w:pPr>
        <w:jc w:val="center"/>
      </w:pPr>
      <w:r w:rsidRPr="00364545">
        <w:rPr>
          <w:noProof/>
          <w:lang w:val="fr-FR"/>
        </w:rPr>
        <w:drawing>
          <wp:inline distT="0" distB="0" distL="0" distR="0" wp14:anchorId="24B7A440" wp14:editId="34250025">
            <wp:extent cx="4572000" cy="2743200"/>
            <wp:effectExtent l="0" t="0" r="0" b="0"/>
            <wp:docPr id="28691" name="Graphique 28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324E114" w14:textId="3E15E868" w:rsidR="000D2594" w:rsidRPr="00364545" w:rsidRDefault="000D2594" w:rsidP="0045532B">
      <w:pPr>
        <w:pStyle w:val="Caption"/>
      </w:pPr>
      <w:bookmarkStart w:id="140" w:name="_Toc123916435"/>
      <w:r w:rsidRPr="00364545">
        <w:t xml:space="preserve">Figure </w:t>
      </w:r>
      <w:r w:rsidR="003714FB">
        <w:fldChar w:fldCharType="begin"/>
      </w:r>
      <w:r w:rsidR="003714FB">
        <w:instrText xml:space="preserve"> SEQ Figure \*</w:instrText>
      </w:r>
      <w:r w:rsidR="003714FB">
        <w:instrText xml:space="preserve"> ARABIC </w:instrText>
      </w:r>
      <w:r w:rsidR="003714FB">
        <w:fldChar w:fldCharType="separate"/>
      </w:r>
      <w:r w:rsidR="009A2FAA">
        <w:rPr>
          <w:noProof/>
        </w:rPr>
        <w:t>24</w:t>
      </w:r>
      <w:r w:rsidR="003714FB">
        <w:rPr>
          <w:noProof/>
        </w:rPr>
        <w:fldChar w:fldCharType="end"/>
      </w:r>
      <w:r w:rsidRPr="00364545">
        <w:t>: Changes in the average size of farms</w:t>
      </w:r>
      <w:bookmarkEnd w:id="140"/>
    </w:p>
    <w:p w14:paraId="4AF0E270" w14:textId="3C240CB4" w:rsidR="000D2594" w:rsidRPr="00364545" w:rsidRDefault="000D2594" w:rsidP="0045532B">
      <w:pPr>
        <w:pStyle w:val="Caption"/>
      </w:pPr>
      <w:r w:rsidRPr="00364545">
        <w:t>Source: AGRESTE, 2020 Agricultural Census</w:t>
      </w:r>
    </w:p>
    <w:p w14:paraId="2B8649B9" w14:textId="4398DEB7" w:rsidR="000D2594" w:rsidRPr="00364545" w:rsidRDefault="000D2594" w:rsidP="000D2594"/>
    <w:p w14:paraId="59C719C5" w14:textId="4B58FFAF" w:rsidR="000D2594" w:rsidRPr="00364545" w:rsidRDefault="000D2594" w:rsidP="000D2594">
      <w:r w:rsidRPr="00364545">
        <w:t>The distribution of farms by category of UAA has also changed: the number of farms with less than 100 ha decreased, while farms with more than 100 ha increased. Farms of less than 50 ha, however, were still in the majority (54% in 2020).</w:t>
      </w:r>
    </w:p>
    <w:p w14:paraId="4634730F" w14:textId="77777777" w:rsidR="000D2594" w:rsidRPr="00364545" w:rsidRDefault="000D2594" w:rsidP="000D2594"/>
    <w:p w14:paraId="652ECDC7" w14:textId="77777777" w:rsidR="000D2594" w:rsidRPr="00364545" w:rsidRDefault="000D2594" w:rsidP="000D2594">
      <w:pPr>
        <w:jc w:val="center"/>
      </w:pPr>
      <w:r w:rsidRPr="00364545">
        <w:rPr>
          <w:noProof/>
          <w:lang w:val="fr-FR"/>
        </w:rPr>
        <w:drawing>
          <wp:inline distT="0" distB="0" distL="0" distR="0" wp14:anchorId="0A835D91" wp14:editId="6CA93A25">
            <wp:extent cx="4572000" cy="2743200"/>
            <wp:effectExtent l="0" t="0" r="0" b="0"/>
            <wp:docPr id="28692" name="Graphique 28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7C85C97" w14:textId="738C80C3" w:rsidR="000D2594" w:rsidRPr="00364545" w:rsidRDefault="000D2594" w:rsidP="0045532B">
      <w:pPr>
        <w:pStyle w:val="Caption"/>
      </w:pPr>
      <w:bookmarkStart w:id="141" w:name="_Toc123916436"/>
      <w:r w:rsidRPr="00364545">
        <w:t xml:space="preserve">Figure </w:t>
      </w:r>
      <w:r w:rsidR="003714FB">
        <w:fldChar w:fldCharType="begin"/>
      </w:r>
      <w:r w:rsidR="003714FB">
        <w:instrText xml:space="preserve"> SEQ Figure \* ARABIC </w:instrText>
      </w:r>
      <w:r w:rsidR="003714FB">
        <w:fldChar w:fldCharType="separate"/>
      </w:r>
      <w:r w:rsidR="009A2FAA">
        <w:rPr>
          <w:noProof/>
        </w:rPr>
        <w:t>25</w:t>
      </w:r>
      <w:r w:rsidR="003714FB">
        <w:rPr>
          <w:noProof/>
        </w:rPr>
        <w:fldChar w:fldCharType="end"/>
      </w:r>
      <w:r w:rsidRPr="00364545">
        <w:t>: Number of farms by category of UAA</w:t>
      </w:r>
      <w:bookmarkEnd w:id="141"/>
    </w:p>
    <w:p w14:paraId="248B2AC5" w14:textId="7C94DD8D" w:rsidR="000D2594" w:rsidRPr="00364545" w:rsidRDefault="000D2594" w:rsidP="0045532B">
      <w:pPr>
        <w:pStyle w:val="Caption"/>
      </w:pPr>
      <w:r w:rsidRPr="00364545">
        <w:t>Source: AGRESTE, 2020 Agricultural Census</w:t>
      </w:r>
    </w:p>
    <w:p w14:paraId="15AE0AF7" w14:textId="77777777" w:rsidR="000D2594" w:rsidRPr="00364545" w:rsidRDefault="000D2594" w:rsidP="000D2594"/>
    <w:p w14:paraId="50E764F8" w14:textId="77777777" w:rsidR="000D2594" w:rsidRPr="00364545" w:rsidRDefault="000D2594" w:rsidP="000D2594">
      <w:r w:rsidRPr="00364545">
        <w:t>Field crops occupy more than a third of the UAA in metropolitan France, and those specialising in cattle breeding occupy almost as much.</w:t>
      </w:r>
    </w:p>
    <w:p w14:paraId="5819639F" w14:textId="77777777" w:rsidR="000D2594" w:rsidRPr="00364545" w:rsidRDefault="000D2594" w:rsidP="000D2594">
      <w:pPr>
        <w:rPr>
          <w:noProof/>
        </w:rPr>
      </w:pPr>
    </w:p>
    <w:p w14:paraId="610FA952" w14:textId="77777777" w:rsidR="000D2594" w:rsidRPr="00364545" w:rsidRDefault="000D2594" w:rsidP="000D2594">
      <w:pPr>
        <w:jc w:val="center"/>
      </w:pPr>
      <w:r w:rsidRPr="00364545">
        <w:rPr>
          <w:noProof/>
          <w:lang w:val="fr-FR"/>
        </w:rPr>
        <w:drawing>
          <wp:inline distT="0" distB="0" distL="0" distR="0" wp14:anchorId="33289FAB" wp14:editId="38823146">
            <wp:extent cx="4572000" cy="2743200"/>
            <wp:effectExtent l="0" t="0" r="0" b="0"/>
            <wp:docPr id="28693" name="Graphique 286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956926A" w14:textId="3F3918C7" w:rsidR="000D2594" w:rsidRPr="00364545" w:rsidRDefault="000D2594" w:rsidP="0045532B">
      <w:pPr>
        <w:pStyle w:val="Caption"/>
      </w:pPr>
      <w:bookmarkStart w:id="142" w:name="_Toc123916437"/>
      <w:r w:rsidRPr="00364545">
        <w:t xml:space="preserve">Figure </w:t>
      </w:r>
      <w:r w:rsidR="003714FB">
        <w:fldChar w:fldCharType="begin"/>
      </w:r>
      <w:r w:rsidR="003714FB">
        <w:instrText xml:space="preserve"> SEQ Figure \* ARABIC </w:instrText>
      </w:r>
      <w:r w:rsidR="003714FB">
        <w:fldChar w:fldCharType="separate"/>
      </w:r>
      <w:r w:rsidR="009A2FAA">
        <w:rPr>
          <w:noProof/>
        </w:rPr>
        <w:t>26</w:t>
      </w:r>
      <w:r w:rsidR="003714FB">
        <w:rPr>
          <w:noProof/>
        </w:rPr>
        <w:fldChar w:fldCharType="end"/>
      </w:r>
      <w:r w:rsidRPr="00364545">
        <w:t>: Share of UAA according to farm specialisation</w:t>
      </w:r>
      <w:bookmarkEnd w:id="142"/>
    </w:p>
    <w:p w14:paraId="26C97F62" w14:textId="442611A1" w:rsidR="000D2594" w:rsidRPr="00364545" w:rsidRDefault="000D2594" w:rsidP="0045532B">
      <w:pPr>
        <w:pStyle w:val="Caption"/>
      </w:pPr>
      <w:r w:rsidRPr="00364545">
        <w:t>Source: AGRESTE, 2020 Agricultural Census</w:t>
      </w:r>
    </w:p>
    <w:p w14:paraId="1B28A6AC" w14:textId="77777777" w:rsidR="000D2594" w:rsidRPr="00364545" w:rsidRDefault="000D2594" w:rsidP="000D2594"/>
    <w:p w14:paraId="13DFC233" w14:textId="3E968F1E" w:rsidR="000D2594" w:rsidRPr="00364545" w:rsidRDefault="004F5218" w:rsidP="000D2594">
      <w:r w:rsidRPr="00364545">
        <w:t>Alongside the merging of farms, the number of full-time workers in the sector rose to 758,300 in 2020 - 20,8000 fewer than in 2010. The decline in agricultural employment, however, slowed down over the period 2010-2020 with an annual rate of -1.1% compared to -3.4% over the period 1988-2000 which saw the greatest loss of jobs.</w:t>
      </w:r>
    </w:p>
    <w:p w14:paraId="0A29D202" w14:textId="77777777" w:rsidR="000D2594" w:rsidRPr="00364545" w:rsidRDefault="000D2594" w:rsidP="000D2594">
      <w:pPr>
        <w:jc w:val="center"/>
      </w:pPr>
      <w:r w:rsidRPr="00364545">
        <w:rPr>
          <w:noProof/>
          <w:lang w:val="fr-FR"/>
        </w:rPr>
        <w:drawing>
          <wp:inline distT="0" distB="0" distL="0" distR="0" wp14:anchorId="75A90F36" wp14:editId="71B98113">
            <wp:extent cx="4572000" cy="2743200"/>
            <wp:effectExtent l="0" t="0" r="0" b="0"/>
            <wp:docPr id="28694" name="Graphique 286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FC2721D" w14:textId="74E0AB37" w:rsidR="000D2594" w:rsidRPr="00364545" w:rsidRDefault="000D2594" w:rsidP="0045532B">
      <w:pPr>
        <w:pStyle w:val="Caption"/>
      </w:pPr>
      <w:bookmarkStart w:id="143" w:name="_Toc123916438"/>
      <w:r w:rsidRPr="00364545">
        <w:t xml:space="preserve">Figure </w:t>
      </w:r>
      <w:r w:rsidR="003714FB">
        <w:fldChar w:fldCharType="begin"/>
      </w:r>
      <w:r w:rsidR="003714FB">
        <w:instrText xml:space="preserve"> SEQ Figure \* ARABIC </w:instrText>
      </w:r>
      <w:r w:rsidR="003714FB">
        <w:fldChar w:fldCharType="separate"/>
      </w:r>
      <w:r w:rsidR="009A2FAA">
        <w:rPr>
          <w:noProof/>
        </w:rPr>
        <w:t>27</w:t>
      </w:r>
      <w:r w:rsidR="003714FB">
        <w:rPr>
          <w:noProof/>
        </w:rPr>
        <w:fldChar w:fldCharType="end"/>
      </w:r>
      <w:r w:rsidRPr="00364545">
        <w:t>: Changes in full-time equivalent agricultural employment from 1970 to 2020</w:t>
      </w:r>
      <w:bookmarkEnd w:id="143"/>
    </w:p>
    <w:p w14:paraId="57E21D9F" w14:textId="4A6E9D51" w:rsidR="000D2594" w:rsidRPr="00364545" w:rsidRDefault="000D2594" w:rsidP="0045532B">
      <w:pPr>
        <w:pStyle w:val="Caption"/>
      </w:pPr>
      <w:r w:rsidRPr="00364545">
        <w:t>Source: AGRESTE, 2020 Agricultural Census</w:t>
      </w:r>
    </w:p>
    <w:p w14:paraId="189733FB" w14:textId="77777777" w:rsidR="000D2594" w:rsidRPr="00364545" w:rsidRDefault="000D2594" w:rsidP="000D2594">
      <w:pPr>
        <w:rPr>
          <w:highlight w:val="yellow"/>
        </w:rPr>
      </w:pPr>
    </w:p>
    <w:p w14:paraId="7BB1E824" w14:textId="53B7102B" w:rsidR="000D2594" w:rsidRPr="00364545" w:rsidRDefault="00FA4362" w:rsidP="000D2594">
      <w:r w:rsidRPr="00364545">
        <w:t>Agriculture differs from the other sectors in that it has a high level of greenhouse gas emissions not related to energy combustion. The main sources of agricultural emissions in France are methane from livestock (enteric fermentation of ruminants and manure management) and N</w:t>
      </w:r>
      <w:r w:rsidRPr="00364545">
        <w:rPr>
          <w:vertAlign w:val="subscript"/>
        </w:rPr>
        <w:t>2</w:t>
      </w:r>
      <w:r w:rsidRPr="00364545">
        <w:t>O, which is linked to the application of mineral and organic nitrogen fertilisers, as well as crop residues. These two greenhouse gases account for 86% of agriculture's emissions (excluding the land sector). Livestock accounts for 48.7% of agricultural emissions, 84% of which are from cattle. Crops account for 38.4% of agriculture's emissions and 90% of the sector's nitrous oxide emissions, mostly from use of fertilisers.</w:t>
      </w:r>
    </w:p>
    <w:p w14:paraId="7323A39D" w14:textId="77777777" w:rsidR="000D2594" w:rsidRPr="00364545" w:rsidRDefault="000D2594" w:rsidP="00EF6DB6">
      <w:pPr>
        <w:pStyle w:val="Titre4niveau4"/>
      </w:pPr>
      <w:r w:rsidRPr="00364545">
        <w:t>Forest</w:t>
      </w:r>
    </w:p>
    <w:p w14:paraId="3948A5A9" w14:textId="44F31DE9" w:rsidR="000D2594" w:rsidRPr="00364545" w:rsidRDefault="000D2594" w:rsidP="000D2594">
      <w:r w:rsidRPr="00364545">
        <w:t>French forests have been expanding for over a century. They occupied 19% of the territory in 1908 and now occupy 31% of metropolitan France. After several decades of expansion, the slowdown in forest growth in terms of volume is continuing, and is now 2.8 billion cubic metres.</w:t>
      </w:r>
    </w:p>
    <w:p w14:paraId="33082654" w14:textId="77777777" w:rsidR="000D2594" w:rsidRPr="00364545" w:rsidRDefault="000D2594" w:rsidP="000D2594">
      <w:r w:rsidRPr="00364545">
        <w:t>The significant increase is the result of the post-war agricultural revolution and the afforestation policies supported by the National Forestry Fund (1947-1999). Between 1908 and 1985, the average annual rate of afforestation was 50,000 ha, particularly in the Massif Central and the tip of Brittany. This rate increased after 1985 to 80,000 ha/year.</w:t>
      </w:r>
    </w:p>
    <w:p w14:paraId="5AB32780" w14:textId="77777777" w:rsidR="000D2594" w:rsidRPr="00364545" w:rsidRDefault="000D2594" w:rsidP="000D2594"/>
    <w:p w14:paraId="25FF422D" w14:textId="77777777" w:rsidR="000D2594" w:rsidRPr="00364545" w:rsidRDefault="000D2594" w:rsidP="000D2594">
      <w:pPr>
        <w:jc w:val="center"/>
      </w:pPr>
      <w:r w:rsidRPr="00364545">
        <w:rPr>
          <w:noProof/>
          <w:lang w:val="fr-FR"/>
        </w:rPr>
        <w:drawing>
          <wp:inline distT="0" distB="0" distL="0" distR="0" wp14:anchorId="7499BCD8" wp14:editId="48EEAFEA">
            <wp:extent cx="4572000" cy="2743200"/>
            <wp:effectExtent l="0" t="0" r="0" b="0"/>
            <wp:docPr id="28695" name="Graphique 286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EA24A95" w14:textId="53898A4A" w:rsidR="000D2594" w:rsidRPr="00364545" w:rsidRDefault="000D2594" w:rsidP="0045532B">
      <w:pPr>
        <w:pStyle w:val="Caption"/>
      </w:pPr>
      <w:bookmarkStart w:id="144" w:name="_Toc123916439"/>
      <w:r w:rsidRPr="00364545">
        <w:t xml:space="preserve">Figure </w:t>
      </w:r>
      <w:r w:rsidR="003714FB">
        <w:fldChar w:fldCharType="begin"/>
      </w:r>
      <w:r w:rsidR="003714FB">
        <w:instrText xml:space="preserve"> SEQ Figure \* ARABIC </w:instrText>
      </w:r>
      <w:r w:rsidR="003714FB">
        <w:fldChar w:fldCharType="separate"/>
      </w:r>
      <w:r w:rsidR="009A2FAA">
        <w:rPr>
          <w:noProof/>
        </w:rPr>
        <w:t>28</w:t>
      </w:r>
      <w:r w:rsidR="003714FB">
        <w:rPr>
          <w:noProof/>
        </w:rPr>
        <w:fldChar w:fldCharType="end"/>
      </w:r>
      <w:r w:rsidRPr="00364545">
        <w:t>: Changes in the forest area in France from 1840 to 2021</w:t>
      </w:r>
      <w:bookmarkEnd w:id="144"/>
    </w:p>
    <w:p w14:paraId="117C09E9" w14:textId="5313EA6E" w:rsidR="000D2594" w:rsidRPr="00364545" w:rsidRDefault="000D2594" w:rsidP="0045532B">
      <w:pPr>
        <w:pStyle w:val="Caption"/>
      </w:pPr>
      <w:r w:rsidRPr="00364545">
        <w:t>Source: IGN, National Forest Inventory for 2022</w:t>
      </w:r>
    </w:p>
    <w:p w14:paraId="5F79FD88" w14:textId="7E7F587A" w:rsidR="000D2594" w:rsidRPr="00364545" w:rsidRDefault="000D2594" w:rsidP="000D2594"/>
    <w:p w14:paraId="6DB55A52" w14:textId="4A1F6B18" w:rsidR="000D2594" w:rsidRPr="00364545" w:rsidRDefault="000D2594" w:rsidP="000D2594">
      <w:r w:rsidRPr="00364545">
        <w:t>The latest national forest inventory shows a decrease in net biological productivity in forests, which can be explained by an increase in tree mortality. There are many factors for this (drought, heat wave, insects, fungi, bacteria, etc.) and their respective roles are not known.</w:t>
      </w:r>
    </w:p>
    <w:p w14:paraId="18091BD3" w14:textId="77777777" w:rsidR="00D15C46" w:rsidRPr="00364545" w:rsidRDefault="00D15C46" w:rsidP="00D15C46">
      <w:pPr>
        <w:spacing w:before="240" w:after="240"/>
      </w:pPr>
      <w:r w:rsidRPr="00364545">
        <w:t xml:space="preserve">The increase in carbon sinks in France is above all characterised by the state of transition which forested areas in metropolitan France have been experiencing for over a century. This is characterised by an increase in the wooded area and an increase in the volume of wood per hectare. This long-term trend has its roots in the industrial revolution of the 19th century. Throughout the 20th century, this led, on the one hand, to the abandonment of agriculture and a return of agricultural land to the forest, and on the other, to the abandonment of rural areas, which, combined with the emerging use of fossil fuels, led to a steady decline in the harvesting of coppiced trees for heating. As the amount of land being cleared remains low, the result has been a forest whose surface area has increased at the same rate as agriculture has been abandoned, the extent and history of which varies greatly from region to region. In addition, the longer periods of time between rotations and phases following the gradual abandonment of the techniques of coppicing and coppicing with standards has led to an increase in the average diameter of trees in French forests and therefore an increase in the volume of wood per hectare. However, the increases in surface area and volume are the result of two different processes which are not synchronous and not always correlated in terms of space. </w:t>
      </w:r>
    </w:p>
    <w:p w14:paraId="307D3D61" w14:textId="77777777" w:rsidR="00D15C46" w:rsidRPr="00364545" w:rsidRDefault="00D15C46" w:rsidP="00D15C46">
      <w:pPr>
        <w:spacing w:before="240" w:after="240"/>
      </w:pPr>
      <w:r w:rsidRPr="00364545">
        <w:t xml:space="preserve">The expansion of the forest area in the country is currently mainly in the form of natural growth, but it has also benefited from major afforestation campaigns, such as the one undertaken by the National Forest Fund (FFN) between 1947 and the end of the 1990s, which enabled the planting of one million hectares of coniferous stands (spruce, Douglas fir, Laricio pine). In the period between 1990 and 2010, the forest area increased by two million hectares due to the afforestation of shrub heathland. </w:t>
      </w:r>
    </w:p>
    <w:p w14:paraId="4FA886E8" w14:textId="6E590907" w:rsidR="00D15C46" w:rsidRPr="00364545" w:rsidRDefault="00D15C46" w:rsidP="00D15C46">
      <w:pPr>
        <w:spacing w:before="240" w:after="240"/>
      </w:pPr>
      <w:r w:rsidRPr="00364545">
        <w:t>The forest in metropolitan France covers a little less than a third of the territory (17.1 Mha). It is a very diverse forest compared to its European neighbours: 190 species grouped into 70 varieties are widely present,</w:t>
      </w:r>
      <w:r w:rsidRPr="00364545">
        <w:rPr>
          <w:rStyle w:val="FootnoteReference"/>
        </w:rPr>
        <w:footnoteReference w:id="9"/>
      </w:r>
      <w:r w:rsidRPr="00364545">
        <w:t xml:space="preserve"> 13 of which account for 82% of the volume of living standing timber</w:t>
      </w:r>
      <w:r w:rsidRPr="00364545">
        <w:rPr>
          <w:rStyle w:val="FootnoteReference"/>
        </w:rPr>
        <w:footnoteReference w:id="10"/>
      </w:r>
      <w:r w:rsidRPr="00364545">
        <w:t>. The forest is predominantly deciduous (oak, beech) over two thirds of its area. Three quarters of the forest area in metropolitan France is privately owned (9% is owned by the state and 16% by local authorities). 3.3 million French people are forest owners, but just 11% of them own 76% of the private forest area</w:t>
      </w:r>
      <w:r w:rsidRPr="00364545">
        <w:rPr>
          <w:rStyle w:val="FootnoteReference"/>
        </w:rPr>
        <w:footnoteReference w:id="11"/>
      </w:r>
      <w:r w:rsidRPr="00364545">
        <w:t xml:space="preserve">. Many forests are difficult to access for geographical reasons (mountainous terrain) or due to a lack of access infrastructure. Overall, these various aspects contribute to the fact that about half of the biological growth is harvested each year, leading to a build-up of capital. Forests in France are growing both in terms of area and volume per hectare. </w:t>
      </w:r>
    </w:p>
    <w:p w14:paraId="6D02FCDC" w14:textId="047A9286" w:rsidR="00D15C46" w:rsidRPr="00364545" w:rsidRDefault="00D15C46" w:rsidP="00D15C46">
      <w:pPr>
        <w:spacing w:before="240" w:after="240"/>
      </w:pPr>
      <w:r w:rsidRPr="00364545">
        <w:t>However, the latest inventories of forests show that in metropolitan France, annual biological production is slightly down on the figures for previous years (an average of 87.8 million cubic metres (Mm³/year) over the period 2012-2020, with a statistical uncertainty of around 1.3 Mm³/year, compared with 91.5 Mm³/year over the period 2005-2013). In addition, mortality has tended to increase in recent years (averaging 11.4 million cubic metres (Mm3/year) over the period 2012-2020, with a statistical uncertainty of around 0.4 Mm3/year, compared with 7.4 Mm³/year over the period 2005-2013). These changes are due in particular to health crises linked to climatic conditions which are both difficult for trees (droughts) and favourable to wood-eating insects, particularly bark beetles.</w:t>
      </w:r>
    </w:p>
    <w:p w14:paraId="0F4C55DD" w14:textId="017FEB74" w:rsidR="00D15C46" w:rsidRPr="00364545" w:rsidRDefault="00D15C46" w:rsidP="00D15C46">
      <w:pPr>
        <w:spacing w:before="240" w:after="240"/>
      </w:pPr>
      <w:r w:rsidRPr="00364545">
        <w:t>The French forestry and wood industry accounts for around 400</w:t>
      </w:r>
      <w:r w:rsidRPr="00364545">
        <w:rPr>
          <w:rFonts w:ascii="Calibri" w:hAnsi="Calibri"/>
        </w:rPr>
        <w:t>,</w:t>
      </w:r>
      <w:r w:rsidRPr="00364545">
        <w:t>000 direct and indirect jobs and €25 billion in added value</w:t>
      </w:r>
      <w:r w:rsidRPr="00364545">
        <w:rPr>
          <w:rStyle w:val="FootnoteReference"/>
        </w:rPr>
        <w:footnoteReference w:id="12"/>
      </w:r>
      <w:r w:rsidRPr="00364545">
        <w:t>. The forestry sector remains a sector which has a significant impact on the trade deficit in France, with a deficit which has been growing since 2016 and reached € 8.6 billion in 2021</w:t>
      </w:r>
      <w:r w:rsidRPr="00364545">
        <w:rPr>
          <w:rStyle w:val="FootnoteReference"/>
        </w:rPr>
        <w:footnoteReference w:id="13"/>
      </w:r>
      <w:r w:rsidRPr="00364545">
        <w:t xml:space="preserve">. The main loss-making sectors are, in decreasing order, furniture, paper/cardboard, other mechanically processed wood products (joinery, profiled timber) and coniferous sawn timber, whereas raw timber is slightly in surplus. Hardwood represented two thirds of the standing volume, but half of the harvest and only 13% of the sawn timber volume in 2018 due to the lack of outlets for these species (solid wood furniture) and the economic difficulties of primary processing companies. Softwoods, which are easier to process and whose supply has been standardised as a result of pressure from competitive industries in Northern Europe, have more promising outlets, particularly in the construction industry. </w:t>
      </w:r>
    </w:p>
    <w:p w14:paraId="7E86C21E" w14:textId="68BC3E09" w:rsidR="00D15C46" w:rsidRPr="00364545" w:rsidRDefault="00D15C46" w:rsidP="00D15C46">
      <w:pPr>
        <w:spacing w:before="240" w:after="240"/>
      </w:pPr>
      <w:r w:rsidRPr="00364545">
        <w:t xml:space="preserve">The forests of Guadeloupe, French Guiana, Martinique, Mayotte, La Réunion and Saint-Pierre and Miquelon represent 8.24 million hectares, i.e. more than a third of the French forest, 97% of which is in French Guiana. From the mangrove swamps in the West Indies and Mauritius, the vast primary forests in French Guiana and the forests in the mountains of La Réunion to the boreal forests in Saint Pierre and Miquelon, forests in overseas France are very diverse and have an exceptional biodiversity. France is one of the only developed countries to own tropical forests and therefore has a particular responsibility to set an example as regards their protection and sustainable management. </w:t>
      </w:r>
    </w:p>
    <w:p w14:paraId="12D1FA01" w14:textId="77777777" w:rsidR="00D15C46" w:rsidRPr="00364545" w:rsidRDefault="00D15C46" w:rsidP="00D15C46">
      <w:pPr>
        <w:spacing w:before="240" w:after="240"/>
      </w:pPr>
      <w:r w:rsidRPr="00364545">
        <w:t xml:space="preserve">Logging remains on a small scale but enables economic activity to be maintained by supplying local processing industries, mainly for the domestic market (one of the main economic sectors in French Guiana). In French Guiana, the National Forestry Office (ONF) is developing this natural area in a sustainable manner in order to protect its resources, while promoting the development of forestry and eco-tourism. The demand for timber, particularly for construction, is high in this department which is experiencing a rapid growth in population. In the West Indies, Mayotte and La Réunion, forest management focuses on the protection of the environment, the restoration of degraded land and welcoming the public. Timber harvesting remains low, but the timber industry is a significant economic activity (several thousand jobs). </w:t>
      </w:r>
    </w:p>
    <w:p w14:paraId="365590A2" w14:textId="18A4E013" w:rsidR="00501FA3" w:rsidRPr="00364545" w:rsidRDefault="00D15C46" w:rsidP="00A47B71">
      <w:pPr>
        <w:spacing w:before="240" w:after="240"/>
        <w:rPr>
          <w:highlight w:val="yellow"/>
        </w:rPr>
      </w:pPr>
      <w:r w:rsidRPr="00364545">
        <w:t>Public forests in the French overseas departments are managed sustainably by the ONF. Private forests in overseas France are very poorly managed, even though they represent more than half of the forests in the West Indies and 40% of the forests in Mayotte. The wood sector relies almost exclusively on wood produced by the ONF or imported.</w:t>
      </w:r>
    </w:p>
    <w:p w14:paraId="0B9A7723" w14:textId="00D5333B" w:rsidR="00501FA3" w:rsidRPr="00364545" w:rsidRDefault="00501FA3" w:rsidP="003F57EA">
      <w:pPr>
        <w:pStyle w:val="Titre3Niveau3"/>
      </w:pPr>
      <w:bookmarkStart w:id="145" w:name="_Toc120567453"/>
      <w:bookmarkStart w:id="146" w:name="_Toc138341802"/>
      <w:r w:rsidRPr="00364545">
        <w:t>Waste</w:t>
      </w:r>
      <w:bookmarkEnd w:id="145"/>
      <w:bookmarkEnd w:id="146"/>
    </w:p>
    <w:p w14:paraId="29D81C7D" w14:textId="77777777" w:rsidR="004F5218" w:rsidRPr="00364545" w:rsidRDefault="004F5218" w:rsidP="004F5218">
      <w:r w:rsidRPr="00364545">
        <w:t>Between the year 2000 and 2014, spending on environmental protection increased by an annual average of 3.5%, compared to a 2.6% growth in gross domestic product (GDP) in value terms over this period, reaching €47.6 billion in 2014. The size of this expenditure remains modest: 1.4% of GDP. Waste management and wastewater treatment continue to be the main components of this total: 36% and 27% respectively in 2014.</w:t>
      </w:r>
    </w:p>
    <w:p w14:paraId="62C9AF90" w14:textId="77777777" w:rsidR="004F5218" w:rsidRPr="00364545" w:rsidRDefault="004F5218" w:rsidP="004F5218"/>
    <w:p w14:paraId="6E612471" w14:textId="77777777" w:rsidR="004F5218" w:rsidRPr="00364545" w:rsidRDefault="004F5218" w:rsidP="004F5218">
      <w:r w:rsidRPr="00364545">
        <w:t xml:space="preserve">The disposal of municipal waste in landfill has been decreasing since the year 2000. At the same time, the percentage of recycled waste increased from 13% in the year 2000 to 22% in 2015. This reflects the effects of policies to implement recycle streams for metal, glass and paper and cardboard over this period. The rate of material and organic recycling of municipal waste has now reached 40%.  France is exporting increasing amounts of raw materials for recycling: up 75% from 1999 to 2014. </w:t>
      </w:r>
    </w:p>
    <w:p w14:paraId="1FBFE9EE" w14:textId="77777777" w:rsidR="004F5218" w:rsidRPr="00364545" w:rsidRDefault="004F5218" w:rsidP="004F5218"/>
    <w:p w14:paraId="207E1213" w14:textId="77777777" w:rsidR="004F5218" w:rsidRPr="00CA0A8D" w:rsidRDefault="004F5218" w:rsidP="004F5218">
      <w:r w:rsidRPr="00CA0A8D">
        <w:t>The graph below illustrates these trends.</w:t>
      </w:r>
    </w:p>
    <w:p w14:paraId="1F8828BD" w14:textId="4740227B" w:rsidR="004F5218" w:rsidRDefault="004F5218" w:rsidP="004F5218">
      <w:pPr>
        <w:rPr>
          <w:highlight w:val="yellow"/>
        </w:rPr>
      </w:pPr>
    </w:p>
    <w:p w14:paraId="0277975D" w14:textId="034E8C5B" w:rsidR="00CA0A8D" w:rsidRDefault="00CA0A8D" w:rsidP="004F5218">
      <w:pPr>
        <w:rPr>
          <w:highlight w:val="yellow"/>
        </w:rPr>
      </w:pPr>
    </w:p>
    <w:p w14:paraId="776B280B" w14:textId="65021C08" w:rsidR="00CA0A8D" w:rsidRPr="00364545" w:rsidRDefault="00CA0A8D" w:rsidP="003B0314">
      <w:pPr>
        <w:jc w:val="center"/>
        <w:rPr>
          <w:highlight w:val="yellow"/>
        </w:rPr>
      </w:pPr>
      <w:r>
        <w:rPr>
          <w:noProof/>
          <w:lang w:val="fr-FR"/>
        </w:rPr>
        <w:drawing>
          <wp:inline distT="0" distB="0" distL="0" distR="0" wp14:anchorId="1CFA3CDE" wp14:editId="46FDE1F2">
            <wp:extent cx="2481580" cy="219456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81580" cy="2194560"/>
                    </a:xfrm>
                    <a:prstGeom prst="rect">
                      <a:avLst/>
                    </a:prstGeom>
                    <a:noFill/>
                  </pic:spPr>
                </pic:pic>
              </a:graphicData>
            </a:graphic>
          </wp:inline>
        </w:drawing>
      </w:r>
    </w:p>
    <w:p w14:paraId="458F993A" w14:textId="77777777" w:rsidR="004F5218" w:rsidRPr="00364545" w:rsidRDefault="004F5218" w:rsidP="004F5218">
      <w:pPr>
        <w:rPr>
          <w:highlight w:val="yellow"/>
        </w:rPr>
      </w:pPr>
    </w:p>
    <w:p w14:paraId="30F6133F" w14:textId="77777777" w:rsidR="004F5218" w:rsidRPr="00364545" w:rsidRDefault="004F5218" w:rsidP="004F5218">
      <w:r w:rsidRPr="00CA0A8D">
        <w:t>Figure 1.19 Fate of household and similar waste by treatment method between 2000 and 2015 Source ADEME-SDES (The Data and Statistical studies Department)</w:t>
      </w:r>
    </w:p>
    <w:p w14:paraId="6B4D352C" w14:textId="77777777" w:rsidR="004F5218" w:rsidRPr="00364545" w:rsidRDefault="004F5218" w:rsidP="004F5218"/>
    <w:p w14:paraId="0BFDB84C" w14:textId="77777777" w:rsidR="004F5218" w:rsidRPr="00364545" w:rsidRDefault="004F5218" w:rsidP="004F5218">
      <w:r w:rsidRPr="00364545">
        <w:t xml:space="preserve">Almost 324 million tonnes of waste were produced in France in 2014, 71% of which came from the construction sector and 9% from households. Municipal waste collected in 2015 (excluding excavated material and rubble) amounted to 34.2 million tonnes, half of which was collected through waste sorting. </w:t>
      </w:r>
    </w:p>
    <w:p w14:paraId="1F93F0E3" w14:textId="77777777" w:rsidR="004F5218" w:rsidRPr="00364545" w:rsidRDefault="004F5218" w:rsidP="004F5218"/>
    <w:p w14:paraId="31DAA8FD" w14:textId="271FC1A6" w:rsidR="00015530" w:rsidRPr="00364545" w:rsidRDefault="004F5218" w:rsidP="004F5218">
      <w:r w:rsidRPr="00364545">
        <w:t>The economical use of resources is one of the four challenges of the National Strategy of Ecological Transition to Sustainable Development 2015-2020 (SNTEDD) which was adopted in 2015. As a response, it calls for a commitment to the circular and low-carbon economy by implementing a more resource-efficient industrial policy, limiting the production of waste and recycling it, relying more on renewable energy and preserving the quantity and quality of inland bodies of water.</w:t>
      </w:r>
    </w:p>
    <w:p w14:paraId="76233584" w14:textId="545AAA51" w:rsidR="006D5177" w:rsidRPr="00364545" w:rsidRDefault="006D5177">
      <w:pPr>
        <w:spacing w:line="240" w:lineRule="atLeast"/>
        <w:jc w:val="left"/>
        <w:rPr>
          <w:rFonts w:eastAsiaTheme="majorEastAsia" w:cstheme="majorBidi"/>
          <w:bCs/>
          <w:spacing w:val="-10"/>
          <w:kern w:val="28"/>
          <w:sz w:val="48"/>
          <w:szCs w:val="56"/>
        </w:rPr>
      </w:pPr>
    </w:p>
    <w:p w14:paraId="0204D4EE" w14:textId="77777777" w:rsidR="00485BE5" w:rsidRPr="00364545" w:rsidRDefault="00485BE5">
      <w:pPr>
        <w:spacing w:before="0" w:after="0" w:line="240" w:lineRule="atLeast"/>
        <w:jc w:val="left"/>
        <w:rPr>
          <w:rFonts w:eastAsiaTheme="majorEastAsia" w:cstheme="majorBidi"/>
          <w:bCs/>
          <w:spacing w:val="-10"/>
          <w:kern w:val="28"/>
          <w:sz w:val="48"/>
          <w:szCs w:val="56"/>
        </w:rPr>
      </w:pPr>
      <w:bookmarkStart w:id="147" w:name="ChapitreIII"/>
      <w:r w:rsidRPr="00364545">
        <w:br w:type="page"/>
      </w:r>
    </w:p>
    <w:p w14:paraId="6CC3EDFF" w14:textId="498B59E7" w:rsidR="0051771F" w:rsidRPr="00364545" w:rsidRDefault="0051771F" w:rsidP="0062059A">
      <w:pPr>
        <w:pStyle w:val="Titre1Niveau1"/>
        <w:ind w:left="0" w:right="27"/>
      </w:pPr>
      <w:bookmarkStart w:id="148" w:name="_Toc138341803"/>
      <w:r w:rsidRPr="00364545">
        <w:t>Chapter III - Information regarding the greenhouse gas inventory</w:t>
      </w:r>
      <w:bookmarkEnd w:id="148"/>
    </w:p>
    <w:p w14:paraId="6AE62487" w14:textId="77777777" w:rsidR="00977B34" w:rsidRPr="00364545" w:rsidRDefault="00977B34" w:rsidP="00E524AF">
      <w:pPr>
        <w:pStyle w:val="Titre2Niveau2"/>
        <w:numPr>
          <w:ilvl w:val="0"/>
          <w:numId w:val="98"/>
        </w:numPr>
      </w:pPr>
      <w:bookmarkStart w:id="149" w:name="_Toc120568033"/>
      <w:bookmarkStart w:id="150" w:name="_Toc138341804"/>
      <w:bookmarkEnd w:id="147"/>
      <w:r w:rsidRPr="00364545">
        <w:t>Summary tables</w:t>
      </w:r>
      <w:bookmarkEnd w:id="149"/>
      <w:bookmarkEnd w:id="150"/>
    </w:p>
    <w:p w14:paraId="1A142CEE" w14:textId="77777777" w:rsidR="00977B34" w:rsidRPr="00364545" w:rsidRDefault="00977B34" w:rsidP="00977B34">
      <w:r w:rsidRPr="00364545">
        <w:t>As part of its obligations under the United Nations Framework Convention on Climate Change (UNFCCC), France is required to submit greenhouse gas inventories for two separate geographical areas:</w:t>
      </w:r>
    </w:p>
    <w:p w14:paraId="130C70DE" w14:textId="0AC92934" w:rsidR="00977B34" w:rsidRPr="00364545" w:rsidRDefault="00977B34" w:rsidP="00BE086C">
      <w:pPr>
        <w:pStyle w:val="ListParagraph"/>
        <w:numPr>
          <w:ilvl w:val="0"/>
          <w:numId w:val="21"/>
        </w:numPr>
        <w:jc w:val="left"/>
      </w:pPr>
      <w:r w:rsidRPr="00364545">
        <w:t>The "Kyoto" area, which includes all French territories that are also considered as European Union territories. In addition to mainland France (including Corsica), this includes the seven French outermost regions: French Guiana, Guadeloupe, Saint-Martin (since 2012), Martinique, Reunion and Mayotte (since 2014). These are the regions included in the implementation of the Kyoto Protocol.</w:t>
      </w:r>
    </w:p>
    <w:p w14:paraId="5F52B649" w14:textId="77777777" w:rsidR="00977B34" w:rsidRPr="00364545" w:rsidRDefault="00977B34" w:rsidP="00BE086C">
      <w:pPr>
        <w:pStyle w:val="ListParagraph"/>
        <w:numPr>
          <w:ilvl w:val="0"/>
          <w:numId w:val="21"/>
        </w:numPr>
        <w:jc w:val="left"/>
      </w:pPr>
      <w:r w:rsidRPr="00364545">
        <w:t>The "Convention" area, which covers the whole of France: in addition to the "Kyoto" area, there are the Overseas Countries and Territories (OCTs): New Caledonia, French Polynesia, Wallis and Futuna, Saint Barthélemy and Saint-Pierre-et-Miquelon.</w:t>
      </w:r>
    </w:p>
    <w:p w14:paraId="0327ECDC" w14:textId="77777777" w:rsidR="00977B34" w:rsidRPr="00364545" w:rsidRDefault="00977B34" w:rsidP="00977B34"/>
    <w:p w14:paraId="2DB65B56" w14:textId="77777777" w:rsidR="00977B34" w:rsidRPr="00364545" w:rsidRDefault="00977B34" w:rsidP="00977B34">
      <w:r w:rsidRPr="00364545">
        <w:t>In order to ensure the best possible level of consistency with the data presented by the European Union as a party, the scope of the Kyoto Protocol is used in the following. The figures presented are those submitted to the secretariat of the UNFCCC as of 15 April 2022 covering the period 1990-2020. Following the review of this inventory by the team of experts, the figures may be subject to change to include any corrections.</w:t>
      </w:r>
    </w:p>
    <w:p w14:paraId="47DABA8D" w14:textId="77777777" w:rsidR="00977B34" w:rsidRPr="00364545" w:rsidRDefault="00977B34" w:rsidP="00977B34"/>
    <w:p w14:paraId="2D338891" w14:textId="7F64510F" w:rsidR="00977B34" w:rsidRPr="00364545" w:rsidRDefault="00977B34" w:rsidP="00977B34">
      <w:r w:rsidRPr="00364545">
        <w:t>In 2020, French greenhouse gas emissions within the "Kyoto" area were estimated at 392.9 MtCO</w:t>
      </w:r>
      <w:r w:rsidRPr="00364545">
        <w:rPr>
          <w:vertAlign w:val="subscript"/>
        </w:rPr>
        <w:t>2eq</w:t>
      </w:r>
      <w:r w:rsidRPr="00364545">
        <w:t xml:space="preserve"> excluding the land sector (378.9 MtCO</w:t>
      </w:r>
      <w:r w:rsidRPr="00364545">
        <w:rPr>
          <w:vertAlign w:val="subscript"/>
        </w:rPr>
        <w:t>2eq</w:t>
      </w:r>
      <w:r w:rsidRPr="00364545">
        <w:t xml:space="preserve"> including it). After relative emissions stability in the 1990s, there was a sharp decrease from 2005 onwards. Emissions increased again between 2014 and 2018. In addition to a higher climate severity index, this was caused by low fuel prices and the unavailability of some nuclear power plants due to maintenance work. This non-availability resulted in an increased use of fossil fuels (oil, gas, coal). From 2018 onwards, emissions started to decrease again. Emissions fell dramatically (-9.5% excluding the land sector) in the year 2020. In addition to the effects of the policies implemented in France, this trend can be linked to the containment measures implemented to combat the Covid-19 pandemic. These include the successive lockdowns and the growth in working remotely which had a major effect on the country's production (-13.6% for industry emissions) and on travel (-16.8% for emissions from transport excluding international air travel).</w:t>
      </w:r>
    </w:p>
    <w:p w14:paraId="286F6C1B" w14:textId="77777777" w:rsidR="008E6688" w:rsidRPr="00364545" w:rsidRDefault="008E6688" w:rsidP="00977B34"/>
    <w:p w14:paraId="2D0AF83F" w14:textId="77777777" w:rsidR="00977B34" w:rsidRPr="00364545" w:rsidRDefault="00977B34" w:rsidP="00977B34">
      <w:pPr>
        <w:jc w:val="center"/>
      </w:pPr>
      <w:r w:rsidRPr="00364545">
        <w:rPr>
          <w:noProof/>
          <w:lang w:val="fr-FR"/>
        </w:rPr>
        <w:drawing>
          <wp:inline distT="0" distB="0" distL="0" distR="0" wp14:anchorId="5A16F0AB" wp14:editId="3D1BC11D">
            <wp:extent cx="4791456" cy="2193798"/>
            <wp:effectExtent l="0" t="0" r="9525" b="16510"/>
            <wp:docPr id="16"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CE8C386" w14:textId="7C3AB8C9" w:rsidR="00C469A8" w:rsidRPr="00364545" w:rsidRDefault="00C469A8" w:rsidP="0045532B">
      <w:pPr>
        <w:pStyle w:val="Caption"/>
      </w:pPr>
      <w:bookmarkStart w:id="151" w:name="_Toc123916440"/>
      <w:r w:rsidRPr="00364545">
        <w:t xml:space="preserve">Figure </w:t>
      </w:r>
      <w:r w:rsidR="003714FB">
        <w:fldChar w:fldCharType="begin"/>
      </w:r>
      <w:r w:rsidR="003714FB">
        <w:instrText xml:space="preserve"> SEQ Figure \* ARABIC </w:instrText>
      </w:r>
      <w:r w:rsidR="003714FB">
        <w:fldChar w:fldCharType="separate"/>
      </w:r>
      <w:r w:rsidR="009A2FAA">
        <w:rPr>
          <w:noProof/>
        </w:rPr>
        <w:t>29</w:t>
      </w:r>
      <w:r w:rsidR="003714FB">
        <w:rPr>
          <w:noProof/>
        </w:rPr>
        <w:fldChar w:fldCharType="end"/>
      </w:r>
      <w:r w:rsidRPr="00364545">
        <w:t>: Change in France's total GHG emissions between 1990 and 2020 in million tonnes of CO</w:t>
      </w:r>
      <w:r w:rsidRPr="00364545">
        <w:rPr>
          <w:vertAlign w:val="subscript"/>
        </w:rPr>
        <w:t>2</w:t>
      </w:r>
      <w:r w:rsidRPr="00364545">
        <w:t xml:space="preserve"> equivalent.</w:t>
      </w:r>
      <w:bookmarkEnd w:id="151"/>
    </w:p>
    <w:p w14:paraId="18E24D00" w14:textId="2E339BB2" w:rsidR="00977B34" w:rsidRPr="00364545" w:rsidRDefault="00977B34" w:rsidP="0045532B">
      <w:pPr>
        <w:pStyle w:val="Caption"/>
      </w:pPr>
      <w:r w:rsidRPr="00364545">
        <w:t>Source: Citepa/MTE inventory, UNFCCC submitted April 2022, Kyoto area</w:t>
      </w:r>
    </w:p>
    <w:p w14:paraId="3CB0B0BF" w14:textId="77777777" w:rsidR="00977B34" w:rsidRPr="00364545" w:rsidRDefault="00977B34" w:rsidP="00977B34"/>
    <w:p w14:paraId="61796E9E" w14:textId="0DA9793F" w:rsidR="00977B34" w:rsidRPr="00364545" w:rsidRDefault="00977B34" w:rsidP="00977B34">
      <w:r w:rsidRPr="00364545">
        <w:t>Energy use is the largest source of greenhouse gas emissions in France (CRF1.A), accounting for 66.5% of emissions in 2020 (261.5 MtCO</w:t>
      </w:r>
      <w:r w:rsidRPr="00364545">
        <w:rPr>
          <w:vertAlign w:val="subscript"/>
        </w:rPr>
        <w:t>2eq</w:t>
      </w:r>
      <w:r w:rsidRPr="00364545">
        <w:t>). For emissions from energy combustion, the transport sector is the largest contributor (41.8% of the national total), followed by residential/tertiary and agricultural buildings (27.2%), manufacturing industry and construction (16.1%) and energy industries (14.2%).</w:t>
      </w:r>
    </w:p>
    <w:p w14:paraId="0A959E6F" w14:textId="77777777" w:rsidR="00977B34" w:rsidRPr="00364545" w:rsidRDefault="00977B34" w:rsidP="00977B34"/>
    <w:p w14:paraId="28EBC58B" w14:textId="254195E8" w:rsidR="00977B34" w:rsidRPr="00364545" w:rsidRDefault="00977B34" w:rsidP="00977B34">
      <w:r w:rsidRPr="00364545">
        <w:t>Between 1990 and 2020, France's greenhouse gas emissions (Kyoto Protocol area) excluding LULUCF decreased by 27.8% compared to 1990, while at the same time its population increased by 16.2%. Within the "Kyoto" area, the emissions per capita thus decreased from 9.4 tCO2eq to 5.93 tCO</w:t>
      </w:r>
      <w:r w:rsidRPr="00364545">
        <w:rPr>
          <w:vertAlign w:val="subscript"/>
        </w:rPr>
        <w:t>2eq</w:t>
      </w:r>
      <w:r w:rsidRPr="00364545">
        <w:t>, i.e. a decrease of 37%.</w:t>
      </w:r>
    </w:p>
    <w:p w14:paraId="78062854" w14:textId="77777777" w:rsidR="00977B34" w:rsidRPr="00364545" w:rsidRDefault="00977B34" w:rsidP="00977B34">
      <w:r w:rsidRPr="00364545">
        <w:t>Over the same period, the emissions intensity per unit of GDP decreased by almost 50%.</w:t>
      </w:r>
    </w:p>
    <w:p w14:paraId="1F461F9F" w14:textId="77777777" w:rsidR="00977B34" w:rsidRPr="00364545" w:rsidRDefault="00977B34" w:rsidP="00977B34"/>
    <w:p w14:paraId="6037C909" w14:textId="77777777" w:rsidR="00977B34" w:rsidRPr="00364545" w:rsidRDefault="00977B34" w:rsidP="00977B34">
      <w:r w:rsidRPr="00364545">
        <w:rPr>
          <w:noProof/>
          <w:lang w:val="fr-FR"/>
        </w:rPr>
        <w:drawing>
          <wp:inline distT="0" distB="0" distL="0" distR="0" wp14:anchorId="6CCC4C13" wp14:editId="5D78EA86">
            <wp:extent cx="5507616" cy="9158488"/>
            <wp:effectExtent l="0" t="0" r="0" b="508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07616" cy="9158488"/>
                    </a:xfrm>
                    <a:prstGeom prst="rect">
                      <a:avLst/>
                    </a:prstGeom>
                    <a:noFill/>
                    <a:ln>
                      <a:noFill/>
                    </a:ln>
                  </pic:spPr>
                </pic:pic>
              </a:graphicData>
            </a:graphic>
          </wp:inline>
        </w:drawing>
      </w:r>
    </w:p>
    <w:p w14:paraId="163BB117" w14:textId="04401F50" w:rsidR="00C469A8" w:rsidRPr="00364545" w:rsidRDefault="00C469A8" w:rsidP="0045532B">
      <w:pPr>
        <w:pStyle w:val="Caption"/>
      </w:pPr>
      <w:bookmarkStart w:id="152" w:name="_Toc123916498"/>
      <w:r w:rsidRPr="00364545">
        <w:t xml:space="preserve">Table </w:t>
      </w:r>
      <w:r w:rsidR="003714FB">
        <w:fldChar w:fldCharType="begin"/>
      </w:r>
      <w:r w:rsidR="003714FB">
        <w:instrText xml:space="preserve"> SEQ Tableau \* ARABIC </w:instrText>
      </w:r>
      <w:r w:rsidR="003714FB">
        <w:fldChar w:fldCharType="separate"/>
      </w:r>
      <w:r w:rsidR="009A2FAA">
        <w:rPr>
          <w:noProof/>
        </w:rPr>
        <w:t>6</w:t>
      </w:r>
      <w:r w:rsidR="003714FB">
        <w:rPr>
          <w:noProof/>
        </w:rPr>
        <w:fldChar w:fldCharType="end"/>
      </w:r>
      <w:r w:rsidRPr="00364545">
        <w:t>: Emissions excluding LULUCF in million tonnes of CO</w:t>
      </w:r>
      <w:r w:rsidRPr="00364545">
        <w:rPr>
          <w:vertAlign w:val="subscript"/>
        </w:rPr>
        <w:t>2</w:t>
      </w:r>
      <w:r w:rsidRPr="00364545">
        <w:t xml:space="preserve"> equivalent for the year 1990</w:t>
      </w:r>
      <w:bookmarkEnd w:id="152"/>
    </w:p>
    <w:p w14:paraId="420DC185" w14:textId="4BCE1861" w:rsidR="00977B34" w:rsidRDefault="00977B34" w:rsidP="0045532B">
      <w:pPr>
        <w:pStyle w:val="Caption"/>
      </w:pPr>
      <w:r w:rsidRPr="00364545">
        <w:t>Source: UNFCCC inventory April 2022, within the scope of the Kyoto Protocol</w:t>
      </w:r>
    </w:p>
    <w:p w14:paraId="3C8A2232" w14:textId="73E15883" w:rsidR="00604EE1" w:rsidRPr="00E23E59" w:rsidRDefault="00604EE1" w:rsidP="000D1437">
      <w:r>
        <w:rPr>
          <w:noProof/>
          <w:lang w:val="fr-FR"/>
        </w:rPr>
        <w:drawing>
          <wp:inline distT="0" distB="0" distL="0" distR="0" wp14:anchorId="270D9C44" wp14:editId="7CEB4DAD">
            <wp:extent cx="6318250" cy="8243570"/>
            <wp:effectExtent l="0" t="0" r="6350" b="5080"/>
            <wp:docPr id="287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18250" cy="8243570"/>
                    </a:xfrm>
                    <a:prstGeom prst="rect">
                      <a:avLst/>
                    </a:prstGeom>
                    <a:noFill/>
                  </pic:spPr>
                </pic:pic>
              </a:graphicData>
            </a:graphic>
          </wp:inline>
        </w:drawing>
      </w:r>
    </w:p>
    <w:p w14:paraId="24C5D38D" w14:textId="4C6FAEE7" w:rsidR="00977B34" w:rsidRPr="00364545" w:rsidRDefault="00977B34" w:rsidP="00977B34"/>
    <w:p w14:paraId="161873C7" w14:textId="5B5A56FD" w:rsidR="00C469A8" w:rsidRPr="00364545" w:rsidRDefault="00C469A8" w:rsidP="0045532B">
      <w:pPr>
        <w:pStyle w:val="Caption"/>
      </w:pPr>
      <w:bookmarkStart w:id="153" w:name="_Toc123916499"/>
      <w:r w:rsidRPr="00364545">
        <w:t xml:space="preserve">Table </w:t>
      </w:r>
      <w:r w:rsidR="003714FB">
        <w:fldChar w:fldCharType="begin"/>
      </w:r>
      <w:r w:rsidR="003714FB">
        <w:instrText xml:space="preserve"> SEQ Tableau \* ARABIC </w:instrText>
      </w:r>
      <w:r w:rsidR="003714FB">
        <w:fldChar w:fldCharType="separate"/>
      </w:r>
      <w:r w:rsidR="009A2FAA">
        <w:rPr>
          <w:noProof/>
        </w:rPr>
        <w:t>7</w:t>
      </w:r>
      <w:r w:rsidR="003714FB">
        <w:rPr>
          <w:noProof/>
        </w:rPr>
        <w:fldChar w:fldCharType="end"/>
      </w:r>
      <w:r w:rsidRPr="00364545">
        <w:t>: Emissions excluding LULUCF in million tonnes of CO</w:t>
      </w:r>
      <w:r w:rsidRPr="00364545">
        <w:rPr>
          <w:vertAlign w:val="subscript"/>
        </w:rPr>
        <w:t>2</w:t>
      </w:r>
      <w:r w:rsidRPr="00364545">
        <w:t xml:space="preserve"> equivalent for the year 2020</w:t>
      </w:r>
      <w:bookmarkEnd w:id="153"/>
    </w:p>
    <w:p w14:paraId="5598CCF9" w14:textId="2DD2D6EB" w:rsidR="00977B34" w:rsidRDefault="00977B34" w:rsidP="0045532B">
      <w:pPr>
        <w:pStyle w:val="Caption"/>
      </w:pPr>
      <w:r w:rsidRPr="00364545">
        <w:t>Source: Citepa/MTE inventory, UNFCCC submitted April 2022, for the Kyoto area.</w:t>
      </w:r>
    </w:p>
    <w:p w14:paraId="0C8BBEBB" w14:textId="254A7F94" w:rsidR="00D94C1E" w:rsidRDefault="00D94C1E" w:rsidP="000D1437"/>
    <w:p w14:paraId="360D10D5" w14:textId="2E33411F" w:rsidR="00D94C1E" w:rsidRPr="00D6090C" w:rsidRDefault="00D94C1E" w:rsidP="000D1437">
      <w:r w:rsidRPr="00364545">
        <w:t xml:space="preserve">The </w:t>
      </w:r>
      <w:r>
        <w:t xml:space="preserve">detailed </w:t>
      </w:r>
      <w:r w:rsidRPr="00364545">
        <w:t xml:space="preserve">emission tables </w:t>
      </w:r>
      <w:r>
        <w:t>for years 1990 to 2020 for the Kyoto area, reported in the 2022 submission of the GHG inventory, are available</w:t>
      </w:r>
      <w:r w:rsidRPr="00364545">
        <w:t xml:space="preserve"> in the </w:t>
      </w:r>
      <w:r>
        <w:t>A</w:t>
      </w:r>
      <w:r w:rsidRPr="00364545">
        <w:t>nnex</w:t>
      </w:r>
      <w:r>
        <w:t xml:space="preserve"> II</w:t>
      </w:r>
      <w:r w:rsidRPr="00364545">
        <w:t>.</w:t>
      </w:r>
    </w:p>
    <w:p w14:paraId="61FC55BB" w14:textId="0AF44DDA" w:rsidR="00977B34" w:rsidRPr="00364545" w:rsidRDefault="00977B34" w:rsidP="00BE086C">
      <w:pPr>
        <w:pStyle w:val="Titre2Niveau2"/>
      </w:pPr>
      <w:bookmarkStart w:id="154" w:name="_Toc120568034"/>
      <w:bookmarkStart w:id="155" w:name="_Toc138341805"/>
      <w:r w:rsidRPr="00364545">
        <w:t>Descriptive summary of France's greenhouse gas emissions inventory</w:t>
      </w:r>
      <w:bookmarkEnd w:id="154"/>
      <w:bookmarkEnd w:id="155"/>
    </w:p>
    <w:p w14:paraId="2871C8A4" w14:textId="6DCCF264" w:rsidR="00977B34" w:rsidRPr="00364545" w:rsidRDefault="00977B34" w:rsidP="00977B34">
      <w:r w:rsidRPr="00364545">
        <w:t>In 2020, CO</w:t>
      </w:r>
      <w:r w:rsidRPr="00364545">
        <w:rPr>
          <w:vertAlign w:val="subscript"/>
        </w:rPr>
        <w:t>2</w:t>
      </w:r>
      <w:r w:rsidRPr="00364545">
        <w:t xml:space="preserve"> accounted for 73.6% of total emissions excluding LULUCF, i.e. 289.4 MtCO</w:t>
      </w:r>
      <w:r w:rsidRPr="00364545">
        <w:rPr>
          <w:vertAlign w:val="subscript"/>
        </w:rPr>
        <w:t>2eq</w:t>
      </w:r>
      <w:r w:rsidRPr="00364545">
        <w:t>; CH4 for 13.9% (54.6 MtCO</w:t>
      </w:r>
      <w:r w:rsidRPr="00364545">
        <w:rPr>
          <w:vertAlign w:val="subscript"/>
        </w:rPr>
        <w:t>2eq</w:t>
      </w:r>
      <w:r w:rsidRPr="00364545">
        <w:t>); N2O for 9.2% (36.3 MtCO</w:t>
      </w:r>
      <w:r w:rsidRPr="00364545">
        <w:rPr>
          <w:vertAlign w:val="subscript"/>
        </w:rPr>
        <w:t>2eq</w:t>
      </w:r>
      <w:r w:rsidRPr="00364545">
        <w:t>); and HFC/PFC emissions for 3.12% (12.3 MtCO</w:t>
      </w:r>
      <w:r w:rsidRPr="00364545">
        <w:rPr>
          <w:vertAlign w:val="subscript"/>
        </w:rPr>
        <w:t>2eq</w:t>
      </w:r>
      <w:r w:rsidRPr="00364545">
        <w:t>).</w:t>
      </w:r>
    </w:p>
    <w:p w14:paraId="302B1006" w14:textId="77777777" w:rsidR="00977B34" w:rsidRPr="00364545" w:rsidRDefault="00977B34" w:rsidP="00977B34"/>
    <w:p w14:paraId="7F1284DA" w14:textId="77777777" w:rsidR="00977B34" w:rsidRPr="00364545" w:rsidRDefault="00977B34" w:rsidP="00977B34">
      <w:r w:rsidRPr="00364545">
        <w:rPr>
          <w:noProof/>
          <w:lang w:val="fr-FR"/>
        </w:rPr>
        <w:drawing>
          <wp:inline distT="0" distB="0" distL="0" distR="0" wp14:anchorId="7BFB6B7C" wp14:editId="77577B70">
            <wp:extent cx="6318250" cy="4053840"/>
            <wp:effectExtent l="0" t="0" r="6350" b="3810"/>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D429793" w14:textId="5D30702F" w:rsidR="00C469A8" w:rsidRPr="00364545" w:rsidRDefault="00C469A8" w:rsidP="0045532B">
      <w:pPr>
        <w:pStyle w:val="Caption"/>
        <w:rPr>
          <w:vertAlign w:val="subscript"/>
        </w:rPr>
      </w:pPr>
      <w:bookmarkStart w:id="156" w:name="_Toc123916441"/>
      <w:r w:rsidRPr="00364545">
        <w:t xml:space="preserve">Figure </w:t>
      </w:r>
      <w:r w:rsidR="003714FB">
        <w:fldChar w:fldCharType="begin"/>
      </w:r>
      <w:r w:rsidR="003714FB">
        <w:instrText xml:space="preserve"> SEQ Figure \* ARABIC </w:instrText>
      </w:r>
      <w:r w:rsidR="003714FB">
        <w:fldChar w:fldCharType="separate"/>
      </w:r>
      <w:r w:rsidR="009A2FAA">
        <w:rPr>
          <w:noProof/>
        </w:rPr>
        <w:t>30</w:t>
      </w:r>
      <w:r w:rsidR="003714FB">
        <w:rPr>
          <w:noProof/>
        </w:rPr>
        <w:fldChar w:fldCharType="end"/>
      </w:r>
      <w:r w:rsidRPr="00364545">
        <w:t>: Emissions of CO</w:t>
      </w:r>
      <w:r w:rsidRPr="00364545">
        <w:rPr>
          <w:vertAlign w:val="subscript"/>
        </w:rPr>
        <w:t>2</w:t>
      </w:r>
      <w:r w:rsidRPr="00364545">
        <w:t>, CH</w:t>
      </w:r>
      <w:r w:rsidRPr="00364545">
        <w:rPr>
          <w:vertAlign w:val="subscript"/>
        </w:rPr>
        <w:t>4</w:t>
      </w:r>
      <w:r w:rsidRPr="00364545">
        <w:t>, N</w:t>
      </w:r>
      <w:r w:rsidRPr="00364545">
        <w:rPr>
          <w:vertAlign w:val="subscript"/>
        </w:rPr>
        <w:t>2</w:t>
      </w:r>
      <w:r w:rsidRPr="00364545">
        <w:t>O, HFCs and PFCs since 1990 in million tonnes of CO</w:t>
      </w:r>
      <w:r w:rsidRPr="00364545">
        <w:rPr>
          <w:vertAlign w:val="subscript"/>
        </w:rPr>
        <w:t>2</w:t>
      </w:r>
      <w:r w:rsidRPr="00364545">
        <w:t xml:space="preserve"> equivalent.</w:t>
      </w:r>
      <w:bookmarkEnd w:id="156"/>
    </w:p>
    <w:p w14:paraId="2D7AB02B" w14:textId="18764BB2" w:rsidR="00977B34" w:rsidRPr="00364545" w:rsidRDefault="00977B34" w:rsidP="0045532B">
      <w:pPr>
        <w:pStyle w:val="Caption"/>
      </w:pPr>
      <w:r w:rsidRPr="00364545">
        <w:t>Source: Citepa/MTE inventory, UNFCCC submitted April 2022, for the Kyoto area.</w:t>
      </w:r>
    </w:p>
    <w:p w14:paraId="56C5255B" w14:textId="77777777" w:rsidR="00977B34" w:rsidRPr="00364545" w:rsidRDefault="00977B34" w:rsidP="00977B34"/>
    <w:p w14:paraId="6436F5B0" w14:textId="135474C6" w:rsidR="00977B34" w:rsidRPr="00364545" w:rsidRDefault="00977B34" w:rsidP="00977B34">
      <w:r w:rsidRPr="00364545">
        <w:t>Between 1990 and 2020, CO</w:t>
      </w:r>
      <w:r w:rsidRPr="00364545">
        <w:rPr>
          <w:vertAlign w:val="subscript"/>
        </w:rPr>
        <w:t>2</w:t>
      </w:r>
      <w:r w:rsidRPr="00364545">
        <w:t xml:space="preserve"> emissions decreased by 27.4%. Emissions remained relatively stable until 2007 (+2%) and then decreased sharply with the financial crisis of 2008. The decrease continued after 2008, indicating that the policies and measures put in place prevented a rebound in emissions.</w:t>
      </w:r>
    </w:p>
    <w:p w14:paraId="2B7C54C7" w14:textId="2DD4C654" w:rsidR="00977B34" w:rsidRPr="00364545" w:rsidRDefault="00977B34" w:rsidP="00977B34">
      <w:r w:rsidRPr="00364545">
        <w:t>N</w:t>
      </w:r>
      <w:r w:rsidRPr="00364545">
        <w:rPr>
          <w:vertAlign w:val="subscript"/>
        </w:rPr>
        <w:t>2</w:t>
      </w:r>
      <w:r w:rsidRPr="00364545">
        <w:t>O and CH</w:t>
      </w:r>
      <w:r w:rsidRPr="00364545">
        <w:rPr>
          <w:vertAlign w:val="subscript"/>
        </w:rPr>
        <w:t>4</w:t>
      </w:r>
      <w:r w:rsidRPr="00364545">
        <w:t xml:space="preserve"> emissions, excluding the land sector, decreased by 30.5% and 9.2% respectively. These reductions are mainly due to measures in the waste sector promoting the recovery of landfill gas, as well as the reduction of agricultural inputs.</w:t>
      </w:r>
    </w:p>
    <w:p w14:paraId="5BCD2916" w14:textId="43129443" w:rsidR="00977B34" w:rsidRPr="00364545" w:rsidRDefault="00977B34" w:rsidP="00977B34">
      <w:r w:rsidRPr="00364545">
        <w:t>Fluorinated gas emissions have increased by 7.3% since 1990: initially there was a decrease between 1990 and 1997 (-21%), followed by an increase up to 2011 (+57% vs 1990), followed by a further decrease (-32% vs 2011). This small overall reduction masks a change in the distribution of emissions between the different fluorinated gases; SF</w:t>
      </w:r>
      <w:r w:rsidRPr="00364545">
        <w:rPr>
          <w:vertAlign w:val="subscript"/>
        </w:rPr>
        <w:t>6</w:t>
      </w:r>
      <w:r w:rsidRPr="00364545">
        <w:t xml:space="preserve"> emissions have fallen sharply since 1995 (-86%), having been replaced by emissions of other HFCs and PFCs.</w:t>
      </w:r>
    </w:p>
    <w:p w14:paraId="68AE262E" w14:textId="77777777" w:rsidR="00977B34" w:rsidRPr="00364545" w:rsidRDefault="00977B34" w:rsidP="00977B34">
      <w:r w:rsidRPr="00364545">
        <w:rPr>
          <w:noProof/>
          <w:lang w:val="fr-FR"/>
        </w:rPr>
        <w:drawing>
          <wp:inline distT="0" distB="0" distL="0" distR="0" wp14:anchorId="72278094" wp14:editId="707CA892">
            <wp:extent cx="6318250" cy="4047490"/>
            <wp:effectExtent l="0" t="0" r="6350" b="10160"/>
            <wp:docPr id="6"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D9713E5" w14:textId="1AC93366" w:rsidR="00C469A8" w:rsidRPr="00364545" w:rsidRDefault="00C469A8" w:rsidP="0045532B">
      <w:pPr>
        <w:pStyle w:val="Caption"/>
      </w:pPr>
      <w:bookmarkStart w:id="157" w:name="_Toc123916442"/>
      <w:r w:rsidRPr="00364545">
        <w:t xml:space="preserve">Figure </w:t>
      </w:r>
      <w:r w:rsidR="003714FB">
        <w:fldChar w:fldCharType="begin"/>
      </w:r>
      <w:r w:rsidR="003714FB">
        <w:instrText xml:space="preserve"> SEQ Figure \* ARABIC </w:instrText>
      </w:r>
      <w:r w:rsidR="003714FB">
        <w:fldChar w:fldCharType="separate"/>
      </w:r>
      <w:r w:rsidR="009A2FAA">
        <w:rPr>
          <w:noProof/>
        </w:rPr>
        <w:t>31</w:t>
      </w:r>
      <w:r w:rsidR="003714FB">
        <w:rPr>
          <w:noProof/>
        </w:rPr>
        <w:fldChar w:fldCharType="end"/>
      </w:r>
      <w:r w:rsidRPr="00364545">
        <w:t>: Trends in the proportions of different fluorinated gases since 1990</w:t>
      </w:r>
      <w:bookmarkEnd w:id="157"/>
    </w:p>
    <w:p w14:paraId="776733EB" w14:textId="3F3310A5" w:rsidR="00977B34" w:rsidRPr="00364545" w:rsidRDefault="00977B34" w:rsidP="0045532B">
      <w:pPr>
        <w:pStyle w:val="Caption"/>
      </w:pPr>
      <w:r w:rsidRPr="00364545">
        <w:t>Source: Citepa/MTE inventory, UNFCCC submitted April 2022, for the Kyoto area.</w:t>
      </w:r>
    </w:p>
    <w:p w14:paraId="4D3FAB17" w14:textId="77777777" w:rsidR="00977B34" w:rsidRPr="00364545" w:rsidRDefault="00977B34" w:rsidP="00977B34"/>
    <w:p w14:paraId="1E9380C7" w14:textId="68161773" w:rsidR="00977B34" w:rsidRPr="00364545" w:rsidRDefault="00977B34" w:rsidP="00977B34">
      <w:r w:rsidRPr="00364545">
        <w:t>The analysis of emissions by gas and by sector is based on the format known as SECTEN, within the scope of the Kyoto protocol (Citepa, April 2022 - SECTEN format, ‘Climate Plan’ publications).</w:t>
      </w:r>
      <w:r w:rsidR="007D5867">
        <w:t xml:space="preserve"> </w:t>
      </w:r>
    </w:p>
    <w:p w14:paraId="3A673327" w14:textId="13EEE9EF" w:rsidR="002A1355" w:rsidRPr="00364545" w:rsidRDefault="008E6688" w:rsidP="00CB5795">
      <w:r w:rsidRPr="00364545">
        <w:t>This format is based on the Common Reporting Format (CRF) with the main difference being a breakdown of emissions by sector. Using this, the emissions linked to the consumption of fluorinated gases are distributed within each sector of consumption (residential-tertiary; transport...) and not within a single category (CR</w:t>
      </w:r>
      <w:r w:rsidR="00EC697E">
        <w:t>F</w:t>
      </w:r>
      <w:r w:rsidRPr="00364545">
        <w:t xml:space="preserve"> 2F). The emission tables are attached in the annex, together with the tables in CRF format.</w:t>
      </w:r>
      <w:bookmarkStart w:id="158" w:name="_Toc121422416"/>
      <w:bookmarkStart w:id="159" w:name="_Toc121422546"/>
      <w:bookmarkStart w:id="160" w:name="_Toc121422676"/>
      <w:bookmarkStart w:id="161" w:name="_Toc121422806"/>
      <w:bookmarkStart w:id="162" w:name="_Toc121422936"/>
      <w:bookmarkStart w:id="163" w:name="_Toc121423066"/>
      <w:bookmarkStart w:id="164" w:name="_Toc121423196"/>
      <w:bookmarkStart w:id="165" w:name="_Toc121423325"/>
      <w:bookmarkStart w:id="166" w:name="_Toc121423455"/>
      <w:bookmarkStart w:id="167" w:name="_Toc121423585"/>
      <w:bookmarkStart w:id="168" w:name="_Toc121424933"/>
      <w:bookmarkStart w:id="169" w:name="_Toc121430989"/>
      <w:bookmarkStart w:id="170" w:name="_Toc121431326"/>
      <w:bookmarkStart w:id="171" w:name="_Toc121431487"/>
      <w:bookmarkStart w:id="172" w:name="_Toc121431649"/>
      <w:bookmarkStart w:id="173" w:name="_Toc121431812"/>
      <w:bookmarkStart w:id="174" w:name="_Toc121431974"/>
      <w:bookmarkStart w:id="175" w:name="_Toc121422417"/>
      <w:bookmarkStart w:id="176" w:name="_Toc121422547"/>
      <w:bookmarkStart w:id="177" w:name="_Toc121422677"/>
      <w:bookmarkStart w:id="178" w:name="_Toc121422807"/>
      <w:bookmarkStart w:id="179" w:name="_Toc121422937"/>
      <w:bookmarkStart w:id="180" w:name="_Toc121423067"/>
      <w:bookmarkStart w:id="181" w:name="_Toc121423197"/>
      <w:bookmarkStart w:id="182" w:name="_Toc121423326"/>
      <w:bookmarkStart w:id="183" w:name="_Toc121423456"/>
      <w:bookmarkStart w:id="184" w:name="_Toc121423586"/>
      <w:bookmarkStart w:id="185" w:name="_Toc121424934"/>
      <w:bookmarkStart w:id="186" w:name="_Toc121430990"/>
      <w:bookmarkStart w:id="187" w:name="_Toc121431327"/>
      <w:bookmarkStart w:id="188" w:name="_Toc121431488"/>
      <w:bookmarkStart w:id="189" w:name="_Toc121431650"/>
      <w:bookmarkStart w:id="190" w:name="_Toc121431813"/>
      <w:bookmarkStart w:id="191" w:name="_Toc121431975"/>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sidR="007D5867">
        <w:t xml:space="preserve"> In the following, all the figures relative to the sectoral emissions are given under the SECTEN format.</w:t>
      </w:r>
    </w:p>
    <w:p w14:paraId="5B576F1C" w14:textId="575175A8" w:rsidR="00C469A8" w:rsidRPr="00364545" w:rsidRDefault="00C469A8" w:rsidP="003F57EA">
      <w:pPr>
        <w:pStyle w:val="Titre3Niveau3"/>
      </w:pPr>
      <w:bookmarkStart w:id="192" w:name="_Toc138341806"/>
      <w:r w:rsidRPr="00364545">
        <w:t>Breakdown of carbon dioxide emissions by sector (CO</w:t>
      </w:r>
      <w:r w:rsidRPr="00364545">
        <w:rPr>
          <w:vertAlign w:val="subscript"/>
        </w:rPr>
        <w:t>2</w:t>
      </w:r>
      <w:r w:rsidRPr="00364545">
        <w:t>)</w:t>
      </w:r>
      <w:bookmarkEnd w:id="192"/>
    </w:p>
    <w:p w14:paraId="0B023ACB" w14:textId="62FFC1EC" w:rsidR="00977B34" w:rsidRPr="00364545" w:rsidRDefault="00C469A8" w:rsidP="00C469A8">
      <w:r w:rsidRPr="00364545">
        <w:t xml:space="preserve"> CO</w:t>
      </w:r>
      <w:r w:rsidRPr="00364545">
        <w:rPr>
          <w:vertAlign w:val="subscript"/>
        </w:rPr>
        <w:t>2</w:t>
      </w:r>
      <w:r w:rsidRPr="00364545">
        <w:t xml:space="preserve"> emissions are mainly due to energy use: in 2020 emissions excluding LULUCF were 289.4 MtCO</w:t>
      </w:r>
      <w:r w:rsidRPr="00364545">
        <w:rPr>
          <w:vertAlign w:val="subscript"/>
        </w:rPr>
        <w:t>2e</w:t>
      </w:r>
      <w:r w:rsidRPr="00364545">
        <w:t>, or 73.6% of total emissions. (393 MtCO</w:t>
      </w:r>
      <w:r w:rsidRPr="00364545">
        <w:rPr>
          <w:vertAlign w:val="subscript"/>
        </w:rPr>
        <w:t>2e</w:t>
      </w:r>
      <w:r w:rsidRPr="00364545">
        <w:t>).</w:t>
      </w:r>
    </w:p>
    <w:p w14:paraId="6F962F59" w14:textId="375213A9" w:rsidR="00977B34" w:rsidRPr="00364545" w:rsidRDefault="00977B34" w:rsidP="00977B34">
      <w:r w:rsidRPr="00364545">
        <w:t>Transport is the sector with the highest CO</w:t>
      </w:r>
      <w:r w:rsidRPr="00364545">
        <w:rPr>
          <w:vertAlign w:val="subscript"/>
        </w:rPr>
        <w:t>2</w:t>
      </w:r>
      <w:r w:rsidRPr="00364545">
        <w:t xml:space="preserve"> emissions (37.7%), followed by manufacturing industry (23.5%) and the residential-tertiary sector (20.9%). These percentages have changed very little, even though in 2020 industry moved ahead of the residential-tertiary sector.</w:t>
      </w:r>
    </w:p>
    <w:p w14:paraId="6FA3639A" w14:textId="1476C3D6" w:rsidR="00977B34" w:rsidRPr="00364545" w:rsidRDefault="00977B34" w:rsidP="00977B34">
      <w:r w:rsidRPr="00364545">
        <w:t xml:space="preserve"> </w:t>
      </w:r>
    </w:p>
    <w:p w14:paraId="6A310CCB" w14:textId="77777777" w:rsidR="00977B34" w:rsidRPr="00364545" w:rsidRDefault="00977B34" w:rsidP="00977B34">
      <w:pPr>
        <w:rPr>
          <w:noProof/>
        </w:rPr>
      </w:pPr>
    </w:p>
    <w:p w14:paraId="76C4BFB4" w14:textId="77777777" w:rsidR="00977B34" w:rsidRPr="00364545" w:rsidRDefault="00977B34" w:rsidP="00C469A8">
      <w:pPr>
        <w:jc w:val="center"/>
      </w:pPr>
      <w:r w:rsidRPr="00364545">
        <w:rPr>
          <w:noProof/>
          <w:lang w:val="fr-FR"/>
        </w:rPr>
        <w:drawing>
          <wp:inline distT="0" distB="0" distL="0" distR="0" wp14:anchorId="795BDE26" wp14:editId="35C56DA8">
            <wp:extent cx="4762500" cy="2832100"/>
            <wp:effectExtent l="0" t="0" r="0" b="635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E93F95D" w14:textId="3D33412A" w:rsidR="00C469A8" w:rsidRPr="00364545" w:rsidRDefault="00C469A8" w:rsidP="0045532B">
      <w:pPr>
        <w:pStyle w:val="Caption"/>
      </w:pPr>
      <w:bookmarkStart w:id="193" w:name="_Toc123916443"/>
      <w:r w:rsidRPr="00364545">
        <w:t xml:space="preserve">Figure </w:t>
      </w:r>
      <w:r w:rsidR="003714FB">
        <w:fldChar w:fldCharType="begin"/>
      </w:r>
      <w:r w:rsidR="003714FB">
        <w:instrText xml:space="preserve"> SEQ Figure \* ARABIC </w:instrText>
      </w:r>
      <w:r w:rsidR="003714FB">
        <w:fldChar w:fldCharType="separate"/>
      </w:r>
      <w:r w:rsidR="009A2FAA">
        <w:rPr>
          <w:noProof/>
        </w:rPr>
        <w:t>32</w:t>
      </w:r>
      <w:r w:rsidR="003714FB">
        <w:rPr>
          <w:noProof/>
        </w:rPr>
        <w:fldChar w:fldCharType="end"/>
      </w:r>
      <w:r w:rsidRPr="00364545">
        <w:t>: Breakdown of CO</w:t>
      </w:r>
      <w:r w:rsidRPr="00364545">
        <w:rPr>
          <w:vertAlign w:val="subscript"/>
        </w:rPr>
        <w:t>2</w:t>
      </w:r>
      <w:r w:rsidRPr="00364545">
        <w:t xml:space="preserve"> emissions in 2020</w:t>
      </w:r>
      <w:bookmarkEnd w:id="193"/>
    </w:p>
    <w:p w14:paraId="2AB9851E" w14:textId="7DA3959E" w:rsidR="00977B34" w:rsidRPr="00364545" w:rsidRDefault="00977B34" w:rsidP="0045532B">
      <w:pPr>
        <w:pStyle w:val="Caption"/>
      </w:pPr>
      <w:r w:rsidRPr="00364545">
        <w:t>Source: Citepa inventory, April 2022 - SECTEN format, ‘Kyoto Climate Plan’ outputs</w:t>
      </w:r>
    </w:p>
    <w:p w14:paraId="2A34A65E" w14:textId="56C949E6" w:rsidR="00977B34" w:rsidRPr="00364545" w:rsidRDefault="00977B34" w:rsidP="003F57EA">
      <w:pPr>
        <w:pStyle w:val="Titre3Niveau3"/>
      </w:pPr>
      <w:bookmarkStart w:id="194" w:name="_Toc120568036"/>
      <w:bookmarkStart w:id="195" w:name="_Toc138341807"/>
      <w:r w:rsidRPr="00364545">
        <w:t>Breakdown of methane emissions by sector (CH</w:t>
      </w:r>
      <w:r w:rsidRPr="00364545">
        <w:rPr>
          <w:vertAlign w:val="subscript"/>
        </w:rPr>
        <w:t>4</w:t>
      </w:r>
      <w:r w:rsidRPr="00364545">
        <w:t>)</w:t>
      </w:r>
      <w:bookmarkEnd w:id="194"/>
      <w:bookmarkEnd w:id="195"/>
    </w:p>
    <w:p w14:paraId="40DF2F27" w14:textId="280AE9B5" w:rsidR="00977B34" w:rsidRPr="00364545" w:rsidRDefault="00977B34" w:rsidP="00977B34">
      <w:r w:rsidRPr="00364545">
        <w:t>In 2020, methane emissions were 54.6 MtCO</w:t>
      </w:r>
      <w:r w:rsidRPr="00364545">
        <w:rPr>
          <w:vertAlign w:val="subscript"/>
        </w:rPr>
        <w:t>2eq</w:t>
      </w:r>
      <w:r w:rsidRPr="00364545">
        <w:t>, i.e. 13.9% of the national total.</w:t>
      </w:r>
    </w:p>
    <w:p w14:paraId="4D20BE30" w14:textId="414722AC" w:rsidR="00977B34" w:rsidRPr="00364545" w:rsidRDefault="00977B34" w:rsidP="00977B34">
      <w:r w:rsidRPr="00364545">
        <w:t>Agriculture (37 MtCO</w:t>
      </w:r>
      <w:r w:rsidRPr="00364545">
        <w:rPr>
          <w:vertAlign w:val="subscript"/>
        </w:rPr>
        <w:t>2eq</w:t>
      </w:r>
      <w:r w:rsidRPr="00364545">
        <w:t>) was responsible for 68% of methane emissions: 99.7% of the CH</w:t>
      </w:r>
      <w:r w:rsidRPr="00364545">
        <w:rPr>
          <w:vertAlign w:val="subscript"/>
        </w:rPr>
        <w:t>4</w:t>
      </w:r>
      <w:r w:rsidRPr="00364545">
        <w:t xml:space="preserve"> came from enteric fermentation and animal waste management. Waste treatment (12.9 MtCO</w:t>
      </w:r>
      <w:r w:rsidRPr="00364545">
        <w:rPr>
          <w:vertAlign w:val="subscript"/>
        </w:rPr>
        <w:t>2eq</w:t>
      </w:r>
      <w:r w:rsidRPr="00364545">
        <w:t>) is the second largest contributor to methane emissions.</w:t>
      </w:r>
    </w:p>
    <w:p w14:paraId="7C2D1B2A" w14:textId="576546BB" w:rsidR="00977B34" w:rsidRPr="00364545" w:rsidRDefault="00977B34" w:rsidP="00977B34"/>
    <w:p w14:paraId="69781164" w14:textId="77777777" w:rsidR="00977B34" w:rsidRPr="00364545" w:rsidRDefault="00977B34" w:rsidP="00977B34"/>
    <w:p w14:paraId="3E402256" w14:textId="77777777" w:rsidR="00977B34" w:rsidRPr="00364545" w:rsidRDefault="00977B34" w:rsidP="00977B34">
      <w:r w:rsidRPr="00364545">
        <w:rPr>
          <w:noProof/>
          <w:lang w:val="fr-FR"/>
        </w:rPr>
        <w:drawing>
          <wp:inline distT="0" distB="0" distL="0" distR="0" wp14:anchorId="74C11CAE" wp14:editId="2F762590">
            <wp:extent cx="6048375" cy="3503930"/>
            <wp:effectExtent l="38100" t="0" r="9525" b="1270"/>
            <wp:docPr id="8"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AB2ABEE" w14:textId="286D9B9F" w:rsidR="004260ED" w:rsidRPr="00364545" w:rsidRDefault="004260ED" w:rsidP="0045532B">
      <w:pPr>
        <w:pStyle w:val="Caption"/>
      </w:pPr>
      <w:bookmarkStart w:id="196" w:name="_Toc123916444"/>
      <w:r w:rsidRPr="00364545">
        <w:t xml:space="preserve">Figure </w:t>
      </w:r>
      <w:r w:rsidR="003714FB">
        <w:fldChar w:fldCharType="begin"/>
      </w:r>
      <w:r w:rsidR="003714FB">
        <w:instrText xml:space="preserve"> SEQ Figure \* ARABIC </w:instrText>
      </w:r>
      <w:r w:rsidR="003714FB">
        <w:fldChar w:fldCharType="separate"/>
      </w:r>
      <w:r w:rsidR="009A2FAA">
        <w:rPr>
          <w:noProof/>
        </w:rPr>
        <w:t>33</w:t>
      </w:r>
      <w:r w:rsidR="003714FB">
        <w:rPr>
          <w:noProof/>
        </w:rPr>
        <w:fldChar w:fldCharType="end"/>
      </w:r>
      <w:r w:rsidRPr="00364545">
        <w:t>: Breakdown of CH</w:t>
      </w:r>
      <w:r w:rsidRPr="00364545">
        <w:rPr>
          <w:vertAlign w:val="subscript"/>
        </w:rPr>
        <w:t>4</w:t>
      </w:r>
      <w:r w:rsidRPr="00364545">
        <w:t xml:space="preserve"> emissions in 2020</w:t>
      </w:r>
      <w:bookmarkEnd w:id="196"/>
    </w:p>
    <w:p w14:paraId="7C1B2B4D" w14:textId="127C5786" w:rsidR="00977B34" w:rsidRPr="00364545" w:rsidRDefault="00977B34" w:rsidP="000D1437">
      <w:pPr>
        <w:pStyle w:val="Caption"/>
      </w:pPr>
      <w:r w:rsidRPr="00364545">
        <w:t>Source: Citepa inventory, April 2022 - SECTEN format, ‘Kyoto Climate Plan’ outputs</w:t>
      </w:r>
    </w:p>
    <w:p w14:paraId="2DB587DA" w14:textId="3AC0991E" w:rsidR="00977B34" w:rsidRPr="00364545" w:rsidRDefault="00977B34" w:rsidP="003F57EA">
      <w:pPr>
        <w:pStyle w:val="Titre3Niveau3"/>
      </w:pPr>
      <w:bookmarkStart w:id="197" w:name="_Toc120568037"/>
      <w:bookmarkStart w:id="198" w:name="_Toc138341808"/>
      <w:r w:rsidRPr="00364545">
        <w:t xml:space="preserve">Breakdown of nitrous oxide emissions by sector (N </w:t>
      </w:r>
      <w:r w:rsidRPr="00364545">
        <w:rPr>
          <w:vertAlign w:val="subscript"/>
        </w:rPr>
        <w:t>2</w:t>
      </w:r>
      <w:r w:rsidRPr="00364545">
        <w:t xml:space="preserve"> O)</w:t>
      </w:r>
      <w:bookmarkEnd w:id="197"/>
      <w:bookmarkEnd w:id="198"/>
    </w:p>
    <w:p w14:paraId="282974B0" w14:textId="778B7FF0" w:rsidR="00977B34" w:rsidRPr="00364545" w:rsidRDefault="008E6688" w:rsidP="00977B34">
      <w:r w:rsidRPr="00364545">
        <w:t>N</w:t>
      </w:r>
      <w:r w:rsidRPr="00364545">
        <w:rPr>
          <w:vertAlign w:val="subscript"/>
        </w:rPr>
        <w:t>2</w:t>
      </w:r>
      <w:r w:rsidRPr="00364545">
        <w:t>O emissions excluding LULUCF for the Kyoto area were 36.3 MtCO</w:t>
      </w:r>
      <w:r w:rsidRPr="00364545">
        <w:rPr>
          <w:vertAlign w:val="subscript"/>
        </w:rPr>
        <w:t>2eq</w:t>
      </w:r>
      <w:r w:rsidRPr="00364545">
        <w:t xml:space="preserve"> in 2020, i.e. 9.2% of France's emissions.</w:t>
      </w:r>
    </w:p>
    <w:p w14:paraId="596E4A25" w14:textId="217DAFDC" w:rsidR="00977B34" w:rsidRPr="00364545" w:rsidRDefault="00CF512D" w:rsidP="00977B34">
      <w:r>
        <w:t>87</w:t>
      </w:r>
      <w:r w:rsidR="00977B34" w:rsidRPr="00364545">
        <w:t>% of N</w:t>
      </w:r>
      <w:r w:rsidR="00977B34" w:rsidRPr="00364545">
        <w:rPr>
          <w:vertAlign w:val="subscript"/>
        </w:rPr>
        <w:t>2</w:t>
      </w:r>
      <w:r w:rsidR="00977B34" w:rsidRPr="00364545">
        <w:t>O emissions come from the agricultural sector, and in particular from fertiliser spreading for soil improvement, and from animal manure. This proportion has been increasing since 2010, despite the fall in overall N</w:t>
      </w:r>
      <w:r w:rsidR="00977B34" w:rsidRPr="00364545">
        <w:rPr>
          <w:vertAlign w:val="subscript"/>
        </w:rPr>
        <w:t>2</w:t>
      </w:r>
      <w:r w:rsidR="00977B34" w:rsidRPr="00364545">
        <w:t>O emissions.</w:t>
      </w:r>
    </w:p>
    <w:p w14:paraId="771F4ED8" w14:textId="6DD04F7B" w:rsidR="00977B34" w:rsidRPr="00364545" w:rsidRDefault="00977B34" w:rsidP="00977B34">
      <w:r w:rsidRPr="00364545">
        <w:t>The contribution to N</w:t>
      </w:r>
      <w:r w:rsidRPr="00364545">
        <w:rPr>
          <w:vertAlign w:val="subscript"/>
        </w:rPr>
        <w:t>2</w:t>
      </w:r>
      <w:r w:rsidRPr="00364545">
        <w:t>O emissions from industry is relatively stable, even if emissions from this sub-sector continue to decrease and have dropped by 95% since 1</w:t>
      </w:r>
      <w:r w:rsidR="00CF512D">
        <w:t>9</w:t>
      </w:r>
      <w:r w:rsidRPr="00364545">
        <w:t>90.</w:t>
      </w:r>
    </w:p>
    <w:p w14:paraId="0720B9C5" w14:textId="20C617FD" w:rsidR="00977B34" w:rsidRPr="00364545" w:rsidRDefault="00977B34" w:rsidP="00977B34"/>
    <w:p w14:paraId="0D837371" w14:textId="77777777" w:rsidR="00977B34" w:rsidRPr="00364545" w:rsidRDefault="00977B34" w:rsidP="00977B34"/>
    <w:p w14:paraId="06F0645C" w14:textId="77777777" w:rsidR="00977B34" w:rsidRPr="00364545" w:rsidRDefault="00977B34" w:rsidP="00BD588C">
      <w:pPr>
        <w:jc w:val="center"/>
      </w:pPr>
      <w:r w:rsidRPr="00364545">
        <w:rPr>
          <w:noProof/>
          <w:lang w:val="fr-FR"/>
        </w:rPr>
        <w:drawing>
          <wp:inline distT="0" distB="0" distL="0" distR="0" wp14:anchorId="628BE3F2" wp14:editId="2BB4A491">
            <wp:extent cx="6318250" cy="3575685"/>
            <wp:effectExtent l="38100" t="0" r="6350" b="5715"/>
            <wp:docPr id="17" name="Graphique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3823038" w14:textId="6517E572" w:rsidR="00BD588C" w:rsidRPr="00364545" w:rsidRDefault="00BD588C" w:rsidP="0045532B">
      <w:pPr>
        <w:pStyle w:val="Caption"/>
      </w:pPr>
      <w:bookmarkStart w:id="199" w:name="_Toc123916445"/>
      <w:r w:rsidRPr="00364545">
        <w:t xml:space="preserve">Figure </w:t>
      </w:r>
      <w:r w:rsidR="003714FB">
        <w:fldChar w:fldCharType="begin"/>
      </w:r>
      <w:r w:rsidR="003714FB">
        <w:instrText xml:space="preserve"> SEQ Figure \* ARABIC </w:instrText>
      </w:r>
      <w:r w:rsidR="003714FB">
        <w:fldChar w:fldCharType="separate"/>
      </w:r>
      <w:r w:rsidR="009A2FAA">
        <w:rPr>
          <w:noProof/>
        </w:rPr>
        <w:t>34</w:t>
      </w:r>
      <w:r w:rsidR="003714FB">
        <w:rPr>
          <w:noProof/>
        </w:rPr>
        <w:fldChar w:fldCharType="end"/>
      </w:r>
      <w:r w:rsidRPr="00364545">
        <w:t xml:space="preserve">: Breakdown of N </w:t>
      </w:r>
      <w:r w:rsidRPr="00364545">
        <w:rPr>
          <w:vertAlign w:val="subscript"/>
        </w:rPr>
        <w:t>2</w:t>
      </w:r>
      <w:r w:rsidRPr="00364545">
        <w:t xml:space="preserve"> emissions in 2020</w:t>
      </w:r>
      <w:bookmarkEnd w:id="199"/>
    </w:p>
    <w:p w14:paraId="6507ECEB" w14:textId="343F4266" w:rsidR="00A67073" w:rsidRPr="00364545" w:rsidRDefault="00977B34" w:rsidP="000D1437">
      <w:pPr>
        <w:pStyle w:val="Caption"/>
      </w:pPr>
      <w:r w:rsidRPr="00364545">
        <w:t>Source: Citepa inventory, April 2022 - SECTEN format, ‘Kyoto Climate Plan’ outputs</w:t>
      </w:r>
    </w:p>
    <w:p w14:paraId="57DCA5A9" w14:textId="065EA690" w:rsidR="00977B34" w:rsidRPr="00364545" w:rsidRDefault="00A67073" w:rsidP="003F57EA">
      <w:pPr>
        <w:pStyle w:val="Titre3Niveau3"/>
      </w:pPr>
      <w:bookmarkStart w:id="200" w:name="_Toc121424938"/>
      <w:bookmarkStart w:id="201" w:name="_Toc121430994"/>
      <w:bookmarkStart w:id="202" w:name="_Toc121431331"/>
      <w:bookmarkStart w:id="203" w:name="_Toc121431492"/>
      <w:bookmarkStart w:id="204" w:name="_Toc121431654"/>
      <w:bookmarkStart w:id="205" w:name="_Toc121431817"/>
      <w:bookmarkStart w:id="206" w:name="_Toc121431979"/>
      <w:bookmarkStart w:id="207" w:name="_Toc121424939"/>
      <w:bookmarkStart w:id="208" w:name="_Toc121430995"/>
      <w:bookmarkStart w:id="209" w:name="_Toc121431332"/>
      <w:bookmarkStart w:id="210" w:name="_Toc121431493"/>
      <w:bookmarkStart w:id="211" w:name="_Toc121431655"/>
      <w:bookmarkStart w:id="212" w:name="_Toc121431818"/>
      <w:bookmarkStart w:id="213" w:name="_Toc121431980"/>
      <w:bookmarkStart w:id="214" w:name="_Toc13834180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r w:rsidRPr="00364545">
        <w:t>Breakdown of emissions by sector: fluorinated gases (PFC, HFC, SF</w:t>
      </w:r>
      <w:r w:rsidRPr="00364545">
        <w:rPr>
          <w:vertAlign w:val="subscript"/>
        </w:rPr>
        <w:t>6</w:t>
      </w:r>
      <w:r w:rsidRPr="00364545">
        <w:t xml:space="preserve">, </w:t>
      </w:r>
      <w:r w:rsidRPr="00364545">
        <w:rPr>
          <w:sz w:val="18"/>
        </w:rPr>
        <w:t>NF</w:t>
      </w:r>
      <w:r w:rsidRPr="00364545">
        <w:rPr>
          <w:sz w:val="18"/>
          <w:vertAlign w:val="subscript"/>
        </w:rPr>
        <w:t>3</w:t>
      </w:r>
      <w:r w:rsidRPr="00364545">
        <w:t>)</w:t>
      </w:r>
      <w:bookmarkEnd w:id="214"/>
    </w:p>
    <w:p w14:paraId="46CC32FD" w14:textId="45AE7315" w:rsidR="00977B34" w:rsidRPr="00364545" w:rsidRDefault="00977B34" w:rsidP="00977B34">
      <w:r w:rsidRPr="00364545">
        <w:t>In 2020, emissions of fluorinated gases (HFC, PFC, SF</w:t>
      </w:r>
      <w:r w:rsidRPr="00364545">
        <w:rPr>
          <w:vertAlign w:val="subscript"/>
        </w:rPr>
        <w:t>6</w:t>
      </w:r>
      <w:r w:rsidRPr="00364545">
        <w:t xml:space="preserve"> and </w:t>
      </w:r>
      <w:r w:rsidRPr="00364545">
        <w:rPr>
          <w:sz w:val="18"/>
        </w:rPr>
        <w:t>NF</w:t>
      </w:r>
      <w:r w:rsidRPr="00364545">
        <w:rPr>
          <w:sz w:val="18"/>
          <w:vertAlign w:val="subscript"/>
        </w:rPr>
        <w:t>3</w:t>
      </w:r>
      <w:r w:rsidRPr="00364545">
        <w:t>) within the scope of Kyoto protocol amounted to 12.6 MtCO</w:t>
      </w:r>
      <w:r w:rsidRPr="00364545">
        <w:rPr>
          <w:vertAlign w:val="subscript"/>
        </w:rPr>
        <w:t>2e</w:t>
      </w:r>
      <w:r w:rsidRPr="00364545">
        <w:t>, i.e. 3.2% of national emissions. After a significant increase between 1990 and 2012 (+64%), emissions have decreased again and have almost returned to their 1990 level (+7.3%).</w:t>
      </w:r>
    </w:p>
    <w:p w14:paraId="22CCF1A6" w14:textId="77777777" w:rsidR="00977B34" w:rsidRPr="00364545" w:rsidRDefault="00977B34" w:rsidP="00977B34">
      <w:r w:rsidRPr="00364545">
        <w:t>These emissions mainly originate in the following sectors:</w:t>
      </w:r>
    </w:p>
    <w:p w14:paraId="2B5F29B3" w14:textId="77777777" w:rsidR="00977B34" w:rsidRPr="00364545" w:rsidRDefault="00977B34" w:rsidP="00BE086C">
      <w:pPr>
        <w:pStyle w:val="ListParagraph"/>
        <w:numPr>
          <w:ilvl w:val="0"/>
          <w:numId w:val="22"/>
        </w:numPr>
        <w:jc w:val="left"/>
      </w:pPr>
      <w:r w:rsidRPr="00364545">
        <w:t>Residential-tertiary (air conditioning and commercial and domestic cooling systems): 51.2% of emissions (compared to 1.21% in 1990 and 54.4% in 2015).</w:t>
      </w:r>
    </w:p>
    <w:p w14:paraId="7CCF7AEF" w14:textId="77777777" w:rsidR="00977B34" w:rsidRPr="00364545" w:rsidRDefault="00977B34" w:rsidP="00BE086C">
      <w:pPr>
        <w:pStyle w:val="ListParagraph"/>
        <w:numPr>
          <w:ilvl w:val="0"/>
          <w:numId w:val="22"/>
        </w:numPr>
        <w:jc w:val="left"/>
      </w:pPr>
      <w:r w:rsidRPr="00364545">
        <w:t>Industry: 25.8% of emissions (compared to 94.5% in 1990 and 23.75% in 2015). Emissions in the manufacturing industry are principally associated with the production of magnesium and the manufacture of high voltage circuit breakers.</w:t>
      </w:r>
    </w:p>
    <w:p w14:paraId="3EAC2AE5" w14:textId="77777777" w:rsidR="00977B34" w:rsidRPr="00364545" w:rsidRDefault="00977B34" w:rsidP="00BE086C">
      <w:pPr>
        <w:pStyle w:val="ListParagraph"/>
        <w:numPr>
          <w:ilvl w:val="0"/>
          <w:numId w:val="22"/>
        </w:numPr>
        <w:jc w:val="left"/>
      </w:pPr>
      <w:r w:rsidRPr="00364545">
        <w:t>Transport (air conditioning): 20.4% of emissions (vs 19.7% in 2015).</w:t>
      </w:r>
    </w:p>
    <w:p w14:paraId="6DF667A2" w14:textId="276B4B8D" w:rsidR="00977B34" w:rsidRPr="00364545" w:rsidRDefault="00977B34" w:rsidP="00977B34"/>
    <w:p w14:paraId="20F2A6E4" w14:textId="77777777" w:rsidR="00977B34" w:rsidRPr="00364545" w:rsidRDefault="00977B34" w:rsidP="00BD588C">
      <w:pPr>
        <w:jc w:val="center"/>
      </w:pPr>
      <w:r w:rsidRPr="00364545">
        <w:rPr>
          <w:noProof/>
          <w:lang w:val="fr-FR"/>
        </w:rPr>
        <w:drawing>
          <wp:inline distT="0" distB="0" distL="0" distR="0" wp14:anchorId="4C1A067F" wp14:editId="349B8ED2">
            <wp:extent cx="4933950" cy="3714750"/>
            <wp:effectExtent l="0" t="0" r="0" b="0"/>
            <wp:docPr id="19" name="Graphique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3B90926" w14:textId="3FF4B4C5" w:rsidR="00BD588C" w:rsidRPr="00364545" w:rsidRDefault="00BD588C" w:rsidP="0045532B">
      <w:pPr>
        <w:pStyle w:val="Caption"/>
      </w:pPr>
      <w:bookmarkStart w:id="215" w:name="_Toc123916446"/>
      <w:r w:rsidRPr="00364545">
        <w:t xml:space="preserve">Figure </w:t>
      </w:r>
      <w:r w:rsidR="003714FB">
        <w:fldChar w:fldCharType="begin"/>
      </w:r>
      <w:r w:rsidR="003714FB">
        <w:instrText xml:space="preserve"> SEQ Figure \* ARABIC </w:instrText>
      </w:r>
      <w:r w:rsidR="003714FB">
        <w:fldChar w:fldCharType="separate"/>
      </w:r>
      <w:r w:rsidR="009A2FAA">
        <w:rPr>
          <w:noProof/>
        </w:rPr>
        <w:t>35</w:t>
      </w:r>
      <w:r w:rsidR="003714FB">
        <w:rPr>
          <w:noProof/>
        </w:rPr>
        <w:fldChar w:fldCharType="end"/>
      </w:r>
      <w:r w:rsidRPr="00364545">
        <w:t xml:space="preserve">: Breakdown of N </w:t>
      </w:r>
      <w:r w:rsidRPr="00364545">
        <w:rPr>
          <w:vertAlign w:val="subscript"/>
        </w:rPr>
        <w:t>2</w:t>
      </w:r>
      <w:r w:rsidRPr="00364545">
        <w:t xml:space="preserve"> emissions in 2020</w:t>
      </w:r>
      <w:bookmarkEnd w:id="215"/>
    </w:p>
    <w:p w14:paraId="70B1CB71" w14:textId="4A87E6F0" w:rsidR="00977B34" w:rsidRPr="00364545" w:rsidRDefault="00977B34" w:rsidP="0045532B">
      <w:pPr>
        <w:pStyle w:val="Caption"/>
      </w:pPr>
      <w:r w:rsidRPr="00364545">
        <w:t>Source: Citepa inventory, April 2022 - SECTEN format, ‘Kyoto Climate Plan’ outputs</w:t>
      </w:r>
    </w:p>
    <w:p w14:paraId="160DD1A6" w14:textId="26B41548" w:rsidR="00977B34" w:rsidRPr="00364545" w:rsidRDefault="00977B34" w:rsidP="003F57EA">
      <w:pPr>
        <w:pStyle w:val="Titre3Niveau3"/>
      </w:pPr>
      <w:bookmarkStart w:id="216" w:name="_Toc120568039"/>
      <w:bookmarkStart w:id="217" w:name="_Toc138341810"/>
      <w:r w:rsidRPr="00364545">
        <w:t>Analysis of total greenhouse gas emissions by sector of activity</w:t>
      </w:r>
      <w:bookmarkEnd w:id="216"/>
      <w:bookmarkEnd w:id="217"/>
    </w:p>
    <w:p w14:paraId="2B307A7D" w14:textId="156A41E2" w:rsidR="00977B34" w:rsidRPr="00364545" w:rsidRDefault="00977B34" w:rsidP="00EF6DB6">
      <w:pPr>
        <w:pStyle w:val="Titre4niveau4"/>
      </w:pPr>
      <w:r w:rsidRPr="00364545">
        <w:t>The transport sector (CFR 1A3 and 2F to some extent for fluorinated gases)</w:t>
      </w:r>
    </w:p>
    <w:p w14:paraId="7DD7D530" w14:textId="271930B7" w:rsidR="00977B34" w:rsidRPr="00364545" w:rsidRDefault="00977B34" w:rsidP="00977B34">
      <w:r w:rsidRPr="00364545">
        <w:t>Transport is the leading greenhouse gas emitting sector in France. In 2020, it accounted for 28.8% of national emissions, or 113.1 MtCO</w:t>
      </w:r>
      <w:r w:rsidRPr="00364545">
        <w:rPr>
          <w:vertAlign w:val="subscript"/>
        </w:rPr>
        <w:t>2e</w:t>
      </w:r>
      <w:r w:rsidRPr="00364545">
        <w:t>. Although emissions from this sector fell in 2020 as a result of the measures put in place to deal with the pandemic, particularly in the aviation sector, they tended to increase between 1990 and 2011 and have then fallen slowly since (-2.7% between 2011 and 2019). This trend is the result of an increase in truck traffic which could not be compensated for by the growth in biofuels and the decrease in unit emissions from new vehicles. However, the strong growth in biofuels from 2005 onwards has made it possible to limit emissions from the road transport sector.</w:t>
      </w:r>
    </w:p>
    <w:p w14:paraId="5C1A9317" w14:textId="77777777" w:rsidR="00977B34" w:rsidRPr="00364545" w:rsidRDefault="00977B34" w:rsidP="00BD588C">
      <w:pPr>
        <w:jc w:val="center"/>
      </w:pPr>
      <w:r w:rsidRPr="00364545">
        <w:rPr>
          <w:noProof/>
          <w:lang w:val="fr-FR"/>
        </w:rPr>
        <w:drawing>
          <wp:inline distT="0" distB="0" distL="0" distR="0" wp14:anchorId="23E40628" wp14:editId="2309EDD6">
            <wp:extent cx="5715000" cy="2581275"/>
            <wp:effectExtent l="0" t="0" r="0" b="9525"/>
            <wp:docPr id="180" name="Image 180"/>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15000" cy="2581275"/>
                    </a:xfrm>
                    <a:prstGeom prst="rect">
                      <a:avLst/>
                    </a:prstGeom>
                    <a:noFill/>
                    <a:ln>
                      <a:noFill/>
                    </a:ln>
                  </pic:spPr>
                </pic:pic>
              </a:graphicData>
            </a:graphic>
          </wp:inline>
        </w:drawing>
      </w:r>
    </w:p>
    <w:p w14:paraId="3915628C" w14:textId="73BC29C5" w:rsidR="00BD588C" w:rsidRPr="00364545" w:rsidRDefault="00BD588C" w:rsidP="0045532B">
      <w:pPr>
        <w:pStyle w:val="Caption"/>
      </w:pPr>
      <w:bookmarkStart w:id="218" w:name="_Toc123916447"/>
      <w:r w:rsidRPr="00364545">
        <w:t xml:space="preserve">Figure </w:t>
      </w:r>
      <w:r w:rsidR="003714FB">
        <w:fldChar w:fldCharType="begin"/>
      </w:r>
      <w:r w:rsidR="003714FB">
        <w:instrText xml:space="preserve"> SEQ Figure \* ARABIC </w:instrText>
      </w:r>
      <w:r w:rsidR="003714FB">
        <w:fldChar w:fldCharType="separate"/>
      </w:r>
      <w:r w:rsidR="009A2FAA">
        <w:rPr>
          <w:noProof/>
        </w:rPr>
        <w:t>36</w:t>
      </w:r>
      <w:r w:rsidR="003714FB">
        <w:rPr>
          <w:noProof/>
        </w:rPr>
        <w:fldChar w:fldCharType="end"/>
      </w:r>
      <w:r w:rsidRPr="00364545">
        <w:t>: Inclusion rate of agrofuels in metropolitan France</w:t>
      </w:r>
      <w:bookmarkEnd w:id="218"/>
    </w:p>
    <w:p w14:paraId="76FA1EDA" w14:textId="790B1444" w:rsidR="00977B34" w:rsidRPr="00364545" w:rsidRDefault="00977B34" w:rsidP="0045532B">
      <w:pPr>
        <w:pStyle w:val="Caption"/>
      </w:pPr>
      <w:r w:rsidRPr="00364545">
        <w:t>Source: CITEPA publication OMINEA February 2022</w:t>
      </w:r>
    </w:p>
    <w:p w14:paraId="747E83E9" w14:textId="77777777" w:rsidR="00977B34" w:rsidRPr="00364545" w:rsidRDefault="00977B34" w:rsidP="00977B34"/>
    <w:p w14:paraId="34977602" w14:textId="00A42FED" w:rsidR="00977B34" w:rsidRPr="00364545" w:rsidRDefault="00977B34" w:rsidP="00977B34">
      <w:r w:rsidRPr="00364545">
        <w:t>In 2020, the road transport sector accounted for 94.7% of transport sector emissions. Private cars accounted for 52% of the emissions from this sector; heavy goods vehicles 26.9%; commercial vehicles 14.7%; and two-wheelers 1.0%.</w:t>
      </w:r>
    </w:p>
    <w:p w14:paraId="31970803" w14:textId="77777777" w:rsidR="00977B34" w:rsidRPr="00364545" w:rsidRDefault="00977B34" w:rsidP="00977B34">
      <w:pPr>
        <w:jc w:val="center"/>
      </w:pPr>
    </w:p>
    <w:p w14:paraId="0A1B3A67" w14:textId="77777777" w:rsidR="00977B34" w:rsidRPr="00364545" w:rsidRDefault="00977B34" w:rsidP="00977B34"/>
    <w:p w14:paraId="519C36B1" w14:textId="77777777" w:rsidR="00977B34" w:rsidRPr="00364545" w:rsidRDefault="00977B34" w:rsidP="00977B34"/>
    <w:p w14:paraId="70EB03C2" w14:textId="77777777" w:rsidR="00977B34" w:rsidRPr="00364545" w:rsidRDefault="00977B34" w:rsidP="00BD588C">
      <w:pPr>
        <w:jc w:val="center"/>
      </w:pPr>
      <w:r w:rsidRPr="00364545">
        <w:rPr>
          <w:noProof/>
          <w:lang w:val="fr-FR"/>
        </w:rPr>
        <w:drawing>
          <wp:inline distT="0" distB="0" distL="0" distR="0" wp14:anchorId="393E8CF1" wp14:editId="2FB1BFC3">
            <wp:extent cx="6515100" cy="2519680"/>
            <wp:effectExtent l="0" t="0" r="0" b="0"/>
            <wp:docPr id="18" name="Graphique 18">
              <a:extLst xmlns:a="http://schemas.openxmlformats.org/drawingml/2006/main">
                <a:ext uri="{FF2B5EF4-FFF2-40B4-BE49-F238E27FC236}">
                  <a16:creationId xmlns:a16="http://schemas.microsoft.com/office/drawing/2014/main" id="{238D9D3E-FE04-48A3-8B00-11883E17FD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9C23588" w14:textId="607B4EDE" w:rsidR="00BD588C" w:rsidRPr="00364545" w:rsidRDefault="00BD588C" w:rsidP="0045532B">
      <w:pPr>
        <w:pStyle w:val="Caption"/>
      </w:pPr>
      <w:bookmarkStart w:id="219" w:name="_Toc123916448"/>
      <w:r w:rsidRPr="00364545">
        <w:t xml:space="preserve">Figure </w:t>
      </w:r>
      <w:r w:rsidR="003714FB">
        <w:fldChar w:fldCharType="begin"/>
      </w:r>
      <w:r w:rsidR="003714FB">
        <w:instrText xml:space="preserve"> SEQ Figure \* ARABIC </w:instrText>
      </w:r>
      <w:r w:rsidR="003714FB">
        <w:fldChar w:fldCharType="separate"/>
      </w:r>
      <w:r w:rsidR="009A2FAA">
        <w:rPr>
          <w:noProof/>
        </w:rPr>
        <w:t>37</w:t>
      </w:r>
      <w:r w:rsidR="003714FB">
        <w:rPr>
          <w:noProof/>
        </w:rPr>
        <w:fldChar w:fldCharType="end"/>
      </w:r>
      <w:r w:rsidRPr="00364545">
        <w:t>: Changes in air emissions of CO</w:t>
      </w:r>
      <w:r w:rsidRPr="00364545">
        <w:rPr>
          <w:vertAlign w:val="subscript"/>
        </w:rPr>
        <w:t>2e</w:t>
      </w:r>
      <w:r w:rsidRPr="00364545">
        <w:t xml:space="preserve"> from the transport sector since 1990 in France (Metropolitan France and EU Overseas)</w:t>
      </w:r>
      <w:bookmarkEnd w:id="219"/>
    </w:p>
    <w:p w14:paraId="1B73B104" w14:textId="3D4922A0" w:rsidR="00977B34" w:rsidRPr="00364545" w:rsidRDefault="00977B34" w:rsidP="0045532B">
      <w:pPr>
        <w:pStyle w:val="Caption"/>
      </w:pPr>
      <w:r w:rsidRPr="00364545">
        <w:t>Source: Citepa inventory, April 2022 - SECTEN format, ‘Kyoto Climate Plan’ outputs</w:t>
      </w:r>
    </w:p>
    <w:p w14:paraId="405AB162" w14:textId="77777777" w:rsidR="00977B34" w:rsidRPr="00364545" w:rsidRDefault="00977B34" w:rsidP="00977B34"/>
    <w:p w14:paraId="7253DFA7" w14:textId="77777777" w:rsidR="00977B34" w:rsidRPr="00364545" w:rsidRDefault="00977B34" w:rsidP="00977B34"/>
    <w:p w14:paraId="16B80ED2" w14:textId="77777777" w:rsidR="00977B34" w:rsidRPr="00364545" w:rsidRDefault="00977B34" w:rsidP="00977B34">
      <w:pPr>
        <w:jc w:val="center"/>
      </w:pPr>
      <w:r w:rsidRPr="00364545">
        <w:rPr>
          <w:noProof/>
          <w:lang w:val="fr-FR"/>
        </w:rPr>
        <w:drawing>
          <wp:inline distT="0" distB="0" distL="0" distR="0" wp14:anchorId="511656E2" wp14:editId="610FFB09">
            <wp:extent cx="5767388" cy="3124194"/>
            <wp:effectExtent l="19050" t="0" r="5080" b="635"/>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4D6478A" w14:textId="68A2DF0E" w:rsidR="00BD588C" w:rsidRPr="00364545" w:rsidRDefault="00BD588C" w:rsidP="0045532B">
      <w:pPr>
        <w:pStyle w:val="Caption"/>
      </w:pPr>
      <w:bookmarkStart w:id="220" w:name="_Toc123916449"/>
      <w:r w:rsidRPr="00364545">
        <w:t xml:space="preserve">Figure </w:t>
      </w:r>
      <w:r w:rsidR="003714FB">
        <w:fldChar w:fldCharType="begin"/>
      </w:r>
      <w:r w:rsidR="003714FB">
        <w:instrText xml:space="preserve"> SEQ Figure</w:instrText>
      </w:r>
      <w:r w:rsidR="003714FB">
        <w:instrText xml:space="preserve"> \* ARABIC </w:instrText>
      </w:r>
      <w:r w:rsidR="003714FB">
        <w:fldChar w:fldCharType="separate"/>
      </w:r>
      <w:r w:rsidR="009A2FAA">
        <w:rPr>
          <w:noProof/>
        </w:rPr>
        <w:t>38</w:t>
      </w:r>
      <w:r w:rsidR="003714FB">
        <w:rPr>
          <w:noProof/>
        </w:rPr>
        <w:fldChar w:fldCharType="end"/>
      </w:r>
      <w:r w:rsidRPr="00364545">
        <w:t>: Breakdown of GHG emissions by mode of transport in France in 2020 (Metropolitan France and EU Overseas)</w:t>
      </w:r>
      <w:bookmarkEnd w:id="220"/>
    </w:p>
    <w:p w14:paraId="32291C9F" w14:textId="2B952C6E" w:rsidR="00977B34" w:rsidRPr="00364545" w:rsidRDefault="00977B34" w:rsidP="0045532B">
      <w:pPr>
        <w:pStyle w:val="Caption"/>
      </w:pPr>
      <w:r w:rsidRPr="00364545">
        <w:t>Source: Citepa inventory, April 2022 - SECTEN format, ‘Kyoto Climate Plan’ outputs</w:t>
      </w:r>
    </w:p>
    <w:p w14:paraId="6E3BBC3A" w14:textId="77777777" w:rsidR="00977B34" w:rsidRPr="00364545" w:rsidRDefault="00977B34" w:rsidP="00977B34"/>
    <w:p w14:paraId="04B0ED51" w14:textId="77777777" w:rsidR="00977B34" w:rsidRPr="00364545" w:rsidRDefault="00977B34" w:rsidP="00977B34">
      <w:r w:rsidRPr="00364545">
        <w:t xml:space="preserve">Alternative forms of transport to road transport account for only 5.5% of the transport sector in terms of emissions. As regards air traffic, only GHG emissions from domestic air traffic (including overseas) have been taken into account, regardless of the airline. Emissions from international air traffic have also been estimated but are not included in the national total. These emissions are limited to fuel sales on French territory. The unit emissions of domestic flights, which are shorter and have particularly emissive take-off and landing phases, are higher than those of flights to overseas destinations or international flights. </w:t>
      </w:r>
    </w:p>
    <w:p w14:paraId="128CF3CD" w14:textId="77777777" w:rsidR="00977B34" w:rsidRPr="00364545" w:rsidRDefault="00977B34" w:rsidP="00977B34"/>
    <w:p w14:paraId="4471BBDD" w14:textId="77777777" w:rsidR="00977B34" w:rsidRPr="00364545" w:rsidRDefault="00977B34" w:rsidP="00977B34">
      <w:pPr>
        <w:jc w:val="center"/>
      </w:pPr>
      <w:r w:rsidRPr="00364545">
        <w:rPr>
          <w:noProof/>
          <w:lang w:val="fr-FR"/>
        </w:rPr>
        <w:drawing>
          <wp:inline distT="0" distB="0" distL="0" distR="0" wp14:anchorId="3D1E676E" wp14:editId="5272B4A9">
            <wp:extent cx="5710238" cy="2886069"/>
            <wp:effectExtent l="0" t="0" r="5080" b="10160"/>
            <wp:docPr id="12"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854A25E" w14:textId="2D44E86C" w:rsidR="00FF3B71" w:rsidRPr="00364545" w:rsidRDefault="00FF3B71" w:rsidP="0045532B">
      <w:pPr>
        <w:pStyle w:val="Caption"/>
      </w:pPr>
      <w:bookmarkStart w:id="221" w:name="_Toc123916450"/>
      <w:r w:rsidRPr="00364545">
        <w:t xml:space="preserve">Figure </w:t>
      </w:r>
      <w:r w:rsidR="003714FB">
        <w:fldChar w:fldCharType="begin"/>
      </w:r>
      <w:r w:rsidR="003714FB">
        <w:instrText xml:space="preserve"> SEQ Figure \* ARABIC </w:instrText>
      </w:r>
      <w:r w:rsidR="003714FB">
        <w:fldChar w:fldCharType="separate"/>
      </w:r>
      <w:r w:rsidR="009A2FAA">
        <w:rPr>
          <w:noProof/>
        </w:rPr>
        <w:t>39</w:t>
      </w:r>
      <w:r w:rsidR="003714FB">
        <w:rPr>
          <w:noProof/>
        </w:rPr>
        <w:fldChar w:fldCharType="end"/>
      </w:r>
      <w:r w:rsidRPr="00364545">
        <w:t>: Emissions from non-road sectors since 1990, in MtCO</w:t>
      </w:r>
      <w:r w:rsidRPr="00364545">
        <w:rPr>
          <w:vertAlign w:val="subscript"/>
        </w:rPr>
        <w:t>2e</w:t>
      </w:r>
      <w:r w:rsidRPr="00364545">
        <w:t xml:space="preserve"> (Metropolitan France and EU Overseas)</w:t>
      </w:r>
      <w:bookmarkEnd w:id="221"/>
    </w:p>
    <w:p w14:paraId="093FADA9" w14:textId="3F0545D4" w:rsidR="00977B34" w:rsidRPr="00364545" w:rsidRDefault="00977B34" w:rsidP="0045532B">
      <w:pPr>
        <w:pStyle w:val="Caption"/>
      </w:pPr>
      <w:r w:rsidRPr="00364545">
        <w:t>Source: Citepa inventory, April 2022 - SECTEN format, ‘Kyoto Climate Plan’ outputs</w:t>
      </w:r>
    </w:p>
    <w:p w14:paraId="6AF5DA79" w14:textId="77777777" w:rsidR="00977B34" w:rsidRPr="00364545" w:rsidRDefault="00977B34" w:rsidP="00977B34"/>
    <w:p w14:paraId="74CB48FE" w14:textId="0825670F" w:rsidR="00977B34" w:rsidRPr="00364545" w:rsidRDefault="00977B34" w:rsidP="00EF6DB6">
      <w:pPr>
        <w:pStyle w:val="Titre4niveau4"/>
      </w:pPr>
      <w:r w:rsidRPr="00364545">
        <w:t>The residential/tertiary sector (CRF 1A4a and 1A4b, and CRF 2 in part)</w:t>
      </w:r>
    </w:p>
    <w:p w14:paraId="35BC2DFD" w14:textId="4E07C7B5" w:rsidR="00977B34" w:rsidRPr="00364545" w:rsidRDefault="00977B34" w:rsidP="00977B34">
      <w:r w:rsidRPr="00364545">
        <w:t>The residential/tertiary sector accounted for 18% of national emissions in 2020, i.e. 71 MtCO</w:t>
      </w:r>
      <w:r w:rsidRPr="00364545">
        <w:rPr>
          <w:vertAlign w:val="subscript"/>
        </w:rPr>
        <w:t>2e</w:t>
      </w:r>
      <w:r w:rsidRPr="00364545">
        <w:t>, down by 5.8% compared to 2019 and by 23.5% compared to 1990. Emissions from this sector increased until 2009-2010 and then started to decline, particularly from 2015. The policies and measures put in place since 1990, especially the series of thermal regulations for new builds, have made it possible to offset the increase in the number of dwellings. A decrease in the percentage of fuel oil and the growth of gas have also contributed to the decrease in emissions from this sector.</w:t>
      </w:r>
    </w:p>
    <w:p w14:paraId="0F3D042D" w14:textId="77777777" w:rsidR="00977B34" w:rsidRPr="00364545" w:rsidRDefault="00977B34" w:rsidP="00977B34"/>
    <w:p w14:paraId="32D5EDD8" w14:textId="77777777" w:rsidR="00977B34" w:rsidRPr="00364545" w:rsidRDefault="00977B34" w:rsidP="00977B34"/>
    <w:p w14:paraId="5412337C" w14:textId="77777777" w:rsidR="00977B34" w:rsidRPr="00364545" w:rsidRDefault="00977B34" w:rsidP="00977B34">
      <w:pPr>
        <w:jc w:val="center"/>
      </w:pPr>
      <w:r w:rsidRPr="00364545">
        <w:rPr>
          <w:noProof/>
          <w:lang w:val="fr-FR"/>
        </w:rPr>
        <w:drawing>
          <wp:inline distT="0" distB="0" distL="0" distR="0" wp14:anchorId="15899F19" wp14:editId="5BA9448B">
            <wp:extent cx="5486400" cy="2947035"/>
            <wp:effectExtent l="0" t="0" r="0" b="571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11F7A68" w14:textId="4FD35573" w:rsidR="00FF3B71" w:rsidRPr="00364545" w:rsidRDefault="00FF3B71" w:rsidP="0045532B">
      <w:pPr>
        <w:pStyle w:val="Caption"/>
      </w:pPr>
      <w:bookmarkStart w:id="222" w:name="_Toc123916451"/>
      <w:r w:rsidRPr="00364545">
        <w:t xml:space="preserve">Figure </w:t>
      </w:r>
      <w:r w:rsidR="003714FB">
        <w:fldChar w:fldCharType="begin"/>
      </w:r>
      <w:r w:rsidR="003714FB">
        <w:instrText xml:space="preserve"> SEQ Figure \* ARABIC </w:instrText>
      </w:r>
      <w:r w:rsidR="003714FB">
        <w:fldChar w:fldCharType="separate"/>
      </w:r>
      <w:r w:rsidR="009A2FAA">
        <w:rPr>
          <w:noProof/>
        </w:rPr>
        <w:t>40</w:t>
      </w:r>
      <w:r w:rsidR="003714FB">
        <w:rPr>
          <w:noProof/>
        </w:rPr>
        <w:fldChar w:fldCharType="end"/>
      </w:r>
      <w:r w:rsidRPr="00364545">
        <w:t>: Emissions from non-road sectors since 1990, in MtCO</w:t>
      </w:r>
      <w:r w:rsidRPr="00364545">
        <w:rPr>
          <w:vertAlign w:val="subscript"/>
        </w:rPr>
        <w:t>2e</w:t>
      </w:r>
      <w:r w:rsidRPr="00364545">
        <w:t xml:space="preserve"> (Metropolitan France and EU Overseas)</w:t>
      </w:r>
      <w:bookmarkEnd w:id="222"/>
    </w:p>
    <w:p w14:paraId="21B6166B" w14:textId="1540C703" w:rsidR="00977B34" w:rsidRPr="00364545" w:rsidRDefault="00977B34" w:rsidP="0045532B">
      <w:pPr>
        <w:pStyle w:val="Caption"/>
      </w:pPr>
      <w:r w:rsidRPr="00364545">
        <w:t>Source: Citepa inventory, April 2022 - SECTEN format, ‘Kyoto Climate Plan’ outputs</w:t>
      </w:r>
    </w:p>
    <w:p w14:paraId="6186D971" w14:textId="77777777" w:rsidR="00977B34" w:rsidRPr="00364545" w:rsidRDefault="00977B34" w:rsidP="00977B34"/>
    <w:p w14:paraId="0D50A456" w14:textId="13782EA3" w:rsidR="00977B34" w:rsidRPr="00364545" w:rsidRDefault="00977B34" w:rsidP="00977B34">
      <w:r w:rsidRPr="00364545">
        <w:t>Fluorinated gas emissions, which were very low in 1990 (0.1 MtCO</w:t>
      </w:r>
      <w:r w:rsidRPr="00364545">
        <w:rPr>
          <w:vertAlign w:val="subscript"/>
        </w:rPr>
        <w:t>2e</w:t>
      </w:r>
      <w:r w:rsidRPr="00364545">
        <w:t xml:space="preserve"> increased to 19.3 MtCO</w:t>
      </w:r>
      <w:r w:rsidRPr="00364545">
        <w:rPr>
          <w:vertAlign w:val="subscript"/>
        </w:rPr>
        <w:t>2e</w:t>
      </w:r>
      <w:r w:rsidRPr="00364545">
        <w:t xml:space="preserve"> in 2012 and then began to decline. This strong increase can be linked to the growth in air conditioning.</w:t>
      </w:r>
    </w:p>
    <w:p w14:paraId="69BD3A60" w14:textId="4798D8A2" w:rsidR="00977B34" w:rsidRPr="00364545" w:rsidRDefault="00977B34" w:rsidP="00EF6DB6">
      <w:pPr>
        <w:pStyle w:val="Titre4niveau4"/>
      </w:pPr>
      <w:r w:rsidRPr="00364545">
        <w:t>The manufacturing sector (CRF 1A2, CRF 2 in part)</w:t>
      </w:r>
    </w:p>
    <w:p w14:paraId="1B756B7D" w14:textId="47BB090B" w:rsidR="00977B34" w:rsidRPr="00364545" w:rsidRDefault="00977B34" w:rsidP="00977B34">
      <w:r w:rsidRPr="00364545">
        <w:t>Emissions from industry come mainly from CO</w:t>
      </w:r>
      <w:r w:rsidRPr="00364545">
        <w:rPr>
          <w:vertAlign w:val="subscript"/>
        </w:rPr>
        <w:t>2</w:t>
      </w:r>
      <w:r w:rsidRPr="00364545">
        <w:t xml:space="preserve"> intensive products such as metallurgy, chemicals or the manufacture of non-metallic minerals (cement, lime, glass, etc.). In France, the CO</w:t>
      </w:r>
      <w:r w:rsidRPr="00364545">
        <w:rPr>
          <w:vertAlign w:val="subscript"/>
        </w:rPr>
        <w:t>2</w:t>
      </w:r>
      <w:r w:rsidRPr="00364545">
        <w:t xml:space="preserve"> intensity of steel is around 1.1 tCO</w:t>
      </w:r>
      <w:r w:rsidRPr="00364545">
        <w:rPr>
          <w:vertAlign w:val="subscript"/>
        </w:rPr>
        <w:t>2</w:t>
      </w:r>
      <w:r w:rsidRPr="00364545">
        <w:t>/tonne; that of cement is around 0.6 tCO</w:t>
      </w:r>
      <w:r w:rsidRPr="00364545">
        <w:rPr>
          <w:vertAlign w:val="subscript"/>
        </w:rPr>
        <w:t>2</w:t>
      </w:r>
      <w:r w:rsidRPr="00364545">
        <w:t>/tonne; that of glass is around 0.6 tCO</w:t>
      </w:r>
      <w:r w:rsidRPr="00364545">
        <w:rPr>
          <w:vertAlign w:val="subscript"/>
        </w:rPr>
        <w:t>2</w:t>
      </w:r>
      <w:r w:rsidRPr="00364545">
        <w:t>/tonne.</w:t>
      </w:r>
    </w:p>
    <w:p w14:paraId="02A9627F" w14:textId="77777777" w:rsidR="00977B34" w:rsidRPr="00364545" w:rsidRDefault="00977B34" w:rsidP="00977B34">
      <w:r w:rsidRPr="00364545">
        <w:t xml:space="preserve">Between 1990 and 2020, emissions from industry fell by 50%: this fall is found in all industry sectors but is particularly significant in the chemical sector (-64.5%). This growth can be attributed to process improvements and energy and carbon efficiency gains. </w:t>
      </w:r>
    </w:p>
    <w:p w14:paraId="37344B93" w14:textId="77777777" w:rsidR="00977B34" w:rsidRPr="00364545" w:rsidRDefault="00977B34" w:rsidP="00977B34"/>
    <w:p w14:paraId="6C440B09" w14:textId="77777777" w:rsidR="00977B34" w:rsidRPr="00364545" w:rsidRDefault="00977B34" w:rsidP="00FF3B71">
      <w:pPr>
        <w:jc w:val="center"/>
      </w:pPr>
      <w:r w:rsidRPr="00364545">
        <w:rPr>
          <w:noProof/>
          <w:lang w:val="fr-FR"/>
        </w:rPr>
        <w:drawing>
          <wp:inline distT="0" distB="0" distL="0" distR="0" wp14:anchorId="07B766C2" wp14:editId="21EDE749">
            <wp:extent cx="6743700" cy="3462655"/>
            <wp:effectExtent l="0" t="0" r="0" b="4445"/>
            <wp:docPr id="24" name="Graphique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BFEC2E4" w14:textId="3E53A171" w:rsidR="00FF3B71" w:rsidRPr="00364545" w:rsidRDefault="00FF3B71" w:rsidP="0045532B">
      <w:pPr>
        <w:pStyle w:val="Caption"/>
      </w:pPr>
      <w:bookmarkStart w:id="223" w:name="_Toc123916452"/>
      <w:r w:rsidRPr="00364545">
        <w:t xml:space="preserve">Figure </w:t>
      </w:r>
      <w:r w:rsidR="003714FB">
        <w:fldChar w:fldCharType="begin"/>
      </w:r>
      <w:r w:rsidR="003714FB">
        <w:instrText xml:space="preserve"> SEQ Figure \* ARABIC </w:instrText>
      </w:r>
      <w:r w:rsidR="003714FB">
        <w:fldChar w:fldCharType="separate"/>
      </w:r>
      <w:r w:rsidR="009A2FAA">
        <w:rPr>
          <w:noProof/>
        </w:rPr>
        <w:t>41</w:t>
      </w:r>
      <w:r w:rsidR="003714FB">
        <w:rPr>
          <w:noProof/>
        </w:rPr>
        <w:fldChar w:fldCharType="end"/>
      </w:r>
      <w:r w:rsidRPr="00364545">
        <w:t>: Emissions from the manufacturing and construction sectors since 1990, in MtCO</w:t>
      </w:r>
      <w:r w:rsidRPr="00364545">
        <w:rPr>
          <w:vertAlign w:val="subscript"/>
        </w:rPr>
        <w:t>2e</w:t>
      </w:r>
      <w:r w:rsidRPr="00364545">
        <w:t xml:space="preserve"> (Metropolitan France and EU Overseas)</w:t>
      </w:r>
      <w:bookmarkEnd w:id="223"/>
    </w:p>
    <w:p w14:paraId="07293976" w14:textId="103A5158" w:rsidR="00ED5D38" w:rsidRPr="00364545" w:rsidRDefault="00977B34" w:rsidP="000D1437">
      <w:pPr>
        <w:pStyle w:val="Caption"/>
        <w:rPr>
          <w:rFonts w:eastAsiaTheme="majorEastAsia"/>
        </w:rPr>
      </w:pPr>
      <w:r w:rsidRPr="00364545">
        <w:t>Source: Citepa inventory, April 2022 - SECTEN format, ‘Kyoto Climate Plan’ outputs</w:t>
      </w:r>
      <w:bookmarkStart w:id="224" w:name="_Toc121423592"/>
      <w:bookmarkStart w:id="225" w:name="_Toc121424942"/>
      <w:bookmarkStart w:id="226" w:name="_Toc121430998"/>
      <w:bookmarkStart w:id="227" w:name="_Toc121431335"/>
      <w:bookmarkStart w:id="228" w:name="_Toc121431496"/>
      <w:bookmarkStart w:id="229" w:name="_Toc121431658"/>
      <w:bookmarkStart w:id="230" w:name="_Toc121431821"/>
      <w:bookmarkStart w:id="231" w:name="_Toc121431983"/>
      <w:bookmarkStart w:id="232" w:name="_Toc121491637"/>
      <w:bookmarkStart w:id="233" w:name="_Toc121491782"/>
      <w:bookmarkStart w:id="234" w:name="_Toc121491929"/>
      <w:bookmarkStart w:id="235" w:name="_Toc121492075"/>
      <w:bookmarkStart w:id="236" w:name="_Toc121492221"/>
      <w:bookmarkStart w:id="237" w:name="_Toc121493260"/>
      <w:bookmarkStart w:id="238" w:name="_Toc121493405"/>
      <w:bookmarkStart w:id="239" w:name="_Toc121493550"/>
      <w:bookmarkStart w:id="240" w:name="_Toc121753517"/>
      <w:bookmarkStart w:id="241" w:name="_Toc121754980"/>
      <w:bookmarkStart w:id="242" w:name="_Toc121997932"/>
      <w:bookmarkStart w:id="243" w:name="_Toc122004351"/>
      <w:bookmarkStart w:id="244" w:name="_Toc122004516"/>
      <w:bookmarkStart w:id="245" w:name="_Toc122007019"/>
      <w:bookmarkStart w:id="246" w:name="_Toc122031452"/>
      <w:bookmarkStart w:id="247" w:name="_Toc122032424"/>
      <w:bookmarkStart w:id="248" w:name="_Toc122099425"/>
      <w:bookmarkStart w:id="249" w:name="_Toc122365853"/>
      <w:bookmarkStart w:id="250" w:name="_Toc122366022"/>
      <w:bookmarkStart w:id="251" w:name="_Toc122366193"/>
      <w:bookmarkStart w:id="252" w:name="_Toc122366682"/>
      <w:bookmarkStart w:id="253" w:name="_Toc122370091"/>
      <w:bookmarkStart w:id="254" w:name="_Toc122370271"/>
      <w:bookmarkStart w:id="255" w:name="_Toc122370451"/>
      <w:bookmarkStart w:id="256" w:name="_Toc122692560"/>
      <w:bookmarkStart w:id="257" w:name="_Toc122692736"/>
      <w:bookmarkStart w:id="258" w:name="_Toc122694222"/>
      <w:bookmarkStart w:id="259" w:name="_Toc122981938"/>
      <w:bookmarkStart w:id="260" w:name="_Toc122982116"/>
      <w:bookmarkStart w:id="261" w:name="_Toc122982293"/>
      <w:bookmarkStart w:id="262" w:name="_Toc122982470"/>
      <w:bookmarkStart w:id="263" w:name="_Toc122982647"/>
      <w:bookmarkStart w:id="264" w:name="_Toc123070084"/>
      <w:bookmarkStart w:id="265" w:name="_Toc123208181"/>
      <w:bookmarkStart w:id="266" w:name="_Toc123281481"/>
      <w:bookmarkStart w:id="267" w:name="_Toc123905226"/>
      <w:bookmarkStart w:id="268" w:name="_Toc123909285"/>
      <w:bookmarkStart w:id="269" w:name="_Toc123912825"/>
      <w:bookmarkStart w:id="270" w:name="_Toc123916288"/>
      <w:bookmarkStart w:id="271" w:name="_Toc127972117"/>
      <w:bookmarkStart w:id="272" w:name="_Toc121423593"/>
      <w:bookmarkStart w:id="273" w:name="_Toc121424943"/>
      <w:bookmarkStart w:id="274" w:name="_Toc121430999"/>
      <w:bookmarkStart w:id="275" w:name="_Toc121431336"/>
      <w:bookmarkStart w:id="276" w:name="_Toc121431497"/>
      <w:bookmarkStart w:id="277" w:name="_Toc121431659"/>
      <w:bookmarkStart w:id="278" w:name="_Toc121431822"/>
      <w:bookmarkStart w:id="279" w:name="_Toc121431984"/>
      <w:bookmarkStart w:id="280" w:name="_Toc121491638"/>
      <w:bookmarkStart w:id="281" w:name="_Toc121491783"/>
      <w:bookmarkStart w:id="282" w:name="_Toc121491930"/>
      <w:bookmarkStart w:id="283" w:name="_Toc121492076"/>
      <w:bookmarkStart w:id="284" w:name="_Toc121492222"/>
      <w:bookmarkStart w:id="285" w:name="_Toc121493261"/>
      <w:bookmarkStart w:id="286" w:name="_Toc121493406"/>
      <w:bookmarkStart w:id="287" w:name="_Toc121493551"/>
      <w:bookmarkStart w:id="288" w:name="_Toc121753518"/>
      <w:bookmarkStart w:id="289" w:name="_Toc121754981"/>
      <w:bookmarkStart w:id="290" w:name="_Toc121997933"/>
      <w:bookmarkStart w:id="291" w:name="_Toc122004352"/>
      <w:bookmarkStart w:id="292" w:name="_Toc122004517"/>
      <w:bookmarkStart w:id="293" w:name="_Toc122007020"/>
      <w:bookmarkStart w:id="294" w:name="_Toc122031453"/>
      <w:bookmarkStart w:id="295" w:name="_Toc122032425"/>
      <w:bookmarkStart w:id="296" w:name="_Toc122099426"/>
      <w:bookmarkStart w:id="297" w:name="_Toc122365854"/>
      <w:bookmarkStart w:id="298" w:name="_Toc122366023"/>
      <w:bookmarkStart w:id="299" w:name="_Toc122366194"/>
      <w:bookmarkStart w:id="300" w:name="_Toc122366683"/>
      <w:bookmarkStart w:id="301" w:name="_Toc122370092"/>
      <w:bookmarkStart w:id="302" w:name="_Toc122370272"/>
      <w:bookmarkStart w:id="303" w:name="_Toc122370452"/>
      <w:bookmarkStart w:id="304" w:name="_Toc122692561"/>
      <w:bookmarkStart w:id="305" w:name="_Toc122692737"/>
      <w:bookmarkStart w:id="306" w:name="_Toc122694223"/>
      <w:bookmarkStart w:id="307" w:name="_Toc122981939"/>
      <w:bookmarkStart w:id="308" w:name="_Toc122982117"/>
      <w:bookmarkStart w:id="309" w:name="_Toc122982294"/>
      <w:bookmarkStart w:id="310" w:name="_Toc122982471"/>
      <w:bookmarkStart w:id="311" w:name="_Toc122982648"/>
      <w:bookmarkStart w:id="312" w:name="_Toc123070085"/>
      <w:bookmarkStart w:id="313" w:name="_Toc123208182"/>
      <w:bookmarkStart w:id="314" w:name="_Toc123281482"/>
      <w:bookmarkStart w:id="315" w:name="_Toc123905227"/>
      <w:bookmarkStart w:id="316" w:name="_Toc123909286"/>
      <w:bookmarkStart w:id="317" w:name="_Toc123912826"/>
      <w:bookmarkStart w:id="318" w:name="_Toc123916289"/>
      <w:bookmarkStart w:id="319" w:name="_Toc127972118"/>
      <w:bookmarkStart w:id="320" w:name="_Toc121423594"/>
      <w:bookmarkStart w:id="321" w:name="_Toc121424944"/>
      <w:bookmarkStart w:id="322" w:name="_Toc121431000"/>
      <w:bookmarkStart w:id="323" w:name="_Toc121431337"/>
      <w:bookmarkStart w:id="324" w:name="_Toc121431498"/>
      <w:bookmarkStart w:id="325" w:name="_Toc121431660"/>
      <w:bookmarkStart w:id="326" w:name="_Toc121431823"/>
      <w:bookmarkStart w:id="327" w:name="_Toc121431985"/>
      <w:bookmarkStart w:id="328" w:name="_Toc121491639"/>
      <w:bookmarkStart w:id="329" w:name="_Toc121491784"/>
      <w:bookmarkStart w:id="330" w:name="_Toc121491931"/>
      <w:bookmarkStart w:id="331" w:name="_Toc121492077"/>
      <w:bookmarkStart w:id="332" w:name="_Toc121492223"/>
      <w:bookmarkStart w:id="333" w:name="_Toc121493262"/>
      <w:bookmarkStart w:id="334" w:name="_Toc121493407"/>
      <w:bookmarkStart w:id="335" w:name="_Toc121493552"/>
      <w:bookmarkStart w:id="336" w:name="_Toc121753519"/>
      <w:bookmarkStart w:id="337" w:name="_Toc121754982"/>
      <w:bookmarkStart w:id="338" w:name="_Toc121997934"/>
      <w:bookmarkStart w:id="339" w:name="_Toc122004353"/>
      <w:bookmarkStart w:id="340" w:name="_Toc122004518"/>
      <w:bookmarkStart w:id="341" w:name="_Toc122007021"/>
      <w:bookmarkStart w:id="342" w:name="_Toc122031454"/>
      <w:bookmarkStart w:id="343" w:name="_Toc122032426"/>
      <w:bookmarkStart w:id="344" w:name="_Toc122099427"/>
      <w:bookmarkStart w:id="345" w:name="_Toc122365855"/>
      <w:bookmarkStart w:id="346" w:name="_Toc122366024"/>
      <w:bookmarkStart w:id="347" w:name="_Toc122366195"/>
      <w:bookmarkStart w:id="348" w:name="_Toc122366684"/>
      <w:bookmarkStart w:id="349" w:name="_Toc122370093"/>
      <w:bookmarkStart w:id="350" w:name="_Toc122370273"/>
      <w:bookmarkStart w:id="351" w:name="_Toc122370453"/>
      <w:bookmarkStart w:id="352" w:name="_Toc122692562"/>
      <w:bookmarkStart w:id="353" w:name="_Toc122692738"/>
      <w:bookmarkStart w:id="354" w:name="_Toc122694224"/>
      <w:bookmarkStart w:id="355" w:name="_Toc122981940"/>
      <w:bookmarkStart w:id="356" w:name="_Toc122982118"/>
      <w:bookmarkStart w:id="357" w:name="_Toc122982295"/>
      <w:bookmarkStart w:id="358" w:name="_Toc122982472"/>
      <w:bookmarkStart w:id="359" w:name="_Toc122982649"/>
      <w:bookmarkStart w:id="360" w:name="_Toc123070086"/>
      <w:bookmarkStart w:id="361" w:name="_Toc123208183"/>
      <w:bookmarkStart w:id="362" w:name="_Toc123281483"/>
      <w:bookmarkStart w:id="363" w:name="_Toc123905228"/>
      <w:bookmarkStart w:id="364" w:name="_Toc123909287"/>
      <w:bookmarkStart w:id="365" w:name="_Toc123912827"/>
      <w:bookmarkStart w:id="366" w:name="_Toc123916290"/>
      <w:bookmarkStart w:id="367" w:name="_Toc127972119"/>
      <w:bookmarkStart w:id="368" w:name="_Toc121423595"/>
      <w:bookmarkStart w:id="369" w:name="_Toc121424945"/>
      <w:bookmarkStart w:id="370" w:name="_Toc121431001"/>
      <w:bookmarkStart w:id="371" w:name="_Toc121431338"/>
      <w:bookmarkStart w:id="372" w:name="_Toc121431499"/>
      <w:bookmarkStart w:id="373" w:name="_Toc121431661"/>
      <w:bookmarkStart w:id="374" w:name="_Toc121431824"/>
      <w:bookmarkStart w:id="375" w:name="_Toc121431986"/>
      <w:bookmarkStart w:id="376" w:name="_Toc121491640"/>
      <w:bookmarkStart w:id="377" w:name="_Toc121491785"/>
      <w:bookmarkStart w:id="378" w:name="_Toc121491932"/>
      <w:bookmarkStart w:id="379" w:name="_Toc121492078"/>
      <w:bookmarkStart w:id="380" w:name="_Toc121492224"/>
      <w:bookmarkStart w:id="381" w:name="_Toc121493263"/>
      <w:bookmarkStart w:id="382" w:name="_Toc121493408"/>
      <w:bookmarkStart w:id="383" w:name="_Toc121493553"/>
      <w:bookmarkStart w:id="384" w:name="_Toc121753520"/>
      <w:bookmarkStart w:id="385" w:name="_Toc121754983"/>
      <w:bookmarkStart w:id="386" w:name="_Toc121997935"/>
      <w:bookmarkStart w:id="387" w:name="_Toc122004354"/>
      <w:bookmarkStart w:id="388" w:name="_Toc122004519"/>
      <w:bookmarkStart w:id="389" w:name="_Toc122007022"/>
      <w:bookmarkStart w:id="390" w:name="_Toc122031455"/>
      <w:bookmarkStart w:id="391" w:name="_Toc122032427"/>
      <w:bookmarkStart w:id="392" w:name="_Toc122099428"/>
      <w:bookmarkStart w:id="393" w:name="_Toc122365856"/>
      <w:bookmarkStart w:id="394" w:name="_Toc122366025"/>
      <w:bookmarkStart w:id="395" w:name="_Toc122366196"/>
      <w:bookmarkStart w:id="396" w:name="_Toc122366685"/>
      <w:bookmarkStart w:id="397" w:name="_Toc122370094"/>
      <w:bookmarkStart w:id="398" w:name="_Toc122370274"/>
      <w:bookmarkStart w:id="399" w:name="_Toc122370454"/>
      <w:bookmarkStart w:id="400" w:name="_Toc122692563"/>
      <w:bookmarkStart w:id="401" w:name="_Toc122692739"/>
      <w:bookmarkStart w:id="402" w:name="_Toc122694225"/>
      <w:bookmarkStart w:id="403" w:name="_Toc122981941"/>
      <w:bookmarkStart w:id="404" w:name="_Toc122982119"/>
      <w:bookmarkStart w:id="405" w:name="_Toc122982296"/>
      <w:bookmarkStart w:id="406" w:name="_Toc122982473"/>
      <w:bookmarkStart w:id="407" w:name="_Toc122982650"/>
      <w:bookmarkStart w:id="408" w:name="_Toc123070087"/>
      <w:bookmarkStart w:id="409" w:name="_Toc123208184"/>
      <w:bookmarkStart w:id="410" w:name="_Toc123281484"/>
      <w:bookmarkStart w:id="411" w:name="_Toc123905229"/>
      <w:bookmarkStart w:id="412" w:name="_Toc123909288"/>
      <w:bookmarkStart w:id="413" w:name="_Toc123912828"/>
      <w:bookmarkStart w:id="414" w:name="_Toc123916291"/>
      <w:bookmarkStart w:id="415" w:name="_Toc127972120"/>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60EE7FEC" w14:textId="620F7C87" w:rsidR="00977B34" w:rsidRPr="00364545" w:rsidRDefault="00977B34" w:rsidP="00EF6DB6">
      <w:pPr>
        <w:pStyle w:val="Titre4niveau4"/>
      </w:pPr>
      <w:r w:rsidRPr="00364545">
        <w:t>The energy industries sector (CRF 1A1 and 1B, CRF 2 in part)</w:t>
      </w:r>
    </w:p>
    <w:p w14:paraId="38AE5D92" w14:textId="1EE2989B" w:rsidR="00977B34" w:rsidRPr="00364545" w:rsidRDefault="00977B34" w:rsidP="00977B34">
      <w:r w:rsidRPr="00364545">
        <w:t>The energy industries sector accounted for 40.8 MtCO</w:t>
      </w:r>
      <w:r w:rsidRPr="00364545">
        <w:rPr>
          <w:vertAlign w:val="subscript"/>
        </w:rPr>
        <w:t>2e</w:t>
      </w:r>
      <w:r w:rsidRPr="00364545">
        <w:t xml:space="preserve"> in 2020, down 7.4% from 2019 (46 MtCO</w:t>
      </w:r>
      <w:r w:rsidRPr="00364545">
        <w:rPr>
          <w:vertAlign w:val="subscript"/>
        </w:rPr>
        <w:t>2e</w:t>
      </w:r>
      <w:r w:rsidRPr="00364545">
        <w:t>) and 47.8% from 1990 (78.1 MtCO</w:t>
      </w:r>
      <w:r w:rsidRPr="00364545">
        <w:rPr>
          <w:vertAlign w:val="subscript"/>
        </w:rPr>
        <w:t>2e</w:t>
      </w:r>
      <w:r w:rsidRPr="00364545">
        <w:t>). Electricity production and district heating account for 56.6% of these emissions (23.1 MtCO</w:t>
      </w:r>
      <w:r w:rsidRPr="00364545">
        <w:rPr>
          <w:vertAlign w:val="subscript"/>
        </w:rPr>
        <w:t>2e</w:t>
      </w:r>
      <w:r w:rsidRPr="00364545">
        <w:t>), followed by oil refining (17.9% with 7.3 MtCO</w:t>
      </w:r>
      <w:r w:rsidRPr="00364545">
        <w:rPr>
          <w:vertAlign w:val="subscript"/>
        </w:rPr>
        <w:t>2e</w:t>
      </w:r>
      <w:r w:rsidRPr="00364545">
        <w:t>), waste-to-energy (17.1% with 7 MtCO</w:t>
      </w:r>
      <w:r w:rsidRPr="00364545">
        <w:rPr>
          <w:vertAlign w:val="subscript"/>
        </w:rPr>
        <w:t>2e</w:t>
      </w:r>
      <w:r w:rsidRPr="00364545">
        <w:t>) and CMS processing (8.4% with 3.4 MtCO</w:t>
      </w:r>
      <w:r w:rsidRPr="00364545">
        <w:rPr>
          <w:vertAlign w:val="subscript"/>
        </w:rPr>
        <w:t>2e</w:t>
      </w:r>
      <w:r w:rsidRPr="00364545">
        <w:t>).</w:t>
      </w:r>
    </w:p>
    <w:p w14:paraId="144885E7" w14:textId="77777777" w:rsidR="00977B34" w:rsidRPr="00364545" w:rsidRDefault="00977B34" w:rsidP="00977B34">
      <w:pPr>
        <w:jc w:val="center"/>
      </w:pPr>
      <w:r w:rsidRPr="00364545">
        <w:rPr>
          <w:noProof/>
          <w:lang w:val="fr-FR"/>
        </w:rPr>
        <w:drawing>
          <wp:inline distT="0" distB="0" distL="0" distR="0" wp14:anchorId="3ECEA7F2" wp14:editId="190DD33F">
            <wp:extent cx="6318250" cy="3228340"/>
            <wp:effectExtent l="0" t="0" r="6350" b="10160"/>
            <wp:docPr id="25" name="Graphique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D51D5BD" w14:textId="0569005B" w:rsidR="00FF3B71" w:rsidRPr="00364545" w:rsidRDefault="00FF3B71" w:rsidP="0045532B">
      <w:pPr>
        <w:pStyle w:val="Caption"/>
      </w:pPr>
      <w:bookmarkStart w:id="416" w:name="_Toc123916453"/>
      <w:r w:rsidRPr="00364545">
        <w:t xml:space="preserve">Figure </w:t>
      </w:r>
      <w:r w:rsidR="003714FB">
        <w:fldChar w:fldCharType="begin"/>
      </w:r>
      <w:r w:rsidR="003714FB">
        <w:instrText xml:space="preserve"> SEQ Figure \* ARABIC </w:instrText>
      </w:r>
      <w:r w:rsidR="003714FB">
        <w:fldChar w:fldCharType="separate"/>
      </w:r>
      <w:r w:rsidR="009A2FAA">
        <w:rPr>
          <w:noProof/>
        </w:rPr>
        <w:t>42</w:t>
      </w:r>
      <w:r w:rsidR="003714FB">
        <w:rPr>
          <w:noProof/>
        </w:rPr>
        <w:fldChar w:fldCharType="end"/>
      </w:r>
      <w:r w:rsidRPr="00364545">
        <w:t>: Emissions from the energy industry sectors since 1990, in MtCO</w:t>
      </w:r>
      <w:r w:rsidRPr="00364545">
        <w:rPr>
          <w:vertAlign w:val="subscript"/>
        </w:rPr>
        <w:t>2e</w:t>
      </w:r>
      <w:r w:rsidRPr="00364545">
        <w:t xml:space="preserve"> (Metropolitan France and EU Overseas)</w:t>
      </w:r>
      <w:bookmarkEnd w:id="416"/>
    </w:p>
    <w:p w14:paraId="376D6095" w14:textId="70B79165" w:rsidR="00977B34" w:rsidRPr="00364545" w:rsidRDefault="00977B34" w:rsidP="0045532B">
      <w:pPr>
        <w:pStyle w:val="Caption"/>
      </w:pPr>
      <w:r w:rsidRPr="00364545">
        <w:t>Source: Citepa inventory, April 2022 - SECTEN format, ‘Kyoto Climate Plan’ outputs</w:t>
      </w:r>
    </w:p>
    <w:p w14:paraId="7A1F0C77" w14:textId="77777777" w:rsidR="00977B34" w:rsidRPr="00364545" w:rsidRDefault="00977B34" w:rsidP="00977B34"/>
    <w:p w14:paraId="6329D226" w14:textId="783D576A" w:rsidR="00FF3B71" w:rsidRPr="00364545" w:rsidRDefault="00977B34" w:rsidP="00977B34">
      <w:r w:rsidRPr="00364545">
        <w:t>The share of waste-to-energy has been steadily increasing since 1990 when it accounted for only 3.4% of energy sector emissions. The percentage of emissions from refineries in this sector remains, however, relatively stable.</w:t>
      </w:r>
    </w:p>
    <w:p w14:paraId="4C0E56EE" w14:textId="422E6C1C" w:rsidR="00977B34" w:rsidRPr="00364545" w:rsidRDefault="00977B34" w:rsidP="00EF6DB6">
      <w:pPr>
        <w:pStyle w:val="Titre4niveau4"/>
      </w:pPr>
      <w:r w:rsidRPr="00364545">
        <w:t>The agricultural sector (CRF 1A4c and 3)</w:t>
      </w:r>
    </w:p>
    <w:p w14:paraId="5D29BD21" w14:textId="6A18A44A" w:rsidR="00977B34" w:rsidRPr="00364545" w:rsidRDefault="00977B34" w:rsidP="00977B34">
      <w:pPr>
        <w:rPr>
          <w:rFonts w:eastAsiaTheme="majorEastAsia"/>
        </w:rPr>
      </w:pPr>
      <w:r w:rsidRPr="00364545">
        <w:t>Emissions from the agricultural sector amounted to 80.9 MtCO</w:t>
      </w:r>
      <w:r w:rsidRPr="00364545">
        <w:rPr>
          <w:vertAlign w:val="subscript"/>
        </w:rPr>
        <w:t>2e</w:t>
      </w:r>
      <w:r w:rsidRPr="00364545">
        <w:t xml:space="preserve"> in 2020, down by 1.9% compared to 2019 (82.5 MtCO</w:t>
      </w:r>
      <w:r w:rsidRPr="00364545">
        <w:rPr>
          <w:vertAlign w:val="subscript"/>
        </w:rPr>
        <w:t>2e</w:t>
      </w:r>
      <w:r w:rsidRPr="00364545">
        <w:t>) and down by 11.6% since 1990 (91.5 MtCO</w:t>
      </w:r>
      <w:r w:rsidRPr="00364545">
        <w:rPr>
          <w:vertAlign w:val="subscript"/>
        </w:rPr>
        <w:t>2e</w:t>
      </w:r>
      <w:r w:rsidRPr="00364545">
        <w:t>). These emissions come mainly from livestock farming (enteric fermentation and animal manure), as well as from agricultural soils (use of fertilizers) and from energy consumption for farm buildings and motorized machinery.</w:t>
      </w:r>
    </w:p>
    <w:p w14:paraId="25497E92" w14:textId="77777777" w:rsidR="00977B34" w:rsidRPr="00364545" w:rsidRDefault="00977B34" w:rsidP="00977B34">
      <w:pPr>
        <w:rPr>
          <w:rFonts w:eastAsiaTheme="majorEastAsia"/>
        </w:rPr>
      </w:pPr>
    </w:p>
    <w:p w14:paraId="0F8969E1" w14:textId="77777777" w:rsidR="00977B34" w:rsidRPr="00364545" w:rsidRDefault="00977B34" w:rsidP="00FF3B71">
      <w:pPr>
        <w:jc w:val="center"/>
        <w:rPr>
          <w:rFonts w:eastAsiaTheme="majorEastAsia"/>
        </w:rPr>
      </w:pPr>
      <w:r w:rsidRPr="00364545">
        <w:rPr>
          <w:noProof/>
          <w:lang w:val="fr-FR"/>
        </w:rPr>
        <w:drawing>
          <wp:inline distT="0" distB="0" distL="0" distR="0" wp14:anchorId="426DD3AE" wp14:editId="0A5E921B">
            <wp:extent cx="5981700" cy="3371850"/>
            <wp:effectExtent l="0" t="0" r="0" b="0"/>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E36B803" w14:textId="04049658" w:rsidR="00FF3B71" w:rsidRPr="00364545" w:rsidRDefault="00FF3B71" w:rsidP="0045532B">
      <w:pPr>
        <w:pStyle w:val="Caption"/>
      </w:pPr>
      <w:bookmarkStart w:id="417" w:name="_Toc123916454"/>
      <w:r w:rsidRPr="00364545">
        <w:t xml:space="preserve">Figure </w:t>
      </w:r>
      <w:r w:rsidR="003714FB">
        <w:fldChar w:fldCharType="begin"/>
      </w:r>
      <w:r w:rsidR="003714FB">
        <w:instrText xml:space="preserve"> SEQ Figure \* ARABIC </w:instrText>
      </w:r>
      <w:r w:rsidR="003714FB">
        <w:fldChar w:fldCharType="separate"/>
      </w:r>
      <w:r w:rsidR="009A2FAA">
        <w:rPr>
          <w:noProof/>
        </w:rPr>
        <w:t>43</w:t>
      </w:r>
      <w:r w:rsidR="003714FB">
        <w:rPr>
          <w:noProof/>
        </w:rPr>
        <w:fldChar w:fldCharType="end"/>
      </w:r>
      <w:r w:rsidRPr="00364545">
        <w:t>: Emissions from the agricultural sector since 1990, in MtCO</w:t>
      </w:r>
      <w:r w:rsidRPr="00364545">
        <w:rPr>
          <w:vertAlign w:val="subscript"/>
        </w:rPr>
        <w:t>2e</w:t>
      </w:r>
      <w:r w:rsidRPr="00364545">
        <w:t xml:space="preserve"> (Metropolitan France and EU Overseas)</w:t>
      </w:r>
      <w:bookmarkEnd w:id="417"/>
    </w:p>
    <w:p w14:paraId="5B5EDE19" w14:textId="5DC29E10" w:rsidR="00977B34" w:rsidRPr="00364545" w:rsidRDefault="00977B34" w:rsidP="0045532B">
      <w:pPr>
        <w:pStyle w:val="Caption"/>
      </w:pPr>
      <w:r w:rsidRPr="00364545">
        <w:t>Source: Citepa inventory, April 2022 - SECTEN format, ‘Kyoto Climate Plan’ outputs</w:t>
      </w:r>
    </w:p>
    <w:p w14:paraId="617B59BE" w14:textId="77777777" w:rsidR="00977B34" w:rsidRPr="00364545" w:rsidRDefault="00977B34" w:rsidP="00977B34">
      <w:pPr>
        <w:rPr>
          <w:rFonts w:eastAsiaTheme="majorEastAsia"/>
        </w:rPr>
      </w:pPr>
    </w:p>
    <w:p w14:paraId="542EC71B" w14:textId="6A67525A" w:rsidR="00977B34" w:rsidRPr="00364545" w:rsidRDefault="00977B34" w:rsidP="00977B34">
      <w:pPr>
        <w:rPr>
          <w:rFonts w:eastAsiaTheme="majorEastAsia"/>
        </w:rPr>
      </w:pPr>
      <w:r w:rsidRPr="00364545">
        <w:t>A particular feature of the agricultural sector is the prevalence of emissions not linked to energy combustion. The main sources in this sector are methane emitted by livestock farming and nitrous oxide linked to the nitrogen cycle in crops. The proportions of the various gases are relatively stable over time, with CO</w:t>
      </w:r>
      <w:r w:rsidRPr="00364545">
        <w:rPr>
          <w:vertAlign w:val="subscript"/>
        </w:rPr>
        <w:t>2</w:t>
      </w:r>
      <w:r w:rsidRPr="00364545">
        <w:t xml:space="preserve"> accounting for 14% of emissions in 2020 (13% in 1990), CH</w:t>
      </w:r>
      <w:r w:rsidRPr="00364545">
        <w:rPr>
          <w:vertAlign w:val="subscript"/>
        </w:rPr>
        <w:t>4</w:t>
      </w:r>
      <w:r w:rsidRPr="00364545">
        <w:t xml:space="preserve"> 46% in 2020 (idem in 1990) and N</w:t>
      </w:r>
      <w:r w:rsidRPr="00364545">
        <w:rPr>
          <w:vertAlign w:val="subscript"/>
        </w:rPr>
        <w:t>2</w:t>
      </w:r>
      <w:r w:rsidRPr="00364545">
        <w:t>O 40% in 2020 (41% in 1990).</w:t>
      </w:r>
    </w:p>
    <w:p w14:paraId="21994508" w14:textId="77777777" w:rsidR="00977B34" w:rsidRPr="00364545" w:rsidRDefault="00977B34" w:rsidP="00977B34">
      <w:pPr>
        <w:rPr>
          <w:rFonts w:eastAsiaTheme="majorEastAsia"/>
        </w:rPr>
      </w:pPr>
    </w:p>
    <w:p w14:paraId="0FF9FECE" w14:textId="77777777" w:rsidR="00977B34" w:rsidRPr="00364545" w:rsidRDefault="00977B34" w:rsidP="00FF3B71">
      <w:pPr>
        <w:jc w:val="center"/>
        <w:rPr>
          <w:rFonts w:eastAsiaTheme="majorEastAsia"/>
        </w:rPr>
      </w:pPr>
      <w:r w:rsidRPr="00364545">
        <w:rPr>
          <w:noProof/>
          <w:lang w:val="fr-FR"/>
        </w:rPr>
        <w:drawing>
          <wp:inline distT="0" distB="0" distL="0" distR="0" wp14:anchorId="6917CBC1" wp14:editId="50F0A2EC">
            <wp:extent cx="6210300" cy="3067050"/>
            <wp:effectExtent l="0" t="0" r="0" b="0"/>
            <wp:docPr id="51" name="Graphique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27A37BB" w14:textId="2AA008BA" w:rsidR="00FF3B71" w:rsidRPr="00364545" w:rsidRDefault="00FF3B71" w:rsidP="0045532B">
      <w:pPr>
        <w:pStyle w:val="Caption"/>
      </w:pPr>
      <w:bookmarkStart w:id="418" w:name="_Toc123916455"/>
      <w:r w:rsidRPr="00364545">
        <w:t xml:space="preserve">Figure </w:t>
      </w:r>
      <w:r w:rsidR="003714FB">
        <w:fldChar w:fldCharType="begin"/>
      </w:r>
      <w:r w:rsidR="003714FB">
        <w:instrText xml:space="preserve"> SEQ Figure \* ARABIC </w:instrText>
      </w:r>
      <w:r w:rsidR="003714FB">
        <w:fldChar w:fldCharType="separate"/>
      </w:r>
      <w:r w:rsidR="009A2FAA">
        <w:rPr>
          <w:noProof/>
        </w:rPr>
        <w:t>44</w:t>
      </w:r>
      <w:r w:rsidR="003714FB">
        <w:rPr>
          <w:noProof/>
        </w:rPr>
        <w:fldChar w:fldCharType="end"/>
      </w:r>
      <w:r w:rsidRPr="00364545">
        <w:t>: Emissions from the agricultural sector since 1990 by gas in MtCO</w:t>
      </w:r>
      <w:r w:rsidRPr="00364545">
        <w:rPr>
          <w:vertAlign w:val="subscript"/>
        </w:rPr>
        <w:t>2e</w:t>
      </w:r>
      <w:r w:rsidRPr="00364545">
        <w:t xml:space="preserve"> (Metropolitan France and EU Overseas)</w:t>
      </w:r>
      <w:bookmarkEnd w:id="418"/>
    </w:p>
    <w:p w14:paraId="339CA497" w14:textId="4AEE9E87" w:rsidR="00977B34" w:rsidRPr="00364545" w:rsidRDefault="00977B34" w:rsidP="0045532B">
      <w:pPr>
        <w:pStyle w:val="Caption"/>
      </w:pPr>
      <w:r w:rsidRPr="00364545">
        <w:t>Source: Citepa inventory, April 2022 - SECTEN format, ‘Kyoto Climate Plan’ outputs</w:t>
      </w:r>
    </w:p>
    <w:p w14:paraId="1B62FD3D" w14:textId="77777777" w:rsidR="00977B34" w:rsidRPr="00364545" w:rsidRDefault="00977B34" w:rsidP="00977B34">
      <w:pPr>
        <w:rPr>
          <w:rFonts w:eastAsiaTheme="majorEastAsia"/>
        </w:rPr>
      </w:pPr>
    </w:p>
    <w:p w14:paraId="43558A99" w14:textId="4009D74C" w:rsidR="00FF3B71" w:rsidRPr="00364545" w:rsidRDefault="00977B34" w:rsidP="00EF6DB6">
      <w:pPr>
        <w:pStyle w:val="Titre4niveau4"/>
      </w:pPr>
      <w:r w:rsidRPr="00364545">
        <w:t>The land use, land use change and forestry sector (CRF 4)</w:t>
      </w:r>
    </w:p>
    <w:p w14:paraId="0B2C201C" w14:textId="07297E0D" w:rsidR="00977B34" w:rsidRPr="00364545" w:rsidRDefault="00977B34" w:rsidP="00FF3B71">
      <w:pPr>
        <w:rPr>
          <w:rFonts w:eastAsiaTheme="majorEastAsia"/>
        </w:rPr>
      </w:pPr>
      <w:r w:rsidRPr="00364545">
        <w:t>Forests and agricultural soils (mainly grasslands) contribute to the fight against climate change through their ability to sequester atmospheric carbon. Forests store an average of 75 tonnes of carbon per hectare in the trees (above- and below- ground biomass). Forests</w:t>
      </w:r>
      <w:r w:rsidRPr="00364545">
        <w:rPr>
          <w:rStyle w:val="FootnoteReference"/>
          <w:rFonts w:asciiTheme="majorHAnsi" w:eastAsiaTheme="majorEastAsia" w:hAnsiTheme="majorHAnsi" w:cstheme="majorBidi"/>
          <w:bCs/>
          <w:iCs/>
          <w:sz w:val="18"/>
          <w:szCs w:val="18"/>
        </w:rPr>
        <w:footnoteReference w:id="14"/>
      </w:r>
      <w:r w:rsidRPr="00364545">
        <w:t xml:space="preserve"> represented a significant CO</w:t>
      </w:r>
      <w:r w:rsidRPr="00364545">
        <w:rPr>
          <w:vertAlign w:val="subscript"/>
        </w:rPr>
        <w:t>2</w:t>
      </w:r>
      <w:r w:rsidRPr="00364545">
        <w:t xml:space="preserve"> carbon sink (-30.3 MtCO</w:t>
      </w:r>
      <w:r w:rsidRPr="00364545">
        <w:rPr>
          <w:vertAlign w:val="subscript"/>
        </w:rPr>
        <w:t>2e</w:t>
      </w:r>
      <w:r w:rsidRPr="00364545">
        <w:t>) in 2020. This sink has fallen sharply since its peak of -72 MtCO</w:t>
      </w:r>
      <w:r w:rsidRPr="00364545">
        <w:rPr>
          <w:vertAlign w:val="subscript"/>
        </w:rPr>
        <w:t>2e</w:t>
      </w:r>
      <w:r w:rsidRPr="00364545">
        <w:t xml:space="preserve"> in 2008. Despite a significant growth in forests and low exploitation of forest resources (55% of natural growth), the increase in mortality in recent years (+170% since 1990) has led to a sharp decline in the carbon sink.</w:t>
      </w:r>
    </w:p>
    <w:p w14:paraId="36D895D5" w14:textId="77777777" w:rsidR="00977B34" w:rsidRPr="00364545" w:rsidRDefault="00977B34" w:rsidP="00977B34">
      <w:pPr>
        <w:rPr>
          <w:rFonts w:asciiTheme="majorHAnsi" w:eastAsiaTheme="majorEastAsia" w:hAnsiTheme="majorHAnsi" w:cstheme="majorBidi"/>
          <w:bCs/>
          <w:iCs/>
          <w:sz w:val="18"/>
          <w:szCs w:val="18"/>
        </w:rPr>
      </w:pPr>
    </w:p>
    <w:p w14:paraId="2DF8E70B" w14:textId="77777777" w:rsidR="00977B34" w:rsidRPr="00364545" w:rsidRDefault="00977B34" w:rsidP="00FF3B71">
      <w:pPr>
        <w:jc w:val="center"/>
        <w:rPr>
          <w:rFonts w:asciiTheme="majorHAnsi" w:eastAsiaTheme="majorEastAsia" w:hAnsiTheme="majorHAnsi" w:cstheme="majorBidi"/>
          <w:bCs/>
          <w:iCs/>
          <w:sz w:val="18"/>
          <w:szCs w:val="18"/>
        </w:rPr>
      </w:pPr>
      <w:r w:rsidRPr="00364545">
        <w:rPr>
          <w:noProof/>
          <w:lang w:val="fr-FR"/>
        </w:rPr>
        <w:drawing>
          <wp:inline distT="0" distB="0" distL="0" distR="0" wp14:anchorId="3AA72295" wp14:editId="38E688B8">
            <wp:extent cx="6762750" cy="3686175"/>
            <wp:effectExtent l="0" t="0" r="0" b="9525"/>
            <wp:docPr id="52" name="Graphique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0C46298" w14:textId="77777777" w:rsidR="00977B34" w:rsidRPr="00364545" w:rsidRDefault="00977B34" w:rsidP="00977B34">
      <w:pPr>
        <w:rPr>
          <w:rFonts w:asciiTheme="majorHAnsi" w:eastAsiaTheme="majorEastAsia" w:hAnsiTheme="majorHAnsi" w:cstheme="majorBidi"/>
          <w:bCs/>
          <w:iCs/>
          <w:sz w:val="18"/>
          <w:szCs w:val="18"/>
        </w:rPr>
      </w:pPr>
    </w:p>
    <w:p w14:paraId="24B3AE08" w14:textId="414F4D74" w:rsidR="00FF3B71" w:rsidRPr="00364545" w:rsidRDefault="00FF3B71" w:rsidP="0045532B">
      <w:pPr>
        <w:pStyle w:val="Caption"/>
      </w:pPr>
      <w:bookmarkStart w:id="419" w:name="_Toc123916456"/>
      <w:r w:rsidRPr="00364545">
        <w:t xml:space="preserve">Figure </w:t>
      </w:r>
      <w:r w:rsidR="003714FB">
        <w:fldChar w:fldCharType="begin"/>
      </w:r>
      <w:r w:rsidR="003714FB">
        <w:instrText xml:space="preserve"> SEQ Figure \* ARABIC </w:instrText>
      </w:r>
      <w:r w:rsidR="003714FB">
        <w:fldChar w:fldCharType="separate"/>
      </w:r>
      <w:r w:rsidR="009A2FAA">
        <w:rPr>
          <w:noProof/>
        </w:rPr>
        <w:t>45</w:t>
      </w:r>
      <w:r w:rsidR="003714FB">
        <w:rPr>
          <w:noProof/>
        </w:rPr>
        <w:fldChar w:fldCharType="end"/>
      </w:r>
      <w:r w:rsidRPr="00364545">
        <w:t>: Emissions from the LULUCF sector since 1990, in MtCO</w:t>
      </w:r>
      <w:r w:rsidRPr="00364545">
        <w:rPr>
          <w:vertAlign w:val="subscript"/>
        </w:rPr>
        <w:t>2e</w:t>
      </w:r>
      <w:r w:rsidRPr="00364545">
        <w:t xml:space="preserve"> (Metropolitan France and EU Overseas)</w:t>
      </w:r>
      <w:bookmarkEnd w:id="419"/>
    </w:p>
    <w:p w14:paraId="3454ECED" w14:textId="258970A8" w:rsidR="00977B34" w:rsidRPr="00364545" w:rsidRDefault="00977B34" w:rsidP="0045532B">
      <w:pPr>
        <w:pStyle w:val="Caption"/>
      </w:pPr>
      <w:r w:rsidRPr="00364545">
        <w:t>Source: Citepa inventory, April 2022 - SECTEN format, ‘Kyoto Climate Plan’ outputs</w:t>
      </w:r>
    </w:p>
    <w:p w14:paraId="39120B7A" w14:textId="77777777" w:rsidR="00977B34" w:rsidRPr="00364545" w:rsidRDefault="00977B34" w:rsidP="00977B34">
      <w:pPr>
        <w:rPr>
          <w:rFonts w:asciiTheme="majorHAnsi" w:eastAsiaTheme="majorEastAsia" w:hAnsiTheme="majorHAnsi" w:cstheme="majorBidi"/>
          <w:bCs/>
          <w:iCs/>
          <w:sz w:val="18"/>
          <w:szCs w:val="18"/>
        </w:rPr>
      </w:pPr>
    </w:p>
    <w:p w14:paraId="3748AD6C" w14:textId="2E78998F" w:rsidR="00977B34" w:rsidRPr="00364545" w:rsidRDefault="00977B34" w:rsidP="00977B34">
      <w:pPr>
        <w:rPr>
          <w:rFonts w:eastAsiaTheme="majorEastAsia"/>
        </w:rPr>
      </w:pPr>
      <w:r w:rsidRPr="00364545">
        <w:t>Overall, the LULUCF sector represented a net sink of -13.8 MtCO</w:t>
      </w:r>
      <w:r w:rsidRPr="00364545">
        <w:rPr>
          <w:vertAlign w:val="subscript"/>
        </w:rPr>
        <w:t>2e</w:t>
      </w:r>
      <w:r w:rsidRPr="00364545">
        <w:t xml:space="preserve"> in 2020.</w:t>
      </w:r>
    </w:p>
    <w:p w14:paraId="62B5B2DF" w14:textId="311B762E" w:rsidR="00977B34" w:rsidRPr="00364545" w:rsidRDefault="00977B34" w:rsidP="00EF6DB6">
      <w:pPr>
        <w:pStyle w:val="Titre4niveau4"/>
      </w:pPr>
      <w:r w:rsidRPr="00364545">
        <w:t>The land use, land use change and forestry sector (CRF 5)</w:t>
      </w:r>
    </w:p>
    <w:p w14:paraId="6F9BFFEF" w14:textId="35E88FEF" w:rsidR="00977B34" w:rsidRPr="00364545" w:rsidRDefault="00977B34" w:rsidP="00977B34">
      <w:r w:rsidRPr="00364545">
        <w:t>Emissions from waste management were 14.7 MtCO 14.7</w:t>
      </w:r>
      <w:r w:rsidRPr="00364545">
        <w:rPr>
          <w:vertAlign w:val="subscript"/>
        </w:rPr>
        <w:t>2e</w:t>
      </w:r>
      <w:r w:rsidRPr="00364545">
        <w:t xml:space="preserve"> in 2020, down by 3.3% compared to 2019, and also compared to 1990. The waste sector's share in national emissions is steadily increasing, from 3.1% in 1990 to 4.5% in 2020.</w:t>
      </w:r>
    </w:p>
    <w:p w14:paraId="4EB65561" w14:textId="77777777" w:rsidR="00977B34" w:rsidRPr="00364545" w:rsidRDefault="00977B34" w:rsidP="00977B34">
      <w:r w:rsidRPr="00364545">
        <w:t>Emissions from this sector come from landfill (82% of the sector's emissions), waste incineration without energy recovery (9.5% of the sector's emissions) and wastewater treatment (2.7% of the sector's emissions).</w:t>
      </w:r>
    </w:p>
    <w:p w14:paraId="43F65742" w14:textId="77777777" w:rsidR="00977B34" w:rsidRPr="00364545" w:rsidRDefault="00977B34" w:rsidP="00977B34"/>
    <w:p w14:paraId="5C7E63D4" w14:textId="77777777" w:rsidR="00977B34" w:rsidRPr="00364545" w:rsidRDefault="00977B34" w:rsidP="00977B34">
      <w:pPr>
        <w:jc w:val="center"/>
      </w:pPr>
      <w:r w:rsidRPr="00364545">
        <w:rPr>
          <w:noProof/>
          <w:lang w:val="fr-FR"/>
        </w:rPr>
        <w:drawing>
          <wp:inline distT="0" distB="0" distL="0" distR="0" wp14:anchorId="7F17C578" wp14:editId="4DFF8980">
            <wp:extent cx="5991225" cy="2524125"/>
            <wp:effectExtent l="0" t="0" r="9525" b="9525"/>
            <wp:docPr id="53" name="Graphique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9B3EAC3" w14:textId="0F928D18" w:rsidR="000730B1" w:rsidRPr="00364545" w:rsidRDefault="000730B1" w:rsidP="0045532B">
      <w:pPr>
        <w:pStyle w:val="Caption"/>
      </w:pPr>
      <w:bookmarkStart w:id="420" w:name="_Toc123916457"/>
      <w:r w:rsidRPr="00364545">
        <w:t xml:space="preserve">Figure </w:t>
      </w:r>
      <w:r w:rsidR="003714FB">
        <w:fldChar w:fldCharType="begin"/>
      </w:r>
      <w:r w:rsidR="003714FB">
        <w:instrText xml:space="preserve"> SEQ Figure \* ARABIC </w:instrText>
      </w:r>
      <w:r w:rsidR="003714FB">
        <w:fldChar w:fldCharType="separate"/>
      </w:r>
      <w:r w:rsidR="009A2FAA">
        <w:rPr>
          <w:noProof/>
        </w:rPr>
        <w:t>46</w:t>
      </w:r>
      <w:r w:rsidR="003714FB">
        <w:rPr>
          <w:noProof/>
        </w:rPr>
        <w:fldChar w:fldCharType="end"/>
      </w:r>
      <w:r w:rsidRPr="00364545">
        <w:t>: Waste sector emissions since 1990 in MtCO</w:t>
      </w:r>
      <w:r w:rsidRPr="00364545">
        <w:rPr>
          <w:vertAlign w:val="subscript"/>
        </w:rPr>
        <w:t>2e</w:t>
      </w:r>
      <w:r w:rsidRPr="00364545">
        <w:t xml:space="preserve"> (Metropolitan France and EU Overseas)</w:t>
      </w:r>
      <w:bookmarkEnd w:id="420"/>
    </w:p>
    <w:p w14:paraId="67F863E6" w14:textId="44303D7E" w:rsidR="00977B34" w:rsidRPr="00364545" w:rsidRDefault="00977B34" w:rsidP="0045532B">
      <w:pPr>
        <w:pStyle w:val="Caption"/>
      </w:pPr>
      <w:r w:rsidRPr="00364545">
        <w:t>Source: Citepa inventory, April 2022 - SECTEN format, ‘Kyoto Climate Plan’ outputs</w:t>
      </w:r>
    </w:p>
    <w:p w14:paraId="3F1D4D7D" w14:textId="77777777" w:rsidR="00977B34" w:rsidRPr="00364545" w:rsidRDefault="00977B34" w:rsidP="00977B34"/>
    <w:p w14:paraId="62329391" w14:textId="77777777" w:rsidR="00977B34" w:rsidRPr="00364545" w:rsidRDefault="00977B34" w:rsidP="00977B34">
      <w:r w:rsidRPr="00364545">
        <w:t>After peaking in the 2000s, emissions have started to fall in France. One reason for this steady trend is that landfill sites are increasingly equipped with biogas recovery systems.</w:t>
      </w:r>
    </w:p>
    <w:p w14:paraId="495415BD" w14:textId="5CCE4F52" w:rsidR="00977B34" w:rsidRPr="00364545" w:rsidRDefault="00977B34" w:rsidP="00BE086C">
      <w:pPr>
        <w:pStyle w:val="Titre2Niveau2"/>
        <w:jc w:val="left"/>
      </w:pPr>
      <w:bookmarkStart w:id="421" w:name="_Toc120568040"/>
      <w:bookmarkStart w:id="422" w:name="_Toc138341811"/>
      <w:r w:rsidRPr="00364545">
        <w:t>National inventory system</w:t>
      </w:r>
      <w:r w:rsidRPr="00364545">
        <w:rPr>
          <w:rStyle w:val="FootnoteReference"/>
        </w:rPr>
        <w:footnoteReference w:id="15"/>
      </w:r>
      <w:r w:rsidRPr="00364545">
        <w:t xml:space="preserve"> (Article 5.1 of the Kyoto Protocol)</w:t>
      </w:r>
      <w:bookmarkEnd w:id="421"/>
      <w:bookmarkEnd w:id="422"/>
    </w:p>
    <w:p w14:paraId="39D2DB5D" w14:textId="3BF01448" w:rsidR="00977B34" w:rsidRPr="00364545" w:rsidRDefault="00977B34" w:rsidP="003F57EA">
      <w:pPr>
        <w:pStyle w:val="Titre3Niveau3"/>
      </w:pPr>
      <w:bookmarkStart w:id="423" w:name="_Toc120568041"/>
      <w:bookmarkStart w:id="424" w:name="_Toc138341812"/>
      <w:r w:rsidRPr="00364545">
        <w:t>Name and contact details of the Party's designated national inventory system manager</w:t>
      </w:r>
      <w:bookmarkEnd w:id="423"/>
      <w:bookmarkEnd w:id="424"/>
    </w:p>
    <w:p w14:paraId="6936413F" w14:textId="77777777" w:rsidR="00977B34" w:rsidRPr="00364545" w:rsidRDefault="00977B34" w:rsidP="00977B34">
      <w:r w:rsidRPr="00364545">
        <w:t>In accordance with Article 5.1 of the Kyoto Protocol, France has created a national inventory called SNIEBA (National System of Emission Inventories and Balances in the Atmosphere) which is defined by an interministerial order</w:t>
      </w:r>
      <w:r w:rsidRPr="00364545">
        <w:rPr>
          <w:rStyle w:val="FootnoteReference"/>
        </w:rPr>
        <w:footnoteReference w:id="16"/>
      </w:r>
      <w:r w:rsidRPr="00364545">
        <w:t xml:space="preserve"> dated 24 August 2011.</w:t>
      </w:r>
    </w:p>
    <w:p w14:paraId="6A7D349C" w14:textId="0BA59A03" w:rsidR="00977B34" w:rsidRPr="00364545" w:rsidRDefault="00977B34" w:rsidP="00977B34">
      <w:r w:rsidRPr="00364545">
        <w:t xml:space="preserve">It is operated by the Ministry of Ecological Transition (MET). Mr Jonathan Hess from the Directorate General for Energy and Climate (DGEC) within the MET, is responsible for monitoring France's national inventory system, </w:t>
      </w:r>
      <w:hyperlink r:id="rId79" w:history="1">
        <w:r w:rsidRPr="00364545">
          <w:rPr>
            <w:rStyle w:val="Hyperlink"/>
          </w:rPr>
          <w:t>jonathan.hess@developpement-durable.gouv.fr</w:t>
        </w:r>
      </w:hyperlink>
      <w:r w:rsidRPr="00364545">
        <w:t>.</w:t>
      </w:r>
    </w:p>
    <w:p w14:paraId="60583776" w14:textId="184C419D" w:rsidR="00977B34" w:rsidRPr="00364545" w:rsidRDefault="00977B34" w:rsidP="003F57EA">
      <w:pPr>
        <w:pStyle w:val="Titre3Niveau3"/>
      </w:pPr>
      <w:bookmarkStart w:id="425" w:name="_Toc120568042"/>
      <w:bookmarkStart w:id="426" w:name="_Toc138341813"/>
      <w:r w:rsidRPr="00364545">
        <w:t>Distribution of roles and responsibilities within the national system</w:t>
      </w:r>
      <w:bookmarkEnd w:id="425"/>
      <w:bookmarkEnd w:id="426"/>
    </w:p>
    <w:p w14:paraId="33548E33" w14:textId="52049251" w:rsidR="00977B34" w:rsidRPr="00364545" w:rsidRDefault="00977B34" w:rsidP="00977B34">
      <w:r w:rsidRPr="00364545">
        <w:t>The MET is responsible for the definition and management of the national system of inventories of pollutant and greenhouse gas emissions into the atmosphere.</w:t>
      </w:r>
    </w:p>
    <w:p w14:paraId="4DDFF652" w14:textId="5DB1BB02" w:rsidR="00977B34" w:rsidRPr="00364545" w:rsidRDefault="00977B34" w:rsidP="00977B34">
      <w:r w:rsidRPr="00364545">
        <w:t>The MET takes (in conjunction with the other ministries concerned) the decisions necessary for the establishment and operation of the SNIEBA, in particular the institutional, legal or procedural provisions. As such, it defines and distributes the responsibilities assigned to the various bodies involved. These are divided up as follows:</w:t>
      </w:r>
    </w:p>
    <w:p w14:paraId="23F97FAF" w14:textId="77777777" w:rsidR="00977B34" w:rsidRPr="00364545" w:rsidRDefault="00977B34" w:rsidP="00977B34"/>
    <w:p w14:paraId="35A41286" w14:textId="465C8232" w:rsidR="00977B34" w:rsidRPr="00364545" w:rsidRDefault="00977B34" w:rsidP="00BE086C">
      <w:pPr>
        <w:pStyle w:val="ListParagraph"/>
        <w:numPr>
          <w:ilvl w:val="0"/>
          <w:numId w:val="23"/>
        </w:numPr>
        <w:jc w:val="left"/>
      </w:pPr>
      <w:r w:rsidRPr="00364545">
        <w:t>The MTEMTE is in charge of carrying out the inventories and coordinating the system as a whole.</w:t>
      </w:r>
    </w:p>
    <w:p w14:paraId="72677020" w14:textId="77777777" w:rsidR="00977B34" w:rsidRPr="00364545" w:rsidRDefault="00977B34" w:rsidP="00BE086C">
      <w:pPr>
        <w:pStyle w:val="ListParagraph"/>
        <w:numPr>
          <w:ilvl w:val="0"/>
          <w:numId w:val="23"/>
        </w:numPr>
        <w:jc w:val="left"/>
      </w:pPr>
      <w:r w:rsidRPr="00364545">
        <w:t>Other ministries and public bodies contribute to the emission inventories by providing data and statistics used in the preparation of the inventories. They are listed in the SNIEBA decree.</w:t>
      </w:r>
    </w:p>
    <w:p w14:paraId="0545667A" w14:textId="1B0F0C1C" w:rsidR="00977B34" w:rsidRPr="00364545" w:rsidRDefault="00977B34" w:rsidP="00BE086C">
      <w:pPr>
        <w:pStyle w:val="ListParagraph"/>
        <w:numPr>
          <w:ilvl w:val="0"/>
          <w:numId w:val="23"/>
        </w:numPr>
        <w:jc w:val="left"/>
      </w:pPr>
      <w:r w:rsidRPr="00364545">
        <w:t>The preparation of emission inventories in terms of methods and preparedness for changing, the collection and processing of data, archiving, the production of reports and various supports, and the management of control and quality, is entrusted to Citepa</w:t>
      </w:r>
      <w:r w:rsidRPr="00364545">
        <w:rPr>
          <w:rStyle w:val="FootnoteReference"/>
        </w:rPr>
        <w:footnoteReference w:id="17"/>
      </w:r>
      <w:r w:rsidRPr="00364545">
        <w:t xml:space="preserve"> (Interprofessional Technical Centre for Studies on Air Pollution) by the MTEMTE. Citepa assists the MTEMTE in the overall coordination of the national air pollutant emission inventory system. In this respect, particular mention should be made of the coordination which must be ensured between emission inventories and emitters' registers such as the E-PRTR and the Emissions Trading Scheme (ETS) Greenhouse Gas Emission Allowance Register, as well as other aspects (guides published by the MTE, annual pollutant release reporting system, etc.) for which it is important to ensure the consistency of information.</w:t>
      </w:r>
    </w:p>
    <w:p w14:paraId="52790AB2" w14:textId="2B5054D5" w:rsidR="00977B34" w:rsidRPr="00364545" w:rsidRDefault="00977B34" w:rsidP="00BE086C">
      <w:pPr>
        <w:pStyle w:val="ListParagraph"/>
        <w:numPr>
          <w:ilvl w:val="0"/>
          <w:numId w:val="23"/>
        </w:numPr>
        <w:jc w:val="left"/>
      </w:pPr>
      <w:r w:rsidRPr="00364545">
        <w:t>The MET provides Citepa with all the information it has available within the framework of existing regulations, such as the annual declarations of pollutant discharges from registered facilities, as well as the results of the various studies that it has initiated both within its own departments and with other public bodies such as INERIS (National Institute for Industrial Environment and Risks). . In addition, the SNIEBA order dated 24 August 2011 establishes a list of statistics and data from public bodies or bodies with a public service mission which is used for emission inventories (see the following table relating to Annex II of the SNIEBA order).</w:t>
      </w:r>
    </w:p>
    <w:p w14:paraId="49E09B92" w14:textId="77777777" w:rsidR="00E00867" w:rsidRPr="00364545" w:rsidRDefault="00977B34" w:rsidP="00E00867">
      <w:pPr>
        <w:jc w:val="left"/>
      </w:pPr>
      <w:r w:rsidRPr="00364545">
        <w:t>The MET leads the Consultation and Information Group on Emission Inventories (GCIIE) which is tasked with:</w:t>
      </w:r>
    </w:p>
    <w:p w14:paraId="6999D0BB" w14:textId="118C2E80" w:rsidR="00977B34" w:rsidRPr="00364545" w:rsidRDefault="00977B34" w:rsidP="003F57EA">
      <w:pPr>
        <w:pStyle w:val="ListParagraph"/>
        <w:numPr>
          <w:ilvl w:val="0"/>
          <w:numId w:val="59"/>
        </w:numPr>
        <w:jc w:val="left"/>
      </w:pPr>
      <w:r w:rsidRPr="00364545">
        <w:t>providing an opinion on the results of the estimates produced in the inventories.</w:t>
      </w:r>
    </w:p>
    <w:p w14:paraId="4CE98F04" w14:textId="76933CAF" w:rsidR="00977B34" w:rsidRPr="00364545" w:rsidRDefault="00977B34" w:rsidP="00BE086C">
      <w:pPr>
        <w:pStyle w:val="ListParagraph"/>
        <w:numPr>
          <w:ilvl w:val="0"/>
          <w:numId w:val="23"/>
        </w:numPr>
      </w:pPr>
      <w:r w:rsidRPr="00364545">
        <w:t xml:space="preserve">providing advice on changes in estimation methodologies.                 </w:t>
      </w:r>
    </w:p>
    <w:p w14:paraId="37207AAC" w14:textId="77777777" w:rsidR="00977B34" w:rsidRPr="00364545" w:rsidRDefault="00977B34" w:rsidP="00BE086C">
      <w:pPr>
        <w:pStyle w:val="ListParagraph"/>
        <w:numPr>
          <w:ilvl w:val="0"/>
          <w:numId w:val="23"/>
        </w:numPr>
      </w:pPr>
      <w:r w:rsidRPr="00364545">
        <w:t>providing advice on the inventory improvement action plan for future deadlines.</w:t>
      </w:r>
    </w:p>
    <w:p w14:paraId="740EF9BD" w14:textId="77777777" w:rsidR="00977B34" w:rsidRPr="00364545" w:rsidRDefault="00977B34" w:rsidP="00BE086C">
      <w:pPr>
        <w:pStyle w:val="ListParagraph"/>
        <w:numPr>
          <w:ilvl w:val="0"/>
          <w:numId w:val="23"/>
        </w:numPr>
      </w:pPr>
      <w:r w:rsidRPr="00364545">
        <w:t>making recommendations on any subject directly or indirectly related to emission inventories in order to ensure the coherence and smooth running of actions, promote synergies, etc.</w:t>
      </w:r>
    </w:p>
    <w:p w14:paraId="7D8FBF04" w14:textId="77777777" w:rsidR="00977B34" w:rsidRPr="00364545" w:rsidRDefault="00977B34" w:rsidP="00BE086C">
      <w:pPr>
        <w:pStyle w:val="ListParagraph"/>
        <w:numPr>
          <w:ilvl w:val="0"/>
          <w:numId w:val="23"/>
        </w:numPr>
      </w:pPr>
      <w:r w:rsidRPr="00364545">
        <w:t>recommending actions to improve emission estimates in the context of research programmes.</w:t>
      </w:r>
    </w:p>
    <w:p w14:paraId="0EA00A4C" w14:textId="77777777" w:rsidR="00977B34" w:rsidRPr="00364545" w:rsidRDefault="00977B34" w:rsidP="00E00867">
      <w:r w:rsidRPr="00364545">
        <w:t>The GCIIE is composed of representatives from:</w:t>
      </w:r>
    </w:p>
    <w:p w14:paraId="2CB7B33E" w14:textId="17938A39" w:rsidR="00977B34" w:rsidRPr="00364545" w:rsidRDefault="008E6688" w:rsidP="003F57EA">
      <w:pPr>
        <w:pStyle w:val="ListParagraph"/>
        <w:numPr>
          <w:ilvl w:val="0"/>
          <w:numId w:val="61"/>
        </w:numPr>
      </w:pPr>
      <w:r w:rsidRPr="00364545">
        <w:t>the Ministry of Ecological Transition and Territorial Cohesion (MET), in particular the Directorate General for Energy and Climate (DGEC), the Directorate General for Risk Prevention (DGPR), the Directorate General for Development, Housing and Nature (DGALN), the Directorate General for Infrastructure, Transport and the Sea (DGITM), the Directorate General for Civil Aviation (DGAC) and the MET’s statistical departments, in particular the SDES.</w:t>
      </w:r>
    </w:p>
    <w:p w14:paraId="1E641CC1" w14:textId="77777777" w:rsidR="00977B34" w:rsidRPr="00364545" w:rsidRDefault="00977B34" w:rsidP="003F57EA">
      <w:pPr>
        <w:pStyle w:val="ListParagraph"/>
        <w:numPr>
          <w:ilvl w:val="0"/>
          <w:numId w:val="61"/>
        </w:numPr>
      </w:pPr>
      <w:r w:rsidRPr="00364545">
        <w:t>the Ministry of Agriculture and Food Sovereignty (MASA), including the Statistics and Forecasting Department (SSP) in particular) and the Directorate General for Economic Performance (DGPE).</w:t>
      </w:r>
    </w:p>
    <w:p w14:paraId="01AFD9AE" w14:textId="77777777" w:rsidR="00977B34" w:rsidRPr="00364545" w:rsidRDefault="00977B34" w:rsidP="003F57EA">
      <w:pPr>
        <w:pStyle w:val="ListParagraph"/>
        <w:numPr>
          <w:ilvl w:val="0"/>
          <w:numId w:val="61"/>
        </w:numPr>
      </w:pPr>
      <w:r w:rsidRPr="00364545">
        <w:t>the Ministry of Economy and Finance, including the General Directorate of INSEE and the General Directorate of the Treasury.</w:t>
      </w:r>
    </w:p>
    <w:p w14:paraId="523E9937" w14:textId="77777777" w:rsidR="00977B34" w:rsidRPr="00364545" w:rsidRDefault="00977B34" w:rsidP="003F57EA">
      <w:pPr>
        <w:pStyle w:val="ListParagraph"/>
        <w:numPr>
          <w:ilvl w:val="0"/>
          <w:numId w:val="61"/>
        </w:numPr>
      </w:pPr>
      <w:r w:rsidRPr="00364545">
        <w:t>the Ecological Transition Agency (ADEME).</w:t>
      </w:r>
    </w:p>
    <w:p w14:paraId="4688A4E1" w14:textId="77777777" w:rsidR="00977B34" w:rsidRPr="00364545" w:rsidRDefault="00977B34" w:rsidP="003F57EA">
      <w:pPr>
        <w:pStyle w:val="ListParagraph"/>
        <w:numPr>
          <w:ilvl w:val="0"/>
          <w:numId w:val="61"/>
        </w:numPr>
      </w:pPr>
      <w:r w:rsidRPr="00364545">
        <w:t>the National Institute for Industrial Environment and Risks (INERIS).</w:t>
      </w:r>
    </w:p>
    <w:p w14:paraId="032A2AAD" w14:textId="77777777" w:rsidR="00977B34" w:rsidRPr="00364545" w:rsidRDefault="00977B34" w:rsidP="00977B34"/>
    <w:p w14:paraId="03B3E7A6" w14:textId="122A67C1" w:rsidR="00977B34" w:rsidRPr="00364545" w:rsidRDefault="00977B34" w:rsidP="00977B34">
      <w:r w:rsidRPr="00364545">
        <w:t>The dissemination of emission inventories is organised by the MTE.</w:t>
      </w:r>
    </w:p>
    <w:p w14:paraId="27CA72A5" w14:textId="77777777" w:rsidR="00977B34" w:rsidRPr="00364545" w:rsidRDefault="00977B34" w:rsidP="00977B34"/>
    <w:p w14:paraId="1C9CFC46" w14:textId="77777777" w:rsidR="00977B34" w:rsidRPr="00364545" w:rsidRDefault="00977B34" w:rsidP="00977B34">
      <w:r w:rsidRPr="00364545">
        <w:t>The DGEC is responsible for the dissemination of the GHG emissions inventory to the United Nations Framework Convention on Climate Change (UNFCCC).</w:t>
      </w:r>
    </w:p>
    <w:p w14:paraId="4D86D9F1" w14:textId="77777777" w:rsidR="00977B34" w:rsidRPr="00364545" w:rsidRDefault="00977B34" w:rsidP="00977B34"/>
    <w:p w14:paraId="4963BFD7" w14:textId="3202D04E" w:rsidR="00977B34" w:rsidRPr="00364545" w:rsidRDefault="00977B34" w:rsidP="00977B34">
      <w:r w:rsidRPr="00364545">
        <w:t xml:space="preserve">At the request of the MTE, Citepa ensures the dissemination of all the inventories it carries out, in particular by making the corresponding reports freely available to the public at the following web address </w:t>
      </w:r>
      <w:hyperlink r:id="rId80" w:history="1">
        <w:r w:rsidRPr="00364545">
          <w:rPr>
            <w:rStyle w:val="Hyperlink"/>
          </w:rPr>
          <w:t>https://www.citepa.org/fr/ccnucc/</w:t>
        </w:r>
      </w:hyperlink>
    </w:p>
    <w:p w14:paraId="12C36FA1" w14:textId="77777777" w:rsidR="00977B34" w:rsidRPr="00364545" w:rsidRDefault="00977B34" w:rsidP="00977B34"/>
    <w:p w14:paraId="6E9E22C4" w14:textId="11F58BBC" w:rsidR="00977B34" w:rsidRPr="00364545" w:rsidRDefault="00977B34" w:rsidP="00977B34">
      <w:r w:rsidRPr="00364545">
        <w:t>The MTE puts in place arrangements to ensure that processes are in place for the determination of estimation methods, data collection and processing, archiving, monitoring and quality assurance, dissemination of inventories both nationally and internationally, and arrangements for monitoring the implementation.</w:t>
      </w:r>
    </w:p>
    <w:p w14:paraId="43A8AAA5" w14:textId="77777777" w:rsidR="00977B34" w:rsidRPr="00364545" w:rsidRDefault="00977B34" w:rsidP="00977B34"/>
    <w:p w14:paraId="38A75615" w14:textId="77777777" w:rsidR="00977B34" w:rsidRPr="00364545" w:rsidRDefault="00977B34" w:rsidP="00977B34">
      <w:r w:rsidRPr="00364545">
        <w:t>The multiplicity of needs leading to the development of air emission inventories often covering similar substances and sources justifies, in the interest of consistency, quality and efficiency, the principle of a single inventory system for the different national emission inventories for air pollutants and greenhouse gases. This strategy corresponds to the recommendations of the international bodies of the European Commission and the United Nations. The French organisation complies with the principles of the guiding framework for national systems provided for in Article 5, paragraph 1 of the Kyoto Protocol (decision CMP.1 annexed to decision 20/CP.7 of the UNFCCC).</w:t>
      </w:r>
    </w:p>
    <w:p w14:paraId="069E2AD1" w14:textId="77777777" w:rsidR="00977B34" w:rsidRPr="00364545" w:rsidRDefault="00977B34" w:rsidP="00977B34">
      <w:r w:rsidRPr="00364545">
        <w:cr/>
      </w:r>
      <w:r w:rsidRPr="00364545">
        <w:rPr>
          <w:noProof/>
          <w:lang w:val="fr-FR"/>
        </w:rPr>
        <w:drawing>
          <wp:inline distT="0" distB="0" distL="0" distR="0" wp14:anchorId="5F4AC58B" wp14:editId="528961BA">
            <wp:extent cx="6318250" cy="8312150"/>
            <wp:effectExtent l="0" t="0" r="635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18250" cy="8312150"/>
                    </a:xfrm>
                    <a:prstGeom prst="rect">
                      <a:avLst/>
                    </a:prstGeom>
                    <a:noFill/>
                    <a:ln>
                      <a:noFill/>
                    </a:ln>
                  </pic:spPr>
                </pic:pic>
              </a:graphicData>
            </a:graphic>
          </wp:inline>
        </w:drawing>
      </w:r>
    </w:p>
    <w:p w14:paraId="398450F7" w14:textId="109DA4EB" w:rsidR="008E4505" w:rsidRPr="00364545" w:rsidRDefault="008E4505" w:rsidP="0045532B">
      <w:pPr>
        <w:pStyle w:val="Caption"/>
      </w:pPr>
      <w:bookmarkStart w:id="427" w:name="_Toc123916500"/>
      <w:r w:rsidRPr="00364545">
        <w:t xml:space="preserve">Table </w:t>
      </w:r>
      <w:r w:rsidR="003714FB">
        <w:fldChar w:fldCharType="begin"/>
      </w:r>
      <w:r w:rsidR="003714FB">
        <w:instrText xml:space="preserve"> SEQ Tableau \* ARABIC </w:instrText>
      </w:r>
      <w:r w:rsidR="003714FB">
        <w:fldChar w:fldCharType="separate"/>
      </w:r>
      <w:r w:rsidR="009A2FAA">
        <w:rPr>
          <w:noProof/>
        </w:rPr>
        <w:t>8</w:t>
      </w:r>
      <w:r w:rsidR="003714FB">
        <w:rPr>
          <w:noProof/>
        </w:rPr>
        <w:fldChar w:fldCharType="end"/>
      </w:r>
      <w:r w:rsidRPr="00364545">
        <w:t>: List of statistics and data used for the inventories</w:t>
      </w:r>
      <w:bookmarkEnd w:id="427"/>
    </w:p>
    <w:p w14:paraId="4D7F6951" w14:textId="578236FC" w:rsidR="00977B34" w:rsidRPr="00364545" w:rsidRDefault="00977B34" w:rsidP="0045532B">
      <w:pPr>
        <w:pStyle w:val="Caption"/>
      </w:pPr>
      <w:r w:rsidRPr="00364545">
        <w:t>Source: ‘SNIEBA’ order dated 24 August 2011</w:t>
      </w:r>
    </w:p>
    <w:p w14:paraId="2BF82C75" w14:textId="0A4464A5" w:rsidR="00977B34" w:rsidRPr="00364545" w:rsidRDefault="00977B34" w:rsidP="003F57EA">
      <w:pPr>
        <w:pStyle w:val="Titre3Niveau3"/>
      </w:pPr>
      <w:bookmarkStart w:id="428" w:name="_Toc120568043"/>
      <w:bookmarkStart w:id="429" w:name="_Toc138341814"/>
      <w:r w:rsidRPr="00364545">
        <w:t>Collection process, choice of emission factors and emission calculations</w:t>
      </w:r>
      <w:bookmarkEnd w:id="428"/>
      <w:bookmarkEnd w:id="429"/>
    </w:p>
    <w:p w14:paraId="6ACE4AC9" w14:textId="48604722" w:rsidR="00977B34" w:rsidRPr="00364545" w:rsidRDefault="00977B34" w:rsidP="00977B34">
      <w:r w:rsidRPr="00364545">
        <w:t>Emission inventories shall be carried out in accordance with the recommendations of the UNFCCC (guidelines FCCC/CP/2013/10/Add.3 of decision 24/CP.19) and in accordance with the IPCC guidelines.</w:t>
      </w:r>
    </w:p>
    <w:p w14:paraId="3B61A294" w14:textId="49AF0C97" w:rsidR="00977B34" w:rsidRPr="00364545" w:rsidRDefault="00977B34" w:rsidP="00977B34">
      <w:r w:rsidRPr="00364545">
        <w:t>In accordance with Article 10, paragraphs a and f of the Kyoto Protocol, France has undertaken various programmes to improve the emission factors or activity data for the national emission inventory. These various programmes are monitored by the GCIIE (Consultation and Information Group on Emission Inventories) within the framework of the SNIEBA (Order dated 24 August 2011 on the National System of Emission Inventories and Balances in the Atmosphere). The main programmes to improve the national inventory in recent years are presented below.</w:t>
      </w:r>
    </w:p>
    <w:p w14:paraId="102A1506" w14:textId="1FD06BC5" w:rsidR="008E4505" w:rsidRPr="00364545" w:rsidRDefault="00977B34" w:rsidP="00EF6DB6">
      <w:pPr>
        <w:pStyle w:val="Titre4niveau4"/>
      </w:pPr>
      <w:r w:rsidRPr="00364545">
        <w:t>Energy/industry sectors</w:t>
      </w:r>
    </w:p>
    <w:p w14:paraId="18B6342C" w14:textId="77777777" w:rsidR="008E4505" w:rsidRPr="00364545" w:rsidRDefault="008E4505" w:rsidP="008E4505">
      <w:r w:rsidRPr="00364545">
        <w:t xml:space="preserve">The national energy balance is an important element in structuring national emission inventories. Thanks to meetings and communication with the Data and Statistical Studies Department, particularly on the consumption of petroleum products, natural gas, biogas, industrial gases in industry etc., continuous improvement work is carried out every year to ensure that the balance is properly understood and taken into account. </w:t>
      </w:r>
    </w:p>
    <w:p w14:paraId="20FC3FA6" w14:textId="098BEE2E" w:rsidR="008E4505" w:rsidRPr="00364545" w:rsidRDefault="008E4505" w:rsidP="008E4505">
      <w:r w:rsidRPr="00364545">
        <w:t xml:space="preserve">With the natural gas distribution operator in France, work has recently been carried out to refine the characteristics of natural gas. </w:t>
      </w:r>
    </w:p>
    <w:p w14:paraId="0822779C" w14:textId="77777777" w:rsidR="008E4505" w:rsidRPr="00364545" w:rsidRDefault="008E4505" w:rsidP="008E4505">
      <w:r w:rsidRPr="00364545">
        <w:t>For biogas plants, it is planned to take better account of their self-consumption of biogas.</w:t>
      </w:r>
    </w:p>
    <w:p w14:paraId="19C32741" w14:textId="2D5346E8" w:rsidR="008E4505" w:rsidRPr="00364545" w:rsidRDefault="008E4505" w:rsidP="008E4505">
      <w:r w:rsidRPr="00364545">
        <w:t>As regards fluorinated gases in the Overseas Territories, a work programme is planned to refine these emissions on the basis of data more specific to the territories insofar as they are available.</w:t>
      </w:r>
    </w:p>
    <w:p w14:paraId="3E0F9320" w14:textId="082A1293" w:rsidR="00977B34" w:rsidRPr="00364545" w:rsidRDefault="00977B34" w:rsidP="00EF6DB6">
      <w:pPr>
        <w:pStyle w:val="Titre4niveau4"/>
      </w:pPr>
      <w:r w:rsidRPr="00364545">
        <w:t>Transport sector</w:t>
      </w:r>
    </w:p>
    <w:p w14:paraId="3D612AB0" w14:textId="583CFDB4" w:rsidR="008E4505" w:rsidRPr="00364545" w:rsidRDefault="008E4505" w:rsidP="008E4505">
      <w:r w:rsidRPr="00364545">
        <w:t xml:space="preserve">Continuous improvement work has taken place over the years with the French Civil Aviation Authority in order to refine the TAARMAC emissions model for civil aviation emissions, e.g. refinements of aircraft coefficients, improvement of non-commercial flight emissions, etc. </w:t>
      </w:r>
    </w:p>
    <w:p w14:paraId="53AF7D80" w14:textId="5E6F15ED" w:rsidR="008E4505" w:rsidRPr="00364545" w:rsidRDefault="008E4505" w:rsidP="008E4505">
      <w:r w:rsidRPr="00364545">
        <w:t xml:space="preserve">For inland waterway transport, an improvement programme is underway on the possibility of determining an actual fleet of inland waterway vessels.   </w:t>
      </w:r>
    </w:p>
    <w:p w14:paraId="0E6E6FFE" w14:textId="77777777" w:rsidR="008E4505" w:rsidRPr="00364545" w:rsidRDefault="008E4505" w:rsidP="008E4505">
      <w:r w:rsidRPr="00364545">
        <w:t>For maritime transport, an update of the distribution between international and domestic transport is underway, using AIS satellite ship tracking data.</w:t>
      </w:r>
    </w:p>
    <w:p w14:paraId="5117343E" w14:textId="3DCB2A9B" w:rsidR="008E4505" w:rsidRPr="00364545" w:rsidRDefault="008E4505" w:rsidP="008E4505">
      <w:r w:rsidRPr="00364545">
        <w:t>For road transport, continuous improvement is ensured, in particular to follow the regular changes and refinements of the European COPERT emissions model.</w:t>
      </w:r>
    </w:p>
    <w:p w14:paraId="768C0618" w14:textId="033160A6" w:rsidR="00977B34" w:rsidRPr="00364545" w:rsidRDefault="00977B34" w:rsidP="00EF6DB6">
      <w:pPr>
        <w:pStyle w:val="Titre4niveau4"/>
      </w:pPr>
      <w:r w:rsidRPr="00364545">
        <w:t>Agriculture sector</w:t>
      </w:r>
    </w:p>
    <w:p w14:paraId="7D210521" w14:textId="77777777" w:rsidR="008E4505" w:rsidRPr="00364545" w:rsidRDefault="008E4505" w:rsidP="008E4505">
      <w:r w:rsidRPr="00364545">
        <w:t>Cattle contribute significantly to agricultural emissions with relatively large uncertainties. Knowledge therefore needs to be improved, particularly in relation to research work at national level, especially that of the INRAE.</w:t>
      </w:r>
    </w:p>
    <w:p w14:paraId="76CEB7CC" w14:textId="77777777" w:rsidR="008E4505" w:rsidRPr="00364545" w:rsidRDefault="008E4505" w:rsidP="008E4505">
      <w:r w:rsidRPr="00364545">
        <w:t>On the pig farming side, an ELFE database of emission factors has been developed. Work is underway at INRAE to exploit and publish these data.</w:t>
      </w:r>
    </w:p>
    <w:p w14:paraId="18557CED" w14:textId="736E1434" w:rsidR="008E4505" w:rsidRPr="00364545" w:rsidRDefault="008E4505" w:rsidP="008E4505">
      <w:r w:rsidRPr="00364545">
        <w:t>In addition, the application of the 2019 IPCC refinements for agriculture emissions has been implemented in 2022 for reporting from 2023 onwards</w:t>
      </w:r>
    </w:p>
    <w:p w14:paraId="74D2ADE4" w14:textId="2129A00C" w:rsidR="00977B34" w:rsidRPr="00364545" w:rsidRDefault="00977B34" w:rsidP="00EF6DB6">
      <w:pPr>
        <w:pStyle w:val="Titre4niveau4"/>
      </w:pPr>
      <w:r w:rsidRPr="00364545">
        <w:t>LULUCF sector</w:t>
      </w:r>
    </w:p>
    <w:p w14:paraId="0CDF9349" w14:textId="77777777" w:rsidR="008E4505" w:rsidRPr="00364545" w:rsidRDefault="008E4505" w:rsidP="008E4505">
      <w:r w:rsidRPr="00364545">
        <w:t>LULUCF is also a sector with high uncertainties. Under the EU Climate and Energy Governance Regulation 2018/1999 a spatially explicit approach to LULUCF is to be implemented from the 2023 reporting period. Such a spatially explicit approach should eventually improve these uncertainties. A programme to prepare for this spatially explicit LULUCF approach began in 2019 in order to produce and report such LULUCF inventories from 2023.</w:t>
      </w:r>
    </w:p>
    <w:p w14:paraId="54EDB830" w14:textId="66A91EB4" w:rsidR="008E4505" w:rsidRPr="00364545" w:rsidRDefault="008E4505" w:rsidP="008E4505">
      <w:r w:rsidRPr="00364545">
        <w:t>In addition, other specific points of improvement for LULUCF are underway/planned: e.g. for the forest balance in Overseas Territories, the different flows related to harvests (logging residues, wood fuel, on-site burning), possible time sequence for root biomass in forests, trees outside forests (hedges, agroforestry), etc.</w:t>
      </w:r>
    </w:p>
    <w:p w14:paraId="5267B0A2" w14:textId="06043337" w:rsidR="00977B34" w:rsidRPr="00364545" w:rsidRDefault="00977B34" w:rsidP="00EF6DB6">
      <w:pPr>
        <w:pStyle w:val="Titre4niveau4"/>
      </w:pPr>
      <w:r w:rsidRPr="00364545">
        <w:t>Waste sector</w:t>
      </w:r>
    </w:p>
    <w:p w14:paraId="0E44A436" w14:textId="77777777" w:rsidR="008E4505" w:rsidRPr="00364545" w:rsidRDefault="008E4505" w:rsidP="008E4505">
      <w:r w:rsidRPr="00364545">
        <w:t>For the emissions from non-hazardous waste landfills, the new IPCC 2019 calculation tool has recently been implemented, in addition to specific information from a recent FNADE survey on biogas recovery in non-hazardous waste landfills.</w:t>
      </w:r>
    </w:p>
    <w:p w14:paraId="7A5C6B4E" w14:textId="010BD808" w:rsidR="008E4505" w:rsidRPr="00364545" w:rsidRDefault="008E4505" w:rsidP="008E4505">
      <w:r w:rsidRPr="00364545">
        <w:t xml:space="preserve">Concerning domestic composting, the emission factors have recently been improved on the basis of a recent ADEME study on this subject. </w:t>
      </w:r>
    </w:p>
    <w:p w14:paraId="6A2D8A79" w14:textId="4373E003" w:rsidR="008E4505" w:rsidRPr="00364545" w:rsidRDefault="008E4505" w:rsidP="008E4505">
      <w:r w:rsidRPr="00364545">
        <w:t>As for sludge incineration, a refinement of the emission factors has recently been carried out on the basis of specific national knowledge (recent study by INRAE on this subject).</w:t>
      </w:r>
    </w:p>
    <w:p w14:paraId="6EF0243F" w14:textId="79D2785B" w:rsidR="00977B34" w:rsidRPr="00364545" w:rsidRDefault="00977B34" w:rsidP="003F57EA">
      <w:pPr>
        <w:pStyle w:val="Titre3Niveau3"/>
      </w:pPr>
      <w:bookmarkStart w:id="430" w:name="_Toc120568044"/>
      <w:bookmarkStart w:id="431" w:name="_Toc138341815"/>
      <w:r w:rsidRPr="00364545">
        <w:t>Results of the analysis of key categories (see also NIR 2022 France for more details)</w:t>
      </w:r>
      <w:bookmarkEnd w:id="430"/>
      <w:bookmarkEnd w:id="431"/>
    </w:p>
    <w:p w14:paraId="0DAB6639" w14:textId="77777777" w:rsidR="00977B34" w:rsidRPr="00364545" w:rsidRDefault="00977B34" w:rsidP="00977B34">
      <w:r w:rsidRPr="00364545">
        <w:t>Following the IPCC recommendations, an analysis of key categories is made in this section.</w:t>
      </w:r>
    </w:p>
    <w:p w14:paraId="037D4A63" w14:textId="4BC29999" w:rsidR="00977B34" w:rsidRPr="00364545" w:rsidRDefault="00977B34" w:rsidP="00977B34">
      <w:r w:rsidRPr="00364545">
        <w:t>It is done globally on the basis of the CO</w:t>
      </w:r>
      <w:r w:rsidRPr="00364545">
        <w:rPr>
          <w:vertAlign w:val="subscript"/>
        </w:rPr>
        <w:t>2</w:t>
      </w:r>
      <w:r w:rsidRPr="00364545">
        <w:t xml:space="preserve"> equivalent contributions of the different sources at a finer sectoral level than the default one and for the seven direct greenhouse gases. Following the IPCC recommendations, this analysis is carried out by fuel type for combustion installations.</w:t>
      </w:r>
    </w:p>
    <w:p w14:paraId="789B7BD9" w14:textId="77777777" w:rsidR="00977B34" w:rsidRPr="00364545" w:rsidRDefault="00977B34" w:rsidP="00977B34">
      <w:pPr>
        <w:rPr>
          <w:rFonts w:asciiTheme="majorHAnsi" w:eastAsiaTheme="majorEastAsia" w:hAnsiTheme="majorHAnsi" w:cstheme="majorBidi"/>
          <w:b/>
          <w:bCs/>
          <w:iCs/>
          <w:sz w:val="18"/>
          <w:szCs w:val="18"/>
        </w:rPr>
      </w:pPr>
    </w:p>
    <w:p w14:paraId="7FEB2366" w14:textId="77777777" w:rsidR="00977B34" w:rsidRPr="00364545" w:rsidRDefault="00977B34" w:rsidP="00977B34">
      <w:r w:rsidRPr="00364545">
        <w:t>Two different Tier 1 analyses are proposed:</w:t>
      </w:r>
    </w:p>
    <w:p w14:paraId="7AB9EBB9" w14:textId="77777777" w:rsidR="00977B34" w:rsidRPr="00364545" w:rsidRDefault="00977B34" w:rsidP="00BE086C">
      <w:pPr>
        <w:pStyle w:val="ListParagraph"/>
        <w:numPr>
          <w:ilvl w:val="0"/>
          <w:numId w:val="24"/>
        </w:numPr>
        <w:jc w:val="left"/>
      </w:pPr>
      <w:r w:rsidRPr="00364545">
        <w:t>the first one outside of LULUCF to assess the contributions of the different sources in relation to commitments such as those of the Kyoto Protocol;</w:t>
      </w:r>
    </w:p>
    <w:p w14:paraId="49951929" w14:textId="77777777" w:rsidR="00977B34" w:rsidRPr="00364545" w:rsidRDefault="00977B34" w:rsidP="00BE086C">
      <w:pPr>
        <w:pStyle w:val="ListParagraph"/>
        <w:numPr>
          <w:ilvl w:val="0"/>
          <w:numId w:val="24"/>
        </w:numPr>
        <w:jc w:val="left"/>
      </w:pPr>
      <w:r w:rsidRPr="00364545">
        <w:t>the second with LULUCF to meet the recommendations of the UNFCCC.</w:t>
      </w:r>
    </w:p>
    <w:p w14:paraId="77F30498" w14:textId="77777777" w:rsidR="00977B34" w:rsidRPr="00364545" w:rsidRDefault="00977B34" w:rsidP="00977B34">
      <w:pPr>
        <w:rPr>
          <w:szCs w:val="21"/>
        </w:rPr>
      </w:pPr>
      <w:r w:rsidRPr="00364545">
        <w:t>These analyses are carried out for the year 2020, the year 1990, and also with regard to changes over time between 1990 and 2020. In addition, a Tier 2 analysis with LULUCF is conducted as a complement to the Tier 1 analysis.</w:t>
      </w:r>
    </w:p>
    <w:p w14:paraId="41043F18" w14:textId="77777777" w:rsidR="00977B34" w:rsidRPr="00364545" w:rsidRDefault="00977B34" w:rsidP="00977B34"/>
    <w:p w14:paraId="5AF54991" w14:textId="77777777" w:rsidR="00977B34" w:rsidRPr="00364545" w:rsidRDefault="00977B34" w:rsidP="00977B34">
      <w:r w:rsidRPr="00364545">
        <w:t>For the year 2020:</w:t>
      </w:r>
    </w:p>
    <w:p w14:paraId="0F143551" w14:textId="77777777" w:rsidR="00977B34" w:rsidRPr="00364545" w:rsidRDefault="00977B34" w:rsidP="00BE086C">
      <w:pPr>
        <w:pStyle w:val="ListParagraph"/>
        <w:numPr>
          <w:ilvl w:val="0"/>
          <w:numId w:val="25"/>
        </w:numPr>
        <w:jc w:val="left"/>
      </w:pPr>
      <w:r w:rsidRPr="00364545">
        <w:t>Key categories outside LULUCF</w:t>
      </w:r>
    </w:p>
    <w:p w14:paraId="154E1EA6" w14:textId="34DA8C43" w:rsidR="00977B34" w:rsidRPr="00364545" w:rsidRDefault="00977B34" w:rsidP="00BE086C">
      <w:pPr>
        <w:pStyle w:val="ListParagraph"/>
        <w:numPr>
          <w:ilvl w:val="1"/>
          <w:numId w:val="25"/>
        </w:numPr>
        <w:jc w:val="left"/>
      </w:pPr>
      <w:r w:rsidRPr="00364545">
        <w:rPr>
          <w:sz w:val="20"/>
        </w:rPr>
        <w:t>The top 19 sources account for about 80% of the total, while the top 31 sources account for more than 90% of the total, and 44 sources make up all the key categories for 95% of total emissions excluding LULUCF.</w:t>
      </w:r>
    </w:p>
    <w:p w14:paraId="70FA7EF3" w14:textId="443CC5B6" w:rsidR="00977B34" w:rsidRPr="00364545" w:rsidRDefault="00977B34" w:rsidP="00BE086C">
      <w:pPr>
        <w:pStyle w:val="ListParagraph"/>
        <w:numPr>
          <w:ilvl w:val="1"/>
          <w:numId w:val="25"/>
        </w:numPr>
        <w:jc w:val="left"/>
      </w:pPr>
      <w:r w:rsidRPr="00364545">
        <w:t>CO</w:t>
      </w:r>
      <w:r w:rsidRPr="00364545">
        <w:rPr>
          <w:vertAlign w:val="subscript"/>
        </w:rPr>
        <w:t>2</w:t>
      </w:r>
      <w:r w:rsidRPr="00364545">
        <w:rPr>
          <w:sz w:val="13"/>
        </w:rPr>
        <w:t xml:space="preserve"> </w:t>
      </w:r>
      <w:r w:rsidRPr="00364545">
        <w:rPr>
          <w:sz w:val="20"/>
        </w:rPr>
        <w:t xml:space="preserve">from road transport alone accounts for more than a quarter (26.3%) of total emissions excluding LULUCF in 2020. </w:t>
      </w:r>
      <w:r w:rsidRPr="00364545">
        <w:t>CH</w:t>
      </w:r>
      <w:r w:rsidRPr="00364545">
        <w:rPr>
          <w:vertAlign w:val="subscript"/>
        </w:rPr>
        <w:t>4</w:t>
      </w:r>
      <w:r w:rsidRPr="00364545">
        <w:t xml:space="preserve"> </w:t>
      </w:r>
      <w:r w:rsidRPr="00364545">
        <w:rPr>
          <w:sz w:val="20"/>
        </w:rPr>
        <w:t xml:space="preserve">from livestock enteric fermentation contributes 8.4% of total </w:t>
      </w:r>
      <w:r w:rsidRPr="00364545">
        <w:t>CO</w:t>
      </w:r>
      <w:r w:rsidRPr="00364545">
        <w:rPr>
          <w:vertAlign w:val="subscript"/>
        </w:rPr>
        <w:t>2</w:t>
      </w:r>
      <w:r w:rsidRPr="00364545">
        <w:t xml:space="preserve"> </w:t>
      </w:r>
      <w:r w:rsidRPr="00364545">
        <w:rPr>
          <w:sz w:val="20"/>
        </w:rPr>
        <w:t xml:space="preserve">equivalent emissions followed by </w:t>
      </w:r>
      <w:r w:rsidRPr="00364545">
        <w:t>CO</w:t>
      </w:r>
      <w:r w:rsidRPr="00364545">
        <w:rPr>
          <w:vertAlign w:val="subscript"/>
        </w:rPr>
        <w:t>2</w:t>
      </w:r>
      <w:r w:rsidRPr="00364545">
        <w:rPr>
          <w:sz w:val="13"/>
        </w:rPr>
        <w:t xml:space="preserve"> </w:t>
      </w:r>
      <w:r w:rsidRPr="00364545">
        <w:rPr>
          <w:sz w:val="20"/>
        </w:rPr>
        <w:t>from natural gas combustion in the residential sector contributing 6.</w:t>
      </w:r>
      <w:r w:rsidRPr="00364545">
        <w:t>4%.</w:t>
      </w:r>
      <w:r w:rsidRPr="00364545">
        <w:rPr>
          <w:sz w:val="20"/>
        </w:rPr>
        <w:t xml:space="preserve"> Adding </w:t>
      </w:r>
      <w:r w:rsidRPr="00364545">
        <w:t>N</w:t>
      </w:r>
      <w:r w:rsidRPr="00364545">
        <w:rPr>
          <w:vertAlign w:val="subscript"/>
        </w:rPr>
        <w:t>2</w:t>
      </w:r>
      <w:r w:rsidRPr="00364545">
        <w:t xml:space="preserve">O </w:t>
      </w:r>
      <w:r w:rsidRPr="00364545">
        <w:rPr>
          <w:sz w:val="20"/>
        </w:rPr>
        <w:t>from direct emissions from agricultural soils (6.1%) as well as</w:t>
      </w:r>
      <w:r w:rsidRPr="00364545">
        <w:t xml:space="preserve"> CO</w:t>
      </w:r>
      <w:r w:rsidRPr="00364545">
        <w:rPr>
          <w:vertAlign w:val="subscript"/>
        </w:rPr>
        <w:t>2</w:t>
      </w:r>
      <w:r w:rsidRPr="00364545">
        <w:rPr>
          <w:sz w:val="13"/>
        </w:rPr>
        <w:t xml:space="preserve"> </w:t>
      </w:r>
      <w:r w:rsidRPr="00364545">
        <w:rPr>
          <w:sz w:val="20"/>
        </w:rPr>
        <w:t>from the combustion of petroleum products in the residential sector (3.4%), these five entities represent more than half (50.6% precisely) of the greenhouse gas emissions in France in 2020 excluding LULUCF</w:t>
      </w:r>
      <w:r w:rsidRPr="00364545">
        <w:t>.</w:t>
      </w:r>
      <w:r w:rsidRPr="00364545">
        <w:rPr>
          <w:sz w:val="20"/>
        </w:rPr>
        <w:t xml:space="preserve"> Among the key categories (at 95%), out of the 7 direct greenhouse gases, </w:t>
      </w:r>
      <w:r w:rsidRPr="00364545">
        <w:t>CO</w:t>
      </w:r>
      <w:r w:rsidRPr="00364545">
        <w:rPr>
          <w:vertAlign w:val="subscript"/>
        </w:rPr>
        <w:t>2</w:t>
      </w:r>
      <w:r w:rsidRPr="00364545">
        <w:rPr>
          <w:sz w:val="13"/>
        </w:rPr>
        <w:t xml:space="preserve"> </w:t>
      </w:r>
      <w:r w:rsidRPr="00364545">
        <w:rPr>
          <w:sz w:val="20"/>
        </w:rPr>
        <w:t>represents about 71% of the total emissions excluding LULUCF with 34 categories out of 44</w:t>
      </w:r>
      <w:r w:rsidRPr="00364545">
        <w:t>.</w:t>
      </w:r>
    </w:p>
    <w:p w14:paraId="54E51667" w14:textId="77777777" w:rsidR="00977B34" w:rsidRPr="00364545" w:rsidRDefault="00977B34" w:rsidP="00BE086C">
      <w:pPr>
        <w:pStyle w:val="ListParagraph"/>
        <w:numPr>
          <w:ilvl w:val="0"/>
          <w:numId w:val="25"/>
        </w:numPr>
        <w:jc w:val="left"/>
      </w:pPr>
      <w:r w:rsidRPr="00364545">
        <w:rPr>
          <w:sz w:val="20"/>
        </w:rPr>
        <w:t>Key categories with LULUCF.</w:t>
      </w:r>
    </w:p>
    <w:p w14:paraId="73995D6F" w14:textId="12A6FB49" w:rsidR="00977B34" w:rsidRPr="00364545" w:rsidRDefault="00977B34" w:rsidP="00BE086C">
      <w:pPr>
        <w:pStyle w:val="ListParagraph"/>
        <w:numPr>
          <w:ilvl w:val="1"/>
          <w:numId w:val="25"/>
        </w:numPr>
        <w:jc w:val="left"/>
      </w:pPr>
      <w:r w:rsidRPr="00364545">
        <w:rPr>
          <w:sz w:val="20"/>
        </w:rPr>
        <w:t xml:space="preserve">This is the same analysis as before but including LULUCF in absolute value (LULUCF is a significant contributor to the level of emissions and their evolution in the overall balance). The analysis therefore focuses on the total excluding LULUCF plus the absolute value of the LULUCF items (emissions or removals) in </w:t>
      </w:r>
      <w:r w:rsidRPr="00364545">
        <w:t>CO</w:t>
      </w:r>
      <w:r w:rsidRPr="00364545">
        <w:rPr>
          <w:vertAlign w:val="subscript"/>
        </w:rPr>
        <w:t>2</w:t>
      </w:r>
      <w:r w:rsidRPr="00364545">
        <w:t xml:space="preserve"> </w:t>
      </w:r>
      <w:r w:rsidRPr="00364545">
        <w:rPr>
          <w:sz w:val="20"/>
        </w:rPr>
        <w:t>equivalent</w:t>
      </w:r>
      <w:r w:rsidRPr="00364545">
        <w:rPr>
          <w:sz w:val="13"/>
        </w:rPr>
        <w:t xml:space="preserve"> </w:t>
      </w:r>
      <w:r w:rsidRPr="00364545">
        <w:t>.</w:t>
      </w:r>
    </w:p>
    <w:p w14:paraId="5DA25A5E" w14:textId="6A79BC6B" w:rsidR="00977B34" w:rsidRPr="00364545" w:rsidRDefault="00977B34" w:rsidP="00BE086C">
      <w:pPr>
        <w:pStyle w:val="ListParagraph"/>
        <w:numPr>
          <w:ilvl w:val="1"/>
          <w:numId w:val="25"/>
        </w:numPr>
        <w:jc w:val="left"/>
      </w:pPr>
      <w:r w:rsidRPr="00364545">
        <w:rPr>
          <w:sz w:val="20"/>
        </w:rPr>
        <w:t>Given the importance of LULUCF emissions, 8 sub-categories are added to the analysis of key categories in non-LULUCF emission levels in 2020, making a total of 52 key categories (7 sub-categories in 1990 for a total of 61 key categories). Category 4A1 on "forest land remaining forest land", reflecting the forest balance (growth, mortality and wood harvesting), is the fourth key category in terms of emission levels with 5.1% in 2020.</w:t>
      </w:r>
    </w:p>
    <w:p w14:paraId="3871A97B" w14:textId="77777777" w:rsidR="00977B34" w:rsidRPr="00364545" w:rsidRDefault="00977B34" w:rsidP="00977B34"/>
    <w:p w14:paraId="7B7FABA5" w14:textId="77777777" w:rsidR="00977B34" w:rsidRPr="00364545" w:rsidRDefault="00977B34" w:rsidP="00977B34">
      <w:r w:rsidRPr="00364545">
        <w:t>The detailed results are available in the appendix.</w:t>
      </w:r>
    </w:p>
    <w:p w14:paraId="6BE8E295" w14:textId="77777777" w:rsidR="00977B34" w:rsidRPr="00364545" w:rsidRDefault="00977B34" w:rsidP="00977B34"/>
    <w:p w14:paraId="604961E4" w14:textId="115E9E51" w:rsidR="00977B34" w:rsidRPr="00364545" w:rsidRDefault="00977B34" w:rsidP="003F57EA">
      <w:pPr>
        <w:pStyle w:val="Titre3Niveau3"/>
      </w:pPr>
      <w:bookmarkStart w:id="432" w:name="_Toc120568045"/>
      <w:bookmarkStart w:id="433" w:name="_Toc138341816"/>
      <w:r w:rsidRPr="00364545">
        <w:t>Recalculations and improvements</w:t>
      </w:r>
      <w:bookmarkEnd w:id="432"/>
      <w:bookmarkEnd w:id="433"/>
    </w:p>
    <w:p w14:paraId="7A3D5A17" w14:textId="77777777" w:rsidR="00977B34" w:rsidRPr="00364545" w:rsidRDefault="00977B34" w:rsidP="00977B34">
      <w:r w:rsidRPr="00364545">
        <w:t>Each year, a number of revisions are made to the inventory results. They are methodological and statistical in nature. These changes respond both to the requirements of the UNFCCC (requests in the context of reviews) and to a process of continuous improvement to reduce uncertainties and increase the reliability of inventories.</w:t>
      </w:r>
    </w:p>
    <w:p w14:paraId="1EB624A3" w14:textId="77777777" w:rsidR="00977B34" w:rsidRPr="00364545" w:rsidRDefault="00977B34" w:rsidP="00977B34">
      <w:r w:rsidRPr="00364545">
        <w:t>The main justifications for annual reviews are:</w:t>
      </w:r>
    </w:p>
    <w:p w14:paraId="4CA8337E" w14:textId="77777777" w:rsidR="00977B34" w:rsidRPr="00364545" w:rsidRDefault="00977B34" w:rsidP="00BE086C">
      <w:pPr>
        <w:pStyle w:val="ListParagraph"/>
        <w:numPr>
          <w:ilvl w:val="0"/>
          <w:numId w:val="26"/>
        </w:numPr>
        <w:jc w:val="left"/>
      </w:pPr>
      <w:r w:rsidRPr="00364545">
        <w:t>retroactive updates of statistics: the last year of the inventory corresponds to year n-2 for submission on 15 April of year n to the United Nations. However, some statistics (e.g. district heating surveys) are not available for the year n-2 when the inventory is compiled in the last quarter of the year n-1. In some cases, for agriculture or LULUCF data, the historical statistical series may be fully revised. In other cases, such as for the quantities of waste treated per sector, surveys are carried out every two years;</w:t>
      </w:r>
    </w:p>
    <w:p w14:paraId="6BCC3E0A" w14:textId="77777777" w:rsidR="00977B34" w:rsidRPr="00364545" w:rsidRDefault="00977B34" w:rsidP="00BE086C">
      <w:pPr>
        <w:pStyle w:val="ListParagraph"/>
        <w:numPr>
          <w:ilvl w:val="0"/>
          <w:numId w:val="26"/>
        </w:numPr>
        <w:jc w:val="left"/>
      </w:pPr>
      <w:r w:rsidRPr="00364545">
        <w:t>statistical breaks: as soon as the dissemination of a statistic is stopped, an alternative method is developed;</w:t>
      </w:r>
    </w:p>
    <w:p w14:paraId="1574FA99" w14:textId="77777777" w:rsidR="00977B34" w:rsidRPr="00364545" w:rsidRDefault="00977B34" w:rsidP="00BE086C">
      <w:pPr>
        <w:pStyle w:val="ListParagraph"/>
        <w:numPr>
          <w:ilvl w:val="0"/>
          <w:numId w:val="26"/>
        </w:numPr>
        <w:jc w:val="left"/>
      </w:pPr>
      <w:r w:rsidRPr="00364545">
        <w:t>methodological improvements following:</w:t>
      </w:r>
    </w:p>
    <w:p w14:paraId="43BE87E3" w14:textId="77777777" w:rsidR="00977B34" w:rsidRPr="00364545" w:rsidRDefault="00977B34" w:rsidP="00BE086C">
      <w:pPr>
        <w:pStyle w:val="ListParagraph"/>
        <w:numPr>
          <w:ilvl w:val="1"/>
          <w:numId w:val="26"/>
        </w:numPr>
        <w:jc w:val="left"/>
      </w:pPr>
      <w:r w:rsidRPr="00364545">
        <w:t>the decisions taken by the Group for Consultation and Information on National Emission Inventories led by the Ministry for the Environment,</w:t>
      </w:r>
    </w:p>
    <w:p w14:paraId="7F6FF42A" w14:textId="77777777" w:rsidR="00977B34" w:rsidRPr="00364545" w:rsidRDefault="00977B34" w:rsidP="00BE086C">
      <w:pPr>
        <w:pStyle w:val="ListParagraph"/>
        <w:numPr>
          <w:ilvl w:val="1"/>
          <w:numId w:val="26"/>
        </w:numPr>
        <w:jc w:val="left"/>
      </w:pPr>
      <w:r w:rsidRPr="00364545">
        <w:t>the remarks made during the official reviews of the United Nations and the European Commission on France's inventory (see table in appendix 8),</w:t>
      </w:r>
    </w:p>
    <w:p w14:paraId="04F6F442" w14:textId="77777777" w:rsidR="00977B34" w:rsidRPr="00364545" w:rsidRDefault="00977B34" w:rsidP="00BE086C">
      <w:pPr>
        <w:pStyle w:val="ListParagraph"/>
        <w:numPr>
          <w:ilvl w:val="1"/>
          <w:numId w:val="26"/>
        </w:numPr>
        <w:jc w:val="left"/>
      </w:pPr>
      <w:r w:rsidRPr="00364545">
        <w:t>the conclusions of the quality assurance procedures,</w:t>
      </w:r>
    </w:p>
    <w:p w14:paraId="11054B57" w14:textId="77777777" w:rsidR="00977B34" w:rsidRPr="00364545" w:rsidRDefault="00977B34" w:rsidP="00BE086C">
      <w:pPr>
        <w:pStyle w:val="ListParagraph"/>
        <w:numPr>
          <w:ilvl w:val="1"/>
          <w:numId w:val="26"/>
        </w:numPr>
        <w:jc w:val="left"/>
      </w:pPr>
      <w:r w:rsidRPr="00364545">
        <w:t>the availability of new rules for estimating and/or reporting emissions,</w:t>
      </w:r>
    </w:p>
    <w:p w14:paraId="13280766" w14:textId="77777777" w:rsidR="00977B34" w:rsidRPr="00364545" w:rsidRDefault="00977B34" w:rsidP="00BE086C">
      <w:pPr>
        <w:pStyle w:val="ListParagraph"/>
        <w:numPr>
          <w:ilvl w:val="1"/>
          <w:numId w:val="26"/>
        </w:numPr>
        <w:jc w:val="left"/>
      </w:pPr>
      <w:r w:rsidRPr="00364545">
        <w:t>the availability of new information;</w:t>
      </w:r>
    </w:p>
    <w:p w14:paraId="01B08FC7" w14:textId="77777777" w:rsidR="00977B34" w:rsidRPr="00364545" w:rsidRDefault="00977B34" w:rsidP="00BE086C">
      <w:pPr>
        <w:pStyle w:val="ListParagraph"/>
        <w:numPr>
          <w:ilvl w:val="0"/>
          <w:numId w:val="26"/>
        </w:numPr>
        <w:jc w:val="left"/>
      </w:pPr>
      <w:r w:rsidRPr="00364545">
        <w:t>corrections of errors and anomalies;</w:t>
      </w:r>
    </w:p>
    <w:p w14:paraId="6D886FDA" w14:textId="77777777" w:rsidR="00977B34" w:rsidRPr="00364545" w:rsidRDefault="00977B34" w:rsidP="00BE086C">
      <w:pPr>
        <w:pStyle w:val="ListParagraph"/>
        <w:numPr>
          <w:ilvl w:val="0"/>
          <w:numId w:val="26"/>
        </w:numPr>
        <w:jc w:val="left"/>
      </w:pPr>
      <w:r w:rsidRPr="00364545">
        <w:t>the inclusion of a new emission source.</w:t>
      </w:r>
    </w:p>
    <w:p w14:paraId="2637DEA2" w14:textId="77777777" w:rsidR="00977B34" w:rsidRPr="00364545" w:rsidRDefault="00977B34" w:rsidP="00977B34"/>
    <w:p w14:paraId="4864AE90" w14:textId="77777777" w:rsidR="00977B34" w:rsidRPr="00364545" w:rsidRDefault="00977B34" w:rsidP="00977B34">
      <w:r w:rsidRPr="00364545">
        <w:t>After each submission of the inventory, the continuous improvement programme is revised by prioritising the key categories.</w:t>
      </w:r>
    </w:p>
    <w:p w14:paraId="5989AF9D" w14:textId="77777777" w:rsidR="00977B34" w:rsidRPr="00364545" w:rsidRDefault="00977B34" w:rsidP="00977B34"/>
    <w:p w14:paraId="12230A0E" w14:textId="77777777" w:rsidR="00977B34" w:rsidRPr="00364545" w:rsidRDefault="00977B34" w:rsidP="00977B34">
      <w:r w:rsidRPr="00364545">
        <w:t>The changes made are applied retrospectively to the entire historical emissions series since 1990, the base year of the inventories, to ensure consistency of emissions over the whole period under consideration in accordance with the requirements of the UNFCCC.</w:t>
      </w:r>
    </w:p>
    <w:p w14:paraId="654583C4" w14:textId="77777777" w:rsidR="00977B34" w:rsidRPr="00364545" w:rsidRDefault="00977B34" w:rsidP="00977B34"/>
    <w:p w14:paraId="36DCD763" w14:textId="77777777" w:rsidR="00977B34" w:rsidRPr="00364545" w:rsidRDefault="00977B34" w:rsidP="00977B34">
      <w:r w:rsidRPr="00364545">
        <w:t>All revisions made during a new edition of the inventory are first submitted for approval to the Group for Consultation and Information on National Emission Inventories led by the Ministry of Ecology.</w:t>
      </w:r>
    </w:p>
    <w:p w14:paraId="513FBAFE" w14:textId="77777777" w:rsidR="00977B34" w:rsidRPr="00364545" w:rsidRDefault="00977B34" w:rsidP="00977B34">
      <w:pPr>
        <w:rPr>
          <w:rFonts w:asciiTheme="majorHAnsi" w:eastAsiaTheme="majorEastAsia" w:hAnsiTheme="majorHAnsi" w:cstheme="majorBidi"/>
          <w:b/>
          <w:bCs/>
          <w:iCs/>
          <w:sz w:val="18"/>
          <w:szCs w:val="18"/>
        </w:rPr>
      </w:pPr>
    </w:p>
    <w:p w14:paraId="14F58DCC" w14:textId="09941A91" w:rsidR="00977B34" w:rsidRPr="00364545" w:rsidRDefault="00977B34" w:rsidP="00EF6DB6">
      <w:pPr>
        <w:pStyle w:val="Titre4niveau4"/>
      </w:pPr>
      <w:r w:rsidRPr="00364545">
        <w:t>Impact on emission levels</w:t>
      </w:r>
    </w:p>
    <w:p w14:paraId="2B4D97B0" w14:textId="77777777" w:rsidR="00977B34" w:rsidRPr="00364545" w:rsidRDefault="00977B34" w:rsidP="00977B34">
      <w:r w:rsidRPr="00364545">
        <w:t>Only the impact of all revisions for the years 1990 and 2019 (the last year of the previous edition of the inventories) is presented, although changes may affect the whole period according to the case.</w:t>
      </w:r>
    </w:p>
    <w:p w14:paraId="5AC106D7" w14:textId="77777777" w:rsidR="00977B34" w:rsidRPr="00364545" w:rsidRDefault="00977B34" w:rsidP="00977B34">
      <w:r w:rsidRPr="00364545">
        <w:t>Comparisons are made between the March 2021 and March 2022 submissions. Thus, differences may exist between the results shown in the tables 8 of the CRF comparing two successive editions of the CRF tables (which may contain, for example, changes caused by a Saturday Paper identified in an annual review, however, this was not the case in 2021).</w:t>
      </w:r>
    </w:p>
    <w:p w14:paraId="3A304005" w14:textId="77777777" w:rsidR="00977B34" w:rsidRPr="00364545" w:rsidRDefault="00977B34" w:rsidP="00977B34"/>
    <w:p w14:paraId="6814D874" w14:textId="038226D8" w:rsidR="00977B34" w:rsidRPr="00364545" w:rsidRDefault="00977B34" w:rsidP="00977B34">
      <w:r w:rsidRPr="00364545">
        <w:t>The changes introduced between the March 2022 and March 2021 UNFCCC submissions result in overall negligible differences, for the Kyoto scope, of +0.2% in 1990 and 2019 for CO</w:t>
      </w:r>
      <w:r w:rsidRPr="00364545">
        <w:rPr>
          <w:vertAlign w:val="subscript"/>
        </w:rPr>
        <w:t>2</w:t>
      </w:r>
      <w:r w:rsidRPr="00364545">
        <w:t xml:space="preserve"> excluding LULUCF. However, a difference of +6.6% is observed in 2019 on CO</w:t>
      </w:r>
      <w:r w:rsidRPr="00364545">
        <w:rPr>
          <w:vertAlign w:val="subscript"/>
        </w:rPr>
        <w:t>2</w:t>
      </w:r>
      <w:r w:rsidRPr="00364545">
        <w:t xml:space="preserve"> with LULUCF, due to the update of forestry data. The changes for the other gases are more minimal, except for HFC which decreased by 8.2% in 2019 due to the revision of the methodology for industrial refrigeration.</w:t>
      </w:r>
    </w:p>
    <w:p w14:paraId="02C0D5C7" w14:textId="77777777" w:rsidR="00977B34" w:rsidRPr="00364545" w:rsidRDefault="00977B34" w:rsidP="00977B34"/>
    <w:p w14:paraId="3AD5DB88" w14:textId="0B211141" w:rsidR="00977B34" w:rsidRPr="00364545" w:rsidRDefault="00977B34" w:rsidP="00977B34">
      <w:r w:rsidRPr="00364545">
        <w:t>In total, the emissions expressed in CO</w:t>
      </w:r>
      <w:r w:rsidRPr="00364545">
        <w:rPr>
          <w:vertAlign w:val="subscript"/>
        </w:rPr>
        <w:t>2</w:t>
      </w:r>
      <w:r w:rsidRPr="00364545">
        <w:t xml:space="preserve"> equivalent excluding LULUCF are corrected by 0.0% in 1990 and by -0.3% in 2019. These corrections are more visible with LULUCF included in 2019 where the CO</w:t>
      </w:r>
      <w:r w:rsidRPr="00364545">
        <w:rPr>
          <w:vertAlign w:val="subscript"/>
        </w:rPr>
        <w:t>2</w:t>
      </w:r>
      <w:r w:rsidRPr="00364545">
        <w:t xml:space="preserve"> equivalent emissions are corrected by +4.2%, for the reasons mentioned above (for 1990, the difference between the two editions is -0.4%)</w:t>
      </w:r>
    </w:p>
    <w:p w14:paraId="3953B8A4" w14:textId="77777777" w:rsidR="00977B34" w:rsidRPr="00364545" w:rsidRDefault="00977B34" w:rsidP="00977B34"/>
    <w:p w14:paraId="5BDF39F4" w14:textId="11C06E0A" w:rsidR="00977B34" w:rsidRPr="00364545" w:rsidRDefault="00977B34" w:rsidP="003F57EA">
      <w:pPr>
        <w:pStyle w:val="Titre3Niveau3"/>
      </w:pPr>
      <w:bookmarkStart w:id="434" w:name="_Toc120568046"/>
      <w:bookmarkStart w:id="435" w:name="_Toc138341817"/>
      <w:r w:rsidRPr="00364545">
        <w:t>Description of the quality assurance and quality control procedure</w:t>
      </w:r>
      <w:bookmarkEnd w:id="434"/>
      <w:bookmarkEnd w:id="435"/>
    </w:p>
    <w:p w14:paraId="1DBF1F55" w14:textId="77777777" w:rsidR="00977B34" w:rsidRPr="00364545" w:rsidRDefault="00977B34" w:rsidP="0034493F">
      <w:bookmarkStart w:id="436" w:name="_Toc120568047"/>
      <w:r w:rsidRPr="00364545">
        <w:t>Developing an emissions inventory is a complex task in terms of:</w:t>
      </w:r>
      <w:bookmarkEnd w:id="436"/>
    </w:p>
    <w:p w14:paraId="4821C39D" w14:textId="77777777" w:rsidR="00977B34" w:rsidRPr="00364545" w:rsidRDefault="00977B34" w:rsidP="00BE086C">
      <w:pPr>
        <w:pStyle w:val="ListParagraph"/>
        <w:numPr>
          <w:ilvl w:val="0"/>
          <w:numId w:val="32"/>
        </w:numPr>
        <w:jc w:val="left"/>
      </w:pPr>
      <w:r w:rsidRPr="00364545">
        <w:t>The large amount of data to be manipulated,</w:t>
      </w:r>
    </w:p>
    <w:p w14:paraId="525A3FAA" w14:textId="77777777" w:rsidR="00977B34" w:rsidRPr="00364545" w:rsidRDefault="00977B34" w:rsidP="00BE086C">
      <w:pPr>
        <w:pStyle w:val="ListParagraph"/>
        <w:numPr>
          <w:ilvl w:val="0"/>
          <w:numId w:val="32"/>
        </w:numPr>
        <w:jc w:val="left"/>
      </w:pPr>
      <w:r w:rsidRPr="00364545">
        <w:t>The great quantitative and qualitative diversity of information sources,</w:t>
      </w:r>
    </w:p>
    <w:p w14:paraId="6B495098" w14:textId="77777777" w:rsidR="00977B34" w:rsidRPr="00364545" w:rsidRDefault="00977B34" w:rsidP="00BE086C">
      <w:pPr>
        <w:pStyle w:val="ListParagraph"/>
        <w:numPr>
          <w:ilvl w:val="0"/>
          <w:numId w:val="32"/>
        </w:numPr>
        <w:jc w:val="left"/>
      </w:pPr>
      <w:r w:rsidRPr="00364545">
        <w:t>Methodologies to be implemented to best quantify each emitting activity,</w:t>
      </w:r>
    </w:p>
    <w:p w14:paraId="76A5D060" w14:textId="77777777" w:rsidR="00977B34" w:rsidRPr="00364545" w:rsidRDefault="00977B34" w:rsidP="00BE086C">
      <w:pPr>
        <w:pStyle w:val="ListParagraph"/>
        <w:numPr>
          <w:ilvl w:val="0"/>
          <w:numId w:val="32"/>
        </w:numPr>
        <w:jc w:val="left"/>
      </w:pPr>
      <w:r w:rsidRPr="00364545">
        <w:t>The need to provide information that is as relevant and accurate as possible within the constraints of resources and deadlines,</w:t>
      </w:r>
    </w:p>
    <w:p w14:paraId="5237E823" w14:textId="77777777" w:rsidR="00977B34" w:rsidRPr="00364545" w:rsidRDefault="00977B34" w:rsidP="00BE086C">
      <w:pPr>
        <w:pStyle w:val="ListParagraph"/>
        <w:numPr>
          <w:ilvl w:val="0"/>
          <w:numId w:val="32"/>
        </w:numPr>
        <w:jc w:val="left"/>
      </w:pPr>
      <w:r w:rsidRPr="00364545">
        <w:t>Ensuring that the fundamental qualities of inventories are respected (consistency, completeness, traceability, etc.).</w:t>
      </w:r>
    </w:p>
    <w:p w14:paraId="59B98EFC" w14:textId="000FDC64" w:rsidR="00467A03" w:rsidRPr="00364545" w:rsidRDefault="008E6688" w:rsidP="00467A03">
      <w:r w:rsidRPr="00364545">
        <w:t>A quality control and assurance system is essential for this task to be carried out satisfactorily.</w:t>
      </w:r>
    </w:p>
    <w:p w14:paraId="7D694746" w14:textId="39E6EC8A" w:rsidR="00977B34" w:rsidRPr="00364545" w:rsidRDefault="00977B34" w:rsidP="00EF6DB6">
      <w:pPr>
        <w:pStyle w:val="Titre4niveau4"/>
      </w:pPr>
      <w:r w:rsidRPr="00364545">
        <w:t>Quality management</w:t>
      </w:r>
    </w:p>
    <w:p w14:paraId="4AE04A5B" w14:textId="77777777" w:rsidR="00977B34" w:rsidRPr="00364545" w:rsidRDefault="00977B34" w:rsidP="00977B34">
      <w:r w:rsidRPr="00364545">
        <w:t xml:space="preserve">The national emission inventory system is established by integrating the usual criteria for </w:t>
      </w:r>
      <w:r w:rsidRPr="00364545">
        <w:rPr>
          <w:b/>
        </w:rPr>
        <w:t>Quality Management Systems</w:t>
      </w:r>
      <w:r w:rsidRPr="00364545">
        <w:t xml:space="preserve"> (QMS). Citepa, which is responsible for carrying out the national emission inventories at the technical level, has set up such a system based on the </w:t>
      </w:r>
      <w:r w:rsidRPr="00364545">
        <w:rPr>
          <w:b/>
        </w:rPr>
        <w:t>ISO 9001</w:t>
      </w:r>
      <w:r w:rsidRPr="00364545">
        <w:t xml:space="preserve"> standard. This is confirmed by the award of a certificate issued by AFAQ in 2004 and renewed in </w:t>
      </w:r>
      <w:r w:rsidRPr="00364545">
        <w:rPr>
          <w:color w:val="000000"/>
        </w:rPr>
        <w:t>2007, 2010, 2013, 2016, 2018 and 2021,</w:t>
      </w:r>
      <w:r w:rsidRPr="00364545">
        <w:rPr>
          <w:color w:val="FF0000"/>
        </w:rPr>
        <w:t xml:space="preserve"> </w:t>
      </w:r>
      <w:r w:rsidRPr="00364545">
        <w:t>as well as by the annual follow-up audits. The implementation of national emission inventories is covered by the QMS through several specific processes (see Quality Manual - internal non-public document).</w:t>
      </w:r>
    </w:p>
    <w:p w14:paraId="19915DB4" w14:textId="77777777" w:rsidR="00977B34" w:rsidRPr="00364545" w:rsidRDefault="00977B34" w:rsidP="00977B34">
      <w:r w:rsidRPr="00364545">
        <w:t>Within this framework, several processes related to the control and quality assurance of inventories are integrated in the different processes and procedures implemented, corresponding to the different phases and actions related to the following points:</w:t>
      </w:r>
    </w:p>
    <w:p w14:paraId="78C4714B" w14:textId="77777777" w:rsidR="00977B34" w:rsidRPr="00364545" w:rsidRDefault="00977B34" w:rsidP="00BE086C">
      <w:pPr>
        <w:pStyle w:val="ListParagraph"/>
        <w:numPr>
          <w:ilvl w:val="0"/>
          <w:numId w:val="27"/>
        </w:numPr>
        <w:jc w:val="left"/>
      </w:pPr>
      <w:r w:rsidRPr="00364545">
        <w:t>General review, resource management, planning, monitoring and participation in external work related to emission inventories.</w:t>
      </w:r>
    </w:p>
    <w:p w14:paraId="233B3F36" w14:textId="77777777" w:rsidR="00977B34" w:rsidRPr="00364545" w:rsidRDefault="00977B34" w:rsidP="00BE086C">
      <w:pPr>
        <w:pStyle w:val="ListParagraph"/>
        <w:numPr>
          <w:ilvl w:val="0"/>
          <w:numId w:val="27"/>
        </w:numPr>
        <w:jc w:val="left"/>
      </w:pPr>
      <w:r w:rsidRPr="00364545">
        <w:t>Choice, implementation and development of methodologies as well as selection of information sources and data collection. The processes for choosing methods are clearly established, particularly with regard to reference frameworks and the expected relevance and longevity of data sources. These choices are usually made in consultation with actors and experts in the areas concerned. Methodological changes are subject to review by the Emission Inventory Consultation and Information Group (GCIIE).</w:t>
      </w:r>
    </w:p>
    <w:p w14:paraId="32F4C2ED" w14:textId="77777777" w:rsidR="00977B34" w:rsidRPr="00364545" w:rsidRDefault="00977B34" w:rsidP="00BE086C">
      <w:pPr>
        <w:pStyle w:val="ListParagraph"/>
        <w:numPr>
          <w:ilvl w:val="0"/>
          <w:numId w:val="27"/>
        </w:numPr>
        <w:jc w:val="left"/>
      </w:pPr>
      <w:r w:rsidRPr="00364545">
        <w:t>Development of calculation procedures, in particular emission calculation models, databases and reporting.</w:t>
      </w:r>
    </w:p>
    <w:p w14:paraId="72E6BC6F" w14:textId="77777777" w:rsidR="00977B34" w:rsidRPr="00364545" w:rsidRDefault="00977B34" w:rsidP="00BE086C">
      <w:pPr>
        <w:pStyle w:val="ListParagraph"/>
        <w:numPr>
          <w:ilvl w:val="0"/>
          <w:numId w:val="27"/>
        </w:numPr>
        <w:jc w:val="left"/>
      </w:pPr>
      <w:r w:rsidRPr="00364545">
        <w:t>Striving for a high level of traceability and transparency.</w:t>
      </w:r>
    </w:p>
    <w:p w14:paraId="18D7F353" w14:textId="77777777" w:rsidR="00977B34" w:rsidRPr="00364545" w:rsidRDefault="00977B34" w:rsidP="00BE086C">
      <w:pPr>
        <w:pStyle w:val="ListParagraph"/>
        <w:numPr>
          <w:ilvl w:val="0"/>
          <w:numId w:val="27"/>
        </w:numPr>
        <w:jc w:val="left"/>
      </w:pPr>
      <w:r w:rsidRPr="00364545">
        <w:t>Implementation and recording of controls relating to the important and risky stages of the inventory process, through multiple internal controls, both on input data and on calculations, databases, reports, data archiving, monitoring of changes (error corrections or improvements) and non-conformities. Several tools have been developed to support these controls.</w:t>
      </w:r>
    </w:p>
    <w:p w14:paraId="2F9E7A84" w14:textId="77777777" w:rsidR="00977B34" w:rsidRPr="00364545" w:rsidRDefault="00977B34" w:rsidP="00BE086C">
      <w:pPr>
        <w:pStyle w:val="ListParagraph"/>
        <w:numPr>
          <w:ilvl w:val="0"/>
          <w:numId w:val="27"/>
        </w:numPr>
        <w:jc w:val="left"/>
      </w:pPr>
      <w:r w:rsidRPr="00364545">
        <w:t>Validation and approval of the inventory results, following advice from the Emission Inventory Consultation and Information Group (GCIIE).</w:t>
      </w:r>
    </w:p>
    <w:p w14:paraId="6DCED8BE" w14:textId="77777777" w:rsidR="00977B34" w:rsidRPr="00364545" w:rsidRDefault="00977B34" w:rsidP="00BE086C">
      <w:pPr>
        <w:pStyle w:val="ListParagraph"/>
        <w:numPr>
          <w:ilvl w:val="0"/>
          <w:numId w:val="27"/>
        </w:numPr>
        <w:jc w:val="left"/>
      </w:pPr>
      <w:r w:rsidRPr="00364545">
        <w:t>Validation and approval of reports and other information materials by the Ministry of the Environment.</w:t>
      </w:r>
    </w:p>
    <w:p w14:paraId="335DD31B" w14:textId="77777777" w:rsidR="00977B34" w:rsidRPr="00364545" w:rsidRDefault="00977B34" w:rsidP="00BE086C">
      <w:pPr>
        <w:pStyle w:val="ListParagraph"/>
        <w:numPr>
          <w:ilvl w:val="0"/>
          <w:numId w:val="27"/>
        </w:numPr>
        <w:jc w:val="left"/>
      </w:pPr>
      <w:r w:rsidRPr="00364545">
        <w:t>Systematic archiving of the elements necessary to ensure the required traceability.</w:t>
      </w:r>
    </w:p>
    <w:p w14:paraId="317883CF" w14:textId="77777777" w:rsidR="00977B34" w:rsidRPr="00364545" w:rsidRDefault="00977B34" w:rsidP="00BE086C">
      <w:pPr>
        <w:pStyle w:val="ListParagraph"/>
        <w:numPr>
          <w:ilvl w:val="0"/>
          <w:numId w:val="27"/>
        </w:numPr>
        <w:jc w:val="left"/>
      </w:pPr>
      <w:r w:rsidRPr="00364545">
        <w:t>Dissemination of information and related products.</w:t>
      </w:r>
    </w:p>
    <w:p w14:paraId="77655D3C" w14:textId="77777777" w:rsidR="00977B34" w:rsidRPr="00364545" w:rsidRDefault="00977B34" w:rsidP="00BE086C">
      <w:pPr>
        <w:pStyle w:val="ListParagraph"/>
        <w:numPr>
          <w:ilvl w:val="0"/>
          <w:numId w:val="27"/>
        </w:numPr>
        <w:jc w:val="left"/>
      </w:pPr>
      <w:r w:rsidRPr="00364545">
        <w:t>Compatibility with EU requirements for reporting the necessary emission inventory data and characteristics to the European Commission. In particular, to enable it to prepare the EU inventories on the basis of the Member States' inventories and to contribute to the quality requirements that the Commission implements at its level (i.e. for greenhouse gases whose monitoring is subject to specific regulatory provisions).</w:t>
      </w:r>
    </w:p>
    <w:p w14:paraId="06B6BA1E" w14:textId="77777777" w:rsidR="00977B34" w:rsidRPr="00364545" w:rsidRDefault="00977B34" w:rsidP="00BE086C">
      <w:pPr>
        <w:pStyle w:val="ListParagraph"/>
        <w:numPr>
          <w:ilvl w:val="0"/>
          <w:numId w:val="27"/>
        </w:numPr>
        <w:jc w:val="left"/>
      </w:pPr>
      <w:r w:rsidRPr="00364545">
        <w:t>Continuous improvement of the quality of the estimates by developing procedures to avoid possible systematic errors, reduce associated uncertainties, cover substances and emitting sources more completely, etc., in order to meet the quality objectives. An action plan is defined and regularly updated. It incorporates the required and possible improvements taking into account the recommendations of the GCIIE.</w:t>
      </w:r>
    </w:p>
    <w:p w14:paraId="6DF5868C" w14:textId="1372197B" w:rsidR="00977B34" w:rsidRPr="00364545" w:rsidRDefault="00977B34" w:rsidP="00BE086C">
      <w:pPr>
        <w:pStyle w:val="ListParagraph"/>
        <w:numPr>
          <w:ilvl w:val="0"/>
          <w:numId w:val="27"/>
        </w:numPr>
        <w:jc w:val="left"/>
      </w:pPr>
      <w:r w:rsidRPr="00364545">
        <w:t>Assessment of the implementation of the quality control and quality assurance arrangements, in particular the objectives and the quality plan.</w:t>
      </w:r>
    </w:p>
    <w:p w14:paraId="7F37A59D" w14:textId="207145AF" w:rsidR="00977B34" w:rsidRPr="00364545" w:rsidRDefault="00977B34" w:rsidP="00EF6DB6">
      <w:pPr>
        <w:pStyle w:val="Titre4niveau4"/>
      </w:pPr>
      <w:r w:rsidRPr="00364545">
        <w:t>Quality objectives</w:t>
      </w:r>
    </w:p>
    <w:p w14:paraId="14D96283" w14:textId="77777777" w:rsidR="00977B34" w:rsidRPr="00364545" w:rsidRDefault="00977B34" w:rsidP="00977B34">
      <w:r w:rsidRPr="00364545">
        <w:t>The overall objective of the quality assurance and quality control programme is the completion of national emission and sink inventories in accordance with the requirements of the various national and international frameworks covered by the National System of Emission Inventories and Balances in the Atmosphere. These requirements concern the definition, implementation and application of procedures and methods aimed at satisfying the criteria of traceability, exhaustiveness, consistency, comparability and timeliness required in particular by international and European bodies in application of the commitments entered into by France.</w:t>
      </w:r>
    </w:p>
    <w:p w14:paraId="72A4F369" w14:textId="77777777" w:rsidR="00977B34" w:rsidRPr="00364545" w:rsidRDefault="00977B34" w:rsidP="00977B34">
      <w:r w:rsidRPr="00364545">
        <w:t>In particular, this overall objective is broken down into sub-elements:</w:t>
      </w:r>
    </w:p>
    <w:p w14:paraId="3D1AE959" w14:textId="77777777" w:rsidR="00977B34" w:rsidRPr="00364545" w:rsidRDefault="00977B34" w:rsidP="00BE086C">
      <w:pPr>
        <w:pStyle w:val="ListParagraph"/>
        <w:numPr>
          <w:ilvl w:val="0"/>
          <w:numId w:val="28"/>
        </w:numPr>
        <w:jc w:val="left"/>
      </w:pPr>
      <w:r w:rsidRPr="00364545">
        <w:t>Preparation of reports (including national inventory reports for certain protocols and EU directives) in accordance with any content and form criteria that may be required (in particular analyses of trends, uncertainties, quality control and assurance, national inventory system, methods used, etc.),</w:t>
      </w:r>
    </w:p>
    <w:p w14:paraId="4C76CBE1" w14:textId="77777777" w:rsidR="00977B34" w:rsidRPr="00364545" w:rsidRDefault="00977B34" w:rsidP="00BE086C">
      <w:pPr>
        <w:pStyle w:val="ListParagraph"/>
        <w:numPr>
          <w:ilvl w:val="0"/>
          <w:numId w:val="28"/>
        </w:numPr>
        <w:jc w:val="left"/>
      </w:pPr>
      <w:r w:rsidRPr="00364545">
        <w:t>Provision of basic sectoral data required in the defined reporting formats (Common Reporting Format (CRF), Nomenclature For Reporting (NFR), Large Combustion Plants (LCP), etc.) and in particular: additional explanations, use of defined note codes, changes introduced in the last exercise, retrospective adjustments, specific data (in particular for LULUCF under Articles 3.3 and 3.4 of the Kyoto Protocol), etc.</w:t>
      </w:r>
    </w:p>
    <w:p w14:paraId="04785AB2" w14:textId="77777777" w:rsidR="00977B34" w:rsidRPr="00364545" w:rsidRDefault="00977B34" w:rsidP="00BE086C">
      <w:pPr>
        <w:pStyle w:val="ListParagraph"/>
        <w:numPr>
          <w:ilvl w:val="0"/>
          <w:numId w:val="28"/>
        </w:numPr>
        <w:jc w:val="left"/>
      </w:pPr>
      <w:r w:rsidRPr="00364545">
        <w:t>Development of appropriate procedures for the choice of methods and reference systems, data collection, processing, validation, and archiving and storage,</w:t>
      </w:r>
    </w:p>
    <w:p w14:paraId="183C1DFB" w14:textId="77777777" w:rsidR="00977B34" w:rsidRPr="00364545" w:rsidRDefault="00977B34" w:rsidP="00BE086C">
      <w:pPr>
        <w:pStyle w:val="ListParagraph"/>
        <w:numPr>
          <w:ilvl w:val="0"/>
          <w:numId w:val="28"/>
        </w:numPr>
        <w:jc w:val="left"/>
      </w:pPr>
      <w:r w:rsidRPr="00364545">
        <w:t>Determining the quantitative uncertainties attached to the estimates,</w:t>
      </w:r>
    </w:p>
    <w:p w14:paraId="5556EC51" w14:textId="77777777" w:rsidR="00977B34" w:rsidRPr="00364545" w:rsidRDefault="00977B34" w:rsidP="00BE086C">
      <w:pPr>
        <w:pStyle w:val="ListParagraph"/>
        <w:numPr>
          <w:ilvl w:val="0"/>
          <w:numId w:val="28"/>
        </w:numPr>
        <w:jc w:val="left"/>
      </w:pPr>
      <w:r w:rsidRPr="00364545">
        <w:t>Research and elimination of inconsistencies,</w:t>
      </w:r>
    </w:p>
    <w:p w14:paraId="02B4B9DE" w14:textId="77777777" w:rsidR="00977B34" w:rsidRPr="00364545" w:rsidRDefault="00977B34" w:rsidP="00BE086C">
      <w:pPr>
        <w:pStyle w:val="ListParagraph"/>
        <w:numPr>
          <w:ilvl w:val="0"/>
          <w:numId w:val="28"/>
        </w:numPr>
        <w:jc w:val="left"/>
      </w:pPr>
      <w:r w:rsidRPr="00364545">
        <w:t>Development of quality assurance procedures,</w:t>
      </w:r>
    </w:p>
    <w:p w14:paraId="6A4B3657" w14:textId="77777777" w:rsidR="00977B34" w:rsidRPr="00364545" w:rsidRDefault="00977B34" w:rsidP="00BE086C">
      <w:pPr>
        <w:pStyle w:val="ListParagraph"/>
        <w:numPr>
          <w:ilvl w:val="0"/>
          <w:numId w:val="28"/>
        </w:numPr>
        <w:jc w:val="left"/>
      </w:pPr>
      <w:r w:rsidRPr="00364545">
        <w:t>Contribution to the continuous improvement of inventories by:</w:t>
      </w:r>
    </w:p>
    <w:p w14:paraId="62708664" w14:textId="77777777" w:rsidR="00977B34" w:rsidRPr="00364545" w:rsidRDefault="00977B34" w:rsidP="00BE086C">
      <w:pPr>
        <w:pStyle w:val="ListParagraph"/>
        <w:numPr>
          <w:ilvl w:val="1"/>
          <w:numId w:val="28"/>
        </w:numPr>
        <w:jc w:val="left"/>
      </w:pPr>
      <w:r w:rsidRPr="00364545">
        <w:t>Research and implementation of more relevant and accurate methods and/or data,</w:t>
      </w:r>
    </w:p>
    <w:p w14:paraId="11E0928E" w14:textId="77777777" w:rsidR="00977B34" w:rsidRPr="00364545" w:rsidRDefault="00977B34" w:rsidP="00BE086C">
      <w:pPr>
        <w:pStyle w:val="ListParagraph"/>
        <w:numPr>
          <w:ilvl w:val="1"/>
          <w:numId w:val="28"/>
        </w:numPr>
        <w:jc w:val="left"/>
      </w:pPr>
      <w:r w:rsidRPr="00364545">
        <w:t>The formulation of recommendations to the various bodies involved in the national emission inventory system, and even to other bodies, including international bodies,</w:t>
      </w:r>
    </w:p>
    <w:p w14:paraId="6F631E76" w14:textId="77777777" w:rsidR="00977B34" w:rsidRPr="00364545" w:rsidRDefault="00977B34" w:rsidP="00BE086C">
      <w:pPr>
        <w:pStyle w:val="ListParagraph"/>
        <w:numPr>
          <w:ilvl w:val="1"/>
          <w:numId w:val="28"/>
        </w:numPr>
        <w:jc w:val="left"/>
      </w:pPr>
      <w:r w:rsidRPr="00364545">
        <w:t>Participation in international work on issues related to emission inventories and sinks,</w:t>
      </w:r>
    </w:p>
    <w:p w14:paraId="48947CA5" w14:textId="77777777" w:rsidR="00977B34" w:rsidRPr="00364545" w:rsidRDefault="00977B34" w:rsidP="00BE086C">
      <w:pPr>
        <w:pStyle w:val="ListParagraph"/>
        <w:numPr>
          <w:ilvl w:val="1"/>
          <w:numId w:val="28"/>
        </w:numPr>
        <w:jc w:val="left"/>
      </w:pPr>
      <w:r w:rsidRPr="00364545">
        <w:t>Cooperation with other countries on the same aspects,</w:t>
      </w:r>
    </w:p>
    <w:p w14:paraId="037E8F73" w14:textId="77777777" w:rsidR="00977B34" w:rsidRPr="00364545" w:rsidRDefault="00977B34" w:rsidP="00BE086C">
      <w:pPr>
        <w:pStyle w:val="ListParagraph"/>
        <w:numPr>
          <w:ilvl w:val="1"/>
          <w:numId w:val="28"/>
        </w:numPr>
        <w:jc w:val="left"/>
      </w:pPr>
      <w:r w:rsidRPr="00364545">
        <w:t>Compliance with EU and international reporting deadlines for emission inventories,</w:t>
      </w:r>
    </w:p>
    <w:p w14:paraId="46787CBE" w14:textId="310E8553" w:rsidR="00977B34" w:rsidRPr="00364545" w:rsidRDefault="00977B34" w:rsidP="00BE086C">
      <w:pPr>
        <w:pStyle w:val="ListParagraph"/>
        <w:numPr>
          <w:ilvl w:val="1"/>
          <w:numId w:val="28"/>
        </w:numPr>
        <w:jc w:val="left"/>
      </w:pPr>
      <w:r w:rsidRPr="00364545">
        <w:t>The search for efficiency in the work carried out (relevance, accuracy, implementation of methods vs. resources, etc.) to meet the needs of determining emissions and sinks.</w:t>
      </w:r>
    </w:p>
    <w:p w14:paraId="17564E4E" w14:textId="4B28FA2A" w:rsidR="00977B34" w:rsidRPr="00364545" w:rsidRDefault="00977B34" w:rsidP="00EF6DB6">
      <w:pPr>
        <w:pStyle w:val="Titre4niveau4"/>
      </w:pPr>
      <w:r w:rsidRPr="00364545">
        <w:t>Quality control</w:t>
      </w:r>
    </w:p>
    <w:p w14:paraId="6506D289" w14:textId="77777777" w:rsidR="00977B34" w:rsidRPr="00364545" w:rsidRDefault="00977B34" w:rsidP="00977B34">
      <w:r w:rsidRPr="00364545">
        <w:t>Quality control is integrated into the different phases of the processes and procedures developed by the bodies involved in the national system with regard to the elements for which they are responsible in order to achieve the defined objectives.</w:t>
      </w:r>
    </w:p>
    <w:p w14:paraId="51C7C78E" w14:textId="77777777" w:rsidR="00977B34" w:rsidRPr="00364545" w:rsidRDefault="00977B34" w:rsidP="00977B34">
      <w:r w:rsidRPr="00364545">
        <w:t>Citepa, the body responsible for the technical coordination and compilation of the inventories, is responsible for monitoring quality control and making recommendations to improve, complete and develop the necessary processes and procedures.</w:t>
      </w:r>
    </w:p>
    <w:p w14:paraId="783F811A" w14:textId="77777777" w:rsidR="00977B34" w:rsidRPr="00364545" w:rsidRDefault="00977B34" w:rsidP="00977B34">
      <w:r w:rsidRPr="00364545">
        <w:t>These procedures may be automatic or manual, and may take the form of checklists, plausibility, consistency and completeness tests, trend analyses, simulations, etc. They are used at several stages of the inventory process. In particular, some of these are specified below:</w:t>
      </w:r>
    </w:p>
    <w:p w14:paraId="3748BF94" w14:textId="77777777" w:rsidR="00977B34" w:rsidRPr="00364545" w:rsidRDefault="00977B34" w:rsidP="00E22CF8">
      <w:pPr>
        <w:pStyle w:val="titreencadre"/>
      </w:pPr>
      <w:r w:rsidRPr="00364545">
        <w:t>Input data</w:t>
      </w:r>
    </w:p>
    <w:p w14:paraId="7CEA516D" w14:textId="77777777" w:rsidR="00977B34" w:rsidRPr="00364545" w:rsidRDefault="00977B34" w:rsidP="00BE086C">
      <w:pPr>
        <w:pStyle w:val="ListParagraph"/>
        <w:numPr>
          <w:ilvl w:val="0"/>
          <w:numId w:val="29"/>
        </w:numPr>
        <w:jc w:val="left"/>
      </w:pPr>
      <w:r w:rsidRPr="00364545">
        <w:t>Monitoring of data collection (necessary steps, effective publication, reminders, etc.),</w:t>
      </w:r>
    </w:p>
    <w:p w14:paraId="4442B96F" w14:textId="77777777" w:rsidR="00977B34" w:rsidRPr="00364545" w:rsidRDefault="00977B34" w:rsidP="00BE086C">
      <w:pPr>
        <w:pStyle w:val="ListParagraph"/>
        <w:numPr>
          <w:ilvl w:val="0"/>
          <w:numId w:val="29"/>
        </w:numPr>
        <w:jc w:val="left"/>
      </w:pPr>
      <w:r w:rsidRPr="00364545">
        <w:t>Actual reception (delivery, capture on the Internet, data actually present at Citepa),</w:t>
      </w:r>
    </w:p>
    <w:p w14:paraId="4ED0B476" w14:textId="77777777" w:rsidR="00977B34" w:rsidRPr="00364545" w:rsidRDefault="00977B34" w:rsidP="00BE086C">
      <w:pPr>
        <w:pStyle w:val="ListParagraph"/>
        <w:numPr>
          <w:ilvl w:val="0"/>
          <w:numId w:val="29"/>
        </w:numPr>
        <w:jc w:val="left"/>
      </w:pPr>
      <w:r w:rsidRPr="00364545">
        <w:t>Conformity of the content in terms of quantity (complete flow) and quality (possible observations on sampling, change of scope, change of methodology that could lead to a statistical break, etc.).</w:t>
      </w:r>
    </w:p>
    <w:p w14:paraId="37A7E43D" w14:textId="77777777" w:rsidR="00977B34" w:rsidRPr="00364545" w:rsidRDefault="00977B34" w:rsidP="00BE086C">
      <w:pPr>
        <w:pStyle w:val="ListParagraph"/>
        <w:numPr>
          <w:ilvl w:val="0"/>
          <w:numId w:val="29"/>
        </w:numPr>
        <w:jc w:val="left"/>
      </w:pPr>
      <w:r w:rsidRPr="00364545">
        <w:t>Recording and archiving of raw data before processing.</w:t>
      </w:r>
    </w:p>
    <w:p w14:paraId="3EEBDC0A" w14:textId="77777777" w:rsidR="00977B34" w:rsidRPr="00364545" w:rsidRDefault="00977B34" w:rsidP="00E22CF8">
      <w:pPr>
        <w:pStyle w:val="titreencadre"/>
      </w:pPr>
      <w:r w:rsidRPr="00364545">
        <w:t>Data processing</w:t>
      </w:r>
    </w:p>
    <w:p w14:paraId="79654A57" w14:textId="77777777" w:rsidR="00977B34" w:rsidRPr="00364545" w:rsidRDefault="00977B34" w:rsidP="00977B34">
      <w:r w:rsidRPr="00364545">
        <w:t>It is mainly carried out through calculation sheets, each dedicated to a category of emitting sources (the National System of Emission Inventories and Balances in the Atmosphere has more than a hundred).</w:t>
      </w:r>
    </w:p>
    <w:p w14:paraId="3DE1DC39" w14:textId="77777777" w:rsidR="00977B34" w:rsidRPr="00364545" w:rsidRDefault="00977B34" w:rsidP="00977B34">
      <w:r w:rsidRPr="00364545">
        <w:t>Thus each sectoral calculation sheet contains its own internal controls. These include internal tests to check calculations (e.g. checking subtotals, displaying trends at the finest activity level) and consistency between calculated values and values exported to the national database system. Similarly, particular care is taken to document sources and assumptions to ensure traceability.</w:t>
      </w:r>
    </w:p>
    <w:p w14:paraId="1CCA50D9" w14:textId="77777777" w:rsidR="00977B34" w:rsidRPr="00364545" w:rsidRDefault="00977B34" w:rsidP="00E22CF8">
      <w:pPr>
        <w:pStyle w:val="titreencadre"/>
      </w:pPr>
      <w:r w:rsidRPr="00364545">
        <w:t>Internal control and validation of results</w:t>
      </w:r>
    </w:p>
    <w:p w14:paraId="188C5C04" w14:textId="77777777" w:rsidR="00977B34" w:rsidRPr="00364545" w:rsidRDefault="00977B34" w:rsidP="00977B34">
      <w:r w:rsidRPr="00364545">
        <w:t>Before being exported to these databases, several additional control steps are performed. Each sectoral calculation sheet is checked by its author using a tool specially developed for this purpose by Citepa, called VESUVE</w:t>
      </w:r>
      <w:r w:rsidRPr="00364545">
        <w:rPr>
          <w:rStyle w:val="FootnoteReference"/>
        </w:rPr>
        <w:footnoteReference w:id="18"/>
      </w:r>
      <w:r w:rsidRPr="00364545">
        <w:t>. This tool not only checks the consistency between emission factors, activities and emissions, but also provides a graphical display of trends in activities, emission factors and emissions of all pollutants for the previous and current edition of the inventory. The changes observed between the two editions are systematically analysed and commented on by the author of the calculation sheet.</w:t>
      </w:r>
    </w:p>
    <w:p w14:paraId="5BB2CE5B" w14:textId="77777777" w:rsidR="00977B34" w:rsidRPr="00364545" w:rsidRDefault="00977B34" w:rsidP="00977B34">
      <w:r w:rsidRPr="00364545">
        <w:t>Each sectoral calculation sheet is then subject to verification by at least one third party and by a second, more senior person in the case of methodological changes. The check carried out covers, among other things, the consistency and transparency of the method, the referencing of the data used, the handling of any non-conformities or planned improvements (see IQSN application in paragraph 4 below) and the recording of the checks carried out with VESUVE.</w:t>
      </w:r>
    </w:p>
    <w:p w14:paraId="75A36F25" w14:textId="77777777" w:rsidR="00977B34" w:rsidRPr="00364545" w:rsidRDefault="00977B34" w:rsidP="00977B34">
      <w:r w:rsidRPr="00364545">
        <w:t>The representativeness of the information (definition, area, relevance, accuracy, etc.), the relevance and conformity of the methods, the adequacy of the processing tools and the communication formats are particularly concerned.</w:t>
      </w:r>
    </w:p>
    <w:p w14:paraId="19EBC279" w14:textId="77777777" w:rsidR="00977B34" w:rsidRPr="00364545" w:rsidRDefault="00977B34" w:rsidP="00977B34">
      <w:r w:rsidRPr="00364545">
        <w:t xml:space="preserve">An additional check step is added during the compilation of the descriptive methodological elements, during which a new review of the changes in methods and emission factors is carried out (justification of changes, explanation of methods, referencing of sources, etc.). In addition, the final compilation of the inventory report allows for an overall check on the results. </w:t>
      </w:r>
    </w:p>
    <w:p w14:paraId="04906252" w14:textId="77777777" w:rsidR="00977B34" w:rsidRPr="00364545" w:rsidRDefault="00977B34" w:rsidP="00977B34"/>
    <w:p w14:paraId="32188668" w14:textId="77777777" w:rsidR="00977B34" w:rsidRPr="00364545" w:rsidRDefault="00977B34" w:rsidP="00977B34">
      <w:r w:rsidRPr="00364545">
        <w:t>Given the considerable amount of data collected and processed in the different areas concerned, it is necessary to examine the relevant documentation of each of the organisations involved. In particular, it is worth noting the procedures relating to quality management processes put in place by Citepa for this purpose (Citepa has received ISO 9001 certification) for the conduct of emission inventories.</w:t>
      </w:r>
    </w:p>
    <w:p w14:paraId="71E91A78" w14:textId="77777777" w:rsidR="00977B34" w:rsidRPr="00364545" w:rsidRDefault="00977B34" w:rsidP="00977B34"/>
    <w:p w14:paraId="16A973DE" w14:textId="77777777" w:rsidR="00977B34" w:rsidRPr="00364545" w:rsidRDefault="00977B34" w:rsidP="00977B34">
      <w:r w:rsidRPr="00364545">
        <w:t>For the compilation of inventories, almost all general (tier 1) provisions described in the IPCC Good Practices are applied. Specific provisions for certain source categories (tier 2) are implemented on a case-by-case basis mainly in the "industry", "transport" and "agriculture" sectors and, to a lesser extent, in the other sectors. In particular, accessing and using data on individual sources or very fine subsets of sources leads to the application of specific procedures. The QMS pays particular attention to:</w:t>
      </w:r>
    </w:p>
    <w:p w14:paraId="7DCED24D" w14:textId="77777777" w:rsidR="00977B34" w:rsidRPr="00364545" w:rsidRDefault="00977B34" w:rsidP="00BE086C">
      <w:pPr>
        <w:pStyle w:val="ListParagraph"/>
        <w:numPr>
          <w:ilvl w:val="0"/>
          <w:numId w:val="29"/>
        </w:numPr>
        <w:jc w:val="left"/>
      </w:pPr>
      <w:r w:rsidRPr="00364545">
        <w:t>Ensuring the availability of the documentation used for the emission inventories,</w:t>
      </w:r>
    </w:p>
    <w:p w14:paraId="0266DF32" w14:textId="77777777" w:rsidR="00977B34" w:rsidRPr="00364545" w:rsidRDefault="00977B34" w:rsidP="00BE086C">
      <w:pPr>
        <w:pStyle w:val="ListParagraph"/>
        <w:numPr>
          <w:ilvl w:val="0"/>
          <w:numId w:val="29"/>
        </w:numPr>
        <w:jc w:val="left"/>
      </w:pPr>
      <w:r w:rsidRPr="00364545">
        <w:t>Filing and archiving of all data and information considered for each inventory,</w:t>
      </w:r>
    </w:p>
    <w:p w14:paraId="3F8D2129" w14:textId="77777777" w:rsidR="00977B34" w:rsidRPr="00364545" w:rsidRDefault="00977B34" w:rsidP="00BE086C">
      <w:pPr>
        <w:pStyle w:val="ListParagraph"/>
        <w:numPr>
          <w:ilvl w:val="0"/>
          <w:numId w:val="29"/>
        </w:numPr>
        <w:jc w:val="left"/>
      </w:pPr>
      <w:r w:rsidRPr="00364545">
        <w:t>Preserving the possible confidentiality of certain data.</w:t>
      </w:r>
    </w:p>
    <w:p w14:paraId="243DEAE1" w14:textId="77777777" w:rsidR="00977B34" w:rsidRPr="00364545" w:rsidRDefault="00977B34" w:rsidP="00977B34"/>
    <w:p w14:paraId="76688111" w14:textId="007C86D3" w:rsidR="00977B34" w:rsidRPr="00364545" w:rsidRDefault="00977B34" w:rsidP="00EF6DB6">
      <w:pPr>
        <w:pStyle w:val="Titre4niveau4"/>
      </w:pPr>
      <w:r w:rsidRPr="00364545">
        <w:t>Quality assurance</w:t>
      </w:r>
    </w:p>
    <w:p w14:paraId="222C6662" w14:textId="77777777" w:rsidR="00977B34" w:rsidRPr="00364545" w:rsidRDefault="00977B34" w:rsidP="00977B34">
      <w:r w:rsidRPr="00364545">
        <w:t>It is ensured through a number of provisions aiming to subject inventories to review and to gather comments and assessments from audiences with generally relevant expertise. In particular, the following actions, some of which are integrated into the inventory system and consequently into the QMS, are effective (see also the figure below):</w:t>
      </w:r>
    </w:p>
    <w:p w14:paraId="1C608529" w14:textId="77777777" w:rsidR="00977B34" w:rsidRPr="00364545" w:rsidRDefault="00977B34" w:rsidP="00BE086C">
      <w:pPr>
        <w:pStyle w:val="ListParagraph"/>
        <w:numPr>
          <w:ilvl w:val="0"/>
          <w:numId w:val="30"/>
        </w:numPr>
        <w:jc w:val="left"/>
      </w:pPr>
      <w:r w:rsidRPr="00364545">
        <w:t>Comments from members of the Emission Inventory Consultation and Information Group (GCIIE), who also have their own cross-checking data on methodological elements.</w:t>
      </w:r>
    </w:p>
    <w:p w14:paraId="3DE13B47" w14:textId="77777777" w:rsidR="00977B34" w:rsidRPr="00364545" w:rsidRDefault="00977B34" w:rsidP="00BE086C">
      <w:pPr>
        <w:pStyle w:val="ListParagraph"/>
        <w:numPr>
          <w:ilvl w:val="0"/>
          <w:numId w:val="30"/>
        </w:numPr>
        <w:jc w:val="left"/>
      </w:pPr>
      <w:r w:rsidRPr="00364545">
        <w:t>The assessments of local authorities (DREAL) with regard to individual activity and/or pollutant emission data reported annually, which concern more than 10,000 installations, including all installations subject to the ETS. It should be noted that, in the latter context, the second level of verification cannot be passed if the first level of verification is not conclusive.</w:t>
      </w:r>
    </w:p>
    <w:p w14:paraId="04ABF447" w14:textId="77777777" w:rsidR="00977B34" w:rsidRPr="00364545" w:rsidRDefault="00977B34" w:rsidP="00977B34">
      <w:pPr>
        <w:rPr>
          <w:b/>
          <w:bCs/>
          <w:color w:val="005841" w:themeColor="accent1"/>
          <w:sz w:val="18"/>
          <w:szCs w:val="18"/>
        </w:rPr>
      </w:pPr>
    </w:p>
    <w:p w14:paraId="53C70755" w14:textId="77777777" w:rsidR="00977B34" w:rsidRPr="00364545" w:rsidRDefault="00977B34" w:rsidP="00977B34">
      <w:pPr>
        <w:rPr>
          <w:b/>
          <w:bCs/>
          <w:color w:val="005841" w:themeColor="accent1"/>
          <w:sz w:val="18"/>
          <w:szCs w:val="18"/>
        </w:rPr>
      </w:pPr>
    </w:p>
    <w:p w14:paraId="157122EB" w14:textId="77777777" w:rsidR="00977B34" w:rsidRPr="00364545" w:rsidRDefault="00977B34" w:rsidP="00977B34">
      <w:pPr>
        <w:rPr>
          <w:b/>
          <w:bCs/>
          <w:color w:val="005841" w:themeColor="accent1"/>
          <w:sz w:val="18"/>
          <w:szCs w:val="18"/>
        </w:rPr>
      </w:pPr>
    </w:p>
    <w:p w14:paraId="30555F73" w14:textId="77777777" w:rsidR="00977B34" w:rsidRPr="00364545" w:rsidRDefault="00977B34" w:rsidP="00977B34">
      <w:bookmarkStart w:id="437" w:name="_Toc66459634"/>
      <w:r w:rsidRPr="00364545">
        <w:t>Quality assurance arrangements in place</w:t>
      </w:r>
      <w:bookmarkEnd w:id="437"/>
    </w:p>
    <w:p w14:paraId="563B7C98" w14:textId="77777777" w:rsidR="00977B34" w:rsidRPr="00364545" w:rsidRDefault="00977B34" w:rsidP="00977B34">
      <w:pPr>
        <w:jc w:val="center"/>
      </w:pPr>
      <w:r w:rsidRPr="00364545">
        <w:rPr>
          <w:noProof/>
          <w:lang w:val="fr-FR"/>
        </w:rPr>
        <w:drawing>
          <wp:inline distT="0" distB="0" distL="0" distR="0" wp14:anchorId="7B76FC8D" wp14:editId="1EC3A137">
            <wp:extent cx="5800725" cy="5419725"/>
            <wp:effectExtent l="0" t="0" r="0"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00725" cy="5419725"/>
                    </a:xfrm>
                    <a:prstGeom prst="rect">
                      <a:avLst/>
                    </a:prstGeom>
                    <a:noFill/>
                    <a:ln>
                      <a:noFill/>
                    </a:ln>
                  </pic:spPr>
                </pic:pic>
              </a:graphicData>
            </a:graphic>
          </wp:inline>
        </w:drawing>
      </w:r>
    </w:p>
    <w:p w14:paraId="4327A770" w14:textId="77777777" w:rsidR="00977B34" w:rsidRPr="00364545" w:rsidRDefault="00977B34" w:rsidP="00977B34">
      <w:pPr>
        <w:jc w:val="center"/>
      </w:pPr>
    </w:p>
    <w:p w14:paraId="634F53D2" w14:textId="77777777" w:rsidR="00977B34" w:rsidRPr="00364545" w:rsidRDefault="00977B34" w:rsidP="00BE086C">
      <w:pPr>
        <w:pStyle w:val="ListParagraph"/>
        <w:numPr>
          <w:ilvl w:val="0"/>
          <w:numId w:val="31"/>
        </w:numPr>
        <w:jc w:val="left"/>
      </w:pPr>
      <w:r w:rsidRPr="00364545">
        <w:t>The quality assurance implemented by the statistical entities in charge of compiling certain data within the framework of the approvals received by the Administration (energy balance, productions, etc.). This quality assurance is therefore integrated upstream of the inventory itself.</w:t>
      </w:r>
    </w:p>
    <w:p w14:paraId="754F7AD9" w14:textId="49A0A333" w:rsidR="00977B34" w:rsidRPr="00364545" w:rsidRDefault="00977B34" w:rsidP="00BE086C">
      <w:pPr>
        <w:pStyle w:val="ListParagraph"/>
        <w:numPr>
          <w:ilvl w:val="0"/>
          <w:numId w:val="31"/>
        </w:numPr>
        <w:jc w:val="left"/>
      </w:pPr>
      <w:r w:rsidRPr="00364545">
        <w:t xml:space="preserve">The reviews conducted by the Secretariat of the United Nations Framework Convention on Climate Change since 2002, and every year with the occasional exception (e.g. 2020). These reviews result in reports that allow improvements to be made. Although these reviews do not correspond to the country's own quality assurance actions, the nature and results of these reviews are entirely similar to what would be produced by third party reviews organised as part of the country's quality assurance. Many of the improvements in greenhouse gas inventories have come from these international reviews. </w:t>
      </w:r>
    </w:p>
    <w:p w14:paraId="0528D5B1" w14:textId="77777777" w:rsidR="00977B34" w:rsidRPr="00364545" w:rsidRDefault="00977B34" w:rsidP="00BE086C">
      <w:pPr>
        <w:pStyle w:val="ListParagraph"/>
        <w:numPr>
          <w:ilvl w:val="0"/>
          <w:numId w:val="31"/>
        </w:numPr>
        <w:jc w:val="left"/>
      </w:pPr>
      <w:r w:rsidRPr="00364545">
        <w:t>The reviews carried out in the various frameworks (UNFCCC, UNECE / LRTAP, EC / GHG Monitoring Mechanism, etc.) are all expert analyses that each contribute to the quality assurance of emission inventories in relation to the other frameworks. At a minimum, these analyses cover common elements such as the activities of certain sources (e.g. energy), but also various other aspects (organisation, uncertainties, etc.) due to the common reporting elements and strong similarities between these exercises.</w:t>
      </w:r>
    </w:p>
    <w:p w14:paraId="0A9A8859" w14:textId="77777777" w:rsidR="00977B34" w:rsidRPr="00364545" w:rsidRDefault="00977B34" w:rsidP="00BE086C">
      <w:pPr>
        <w:pStyle w:val="ListParagraph"/>
        <w:numPr>
          <w:ilvl w:val="0"/>
          <w:numId w:val="31"/>
        </w:numPr>
        <w:jc w:val="left"/>
      </w:pPr>
      <w:r w:rsidRPr="00364545">
        <w:t>Ad hoc reviews by various individuals with access to publicly available inventory reports or following comments from third parties.</w:t>
      </w:r>
    </w:p>
    <w:p w14:paraId="656D75C7" w14:textId="77777777" w:rsidR="00977B34" w:rsidRPr="00364545" w:rsidRDefault="00977B34" w:rsidP="00BE086C">
      <w:pPr>
        <w:pStyle w:val="ListParagraph"/>
        <w:numPr>
          <w:ilvl w:val="0"/>
          <w:numId w:val="31"/>
        </w:numPr>
        <w:jc w:val="left"/>
      </w:pPr>
      <w:r w:rsidRPr="00364545">
        <w:t>Exchanges and bi- and multi-lateral actions with foreign organisations and experts responsible for carrying out national inventories. The conduct of full and thorough reviews by third parties faces the dual challenge of the availability of the required skills and resources. In this respect, bilateral operations between experts from two countries limited to certain sectors and/or pollutants are approaches that combine benefits and greater ease of implementation. Such an exercise was carried out in July 2008 between French and British experts for the agriculture sector and at the end of 2013/beginning of 2014 between French and German experts for fluorinated gas emissions.</w:t>
      </w:r>
    </w:p>
    <w:p w14:paraId="334C3D05" w14:textId="77777777" w:rsidR="00977B34" w:rsidRPr="00364545" w:rsidRDefault="00977B34" w:rsidP="00977B34"/>
    <w:p w14:paraId="0ECDA79C" w14:textId="77777777" w:rsidR="00977B34" w:rsidRPr="00364545" w:rsidRDefault="00977B34" w:rsidP="00977B34">
      <w:r w:rsidRPr="00364545">
        <w:t>The information collected is fed into a tool dedicated to recording and monitoring the correction of identified non-conformities and planned improvements, called IQSN</w:t>
      </w:r>
      <w:r w:rsidRPr="00364545">
        <w:rPr>
          <w:rStyle w:val="FootnoteReference"/>
        </w:rPr>
        <w:footnoteReference w:id="19"/>
      </w:r>
      <w:r w:rsidRPr="00364545">
        <w:t xml:space="preserve">. This tool is systematically consulted by all authors of calculation sheets and reports when they are updated and the completion of the planned actions is recorded and checked by their verifier. </w:t>
      </w:r>
    </w:p>
    <w:p w14:paraId="02A3C765" w14:textId="77777777" w:rsidR="00977B34" w:rsidRPr="00364545" w:rsidRDefault="00977B34" w:rsidP="00977B34">
      <w:r w:rsidRPr="00364545">
        <w:t>This information helps to improve subsequent editions of the inventories depending on the impact of the change in terms of the difference in estimates and the resources and time needed to obtain the data and/or implement alternative methods.</w:t>
      </w:r>
    </w:p>
    <w:p w14:paraId="60251840" w14:textId="77777777" w:rsidR="00977B34" w:rsidRPr="00364545" w:rsidRDefault="00977B34" w:rsidP="00977B34">
      <w:pPr>
        <w:rPr>
          <w:rFonts w:eastAsiaTheme="majorEastAsia"/>
        </w:rPr>
      </w:pPr>
    </w:p>
    <w:p w14:paraId="0A202FB0" w14:textId="575CD82A" w:rsidR="00977B34" w:rsidRPr="00364545" w:rsidRDefault="00977B34" w:rsidP="003F57EA">
      <w:pPr>
        <w:pStyle w:val="Titre3Niveau3"/>
      </w:pPr>
      <w:bookmarkStart w:id="438" w:name="_Toc120568048"/>
      <w:bookmarkStart w:id="439" w:name="_Toc138341818"/>
      <w:r w:rsidRPr="00364545">
        <w:t>Description of the official validation procedure of the inventory</w:t>
      </w:r>
      <w:bookmarkEnd w:id="438"/>
      <w:bookmarkEnd w:id="439"/>
    </w:p>
    <w:p w14:paraId="0FD234A7" w14:textId="77777777" w:rsidR="00977B34" w:rsidRPr="00364545" w:rsidRDefault="00977B34" w:rsidP="00977B34">
      <w:r w:rsidRPr="00364545">
        <w:t>In accordance with the responsibilities described above, the GCIIE validates the methodological changes in the submission of the national inventory report for year n+2, in October of year n+1. It then validates the results of the inventory in December of year n+1.</w:t>
      </w:r>
    </w:p>
    <w:p w14:paraId="0E3AA99C" w14:textId="77777777" w:rsidR="00977B34" w:rsidRPr="00364545" w:rsidRDefault="00977B34" w:rsidP="00BE086C">
      <w:pPr>
        <w:pStyle w:val="Titre2Niveau2"/>
        <w:jc w:val="left"/>
      </w:pPr>
      <w:bookmarkStart w:id="440" w:name="_Toc120568049"/>
      <w:bookmarkStart w:id="441" w:name="_Toc138341819"/>
      <w:r w:rsidRPr="00364545">
        <w:t>National register</w:t>
      </w:r>
      <w:bookmarkEnd w:id="440"/>
      <w:bookmarkEnd w:id="441"/>
    </w:p>
    <w:p w14:paraId="7B898F53" w14:textId="77777777" w:rsidR="00977B34" w:rsidRPr="00364545" w:rsidRDefault="00977B34" w:rsidP="00977B34">
      <w:r w:rsidRPr="00364545">
        <w:t>By decree no. 2004-1412 of 23 December 2004, the State entrusted Caisse des Dépôts with the management of a public service mission including the formal recording of actions by the environmental administrative police. This text was amended by Decree 2012-1343 of 3 December 2012, which integrates the changes in the European directives, in particular the replacement of national registers by a single system developed by the Commission, and which confirms the delegation of service entrusted to Caisse des Dépôts for the period 2013-2020.</w:t>
      </w:r>
    </w:p>
    <w:p w14:paraId="674C5232" w14:textId="77777777" w:rsidR="00977B34" w:rsidRPr="00364545" w:rsidRDefault="00977B34" w:rsidP="00977B34"/>
    <w:p w14:paraId="75FA297E" w14:textId="77777777" w:rsidR="00977B34" w:rsidRPr="00364545" w:rsidRDefault="00977B34" w:rsidP="00977B34">
      <w:r w:rsidRPr="00364545">
        <w:t xml:space="preserve">Caisse des Dépôts Group is a public group, a long-term investor at the service of the public interest and the economic development of the country. Caisse des Dépôts was designated by Decree No. 2004-1412 to administer the register and to develop information systems to operate the register and secure it. </w:t>
      </w:r>
    </w:p>
    <w:p w14:paraId="1916C51B" w14:textId="77777777" w:rsidR="00977B34" w:rsidRPr="00364545" w:rsidRDefault="00977B34" w:rsidP="00977B34"/>
    <w:p w14:paraId="199459E1" w14:textId="6B440BEC" w:rsidR="00977B34" w:rsidRDefault="00977B34" w:rsidP="00977B34">
      <w:r w:rsidRPr="00364545">
        <w:t>Since the migration to the EU registry on 20 June 2012, the European Commission has been responsible for the provision, maintenance and security of the national registry information system for the commitments of European Member States as Parties to the Kyoto Protocol (KP registry) and as participants in the European Union Emissions Trading Scheme (EU-ETS) operated by the European Commission.</w:t>
      </w:r>
    </w:p>
    <w:p w14:paraId="2C8A4434" w14:textId="013768E8" w:rsidR="003B37D5" w:rsidRDefault="003B37D5" w:rsidP="00977B34"/>
    <w:p w14:paraId="27C108A9" w14:textId="77777777" w:rsidR="003B37D5" w:rsidRPr="000D1437" w:rsidRDefault="003B37D5" w:rsidP="003B37D5">
      <w:pPr>
        <w:suppressAutoHyphens/>
        <w:autoSpaceDE w:val="0"/>
        <w:autoSpaceDN w:val="0"/>
        <w:spacing w:before="40" w:after="80" w:line="220" w:lineRule="exact"/>
        <w:rPr>
          <w:rFonts w:eastAsia="SimSun"/>
          <w:color w:val="00B050"/>
          <w:szCs w:val="22"/>
          <w:lang w:val="en-IE" w:eastAsia="zh-CN"/>
        </w:rPr>
      </w:pPr>
      <w:r w:rsidRPr="000D1437">
        <w:rPr>
          <w:rFonts w:eastAsia="SimSun"/>
          <w:color w:val="00B050"/>
          <w:szCs w:val="22"/>
          <w:lang w:val="en-IE" w:eastAsia="zh-CN"/>
        </w:rPr>
        <w:t>This common registry is used for European policies such as EU ETS allowances, ESR-ESD allowances and LULUCF regulation. The same registry is also housing all requirements linked with the implementation of the Kyoto Protocol.</w:t>
      </w:r>
    </w:p>
    <w:p w14:paraId="45C03EDC" w14:textId="77777777" w:rsidR="003B37D5" w:rsidRPr="00364545" w:rsidRDefault="003B37D5" w:rsidP="00977B34"/>
    <w:p w14:paraId="6B48C1A3" w14:textId="77777777" w:rsidR="00977B34" w:rsidRPr="00364545" w:rsidRDefault="00977B34" w:rsidP="00BE086C">
      <w:pPr>
        <w:pStyle w:val="ListParagraph"/>
        <w:numPr>
          <w:ilvl w:val="0"/>
          <w:numId w:val="28"/>
        </w:numPr>
        <w:jc w:val="left"/>
        <w:rPr>
          <w:b/>
          <w:i/>
        </w:rPr>
      </w:pPr>
      <w:r w:rsidRPr="00364545">
        <w:rPr>
          <w:b/>
          <w:i/>
        </w:rPr>
        <w:t>Name and contact details of the registry administrator appointed by the Party to manage the national registry</w:t>
      </w:r>
    </w:p>
    <w:p w14:paraId="61396D32" w14:textId="0E9F9061" w:rsidR="00977B34" w:rsidRPr="00364545" w:rsidRDefault="00977B34" w:rsidP="00977B34">
      <w:pPr>
        <w:pStyle w:val="ListParagraph"/>
      </w:pPr>
      <w:r w:rsidRPr="00364545">
        <w:t>As of 1 January 2022, the keeper of the French register is:</w:t>
      </w:r>
    </w:p>
    <w:p w14:paraId="04C5C867" w14:textId="3B6F89BF" w:rsidR="00977B34" w:rsidRPr="00364545" w:rsidRDefault="00977B34" w:rsidP="00BE086C">
      <w:pPr>
        <w:pStyle w:val="ListParagraph"/>
        <w:numPr>
          <w:ilvl w:val="1"/>
          <w:numId w:val="28"/>
        </w:numPr>
        <w:jc w:val="left"/>
      </w:pPr>
      <w:r w:rsidRPr="00364545">
        <w:t>Mr Malick MBATH, +33 1 58 50 78 93, malick.mbath@caissedesdepots.fr</w:t>
      </w:r>
    </w:p>
    <w:p w14:paraId="32A5C281" w14:textId="77777777" w:rsidR="00977B34" w:rsidRPr="00364545" w:rsidRDefault="00977B34" w:rsidP="00BE086C">
      <w:pPr>
        <w:pStyle w:val="ListParagraph"/>
        <w:numPr>
          <w:ilvl w:val="0"/>
          <w:numId w:val="28"/>
        </w:numPr>
        <w:jc w:val="left"/>
        <w:rPr>
          <w:b/>
          <w:i/>
        </w:rPr>
      </w:pPr>
      <w:r w:rsidRPr="00364545">
        <w:rPr>
          <w:b/>
          <w:i/>
        </w:rPr>
        <w:t>Names of other Parties with whom the Party cooperates to manage their national registry through a consolidated system</w:t>
      </w:r>
    </w:p>
    <w:p w14:paraId="1C23935A" w14:textId="77777777" w:rsidR="00977B34" w:rsidRPr="00364545" w:rsidRDefault="00977B34" w:rsidP="00977B34">
      <w:pPr>
        <w:pStyle w:val="ListParagraph"/>
      </w:pPr>
      <w:r w:rsidRPr="00364545">
        <w:t xml:space="preserve">Since 20 June 2012, the national (and European) registers of the Member States of the European Union are managed using software developed, maintained and secured by the European Commission. </w:t>
      </w:r>
    </w:p>
    <w:p w14:paraId="1BD897EC" w14:textId="77777777" w:rsidR="00977B34" w:rsidRPr="00364545" w:rsidRDefault="00977B34" w:rsidP="00977B34">
      <w:pPr>
        <w:pStyle w:val="ListParagraph"/>
      </w:pPr>
    </w:p>
    <w:p w14:paraId="5F49035D" w14:textId="77777777" w:rsidR="00977B34" w:rsidRPr="00364545" w:rsidRDefault="00977B34" w:rsidP="00BE086C">
      <w:pPr>
        <w:pStyle w:val="ListParagraph"/>
        <w:numPr>
          <w:ilvl w:val="0"/>
          <w:numId w:val="28"/>
        </w:numPr>
        <w:jc w:val="left"/>
        <w:rPr>
          <w:b/>
          <w:i/>
        </w:rPr>
      </w:pPr>
      <w:r w:rsidRPr="00364545">
        <w:rPr>
          <w:b/>
          <w:i/>
        </w:rPr>
        <w:t>Description of the database structure and capacity of the national register</w:t>
      </w:r>
    </w:p>
    <w:p w14:paraId="0F12DD55" w14:textId="77777777" w:rsidR="00977B34" w:rsidRPr="00364545" w:rsidRDefault="00977B34" w:rsidP="00977B34">
      <w:pPr>
        <w:pStyle w:val="ListParagraph"/>
      </w:pPr>
      <w:r w:rsidRPr="00364545">
        <w:t>Since 20 June 2012, there has only been one European register for all Member States. A full description of the single registry has been provided to the ITL (Independent Transaction Log) in the general and specific documentation for the start-up of the national EU registry and the consolidated national registries. The structure of the database, provided by the European Commission, is presented in Appendix A CSEUR.</w:t>
      </w:r>
    </w:p>
    <w:p w14:paraId="61C1B17C" w14:textId="77777777" w:rsidR="00977B34" w:rsidRPr="00364545" w:rsidRDefault="00977B34" w:rsidP="00977B34">
      <w:pPr>
        <w:pStyle w:val="ListParagraph"/>
      </w:pPr>
    </w:p>
    <w:p w14:paraId="5EC2D74F" w14:textId="77777777" w:rsidR="00977B34" w:rsidRPr="00364545" w:rsidRDefault="00977B34" w:rsidP="00BE086C">
      <w:pPr>
        <w:pStyle w:val="ListParagraph"/>
        <w:numPr>
          <w:ilvl w:val="0"/>
          <w:numId w:val="28"/>
        </w:numPr>
        <w:jc w:val="left"/>
        <w:rPr>
          <w:b/>
          <w:i/>
        </w:rPr>
      </w:pPr>
      <w:r w:rsidRPr="00364545">
        <w:rPr>
          <w:b/>
          <w:i/>
        </w:rPr>
        <w:t>Description of how the national registry complies with the Data Exchange Standard (DES) in order to ensure accurate, transparent exchange of information between national registries, the clean development mechanism registry and the transaction log (Decision 19/CP.7, paragraph 1)</w:t>
      </w:r>
    </w:p>
    <w:p w14:paraId="73CAD5CD" w14:textId="77777777" w:rsidR="00977B34" w:rsidRPr="00364545" w:rsidRDefault="00977B34" w:rsidP="00977B34">
      <w:pPr>
        <w:pStyle w:val="ListParagraph"/>
      </w:pPr>
      <w:r w:rsidRPr="00364545">
        <w:t>Since the IT migration in June 2012, the operations to bring the national registers of the EU Member States into line with the DES have been handled by the European Commission.</w:t>
      </w:r>
    </w:p>
    <w:p w14:paraId="47790D16" w14:textId="77777777" w:rsidR="00977B34" w:rsidRPr="00364545" w:rsidRDefault="00977B34" w:rsidP="00977B34">
      <w:pPr>
        <w:pStyle w:val="ListParagraph"/>
      </w:pPr>
    </w:p>
    <w:p w14:paraId="09F7E953" w14:textId="77777777" w:rsidR="00977B34" w:rsidRPr="00364545" w:rsidRDefault="00977B34" w:rsidP="00BE086C">
      <w:pPr>
        <w:pStyle w:val="ListParagraph"/>
        <w:numPr>
          <w:ilvl w:val="0"/>
          <w:numId w:val="28"/>
        </w:numPr>
        <w:jc w:val="left"/>
        <w:rPr>
          <w:b/>
          <w:i/>
        </w:rPr>
      </w:pPr>
      <w:r w:rsidRPr="00364545">
        <w:rPr>
          <w:b/>
          <w:i/>
        </w:rPr>
        <w:t>Internet address of the national register</w:t>
      </w:r>
    </w:p>
    <w:p w14:paraId="06BED0F3" w14:textId="77777777" w:rsidR="00977B34" w:rsidRPr="00364545" w:rsidRDefault="00977B34" w:rsidP="00977B34">
      <w:pPr>
        <w:pStyle w:val="ListParagraph"/>
      </w:pPr>
      <w:r w:rsidRPr="00364545">
        <w:t>The URL of the French part of the consolidated system is:</w:t>
      </w:r>
    </w:p>
    <w:p w14:paraId="6162ABCE" w14:textId="7464E649" w:rsidR="00977B34" w:rsidRPr="00364545" w:rsidRDefault="003714FB" w:rsidP="00977B34">
      <w:pPr>
        <w:pStyle w:val="ListParagraph"/>
      </w:pPr>
      <w:hyperlink r:id="rId83" w:history="1">
        <w:r w:rsidR="00630688" w:rsidRPr="00364545">
          <w:rPr>
            <w:rStyle w:val="Hyperlink"/>
          </w:rPr>
          <w:t>https://unionregistry.ec.europa.eu/euregistry/FR/index.xhtml;</w:t>
        </w:r>
      </w:hyperlink>
    </w:p>
    <w:p w14:paraId="2165DA26" w14:textId="77777777" w:rsidR="00977B34" w:rsidRPr="00364545" w:rsidRDefault="00977B34" w:rsidP="00977B34">
      <w:pPr>
        <w:pStyle w:val="ListParagraph"/>
      </w:pPr>
    </w:p>
    <w:p w14:paraId="5B6EB540" w14:textId="77777777" w:rsidR="00977B34" w:rsidRPr="00364545" w:rsidRDefault="00977B34" w:rsidP="00BE086C">
      <w:pPr>
        <w:pStyle w:val="ListParagraph"/>
        <w:numPr>
          <w:ilvl w:val="0"/>
          <w:numId w:val="28"/>
        </w:numPr>
        <w:jc w:val="left"/>
        <w:rPr>
          <w:b/>
          <w:i/>
        </w:rPr>
      </w:pPr>
      <w:r w:rsidRPr="00364545">
        <w:rPr>
          <w:b/>
          <w:i/>
        </w:rPr>
        <w:t>Internet address of the communication site of the national register</w:t>
      </w:r>
    </w:p>
    <w:p w14:paraId="5E4B9E28" w14:textId="284F51A5" w:rsidR="003B37D5" w:rsidRPr="00364545" w:rsidRDefault="00977B34" w:rsidP="00603F20">
      <w:pPr>
        <w:pStyle w:val="ListParagraph"/>
      </w:pPr>
      <w:r w:rsidRPr="00364545">
        <w:t xml:space="preserve">Since 9 January 2013, the website address for the communication and information of the register has been: </w:t>
      </w:r>
      <w:hyperlink r:id="rId84" w:history="1">
        <w:r w:rsidRPr="00364545">
          <w:rPr>
            <w:rStyle w:val="Hyperlink"/>
          </w:rPr>
          <w:t>https://www.seringas.caissedesdepots.fr</w:t>
        </w:r>
      </w:hyperlink>
    </w:p>
    <w:p w14:paraId="60E8C0D7" w14:textId="67F78D18" w:rsidR="00603F20" w:rsidRDefault="00603F20" w:rsidP="000D1437">
      <w:pPr>
        <w:pStyle w:val="ListParagraph"/>
      </w:pPr>
    </w:p>
    <w:p w14:paraId="1EECC5A3" w14:textId="2ABB49BF" w:rsidR="003B37D5" w:rsidRDefault="003B37D5" w:rsidP="000D1437"/>
    <w:p w14:paraId="64863971" w14:textId="77777777" w:rsidR="003B37D5" w:rsidRPr="003B37D5" w:rsidRDefault="003B37D5" w:rsidP="003B37D5">
      <w:pPr>
        <w:rPr>
          <w:lang w:val="en-IE"/>
        </w:rPr>
      </w:pPr>
      <w:r w:rsidRPr="003B37D5">
        <w:rPr>
          <w:lang w:val="en-IE"/>
        </w:rPr>
        <w:t>The achievement of the quantified emission limitation and reduction commitment under Article 3 of the Kyoto Protocol for France, is taken collectively through the European Union. With detailed policies (ETS,ESR) to achieve the targets. The EU and Member States are still in the process to prepare the implementation of the true up period to finalize the implementation of the Kyoto Protocol.</w:t>
      </w:r>
    </w:p>
    <w:p w14:paraId="6E08F5E8" w14:textId="77777777" w:rsidR="003B37D5" w:rsidRPr="003B37D5" w:rsidRDefault="003B37D5" w:rsidP="000D1437">
      <w:pPr>
        <w:sectPr w:rsidR="003B37D5" w:rsidRPr="003B37D5" w:rsidSect="00A8610E">
          <w:pgSz w:w="11906" w:h="16838" w:code="9"/>
          <w:pgMar w:top="1230" w:right="907" w:bottom="1650" w:left="1049" w:header="284" w:footer="284" w:gutter="0"/>
          <w:cols w:space="708"/>
          <w:titlePg/>
          <w:docGrid w:linePitch="360"/>
        </w:sectPr>
      </w:pPr>
    </w:p>
    <w:p w14:paraId="0C9CE0C3" w14:textId="49EA207E" w:rsidR="0051771F" w:rsidRPr="00364545" w:rsidRDefault="0051771F" w:rsidP="0062059A">
      <w:pPr>
        <w:pStyle w:val="Titre1Niveau1"/>
        <w:ind w:left="0" w:right="27"/>
      </w:pPr>
      <w:bookmarkStart w:id="442" w:name="_Toc138341820"/>
      <w:bookmarkStart w:id="443" w:name="ChapitreIV"/>
      <w:r w:rsidRPr="00364545">
        <w:t>Chapter IV - Policies and Measures</w:t>
      </w:r>
      <w:bookmarkEnd w:id="442"/>
    </w:p>
    <w:p w14:paraId="218454AF" w14:textId="272110EC" w:rsidR="00B23A9B" w:rsidRPr="00364545" w:rsidRDefault="00B23A9B" w:rsidP="00E524AF">
      <w:pPr>
        <w:pStyle w:val="Titre2Niveau2"/>
        <w:numPr>
          <w:ilvl w:val="0"/>
          <w:numId w:val="99"/>
        </w:numPr>
      </w:pPr>
      <w:bookmarkStart w:id="444" w:name="_Toc111839765"/>
      <w:bookmarkStart w:id="445" w:name="_Ref121425129"/>
      <w:bookmarkStart w:id="446" w:name="_Ref121425137"/>
      <w:bookmarkStart w:id="447" w:name="_Toc138341821"/>
      <w:bookmarkEnd w:id="443"/>
      <w:r w:rsidRPr="00364545">
        <w:t>The design of policies and measures</w:t>
      </w:r>
      <w:bookmarkEnd w:id="444"/>
      <w:bookmarkEnd w:id="445"/>
      <w:bookmarkEnd w:id="446"/>
      <w:bookmarkEnd w:id="447"/>
    </w:p>
    <w:p w14:paraId="3A9301E1" w14:textId="1ED1FE30" w:rsidR="00603F20" w:rsidRPr="00364545" w:rsidRDefault="00603F20" w:rsidP="003F57EA">
      <w:pPr>
        <w:pStyle w:val="Titre3Niveau3"/>
      </w:pPr>
      <w:bookmarkStart w:id="448" w:name="_Toc138341822"/>
      <w:r w:rsidRPr="00364545">
        <w:t>Institutional foundations</w:t>
      </w:r>
      <w:bookmarkEnd w:id="448"/>
    </w:p>
    <w:p w14:paraId="2E884298" w14:textId="72F97BF8" w:rsidR="00E77DC7" w:rsidRPr="00364545" w:rsidRDefault="00E77DC7" w:rsidP="00EF6DB6">
      <w:pPr>
        <w:pStyle w:val="Titre4niveau4"/>
      </w:pPr>
      <w:r w:rsidRPr="00364545">
        <w:t>At state level</w:t>
      </w:r>
    </w:p>
    <w:p w14:paraId="1086B03D" w14:textId="1A72A1B2" w:rsidR="00224F0C" w:rsidRPr="00364545" w:rsidRDefault="00224F0C" w:rsidP="00224F0C">
      <w:pPr>
        <w:pStyle w:val="BodyText"/>
        <w:rPr>
          <w:rFonts w:asciiTheme="minorHAnsi" w:hAnsiTheme="minorHAnsi"/>
          <w:sz w:val="22"/>
        </w:rPr>
      </w:pPr>
      <w:r w:rsidRPr="00364545">
        <w:rPr>
          <w:rFonts w:asciiTheme="minorHAnsi" w:hAnsiTheme="minorHAnsi"/>
          <w:sz w:val="22"/>
        </w:rPr>
        <w:t xml:space="preserve">In view of the climate crisis, the President of the Republic has committed France to ecological planning and has given the Prime Minister the strategic role of coordinating this initiative. Ecological planning is a societal movement to achieve our objectives on climate, biodiversity and the reduction of pollution, by mobilising all actors: the State, companies, local authorities. To successfully implement this initiative, in May 2022, the Prime Minister announced the creation of a General Secretariat for Ecological Planning. </w:t>
      </w:r>
      <w:r w:rsidRPr="00364545">
        <w:rPr>
          <w:sz w:val="22"/>
        </w:rPr>
        <w:t>It is responsible for:</w:t>
      </w:r>
      <w:r w:rsidRPr="00364545">
        <w:rPr>
          <w:rFonts w:asciiTheme="minorHAnsi" w:hAnsiTheme="minorHAnsi"/>
          <w:sz w:val="22"/>
        </w:rPr>
        <w:t xml:space="preserve"> </w:t>
      </w:r>
    </w:p>
    <w:p w14:paraId="4DABB9C8" w14:textId="7CA9EEAF" w:rsidR="00224F0C" w:rsidRPr="00364545" w:rsidRDefault="00224F0C" w:rsidP="00224F0C">
      <w:pPr>
        <w:pStyle w:val="ListParagraph"/>
        <w:numPr>
          <w:ilvl w:val="0"/>
          <w:numId w:val="6"/>
        </w:numPr>
        <w:spacing w:before="240" w:after="240"/>
      </w:pPr>
      <w:r w:rsidRPr="00364545">
        <w:t>coordinating the development of national strategies on climate, energy, biodiversity and the circular economy, ensuring that France's European and international commitments are met. Specifically, it ensures the sustainability of these strategies and their differentiation, in order to adapt to the specific characteristics of each region and to integrate economic and social issues;</w:t>
      </w:r>
    </w:p>
    <w:p w14:paraId="50031E0C" w14:textId="08A93C26" w:rsidR="00224F0C" w:rsidRPr="00364545" w:rsidRDefault="00224F0C" w:rsidP="00224F0C">
      <w:pPr>
        <w:pStyle w:val="ListParagraph"/>
        <w:numPr>
          <w:ilvl w:val="0"/>
          <w:numId w:val="6"/>
        </w:numPr>
        <w:spacing w:before="240" w:after="240"/>
      </w:pPr>
      <w:r w:rsidRPr="00364545">
        <w:t>ensuring that these strategies are implemented by all the ministries concerned and that they are translated into action plans;</w:t>
      </w:r>
    </w:p>
    <w:p w14:paraId="22A49DE2" w14:textId="5F7540DD" w:rsidR="00224F0C" w:rsidRPr="00364545" w:rsidRDefault="00224F0C" w:rsidP="00224F0C">
      <w:pPr>
        <w:pStyle w:val="ListParagraph"/>
        <w:numPr>
          <w:ilvl w:val="0"/>
          <w:numId w:val="6"/>
        </w:numPr>
        <w:spacing w:before="240" w:after="240"/>
      </w:pPr>
      <w:r w:rsidRPr="00364545">
        <w:t>ensuring regular evaluation of policies under these strategies and action plans and the publication of indicators to report on them;</w:t>
      </w:r>
    </w:p>
    <w:p w14:paraId="2049B3AE" w14:textId="30464DEE" w:rsidR="00224F0C" w:rsidRPr="00364545" w:rsidRDefault="00224F0C" w:rsidP="00224F0C">
      <w:pPr>
        <w:pStyle w:val="ListParagraph"/>
        <w:numPr>
          <w:ilvl w:val="0"/>
          <w:numId w:val="6"/>
        </w:numPr>
        <w:spacing w:before="240" w:after="240"/>
      </w:pPr>
      <w:r w:rsidRPr="00364545">
        <w:t>ensuring that all public policies are consistent with the above strategies;</w:t>
      </w:r>
    </w:p>
    <w:p w14:paraId="2D9E68C7" w14:textId="5DA4D4C5" w:rsidR="00224F0C" w:rsidRPr="00364545" w:rsidRDefault="00224F0C" w:rsidP="00A53B6B">
      <w:pPr>
        <w:pStyle w:val="ListParagraph"/>
        <w:numPr>
          <w:ilvl w:val="0"/>
          <w:numId w:val="6"/>
        </w:numPr>
        <w:spacing w:before="240" w:after="240"/>
        <w:rPr>
          <w:rFonts w:asciiTheme="minorHAnsi" w:hAnsiTheme="minorHAnsi"/>
        </w:rPr>
      </w:pPr>
      <w:r w:rsidRPr="00364545">
        <w:t>preparing and coordinating the Government's referrals and responses to the opinions of the High Council for the Climate.</w:t>
      </w:r>
    </w:p>
    <w:p w14:paraId="6815D9E5" w14:textId="5641A622" w:rsidR="00E77DC7" w:rsidRPr="00364545" w:rsidRDefault="00E77DC7" w:rsidP="00E77DC7">
      <w:pPr>
        <w:spacing w:before="240" w:after="240"/>
      </w:pPr>
      <w:r w:rsidRPr="00364545">
        <w:t>The Ministry of Ecological Transition and Territorial Cohesion (MTECT) and the Ministry of Energy Transition (MTE) are committed to meeting the environmental and climate challenges of the 21st century. The coordination and leadership of domestic climate change policy is the responsibility of the Climate and Energy Efficiency Service (SCEE) within the Directorate-General for Energy and Climate (DGEC), specifically through its Department for Combating the Greenhouse Effect (DLCES).</w:t>
      </w:r>
    </w:p>
    <w:p w14:paraId="3F37038F" w14:textId="0909C571" w:rsidR="00E77DC7" w:rsidRPr="00364545" w:rsidRDefault="00E77DC7" w:rsidP="00E77DC7">
      <w:pPr>
        <w:spacing w:before="240" w:after="240"/>
      </w:pPr>
      <w:r w:rsidRPr="00364545">
        <w:t>Regarding adaptation policy, the National Observatory on the Effects of Global Warming (Onerc), created on 21 February 2001 on the initiative of Parliament, is responsible for collecting and disseminating information on global warming and extreme climatic events. It forms part of the DGEC. . Onerc is the French focal point for the IPCC.</w:t>
      </w:r>
    </w:p>
    <w:p w14:paraId="540323BC" w14:textId="06A4AED4" w:rsidR="00E77DC7" w:rsidRPr="00364545" w:rsidRDefault="00E77DC7" w:rsidP="00E77DC7">
      <w:pPr>
        <w:spacing w:before="240" w:after="240"/>
      </w:pPr>
      <w:r w:rsidRPr="00364545">
        <w:t>Other ministries provide essential input to the implementation of national climate policy, including the Ministry of Agriculture and Food Sovereignty, the Ministry of Economy and Finance, and the Ministry of Higher Education and Research.</w:t>
      </w:r>
    </w:p>
    <w:p w14:paraId="401B32B6" w14:textId="38F248E2" w:rsidR="00E77DC7" w:rsidRPr="00364545" w:rsidRDefault="00E77DC7" w:rsidP="00E77DC7">
      <w:pPr>
        <w:spacing w:before="240" w:after="240"/>
      </w:pPr>
      <w:r w:rsidRPr="00364545">
        <w:t>Public bodies are also involved in the implementation of public climate policies. In particular, the French Agency for Ecological Transition (Ademe) provides businesses, local authorities, public authorities and the general public with its expertise and advice and assists in financing projects. The National Housing Agency (ANAH) supports and finances the energy efficiency improvements of the homes of the lowest-income households. Finally, the French Development Agency (AFD) works to implement France's climate funding in developing countries.</w:t>
      </w:r>
    </w:p>
    <w:p w14:paraId="6010861E" w14:textId="6A748644" w:rsidR="00224F0C" w:rsidRPr="00364545" w:rsidRDefault="00737A61" w:rsidP="00B95CF2">
      <w:pPr>
        <w:spacing w:before="240" w:after="240"/>
      </w:pPr>
      <w:r w:rsidRPr="00364545">
        <w:t xml:space="preserve">At the initiative of the President of the Republic, the decree of 14 May 2019 created the High Council for the Climate, an independent body responsible for advising political decision-makers on medium- and long-term guidelines and providing advice and recommendations on the implementation of policies and measures aimed at reducing national greenhouse gas emissions and assessing their consistency with France's climate targets. </w:t>
      </w:r>
    </w:p>
    <w:p w14:paraId="65844EF2" w14:textId="7F77317F" w:rsidR="00737A61" w:rsidRPr="00364545" w:rsidRDefault="001078BD" w:rsidP="00737A61">
      <w:pPr>
        <w:spacing w:before="240" w:after="240"/>
      </w:pPr>
      <w:r w:rsidRPr="00364545">
        <w:t>An Ecological Protection Council has also been set up, consisting of the ministers directly involved in environmental and climate issues, in order to coordinate the State's cross-cutting action on issues raised.</w:t>
      </w:r>
    </w:p>
    <w:p w14:paraId="72F8F498" w14:textId="1C865484" w:rsidR="00E77DC7" w:rsidRPr="00364545" w:rsidRDefault="00E77DC7" w:rsidP="00EF6DB6">
      <w:pPr>
        <w:pStyle w:val="Titre4niveau4"/>
      </w:pPr>
      <w:r w:rsidRPr="00364545">
        <w:t>At the local authority level</w:t>
      </w:r>
    </w:p>
    <w:p w14:paraId="7F033EF8" w14:textId="716FDEFB" w:rsidR="00206F95" w:rsidRPr="00364545" w:rsidRDefault="00E77DC7" w:rsidP="00E77DC7">
      <w:pPr>
        <w:spacing w:before="240" w:after="240"/>
      </w:pPr>
      <w:r w:rsidRPr="00364545">
        <w:t>Local and regional authorities, as public bodies, play an important role in the fight against climate change through their infrastructure, their direct operations and, more generally, by setting in motion the entire economic and social framework. Their local field of expertise and action includes, in particular, the management of transport policies, the promotion and support of the buildings refurbishment sector, and the development of the energy potential of their region through their economic and planning policies.</w:t>
      </w:r>
    </w:p>
    <w:p w14:paraId="2AC583E2" w14:textId="56D3BB71" w:rsidR="00E77DC7" w:rsidRPr="00364545" w:rsidRDefault="00E77DC7" w:rsidP="00E77DC7">
      <w:pPr>
        <w:spacing w:before="240" w:after="240"/>
      </w:pPr>
      <w:r w:rsidRPr="00364545">
        <w:t>The climate action of local authorities is based on regional planning tools: the Regional Schemes for Sustainable Development and Equality of the Regions (SRADDET), and the Regional Climate, Air and Energy Plans (PCAET) for inter-communal bodies with more than 20,000 inhabitants.</w:t>
      </w:r>
    </w:p>
    <w:p w14:paraId="4C71B29A" w14:textId="050F7257" w:rsidR="0045605C" w:rsidRPr="00364545" w:rsidRDefault="00E77DC7" w:rsidP="0045605C">
      <w:pPr>
        <w:spacing w:before="240" w:after="240"/>
      </w:pPr>
      <w:r w:rsidRPr="00364545">
        <w:t>The SRADDETs, introduced by the NOTRe law in 2016, incorporate several existing schemes, including the regional climate, air and energy schemes (SRCAE), the regional waste prevention and management plans and the regional transport/intermodality schemes. This is a comprehensive document covering planning, transport, energy and the fight against climate change, drawn up by the regions in cooperation with local authorities. The SRADDETs set the strategic guidelines and medium and long-term targets for each regional area, specifically in terms of mitigating and adapting to climate change, combating atmospheric pollution, controlling energy consumption and developing renewable and recovered energy, in line with national targets.</w:t>
      </w:r>
    </w:p>
    <w:p w14:paraId="20F3CD02" w14:textId="79D5FBAA" w:rsidR="00A95D87" w:rsidRPr="00364545" w:rsidRDefault="00A95D87" w:rsidP="00A95D87">
      <w:pPr>
        <w:spacing w:before="240" w:after="240"/>
      </w:pPr>
      <w:r w:rsidRPr="00364545">
        <w:t>The SRADDETs set the strategic guidelines and medium and long-term targets for each regional area, specifically in terms of mitigating and adapting to climate change, combating atmospheric pollution, controlling energy consumption and developing renewable and recovered energy, in line with national targets.</w:t>
      </w:r>
    </w:p>
    <w:p w14:paraId="1D2F2BB3" w14:textId="6A539353" w:rsidR="00605E4A" w:rsidRPr="00364545" w:rsidRDefault="00605E4A" w:rsidP="00A95D87">
      <w:pPr>
        <w:spacing w:before="240" w:after="240"/>
      </w:pPr>
      <w:r w:rsidRPr="00364545">
        <w:t>In the overseas departments, the regional development plan (SAR) is the main land use management planning tool for low-carbon planning.</w:t>
      </w:r>
    </w:p>
    <w:p w14:paraId="2347D45C" w14:textId="7F71C0A1" w:rsidR="00605E4A" w:rsidRPr="00364545" w:rsidRDefault="00605E4A" w:rsidP="00A95D87">
      <w:pPr>
        <w:spacing w:before="240" w:after="240"/>
      </w:pPr>
      <w:r w:rsidRPr="00364545">
        <w:t>SARs and SRADDETs are expected to reflect the national low-carbon strategy (SNBC).</w:t>
      </w:r>
    </w:p>
    <w:p w14:paraId="766151A3" w14:textId="5834F4F1" w:rsidR="00E77DC7" w:rsidRPr="00364545" w:rsidRDefault="00386BAA" w:rsidP="00386BAA">
      <w:pPr>
        <w:spacing w:before="240" w:after="240"/>
      </w:pPr>
      <w:r w:rsidRPr="00364545">
        <w:t>The PCAETs replace the earlier Regional Climate and Energy Plans (PCETs). Their implementation is required for intercommunal agencies representing  more than 20,000 inhabitants in existence on 1 January 2017. Until the end of 2016, the former PCETs only applied to communities with more than 50,000 inhabitants. The PCAET is a tool for the coordination of the area that defines strategic and operational targets in order to mitigate climate change, adapt to it, develop renewable energies and control energy use, in line with national and regional guidelines. It comprises a detailed study, a strategy and quantified targets, a action plan, and a monitoring and appraisal system.</w:t>
      </w:r>
      <w:r w:rsidR="009A642D" w:rsidRPr="00364545">
        <w:rPr>
          <w:rStyle w:val="FootnoteReference"/>
          <w:lang w:eastAsia="en-US"/>
        </w:rPr>
        <w:footnoteReference w:id="20"/>
      </w:r>
      <w:r w:rsidRPr="00364545">
        <w:t>.</w:t>
      </w:r>
    </w:p>
    <w:p w14:paraId="2138044D" w14:textId="2284121A" w:rsidR="00E77DC7" w:rsidRPr="004F2995" w:rsidRDefault="00E77DC7" w:rsidP="003F57EA">
      <w:pPr>
        <w:pStyle w:val="Titre3Niveau3"/>
        <w:rPr>
          <w:lang w:val="fr-FR"/>
        </w:rPr>
      </w:pPr>
      <w:bookmarkStart w:id="449" w:name="_Toc138341823"/>
      <w:r w:rsidRPr="004F2995">
        <w:rPr>
          <w:lang w:val="fr-FR"/>
        </w:rPr>
        <w:t>Les fondements de la politique climatique</w:t>
      </w:r>
      <w:bookmarkEnd w:id="449"/>
    </w:p>
    <w:p w14:paraId="3A831A8A" w14:textId="0CB8802A" w:rsidR="00070E9E" w:rsidRPr="00364545" w:rsidRDefault="00070E9E" w:rsidP="00070E9E">
      <w:pPr>
        <w:spacing w:before="240" w:after="240"/>
      </w:pPr>
      <w:r w:rsidRPr="00364545">
        <w:t>France's greenhouse gas emission reduction strategy has been tightened in recent years.</w:t>
      </w:r>
    </w:p>
    <w:p w14:paraId="1D19754C" w14:textId="3265BAEC" w:rsidR="00070E9E" w:rsidRPr="00364545" w:rsidRDefault="00070E9E" w:rsidP="00070E9E">
      <w:pPr>
        <w:spacing w:before="240" w:after="240"/>
      </w:pPr>
      <w:r w:rsidRPr="00364545">
        <w:t>During the 2000s, the establishment of policies to combat climate change was underpinned by successive Climate Plans.</w:t>
      </w:r>
    </w:p>
    <w:p w14:paraId="03C0CBC0" w14:textId="3C5C8B78" w:rsidR="00070E9E" w:rsidRPr="00364545" w:rsidRDefault="00070E9E" w:rsidP="00070E9E">
      <w:pPr>
        <w:spacing w:before="240" w:after="240"/>
      </w:pPr>
      <w:r w:rsidRPr="00364545">
        <w:t>In 2009 and 2010, France committed to reducing its greenhouse gas emissions by 2050 to quarter of their 1990 level (factor 4) through the Grenelle I and II laws.</w:t>
      </w:r>
    </w:p>
    <w:p w14:paraId="455F593A" w14:textId="02A5ABF4" w:rsidR="00070E9E" w:rsidRPr="00364545" w:rsidRDefault="00070E9E" w:rsidP="00070E9E">
      <w:pPr>
        <w:spacing w:before="240" w:after="240"/>
      </w:pPr>
      <w:r w:rsidRPr="00364545">
        <w:t>In 2015, the law on the energy transition for green growth (LTECV) set a target of a 40% reduction in greenhouse gas emissions by 2030 with respect to 1990 and confirmed the "factor 4". The LTECV also introduced the first National Low-Carbon Strategy ("Stratégie Nationale Bas-Carbone", SNBC), which defines the guidelines for combating climate change as well as carbon budgets, emission ceilings that must not be exceeded, which are set for five-year periods by decree. The first SNBC was issued in 2015.</w:t>
      </w:r>
    </w:p>
    <w:p w14:paraId="439282F3" w14:textId="28C2606C" w:rsidR="00C20383" w:rsidRPr="00364545" w:rsidRDefault="00C20383" w:rsidP="00C20383">
      <w:pPr>
        <w:spacing w:before="240" w:after="240"/>
      </w:pPr>
      <w:r w:rsidRPr="00364545">
        <w:t xml:space="preserve">The </w:t>
      </w:r>
      <w:r w:rsidRPr="00364545">
        <w:rPr>
          <w:b/>
          <w:bCs/>
        </w:rPr>
        <w:t>8 November 2019 law on energy and climate (LEC)</w:t>
      </w:r>
      <w:r w:rsidRPr="00364545">
        <w:t xml:space="preserve"> established in law the target of carbon neutrality by 2050, specifying that anthropogenic emissions must be reduced by a factor of at least 6, with residual emissions being offset by anthropogenic absorption. It confirms the 40% reduction in emissions by 2030 target . It also establishes a set of measures that address different areas of the energy transition, including the fight against thermal leakage in buildings and the creation or revision of instruments for steering, governing and assessing national climate policy.</w:t>
      </w:r>
    </w:p>
    <w:p w14:paraId="66B68741" w14:textId="43F9CC3A" w:rsidR="00C20383" w:rsidRPr="00364545" w:rsidRDefault="00C20383" w:rsidP="00C20383">
      <w:pPr>
        <w:spacing w:before="240" w:after="240"/>
      </w:pPr>
      <w:r w:rsidRPr="00364545">
        <w:t xml:space="preserve">The second </w:t>
      </w:r>
      <w:r w:rsidRPr="00364545">
        <w:rPr>
          <w:b/>
          <w:bCs/>
        </w:rPr>
        <w:t>National Low-Carbon Strategy (SNBC)</w:t>
      </w:r>
      <w:r w:rsidRPr="00364545">
        <w:t xml:space="preserve"> was enacted by Decree No. 2020-457 of 21 April 2020 This 2nd SNBC sets out to achieve carbon neutrality by 2050, while maintaining the 40% by 2030 compared to 1990 milestone. </w:t>
      </w:r>
    </w:p>
    <w:p w14:paraId="4AC345E9" w14:textId="50139154" w:rsidR="00070E9E" w:rsidRPr="00364545" w:rsidRDefault="00C20383" w:rsidP="00070E9E">
      <w:pPr>
        <w:spacing w:before="240" w:after="240"/>
      </w:pPr>
      <w:r w:rsidRPr="00364545">
        <w:t>This 2nd SNBC sets out to achieve carbon neutrality by 2050, while maintaining the milestone of 40% by 2030 compared to 1990.</w:t>
      </w:r>
      <w:r w:rsidRPr="00364545">
        <w:cr/>
      </w:r>
      <w:r w:rsidRPr="00364545">
        <w:br/>
        <w:t xml:space="preserve">The sectoral guidelines of the SNBC-2 have since been incorporated into legislation through papers, committing to long-term changes in each sector that emits GHGs in France: the law on the guidelines for mobility, the law on the fight against waste and the circular economy, the climate and resilience law (see Chapter 1 - A.2 Recent developments). </w:t>
      </w:r>
    </w:p>
    <w:p w14:paraId="0B40FA5B" w14:textId="6334EC6E" w:rsidR="00C20383" w:rsidRPr="00364545" w:rsidRDefault="00C20383" w:rsidP="00070E9E">
      <w:pPr>
        <w:spacing w:before="240" w:after="240"/>
        <w:rPr>
          <w:lang w:eastAsia="en-US"/>
        </w:rPr>
      </w:pPr>
    </w:p>
    <w:tbl>
      <w:tblPr>
        <w:tblStyle w:val="GridTable5Dark-Accent4"/>
        <w:tblW w:w="9588" w:type="dxa"/>
        <w:tblLook w:val="04A0" w:firstRow="1" w:lastRow="0" w:firstColumn="1" w:lastColumn="0" w:noHBand="0" w:noVBand="1"/>
      </w:tblPr>
      <w:tblGrid>
        <w:gridCol w:w="2689"/>
        <w:gridCol w:w="2299"/>
        <w:gridCol w:w="2300"/>
        <w:gridCol w:w="2300"/>
      </w:tblGrid>
      <w:tr w:rsidR="00C20383" w:rsidRPr="00364545" w14:paraId="1A834789" w14:textId="77777777" w:rsidTr="00A47B71">
        <w:trPr>
          <w:cnfStyle w:val="100000000000" w:firstRow="1" w:lastRow="0" w:firstColumn="0" w:lastColumn="0" w:oddVBand="0" w:evenVBand="0" w:oddHBand="0"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2689" w:type="dxa"/>
          </w:tcPr>
          <w:p w14:paraId="6E7159EA" w14:textId="6403892B" w:rsidR="00C20383" w:rsidRPr="00364545" w:rsidRDefault="00C20383" w:rsidP="00A845C2">
            <w:pPr>
              <w:jc w:val="center"/>
            </w:pPr>
            <w:r w:rsidRPr="00364545">
              <w:t>Average annual emissions (in Mt CO</w:t>
            </w:r>
            <w:r w:rsidRPr="00364545">
              <w:rPr>
                <w:vertAlign w:val="subscript"/>
              </w:rPr>
              <w:t>2eq</w:t>
            </w:r>
            <w:r w:rsidRPr="00364545">
              <w:t>)</w:t>
            </w:r>
          </w:p>
        </w:tc>
        <w:tc>
          <w:tcPr>
            <w:tcW w:w="2299" w:type="dxa"/>
          </w:tcPr>
          <w:p w14:paraId="0D935594" w14:textId="77777777" w:rsidR="00C20383" w:rsidRPr="00364545" w:rsidRDefault="00C20383" w:rsidP="00A845C2">
            <w:pPr>
              <w:jc w:val="center"/>
              <w:cnfStyle w:val="100000000000" w:firstRow="1" w:lastRow="0" w:firstColumn="0" w:lastColumn="0" w:oddVBand="0" w:evenVBand="0" w:oddHBand="0" w:evenHBand="0" w:firstRowFirstColumn="0" w:firstRowLastColumn="0" w:lastRowFirstColumn="0" w:lastRowLastColumn="0"/>
            </w:pPr>
            <w:r w:rsidRPr="00364545">
              <w:t>2nd carbon budget</w:t>
            </w:r>
          </w:p>
        </w:tc>
        <w:tc>
          <w:tcPr>
            <w:tcW w:w="2300" w:type="dxa"/>
          </w:tcPr>
          <w:p w14:paraId="6846D412" w14:textId="77777777" w:rsidR="00C20383" w:rsidRPr="00364545" w:rsidRDefault="00C20383" w:rsidP="00A845C2">
            <w:pPr>
              <w:jc w:val="center"/>
              <w:cnfStyle w:val="100000000000" w:firstRow="1" w:lastRow="0" w:firstColumn="0" w:lastColumn="0" w:oddVBand="0" w:evenVBand="0" w:oddHBand="0" w:evenHBand="0" w:firstRowFirstColumn="0" w:firstRowLastColumn="0" w:lastRowFirstColumn="0" w:lastRowLastColumn="0"/>
            </w:pPr>
            <w:r w:rsidRPr="00364545">
              <w:t>3</w:t>
            </w:r>
            <w:r w:rsidRPr="00364545">
              <w:rPr>
                <w:vertAlign w:val="superscript"/>
              </w:rPr>
              <w:t>ème</w:t>
            </w:r>
            <w:r w:rsidRPr="00364545">
              <w:t xml:space="preserve"> budget carbone</w:t>
            </w:r>
          </w:p>
        </w:tc>
        <w:tc>
          <w:tcPr>
            <w:tcW w:w="2300" w:type="dxa"/>
          </w:tcPr>
          <w:p w14:paraId="0042B76C" w14:textId="77777777" w:rsidR="00C20383" w:rsidRPr="00364545" w:rsidRDefault="00C20383" w:rsidP="00A845C2">
            <w:pPr>
              <w:jc w:val="center"/>
              <w:cnfStyle w:val="100000000000" w:firstRow="1" w:lastRow="0" w:firstColumn="0" w:lastColumn="0" w:oddVBand="0" w:evenVBand="0" w:oddHBand="0" w:evenHBand="0" w:firstRowFirstColumn="0" w:firstRowLastColumn="0" w:lastRowFirstColumn="0" w:lastRowLastColumn="0"/>
            </w:pPr>
            <w:r w:rsidRPr="00364545">
              <w:t>4</w:t>
            </w:r>
            <w:r w:rsidRPr="00364545">
              <w:rPr>
                <w:vertAlign w:val="superscript"/>
              </w:rPr>
              <w:t>ème</w:t>
            </w:r>
            <w:r w:rsidRPr="00364545">
              <w:t xml:space="preserve"> budget carbone</w:t>
            </w:r>
          </w:p>
        </w:tc>
      </w:tr>
      <w:tr w:rsidR="00C20383" w:rsidRPr="00364545" w14:paraId="073CAF8C" w14:textId="77777777" w:rsidTr="00A47B71">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689" w:type="dxa"/>
          </w:tcPr>
          <w:p w14:paraId="395C0712" w14:textId="77777777" w:rsidR="00C20383" w:rsidRPr="00364545" w:rsidRDefault="00C20383" w:rsidP="00A845C2">
            <w:pPr>
              <w:jc w:val="center"/>
            </w:pPr>
            <w:r w:rsidRPr="00364545">
              <w:t>Duration</w:t>
            </w:r>
          </w:p>
        </w:tc>
        <w:tc>
          <w:tcPr>
            <w:tcW w:w="2299" w:type="dxa"/>
          </w:tcPr>
          <w:p w14:paraId="1A881D82" w14:textId="77777777" w:rsidR="00C20383" w:rsidRPr="00364545" w:rsidRDefault="00C20383" w:rsidP="00A845C2">
            <w:pPr>
              <w:jc w:val="center"/>
              <w:cnfStyle w:val="000000100000" w:firstRow="0" w:lastRow="0" w:firstColumn="0" w:lastColumn="0" w:oddVBand="0" w:evenVBand="0" w:oddHBand="1" w:evenHBand="0" w:firstRowFirstColumn="0" w:firstRowLastColumn="0" w:lastRowFirstColumn="0" w:lastRowLastColumn="0"/>
            </w:pPr>
            <w:r w:rsidRPr="00364545">
              <w:t>2019-2023</w:t>
            </w:r>
          </w:p>
        </w:tc>
        <w:tc>
          <w:tcPr>
            <w:tcW w:w="2300" w:type="dxa"/>
          </w:tcPr>
          <w:p w14:paraId="72E0B35B" w14:textId="77777777" w:rsidR="00C20383" w:rsidRPr="00364545" w:rsidRDefault="00C20383" w:rsidP="00A845C2">
            <w:pPr>
              <w:jc w:val="center"/>
              <w:cnfStyle w:val="000000100000" w:firstRow="0" w:lastRow="0" w:firstColumn="0" w:lastColumn="0" w:oddVBand="0" w:evenVBand="0" w:oddHBand="1" w:evenHBand="0" w:firstRowFirstColumn="0" w:firstRowLastColumn="0" w:lastRowFirstColumn="0" w:lastRowLastColumn="0"/>
            </w:pPr>
            <w:r w:rsidRPr="00364545">
              <w:t>2024-2028</w:t>
            </w:r>
          </w:p>
        </w:tc>
        <w:tc>
          <w:tcPr>
            <w:tcW w:w="2300" w:type="dxa"/>
          </w:tcPr>
          <w:p w14:paraId="314D8D91" w14:textId="77777777" w:rsidR="00C20383" w:rsidRPr="00364545" w:rsidRDefault="00C20383" w:rsidP="00A845C2">
            <w:pPr>
              <w:jc w:val="center"/>
              <w:cnfStyle w:val="000000100000" w:firstRow="0" w:lastRow="0" w:firstColumn="0" w:lastColumn="0" w:oddVBand="0" w:evenVBand="0" w:oddHBand="1" w:evenHBand="0" w:firstRowFirstColumn="0" w:firstRowLastColumn="0" w:lastRowFirstColumn="0" w:lastRowLastColumn="0"/>
            </w:pPr>
            <w:r w:rsidRPr="00364545">
              <w:t>2029-2033</w:t>
            </w:r>
          </w:p>
        </w:tc>
      </w:tr>
      <w:tr w:rsidR="00C20383" w:rsidRPr="00364545" w14:paraId="4B829DA2" w14:textId="77777777" w:rsidTr="00A47B71">
        <w:trPr>
          <w:trHeight w:val="199"/>
        </w:trPr>
        <w:tc>
          <w:tcPr>
            <w:cnfStyle w:val="001000000000" w:firstRow="0" w:lastRow="0" w:firstColumn="1" w:lastColumn="0" w:oddVBand="0" w:evenVBand="0" w:oddHBand="0" w:evenHBand="0" w:firstRowFirstColumn="0" w:firstRowLastColumn="0" w:lastRowFirstColumn="0" w:lastRowLastColumn="0"/>
            <w:tcW w:w="2689" w:type="dxa"/>
          </w:tcPr>
          <w:p w14:paraId="3E27465B" w14:textId="77777777" w:rsidR="00C20383" w:rsidRPr="00364545" w:rsidRDefault="00C20383" w:rsidP="00A845C2">
            <w:pPr>
              <w:jc w:val="center"/>
            </w:pPr>
            <w:r w:rsidRPr="00364545">
              <w:t>Total excluding LULUCF</w:t>
            </w:r>
          </w:p>
        </w:tc>
        <w:tc>
          <w:tcPr>
            <w:tcW w:w="2299" w:type="dxa"/>
            <w:vAlign w:val="center"/>
          </w:tcPr>
          <w:p w14:paraId="03C2E941" w14:textId="77777777" w:rsidR="00C20383" w:rsidRPr="00364545" w:rsidRDefault="00C20383" w:rsidP="00A845C2">
            <w:pPr>
              <w:jc w:val="center"/>
              <w:cnfStyle w:val="000000000000" w:firstRow="0" w:lastRow="0" w:firstColumn="0" w:lastColumn="0" w:oddVBand="0" w:evenVBand="0" w:oddHBand="0" w:evenHBand="0" w:firstRowFirstColumn="0" w:firstRowLastColumn="0" w:lastRowFirstColumn="0" w:lastRowLastColumn="0"/>
            </w:pPr>
            <w:r w:rsidRPr="00364545">
              <w:t>421</w:t>
            </w:r>
          </w:p>
        </w:tc>
        <w:tc>
          <w:tcPr>
            <w:tcW w:w="2300" w:type="dxa"/>
            <w:vAlign w:val="center"/>
          </w:tcPr>
          <w:p w14:paraId="677B0E12" w14:textId="77777777" w:rsidR="00C20383" w:rsidRPr="00364545" w:rsidRDefault="00C20383" w:rsidP="00A845C2">
            <w:pPr>
              <w:jc w:val="center"/>
              <w:cnfStyle w:val="000000000000" w:firstRow="0" w:lastRow="0" w:firstColumn="0" w:lastColumn="0" w:oddVBand="0" w:evenVBand="0" w:oddHBand="0" w:evenHBand="0" w:firstRowFirstColumn="0" w:firstRowLastColumn="0" w:lastRowFirstColumn="0" w:lastRowLastColumn="0"/>
            </w:pPr>
            <w:r w:rsidRPr="00364545">
              <w:t>358</w:t>
            </w:r>
          </w:p>
        </w:tc>
        <w:tc>
          <w:tcPr>
            <w:tcW w:w="2300" w:type="dxa"/>
            <w:vAlign w:val="center"/>
          </w:tcPr>
          <w:p w14:paraId="76D7AFDD" w14:textId="77777777" w:rsidR="00C20383" w:rsidRPr="00364545" w:rsidRDefault="00C20383" w:rsidP="00A845C2">
            <w:pPr>
              <w:jc w:val="center"/>
              <w:cnfStyle w:val="000000000000" w:firstRow="0" w:lastRow="0" w:firstColumn="0" w:lastColumn="0" w:oddVBand="0" w:evenVBand="0" w:oddHBand="0" w:evenHBand="0" w:firstRowFirstColumn="0" w:firstRowLastColumn="0" w:lastRowFirstColumn="0" w:lastRowLastColumn="0"/>
            </w:pPr>
            <w:r w:rsidRPr="00364545">
              <w:t>299</w:t>
            </w:r>
          </w:p>
        </w:tc>
      </w:tr>
    </w:tbl>
    <w:p w14:paraId="33D6BF79" w14:textId="2DA81FE3" w:rsidR="00C20383" w:rsidRPr="00364545" w:rsidRDefault="00C20383" w:rsidP="0045532B">
      <w:pPr>
        <w:pStyle w:val="Caption"/>
      </w:pPr>
      <w:bookmarkStart w:id="450" w:name="_Toc123916501"/>
      <w:r w:rsidRPr="00364545">
        <w:t xml:space="preserve">Table </w:t>
      </w:r>
      <w:r w:rsidR="003714FB">
        <w:fldChar w:fldCharType="begin"/>
      </w:r>
      <w:r w:rsidR="003714FB">
        <w:instrText xml:space="preserve"> SEQ Tableau \* ARABIC </w:instrText>
      </w:r>
      <w:r w:rsidR="003714FB">
        <w:fldChar w:fldCharType="separate"/>
      </w:r>
      <w:r w:rsidR="009A2FAA">
        <w:rPr>
          <w:noProof/>
        </w:rPr>
        <w:t>9</w:t>
      </w:r>
      <w:r w:rsidR="003714FB">
        <w:rPr>
          <w:noProof/>
        </w:rPr>
        <w:fldChar w:fldCharType="end"/>
      </w:r>
      <w:r w:rsidRPr="00364545">
        <w:t>: 2</w:t>
      </w:r>
      <w:r w:rsidRPr="00364545">
        <w:rPr>
          <w:vertAlign w:val="superscript"/>
        </w:rPr>
        <w:t>nd</w:t>
      </w:r>
      <w:r w:rsidRPr="00364545">
        <w:t xml:space="preserve"> (2019-2023), 3</w:t>
      </w:r>
      <w:r w:rsidRPr="00364545">
        <w:rPr>
          <w:vertAlign w:val="superscript"/>
        </w:rPr>
        <w:t>rd</w:t>
      </w:r>
      <w:r w:rsidRPr="00364545">
        <w:t xml:space="preserve"> (2024-2028) and 4</w:t>
      </w:r>
      <w:r w:rsidRPr="00364545">
        <w:rPr>
          <w:vertAlign w:val="superscript"/>
        </w:rPr>
        <w:t>th</w:t>
      </w:r>
      <w:r w:rsidRPr="00364545">
        <w:t xml:space="preserve"> (2029-2033) carbon budgets</w:t>
      </w:r>
      <w:bookmarkEnd w:id="450"/>
    </w:p>
    <w:p w14:paraId="507C53C8" w14:textId="77777777" w:rsidR="00C20383" w:rsidRPr="00364545" w:rsidRDefault="00C20383" w:rsidP="0045532B">
      <w:pPr>
        <w:pStyle w:val="Caption"/>
      </w:pPr>
      <w:r w:rsidRPr="00364545">
        <w:t>Source: MTE-DGEC</w:t>
      </w:r>
    </w:p>
    <w:p w14:paraId="6CE61C80" w14:textId="611CB85E" w:rsidR="00C20383" w:rsidRPr="00364545" w:rsidRDefault="00C20383" w:rsidP="00C20383">
      <w:pPr>
        <w:pStyle w:val="NormalWeb"/>
      </w:pPr>
      <w:r w:rsidRPr="00364545">
        <w:t>For the record:</w:t>
      </w:r>
      <w:r w:rsidRPr="00364545">
        <w:rPr>
          <w:rFonts w:ascii="Marianne" w:hAnsi="Marianne"/>
        </w:rPr>
        <w:t xml:space="preserve"> The first SNBC-1 carbon budget that was approved by decree in 2015, covered the period 2015-2018. It was subject to technical adjustments in 2019 following changes in the GHG emissions accounting methodology. The adjusted budget is included in the SNBC2. </w:t>
      </w:r>
      <w:r w:rsidRPr="00364545">
        <w:t>The first adjusted carbon budget averaged 442 Mt CO</w:t>
      </w:r>
      <w:r w:rsidRPr="00364545">
        <w:rPr>
          <w:vertAlign w:val="subscript"/>
        </w:rPr>
        <w:t>2eq</w:t>
      </w:r>
      <w:r w:rsidRPr="00364545">
        <w:t xml:space="preserve"> per year, excluding emissions and absorptions associated with land use and forestry.</w:t>
      </w:r>
      <w:r w:rsidRPr="00364545">
        <w:rPr>
          <w:rFonts w:ascii="Marianne" w:hAnsi="Marianne"/>
        </w:rPr>
        <w:t xml:space="preserve"> </w:t>
      </w:r>
      <w:r w:rsidRPr="00364545">
        <w:t>The first carbon budget was exceeded by 61 Mt CO</w:t>
      </w:r>
      <w:r w:rsidRPr="00364545">
        <w:rPr>
          <w:vertAlign w:val="subscript"/>
        </w:rPr>
        <w:t>2eq</w:t>
      </w:r>
      <w:r w:rsidRPr="00364545">
        <w:t xml:space="preserve"> cumulatively over the period 2015-2018 (i.e. +3.4% over the whole period),  with an average annual deviation of +14%.</w:t>
      </w:r>
      <w:r w:rsidRPr="00364545">
        <w:rPr>
          <w:rFonts w:ascii="Marianne" w:hAnsi="Marianne"/>
        </w:rPr>
        <w:t xml:space="preserve"> Excluding LULUCF, emissions fell by an average of 1.1% per year between 2015 and 2018 (compared to the period 2011- 2014), which is lower than the target fall in the SNBC-1 of 1.9% per year. The indicative sectoral budgets were exceeded over the period of the first carbon budget in transportation, construction, agriculture and industry. They were met for energy conversion and waste. </w:t>
      </w:r>
    </w:p>
    <w:p w14:paraId="005F1E8B" w14:textId="52E053BC" w:rsidR="00C20383" w:rsidRPr="00364545" w:rsidRDefault="00C20383" w:rsidP="00C20383">
      <w:pPr>
        <w:spacing w:before="240" w:after="240"/>
        <w:jc w:val="center"/>
      </w:pPr>
      <w:r w:rsidRPr="00364545">
        <w:rPr>
          <w:noProof/>
          <w:lang w:val="fr-FR"/>
        </w:rPr>
        <w:drawing>
          <wp:inline distT="0" distB="0" distL="0" distR="0" wp14:anchorId="02F9293E" wp14:editId="2BAFF01D">
            <wp:extent cx="6318250" cy="2910205"/>
            <wp:effectExtent l="0" t="0" r="6350" b="4445"/>
            <wp:docPr id="28674" name="Image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18250" cy="2910205"/>
                    </a:xfrm>
                    <a:prstGeom prst="rect">
                      <a:avLst/>
                    </a:prstGeom>
                  </pic:spPr>
                </pic:pic>
              </a:graphicData>
            </a:graphic>
          </wp:inline>
        </w:drawing>
      </w:r>
    </w:p>
    <w:p w14:paraId="1942A7FA" w14:textId="3D072895" w:rsidR="00C20383" w:rsidRPr="00364545" w:rsidRDefault="00C20383" w:rsidP="0045532B">
      <w:pPr>
        <w:pStyle w:val="Caption"/>
      </w:pPr>
      <w:bookmarkStart w:id="451" w:name="_Toc123916458"/>
      <w:r w:rsidRPr="00364545">
        <w:t xml:space="preserve">Figure </w:t>
      </w:r>
      <w:r w:rsidR="003714FB">
        <w:fldChar w:fldCharType="begin"/>
      </w:r>
      <w:r w:rsidR="003714FB">
        <w:instrText xml:space="preserve"> SEQ Figure \* ARABIC </w:instrText>
      </w:r>
      <w:r w:rsidR="003714FB">
        <w:fldChar w:fldCharType="separate"/>
      </w:r>
      <w:r w:rsidR="009A2FAA">
        <w:rPr>
          <w:noProof/>
        </w:rPr>
        <w:t>47</w:t>
      </w:r>
      <w:r w:rsidR="003714FB">
        <w:rPr>
          <w:noProof/>
        </w:rPr>
        <w:fldChar w:fldCharType="end"/>
      </w:r>
      <w:r w:rsidRPr="00364545">
        <w:t>: Historic trends in GHG emissions excluding the land sector and carbon budgets up to 2033</w:t>
      </w:r>
      <w:bookmarkEnd w:id="451"/>
    </w:p>
    <w:p w14:paraId="27E2B6A6" w14:textId="54E04A9E" w:rsidR="00C20383" w:rsidRPr="00364545" w:rsidRDefault="00C20383" w:rsidP="0045532B">
      <w:pPr>
        <w:pStyle w:val="Caption"/>
      </w:pPr>
      <w:r w:rsidRPr="00364545">
        <w:t>Source: MTE-DGEC</w:t>
      </w:r>
    </w:p>
    <w:p w14:paraId="39B2335D" w14:textId="6633B810" w:rsidR="00603F20" w:rsidRPr="00364545" w:rsidRDefault="00D1605E" w:rsidP="0076544A">
      <w:pPr>
        <w:jc w:val="center"/>
      </w:pPr>
      <w:r w:rsidRPr="00364545">
        <w:rPr>
          <w:noProof/>
          <w:lang w:val="fr-FR"/>
        </w:rPr>
        <w:drawing>
          <wp:inline distT="0" distB="0" distL="0" distR="0" wp14:anchorId="692939AB" wp14:editId="33E89007">
            <wp:extent cx="6318250" cy="3915693"/>
            <wp:effectExtent l="0" t="0" r="6350" b="8890"/>
            <wp:docPr id="23" name="Image 23" descr="https://www.ecologie.gouv.fr/sites/default/files/Trajectoire%20et%20budgets%20carb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cologie.gouv.fr/sites/default/files/Trajectoire%20et%20budgets%20carbone.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18250" cy="3915693"/>
                    </a:xfrm>
                    <a:prstGeom prst="rect">
                      <a:avLst/>
                    </a:prstGeom>
                    <a:noFill/>
                    <a:ln>
                      <a:noFill/>
                    </a:ln>
                  </pic:spPr>
                </pic:pic>
              </a:graphicData>
            </a:graphic>
          </wp:inline>
        </w:drawing>
      </w:r>
    </w:p>
    <w:p w14:paraId="2CBF80A5" w14:textId="7852E8F6" w:rsidR="00603F20" w:rsidRPr="00364545" w:rsidRDefault="00603F20" w:rsidP="0045532B">
      <w:pPr>
        <w:pStyle w:val="Caption"/>
        <w:rPr>
          <w:noProof/>
        </w:rPr>
      </w:pPr>
      <w:bookmarkStart w:id="452" w:name="_Toc123916459"/>
      <w:r w:rsidRPr="00364545">
        <w:t xml:space="preserve">Figure </w:t>
      </w:r>
      <w:r w:rsidR="003714FB">
        <w:fldChar w:fldCharType="begin"/>
      </w:r>
      <w:r w:rsidR="003714FB">
        <w:instrText xml:space="preserve"> SEQ Figure \* ARABIC </w:instrText>
      </w:r>
      <w:r w:rsidR="003714FB">
        <w:fldChar w:fldCharType="separate"/>
      </w:r>
      <w:r w:rsidR="009A2FAA">
        <w:rPr>
          <w:noProof/>
        </w:rPr>
        <w:t>48</w:t>
      </w:r>
      <w:r w:rsidR="003714FB">
        <w:rPr>
          <w:noProof/>
        </w:rPr>
        <w:fldChar w:fldCharType="end"/>
      </w:r>
      <w:r w:rsidRPr="00364545">
        <w:t>: Linear emission reduction trajectory to achieve neutrality in 2050 and associated carbon budgets</w:t>
      </w:r>
      <w:bookmarkEnd w:id="452"/>
    </w:p>
    <w:p w14:paraId="114884C3" w14:textId="6DAD8129" w:rsidR="00734FD3" w:rsidRPr="00364545" w:rsidRDefault="00603F20" w:rsidP="0045532B">
      <w:pPr>
        <w:pStyle w:val="Caption"/>
      </w:pPr>
      <w:r w:rsidRPr="00364545">
        <w:t>Source: MTE-DGEC</w:t>
      </w:r>
    </w:p>
    <w:p w14:paraId="32126FB4" w14:textId="78132392" w:rsidR="00E77DC7" w:rsidRPr="00364545" w:rsidRDefault="00E77DC7" w:rsidP="00E77DC7">
      <w:pPr>
        <w:spacing w:before="240" w:after="240"/>
      </w:pPr>
      <w:r w:rsidRPr="00364545">
        <w:t>The SNBC complies with decision 1/COP16 of Cancun that in 2010 encouraged each developed country party to the UNFCCC to adopt a low-carbon development strategy (or low-carbon strategy) to present and evaluate the guidelines and measures contributing to the achievement of long-term national climate change mitigation objectives and with the provisions of Article 4, paragraph 19 of the Paris Agreement.</w:t>
      </w:r>
    </w:p>
    <w:p w14:paraId="43A7035E" w14:textId="1C2B9AF7" w:rsidR="00F91089" w:rsidRPr="00364545" w:rsidRDefault="000351CE" w:rsidP="00E77DC7">
      <w:pPr>
        <w:spacing w:before="240" w:after="240"/>
      </w:pPr>
      <w:r w:rsidRPr="00364545">
        <w:t>The SNBC is reviewed every 5 years, after considering the results achieved during the period covered by the carbon budget that has just elapsed. These reviews are an opportunity to adjust the trajectory and to define a new carbon budget, incorporating the new opportunities to boost ambitions and comply with the increased ambition decided at the COP21 in December 2015 and enshrined in the Paris Agreement.</w:t>
      </w:r>
    </w:p>
    <w:p w14:paraId="5907EA7E" w14:textId="75DE2BF7" w:rsidR="00C20383" w:rsidRPr="00364545" w:rsidRDefault="00C20383" w:rsidP="00C20383">
      <w:pPr>
        <w:spacing w:before="240" w:after="240"/>
      </w:pPr>
      <w:r w:rsidRPr="00364545">
        <w:t xml:space="preserve">Pursuant to the 2019 climate and energy law, the next review of the SNBC must be preceded by the enactment of </w:t>
      </w:r>
      <w:r w:rsidRPr="00364545">
        <w:rPr>
          <w:b/>
          <w:bCs/>
        </w:rPr>
        <w:t>a climate and energy planning law (LPEC)</w:t>
      </w:r>
      <w:r w:rsidRPr="00364545">
        <w:t xml:space="preserve"> which will set the priorities for action of France's climate and energy policy (I of Article L. 100-1 A). It must be enacted in 2023. It must stipulate:</w:t>
      </w:r>
    </w:p>
    <w:p w14:paraId="1FBBC99A" w14:textId="77777777" w:rsidR="00C20383" w:rsidRPr="00364545" w:rsidRDefault="00C20383" w:rsidP="00BE086C">
      <w:pPr>
        <w:numPr>
          <w:ilvl w:val="0"/>
          <w:numId w:val="15"/>
        </w:numPr>
        <w:spacing w:before="240" w:after="240"/>
      </w:pPr>
      <w:r w:rsidRPr="00364545">
        <w:t>For three successive 5-year periods, the greenhouse gas emission reduction targets;</w:t>
      </w:r>
    </w:p>
    <w:p w14:paraId="0231ED05" w14:textId="77777777" w:rsidR="00C20383" w:rsidRPr="00364545" w:rsidRDefault="00C20383" w:rsidP="00BE086C">
      <w:pPr>
        <w:numPr>
          <w:ilvl w:val="0"/>
          <w:numId w:val="15"/>
        </w:numPr>
        <w:spacing w:before="240" w:after="240"/>
      </w:pPr>
      <w:r w:rsidRPr="00364545">
        <w:t>For two successive 5-year periods, the targets:</w:t>
      </w:r>
    </w:p>
    <w:p w14:paraId="505E84A6" w14:textId="77777777" w:rsidR="00C20383" w:rsidRPr="00364545" w:rsidRDefault="00C20383" w:rsidP="00C20383">
      <w:pPr>
        <w:pStyle w:val="ListParagraph"/>
        <w:numPr>
          <w:ilvl w:val="1"/>
          <w:numId w:val="7"/>
        </w:numPr>
      </w:pPr>
      <w:r w:rsidRPr="00364545">
        <w:t>Reduction of end-use energy consumption and reduction of primary fossil energy consumption, by fossil energy, and the minimum and maximum levels of energy saving certificate requirements;</w:t>
      </w:r>
    </w:p>
    <w:p w14:paraId="5513B81C" w14:textId="77777777" w:rsidR="00C20383" w:rsidRPr="00364545" w:rsidRDefault="00C20383" w:rsidP="00C20383">
      <w:pPr>
        <w:pStyle w:val="ListParagraph"/>
        <w:numPr>
          <w:ilvl w:val="1"/>
          <w:numId w:val="7"/>
        </w:numPr>
      </w:pPr>
      <w:r w:rsidRPr="00364545">
        <w:t>Development of renewable energy for electricity, heat, fuel and gas as well as renewable and low-carbon hydrogen;</w:t>
      </w:r>
    </w:p>
    <w:p w14:paraId="708AF8EA" w14:textId="77777777" w:rsidR="00C20383" w:rsidRPr="00364545" w:rsidRDefault="00C20383" w:rsidP="00C20383">
      <w:pPr>
        <w:pStyle w:val="ListParagraph"/>
        <w:numPr>
          <w:ilvl w:val="1"/>
          <w:numId w:val="7"/>
        </w:numPr>
      </w:pPr>
      <w:r w:rsidRPr="00364545">
        <w:t>Diversification of the electricity generation mix;</w:t>
      </w:r>
    </w:p>
    <w:p w14:paraId="1E7C14AF" w14:textId="77777777" w:rsidR="00C20383" w:rsidRPr="00364545" w:rsidRDefault="00C20383" w:rsidP="00C20383">
      <w:pPr>
        <w:pStyle w:val="ListParagraph"/>
        <w:numPr>
          <w:ilvl w:val="1"/>
          <w:numId w:val="7"/>
        </w:numPr>
      </w:pPr>
      <w:r w:rsidRPr="00364545">
        <w:t>Energy efficiency improvements in the construction sector;</w:t>
      </w:r>
    </w:p>
    <w:p w14:paraId="193231CD" w14:textId="77777777" w:rsidR="00C20383" w:rsidRPr="00364545" w:rsidRDefault="00C20383" w:rsidP="00C20383">
      <w:pPr>
        <w:pStyle w:val="ListParagraph"/>
        <w:numPr>
          <w:ilvl w:val="1"/>
          <w:numId w:val="7"/>
        </w:numPr>
      </w:pPr>
      <w:r w:rsidRPr="00364545">
        <w:t>Achieving or maintaining energy self-sufficiency in overseas departments.</w:t>
      </w:r>
    </w:p>
    <w:p w14:paraId="35AD501A" w14:textId="77777777" w:rsidR="00C20383" w:rsidRPr="00364545" w:rsidRDefault="00C20383" w:rsidP="00C20383">
      <w:pPr>
        <w:spacing w:before="240" w:after="240"/>
      </w:pPr>
      <w:r w:rsidRPr="00364545">
        <w:t xml:space="preserve">The energy and climate policy planning documents (PPE (programmation pluriannuelle de l'énergie) and SNBC) will have to be brought into line with the guidelines of this law within a year. </w:t>
      </w:r>
    </w:p>
    <w:p w14:paraId="54E6CBFD" w14:textId="77777777" w:rsidR="00C20383" w:rsidRPr="00364545" w:rsidRDefault="00C20383" w:rsidP="00C20383">
      <w:pPr>
        <w:spacing w:before="240" w:after="240"/>
      </w:pPr>
      <w:r w:rsidRPr="00364545">
        <w:t>In this context, the French government has decided to</w:t>
      </w:r>
      <w:r w:rsidRPr="00364545">
        <w:rPr>
          <w:u w:val="single"/>
        </w:rPr>
        <w:t xml:space="preserve"> group together this law and the planning documents that will be approved at its conclusion</w:t>
      </w:r>
      <w:r w:rsidRPr="00364545">
        <w:t xml:space="preserve"> (in terms of mitigation: the SNBC, energy: the PPE, and adaptation: the PNACC (national plan for adaptation to climate change) </w:t>
      </w:r>
      <w:r w:rsidRPr="00364545">
        <w:rPr>
          <w:u w:val="single"/>
        </w:rPr>
        <w:t>under a single heading, the French Climate and Energy Strategy (SFEC)</w:t>
      </w:r>
      <w:r w:rsidRPr="00364545">
        <w:t xml:space="preserve">, which is more visible to the general public and makes it possible to deal with the challenges of decarbonisation in a coherent manner and to strengthen the necessary links between climate change mitigation and adaptation policies. </w:t>
      </w:r>
    </w:p>
    <w:p w14:paraId="0DC4DC5B" w14:textId="7D9A733D" w:rsidR="00E77DC7" w:rsidRPr="00364545" w:rsidRDefault="00E77DC7" w:rsidP="003F57EA">
      <w:pPr>
        <w:pStyle w:val="Titre3Niveau3"/>
      </w:pPr>
      <w:bookmarkStart w:id="453" w:name="_Toc138341824"/>
      <w:r w:rsidRPr="00364545">
        <w:t>Monitoring and evaluation of climate policy</w:t>
      </w:r>
      <w:bookmarkEnd w:id="453"/>
    </w:p>
    <w:p w14:paraId="146DA42C" w14:textId="704E5ED9" w:rsidR="006C6990" w:rsidRPr="00364545" w:rsidRDefault="006C6990" w:rsidP="00EF6DB6">
      <w:pPr>
        <w:pStyle w:val="Titre4niveau4"/>
      </w:pPr>
      <w:r w:rsidRPr="00364545">
        <w:t>Government-led monitoring</w:t>
      </w:r>
    </w:p>
    <w:p w14:paraId="5B9DC276" w14:textId="25D9CC2F" w:rsidR="0077167C" w:rsidRPr="00364545" w:rsidRDefault="00A47B71" w:rsidP="003B6A95">
      <w:pPr>
        <w:spacing w:before="240" w:after="240"/>
      </w:pPr>
      <w:r w:rsidRPr="00364545">
        <w:t>The National Low-Carbon Strategy is regularly reviewed on the basis of a set of 162 metrics, including both performance metrics (updated annually) and metrics for monitoring the SNBC's guidelines (updated every two years). Contextual and environmental indices (updated every two years) complete the set and allow the results to be put into context</w:t>
      </w:r>
      <w:r w:rsidRPr="00364545">
        <w:rPr>
          <w:rStyle w:val="FootnoteReference"/>
          <w:lang w:val="fr" w:eastAsia="en-US"/>
        </w:rPr>
        <w:footnoteReference w:id="21"/>
      </w:r>
      <w:r w:rsidRPr="00364545">
        <w:t>. These metrics enable trends to be analysed and their suitability for the targets to be assessed in order to recommend new measures, if necessary.</w:t>
      </w:r>
    </w:p>
    <w:p w14:paraId="06D360A6" w14:textId="33E9FB8E" w:rsidR="006C6990" w:rsidRPr="00364545" w:rsidRDefault="006C6990" w:rsidP="00EF6DB6">
      <w:pPr>
        <w:pStyle w:val="Titre4niveau4"/>
      </w:pPr>
      <w:r w:rsidRPr="00364545">
        <w:t>Government-led review</w:t>
      </w:r>
    </w:p>
    <w:p w14:paraId="48942669" w14:textId="3DAF59F8" w:rsidR="006C6990" w:rsidRPr="00364545" w:rsidRDefault="006C6990" w:rsidP="006C6990">
      <w:pPr>
        <w:pStyle w:val="NormalWeb"/>
        <w:rPr>
          <w:rFonts w:ascii="Marianne" w:hAnsi="Marianne"/>
          <w:sz w:val="24"/>
        </w:rPr>
      </w:pPr>
      <w:r w:rsidRPr="00364545">
        <w:rPr>
          <w:rFonts w:ascii="Marianne" w:hAnsi="Marianne"/>
        </w:rPr>
        <w:t xml:space="preserve">For each cycle, the </w:t>
      </w:r>
      <w:r w:rsidRPr="00364545">
        <w:rPr>
          <w:rStyle w:val="Strong"/>
          <w:rFonts w:ascii="Marianne" w:hAnsi="Marianne"/>
          <w:b w:val="0"/>
        </w:rPr>
        <w:t>National Low Carbon Strategy</w:t>
      </w:r>
      <w:r w:rsidRPr="00364545">
        <w:rPr>
          <w:rFonts w:ascii="Marianne" w:hAnsi="Marianne"/>
        </w:rPr>
        <w:t xml:space="preserve"> is subject to several supplementary reviews:</w:t>
      </w:r>
    </w:p>
    <w:p w14:paraId="76926E3F" w14:textId="2ECE5343" w:rsidR="006C6990" w:rsidRPr="00364545" w:rsidRDefault="006C6990" w:rsidP="003F57EA">
      <w:pPr>
        <w:numPr>
          <w:ilvl w:val="0"/>
          <w:numId w:val="82"/>
        </w:numPr>
        <w:spacing w:before="100" w:beforeAutospacing="1" w:after="100" w:afterAutospacing="1"/>
      </w:pPr>
      <w:r w:rsidRPr="00364545">
        <w:t xml:space="preserve">A </w:t>
      </w:r>
      <w:r w:rsidRPr="00364545">
        <w:rPr>
          <w:rStyle w:val="Strong"/>
        </w:rPr>
        <w:t>backward evaluation</w:t>
      </w:r>
      <w:r w:rsidRPr="00364545">
        <w:t xml:space="preserve"> of the SNBC at the end of the cycle is carried out to identify any deviation from the trajectory and target objectives and to assess the underlying causes. The backward evaluation of the SNBC1 conducted before the SNBC2 is included in chapter 1.2 of the </w:t>
      </w:r>
      <w:hyperlink r:id="rId87" w:tgtFrame="_blank" w:history="1">
        <w:r w:rsidRPr="00364545">
          <w:rPr>
            <w:rStyle w:val="Hyperlink"/>
          </w:rPr>
          <w:t>SNBC2</w:t>
        </w:r>
      </w:hyperlink>
      <w:r w:rsidRPr="00364545">
        <w:t>. This assessment provides useful feedback for a realistic understanding of the strategy review and its baseline scenario The backward evaluation of the SNBC2 (SNBC in force) will be made public in 2023 in accordance with the Climate and Resilience Act (Article 298);</w:t>
      </w:r>
    </w:p>
    <w:p w14:paraId="6A9C5A80" w14:textId="09EAAB8F" w:rsidR="006C6990" w:rsidRPr="00364545" w:rsidRDefault="006C6990" w:rsidP="003F57EA">
      <w:pPr>
        <w:numPr>
          <w:ilvl w:val="0"/>
          <w:numId w:val="82"/>
        </w:numPr>
        <w:spacing w:before="100" w:beforeAutospacing="1" w:after="100" w:afterAutospacing="1"/>
      </w:pPr>
      <w:r w:rsidRPr="00364545">
        <w:t xml:space="preserve">In accordance with Article </w:t>
      </w:r>
      <w:hyperlink r:id="rId88" w:tgtFrame="_blank" w:history="1">
        <w:r w:rsidRPr="00364545">
          <w:rPr>
            <w:rStyle w:val="Hyperlink"/>
          </w:rPr>
          <w:t>L. 222-1 D of the Environmental Code</w:t>
        </w:r>
      </w:hyperlink>
      <w:r w:rsidRPr="00364545">
        <w:t xml:space="preserve">, the draft revised SNBC is subject to a </w:t>
      </w:r>
      <w:r w:rsidRPr="00364545">
        <w:rPr>
          <w:rStyle w:val="Strong"/>
        </w:rPr>
        <w:t>future-oriented assessment</w:t>
      </w:r>
      <w:r w:rsidRPr="00364545">
        <w:t xml:space="preserve"> setting out how the draft carbon budget and low-carbon strategy integrate France's climate and energy targets as well as its European and international commitments. The future-oriented assessment drawn up on the basis of the draft SNBC2 is available on the </w:t>
      </w:r>
      <w:hyperlink r:id="rId89" w:tgtFrame="_blank" w:history="1">
        <w:r w:rsidRPr="00364545">
          <w:rPr>
            <w:rStyle w:val="Hyperlink"/>
          </w:rPr>
          <w:t>Ministry's website</w:t>
        </w:r>
      </w:hyperlink>
      <w:r w:rsidRPr="00364545">
        <w:t>. The future-oriented assessment of the planned SNBC (SNBC3) will be made public in 2024.</w:t>
      </w:r>
    </w:p>
    <w:p w14:paraId="09EC181C" w14:textId="77777777" w:rsidR="00B95CF2" w:rsidRPr="00364545" w:rsidRDefault="00B95CF2" w:rsidP="003F57EA">
      <w:pPr>
        <w:pStyle w:val="ListParagraph"/>
        <w:numPr>
          <w:ilvl w:val="0"/>
          <w:numId w:val="82"/>
        </w:numPr>
        <w:spacing w:before="240" w:after="240"/>
      </w:pPr>
      <w:r w:rsidRPr="00364545">
        <w:t>Finally, the first and second National Low-Carbon Strategies (NLCS) have been subject to a macro-economic assessment evaluating their economic and social impacts. The second SNBC was also subject to a strategic environmental assessment in order to evaluate its impact on the environment; the guidelines and metrics resulting from this assessment are incorporated into the SNBC2 and the monitoring guidelines.</w:t>
      </w:r>
    </w:p>
    <w:p w14:paraId="2CBBEFED" w14:textId="4DD2F284" w:rsidR="0077167C" w:rsidRPr="00364545" w:rsidRDefault="0077167C" w:rsidP="0077167C">
      <w:pPr>
        <w:spacing w:before="240" w:after="240"/>
      </w:pPr>
      <w:r w:rsidRPr="00364545">
        <w:t>Additionally, every year, the Government submits a report to Parliament, as an appendix to the Finance Bill, presenting a review of the public and private financial resources used to finance the ecological and energy transition and their suitability in relation to the financial resources required to meet European commitments, the Paris Agreement and the 2030 Agenda for Sustainable Development.</w:t>
      </w:r>
    </w:p>
    <w:p w14:paraId="5D52EAEE" w14:textId="50E12762" w:rsidR="0077167C" w:rsidRPr="00364545" w:rsidRDefault="0077167C" w:rsidP="0077167C">
      <w:pPr>
        <w:spacing w:before="240" w:after="240"/>
      </w:pPr>
      <w:r w:rsidRPr="00364545">
        <w:t>In the context of its European reporting requirements set out in Regulation (EU) 2018/1999 on the governance of the Energy Union and climate action, referred to as the "Governance" Regulation, every two years France sends the European Commission information on the measures adopted, introduced or planned to reduce its GHG emissions, assesses their impacts (on GHG emissions and, where possible, on costs) and describes the medium-term emission reduction prospects, specifically by means of a scenario that takes into account the measures already implemented. This information is available publicly.</w:t>
      </w:r>
    </w:p>
    <w:p w14:paraId="30AE85B9" w14:textId="3CE7F71A" w:rsidR="0077167C" w:rsidRPr="00364545" w:rsidRDefault="0077167C" w:rsidP="0077167C">
      <w:pPr>
        <w:spacing w:before="240" w:after="240"/>
      </w:pPr>
      <w:r w:rsidRPr="00364545">
        <w:t>Reviews of mitigation policies and measures published under the Governance Regulation are carried out by the DLCES. All assumptions, calculation methods and results of the reviews in terms of greenhouse gas emission reductions and costs are detailed in the reports submitted to the Commission</w:t>
      </w:r>
      <w:r w:rsidR="00854899" w:rsidRPr="00364545">
        <w:rPr>
          <w:rStyle w:val="FootnoteReference"/>
          <w:lang w:eastAsia="en-US"/>
        </w:rPr>
        <w:footnoteReference w:id="22"/>
      </w:r>
      <w:r w:rsidRPr="00364545">
        <w:t xml:space="preserve">. </w:t>
      </w:r>
    </w:p>
    <w:p w14:paraId="29FF7BDC" w14:textId="3167430F" w:rsidR="00B95CF2" w:rsidRPr="00364545" w:rsidRDefault="00B95CF2" w:rsidP="00EF6DB6">
      <w:pPr>
        <w:pStyle w:val="Titre4niveau4"/>
      </w:pPr>
      <w:r w:rsidRPr="00364545">
        <w:t>The review of government action by the High Council for Climate</w:t>
      </w:r>
    </w:p>
    <w:p w14:paraId="0270C7C9" w14:textId="77777777" w:rsidR="004012B9" w:rsidRPr="00364545" w:rsidRDefault="004012B9" w:rsidP="004012B9">
      <w:pPr>
        <w:spacing w:before="240" w:after="240"/>
        <w:rPr>
          <w:rFonts w:cs="Arial"/>
          <w:sz w:val="20"/>
          <w:szCs w:val="20"/>
        </w:rPr>
      </w:pPr>
      <w:r w:rsidRPr="00364545">
        <w:t>The High Climate Council (a body created by the 2019 Energy and Climate Act) is mandated to independently evaluate French climate action. Specifically, it submits:</w:t>
      </w:r>
    </w:p>
    <w:p w14:paraId="3BAD0DC3" w14:textId="2F7AFF57" w:rsidR="004012B9" w:rsidRPr="00364545" w:rsidRDefault="004012B9" w:rsidP="003F57EA">
      <w:pPr>
        <w:pStyle w:val="ListParagraph"/>
        <w:numPr>
          <w:ilvl w:val="0"/>
          <w:numId w:val="81"/>
        </w:numPr>
        <w:spacing w:after="200"/>
        <w:rPr>
          <w:rFonts w:cs="Arial"/>
          <w:sz w:val="20"/>
          <w:szCs w:val="20"/>
        </w:rPr>
      </w:pPr>
      <w:r w:rsidRPr="00364545">
        <w:rPr>
          <w:b/>
          <w:bCs/>
        </w:rPr>
        <w:t>each year</w:t>
      </w:r>
      <w:r w:rsidRPr="00364545">
        <w:t>, around 1 July, a report on compliance with the GHG emission reduction trajectory established in the NLCS and on the implementation of climate policies at national and regional level.</w:t>
      </w:r>
      <w:r w:rsidRPr="00364545">
        <w:rPr>
          <w:sz w:val="20"/>
        </w:rPr>
        <w:t xml:space="preserve"> The government must respond within 6 months (Article L. 132-4 of the Environmental Code);</w:t>
      </w:r>
    </w:p>
    <w:p w14:paraId="78F5BDF7" w14:textId="77777777" w:rsidR="004012B9" w:rsidRPr="00364545" w:rsidRDefault="004012B9" w:rsidP="003F57EA">
      <w:pPr>
        <w:pStyle w:val="ListParagraph"/>
        <w:numPr>
          <w:ilvl w:val="0"/>
          <w:numId w:val="81"/>
        </w:numPr>
        <w:spacing w:after="200"/>
        <w:rPr>
          <w:rFonts w:cs="Arial"/>
          <w:sz w:val="20"/>
          <w:szCs w:val="20"/>
        </w:rPr>
      </w:pPr>
      <w:r w:rsidRPr="00364545">
        <w:rPr>
          <w:b/>
          <w:bCs/>
          <w:sz w:val="20"/>
        </w:rPr>
        <w:t>every 3 years</w:t>
      </w:r>
      <w:r w:rsidRPr="00364545">
        <w:rPr>
          <w:sz w:val="20"/>
        </w:rPr>
        <w:t>, a report reviewing the performance of local and regional authorities in terms of reducing greenhouse gas emissions and adapting to climate change (Article 299 of the "climate and resilience" law). This review is made public and is subject to a response from the government, which is also made public;</w:t>
      </w:r>
    </w:p>
    <w:p w14:paraId="0685B28E" w14:textId="77777777" w:rsidR="004012B9" w:rsidRPr="00364545" w:rsidRDefault="004012B9" w:rsidP="003F57EA">
      <w:pPr>
        <w:pStyle w:val="ListParagraph"/>
        <w:numPr>
          <w:ilvl w:val="0"/>
          <w:numId w:val="81"/>
        </w:numPr>
        <w:spacing w:after="200"/>
        <w:rPr>
          <w:rFonts w:cs="Arial"/>
          <w:sz w:val="20"/>
          <w:szCs w:val="20"/>
        </w:rPr>
      </w:pPr>
      <w:r w:rsidRPr="00364545">
        <w:rPr>
          <w:sz w:val="20"/>
        </w:rPr>
        <w:t>at least every three years, deliver an opinion on the progress report on the adoption and implementation of roadmaps by the government's high-emission sectors (Article 301 of the Climate and Resilience Act).</w:t>
      </w:r>
    </w:p>
    <w:p w14:paraId="61847768" w14:textId="521FB4F2" w:rsidR="00A53B6B" w:rsidRPr="00364545" w:rsidRDefault="004012B9" w:rsidP="004012B9">
      <w:r w:rsidRPr="00364545">
        <w:rPr>
          <w:sz w:val="20"/>
        </w:rPr>
        <w:t>Its reports serve to ensure that the climate issue is kept at the centre of the political debate. They provide an independent perspective on the government's climate policy.</w:t>
      </w:r>
    </w:p>
    <w:p w14:paraId="3F05FE48" w14:textId="61C6752E" w:rsidR="00E77DC7" w:rsidRPr="00364545" w:rsidRDefault="00E77DC7" w:rsidP="003F57EA">
      <w:pPr>
        <w:pStyle w:val="Titre3Niveau3"/>
      </w:pPr>
      <w:bookmarkStart w:id="454" w:name="_Ref121425070"/>
      <w:bookmarkStart w:id="455" w:name="_Toc138341825"/>
      <w:r w:rsidRPr="00364545">
        <w:t>Implementing European policies</w:t>
      </w:r>
      <w:bookmarkEnd w:id="454"/>
      <w:bookmarkEnd w:id="455"/>
    </w:p>
    <w:p w14:paraId="645B3A73" w14:textId="10DEEC81" w:rsidR="00550099" w:rsidRPr="00364545" w:rsidRDefault="00550099" w:rsidP="00550099">
      <w:r w:rsidRPr="00364545">
        <w:t>France defines its climate action within the binding framework of the European Union's climate and energy targets and sectoral regulations.</w:t>
      </w:r>
    </w:p>
    <w:p w14:paraId="5323BE1E" w14:textId="77777777" w:rsidR="00550099" w:rsidRPr="00364545" w:rsidRDefault="00550099" w:rsidP="00550099">
      <w:pPr>
        <w:rPr>
          <w:lang w:eastAsia="en-US"/>
        </w:rPr>
      </w:pPr>
    </w:p>
    <w:p w14:paraId="1ADE3ACD" w14:textId="21E456E6" w:rsidR="00550099" w:rsidRPr="00364545" w:rsidRDefault="00550099" w:rsidP="00550099">
      <w:r w:rsidRPr="00364545">
        <w:t>Under the Green Pact for Europe, the European Union has set itself the objective of achieving climate neutrality by 2050 and has committed to accelerate its reduction of greenhouse gas emissions by 2030 by increasing it from -30% to at least -55% net compared to 1990 (including absorptions).</w:t>
      </w:r>
    </w:p>
    <w:p w14:paraId="1812796F" w14:textId="77777777" w:rsidR="00550099" w:rsidRPr="00364545" w:rsidRDefault="00550099" w:rsidP="00550099">
      <w:pPr>
        <w:rPr>
          <w:lang w:eastAsia="en-US"/>
        </w:rPr>
      </w:pPr>
    </w:p>
    <w:p w14:paraId="5A8288F6" w14:textId="0B92A0A0" w:rsidR="00550099" w:rsidRPr="00364545" w:rsidRDefault="00550099" w:rsidP="00550099">
      <w:r w:rsidRPr="00364545">
        <w:t>The European Climate Law (ECL) of July 2021 makes these European targets for 2030 and 2050 legally binding, while limiting the European carbon sink's contribution to the 2030 target to 225 MtCO</w:t>
      </w:r>
      <w:r w:rsidRPr="00364545">
        <w:rPr>
          <w:vertAlign w:val="subscript"/>
        </w:rPr>
        <w:t>2eq</w:t>
      </w:r>
      <w:r w:rsidRPr="00364545">
        <w:t xml:space="preserve"> (-2.2%), equivalent to the level expected under the current LULUCF regulation. </w:t>
      </w:r>
    </w:p>
    <w:p w14:paraId="7615C399" w14:textId="77777777" w:rsidR="00550099" w:rsidRPr="00364545" w:rsidRDefault="00550099" w:rsidP="00550099">
      <w:pPr>
        <w:rPr>
          <w:lang w:eastAsia="en-US"/>
        </w:rPr>
      </w:pPr>
    </w:p>
    <w:p w14:paraId="5CCD31F0" w14:textId="2D74D4D5" w:rsidR="00550099" w:rsidRPr="00364545" w:rsidRDefault="00550099" w:rsidP="00550099">
      <w:r w:rsidRPr="00364545">
        <w:t>This new and improved target was communicated to the UNFCCC on 18 December 2020 as part of the Nationally Determined Contribution (NDC) of the European Union and its Member States.</w:t>
      </w:r>
    </w:p>
    <w:p w14:paraId="1FD68776" w14:textId="77777777" w:rsidR="00550099" w:rsidRPr="00364545" w:rsidRDefault="00550099" w:rsidP="00550099">
      <w:pPr>
        <w:rPr>
          <w:lang w:eastAsia="en-US"/>
        </w:rPr>
      </w:pPr>
    </w:p>
    <w:p w14:paraId="4701A598" w14:textId="36D63AA9" w:rsidR="00550099" w:rsidRPr="00364545" w:rsidRDefault="00550099" w:rsidP="00550099">
      <w:r w:rsidRPr="00364545">
        <w:t>In July 2021, the European Commission published a legislative package called "Fit for 55", comprising 13 proposals for review, or new legislation with impact assessments, to align the EU's energy and climate framework with this new climate goal by 2030 and the achievement of a carbon neutral EU by 2050.</w:t>
      </w:r>
    </w:p>
    <w:p w14:paraId="0E5EDE0B" w14:textId="77777777" w:rsidR="00550099" w:rsidRPr="00364545" w:rsidRDefault="00550099" w:rsidP="00550099">
      <w:pPr>
        <w:rPr>
          <w:lang w:eastAsia="en-US"/>
        </w:rPr>
      </w:pPr>
    </w:p>
    <w:p w14:paraId="253A9728" w14:textId="1B78C1DD" w:rsidR="00550099" w:rsidRPr="00364545" w:rsidRDefault="00D00C02" w:rsidP="00550099">
      <w:r w:rsidRPr="00364545">
        <w:t xml:space="preserve">This "Fit for 55" package retains the previous climate-energy action framework based on the three following pillars, aligning their respective targets to this increased commitment: </w:t>
      </w:r>
    </w:p>
    <w:p w14:paraId="53C59253" w14:textId="047FEE15" w:rsidR="00550099" w:rsidRPr="00364545" w:rsidRDefault="00550099" w:rsidP="003F57EA">
      <w:pPr>
        <w:pStyle w:val="ListParagraph"/>
        <w:numPr>
          <w:ilvl w:val="0"/>
          <w:numId w:val="76"/>
        </w:numPr>
      </w:pPr>
      <w:r w:rsidRPr="00364545">
        <w:t>The European Union Emission Trading System (EU ETS) with an increased emission reduction target of -43% to -61% against 1990 (corresponding to an emission reduction of -64% for fixed industrial installations);</w:t>
      </w:r>
    </w:p>
    <w:p w14:paraId="49101BAE" w14:textId="1191667F" w:rsidR="00550099" w:rsidRPr="00364545" w:rsidRDefault="00550099" w:rsidP="003F57EA">
      <w:pPr>
        <w:pStyle w:val="ListParagraph"/>
        <w:numPr>
          <w:ilvl w:val="0"/>
          <w:numId w:val="76"/>
        </w:numPr>
      </w:pPr>
      <w:r w:rsidRPr="00364545">
        <w:t>The Effort Sharing Regulation (ESR) for member States, with an increased target of -30% to -40% compared to 2005 for agriculture, buildings, transport, waste and industry not covered by the historic EU ETS;</w:t>
      </w:r>
    </w:p>
    <w:p w14:paraId="2833F688" w14:textId="216F8715" w:rsidR="00550099" w:rsidRPr="00364545" w:rsidRDefault="00550099" w:rsidP="003F57EA">
      <w:pPr>
        <w:pStyle w:val="ListParagraph"/>
        <w:numPr>
          <w:ilvl w:val="0"/>
          <w:numId w:val="76"/>
        </w:numPr>
      </w:pPr>
      <w:r w:rsidRPr="00364545">
        <w:t>A framework for recording emissions and absorptions from the land and forestry sector ("LULUCF" regulation, Land Use, Land-Use Change and Forestry) with a target of 310 M tonnes of CO2 equivalent for the European carbon sink.</w:t>
      </w:r>
    </w:p>
    <w:p w14:paraId="5E9A4D06" w14:textId="77777777" w:rsidR="00550099" w:rsidRPr="00364545" w:rsidRDefault="00550099" w:rsidP="00550099">
      <w:pPr>
        <w:rPr>
          <w:lang w:eastAsia="en-US"/>
        </w:rPr>
      </w:pPr>
    </w:p>
    <w:p w14:paraId="6C858636" w14:textId="1FBADC18" w:rsidR="00550099" w:rsidRPr="00364545" w:rsidRDefault="00550099" w:rsidP="00550099">
      <w:r w:rsidRPr="00364545">
        <w:t>In addition to raising the overall reduction target, the EU is also reforming its European carbon market, specifically by expanding its remit to include maritime transport. It is also setting up a new European carbon market for energy consumption from road transport and construction. In order to mitigate the impact of this new carbon market, the European Union and its Member States are creating a Social Climate Fund (SCF) aimed at supporting the most disadvantaged households and micro-enterprises towards low carbon solutions.</w:t>
      </w:r>
    </w:p>
    <w:p w14:paraId="597AB868" w14:textId="77777777" w:rsidR="00550099" w:rsidRPr="00364545" w:rsidRDefault="00550099" w:rsidP="00550099">
      <w:r w:rsidRPr="00364545">
        <w:t>Complementing and supporting these climate tools are sectoral policies and measures that have also been further revised in the energy sector with more ambitious targets:</w:t>
      </w:r>
    </w:p>
    <w:p w14:paraId="5401521C" w14:textId="6C123FB7" w:rsidR="00550099" w:rsidRPr="00364545" w:rsidRDefault="00D00C02" w:rsidP="003F57EA">
      <w:pPr>
        <w:pStyle w:val="ListParagraph"/>
        <w:numPr>
          <w:ilvl w:val="0"/>
          <w:numId w:val="77"/>
        </w:numPr>
      </w:pPr>
      <w:r w:rsidRPr="00364545">
        <w:t>Increasing the share of renewable energy in gross final energy consumption from the current 32% to 40%;</w:t>
      </w:r>
    </w:p>
    <w:p w14:paraId="51B7DE54" w14:textId="384CF751" w:rsidR="00550099" w:rsidRPr="00364545" w:rsidRDefault="00D00C02" w:rsidP="003F57EA">
      <w:pPr>
        <w:pStyle w:val="ListParagraph"/>
        <w:numPr>
          <w:ilvl w:val="0"/>
          <w:numId w:val="77"/>
        </w:numPr>
      </w:pPr>
      <w:r w:rsidRPr="00364545">
        <w:t>Reducing the share of primary and final energy consumption from the current 32.5% to at least 36% of final energy consumption and 39% of primary energy consumption in comparison with the Baseline 2007 benchmark.</w:t>
      </w:r>
    </w:p>
    <w:p w14:paraId="65D86F99" w14:textId="77777777" w:rsidR="00D00C02" w:rsidRPr="00364545" w:rsidRDefault="00D00C02" w:rsidP="00550099">
      <w:pPr>
        <w:rPr>
          <w:lang w:eastAsia="en-US"/>
        </w:rPr>
      </w:pPr>
    </w:p>
    <w:p w14:paraId="15D91469" w14:textId="1CC89484" w:rsidR="00550099" w:rsidRPr="00364545" w:rsidRDefault="00550099" w:rsidP="00550099">
      <w:r w:rsidRPr="00364545">
        <w:t>The "Fit for 55" package reviews energy legislation in the framework of the directives on renewable energies, energy efficiency and energy taxation, as well as transport (regulation on CO</w:t>
      </w:r>
      <w:r w:rsidRPr="00364545">
        <w:rPr>
          <w:vertAlign w:val="subscript"/>
        </w:rPr>
        <w:t>2</w:t>
      </w:r>
      <w:r w:rsidRPr="00364545">
        <w:t xml:space="preserve"> emission standards for light vehicles, alternative fuels in the various modes of transport). This body of legislation is intended to accelerate the decarbonisation of the European economy across all sectors so that Member States can achieve their climate targets. </w:t>
      </w:r>
    </w:p>
    <w:p w14:paraId="43F0B618" w14:textId="6B988AA5" w:rsidR="00550099" w:rsidRPr="00364545" w:rsidRDefault="00550099" w:rsidP="00550099">
      <w:r w:rsidRPr="00364545">
        <w:t>In order to ensure the continued competitiveness of sectors exposed to the risk of "carbon leakage", a cross-border carbon adjustment mechanism (CBCM) is created in pilot sectors (steel, cement, electricity, fertilisers, aluminium) and in line with the strengthened European carbon market, with an effective implementation date of 2026.</w:t>
      </w:r>
    </w:p>
    <w:p w14:paraId="30EB6759" w14:textId="627EF58C" w:rsidR="003E0B9A" w:rsidRPr="00364545" w:rsidRDefault="00550099" w:rsidP="00550099">
      <w:r w:rsidRPr="00364545">
        <w:t>These proposals are the subject of in-depth negotiations between the European Parliament and the Council of the European Union (Member States). Agreements have been reached to date on several texts (ESR, LULUCF, CO</w:t>
      </w:r>
      <w:r w:rsidRPr="00364545">
        <w:rPr>
          <w:vertAlign w:val="subscript"/>
        </w:rPr>
        <w:t>2</w:t>
      </w:r>
      <w:r w:rsidRPr="00364545">
        <w:t xml:space="preserve"> from vehicles, CBAM) under the Czech Presidency. Other documents should also be agreed soon (EU ETS, FSC, etc.). The final adoption of these legislative documents should be effective at the beginning of 2023.</w:t>
      </w:r>
    </w:p>
    <w:p w14:paraId="75778309" w14:textId="665AAC74" w:rsidR="00E56269" w:rsidRDefault="00B23A9B" w:rsidP="00E56269">
      <w:pPr>
        <w:pStyle w:val="Titre2Niveau2"/>
      </w:pPr>
      <w:bookmarkStart w:id="456" w:name="_Toc111839766"/>
      <w:bookmarkStart w:id="457" w:name="_Toc138341826"/>
      <w:r w:rsidRPr="00364545">
        <w:t>Policies and measures and their impacts</w:t>
      </w:r>
      <w:bookmarkEnd w:id="456"/>
      <w:bookmarkEnd w:id="457"/>
    </w:p>
    <w:p w14:paraId="3F96C0F9" w14:textId="4EA45C94" w:rsidR="00E56269" w:rsidRDefault="00E56269" w:rsidP="000D1437"/>
    <w:p w14:paraId="78D3D475" w14:textId="2A1504D4" w:rsidR="00E56269" w:rsidRDefault="00E56269" w:rsidP="000D1437">
      <w:r w:rsidRPr="00E56269">
        <w:t>In this section, priority is given to policies with the greatest impact</w:t>
      </w:r>
      <w:r>
        <w:t xml:space="preserve">. </w:t>
      </w:r>
      <w:r w:rsidRPr="00E56269">
        <w:t>These are the only ones that are evaluated</w:t>
      </w:r>
      <w:r>
        <w:t>.</w:t>
      </w:r>
    </w:p>
    <w:p w14:paraId="787EA498" w14:textId="07A3019A" w:rsidR="00E56269" w:rsidRDefault="006A4EFE" w:rsidP="000D1437">
      <w:r w:rsidRPr="006A4EFE">
        <w:t>The overall summary table of policies and measures by sector is available in BR5 CTF table 3. It also indicates the status of implementation.</w:t>
      </w:r>
    </w:p>
    <w:p w14:paraId="686F8F8C" w14:textId="6A7B91AF" w:rsidR="00393C4D" w:rsidRPr="00364545" w:rsidRDefault="00B23A9B" w:rsidP="003F57EA">
      <w:pPr>
        <w:pStyle w:val="Titre3Niveau3"/>
      </w:pPr>
      <w:bookmarkStart w:id="458" w:name="_Toc138341827"/>
      <w:r w:rsidRPr="00364545">
        <w:t>Transport</w:t>
      </w:r>
      <w:bookmarkEnd w:id="458"/>
    </w:p>
    <w:p w14:paraId="0BD196C0" w14:textId="5759FF88" w:rsidR="00393C4D" w:rsidRPr="00364545" w:rsidRDefault="00393C4D" w:rsidP="00F0578E">
      <w:r w:rsidRPr="00364545">
        <w:t>The transport sector is the leading source of greenhouse gas emissions in France, accounting for 30% of emissions in 2021 The challenges are particularly high for road transport, which accounts for 94% of the sector's emissions. Carbon dioxide (CO</w:t>
      </w:r>
      <w:r w:rsidRPr="00364545">
        <w:rPr>
          <w:vertAlign w:val="subscript"/>
        </w:rPr>
        <w:t>2</w:t>
      </w:r>
      <w:r w:rsidRPr="00364545">
        <w:t>) is the main greenhouse gas emitted by transport (96%), followed by fluorinated gases emitted by refrigeration and air conditioning systems (2.7%) and other greenhouse gases (1.3%) such as nitrous oxide (N</w:t>
      </w:r>
      <w:r w:rsidRPr="00364545">
        <w:rPr>
          <w:vertAlign w:val="subscript"/>
        </w:rPr>
        <w:t>2</w:t>
      </w:r>
      <w:r w:rsidRPr="00364545">
        <w:t>O) and methane (CH</w:t>
      </w:r>
      <w:r w:rsidRPr="00364545">
        <w:rPr>
          <w:vertAlign w:val="subscript"/>
        </w:rPr>
        <w:t>4</w:t>
      </w:r>
      <w:r w:rsidRPr="00364545">
        <w:t>), emitted in small quantities during combustion.</w:t>
      </w:r>
    </w:p>
    <w:p w14:paraId="0290FC8D" w14:textId="147F8766" w:rsidR="00393C4D" w:rsidRPr="00364545" w:rsidRDefault="00393C4D" w:rsidP="00EF6DB6">
      <w:pPr>
        <w:pStyle w:val="Titre4niveau4"/>
      </w:pPr>
      <w:r w:rsidRPr="00364545">
        <w:t>Measures to reduce CO</w:t>
      </w:r>
      <w:r w:rsidRPr="00364545">
        <w:rPr>
          <w:vertAlign w:val="subscript"/>
        </w:rPr>
        <w:t>2</w:t>
      </w:r>
      <w:r w:rsidRPr="00364545">
        <w:t xml:space="preserve"> emissions from transport</w:t>
      </w:r>
    </w:p>
    <w:p w14:paraId="0F355490" w14:textId="1562A85B" w:rsidR="00393C4D" w:rsidRPr="00364545" w:rsidRDefault="00393C4D" w:rsidP="00F0578E">
      <w:r w:rsidRPr="00364545">
        <w:t>The measures being implemented to reduce CO</w:t>
      </w:r>
      <w:r w:rsidRPr="00364545">
        <w:rPr>
          <w:vertAlign w:val="subscript"/>
        </w:rPr>
        <w:t>2</w:t>
      </w:r>
      <w:r w:rsidRPr="00364545">
        <w:t xml:space="preserve"> emissions from transport are designed to massively increase the share of low-emission vehicles in the fleet, improve the energy efficiency of vehicles, promote the development of biofuels, increase the occupancy rate of vehicles and support modal shift.</w:t>
      </w:r>
    </w:p>
    <w:p w14:paraId="0BF9D9A8" w14:textId="77777777" w:rsidR="00393C4D" w:rsidRPr="00364545" w:rsidRDefault="00393C4D" w:rsidP="00F0578E">
      <w:r w:rsidRPr="00364545">
        <w:t>The measures designed to reduce greenhouse gas emissions from transport have been improved since 2019, particularly in the framework of the Mobility Orientation Law and the Climate Resilience Law.</w:t>
      </w:r>
    </w:p>
    <w:p w14:paraId="55C44161" w14:textId="77777777" w:rsidR="00F0578E" w:rsidRPr="00364545" w:rsidRDefault="00F0578E" w:rsidP="00F0578E">
      <w:pPr>
        <w:rPr>
          <w:b/>
          <w:noProof/>
        </w:rPr>
      </w:pPr>
    </w:p>
    <w:p w14:paraId="0B1FB523" w14:textId="49E571AB" w:rsidR="00393C4D" w:rsidRPr="00364545" w:rsidRDefault="00393C4D" w:rsidP="00F0578E">
      <w:pPr>
        <w:rPr>
          <w:b/>
        </w:rPr>
      </w:pPr>
      <w:r w:rsidRPr="00364545">
        <w:rPr>
          <w:b/>
        </w:rPr>
        <w:t>The development of low-emission vehicles and the improvement of the energy efficiency of new road transport vehicles.</w:t>
      </w:r>
    </w:p>
    <w:p w14:paraId="0246779B" w14:textId="77777777" w:rsidR="00F0578E" w:rsidRPr="00364545" w:rsidRDefault="00F0578E" w:rsidP="00F0578E">
      <w:pPr>
        <w:rPr>
          <w:b/>
          <w:noProof/>
        </w:rPr>
      </w:pPr>
    </w:p>
    <w:p w14:paraId="5A74AE8B" w14:textId="5E8D2B8A" w:rsidR="00393C4D" w:rsidRPr="00364545" w:rsidRDefault="00393C4D" w:rsidP="00F0578E">
      <w:pPr>
        <w:rPr>
          <w:noProof/>
        </w:rPr>
      </w:pPr>
      <w:r w:rsidRPr="00364545">
        <w:t>The development of low-emission vehicles and the enhancement of the energy efficiency of new road transport vehicles</w:t>
      </w:r>
      <w:r w:rsidRPr="00364545">
        <w:cr/>
      </w:r>
      <w:r w:rsidRPr="00364545">
        <w:br/>
        <w:t>The National Low-Carbon Strategy (SNBC) aims to decarbonise vehicles by promoting the gradual electrification of the vehicle fleet for private cars and the development of a more diversified mix for heavy vehicles (electrification, including fuel cell solutions with green hydrogen, and the development of gas-powered vehicles with incentives for the development of renewable gas).</w:t>
      </w:r>
    </w:p>
    <w:p w14:paraId="68CC34E8" w14:textId="77777777" w:rsidR="00F0578E" w:rsidRPr="00364545" w:rsidRDefault="00F0578E" w:rsidP="00F0578E">
      <w:pPr>
        <w:rPr>
          <w:noProof/>
        </w:rPr>
      </w:pPr>
    </w:p>
    <w:p w14:paraId="4958F87E" w14:textId="54A40310" w:rsidR="00393C4D" w:rsidRPr="00364545" w:rsidRDefault="00393C4D" w:rsidP="00F0578E">
      <w:r w:rsidRPr="00364545">
        <w:t>The measures relating to the decarbonisation of vehicles are both legislative and regulatory (European regulations establishing CO</w:t>
      </w:r>
      <w:r w:rsidRPr="00364545">
        <w:rPr>
          <w:vertAlign w:val="subscript"/>
        </w:rPr>
        <w:t>2</w:t>
      </w:r>
      <w:r w:rsidRPr="00364545">
        <w:t xml:space="preserve"> emission performance standards for new vehicles, end-of-sale targets for new vehicles included in the Mobility Orientation Law and the Climate and Resilience Law, the obligation to incorporate low-emission vehicles when replacing the fleets of corporate bodies), fiscal and financial (in particular, purchase bonuses and conversion bonuses) and include measures to improve recharging infrastructures and the introduction of low-emission zones.</w:t>
      </w:r>
    </w:p>
    <w:p w14:paraId="7541C61F" w14:textId="77777777" w:rsidR="00393C4D" w:rsidRPr="00364545" w:rsidRDefault="00393C4D" w:rsidP="00393C4D">
      <w:pPr>
        <w:spacing w:before="240" w:after="240"/>
        <w:rPr>
          <w:b/>
          <w:i/>
          <w:u w:val="single"/>
        </w:rPr>
      </w:pPr>
      <w:r w:rsidRPr="00364545">
        <w:rPr>
          <w:b/>
          <w:i/>
          <w:u w:val="single"/>
        </w:rPr>
        <w:t>Private cars</w:t>
      </w:r>
    </w:p>
    <w:p w14:paraId="775A96FC" w14:textId="3AAB9590" w:rsidR="00393C4D" w:rsidRPr="00364545" w:rsidRDefault="00393C4D" w:rsidP="00F0578E">
      <w:r w:rsidRPr="00364545">
        <w:t>Successive EU regulations have imposed emission reduction targets on new car sales. An initial regulation in 2009, subsequently amended in 2014, required car manufacturers to lower the average CO</w:t>
      </w:r>
      <w:r w:rsidRPr="00364545">
        <w:rPr>
          <w:vertAlign w:val="subscript"/>
        </w:rPr>
        <w:t>2</w:t>
      </w:r>
      <w:r w:rsidRPr="00364545">
        <w:t xml:space="preserve"> emission limit for new passenger cars to 130 gCO</w:t>
      </w:r>
      <w:r w:rsidRPr="00364545">
        <w:rPr>
          <w:vertAlign w:val="subscript"/>
        </w:rPr>
        <w:t>2</w:t>
      </w:r>
      <w:r w:rsidRPr="00364545">
        <w:t>/km NEDC in 2015 and 95 gCO</w:t>
      </w:r>
      <w:r w:rsidRPr="00364545">
        <w:rPr>
          <w:vertAlign w:val="subscript"/>
        </w:rPr>
        <w:t>2</w:t>
      </w:r>
      <w:r w:rsidRPr="00364545">
        <w:t xml:space="preserve">/km NEDC in 2020 (this target being reflected in a WLTP value in 2021). European Regulation 2019/631 of 17 April 2019 includes a tightening of the targets set for car manufacturers with a 15% reduction in emissions after 2025 and 37.5% after 2030 compared to the 2021 target. In the context of the Adjustment to Target 55 package, the provisional agreement reached at European level includes emission reduction targets of 55% in 2030 and 100% in 2035 compared to the 2021 target, i.e. an end to the sale of new internal combustion engine cars in 2035. </w:t>
      </w:r>
    </w:p>
    <w:p w14:paraId="695F27F9" w14:textId="044796BD" w:rsidR="00393C4D" w:rsidRPr="00364545" w:rsidRDefault="00393C4D" w:rsidP="00F0578E">
      <w:pPr>
        <w:rPr>
          <w:noProof/>
        </w:rPr>
      </w:pPr>
      <w:r w:rsidRPr="00364545">
        <w:t>At national level, targets for the incorporation of low-emission vehicles (electric or plug-in hybrids) when replacing fleets have been set since 2015 for fleets managed by the State, its public bodies and local authorities, as well as for vehicle rental companies and taxi and chauffeur-driven car (VTC) operators. The Mobility Orientation Law (2019) has increased the targets to be achieved and introduced a new target for very low emission vehicles (electric or hydrogen) for public fleets and extended the scope of the measure to private companies directly or indirectly operating fleets of over 100 vehicles.</w:t>
      </w:r>
      <w:r w:rsidRPr="00364545">
        <w:rPr>
          <w:color w:val="FF0000"/>
        </w:rPr>
        <w:t xml:space="preserve"> </w:t>
      </w:r>
      <w:r w:rsidRPr="00364545">
        <w:t>The climate and resilience law has set an increase in the target for the purchase of low-emission vehicles when renewing fleets to 70% from 2026 for the State (instead of 50%), to 40% from 2025 and then 70% from 2030 for local authorities, and to 40% from 2027 and then 70% from 2030 for private fleets and fleet leasers with more than 100 vehicles. The transposition of the Clean Vehicles Directive (2019/1161) in 2021 has raised the targets for very low emission vehicles (electric or hydrogen) to 45% for the State from 2030 (instead of 37.4%) and to 40% for local authorities from 2030 (instead of 37.4%).</w:t>
      </w:r>
    </w:p>
    <w:p w14:paraId="496E7E5E" w14:textId="77777777" w:rsidR="00F0578E" w:rsidRPr="00364545" w:rsidRDefault="00F0578E" w:rsidP="00F0578E">
      <w:pPr>
        <w:rPr>
          <w:noProof/>
        </w:rPr>
      </w:pPr>
    </w:p>
    <w:p w14:paraId="028D60FD" w14:textId="3AE6EDD6" w:rsidR="00393C4D" w:rsidRPr="00364545" w:rsidRDefault="00393C4D" w:rsidP="00F0578E">
      <w:r w:rsidRPr="00364545">
        <w:t>At national level, the Climate Resilience Law sets a target of limiting sales of new private cars emitting more than 123 gCO</w:t>
      </w:r>
      <w:r w:rsidRPr="00364545">
        <w:rPr>
          <w:vertAlign w:val="subscript"/>
        </w:rPr>
        <w:t>2</w:t>
      </w:r>
      <w:r w:rsidRPr="00364545">
        <w:t>/km WLTP (95 gCO</w:t>
      </w:r>
      <w:r w:rsidRPr="00364545">
        <w:rPr>
          <w:vertAlign w:val="subscript"/>
        </w:rPr>
        <w:t>2</w:t>
      </w:r>
      <w:r w:rsidRPr="00364545">
        <w:t>/km NEDC) to no more than 5% by 1 January 2030.</w:t>
      </w:r>
    </w:p>
    <w:p w14:paraId="04CE821C" w14:textId="77777777" w:rsidR="00393C4D" w:rsidRPr="00364545" w:rsidRDefault="00393C4D" w:rsidP="00F0578E">
      <w:pPr>
        <w:rPr>
          <w:noProof/>
        </w:rPr>
      </w:pPr>
      <w:r w:rsidRPr="00364545">
        <w:t>Various tax and financial incentives are designed to encourage the purchase of low-emission vehicles. The Climate Resilience Law establishes the principle of maintaining support/incentives for the acquisition of clean vehicles until 2030, with the aim of adjusting these measures depending on the degree to which the objectives are achieved and the economic conditions.</w:t>
      </w:r>
    </w:p>
    <w:p w14:paraId="1BADCFD7" w14:textId="77777777" w:rsidR="00F0578E" w:rsidRPr="00364545" w:rsidRDefault="00F0578E" w:rsidP="00F0578E"/>
    <w:p w14:paraId="0162287F" w14:textId="3AD515B0" w:rsidR="00393C4D" w:rsidRPr="00364545" w:rsidRDefault="00393C4D" w:rsidP="00F0578E">
      <w:r w:rsidRPr="00364545">
        <w:t>The system of bonus-malus, which has been in place since 2008, is designed to reward, via a bonus, purchasers of new cars with the lowest CO</w:t>
      </w:r>
      <w:r w:rsidRPr="00364545">
        <w:rPr>
          <w:vertAlign w:val="subscript"/>
        </w:rPr>
        <w:t>2</w:t>
      </w:r>
      <w:r w:rsidRPr="00364545">
        <w:t xml:space="preserve"> emissions, and to penalise, via a tax penalty, those who opt for the highest-emission models. The values and thresholds are reviewed periodically to ensure that the incentive effect of the scheme is maintained. From 1 September 2022, the penalty will apply to vehicles emitting more than 128 gCO</w:t>
      </w:r>
      <w:r w:rsidRPr="00364545">
        <w:rPr>
          <w:vertAlign w:val="subscript"/>
        </w:rPr>
        <w:t>2</w:t>
      </w:r>
      <w:r w:rsidRPr="00364545">
        <w:t xml:space="preserve">/km (in the new WLTP cycle) and corresponds to an increase in the purchase price of between €50 and €40,000 (to a maximum of 50% of the purchase price including VAT of the vehicle). The higher the CO2 emissions of the model, the higher the penalty. A penalty on weight, starting at 1,800 kg, has also been in place since 1 January 2022 for internal combustion vehicles and plug-in hybrids with an urban electric range of less than 50 km. From 1 September 2022, the bonus for a new electric car is up to €6,000 for individuals and €4,000 for companies. If the purchase of a low-emission vehicle is combined with the scrapping of an old combustion engine vehicle, an extra bonus, known as the conversion bonus, will be paid. The subsidy for a new electric car is up to €5,000 for private individuals (subject to income and mileage requirements) and €2,500 for companies. </w:t>
      </w:r>
    </w:p>
    <w:p w14:paraId="79C34BF6" w14:textId="77777777" w:rsidR="00F0578E" w:rsidRPr="00364545" w:rsidRDefault="00F0578E" w:rsidP="00F0578E"/>
    <w:p w14:paraId="2DB83CB6" w14:textId="7A93236F" w:rsidR="00393C4D" w:rsidRPr="00364545" w:rsidRDefault="00393C4D" w:rsidP="00F0578E">
      <w:r w:rsidRPr="00364545">
        <w:t>For people living or working in a low-emission mobility zone (ZFE), access to which is restricted for the most polluting vehicles, the State grants an additional premium equivalent to any subsidy paid by the local authority, up to a maximum of €1,000.</w:t>
      </w:r>
    </w:p>
    <w:p w14:paraId="62F9AC2F" w14:textId="77777777" w:rsidR="00F0578E" w:rsidRPr="00364545" w:rsidRDefault="00F0578E" w:rsidP="00F0578E"/>
    <w:p w14:paraId="0FFDDFA0" w14:textId="342DFAC2" w:rsidR="00393C4D" w:rsidRPr="00364545" w:rsidRDefault="00393C4D" w:rsidP="00F0578E">
      <w:r w:rsidRPr="00364545">
        <w:t>A microcredit scheme for the acquisition of a clean vehicle allows people excluded from the traditional banking network to buy or rent a car, a van or a low-polluting two- or four-wheeled motor vehicle. Up to 50% of the loan is guaranteed by the State and varies depending on the household's income. Since 6 February 2022, the maximum amount of the loan is now €8,000, repayable over seven years, compared to the previous €5,000 repayable over five years. The microcredit can be combined with the green bonus and the conversion incentive.</w:t>
      </w:r>
    </w:p>
    <w:p w14:paraId="3E901CB9" w14:textId="77777777" w:rsidR="00F0578E" w:rsidRPr="00364545" w:rsidRDefault="00F0578E" w:rsidP="00F0578E"/>
    <w:p w14:paraId="1978BC7B" w14:textId="3A17CFEA" w:rsidR="00393C4D" w:rsidRPr="00364545" w:rsidRDefault="00393C4D" w:rsidP="00F0578E">
      <w:r w:rsidRPr="00364545">
        <w:t>An experiment of interest-free loans is planned for two years from 1 January 2023. It will be open to low-income households and micro-businesses living or working in an EPZ where air quality standards are exceeded, or in an intercommunal area bordering one, for the purchase or lease of low-emission vehicles. The loan can be for up to €30,000 (or €10,000 in the case of long-term lease or lease with purchase option) repayable over seven years (or the duration of the lease contract).</w:t>
      </w:r>
    </w:p>
    <w:p w14:paraId="47E3711E" w14:textId="614B4ED7" w:rsidR="00393C4D" w:rsidRPr="00364545" w:rsidRDefault="00393C4D" w:rsidP="00F0578E">
      <w:pPr>
        <w:rPr>
          <w:noProof/>
        </w:rPr>
      </w:pPr>
      <w:r w:rsidRPr="00364545">
        <w:t>The company car tax is an annual tax on company cars used for passenger transport, based on: CO</w:t>
      </w:r>
      <w:r w:rsidRPr="00364545">
        <w:rPr>
          <w:vertAlign w:val="subscript"/>
        </w:rPr>
        <w:t>2</w:t>
      </w:r>
      <w:r w:rsidRPr="00364545">
        <w:t xml:space="preserve"> emissions and the energy used as well as the year the car was put into service. Other tax incentives exist for low-emission company vehicles, such as an increase in the maximum depreciation amount and an allowance for the benefit in kind.</w:t>
      </w:r>
    </w:p>
    <w:p w14:paraId="60FDEFDD" w14:textId="77777777" w:rsidR="00F0578E" w:rsidRPr="00364545" w:rsidRDefault="00F0578E" w:rsidP="00F0578E">
      <w:pPr>
        <w:rPr>
          <w:noProof/>
        </w:rPr>
      </w:pPr>
    </w:p>
    <w:p w14:paraId="7B777774" w14:textId="71FBB93B" w:rsidR="00393C4D" w:rsidRPr="00364545" w:rsidRDefault="00393C4D" w:rsidP="00F0578E">
      <w:pPr>
        <w:rPr>
          <w:noProof/>
        </w:rPr>
      </w:pPr>
      <w:r w:rsidRPr="00364545">
        <w:t xml:space="preserve">The measures already implemented have led to a very rapid growth in the market share of electric and plug-in hybrid passenger cars in France. </w:t>
      </w:r>
    </w:p>
    <w:p w14:paraId="65BE5A79" w14:textId="106AFDFC" w:rsidR="00393C4D" w:rsidRPr="00364545" w:rsidRDefault="00393C4D" w:rsidP="00F0578E">
      <w:pPr>
        <w:rPr>
          <w:noProof/>
        </w:rPr>
      </w:pPr>
      <w:r w:rsidRPr="00364545">
        <w:t>As the following graph shows, the market share of electric cars has grown rapidly from 1.9% market share in 2019 to 9.7% in 2021 and 12.7% in the first ten months of 2022. In 2021, 164,000 electric cars were sold in France The market share of plug-in hybrids also increased from 0.8% in 2019 to 8.3% in 2021 before dropping slightly to 7.9% in the first ten months of 2022.</w:t>
      </w:r>
    </w:p>
    <w:p w14:paraId="739E69E9" w14:textId="77777777" w:rsidR="00F0578E" w:rsidRPr="00364545" w:rsidRDefault="00F0578E" w:rsidP="00F0578E">
      <w:pPr>
        <w:rPr>
          <w:noProof/>
        </w:rPr>
      </w:pPr>
    </w:p>
    <w:p w14:paraId="52A1C34D" w14:textId="77777777" w:rsidR="00393C4D" w:rsidRPr="00364545" w:rsidRDefault="00393C4D" w:rsidP="00393C4D">
      <w:pPr>
        <w:jc w:val="center"/>
        <w:rPr>
          <w:rFonts w:ascii="CIDFont+F1" w:eastAsiaTheme="minorHAnsi" w:hAnsi="CIDFont+F1" w:cs="CIDFont+F1"/>
          <w:sz w:val="20"/>
          <w:szCs w:val="20"/>
        </w:rPr>
      </w:pPr>
      <w:r w:rsidRPr="00364545">
        <w:rPr>
          <w:rFonts w:ascii="CIDFont+F1" w:hAnsi="CIDFont+F1"/>
          <w:noProof/>
          <w:sz w:val="20"/>
          <w:lang w:val="fr-FR"/>
        </w:rPr>
        <w:drawing>
          <wp:inline distT="0" distB="0" distL="0" distR="0" wp14:anchorId="429CA714" wp14:editId="0EC28EF9">
            <wp:extent cx="5817210" cy="2849245"/>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29033" cy="2855036"/>
                    </a:xfrm>
                    <a:prstGeom prst="rect">
                      <a:avLst/>
                    </a:prstGeom>
                    <a:noFill/>
                  </pic:spPr>
                </pic:pic>
              </a:graphicData>
            </a:graphic>
          </wp:inline>
        </w:drawing>
      </w:r>
    </w:p>
    <w:p w14:paraId="66C4BEB1" w14:textId="4C5AF488" w:rsidR="00571533" w:rsidRPr="00364545" w:rsidRDefault="00571533" w:rsidP="00571533">
      <w:pPr>
        <w:pStyle w:val="FootnoteText"/>
        <w:rPr>
          <w:rFonts w:eastAsiaTheme="minorHAnsi"/>
        </w:rPr>
      </w:pPr>
      <w:r w:rsidRPr="00364545">
        <w:t>2022(p): calculated over the first ten months of the year</w:t>
      </w:r>
    </w:p>
    <w:p w14:paraId="29BE8E64" w14:textId="27103F18" w:rsidR="00571533" w:rsidRPr="00364545" w:rsidRDefault="00571533" w:rsidP="0045532B">
      <w:pPr>
        <w:pStyle w:val="Caption"/>
        <w:rPr>
          <w:rFonts w:eastAsiaTheme="minorHAnsi"/>
        </w:rPr>
      </w:pPr>
      <w:bookmarkStart w:id="459" w:name="_Toc123916460"/>
      <w:r w:rsidRPr="00364545">
        <w:t xml:space="preserve">Figure </w:t>
      </w:r>
      <w:r w:rsidR="003714FB">
        <w:fldChar w:fldCharType="begin"/>
      </w:r>
      <w:r w:rsidR="003714FB">
        <w:instrText xml:space="preserve"> SEQ Figure \* ARABIC </w:instrText>
      </w:r>
      <w:r w:rsidR="003714FB">
        <w:fldChar w:fldCharType="separate"/>
      </w:r>
      <w:r w:rsidR="009A2FAA">
        <w:rPr>
          <w:noProof/>
        </w:rPr>
        <w:t>49</w:t>
      </w:r>
      <w:r w:rsidR="003714FB">
        <w:rPr>
          <w:noProof/>
        </w:rPr>
        <w:fldChar w:fldCharType="end"/>
      </w:r>
      <w:r w:rsidRPr="00364545">
        <w:t>: Sales trends of electric cars (EVs) and plug-in hybrids (PHEVs)</w:t>
      </w:r>
      <w:bookmarkEnd w:id="459"/>
    </w:p>
    <w:p w14:paraId="22CE37AB" w14:textId="13EDED8A" w:rsidR="00393C4D" w:rsidRPr="00364545" w:rsidRDefault="00571533" w:rsidP="0045532B">
      <w:pPr>
        <w:pStyle w:val="Caption"/>
        <w:rPr>
          <w:rFonts w:eastAsiaTheme="minorHAnsi"/>
        </w:rPr>
      </w:pPr>
      <w:r w:rsidRPr="00364545">
        <w:t>Source: SDES, RSVERO</w:t>
      </w:r>
    </w:p>
    <w:p w14:paraId="44CEEAC7" w14:textId="5D41D8C1" w:rsidR="00393C4D" w:rsidRPr="00364545" w:rsidRDefault="00393C4D" w:rsidP="00F0578E">
      <w:r w:rsidRPr="00364545">
        <w:t>Moreover, the unit emission targets for new passenger cars (95g CO</w:t>
      </w:r>
      <w:r w:rsidRPr="00364545">
        <w:rPr>
          <w:vertAlign w:val="subscript"/>
        </w:rPr>
        <w:t>2</w:t>
      </w:r>
      <w:r w:rsidRPr="00364545">
        <w:t xml:space="preserve">/km, as measured using the former NEDC test cycle, from 2020 onwards) have been met. Starting in 2021, the target will be set using the new WLTP test cycle, which has been introduced to better assess actual emissions. </w:t>
      </w:r>
    </w:p>
    <w:p w14:paraId="5111B925" w14:textId="77777777" w:rsidR="00393C4D" w:rsidRPr="00364545" w:rsidRDefault="00393C4D" w:rsidP="00393C4D">
      <w:pPr>
        <w:spacing w:before="240" w:after="240"/>
        <w:rPr>
          <w:b/>
          <w:i/>
          <w:u w:val="single"/>
        </w:rPr>
      </w:pPr>
      <w:r w:rsidRPr="00364545">
        <w:rPr>
          <w:b/>
          <w:i/>
          <w:u w:val="single"/>
        </w:rPr>
        <w:t>Light commercial vehicles</w:t>
      </w:r>
    </w:p>
    <w:p w14:paraId="2FF8AD04" w14:textId="0D55BDB5" w:rsidR="00393C4D" w:rsidRPr="00364545" w:rsidRDefault="00393C4D" w:rsidP="00F0578E">
      <w:r w:rsidRPr="00364545">
        <w:t>Under EU Regulation 510/2011, manufacturers are required to gradually reduce the average emissions of new light commercial vehicles to 175 gCO</w:t>
      </w:r>
      <w:r w:rsidRPr="00364545">
        <w:rPr>
          <w:vertAlign w:val="subscript"/>
        </w:rPr>
        <w:t>2</w:t>
      </w:r>
      <w:r w:rsidRPr="00364545">
        <w:t>/km NEDC between 2014 and 2017 An average emission level of 147 gCO</w:t>
      </w:r>
      <w:r w:rsidRPr="00364545">
        <w:rPr>
          <w:vertAlign w:val="subscript"/>
        </w:rPr>
        <w:t>2</w:t>
      </w:r>
      <w:r w:rsidRPr="00364545">
        <w:t>/km NEDC has been set for 2020 (this target will be converted into a WLTP value in 2021). Under Regulation 2019/361 of 17 April 2019, the targets will be tightened with a 15% reduction in emissions from 2025 and 31% in 2030 with respect to the 2021 target. As part of the Adjustment to Target 55 package, the provisional agreement reached at European level provides for reduction targets of 50% in 2030 and 100% in 2035 compared to the 2021 target, i.e. an end to the sale of new light commercial internal combustion vehicles in 2035.</w:t>
      </w:r>
    </w:p>
    <w:p w14:paraId="2D5B81A0" w14:textId="77777777" w:rsidR="00F0578E" w:rsidRPr="00364545" w:rsidRDefault="00F0578E" w:rsidP="00F0578E"/>
    <w:p w14:paraId="72122D7E" w14:textId="3BB48E05" w:rsidR="00393C4D" w:rsidRPr="00364545" w:rsidRDefault="00393C4D" w:rsidP="00F0578E">
      <w:r w:rsidRPr="00364545">
        <w:t>New electric vans benefit from a bonus of up to €7,000 for a private individual (€5,000 for companies), up to a maximum of 40% of the value of the vehicle including tax. If the purchase of a low-emission vehicle is accompanied by the scrapping of an old vehicle, and under certain conditions, a conversion incentive may also be paid. Since 26 July 2021, the amount of this premium has been up to €1,000 per year. Purchasers of low-emission vans are also eligible for micro-credit and zero-interest loans (which will be introduced from 2023).</w:t>
      </w:r>
    </w:p>
    <w:p w14:paraId="18B93CB2" w14:textId="77777777" w:rsidR="00F0578E" w:rsidRPr="00364545" w:rsidRDefault="00F0578E" w:rsidP="00F0578E"/>
    <w:p w14:paraId="3E684012" w14:textId="5D3A8C33" w:rsidR="00393C4D" w:rsidRPr="00364545" w:rsidRDefault="00393C4D" w:rsidP="00F0578E">
      <w:r w:rsidRPr="00364545">
        <w:t>The targets for the inclusion of low-emission vehicles in fleet replacement also apply to light commercial vehicles.</w:t>
      </w:r>
    </w:p>
    <w:p w14:paraId="2A216888" w14:textId="77777777" w:rsidR="00F0578E" w:rsidRPr="00364545" w:rsidRDefault="00F0578E" w:rsidP="00F0578E"/>
    <w:p w14:paraId="406ED1C6" w14:textId="70DA5CA2" w:rsidR="00393C4D" w:rsidRPr="00364545" w:rsidRDefault="00393C4D" w:rsidP="00F0578E">
      <w:r w:rsidRPr="00364545">
        <w:t xml:space="preserve">Commercial vehicles between 2.6 and 3.5 tonnes that run on natural gas, biofuels, electricity or hydrogen benefit from a 20% tax rebate. </w:t>
      </w:r>
    </w:p>
    <w:p w14:paraId="76726D98" w14:textId="77777777" w:rsidR="00393C4D" w:rsidRPr="00364545" w:rsidRDefault="00393C4D" w:rsidP="00393C4D">
      <w:pPr>
        <w:autoSpaceDE w:val="0"/>
        <w:autoSpaceDN w:val="0"/>
        <w:adjustRightInd w:val="0"/>
        <w:spacing w:before="240" w:after="240"/>
        <w:rPr>
          <w:b/>
          <w:i/>
          <w:noProof/>
          <w:u w:val="single"/>
        </w:rPr>
      </w:pPr>
      <w:r w:rsidRPr="00364545">
        <w:rPr>
          <w:b/>
          <w:i/>
          <w:u w:val="single"/>
        </w:rPr>
        <w:t>Heavy goods vehicles</w:t>
      </w:r>
    </w:p>
    <w:p w14:paraId="1EE36A2A" w14:textId="314560B9" w:rsidR="00393C4D" w:rsidRPr="00364545" w:rsidRDefault="00393C4D" w:rsidP="00F0578E">
      <w:r w:rsidRPr="00364545">
        <w:t>The new European regulation n° 2019/1242 imposes mandatory CO</w:t>
      </w:r>
      <w:r w:rsidRPr="00364545">
        <w:rPr>
          <w:vertAlign w:val="subscript"/>
        </w:rPr>
        <w:t>2</w:t>
      </w:r>
      <w:r w:rsidRPr="00364545">
        <w:t xml:space="preserve"> emissions reduction requirements for certain new heavy vehicles, with a reduction target of 15% by 2025 and 30% by 2030 compared to the level of emissions recorded over the reference period July 2019 - June 2020.</w:t>
      </w:r>
    </w:p>
    <w:p w14:paraId="4D9C59CB" w14:textId="77777777" w:rsidR="00F0578E" w:rsidRPr="00364545" w:rsidRDefault="00F0578E" w:rsidP="00F0578E"/>
    <w:p w14:paraId="156C902C" w14:textId="62653005" w:rsidR="00393C4D" w:rsidRPr="00364545" w:rsidRDefault="00393C4D" w:rsidP="00F0578E">
      <w:r w:rsidRPr="00364545">
        <w:t>At national level, the Climate Resilience Act has set a goal of ending the sale of new heavy vehicles used for the transport of people or goods that run predominantly on fossil fuels by 2040. The public HGV fleet is also required to comply with green requirements.</w:t>
      </w:r>
    </w:p>
    <w:p w14:paraId="5EF0151E" w14:textId="77777777" w:rsidR="00F0578E" w:rsidRPr="00364545" w:rsidRDefault="00F0578E" w:rsidP="00F0578E"/>
    <w:p w14:paraId="00E3A355" w14:textId="0570115D" w:rsidR="00393C4D" w:rsidRPr="00364545" w:rsidRDefault="00393C4D" w:rsidP="00F0578E">
      <w:pPr>
        <w:rPr>
          <w:noProof/>
        </w:rPr>
      </w:pPr>
      <w:r w:rsidRPr="00364545">
        <w:t>There are tax incentives for HGVs, for the development of CNG and bio-CNG, electric and H2 vehicles. HGVs running on natural gas, biofuels, electricity and hydrogen benefit from an additional depreciation scheme of 60% for HGVs up to 16 tonnes (and 40% above). Under the recovery plan, heavy goods vehicles running on electricity and/or hydrogen benefit from a rebate of up to €50,000. In addition to this bonus, a call for proposals, referred to as the "Ecosystem of electric heavy vehicles" was opened in March 2022. With a budget of €65 million for the year 2022, it will support initiatives for the acquisition of heavy electric vehicles (with grants of up to €150,000 per vehicle) and the development of associated recharging infrastructure.</w:t>
      </w:r>
    </w:p>
    <w:p w14:paraId="37FDA1F6" w14:textId="77777777" w:rsidR="00393C4D" w:rsidRPr="00364545" w:rsidRDefault="00393C4D" w:rsidP="00393C4D">
      <w:pPr>
        <w:spacing w:before="240" w:after="240"/>
        <w:rPr>
          <w:b/>
          <w:i/>
          <w:u w:val="single"/>
        </w:rPr>
      </w:pPr>
      <w:r w:rsidRPr="00364545">
        <w:rPr>
          <w:b/>
          <w:i/>
          <w:u w:val="single"/>
        </w:rPr>
        <w:t>Buses and coaches</w:t>
      </w:r>
    </w:p>
    <w:p w14:paraId="183B290C" w14:textId="7AAB842F" w:rsidR="00393C4D" w:rsidRPr="00364545" w:rsidRDefault="00393C4D" w:rsidP="00F0578E">
      <w:pPr>
        <w:rPr>
          <w:noProof/>
        </w:rPr>
      </w:pPr>
      <w:r w:rsidRPr="00364545">
        <w:t>For vehicles dedicated to public transport managed by the State and local authorities (buses and coaches), the law provides for an obligation to acquire or use, when renewing the fleet, at least 50% of low-emission vehicles among the vehicles renewed from 1 January 2020, and then all vehicles renewed from 1 January 2025. The criteria defining the types of low-emission vehicles (electric, hybrid, natural gas vehicle, biogas, or biofuel with a high proportion of renewable fuels) are set depending on their use, the areas in which they are used and the local energy supply capacities. These targets have been enhanced by the implementation of the European directive on clean vehicles (2019/1161), in particular by introducing a target of at least 50% of Low Emission Vehicles being "zero emission" (electric or hydrogen) for the largest conurbations (over 250,000 inhabitants).</w:t>
      </w:r>
    </w:p>
    <w:p w14:paraId="20FB08DF" w14:textId="77777777" w:rsidR="00F0578E" w:rsidRPr="00364545" w:rsidRDefault="00F0578E" w:rsidP="00F0578E">
      <w:pPr>
        <w:rPr>
          <w:noProof/>
        </w:rPr>
      </w:pPr>
    </w:p>
    <w:p w14:paraId="30A265A9" w14:textId="77777777" w:rsidR="00393C4D" w:rsidRPr="00364545" w:rsidRDefault="00393C4D" w:rsidP="00F0578E">
      <w:pPr>
        <w:rPr>
          <w:noProof/>
        </w:rPr>
      </w:pPr>
      <w:r w:rsidRPr="00364545">
        <w:t>Under the recovery plan, buses and coaches running on electricity and/or hydrogen also benefit from a bonus of up to €30,000. Buses and coaches using alternative energies can also benefit from additional amortisation under the same conditions as heavy goods vehicles, provided that they are acquired by companies liable for corporation tax or income tax under a specific taxation system. Finally, electric buses and coaches have been eligible since 2022 for the "Ecosystem of electric heavy vehicles" call for projects, as for electric heavy goods vehicles (with aid of up to €100,000 per vehicle).</w:t>
      </w:r>
    </w:p>
    <w:p w14:paraId="6122D5FD" w14:textId="77777777" w:rsidR="00393C4D" w:rsidRPr="00364545" w:rsidRDefault="00393C4D" w:rsidP="00393C4D">
      <w:pPr>
        <w:autoSpaceDE w:val="0"/>
        <w:autoSpaceDN w:val="0"/>
        <w:adjustRightInd w:val="0"/>
        <w:spacing w:before="240" w:after="240"/>
        <w:rPr>
          <w:noProof/>
        </w:rPr>
      </w:pPr>
    </w:p>
    <w:p w14:paraId="107843B3" w14:textId="77777777" w:rsidR="00393C4D" w:rsidRPr="00364545" w:rsidRDefault="00393C4D" w:rsidP="00393C4D">
      <w:pPr>
        <w:spacing w:before="240" w:after="240"/>
        <w:rPr>
          <w:b/>
          <w:i/>
          <w:u w:val="single"/>
        </w:rPr>
      </w:pPr>
      <w:r w:rsidRPr="00364545">
        <w:rPr>
          <w:b/>
          <w:i/>
          <w:u w:val="single"/>
        </w:rPr>
        <w:t>Charging infrastructure</w:t>
      </w:r>
    </w:p>
    <w:p w14:paraId="70C9D602" w14:textId="77777777" w:rsidR="00393C4D" w:rsidRPr="00364545" w:rsidRDefault="00393C4D" w:rsidP="00F0578E">
      <w:pPr>
        <w:rPr>
          <w:noProof/>
        </w:rPr>
      </w:pPr>
      <w:r w:rsidRPr="00364545">
        <w:t xml:space="preserve">A series of measures designed to promote the </w:t>
      </w:r>
      <w:r w:rsidRPr="00364545">
        <w:rPr>
          <w:b/>
          <w:bCs/>
        </w:rPr>
        <w:t>installation of charging infrastructure</w:t>
      </w:r>
      <w:r w:rsidRPr="00364545">
        <w:t xml:space="preserve"> for electric vehicles. There are requirements for pre-equipment and equipment for certain types of buildings and public car parks (Mobility Orientation Law, Climate Resilience Law) </w:t>
      </w:r>
    </w:p>
    <w:p w14:paraId="0A23FC79" w14:textId="16A46D9D" w:rsidR="00393C4D" w:rsidRPr="00364545" w:rsidRDefault="00393C4D" w:rsidP="00F0578E">
      <w:pPr>
        <w:rPr>
          <w:noProof/>
        </w:rPr>
      </w:pPr>
      <w:r w:rsidRPr="00364545">
        <w:t>The provision of both public and private charging points is subsidised. Private individuals who install charging stations at home benefit from a tax credit of up to €300 per charging system and 75% of the cost.</w:t>
      </w:r>
    </w:p>
    <w:p w14:paraId="3D0DD742" w14:textId="77777777" w:rsidR="00F0578E" w:rsidRPr="00364545" w:rsidRDefault="00F0578E" w:rsidP="00F0578E">
      <w:pPr>
        <w:rPr>
          <w:noProof/>
        </w:rPr>
      </w:pPr>
    </w:p>
    <w:p w14:paraId="2199573F" w14:textId="77777777" w:rsidR="00393C4D" w:rsidRPr="00364545" w:rsidRDefault="00393C4D" w:rsidP="00F0578E">
      <w:pPr>
        <w:rPr>
          <w:noProof/>
        </w:rPr>
      </w:pPr>
      <w:r w:rsidRPr="00364545">
        <w:t>The ADVENIR programme, which is funded as part of the Energy Savings Certificates (CEE), subsidises the installation of charging points in housing developments, companies and public bodies within the restrictions of subsidy levels and limits per charging point and per type of target.</w:t>
      </w:r>
    </w:p>
    <w:p w14:paraId="12B4C296" w14:textId="7174F887" w:rsidR="00393C4D" w:rsidRPr="00364545" w:rsidRDefault="00393C4D" w:rsidP="00F0578E">
      <w:pPr>
        <w:rPr>
          <w:noProof/>
        </w:rPr>
      </w:pPr>
      <w:r w:rsidRPr="00364545">
        <w:t xml:space="preserve">The installation of fast-charging points is being supported by the recovery plan until the end of 2022 (on major roads) and by the France 2030 investment plan until 2024 (in major cities and regions). Motorway operators are required to ensure the availability of all common energy sources. </w:t>
      </w:r>
    </w:p>
    <w:p w14:paraId="2F6F46A9" w14:textId="77777777" w:rsidR="00F0578E" w:rsidRPr="00364545" w:rsidRDefault="00F0578E" w:rsidP="00F0578E">
      <w:pPr>
        <w:rPr>
          <w:noProof/>
        </w:rPr>
      </w:pPr>
    </w:p>
    <w:p w14:paraId="3B99BEE6" w14:textId="77777777" w:rsidR="00393C4D" w:rsidRPr="00364545" w:rsidRDefault="00393C4D" w:rsidP="00F0578E">
      <w:pPr>
        <w:rPr>
          <w:noProof/>
        </w:rPr>
      </w:pPr>
      <w:r w:rsidRPr="00364545">
        <w:t>The Finance Law for 2021 provides for the integration of renewable electricity provided by public charging facilities within the TIRUERT (incentive tax on the incorporation of renewable energy in transport) tool, enabling fuel distributors to improve the charging of electric vehicles to reach their goal of incorporating renewable energies. This aims to favour the deployment of public charging infrastructures by improving their profitability and by enabling a proportion of the operating costs to be covered throughout the duration.</w:t>
      </w:r>
    </w:p>
    <w:p w14:paraId="72A88B46" w14:textId="77777777" w:rsidR="00F0578E" w:rsidRPr="00364545" w:rsidRDefault="00F0578E" w:rsidP="00F0578E">
      <w:pPr>
        <w:rPr>
          <w:noProof/>
        </w:rPr>
      </w:pPr>
    </w:p>
    <w:p w14:paraId="143D3F32" w14:textId="20017314" w:rsidR="00393C4D" w:rsidRPr="00364545" w:rsidRDefault="00393C4D" w:rsidP="00F0578E">
      <w:pPr>
        <w:rPr>
          <w:noProof/>
        </w:rPr>
      </w:pPr>
      <w:r w:rsidRPr="00364545">
        <w:t>Furthermore, home-based charging stations benefit from a reduced VAT rate at 5.5% (instead of 20%) and when the employer provides a charging station, the benefit in kind is considered to be null for non-professional travel.</w:t>
      </w:r>
    </w:p>
    <w:p w14:paraId="4B56ED82" w14:textId="77777777" w:rsidR="00F0578E" w:rsidRPr="00364545" w:rsidRDefault="00F0578E" w:rsidP="00F0578E">
      <w:pPr>
        <w:rPr>
          <w:noProof/>
        </w:rPr>
      </w:pPr>
    </w:p>
    <w:p w14:paraId="0CAE1924" w14:textId="370EBC34" w:rsidR="00393C4D" w:rsidRPr="00364545" w:rsidRDefault="00393C4D" w:rsidP="00F0578E">
      <w:pPr>
        <w:rPr>
          <w:noProof/>
        </w:rPr>
      </w:pPr>
      <w:r w:rsidRPr="00364545">
        <w:t>The French mobility orientation law, followed by the Climate and Resilience Law, created and reinforced the provisions to support the deployment of charging facilities. The French mobility orientation law simplified and extended the provisions regarding the right to charging facilities, so as to facilitate the installation of charging points in public buildings. It also reduced the connection costs to public recharging infrastructures or bus charging facilities by increasing from 40 to 75% of the amount paid, until 2022 (with a few exceptions until 2025). The Transport Policy Law also provides for the possibility for regions to draw up a master plan for the development of charging infrastructures for electric vehicles open to the public. It is a mechanism which provides the community with a steering role regarding the charging offer within its territory, to result in a coordinated offer between the different public and private project owners, in coherence with the local mobility policies and tailored to meet the needs. The climate-resilience law made these schemes mandatory in low emission zones. The climate-resilience law also provides for the possibility of installing a collective electric infrastructure (facilitating the subsequent addition of charging stations) in shared buildings at no expense to the owner or co-owner via the network manager or a charging operator, who is reimbursed by the contribution of users who wish to add a charging station within the shared infrastructure.</w:t>
      </w:r>
    </w:p>
    <w:p w14:paraId="0FDB35F1" w14:textId="77777777" w:rsidR="00F0578E" w:rsidRPr="00364545" w:rsidRDefault="00F0578E" w:rsidP="00F0578E">
      <w:pPr>
        <w:rPr>
          <w:noProof/>
        </w:rPr>
      </w:pPr>
    </w:p>
    <w:p w14:paraId="5F8F629F" w14:textId="1BF7E364" w:rsidR="001A4E13" w:rsidRPr="00364545" w:rsidRDefault="00393C4D" w:rsidP="00F0578E">
      <w:pPr>
        <w:rPr>
          <w:noProof/>
        </w:rPr>
      </w:pPr>
      <w:r w:rsidRPr="00364545">
        <w:t>The energy transition for Green Growth act set a target of 7 million public and private charging points by 2030.</w:t>
      </w:r>
    </w:p>
    <w:p w14:paraId="1AC75863" w14:textId="18D6098D" w:rsidR="001A4E13" w:rsidRPr="00364545" w:rsidRDefault="001A4E13" w:rsidP="00E22CF8">
      <w:pPr>
        <w:pStyle w:val="titreencadre"/>
        <w:rPr>
          <w:noProof/>
        </w:rPr>
      </w:pPr>
      <w:r w:rsidRPr="00364545">
        <w:t>The national hydrogen strategy</w:t>
      </w:r>
    </w:p>
    <w:p w14:paraId="67AB1E4B" w14:textId="27EF49AA" w:rsidR="001A4E13" w:rsidRPr="00364545" w:rsidRDefault="001A4E13" w:rsidP="00F0578E">
      <w:pPr>
        <w:rPr>
          <w:noProof/>
        </w:rPr>
      </w:pPr>
      <w:r w:rsidRPr="00364545">
        <w:t>The national hydrogen strategy aims to further develop decarbonated hydrogen and includes a development focus on hydrogen-based heavy transport based on territorial ecosystems of hydrogen mobility, on the basis of professional vehicles fleets.</w:t>
      </w:r>
    </w:p>
    <w:p w14:paraId="27D40BF4" w14:textId="0AA9EA03" w:rsidR="001A4E13" w:rsidRPr="00364545" w:rsidRDefault="001A4E13" w:rsidP="00E22CF8">
      <w:pPr>
        <w:pStyle w:val="titreencadre"/>
        <w:rPr>
          <w:noProof/>
        </w:rPr>
      </w:pPr>
      <w:r w:rsidRPr="00364545">
        <w:t>The development of biofuels</w:t>
      </w:r>
    </w:p>
    <w:p w14:paraId="0CDB4B83" w14:textId="03C49C2F" w:rsidR="001A4E13" w:rsidRPr="00364545" w:rsidRDefault="001A4E13" w:rsidP="00F0578E">
      <w:pPr>
        <w:rPr>
          <w:noProof/>
        </w:rPr>
      </w:pPr>
      <w:r w:rsidRPr="00364545">
        <w:t xml:space="preserve">The incentive tax on the incorporation of renewable energy in transport (TIRUERT) represents a strong incentive, enabling the inclusion rate of biofuels to be maximised, while ensuring the sustainability of their production. TIRUERT is a tax paid by the operators who do not meet the national target inclusion rate of biofuels, while complying with the sustainability criteria for petrol and diesel. In 2022, the target inclusion rate of biofuels was set at 9.2% for petrols and 8.1% for diesels. </w:t>
      </w:r>
    </w:p>
    <w:p w14:paraId="53EC9916" w14:textId="77777777" w:rsidR="001A4E13" w:rsidRPr="00364545" w:rsidRDefault="001A4E13" w:rsidP="00F0578E">
      <w:pPr>
        <w:rPr>
          <w:noProof/>
        </w:rPr>
      </w:pPr>
    </w:p>
    <w:p w14:paraId="0E0211E6" w14:textId="2A542083" w:rsidR="001A4E13" w:rsidRPr="00364545" w:rsidRDefault="001A4E13" w:rsidP="00F0578E">
      <w:pPr>
        <w:rPr>
          <w:noProof/>
        </w:rPr>
      </w:pPr>
      <w:r w:rsidRPr="00364545">
        <w:t>The aviation sector will be required to incorporate 1% of biofuels from 2022 (finance law). This obligation is part of a biofuel development strategy enacted by the roadmap on the development of biofuels which sets an incorporation target of 5% by 2030. Furthermore, a call for an expression of interest on sustainable biofuels was launched in order to identify the investment projects in second generation units.</w:t>
      </w:r>
    </w:p>
    <w:p w14:paraId="7870044F" w14:textId="0B1353C3" w:rsidR="000F4F53" w:rsidRPr="00364545" w:rsidRDefault="000F4F53" w:rsidP="00F0578E">
      <w:pPr>
        <w:rPr>
          <w:noProof/>
        </w:rPr>
      </w:pPr>
    </w:p>
    <w:p w14:paraId="34729AB4" w14:textId="77777777" w:rsidR="000F4F53" w:rsidRPr="00364545" w:rsidRDefault="000F4F53" w:rsidP="000F4F53">
      <w:pPr>
        <w:rPr>
          <w:b/>
          <w:noProof/>
        </w:rPr>
      </w:pPr>
      <w:r w:rsidRPr="00364545">
        <w:rPr>
          <w:b/>
        </w:rPr>
        <w:t>The increase in vehicle occupancy</w:t>
      </w:r>
    </w:p>
    <w:p w14:paraId="2BA5AB02" w14:textId="77777777" w:rsidR="000F4F53" w:rsidRPr="00364545" w:rsidRDefault="000F4F53" w:rsidP="000F4F53">
      <w:pPr>
        <w:rPr>
          <w:noProof/>
        </w:rPr>
      </w:pPr>
      <w:r w:rsidRPr="00364545">
        <w:t>The increase in vehicle occupancy is a quick way of reducing emissions and includes numerous co-benefits, both for users (buying power, access to mobility, togetherness) and for communities (reducing congestion and atmospheric pollution). In 2019, the government set the target of tripling the daily number of ride-share journeys by 2024 to reach 3 million.</w:t>
      </w:r>
    </w:p>
    <w:p w14:paraId="0D9E275F" w14:textId="77777777" w:rsidR="000F4F53" w:rsidRPr="00364545" w:rsidRDefault="000F4F53" w:rsidP="000F4F53">
      <w:pPr>
        <w:autoSpaceDE w:val="0"/>
        <w:autoSpaceDN w:val="0"/>
        <w:adjustRightInd w:val="0"/>
        <w:spacing w:before="240" w:after="240"/>
        <w:rPr>
          <w:noProof/>
        </w:rPr>
      </w:pPr>
      <w:r w:rsidRPr="00364545">
        <w:t xml:space="preserve">Carpooling is encouraged, especially in the context of urban transport plans, and the State provides the necessary legal security for this travel mode. To this end, the Modernisation of Territorial Public Action and the Affirmation of Metropolitan Areas (MAPTAM Law) of 27 January 2014 adopted a definition of carpooling, which created, for the first time, a suitable legal framework for this practice, to enable its development, while clearly differentiating the activity from regular public transport, taxis and tourism vehicles with a driver. This same law enabled transport organisation authorities (AOM), in the event of non-existent, insufficient or inadequate private offers, to offer electronic platforms to the public to promote encounters regarding the carpooling supply and demand. These authorities may also create a distinctive sign for carpooling vehicles, after having drawn up its attribution conditions in advance. </w:t>
      </w:r>
    </w:p>
    <w:p w14:paraId="07593178" w14:textId="77777777" w:rsidR="000F4F53" w:rsidRPr="00364545" w:rsidRDefault="000F4F53" w:rsidP="000F4F53">
      <w:pPr>
        <w:autoSpaceDE w:val="0"/>
        <w:autoSpaceDN w:val="0"/>
        <w:adjustRightInd w:val="0"/>
        <w:spacing w:before="240" w:after="240"/>
        <w:rPr>
          <w:noProof/>
        </w:rPr>
      </w:pPr>
      <w:r w:rsidRPr="00364545">
        <w:t xml:space="preserve">The 2015 energy transition for green growth act also stipulates that companies and  regional and local authorities must facilitate, as much as possible, carpooling solutions for travel between home and work for their employees and agents. </w:t>
      </w:r>
    </w:p>
    <w:p w14:paraId="03CB86CA" w14:textId="77777777" w:rsidR="000F4F53" w:rsidRPr="00364545" w:rsidRDefault="000F4F53" w:rsidP="000F4F53">
      <w:pPr>
        <w:autoSpaceDE w:val="0"/>
        <w:autoSpaceDN w:val="0"/>
        <w:adjustRightInd w:val="0"/>
        <w:spacing w:before="240" w:after="240"/>
        <w:rPr>
          <w:noProof/>
        </w:rPr>
      </w:pPr>
      <w:r w:rsidRPr="00364545">
        <w:t>The mobility orientation law (2019) allows local authorities to subsidise carpooling offers to make them even more attractive and to make it a fully-fledged solution. The mobility orientation law created a sustainable mobility package, which enables all private and public employers to contribute to the expenses linked to travel between home and work, via carpooling or by bike for their employees. This fixed rate can go up to € 700/year free of tax and social contributions.</w:t>
      </w:r>
    </w:p>
    <w:p w14:paraId="7F810B72" w14:textId="77777777" w:rsidR="000F4F53" w:rsidRPr="00364545" w:rsidRDefault="000F4F53" w:rsidP="00F0578E">
      <w:pPr>
        <w:rPr>
          <w:noProof/>
        </w:rPr>
      </w:pPr>
    </w:p>
    <w:p w14:paraId="00756586" w14:textId="77777777" w:rsidR="001A4E13" w:rsidRPr="00364545" w:rsidRDefault="001A4E13" w:rsidP="001A4E13">
      <w:pPr>
        <w:autoSpaceDE w:val="0"/>
        <w:autoSpaceDN w:val="0"/>
        <w:adjustRightInd w:val="0"/>
        <w:rPr>
          <w:noProof/>
        </w:rPr>
      </w:pPr>
    </w:p>
    <w:p w14:paraId="32C4654D" w14:textId="77777777" w:rsidR="001A4E13" w:rsidRPr="00364545" w:rsidRDefault="001A4E13" w:rsidP="00E22CF8">
      <w:pPr>
        <w:pStyle w:val="titreencadre"/>
        <w:rPr>
          <w:noProof/>
        </w:rPr>
      </w:pPr>
      <w:r w:rsidRPr="00364545">
        <w:t>Supporting the modal shift</w:t>
      </w:r>
    </w:p>
    <w:p w14:paraId="336F077A" w14:textId="307B1511" w:rsidR="001A4E13" w:rsidRPr="00364545" w:rsidRDefault="001A4E13" w:rsidP="00F0578E">
      <w:pPr>
        <w:rPr>
          <w:noProof/>
        </w:rPr>
      </w:pPr>
      <w:r w:rsidRPr="00364545">
        <w:t>Supporting the modal shift towards transport methods with the lowest CO</w:t>
      </w:r>
      <w:r w:rsidRPr="00364545">
        <w:rPr>
          <w:vertAlign w:val="subscript"/>
        </w:rPr>
        <w:t>2</w:t>
      </w:r>
      <w:r w:rsidRPr="00364545">
        <w:t xml:space="preserve"> emissions mostly involves improving the offer of transport services and infrastructures providing an alternative to road transport, whether it be the urban and interurban transport of passengers or freight transport.</w:t>
      </w:r>
    </w:p>
    <w:p w14:paraId="7CE405BD" w14:textId="77777777" w:rsidR="00F0578E" w:rsidRPr="00364545" w:rsidRDefault="00F0578E" w:rsidP="00F0578E">
      <w:pPr>
        <w:rPr>
          <w:noProof/>
        </w:rPr>
      </w:pPr>
    </w:p>
    <w:p w14:paraId="457EA3C1" w14:textId="77777777" w:rsidR="001A4E13" w:rsidRPr="00364545" w:rsidRDefault="001A4E13" w:rsidP="00672521">
      <w:pPr>
        <w:rPr>
          <w:b/>
          <w:i/>
          <w:u w:val="single"/>
        </w:rPr>
      </w:pPr>
      <w:r w:rsidRPr="00364545">
        <w:rPr>
          <w:b/>
          <w:i/>
          <w:u w:val="single"/>
        </w:rPr>
        <w:t>Supporting rail transport and public transport for passengers is a priority.</w:t>
      </w:r>
    </w:p>
    <w:p w14:paraId="265D0FCC" w14:textId="7F62196B" w:rsidR="001A4E13" w:rsidRPr="00364545" w:rsidRDefault="001A4E13" w:rsidP="00F0578E">
      <w:pPr>
        <w:rPr>
          <w:noProof/>
        </w:rPr>
      </w:pPr>
      <w:r w:rsidRPr="00364545">
        <w:t>The high-speed national rail transport networks are well developed and investments in this sector have been significant over the past few years with in particular the construction of four new high speed lines: Tours-Bordeaux, Brittany Pays-de-la-Loire, the East European High Speed Line, and the Nîmes – Montpellier Bypass (mixed passenger and freight line to alleviate the Nîmes-Montpellier road), i.e. 757 km of new high speed lines commissioned between 2015 and 2020.</w:t>
      </w:r>
    </w:p>
    <w:p w14:paraId="7176087E" w14:textId="77777777" w:rsidR="00F0578E" w:rsidRPr="00364545" w:rsidRDefault="00F0578E" w:rsidP="00F0578E">
      <w:pPr>
        <w:rPr>
          <w:noProof/>
        </w:rPr>
      </w:pPr>
    </w:p>
    <w:p w14:paraId="5B33DDD3" w14:textId="4F0BC28E" w:rsidR="001A4E13" w:rsidRPr="00364545" w:rsidRDefault="001A4E13" w:rsidP="00F0578E">
      <w:pPr>
        <w:rPr>
          <w:noProof/>
        </w:rPr>
      </w:pPr>
      <w:r w:rsidRPr="00364545">
        <w:t>In terms of urban transport, dedicated transport corridors have been expanded greatly in major cities across France over the past 15 years. Since 2008, the State has accompanied dedicated transport corridor projects alongside transport organisation authorities by co-funding them in the framework of calls for projects. Four calls for projects aimed at transport organisation authorities with a metro, tramway or high level service bus project were launched between 2008 and 2021; the fourth call for project, dating back to 2021, will provide 900 million Euros to fund dedicated transport corridors and multi-modal interchange stations.</w:t>
      </w:r>
    </w:p>
    <w:p w14:paraId="1133A9BD" w14:textId="77777777" w:rsidR="00F0578E" w:rsidRPr="00364545" w:rsidRDefault="00F0578E" w:rsidP="00F0578E">
      <w:pPr>
        <w:rPr>
          <w:noProof/>
        </w:rPr>
      </w:pPr>
    </w:p>
    <w:p w14:paraId="6FD1C3E3" w14:textId="28A86DEC" w:rsidR="001A4E13" w:rsidRPr="00364545" w:rsidRDefault="001A4E13" w:rsidP="00F0578E">
      <w:pPr>
        <w:rPr>
          <w:noProof/>
        </w:rPr>
      </w:pPr>
      <w:r w:rsidRPr="00364545">
        <w:t>In Île-de-France, the Grand Paris transport project launched in 2013 is expected to improve the public transport service offered to passengers in terms of information and network operation, to modernise and develop the existing networks, build a new automatic underground network, and develop a direct link to Paris-Roissy airport. Eventually, 90% of the population of Ile-de-France is expected to have access to a station within a radius of less than 2km. This new network will considerably improve travel between suburbs and will unburden the current network. The aim is to progressively open all lines between 2019 and 2030.</w:t>
      </w:r>
    </w:p>
    <w:p w14:paraId="5D54CC4E" w14:textId="77777777" w:rsidR="001A4E13" w:rsidRPr="00364545" w:rsidRDefault="001A4E13" w:rsidP="001A4E13">
      <w:pPr>
        <w:autoSpaceDE w:val="0"/>
        <w:autoSpaceDN w:val="0"/>
        <w:adjustRightInd w:val="0"/>
        <w:rPr>
          <w:noProof/>
        </w:rPr>
      </w:pPr>
    </w:p>
    <w:p w14:paraId="192EBB75" w14:textId="3B4DEBA9" w:rsidR="001A4E13" w:rsidRPr="00364545" w:rsidRDefault="001A4E13" w:rsidP="00F0578E">
      <w:pPr>
        <w:rPr>
          <w:noProof/>
        </w:rPr>
      </w:pPr>
      <w:r w:rsidRPr="00364545">
        <w:t>The Transport Policy Law has created a set of measures to encourage modal shift:</w:t>
      </w:r>
    </w:p>
    <w:p w14:paraId="30DA394B" w14:textId="3756917B" w:rsidR="001A4E13" w:rsidRPr="00364545" w:rsidRDefault="001A4E13" w:rsidP="00BE086C">
      <w:pPr>
        <w:pStyle w:val="ListParagraph"/>
        <w:numPr>
          <w:ilvl w:val="0"/>
          <w:numId w:val="42"/>
        </w:numPr>
        <w:autoSpaceDE w:val="0"/>
        <w:autoSpaceDN w:val="0"/>
        <w:adjustRightInd w:val="0"/>
        <w:rPr>
          <w:noProof/>
        </w:rPr>
      </w:pPr>
      <w:r w:rsidRPr="00364545">
        <w:t>A reinforcement of public and shared transports: a 40% increase in transport investments between the 2014-2018 and 2019-2023 period to improve daily transport, in particular;</w:t>
      </w:r>
    </w:p>
    <w:p w14:paraId="3ED4B828" w14:textId="77777777" w:rsidR="001A4E13" w:rsidRPr="00364545" w:rsidRDefault="001A4E13" w:rsidP="00BE086C">
      <w:pPr>
        <w:pStyle w:val="ListParagraph"/>
        <w:numPr>
          <w:ilvl w:val="0"/>
          <w:numId w:val="42"/>
        </w:numPr>
        <w:autoSpaceDE w:val="0"/>
        <w:autoSpaceDN w:val="0"/>
        <w:adjustRightInd w:val="0"/>
        <w:rPr>
          <w:noProof/>
        </w:rPr>
      </w:pPr>
      <w:r w:rsidRPr="00364545">
        <w:t>A framework and tools to encourage the development of alternatives to the private car, especially in rural areas (</w:t>
      </w:r>
      <w:r w:rsidRPr="00364545">
        <w:rPr>
          <w:b/>
          <w:bCs/>
        </w:rPr>
        <w:t>carpooling</w:t>
      </w:r>
      <w:r w:rsidRPr="00364545">
        <w:t>, on-request services, availability of vehicle-sharing services).</w:t>
      </w:r>
    </w:p>
    <w:p w14:paraId="01A99C12" w14:textId="4DFC430F" w:rsidR="001A4E13" w:rsidRPr="00364545" w:rsidRDefault="001A4E13" w:rsidP="00BE086C">
      <w:pPr>
        <w:pStyle w:val="ListParagraph"/>
        <w:numPr>
          <w:ilvl w:val="0"/>
          <w:numId w:val="42"/>
        </w:numPr>
        <w:autoSpaceDE w:val="0"/>
        <w:autoSpaceDN w:val="0"/>
        <w:adjustRightInd w:val="0"/>
        <w:rPr>
          <w:noProof/>
        </w:rPr>
      </w:pPr>
      <w:r w:rsidRPr="00364545">
        <w:t>Better multi-modal information (open data on mobility to make all mobility data accessible for a journey in a single click).</w:t>
      </w:r>
    </w:p>
    <w:p w14:paraId="62D5013B" w14:textId="77777777" w:rsidR="001A4E13" w:rsidRPr="00364545" w:rsidRDefault="001A4E13" w:rsidP="001A4E13">
      <w:pPr>
        <w:autoSpaceDE w:val="0"/>
        <w:autoSpaceDN w:val="0"/>
        <w:adjustRightInd w:val="0"/>
        <w:ind w:left="360"/>
        <w:rPr>
          <w:noProof/>
        </w:rPr>
      </w:pPr>
    </w:p>
    <w:p w14:paraId="209D1219" w14:textId="6CAF6C7F" w:rsidR="001A4E13" w:rsidRPr="00364545" w:rsidRDefault="001A4E13" w:rsidP="00F0578E">
      <w:pPr>
        <w:rPr>
          <w:noProof/>
        </w:rPr>
      </w:pPr>
      <w:r w:rsidRPr="00364545">
        <w:t>A “sustainable mobility package”, enabling all private and public employers to contribute to the expenses linked to travel between home and work, via carpooling or by bike for their employees. This package currently goes up €700/year free of tax and social contributions (€800/year in the event of cumulation of the sustainable mobility package and the payment of public transport passes by the employer). The implementation of the package within each company is optional.</w:t>
      </w:r>
    </w:p>
    <w:p w14:paraId="20E2283E" w14:textId="77777777" w:rsidR="00115A87" w:rsidRPr="00364545" w:rsidRDefault="00115A87" w:rsidP="001A4E13">
      <w:pPr>
        <w:autoSpaceDE w:val="0"/>
        <w:autoSpaceDN w:val="0"/>
        <w:adjustRightInd w:val="0"/>
        <w:rPr>
          <w:noProof/>
        </w:rPr>
      </w:pPr>
    </w:p>
    <w:p w14:paraId="41E2252E" w14:textId="77777777" w:rsidR="009D6FCA" w:rsidRPr="00364545" w:rsidRDefault="001A4E13" w:rsidP="00672521">
      <w:pPr>
        <w:rPr>
          <w:b/>
          <w:i/>
          <w:u w:val="single"/>
        </w:rPr>
      </w:pPr>
      <w:r w:rsidRPr="00364545">
        <w:rPr>
          <w:b/>
          <w:i/>
          <w:u w:val="single"/>
        </w:rPr>
        <w:t>Incentive measures to encourage cycling</w:t>
      </w:r>
    </w:p>
    <w:p w14:paraId="44CC09F8" w14:textId="7CD035E3" w:rsidR="001A4E13" w:rsidRPr="00364545" w:rsidRDefault="009D6FCA" w:rsidP="00F0578E">
      <w:pPr>
        <w:rPr>
          <w:noProof/>
        </w:rPr>
      </w:pPr>
      <w:r w:rsidRPr="00364545">
        <w:t>Various measures have been implemented:</w:t>
      </w:r>
    </w:p>
    <w:p w14:paraId="62A75478" w14:textId="0010B4BE" w:rsidR="001A4E13" w:rsidRPr="00364545" w:rsidRDefault="001A4E13" w:rsidP="00BE086C">
      <w:pPr>
        <w:pStyle w:val="NormalWeb"/>
        <w:numPr>
          <w:ilvl w:val="0"/>
          <w:numId w:val="44"/>
        </w:numPr>
        <w:rPr>
          <w:rFonts w:ascii="Marianne" w:hAnsi="Marianne"/>
          <w:noProof/>
        </w:rPr>
      </w:pPr>
      <w:r w:rsidRPr="00364545">
        <w:rPr>
          <w:rFonts w:ascii="Marianne" w:hAnsi="Marianne"/>
        </w:rPr>
        <w:t>Support for purchases has been put in place:</w:t>
      </w:r>
      <w:r w:rsidRPr="00364545">
        <w:rPr>
          <w:rFonts w:ascii="Calibri" w:hAnsi="Calibri"/>
        </w:rPr>
        <w:t> </w:t>
      </w:r>
      <w:r w:rsidRPr="00364545">
        <w:rPr>
          <w:rFonts w:ascii="Marianne" w:hAnsi="Marianne"/>
        </w:rPr>
        <w:t>ecological bonus for the purchase of "electrically assisted bicycles", "cargo bikes";</w:t>
      </w:r>
      <w:r w:rsidRPr="00364545">
        <w:rPr>
          <w:rFonts w:ascii="Calibri" w:hAnsi="Calibri"/>
        </w:rPr>
        <w:t> </w:t>
      </w:r>
      <w:r w:rsidRPr="00364545">
        <w:rPr>
          <w:rFonts w:ascii="Marianne" w:hAnsi="Marianne"/>
        </w:rPr>
        <w:t>conversion bonus for the purchase of a new or second-hand electrically assisted bicycle or cargo bike in exchange for scrapping an old motorised vehicle. In low emission areas, the State grants an additional premium equivalent to the possible aid granted by the local and regional authorities, of up to €1,000. The conversion premium is broadened to one bike per person in the household with the same limit per bike.</w:t>
      </w:r>
    </w:p>
    <w:p w14:paraId="48607694" w14:textId="77777777" w:rsidR="001A4E13" w:rsidRPr="00364545" w:rsidRDefault="001A4E13" w:rsidP="00BE086C">
      <w:pPr>
        <w:pStyle w:val="NormalWeb"/>
        <w:numPr>
          <w:ilvl w:val="0"/>
          <w:numId w:val="44"/>
        </w:numPr>
        <w:rPr>
          <w:rFonts w:ascii="Marianne" w:hAnsi="Marianne"/>
          <w:noProof/>
        </w:rPr>
      </w:pPr>
      <w:r w:rsidRPr="00364545">
        <w:rPr>
          <w:rFonts w:ascii="Marianne" w:hAnsi="Marianne"/>
        </w:rPr>
        <w:t>To facilitate bicycle parking, there is an obligation to implement secure parking for bicycles when apartment buildings and offices are built, or when works are carried out on car parks, as well as the obligation to put the question of works enabling secure bicycle parking on the agenda of co-owners’ Ordinary General Meetings.</w:t>
      </w:r>
    </w:p>
    <w:p w14:paraId="37B1F6B0" w14:textId="2255E855" w:rsidR="001A4E13" w:rsidRPr="00364545" w:rsidRDefault="001A4E13" w:rsidP="00BE086C">
      <w:pPr>
        <w:pStyle w:val="NormalWeb"/>
        <w:numPr>
          <w:ilvl w:val="0"/>
          <w:numId w:val="44"/>
        </w:numPr>
        <w:rPr>
          <w:rFonts w:ascii="Marianne" w:hAnsi="Marianne"/>
          <w:noProof/>
        </w:rPr>
      </w:pPr>
      <w:r w:rsidRPr="00364545">
        <w:rPr>
          <w:rFonts w:ascii="Marianne" w:hAnsi="Marianne"/>
        </w:rPr>
        <w:t>There are financial incentives to use a bicycle:</w:t>
      </w:r>
      <w:r w:rsidRPr="00364545">
        <w:rPr>
          <w:rFonts w:ascii="Calibri" w:hAnsi="Calibri"/>
        </w:rPr>
        <w:t> </w:t>
      </w:r>
      <w:r w:rsidRPr="00364545">
        <w:rPr>
          <w:rFonts w:ascii="Marianne" w:hAnsi="Marianne"/>
        </w:rPr>
        <w:t>sustainable mobility package allowing employers to finance the use of bicycles by their employees (up to €700 per year)</w:t>
      </w:r>
      <w:r w:rsidRPr="00364545">
        <w:rPr>
          <w:rFonts w:ascii="Calibri" w:hAnsi="Calibri"/>
        </w:rPr>
        <w:t>; </w:t>
      </w:r>
      <w:r w:rsidRPr="00364545">
        <w:rPr>
          <w:rFonts w:ascii="Marianne" w:hAnsi="Marianne"/>
        </w:rPr>
        <w:t xml:space="preserve">tax reductions for companies that provide their employees with a fleet of bicycles free of charge for commuting to and from work (up to 25% of the purchase price of the bicycle fleet). </w:t>
      </w:r>
    </w:p>
    <w:p w14:paraId="41519F7F" w14:textId="54BEC6F7" w:rsidR="001A4E13" w:rsidRPr="00364545" w:rsidRDefault="001A4E13" w:rsidP="00BE086C">
      <w:pPr>
        <w:pStyle w:val="NormalWeb"/>
        <w:numPr>
          <w:ilvl w:val="0"/>
          <w:numId w:val="44"/>
        </w:numPr>
        <w:rPr>
          <w:rFonts w:ascii="Marianne" w:hAnsi="Marianne"/>
          <w:noProof/>
        </w:rPr>
      </w:pPr>
      <w:r w:rsidRPr="00364545">
        <w:rPr>
          <w:rFonts w:ascii="Marianne" w:hAnsi="Marianne"/>
        </w:rPr>
        <w:t>A cycle fund, with calls for projects, has been created to support and expand projects to create cycle routes within local authorities, targeting in particular route discontinuities and ensuring the safety of all users. The first bike plan created in 2018 has been extended and reinforced in the framework of the 2022-2027 bicycle and active mobilities plan.</w:t>
      </w:r>
    </w:p>
    <w:p w14:paraId="736091A4" w14:textId="4B3C6C0D" w:rsidR="001A4E13" w:rsidRPr="00364545" w:rsidRDefault="009D312C" w:rsidP="00BE086C">
      <w:pPr>
        <w:pStyle w:val="NormalWeb"/>
        <w:numPr>
          <w:ilvl w:val="0"/>
          <w:numId w:val="44"/>
        </w:numPr>
        <w:rPr>
          <w:rFonts w:ascii="Marianne" w:hAnsi="Marianne"/>
          <w:noProof/>
        </w:rPr>
      </w:pPr>
      <w:r w:rsidRPr="00364545">
        <w:rPr>
          <w:rFonts w:ascii="Marianne" w:hAnsi="Marianne"/>
        </w:rPr>
        <w:t>The progressive generalisation of bicycle markings, as well as the development of secure parking areas has been implemented to fight against theft and concealment;</w:t>
      </w:r>
    </w:p>
    <w:p w14:paraId="034CDC01" w14:textId="183854EC" w:rsidR="0076437B" w:rsidRPr="00364545" w:rsidRDefault="009D312C" w:rsidP="00BE086C">
      <w:pPr>
        <w:pStyle w:val="NormalWeb"/>
        <w:numPr>
          <w:ilvl w:val="0"/>
          <w:numId w:val="44"/>
        </w:numPr>
        <w:rPr>
          <w:rFonts w:ascii="Marianne" w:hAnsi="Marianne"/>
          <w:noProof/>
        </w:rPr>
      </w:pPr>
      <w:r w:rsidRPr="00364545">
        <w:rPr>
          <w:rFonts w:ascii="Marianne" w:hAnsi="Marianne"/>
        </w:rPr>
        <w:t>The development of learning and of a bike culture at school has been implemented.</w:t>
      </w:r>
    </w:p>
    <w:p w14:paraId="1C11EF60" w14:textId="71346623" w:rsidR="001A4E13" w:rsidRPr="00364545" w:rsidRDefault="001A4E13" w:rsidP="00F0578E">
      <w:r w:rsidRPr="00364545">
        <w:t>For long-distance travel, and in order to encourage the modal shift towards rail travel, air transport is taxed on plane tickets, as well as an obligation to offset emissions created by the climate-resilience law. These measures complement existing European measures (ETS and Corsia).</w:t>
      </w:r>
    </w:p>
    <w:p w14:paraId="023F40EF" w14:textId="77777777" w:rsidR="00CA2A7E" w:rsidRPr="00364545" w:rsidRDefault="00CA2A7E" w:rsidP="00F0578E"/>
    <w:p w14:paraId="7718F02B" w14:textId="77777777" w:rsidR="001A4E13" w:rsidRPr="00364545" w:rsidRDefault="001A4E13" w:rsidP="00672521">
      <w:pPr>
        <w:rPr>
          <w:b/>
          <w:i/>
          <w:noProof/>
          <w:u w:val="single"/>
        </w:rPr>
      </w:pPr>
      <w:r w:rsidRPr="00364545">
        <w:rPr>
          <w:b/>
          <w:i/>
          <w:u w:val="single"/>
        </w:rPr>
        <w:t>Supporting rail and river transport for goods</w:t>
      </w:r>
    </w:p>
    <w:p w14:paraId="12C2879A" w14:textId="381004EB" w:rsidR="001A4E13" w:rsidRPr="00364545" w:rsidRDefault="001A4E13" w:rsidP="00F0578E">
      <w:r w:rsidRPr="00364545">
        <w:rPr>
          <w:b/>
          <w:bCs/>
        </w:rPr>
        <w:t>The climate-resilience law of</w:t>
      </w:r>
      <w:r w:rsidRPr="00364545">
        <w:t xml:space="preserve"> </w:t>
      </w:r>
      <w:r w:rsidRPr="00364545">
        <w:rPr>
          <w:b/>
          <w:bCs/>
        </w:rPr>
        <w:t>24 August 2021</w:t>
      </w:r>
      <w:r w:rsidRPr="00364545">
        <w:t xml:space="preserve"> set an objective of doubling the modal share of rail freight transport by 2030, increasing from 9% (in 2019) to 18%, as well as a 50% increase in the modal share of inland waterway transport by 2030. For rail freight transport, and in the longer term, the State set a goal of achieving a modal share of 25% for rail freight transport by 2050. To reach this target, the </w:t>
      </w:r>
      <w:r w:rsidRPr="00364545">
        <w:rPr>
          <w:b/>
          <w:bCs/>
        </w:rPr>
        <w:t xml:space="preserve">National strategy for the development of rail freight transport </w:t>
      </w:r>
      <w:r w:rsidRPr="00364545">
        <w:t xml:space="preserve">identifies 72 concrete measures dealing with the economic viability of services, the improvement of the network service quality, the strengthening of the performance of infrastructures enabling the development of rail freight transport; the development of the coordination with harbours and waterways. </w:t>
      </w:r>
    </w:p>
    <w:p w14:paraId="52064C6B" w14:textId="77777777" w:rsidR="00F0578E" w:rsidRPr="00364545" w:rsidRDefault="00F0578E" w:rsidP="00F0578E"/>
    <w:p w14:paraId="59497CAE" w14:textId="12451AAB" w:rsidR="001A4E13" w:rsidRPr="00364545" w:rsidRDefault="001A4E13" w:rsidP="00F0578E">
      <w:r w:rsidRPr="00364545">
        <w:t>Combined transport, a transport system which combines road transport with other modes such as inland navigation, rail transport or short-distance maritime transport, is the subject of financial support. The aid scheme aims to reduce the additional cost linked to loading and unloading within the inter-modal chain compared to door-to-door road transport. Flat-rate aid will be paid for each inter-modal transport unit (ITU (containers, swap-bodies, semi-trailers, trailers) transshipped at a land or port terminal located on French metropolitan territory, and integrated in a transport chain including initial and final legs carried out by road at the endpoints of the main link.</w:t>
      </w:r>
    </w:p>
    <w:p w14:paraId="001CDDA7" w14:textId="77777777" w:rsidR="00F0578E" w:rsidRPr="00364545" w:rsidRDefault="00F0578E" w:rsidP="00F0578E"/>
    <w:p w14:paraId="7340FFA4" w14:textId="77777777" w:rsidR="001A4E13" w:rsidRPr="00364545" w:rsidRDefault="001A4E13" w:rsidP="00672521">
      <w:pPr>
        <w:rPr>
          <w:b/>
          <w:i/>
          <w:noProof/>
          <w:u w:val="single"/>
        </w:rPr>
      </w:pPr>
      <w:r w:rsidRPr="00364545">
        <w:rPr>
          <w:b/>
          <w:i/>
          <w:u w:val="single"/>
        </w:rPr>
        <w:t>Information for users of transport services</w:t>
      </w:r>
    </w:p>
    <w:p w14:paraId="459E179C" w14:textId="08E5F9EB" w:rsidR="001A4E13" w:rsidRPr="00364545" w:rsidRDefault="001A4E13" w:rsidP="00F0578E">
      <w:pPr>
        <w:rPr>
          <w:noProof/>
        </w:rPr>
      </w:pPr>
      <w:r w:rsidRPr="00364545">
        <w:t>A main line of action regarding the policy to support the modal shift involves improving the information for users of transport services via the greenhouse gases information system for transport services. Transport service providers for passengers and goods or removal services must provide information on the quantity of greenhouse gases emitted by the services provided for their customers.</w:t>
      </w:r>
    </w:p>
    <w:p w14:paraId="79B159ED" w14:textId="77777777" w:rsidR="00F0578E" w:rsidRPr="00364545" w:rsidRDefault="00F0578E" w:rsidP="00F0578E">
      <w:pPr>
        <w:rPr>
          <w:noProof/>
        </w:rPr>
      </w:pPr>
    </w:p>
    <w:p w14:paraId="5CFC9270" w14:textId="77777777" w:rsidR="001A4E13" w:rsidRPr="00364545" w:rsidRDefault="001A4E13" w:rsidP="00672521">
      <w:pPr>
        <w:rPr>
          <w:b/>
          <w:i/>
          <w:u w:val="single"/>
        </w:rPr>
      </w:pPr>
      <w:r w:rsidRPr="00364545">
        <w:rPr>
          <w:b/>
          <w:i/>
          <w:u w:val="single"/>
        </w:rPr>
        <w:t>Initiatives focused on several levers</w:t>
      </w:r>
    </w:p>
    <w:p w14:paraId="608AB990" w14:textId="59997AF2" w:rsidR="001A4E13" w:rsidRPr="00364545" w:rsidRDefault="001A4E13" w:rsidP="00F0578E">
      <w:pPr>
        <w:rPr>
          <w:noProof/>
        </w:rPr>
      </w:pPr>
      <w:r w:rsidRPr="00364545">
        <w:t xml:space="preserve">Conurbations with more than 150,000 inhabitants located in metropolitan France must introduce a </w:t>
      </w:r>
      <w:r w:rsidRPr="00364545">
        <w:rPr>
          <w:b/>
          <w:bCs/>
        </w:rPr>
        <w:t>low emission mobility zone</w:t>
      </w:r>
      <w:r w:rsidRPr="00364545">
        <w:t xml:space="preserve"> before 31 December 2024. For low emission zones where air quality standards are not met, diesel and similar vehicles with a date of first registration before 31 December 2010 and petrol and similar vehicles with a date of first registration before 31 December 2005 will be banned at the latest by 1 January 2025.</w:t>
      </w:r>
    </w:p>
    <w:p w14:paraId="06F3234E" w14:textId="77777777" w:rsidR="00F0578E" w:rsidRPr="00364545" w:rsidRDefault="00F0578E" w:rsidP="00F0578E">
      <w:pPr>
        <w:rPr>
          <w:noProof/>
        </w:rPr>
      </w:pPr>
    </w:p>
    <w:p w14:paraId="44FDB236" w14:textId="4423F336" w:rsidR="001A4E13" w:rsidRPr="00364545" w:rsidRDefault="001A4E13" w:rsidP="00F0578E">
      <w:pPr>
        <w:rPr>
          <w:noProof/>
        </w:rPr>
      </w:pPr>
      <w:r w:rsidRPr="00364545">
        <w:t>Funded in the framework of energy saving certificates (CEE), the EVE programme (Voluntary Commitments for the Environment - Transport and logistics) aims to accompany transport and logistics service providers (transporters, forwarders, and shippers) towards the improvement of their energy and environmental performance. It is based on three voluntary commitment measures: Objectif CO</w:t>
      </w:r>
      <w:r w:rsidRPr="00364545">
        <w:rPr>
          <w:vertAlign w:val="subscript"/>
        </w:rPr>
        <w:t>2</w:t>
      </w:r>
      <w:r w:rsidRPr="00364545">
        <w:t xml:space="preserve"> for transporters of goods and passengers, FRET21 for shippers and EVcom for forwarders.</w:t>
      </w:r>
    </w:p>
    <w:p w14:paraId="53AAA6D8" w14:textId="1BCF5375" w:rsidR="001A4E13" w:rsidRPr="00364545" w:rsidRDefault="001A4E13" w:rsidP="00BE086C">
      <w:pPr>
        <w:pStyle w:val="ListParagraph"/>
        <w:numPr>
          <w:ilvl w:val="0"/>
          <w:numId w:val="43"/>
        </w:numPr>
        <w:autoSpaceDE w:val="0"/>
        <w:autoSpaceDN w:val="0"/>
        <w:adjustRightInd w:val="0"/>
        <w:spacing w:before="240" w:after="240"/>
        <w:rPr>
          <w:noProof/>
        </w:rPr>
      </w:pPr>
      <w:r w:rsidRPr="00364545">
        <w:t>The Objectif CO2 scheme, which emerged from the commitment charter initiated in 2008, shall provide greenhouse gas emission evaluation tools for the implementation of an action plan over 3 years to reduce GHGs according to 4 areas of focus: vehicle, fuel, driver, organisation of flows.</w:t>
      </w:r>
    </w:p>
    <w:p w14:paraId="54CF9584" w14:textId="77777777" w:rsidR="001A4E13" w:rsidRPr="00364545" w:rsidRDefault="001A4E13" w:rsidP="00BE086C">
      <w:pPr>
        <w:pStyle w:val="ListParagraph"/>
        <w:numPr>
          <w:ilvl w:val="0"/>
          <w:numId w:val="43"/>
        </w:numPr>
        <w:autoSpaceDE w:val="0"/>
        <w:autoSpaceDN w:val="0"/>
        <w:adjustRightInd w:val="0"/>
        <w:spacing w:before="240" w:after="240"/>
        <w:rPr>
          <w:noProof/>
        </w:rPr>
      </w:pPr>
      <w:r w:rsidRPr="00364545">
        <w:t>The FRET21 scheme aims to encourage and support shippers in reducing greenhouse gas emissions generated by goods transport linked to their activity, through the quantification of the environmental impact of their transports and the implementation of actions to reduce their emissions over 3 years according to 4 areas of focus: loading ratio, distance travelled, means of transport, responsible purchasing.</w:t>
      </w:r>
    </w:p>
    <w:p w14:paraId="23C92C4F" w14:textId="13B9E6CD" w:rsidR="001A4E13" w:rsidRPr="00364545" w:rsidRDefault="001A4E13" w:rsidP="00BE086C">
      <w:pPr>
        <w:pStyle w:val="ListParagraph"/>
        <w:numPr>
          <w:ilvl w:val="0"/>
          <w:numId w:val="43"/>
        </w:numPr>
        <w:autoSpaceDE w:val="0"/>
        <w:autoSpaceDN w:val="0"/>
        <w:adjustRightInd w:val="0"/>
        <w:spacing w:before="240" w:after="240"/>
        <w:rPr>
          <w:noProof/>
        </w:rPr>
      </w:pPr>
      <w:r w:rsidRPr="00364545">
        <w:t>The EVcom scheme, similar to the two previous ones, is for freight forwarders. The actions to reduce their emissions over 3 years according to 4 areas of focus: own fleet, transport purchasing, client collaboration and CSR (corporate social responsibility) approach.</w:t>
      </w:r>
    </w:p>
    <w:p w14:paraId="51E9E13E" w14:textId="77777777" w:rsidR="000F4F53" w:rsidRPr="00364545" w:rsidRDefault="000F4F53" w:rsidP="000F4F53">
      <w:pPr>
        <w:ind w:left="360"/>
        <w:rPr>
          <w:rFonts w:ascii="CIDFont+F1" w:eastAsiaTheme="minorHAnsi" w:hAnsi="CIDFont+F1" w:cs="CIDFont+F1"/>
          <w:sz w:val="20"/>
          <w:szCs w:val="20"/>
        </w:rPr>
      </w:pPr>
      <w:r w:rsidRPr="00364545">
        <w:t>In the context of this programme, an environmental data exchange platform between transport actors has been implemented to establish a common tool between these three schemes and to facilitate the transmission of environmental information on transport services, such as the greenhouse gases information (see below).</w:t>
      </w:r>
    </w:p>
    <w:p w14:paraId="5DD80812" w14:textId="77777777" w:rsidR="000F4F53" w:rsidRPr="00364545" w:rsidRDefault="000F4F53" w:rsidP="000F4F53">
      <w:pPr>
        <w:autoSpaceDE w:val="0"/>
        <w:autoSpaceDN w:val="0"/>
        <w:adjustRightInd w:val="0"/>
        <w:spacing w:before="240" w:after="240"/>
        <w:rPr>
          <w:noProof/>
        </w:rPr>
      </w:pPr>
    </w:p>
    <w:p w14:paraId="77B58619" w14:textId="47C2290B" w:rsidR="001A4E13" w:rsidRPr="00364545" w:rsidRDefault="001A4E13" w:rsidP="00EF6DB6">
      <w:pPr>
        <w:pStyle w:val="Titre4niveau4"/>
        <w:rPr>
          <w:noProof/>
        </w:rPr>
      </w:pPr>
      <w:r w:rsidRPr="00364545">
        <w:t>Policies and initiatives focused on the CO</w:t>
      </w:r>
      <w:r w:rsidRPr="00364545">
        <w:rPr>
          <w:vertAlign w:val="subscript"/>
        </w:rPr>
        <w:t>2</w:t>
      </w:r>
      <w:r w:rsidRPr="00364545">
        <w:t xml:space="preserve"> emissions of international transport</w:t>
      </w:r>
    </w:p>
    <w:p w14:paraId="09E65E27" w14:textId="77777777" w:rsidR="001A4E13" w:rsidRPr="00364545" w:rsidRDefault="001A4E13" w:rsidP="00E22CF8">
      <w:pPr>
        <w:pStyle w:val="titreencadre"/>
        <w:rPr>
          <w:noProof/>
        </w:rPr>
      </w:pPr>
      <w:r w:rsidRPr="00364545">
        <w:t xml:space="preserve">Air transport </w:t>
      </w:r>
    </w:p>
    <w:p w14:paraId="65B6B563" w14:textId="77777777" w:rsidR="001A4E13" w:rsidRPr="00364545" w:rsidRDefault="001A4E13" w:rsidP="00F0578E">
      <w:pPr>
        <w:rPr>
          <w:noProof/>
        </w:rPr>
      </w:pPr>
      <w:r w:rsidRPr="00364545">
        <w:t>Intra-European flights are included in the European Union Emissions Trading System (EU ETS). Indeed, the European Union adopted the Directive 2008/101/EC of 19 November 2008 which modified the directive 2003/87/EC in order to integrate air activities in the European Union Emissions Trading System for greenhouse gases. Since 2012, the scheme has applied to all flights to and from the European Union (a temporary suspension was however granted from 24 April 2013 for international flights).</w:t>
      </w:r>
    </w:p>
    <w:p w14:paraId="291A910E" w14:textId="77777777" w:rsidR="00F0578E" w:rsidRPr="00364545" w:rsidRDefault="00F0578E" w:rsidP="00F0578E">
      <w:pPr>
        <w:rPr>
          <w:noProof/>
        </w:rPr>
      </w:pPr>
    </w:p>
    <w:p w14:paraId="2D599226" w14:textId="0EAE1BCE" w:rsidR="001A4E13" w:rsidRPr="00364545" w:rsidRDefault="001A4E13" w:rsidP="00F0578E">
      <w:pPr>
        <w:rPr>
          <w:noProof/>
        </w:rPr>
      </w:pPr>
      <w:r w:rsidRPr="00364545">
        <w:t>France incidentally supports the International Civil Aviation Organization (ICAO)’s work in favour of reducing the emissions of international air transport. In the framework of CORSIA (Carbon Offsetting and Reduction Scheme for International Aviation), airline companies must, during the 2021-2023 pilot phase, purchase carbon offsets to cover their emissions above 2019 levels, then from 2024, offset their emissions in excess of 85% of their 2019 emissions level. In the first phase, only airlines from volunteer countries (including the European Union) shall participate.</w:t>
      </w:r>
    </w:p>
    <w:p w14:paraId="50465D1D" w14:textId="77777777" w:rsidR="00F0578E" w:rsidRPr="00364545" w:rsidRDefault="00F0578E" w:rsidP="00F0578E">
      <w:pPr>
        <w:rPr>
          <w:noProof/>
        </w:rPr>
      </w:pPr>
    </w:p>
    <w:p w14:paraId="14586A8D" w14:textId="43773C05" w:rsidR="00780CF3" w:rsidRPr="00364545" w:rsidRDefault="00780CF3" w:rsidP="00F0578E">
      <w:pPr>
        <w:rPr>
          <w:noProof/>
        </w:rPr>
      </w:pPr>
      <w:r w:rsidRPr="00364545">
        <w:t>The Climate and Resilience Law of 22 August 2021 provides for several measures concerning aviation, including, in particular: i) the obligation for airline companies to offset emissions for domestic flights (including for French overseas departments), according to a progressive schedule (50%/70%/100% of emissions for 2022/2023/2024 and later) ii) the cancellation of flights when a rail alternative of less than 2.5 hours exists.</w:t>
      </w:r>
    </w:p>
    <w:p w14:paraId="604886F5" w14:textId="77777777" w:rsidR="001A4E13" w:rsidRPr="00364545" w:rsidRDefault="001A4E13" w:rsidP="00E22CF8">
      <w:pPr>
        <w:pStyle w:val="titreencadre"/>
        <w:rPr>
          <w:noProof/>
        </w:rPr>
      </w:pPr>
      <w:r w:rsidRPr="00364545">
        <w:t xml:space="preserve">Maritime transport </w:t>
      </w:r>
    </w:p>
    <w:p w14:paraId="0358B59C" w14:textId="77777777" w:rsidR="005E53DA" w:rsidRPr="00364545" w:rsidRDefault="005E53DA" w:rsidP="005E53DA">
      <w:pPr>
        <w:autoSpaceDE w:val="0"/>
        <w:autoSpaceDN w:val="0"/>
        <w:adjustRightInd w:val="0"/>
        <w:spacing w:before="240" w:after="240"/>
        <w:rPr>
          <w:noProof/>
        </w:rPr>
      </w:pPr>
      <w:r w:rsidRPr="00364545">
        <w:t>In 2015, the European Union adopted the Regulation no.2015/757 which implemented a measurement, reporting and verification (MRV) system of the CO</w:t>
      </w:r>
      <w:r w:rsidRPr="00364545">
        <w:rPr>
          <w:vertAlign w:val="subscript"/>
        </w:rPr>
        <w:t>2</w:t>
      </w:r>
      <w:r w:rsidRPr="00364545">
        <w:t xml:space="preserve"> emissions of ships. From 1st January 2018, shipping companies must measure and report their ships’ emissions every year for all travel within the EU, all travel to the EU (between the last port situated outside of the EU and first port of call located within the EU), all travel between a port in the EU and the first port of call outside of the EU, as well as CO2 emissions produced in EU ports. These rules apply without discrimination to all ships, regardless of the flag they fly. </w:t>
      </w:r>
    </w:p>
    <w:p w14:paraId="7D3BCDCD" w14:textId="77777777" w:rsidR="005E53DA" w:rsidRPr="00364545" w:rsidRDefault="005E53DA" w:rsidP="005E53DA">
      <w:pPr>
        <w:autoSpaceDE w:val="0"/>
        <w:autoSpaceDN w:val="0"/>
        <w:adjustRightInd w:val="0"/>
        <w:spacing w:before="240" w:after="240"/>
      </w:pPr>
      <w:r w:rsidRPr="00364545">
        <w:t>In the framework of the “Fit for 55” package, in July 2021, the European Commission put forward the inclusion of maritime transport in the European Union Emissions Trading System (EU ETS), as well as a draft text aiming to increase the demand for renewable and low carbon fuels in maritime transport ("FuelEU Maritime” regulation) and a draft text to encourage the deployment of alternative fuel infrastructures, especially in ports (“AFIR” regulation). The French Presidency of the European Union reached an agreement within the Council on these three texts in June 2022, and trilogue negotiations are underway.</w:t>
      </w:r>
    </w:p>
    <w:p w14:paraId="5477514D" w14:textId="4FED027B" w:rsidR="005E53DA" w:rsidRPr="00364545" w:rsidRDefault="005E53DA" w:rsidP="005E53DA">
      <w:pPr>
        <w:autoSpaceDE w:val="0"/>
        <w:autoSpaceDN w:val="0"/>
        <w:adjustRightInd w:val="0"/>
        <w:spacing w:before="240" w:after="240"/>
        <w:rPr>
          <w:noProof/>
        </w:rPr>
      </w:pPr>
      <w:r w:rsidRPr="00364545">
        <w:t>France also supports the IMO’s work in favour of reducing the emissions of international maritime transport.</w:t>
      </w:r>
    </w:p>
    <w:p w14:paraId="5BD8640D" w14:textId="7D19675D" w:rsidR="001A4E13" w:rsidRPr="00364545" w:rsidRDefault="001A4E13" w:rsidP="00EF6DB6">
      <w:pPr>
        <w:pStyle w:val="Titre4niveau4"/>
        <w:rPr>
          <w:noProof/>
        </w:rPr>
      </w:pPr>
      <w:r w:rsidRPr="00364545">
        <w:t xml:space="preserve">Measures to reduce fluorinated gas (HFC) emissions from transport </w:t>
      </w:r>
    </w:p>
    <w:p w14:paraId="23C8E693" w14:textId="4AB984E2" w:rsidR="001A4E13" w:rsidRPr="00364545" w:rsidRDefault="001A4E13" w:rsidP="00F0578E">
      <w:pPr>
        <w:rPr>
          <w:noProof/>
        </w:rPr>
      </w:pPr>
      <w:r w:rsidRPr="00364545">
        <w:t>The European Directive 2006/40/EC of 17 May 2006 and the measures taken in France to transpose it (Order of 21 December 2007 on the type-approval of motor vehicles with regard to air conditioning systems) prohibit the use of fluorinated gases with a GWP of more than 150 in motor vehicle air conditioning systems and provide for measures to limit leakage. Since 1 January 2011, the air conditioning of all new types of vehicles must be operated with a refrigerant with a GWP of less than 150. Since 1 January 2017, this ban has applied to all new vehicles. In practice, this is leading to a replacement of the refrigerant gas R-134a (GWP of 430) by the gas R-1234yf (GWP of 4), with very substantial savings.</w:t>
      </w:r>
    </w:p>
    <w:p w14:paraId="437083B6" w14:textId="70F06582" w:rsidR="00A5513E" w:rsidRPr="00364545" w:rsidRDefault="00A5513E" w:rsidP="003F57EA">
      <w:pPr>
        <w:pStyle w:val="Titre3Niveau3"/>
      </w:pPr>
      <w:bookmarkStart w:id="460" w:name="_Ref122701549"/>
      <w:bookmarkStart w:id="461" w:name="_Toc138341828"/>
      <w:r w:rsidRPr="00364545">
        <w:t>Residential/tertiary</w:t>
      </w:r>
      <w:bookmarkEnd w:id="460"/>
      <w:bookmarkEnd w:id="461"/>
    </w:p>
    <w:p w14:paraId="4E79C771" w14:textId="41F8AD49" w:rsidR="00A5513E" w:rsidRPr="00364545" w:rsidRDefault="00A5513E" w:rsidP="00F0578E">
      <w:pPr>
        <w:rPr>
          <w:highlight w:val="yellow"/>
        </w:rPr>
      </w:pPr>
      <w:r w:rsidRPr="00364545">
        <w:t>This sector represents 18% of national emissions in 2021 (excluding UTCATF).</w:t>
      </w:r>
      <w:r w:rsidRPr="00364545">
        <w:rPr>
          <w:rStyle w:val="FootnoteReference"/>
        </w:rPr>
        <w:footnoteReference w:id="23"/>
      </w:r>
      <w:r w:rsidRPr="00364545">
        <w:t xml:space="preserve"> It is the fourth largest emitting sector of greenhouse gases after the manufacturing industry, agriculture and transport sectors. Carbon dioxide (CO</w:t>
      </w:r>
      <w:r w:rsidRPr="00364545">
        <w:rPr>
          <w:vertAlign w:val="subscript"/>
        </w:rPr>
        <w:t>2</w:t>
      </w:r>
      <w:r w:rsidRPr="00364545">
        <w:t>) is the main gas emitted and it concerns 85% of the building sector’s emissions. The remaining 16% are split between fluorinated gases (8%), and other gases like nitrous oxide and methane (7%).</w:t>
      </w:r>
    </w:p>
    <w:p w14:paraId="30E50A3A" w14:textId="545CB3FF" w:rsidR="00A5513E" w:rsidRPr="00364545" w:rsidRDefault="00A5513E" w:rsidP="00EF6DB6">
      <w:pPr>
        <w:pStyle w:val="Titre4niveau4"/>
      </w:pPr>
      <w:r w:rsidRPr="00364545">
        <w:t>Initiatives aiming to reduce residential/tertiary CO</w:t>
      </w:r>
      <w:r w:rsidRPr="00364545">
        <w:rPr>
          <w:vertAlign w:val="subscript"/>
        </w:rPr>
        <w:t>2</w:t>
      </w:r>
      <w:r w:rsidRPr="00364545">
        <w:t xml:space="preserve"> emissions </w:t>
      </w:r>
    </w:p>
    <w:p w14:paraId="5DC6142E" w14:textId="4E261086" w:rsidR="00A5513E" w:rsidRPr="00364545" w:rsidRDefault="00A5513E" w:rsidP="00F0578E">
      <w:r w:rsidRPr="00364545">
        <w:t>The initiatives implemented to reduce residential/tertiary CO</w:t>
      </w:r>
      <w:r w:rsidRPr="00364545">
        <w:rPr>
          <w:vertAlign w:val="subscript"/>
        </w:rPr>
        <w:t>2</w:t>
      </w:r>
      <w:r w:rsidRPr="00364545">
        <w:t xml:space="preserve"> emissions are principally aimed at improving the thermal performance of the building envelope, encouraging the use of high-performance heating equipment and using less-carbonated energies, and improving the energy efficiency of other types of equipment (lighting, cooking, hot water for sanitary use, specific electricity). These levers are available to new buildings and existing buildings. </w:t>
      </w:r>
    </w:p>
    <w:p w14:paraId="130122FF" w14:textId="77777777" w:rsidR="00A5513E" w:rsidRPr="00364545" w:rsidRDefault="00A5513E" w:rsidP="00A5513E">
      <w:pPr>
        <w:spacing w:before="240" w:after="240"/>
        <w:rPr>
          <w:b/>
          <w:i/>
        </w:rPr>
      </w:pPr>
      <w:r w:rsidRPr="00364545">
        <w:rPr>
          <w:b/>
          <w:i/>
        </w:rPr>
        <w:t xml:space="preserve">For new buildings </w:t>
      </w:r>
    </w:p>
    <w:p w14:paraId="2DA854E6" w14:textId="3F0CB795" w:rsidR="00A5513E" w:rsidRPr="00364545" w:rsidRDefault="00A5513E" w:rsidP="00F0578E">
      <w:r w:rsidRPr="00364545">
        <w:t>The energy performance of new buildings has been integrated in the construction rules since the first 1973 oil crisis. The thermal regulations which apply to new buildings have been progressively reinforced.</w:t>
      </w:r>
    </w:p>
    <w:p w14:paraId="65EB957C" w14:textId="77777777" w:rsidR="00F0578E" w:rsidRPr="00364545" w:rsidRDefault="00F0578E" w:rsidP="00F0578E"/>
    <w:p w14:paraId="2DCDC13D" w14:textId="726EA9AF" w:rsidR="00A5513E" w:rsidRPr="00364545" w:rsidRDefault="00A5513E" w:rsidP="00F0578E">
      <w:r w:rsidRPr="00364545">
        <w:t>All buildings for which the building permit was submitted after 1 January 2013 are subject to the 2012 thermal regulations (RT 2012). These buildings must have a primary energy consumption of less than 50 kWh/m²/year on average. This obligation was applied in anticipation from 28 October 2011 for office buildings, for primary and secondary schools, and for establishments caring for small children. The requirement of 50 kWh/m²/year on average is based on the consumption of heating, cooling, lighting, hot water production for sanitary use and auxiliary installations (pumps and ventilators). This threshold is also modulated according to the geographic location, the altitude, the building’s type of usage, the average surface area of the accommodation, and the greenhouse gas emissions of the energies used. Regarding this last point, only buildings using wood energy and heating networks with the lowest CO</w:t>
      </w:r>
      <w:r w:rsidRPr="00364545">
        <w:rPr>
          <w:vertAlign w:val="subscript"/>
        </w:rPr>
        <w:t>2</w:t>
      </w:r>
      <w:r w:rsidRPr="00364545">
        <w:t xml:space="preserve"> emissions benefit from a modulation of the consumption threshold in primary energy, limited to 30% maximum.</w:t>
      </w:r>
    </w:p>
    <w:p w14:paraId="76FF7FD6" w14:textId="77777777" w:rsidR="00F0578E" w:rsidRPr="00364545" w:rsidRDefault="00F0578E" w:rsidP="00F0578E"/>
    <w:p w14:paraId="497B1827" w14:textId="55F01918" w:rsidR="00A5513E" w:rsidRPr="00364545" w:rsidRDefault="00A5513E" w:rsidP="00F0578E">
      <w:r w:rsidRPr="00364545">
        <w:t xml:space="preserve">The trialling of the "Positive Energy &amp; Carbon Reduction Buildings (E+C-)" label for the construction of exemplary buildings was launched in late 2016. This testing prepared the environmental regulations for new buildings (RE2020), which generalises positive-energy buildings and the deployment of low carbon buildings throughout their life cycle, from design to demolition. This label implements an innovative environmental standard for new buildings, which brings together requirements in terms of energy and greenhouse gas emissions in the building. Thanks to this double “energy” and “carbon” criterion, it enables project owners to choose the appropriate combination depending on the characteristics of the area, the type of building, and the costs incurred. This experimentation aims to test the adequacy between the level of environmental ambition, the control of construction costs, the capacity of companies and equipment manufacturers to meet these aims on site. France thus commits the building sector to positive-energy and low-carbon construction. </w:t>
      </w:r>
    </w:p>
    <w:p w14:paraId="6220E203" w14:textId="77777777" w:rsidR="00F0578E" w:rsidRPr="00364545" w:rsidRDefault="00F0578E" w:rsidP="00F0578E"/>
    <w:p w14:paraId="125A6597" w14:textId="20F85362" w:rsidR="00A5513E" w:rsidRPr="00364545" w:rsidRDefault="00A5513E" w:rsidP="00F0578E">
      <w:r w:rsidRPr="00364545">
        <w:t>To encourage project owners to construct model buildings from an energy and environmental point of view, the law relating to the energy transition and green growth of 17 August 2015 provides the possibility of obtaining a constructibility bonus for this type of building. The competent authority in terms of urbanism may authorise the constructibility rules to be exceeded by 30% at most for new buildings (new building or extension), if they demonstrate exemplary energy or environmental performance or are energy positive. This mechanism enables the economic balance of these operations to be improved and to absorb the extra cost linked to the effort of exemplariness, in part.</w:t>
      </w:r>
    </w:p>
    <w:p w14:paraId="71A393AA" w14:textId="77777777" w:rsidR="00F0578E" w:rsidRPr="00364545" w:rsidRDefault="00F0578E" w:rsidP="00F0578E"/>
    <w:p w14:paraId="30F80808" w14:textId="03E87858" w:rsidR="00A5513E" w:rsidRPr="00364545" w:rsidRDefault="00AD57CD" w:rsidP="00F0578E">
      <w:r w:rsidRPr="00364545">
        <w:t>France is the first country to introduce a mandatory cap on GHG emissions from new buildings calculated over the entire life cycle of the building. In 2020, France moved from a thermal regulation (RT2012) to an environmental regulation, the RE2020. Introduced by article 181 of the Evolution of Housing, Development and Digital Technology (ELAN) law, it is more ambitious and demanding for the construction sector. Thus, construction projects for single-family homes and collective housing for which a building permit application or prior declaration has been submitted as of 1 January 2022 and construction projects for offices and primary and secondary education buildings for which a building permit application or prior declaration has been submitted as of 1 July 2022 are subject to the RE2020. RE2020 implements an innovative environmental standard for new buildings, assembling requirements in terms of reducing energy consumption, developing the use of renewable energies, and taking into account greenhouse gas emissions over the building’s entire life cycle (from its construction to its demolition, as well as its use).</w:t>
      </w:r>
    </w:p>
    <w:p w14:paraId="5EDAEC53" w14:textId="77777777" w:rsidR="00F0578E" w:rsidRPr="00364545" w:rsidRDefault="00F0578E" w:rsidP="00F0578E"/>
    <w:p w14:paraId="3658DAE5" w14:textId="0E835184" w:rsidR="00A5513E" w:rsidRPr="00364545" w:rsidRDefault="00A5513E" w:rsidP="00F0578E">
      <w:r w:rsidRPr="00364545">
        <w:t>In addition, since 2008, for all new buildings with a surface area of more than 1,000 m², a technical and economic feasibility study of the various energy supply solutions for the building must be carried out. This initiative aims to encourage the use of renewable energies and the most efficient systems. In 2014, the field of application of this initiative was extended to all new buildings over 50</w:t>
      </w:r>
      <w:r w:rsidRPr="00364545">
        <w:rPr>
          <w:rFonts w:ascii="Calibri" w:hAnsi="Calibri"/>
        </w:rPr>
        <w:t> </w:t>
      </w:r>
      <w:r w:rsidRPr="00364545">
        <w:t xml:space="preserve">m² (except for detached or semi-detached houses and extensions of existing buildings). </w:t>
      </w:r>
    </w:p>
    <w:p w14:paraId="575A2A20" w14:textId="77777777" w:rsidR="00F0578E" w:rsidRPr="00364545" w:rsidRDefault="00F0578E" w:rsidP="00F0578E"/>
    <w:p w14:paraId="09D261AE" w14:textId="1D04AC7E" w:rsidR="00A5513E" w:rsidRPr="00364545" w:rsidRDefault="00A5513E" w:rsidP="00F0578E">
      <w:r w:rsidRPr="00364545">
        <w:t>In addition, in order to promote the use of local resources, to boost the local economic fabric and to encourage the development and structuring of eco-industries in the regions, and to offer a wider choice of materials and products for building owners, a "Biosourced building" label was created in 2012. The attribution of this label (according to 3 requirement levels defined by decree) aims, for project owners who request them, to enhance new constructions integrating a significant proportion of biomass in the materials used.</w:t>
      </w:r>
    </w:p>
    <w:p w14:paraId="7EAB8992" w14:textId="77777777" w:rsidR="00F0578E" w:rsidRPr="00364545" w:rsidRDefault="00F0578E" w:rsidP="00F0578E"/>
    <w:p w14:paraId="66FA058F" w14:textId="63795B82" w:rsidR="00A5513E" w:rsidRPr="00364545" w:rsidRDefault="00A5513E" w:rsidP="00F0578E">
      <w:r w:rsidRPr="00364545">
        <w:t>Finally, the energy transition for green growth act of August 2015 stipulates that new public building constructions (constructions under State supervision of public establishments or regional and local authorities) must demonstrate energetic and environmental exemplariness and must be, wherever possible, energy positive and have a high environmental performance. This obligation came into effect in 2017.</w:t>
      </w:r>
    </w:p>
    <w:p w14:paraId="41B8870F" w14:textId="77777777" w:rsidR="00F0578E" w:rsidRPr="00364545" w:rsidRDefault="00F0578E" w:rsidP="00F0578E"/>
    <w:p w14:paraId="20B42561" w14:textId="77777777" w:rsidR="00A5513E" w:rsidRPr="00364545" w:rsidRDefault="00A5513E" w:rsidP="00A5513E">
      <w:pPr>
        <w:rPr>
          <w:b/>
          <w:i/>
        </w:rPr>
      </w:pPr>
      <w:r w:rsidRPr="00364545">
        <w:rPr>
          <w:b/>
          <w:i/>
        </w:rPr>
        <w:t xml:space="preserve">Renovations to existing buildings </w:t>
      </w:r>
    </w:p>
    <w:p w14:paraId="3A0AB954" w14:textId="77777777" w:rsidR="00A5513E" w:rsidRPr="00364545" w:rsidRDefault="00A5513E" w:rsidP="00F0578E">
      <w:pPr>
        <w:rPr>
          <w:highlight w:val="yellow"/>
        </w:rPr>
      </w:pPr>
      <w:r w:rsidRPr="00364545">
        <w:t xml:space="preserve">The </w:t>
      </w:r>
      <w:r w:rsidRPr="00364545">
        <w:rPr>
          <w:b/>
          <w:bCs/>
        </w:rPr>
        <w:t>energy renovation plan for buildings</w:t>
      </w:r>
      <w:r w:rsidRPr="00364545">
        <w:t>, presented in April 2018, made energy renovation a national priority and sets out the short-term priority lines of action in order to: massify and improve renovation, reinforce support to accompany all households in renovation works, make public buildings exemplary in terms of energy efficiency, and encourage territories through the mobilisation of local stakeholders. The aim is to obtain carbon neutrality by 2050 while pursuing a social objective to fight against energy insecurity.</w:t>
      </w:r>
    </w:p>
    <w:p w14:paraId="5C032CD6" w14:textId="77777777" w:rsidR="00F0578E" w:rsidRPr="00364545" w:rsidRDefault="00F0578E" w:rsidP="00F0578E"/>
    <w:p w14:paraId="4874A31B" w14:textId="45D6C9A9" w:rsidR="00A5513E" w:rsidRPr="00364545" w:rsidRDefault="00A5513E" w:rsidP="00F0578E">
      <w:pPr>
        <w:rPr>
          <w:highlight w:val="yellow"/>
        </w:rPr>
      </w:pPr>
      <w:r w:rsidRPr="00364545">
        <w:t>The plan involves, in particular: creating a guarantee fund of over 50 million Euros to help 75,000 low-income households per year; simplifying aids by turning the energy transition tax credit into a premium (see below) and by adapting existing loans; improving the reliability of the housing energy label and the energy performance certificate (EPC), for more trust; providing better training for professionals and better control of the quality of works by amending the RGE label (recognised as environmentally friendly) and by investing 30 million Euros to train professionals, 40 million Euros in innovation; encouraging a massive renovation of public buildings belonging to the State and local authorities by mobilizing 4.8 billion Euros.</w:t>
      </w:r>
    </w:p>
    <w:p w14:paraId="2959895C" w14:textId="77777777" w:rsidR="00F0578E" w:rsidRPr="00364545" w:rsidRDefault="00F0578E" w:rsidP="00F0578E"/>
    <w:p w14:paraId="3DA2299C" w14:textId="2445EB1D" w:rsidR="00A5513E" w:rsidRPr="00364545" w:rsidRDefault="00A5513E" w:rsidP="00F0578E">
      <w:r w:rsidRPr="00364545">
        <w:t>The French energy-climate law (LEC) of 2019 made the emissions reduction of the building sector a major line of action. The LEC aims to renovate all thermal sieves (housing which consumes over 331</w:t>
      </w:r>
      <w:r w:rsidRPr="00364545">
        <w:rPr>
          <w:rFonts w:ascii="Calibri" w:hAnsi="Calibri"/>
        </w:rPr>
        <w:t> </w:t>
      </w:r>
      <w:r w:rsidRPr="00364545">
        <w:t>kWh/m²) by 2028, with an initial phase to provide information and incentives to home-owners to carry out works during the 2021-2022 period, then a second obligatory phase for home-owners to carry out works on thermal sieves by 2028, failing which, penalties will be applied which will be defined at a later stage.</w:t>
      </w:r>
    </w:p>
    <w:p w14:paraId="08AAB542" w14:textId="77777777" w:rsidR="00F0578E" w:rsidRPr="00364545" w:rsidRDefault="00F0578E" w:rsidP="00F0578E"/>
    <w:p w14:paraId="1123279B" w14:textId="41377C5C" w:rsidR="00A5513E" w:rsidRPr="00364545" w:rsidRDefault="00A5513E" w:rsidP="00F0578E">
      <w:r w:rsidRPr="00364545">
        <w:t xml:space="preserve">These measures taken since 2017 complete the already existing measures. </w:t>
      </w:r>
    </w:p>
    <w:p w14:paraId="0CB3284C" w14:textId="77777777" w:rsidR="00A5513E" w:rsidRPr="00364545" w:rsidRDefault="00A5513E" w:rsidP="00EF6DB6">
      <w:pPr>
        <w:pStyle w:val="Titre4niveau4"/>
      </w:pPr>
      <w:r w:rsidRPr="00364545">
        <w:t>Regulations aiming to guarantee the quality of renovations</w:t>
      </w:r>
    </w:p>
    <w:p w14:paraId="501DADEC" w14:textId="085D6D96" w:rsidR="00A5513E" w:rsidRPr="00364545" w:rsidRDefault="00A5513E" w:rsidP="00F0578E">
      <w:r w:rsidRPr="00364545">
        <w:t xml:space="preserve">The </w:t>
      </w:r>
      <w:r w:rsidRPr="00364545">
        <w:rPr>
          <w:b/>
          <w:bCs/>
        </w:rPr>
        <w:t>Thermal Regulation</w:t>
      </w:r>
      <w:r w:rsidRPr="00364545">
        <w:t xml:space="preserve"> (RT) aims to ensure a significant improvement of the energy performance of an existing building during its renovation. The applicable measures, the “global RT” and the “RT per element”, differ according to the significance of the work undertaken. For major renovation works of buildings with more than 1000</w:t>
      </w:r>
      <w:r w:rsidRPr="00364545">
        <w:rPr>
          <w:rFonts w:ascii="Calibri" w:hAnsi="Calibri"/>
        </w:rPr>
        <w:t> </w:t>
      </w:r>
      <w:r w:rsidRPr="00364545">
        <w:t>m², the global RT defines an overall energy performance objective for renovated buildings, except for those built before 1948. For buildings with less than 1000 m² or for buildings with more than 1000 m² in need of light renovation, the RT per element defines a minimum performance for the replaced or installed elements: it covers, amongst others, insulation (opaque and glass walls), heating, hot water production, cold water production, and ventilation equipment. The requirements of the RT per element were tightened in 2017 (for entry into force of the new provisions on 1 January 2018).</w:t>
      </w:r>
    </w:p>
    <w:p w14:paraId="40DCF610" w14:textId="77777777" w:rsidR="00F0578E" w:rsidRPr="00364545" w:rsidRDefault="00F0578E" w:rsidP="00F0578E"/>
    <w:p w14:paraId="10E5255B" w14:textId="17DE2924" w:rsidR="0032106B" w:rsidRPr="00364545" w:rsidRDefault="0032106B" w:rsidP="00F0578E">
      <w:r w:rsidRPr="00364545">
        <w:t>In addition, the “</w:t>
      </w:r>
      <w:r w:rsidRPr="00364545">
        <w:rPr>
          <w:b/>
        </w:rPr>
        <w:t>High Energy Performance (HEP) renovation” label</w:t>
      </w:r>
      <w:r w:rsidRPr="00364545">
        <w:t xml:space="preserve"> encourages the voluntary action of project owners wishing to conduct a high-performance or very high-performance renovation operation (thus characterised by a </w:t>
      </w:r>
      <w:r w:rsidRPr="00364545">
        <w:rPr>
          <w:b/>
          <w:bCs/>
        </w:rPr>
        <w:t>“Low Energy Building”</w:t>
      </w:r>
      <w:r w:rsidRPr="00364545">
        <w:t xml:space="preserve"> level), from an energy point of view. It certifies that the building adheres to a high energy performance level, as well as a minimum level of comfort in summer. </w:t>
      </w:r>
    </w:p>
    <w:p w14:paraId="31D17A03" w14:textId="77777777" w:rsidR="00F0578E" w:rsidRPr="00364545" w:rsidRDefault="00F0578E" w:rsidP="00F0578E"/>
    <w:p w14:paraId="41D6D9AB" w14:textId="0D9BECA0" w:rsidR="0032106B" w:rsidRPr="00364545" w:rsidRDefault="0032106B" w:rsidP="00F0578E">
      <w:r w:rsidRPr="00364545">
        <w:t xml:space="preserve">In addition, since 1 January 2008, any building of more than 1,000 m² undergoing major renovation must be subject, in the same way as a new building, to an energy supply </w:t>
      </w:r>
      <w:r w:rsidRPr="00364545">
        <w:rPr>
          <w:b/>
        </w:rPr>
        <w:t>feasibility study</w:t>
      </w:r>
      <w:r w:rsidRPr="00364545">
        <w:t>, so as to encourage the project owner to use a renewable energy source or a highly efficient system.</w:t>
      </w:r>
    </w:p>
    <w:p w14:paraId="75EE7328" w14:textId="77777777" w:rsidR="00F0578E" w:rsidRPr="00364545" w:rsidRDefault="00F0578E" w:rsidP="00F0578E"/>
    <w:p w14:paraId="05699981" w14:textId="1979EFBA" w:rsidR="00A5513E" w:rsidRPr="00364545" w:rsidRDefault="0032106B" w:rsidP="00F0578E">
      <w:r w:rsidRPr="00364545">
        <w:t>Finally, since 1st July 2022, the installation of new boilers in buildings must meet a minimum environmental performance standard. Thus, unless an exception is authorised, the equipment’s level of greenhouse gas emissions must be below 300 gCO</w:t>
      </w:r>
      <w:r w:rsidRPr="00364545">
        <w:rPr>
          <w:vertAlign w:val="subscript"/>
        </w:rPr>
        <w:t>2e</w:t>
      </w:r>
      <w:r w:rsidRPr="00364545">
        <w:t xml:space="preserve"> / kWh LHV, effectively excluding oil-fired boilers.</w:t>
      </w:r>
    </w:p>
    <w:p w14:paraId="3F328F2E" w14:textId="77777777" w:rsidR="00A5513E" w:rsidRPr="00364545" w:rsidRDefault="00A5513E" w:rsidP="00EF6DB6">
      <w:pPr>
        <w:pStyle w:val="Titre4niveau4"/>
      </w:pPr>
      <w:r w:rsidRPr="00364545">
        <w:t xml:space="preserve">Financial aid for renovation </w:t>
      </w:r>
    </w:p>
    <w:p w14:paraId="11AB9CB9" w14:textId="77777777" w:rsidR="00A5513E" w:rsidRPr="00364545" w:rsidRDefault="00A5513E" w:rsidP="00F0578E">
      <w:r w:rsidRPr="00364545">
        <w:t xml:space="preserve">To encourage energy retrofits, financial help is available for private individuals, as well as for providers of social housing. Private individuals can benefit from the 0% Eco Loan and the energy transition tax credit. Specific complementary aids are expected for households with modest incomes. Providers of social housing can obtain the social housing Eco Loan. </w:t>
      </w:r>
    </w:p>
    <w:p w14:paraId="1BADB31E" w14:textId="13E3B33C" w:rsidR="0032106B" w:rsidRPr="00364545" w:rsidRDefault="0032106B" w:rsidP="00F0578E">
      <w:r w:rsidRPr="00364545">
        <w:rPr>
          <w:b/>
        </w:rPr>
        <w:t>Until 2020, the tax credit for energy transition (CITE)</w:t>
      </w:r>
      <w:r w:rsidRPr="00364545">
        <w:t xml:space="preserve"> made it possible to deduct from income tax 15% to 30% of the expenses incurred for certain energy performance improvement work. The aim of this incentive was to encourage private individuals to carry out energy improvement work in their homes while supporting the most efficient technologies in terms of reduced energy consumption, thus allowing the various markets to develop towards higher performance standards. CITE was focussed on the most efficient building works and equipment.</w:t>
      </w:r>
    </w:p>
    <w:p w14:paraId="71BD40DD" w14:textId="7340C3AA" w:rsidR="0032106B" w:rsidRPr="00364545" w:rsidRDefault="0032106B" w:rsidP="00F0578E">
      <w:r w:rsidRPr="00364545">
        <w:t>Since 1st January 2020, CITE was replaced by “MaPrimeRénov’”, accessible to all home-owners and all joint ownership properties built at least 15 years previously. Its amount is adjusted according to the household income and the type of works. In 2021, MaPrimerénov’ funded the renovation of nearly 650,000 homes, for a budget of a little over two billion Euros.</w:t>
      </w:r>
    </w:p>
    <w:p w14:paraId="046E5C9E" w14:textId="27582FB6" w:rsidR="0032106B" w:rsidRPr="00364545" w:rsidRDefault="0032106B" w:rsidP="00F0578E">
      <w:r w:rsidRPr="00364545">
        <w:t>For low income households, this incentive is complemented by the “MaPrimeRénov’ Sérénité” aid, which finances overall renovation work allowing for an energy gain (in primary energy) of at least 35%. The aid covers up to 35% (for low-income households) and 50% (for very low-income households) of the cost of works (excluding taxes). This aid also provides for a specific project owner support for home-owners.</w:t>
      </w:r>
    </w:p>
    <w:p w14:paraId="7D2B2A90" w14:textId="77777777" w:rsidR="00F0578E" w:rsidRPr="00364545" w:rsidRDefault="00F0578E" w:rsidP="00F0578E"/>
    <w:p w14:paraId="18E3D678" w14:textId="77777777" w:rsidR="0032106B" w:rsidRPr="00364545" w:rsidRDefault="0032106B" w:rsidP="00F0578E">
      <w:r w:rsidRPr="00364545">
        <w:t xml:space="preserve">The </w:t>
      </w:r>
      <w:r w:rsidRPr="00364545">
        <w:rPr>
          <w:b/>
          <w:bCs/>
        </w:rPr>
        <w:t>0% Eco Loan</w:t>
      </w:r>
      <w:r w:rsidRPr="00364545">
        <w:t xml:space="preserve"> allows people to benefit from a 0% interest loan of 30,000 Euros (€50,000 in the case of an “Overall performance” 0% Eco Loan) to fund a cluster of energy renovation works. It is aimed at owner-occupiers or landlords. </w:t>
      </w:r>
    </w:p>
    <w:p w14:paraId="6B34FFE3" w14:textId="77777777" w:rsidR="00F0578E" w:rsidRPr="00364545" w:rsidRDefault="00F0578E" w:rsidP="00F0578E"/>
    <w:p w14:paraId="77A76E7D" w14:textId="176DD299" w:rsidR="0032106B" w:rsidRPr="00364545" w:rsidRDefault="0032106B" w:rsidP="00F0578E">
      <w:r w:rsidRPr="00364545">
        <w:t>The renovation advance loan is dedicated to financing the households’ remaining payments via a deferred reimbursement, when the accommodation is sold or transferred via inheritance.</w:t>
      </w:r>
    </w:p>
    <w:p w14:paraId="6D46BAC0" w14:textId="77777777" w:rsidR="0032106B" w:rsidRPr="00364545" w:rsidRDefault="0032106B" w:rsidP="00F0578E">
      <w:r w:rsidRPr="00364545">
        <w:t xml:space="preserve">Since 2015, the main support measures are subjected to an </w:t>
      </w:r>
      <w:r w:rsidRPr="00364545">
        <w:rPr>
          <w:b/>
          <w:bCs/>
        </w:rPr>
        <w:t>eco-conditionality criterion</w:t>
      </w:r>
      <w:r w:rsidRPr="00364545">
        <w:t>: to qualify, private individuals must use companies that are recognised as environmentally friendly (“</w:t>
      </w:r>
      <w:r w:rsidRPr="00364545">
        <w:rPr>
          <w:i/>
          <w:iCs/>
        </w:rPr>
        <w:t>Reconnues Garantes de l’Environnement</w:t>
      </w:r>
      <w:r w:rsidRPr="00364545">
        <w:t>” (RGE)). The competency of the company involved in the various tasks linked to the works in the building is indeed a key aspect of the construction quality. The training course for building professionals is supported through the “</w:t>
      </w:r>
      <w:r w:rsidRPr="00364545">
        <w:rPr>
          <w:b/>
          <w:bCs/>
        </w:rPr>
        <w:t>FEEBat</w:t>
      </w:r>
      <w:r w:rsidRPr="00364545">
        <w:t>” (</w:t>
      </w:r>
      <w:r w:rsidRPr="00364545">
        <w:rPr>
          <w:i/>
          <w:iCs/>
        </w:rPr>
        <w:t>Formation aux Economies d’Energie des entreprises et artisans du Bâtiment</w:t>
      </w:r>
      <w:r w:rsidRPr="00364545">
        <w:t xml:space="preserve"> - Energy Saving Training Course for Construction companies and artisans) initiative which receives funding from energy efficiency certificates (EEC). This initiative allows professionals to benefit from energy-saving training courses provided by authorised bodies offering advantageous financial conditions all over the country. The FEEBat scheme is being strengthened in the context of the next period of energy saving certificates and in line with the introduction of eco-cross-compliance of incentive schemes: the training objectives have been revised upwards to 25,000 trainees per year and new training bodies are joining the scheme to increase its capacity. </w:t>
      </w:r>
    </w:p>
    <w:p w14:paraId="03D3506B" w14:textId="77777777" w:rsidR="00F0578E" w:rsidRPr="00364545" w:rsidRDefault="00F0578E" w:rsidP="00F0578E"/>
    <w:p w14:paraId="4D775601" w14:textId="5A3A2611" w:rsidR="0032106B" w:rsidRPr="00364545" w:rsidRDefault="0032106B" w:rsidP="00F0578E">
      <w:r w:rsidRPr="00364545">
        <w:t xml:space="preserve">The </w:t>
      </w:r>
      <w:r w:rsidRPr="00364545">
        <w:rPr>
          <w:b/>
        </w:rPr>
        <w:t xml:space="preserve">energy-saving helping hand for households </w:t>
      </w:r>
      <w:r w:rsidRPr="00364545">
        <w:t>provides for the implementation, in the context of the energy efficiency certificates</w:t>
      </w:r>
      <w:r w:rsidRPr="00364545">
        <w:rPr>
          <w:b/>
        </w:rPr>
        <w:t xml:space="preserve"> (EEC), </w:t>
      </w:r>
      <w:r w:rsidRPr="00364545">
        <w:t xml:space="preserve">of rewards for certain operations for which the applicant has engaged in through a charter, enabling significant bonuses to be granted for households, thus decreasing their charges during works. The reward concerns operations for which the applicant of EECs is a signatory of one of the following commitment charters: “Coup de pouce Chauffage” (replacement of gas, fuel oil or coal equipment with renewable equipment), “Coup de pouce rénovation performante”. All households can benefit from this offer. The bonus amounts attributed are, however, differentiated according to their income levels. Low-income households benefit from the highest bonuses. </w:t>
      </w:r>
    </w:p>
    <w:p w14:paraId="0F5C7A17" w14:textId="77777777" w:rsidR="00F0578E" w:rsidRPr="00364545" w:rsidRDefault="00F0578E" w:rsidP="00F0578E">
      <w:pPr>
        <w:rPr>
          <w:b/>
          <w:bCs/>
        </w:rPr>
      </w:pPr>
    </w:p>
    <w:p w14:paraId="762B40BF" w14:textId="2DCA8E8C" w:rsidR="0032106B" w:rsidRPr="00364545" w:rsidRDefault="0032106B" w:rsidP="00F0578E">
      <w:r w:rsidRPr="00364545">
        <w:t xml:space="preserve">The </w:t>
      </w:r>
      <w:r w:rsidRPr="00364545">
        <w:rPr>
          <w:b/>
          <w:bCs/>
        </w:rPr>
        <w:t>social house eco-loan (éco-PLS)</w:t>
      </w:r>
      <w:r w:rsidRPr="00364545">
        <w:t xml:space="preserve"> is a subsidised loan whose rate varies depending on the duration and whose amount varies depending on the energy savings achieved due to the work being funded. In particular, it is accessible to housing organisations with a low rent, semi-public companies, municipalities which own or manage social housing, in the context of the thermal renovation of energy-intensive housing. The social house eco-loan funds energy-saving work enabling a home to go from a primary energy consumption of over 230</w:t>
      </w:r>
      <w:r w:rsidRPr="00364545">
        <w:rPr>
          <w:rFonts w:ascii="Calibri" w:hAnsi="Calibri"/>
        </w:rPr>
        <w:t> </w:t>
      </w:r>
      <w:r w:rsidRPr="00364545">
        <w:t>kWh/m</w:t>
      </w:r>
      <w:r w:rsidRPr="00364545">
        <w:rPr>
          <w:vertAlign w:val="superscript"/>
        </w:rPr>
        <w:t>2</w:t>
      </w:r>
      <w:r w:rsidRPr="00364545">
        <w:t>/year to a consumption of less than 150</w:t>
      </w:r>
      <w:r w:rsidRPr="00364545">
        <w:rPr>
          <w:rFonts w:ascii="Calibri" w:hAnsi="Calibri"/>
        </w:rPr>
        <w:t> </w:t>
      </w:r>
      <w:r w:rsidRPr="00364545">
        <w:t>kWh/m</w:t>
      </w:r>
      <w:r w:rsidRPr="00364545">
        <w:rPr>
          <w:vertAlign w:val="superscript"/>
        </w:rPr>
        <w:t>2</w:t>
      </w:r>
      <w:r w:rsidRPr="00364545">
        <w:t>/year.</w:t>
      </w:r>
    </w:p>
    <w:p w14:paraId="4ECB4B01" w14:textId="77777777" w:rsidR="00F0578E" w:rsidRPr="00364545" w:rsidRDefault="00F0578E" w:rsidP="00F0578E"/>
    <w:p w14:paraId="745FDE2A" w14:textId="77777777" w:rsidR="0032106B" w:rsidRPr="00364545" w:rsidRDefault="0032106B" w:rsidP="00F0578E">
      <w:r w:rsidRPr="00364545">
        <w:t xml:space="preserve">In addition to financial aids, the initiatives were implemented to facilitate the funding of energy retrofit works: </w:t>
      </w:r>
    </w:p>
    <w:p w14:paraId="1CDAD7FD" w14:textId="67A8233F" w:rsidR="0032106B" w:rsidRPr="00364545" w:rsidRDefault="0032106B" w:rsidP="00BE086C">
      <w:pPr>
        <w:numPr>
          <w:ilvl w:val="0"/>
          <w:numId w:val="14"/>
        </w:numPr>
        <w:spacing w:before="240" w:after="240"/>
      </w:pPr>
      <w:r w:rsidRPr="00364545">
        <w:t xml:space="preserve">A complete legal framework has been implemented on </w:t>
      </w:r>
      <w:r w:rsidRPr="00364545">
        <w:rPr>
          <w:b/>
          <w:bCs/>
        </w:rPr>
        <w:t>third-party financing</w:t>
      </w:r>
      <w:r w:rsidRPr="00364545">
        <w:t>.</w:t>
      </w:r>
      <w:r w:rsidRPr="00364545">
        <w:rPr>
          <w:b/>
        </w:rPr>
        <w:t xml:space="preserve"> </w:t>
      </w:r>
      <w:r w:rsidRPr="00364545">
        <w:t>Third-party financing is an energy retrofit offer including the financing operation and a post-renovation follow-up, in such a way that the owner has nothing to pay, as the future energy savings will gradually reimburse all or part of the investment;</w:t>
      </w:r>
    </w:p>
    <w:p w14:paraId="129CB996" w14:textId="77777777" w:rsidR="0032106B" w:rsidRPr="00364545" w:rsidRDefault="0032106B" w:rsidP="00BE086C">
      <w:pPr>
        <w:numPr>
          <w:ilvl w:val="0"/>
          <w:numId w:val="13"/>
        </w:numPr>
        <w:spacing w:before="240" w:after="240"/>
      </w:pPr>
      <w:r w:rsidRPr="00364545">
        <w:t xml:space="preserve">A </w:t>
      </w:r>
      <w:r w:rsidRPr="00364545">
        <w:rPr>
          <w:b/>
        </w:rPr>
        <w:t xml:space="preserve">guarantee fund for energy renovation </w:t>
      </w:r>
      <w:r w:rsidRPr="00364545">
        <w:t xml:space="preserve">was created by the energy transition for green growth act (LTECV) of August 2015 to facilitate the funding of energy performance improvement works for existing housing. It enables banking institutions to benefit from a guarantee when a loan is granted to low-income home-owners of existing properties, who are funding energy retrofit works. </w:t>
      </w:r>
    </w:p>
    <w:p w14:paraId="3D3AE840" w14:textId="1B81502F" w:rsidR="00A5513E" w:rsidRPr="00364545" w:rsidRDefault="0032106B" w:rsidP="00BE086C">
      <w:pPr>
        <w:pStyle w:val="ListParagraph"/>
        <w:numPr>
          <w:ilvl w:val="0"/>
          <w:numId w:val="13"/>
        </w:numPr>
        <w:spacing w:before="240" w:after="240"/>
      </w:pPr>
      <w:r w:rsidRPr="00364545">
        <w:t xml:space="preserve">A </w:t>
      </w:r>
      <w:r w:rsidRPr="00364545">
        <w:rPr>
          <w:b/>
          <w:bCs/>
        </w:rPr>
        <w:t>reduced VAT</w:t>
      </w:r>
      <w:r w:rsidRPr="00364545">
        <w:t xml:space="preserve"> (value added tax) rate of 5.5% applies to energy efficiency improvements in housing, which helps to keep costs down. </w:t>
      </w:r>
    </w:p>
    <w:p w14:paraId="17ECB832" w14:textId="77777777" w:rsidR="00A5513E" w:rsidRPr="00364545" w:rsidRDefault="00A5513E" w:rsidP="00EF6DB6">
      <w:pPr>
        <w:pStyle w:val="Titre4niveau4"/>
      </w:pPr>
      <w:r w:rsidRPr="00364545">
        <w:t xml:space="preserve">Information and support initiatives </w:t>
      </w:r>
    </w:p>
    <w:p w14:paraId="6F63060A" w14:textId="77777777" w:rsidR="00A5513E" w:rsidRPr="00364545" w:rsidRDefault="00A5513E" w:rsidP="00F0578E">
      <w:pPr>
        <w:rPr>
          <w:b/>
          <w:bCs/>
        </w:rPr>
      </w:pPr>
      <w:r w:rsidRPr="00364545">
        <w:t>Initiatives have been implemented to promote the provision of information to users on the energy performance of the buildings that they live in, as well as on existing aids for renovation:</w:t>
      </w:r>
    </w:p>
    <w:p w14:paraId="44EBB075" w14:textId="7A5F3572" w:rsidR="00A5513E" w:rsidRPr="00364545" w:rsidRDefault="0032106B" w:rsidP="00BE086C">
      <w:pPr>
        <w:pStyle w:val="ListParagraph"/>
        <w:numPr>
          <w:ilvl w:val="0"/>
          <w:numId w:val="12"/>
        </w:numPr>
        <w:spacing w:before="240" w:after="240"/>
      </w:pPr>
      <w:r w:rsidRPr="00364545">
        <w:t xml:space="preserve">The </w:t>
      </w:r>
      <w:r w:rsidRPr="00364545">
        <w:rPr>
          <w:b/>
          <w:bCs/>
        </w:rPr>
        <w:t>Energy Performance Certificates</w:t>
      </w:r>
      <w:r w:rsidRPr="00364545">
        <w:t xml:space="preserve"> (EPC) provides information on the energy performance of a home or building, by evaluating its energy consumption and its impact in terms of greenhouse gas emissions. The diagnosis also includes recommendations which enable the buyer, the owner, the lessor or the tenant to find out about the most effective ways of saving energy. Since 2006, an EPC must be established when selling any building or part of a building, regardless of its use (residential or tertiary). Since 2007, an EPC must be established when a home or building is rented out for primary residential use. Under Article 179 of the ELAN law of 2018, from 1 July 2021, the Energy Performance Assessment is no longer for information but enforceable. From 1st April 2023, the performance of a </w:t>
      </w:r>
      <w:r w:rsidRPr="00364545">
        <w:rPr>
          <w:b/>
          <w:bCs/>
        </w:rPr>
        <w:t>regulatory energy audit,</w:t>
      </w:r>
      <w:r w:rsidRPr="00364545">
        <w:t xml:space="preserve"> complementing the energy performance certificate, will be obligatory for all sales of detached houses and single ownership multi-dwelling buildings and presenting low energy performances:</w:t>
      </w:r>
    </w:p>
    <w:p w14:paraId="20DD580A" w14:textId="52A7E476" w:rsidR="00A5513E" w:rsidRPr="00364545" w:rsidRDefault="00A5513E" w:rsidP="00BE086C">
      <w:pPr>
        <w:numPr>
          <w:ilvl w:val="0"/>
          <w:numId w:val="12"/>
        </w:numPr>
        <w:spacing w:before="240" w:after="240"/>
      </w:pPr>
      <w:r w:rsidRPr="00364545">
        <w:t xml:space="preserve">Prior to 1st January 2017, mixed ownerships built before 2000 including 50 units or more and equipped with collective heating or cooling systems had to carry out an </w:t>
      </w:r>
      <w:r w:rsidRPr="00364545">
        <w:rPr>
          <w:b/>
          <w:bCs/>
        </w:rPr>
        <w:t>energy audit</w:t>
      </w:r>
      <w:r w:rsidRPr="00364545">
        <w:t xml:space="preserve">. This audit includes, for each mixed ownership building, the estimation of the building’s annual energy consumption linked to heating, cooling, hot water production for sanitary use, lighting and ventilation. The audit must include proposals for works aiming to improve the building’s energy performance: </w:t>
      </w:r>
    </w:p>
    <w:p w14:paraId="668741CF" w14:textId="513F2C92" w:rsidR="00A5513E" w:rsidRPr="00364545" w:rsidRDefault="00AD57CD" w:rsidP="00BE086C">
      <w:pPr>
        <w:numPr>
          <w:ilvl w:val="0"/>
          <w:numId w:val="12"/>
        </w:numPr>
        <w:spacing w:before="240" w:after="240"/>
      </w:pPr>
      <w:r w:rsidRPr="00364545">
        <w:rPr>
          <w:b/>
        </w:rPr>
        <w:t>France is the first country to make "green leases" mandatory.</w:t>
      </w:r>
      <w:r w:rsidRPr="00364545">
        <w:t xml:space="preserve"> Since 2012, for business premises for office or retail use with a surface area of more than 2,000 m², an </w:t>
      </w:r>
      <w:r w:rsidRPr="00364545">
        <w:rPr>
          <w:b/>
          <w:bCs/>
        </w:rPr>
        <w:t>environmental appendix</w:t>
      </w:r>
      <w:r w:rsidRPr="00364545">
        <w:t xml:space="preserve"> (known as a "green lease") must accompany the contract for newly concluded or renewed leases. Since July 2013, it is obligatory for all ongoing leases. The environmental annex must include a description of the energy characteristics for the equipment and systems, their actual water and energy consumption and the quantity of waste generated by the building. </w:t>
      </w:r>
    </w:p>
    <w:p w14:paraId="4A41B22F" w14:textId="719588EF" w:rsidR="0032106B" w:rsidRPr="00364545" w:rsidRDefault="0032106B" w:rsidP="00BE086C">
      <w:pPr>
        <w:numPr>
          <w:ilvl w:val="0"/>
          <w:numId w:val="12"/>
        </w:numPr>
        <w:spacing w:before="240" w:after="240"/>
      </w:pPr>
      <w:r w:rsidRPr="00364545">
        <w:t xml:space="preserve">The implementation of the housing renovation public service, called France Rénov’, since 1st January 2022. It is made up of one-stop service centres which inform, advise and support households in their housing renovation projects. </w:t>
      </w:r>
    </w:p>
    <w:p w14:paraId="5C0466BA" w14:textId="77777777" w:rsidR="00A5513E" w:rsidRPr="00364545" w:rsidRDefault="00A5513E" w:rsidP="00F0578E">
      <w:r w:rsidRPr="00364545">
        <w:t xml:space="preserve">In addition, various initiatives aim to lift certain constraints regarding the decision to renovate homes or to adopt virtuous uses: </w:t>
      </w:r>
    </w:p>
    <w:p w14:paraId="2FE5E096" w14:textId="77777777" w:rsidR="00A5513E" w:rsidRPr="00364545" w:rsidRDefault="00A5513E" w:rsidP="00BE086C">
      <w:pPr>
        <w:numPr>
          <w:ilvl w:val="0"/>
          <w:numId w:val="11"/>
        </w:numPr>
        <w:spacing w:before="240" w:after="240"/>
      </w:pPr>
      <w:r w:rsidRPr="00364545">
        <w:t xml:space="preserve">The imbalance between home-owners/lessors, who pay for the works, and the tenants, who benefit from the energy savings achieved, has been reduced with the possibility of sharing cost savings between owners and tenants. The home-owner must ask their tenant for a monthly financial participation after the energy saving works have been carried out, which can be up to half of the cost savings achieved. This participation takes the shape of a new line included on the rent receipt which will last for a duration of 15 years. Nevertheless, this participation is only possible if the lessor carries out a cluster of high-performance works, with at least two actions or enabling a minimum performance level to be achieved, and if they have invested in a dialogue with their tenant; </w:t>
      </w:r>
    </w:p>
    <w:p w14:paraId="20E5AD5D" w14:textId="77777777" w:rsidR="00A5513E" w:rsidRPr="00364545" w:rsidRDefault="00A5513E" w:rsidP="00BE086C">
      <w:pPr>
        <w:numPr>
          <w:ilvl w:val="0"/>
          <w:numId w:val="10"/>
        </w:numPr>
        <w:spacing w:before="240" w:after="240"/>
      </w:pPr>
      <w:r w:rsidRPr="00364545">
        <w:t xml:space="preserve">In a building with a collective heating system, bill sharing was done according to shares or on a </w:t>
      </w:r>
      <w:r w:rsidRPr="00364545">
        <w:rPr>
          <w:i/>
          <w:iCs/>
        </w:rPr>
        <w:t>prorata</w:t>
      </w:r>
      <w:r w:rsidRPr="00364545">
        <w:t xml:space="preserve"> basis according to the surface area of the apartment, even if the heating consumption differed from one home to another. </w:t>
      </w:r>
      <w:r w:rsidRPr="00364545">
        <w:rPr>
          <w:b/>
          <w:bCs/>
        </w:rPr>
        <w:t>The individualisation of heating costs</w:t>
      </w:r>
      <w:r w:rsidRPr="00364545">
        <w:t xml:space="preserve"> means that the occupant pays their actual heating consumption. This allows the occupant to be better informed and encourages them to understand their consumption. The energy transition for green growth act of August 2015 provides for the generalisation of this initiative, which, until then, was only obligatory for energy intensive residential buildings. The obligation to individualise heating costs is thus expanded to all residential buildings, as well as the tertiary sector, except in the event of technical impossibility, or the need to modify the entire heating system. In the framework of article 71 of the ELAN law of 2018, the obligation to implement an individualisation of energy consumption costs was extended to cooling networks;</w:t>
      </w:r>
    </w:p>
    <w:p w14:paraId="26389E94" w14:textId="77777777" w:rsidR="00A5513E" w:rsidRPr="00364545" w:rsidRDefault="00A5513E" w:rsidP="00EF6DB6">
      <w:pPr>
        <w:pStyle w:val="Titre4niveau4"/>
      </w:pPr>
      <w:r w:rsidRPr="00364545">
        <w:t>Work obligations</w:t>
      </w:r>
    </w:p>
    <w:p w14:paraId="65286CC7" w14:textId="6CD95ACA" w:rsidR="00A5513E" w:rsidRPr="00364545" w:rsidRDefault="00A5513E" w:rsidP="00F0578E">
      <w:r w:rsidRPr="00364545">
        <w:t xml:space="preserve">An initiative introduced by the energy transition for green growth act of August 2015 concerns the </w:t>
      </w:r>
      <w:r w:rsidRPr="00364545">
        <w:rPr>
          <w:b/>
          <w:bCs/>
        </w:rPr>
        <w:t>obligation to implement thermal insulation when major renovation works of buildings are performed</w:t>
      </w:r>
      <w:r w:rsidRPr="00364545">
        <w:t>: renovating façades, re-roofing, converting of garages, attics, or rooms not set up to be living spaces. This initiative allows the project owner to take advantage of major renovation works to include energy retrofit works at a lower cost, and thus decrease the building’s energy needs. This obligation applies to binding quotes for project management performance signed since 1st January 2017 for buildings used for housing, offices, shops, teaching and hotels. The insulation installed must lead to a thermal performance which complies with the thermal regulations per element. In addition, insulation works can benefit from financial help (energy transition tax credit, 0% eco loan, energy savings certificates).</w:t>
      </w:r>
    </w:p>
    <w:p w14:paraId="697CF4BC" w14:textId="77777777" w:rsidR="00F0578E" w:rsidRPr="00364545" w:rsidRDefault="00F0578E" w:rsidP="00F0578E"/>
    <w:p w14:paraId="5AE20667" w14:textId="092371E7" w:rsidR="00A5513E" w:rsidRPr="00364545" w:rsidRDefault="00A5513E" w:rsidP="00F0578E">
      <w:r w:rsidRPr="00364545">
        <w:t xml:space="preserve">For the public service sector, since 1 September 2017, all new buildings under the control of the State, its public establishments or local authorities must be </w:t>
      </w:r>
      <w:r w:rsidRPr="00364545">
        <w:rPr>
          <w:b/>
        </w:rPr>
        <w:t>exemplary in terms of energy and environmental</w:t>
      </w:r>
      <w:r w:rsidRPr="00364545">
        <w:t xml:space="preserve"> performance and must, wherever possible, be positive energy and high environmental performance.</w:t>
      </w:r>
    </w:p>
    <w:p w14:paraId="468F2AC4" w14:textId="77777777" w:rsidR="00F0578E" w:rsidRPr="00364545" w:rsidRDefault="00F0578E" w:rsidP="00F0578E"/>
    <w:p w14:paraId="2C1C7DC7" w14:textId="3B68151D" w:rsidR="00A5513E" w:rsidRPr="00364545" w:rsidRDefault="00A5513E" w:rsidP="00F0578E">
      <w:r w:rsidRPr="00364545">
        <w:t xml:space="preserve">Furthermore, buildings, parts of buildings or groups of buildings for tertiary use whose surface area is over 1000 m² are subjected to </w:t>
      </w:r>
      <w:r w:rsidRPr="00364545">
        <w:rPr>
          <w:b/>
          <w:bCs/>
        </w:rPr>
        <w:t>obligations to reduce energy consumption.</w:t>
      </w:r>
      <w:r w:rsidRPr="00364545">
        <w:t xml:space="preserve"> They must achieve, for each of the years 2030, 2040 and 2050, the following objectives: either a level of final energy consumption reduced by 40%, 50% and 60% respectively compared to a reference energy consumption which cannot be prior to 2010, or a level of final energy consumption fixed in absolute value, according to the energy consumption of new buildings in their category. The decree</w:t>
      </w:r>
      <w:r w:rsidR="00C71719" w:rsidRPr="00364545">
        <w:rPr>
          <w:rStyle w:val="FootnoteReference"/>
        </w:rPr>
        <w:footnoteReference w:id="24"/>
      </w:r>
      <w:r w:rsidRPr="00364545">
        <w:t xml:space="preserve"> n°2019-771 ("tertiary sector decree") taken in application of the ELAN law (Evolution of housing, development and digital) came into force in 2019. For this, owners must report their consumption to the OPERABAT platform managed by ADEME every year.</w:t>
      </w:r>
    </w:p>
    <w:p w14:paraId="22FEC883" w14:textId="77777777" w:rsidR="00F0578E" w:rsidRPr="00364545" w:rsidRDefault="00F0578E" w:rsidP="00F0578E">
      <w:pPr>
        <w:rPr>
          <w:highlight w:val="yellow"/>
        </w:rPr>
      </w:pPr>
    </w:p>
    <w:p w14:paraId="5C120565" w14:textId="59CF7D34" w:rsidR="00A5513E" w:rsidRPr="00364545" w:rsidRDefault="00A5513E" w:rsidP="00F0578E">
      <w:r w:rsidRPr="00364545">
        <w:t>The energy-climate law of 2019 creates renovation obligations regarding thermal sieves by 2028. A first incentive phase plans for the obligation, from 1st April 2023, to carry out an energy audit when a thermal sieve is advertised for sale or rent, containing proposals for works suited to the accommodation, as well as their estimated cost, and informing the buyer or tenant of its future energy expenses. The second obligation phase before 2028 plans for owners of thermal sieves to carry out energy performance improvement works on their accommodation.</w:t>
      </w:r>
    </w:p>
    <w:p w14:paraId="3A65E62F" w14:textId="77777777" w:rsidR="00A5513E" w:rsidRPr="00364545" w:rsidRDefault="00A5513E" w:rsidP="00EF6DB6">
      <w:pPr>
        <w:pStyle w:val="Titre4niveau4"/>
      </w:pPr>
      <w:r w:rsidRPr="00364545">
        <w:t xml:space="preserve">Improving the energy efficiency of other types of equipment </w:t>
      </w:r>
    </w:p>
    <w:p w14:paraId="723C6187" w14:textId="77777777" w:rsidR="00A5513E" w:rsidRPr="00364545" w:rsidRDefault="00A5513E" w:rsidP="00F0578E">
      <w:r w:rsidRPr="00364545">
        <w:t xml:space="preserve">The European framework directive 2009/125/EC establishes a framework for setting out the requirements in terms of </w:t>
      </w:r>
      <w:r w:rsidRPr="00364545">
        <w:rPr>
          <w:b/>
          <w:bCs/>
        </w:rPr>
        <w:t>eco-design</w:t>
      </w:r>
      <w:r w:rsidRPr="00364545">
        <w:t>, applicable to products linked to energy. A set of implementing regulations within the framework directive have been adopted to date, covering numerous products, and in particular the following regulations which have an impact on the residential/tertiary energy consumption (specific electricity consumption, cooking, lighting and heating):</w:t>
      </w:r>
    </w:p>
    <w:p w14:paraId="11766AB0" w14:textId="77777777" w:rsidR="00A5513E" w:rsidRPr="00364545" w:rsidRDefault="00A5513E" w:rsidP="00BE086C">
      <w:pPr>
        <w:pStyle w:val="ListParagraph"/>
        <w:numPr>
          <w:ilvl w:val="0"/>
          <w:numId w:val="10"/>
        </w:numPr>
      </w:pPr>
      <w:r w:rsidRPr="00364545">
        <w:t xml:space="preserve">Horizontal regulations applying systematically to all types of equipment such as “standby and power-off” modes; </w:t>
      </w:r>
    </w:p>
    <w:p w14:paraId="06E7921F" w14:textId="42D1032A" w:rsidR="00A5513E" w:rsidRPr="00364545" w:rsidRDefault="00A5513E" w:rsidP="00BE086C">
      <w:pPr>
        <w:pStyle w:val="ListParagraph"/>
        <w:numPr>
          <w:ilvl w:val="0"/>
          <w:numId w:val="10"/>
        </w:numPr>
      </w:pPr>
      <w:r w:rsidRPr="00364545">
        <w:t xml:space="preserve">Regulations on so-called "white goods": refrigeration appliances, washing machines, dishwashers, tumble dryers; kitchen appliances such as ovens, hoods, and hobs; vacuum cleaners; </w:t>
      </w:r>
    </w:p>
    <w:p w14:paraId="7CDD5ADE" w14:textId="77777777" w:rsidR="00A5513E" w:rsidRPr="00364545" w:rsidRDefault="00A5513E" w:rsidP="00BE086C">
      <w:pPr>
        <w:pStyle w:val="ListParagraph"/>
        <w:numPr>
          <w:ilvl w:val="0"/>
          <w:numId w:val="10"/>
        </w:numPr>
      </w:pPr>
      <w:r w:rsidRPr="00364545">
        <w:t xml:space="preserve">Regulations on “electronic” products: televisions, computers and servers, decoders and external power supplies; </w:t>
      </w:r>
    </w:p>
    <w:p w14:paraId="52F3EBE9" w14:textId="77777777" w:rsidR="00A5513E" w:rsidRPr="00364545" w:rsidRDefault="00A5513E" w:rsidP="00BE086C">
      <w:pPr>
        <w:pStyle w:val="ListParagraph"/>
        <w:numPr>
          <w:ilvl w:val="0"/>
          <w:numId w:val="10"/>
        </w:numPr>
      </w:pPr>
      <w:r w:rsidRPr="00364545">
        <w:t xml:space="preserve">Regulations on heating and air conditioning devices: boilers (all fuels), hot water systems, mixed heating systems, heat pumps and cogeneration units, stand-alone devices; air conditioners and fans; </w:t>
      </w:r>
    </w:p>
    <w:p w14:paraId="72AE2DD2" w14:textId="525E0679" w:rsidR="00A5513E" w:rsidRPr="00364545" w:rsidRDefault="00A5513E" w:rsidP="00BE086C">
      <w:pPr>
        <w:pStyle w:val="ListParagraph"/>
        <w:numPr>
          <w:ilvl w:val="0"/>
          <w:numId w:val="10"/>
        </w:numPr>
      </w:pPr>
      <w:r w:rsidRPr="00364545">
        <w:t>Regulations on lighting: domestic lighting.</w:t>
      </w:r>
    </w:p>
    <w:p w14:paraId="7C2B4152" w14:textId="77777777" w:rsidR="00F0578E" w:rsidRPr="00364545" w:rsidRDefault="00F0578E" w:rsidP="00F0578E"/>
    <w:p w14:paraId="1F20CBE0" w14:textId="77777777" w:rsidR="00A5513E" w:rsidRPr="00364545" w:rsidRDefault="00A5513E" w:rsidP="00F0578E">
      <w:r w:rsidRPr="00364545">
        <w:rPr>
          <w:b/>
          <w:bCs/>
        </w:rPr>
        <w:t>Energy labelling</w:t>
      </w:r>
      <w:r w:rsidRPr="00364545">
        <w:t xml:space="preserve"> (regulated by the (EU) 2017/1369 guideline) complements the mechanism by helping consumers shift towards simpler products. The range of products bound by this obligation has been gradually expanded.</w:t>
      </w:r>
    </w:p>
    <w:p w14:paraId="483A0A25" w14:textId="77777777" w:rsidR="00A5513E" w:rsidRPr="00364545" w:rsidRDefault="00A5513E" w:rsidP="00EF6DB6">
      <w:pPr>
        <w:pStyle w:val="Titre4niveau4"/>
      </w:pPr>
      <w:r w:rsidRPr="00364545">
        <w:t xml:space="preserve">Initiatives aiming to reduce HFC emissions in buildings </w:t>
      </w:r>
    </w:p>
    <w:p w14:paraId="75A40900" w14:textId="30CB2CB6" w:rsidR="00A5513E" w:rsidRPr="00364545" w:rsidRDefault="00A5513E" w:rsidP="00216205">
      <w:r w:rsidRPr="00364545">
        <w:t xml:space="preserve">Fluorinated gas emissions in the building sector come from cooling equipment (domestic cooling for residential buildings and commercial cooling for tertiary buildings), air conditioning and heat pumps. </w:t>
      </w:r>
      <w:r w:rsidRPr="00364545">
        <w:rPr>
          <w:b/>
        </w:rPr>
        <w:t xml:space="preserve">The European Regulation No. 517/2014 (known as "F-Gas II") </w:t>
      </w:r>
      <w:r w:rsidRPr="00364545">
        <w:t>puts in place a number of provisions aimed at reducing fluorinated gas emissions from refrigeration and air conditioning equipment used in buildings, but also in all other sectors using this type of equipment (industry and refrigerated transport) (see detailed description of the F-Gas II Regulation in section B.8.b. Cross-sectoral policies and measures).</w:t>
      </w:r>
    </w:p>
    <w:p w14:paraId="7D7EFE82" w14:textId="77777777" w:rsidR="00F0578E" w:rsidRPr="00364545" w:rsidRDefault="00F0578E" w:rsidP="00F0578E"/>
    <w:p w14:paraId="45D8A5F2" w14:textId="080315FA" w:rsidR="00C71719" w:rsidRPr="00364545" w:rsidRDefault="00C71719" w:rsidP="00F0578E">
      <w:pPr>
        <w:rPr>
          <w:highlight w:val="yellow"/>
        </w:rPr>
      </w:pPr>
      <w:r w:rsidRPr="00364545">
        <w:t>This European regulation is being revised, so as to further reduce the European emissions of these powerful greenhouse gases and help the European Union to reach its objectives in terms of reducing its emissions by at least 55% by 2030 and achieving climate neutrality by 2050 (i.e. further reducing emissions by 310 MtCO</w:t>
      </w:r>
      <w:r w:rsidRPr="00364545">
        <w:rPr>
          <w:vertAlign w:val="subscript"/>
        </w:rPr>
        <w:t>2e</w:t>
      </w:r>
      <w:r w:rsidRPr="00364545">
        <w:t xml:space="preserve"> by 2050).</w:t>
      </w:r>
    </w:p>
    <w:p w14:paraId="30FA43DB" w14:textId="467A659E" w:rsidR="00A5513E" w:rsidRPr="00364545" w:rsidRDefault="00A5513E" w:rsidP="003F57EA">
      <w:pPr>
        <w:pStyle w:val="Titre3Niveau3"/>
      </w:pPr>
      <w:bookmarkStart w:id="462" w:name="_Toc120889887"/>
      <w:bookmarkStart w:id="463" w:name="_Toc138341829"/>
      <w:r w:rsidRPr="00364545">
        <w:t>Manufacturing industry</w:t>
      </w:r>
      <w:bookmarkEnd w:id="462"/>
      <w:bookmarkEnd w:id="463"/>
    </w:p>
    <w:p w14:paraId="0C09EFF8" w14:textId="60E20EA1" w:rsidR="00A5513E" w:rsidRPr="00364545" w:rsidRDefault="00A5513E" w:rsidP="00216205">
      <w:r w:rsidRPr="00364545">
        <w:t>The manufacturing industry was responsible for 19% of greenhouse gas emissions in France in 2020. This sector is the 3rd biggest emitter after agriculture and transport. The emissions in this sector are dominated by industries producing basic CO</w:t>
      </w:r>
      <w:r w:rsidRPr="00364545">
        <w:rPr>
          <w:vertAlign w:val="subscript"/>
        </w:rPr>
        <w:t>2</w:t>
      </w:r>
      <w:r w:rsidRPr="00364545">
        <w:t xml:space="preserve"> intensive products such as metallurgy, chemistry or the manufacturing of non-metallic minerals (cement, lime, glass, etc.). CO</w:t>
      </w:r>
      <w:r w:rsidRPr="00364545">
        <w:rPr>
          <w:vertAlign w:val="subscript"/>
        </w:rPr>
        <w:t>2</w:t>
      </w:r>
      <w:r w:rsidRPr="00364545">
        <w:t xml:space="preserve"> is the main greenhouse gas emitted by the manufacturing industry (94%), followed by fluorinated gases (4.5%) and N</w:t>
      </w:r>
      <w:r w:rsidRPr="00364545">
        <w:rPr>
          <w:vertAlign w:val="subscript"/>
        </w:rPr>
        <w:t>2</w:t>
      </w:r>
      <w:r w:rsidRPr="00364545">
        <w:t>O (1.6%).</w:t>
      </w:r>
    </w:p>
    <w:p w14:paraId="7447B48A" w14:textId="1024B975" w:rsidR="00A5513E" w:rsidRPr="00364545" w:rsidRDefault="00A5513E" w:rsidP="00EF6DB6">
      <w:pPr>
        <w:pStyle w:val="Titre4niveau4"/>
      </w:pPr>
      <w:r w:rsidRPr="00364545">
        <w:t>Initiatives aiming to reduce the industry’s CO</w:t>
      </w:r>
      <w:r w:rsidRPr="00364545">
        <w:rPr>
          <w:vertAlign w:val="subscript"/>
        </w:rPr>
        <w:t>2</w:t>
      </w:r>
      <w:r w:rsidRPr="00364545">
        <w:t xml:space="preserve"> emissions </w:t>
      </w:r>
    </w:p>
    <w:p w14:paraId="27D84D6D" w14:textId="77777777" w:rsidR="00F0578E" w:rsidRPr="00364545" w:rsidRDefault="00A5513E" w:rsidP="00216205">
      <w:r w:rsidRPr="00364545">
        <w:t xml:space="preserve">The </w:t>
      </w:r>
      <w:r w:rsidRPr="00364545">
        <w:rPr>
          <w:b/>
          <w:bCs/>
        </w:rPr>
        <w:t>European Union Emissions Trading System (EU ETS)</w:t>
      </w:r>
      <w:r w:rsidRPr="00364545">
        <w:t xml:space="preserve"> plays a structuring role by capping the emissions of industrial installations in the European Union. This has been significantly strengthened for the 2021-2030 phase with the revision of the “EU ETS” guideline which entered into force in April 2018. This led to a sharp increase in the carbon price, which increased from €6/tCO</w:t>
      </w:r>
      <w:r w:rsidRPr="00364545">
        <w:rPr>
          <w:vertAlign w:val="subscript"/>
        </w:rPr>
        <w:t xml:space="preserve">2 </w:t>
      </w:r>
      <w:r w:rsidRPr="00364545">
        <w:t>on average in 2017 to €25/tCO</w:t>
      </w:r>
      <w:r w:rsidRPr="00364545">
        <w:rPr>
          <w:vertAlign w:val="subscript"/>
        </w:rPr>
        <w:t>2</w:t>
      </w:r>
      <w:r w:rsidRPr="00364545">
        <w:t xml:space="preserve"> in 2019 and 2020, then €54/tCO</w:t>
      </w:r>
      <w:r w:rsidRPr="00364545">
        <w:rPr>
          <w:vertAlign w:val="subscript"/>
        </w:rPr>
        <w:t>2</w:t>
      </w:r>
      <w:r w:rsidRPr="00364545">
        <w:t xml:space="preserve"> in 2021. In the period between January and November 2022, the average price of carbon increased to €81/tCO</w:t>
      </w:r>
      <w:r w:rsidRPr="00364545">
        <w:rPr>
          <w:vertAlign w:val="subscript"/>
        </w:rPr>
        <w:t>2</w:t>
      </w:r>
      <w:r w:rsidRPr="00364545">
        <w:t>.</w:t>
      </w:r>
    </w:p>
    <w:p w14:paraId="7DE5FBDA" w14:textId="3CA4218B" w:rsidR="00A5513E" w:rsidRPr="00364545" w:rsidRDefault="00A5513E" w:rsidP="00F0578E"/>
    <w:p w14:paraId="7AFBE5C9" w14:textId="0BBF46F6" w:rsidR="00A5513E" w:rsidRPr="00364545" w:rsidRDefault="00A5513E" w:rsidP="00F0578E">
      <w:r w:rsidRPr="00364545">
        <w:t xml:space="preserve">The EU ETS is currently under review as part of the EU negotiations on the "Adjustment to the 55 target" package (see </w:t>
      </w:r>
      <w:r w:rsidR="000351CE" w:rsidRPr="00364545">
        <w:fldChar w:fldCharType="begin"/>
      </w:r>
      <w:r w:rsidR="000351CE" w:rsidRPr="00364545">
        <w:instrText xml:space="preserve"> REF _Ref121425070 \r \h </w:instrText>
      </w:r>
      <w:r w:rsidR="00F0578E" w:rsidRPr="00364545">
        <w:instrText xml:space="preserve"> \* MERGEFORMAT </w:instrText>
      </w:r>
      <w:r w:rsidR="000351CE" w:rsidRPr="00364545">
        <w:fldChar w:fldCharType="separate"/>
      </w:r>
      <w:r w:rsidR="009A2FAA">
        <w:t>A.4</w:t>
      </w:r>
      <w:r w:rsidR="000351CE" w:rsidRPr="00364545">
        <w:fldChar w:fldCharType="end"/>
      </w:r>
      <w:r w:rsidRPr="00364545">
        <w:t xml:space="preserve"> </w:t>
      </w:r>
      <w:hyperlink w:anchor="ChapitreIV" w:history="1">
        <w:r w:rsidRPr="00364545">
          <w:rPr>
            <w:rStyle w:val="Hyperlink"/>
            <w:u w:val="none"/>
          </w:rPr>
          <w:t>Chapter IV</w:t>
        </w:r>
      </w:hyperlink>
      <w:r w:rsidRPr="00364545">
        <w:t xml:space="preserve">). This revision aims to align the EU ETS with the new European objective to reduce the EU’s emissions by 55% net in 2030 compared to 1990, and should also result in a significant reinforcement of the EU ETS’s aim for 2030, in particular a decrease in the emission ceiling. </w:t>
      </w:r>
    </w:p>
    <w:p w14:paraId="2CAB3925" w14:textId="56C33D5F" w:rsidR="00A5513E" w:rsidRPr="00364545" w:rsidRDefault="00A5513E" w:rsidP="00F0578E">
      <w:r w:rsidRPr="00364545">
        <w:t xml:space="preserve">Furthermore, on a national level, significant means are being deployed for the decarbonisation of the industry. Thus, the </w:t>
      </w:r>
      <w:r w:rsidRPr="00364545">
        <w:rPr>
          <w:b/>
          <w:bCs/>
        </w:rPr>
        <w:t>industry’s decarbonisation funds</w:t>
      </w:r>
      <w:r w:rsidRPr="00364545">
        <w:t xml:space="preserve"> implemented in the framework of the Recovery Plan over the 2020-2022 period was granted an envelope of 1.2 billion Euros. These funds support the production of heat using biomass, the deployment of energy efficient projects and the decarbonisation of industrial processes, through different calls for projects operated by the ADEME (The French Agency for Ecological Transition). Nearly 230 projects were supported, enabling emissions to be reduced to 4.5 MtCO</w:t>
      </w:r>
      <w:r w:rsidRPr="00364545">
        <w:rPr>
          <w:vertAlign w:val="subscript"/>
        </w:rPr>
        <w:t>2e</w:t>
      </w:r>
      <w:r w:rsidRPr="00364545">
        <w:t>/year.</w:t>
      </w:r>
    </w:p>
    <w:p w14:paraId="1B16560E" w14:textId="77777777" w:rsidR="00F0578E" w:rsidRPr="00364545" w:rsidRDefault="00F0578E" w:rsidP="00F0578E"/>
    <w:p w14:paraId="3FBC1449" w14:textId="77777777" w:rsidR="00A5513E" w:rsidRPr="00364545" w:rsidRDefault="00A5513E" w:rsidP="00F0578E">
      <w:pPr>
        <w:rPr>
          <w:rFonts w:cs="Arial"/>
        </w:rPr>
      </w:pPr>
      <w:r w:rsidRPr="00364545">
        <w:t>For the 2022-2026 period,</w:t>
      </w:r>
      <w:r w:rsidRPr="00364545">
        <w:rPr>
          <w:b/>
          <w:bCs/>
        </w:rPr>
        <w:t xml:space="preserve"> the “France 2030”</w:t>
      </w:r>
      <w:r w:rsidRPr="00364545">
        <w:t xml:space="preserve"> </w:t>
      </w:r>
      <w:r w:rsidRPr="00364545">
        <w:rPr>
          <w:b/>
          <w:bCs/>
        </w:rPr>
        <w:t>investment plan</w:t>
      </w:r>
      <w:r w:rsidRPr="00364545">
        <w:t xml:space="preserve"> dedicated 5.6 billion Euros to the decarbonisation of the industry, according to two key pillars:</w:t>
      </w:r>
    </w:p>
    <w:p w14:paraId="2D63182D" w14:textId="77777777" w:rsidR="00A5513E" w:rsidRPr="00364545" w:rsidRDefault="00A5513E" w:rsidP="00BE086C">
      <w:pPr>
        <w:pStyle w:val="ListParagraph"/>
        <w:numPr>
          <w:ilvl w:val="0"/>
          <w:numId w:val="45"/>
        </w:numPr>
        <w:spacing w:after="120" w:line="256" w:lineRule="auto"/>
        <w:rPr>
          <w:rFonts w:cs="Arial"/>
        </w:rPr>
      </w:pPr>
      <w:r w:rsidRPr="00364545">
        <w:t>5 billion Euros are dedicated to the deployment of decarbonisation solutions for industrial sites, via 2 phases to be implemented by late 2022:</w:t>
      </w:r>
    </w:p>
    <w:p w14:paraId="4DA34027" w14:textId="77777777" w:rsidR="00A5513E" w:rsidRPr="00364545" w:rsidRDefault="00A5513E" w:rsidP="00BE086C">
      <w:pPr>
        <w:pStyle w:val="ListParagraph"/>
        <w:numPr>
          <w:ilvl w:val="1"/>
          <w:numId w:val="45"/>
        </w:numPr>
        <w:spacing w:after="120" w:line="256" w:lineRule="auto"/>
        <w:rPr>
          <w:rFonts w:cs="Arial"/>
        </w:rPr>
      </w:pPr>
      <w:r w:rsidRPr="00364545">
        <w:t>4 billion Euros to support the profound decarbonisation of major industrial site emitters (for example, the steel industry, industrial chemistry, cement, aluminium),</w:t>
      </w:r>
    </w:p>
    <w:p w14:paraId="0AE0EECA" w14:textId="77777777" w:rsidR="00A5513E" w:rsidRPr="00364545" w:rsidRDefault="00A5513E" w:rsidP="00BE086C">
      <w:pPr>
        <w:pStyle w:val="ListParagraph"/>
        <w:numPr>
          <w:ilvl w:val="1"/>
          <w:numId w:val="45"/>
        </w:numPr>
        <w:spacing w:after="120" w:line="256" w:lineRule="auto"/>
        <w:rPr>
          <w:rFonts w:cs="Arial"/>
        </w:rPr>
      </w:pPr>
      <w:r w:rsidRPr="00364545">
        <w:t>1 billion Euros for the deployment of more mature solutions in the French industrial fabric, especially low-carbon heating and energy efficiency.</w:t>
      </w:r>
    </w:p>
    <w:p w14:paraId="06C84126" w14:textId="46EFA039" w:rsidR="00A5513E" w:rsidRPr="00364545" w:rsidRDefault="00A5513E" w:rsidP="00BE086C">
      <w:pPr>
        <w:pStyle w:val="ListParagraph"/>
        <w:numPr>
          <w:ilvl w:val="0"/>
          <w:numId w:val="45"/>
        </w:numPr>
        <w:rPr>
          <w:rFonts w:cs="Arial"/>
        </w:rPr>
      </w:pPr>
      <w:r w:rsidRPr="00364545">
        <w:t xml:space="preserve">610 million Euros are dedicated to the emergence and industrialisation of decarbonisation solutions for the industry (supporting innovation). </w:t>
      </w:r>
    </w:p>
    <w:p w14:paraId="55FFE8EC" w14:textId="77777777" w:rsidR="00F0578E" w:rsidRPr="00364545" w:rsidRDefault="00F0578E" w:rsidP="00F0578E"/>
    <w:p w14:paraId="4B780D12" w14:textId="5385FB20" w:rsidR="00A5513E" w:rsidRPr="00364545" w:rsidRDefault="00A5513E" w:rsidP="00F0578E">
      <w:r w:rsidRPr="00364545">
        <w:t xml:space="preserve">Aside from public support, extensive development work on </w:t>
      </w:r>
      <w:r w:rsidRPr="00364545">
        <w:rPr>
          <w:b/>
          <w:bCs/>
        </w:rPr>
        <w:t>road maps for the decarbonisation of industrial sectors</w:t>
      </w:r>
      <w:r w:rsidRPr="00364545">
        <w:t xml:space="preserve"> has also been launched by the Government with industrial stakeholders since 2019, to engage the industry in the transition. Some sectors have published roadmaps (Chemicals, Mining and Metallurgy, Paper and Cardboard, Cement), which constitute cross-commitments between the State and the sectors by 2030. </w:t>
      </w:r>
    </w:p>
    <w:p w14:paraId="579A4334" w14:textId="22EAACA9" w:rsidR="00A5513E" w:rsidRPr="00364545" w:rsidRDefault="00A5513E" w:rsidP="00F0578E">
      <w:r w:rsidRPr="00364545">
        <w:t>In addition, since 2020, ADEME has been constructing Sectoral Transition Plans with the 9 industrial sectors with the highest levels of emissions (steel, aluminium, glass, cement, ethylene, chlorine, ammoniac, paper/cardboard, sugar), a methodological initiative proposing to model various decarbonisation trajectory scenarios by 2050, to quantify the impacts on the production costs, evaluate the climate investment needs and analyse job transfers. These plans are being developed in the context of the European LIFE Climate Finance project and will be finalised by 2024.</w:t>
      </w:r>
    </w:p>
    <w:p w14:paraId="1FEEA497" w14:textId="77777777" w:rsidR="00F0578E" w:rsidRPr="00364545" w:rsidRDefault="00F0578E" w:rsidP="00F0578E"/>
    <w:p w14:paraId="54110FA9" w14:textId="7FDCFD37" w:rsidR="00A5513E" w:rsidRPr="00364545" w:rsidRDefault="00A5513E" w:rsidP="00F0578E">
      <w:r w:rsidRPr="00364545">
        <w:t xml:space="preserve">Reductions in greenhouse gas emissions are also generated by certain cross-cutting measures (reported in the “reduction of energy consumption in all sectors” section): energy efficiency certificates, Ademe’s Heat Fund, and the obligation to conduct energy audits for large companies. The Industry can also benefit from funding within the </w:t>
      </w:r>
      <w:r w:rsidRPr="00364545">
        <w:rPr>
          <w:b/>
          <w:bCs/>
        </w:rPr>
        <w:t>Investments for the Future programme (PIA)</w:t>
      </w:r>
      <w:r w:rsidRPr="00364545">
        <w:t xml:space="preserve"> for innovation projects in the Energy and Ecological Transition sector.</w:t>
      </w:r>
    </w:p>
    <w:p w14:paraId="5BEB33C5" w14:textId="77777777" w:rsidR="00F0578E" w:rsidRPr="00364545" w:rsidRDefault="00F0578E" w:rsidP="00F0578E"/>
    <w:p w14:paraId="6DB2489D" w14:textId="7CF8A395" w:rsidR="00A5513E" w:rsidRPr="00364545" w:rsidRDefault="00A5513E" w:rsidP="00F0578E">
      <w:r w:rsidRPr="00364545">
        <w:t xml:space="preserve">Certain additional and specific initiatives for industrial companies have also been implemented: </w:t>
      </w:r>
    </w:p>
    <w:p w14:paraId="6B989430" w14:textId="77777777" w:rsidR="00A5513E" w:rsidRPr="00364545" w:rsidRDefault="00A5513E" w:rsidP="003F57EA">
      <w:pPr>
        <w:pStyle w:val="ListParagraph"/>
        <w:numPr>
          <w:ilvl w:val="0"/>
          <w:numId w:val="88"/>
        </w:numPr>
      </w:pPr>
      <w:r w:rsidRPr="00364545">
        <w:t xml:space="preserve">The </w:t>
      </w:r>
      <w:r w:rsidRPr="00364545">
        <w:rPr>
          <w:b/>
        </w:rPr>
        <w:t xml:space="preserve">Eco Energy Loan, </w:t>
      </w:r>
      <w:r w:rsidRPr="00364545">
        <w:t>from €10,000 to €500,000, makes it possible to fund the acquisition or installation work carried out by VSBs and small SMBs which invest in equipment generating energy efficiency certificates.</w:t>
      </w:r>
    </w:p>
    <w:p w14:paraId="5779D7AB" w14:textId="77777777" w:rsidR="00A5513E" w:rsidRPr="00364545" w:rsidRDefault="00A5513E" w:rsidP="003F57EA">
      <w:pPr>
        <w:pStyle w:val="ListParagraph"/>
        <w:numPr>
          <w:ilvl w:val="0"/>
          <w:numId w:val="88"/>
        </w:numPr>
      </w:pPr>
      <w:r w:rsidRPr="00364545">
        <w:t>Ademe’s “</w:t>
      </w:r>
      <w:r w:rsidRPr="00364545">
        <w:rPr>
          <w:b/>
          <w:bCs/>
        </w:rPr>
        <w:t>Decision Aids</w:t>
      </w:r>
      <w:r w:rsidRPr="00364545">
        <w:t xml:space="preserve">” initiative subsidises the performance of studies on energy efficiency in the industry, including energy diagnoses, as long as they are not made obligatory by the regulations, as well as the implementation of energy management systems; </w:t>
      </w:r>
    </w:p>
    <w:p w14:paraId="78539A0D" w14:textId="77777777" w:rsidR="00A5513E" w:rsidRPr="00364545" w:rsidRDefault="00A5513E" w:rsidP="003F57EA">
      <w:pPr>
        <w:pStyle w:val="ListParagraph"/>
        <w:numPr>
          <w:ilvl w:val="0"/>
          <w:numId w:val="88"/>
        </w:numPr>
      </w:pPr>
      <w:r w:rsidRPr="00364545">
        <w:t xml:space="preserve">The </w:t>
      </w:r>
      <w:r w:rsidRPr="00364545">
        <w:rPr>
          <w:b/>
          <w:bCs/>
        </w:rPr>
        <w:t>PROREFEI training programme</w:t>
      </w:r>
      <w:r w:rsidRPr="00364545">
        <w:t>, launched in 2018 and financed by the energy efficiency certificates initiative, aims to train people in charge of energy management in companies to make them genuine energy specialists who will be quite capable of designing, implementing and coordinating actions to improve the energy performance of their sites. It also aims to create a network of energy specialists who will have access to, in particular, feedback from the entire community and technical and regulatory monitoring;</w:t>
      </w:r>
    </w:p>
    <w:p w14:paraId="3A49EA3F" w14:textId="77777777" w:rsidR="00A5513E" w:rsidRPr="00364545" w:rsidRDefault="00A5513E" w:rsidP="003F57EA">
      <w:pPr>
        <w:pStyle w:val="ListParagraph"/>
        <w:numPr>
          <w:ilvl w:val="0"/>
          <w:numId w:val="88"/>
        </w:numPr>
      </w:pPr>
      <w:r w:rsidRPr="00364545">
        <w:t xml:space="preserve">The </w:t>
      </w:r>
      <w:r w:rsidRPr="00364545">
        <w:rPr>
          <w:b/>
          <w:bCs/>
        </w:rPr>
        <w:t>INVEEST programme</w:t>
      </w:r>
      <w:r w:rsidRPr="00364545">
        <w:t>, also funded by the energy efficiency certificates initiative, is aimed at financial stakeholders (bankers, auditors, accounting experts, etc.). Thanks to a training and support programme combining energy, financial and industrial expertise, this programme aims to accelerate the funding of energy efficiency projects in the industry;</w:t>
      </w:r>
    </w:p>
    <w:p w14:paraId="40AC40BD" w14:textId="7BA530B2" w:rsidR="00A5513E" w:rsidRPr="00364545" w:rsidRDefault="00A5513E" w:rsidP="003F57EA">
      <w:pPr>
        <w:pStyle w:val="ListParagraph"/>
        <w:numPr>
          <w:ilvl w:val="0"/>
          <w:numId w:val="88"/>
        </w:numPr>
      </w:pPr>
      <w:r w:rsidRPr="00364545">
        <w:t xml:space="preserve">Since 1st January 2015, pursuant to article 14 of the directive 2012/27/EU relating to energy efficiency, industrial installations generating </w:t>
      </w:r>
      <w:r w:rsidRPr="00364545">
        <w:rPr>
          <w:b/>
          <w:bCs/>
        </w:rPr>
        <w:t>waste heat</w:t>
      </w:r>
      <w:r w:rsidRPr="00364545">
        <w:t xml:space="preserve"> that is not reused must carry out a </w:t>
      </w:r>
      <w:r w:rsidRPr="00364545">
        <w:rPr>
          <w:b/>
          <w:bCs/>
        </w:rPr>
        <w:t xml:space="preserve">cost/benefit analysis </w:t>
      </w:r>
      <w:r w:rsidRPr="00364545">
        <w:t>regarding new installations and in the event of major renovation works. This analysis allows the profitability of the reused waste heat to be evaluated for a manufacturer via a connection to a heat and refrigeration network and is accompanied by the implementation of solutions considered to be profitable. The main industrial sectors concerned by the initiative are the chemical, glass production, lime, plaster, paper-cardboard, metal transformation and food-processing industries.</w:t>
      </w:r>
    </w:p>
    <w:p w14:paraId="2B3C61F0" w14:textId="77777777" w:rsidR="00A5513E" w:rsidRPr="00364545" w:rsidRDefault="00A5513E" w:rsidP="003F57EA">
      <w:pPr>
        <w:pStyle w:val="ListParagraph"/>
        <w:numPr>
          <w:ilvl w:val="0"/>
          <w:numId w:val="88"/>
        </w:numPr>
      </w:pPr>
      <w:r w:rsidRPr="00364545">
        <w:t xml:space="preserve">Since 2016, companies that consume a great deal of electricity can benefit from a </w:t>
      </w:r>
      <w:r w:rsidRPr="00364545">
        <w:rPr>
          <w:b/>
          <w:bCs/>
        </w:rPr>
        <w:t>reduction on the</w:t>
      </w:r>
      <w:r w:rsidRPr="00364545">
        <w:t xml:space="preserve"> </w:t>
      </w:r>
      <w:r w:rsidRPr="00364545">
        <w:rPr>
          <w:b/>
          <w:bCs/>
        </w:rPr>
        <w:t>Public Electricity Transmission System User Tariff (T</w:t>
      </w:r>
      <w:r w:rsidRPr="00364545">
        <w:rPr>
          <w:b/>
        </w:rPr>
        <w:t>arif d'utilisation des réseaux publics d'électricité (TURPE).</w:t>
      </w:r>
      <w:r w:rsidRPr="00364545">
        <w:t xml:space="preserve"> In return, they must implement an energy performance policy (implement an energy management system according to the ISO 50001 standard, achieve a performance objective within 5 years monitored by means of indicators subject to certifications, and develop an energy performance plan to achieve this goal);</w:t>
      </w:r>
    </w:p>
    <w:p w14:paraId="4685EE68" w14:textId="77777777" w:rsidR="00A5513E" w:rsidRPr="00364545" w:rsidRDefault="00A5513E" w:rsidP="00EF6DB6">
      <w:pPr>
        <w:pStyle w:val="Titre4niveau4"/>
      </w:pPr>
      <w:r w:rsidRPr="00364545">
        <w:t xml:space="preserve">Initiatives aiming to reduce the industry’s fluorinated gas emissions </w:t>
      </w:r>
    </w:p>
    <w:p w14:paraId="1B17EACB" w14:textId="749006DF" w:rsidR="00A5513E" w:rsidRPr="00364545" w:rsidRDefault="00A5513E" w:rsidP="00216205">
      <w:r w:rsidRPr="00364545">
        <w:t xml:space="preserve">Since 2013, perfluorocarbon (PFC) emissions due to the production of aluminium have been subjected to the </w:t>
      </w:r>
      <w:r w:rsidRPr="00364545">
        <w:rPr>
          <w:b/>
          <w:bCs/>
        </w:rPr>
        <w:t>European Union Emissions Trading System</w:t>
      </w:r>
      <w:r w:rsidRPr="00364545">
        <w:rPr>
          <w:b/>
        </w:rPr>
        <w:t>.</w:t>
      </w:r>
    </w:p>
    <w:p w14:paraId="546480C9" w14:textId="77777777" w:rsidR="00216205" w:rsidRPr="00364545" w:rsidRDefault="00216205" w:rsidP="00216205"/>
    <w:p w14:paraId="7F972D82" w14:textId="55424E21" w:rsidR="00A5513E" w:rsidRPr="00364545" w:rsidRDefault="00A5513E" w:rsidP="00216205">
      <w:r w:rsidRPr="00364545">
        <w:t xml:space="preserve">The </w:t>
      </w:r>
      <w:r w:rsidRPr="00364545">
        <w:rPr>
          <w:b/>
          <w:bCs/>
        </w:rPr>
        <w:t>European regulation no. 517/2014</w:t>
      </w:r>
      <w:r w:rsidRPr="00364545">
        <w:t xml:space="preserve"> (known as “F-Gas II”) implements a certain number of provisions aiming to reduce the emissions of fluorinated gases from refrigeration and air conditioning equipment, in particular industrial refrigeration (see detailed description of the regulation in section B.8). The revision of this “F-Gas” regulation is committed to further reducing the production and marketing of fluorinated greenhouse gases in the European Union. The proposal currently being discussed between Member States notably provides for a decrease of 95% on the marketing of HFCs by 2030 compared to 2015 (compared to 80% according to the F-Gas regulation currently in place).</w:t>
      </w:r>
    </w:p>
    <w:p w14:paraId="6BBC2F03" w14:textId="77777777" w:rsidR="00216205" w:rsidRPr="00364545" w:rsidRDefault="00216205" w:rsidP="00216205"/>
    <w:p w14:paraId="65B9C42B" w14:textId="63F6B27A" w:rsidR="00A5513E" w:rsidRPr="00364545" w:rsidRDefault="00A5513E" w:rsidP="00216205">
      <w:pPr>
        <w:rPr>
          <w:rFonts w:cstheme="minorHAnsi"/>
        </w:rPr>
      </w:pPr>
      <w:r w:rsidRPr="00364545">
        <w:t xml:space="preserve">On a national level, the finance law for 2019 had provided for the implementation of a </w:t>
      </w:r>
      <w:r w:rsidRPr="00364545">
        <w:rPr>
          <w:b/>
          <w:bCs/>
        </w:rPr>
        <w:t>tax on HFCs</w:t>
      </w:r>
      <w:r w:rsidRPr="00364545">
        <w:t xml:space="preserve"> from 1st January 2021, whose price was supposed to evolve as follows: €15 per equivalent ton of CO</w:t>
      </w:r>
      <w:r w:rsidRPr="00364545">
        <w:rPr>
          <w:vertAlign w:val="subscript"/>
        </w:rPr>
        <w:t>2</w:t>
      </w:r>
      <w:r w:rsidRPr="00364545">
        <w:t xml:space="preserve"> in 2021, €18 in 2022, €22 in 2023, €26 in 2024 and €30 from 2025. The entry into force of the HFC tax was postponed to 1st January 2025 by the 2022 finance law given that the objectives to reduce the use of HFC which had been set for refrigeration professionals in 2019 had been achieved.</w:t>
      </w:r>
    </w:p>
    <w:p w14:paraId="0A29CDF6" w14:textId="77777777" w:rsidR="00216205" w:rsidRPr="00364545" w:rsidRDefault="00216205" w:rsidP="00216205"/>
    <w:p w14:paraId="22A78DD9" w14:textId="7B36306C" w:rsidR="00A5513E" w:rsidRPr="00364545" w:rsidRDefault="00A5513E" w:rsidP="00216205">
      <w:r w:rsidRPr="00364545">
        <w:t>The finance law for 2019 also created an over-amortisation plan designed to accompany, until late 2022, the companies’ investment effort in cooling equipment using refrigerants with a low global warming potential. Companies subject to corporate tax or income tax under a real tax regime may thus, under this scheme, deduct from their taxable income an amount equal to 40% of the original value of refrigeration and air conditioning equipment operating without HFC and bought new between 1 January 2019 and 31 December 2022.</w:t>
      </w:r>
    </w:p>
    <w:p w14:paraId="10F98AB6" w14:textId="62E5339C" w:rsidR="00A5513E" w:rsidRPr="00364545" w:rsidRDefault="00A5513E" w:rsidP="00EF6DB6">
      <w:pPr>
        <w:pStyle w:val="Titre4niveau4"/>
      </w:pPr>
      <w:r w:rsidRPr="00364545">
        <w:t>Initiatives aiming to reduce the industry’s N</w:t>
      </w:r>
      <w:r w:rsidRPr="00364545">
        <w:rPr>
          <w:vertAlign w:val="subscript"/>
        </w:rPr>
        <w:t>2</w:t>
      </w:r>
      <w:r w:rsidRPr="00364545">
        <w:t xml:space="preserve">O emissions </w:t>
      </w:r>
    </w:p>
    <w:p w14:paraId="504B2987" w14:textId="7EBB0110" w:rsidR="00A5513E" w:rsidRPr="00364545" w:rsidRDefault="00A5513E" w:rsidP="00216205">
      <w:r w:rsidRPr="00364545">
        <w:t>Since 2013, N</w:t>
      </w:r>
      <w:r w:rsidRPr="00364545">
        <w:rPr>
          <w:vertAlign w:val="subscript"/>
        </w:rPr>
        <w:t>2</w:t>
      </w:r>
      <w:r w:rsidRPr="00364545">
        <w:t>O emissions in the chemical sector have been subjected to the European Union Emissions Trading System.</w:t>
      </w:r>
    </w:p>
    <w:p w14:paraId="6E850FD5" w14:textId="2822CA4A" w:rsidR="00A5513E" w:rsidRPr="00364545" w:rsidRDefault="00A5513E" w:rsidP="003F57EA">
      <w:pPr>
        <w:pStyle w:val="Titre3Niveau3"/>
      </w:pPr>
      <w:bookmarkStart w:id="464" w:name="_Toc120889888"/>
      <w:bookmarkStart w:id="465" w:name="_Toc138341830"/>
      <w:r w:rsidRPr="00364545">
        <w:t>Energy industry</w:t>
      </w:r>
      <w:bookmarkEnd w:id="464"/>
      <w:bookmarkEnd w:id="465"/>
    </w:p>
    <w:p w14:paraId="01BD5EE3" w14:textId="02DD4576" w:rsidR="00A5513E" w:rsidRPr="00364545" w:rsidRDefault="00A5513E" w:rsidP="00216205">
      <w:r w:rsidRPr="00364545">
        <w:t>In this section, we will be distinguishing energy production and energy consumption. In the energy consumption sub-section (</w:t>
      </w:r>
      <w:r w:rsidR="00C5626E" w:rsidRPr="00364545">
        <w:fldChar w:fldCharType="begin"/>
      </w:r>
      <w:r w:rsidR="00C5626E" w:rsidRPr="00364545">
        <w:instrText xml:space="preserve"> REF _Ref122700578 \r \h </w:instrText>
      </w:r>
      <w:r w:rsidR="00216205" w:rsidRPr="00364545">
        <w:instrText xml:space="preserve"> \* MERGEFORMAT </w:instrText>
      </w:r>
      <w:r w:rsidR="00C5626E" w:rsidRPr="00364545">
        <w:fldChar w:fldCharType="separate"/>
      </w:r>
      <w:r w:rsidR="009A2FAA">
        <w:t>B.4.2</w:t>
      </w:r>
      <w:r w:rsidR="00C5626E" w:rsidRPr="00364545">
        <w:fldChar w:fldCharType="end"/>
      </w:r>
      <w:r w:rsidRPr="00364545">
        <w:t xml:space="preserve">), it was decided that the policies and initiatives impacting energy consumption would be reported transversally (i.e. in several sectors). The policies and initiatives impacting energy consumption in a single sector were reported in the sections dedicated to the various sectors. </w:t>
      </w:r>
    </w:p>
    <w:p w14:paraId="58EDCB5B" w14:textId="77777777" w:rsidR="00A5513E" w:rsidRPr="00364545" w:rsidRDefault="00A5513E" w:rsidP="00EF6DB6">
      <w:pPr>
        <w:pStyle w:val="Titre4niveau4"/>
      </w:pPr>
      <w:r w:rsidRPr="00364545">
        <w:t>Energy production</w:t>
      </w:r>
    </w:p>
    <w:p w14:paraId="359F584C" w14:textId="0155A669" w:rsidR="00A5513E" w:rsidRPr="00364545" w:rsidRDefault="00A5513E" w:rsidP="00216205">
      <w:r w:rsidRPr="00364545">
        <w:t>This sector represented 10% of national emissions in 2020 (excluding UTCATF). The main sources of emissions are electricity production which represents 43% of the sector’s emissions, petroleum refining (18%), energy transformation (17%) and urban heating (13%), followed by the transformation of solid mineral fuels in the steel industry (5%) and the extraction and distribution of gas-based fuels (3%)</w:t>
      </w:r>
      <w:r w:rsidRPr="00364545">
        <w:rPr>
          <w:rStyle w:val="FootnoteReference"/>
        </w:rPr>
        <w:footnoteReference w:id="25"/>
      </w:r>
      <w:r w:rsidRPr="00364545">
        <w:t>.</w:t>
      </w:r>
    </w:p>
    <w:p w14:paraId="4DDDBCDF" w14:textId="77777777" w:rsidR="00216205" w:rsidRPr="00364545" w:rsidRDefault="00216205" w:rsidP="00216205"/>
    <w:p w14:paraId="4603A7E5" w14:textId="549154FB" w:rsidR="00EC36FE" w:rsidRPr="00364545" w:rsidRDefault="00A5513E" w:rsidP="00E22CF8">
      <w:pPr>
        <w:pStyle w:val="titreencadre"/>
      </w:pPr>
      <w:r w:rsidRPr="00364545">
        <w:t>Initiatives aiming to reduce CO</w:t>
      </w:r>
      <w:r w:rsidRPr="00364545">
        <w:rPr>
          <w:vertAlign w:val="subscript"/>
        </w:rPr>
        <w:t>2</w:t>
      </w:r>
      <w:r w:rsidRPr="00364545">
        <w:t xml:space="preserve"> emissions relating to energy production </w:t>
      </w:r>
    </w:p>
    <w:p w14:paraId="735E9F51" w14:textId="02FB9F27" w:rsidR="00A5513E" w:rsidRPr="00364545" w:rsidRDefault="00A5513E" w:rsidP="00B22542">
      <w:r w:rsidRPr="00364545">
        <w:t>Reducing CO</w:t>
      </w:r>
      <w:r w:rsidRPr="00364545">
        <w:rPr>
          <w:vertAlign w:val="subscript"/>
        </w:rPr>
        <w:t>2</w:t>
      </w:r>
      <w:r w:rsidRPr="00364545">
        <w:t xml:space="preserve"> emissions from the energy production sector includes capping emissions from electricity and heat production facilities and refineries through </w:t>
      </w:r>
      <w:r w:rsidRPr="00364545">
        <w:rPr>
          <w:b/>
        </w:rPr>
        <w:t>the European emissions trading system</w:t>
      </w:r>
      <w:r w:rsidRPr="00364545">
        <w:t>, by reducing energy demand and by decarbonising the sector. In this way, the revised SNBC (national low-carbon strategy) project is aiming for complete decarbonisation of the sector by 2050, especially through the development of renewable energies.</w:t>
      </w:r>
    </w:p>
    <w:p w14:paraId="0A154C2D" w14:textId="77777777" w:rsidR="00B22542" w:rsidRPr="00364545" w:rsidRDefault="00B22542" w:rsidP="00B22542"/>
    <w:p w14:paraId="1012D061" w14:textId="7B8D8BC5" w:rsidR="00A5513E" w:rsidRPr="00364545" w:rsidRDefault="00A5513E" w:rsidP="00B22542">
      <w:r w:rsidRPr="00364545">
        <w:t>Furthermore, the hydrocarbon law adopted in late 2017 prohibits all new permits for the exploration and exploitation of fossil fuels and establishes the goal of ending existing production exploitation by 2040.</w:t>
      </w:r>
    </w:p>
    <w:p w14:paraId="00380AEB" w14:textId="77777777" w:rsidR="00B22542" w:rsidRPr="00364545" w:rsidRDefault="00B22542" w:rsidP="00B22542">
      <w:pPr>
        <w:rPr>
          <w:b/>
        </w:rPr>
      </w:pPr>
    </w:p>
    <w:p w14:paraId="3CD0C6B8" w14:textId="0954CEBD" w:rsidR="00A5513E" w:rsidRPr="00364545" w:rsidRDefault="00A5513E" w:rsidP="00B22542">
      <w:r w:rsidRPr="00364545">
        <w:t>In order to support the concrete implementation of renewable energy (REs) development projects, the State launched the RE release plan in late 2017, which aims to adopt committed administrative simplification measures to shorten development times and reduce costs. This plan has already led to administrative simplifications for onshore wind, solar photovoltaic and anaerobic digestion sectors and an increase in the volume of solar calls for tender (1.5 to 2.5 GW/year).</w:t>
      </w:r>
    </w:p>
    <w:p w14:paraId="158BEA86" w14:textId="77777777" w:rsidR="00B22542" w:rsidRPr="00364545" w:rsidRDefault="00B22542" w:rsidP="00B22542"/>
    <w:p w14:paraId="30646480" w14:textId="76FD3EBC" w:rsidR="00A5513E" w:rsidRPr="00364545" w:rsidRDefault="00A5513E" w:rsidP="00B22542">
      <w:r w:rsidRPr="00364545">
        <w:t xml:space="preserve">A </w:t>
      </w:r>
      <w:r w:rsidRPr="00364545">
        <w:rPr>
          <w:b/>
          <w:bCs/>
        </w:rPr>
        <w:t>cost reduction mechanism for the connection of renewable energy production facilities</w:t>
      </w:r>
      <w:r w:rsidRPr="00364545">
        <w:t xml:space="preserve"> to electricity and gas networks was introduced in 2017. It allows 40% of these costs to be covered by grid operators. This allows connection costs to be significantly alleviated for farms, which are often located far from power grids and thus facilitates the deployment of renewable energies.</w:t>
      </w:r>
    </w:p>
    <w:p w14:paraId="118DD2C1" w14:textId="77777777" w:rsidR="00B22542" w:rsidRPr="00364545" w:rsidRDefault="00B22542" w:rsidP="00B22542"/>
    <w:p w14:paraId="16704C4F" w14:textId="50BA2E44" w:rsidR="00A5513E" w:rsidRPr="00364545" w:rsidRDefault="00A5513E" w:rsidP="00B22542">
      <w:r w:rsidRPr="00364545">
        <w:t xml:space="preserve">The </w:t>
      </w:r>
      <w:r w:rsidRPr="00364545">
        <w:rPr>
          <w:b/>
          <w:bCs/>
        </w:rPr>
        <w:t>National Strategy for the Mobilisation of Biomass</w:t>
      </w:r>
      <w:r w:rsidRPr="00364545">
        <w:t xml:space="preserve"> created in 2018 defines the  guidelines, recommendations, and actions concerning the biomass production and development sectors likely to have an energy use, with a view to developing biomass production, and increasing its mobilisation while ensuring a proper coordination of its uses and a reduction in climate change. The regional plans for the mobilisation of biomass adapt the National Strategy for the Mobilisation of Biomass to meet regional requirements.</w:t>
      </w:r>
    </w:p>
    <w:p w14:paraId="3B35EFA1" w14:textId="77777777" w:rsidR="00B22542" w:rsidRPr="00364545" w:rsidRDefault="00B22542" w:rsidP="00B22542"/>
    <w:p w14:paraId="6D2C22F3" w14:textId="77777777" w:rsidR="00A5513E" w:rsidRPr="00364545" w:rsidRDefault="00A5513E" w:rsidP="00B22542">
      <w:r w:rsidRPr="00364545">
        <w:rPr>
          <w:b/>
          <w:bCs/>
        </w:rPr>
        <w:t>Injection rights for biomethane facilities</w:t>
      </w:r>
      <w:r w:rsidRPr="00364545">
        <w:t>, created in 2019, allows natural gas grid operators to carry out the necessary reinforcement to enable biomethane to be injected into the gas grid (under conditions and limitations enabling the techno-economic relevance of investments to be ensured). The aim is to facilitate the implementation of anaerobic digestion projects, restricted at present by the capacity of the local gas grid antenna.</w:t>
      </w:r>
    </w:p>
    <w:p w14:paraId="03E13B2F" w14:textId="77777777" w:rsidR="00B22542" w:rsidRPr="00364545" w:rsidRDefault="00B22542" w:rsidP="00B22542"/>
    <w:p w14:paraId="5145C394" w14:textId="342B802E" w:rsidR="00A5513E" w:rsidRPr="00364545" w:rsidRDefault="00A5513E" w:rsidP="00B22542">
      <w:r w:rsidRPr="00364545">
        <w:t>The 2019-2028 Multi Annual Energy Plan (PPE2) also provides for the following initiatives, encouraging the deployment of renewable energies and decarbonisation of the sector:</w:t>
      </w:r>
    </w:p>
    <w:p w14:paraId="7C6CF5FB" w14:textId="77777777" w:rsidR="00A5513E" w:rsidRPr="00364545" w:rsidRDefault="00A5513E" w:rsidP="00BE086C">
      <w:pPr>
        <w:numPr>
          <w:ilvl w:val="0"/>
          <w:numId w:val="15"/>
        </w:numPr>
        <w:spacing w:before="240" w:after="240"/>
      </w:pPr>
      <w:r w:rsidRPr="00364545">
        <w:t xml:space="preserve">In favour of </w:t>
      </w:r>
      <w:r w:rsidRPr="00364545">
        <w:rPr>
          <w:b/>
          <w:bCs/>
        </w:rPr>
        <w:t>onshore wind</w:t>
      </w:r>
      <w:r w:rsidRPr="00364545">
        <w:t>: obligatory recycling of the materials used to make wind turbines when dismantled, encourage the reuse of end-of-life wind turbine sites to reinstall more efficient machines, launch calls for tenders of up to 2 Gw/year according to a schedule defined in the PPE.</w:t>
      </w:r>
    </w:p>
    <w:p w14:paraId="7B2589A1" w14:textId="77777777" w:rsidR="00A5513E" w:rsidRPr="00364545" w:rsidRDefault="00A5513E" w:rsidP="00BE086C">
      <w:pPr>
        <w:numPr>
          <w:ilvl w:val="0"/>
          <w:numId w:val="15"/>
        </w:numPr>
        <w:spacing w:before="240" w:after="240"/>
      </w:pPr>
      <w:r w:rsidRPr="00364545">
        <w:t xml:space="preserve">In favour of </w:t>
      </w:r>
      <w:r w:rsidRPr="00364545">
        <w:rPr>
          <w:b/>
          <w:bCs/>
        </w:rPr>
        <w:t>photovoltaics</w:t>
      </w:r>
      <w:r w:rsidRPr="00364545">
        <w:t>: prioritise the development of grounded photovoltaic systems, which are cheaper, preferably on built-up or degraded land and car parks, ensuring that the projects respect the biodiversity and farm lands, support innovation in the photovoltaic sector through calls for tender in order to encourage new solar solutions at ground-level (agrivoltaics, floating photovoltaics, etc.) and on buildings. The PPE 2 project defines a call for tender schedule corresponding to 2 GW per year for grounded photovoltaic power plants and 0.9 GW per year for installations on large roofs, and it maintains an objective of 3050 MW installed per year for installations of small and medium-sized roofs (under 100 kWc) via an open window system by guiding projects towards self-consumption.</w:t>
      </w:r>
    </w:p>
    <w:p w14:paraId="6A1DD19C" w14:textId="7DD1D06E" w:rsidR="00A5513E" w:rsidRPr="00364545" w:rsidRDefault="00A5513E" w:rsidP="00BE086C">
      <w:pPr>
        <w:numPr>
          <w:ilvl w:val="0"/>
          <w:numId w:val="15"/>
        </w:numPr>
        <w:spacing w:before="240" w:after="240"/>
      </w:pPr>
      <w:r w:rsidRPr="00364545">
        <w:t xml:space="preserve">Supporting the development of </w:t>
      </w:r>
      <w:r w:rsidRPr="00364545">
        <w:rPr>
          <w:b/>
          <w:bCs/>
        </w:rPr>
        <w:t>renewable gases</w:t>
      </w:r>
      <w:r w:rsidRPr="00364545">
        <w:t>: provide visibility by adopting a call for tender schedule for injected biomethane: two call for tenders, for an annual production objective of 350 GWh PCS/year each, will be launched every year; strengthen the obligation of purchasing biogas at a regulated tariff and launching calls for tenders to achieve the production objectives at a reasonable cost thanks to substantial cost reductions; implement an adapted support tool for biomethane not injected in natural gas networks (in particular the biomethane used directly for biomethane vehicles).</w:t>
      </w:r>
    </w:p>
    <w:p w14:paraId="14FF2BB6" w14:textId="6C5CB066" w:rsidR="00A5513E" w:rsidRPr="00364545" w:rsidRDefault="00A5513E" w:rsidP="00BE086C">
      <w:pPr>
        <w:numPr>
          <w:ilvl w:val="0"/>
          <w:numId w:val="15"/>
        </w:numPr>
        <w:spacing w:before="240" w:after="240"/>
      </w:pPr>
      <w:r w:rsidRPr="00364545">
        <w:t xml:space="preserve">In favour of the development of </w:t>
      </w:r>
      <w:r w:rsidRPr="00364545">
        <w:rPr>
          <w:b/>
        </w:rPr>
        <w:t>hydrogen</w:t>
      </w:r>
      <w:r w:rsidRPr="00364545">
        <w:t>: put in place support to the development of hydrogen up to 100 million euros and launch calls for projects on transport and hydrogen production using electrolysers; set up a traceability system for carbon-free hydrogen by 2020; extend the tax incentive for the purchase of hydrogen vehicles under at least the same conditions as for NGV (heavy goods vehicles &gt;3.5t); mobilise financial institutions (private and public financing including CDC and BPI) and standardise co-financing models for ecosystem deployment projects in the regions; carry out a study with all the actors concerned on the simplification and harmonisation of authorisation and approval procedures for boats and associated hydrogen fuelling solutions.</w:t>
      </w:r>
    </w:p>
    <w:p w14:paraId="1C3C9706" w14:textId="77777777" w:rsidR="00A5513E" w:rsidRPr="00364545" w:rsidRDefault="00A5513E" w:rsidP="00BE086C">
      <w:pPr>
        <w:numPr>
          <w:ilvl w:val="0"/>
          <w:numId w:val="16"/>
        </w:numPr>
        <w:spacing w:before="240" w:after="240"/>
      </w:pPr>
      <w:r w:rsidRPr="00364545">
        <w:t xml:space="preserve">Supporting the development of </w:t>
      </w:r>
      <w:r w:rsidRPr="00364545">
        <w:rPr>
          <w:b/>
          <w:bCs/>
        </w:rPr>
        <w:t>biofuels</w:t>
      </w:r>
      <w:r w:rsidRPr="00364545">
        <w:t>: an incentive to incorporate biofuels for operators who release fuels for consumption. In addition, beyond the existing cap for conventional biofuels, the plan is to limit the incorporation of biofuels made using raw materials presenting a high risk of inducing indirect land-use change (here, palm oil), as envisaged in the new European directive relating to renewable energies RED II of 11 December 2018 and in particular its delegated act of 13 March 2019.</w:t>
      </w:r>
      <w:r w:rsidRPr="00364545">
        <w:rPr>
          <w:vertAlign w:val="superscript"/>
        </w:rPr>
        <w:footnoteReference w:id="26"/>
      </w:r>
    </w:p>
    <w:p w14:paraId="5B7A739B" w14:textId="3AE82DDE" w:rsidR="00A5513E" w:rsidRPr="00364545" w:rsidRDefault="00A5513E" w:rsidP="00BE086C">
      <w:pPr>
        <w:numPr>
          <w:ilvl w:val="0"/>
          <w:numId w:val="16"/>
        </w:numPr>
        <w:spacing w:before="240" w:after="240"/>
      </w:pPr>
      <w:r w:rsidRPr="00364545">
        <w:t xml:space="preserve">Supporting the decarbonisation of the sector: </w:t>
      </w:r>
      <w:r w:rsidRPr="00364545">
        <w:rPr>
          <w:b/>
          <w:bCs/>
        </w:rPr>
        <w:t>shutting down the last exclusively coal-fired electricity plants by 2022</w:t>
      </w:r>
      <w:r w:rsidRPr="00364545">
        <w:t xml:space="preserve"> or supporting their development towards less carbon-intensive solutions, but also </w:t>
      </w:r>
      <w:r w:rsidRPr="00364545">
        <w:rPr>
          <w:b/>
          <w:bCs/>
        </w:rPr>
        <w:t>no longer permitting new projects for electricity production plants powered exclusively by fossil fuels.</w:t>
      </w:r>
      <w:r w:rsidRPr="00364545">
        <w:t xml:space="preserve"> In this way, Ecological Transition Contracts (CTEs), signed between the State and the territories, set out a voluntary ecological transformation action programme for territories. In particular, they aim to accompany industrial restructuring situations in areas affected by the closing of coal-fired plants. After a first experimentation phase in 2018, the CTE procedure was extended and a second experimentation phase was conducted in the first half of 2019. A wider deployment is now expected. Regarding the shutdown of coal-fired power plants, a decree had to be issued by 15 September 2022 to raise their emissions cap to allow for approximately "2500 kilotonnes of carbon dioxide equivalents per megawatt more" over the period between 1 October 2022 and 31 March 2023. This decree kept two coal-fired power stations in operation: this emergency measure should guarantee the supply of electricity during the winter in a context of tension on the nuclear fleet and on gas. This decision does not, however, question the aim which is to shut down coal-burning power stations eventually.</w:t>
      </w:r>
    </w:p>
    <w:p w14:paraId="03B1E485" w14:textId="71A458B9" w:rsidR="00A5513E" w:rsidRPr="00364545" w:rsidRDefault="00A5513E" w:rsidP="00B22542">
      <w:r w:rsidRPr="00364545">
        <w:t>The 2019-2028 Multi Annual Energy Plan (PPE 2) also plans to take steps, during the first period of the PPE (2019-2023), to enable the development of electricity pumping stations for a potential of 1.5 GW identified, with a view to commissioning the facilities between 2030 and 2035. The PPE 2 also sets a target of erasing 6.5 GW by 2028 with an intermediary objective of 4.5GW in 2023.</w:t>
      </w:r>
    </w:p>
    <w:p w14:paraId="48ECB4EE" w14:textId="77777777" w:rsidR="00B22542" w:rsidRPr="00364545" w:rsidRDefault="00B22542" w:rsidP="00B22542"/>
    <w:p w14:paraId="5A98624F" w14:textId="03B7607B" w:rsidR="00A5513E" w:rsidRPr="00364545" w:rsidRDefault="00A5513E" w:rsidP="00B22542">
      <w:r w:rsidRPr="00364545">
        <w:t>The PPE also makes it possible to take the necessary steps to achieve the renewable energy production goals set down by the energy transition for green growth act of 2015 and the energy-climate law of 2019. French legislation intends to achieve a proportion of renewable energy of at least 33% in terms of gross final energy consumption in 2030. This objective is broken down by energy carrier: 40% of electricity production will be renewable in 2030, as well as 38% of final heat consumption, 15% of final fuel consumption and 10% of final gas consumption. The production of heat and cooling from renewable sources in heating networks will be multiplied fivefold between 2012 and 2030.</w:t>
      </w:r>
    </w:p>
    <w:p w14:paraId="2300600B" w14:textId="77777777" w:rsidR="00A5513E" w:rsidRPr="00364545" w:rsidRDefault="00A5513E" w:rsidP="00B22542">
      <w:r w:rsidRPr="00364545">
        <w:t xml:space="preserve">In this perspective, the PPE sets goals for each renewable sector for 2023 and 2028. The incentive schemes implemented are specific to each sector and must be subject to periodic adaptations to account for technical and economic evolutions. They are guided by the principle of ensuring the minimum profitability required for the deployment of these technologies. </w:t>
      </w:r>
    </w:p>
    <w:p w14:paraId="60715CB0" w14:textId="21FDECA7" w:rsidR="00A5513E" w:rsidRPr="00364545" w:rsidRDefault="00A5513E" w:rsidP="00B22542">
      <w:r w:rsidRPr="00364545">
        <w:t>To achieve these goals concerning the production of renewable electricity, the government primarily has two types of support structures: open windows and competitive tendering procedures.</w:t>
      </w:r>
    </w:p>
    <w:p w14:paraId="256C8E46" w14:textId="77777777" w:rsidR="00B22542" w:rsidRPr="00364545" w:rsidRDefault="00B22542" w:rsidP="00B22542"/>
    <w:p w14:paraId="77FDABD8" w14:textId="158EBA49" w:rsidR="00A5513E" w:rsidRPr="00364545" w:rsidRDefault="00A5513E" w:rsidP="00B22542">
      <w:r w:rsidRPr="00364545">
        <w:t>The open window structure confers a right to benefit from support for all eligible installations. This structure is adapted to mature sectors for which the production costs are relatively well-known and stable and for which there are numerous potential development sites, with limited conflicting uses. As this structure does not enable renewable energies to be developed at the best cost, it is reserved for smaller facilities (up to 1 MW, and exceptionally up to 18 MW for wind turbines), for the sake of ease of access. Two open window support systems can be distinguished depending on the size of the installation: purchasing obligation and additional remuneration.</w:t>
      </w:r>
    </w:p>
    <w:p w14:paraId="1F8D2FC7" w14:textId="77777777" w:rsidR="00B22542" w:rsidRPr="00364545" w:rsidRDefault="00B22542" w:rsidP="00B22542"/>
    <w:p w14:paraId="59B66A7D" w14:textId="09177C83" w:rsidR="00A5513E" w:rsidRPr="00364545" w:rsidRDefault="00A5513E" w:rsidP="00B22542">
      <w:r w:rsidRPr="00364545">
        <w:t>The purchasing obligation has only applied to the smallest facilities (up to 500 kW) since 2016. Every kilowatt-hour injected on the public network is purchased by an obligated buyer at a feed-in tariff, greater than the average market price, fixed in advance and covering the costs of their installation while ensuring a normal profitability of the their project.</w:t>
      </w:r>
    </w:p>
    <w:p w14:paraId="651066E8" w14:textId="77777777" w:rsidR="00B22542" w:rsidRPr="00364545" w:rsidRDefault="00B22542" w:rsidP="00B22542"/>
    <w:p w14:paraId="46202257" w14:textId="63D4ECA2" w:rsidR="00A5513E" w:rsidRPr="00364545" w:rsidRDefault="00A5513E" w:rsidP="00B22542">
      <w:r w:rsidRPr="00364545">
        <w:t>The additional remuneration, implemented in 2016, in accordance with the environmental and energy guidelines, applies to more powerful facilities (obligatory when the installed power capacity is above 500 kW). The open-window additional remuneration is a premium paid to a renewable energy producer to complement the market sales of electricity that it produces. This premium is proportional to the energy produced and calculated as the difference between a reference fee and the market price. It must provide the producer with a level of remuneration which covers the costs of their installation while ensuring a normal profitability of their project.</w:t>
      </w:r>
    </w:p>
    <w:p w14:paraId="7A86FF9B" w14:textId="77777777" w:rsidR="00B22542" w:rsidRPr="00364545" w:rsidRDefault="00B22542" w:rsidP="00B22542"/>
    <w:p w14:paraId="59D230C8" w14:textId="77777777" w:rsidR="00A5513E" w:rsidRPr="00364545" w:rsidRDefault="00A5513E" w:rsidP="00B22542">
      <w:r w:rsidRPr="00364545">
        <w:t>In the competitive tendering procedures, support is only attributed to the successful candidates of these procedures (e.g. calls for tender). These schemes are adapted to renewable sectors presenting one of the following characteristics: steering needed due to the risk of conflicting usage; scarcity of favourable zones (the case of offshore wind); sharp asymmetry in information about costs; challenge of technological demonstration and industrial development. Competitive tendering procedures improve the competitiveness regarding the development of renewable energies through the competitive tendering of projects and are important tools adapted to guiding renewable energy development trajectories, in accordance with the goals set by the PPE. Indeed, when the goals in terms of installed power capacity set by the PPE are not achieved, the minister in charge of energy has the possibility of launching competitive tendering procedures to develop new production capacities. Successful candidates benefit either from a feed-in tariff or an additional remuneration, depending on the installed power capacity of projects and the procedure specifications.</w:t>
      </w:r>
    </w:p>
    <w:p w14:paraId="6FA645F0" w14:textId="77777777" w:rsidR="00A5513E" w:rsidRPr="00364545" w:rsidRDefault="00A5513E" w:rsidP="00A5513E">
      <w:pPr>
        <w:spacing w:before="240" w:after="240"/>
      </w:pPr>
      <w:r w:rsidRPr="00364545">
        <w:t>Support for renewable energy in the gas sector is delivered through the following mechanisms:</w:t>
      </w:r>
    </w:p>
    <w:p w14:paraId="58D60DDC" w14:textId="77777777" w:rsidR="00A5513E" w:rsidRPr="00364545" w:rsidRDefault="00A5513E" w:rsidP="00BE086C">
      <w:pPr>
        <w:numPr>
          <w:ilvl w:val="0"/>
          <w:numId w:val="17"/>
        </w:numPr>
        <w:spacing w:before="240" w:after="240"/>
      </w:pPr>
      <w:r w:rsidRPr="00364545">
        <w:t xml:space="preserve">One-stop shops: any biomethane producer wishing to inject its production into the natural gas transmission and distribution networks is eligible for a one-stop shop purchase obligation, subject to the preservation of the proper functioning of the networks. In this system, the injected biomethane is purchased by a natural gas supplier at a pre-determined purchase price that covers the investment and operating costs of the biomethane production facility while ensuring normal profitability of the project. The purchase obligation is contracted for a period of 15 years; </w:t>
      </w:r>
    </w:p>
    <w:p w14:paraId="26DE8C90" w14:textId="77777777" w:rsidR="00A5513E" w:rsidRPr="00364545" w:rsidRDefault="00A5513E" w:rsidP="00BE086C">
      <w:pPr>
        <w:numPr>
          <w:ilvl w:val="0"/>
          <w:numId w:val="17"/>
        </w:numPr>
        <w:spacing w:before="240" w:after="240"/>
      </w:pPr>
      <w:r w:rsidRPr="00364545">
        <w:t xml:space="preserve">Calls for tender: when the production capacity of biogas intended to be injected into the gas network doesn't meet the quantified targets of the Multiannual Energy Plan, the Minister for Energy may resort to a call for tender procedure. </w:t>
      </w:r>
    </w:p>
    <w:p w14:paraId="42C32968" w14:textId="77777777" w:rsidR="00A5513E" w:rsidRPr="00364545" w:rsidRDefault="00A5513E" w:rsidP="00B22542">
      <w:r w:rsidRPr="00364545">
        <w:t xml:space="preserve">In addition, producers who so request may receive </w:t>
      </w:r>
      <w:r w:rsidRPr="00364545">
        <w:rPr>
          <w:b/>
          <w:bCs/>
        </w:rPr>
        <w:t>guarantees of origin</w:t>
      </w:r>
      <w:r w:rsidRPr="00364545">
        <w:t xml:space="preserve"> for the production of renewable electricity, from high-efficiency cogeneration, or for injected biogas. These guarantees of origin can be valued on the markets and constitute an additional source of income for producers. </w:t>
      </w:r>
    </w:p>
    <w:p w14:paraId="10179078" w14:textId="77777777" w:rsidR="00B22542" w:rsidRPr="00364545" w:rsidRDefault="00B22542" w:rsidP="00B22542"/>
    <w:p w14:paraId="5418645B" w14:textId="65E4A840" w:rsidR="00A5513E" w:rsidRPr="00364545" w:rsidRDefault="00A5513E" w:rsidP="00B22542">
      <w:r w:rsidRPr="00364545">
        <w:t xml:space="preserve">Since 1 January 2015, pursuant to Article 14 of the Energy Efficiency Directive 2012/27/EU, energy production installations in heat or cooling networks with a total thermal power exceeding 20 MW must carry out a </w:t>
      </w:r>
      <w:r w:rsidRPr="00364545">
        <w:rPr>
          <w:b/>
        </w:rPr>
        <w:t xml:space="preserve">cost-benefit analysis </w:t>
      </w:r>
      <w:r w:rsidRPr="00364545">
        <w:t>in the case of new installations and in the case of substantial renovation. This analysis makes it possible to identify potential suppliers of waste heat located in the vicinity of the network and to implement the solution deemed to be profitable.</w:t>
      </w:r>
    </w:p>
    <w:p w14:paraId="15FF59A9" w14:textId="77777777" w:rsidR="00B22542" w:rsidRPr="00364545" w:rsidRDefault="00B22542" w:rsidP="00B22542">
      <w:pPr>
        <w:rPr>
          <w:b/>
          <w:bCs/>
        </w:rPr>
      </w:pPr>
    </w:p>
    <w:p w14:paraId="5821D3E3" w14:textId="00E616A5" w:rsidR="0032106B" w:rsidRPr="00364545" w:rsidRDefault="0032106B" w:rsidP="00B22542">
      <w:r w:rsidRPr="00364545">
        <w:rPr>
          <w:b/>
          <w:bCs/>
        </w:rPr>
        <w:t>Finally, the Heat Fund</w:t>
      </w:r>
      <w:r w:rsidRPr="00364545">
        <w:t xml:space="preserve"> provides financial support for projects to produce heat from renewable energy: biomass (forestry, agricultural, biogas), geothermal energy (for direct use or through heat pumps), solar thermal energy, recovered energy, as well as the development of heat networks using these energies. The sectors in question are collective housing, tertiary, agriculture and industry. The Heat Fund allows renewable heat to be competitive with heat produced from conventional energy sources, by guaranteeing a price for heat of renewable origin that is approximately 5% lower than that obtained with conventional energy sources. The Heat Fund has been allocated 2.9 billion euros in legal commitments for the period 2009-2021. The 2019-2028 MPE also provides for a simplification of the rules, particularly by removing the obligation of repayable advances and replacing them with subsidies.</w:t>
      </w:r>
    </w:p>
    <w:p w14:paraId="0668263E" w14:textId="77777777" w:rsidR="00B22542" w:rsidRPr="00364545" w:rsidRDefault="00B22542" w:rsidP="00B22542"/>
    <w:p w14:paraId="46CECE46" w14:textId="1F61CFA8" w:rsidR="00A5513E" w:rsidRPr="00364545" w:rsidRDefault="0032106B" w:rsidP="00B22542">
      <w:r w:rsidRPr="00364545">
        <w:t xml:space="preserve">Finally, the </w:t>
      </w:r>
      <w:r w:rsidRPr="00364545">
        <w:rPr>
          <w:b/>
          <w:bCs/>
        </w:rPr>
        <w:t>classification of heat and refrigeration networks</w:t>
      </w:r>
      <w:r w:rsidRPr="00364545">
        <w:t xml:space="preserve"> powered mainly by renewable or recovered energy sources has been made automatic by the Energy and Climate Law. This regulation makes it compulsory for new buildings or existing buildings replacing their heating system to be connected within a priority network development area.</w:t>
      </w:r>
    </w:p>
    <w:p w14:paraId="06CC3DC2" w14:textId="77777777" w:rsidR="00A5513E" w:rsidRPr="00364545" w:rsidRDefault="00A5513E" w:rsidP="00EF6DB6">
      <w:pPr>
        <w:pStyle w:val="Titre4niveau4"/>
      </w:pPr>
      <w:bookmarkStart w:id="466" w:name="_Ref122700578"/>
      <w:r w:rsidRPr="00364545">
        <w:t>Policies and measures impacting energy consumption in a cross-sectional way</w:t>
      </w:r>
      <w:bookmarkEnd w:id="466"/>
      <w:r w:rsidRPr="00364545">
        <w:t xml:space="preserve"> </w:t>
      </w:r>
    </w:p>
    <w:p w14:paraId="6469E549" w14:textId="77777777" w:rsidR="00A5513E" w:rsidRPr="00364545" w:rsidRDefault="00A5513E" w:rsidP="00B22542">
      <w:r w:rsidRPr="00364545">
        <w:t xml:space="preserve">Several structural policies and measures have been put in place to limit energy consumption and promote energy efficiency in several energy-consuming sectors, the main ones being listed below. These measures therefore contribute to the reduction of greenhouse gas emissions. </w:t>
      </w:r>
    </w:p>
    <w:p w14:paraId="40F35349" w14:textId="77777777" w:rsidR="00B22542" w:rsidRPr="00364545" w:rsidRDefault="00B22542" w:rsidP="00B22542"/>
    <w:p w14:paraId="4D8E08FF" w14:textId="5A5D1B76" w:rsidR="00A5513E" w:rsidRPr="00364545" w:rsidRDefault="00A5513E" w:rsidP="00B22542">
      <w:r w:rsidRPr="00364545">
        <w:t xml:space="preserve">The Energy Code sets a target of reducing final consumption by 20% in 2030 and 50% in 2050 compared to 2012 levels. </w:t>
      </w:r>
    </w:p>
    <w:p w14:paraId="0DADAC04" w14:textId="77777777" w:rsidR="00B22542" w:rsidRPr="00364545" w:rsidRDefault="00B22542" w:rsidP="00B22542"/>
    <w:p w14:paraId="6BC770C9" w14:textId="6562784A" w:rsidR="000620EE" w:rsidRPr="00364545" w:rsidRDefault="00A5513E" w:rsidP="00B22542">
      <w:r w:rsidRPr="00364545">
        <w:t xml:space="preserve">The </w:t>
      </w:r>
      <w:r w:rsidRPr="00364545">
        <w:rPr>
          <w:b/>
          <w:bCs/>
        </w:rPr>
        <w:t>energy saving certificate</w:t>
      </w:r>
      <w:r w:rsidRPr="00364545">
        <w:t xml:space="preserve"> scheme, in force since 2006, is based on a mandatory energy saving requirement imposed by public authorities on energy sellers (electricity, gas, LPG, heat and refrigeration, domestic fuel and motor fuels). A multi-year target is defined and distributed among the obligated parties according to their sales volumes. At the end of the period, the obliged parties must prove that they have fulfilled their requirement by holding an amount of energy saving certificates equivalent to these requirements.</w:t>
      </w:r>
    </w:p>
    <w:p w14:paraId="04A3AF1E" w14:textId="77777777" w:rsidR="00B22542" w:rsidRPr="00364545" w:rsidRDefault="00B22542" w:rsidP="00B22542"/>
    <w:p w14:paraId="612436A8" w14:textId="4332884C" w:rsidR="000620EE" w:rsidRPr="00364545" w:rsidRDefault="00A5513E" w:rsidP="00B22542">
      <w:r w:rsidRPr="00364545">
        <w:t>To obtain certificates, the obliged parties can choose the actions to be implemented (carrying out energy saving actions themselves, having consumers carry out energy actions, buying certificates from other players on the market etc.), the sectors of activity (residential, tertiary, industrial, agricultural, transport) and the types of customers (households, companies, public authorities etc.)</w:t>
      </w:r>
    </w:p>
    <w:p w14:paraId="216BFEA1" w14:textId="77777777" w:rsidR="00B22542" w:rsidRPr="00364545" w:rsidRDefault="00B22542" w:rsidP="00B22542"/>
    <w:p w14:paraId="214B1E14" w14:textId="55DD2F4A" w:rsidR="000620EE" w:rsidRPr="00364545" w:rsidRDefault="00A5513E" w:rsidP="00B22542">
      <w:r w:rsidRPr="00364545">
        <w:t>The first three-year period of the scheme ran from mid-2006 to mid-2009, with a total obligation set at 54 TWh cumac.</w:t>
      </w:r>
    </w:p>
    <w:p w14:paraId="6E963706" w14:textId="77777777" w:rsidR="00B22542" w:rsidRPr="00364545" w:rsidRDefault="00B22542" w:rsidP="00B22542"/>
    <w:p w14:paraId="18FA6BF3" w14:textId="592153BC" w:rsidR="000620EE" w:rsidRPr="00364545" w:rsidRDefault="00A5513E" w:rsidP="00B22542">
      <w:r w:rsidRPr="00364545">
        <w:t>The second period, which ran from 1 January 2011 to 31 December 2014, included a target of 460 TWh cumac.</w:t>
      </w:r>
    </w:p>
    <w:p w14:paraId="77A05E74" w14:textId="77777777" w:rsidR="00B22542" w:rsidRPr="00364545" w:rsidRDefault="00B22542" w:rsidP="00B22542"/>
    <w:p w14:paraId="55360DBD" w14:textId="688CAB9C" w:rsidR="000620EE" w:rsidRPr="00364545" w:rsidRDefault="00A5513E" w:rsidP="00B22542">
      <w:r w:rsidRPr="00364545">
        <w:t>The third period ran from 1 January 2015 to 31 December 2017. The overall mandatory requirement imposed on energy sellers was set at 700 TWh cumac.</w:t>
      </w:r>
    </w:p>
    <w:p w14:paraId="68A5597C" w14:textId="77777777" w:rsidR="00B22542" w:rsidRPr="00364545" w:rsidRDefault="00B22542" w:rsidP="00B22542"/>
    <w:p w14:paraId="583656A8" w14:textId="4A98F2BF" w:rsidR="000620EE" w:rsidRPr="00364545" w:rsidRDefault="00A5513E" w:rsidP="00B22542">
      <w:r w:rsidRPr="00364545">
        <w:t>In application of the law of 17 August 2015 on the energy transition for green growth, a new obligation dedicated to the benefit of households in fuel poverty has been in place since 1 January 2016, with a target of 150 TWh cumulative updated by the end of 2017.</w:t>
      </w:r>
    </w:p>
    <w:p w14:paraId="0B24676E" w14:textId="77777777" w:rsidR="00B22542" w:rsidRPr="00364545" w:rsidRDefault="00B22542" w:rsidP="00B22542"/>
    <w:p w14:paraId="186C57D0" w14:textId="731F198F" w:rsidR="000620EE" w:rsidRPr="00364545" w:rsidRDefault="00A5513E" w:rsidP="00B22542">
      <w:r w:rsidRPr="00364545">
        <w:t>The fourth period, initially planned for 1 January 2018 to 31 December 2020, was extended to 31 December 2021. The mandatory requirement imposed on energy sellers in the fourth period was equivalent to 2133 TWh cumac of conventional actions for the period 2018-2021, of which 533 TWh cumac was to be carried out for the benefit of households in fuel poverty.</w:t>
      </w:r>
    </w:p>
    <w:p w14:paraId="630DF4E6" w14:textId="77777777" w:rsidR="00B22542" w:rsidRPr="00364545" w:rsidRDefault="00B22542" w:rsidP="00B22542"/>
    <w:p w14:paraId="5CFBF28E" w14:textId="5834221F" w:rsidR="00A5513E" w:rsidRPr="00364545" w:rsidRDefault="00A5513E" w:rsidP="00B22542">
      <w:r w:rsidRPr="00364545">
        <w:t>The 5th period, which starts on 1 January 2022 as part of the "Fit for 55" legislative package, has an obligation level of 2,500 TWh cumulative updated over four years, of which almost 30% will benefit households in fuel poverty.</w:t>
      </w:r>
    </w:p>
    <w:p w14:paraId="598D20B7" w14:textId="77777777" w:rsidR="00B22542" w:rsidRPr="00364545" w:rsidRDefault="00B22542" w:rsidP="00B22542"/>
    <w:p w14:paraId="48951C35" w14:textId="11F405BF" w:rsidR="00A5513E" w:rsidRPr="00364545" w:rsidRDefault="00A5513E" w:rsidP="00B22542">
      <w:r w:rsidRPr="00364545">
        <w:t>In 2014, a proportional share of CO</w:t>
      </w:r>
      <w:r w:rsidRPr="00364545">
        <w:rPr>
          <w:vertAlign w:val="subscript"/>
        </w:rPr>
        <w:t>2</w:t>
      </w:r>
      <w:r w:rsidRPr="00364545">
        <w:t xml:space="preserve"> emissions from energy products was introduced into the domestic consumption tax on energy products (TICPE). The “</w:t>
      </w:r>
      <w:r w:rsidRPr="00364545">
        <w:rPr>
          <w:b/>
          <w:bCs/>
        </w:rPr>
        <w:t>carbon component</w:t>
      </w:r>
      <w:r w:rsidRPr="00364545">
        <w:t>” currently amounts to €44.60/tCO</w:t>
      </w:r>
      <w:r w:rsidRPr="00364545">
        <w:rPr>
          <w:vertAlign w:val="subscript"/>
        </w:rPr>
        <w:t>2</w:t>
      </w:r>
      <w:r w:rsidRPr="00364545">
        <w:t xml:space="preserve">. </w:t>
      </w:r>
    </w:p>
    <w:p w14:paraId="3BC677A0" w14:textId="77777777" w:rsidR="00B22542" w:rsidRPr="00364545" w:rsidRDefault="00B22542" w:rsidP="00B22542"/>
    <w:p w14:paraId="1B68094E" w14:textId="15CB8553" w:rsidR="00A5513E" w:rsidRPr="00364545" w:rsidRDefault="00A5513E" w:rsidP="00B22542">
      <w:r w:rsidRPr="00364545">
        <w:t xml:space="preserve">As part of the transposition of the Energy Efficiency Directive 2012/27/EU, companies with more than 250 employees or with an annual turnover of more than €50 million and a balance sheet total of more than €43 million must carry out an </w:t>
      </w:r>
      <w:r w:rsidRPr="00364545">
        <w:rPr>
          <w:b/>
          <w:bCs/>
        </w:rPr>
        <w:t>energy audit</w:t>
      </w:r>
      <w:r w:rsidRPr="00364545">
        <w:t xml:space="preserve"> every 4 years. The energy audit, carried out by an internal or external auditor, consists of a methodical analysis of the energy flows and consumption of a site and should enable companies to identify energy saving actions at all levels (buildings, industrial processes, transport etc.)</w:t>
      </w:r>
    </w:p>
    <w:p w14:paraId="0139A5F8" w14:textId="0A80E00B" w:rsidR="00A5513E" w:rsidRPr="00364545" w:rsidRDefault="00A5513E" w:rsidP="003F57EA">
      <w:pPr>
        <w:pStyle w:val="Titre3Niveau3"/>
      </w:pPr>
      <w:bookmarkStart w:id="467" w:name="_Ref123288437"/>
      <w:bookmarkStart w:id="468" w:name="_Toc138341831"/>
      <w:bookmarkStart w:id="469" w:name="_Toc120889889"/>
      <w:r w:rsidRPr="00364545">
        <w:t>Agriculture</w:t>
      </w:r>
      <w:bookmarkEnd w:id="467"/>
      <w:bookmarkEnd w:id="468"/>
      <w:r w:rsidRPr="00364545">
        <w:rPr>
          <w:color w:val="FF0000"/>
        </w:rPr>
        <w:t xml:space="preserve"> </w:t>
      </w:r>
      <w:bookmarkEnd w:id="469"/>
    </w:p>
    <w:p w14:paraId="235F9DE9" w14:textId="77777777" w:rsidR="00426FA6" w:rsidRPr="00364545" w:rsidRDefault="00A5513E" w:rsidP="00426FA6">
      <w:pPr>
        <w:spacing w:line="259" w:lineRule="auto"/>
        <w:rPr>
          <w:b/>
          <w:bCs/>
        </w:rPr>
      </w:pPr>
      <w:r w:rsidRPr="00364545">
        <w:t>Agriculture accounted for 21% of France's emissions in 2020. It is the second most emitting sector after transport. Agricultural emissions are divided between livestock (49% of emissions in 2020), crops (38%) and energy consumption of tractors, machinery and agricultural boilers (13%). CH</w:t>
      </w:r>
      <w:r w:rsidRPr="00364545">
        <w:rPr>
          <w:vertAlign w:val="subscript"/>
        </w:rPr>
        <w:t>4</w:t>
      </w:r>
      <w:r w:rsidRPr="00364545">
        <w:t xml:space="preserve"> emissions from enteric fermentation in livestock, mainly cattle, and animal manure, as well as N</w:t>
      </w:r>
      <w:r w:rsidRPr="00364545">
        <w:rPr>
          <w:vertAlign w:val="subscript"/>
        </w:rPr>
        <w:t>2</w:t>
      </w:r>
      <w:r w:rsidRPr="00364545">
        <w:t>O emissions, mainly from agricultural soils (nitrogenous mineral fertilisers and crop residues), are predominant: they account for 45% and 42% of agricultural emissions respectively. CO</w:t>
      </w:r>
      <w:r w:rsidRPr="00364545">
        <w:rPr>
          <w:vertAlign w:val="subscript"/>
        </w:rPr>
        <w:t>2</w:t>
      </w:r>
      <w:r w:rsidRPr="00364545">
        <w:t xml:space="preserve"> accounts for 13% of the sector's emissions and is mainly due to energy consumption. The NLCS 2 </w:t>
      </w:r>
      <w:r w:rsidRPr="00364545">
        <w:rPr>
          <w:b/>
        </w:rPr>
        <w:t>aims to reduce the sector's emissions by 18% in 2030 compared to 2015 and by 46% by 2050</w:t>
      </w:r>
      <w:r w:rsidRPr="00364545">
        <w:t xml:space="preserve">. The indicative annual tranches of the NLCS 2 specify, on average, for agriculture, a decrease in emissions of -1.2% per year over the period 2020-2023, then -1.3% per year from 2024 to 2029, and finally -1.4% per year from 2030 to 2033. </w:t>
      </w:r>
    </w:p>
    <w:p w14:paraId="2639C11F" w14:textId="77777777" w:rsidR="00426FA6" w:rsidRPr="00364545" w:rsidRDefault="00426FA6" w:rsidP="00426FA6">
      <w:pPr>
        <w:spacing w:before="0" w:after="120" w:line="259" w:lineRule="auto"/>
      </w:pPr>
      <w:r w:rsidRPr="00364545">
        <w:t>In the context of the COVID-19 pandemic,</w:t>
      </w:r>
      <w:r w:rsidRPr="00364545">
        <w:rPr>
          <w:b/>
        </w:rPr>
        <w:t xml:space="preserve"> </w:t>
      </w:r>
      <w:r w:rsidRPr="00364545">
        <w:t xml:space="preserve">the "Agricultural, food and forestry transition" section of the "France Recovery" plan has three objectives: to </w:t>
      </w:r>
      <w:r w:rsidRPr="00364545">
        <w:rPr>
          <w:b/>
        </w:rPr>
        <w:t>strengthen food sovereignty; to accelerate the agro-ecological transition in order to give all French people access to healthy, sustainable and local food; and to adapt agriculture and forestry to climate change</w:t>
      </w:r>
      <w:r w:rsidRPr="00364545">
        <w:t xml:space="preserve">. 1.4 billion euros are thus specifically dedicated to the agricultural and agri-food sectors, in addition to the cross-sectoral measures of the France Recovery plan from which farmers and agri-food industries will benefit, in particular those run by the Ministry of the Economy, Finance and Recovery and those run by the Ministry of Labour, Employment and Social Integration. In particular, the measures of the </w:t>
      </w:r>
      <w:r w:rsidRPr="00364545">
        <w:rPr>
          <w:b/>
        </w:rPr>
        <w:t>national plan for plant proteins, "Let's Plant Hedges" and "Subsidised Carbon Assessment"</w:t>
      </w:r>
      <w:r w:rsidRPr="00364545">
        <w:t xml:space="preserve"> contribute to the mitigation (and adaptation) of the agricultural sector to climate change</w:t>
      </w:r>
      <w:r w:rsidRPr="00364545">
        <w:rPr>
          <w:rStyle w:val="FootnoteReference"/>
        </w:rPr>
        <w:footnoteReference w:id="27"/>
      </w:r>
      <w:r w:rsidRPr="00364545">
        <w:t>.</w:t>
      </w:r>
    </w:p>
    <w:p w14:paraId="10B29510" w14:textId="77777777" w:rsidR="00426FA6" w:rsidRPr="00364545" w:rsidRDefault="00426FA6" w:rsidP="00426FA6">
      <w:pPr>
        <w:spacing w:before="240" w:after="240"/>
      </w:pPr>
      <w:r w:rsidRPr="00364545">
        <w:t>Part of the Major Investment Plan (MIP) presented by the Prime Minister at the end of 2017, the MIP's agricultural component is endowed with €5 billion over 5 years (2018-2022). It aims to accelerate the adaptation of tools and the change of practices in the agriculture, fisheries, agri-food and forestry sectors</w:t>
      </w:r>
      <w:r w:rsidRPr="00364545">
        <w:rPr>
          <w:rStyle w:val="FootnoteReference"/>
        </w:rPr>
        <w:footnoteReference w:id="28"/>
      </w:r>
      <w:r w:rsidRPr="00364545">
        <w:t>.  It is based on 9 actions grouped into 3 fundamental themes</w:t>
      </w:r>
      <w:r w:rsidRPr="00364545">
        <w:rPr>
          <w:rStyle w:val="FootnoteReference"/>
        </w:rPr>
        <w:footnoteReference w:id="29"/>
      </w:r>
      <w:r w:rsidRPr="00364545">
        <w:t>. Theme 1 "Transformation of upstream agriculture and forestry" includes four actions: support for investments in farms, support for changes in practices, support for agricultural methanisation and support for investments in forests. Theme 2 "Improving the competitiveness of the agricultural and forestry downstream sector" includes two actions: support for moving the agricultural downstream sector upmarket and support for the modernisation of the forestry downstream sector. Theme 3 "Innovation and structuring of sectors" includes three actions: the innovation competition, support for collaborative and regional innovation projects and support for structuring investments in the sectors.</w:t>
      </w:r>
    </w:p>
    <w:p w14:paraId="2E0D2F46" w14:textId="77777777" w:rsidR="00426FA6" w:rsidRPr="00364545" w:rsidRDefault="00426FA6" w:rsidP="00426FA6">
      <w:pPr>
        <w:spacing w:before="0" w:after="120" w:line="256" w:lineRule="auto"/>
      </w:pPr>
      <w:r w:rsidRPr="00364545">
        <w:t xml:space="preserve">The National Strategic Plan (NSP) for the period 2023-2027 was developed following a public debate and electronic public consultation. The NSP will be able to contribute to the dynamics of lowering emissions from agriculture and increasing the carbon storage potential of agriculture and forestry, in particular through the new eco-regime, enhanced cross-compliance and 2nd pillar measures. Article 274 of the “Climate and Resilience” Law states that the PSN must be compatible with the SNBC. The provisions of the NSP proposal that contribute to the climate objectives set out in the European regulations and the national plans and programmes that follow from them are set out in the target plan contained in the French NSP proposal. In particular, the priorities set to </w:t>
      </w:r>
      <w:r w:rsidRPr="00364545">
        <w:rPr>
          <w:b/>
        </w:rPr>
        <w:t>maintain permanent grasslands and limit ploughing, the incentive to plant and maintain hedges in a sustainable manner, the objective of doubling the area of farmland planted with leguminous crops and organic farming, and the incentives to maintain and develop more self-sufficient and grassland-based livestock systems</w:t>
      </w:r>
      <w:r w:rsidRPr="00364545">
        <w:t xml:space="preserve"> will help to achieve the objectives of the fight against climate change. </w:t>
      </w:r>
    </w:p>
    <w:p w14:paraId="4ADB6D91" w14:textId="77777777" w:rsidR="00426FA6" w:rsidRPr="00364545" w:rsidRDefault="00426FA6" w:rsidP="00426FA6">
      <w:pPr>
        <w:spacing w:line="259" w:lineRule="auto"/>
      </w:pPr>
      <w:r w:rsidRPr="00364545">
        <w:rPr>
          <w:b/>
          <w:bCs/>
        </w:rPr>
        <w:t>In addition, the consultation exercise on water use in agriculture and adaptation to climate change known as the "Varenne agricole de l'eau et de l'adaptation au changement climatique"</w:t>
      </w:r>
      <w:r w:rsidRPr="00364545">
        <w:t xml:space="preserve"> aims to strengthen the resilience of agriculture in a global approach by acting in particular on soils, varieties, cultivation practices, agro-ecological infrastructures and the efficiency of irrigation water. The work resulting from the "Varenne agricole de l'eau" has been available for consultation since December 2021</w:t>
      </w:r>
      <w:r w:rsidRPr="00364545">
        <w:rPr>
          <w:rStyle w:val="FootnoteReference"/>
          <w:rFonts w:eastAsiaTheme="majorEastAsia"/>
        </w:rPr>
        <w:footnoteReference w:id="30"/>
      </w:r>
      <w:r w:rsidRPr="00364545">
        <w:t>, and the France 2030 plan provides for €200 million to implement it from 2022 through support for equipment for the 3rd Agricultural Revolution and support for the sectors, part of which will be dedicated to supporting innovation in the field of hydraulics.</w:t>
      </w:r>
    </w:p>
    <w:p w14:paraId="532E7605" w14:textId="5F07250C" w:rsidR="00A5513E" w:rsidRPr="00364545" w:rsidRDefault="00426FA6" w:rsidP="00426FA6">
      <w:r w:rsidRPr="00364545">
        <w:t xml:space="preserve">Finally, </w:t>
      </w:r>
      <w:r w:rsidRPr="00364545">
        <w:rPr>
          <w:b/>
          <w:bCs/>
        </w:rPr>
        <w:t>the Ministry of Agriculture’s climate action plan</w:t>
      </w:r>
      <w:r w:rsidRPr="00364545">
        <w:t>, published in June 2021, outlines a roadmap for achieving climate objectives in the agricultural and forestry sectors, and recalls the overall coherence of the various levers and tools mobilised by the Ministry.</w:t>
      </w:r>
    </w:p>
    <w:p w14:paraId="38727735" w14:textId="13BAEFB8" w:rsidR="00A5513E" w:rsidRPr="00364545" w:rsidRDefault="00A5513E" w:rsidP="00EF6DB6">
      <w:pPr>
        <w:pStyle w:val="Titre4niveau4"/>
      </w:pPr>
      <w:r w:rsidRPr="00364545">
        <w:t>Reduction of CH</w:t>
      </w:r>
      <w:r w:rsidRPr="00364545">
        <w:rPr>
          <w:vertAlign w:val="subscript"/>
        </w:rPr>
        <w:t>4</w:t>
      </w:r>
      <w:r w:rsidRPr="00364545">
        <w:t xml:space="preserve"> emissions from livestock manure management </w:t>
      </w:r>
    </w:p>
    <w:p w14:paraId="2DE63CAE" w14:textId="77777777" w:rsidR="00426FA6" w:rsidRPr="00364545" w:rsidRDefault="00426FA6" w:rsidP="00426FA6">
      <w:r w:rsidRPr="00364545">
        <w:t>Methane emissions are the main source of greenhouse gas emissions in agriculture (45%): improving effluent management, optimising herd management and adjusting animal feed are all ways of addressing this issue.</w:t>
      </w:r>
    </w:p>
    <w:p w14:paraId="74B29AB3" w14:textId="77777777" w:rsidR="00426FA6" w:rsidRPr="00364545" w:rsidRDefault="00426FA6" w:rsidP="00426FA6">
      <w:pPr>
        <w:spacing w:before="240" w:after="60"/>
      </w:pPr>
      <w:r w:rsidRPr="00364545">
        <w:t xml:space="preserve">Agricultural methanisation makes it possible to reduce methane emissions through the treatment of livestock effluents. The </w:t>
      </w:r>
      <w:r w:rsidRPr="00364545">
        <w:rPr>
          <w:b/>
        </w:rPr>
        <w:t>sector producing biogas through methanisation</w:t>
      </w:r>
      <w:r w:rsidRPr="00364545">
        <w:t xml:space="preserve"> is booming. At the end of September 2021, 1086 biogas plants were producing biogas and making economic use of it by injection into natural gas networks (308) or electricity production (778), i.e. 225 new biogas plants commissioned in one year.  </w:t>
      </w:r>
    </w:p>
    <w:p w14:paraId="02E5CDC7" w14:textId="77777777" w:rsidR="00426FA6" w:rsidRPr="00364545" w:rsidRDefault="00426FA6" w:rsidP="00426FA6">
      <w:pPr>
        <w:pStyle w:val="ListParagraph"/>
        <w:numPr>
          <w:ilvl w:val="0"/>
          <w:numId w:val="15"/>
        </w:numPr>
        <w:spacing w:before="0" w:after="0"/>
        <w:jc w:val="left"/>
        <w:rPr>
          <w:rFonts w:ascii="Times New Roman" w:hAnsi="Times New Roman"/>
          <w:sz w:val="24"/>
        </w:rPr>
      </w:pPr>
      <w:r w:rsidRPr="00364545">
        <w:t>The Multiannual Energy Programme (2019-2028)</w:t>
      </w:r>
      <w:r w:rsidRPr="00364545">
        <w:rPr>
          <w:rStyle w:val="FootnoteReference"/>
        </w:rPr>
        <w:footnoteReference w:id="31"/>
      </w:r>
      <w:r w:rsidRPr="00364545">
        <w:t xml:space="preserve"> provides for an increased commitment budget of €9.7bn to support the development of methanisation. In order to accelerate the development of the sector, the "climate and resilience" law created biogas production certificates, to assign natural gas suppliers an obligation to support biogas production.</w:t>
      </w:r>
      <w:r w:rsidRPr="00364545">
        <w:rPr>
          <w:rFonts w:ascii="Times New Roman" w:hAnsi="Times New Roman"/>
          <w:sz w:val="24"/>
        </w:rPr>
        <w:t xml:space="preserve"> </w:t>
      </w:r>
    </w:p>
    <w:p w14:paraId="4513EB70" w14:textId="77777777" w:rsidR="00426FA6" w:rsidRPr="00364545" w:rsidRDefault="00426FA6" w:rsidP="00426FA6">
      <w:pPr>
        <w:numPr>
          <w:ilvl w:val="0"/>
          <w:numId w:val="15"/>
        </w:numPr>
        <w:spacing w:before="240" w:after="240"/>
      </w:pPr>
      <w:r w:rsidRPr="00364545">
        <w:t>The feed-in tariff for electricity produced by methanisation plants, created in 2006, was increased in 2016 for small and medium-sized plants (less than 500 kWe), and a call for tenders was created for larger plants (500 kW to 1 MW) in the form of a "methanisation" family integrated into the calls for tenders for the production of electricity from biomass; a remuneration supplement scheme for electricity produced by biogas from methanisation is intended for installations far from the natural gas networks</w:t>
      </w:r>
      <w:r w:rsidRPr="00364545">
        <w:rPr>
          <w:rFonts w:ascii="Calibri" w:hAnsi="Calibri"/>
        </w:rPr>
        <w:t>;</w:t>
      </w:r>
    </w:p>
    <w:p w14:paraId="283BFE9C" w14:textId="77777777" w:rsidR="00426FA6" w:rsidRPr="00364545" w:rsidRDefault="00426FA6" w:rsidP="00426FA6">
      <w:pPr>
        <w:numPr>
          <w:ilvl w:val="0"/>
          <w:numId w:val="15"/>
        </w:numPr>
        <w:spacing w:before="240" w:after="240"/>
      </w:pPr>
      <w:r w:rsidRPr="00364545">
        <w:t>A feed-in tariff for biomethane produced by agricultural methanisation plants and injected into natural gas networks was introduced in 2011, and was supplemented by several measures to facilitate the connection of plants to natural gas networks and the injection of the volumes of renewable gas thus produced. It was revised in November 2020, reserved for projects with a production capacity of less than 25 GWh/year, in order to take into account the level of maturity reached by the sector and the decrease in production costs. The purchase obligation for biomethane injected into a natural gas network following a call for tenders is intended to support projects with a production capacity of more than 25 GWh/year</w:t>
      </w:r>
      <w:r w:rsidRPr="00364545">
        <w:rPr>
          <w:rFonts w:ascii="Calibri" w:hAnsi="Calibri"/>
        </w:rPr>
        <w:t>;</w:t>
      </w:r>
    </w:p>
    <w:p w14:paraId="20A365C4" w14:textId="77777777" w:rsidR="00426FA6" w:rsidRPr="00364545" w:rsidRDefault="00426FA6" w:rsidP="00426FA6">
      <w:pPr>
        <w:numPr>
          <w:ilvl w:val="0"/>
          <w:numId w:val="15"/>
        </w:numPr>
        <w:spacing w:before="240" w:after="240"/>
      </w:pPr>
      <w:r w:rsidRPr="00364545">
        <w:t>The "Energy methanisation autonomy nitrogen" (EMAA) plan, which came into force in 2013, provides in particular for the simplification of administrative procedures for the development of methanisation projects, better support for those running projects and efforts to structure the sector;</w:t>
      </w:r>
    </w:p>
    <w:p w14:paraId="3783C16F" w14:textId="77777777" w:rsidR="00426FA6" w:rsidRPr="00364545" w:rsidRDefault="00426FA6" w:rsidP="00426FA6">
      <w:pPr>
        <w:pStyle w:val="ListParagraph"/>
        <w:numPr>
          <w:ilvl w:val="0"/>
          <w:numId w:val="15"/>
        </w:numPr>
        <w:spacing w:before="100" w:beforeAutospacing="1" w:after="100" w:afterAutospacing="1"/>
      </w:pPr>
      <w:r w:rsidRPr="00364545">
        <w:t>Since 2015, the plan for competitiveness and adaptation of farms (PCAE) offers financial aid for investments made by farms such as the modernisation of livestock buildings, better management of effluents (pit covers), improving the food autonomy of livestock, and improving the energy performance of farms by developing methanisation in particular. It provides for the modernisation of the production system, innovation, combining economic, environmental, health and social performance, and encouraging the establishment of new farmers. It is set out in each of the regional rural development programmes, for which the Regions are managing authorities. Since 2018, it has been integrated into the tools of the agricultural component of the Major Investment Plan, designed to meet the challenges of modernising farms. It also supports the implementation of the "PACTE biosecurity and animal welfare in livestock farming" measure of the Recovery Plan, with a budget of €90M (including €86.5M for investment support). Between 2015 and 2019, the overall annual budget for the PCAE has almost doubled from €313 million in 2015 to €621 million in 2019</w:t>
      </w:r>
      <w:r w:rsidRPr="00364545">
        <w:rPr>
          <w:rStyle w:val="FootnoteReference"/>
        </w:rPr>
        <w:footnoteReference w:id="32"/>
      </w:r>
      <w:r w:rsidRPr="00364545">
        <w:rPr>
          <w:rFonts w:ascii="Calibri" w:hAnsi="Calibri"/>
        </w:rPr>
        <w:t>;</w:t>
      </w:r>
    </w:p>
    <w:p w14:paraId="54A07FC3" w14:textId="77777777" w:rsidR="00426FA6" w:rsidRPr="00364545" w:rsidRDefault="00426FA6" w:rsidP="003F57EA">
      <w:pPr>
        <w:pStyle w:val="ListParagraph"/>
        <w:numPr>
          <w:ilvl w:val="0"/>
          <w:numId w:val="89"/>
        </w:numPr>
        <w:spacing w:before="240" w:after="60"/>
      </w:pPr>
      <w:r w:rsidRPr="00364545">
        <w:t>In 2019, a guarantee fund was set up by the Ministry of Agriculture, with an additional €25 million, to enable BPI France to offer up to €100 million in unsecured loans for agricultural methanisation projects with injection into the gas network of more than 125 Nm3 with the aim of assisting with financial rounds (provides up to 20% of the investment amount in the form of loans).</w:t>
      </w:r>
    </w:p>
    <w:p w14:paraId="2C523DC6" w14:textId="77777777" w:rsidR="00426FA6" w:rsidRPr="00364545" w:rsidRDefault="00426FA6" w:rsidP="003F57EA">
      <w:pPr>
        <w:pStyle w:val="ListParagraph"/>
        <w:numPr>
          <w:ilvl w:val="0"/>
          <w:numId w:val="89"/>
        </w:numPr>
        <w:spacing w:before="0" w:after="0" w:line="259" w:lineRule="auto"/>
      </w:pPr>
      <w:r w:rsidRPr="00364545">
        <w:t xml:space="preserve">The </w:t>
      </w:r>
      <w:r w:rsidRPr="00364545">
        <w:rPr>
          <w:b/>
        </w:rPr>
        <w:t>draft national strategic plan for the CAP 2023-2027</w:t>
      </w:r>
      <w:r w:rsidRPr="00364545">
        <w:t xml:space="preserve"> promotes the development of agro-ecological practices in livestock farming through reinforced cross-compliance, the eco-regime, agri-environmental and climatic measures (MAEC), investments, the reinforcement of coupled aid for legumes and the ceilings of the Compensatory Allowance for Natural Handicaps (ICHN) and coupled bovine aid, which take into account the forage area, which is mainly made up of grassland in our country. These measures encourage the extensification of livestock farming with increased recourse to pasture, as well as the protein autonomy of farms by increasing the production of legumes. The NSP promotes the closing of cycles between crops and livestock on the scale of farms and regions, and better management of livestock effluents.</w:t>
      </w:r>
    </w:p>
    <w:p w14:paraId="6A1897EA" w14:textId="77777777" w:rsidR="00426FA6" w:rsidRPr="00364545" w:rsidRDefault="00426FA6" w:rsidP="003F57EA">
      <w:pPr>
        <w:pStyle w:val="ListParagraph"/>
        <w:numPr>
          <w:ilvl w:val="0"/>
          <w:numId w:val="89"/>
        </w:numPr>
        <w:spacing w:before="0" w:after="0" w:line="259" w:lineRule="auto"/>
      </w:pPr>
      <w:r w:rsidRPr="00364545">
        <w:t xml:space="preserve">The </w:t>
      </w:r>
      <w:r w:rsidRPr="00364545">
        <w:rPr>
          <w:b/>
        </w:rPr>
        <w:t>National Agricultural and Rural Development Programme</w:t>
      </w:r>
      <w:r w:rsidRPr="00364545">
        <w:t xml:space="preserve"> (PNDAR) includes, from 2023 onwards, the priority relating to the reduction of GHG emissions from agriculture and the development of carbon storage techniques (priority theme 3 of the 2022-2027 programme).  The PNDAR supports R&amp;D projects and knowledge transfer initiatives that can contribute to reducing GHG emissions, for example by reducing the unproductive periods of animals, by working on their longevity, their feed efficiency, particularly when grazing, and their ability to make use of a diversity of fodder resources (particularly herbaceous and woody).</w:t>
      </w:r>
    </w:p>
    <w:p w14:paraId="4C88D4AF" w14:textId="77777777" w:rsidR="00426FA6" w:rsidRPr="00364545" w:rsidRDefault="00426FA6" w:rsidP="003F57EA">
      <w:pPr>
        <w:pStyle w:val="ListParagraph"/>
        <w:numPr>
          <w:ilvl w:val="0"/>
          <w:numId w:val="89"/>
        </w:numPr>
        <w:autoSpaceDE w:val="0"/>
        <w:autoSpaceDN w:val="0"/>
        <w:adjustRightInd w:val="0"/>
        <w:spacing w:before="0" w:after="0"/>
      </w:pPr>
      <w:r w:rsidRPr="00364545">
        <w:t xml:space="preserve">The consumption of legumes (plant proteins) is increasing in French households. It increased by 9% between 2015 and 2017. Enabling the French to </w:t>
      </w:r>
      <w:r w:rsidRPr="00364545">
        <w:rPr>
          <w:b/>
        </w:rPr>
        <w:t xml:space="preserve">diversify their protein intake by eating locally produced pulses is a priority, in line with the recommendations of the French National Nutrition and Health Programme </w:t>
      </w:r>
      <w:r w:rsidRPr="00364545">
        <w:t>(PNNS). The challenge is therefore to encourage the development of a local French offer to meet this growing demand</w:t>
      </w:r>
      <w:r w:rsidRPr="00364545">
        <w:rPr>
          <w:rFonts w:ascii="Marianne-Regular" w:hAnsi="Marianne-Regular"/>
          <w:color w:val="333333"/>
          <w:sz w:val="18"/>
        </w:rPr>
        <w:t xml:space="preserve">. </w:t>
      </w:r>
      <w:r w:rsidRPr="00364545">
        <w:t xml:space="preserve">Legumes have an undeniable nutritional benefit in human food, but also in the reduction of associated GHG emissions (leguminous crops contribute to the development of practices requiring less fertilisation in rotation, provide raw materials for animal feed to replace imported soya which may come from deforested areas, and produce pulses for human consumption). The </w:t>
      </w:r>
      <w:r w:rsidRPr="00364545">
        <w:rPr>
          <w:b/>
        </w:rPr>
        <w:t>National Food and Nutrition Programme</w:t>
      </w:r>
      <w:r w:rsidRPr="00364545">
        <w:rPr>
          <w:rStyle w:val="FootnoteReference"/>
          <w:rFonts w:eastAsiaTheme="majorEastAsia"/>
          <w:color w:val="000000" w:themeColor="hyperlink"/>
        </w:rPr>
        <w:footnoteReference w:id="33"/>
      </w:r>
      <w:r w:rsidRPr="00364545">
        <w:t xml:space="preserve"> (2019-2023) </w:t>
      </w:r>
      <w:r w:rsidRPr="00364545">
        <w:rPr>
          <w:b/>
        </w:rPr>
        <w:t>plans to support this rebalancing of plant and animal proteins in diets</w:t>
      </w:r>
      <w:r w:rsidRPr="00364545">
        <w:t>. In this context, the EGalim Law</w:t>
      </w:r>
      <w:r w:rsidRPr="00364545">
        <w:rPr>
          <w:rStyle w:val="FootnoteReference"/>
          <w:rFonts w:eastAsiaTheme="majorEastAsia"/>
          <w:color w:val="000000" w:themeColor="hyperlink"/>
        </w:rPr>
        <w:footnoteReference w:id="34"/>
      </w:r>
      <w:r w:rsidRPr="00364545">
        <w:t xml:space="preserve"> introduces the proposal of a weekly vegetarian menu in collective catering services in an experimental framework. This proposal became mandatory with the "climate and resilience" law (Article 252), which also provides for a daily vegetarian menu proposal, on an experimental basis, for collective catering managed by local authorities who wish to do so. The State, for its part, will, from 2023 onwards, offer a daily vegetarian menu in the event of multiple choices being offered to diners in its canteens and those of its public establishments and national public companies. This provision will also apply to universities (Article 252 of the Climate and Resilience Law). </w:t>
      </w:r>
    </w:p>
    <w:p w14:paraId="38540DE6" w14:textId="77777777" w:rsidR="00426FA6" w:rsidRPr="00364545" w:rsidRDefault="00426FA6" w:rsidP="00EF6DB6">
      <w:pPr>
        <w:pStyle w:val="Titre4niveau4"/>
      </w:pPr>
      <w:r w:rsidRPr="00364545">
        <w:t xml:space="preserve">Measures to reduce N2O emissions from agriculture </w:t>
      </w:r>
    </w:p>
    <w:p w14:paraId="0BA5FF9C" w14:textId="77777777" w:rsidR="00426FA6" w:rsidRPr="00364545" w:rsidRDefault="00426FA6" w:rsidP="00426FA6">
      <w:pPr>
        <w:spacing w:before="240" w:after="60"/>
      </w:pPr>
      <w:r w:rsidRPr="00364545">
        <w:t xml:space="preserve">French agriculture contributes significantly to the emission of certain greenhouse gases (GHG), in particular 90% of nitrous oxide (N2O) emissions. </w:t>
      </w:r>
      <w:r w:rsidRPr="00364545">
        <w:rPr>
          <w:b/>
          <w:bCs/>
        </w:rPr>
        <w:t>Nitrous oxide emissions are the 2nd largest GHG emission item from agriculture (42%).</w:t>
      </w:r>
      <w:r w:rsidRPr="00364545">
        <w:t xml:space="preserve"> A part (84%) of these emissions is direct, mainly linked to the use of mineral nitrogen fertilisers (29%), to manure on pasture (23%), but also to agricultural residues (12%), to the management of animal manure at the building and in storage (7%) and to the spreading of organic fertilisers and soil additives (9%); the rest of the emissions are indirect (16%) and linked to nitrogen losses by volatilisation and leaching. </w:t>
      </w:r>
      <w:r w:rsidRPr="00364545">
        <w:rPr>
          <w:b/>
        </w:rPr>
        <w:t xml:space="preserve"> </w:t>
      </w:r>
      <w:r w:rsidRPr="00364545">
        <w:t xml:space="preserve">The optimisation of the nitrogen cycle and the improvement of plant protein autonomy respond to this challenge. </w:t>
      </w:r>
      <w:r w:rsidRPr="00364545">
        <w:rPr>
          <w:b/>
          <w:bCs/>
        </w:rPr>
        <w:t>The policies supporting the reduction in the use of mineral nitrogen fertilisers are based on the Nitrates Directive with the 6th Nitrates Action Programme, the Climate and Resilience Law and the National Plant Protein Strategy</w:t>
      </w:r>
      <w:r w:rsidRPr="00364545">
        <w:rPr>
          <w:rStyle w:val="FootnoteReference"/>
        </w:rPr>
        <w:footnoteReference w:id="35"/>
      </w:r>
      <w:r w:rsidRPr="00364545">
        <w:rPr>
          <w:b/>
          <w:bCs/>
        </w:rPr>
        <w:t>.</w:t>
      </w:r>
    </w:p>
    <w:p w14:paraId="7A4BA8FC" w14:textId="77777777" w:rsidR="00426FA6" w:rsidRPr="00364545" w:rsidRDefault="00426FA6" w:rsidP="00426FA6">
      <w:pPr>
        <w:spacing w:before="240" w:after="60"/>
      </w:pPr>
      <w:r w:rsidRPr="00364545">
        <w:rPr>
          <w:b/>
        </w:rPr>
        <w:t xml:space="preserve">The Climate and Resilience Law </w:t>
      </w:r>
      <w:r w:rsidRPr="00364545">
        <w:t xml:space="preserve"> (published in August 2021 - article 268) provides for a 15% reduction in nitrous oxide emissions in 2030 compared to 2015, in line with the carbon budgets of the National Low Carbon Strategy. The implementing decree defining the trajectory for the agricultural sector was put out to consultation from 30 November 2022 to 22 December 2022 and is expected to be published soon. The climate and resilience law also provides for a national action plan for the reduction of nitrous oxide emissions linked to the use of mineral nitrogen fertilisers (national eco-nitrogen action plan known as "PANEA") to support the actors in this direction; it also envisages the possibility of a charge if the trajectory for reducing N2O emissions is not respected. This is consistent with NH3 emissions for air quality.</w:t>
      </w:r>
    </w:p>
    <w:p w14:paraId="439EB6EB" w14:textId="77777777" w:rsidR="00426FA6" w:rsidRPr="00364545" w:rsidRDefault="00426FA6" w:rsidP="00426FA6">
      <w:pPr>
        <w:spacing w:line="256" w:lineRule="auto"/>
      </w:pPr>
      <w:r w:rsidRPr="00364545">
        <w:t xml:space="preserve">The National Plant Protein Strategy aims in particular to develop legumes via the plant protein plan endowed with more than 150 million euros thanks to the France Recovery plan, supplemented by the 4th Investment for the Future Plan (PIA4). It supports research and innovation actions and material investments, provides support for the structuring of plant protein sectors and downstream investments, and aid for the promotion of legumes. The strategy should </w:t>
      </w:r>
      <w:r w:rsidRPr="00364545">
        <w:rPr>
          <w:b/>
        </w:rPr>
        <w:t>double the area dedicated to these crops</w:t>
      </w:r>
      <w:r w:rsidRPr="00364545">
        <w:t xml:space="preserve"> by 2030 </w:t>
      </w:r>
      <w:r w:rsidRPr="00364545">
        <w:rPr>
          <w:b/>
        </w:rPr>
        <w:t>to 2 million hectares</w:t>
      </w:r>
      <w:r w:rsidRPr="00364545">
        <w:t xml:space="preserve"> (i.e. 8% of the total agricultural area). Thanks to the increase in legume areas, it will contribute to reducing the use of synthetic nitrogen fertilisers, which are a major contributor to N</w:t>
      </w:r>
      <w:r w:rsidRPr="00364545">
        <w:rPr>
          <w:vertAlign w:val="subscript"/>
        </w:rPr>
        <w:t>2</w:t>
      </w:r>
      <w:r w:rsidRPr="00364545">
        <w:t>O emissions, and to strengthening our independence from imports of protein-rich materials, particularly soya imported from third countries.</w:t>
      </w:r>
    </w:p>
    <w:p w14:paraId="3ADC3A73" w14:textId="77777777" w:rsidR="00426FA6" w:rsidRPr="00364545" w:rsidRDefault="00426FA6" w:rsidP="00426FA6">
      <w:pPr>
        <w:spacing w:line="256" w:lineRule="auto"/>
      </w:pPr>
      <w:r w:rsidRPr="00364545">
        <w:t xml:space="preserve">Furthermore, the </w:t>
      </w:r>
      <w:r w:rsidRPr="00364545">
        <w:rPr>
          <w:b/>
        </w:rPr>
        <w:t>2023-2027 NSP</w:t>
      </w:r>
      <w:r w:rsidRPr="00364545">
        <w:t xml:space="preserve"> plans to almost double coupled aid to support the development of legumes (from 134 million euros in 2020 to 236 million euros per year at the end of the programme), in order to encourage a reduction in the use of synthetic nitrogen fertilisers in arable crop systems and to strengthen the protein autonomy of livestock farms. NSP support also aims to double the area under organic farming by 2027 (i.e. 18% of the total UAA), and thus to achieve greater crop diversification with the introduction of legumes in rotations, a reduction in the use of and risks associated with plant protection products, and a better use of organic fertilisers.</w:t>
      </w:r>
    </w:p>
    <w:p w14:paraId="2DBB28E4" w14:textId="77777777" w:rsidR="00426FA6" w:rsidRPr="00364545" w:rsidRDefault="00426FA6" w:rsidP="00426FA6">
      <w:pPr>
        <w:spacing w:after="120" w:line="256" w:lineRule="auto"/>
        <w:rPr>
          <w:rFonts w:ascii="Arial" w:hAnsi="Arial"/>
          <w:sz w:val="20"/>
          <w:szCs w:val="22"/>
        </w:rPr>
      </w:pPr>
      <w:r w:rsidRPr="00364545">
        <w:rPr>
          <w:b/>
          <w:bCs/>
        </w:rPr>
        <w:t>The target of 8% of the agricultural land area being cultivated with legumes by 1 January 2030</w:t>
      </w:r>
      <w:r w:rsidRPr="00364545">
        <w:t xml:space="preserve"> was also adopted (Article 261 of the Climate and Resilience Law).</w:t>
      </w:r>
    </w:p>
    <w:p w14:paraId="001C87E0" w14:textId="77777777" w:rsidR="00426FA6" w:rsidRPr="00364545" w:rsidRDefault="00426FA6" w:rsidP="00426FA6">
      <w:pPr>
        <w:spacing w:before="240" w:after="60"/>
      </w:pPr>
      <w:r w:rsidRPr="00364545">
        <w:t xml:space="preserve">The reduction of N2O emissions requires better control of nitrogen fertilisation and the fight against nitrogen surpluses, a priority issue for the agricultural sector. Steadily increasing since the 1970s, the quantities of mineral nitrogen sold (kg) in relation to the fertilisable area (in ha) reached a plateau around 90 kg in the 1990s, followed by a slight decrease in the 2010s (around 85 kg). This decline has been confirmed in the last 3 known campaigns (2018 to 2021) with values of 75, 77 and 69 kg respectively. </w:t>
      </w:r>
    </w:p>
    <w:p w14:paraId="61955611" w14:textId="77777777" w:rsidR="00426FA6" w:rsidRPr="00364545" w:rsidRDefault="00426FA6" w:rsidP="00426FA6">
      <w:pPr>
        <w:spacing w:before="240" w:after="60"/>
      </w:pPr>
      <w:r w:rsidRPr="00364545">
        <w:t xml:space="preserve">The </w:t>
      </w:r>
      <w:r w:rsidRPr="00364545">
        <w:rPr>
          <w:b/>
        </w:rPr>
        <w:t>nitrate action programmes</w:t>
      </w:r>
      <w:r w:rsidRPr="00364545">
        <w:t>, which are compulsory in vulnerable areas, require balanced nitrogen fertilisation and good management of livestock effluents. They aim to apply nitrogen at the right dose and at the right time so that the crop can take it up quickly, and thus limit leakage to the environment. Nitrate trap intermediate crops should be introduced on all plots in vulnerable zones where the time between crops is long, which can help to temporarily immobilise nitrogen so that it is available when the main crop needs it.</w:t>
      </w:r>
    </w:p>
    <w:p w14:paraId="3913C523" w14:textId="77777777" w:rsidR="00426FA6" w:rsidRPr="00364545" w:rsidRDefault="00426FA6" w:rsidP="00426FA6">
      <w:pPr>
        <w:spacing w:before="240" w:after="60"/>
      </w:pPr>
      <w:r w:rsidRPr="00364545">
        <w:t xml:space="preserve">The </w:t>
      </w:r>
      <w:r w:rsidRPr="00364545">
        <w:rPr>
          <w:b/>
        </w:rPr>
        <w:t>methanisation-nitrogen autonomy plan</w:t>
      </w:r>
      <w:r w:rsidRPr="00364545">
        <w:t xml:space="preserve"> is part of an agronomic approach based on respecting the balance of fertilisation and the overall reduction in the use of inputs. This plan contains a set of tools aimed at better management of nitrogen, including calls for projects, promotion and dissemination of knowledge, and simplification of administrative rules. </w:t>
      </w:r>
    </w:p>
    <w:p w14:paraId="467E9459" w14:textId="77777777" w:rsidR="00426FA6" w:rsidRPr="00364545" w:rsidRDefault="00426FA6" w:rsidP="00426FA6">
      <w:pPr>
        <w:spacing w:before="240" w:after="60"/>
      </w:pPr>
      <w:r w:rsidRPr="00364545">
        <w:t xml:space="preserve">The </w:t>
      </w:r>
      <w:r w:rsidRPr="00364545">
        <w:rPr>
          <w:b/>
        </w:rPr>
        <w:t>"Ambition bio 2022" programme</w:t>
      </w:r>
      <w:r w:rsidRPr="00364545">
        <w:t xml:space="preserve"> was presented in June 2018. It aims to have 15% of the agricultural land in organic farming by 2022. It has a budget of 1.1 billion euros</w:t>
      </w:r>
      <w:r w:rsidRPr="00364545">
        <w:rPr>
          <w:rStyle w:val="FootnoteReference"/>
        </w:rPr>
        <w:footnoteReference w:id="36"/>
      </w:r>
      <w:r w:rsidRPr="00364545">
        <w:t xml:space="preserve"> and is based on seven major themes: developing production, structuring the sectors, developing organic consumption, strengthening research, training actors, adapting regulations, and developing organic production in the overseas territories. NSP support also aims to double the area under organic farming by 2027 (i.e. 18% of the total UAA), and thus to achieve greater crop diversification with the introduction of legumes in rotations, a reduction in the use of and risks associated with plant protection products, and a better use of organic fertilisers.</w:t>
      </w:r>
    </w:p>
    <w:p w14:paraId="010E02DC" w14:textId="77777777" w:rsidR="00426FA6" w:rsidRPr="00364545" w:rsidRDefault="00426FA6" w:rsidP="00426FA6">
      <w:pPr>
        <w:spacing w:before="240" w:after="60"/>
      </w:pPr>
      <w:r w:rsidRPr="00364545">
        <w:t xml:space="preserve">The </w:t>
      </w:r>
      <w:r w:rsidRPr="00364545">
        <w:rPr>
          <w:b/>
        </w:rPr>
        <w:t>seeds and sustainable agriculture plan</w:t>
      </w:r>
      <w:r w:rsidRPr="00364545">
        <w:t>, launched in 2016, by supporting the selection of nitrogen-saving plants as well as improving legume seed resources, contributes to the limitation of N2O emissions. On the occasion of the International Conference on Green Development of the Seed Sector organised by FAO on 4-5 November 2021, a new plan on Seeds and Seedlings for Agro-ecology, Climate Change Adaptation and Food Sovereignty was launched. It provides for actions organised around four main working themes: a diversity of varieties and species, quality food that respects the environment, participatory approaches and the use of new techniques, and scientific expertise at the service of public authorities and society</w:t>
      </w:r>
      <w:r w:rsidRPr="00364545">
        <w:rPr>
          <w:rStyle w:val="FootnoteReference"/>
        </w:rPr>
        <w:footnoteReference w:id="37"/>
      </w:r>
      <w:r w:rsidRPr="00364545">
        <w:t>.</w:t>
      </w:r>
    </w:p>
    <w:p w14:paraId="11907450" w14:textId="77777777" w:rsidR="00426FA6" w:rsidRPr="00364545" w:rsidRDefault="00426FA6" w:rsidP="00426FA6">
      <w:pPr>
        <w:spacing w:before="240" w:after="60"/>
      </w:pPr>
      <w:r w:rsidRPr="00364545">
        <w:t xml:space="preserve">The </w:t>
      </w:r>
      <w:r w:rsidRPr="00364545">
        <w:rPr>
          <w:b/>
          <w:bCs/>
        </w:rPr>
        <w:t>plan for competitiveness and adaptation of farms</w:t>
      </w:r>
      <w:r w:rsidRPr="00364545">
        <w:t xml:space="preserve"> proposes investment aid to promote, among other things, the rational use of mineral fertilisation and the development of leguminous crops. </w:t>
      </w:r>
    </w:p>
    <w:p w14:paraId="6DCAD1FD" w14:textId="77777777" w:rsidR="00426FA6" w:rsidRPr="00364545" w:rsidRDefault="00426FA6" w:rsidP="00EF6DB6">
      <w:pPr>
        <w:pStyle w:val="Titre4niveau4"/>
      </w:pPr>
      <w:r w:rsidRPr="00364545">
        <w:t>Reduction of CO2 emissions by controlling energy consumption and developing renewable energy in the agricultural sector</w:t>
      </w:r>
    </w:p>
    <w:p w14:paraId="18E6D3B5" w14:textId="77777777" w:rsidR="00426FA6" w:rsidRPr="00364545" w:rsidRDefault="00426FA6" w:rsidP="00426FA6">
      <w:pPr>
        <w:spacing w:before="240" w:after="60"/>
      </w:pPr>
      <w:r w:rsidRPr="00364545">
        <w:t xml:space="preserve">Agricultural methanisation, mentioned above, allows the production of biogas. This biogas can be recovered as renewable energy in different forms: </w:t>
      </w:r>
    </w:p>
    <w:p w14:paraId="6A547B20" w14:textId="77777777" w:rsidR="00426FA6" w:rsidRPr="00364545" w:rsidRDefault="00426FA6" w:rsidP="00426FA6">
      <w:pPr>
        <w:numPr>
          <w:ilvl w:val="0"/>
          <w:numId w:val="15"/>
        </w:numPr>
        <w:spacing w:before="240" w:after="240"/>
      </w:pPr>
      <w:r w:rsidRPr="00364545">
        <w:t>Through the simple production of heat that will be consumed in the vicinity of the production site;</w:t>
      </w:r>
    </w:p>
    <w:p w14:paraId="4604798E" w14:textId="77777777" w:rsidR="00426FA6" w:rsidRPr="00364545" w:rsidRDefault="00426FA6" w:rsidP="00426FA6">
      <w:pPr>
        <w:numPr>
          <w:ilvl w:val="0"/>
          <w:numId w:val="15"/>
        </w:numPr>
        <w:spacing w:before="240" w:after="240"/>
      </w:pPr>
      <w:r w:rsidRPr="00364545">
        <w:t xml:space="preserve">Through the combined production of electricity and heat (cogeneration) by combustion in an engine; </w:t>
      </w:r>
    </w:p>
    <w:p w14:paraId="34B80AE3" w14:textId="77777777" w:rsidR="00426FA6" w:rsidRPr="00364545" w:rsidRDefault="00426FA6" w:rsidP="00426FA6">
      <w:pPr>
        <w:numPr>
          <w:ilvl w:val="0"/>
          <w:numId w:val="15"/>
        </w:numPr>
        <w:spacing w:before="240" w:after="240"/>
      </w:pPr>
      <w:r w:rsidRPr="00364545">
        <w:t xml:space="preserve">By injection into natural gas networks after a purification stage (the biogas then becomes biomethane); </w:t>
      </w:r>
    </w:p>
    <w:p w14:paraId="13867930" w14:textId="77777777" w:rsidR="00426FA6" w:rsidRPr="00364545" w:rsidRDefault="00426FA6" w:rsidP="00426FA6">
      <w:pPr>
        <w:numPr>
          <w:ilvl w:val="0"/>
          <w:numId w:val="15"/>
        </w:numPr>
        <w:spacing w:before="240" w:after="240"/>
      </w:pPr>
      <w:r w:rsidRPr="00364545">
        <w:t xml:space="preserve">By converting it into fuel in the form of natural gas for vehicles (NGV). </w:t>
      </w:r>
    </w:p>
    <w:p w14:paraId="28E3EE4C" w14:textId="77777777" w:rsidR="00426FA6" w:rsidRPr="00364545" w:rsidRDefault="00426FA6" w:rsidP="00426FA6">
      <w:pPr>
        <w:spacing w:before="240" w:after="60"/>
      </w:pPr>
      <w:r w:rsidRPr="00364545">
        <w:t xml:space="preserve">The aforementioned plan for competitiveness and adaptation of farms also makes it possible to subsidise additional actions to reduce energy consumption and develop renewable energy. </w:t>
      </w:r>
    </w:p>
    <w:p w14:paraId="4B399481" w14:textId="77777777" w:rsidR="00426FA6" w:rsidRPr="00364545" w:rsidRDefault="00426FA6" w:rsidP="00EF6DB6">
      <w:pPr>
        <w:pStyle w:val="Titre4niveau4"/>
      </w:pPr>
      <w:r w:rsidRPr="00364545">
        <w:t xml:space="preserve">Measures acting on the different levers for reducing emissions from agriculture </w:t>
      </w:r>
    </w:p>
    <w:p w14:paraId="7B02E9DC" w14:textId="77777777" w:rsidR="00426FA6" w:rsidRPr="00364545" w:rsidRDefault="00426FA6" w:rsidP="00426FA6">
      <w:pPr>
        <w:spacing w:before="240" w:after="60"/>
      </w:pPr>
      <w:r w:rsidRPr="00364545">
        <w:t xml:space="preserve">Agri-environmental and climate measures (MAEC) provide financial support to farms that commit to developing practices that combine economic and environmental performance or to maintaining such practices when they are threatened with extinction. For the period 2014-2022, the following agri-environmental and climate measures are favoured: </w:t>
      </w:r>
    </w:p>
    <w:p w14:paraId="39D28453" w14:textId="77777777" w:rsidR="00426FA6" w:rsidRPr="00364545" w:rsidRDefault="00426FA6" w:rsidP="00426FA6">
      <w:pPr>
        <w:numPr>
          <w:ilvl w:val="0"/>
          <w:numId w:val="15"/>
        </w:numPr>
        <w:spacing w:before="240" w:after="240"/>
      </w:pPr>
      <w:r w:rsidRPr="00364545">
        <w:t xml:space="preserve">MAECs are based on a system logic, which consists of proposing a global commitment for a farm, rather than a commitment to only those plots where there is a particular environmental issue; </w:t>
      </w:r>
    </w:p>
    <w:p w14:paraId="5C2B311A" w14:textId="77777777" w:rsidR="00426FA6" w:rsidRPr="00364545" w:rsidRDefault="00426FA6" w:rsidP="00426FA6">
      <w:pPr>
        <w:numPr>
          <w:ilvl w:val="0"/>
          <w:numId w:val="15"/>
        </w:numPr>
        <w:spacing w:before="240" w:after="240"/>
      </w:pPr>
      <w:r w:rsidRPr="00364545">
        <w:t xml:space="preserve">Maintaining practices for extensive grassland systems/limiting intensification and returning organic matter to the soil; </w:t>
      </w:r>
    </w:p>
    <w:p w14:paraId="0007A132" w14:textId="77777777" w:rsidR="00426FA6" w:rsidRPr="00364545" w:rsidRDefault="00426FA6" w:rsidP="00426FA6">
      <w:pPr>
        <w:numPr>
          <w:ilvl w:val="0"/>
          <w:numId w:val="15"/>
        </w:numPr>
        <w:spacing w:before="240" w:after="240"/>
      </w:pPr>
      <w:r w:rsidRPr="00364545">
        <w:t xml:space="preserve">Maintaining and changing practices for mixed crop-livestock systems/input reduction; - Changing practices for arable crops/input reduction; </w:t>
      </w:r>
    </w:p>
    <w:p w14:paraId="3FBF9A1C" w14:textId="77777777" w:rsidR="00426FA6" w:rsidRPr="00364545" w:rsidRDefault="00426FA6" w:rsidP="00426FA6">
      <w:pPr>
        <w:numPr>
          <w:ilvl w:val="0"/>
          <w:numId w:val="15"/>
        </w:numPr>
        <w:spacing w:before="240" w:after="240"/>
      </w:pPr>
      <w:r w:rsidRPr="00364545">
        <w:t xml:space="preserve">Introduction of legumes in irrigated systems (especially in maize monoculture systems); </w:t>
      </w:r>
    </w:p>
    <w:p w14:paraId="3487FEB0" w14:textId="77777777" w:rsidR="00426FA6" w:rsidRPr="00364545" w:rsidRDefault="00426FA6" w:rsidP="00426FA6">
      <w:pPr>
        <w:numPr>
          <w:ilvl w:val="0"/>
          <w:numId w:val="15"/>
        </w:numPr>
        <w:spacing w:before="240" w:after="240"/>
      </w:pPr>
      <w:r w:rsidRPr="00364545">
        <w:t>Maintenance of topographical features such as hedges, copses, tree lines, etc.</w:t>
      </w:r>
    </w:p>
    <w:p w14:paraId="6042773C" w14:textId="77777777" w:rsidR="00426FA6" w:rsidRPr="00364545" w:rsidRDefault="00426FA6" w:rsidP="00426FA6">
      <w:pPr>
        <w:spacing w:before="240" w:after="60"/>
      </w:pPr>
      <w:r w:rsidRPr="00364545">
        <w:t>For the period 2023-2027, the MAECs that are more particularly concerned with climate mitigation are in</w:t>
      </w:r>
      <w:r w:rsidRPr="00364545">
        <w:rPr>
          <w:rFonts w:ascii="Calibri" w:hAnsi="Calibri"/>
        </w:rPr>
        <w:t xml:space="preserve"> particular </w:t>
      </w:r>
      <w:r w:rsidRPr="00364545">
        <w:t>the MAECs "transition of practices", "soil quality and preservation", "climate - animal welfare - fodder and food autonomy for livestock".</w:t>
      </w:r>
    </w:p>
    <w:p w14:paraId="70E515B5" w14:textId="77777777" w:rsidR="00426FA6" w:rsidRPr="00364545" w:rsidRDefault="00426FA6" w:rsidP="00426FA6">
      <w:pPr>
        <w:spacing w:before="240" w:after="60"/>
      </w:pPr>
      <w:r w:rsidRPr="00364545">
        <w:t xml:space="preserve">The Agro-ecological Project encourages innovation and the transition to new production systems that are efficient in all their dimensions (economic, environmental and social) by promoting research, training and communication on agroecology. </w:t>
      </w:r>
    </w:p>
    <w:p w14:paraId="1F7EA396" w14:textId="77777777" w:rsidR="00426FA6" w:rsidRPr="00364545" w:rsidRDefault="00426FA6" w:rsidP="00426FA6">
      <w:pPr>
        <w:spacing w:before="240" w:after="60"/>
      </w:pPr>
      <w:r w:rsidRPr="00364545">
        <w:t>The "Teaching to produce differently" plan was launched to generalise agroecology in agricultural education. Today, the new plan "Teaching to produce differently, for transitions and agroecology" aims to amplify the dynamics, around 4 themes: encouraging learners to speak and take the initiative on the questions of transitions and agroecology; mobilising the educational community to teach agroecology and to pursue the transitions; amplifying the mobilisation of the farms and technological workshops as a support for learning, demonstration and trials; developing leadership in the regions and spreading innovative practices.</w:t>
      </w:r>
    </w:p>
    <w:p w14:paraId="58567B72" w14:textId="77777777" w:rsidR="00426FA6" w:rsidRPr="00364545" w:rsidRDefault="00426FA6" w:rsidP="00426FA6">
      <w:pPr>
        <w:spacing w:before="240" w:after="60"/>
      </w:pPr>
      <w:r w:rsidRPr="00364545">
        <w:t>The National Biodiversity Strategy 2030 published in spring 2022</w:t>
      </w:r>
      <w:r w:rsidRPr="00364545">
        <w:rPr>
          <w:rStyle w:val="FootnoteReference"/>
        </w:rPr>
        <w:footnoteReference w:id="38"/>
      </w:r>
      <w:r w:rsidRPr="00364545">
        <w:t xml:space="preserve"> provides for the preservation of sensitive ecosystems, especially carbon-rich ones such as grasslands, among others through the 4th Wetlands Action Plan 2022-2026.</w:t>
      </w:r>
    </w:p>
    <w:p w14:paraId="08CAA8F9" w14:textId="77777777" w:rsidR="00426FA6" w:rsidRPr="00364545" w:rsidRDefault="00426FA6" w:rsidP="00426FA6">
      <w:pPr>
        <w:spacing w:before="240" w:after="60"/>
      </w:pPr>
      <w:r w:rsidRPr="00364545">
        <w:t>The agricultural component of the roadmap for the circular economy (FREC), published in 2019, aims to mobilise fertilising materials from recycling to partially substitute mineral fertilisers from non-renewable resources and to contribute to the supply of organic matter, and therefore carbon, to the soil.</w:t>
      </w:r>
    </w:p>
    <w:p w14:paraId="61C102CA" w14:textId="77777777" w:rsidR="00426FA6" w:rsidRPr="00364545" w:rsidRDefault="00426FA6" w:rsidP="00426FA6">
      <w:pPr>
        <w:spacing w:before="240" w:after="60"/>
      </w:pPr>
      <w:r w:rsidRPr="00364545">
        <w:t>Run by the Ministry in charge of the energy transition, the Low Carbon Label</w:t>
      </w:r>
      <w:r w:rsidRPr="00364545">
        <w:rPr>
          <w:rStyle w:val="FootnoteReference"/>
        </w:rPr>
        <w:footnoteReference w:id="39"/>
      </w:r>
      <w:r w:rsidRPr="00364545">
        <w:t xml:space="preserve">, </w:t>
      </w:r>
      <w:r w:rsidRPr="00364545">
        <w:rPr>
          <w:b/>
        </w:rPr>
        <w:t xml:space="preserve">launched in 2019, </w:t>
      </w:r>
      <w:r w:rsidRPr="00364545">
        <w:t>aims to reward virtuous behaviour in reducing greenhouse gas emissions and carbon sequestration in all sectors (forestry, agriculture, transport, building, waste, etc.), which go beyond usual practices, and to value them economically thanks to voluntary financing by private or public actors, in order to encourage local and additional actions. The low-carbon label makes it possible to trigger voluntary public or private funding or to meet offsetting obligations (see article 147 of the "climate and resilience" law on offsetting emissions from domestic flights). To do this, it recognises "emission reductions", based on methods developed by stakeholders and approved by the Ministry in charge of the energy transition, which can be acquired by actors wishing to offset their emissions, which allows the financing of projects.</w:t>
      </w:r>
    </w:p>
    <w:p w14:paraId="4494F146" w14:textId="77777777" w:rsidR="00426FA6" w:rsidRPr="00364545" w:rsidRDefault="00426FA6" w:rsidP="00426FA6">
      <w:pPr>
        <w:spacing w:before="240" w:after="60"/>
      </w:pPr>
      <w:r w:rsidRPr="00364545">
        <w:t xml:space="preserve">There are already 6 methods approved by the Ministry of Energy Transition in the agricultural sector: </w:t>
      </w:r>
    </w:p>
    <w:p w14:paraId="20F8E7DE" w14:textId="77777777" w:rsidR="00426FA6" w:rsidRPr="00364545" w:rsidRDefault="00426FA6" w:rsidP="00426FA6">
      <w:pPr>
        <w:numPr>
          <w:ilvl w:val="0"/>
          <w:numId w:val="15"/>
        </w:numPr>
        <w:spacing w:before="240" w:after="240"/>
      </w:pPr>
      <w:r w:rsidRPr="00364545">
        <w:t xml:space="preserve">The "Carbon Agri" method, developed by the Institut de l'Elevage (French livestock institute), which promotes practices that help mitigate GHG emissions and increase carbon storage in the soils of beef and arable crop farms; </w:t>
      </w:r>
    </w:p>
    <w:p w14:paraId="07E3F689" w14:textId="77777777" w:rsidR="00426FA6" w:rsidRPr="00364545" w:rsidRDefault="00426FA6" w:rsidP="00426FA6">
      <w:pPr>
        <w:numPr>
          <w:ilvl w:val="0"/>
          <w:numId w:val="15"/>
        </w:numPr>
        <w:spacing w:before="240" w:after="240"/>
      </w:pPr>
      <w:r w:rsidRPr="00364545">
        <w:t>The "Hedgerow" method, developed by the Pays de la Loire Chamber of Agriculture</w:t>
      </w:r>
      <w:r w:rsidRPr="00364545">
        <w:rPr>
          <w:rFonts w:ascii="Calibri" w:hAnsi="Calibri"/>
        </w:rPr>
        <w:t> </w:t>
      </w:r>
      <w:r w:rsidRPr="00364545">
        <w:t xml:space="preserve">targets the sustainable management of hedgerows; </w:t>
      </w:r>
    </w:p>
    <w:p w14:paraId="4F7592CD" w14:textId="77777777" w:rsidR="00426FA6" w:rsidRPr="00364545" w:rsidRDefault="00426FA6" w:rsidP="00426FA6">
      <w:pPr>
        <w:numPr>
          <w:ilvl w:val="0"/>
          <w:numId w:val="15"/>
        </w:numPr>
        <w:spacing w:before="240" w:after="240"/>
      </w:pPr>
      <w:r w:rsidRPr="00364545">
        <w:t>The "Orchard Planting" method, developed by the Compagnie des Amandes, promoting the emission reductions and carbon storage enabled by orchard planting</w:t>
      </w:r>
      <w:r w:rsidRPr="00364545">
        <w:rPr>
          <w:rFonts w:ascii="Calibri" w:hAnsi="Calibri"/>
        </w:rPr>
        <w:t>;</w:t>
      </w:r>
      <w:r w:rsidRPr="00364545">
        <w:t xml:space="preserve"> </w:t>
      </w:r>
    </w:p>
    <w:p w14:paraId="6C8DA2AE" w14:textId="77777777" w:rsidR="00426FA6" w:rsidRPr="00364545" w:rsidRDefault="00426FA6" w:rsidP="00426FA6">
      <w:pPr>
        <w:pStyle w:val="ListParagraph"/>
        <w:numPr>
          <w:ilvl w:val="0"/>
          <w:numId w:val="15"/>
        </w:numPr>
        <w:spacing w:before="240" w:beforeAutospacing="1" w:after="240" w:afterAutospacing="1"/>
        <w:jc w:val="left"/>
      </w:pPr>
      <w:r w:rsidRPr="00364545">
        <w:t>The "Arable Crop" method, developed by a consortium of technical institutes including Arvalis,</w:t>
      </w:r>
      <w:r w:rsidRPr="00364545">
        <w:rPr>
          <w:rFonts w:ascii="Times New Roman" w:hAnsi="Times New Roman"/>
          <w:sz w:val="24"/>
        </w:rPr>
        <w:t xml:space="preserve"> </w:t>
      </w:r>
      <w:r w:rsidRPr="00364545">
        <w:t>Terres Inovia, ITB, ARTB and Agrosolutions, enabling farmers to commercially develop the emission reductions and increased carbon storage linked to the implementation of a set of practices at the arable crop level (e.g. soil cover or intermediate crops)</w:t>
      </w:r>
      <w:r w:rsidRPr="00364545">
        <w:rPr>
          <w:rFonts w:ascii="Calibri" w:hAnsi="Calibri"/>
        </w:rPr>
        <w:t>;</w:t>
      </w:r>
      <w:r w:rsidRPr="00364545">
        <w:t xml:space="preserve"> </w:t>
      </w:r>
    </w:p>
    <w:p w14:paraId="10A6CFBF" w14:textId="77777777" w:rsidR="00426FA6" w:rsidRPr="00364545" w:rsidRDefault="00426FA6" w:rsidP="00426FA6">
      <w:pPr>
        <w:numPr>
          <w:ilvl w:val="0"/>
          <w:numId w:val="15"/>
        </w:numPr>
        <w:spacing w:before="240" w:after="240"/>
      </w:pPr>
      <w:r w:rsidRPr="00364545">
        <w:t>The "SOBAC'ECO TMM" method developed by the company SOBAC and targeting input management</w:t>
      </w:r>
      <w:r w:rsidRPr="00364545">
        <w:rPr>
          <w:rFonts w:ascii="Calibri" w:hAnsi="Calibri"/>
        </w:rPr>
        <w:t>;</w:t>
      </w:r>
      <w:r w:rsidRPr="00364545">
        <w:t xml:space="preserve"> </w:t>
      </w:r>
    </w:p>
    <w:p w14:paraId="6A7C8077" w14:textId="77777777" w:rsidR="00426FA6" w:rsidRPr="00364545" w:rsidRDefault="00426FA6" w:rsidP="00426FA6">
      <w:pPr>
        <w:numPr>
          <w:ilvl w:val="0"/>
          <w:numId w:val="15"/>
        </w:numPr>
        <w:spacing w:before="240" w:after="240"/>
      </w:pPr>
      <w:r w:rsidRPr="00364545">
        <w:t>The "Ecométhane" method, developed by the Bleu Blanc Coeur company, targeting the reduction of methane emissions from digestive tract feeding in dairy cattle.</w:t>
      </w:r>
    </w:p>
    <w:p w14:paraId="45594A45" w14:textId="77777777" w:rsidR="00426FA6" w:rsidRPr="00364545" w:rsidRDefault="00426FA6" w:rsidP="00426FA6">
      <w:r w:rsidRPr="00364545">
        <w:t>Several projects have been validated, including a Carbon Agri project involving 300 livestock farmers for a reduction in emissions of 0.139 MtCO2eq. In addition, more than 30 agricultural projects are being developed. The European Commission's Communication of 15 December 2021 on sustainable carbon cycles, which aims to support the development of carbon absorption solutions, will allow a harmonised development of these practices and tools at EU level. This communication proposes an action plan to promote carbon storage in agricultural and forest soils, support new technologies for carbon sequestration and establish a regulatory framework for the certification of carbon sequestration.</w:t>
      </w:r>
    </w:p>
    <w:p w14:paraId="0D830845" w14:textId="77777777" w:rsidR="00426FA6" w:rsidRPr="00364545" w:rsidRDefault="00426FA6" w:rsidP="00426FA6">
      <w:pPr>
        <w:spacing w:before="240" w:after="60"/>
      </w:pPr>
      <w:r w:rsidRPr="00364545">
        <w:t>The compensation obligations for airlines for emissions linked to domestic flights (Article 147 of the Climate and Resilience Law and the implementing decree published on 27 April 2022</w:t>
      </w:r>
      <w:r w:rsidRPr="00364545">
        <w:rPr>
          <w:rStyle w:val="FootnoteReference"/>
        </w:rPr>
        <w:footnoteReference w:id="40"/>
      </w:r>
      <w:r w:rsidRPr="00364545">
        <w:t>) and for coal-fired power stations whose operation is extended (Article 36 of the Purchasing Power Law), will considerably increase the demand for projects with a low carbon label. It is therefore in the interest of farmers to get involved in order to receive funding and participate in the decarbonisation of the sector.</w:t>
      </w:r>
    </w:p>
    <w:p w14:paraId="76E0F250" w14:textId="77777777" w:rsidR="00426FA6" w:rsidRPr="00364545" w:rsidRDefault="00426FA6" w:rsidP="00426FA6">
      <w:pPr>
        <w:pStyle w:val="Heading4"/>
        <w:numPr>
          <w:ilvl w:val="0"/>
          <w:numId w:val="0"/>
        </w:numPr>
      </w:pPr>
      <w:r w:rsidRPr="00364545">
        <w:t>Measures to influence food demand and consumption patterns</w:t>
      </w:r>
    </w:p>
    <w:p w14:paraId="2EBCF08F" w14:textId="77777777" w:rsidR="00426FA6" w:rsidRPr="00364545" w:rsidRDefault="00426FA6" w:rsidP="00426FA6">
      <w:pPr>
        <w:spacing w:line="259" w:lineRule="auto"/>
        <w:rPr>
          <w:b/>
          <w:bCs/>
        </w:rPr>
      </w:pPr>
      <w:r w:rsidRPr="00364545">
        <w:rPr>
          <w:b/>
        </w:rPr>
        <w:t xml:space="preserve">GHG emissions from food represent about </w:t>
      </w:r>
      <w:r w:rsidRPr="00364545">
        <w:rPr>
          <w:rStyle w:val="Strong"/>
        </w:rPr>
        <w:t>24% of the carbon footprint of households in France</w:t>
      </w:r>
      <w:r w:rsidRPr="00364545">
        <w:rPr>
          <w:rStyle w:val="FootnoteReference"/>
          <w:rFonts w:eastAsiaTheme="majorEastAsia"/>
        </w:rPr>
        <w:footnoteReference w:id="41"/>
      </w:r>
      <w:r w:rsidRPr="00364545">
        <w:rPr>
          <w:b/>
        </w:rPr>
        <w:t>.</w:t>
      </w:r>
    </w:p>
    <w:p w14:paraId="21655D6A" w14:textId="77777777" w:rsidR="00426FA6" w:rsidRPr="00364545" w:rsidRDefault="00426FA6" w:rsidP="00426FA6">
      <w:pPr>
        <w:spacing w:line="259" w:lineRule="auto"/>
        <w:rPr>
          <w:color w:val="000000" w:themeColor="text1"/>
        </w:rPr>
      </w:pPr>
      <w:r w:rsidRPr="00364545">
        <w:t xml:space="preserve">The Government has included, in the Law of 30 October 2018 for balanced trade relations in the agricultural and food sector and healthy and sustainable food accessible to all, as well as in the "climate and resilience" Law of 22 August 2021, a </w:t>
      </w:r>
      <w:r w:rsidRPr="00364545">
        <w:rPr>
          <w:b/>
        </w:rPr>
        <w:t>set of measures aimed at</w:t>
      </w:r>
      <w:r w:rsidRPr="00364545">
        <w:t xml:space="preserve"> </w:t>
      </w:r>
      <w:r w:rsidRPr="00364545">
        <w:rPr>
          <w:b/>
          <w:color w:val="000000" w:themeColor="text1"/>
        </w:rPr>
        <w:t>triggering a significant change in the way we feed ourselves</w:t>
      </w:r>
      <w:r w:rsidRPr="00364545">
        <w:rPr>
          <w:color w:val="000000" w:themeColor="text1"/>
        </w:rPr>
        <w:t xml:space="preserve"> to support a more environmentally friendly agricultural system, including</w:t>
      </w:r>
      <w:r w:rsidRPr="00364545">
        <w:t>:</w:t>
      </w:r>
      <w:r w:rsidRPr="00364545">
        <w:rPr>
          <w:color w:val="000000" w:themeColor="text1"/>
        </w:rPr>
        <w:t xml:space="preserve"> </w:t>
      </w:r>
    </w:p>
    <w:p w14:paraId="48BD7F94" w14:textId="77777777" w:rsidR="00426FA6" w:rsidRPr="00364545" w:rsidRDefault="00426FA6" w:rsidP="003F57EA">
      <w:pPr>
        <w:pStyle w:val="ListParagraph"/>
        <w:numPr>
          <w:ilvl w:val="0"/>
          <w:numId w:val="92"/>
        </w:numPr>
        <w:spacing w:before="0" w:after="120" w:line="259" w:lineRule="auto"/>
        <w:contextualSpacing w:val="0"/>
      </w:pPr>
      <w:r w:rsidRPr="00364545">
        <w:rPr>
          <w:b/>
          <w:bCs/>
        </w:rPr>
        <w:t>The extension of the obligation to supply at least 50% of sustainable and quality products</w:t>
      </w:r>
      <w:r w:rsidRPr="00364545">
        <w:t xml:space="preserve">, including at least 20% </w:t>
      </w:r>
      <w:r w:rsidRPr="00364545">
        <w:rPr>
          <w:b/>
          <w:bCs/>
        </w:rPr>
        <w:t>organic products</w:t>
      </w:r>
      <w:r w:rsidRPr="00364545">
        <w:t xml:space="preserve">, by 1 January 2022 for public and public service catering, to all collective restaurants, including those of private companies, from 2024 onwards (Art. 257 of the "Climate and Resilience" Law). In particular, this measure guarantees an outlet for organic farming that does not use synthetic mineral fertilisers and that the environmental performance of products is taken into account in the award of contracts. In addition, </w:t>
      </w:r>
      <w:r w:rsidRPr="00364545">
        <w:rPr>
          <w:b/>
        </w:rPr>
        <w:t>products from farms with level 2 or level 3 environmental certification ("High Environmental Value")</w:t>
      </w:r>
      <w:r w:rsidRPr="00364545">
        <w:t>, which encourage virtuous agricultural practices, are included in this objective with a strong impetus (doubling of the number of HEV farms between July 2020 and July 2021). The "Climate and Resilience" Law shortened the deadline for products from level 2 farms to be taken into account in order to accelerate the transition of farms to level 3 (deadline at the end of 2026 as opposed to the end of 2029 initially). The HEV certification is also being revised to increase its environmental ambition;</w:t>
      </w:r>
    </w:p>
    <w:p w14:paraId="28D422F7" w14:textId="77777777" w:rsidR="00426FA6" w:rsidRPr="00364545" w:rsidRDefault="00426FA6" w:rsidP="00426FA6">
      <w:pPr>
        <w:spacing w:before="240" w:after="60"/>
      </w:pPr>
      <w:r w:rsidRPr="00364545">
        <w:rPr>
          <w:b/>
        </w:rPr>
        <w:t>The obligation for school canteens to offer a vegetarian menu at least once a week</w:t>
      </w:r>
      <w:r w:rsidRPr="00364545">
        <w:t xml:space="preserve">, and the obligation for collective restaurants serving more than 200 diners per day to implement a multi-year plan to diversify protein sources; from the promulgation of the "climate and resilience" law, introduction of a daily vegetarian option in collective catering services run by local authorities, and from 1 January 2023, obligation for State collective catering services to offer a daily vegetarian menu (Article 252 of the "climate and resilience" law). The aim is to </w:t>
      </w:r>
      <w:r w:rsidRPr="00364545">
        <w:rPr>
          <w:b/>
        </w:rPr>
        <w:t>diversify protein intake</w:t>
      </w:r>
      <w:r w:rsidRPr="00364545">
        <w:t xml:space="preserve"> by eating more legumes in line with the objectives of the 2019-2023 National Nutrition and Health Plan</w:t>
      </w:r>
      <w:r w:rsidRPr="00364545">
        <w:rPr>
          <w:rStyle w:val="FootnoteReference"/>
          <w:rFonts w:eastAsiaTheme="majorEastAsia"/>
        </w:rPr>
        <w:footnoteReference w:id="42"/>
      </w:r>
      <w:r w:rsidRPr="00364545">
        <w:t>. The challenge is therefore to encourage the development of a local French supply to meet this growing demand.</w:t>
      </w:r>
    </w:p>
    <w:p w14:paraId="6D4E1B2B" w14:textId="77777777" w:rsidR="00426FA6" w:rsidRPr="00364545" w:rsidRDefault="00426FA6" w:rsidP="003F57EA">
      <w:pPr>
        <w:pStyle w:val="ListParagraph"/>
        <w:numPr>
          <w:ilvl w:val="0"/>
          <w:numId w:val="92"/>
        </w:numPr>
        <w:spacing w:before="0" w:after="120" w:line="259" w:lineRule="auto"/>
        <w:contextualSpacing w:val="0"/>
      </w:pPr>
      <w:r w:rsidRPr="00364545">
        <w:rPr>
          <w:b/>
        </w:rPr>
        <w:t xml:space="preserve">The objective of deploying regional food projects (RFP), </w:t>
      </w:r>
      <w:r w:rsidRPr="00364545">
        <w:t xml:space="preserve">as set out in the "climate and resilience" law (article 266), which provides for a target of at least one RFP per department by 1 January 2023, but which also broadens the objectives assigned to RFPs and provides for a support mechanism through a national network of RFPs. Strongly supported by the Recovery Plan, the deployment of RFPs has grown particularly rapidly in recent years. By the end of 2021, there will be over 330 RFPs recognised by the Ministry of Agriculture and Food. Following the last call for projects of the National Food Programme (2021-2022), only one department does not have an RFP to date. </w:t>
      </w:r>
    </w:p>
    <w:p w14:paraId="68753EB9" w14:textId="77777777" w:rsidR="00426FA6" w:rsidRPr="00364545" w:rsidRDefault="00426FA6" w:rsidP="003F57EA">
      <w:pPr>
        <w:pStyle w:val="ListParagraph"/>
        <w:numPr>
          <w:ilvl w:val="0"/>
          <w:numId w:val="92"/>
        </w:numPr>
        <w:spacing w:before="0" w:after="120" w:line="259" w:lineRule="auto"/>
        <w:contextualSpacing w:val="0"/>
      </w:pPr>
      <w:r w:rsidRPr="00364545">
        <w:rPr>
          <w:b/>
        </w:rPr>
        <w:t>The objective is to halve food waste</w:t>
      </w:r>
      <w:r w:rsidRPr="00364545">
        <w:t xml:space="preserve"> compared to 2015, by 2025 for retail and catering and by 2030 for other sectors. To this end, through the successive application of the Garot law</w:t>
      </w:r>
      <w:r w:rsidRPr="00364545">
        <w:rPr>
          <w:rStyle w:val="FootnoteReference"/>
          <w:rFonts w:eastAsiaTheme="majorEastAsia"/>
        </w:rPr>
        <w:footnoteReference w:id="43"/>
      </w:r>
      <w:r w:rsidRPr="00364545">
        <w:t>, the EGAlim law and the AGEC law</w:t>
      </w:r>
      <w:r w:rsidRPr="00364545">
        <w:rPr>
          <w:rStyle w:val="FootnoteReference"/>
          <w:rFonts w:eastAsiaTheme="majorEastAsia"/>
        </w:rPr>
        <w:footnoteReference w:id="44"/>
      </w:r>
      <w:r w:rsidRPr="00364545">
        <w:t>, the ban on making foodstuffs that are still consumable unfit for consumption and the obligation to propose a donation agreement to an authorised association (for structures above a certain threshold) is applicable to the food industry, distributors, wholesalers and collective catering sectors. An assessment and an approach to fight against food waste are mandatory for collective catering and the food industry. Finally, a national "anti-food waste" label was introduced by the AGEC law in 2020, with effective implementation in 2022 for supermarkets and local shops, wholesalers and catering businesses, and an experiment will be implemented in 2022 to assess the effects of meal reservation solutions in collective catering on changes in food waste, attendance rates and user satisfaction;</w:t>
      </w:r>
    </w:p>
    <w:p w14:paraId="74F43404" w14:textId="77777777" w:rsidR="00426FA6" w:rsidRPr="00364545" w:rsidRDefault="00426FA6" w:rsidP="003F57EA">
      <w:pPr>
        <w:pStyle w:val="ListParagraph"/>
        <w:numPr>
          <w:ilvl w:val="0"/>
          <w:numId w:val="92"/>
        </w:numPr>
        <w:spacing w:before="0" w:after="120" w:line="259" w:lineRule="auto"/>
        <w:contextualSpacing w:val="0"/>
      </w:pPr>
      <w:r w:rsidRPr="00364545">
        <w:rPr>
          <w:b/>
        </w:rPr>
        <w:t xml:space="preserve">The implementation of an environmental notice on food products, </w:t>
      </w:r>
      <w:r w:rsidRPr="00364545">
        <w:t>following an experiment involving 18 projects in 2020 and 2021, as provided for by the AGEC law and then the "climate and resilience" law. This initial work is intended to be continued in order to improve the methodology, allowing for better integration of carbon storage and production model issues. The aim of this notice is to allow comparison i) between products in different categories to show the environmental impact of a change in dietary habits (e.g. increased consumption of plant proteins), and ii) between products in the same category, in order to illustrate the level of performance of a reference in terms of eco-design compared with a similar offer.</w:t>
      </w:r>
    </w:p>
    <w:p w14:paraId="577C8479" w14:textId="77777777" w:rsidR="00426FA6" w:rsidRPr="00364545" w:rsidRDefault="00426FA6" w:rsidP="003F57EA">
      <w:pPr>
        <w:pStyle w:val="ListParagraph"/>
        <w:numPr>
          <w:ilvl w:val="0"/>
          <w:numId w:val="92"/>
        </w:numPr>
        <w:spacing w:before="0" w:after="120" w:line="259" w:lineRule="auto"/>
        <w:contextualSpacing w:val="0"/>
      </w:pPr>
      <w:r w:rsidRPr="00364545">
        <w:rPr>
          <w:b/>
        </w:rPr>
        <w:t>The state aims to stop purchasing goods that have directly contributed to deforestation</w:t>
      </w:r>
      <w:r w:rsidRPr="00364545">
        <w:t xml:space="preserve"> (Article 272 of the Climate and Resilience Law). In this perspective, the full traceability of imported agricultural raw material supply chains has been improved through Article 271 of the Climate and Resilience Law). This work is continuing at the European level to provide customs services with the information needed to combat imported deforestation. The development of a demand for products not derived from deforestation accompanies the national plant protein strategy, as the development of protein crops and fodder legumes in France would make it possible to limit the use of imports derived from deforestation. The guide to public procurement not arising from deforestation has been updated. Furthermore, as requested by France, the European Commission proposed new rules in November 2021 to curb deforestation attributable to the EU. The regulation would set out rules for mandatory due diligence for companies wishing to place certain products on the market (commodities such as soy, beef, palm oil, timber, cocoa and coffee), with the aim of ensuring that only products that comply with the legislation and are not linked to deforestation are allowed on the European market. </w:t>
      </w:r>
    </w:p>
    <w:p w14:paraId="5EF2FC15" w14:textId="77777777" w:rsidR="00426FA6" w:rsidRPr="00364545" w:rsidRDefault="00426FA6" w:rsidP="003F57EA">
      <w:pPr>
        <w:pStyle w:val="ListParagraph"/>
        <w:numPr>
          <w:ilvl w:val="0"/>
          <w:numId w:val="92"/>
        </w:numPr>
        <w:spacing w:before="0" w:after="120" w:line="259" w:lineRule="auto"/>
        <w:contextualSpacing w:val="0"/>
      </w:pPr>
      <w:r w:rsidRPr="00364545">
        <w:rPr>
          <w:b/>
          <w:bCs/>
        </w:rPr>
        <w:t>The target of 8% of the agricultural land area being cultivated with legumes by 1 January 2030</w:t>
      </w:r>
      <w:r w:rsidRPr="00364545">
        <w:t xml:space="preserve"> (Article 261 of the Climate and Resilience Law).</w:t>
      </w:r>
    </w:p>
    <w:p w14:paraId="2ABDA193" w14:textId="5770EEE2" w:rsidR="00426FA6" w:rsidRPr="00364545" w:rsidRDefault="00426FA6" w:rsidP="003F57EA">
      <w:pPr>
        <w:pStyle w:val="ListParagraph"/>
        <w:numPr>
          <w:ilvl w:val="0"/>
          <w:numId w:val="92"/>
        </w:numPr>
        <w:spacing w:before="0" w:after="120" w:line="259" w:lineRule="auto"/>
        <w:rPr>
          <w:rStyle w:val="Strong"/>
          <w:b w:val="0"/>
          <w:bCs w:val="0"/>
        </w:rPr>
      </w:pPr>
      <w:r w:rsidRPr="00364545">
        <w:rPr>
          <w:rStyle w:val="Strong"/>
        </w:rPr>
        <w:t xml:space="preserve">The introduction of a new National Strategy for Food, Nutrition and Climate (SNANC), provided for in the framework of article 265 of the "climate and resilience" law, which introduces new global governance of food. In this context, </w:t>
      </w:r>
      <w:hyperlink r:id="rId91" w:history="1">
        <w:r w:rsidRPr="00364545">
          <w:rPr>
            <w:rStyle w:val="Hyperlink"/>
            <w:b/>
          </w:rPr>
          <w:t>a mid-term review</w:t>
        </w:r>
      </w:hyperlink>
      <w:r w:rsidRPr="00364545">
        <w:rPr>
          <w:rStyle w:val="Strong"/>
        </w:rPr>
        <w:t xml:space="preserve"> of the 4th National Nutrition and Health Programme (PNNS) was published in May 2021. </w:t>
      </w:r>
    </w:p>
    <w:p w14:paraId="47EC461D" w14:textId="77777777" w:rsidR="00426FA6" w:rsidRPr="00364545" w:rsidRDefault="00426FA6" w:rsidP="00426FA6">
      <w:pPr>
        <w:spacing w:before="240" w:after="60"/>
      </w:pPr>
      <w:r w:rsidRPr="00364545">
        <w:t xml:space="preserve">These measures are </w:t>
      </w:r>
      <w:r w:rsidRPr="00364545">
        <w:rPr>
          <w:b/>
        </w:rPr>
        <w:t>financially supported</w:t>
      </w:r>
      <w:r w:rsidRPr="00364545">
        <w:t xml:space="preserve"> by the France Recovery plan, which provides for €816 million to accelerate the agro-ecological transition to healthy, sustainable and local food, including more than €150 million to increase the production of plant proteins, of which €200 million is for the food component. In particular, the plant protein strategy includes a campaign to promote the consumption of legumes among young people, either directly or indirectly through their parents, the catering industry or health professionals, which will be implemented in 2022. This support continues with the implementation of the acceleration strategies "Sustainable agricultural systems and agricultural equipment contributing to the ecological transition" and "Sustainable and health-friendly food" of the PIA4, which provide for support schemes for plant proteins. </w:t>
      </w:r>
    </w:p>
    <w:p w14:paraId="4E4AABD6" w14:textId="77777777" w:rsidR="00426FA6" w:rsidRPr="00364545" w:rsidRDefault="00426FA6" w:rsidP="00426FA6">
      <w:pPr>
        <w:rPr>
          <w:rFonts w:ascii="Times New Roman" w:hAnsi="Times New Roman"/>
          <w:sz w:val="48"/>
          <w:szCs w:val="48"/>
        </w:rPr>
      </w:pPr>
      <w:r w:rsidRPr="00364545">
        <w:t>Established by the ministries in charge of the economy and agriculture in cooperation with ANIA (National Association of Food Industries) and Coop de France (agricultural and agri-food cooperative companies), within the framework of the national industry council, the Strategic Contract for the Agri-food Sector (CSF) was signed on 16 November 2018. In particular, it includes a project to develop plant proteins in food (Protein of the Future project). Through support for R&amp;D projects, communication to the general public, pre-standardisation actions and regulatory monitoring, as well as support for start-ups, the aim is to encourage the production of sources that are complementary to animal proteins in order to meet a demand for protein that is expected to grow by 40% by 2030. Some of the actions in this component were supported under France Recovery and then France 2030.</w:t>
      </w:r>
    </w:p>
    <w:p w14:paraId="21AF20C3" w14:textId="77777777" w:rsidR="00426FA6" w:rsidRPr="00364545" w:rsidRDefault="00426FA6" w:rsidP="003F57EA">
      <w:pPr>
        <w:pStyle w:val="Titre3Niveau3"/>
      </w:pPr>
      <w:bookmarkStart w:id="470" w:name="_Toc120889890"/>
      <w:bookmarkStart w:id="471" w:name="_Toc122099450"/>
      <w:bookmarkStart w:id="472" w:name="_Toc138341832"/>
      <w:r w:rsidRPr="00364545">
        <w:t>Land use, land-use change and forestry (LULUCF)</w:t>
      </w:r>
      <w:bookmarkEnd w:id="470"/>
      <w:bookmarkEnd w:id="471"/>
      <w:bookmarkEnd w:id="472"/>
    </w:p>
    <w:p w14:paraId="5688A185" w14:textId="77777777" w:rsidR="00426FA6" w:rsidRPr="00364545" w:rsidRDefault="00426FA6" w:rsidP="00426FA6">
      <w:pPr>
        <w:spacing w:before="240" w:after="240"/>
      </w:pPr>
      <w:r w:rsidRPr="00364545">
        <w:t xml:space="preserve">Compared to the other sectors, the </w:t>
      </w:r>
      <w:r w:rsidRPr="00364545">
        <w:rPr>
          <w:i/>
          <w:iCs/>
        </w:rPr>
        <w:t>Land Use, Land-Use Change and Forestry</w:t>
      </w:r>
      <w:r w:rsidRPr="00364545">
        <w:t xml:space="preserve"> (LULUCF) sector has the particularity of being a net carbon sink: in 2020, the overall absorption of the sector is about -14 MtCO2eq, which</w:t>
      </w:r>
      <w:r w:rsidRPr="00364545">
        <w:rPr>
          <w:rFonts w:ascii="TrebuchetMS" w:hAnsi="TrebuchetMS"/>
          <w:sz w:val="18"/>
        </w:rPr>
        <w:t xml:space="preserve"> </w:t>
      </w:r>
      <w:r w:rsidRPr="00364545">
        <w:t>therefore compensates 3.6% of the emissions of the other sectors. Forests alone represent a sink of -30.4 MtCO2eq.</w:t>
      </w:r>
      <w:r w:rsidRPr="00364545">
        <w:rPr>
          <w:strike/>
        </w:rPr>
        <w:t xml:space="preserve"> </w:t>
      </w:r>
    </w:p>
    <w:p w14:paraId="52A94C7F" w14:textId="77777777" w:rsidR="00426FA6" w:rsidRPr="00364545" w:rsidRDefault="00426FA6" w:rsidP="00426FA6">
      <w:pPr>
        <w:spacing w:before="240" w:after="240"/>
      </w:pPr>
      <w:r w:rsidRPr="00364545">
        <w:t>The main effect of the measures presented in this section is to reduce CO2 emissions or to contribute to carbon storage through CO2 absorption.</w:t>
      </w:r>
    </w:p>
    <w:p w14:paraId="43E89487" w14:textId="77777777" w:rsidR="00426FA6" w:rsidRPr="00364545" w:rsidRDefault="00426FA6" w:rsidP="003F57EA">
      <w:pPr>
        <w:pStyle w:val="Titre4niveau4"/>
        <w:numPr>
          <w:ilvl w:val="2"/>
          <w:numId w:val="91"/>
        </w:numPr>
      </w:pPr>
      <w:r w:rsidRPr="00364545">
        <w:t xml:space="preserve">Schemes to promote carbon storage in soils and biomass </w:t>
      </w:r>
    </w:p>
    <w:p w14:paraId="4C96EA91" w14:textId="77777777" w:rsidR="00426FA6" w:rsidRPr="00364545" w:rsidRDefault="00426FA6" w:rsidP="00426FA6">
      <w:r w:rsidRPr="00364545">
        <w:t>The preservation of permanent grasslands, the development of agroforestry, the return of crop residues to the soil, agro-ecology, the preservation of wetlands and the fight against artificialisation are all measures that would allow the storage of carbon in soils to be increased.</w:t>
      </w:r>
    </w:p>
    <w:p w14:paraId="54B18940" w14:textId="77777777" w:rsidR="00426FA6" w:rsidRPr="00364545" w:rsidRDefault="00426FA6" w:rsidP="00426FA6">
      <w:r w:rsidRPr="00364545">
        <w:t xml:space="preserve">The </w:t>
      </w:r>
      <w:r w:rsidRPr="00364545">
        <w:rPr>
          <w:b/>
        </w:rPr>
        <w:t>France Recovery plan</w:t>
      </w:r>
      <w:r w:rsidRPr="00364545">
        <w:t xml:space="preserve"> </w:t>
      </w:r>
      <w:r w:rsidRPr="00364545">
        <w:rPr>
          <w:b/>
        </w:rPr>
        <w:t>promotes the increase of carbon storage in agricultural soils, through the "Subsidised Carbon Assessment" and "Let's Plant Hedges" actions</w:t>
      </w:r>
      <w:r w:rsidRPr="00364545">
        <w:t>. The "Subsidised Carbon Assessment" scheme of the France Recovery plan aims to encourage newly established farmers (less than 5 years) to reduce their GHG emissions and store carbon while adapting their farms to climate change. Its implementation consists of financing the supporting structures to carry out carbon assessments for farmers and to develop an individualised action plan. Subsidised carbon assessments can thus be a first step towards the development of agricultural projects under the Low Carbon Label. With a budget of €10M, the measure targets the completion of 5000 "Subsidised Carbon Assessments". As of 1 January 2022, there were 757 assessments contracted and 177 assessments carried out, resulting in 43 reports to farmers. As explained above, the "Let's Plant Hedges" scheme aims to support the planting of 7,000 linear kilometres of hedges and tree lines between plots of agricultural land. Backed by a budget of €50 million, it is divided into two parts at regional level. Firstly, support for community education, with responsibility for raising awareness concerning trees in the countryside and technical support for the implementation of planting projects, aimed at the structures operating within the region. Secondly, there is investment aid, with support for the planting of hedges and tree rows between plots. In 2021, €24.5 M are planned to be committed, which would represent approximately 2800 linear km of trees planted. The calls for investment projects will continue in 2022.</w:t>
      </w:r>
    </w:p>
    <w:p w14:paraId="39EB4E84" w14:textId="77777777" w:rsidR="00426FA6" w:rsidRPr="00364545" w:rsidRDefault="00426FA6" w:rsidP="00426FA6">
      <w:r w:rsidRPr="00364545">
        <w:t>In terms of the</w:t>
      </w:r>
      <w:r w:rsidRPr="00364545">
        <w:rPr>
          <w:b/>
        </w:rPr>
        <w:t xml:space="preserve"> fight against artificialisation</w:t>
      </w:r>
      <w:r w:rsidRPr="00364545">
        <w:t>, in accordance with European objectives, the "climate and resilience" law has set the objective of achieving "zero net artificialisation" of land in 2050 and has set a first intermediate milestone in 2031 for the reduction of the consumption of natural, agricultural and forest areas (i.e. the rate of artificialisation of land between 2022 and 2031 must be halved compared to the period 2012-2021). For regions covered by a Regional Plan for Sustainable Development and Regional Equality (all regions except Corsica and the Paris area), the reduction at regional level must be at least 50%. In order to monitor this evolution, a land artificialisation observatory was set up in 2019. The decrees implementing the law defining the notion of artificialisation, the content of the plans and the three-yearly reports that local authorities must produce are in the process of being published.</w:t>
      </w:r>
    </w:p>
    <w:p w14:paraId="132FF7DF" w14:textId="77777777" w:rsidR="00426FA6" w:rsidRPr="00364545" w:rsidRDefault="00426FA6" w:rsidP="00426FA6">
      <w:r w:rsidRPr="00364545">
        <w:t>The "4 for 1000" project</w:t>
      </w:r>
      <w:r w:rsidRPr="00364545">
        <w:rPr>
          <w:rStyle w:val="FootnoteReference"/>
          <w:rFonts w:eastAsiaTheme="majorEastAsia"/>
        </w:rPr>
        <w:footnoteReference w:id="45"/>
      </w:r>
      <w:r w:rsidRPr="00364545">
        <w:t xml:space="preserve"> aims to </w:t>
      </w:r>
      <w:r w:rsidRPr="00364545">
        <w:rPr>
          <w:b/>
        </w:rPr>
        <w:t>increase carbon storage in soils by 0.4%</w:t>
      </w:r>
      <w:r w:rsidRPr="00364545">
        <w:t xml:space="preserve"> (the global equivalent of CO</w:t>
      </w:r>
      <w:r w:rsidRPr="00364545">
        <w:rPr>
          <w:vertAlign w:val="subscript"/>
        </w:rPr>
        <w:t>2</w:t>
      </w:r>
      <w:r w:rsidRPr="00364545">
        <w:t xml:space="preserve"> emissions). This international 4 for 1000 initiative, launched by France on 1 December 2015 during COP 21, consists of bringing together all voluntary public and private actors (States, local authorities, companies, professional organisations, NGOs, research institutions, etc.) within the framework of the MPGCA (Marrakech Partnership for Global Climate Action). The initiative aims to show that agriculture, and in particular agricultural soils, can play a crucial role in food security and the fight against climate change. It aims to publicise or implement concrete actions on soil carbon storage and the type of practices to achieve this (agro-ecology, agroforestry, conservation agriculture, landscape management, etc.).</w:t>
      </w:r>
    </w:p>
    <w:p w14:paraId="3244D84A" w14:textId="77777777" w:rsidR="00426FA6" w:rsidRPr="00364545" w:rsidRDefault="00426FA6" w:rsidP="00426FA6">
      <w:pPr>
        <w:spacing w:before="240" w:after="240"/>
      </w:pPr>
      <w:r w:rsidRPr="00364545">
        <w:t xml:space="preserve">The Common Agricultural Policy (CAP) 2014-2022 includes a number of measures to support carbon storage in soils and biomass: </w:t>
      </w:r>
    </w:p>
    <w:p w14:paraId="162A6427" w14:textId="77777777" w:rsidR="00426FA6" w:rsidRPr="00364545" w:rsidRDefault="00426FA6" w:rsidP="003F57EA">
      <w:pPr>
        <w:numPr>
          <w:ilvl w:val="0"/>
          <w:numId w:val="90"/>
        </w:numPr>
        <w:spacing w:before="240" w:after="240"/>
      </w:pPr>
      <w:r w:rsidRPr="00364545">
        <w:rPr>
          <w:b/>
          <w:bCs/>
        </w:rPr>
        <w:t>Greening</w:t>
      </w:r>
      <w:r w:rsidRPr="00364545">
        <w:t>, which contributes to maintaining a ratio of permanent grassland, a requirement to diversify crops, and to have 5% of the farm's arable land in areas of ecological interest;</w:t>
      </w:r>
    </w:p>
    <w:p w14:paraId="7350FAC4" w14:textId="77777777" w:rsidR="00426FA6" w:rsidRPr="00364545" w:rsidRDefault="00426FA6" w:rsidP="003F57EA">
      <w:pPr>
        <w:numPr>
          <w:ilvl w:val="0"/>
          <w:numId w:val="90"/>
        </w:numPr>
        <w:spacing w:before="240" w:after="240"/>
      </w:pPr>
      <w:r w:rsidRPr="00364545">
        <w:t xml:space="preserve">The </w:t>
      </w:r>
      <w:r w:rsidRPr="00364545">
        <w:rPr>
          <w:b/>
          <w:bCs/>
        </w:rPr>
        <w:t>compensatory allowance for natural handicaps</w:t>
      </w:r>
      <w:r w:rsidRPr="00364545">
        <w:t xml:space="preserve"> (ICHN), by contributing largely to the maintenance of extensive grassland areas, is an important lever for the preservation and storage of carbon in the soils of cultivated land and grassland; </w:t>
      </w:r>
    </w:p>
    <w:p w14:paraId="04B11FCD" w14:textId="77777777" w:rsidR="00426FA6" w:rsidRPr="00364545" w:rsidRDefault="00426FA6" w:rsidP="003F57EA">
      <w:pPr>
        <w:numPr>
          <w:ilvl w:val="0"/>
          <w:numId w:val="90"/>
        </w:numPr>
        <w:spacing w:before="240" w:after="240"/>
      </w:pPr>
      <w:r w:rsidRPr="00364545">
        <w:t xml:space="preserve">Cross-compliance provides for a number of </w:t>
      </w:r>
      <w:r w:rsidRPr="00364545">
        <w:rPr>
          <w:b/>
          <w:bCs/>
        </w:rPr>
        <w:t>Good Agricultural and Environmental Conditions</w:t>
      </w:r>
      <w:r w:rsidRPr="00364545">
        <w:t xml:space="preserve"> (GAEC) and </w:t>
      </w:r>
      <w:r w:rsidRPr="00364545">
        <w:rPr>
          <w:b/>
          <w:bCs/>
        </w:rPr>
        <w:t>Statutory Management Requirements</w:t>
      </w:r>
      <w:r w:rsidRPr="00364545">
        <w:t xml:space="preserve"> (SMR) that promote a greater return of organic matter to the soil, grassland or environments conducive to the diversity of animal and plant species (maintenance of hedges, ponds and copses) and therefore better adapted; </w:t>
      </w:r>
    </w:p>
    <w:p w14:paraId="1A1DB2D9" w14:textId="77777777" w:rsidR="00426FA6" w:rsidRPr="00364545" w:rsidRDefault="00426FA6" w:rsidP="003F57EA">
      <w:pPr>
        <w:numPr>
          <w:ilvl w:val="0"/>
          <w:numId w:val="90"/>
        </w:numPr>
        <w:spacing w:before="240" w:after="240"/>
      </w:pPr>
      <w:r w:rsidRPr="00364545">
        <w:rPr>
          <w:b/>
          <w:bCs/>
        </w:rPr>
        <w:t>Coupled support from the first pillar</w:t>
      </w:r>
      <w:r w:rsidRPr="00364545">
        <w:t xml:space="preserve"> aiming to accompany the production of leguminous plants, can contribute to the storage of organic material by maintaining soil fertility. The three components of greening promote organic matter inputs, grassland or woody cover, which are beneficial for carbon storage, as well as diversity, which is a source of better adaptation; </w:t>
      </w:r>
    </w:p>
    <w:p w14:paraId="0062EB3A" w14:textId="77777777" w:rsidR="00426FA6" w:rsidRPr="00364545" w:rsidRDefault="00426FA6" w:rsidP="003F57EA">
      <w:pPr>
        <w:numPr>
          <w:ilvl w:val="0"/>
          <w:numId w:val="90"/>
        </w:numPr>
        <w:spacing w:before="240" w:after="240"/>
      </w:pPr>
      <w:r w:rsidRPr="00364545">
        <w:t xml:space="preserve">Climate action on agricultural soils also includes </w:t>
      </w:r>
      <w:r w:rsidRPr="00364545">
        <w:rPr>
          <w:b/>
          <w:bCs/>
        </w:rPr>
        <w:t>agri-environmental and climate measures</w:t>
      </w:r>
      <w:r w:rsidRPr="00364545">
        <w:t xml:space="preserve"> (AECM).</w:t>
      </w:r>
    </w:p>
    <w:p w14:paraId="6DE6D2FB" w14:textId="77777777" w:rsidR="00426FA6" w:rsidRPr="00364545" w:rsidRDefault="00426FA6" w:rsidP="003F57EA">
      <w:pPr>
        <w:numPr>
          <w:ilvl w:val="0"/>
          <w:numId w:val="90"/>
        </w:numPr>
        <w:spacing w:before="240" w:after="240"/>
      </w:pPr>
      <w:r w:rsidRPr="00364545">
        <w:t>Under the second pillar, the</w:t>
      </w:r>
      <w:r w:rsidRPr="00364545">
        <w:rPr>
          <w:b/>
          <w:bCs/>
        </w:rPr>
        <w:t xml:space="preserve"> technical assistance component of the National Risk Management and Technical Assistance</w:t>
      </w:r>
      <w:r w:rsidRPr="00364545">
        <w:t xml:space="preserve"> </w:t>
      </w:r>
      <w:r w:rsidRPr="00364545">
        <w:rPr>
          <w:b/>
          <w:bCs/>
        </w:rPr>
        <w:t>Programme</w:t>
      </w:r>
      <w:r w:rsidRPr="00364545">
        <w:t xml:space="preserve"> (PNGRAT) is mobilised to improve soil knowledge (regional soil reference systems) and several measures of the </w:t>
      </w:r>
      <w:r w:rsidRPr="00364545">
        <w:rPr>
          <w:b/>
          <w:bCs/>
        </w:rPr>
        <w:t>Regional Rural Development Programmes</w:t>
      </w:r>
      <w:r w:rsidRPr="00364545">
        <w:t xml:space="preserve"> (PDRR) contribute to improving the carbon content of agricultural soils. </w:t>
      </w:r>
    </w:p>
    <w:p w14:paraId="4B38C8E4" w14:textId="77777777" w:rsidR="00426FA6" w:rsidRPr="00364545" w:rsidRDefault="00426FA6" w:rsidP="00426FA6">
      <w:r w:rsidRPr="00364545">
        <w:rPr>
          <w:b/>
        </w:rPr>
        <w:t>The NSP 2023-2027 also encourages carbon storage in agricultural soils</w:t>
      </w:r>
      <w:r w:rsidRPr="00364545">
        <w:t>, by promoting the maintenance of permanent grasslands, the preservation and sustainable management of hedgerows, and the planting of cover crops. In particular, the agro-ecological practices of the eco-regime consist of reducing ploughing of permanent grasslands, diversifying crops in arable crop and mixed crop-livestock systems, and planting inter-row vegetation cover in perennial crops. In addition, the "sustainably managed hedgerow" bonus remunerates farms with a minimum of 6% of hedgerows on their farm and with a certificate attesting to their sustainable management.</w:t>
      </w:r>
    </w:p>
    <w:p w14:paraId="5C7FB5A8" w14:textId="77777777" w:rsidR="00426FA6" w:rsidRPr="00364545" w:rsidRDefault="00426FA6" w:rsidP="00426FA6">
      <w:pPr>
        <w:spacing w:line="259" w:lineRule="auto"/>
        <w:rPr>
          <w:highlight w:val="cyan"/>
        </w:rPr>
      </w:pPr>
    </w:p>
    <w:p w14:paraId="2A68DE47" w14:textId="77777777" w:rsidR="00426FA6" w:rsidRPr="00364545" w:rsidRDefault="00426FA6" w:rsidP="00426FA6">
      <w:pPr>
        <w:spacing w:line="259" w:lineRule="auto"/>
      </w:pPr>
      <w:r w:rsidRPr="00364545">
        <w:t xml:space="preserve">Measures in favour of intra-plot agroforestry and hedgerows are also important levers to promote carbon storage both in the soil and in the plant biomass and to strengthen the added value of the agricultural sector. </w:t>
      </w:r>
      <w:r w:rsidRPr="00364545">
        <w:rPr>
          <w:b/>
        </w:rPr>
        <w:t xml:space="preserve">The agroforestry development plan </w:t>
      </w:r>
      <w:r w:rsidRPr="00364545">
        <w:t>launched in 2015</w:t>
      </w:r>
      <w:r w:rsidRPr="00364545">
        <w:rPr>
          <w:rStyle w:val="FootnoteReference"/>
          <w:rFonts w:eastAsiaTheme="majorEastAsia"/>
        </w:rPr>
        <w:footnoteReference w:id="46"/>
      </w:r>
      <w:r w:rsidRPr="00364545">
        <w:t xml:space="preserve"> is made up of five lines of action: i) strengthening knowledge of agroforestry systems, monitoring and research on agroforestry; ii) improving the regulatory and legal framework and strengthening financial support; iii) developing advice and training, promoting agroforestry and enhancing the value of its products; iv) economically enhancing the value of agroforestry products and developing them on the land and in the regions; v) promoting European and international approaches. Following a final evaluation, a new phase of this plan is being formulated. </w:t>
      </w:r>
      <w:r w:rsidRPr="004F2995">
        <w:rPr>
          <w:lang w:val="fr-FR"/>
        </w:rPr>
        <w:t>Le gouvernement a également mis en place dans le cadre du plan France Relance un Programme « plantons des haies ! »</w:t>
      </w:r>
      <w:r w:rsidRPr="00364545">
        <w:rPr>
          <w:rStyle w:val="FootnoteReference"/>
          <w:rFonts w:eastAsiaTheme="majorEastAsia"/>
        </w:rPr>
        <w:footnoteReference w:id="47"/>
      </w:r>
      <w:r w:rsidRPr="004F2995">
        <w:rPr>
          <w:lang w:val="fr-FR"/>
        </w:rPr>
        <w:t xml:space="preserve">, qui incite les agriculteurs à </w:t>
      </w:r>
      <w:r w:rsidRPr="004F2995">
        <w:rPr>
          <w:b/>
          <w:lang w:val="fr-FR"/>
        </w:rPr>
        <w:t>reconstituer les haies bocagères</w:t>
      </w:r>
      <w:r w:rsidRPr="004F2995">
        <w:rPr>
          <w:lang w:val="fr-FR"/>
        </w:rPr>
        <w:t xml:space="preserve">. </w:t>
      </w:r>
      <w:r w:rsidRPr="00364545">
        <w:t xml:space="preserve">The aim is to </w:t>
      </w:r>
      <w:r w:rsidRPr="00364545">
        <w:rPr>
          <w:b/>
        </w:rPr>
        <w:t>plant 7,000 km of hedges and to implement sustainable management of 90,000 km of existing hedges</w:t>
      </w:r>
      <w:r w:rsidRPr="00364545">
        <w:t xml:space="preserve">. In addition to this objective, the sustainable management of hedges and the encouragement of the development of wood harvested from hedgerows are carried out within the framework of the Hedge Label of the AFAC-agroforestry association and payments for environmental services. </w:t>
      </w:r>
    </w:p>
    <w:p w14:paraId="14240105" w14:textId="77777777" w:rsidR="00426FA6" w:rsidRPr="00364545" w:rsidRDefault="00426FA6" w:rsidP="00426FA6">
      <w:pPr>
        <w:spacing w:before="240" w:after="240"/>
      </w:pPr>
      <w:r w:rsidRPr="00364545">
        <w:rPr>
          <w:b/>
          <w:bCs/>
        </w:rPr>
        <w:t xml:space="preserve">Organic farming </w:t>
      </w:r>
      <w:r w:rsidRPr="00364545">
        <w:t xml:space="preserve">is also worth mentioning, with its almost exclusive use of organic fertilisers, its practices involving more frequent diversification of crops and intermediate covers, its preferential use of grass in livestock farming and/or its greater inclination towards agroforestry. </w:t>
      </w:r>
    </w:p>
    <w:p w14:paraId="4447CB46" w14:textId="77777777" w:rsidR="00426FA6" w:rsidRPr="00364545" w:rsidRDefault="00426FA6" w:rsidP="00426FA6">
      <w:pPr>
        <w:spacing w:before="240" w:after="240"/>
      </w:pPr>
      <w:r w:rsidRPr="00364545">
        <w:t xml:space="preserve">What’s more, the implementation of </w:t>
      </w:r>
      <w:r w:rsidRPr="00364545">
        <w:rPr>
          <w:b/>
          <w:bCs/>
        </w:rPr>
        <w:t>sustainability criteria for bioenergy</w:t>
      </w:r>
      <w:r w:rsidRPr="00364545">
        <w:t xml:space="preserve"> results in avoiding the production of agricultural raw materials for energy production on some carbon-rich soils and in some biodiversity-rich areas, within the European Union or in countries exporting to the Union European.</w:t>
      </w:r>
    </w:p>
    <w:p w14:paraId="114E0796" w14:textId="77777777" w:rsidR="00426FA6" w:rsidRPr="00364545" w:rsidRDefault="00426FA6" w:rsidP="00426FA6">
      <w:pPr>
        <w:spacing w:before="240" w:after="240"/>
      </w:pPr>
      <w:r w:rsidRPr="00364545">
        <w:t xml:space="preserve">The </w:t>
      </w:r>
      <w:r w:rsidRPr="00364545">
        <w:rPr>
          <w:b/>
          <w:bCs/>
        </w:rPr>
        <w:t>biodiversity plan</w:t>
      </w:r>
      <w:r w:rsidRPr="00364545">
        <w:t xml:space="preserve">, published in 2018, which aims to implement the objective of reducing the net loss of biodiversity to zero, proposes actions to limit the consumption of natural, agricultural and forest areas in order to achieve the objective of zero net artificialisation. In particular, it proposes a review of commercial development and town planning policies in order to curb the increase in developed areas (buildings, transport infrastructure, car parks, sports grounds etc.) and to promote town planning with low consumption of space. </w:t>
      </w:r>
    </w:p>
    <w:p w14:paraId="7985C015" w14:textId="77777777" w:rsidR="00426FA6" w:rsidRPr="00364545" w:rsidRDefault="00426FA6" w:rsidP="00EF6DB6">
      <w:pPr>
        <w:pStyle w:val="Titre4niveau4"/>
      </w:pPr>
      <w:r w:rsidRPr="00364545">
        <w:t xml:space="preserve">Carbon storage in forests </w:t>
      </w:r>
    </w:p>
    <w:p w14:paraId="1B26E77B" w14:textId="77777777" w:rsidR="00426FA6" w:rsidRPr="00364545" w:rsidRDefault="00426FA6" w:rsidP="00426FA6">
      <w:pPr>
        <w:spacing w:before="240" w:after="240"/>
      </w:pPr>
      <w:r w:rsidRPr="00364545">
        <w:t>French forests currently have an overall positive net contribution to climate change mitigation, with emissions (notably from dead wood oxidation and removals) lower than sequestration. The forest sink was -30.4</w:t>
      </w:r>
      <w:r w:rsidRPr="00364545">
        <w:rPr>
          <w:rFonts w:ascii="Calibri" w:hAnsi="Calibri"/>
        </w:rPr>
        <w:t> </w:t>
      </w:r>
      <w:r w:rsidRPr="00364545">
        <w:t>MtCO</w:t>
      </w:r>
      <w:r w:rsidRPr="00364545">
        <w:rPr>
          <w:vertAlign w:val="subscript"/>
        </w:rPr>
        <w:t>2</w:t>
      </w:r>
      <w:r w:rsidRPr="00364545">
        <w:t xml:space="preserve"> in 2020.</w:t>
      </w:r>
    </w:p>
    <w:p w14:paraId="3E8B2B48" w14:textId="77777777" w:rsidR="00426FA6" w:rsidRPr="00364545" w:rsidRDefault="00426FA6" w:rsidP="00426FA6">
      <w:pPr>
        <w:spacing w:before="240" w:after="240"/>
      </w:pPr>
      <w:r w:rsidRPr="00364545">
        <w:rPr>
          <w:b/>
          <w:sz w:val="21"/>
        </w:rPr>
        <w:t>The Forest and Wood Conferences, held between October 2021 and March 2022</w:t>
      </w:r>
      <w:r w:rsidRPr="00364545">
        <w:rPr>
          <w:sz w:val="21"/>
        </w:rPr>
        <w:t xml:space="preserve">, made it possible to identify the main actions to be focused on in the short term in terms of knowledge, forest renewal, biodiversity preservation, investment in the processing sector, governance, etc. These actions will be taken up and amplified within the framework </w:t>
      </w:r>
      <w:r w:rsidRPr="00364545">
        <w:t xml:space="preserve">of </w:t>
      </w:r>
      <w:r w:rsidRPr="00364545">
        <w:rPr>
          <w:sz w:val="21"/>
        </w:rPr>
        <w:t xml:space="preserve">the </w:t>
      </w:r>
      <w:r w:rsidRPr="00364545">
        <w:rPr>
          <w:b/>
          <w:sz w:val="21"/>
        </w:rPr>
        <w:t>"forest component" of the ecological plan</w:t>
      </w:r>
      <w:r w:rsidRPr="00364545">
        <w:rPr>
          <w:sz w:val="21"/>
        </w:rPr>
        <w:t xml:space="preserve"> launched by the </w:t>
      </w:r>
      <w:r w:rsidRPr="00364545">
        <w:t xml:space="preserve">French </w:t>
      </w:r>
      <w:r w:rsidRPr="00364545">
        <w:rPr>
          <w:sz w:val="21"/>
        </w:rPr>
        <w:t xml:space="preserve">Prime </w:t>
      </w:r>
      <w:r w:rsidRPr="00364545">
        <w:t xml:space="preserve">Minister </w:t>
      </w:r>
      <w:r w:rsidRPr="00364545">
        <w:rPr>
          <w:sz w:val="21"/>
        </w:rPr>
        <w:t>at the end of 2022, a plan that will notably fulfil the objective of replanting one billion trees in 10 years set by the President of the Republic on 28 October 2022, following the fires of the summer</w:t>
      </w:r>
      <w:r w:rsidRPr="00364545">
        <w:t>.</w:t>
      </w:r>
    </w:p>
    <w:p w14:paraId="7C083B93" w14:textId="77777777" w:rsidR="00426FA6" w:rsidRPr="00364545" w:rsidRDefault="00426FA6" w:rsidP="00426FA6">
      <w:pPr>
        <w:spacing w:before="240" w:after="240"/>
      </w:pPr>
      <w:r w:rsidRPr="00364545">
        <w:rPr>
          <w:b/>
          <w:bCs/>
        </w:rPr>
        <w:t>Substantial financial resources have been made available in recent years to finance forest renewal</w:t>
      </w:r>
      <w:r w:rsidRPr="00364545">
        <w:t xml:space="preserve"> (France Relance then France 2030). At the close of the Forest and Wood Conferences, permanent funding was announced. Dedicated to forest renewal and endowed with 100-150 million euros each year, it will be set up from 2024, calling on carbon finance mechanisms in particular with regard to the role of the forest and its products as a carbon sink.</w:t>
      </w:r>
    </w:p>
    <w:p w14:paraId="62E26F1C" w14:textId="77777777" w:rsidR="00426FA6" w:rsidRPr="00364545" w:rsidRDefault="00426FA6" w:rsidP="00426FA6">
      <w:pPr>
        <w:spacing w:before="240" w:after="240"/>
      </w:pPr>
      <w:r w:rsidRPr="00364545">
        <w:t xml:space="preserve">Other policies and measures that contribute to reinforcing the forest carbon sink include: </w:t>
      </w:r>
    </w:p>
    <w:p w14:paraId="23CD76FD" w14:textId="77777777" w:rsidR="00426FA6" w:rsidRPr="00364545" w:rsidRDefault="00426FA6" w:rsidP="00426FA6">
      <w:pPr>
        <w:numPr>
          <w:ilvl w:val="0"/>
          <w:numId w:val="8"/>
        </w:numPr>
        <w:spacing w:before="240" w:after="240"/>
      </w:pPr>
      <w:r w:rsidRPr="00364545">
        <w:t>The</w:t>
      </w:r>
      <w:r w:rsidRPr="00364545">
        <w:rPr>
          <w:b/>
          <w:bCs/>
        </w:rPr>
        <w:t xml:space="preserve"> tax incentive scheme for forest investment </w:t>
      </w:r>
      <w:r w:rsidRPr="00364545">
        <w:t>(DEFI), which encourages forest owners to adopt a sustainable forest management approach, including joining producer organisations or forestry economic and environmental interest groups (GIEEF), due to a higher tax credit rate, was extended until 31 December 2020. The aim is to improve forest management, which will bring multiple benefits, in particular a reduction in the overcapitalisation of certain forests, greater resilience to the risk of storms, but also greater mobilisation of wood;</w:t>
      </w:r>
    </w:p>
    <w:p w14:paraId="1C5A9E61" w14:textId="77777777" w:rsidR="00426FA6" w:rsidRPr="00364545" w:rsidRDefault="00426FA6" w:rsidP="00426FA6">
      <w:pPr>
        <w:numPr>
          <w:ilvl w:val="0"/>
          <w:numId w:val="8"/>
        </w:numPr>
        <w:spacing w:before="240" w:after="240"/>
      </w:pPr>
      <w:r w:rsidRPr="00364545">
        <w:t xml:space="preserve">The </w:t>
      </w:r>
      <w:r w:rsidRPr="00364545">
        <w:rPr>
          <w:b/>
          <w:bCs/>
        </w:rPr>
        <w:t>forestry investment and insurance account</w:t>
      </w:r>
      <w:r w:rsidRPr="00364545">
        <w:t xml:space="preserve"> (CIFA), which encourages forest owners to insure themselves against the risk of storms and to build up savings to finance prevention work and, where necessary, the cleaning up and reconstitution of damaged stands. The aim is to improve resilience to climate change and therefore maintain forest sequestration;</w:t>
      </w:r>
    </w:p>
    <w:p w14:paraId="5B7ABA3D" w14:textId="77777777" w:rsidR="00426FA6" w:rsidRPr="00364545" w:rsidRDefault="00426FA6" w:rsidP="00426FA6">
      <w:pPr>
        <w:pStyle w:val="ListParagraph"/>
        <w:numPr>
          <w:ilvl w:val="0"/>
          <w:numId w:val="8"/>
        </w:numPr>
        <w:spacing w:before="240" w:after="240"/>
      </w:pPr>
      <w:r w:rsidRPr="00364545">
        <w:t xml:space="preserve">The </w:t>
      </w:r>
      <w:r w:rsidRPr="00364545">
        <w:rPr>
          <w:b/>
          <w:bCs/>
        </w:rPr>
        <w:t>forest fire fighting mechanism</w:t>
      </w:r>
      <w:r w:rsidRPr="00364545">
        <w:t>, which is put in place every year to protect the populations and the forest massifs. The fight against forest fires starts with the preventive mobilisation of intervention resources and a daily and precise assessment of the fire risk. The President of the Republic has announced a reinforcement of these resources following the fires of summer 2022.</w:t>
      </w:r>
    </w:p>
    <w:p w14:paraId="0E47AF8C" w14:textId="77777777" w:rsidR="00426FA6" w:rsidRPr="00364545" w:rsidRDefault="00426FA6" w:rsidP="00426FA6">
      <w:pPr>
        <w:numPr>
          <w:ilvl w:val="0"/>
          <w:numId w:val="8"/>
        </w:numPr>
        <w:spacing w:before="240" w:after="240"/>
      </w:pPr>
      <w:r w:rsidRPr="00364545">
        <w:t xml:space="preserve">The </w:t>
      </w:r>
      <w:r w:rsidRPr="00364545">
        <w:rPr>
          <w:b/>
          <w:bCs/>
        </w:rPr>
        <w:t xml:space="preserve">low-carbon label </w:t>
      </w:r>
      <w:r w:rsidRPr="00364545">
        <w:t>created by Decree n°2018-1043 of 28 November 2018, allows the Ministry of Ecology Transition to promote the emergence of projects avoiding the emission or sequestering of greenhouse gases (GHG) and to make them more attractive, as part of the voluntary or mandatory compensation of public or private players. Projects that sequester GHG emissions in a way that is additional to existing regulations and incentives can therefore be labelled and then financed by public or private players, with the emission reductions ultimately being recognised for their benefit. Projects wishing to be labelled as low-carbon must fall within the scope of a method approved by the Ministry of Ecology Transition. The role of these methods is to define the scope of application, the eligibility and additionality criteria and the method of calculating the sequestered or reduced GHGs. These GHG sequestration projects can apply to all sectors of activity, excluding activities subject to the European Union Emissions Trading System (EU ETS). Eleven methods have already been approved, including three in forestry.</w:t>
      </w:r>
    </w:p>
    <w:p w14:paraId="6F264B39" w14:textId="77777777" w:rsidR="00426FA6" w:rsidRPr="00364545" w:rsidRDefault="00426FA6" w:rsidP="00426FA6">
      <w:pPr>
        <w:numPr>
          <w:ilvl w:val="0"/>
          <w:numId w:val="8"/>
        </w:numPr>
        <w:spacing w:before="240" w:after="240"/>
      </w:pPr>
      <w:r w:rsidRPr="00364545">
        <w:t xml:space="preserve">The </w:t>
      </w:r>
      <w:r w:rsidRPr="00364545">
        <w:rPr>
          <w:b/>
          <w:bCs/>
        </w:rPr>
        <w:t>National Climate Change Adaptation Plan</w:t>
      </w:r>
      <w:r w:rsidRPr="00364545">
        <w:t>, which includes measures for forests. Adaptation to climate change is essential to ensure and secure the forest's function as a carbon sink.</w:t>
      </w:r>
    </w:p>
    <w:p w14:paraId="2B20C0D8" w14:textId="77777777" w:rsidR="00426FA6" w:rsidRPr="00364545" w:rsidRDefault="00426FA6" w:rsidP="00426FA6">
      <w:pPr>
        <w:spacing w:before="240" w:after="240"/>
      </w:pPr>
      <w:r w:rsidRPr="00364545">
        <w:t xml:space="preserve">In addition, a number of cross-cutting measures are aimed at both better forest management and greater wood mobilisation: </w:t>
      </w:r>
    </w:p>
    <w:p w14:paraId="2292F11E" w14:textId="77777777" w:rsidR="00426FA6" w:rsidRPr="00364545" w:rsidRDefault="00426FA6" w:rsidP="00426FA6">
      <w:pPr>
        <w:numPr>
          <w:ilvl w:val="0"/>
          <w:numId w:val="9"/>
        </w:numPr>
        <w:spacing w:before="240" w:after="240"/>
      </w:pPr>
      <w:r w:rsidRPr="00364545">
        <w:t xml:space="preserve">The </w:t>
      </w:r>
      <w:r w:rsidRPr="00364545">
        <w:rPr>
          <w:b/>
          <w:bCs/>
        </w:rPr>
        <w:t>National Forest and Wood Programme</w:t>
      </w:r>
      <w:r w:rsidRPr="00364545">
        <w:t xml:space="preserve"> (PNFB), resulting from the LAAAF, and approved by decree on 8 February 2017, sets the guidelines for forestry policy for the decade 2016-2026. In particular, it aims to optimise forestry levers to adapt French forests to climate change and contribute to mitigation, taking into consideration the complete carbon footprint of the forestry-wood sector (carbon storage in living above-ground and underground biomass, in dead biomass, in forest soils, in wood products, substitution of wood for fossil fuels or competing materials). In particular, it sets a target for additional commercial wood mobilisation of 12 Mm³ by 2026 compared to 2015. The </w:t>
      </w:r>
      <w:r w:rsidRPr="00364545">
        <w:rPr>
          <w:b/>
          <w:bCs/>
        </w:rPr>
        <w:t>regional forestry and wood programmes</w:t>
      </w:r>
      <w:r w:rsidRPr="00364545">
        <w:t xml:space="preserve"> (PRFB) are a regional variation of the national forestry and wood programme and are being developed by the regions. The PRFBs will take up the structural elements of the regional multiannual forest development plans; </w:t>
      </w:r>
    </w:p>
    <w:p w14:paraId="7A38CCC8" w14:textId="77777777" w:rsidR="00426FA6" w:rsidRPr="00364545" w:rsidRDefault="00426FA6" w:rsidP="00426FA6">
      <w:pPr>
        <w:numPr>
          <w:ilvl w:val="0"/>
          <w:numId w:val="9"/>
        </w:numPr>
        <w:spacing w:before="240" w:after="240"/>
      </w:pPr>
      <w:r w:rsidRPr="00364545">
        <w:t xml:space="preserve">The </w:t>
      </w:r>
      <w:r w:rsidRPr="00364545">
        <w:rPr>
          <w:b/>
          <w:bCs/>
        </w:rPr>
        <w:t>interministerial action plan for the revival of the forestry and wood industry</w:t>
      </w:r>
      <w:r w:rsidRPr="00364545">
        <w:t xml:space="preserve"> (PAIFB), presented by the government on 16 November 2018. It identifies priority actions grouped into three areas which are based on the mobilisation and the sustainable renewal of the forest, the development of end markets and support for innovation and investment, the improvement of the sector’s environmental performance and its development in the regions.</w:t>
      </w:r>
    </w:p>
    <w:p w14:paraId="70152065" w14:textId="77777777" w:rsidR="00426FA6" w:rsidRPr="00364545" w:rsidRDefault="00426FA6" w:rsidP="00426FA6">
      <w:pPr>
        <w:numPr>
          <w:ilvl w:val="0"/>
          <w:numId w:val="9"/>
        </w:numPr>
        <w:spacing w:before="240" w:after="240"/>
      </w:pPr>
      <w:r w:rsidRPr="00364545">
        <w:t xml:space="preserve">The </w:t>
      </w:r>
      <w:r w:rsidRPr="00364545">
        <w:rPr>
          <w:b/>
          <w:bCs/>
        </w:rPr>
        <w:t>strategic contract for the wood industry</w:t>
      </w:r>
      <w:r w:rsidRPr="00364545">
        <w:t xml:space="preserve"> (CSF 2018-2022), signed by the industry's professionals and the government, aims to promote the use of wood and strengthen the industry's competitiveness. The CSF contributes to defining a new model of circular economy aimed at sustainable production, by limiting the waste of raw materials and ensuring the recycling and recovery of wood waste. It also provides for the development of the use of wood in construction, therefore allowing for long-term carbon storage. An amendment was signed for 2021-2022 for the implementation of the recovery plan.</w:t>
      </w:r>
    </w:p>
    <w:p w14:paraId="7588B9C0" w14:textId="77777777" w:rsidR="00426FA6" w:rsidRPr="00364545" w:rsidRDefault="00426FA6" w:rsidP="00426FA6">
      <w:pPr>
        <w:numPr>
          <w:ilvl w:val="0"/>
          <w:numId w:val="9"/>
        </w:numPr>
        <w:spacing w:before="240" w:after="240"/>
      </w:pPr>
      <w:r w:rsidRPr="00364545">
        <w:t xml:space="preserve">The </w:t>
      </w:r>
      <w:r w:rsidRPr="00364545">
        <w:rPr>
          <w:b/>
          <w:bCs/>
        </w:rPr>
        <w:t>National Bioeconomy Strategy</w:t>
      </w:r>
      <w:r w:rsidRPr="00364545">
        <w:t xml:space="preserve"> (adopted in 2017) and its 2018-2020 action plan integrate all public policies dealing with biomass in the same perspective, in order to put the renewable carbon and living economy back at the heart of the economy, by replacing fossil and mining products with bio-based products. The action plan breaks down the bioeconomy strategy into operational actions divided into five areas: improving knowledge; promoting the bioeconomy and its products to the general public; creating the conditions for supply and demand to be met; producing, mobilising and transforming bio-resources in a sustainable manner; removing barriers and mobilising funding.</w:t>
      </w:r>
    </w:p>
    <w:p w14:paraId="6A680CF5" w14:textId="3AD4973D" w:rsidR="00426FA6" w:rsidRPr="00364545" w:rsidRDefault="00426FA6" w:rsidP="00426FA6">
      <w:pPr>
        <w:numPr>
          <w:ilvl w:val="0"/>
          <w:numId w:val="9"/>
        </w:numPr>
        <w:spacing w:before="240" w:after="240"/>
        <w:rPr>
          <w:sz w:val="21"/>
        </w:rPr>
      </w:pPr>
      <w:r w:rsidRPr="00364545">
        <w:t xml:space="preserve">The </w:t>
      </w:r>
      <w:r w:rsidRPr="00364545">
        <w:rPr>
          <w:b/>
        </w:rPr>
        <w:t>Forest-Wood 2025 Research-Innovation Plan</w:t>
      </w:r>
      <w:r w:rsidRPr="00364545">
        <w:t>, which describes the main priorities of the sector in terms of research and development: increasing the use of wood with high added value, particularly hardwoods, improving the performance of the sector, ensuring its adaptation, etc. The</w:t>
      </w:r>
      <w:r w:rsidRPr="00364545">
        <w:rPr>
          <w:sz w:val="21"/>
        </w:rPr>
        <w:t xml:space="preserve"> launch of a €50 million priority research programme for forest resilience and biodiversity and an agile bioeconomy, led by public research, </w:t>
      </w:r>
      <w:r w:rsidRPr="00364545">
        <w:t>was announced on 21 November 2022</w:t>
      </w:r>
      <w:r w:rsidRPr="00364545">
        <w:rPr>
          <w:rStyle w:val="FootnoteReference"/>
        </w:rPr>
        <w:footnoteReference w:id="48"/>
      </w:r>
      <w:r w:rsidRPr="00364545">
        <w:rPr>
          <w:sz w:val="21"/>
        </w:rPr>
        <w:t>.</w:t>
      </w:r>
    </w:p>
    <w:p w14:paraId="34C60319" w14:textId="77777777" w:rsidR="00426FA6" w:rsidRPr="00364545" w:rsidRDefault="00426FA6" w:rsidP="00EF6DB6">
      <w:pPr>
        <w:pStyle w:val="Titre4niveau4"/>
      </w:pPr>
      <w:r w:rsidRPr="00364545">
        <w:t xml:space="preserve">Development of wood material </w:t>
      </w:r>
    </w:p>
    <w:p w14:paraId="2B71A5BB" w14:textId="77777777" w:rsidR="00426FA6" w:rsidRPr="00364545" w:rsidRDefault="00426FA6" w:rsidP="00426FA6">
      <w:pPr>
        <w:spacing w:before="240" w:after="240"/>
      </w:pPr>
      <w:r w:rsidRPr="00364545">
        <w:t xml:space="preserve">Wood material produced and used in a sustainable way requires little energy for its manufacture and allows for the temporary storage of carbon: it already allows for the storage of approximately 2 MtCO2eq annually in France and the development of these uses would increase this. In addition, it can replace materials whose manufacture generates greenhouse gases (such as concrete, steel and aluminium). </w:t>
      </w:r>
    </w:p>
    <w:p w14:paraId="41EFD3FF" w14:textId="77777777" w:rsidR="00426FA6" w:rsidRPr="00364545" w:rsidRDefault="00426FA6" w:rsidP="00426FA6">
      <w:pPr>
        <w:spacing w:before="240" w:after="240"/>
      </w:pPr>
      <w:r w:rsidRPr="00364545">
        <w:t xml:space="preserve">Several measures are planned to promote the development of wood materials, particularly in construction. </w:t>
      </w:r>
      <w:r w:rsidRPr="00364545">
        <w:rPr>
          <w:b/>
          <w:bCs/>
        </w:rPr>
        <w:t>Wood Plans I, II and III (Wood Plan IV</w:t>
      </w:r>
      <w:r w:rsidRPr="00364545">
        <w:t xml:space="preserve"> covers the period 2021-2024) have helped remove technical and regulatory barriers related to the use of wood in medium and high-rise construction. The aim of the </w:t>
      </w:r>
      <w:r w:rsidRPr="00364545">
        <w:rPr>
          <w:b/>
          <w:bCs/>
        </w:rPr>
        <w:t>New Industrial France plan “Wooden high-rise buildings”</w:t>
      </w:r>
      <w:r w:rsidRPr="00364545">
        <w:t xml:space="preserve"> is to demonstrate, in a very concrete way through the construction of buildings, the feasibility of building in wood at great heights and to, subsequently, make the most appropriate technical solutions more accessible. Finally, </w:t>
      </w:r>
      <w:r w:rsidRPr="00364545">
        <w:rPr>
          <w:b/>
        </w:rPr>
        <w:t xml:space="preserve">the RE2020 </w:t>
      </w:r>
      <w:r w:rsidRPr="00364545">
        <w:t>(see section B.2) takes into account all the emissions of a new building over its entire life cycle (including the manufacture of materials), which promotes biosourced products.</w:t>
      </w:r>
    </w:p>
    <w:p w14:paraId="28A4A80B" w14:textId="77777777" w:rsidR="00426FA6" w:rsidRPr="00364545" w:rsidRDefault="00426FA6" w:rsidP="00426FA6">
      <w:pPr>
        <w:spacing w:before="240" w:after="240"/>
      </w:pPr>
      <w:r w:rsidRPr="00364545">
        <w:t>The</w:t>
      </w:r>
      <w:r w:rsidRPr="00364545">
        <w:rPr>
          <w:b/>
          <w:bCs/>
        </w:rPr>
        <w:t xml:space="preserve"> “bio-based buildings” label</w:t>
      </w:r>
      <w:r w:rsidRPr="00364545">
        <w:t>, which has been operational since 2013, helps give greater visibility to new buildings that make an effort to significantly use materials of plant and animal origin (wood, hemp, straw, wool, feathers etc.)</w:t>
      </w:r>
    </w:p>
    <w:p w14:paraId="4FCF6FA2" w14:textId="77777777" w:rsidR="00426FA6" w:rsidRPr="00364545" w:rsidRDefault="00426FA6" w:rsidP="00426FA6">
      <w:pPr>
        <w:spacing w:before="240" w:after="240"/>
      </w:pPr>
      <w:r w:rsidRPr="00364545">
        <w:t xml:space="preserve">Companies in the wood industry also benefit from several </w:t>
      </w:r>
      <w:r w:rsidRPr="00364545">
        <w:rPr>
          <w:b/>
          <w:bCs/>
        </w:rPr>
        <w:t>financing schemes managed by the French public investment bank Bpifrance</w:t>
      </w:r>
      <w:r w:rsidRPr="00364545">
        <w:rPr>
          <w:vertAlign w:val="superscript"/>
        </w:rPr>
        <w:footnoteReference w:id="49"/>
      </w:r>
      <w:r w:rsidRPr="00364545">
        <w:t>: the Prêt Participatif de Développement (PPD) Bois and the Prêt Filière Bois for debt financing, the Fonds Bois for equity investments. They also benefit from a support system, the Filière Bois Accelerator, including advice, training and networking to facilitate their growth.</w:t>
      </w:r>
    </w:p>
    <w:p w14:paraId="63FA782F" w14:textId="77777777" w:rsidR="00426FA6" w:rsidRPr="00364545" w:rsidRDefault="00426FA6" w:rsidP="00EF6DB6">
      <w:pPr>
        <w:pStyle w:val="Titre4niveau4"/>
      </w:pPr>
      <w:r w:rsidRPr="00364545">
        <w:t xml:space="preserve">Development of biomass energy </w:t>
      </w:r>
    </w:p>
    <w:p w14:paraId="1AE19737" w14:textId="77777777" w:rsidR="00426FA6" w:rsidRPr="00364545" w:rsidRDefault="00426FA6" w:rsidP="00426FA6">
      <w:pPr>
        <w:spacing w:before="240" w:after="240"/>
      </w:pPr>
      <w:r w:rsidRPr="00364545">
        <w:t xml:space="preserve">Wood energy can be harvested as a co-product of timber, respecting the hierarchy of uses. It is therefore interesting to use the heat produced by the harvesting of timber and industrial wood, sawmills and certain wood waste. More generally, the development of the use of biomass for energy purposes makes it possible to reduce GHG emissions in various sectors of activity when it replaces fossil fuels. The choice was made to report the measures for the development of biomass energy in this forest section (rather than in the energy section) because they are complementary to the measures aimed at ensuring sustainable forest management. Public policy on forests and wood aims to take into account the upstream and downstream forestry sectors in a complementary manner. </w:t>
      </w:r>
    </w:p>
    <w:p w14:paraId="5B72E149" w14:textId="77777777" w:rsidR="00426FA6" w:rsidRPr="00364545" w:rsidRDefault="00426FA6" w:rsidP="00426FA6">
      <w:pPr>
        <w:spacing w:before="240" w:after="240"/>
      </w:pPr>
      <w:r w:rsidRPr="00364545">
        <w:t xml:space="preserve">The </w:t>
      </w:r>
      <w:r w:rsidRPr="00364545">
        <w:rPr>
          <w:b/>
          <w:bCs/>
        </w:rPr>
        <w:t>National Strategy for Biomass Mobilisation</w:t>
      </w:r>
      <w:r w:rsidRPr="00364545">
        <w:t xml:space="preserve"> (SNMB) and the </w:t>
      </w:r>
      <w:r w:rsidRPr="00364545">
        <w:rPr>
          <w:b/>
          <w:bCs/>
        </w:rPr>
        <w:t>Regional Biomass Mobilisation Schemes</w:t>
      </w:r>
      <w:r w:rsidRPr="00364545">
        <w:t xml:space="preserve"> (SRB) stem from the Ecology Transition Law for Green Growth of August 2015. The SNMB defines guidelines, recommendations and actions concerning the production and use of biomass likely to be used for energy purposes, with a view to developing the production of biomass and increasing its mobilisation while ensuring that its uses are well linked, and that climate change is mitigated. The SRBs adapt the SNMB to regional specificities. </w:t>
      </w:r>
    </w:p>
    <w:p w14:paraId="61399239" w14:textId="77777777" w:rsidR="00426FA6" w:rsidRPr="00364545" w:rsidRDefault="00426FA6" w:rsidP="00426FA6">
      <w:pPr>
        <w:spacing w:before="240" w:after="240"/>
      </w:pPr>
      <w:r w:rsidRPr="00364545">
        <w:t xml:space="preserve">In terms of heat production, the </w:t>
      </w:r>
      <w:r w:rsidRPr="00364545">
        <w:rPr>
          <w:b/>
          <w:bCs/>
        </w:rPr>
        <w:t>heat fund</w:t>
      </w:r>
      <w:r w:rsidRPr="00364545">
        <w:t xml:space="preserve"> managed by Ademe since 2009 (see Energy section) supports numerous biomass heating projects. Over the 2009-2021 period, 6,566 projects were supported (including 1,853 wood-biomass projects) for a total of 2.9 billion euros in aid and an annual heat production of 3.34 MTOE</w:t>
      </w:r>
      <w:r w:rsidRPr="00364545">
        <w:rPr>
          <w:rStyle w:val="FootnoteReference"/>
        </w:rPr>
        <w:footnoteReference w:id="50"/>
      </w:r>
      <w:r w:rsidRPr="00364545">
        <w:t xml:space="preserve">. In addition, two calls for expressions of interest called </w:t>
      </w:r>
      <w:r w:rsidRPr="00364545">
        <w:rPr>
          <w:b/>
          <w:bCs/>
        </w:rPr>
        <w:t>DYNAMIC bois</w:t>
      </w:r>
      <w:r w:rsidRPr="00364545">
        <w:t xml:space="preserve"> were launched by Ademe in 2015 and 2016 to support innovative and operational actions to mobilise additional wood to facilitate the supply of biomass heating projects financed under the heat fund and to improve forest stands. </w:t>
      </w:r>
    </w:p>
    <w:p w14:paraId="78AB7357" w14:textId="77777777" w:rsidR="00426FA6" w:rsidRPr="00364545" w:rsidRDefault="00426FA6" w:rsidP="00426FA6">
      <w:pPr>
        <w:spacing w:before="240" w:after="240"/>
      </w:pPr>
      <w:r w:rsidRPr="00364545">
        <w:t xml:space="preserve">Electricity production from solid biomass is supported by contractual arrangements from </w:t>
      </w:r>
      <w:r w:rsidRPr="00364545">
        <w:rPr>
          <w:b/>
          <w:bCs/>
        </w:rPr>
        <w:t>past tenders.</w:t>
      </w:r>
      <w:r w:rsidRPr="00364545">
        <w:t xml:space="preserve"> Support schemes now focus on support for renewable heat.</w:t>
      </w:r>
    </w:p>
    <w:p w14:paraId="5794C723" w14:textId="6474BA41" w:rsidR="00A5513E" w:rsidRPr="00364545" w:rsidRDefault="00426FA6" w:rsidP="00426FA6">
      <w:pPr>
        <w:spacing w:before="240" w:after="240"/>
      </w:pPr>
      <w:r w:rsidRPr="00364545">
        <w:t>In addition, the MaPrimeRénov' schemes (see section B.2. Residential/tertiary), energy saving certificates (see Energy section) and the zero-interest eco-loan (see Residential/tertiary section) support the development of wood energy for individuals.</w:t>
      </w:r>
    </w:p>
    <w:p w14:paraId="01A86ECC" w14:textId="6D4AAD6A" w:rsidR="00A5513E" w:rsidRPr="00364545" w:rsidRDefault="00A5513E" w:rsidP="003F57EA">
      <w:pPr>
        <w:pStyle w:val="Titre3Niveau3"/>
      </w:pPr>
      <w:bookmarkStart w:id="473" w:name="_Toc120889891"/>
      <w:bookmarkStart w:id="474" w:name="_Toc138341833"/>
      <w:r w:rsidRPr="00364545">
        <w:t>Waste treatment</w:t>
      </w:r>
      <w:bookmarkEnd w:id="473"/>
      <w:bookmarkEnd w:id="474"/>
    </w:p>
    <w:p w14:paraId="35AF3CDC" w14:textId="45313AB3" w:rsidR="00A5513E" w:rsidRPr="00364545" w:rsidRDefault="00A5513E" w:rsidP="00A5513E">
      <w:pPr>
        <w:spacing w:before="240" w:after="240"/>
      </w:pPr>
      <w:r w:rsidRPr="00364545">
        <w:t>In 2020, this sector contributed 4%</w:t>
      </w:r>
      <w:r w:rsidRPr="00364545">
        <w:rPr>
          <w:rStyle w:val="FootnoteReference"/>
        </w:rPr>
        <w:footnoteReference w:id="51"/>
      </w:r>
      <w:r w:rsidRPr="00364545">
        <w:t xml:space="preserve"> of French greenhouse gas emissions. Landfill accounts for 82% of the sector’s emissions, incineration without energy recovery for 9%, other solid waste treatment (sorting and recycling, compost and biogas production) for 6% of the sector’s emissions and wastewater treatment for 3%. Methane from landfill and solid waste and wastewater treatment is the main greenhouse gas emitted by this sector in 2020 (88% of emissions), followed by CO</w:t>
      </w:r>
      <w:r w:rsidRPr="00364545">
        <w:rPr>
          <w:vertAlign w:val="subscript"/>
        </w:rPr>
        <w:t>2</w:t>
      </w:r>
      <w:r w:rsidRPr="00364545">
        <w:t xml:space="preserve"> from waste incineration (9%) and N</w:t>
      </w:r>
      <w:r w:rsidRPr="00364545">
        <w:rPr>
          <w:vertAlign w:val="subscript"/>
        </w:rPr>
        <w:t>2</w:t>
      </w:r>
      <w:r w:rsidRPr="00364545">
        <w:t>O mainly from wastewater and solid waste treatment (3%).</w:t>
      </w:r>
    </w:p>
    <w:p w14:paraId="1EBE98F8" w14:textId="77777777" w:rsidR="00A5513E" w:rsidRPr="00364545" w:rsidRDefault="00A5513E" w:rsidP="00A5513E">
      <w:pPr>
        <w:spacing w:before="240" w:after="240"/>
      </w:pPr>
      <w:r w:rsidRPr="00364545">
        <w:t xml:space="preserve">The prevention of waste production is listed in the Environmental Code as the priority in waste management. Preventing waste production not only avoids the environmental impacts of waste treatment. It also avoids the environmental impacts of the upstream stages of the product life cycle: extraction of natural resources, production of goods and services, distribution and use. </w:t>
      </w:r>
    </w:p>
    <w:p w14:paraId="10FF2741" w14:textId="77777777" w:rsidR="00A5513E" w:rsidRPr="00364545" w:rsidRDefault="00A5513E" w:rsidP="00A5513E">
      <w:pPr>
        <w:spacing w:before="240" w:after="240"/>
      </w:pPr>
      <w:r w:rsidRPr="00364545">
        <w:t xml:space="preserve">Several measures have been put in place to reduce waste production: </w:t>
      </w:r>
    </w:p>
    <w:p w14:paraId="2379EFE4" w14:textId="77777777" w:rsidR="00ED2A5C" w:rsidRPr="00364545" w:rsidRDefault="00ED2A5C" w:rsidP="00BE086C">
      <w:pPr>
        <w:numPr>
          <w:ilvl w:val="0"/>
          <w:numId w:val="18"/>
        </w:numPr>
        <w:spacing w:before="240" w:after="240"/>
      </w:pPr>
      <w:r w:rsidRPr="00364545">
        <w:t>The end of eligibility for the remuneration supplement for the production of electricity from waste incinerated in household waste incineration plants (in 2016) and from landfill gas (in 2020).</w:t>
      </w:r>
    </w:p>
    <w:p w14:paraId="2791B531" w14:textId="0CA5B5CE" w:rsidR="00A5513E" w:rsidRPr="00364545" w:rsidRDefault="00A5513E" w:rsidP="00BE086C">
      <w:pPr>
        <w:numPr>
          <w:ilvl w:val="0"/>
          <w:numId w:val="18"/>
        </w:numPr>
        <w:spacing w:before="240" w:after="240"/>
      </w:pPr>
      <w:r w:rsidRPr="00364545">
        <w:rPr>
          <w:b/>
        </w:rPr>
        <w:t xml:space="preserve">Single-use plastic bags have been banned </w:t>
      </w:r>
      <w:r w:rsidRPr="00364545">
        <w:t xml:space="preserve">since 1 January 2016; </w:t>
      </w:r>
    </w:p>
    <w:p w14:paraId="1BE0E4B5" w14:textId="77777777" w:rsidR="00A5513E" w:rsidRPr="00364545" w:rsidRDefault="00A5513E" w:rsidP="00BE086C">
      <w:pPr>
        <w:numPr>
          <w:ilvl w:val="0"/>
          <w:numId w:val="18"/>
        </w:numPr>
        <w:spacing w:before="240" w:after="240"/>
      </w:pPr>
      <w:r w:rsidRPr="00364545">
        <w:t xml:space="preserve">The </w:t>
      </w:r>
      <w:r w:rsidRPr="00364545">
        <w:rPr>
          <w:b/>
          <w:bCs/>
        </w:rPr>
        <w:t>fight against food waste</w:t>
      </w:r>
      <w:r w:rsidRPr="00364545">
        <w:t xml:space="preserve"> has been established as a national priority with a target of halving food loss and waste by 2025. The following measures have been taken: large food stores are now obliged to offer agreements to authorised charities for the donation of unsold foodstuffs. Distributors are prohibited from deliberately making unsold food unfit for consumption. The State, its public institutions and local authorities are obliged to establish an approach to combat food waste in the contract catering services they manage; </w:t>
      </w:r>
    </w:p>
    <w:p w14:paraId="1DB2A74F" w14:textId="4C3C4BF8" w:rsidR="00A5513E" w:rsidRPr="00364545" w:rsidRDefault="00A5513E" w:rsidP="00BE086C">
      <w:pPr>
        <w:numPr>
          <w:ilvl w:val="0"/>
          <w:numId w:val="18"/>
        </w:numPr>
        <w:spacing w:before="240" w:after="240"/>
      </w:pPr>
      <w:r w:rsidRPr="00364545">
        <w:t xml:space="preserve">Built-in obsolescence was defined in the Ecology Transition for Green Growth Law of 17 August 2015 as “all techniques by which a marketer aims to deliberately reduce the lifespan of a product in order to increase its replacement rate”. The law recognises the </w:t>
      </w:r>
      <w:r w:rsidRPr="00364545">
        <w:rPr>
          <w:b/>
          <w:bCs/>
        </w:rPr>
        <w:t>offence of built-in obsolescence</w:t>
      </w:r>
      <w:r w:rsidRPr="00364545">
        <w:t xml:space="preserve">, which is punishable by two years’ imprisonment and a fine of €300,000, the amount of which can be increased to 5% of average annual turnover. </w:t>
      </w:r>
    </w:p>
    <w:p w14:paraId="69C933F9" w14:textId="77777777" w:rsidR="00A5513E" w:rsidRPr="00364545" w:rsidRDefault="00A5513E" w:rsidP="00A5513E">
      <w:pPr>
        <w:spacing w:before="240" w:after="240"/>
      </w:pPr>
      <w:r w:rsidRPr="00364545">
        <w:t xml:space="preserve">After waste prevention, the waste treatment hierarchy in French law (pursuant to European Waste Directive 2008/98/EC) is as follows: reuse, recycling and other forms of material recovery, energy recovery and disposal (incineration without energy recovery and landfill). </w:t>
      </w:r>
    </w:p>
    <w:p w14:paraId="66DBD316" w14:textId="77777777" w:rsidR="00A5513E" w:rsidRPr="00364545" w:rsidRDefault="00A5513E" w:rsidP="00A5513E">
      <w:pPr>
        <w:spacing w:before="240" w:after="240"/>
      </w:pPr>
      <w:r w:rsidRPr="00364545">
        <w:rPr>
          <w:b/>
          <w:bCs/>
        </w:rPr>
        <w:t>Extended Producer Responsibility</w:t>
      </w:r>
      <w:r w:rsidRPr="00364545">
        <w:t xml:space="preserve"> (EPR) schemes are organisational arrangements for the prevention and management of waste that concern certain types of products. These arrangements are based on the principal of extended producer responsibility, according to which producers, i.e. those responsible for putting certain products on the market, are made responsible for financing or organising management of waste from these products at the end of their life. There are currently about twenty channels in France that are subject to this principle, which has been implemented gradually since 1992. Such a scheme allows the producer to include the cost of waste management in the cost of the product and encourages the sustainable design of their product to reduce waste. </w:t>
      </w:r>
      <w:r w:rsidRPr="00364545">
        <w:rPr>
          <w:b/>
          <w:bCs/>
        </w:rPr>
        <w:t xml:space="preserve">Law no. 2020-105 of 10 February 2020 on the fight against waste and the circular economy (AGEC) </w:t>
      </w:r>
      <w:r w:rsidRPr="00364545">
        <w:t>stipulates that any product covered by the principle of extended producer responsibility (ERP), with the exclusion of household glass drink containers, must be marked with a Triman sign</w:t>
      </w:r>
      <w:r w:rsidRPr="00364545">
        <w:rPr>
          <w:rStyle w:val="FootnoteReference"/>
        </w:rPr>
        <w:footnoteReference w:id="52"/>
      </w:r>
      <w:r w:rsidRPr="00364545">
        <w:t xml:space="preserve"> informing the consumer that this product is subject to sorting rules. This Triman sign is accompanied by information on how to sort or get the waste from the product. If several elements of the product or waste from the product are subject to different sorting arrangements, these arrangements are detailed element by element. This information shall appear on the product, its packaging or, failing that, in the other documents supplied with the product, without prejudice to the symbols affixed pursuant to other provisions.</w:t>
      </w:r>
    </w:p>
    <w:p w14:paraId="1A3DE7F5" w14:textId="77777777" w:rsidR="00A5513E" w:rsidRPr="00364545" w:rsidRDefault="00A5513E" w:rsidP="00A5513E">
      <w:pPr>
        <w:spacing w:before="240" w:after="240"/>
      </w:pPr>
      <w:r w:rsidRPr="00364545">
        <w:t>The AGEC law also stipulates the creation of eleven additional ERP schemes between 2021 and 2025</w:t>
      </w:r>
      <w:r w:rsidRPr="00364545">
        <w:rPr>
          <w:rStyle w:val="FootnoteReference"/>
        </w:rPr>
        <w:footnoteReference w:id="53"/>
      </w:r>
      <w:r w:rsidRPr="00364545">
        <w:t>.</w:t>
      </w:r>
    </w:p>
    <w:p w14:paraId="53F86A3C" w14:textId="403B4269" w:rsidR="00A5513E" w:rsidRPr="00364545" w:rsidRDefault="00A5513E" w:rsidP="00A5513E">
      <w:pPr>
        <w:spacing w:before="240" w:after="240"/>
      </w:pPr>
      <w:r w:rsidRPr="00364545">
        <w:t xml:space="preserve">Immediately after waste reduction and prevention, sorting waste at the source is a very important step to direct it into an appropriate channel and increase the quantities of recovered waste. The law on the ecology transition for green growth has put in place a set of provisions relating to sorting: </w:t>
      </w:r>
    </w:p>
    <w:p w14:paraId="7C105D87" w14:textId="77777777" w:rsidR="00A5513E" w:rsidRPr="00364545" w:rsidRDefault="00A5513E" w:rsidP="00BE086C">
      <w:pPr>
        <w:numPr>
          <w:ilvl w:val="0"/>
          <w:numId w:val="19"/>
        </w:numPr>
        <w:spacing w:before="240" w:after="240"/>
      </w:pPr>
      <w:r w:rsidRPr="00364545">
        <w:rPr>
          <w:b/>
          <w:bCs/>
        </w:rPr>
        <w:t xml:space="preserve">Obligation to sort </w:t>
      </w:r>
      <w:r w:rsidRPr="00364545">
        <w:t xml:space="preserve">paper, cardboard, plastic, metal, wood, glass with a view to material or energy recovery </w:t>
      </w:r>
      <w:r w:rsidRPr="00364545">
        <w:rPr>
          <w:b/>
          <w:bCs/>
        </w:rPr>
        <w:t>for waste from economic activities</w:t>
      </w:r>
      <w:r w:rsidRPr="00364545">
        <w:t xml:space="preserve"> of companies and administrations; </w:t>
      </w:r>
    </w:p>
    <w:p w14:paraId="1AE10D2A" w14:textId="77777777" w:rsidR="00A5513E" w:rsidRPr="00364545" w:rsidRDefault="00A5513E" w:rsidP="00BE086C">
      <w:pPr>
        <w:numPr>
          <w:ilvl w:val="0"/>
          <w:numId w:val="19"/>
        </w:numPr>
        <w:spacing w:before="240" w:after="240"/>
      </w:pPr>
      <w:r w:rsidRPr="00364545">
        <w:rPr>
          <w:b/>
          <w:bCs/>
        </w:rPr>
        <w:t>Roll-out of bio-waste separation at source</w:t>
      </w:r>
      <w:r w:rsidRPr="00364545">
        <w:t xml:space="preserve"> for households by 2025; </w:t>
      </w:r>
    </w:p>
    <w:p w14:paraId="46C2C752" w14:textId="77777777" w:rsidR="00A5513E" w:rsidRPr="00364545" w:rsidRDefault="00A5513E" w:rsidP="00BE086C">
      <w:pPr>
        <w:numPr>
          <w:ilvl w:val="0"/>
          <w:numId w:val="19"/>
        </w:numPr>
        <w:spacing w:before="240" w:after="240"/>
      </w:pPr>
      <w:r w:rsidRPr="00364545">
        <w:t xml:space="preserve">Deployment of </w:t>
      </w:r>
      <w:r w:rsidRPr="00364545">
        <w:rPr>
          <w:b/>
          <w:bCs/>
        </w:rPr>
        <w:t>incentive-based pricing for the collection of household and similar waste</w:t>
      </w:r>
      <w:r w:rsidRPr="00364545">
        <w:t xml:space="preserve">, i.e. introducing a variable part in the household waste collection tax to reward good sorting; </w:t>
      </w:r>
    </w:p>
    <w:p w14:paraId="39655E12" w14:textId="77777777" w:rsidR="00A5513E" w:rsidRPr="00364545" w:rsidRDefault="00A5513E" w:rsidP="00BE086C">
      <w:pPr>
        <w:numPr>
          <w:ilvl w:val="0"/>
          <w:numId w:val="19"/>
        </w:numPr>
        <w:spacing w:before="240" w:after="240"/>
      </w:pPr>
      <w:r w:rsidRPr="00364545">
        <w:rPr>
          <w:b/>
          <w:bCs/>
        </w:rPr>
        <w:t>Extension of sorting instructions for household packaging to all plastic packaging</w:t>
      </w:r>
      <w:r w:rsidRPr="00364545">
        <w:t xml:space="preserve"> by 2022, including plastic films and containers (until now, only plastic bottles and flasks had to be sorted); </w:t>
      </w:r>
    </w:p>
    <w:p w14:paraId="00D6A4BF" w14:textId="77777777" w:rsidR="00A5513E" w:rsidRPr="00364545" w:rsidRDefault="00A5513E" w:rsidP="00BE086C">
      <w:pPr>
        <w:numPr>
          <w:ilvl w:val="0"/>
          <w:numId w:val="19"/>
        </w:numPr>
        <w:spacing w:before="240" w:after="240"/>
      </w:pPr>
      <w:r w:rsidRPr="00364545">
        <w:rPr>
          <w:b/>
          <w:bCs/>
        </w:rPr>
        <w:t>Gradual harmonisation of sorting instructions and bin colours</w:t>
      </w:r>
      <w:r w:rsidRPr="00364545">
        <w:t xml:space="preserve"> in France</w:t>
      </w:r>
    </w:p>
    <w:p w14:paraId="457ADC73" w14:textId="3C6F7D67" w:rsidR="00A5513E" w:rsidRPr="00364545" w:rsidRDefault="00A5513E" w:rsidP="00BE086C">
      <w:pPr>
        <w:numPr>
          <w:ilvl w:val="0"/>
          <w:numId w:val="19"/>
        </w:numPr>
        <w:spacing w:before="240" w:after="240"/>
      </w:pPr>
      <w:r w:rsidRPr="00364545">
        <w:t xml:space="preserve">Setting up, as of 1 January 2017, </w:t>
      </w:r>
      <w:r w:rsidRPr="00364545">
        <w:rPr>
          <w:b/>
        </w:rPr>
        <w:t xml:space="preserve">a network of professional building and civil engineering waste collection centres </w:t>
      </w:r>
      <w:r w:rsidRPr="00364545">
        <w:t xml:space="preserve">under the responsibility of building materials distributors, to take back pre-sorted waste from their customers. </w:t>
      </w:r>
    </w:p>
    <w:p w14:paraId="1567EFF0" w14:textId="1C2AA84B" w:rsidR="00A5513E" w:rsidRPr="00364545" w:rsidRDefault="00A5513E" w:rsidP="00A5513E">
      <w:pPr>
        <w:spacing w:before="240" w:after="240"/>
      </w:pPr>
      <w:r w:rsidRPr="00364545">
        <w:t xml:space="preserve">The </w:t>
      </w:r>
      <w:r w:rsidRPr="00364545">
        <w:rPr>
          <w:b/>
          <w:bCs/>
        </w:rPr>
        <w:t>waste component of the general tax on polluting activities</w:t>
      </w:r>
      <w:r w:rsidRPr="00364545">
        <w:t xml:space="preserve"> (TGAP) is an incentive tax payable by anyone using a landfill (storage facility) or an incinerator (waste thermal treatment facility) subject to authorisation. The tax is triggered when the waste is received by the operator of the facility and aims to reduce the quantity of waste produced upstream and encourage recycling. The TGAP waste rates are regularly increased in order to reinforce its incentive character. In addition, the TGAP rate for non-hazardous waste is adjusted depending on environmental and energy criteria for landfills and incinerators, in order to encourage the use of facilities with the highest environmental and recovery performance. </w:t>
      </w:r>
    </w:p>
    <w:p w14:paraId="4F6C860E" w14:textId="77777777" w:rsidR="00A5513E" w:rsidRPr="00364545" w:rsidRDefault="00A5513E" w:rsidP="00A5513E">
      <w:pPr>
        <w:spacing w:before="240" w:after="240"/>
      </w:pPr>
      <w:r w:rsidRPr="00364545">
        <w:rPr>
          <w:b/>
          <w:bCs/>
        </w:rPr>
        <w:t xml:space="preserve">Ademe’s waste fund </w:t>
      </w:r>
      <w:r w:rsidRPr="00364545">
        <w:t xml:space="preserve">aims to support all operations that contribute to the implementation of the waste policy and the circular economy. The waste fund is financed by revenues from the TGAP waste tax. The level of this fund allows Ademe to offer support to most operations contributing to this policy, according to the terms and conditions depending on the nature of the operations (studies, organisation, awareness-raising, investment etc.) and their objective (prevention, recycling, recovery etc.) The main actions involve: sorting biowaste at source by households and companies, preventing the production of waste from economic activities and its sorting, and incentive pricing for the public waste management service. </w:t>
      </w:r>
    </w:p>
    <w:p w14:paraId="115FA5F3" w14:textId="77777777" w:rsidR="00A5513E" w:rsidRPr="00364545" w:rsidRDefault="00A5513E" w:rsidP="00A5513E">
      <w:pPr>
        <w:spacing w:before="240" w:after="240"/>
      </w:pPr>
      <w:r w:rsidRPr="00364545">
        <w:t xml:space="preserve">The </w:t>
      </w:r>
      <w:r w:rsidRPr="00364545">
        <w:rPr>
          <w:b/>
          <w:bCs/>
        </w:rPr>
        <w:t>circular economy roadmap</w:t>
      </w:r>
      <w:r w:rsidRPr="00364545">
        <w:t xml:space="preserve">, published in April 2018, aims to produce better (eco-design, incorporation of recycled materials), consume better (development of reuse and repair, extension of product lifespan), manage waste better (optimisation of waste sorting, development of recycling and recovery) and mobilise all players. </w:t>
      </w:r>
    </w:p>
    <w:p w14:paraId="1D6E0D1B" w14:textId="77777777" w:rsidR="00A5513E" w:rsidRPr="00364545" w:rsidRDefault="00A5513E" w:rsidP="00A5513E">
      <w:pPr>
        <w:spacing w:before="240" w:after="240"/>
      </w:pPr>
      <w:r w:rsidRPr="00364545">
        <w:t xml:space="preserve">Following up on this 2018 circular economy roadmap, the </w:t>
      </w:r>
      <w:r w:rsidRPr="00364545">
        <w:rPr>
          <w:b/>
          <w:bCs/>
        </w:rPr>
        <w:t>AGEC law</w:t>
      </w:r>
      <w:r w:rsidRPr="00364545">
        <w:t xml:space="preserve"> aims to put in place a set of measures based on four main guidelines: ending waste to preserve natural resources, mobilising manufacturers to transform production methods, strengthening consumer information and improving waste collection and combating illegal dumping:</w:t>
      </w:r>
    </w:p>
    <w:p w14:paraId="21F996A2" w14:textId="77777777" w:rsidR="00A5513E" w:rsidRPr="00364545" w:rsidRDefault="00A5513E" w:rsidP="00BE086C">
      <w:pPr>
        <w:numPr>
          <w:ilvl w:val="0"/>
          <w:numId w:val="15"/>
        </w:numPr>
        <w:spacing w:before="240" w:after="240"/>
      </w:pPr>
      <w:r w:rsidRPr="00364545">
        <w:t>To stop waste, the law provides for the implementation of bans on the destruction of unsold products, the introduction of consumer information on the availability (or not) of spare parts to encourage repair, and reinforcement of the waste diagnosis that must be carried out by the project owner upstream of the construction site for better management of building waste;</w:t>
      </w:r>
    </w:p>
    <w:p w14:paraId="7F1485D0" w14:textId="77777777" w:rsidR="00A5513E" w:rsidRPr="00364545" w:rsidRDefault="00A5513E" w:rsidP="00BE086C">
      <w:pPr>
        <w:numPr>
          <w:ilvl w:val="0"/>
          <w:numId w:val="15"/>
        </w:numPr>
        <w:spacing w:before="240" w:after="240"/>
      </w:pPr>
      <w:r w:rsidRPr="00364545">
        <w:t>To transform production methods, a bonus-malus system will be introduced on the contribution that manufacturers pay for the management and processing of the end-of-life of their products in order to reward eco-designed products, and ERP schemes will be extended to new products (toys, cigarettes, sports goods);</w:t>
      </w:r>
    </w:p>
    <w:p w14:paraId="515E68E8" w14:textId="77777777" w:rsidR="00A5513E" w:rsidRPr="00364545" w:rsidRDefault="00A5513E" w:rsidP="00BE086C">
      <w:pPr>
        <w:numPr>
          <w:ilvl w:val="0"/>
          <w:numId w:val="15"/>
        </w:numPr>
        <w:spacing w:before="240" w:after="240"/>
      </w:pPr>
      <w:r w:rsidRPr="00364545">
        <w:t>To improve consumption, a reparability index to inform consumers will be put in place on a number of electrical and electronic consumer products, and sorting will be made more efficient thanks to a single logo and harmonisation of the colours of sorting bins.</w:t>
      </w:r>
    </w:p>
    <w:p w14:paraId="2DEB7F4C" w14:textId="77777777" w:rsidR="00A5513E" w:rsidRPr="00364545" w:rsidRDefault="00A5513E" w:rsidP="00BE086C">
      <w:pPr>
        <w:numPr>
          <w:ilvl w:val="0"/>
          <w:numId w:val="15"/>
        </w:numPr>
        <w:spacing w:before="240" w:after="240"/>
      </w:pPr>
      <w:r w:rsidRPr="00364545">
        <w:t>Waste collection will be improved by making deposit systems available to the French, obliging distributors to take back old appliances free of charge, and structuring the sector for the management of construction waste.</w:t>
      </w:r>
    </w:p>
    <w:p w14:paraId="3E7F597B" w14:textId="77777777" w:rsidR="00A5513E" w:rsidRPr="00364545" w:rsidRDefault="00A5513E" w:rsidP="00A5513E">
      <w:pPr>
        <w:spacing w:before="240" w:after="240"/>
      </w:pPr>
      <w:r w:rsidRPr="00364545">
        <w:t>These measures will have a positive effect in terms of reducing greenhouse gases through changes in production and consumption patterns. They will also have a positive impact in terms of reducing the amount of material produced, through better reuse of materials. Finally, the gradual disappearance of single-use plastic will help curb plastic pollution of the environment and its impact on biodiversity.</w:t>
      </w:r>
    </w:p>
    <w:p w14:paraId="3698997A" w14:textId="77777777" w:rsidR="00A5513E" w:rsidRPr="00364545" w:rsidRDefault="00A5513E" w:rsidP="00A5513E">
      <w:pPr>
        <w:spacing w:before="240" w:after="240"/>
      </w:pPr>
      <w:r w:rsidRPr="00364545">
        <w:t xml:space="preserve">In the National Packaging Pact, signed in February 2019, </w:t>
      </w:r>
      <w:r w:rsidRPr="00364545">
        <w:rPr>
          <w:b/>
          <w:bCs/>
        </w:rPr>
        <w:t>signatory companies committed to reducing their use of plastic</w:t>
      </w:r>
      <w:r w:rsidRPr="00364545">
        <w:t xml:space="preserve"> (and therefore reducing the amount of waste produced) and subscribed to a shared vision of the circular economy with NGOs.</w:t>
      </w:r>
    </w:p>
    <w:p w14:paraId="1744B657" w14:textId="2D4C5C0C" w:rsidR="00A5513E" w:rsidRPr="00364545" w:rsidRDefault="00A5513E" w:rsidP="003F57EA">
      <w:pPr>
        <w:pStyle w:val="Titre3Niveau3"/>
      </w:pPr>
      <w:bookmarkStart w:id="475" w:name="_Toc120889892"/>
      <w:bookmarkStart w:id="476" w:name="_Toc138341834"/>
      <w:r w:rsidRPr="00364545">
        <w:t>Cross-sector policies and measures</w:t>
      </w:r>
      <w:bookmarkEnd w:id="475"/>
      <w:bookmarkEnd w:id="476"/>
    </w:p>
    <w:p w14:paraId="4213D2FD" w14:textId="77777777" w:rsidR="00A5513E" w:rsidRPr="00364545" w:rsidRDefault="00A5513E" w:rsidP="00EF6DB6">
      <w:pPr>
        <w:pStyle w:val="Titre4niveau4"/>
      </w:pPr>
      <w:r w:rsidRPr="00364545">
        <w:t xml:space="preserve">Policies and measures affecting all sectors </w:t>
      </w:r>
    </w:p>
    <w:p w14:paraId="0D921445" w14:textId="77777777" w:rsidR="00A5513E" w:rsidRPr="00364545" w:rsidRDefault="00A5513E" w:rsidP="00A5513E">
      <w:pPr>
        <w:spacing w:before="240" w:after="240"/>
      </w:pPr>
      <w:r w:rsidRPr="00364545">
        <w:t xml:space="preserve">Policies and measures that impact on all sectors are those that affect businesses and authorities. They are also likely to have an impact on all greenhouse gases. </w:t>
      </w:r>
    </w:p>
    <w:p w14:paraId="3820652C" w14:textId="779E393C" w:rsidR="00A5513E" w:rsidRPr="00364545" w:rsidRDefault="00A5513E" w:rsidP="00A5513E">
      <w:pPr>
        <w:spacing w:before="240" w:after="240"/>
      </w:pPr>
      <w:r w:rsidRPr="00364545">
        <w:t xml:space="preserve">Since 2012, an obligation to carry out a </w:t>
      </w:r>
      <w:r w:rsidRPr="00364545">
        <w:rPr>
          <w:b/>
          <w:bCs/>
        </w:rPr>
        <w:t>greenhouse gas emissions assessment</w:t>
      </w:r>
      <w:r w:rsidRPr="00364545">
        <w:t xml:space="preserve"> and an action plan to reduce them has applied to businesses with more than 500 employees, authorities with more than 50,000 inhabitants, public institutions with more than 250 employees and government departments. The assessment and action plan must be carried out every three years in the case of authorities and public institutions and every four years in the case of businesses, subject to penalty of fines. This is a diagnostic approach to greenhouse gas emissions at the level of an organisation (private or public), carried out with a view to identifying and mobilising sources of emissions reduction. Since Decree no 2022-982 of 1 July 2022, the regulation makes it compulsory to calculate all direct emissions (scope 1) and significant indirect emissions (scopes 2 and 3) for most of the obliged parties. A methodological guide for carrying out the assessment is available to organisations free of charge. Furthermore, an online platform for publishing the assessments was set up in 2015 to facilitate the publication and dissemination of this information to the public.</w:t>
      </w:r>
    </w:p>
    <w:p w14:paraId="4DD6151C" w14:textId="0C069BED" w:rsidR="00A5513E" w:rsidRPr="00364545" w:rsidRDefault="00A5513E" w:rsidP="00A5513E">
      <w:pPr>
        <w:spacing w:before="240" w:after="240"/>
      </w:pPr>
      <w:r w:rsidRPr="00364545">
        <w:t xml:space="preserve">The duties of companies in terms of social, environmental and societal responsibility have been reinforced by the Ecology Transition for Green Growth Law of August 2015, in terms of reporting obligations on climate change. Large companies must include information in their non-financial reporting on the significant greenhouse gas emissions generated by their activity, in particular through the use of the goods and services they produce, from the financial year ending 31 December 2016. The notion of significant emissions has therefore been adopted to lead the company to report on the impacts of its activity on climate change, both in terms of direct and indirect emissions, particularly those relating to the use of the goods and services it produces. </w:t>
      </w:r>
    </w:p>
    <w:p w14:paraId="28F4C1FE" w14:textId="77777777" w:rsidR="00A5513E" w:rsidRPr="00364545" w:rsidRDefault="00A5513E" w:rsidP="00A5513E">
      <w:pPr>
        <w:spacing w:before="240" w:after="240"/>
      </w:pPr>
      <w:r w:rsidRPr="00364545">
        <w:t xml:space="preserve">The same law also completed the regulatory framework relating to the disclosure by portfolio management companies of the environmental, social and governance (ESG) criteria taken into account in their investment policy. Institutional investors must therefore publish information on their contribution to climate objectives and the financial risks associated with the energy and ecological transition. These obligations are applicable from the management reports published in 2017 for the year 2016. </w:t>
      </w:r>
    </w:p>
    <w:p w14:paraId="50C2F98D" w14:textId="77777777" w:rsidR="00A5513E" w:rsidRPr="00364545" w:rsidRDefault="00A5513E" w:rsidP="00A5513E">
      <w:pPr>
        <w:spacing w:before="240" w:after="240"/>
      </w:pPr>
      <w:r w:rsidRPr="00364545">
        <w:t xml:space="preserve">Since 2021, two </w:t>
      </w:r>
      <w:r w:rsidRPr="00364545">
        <w:rPr>
          <w:b/>
          <w:bCs/>
        </w:rPr>
        <w:t>environmental cross-compliance mechanisms for public aid</w:t>
      </w:r>
      <w:r w:rsidRPr="00364545">
        <w:t xml:space="preserve"> have also been introduced:</w:t>
      </w:r>
    </w:p>
    <w:p w14:paraId="62EC6C9D" w14:textId="77777777" w:rsidR="00A5513E" w:rsidRPr="00364545" w:rsidRDefault="00A5513E" w:rsidP="00BE086C">
      <w:pPr>
        <w:numPr>
          <w:ilvl w:val="0"/>
          <w:numId w:val="9"/>
        </w:numPr>
        <w:spacing w:before="240" w:after="240"/>
      </w:pPr>
      <w:r w:rsidRPr="00364545">
        <w:t>Article 66 of Law no. 2020-935 of 30 July 2020 stipulates that companies with a turnover of more than €500 million subject to the extra-financial performance declaration (DPEF) obligation and benefiting from state help as part of the emergency plan put in place by the government to deal with the health crisis, must subscribe to commitments to reduce their greenhouse gas emissions. These commitments must be established in line with the sectoral carbon budgets set by the National Low Carbon Strategy. They are broken down into an action plan and are monitored annually, all in a public setting;</w:t>
      </w:r>
    </w:p>
    <w:p w14:paraId="230FAD6F" w14:textId="77777777" w:rsidR="00A5513E" w:rsidRPr="00364545" w:rsidRDefault="00A5513E" w:rsidP="00BE086C">
      <w:pPr>
        <w:numPr>
          <w:ilvl w:val="0"/>
          <w:numId w:val="9"/>
        </w:numPr>
        <w:spacing w:before="240" w:after="240"/>
      </w:pPr>
      <w:r w:rsidRPr="00364545">
        <w:t xml:space="preserve">Article 244 of Law no. 2020-1721 of 29 December 2020 provides for the introduction of a simplified greenhouse gas emissions assessment for legal entities under private law benefiting from credits under the recovery plan following the health crisis. This reporting differs from the system of greenhouse gas emissions assessments (BEGES), governed by Article L. 229-25 of the Environmental Code, both in terms of the scope of the obliged parties and the scope of the emissions to be taken into account: </w:t>
      </w:r>
    </w:p>
    <w:p w14:paraId="2B7D5278" w14:textId="77777777" w:rsidR="00A5513E" w:rsidRPr="00364545" w:rsidRDefault="00A5513E" w:rsidP="00BE086C">
      <w:pPr>
        <w:numPr>
          <w:ilvl w:val="1"/>
          <w:numId w:val="9"/>
        </w:numPr>
        <w:spacing w:before="240" w:after="240"/>
      </w:pPr>
      <w:r w:rsidRPr="00364545">
        <w:t>This applies only to companies that are not subject to the BEGES and have between 50 and 500 employees (the BEGES applies to legal entities under private law with more than 500 employees);</w:t>
      </w:r>
    </w:p>
    <w:p w14:paraId="01D18297" w14:textId="77777777" w:rsidR="00A5513E" w:rsidRPr="00364545" w:rsidRDefault="00A5513E" w:rsidP="00BE086C">
      <w:pPr>
        <w:pStyle w:val="ListParagraph"/>
        <w:numPr>
          <w:ilvl w:val="1"/>
          <w:numId w:val="9"/>
        </w:numPr>
        <w:spacing w:before="240" w:after="240"/>
      </w:pPr>
      <w:r w:rsidRPr="00364545">
        <w:t>Only direct emissions from fixed and mobile energy sources necessary for the activities of the legal entity should be estimated.</w:t>
      </w:r>
    </w:p>
    <w:p w14:paraId="5D8B88C9" w14:textId="1989916C" w:rsidR="00A5513E" w:rsidRPr="00364545" w:rsidRDefault="00A5513E" w:rsidP="00A5513E">
      <w:pPr>
        <w:spacing w:before="240" w:after="240"/>
      </w:pPr>
      <w:r w:rsidRPr="00364545">
        <w:t>In addition, Decree nos. 2002-538 and 2022-539 of 13 April 2022 provide that from 1 January 2023, advertisers will be prohibited from stating in an advert that a product or service is “carbon neutral” without presenting a greenhouse gas emission assessment over the entire life cycle of the product or service, the planned emissions reduction trajectory, as well as the methods for offsetting residual emissions. These elements must be easily accessible to the public and updated every year. This mechanism, provided for in Article 12 of the Climate and Resilience Law, aims to guarantee complete information to the public on “carbon neutral” claims and will help to gradually strengthen the commitments of advertisers while combating greenwashing.</w:t>
      </w:r>
    </w:p>
    <w:p w14:paraId="4D0B6E1F" w14:textId="77777777" w:rsidR="00A5513E" w:rsidRPr="00364545" w:rsidRDefault="00A5513E" w:rsidP="00A5513E">
      <w:pPr>
        <w:spacing w:before="240" w:after="240"/>
      </w:pPr>
      <w:r w:rsidRPr="00364545">
        <w:t>As far as local authorities are concerned, their climate action is based on territorial planning tools: the Regional Schemes for Planning, Sustainable Development and Equality of Territories (SRADDET) for the regions, and the Territorial Climate-Air-Energy Plans (PCAET) for inter-municipal authorities with more than 20,000 inhabitants (see section A.1. Institutional foundations).</w:t>
      </w:r>
    </w:p>
    <w:p w14:paraId="4A8C89B5" w14:textId="77777777" w:rsidR="00A5513E" w:rsidRPr="00364545" w:rsidRDefault="00A5513E" w:rsidP="00EF6DB6">
      <w:pPr>
        <w:pStyle w:val="Titre4niveau4"/>
      </w:pPr>
      <w:r w:rsidRPr="00364545">
        <w:t xml:space="preserve">Cross-cutting policies and measures on F-Gases </w:t>
      </w:r>
    </w:p>
    <w:p w14:paraId="0C8BB48E" w14:textId="0DA063FF" w:rsidR="00A5513E" w:rsidRPr="00364545" w:rsidRDefault="00A5513E" w:rsidP="00A5513E">
      <w:pPr>
        <w:spacing w:before="240" w:after="240"/>
      </w:pPr>
      <w:r w:rsidRPr="00364545">
        <w:t xml:space="preserve">EU Regulation no. 517/2014 (so called “F-Gas II”) puts in place a number of provisions to reduce F-gas emissions from refrigeration and air conditioning equipment used in the construction industry, manufacturing and refrigerated transport. It came into force on 1 January 2015 and repeals and replaces Regulation no. 842/2006 (the so-called “F-Gas” Regulation). It is based on the following provisions: </w:t>
      </w:r>
    </w:p>
    <w:p w14:paraId="669A7038" w14:textId="77777777" w:rsidR="00A5513E" w:rsidRPr="00364545" w:rsidRDefault="00A5513E" w:rsidP="00BE086C">
      <w:pPr>
        <w:numPr>
          <w:ilvl w:val="0"/>
          <w:numId w:val="15"/>
        </w:numPr>
        <w:spacing w:before="240" w:after="240"/>
      </w:pPr>
      <w:r w:rsidRPr="00364545">
        <w:t xml:space="preserve">The reinforcement of obligations related to the containment of equipment (leakage checks, repair obligations), to the certification of personnel handling HFCs, and to the obligation of recovery during maintenance and dismantling of equipment; </w:t>
      </w:r>
    </w:p>
    <w:p w14:paraId="4DCFFCDE" w14:textId="5D28D7F8" w:rsidR="00A5513E" w:rsidRPr="00364545" w:rsidRDefault="00A5513E" w:rsidP="00BE086C">
      <w:pPr>
        <w:numPr>
          <w:ilvl w:val="0"/>
          <w:numId w:val="15"/>
        </w:numPr>
        <w:spacing w:before="240" w:after="240"/>
      </w:pPr>
      <w:r w:rsidRPr="00364545">
        <w:t>The introduction of a mechanism for the phased reduction of the quantities of HFCs placed on the market from 2015 to 2030 via a quota system. In 2030, the total amount of HFCs placed on the market, in CO</w:t>
      </w:r>
      <w:r w:rsidRPr="00364545">
        <w:rPr>
          <w:vertAlign w:val="subscript"/>
        </w:rPr>
        <w:t>2</w:t>
      </w:r>
      <w:r w:rsidRPr="00364545">
        <w:t xml:space="preserve"> equivalent, should be 21% of the average level between 2009 and 2012; </w:t>
      </w:r>
    </w:p>
    <w:p w14:paraId="3F24B966" w14:textId="77777777" w:rsidR="00A5513E" w:rsidRPr="00364545" w:rsidRDefault="00A5513E" w:rsidP="00BE086C">
      <w:pPr>
        <w:numPr>
          <w:ilvl w:val="0"/>
          <w:numId w:val="15"/>
        </w:numPr>
        <w:spacing w:before="240" w:after="240"/>
      </w:pPr>
      <w:r w:rsidRPr="00364545">
        <w:t xml:space="preserve">Sectoral bans on the placing on the market of products and equipment containing F-gases above a certain GWP; </w:t>
      </w:r>
    </w:p>
    <w:p w14:paraId="7EE95558" w14:textId="02F236FD" w:rsidR="00A5513E" w:rsidRPr="00364545" w:rsidRDefault="00A5513E" w:rsidP="00BE086C">
      <w:pPr>
        <w:numPr>
          <w:ilvl w:val="0"/>
          <w:numId w:val="15"/>
        </w:numPr>
        <w:spacing w:before="240" w:after="240"/>
      </w:pPr>
      <w:r w:rsidRPr="00364545">
        <w:t xml:space="preserve">A ban on the maintenance of refrigeration installations with new fluids with a GWP of more than 2500 from 1 January 2020. </w:t>
      </w:r>
    </w:p>
    <w:p w14:paraId="587C0242" w14:textId="77777777" w:rsidR="00A5513E" w:rsidRPr="00364545" w:rsidRDefault="00A5513E" w:rsidP="00A5513E">
      <w:r w:rsidRPr="00364545">
        <w:t>The revision of this "F-Gas" regulation is underway in order to further reduce the production and placing on the market of fluorinated greenhouse gases in the European Union. The proposal currently being discussed between Member States notably provides for a decrease of 95% on the marketing of HFCs by 2030 compared to 2015 (compared to 80% according to the F-Gas regulation currently in place).</w:t>
      </w:r>
    </w:p>
    <w:p w14:paraId="0DF37DE4" w14:textId="7695806B" w:rsidR="00D534C6" w:rsidRPr="00364545" w:rsidRDefault="00A5513E" w:rsidP="001C2896">
      <w:pPr>
        <w:spacing w:before="240" w:after="240"/>
      </w:pPr>
      <w:r w:rsidRPr="00364545">
        <w:t>In addition, on 29 March 2018, France ratified the Kigali amendment to the Montreal Protocol on Substances that Deplete the Ozone Layer. While the Kigali Amendment supports broadly the same objectives as the EU F-gas II Regulation, it covers a longer commitment period up to 2036 (the F-gas II Regulation goes to 2030).</w:t>
      </w:r>
    </w:p>
    <w:p w14:paraId="78DC9557" w14:textId="1BAE14F6" w:rsidR="00A5513E" w:rsidRPr="00364545" w:rsidRDefault="00D534C6" w:rsidP="00E22CF8">
      <w:pPr>
        <w:pStyle w:val="Titre2Niveau2"/>
      </w:pPr>
      <w:bookmarkStart w:id="477" w:name="_Toc138341835"/>
      <w:r w:rsidRPr="00364545">
        <w:t>Policies and measures implemented in accordance with Article 2 of the Kyoto Protocol</w:t>
      </w:r>
      <w:bookmarkEnd w:id="477"/>
    </w:p>
    <w:p w14:paraId="0F2DF9FE" w14:textId="2421A5B6" w:rsidR="00D534C6" w:rsidRPr="00364545" w:rsidRDefault="00D534C6" w:rsidP="003F57EA">
      <w:pPr>
        <w:pStyle w:val="Titre3Niveau3"/>
      </w:pPr>
      <w:bookmarkStart w:id="478" w:name="_Toc138341836"/>
      <w:bookmarkStart w:id="479" w:name="ChapitreV"/>
      <w:r w:rsidRPr="00364545">
        <w:t>Policies and measures relating to international bunkers (Article 2.2)</w:t>
      </w:r>
      <w:bookmarkEnd w:id="478"/>
    </w:p>
    <w:p w14:paraId="23E65E4A" w14:textId="0453431C" w:rsidR="009C793D" w:rsidRPr="00364545" w:rsidRDefault="009C793D" w:rsidP="009C793D">
      <w:r w:rsidRPr="00364545">
        <w:t>France supports the work of the ICAO and the IMO to establish a global mechanism to reduce emissions from international aviation and shipping.</w:t>
      </w:r>
    </w:p>
    <w:p w14:paraId="61EC54FA" w14:textId="3F11BD80" w:rsidR="009C793D" w:rsidRPr="00364545" w:rsidRDefault="009C793D" w:rsidP="009C793D">
      <w:r w:rsidRPr="00364545">
        <w:t>As described in section B.1 on policies and measures affecting emissions from international transport, the European Union has included aviation activities in the European system for trading</w:t>
      </w:r>
    </w:p>
    <w:p w14:paraId="006E6013" w14:textId="1DCC5C17" w:rsidR="009C793D" w:rsidRPr="00364545" w:rsidRDefault="009C793D" w:rsidP="009C793D">
      <w:r w:rsidRPr="00364545">
        <w:t>emissions quotas (Directive 2008/101/EC), and has established a monitoring, reporting and verification (MRV) system for CO</w:t>
      </w:r>
      <w:r w:rsidRPr="00364545">
        <w:rPr>
          <w:vertAlign w:val="subscript"/>
        </w:rPr>
        <w:t>2</w:t>
      </w:r>
      <w:r w:rsidRPr="00364545">
        <w:t xml:space="preserve"> emissions from ships (Regulation 757/2015).</w:t>
      </w:r>
    </w:p>
    <w:p w14:paraId="4323CD80" w14:textId="2421E167" w:rsidR="009C793D" w:rsidRPr="00364545" w:rsidRDefault="009C793D" w:rsidP="009C793D">
      <w:r w:rsidRPr="00364545">
        <w:t>Initially, the ETS was to include emissions from all flights to and from the European Economic Area (EEA). In 2013, in order to facilitate an international agreement at ICAO, the EU agreed to limit the scope of the European scheme to intra-EEA flights only until 2016 (the so-called "Stop the clock" decision). The adoption of the Carbon Offsetting and Reduction Scheme for International Aviation (CORSIA) by the ICAO Assembly in October 2016 has led the EU to propose the extension of the "Stop the Clock" beyond 2016, at least until 2020. Beyond 2020, the Aviation EU ETS is set to evolve to take account of the EU's 2030 climate targets and CORSIA's ability to meet some or all of these targets. Furthermore, France, like all EU Member States, will participate in CORSIA in its first phase between 2021 and 2026 (voluntary phase).</w:t>
      </w:r>
    </w:p>
    <w:p w14:paraId="39DEF229" w14:textId="439FB3BC" w:rsidR="009C793D" w:rsidRPr="00364545" w:rsidRDefault="009C793D" w:rsidP="009C793D">
      <w:r w:rsidRPr="00364545">
        <w:t>Regarding maritime transport, following the adoption of a global data collection system by the IMO in 2016, the European Commission decided to review the situation with a view to aligning the EU MRV with the IMO data collection system, pursuant to Article 22 of Regulation 757/2015 stating that: "In the event of an international agreement on the establishment of a global GHG monitoring, reporting and verification system, the Commission shall review this Regulation and, if appropriate, propose amendments to it in order to bring it into line with that international agreement". In September 2017, it launched a public consultation on the review of the policy on monitoring, reporting and verification of CO</w:t>
      </w:r>
      <w:r w:rsidRPr="00364545">
        <w:rPr>
          <w:vertAlign w:val="subscript"/>
        </w:rPr>
        <w:t>2</w:t>
      </w:r>
      <w:r w:rsidRPr="00364545">
        <w:t xml:space="preserve"> emissions from shipping. It may present a legislative proposal to amend the EU MRV system in 2018.</w:t>
      </w:r>
    </w:p>
    <w:p w14:paraId="23352A9A" w14:textId="7B69E813" w:rsidR="00D534C6" w:rsidRPr="00364545" w:rsidRDefault="00D534C6" w:rsidP="003F57EA">
      <w:pPr>
        <w:pStyle w:val="Titre3Niveau3"/>
      </w:pPr>
      <w:bookmarkStart w:id="480" w:name="_Toc138341837"/>
      <w:r w:rsidRPr="00364545">
        <w:t>Minimisation of adverse effects on developing countries of policies and measures implemented (Article 2.3)</w:t>
      </w:r>
      <w:bookmarkEnd w:id="480"/>
    </w:p>
    <w:p w14:paraId="02A7C936" w14:textId="05F2D259" w:rsidR="008A4310" w:rsidRPr="00364545" w:rsidRDefault="008A4310" w:rsidP="008A4310">
      <w:r w:rsidRPr="00364545">
        <w:t xml:space="preserve">In addition to the transfer of technology and expertise, France helps developing countries to strengthen and enhance their climate change observation systems through its climate observation network and its research and cooperation projects (see </w:t>
      </w:r>
      <w:hyperlink w:anchor="ChapitreVIII" w:history="1">
        <w:r w:rsidRPr="00364545">
          <w:rPr>
            <w:rStyle w:val="Hyperlink"/>
          </w:rPr>
          <w:t>Chapter VIII</w:t>
        </w:r>
      </w:hyperlink>
      <w:r w:rsidRPr="00364545">
        <w:t>).</w:t>
      </w:r>
    </w:p>
    <w:p w14:paraId="3F68D482" w14:textId="77777777" w:rsidR="008A4310" w:rsidRPr="00364545" w:rsidRDefault="008A4310" w:rsidP="008A4310">
      <w:r w:rsidRPr="00364545">
        <w:t xml:space="preserve">With regard to policies and measures put in place within the framework of European policies, France, as a Member State of the European Union, must transpose European law into its legislative system. In the process of adopting European policies, Europe has established a system for estimating the positive and negative impacts of these policies, including the effects on other countries in the context of impact studies. The consideration of these impact studies is a key element in the final decision to define the policy and measure. They make it possible to ensure that the negative impacts of a European policy on developing countries are minimised and to ensure that the French legislative provisions resulting from European law respect the commitment made in the framework of the Kyoto Protocol in accordance with its article 3.14. All these impact studies are made public on the website: </w:t>
      </w:r>
    </w:p>
    <w:p w14:paraId="6071CA47" w14:textId="723D2020" w:rsidR="008A4310" w:rsidRPr="00364545" w:rsidRDefault="003714FB" w:rsidP="008A4310">
      <w:hyperlink r:id="rId92" w:history="1">
        <w:r w:rsidR="00630688" w:rsidRPr="00364545">
          <w:rPr>
            <w:rStyle w:val="Hyperlink"/>
          </w:rPr>
          <w:t>http://ec.europa.eu/transparency/regdoc/?fuseaction=ia.</w:t>
        </w:r>
      </w:hyperlink>
    </w:p>
    <w:p w14:paraId="28F92321" w14:textId="4B3F4E24" w:rsidR="009C793D" w:rsidRPr="00364545" w:rsidRDefault="008A4310" w:rsidP="008A4310">
      <w:r w:rsidRPr="00364545">
        <w:t>The table below lists the estimated direct and indirect effects of some of France's climate policies and measures (positive effect in yellow and negative effect in blue).</w:t>
      </w:r>
    </w:p>
    <w:p w14:paraId="59D6AA72" w14:textId="77777777" w:rsidR="00D534C6" w:rsidRPr="00364545" w:rsidRDefault="00D534C6" w:rsidP="00D534C6">
      <w:pPr>
        <w:rPr>
          <w:rFonts w:eastAsiaTheme="majorEastAsia"/>
        </w:rPr>
      </w:pPr>
    </w:p>
    <w:p w14:paraId="6240A550" w14:textId="4D773F7C" w:rsidR="00D534C6" w:rsidRPr="00364545" w:rsidRDefault="00D534C6">
      <w:pPr>
        <w:spacing w:line="240" w:lineRule="atLeast"/>
        <w:jc w:val="left"/>
        <w:rPr>
          <w:rFonts w:eastAsiaTheme="majorEastAsia" w:cstheme="majorBidi"/>
          <w:bCs/>
          <w:spacing w:val="-10"/>
          <w:kern w:val="28"/>
          <w:sz w:val="48"/>
          <w:szCs w:val="56"/>
        </w:rPr>
      </w:pPr>
    </w:p>
    <w:tbl>
      <w:tblPr>
        <w:tblW w:w="4750" w:type="pct"/>
        <w:tblCellMar>
          <w:left w:w="70" w:type="dxa"/>
          <w:right w:w="70" w:type="dxa"/>
        </w:tblCellMar>
        <w:tblLook w:val="00A0" w:firstRow="1" w:lastRow="0" w:firstColumn="1" w:lastColumn="0" w:noHBand="0" w:noVBand="0"/>
      </w:tblPr>
      <w:tblGrid>
        <w:gridCol w:w="1159"/>
        <w:gridCol w:w="1340"/>
        <w:gridCol w:w="1484"/>
        <w:gridCol w:w="1584"/>
        <w:gridCol w:w="841"/>
        <w:gridCol w:w="1737"/>
        <w:gridCol w:w="1298"/>
      </w:tblGrid>
      <w:tr w:rsidR="00A84DD9" w:rsidRPr="00364545" w14:paraId="09922AF0" w14:textId="77777777" w:rsidTr="00A84DD9">
        <w:trPr>
          <w:trHeight w:val="300"/>
        </w:trPr>
        <w:tc>
          <w:tcPr>
            <w:tcW w:w="1412" w:type="dxa"/>
            <w:shd w:val="clear" w:color="auto" w:fill="auto"/>
            <w:vAlign w:val="center"/>
          </w:tcPr>
          <w:p w14:paraId="2DC69D78" w14:textId="77777777" w:rsidR="00A84DD9" w:rsidRPr="00364545" w:rsidRDefault="00A84DD9" w:rsidP="00B149A0">
            <w:pPr>
              <w:jc w:val="center"/>
              <w:rPr>
                <w:sz w:val="16"/>
                <w:szCs w:val="16"/>
              </w:rPr>
            </w:pPr>
          </w:p>
        </w:tc>
        <w:tc>
          <w:tcPr>
            <w:tcW w:w="6101" w:type="dxa"/>
            <w:gridSpan w:val="3"/>
            <w:tcBorders>
              <w:top w:val="single" w:sz="8" w:space="0" w:color="000001"/>
              <w:left w:val="single" w:sz="8" w:space="0" w:color="000001"/>
              <w:bottom w:val="single" w:sz="4" w:space="0" w:color="000001"/>
              <w:right w:val="single" w:sz="8" w:space="0" w:color="000001"/>
            </w:tcBorders>
            <w:shd w:val="clear" w:color="auto" w:fill="auto"/>
            <w:tcMar>
              <w:left w:w="20" w:type="dxa"/>
            </w:tcMar>
            <w:vAlign w:val="center"/>
          </w:tcPr>
          <w:p w14:paraId="3793C316" w14:textId="77777777" w:rsidR="00A84DD9" w:rsidRPr="00364545" w:rsidRDefault="00A84DD9" w:rsidP="00B149A0">
            <w:pPr>
              <w:jc w:val="center"/>
              <w:rPr>
                <w:b/>
                <w:bCs/>
                <w:sz w:val="16"/>
                <w:szCs w:val="16"/>
              </w:rPr>
            </w:pPr>
            <w:r w:rsidRPr="00364545">
              <w:rPr>
                <w:b/>
                <w:sz w:val="16"/>
              </w:rPr>
              <w:t>Direct effects</w:t>
            </w:r>
          </w:p>
        </w:tc>
        <w:tc>
          <w:tcPr>
            <w:tcW w:w="5789" w:type="dxa"/>
            <w:gridSpan w:val="3"/>
            <w:tcBorders>
              <w:top w:val="single" w:sz="8" w:space="0" w:color="000001"/>
              <w:left w:val="single" w:sz="8" w:space="0" w:color="000001"/>
              <w:bottom w:val="single" w:sz="4" w:space="0" w:color="000001"/>
              <w:right w:val="single" w:sz="8" w:space="0" w:color="000001"/>
            </w:tcBorders>
            <w:shd w:val="clear" w:color="auto" w:fill="auto"/>
            <w:tcMar>
              <w:left w:w="40" w:type="dxa"/>
            </w:tcMar>
            <w:vAlign w:val="center"/>
          </w:tcPr>
          <w:p w14:paraId="3AAFE933" w14:textId="77777777" w:rsidR="00A84DD9" w:rsidRPr="00364545" w:rsidRDefault="00A84DD9" w:rsidP="00B149A0">
            <w:pPr>
              <w:jc w:val="center"/>
              <w:rPr>
                <w:b/>
                <w:bCs/>
                <w:sz w:val="16"/>
                <w:szCs w:val="16"/>
              </w:rPr>
            </w:pPr>
            <w:r w:rsidRPr="00364545">
              <w:rPr>
                <w:b/>
                <w:sz w:val="16"/>
              </w:rPr>
              <w:t>Indirect effects</w:t>
            </w:r>
          </w:p>
        </w:tc>
      </w:tr>
      <w:tr w:rsidR="00A84DD9" w:rsidRPr="00364545" w14:paraId="11BFD37F" w14:textId="77777777" w:rsidTr="00A84DD9">
        <w:trPr>
          <w:trHeight w:val="300"/>
        </w:trPr>
        <w:tc>
          <w:tcPr>
            <w:tcW w:w="1412" w:type="dxa"/>
            <w:tcBorders>
              <w:top w:val="single" w:sz="4" w:space="0" w:color="000001"/>
              <w:left w:val="single" w:sz="4" w:space="0" w:color="000001"/>
              <w:bottom w:val="single" w:sz="4" w:space="0" w:color="000001"/>
            </w:tcBorders>
            <w:shd w:val="clear" w:color="auto" w:fill="auto"/>
            <w:tcMar>
              <w:left w:w="45" w:type="dxa"/>
            </w:tcMar>
            <w:vAlign w:val="center"/>
          </w:tcPr>
          <w:p w14:paraId="4785F1C2" w14:textId="77777777" w:rsidR="00A84DD9" w:rsidRPr="00364545" w:rsidRDefault="00A84DD9" w:rsidP="00B149A0">
            <w:pPr>
              <w:jc w:val="center"/>
              <w:rPr>
                <w:b/>
                <w:bCs/>
                <w:sz w:val="16"/>
                <w:szCs w:val="16"/>
              </w:rPr>
            </w:pPr>
            <w:r w:rsidRPr="00364545">
              <w:rPr>
                <w:b/>
                <w:sz w:val="16"/>
              </w:rPr>
              <w:t>Measure</w:t>
            </w:r>
          </w:p>
        </w:tc>
        <w:tc>
          <w:tcPr>
            <w:tcW w:w="1964" w:type="dxa"/>
            <w:tcBorders>
              <w:top w:val="single" w:sz="4" w:space="0" w:color="000001"/>
              <w:left w:val="single" w:sz="8" w:space="0" w:color="000001"/>
              <w:bottom w:val="single" w:sz="4" w:space="0" w:color="000001"/>
              <w:right w:val="single" w:sz="4" w:space="0" w:color="000001"/>
            </w:tcBorders>
            <w:shd w:val="clear" w:color="auto" w:fill="auto"/>
            <w:tcMar>
              <w:left w:w="20" w:type="dxa"/>
            </w:tcMar>
            <w:vAlign w:val="center"/>
          </w:tcPr>
          <w:p w14:paraId="78987EA2" w14:textId="77777777" w:rsidR="00A84DD9" w:rsidRPr="00364545" w:rsidRDefault="00A84DD9" w:rsidP="00B149A0">
            <w:pPr>
              <w:jc w:val="center"/>
              <w:rPr>
                <w:b/>
                <w:bCs/>
                <w:sz w:val="16"/>
                <w:szCs w:val="16"/>
              </w:rPr>
            </w:pPr>
            <w:r w:rsidRPr="00364545">
              <w:rPr>
                <w:b/>
                <w:sz w:val="16"/>
              </w:rPr>
              <w:t>Social</w:t>
            </w:r>
          </w:p>
        </w:tc>
        <w:tc>
          <w:tcPr>
            <w:tcW w:w="1938"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center"/>
          </w:tcPr>
          <w:p w14:paraId="0D3F00EB" w14:textId="77777777" w:rsidR="00A84DD9" w:rsidRPr="00364545" w:rsidRDefault="00A84DD9" w:rsidP="00B149A0">
            <w:pPr>
              <w:jc w:val="center"/>
              <w:rPr>
                <w:b/>
                <w:bCs/>
                <w:sz w:val="16"/>
                <w:szCs w:val="16"/>
              </w:rPr>
            </w:pPr>
            <w:r w:rsidRPr="00364545">
              <w:rPr>
                <w:b/>
                <w:sz w:val="16"/>
              </w:rPr>
              <w:t>Environmental</w:t>
            </w:r>
          </w:p>
        </w:tc>
        <w:tc>
          <w:tcPr>
            <w:tcW w:w="2198" w:type="dxa"/>
            <w:tcBorders>
              <w:top w:val="single" w:sz="4" w:space="0" w:color="000001"/>
              <w:left w:val="single" w:sz="8" w:space="0" w:color="000001"/>
              <w:bottom w:val="single" w:sz="4" w:space="0" w:color="000001"/>
              <w:right w:val="single" w:sz="8" w:space="0" w:color="000001"/>
            </w:tcBorders>
            <w:shd w:val="clear" w:color="auto" w:fill="auto"/>
            <w:tcMar>
              <w:left w:w="40" w:type="dxa"/>
            </w:tcMar>
            <w:vAlign w:val="center"/>
          </w:tcPr>
          <w:p w14:paraId="4512F8C9" w14:textId="77777777" w:rsidR="00A84DD9" w:rsidRPr="00364545" w:rsidRDefault="00A84DD9" w:rsidP="00B149A0">
            <w:pPr>
              <w:jc w:val="center"/>
              <w:rPr>
                <w:b/>
                <w:bCs/>
                <w:sz w:val="16"/>
                <w:szCs w:val="16"/>
              </w:rPr>
            </w:pPr>
            <w:r w:rsidRPr="00364545">
              <w:rPr>
                <w:b/>
                <w:sz w:val="16"/>
              </w:rPr>
              <w:t>Economic</w:t>
            </w:r>
          </w:p>
        </w:tc>
        <w:tc>
          <w:tcPr>
            <w:tcW w:w="1266"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center"/>
          </w:tcPr>
          <w:p w14:paraId="03DF0074" w14:textId="77777777" w:rsidR="00A84DD9" w:rsidRPr="00364545" w:rsidRDefault="00A84DD9" w:rsidP="00B149A0">
            <w:pPr>
              <w:jc w:val="center"/>
              <w:rPr>
                <w:b/>
                <w:bCs/>
                <w:sz w:val="16"/>
                <w:szCs w:val="16"/>
              </w:rPr>
            </w:pPr>
            <w:r w:rsidRPr="00364545">
              <w:rPr>
                <w:b/>
                <w:sz w:val="16"/>
              </w:rPr>
              <w:t>Social</w:t>
            </w:r>
          </w:p>
        </w:tc>
        <w:tc>
          <w:tcPr>
            <w:tcW w:w="2517"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center"/>
          </w:tcPr>
          <w:p w14:paraId="1D2115EB" w14:textId="77777777" w:rsidR="00A84DD9" w:rsidRPr="00364545" w:rsidRDefault="00A84DD9" w:rsidP="00B149A0">
            <w:pPr>
              <w:jc w:val="center"/>
              <w:rPr>
                <w:b/>
                <w:bCs/>
                <w:sz w:val="16"/>
                <w:szCs w:val="16"/>
              </w:rPr>
            </w:pPr>
            <w:r w:rsidRPr="00364545">
              <w:rPr>
                <w:b/>
                <w:sz w:val="16"/>
              </w:rPr>
              <w:t>Environmental</w:t>
            </w:r>
          </w:p>
        </w:tc>
        <w:tc>
          <w:tcPr>
            <w:tcW w:w="2007" w:type="dxa"/>
            <w:tcBorders>
              <w:top w:val="single" w:sz="4" w:space="0" w:color="000001"/>
              <w:left w:val="single" w:sz="8" w:space="0" w:color="000001"/>
              <w:bottom w:val="single" w:sz="4" w:space="0" w:color="000001"/>
              <w:right w:val="single" w:sz="8" w:space="0" w:color="000001"/>
            </w:tcBorders>
            <w:shd w:val="clear" w:color="auto" w:fill="auto"/>
            <w:tcMar>
              <w:left w:w="40" w:type="dxa"/>
            </w:tcMar>
            <w:vAlign w:val="center"/>
          </w:tcPr>
          <w:p w14:paraId="19529F8E" w14:textId="77777777" w:rsidR="00A84DD9" w:rsidRPr="00364545" w:rsidRDefault="00A84DD9" w:rsidP="00B149A0">
            <w:pPr>
              <w:jc w:val="center"/>
              <w:rPr>
                <w:b/>
                <w:bCs/>
                <w:sz w:val="16"/>
                <w:szCs w:val="16"/>
              </w:rPr>
            </w:pPr>
            <w:r w:rsidRPr="00364545">
              <w:rPr>
                <w:b/>
                <w:sz w:val="16"/>
              </w:rPr>
              <w:t>Economic</w:t>
            </w:r>
          </w:p>
        </w:tc>
      </w:tr>
      <w:tr w:rsidR="00A84DD9" w:rsidRPr="00364545" w14:paraId="1B5786AB" w14:textId="77777777" w:rsidTr="00A84DD9">
        <w:trPr>
          <w:trHeight w:val="1489"/>
        </w:trPr>
        <w:tc>
          <w:tcPr>
            <w:tcW w:w="1412" w:type="dxa"/>
            <w:tcBorders>
              <w:top w:val="single" w:sz="4" w:space="0" w:color="000001"/>
              <w:left w:val="single" w:sz="4" w:space="0" w:color="000001"/>
              <w:bottom w:val="single" w:sz="4" w:space="0" w:color="000001"/>
            </w:tcBorders>
            <w:shd w:val="clear" w:color="auto" w:fill="auto"/>
            <w:tcMar>
              <w:left w:w="45" w:type="dxa"/>
            </w:tcMar>
          </w:tcPr>
          <w:p w14:paraId="07215880" w14:textId="77777777" w:rsidR="00A84DD9" w:rsidRPr="00364545" w:rsidRDefault="00A84DD9" w:rsidP="00A84DD9">
            <w:pPr>
              <w:jc w:val="left"/>
              <w:rPr>
                <w:sz w:val="16"/>
                <w:szCs w:val="16"/>
              </w:rPr>
            </w:pPr>
            <w:r w:rsidRPr="00364545">
              <w:rPr>
                <w:sz w:val="16"/>
              </w:rPr>
              <w:t>European Emissions Trading Scheme</w:t>
            </w:r>
          </w:p>
        </w:tc>
        <w:tc>
          <w:tcPr>
            <w:tcW w:w="1964" w:type="dxa"/>
            <w:tcBorders>
              <w:top w:val="single" w:sz="4" w:space="0" w:color="000001"/>
              <w:left w:val="single" w:sz="8" w:space="0" w:color="000001"/>
              <w:bottom w:val="single" w:sz="4" w:space="0" w:color="000001"/>
              <w:right w:val="single" w:sz="4" w:space="0" w:color="000001"/>
            </w:tcBorders>
            <w:shd w:val="clear" w:color="auto" w:fill="auto"/>
            <w:tcMar>
              <w:left w:w="20" w:type="dxa"/>
            </w:tcMar>
            <w:vAlign w:val="bottom"/>
          </w:tcPr>
          <w:p w14:paraId="254CE42B" w14:textId="77777777" w:rsidR="00A84DD9" w:rsidRPr="00364545" w:rsidRDefault="00A84DD9" w:rsidP="006956FA">
            <w:pPr>
              <w:jc w:val="left"/>
              <w:rPr>
                <w:sz w:val="16"/>
                <w:szCs w:val="16"/>
              </w:rPr>
            </w:pPr>
            <w:r w:rsidRPr="00364545">
              <w:rPr>
                <w:sz w:val="16"/>
              </w:rPr>
              <w:t> </w:t>
            </w:r>
          </w:p>
        </w:tc>
        <w:tc>
          <w:tcPr>
            <w:tcW w:w="1938"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14:paraId="11DA0BE8" w14:textId="77777777" w:rsidR="00A84DD9" w:rsidRPr="00364545" w:rsidRDefault="00A84DD9" w:rsidP="006956FA">
            <w:pPr>
              <w:jc w:val="left"/>
              <w:rPr>
                <w:sz w:val="16"/>
                <w:szCs w:val="16"/>
              </w:rPr>
            </w:pPr>
            <w:r w:rsidRPr="00364545">
              <w:rPr>
                <w:sz w:val="16"/>
              </w:rPr>
              <w:t> </w:t>
            </w:r>
          </w:p>
        </w:tc>
        <w:tc>
          <w:tcPr>
            <w:tcW w:w="2198" w:type="dxa"/>
            <w:tcBorders>
              <w:top w:val="single" w:sz="4" w:space="0" w:color="000001"/>
              <w:left w:val="single" w:sz="8" w:space="0" w:color="000001"/>
              <w:bottom w:val="single" w:sz="4" w:space="0" w:color="000001"/>
              <w:right w:val="single" w:sz="8" w:space="0" w:color="000001"/>
            </w:tcBorders>
            <w:shd w:val="clear" w:color="auto" w:fill="E6D3C5" w:themeFill="accent6" w:themeFillTint="33"/>
            <w:tcMar>
              <w:left w:w="40" w:type="dxa"/>
            </w:tcMar>
          </w:tcPr>
          <w:p w14:paraId="7507854A" w14:textId="77777777" w:rsidR="00A84DD9" w:rsidRPr="00364545" w:rsidRDefault="00A84DD9" w:rsidP="006956FA">
            <w:pPr>
              <w:jc w:val="left"/>
              <w:rPr>
                <w:sz w:val="16"/>
                <w:szCs w:val="16"/>
              </w:rPr>
            </w:pPr>
            <w:r w:rsidRPr="00364545">
              <w:rPr>
                <w:sz w:val="16"/>
              </w:rPr>
              <w:t>Potentially positive economic effect on countries outside the European Union in the event of a difference in competitiveness induced by the introduction of a price signal on carbon for European economic activities</w:t>
            </w:r>
          </w:p>
        </w:tc>
        <w:tc>
          <w:tcPr>
            <w:tcW w:w="126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14:paraId="3C91690F" w14:textId="77777777" w:rsidR="00A84DD9" w:rsidRPr="00364545" w:rsidRDefault="00A84DD9" w:rsidP="006956FA">
            <w:pPr>
              <w:jc w:val="left"/>
              <w:rPr>
                <w:sz w:val="16"/>
                <w:szCs w:val="16"/>
              </w:rPr>
            </w:pPr>
            <w:r w:rsidRPr="00364545">
              <w:rPr>
                <w:sz w:val="16"/>
              </w:rPr>
              <w:t> </w:t>
            </w:r>
          </w:p>
        </w:tc>
        <w:tc>
          <w:tcPr>
            <w:tcW w:w="2517" w:type="dxa"/>
            <w:tcBorders>
              <w:top w:val="single" w:sz="4" w:space="0" w:color="000001"/>
              <w:left w:val="single" w:sz="4" w:space="0" w:color="000001"/>
              <w:bottom w:val="single" w:sz="4" w:space="0" w:color="000001"/>
              <w:right w:val="single" w:sz="4" w:space="0" w:color="000001"/>
            </w:tcBorders>
            <w:shd w:val="clear" w:color="auto" w:fill="E6D3C5" w:themeFill="accent6" w:themeFillTint="33"/>
            <w:tcMar>
              <w:left w:w="55" w:type="dxa"/>
            </w:tcMar>
          </w:tcPr>
          <w:p w14:paraId="317843FC" w14:textId="77777777" w:rsidR="00A84DD9" w:rsidRPr="00364545" w:rsidRDefault="00A84DD9" w:rsidP="006956FA">
            <w:pPr>
              <w:jc w:val="left"/>
              <w:rPr>
                <w:sz w:val="16"/>
                <w:szCs w:val="16"/>
              </w:rPr>
            </w:pPr>
            <w:r w:rsidRPr="00364545">
              <w:rPr>
                <w:sz w:val="16"/>
              </w:rPr>
              <w:t>Incentives for international firms subject to quotas to develop more environmentally efficient processes that are potentially transferable to developing countries</w:t>
            </w:r>
          </w:p>
        </w:tc>
        <w:tc>
          <w:tcPr>
            <w:tcW w:w="2007" w:type="dxa"/>
            <w:tcBorders>
              <w:top w:val="single" w:sz="4" w:space="0" w:color="000001"/>
              <w:left w:val="single" w:sz="8" w:space="0" w:color="000001"/>
              <w:bottom w:val="single" w:sz="4" w:space="0" w:color="000001"/>
              <w:right w:val="single" w:sz="8" w:space="0" w:color="000001"/>
            </w:tcBorders>
            <w:shd w:val="clear" w:color="auto" w:fill="auto"/>
            <w:tcMar>
              <w:left w:w="40" w:type="dxa"/>
            </w:tcMar>
          </w:tcPr>
          <w:p w14:paraId="6DD4E4B9" w14:textId="77777777" w:rsidR="00A84DD9" w:rsidRPr="00364545" w:rsidRDefault="00A84DD9" w:rsidP="006956FA">
            <w:pPr>
              <w:jc w:val="left"/>
              <w:rPr>
                <w:sz w:val="16"/>
                <w:szCs w:val="16"/>
              </w:rPr>
            </w:pPr>
            <w:r w:rsidRPr="00364545">
              <w:rPr>
                <w:sz w:val="16"/>
              </w:rPr>
              <w:t> </w:t>
            </w:r>
          </w:p>
        </w:tc>
      </w:tr>
      <w:tr w:rsidR="00A84DD9" w:rsidRPr="00364545" w14:paraId="042EBBF6" w14:textId="77777777" w:rsidTr="00A84DD9">
        <w:trPr>
          <w:trHeight w:val="985"/>
        </w:trPr>
        <w:tc>
          <w:tcPr>
            <w:tcW w:w="1412" w:type="dxa"/>
            <w:tcBorders>
              <w:top w:val="single" w:sz="4" w:space="0" w:color="00000A"/>
              <w:left w:val="single" w:sz="4" w:space="0" w:color="000001"/>
              <w:bottom w:val="single" w:sz="4" w:space="0" w:color="00000A"/>
            </w:tcBorders>
            <w:shd w:val="clear" w:color="auto" w:fill="auto"/>
            <w:tcMar>
              <w:left w:w="45" w:type="dxa"/>
            </w:tcMar>
          </w:tcPr>
          <w:p w14:paraId="07D61289" w14:textId="77777777" w:rsidR="00A84DD9" w:rsidRPr="00364545" w:rsidRDefault="00A84DD9" w:rsidP="00A84DD9">
            <w:pPr>
              <w:jc w:val="left"/>
              <w:rPr>
                <w:sz w:val="16"/>
                <w:szCs w:val="16"/>
              </w:rPr>
            </w:pPr>
            <w:r w:rsidRPr="00364545">
              <w:rPr>
                <w:sz w:val="16"/>
              </w:rPr>
              <w:t xml:space="preserve">Development of biofuels </w:t>
            </w:r>
          </w:p>
        </w:tc>
        <w:tc>
          <w:tcPr>
            <w:tcW w:w="1964" w:type="dxa"/>
            <w:tcBorders>
              <w:top w:val="single" w:sz="4" w:space="0" w:color="00000A"/>
              <w:left w:val="single" w:sz="8" w:space="0" w:color="000001"/>
              <w:bottom w:val="single" w:sz="4" w:space="0" w:color="00000A"/>
              <w:right w:val="single" w:sz="4" w:space="0" w:color="000001"/>
            </w:tcBorders>
            <w:shd w:val="clear" w:color="auto" w:fill="E6D3C5" w:themeFill="accent6" w:themeFillTint="33"/>
            <w:tcMar>
              <w:left w:w="20" w:type="dxa"/>
            </w:tcMar>
          </w:tcPr>
          <w:p w14:paraId="3A91BF07" w14:textId="77777777" w:rsidR="00A84DD9" w:rsidRPr="00364545" w:rsidRDefault="00A84DD9" w:rsidP="006956FA">
            <w:pPr>
              <w:jc w:val="left"/>
              <w:rPr>
                <w:sz w:val="16"/>
                <w:szCs w:val="16"/>
              </w:rPr>
            </w:pPr>
            <w:r w:rsidRPr="00364545">
              <w:rPr>
                <w:sz w:val="16"/>
              </w:rPr>
              <w:t>Positive effect of maintaining or potentially creating jobs in biofuel exporting developing countries</w:t>
            </w:r>
          </w:p>
        </w:tc>
        <w:tc>
          <w:tcPr>
            <w:tcW w:w="1938"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045A3E4C" w14:textId="77777777" w:rsidR="00A84DD9" w:rsidRPr="00364545" w:rsidRDefault="00A84DD9" w:rsidP="006956FA">
            <w:pPr>
              <w:jc w:val="left"/>
              <w:rPr>
                <w:sz w:val="16"/>
                <w:szCs w:val="16"/>
              </w:rPr>
            </w:pPr>
            <w:r w:rsidRPr="00364545">
              <w:rPr>
                <w:sz w:val="16"/>
              </w:rPr>
              <w:t>Positive effect providing that sustainability criteria are put in place, particularly with regard to the problem of changes in land use</w:t>
            </w:r>
          </w:p>
        </w:tc>
        <w:tc>
          <w:tcPr>
            <w:tcW w:w="2198" w:type="dxa"/>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1514996B" w14:textId="77777777" w:rsidR="00A84DD9" w:rsidRPr="00364545" w:rsidRDefault="00A84DD9" w:rsidP="006956FA">
            <w:pPr>
              <w:jc w:val="left"/>
              <w:rPr>
                <w:sz w:val="16"/>
                <w:szCs w:val="16"/>
              </w:rPr>
            </w:pPr>
            <w:r w:rsidRPr="00364545">
              <w:rPr>
                <w:sz w:val="16"/>
              </w:rPr>
              <w:t>Positive effect on biofuel imports from developing countries</w:t>
            </w:r>
          </w:p>
        </w:tc>
        <w:tc>
          <w:tcPr>
            <w:tcW w:w="1266" w:type="dxa"/>
            <w:tcBorders>
              <w:top w:val="single" w:sz="4" w:space="0" w:color="00000A"/>
              <w:left w:val="single" w:sz="4" w:space="0" w:color="000001"/>
              <w:bottom w:val="single" w:sz="4" w:space="0" w:color="00000A"/>
              <w:right w:val="single" w:sz="4" w:space="0" w:color="000001"/>
            </w:tcBorders>
            <w:shd w:val="clear" w:color="auto" w:fill="auto"/>
            <w:tcMar>
              <w:left w:w="55" w:type="dxa"/>
            </w:tcMar>
            <w:vAlign w:val="bottom"/>
          </w:tcPr>
          <w:p w14:paraId="524E4D00" w14:textId="77777777" w:rsidR="00A84DD9" w:rsidRPr="00364545" w:rsidRDefault="00A84DD9" w:rsidP="006956FA">
            <w:pPr>
              <w:jc w:val="left"/>
              <w:rPr>
                <w:sz w:val="16"/>
                <w:szCs w:val="16"/>
              </w:rPr>
            </w:pPr>
            <w:r w:rsidRPr="00364545">
              <w:rPr>
                <w:sz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C6C6EA" w:themeFill="accent2" w:themeFillTint="33"/>
            <w:tcMar>
              <w:left w:w="55" w:type="dxa"/>
            </w:tcMar>
          </w:tcPr>
          <w:p w14:paraId="20ECDC82" w14:textId="77777777" w:rsidR="00A84DD9" w:rsidRPr="00364545" w:rsidRDefault="00A84DD9" w:rsidP="006956FA">
            <w:pPr>
              <w:jc w:val="left"/>
              <w:rPr>
                <w:sz w:val="16"/>
                <w:szCs w:val="16"/>
              </w:rPr>
            </w:pPr>
            <w:r w:rsidRPr="00364545">
              <w:rPr>
                <w:sz w:val="16"/>
              </w:rPr>
              <w:t xml:space="preserve">Negative effect on deforestation and food resources. </w:t>
            </w:r>
          </w:p>
          <w:p w14:paraId="39D42318" w14:textId="77777777" w:rsidR="00A84DD9" w:rsidRPr="00364545" w:rsidRDefault="00A84DD9" w:rsidP="006956FA">
            <w:pPr>
              <w:jc w:val="left"/>
              <w:rPr>
                <w:sz w:val="16"/>
                <w:szCs w:val="16"/>
              </w:rPr>
            </w:pPr>
            <w:r w:rsidRPr="00364545">
              <w:rPr>
                <w:sz w:val="16"/>
              </w:rPr>
              <w:t>Establishment of sustainability criteria for biofuels through agreements between the European Commission and developing countries</w:t>
            </w:r>
          </w:p>
        </w:tc>
        <w:tc>
          <w:tcPr>
            <w:tcW w:w="2007" w:type="dxa"/>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1A532E95" w14:textId="77777777" w:rsidR="00A84DD9" w:rsidRPr="00364545" w:rsidRDefault="00A84DD9" w:rsidP="006956FA">
            <w:pPr>
              <w:jc w:val="left"/>
              <w:rPr>
                <w:sz w:val="16"/>
                <w:szCs w:val="16"/>
              </w:rPr>
            </w:pPr>
            <w:r w:rsidRPr="00364545">
              <w:rPr>
                <w:sz w:val="16"/>
              </w:rPr>
              <w:t xml:space="preserve">Effect of reduced demand for fossil fuels and potential reduced pressure on their price </w:t>
            </w:r>
          </w:p>
        </w:tc>
      </w:tr>
      <w:tr w:rsidR="00A84DD9" w:rsidRPr="00364545" w14:paraId="17520B5B" w14:textId="77777777" w:rsidTr="00A84DD9">
        <w:trPr>
          <w:trHeight w:val="565"/>
        </w:trPr>
        <w:tc>
          <w:tcPr>
            <w:tcW w:w="1412" w:type="dxa"/>
            <w:vMerge w:val="restart"/>
            <w:tcBorders>
              <w:top w:val="single" w:sz="4" w:space="0" w:color="00000A"/>
              <w:left w:val="single" w:sz="4" w:space="0" w:color="000001"/>
              <w:right w:val="single" w:sz="4" w:space="0" w:color="000001"/>
            </w:tcBorders>
            <w:shd w:val="clear" w:color="auto" w:fill="auto"/>
            <w:tcMar>
              <w:left w:w="45" w:type="dxa"/>
            </w:tcMar>
          </w:tcPr>
          <w:p w14:paraId="0FED77D4" w14:textId="77777777" w:rsidR="00A84DD9" w:rsidRPr="00364545" w:rsidRDefault="00A84DD9" w:rsidP="00A84DD9">
            <w:pPr>
              <w:jc w:val="left"/>
              <w:rPr>
                <w:sz w:val="16"/>
                <w:szCs w:val="16"/>
              </w:rPr>
            </w:pPr>
            <w:r w:rsidRPr="00364545">
              <w:rPr>
                <w:sz w:val="16"/>
              </w:rPr>
              <w:t>Promoting energy efficiency</w:t>
            </w:r>
          </w:p>
        </w:tc>
        <w:tc>
          <w:tcPr>
            <w:tcW w:w="1964" w:type="dxa"/>
            <w:vMerge w:val="restart"/>
            <w:tcBorders>
              <w:top w:val="single" w:sz="4" w:space="0" w:color="00000A"/>
              <w:left w:val="single" w:sz="4" w:space="0" w:color="000001"/>
              <w:right w:val="single" w:sz="4" w:space="0" w:color="000001"/>
            </w:tcBorders>
            <w:shd w:val="clear" w:color="auto" w:fill="E6D3C5" w:themeFill="accent6" w:themeFillTint="33"/>
            <w:tcMar>
              <w:left w:w="55" w:type="dxa"/>
            </w:tcMar>
          </w:tcPr>
          <w:p w14:paraId="241AC0FB" w14:textId="77777777" w:rsidR="00A84DD9" w:rsidRPr="00364545" w:rsidRDefault="00A84DD9" w:rsidP="006956FA">
            <w:pPr>
              <w:jc w:val="left"/>
              <w:rPr>
                <w:sz w:val="16"/>
                <w:szCs w:val="16"/>
              </w:rPr>
            </w:pPr>
            <w:r w:rsidRPr="00364545">
              <w:rPr>
                <w:sz w:val="16"/>
              </w:rPr>
              <w:t>Positive effect of maintaining or potentially creating jobs in developing countries exporting energy efficiency equipment</w:t>
            </w:r>
          </w:p>
        </w:tc>
        <w:tc>
          <w:tcPr>
            <w:tcW w:w="1938" w:type="dxa"/>
            <w:vMerge w:val="restart"/>
            <w:tcBorders>
              <w:top w:val="single" w:sz="4" w:space="0" w:color="00000A"/>
              <w:left w:val="single" w:sz="4" w:space="0" w:color="000001"/>
              <w:right w:val="single" w:sz="4" w:space="0" w:color="000001"/>
            </w:tcBorders>
            <w:shd w:val="clear" w:color="auto" w:fill="auto"/>
            <w:tcMar>
              <w:left w:w="55" w:type="dxa"/>
            </w:tcMar>
          </w:tcPr>
          <w:p w14:paraId="316A232B" w14:textId="77777777" w:rsidR="00A84DD9" w:rsidRPr="00364545" w:rsidRDefault="00A84DD9" w:rsidP="006956FA">
            <w:pPr>
              <w:jc w:val="left"/>
              <w:rPr>
                <w:sz w:val="16"/>
                <w:szCs w:val="16"/>
              </w:rPr>
            </w:pPr>
            <w:r w:rsidRPr="00364545">
              <w:rPr>
                <w:sz w:val="16"/>
              </w:rPr>
              <w:t> </w:t>
            </w:r>
          </w:p>
        </w:tc>
        <w:tc>
          <w:tcPr>
            <w:tcW w:w="2198" w:type="dxa"/>
            <w:vMerge w:val="restart"/>
            <w:tcBorders>
              <w:top w:val="single" w:sz="4" w:space="0" w:color="00000A"/>
              <w:left w:val="single" w:sz="8" w:space="0" w:color="000001"/>
              <w:right w:val="single" w:sz="8" w:space="0" w:color="000001"/>
            </w:tcBorders>
            <w:shd w:val="clear" w:color="auto" w:fill="E6D3C5" w:themeFill="accent6" w:themeFillTint="33"/>
            <w:tcMar>
              <w:left w:w="40" w:type="dxa"/>
            </w:tcMar>
          </w:tcPr>
          <w:p w14:paraId="4FD3F51F" w14:textId="77777777" w:rsidR="00A84DD9" w:rsidRPr="00364545" w:rsidRDefault="00A84DD9" w:rsidP="006956FA">
            <w:pPr>
              <w:jc w:val="left"/>
              <w:rPr>
                <w:sz w:val="16"/>
                <w:szCs w:val="16"/>
              </w:rPr>
            </w:pPr>
            <w:r w:rsidRPr="00364545">
              <w:rPr>
                <w:sz w:val="16"/>
              </w:rPr>
              <w:t>Positive effect on imports from developing countries for energy efficiency equipment</w:t>
            </w:r>
          </w:p>
        </w:tc>
        <w:tc>
          <w:tcPr>
            <w:tcW w:w="1266" w:type="dxa"/>
            <w:vMerge w:val="restart"/>
            <w:tcBorders>
              <w:top w:val="single" w:sz="4" w:space="0" w:color="00000A"/>
              <w:left w:val="single" w:sz="4" w:space="0" w:color="000001"/>
              <w:right w:val="single" w:sz="4" w:space="0" w:color="000001"/>
            </w:tcBorders>
            <w:shd w:val="clear" w:color="auto" w:fill="auto"/>
            <w:tcMar>
              <w:left w:w="55" w:type="dxa"/>
            </w:tcMar>
            <w:vAlign w:val="bottom"/>
          </w:tcPr>
          <w:p w14:paraId="116F9190" w14:textId="77777777" w:rsidR="00A84DD9" w:rsidRPr="00364545" w:rsidRDefault="00A84DD9" w:rsidP="006956FA">
            <w:pPr>
              <w:jc w:val="left"/>
              <w:rPr>
                <w:sz w:val="16"/>
                <w:szCs w:val="16"/>
              </w:rPr>
            </w:pPr>
            <w:r w:rsidRPr="00364545">
              <w:rPr>
                <w:sz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002FF8FD" w14:textId="77777777" w:rsidR="00A84DD9" w:rsidRPr="00364545" w:rsidRDefault="00A84DD9" w:rsidP="006956FA">
            <w:pPr>
              <w:jc w:val="left"/>
              <w:rPr>
                <w:sz w:val="16"/>
                <w:szCs w:val="16"/>
              </w:rPr>
            </w:pPr>
            <w:r w:rsidRPr="00364545">
              <w:rPr>
                <w:sz w:val="16"/>
              </w:rPr>
              <w:t>Improving air quality in developing countries</w:t>
            </w:r>
          </w:p>
        </w:tc>
        <w:tc>
          <w:tcPr>
            <w:tcW w:w="2007" w:type="dxa"/>
            <w:vMerge w:val="restart"/>
            <w:tcBorders>
              <w:top w:val="single" w:sz="4" w:space="0" w:color="00000A"/>
              <w:left w:val="single" w:sz="8" w:space="0" w:color="000001"/>
              <w:right w:val="single" w:sz="8" w:space="0" w:color="000001"/>
            </w:tcBorders>
            <w:shd w:val="clear" w:color="auto" w:fill="E6D3C5" w:themeFill="accent6" w:themeFillTint="33"/>
            <w:tcMar>
              <w:left w:w="40" w:type="dxa"/>
            </w:tcMar>
          </w:tcPr>
          <w:p w14:paraId="4B6FB3D0" w14:textId="77777777" w:rsidR="00A84DD9" w:rsidRPr="00364545" w:rsidRDefault="00A84DD9" w:rsidP="006956FA">
            <w:pPr>
              <w:jc w:val="left"/>
              <w:rPr>
                <w:sz w:val="16"/>
                <w:szCs w:val="16"/>
              </w:rPr>
            </w:pPr>
            <w:r w:rsidRPr="00364545">
              <w:rPr>
                <w:sz w:val="16"/>
              </w:rPr>
              <w:t>Effect of reduced demand for fossil fuels and potential reduced pressure on their price</w:t>
            </w:r>
          </w:p>
        </w:tc>
      </w:tr>
      <w:tr w:rsidR="00A84DD9" w:rsidRPr="00364545" w14:paraId="23259836" w14:textId="77777777" w:rsidTr="00A84DD9">
        <w:trPr>
          <w:trHeight w:val="564"/>
        </w:trPr>
        <w:tc>
          <w:tcPr>
            <w:tcW w:w="1412" w:type="dxa"/>
            <w:vMerge/>
            <w:tcBorders>
              <w:top w:val="single" w:sz="4" w:space="0" w:color="00000A"/>
              <w:left w:val="single" w:sz="4" w:space="0" w:color="000001"/>
              <w:bottom w:val="single" w:sz="4" w:space="0" w:color="00000A"/>
              <w:right w:val="single" w:sz="4" w:space="0" w:color="000001"/>
            </w:tcBorders>
            <w:shd w:val="clear" w:color="auto" w:fill="auto"/>
            <w:tcMar>
              <w:left w:w="45" w:type="dxa"/>
            </w:tcMar>
          </w:tcPr>
          <w:p w14:paraId="418A6D49" w14:textId="77777777" w:rsidR="00A84DD9" w:rsidRPr="00364545" w:rsidRDefault="00A84DD9" w:rsidP="00A84DD9">
            <w:pPr>
              <w:jc w:val="left"/>
              <w:rPr>
                <w:sz w:val="16"/>
                <w:szCs w:val="16"/>
              </w:rPr>
            </w:pPr>
          </w:p>
        </w:tc>
        <w:tc>
          <w:tcPr>
            <w:tcW w:w="1964" w:type="dxa"/>
            <w:vMerge/>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768F7171" w14:textId="77777777" w:rsidR="00A84DD9" w:rsidRPr="00364545" w:rsidRDefault="00A84DD9" w:rsidP="006956FA">
            <w:pPr>
              <w:jc w:val="left"/>
              <w:rPr>
                <w:sz w:val="16"/>
                <w:szCs w:val="16"/>
              </w:rPr>
            </w:pPr>
          </w:p>
        </w:tc>
        <w:tc>
          <w:tcPr>
            <w:tcW w:w="1938" w:type="dxa"/>
            <w:vMerge/>
            <w:tcBorders>
              <w:top w:val="single" w:sz="4" w:space="0" w:color="00000A"/>
              <w:left w:val="single" w:sz="4" w:space="0" w:color="000001"/>
              <w:bottom w:val="single" w:sz="4" w:space="0" w:color="00000A"/>
              <w:right w:val="single" w:sz="4" w:space="0" w:color="000001"/>
            </w:tcBorders>
            <w:shd w:val="clear" w:color="auto" w:fill="auto"/>
            <w:tcMar>
              <w:left w:w="55" w:type="dxa"/>
            </w:tcMar>
          </w:tcPr>
          <w:p w14:paraId="77FFF9C7" w14:textId="77777777" w:rsidR="00A84DD9" w:rsidRPr="00364545" w:rsidRDefault="00A84DD9" w:rsidP="006956FA">
            <w:pPr>
              <w:jc w:val="left"/>
              <w:rPr>
                <w:sz w:val="16"/>
                <w:szCs w:val="16"/>
              </w:rPr>
            </w:pPr>
          </w:p>
        </w:tc>
        <w:tc>
          <w:tcPr>
            <w:tcW w:w="2198" w:type="dxa"/>
            <w:vMerge/>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321E3FB4" w14:textId="77777777" w:rsidR="00A84DD9" w:rsidRPr="00364545" w:rsidRDefault="00A84DD9" w:rsidP="006956FA">
            <w:pPr>
              <w:jc w:val="left"/>
              <w:rPr>
                <w:sz w:val="16"/>
                <w:szCs w:val="16"/>
              </w:rPr>
            </w:pPr>
          </w:p>
        </w:tc>
        <w:tc>
          <w:tcPr>
            <w:tcW w:w="1266" w:type="dxa"/>
            <w:vMerge/>
            <w:tcBorders>
              <w:top w:val="single" w:sz="4" w:space="0" w:color="00000A"/>
              <w:left w:val="single" w:sz="4" w:space="0" w:color="000001"/>
              <w:bottom w:val="single" w:sz="4" w:space="0" w:color="00000A"/>
              <w:right w:val="single" w:sz="4" w:space="0" w:color="000001"/>
            </w:tcBorders>
            <w:shd w:val="clear" w:color="auto" w:fill="auto"/>
            <w:tcMar>
              <w:left w:w="55" w:type="dxa"/>
            </w:tcMar>
            <w:vAlign w:val="bottom"/>
          </w:tcPr>
          <w:p w14:paraId="4D7EB255" w14:textId="77777777" w:rsidR="00A84DD9" w:rsidRPr="00364545" w:rsidRDefault="00A84DD9" w:rsidP="006956FA">
            <w:pPr>
              <w:jc w:val="left"/>
              <w:rPr>
                <w:sz w:val="16"/>
                <w:szCs w:val="16"/>
              </w:rPr>
            </w:pP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108C4DD5" w14:textId="77777777" w:rsidR="00A84DD9" w:rsidRPr="00364545" w:rsidRDefault="00A84DD9" w:rsidP="006956FA">
            <w:pPr>
              <w:jc w:val="left"/>
              <w:rPr>
                <w:sz w:val="16"/>
                <w:szCs w:val="16"/>
              </w:rPr>
            </w:pPr>
            <w:r w:rsidRPr="00364545">
              <w:rPr>
                <w:sz w:val="16"/>
              </w:rPr>
              <w:t>Development of more energy efficient equipment potentially transferable to developing countries</w:t>
            </w:r>
          </w:p>
        </w:tc>
        <w:tc>
          <w:tcPr>
            <w:tcW w:w="2007" w:type="dxa"/>
            <w:vMerge/>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7192ADE2" w14:textId="77777777" w:rsidR="00A84DD9" w:rsidRPr="00364545" w:rsidRDefault="00A84DD9" w:rsidP="006956FA">
            <w:pPr>
              <w:jc w:val="left"/>
              <w:rPr>
                <w:sz w:val="16"/>
                <w:szCs w:val="16"/>
              </w:rPr>
            </w:pPr>
          </w:p>
        </w:tc>
      </w:tr>
      <w:tr w:rsidR="00A84DD9" w:rsidRPr="00364545" w14:paraId="19BEDC32" w14:textId="77777777" w:rsidTr="00A84DD9">
        <w:trPr>
          <w:trHeight w:val="565"/>
        </w:trPr>
        <w:tc>
          <w:tcPr>
            <w:tcW w:w="1412" w:type="dxa"/>
            <w:vMerge w:val="restart"/>
            <w:tcBorders>
              <w:top w:val="single" w:sz="4" w:space="0" w:color="00000A"/>
              <w:left w:val="single" w:sz="4" w:space="0" w:color="000001"/>
            </w:tcBorders>
            <w:shd w:val="clear" w:color="auto" w:fill="auto"/>
            <w:tcMar>
              <w:left w:w="45" w:type="dxa"/>
            </w:tcMar>
          </w:tcPr>
          <w:p w14:paraId="744D12AD" w14:textId="77777777" w:rsidR="00A84DD9" w:rsidRPr="00364545" w:rsidRDefault="00A84DD9" w:rsidP="00A84DD9">
            <w:pPr>
              <w:jc w:val="left"/>
              <w:rPr>
                <w:sz w:val="16"/>
                <w:szCs w:val="16"/>
              </w:rPr>
            </w:pPr>
            <w:r w:rsidRPr="00364545">
              <w:rPr>
                <w:sz w:val="16"/>
              </w:rPr>
              <w:t xml:space="preserve">Promotion of renewable energy </w:t>
            </w:r>
          </w:p>
        </w:tc>
        <w:tc>
          <w:tcPr>
            <w:tcW w:w="1964" w:type="dxa"/>
            <w:vMerge w:val="restart"/>
            <w:tcBorders>
              <w:top w:val="single" w:sz="4" w:space="0" w:color="00000A"/>
              <w:left w:val="single" w:sz="8" w:space="0" w:color="000001"/>
              <w:right w:val="single" w:sz="4" w:space="0" w:color="000001"/>
            </w:tcBorders>
            <w:shd w:val="clear" w:color="auto" w:fill="E6D3C5" w:themeFill="accent6" w:themeFillTint="33"/>
            <w:tcMar>
              <w:left w:w="20" w:type="dxa"/>
            </w:tcMar>
          </w:tcPr>
          <w:p w14:paraId="4BD2667E" w14:textId="77777777" w:rsidR="00A84DD9" w:rsidRPr="00364545" w:rsidRDefault="00A84DD9" w:rsidP="006956FA">
            <w:pPr>
              <w:jc w:val="left"/>
              <w:rPr>
                <w:sz w:val="16"/>
                <w:szCs w:val="16"/>
              </w:rPr>
            </w:pPr>
            <w:r w:rsidRPr="00364545">
              <w:rPr>
                <w:sz w:val="16"/>
              </w:rPr>
              <w:t>Positive effect of maintaining or potentially creating jobs in developing countries exporting renewable energy production equipment</w:t>
            </w:r>
          </w:p>
        </w:tc>
        <w:tc>
          <w:tcPr>
            <w:tcW w:w="1938" w:type="dxa"/>
            <w:vMerge w:val="restart"/>
            <w:tcBorders>
              <w:top w:val="single" w:sz="4" w:space="0" w:color="00000A"/>
              <w:left w:val="single" w:sz="4" w:space="0" w:color="000001"/>
              <w:right w:val="single" w:sz="4" w:space="0" w:color="000001"/>
            </w:tcBorders>
            <w:shd w:val="clear" w:color="auto" w:fill="auto"/>
            <w:tcMar>
              <w:left w:w="55" w:type="dxa"/>
            </w:tcMar>
          </w:tcPr>
          <w:p w14:paraId="61B2BC20" w14:textId="77777777" w:rsidR="00A84DD9" w:rsidRPr="00364545" w:rsidRDefault="00A84DD9" w:rsidP="006956FA">
            <w:pPr>
              <w:jc w:val="left"/>
              <w:rPr>
                <w:sz w:val="16"/>
                <w:szCs w:val="16"/>
              </w:rPr>
            </w:pPr>
            <w:r w:rsidRPr="00364545">
              <w:rPr>
                <w:sz w:val="16"/>
              </w:rPr>
              <w:t> </w:t>
            </w:r>
          </w:p>
        </w:tc>
        <w:tc>
          <w:tcPr>
            <w:tcW w:w="2198" w:type="dxa"/>
            <w:vMerge w:val="restart"/>
            <w:tcBorders>
              <w:top w:val="single" w:sz="4" w:space="0" w:color="00000A"/>
              <w:left w:val="single" w:sz="8" w:space="0" w:color="000001"/>
              <w:right w:val="single" w:sz="8" w:space="0" w:color="000001"/>
            </w:tcBorders>
            <w:shd w:val="clear" w:color="auto" w:fill="E6D3C5" w:themeFill="accent6" w:themeFillTint="33"/>
            <w:tcMar>
              <w:left w:w="40" w:type="dxa"/>
            </w:tcMar>
          </w:tcPr>
          <w:p w14:paraId="20E7F4FD" w14:textId="77777777" w:rsidR="00A84DD9" w:rsidRPr="00364545" w:rsidRDefault="00A84DD9" w:rsidP="006956FA">
            <w:pPr>
              <w:jc w:val="left"/>
              <w:rPr>
                <w:sz w:val="16"/>
                <w:szCs w:val="16"/>
              </w:rPr>
            </w:pPr>
            <w:r w:rsidRPr="00364545">
              <w:rPr>
                <w:sz w:val="16"/>
              </w:rPr>
              <w:t>Positive effect on imports from developing countries for renewable energy production equipment</w:t>
            </w:r>
          </w:p>
        </w:tc>
        <w:tc>
          <w:tcPr>
            <w:tcW w:w="1266" w:type="dxa"/>
            <w:vMerge w:val="restart"/>
            <w:tcBorders>
              <w:top w:val="single" w:sz="4" w:space="0" w:color="00000A"/>
              <w:left w:val="single" w:sz="4" w:space="0" w:color="000001"/>
              <w:right w:val="single" w:sz="4" w:space="0" w:color="000001"/>
            </w:tcBorders>
            <w:shd w:val="clear" w:color="auto" w:fill="auto"/>
            <w:tcMar>
              <w:left w:w="55" w:type="dxa"/>
            </w:tcMar>
            <w:vAlign w:val="bottom"/>
          </w:tcPr>
          <w:p w14:paraId="7DAE4DD2" w14:textId="77777777" w:rsidR="00A84DD9" w:rsidRPr="00364545" w:rsidRDefault="00A84DD9" w:rsidP="006956FA">
            <w:pPr>
              <w:jc w:val="left"/>
              <w:rPr>
                <w:sz w:val="16"/>
                <w:szCs w:val="16"/>
              </w:rPr>
            </w:pPr>
            <w:r w:rsidRPr="00364545">
              <w:rPr>
                <w:sz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22EC6F2C" w14:textId="77777777" w:rsidR="00A84DD9" w:rsidRPr="00364545" w:rsidRDefault="00A84DD9" w:rsidP="006956FA">
            <w:pPr>
              <w:jc w:val="left"/>
              <w:rPr>
                <w:sz w:val="16"/>
                <w:szCs w:val="16"/>
              </w:rPr>
            </w:pPr>
            <w:r w:rsidRPr="00364545">
              <w:rPr>
                <w:sz w:val="16"/>
              </w:rPr>
              <w:t>Improving air quality in developing countries</w:t>
            </w:r>
          </w:p>
        </w:tc>
        <w:tc>
          <w:tcPr>
            <w:tcW w:w="2007" w:type="dxa"/>
            <w:vMerge w:val="restart"/>
            <w:tcBorders>
              <w:top w:val="single" w:sz="4" w:space="0" w:color="00000A"/>
              <w:left w:val="single" w:sz="8" w:space="0" w:color="000001"/>
              <w:right w:val="single" w:sz="8" w:space="0" w:color="000001"/>
            </w:tcBorders>
            <w:shd w:val="clear" w:color="auto" w:fill="E6D3C5" w:themeFill="accent6" w:themeFillTint="33"/>
            <w:tcMar>
              <w:left w:w="40" w:type="dxa"/>
            </w:tcMar>
          </w:tcPr>
          <w:p w14:paraId="6371A474" w14:textId="77777777" w:rsidR="00A84DD9" w:rsidRPr="00364545" w:rsidRDefault="00A84DD9" w:rsidP="006956FA">
            <w:pPr>
              <w:jc w:val="left"/>
              <w:rPr>
                <w:sz w:val="16"/>
                <w:szCs w:val="16"/>
              </w:rPr>
            </w:pPr>
            <w:r w:rsidRPr="00364545">
              <w:rPr>
                <w:sz w:val="16"/>
              </w:rPr>
              <w:t xml:space="preserve">Effect of reduced demand for fossil fuels and potential reduced pressure on their price </w:t>
            </w:r>
          </w:p>
        </w:tc>
      </w:tr>
      <w:tr w:rsidR="00A84DD9" w:rsidRPr="00364545" w14:paraId="54F0AA53" w14:textId="77777777" w:rsidTr="00A84DD9">
        <w:trPr>
          <w:trHeight w:val="564"/>
        </w:trPr>
        <w:tc>
          <w:tcPr>
            <w:tcW w:w="1412" w:type="dxa"/>
            <w:vMerge/>
            <w:tcBorders>
              <w:top w:val="single" w:sz="4" w:space="0" w:color="00000A"/>
              <w:left w:val="single" w:sz="4" w:space="0" w:color="000001"/>
              <w:bottom w:val="single" w:sz="4" w:space="0" w:color="00000A"/>
            </w:tcBorders>
            <w:shd w:val="clear" w:color="auto" w:fill="auto"/>
            <w:tcMar>
              <w:left w:w="45" w:type="dxa"/>
            </w:tcMar>
          </w:tcPr>
          <w:p w14:paraId="4A122CC6" w14:textId="77777777" w:rsidR="00A84DD9" w:rsidRPr="00364545" w:rsidRDefault="00A84DD9" w:rsidP="00A84DD9">
            <w:pPr>
              <w:jc w:val="left"/>
              <w:rPr>
                <w:sz w:val="16"/>
                <w:szCs w:val="16"/>
              </w:rPr>
            </w:pPr>
          </w:p>
        </w:tc>
        <w:tc>
          <w:tcPr>
            <w:tcW w:w="1964" w:type="dxa"/>
            <w:vMerge/>
            <w:tcBorders>
              <w:top w:val="single" w:sz="4" w:space="0" w:color="00000A"/>
              <w:left w:val="single" w:sz="8" w:space="0" w:color="000001"/>
              <w:bottom w:val="single" w:sz="4" w:space="0" w:color="00000A"/>
              <w:right w:val="single" w:sz="4" w:space="0" w:color="000001"/>
            </w:tcBorders>
            <w:shd w:val="clear" w:color="auto" w:fill="E6D3C5" w:themeFill="accent6" w:themeFillTint="33"/>
            <w:tcMar>
              <w:left w:w="20" w:type="dxa"/>
            </w:tcMar>
          </w:tcPr>
          <w:p w14:paraId="364C9421" w14:textId="77777777" w:rsidR="00A84DD9" w:rsidRPr="00364545" w:rsidRDefault="00A84DD9" w:rsidP="006956FA">
            <w:pPr>
              <w:jc w:val="left"/>
              <w:rPr>
                <w:sz w:val="16"/>
                <w:szCs w:val="16"/>
              </w:rPr>
            </w:pPr>
          </w:p>
        </w:tc>
        <w:tc>
          <w:tcPr>
            <w:tcW w:w="1938" w:type="dxa"/>
            <w:vMerge/>
            <w:tcBorders>
              <w:top w:val="single" w:sz="4" w:space="0" w:color="00000A"/>
              <w:left w:val="single" w:sz="4" w:space="0" w:color="000001"/>
              <w:bottom w:val="single" w:sz="4" w:space="0" w:color="00000A"/>
              <w:right w:val="single" w:sz="4" w:space="0" w:color="000001"/>
            </w:tcBorders>
            <w:shd w:val="clear" w:color="auto" w:fill="auto"/>
            <w:tcMar>
              <w:left w:w="55" w:type="dxa"/>
            </w:tcMar>
          </w:tcPr>
          <w:p w14:paraId="32DB748E" w14:textId="77777777" w:rsidR="00A84DD9" w:rsidRPr="00364545" w:rsidRDefault="00A84DD9" w:rsidP="006956FA">
            <w:pPr>
              <w:jc w:val="left"/>
              <w:rPr>
                <w:sz w:val="16"/>
                <w:szCs w:val="16"/>
              </w:rPr>
            </w:pPr>
          </w:p>
        </w:tc>
        <w:tc>
          <w:tcPr>
            <w:tcW w:w="2198" w:type="dxa"/>
            <w:vMerge/>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281338C4" w14:textId="77777777" w:rsidR="00A84DD9" w:rsidRPr="00364545" w:rsidRDefault="00A84DD9" w:rsidP="006956FA">
            <w:pPr>
              <w:jc w:val="left"/>
              <w:rPr>
                <w:sz w:val="16"/>
                <w:szCs w:val="16"/>
              </w:rPr>
            </w:pPr>
          </w:p>
        </w:tc>
        <w:tc>
          <w:tcPr>
            <w:tcW w:w="1266" w:type="dxa"/>
            <w:vMerge/>
            <w:tcBorders>
              <w:top w:val="single" w:sz="4" w:space="0" w:color="00000A"/>
              <w:left w:val="single" w:sz="4" w:space="0" w:color="000001"/>
              <w:bottom w:val="single" w:sz="4" w:space="0" w:color="00000A"/>
              <w:right w:val="single" w:sz="4" w:space="0" w:color="000001"/>
            </w:tcBorders>
            <w:shd w:val="clear" w:color="auto" w:fill="auto"/>
            <w:tcMar>
              <w:left w:w="55" w:type="dxa"/>
            </w:tcMar>
            <w:vAlign w:val="bottom"/>
          </w:tcPr>
          <w:p w14:paraId="04756E21" w14:textId="77777777" w:rsidR="00A84DD9" w:rsidRPr="00364545" w:rsidRDefault="00A84DD9" w:rsidP="006956FA">
            <w:pPr>
              <w:jc w:val="left"/>
              <w:rPr>
                <w:sz w:val="16"/>
                <w:szCs w:val="16"/>
              </w:rPr>
            </w:pP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280EA0F0" w14:textId="77777777" w:rsidR="00A84DD9" w:rsidRPr="00364545" w:rsidRDefault="00A84DD9" w:rsidP="006956FA">
            <w:pPr>
              <w:jc w:val="left"/>
              <w:rPr>
                <w:sz w:val="16"/>
                <w:szCs w:val="16"/>
              </w:rPr>
            </w:pPr>
            <w:r w:rsidRPr="00364545">
              <w:rPr>
                <w:sz w:val="16"/>
              </w:rPr>
              <w:t>Development of renewable energy production equipment potentially transferable to developing countries</w:t>
            </w:r>
          </w:p>
        </w:tc>
        <w:tc>
          <w:tcPr>
            <w:tcW w:w="2007" w:type="dxa"/>
            <w:vMerge/>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5440CC76" w14:textId="77777777" w:rsidR="00A84DD9" w:rsidRPr="00364545" w:rsidRDefault="00A84DD9" w:rsidP="006956FA">
            <w:pPr>
              <w:jc w:val="left"/>
              <w:rPr>
                <w:sz w:val="16"/>
                <w:szCs w:val="16"/>
              </w:rPr>
            </w:pPr>
          </w:p>
        </w:tc>
      </w:tr>
      <w:tr w:rsidR="00A84DD9" w:rsidRPr="00364545" w14:paraId="3C203C77" w14:textId="77777777" w:rsidTr="00A84DD9">
        <w:trPr>
          <w:trHeight w:val="607"/>
        </w:trPr>
        <w:tc>
          <w:tcPr>
            <w:tcW w:w="1412" w:type="dxa"/>
            <w:vMerge w:val="restart"/>
            <w:tcBorders>
              <w:top w:val="single" w:sz="4" w:space="0" w:color="00000A"/>
              <w:left w:val="single" w:sz="4" w:space="0" w:color="000001"/>
              <w:bottom w:val="single" w:sz="4" w:space="0" w:color="000001"/>
              <w:right w:val="single" w:sz="8" w:space="0" w:color="000001"/>
            </w:tcBorders>
            <w:shd w:val="clear" w:color="auto" w:fill="auto"/>
            <w:tcMar>
              <w:left w:w="45" w:type="dxa"/>
            </w:tcMar>
          </w:tcPr>
          <w:p w14:paraId="2FC31BBA" w14:textId="77777777" w:rsidR="00A84DD9" w:rsidRPr="00364545" w:rsidRDefault="00A84DD9" w:rsidP="00A84DD9">
            <w:pPr>
              <w:jc w:val="left"/>
              <w:rPr>
                <w:sz w:val="16"/>
                <w:szCs w:val="16"/>
              </w:rPr>
            </w:pPr>
            <w:r w:rsidRPr="00364545">
              <w:rPr>
                <w:sz w:val="16"/>
              </w:rPr>
              <w:t xml:space="preserve">Measures to promote low-emission vehicles </w:t>
            </w:r>
          </w:p>
        </w:tc>
        <w:tc>
          <w:tcPr>
            <w:tcW w:w="1964" w:type="dxa"/>
            <w:vMerge w:val="restart"/>
            <w:tcBorders>
              <w:top w:val="single" w:sz="4" w:space="0" w:color="00000A"/>
              <w:left w:val="single" w:sz="8" w:space="0" w:color="000001"/>
              <w:bottom w:val="single" w:sz="4" w:space="0" w:color="000001"/>
              <w:right w:val="single" w:sz="4" w:space="0" w:color="000001"/>
            </w:tcBorders>
            <w:shd w:val="clear" w:color="auto" w:fill="E6D3C5" w:themeFill="accent6" w:themeFillTint="33"/>
            <w:tcMar>
              <w:left w:w="20" w:type="dxa"/>
            </w:tcMar>
          </w:tcPr>
          <w:p w14:paraId="6B0B85C9" w14:textId="77777777" w:rsidR="00A84DD9" w:rsidRPr="00364545" w:rsidRDefault="00A84DD9" w:rsidP="006956FA">
            <w:pPr>
              <w:jc w:val="left"/>
              <w:rPr>
                <w:sz w:val="16"/>
                <w:szCs w:val="16"/>
              </w:rPr>
            </w:pPr>
            <w:r w:rsidRPr="00364545">
              <w:rPr>
                <w:sz w:val="16"/>
              </w:rPr>
              <w:t>Positive effect of maintaining or potentially creating jobs in developing countries exporting low-emission vehicles</w:t>
            </w:r>
          </w:p>
        </w:tc>
        <w:tc>
          <w:tcPr>
            <w:tcW w:w="1938" w:type="dxa"/>
            <w:tcBorders>
              <w:top w:val="single" w:sz="4" w:space="0" w:color="00000A"/>
              <w:left w:val="single" w:sz="4" w:space="0" w:color="000001"/>
              <w:right w:val="single" w:sz="4" w:space="0" w:color="000001"/>
            </w:tcBorders>
            <w:shd w:val="clear" w:color="auto" w:fill="auto"/>
            <w:tcMar>
              <w:left w:w="55" w:type="dxa"/>
            </w:tcMar>
          </w:tcPr>
          <w:p w14:paraId="34185A58" w14:textId="77777777" w:rsidR="00A84DD9" w:rsidRPr="00364545" w:rsidRDefault="00A84DD9" w:rsidP="006956FA">
            <w:pPr>
              <w:jc w:val="left"/>
              <w:rPr>
                <w:sz w:val="16"/>
                <w:szCs w:val="16"/>
              </w:rPr>
            </w:pPr>
            <w:r w:rsidRPr="00364545">
              <w:rPr>
                <w:sz w:val="16"/>
              </w:rPr>
              <w:t> </w:t>
            </w:r>
          </w:p>
        </w:tc>
        <w:tc>
          <w:tcPr>
            <w:tcW w:w="2198" w:type="dxa"/>
            <w:vMerge w:val="restart"/>
            <w:tcBorders>
              <w:top w:val="single" w:sz="4" w:space="0" w:color="00000A"/>
              <w:left w:val="single" w:sz="4" w:space="0" w:color="000001"/>
              <w:bottom w:val="single" w:sz="4" w:space="0" w:color="000001"/>
              <w:right w:val="single" w:sz="8" w:space="0" w:color="000001"/>
            </w:tcBorders>
            <w:shd w:val="clear" w:color="auto" w:fill="E6D3C5" w:themeFill="accent6" w:themeFillTint="33"/>
            <w:tcMar>
              <w:left w:w="45" w:type="dxa"/>
            </w:tcMar>
          </w:tcPr>
          <w:p w14:paraId="254EB238" w14:textId="77777777" w:rsidR="00A84DD9" w:rsidRPr="00364545" w:rsidRDefault="00A84DD9" w:rsidP="006956FA">
            <w:pPr>
              <w:jc w:val="left"/>
              <w:rPr>
                <w:sz w:val="16"/>
                <w:szCs w:val="16"/>
              </w:rPr>
            </w:pPr>
            <w:r w:rsidRPr="00364545">
              <w:rPr>
                <w:sz w:val="16"/>
              </w:rPr>
              <w:t>Promotes imports from developing countries of low-emission vehicles</w:t>
            </w:r>
          </w:p>
        </w:tc>
        <w:tc>
          <w:tcPr>
            <w:tcW w:w="1266" w:type="dxa"/>
            <w:tcBorders>
              <w:top w:val="single" w:sz="4" w:space="0" w:color="00000A"/>
              <w:left w:val="single" w:sz="4" w:space="0" w:color="000001"/>
              <w:right w:val="single" w:sz="4" w:space="0" w:color="000001"/>
            </w:tcBorders>
            <w:shd w:val="clear" w:color="auto" w:fill="auto"/>
            <w:tcMar>
              <w:left w:w="55" w:type="dxa"/>
            </w:tcMar>
          </w:tcPr>
          <w:p w14:paraId="5717D66C" w14:textId="77777777" w:rsidR="00A84DD9" w:rsidRPr="00364545" w:rsidRDefault="00A84DD9" w:rsidP="006956FA">
            <w:pPr>
              <w:jc w:val="left"/>
              <w:rPr>
                <w:sz w:val="16"/>
                <w:szCs w:val="16"/>
              </w:rPr>
            </w:pPr>
            <w:r w:rsidRPr="00364545">
              <w:rPr>
                <w:sz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4889E365" w14:textId="77777777" w:rsidR="00A84DD9" w:rsidRPr="00364545" w:rsidRDefault="00A84DD9" w:rsidP="006956FA">
            <w:pPr>
              <w:jc w:val="left"/>
              <w:rPr>
                <w:sz w:val="16"/>
                <w:szCs w:val="16"/>
              </w:rPr>
            </w:pPr>
            <w:r w:rsidRPr="00364545">
              <w:rPr>
                <w:sz w:val="16"/>
              </w:rPr>
              <w:t>Improving air quality in developing countries</w:t>
            </w:r>
          </w:p>
        </w:tc>
        <w:tc>
          <w:tcPr>
            <w:tcW w:w="2007" w:type="dxa"/>
            <w:tcBorders>
              <w:top w:val="single" w:sz="4" w:space="0" w:color="00000A"/>
              <w:left w:val="single" w:sz="8" w:space="0" w:color="000001"/>
              <w:bottom w:val="single" w:sz="4" w:space="0" w:color="000001"/>
              <w:right w:val="single" w:sz="8" w:space="0" w:color="000001"/>
            </w:tcBorders>
            <w:shd w:val="clear" w:color="auto" w:fill="C6C6EA" w:themeFill="accent2" w:themeFillTint="33"/>
            <w:tcMar>
              <w:left w:w="40" w:type="dxa"/>
            </w:tcMar>
          </w:tcPr>
          <w:p w14:paraId="6CE584B0" w14:textId="77777777" w:rsidR="00A84DD9" w:rsidRPr="00364545" w:rsidRDefault="00A84DD9" w:rsidP="006956FA">
            <w:pPr>
              <w:jc w:val="left"/>
              <w:rPr>
                <w:sz w:val="16"/>
                <w:szCs w:val="16"/>
              </w:rPr>
            </w:pPr>
            <w:r w:rsidRPr="00364545">
              <w:rPr>
                <w:sz w:val="16"/>
              </w:rPr>
              <w:t>Rising demand for raw materials and potential increased pressure on their prices</w:t>
            </w:r>
          </w:p>
        </w:tc>
      </w:tr>
      <w:tr w:rsidR="00A84DD9" w:rsidRPr="00364545" w14:paraId="5A4613DF" w14:textId="77777777" w:rsidTr="00A84DD9">
        <w:trPr>
          <w:trHeight w:val="420"/>
        </w:trPr>
        <w:tc>
          <w:tcPr>
            <w:tcW w:w="1412" w:type="dxa"/>
            <w:vMerge/>
            <w:tcBorders>
              <w:top w:val="single" w:sz="4" w:space="0" w:color="00000A"/>
              <w:left w:val="single" w:sz="4" w:space="0" w:color="000001"/>
              <w:bottom w:val="single" w:sz="4" w:space="0" w:color="00000A"/>
              <w:right w:val="single" w:sz="8" w:space="0" w:color="000001"/>
            </w:tcBorders>
            <w:shd w:val="clear" w:color="auto" w:fill="auto"/>
            <w:tcMar>
              <w:left w:w="45" w:type="dxa"/>
            </w:tcMar>
            <w:vAlign w:val="center"/>
          </w:tcPr>
          <w:p w14:paraId="3BBC63B1" w14:textId="77777777" w:rsidR="00A84DD9" w:rsidRPr="00364545" w:rsidRDefault="00A84DD9" w:rsidP="00B149A0">
            <w:pPr>
              <w:rPr>
                <w:sz w:val="16"/>
                <w:szCs w:val="16"/>
              </w:rPr>
            </w:pPr>
          </w:p>
        </w:tc>
        <w:tc>
          <w:tcPr>
            <w:tcW w:w="1964" w:type="dxa"/>
            <w:vMerge/>
            <w:tcBorders>
              <w:top w:val="single" w:sz="4" w:space="0" w:color="00000A"/>
              <w:left w:val="single" w:sz="8" w:space="0" w:color="000001"/>
              <w:bottom w:val="single" w:sz="4" w:space="0" w:color="00000A"/>
              <w:right w:val="single" w:sz="4" w:space="0" w:color="000001"/>
            </w:tcBorders>
            <w:shd w:val="clear" w:color="auto" w:fill="E6D3C5" w:themeFill="accent6" w:themeFillTint="33"/>
            <w:tcMar>
              <w:left w:w="20" w:type="dxa"/>
            </w:tcMar>
            <w:vAlign w:val="center"/>
          </w:tcPr>
          <w:p w14:paraId="45495B90" w14:textId="77777777" w:rsidR="00A84DD9" w:rsidRPr="00364545" w:rsidRDefault="00A84DD9" w:rsidP="006956FA">
            <w:pPr>
              <w:jc w:val="left"/>
              <w:rPr>
                <w:sz w:val="16"/>
                <w:szCs w:val="16"/>
              </w:rPr>
            </w:pPr>
          </w:p>
        </w:tc>
        <w:tc>
          <w:tcPr>
            <w:tcW w:w="1938" w:type="dxa"/>
            <w:tcBorders>
              <w:top w:val="single" w:sz="4" w:space="0" w:color="00000A"/>
              <w:left w:val="single" w:sz="4" w:space="0" w:color="000001"/>
              <w:bottom w:val="single" w:sz="4" w:space="0" w:color="00000A"/>
              <w:right w:val="single" w:sz="4" w:space="0" w:color="000001"/>
            </w:tcBorders>
            <w:shd w:val="clear" w:color="auto" w:fill="auto"/>
            <w:tcMar>
              <w:left w:w="55" w:type="dxa"/>
            </w:tcMar>
          </w:tcPr>
          <w:p w14:paraId="2A4A6A1F" w14:textId="77777777" w:rsidR="00A84DD9" w:rsidRPr="00364545" w:rsidRDefault="00A84DD9" w:rsidP="006956FA">
            <w:pPr>
              <w:jc w:val="left"/>
              <w:rPr>
                <w:sz w:val="16"/>
                <w:szCs w:val="16"/>
              </w:rPr>
            </w:pPr>
            <w:r w:rsidRPr="00364545">
              <w:rPr>
                <w:sz w:val="16"/>
              </w:rPr>
              <w:t> </w:t>
            </w:r>
          </w:p>
        </w:tc>
        <w:tc>
          <w:tcPr>
            <w:tcW w:w="2198" w:type="dxa"/>
            <w:vMerge/>
            <w:tcBorders>
              <w:top w:val="single" w:sz="4" w:space="0" w:color="00000A"/>
              <w:left w:val="single" w:sz="4" w:space="0" w:color="000001"/>
              <w:bottom w:val="single" w:sz="4" w:space="0" w:color="00000A"/>
              <w:right w:val="single" w:sz="8" w:space="0" w:color="000001"/>
            </w:tcBorders>
            <w:shd w:val="clear" w:color="auto" w:fill="E6D3C5" w:themeFill="accent6" w:themeFillTint="33"/>
            <w:tcMar>
              <w:left w:w="45" w:type="dxa"/>
            </w:tcMar>
            <w:vAlign w:val="center"/>
          </w:tcPr>
          <w:p w14:paraId="03D5F3B1" w14:textId="77777777" w:rsidR="00A84DD9" w:rsidRPr="00364545" w:rsidRDefault="00A84DD9" w:rsidP="006956FA">
            <w:pPr>
              <w:jc w:val="left"/>
              <w:rPr>
                <w:sz w:val="16"/>
                <w:szCs w:val="16"/>
              </w:rPr>
            </w:pPr>
          </w:p>
        </w:tc>
        <w:tc>
          <w:tcPr>
            <w:tcW w:w="1266" w:type="dxa"/>
            <w:tcBorders>
              <w:top w:val="single" w:sz="4" w:space="0" w:color="00000A"/>
              <w:left w:val="single" w:sz="4" w:space="0" w:color="000001"/>
              <w:bottom w:val="single" w:sz="4" w:space="0" w:color="00000A"/>
              <w:right w:val="single" w:sz="4" w:space="0" w:color="000001"/>
            </w:tcBorders>
            <w:shd w:val="clear" w:color="auto" w:fill="auto"/>
            <w:tcMar>
              <w:left w:w="55" w:type="dxa"/>
            </w:tcMar>
          </w:tcPr>
          <w:p w14:paraId="41F28B44" w14:textId="77777777" w:rsidR="00A84DD9" w:rsidRPr="00364545" w:rsidRDefault="00A84DD9" w:rsidP="006956FA">
            <w:pPr>
              <w:jc w:val="left"/>
              <w:rPr>
                <w:sz w:val="16"/>
                <w:szCs w:val="16"/>
              </w:rPr>
            </w:pPr>
            <w:r w:rsidRPr="00364545">
              <w:rPr>
                <w:sz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10D591DD" w14:textId="77777777" w:rsidR="00A84DD9" w:rsidRPr="00364545" w:rsidRDefault="00A84DD9" w:rsidP="006956FA">
            <w:pPr>
              <w:jc w:val="left"/>
              <w:rPr>
                <w:sz w:val="16"/>
                <w:szCs w:val="16"/>
              </w:rPr>
            </w:pPr>
            <w:r w:rsidRPr="00364545">
              <w:rPr>
                <w:sz w:val="16"/>
              </w:rPr>
              <w:t>Development of low-emission vehicles potentially transferable to developing countries</w:t>
            </w:r>
          </w:p>
        </w:tc>
        <w:tc>
          <w:tcPr>
            <w:tcW w:w="2007" w:type="dxa"/>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6C497CCF" w14:textId="77777777" w:rsidR="00A84DD9" w:rsidRPr="00364545" w:rsidRDefault="00A84DD9" w:rsidP="006956FA">
            <w:pPr>
              <w:jc w:val="left"/>
              <w:rPr>
                <w:sz w:val="16"/>
                <w:szCs w:val="16"/>
              </w:rPr>
            </w:pPr>
            <w:r w:rsidRPr="00364545">
              <w:rPr>
                <w:sz w:val="16"/>
              </w:rPr>
              <w:t xml:space="preserve">Effect of reduced demand for fossil fuels and potential reduced pressure on their price </w:t>
            </w:r>
          </w:p>
        </w:tc>
      </w:tr>
    </w:tbl>
    <w:p w14:paraId="17C4101B" w14:textId="77777777" w:rsidR="00A84DD9" w:rsidRPr="00364545" w:rsidRDefault="00A84DD9">
      <w:pPr>
        <w:spacing w:line="240" w:lineRule="atLeast"/>
        <w:jc w:val="left"/>
        <w:rPr>
          <w:rFonts w:eastAsiaTheme="majorEastAsia" w:cstheme="majorBidi"/>
          <w:bCs/>
          <w:spacing w:val="-10"/>
          <w:kern w:val="28"/>
          <w:sz w:val="48"/>
          <w:szCs w:val="56"/>
        </w:rPr>
      </w:pPr>
      <w:r w:rsidRPr="00364545">
        <w:br w:type="page"/>
      </w:r>
    </w:p>
    <w:p w14:paraId="60E29C09" w14:textId="620C952F" w:rsidR="0051771F" w:rsidRPr="00364545" w:rsidRDefault="0051771F" w:rsidP="00A5513E">
      <w:pPr>
        <w:pStyle w:val="Titre1Niveau1"/>
        <w:ind w:left="0" w:right="27"/>
      </w:pPr>
      <w:bookmarkStart w:id="481" w:name="_Toc138341838"/>
      <w:r w:rsidRPr="00364545">
        <w:t>Chapter V - GHG emission projections and quantification of the impact of policies and measures</w:t>
      </w:r>
      <w:bookmarkEnd w:id="481"/>
    </w:p>
    <w:p w14:paraId="312B1609" w14:textId="77777777" w:rsidR="001021CB" w:rsidRPr="00364545" w:rsidRDefault="001021CB" w:rsidP="003F57EA">
      <w:pPr>
        <w:pStyle w:val="Titre2Niveau2"/>
        <w:numPr>
          <w:ilvl w:val="0"/>
          <w:numId w:val="78"/>
        </w:numPr>
      </w:pPr>
      <w:bookmarkStart w:id="482" w:name="_Toc121215525"/>
      <w:bookmarkStart w:id="483" w:name="_Toc138341839"/>
      <w:bookmarkEnd w:id="479"/>
      <w:r w:rsidRPr="00364545">
        <w:t>Projections</w:t>
      </w:r>
      <w:bookmarkEnd w:id="482"/>
      <w:bookmarkEnd w:id="483"/>
    </w:p>
    <w:p w14:paraId="5CF93574" w14:textId="77777777" w:rsidR="001021CB" w:rsidRPr="00364545" w:rsidRDefault="001021CB" w:rsidP="003F57EA">
      <w:pPr>
        <w:pStyle w:val="Titre3Niveau3"/>
        <w:numPr>
          <w:ilvl w:val="1"/>
          <w:numId w:val="78"/>
        </w:numPr>
      </w:pPr>
      <w:bookmarkStart w:id="484" w:name="_Toc138341840"/>
      <w:r w:rsidRPr="00364545">
        <w:t>Definition of scenarios</w:t>
      </w:r>
      <w:bookmarkStart w:id="485" w:name="_Toc121215527"/>
      <w:bookmarkEnd w:id="485"/>
      <w:bookmarkEnd w:id="484"/>
    </w:p>
    <w:p w14:paraId="5F848957" w14:textId="17CA7A88" w:rsidR="001021CB" w:rsidRPr="00364545" w:rsidRDefault="001021CB" w:rsidP="003F57EA">
      <w:pPr>
        <w:pStyle w:val="titreencadre"/>
        <w:numPr>
          <w:ilvl w:val="3"/>
          <w:numId w:val="78"/>
        </w:numPr>
      </w:pPr>
      <w:r w:rsidRPr="00364545">
        <w:t>AME Scenario</w:t>
      </w:r>
      <w:r w:rsidR="003D187D">
        <w:t xml:space="preserve"> (WEM)</w:t>
      </w:r>
    </w:p>
    <w:p w14:paraId="7A95C583" w14:textId="1241E9ED" w:rsidR="001021CB" w:rsidRPr="00364545" w:rsidRDefault="001B5E15" w:rsidP="001B5E15">
      <w:pPr>
        <w:rPr>
          <w:b/>
        </w:rPr>
      </w:pPr>
      <w:r w:rsidRPr="00364545">
        <w:t xml:space="preserve">A scenario “with existing measures” or AME 2021, taking into account all policies and measures decided and implemented until 31 December 2019, was created in 2021. This 2050 scenario updates the AME 2018 scenario by integrating all the policies and measures decided and implemented between 1 July 2017 and 31 December 2019. </w:t>
      </w:r>
      <w:r w:rsidR="00F15C26">
        <w:t xml:space="preserve">The general approach, for WEM scenarios is to consider that no new policies and measures are being implemented after a particular cut-off date, and that existing measures end unless a funding trajectory has been established. The AME scenario is therefore a “business-as-usual” scenario, which provides a conservative estimate of the evolution of GHG emissions with existing measures. </w:t>
      </w:r>
      <w:r w:rsidRPr="00364545">
        <w:t>A summary of this scenario, written in French, is available on the website of the Ministry of Ecology Transition</w:t>
      </w:r>
      <w:r w:rsidRPr="00364545">
        <w:rPr>
          <w:rStyle w:val="FootnoteReference"/>
        </w:rPr>
        <w:footnoteReference w:id="54"/>
      </w:r>
      <w:r w:rsidRPr="00364545">
        <w:t>.</w:t>
      </w:r>
    </w:p>
    <w:p w14:paraId="5EC73CE8" w14:textId="0A074BA4" w:rsidR="001021CB" w:rsidRPr="00364545" w:rsidRDefault="001021CB" w:rsidP="003F57EA">
      <w:pPr>
        <w:pStyle w:val="titreencadre"/>
        <w:numPr>
          <w:ilvl w:val="3"/>
          <w:numId w:val="78"/>
        </w:numPr>
      </w:pPr>
      <w:r w:rsidRPr="00364545">
        <w:t>AMS Scenario</w:t>
      </w:r>
      <w:r w:rsidR="003D187D">
        <w:t xml:space="preserve"> (WAM)</w:t>
      </w:r>
    </w:p>
    <w:p w14:paraId="4F1CB841" w14:textId="6E8E1ACB" w:rsidR="004F2995" w:rsidRPr="00364545" w:rsidRDefault="001B5E15" w:rsidP="004F2995">
      <w:r w:rsidRPr="00364545">
        <w:t>Between April 2017 and March 2018 France conducted a large-scale scenario-building exercise for the 2050 time period. The previous exercise was carried out up to 2035. A scenario "with additional measures" or AMS 2018 was then created. It represents a way for France to reach its long-term objectives, notably carbon neutrality on its national territory in 2050.</w:t>
      </w:r>
      <w:r w:rsidR="004F2995">
        <w:t xml:space="preserve"> This scenario had already been reported in France’s BR4 in a preliminary version. The same scenario is being reported in the BR5 in a finalized version, which has been used to establish France’s domestic carbon budgets. There are few differences between the two versions, and most of them are </w:t>
      </w:r>
      <w:r w:rsidR="00975A35">
        <w:t>being technical</w:t>
      </w:r>
      <w:r w:rsidR="004F2995">
        <w:t xml:space="preserve"> updates </w:t>
      </w:r>
      <w:r w:rsidR="00975A35">
        <w:t>related to GHG</w:t>
      </w:r>
      <w:r w:rsidR="004F2995">
        <w:t xml:space="preserve"> inventory methodology. </w:t>
      </w:r>
    </w:p>
    <w:p w14:paraId="45885974" w14:textId="3BE5A482" w:rsidR="001B5E15" w:rsidRPr="00364545" w:rsidRDefault="001B5E15" w:rsidP="001B5E15"/>
    <w:p w14:paraId="1B935A67" w14:textId="7C6A2931" w:rsidR="001B5E15" w:rsidRDefault="003D187D" w:rsidP="001B5E15">
      <w:r>
        <w:t xml:space="preserve">No “without measure” scenario (WOM) has been produced since considering France’s modelling architecture, it would have been highly resource intensive, and would have delivered only little additional value to France’s domestic policy-making compared to the WEM scenario. </w:t>
      </w:r>
    </w:p>
    <w:p w14:paraId="76AEA029" w14:textId="77777777" w:rsidR="003D187D" w:rsidRPr="00364545" w:rsidRDefault="003D187D" w:rsidP="001B5E15"/>
    <w:p w14:paraId="1ADC9C12" w14:textId="6F7E1479" w:rsidR="001B5E15" w:rsidRPr="00364545" w:rsidRDefault="001B5E15" w:rsidP="001B5E15">
      <w:r w:rsidRPr="00364545">
        <w:t xml:space="preserve">Additional measures compared to the AME scenario are included in this scenario. The AMS scenario incorporates the additional measures adopted since 1 July 2017 (some of which are included in the AME 2021 scenario), a reinforcement and extension of existing measures and the taking into account of the guidelines adopted within the framework of the National Low Carbon Strategy and the Multiannual Energy Plan. </w:t>
      </w:r>
      <w:r w:rsidR="00F15C26">
        <w:t>Since the WAM scenario is being updated only every 4/5 years, and the WEM scenarios every 2 years, the AME 2021 scenario happens to include some measures, adopted between 2017 and December 2019, considered as “additional” when the AMS 2018 was elaborated (ex. Tertiary decree, closure of coal-fired power plants, EU regulation on CO2 emissions from cars and vans). However, this overlap is limited, and the AMS 2018 (WAM) scenario includes a clearly larger set of PaMs, with on the one hand PaMs that are being extended until 2050</w:t>
      </w:r>
      <w:r w:rsidR="00975A35">
        <w:t xml:space="preserve"> (ex. Energy saving certificate scheme, Heat Fund, MaPrimeRénov, etc.)</w:t>
      </w:r>
      <w:r w:rsidR="00F15C26">
        <w:t>, and on the other hand, additional measures which have not yet been implemented by December 2019</w:t>
      </w:r>
      <w:r w:rsidR="00975A35">
        <w:t xml:space="preserve"> (ex. Support to modal shift in the transport sector, enhanced construction regulation for new building, etc.)</w:t>
      </w:r>
      <w:r w:rsidR="00F15C26">
        <w:t>.</w:t>
      </w:r>
      <w:r w:rsidR="00975A35">
        <w:t xml:space="preserve"> The following sections provide further details on the PaMs included in each scenario.</w:t>
      </w:r>
    </w:p>
    <w:p w14:paraId="36CFF1ED" w14:textId="77777777" w:rsidR="001B5E15" w:rsidRPr="00364545" w:rsidRDefault="001B5E15" w:rsidP="001B5E15"/>
    <w:p w14:paraId="1C5C2BB8" w14:textId="1F73C16B" w:rsidR="001B5E15" w:rsidRPr="00364545" w:rsidRDefault="001B5E15" w:rsidP="001B5E15">
      <w:r w:rsidRPr="00364545">
        <w:t>This scenario was defined as part of the consultation process for the 2nd National Low Carbon Strategy. The hypotheses were developed within the framework of technical discussion groups with stakeholders and presented to the SNBC's Information and Steering Committee. The AMS Scenario is the reference scenario of the French energy and climate strategy. The two national planning or strategy documents, the Multiannual Energy Plan (MPE) and the National Low Carbon Strategy (SNBC) are based on this scenario, as is the National Integrated Energy and Climate Plan (PNIEC) that France submitted to the European Union in 2019. A summary of this scenario has been written in French and can be found on the website of the Ministry of Ecology Transition</w:t>
      </w:r>
      <w:r w:rsidRPr="00364545">
        <w:rPr>
          <w:rStyle w:val="FootnoteReference"/>
          <w:rFonts w:ascii="Times New Roman" w:eastAsiaTheme="majorEastAsia" w:hAnsi="Times New Roman"/>
          <w:color w:val="000000"/>
          <w:szCs w:val="22"/>
        </w:rPr>
        <w:footnoteReference w:id="55"/>
      </w:r>
      <w:r w:rsidRPr="00364545">
        <w:t>.</w:t>
      </w:r>
    </w:p>
    <w:p w14:paraId="78FFF8F4" w14:textId="77777777" w:rsidR="001B5E15" w:rsidRPr="00364545" w:rsidRDefault="001B5E15" w:rsidP="001B5E15"/>
    <w:p w14:paraId="72AEA6A5" w14:textId="50CD8F51" w:rsidR="001021CB" w:rsidRPr="00364545" w:rsidRDefault="001B5E15" w:rsidP="001B5E15">
      <w:r w:rsidRPr="00364545">
        <w:t>All the policies and measures presented in chapter 4 and marked with an asterisk (*) have therefore been included.</w:t>
      </w:r>
    </w:p>
    <w:p w14:paraId="313C060C" w14:textId="77777777" w:rsidR="001021CB" w:rsidRPr="00364545" w:rsidRDefault="001021CB" w:rsidP="003F57EA">
      <w:pPr>
        <w:pStyle w:val="Titre4niveau4"/>
        <w:numPr>
          <w:ilvl w:val="2"/>
          <w:numId w:val="78"/>
        </w:numPr>
      </w:pPr>
      <w:r w:rsidRPr="00364545">
        <w:t>Carbon taxation (cross-cutting)</w:t>
      </w:r>
    </w:p>
    <w:p w14:paraId="66C0C8CF" w14:textId="77777777" w:rsidR="001021CB" w:rsidRPr="00364545" w:rsidRDefault="001021CB" w:rsidP="003F57EA">
      <w:pPr>
        <w:pStyle w:val="titreencadre"/>
        <w:numPr>
          <w:ilvl w:val="3"/>
          <w:numId w:val="78"/>
        </w:numPr>
      </w:pPr>
      <w:r w:rsidRPr="00364545">
        <w:t>AME 2021</w:t>
      </w:r>
    </w:p>
    <w:p w14:paraId="0CE48DDC" w14:textId="3AD7A5F8" w:rsidR="001021CB" w:rsidRPr="00364545" w:rsidRDefault="001B5E15" w:rsidP="001B5E15">
      <w:r w:rsidRPr="00364545">
        <w:t>The hypotheses on carbon taxation have been modified. For the non-ETS sectors in particular, the latest AME scenario included the same carbon component on domestic energy consumption taxes with a value of €14.50/tCO</w:t>
      </w:r>
      <w:r w:rsidRPr="00364545">
        <w:rPr>
          <w:vertAlign w:val="subscript"/>
        </w:rPr>
        <w:t>2</w:t>
      </w:r>
      <w:r w:rsidRPr="00364545">
        <w:t xml:space="preserve"> in 2015, €22/tCO</w:t>
      </w:r>
      <w:r w:rsidRPr="00364545">
        <w:rPr>
          <w:vertAlign w:val="subscript"/>
        </w:rPr>
        <w:t>2</w:t>
      </w:r>
      <w:r w:rsidRPr="00364545">
        <w:t xml:space="preserve"> in 2016, €30.50/tCO</w:t>
      </w:r>
      <w:r w:rsidRPr="00364545">
        <w:rPr>
          <w:vertAlign w:val="subscript"/>
        </w:rPr>
        <w:t>2</w:t>
      </w:r>
      <w:r w:rsidRPr="00364545">
        <w:t xml:space="preserve"> in 2017, €39/tCO</w:t>
      </w:r>
      <w:r w:rsidRPr="00364545">
        <w:rPr>
          <w:vertAlign w:val="subscript"/>
        </w:rPr>
        <w:t>2</w:t>
      </w:r>
      <w:r w:rsidRPr="00364545">
        <w:t xml:space="preserve"> in 2018, €47.50/tCO</w:t>
      </w:r>
      <w:r w:rsidRPr="00364545">
        <w:rPr>
          <w:vertAlign w:val="subscript"/>
        </w:rPr>
        <w:t>2</w:t>
      </w:r>
      <w:r w:rsidRPr="00364545">
        <w:t xml:space="preserve"> in 2019, €56/tCO</w:t>
      </w:r>
      <w:r w:rsidRPr="00364545">
        <w:rPr>
          <w:vertAlign w:val="subscript"/>
        </w:rPr>
        <w:t>2</w:t>
      </w:r>
      <w:r w:rsidRPr="00364545">
        <w:t xml:space="preserve"> in 2020 then a linear growth to €100/tCO</w:t>
      </w:r>
      <w:r w:rsidRPr="00364545">
        <w:rPr>
          <w:vertAlign w:val="subscript"/>
        </w:rPr>
        <w:t>2</w:t>
      </w:r>
      <w:r w:rsidRPr="00364545">
        <w:t>. The AME 2021 scenario incorporates the freezing of the TICPE decided at the end of 2018 and assumes that it will remain at its current level, i.e. €44.60/tCO</w:t>
      </w:r>
      <w:r w:rsidRPr="00364545">
        <w:rPr>
          <w:vertAlign w:val="subscript"/>
        </w:rPr>
        <w:t>2</w:t>
      </w:r>
      <w:r w:rsidRPr="00364545">
        <w:t>, until 2050.</w:t>
      </w:r>
    </w:p>
    <w:p w14:paraId="3722F089" w14:textId="77777777" w:rsidR="001021CB" w:rsidRPr="00364545" w:rsidRDefault="001021CB" w:rsidP="003F57EA">
      <w:pPr>
        <w:pStyle w:val="titreencadre"/>
        <w:numPr>
          <w:ilvl w:val="3"/>
          <w:numId w:val="78"/>
        </w:numPr>
      </w:pPr>
      <w:r w:rsidRPr="00364545">
        <w:t>AMS 2018</w:t>
      </w:r>
    </w:p>
    <w:p w14:paraId="527299C6" w14:textId="6A235B30" w:rsidR="001021CB" w:rsidRPr="00364545" w:rsidRDefault="001021CB" w:rsidP="001021CB">
      <w:pPr>
        <w:spacing w:before="240" w:after="240"/>
      </w:pPr>
      <w:r w:rsidRPr="00364545">
        <w:t>The AMS 2018 scenario takes into account the decision to freeze the carbon component increase at the end of 2018. The carbon component is therefore modelled with a stable trajectory from 2018 onwards at €44.60/tCO</w:t>
      </w:r>
      <w:r w:rsidRPr="00364545">
        <w:rPr>
          <w:vertAlign w:val="subscript"/>
        </w:rPr>
        <w:t>2</w:t>
      </w:r>
      <w:r w:rsidRPr="00364545">
        <w:t>.</w:t>
      </w:r>
    </w:p>
    <w:p w14:paraId="11823140" w14:textId="77777777" w:rsidR="001021CB" w:rsidRPr="00364545" w:rsidRDefault="001021CB" w:rsidP="003F57EA">
      <w:pPr>
        <w:pStyle w:val="Titre4niveau4"/>
        <w:numPr>
          <w:ilvl w:val="2"/>
          <w:numId w:val="78"/>
        </w:numPr>
      </w:pPr>
      <w:r w:rsidRPr="00364545">
        <w:t xml:space="preserve">Energy saving certificates (cross-cutting) </w:t>
      </w:r>
    </w:p>
    <w:p w14:paraId="4AA82271" w14:textId="77777777" w:rsidR="001021CB" w:rsidRPr="00364545" w:rsidRDefault="001021CB" w:rsidP="003F57EA">
      <w:pPr>
        <w:pStyle w:val="titreencadre"/>
        <w:numPr>
          <w:ilvl w:val="3"/>
          <w:numId w:val="78"/>
        </w:numPr>
      </w:pPr>
      <w:r w:rsidRPr="00364545">
        <w:t>AME 2021</w:t>
      </w:r>
    </w:p>
    <w:p w14:paraId="2F3E19C0" w14:textId="77777777" w:rsidR="001021CB" w:rsidRPr="00364545" w:rsidRDefault="001021CB" w:rsidP="001021CB">
      <w:pPr>
        <w:spacing w:before="240" w:after="240"/>
      </w:pPr>
      <w:r w:rsidRPr="00364545">
        <w:t xml:space="preserve">The AME 2021 scenario includes the extension of the 4th period of the energy saving certificate scheme until 31/12/2021 with an indicated target of 2133 TWh cumac over the 2018-2021 period. The value of the energy saving certificate is set at €6/MWh cumac (compared to €3/MWh in the previous AME) for this period reflecting the price increase observed since 2018. </w:t>
      </w:r>
    </w:p>
    <w:p w14:paraId="7C6EA646" w14:textId="77777777" w:rsidR="001021CB" w:rsidRPr="00364545" w:rsidRDefault="001021CB" w:rsidP="003F57EA">
      <w:pPr>
        <w:pStyle w:val="titreencadre"/>
        <w:numPr>
          <w:ilvl w:val="3"/>
          <w:numId w:val="78"/>
        </w:numPr>
      </w:pPr>
      <w:r w:rsidRPr="00364545">
        <w:t>AMS 2018</w:t>
      </w:r>
    </w:p>
    <w:p w14:paraId="3BEDCF3B" w14:textId="77777777" w:rsidR="001021CB" w:rsidRPr="00364545" w:rsidRDefault="001021CB" w:rsidP="001021CB">
      <w:pPr>
        <w:spacing w:before="240" w:after="240"/>
      </w:pPr>
      <w:r w:rsidRPr="00364545">
        <w:t>The energy saving certificate scheme is extended until 2050. The value of the energy saving certificate progressively increases from €3/MWh cumac at the beginning of the period up to €20/MWh cumac in 2050.</w:t>
      </w:r>
    </w:p>
    <w:p w14:paraId="2D33D164" w14:textId="77777777" w:rsidR="001021CB" w:rsidRPr="00364545" w:rsidRDefault="001021CB" w:rsidP="003F57EA">
      <w:pPr>
        <w:pStyle w:val="Titre4niveau4"/>
        <w:numPr>
          <w:ilvl w:val="2"/>
          <w:numId w:val="78"/>
        </w:numPr>
      </w:pPr>
      <w:r w:rsidRPr="00364545">
        <w:t xml:space="preserve">Renewable energy </w:t>
      </w:r>
    </w:p>
    <w:p w14:paraId="37F4C3B1" w14:textId="77777777" w:rsidR="001021CB" w:rsidRPr="00364545" w:rsidRDefault="001021CB" w:rsidP="003F57EA">
      <w:pPr>
        <w:pStyle w:val="titreencadre"/>
        <w:numPr>
          <w:ilvl w:val="3"/>
          <w:numId w:val="78"/>
        </w:numPr>
      </w:pPr>
      <w:r w:rsidRPr="00364545">
        <w:t>AME 2021</w:t>
      </w:r>
    </w:p>
    <w:p w14:paraId="44043963" w14:textId="7E4E5D6A" w:rsidR="001021CB" w:rsidRPr="00364545" w:rsidRDefault="001021CB" w:rsidP="001021CB">
      <w:pPr>
        <w:spacing w:before="240" w:after="240"/>
      </w:pPr>
      <w:r w:rsidRPr="00364545">
        <w:t xml:space="preserve">The heat fund was extended until 2021 and stopped thereafter. Biofuels were included at 7.9% for petrol and 7.3% for diesel in 2015 and remain stable over the period. Renewable electrical energy is expected to grow at the current rate. </w:t>
      </w:r>
    </w:p>
    <w:p w14:paraId="711A6DDE" w14:textId="77777777" w:rsidR="001021CB" w:rsidRPr="00364545" w:rsidRDefault="001021CB" w:rsidP="003F57EA">
      <w:pPr>
        <w:pStyle w:val="titreencadre"/>
        <w:numPr>
          <w:ilvl w:val="3"/>
          <w:numId w:val="78"/>
        </w:numPr>
      </w:pPr>
      <w:r w:rsidRPr="00364545">
        <w:t>AMS 2018</w:t>
      </w:r>
    </w:p>
    <w:p w14:paraId="1DF5D4DD" w14:textId="77777777" w:rsidR="001021CB" w:rsidRPr="00364545" w:rsidRDefault="001021CB" w:rsidP="001021CB">
      <w:pPr>
        <w:spacing w:before="240" w:after="240"/>
      </w:pPr>
      <w:r w:rsidRPr="00364545">
        <w:t>The heat fund is extended until 2050. Biofuels were included at 7.5% for petrol and diesel in 2015, rising to 10.6% in 2030 and 100% in 2050. Renewable electrical energy is expected to grow quicker than in the AME scenario.</w:t>
      </w:r>
    </w:p>
    <w:p w14:paraId="7AF3D575" w14:textId="77777777" w:rsidR="001021CB" w:rsidRPr="00364545" w:rsidRDefault="001021CB" w:rsidP="003F57EA">
      <w:pPr>
        <w:pStyle w:val="Titre4niveau4"/>
        <w:numPr>
          <w:ilvl w:val="2"/>
          <w:numId w:val="78"/>
        </w:numPr>
      </w:pPr>
      <w:r w:rsidRPr="00364545">
        <w:t>Transport</w:t>
      </w:r>
    </w:p>
    <w:p w14:paraId="7750EC07" w14:textId="77777777" w:rsidR="001021CB" w:rsidRPr="00364545" w:rsidRDefault="001021CB" w:rsidP="003F57EA">
      <w:pPr>
        <w:pStyle w:val="titreencadre"/>
        <w:numPr>
          <w:ilvl w:val="3"/>
          <w:numId w:val="78"/>
        </w:numPr>
      </w:pPr>
      <w:r w:rsidRPr="00364545">
        <w:t>AME 2021</w:t>
      </w:r>
    </w:p>
    <w:p w14:paraId="4A282996" w14:textId="77777777" w:rsidR="001B5E15" w:rsidRPr="00364545" w:rsidRDefault="001B5E15" w:rsidP="001B5E15">
      <w:r w:rsidRPr="00364545">
        <w:t xml:space="preserve">For this sector, the AME 2021 incorporates in particular: the 2019 European regulations on vehicles, the measures of the Mobility Orientation Law (LOM) and the fiscal measures taken before the end of 2019. </w:t>
      </w:r>
    </w:p>
    <w:p w14:paraId="01D0427A" w14:textId="77777777" w:rsidR="001B5E15" w:rsidRPr="00364545" w:rsidRDefault="001B5E15" w:rsidP="001B5E15"/>
    <w:p w14:paraId="2D92F3C6" w14:textId="1F62A99D" w:rsidR="001B5E15" w:rsidRPr="00364545" w:rsidRDefault="001B5E15" w:rsidP="001B5E15">
      <w:r w:rsidRPr="00364545">
        <w:t>For vehicle fleets, the scenario includes the 2019 European regulations setting emission reduction targets for new vehicles sold by 2030 compared to 2021 for passenger cars (-37.5%), light commercial vehicles (-31%) and heavy goods vehicles (-30%). The scenario also incorporates national measures relating to vehicles, in particular all the fiscal measures decided on before 2020 (bonus-malus, conversion premium, tax on company vehicles, depreciation scheme for heavy vehicles)</w:t>
      </w:r>
      <w:r w:rsidRPr="00364545">
        <w:rPr>
          <w:rFonts w:ascii="Calibri" w:hAnsi="Calibri"/>
        </w:rPr>
        <w:t>;</w:t>
      </w:r>
      <w:r w:rsidRPr="00364545">
        <w:t xml:space="preserve"> the reinforcement under the Transport Policy Law of the objectives of integrating low-emission vehicles and the extension of the measure to company fleets of more than 100 vehicles, including fleet leasing companies</w:t>
      </w:r>
      <w:r w:rsidRPr="00364545">
        <w:rPr>
          <w:rFonts w:ascii="Calibri" w:hAnsi="Calibri"/>
        </w:rPr>
        <w:t>;</w:t>
      </w:r>
      <w:r w:rsidRPr="00364545">
        <w:t xml:space="preserve"> incentives for the installation of public and private charging stations</w:t>
      </w:r>
      <w:r w:rsidRPr="00364545">
        <w:rPr>
          <w:rFonts w:ascii="Calibri" w:hAnsi="Calibri"/>
        </w:rPr>
        <w:t>;</w:t>
      </w:r>
      <w:r w:rsidRPr="00364545">
        <w:t xml:space="preserve"> low-emission zones. In modelling, measures relating to obligations to integrate low-emission vehicles into fleet renewal, fiscal incentives, the development of low-emission zones and measures to develop charging stations are considered as measures that support the achievement of European targets but have no additional effect.</w:t>
      </w:r>
    </w:p>
    <w:p w14:paraId="799EC846" w14:textId="77777777" w:rsidR="001B5E15" w:rsidRPr="00364545" w:rsidRDefault="001B5E15" w:rsidP="001B5E15"/>
    <w:p w14:paraId="5B761200" w14:textId="60C50A5A" w:rsidR="001B5E15" w:rsidRPr="00364545" w:rsidRDefault="001B5E15" w:rsidP="001B5E15">
      <w:r w:rsidRPr="00364545">
        <w:t>For traffic, modelling takes into account all the measures in favour of cycling that have been adopted as part of the Mobility Orientation Law and the cycling plan, measures to strengthen public transport and low-emission zones. For aviation, the scenario includes the ETS and CORSIA schemes. A saturation effect is taken into account in modelling for international traffic from 2025 until 2050, through a reduction in the flexibility of traffic compared to GDP of around 25% by 2050.</w:t>
      </w:r>
    </w:p>
    <w:p w14:paraId="022AFD09" w14:textId="77777777" w:rsidR="001B5E15" w:rsidRPr="00364545" w:rsidRDefault="001B5E15" w:rsidP="001B5E15"/>
    <w:p w14:paraId="3D555564" w14:textId="5B9D6B7B" w:rsidR="001021CB" w:rsidRPr="00364545" w:rsidRDefault="001B5E15" w:rsidP="001B5E15">
      <w:r w:rsidRPr="00364545">
        <w:t>Traffic was modelled at key points of 2030 and 2050. The 2025 point was interpolated from 2018 to 2030. The impact of Covid-19 is taken into account, on the one hand, through the Commission's GDP chronicle, which includes a Covid-19 effect, which is reflected in traffic, including in the medium term, through the impact of GDP in the models; and, on the other hand, the 2020 point, which is evaluated on the basis of the provisional traffic data known at the time the chronicles were drawn up.</w:t>
      </w:r>
    </w:p>
    <w:p w14:paraId="0DB9BBE4" w14:textId="77777777" w:rsidR="001021CB" w:rsidRPr="00364545" w:rsidRDefault="001021CB" w:rsidP="003F57EA">
      <w:pPr>
        <w:pStyle w:val="titreencadre"/>
        <w:numPr>
          <w:ilvl w:val="3"/>
          <w:numId w:val="78"/>
        </w:numPr>
      </w:pPr>
      <w:r w:rsidRPr="00364545">
        <w:t>AMS 2018</w:t>
      </w:r>
    </w:p>
    <w:p w14:paraId="1BB2A49F" w14:textId="5A8C1F9A" w:rsidR="00512611" w:rsidRPr="00364545" w:rsidRDefault="00512611" w:rsidP="00512611">
      <w:pPr>
        <w:spacing w:before="240" w:after="240"/>
        <w:rPr>
          <w:szCs w:val="22"/>
        </w:rPr>
      </w:pPr>
      <w:r w:rsidRPr="00364545">
        <w:t>The AMS scenario carried out prior to the adoption of the 2019 regulations anticipated the adoption of these regulations and projected a development of low emission vehicles close to the AME 21 scenario. In addition, the scenario includes a target of ending the sale of new cars and light commercial vehicles emitting greenhouse gases in 2040. The scenario therefore foresees the eventual complete electrification of the passenger car fleet, a strong development of electrification for light commercial vehicles as well as a more diversified energy mix for heavy goods vehicles including the development of NGVs (Natural Gas Vehicles) with the development of bio-NGV, electrification including hydrogen fuel cells. The scenario also includes strong energy efficiency increases with a real consumption of 4l/100km for new cars in 2030. The inclusion rate of biofuels in liquid and gaseous fuels is developing until reaching 100% inclusion for land transport in 2050.</w:t>
      </w:r>
    </w:p>
    <w:p w14:paraId="7E202436" w14:textId="7CC74554" w:rsidR="001021CB" w:rsidRPr="00364545" w:rsidRDefault="00512611" w:rsidP="00512611">
      <w:pPr>
        <w:spacing w:before="240" w:after="240"/>
        <w:rPr>
          <w:szCs w:val="22"/>
        </w:rPr>
      </w:pPr>
      <w:r w:rsidRPr="00364545">
        <w:t>The scenario includes reinforced measures on demand. The modal share of cycling is multiplied by 4 by 2030. The scenario includes a modal shift towards public transportation of 3 points by 2030 and 7 points by 2050. The scenario also incorporates an assumption of control of travel demand with a lower growth than in the "With Existing Measures" (WEM) scenario (telecommuting, limitation of urban sprawl) as well as a growth in vehicle occupancy rates.</w:t>
      </w:r>
    </w:p>
    <w:p w14:paraId="321A260D" w14:textId="77777777" w:rsidR="001021CB" w:rsidRPr="00364545" w:rsidRDefault="001021CB" w:rsidP="003F57EA">
      <w:pPr>
        <w:pStyle w:val="Titre4niveau4"/>
        <w:numPr>
          <w:ilvl w:val="2"/>
          <w:numId w:val="78"/>
        </w:numPr>
      </w:pPr>
      <w:r w:rsidRPr="00364545">
        <w:t xml:space="preserve">Construction </w:t>
      </w:r>
    </w:p>
    <w:p w14:paraId="30329312" w14:textId="77777777" w:rsidR="001021CB" w:rsidRPr="00364545" w:rsidRDefault="001021CB" w:rsidP="003F57EA">
      <w:pPr>
        <w:pStyle w:val="titreencadre"/>
        <w:numPr>
          <w:ilvl w:val="3"/>
          <w:numId w:val="78"/>
        </w:numPr>
      </w:pPr>
      <w:r w:rsidRPr="00364545">
        <w:t>AME 2021</w:t>
      </w:r>
    </w:p>
    <w:p w14:paraId="4B897385" w14:textId="77777777" w:rsidR="00512611" w:rsidRPr="00364545" w:rsidRDefault="00512611" w:rsidP="00512611">
      <w:pPr>
        <w:spacing w:before="240" w:after="240"/>
      </w:pPr>
      <w:r w:rsidRPr="00364545">
        <w:t>Concerning the construction of new buildings, the AME 2021 scenario takes into account the latest regulation in force, namely RT2012. Unlike the 2018 scenario, the E+/C- testing wasn’t included in the modelling because it only affected a limited number of dwellings.</w:t>
      </w:r>
    </w:p>
    <w:p w14:paraId="73218F01" w14:textId="77777777" w:rsidR="00512611" w:rsidRPr="00364545" w:rsidRDefault="00512611" w:rsidP="00512611">
      <w:pPr>
        <w:spacing w:before="240" w:after="240"/>
      </w:pPr>
      <w:r w:rsidRPr="00364545">
        <w:t xml:space="preserve">Concerning the thermal renovation of housing, the tax credit (now called MaPrimeRénov'), the subsidies for the thermal renovation of housing for precarious households, the eco-PTZ (subsidised loan for individuals) and eco-PLS (subsidised loan for the renovation of social housing) were extended until the end of 2021. </w:t>
      </w:r>
    </w:p>
    <w:p w14:paraId="69780376" w14:textId="77777777" w:rsidR="00512611" w:rsidRPr="00364545" w:rsidRDefault="00512611" w:rsidP="00512611">
      <w:pPr>
        <w:spacing w:before="240" w:after="240"/>
      </w:pPr>
      <w:r w:rsidRPr="00364545">
        <w:t xml:space="preserve">The objective of renovating energy-consuming homes by 2028, although adopted via the 2019 Energy and Climate Law, has not been included in the central scenario due to the small number of effective measures to achieve it. </w:t>
      </w:r>
    </w:p>
    <w:p w14:paraId="59004D5C" w14:textId="3C29A780" w:rsidR="001021CB" w:rsidRPr="00364545" w:rsidRDefault="00512611" w:rsidP="00512611">
      <w:pPr>
        <w:spacing w:before="240" w:after="240"/>
      </w:pPr>
      <w:r w:rsidRPr="00364545">
        <w:t>The measures concerning mandatory energy renovations during major works in the residential and tertiary sector, the obligation to carry out an energy audit in joint ownership properties, the reinforcement of the element-by-element thermal regulation and the individualisation of heating costs (already included in the previous AME) have been taken into account.</w:t>
      </w:r>
    </w:p>
    <w:p w14:paraId="7BA4A9AB" w14:textId="77777777" w:rsidR="001021CB" w:rsidRPr="00364545" w:rsidRDefault="001021CB" w:rsidP="003F57EA">
      <w:pPr>
        <w:pStyle w:val="titreencadre"/>
        <w:numPr>
          <w:ilvl w:val="3"/>
          <w:numId w:val="78"/>
        </w:numPr>
      </w:pPr>
      <w:r w:rsidRPr="00364545">
        <w:t>AMS 2018</w:t>
      </w:r>
    </w:p>
    <w:p w14:paraId="770E10DC" w14:textId="77777777" w:rsidR="001021CB" w:rsidRPr="00364545" w:rsidRDefault="001021CB" w:rsidP="001021CB">
      <w:pPr>
        <w:spacing w:before="240" w:after="240"/>
      </w:pPr>
      <w:r w:rsidRPr="00364545">
        <w:t>Concerning the construction of new buildings, the AMS scenario takes into account the latest regulation in force, i.e. RT2012 and then makes hypotheses for increasingly ambitious regulations on energy consumption, decarbonisation of the energy mix and the use of materials that emit less greenhouse gases, in particular bio-based materials.</w:t>
      </w:r>
    </w:p>
    <w:p w14:paraId="71A9BEFB" w14:textId="77777777" w:rsidR="001021CB" w:rsidRPr="00364545" w:rsidRDefault="001021CB" w:rsidP="001021CB">
      <w:pPr>
        <w:spacing w:before="240" w:after="240"/>
      </w:pPr>
      <w:r w:rsidRPr="00364545">
        <w:t>Concerning the thermal renovation of housing, the tax credit, subsidies for the thermal renovation of housing for precarious households, the eco-PTZ (subsidised loan for individuals) and eco-PLS (subsidised loan for the renovation of social housing) are extended until 2050. The scenario also includes measures for mandatory energy renovations during major works (already integrated in the AME scenario) as well as a target for the disappearance of the most energy-consuming homes from 2030, which is included in the 2019 Energy and Climate Law.</w:t>
      </w:r>
    </w:p>
    <w:p w14:paraId="18109527" w14:textId="77777777" w:rsidR="001021CB" w:rsidRPr="00364545" w:rsidRDefault="001021CB" w:rsidP="003F57EA">
      <w:pPr>
        <w:pStyle w:val="Titre4niveau4"/>
        <w:numPr>
          <w:ilvl w:val="2"/>
          <w:numId w:val="78"/>
        </w:numPr>
      </w:pPr>
      <w:r w:rsidRPr="00364545">
        <w:t>Industry</w:t>
      </w:r>
    </w:p>
    <w:p w14:paraId="4F36B748" w14:textId="77777777" w:rsidR="001021CB" w:rsidRPr="00364545" w:rsidRDefault="001021CB" w:rsidP="003F57EA">
      <w:pPr>
        <w:pStyle w:val="titreencadre"/>
        <w:numPr>
          <w:ilvl w:val="3"/>
          <w:numId w:val="78"/>
        </w:numPr>
      </w:pPr>
      <w:r w:rsidRPr="00364545">
        <w:t>AME 2021</w:t>
      </w:r>
    </w:p>
    <w:p w14:paraId="01223541" w14:textId="77777777" w:rsidR="001021CB" w:rsidRPr="00364545" w:rsidRDefault="001021CB" w:rsidP="001021CB">
      <w:pPr>
        <w:spacing w:before="240" w:after="240"/>
      </w:pPr>
      <w:r w:rsidRPr="00364545">
        <w:t>Industrial production grows in line with the macroeconomic framework (average annual growth rate of industrial value added). A trend improvement in the energy efficiency of processes supported by energy audit obligations and energy saving certificates is nevertheless represented, which counterbalances the first effect and leads to an almost stable energy consumption of the industrial sector between 2015 and 2030.</w:t>
      </w:r>
    </w:p>
    <w:p w14:paraId="1861A7E7" w14:textId="77777777" w:rsidR="001021CB" w:rsidRPr="00364545" w:rsidRDefault="001021CB" w:rsidP="003F57EA">
      <w:pPr>
        <w:pStyle w:val="titreencadre"/>
        <w:numPr>
          <w:ilvl w:val="3"/>
          <w:numId w:val="78"/>
        </w:numPr>
      </w:pPr>
      <w:r w:rsidRPr="00364545">
        <w:t>AMS 2018</w:t>
      </w:r>
    </w:p>
    <w:p w14:paraId="0C653BEE" w14:textId="2A306A5F" w:rsidR="00512611" w:rsidRPr="00364545" w:rsidRDefault="00512611" w:rsidP="00512611">
      <w:pPr>
        <w:spacing w:before="240" w:after="240"/>
      </w:pPr>
      <w:r w:rsidRPr="00364545">
        <w:t>The objective of carbon neutrality requires the mobilisation of all available emission reduction levers. The industrial sector is affected by the 4 main families of levers: reduction of energy consumption, decarbonisation of energy, reduction of non-energy emissions and increase of the carbon sink. A 5th lever can also be applied to the industrial sector: reducing the material intensity of the economy (through eco-design, recycling, etc.). The AMS scenario (with additional measures) therefore foresees significant gains in energy efficiency (between -15% and -40% for unit consumption compared to 2015 depending on the sector, which has different potentials, and a recovery of 15 TWh of waste heat) associated with a decarbonisation of the energy mix, with an electrification of the sector up to 74%, the rest of the consumption being mainly based on biogas (12%) and biomass (12%). In this scenario, progress is also made on the sector's non-energy emissions through improved industrial processes (e.g. low-carbon cement) and a strong reduction in fluorinated gas emissions through substitution with low warming potential fluids. In the longer term, the carbon sink is strengthened through CO</w:t>
      </w:r>
      <w:r w:rsidRPr="00364545">
        <w:rPr>
          <w:vertAlign w:val="subscript"/>
        </w:rPr>
        <w:t>2</w:t>
      </w:r>
      <w:r w:rsidRPr="00364545">
        <w:t xml:space="preserve"> capture and storage technologies (see dedicated sheet on this subject).</w:t>
      </w:r>
    </w:p>
    <w:p w14:paraId="7572FF9D" w14:textId="7223D0D0" w:rsidR="001021CB" w:rsidRPr="00364545" w:rsidRDefault="00512611" w:rsidP="00512611">
      <w:pPr>
        <w:spacing w:before="240" w:after="240"/>
      </w:pPr>
      <w:r w:rsidRPr="00364545">
        <w:t>These transformations are taking place mainly via the strengthening of the EU ETS, gradually raising the price of quotas on the market, but also via the maintenance of the carbon component in domestic consumption tax, the heat fund, energy saving certificates, energy audit obligations, innovation subsidies under the Investment Programme for the Future (PIA) and loans from the BPI are also helping to accelerate the transition in the industry. Other support measures (e.g. the EU ETS Innovation Fund) will facilitate the initiation of the necessary investments.</w:t>
      </w:r>
    </w:p>
    <w:p w14:paraId="57C5264D" w14:textId="77777777" w:rsidR="001021CB" w:rsidRPr="00364545" w:rsidRDefault="001021CB" w:rsidP="003F57EA">
      <w:pPr>
        <w:pStyle w:val="Titre4niveau4"/>
        <w:numPr>
          <w:ilvl w:val="2"/>
          <w:numId w:val="78"/>
        </w:numPr>
      </w:pPr>
      <w:r w:rsidRPr="00364545">
        <w:t>Fluorinated gases</w:t>
      </w:r>
    </w:p>
    <w:p w14:paraId="415B4EBC" w14:textId="34BFA194" w:rsidR="001021CB" w:rsidRPr="00364545" w:rsidRDefault="001021CB" w:rsidP="003F57EA">
      <w:pPr>
        <w:pStyle w:val="titreencadre"/>
        <w:numPr>
          <w:ilvl w:val="3"/>
          <w:numId w:val="78"/>
        </w:numPr>
      </w:pPr>
      <w:r w:rsidRPr="00364545">
        <w:t>AMS 2018 and AME 2021</w:t>
      </w:r>
    </w:p>
    <w:p w14:paraId="66E85850" w14:textId="77777777" w:rsidR="001021CB" w:rsidRPr="00364545" w:rsidRDefault="001021CB" w:rsidP="001021CB">
      <w:pPr>
        <w:spacing w:before="240" w:after="240"/>
      </w:pPr>
      <w:r w:rsidRPr="00364545">
        <w:t xml:space="preserve">Regulation 842/2006 (F-Gas) on fluorinated greenhouse gases and Directive 2006/40/EC (automotive air conditioning) and the resulting French regulations (art. R 543-75 et seq., R 543-99 French Environment Code) are taken into account. </w:t>
      </w:r>
    </w:p>
    <w:p w14:paraId="7A90E2FB" w14:textId="77777777" w:rsidR="001021CB" w:rsidRPr="00364545" w:rsidRDefault="001021CB" w:rsidP="003F57EA">
      <w:pPr>
        <w:pStyle w:val="Titre4niveau4"/>
        <w:numPr>
          <w:ilvl w:val="2"/>
          <w:numId w:val="78"/>
        </w:numPr>
      </w:pPr>
      <w:r w:rsidRPr="00364545">
        <w:t>Agriculture and forestry</w:t>
      </w:r>
    </w:p>
    <w:p w14:paraId="2360A2EF" w14:textId="77777777" w:rsidR="001021CB" w:rsidRPr="00364545" w:rsidRDefault="001021CB" w:rsidP="003F57EA">
      <w:pPr>
        <w:pStyle w:val="titreencadre"/>
        <w:numPr>
          <w:ilvl w:val="3"/>
          <w:numId w:val="78"/>
        </w:numPr>
      </w:pPr>
      <w:r w:rsidRPr="00364545">
        <w:t>AME 2021</w:t>
      </w:r>
    </w:p>
    <w:p w14:paraId="4D576618" w14:textId="4FC7B3D6" w:rsidR="001021CB" w:rsidRPr="00364545" w:rsidRDefault="00512611" w:rsidP="001021CB">
      <w:pPr>
        <w:spacing w:before="240" w:after="240"/>
      </w:pPr>
      <w:r w:rsidRPr="00364545">
        <w:t>Few new measures have been adopted in this area since the previous AME. The changes mainly concern an adjustment of trends in the light of recently-observed trajectories. The share of field crop land under organic farming will increase between 2015 and 2030 from 5.5% in 2019 to 10.6% in 2030 and 16.9% in 2050. Mineral fertiliser consumption will fall by 5.2% between 2019 and 2030 and by 12.7% between 2019 and 2050.</w:t>
      </w:r>
    </w:p>
    <w:p w14:paraId="2CF47432" w14:textId="77777777" w:rsidR="001021CB" w:rsidRPr="00364545" w:rsidRDefault="001021CB" w:rsidP="003F57EA">
      <w:pPr>
        <w:pStyle w:val="titreencadre"/>
        <w:numPr>
          <w:ilvl w:val="3"/>
          <w:numId w:val="78"/>
        </w:numPr>
      </w:pPr>
      <w:r w:rsidRPr="00364545">
        <w:t>AMS 2018</w:t>
      </w:r>
    </w:p>
    <w:p w14:paraId="0CCC9364" w14:textId="3B4B07F0" w:rsidR="00512611" w:rsidRPr="00364545" w:rsidRDefault="00512611" w:rsidP="00512611">
      <w:pPr>
        <w:spacing w:before="240" w:after="240"/>
      </w:pPr>
      <w:r w:rsidRPr="00364545">
        <w:t>The share of field crop land under organic farming will increase between 2015 and 2030 from 2.3% in 2015 to 28% in 2030 and 44% in 2050. Mineral fertiliser consumption will fall by 21% between 2015 and 2030 and by 45% between 2015 and 2050.</w:t>
      </w:r>
    </w:p>
    <w:p w14:paraId="4705D031" w14:textId="1F3F2B1D" w:rsidR="001021CB" w:rsidRPr="00364545" w:rsidRDefault="00512611" w:rsidP="00512611">
      <w:pPr>
        <w:spacing w:before="240" w:after="240"/>
      </w:pPr>
      <w:r w:rsidRPr="00364545">
        <w:t>The change in the national diet towards a less meat-focused and better quality diet is leading to a change in the structure of agricultural production. In particular, farmers’ incomes are increasing due to increased quality but also due to diversification of income sources (increase in the production of biomass from agriculture through the use of waste, crop residues or dedicated crops, in particular intermediate crops; use of ecosystem services, in particular carbon storage, etc.). This change in production structure will be accompanied by a drop in the cattle population of 11% between 2015 and 2030 and then of 30% between 2015 and 2050.</w:t>
      </w:r>
    </w:p>
    <w:p w14:paraId="4510C4F0" w14:textId="77777777" w:rsidR="001021CB" w:rsidRPr="00364545" w:rsidRDefault="001021CB" w:rsidP="003F57EA">
      <w:pPr>
        <w:pStyle w:val="Titre4niveau4"/>
        <w:numPr>
          <w:ilvl w:val="2"/>
          <w:numId w:val="78"/>
        </w:numPr>
      </w:pPr>
      <w:r w:rsidRPr="00364545">
        <w:t>Waste management and processing</w:t>
      </w:r>
    </w:p>
    <w:p w14:paraId="2F5FFC90" w14:textId="77777777" w:rsidR="001021CB" w:rsidRPr="00364545" w:rsidRDefault="001021CB" w:rsidP="003F57EA">
      <w:pPr>
        <w:pStyle w:val="titreencadre"/>
        <w:numPr>
          <w:ilvl w:val="3"/>
          <w:numId w:val="78"/>
        </w:numPr>
      </w:pPr>
      <w:r w:rsidRPr="00364545">
        <w:t>AME 2021</w:t>
      </w:r>
    </w:p>
    <w:p w14:paraId="1068DDD5" w14:textId="77777777" w:rsidR="001021CB" w:rsidRPr="00364545" w:rsidRDefault="001021CB" w:rsidP="001021CB">
      <w:pPr>
        <w:spacing w:before="240" w:after="240"/>
      </w:pPr>
      <w:r w:rsidRPr="00364545">
        <w:t>The scenario includes the same measures as the previous AME scenario, the law on the circular economy and combating waste (known as the AGEC law) was adopted in early 2020 and therefore was not included in the exercise. In addition, the biomethane capture rate will remain stable between 2015 and 2030 at 50%. The share of captured biomethane recovered will reach 85% over the period 2030-2050.</w:t>
      </w:r>
    </w:p>
    <w:p w14:paraId="2212ECBA" w14:textId="77777777" w:rsidR="001021CB" w:rsidRPr="00364545" w:rsidRDefault="001021CB" w:rsidP="003F57EA">
      <w:pPr>
        <w:pStyle w:val="titreencadre"/>
        <w:numPr>
          <w:ilvl w:val="3"/>
          <w:numId w:val="78"/>
        </w:numPr>
      </w:pPr>
      <w:r w:rsidRPr="00364545">
        <w:t>AMS 2018</w:t>
      </w:r>
    </w:p>
    <w:p w14:paraId="4B1065D3" w14:textId="41381E40" w:rsidR="001021CB" w:rsidRDefault="001021CB" w:rsidP="001021CB">
      <w:pPr>
        <w:spacing w:before="240" w:after="240"/>
      </w:pPr>
      <w:r w:rsidRPr="00364545">
        <w:t>The scenario incorporates a greater circular economy and a massive shift of waste to reuse, recycling, material recovery or energy recovery. The amount of waste going to landfill will decrease by 86% between 2015 and 2050. Furthermore, the biomethane capture rate will increase between 2015 and 2030 from 50% to 60% and then to 85% in 2050. The share of captured biomethane recovered will remain stable from 2030 at 75%.</w:t>
      </w:r>
    </w:p>
    <w:p w14:paraId="20ED63AE" w14:textId="5FB10530" w:rsidR="003A4F12" w:rsidRDefault="00FD48F8" w:rsidP="000D1437">
      <w:pPr>
        <w:pStyle w:val="Titre4niveau4"/>
        <w:numPr>
          <w:ilvl w:val="2"/>
          <w:numId w:val="78"/>
        </w:numPr>
      </w:pPr>
      <w:r>
        <w:t>S</w:t>
      </w:r>
      <w:r w:rsidR="003A4F12">
        <w:t xml:space="preserve">ummary </w:t>
      </w:r>
    </w:p>
    <w:tbl>
      <w:tblPr>
        <w:tblStyle w:val="TableGrid"/>
        <w:tblW w:w="0" w:type="auto"/>
        <w:tblLook w:val="04A0" w:firstRow="1" w:lastRow="0" w:firstColumn="1" w:lastColumn="0" w:noHBand="0" w:noVBand="1"/>
      </w:tblPr>
      <w:tblGrid>
        <w:gridCol w:w="1696"/>
        <w:gridCol w:w="3274"/>
        <w:gridCol w:w="2485"/>
        <w:gridCol w:w="2485"/>
      </w:tblGrid>
      <w:tr w:rsidR="00C57E2E" w14:paraId="680D5AE5" w14:textId="77777777" w:rsidTr="000D1437">
        <w:tc>
          <w:tcPr>
            <w:tcW w:w="1696" w:type="dxa"/>
          </w:tcPr>
          <w:p w14:paraId="53D02011" w14:textId="77777777" w:rsidR="00C57E2E" w:rsidRDefault="00C57E2E" w:rsidP="001021CB">
            <w:pPr>
              <w:spacing w:before="240" w:after="240"/>
            </w:pPr>
          </w:p>
        </w:tc>
        <w:tc>
          <w:tcPr>
            <w:tcW w:w="3274" w:type="dxa"/>
          </w:tcPr>
          <w:p w14:paraId="726B0676" w14:textId="77777777" w:rsidR="00C57E2E" w:rsidRDefault="00C57E2E" w:rsidP="001021CB">
            <w:pPr>
              <w:spacing w:before="240" w:after="240"/>
            </w:pPr>
          </w:p>
        </w:tc>
        <w:tc>
          <w:tcPr>
            <w:tcW w:w="2485" w:type="dxa"/>
          </w:tcPr>
          <w:p w14:paraId="0EE3D85A" w14:textId="2BA70BD9" w:rsidR="00C57E2E" w:rsidRDefault="00C57E2E" w:rsidP="000D1437">
            <w:pPr>
              <w:spacing w:before="240" w:after="240"/>
              <w:jc w:val="center"/>
            </w:pPr>
            <w:r>
              <w:t>AME</w:t>
            </w:r>
          </w:p>
        </w:tc>
        <w:tc>
          <w:tcPr>
            <w:tcW w:w="2485" w:type="dxa"/>
          </w:tcPr>
          <w:p w14:paraId="55EFB55B" w14:textId="6A74A751" w:rsidR="00C57E2E" w:rsidRDefault="00C57E2E" w:rsidP="000D1437">
            <w:pPr>
              <w:spacing w:before="240" w:after="240"/>
              <w:jc w:val="center"/>
            </w:pPr>
            <w:r>
              <w:t>AMS</w:t>
            </w:r>
          </w:p>
        </w:tc>
      </w:tr>
      <w:tr w:rsidR="00D33670" w14:paraId="55FE4FE0" w14:textId="77777777" w:rsidTr="000D1437">
        <w:tc>
          <w:tcPr>
            <w:tcW w:w="1696" w:type="dxa"/>
            <w:vMerge w:val="restart"/>
            <w:vAlign w:val="center"/>
          </w:tcPr>
          <w:p w14:paraId="6364E02D" w14:textId="27ACE84B" w:rsidR="00D33670" w:rsidRDefault="00D33670" w:rsidP="000D1437">
            <w:pPr>
              <w:spacing w:before="240" w:after="240"/>
              <w:jc w:val="center"/>
            </w:pPr>
            <w:r>
              <w:t>Cross-cutting</w:t>
            </w:r>
          </w:p>
        </w:tc>
        <w:tc>
          <w:tcPr>
            <w:tcW w:w="3274" w:type="dxa"/>
          </w:tcPr>
          <w:p w14:paraId="2FF90826" w14:textId="11A5A516" w:rsidR="00D33670" w:rsidRDefault="00D33670" w:rsidP="001021CB">
            <w:pPr>
              <w:spacing w:before="240" w:after="240"/>
            </w:pPr>
            <w:r>
              <w:t xml:space="preserve">Carbon taxation </w:t>
            </w:r>
          </w:p>
        </w:tc>
        <w:tc>
          <w:tcPr>
            <w:tcW w:w="2485" w:type="dxa"/>
            <w:vAlign w:val="center"/>
          </w:tcPr>
          <w:p w14:paraId="7FBA5F8F" w14:textId="6D195CF2" w:rsidR="00D33670" w:rsidRDefault="00D33670" w:rsidP="000D1437">
            <w:pPr>
              <w:spacing w:before="240" w:after="240"/>
              <w:jc w:val="center"/>
            </w:pPr>
            <w:r>
              <w:t>X</w:t>
            </w:r>
          </w:p>
        </w:tc>
        <w:tc>
          <w:tcPr>
            <w:tcW w:w="2485" w:type="dxa"/>
            <w:vAlign w:val="center"/>
          </w:tcPr>
          <w:p w14:paraId="2BF0F546" w14:textId="487DA86D" w:rsidR="00D33670" w:rsidRDefault="00D33670" w:rsidP="000D1437">
            <w:pPr>
              <w:spacing w:before="240" w:after="240"/>
              <w:jc w:val="center"/>
            </w:pPr>
            <w:r>
              <w:t>X</w:t>
            </w:r>
          </w:p>
        </w:tc>
      </w:tr>
      <w:tr w:rsidR="00D33670" w14:paraId="19CF135D" w14:textId="77777777" w:rsidTr="000D1437">
        <w:tc>
          <w:tcPr>
            <w:tcW w:w="1696" w:type="dxa"/>
            <w:vMerge/>
            <w:vAlign w:val="center"/>
          </w:tcPr>
          <w:p w14:paraId="184B2F3A" w14:textId="77777777" w:rsidR="00D33670" w:rsidRDefault="00D33670" w:rsidP="000D1437">
            <w:pPr>
              <w:spacing w:before="240" w:after="240"/>
              <w:jc w:val="center"/>
            </w:pPr>
          </w:p>
        </w:tc>
        <w:tc>
          <w:tcPr>
            <w:tcW w:w="3274" w:type="dxa"/>
          </w:tcPr>
          <w:p w14:paraId="175F784C" w14:textId="08F865B5" w:rsidR="00D33670" w:rsidRDefault="00D33670" w:rsidP="001021CB">
            <w:pPr>
              <w:spacing w:before="240" w:after="240"/>
            </w:pPr>
            <w:r>
              <w:t xml:space="preserve">Energy saving certificates  </w:t>
            </w:r>
          </w:p>
        </w:tc>
        <w:tc>
          <w:tcPr>
            <w:tcW w:w="2485" w:type="dxa"/>
            <w:vAlign w:val="center"/>
          </w:tcPr>
          <w:p w14:paraId="4496C63D" w14:textId="14EB4AD1" w:rsidR="00D33670" w:rsidRDefault="00D33670" w:rsidP="000D1437">
            <w:pPr>
              <w:spacing w:before="240" w:after="240"/>
              <w:jc w:val="center"/>
            </w:pPr>
            <w:r>
              <w:t>X</w:t>
            </w:r>
          </w:p>
        </w:tc>
        <w:tc>
          <w:tcPr>
            <w:tcW w:w="2485" w:type="dxa"/>
            <w:vAlign w:val="center"/>
          </w:tcPr>
          <w:p w14:paraId="673FE8B3" w14:textId="73803E30" w:rsidR="00D33670" w:rsidRDefault="00D33670" w:rsidP="000D1437">
            <w:pPr>
              <w:spacing w:before="240" w:after="240"/>
              <w:jc w:val="center"/>
            </w:pPr>
            <w:r>
              <w:t>X (until 2050)</w:t>
            </w:r>
          </w:p>
        </w:tc>
      </w:tr>
      <w:tr w:rsidR="00C57E2E" w14:paraId="25400D9A" w14:textId="77777777" w:rsidTr="000D1437">
        <w:tc>
          <w:tcPr>
            <w:tcW w:w="1696" w:type="dxa"/>
            <w:vAlign w:val="center"/>
          </w:tcPr>
          <w:p w14:paraId="3826A5AF" w14:textId="2F584E61" w:rsidR="00C57E2E" w:rsidRDefault="00FF7F44" w:rsidP="000D1437">
            <w:pPr>
              <w:spacing w:before="240" w:after="240"/>
              <w:jc w:val="center"/>
            </w:pPr>
            <w:r>
              <w:t>Renewable energy</w:t>
            </w:r>
          </w:p>
        </w:tc>
        <w:tc>
          <w:tcPr>
            <w:tcW w:w="3274" w:type="dxa"/>
          </w:tcPr>
          <w:p w14:paraId="3DAF0EAE" w14:textId="7C1B866C" w:rsidR="00C57E2E" w:rsidRDefault="00C57E2E" w:rsidP="001021CB">
            <w:pPr>
              <w:spacing w:before="240" w:after="240"/>
            </w:pPr>
            <w:r>
              <w:t xml:space="preserve">Heat fund </w:t>
            </w:r>
          </w:p>
        </w:tc>
        <w:tc>
          <w:tcPr>
            <w:tcW w:w="2485" w:type="dxa"/>
            <w:vAlign w:val="center"/>
          </w:tcPr>
          <w:p w14:paraId="7FD2F675" w14:textId="7DCEBC40" w:rsidR="00C57E2E" w:rsidRDefault="00C57E2E" w:rsidP="000D1437">
            <w:pPr>
              <w:spacing w:before="240" w:after="240"/>
              <w:jc w:val="center"/>
            </w:pPr>
            <w:r>
              <w:t>X</w:t>
            </w:r>
          </w:p>
        </w:tc>
        <w:tc>
          <w:tcPr>
            <w:tcW w:w="2485" w:type="dxa"/>
            <w:vAlign w:val="center"/>
          </w:tcPr>
          <w:p w14:paraId="5B45F11F" w14:textId="1129C26F" w:rsidR="00C57E2E" w:rsidRDefault="00C57E2E" w:rsidP="000D1437">
            <w:pPr>
              <w:spacing w:before="240" w:after="240"/>
              <w:jc w:val="center"/>
            </w:pPr>
            <w:r>
              <w:t>X (until 2050)</w:t>
            </w:r>
          </w:p>
        </w:tc>
      </w:tr>
      <w:tr w:rsidR="00FF7F44" w14:paraId="5E337B34" w14:textId="77777777" w:rsidTr="000D1437">
        <w:tc>
          <w:tcPr>
            <w:tcW w:w="1696" w:type="dxa"/>
            <w:vMerge w:val="restart"/>
            <w:vAlign w:val="center"/>
          </w:tcPr>
          <w:p w14:paraId="25569088" w14:textId="69C39D80" w:rsidR="00FF7F44" w:rsidRDefault="00FF7F44" w:rsidP="000D1437">
            <w:pPr>
              <w:spacing w:before="240" w:after="240"/>
              <w:jc w:val="center"/>
            </w:pPr>
            <w:r>
              <w:t>Transport</w:t>
            </w:r>
          </w:p>
        </w:tc>
        <w:tc>
          <w:tcPr>
            <w:tcW w:w="3274" w:type="dxa"/>
          </w:tcPr>
          <w:p w14:paraId="04F3851B" w14:textId="241A475F" w:rsidR="00FF7F44" w:rsidRDefault="00FF7F44" w:rsidP="001021CB">
            <w:pPr>
              <w:spacing w:before="240" w:after="240"/>
            </w:pPr>
            <w:r>
              <w:t xml:space="preserve">2019 European regulations on vehicles </w:t>
            </w:r>
          </w:p>
        </w:tc>
        <w:tc>
          <w:tcPr>
            <w:tcW w:w="2485" w:type="dxa"/>
            <w:vAlign w:val="center"/>
          </w:tcPr>
          <w:p w14:paraId="0D460C2B" w14:textId="0BB158F4" w:rsidR="00FF7F44" w:rsidRDefault="00FF7F44" w:rsidP="000D1437">
            <w:pPr>
              <w:spacing w:before="240" w:after="240"/>
              <w:jc w:val="center"/>
            </w:pPr>
            <w:r>
              <w:t>X</w:t>
            </w:r>
          </w:p>
        </w:tc>
        <w:tc>
          <w:tcPr>
            <w:tcW w:w="2485" w:type="dxa"/>
            <w:vAlign w:val="center"/>
          </w:tcPr>
          <w:p w14:paraId="534D794E" w14:textId="26A53A95" w:rsidR="00FF7F44" w:rsidRDefault="00FF7F44" w:rsidP="000D1437">
            <w:pPr>
              <w:spacing w:before="240" w:after="240"/>
              <w:jc w:val="center"/>
            </w:pPr>
            <w:r>
              <w:t>X</w:t>
            </w:r>
          </w:p>
        </w:tc>
      </w:tr>
      <w:tr w:rsidR="00FF7F44" w14:paraId="44D7E3A0" w14:textId="77777777" w:rsidTr="000D1437">
        <w:tc>
          <w:tcPr>
            <w:tcW w:w="1696" w:type="dxa"/>
            <w:vMerge/>
            <w:vAlign w:val="center"/>
          </w:tcPr>
          <w:p w14:paraId="780A59DF" w14:textId="77777777" w:rsidR="00FF7F44" w:rsidRDefault="00FF7F44" w:rsidP="000D1437">
            <w:pPr>
              <w:spacing w:before="240" w:after="240"/>
              <w:jc w:val="center"/>
            </w:pPr>
          </w:p>
        </w:tc>
        <w:tc>
          <w:tcPr>
            <w:tcW w:w="3274" w:type="dxa"/>
          </w:tcPr>
          <w:p w14:paraId="4026B400" w14:textId="6337570C" w:rsidR="00FF7F44" w:rsidRDefault="00FF7F44" w:rsidP="001021CB">
            <w:pPr>
              <w:spacing w:before="240" w:after="240"/>
            </w:pPr>
            <w:r>
              <w:t>Mobility orientation law</w:t>
            </w:r>
          </w:p>
        </w:tc>
        <w:tc>
          <w:tcPr>
            <w:tcW w:w="2485" w:type="dxa"/>
            <w:vAlign w:val="center"/>
          </w:tcPr>
          <w:p w14:paraId="27D444BC" w14:textId="1626BA8C" w:rsidR="00FF7F44" w:rsidRDefault="00FF7F44" w:rsidP="000D1437">
            <w:pPr>
              <w:spacing w:before="240" w:after="240"/>
              <w:jc w:val="center"/>
            </w:pPr>
            <w:r>
              <w:t>X</w:t>
            </w:r>
          </w:p>
        </w:tc>
        <w:tc>
          <w:tcPr>
            <w:tcW w:w="2485" w:type="dxa"/>
            <w:vAlign w:val="center"/>
          </w:tcPr>
          <w:p w14:paraId="155DA6E2" w14:textId="347FBD26" w:rsidR="00FF7F44" w:rsidRDefault="00FF7F44" w:rsidP="000D1437">
            <w:pPr>
              <w:spacing w:before="240" w:after="240"/>
              <w:jc w:val="center"/>
            </w:pPr>
            <w:r>
              <w:t>X</w:t>
            </w:r>
          </w:p>
        </w:tc>
      </w:tr>
      <w:tr w:rsidR="00FF7F44" w14:paraId="7190BDF7" w14:textId="77777777" w:rsidTr="000D1437">
        <w:tc>
          <w:tcPr>
            <w:tcW w:w="1696" w:type="dxa"/>
            <w:vMerge/>
            <w:vAlign w:val="center"/>
          </w:tcPr>
          <w:p w14:paraId="29443B75" w14:textId="77777777" w:rsidR="00FF7F44" w:rsidRDefault="00FF7F44" w:rsidP="000D1437">
            <w:pPr>
              <w:spacing w:before="240" w:after="240"/>
              <w:jc w:val="center"/>
            </w:pPr>
          </w:p>
        </w:tc>
        <w:tc>
          <w:tcPr>
            <w:tcW w:w="3274" w:type="dxa"/>
          </w:tcPr>
          <w:p w14:paraId="39A9B22C" w14:textId="5907A707" w:rsidR="00FF7F44" w:rsidRDefault="00FF7F44" w:rsidP="001021CB">
            <w:pPr>
              <w:spacing w:before="240" w:after="240"/>
            </w:pPr>
            <w:r>
              <w:t xml:space="preserve">Fiscal measures before the end of 2019 </w:t>
            </w:r>
          </w:p>
        </w:tc>
        <w:tc>
          <w:tcPr>
            <w:tcW w:w="2485" w:type="dxa"/>
            <w:vAlign w:val="center"/>
          </w:tcPr>
          <w:p w14:paraId="3E252471" w14:textId="6BA3D1C7" w:rsidR="00FF7F44" w:rsidRDefault="00FF7F44" w:rsidP="000D1437">
            <w:pPr>
              <w:spacing w:before="240" w:after="240"/>
              <w:jc w:val="center"/>
            </w:pPr>
            <w:r>
              <w:t>X</w:t>
            </w:r>
          </w:p>
        </w:tc>
        <w:tc>
          <w:tcPr>
            <w:tcW w:w="2485" w:type="dxa"/>
            <w:vAlign w:val="center"/>
          </w:tcPr>
          <w:p w14:paraId="31F3D074" w14:textId="218051ED" w:rsidR="00FF7F44" w:rsidRDefault="00FF7F44" w:rsidP="000D1437">
            <w:pPr>
              <w:spacing w:before="240" w:after="240"/>
              <w:jc w:val="center"/>
            </w:pPr>
            <w:r>
              <w:t>X</w:t>
            </w:r>
          </w:p>
        </w:tc>
      </w:tr>
      <w:tr w:rsidR="00FF7F44" w14:paraId="566E50D0" w14:textId="77777777" w:rsidTr="000D1437">
        <w:tc>
          <w:tcPr>
            <w:tcW w:w="1696" w:type="dxa"/>
            <w:vMerge/>
            <w:vAlign w:val="center"/>
          </w:tcPr>
          <w:p w14:paraId="58D4A60A" w14:textId="77777777" w:rsidR="00FF7F44" w:rsidRDefault="00FF7F44" w:rsidP="000D1437">
            <w:pPr>
              <w:spacing w:before="240" w:after="240"/>
              <w:jc w:val="center"/>
            </w:pPr>
          </w:p>
        </w:tc>
        <w:tc>
          <w:tcPr>
            <w:tcW w:w="3274" w:type="dxa"/>
          </w:tcPr>
          <w:p w14:paraId="70F2AA77" w14:textId="44D198D5" w:rsidR="00FF7F44" w:rsidRDefault="00FF7F44" w:rsidP="001021CB">
            <w:pPr>
              <w:spacing w:before="240" w:after="240"/>
            </w:pPr>
            <w:r>
              <w:t xml:space="preserve">Ending the sale of new cars emitting GHG in 2040 </w:t>
            </w:r>
          </w:p>
        </w:tc>
        <w:tc>
          <w:tcPr>
            <w:tcW w:w="2485" w:type="dxa"/>
            <w:vAlign w:val="center"/>
          </w:tcPr>
          <w:p w14:paraId="28829975" w14:textId="77777777" w:rsidR="00FF7F44" w:rsidRDefault="00FF7F44" w:rsidP="000D1437">
            <w:pPr>
              <w:spacing w:before="240" w:after="240"/>
              <w:jc w:val="center"/>
            </w:pPr>
          </w:p>
        </w:tc>
        <w:tc>
          <w:tcPr>
            <w:tcW w:w="2485" w:type="dxa"/>
            <w:vAlign w:val="center"/>
          </w:tcPr>
          <w:p w14:paraId="3545EBA8" w14:textId="63A234CF" w:rsidR="00FF7F44" w:rsidRDefault="00FF7F44" w:rsidP="000D1437">
            <w:pPr>
              <w:spacing w:before="240" w:after="240"/>
              <w:jc w:val="center"/>
            </w:pPr>
            <w:r>
              <w:t>X</w:t>
            </w:r>
          </w:p>
        </w:tc>
      </w:tr>
      <w:tr w:rsidR="00FF7F44" w14:paraId="5B2FAD07" w14:textId="77777777" w:rsidTr="000D1437">
        <w:tc>
          <w:tcPr>
            <w:tcW w:w="1696" w:type="dxa"/>
            <w:vMerge/>
            <w:vAlign w:val="center"/>
          </w:tcPr>
          <w:p w14:paraId="5EE14200" w14:textId="77777777" w:rsidR="00FF7F44" w:rsidRDefault="00FF7F44" w:rsidP="000D1437">
            <w:pPr>
              <w:spacing w:before="240" w:after="240"/>
              <w:jc w:val="center"/>
            </w:pPr>
          </w:p>
        </w:tc>
        <w:tc>
          <w:tcPr>
            <w:tcW w:w="3274" w:type="dxa"/>
          </w:tcPr>
          <w:p w14:paraId="02ADDF62" w14:textId="72C122DC" w:rsidR="00FF7F44" w:rsidRDefault="00FF7F44" w:rsidP="001021CB">
            <w:pPr>
              <w:spacing w:before="240" w:after="240"/>
            </w:pPr>
            <w:r>
              <w:t xml:space="preserve">Electrification </w:t>
            </w:r>
          </w:p>
        </w:tc>
        <w:tc>
          <w:tcPr>
            <w:tcW w:w="2485" w:type="dxa"/>
            <w:vAlign w:val="center"/>
          </w:tcPr>
          <w:p w14:paraId="635F5CDC" w14:textId="77777777" w:rsidR="00FF7F44" w:rsidRDefault="00FF7F44" w:rsidP="000D1437">
            <w:pPr>
              <w:spacing w:before="240" w:after="240"/>
              <w:jc w:val="center"/>
            </w:pPr>
          </w:p>
        </w:tc>
        <w:tc>
          <w:tcPr>
            <w:tcW w:w="2485" w:type="dxa"/>
            <w:vAlign w:val="center"/>
          </w:tcPr>
          <w:p w14:paraId="5C7A4ED8" w14:textId="30B25C1B" w:rsidR="00FF7F44" w:rsidRDefault="00FF7F44" w:rsidP="000D1437">
            <w:pPr>
              <w:spacing w:before="240" w:after="240"/>
              <w:jc w:val="center"/>
            </w:pPr>
            <w:r>
              <w:t>X</w:t>
            </w:r>
          </w:p>
        </w:tc>
      </w:tr>
      <w:tr w:rsidR="00FF7F44" w14:paraId="15CEF8B0" w14:textId="77777777" w:rsidTr="000D1437">
        <w:tc>
          <w:tcPr>
            <w:tcW w:w="1696" w:type="dxa"/>
            <w:vMerge/>
            <w:vAlign w:val="center"/>
          </w:tcPr>
          <w:p w14:paraId="2EE17284" w14:textId="77777777" w:rsidR="00FF7F44" w:rsidRDefault="00FF7F44" w:rsidP="000D1437">
            <w:pPr>
              <w:spacing w:before="240" w:after="240"/>
              <w:jc w:val="center"/>
            </w:pPr>
          </w:p>
        </w:tc>
        <w:tc>
          <w:tcPr>
            <w:tcW w:w="3274" w:type="dxa"/>
          </w:tcPr>
          <w:p w14:paraId="19F3099F" w14:textId="16734E4E" w:rsidR="00FF7F44" w:rsidRDefault="00FF7F44" w:rsidP="001021CB">
            <w:pPr>
              <w:spacing w:before="240" w:after="240"/>
            </w:pPr>
            <w:r>
              <w:t xml:space="preserve">Rising of the cycling modal share </w:t>
            </w:r>
          </w:p>
        </w:tc>
        <w:tc>
          <w:tcPr>
            <w:tcW w:w="2485" w:type="dxa"/>
            <w:vAlign w:val="center"/>
          </w:tcPr>
          <w:p w14:paraId="1BC4E02C" w14:textId="229C4337" w:rsidR="00FF7F44" w:rsidRDefault="00FF7F44" w:rsidP="000D1437">
            <w:pPr>
              <w:spacing w:before="240" w:after="240"/>
              <w:jc w:val="center"/>
            </w:pPr>
            <w:r>
              <w:t>X</w:t>
            </w:r>
          </w:p>
        </w:tc>
        <w:tc>
          <w:tcPr>
            <w:tcW w:w="2485" w:type="dxa"/>
            <w:vAlign w:val="center"/>
          </w:tcPr>
          <w:p w14:paraId="6AD8AF6E" w14:textId="7D710A4D" w:rsidR="00FF7F44" w:rsidRDefault="00FF7F44" w:rsidP="000D1437">
            <w:pPr>
              <w:spacing w:before="240" w:after="240"/>
              <w:jc w:val="center"/>
            </w:pPr>
            <w:r>
              <w:t>X (2030 and 2050)</w:t>
            </w:r>
          </w:p>
        </w:tc>
      </w:tr>
      <w:tr w:rsidR="00FF7F44" w14:paraId="375CFA2A" w14:textId="77777777" w:rsidTr="000D1437">
        <w:tc>
          <w:tcPr>
            <w:tcW w:w="1696" w:type="dxa"/>
            <w:vMerge w:val="restart"/>
            <w:vAlign w:val="center"/>
          </w:tcPr>
          <w:p w14:paraId="19F18ED7" w14:textId="107E3588" w:rsidR="00FF7F44" w:rsidRDefault="00FF7F44" w:rsidP="000D1437">
            <w:pPr>
              <w:spacing w:before="240" w:after="240"/>
              <w:jc w:val="center"/>
            </w:pPr>
            <w:r>
              <w:t>Construction</w:t>
            </w:r>
          </w:p>
        </w:tc>
        <w:tc>
          <w:tcPr>
            <w:tcW w:w="3274" w:type="dxa"/>
          </w:tcPr>
          <w:p w14:paraId="630198BB" w14:textId="669E8AFA" w:rsidR="00FF7F44" w:rsidRDefault="00FF7F44" w:rsidP="001021CB">
            <w:pPr>
              <w:spacing w:before="240" w:after="240"/>
            </w:pPr>
            <w:r>
              <w:t>RT 2012</w:t>
            </w:r>
          </w:p>
        </w:tc>
        <w:tc>
          <w:tcPr>
            <w:tcW w:w="2485" w:type="dxa"/>
            <w:vAlign w:val="center"/>
          </w:tcPr>
          <w:p w14:paraId="4F4D3AD7" w14:textId="2FA07A8A" w:rsidR="00FF7F44" w:rsidRDefault="00FF7F44" w:rsidP="000D1437">
            <w:pPr>
              <w:spacing w:before="240" w:after="240"/>
              <w:jc w:val="center"/>
            </w:pPr>
            <w:r>
              <w:t>X</w:t>
            </w:r>
          </w:p>
        </w:tc>
        <w:tc>
          <w:tcPr>
            <w:tcW w:w="2485" w:type="dxa"/>
            <w:vAlign w:val="center"/>
          </w:tcPr>
          <w:p w14:paraId="60D71C13" w14:textId="1FFDC132" w:rsidR="00FF7F44" w:rsidRDefault="00FF7F44" w:rsidP="000D1437">
            <w:pPr>
              <w:spacing w:before="240" w:after="240"/>
              <w:jc w:val="center"/>
            </w:pPr>
            <w:r>
              <w:t>X</w:t>
            </w:r>
          </w:p>
        </w:tc>
      </w:tr>
      <w:tr w:rsidR="00FF7F44" w14:paraId="74DCCEA4" w14:textId="77777777" w:rsidTr="000D1437">
        <w:tc>
          <w:tcPr>
            <w:tcW w:w="1696" w:type="dxa"/>
            <w:vMerge/>
            <w:vAlign w:val="center"/>
          </w:tcPr>
          <w:p w14:paraId="274AF355" w14:textId="77777777" w:rsidR="00FF7F44" w:rsidRDefault="00FF7F44" w:rsidP="000D1437">
            <w:pPr>
              <w:spacing w:before="240" w:after="240"/>
              <w:jc w:val="center"/>
            </w:pPr>
          </w:p>
        </w:tc>
        <w:tc>
          <w:tcPr>
            <w:tcW w:w="3274" w:type="dxa"/>
          </w:tcPr>
          <w:p w14:paraId="0165CD17" w14:textId="0F9FAB49" w:rsidR="00FF7F44" w:rsidRDefault="00FF7F44" w:rsidP="001021CB">
            <w:pPr>
              <w:spacing w:before="240" w:after="240"/>
            </w:pPr>
            <w:r>
              <w:t>MaPrimeRénov’</w:t>
            </w:r>
          </w:p>
        </w:tc>
        <w:tc>
          <w:tcPr>
            <w:tcW w:w="2485" w:type="dxa"/>
            <w:vAlign w:val="center"/>
          </w:tcPr>
          <w:p w14:paraId="39798A3A" w14:textId="30DD371C" w:rsidR="00FF7F44" w:rsidRDefault="00FF7F44" w:rsidP="000D1437">
            <w:pPr>
              <w:spacing w:before="240" w:after="240"/>
              <w:jc w:val="center"/>
            </w:pPr>
            <w:r>
              <w:t>X</w:t>
            </w:r>
          </w:p>
        </w:tc>
        <w:tc>
          <w:tcPr>
            <w:tcW w:w="2485" w:type="dxa"/>
            <w:vAlign w:val="center"/>
          </w:tcPr>
          <w:p w14:paraId="06B8A69F" w14:textId="404F5A0B" w:rsidR="00FF7F44" w:rsidRDefault="00FF7F44" w:rsidP="000D1437">
            <w:pPr>
              <w:spacing w:before="240" w:after="240"/>
              <w:jc w:val="center"/>
            </w:pPr>
            <w:r>
              <w:t>X</w:t>
            </w:r>
          </w:p>
        </w:tc>
      </w:tr>
      <w:tr w:rsidR="00FF7F44" w14:paraId="62690C96" w14:textId="77777777" w:rsidTr="000D1437">
        <w:tc>
          <w:tcPr>
            <w:tcW w:w="1696" w:type="dxa"/>
            <w:vMerge/>
            <w:vAlign w:val="center"/>
          </w:tcPr>
          <w:p w14:paraId="769FEF2A" w14:textId="77777777" w:rsidR="00FF7F44" w:rsidRDefault="00FF7F44" w:rsidP="000D1437">
            <w:pPr>
              <w:spacing w:before="240" w:after="240"/>
              <w:jc w:val="center"/>
            </w:pPr>
          </w:p>
        </w:tc>
        <w:tc>
          <w:tcPr>
            <w:tcW w:w="3274" w:type="dxa"/>
          </w:tcPr>
          <w:p w14:paraId="70A7147E" w14:textId="26CB0786" w:rsidR="00FF7F44" w:rsidRDefault="00FF7F44" w:rsidP="001021CB">
            <w:pPr>
              <w:spacing w:before="240" w:after="240"/>
            </w:pPr>
            <w:r>
              <w:t>Eco-PTZ</w:t>
            </w:r>
          </w:p>
        </w:tc>
        <w:tc>
          <w:tcPr>
            <w:tcW w:w="2485" w:type="dxa"/>
            <w:vAlign w:val="center"/>
          </w:tcPr>
          <w:p w14:paraId="54CA17E3" w14:textId="27B7BBC1" w:rsidR="00FF7F44" w:rsidRDefault="00FF7F44" w:rsidP="000D1437">
            <w:pPr>
              <w:spacing w:before="240" w:after="240"/>
              <w:jc w:val="center"/>
            </w:pPr>
            <w:r>
              <w:t>X</w:t>
            </w:r>
          </w:p>
        </w:tc>
        <w:tc>
          <w:tcPr>
            <w:tcW w:w="2485" w:type="dxa"/>
            <w:vAlign w:val="center"/>
          </w:tcPr>
          <w:p w14:paraId="680351E1" w14:textId="71C9AA1A" w:rsidR="00FF7F44" w:rsidRDefault="00FF7F44" w:rsidP="000D1437">
            <w:pPr>
              <w:spacing w:before="240" w:after="240"/>
              <w:jc w:val="center"/>
            </w:pPr>
            <w:r>
              <w:t>X (until 2050)</w:t>
            </w:r>
          </w:p>
        </w:tc>
      </w:tr>
      <w:tr w:rsidR="00FF7F44" w14:paraId="69745AD7" w14:textId="77777777" w:rsidTr="000D1437">
        <w:tc>
          <w:tcPr>
            <w:tcW w:w="1696" w:type="dxa"/>
            <w:vMerge/>
            <w:vAlign w:val="center"/>
          </w:tcPr>
          <w:p w14:paraId="5662F42D" w14:textId="77777777" w:rsidR="00FF7F44" w:rsidRDefault="00FF7F44" w:rsidP="000D1437">
            <w:pPr>
              <w:spacing w:before="240" w:after="240"/>
              <w:jc w:val="center"/>
            </w:pPr>
          </w:p>
        </w:tc>
        <w:tc>
          <w:tcPr>
            <w:tcW w:w="3274" w:type="dxa"/>
          </w:tcPr>
          <w:p w14:paraId="2D3E54B1" w14:textId="1DAC1F0D" w:rsidR="00FF7F44" w:rsidRDefault="00FF7F44" w:rsidP="001021CB">
            <w:pPr>
              <w:spacing w:before="240" w:after="240"/>
            </w:pPr>
            <w:r>
              <w:t xml:space="preserve">Disappearance of the most energy consuming homes from 2030 </w:t>
            </w:r>
          </w:p>
        </w:tc>
        <w:tc>
          <w:tcPr>
            <w:tcW w:w="2485" w:type="dxa"/>
            <w:vAlign w:val="center"/>
          </w:tcPr>
          <w:p w14:paraId="4B43C4D2" w14:textId="77777777" w:rsidR="00FF7F44" w:rsidRDefault="00FF7F44" w:rsidP="000D1437">
            <w:pPr>
              <w:spacing w:before="240" w:after="240"/>
              <w:jc w:val="center"/>
            </w:pPr>
          </w:p>
        </w:tc>
        <w:tc>
          <w:tcPr>
            <w:tcW w:w="2485" w:type="dxa"/>
            <w:vAlign w:val="center"/>
          </w:tcPr>
          <w:p w14:paraId="01E280D0" w14:textId="14AA5B25" w:rsidR="00FF7F44" w:rsidRDefault="00FF7F44" w:rsidP="000D1437">
            <w:pPr>
              <w:spacing w:before="240" w:after="240"/>
              <w:jc w:val="center"/>
            </w:pPr>
            <w:r>
              <w:t>X</w:t>
            </w:r>
          </w:p>
        </w:tc>
      </w:tr>
      <w:tr w:rsidR="00FF7F44" w14:paraId="733A1A62" w14:textId="77777777" w:rsidTr="000D1437">
        <w:tc>
          <w:tcPr>
            <w:tcW w:w="1696" w:type="dxa"/>
            <w:vMerge w:val="restart"/>
            <w:vAlign w:val="center"/>
          </w:tcPr>
          <w:p w14:paraId="53A70DC1" w14:textId="3E364C70" w:rsidR="00FF7F44" w:rsidRDefault="00D33670" w:rsidP="000D1437">
            <w:pPr>
              <w:spacing w:before="240" w:after="240"/>
              <w:jc w:val="center"/>
            </w:pPr>
            <w:r>
              <w:t>Industry</w:t>
            </w:r>
          </w:p>
        </w:tc>
        <w:tc>
          <w:tcPr>
            <w:tcW w:w="3274" w:type="dxa"/>
          </w:tcPr>
          <w:p w14:paraId="4AC7749D" w14:textId="0F97193A" w:rsidR="00FF7F44" w:rsidRDefault="00FF7F44" w:rsidP="001021CB">
            <w:pPr>
              <w:spacing w:before="240" w:after="240"/>
            </w:pPr>
            <w:r>
              <w:t xml:space="preserve">Energy audits and energy saving certificates </w:t>
            </w:r>
          </w:p>
        </w:tc>
        <w:tc>
          <w:tcPr>
            <w:tcW w:w="2485" w:type="dxa"/>
            <w:vAlign w:val="center"/>
          </w:tcPr>
          <w:p w14:paraId="60D17A28" w14:textId="599BAD15" w:rsidR="00FF7F44" w:rsidRDefault="00FF7F44" w:rsidP="000D1437">
            <w:pPr>
              <w:spacing w:before="240" w:after="240"/>
              <w:jc w:val="center"/>
            </w:pPr>
            <w:r>
              <w:t>X</w:t>
            </w:r>
          </w:p>
        </w:tc>
        <w:tc>
          <w:tcPr>
            <w:tcW w:w="2485" w:type="dxa"/>
            <w:vAlign w:val="center"/>
          </w:tcPr>
          <w:p w14:paraId="5F48498A" w14:textId="6EDDBF02" w:rsidR="00FF7F44" w:rsidRDefault="00FF7F44" w:rsidP="000D1437">
            <w:pPr>
              <w:spacing w:before="240" w:after="240"/>
              <w:jc w:val="center"/>
            </w:pPr>
            <w:r>
              <w:t>X</w:t>
            </w:r>
          </w:p>
        </w:tc>
      </w:tr>
      <w:tr w:rsidR="00FF7F44" w14:paraId="48B5AA89" w14:textId="77777777" w:rsidTr="000D1437">
        <w:tc>
          <w:tcPr>
            <w:tcW w:w="1696" w:type="dxa"/>
            <w:vMerge/>
            <w:vAlign w:val="center"/>
          </w:tcPr>
          <w:p w14:paraId="2AD5F406" w14:textId="77777777" w:rsidR="00FF7F44" w:rsidRDefault="00FF7F44" w:rsidP="000D1437">
            <w:pPr>
              <w:spacing w:before="240" w:after="240"/>
              <w:jc w:val="center"/>
            </w:pPr>
          </w:p>
        </w:tc>
        <w:tc>
          <w:tcPr>
            <w:tcW w:w="3274" w:type="dxa"/>
          </w:tcPr>
          <w:p w14:paraId="6CFF4D76" w14:textId="7603D469" w:rsidR="00FF7F44" w:rsidRDefault="00FF7F44" w:rsidP="001021CB">
            <w:pPr>
              <w:spacing w:before="240" w:after="240"/>
            </w:pPr>
            <w:r>
              <w:t xml:space="preserve">Electrification of the sector </w:t>
            </w:r>
          </w:p>
        </w:tc>
        <w:tc>
          <w:tcPr>
            <w:tcW w:w="2485" w:type="dxa"/>
            <w:vAlign w:val="center"/>
          </w:tcPr>
          <w:p w14:paraId="194BAC6B" w14:textId="77777777" w:rsidR="00FF7F44" w:rsidRDefault="00FF7F44" w:rsidP="000D1437">
            <w:pPr>
              <w:spacing w:before="240" w:after="240"/>
              <w:jc w:val="center"/>
            </w:pPr>
          </w:p>
        </w:tc>
        <w:tc>
          <w:tcPr>
            <w:tcW w:w="2485" w:type="dxa"/>
            <w:vAlign w:val="center"/>
          </w:tcPr>
          <w:p w14:paraId="072244CA" w14:textId="2FCD5299" w:rsidR="00FF7F44" w:rsidRDefault="00FF7F44" w:rsidP="000D1437">
            <w:pPr>
              <w:spacing w:before="240" w:after="240"/>
              <w:jc w:val="center"/>
            </w:pPr>
            <w:r>
              <w:t>X</w:t>
            </w:r>
          </w:p>
        </w:tc>
      </w:tr>
      <w:tr w:rsidR="00FF7F44" w14:paraId="479E6BD1" w14:textId="77777777" w:rsidTr="000D1437">
        <w:tc>
          <w:tcPr>
            <w:tcW w:w="1696" w:type="dxa"/>
            <w:vMerge/>
            <w:vAlign w:val="center"/>
          </w:tcPr>
          <w:p w14:paraId="76F1B347" w14:textId="77777777" w:rsidR="00FF7F44" w:rsidRDefault="00FF7F44" w:rsidP="000D1437">
            <w:pPr>
              <w:spacing w:before="240" w:after="240"/>
              <w:jc w:val="center"/>
            </w:pPr>
          </w:p>
        </w:tc>
        <w:tc>
          <w:tcPr>
            <w:tcW w:w="3274" w:type="dxa"/>
          </w:tcPr>
          <w:p w14:paraId="3177B15E" w14:textId="29245A2A" w:rsidR="00FF7F44" w:rsidRDefault="00FF7F44" w:rsidP="001021CB">
            <w:pPr>
              <w:spacing w:before="240" w:after="240"/>
            </w:pPr>
            <w:r>
              <w:t>Improved industrial processes</w:t>
            </w:r>
          </w:p>
        </w:tc>
        <w:tc>
          <w:tcPr>
            <w:tcW w:w="2485" w:type="dxa"/>
            <w:vAlign w:val="center"/>
          </w:tcPr>
          <w:p w14:paraId="57DC1F51" w14:textId="77777777" w:rsidR="00FF7F44" w:rsidRDefault="00FF7F44" w:rsidP="000D1437">
            <w:pPr>
              <w:spacing w:before="240" w:after="240"/>
              <w:jc w:val="center"/>
            </w:pPr>
          </w:p>
        </w:tc>
        <w:tc>
          <w:tcPr>
            <w:tcW w:w="2485" w:type="dxa"/>
            <w:vAlign w:val="center"/>
          </w:tcPr>
          <w:p w14:paraId="32AA3ACC" w14:textId="4F90E628" w:rsidR="00FF7F44" w:rsidRDefault="00FF7F44" w:rsidP="000D1437">
            <w:pPr>
              <w:spacing w:before="240" w:after="240"/>
              <w:jc w:val="center"/>
            </w:pPr>
            <w:r>
              <w:t>X</w:t>
            </w:r>
          </w:p>
        </w:tc>
      </w:tr>
      <w:tr w:rsidR="00FF7F44" w14:paraId="683D68D5" w14:textId="77777777" w:rsidTr="000D1437">
        <w:tc>
          <w:tcPr>
            <w:tcW w:w="1696" w:type="dxa"/>
            <w:vMerge/>
            <w:vAlign w:val="center"/>
          </w:tcPr>
          <w:p w14:paraId="368CE7FF" w14:textId="77777777" w:rsidR="00FF7F44" w:rsidRDefault="00FF7F44" w:rsidP="000D1437">
            <w:pPr>
              <w:spacing w:before="240" w:after="240"/>
              <w:jc w:val="center"/>
            </w:pPr>
          </w:p>
        </w:tc>
        <w:tc>
          <w:tcPr>
            <w:tcW w:w="3274" w:type="dxa"/>
          </w:tcPr>
          <w:p w14:paraId="56ACFCE6" w14:textId="7430BCCB" w:rsidR="00FF7F44" w:rsidRDefault="00FF7F44" w:rsidP="001021CB">
            <w:pPr>
              <w:spacing w:before="240" w:after="240"/>
            </w:pPr>
            <w:r>
              <w:t xml:space="preserve">EU ETS </w:t>
            </w:r>
          </w:p>
        </w:tc>
        <w:tc>
          <w:tcPr>
            <w:tcW w:w="2485" w:type="dxa"/>
            <w:vAlign w:val="center"/>
          </w:tcPr>
          <w:p w14:paraId="456EE689" w14:textId="77777777" w:rsidR="00FF7F44" w:rsidRDefault="00FF7F44" w:rsidP="000D1437">
            <w:pPr>
              <w:spacing w:before="240" w:after="240"/>
              <w:jc w:val="center"/>
            </w:pPr>
          </w:p>
        </w:tc>
        <w:tc>
          <w:tcPr>
            <w:tcW w:w="2485" w:type="dxa"/>
            <w:vAlign w:val="center"/>
          </w:tcPr>
          <w:p w14:paraId="4A8EED96" w14:textId="4BD7E10E" w:rsidR="00FF7F44" w:rsidRDefault="00FF7F44" w:rsidP="000D1437">
            <w:pPr>
              <w:spacing w:before="240" w:after="240"/>
              <w:jc w:val="center"/>
            </w:pPr>
            <w:r>
              <w:t>X</w:t>
            </w:r>
          </w:p>
        </w:tc>
      </w:tr>
      <w:tr w:rsidR="0022028F" w14:paraId="66084FEB" w14:textId="77777777" w:rsidTr="000D1437">
        <w:tc>
          <w:tcPr>
            <w:tcW w:w="1696" w:type="dxa"/>
            <w:vAlign w:val="center"/>
          </w:tcPr>
          <w:p w14:paraId="042A47F1" w14:textId="71262034" w:rsidR="0022028F" w:rsidRDefault="0022028F" w:rsidP="000D1437">
            <w:pPr>
              <w:spacing w:before="240" w:after="240"/>
              <w:jc w:val="center"/>
            </w:pPr>
            <w:r>
              <w:t>Fluorinated gases</w:t>
            </w:r>
          </w:p>
        </w:tc>
        <w:tc>
          <w:tcPr>
            <w:tcW w:w="3274" w:type="dxa"/>
          </w:tcPr>
          <w:p w14:paraId="6516962E" w14:textId="1762EE53" w:rsidR="0022028F" w:rsidRDefault="0022028F" w:rsidP="001021CB">
            <w:pPr>
              <w:spacing w:before="240" w:after="240"/>
            </w:pPr>
            <w:r>
              <w:t xml:space="preserve">French regulation </w:t>
            </w:r>
          </w:p>
        </w:tc>
        <w:tc>
          <w:tcPr>
            <w:tcW w:w="2485" w:type="dxa"/>
            <w:vAlign w:val="center"/>
          </w:tcPr>
          <w:p w14:paraId="2E8C544E" w14:textId="51C309A1" w:rsidR="0022028F" w:rsidRDefault="0022028F" w:rsidP="000D1437">
            <w:pPr>
              <w:spacing w:before="240" w:after="240"/>
              <w:jc w:val="center"/>
            </w:pPr>
            <w:r>
              <w:t>X</w:t>
            </w:r>
          </w:p>
        </w:tc>
        <w:tc>
          <w:tcPr>
            <w:tcW w:w="2485" w:type="dxa"/>
            <w:vAlign w:val="center"/>
          </w:tcPr>
          <w:p w14:paraId="588AF5E6" w14:textId="0B0A28DC" w:rsidR="0022028F" w:rsidRDefault="0022028F" w:rsidP="000D1437">
            <w:pPr>
              <w:spacing w:before="240" w:after="240"/>
              <w:jc w:val="center"/>
            </w:pPr>
            <w:r>
              <w:t>X</w:t>
            </w:r>
          </w:p>
        </w:tc>
      </w:tr>
      <w:tr w:rsidR="00FF7F44" w14:paraId="2CDA5774" w14:textId="77777777" w:rsidTr="000D1437">
        <w:tc>
          <w:tcPr>
            <w:tcW w:w="1696" w:type="dxa"/>
            <w:vMerge w:val="restart"/>
            <w:vAlign w:val="center"/>
          </w:tcPr>
          <w:p w14:paraId="145FFA1D" w14:textId="0D602E60" w:rsidR="00FF7F44" w:rsidRDefault="00FF7F44" w:rsidP="000D1437">
            <w:pPr>
              <w:spacing w:before="240" w:after="240"/>
              <w:jc w:val="center"/>
            </w:pPr>
            <w:r>
              <w:t>Agriculture and forestry</w:t>
            </w:r>
          </w:p>
        </w:tc>
        <w:tc>
          <w:tcPr>
            <w:tcW w:w="3274" w:type="dxa"/>
          </w:tcPr>
          <w:p w14:paraId="410AE5E1" w14:textId="3CFE221C" w:rsidR="00FF7F44" w:rsidRDefault="00FF7F44" w:rsidP="001021CB">
            <w:pPr>
              <w:spacing w:before="240" w:after="240"/>
            </w:pPr>
            <w:r>
              <w:t xml:space="preserve">Share of fieldcrop land under organic farming </w:t>
            </w:r>
          </w:p>
        </w:tc>
        <w:tc>
          <w:tcPr>
            <w:tcW w:w="2485" w:type="dxa"/>
            <w:vAlign w:val="center"/>
          </w:tcPr>
          <w:p w14:paraId="5A21CB8C" w14:textId="758A3A68" w:rsidR="00FF7F44" w:rsidRDefault="00FF7F44" w:rsidP="000D1437">
            <w:pPr>
              <w:spacing w:before="240" w:after="240"/>
              <w:jc w:val="center"/>
            </w:pPr>
            <w:r>
              <w:t>X</w:t>
            </w:r>
          </w:p>
        </w:tc>
        <w:tc>
          <w:tcPr>
            <w:tcW w:w="2485" w:type="dxa"/>
            <w:vAlign w:val="center"/>
          </w:tcPr>
          <w:p w14:paraId="5D8AB1F8" w14:textId="5EA08A7E" w:rsidR="00FF7F44" w:rsidRDefault="00FF7F44" w:rsidP="000D1437">
            <w:pPr>
              <w:spacing w:before="240" w:after="240"/>
              <w:jc w:val="center"/>
            </w:pPr>
            <w:r>
              <w:t>X</w:t>
            </w:r>
          </w:p>
        </w:tc>
      </w:tr>
      <w:tr w:rsidR="00FF7F44" w14:paraId="5CB25FAE" w14:textId="77777777" w:rsidTr="000D1437">
        <w:tc>
          <w:tcPr>
            <w:tcW w:w="1696" w:type="dxa"/>
            <w:vMerge/>
            <w:vAlign w:val="center"/>
          </w:tcPr>
          <w:p w14:paraId="63D6A7B8" w14:textId="77777777" w:rsidR="00FF7F44" w:rsidRDefault="00FF7F44" w:rsidP="000D1437">
            <w:pPr>
              <w:spacing w:before="240" w:after="240"/>
              <w:jc w:val="center"/>
            </w:pPr>
          </w:p>
        </w:tc>
        <w:tc>
          <w:tcPr>
            <w:tcW w:w="3274" w:type="dxa"/>
          </w:tcPr>
          <w:p w14:paraId="3CED258C" w14:textId="4F16213A" w:rsidR="00FF7F44" w:rsidRDefault="00FF7F44" w:rsidP="001021CB">
            <w:pPr>
              <w:spacing w:before="240" w:after="240"/>
            </w:pPr>
            <w:r>
              <w:t xml:space="preserve">Less-meat focused diet </w:t>
            </w:r>
          </w:p>
        </w:tc>
        <w:tc>
          <w:tcPr>
            <w:tcW w:w="2485" w:type="dxa"/>
            <w:vAlign w:val="center"/>
          </w:tcPr>
          <w:p w14:paraId="70C62E51" w14:textId="77777777" w:rsidR="00FF7F44" w:rsidRDefault="00FF7F44" w:rsidP="000D1437">
            <w:pPr>
              <w:spacing w:before="240" w:after="240"/>
              <w:jc w:val="center"/>
            </w:pPr>
          </w:p>
        </w:tc>
        <w:tc>
          <w:tcPr>
            <w:tcW w:w="2485" w:type="dxa"/>
            <w:vAlign w:val="center"/>
          </w:tcPr>
          <w:p w14:paraId="7DEBDE0C" w14:textId="7A884D3E" w:rsidR="00FF7F44" w:rsidRDefault="00FF7F44" w:rsidP="000D1437">
            <w:pPr>
              <w:spacing w:before="240" w:after="240"/>
              <w:jc w:val="center"/>
            </w:pPr>
            <w:r>
              <w:t>X</w:t>
            </w:r>
          </w:p>
        </w:tc>
      </w:tr>
      <w:tr w:rsidR="00FF7F44" w14:paraId="2907555F" w14:textId="77777777" w:rsidTr="000D1437">
        <w:tc>
          <w:tcPr>
            <w:tcW w:w="1696" w:type="dxa"/>
            <w:vMerge w:val="restart"/>
            <w:vAlign w:val="center"/>
          </w:tcPr>
          <w:p w14:paraId="17ACE893" w14:textId="3DDFDC3C" w:rsidR="00FF7F44" w:rsidRDefault="00FF7F44" w:rsidP="000D1437">
            <w:pPr>
              <w:spacing w:before="240" w:after="240"/>
              <w:jc w:val="center"/>
            </w:pPr>
            <w:r>
              <w:t>Waste management and processing</w:t>
            </w:r>
          </w:p>
        </w:tc>
        <w:tc>
          <w:tcPr>
            <w:tcW w:w="3274" w:type="dxa"/>
          </w:tcPr>
          <w:p w14:paraId="5F62FE28" w14:textId="4A37F5D6" w:rsidR="00FF7F44" w:rsidRDefault="00FF7F44" w:rsidP="001021CB">
            <w:pPr>
              <w:spacing w:before="240" w:after="240"/>
            </w:pPr>
            <w:r>
              <w:t>Biomethane capture rate increase</w:t>
            </w:r>
          </w:p>
        </w:tc>
        <w:tc>
          <w:tcPr>
            <w:tcW w:w="2485" w:type="dxa"/>
            <w:vAlign w:val="center"/>
          </w:tcPr>
          <w:p w14:paraId="73BD2B8E" w14:textId="4E665EB0" w:rsidR="00FF7F44" w:rsidRDefault="00FF7F44" w:rsidP="000D1437">
            <w:pPr>
              <w:spacing w:before="240" w:after="240"/>
              <w:jc w:val="center"/>
            </w:pPr>
            <w:r>
              <w:t>X</w:t>
            </w:r>
          </w:p>
        </w:tc>
        <w:tc>
          <w:tcPr>
            <w:tcW w:w="2485" w:type="dxa"/>
            <w:vAlign w:val="center"/>
          </w:tcPr>
          <w:p w14:paraId="3B3CDD6C" w14:textId="5171EBCD" w:rsidR="00FF7F44" w:rsidRDefault="00FF7F44" w:rsidP="000D1437">
            <w:pPr>
              <w:spacing w:before="240" w:after="240"/>
              <w:jc w:val="center"/>
            </w:pPr>
            <w:r>
              <w:t>X</w:t>
            </w:r>
          </w:p>
        </w:tc>
      </w:tr>
      <w:tr w:rsidR="00FF7F44" w14:paraId="4C8512D9" w14:textId="77777777" w:rsidTr="000D1437">
        <w:tc>
          <w:tcPr>
            <w:tcW w:w="1696" w:type="dxa"/>
            <w:vMerge/>
          </w:tcPr>
          <w:p w14:paraId="64EC04D5" w14:textId="77777777" w:rsidR="00FF7F44" w:rsidRDefault="00FF7F44" w:rsidP="001021CB">
            <w:pPr>
              <w:spacing w:before="240" w:after="240"/>
            </w:pPr>
          </w:p>
        </w:tc>
        <w:tc>
          <w:tcPr>
            <w:tcW w:w="3274" w:type="dxa"/>
          </w:tcPr>
          <w:p w14:paraId="4D825019" w14:textId="3A1D4A77" w:rsidR="00FF7F44" w:rsidRDefault="00FF7F44" w:rsidP="001021CB">
            <w:pPr>
              <w:spacing w:before="240" w:after="240"/>
            </w:pPr>
            <w:r>
              <w:t>Geater circular economy</w:t>
            </w:r>
          </w:p>
        </w:tc>
        <w:tc>
          <w:tcPr>
            <w:tcW w:w="2485" w:type="dxa"/>
            <w:vAlign w:val="center"/>
          </w:tcPr>
          <w:p w14:paraId="1B47B789" w14:textId="77777777" w:rsidR="00FF7F44" w:rsidRDefault="00FF7F44" w:rsidP="000D1437">
            <w:pPr>
              <w:spacing w:before="240" w:after="240"/>
              <w:jc w:val="center"/>
            </w:pPr>
          </w:p>
        </w:tc>
        <w:tc>
          <w:tcPr>
            <w:tcW w:w="2485" w:type="dxa"/>
            <w:vAlign w:val="center"/>
          </w:tcPr>
          <w:p w14:paraId="2958BE30" w14:textId="61C1B0B2" w:rsidR="00FF7F44" w:rsidRDefault="00FF7F44" w:rsidP="000D1437">
            <w:pPr>
              <w:spacing w:before="240" w:after="240"/>
              <w:jc w:val="center"/>
            </w:pPr>
            <w:r>
              <w:t>X</w:t>
            </w:r>
          </w:p>
        </w:tc>
      </w:tr>
    </w:tbl>
    <w:p w14:paraId="4F1F29B7" w14:textId="77777777" w:rsidR="001021CB" w:rsidRPr="00364545" w:rsidRDefault="001021CB" w:rsidP="003F57EA">
      <w:pPr>
        <w:pStyle w:val="Titre3Niveau3"/>
        <w:numPr>
          <w:ilvl w:val="1"/>
          <w:numId w:val="78"/>
        </w:numPr>
      </w:pPr>
      <w:bookmarkStart w:id="486" w:name="_Toc138341841"/>
      <w:bookmarkStart w:id="487" w:name="_Toc121215528"/>
      <w:r w:rsidRPr="00364545">
        <w:t>Sensitivity analysis</w:t>
      </w:r>
      <w:bookmarkEnd w:id="486"/>
      <w:r w:rsidRPr="00364545">
        <w:t xml:space="preserve"> </w:t>
      </w:r>
      <w:bookmarkEnd w:id="487"/>
    </w:p>
    <w:p w14:paraId="0B6562FF" w14:textId="639ABC38" w:rsidR="00512611" w:rsidRPr="00364545" w:rsidRDefault="00512611" w:rsidP="009B7105">
      <w:bookmarkStart w:id="488" w:name="_Toc121151062"/>
      <w:bookmarkStart w:id="489" w:name="_Toc121151063"/>
      <w:bookmarkStart w:id="490" w:name="_Toc121151064"/>
      <w:bookmarkStart w:id="491" w:name="_Toc121151065"/>
      <w:bookmarkStart w:id="492" w:name="_Toc121151066"/>
      <w:bookmarkStart w:id="493" w:name="_Toc121151067"/>
      <w:bookmarkStart w:id="494" w:name="_Toc121151068"/>
      <w:bookmarkStart w:id="495" w:name="_Toc121151069"/>
      <w:bookmarkStart w:id="496" w:name="_Toc121151070"/>
      <w:bookmarkStart w:id="497" w:name="_Toc121151071"/>
      <w:bookmarkStart w:id="498" w:name="_Toc121151072"/>
      <w:bookmarkStart w:id="499" w:name="_Toc121151073"/>
      <w:bookmarkStart w:id="500" w:name="_Toc121151109"/>
      <w:bookmarkEnd w:id="488"/>
      <w:bookmarkEnd w:id="489"/>
      <w:bookmarkEnd w:id="490"/>
      <w:bookmarkEnd w:id="491"/>
      <w:bookmarkEnd w:id="492"/>
      <w:bookmarkEnd w:id="493"/>
      <w:bookmarkEnd w:id="494"/>
      <w:bookmarkEnd w:id="495"/>
      <w:bookmarkEnd w:id="496"/>
      <w:bookmarkEnd w:id="497"/>
      <w:bookmarkEnd w:id="498"/>
      <w:bookmarkEnd w:id="499"/>
      <w:bookmarkEnd w:id="500"/>
      <w:r w:rsidRPr="00364545">
        <w:t>No sensitivity analysis was conducted for AME 2021.</w:t>
      </w:r>
      <w:r w:rsidR="003D187D">
        <w:t xml:space="preserve"> </w:t>
      </w:r>
      <w:r w:rsidR="003E64A4">
        <w:t>Considering the modelling architecture used, t</w:t>
      </w:r>
      <w:r w:rsidR="003D187D">
        <w:t xml:space="preserve">hat would have represented </w:t>
      </w:r>
      <w:r w:rsidR="003E64A4">
        <w:t>significant costs</w:t>
      </w:r>
      <w:r w:rsidR="003D187D">
        <w:t>. Yet, considering that the modelling approach is very similar to the one used for the scenarios produced in 2018</w:t>
      </w:r>
      <w:r w:rsidR="003E64A4">
        <w:t xml:space="preserve">, for which such an analysis had been done (cf. BR4), one can consider that the sensitivity to the main parameters (GDP, energy prices, etc.) remain in the same margin. </w:t>
      </w:r>
    </w:p>
    <w:p w14:paraId="7990380E" w14:textId="17D2E1B1" w:rsidR="001021CB" w:rsidRPr="00364545" w:rsidRDefault="001021CB" w:rsidP="003F57EA">
      <w:pPr>
        <w:pStyle w:val="Titre3Niveau3"/>
        <w:numPr>
          <w:ilvl w:val="1"/>
          <w:numId w:val="78"/>
        </w:numPr>
      </w:pPr>
      <w:bookmarkStart w:id="501" w:name="_Toc138341842"/>
      <w:r w:rsidRPr="00364545">
        <w:t>Presentation of projections against actual data</w:t>
      </w:r>
      <w:bookmarkEnd w:id="501"/>
    </w:p>
    <w:p w14:paraId="3291AA68" w14:textId="2A307F67" w:rsidR="00512611" w:rsidRPr="00364545" w:rsidRDefault="00512611" w:rsidP="00512611">
      <w:pPr>
        <w:spacing w:before="240" w:after="240"/>
      </w:pPr>
      <w:r w:rsidRPr="00364545">
        <w:t>The AMS 2018 scenario presented here takes 2015 as the base year, as the history up to this date is consistent with the latest inventory submitted in April 2018. The AMS 2021 scenario takes 2019 as the base year, and is based on the inventory submitted in April 2021.</w:t>
      </w:r>
      <w:r w:rsidR="00D6090C">
        <w:t xml:space="preserve"> Considering the delay between the production of both scenarios, the base years are different, and do not align with the most recent national GHG inventory submission of 2020. Still, the observed data have been replaced with the observed data from the last annual inventory submission from 2022 (also available in CTF table 6(a) in BR5), which can explain some slope breaks in 2020.</w:t>
      </w:r>
    </w:p>
    <w:p w14:paraId="194335BE" w14:textId="77777777" w:rsidR="00512611" w:rsidRPr="00364545" w:rsidRDefault="00512611" w:rsidP="00512611">
      <w:pPr>
        <w:spacing w:before="240" w:after="240"/>
      </w:pPr>
      <w:r w:rsidRPr="00364545">
        <w:t>In the projection for AMS 2018, the emissions include corrective elements relating to certain cyclical elements such as the severity of the winter. Indeed, as 2015 was warmer than the average of previous years, actual emissions were lower than if the winter had been average in previous years. An upward correction of emissions has therefore been introduced for the short-term period. A global warming scenario of 2°C in 2050 has also been considered in the scenario. In this chapter, the detailed results are presented for the Kyoto scope. Projections within the scope of the convention could not be carried out in the context of this exercise.</w:t>
      </w:r>
    </w:p>
    <w:p w14:paraId="0A84AF60" w14:textId="15CD09A5" w:rsidR="001021CB" w:rsidRPr="00364545" w:rsidRDefault="00512611" w:rsidP="00512611">
      <w:pPr>
        <w:spacing w:before="240" w:after="240"/>
      </w:pPr>
      <w:r w:rsidRPr="00364545">
        <w:t>For the Kyoto scope, the emissions used in the scenarios (excluding the LULUCF sector) were 457 MtCO2e in 2015, i.e. a 15.9% reduction compared to 1990.</w:t>
      </w:r>
    </w:p>
    <w:p w14:paraId="1F48B604" w14:textId="77777777" w:rsidR="001021CB" w:rsidRPr="00364545" w:rsidRDefault="001021CB" w:rsidP="003F57EA">
      <w:pPr>
        <w:pStyle w:val="titreencadre"/>
        <w:numPr>
          <w:ilvl w:val="3"/>
          <w:numId w:val="78"/>
        </w:numPr>
      </w:pPr>
      <w:r w:rsidRPr="00364545">
        <w:t>AME 2021</w:t>
      </w:r>
    </w:p>
    <w:p w14:paraId="66BD6DC2" w14:textId="77777777" w:rsidR="00512611" w:rsidRPr="00364545" w:rsidRDefault="00512611" w:rsidP="00512611">
      <w:pPr>
        <w:spacing w:before="240" w:after="240"/>
      </w:pPr>
      <w:r w:rsidRPr="00364545">
        <w:t>The emissions excluding LULUCF in the Kyoto scope decrease in the AME 2021 scenario to:</w:t>
      </w:r>
    </w:p>
    <w:p w14:paraId="0C288EE9" w14:textId="3B987821" w:rsidR="00512611" w:rsidRPr="00364545" w:rsidRDefault="00512611" w:rsidP="00BE086C">
      <w:pPr>
        <w:pStyle w:val="ListParagraph"/>
        <w:numPr>
          <w:ilvl w:val="0"/>
          <w:numId w:val="53"/>
        </w:numPr>
        <w:spacing w:before="240" w:after="240"/>
      </w:pPr>
      <w:r w:rsidRPr="00364545">
        <w:t>367 MtCO2e in 2030, i.e. 33% reduction compared to 1990</w:t>
      </w:r>
    </w:p>
    <w:p w14:paraId="5E5964CC" w14:textId="1BFF178A" w:rsidR="00D6090C" w:rsidRPr="00364545" w:rsidRDefault="00512611">
      <w:pPr>
        <w:pStyle w:val="ListParagraph"/>
        <w:numPr>
          <w:ilvl w:val="0"/>
          <w:numId w:val="53"/>
        </w:numPr>
        <w:spacing w:before="240" w:after="240"/>
      </w:pPr>
      <w:r w:rsidRPr="00364545">
        <w:t>330 MtCO2e in 2050, i.e. 39% reduction compared to 1990</w:t>
      </w:r>
    </w:p>
    <w:tbl>
      <w:tblPr>
        <w:tblStyle w:val="TableGrid1"/>
        <w:tblW w:w="9941" w:type="dxa"/>
        <w:tblInd w:w="3" w:type="dxa"/>
        <w:tblCellMar>
          <w:top w:w="135" w:type="dxa"/>
          <w:left w:w="28" w:type="dxa"/>
          <w:right w:w="20" w:type="dxa"/>
        </w:tblCellMar>
        <w:tblLook w:val="04A0" w:firstRow="1" w:lastRow="0" w:firstColumn="1" w:lastColumn="0" w:noHBand="0" w:noVBand="1"/>
      </w:tblPr>
      <w:tblGrid>
        <w:gridCol w:w="953"/>
        <w:gridCol w:w="752"/>
        <w:gridCol w:w="751"/>
        <w:gridCol w:w="751"/>
        <w:gridCol w:w="751"/>
        <w:gridCol w:w="751"/>
        <w:gridCol w:w="751"/>
        <w:gridCol w:w="751"/>
        <w:gridCol w:w="746"/>
        <w:gridCol w:w="746"/>
        <w:gridCol w:w="746"/>
        <w:gridCol w:w="746"/>
        <w:gridCol w:w="746"/>
      </w:tblGrid>
      <w:tr w:rsidR="00D6090C" w:rsidRPr="00364545" w14:paraId="7342CA4C" w14:textId="77777777" w:rsidTr="00E56269">
        <w:trPr>
          <w:trHeight w:val="402"/>
        </w:trPr>
        <w:tc>
          <w:tcPr>
            <w:tcW w:w="884" w:type="dxa"/>
            <w:tcBorders>
              <w:top w:val="single" w:sz="2" w:space="0" w:color="FFFFFF"/>
              <w:left w:val="single" w:sz="2" w:space="0" w:color="FFFFFF"/>
              <w:bottom w:val="single" w:sz="2" w:space="0" w:color="FFFFFF"/>
              <w:right w:val="single" w:sz="2" w:space="0" w:color="FFFFFF"/>
            </w:tcBorders>
            <w:shd w:val="clear" w:color="auto" w:fill="6D2A78"/>
          </w:tcPr>
          <w:p w14:paraId="7D1FB849" w14:textId="77777777" w:rsidR="00D6090C" w:rsidRPr="00364545" w:rsidRDefault="00D6090C" w:rsidP="00E56269">
            <w:pPr>
              <w:spacing w:line="259" w:lineRule="auto"/>
            </w:pPr>
            <w:r w:rsidRPr="00364545">
              <w:rPr>
                <w:color w:val="FFFFFF" w:themeColor="background1"/>
              </w:rPr>
              <w:t>AME 2021</w:t>
            </w:r>
          </w:p>
        </w:tc>
        <w:tc>
          <w:tcPr>
            <w:tcW w:w="756"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44EDBDEF" w14:textId="77777777" w:rsidR="00D6090C" w:rsidRPr="00364545" w:rsidRDefault="00D6090C" w:rsidP="00E56269">
            <w:pPr>
              <w:spacing w:line="259" w:lineRule="auto"/>
              <w:ind w:right="4"/>
              <w:jc w:val="center"/>
            </w:pPr>
            <w:r w:rsidRPr="00364545">
              <w:rPr>
                <w:b/>
                <w:color w:val="FFFFFF"/>
                <w:sz w:val="18"/>
              </w:rPr>
              <w:t>1990</w:t>
            </w:r>
          </w:p>
        </w:tc>
        <w:tc>
          <w:tcPr>
            <w:tcW w:w="756"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6F9C4593" w14:textId="77777777" w:rsidR="00D6090C" w:rsidRPr="00364545" w:rsidRDefault="00D6090C" w:rsidP="00E56269">
            <w:pPr>
              <w:spacing w:line="259" w:lineRule="auto"/>
              <w:ind w:right="6"/>
              <w:jc w:val="center"/>
              <w:rPr>
                <w:b/>
                <w:color w:val="FFFFFF"/>
                <w:sz w:val="18"/>
              </w:rPr>
            </w:pPr>
            <w:r w:rsidRPr="00364545">
              <w:rPr>
                <w:b/>
                <w:color w:val="FFFFFF"/>
                <w:sz w:val="18"/>
              </w:rPr>
              <w:t>1995</w:t>
            </w:r>
          </w:p>
        </w:tc>
        <w:tc>
          <w:tcPr>
            <w:tcW w:w="756"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59260ABE" w14:textId="77777777" w:rsidR="00D6090C" w:rsidRPr="00364545" w:rsidRDefault="00D6090C" w:rsidP="00E56269">
            <w:pPr>
              <w:spacing w:line="259" w:lineRule="auto"/>
              <w:ind w:right="6"/>
              <w:jc w:val="center"/>
            </w:pPr>
            <w:r w:rsidRPr="00364545">
              <w:rPr>
                <w:b/>
                <w:color w:val="FFFFFF"/>
                <w:sz w:val="18"/>
              </w:rPr>
              <w:t>2000</w:t>
            </w:r>
          </w:p>
        </w:tc>
        <w:tc>
          <w:tcPr>
            <w:tcW w:w="756"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2376FC0F" w14:textId="77777777" w:rsidR="00D6090C" w:rsidRPr="00364545" w:rsidRDefault="00D6090C" w:rsidP="00E56269">
            <w:pPr>
              <w:spacing w:line="259" w:lineRule="auto"/>
              <w:ind w:right="4"/>
              <w:jc w:val="center"/>
            </w:pPr>
            <w:r w:rsidRPr="00364545">
              <w:rPr>
                <w:b/>
                <w:color w:val="FFFFFF"/>
                <w:sz w:val="18"/>
              </w:rPr>
              <w:t>2005</w:t>
            </w:r>
          </w:p>
        </w:tc>
        <w:tc>
          <w:tcPr>
            <w:tcW w:w="756"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26B0878B" w14:textId="77777777" w:rsidR="00D6090C" w:rsidRPr="00364545" w:rsidRDefault="00D6090C" w:rsidP="00E56269">
            <w:pPr>
              <w:spacing w:line="259" w:lineRule="auto"/>
              <w:ind w:right="7"/>
              <w:jc w:val="center"/>
            </w:pPr>
            <w:r w:rsidRPr="00364545">
              <w:rPr>
                <w:b/>
                <w:color w:val="FFFFFF"/>
                <w:sz w:val="18"/>
              </w:rPr>
              <w:t>2010</w:t>
            </w:r>
          </w:p>
        </w:tc>
        <w:tc>
          <w:tcPr>
            <w:tcW w:w="756"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5D4CACE5" w14:textId="77777777" w:rsidR="00D6090C" w:rsidRPr="00364545" w:rsidRDefault="00D6090C" w:rsidP="00E56269">
            <w:pPr>
              <w:spacing w:line="259" w:lineRule="auto"/>
              <w:ind w:right="5"/>
              <w:jc w:val="center"/>
            </w:pPr>
            <w:r w:rsidRPr="00364545">
              <w:rPr>
                <w:b/>
                <w:color w:val="FFFFFF"/>
                <w:sz w:val="18"/>
              </w:rPr>
              <w:t>2015</w:t>
            </w:r>
          </w:p>
        </w:tc>
        <w:tc>
          <w:tcPr>
            <w:tcW w:w="756"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6191BF61" w14:textId="77777777" w:rsidR="00D6090C" w:rsidRPr="00364545" w:rsidRDefault="00D6090C" w:rsidP="00E56269">
            <w:pPr>
              <w:spacing w:line="259" w:lineRule="auto"/>
              <w:ind w:right="7"/>
              <w:jc w:val="center"/>
              <w:rPr>
                <w:b/>
                <w:color w:val="FFFFFF"/>
                <w:sz w:val="18"/>
              </w:rPr>
            </w:pPr>
            <w:r w:rsidRPr="00364545">
              <w:rPr>
                <w:b/>
                <w:color w:val="FFFFFF"/>
                <w:sz w:val="18"/>
              </w:rPr>
              <w:t>2019</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2F67E58C" w14:textId="77777777" w:rsidR="00D6090C" w:rsidRPr="00364545" w:rsidRDefault="00D6090C" w:rsidP="00E56269">
            <w:pPr>
              <w:spacing w:line="259" w:lineRule="auto"/>
              <w:ind w:right="7"/>
              <w:jc w:val="center"/>
            </w:pPr>
            <w:r w:rsidRPr="00364545">
              <w:rPr>
                <w:b/>
                <w:color w:val="FFFFFF"/>
                <w:sz w:val="18"/>
              </w:rPr>
              <w:t>2020</w:t>
            </w:r>
          </w:p>
        </w:tc>
        <w:tc>
          <w:tcPr>
            <w:tcW w:w="753" w:type="dxa"/>
            <w:tcBorders>
              <w:top w:val="single" w:sz="2" w:space="0" w:color="FFFFFF"/>
              <w:left w:val="single" w:sz="2" w:space="0" w:color="FFFFFF"/>
              <w:bottom w:val="single" w:sz="2" w:space="0" w:color="FFFFFF"/>
              <w:right w:val="nil"/>
            </w:tcBorders>
            <w:shd w:val="clear" w:color="auto" w:fill="6D2A78"/>
            <w:vAlign w:val="center"/>
          </w:tcPr>
          <w:p w14:paraId="3FDE089F" w14:textId="77777777" w:rsidR="00D6090C" w:rsidRPr="00364545" w:rsidRDefault="00D6090C" w:rsidP="00E56269">
            <w:pPr>
              <w:spacing w:line="259" w:lineRule="auto"/>
              <w:ind w:right="7"/>
              <w:jc w:val="center"/>
              <w:rPr>
                <w:b/>
                <w:color w:val="FFFFFF"/>
                <w:sz w:val="18"/>
              </w:rPr>
            </w:pPr>
            <w:r w:rsidRPr="00364545">
              <w:rPr>
                <w:b/>
                <w:color w:val="FFFFFF"/>
                <w:sz w:val="18"/>
              </w:rPr>
              <w:t>2025</w:t>
            </w:r>
          </w:p>
        </w:tc>
        <w:tc>
          <w:tcPr>
            <w:tcW w:w="753" w:type="dxa"/>
            <w:tcBorders>
              <w:top w:val="single" w:sz="2" w:space="0" w:color="FFFFFF"/>
              <w:left w:val="nil"/>
              <w:bottom w:val="single" w:sz="2" w:space="0" w:color="FFFFFF"/>
              <w:right w:val="single" w:sz="2" w:space="0" w:color="FFFFFF"/>
            </w:tcBorders>
            <w:shd w:val="clear" w:color="auto" w:fill="6D2A78"/>
            <w:vAlign w:val="center"/>
          </w:tcPr>
          <w:p w14:paraId="43FD90A8" w14:textId="77777777" w:rsidR="00D6090C" w:rsidRPr="00364545" w:rsidRDefault="00D6090C" w:rsidP="00E56269">
            <w:pPr>
              <w:spacing w:line="259" w:lineRule="auto"/>
              <w:ind w:right="7"/>
              <w:jc w:val="center"/>
              <w:rPr>
                <w:b/>
                <w:color w:val="FFFFFF"/>
                <w:sz w:val="18"/>
              </w:rPr>
            </w:pPr>
            <w:r w:rsidRPr="00364545">
              <w:rPr>
                <w:b/>
                <w:color w:val="FFFFFF"/>
                <w:sz w:val="18"/>
              </w:rPr>
              <w:t>2030</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71A34F26" w14:textId="77777777" w:rsidR="00D6090C" w:rsidRPr="00364545" w:rsidRDefault="00D6090C" w:rsidP="00E56269">
            <w:pPr>
              <w:spacing w:line="259" w:lineRule="auto"/>
              <w:jc w:val="center"/>
            </w:pPr>
            <w:r w:rsidRPr="00364545">
              <w:rPr>
                <w:b/>
                <w:color w:val="FFFFFF"/>
                <w:sz w:val="18"/>
              </w:rPr>
              <w:t>2035</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21206802" w14:textId="77777777" w:rsidR="00D6090C" w:rsidRPr="00364545" w:rsidRDefault="00D6090C" w:rsidP="00E56269">
            <w:pPr>
              <w:spacing w:line="259" w:lineRule="auto"/>
              <w:jc w:val="center"/>
              <w:rPr>
                <w:b/>
                <w:color w:val="FFFFFF"/>
                <w:sz w:val="18"/>
              </w:rPr>
            </w:pPr>
            <w:r w:rsidRPr="00364545">
              <w:rPr>
                <w:b/>
                <w:color w:val="FFFFFF"/>
                <w:sz w:val="18"/>
              </w:rPr>
              <w:t>2050</w:t>
            </w:r>
          </w:p>
        </w:tc>
      </w:tr>
      <w:tr w:rsidR="00D6090C" w:rsidRPr="00364545" w14:paraId="4B7FB90B" w14:textId="77777777" w:rsidTr="00E56269">
        <w:trPr>
          <w:trHeight w:val="460"/>
        </w:trPr>
        <w:tc>
          <w:tcPr>
            <w:tcW w:w="884" w:type="dxa"/>
            <w:tcBorders>
              <w:top w:val="single" w:sz="2" w:space="0" w:color="FFFFFF"/>
              <w:left w:val="single" w:sz="2" w:space="0" w:color="6D2A78"/>
              <w:bottom w:val="single" w:sz="2" w:space="0" w:color="6D2A78"/>
              <w:right w:val="single" w:sz="2" w:space="0" w:color="6D2A78"/>
            </w:tcBorders>
            <w:vAlign w:val="center"/>
          </w:tcPr>
          <w:p w14:paraId="6457C0F1" w14:textId="77777777" w:rsidR="00D6090C" w:rsidRPr="00364545" w:rsidRDefault="00D6090C" w:rsidP="00E56269">
            <w:pPr>
              <w:spacing w:line="259" w:lineRule="auto"/>
              <w:ind w:left="39"/>
            </w:pPr>
            <w:r w:rsidRPr="00364545">
              <w:rPr>
                <w:sz w:val="18"/>
              </w:rPr>
              <w:t>(in kt</w:t>
            </w:r>
            <w:r w:rsidRPr="00364545">
              <w:t>CO</w:t>
            </w:r>
            <w:r w:rsidRPr="00364545">
              <w:rPr>
                <w:vertAlign w:val="subscript"/>
              </w:rPr>
              <w:t>2</w:t>
            </w:r>
            <w:r w:rsidRPr="00364545">
              <w:rPr>
                <w:sz w:val="18"/>
                <w:vertAlign w:val="subscript"/>
              </w:rPr>
              <w:t>e</w:t>
            </w:r>
            <w:r w:rsidRPr="00364545">
              <w:rPr>
                <w:sz w:val="18"/>
              </w:rPr>
              <w:t xml:space="preserve">) </w:t>
            </w:r>
          </w:p>
        </w:tc>
        <w:tc>
          <w:tcPr>
            <w:tcW w:w="756" w:type="dxa"/>
            <w:tcBorders>
              <w:top w:val="single" w:sz="2" w:space="0" w:color="FFFFFF"/>
              <w:left w:val="single" w:sz="2" w:space="0" w:color="6D2A78"/>
              <w:bottom w:val="single" w:sz="2" w:space="0" w:color="6D2A78"/>
              <w:right w:val="single" w:sz="2" w:space="0" w:color="6D2A78"/>
            </w:tcBorders>
            <w:vAlign w:val="center"/>
          </w:tcPr>
          <w:p w14:paraId="1591B6CB" w14:textId="77777777" w:rsidR="00D6090C" w:rsidRPr="00364545" w:rsidRDefault="00D6090C" w:rsidP="00E56269">
            <w:pPr>
              <w:spacing w:line="259" w:lineRule="auto"/>
              <w:jc w:val="center"/>
            </w:pPr>
            <w:r w:rsidRPr="00364545">
              <w:rPr>
                <w:sz w:val="18"/>
              </w:rPr>
              <w:t>Observed</w:t>
            </w:r>
          </w:p>
        </w:tc>
        <w:tc>
          <w:tcPr>
            <w:tcW w:w="756" w:type="dxa"/>
            <w:tcBorders>
              <w:top w:val="single" w:sz="2" w:space="0" w:color="FFFFFF"/>
              <w:left w:val="single" w:sz="2" w:space="0" w:color="6D2A78"/>
              <w:bottom w:val="single" w:sz="2" w:space="0" w:color="6D2A78"/>
              <w:right w:val="single" w:sz="2" w:space="0" w:color="6D2A78"/>
            </w:tcBorders>
            <w:vAlign w:val="center"/>
          </w:tcPr>
          <w:p w14:paraId="121E4A0A" w14:textId="77777777" w:rsidR="00D6090C" w:rsidRPr="00364545" w:rsidRDefault="00D6090C" w:rsidP="00E56269">
            <w:pPr>
              <w:spacing w:line="259" w:lineRule="auto"/>
              <w:jc w:val="center"/>
              <w:rPr>
                <w:sz w:val="18"/>
              </w:rPr>
            </w:pPr>
            <w:r w:rsidRPr="00364545">
              <w:rPr>
                <w:sz w:val="18"/>
              </w:rPr>
              <w:t>Observed</w:t>
            </w:r>
          </w:p>
        </w:tc>
        <w:tc>
          <w:tcPr>
            <w:tcW w:w="756" w:type="dxa"/>
            <w:tcBorders>
              <w:top w:val="single" w:sz="2" w:space="0" w:color="FFFFFF"/>
              <w:left w:val="single" w:sz="2" w:space="0" w:color="6D2A78"/>
              <w:bottom w:val="single" w:sz="2" w:space="0" w:color="6D2A78"/>
              <w:right w:val="single" w:sz="2" w:space="0" w:color="6D2A78"/>
            </w:tcBorders>
            <w:vAlign w:val="center"/>
          </w:tcPr>
          <w:p w14:paraId="2F0B0F44" w14:textId="77777777" w:rsidR="00D6090C" w:rsidRPr="00364545" w:rsidRDefault="00D6090C" w:rsidP="00E56269">
            <w:pPr>
              <w:spacing w:line="259" w:lineRule="auto"/>
              <w:jc w:val="center"/>
            </w:pPr>
            <w:r w:rsidRPr="00364545">
              <w:rPr>
                <w:sz w:val="18"/>
              </w:rPr>
              <w:t>Observed</w:t>
            </w:r>
          </w:p>
        </w:tc>
        <w:tc>
          <w:tcPr>
            <w:tcW w:w="756" w:type="dxa"/>
            <w:tcBorders>
              <w:top w:val="single" w:sz="2" w:space="0" w:color="FFFFFF"/>
              <w:left w:val="single" w:sz="2" w:space="0" w:color="6D2A78"/>
              <w:bottom w:val="single" w:sz="2" w:space="0" w:color="6D2A78"/>
              <w:right w:val="single" w:sz="2" w:space="0" w:color="6D2A78"/>
            </w:tcBorders>
            <w:vAlign w:val="center"/>
          </w:tcPr>
          <w:p w14:paraId="56556EEE" w14:textId="77777777" w:rsidR="00D6090C" w:rsidRPr="00364545" w:rsidRDefault="00D6090C" w:rsidP="00E56269">
            <w:pPr>
              <w:spacing w:line="259" w:lineRule="auto"/>
              <w:jc w:val="center"/>
            </w:pPr>
            <w:r w:rsidRPr="00364545">
              <w:rPr>
                <w:sz w:val="18"/>
              </w:rPr>
              <w:t>Observed</w:t>
            </w:r>
          </w:p>
        </w:tc>
        <w:tc>
          <w:tcPr>
            <w:tcW w:w="756" w:type="dxa"/>
            <w:tcBorders>
              <w:top w:val="single" w:sz="2" w:space="0" w:color="FFFFFF"/>
              <w:left w:val="single" w:sz="2" w:space="0" w:color="6D2A78"/>
              <w:bottom w:val="single" w:sz="2" w:space="0" w:color="6D2A78"/>
              <w:right w:val="single" w:sz="2" w:space="0" w:color="6D2A78"/>
            </w:tcBorders>
            <w:vAlign w:val="center"/>
          </w:tcPr>
          <w:p w14:paraId="268D8863" w14:textId="77777777" w:rsidR="00D6090C" w:rsidRPr="00364545" w:rsidRDefault="00D6090C" w:rsidP="00E56269">
            <w:pPr>
              <w:spacing w:line="259" w:lineRule="auto"/>
              <w:jc w:val="center"/>
            </w:pPr>
            <w:r w:rsidRPr="00364545">
              <w:rPr>
                <w:sz w:val="18"/>
              </w:rPr>
              <w:t>Observed</w:t>
            </w:r>
          </w:p>
        </w:tc>
        <w:tc>
          <w:tcPr>
            <w:tcW w:w="756" w:type="dxa"/>
            <w:tcBorders>
              <w:top w:val="single" w:sz="2" w:space="0" w:color="FFFFFF"/>
              <w:left w:val="single" w:sz="2" w:space="0" w:color="6D2A78"/>
              <w:bottom w:val="single" w:sz="2" w:space="0" w:color="6D2A78"/>
              <w:right w:val="single" w:sz="2" w:space="0" w:color="6D2A78"/>
            </w:tcBorders>
            <w:vAlign w:val="center"/>
          </w:tcPr>
          <w:p w14:paraId="1EB61555" w14:textId="77777777" w:rsidR="00D6090C" w:rsidRPr="00364545" w:rsidRDefault="00D6090C" w:rsidP="00E56269">
            <w:pPr>
              <w:spacing w:line="259" w:lineRule="auto"/>
              <w:jc w:val="center"/>
            </w:pPr>
            <w:r w:rsidRPr="00364545">
              <w:rPr>
                <w:sz w:val="18"/>
              </w:rPr>
              <w:t>Observed</w:t>
            </w:r>
          </w:p>
        </w:tc>
        <w:tc>
          <w:tcPr>
            <w:tcW w:w="756" w:type="dxa"/>
            <w:tcBorders>
              <w:top w:val="single" w:sz="2" w:space="0" w:color="FFFFFF"/>
              <w:left w:val="single" w:sz="2" w:space="0" w:color="6D2A78"/>
              <w:bottom w:val="single" w:sz="2" w:space="0" w:color="6D2A78"/>
              <w:right w:val="single" w:sz="2" w:space="0" w:color="6D2A78"/>
            </w:tcBorders>
            <w:vAlign w:val="center"/>
          </w:tcPr>
          <w:p w14:paraId="4A5D2FC6" w14:textId="77777777" w:rsidR="00D6090C" w:rsidRPr="00364545" w:rsidRDefault="00D6090C" w:rsidP="00E56269">
            <w:pPr>
              <w:spacing w:line="259" w:lineRule="auto"/>
              <w:jc w:val="center"/>
              <w:rPr>
                <w:sz w:val="18"/>
              </w:rPr>
            </w:pPr>
            <w:r w:rsidRPr="00364545">
              <w:rPr>
                <w:sz w:val="18"/>
              </w:rPr>
              <w:t>Observed</w:t>
            </w:r>
          </w:p>
        </w:tc>
        <w:tc>
          <w:tcPr>
            <w:tcW w:w="753" w:type="dxa"/>
            <w:tcBorders>
              <w:top w:val="single" w:sz="2" w:space="0" w:color="FFFFFF"/>
              <w:left w:val="single" w:sz="2" w:space="0" w:color="6D2A78"/>
              <w:bottom w:val="single" w:sz="2" w:space="0" w:color="6D2A78"/>
              <w:right w:val="single" w:sz="2" w:space="0" w:color="6D2A78"/>
            </w:tcBorders>
            <w:vAlign w:val="center"/>
          </w:tcPr>
          <w:p w14:paraId="73FEAD39" w14:textId="77777777" w:rsidR="00D6090C" w:rsidRPr="00364545" w:rsidRDefault="00D6090C" w:rsidP="00E56269">
            <w:pPr>
              <w:spacing w:line="259" w:lineRule="auto"/>
              <w:jc w:val="center"/>
            </w:pPr>
            <w:r w:rsidRPr="00364545">
              <w:rPr>
                <w:sz w:val="18"/>
              </w:rPr>
              <w:t>Projected</w:t>
            </w:r>
          </w:p>
        </w:tc>
        <w:tc>
          <w:tcPr>
            <w:tcW w:w="753" w:type="dxa"/>
            <w:tcBorders>
              <w:top w:val="single" w:sz="2" w:space="0" w:color="FFFFFF"/>
              <w:left w:val="single" w:sz="2" w:space="0" w:color="6D2A78"/>
              <w:bottom w:val="single" w:sz="2" w:space="0" w:color="6D2A78"/>
              <w:right w:val="single" w:sz="2" w:space="0" w:color="6D2A78"/>
            </w:tcBorders>
            <w:vAlign w:val="center"/>
          </w:tcPr>
          <w:p w14:paraId="0C484BF0" w14:textId="77777777" w:rsidR="00D6090C" w:rsidRPr="00364545" w:rsidRDefault="00D6090C" w:rsidP="00E56269">
            <w:pPr>
              <w:spacing w:line="259" w:lineRule="auto"/>
              <w:jc w:val="center"/>
            </w:pPr>
            <w:r w:rsidRPr="00364545">
              <w:rPr>
                <w:sz w:val="18"/>
              </w:rPr>
              <w:t>Projected</w:t>
            </w:r>
          </w:p>
        </w:tc>
        <w:tc>
          <w:tcPr>
            <w:tcW w:w="753" w:type="dxa"/>
            <w:tcBorders>
              <w:top w:val="single" w:sz="2" w:space="0" w:color="FFFFFF"/>
              <w:left w:val="single" w:sz="2" w:space="0" w:color="6D2A78"/>
              <w:bottom w:val="single" w:sz="2" w:space="0" w:color="6D2A78"/>
              <w:right w:val="single" w:sz="2" w:space="0" w:color="6D2A78"/>
            </w:tcBorders>
            <w:vAlign w:val="center"/>
          </w:tcPr>
          <w:p w14:paraId="4C95DCC6" w14:textId="77777777" w:rsidR="00D6090C" w:rsidRPr="00364545" w:rsidRDefault="00D6090C" w:rsidP="00E56269">
            <w:pPr>
              <w:spacing w:line="259" w:lineRule="auto"/>
              <w:jc w:val="center"/>
            </w:pPr>
            <w:r w:rsidRPr="00364545">
              <w:rPr>
                <w:sz w:val="18"/>
              </w:rPr>
              <w:t>Projected</w:t>
            </w:r>
          </w:p>
        </w:tc>
        <w:tc>
          <w:tcPr>
            <w:tcW w:w="753" w:type="dxa"/>
            <w:tcBorders>
              <w:top w:val="single" w:sz="2" w:space="0" w:color="FFFFFF"/>
              <w:left w:val="single" w:sz="2" w:space="0" w:color="6D2A78"/>
              <w:bottom w:val="single" w:sz="2" w:space="0" w:color="6D2A78"/>
              <w:right w:val="single" w:sz="2" w:space="0" w:color="6D2A78"/>
            </w:tcBorders>
            <w:vAlign w:val="center"/>
          </w:tcPr>
          <w:p w14:paraId="2C4386AD" w14:textId="77777777" w:rsidR="00D6090C" w:rsidRPr="00364545" w:rsidRDefault="00D6090C" w:rsidP="00E56269">
            <w:pPr>
              <w:spacing w:line="259" w:lineRule="auto"/>
              <w:jc w:val="center"/>
            </w:pPr>
            <w:r w:rsidRPr="00364545">
              <w:rPr>
                <w:sz w:val="18"/>
              </w:rPr>
              <w:t>Projected</w:t>
            </w:r>
          </w:p>
        </w:tc>
        <w:tc>
          <w:tcPr>
            <w:tcW w:w="753" w:type="dxa"/>
            <w:tcBorders>
              <w:top w:val="single" w:sz="2" w:space="0" w:color="FFFFFF"/>
              <w:left w:val="single" w:sz="2" w:space="0" w:color="6D2A78"/>
              <w:bottom w:val="single" w:sz="2" w:space="0" w:color="6D2A78"/>
              <w:right w:val="single" w:sz="2" w:space="0" w:color="6D2A78"/>
            </w:tcBorders>
            <w:vAlign w:val="center"/>
          </w:tcPr>
          <w:p w14:paraId="35926028" w14:textId="77777777" w:rsidR="00D6090C" w:rsidRPr="00364545" w:rsidRDefault="00D6090C" w:rsidP="00E56269">
            <w:pPr>
              <w:spacing w:line="259" w:lineRule="auto"/>
              <w:jc w:val="center"/>
              <w:rPr>
                <w:sz w:val="18"/>
              </w:rPr>
            </w:pPr>
            <w:r w:rsidRPr="00364545">
              <w:rPr>
                <w:sz w:val="18"/>
              </w:rPr>
              <w:t>Projected</w:t>
            </w:r>
          </w:p>
        </w:tc>
      </w:tr>
      <w:tr w:rsidR="00D6090C" w:rsidRPr="00364545" w14:paraId="5B9A8D74" w14:textId="77777777" w:rsidTr="00E56269">
        <w:trPr>
          <w:trHeight w:val="457"/>
        </w:trPr>
        <w:tc>
          <w:tcPr>
            <w:tcW w:w="884"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7DEAC504" w14:textId="77777777" w:rsidR="00D6090C" w:rsidRPr="00364545" w:rsidRDefault="00D6090C" w:rsidP="00E56269">
            <w:pPr>
              <w:spacing w:line="259" w:lineRule="auto"/>
              <w:ind w:right="9"/>
              <w:jc w:val="center"/>
            </w:pPr>
            <w:r w:rsidRPr="00364545">
              <w:rPr>
                <w:sz w:val="18"/>
              </w:rPr>
              <w:t>All (</w:t>
            </w:r>
            <w:r>
              <w:rPr>
                <w:sz w:val="18"/>
              </w:rPr>
              <w:t>excluding</w:t>
            </w:r>
            <w:r w:rsidRPr="00364545">
              <w:rPr>
                <w:sz w:val="18"/>
              </w:rPr>
              <w:t xml:space="preserve"> LULUCF) </w:t>
            </w:r>
          </w:p>
        </w:tc>
        <w:tc>
          <w:tcPr>
            <w:tcW w:w="75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2952B7B" w14:textId="77777777" w:rsidR="00D6090C" w:rsidRPr="00634E4C" w:rsidRDefault="00D6090C" w:rsidP="00E56269">
            <w:pPr>
              <w:spacing w:line="259" w:lineRule="auto"/>
              <w:ind w:left="59"/>
              <w:jc w:val="center"/>
              <w:rPr>
                <w:sz w:val="18"/>
              </w:rPr>
            </w:pPr>
            <w:r w:rsidRPr="006E265A">
              <w:rPr>
                <w:sz w:val="18"/>
              </w:rPr>
              <w:t>544086</w:t>
            </w:r>
          </w:p>
        </w:tc>
        <w:tc>
          <w:tcPr>
            <w:tcW w:w="75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1FB1DF6F" w14:textId="77777777" w:rsidR="00D6090C" w:rsidRPr="006E265A" w:rsidRDefault="00D6090C" w:rsidP="00E56269">
            <w:pPr>
              <w:spacing w:line="259" w:lineRule="auto"/>
              <w:ind w:left="58"/>
              <w:jc w:val="center"/>
              <w:rPr>
                <w:sz w:val="18"/>
              </w:rPr>
            </w:pPr>
            <w:r w:rsidRPr="006E265A">
              <w:rPr>
                <w:sz w:val="18"/>
              </w:rPr>
              <w:t>536475</w:t>
            </w:r>
          </w:p>
        </w:tc>
        <w:tc>
          <w:tcPr>
            <w:tcW w:w="75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05D55F53" w14:textId="77777777" w:rsidR="00D6090C" w:rsidRPr="00634E4C" w:rsidRDefault="00D6090C" w:rsidP="00E56269">
            <w:pPr>
              <w:spacing w:line="259" w:lineRule="auto"/>
              <w:ind w:left="58"/>
              <w:jc w:val="center"/>
              <w:rPr>
                <w:sz w:val="18"/>
              </w:rPr>
            </w:pPr>
            <w:r w:rsidRPr="006E265A">
              <w:rPr>
                <w:sz w:val="18"/>
              </w:rPr>
              <w:t>549005</w:t>
            </w:r>
          </w:p>
        </w:tc>
        <w:tc>
          <w:tcPr>
            <w:tcW w:w="75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65B696E4" w14:textId="77777777" w:rsidR="00D6090C" w:rsidRPr="00634E4C" w:rsidRDefault="00D6090C" w:rsidP="00E56269">
            <w:pPr>
              <w:spacing w:line="259" w:lineRule="auto"/>
              <w:ind w:left="59"/>
              <w:jc w:val="center"/>
              <w:rPr>
                <w:sz w:val="18"/>
                <w:highlight w:val="yellow"/>
              </w:rPr>
            </w:pPr>
            <w:r w:rsidRPr="006E265A">
              <w:rPr>
                <w:sz w:val="18"/>
              </w:rPr>
              <w:t>551391</w:t>
            </w:r>
          </w:p>
        </w:tc>
        <w:tc>
          <w:tcPr>
            <w:tcW w:w="75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28C79B52" w14:textId="77777777" w:rsidR="00D6090C" w:rsidRPr="00634E4C" w:rsidRDefault="00D6090C" w:rsidP="00E56269">
            <w:pPr>
              <w:spacing w:line="259" w:lineRule="auto"/>
              <w:ind w:left="57"/>
              <w:jc w:val="center"/>
              <w:rPr>
                <w:sz w:val="18"/>
              </w:rPr>
            </w:pPr>
            <w:r w:rsidRPr="006E265A">
              <w:rPr>
                <w:sz w:val="18"/>
              </w:rPr>
              <w:t>507468</w:t>
            </w:r>
          </w:p>
        </w:tc>
        <w:tc>
          <w:tcPr>
            <w:tcW w:w="75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0C9E6140" w14:textId="77777777" w:rsidR="00D6090C" w:rsidRPr="00634E4C" w:rsidRDefault="00D6090C" w:rsidP="00E56269">
            <w:pPr>
              <w:spacing w:line="259" w:lineRule="auto"/>
              <w:ind w:left="59"/>
              <w:jc w:val="center"/>
              <w:rPr>
                <w:sz w:val="18"/>
              </w:rPr>
            </w:pPr>
            <w:r w:rsidRPr="006E265A">
              <w:rPr>
                <w:sz w:val="18"/>
              </w:rPr>
              <w:t>457923</w:t>
            </w:r>
          </w:p>
        </w:tc>
        <w:tc>
          <w:tcPr>
            <w:tcW w:w="75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3057A2A" w14:textId="77777777" w:rsidR="00D6090C" w:rsidRPr="006E265A" w:rsidRDefault="00D6090C" w:rsidP="00E56269">
            <w:pPr>
              <w:spacing w:line="259" w:lineRule="auto"/>
              <w:ind w:left="58"/>
              <w:jc w:val="center"/>
              <w:rPr>
                <w:sz w:val="18"/>
              </w:rPr>
            </w:pPr>
            <w:r w:rsidRPr="006E265A">
              <w:rPr>
                <w:sz w:val="18"/>
              </w:rPr>
              <w:t>434539</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742C73A6" w14:textId="77777777" w:rsidR="00D6090C" w:rsidRPr="00364545" w:rsidRDefault="00D6090C" w:rsidP="00E56269">
            <w:pPr>
              <w:spacing w:line="259" w:lineRule="auto"/>
              <w:ind w:left="58"/>
              <w:jc w:val="center"/>
            </w:pPr>
            <w:r w:rsidRPr="00364545">
              <w:rPr>
                <w:sz w:val="18"/>
              </w:rPr>
              <w:t>398676</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685D91B3" w14:textId="77777777" w:rsidR="00D6090C" w:rsidRPr="00364545" w:rsidRDefault="00D6090C" w:rsidP="00E56269">
            <w:pPr>
              <w:spacing w:line="259" w:lineRule="auto"/>
              <w:ind w:left="59"/>
              <w:jc w:val="center"/>
            </w:pPr>
            <w:r w:rsidRPr="00364545">
              <w:rPr>
                <w:sz w:val="18"/>
              </w:rPr>
              <w:t>392095</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68AB7D88" w14:textId="77777777" w:rsidR="00D6090C" w:rsidRPr="00364545" w:rsidRDefault="00D6090C" w:rsidP="00E56269">
            <w:pPr>
              <w:spacing w:line="259" w:lineRule="auto"/>
              <w:ind w:left="58"/>
              <w:jc w:val="center"/>
            </w:pPr>
            <w:r w:rsidRPr="00364545">
              <w:rPr>
                <w:sz w:val="18"/>
              </w:rPr>
              <w:t>367049</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15FBADC4" w14:textId="77777777" w:rsidR="00D6090C" w:rsidRPr="00364545" w:rsidRDefault="00D6090C" w:rsidP="00E56269">
            <w:pPr>
              <w:spacing w:line="259" w:lineRule="auto"/>
              <w:ind w:left="59"/>
              <w:jc w:val="center"/>
            </w:pPr>
            <w:r w:rsidRPr="00364545">
              <w:rPr>
                <w:sz w:val="18"/>
              </w:rPr>
              <w:t>354446</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7345E622" w14:textId="77777777" w:rsidR="00D6090C" w:rsidRPr="00364545" w:rsidRDefault="00D6090C" w:rsidP="00E56269">
            <w:pPr>
              <w:spacing w:line="259" w:lineRule="auto"/>
              <w:ind w:left="59"/>
              <w:jc w:val="center"/>
              <w:rPr>
                <w:sz w:val="18"/>
              </w:rPr>
            </w:pPr>
            <w:r w:rsidRPr="00364545">
              <w:rPr>
                <w:sz w:val="18"/>
              </w:rPr>
              <w:t>329653</w:t>
            </w:r>
          </w:p>
        </w:tc>
      </w:tr>
      <w:tr w:rsidR="00D6090C" w:rsidRPr="00364545" w14:paraId="6A68961C" w14:textId="77777777" w:rsidTr="00E56269">
        <w:trPr>
          <w:trHeight w:val="459"/>
        </w:trPr>
        <w:tc>
          <w:tcPr>
            <w:tcW w:w="884" w:type="dxa"/>
            <w:tcBorders>
              <w:top w:val="single" w:sz="2" w:space="0" w:color="6D2A78"/>
              <w:left w:val="single" w:sz="2" w:space="0" w:color="6D2A78"/>
              <w:bottom w:val="single" w:sz="2" w:space="0" w:color="6D2A78"/>
              <w:right w:val="single" w:sz="2" w:space="0" w:color="6D2A78"/>
            </w:tcBorders>
            <w:vAlign w:val="center"/>
          </w:tcPr>
          <w:p w14:paraId="53317295" w14:textId="77777777" w:rsidR="00D6090C" w:rsidRPr="00364545" w:rsidRDefault="00D6090C" w:rsidP="00E56269">
            <w:pPr>
              <w:spacing w:line="259" w:lineRule="auto"/>
              <w:ind w:left="144"/>
            </w:pPr>
            <w:r w:rsidRPr="00364545">
              <w:rPr>
                <w:sz w:val="18"/>
              </w:rPr>
              <w:t>All (</w:t>
            </w:r>
            <w:r>
              <w:rPr>
                <w:sz w:val="18"/>
              </w:rPr>
              <w:t>including</w:t>
            </w:r>
            <w:r w:rsidRPr="00364545">
              <w:rPr>
                <w:sz w:val="18"/>
              </w:rPr>
              <w:t xml:space="preserve"> LULUCF) </w:t>
            </w:r>
          </w:p>
        </w:tc>
        <w:tc>
          <w:tcPr>
            <w:tcW w:w="756" w:type="dxa"/>
            <w:tcBorders>
              <w:top w:val="single" w:sz="2" w:space="0" w:color="6D2A78"/>
              <w:left w:val="single" w:sz="2" w:space="0" w:color="6D2A78"/>
              <w:bottom w:val="single" w:sz="2" w:space="0" w:color="6D2A78"/>
              <w:right w:val="single" w:sz="2" w:space="0" w:color="6D2A78"/>
            </w:tcBorders>
            <w:vAlign w:val="center"/>
          </w:tcPr>
          <w:p w14:paraId="2B0596FF" w14:textId="77777777" w:rsidR="00D6090C" w:rsidRPr="00634E4C" w:rsidRDefault="00D6090C" w:rsidP="00E56269">
            <w:pPr>
              <w:spacing w:line="259" w:lineRule="auto"/>
              <w:ind w:left="59"/>
              <w:jc w:val="center"/>
              <w:rPr>
                <w:sz w:val="18"/>
              </w:rPr>
            </w:pPr>
            <w:r w:rsidRPr="006E265A">
              <w:rPr>
                <w:sz w:val="18"/>
              </w:rPr>
              <w:t>520100</w:t>
            </w:r>
          </w:p>
        </w:tc>
        <w:tc>
          <w:tcPr>
            <w:tcW w:w="756" w:type="dxa"/>
            <w:tcBorders>
              <w:top w:val="single" w:sz="2" w:space="0" w:color="6D2A78"/>
              <w:left w:val="single" w:sz="2" w:space="0" w:color="6D2A78"/>
              <w:bottom w:val="single" w:sz="2" w:space="0" w:color="6D2A78"/>
              <w:right w:val="single" w:sz="2" w:space="0" w:color="6D2A78"/>
            </w:tcBorders>
            <w:vAlign w:val="center"/>
          </w:tcPr>
          <w:p w14:paraId="107E7873" w14:textId="77777777" w:rsidR="00D6090C" w:rsidRPr="006E265A" w:rsidRDefault="00D6090C" w:rsidP="00E56269">
            <w:pPr>
              <w:spacing w:line="259" w:lineRule="auto"/>
              <w:ind w:left="58"/>
              <w:jc w:val="center"/>
              <w:rPr>
                <w:sz w:val="18"/>
              </w:rPr>
            </w:pPr>
            <w:r w:rsidRPr="006E265A">
              <w:rPr>
                <w:sz w:val="18"/>
              </w:rPr>
              <w:t>511596</w:t>
            </w:r>
          </w:p>
        </w:tc>
        <w:tc>
          <w:tcPr>
            <w:tcW w:w="756" w:type="dxa"/>
            <w:tcBorders>
              <w:top w:val="single" w:sz="2" w:space="0" w:color="6D2A78"/>
              <w:left w:val="single" w:sz="2" w:space="0" w:color="6D2A78"/>
              <w:bottom w:val="single" w:sz="2" w:space="0" w:color="6D2A78"/>
              <w:right w:val="single" w:sz="2" w:space="0" w:color="6D2A78"/>
            </w:tcBorders>
            <w:vAlign w:val="center"/>
          </w:tcPr>
          <w:p w14:paraId="5EDF9603" w14:textId="77777777" w:rsidR="00D6090C" w:rsidRPr="00634E4C" w:rsidRDefault="00D6090C" w:rsidP="00E56269">
            <w:pPr>
              <w:spacing w:line="259" w:lineRule="auto"/>
              <w:ind w:left="58"/>
              <w:jc w:val="center"/>
              <w:rPr>
                <w:sz w:val="18"/>
              </w:rPr>
            </w:pPr>
            <w:r w:rsidRPr="006E265A">
              <w:rPr>
                <w:sz w:val="18"/>
              </w:rPr>
              <w:t>529295</w:t>
            </w:r>
          </w:p>
        </w:tc>
        <w:tc>
          <w:tcPr>
            <w:tcW w:w="756" w:type="dxa"/>
            <w:tcBorders>
              <w:top w:val="single" w:sz="2" w:space="0" w:color="6D2A78"/>
              <w:left w:val="single" w:sz="2" w:space="0" w:color="6D2A78"/>
              <w:bottom w:val="single" w:sz="2" w:space="0" w:color="6D2A78"/>
              <w:right w:val="single" w:sz="2" w:space="0" w:color="6D2A78"/>
            </w:tcBorders>
            <w:vAlign w:val="center"/>
          </w:tcPr>
          <w:p w14:paraId="428AE0CF" w14:textId="77777777" w:rsidR="00D6090C" w:rsidRPr="00634E4C" w:rsidRDefault="00D6090C" w:rsidP="00E56269">
            <w:pPr>
              <w:spacing w:line="259" w:lineRule="auto"/>
              <w:ind w:left="59"/>
              <w:jc w:val="center"/>
              <w:rPr>
                <w:sz w:val="18"/>
                <w:highlight w:val="yellow"/>
              </w:rPr>
            </w:pPr>
            <w:r w:rsidRPr="006E265A">
              <w:rPr>
                <w:sz w:val="18"/>
              </w:rPr>
              <w:t>504079</w:t>
            </w:r>
          </w:p>
        </w:tc>
        <w:tc>
          <w:tcPr>
            <w:tcW w:w="756" w:type="dxa"/>
            <w:tcBorders>
              <w:top w:val="single" w:sz="2" w:space="0" w:color="6D2A78"/>
              <w:left w:val="single" w:sz="2" w:space="0" w:color="6D2A78"/>
              <w:bottom w:val="single" w:sz="2" w:space="0" w:color="6D2A78"/>
              <w:right w:val="single" w:sz="2" w:space="0" w:color="6D2A78"/>
            </w:tcBorders>
            <w:vAlign w:val="center"/>
          </w:tcPr>
          <w:p w14:paraId="64DF385E" w14:textId="77777777" w:rsidR="00D6090C" w:rsidRPr="00634E4C" w:rsidRDefault="00D6090C" w:rsidP="00E56269">
            <w:pPr>
              <w:spacing w:line="259" w:lineRule="auto"/>
              <w:ind w:left="57"/>
              <w:jc w:val="center"/>
              <w:rPr>
                <w:sz w:val="18"/>
              </w:rPr>
            </w:pPr>
            <w:r w:rsidRPr="006E265A">
              <w:rPr>
                <w:sz w:val="18"/>
              </w:rPr>
              <w:t>469112</w:t>
            </w:r>
          </w:p>
        </w:tc>
        <w:tc>
          <w:tcPr>
            <w:tcW w:w="756" w:type="dxa"/>
            <w:tcBorders>
              <w:top w:val="single" w:sz="2" w:space="0" w:color="6D2A78"/>
              <w:left w:val="single" w:sz="2" w:space="0" w:color="6D2A78"/>
              <w:bottom w:val="single" w:sz="2" w:space="0" w:color="6D2A78"/>
              <w:right w:val="single" w:sz="2" w:space="0" w:color="6D2A78"/>
            </w:tcBorders>
            <w:vAlign w:val="center"/>
          </w:tcPr>
          <w:p w14:paraId="62825FD0" w14:textId="77777777" w:rsidR="00D6090C" w:rsidRPr="00634E4C" w:rsidRDefault="00D6090C" w:rsidP="00E56269">
            <w:pPr>
              <w:spacing w:line="259" w:lineRule="auto"/>
              <w:ind w:left="59"/>
              <w:jc w:val="center"/>
              <w:rPr>
                <w:sz w:val="18"/>
              </w:rPr>
            </w:pPr>
            <w:r w:rsidRPr="006E265A">
              <w:rPr>
                <w:sz w:val="18"/>
              </w:rPr>
              <w:t>423346</w:t>
            </w:r>
          </w:p>
        </w:tc>
        <w:tc>
          <w:tcPr>
            <w:tcW w:w="756" w:type="dxa"/>
            <w:tcBorders>
              <w:top w:val="single" w:sz="2" w:space="0" w:color="6D2A78"/>
              <w:left w:val="single" w:sz="2" w:space="0" w:color="6D2A78"/>
              <w:bottom w:val="single" w:sz="2" w:space="0" w:color="6D2A78"/>
              <w:right w:val="single" w:sz="2" w:space="0" w:color="6D2A78"/>
            </w:tcBorders>
            <w:vAlign w:val="center"/>
          </w:tcPr>
          <w:p w14:paraId="3EA29D75" w14:textId="77777777" w:rsidR="00D6090C" w:rsidRPr="006E265A" w:rsidRDefault="00D6090C" w:rsidP="00E56269">
            <w:pPr>
              <w:spacing w:line="259" w:lineRule="auto"/>
              <w:ind w:left="57"/>
              <w:jc w:val="center"/>
              <w:rPr>
                <w:sz w:val="18"/>
              </w:rPr>
            </w:pPr>
            <w:r w:rsidRPr="006E265A">
              <w:rPr>
                <w:sz w:val="18"/>
              </w:rPr>
              <w:t>422251</w:t>
            </w:r>
          </w:p>
        </w:tc>
        <w:tc>
          <w:tcPr>
            <w:tcW w:w="753" w:type="dxa"/>
            <w:tcBorders>
              <w:top w:val="single" w:sz="2" w:space="0" w:color="6D2A78"/>
              <w:left w:val="single" w:sz="2" w:space="0" w:color="6D2A78"/>
              <w:bottom w:val="single" w:sz="2" w:space="0" w:color="6D2A78"/>
              <w:right w:val="single" w:sz="2" w:space="0" w:color="6D2A78"/>
            </w:tcBorders>
            <w:vAlign w:val="center"/>
          </w:tcPr>
          <w:p w14:paraId="7F7F64BF" w14:textId="77777777" w:rsidR="00D6090C" w:rsidRPr="00364545" w:rsidRDefault="00D6090C" w:rsidP="00E56269">
            <w:pPr>
              <w:spacing w:line="259" w:lineRule="auto"/>
              <w:ind w:left="57"/>
              <w:jc w:val="center"/>
            </w:pPr>
            <w:r w:rsidRPr="00364545">
              <w:rPr>
                <w:sz w:val="18"/>
              </w:rPr>
              <w:t>365838</w:t>
            </w:r>
          </w:p>
        </w:tc>
        <w:tc>
          <w:tcPr>
            <w:tcW w:w="753" w:type="dxa"/>
            <w:tcBorders>
              <w:top w:val="single" w:sz="2" w:space="0" w:color="6D2A78"/>
              <w:left w:val="single" w:sz="2" w:space="0" w:color="6D2A78"/>
              <w:bottom w:val="single" w:sz="2" w:space="0" w:color="6D2A78"/>
              <w:right w:val="single" w:sz="2" w:space="0" w:color="6D2A78"/>
            </w:tcBorders>
            <w:vAlign w:val="center"/>
          </w:tcPr>
          <w:p w14:paraId="5548EC05" w14:textId="77777777" w:rsidR="00D6090C" w:rsidRPr="00364545" w:rsidRDefault="00D6090C" w:rsidP="00E56269">
            <w:pPr>
              <w:spacing w:line="259" w:lineRule="auto"/>
              <w:ind w:left="58"/>
              <w:jc w:val="center"/>
            </w:pPr>
            <w:r w:rsidRPr="00364545">
              <w:rPr>
                <w:sz w:val="18"/>
              </w:rPr>
              <w:t>363349</w:t>
            </w:r>
          </w:p>
        </w:tc>
        <w:tc>
          <w:tcPr>
            <w:tcW w:w="753" w:type="dxa"/>
            <w:tcBorders>
              <w:top w:val="single" w:sz="2" w:space="0" w:color="6D2A78"/>
              <w:left w:val="single" w:sz="2" w:space="0" w:color="6D2A78"/>
              <w:bottom w:val="single" w:sz="2" w:space="0" w:color="6D2A78"/>
              <w:right w:val="single" w:sz="2" w:space="0" w:color="6D2A78"/>
            </w:tcBorders>
            <w:vAlign w:val="center"/>
          </w:tcPr>
          <w:p w14:paraId="699366BD" w14:textId="77777777" w:rsidR="00D6090C" w:rsidRPr="00364545" w:rsidRDefault="00D6090C" w:rsidP="00E56269">
            <w:pPr>
              <w:spacing w:line="259" w:lineRule="auto"/>
              <w:ind w:left="58"/>
              <w:jc w:val="center"/>
            </w:pPr>
            <w:r w:rsidRPr="00364545">
              <w:rPr>
                <w:sz w:val="18"/>
              </w:rPr>
              <w:t>340618</w:t>
            </w:r>
          </w:p>
        </w:tc>
        <w:tc>
          <w:tcPr>
            <w:tcW w:w="753" w:type="dxa"/>
            <w:tcBorders>
              <w:top w:val="single" w:sz="2" w:space="0" w:color="6D2A78"/>
              <w:left w:val="single" w:sz="2" w:space="0" w:color="6D2A78"/>
              <w:bottom w:val="single" w:sz="2" w:space="0" w:color="6D2A78"/>
              <w:right w:val="single" w:sz="2" w:space="0" w:color="6D2A78"/>
            </w:tcBorders>
            <w:vAlign w:val="center"/>
          </w:tcPr>
          <w:p w14:paraId="56D94237" w14:textId="77777777" w:rsidR="00D6090C" w:rsidRPr="00364545" w:rsidRDefault="00D6090C" w:rsidP="00E56269">
            <w:pPr>
              <w:keepNext/>
              <w:spacing w:line="259" w:lineRule="auto"/>
              <w:ind w:left="63"/>
              <w:jc w:val="center"/>
            </w:pPr>
            <w:r w:rsidRPr="00364545">
              <w:rPr>
                <w:sz w:val="18"/>
              </w:rPr>
              <w:t>332886</w:t>
            </w:r>
          </w:p>
        </w:tc>
        <w:tc>
          <w:tcPr>
            <w:tcW w:w="753" w:type="dxa"/>
            <w:tcBorders>
              <w:top w:val="single" w:sz="2" w:space="0" w:color="6D2A78"/>
              <w:left w:val="single" w:sz="2" w:space="0" w:color="6D2A78"/>
              <w:bottom w:val="single" w:sz="2" w:space="0" w:color="6D2A78"/>
              <w:right w:val="single" w:sz="2" w:space="0" w:color="6D2A78"/>
            </w:tcBorders>
            <w:vAlign w:val="center"/>
          </w:tcPr>
          <w:p w14:paraId="67CE24D9" w14:textId="77777777" w:rsidR="00D6090C" w:rsidRPr="00364545" w:rsidRDefault="00D6090C" w:rsidP="00E56269">
            <w:pPr>
              <w:keepNext/>
              <w:spacing w:line="259" w:lineRule="auto"/>
              <w:ind w:left="63"/>
              <w:jc w:val="center"/>
              <w:rPr>
                <w:sz w:val="18"/>
              </w:rPr>
            </w:pPr>
            <w:r w:rsidRPr="00364545">
              <w:rPr>
                <w:sz w:val="18"/>
              </w:rPr>
              <w:t>317026</w:t>
            </w:r>
          </w:p>
        </w:tc>
      </w:tr>
    </w:tbl>
    <w:p w14:paraId="2E7E02BA" w14:textId="77777777" w:rsidR="00D6090C" w:rsidRPr="00364545" w:rsidRDefault="00D6090C" w:rsidP="000D1437">
      <w:pPr>
        <w:spacing w:before="240" w:after="240"/>
      </w:pPr>
    </w:p>
    <w:p w14:paraId="50D745E3" w14:textId="26F5B234" w:rsidR="00062EEA" w:rsidRPr="00364545" w:rsidRDefault="00062EEA" w:rsidP="0045532B">
      <w:pPr>
        <w:pStyle w:val="Caption"/>
      </w:pPr>
      <w:bookmarkStart w:id="502" w:name="_Toc123916502"/>
      <w:r w:rsidRPr="00364545">
        <w:t xml:space="preserve">Table </w:t>
      </w:r>
      <w:r w:rsidR="003714FB">
        <w:fldChar w:fldCharType="begin"/>
      </w:r>
      <w:r w:rsidR="003714FB">
        <w:instrText xml:space="preserve"> SEQ Tableau \* ARABIC </w:instrText>
      </w:r>
      <w:r w:rsidR="003714FB">
        <w:fldChar w:fldCharType="separate"/>
      </w:r>
      <w:r w:rsidR="009A2FAA">
        <w:rPr>
          <w:noProof/>
        </w:rPr>
        <w:t>10</w:t>
      </w:r>
      <w:r w:rsidR="003714FB">
        <w:rPr>
          <w:noProof/>
        </w:rPr>
        <w:fldChar w:fldCharType="end"/>
      </w:r>
      <w:r w:rsidRPr="00364545">
        <w:t>: GHG emission projections (in ktCO2e) for the Kyoto scope in the AME21 scenario (with existing measures)</w:t>
      </w:r>
      <w:bookmarkEnd w:id="502"/>
    </w:p>
    <w:p w14:paraId="66234A59" w14:textId="298C5CE5" w:rsidR="001021CB" w:rsidRPr="00364545" w:rsidRDefault="001021CB" w:rsidP="0045532B">
      <w:pPr>
        <w:pStyle w:val="Caption"/>
      </w:pPr>
      <w:r w:rsidRPr="00364545">
        <w:t>Source: UNFCCC inventory, Citepa/MTE, 202</w:t>
      </w:r>
      <w:r w:rsidR="00833524">
        <w:t>2</w:t>
      </w:r>
      <w:r w:rsidRPr="00364545">
        <w:t xml:space="preserve"> submission and MTE emission projections, 2021</w:t>
      </w:r>
    </w:p>
    <w:p w14:paraId="5F92EF15" w14:textId="3E7A494C" w:rsidR="00512611" w:rsidRPr="00364545" w:rsidRDefault="00512611" w:rsidP="001021CB">
      <w:pPr>
        <w:spacing w:before="240" w:after="240"/>
      </w:pPr>
      <w:r w:rsidRPr="00364545">
        <w:t>In AME 2021, emissions fell sharply in 2020 due to the impact of the Covid-19 pandemic. The significant rebound expected in 2021–2022 is not visible in the outputs due to the 5-year time step of the modelling. Thereafter, the emissions trend is similar to that of the 2018 AME with a lag of about -50</w:t>
      </w:r>
      <w:r w:rsidRPr="00364545">
        <w:rPr>
          <w:rFonts w:ascii="Calibri" w:hAnsi="Calibri"/>
        </w:rPr>
        <w:t> </w:t>
      </w:r>
      <w:r w:rsidRPr="00364545">
        <w:t>MtCO</w:t>
      </w:r>
      <w:r w:rsidRPr="00364545">
        <w:rPr>
          <w:vertAlign w:val="subscript"/>
        </w:rPr>
        <w:t>2e</w:t>
      </w:r>
      <w:r w:rsidRPr="00364545">
        <w:t>. This brings the trajectory closer to AMS 2018, but does not reach it. On the other hand, the rate of emission decline in the post-2030 period remains very low compared to what is expected in AMS.</w:t>
      </w:r>
    </w:p>
    <w:p w14:paraId="12AD3056" w14:textId="57CE93DD" w:rsidR="001021CB" w:rsidRPr="00364545" w:rsidRDefault="001021CB" w:rsidP="001021CB">
      <w:pPr>
        <w:spacing w:before="240" w:after="240"/>
      </w:pPr>
      <w:r w:rsidRPr="00364545">
        <w:t>More specifically, it is difficult, with the tools used, to assess exactly the respective role of the policies and measures adopted since 2018, and that of the updating of the scoping assumptions and methodological changes, on this -50 MtCO</w:t>
      </w:r>
      <w:r w:rsidRPr="00364545">
        <w:rPr>
          <w:vertAlign w:val="subscript"/>
        </w:rPr>
        <w:t>2e</w:t>
      </w:r>
      <w:r w:rsidRPr="00364545">
        <w:t xml:space="preserve"> gap. However, it can be estimated approximately:</w:t>
      </w:r>
    </w:p>
    <w:p w14:paraId="1924201F" w14:textId="77777777" w:rsidR="001021CB" w:rsidRPr="00364545" w:rsidRDefault="001021CB" w:rsidP="001021CB">
      <w:pPr>
        <w:pStyle w:val="Standard"/>
        <w:jc w:val="both"/>
        <w:rPr>
          <w:rFonts w:ascii="Times New Roman" w:hAnsi="Times New Roman"/>
          <w:sz w:val="22"/>
          <w:szCs w:val="22"/>
        </w:rPr>
      </w:pPr>
    </w:p>
    <w:p w14:paraId="19F106AD" w14:textId="77777777" w:rsidR="001021CB" w:rsidRPr="00364545" w:rsidRDefault="001021CB" w:rsidP="001021CB">
      <w:pPr>
        <w:pStyle w:val="Standard"/>
        <w:jc w:val="both"/>
        <w:rPr>
          <w:rFonts w:ascii="Times New Roman" w:hAnsi="Times New Roman"/>
          <w:sz w:val="22"/>
          <w:szCs w:val="22"/>
        </w:rPr>
      </w:pPr>
      <w:r w:rsidRPr="00364545">
        <w:rPr>
          <w:noProof/>
          <w:lang w:val="fr-FR" w:eastAsia="fr-FR" w:bidi="ar-SA"/>
        </w:rPr>
        <w:drawing>
          <wp:inline distT="0" distB="0" distL="0" distR="0" wp14:anchorId="14AC0FB8" wp14:editId="27E3C6A9">
            <wp:extent cx="6120130" cy="3748349"/>
            <wp:effectExtent l="0" t="0" r="0" b="5080"/>
            <wp:docPr id="28696" name="Image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0130" cy="3748349"/>
                    </a:xfrm>
                    <a:prstGeom prst="rect">
                      <a:avLst/>
                    </a:prstGeom>
                  </pic:spPr>
                </pic:pic>
              </a:graphicData>
            </a:graphic>
          </wp:inline>
        </w:drawing>
      </w:r>
    </w:p>
    <w:p w14:paraId="54EA3ED1" w14:textId="2BE449C0" w:rsidR="00062EEA" w:rsidRPr="00364545" w:rsidRDefault="00062EEA" w:rsidP="0045532B">
      <w:pPr>
        <w:pStyle w:val="Caption"/>
      </w:pPr>
      <w:bookmarkStart w:id="503" w:name="_Toc123916461"/>
      <w:r w:rsidRPr="00364545">
        <w:t xml:space="preserve">Figure </w:t>
      </w:r>
      <w:r w:rsidR="003714FB">
        <w:fldChar w:fldCharType="begin"/>
      </w:r>
      <w:r w:rsidR="003714FB">
        <w:instrText xml:space="preserve"> SEQ Figure \* ARABIC </w:instrText>
      </w:r>
      <w:r w:rsidR="003714FB">
        <w:fldChar w:fldCharType="separate"/>
      </w:r>
      <w:r w:rsidR="009A2FAA">
        <w:rPr>
          <w:noProof/>
        </w:rPr>
        <w:t>50</w:t>
      </w:r>
      <w:r w:rsidR="003714FB">
        <w:rPr>
          <w:noProof/>
        </w:rPr>
        <w:fldChar w:fldCharType="end"/>
      </w:r>
      <w:r w:rsidRPr="00364545">
        <w:t>: Comparison of emissions in 2030 between AME 2021 and AMS 2018 and the effect of different factors</w:t>
      </w:r>
      <w:bookmarkEnd w:id="503"/>
    </w:p>
    <w:p w14:paraId="00D751F0" w14:textId="4230A61E" w:rsidR="001021CB" w:rsidRPr="00364545" w:rsidRDefault="001021CB" w:rsidP="0045532B">
      <w:pPr>
        <w:pStyle w:val="Caption"/>
      </w:pPr>
      <w:r w:rsidRPr="00364545">
        <w:t>Source: MTE-DGEC</w:t>
      </w:r>
    </w:p>
    <w:p w14:paraId="5F6F0501" w14:textId="77777777" w:rsidR="001021CB" w:rsidRPr="00364545" w:rsidRDefault="001021CB" w:rsidP="001021CB">
      <w:pPr>
        <w:pStyle w:val="Standard"/>
        <w:jc w:val="both"/>
        <w:rPr>
          <w:rFonts w:ascii="Times New Roman" w:hAnsi="Times New Roman"/>
          <w:sz w:val="22"/>
          <w:szCs w:val="22"/>
        </w:rPr>
      </w:pPr>
      <w:r w:rsidRPr="00364545">
        <w:rPr>
          <w:noProof/>
          <w:lang w:val="fr-FR" w:eastAsia="fr-FR" w:bidi="ar-SA"/>
        </w:rPr>
        <w:drawing>
          <wp:inline distT="0" distB="0" distL="0" distR="0" wp14:anchorId="6848F970" wp14:editId="529638CB">
            <wp:extent cx="6120130" cy="3779718"/>
            <wp:effectExtent l="0" t="0" r="0" b="0"/>
            <wp:docPr id="28697" name="Image 2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20130" cy="3779718"/>
                    </a:xfrm>
                    <a:prstGeom prst="rect">
                      <a:avLst/>
                    </a:prstGeom>
                  </pic:spPr>
                </pic:pic>
              </a:graphicData>
            </a:graphic>
          </wp:inline>
        </w:drawing>
      </w:r>
    </w:p>
    <w:p w14:paraId="0BE6BA6A" w14:textId="791EC546" w:rsidR="00062EEA" w:rsidRPr="00364545" w:rsidRDefault="00062EEA" w:rsidP="0045532B">
      <w:pPr>
        <w:pStyle w:val="Caption"/>
      </w:pPr>
      <w:bookmarkStart w:id="504" w:name="_Toc123916462"/>
      <w:r w:rsidRPr="00364545">
        <w:t xml:space="preserve">Figure </w:t>
      </w:r>
      <w:r w:rsidR="003714FB">
        <w:fldChar w:fldCharType="begin"/>
      </w:r>
      <w:r w:rsidR="003714FB">
        <w:instrText xml:space="preserve"> SEQ Figure \* ARABIC </w:instrText>
      </w:r>
      <w:r w:rsidR="003714FB">
        <w:fldChar w:fldCharType="separate"/>
      </w:r>
      <w:r w:rsidR="009A2FAA">
        <w:rPr>
          <w:noProof/>
        </w:rPr>
        <w:t>51</w:t>
      </w:r>
      <w:r w:rsidR="003714FB">
        <w:rPr>
          <w:noProof/>
        </w:rPr>
        <w:fldChar w:fldCharType="end"/>
      </w:r>
      <w:r w:rsidRPr="00364545">
        <w:t>: Comparison of emissions in 2050 between AME 2021 and AMS 2018 and the effect of different factors</w:t>
      </w:r>
      <w:bookmarkEnd w:id="504"/>
    </w:p>
    <w:p w14:paraId="43714BA5" w14:textId="65E654F1" w:rsidR="001021CB" w:rsidRPr="00364545" w:rsidRDefault="001021CB" w:rsidP="0045532B">
      <w:pPr>
        <w:pStyle w:val="Caption"/>
      </w:pPr>
      <w:r w:rsidRPr="00364545">
        <w:t>Source: MTE-DGEC</w:t>
      </w:r>
    </w:p>
    <w:p w14:paraId="6C6FD4E0" w14:textId="77777777" w:rsidR="001021CB" w:rsidRPr="00364545" w:rsidRDefault="001021CB" w:rsidP="001021CB">
      <w:pPr>
        <w:pStyle w:val="Standard"/>
        <w:jc w:val="both"/>
        <w:rPr>
          <w:rFonts w:ascii="Times New Roman" w:hAnsi="Times New Roman"/>
          <w:sz w:val="22"/>
          <w:szCs w:val="22"/>
        </w:rPr>
      </w:pPr>
    </w:p>
    <w:tbl>
      <w:tblPr>
        <w:tblStyle w:val="GridTable5Dark-Accent4"/>
        <w:tblW w:w="0" w:type="auto"/>
        <w:tblLook w:val="04A0" w:firstRow="1" w:lastRow="0" w:firstColumn="1" w:lastColumn="0" w:noHBand="0" w:noVBand="1"/>
      </w:tblPr>
      <w:tblGrid>
        <w:gridCol w:w="2213"/>
        <w:gridCol w:w="3736"/>
        <w:gridCol w:w="1860"/>
        <w:gridCol w:w="1819"/>
      </w:tblGrid>
      <w:tr w:rsidR="001021CB" w:rsidRPr="00364545" w14:paraId="5D64E9F2" w14:textId="77777777" w:rsidTr="00DF06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tcPr>
          <w:p w14:paraId="194690B6" w14:textId="77777777" w:rsidR="001021CB" w:rsidRPr="00364545" w:rsidRDefault="001021CB" w:rsidP="00C44824">
            <w:pPr>
              <w:rPr>
                <w:b w:val="0"/>
              </w:rPr>
            </w:pPr>
            <w:r w:rsidRPr="00364545">
              <w:t>Category</w:t>
            </w:r>
          </w:p>
        </w:tc>
        <w:tc>
          <w:tcPr>
            <w:tcW w:w="3736" w:type="dxa"/>
          </w:tcPr>
          <w:p w14:paraId="432A48FE" w14:textId="77777777" w:rsidR="001021CB" w:rsidRPr="00364545" w:rsidRDefault="001021CB" w:rsidP="00C44824">
            <w:pPr>
              <w:cnfStyle w:val="100000000000" w:firstRow="1" w:lastRow="0" w:firstColumn="0" w:lastColumn="0" w:oddVBand="0" w:evenVBand="0" w:oddHBand="0" w:evenHBand="0" w:firstRowFirstColumn="0" w:firstRowLastColumn="0" w:lastRowFirstColumn="0" w:lastRowLastColumn="0"/>
              <w:rPr>
                <w:b w:val="0"/>
              </w:rPr>
            </w:pPr>
            <w:r w:rsidRPr="00364545">
              <w:t>Determinant</w:t>
            </w:r>
          </w:p>
        </w:tc>
        <w:tc>
          <w:tcPr>
            <w:tcW w:w="1860" w:type="dxa"/>
          </w:tcPr>
          <w:p w14:paraId="483F1EED" w14:textId="700D8C1F" w:rsidR="001021CB" w:rsidRPr="00364545" w:rsidRDefault="001021CB" w:rsidP="00C44824">
            <w:pPr>
              <w:cnfStyle w:val="100000000000" w:firstRow="1" w:lastRow="0" w:firstColumn="0" w:lastColumn="0" w:oddVBand="0" w:evenVBand="0" w:oddHBand="0" w:evenHBand="0" w:firstRowFirstColumn="0" w:firstRowLastColumn="0" w:lastRowFirstColumn="0" w:lastRowLastColumn="0"/>
              <w:rPr>
                <w:b w:val="0"/>
              </w:rPr>
            </w:pPr>
            <w:r w:rsidRPr="00364545">
              <w:t>Approximate impact to 2030 (MtCO</w:t>
            </w:r>
            <w:r w:rsidRPr="00364545">
              <w:rPr>
                <w:vertAlign w:val="subscript"/>
              </w:rPr>
              <w:t>2e</w:t>
            </w:r>
            <w:r w:rsidRPr="00364545">
              <w:t>)</w:t>
            </w:r>
          </w:p>
        </w:tc>
        <w:tc>
          <w:tcPr>
            <w:tcW w:w="1819" w:type="dxa"/>
          </w:tcPr>
          <w:p w14:paraId="38923E18" w14:textId="7997F6EE" w:rsidR="001021CB" w:rsidRPr="00364545" w:rsidRDefault="001021CB" w:rsidP="00C44824">
            <w:pPr>
              <w:cnfStyle w:val="100000000000" w:firstRow="1" w:lastRow="0" w:firstColumn="0" w:lastColumn="0" w:oddVBand="0" w:evenVBand="0" w:oddHBand="0" w:evenHBand="0" w:firstRowFirstColumn="0" w:firstRowLastColumn="0" w:lastRowFirstColumn="0" w:lastRowLastColumn="0"/>
              <w:rPr>
                <w:b w:val="0"/>
              </w:rPr>
            </w:pPr>
            <w:r w:rsidRPr="00364545">
              <w:t>Approximate impact to 2050 (MtCO</w:t>
            </w:r>
            <w:r w:rsidRPr="00364545">
              <w:rPr>
                <w:vertAlign w:val="subscript"/>
              </w:rPr>
              <w:t>2e</w:t>
            </w:r>
            <w:r w:rsidRPr="00364545">
              <w:t>)</w:t>
            </w:r>
          </w:p>
        </w:tc>
      </w:tr>
      <w:tr w:rsidR="001021CB" w:rsidRPr="00364545" w14:paraId="14AEFE82"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val="restart"/>
          </w:tcPr>
          <w:p w14:paraId="036FD0D8" w14:textId="77777777" w:rsidR="001021CB" w:rsidRPr="00364545" w:rsidRDefault="001021CB" w:rsidP="00C44824">
            <w:r w:rsidRPr="00364545">
              <w:t>Policies and measures</w:t>
            </w:r>
          </w:p>
        </w:tc>
        <w:tc>
          <w:tcPr>
            <w:tcW w:w="3736" w:type="dxa"/>
          </w:tcPr>
          <w:p w14:paraId="73AB9F78" w14:textId="77777777" w:rsidR="001021CB" w:rsidRPr="00364545" w:rsidRDefault="001021CB" w:rsidP="00C44824">
            <w:pPr>
              <w:cnfStyle w:val="000000100000" w:firstRow="0" w:lastRow="0" w:firstColumn="0" w:lastColumn="0" w:oddVBand="0" w:evenVBand="0" w:oddHBand="1" w:evenHBand="0" w:firstRowFirstColumn="0" w:firstRowLastColumn="0" w:lastRowFirstColumn="0" w:lastRowLastColumn="0"/>
            </w:pPr>
            <w:r w:rsidRPr="00364545">
              <w:t xml:space="preserve">Closure of coal-fired power plants </w:t>
            </w:r>
          </w:p>
        </w:tc>
        <w:tc>
          <w:tcPr>
            <w:tcW w:w="1860" w:type="dxa"/>
          </w:tcPr>
          <w:p w14:paraId="1A11B6DB"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-4.0</w:t>
            </w:r>
          </w:p>
        </w:tc>
        <w:tc>
          <w:tcPr>
            <w:tcW w:w="1819" w:type="dxa"/>
          </w:tcPr>
          <w:p w14:paraId="34A0B791"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-4</w:t>
            </w:r>
          </w:p>
        </w:tc>
      </w:tr>
      <w:tr w:rsidR="001021CB" w:rsidRPr="00364545" w14:paraId="6FDCEE71"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tcPr>
          <w:p w14:paraId="186689FC" w14:textId="77777777" w:rsidR="001021CB" w:rsidRPr="00364545" w:rsidRDefault="001021CB" w:rsidP="00C44824"/>
        </w:tc>
        <w:tc>
          <w:tcPr>
            <w:tcW w:w="3736" w:type="dxa"/>
          </w:tcPr>
          <w:p w14:paraId="30C84A56" w14:textId="77777777" w:rsidR="001021CB" w:rsidRPr="00364545" w:rsidRDefault="001021CB" w:rsidP="00C44824">
            <w:pPr>
              <w:cnfStyle w:val="000000000000" w:firstRow="0" w:lastRow="0" w:firstColumn="0" w:lastColumn="0" w:oddVBand="0" w:evenVBand="0" w:oddHBand="0" w:evenHBand="0" w:firstRowFirstColumn="0" w:firstRowLastColumn="0" w:lastRowFirstColumn="0" w:lastRowLastColumn="0"/>
            </w:pPr>
            <w:r w:rsidRPr="00364545">
              <w:t>Tertiary Decree</w:t>
            </w:r>
          </w:p>
        </w:tc>
        <w:tc>
          <w:tcPr>
            <w:tcW w:w="1860" w:type="dxa"/>
          </w:tcPr>
          <w:p w14:paraId="0ED88B27"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-4.0</w:t>
            </w:r>
          </w:p>
        </w:tc>
        <w:tc>
          <w:tcPr>
            <w:tcW w:w="1819" w:type="dxa"/>
          </w:tcPr>
          <w:p w14:paraId="245F1CB4"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-4</w:t>
            </w:r>
          </w:p>
        </w:tc>
      </w:tr>
      <w:tr w:rsidR="001021CB" w:rsidRPr="00364545" w14:paraId="5A9BA810"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tcPr>
          <w:p w14:paraId="09B46914" w14:textId="77777777" w:rsidR="001021CB" w:rsidRPr="00364545" w:rsidRDefault="001021CB" w:rsidP="00C44824"/>
        </w:tc>
        <w:tc>
          <w:tcPr>
            <w:tcW w:w="3736" w:type="dxa"/>
          </w:tcPr>
          <w:p w14:paraId="692FD9D6" w14:textId="77777777" w:rsidR="001021CB" w:rsidRPr="00364545" w:rsidRDefault="001021CB" w:rsidP="00C44824">
            <w:pPr>
              <w:cnfStyle w:val="000000100000" w:firstRow="0" w:lastRow="0" w:firstColumn="0" w:lastColumn="0" w:oddVBand="0" w:evenVBand="0" w:oddHBand="1" w:evenHBand="0" w:firstRowFirstColumn="0" w:firstRowLastColumn="0" w:lastRowFirstColumn="0" w:lastRowLastColumn="0"/>
            </w:pPr>
            <w:r w:rsidRPr="00364545">
              <w:t>European vehicle regulations</w:t>
            </w:r>
          </w:p>
        </w:tc>
        <w:tc>
          <w:tcPr>
            <w:tcW w:w="1860" w:type="dxa"/>
          </w:tcPr>
          <w:p w14:paraId="6BC4E212"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-15.0</w:t>
            </w:r>
          </w:p>
        </w:tc>
        <w:tc>
          <w:tcPr>
            <w:tcW w:w="1819" w:type="dxa"/>
          </w:tcPr>
          <w:p w14:paraId="7B21CBFD"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-15</w:t>
            </w:r>
          </w:p>
        </w:tc>
      </w:tr>
      <w:tr w:rsidR="001021CB" w:rsidRPr="00364545" w14:paraId="6F67FF87"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tcPr>
          <w:p w14:paraId="208B5118" w14:textId="77777777" w:rsidR="001021CB" w:rsidRPr="00364545" w:rsidRDefault="001021CB" w:rsidP="00C44824"/>
        </w:tc>
        <w:tc>
          <w:tcPr>
            <w:tcW w:w="3736" w:type="dxa"/>
          </w:tcPr>
          <w:p w14:paraId="1BB2D30C" w14:textId="77777777" w:rsidR="001021CB" w:rsidRPr="00364545" w:rsidRDefault="001021CB" w:rsidP="00C44824">
            <w:pPr>
              <w:cnfStyle w:val="000000000000" w:firstRow="0" w:lastRow="0" w:firstColumn="0" w:lastColumn="0" w:oddVBand="0" w:evenVBand="0" w:oddHBand="0" w:evenHBand="0" w:firstRowFirstColumn="0" w:firstRowLastColumn="0" w:lastRowFirstColumn="0" w:lastRowLastColumn="0"/>
            </w:pPr>
            <w:r w:rsidRPr="00364545">
              <w:t>Harvesting and wood products</w:t>
            </w:r>
          </w:p>
        </w:tc>
        <w:tc>
          <w:tcPr>
            <w:tcW w:w="1860" w:type="dxa"/>
          </w:tcPr>
          <w:p w14:paraId="36573838"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-2.0</w:t>
            </w:r>
          </w:p>
        </w:tc>
        <w:tc>
          <w:tcPr>
            <w:tcW w:w="1819" w:type="dxa"/>
          </w:tcPr>
          <w:p w14:paraId="4B149369"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-3</w:t>
            </w:r>
          </w:p>
        </w:tc>
      </w:tr>
      <w:tr w:rsidR="001021CB" w:rsidRPr="00364545" w14:paraId="6B471D1E"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val="restart"/>
          </w:tcPr>
          <w:p w14:paraId="03C2DCD3" w14:textId="77777777" w:rsidR="001021CB" w:rsidRPr="00364545" w:rsidRDefault="001021CB" w:rsidP="00C44824">
            <w:r w:rsidRPr="00364545">
              <w:t>Modification of the framework</w:t>
            </w:r>
          </w:p>
        </w:tc>
        <w:tc>
          <w:tcPr>
            <w:tcW w:w="3736" w:type="dxa"/>
          </w:tcPr>
          <w:p w14:paraId="659E4B04" w14:textId="77777777" w:rsidR="001021CB" w:rsidRPr="00364545" w:rsidRDefault="001021CB" w:rsidP="00C44824">
            <w:pPr>
              <w:cnfStyle w:val="000000100000" w:firstRow="0" w:lastRow="0" w:firstColumn="0" w:lastColumn="0" w:oddVBand="0" w:evenVBand="0" w:oddHBand="1" w:evenHBand="0" w:firstRowFirstColumn="0" w:firstRowLastColumn="0" w:lastRowFirstColumn="0" w:lastRowLastColumn="0"/>
            </w:pPr>
            <w:r w:rsidRPr="00364545">
              <w:t>Population</w:t>
            </w:r>
          </w:p>
        </w:tc>
        <w:tc>
          <w:tcPr>
            <w:tcW w:w="1860" w:type="dxa"/>
          </w:tcPr>
          <w:p w14:paraId="04B0B36C"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-3.0</w:t>
            </w:r>
          </w:p>
        </w:tc>
        <w:tc>
          <w:tcPr>
            <w:tcW w:w="1819" w:type="dxa"/>
          </w:tcPr>
          <w:p w14:paraId="09DFD6FB"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-4.8</w:t>
            </w:r>
          </w:p>
        </w:tc>
      </w:tr>
      <w:tr w:rsidR="001021CB" w:rsidRPr="00364545" w14:paraId="552B64AE"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tcPr>
          <w:p w14:paraId="2235021C" w14:textId="77777777" w:rsidR="001021CB" w:rsidRPr="00364545" w:rsidRDefault="001021CB" w:rsidP="00C44824"/>
        </w:tc>
        <w:tc>
          <w:tcPr>
            <w:tcW w:w="3736" w:type="dxa"/>
          </w:tcPr>
          <w:p w14:paraId="669EA989" w14:textId="77777777" w:rsidR="001021CB" w:rsidRPr="00364545" w:rsidRDefault="001021CB" w:rsidP="00C44824">
            <w:pPr>
              <w:cnfStyle w:val="000000000000" w:firstRow="0" w:lastRow="0" w:firstColumn="0" w:lastColumn="0" w:oddVBand="0" w:evenVBand="0" w:oddHBand="0" w:evenHBand="0" w:firstRowFirstColumn="0" w:firstRowLastColumn="0" w:lastRowFirstColumn="0" w:lastRowLastColumn="0"/>
            </w:pPr>
            <w:r w:rsidRPr="00364545">
              <w:t>Industrial production</w:t>
            </w:r>
          </w:p>
        </w:tc>
        <w:tc>
          <w:tcPr>
            <w:tcW w:w="1860" w:type="dxa"/>
          </w:tcPr>
          <w:p w14:paraId="6FDAE3E7"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-7.6</w:t>
            </w:r>
          </w:p>
        </w:tc>
        <w:tc>
          <w:tcPr>
            <w:tcW w:w="1819" w:type="dxa"/>
          </w:tcPr>
          <w:p w14:paraId="3B660DC7"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+7</w:t>
            </w:r>
          </w:p>
        </w:tc>
      </w:tr>
      <w:tr w:rsidR="001021CB" w:rsidRPr="00364545" w14:paraId="2FCA65EF"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tcPr>
          <w:p w14:paraId="7CC25BCC" w14:textId="77777777" w:rsidR="001021CB" w:rsidRPr="00364545" w:rsidRDefault="001021CB" w:rsidP="00C44824"/>
        </w:tc>
        <w:tc>
          <w:tcPr>
            <w:tcW w:w="3736" w:type="dxa"/>
          </w:tcPr>
          <w:p w14:paraId="4748933A" w14:textId="77777777" w:rsidR="001021CB" w:rsidRPr="00364545" w:rsidRDefault="001021CB" w:rsidP="00C44824">
            <w:pPr>
              <w:cnfStyle w:val="000000100000" w:firstRow="0" w:lastRow="0" w:firstColumn="0" w:lastColumn="0" w:oddVBand="0" w:evenVBand="0" w:oddHBand="1" w:evenHBand="0" w:firstRowFirstColumn="0" w:firstRowLastColumn="0" w:lastRowFirstColumn="0" w:lastRowLastColumn="0"/>
            </w:pPr>
            <w:r w:rsidRPr="00364545">
              <w:t>Overseas</w:t>
            </w:r>
          </w:p>
        </w:tc>
        <w:tc>
          <w:tcPr>
            <w:tcW w:w="1860" w:type="dxa"/>
          </w:tcPr>
          <w:p w14:paraId="4644E41F"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0.0</w:t>
            </w:r>
          </w:p>
        </w:tc>
        <w:tc>
          <w:tcPr>
            <w:tcW w:w="1819" w:type="dxa"/>
          </w:tcPr>
          <w:p w14:paraId="5BF0611C"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-2</w:t>
            </w:r>
          </w:p>
        </w:tc>
      </w:tr>
      <w:tr w:rsidR="001021CB" w:rsidRPr="00364545" w14:paraId="39ECECFB"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val="restart"/>
          </w:tcPr>
          <w:p w14:paraId="02B557D9" w14:textId="77777777" w:rsidR="001021CB" w:rsidRPr="00364545" w:rsidRDefault="001021CB" w:rsidP="00C44824">
            <w:r w:rsidRPr="00364545">
              <w:t>Methodological modifications</w:t>
            </w:r>
          </w:p>
        </w:tc>
        <w:tc>
          <w:tcPr>
            <w:tcW w:w="3736" w:type="dxa"/>
          </w:tcPr>
          <w:p w14:paraId="01F7C108" w14:textId="77777777" w:rsidR="001021CB" w:rsidRPr="00364545" w:rsidRDefault="001021CB" w:rsidP="00C44824">
            <w:pPr>
              <w:cnfStyle w:val="000000000000" w:firstRow="0" w:lastRow="0" w:firstColumn="0" w:lastColumn="0" w:oddVBand="0" w:evenVBand="0" w:oddHBand="0" w:evenHBand="0" w:firstRowFirstColumn="0" w:firstRowLastColumn="0" w:lastRowFirstColumn="0" w:lastRowLastColumn="0"/>
            </w:pPr>
            <w:r w:rsidRPr="00364545">
              <w:t>Recalculation of the rate of artificialisation</w:t>
            </w:r>
          </w:p>
        </w:tc>
        <w:tc>
          <w:tcPr>
            <w:tcW w:w="1860" w:type="dxa"/>
          </w:tcPr>
          <w:p w14:paraId="18B4EEEE"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-3.0</w:t>
            </w:r>
          </w:p>
        </w:tc>
        <w:tc>
          <w:tcPr>
            <w:tcW w:w="1819" w:type="dxa"/>
          </w:tcPr>
          <w:p w14:paraId="703EF293"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-4.5</w:t>
            </w:r>
          </w:p>
        </w:tc>
      </w:tr>
      <w:tr w:rsidR="001021CB" w:rsidRPr="00364545" w14:paraId="26712ACC"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tcPr>
          <w:p w14:paraId="514C1919" w14:textId="77777777" w:rsidR="001021CB" w:rsidRPr="00364545" w:rsidRDefault="001021CB" w:rsidP="00C44824"/>
        </w:tc>
        <w:tc>
          <w:tcPr>
            <w:tcW w:w="3736" w:type="dxa"/>
          </w:tcPr>
          <w:p w14:paraId="6F6BAB99" w14:textId="77777777" w:rsidR="001021CB" w:rsidRPr="00364545" w:rsidRDefault="001021CB" w:rsidP="00C44824">
            <w:pPr>
              <w:cnfStyle w:val="000000100000" w:firstRow="0" w:lastRow="0" w:firstColumn="0" w:lastColumn="0" w:oddVBand="0" w:evenVBand="0" w:oddHBand="1" w:evenHBand="0" w:firstRowFirstColumn="0" w:firstRowLastColumn="0" w:lastRowFirstColumn="0" w:lastRowLastColumn="0"/>
            </w:pPr>
            <w:r w:rsidRPr="00364545">
              <w:t>Accounting for methane emissions in landfills post-2035</w:t>
            </w:r>
          </w:p>
        </w:tc>
        <w:tc>
          <w:tcPr>
            <w:tcW w:w="1860" w:type="dxa"/>
          </w:tcPr>
          <w:p w14:paraId="10A2EC6B"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0</w:t>
            </w:r>
          </w:p>
        </w:tc>
        <w:tc>
          <w:tcPr>
            <w:tcW w:w="1819" w:type="dxa"/>
          </w:tcPr>
          <w:p w14:paraId="555484A2"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+5</w:t>
            </w:r>
          </w:p>
        </w:tc>
      </w:tr>
      <w:tr w:rsidR="001021CB" w:rsidRPr="00364545" w14:paraId="6E661223"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tcPr>
          <w:p w14:paraId="5E8395D2" w14:textId="77777777" w:rsidR="001021CB" w:rsidRPr="00364545" w:rsidRDefault="001021CB" w:rsidP="00C44824"/>
        </w:tc>
        <w:tc>
          <w:tcPr>
            <w:tcW w:w="3736" w:type="dxa"/>
          </w:tcPr>
          <w:p w14:paraId="79177E97" w14:textId="77777777" w:rsidR="001021CB" w:rsidRPr="00364545" w:rsidRDefault="001021CB" w:rsidP="00C44824">
            <w:pPr>
              <w:cnfStyle w:val="000000000000" w:firstRow="0" w:lastRow="0" w:firstColumn="0" w:lastColumn="0" w:oddVBand="0" w:evenVBand="0" w:oddHBand="0" w:evenHBand="0" w:firstRowFirstColumn="0" w:firstRowLastColumn="0" w:lastRowFirstColumn="0" w:lastRowLastColumn="0"/>
            </w:pPr>
            <w:r w:rsidRPr="00364545">
              <w:t>F-gas accounting methodology</w:t>
            </w:r>
          </w:p>
        </w:tc>
        <w:tc>
          <w:tcPr>
            <w:tcW w:w="1860" w:type="dxa"/>
          </w:tcPr>
          <w:p w14:paraId="156056E0"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-2.0</w:t>
            </w:r>
          </w:p>
        </w:tc>
        <w:tc>
          <w:tcPr>
            <w:tcW w:w="1819" w:type="dxa"/>
          </w:tcPr>
          <w:p w14:paraId="2BF19822"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-2</w:t>
            </w:r>
          </w:p>
        </w:tc>
      </w:tr>
      <w:tr w:rsidR="001021CB" w:rsidRPr="00364545" w14:paraId="71EED424"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gridSpan w:val="2"/>
          </w:tcPr>
          <w:p w14:paraId="5CD2B4FC" w14:textId="77777777" w:rsidR="001021CB" w:rsidRPr="00364545" w:rsidRDefault="001021CB" w:rsidP="00C44824">
            <w:r w:rsidRPr="00364545">
              <w:t>All policies and measures</w:t>
            </w:r>
          </w:p>
        </w:tc>
        <w:tc>
          <w:tcPr>
            <w:tcW w:w="1860" w:type="dxa"/>
          </w:tcPr>
          <w:p w14:paraId="1A761385"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-25</w:t>
            </w:r>
          </w:p>
        </w:tc>
        <w:tc>
          <w:tcPr>
            <w:tcW w:w="1819" w:type="dxa"/>
          </w:tcPr>
          <w:p w14:paraId="3ED7A557"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-26</w:t>
            </w:r>
          </w:p>
        </w:tc>
      </w:tr>
      <w:tr w:rsidR="001021CB" w:rsidRPr="00364545" w14:paraId="7515F3F1" w14:textId="77777777" w:rsidTr="00DF06D4">
        <w:tc>
          <w:tcPr>
            <w:cnfStyle w:val="001000000000" w:firstRow="0" w:lastRow="0" w:firstColumn="1" w:lastColumn="0" w:oddVBand="0" w:evenVBand="0" w:oddHBand="0" w:evenHBand="0" w:firstRowFirstColumn="0" w:firstRowLastColumn="0" w:lastRowFirstColumn="0" w:lastRowLastColumn="0"/>
            <w:tcW w:w="5949" w:type="dxa"/>
            <w:gridSpan w:val="2"/>
          </w:tcPr>
          <w:p w14:paraId="724D6B9A" w14:textId="77777777" w:rsidR="001021CB" w:rsidRPr="00364545" w:rsidRDefault="001021CB" w:rsidP="00C44824">
            <w:r w:rsidRPr="00364545">
              <w:t>Total framing</w:t>
            </w:r>
          </w:p>
        </w:tc>
        <w:tc>
          <w:tcPr>
            <w:tcW w:w="1860" w:type="dxa"/>
          </w:tcPr>
          <w:p w14:paraId="1F25DCF9"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-10.6</w:t>
            </w:r>
          </w:p>
        </w:tc>
        <w:tc>
          <w:tcPr>
            <w:tcW w:w="1819" w:type="dxa"/>
          </w:tcPr>
          <w:p w14:paraId="0A9AF0D6"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+0.2</w:t>
            </w:r>
          </w:p>
        </w:tc>
      </w:tr>
      <w:tr w:rsidR="001021CB" w:rsidRPr="00364545" w14:paraId="0D83260A"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gridSpan w:val="2"/>
          </w:tcPr>
          <w:p w14:paraId="663C5936" w14:textId="77777777" w:rsidR="001021CB" w:rsidRPr="00364545" w:rsidRDefault="001021CB" w:rsidP="00C44824">
            <w:r w:rsidRPr="00364545">
              <w:t>Total methodology</w:t>
            </w:r>
          </w:p>
        </w:tc>
        <w:tc>
          <w:tcPr>
            <w:tcW w:w="1860" w:type="dxa"/>
          </w:tcPr>
          <w:p w14:paraId="343765C7"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-5</w:t>
            </w:r>
          </w:p>
        </w:tc>
        <w:tc>
          <w:tcPr>
            <w:tcW w:w="1819" w:type="dxa"/>
          </w:tcPr>
          <w:p w14:paraId="4C48521E" w14:textId="77777777" w:rsidR="001021CB" w:rsidRPr="00364545"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364545">
              <w:t>-1.5</w:t>
            </w:r>
          </w:p>
        </w:tc>
      </w:tr>
      <w:tr w:rsidR="001021CB" w:rsidRPr="00364545" w14:paraId="2695D3C1" w14:textId="77777777" w:rsidTr="00DF06D4">
        <w:tc>
          <w:tcPr>
            <w:cnfStyle w:val="001000000000" w:firstRow="0" w:lastRow="0" w:firstColumn="1" w:lastColumn="0" w:oddVBand="0" w:evenVBand="0" w:oddHBand="0" w:evenHBand="0" w:firstRowFirstColumn="0" w:firstRowLastColumn="0" w:lastRowFirstColumn="0" w:lastRowLastColumn="0"/>
            <w:tcW w:w="2213" w:type="dxa"/>
          </w:tcPr>
          <w:p w14:paraId="7B56F8A3" w14:textId="77777777" w:rsidR="001021CB" w:rsidRPr="00364545" w:rsidRDefault="001021CB" w:rsidP="00C44824">
            <w:r w:rsidRPr="00364545">
              <w:t>Total other</w:t>
            </w:r>
          </w:p>
        </w:tc>
        <w:tc>
          <w:tcPr>
            <w:tcW w:w="3736" w:type="dxa"/>
          </w:tcPr>
          <w:p w14:paraId="528D8F75" w14:textId="77777777" w:rsidR="001021CB" w:rsidRPr="00364545" w:rsidRDefault="001021CB" w:rsidP="00C44824">
            <w:pPr>
              <w:cnfStyle w:val="000000000000" w:firstRow="0" w:lastRow="0" w:firstColumn="0" w:lastColumn="0" w:oddVBand="0" w:evenVBand="0" w:oddHBand="0" w:evenHBand="0" w:firstRowFirstColumn="0" w:firstRowLastColumn="0" w:lastRowFirstColumn="0" w:lastRowLastColumn="0"/>
            </w:pPr>
            <w:r w:rsidRPr="00364545">
              <w:t>Indeterminate or indistinguishable determinants</w:t>
            </w:r>
          </w:p>
        </w:tc>
        <w:tc>
          <w:tcPr>
            <w:tcW w:w="1860" w:type="dxa"/>
          </w:tcPr>
          <w:p w14:paraId="1BC55A4A"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-9.5</w:t>
            </w:r>
          </w:p>
        </w:tc>
        <w:tc>
          <w:tcPr>
            <w:tcW w:w="1819" w:type="dxa"/>
          </w:tcPr>
          <w:p w14:paraId="7D259A1A" w14:textId="77777777" w:rsidR="001021CB" w:rsidRPr="00364545"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364545">
              <w:t>-19</w:t>
            </w:r>
          </w:p>
        </w:tc>
      </w:tr>
    </w:tbl>
    <w:p w14:paraId="62E12C76" w14:textId="4EF2A0AF" w:rsidR="00DF06D4" w:rsidRPr="00364545" w:rsidRDefault="00DF06D4" w:rsidP="0045532B">
      <w:pPr>
        <w:pStyle w:val="Caption"/>
      </w:pPr>
      <w:bookmarkStart w:id="505" w:name="_Toc123916503"/>
      <w:r w:rsidRPr="00364545">
        <w:t xml:space="preserve">Table </w:t>
      </w:r>
      <w:r w:rsidR="003714FB">
        <w:fldChar w:fldCharType="begin"/>
      </w:r>
      <w:r w:rsidR="003714FB">
        <w:instrText xml:space="preserve"> SEQ Tableau \* ARABIC </w:instrText>
      </w:r>
      <w:r w:rsidR="003714FB">
        <w:fldChar w:fldCharType="separate"/>
      </w:r>
      <w:r w:rsidR="009A2FAA">
        <w:rPr>
          <w:noProof/>
        </w:rPr>
        <w:t>11</w:t>
      </w:r>
      <w:r w:rsidR="003714FB">
        <w:rPr>
          <w:noProof/>
        </w:rPr>
        <w:fldChar w:fldCharType="end"/>
      </w:r>
      <w:r w:rsidRPr="00364545">
        <w:t>: Impact of different factors on the level of emissions in 2030 and 2050</w:t>
      </w:r>
      <w:bookmarkEnd w:id="505"/>
    </w:p>
    <w:p w14:paraId="7E3FC9C3" w14:textId="318DA241" w:rsidR="001021CB" w:rsidRPr="00364545" w:rsidRDefault="001021CB" w:rsidP="0045532B">
      <w:pPr>
        <w:pStyle w:val="Caption"/>
      </w:pPr>
      <w:r w:rsidRPr="00364545">
        <w:t>Source: MTE-DGEC</w:t>
      </w:r>
    </w:p>
    <w:p w14:paraId="702C4130" w14:textId="77777777" w:rsidR="001021CB" w:rsidRPr="00364545" w:rsidRDefault="001021CB" w:rsidP="001021CB">
      <w:pPr>
        <w:pStyle w:val="Standard"/>
        <w:jc w:val="both"/>
        <w:rPr>
          <w:rFonts w:ascii="Marianne" w:hAnsi="Marianne"/>
          <w:sz w:val="21"/>
        </w:rPr>
      </w:pPr>
    </w:p>
    <w:p w14:paraId="6CCDB84F" w14:textId="77777777" w:rsidR="001021CB" w:rsidRPr="00364545" w:rsidRDefault="001021CB" w:rsidP="003F57EA">
      <w:pPr>
        <w:pStyle w:val="titreencadre"/>
        <w:numPr>
          <w:ilvl w:val="3"/>
          <w:numId w:val="78"/>
        </w:numPr>
      </w:pPr>
      <w:r w:rsidRPr="00364545">
        <w:t>AMS 2018</w:t>
      </w:r>
    </w:p>
    <w:p w14:paraId="5A63B97B" w14:textId="77777777" w:rsidR="00314F8F" w:rsidRPr="00364545" w:rsidRDefault="00314F8F" w:rsidP="00314F8F">
      <w:pPr>
        <w:spacing w:before="240" w:after="240"/>
        <w:rPr>
          <w:rFonts w:asciiTheme="minorHAnsi" w:hAnsiTheme="minorHAnsi"/>
          <w:szCs w:val="21"/>
        </w:rPr>
      </w:pPr>
      <w:r w:rsidRPr="00364545">
        <w:t xml:space="preserve">The emissions excluding LULUCF in the Kyoto scope decrease in the AMS scenario </w:t>
      </w:r>
      <w:r w:rsidRPr="00364545">
        <w:rPr>
          <w:rFonts w:asciiTheme="minorHAnsi" w:hAnsiTheme="minorHAnsi"/>
        </w:rPr>
        <w:t>to:</w:t>
      </w:r>
    </w:p>
    <w:p w14:paraId="3ECF810B" w14:textId="6515B4EC" w:rsidR="00314F8F" w:rsidRPr="00364545" w:rsidRDefault="00314F8F" w:rsidP="00BE086C">
      <w:pPr>
        <w:pStyle w:val="Standard"/>
        <w:numPr>
          <w:ilvl w:val="0"/>
          <w:numId w:val="46"/>
        </w:numPr>
        <w:jc w:val="both"/>
        <w:rPr>
          <w:rFonts w:asciiTheme="minorHAnsi" w:hAnsiTheme="minorHAnsi"/>
          <w:sz w:val="22"/>
          <w:szCs w:val="22"/>
        </w:rPr>
      </w:pPr>
      <w:r w:rsidRPr="00364545">
        <w:rPr>
          <w:rFonts w:asciiTheme="minorHAnsi" w:hAnsiTheme="minorHAnsi"/>
          <w:sz w:val="22"/>
        </w:rPr>
        <w:t>307 MtCO2e in 2030, i.e. 43% reduction compared to 1990</w:t>
      </w:r>
    </w:p>
    <w:p w14:paraId="39966946" w14:textId="08D4753E" w:rsidR="00314F8F" w:rsidRPr="00364545" w:rsidRDefault="00907F15" w:rsidP="00BE086C">
      <w:pPr>
        <w:pStyle w:val="Standard"/>
        <w:numPr>
          <w:ilvl w:val="0"/>
          <w:numId w:val="46"/>
        </w:numPr>
        <w:jc w:val="both"/>
        <w:rPr>
          <w:rFonts w:asciiTheme="minorHAnsi" w:hAnsiTheme="minorHAnsi"/>
          <w:sz w:val="22"/>
          <w:szCs w:val="22"/>
        </w:rPr>
      </w:pPr>
      <w:r>
        <w:rPr>
          <w:rFonts w:asciiTheme="minorHAnsi" w:hAnsiTheme="minorHAnsi"/>
          <w:sz w:val="22"/>
        </w:rPr>
        <w:t>65</w:t>
      </w:r>
      <w:r w:rsidRPr="00364545">
        <w:rPr>
          <w:rFonts w:asciiTheme="minorHAnsi" w:hAnsiTheme="minorHAnsi"/>
          <w:sz w:val="22"/>
        </w:rPr>
        <w:t xml:space="preserve"> </w:t>
      </w:r>
      <w:r w:rsidR="00314F8F" w:rsidRPr="00364545">
        <w:rPr>
          <w:rFonts w:asciiTheme="minorHAnsi" w:hAnsiTheme="minorHAnsi"/>
          <w:sz w:val="22"/>
        </w:rPr>
        <w:t>MtCO2e in 2050, i.e. 85% reduction compared to 1990</w:t>
      </w:r>
    </w:p>
    <w:p w14:paraId="5A5179F2" w14:textId="77777777" w:rsidR="00314F8F" w:rsidRPr="00364545" w:rsidRDefault="00314F8F" w:rsidP="00314F8F">
      <w:pPr>
        <w:pStyle w:val="Standard"/>
        <w:jc w:val="both"/>
        <w:rPr>
          <w:rFonts w:asciiTheme="minorHAnsi" w:hAnsiTheme="minorHAnsi"/>
          <w:sz w:val="22"/>
          <w:szCs w:val="22"/>
        </w:rPr>
      </w:pPr>
    </w:p>
    <w:p w14:paraId="02C018C0" w14:textId="24B82E5D" w:rsidR="00314F8F" w:rsidRDefault="00314F8F" w:rsidP="00314F8F">
      <w:pPr>
        <w:pStyle w:val="Standard"/>
        <w:jc w:val="both"/>
        <w:rPr>
          <w:rFonts w:asciiTheme="minorHAnsi" w:hAnsiTheme="minorHAnsi"/>
          <w:sz w:val="22"/>
        </w:rPr>
      </w:pPr>
      <w:r w:rsidRPr="00364545">
        <w:rPr>
          <w:rFonts w:asciiTheme="minorHAnsi" w:hAnsiTheme="minorHAnsi"/>
          <w:sz w:val="22"/>
        </w:rPr>
        <w:t>The reduction in emissions is therefore much higher in the AMS scenario than in the AME scenario.</w:t>
      </w:r>
    </w:p>
    <w:p w14:paraId="1F14BC50" w14:textId="77777777" w:rsidR="00833524" w:rsidRPr="00364545" w:rsidRDefault="00833524" w:rsidP="00833524">
      <w:pPr>
        <w:pStyle w:val="Standard"/>
        <w:jc w:val="both"/>
        <w:rPr>
          <w:rFonts w:asciiTheme="minorHAnsi" w:hAnsiTheme="minorHAnsi"/>
          <w:sz w:val="21"/>
          <w:szCs w:val="21"/>
        </w:rPr>
      </w:pPr>
    </w:p>
    <w:tbl>
      <w:tblPr>
        <w:tblStyle w:val="TableGrid0"/>
        <w:tblW w:w="9941" w:type="dxa"/>
        <w:tblInd w:w="3" w:type="dxa"/>
        <w:tblCellMar>
          <w:top w:w="135" w:type="dxa"/>
          <w:left w:w="28" w:type="dxa"/>
          <w:right w:w="20" w:type="dxa"/>
        </w:tblCellMar>
        <w:tblLook w:val="04A0" w:firstRow="1" w:lastRow="0" w:firstColumn="1" w:lastColumn="0" w:noHBand="0" w:noVBand="1"/>
      </w:tblPr>
      <w:tblGrid>
        <w:gridCol w:w="953"/>
        <w:gridCol w:w="751"/>
        <w:gridCol w:w="751"/>
        <w:gridCol w:w="751"/>
        <w:gridCol w:w="750"/>
        <w:gridCol w:w="750"/>
        <w:gridCol w:w="750"/>
        <w:gridCol w:w="750"/>
        <w:gridCol w:w="747"/>
        <w:gridCol w:w="747"/>
        <w:gridCol w:w="747"/>
        <w:gridCol w:w="747"/>
        <w:gridCol w:w="747"/>
      </w:tblGrid>
      <w:tr w:rsidR="00833524" w:rsidRPr="00364545" w14:paraId="79D3D08F" w14:textId="77777777" w:rsidTr="00E56269">
        <w:trPr>
          <w:trHeight w:val="185"/>
        </w:trPr>
        <w:tc>
          <w:tcPr>
            <w:tcW w:w="915" w:type="dxa"/>
            <w:tcBorders>
              <w:top w:val="single" w:sz="2" w:space="0" w:color="FFFFFF"/>
              <w:left w:val="single" w:sz="2" w:space="0" w:color="FFFFFF"/>
              <w:bottom w:val="single" w:sz="2" w:space="0" w:color="FFFFFF"/>
              <w:right w:val="single" w:sz="2" w:space="0" w:color="FFFFFF"/>
            </w:tcBorders>
            <w:shd w:val="clear" w:color="auto" w:fill="6D2A78"/>
          </w:tcPr>
          <w:p w14:paraId="798918EF" w14:textId="77777777" w:rsidR="00833524" w:rsidRPr="00364545" w:rsidRDefault="00833524" w:rsidP="00E56269">
            <w:pPr>
              <w:spacing w:line="259" w:lineRule="auto"/>
            </w:pPr>
            <w:r w:rsidRPr="00364545">
              <w:rPr>
                <w:color w:val="FFFFFF" w:themeColor="background1"/>
              </w:rPr>
              <w:t>AMS 2018</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1B8E7ACB" w14:textId="77777777" w:rsidR="00833524" w:rsidRPr="00364545" w:rsidRDefault="00833524" w:rsidP="00E56269">
            <w:pPr>
              <w:spacing w:line="259" w:lineRule="auto"/>
              <w:ind w:right="4"/>
              <w:jc w:val="center"/>
            </w:pPr>
            <w:r w:rsidRPr="00364545">
              <w:rPr>
                <w:b/>
                <w:color w:val="FFFFFF"/>
                <w:sz w:val="18"/>
              </w:rPr>
              <w:t>1990</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44097BDD" w14:textId="77777777" w:rsidR="00833524" w:rsidRPr="00364545" w:rsidRDefault="00833524" w:rsidP="00E56269">
            <w:pPr>
              <w:spacing w:line="259" w:lineRule="auto"/>
              <w:ind w:right="6"/>
              <w:jc w:val="center"/>
              <w:rPr>
                <w:b/>
                <w:color w:val="FFFFFF"/>
                <w:sz w:val="18"/>
              </w:rPr>
            </w:pPr>
            <w:r w:rsidRPr="00364545">
              <w:rPr>
                <w:b/>
                <w:color w:val="FFFFFF"/>
                <w:sz w:val="18"/>
              </w:rPr>
              <w:t>1995</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3AE19704" w14:textId="77777777" w:rsidR="00833524" w:rsidRPr="00364545" w:rsidRDefault="00833524" w:rsidP="00E56269">
            <w:pPr>
              <w:spacing w:line="259" w:lineRule="auto"/>
              <w:ind w:right="6"/>
              <w:jc w:val="center"/>
            </w:pPr>
            <w:r w:rsidRPr="00364545">
              <w:rPr>
                <w:b/>
                <w:color w:val="FFFFFF"/>
                <w:sz w:val="18"/>
              </w:rPr>
              <w:t>2000</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7B6B4419" w14:textId="77777777" w:rsidR="00833524" w:rsidRPr="00364545" w:rsidRDefault="00833524" w:rsidP="00E56269">
            <w:pPr>
              <w:spacing w:line="259" w:lineRule="auto"/>
              <w:ind w:right="4"/>
              <w:jc w:val="center"/>
            </w:pPr>
            <w:r w:rsidRPr="00364545">
              <w:rPr>
                <w:b/>
                <w:color w:val="FFFFFF"/>
                <w:sz w:val="18"/>
              </w:rPr>
              <w:t>2005</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5D207681" w14:textId="77777777" w:rsidR="00833524" w:rsidRPr="00364545" w:rsidRDefault="00833524" w:rsidP="00E56269">
            <w:pPr>
              <w:spacing w:line="259" w:lineRule="auto"/>
              <w:ind w:right="7"/>
              <w:jc w:val="center"/>
            </w:pPr>
            <w:r w:rsidRPr="00364545">
              <w:rPr>
                <w:b/>
                <w:color w:val="FFFFFF"/>
                <w:sz w:val="18"/>
              </w:rPr>
              <w:t>2010</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416F23C8" w14:textId="77777777" w:rsidR="00833524" w:rsidRPr="00364545" w:rsidRDefault="00833524" w:rsidP="00E56269">
            <w:pPr>
              <w:spacing w:line="259" w:lineRule="auto"/>
              <w:ind w:right="5"/>
              <w:jc w:val="center"/>
            </w:pPr>
            <w:r w:rsidRPr="00364545">
              <w:rPr>
                <w:b/>
                <w:color w:val="FFFFFF"/>
                <w:sz w:val="18"/>
              </w:rPr>
              <w:t>2015</w:t>
            </w:r>
          </w:p>
        </w:tc>
        <w:tc>
          <w:tcPr>
            <w:tcW w:w="753"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5FBC7F3A" w14:textId="77777777" w:rsidR="00833524" w:rsidRPr="00364545" w:rsidRDefault="00833524" w:rsidP="00E56269">
            <w:pPr>
              <w:spacing w:line="259" w:lineRule="auto"/>
              <w:ind w:right="7"/>
              <w:jc w:val="center"/>
              <w:rPr>
                <w:b/>
                <w:color w:val="FFFFFF"/>
                <w:sz w:val="18"/>
              </w:rPr>
            </w:pPr>
            <w:r w:rsidRPr="00364545">
              <w:rPr>
                <w:b/>
                <w:color w:val="FFFFFF"/>
                <w:sz w:val="18"/>
              </w:rPr>
              <w:t>2019</w:t>
            </w:r>
          </w:p>
        </w:tc>
        <w:tc>
          <w:tcPr>
            <w:tcW w:w="751"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5D69D086" w14:textId="77777777" w:rsidR="00833524" w:rsidRPr="00364545" w:rsidRDefault="00833524" w:rsidP="00E56269">
            <w:pPr>
              <w:spacing w:line="259" w:lineRule="auto"/>
              <w:ind w:right="7"/>
              <w:jc w:val="center"/>
            </w:pPr>
            <w:r w:rsidRPr="00364545">
              <w:rPr>
                <w:b/>
                <w:color w:val="FFFFFF"/>
                <w:sz w:val="18"/>
              </w:rPr>
              <w:t>2020</w:t>
            </w:r>
          </w:p>
        </w:tc>
        <w:tc>
          <w:tcPr>
            <w:tcW w:w="751" w:type="dxa"/>
            <w:tcBorders>
              <w:top w:val="single" w:sz="2" w:space="0" w:color="FFFFFF"/>
              <w:left w:val="single" w:sz="2" w:space="0" w:color="FFFFFF"/>
              <w:bottom w:val="single" w:sz="2" w:space="0" w:color="FFFFFF"/>
              <w:right w:val="nil"/>
            </w:tcBorders>
            <w:shd w:val="clear" w:color="auto" w:fill="6D2A78"/>
            <w:vAlign w:val="center"/>
          </w:tcPr>
          <w:p w14:paraId="3F719991" w14:textId="77777777" w:rsidR="00833524" w:rsidRPr="00364545" w:rsidRDefault="00833524" w:rsidP="00E56269">
            <w:pPr>
              <w:spacing w:line="259" w:lineRule="auto"/>
              <w:ind w:right="4"/>
              <w:jc w:val="center"/>
            </w:pPr>
            <w:r w:rsidRPr="00364545">
              <w:rPr>
                <w:b/>
                <w:color w:val="FFFFFF"/>
                <w:sz w:val="18"/>
              </w:rPr>
              <w:t>2025</w:t>
            </w:r>
          </w:p>
        </w:tc>
        <w:tc>
          <w:tcPr>
            <w:tcW w:w="751" w:type="dxa"/>
            <w:tcBorders>
              <w:top w:val="single" w:sz="2" w:space="0" w:color="FFFFFF"/>
              <w:left w:val="nil"/>
              <w:bottom w:val="single" w:sz="2" w:space="0" w:color="FFFFFF"/>
              <w:right w:val="single" w:sz="2" w:space="0" w:color="FFFFFF"/>
            </w:tcBorders>
            <w:shd w:val="clear" w:color="auto" w:fill="6D2A78"/>
            <w:vAlign w:val="center"/>
          </w:tcPr>
          <w:p w14:paraId="041D374E" w14:textId="77777777" w:rsidR="00833524" w:rsidRPr="00364545" w:rsidRDefault="00833524" w:rsidP="00E56269">
            <w:pPr>
              <w:spacing w:line="259" w:lineRule="auto"/>
              <w:ind w:right="6"/>
              <w:jc w:val="center"/>
            </w:pPr>
            <w:r w:rsidRPr="00364545">
              <w:rPr>
                <w:b/>
                <w:color w:val="FFFFFF"/>
                <w:sz w:val="18"/>
              </w:rPr>
              <w:t>2030</w:t>
            </w:r>
          </w:p>
        </w:tc>
        <w:tc>
          <w:tcPr>
            <w:tcW w:w="751"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6FDF66D4" w14:textId="77777777" w:rsidR="00833524" w:rsidRPr="00364545" w:rsidRDefault="00833524" w:rsidP="00E56269">
            <w:pPr>
              <w:spacing w:line="259" w:lineRule="auto"/>
              <w:jc w:val="center"/>
            </w:pPr>
            <w:r w:rsidRPr="00364545">
              <w:rPr>
                <w:b/>
                <w:color w:val="FFFFFF"/>
                <w:sz w:val="18"/>
              </w:rPr>
              <w:t>2035</w:t>
            </w:r>
          </w:p>
        </w:tc>
        <w:tc>
          <w:tcPr>
            <w:tcW w:w="751"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6878B565" w14:textId="77777777" w:rsidR="00833524" w:rsidRPr="00364545" w:rsidRDefault="00833524" w:rsidP="00E56269">
            <w:pPr>
              <w:spacing w:line="259" w:lineRule="auto"/>
              <w:jc w:val="center"/>
              <w:rPr>
                <w:b/>
                <w:color w:val="FFFFFF"/>
                <w:sz w:val="18"/>
              </w:rPr>
            </w:pPr>
            <w:r w:rsidRPr="00364545">
              <w:rPr>
                <w:b/>
                <w:color w:val="FFFFFF"/>
                <w:sz w:val="18"/>
              </w:rPr>
              <w:t>2050</w:t>
            </w:r>
          </w:p>
        </w:tc>
      </w:tr>
      <w:tr w:rsidR="00833524" w:rsidRPr="00364545" w14:paraId="449242C3" w14:textId="77777777" w:rsidTr="00E56269">
        <w:trPr>
          <w:trHeight w:val="212"/>
        </w:trPr>
        <w:tc>
          <w:tcPr>
            <w:tcW w:w="915" w:type="dxa"/>
            <w:tcBorders>
              <w:top w:val="single" w:sz="2" w:space="0" w:color="FFFFFF"/>
              <w:left w:val="single" w:sz="2" w:space="0" w:color="6D2A78"/>
              <w:bottom w:val="single" w:sz="2" w:space="0" w:color="6D2A78"/>
              <w:right w:val="single" w:sz="2" w:space="0" w:color="6D2A78"/>
            </w:tcBorders>
            <w:vAlign w:val="center"/>
          </w:tcPr>
          <w:p w14:paraId="4DF4FB3B" w14:textId="77777777" w:rsidR="00833524" w:rsidRPr="00364545" w:rsidRDefault="00833524" w:rsidP="00E56269">
            <w:pPr>
              <w:spacing w:line="259" w:lineRule="auto"/>
              <w:ind w:left="39"/>
            </w:pPr>
            <w:r w:rsidRPr="00364545">
              <w:rPr>
                <w:sz w:val="18"/>
              </w:rPr>
              <w:t>(in kt</w:t>
            </w:r>
            <w:r w:rsidRPr="00364545">
              <w:t>CO</w:t>
            </w:r>
            <w:r w:rsidRPr="00364545">
              <w:rPr>
                <w:vertAlign w:val="subscript"/>
              </w:rPr>
              <w:t>2</w:t>
            </w:r>
            <w:r w:rsidRPr="00364545">
              <w:rPr>
                <w:sz w:val="18"/>
                <w:vertAlign w:val="subscript"/>
              </w:rPr>
              <w:t>e</w:t>
            </w:r>
            <w:r w:rsidRPr="00364545">
              <w:rPr>
                <w:sz w:val="18"/>
              </w:rPr>
              <w:t xml:space="preserve">) </w:t>
            </w:r>
          </w:p>
        </w:tc>
        <w:tc>
          <w:tcPr>
            <w:tcW w:w="753" w:type="dxa"/>
            <w:tcBorders>
              <w:top w:val="single" w:sz="2" w:space="0" w:color="FFFFFF"/>
              <w:left w:val="single" w:sz="2" w:space="0" w:color="6D2A78"/>
              <w:bottom w:val="single" w:sz="2" w:space="0" w:color="6D2A78"/>
              <w:right w:val="single" w:sz="2" w:space="0" w:color="6D2A78"/>
            </w:tcBorders>
            <w:vAlign w:val="center"/>
          </w:tcPr>
          <w:p w14:paraId="4A56D4E2" w14:textId="77777777" w:rsidR="00833524" w:rsidRPr="00364545" w:rsidRDefault="00833524" w:rsidP="00E56269">
            <w:pPr>
              <w:spacing w:line="259" w:lineRule="auto"/>
              <w:jc w:val="center"/>
            </w:pPr>
            <w:r w:rsidRPr="00364545">
              <w:rPr>
                <w:sz w:val="18"/>
              </w:rPr>
              <w:t>Observed</w:t>
            </w:r>
          </w:p>
        </w:tc>
        <w:tc>
          <w:tcPr>
            <w:tcW w:w="753" w:type="dxa"/>
            <w:tcBorders>
              <w:top w:val="single" w:sz="2" w:space="0" w:color="FFFFFF"/>
              <w:left w:val="single" w:sz="2" w:space="0" w:color="6D2A78"/>
              <w:bottom w:val="single" w:sz="2" w:space="0" w:color="6D2A78"/>
              <w:right w:val="single" w:sz="2" w:space="0" w:color="6D2A78"/>
            </w:tcBorders>
            <w:vAlign w:val="center"/>
          </w:tcPr>
          <w:p w14:paraId="0031C2C3" w14:textId="77777777" w:rsidR="00833524" w:rsidRPr="00364545" w:rsidRDefault="00833524" w:rsidP="00E56269">
            <w:pPr>
              <w:spacing w:line="259" w:lineRule="auto"/>
              <w:jc w:val="center"/>
              <w:rPr>
                <w:sz w:val="18"/>
              </w:rPr>
            </w:pPr>
            <w:r w:rsidRPr="00364545">
              <w:rPr>
                <w:sz w:val="18"/>
              </w:rPr>
              <w:t>Observed</w:t>
            </w:r>
          </w:p>
        </w:tc>
        <w:tc>
          <w:tcPr>
            <w:tcW w:w="753" w:type="dxa"/>
            <w:tcBorders>
              <w:top w:val="single" w:sz="2" w:space="0" w:color="FFFFFF"/>
              <w:left w:val="single" w:sz="2" w:space="0" w:color="6D2A78"/>
              <w:bottom w:val="single" w:sz="2" w:space="0" w:color="6D2A78"/>
              <w:right w:val="single" w:sz="2" w:space="0" w:color="6D2A78"/>
            </w:tcBorders>
            <w:vAlign w:val="center"/>
          </w:tcPr>
          <w:p w14:paraId="10097275" w14:textId="77777777" w:rsidR="00833524" w:rsidRPr="00364545" w:rsidRDefault="00833524" w:rsidP="00E56269">
            <w:pPr>
              <w:spacing w:line="259" w:lineRule="auto"/>
              <w:jc w:val="center"/>
            </w:pPr>
            <w:r w:rsidRPr="00364545">
              <w:rPr>
                <w:sz w:val="18"/>
              </w:rPr>
              <w:t>Observed</w:t>
            </w:r>
          </w:p>
        </w:tc>
        <w:tc>
          <w:tcPr>
            <w:tcW w:w="753" w:type="dxa"/>
            <w:tcBorders>
              <w:top w:val="single" w:sz="2" w:space="0" w:color="FFFFFF"/>
              <w:left w:val="single" w:sz="2" w:space="0" w:color="6D2A78"/>
              <w:bottom w:val="single" w:sz="2" w:space="0" w:color="6D2A78"/>
              <w:right w:val="single" w:sz="2" w:space="0" w:color="6D2A78"/>
            </w:tcBorders>
            <w:vAlign w:val="center"/>
          </w:tcPr>
          <w:p w14:paraId="5578AE26" w14:textId="77777777" w:rsidR="00833524" w:rsidRPr="00364545" w:rsidRDefault="00833524" w:rsidP="00E56269">
            <w:pPr>
              <w:spacing w:line="259" w:lineRule="auto"/>
              <w:jc w:val="center"/>
            </w:pPr>
            <w:r w:rsidRPr="00364545">
              <w:rPr>
                <w:sz w:val="18"/>
              </w:rPr>
              <w:t>Observed</w:t>
            </w:r>
          </w:p>
        </w:tc>
        <w:tc>
          <w:tcPr>
            <w:tcW w:w="753" w:type="dxa"/>
            <w:tcBorders>
              <w:top w:val="single" w:sz="2" w:space="0" w:color="FFFFFF"/>
              <w:left w:val="single" w:sz="2" w:space="0" w:color="6D2A78"/>
              <w:bottom w:val="single" w:sz="2" w:space="0" w:color="6D2A78"/>
              <w:right w:val="single" w:sz="2" w:space="0" w:color="6D2A78"/>
            </w:tcBorders>
            <w:vAlign w:val="center"/>
          </w:tcPr>
          <w:p w14:paraId="11BDC021" w14:textId="77777777" w:rsidR="00833524" w:rsidRPr="00364545" w:rsidRDefault="00833524" w:rsidP="00E56269">
            <w:pPr>
              <w:spacing w:line="259" w:lineRule="auto"/>
              <w:jc w:val="center"/>
            </w:pPr>
            <w:r w:rsidRPr="00364545">
              <w:rPr>
                <w:sz w:val="18"/>
              </w:rPr>
              <w:t>Observed</w:t>
            </w:r>
          </w:p>
        </w:tc>
        <w:tc>
          <w:tcPr>
            <w:tcW w:w="753" w:type="dxa"/>
            <w:tcBorders>
              <w:top w:val="single" w:sz="2" w:space="0" w:color="FFFFFF"/>
              <w:left w:val="single" w:sz="2" w:space="0" w:color="6D2A78"/>
              <w:bottom w:val="single" w:sz="2" w:space="0" w:color="6D2A78"/>
              <w:right w:val="single" w:sz="2" w:space="0" w:color="6D2A78"/>
            </w:tcBorders>
            <w:vAlign w:val="center"/>
          </w:tcPr>
          <w:p w14:paraId="37807340" w14:textId="77777777" w:rsidR="00833524" w:rsidRPr="00364545" w:rsidRDefault="00833524" w:rsidP="00E56269">
            <w:pPr>
              <w:spacing w:line="259" w:lineRule="auto"/>
              <w:jc w:val="center"/>
            </w:pPr>
            <w:r w:rsidRPr="00364545">
              <w:rPr>
                <w:sz w:val="18"/>
              </w:rPr>
              <w:t>Observed</w:t>
            </w:r>
          </w:p>
        </w:tc>
        <w:tc>
          <w:tcPr>
            <w:tcW w:w="753" w:type="dxa"/>
            <w:tcBorders>
              <w:top w:val="single" w:sz="2" w:space="0" w:color="FFFFFF"/>
              <w:left w:val="single" w:sz="2" w:space="0" w:color="6D2A78"/>
              <w:bottom w:val="single" w:sz="2" w:space="0" w:color="6D2A78"/>
              <w:right w:val="single" w:sz="2" w:space="0" w:color="6D2A78"/>
            </w:tcBorders>
            <w:vAlign w:val="center"/>
          </w:tcPr>
          <w:p w14:paraId="55D2401B" w14:textId="77777777" w:rsidR="00833524" w:rsidRPr="00364545" w:rsidRDefault="00833524" w:rsidP="00E56269">
            <w:pPr>
              <w:spacing w:line="259" w:lineRule="auto"/>
              <w:jc w:val="center"/>
              <w:rPr>
                <w:sz w:val="18"/>
              </w:rPr>
            </w:pPr>
            <w:r w:rsidRPr="00364545">
              <w:rPr>
                <w:sz w:val="18"/>
              </w:rPr>
              <w:t>Observed</w:t>
            </w:r>
          </w:p>
        </w:tc>
        <w:tc>
          <w:tcPr>
            <w:tcW w:w="751" w:type="dxa"/>
            <w:tcBorders>
              <w:top w:val="single" w:sz="2" w:space="0" w:color="FFFFFF"/>
              <w:left w:val="single" w:sz="2" w:space="0" w:color="6D2A78"/>
              <w:bottom w:val="single" w:sz="2" w:space="0" w:color="6D2A78"/>
              <w:right w:val="single" w:sz="2" w:space="0" w:color="6D2A78"/>
            </w:tcBorders>
            <w:vAlign w:val="center"/>
          </w:tcPr>
          <w:p w14:paraId="7DF22E30" w14:textId="77777777" w:rsidR="00833524" w:rsidRPr="00364545" w:rsidRDefault="00833524" w:rsidP="00E56269">
            <w:pPr>
              <w:spacing w:line="259" w:lineRule="auto"/>
              <w:jc w:val="center"/>
            </w:pPr>
            <w:r w:rsidRPr="00364545">
              <w:rPr>
                <w:sz w:val="18"/>
              </w:rPr>
              <w:t>Projected</w:t>
            </w:r>
          </w:p>
        </w:tc>
        <w:tc>
          <w:tcPr>
            <w:tcW w:w="751" w:type="dxa"/>
            <w:tcBorders>
              <w:top w:val="single" w:sz="2" w:space="0" w:color="FFFFFF"/>
              <w:left w:val="single" w:sz="2" w:space="0" w:color="6D2A78"/>
              <w:bottom w:val="single" w:sz="2" w:space="0" w:color="6D2A78"/>
              <w:right w:val="single" w:sz="2" w:space="0" w:color="6D2A78"/>
            </w:tcBorders>
            <w:vAlign w:val="center"/>
          </w:tcPr>
          <w:p w14:paraId="4EE2D43C" w14:textId="77777777" w:rsidR="00833524" w:rsidRPr="00364545" w:rsidRDefault="00833524" w:rsidP="00E56269">
            <w:pPr>
              <w:spacing w:line="259" w:lineRule="auto"/>
              <w:jc w:val="center"/>
            </w:pPr>
            <w:r w:rsidRPr="00364545">
              <w:rPr>
                <w:sz w:val="18"/>
              </w:rPr>
              <w:t>Projected</w:t>
            </w:r>
          </w:p>
        </w:tc>
        <w:tc>
          <w:tcPr>
            <w:tcW w:w="751" w:type="dxa"/>
            <w:tcBorders>
              <w:top w:val="single" w:sz="2" w:space="0" w:color="FFFFFF"/>
              <w:left w:val="single" w:sz="2" w:space="0" w:color="6D2A78"/>
              <w:bottom w:val="single" w:sz="2" w:space="0" w:color="6D2A78"/>
              <w:right w:val="single" w:sz="2" w:space="0" w:color="6D2A78"/>
            </w:tcBorders>
            <w:vAlign w:val="center"/>
          </w:tcPr>
          <w:p w14:paraId="6EF4D1BE" w14:textId="77777777" w:rsidR="00833524" w:rsidRPr="00364545" w:rsidRDefault="00833524" w:rsidP="00E56269">
            <w:pPr>
              <w:spacing w:line="259" w:lineRule="auto"/>
              <w:jc w:val="center"/>
            </w:pPr>
            <w:r w:rsidRPr="00364545">
              <w:rPr>
                <w:sz w:val="18"/>
              </w:rPr>
              <w:t>Projected</w:t>
            </w:r>
          </w:p>
        </w:tc>
        <w:tc>
          <w:tcPr>
            <w:tcW w:w="751" w:type="dxa"/>
            <w:tcBorders>
              <w:top w:val="single" w:sz="2" w:space="0" w:color="FFFFFF"/>
              <w:left w:val="single" w:sz="2" w:space="0" w:color="6D2A78"/>
              <w:bottom w:val="single" w:sz="2" w:space="0" w:color="6D2A78"/>
              <w:right w:val="single" w:sz="2" w:space="0" w:color="6D2A78"/>
            </w:tcBorders>
            <w:vAlign w:val="center"/>
          </w:tcPr>
          <w:p w14:paraId="411F5EF5" w14:textId="77777777" w:rsidR="00833524" w:rsidRPr="00364545" w:rsidRDefault="00833524" w:rsidP="00E56269">
            <w:pPr>
              <w:spacing w:line="259" w:lineRule="auto"/>
              <w:jc w:val="center"/>
            </w:pPr>
            <w:r w:rsidRPr="00364545">
              <w:rPr>
                <w:sz w:val="18"/>
              </w:rPr>
              <w:t>Projected</w:t>
            </w:r>
          </w:p>
        </w:tc>
        <w:tc>
          <w:tcPr>
            <w:tcW w:w="751" w:type="dxa"/>
            <w:tcBorders>
              <w:top w:val="single" w:sz="2" w:space="0" w:color="FFFFFF"/>
              <w:left w:val="single" w:sz="2" w:space="0" w:color="6D2A78"/>
              <w:bottom w:val="single" w:sz="2" w:space="0" w:color="6D2A78"/>
              <w:right w:val="single" w:sz="2" w:space="0" w:color="6D2A78"/>
            </w:tcBorders>
            <w:vAlign w:val="center"/>
          </w:tcPr>
          <w:p w14:paraId="6B8ABD6F" w14:textId="77777777" w:rsidR="00833524" w:rsidRPr="00364545" w:rsidRDefault="00833524" w:rsidP="00E56269">
            <w:pPr>
              <w:spacing w:line="259" w:lineRule="auto"/>
              <w:jc w:val="center"/>
              <w:rPr>
                <w:sz w:val="18"/>
              </w:rPr>
            </w:pPr>
            <w:r w:rsidRPr="00364545">
              <w:rPr>
                <w:sz w:val="18"/>
              </w:rPr>
              <w:t>Projected</w:t>
            </w:r>
          </w:p>
        </w:tc>
      </w:tr>
      <w:tr w:rsidR="00833524" w:rsidRPr="00364545" w14:paraId="442E6418" w14:textId="77777777" w:rsidTr="00E56269">
        <w:trPr>
          <w:trHeight w:val="211"/>
        </w:trPr>
        <w:tc>
          <w:tcPr>
            <w:tcW w:w="915"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A17FAFF" w14:textId="77777777" w:rsidR="00833524" w:rsidRPr="00364545" w:rsidRDefault="00833524" w:rsidP="00E56269">
            <w:pPr>
              <w:spacing w:line="259" w:lineRule="auto"/>
              <w:ind w:right="9"/>
              <w:jc w:val="center"/>
            </w:pPr>
            <w:r w:rsidRPr="00364545">
              <w:rPr>
                <w:sz w:val="18"/>
              </w:rPr>
              <w:t>All (</w:t>
            </w:r>
            <w:r>
              <w:rPr>
                <w:sz w:val="18"/>
              </w:rPr>
              <w:t>excluding</w:t>
            </w:r>
            <w:r w:rsidRPr="00364545">
              <w:rPr>
                <w:sz w:val="18"/>
              </w:rPr>
              <w:t xml:space="preserve"> LULUCF) </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4504DF67" w14:textId="77777777" w:rsidR="00833524" w:rsidRPr="001546BC" w:rsidRDefault="00833524" w:rsidP="00E56269">
            <w:pPr>
              <w:spacing w:line="259" w:lineRule="auto"/>
              <w:ind w:left="57"/>
              <w:jc w:val="center"/>
              <w:rPr>
                <w:rFonts w:ascii="Calibri" w:hAnsi="Calibri" w:cs="Calibri"/>
                <w:b/>
                <w:color w:val="000000"/>
                <w:sz w:val="20"/>
                <w:szCs w:val="20"/>
              </w:rPr>
            </w:pPr>
            <w:r w:rsidRPr="001546BC">
              <w:rPr>
                <w:rFonts w:ascii="Calibri" w:hAnsi="Calibri"/>
                <w:b/>
                <w:sz w:val="20"/>
              </w:rPr>
              <w:t>544086</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66FB594B" w14:textId="77777777" w:rsidR="00833524" w:rsidRPr="001546BC" w:rsidRDefault="00833524" w:rsidP="00E56269">
            <w:pPr>
              <w:spacing w:line="259" w:lineRule="auto"/>
              <w:ind w:left="57"/>
              <w:jc w:val="center"/>
              <w:rPr>
                <w:rFonts w:ascii="Calibri" w:hAnsi="Calibri" w:cs="Calibri"/>
                <w:b/>
                <w:color w:val="000000"/>
                <w:sz w:val="20"/>
                <w:szCs w:val="20"/>
              </w:rPr>
            </w:pPr>
            <w:r w:rsidRPr="001546BC">
              <w:rPr>
                <w:rFonts w:ascii="Calibri" w:hAnsi="Calibri"/>
                <w:b/>
                <w:sz w:val="20"/>
              </w:rPr>
              <w:t>536475</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39D7B25" w14:textId="77777777" w:rsidR="00833524" w:rsidRPr="006E265A" w:rsidRDefault="00833524" w:rsidP="00E56269">
            <w:pPr>
              <w:spacing w:line="259" w:lineRule="auto"/>
              <w:ind w:left="57"/>
              <w:jc w:val="center"/>
              <w:rPr>
                <w:rFonts w:ascii="Calibri" w:hAnsi="Calibri" w:cs="Calibri"/>
                <w:b/>
                <w:color w:val="000000"/>
                <w:sz w:val="20"/>
                <w:szCs w:val="20"/>
              </w:rPr>
            </w:pPr>
            <w:r w:rsidRPr="006E265A">
              <w:rPr>
                <w:rFonts w:ascii="Calibri" w:hAnsi="Calibri" w:cs="Calibri"/>
                <w:b/>
                <w:sz w:val="20"/>
              </w:rPr>
              <w:t>549005</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B8A1FAB" w14:textId="77777777" w:rsidR="00833524" w:rsidRPr="006E265A" w:rsidRDefault="00833524" w:rsidP="00E56269">
            <w:pPr>
              <w:spacing w:line="259" w:lineRule="auto"/>
              <w:ind w:left="57"/>
              <w:jc w:val="center"/>
              <w:rPr>
                <w:rFonts w:ascii="Calibri" w:hAnsi="Calibri" w:cs="Calibri"/>
                <w:b/>
                <w:color w:val="000000"/>
                <w:sz w:val="20"/>
                <w:szCs w:val="20"/>
              </w:rPr>
            </w:pPr>
            <w:r w:rsidRPr="006E265A">
              <w:rPr>
                <w:rFonts w:ascii="Calibri" w:hAnsi="Calibri" w:cs="Calibri"/>
                <w:b/>
                <w:sz w:val="20"/>
              </w:rPr>
              <w:t>551391</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CEDCC2B" w14:textId="77777777" w:rsidR="00833524" w:rsidRPr="006E265A" w:rsidRDefault="00833524" w:rsidP="00E56269">
            <w:pPr>
              <w:spacing w:line="259" w:lineRule="auto"/>
              <w:ind w:left="57"/>
              <w:jc w:val="center"/>
              <w:rPr>
                <w:rFonts w:ascii="Calibri" w:hAnsi="Calibri" w:cs="Calibri"/>
                <w:b/>
                <w:color w:val="000000"/>
                <w:sz w:val="20"/>
                <w:szCs w:val="20"/>
              </w:rPr>
            </w:pPr>
            <w:r w:rsidRPr="006E265A">
              <w:rPr>
                <w:rFonts w:ascii="Calibri" w:hAnsi="Calibri" w:cs="Calibri"/>
                <w:b/>
                <w:sz w:val="20"/>
              </w:rPr>
              <w:t>507468</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29BE80CA" w14:textId="77777777" w:rsidR="00833524" w:rsidRPr="006E265A" w:rsidRDefault="00833524" w:rsidP="00E56269">
            <w:pPr>
              <w:spacing w:line="259" w:lineRule="auto"/>
              <w:ind w:left="57"/>
              <w:jc w:val="center"/>
              <w:rPr>
                <w:rFonts w:ascii="Calibri" w:hAnsi="Calibri" w:cs="Calibri"/>
                <w:b/>
                <w:color w:val="000000"/>
                <w:sz w:val="20"/>
                <w:szCs w:val="20"/>
              </w:rPr>
            </w:pPr>
            <w:r w:rsidRPr="006E265A">
              <w:rPr>
                <w:rFonts w:ascii="Calibri" w:hAnsi="Calibri" w:cs="Calibri"/>
                <w:b/>
                <w:sz w:val="20"/>
              </w:rPr>
              <w:t>457923</w:t>
            </w:r>
          </w:p>
        </w:tc>
        <w:tc>
          <w:tcPr>
            <w:tcW w:w="753"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0C5F7FD5" w14:textId="77777777" w:rsidR="00833524" w:rsidRPr="00634E4C" w:rsidRDefault="00833524" w:rsidP="00E56269">
            <w:pPr>
              <w:spacing w:line="259" w:lineRule="auto"/>
              <w:ind w:left="58"/>
              <w:jc w:val="center"/>
              <w:rPr>
                <w:rFonts w:ascii="Calibri" w:hAnsi="Calibri"/>
                <w:b/>
                <w:sz w:val="20"/>
              </w:rPr>
            </w:pPr>
            <w:r w:rsidRPr="006E265A">
              <w:rPr>
                <w:rFonts w:ascii="Calibri" w:hAnsi="Calibri" w:cs="Calibri"/>
                <w:b/>
                <w:sz w:val="20"/>
              </w:rPr>
              <w:t>434539</w:t>
            </w:r>
          </w:p>
        </w:tc>
        <w:tc>
          <w:tcPr>
            <w:tcW w:w="75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46B7B591" w14:textId="77777777" w:rsidR="00833524" w:rsidRPr="00364545" w:rsidRDefault="00833524" w:rsidP="00E56269">
            <w:pPr>
              <w:spacing w:line="259" w:lineRule="auto"/>
              <w:ind w:left="58"/>
              <w:jc w:val="center"/>
              <w:rPr>
                <w:b/>
              </w:rPr>
            </w:pPr>
            <w:r w:rsidRPr="00364545">
              <w:rPr>
                <w:rFonts w:ascii="Calibri" w:hAnsi="Calibri"/>
                <w:b/>
                <w:color w:val="000000"/>
                <w:sz w:val="20"/>
              </w:rPr>
              <w:t>434378</w:t>
            </w:r>
          </w:p>
        </w:tc>
        <w:tc>
          <w:tcPr>
            <w:tcW w:w="75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10BD5571" w14:textId="77777777" w:rsidR="00833524" w:rsidRPr="00364545" w:rsidRDefault="00833524" w:rsidP="00E56269">
            <w:pPr>
              <w:spacing w:line="259" w:lineRule="auto"/>
              <w:ind w:left="59"/>
              <w:jc w:val="center"/>
              <w:rPr>
                <w:b/>
              </w:rPr>
            </w:pPr>
            <w:r w:rsidRPr="00364545">
              <w:rPr>
                <w:rFonts w:ascii="Calibri" w:hAnsi="Calibri"/>
                <w:b/>
                <w:color w:val="000000"/>
                <w:sz w:val="20"/>
              </w:rPr>
              <w:t>367661</w:t>
            </w:r>
          </w:p>
        </w:tc>
        <w:tc>
          <w:tcPr>
            <w:tcW w:w="75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4A839AC1" w14:textId="77777777" w:rsidR="00833524" w:rsidRPr="00364545" w:rsidRDefault="00833524" w:rsidP="00E56269">
            <w:pPr>
              <w:spacing w:line="259" w:lineRule="auto"/>
              <w:ind w:left="58"/>
              <w:jc w:val="center"/>
              <w:rPr>
                <w:b/>
              </w:rPr>
            </w:pPr>
            <w:r w:rsidRPr="00364545">
              <w:rPr>
                <w:rFonts w:ascii="Calibri" w:hAnsi="Calibri"/>
                <w:b/>
                <w:color w:val="000000"/>
                <w:sz w:val="20"/>
              </w:rPr>
              <w:t>307094</w:t>
            </w:r>
          </w:p>
        </w:tc>
        <w:tc>
          <w:tcPr>
            <w:tcW w:w="75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5D4BBA0" w14:textId="77777777" w:rsidR="00833524" w:rsidRPr="00364545" w:rsidRDefault="00833524" w:rsidP="00E56269">
            <w:pPr>
              <w:spacing w:line="259" w:lineRule="auto"/>
              <w:ind w:left="59"/>
              <w:jc w:val="center"/>
              <w:rPr>
                <w:b/>
              </w:rPr>
            </w:pPr>
            <w:r w:rsidRPr="00364545">
              <w:rPr>
                <w:rFonts w:ascii="Calibri" w:hAnsi="Calibri"/>
                <w:b/>
                <w:color w:val="000000"/>
                <w:sz w:val="20"/>
              </w:rPr>
              <w:t>247697</w:t>
            </w:r>
          </w:p>
        </w:tc>
        <w:tc>
          <w:tcPr>
            <w:tcW w:w="75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D2EB6FA" w14:textId="77777777" w:rsidR="00833524" w:rsidRPr="00364545" w:rsidRDefault="00833524" w:rsidP="00E56269">
            <w:pPr>
              <w:spacing w:line="259" w:lineRule="auto"/>
              <w:ind w:left="59"/>
              <w:jc w:val="center"/>
              <w:rPr>
                <w:b/>
                <w:sz w:val="18"/>
              </w:rPr>
            </w:pPr>
            <w:r w:rsidRPr="00364545">
              <w:rPr>
                <w:rFonts w:ascii="Calibri" w:hAnsi="Calibri"/>
                <w:b/>
                <w:color w:val="000000"/>
                <w:sz w:val="20"/>
              </w:rPr>
              <w:t>64551</w:t>
            </w:r>
          </w:p>
        </w:tc>
      </w:tr>
      <w:tr w:rsidR="00833524" w:rsidRPr="00364545" w14:paraId="72EB2495" w14:textId="77777777" w:rsidTr="00E56269">
        <w:trPr>
          <w:trHeight w:val="211"/>
        </w:trPr>
        <w:tc>
          <w:tcPr>
            <w:tcW w:w="915" w:type="dxa"/>
            <w:tcBorders>
              <w:top w:val="single" w:sz="2" w:space="0" w:color="6D2A78"/>
              <w:left w:val="single" w:sz="2" w:space="0" w:color="6D2A78"/>
              <w:bottom w:val="single" w:sz="2" w:space="0" w:color="6D2A78"/>
              <w:right w:val="single" w:sz="2" w:space="0" w:color="6D2A78"/>
            </w:tcBorders>
            <w:vAlign w:val="center"/>
          </w:tcPr>
          <w:p w14:paraId="42C2CD4D" w14:textId="77777777" w:rsidR="00833524" w:rsidRPr="00364545" w:rsidRDefault="00833524" w:rsidP="00E56269">
            <w:pPr>
              <w:spacing w:line="259" w:lineRule="auto"/>
              <w:ind w:left="144"/>
            </w:pPr>
            <w:r w:rsidRPr="00364545">
              <w:rPr>
                <w:sz w:val="18"/>
              </w:rPr>
              <w:t>All (</w:t>
            </w:r>
            <w:r>
              <w:rPr>
                <w:sz w:val="18"/>
              </w:rPr>
              <w:t>including</w:t>
            </w:r>
            <w:r w:rsidRPr="00364545">
              <w:rPr>
                <w:sz w:val="18"/>
              </w:rPr>
              <w:t xml:space="preserve"> LULUCF) </w:t>
            </w:r>
          </w:p>
        </w:tc>
        <w:tc>
          <w:tcPr>
            <w:tcW w:w="753" w:type="dxa"/>
            <w:tcBorders>
              <w:top w:val="single" w:sz="2" w:space="0" w:color="6D2A78"/>
              <w:left w:val="single" w:sz="2" w:space="0" w:color="6D2A78"/>
              <w:bottom w:val="single" w:sz="2" w:space="0" w:color="6D2A78"/>
              <w:right w:val="single" w:sz="2" w:space="0" w:color="6D2A78"/>
            </w:tcBorders>
            <w:vAlign w:val="center"/>
          </w:tcPr>
          <w:p w14:paraId="464AE1FB" w14:textId="77777777" w:rsidR="00833524" w:rsidRPr="001546BC" w:rsidRDefault="00833524" w:rsidP="00E56269">
            <w:pPr>
              <w:spacing w:line="259" w:lineRule="auto"/>
              <w:ind w:left="57"/>
              <w:jc w:val="center"/>
              <w:rPr>
                <w:rFonts w:ascii="Calibri" w:hAnsi="Calibri" w:cs="Calibri"/>
                <w:b/>
                <w:color w:val="000000"/>
                <w:sz w:val="20"/>
                <w:szCs w:val="20"/>
              </w:rPr>
            </w:pPr>
            <w:r w:rsidRPr="001546BC">
              <w:rPr>
                <w:rFonts w:ascii="Calibri" w:hAnsi="Calibri"/>
                <w:b/>
                <w:sz w:val="20"/>
              </w:rPr>
              <w:t>520100</w:t>
            </w:r>
          </w:p>
        </w:tc>
        <w:tc>
          <w:tcPr>
            <w:tcW w:w="753" w:type="dxa"/>
            <w:tcBorders>
              <w:top w:val="single" w:sz="2" w:space="0" w:color="6D2A78"/>
              <w:left w:val="single" w:sz="2" w:space="0" w:color="6D2A78"/>
              <w:bottom w:val="single" w:sz="2" w:space="0" w:color="6D2A78"/>
              <w:right w:val="single" w:sz="2" w:space="0" w:color="6D2A78"/>
            </w:tcBorders>
            <w:vAlign w:val="center"/>
          </w:tcPr>
          <w:p w14:paraId="41CC4050" w14:textId="77777777" w:rsidR="00833524" w:rsidRPr="001546BC" w:rsidRDefault="00833524" w:rsidP="00E56269">
            <w:pPr>
              <w:spacing w:line="259" w:lineRule="auto"/>
              <w:ind w:left="57"/>
              <w:jc w:val="center"/>
              <w:rPr>
                <w:rFonts w:ascii="Calibri" w:hAnsi="Calibri" w:cs="Calibri"/>
                <w:b/>
                <w:color w:val="000000"/>
                <w:sz w:val="20"/>
                <w:szCs w:val="20"/>
              </w:rPr>
            </w:pPr>
            <w:r w:rsidRPr="001546BC">
              <w:rPr>
                <w:rFonts w:ascii="Calibri" w:hAnsi="Calibri"/>
                <w:b/>
                <w:sz w:val="20"/>
              </w:rPr>
              <w:t>511596</w:t>
            </w:r>
          </w:p>
        </w:tc>
        <w:tc>
          <w:tcPr>
            <w:tcW w:w="753" w:type="dxa"/>
            <w:tcBorders>
              <w:top w:val="single" w:sz="2" w:space="0" w:color="6D2A78"/>
              <w:left w:val="single" w:sz="2" w:space="0" w:color="6D2A78"/>
              <w:bottom w:val="single" w:sz="2" w:space="0" w:color="6D2A78"/>
              <w:right w:val="single" w:sz="2" w:space="0" w:color="6D2A78"/>
            </w:tcBorders>
            <w:vAlign w:val="center"/>
          </w:tcPr>
          <w:p w14:paraId="53CC06A4" w14:textId="77777777" w:rsidR="00833524" w:rsidRPr="006E265A" w:rsidRDefault="00833524" w:rsidP="00E56269">
            <w:pPr>
              <w:spacing w:line="259" w:lineRule="auto"/>
              <w:ind w:left="57"/>
              <w:jc w:val="center"/>
              <w:rPr>
                <w:rFonts w:ascii="Calibri" w:hAnsi="Calibri" w:cs="Calibri"/>
                <w:b/>
                <w:color w:val="000000"/>
                <w:sz w:val="20"/>
                <w:szCs w:val="20"/>
              </w:rPr>
            </w:pPr>
            <w:r w:rsidRPr="006E265A">
              <w:rPr>
                <w:rFonts w:ascii="Calibri" w:hAnsi="Calibri" w:cs="Calibri"/>
                <w:b/>
                <w:sz w:val="20"/>
              </w:rPr>
              <w:t>529295</w:t>
            </w:r>
          </w:p>
        </w:tc>
        <w:tc>
          <w:tcPr>
            <w:tcW w:w="753" w:type="dxa"/>
            <w:tcBorders>
              <w:top w:val="single" w:sz="2" w:space="0" w:color="6D2A78"/>
              <w:left w:val="single" w:sz="2" w:space="0" w:color="6D2A78"/>
              <w:bottom w:val="single" w:sz="2" w:space="0" w:color="6D2A78"/>
              <w:right w:val="single" w:sz="2" w:space="0" w:color="6D2A78"/>
            </w:tcBorders>
            <w:vAlign w:val="center"/>
          </w:tcPr>
          <w:p w14:paraId="5527A9A7" w14:textId="77777777" w:rsidR="00833524" w:rsidRPr="006E265A" w:rsidRDefault="00833524" w:rsidP="00E56269">
            <w:pPr>
              <w:spacing w:line="259" w:lineRule="auto"/>
              <w:ind w:left="57"/>
              <w:jc w:val="center"/>
              <w:rPr>
                <w:rFonts w:ascii="Calibri" w:hAnsi="Calibri" w:cs="Calibri"/>
                <w:b/>
                <w:color w:val="000000"/>
                <w:sz w:val="20"/>
                <w:szCs w:val="20"/>
              </w:rPr>
            </w:pPr>
            <w:r w:rsidRPr="006E265A">
              <w:rPr>
                <w:rFonts w:ascii="Calibri" w:hAnsi="Calibri" w:cs="Calibri"/>
                <w:b/>
                <w:sz w:val="20"/>
              </w:rPr>
              <w:t>504079</w:t>
            </w:r>
          </w:p>
        </w:tc>
        <w:tc>
          <w:tcPr>
            <w:tcW w:w="753" w:type="dxa"/>
            <w:tcBorders>
              <w:top w:val="single" w:sz="2" w:space="0" w:color="6D2A78"/>
              <w:left w:val="single" w:sz="2" w:space="0" w:color="6D2A78"/>
              <w:bottom w:val="single" w:sz="2" w:space="0" w:color="6D2A78"/>
              <w:right w:val="single" w:sz="2" w:space="0" w:color="6D2A78"/>
            </w:tcBorders>
            <w:vAlign w:val="center"/>
          </w:tcPr>
          <w:p w14:paraId="6DA450F8" w14:textId="77777777" w:rsidR="00833524" w:rsidRPr="006E265A" w:rsidRDefault="00833524" w:rsidP="00E56269">
            <w:pPr>
              <w:spacing w:line="259" w:lineRule="auto"/>
              <w:ind w:left="57"/>
              <w:jc w:val="center"/>
              <w:rPr>
                <w:rFonts w:ascii="Calibri" w:hAnsi="Calibri" w:cs="Calibri"/>
                <w:b/>
                <w:color w:val="000000"/>
                <w:sz w:val="20"/>
                <w:szCs w:val="20"/>
              </w:rPr>
            </w:pPr>
            <w:r w:rsidRPr="006E265A">
              <w:rPr>
                <w:rFonts w:ascii="Calibri" w:hAnsi="Calibri" w:cs="Calibri"/>
                <w:b/>
                <w:sz w:val="20"/>
              </w:rPr>
              <w:t>469112</w:t>
            </w:r>
          </w:p>
        </w:tc>
        <w:tc>
          <w:tcPr>
            <w:tcW w:w="753" w:type="dxa"/>
            <w:tcBorders>
              <w:top w:val="single" w:sz="2" w:space="0" w:color="6D2A78"/>
              <w:left w:val="single" w:sz="2" w:space="0" w:color="6D2A78"/>
              <w:bottom w:val="single" w:sz="2" w:space="0" w:color="6D2A78"/>
              <w:right w:val="single" w:sz="2" w:space="0" w:color="6D2A78"/>
            </w:tcBorders>
            <w:vAlign w:val="center"/>
          </w:tcPr>
          <w:p w14:paraId="53C32A1C" w14:textId="77777777" w:rsidR="00833524" w:rsidRPr="006E265A" w:rsidRDefault="00833524" w:rsidP="00E56269">
            <w:pPr>
              <w:spacing w:line="259" w:lineRule="auto"/>
              <w:ind w:left="57"/>
              <w:jc w:val="center"/>
              <w:rPr>
                <w:rFonts w:ascii="Calibri" w:hAnsi="Calibri" w:cs="Calibri"/>
                <w:b/>
                <w:color w:val="000000"/>
                <w:sz w:val="20"/>
                <w:szCs w:val="20"/>
              </w:rPr>
            </w:pPr>
            <w:r w:rsidRPr="006E265A">
              <w:rPr>
                <w:rFonts w:ascii="Calibri" w:hAnsi="Calibri" w:cs="Calibri"/>
                <w:b/>
                <w:sz w:val="20"/>
              </w:rPr>
              <w:t>423346</w:t>
            </w:r>
          </w:p>
        </w:tc>
        <w:tc>
          <w:tcPr>
            <w:tcW w:w="753" w:type="dxa"/>
            <w:tcBorders>
              <w:top w:val="single" w:sz="2" w:space="0" w:color="6D2A78"/>
              <w:left w:val="single" w:sz="2" w:space="0" w:color="6D2A78"/>
              <w:bottom w:val="single" w:sz="2" w:space="0" w:color="6D2A78"/>
              <w:right w:val="single" w:sz="2" w:space="0" w:color="6D2A78"/>
            </w:tcBorders>
            <w:vAlign w:val="center"/>
          </w:tcPr>
          <w:p w14:paraId="0133634B" w14:textId="77777777" w:rsidR="00833524" w:rsidRPr="00634E4C" w:rsidRDefault="00833524" w:rsidP="00E56269">
            <w:pPr>
              <w:spacing w:line="259" w:lineRule="auto"/>
              <w:ind w:left="57"/>
              <w:jc w:val="center"/>
              <w:rPr>
                <w:rFonts w:ascii="Calibri" w:hAnsi="Calibri"/>
                <w:b/>
                <w:sz w:val="20"/>
              </w:rPr>
            </w:pPr>
            <w:r w:rsidRPr="006E265A">
              <w:rPr>
                <w:rFonts w:ascii="Calibri" w:hAnsi="Calibri" w:cs="Calibri"/>
                <w:b/>
                <w:sz w:val="20"/>
              </w:rPr>
              <w:t>422251</w:t>
            </w:r>
          </w:p>
        </w:tc>
        <w:tc>
          <w:tcPr>
            <w:tcW w:w="751" w:type="dxa"/>
            <w:tcBorders>
              <w:top w:val="single" w:sz="2" w:space="0" w:color="6D2A78"/>
              <w:left w:val="single" w:sz="2" w:space="0" w:color="6D2A78"/>
              <w:bottom w:val="single" w:sz="2" w:space="0" w:color="6D2A78"/>
              <w:right w:val="single" w:sz="2" w:space="0" w:color="6D2A78"/>
            </w:tcBorders>
            <w:vAlign w:val="center"/>
          </w:tcPr>
          <w:p w14:paraId="2B74F609" w14:textId="77777777" w:rsidR="00833524" w:rsidRPr="00364545" w:rsidRDefault="00833524" w:rsidP="00E56269">
            <w:pPr>
              <w:spacing w:line="259" w:lineRule="auto"/>
              <w:ind w:left="57"/>
              <w:jc w:val="center"/>
              <w:rPr>
                <w:b/>
              </w:rPr>
            </w:pPr>
            <w:r w:rsidRPr="00364545">
              <w:rPr>
                <w:rFonts w:ascii="Calibri" w:hAnsi="Calibri"/>
                <w:b/>
                <w:color w:val="000000"/>
                <w:sz w:val="20"/>
              </w:rPr>
              <w:t>395383</w:t>
            </w:r>
          </w:p>
        </w:tc>
        <w:tc>
          <w:tcPr>
            <w:tcW w:w="751" w:type="dxa"/>
            <w:tcBorders>
              <w:top w:val="single" w:sz="2" w:space="0" w:color="6D2A78"/>
              <w:left w:val="single" w:sz="2" w:space="0" w:color="6D2A78"/>
              <w:bottom w:val="single" w:sz="2" w:space="0" w:color="6D2A78"/>
              <w:right w:val="single" w:sz="2" w:space="0" w:color="6D2A78"/>
            </w:tcBorders>
            <w:vAlign w:val="center"/>
          </w:tcPr>
          <w:p w14:paraId="410F7D2E" w14:textId="77777777" w:rsidR="00833524" w:rsidRPr="00364545" w:rsidRDefault="00833524" w:rsidP="00E56269">
            <w:pPr>
              <w:spacing w:line="259" w:lineRule="auto"/>
              <w:ind w:left="58"/>
              <w:jc w:val="center"/>
              <w:rPr>
                <w:b/>
              </w:rPr>
            </w:pPr>
            <w:r w:rsidRPr="00364545">
              <w:rPr>
                <w:rFonts w:ascii="Calibri" w:hAnsi="Calibri"/>
                <w:b/>
                <w:color w:val="000000"/>
                <w:sz w:val="20"/>
              </w:rPr>
              <w:t>329989</w:t>
            </w:r>
          </w:p>
        </w:tc>
        <w:tc>
          <w:tcPr>
            <w:tcW w:w="751" w:type="dxa"/>
            <w:tcBorders>
              <w:top w:val="single" w:sz="2" w:space="0" w:color="6D2A78"/>
              <w:left w:val="single" w:sz="2" w:space="0" w:color="6D2A78"/>
              <w:bottom w:val="single" w:sz="2" w:space="0" w:color="6D2A78"/>
              <w:right w:val="single" w:sz="2" w:space="0" w:color="6D2A78"/>
            </w:tcBorders>
            <w:vAlign w:val="center"/>
          </w:tcPr>
          <w:p w14:paraId="0A421EC0" w14:textId="77777777" w:rsidR="00833524" w:rsidRPr="00364545" w:rsidRDefault="00833524" w:rsidP="00E56269">
            <w:pPr>
              <w:spacing w:line="259" w:lineRule="auto"/>
              <w:ind w:left="58"/>
              <w:jc w:val="center"/>
              <w:rPr>
                <w:b/>
              </w:rPr>
            </w:pPr>
            <w:r w:rsidRPr="00364545">
              <w:rPr>
                <w:rFonts w:ascii="Calibri" w:hAnsi="Calibri"/>
                <w:b/>
                <w:color w:val="000000"/>
                <w:sz w:val="20"/>
              </w:rPr>
              <w:t>266934</w:t>
            </w:r>
          </w:p>
        </w:tc>
        <w:tc>
          <w:tcPr>
            <w:tcW w:w="751" w:type="dxa"/>
            <w:tcBorders>
              <w:top w:val="single" w:sz="2" w:space="0" w:color="6D2A78"/>
              <w:left w:val="single" w:sz="2" w:space="0" w:color="6D2A78"/>
              <w:bottom w:val="single" w:sz="2" w:space="0" w:color="6D2A78"/>
              <w:right w:val="single" w:sz="2" w:space="0" w:color="6D2A78"/>
            </w:tcBorders>
            <w:vAlign w:val="center"/>
          </w:tcPr>
          <w:p w14:paraId="25A25D0E" w14:textId="77777777" w:rsidR="00833524" w:rsidRPr="00364545" w:rsidRDefault="00833524" w:rsidP="00E56269">
            <w:pPr>
              <w:keepNext/>
              <w:spacing w:line="259" w:lineRule="auto"/>
              <w:ind w:left="63"/>
              <w:jc w:val="center"/>
              <w:rPr>
                <w:b/>
              </w:rPr>
            </w:pPr>
            <w:r w:rsidRPr="00364545">
              <w:rPr>
                <w:rFonts w:ascii="Calibri" w:hAnsi="Calibri"/>
                <w:b/>
                <w:color w:val="000000"/>
                <w:sz w:val="20"/>
              </w:rPr>
              <w:t>202492</w:t>
            </w:r>
          </w:p>
        </w:tc>
        <w:tc>
          <w:tcPr>
            <w:tcW w:w="751" w:type="dxa"/>
            <w:tcBorders>
              <w:top w:val="single" w:sz="2" w:space="0" w:color="6D2A78"/>
              <w:left w:val="single" w:sz="2" w:space="0" w:color="6D2A78"/>
              <w:bottom w:val="single" w:sz="2" w:space="0" w:color="6D2A78"/>
              <w:right w:val="single" w:sz="2" w:space="0" w:color="6D2A78"/>
            </w:tcBorders>
            <w:vAlign w:val="center"/>
          </w:tcPr>
          <w:p w14:paraId="60D8A97E" w14:textId="77777777" w:rsidR="00833524" w:rsidRPr="00364545" w:rsidRDefault="00833524" w:rsidP="00E56269">
            <w:pPr>
              <w:keepNext/>
              <w:spacing w:line="259" w:lineRule="auto"/>
              <w:ind w:left="63"/>
              <w:jc w:val="center"/>
              <w:rPr>
                <w:b/>
                <w:sz w:val="18"/>
              </w:rPr>
            </w:pPr>
            <w:r w:rsidRPr="00364545">
              <w:rPr>
                <w:rFonts w:ascii="Calibri" w:hAnsi="Calibri"/>
                <w:b/>
                <w:color w:val="000000"/>
                <w:sz w:val="20"/>
              </w:rPr>
              <w:t>-2597</w:t>
            </w:r>
          </w:p>
        </w:tc>
      </w:tr>
    </w:tbl>
    <w:p w14:paraId="15FFF84A" w14:textId="39FD75C1" w:rsidR="001021CB" w:rsidRPr="00364545" w:rsidRDefault="001021CB" w:rsidP="001021CB">
      <w:pPr>
        <w:pStyle w:val="Standard"/>
        <w:jc w:val="both"/>
        <w:rPr>
          <w:rFonts w:asciiTheme="minorHAnsi" w:hAnsiTheme="minorHAnsi"/>
          <w:sz w:val="21"/>
          <w:szCs w:val="21"/>
        </w:rPr>
      </w:pPr>
    </w:p>
    <w:p w14:paraId="3CBE87DD" w14:textId="22323049" w:rsidR="00833524" w:rsidRPr="00364545" w:rsidRDefault="00833524" w:rsidP="00833524">
      <w:pPr>
        <w:pStyle w:val="Caption"/>
      </w:pPr>
      <w:bookmarkStart w:id="506" w:name="_Toc123916504"/>
      <w:r w:rsidRPr="00364545">
        <w:t xml:space="preserve">Table </w:t>
      </w:r>
      <w:fldSimple w:instr=" SEQ Tableau \* ARABIC ">
        <w:r w:rsidR="009A2FAA">
          <w:rPr>
            <w:noProof/>
          </w:rPr>
          <w:t>12</w:t>
        </w:r>
      </w:fldSimple>
      <w:r w:rsidRPr="00364545">
        <w:t>: GHG emission projections (in ktCO</w:t>
      </w:r>
      <w:r w:rsidRPr="00364545">
        <w:rPr>
          <w:vertAlign w:val="subscript"/>
        </w:rPr>
        <w:t>2e</w:t>
      </w:r>
      <w:r w:rsidRPr="00364545">
        <w:t>) at the Kyoto scope in the AMS 2018 scenario (with additional measures)</w:t>
      </w:r>
    </w:p>
    <w:p w14:paraId="746EF689" w14:textId="3986A8E8" w:rsidR="00833524" w:rsidRDefault="00833524" w:rsidP="00833524">
      <w:pPr>
        <w:pStyle w:val="Caption"/>
      </w:pPr>
      <w:r w:rsidRPr="00364545">
        <w:t>Source: UN</w:t>
      </w:r>
      <w:r>
        <w:t>FCCC inventory, Citepa/MTE, 2022</w:t>
      </w:r>
      <w:r w:rsidRPr="00364545">
        <w:t xml:space="preserve"> submission and MTE emission projections, 2018</w:t>
      </w:r>
    </w:p>
    <w:p w14:paraId="17E4E283" w14:textId="58A7F083" w:rsidR="001021CB" w:rsidRPr="00364545" w:rsidRDefault="00833524" w:rsidP="000D1437">
      <w:pPr>
        <w:jc w:val="center"/>
      </w:pPr>
      <w:r>
        <w:rPr>
          <w:noProof/>
          <w:lang w:val="fr-FR"/>
        </w:rPr>
        <w:drawing>
          <wp:inline distT="0" distB="0" distL="0" distR="0" wp14:anchorId="1D1B99C2" wp14:editId="46E67B2C">
            <wp:extent cx="4587240" cy="2656115"/>
            <wp:effectExtent l="0" t="0" r="3810" b="11430"/>
            <wp:docPr id="28706" name="Graphique 287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bookmarkEnd w:id="506"/>
    </w:p>
    <w:p w14:paraId="28EC3023" w14:textId="432C499C" w:rsidR="00631506" w:rsidRPr="00364545" w:rsidRDefault="00631506" w:rsidP="0045532B">
      <w:pPr>
        <w:pStyle w:val="Caption"/>
      </w:pPr>
      <w:bookmarkStart w:id="507" w:name="_Toc123916463"/>
      <w:r w:rsidRPr="00364545">
        <w:t xml:space="preserve">Figure </w:t>
      </w:r>
      <w:r w:rsidR="003714FB">
        <w:fldChar w:fldCharType="begin"/>
      </w:r>
      <w:r w:rsidR="003714FB">
        <w:instrText xml:space="preserve"> SEQ Figure \* ARABIC </w:instrText>
      </w:r>
      <w:r w:rsidR="003714FB">
        <w:fldChar w:fldCharType="separate"/>
      </w:r>
      <w:r w:rsidR="009A2FAA">
        <w:rPr>
          <w:noProof/>
        </w:rPr>
        <w:t>52</w:t>
      </w:r>
      <w:r w:rsidR="003714FB">
        <w:rPr>
          <w:noProof/>
        </w:rPr>
        <w:fldChar w:fldCharType="end"/>
      </w:r>
      <w:r w:rsidRPr="00364545">
        <w:t>: Emissions trajectory excluding LULUCF to 2050</w:t>
      </w:r>
      <w:bookmarkEnd w:id="507"/>
    </w:p>
    <w:p w14:paraId="1ED906E4" w14:textId="4EF505CC" w:rsidR="001021CB" w:rsidRPr="00364545" w:rsidRDefault="001021CB" w:rsidP="0045532B">
      <w:pPr>
        <w:pStyle w:val="Caption"/>
      </w:pPr>
      <w:r w:rsidRPr="00364545">
        <w:t>Source: DGEC (French Directorate-General for Energy and Climate)</w:t>
      </w:r>
    </w:p>
    <w:p w14:paraId="4AD2F734" w14:textId="1C0B0F7F" w:rsidR="00833524" w:rsidRDefault="00833524" w:rsidP="000D1437">
      <w:pPr>
        <w:pStyle w:val="Caption"/>
        <w:jc w:val="center"/>
      </w:pPr>
      <w:bookmarkStart w:id="508" w:name="_Toc123916464"/>
      <w:r w:rsidRPr="00364545">
        <w:rPr>
          <w:noProof/>
          <w:lang w:val="fr-FR"/>
        </w:rPr>
        <w:drawing>
          <wp:inline distT="0" distB="0" distL="0" distR="0" wp14:anchorId="6F5E4889" wp14:editId="0F11A1F7">
            <wp:extent cx="4572000" cy="2743200"/>
            <wp:effectExtent l="0" t="0" r="0" b="0"/>
            <wp:docPr id="55" name="Graphique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E549507" w14:textId="07088D12" w:rsidR="00631506" w:rsidRPr="00364545" w:rsidRDefault="00631506" w:rsidP="0045532B">
      <w:pPr>
        <w:pStyle w:val="Caption"/>
      </w:pPr>
      <w:r w:rsidRPr="00364545">
        <w:t xml:space="preserve">Figure </w:t>
      </w:r>
      <w:r w:rsidR="003714FB">
        <w:fldChar w:fldCharType="begin"/>
      </w:r>
      <w:r w:rsidR="003714FB">
        <w:instrText xml:space="preserve"> SEQ Figure \* ARABIC </w:instrText>
      </w:r>
      <w:r w:rsidR="003714FB">
        <w:fldChar w:fldCharType="separate"/>
      </w:r>
      <w:r w:rsidR="009A2FAA">
        <w:rPr>
          <w:noProof/>
        </w:rPr>
        <w:t>53</w:t>
      </w:r>
      <w:r w:rsidR="003714FB">
        <w:rPr>
          <w:noProof/>
        </w:rPr>
        <w:fldChar w:fldCharType="end"/>
      </w:r>
      <w:r w:rsidRPr="00364545">
        <w:t>: Emissions trajectory with LULUCF up to 2050</w:t>
      </w:r>
      <w:bookmarkEnd w:id="508"/>
    </w:p>
    <w:p w14:paraId="590D638A" w14:textId="4A969811" w:rsidR="001021CB" w:rsidRPr="00364545" w:rsidRDefault="001021CB" w:rsidP="0045532B">
      <w:pPr>
        <w:pStyle w:val="Caption"/>
      </w:pPr>
      <w:r w:rsidRPr="00364545">
        <w:t>Source: DGEC (French Directorate-General for Energy and Climate)</w:t>
      </w:r>
    </w:p>
    <w:p w14:paraId="01F314A1" w14:textId="05618A2F" w:rsidR="001021CB" w:rsidRPr="00364545" w:rsidRDefault="001021CB" w:rsidP="003F57EA">
      <w:pPr>
        <w:pStyle w:val="Titre2Niveau2"/>
        <w:numPr>
          <w:ilvl w:val="0"/>
          <w:numId w:val="78"/>
        </w:numPr>
      </w:pPr>
      <w:bookmarkStart w:id="509" w:name="_Toc121215529"/>
      <w:bookmarkStart w:id="510" w:name="_Toc121215530"/>
      <w:bookmarkStart w:id="511" w:name="_Toc138341843"/>
      <w:bookmarkEnd w:id="509"/>
      <w:r w:rsidRPr="00364545">
        <w:t>Cover and presentation</w:t>
      </w:r>
      <w:bookmarkStart w:id="512" w:name="_Toc121215531"/>
      <w:bookmarkStart w:id="513" w:name="_Toc121431032"/>
      <w:bookmarkStart w:id="514" w:name="_Toc121431369"/>
      <w:bookmarkStart w:id="515" w:name="_Toc121431530"/>
      <w:bookmarkStart w:id="516" w:name="_Toc121431692"/>
      <w:bookmarkStart w:id="517" w:name="_Toc121431855"/>
      <w:bookmarkStart w:id="518" w:name="_Toc121432017"/>
      <w:bookmarkStart w:id="519" w:name="_Toc121215532"/>
      <w:bookmarkStart w:id="520" w:name="_Toc121431033"/>
      <w:bookmarkStart w:id="521" w:name="_Toc121431370"/>
      <w:bookmarkStart w:id="522" w:name="_Toc121431531"/>
      <w:bookmarkStart w:id="523" w:name="_Toc121431693"/>
      <w:bookmarkStart w:id="524" w:name="_Toc121431856"/>
      <w:bookmarkStart w:id="525" w:name="_Toc121432018"/>
      <w:bookmarkEnd w:id="510"/>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11"/>
    </w:p>
    <w:p w14:paraId="656B0874" w14:textId="77777777" w:rsidR="001021CB" w:rsidRPr="00364545" w:rsidRDefault="001021CB" w:rsidP="003F57EA">
      <w:pPr>
        <w:pStyle w:val="Titre3Niveau3"/>
        <w:numPr>
          <w:ilvl w:val="1"/>
          <w:numId w:val="78"/>
        </w:numPr>
      </w:pPr>
      <w:bookmarkStart w:id="526" w:name="_Toc121215533"/>
      <w:bookmarkStart w:id="527" w:name="_Toc138341844"/>
      <w:r w:rsidRPr="00364545">
        <w:t>Trends by sector of activity</w:t>
      </w:r>
      <w:bookmarkEnd w:id="526"/>
      <w:bookmarkEnd w:id="527"/>
    </w:p>
    <w:p w14:paraId="00DCF282" w14:textId="0CB43205" w:rsidR="00821C9C" w:rsidRPr="00364545" w:rsidRDefault="00314F8F" w:rsidP="0045532B">
      <w:pPr>
        <w:rPr>
          <w:szCs w:val="21"/>
        </w:rPr>
      </w:pPr>
      <w:r w:rsidRPr="00364545">
        <w:t>The tables and graphs below present the breakdown of France’s emissions projections by sector of activity for 2020 and 2030, firstly by major sector of activity, and then by sub-detailing the energy sector. The results are presented using the CRF categories defined in the IPCC guidelines for national GHG inventories.</w:t>
      </w:r>
    </w:p>
    <w:p w14:paraId="295049C0" w14:textId="2307E4B0" w:rsidR="001021CB" w:rsidRPr="00364545" w:rsidRDefault="001021CB" w:rsidP="003F57EA">
      <w:pPr>
        <w:pStyle w:val="Titre4niveau4"/>
        <w:numPr>
          <w:ilvl w:val="2"/>
          <w:numId w:val="78"/>
        </w:numPr>
      </w:pPr>
      <w:r w:rsidRPr="00364545">
        <w:t xml:space="preserve">Presentation by macro-sector (energy, agriculture, industrial processes and waste treatment) </w:t>
      </w:r>
    </w:p>
    <w:p w14:paraId="082A1768" w14:textId="77777777" w:rsidR="001021CB" w:rsidRPr="00364545" w:rsidRDefault="001021CB" w:rsidP="001021CB"/>
    <w:p w14:paraId="604D62C1" w14:textId="77777777" w:rsidR="00833524" w:rsidRPr="00364545" w:rsidRDefault="00833524" w:rsidP="00833524">
      <w:pPr>
        <w:pStyle w:val="titreencadre"/>
        <w:numPr>
          <w:ilvl w:val="3"/>
          <w:numId w:val="78"/>
        </w:numPr>
      </w:pPr>
      <w:r w:rsidRPr="00364545">
        <w:t>AME 2021</w:t>
      </w:r>
    </w:p>
    <w:tbl>
      <w:tblPr>
        <w:tblStyle w:val="TableGrid0"/>
        <w:tblW w:w="10709" w:type="dxa"/>
        <w:tblInd w:w="10" w:type="dxa"/>
        <w:tblLayout w:type="fixed"/>
        <w:tblCellMar>
          <w:top w:w="40" w:type="dxa"/>
          <w:left w:w="28" w:type="dxa"/>
          <w:right w:w="3" w:type="dxa"/>
        </w:tblCellMar>
        <w:tblLook w:val="04A0" w:firstRow="1" w:lastRow="0" w:firstColumn="1" w:lastColumn="0" w:noHBand="0" w:noVBand="1"/>
      </w:tblPr>
      <w:tblGrid>
        <w:gridCol w:w="1405"/>
        <w:gridCol w:w="775"/>
        <w:gridCol w:w="775"/>
        <w:gridCol w:w="775"/>
        <w:gridCol w:w="776"/>
        <w:gridCol w:w="775"/>
        <w:gridCol w:w="775"/>
        <w:gridCol w:w="776"/>
        <w:gridCol w:w="775"/>
        <w:gridCol w:w="775"/>
        <w:gridCol w:w="776"/>
        <w:gridCol w:w="775"/>
        <w:gridCol w:w="776"/>
      </w:tblGrid>
      <w:tr w:rsidR="00833524" w:rsidRPr="00364545" w14:paraId="7CCAABDA" w14:textId="77777777" w:rsidTr="00E56269">
        <w:trPr>
          <w:trHeight w:val="400"/>
        </w:trPr>
        <w:tc>
          <w:tcPr>
            <w:tcW w:w="1405" w:type="dxa"/>
            <w:tcBorders>
              <w:top w:val="single" w:sz="2" w:space="0" w:color="000000"/>
              <w:left w:val="single" w:sz="2" w:space="0" w:color="000000"/>
              <w:bottom w:val="single" w:sz="2" w:space="0" w:color="000000"/>
              <w:right w:val="single" w:sz="2" w:space="0" w:color="000000"/>
            </w:tcBorders>
            <w:shd w:val="clear" w:color="auto" w:fill="6D2A78"/>
          </w:tcPr>
          <w:p w14:paraId="13D26906" w14:textId="77777777" w:rsidR="00833524" w:rsidRPr="00364545" w:rsidRDefault="00833524" w:rsidP="00E56269">
            <w:pPr>
              <w:spacing w:line="259" w:lineRule="auto"/>
              <w:rPr>
                <w:b/>
              </w:rPr>
            </w:pPr>
            <w:r w:rsidRPr="00364545">
              <w:rPr>
                <w:b/>
                <w:color w:val="FFFFFF" w:themeColor="background1"/>
              </w:rPr>
              <w:t>AME 21</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0A13B5AB" w14:textId="77777777" w:rsidR="00833524" w:rsidRPr="00364545" w:rsidRDefault="00833524" w:rsidP="00E56269">
            <w:pPr>
              <w:spacing w:line="259" w:lineRule="auto"/>
              <w:ind w:right="28"/>
              <w:jc w:val="center"/>
            </w:pPr>
            <w:r w:rsidRPr="00364545">
              <w:rPr>
                <w:b/>
                <w:color w:val="FFFFFF"/>
                <w:sz w:val="18"/>
              </w:rPr>
              <w:t xml:space="preserve">1990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312D1439" w14:textId="77777777" w:rsidR="00833524" w:rsidRPr="00364545" w:rsidRDefault="00833524" w:rsidP="00E56269">
            <w:pPr>
              <w:spacing w:line="259" w:lineRule="auto"/>
              <w:ind w:right="26"/>
              <w:jc w:val="center"/>
              <w:rPr>
                <w:b/>
                <w:color w:val="FFFFFF"/>
                <w:sz w:val="18"/>
              </w:rPr>
            </w:pPr>
            <w:r w:rsidRPr="00364545">
              <w:rPr>
                <w:b/>
                <w:color w:val="FFFFFF"/>
                <w:sz w:val="18"/>
              </w:rPr>
              <w:t>1995</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296DA3E7" w14:textId="77777777" w:rsidR="00833524" w:rsidRPr="00364545" w:rsidRDefault="00833524" w:rsidP="00E56269">
            <w:pPr>
              <w:spacing w:line="259" w:lineRule="auto"/>
              <w:ind w:right="26"/>
              <w:jc w:val="center"/>
            </w:pPr>
            <w:r w:rsidRPr="00364545">
              <w:rPr>
                <w:b/>
                <w:color w:val="FFFFFF"/>
                <w:sz w:val="18"/>
              </w:rPr>
              <w:t xml:space="preserve">2000 </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6E359C8C" w14:textId="77777777" w:rsidR="00833524" w:rsidRPr="00364545" w:rsidRDefault="00833524" w:rsidP="00E56269">
            <w:pPr>
              <w:spacing w:line="259" w:lineRule="auto"/>
              <w:ind w:right="28"/>
              <w:jc w:val="center"/>
            </w:pPr>
            <w:r w:rsidRPr="00364545">
              <w:rPr>
                <w:b/>
                <w:color w:val="FFFFFF"/>
                <w:sz w:val="18"/>
              </w:rPr>
              <w:t xml:space="preserve">2005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19C39994" w14:textId="77777777" w:rsidR="00833524" w:rsidRPr="00364545" w:rsidRDefault="00833524" w:rsidP="00E56269">
            <w:pPr>
              <w:spacing w:line="259" w:lineRule="auto"/>
              <w:ind w:right="26"/>
              <w:jc w:val="center"/>
            </w:pPr>
            <w:r w:rsidRPr="00364545">
              <w:rPr>
                <w:b/>
                <w:color w:val="FFFFFF"/>
                <w:sz w:val="18"/>
              </w:rPr>
              <w:t xml:space="preserve">2010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7FE779D6" w14:textId="77777777" w:rsidR="00833524" w:rsidRPr="00364545" w:rsidRDefault="00833524" w:rsidP="00E56269">
            <w:pPr>
              <w:spacing w:line="259" w:lineRule="auto"/>
              <w:ind w:right="28"/>
              <w:jc w:val="center"/>
            </w:pPr>
            <w:r w:rsidRPr="00364545">
              <w:rPr>
                <w:b/>
                <w:color w:val="FFFFFF"/>
                <w:sz w:val="18"/>
              </w:rPr>
              <w:t xml:space="preserve">2015 </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6E39F3FC" w14:textId="77777777" w:rsidR="00833524" w:rsidRPr="00364545" w:rsidRDefault="00833524" w:rsidP="00E56269">
            <w:pPr>
              <w:spacing w:line="259" w:lineRule="auto"/>
              <w:ind w:right="26"/>
              <w:jc w:val="center"/>
            </w:pPr>
            <w:r w:rsidRPr="00364545">
              <w:t>2019</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40520475" w14:textId="77777777" w:rsidR="00833524" w:rsidRPr="00364545" w:rsidRDefault="00833524" w:rsidP="00E56269">
            <w:pPr>
              <w:spacing w:line="259" w:lineRule="auto"/>
              <w:ind w:right="28"/>
              <w:jc w:val="center"/>
            </w:pPr>
            <w:r w:rsidRPr="00364545">
              <w:rPr>
                <w:b/>
                <w:color w:val="FFFFFF"/>
                <w:sz w:val="18"/>
              </w:rPr>
              <w:t xml:space="preserve">2020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2581C45D" w14:textId="77777777" w:rsidR="00833524" w:rsidRPr="00364545" w:rsidRDefault="00833524" w:rsidP="00E56269">
            <w:pPr>
              <w:spacing w:line="259" w:lineRule="auto"/>
              <w:ind w:right="26"/>
              <w:jc w:val="center"/>
            </w:pPr>
            <w:r w:rsidRPr="00364545">
              <w:rPr>
                <w:b/>
                <w:color w:val="FFFFFF"/>
                <w:sz w:val="18"/>
              </w:rPr>
              <w:t>2025</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7E56DEAD" w14:textId="77777777" w:rsidR="00833524" w:rsidRPr="00364545" w:rsidRDefault="00833524" w:rsidP="00E56269">
            <w:pPr>
              <w:spacing w:line="259" w:lineRule="auto"/>
              <w:ind w:right="27"/>
              <w:jc w:val="center"/>
            </w:pPr>
            <w:r w:rsidRPr="00364545">
              <w:rPr>
                <w:b/>
                <w:color w:val="FFFFFF"/>
                <w:sz w:val="18"/>
              </w:rPr>
              <w:t xml:space="preserve">2030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65A98A35" w14:textId="77777777" w:rsidR="00833524" w:rsidRPr="00364545" w:rsidRDefault="00833524" w:rsidP="00E56269">
            <w:pPr>
              <w:spacing w:line="259" w:lineRule="auto"/>
              <w:ind w:right="27"/>
              <w:jc w:val="center"/>
              <w:rPr>
                <w:b/>
                <w:color w:val="FFFFFF"/>
                <w:sz w:val="18"/>
              </w:rPr>
            </w:pPr>
            <w:r w:rsidRPr="00364545">
              <w:rPr>
                <w:b/>
                <w:color w:val="FFFFFF"/>
                <w:sz w:val="18"/>
              </w:rPr>
              <w:t>2035</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3427FABB" w14:textId="77777777" w:rsidR="00833524" w:rsidRPr="00364545" w:rsidRDefault="00833524" w:rsidP="00E56269">
            <w:pPr>
              <w:spacing w:line="259" w:lineRule="auto"/>
              <w:ind w:right="27"/>
              <w:jc w:val="center"/>
              <w:rPr>
                <w:b/>
                <w:color w:val="FFFFFF"/>
                <w:sz w:val="18"/>
              </w:rPr>
            </w:pPr>
            <w:r w:rsidRPr="00364545">
              <w:rPr>
                <w:b/>
                <w:color w:val="FFFFFF"/>
                <w:sz w:val="18"/>
              </w:rPr>
              <w:t>2050</w:t>
            </w:r>
          </w:p>
        </w:tc>
      </w:tr>
      <w:tr w:rsidR="00833524" w:rsidRPr="00364545" w14:paraId="1DBA0F3D" w14:textId="77777777" w:rsidTr="00E56269">
        <w:trPr>
          <w:trHeight w:val="347"/>
        </w:trPr>
        <w:tc>
          <w:tcPr>
            <w:tcW w:w="1405" w:type="dxa"/>
            <w:tcBorders>
              <w:top w:val="single" w:sz="2" w:space="0" w:color="000000"/>
              <w:left w:val="single" w:sz="2" w:space="0" w:color="000000"/>
              <w:bottom w:val="single" w:sz="2" w:space="0" w:color="000000"/>
              <w:right w:val="single" w:sz="2" w:space="0" w:color="000000"/>
            </w:tcBorders>
          </w:tcPr>
          <w:p w14:paraId="062FB4D2" w14:textId="77777777" w:rsidR="00833524" w:rsidRPr="00364545" w:rsidRDefault="00833524" w:rsidP="00E56269">
            <w:pPr>
              <w:spacing w:line="259" w:lineRule="auto"/>
            </w:pPr>
            <w:r w:rsidRPr="00364545">
              <w:rPr>
                <w:sz w:val="18"/>
              </w:rPr>
              <w:t xml:space="preserve"> </w:t>
            </w:r>
          </w:p>
        </w:tc>
        <w:tc>
          <w:tcPr>
            <w:tcW w:w="5427" w:type="dxa"/>
            <w:gridSpan w:val="7"/>
            <w:tcBorders>
              <w:top w:val="single" w:sz="2" w:space="0" w:color="000000"/>
              <w:left w:val="single" w:sz="2" w:space="0" w:color="000000"/>
              <w:bottom w:val="single" w:sz="2" w:space="0" w:color="000000"/>
              <w:right w:val="single" w:sz="2" w:space="0" w:color="000000"/>
            </w:tcBorders>
          </w:tcPr>
          <w:p w14:paraId="6F38A20B" w14:textId="77777777" w:rsidR="00833524" w:rsidRPr="00364545" w:rsidRDefault="00833524" w:rsidP="00E56269">
            <w:pPr>
              <w:spacing w:line="259" w:lineRule="auto"/>
              <w:ind w:left="76"/>
              <w:jc w:val="center"/>
            </w:pPr>
            <w:r w:rsidRPr="00364545">
              <w:rPr>
                <w:b/>
                <w:color w:val="6D2A78"/>
                <w:sz w:val="18"/>
              </w:rPr>
              <w:t>Observed</w:t>
            </w:r>
          </w:p>
        </w:tc>
        <w:tc>
          <w:tcPr>
            <w:tcW w:w="3877" w:type="dxa"/>
            <w:gridSpan w:val="5"/>
            <w:tcBorders>
              <w:top w:val="single" w:sz="2" w:space="0" w:color="000000"/>
              <w:left w:val="single" w:sz="2" w:space="0" w:color="000000"/>
              <w:bottom w:val="single" w:sz="2" w:space="0" w:color="000000"/>
              <w:right w:val="single" w:sz="2" w:space="0" w:color="000000"/>
            </w:tcBorders>
          </w:tcPr>
          <w:p w14:paraId="6AAD8451" w14:textId="77777777" w:rsidR="00833524" w:rsidRPr="00364545" w:rsidRDefault="00833524" w:rsidP="00E56269">
            <w:pPr>
              <w:spacing w:line="259" w:lineRule="auto"/>
              <w:ind w:left="75"/>
              <w:jc w:val="center"/>
              <w:rPr>
                <w:b/>
                <w:color w:val="6D2A78"/>
                <w:sz w:val="18"/>
              </w:rPr>
            </w:pPr>
            <w:r w:rsidRPr="00364545">
              <w:rPr>
                <w:b/>
                <w:color w:val="6D2A78"/>
                <w:sz w:val="18"/>
              </w:rPr>
              <w:t>Projected</w:t>
            </w:r>
          </w:p>
        </w:tc>
      </w:tr>
      <w:tr w:rsidR="00833524" w:rsidRPr="00364545" w14:paraId="08ED1AF6" w14:textId="77777777" w:rsidTr="00E56269">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05E75BA6" w14:textId="77777777" w:rsidR="00833524" w:rsidRPr="00364545" w:rsidRDefault="00833524" w:rsidP="00E56269">
            <w:pPr>
              <w:spacing w:line="259" w:lineRule="auto"/>
              <w:jc w:val="left"/>
            </w:pPr>
            <w:r w:rsidRPr="00364545">
              <w:rPr>
                <w:sz w:val="18"/>
              </w:rPr>
              <w:t xml:space="preserve">Energy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7B3A388" w14:textId="77777777" w:rsidR="00833524" w:rsidRPr="00364545" w:rsidRDefault="00833524" w:rsidP="00E56269">
            <w:pPr>
              <w:spacing w:line="259" w:lineRule="auto"/>
              <w:jc w:val="center"/>
            </w:pPr>
            <w:r>
              <w:rPr>
                <w:sz w:val="18"/>
                <w:szCs w:val="18"/>
              </w:rPr>
              <w:t>367272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1956308" w14:textId="77777777" w:rsidR="00833524" w:rsidRPr="00364545" w:rsidRDefault="00833524" w:rsidP="00E56269">
            <w:pPr>
              <w:spacing w:line="259" w:lineRule="auto"/>
              <w:ind w:left="56"/>
              <w:jc w:val="center"/>
              <w:rPr>
                <w:sz w:val="18"/>
                <w:szCs w:val="18"/>
              </w:rPr>
            </w:pPr>
            <w:r>
              <w:rPr>
                <w:sz w:val="18"/>
                <w:szCs w:val="18"/>
              </w:rPr>
              <w:t>366079</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B0526D0" w14:textId="77777777" w:rsidR="00833524" w:rsidRPr="00364545" w:rsidRDefault="00833524" w:rsidP="00E56269">
            <w:pPr>
              <w:spacing w:line="259" w:lineRule="auto"/>
              <w:ind w:left="56"/>
              <w:jc w:val="center"/>
            </w:pPr>
            <w:r>
              <w:rPr>
                <w:sz w:val="18"/>
                <w:szCs w:val="18"/>
              </w:rPr>
              <w:t>381989</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FAECB89" w14:textId="77777777" w:rsidR="00833524" w:rsidRPr="00364545" w:rsidRDefault="00833524" w:rsidP="00E56269">
            <w:pPr>
              <w:spacing w:line="259" w:lineRule="auto"/>
              <w:ind w:left="55"/>
              <w:jc w:val="center"/>
            </w:pPr>
            <w:r>
              <w:rPr>
                <w:sz w:val="18"/>
                <w:szCs w:val="18"/>
              </w:rPr>
              <w:t>390391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FC315AA" w14:textId="77777777" w:rsidR="00833524" w:rsidRPr="00364545" w:rsidRDefault="00833524" w:rsidP="00E56269">
            <w:pPr>
              <w:spacing w:line="259" w:lineRule="auto"/>
              <w:ind w:left="56"/>
              <w:jc w:val="center"/>
            </w:pPr>
            <w:r>
              <w:rPr>
                <w:sz w:val="18"/>
                <w:szCs w:val="18"/>
              </w:rPr>
              <w:t>357711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A232539" w14:textId="77777777" w:rsidR="00833524" w:rsidRPr="00364545" w:rsidRDefault="00833524" w:rsidP="00E56269">
            <w:pPr>
              <w:spacing w:line="259" w:lineRule="auto"/>
              <w:ind w:left="55"/>
              <w:jc w:val="center"/>
            </w:pPr>
            <w:r>
              <w:rPr>
                <w:sz w:val="18"/>
                <w:szCs w:val="18"/>
              </w:rPr>
              <w:t>313634</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3157EF53" w14:textId="77777777" w:rsidR="00833524" w:rsidRPr="00364545" w:rsidRDefault="00833524" w:rsidP="00E56269">
            <w:pPr>
              <w:spacing w:line="259" w:lineRule="auto"/>
              <w:ind w:left="56"/>
              <w:jc w:val="center"/>
            </w:pPr>
            <w:r>
              <w:rPr>
                <w:sz w:val="18"/>
                <w:szCs w:val="18"/>
              </w:rPr>
              <w:t>297313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85011F" w14:textId="77777777" w:rsidR="00833524" w:rsidRPr="00364545" w:rsidRDefault="00833524" w:rsidP="00E56269">
            <w:pPr>
              <w:spacing w:line="259" w:lineRule="auto"/>
              <w:ind w:left="56"/>
              <w:jc w:val="center"/>
              <w:rPr>
                <w:sz w:val="18"/>
                <w:szCs w:val="18"/>
              </w:rPr>
            </w:pPr>
            <w:r w:rsidRPr="00364545">
              <w:rPr>
                <w:sz w:val="18"/>
              </w:rPr>
              <w:t>264395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88BE0E" w14:textId="77777777" w:rsidR="00833524" w:rsidRPr="00364545" w:rsidRDefault="00833524" w:rsidP="00E56269">
            <w:pPr>
              <w:spacing w:line="259" w:lineRule="auto"/>
              <w:ind w:left="56"/>
              <w:jc w:val="center"/>
              <w:rPr>
                <w:sz w:val="18"/>
                <w:szCs w:val="18"/>
              </w:rPr>
            </w:pPr>
            <w:r w:rsidRPr="00364545">
              <w:rPr>
                <w:sz w:val="18"/>
              </w:rPr>
              <w:t>261598</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EFF6FA" w14:textId="77777777" w:rsidR="00833524" w:rsidRPr="00364545" w:rsidRDefault="00833524" w:rsidP="00E56269">
            <w:pPr>
              <w:spacing w:line="259" w:lineRule="auto"/>
              <w:ind w:left="56"/>
              <w:jc w:val="center"/>
              <w:rPr>
                <w:sz w:val="18"/>
                <w:szCs w:val="18"/>
              </w:rPr>
            </w:pPr>
            <w:r w:rsidRPr="00364545">
              <w:rPr>
                <w:sz w:val="18"/>
              </w:rPr>
              <w:t>240639</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E2B122" w14:textId="77777777" w:rsidR="00833524" w:rsidRPr="00364545" w:rsidRDefault="00833524" w:rsidP="00E56269">
            <w:pPr>
              <w:spacing w:line="259" w:lineRule="auto"/>
              <w:ind w:left="56"/>
              <w:jc w:val="center"/>
              <w:rPr>
                <w:sz w:val="18"/>
                <w:szCs w:val="18"/>
              </w:rPr>
            </w:pPr>
            <w:r w:rsidRPr="00364545">
              <w:rPr>
                <w:sz w:val="18"/>
              </w:rPr>
              <w:t>231245</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B236CD" w14:textId="77777777" w:rsidR="00833524" w:rsidRPr="00364545" w:rsidRDefault="00833524" w:rsidP="00E56269">
            <w:pPr>
              <w:spacing w:line="259" w:lineRule="auto"/>
              <w:ind w:left="56"/>
              <w:jc w:val="center"/>
              <w:rPr>
                <w:sz w:val="18"/>
                <w:szCs w:val="18"/>
              </w:rPr>
            </w:pPr>
            <w:r w:rsidRPr="00364545">
              <w:rPr>
                <w:sz w:val="18"/>
              </w:rPr>
              <w:t>211199</w:t>
            </w:r>
          </w:p>
        </w:tc>
      </w:tr>
      <w:tr w:rsidR="00833524" w:rsidRPr="00364545" w14:paraId="6FE8B43F" w14:textId="77777777" w:rsidTr="00E56269">
        <w:trPr>
          <w:trHeight w:val="419"/>
        </w:trPr>
        <w:tc>
          <w:tcPr>
            <w:tcW w:w="1405" w:type="dxa"/>
            <w:tcBorders>
              <w:top w:val="single" w:sz="2" w:space="0" w:color="000000"/>
              <w:left w:val="single" w:sz="2" w:space="0" w:color="000000"/>
              <w:bottom w:val="single" w:sz="2" w:space="0" w:color="000000"/>
              <w:right w:val="single" w:sz="2" w:space="0" w:color="000000"/>
            </w:tcBorders>
          </w:tcPr>
          <w:p w14:paraId="0B300399" w14:textId="77777777" w:rsidR="00833524" w:rsidRPr="00364545" w:rsidRDefault="00833524" w:rsidP="00E56269">
            <w:pPr>
              <w:spacing w:line="259" w:lineRule="auto"/>
              <w:jc w:val="left"/>
            </w:pPr>
            <w:r w:rsidRPr="00364545">
              <w:rPr>
                <w:sz w:val="18"/>
              </w:rPr>
              <w:t xml:space="preserve">Industrial processes, solvents and other products </w:t>
            </w:r>
          </w:p>
        </w:tc>
        <w:tc>
          <w:tcPr>
            <w:tcW w:w="775" w:type="dxa"/>
            <w:tcBorders>
              <w:top w:val="single" w:sz="2" w:space="0" w:color="000000"/>
              <w:left w:val="single" w:sz="2" w:space="0" w:color="000000"/>
              <w:bottom w:val="single" w:sz="2" w:space="0" w:color="000000"/>
              <w:right w:val="single" w:sz="2" w:space="0" w:color="000000"/>
            </w:tcBorders>
            <w:vAlign w:val="bottom"/>
          </w:tcPr>
          <w:p w14:paraId="4C06A8D9" w14:textId="77777777" w:rsidR="00833524" w:rsidRPr="00364545" w:rsidRDefault="00833524" w:rsidP="00E56269">
            <w:pPr>
              <w:spacing w:line="259" w:lineRule="auto"/>
              <w:ind w:left="106"/>
              <w:jc w:val="center"/>
            </w:pPr>
            <w:r>
              <w:rPr>
                <w:sz w:val="18"/>
                <w:szCs w:val="18"/>
              </w:rPr>
              <w:t>78729</w:t>
            </w:r>
          </w:p>
        </w:tc>
        <w:tc>
          <w:tcPr>
            <w:tcW w:w="775" w:type="dxa"/>
            <w:tcBorders>
              <w:top w:val="single" w:sz="2" w:space="0" w:color="000000"/>
              <w:left w:val="single" w:sz="2" w:space="0" w:color="000000"/>
              <w:bottom w:val="single" w:sz="2" w:space="0" w:color="000000"/>
              <w:right w:val="single" w:sz="2" w:space="0" w:color="000000"/>
            </w:tcBorders>
            <w:vAlign w:val="bottom"/>
          </w:tcPr>
          <w:p w14:paraId="36886360" w14:textId="77777777" w:rsidR="00833524" w:rsidRPr="00364545" w:rsidRDefault="00833524" w:rsidP="00E56269">
            <w:pPr>
              <w:spacing w:line="259" w:lineRule="auto"/>
              <w:ind w:left="56"/>
              <w:jc w:val="center"/>
              <w:rPr>
                <w:sz w:val="18"/>
                <w:szCs w:val="18"/>
              </w:rPr>
            </w:pPr>
            <w:r>
              <w:rPr>
                <w:sz w:val="18"/>
                <w:szCs w:val="18"/>
              </w:rPr>
              <w:t>71997</w:t>
            </w:r>
          </w:p>
        </w:tc>
        <w:tc>
          <w:tcPr>
            <w:tcW w:w="775" w:type="dxa"/>
            <w:tcBorders>
              <w:top w:val="single" w:sz="2" w:space="0" w:color="000000"/>
              <w:left w:val="single" w:sz="2" w:space="0" w:color="000000"/>
              <w:bottom w:val="single" w:sz="2" w:space="0" w:color="000000"/>
              <w:right w:val="single" w:sz="2" w:space="0" w:color="000000"/>
            </w:tcBorders>
            <w:vAlign w:val="bottom"/>
          </w:tcPr>
          <w:p w14:paraId="29592BD9" w14:textId="77777777" w:rsidR="00833524" w:rsidRPr="00364545" w:rsidRDefault="00833524" w:rsidP="00E56269">
            <w:pPr>
              <w:spacing w:line="259" w:lineRule="auto"/>
              <w:ind w:left="107"/>
              <w:jc w:val="center"/>
            </w:pPr>
            <w:r>
              <w:rPr>
                <w:sz w:val="18"/>
                <w:szCs w:val="18"/>
              </w:rPr>
              <w:t>64668</w:t>
            </w:r>
          </w:p>
        </w:tc>
        <w:tc>
          <w:tcPr>
            <w:tcW w:w="776" w:type="dxa"/>
            <w:tcBorders>
              <w:top w:val="single" w:sz="2" w:space="0" w:color="000000"/>
              <w:left w:val="single" w:sz="2" w:space="0" w:color="000000"/>
              <w:bottom w:val="single" w:sz="2" w:space="0" w:color="000000"/>
              <w:right w:val="single" w:sz="2" w:space="0" w:color="000000"/>
            </w:tcBorders>
            <w:vAlign w:val="bottom"/>
          </w:tcPr>
          <w:p w14:paraId="5CF3F2BB" w14:textId="77777777" w:rsidR="00833524" w:rsidRPr="00364545" w:rsidRDefault="00833524" w:rsidP="00E56269">
            <w:pPr>
              <w:spacing w:line="259" w:lineRule="auto"/>
              <w:ind w:left="106"/>
              <w:jc w:val="center"/>
            </w:pPr>
            <w:r>
              <w:rPr>
                <w:sz w:val="18"/>
                <w:szCs w:val="18"/>
              </w:rPr>
              <w:t>63620</w:t>
            </w:r>
          </w:p>
        </w:tc>
        <w:tc>
          <w:tcPr>
            <w:tcW w:w="775" w:type="dxa"/>
            <w:tcBorders>
              <w:top w:val="single" w:sz="2" w:space="0" w:color="000000"/>
              <w:left w:val="single" w:sz="2" w:space="0" w:color="000000"/>
              <w:bottom w:val="single" w:sz="2" w:space="0" w:color="000000"/>
              <w:right w:val="single" w:sz="2" w:space="0" w:color="000000"/>
            </w:tcBorders>
            <w:vAlign w:val="bottom"/>
          </w:tcPr>
          <w:p w14:paraId="15B3D40A" w14:textId="77777777" w:rsidR="00833524" w:rsidRPr="00364545" w:rsidRDefault="00833524" w:rsidP="00E56269">
            <w:pPr>
              <w:spacing w:line="259" w:lineRule="auto"/>
              <w:ind w:left="107"/>
              <w:jc w:val="center"/>
            </w:pPr>
            <w:r>
              <w:rPr>
                <w:sz w:val="18"/>
                <w:szCs w:val="18"/>
              </w:rPr>
              <w:t>53798</w:t>
            </w:r>
          </w:p>
        </w:tc>
        <w:tc>
          <w:tcPr>
            <w:tcW w:w="775" w:type="dxa"/>
            <w:tcBorders>
              <w:top w:val="single" w:sz="2" w:space="0" w:color="000000"/>
              <w:left w:val="single" w:sz="2" w:space="0" w:color="000000"/>
              <w:bottom w:val="single" w:sz="2" w:space="0" w:color="000000"/>
              <w:right w:val="single" w:sz="2" w:space="0" w:color="000000"/>
            </w:tcBorders>
            <w:vAlign w:val="bottom"/>
          </w:tcPr>
          <w:p w14:paraId="2EDA50E3" w14:textId="77777777" w:rsidR="00833524" w:rsidRPr="00364545" w:rsidRDefault="00833524" w:rsidP="00E56269">
            <w:pPr>
              <w:spacing w:line="259" w:lineRule="auto"/>
              <w:ind w:left="105"/>
              <w:jc w:val="center"/>
            </w:pPr>
            <w:r>
              <w:rPr>
                <w:sz w:val="18"/>
                <w:szCs w:val="18"/>
              </w:rPr>
              <w:t>50664</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085DD25C" w14:textId="77777777" w:rsidR="00833524" w:rsidRPr="00364545" w:rsidRDefault="00833524" w:rsidP="00E56269">
            <w:pPr>
              <w:spacing w:line="259" w:lineRule="auto"/>
              <w:ind w:left="107"/>
              <w:jc w:val="center"/>
            </w:pPr>
            <w:r>
              <w:rPr>
                <w:sz w:val="18"/>
                <w:szCs w:val="18"/>
              </w:rPr>
              <w:t>46564</w:t>
            </w:r>
          </w:p>
        </w:tc>
        <w:tc>
          <w:tcPr>
            <w:tcW w:w="775" w:type="dxa"/>
            <w:tcBorders>
              <w:top w:val="single" w:sz="2" w:space="0" w:color="000000"/>
              <w:left w:val="single" w:sz="2" w:space="0" w:color="000000"/>
              <w:bottom w:val="single" w:sz="2" w:space="0" w:color="000000"/>
              <w:right w:val="single" w:sz="2" w:space="0" w:color="000000"/>
            </w:tcBorders>
            <w:vAlign w:val="center"/>
          </w:tcPr>
          <w:p w14:paraId="125BC840" w14:textId="77777777" w:rsidR="00833524" w:rsidRPr="00364545" w:rsidRDefault="00833524" w:rsidP="00E56269">
            <w:pPr>
              <w:spacing w:line="259" w:lineRule="auto"/>
              <w:ind w:left="56"/>
              <w:jc w:val="center"/>
              <w:rPr>
                <w:sz w:val="18"/>
                <w:szCs w:val="18"/>
              </w:rPr>
            </w:pPr>
            <w:r w:rsidRPr="00364545">
              <w:rPr>
                <w:sz w:val="18"/>
              </w:rPr>
              <w:t>43717</w:t>
            </w:r>
          </w:p>
        </w:tc>
        <w:tc>
          <w:tcPr>
            <w:tcW w:w="775" w:type="dxa"/>
            <w:tcBorders>
              <w:top w:val="single" w:sz="2" w:space="0" w:color="000000"/>
              <w:left w:val="single" w:sz="2" w:space="0" w:color="000000"/>
              <w:bottom w:val="single" w:sz="2" w:space="0" w:color="000000"/>
              <w:right w:val="single" w:sz="2" w:space="0" w:color="000000"/>
            </w:tcBorders>
            <w:vAlign w:val="center"/>
          </w:tcPr>
          <w:p w14:paraId="661DF4E6" w14:textId="77777777" w:rsidR="00833524" w:rsidRPr="00364545" w:rsidRDefault="00833524" w:rsidP="00E56269">
            <w:pPr>
              <w:spacing w:line="259" w:lineRule="auto"/>
              <w:ind w:left="56"/>
              <w:jc w:val="center"/>
              <w:rPr>
                <w:sz w:val="18"/>
                <w:szCs w:val="18"/>
              </w:rPr>
            </w:pPr>
            <w:r w:rsidRPr="00364545">
              <w:rPr>
                <w:sz w:val="18"/>
              </w:rPr>
              <w:t>41701</w:t>
            </w:r>
          </w:p>
        </w:tc>
        <w:tc>
          <w:tcPr>
            <w:tcW w:w="776" w:type="dxa"/>
            <w:tcBorders>
              <w:top w:val="single" w:sz="2" w:space="0" w:color="000000"/>
              <w:left w:val="single" w:sz="2" w:space="0" w:color="000000"/>
              <w:bottom w:val="single" w:sz="2" w:space="0" w:color="000000"/>
              <w:right w:val="single" w:sz="2" w:space="0" w:color="000000"/>
            </w:tcBorders>
            <w:vAlign w:val="center"/>
          </w:tcPr>
          <w:p w14:paraId="2648F77E" w14:textId="77777777" w:rsidR="00833524" w:rsidRPr="00364545" w:rsidRDefault="00833524" w:rsidP="00E56269">
            <w:pPr>
              <w:spacing w:line="259" w:lineRule="auto"/>
              <w:ind w:left="56"/>
              <w:jc w:val="center"/>
              <w:rPr>
                <w:sz w:val="18"/>
                <w:szCs w:val="18"/>
              </w:rPr>
            </w:pPr>
            <w:r w:rsidRPr="00364545">
              <w:rPr>
                <w:sz w:val="18"/>
              </w:rPr>
              <w:t>39058</w:t>
            </w:r>
          </w:p>
        </w:tc>
        <w:tc>
          <w:tcPr>
            <w:tcW w:w="775" w:type="dxa"/>
            <w:tcBorders>
              <w:top w:val="single" w:sz="2" w:space="0" w:color="000000"/>
              <w:left w:val="single" w:sz="2" w:space="0" w:color="000000"/>
              <w:bottom w:val="single" w:sz="2" w:space="0" w:color="000000"/>
              <w:right w:val="single" w:sz="2" w:space="0" w:color="000000"/>
            </w:tcBorders>
            <w:vAlign w:val="center"/>
          </w:tcPr>
          <w:p w14:paraId="584B71BE" w14:textId="77777777" w:rsidR="00833524" w:rsidRPr="00364545" w:rsidRDefault="00833524" w:rsidP="00E56269">
            <w:pPr>
              <w:spacing w:line="259" w:lineRule="auto"/>
              <w:ind w:left="56"/>
              <w:jc w:val="center"/>
              <w:rPr>
                <w:sz w:val="18"/>
                <w:szCs w:val="18"/>
              </w:rPr>
            </w:pPr>
            <w:r w:rsidRPr="00364545">
              <w:rPr>
                <w:sz w:val="18"/>
              </w:rPr>
              <w:t>36794</w:t>
            </w:r>
          </w:p>
        </w:tc>
        <w:tc>
          <w:tcPr>
            <w:tcW w:w="776" w:type="dxa"/>
            <w:tcBorders>
              <w:top w:val="single" w:sz="2" w:space="0" w:color="000000"/>
              <w:left w:val="single" w:sz="2" w:space="0" w:color="000000"/>
              <w:bottom w:val="single" w:sz="2" w:space="0" w:color="000000"/>
              <w:right w:val="single" w:sz="2" w:space="0" w:color="000000"/>
            </w:tcBorders>
            <w:vAlign w:val="center"/>
          </w:tcPr>
          <w:p w14:paraId="61575F1D" w14:textId="77777777" w:rsidR="00833524" w:rsidRPr="00364545" w:rsidRDefault="00833524" w:rsidP="00E56269">
            <w:pPr>
              <w:spacing w:line="259" w:lineRule="auto"/>
              <w:ind w:left="56"/>
              <w:jc w:val="center"/>
              <w:rPr>
                <w:sz w:val="18"/>
                <w:szCs w:val="18"/>
              </w:rPr>
            </w:pPr>
            <w:r w:rsidRPr="00364545">
              <w:rPr>
                <w:sz w:val="18"/>
              </w:rPr>
              <w:t>33455</w:t>
            </w:r>
          </w:p>
        </w:tc>
      </w:tr>
      <w:tr w:rsidR="00833524" w:rsidRPr="00364545" w14:paraId="2D954ADC" w14:textId="77777777" w:rsidTr="00E56269">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4D57D77C" w14:textId="77777777" w:rsidR="00833524" w:rsidRPr="00364545" w:rsidRDefault="00833524" w:rsidP="00E56269">
            <w:pPr>
              <w:spacing w:line="259" w:lineRule="auto"/>
              <w:jc w:val="left"/>
            </w:pPr>
            <w:r w:rsidRPr="00364545">
              <w:rPr>
                <w:sz w:val="18"/>
              </w:rPr>
              <w:t xml:space="preserve">Agriculture (excluding energy)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DF2A0F7" w14:textId="77777777" w:rsidR="00833524" w:rsidRPr="00364545" w:rsidRDefault="00833524" w:rsidP="00E56269">
            <w:pPr>
              <w:spacing w:line="259" w:lineRule="auto"/>
              <w:ind w:left="106"/>
              <w:jc w:val="center"/>
            </w:pPr>
            <w:r>
              <w:rPr>
                <w:sz w:val="18"/>
                <w:szCs w:val="18"/>
              </w:rPr>
              <w:t>80803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015F34E" w14:textId="77777777" w:rsidR="00833524" w:rsidRPr="00364545" w:rsidRDefault="00833524" w:rsidP="00E56269">
            <w:pPr>
              <w:spacing w:line="259" w:lineRule="auto"/>
              <w:ind w:left="56"/>
              <w:jc w:val="center"/>
              <w:rPr>
                <w:sz w:val="18"/>
                <w:szCs w:val="18"/>
              </w:rPr>
            </w:pPr>
            <w:r>
              <w:rPr>
                <w:sz w:val="18"/>
                <w:szCs w:val="18"/>
              </w:rPr>
              <w:t>78281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523CD6F" w14:textId="77777777" w:rsidR="00833524" w:rsidRPr="00364545" w:rsidRDefault="00833524" w:rsidP="00E56269">
            <w:pPr>
              <w:spacing w:line="259" w:lineRule="auto"/>
              <w:ind w:left="107"/>
              <w:jc w:val="center"/>
            </w:pPr>
            <w:r>
              <w:rPr>
                <w:sz w:val="18"/>
                <w:szCs w:val="18"/>
              </w:rPr>
              <w:t>81292</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98CC37C" w14:textId="77777777" w:rsidR="00833524" w:rsidRPr="00364545" w:rsidRDefault="00833524" w:rsidP="00E56269">
            <w:pPr>
              <w:spacing w:line="259" w:lineRule="auto"/>
              <w:ind w:left="106"/>
              <w:jc w:val="center"/>
            </w:pPr>
            <w:r>
              <w:rPr>
                <w:sz w:val="18"/>
                <w:szCs w:val="18"/>
              </w:rPr>
              <w:t>76018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83453AC" w14:textId="77777777" w:rsidR="00833524" w:rsidRPr="00364545" w:rsidRDefault="00833524" w:rsidP="00E56269">
            <w:pPr>
              <w:spacing w:line="259" w:lineRule="auto"/>
              <w:ind w:left="107"/>
              <w:jc w:val="center"/>
            </w:pPr>
            <w:r>
              <w:rPr>
                <w:sz w:val="18"/>
                <w:szCs w:val="18"/>
              </w:rPr>
              <w:t>75203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A7ACF57" w14:textId="77777777" w:rsidR="00833524" w:rsidRPr="00364545" w:rsidRDefault="00833524" w:rsidP="00E56269">
            <w:pPr>
              <w:spacing w:line="259" w:lineRule="auto"/>
              <w:ind w:left="106"/>
              <w:jc w:val="center"/>
            </w:pPr>
            <w:r>
              <w:rPr>
                <w:sz w:val="18"/>
                <w:szCs w:val="18"/>
              </w:rPr>
              <w:t>75720</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64711EFC" w14:textId="77777777" w:rsidR="00833524" w:rsidRPr="00364545" w:rsidRDefault="00833524" w:rsidP="00E56269">
            <w:pPr>
              <w:spacing w:line="259" w:lineRule="auto"/>
              <w:ind w:left="107"/>
              <w:jc w:val="center"/>
            </w:pPr>
            <w:r>
              <w:rPr>
                <w:sz w:val="18"/>
                <w:szCs w:val="18"/>
              </w:rPr>
              <w:t>72498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2BE9657" w14:textId="77777777" w:rsidR="00833524" w:rsidRPr="00364545" w:rsidRDefault="00833524" w:rsidP="00E56269">
            <w:pPr>
              <w:spacing w:line="259" w:lineRule="auto"/>
              <w:ind w:left="56"/>
              <w:jc w:val="center"/>
              <w:rPr>
                <w:sz w:val="18"/>
                <w:szCs w:val="18"/>
              </w:rPr>
            </w:pPr>
            <w:r w:rsidRPr="00364545">
              <w:rPr>
                <w:sz w:val="18"/>
              </w:rPr>
              <w:t>73050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9A7DEB" w14:textId="77777777" w:rsidR="00833524" w:rsidRPr="00364545" w:rsidRDefault="00833524" w:rsidP="00E56269">
            <w:pPr>
              <w:spacing w:line="259" w:lineRule="auto"/>
              <w:ind w:left="56"/>
              <w:jc w:val="center"/>
              <w:rPr>
                <w:sz w:val="18"/>
                <w:szCs w:val="18"/>
              </w:rPr>
            </w:pPr>
            <w:r w:rsidRPr="00364545">
              <w:rPr>
                <w:sz w:val="18"/>
              </w:rPr>
              <w:t>72080</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DD72F0" w14:textId="77777777" w:rsidR="00833524" w:rsidRPr="00364545" w:rsidRDefault="00833524" w:rsidP="00E56269">
            <w:pPr>
              <w:spacing w:line="259" w:lineRule="auto"/>
              <w:ind w:left="56"/>
              <w:jc w:val="center"/>
              <w:rPr>
                <w:sz w:val="18"/>
                <w:szCs w:val="18"/>
              </w:rPr>
            </w:pPr>
            <w:r w:rsidRPr="00364545">
              <w:rPr>
                <w:sz w:val="18"/>
              </w:rPr>
              <w:t>71043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8F67D5" w14:textId="77777777" w:rsidR="00833524" w:rsidRPr="00364545" w:rsidRDefault="00833524" w:rsidP="00E56269">
            <w:pPr>
              <w:spacing w:line="259" w:lineRule="auto"/>
              <w:ind w:left="56"/>
              <w:jc w:val="center"/>
              <w:rPr>
                <w:sz w:val="18"/>
                <w:szCs w:val="18"/>
              </w:rPr>
            </w:pPr>
            <w:r w:rsidRPr="00364545">
              <w:rPr>
                <w:sz w:val="18"/>
              </w:rPr>
              <w:t>70093</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8F3FF4" w14:textId="77777777" w:rsidR="00833524" w:rsidRPr="00364545" w:rsidRDefault="00833524" w:rsidP="00E56269">
            <w:pPr>
              <w:spacing w:line="259" w:lineRule="auto"/>
              <w:ind w:left="56"/>
              <w:jc w:val="center"/>
              <w:rPr>
                <w:sz w:val="18"/>
                <w:szCs w:val="18"/>
              </w:rPr>
            </w:pPr>
            <w:r w:rsidRPr="00364545">
              <w:rPr>
                <w:sz w:val="18"/>
              </w:rPr>
              <w:t>68253</w:t>
            </w:r>
          </w:p>
        </w:tc>
      </w:tr>
      <w:tr w:rsidR="00833524" w:rsidRPr="00364545" w14:paraId="3FB7AF13" w14:textId="77777777" w:rsidTr="00E56269">
        <w:trPr>
          <w:trHeight w:val="347"/>
        </w:trPr>
        <w:tc>
          <w:tcPr>
            <w:tcW w:w="1405" w:type="dxa"/>
            <w:tcBorders>
              <w:top w:val="single" w:sz="2" w:space="0" w:color="000000"/>
              <w:left w:val="single" w:sz="2" w:space="0" w:color="000000"/>
              <w:bottom w:val="single" w:sz="2" w:space="0" w:color="000000"/>
              <w:right w:val="single" w:sz="2" w:space="0" w:color="000000"/>
            </w:tcBorders>
          </w:tcPr>
          <w:p w14:paraId="53659DE2" w14:textId="77777777" w:rsidR="00833524" w:rsidRPr="00364545" w:rsidRDefault="00833524" w:rsidP="00E56269">
            <w:pPr>
              <w:spacing w:line="259" w:lineRule="auto"/>
              <w:jc w:val="left"/>
            </w:pPr>
            <w:r w:rsidRPr="00364545">
              <w:rPr>
                <w:sz w:val="18"/>
              </w:rPr>
              <w:t xml:space="preserve">LULUCF </w:t>
            </w:r>
          </w:p>
        </w:tc>
        <w:tc>
          <w:tcPr>
            <w:tcW w:w="775" w:type="dxa"/>
            <w:tcBorders>
              <w:top w:val="single" w:sz="2" w:space="0" w:color="000000"/>
              <w:left w:val="single" w:sz="2" w:space="0" w:color="000000"/>
              <w:bottom w:val="single" w:sz="2" w:space="0" w:color="000000"/>
              <w:right w:val="single" w:sz="2" w:space="0" w:color="000000"/>
            </w:tcBorders>
            <w:vAlign w:val="bottom"/>
          </w:tcPr>
          <w:p w14:paraId="7C66B745" w14:textId="77777777" w:rsidR="00833524" w:rsidRPr="00364545" w:rsidRDefault="00833524" w:rsidP="00E56269">
            <w:pPr>
              <w:spacing w:line="259" w:lineRule="auto"/>
              <w:ind w:left="50"/>
              <w:jc w:val="center"/>
            </w:pPr>
            <w:r>
              <w:rPr>
                <w:sz w:val="18"/>
                <w:szCs w:val="18"/>
              </w:rPr>
              <w:t>-23986</w:t>
            </w:r>
          </w:p>
        </w:tc>
        <w:tc>
          <w:tcPr>
            <w:tcW w:w="775" w:type="dxa"/>
            <w:tcBorders>
              <w:top w:val="single" w:sz="2" w:space="0" w:color="000000"/>
              <w:left w:val="single" w:sz="2" w:space="0" w:color="000000"/>
              <w:bottom w:val="single" w:sz="2" w:space="0" w:color="000000"/>
              <w:right w:val="single" w:sz="2" w:space="0" w:color="000000"/>
            </w:tcBorders>
            <w:vAlign w:val="bottom"/>
          </w:tcPr>
          <w:p w14:paraId="0B91DFE9" w14:textId="77777777" w:rsidR="00833524" w:rsidRPr="00364545" w:rsidRDefault="00833524" w:rsidP="00E56269">
            <w:pPr>
              <w:spacing w:line="259" w:lineRule="auto"/>
              <w:ind w:left="56"/>
              <w:jc w:val="center"/>
              <w:rPr>
                <w:sz w:val="18"/>
                <w:szCs w:val="18"/>
              </w:rPr>
            </w:pPr>
            <w:r>
              <w:rPr>
                <w:sz w:val="18"/>
                <w:szCs w:val="18"/>
              </w:rPr>
              <w:t>-24879</w:t>
            </w:r>
          </w:p>
        </w:tc>
        <w:tc>
          <w:tcPr>
            <w:tcW w:w="775" w:type="dxa"/>
            <w:tcBorders>
              <w:top w:val="single" w:sz="2" w:space="0" w:color="000000"/>
              <w:left w:val="single" w:sz="2" w:space="0" w:color="000000"/>
              <w:bottom w:val="single" w:sz="2" w:space="0" w:color="000000"/>
              <w:right w:val="single" w:sz="2" w:space="0" w:color="000000"/>
            </w:tcBorders>
            <w:vAlign w:val="bottom"/>
          </w:tcPr>
          <w:p w14:paraId="76479B46" w14:textId="77777777" w:rsidR="00833524" w:rsidRPr="00364545" w:rsidRDefault="00833524" w:rsidP="00E56269">
            <w:pPr>
              <w:spacing w:line="259" w:lineRule="auto"/>
              <w:ind w:left="52"/>
              <w:jc w:val="center"/>
            </w:pPr>
            <w:r>
              <w:rPr>
                <w:sz w:val="18"/>
                <w:szCs w:val="18"/>
              </w:rPr>
              <w:t>-19709</w:t>
            </w:r>
          </w:p>
        </w:tc>
        <w:tc>
          <w:tcPr>
            <w:tcW w:w="776" w:type="dxa"/>
            <w:tcBorders>
              <w:top w:val="single" w:sz="2" w:space="0" w:color="000000"/>
              <w:left w:val="single" w:sz="2" w:space="0" w:color="000000"/>
              <w:bottom w:val="single" w:sz="2" w:space="0" w:color="000000"/>
              <w:right w:val="single" w:sz="2" w:space="0" w:color="000000"/>
            </w:tcBorders>
            <w:vAlign w:val="bottom"/>
          </w:tcPr>
          <w:p w14:paraId="341CBE06" w14:textId="77777777" w:rsidR="00833524" w:rsidRPr="00364545" w:rsidRDefault="00833524" w:rsidP="00E56269">
            <w:pPr>
              <w:spacing w:line="259" w:lineRule="auto"/>
              <w:ind w:left="50"/>
              <w:jc w:val="center"/>
            </w:pPr>
            <w:r>
              <w:rPr>
                <w:sz w:val="18"/>
                <w:szCs w:val="18"/>
              </w:rPr>
              <w:t>-47311</w:t>
            </w:r>
          </w:p>
        </w:tc>
        <w:tc>
          <w:tcPr>
            <w:tcW w:w="775" w:type="dxa"/>
            <w:tcBorders>
              <w:top w:val="single" w:sz="2" w:space="0" w:color="000000"/>
              <w:left w:val="single" w:sz="2" w:space="0" w:color="000000"/>
              <w:bottom w:val="single" w:sz="2" w:space="0" w:color="000000"/>
              <w:right w:val="single" w:sz="2" w:space="0" w:color="000000"/>
            </w:tcBorders>
            <w:vAlign w:val="bottom"/>
          </w:tcPr>
          <w:p w14:paraId="4DB2ADBE" w14:textId="77777777" w:rsidR="00833524" w:rsidRPr="00364545" w:rsidRDefault="00833524" w:rsidP="00E56269">
            <w:pPr>
              <w:spacing w:line="259" w:lineRule="auto"/>
              <w:ind w:left="52"/>
              <w:jc w:val="center"/>
            </w:pPr>
            <w:r>
              <w:rPr>
                <w:sz w:val="18"/>
                <w:szCs w:val="18"/>
              </w:rPr>
              <w:t>-38355</w:t>
            </w:r>
          </w:p>
        </w:tc>
        <w:tc>
          <w:tcPr>
            <w:tcW w:w="775" w:type="dxa"/>
            <w:tcBorders>
              <w:top w:val="single" w:sz="2" w:space="0" w:color="000000"/>
              <w:left w:val="single" w:sz="2" w:space="0" w:color="000000"/>
              <w:bottom w:val="single" w:sz="2" w:space="0" w:color="000000"/>
              <w:right w:val="single" w:sz="2" w:space="0" w:color="000000"/>
            </w:tcBorders>
            <w:vAlign w:val="bottom"/>
          </w:tcPr>
          <w:p w14:paraId="5AC02963" w14:textId="77777777" w:rsidR="00833524" w:rsidRPr="00364545" w:rsidRDefault="00833524" w:rsidP="00E56269">
            <w:pPr>
              <w:spacing w:line="259" w:lineRule="auto"/>
              <w:ind w:left="50"/>
              <w:jc w:val="center"/>
            </w:pPr>
            <w:r>
              <w:rPr>
                <w:sz w:val="18"/>
                <w:szCs w:val="18"/>
              </w:rPr>
              <w:t>-34577</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1900B33A" w14:textId="77777777" w:rsidR="00833524" w:rsidRPr="00364545" w:rsidRDefault="00833524" w:rsidP="00E56269">
            <w:pPr>
              <w:spacing w:line="259" w:lineRule="auto"/>
              <w:ind w:left="51"/>
              <w:jc w:val="center"/>
            </w:pPr>
            <w:r>
              <w:rPr>
                <w:sz w:val="18"/>
                <w:szCs w:val="18"/>
              </w:rPr>
              <w:t>-12288</w:t>
            </w:r>
          </w:p>
        </w:tc>
        <w:tc>
          <w:tcPr>
            <w:tcW w:w="775" w:type="dxa"/>
            <w:tcBorders>
              <w:top w:val="single" w:sz="2" w:space="0" w:color="000000"/>
              <w:left w:val="single" w:sz="2" w:space="0" w:color="000000"/>
              <w:bottom w:val="single" w:sz="2" w:space="0" w:color="000000"/>
              <w:right w:val="single" w:sz="2" w:space="0" w:color="000000"/>
            </w:tcBorders>
            <w:vAlign w:val="center"/>
          </w:tcPr>
          <w:p w14:paraId="4AE88000" w14:textId="77777777" w:rsidR="00833524" w:rsidRPr="00364545" w:rsidRDefault="00833524" w:rsidP="00E56269">
            <w:pPr>
              <w:spacing w:line="259" w:lineRule="auto"/>
              <w:ind w:left="56"/>
              <w:jc w:val="center"/>
              <w:rPr>
                <w:sz w:val="18"/>
                <w:szCs w:val="18"/>
              </w:rPr>
            </w:pPr>
            <w:r w:rsidRPr="00364545">
              <w:rPr>
                <w:sz w:val="18"/>
              </w:rPr>
              <w:t>-32838</w:t>
            </w:r>
          </w:p>
        </w:tc>
        <w:tc>
          <w:tcPr>
            <w:tcW w:w="775" w:type="dxa"/>
            <w:tcBorders>
              <w:top w:val="single" w:sz="2" w:space="0" w:color="000000"/>
              <w:left w:val="single" w:sz="2" w:space="0" w:color="000000"/>
              <w:bottom w:val="single" w:sz="2" w:space="0" w:color="000000"/>
              <w:right w:val="single" w:sz="2" w:space="0" w:color="000000"/>
            </w:tcBorders>
            <w:vAlign w:val="center"/>
          </w:tcPr>
          <w:p w14:paraId="54836839" w14:textId="77777777" w:rsidR="00833524" w:rsidRPr="00364545" w:rsidRDefault="00833524" w:rsidP="00E56269">
            <w:pPr>
              <w:spacing w:line="259" w:lineRule="auto"/>
              <w:ind w:left="56"/>
              <w:jc w:val="center"/>
              <w:rPr>
                <w:sz w:val="18"/>
                <w:szCs w:val="18"/>
              </w:rPr>
            </w:pPr>
            <w:r>
              <w:rPr>
                <w:sz w:val="18"/>
              </w:rPr>
              <w:t>- 28</w:t>
            </w:r>
            <w:r w:rsidRPr="00364545">
              <w:rPr>
                <w:sz w:val="18"/>
              </w:rPr>
              <w:t>746</w:t>
            </w:r>
          </w:p>
        </w:tc>
        <w:tc>
          <w:tcPr>
            <w:tcW w:w="776" w:type="dxa"/>
            <w:tcBorders>
              <w:top w:val="single" w:sz="2" w:space="0" w:color="000000"/>
              <w:left w:val="single" w:sz="2" w:space="0" w:color="000000"/>
              <w:bottom w:val="single" w:sz="2" w:space="0" w:color="000000"/>
              <w:right w:val="single" w:sz="2" w:space="0" w:color="000000"/>
            </w:tcBorders>
            <w:vAlign w:val="center"/>
          </w:tcPr>
          <w:p w14:paraId="504245F2" w14:textId="77777777" w:rsidR="00833524" w:rsidRPr="00364545" w:rsidRDefault="00833524" w:rsidP="00E56269">
            <w:pPr>
              <w:spacing w:line="259" w:lineRule="auto"/>
              <w:ind w:left="56"/>
              <w:jc w:val="center"/>
              <w:rPr>
                <w:sz w:val="18"/>
                <w:szCs w:val="18"/>
              </w:rPr>
            </w:pPr>
            <w:r>
              <w:rPr>
                <w:sz w:val="18"/>
              </w:rPr>
              <w:t>- 26</w:t>
            </w:r>
            <w:r w:rsidRPr="00364545">
              <w:rPr>
                <w:sz w:val="18"/>
              </w:rPr>
              <w:t>431</w:t>
            </w:r>
          </w:p>
        </w:tc>
        <w:tc>
          <w:tcPr>
            <w:tcW w:w="775" w:type="dxa"/>
            <w:tcBorders>
              <w:top w:val="single" w:sz="2" w:space="0" w:color="000000"/>
              <w:left w:val="single" w:sz="2" w:space="0" w:color="000000"/>
              <w:bottom w:val="single" w:sz="2" w:space="0" w:color="000000"/>
              <w:right w:val="single" w:sz="2" w:space="0" w:color="000000"/>
            </w:tcBorders>
            <w:vAlign w:val="center"/>
          </w:tcPr>
          <w:p w14:paraId="19823CB1" w14:textId="77777777" w:rsidR="00833524" w:rsidRPr="00364545" w:rsidRDefault="00833524" w:rsidP="00E56269">
            <w:pPr>
              <w:spacing w:line="259" w:lineRule="auto"/>
              <w:ind w:left="56"/>
              <w:jc w:val="center"/>
              <w:rPr>
                <w:sz w:val="18"/>
                <w:szCs w:val="18"/>
              </w:rPr>
            </w:pPr>
            <w:r>
              <w:rPr>
                <w:sz w:val="18"/>
              </w:rPr>
              <w:t>- 21</w:t>
            </w:r>
            <w:r w:rsidRPr="00364545">
              <w:rPr>
                <w:sz w:val="18"/>
              </w:rPr>
              <w:t>560</w:t>
            </w:r>
          </w:p>
        </w:tc>
        <w:tc>
          <w:tcPr>
            <w:tcW w:w="776" w:type="dxa"/>
            <w:tcBorders>
              <w:top w:val="single" w:sz="2" w:space="0" w:color="000000"/>
              <w:left w:val="single" w:sz="2" w:space="0" w:color="000000"/>
              <w:bottom w:val="single" w:sz="2" w:space="0" w:color="000000"/>
              <w:right w:val="single" w:sz="2" w:space="0" w:color="000000"/>
            </w:tcBorders>
            <w:vAlign w:val="center"/>
          </w:tcPr>
          <w:p w14:paraId="345F1BBB" w14:textId="77777777" w:rsidR="00833524" w:rsidRPr="00364545" w:rsidRDefault="00833524" w:rsidP="00E56269">
            <w:pPr>
              <w:spacing w:line="259" w:lineRule="auto"/>
              <w:ind w:left="56"/>
              <w:jc w:val="center"/>
              <w:rPr>
                <w:sz w:val="18"/>
                <w:szCs w:val="18"/>
              </w:rPr>
            </w:pPr>
            <w:r>
              <w:rPr>
                <w:sz w:val="18"/>
              </w:rPr>
              <w:t>-12</w:t>
            </w:r>
            <w:r w:rsidRPr="00364545">
              <w:rPr>
                <w:sz w:val="18"/>
              </w:rPr>
              <w:t>627</w:t>
            </w:r>
          </w:p>
        </w:tc>
      </w:tr>
      <w:tr w:rsidR="00833524" w:rsidRPr="00364545" w14:paraId="447F7434" w14:textId="77777777" w:rsidTr="00E56269">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04C43317" w14:textId="77777777" w:rsidR="00833524" w:rsidRPr="00364545" w:rsidRDefault="00833524" w:rsidP="00E56269">
            <w:pPr>
              <w:spacing w:line="259" w:lineRule="auto"/>
              <w:jc w:val="left"/>
            </w:pPr>
            <w:r w:rsidRPr="00364545">
              <w:rPr>
                <w:sz w:val="18"/>
              </w:rPr>
              <w:t xml:space="preserve">Waste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5E89BE5" w14:textId="77777777" w:rsidR="00833524" w:rsidRPr="00364545" w:rsidRDefault="00833524" w:rsidP="00E56269">
            <w:pPr>
              <w:spacing w:line="259" w:lineRule="auto"/>
              <w:ind w:left="106"/>
              <w:jc w:val="center"/>
            </w:pPr>
            <w:r>
              <w:rPr>
                <w:sz w:val="18"/>
                <w:szCs w:val="18"/>
              </w:rPr>
              <w:t>17283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7B19646" w14:textId="77777777" w:rsidR="00833524" w:rsidRPr="00364545" w:rsidRDefault="00833524" w:rsidP="00E56269">
            <w:pPr>
              <w:spacing w:line="259" w:lineRule="auto"/>
              <w:ind w:left="56"/>
              <w:jc w:val="center"/>
              <w:rPr>
                <w:sz w:val="18"/>
                <w:szCs w:val="18"/>
              </w:rPr>
            </w:pPr>
            <w:r>
              <w:rPr>
                <w:sz w:val="18"/>
                <w:szCs w:val="18"/>
              </w:rPr>
              <w:t>20118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2DF05D2" w14:textId="77777777" w:rsidR="00833524" w:rsidRPr="00364545" w:rsidRDefault="00833524" w:rsidP="00E56269">
            <w:pPr>
              <w:spacing w:line="259" w:lineRule="auto"/>
              <w:ind w:left="107"/>
              <w:jc w:val="center"/>
            </w:pPr>
            <w:r>
              <w:rPr>
                <w:sz w:val="18"/>
                <w:szCs w:val="18"/>
              </w:rPr>
              <w:t>21056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0EF3602" w14:textId="77777777" w:rsidR="00833524" w:rsidRPr="00364545" w:rsidRDefault="00833524" w:rsidP="00E56269">
            <w:pPr>
              <w:spacing w:line="259" w:lineRule="auto"/>
              <w:ind w:left="106"/>
              <w:jc w:val="center"/>
            </w:pPr>
            <w:r>
              <w:rPr>
                <w:sz w:val="18"/>
                <w:szCs w:val="18"/>
              </w:rPr>
              <w:t>21362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3F7DA26" w14:textId="77777777" w:rsidR="00833524" w:rsidRPr="00364545" w:rsidRDefault="00833524" w:rsidP="00E56269">
            <w:pPr>
              <w:spacing w:line="259" w:lineRule="auto"/>
              <w:ind w:left="107"/>
              <w:jc w:val="center"/>
            </w:pPr>
            <w:r>
              <w:rPr>
                <w:sz w:val="18"/>
                <w:szCs w:val="18"/>
              </w:rPr>
              <w:t>20756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6789B2C" w14:textId="77777777" w:rsidR="00833524" w:rsidRPr="00364545" w:rsidRDefault="00833524" w:rsidP="00E56269">
            <w:pPr>
              <w:spacing w:line="259" w:lineRule="auto"/>
              <w:ind w:left="106"/>
              <w:jc w:val="center"/>
            </w:pPr>
            <w:r>
              <w:rPr>
                <w:sz w:val="18"/>
                <w:szCs w:val="18"/>
              </w:rPr>
              <w:t>17905</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0BE5F01B" w14:textId="77777777" w:rsidR="00833524" w:rsidRPr="00364545" w:rsidRDefault="00833524" w:rsidP="00E56269">
            <w:pPr>
              <w:spacing w:line="259" w:lineRule="auto"/>
              <w:ind w:left="107"/>
              <w:jc w:val="center"/>
            </w:pPr>
            <w:r>
              <w:rPr>
                <w:sz w:val="18"/>
                <w:szCs w:val="18"/>
              </w:rPr>
              <w:t>18165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38FEDF" w14:textId="77777777" w:rsidR="00833524" w:rsidRPr="00364545" w:rsidRDefault="00833524" w:rsidP="00E56269">
            <w:pPr>
              <w:spacing w:line="259" w:lineRule="auto"/>
              <w:ind w:left="56"/>
              <w:jc w:val="center"/>
              <w:rPr>
                <w:sz w:val="18"/>
                <w:szCs w:val="18"/>
              </w:rPr>
            </w:pPr>
            <w:r w:rsidRPr="00364545">
              <w:rPr>
                <w:sz w:val="18"/>
              </w:rPr>
              <w:t>17514</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8967A4B" w14:textId="77777777" w:rsidR="00833524" w:rsidRPr="00364545" w:rsidRDefault="00833524" w:rsidP="00E56269">
            <w:pPr>
              <w:spacing w:line="259" w:lineRule="auto"/>
              <w:ind w:left="56"/>
              <w:jc w:val="center"/>
              <w:rPr>
                <w:sz w:val="18"/>
                <w:szCs w:val="18"/>
              </w:rPr>
            </w:pPr>
            <w:r w:rsidRPr="00364545">
              <w:rPr>
                <w:sz w:val="18"/>
              </w:rPr>
              <w:t>16717</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DE5B72" w14:textId="77777777" w:rsidR="00833524" w:rsidRPr="00364545" w:rsidRDefault="00833524" w:rsidP="00E56269">
            <w:pPr>
              <w:spacing w:line="259" w:lineRule="auto"/>
              <w:ind w:left="56"/>
              <w:jc w:val="center"/>
              <w:rPr>
                <w:sz w:val="18"/>
                <w:szCs w:val="18"/>
              </w:rPr>
            </w:pPr>
            <w:r w:rsidRPr="00364545">
              <w:rPr>
                <w:sz w:val="18"/>
              </w:rPr>
              <w:t>16308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671A33" w14:textId="77777777" w:rsidR="00833524" w:rsidRPr="00364545" w:rsidRDefault="00833524" w:rsidP="00E56269">
            <w:pPr>
              <w:spacing w:line="259" w:lineRule="auto"/>
              <w:ind w:left="56"/>
              <w:jc w:val="center"/>
              <w:rPr>
                <w:sz w:val="18"/>
                <w:szCs w:val="18"/>
              </w:rPr>
            </w:pPr>
            <w:r w:rsidRPr="00364545">
              <w:rPr>
                <w:sz w:val="18"/>
              </w:rPr>
              <w:t>16315</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65050C" w14:textId="77777777" w:rsidR="00833524" w:rsidRPr="00364545" w:rsidRDefault="00833524" w:rsidP="00E56269">
            <w:pPr>
              <w:spacing w:line="259" w:lineRule="auto"/>
              <w:ind w:left="56"/>
              <w:jc w:val="center"/>
              <w:rPr>
                <w:sz w:val="18"/>
                <w:szCs w:val="18"/>
              </w:rPr>
            </w:pPr>
            <w:r w:rsidRPr="00364545">
              <w:rPr>
                <w:sz w:val="18"/>
              </w:rPr>
              <w:t>16746</w:t>
            </w:r>
          </w:p>
        </w:tc>
      </w:tr>
      <w:tr w:rsidR="00833524" w:rsidRPr="00364545" w14:paraId="15D6B6E7" w14:textId="77777777" w:rsidTr="00E56269">
        <w:trPr>
          <w:trHeight w:val="344"/>
        </w:trPr>
        <w:tc>
          <w:tcPr>
            <w:tcW w:w="1405" w:type="dxa"/>
            <w:tcBorders>
              <w:top w:val="single" w:sz="2" w:space="0" w:color="000000"/>
              <w:left w:val="single" w:sz="2" w:space="0" w:color="000000"/>
              <w:bottom w:val="single" w:sz="2" w:space="0" w:color="000000"/>
              <w:right w:val="single" w:sz="2" w:space="0" w:color="000000"/>
            </w:tcBorders>
          </w:tcPr>
          <w:p w14:paraId="6899B65F" w14:textId="77777777" w:rsidR="00833524" w:rsidRPr="00364545" w:rsidRDefault="00833524" w:rsidP="00E56269">
            <w:pPr>
              <w:spacing w:line="259" w:lineRule="auto"/>
              <w:jc w:val="left"/>
            </w:pPr>
            <w:r w:rsidRPr="00364545">
              <w:rPr>
                <w:b/>
                <w:sz w:val="18"/>
              </w:rPr>
              <w:t xml:space="preserve">Ensemble (hors UTCF) </w:t>
            </w:r>
          </w:p>
        </w:tc>
        <w:tc>
          <w:tcPr>
            <w:tcW w:w="775" w:type="dxa"/>
            <w:tcBorders>
              <w:top w:val="single" w:sz="2" w:space="0" w:color="000000"/>
              <w:left w:val="single" w:sz="2" w:space="0" w:color="000000"/>
              <w:bottom w:val="single" w:sz="2" w:space="0" w:color="000000"/>
              <w:right w:val="single" w:sz="2" w:space="0" w:color="000000"/>
            </w:tcBorders>
            <w:vAlign w:val="center"/>
          </w:tcPr>
          <w:p w14:paraId="6BF63F4A" w14:textId="77777777" w:rsidR="00833524" w:rsidRPr="00634E4C" w:rsidRDefault="00833524" w:rsidP="00E56269">
            <w:pPr>
              <w:spacing w:line="259" w:lineRule="auto"/>
              <w:ind w:left="55"/>
              <w:jc w:val="center"/>
              <w:rPr>
                <w:rFonts w:asciiTheme="majorHAnsi" w:hAnsiTheme="majorHAnsi"/>
                <w:sz w:val="18"/>
              </w:rPr>
            </w:pPr>
            <w:r w:rsidRPr="0002410C">
              <w:rPr>
                <w:rFonts w:asciiTheme="majorHAnsi" w:hAnsiTheme="majorHAnsi"/>
                <w:b/>
                <w:sz w:val="18"/>
                <w:szCs w:val="18"/>
              </w:rPr>
              <w:t>544086</w:t>
            </w:r>
          </w:p>
        </w:tc>
        <w:tc>
          <w:tcPr>
            <w:tcW w:w="775" w:type="dxa"/>
            <w:tcBorders>
              <w:top w:val="single" w:sz="2" w:space="0" w:color="000000"/>
              <w:left w:val="single" w:sz="2" w:space="0" w:color="000000"/>
              <w:bottom w:val="single" w:sz="2" w:space="0" w:color="000000"/>
              <w:right w:val="single" w:sz="2" w:space="0" w:color="000000"/>
            </w:tcBorders>
            <w:vAlign w:val="center"/>
          </w:tcPr>
          <w:p w14:paraId="60E6DF7C" w14:textId="77777777" w:rsidR="00833524" w:rsidRPr="00634E4C" w:rsidRDefault="00833524" w:rsidP="00E56269">
            <w:pPr>
              <w:spacing w:line="259" w:lineRule="auto"/>
              <w:ind w:left="56"/>
              <w:jc w:val="center"/>
              <w:rPr>
                <w:rFonts w:asciiTheme="majorHAnsi" w:hAnsiTheme="majorHAnsi"/>
                <w:sz w:val="18"/>
              </w:rPr>
            </w:pPr>
            <w:r w:rsidRPr="0002410C">
              <w:rPr>
                <w:rFonts w:asciiTheme="majorHAnsi" w:hAnsiTheme="majorHAnsi"/>
                <w:b/>
                <w:sz w:val="18"/>
                <w:szCs w:val="18"/>
              </w:rPr>
              <w:t>536475</w:t>
            </w:r>
          </w:p>
        </w:tc>
        <w:tc>
          <w:tcPr>
            <w:tcW w:w="775" w:type="dxa"/>
            <w:tcBorders>
              <w:top w:val="single" w:sz="2" w:space="0" w:color="000000"/>
              <w:left w:val="single" w:sz="2" w:space="0" w:color="000000"/>
              <w:bottom w:val="single" w:sz="2" w:space="0" w:color="000000"/>
              <w:right w:val="single" w:sz="2" w:space="0" w:color="000000"/>
            </w:tcBorders>
            <w:vAlign w:val="center"/>
          </w:tcPr>
          <w:p w14:paraId="14187D94" w14:textId="77777777" w:rsidR="00833524" w:rsidRPr="00634E4C" w:rsidRDefault="00833524" w:rsidP="00E56269">
            <w:pPr>
              <w:spacing w:line="259" w:lineRule="auto"/>
              <w:ind w:left="56"/>
              <w:jc w:val="center"/>
              <w:rPr>
                <w:rFonts w:asciiTheme="majorHAnsi" w:hAnsiTheme="majorHAnsi"/>
                <w:sz w:val="18"/>
              </w:rPr>
            </w:pPr>
            <w:r w:rsidRPr="0002410C">
              <w:rPr>
                <w:rFonts w:asciiTheme="majorHAnsi" w:hAnsiTheme="majorHAnsi" w:cs="Calibri"/>
                <w:b/>
                <w:sz w:val="18"/>
                <w:szCs w:val="18"/>
              </w:rPr>
              <w:t>549005</w:t>
            </w:r>
          </w:p>
        </w:tc>
        <w:tc>
          <w:tcPr>
            <w:tcW w:w="776" w:type="dxa"/>
            <w:tcBorders>
              <w:top w:val="single" w:sz="2" w:space="0" w:color="000000"/>
              <w:left w:val="single" w:sz="2" w:space="0" w:color="000000"/>
              <w:bottom w:val="single" w:sz="2" w:space="0" w:color="000000"/>
              <w:right w:val="single" w:sz="2" w:space="0" w:color="000000"/>
            </w:tcBorders>
            <w:vAlign w:val="center"/>
          </w:tcPr>
          <w:p w14:paraId="0A964EF7" w14:textId="77777777" w:rsidR="00833524" w:rsidRPr="00634E4C" w:rsidRDefault="00833524" w:rsidP="00E56269">
            <w:pPr>
              <w:spacing w:line="259" w:lineRule="auto"/>
              <w:ind w:left="55"/>
              <w:jc w:val="center"/>
              <w:rPr>
                <w:rFonts w:asciiTheme="majorHAnsi" w:hAnsiTheme="majorHAnsi"/>
                <w:sz w:val="18"/>
              </w:rPr>
            </w:pPr>
            <w:r w:rsidRPr="0002410C">
              <w:rPr>
                <w:rFonts w:asciiTheme="majorHAnsi" w:hAnsiTheme="majorHAnsi" w:cs="Calibri"/>
                <w:b/>
                <w:sz w:val="18"/>
                <w:szCs w:val="18"/>
              </w:rPr>
              <w:t>551391</w:t>
            </w:r>
          </w:p>
        </w:tc>
        <w:tc>
          <w:tcPr>
            <w:tcW w:w="775" w:type="dxa"/>
            <w:tcBorders>
              <w:top w:val="single" w:sz="2" w:space="0" w:color="000000"/>
              <w:left w:val="single" w:sz="2" w:space="0" w:color="000000"/>
              <w:bottom w:val="single" w:sz="2" w:space="0" w:color="000000"/>
              <w:right w:val="single" w:sz="2" w:space="0" w:color="000000"/>
            </w:tcBorders>
            <w:vAlign w:val="center"/>
          </w:tcPr>
          <w:p w14:paraId="4360160C" w14:textId="77777777" w:rsidR="00833524" w:rsidRPr="00634E4C" w:rsidRDefault="00833524" w:rsidP="00E56269">
            <w:pPr>
              <w:spacing w:line="259" w:lineRule="auto"/>
              <w:ind w:left="61"/>
              <w:jc w:val="center"/>
              <w:rPr>
                <w:rFonts w:asciiTheme="majorHAnsi" w:hAnsiTheme="majorHAnsi"/>
                <w:sz w:val="18"/>
              </w:rPr>
            </w:pPr>
            <w:r w:rsidRPr="0002410C">
              <w:rPr>
                <w:rFonts w:asciiTheme="majorHAnsi" w:hAnsiTheme="majorHAnsi" w:cs="Calibri"/>
                <w:b/>
                <w:sz w:val="18"/>
                <w:szCs w:val="18"/>
              </w:rPr>
              <w:t>507468</w:t>
            </w:r>
          </w:p>
        </w:tc>
        <w:tc>
          <w:tcPr>
            <w:tcW w:w="775" w:type="dxa"/>
            <w:tcBorders>
              <w:top w:val="single" w:sz="2" w:space="0" w:color="000000"/>
              <w:left w:val="single" w:sz="2" w:space="0" w:color="000000"/>
              <w:bottom w:val="single" w:sz="2" w:space="0" w:color="000000"/>
              <w:right w:val="single" w:sz="2" w:space="0" w:color="000000"/>
            </w:tcBorders>
            <w:vAlign w:val="center"/>
          </w:tcPr>
          <w:p w14:paraId="583AACAA" w14:textId="77777777" w:rsidR="00833524" w:rsidRPr="00634E4C" w:rsidRDefault="00833524" w:rsidP="00E56269">
            <w:pPr>
              <w:spacing w:line="259" w:lineRule="auto"/>
              <w:ind w:left="55"/>
              <w:jc w:val="center"/>
              <w:rPr>
                <w:rFonts w:asciiTheme="majorHAnsi" w:hAnsiTheme="majorHAnsi"/>
                <w:sz w:val="18"/>
              </w:rPr>
            </w:pPr>
            <w:r w:rsidRPr="0002410C">
              <w:rPr>
                <w:rFonts w:asciiTheme="majorHAnsi" w:hAnsiTheme="majorHAnsi" w:cs="Calibri"/>
                <w:b/>
                <w:sz w:val="18"/>
                <w:szCs w:val="18"/>
              </w:rPr>
              <w:t>457923</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DFEDB95" w14:textId="77777777" w:rsidR="00833524" w:rsidRPr="00634E4C" w:rsidRDefault="00833524" w:rsidP="00E56269">
            <w:pPr>
              <w:spacing w:line="259" w:lineRule="auto"/>
              <w:ind w:left="56"/>
              <w:jc w:val="center"/>
              <w:rPr>
                <w:rFonts w:asciiTheme="majorHAnsi" w:hAnsiTheme="majorHAnsi"/>
                <w:sz w:val="18"/>
              </w:rPr>
            </w:pPr>
            <w:r w:rsidRPr="0002410C">
              <w:rPr>
                <w:rFonts w:asciiTheme="majorHAnsi" w:hAnsiTheme="majorHAnsi" w:cs="Calibri"/>
                <w:b/>
                <w:sz w:val="18"/>
                <w:szCs w:val="18"/>
              </w:rPr>
              <w:t>434539</w:t>
            </w:r>
          </w:p>
        </w:tc>
        <w:tc>
          <w:tcPr>
            <w:tcW w:w="775" w:type="dxa"/>
            <w:tcBorders>
              <w:top w:val="single" w:sz="2" w:space="0" w:color="000000"/>
              <w:left w:val="single" w:sz="2" w:space="0" w:color="000000"/>
              <w:bottom w:val="single" w:sz="2" w:space="0" w:color="000000"/>
              <w:right w:val="single" w:sz="2" w:space="0" w:color="000000"/>
            </w:tcBorders>
            <w:vAlign w:val="center"/>
          </w:tcPr>
          <w:p w14:paraId="153ADD91" w14:textId="77777777" w:rsidR="00833524" w:rsidRPr="00364545" w:rsidRDefault="00833524" w:rsidP="00E56269">
            <w:pPr>
              <w:spacing w:line="259" w:lineRule="auto"/>
              <w:ind w:left="56"/>
              <w:jc w:val="center"/>
              <w:rPr>
                <w:sz w:val="18"/>
                <w:szCs w:val="18"/>
              </w:rPr>
            </w:pPr>
            <w:r w:rsidRPr="00364545">
              <w:rPr>
                <w:sz w:val="18"/>
              </w:rPr>
              <w:t>398676</w:t>
            </w:r>
          </w:p>
        </w:tc>
        <w:tc>
          <w:tcPr>
            <w:tcW w:w="775" w:type="dxa"/>
            <w:tcBorders>
              <w:top w:val="single" w:sz="2" w:space="0" w:color="000000"/>
              <w:left w:val="single" w:sz="2" w:space="0" w:color="000000"/>
              <w:bottom w:val="single" w:sz="2" w:space="0" w:color="000000"/>
              <w:right w:val="single" w:sz="2" w:space="0" w:color="000000"/>
            </w:tcBorders>
            <w:vAlign w:val="center"/>
          </w:tcPr>
          <w:p w14:paraId="0E52AF83" w14:textId="77777777" w:rsidR="00833524" w:rsidRPr="00364545" w:rsidRDefault="00833524" w:rsidP="00E56269">
            <w:pPr>
              <w:spacing w:line="259" w:lineRule="auto"/>
              <w:ind w:left="56"/>
              <w:jc w:val="center"/>
              <w:rPr>
                <w:sz w:val="18"/>
                <w:szCs w:val="18"/>
              </w:rPr>
            </w:pPr>
            <w:r w:rsidRPr="00364545">
              <w:rPr>
                <w:sz w:val="18"/>
              </w:rPr>
              <w:t>392095</w:t>
            </w:r>
          </w:p>
        </w:tc>
        <w:tc>
          <w:tcPr>
            <w:tcW w:w="776" w:type="dxa"/>
            <w:tcBorders>
              <w:top w:val="single" w:sz="2" w:space="0" w:color="000000"/>
              <w:left w:val="single" w:sz="2" w:space="0" w:color="000000"/>
              <w:bottom w:val="single" w:sz="2" w:space="0" w:color="000000"/>
              <w:right w:val="single" w:sz="2" w:space="0" w:color="000000"/>
            </w:tcBorders>
            <w:vAlign w:val="center"/>
          </w:tcPr>
          <w:p w14:paraId="1523F209" w14:textId="77777777" w:rsidR="00833524" w:rsidRPr="00364545" w:rsidRDefault="00833524" w:rsidP="00E56269">
            <w:pPr>
              <w:spacing w:line="259" w:lineRule="auto"/>
              <w:ind w:left="56"/>
              <w:jc w:val="center"/>
              <w:rPr>
                <w:sz w:val="18"/>
                <w:szCs w:val="18"/>
              </w:rPr>
            </w:pPr>
            <w:r w:rsidRPr="00364545">
              <w:rPr>
                <w:sz w:val="18"/>
              </w:rPr>
              <w:t>367049</w:t>
            </w:r>
          </w:p>
        </w:tc>
        <w:tc>
          <w:tcPr>
            <w:tcW w:w="775" w:type="dxa"/>
            <w:tcBorders>
              <w:top w:val="single" w:sz="2" w:space="0" w:color="000000"/>
              <w:left w:val="single" w:sz="2" w:space="0" w:color="000000"/>
              <w:bottom w:val="single" w:sz="2" w:space="0" w:color="000000"/>
              <w:right w:val="single" w:sz="2" w:space="0" w:color="000000"/>
            </w:tcBorders>
            <w:vAlign w:val="center"/>
          </w:tcPr>
          <w:p w14:paraId="1F08F4A6" w14:textId="77777777" w:rsidR="00833524" w:rsidRPr="00364545" w:rsidRDefault="00833524" w:rsidP="00E56269">
            <w:pPr>
              <w:spacing w:line="259" w:lineRule="auto"/>
              <w:ind w:left="56"/>
              <w:jc w:val="center"/>
              <w:rPr>
                <w:sz w:val="18"/>
                <w:szCs w:val="18"/>
              </w:rPr>
            </w:pPr>
            <w:r w:rsidRPr="00364545">
              <w:rPr>
                <w:sz w:val="18"/>
              </w:rPr>
              <w:t>354446</w:t>
            </w:r>
          </w:p>
        </w:tc>
        <w:tc>
          <w:tcPr>
            <w:tcW w:w="776" w:type="dxa"/>
            <w:tcBorders>
              <w:top w:val="single" w:sz="2" w:space="0" w:color="000000"/>
              <w:left w:val="single" w:sz="2" w:space="0" w:color="000000"/>
              <w:bottom w:val="single" w:sz="2" w:space="0" w:color="000000"/>
              <w:right w:val="single" w:sz="2" w:space="0" w:color="000000"/>
            </w:tcBorders>
            <w:vAlign w:val="center"/>
          </w:tcPr>
          <w:p w14:paraId="359E52AE" w14:textId="77777777" w:rsidR="00833524" w:rsidRPr="00364545" w:rsidRDefault="00833524" w:rsidP="00E56269">
            <w:pPr>
              <w:spacing w:line="259" w:lineRule="auto"/>
              <w:ind w:left="56"/>
              <w:jc w:val="center"/>
              <w:rPr>
                <w:sz w:val="18"/>
                <w:szCs w:val="18"/>
              </w:rPr>
            </w:pPr>
            <w:r w:rsidRPr="00364545">
              <w:rPr>
                <w:sz w:val="18"/>
              </w:rPr>
              <w:t>329653</w:t>
            </w:r>
          </w:p>
        </w:tc>
      </w:tr>
      <w:tr w:rsidR="00833524" w:rsidRPr="00364545" w14:paraId="077D465A" w14:textId="77777777" w:rsidTr="00E56269">
        <w:trPr>
          <w:trHeight w:val="345"/>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69337FA7" w14:textId="77777777" w:rsidR="00833524" w:rsidRPr="00364545" w:rsidRDefault="00833524" w:rsidP="00E56269">
            <w:pPr>
              <w:spacing w:line="259" w:lineRule="auto"/>
              <w:jc w:val="left"/>
            </w:pPr>
            <w:r w:rsidRPr="00364545">
              <w:rPr>
                <w:b/>
                <w:sz w:val="18"/>
              </w:rPr>
              <w:t xml:space="preserve">Ensemble (avec UTCF)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7B50B4C" w14:textId="77777777" w:rsidR="00833524" w:rsidRPr="00364545" w:rsidRDefault="00833524" w:rsidP="00E56269">
            <w:pPr>
              <w:spacing w:line="259" w:lineRule="auto"/>
              <w:ind w:left="55"/>
              <w:jc w:val="center"/>
            </w:pPr>
            <w:r>
              <w:rPr>
                <w:sz w:val="18"/>
                <w:szCs w:val="18"/>
              </w:rPr>
              <w:t>520100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77F5672" w14:textId="77777777" w:rsidR="00833524" w:rsidRPr="00364545" w:rsidRDefault="00833524" w:rsidP="00E56269">
            <w:pPr>
              <w:spacing w:line="259" w:lineRule="auto"/>
              <w:ind w:left="56"/>
              <w:jc w:val="center"/>
              <w:rPr>
                <w:sz w:val="18"/>
                <w:szCs w:val="18"/>
              </w:rPr>
            </w:pPr>
            <w:r>
              <w:rPr>
                <w:sz w:val="18"/>
                <w:szCs w:val="18"/>
              </w:rPr>
              <w:t>511596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244CB8" w14:textId="77777777" w:rsidR="00833524" w:rsidRPr="00364545" w:rsidRDefault="00833524" w:rsidP="00E56269">
            <w:pPr>
              <w:spacing w:line="259" w:lineRule="auto"/>
              <w:ind w:left="56"/>
              <w:jc w:val="center"/>
            </w:pPr>
            <w:r>
              <w:rPr>
                <w:sz w:val="18"/>
                <w:szCs w:val="18"/>
              </w:rPr>
              <w:t>529296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AA0320A" w14:textId="77777777" w:rsidR="00833524" w:rsidRPr="00364545" w:rsidRDefault="00833524" w:rsidP="00E56269">
            <w:pPr>
              <w:spacing w:line="259" w:lineRule="auto"/>
              <w:ind w:left="55"/>
              <w:jc w:val="center"/>
            </w:pPr>
            <w:r>
              <w:rPr>
                <w:sz w:val="18"/>
                <w:szCs w:val="18"/>
              </w:rPr>
              <w:t>504080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EACABEF" w14:textId="77777777" w:rsidR="00833524" w:rsidRPr="00364545" w:rsidRDefault="00833524" w:rsidP="00E56269">
            <w:pPr>
              <w:spacing w:line="259" w:lineRule="auto"/>
              <w:ind w:left="56"/>
              <w:jc w:val="center"/>
            </w:pPr>
            <w:r>
              <w:rPr>
                <w:sz w:val="18"/>
                <w:szCs w:val="18"/>
              </w:rPr>
              <w:t>469113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14CC4CB" w14:textId="77777777" w:rsidR="00833524" w:rsidRPr="00364545" w:rsidRDefault="00833524" w:rsidP="00E56269">
            <w:pPr>
              <w:spacing w:line="259" w:lineRule="auto"/>
              <w:ind w:left="55"/>
              <w:jc w:val="center"/>
            </w:pPr>
            <w:r>
              <w:rPr>
                <w:sz w:val="18"/>
                <w:szCs w:val="18"/>
              </w:rPr>
              <w:t>423346</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592678D6" w14:textId="77777777" w:rsidR="00833524" w:rsidRPr="00364545" w:rsidRDefault="00833524" w:rsidP="00E56269">
            <w:pPr>
              <w:spacing w:line="259" w:lineRule="auto"/>
              <w:ind w:left="56"/>
              <w:jc w:val="center"/>
            </w:pPr>
            <w:r>
              <w:rPr>
                <w:sz w:val="18"/>
                <w:szCs w:val="18"/>
              </w:rPr>
              <w:t>422252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F68275" w14:textId="77777777" w:rsidR="00833524" w:rsidRPr="00364545" w:rsidRDefault="00833524" w:rsidP="00E56269">
            <w:pPr>
              <w:spacing w:line="259" w:lineRule="auto"/>
              <w:ind w:left="56"/>
              <w:jc w:val="center"/>
              <w:rPr>
                <w:sz w:val="18"/>
                <w:szCs w:val="18"/>
              </w:rPr>
            </w:pPr>
            <w:r w:rsidRPr="00364545">
              <w:rPr>
                <w:sz w:val="18"/>
              </w:rPr>
              <w:t>365838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F79EBE" w14:textId="77777777" w:rsidR="00833524" w:rsidRPr="00364545" w:rsidRDefault="00833524" w:rsidP="00E56269">
            <w:pPr>
              <w:spacing w:line="259" w:lineRule="auto"/>
              <w:ind w:left="56"/>
              <w:jc w:val="center"/>
              <w:rPr>
                <w:sz w:val="18"/>
                <w:szCs w:val="18"/>
              </w:rPr>
            </w:pPr>
            <w:r w:rsidRPr="00364545">
              <w:rPr>
                <w:sz w:val="18"/>
              </w:rPr>
              <w:t>363349</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91A981" w14:textId="77777777" w:rsidR="00833524" w:rsidRPr="00364545" w:rsidRDefault="00833524" w:rsidP="00E56269">
            <w:pPr>
              <w:spacing w:line="259" w:lineRule="auto"/>
              <w:ind w:left="56"/>
              <w:jc w:val="center"/>
              <w:rPr>
                <w:sz w:val="18"/>
                <w:szCs w:val="18"/>
              </w:rPr>
            </w:pPr>
            <w:r w:rsidRPr="00364545">
              <w:rPr>
                <w:sz w:val="18"/>
              </w:rPr>
              <w:t>340618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F208278" w14:textId="77777777" w:rsidR="00833524" w:rsidRPr="00364545" w:rsidRDefault="00833524" w:rsidP="00E56269">
            <w:pPr>
              <w:spacing w:line="259" w:lineRule="auto"/>
              <w:ind w:left="56"/>
              <w:jc w:val="center"/>
              <w:rPr>
                <w:sz w:val="18"/>
                <w:szCs w:val="18"/>
              </w:rPr>
            </w:pPr>
            <w:r w:rsidRPr="00364545">
              <w:rPr>
                <w:sz w:val="18"/>
              </w:rPr>
              <w:t>332886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3A0FD0" w14:textId="77777777" w:rsidR="00833524" w:rsidRPr="00364545" w:rsidRDefault="00833524" w:rsidP="00E56269">
            <w:pPr>
              <w:spacing w:line="259" w:lineRule="auto"/>
              <w:ind w:left="56"/>
              <w:jc w:val="center"/>
              <w:rPr>
                <w:sz w:val="18"/>
                <w:szCs w:val="18"/>
              </w:rPr>
            </w:pPr>
            <w:r w:rsidRPr="00364545">
              <w:rPr>
                <w:sz w:val="18"/>
              </w:rPr>
              <w:t>317026</w:t>
            </w:r>
          </w:p>
        </w:tc>
      </w:tr>
      <w:tr w:rsidR="00833524" w:rsidRPr="00364545" w14:paraId="5886CA00" w14:textId="77777777" w:rsidTr="00E56269">
        <w:trPr>
          <w:trHeight w:val="346"/>
        </w:trPr>
        <w:tc>
          <w:tcPr>
            <w:tcW w:w="1405" w:type="dxa"/>
            <w:tcBorders>
              <w:top w:val="single" w:sz="2" w:space="0" w:color="000000"/>
              <w:left w:val="single" w:sz="2" w:space="0" w:color="000000"/>
              <w:bottom w:val="single" w:sz="2" w:space="0" w:color="000000"/>
              <w:right w:val="single" w:sz="2" w:space="0" w:color="000000"/>
            </w:tcBorders>
            <w:shd w:val="clear" w:color="auto" w:fill="E5EAF3"/>
          </w:tcPr>
          <w:p w14:paraId="6C00AF7A" w14:textId="77777777" w:rsidR="00833524" w:rsidRPr="00364545" w:rsidRDefault="00833524" w:rsidP="00E56269">
            <w:pPr>
              <w:spacing w:line="259" w:lineRule="auto"/>
              <w:jc w:val="left"/>
            </w:pPr>
            <w:r w:rsidRPr="00364545">
              <w:rPr>
                <w:i/>
                <w:sz w:val="18"/>
              </w:rPr>
              <w:t xml:space="preserve">For reference: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158D1C7" w14:textId="77777777" w:rsidR="00833524" w:rsidRPr="00364545" w:rsidRDefault="00833524" w:rsidP="00E56269">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774C63C" w14:textId="77777777" w:rsidR="00833524" w:rsidRPr="00364545" w:rsidRDefault="00833524" w:rsidP="00E56269">
            <w:pPr>
              <w:spacing w:line="259" w:lineRule="auto"/>
              <w:ind w:left="20"/>
              <w:jc w:val="center"/>
              <w:rPr>
                <w:i/>
                <w:sz w:val="18"/>
              </w:rP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5E5F13E" w14:textId="77777777" w:rsidR="00833524" w:rsidRPr="00364545" w:rsidRDefault="00833524" w:rsidP="00E56269">
            <w:pPr>
              <w:spacing w:line="259" w:lineRule="auto"/>
              <w:ind w:left="20"/>
              <w:jc w:val="cente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164C4B1" w14:textId="77777777" w:rsidR="00833524" w:rsidRPr="00364545" w:rsidRDefault="00833524" w:rsidP="00E56269">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1DAAD17" w14:textId="77777777" w:rsidR="00833524" w:rsidRPr="00364545" w:rsidRDefault="00833524" w:rsidP="00E56269">
            <w:pPr>
              <w:spacing w:line="259" w:lineRule="auto"/>
              <w:ind w:left="20"/>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D2F2FAE" w14:textId="77777777" w:rsidR="00833524" w:rsidRPr="00364545" w:rsidRDefault="00833524" w:rsidP="00E56269">
            <w:pPr>
              <w:spacing w:line="259" w:lineRule="auto"/>
              <w:ind w:left="18"/>
              <w:jc w:val="center"/>
            </w:pP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6452EBC" w14:textId="77777777" w:rsidR="00833524" w:rsidRPr="00364545" w:rsidRDefault="00833524" w:rsidP="00E56269">
            <w:pPr>
              <w:spacing w:line="259" w:lineRule="auto"/>
              <w:ind w:left="20"/>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71E93F9" w14:textId="77777777" w:rsidR="00833524" w:rsidRPr="00364545" w:rsidRDefault="00833524" w:rsidP="00E56269">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B1FA1B4" w14:textId="77777777" w:rsidR="00833524" w:rsidRPr="00364545" w:rsidRDefault="00833524" w:rsidP="00E56269">
            <w:pPr>
              <w:spacing w:line="259" w:lineRule="auto"/>
              <w:ind w:left="20"/>
              <w:jc w:val="cente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78B661C" w14:textId="77777777" w:rsidR="00833524" w:rsidRPr="00364545" w:rsidRDefault="00833524" w:rsidP="00E56269">
            <w:pPr>
              <w:spacing w:line="259" w:lineRule="auto"/>
              <w:ind w:left="19"/>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9D9136A" w14:textId="77777777" w:rsidR="00833524" w:rsidRPr="00364545" w:rsidRDefault="00833524" w:rsidP="00E56269">
            <w:pPr>
              <w:spacing w:line="259" w:lineRule="auto"/>
              <w:ind w:left="19"/>
              <w:jc w:val="center"/>
              <w:rPr>
                <w:i/>
                <w:sz w:val="18"/>
              </w:rP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7CAC225" w14:textId="77777777" w:rsidR="00833524" w:rsidRPr="00364545" w:rsidRDefault="00833524" w:rsidP="00E56269">
            <w:pPr>
              <w:spacing w:line="259" w:lineRule="auto"/>
              <w:ind w:left="19"/>
              <w:jc w:val="center"/>
              <w:rPr>
                <w:i/>
                <w:sz w:val="18"/>
              </w:rPr>
            </w:pPr>
          </w:p>
        </w:tc>
      </w:tr>
      <w:tr w:rsidR="00833524" w:rsidRPr="00364545" w14:paraId="2E1449B3" w14:textId="77777777" w:rsidTr="00E56269">
        <w:trPr>
          <w:trHeight w:val="346"/>
        </w:trPr>
        <w:tc>
          <w:tcPr>
            <w:tcW w:w="1405" w:type="dxa"/>
            <w:tcBorders>
              <w:top w:val="single" w:sz="2" w:space="0" w:color="000000"/>
              <w:left w:val="single" w:sz="2" w:space="0" w:color="000000"/>
              <w:bottom w:val="single" w:sz="2" w:space="0" w:color="000000"/>
              <w:right w:val="single" w:sz="2" w:space="0" w:color="000000"/>
            </w:tcBorders>
            <w:shd w:val="clear" w:color="auto" w:fill="E5EAF3"/>
          </w:tcPr>
          <w:p w14:paraId="4600438E" w14:textId="77777777" w:rsidR="00833524" w:rsidRPr="00364545" w:rsidRDefault="00833524" w:rsidP="00E56269">
            <w:pPr>
              <w:spacing w:line="259" w:lineRule="auto"/>
              <w:jc w:val="left"/>
            </w:pPr>
            <w:r w:rsidRPr="00364545">
              <w:rPr>
                <w:i/>
                <w:sz w:val="18"/>
              </w:rPr>
              <w:t xml:space="preserve">International bunker emissions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32C8B76" w14:textId="77777777" w:rsidR="00833524" w:rsidRPr="00364545" w:rsidRDefault="00833524" w:rsidP="00E56269">
            <w:pPr>
              <w:spacing w:line="259" w:lineRule="auto"/>
              <w:ind w:left="56"/>
              <w:jc w:val="center"/>
              <w:rPr>
                <w:i/>
                <w:sz w:val="18"/>
                <w:szCs w:val="18"/>
              </w:rPr>
            </w:pPr>
            <w:r>
              <w:rPr>
                <w:sz w:val="18"/>
                <w:szCs w:val="18"/>
              </w:rPr>
              <w:t>16921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EEEDE6C" w14:textId="77777777" w:rsidR="00833524" w:rsidRPr="00364545" w:rsidRDefault="00833524" w:rsidP="00E56269">
            <w:pPr>
              <w:spacing w:line="259" w:lineRule="auto"/>
              <w:ind w:left="56"/>
              <w:jc w:val="center"/>
              <w:rPr>
                <w:i/>
                <w:sz w:val="18"/>
                <w:szCs w:val="18"/>
              </w:rPr>
            </w:pPr>
            <w:r>
              <w:rPr>
                <w:sz w:val="18"/>
                <w:szCs w:val="18"/>
              </w:rPr>
              <w:t>17908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CD7A3B0" w14:textId="77777777" w:rsidR="00833524" w:rsidRPr="00364545" w:rsidRDefault="00833524" w:rsidP="00E56269">
            <w:pPr>
              <w:spacing w:line="259" w:lineRule="auto"/>
              <w:ind w:left="56"/>
              <w:jc w:val="center"/>
              <w:rPr>
                <w:i/>
                <w:sz w:val="18"/>
                <w:szCs w:val="18"/>
              </w:rPr>
            </w:pPr>
            <w:r>
              <w:rPr>
                <w:sz w:val="18"/>
                <w:szCs w:val="18"/>
              </w:rPr>
              <w:t>23807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7AF513C" w14:textId="77777777" w:rsidR="00833524" w:rsidRPr="00364545" w:rsidRDefault="00833524" w:rsidP="00E56269">
            <w:pPr>
              <w:spacing w:line="259" w:lineRule="auto"/>
              <w:ind w:left="56"/>
              <w:jc w:val="center"/>
              <w:rPr>
                <w:i/>
                <w:sz w:val="18"/>
                <w:szCs w:val="18"/>
              </w:rPr>
            </w:pPr>
            <w:r>
              <w:rPr>
                <w:sz w:val="18"/>
                <w:szCs w:val="18"/>
              </w:rPr>
              <w:t>24733</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BCC2A69" w14:textId="77777777" w:rsidR="00833524" w:rsidRPr="00364545" w:rsidRDefault="00833524" w:rsidP="00E56269">
            <w:pPr>
              <w:spacing w:line="259" w:lineRule="auto"/>
              <w:ind w:left="56"/>
              <w:jc w:val="center"/>
              <w:rPr>
                <w:i/>
                <w:sz w:val="18"/>
                <w:szCs w:val="18"/>
              </w:rPr>
            </w:pPr>
            <w:r w:rsidRPr="00634E4C">
              <w:rPr>
                <w:sz w:val="18"/>
              </w:rPr>
              <w:t>24227</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283E027" w14:textId="77777777" w:rsidR="00833524" w:rsidRPr="00364545" w:rsidRDefault="00833524" w:rsidP="00E56269">
            <w:pPr>
              <w:spacing w:line="259" w:lineRule="auto"/>
              <w:ind w:left="56"/>
              <w:jc w:val="center"/>
              <w:rPr>
                <w:i/>
                <w:sz w:val="18"/>
                <w:szCs w:val="18"/>
              </w:rPr>
            </w:pPr>
            <w:r w:rsidRPr="00634E4C">
              <w:rPr>
                <w:sz w:val="18"/>
              </w:rPr>
              <w:t>23316</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83B021F" w14:textId="77777777" w:rsidR="00833524" w:rsidRPr="00364545" w:rsidRDefault="00833524" w:rsidP="00E56269">
            <w:pPr>
              <w:spacing w:line="259" w:lineRule="auto"/>
              <w:ind w:left="56"/>
              <w:jc w:val="center"/>
              <w:rPr>
                <w:i/>
                <w:sz w:val="18"/>
                <w:szCs w:val="18"/>
              </w:rPr>
            </w:pPr>
            <w:r w:rsidRPr="00634E4C">
              <w:rPr>
                <w:sz w:val="18"/>
              </w:rPr>
              <w:t>24791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ACD43D1" w14:textId="77777777" w:rsidR="00833524" w:rsidRPr="00364545" w:rsidRDefault="00833524" w:rsidP="00E56269">
            <w:pPr>
              <w:spacing w:line="259" w:lineRule="auto"/>
              <w:ind w:left="56"/>
              <w:jc w:val="center"/>
              <w:rPr>
                <w:i/>
                <w:sz w:val="18"/>
                <w:szCs w:val="18"/>
              </w:rPr>
            </w:pPr>
            <w:r w:rsidRPr="00364545">
              <w:rPr>
                <w:i/>
                <w:sz w:val="18"/>
              </w:rPr>
              <w:t>9647</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FAF79A0" w14:textId="77777777" w:rsidR="00833524" w:rsidRPr="00364545" w:rsidRDefault="00833524" w:rsidP="00E56269">
            <w:pPr>
              <w:spacing w:line="259" w:lineRule="auto"/>
              <w:ind w:left="56"/>
              <w:jc w:val="center"/>
              <w:rPr>
                <w:i/>
                <w:sz w:val="18"/>
                <w:szCs w:val="18"/>
              </w:rPr>
            </w:pPr>
            <w:r w:rsidRPr="00364545">
              <w:rPr>
                <w:i/>
                <w:sz w:val="18"/>
              </w:rPr>
              <w:t>23890</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9D9BAA7" w14:textId="77777777" w:rsidR="00833524" w:rsidRPr="00364545" w:rsidRDefault="00833524" w:rsidP="00E56269">
            <w:pPr>
              <w:spacing w:line="259" w:lineRule="auto"/>
              <w:ind w:left="56"/>
              <w:jc w:val="center"/>
              <w:rPr>
                <w:i/>
                <w:sz w:val="18"/>
                <w:szCs w:val="18"/>
              </w:rPr>
            </w:pPr>
            <w:r w:rsidRPr="00364545">
              <w:rPr>
                <w:i/>
                <w:sz w:val="18"/>
              </w:rPr>
              <w:t>24424</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0DA761B" w14:textId="77777777" w:rsidR="00833524" w:rsidRPr="00364545" w:rsidRDefault="00833524" w:rsidP="00E56269">
            <w:pPr>
              <w:spacing w:line="259" w:lineRule="auto"/>
              <w:ind w:left="56"/>
              <w:jc w:val="center"/>
              <w:rPr>
                <w:i/>
                <w:sz w:val="18"/>
                <w:szCs w:val="18"/>
              </w:rPr>
            </w:pPr>
            <w:r w:rsidRPr="00364545">
              <w:rPr>
                <w:i/>
                <w:sz w:val="18"/>
              </w:rPr>
              <w:t>24881</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7F1B0B2" w14:textId="77777777" w:rsidR="00833524" w:rsidRPr="00364545" w:rsidRDefault="00833524" w:rsidP="00E56269">
            <w:pPr>
              <w:spacing w:line="259" w:lineRule="auto"/>
              <w:ind w:left="56"/>
              <w:jc w:val="center"/>
              <w:rPr>
                <w:i/>
                <w:sz w:val="18"/>
                <w:szCs w:val="18"/>
              </w:rPr>
            </w:pPr>
            <w:r w:rsidRPr="00364545">
              <w:rPr>
                <w:i/>
                <w:sz w:val="18"/>
              </w:rPr>
              <w:t>26319</w:t>
            </w:r>
          </w:p>
        </w:tc>
      </w:tr>
      <w:tr w:rsidR="00833524" w:rsidRPr="00364545" w14:paraId="1FA7DA92" w14:textId="77777777" w:rsidTr="00E56269">
        <w:trPr>
          <w:trHeight w:val="343"/>
        </w:trPr>
        <w:tc>
          <w:tcPr>
            <w:tcW w:w="1405" w:type="dxa"/>
            <w:tcBorders>
              <w:top w:val="single" w:sz="2" w:space="0" w:color="000000"/>
              <w:left w:val="single" w:sz="2" w:space="0" w:color="000000"/>
              <w:bottom w:val="single" w:sz="2" w:space="0" w:color="000000"/>
              <w:right w:val="single" w:sz="2" w:space="0" w:color="000000"/>
            </w:tcBorders>
            <w:shd w:val="clear" w:color="auto" w:fill="E5EAF3"/>
          </w:tcPr>
          <w:p w14:paraId="5B5C11DF" w14:textId="77777777" w:rsidR="00833524" w:rsidRPr="00364545" w:rsidRDefault="00833524" w:rsidP="00E56269">
            <w:pPr>
              <w:spacing w:line="259" w:lineRule="auto"/>
              <w:jc w:val="left"/>
            </w:pPr>
            <w:r w:rsidRPr="00364545">
              <w:rPr>
                <w:i/>
                <w:sz w:val="18"/>
              </w:rPr>
              <w:t xml:space="preserve">Aviation bunker emissions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6267A8A" w14:textId="77777777" w:rsidR="00833524" w:rsidRPr="00364545" w:rsidRDefault="00833524" w:rsidP="00E56269">
            <w:pPr>
              <w:spacing w:line="259" w:lineRule="auto"/>
              <w:ind w:left="56"/>
              <w:jc w:val="center"/>
              <w:rPr>
                <w:i/>
                <w:sz w:val="18"/>
                <w:szCs w:val="18"/>
              </w:rPr>
            </w:pPr>
            <w:r>
              <w:rPr>
                <w:sz w:val="18"/>
                <w:szCs w:val="18"/>
              </w:rPr>
              <w:t>8880</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D37FADE" w14:textId="77777777" w:rsidR="00833524" w:rsidRPr="00364545" w:rsidRDefault="00833524" w:rsidP="00E56269">
            <w:pPr>
              <w:spacing w:line="259" w:lineRule="auto"/>
              <w:ind w:left="56"/>
              <w:jc w:val="center"/>
              <w:rPr>
                <w:i/>
                <w:sz w:val="18"/>
                <w:szCs w:val="18"/>
              </w:rPr>
            </w:pPr>
            <w:r>
              <w:rPr>
                <w:sz w:val="18"/>
                <w:szCs w:val="18"/>
              </w:rPr>
              <w:t>10709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79FDE82" w14:textId="77777777" w:rsidR="00833524" w:rsidRPr="00364545" w:rsidRDefault="00833524" w:rsidP="00E56269">
            <w:pPr>
              <w:spacing w:line="259" w:lineRule="auto"/>
              <w:ind w:left="56"/>
              <w:jc w:val="center"/>
              <w:rPr>
                <w:i/>
                <w:sz w:val="18"/>
                <w:szCs w:val="18"/>
              </w:rPr>
            </w:pPr>
            <w:r>
              <w:rPr>
                <w:sz w:val="18"/>
                <w:szCs w:val="18"/>
              </w:rPr>
              <w:t>14243</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B27DC1F" w14:textId="77777777" w:rsidR="00833524" w:rsidRPr="00364545" w:rsidRDefault="00833524" w:rsidP="00E56269">
            <w:pPr>
              <w:spacing w:line="259" w:lineRule="auto"/>
              <w:ind w:left="56"/>
              <w:jc w:val="center"/>
              <w:rPr>
                <w:i/>
                <w:sz w:val="18"/>
                <w:szCs w:val="18"/>
              </w:rPr>
            </w:pPr>
            <w:r>
              <w:rPr>
                <w:sz w:val="18"/>
                <w:szCs w:val="18"/>
              </w:rPr>
              <w:t>15862</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3346243" w14:textId="77777777" w:rsidR="00833524" w:rsidRPr="00364545" w:rsidRDefault="00833524" w:rsidP="00E56269">
            <w:pPr>
              <w:spacing w:line="259" w:lineRule="auto"/>
              <w:ind w:left="56"/>
              <w:jc w:val="center"/>
              <w:rPr>
                <w:i/>
                <w:sz w:val="18"/>
                <w:szCs w:val="18"/>
              </w:rPr>
            </w:pPr>
            <w:r w:rsidRPr="00634E4C">
              <w:rPr>
                <w:sz w:val="18"/>
              </w:rPr>
              <w:t>16227</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BAA6562" w14:textId="77777777" w:rsidR="00833524" w:rsidRPr="00364545" w:rsidRDefault="00833524" w:rsidP="00E56269">
            <w:pPr>
              <w:spacing w:line="259" w:lineRule="auto"/>
              <w:ind w:left="56"/>
              <w:jc w:val="center"/>
              <w:rPr>
                <w:i/>
                <w:sz w:val="18"/>
                <w:szCs w:val="18"/>
              </w:rPr>
            </w:pPr>
            <w:r w:rsidRPr="00634E4C">
              <w:rPr>
                <w:sz w:val="18"/>
              </w:rPr>
              <w:t>17705</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3000732" w14:textId="77777777" w:rsidR="00833524" w:rsidRPr="00364545" w:rsidRDefault="00833524" w:rsidP="00E56269">
            <w:pPr>
              <w:spacing w:line="259" w:lineRule="auto"/>
              <w:ind w:left="56"/>
              <w:jc w:val="center"/>
              <w:rPr>
                <w:i/>
                <w:sz w:val="18"/>
                <w:szCs w:val="18"/>
              </w:rPr>
            </w:pPr>
            <w:r w:rsidRPr="00634E4C">
              <w:rPr>
                <w:sz w:val="18"/>
              </w:rPr>
              <w:t>19202</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320C22D" w14:textId="77777777" w:rsidR="00833524" w:rsidRPr="00364545" w:rsidRDefault="00833524" w:rsidP="00E56269">
            <w:pPr>
              <w:spacing w:line="259" w:lineRule="auto"/>
              <w:ind w:left="56"/>
              <w:jc w:val="center"/>
              <w:rPr>
                <w:i/>
                <w:sz w:val="18"/>
                <w:szCs w:val="18"/>
              </w:rPr>
            </w:pPr>
            <w:r w:rsidRPr="00364545">
              <w:rPr>
                <w:i/>
                <w:sz w:val="18"/>
              </w:rPr>
              <w:t>4898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AC60BB5" w14:textId="77777777" w:rsidR="00833524" w:rsidRPr="00364545" w:rsidRDefault="00833524" w:rsidP="00E56269">
            <w:pPr>
              <w:spacing w:line="259" w:lineRule="auto"/>
              <w:ind w:left="56"/>
              <w:jc w:val="center"/>
              <w:rPr>
                <w:i/>
                <w:sz w:val="18"/>
                <w:szCs w:val="18"/>
              </w:rPr>
            </w:pPr>
            <w:r w:rsidRPr="00364545">
              <w:rPr>
                <w:i/>
                <w:sz w:val="18"/>
              </w:rPr>
              <w:t>19148</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ABBE856" w14:textId="77777777" w:rsidR="00833524" w:rsidRPr="00364545" w:rsidRDefault="00833524" w:rsidP="00E56269">
            <w:pPr>
              <w:spacing w:line="259" w:lineRule="auto"/>
              <w:ind w:left="56"/>
              <w:jc w:val="center"/>
              <w:rPr>
                <w:i/>
                <w:sz w:val="18"/>
                <w:szCs w:val="18"/>
              </w:rPr>
            </w:pPr>
            <w:r w:rsidRPr="00364545">
              <w:rPr>
                <w:i/>
                <w:sz w:val="18"/>
              </w:rPr>
              <w:t>19698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5CCECF4" w14:textId="77777777" w:rsidR="00833524" w:rsidRPr="00364545" w:rsidRDefault="00833524" w:rsidP="00E56269">
            <w:pPr>
              <w:spacing w:line="259" w:lineRule="auto"/>
              <w:ind w:left="56"/>
              <w:jc w:val="center"/>
              <w:rPr>
                <w:i/>
                <w:sz w:val="18"/>
                <w:szCs w:val="18"/>
              </w:rPr>
            </w:pPr>
            <w:r w:rsidRPr="00364545">
              <w:rPr>
                <w:i/>
                <w:sz w:val="18"/>
              </w:rPr>
              <w:t>20165</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1AB31F3" w14:textId="77777777" w:rsidR="00833524" w:rsidRPr="00364545" w:rsidRDefault="00833524" w:rsidP="00E56269">
            <w:pPr>
              <w:spacing w:line="259" w:lineRule="auto"/>
              <w:ind w:left="56"/>
              <w:jc w:val="center"/>
              <w:rPr>
                <w:i/>
                <w:sz w:val="18"/>
                <w:szCs w:val="18"/>
              </w:rPr>
            </w:pPr>
            <w:r w:rsidRPr="00364545">
              <w:rPr>
                <w:i/>
                <w:sz w:val="18"/>
              </w:rPr>
              <w:t>21635</w:t>
            </w:r>
          </w:p>
        </w:tc>
      </w:tr>
      <w:tr w:rsidR="00833524" w:rsidRPr="00364545" w14:paraId="70AE8128" w14:textId="77777777" w:rsidTr="00E56269">
        <w:trPr>
          <w:trHeight w:val="345"/>
        </w:trPr>
        <w:tc>
          <w:tcPr>
            <w:tcW w:w="1405" w:type="dxa"/>
            <w:tcBorders>
              <w:top w:val="single" w:sz="2" w:space="0" w:color="000000"/>
              <w:left w:val="single" w:sz="2" w:space="0" w:color="000000"/>
              <w:bottom w:val="single" w:sz="2" w:space="0" w:color="000000"/>
              <w:right w:val="single" w:sz="2" w:space="0" w:color="000000"/>
            </w:tcBorders>
            <w:shd w:val="clear" w:color="auto" w:fill="E5EAF3"/>
          </w:tcPr>
          <w:p w14:paraId="0578DBBA" w14:textId="77777777" w:rsidR="00833524" w:rsidRPr="00364545" w:rsidRDefault="00833524" w:rsidP="00E56269">
            <w:pPr>
              <w:spacing w:line="259" w:lineRule="auto"/>
              <w:jc w:val="left"/>
            </w:pPr>
            <w:r w:rsidRPr="00364545">
              <w:rPr>
                <w:i/>
                <w:sz w:val="18"/>
              </w:rPr>
              <w:t xml:space="preserve">Maritime bunker emissions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8921A08" w14:textId="77777777" w:rsidR="00833524" w:rsidRPr="00364545" w:rsidRDefault="00833524" w:rsidP="00E56269">
            <w:pPr>
              <w:spacing w:line="259" w:lineRule="auto"/>
              <w:ind w:left="56"/>
              <w:jc w:val="center"/>
              <w:rPr>
                <w:i/>
                <w:sz w:val="18"/>
                <w:szCs w:val="18"/>
              </w:rPr>
            </w:pPr>
            <w:r>
              <w:rPr>
                <w:sz w:val="18"/>
                <w:szCs w:val="18"/>
              </w:rPr>
              <w:t>8041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7FD65DE" w14:textId="77777777" w:rsidR="00833524" w:rsidRPr="00364545" w:rsidRDefault="00833524" w:rsidP="00E56269">
            <w:pPr>
              <w:spacing w:line="259" w:lineRule="auto"/>
              <w:ind w:left="56"/>
              <w:jc w:val="center"/>
              <w:rPr>
                <w:i/>
                <w:sz w:val="18"/>
                <w:szCs w:val="18"/>
              </w:rPr>
            </w:pPr>
            <w:r>
              <w:rPr>
                <w:sz w:val="18"/>
                <w:szCs w:val="18"/>
              </w:rPr>
              <w:t>7199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F39E1FE" w14:textId="77777777" w:rsidR="00833524" w:rsidRPr="00364545" w:rsidRDefault="00833524" w:rsidP="00E56269">
            <w:pPr>
              <w:spacing w:line="259" w:lineRule="auto"/>
              <w:ind w:left="56"/>
              <w:jc w:val="center"/>
              <w:rPr>
                <w:i/>
                <w:sz w:val="18"/>
                <w:szCs w:val="18"/>
              </w:rPr>
            </w:pPr>
            <w:r>
              <w:rPr>
                <w:sz w:val="18"/>
                <w:szCs w:val="18"/>
              </w:rPr>
              <w:t>9564</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A9FC023" w14:textId="77777777" w:rsidR="00833524" w:rsidRPr="00364545" w:rsidRDefault="00833524" w:rsidP="00E56269">
            <w:pPr>
              <w:spacing w:line="259" w:lineRule="auto"/>
              <w:ind w:left="56"/>
              <w:jc w:val="center"/>
              <w:rPr>
                <w:i/>
                <w:sz w:val="18"/>
                <w:szCs w:val="18"/>
              </w:rPr>
            </w:pPr>
            <w:r w:rsidRPr="00634E4C">
              <w:rPr>
                <w:sz w:val="18"/>
              </w:rPr>
              <w:t>8871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D9AEA17" w14:textId="77777777" w:rsidR="00833524" w:rsidRPr="00364545" w:rsidRDefault="00833524" w:rsidP="00E56269">
            <w:pPr>
              <w:spacing w:line="259" w:lineRule="auto"/>
              <w:ind w:left="56"/>
              <w:jc w:val="center"/>
              <w:rPr>
                <w:i/>
                <w:sz w:val="18"/>
                <w:szCs w:val="18"/>
              </w:rPr>
            </w:pPr>
            <w:r w:rsidRPr="00634E4C">
              <w:rPr>
                <w:sz w:val="18"/>
              </w:rPr>
              <w:t>8001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B133300" w14:textId="77777777" w:rsidR="00833524" w:rsidRPr="00364545" w:rsidRDefault="00833524" w:rsidP="00E56269">
            <w:pPr>
              <w:spacing w:line="259" w:lineRule="auto"/>
              <w:ind w:left="56"/>
              <w:jc w:val="center"/>
              <w:rPr>
                <w:i/>
                <w:sz w:val="18"/>
                <w:szCs w:val="18"/>
              </w:rPr>
            </w:pPr>
            <w:r w:rsidRPr="00634E4C">
              <w:rPr>
                <w:sz w:val="18"/>
              </w:rPr>
              <w:t>5611</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A9834C7" w14:textId="77777777" w:rsidR="00833524" w:rsidRPr="00364545" w:rsidRDefault="00833524" w:rsidP="00E56269">
            <w:pPr>
              <w:spacing w:line="259" w:lineRule="auto"/>
              <w:ind w:left="56"/>
              <w:jc w:val="center"/>
              <w:rPr>
                <w:i/>
                <w:sz w:val="18"/>
                <w:szCs w:val="18"/>
              </w:rPr>
            </w:pPr>
            <w:r w:rsidRPr="00634E4C">
              <w:rPr>
                <w:sz w:val="18"/>
              </w:rPr>
              <w:t>5589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C2DB5D2" w14:textId="77777777" w:rsidR="00833524" w:rsidRPr="00364545" w:rsidRDefault="00833524" w:rsidP="00E56269">
            <w:pPr>
              <w:spacing w:line="259" w:lineRule="auto"/>
              <w:ind w:left="56"/>
              <w:jc w:val="center"/>
              <w:rPr>
                <w:i/>
                <w:sz w:val="18"/>
                <w:szCs w:val="18"/>
              </w:rPr>
            </w:pPr>
            <w:r w:rsidRPr="00364545">
              <w:rPr>
                <w:i/>
                <w:sz w:val="18"/>
              </w:rPr>
              <w:t>4750</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0A5191F" w14:textId="77777777" w:rsidR="00833524" w:rsidRPr="00364545" w:rsidRDefault="00833524" w:rsidP="00E56269">
            <w:pPr>
              <w:spacing w:line="259" w:lineRule="auto"/>
              <w:ind w:left="56"/>
              <w:jc w:val="center"/>
              <w:rPr>
                <w:i/>
                <w:sz w:val="18"/>
                <w:szCs w:val="18"/>
              </w:rPr>
            </w:pPr>
            <w:r w:rsidRPr="00364545">
              <w:rPr>
                <w:i/>
                <w:sz w:val="18"/>
              </w:rPr>
              <w:t>4742</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8C1A051" w14:textId="77777777" w:rsidR="00833524" w:rsidRPr="00364545" w:rsidRDefault="00833524" w:rsidP="00E56269">
            <w:pPr>
              <w:spacing w:line="259" w:lineRule="auto"/>
              <w:ind w:left="56"/>
              <w:jc w:val="center"/>
              <w:rPr>
                <w:i/>
                <w:sz w:val="18"/>
                <w:szCs w:val="18"/>
              </w:rPr>
            </w:pPr>
            <w:r w:rsidRPr="00364545">
              <w:rPr>
                <w:i/>
                <w:sz w:val="18"/>
              </w:rPr>
              <w:t>4726</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7300609" w14:textId="77777777" w:rsidR="00833524" w:rsidRPr="00364545" w:rsidRDefault="00833524" w:rsidP="00E56269">
            <w:pPr>
              <w:spacing w:line="259" w:lineRule="auto"/>
              <w:ind w:left="56"/>
              <w:jc w:val="center"/>
              <w:rPr>
                <w:i/>
                <w:sz w:val="18"/>
                <w:szCs w:val="18"/>
              </w:rPr>
            </w:pPr>
            <w:r w:rsidRPr="00364545">
              <w:rPr>
                <w:i/>
                <w:sz w:val="18"/>
              </w:rPr>
              <w:t>4716</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8647377" w14:textId="77777777" w:rsidR="00833524" w:rsidRPr="00364545" w:rsidRDefault="00833524" w:rsidP="00E56269">
            <w:pPr>
              <w:spacing w:line="259" w:lineRule="auto"/>
              <w:ind w:left="56"/>
              <w:jc w:val="center"/>
              <w:rPr>
                <w:i/>
                <w:sz w:val="18"/>
                <w:szCs w:val="18"/>
              </w:rPr>
            </w:pPr>
            <w:r w:rsidRPr="00364545">
              <w:rPr>
                <w:i/>
                <w:sz w:val="18"/>
              </w:rPr>
              <w:t>4685</w:t>
            </w:r>
          </w:p>
        </w:tc>
      </w:tr>
    </w:tbl>
    <w:p w14:paraId="719DCF11" w14:textId="77777777" w:rsidR="00833524" w:rsidRPr="00364545" w:rsidRDefault="00833524" w:rsidP="00833524">
      <w:pPr>
        <w:pStyle w:val="Default"/>
        <w:rPr>
          <w:sz w:val="16"/>
          <w:szCs w:val="16"/>
        </w:rPr>
      </w:pPr>
      <w:r w:rsidRPr="00364545">
        <w:rPr>
          <w:i/>
          <w:sz w:val="16"/>
        </w:rPr>
        <w:t xml:space="preserve">Reading the table: Energy = category CRF1; industrial processes and solvents = category CRF2 and 3; agriculture (non-energy) = category CRF4; waste treatment = category CRF 6. </w:t>
      </w:r>
    </w:p>
    <w:p w14:paraId="4E1DC2F9" w14:textId="7BAD0EF4" w:rsidR="00833524" w:rsidRPr="00364545" w:rsidRDefault="00833524" w:rsidP="00833524">
      <w:pPr>
        <w:pStyle w:val="Caption"/>
      </w:pPr>
      <w:r w:rsidRPr="00364545">
        <w:t xml:space="preserve">Table </w:t>
      </w:r>
      <w:fldSimple w:instr=" SEQ Tableau \* ARABIC ">
        <w:r w:rsidR="009A2FAA">
          <w:rPr>
            <w:noProof/>
          </w:rPr>
          <w:t>13</w:t>
        </w:r>
      </w:fldSimple>
      <w:r w:rsidRPr="00364545">
        <w:t>: GHG emissions projections by sector of activity (in ktCO</w:t>
      </w:r>
      <w:r w:rsidRPr="00364545">
        <w:rPr>
          <w:vertAlign w:val="subscript"/>
        </w:rPr>
        <w:t>2e</w:t>
      </w:r>
      <w:r w:rsidRPr="00364545">
        <w:t>) in the Kyoto scope in the AME scenario (with existing measures)</w:t>
      </w:r>
    </w:p>
    <w:p w14:paraId="66CDB7C6" w14:textId="77777777" w:rsidR="00833524" w:rsidRPr="00364545" w:rsidRDefault="00833524" w:rsidP="00833524">
      <w:pPr>
        <w:pStyle w:val="Caption"/>
      </w:pPr>
      <w:r w:rsidRPr="00364545">
        <w:t>Source: UNFCCC inventory, Citepa/MTE, 202</w:t>
      </w:r>
      <w:r>
        <w:t>2</w:t>
      </w:r>
      <w:r w:rsidRPr="00364545">
        <w:t xml:space="preserve"> submission and MTE emission projections, 2021</w:t>
      </w:r>
    </w:p>
    <w:p w14:paraId="7D1027A7" w14:textId="77777777" w:rsidR="00833524" w:rsidRPr="00364545" w:rsidRDefault="00833524" w:rsidP="00833524">
      <w:pPr>
        <w:rPr>
          <w:sz w:val="18"/>
          <w:szCs w:val="18"/>
        </w:rPr>
      </w:pPr>
    </w:p>
    <w:p w14:paraId="6FCE341E" w14:textId="77777777" w:rsidR="00833524" w:rsidRPr="00364545" w:rsidRDefault="00833524" w:rsidP="00833524">
      <w:pPr>
        <w:rPr>
          <w:i/>
          <w:iCs/>
          <w:sz w:val="16"/>
          <w:szCs w:val="16"/>
        </w:rPr>
      </w:pPr>
    </w:p>
    <w:p w14:paraId="54B245E1" w14:textId="77777777" w:rsidR="00833524" w:rsidRPr="00364545" w:rsidRDefault="00833524" w:rsidP="00833524">
      <w:pPr>
        <w:rPr>
          <w:sz w:val="18"/>
          <w:szCs w:val="18"/>
        </w:rPr>
      </w:pPr>
    </w:p>
    <w:p w14:paraId="562FA0A1" w14:textId="77777777" w:rsidR="00833524" w:rsidRPr="00364545" w:rsidRDefault="00833524" w:rsidP="00833524">
      <w:pPr>
        <w:rPr>
          <w:sz w:val="18"/>
          <w:szCs w:val="18"/>
        </w:rPr>
      </w:pPr>
    </w:p>
    <w:p w14:paraId="7C321CCC" w14:textId="77777777" w:rsidR="00833524" w:rsidRPr="00364545" w:rsidRDefault="00833524" w:rsidP="00833524">
      <w:pPr>
        <w:rPr>
          <w:sz w:val="18"/>
          <w:szCs w:val="18"/>
        </w:rPr>
      </w:pPr>
    </w:p>
    <w:p w14:paraId="2987B5EC" w14:textId="77777777" w:rsidR="00833524" w:rsidRPr="00364545" w:rsidRDefault="00833524" w:rsidP="00833524">
      <w:pPr>
        <w:jc w:val="center"/>
        <w:rPr>
          <w:sz w:val="18"/>
          <w:szCs w:val="18"/>
        </w:rPr>
      </w:pPr>
    </w:p>
    <w:p w14:paraId="565AE34B" w14:textId="77777777" w:rsidR="00833524" w:rsidRDefault="00833524" w:rsidP="00833524">
      <w:pPr>
        <w:pStyle w:val="Caption"/>
      </w:pPr>
    </w:p>
    <w:p w14:paraId="77CE95CD" w14:textId="77777777" w:rsidR="00833524" w:rsidRDefault="00833524" w:rsidP="00833524">
      <w:pPr>
        <w:pStyle w:val="Caption"/>
        <w:jc w:val="center"/>
      </w:pPr>
      <w:r>
        <w:rPr>
          <w:noProof/>
          <w:lang w:val="fr-FR"/>
        </w:rPr>
        <w:drawing>
          <wp:inline distT="0" distB="0" distL="0" distR="0" wp14:anchorId="6E2C3D97" wp14:editId="3243C6E9">
            <wp:extent cx="6205855" cy="3183467"/>
            <wp:effectExtent l="0" t="0" r="4445" b="0"/>
            <wp:docPr id="28712" name="Graphique 287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B55C658" w14:textId="0C322AEC" w:rsidR="00833524" w:rsidRPr="00364545" w:rsidRDefault="00833524" w:rsidP="00833524">
      <w:pPr>
        <w:pStyle w:val="Caption"/>
      </w:pPr>
      <w:r w:rsidRPr="00364545">
        <w:t xml:space="preserve">Figure </w:t>
      </w:r>
      <w:fldSimple w:instr=" SEQ Figure \* ARABIC ">
        <w:r w:rsidR="009A2FAA">
          <w:rPr>
            <w:noProof/>
          </w:rPr>
          <w:t>54</w:t>
        </w:r>
      </w:fldSimple>
      <w:r w:rsidRPr="00364545">
        <w:t>: Projection by sector in ktCO</w:t>
      </w:r>
      <w:r w:rsidRPr="00364545">
        <w:rPr>
          <w:vertAlign w:val="subscript"/>
        </w:rPr>
        <w:t>2</w:t>
      </w:r>
      <w:r w:rsidRPr="00364545">
        <w:t xml:space="preserve">e, Kyoto format, WEM scenario </w:t>
      </w:r>
    </w:p>
    <w:p w14:paraId="34A6F4F6" w14:textId="77777777" w:rsidR="00833524" w:rsidRPr="00364545" w:rsidRDefault="00833524" w:rsidP="00833524">
      <w:pPr>
        <w:pStyle w:val="Caption"/>
      </w:pPr>
      <w:r w:rsidRPr="00364545">
        <w:t>Source: UN</w:t>
      </w:r>
      <w:r>
        <w:t>FCCC inventory, Citepa/MTES, 2022</w:t>
      </w:r>
      <w:r w:rsidRPr="00364545">
        <w:t xml:space="preserve"> submission and</w:t>
      </w:r>
      <w:r>
        <w:t xml:space="preserve"> MTES emission projections, 2021</w:t>
      </w:r>
    </w:p>
    <w:p w14:paraId="041056CA" w14:textId="77777777" w:rsidR="00833524" w:rsidRPr="00364545" w:rsidRDefault="00833524" w:rsidP="00833524">
      <w:pPr>
        <w:rPr>
          <w:sz w:val="18"/>
          <w:szCs w:val="18"/>
        </w:rPr>
      </w:pPr>
    </w:p>
    <w:p w14:paraId="01DE398F" w14:textId="77777777" w:rsidR="00833524" w:rsidRPr="00364545" w:rsidRDefault="00833524" w:rsidP="00833524">
      <w:pPr>
        <w:pStyle w:val="titreencadre"/>
        <w:numPr>
          <w:ilvl w:val="3"/>
          <w:numId w:val="78"/>
        </w:numPr>
      </w:pPr>
      <w:r w:rsidRPr="00364545">
        <w:t>AMS 2018</w:t>
      </w:r>
    </w:p>
    <w:tbl>
      <w:tblPr>
        <w:tblStyle w:val="TableGrid0"/>
        <w:tblW w:w="10708" w:type="dxa"/>
        <w:tblInd w:w="10" w:type="dxa"/>
        <w:tblLayout w:type="fixed"/>
        <w:tblCellMar>
          <w:top w:w="40" w:type="dxa"/>
          <w:left w:w="28" w:type="dxa"/>
          <w:right w:w="3" w:type="dxa"/>
        </w:tblCellMar>
        <w:tblLook w:val="04A0" w:firstRow="1" w:lastRow="0" w:firstColumn="1" w:lastColumn="0" w:noHBand="0" w:noVBand="1"/>
      </w:tblPr>
      <w:tblGrid>
        <w:gridCol w:w="1404"/>
        <w:gridCol w:w="775"/>
        <w:gridCol w:w="775"/>
        <w:gridCol w:w="775"/>
        <w:gridCol w:w="776"/>
        <w:gridCol w:w="775"/>
        <w:gridCol w:w="776"/>
        <w:gridCol w:w="775"/>
        <w:gridCol w:w="775"/>
        <w:gridCol w:w="775"/>
        <w:gridCol w:w="776"/>
        <w:gridCol w:w="775"/>
        <w:gridCol w:w="776"/>
      </w:tblGrid>
      <w:tr w:rsidR="00833524" w:rsidRPr="00364545" w14:paraId="065AF971" w14:textId="77777777" w:rsidTr="00E56269">
        <w:trPr>
          <w:trHeight w:val="400"/>
        </w:trPr>
        <w:tc>
          <w:tcPr>
            <w:tcW w:w="1404" w:type="dxa"/>
            <w:tcBorders>
              <w:top w:val="single" w:sz="2" w:space="0" w:color="000000"/>
              <w:left w:val="single" w:sz="2" w:space="0" w:color="000000"/>
              <w:bottom w:val="single" w:sz="2" w:space="0" w:color="000000"/>
              <w:right w:val="single" w:sz="2" w:space="0" w:color="000000"/>
            </w:tcBorders>
            <w:shd w:val="clear" w:color="auto" w:fill="6D2A78"/>
          </w:tcPr>
          <w:p w14:paraId="4552E2F0" w14:textId="77777777" w:rsidR="00833524" w:rsidRPr="00364545" w:rsidRDefault="00833524" w:rsidP="00E56269">
            <w:pPr>
              <w:spacing w:line="259" w:lineRule="auto"/>
              <w:rPr>
                <w:b/>
              </w:rPr>
            </w:pPr>
            <w:r w:rsidRPr="00364545">
              <w:rPr>
                <w:b/>
                <w:color w:val="FFFFFF" w:themeColor="background1"/>
              </w:rPr>
              <w:t>AMS 2018</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17D8EFAD" w14:textId="77777777" w:rsidR="00833524" w:rsidRPr="00364545" w:rsidRDefault="00833524" w:rsidP="00E56269">
            <w:pPr>
              <w:spacing w:line="259" w:lineRule="auto"/>
              <w:ind w:right="28"/>
              <w:jc w:val="center"/>
            </w:pPr>
            <w:r w:rsidRPr="00364545">
              <w:rPr>
                <w:b/>
                <w:color w:val="FFFFFF"/>
                <w:sz w:val="18"/>
              </w:rPr>
              <w:t xml:space="preserve">1990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786F8C32" w14:textId="77777777" w:rsidR="00833524" w:rsidRPr="00364545" w:rsidRDefault="00833524" w:rsidP="00E56269">
            <w:pPr>
              <w:spacing w:line="259" w:lineRule="auto"/>
              <w:ind w:right="26"/>
              <w:jc w:val="center"/>
              <w:rPr>
                <w:b/>
                <w:color w:val="FFFFFF"/>
                <w:sz w:val="18"/>
              </w:rPr>
            </w:pPr>
            <w:r w:rsidRPr="00364545">
              <w:rPr>
                <w:b/>
                <w:color w:val="FFFFFF"/>
                <w:sz w:val="18"/>
              </w:rPr>
              <w:t>1995</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6A625DE3" w14:textId="77777777" w:rsidR="00833524" w:rsidRPr="00364545" w:rsidRDefault="00833524" w:rsidP="00E56269">
            <w:pPr>
              <w:spacing w:line="259" w:lineRule="auto"/>
              <w:ind w:right="26"/>
              <w:jc w:val="center"/>
            </w:pPr>
            <w:r w:rsidRPr="00364545">
              <w:rPr>
                <w:b/>
                <w:color w:val="FFFFFF"/>
                <w:sz w:val="18"/>
              </w:rPr>
              <w:t xml:space="preserve">2000 </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5AB8B3E4" w14:textId="77777777" w:rsidR="00833524" w:rsidRPr="00364545" w:rsidRDefault="00833524" w:rsidP="00E56269">
            <w:pPr>
              <w:spacing w:line="259" w:lineRule="auto"/>
              <w:ind w:right="28"/>
              <w:jc w:val="center"/>
            </w:pPr>
            <w:r w:rsidRPr="00364545">
              <w:rPr>
                <w:b/>
                <w:color w:val="FFFFFF"/>
                <w:sz w:val="18"/>
              </w:rPr>
              <w:t xml:space="preserve">2005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7ADA1747" w14:textId="77777777" w:rsidR="00833524" w:rsidRPr="00364545" w:rsidRDefault="00833524" w:rsidP="00E56269">
            <w:pPr>
              <w:spacing w:line="259" w:lineRule="auto"/>
              <w:ind w:right="26"/>
              <w:jc w:val="center"/>
            </w:pPr>
            <w:r w:rsidRPr="00364545">
              <w:rPr>
                <w:b/>
                <w:color w:val="FFFFFF"/>
                <w:sz w:val="18"/>
              </w:rPr>
              <w:t xml:space="preserve">2010 </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1BBBFCC0" w14:textId="77777777" w:rsidR="00833524" w:rsidRPr="00364545" w:rsidRDefault="00833524" w:rsidP="00E56269">
            <w:pPr>
              <w:spacing w:line="259" w:lineRule="auto"/>
              <w:ind w:right="28"/>
              <w:jc w:val="center"/>
            </w:pPr>
            <w:r w:rsidRPr="00364545">
              <w:rPr>
                <w:b/>
                <w:color w:val="FFFFFF"/>
                <w:sz w:val="18"/>
              </w:rPr>
              <w:t xml:space="preserve">2015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15DC1244" w14:textId="77777777" w:rsidR="00833524" w:rsidRPr="00364545" w:rsidRDefault="00833524" w:rsidP="00E56269">
            <w:pPr>
              <w:spacing w:line="259" w:lineRule="auto"/>
              <w:ind w:right="28"/>
              <w:jc w:val="center"/>
              <w:rPr>
                <w:b/>
                <w:color w:val="FFFFFF"/>
                <w:sz w:val="18"/>
              </w:rPr>
            </w:pPr>
            <w:r>
              <w:rPr>
                <w:b/>
                <w:color w:val="FFFFFF"/>
                <w:sz w:val="18"/>
              </w:rPr>
              <w:t>2019</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36B57D3E" w14:textId="77777777" w:rsidR="00833524" w:rsidRPr="00364545" w:rsidRDefault="00833524" w:rsidP="00E56269">
            <w:pPr>
              <w:spacing w:line="259" w:lineRule="auto"/>
              <w:ind w:right="28"/>
              <w:jc w:val="center"/>
            </w:pPr>
            <w:r w:rsidRPr="00364545">
              <w:rPr>
                <w:b/>
                <w:color w:val="FFFFFF"/>
                <w:sz w:val="18"/>
              </w:rPr>
              <w:t xml:space="preserve">2020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6B927263" w14:textId="77777777" w:rsidR="00833524" w:rsidRPr="00364545" w:rsidRDefault="00833524" w:rsidP="00E56269">
            <w:pPr>
              <w:spacing w:line="259" w:lineRule="auto"/>
              <w:ind w:right="26"/>
              <w:jc w:val="center"/>
            </w:pPr>
            <w:r w:rsidRPr="00364545">
              <w:rPr>
                <w:b/>
                <w:color w:val="FFFFFF"/>
                <w:sz w:val="18"/>
              </w:rPr>
              <w:t>2025</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6C3B2903" w14:textId="77777777" w:rsidR="00833524" w:rsidRPr="00364545" w:rsidRDefault="00833524" w:rsidP="00E56269">
            <w:pPr>
              <w:spacing w:line="259" w:lineRule="auto"/>
              <w:ind w:right="27"/>
              <w:jc w:val="center"/>
            </w:pPr>
            <w:r w:rsidRPr="00364545">
              <w:rPr>
                <w:b/>
                <w:color w:val="FFFFFF"/>
                <w:sz w:val="18"/>
              </w:rPr>
              <w:t xml:space="preserve">2030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34A14B68" w14:textId="77777777" w:rsidR="00833524" w:rsidRPr="00364545" w:rsidRDefault="00833524" w:rsidP="00E56269">
            <w:pPr>
              <w:spacing w:line="259" w:lineRule="auto"/>
              <w:ind w:right="27"/>
              <w:jc w:val="center"/>
              <w:rPr>
                <w:b/>
                <w:color w:val="FFFFFF"/>
                <w:sz w:val="18"/>
              </w:rPr>
            </w:pPr>
            <w:r w:rsidRPr="00364545">
              <w:rPr>
                <w:b/>
                <w:color w:val="FFFFFF"/>
                <w:sz w:val="18"/>
              </w:rPr>
              <w:t>2035</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2AD69D3D" w14:textId="77777777" w:rsidR="00833524" w:rsidRPr="00364545" w:rsidRDefault="00833524" w:rsidP="00E56269">
            <w:pPr>
              <w:spacing w:line="259" w:lineRule="auto"/>
              <w:ind w:right="27"/>
              <w:jc w:val="center"/>
              <w:rPr>
                <w:b/>
                <w:color w:val="FFFFFF"/>
                <w:sz w:val="18"/>
              </w:rPr>
            </w:pPr>
            <w:r w:rsidRPr="00364545">
              <w:rPr>
                <w:b/>
                <w:color w:val="FFFFFF"/>
                <w:sz w:val="18"/>
              </w:rPr>
              <w:t>2050</w:t>
            </w:r>
          </w:p>
        </w:tc>
      </w:tr>
      <w:tr w:rsidR="00833524" w:rsidRPr="00364545" w14:paraId="20BDBFE9" w14:textId="77777777" w:rsidTr="00E56269">
        <w:trPr>
          <w:trHeight w:val="347"/>
        </w:trPr>
        <w:tc>
          <w:tcPr>
            <w:tcW w:w="1404" w:type="dxa"/>
            <w:tcBorders>
              <w:top w:val="single" w:sz="2" w:space="0" w:color="000000"/>
              <w:left w:val="single" w:sz="2" w:space="0" w:color="000000"/>
              <w:bottom w:val="single" w:sz="2" w:space="0" w:color="000000"/>
              <w:right w:val="single" w:sz="2" w:space="0" w:color="000000"/>
            </w:tcBorders>
          </w:tcPr>
          <w:p w14:paraId="6B201414" w14:textId="77777777" w:rsidR="00833524" w:rsidRPr="00364545" w:rsidRDefault="00833524" w:rsidP="00E56269">
            <w:pPr>
              <w:spacing w:line="259" w:lineRule="auto"/>
            </w:pPr>
            <w:r w:rsidRPr="00364545">
              <w:rPr>
                <w:sz w:val="18"/>
              </w:rPr>
              <w:t xml:space="preserve"> </w:t>
            </w:r>
          </w:p>
        </w:tc>
        <w:tc>
          <w:tcPr>
            <w:tcW w:w="5427" w:type="dxa"/>
            <w:gridSpan w:val="7"/>
            <w:tcBorders>
              <w:top w:val="single" w:sz="2" w:space="0" w:color="000000"/>
              <w:left w:val="single" w:sz="2" w:space="0" w:color="000000"/>
              <w:bottom w:val="single" w:sz="2" w:space="0" w:color="000000"/>
              <w:right w:val="single" w:sz="2" w:space="0" w:color="000000"/>
            </w:tcBorders>
            <w:shd w:val="clear" w:color="auto" w:fill="auto"/>
          </w:tcPr>
          <w:p w14:paraId="48AF2DAA" w14:textId="77777777" w:rsidR="00833524" w:rsidRPr="00634E4C" w:rsidRDefault="00833524" w:rsidP="00E56269">
            <w:pPr>
              <w:spacing w:line="259" w:lineRule="auto"/>
              <w:ind w:left="75"/>
              <w:jc w:val="center"/>
              <w:rPr>
                <w:b/>
                <w:color w:val="6D2A78"/>
                <w:sz w:val="18"/>
              </w:rPr>
            </w:pPr>
            <w:r w:rsidRPr="00364545">
              <w:rPr>
                <w:b/>
                <w:color w:val="6D2A78"/>
                <w:sz w:val="18"/>
              </w:rPr>
              <w:t>Observed</w:t>
            </w:r>
          </w:p>
        </w:tc>
        <w:tc>
          <w:tcPr>
            <w:tcW w:w="3877" w:type="dxa"/>
            <w:gridSpan w:val="5"/>
            <w:tcBorders>
              <w:top w:val="single" w:sz="2" w:space="0" w:color="000000"/>
              <w:left w:val="single" w:sz="2" w:space="0" w:color="000000"/>
              <w:bottom w:val="single" w:sz="2" w:space="0" w:color="000000"/>
              <w:right w:val="single" w:sz="2" w:space="0" w:color="000000"/>
            </w:tcBorders>
          </w:tcPr>
          <w:p w14:paraId="0377A9E7" w14:textId="77777777" w:rsidR="00833524" w:rsidRPr="00364545" w:rsidRDefault="00833524" w:rsidP="00E56269">
            <w:pPr>
              <w:spacing w:line="259" w:lineRule="auto"/>
              <w:ind w:left="75"/>
              <w:jc w:val="center"/>
              <w:rPr>
                <w:b/>
                <w:color w:val="6D2A78"/>
                <w:sz w:val="18"/>
              </w:rPr>
            </w:pPr>
            <w:r w:rsidRPr="00364545">
              <w:rPr>
                <w:b/>
                <w:color w:val="6D2A78"/>
                <w:sz w:val="18"/>
              </w:rPr>
              <w:t>Projected</w:t>
            </w:r>
          </w:p>
        </w:tc>
      </w:tr>
      <w:tr w:rsidR="00833524" w:rsidRPr="00364545" w14:paraId="79202FBB" w14:textId="77777777" w:rsidTr="00E56269">
        <w:trPr>
          <w:trHeight w:val="344"/>
        </w:trPr>
        <w:tc>
          <w:tcPr>
            <w:tcW w:w="1404" w:type="dxa"/>
            <w:tcBorders>
              <w:top w:val="single" w:sz="2" w:space="0" w:color="000000"/>
              <w:left w:val="single" w:sz="2" w:space="0" w:color="000000"/>
              <w:bottom w:val="single" w:sz="2" w:space="0" w:color="000000"/>
              <w:right w:val="single" w:sz="2" w:space="0" w:color="000000"/>
            </w:tcBorders>
            <w:shd w:val="clear" w:color="auto" w:fill="ECE6E2"/>
          </w:tcPr>
          <w:p w14:paraId="2A7821F1" w14:textId="77777777" w:rsidR="00833524" w:rsidRPr="00364545" w:rsidRDefault="00833524" w:rsidP="00E56269">
            <w:pPr>
              <w:spacing w:line="259" w:lineRule="auto"/>
            </w:pPr>
            <w:r w:rsidRPr="00364545">
              <w:rPr>
                <w:sz w:val="18"/>
              </w:rPr>
              <w:t xml:space="preserve">Energy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BADB4A" w14:textId="77777777" w:rsidR="00833524" w:rsidRPr="00364545" w:rsidRDefault="00833524" w:rsidP="00E56269">
            <w:pPr>
              <w:spacing w:line="259" w:lineRule="auto"/>
              <w:ind w:left="55"/>
              <w:jc w:val="center"/>
            </w:pPr>
            <w:r>
              <w:rPr>
                <w:sz w:val="18"/>
                <w:szCs w:val="18"/>
              </w:rPr>
              <w:t>367272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47B7D52" w14:textId="77777777" w:rsidR="00833524" w:rsidRPr="00364545" w:rsidRDefault="00833524" w:rsidP="00E56269">
            <w:pPr>
              <w:spacing w:line="259" w:lineRule="auto"/>
              <w:ind w:left="56"/>
              <w:jc w:val="center"/>
              <w:rPr>
                <w:highlight w:val="yellow"/>
              </w:rPr>
            </w:pPr>
            <w:r>
              <w:rPr>
                <w:sz w:val="18"/>
                <w:szCs w:val="18"/>
              </w:rPr>
              <w:t>366079</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83B204" w14:textId="77777777" w:rsidR="00833524" w:rsidRPr="00364545" w:rsidRDefault="00833524" w:rsidP="00E56269">
            <w:pPr>
              <w:spacing w:line="259" w:lineRule="auto"/>
              <w:ind w:left="56"/>
              <w:jc w:val="center"/>
              <w:rPr>
                <w:highlight w:val="yellow"/>
              </w:rPr>
            </w:pPr>
            <w:r>
              <w:rPr>
                <w:sz w:val="18"/>
                <w:szCs w:val="18"/>
              </w:rPr>
              <w:t>381989</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512DA1" w14:textId="77777777" w:rsidR="00833524" w:rsidRPr="00364545" w:rsidRDefault="00833524" w:rsidP="00E56269">
            <w:pPr>
              <w:spacing w:line="259" w:lineRule="auto"/>
              <w:ind w:left="55"/>
              <w:jc w:val="center"/>
              <w:rPr>
                <w:highlight w:val="yellow"/>
              </w:rPr>
            </w:pPr>
            <w:r>
              <w:rPr>
                <w:sz w:val="18"/>
                <w:szCs w:val="18"/>
              </w:rPr>
              <w:t>390391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503BCD" w14:textId="77777777" w:rsidR="00833524" w:rsidRPr="00364545" w:rsidRDefault="00833524" w:rsidP="00E56269">
            <w:pPr>
              <w:spacing w:line="259" w:lineRule="auto"/>
              <w:ind w:left="56"/>
              <w:jc w:val="center"/>
            </w:pPr>
            <w:r>
              <w:rPr>
                <w:sz w:val="18"/>
                <w:szCs w:val="18"/>
              </w:rPr>
              <w:t>357711</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12F7CC" w14:textId="77777777" w:rsidR="00833524" w:rsidRPr="00364545" w:rsidRDefault="00833524" w:rsidP="00E56269">
            <w:pPr>
              <w:spacing w:line="259" w:lineRule="auto"/>
              <w:ind w:left="55"/>
              <w:jc w:val="center"/>
            </w:pPr>
            <w:r>
              <w:rPr>
                <w:sz w:val="18"/>
                <w:szCs w:val="18"/>
              </w:rPr>
              <w:t>313634</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B91C29" w14:textId="77777777" w:rsidR="00833524" w:rsidRPr="00364545" w:rsidRDefault="00833524" w:rsidP="00E56269">
            <w:pPr>
              <w:spacing w:line="259" w:lineRule="auto"/>
              <w:ind w:left="56"/>
              <w:jc w:val="center"/>
              <w:rPr>
                <w:rFonts w:ascii="Calibri" w:hAnsi="Calibri"/>
                <w:color w:val="000000"/>
                <w:sz w:val="20"/>
              </w:rPr>
            </w:pPr>
            <w:r>
              <w:rPr>
                <w:sz w:val="18"/>
                <w:szCs w:val="18"/>
              </w:rPr>
              <w:t>297313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B7A1C93"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305017</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A6F869"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253350</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E94B925"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203515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8FBAF4"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151385</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703D571"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-5007</w:t>
            </w:r>
          </w:p>
        </w:tc>
      </w:tr>
      <w:tr w:rsidR="00833524" w:rsidRPr="00364545" w14:paraId="0795D49C" w14:textId="77777777" w:rsidTr="00E56269">
        <w:trPr>
          <w:trHeight w:val="419"/>
        </w:trPr>
        <w:tc>
          <w:tcPr>
            <w:tcW w:w="1404" w:type="dxa"/>
            <w:tcBorders>
              <w:top w:val="single" w:sz="2" w:space="0" w:color="000000"/>
              <w:left w:val="single" w:sz="2" w:space="0" w:color="000000"/>
              <w:bottom w:val="single" w:sz="2" w:space="0" w:color="000000"/>
              <w:right w:val="single" w:sz="2" w:space="0" w:color="000000"/>
            </w:tcBorders>
          </w:tcPr>
          <w:p w14:paraId="62D41769" w14:textId="77777777" w:rsidR="00833524" w:rsidRPr="00364545" w:rsidRDefault="00833524" w:rsidP="00E56269">
            <w:pPr>
              <w:spacing w:line="259" w:lineRule="auto"/>
            </w:pPr>
            <w:r w:rsidRPr="00364545">
              <w:rPr>
                <w:sz w:val="18"/>
              </w:rPr>
              <w:t xml:space="preserve">Industrial processes, solvents and other products </w:t>
            </w:r>
          </w:p>
        </w:tc>
        <w:tc>
          <w:tcPr>
            <w:tcW w:w="775" w:type="dxa"/>
            <w:tcBorders>
              <w:top w:val="single" w:sz="2" w:space="0" w:color="000000"/>
              <w:left w:val="single" w:sz="2" w:space="0" w:color="000000"/>
              <w:bottom w:val="single" w:sz="2" w:space="0" w:color="000000"/>
              <w:right w:val="single" w:sz="2" w:space="0" w:color="000000"/>
            </w:tcBorders>
            <w:vAlign w:val="center"/>
          </w:tcPr>
          <w:p w14:paraId="7D93085C" w14:textId="77777777" w:rsidR="00833524" w:rsidRPr="00364545" w:rsidRDefault="00833524" w:rsidP="00E56269">
            <w:pPr>
              <w:spacing w:line="259" w:lineRule="auto"/>
              <w:ind w:left="106"/>
              <w:jc w:val="center"/>
            </w:pPr>
            <w:r>
              <w:rPr>
                <w:sz w:val="18"/>
                <w:szCs w:val="18"/>
              </w:rPr>
              <w:t>78729</w:t>
            </w:r>
          </w:p>
        </w:tc>
        <w:tc>
          <w:tcPr>
            <w:tcW w:w="775" w:type="dxa"/>
            <w:tcBorders>
              <w:top w:val="single" w:sz="2" w:space="0" w:color="000000"/>
              <w:left w:val="single" w:sz="2" w:space="0" w:color="000000"/>
              <w:bottom w:val="single" w:sz="2" w:space="0" w:color="000000"/>
              <w:right w:val="single" w:sz="2" w:space="0" w:color="000000"/>
            </w:tcBorders>
            <w:vAlign w:val="center"/>
          </w:tcPr>
          <w:p w14:paraId="0CB49CDF" w14:textId="77777777" w:rsidR="00833524" w:rsidRPr="00364545" w:rsidRDefault="00833524" w:rsidP="00E56269">
            <w:pPr>
              <w:spacing w:line="259" w:lineRule="auto"/>
              <w:ind w:left="107"/>
              <w:jc w:val="center"/>
              <w:rPr>
                <w:highlight w:val="yellow"/>
              </w:rPr>
            </w:pPr>
            <w:r>
              <w:rPr>
                <w:sz w:val="18"/>
                <w:szCs w:val="18"/>
              </w:rPr>
              <w:t>71997</w:t>
            </w:r>
          </w:p>
        </w:tc>
        <w:tc>
          <w:tcPr>
            <w:tcW w:w="775" w:type="dxa"/>
            <w:tcBorders>
              <w:top w:val="single" w:sz="2" w:space="0" w:color="000000"/>
              <w:left w:val="single" w:sz="2" w:space="0" w:color="000000"/>
              <w:bottom w:val="single" w:sz="2" w:space="0" w:color="000000"/>
              <w:right w:val="single" w:sz="2" w:space="0" w:color="000000"/>
            </w:tcBorders>
            <w:vAlign w:val="center"/>
          </w:tcPr>
          <w:p w14:paraId="07F2DCC6" w14:textId="77777777" w:rsidR="00833524" w:rsidRPr="00364545" w:rsidRDefault="00833524" w:rsidP="00E56269">
            <w:pPr>
              <w:spacing w:line="259" w:lineRule="auto"/>
              <w:ind w:left="107"/>
              <w:jc w:val="center"/>
              <w:rPr>
                <w:highlight w:val="yellow"/>
              </w:rPr>
            </w:pPr>
            <w:r>
              <w:rPr>
                <w:sz w:val="18"/>
                <w:szCs w:val="18"/>
              </w:rPr>
              <w:t>64668</w:t>
            </w:r>
          </w:p>
        </w:tc>
        <w:tc>
          <w:tcPr>
            <w:tcW w:w="776" w:type="dxa"/>
            <w:tcBorders>
              <w:top w:val="single" w:sz="2" w:space="0" w:color="000000"/>
              <w:left w:val="single" w:sz="2" w:space="0" w:color="000000"/>
              <w:bottom w:val="single" w:sz="2" w:space="0" w:color="000000"/>
              <w:right w:val="single" w:sz="2" w:space="0" w:color="000000"/>
            </w:tcBorders>
            <w:vAlign w:val="center"/>
          </w:tcPr>
          <w:p w14:paraId="0B0C4F88" w14:textId="77777777" w:rsidR="00833524" w:rsidRPr="00364545" w:rsidRDefault="00833524" w:rsidP="00E56269">
            <w:pPr>
              <w:spacing w:line="259" w:lineRule="auto"/>
              <w:ind w:left="106"/>
              <w:jc w:val="center"/>
              <w:rPr>
                <w:highlight w:val="yellow"/>
              </w:rPr>
            </w:pPr>
            <w:r>
              <w:rPr>
                <w:sz w:val="18"/>
                <w:szCs w:val="18"/>
              </w:rPr>
              <w:t>63620</w:t>
            </w:r>
          </w:p>
        </w:tc>
        <w:tc>
          <w:tcPr>
            <w:tcW w:w="775" w:type="dxa"/>
            <w:tcBorders>
              <w:top w:val="single" w:sz="2" w:space="0" w:color="000000"/>
              <w:left w:val="single" w:sz="2" w:space="0" w:color="000000"/>
              <w:bottom w:val="single" w:sz="2" w:space="0" w:color="000000"/>
              <w:right w:val="single" w:sz="2" w:space="0" w:color="000000"/>
            </w:tcBorders>
            <w:vAlign w:val="center"/>
          </w:tcPr>
          <w:p w14:paraId="7253BF56" w14:textId="77777777" w:rsidR="00833524" w:rsidRPr="00364545" w:rsidRDefault="00833524" w:rsidP="00E56269">
            <w:pPr>
              <w:spacing w:line="259" w:lineRule="auto"/>
              <w:ind w:left="107"/>
              <w:jc w:val="center"/>
            </w:pPr>
            <w:r>
              <w:rPr>
                <w:sz w:val="18"/>
                <w:szCs w:val="18"/>
              </w:rPr>
              <w:t>53798</w:t>
            </w:r>
          </w:p>
        </w:tc>
        <w:tc>
          <w:tcPr>
            <w:tcW w:w="776" w:type="dxa"/>
            <w:tcBorders>
              <w:top w:val="single" w:sz="2" w:space="0" w:color="000000"/>
              <w:left w:val="single" w:sz="2" w:space="0" w:color="000000"/>
              <w:bottom w:val="single" w:sz="2" w:space="0" w:color="000000"/>
              <w:right w:val="single" w:sz="2" w:space="0" w:color="000000"/>
            </w:tcBorders>
            <w:vAlign w:val="center"/>
          </w:tcPr>
          <w:p w14:paraId="11E04985" w14:textId="77777777" w:rsidR="00833524" w:rsidRPr="00364545" w:rsidRDefault="00833524" w:rsidP="00E56269">
            <w:pPr>
              <w:spacing w:line="259" w:lineRule="auto"/>
              <w:ind w:left="105"/>
              <w:jc w:val="center"/>
            </w:pPr>
            <w:r>
              <w:rPr>
                <w:sz w:val="18"/>
                <w:szCs w:val="18"/>
              </w:rPr>
              <w:t>50664</w:t>
            </w:r>
          </w:p>
        </w:tc>
        <w:tc>
          <w:tcPr>
            <w:tcW w:w="775" w:type="dxa"/>
            <w:tcBorders>
              <w:top w:val="single" w:sz="2" w:space="0" w:color="000000"/>
              <w:left w:val="single" w:sz="2" w:space="0" w:color="000000"/>
              <w:bottom w:val="single" w:sz="2" w:space="0" w:color="000000"/>
              <w:right w:val="single" w:sz="2" w:space="0" w:color="000000"/>
            </w:tcBorders>
            <w:vAlign w:val="center"/>
          </w:tcPr>
          <w:p w14:paraId="64712FC8" w14:textId="77777777" w:rsidR="00833524" w:rsidRPr="00364545" w:rsidRDefault="00833524" w:rsidP="00E56269">
            <w:pPr>
              <w:spacing w:line="259" w:lineRule="auto"/>
              <w:ind w:left="56"/>
              <w:jc w:val="center"/>
              <w:rPr>
                <w:rFonts w:ascii="Calibri" w:hAnsi="Calibri"/>
                <w:color w:val="000000"/>
                <w:sz w:val="20"/>
              </w:rPr>
            </w:pPr>
            <w:r>
              <w:rPr>
                <w:sz w:val="18"/>
                <w:szCs w:val="18"/>
              </w:rPr>
              <w:t>46564</w:t>
            </w:r>
          </w:p>
        </w:tc>
        <w:tc>
          <w:tcPr>
            <w:tcW w:w="775" w:type="dxa"/>
            <w:tcBorders>
              <w:top w:val="single" w:sz="2" w:space="0" w:color="000000"/>
              <w:left w:val="single" w:sz="2" w:space="0" w:color="000000"/>
              <w:bottom w:val="single" w:sz="2" w:space="0" w:color="000000"/>
              <w:right w:val="single" w:sz="2" w:space="0" w:color="000000"/>
            </w:tcBorders>
            <w:vAlign w:val="center"/>
          </w:tcPr>
          <w:p w14:paraId="6542FBE6"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41371</w:t>
            </w:r>
          </w:p>
        </w:tc>
        <w:tc>
          <w:tcPr>
            <w:tcW w:w="775" w:type="dxa"/>
            <w:tcBorders>
              <w:top w:val="single" w:sz="2" w:space="0" w:color="000000"/>
              <w:left w:val="single" w:sz="2" w:space="0" w:color="000000"/>
              <w:bottom w:val="single" w:sz="2" w:space="0" w:color="000000"/>
              <w:right w:val="single" w:sz="2" w:space="0" w:color="000000"/>
            </w:tcBorders>
            <w:vAlign w:val="center"/>
          </w:tcPr>
          <w:p w14:paraId="55C68424"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32979</w:t>
            </w:r>
          </w:p>
        </w:tc>
        <w:tc>
          <w:tcPr>
            <w:tcW w:w="776" w:type="dxa"/>
            <w:tcBorders>
              <w:top w:val="single" w:sz="2" w:space="0" w:color="000000"/>
              <w:left w:val="single" w:sz="2" w:space="0" w:color="000000"/>
              <w:bottom w:val="single" w:sz="2" w:space="0" w:color="000000"/>
              <w:right w:val="single" w:sz="2" w:space="0" w:color="000000"/>
            </w:tcBorders>
            <w:vAlign w:val="center"/>
          </w:tcPr>
          <w:p w14:paraId="3BC82DE6"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27368</w:t>
            </w:r>
          </w:p>
        </w:tc>
        <w:tc>
          <w:tcPr>
            <w:tcW w:w="775" w:type="dxa"/>
            <w:tcBorders>
              <w:top w:val="single" w:sz="2" w:space="0" w:color="000000"/>
              <w:left w:val="single" w:sz="2" w:space="0" w:color="000000"/>
              <w:bottom w:val="single" w:sz="2" w:space="0" w:color="000000"/>
              <w:right w:val="single" w:sz="2" w:space="0" w:color="000000"/>
            </w:tcBorders>
            <w:vAlign w:val="center"/>
          </w:tcPr>
          <w:p w14:paraId="09959BB6"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24409</w:t>
            </w:r>
          </w:p>
        </w:tc>
        <w:tc>
          <w:tcPr>
            <w:tcW w:w="776" w:type="dxa"/>
            <w:tcBorders>
              <w:top w:val="single" w:sz="2" w:space="0" w:color="000000"/>
              <w:left w:val="single" w:sz="2" w:space="0" w:color="000000"/>
              <w:bottom w:val="single" w:sz="2" w:space="0" w:color="000000"/>
              <w:right w:val="single" w:sz="2" w:space="0" w:color="000000"/>
            </w:tcBorders>
            <w:vAlign w:val="center"/>
          </w:tcPr>
          <w:p w14:paraId="4B834FB6"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15534</w:t>
            </w:r>
          </w:p>
        </w:tc>
      </w:tr>
      <w:tr w:rsidR="00833524" w:rsidRPr="00364545" w14:paraId="7AFF5DF2" w14:textId="77777777" w:rsidTr="00E56269">
        <w:trPr>
          <w:trHeight w:val="344"/>
        </w:trPr>
        <w:tc>
          <w:tcPr>
            <w:tcW w:w="1404" w:type="dxa"/>
            <w:tcBorders>
              <w:top w:val="single" w:sz="2" w:space="0" w:color="000000"/>
              <w:left w:val="single" w:sz="2" w:space="0" w:color="000000"/>
              <w:bottom w:val="single" w:sz="2" w:space="0" w:color="000000"/>
              <w:right w:val="single" w:sz="2" w:space="0" w:color="000000"/>
            </w:tcBorders>
            <w:shd w:val="clear" w:color="auto" w:fill="ECE6E2"/>
          </w:tcPr>
          <w:p w14:paraId="1A0A0FD5" w14:textId="77777777" w:rsidR="00833524" w:rsidRPr="00364545" w:rsidRDefault="00833524" w:rsidP="00E56269">
            <w:pPr>
              <w:spacing w:line="259" w:lineRule="auto"/>
            </w:pPr>
            <w:r w:rsidRPr="00364545">
              <w:rPr>
                <w:sz w:val="18"/>
              </w:rPr>
              <w:t xml:space="preserve">Agriculture (excluding energy)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0E29D6" w14:textId="77777777" w:rsidR="00833524" w:rsidRPr="00364545" w:rsidRDefault="00833524" w:rsidP="00E56269">
            <w:pPr>
              <w:spacing w:line="259" w:lineRule="auto"/>
              <w:ind w:left="106"/>
              <w:jc w:val="center"/>
            </w:pPr>
            <w:r>
              <w:rPr>
                <w:sz w:val="18"/>
                <w:szCs w:val="18"/>
              </w:rPr>
              <w:t>80803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67A6D9" w14:textId="77777777" w:rsidR="00833524" w:rsidRPr="00364545" w:rsidRDefault="00833524" w:rsidP="00E56269">
            <w:pPr>
              <w:spacing w:line="259" w:lineRule="auto"/>
              <w:ind w:left="107"/>
              <w:jc w:val="center"/>
              <w:rPr>
                <w:highlight w:val="yellow"/>
              </w:rPr>
            </w:pPr>
            <w:r>
              <w:rPr>
                <w:sz w:val="18"/>
                <w:szCs w:val="18"/>
              </w:rPr>
              <w:t>78281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789DD5" w14:textId="77777777" w:rsidR="00833524" w:rsidRPr="00364545" w:rsidRDefault="00833524" w:rsidP="00E56269">
            <w:pPr>
              <w:spacing w:line="259" w:lineRule="auto"/>
              <w:ind w:left="107"/>
              <w:jc w:val="center"/>
              <w:rPr>
                <w:highlight w:val="yellow"/>
              </w:rPr>
            </w:pPr>
            <w:r>
              <w:rPr>
                <w:sz w:val="18"/>
                <w:szCs w:val="18"/>
              </w:rPr>
              <w:t>81292</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A4BEDC3" w14:textId="77777777" w:rsidR="00833524" w:rsidRPr="00364545" w:rsidRDefault="00833524" w:rsidP="00E56269">
            <w:pPr>
              <w:spacing w:line="259" w:lineRule="auto"/>
              <w:ind w:left="106"/>
              <w:jc w:val="center"/>
              <w:rPr>
                <w:highlight w:val="yellow"/>
              </w:rPr>
            </w:pPr>
            <w:r>
              <w:rPr>
                <w:sz w:val="18"/>
                <w:szCs w:val="18"/>
              </w:rPr>
              <w:t>76018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ED3593" w14:textId="77777777" w:rsidR="00833524" w:rsidRPr="00364545" w:rsidRDefault="00833524" w:rsidP="00E56269">
            <w:pPr>
              <w:spacing w:line="259" w:lineRule="auto"/>
              <w:ind w:left="107"/>
              <w:jc w:val="center"/>
            </w:pPr>
            <w:r>
              <w:rPr>
                <w:sz w:val="18"/>
                <w:szCs w:val="18"/>
              </w:rPr>
              <w:t>75203</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2CF2CF" w14:textId="77777777" w:rsidR="00833524" w:rsidRPr="00364545" w:rsidRDefault="00833524" w:rsidP="00E56269">
            <w:pPr>
              <w:spacing w:line="259" w:lineRule="auto"/>
              <w:ind w:left="106"/>
              <w:jc w:val="center"/>
            </w:pPr>
            <w:r>
              <w:rPr>
                <w:sz w:val="18"/>
                <w:szCs w:val="18"/>
              </w:rPr>
              <w:t>75720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76BE80F" w14:textId="77777777" w:rsidR="00833524" w:rsidRPr="00364545" w:rsidRDefault="00833524" w:rsidP="00E56269">
            <w:pPr>
              <w:spacing w:line="259" w:lineRule="auto"/>
              <w:ind w:left="56"/>
              <w:jc w:val="center"/>
              <w:rPr>
                <w:rFonts w:ascii="Calibri" w:hAnsi="Calibri"/>
                <w:color w:val="000000"/>
                <w:sz w:val="20"/>
              </w:rPr>
            </w:pPr>
            <w:r>
              <w:rPr>
                <w:sz w:val="18"/>
                <w:szCs w:val="18"/>
              </w:rPr>
              <w:t>72498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B260C4"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73646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370675"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69007</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FFACBE"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65227</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92C0C8"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62117</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FA5E46"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47831</w:t>
            </w:r>
          </w:p>
        </w:tc>
      </w:tr>
      <w:tr w:rsidR="00833524" w:rsidRPr="00364545" w14:paraId="6443EDF5" w14:textId="77777777" w:rsidTr="00E56269">
        <w:trPr>
          <w:trHeight w:val="347"/>
        </w:trPr>
        <w:tc>
          <w:tcPr>
            <w:tcW w:w="1404" w:type="dxa"/>
            <w:tcBorders>
              <w:top w:val="single" w:sz="2" w:space="0" w:color="000000"/>
              <w:left w:val="single" w:sz="2" w:space="0" w:color="000000"/>
              <w:bottom w:val="single" w:sz="2" w:space="0" w:color="000000"/>
              <w:right w:val="single" w:sz="2" w:space="0" w:color="000000"/>
            </w:tcBorders>
          </w:tcPr>
          <w:p w14:paraId="31C407CC" w14:textId="77777777" w:rsidR="00833524" w:rsidRPr="00364545" w:rsidRDefault="00833524" w:rsidP="00E56269">
            <w:pPr>
              <w:spacing w:line="259" w:lineRule="auto"/>
            </w:pPr>
            <w:r w:rsidRPr="00364545">
              <w:rPr>
                <w:sz w:val="18"/>
              </w:rPr>
              <w:t xml:space="preserve">LULUCF </w:t>
            </w:r>
          </w:p>
        </w:tc>
        <w:tc>
          <w:tcPr>
            <w:tcW w:w="775" w:type="dxa"/>
            <w:tcBorders>
              <w:top w:val="single" w:sz="2" w:space="0" w:color="000000"/>
              <w:left w:val="single" w:sz="2" w:space="0" w:color="000000"/>
              <w:bottom w:val="single" w:sz="2" w:space="0" w:color="000000"/>
              <w:right w:val="single" w:sz="2" w:space="0" w:color="000000"/>
            </w:tcBorders>
            <w:vAlign w:val="center"/>
          </w:tcPr>
          <w:p w14:paraId="486BF2C1" w14:textId="77777777" w:rsidR="00833524" w:rsidRPr="00364545" w:rsidRDefault="00833524" w:rsidP="00E56269">
            <w:pPr>
              <w:spacing w:line="259" w:lineRule="auto"/>
              <w:ind w:left="50"/>
              <w:jc w:val="center"/>
            </w:pPr>
            <w:r w:rsidRPr="00634E4C">
              <w:rPr>
                <w:sz w:val="18"/>
              </w:rPr>
              <w:t>-</w:t>
            </w:r>
            <w:r>
              <w:rPr>
                <w:sz w:val="18"/>
                <w:szCs w:val="18"/>
              </w:rPr>
              <w:t>23986</w:t>
            </w:r>
          </w:p>
        </w:tc>
        <w:tc>
          <w:tcPr>
            <w:tcW w:w="775" w:type="dxa"/>
            <w:tcBorders>
              <w:top w:val="single" w:sz="2" w:space="0" w:color="000000"/>
              <w:left w:val="single" w:sz="2" w:space="0" w:color="000000"/>
              <w:bottom w:val="single" w:sz="2" w:space="0" w:color="000000"/>
              <w:right w:val="single" w:sz="2" w:space="0" w:color="000000"/>
            </w:tcBorders>
            <w:vAlign w:val="center"/>
          </w:tcPr>
          <w:p w14:paraId="704CA130" w14:textId="77777777" w:rsidR="00833524" w:rsidRPr="00364545" w:rsidRDefault="00833524" w:rsidP="00E56269">
            <w:pPr>
              <w:spacing w:line="259" w:lineRule="auto"/>
              <w:ind w:left="52"/>
              <w:jc w:val="center"/>
              <w:rPr>
                <w:highlight w:val="yellow"/>
              </w:rPr>
            </w:pPr>
            <w:r w:rsidRPr="00634E4C">
              <w:rPr>
                <w:sz w:val="18"/>
              </w:rPr>
              <w:t>-</w:t>
            </w:r>
            <w:r>
              <w:rPr>
                <w:sz w:val="18"/>
                <w:szCs w:val="18"/>
              </w:rPr>
              <w:t>24879</w:t>
            </w:r>
          </w:p>
        </w:tc>
        <w:tc>
          <w:tcPr>
            <w:tcW w:w="775" w:type="dxa"/>
            <w:tcBorders>
              <w:top w:val="single" w:sz="2" w:space="0" w:color="000000"/>
              <w:left w:val="single" w:sz="2" w:space="0" w:color="000000"/>
              <w:bottom w:val="single" w:sz="2" w:space="0" w:color="000000"/>
              <w:right w:val="single" w:sz="2" w:space="0" w:color="000000"/>
            </w:tcBorders>
            <w:vAlign w:val="center"/>
          </w:tcPr>
          <w:p w14:paraId="46D0AECA" w14:textId="77777777" w:rsidR="00833524" w:rsidRPr="00364545" w:rsidRDefault="00833524" w:rsidP="00E56269">
            <w:pPr>
              <w:spacing w:line="259" w:lineRule="auto"/>
              <w:ind w:left="52"/>
              <w:jc w:val="center"/>
              <w:rPr>
                <w:highlight w:val="yellow"/>
              </w:rPr>
            </w:pPr>
            <w:r w:rsidRPr="00634E4C">
              <w:rPr>
                <w:sz w:val="18"/>
              </w:rPr>
              <w:t>-</w:t>
            </w:r>
            <w:r>
              <w:rPr>
                <w:sz w:val="18"/>
                <w:szCs w:val="18"/>
              </w:rPr>
              <w:t>19709</w:t>
            </w:r>
          </w:p>
        </w:tc>
        <w:tc>
          <w:tcPr>
            <w:tcW w:w="776" w:type="dxa"/>
            <w:tcBorders>
              <w:top w:val="single" w:sz="2" w:space="0" w:color="000000"/>
              <w:left w:val="single" w:sz="2" w:space="0" w:color="000000"/>
              <w:bottom w:val="single" w:sz="2" w:space="0" w:color="000000"/>
              <w:right w:val="single" w:sz="2" w:space="0" w:color="000000"/>
            </w:tcBorders>
            <w:vAlign w:val="center"/>
          </w:tcPr>
          <w:p w14:paraId="4ECE5B11" w14:textId="77777777" w:rsidR="00833524" w:rsidRPr="00364545" w:rsidRDefault="00833524" w:rsidP="00E56269">
            <w:pPr>
              <w:spacing w:line="259" w:lineRule="auto"/>
              <w:ind w:left="50"/>
              <w:jc w:val="center"/>
              <w:rPr>
                <w:highlight w:val="yellow"/>
              </w:rPr>
            </w:pPr>
            <w:r w:rsidRPr="00634E4C">
              <w:rPr>
                <w:sz w:val="18"/>
              </w:rPr>
              <w:t>-</w:t>
            </w:r>
            <w:r>
              <w:rPr>
                <w:sz w:val="18"/>
                <w:szCs w:val="18"/>
              </w:rPr>
              <w:t>47311</w:t>
            </w:r>
          </w:p>
        </w:tc>
        <w:tc>
          <w:tcPr>
            <w:tcW w:w="775" w:type="dxa"/>
            <w:tcBorders>
              <w:top w:val="single" w:sz="2" w:space="0" w:color="000000"/>
              <w:left w:val="single" w:sz="2" w:space="0" w:color="000000"/>
              <w:bottom w:val="single" w:sz="2" w:space="0" w:color="000000"/>
              <w:right w:val="single" w:sz="2" w:space="0" w:color="000000"/>
            </w:tcBorders>
            <w:vAlign w:val="center"/>
          </w:tcPr>
          <w:p w14:paraId="5D88734A" w14:textId="77777777" w:rsidR="00833524" w:rsidRPr="00364545" w:rsidRDefault="00833524" w:rsidP="00E56269">
            <w:pPr>
              <w:spacing w:line="259" w:lineRule="auto"/>
              <w:ind w:left="52"/>
              <w:jc w:val="center"/>
            </w:pPr>
            <w:r w:rsidRPr="00634E4C">
              <w:rPr>
                <w:sz w:val="18"/>
              </w:rPr>
              <w:t>-</w:t>
            </w:r>
            <w:r>
              <w:rPr>
                <w:sz w:val="18"/>
                <w:szCs w:val="18"/>
              </w:rPr>
              <w:t>38355</w:t>
            </w:r>
          </w:p>
        </w:tc>
        <w:tc>
          <w:tcPr>
            <w:tcW w:w="776" w:type="dxa"/>
            <w:tcBorders>
              <w:top w:val="single" w:sz="2" w:space="0" w:color="000000"/>
              <w:left w:val="single" w:sz="2" w:space="0" w:color="000000"/>
              <w:bottom w:val="single" w:sz="2" w:space="0" w:color="000000"/>
              <w:right w:val="single" w:sz="2" w:space="0" w:color="000000"/>
            </w:tcBorders>
            <w:vAlign w:val="center"/>
          </w:tcPr>
          <w:p w14:paraId="56BBCF19" w14:textId="77777777" w:rsidR="00833524" w:rsidRPr="00364545" w:rsidRDefault="00833524" w:rsidP="00E56269">
            <w:pPr>
              <w:spacing w:line="259" w:lineRule="auto"/>
              <w:ind w:left="50"/>
              <w:jc w:val="center"/>
            </w:pPr>
            <w:r w:rsidRPr="00634E4C">
              <w:rPr>
                <w:sz w:val="18"/>
              </w:rPr>
              <w:t>-</w:t>
            </w:r>
            <w:r>
              <w:rPr>
                <w:sz w:val="18"/>
                <w:szCs w:val="18"/>
              </w:rPr>
              <w:t>34577</w:t>
            </w:r>
          </w:p>
        </w:tc>
        <w:tc>
          <w:tcPr>
            <w:tcW w:w="775" w:type="dxa"/>
            <w:tcBorders>
              <w:top w:val="single" w:sz="2" w:space="0" w:color="000000"/>
              <w:left w:val="single" w:sz="2" w:space="0" w:color="000000"/>
              <w:bottom w:val="single" w:sz="2" w:space="0" w:color="000000"/>
              <w:right w:val="single" w:sz="2" w:space="0" w:color="000000"/>
            </w:tcBorders>
            <w:vAlign w:val="center"/>
          </w:tcPr>
          <w:p w14:paraId="7E04DD87" w14:textId="77777777" w:rsidR="00833524" w:rsidRPr="00364545" w:rsidRDefault="00833524" w:rsidP="00E56269">
            <w:pPr>
              <w:spacing w:line="259" w:lineRule="auto"/>
              <w:ind w:left="56"/>
              <w:jc w:val="center"/>
              <w:rPr>
                <w:rFonts w:ascii="Calibri" w:hAnsi="Calibri"/>
                <w:color w:val="000000"/>
                <w:sz w:val="20"/>
              </w:rPr>
            </w:pPr>
            <w:r>
              <w:rPr>
                <w:sz w:val="18"/>
                <w:szCs w:val="18"/>
              </w:rPr>
              <w:t>-12288</w:t>
            </w:r>
          </w:p>
        </w:tc>
        <w:tc>
          <w:tcPr>
            <w:tcW w:w="775" w:type="dxa"/>
            <w:tcBorders>
              <w:top w:val="single" w:sz="2" w:space="0" w:color="000000"/>
              <w:left w:val="single" w:sz="2" w:space="0" w:color="000000"/>
              <w:bottom w:val="single" w:sz="2" w:space="0" w:color="000000"/>
              <w:right w:val="single" w:sz="2" w:space="0" w:color="000000"/>
            </w:tcBorders>
            <w:vAlign w:val="center"/>
          </w:tcPr>
          <w:p w14:paraId="1BB37004"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-38995</w:t>
            </w:r>
          </w:p>
        </w:tc>
        <w:tc>
          <w:tcPr>
            <w:tcW w:w="775" w:type="dxa"/>
            <w:tcBorders>
              <w:top w:val="single" w:sz="2" w:space="0" w:color="000000"/>
              <w:left w:val="single" w:sz="2" w:space="0" w:color="000000"/>
              <w:bottom w:val="single" w:sz="2" w:space="0" w:color="000000"/>
              <w:right w:val="single" w:sz="2" w:space="0" w:color="000000"/>
            </w:tcBorders>
            <w:vAlign w:val="center"/>
          </w:tcPr>
          <w:p w14:paraId="4DDD198D"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-37671</w:t>
            </w:r>
          </w:p>
        </w:tc>
        <w:tc>
          <w:tcPr>
            <w:tcW w:w="776" w:type="dxa"/>
            <w:tcBorders>
              <w:top w:val="single" w:sz="2" w:space="0" w:color="000000"/>
              <w:left w:val="single" w:sz="2" w:space="0" w:color="000000"/>
              <w:bottom w:val="single" w:sz="2" w:space="0" w:color="000000"/>
              <w:right w:val="single" w:sz="2" w:space="0" w:color="000000"/>
            </w:tcBorders>
            <w:vAlign w:val="center"/>
          </w:tcPr>
          <w:p w14:paraId="362A16BB"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-40160</w:t>
            </w:r>
          </w:p>
        </w:tc>
        <w:tc>
          <w:tcPr>
            <w:tcW w:w="775" w:type="dxa"/>
            <w:tcBorders>
              <w:top w:val="single" w:sz="2" w:space="0" w:color="000000"/>
              <w:left w:val="single" w:sz="2" w:space="0" w:color="000000"/>
              <w:bottom w:val="single" w:sz="2" w:space="0" w:color="000000"/>
              <w:right w:val="single" w:sz="2" w:space="0" w:color="000000"/>
            </w:tcBorders>
            <w:vAlign w:val="center"/>
          </w:tcPr>
          <w:p w14:paraId="07B6DBFA"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-45205</w:t>
            </w:r>
          </w:p>
        </w:tc>
        <w:tc>
          <w:tcPr>
            <w:tcW w:w="776" w:type="dxa"/>
            <w:tcBorders>
              <w:top w:val="single" w:sz="2" w:space="0" w:color="000000"/>
              <w:left w:val="single" w:sz="2" w:space="0" w:color="000000"/>
              <w:bottom w:val="single" w:sz="2" w:space="0" w:color="000000"/>
              <w:right w:val="single" w:sz="2" w:space="0" w:color="000000"/>
            </w:tcBorders>
            <w:vAlign w:val="center"/>
          </w:tcPr>
          <w:p w14:paraId="0D21C9B5"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-67148</w:t>
            </w:r>
          </w:p>
        </w:tc>
      </w:tr>
      <w:tr w:rsidR="00833524" w:rsidRPr="00364545" w14:paraId="4E671D81" w14:textId="77777777" w:rsidTr="00E56269">
        <w:trPr>
          <w:trHeight w:val="344"/>
        </w:trPr>
        <w:tc>
          <w:tcPr>
            <w:tcW w:w="1404" w:type="dxa"/>
            <w:tcBorders>
              <w:top w:val="single" w:sz="2" w:space="0" w:color="000000"/>
              <w:left w:val="single" w:sz="2" w:space="0" w:color="000000"/>
              <w:bottom w:val="single" w:sz="2" w:space="0" w:color="000000"/>
              <w:right w:val="single" w:sz="2" w:space="0" w:color="000000"/>
            </w:tcBorders>
            <w:shd w:val="clear" w:color="auto" w:fill="ECE6E2"/>
          </w:tcPr>
          <w:p w14:paraId="1D0CBB9A" w14:textId="77777777" w:rsidR="00833524" w:rsidRPr="00364545" w:rsidRDefault="00833524" w:rsidP="00E56269">
            <w:pPr>
              <w:spacing w:line="259" w:lineRule="auto"/>
            </w:pPr>
            <w:r w:rsidRPr="00364545">
              <w:rPr>
                <w:sz w:val="18"/>
              </w:rPr>
              <w:t xml:space="preserve">Waste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85D67E" w14:textId="77777777" w:rsidR="00833524" w:rsidRPr="00364545" w:rsidRDefault="00833524" w:rsidP="00E56269">
            <w:pPr>
              <w:spacing w:line="259" w:lineRule="auto"/>
              <w:ind w:left="106"/>
              <w:jc w:val="center"/>
            </w:pPr>
            <w:r>
              <w:rPr>
                <w:sz w:val="18"/>
                <w:szCs w:val="18"/>
              </w:rPr>
              <w:t>17283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582678F" w14:textId="77777777" w:rsidR="00833524" w:rsidRPr="00364545" w:rsidRDefault="00833524" w:rsidP="00E56269">
            <w:pPr>
              <w:spacing w:line="259" w:lineRule="auto"/>
              <w:ind w:left="107"/>
              <w:jc w:val="center"/>
              <w:rPr>
                <w:highlight w:val="yellow"/>
              </w:rPr>
            </w:pPr>
            <w:r>
              <w:rPr>
                <w:sz w:val="18"/>
                <w:szCs w:val="18"/>
              </w:rPr>
              <w:t>20118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CB8CDF" w14:textId="77777777" w:rsidR="00833524" w:rsidRPr="00364545" w:rsidRDefault="00833524" w:rsidP="00E56269">
            <w:pPr>
              <w:spacing w:line="259" w:lineRule="auto"/>
              <w:ind w:left="107"/>
              <w:jc w:val="center"/>
              <w:rPr>
                <w:highlight w:val="yellow"/>
              </w:rPr>
            </w:pPr>
            <w:r>
              <w:rPr>
                <w:sz w:val="18"/>
                <w:szCs w:val="18"/>
              </w:rPr>
              <w:t>21056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E8427E" w14:textId="77777777" w:rsidR="00833524" w:rsidRPr="00364545" w:rsidRDefault="00833524" w:rsidP="00E56269">
            <w:pPr>
              <w:spacing w:line="259" w:lineRule="auto"/>
              <w:ind w:left="106"/>
              <w:jc w:val="center"/>
              <w:rPr>
                <w:highlight w:val="yellow"/>
              </w:rPr>
            </w:pPr>
            <w:r>
              <w:rPr>
                <w:sz w:val="18"/>
                <w:szCs w:val="18"/>
              </w:rPr>
              <w:t>21362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E4BC2CC" w14:textId="77777777" w:rsidR="00833524" w:rsidRPr="00364545" w:rsidRDefault="00833524" w:rsidP="00E56269">
            <w:pPr>
              <w:spacing w:line="259" w:lineRule="auto"/>
              <w:ind w:left="107"/>
              <w:jc w:val="center"/>
            </w:pPr>
            <w:r>
              <w:rPr>
                <w:sz w:val="18"/>
                <w:szCs w:val="18"/>
              </w:rPr>
              <w:t>20756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7D0306" w14:textId="77777777" w:rsidR="00833524" w:rsidRPr="00364545" w:rsidRDefault="00833524" w:rsidP="00E56269">
            <w:pPr>
              <w:spacing w:line="259" w:lineRule="auto"/>
              <w:ind w:left="106"/>
              <w:jc w:val="center"/>
            </w:pPr>
            <w:r>
              <w:rPr>
                <w:sz w:val="18"/>
                <w:szCs w:val="18"/>
              </w:rPr>
              <w:t>17905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E9BAC6" w14:textId="77777777" w:rsidR="00833524" w:rsidRPr="00364545" w:rsidRDefault="00833524" w:rsidP="00E56269">
            <w:pPr>
              <w:spacing w:line="259" w:lineRule="auto"/>
              <w:ind w:left="56"/>
              <w:jc w:val="center"/>
              <w:rPr>
                <w:rFonts w:ascii="Calibri" w:hAnsi="Calibri"/>
                <w:color w:val="000000"/>
                <w:sz w:val="20"/>
              </w:rPr>
            </w:pPr>
            <w:r>
              <w:rPr>
                <w:sz w:val="18"/>
                <w:szCs w:val="18"/>
              </w:rPr>
              <w:t>18165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AEFD3F"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14345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E362005"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12325</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773A41"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10983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02B2AB"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9786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8D28E7" w14:textId="77777777" w:rsidR="00833524" w:rsidRPr="00634E4C" w:rsidRDefault="00833524" w:rsidP="00E56269">
            <w:pPr>
              <w:spacing w:line="259" w:lineRule="auto"/>
              <w:ind w:left="56"/>
              <w:jc w:val="center"/>
              <w:rPr>
                <w:rFonts w:asciiTheme="majorHAnsi" w:hAnsiTheme="majorHAnsi"/>
                <w:sz w:val="18"/>
              </w:rPr>
            </w:pPr>
            <w:r w:rsidRPr="00634E4C">
              <w:rPr>
                <w:rFonts w:asciiTheme="majorHAnsi" w:hAnsiTheme="majorHAnsi"/>
                <w:color w:val="000000"/>
                <w:sz w:val="18"/>
              </w:rPr>
              <w:t>6193</w:t>
            </w:r>
          </w:p>
        </w:tc>
      </w:tr>
      <w:tr w:rsidR="00833524" w:rsidRPr="00364545" w14:paraId="710B2E28" w14:textId="77777777" w:rsidTr="00E56269">
        <w:trPr>
          <w:trHeight w:val="344"/>
        </w:trPr>
        <w:tc>
          <w:tcPr>
            <w:tcW w:w="1404" w:type="dxa"/>
            <w:tcBorders>
              <w:top w:val="single" w:sz="2" w:space="0" w:color="000000"/>
              <w:left w:val="single" w:sz="2" w:space="0" w:color="000000"/>
              <w:bottom w:val="single" w:sz="2" w:space="0" w:color="000000"/>
              <w:right w:val="single" w:sz="2" w:space="0" w:color="000000"/>
            </w:tcBorders>
          </w:tcPr>
          <w:p w14:paraId="64E3B3CE" w14:textId="77777777" w:rsidR="00833524" w:rsidRPr="00364545" w:rsidRDefault="00833524" w:rsidP="00E56269">
            <w:pPr>
              <w:spacing w:line="259" w:lineRule="auto"/>
            </w:pPr>
            <w:r w:rsidRPr="00364545">
              <w:rPr>
                <w:b/>
                <w:sz w:val="18"/>
              </w:rPr>
              <w:t xml:space="preserve">Ensemble (hors UTCF) </w:t>
            </w:r>
          </w:p>
        </w:tc>
        <w:tc>
          <w:tcPr>
            <w:tcW w:w="775" w:type="dxa"/>
            <w:tcBorders>
              <w:top w:val="single" w:sz="2" w:space="0" w:color="000000"/>
              <w:left w:val="single" w:sz="2" w:space="0" w:color="000000"/>
              <w:bottom w:val="single" w:sz="2" w:space="0" w:color="000000"/>
              <w:right w:val="single" w:sz="2" w:space="0" w:color="000000"/>
            </w:tcBorders>
            <w:vAlign w:val="center"/>
          </w:tcPr>
          <w:p w14:paraId="0E75CCCA" w14:textId="77777777" w:rsidR="00833524" w:rsidRPr="00364545" w:rsidRDefault="00833524" w:rsidP="00E56269">
            <w:pPr>
              <w:spacing w:line="259" w:lineRule="auto"/>
              <w:ind w:left="55"/>
              <w:jc w:val="center"/>
              <w:rPr>
                <w:b/>
              </w:rPr>
            </w:pPr>
            <w:r w:rsidRPr="0002410C">
              <w:rPr>
                <w:rFonts w:asciiTheme="majorHAnsi" w:hAnsiTheme="majorHAnsi"/>
                <w:b/>
                <w:sz w:val="18"/>
                <w:szCs w:val="18"/>
              </w:rPr>
              <w:t>544086</w:t>
            </w:r>
          </w:p>
        </w:tc>
        <w:tc>
          <w:tcPr>
            <w:tcW w:w="775" w:type="dxa"/>
            <w:tcBorders>
              <w:top w:val="single" w:sz="2" w:space="0" w:color="000000"/>
              <w:left w:val="single" w:sz="2" w:space="0" w:color="000000"/>
              <w:bottom w:val="single" w:sz="2" w:space="0" w:color="000000"/>
              <w:right w:val="single" w:sz="2" w:space="0" w:color="000000"/>
            </w:tcBorders>
            <w:vAlign w:val="center"/>
          </w:tcPr>
          <w:p w14:paraId="583E2AE3" w14:textId="77777777" w:rsidR="00833524" w:rsidRPr="00364545" w:rsidRDefault="00833524" w:rsidP="00E56269">
            <w:pPr>
              <w:spacing w:line="259" w:lineRule="auto"/>
              <w:ind w:left="56"/>
              <w:jc w:val="center"/>
              <w:rPr>
                <w:b/>
                <w:highlight w:val="yellow"/>
              </w:rPr>
            </w:pPr>
            <w:r w:rsidRPr="0002410C">
              <w:rPr>
                <w:rFonts w:asciiTheme="majorHAnsi" w:hAnsiTheme="majorHAnsi"/>
                <w:b/>
                <w:sz w:val="18"/>
                <w:szCs w:val="18"/>
              </w:rPr>
              <w:t>536475</w:t>
            </w:r>
          </w:p>
        </w:tc>
        <w:tc>
          <w:tcPr>
            <w:tcW w:w="775" w:type="dxa"/>
            <w:tcBorders>
              <w:top w:val="single" w:sz="2" w:space="0" w:color="000000"/>
              <w:left w:val="single" w:sz="2" w:space="0" w:color="000000"/>
              <w:bottom w:val="single" w:sz="2" w:space="0" w:color="000000"/>
              <w:right w:val="single" w:sz="2" w:space="0" w:color="000000"/>
            </w:tcBorders>
            <w:vAlign w:val="center"/>
          </w:tcPr>
          <w:p w14:paraId="64002792" w14:textId="77777777" w:rsidR="00833524" w:rsidRPr="00364545" w:rsidRDefault="00833524" w:rsidP="00E56269">
            <w:pPr>
              <w:spacing w:line="259" w:lineRule="auto"/>
              <w:ind w:left="56"/>
              <w:jc w:val="center"/>
              <w:rPr>
                <w:b/>
                <w:highlight w:val="yellow"/>
              </w:rPr>
            </w:pPr>
            <w:r w:rsidRPr="0002410C">
              <w:rPr>
                <w:rFonts w:asciiTheme="majorHAnsi" w:hAnsiTheme="majorHAnsi" w:cs="Calibri"/>
                <w:b/>
                <w:sz w:val="18"/>
                <w:szCs w:val="18"/>
              </w:rPr>
              <w:t>549005</w:t>
            </w:r>
          </w:p>
        </w:tc>
        <w:tc>
          <w:tcPr>
            <w:tcW w:w="776" w:type="dxa"/>
            <w:tcBorders>
              <w:top w:val="single" w:sz="2" w:space="0" w:color="000000"/>
              <w:left w:val="single" w:sz="2" w:space="0" w:color="000000"/>
              <w:bottom w:val="single" w:sz="2" w:space="0" w:color="000000"/>
              <w:right w:val="single" w:sz="2" w:space="0" w:color="000000"/>
            </w:tcBorders>
            <w:vAlign w:val="center"/>
          </w:tcPr>
          <w:p w14:paraId="74FAF576" w14:textId="77777777" w:rsidR="00833524" w:rsidRPr="00364545" w:rsidRDefault="00833524" w:rsidP="00E56269">
            <w:pPr>
              <w:spacing w:line="259" w:lineRule="auto"/>
              <w:ind w:left="55"/>
              <w:jc w:val="center"/>
              <w:rPr>
                <w:b/>
                <w:highlight w:val="yellow"/>
              </w:rPr>
            </w:pPr>
            <w:r w:rsidRPr="0002410C">
              <w:rPr>
                <w:rFonts w:asciiTheme="majorHAnsi" w:hAnsiTheme="majorHAnsi" w:cs="Calibri"/>
                <w:b/>
                <w:sz w:val="18"/>
                <w:szCs w:val="18"/>
              </w:rPr>
              <w:t>551391</w:t>
            </w:r>
          </w:p>
        </w:tc>
        <w:tc>
          <w:tcPr>
            <w:tcW w:w="775" w:type="dxa"/>
            <w:tcBorders>
              <w:top w:val="single" w:sz="2" w:space="0" w:color="000000"/>
              <w:left w:val="single" w:sz="2" w:space="0" w:color="000000"/>
              <w:bottom w:val="single" w:sz="2" w:space="0" w:color="000000"/>
              <w:right w:val="single" w:sz="2" w:space="0" w:color="000000"/>
            </w:tcBorders>
            <w:vAlign w:val="center"/>
          </w:tcPr>
          <w:p w14:paraId="5AA79F82" w14:textId="77777777" w:rsidR="00833524" w:rsidRPr="00364545" w:rsidRDefault="00833524" w:rsidP="00E56269">
            <w:pPr>
              <w:spacing w:line="259" w:lineRule="auto"/>
              <w:ind w:left="61"/>
              <w:jc w:val="center"/>
              <w:rPr>
                <w:b/>
              </w:rPr>
            </w:pPr>
            <w:r w:rsidRPr="0002410C">
              <w:rPr>
                <w:rFonts w:asciiTheme="majorHAnsi" w:hAnsiTheme="majorHAnsi" w:cs="Calibri"/>
                <w:b/>
                <w:sz w:val="18"/>
                <w:szCs w:val="18"/>
              </w:rPr>
              <w:t>507468</w:t>
            </w:r>
          </w:p>
        </w:tc>
        <w:tc>
          <w:tcPr>
            <w:tcW w:w="776" w:type="dxa"/>
            <w:tcBorders>
              <w:top w:val="single" w:sz="2" w:space="0" w:color="000000"/>
              <w:left w:val="single" w:sz="2" w:space="0" w:color="000000"/>
              <w:bottom w:val="single" w:sz="2" w:space="0" w:color="000000"/>
              <w:right w:val="single" w:sz="2" w:space="0" w:color="000000"/>
            </w:tcBorders>
            <w:vAlign w:val="center"/>
          </w:tcPr>
          <w:p w14:paraId="6B9F30F0" w14:textId="77777777" w:rsidR="00833524" w:rsidRPr="00364545" w:rsidRDefault="00833524" w:rsidP="00E56269">
            <w:pPr>
              <w:spacing w:line="259" w:lineRule="auto"/>
              <w:ind w:left="55"/>
              <w:jc w:val="center"/>
              <w:rPr>
                <w:b/>
              </w:rPr>
            </w:pPr>
            <w:r w:rsidRPr="0002410C">
              <w:rPr>
                <w:rFonts w:asciiTheme="majorHAnsi" w:hAnsiTheme="majorHAnsi" w:cs="Calibri"/>
                <w:b/>
                <w:sz w:val="18"/>
                <w:szCs w:val="18"/>
              </w:rPr>
              <w:t>457923</w:t>
            </w:r>
          </w:p>
        </w:tc>
        <w:tc>
          <w:tcPr>
            <w:tcW w:w="775" w:type="dxa"/>
            <w:tcBorders>
              <w:top w:val="single" w:sz="2" w:space="0" w:color="000000"/>
              <w:left w:val="single" w:sz="2" w:space="0" w:color="000000"/>
              <w:bottom w:val="single" w:sz="2" w:space="0" w:color="000000"/>
              <w:right w:val="single" w:sz="2" w:space="0" w:color="000000"/>
            </w:tcBorders>
            <w:vAlign w:val="center"/>
          </w:tcPr>
          <w:p w14:paraId="55256AE9" w14:textId="77777777" w:rsidR="00833524" w:rsidRPr="00364545" w:rsidRDefault="00833524" w:rsidP="00E56269">
            <w:pPr>
              <w:spacing w:line="259" w:lineRule="auto"/>
              <w:ind w:left="56"/>
              <w:jc w:val="center"/>
              <w:rPr>
                <w:rFonts w:ascii="Calibri" w:hAnsi="Calibri"/>
                <w:b/>
                <w:color w:val="000000"/>
                <w:sz w:val="20"/>
              </w:rPr>
            </w:pPr>
            <w:r w:rsidRPr="0002410C">
              <w:rPr>
                <w:rFonts w:asciiTheme="majorHAnsi" w:hAnsiTheme="majorHAnsi" w:cs="Calibri"/>
                <w:b/>
                <w:sz w:val="18"/>
                <w:szCs w:val="18"/>
              </w:rPr>
              <w:t>434539</w:t>
            </w:r>
          </w:p>
        </w:tc>
        <w:tc>
          <w:tcPr>
            <w:tcW w:w="775" w:type="dxa"/>
            <w:tcBorders>
              <w:top w:val="single" w:sz="2" w:space="0" w:color="000000"/>
              <w:left w:val="single" w:sz="2" w:space="0" w:color="000000"/>
              <w:bottom w:val="single" w:sz="2" w:space="0" w:color="000000"/>
              <w:right w:val="single" w:sz="2" w:space="0" w:color="000000"/>
            </w:tcBorders>
            <w:vAlign w:val="center"/>
          </w:tcPr>
          <w:p w14:paraId="17835313"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434378</w:t>
            </w:r>
          </w:p>
        </w:tc>
        <w:tc>
          <w:tcPr>
            <w:tcW w:w="775" w:type="dxa"/>
            <w:tcBorders>
              <w:top w:val="single" w:sz="2" w:space="0" w:color="000000"/>
              <w:left w:val="single" w:sz="2" w:space="0" w:color="000000"/>
              <w:bottom w:val="single" w:sz="2" w:space="0" w:color="000000"/>
              <w:right w:val="single" w:sz="2" w:space="0" w:color="000000"/>
            </w:tcBorders>
            <w:vAlign w:val="center"/>
          </w:tcPr>
          <w:p w14:paraId="2416BEFE"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367661</w:t>
            </w:r>
          </w:p>
        </w:tc>
        <w:tc>
          <w:tcPr>
            <w:tcW w:w="776" w:type="dxa"/>
            <w:tcBorders>
              <w:top w:val="single" w:sz="2" w:space="0" w:color="000000"/>
              <w:left w:val="single" w:sz="2" w:space="0" w:color="000000"/>
              <w:bottom w:val="single" w:sz="2" w:space="0" w:color="000000"/>
              <w:right w:val="single" w:sz="2" w:space="0" w:color="000000"/>
            </w:tcBorders>
            <w:vAlign w:val="center"/>
          </w:tcPr>
          <w:p w14:paraId="17A9EDDE"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307094</w:t>
            </w:r>
          </w:p>
        </w:tc>
        <w:tc>
          <w:tcPr>
            <w:tcW w:w="775" w:type="dxa"/>
            <w:tcBorders>
              <w:top w:val="single" w:sz="2" w:space="0" w:color="000000"/>
              <w:left w:val="single" w:sz="2" w:space="0" w:color="000000"/>
              <w:bottom w:val="single" w:sz="2" w:space="0" w:color="000000"/>
              <w:right w:val="single" w:sz="2" w:space="0" w:color="000000"/>
            </w:tcBorders>
            <w:vAlign w:val="center"/>
          </w:tcPr>
          <w:p w14:paraId="6D171E16"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247697</w:t>
            </w:r>
          </w:p>
        </w:tc>
        <w:tc>
          <w:tcPr>
            <w:tcW w:w="776" w:type="dxa"/>
            <w:tcBorders>
              <w:top w:val="single" w:sz="2" w:space="0" w:color="000000"/>
              <w:left w:val="single" w:sz="2" w:space="0" w:color="000000"/>
              <w:bottom w:val="single" w:sz="2" w:space="0" w:color="000000"/>
              <w:right w:val="single" w:sz="2" w:space="0" w:color="000000"/>
            </w:tcBorders>
            <w:vAlign w:val="center"/>
          </w:tcPr>
          <w:p w14:paraId="2AEA13ED"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64551</w:t>
            </w:r>
          </w:p>
        </w:tc>
      </w:tr>
      <w:tr w:rsidR="00833524" w:rsidRPr="00364545" w14:paraId="057B450E" w14:textId="77777777" w:rsidTr="00E56269">
        <w:trPr>
          <w:trHeight w:val="345"/>
        </w:trPr>
        <w:tc>
          <w:tcPr>
            <w:tcW w:w="1404" w:type="dxa"/>
            <w:tcBorders>
              <w:top w:val="single" w:sz="2" w:space="0" w:color="000000"/>
              <w:left w:val="single" w:sz="2" w:space="0" w:color="000000"/>
              <w:bottom w:val="single" w:sz="2" w:space="0" w:color="000000"/>
              <w:right w:val="single" w:sz="2" w:space="0" w:color="000000"/>
            </w:tcBorders>
            <w:shd w:val="clear" w:color="auto" w:fill="ECE6E2"/>
          </w:tcPr>
          <w:p w14:paraId="54F6A42C" w14:textId="77777777" w:rsidR="00833524" w:rsidRPr="00364545" w:rsidRDefault="00833524" w:rsidP="00E56269">
            <w:pPr>
              <w:spacing w:line="259" w:lineRule="auto"/>
            </w:pPr>
            <w:r w:rsidRPr="00364545">
              <w:rPr>
                <w:b/>
                <w:sz w:val="18"/>
              </w:rPr>
              <w:t xml:space="preserve">Ensemble (avec UTCF)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051EB4" w14:textId="77777777" w:rsidR="00833524" w:rsidRPr="0002410C" w:rsidRDefault="00833524" w:rsidP="00E56269">
            <w:pPr>
              <w:spacing w:line="259" w:lineRule="auto"/>
              <w:ind w:left="55"/>
              <w:jc w:val="center"/>
              <w:rPr>
                <w:b/>
              </w:rPr>
            </w:pPr>
            <w:r w:rsidRPr="0002410C">
              <w:rPr>
                <w:b/>
                <w:sz w:val="18"/>
                <w:szCs w:val="18"/>
              </w:rPr>
              <w:t>520100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0779664" w14:textId="77777777" w:rsidR="00833524" w:rsidRPr="0002410C" w:rsidRDefault="00833524" w:rsidP="00E56269">
            <w:pPr>
              <w:spacing w:line="259" w:lineRule="auto"/>
              <w:ind w:left="56"/>
              <w:jc w:val="center"/>
              <w:rPr>
                <w:b/>
                <w:highlight w:val="yellow"/>
              </w:rPr>
            </w:pPr>
            <w:r w:rsidRPr="0002410C">
              <w:rPr>
                <w:b/>
                <w:sz w:val="18"/>
                <w:szCs w:val="18"/>
              </w:rPr>
              <w:t>511596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D13A3F" w14:textId="77777777" w:rsidR="00833524" w:rsidRPr="0002410C" w:rsidRDefault="00833524" w:rsidP="00E56269">
            <w:pPr>
              <w:spacing w:line="259" w:lineRule="auto"/>
              <w:ind w:left="56"/>
              <w:jc w:val="center"/>
              <w:rPr>
                <w:b/>
                <w:highlight w:val="yellow"/>
              </w:rPr>
            </w:pPr>
            <w:r w:rsidRPr="0002410C">
              <w:rPr>
                <w:b/>
                <w:sz w:val="18"/>
                <w:szCs w:val="18"/>
              </w:rPr>
              <w:t>529296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3B4340B" w14:textId="77777777" w:rsidR="00833524" w:rsidRPr="0002410C" w:rsidRDefault="00833524" w:rsidP="00E56269">
            <w:pPr>
              <w:spacing w:line="259" w:lineRule="auto"/>
              <w:ind w:left="55"/>
              <w:jc w:val="center"/>
              <w:rPr>
                <w:b/>
                <w:highlight w:val="yellow"/>
              </w:rPr>
            </w:pPr>
            <w:r w:rsidRPr="0002410C">
              <w:rPr>
                <w:b/>
                <w:sz w:val="18"/>
                <w:szCs w:val="18"/>
              </w:rPr>
              <w:t>504080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33D4EF7" w14:textId="77777777" w:rsidR="00833524" w:rsidRPr="0002410C" w:rsidRDefault="00833524" w:rsidP="00E56269">
            <w:pPr>
              <w:spacing w:line="259" w:lineRule="auto"/>
              <w:ind w:left="56"/>
              <w:jc w:val="center"/>
              <w:rPr>
                <w:b/>
              </w:rPr>
            </w:pPr>
            <w:r w:rsidRPr="0002410C">
              <w:rPr>
                <w:b/>
                <w:sz w:val="18"/>
                <w:szCs w:val="18"/>
              </w:rPr>
              <w:t>469113</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20B4E6E" w14:textId="77777777" w:rsidR="00833524" w:rsidRPr="0002410C" w:rsidRDefault="00833524" w:rsidP="00E56269">
            <w:pPr>
              <w:spacing w:line="259" w:lineRule="auto"/>
              <w:ind w:left="55"/>
              <w:jc w:val="center"/>
              <w:rPr>
                <w:b/>
              </w:rPr>
            </w:pPr>
            <w:r w:rsidRPr="0002410C">
              <w:rPr>
                <w:b/>
                <w:sz w:val="18"/>
                <w:szCs w:val="18"/>
              </w:rPr>
              <w:t>423346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CCBB50" w14:textId="77777777" w:rsidR="00833524" w:rsidRPr="0002410C" w:rsidRDefault="00833524" w:rsidP="00E56269">
            <w:pPr>
              <w:spacing w:line="259" w:lineRule="auto"/>
              <w:ind w:left="56"/>
              <w:jc w:val="center"/>
              <w:rPr>
                <w:rFonts w:ascii="Calibri" w:hAnsi="Calibri"/>
                <w:b/>
                <w:color w:val="000000"/>
                <w:sz w:val="20"/>
              </w:rPr>
            </w:pPr>
            <w:r w:rsidRPr="0002410C">
              <w:rPr>
                <w:b/>
                <w:sz w:val="18"/>
                <w:szCs w:val="18"/>
              </w:rPr>
              <w:t>422252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3AAE86"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395383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4628F0"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329989</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9D6C5D"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266934</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52D1DA"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202492</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495629" w14:textId="77777777" w:rsidR="00833524" w:rsidRPr="00634E4C" w:rsidRDefault="00833524" w:rsidP="00E56269">
            <w:pPr>
              <w:spacing w:line="259" w:lineRule="auto"/>
              <w:ind w:left="56"/>
              <w:jc w:val="center"/>
              <w:rPr>
                <w:rFonts w:asciiTheme="majorHAnsi" w:hAnsiTheme="majorHAnsi"/>
                <w:b/>
                <w:sz w:val="18"/>
              </w:rPr>
            </w:pPr>
            <w:r w:rsidRPr="00634E4C">
              <w:rPr>
                <w:rFonts w:asciiTheme="majorHAnsi" w:hAnsiTheme="majorHAnsi"/>
                <w:b/>
                <w:color w:val="000000"/>
                <w:sz w:val="18"/>
              </w:rPr>
              <w:t>-2597</w:t>
            </w:r>
          </w:p>
        </w:tc>
      </w:tr>
      <w:tr w:rsidR="00833524" w:rsidRPr="00364545" w14:paraId="271A135F" w14:textId="77777777" w:rsidTr="00E56269">
        <w:trPr>
          <w:trHeight w:val="346"/>
        </w:trPr>
        <w:tc>
          <w:tcPr>
            <w:tcW w:w="1404" w:type="dxa"/>
            <w:tcBorders>
              <w:top w:val="single" w:sz="2" w:space="0" w:color="000000"/>
              <w:left w:val="single" w:sz="2" w:space="0" w:color="000000"/>
              <w:bottom w:val="single" w:sz="2" w:space="0" w:color="000000"/>
              <w:right w:val="single" w:sz="2" w:space="0" w:color="000000"/>
            </w:tcBorders>
            <w:shd w:val="clear" w:color="auto" w:fill="E5EAF3"/>
          </w:tcPr>
          <w:p w14:paraId="6514DB9D" w14:textId="77777777" w:rsidR="00833524" w:rsidRPr="00364545" w:rsidRDefault="00833524" w:rsidP="00E56269">
            <w:pPr>
              <w:spacing w:line="259" w:lineRule="auto"/>
            </w:pPr>
            <w:r w:rsidRPr="00364545">
              <w:rPr>
                <w:i/>
                <w:sz w:val="18"/>
              </w:rPr>
              <w:t xml:space="preserve">For reference: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C39F258" w14:textId="77777777" w:rsidR="00833524" w:rsidRPr="00364545" w:rsidRDefault="00833524" w:rsidP="00E56269">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61311C8" w14:textId="77777777" w:rsidR="00833524" w:rsidRPr="00364545" w:rsidRDefault="00833524" w:rsidP="00E56269">
            <w:pPr>
              <w:spacing w:line="259" w:lineRule="auto"/>
              <w:ind w:left="20"/>
              <w:jc w:val="center"/>
              <w:rPr>
                <w:highlight w:val="yellow"/>
              </w:rP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49DEA38" w14:textId="77777777" w:rsidR="00833524" w:rsidRPr="00364545" w:rsidRDefault="00833524" w:rsidP="00E56269">
            <w:pPr>
              <w:spacing w:line="259" w:lineRule="auto"/>
              <w:ind w:left="20"/>
              <w:jc w:val="center"/>
              <w:rPr>
                <w:highlight w:val="yellow"/>
              </w:rP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92F2189" w14:textId="77777777" w:rsidR="00833524" w:rsidRPr="00364545" w:rsidRDefault="00833524" w:rsidP="00E56269">
            <w:pPr>
              <w:spacing w:line="259" w:lineRule="auto"/>
              <w:ind w:left="18"/>
              <w:jc w:val="center"/>
              <w:rPr>
                <w:highlight w:val="yellow"/>
              </w:rP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02671A5" w14:textId="77777777" w:rsidR="00833524" w:rsidRPr="00364545" w:rsidRDefault="00833524" w:rsidP="00E56269">
            <w:pPr>
              <w:spacing w:line="259" w:lineRule="auto"/>
              <w:ind w:left="20"/>
              <w:jc w:val="cente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DE2777E" w14:textId="77777777" w:rsidR="00833524" w:rsidRPr="00364545" w:rsidRDefault="00833524" w:rsidP="00E56269">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40F1196" w14:textId="77777777" w:rsidR="00833524" w:rsidRPr="00364545" w:rsidRDefault="00833524" w:rsidP="00E56269">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1229689" w14:textId="77777777" w:rsidR="00833524" w:rsidRPr="00634E4C" w:rsidRDefault="00833524" w:rsidP="00E56269">
            <w:pPr>
              <w:spacing w:line="259" w:lineRule="auto"/>
              <w:ind w:left="18"/>
              <w:jc w:val="center"/>
              <w:rPr>
                <w:rFonts w:asciiTheme="majorHAnsi" w:hAnsiTheme="majorHAnsi"/>
                <w:sz w:val="18"/>
              </w:rP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6F5E6F5" w14:textId="77777777" w:rsidR="00833524" w:rsidRPr="00634E4C" w:rsidRDefault="00833524" w:rsidP="00E56269">
            <w:pPr>
              <w:spacing w:line="259" w:lineRule="auto"/>
              <w:ind w:left="20"/>
              <w:jc w:val="center"/>
              <w:rPr>
                <w:rFonts w:asciiTheme="majorHAnsi" w:hAnsiTheme="majorHAnsi"/>
                <w:sz w:val="18"/>
              </w:rP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2A9E8AC" w14:textId="77777777" w:rsidR="00833524" w:rsidRPr="00634E4C" w:rsidRDefault="00833524" w:rsidP="00E56269">
            <w:pPr>
              <w:spacing w:line="259" w:lineRule="auto"/>
              <w:ind w:left="19"/>
              <w:jc w:val="center"/>
              <w:rPr>
                <w:rFonts w:asciiTheme="majorHAnsi" w:hAnsiTheme="majorHAnsi"/>
                <w:sz w:val="18"/>
              </w:rP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B4FD3A4" w14:textId="77777777" w:rsidR="00833524" w:rsidRPr="00634E4C" w:rsidRDefault="00833524" w:rsidP="00E56269">
            <w:pPr>
              <w:spacing w:line="259" w:lineRule="auto"/>
              <w:ind w:left="19"/>
              <w:jc w:val="center"/>
              <w:rPr>
                <w:rFonts w:asciiTheme="majorHAnsi" w:hAnsiTheme="majorHAnsi"/>
                <w:i/>
                <w:sz w:val="18"/>
              </w:rP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0772D84" w14:textId="77777777" w:rsidR="00833524" w:rsidRPr="00294AB8" w:rsidRDefault="00833524" w:rsidP="00E56269">
            <w:pPr>
              <w:spacing w:line="259" w:lineRule="auto"/>
              <w:ind w:left="19"/>
              <w:jc w:val="center"/>
              <w:rPr>
                <w:rFonts w:asciiTheme="majorHAnsi" w:hAnsiTheme="majorHAnsi"/>
                <w:i/>
                <w:sz w:val="18"/>
                <w:szCs w:val="18"/>
              </w:rPr>
            </w:pPr>
          </w:p>
        </w:tc>
      </w:tr>
      <w:tr w:rsidR="00833524" w:rsidRPr="00364545" w14:paraId="21A58624" w14:textId="77777777" w:rsidTr="00E56269">
        <w:trPr>
          <w:trHeight w:val="346"/>
        </w:trPr>
        <w:tc>
          <w:tcPr>
            <w:tcW w:w="1404" w:type="dxa"/>
            <w:tcBorders>
              <w:top w:val="single" w:sz="2" w:space="0" w:color="000000"/>
              <w:left w:val="single" w:sz="2" w:space="0" w:color="000000"/>
              <w:bottom w:val="single" w:sz="2" w:space="0" w:color="000000"/>
              <w:right w:val="single" w:sz="2" w:space="0" w:color="000000"/>
            </w:tcBorders>
            <w:shd w:val="clear" w:color="auto" w:fill="E5EAF3"/>
          </w:tcPr>
          <w:p w14:paraId="2E65E513" w14:textId="77777777" w:rsidR="00833524" w:rsidRPr="00364545" w:rsidRDefault="00833524" w:rsidP="00E56269">
            <w:pPr>
              <w:spacing w:line="259" w:lineRule="auto"/>
            </w:pPr>
            <w:r w:rsidRPr="00364545">
              <w:rPr>
                <w:i/>
                <w:sz w:val="18"/>
              </w:rPr>
              <w:t xml:space="preserve">International bunker emissions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611E146" w14:textId="77777777" w:rsidR="00833524" w:rsidRPr="00364545" w:rsidRDefault="00833524" w:rsidP="00E56269">
            <w:pPr>
              <w:spacing w:line="259" w:lineRule="auto"/>
              <w:ind w:left="56"/>
              <w:jc w:val="center"/>
              <w:rPr>
                <w:i/>
                <w:sz w:val="18"/>
                <w:szCs w:val="18"/>
              </w:rPr>
            </w:pPr>
            <w:r>
              <w:rPr>
                <w:sz w:val="18"/>
                <w:szCs w:val="18"/>
              </w:rPr>
              <w:t>16921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6FBE5F7" w14:textId="77777777" w:rsidR="00833524" w:rsidRPr="00364545" w:rsidRDefault="00833524" w:rsidP="00E56269">
            <w:pPr>
              <w:spacing w:line="259" w:lineRule="auto"/>
              <w:ind w:left="56"/>
              <w:jc w:val="center"/>
              <w:rPr>
                <w:i/>
                <w:sz w:val="18"/>
                <w:szCs w:val="18"/>
                <w:highlight w:val="yellow"/>
              </w:rPr>
            </w:pPr>
            <w:r>
              <w:rPr>
                <w:sz w:val="18"/>
                <w:szCs w:val="18"/>
              </w:rPr>
              <w:t>17908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8B1FCA9" w14:textId="77777777" w:rsidR="00833524" w:rsidRPr="00364545" w:rsidRDefault="00833524" w:rsidP="00E56269">
            <w:pPr>
              <w:spacing w:line="259" w:lineRule="auto"/>
              <w:ind w:left="56"/>
              <w:jc w:val="center"/>
              <w:rPr>
                <w:i/>
                <w:sz w:val="18"/>
                <w:szCs w:val="18"/>
                <w:highlight w:val="yellow"/>
              </w:rPr>
            </w:pPr>
            <w:r>
              <w:rPr>
                <w:sz w:val="18"/>
                <w:szCs w:val="18"/>
              </w:rPr>
              <w:t>23807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F36C79E" w14:textId="77777777" w:rsidR="00833524" w:rsidRPr="00364545" w:rsidRDefault="00833524" w:rsidP="00E56269">
            <w:pPr>
              <w:spacing w:line="259" w:lineRule="auto"/>
              <w:ind w:left="56"/>
              <w:jc w:val="center"/>
              <w:rPr>
                <w:i/>
                <w:sz w:val="18"/>
                <w:szCs w:val="18"/>
                <w:highlight w:val="yellow"/>
              </w:rPr>
            </w:pPr>
            <w:r>
              <w:rPr>
                <w:sz w:val="18"/>
                <w:szCs w:val="18"/>
              </w:rPr>
              <w:t>24733</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394EBA4" w14:textId="77777777" w:rsidR="00833524" w:rsidRPr="00364545" w:rsidRDefault="00833524" w:rsidP="00E56269">
            <w:pPr>
              <w:spacing w:line="259" w:lineRule="auto"/>
              <w:ind w:left="56"/>
              <w:jc w:val="center"/>
              <w:rPr>
                <w:i/>
                <w:sz w:val="18"/>
                <w:szCs w:val="18"/>
              </w:rPr>
            </w:pPr>
            <w:r>
              <w:rPr>
                <w:sz w:val="18"/>
                <w:szCs w:val="18"/>
              </w:rPr>
              <w:t>24227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320B424" w14:textId="77777777" w:rsidR="00833524" w:rsidRPr="00364545" w:rsidRDefault="00833524" w:rsidP="00E56269">
            <w:pPr>
              <w:spacing w:line="259" w:lineRule="auto"/>
              <w:ind w:left="56"/>
              <w:jc w:val="center"/>
              <w:rPr>
                <w:i/>
                <w:sz w:val="18"/>
                <w:szCs w:val="18"/>
              </w:rPr>
            </w:pPr>
            <w:r>
              <w:rPr>
                <w:sz w:val="18"/>
                <w:szCs w:val="18"/>
              </w:rPr>
              <w:t>23316</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8ABA072" w14:textId="77777777" w:rsidR="00833524" w:rsidRPr="00364545" w:rsidRDefault="00833524" w:rsidP="00E56269">
            <w:pPr>
              <w:spacing w:line="259" w:lineRule="auto"/>
              <w:ind w:left="56"/>
              <w:jc w:val="center"/>
              <w:rPr>
                <w:rFonts w:ascii="Calibri" w:hAnsi="Calibri"/>
                <w:color w:val="000000"/>
                <w:sz w:val="20"/>
              </w:rPr>
            </w:pPr>
            <w:r>
              <w:rPr>
                <w:sz w:val="18"/>
                <w:szCs w:val="18"/>
              </w:rPr>
              <w:t>24791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B370750"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24784</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9204FFE"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26995</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7A9AB7F"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29299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3251A73"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26287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1749C85"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13459</w:t>
            </w:r>
          </w:p>
        </w:tc>
      </w:tr>
      <w:tr w:rsidR="00833524" w:rsidRPr="00364545" w14:paraId="51B030B1" w14:textId="77777777" w:rsidTr="00E56269">
        <w:trPr>
          <w:trHeight w:val="343"/>
        </w:trPr>
        <w:tc>
          <w:tcPr>
            <w:tcW w:w="1404" w:type="dxa"/>
            <w:tcBorders>
              <w:top w:val="single" w:sz="2" w:space="0" w:color="000000"/>
              <w:left w:val="single" w:sz="2" w:space="0" w:color="000000"/>
              <w:bottom w:val="single" w:sz="2" w:space="0" w:color="000000"/>
              <w:right w:val="single" w:sz="2" w:space="0" w:color="000000"/>
            </w:tcBorders>
            <w:shd w:val="clear" w:color="auto" w:fill="E5EAF3"/>
          </w:tcPr>
          <w:p w14:paraId="6617D53D" w14:textId="77777777" w:rsidR="00833524" w:rsidRPr="00364545" w:rsidRDefault="00833524" w:rsidP="00E56269">
            <w:pPr>
              <w:spacing w:line="259" w:lineRule="auto"/>
            </w:pPr>
            <w:r w:rsidRPr="00364545">
              <w:rPr>
                <w:i/>
                <w:sz w:val="18"/>
              </w:rPr>
              <w:t xml:space="preserve">Aviation bunker emissions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B5C6DE9" w14:textId="77777777" w:rsidR="00833524" w:rsidRPr="00364545" w:rsidRDefault="00833524" w:rsidP="00E56269">
            <w:pPr>
              <w:spacing w:line="259" w:lineRule="auto"/>
              <w:ind w:left="56"/>
              <w:jc w:val="center"/>
              <w:rPr>
                <w:i/>
                <w:sz w:val="18"/>
                <w:szCs w:val="18"/>
              </w:rPr>
            </w:pPr>
            <w:r>
              <w:rPr>
                <w:sz w:val="18"/>
                <w:szCs w:val="18"/>
              </w:rPr>
              <w:t>8880</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3F15AEF" w14:textId="77777777" w:rsidR="00833524" w:rsidRPr="00364545" w:rsidRDefault="00833524" w:rsidP="00E56269">
            <w:pPr>
              <w:spacing w:line="259" w:lineRule="auto"/>
              <w:ind w:left="56"/>
              <w:jc w:val="center"/>
              <w:rPr>
                <w:i/>
                <w:sz w:val="18"/>
                <w:szCs w:val="18"/>
                <w:highlight w:val="yellow"/>
              </w:rPr>
            </w:pPr>
            <w:r>
              <w:rPr>
                <w:sz w:val="18"/>
                <w:szCs w:val="18"/>
              </w:rPr>
              <w:t>10709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D3A741E" w14:textId="77777777" w:rsidR="00833524" w:rsidRPr="00364545" w:rsidRDefault="00833524" w:rsidP="00E56269">
            <w:pPr>
              <w:spacing w:line="259" w:lineRule="auto"/>
              <w:ind w:left="56"/>
              <w:jc w:val="center"/>
              <w:rPr>
                <w:i/>
                <w:sz w:val="18"/>
                <w:szCs w:val="18"/>
                <w:highlight w:val="yellow"/>
              </w:rPr>
            </w:pPr>
            <w:r>
              <w:rPr>
                <w:sz w:val="18"/>
                <w:szCs w:val="18"/>
              </w:rPr>
              <w:t>14243</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6856EF4" w14:textId="77777777" w:rsidR="00833524" w:rsidRPr="00364545" w:rsidRDefault="00833524" w:rsidP="00E56269">
            <w:pPr>
              <w:spacing w:line="259" w:lineRule="auto"/>
              <w:ind w:left="56"/>
              <w:jc w:val="center"/>
              <w:rPr>
                <w:i/>
                <w:sz w:val="18"/>
                <w:szCs w:val="18"/>
                <w:highlight w:val="yellow"/>
              </w:rPr>
            </w:pPr>
            <w:r>
              <w:rPr>
                <w:sz w:val="18"/>
                <w:szCs w:val="18"/>
              </w:rPr>
              <w:t>15862</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7FE4821" w14:textId="77777777" w:rsidR="00833524" w:rsidRPr="00364545" w:rsidRDefault="00833524" w:rsidP="00E56269">
            <w:pPr>
              <w:spacing w:line="259" w:lineRule="auto"/>
              <w:ind w:left="56"/>
              <w:jc w:val="center"/>
              <w:rPr>
                <w:i/>
                <w:sz w:val="18"/>
                <w:szCs w:val="18"/>
              </w:rPr>
            </w:pPr>
            <w:r>
              <w:rPr>
                <w:sz w:val="18"/>
                <w:szCs w:val="18"/>
              </w:rPr>
              <w:t>16227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121EA64" w14:textId="77777777" w:rsidR="00833524" w:rsidRPr="00364545" w:rsidRDefault="00833524" w:rsidP="00E56269">
            <w:pPr>
              <w:spacing w:line="259" w:lineRule="auto"/>
              <w:ind w:left="56"/>
              <w:jc w:val="center"/>
              <w:rPr>
                <w:i/>
                <w:sz w:val="18"/>
                <w:szCs w:val="18"/>
              </w:rPr>
            </w:pPr>
            <w:r>
              <w:rPr>
                <w:sz w:val="18"/>
                <w:szCs w:val="18"/>
              </w:rPr>
              <w:t>17705</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D29ADFC" w14:textId="77777777" w:rsidR="00833524" w:rsidRPr="00364545" w:rsidRDefault="00833524" w:rsidP="00E56269">
            <w:pPr>
              <w:spacing w:line="259" w:lineRule="auto"/>
              <w:ind w:left="56"/>
              <w:jc w:val="center"/>
              <w:rPr>
                <w:rFonts w:ascii="Calibri" w:hAnsi="Calibri"/>
                <w:color w:val="000000"/>
                <w:sz w:val="20"/>
              </w:rPr>
            </w:pPr>
            <w:r>
              <w:rPr>
                <w:sz w:val="18"/>
                <w:szCs w:val="18"/>
              </w:rPr>
              <w:t>19202</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304641C"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17005</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A8130B2"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19084</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935E66F"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21396</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3D5F046"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18692</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16F9B94"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11003</w:t>
            </w:r>
          </w:p>
        </w:tc>
      </w:tr>
      <w:tr w:rsidR="00833524" w:rsidRPr="00364545" w14:paraId="0446309C" w14:textId="77777777" w:rsidTr="00E56269">
        <w:trPr>
          <w:trHeight w:val="345"/>
        </w:trPr>
        <w:tc>
          <w:tcPr>
            <w:tcW w:w="1404" w:type="dxa"/>
            <w:tcBorders>
              <w:top w:val="single" w:sz="2" w:space="0" w:color="000000"/>
              <w:left w:val="single" w:sz="2" w:space="0" w:color="000000"/>
              <w:bottom w:val="single" w:sz="2" w:space="0" w:color="000000"/>
              <w:right w:val="single" w:sz="2" w:space="0" w:color="000000"/>
            </w:tcBorders>
            <w:shd w:val="clear" w:color="auto" w:fill="E5EAF3"/>
          </w:tcPr>
          <w:p w14:paraId="6F48CB6B" w14:textId="77777777" w:rsidR="00833524" w:rsidRPr="00364545" w:rsidRDefault="00833524" w:rsidP="00E56269">
            <w:pPr>
              <w:spacing w:line="259" w:lineRule="auto"/>
            </w:pPr>
            <w:r w:rsidRPr="00364545">
              <w:rPr>
                <w:i/>
                <w:sz w:val="18"/>
              </w:rPr>
              <w:t xml:space="preserve">Maritime bunker emissions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6B0AEE5" w14:textId="77777777" w:rsidR="00833524" w:rsidRPr="00364545" w:rsidRDefault="00833524" w:rsidP="00E56269">
            <w:pPr>
              <w:spacing w:line="259" w:lineRule="auto"/>
              <w:ind w:left="56"/>
              <w:jc w:val="center"/>
              <w:rPr>
                <w:i/>
                <w:sz w:val="18"/>
                <w:szCs w:val="18"/>
              </w:rPr>
            </w:pPr>
            <w:r>
              <w:rPr>
                <w:sz w:val="18"/>
                <w:szCs w:val="18"/>
              </w:rPr>
              <w:t>8041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3327E1A" w14:textId="77777777" w:rsidR="00833524" w:rsidRPr="00364545" w:rsidRDefault="00833524" w:rsidP="00E56269">
            <w:pPr>
              <w:spacing w:line="259" w:lineRule="auto"/>
              <w:ind w:left="56"/>
              <w:jc w:val="center"/>
              <w:rPr>
                <w:i/>
                <w:sz w:val="18"/>
                <w:szCs w:val="18"/>
                <w:highlight w:val="yellow"/>
              </w:rPr>
            </w:pPr>
            <w:r>
              <w:rPr>
                <w:sz w:val="18"/>
                <w:szCs w:val="18"/>
              </w:rPr>
              <w:t>7199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31C8F66" w14:textId="77777777" w:rsidR="00833524" w:rsidRPr="00364545" w:rsidRDefault="00833524" w:rsidP="00E56269">
            <w:pPr>
              <w:spacing w:line="259" w:lineRule="auto"/>
              <w:ind w:left="56"/>
              <w:jc w:val="center"/>
              <w:rPr>
                <w:i/>
                <w:sz w:val="18"/>
                <w:szCs w:val="18"/>
                <w:highlight w:val="yellow"/>
              </w:rPr>
            </w:pPr>
            <w:r>
              <w:rPr>
                <w:sz w:val="18"/>
                <w:szCs w:val="18"/>
              </w:rPr>
              <w:t>9564</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9B621BC" w14:textId="77777777" w:rsidR="00833524" w:rsidRPr="00364545" w:rsidRDefault="00833524" w:rsidP="00E56269">
            <w:pPr>
              <w:spacing w:line="259" w:lineRule="auto"/>
              <w:ind w:left="56"/>
              <w:jc w:val="center"/>
              <w:rPr>
                <w:i/>
                <w:sz w:val="18"/>
                <w:szCs w:val="18"/>
                <w:highlight w:val="yellow"/>
              </w:rPr>
            </w:pPr>
            <w:r>
              <w:rPr>
                <w:sz w:val="18"/>
                <w:szCs w:val="18"/>
              </w:rPr>
              <w:t>8871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B38EF6E" w14:textId="77777777" w:rsidR="00833524" w:rsidRPr="00364545" w:rsidRDefault="00833524" w:rsidP="00E56269">
            <w:pPr>
              <w:spacing w:line="259" w:lineRule="auto"/>
              <w:ind w:left="56"/>
              <w:jc w:val="center"/>
              <w:rPr>
                <w:i/>
                <w:sz w:val="18"/>
                <w:szCs w:val="18"/>
              </w:rPr>
            </w:pPr>
            <w:r>
              <w:rPr>
                <w:sz w:val="18"/>
                <w:szCs w:val="18"/>
              </w:rPr>
              <w:t>8001</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2462966" w14:textId="77777777" w:rsidR="00833524" w:rsidRPr="00364545" w:rsidRDefault="00833524" w:rsidP="00E56269">
            <w:pPr>
              <w:spacing w:line="259" w:lineRule="auto"/>
              <w:ind w:left="56"/>
              <w:jc w:val="center"/>
              <w:rPr>
                <w:i/>
                <w:sz w:val="18"/>
                <w:szCs w:val="18"/>
              </w:rPr>
            </w:pPr>
            <w:r>
              <w:rPr>
                <w:sz w:val="18"/>
                <w:szCs w:val="18"/>
              </w:rPr>
              <w:t>5611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8AF111D" w14:textId="77777777" w:rsidR="00833524" w:rsidRPr="00364545" w:rsidRDefault="00833524" w:rsidP="00E56269">
            <w:pPr>
              <w:spacing w:line="259" w:lineRule="auto"/>
              <w:ind w:left="56"/>
              <w:jc w:val="center"/>
              <w:rPr>
                <w:rFonts w:ascii="Calibri" w:hAnsi="Calibri"/>
                <w:color w:val="000000"/>
                <w:sz w:val="20"/>
              </w:rPr>
            </w:pPr>
            <w:r>
              <w:rPr>
                <w:sz w:val="18"/>
                <w:szCs w:val="18"/>
              </w:rPr>
              <w:t>5589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F303DF6"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7778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8C5B13A"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7911</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32CD403"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7903</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9CE5E0B"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7595</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CFA9581" w14:textId="77777777" w:rsidR="00833524" w:rsidRPr="00634E4C" w:rsidRDefault="00833524" w:rsidP="00E56269">
            <w:pPr>
              <w:spacing w:line="259" w:lineRule="auto"/>
              <w:ind w:left="56"/>
              <w:jc w:val="center"/>
              <w:rPr>
                <w:rFonts w:asciiTheme="majorHAnsi" w:hAnsiTheme="majorHAnsi"/>
                <w:i/>
                <w:sz w:val="18"/>
              </w:rPr>
            </w:pPr>
            <w:r w:rsidRPr="00634E4C">
              <w:rPr>
                <w:rFonts w:asciiTheme="majorHAnsi" w:hAnsiTheme="majorHAnsi"/>
                <w:color w:val="000000"/>
                <w:sz w:val="18"/>
              </w:rPr>
              <w:t>2456</w:t>
            </w:r>
          </w:p>
        </w:tc>
      </w:tr>
    </w:tbl>
    <w:p w14:paraId="13C393BC" w14:textId="77777777" w:rsidR="00833524" w:rsidRPr="00364545" w:rsidRDefault="00833524" w:rsidP="00833524">
      <w:pPr>
        <w:pStyle w:val="Default"/>
        <w:rPr>
          <w:sz w:val="16"/>
          <w:szCs w:val="16"/>
        </w:rPr>
      </w:pPr>
      <w:r w:rsidRPr="00364545">
        <w:rPr>
          <w:i/>
          <w:sz w:val="16"/>
        </w:rPr>
        <w:t xml:space="preserve">Reading the table: Energy = category CRF1; industrial processes and solvents = category CRF2 and 3; agriculture (non-energy) = category CRF4; waste treatment = category CRF 6. </w:t>
      </w:r>
    </w:p>
    <w:p w14:paraId="51075C93" w14:textId="66BF3A11" w:rsidR="00833524" w:rsidRPr="00364545" w:rsidRDefault="00833524" w:rsidP="00833524">
      <w:pPr>
        <w:pStyle w:val="Caption"/>
      </w:pPr>
      <w:r w:rsidRPr="00364545">
        <w:t xml:space="preserve">Table </w:t>
      </w:r>
      <w:fldSimple w:instr=" SEQ Tableau \* ARABIC ">
        <w:r w:rsidR="009A2FAA">
          <w:rPr>
            <w:noProof/>
          </w:rPr>
          <w:t>14</w:t>
        </w:r>
      </w:fldSimple>
      <w:r w:rsidRPr="00364545">
        <w:t>: GHG emissions projections by sector of activity (in ktCO</w:t>
      </w:r>
      <w:r w:rsidRPr="00364545">
        <w:rPr>
          <w:vertAlign w:val="subscript"/>
        </w:rPr>
        <w:t>2e</w:t>
      </w:r>
      <w:r w:rsidRPr="00364545">
        <w:t>) in the Kyoto scope in the AMS scenario (with additional measures)</w:t>
      </w:r>
    </w:p>
    <w:p w14:paraId="227765F8" w14:textId="77777777" w:rsidR="00833524" w:rsidRDefault="00833524" w:rsidP="00833524">
      <w:pPr>
        <w:pStyle w:val="Caption"/>
      </w:pPr>
      <w:r w:rsidRPr="00364545">
        <w:t>Source: U</w:t>
      </w:r>
      <w:r>
        <w:t>NFCCC inventory, Citepa/MTE, 2022</w:t>
      </w:r>
      <w:r w:rsidRPr="00364545">
        <w:t xml:space="preserve"> submission and MTE emission projections, 2018</w:t>
      </w:r>
    </w:p>
    <w:p w14:paraId="598FAA84" w14:textId="77777777" w:rsidR="00833524" w:rsidRPr="00364545" w:rsidRDefault="00833524" w:rsidP="00833524">
      <w:pPr>
        <w:jc w:val="center"/>
      </w:pPr>
      <w:r>
        <w:rPr>
          <w:noProof/>
          <w:lang w:val="fr-FR"/>
        </w:rPr>
        <w:drawing>
          <wp:inline distT="0" distB="0" distL="0" distR="0" wp14:anchorId="6D32B8A0" wp14:editId="4DE1C61D">
            <wp:extent cx="6172200" cy="2904067"/>
            <wp:effectExtent l="0" t="0" r="0" b="0"/>
            <wp:docPr id="28682" name="Graphique 28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78D7878" w14:textId="2B79796E" w:rsidR="00833524" w:rsidRPr="00364545" w:rsidRDefault="00833524" w:rsidP="00833524">
      <w:pPr>
        <w:pStyle w:val="Caption"/>
      </w:pPr>
      <w:r w:rsidRPr="00364545">
        <w:t xml:space="preserve">Figure </w:t>
      </w:r>
      <w:fldSimple w:instr=" SEQ Figure \* ARABIC ">
        <w:r w:rsidR="009A2FAA">
          <w:rPr>
            <w:noProof/>
          </w:rPr>
          <w:t>55</w:t>
        </w:r>
      </w:fldSimple>
      <w:r w:rsidRPr="00364545">
        <w:t>: Projection by sector in ktCO</w:t>
      </w:r>
      <w:r w:rsidRPr="00364545">
        <w:rPr>
          <w:vertAlign w:val="subscript"/>
        </w:rPr>
        <w:t>2e</w:t>
      </w:r>
      <w:r w:rsidRPr="00364545">
        <w:t>, in the Kyoto format, AMS 2018 scenario</w:t>
      </w:r>
    </w:p>
    <w:p w14:paraId="095390BA" w14:textId="77777777" w:rsidR="00833524" w:rsidRPr="00364545" w:rsidRDefault="00833524" w:rsidP="00833524">
      <w:pPr>
        <w:pStyle w:val="Caption"/>
      </w:pPr>
      <w:r w:rsidRPr="00364545">
        <w:t>Source: UNF</w:t>
      </w:r>
      <w:r>
        <w:t>CCC inventory, Citepa/MTES, 2022</w:t>
      </w:r>
      <w:r w:rsidRPr="00364545">
        <w:t xml:space="preserve"> submission and MTES emission projections, 2018</w:t>
      </w:r>
    </w:p>
    <w:p w14:paraId="65E3F03B" w14:textId="77777777" w:rsidR="00833524" w:rsidRPr="00364545" w:rsidRDefault="00833524" w:rsidP="00833524"/>
    <w:p w14:paraId="7483FE44" w14:textId="77777777" w:rsidR="00833524" w:rsidRPr="00364545" w:rsidRDefault="00833524" w:rsidP="00833524">
      <w:pPr>
        <w:pStyle w:val="Titre4niveau4"/>
        <w:numPr>
          <w:ilvl w:val="2"/>
          <w:numId w:val="78"/>
        </w:numPr>
      </w:pPr>
      <w:r w:rsidRPr="00364545">
        <w:t xml:space="preserve">Details of the energy sector categories </w:t>
      </w:r>
    </w:p>
    <w:p w14:paraId="06BE7A0E" w14:textId="77777777" w:rsidR="00833524" w:rsidRPr="00364545" w:rsidRDefault="00833524" w:rsidP="00833524">
      <w:pPr>
        <w:pStyle w:val="titreencadre"/>
        <w:numPr>
          <w:ilvl w:val="3"/>
          <w:numId w:val="78"/>
        </w:numPr>
      </w:pPr>
      <w:r w:rsidRPr="00364545">
        <w:t>AME 2021</w:t>
      </w:r>
    </w:p>
    <w:tbl>
      <w:tblPr>
        <w:tblStyle w:val="TableGrid0"/>
        <w:tblW w:w="10259" w:type="dxa"/>
        <w:tblInd w:w="10" w:type="dxa"/>
        <w:tblLayout w:type="fixed"/>
        <w:tblCellMar>
          <w:top w:w="40" w:type="dxa"/>
          <w:left w:w="28" w:type="dxa"/>
          <w:right w:w="1" w:type="dxa"/>
        </w:tblCellMar>
        <w:tblLook w:val="04A0" w:firstRow="1" w:lastRow="0" w:firstColumn="1" w:lastColumn="0" w:noHBand="0" w:noVBand="1"/>
      </w:tblPr>
      <w:tblGrid>
        <w:gridCol w:w="1328"/>
        <w:gridCol w:w="714"/>
        <w:gridCol w:w="759"/>
        <w:gridCol w:w="759"/>
        <w:gridCol w:w="805"/>
        <w:gridCol w:w="803"/>
        <w:gridCol w:w="670"/>
        <w:gridCol w:w="803"/>
        <w:gridCol w:w="783"/>
        <w:gridCol w:w="692"/>
        <w:gridCol w:w="803"/>
        <w:gridCol w:w="670"/>
        <w:gridCol w:w="670"/>
      </w:tblGrid>
      <w:tr w:rsidR="00833524" w:rsidRPr="00364545" w14:paraId="0456E510" w14:textId="77777777" w:rsidTr="00E56269">
        <w:trPr>
          <w:trHeight w:val="380"/>
        </w:trPr>
        <w:tc>
          <w:tcPr>
            <w:tcW w:w="1328" w:type="dxa"/>
            <w:tcBorders>
              <w:top w:val="single" w:sz="2" w:space="0" w:color="000000"/>
              <w:left w:val="single" w:sz="2" w:space="0" w:color="000000"/>
              <w:bottom w:val="single" w:sz="2" w:space="0" w:color="000000"/>
              <w:right w:val="single" w:sz="2" w:space="0" w:color="000000"/>
            </w:tcBorders>
            <w:shd w:val="clear" w:color="auto" w:fill="6D2A78"/>
          </w:tcPr>
          <w:p w14:paraId="545D2E98" w14:textId="77777777" w:rsidR="00833524" w:rsidRPr="00364545" w:rsidRDefault="00833524" w:rsidP="00E56269">
            <w:r w:rsidRPr="00364545">
              <w:t>AME 2021</w:t>
            </w:r>
          </w:p>
        </w:tc>
        <w:tc>
          <w:tcPr>
            <w:tcW w:w="714" w:type="dxa"/>
            <w:tcBorders>
              <w:top w:val="single" w:sz="2" w:space="0" w:color="000000"/>
              <w:left w:val="single" w:sz="2" w:space="0" w:color="000000"/>
              <w:bottom w:val="single" w:sz="2" w:space="0" w:color="000000"/>
              <w:right w:val="single" w:sz="2" w:space="0" w:color="000000"/>
            </w:tcBorders>
            <w:shd w:val="clear" w:color="auto" w:fill="6D2A78"/>
          </w:tcPr>
          <w:p w14:paraId="15D17050" w14:textId="77777777" w:rsidR="00833524" w:rsidRPr="00364545" w:rsidRDefault="00833524" w:rsidP="00E56269">
            <w:pPr>
              <w:spacing w:line="259" w:lineRule="auto"/>
              <w:ind w:right="27"/>
              <w:jc w:val="center"/>
            </w:pPr>
            <w:r w:rsidRPr="00364545">
              <w:rPr>
                <w:b/>
                <w:color w:val="FFFFFF"/>
                <w:sz w:val="18"/>
              </w:rPr>
              <w:t xml:space="preserve">1990 </w:t>
            </w:r>
          </w:p>
        </w:tc>
        <w:tc>
          <w:tcPr>
            <w:tcW w:w="759" w:type="dxa"/>
            <w:tcBorders>
              <w:top w:val="single" w:sz="2" w:space="0" w:color="000000"/>
              <w:left w:val="single" w:sz="2" w:space="0" w:color="000000"/>
              <w:bottom w:val="single" w:sz="2" w:space="0" w:color="000000"/>
              <w:right w:val="single" w:sz="2" w:space="0" w:color="000000"/>
            </w:tcBorders>
            <w:shd w:val="clear" w:color="auto" w:fill="6D2A78"/>
          </w:tcPr>
          <w:p w14:paraId="1ECE608A" w14:textId="77777777" w:rsidR="00833524" w:rsidRPr="00364545" w:rsidRDefault="00833524" w:rsidP="00E56269">
            <w:pPr>
              <w:spacing w:line="259" w:lineRule="auto"/>
              <w:ind w:right="24"/>
              <w:jc w:val="center"/>
              <w:rPr>
                <w:b/>
                <w:color w:val="FFFFFF"/>
                <w:sz w:val="18"/>
              </w:rPr>
            </w:pPr>
            <w:r w:rsidRPr="00364545">
              <w:rPr>
                <w:b/>
                <w:color w:val="FFFFFF"/>
                <w:sz w:val="18"/>
              </w:rPr>
              <w:t>1995</w:t>
            </w:r>
          </w:p>
        </w:tc>
        <w:tc>
          <w:tcPr>
            <w:tcW w:w="759" w:type="dxa"/>
            <w:tcBorders>
              <w:top w:val="single" w:sz="2" w:space="0" w:color="000000"/>
              <w:left w:val="single" w:sz="2" w:space="0" w:color="000000"/>
              <w:bottom w:val="single" w:sz="2" w:space="0" w:color="000000"/>
              <w:right w:val="single" w:sz="2" w:space="0" w:color="000000"/>
            </w:tcBorders>
            <w:shd w:val="clear" w:color="auto" w:fill="6D2A78"/>
          </w:tcPr>
          <w:p w14:paraId="6E5A5FCD" w14:textId="77777777" w:rsidR="00833524" w:rsidRPr="00364545" w:rsidRDefault="00833524" w:rsidP="00E56269">
            <w:pPr>
              <w:spacing w:line="259" w:lineRule="auto"/>
              <w:ind w:right="24"/>
              <w:jc w:val="center"/>
            </w:pPr>
            <w:r w:rsidRPr="00364545">
              <w:rPr>
                <w:b/>
                <w:color w:val="FFFFFF"/>
                <w:sz w:val="18"/>
              </w:rPr>
              <w:t xml:space="preserve">2000 </w:t>
            </w:r>
          </w:p>
        </w:tc>
        <w:tc>
          <w:tcPr>
            <w:tcW w:w="805" w:type="dxa"/>
            <w:tcBorders>
              <w:top w:val="single" w:sz="2" w:space="0" w:color="000000"/>
              <w:left w:val="single" w:sz="2" w:space="0" w:color="000000"/>
              <w:bottom w:val="single" w:sz="2" w:space="0" w:color="000000"/>
              <w:right w:val="single" w:sz="2" w:space="0" w:color="000000"/>
            </w:tcBorders>
            <w:shd w:val="clear" w:color="auto" w:fill="6D2A78"/>
          </w:tcPr>
          <w:p w14:paraId="1C1A3B3A" w14:textId="77777777" w:rsidR="00833524" w:rsidRPr="00364545" w:rsidRDefault="00833524" w:rsidP="00E56269">
            <w:pPr>
              <w:spacing w:line="259" w:lineRule="auto"/>
              <w:ind w:right="27"/>
              <w:jc w:val="center"/>
            </w:pPr>
            <w:r w:rsidRPr="00364545">
              <w:rPr>
                <w:b/>
                <w:color w:val="FFFFFF"/>
                <w:sz w:val="18"/>
              </w:rPr>
              <w:t xml:space="preserve">2005 </w:t>
            </w:r>
          </w:p>
        </w:tc>
        <w:tc>
          <w:tcPr>
            <w:tcW w:w="803" w:type="dxa"/>
            <w:tcBorders>
              <w:top w:val="single" w:sz="2" w:space="0" w:color="000000"/>
              <w:left w:val="single" w:sz="2" w:space="0" w:color="000000"/>
              <w:bottom w:val="single" w:sz="2" w:space="0" w:color="000000"/>
              <w:right w:val="single" w:sz="2" w:space="0" w:color="000000"/>
            </w:tcBorders>
            <w:shd w:val="clear" w:color="auto" w:fill="6D2A78"/>
          </w:tcPr>
          <w:p w14:paraId="355EEE5F" w14:textId="77777777" w:rsidR="00833524" w:rsidRPr="00364545" w:rsidRDefault="00833524" w:rsidP="00E56269">
            <w:pPr>
              <w:spacing w:line="259" w:lineRule="auto"/>
              <w:ind w:right="24"/>
              <w:jc w:val="center"/>
            </w:pPr>
            <w:r w:rsidRPr="00364545">
              <w:rPr>
                <w:b/>
                <w:color w:val="FFFFFF"/>
                <w:sz w:val="18"/>
              </w:rPr>
              <w:t xml:space="preserve">2010 </w:t>
            </w:r>
          </w:p>
        </w:tc>
        <w:tc>
          <w:tcPr>
            <w:tcW w:w="670" w:type="dxa"/>
            <w:tcBorders>
              <w:top w:val="single" w:sz="2" w:space="0" w:color="000000"/>
              <w:left w:val="single" w:sz="2" w:space="0" w:color="000000"/>
              <w:bottom w:val="single" w:sz="2" w:space="0" w:color="000000"/>
              <w:right w:val="single" w:sz="2" w:space="0" w:color="000000"/>
            </w:tcBorders>
            <w:shd w:val="clear" w:color="auto" w:fill="6D2A78"/>
          </w:tcPr>
          <w:p w14:paraId="15EB853C" w14:textId="77777777" w:rsidR="00833524" w:rsidRPr="00364545" w:rsidRDefault="00833524" w:rsidP="00E56269">
            <w:pPr>
              <w:spacing w:line="259" w:lineRule="auto"/>
              <w:ind w:right="27"/>
              <w:jc w:val="center"/>
            </w:pPr>
            <w:r w:rsidRPr="00364545">
              <w:rPr>
                <w:b/>
                <w:color w:val="FFFFFF"/>
                <w:sz w:val="18"/>
              </w:rPr>
              <w:t xml:space="preserve">2015 </w:t>
            </w:r>
          </w:p>
        </w:tc>
        <w:tc>
          <w:tcPr>
            <w:tcW w:w="803" w:type="dxa"/>
            <w:tcBorders>
              <w:top w:val="single" w:sz="2" w:space="0" w:color="000000"/>
              <w:left w:val="single" w:sz="2" w:space="0" w:color="000000"/>
              <w:bottom w:val="single" w:sz="2" w:space="0" w:color="000000"/>
              <w:right w:val="single" w:sz="2" w:space="0" w:color="000000"/>
            </w:tcBorders>
            <w:shd w:val="clear" w:color="auto" w:fill="6D2A78"/>
          </w:tcPr>
          <w:p w14:paraId="076316A8" w14:textId="77777777" w:rsidR="00833524" w:rsidRPr="00364545" w:rsidRDefault="00833524" w:rsidP="00E56269">
            <w:pPr>
              <w:spacing w:line="259" w:lineRule="auto"/>
              <w:ind w:right="24"/>
              <w:jc w:val="center"/>
              <w:rPr>
                <w:b/>
                <w:color w:val="FFFFFF"/>
                <w:sz w:val="18"/>
              </w:rPr>
            </w:pPr>
            <w:r w:rsidRPr="00364545">
              <w:rPr>
                <w:b/>
                <w:color w:val="FFFFFF"/>
                <w:sz w:val="18"/>
              </w:rPr>
              <w:t>2019</w:t>
            </w:r>
          </w:p>
        </w:tc>
        <w:tc>
          <w:tcPr>
            <w:tcW w:w="783" w:type="dxa"/>
            <w:tcBorders>
              <w:top w:val="single" w:sz="2" w:space="0" w:color="000000"/>
              <w:left w:val="single" w:sz="2" w:space="0" w:color="000000"/>
              <w:bottom w:val="single" w:sz="2" w:space="0" w:color="000000"/>
              <w:right w:val="single" w:sz="2" w:space="0" w:color="000000"/>
            </w:tcBorders>
            <w:shd w:val="clear" w:color="auto" w:fill="6D2A78"/>
          </w:tcPr>
          <w:p w14:paraId="7F68E5EC" w14:textId="77777777" w:rsidR="00833524" w:rsidRPr="00364545" w:rsidRDefault="00833524" w:rsidP="00E56269">
            <w:pPr>
              <w:spacing w:line="259" w:lineRule="auto"/>
              <w:ind w:right="24"/>
              <w:jc w:val="center"/>
            </w:pPr>
            <w:r w:rsidRPr="00364545">
              <w:rPr>
                <w:b/>
                <w:color w:val="FFFFFF"/>
                <w:sz w:val="18"/>
              </w:rPr>
              <w:t xml:space="preserve">2020 </w:t>
            </w:r>
          </w:p>
        </w:tc>
        <w:tc>
          <w:tcPr>
            <w:tcW w:w="692" w:type="dxa"/>
            <w:tcBorders>
              <w:top w:val="single" w:sz="2" w:space="0" w:color="000000"/>
              <w:left w:val="single" w:sz="2" w:space="0" w:color="000000"/>
              <w:bottom w:val="single" w:sz="2" w:space="0" w:color="000000"/>
              <w:right w:val="single" w:sz="2" w:space="0" w:color="000000"/>
            </w:tcBorders>
            <w:shd w:val="clear" w:color="auto" w:fill="6D2A78"/>
          </w:tcPr>
          <w:p w14:paraId="76498618" w14:textId="77777777" w:rsidR="00833524" w:rsidRPr="00364545" w:rsidRDefault="00833524" w:rsidP="00E56269">
            <w:pPr>
              <w:spacing w:line="259" w:lineRule="auto"/>
              <w:ind w:right="27"/>
              <w:jc w:val="center"/>
            </w:pPr>
            <w:r w:rsidRPr="00364545">
              <w:rPr>
                <w:b/>
                <w:color w:val="FFFFFF"/>
                <w:sz w:val="18"/>
              </w:rPr>
              <w:t xml:space="preserve">2025 </w:t>
            </w:r>
          </w:p>
        </w:tc>
        <w:tc>
          <w:tcPr>
            <w:tcW w:w="803" w:type="dxa"/>
            <w:tcBorders>
              <w:top w:val="single" w:sz="2" w:space="0" w:color="000000"/>
              <w:left w:val="single" w:sz="2" w:space="0" w:color="000000"/>
              <w:bottom w:val="single" w:sz="2" w:space="0" w:color="000000"/>
              <w:right w:val="single" w:sz="2" w:space="0" w:color="000000"/>
            </w:tcBorders>
            <w:shd w:val="clear" w:color="auto" w:fill="6D2A78"/>
          </w:tcPr>
          <w:p w14:paraId="7DAA2E31" w14:textId="77777777" w:rsidR="00833524" w:rsidRPr="00364545" w:rsidRDefault="00833524" w:rsidP="00E56269">
            <w:pPr>
              <w:spacing w:line="259" w:lineRule="auto"/>
              <w:ind w:right="24"/>
              <w:jc w:val="center"/>
            </w:pPr>
            <w:r w:rsidRPr="00364545">
              <w:rPr>
                <w:b/>
                <w:color w:val="FFFFFF"/>
                <w:sz w:val="18"/>
              </w:rPr>
              <w:t xml:space="preserve">2030 </w:t>
            </w:r>
          </w:p>
        </w:tc>
        <w:tc>
          <w:tcPr>
            <w:tcW w:w="670" w:type="dxa"/>
            <w:tcBorders>
              <w:top w:val="single" w:sz="2" w:space="0" w:color="000000"/>
              <w:left w:val="single" w:sz="2" w:space="0" w:color="000000"/>
              <w:bottom w:val="single" w:sz="2" w:space="0" w:color="000000"/>
              <w:right w:val="single" w:sz="2" w:space="0" w:color="000000"/>
            </w:tcBorders>
            <w:shd w:val="clear" w:color="auto" w:fill="6D2A78"/>
          </w:tcPr>
          <w:p w14:paraId="04BB082A" w14:textId="77777777" w:rsidR="00833524" w:rsidRPr="00364545" w:rsidRDefault="00833524" w:rsidP="00E56269">
            <w:pPr>
              <w:spacing w:line="259" w:lineRule="auto"/>
              <w:ind w:right="26"/>
              <w:jc w:val="center"/>
            </w:pPr>
            <w:r w:rsidRPr="00364545">
              <w:rPr>
                <w:b/>
                <w:color w:val="FFFFFF"/>
                <w:sz w:val="18"/>
              </w:rPr>
              <w:t xml:space="preserve">2035 </w:t>
            </w:r>
          </w:p>
        </w:tc>
        <w:tc>
          <w:tcPr>
            <w:tcW w:w="670" w:type="dxa"/>
            <w:tcBorders>
              <w:top w:val="single" w:sz="2" w:space="0" w:color="000000"/>
              <w:left w:val="single" w:sz="2" w:space="0" w:color="000000"/>
              <w:bottom w:val="single" w:sz="2" w:space="0" w:color="000000"/>
              <w:right w:val="single" w:sz="2" w:space="0" w:color="000000"/>
            </w:tcBorders>
            <w:shd w:val="clear" w:color="auto" w:fill="6D2A78"/>
          </w:tcPr>
          <w:p w14:paraId="1634D833" w14:textId="77777777" w:rsidR="00833524" w:rsidRPr="00364545" w:rsidRDefault="00833524" w:rsidP="00E56269">
            <w:pPr>
              <w:spacing w:line="259" w:lineRule="auto"/>
              <w:ind w:right="26"/>
              <w:jc w:val="center"/>
              <w:rPr>
                <w:b/>
                <w:color w:val="FFFFFF"/>
                <w:sz w:val="18"/>
              </w:rPr>
            </w:pPr>
            <w:r w:rsidRPr="00364545">
              <w:rPr>
                <w:b/>
                <w:color w:val="FFFFFF"/>
                <w:sz w:val="18"/>
              </w:rPr>
              <w:t>2050</w:t>
            </w:r>
          </w:p>
        </w:tc>
      </w:tr>
      <w:tr w:rsidR="00833524" w:rsidRPr="00364545" w14:paraId="517DB06C" w14:textId="77777777" w:rsidTr="00E56269">
        <w:trPr>
          <w:trHeight w:val="329"/>
        </w:trPr>
        <w:tc>
          <w:tcPr>
            <w:tcW w:w="1328" w:type="dxa"/>
            <w:tcBorders>
              <w:top w:val="single" w:sz="2" w:space="0" w:color="000000"/>
              <w:left w:val="single" w:sz="2" w:space="0" w:color="000000"/>
              <w:bottom w:val="single" w:sz="2" w:space="0" w:color="000000"/>
              <w:right w:val="single" w:sz="2" w:space="0" w:color="000000"/>
            </w:tcBorders>
          </w:tcPr>
          <w:p w14:paraId="149E43B3" w14:textId="77777777" w:rsidR="00833524" w:rsidRPr="00364545" w:rsidRDefault="00833524" w:rsidP="00E56269">
            <w:pPr>
              <w:spacing w:line="259" w:lineRule="auto"/>
            </w:pPr>
            <w:r w:rsidRPr="00364545">
              <w:rPr>
                <w:b/>
                <w:sz w:val="18"/>
              </w:rPr>
              <w:t xml:space="preserve"> </w:t>
            </w:r>
          </w:p>
        </w:tc>
        <w:tc>
          <w:tcPr>
            <w:tcW w:w="714" w:type="dxa"/>
            <w:tcBorders>
              <w:top w:val="single" w:sz="2" w:space="0" w:color="000000"/>
              <w:left w:val="single" w:sz="2" w:space="0" w:color="000000"/>
              <w:bottom w:val="single" w:sz="2" w:space="0" w:color="000000"/>
              <w:right w:val="single" w:sz="2" w:space="0" w:color="000000"/>
            </w:tcBorders>
          </w:tcPr>
          <w:p w14:paraId="1697D5F0" w14:textId="77777777" w:rsidR="00833524" w:rsidRPr="00364545" w:rsidRDefault="00833524" w:rsidP="00E56269">
            <w:pPr>
              <w:spacing w:line="259" w:lineRule="auto"/>
              <w:rPr>
                <w:sz w:val="16"/>
              </w:rPr>
            </w:pPr>
            <w:r w:rsidRPr="00364545">
              <w:rPr>
                <w:b/>
                <w:color w:val="6D2A78"/>
                <w:sz w:val="16"/>
              </w:rPr>
              <w:t xml:space="preserve">Observed </w:t>
            </w:r>
          </w:p>
        </w:tc>
        <w:tc>
          <w:tcPr>
            <w:tcW w:w="759" w:type="dxa"/>
            <w:tcBorders>
              <w:top w:val="single" w:sz="2" w:space="0" w:color="000000"/>
              <w:left w:val="single" w:sz="2" w:space="0" w:color="000000"/>
              <w:bottom w:val="single" w:sz="2" w:space="0" w:color="000000"/>
              <w:right w:val="single" w:sz="2" w:space="0" w:color="000000"/>
            </w:tcBorders>
          </w:tcPr>
          <w:p w14:paraId="59F71C99" w14:textId="77777777" w:rsidR="00833524" w:rsidRPr="00364545" w:rsidRDefault="00833524" w:rsidP="00E56269">
            <w:pPr>
              <w:spacing w:line="259" w:lineRule="auto"/>
              <w:rPr>
                <w:b/>
                <w:color w:val="6D2A78"/>
                <w:sz w:val="16"/>
              </w:rPr>
            </w:pPr>
            <w:r w:rsidRPr="00364545">
              <w:rPr>
                <w:b/>
                <w:color w:val="6D2A78"/>
                <w:sz w:val="16"/>
              </w:rPr>
              <w:t>Observed</w:t>
            </w:r>
          </w:p>
        </w:tc>
        <w:tc>
          <w:tcPr>
            <w:tcW w:w="759" w:type="dxa"/>
            <w:tcBorders>
              <w:top w:val="single" w:sz="2" w:space="0" w:color="000000"/>
              <w:left w:val="single" w:sz="2" w:space="0" w:color="000000"/>
              <w:bottom w:val="single" w:sz="2" w:space="0" w:color="000000"/>
              <w:right w:val="single" w:sz="2" w:space="0" w:color="000000"/>
            </w:tcBorders>
          </w:tcPr>
          <w:p w14:paraId="7810ED33" w14:textId="77777777" w:rsidR="00833524" w:rsidRPr="00364545" w:rsidRDefault="00833524" w:rsidP="00E56269">
            <w:pPr>
              <w:spacing w:line="259" w:lineRule="auto"/>
              <w:rPr>
                <w:sz w:val="16"/>
              </w:rPr>
            </w:pPr>
            <w:r w:rsidRPr="00364545">
              <w:rPr>
                <w:b/>
                <w:color w:val="6D2A78"/>
                <w:sz w:val="16"/>
              </w:rPr>
              <w:t xml:space="preserve">Observed </w:t>
            </w:r>
          </w:p>
        </w:tc>
        <w:tc>
          <w:tcPr>
            <w:tcW w:w="805" w:type="dxa"/>
            <w:tcBorders>
              <w:top w:val="single" w:sz="2" w:space="0" w:color="000000"/>
              <w:left w:val="single" w:sz="2" w:space="0" w:color="000000"/>
              <w:bottom w:val="single" w:sz="2" w:space="0" w:color="000000"/>
              <w:right w:val="single" w:sz="2" w:space="0" w:color="000000"/>
            </w:tcBorders>
          </w:tcPr>
          <w:p w14:paraId="3C68B2A4" w14:textId="77777777" w:rsidR="00833524" w:rsidRPr="00364545" w:rsidRDefault="00833524" w:rsidP="00E56269">
            <w:pPr>
              <w:spacing w:line="259" w:lineRule="auto"/>
              <w:rPr>
                <w:sz w:val="16"/>
              </w:rPr>
            </w:pPr>
            <w:r w:rsidRPr="00364545">
              <w:rPr>
                <w:b/>
                <w:color w:val="6D2A78"/>
                <w:sz w:val="16"/>
              </w:rPr>
              <w:t xml:space="preserve">Observed </w:t>
            </w:r>
          </w:p>
        </w:tc>
        <w:tc>
          <w:tcPr>
            <w:tcW w:w="803" w:type="dxa"/>
            <w:tcBorders>
              <w:top w:val="single" w:sz="2" w:space="0" w:color="000000"/>
              <w:left w:val="single" w:sz="2" w:space="0" w:color="000000"/>
              <w:bottom w:val="single" w:sz="2" w:space="0" w:color="000000"/>
              <w:right w:val="single" w:sz="2" w:space="0" w:color="000000"/>
            </w:tcBorders>
          </w:tcPr>
          <w:p w14:paraId="179A13D3" w14:textId="77777777" w:rsidR="00833524" w:rsidRPr="00364545" w:rsidRDefault="00833524" w:rsidP="00E56269">
            <w:pPr>
              <w:spacing w:line="259" w:lineRule="auto"/>
              <w:rPr>
                <w:sz w:val="16"/>
              </w:rPr>
            </w:pPr>
            <w:r w:rsidRPr="00364545">
              <w:rPr>
                <w:b/>
                <w:color w:val="6D2A78"/>
                <w:sz w:val="16"/>
              </w:rPr>
              <w:t xml:space="preserve">Observed </w:t>
            </w:r>
          </w:p>
        </w:tc>
        <w:tc>
          <w:tcPr>
            <w:tcW w:w="670" w:type="dxa"/>
            <w:tcBorders>
              <w:top w:val="single" w:sz="2" w:space="0" w:color="000000"/>
              <w:left w:val="single" w:sz="2" w:space="0" w:color="000000"/>
              <w:bottom w:val="single" w:sz="2" w:space="0" w:color="000000"/>
              <w:right w:val="single" w:sz="2" w:space="0" w:color="000000"/>
            </w:tcBorders>
          </w:tcPr>
          <w:p w14:paraId="0CF73BC1" w14:textId="77777777" w:rsidR="00833524" w:rsidRPr="00364545" w:rsidRDefault="00833524" w:rsidP="00E56269">
            <w:pPr>
              <w:spacing w:line="259" w:lineRule="auto"/>
              <w:rPr>
                <w:sz w:val="16"/>
              </w:rPr>
            </w:pPr>
            <w:r w:rsidRPr="00364545">
              <w:rPr>
                <w:b/>
                <w:color w:val="6D2A78"/>
                <w:sz w:val="16"/>
              </w:rPr>
              <w:t xml:space="preserve">Observed </w:t>
            </w:r>
          </w:p>
        </w:tc>
        <w:tc>
          <w:tcPr>
            <w:tcW w:w="803" w:type="dxa"/>
            <w:tcBorders>
              <w:top w:val="single" w:sz="2" w:space="0" w:color="000000"/>
              <w:left w:val="single" w:sz="2" w:space="0" w:color="000000"/>
              <w:bottom w:val="single" w:sz="2" w:space="0" w:color="000000"/>
              <w:right w:val="single" w:sz="2" w:space="0" w:color="000000"/>
            </w:tcBorders>
          </w:tcPr>
          <w:p w14:paraId="03BC1423" w14:textId="77777777" w:rsidR="00833524" w:rsidRPr="00364545" w:rsidRDefault="00833524" w:rsidP="00E56269">
            <w:pPr>
              <w:spacing w:line="259" w:lineRule="auto"/>
              <w:rPr>
                <w:b/>
                <w:color w:val="6D2A78"/>
                <w:sz w:val="16"/>
              </w:rPr>
            </w:pPr>
            <w:r w:rsidRPr="00364545">
              <w:rPr>
                <w:b/>
                <w:color w:val="6D2A78"/>
                <w:sz w:val="16"/>
              </w:rPr>
              <w:t>Observed</w:t>
            </w:r>
          </w:p>
        </w:tc>
        <w:tc>
          <w:tcPr>
            <w:tcW w:w="783" w:type="dxa"/>
            <w:tcBorders>
              <w:top w:val="single" w:sz="2" w:space="0" w:color="000000"/>
              <w:left w:val="single" w:sz="2" w:space="0" w:color="000000"/>
              <w:bottom w:val="single" w:sz="2" w:space="0" w:color="000000"/>
              <w:right w:val="single" w:sz="2" w:space="0" w:color="000000"/>
            </w:tcBorders>
          </w:tcPr>
          <w:p w14:paraId="615D3EF5" w14:textId="77777777" w:rsidR="00833524" w:rsidRPr="00364545" w:rsidRDefault="00833524" w:rsidP="00E56269">
            <w:pPr>
              <w:spacing w:line="259" w:lineRule="auto"/>
              <w:rPr>
                <w:sz w:val="16"/>
              </w:rPr>
            </w:pPr>
            <w:r w:rsidRPr="00364545">
              <w:rPr>
                <w:b/>
                <w:color w:val="6D2A78"/>
                <w:sz w:val="16"/>
              </w:rPr>
              <w:t xml:space="preserve">Projected </w:t>
            </w:r>
          </w:p>
        </w:tc>
        <w:tc>
          <w:tcPr>
            <w:tcW w:w="692" w:type="dxa"/>
            <w:tcBorders>
              <w:top w:val="single" w:sz="2" w:space="0" w:color="000000"/>
              <w:left w:val="single" w:sz="2" w:space="0" w:color="000000"/>
              <w:bottom w:val="single" w:sz="2" w:space="0" w:color="000000"/>
              <w:right w:val="single" w:sz="2" w:space="0" w:color="000000"/>
            </w:tcBorders>
          </w:tcPr>
          <w:p w14:paraId="51451857" w14:textId="77777777" w:rsidR="00833524" w:rsidRPr="00364545" w:rsidRDefault="00833524" w:rsidP="00E56269">
            <w:pPr>
              <w:spacing w:line="259" w:lineRule="auto"/>
              <w:rPr>
                <w:sz w:val="16"/>
              </w:rPr>
            </w:pPr>
            <w:r w:rsidRPr="00364545">
              <w:rPr>
                <w:b/>
                <w:color w:val="6D2A78"/>
                <w:sz w:val="16"/>
              </w:rPr>
              <w:t xml:space="preserve">Projected </w:t>
            </w:r>
          </w:p>
        </w:tc>
        <w:tc>
          <w:tcPr>
            <w:tcW w:w="803" w:type="dxa"/>
            <w:tcBorders>
              <w:top w:val="single" w:sz="2" w:space="0" w:color="000000"/>
              <w:left w:val="single" w:sz="2" w:space="0" w:color="000000"/>
              <w:bottom w:val="single" w:sz="2" w:space="0" w:color="000000"/>
              <w:right w:val="single" w:sz="2" w:space="0" w:color="000000"/>
            </w:tcBorders>
          </w:tcPr>
          <w:p w14:paraId="62C3AB8D" w14:textId="77777777" w:rsidR="00833524" w:rsidRPr="00364545" w:rsidRDefault="00833524" w:rsidP="00E56269">
            <w:pPr>
              <w:spacing w:line="259" w:lineRule="auto"/>
              <w:rPr>
                <w:sz w:val="16"/>
              </w:rPr>
            </w:pPr>
            <w:r w:rsidRPr="00364545">
              <w:rPr>
                <w:b/>
                <w:color w:val="6D2A78"/>
                <w:sz w:val="16"/>
              </w:rPr>
              <w:t xml:space="preserve">Projected </w:t>
            </w:r>
          </w:p>
        </w:tc>
        <w:tc>
          <w:tcPr>
            <w:tcW w:w="670" w:type="dxa"/>
            <w:tcBorders>
              <w:top w:val="single" w:sz="2" w:space="0" w:color="000000"/>
              <w:left w:val="single" w:sz="2" w:space="0" w:color="000000"/>
              <w:bottom w:val="single" w:sz="2" w:space="0" w:color="000000"/>
              <w:right w:val="single" w:sz="2" w:space="0" w:color="000000"/>
            </w:tcBorders>
          </w:tcPr>
          <w:p w14:paraId="07993A49" w14:textId="77777777" w:rsidR="00833524" w:rsidRPr="00364545" w:rsidRDefault="00833524" w:rsidP="00E56269">
            <w:pPr>
              <w:spacing w:line="259" w:lineRule="auto"/>
              <w:rPr>
                <w:sz w:val="16"/>
              </w:rPr>
            </w:pPr>
            <w:r w:rsidRPr="00364545">
              <w:rPr>
                <w:b/>
                <w:color w:val="6D2A78"/>
                <w:sz w:val="16"/>
              </w:rPr>
              <w:t xml:space="preserve">Projected </w:t>
            </w:r>
          </w:p>
        </w:tc>
        <w:tc>
          <w:tcPr>
            <w:tcW w:w="670" w:type="dxa"/>
            <w:tcBorders>
              <w:top w:val="single" w:sz="2" w:space="0" w:color="000000"/>
              <w:left w:val="single" w:sz="2" w:space="0" w:color="000000"/>
              <w:bottom w:val="single" w:sz="2" w:space="0" w:color="000000"/>
              <w:right w:val="single" w:sz="2" w:space="0" w:color="000000"/>
            </w:tcBorders>
          </w:tcPr>
          <w:p w14:paraId="1C5DB1E0" w14:textId="77777777" w:rsidR="00833524" w:rsidRPr="00364545" w:rsidRDefault="00833524" w:rsidP="00E56269">
            <w:pPr>
              <w:spacing w:line="259" w:lineRule="auto"/>
              <w:rPr>
                <w:b/>
                <w:color w:val="6D2A78"/>
                <w:sz w:val="16"/>
              </w:rPr>
            </w:pPr>
            <w:r w:rsidRPr="00364545">
              <w:rPr>
                <w:b/>
                <w:color w:val="6D2A78"/>
                <w:sz w:val="16"/>
              </w:rPr>
              <w:t>Projected</w:t>
            </w:r>
          </w:p>
        </w:tc>
      </w:tr>
      <w:tr w:rsidR="00833524" w:rsidRPr="00364545" w14:paraId="684B8043" w14:textId="77777777" w:rsidTr="00E56269">
        <w:trPr>
          <w:trHeight w:val="327"/>
        </w:trPr>
        <w:tc>
          <w:tcPr>
            <w:tcW w:w="1328" w:type="dxa"/>
            <w:tcBorders>
              <w:top w:val="single" w:sz="2" w:space="0" w:color="000000"/>
              <w:left w:val="single" w:sz="2" w:space="0" w:color="000000"/>
              <w:bottom w:val="single" w:sz="2" w:space="0" w:color="000000"/>
              <w:right w:val="single" w:sz="2" w:space="0" w:color="000000"/>
            </w:tcBorders>
            <w:shd w:val="clear" w:color="auto" w:fill="ECE6E2"/>
          </w:tcPr>
          <w:p w14:paraId="5DE5F51A" w14:textId="77777777" w:rsidR="00833524" w:rsidRPr="00364545" w:rsidRDefault="00833524" w:rsidP="00E56269">
            <w:pPr>
              <w:spacing w:line="259" w:lineRule="auto"/>
            </w:pPr>
            <w:r w:rsidRPr="00364545">
              <w:rPr>
                <w:sz w:val="18"/>
              </w:rPr>
              <w:t xml:space="preserve">Energy industry </w:t>
            </w:r>
          </w:p>
        </w:tc>
        <w:tc>
          <w:tcPr>
            <w:tcW w:w="71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9F8C66D"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sz w:val="16"/>
                <w:szCs w:val="16"/>
              </w:rPr>
              <w:t>66338</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7E13796" w14:textId="77777777" w:rsidR="00833524" w:rsidRPr="00634E4C" w:rsidRDefault="00833524" w:rsidP="00E56269">
            <w:pPr>
              <w:spacing w:line="259" w:lineRule="auto"/>
              <w:jc w:val="center"/>
              <w:rPr>
                <w:rFonts w:asciiTheme="majorHAnsi" w:hAnsiTheme="majorHAnsi"/>
                <w:sz w:val="16"/>
              </w:rPr>
            </w:pPr>
            <w:r w:rsidRPr="00664108">
              <w:rPr>
                <w:rFonts w:asciiTheme="majorHAnsi" w:hAnsiTheme="majorHAnsi"/>
                <w:sz w:val="16"/>
                <w:szCs w:val="16"/>
              </w:rPr>
              <w:t>55802</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1E5639"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sz w:val="16"/>
                <w:szCs w:val="16"/>
              </w:rPr>
              <w:t>62526</w:t>
            </w:r>
          </w:p>
        </w:tc>
        <w:tc>
          <w:tcPr>
            <w:tcW w:w="80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4DEB5A7"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sz w:val="16"/>
                <w:szCs w:val="16"/>
              </w:rPr>
              <w:t>66972</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EEBA58D"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sz w:val="16"/>
                <w:szCs w:val="16"/>
              </w:rPr>
              <w:t>60134</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3B02EA"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sz w:val="16"/>
                <w:szCs w:val="16"/>
              </w:rPr>
              <w:t>44988</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EBAC0B"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sz w:val="16"/>
                <w:szCs w:val="16"/>
              </w:rPr>
              <w:t>41680</w:t>
            </w:r>
          </w:p>
        </w:tc>
        <w:tc>
          <w:tcPr>
            <w:tcW w:w="78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33DE16" w14:textId="77777777" w:rsidR="00833524" w:rsidRPr="00364545" w:rsidRDefault="00833524" w:rsidP="00E56269">
            <w:pPr>
              <w:spacing w:line="259" w:lineRule="auto"/>
              <w:ind w:left="108"/>
              <w:jc w:val="center"/>
              <w:rPr>
                <w:sz w:val="16"/>
                <w:szCs w:val="16"/>
              </w:rPr>
            </w:pPr>
            <w:r w:rsidRPr="00364545">
              <w:rPr>
                <w:sz w:val="16"/>
              </w:rPr>
              <w:t>49721</w:t>
            </w:r>
          </w:p>
        </w:tc>
        <w:tc>
          <w:tcPr>
            <w:tcW w:w="6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DBE5C1" w14:textId="77777777" w:rsidR="00833524" w:rsidRPr="00364545" w:rsidRDefault="00833524" w:rsidP="00E56269">
            <w:pPr>
              <w:spacing w:line="259" w:lineRule="auto"/>
              <w:ind w:left="108"/>
              <w:jc w:val="center"/>
              <w:rPr>
                <w:sz w:val="16"/>
                <w:szCs w:val="16"/>
              </w:rPr>
            </w:pPr>
            <w:r w:rsidRPr="00364545">
              <w:rPr>
                <w:sz w:val="16"/>
              </w:rPr>
              <w:t>49450</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0A0F4F" w14:textId="77777777" w:rsidR="00833524" w:rsidRPr="00364545" w:rsidRDefault="00833524" w:rsidP="00E56269">
            <w:pPr>
              <w:spacing w:line="259" w:lineRule="auto"/>
              <w:ind w:left="108"/>
              <w:jc w:val="center"/>
              <w:rPr>
                <w:sz w:val="16"/>
                <w:szCs w:val="16"/>
              </w:rPr>
            </w:pPr>
            <w:r w:rsidRPr="00364545">
              <w:rPr>
                <w:sz w:val="16"/>
              </w:rPr>
              <w:t>48836</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AF9F648" w14:textId="77777777" w:rsidR="00833524" w:rsidRPr="00364545" w:rsidRDefault="00833524" w:rsidP="00E56269">
            <w:pPr>
              <w:spacing w:line="259" w:lineRule="auto"/>
              <w:ind w:left="108"/>
              <w:jc w:val="center"/>
              <w:rPr>
                <w:sz w:val="16"/>
                <w:szCs w:val="16"/>
              </w:rPr>
            </w:pPr>
            <w:r w:rsidRPr="00364545">
              <w:rPr>
                <w:sz w:val="16"/>
              </w:rPr>
              <w:t>48946</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26A04EA" w14:textId="77777777" w:rsidR="00833524" w:rsidRPr="00364545" w:rsidRDefault="00833524" w:rsidP="00E56269">
            <w:pPr>
              <w:spacing w:line="259" w:lineRule="auto"/>
              <w:ind w:left="108"/>
              <w:jc w:val="center"/>
              <w:rPr>
                <w:sz w:val="16"/>
                <w:szCs w:val="16"/>
              </w:rPr>
            </w:pPr>
            <w:r w:rsidRPr="00364545">
              <w:rPr>
                <w:sz w:val="16"/>
              </w:rPr>
              <w:t>30247</w:t>
            </w:r>
          </w:p>
        </w:tc>
      </w:tr>
      <w:tr w:rsidR="00833524" w:rsidRPr="00364545" w14:paraId="29C6AF04" w14:textId="77777777" w:rsidTr="00E56269">
        <w:trPr>
          <w:trHeight w:val="398"/>
        </w:trPr>
        <w:tc>
          <w:tcPr>
            <w:tcW w:w="1328" w:type="dxa"/>
            <w:tcBorders>
              <w:top w:val="single" w:sz="2" w:space="0" w:color="000000"/>
              <w:left w:val="single" w:sz="2" w:space="0" w:color="000000"/>
              <w:bottom w:val="single" w:sz="2" w:space="0" w:color="000000"/>
              <w:right w:val="single" w:sz="2" w:space="0" w:color="000000"/>
            </w:tcBorders>
          </w:tcPr>
          <w:p w14:paraId="338482E7" w14:textId="77777777" w:rsidR="00833524" w:rsidRPr="00364545" w:rsidRDefault="00833524" w:rsidP="00E56269">
            <w:pPr>
              <w:spacing w:line="259" w:lineRule="auto"/>
            </w:pPr>
            <w:r w:rsidRPr="00364545">
              <w:rPr>
                <w:sz w:val="18"/>
              </w:rPr>
              <w:t xml:space="preserve">Manufacturing and construction </w:t>
            </w:r>
          </w:p>
        </w:tc>
        <w:tc>
          <w:tcPr>
            <w:tcW w:w="714" w:type="dxa"/>
            <w:tcBorders>
              <w:top w:val="single" w:sz="2" w:space="0" w:color="000000"/>
              <w:left w:val="single" w:sz="2" w:space="0" w:color="000000"/>
              <w:bottom w:val="single" w:sz="2" w:space="0" w:color="000000"/>
              <w:right w:val="single" w:sz="2" w:space="0" w:color="000000"/>
            </w:tcBorders>
            <w:vAlign w:val="center"/>
          </w:tcPr>
          <w:p w14:paraId="7D9E955B"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cs="Calibri"/>
                <w:color w:val="000000"/>
                <w:sz w:val="16"/>
                <w:szCs w:val="16"/>
              </w:rPr>
              <w:t>76164</w:t>
            </w:r>
          </w:p>
        </w:tc>
        <w:tc>
          <w:tcPr>
            <w:tcW w:w="759" w:type="dxa"/>
            <w:tcBorders>
              <w:top w:val="single" w:sz="2" w:space="0" w:color="000000"/>
              <w:left w:val="single" w:sz="2" w:space="0" w:color="000000"/>
              <w:bottom w:val="single" w:sz="2" w:space="0" w:color="000000"/>
              <w:right w:val="single" w:sz="2" w:space="0" w:color="000000"/>
            </w:tcBorders>
            <w:vAlign w:val="center"/>
          </w:tcPr>
          <w:p w14:paraId="47D4C22A" w14:textId="77777777" w:rsidR="00833524" w:rsidRPr="00634E4C" w:rsidRDefault="00833524" w:rsidP="00E56269">
            <w:pPr>
              <w:spacing w:line="259" w:lineRule="auto"/>
              <w:jc w:val="center"/>
              <w:rPr>
                <w:rFonts w:asciiTheme="majorHAnsi" w:hAnsiTheme="majorHAnsi"/>
                <w:sz w:val="16"/>
              </w:rPr>
            </w:pPr>
            <w:r w:rsidRPr="00664108">
              <w:rPr>
                <w:rFonts w:asciiTheme="majorHAnsi" w:hAnsiTheme="majorHAnsi" w:cs="Calibri"/>
                <w:color w:val="000000"/>
                <w:sz w:val="16"/>
                <w:szCs w:val="16"/>
              </w:rPr>
              <w:t>80423</w:t>
            </w:r>
          </w:p>
        </w:tc>
        <w:tc>
          <w:tcPr>
            <w:tcW w:w="759" w:type="dxa"/>
            <w:tcBorders>
              <w:top w:val="single" w:sz="2" w:space="0" w:color="000000"/>
              <w:left w:val="single" w:sz="2" w:space="0" w:color="000000"/>
              <w:bottom w:val="single" w:sz="2" w:space="0" w:color="000000"/>
              <w:right w:val="single" w:sz="2" w:space="0" w:color="000000"/>
            </w:tcBorders>
            <w:vAlign w:val="center"/>
          </w:tcPr>
          <w:p w14:paraId="482993B5"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cs="Calibri"/>
                <w:color w:val="000000"/>
                <w:sz w:val="16"/>
                <w:szCs w:val="16"/>
              </w:rPr>
              <w:t>75532</w:t>
            </w:r>
          </w:p>
        </w:tc>
        <w:tc>
          <w:tcPr>
            <w:tcW w:w="805" w:type="dxa"/>
            <w:tcBorders>
              <w:top w:val="single" w:sz="2" w:space="0" w:color="000000"/>
              <w:left w:val="single" w:sz="2" w:space="0" w:color="000000"/>
              <w:bottom w:val="single" w:sz="2" w:space="0" w:color="000000"/>
              <w:right w:val="single" w:sz="2" w:space="0" w:color="000000"/>
            </w:tcBorders>
            <w:vAlign w:val="center"/>
          </w:tcPr>
          <w:p w14:paraId="7E146768"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cs="Calibri"/>
                <w:color w:val="000000"/>
                <w:sz w:val="16"/>
                <w:szCs w:val="16"/>
              </w:rPr>
              <w:t>71990</w:t>
            </w:r>
          </w:p>
        </w:tc>
        <w:tc>
          <w:tcPr>
            <w:tcW w:w="803" w:type="dxa"/>
            <w:tcBorders>
              <w:top w:val="single" w:sz="2" w:space="0" w:color="000000"/>
              <w:left w:val="single" w:sz="2" w:space="0" w:color="000000"/>
              <w:bottom w:val="single" w:sz="2" w:space="0" w:color="000000"/>
              <w:right w:val="single" w:sz="2" w:space="0" w:color="000000"/>
            </w:tcBorders>
            <w:vAlign w:val="center"/>
          </w:tcPr>
          <w:p w14:paraId="6FD00D1F"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cs="Calibri"/>
                <w:color w:val="000000"/>
                <w:sz w:val="16"/>
                <w:szCs w:val="16"/>
              </w:rPr>
              <w:t>62105</w:t>
            </w:r>
          </w:p>
        </w:tc>
        <w:tc>
          <w:tcPr>
            <w:tcW w:w="670" w:type="dxa"/>
            <w:tcBorders>
              <w:top w:val="single" w:sz="2" w:space="0" w:color="000000"/>
              <w:left w:val="single" w:sz="2" w:space="0" w:color="000000"/>
              <w:bottom w:val="single" w:sz="2" w:space="0" w:color="000000"/>
              <w:right w:val="single" w:sz="2" w:space="0" w:color="000000"/>
            </w:tcBorders>
            <w:vAlign w:val="center"/>
          </w:tcPr>
          <w:p w14:paraId="1B944058"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cs="Calibri"/>
                <w:color w:val="000000"/>
                <w:sz w:val="16"/>
                <w:szCs w:val="16"/>
              </w:rPr>
              <w:t>51963</w:t>
            </w:r>
          </w:p>
        </w:tc>
        <w:tc>
          <w:tcPr>
            <w:tcW w:w="803" w:type="dxa"/>
            <w:tcBorders>
              <w:top w:val="single" w:sz="2" w:space="0" w:color="000000"/>
              <w:left w:val="single" w:sz="2" w:space="0" w:color="000000"/>
              <w:bottom w:val="single" w:sz="2" w:space="0" w:color="000000"/>
              <w:right w:val="single" w:sz="2" w:space="0" w:color="000000"/>
            </w:tcBorders>
            <w:vAlign w:val="center"/>
          </w:tcPr>
          <w:p w14:paraId="217540F8"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cs="Calibri"/>
                <w:color w:val="000000"/>
                <w:sz w:val="16"/>
                <w:szCs w:val="16"/>
              </w:rPr>
              <w:t>48031</w:t>
            </w:r>
          </w:p>
        </w:tc>
        <w:tc>
          <w:tcPr>
            <w:tcW w:w="783" w:type="dxa"/>
            <w:tcBorders>
              <w:top w:val="single" w:sz="2" w:space="0" w:color="000000"/>
              <w:left w:val="single" w:sz="2" w:space="0" w:color="000000"/>
              <w:bottom w:val="single" w:sz="2" w:space="0" w:color="000000"/>
              <w:right w:val="single" w:sz="2" w:space="0" w:color="000000"/>
            </w:tcBorders>
            <w:vAlign w:val="center"/>
          </w:tcPr>
          <w:p w14:paraId="2A4A2B22" w14:textId="77777777" w:rsidR="00833524" w:rsidRPr="00364545" w:rsidRDefault="00833524" w:rsidP="00E56269">
            <w:pPr>
              <w:spacing w:line="259" w:lineRule="auto"/>
              <w:ind w:left="108"/>
              <w:jc w:val="center"/>
              <w:rPr>
                <w:sz w:val="16"/>
                <w:szCs w:val="16"/>
              </w:rPr>
            </w:pPr>
            <w:r w:rsidRPr="00364545">
              <w:rPr>
                <w:sz w:val="16"/>
              </w:rPr>
              <w:t>47344</w:t>
            </w:r>
          </w:p>
        </w:tc>
        <w:tc>
          <w:tcPr>
            <w:tcW w:w="692" w:type="dxa"/>
            <w:tcBorders>
              <w:top w:val="single" w:sz="2" w:space="0" w:color="000000"/>
              <w:left w:val="single" w:sz="2" w:space="0" w:color="000000"/>
              <w:bottom w:val="single" w:sz="2" w:space="0" w:color="000000"/>
              <w:right w:val="single" w:sz="2" w:space="0" w:color="000000"/>
            </w:tcBorders>
            <w:vAlign w:val="center"/>
          </w:tcPr>
          <w:p w14:paraId="7A65844D" w14:textId="77777777" w:rsidR="00833524" w:rsidRPr="00364545" w:rsidRDefault="00833524" w:rsidP="00E56269">
            <w:pPr>
              <w:spacing w:line="259" w:lineRule="auto"/>
              <w:ind w:left="108"/>
              <w:jc w:val="center"/>
              <w:rPr>
                <w:sz w:val="16"/>
                <w:szCs w:val="16"/>
              </w:rPr>
            </w:pPr>
            <w:r w:rsidRPr="00364545">
              <w:rPr>
                <w:sz w:val="16"/>
              </w:rPr>
              <w:t>49895</w:t>
            </w:r>
          </w:p>
        </w:tc>
        <w:tc>
          <w:tcPr>
            <w:tcW w:w="803" w:type="dxa"/>
            <w:tcBorders>
              <w:top w:val="single" w:sz="2" w:space="0" w:color="000000"/>
              <w:left w:val="single" w:sz="2" w:space="0" w:color="000000"/>
              <w:bottom w:val="single" w:sz="2" w:space="0" w:color="000000"/>
              <w:right w:val="single" w:sz="2" w:space="0" w:color="000000"/>
            </w:tcBorders>
            <w:vAlign w:val="center"/>
          </w:tcPr>
          <w:p w14:paraId="23916CB8" w14:textId="77777777" w:rsidR="00833524" w:rsidRPr="00364545" w:rsidRDefault="00833524" w:rsidP="00E56269">
            <w:pPr>
              <w:spacing w:line="259" w:lineRule="auto"/>
              <w:ind w:left="108"/>
              <w:jc w:val="center"/>
              <w:rPr>
                <w:sz w:val="16"/>
                <w:szCs w:val="16"/>
              </w:rPr>
            </w:pPr>
            <w:r w:rsidRPr="00364545">
              <w:rPr>
                <w:sz w:val="16"/>
              </w:rPr>
              <w:t>48956</w:t>
            </w:r>
          </w:p>
        </w:tc>
        <w:tc>
          <w:tcPr>
            <w:tcW w:w="670" w:type="dxa"/>
            <w:tcBorders>
              <w:top w:val="single" w:sz="2" w:space="0" w:color="000000"/>
              <w:left w:val="single" w:sz="2" w:space="0" w:color="000000"/>
              <w:bottom w:val="single" w:sz="2" w:space="0" w:color="000000"/>
              <w:right w:val="single" w:sz="2" w:space="0" w:color="000000"/>
            </w:tcBorders>
            <w:vAlign w:val="center"/>
          </w:tcPr>
          <w:p w14:paraId="1D04944E" w14:textId="77777777" w:rsidR="00833524" w:rsidRPr="00364545" w:rsidRDefault="00833524" w:rsidP="00E56269">
            <w:pPr>
              <w:spacing w:line="259" w:lineRule="auto"/>
              <w:ind w:left="108"/>
              <w:jc w:val="center"/>
              <w:rPr>
                <w:sz w:val="16"/>
                <w:szCs w:val="16"/>
              </w:rPr>
            </w:pPr>
            <w:r w:rsidRPr="00364545">
              <w:rPr>
                <w:sz w:val="16"/>
              </w:rPr>
              <w:t>49242</w:t>
            </w:r>
          </w:p>
        </w:tc>
        <w:tc>
          <w:tcPr>
            <w:tcW w:w="670" w:type="dxa"/>
            <w:tcBorders>
              <w:top w:val="single" w:sz="2" w:space="0" w:color="000000"/>
              <w:left w:val="single" w:sz="2" w:space="0" w:color="000000"/>
              <w:bottom w:val="single" w:sz="2" w:space="0" w:color="000000"/>
              <w:right w:val="single" w:sz="2" w:space="0" w:color="000000"/>
            </w:tcBorders>
            <w:vAlign w:val="center"/>
          </w:tcPr>
          <w:p w14:paraId="53BA366C" w14:textId="77777777" w:rsidR="00833524" w:rsidRPr="00364545" w:rsidRDefault="00833524" w:rsidP="00E56269">
            <w:pPr>
              <w:spacing w:line="259" w:lineRule="auto"/>
              <w:ind w:left="108"/>
              <w:jc w:val="center"/>
              <w:rPr>
                <w:sz w:val="16"/>
                <w:szCs w:val="16"/>
              </w:rPr>
            </w:pPr>
            <w:r w:rsidRPr="00364545">
              <w:rPr>
                <w:sz w:val="16"/>
              </w:rPr>
              <w:t>50182</w:t>
            </w:r>
          </w:p>
        </w:tc>
      </w:tr>
      <w:tr w:rsidR="00833524" w:rsidRPr="00364545" w14:paraId="7C41BAEC" w14:textId="77777777" w:rsidTr="00E56269">
        <w:trPr>
          <w:trHeight w:val="327"/>
        </w:trPr>
        <w:tc>
          <w:tcPr>
            <w:tcW w:w="1328" w:type="dxa"/>
            <w:tcBorders>
              <w:top w:val="single" w:sz="2" w:space="0" w:color="000000"/>
              <w:left w:val="single" w:sz="2" w:space="0" w:color="000000"/>
              <w:bottom w:val="single" w:sz="2" w:space="0" w:color="000000"/>
              <w:right w:val="single" w:sz="2" w:space="0" w:color="000000"/>
            </w:tcBorders>
            <w:shd w:val="clear" w:color="auto" w:fill="ECE6E2"/>
          </w:tcPr>
          <w:p w14:paraId="463507DE" w14:textId="77777777" w:rsidR="00833524" w:rsidRPr="00364545" w:rsidRDefault="00833524" w:rsidP="00E56269">
            <w:pPr>
              <w:spacing w:line="259" w:lineRule="auto"/>
            </w:pPr>
            <w:r w:rsidRPr="00364545">
              <w:rPr>
                <w:sz w:val="18"/>
              </w:rPr>
              <w:t xml:space="preserve">Transport </w:t>
            </w:r>
          </w:p>
        </w:tc>
        <w:tc>
          <w:tcPr>
            <w:tcW w:w="71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7B9A33" w14:textId="77777777" w:rsidR="00833524" w:rsidRPr="00634E4C" w:rsidRDefault="00833524" w:rsidP="00E56269">
            <w:pPr>
              <w:spacing w:line="259" w:lineRule="auto"/>
              <w:ind w:left="58"/>
              <w:jc w:val="center"/>
              <w:rPr>
                <w:rFonts w:asciiTheme="majorHAnsi" w:hAnsiTheme="majorHAnsi"/>
                <w:sz w:val="16"/>
              </w:rPr>
            </w:pPr>
            <w:r w:rsidRPr="00664108">
              <w:rPr>
                <w:rFonts w:asciiTheme="majorHAnsi" w:hAnsiTheme="majorHAnsi"/>
                <w:sz w:val="16"/>
                <w:szCs w:val="16"/>
              </w:rPr>
              <w:t>122293</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D78C77" w14:textId="77777777" w:rsidR="00833524" w:rsidRPr="00634E4C" w:rsidRDefault="00833524" w:rsidP="00E56269">
            <w:pPr>
              <w:spacing w:line="259" w:lineRule="auto"/>
              <w:jc w:val="center"/>
              <w:rPr>
                <w:rFonts w:asciiTheme="majorHAnsi" w:hAnsiTheme="majorHAnsi"/>
                <w:sz w:val="16"/>
              </w:rPr>
            </w:pPr>
            <w:r w:rsidRPr="00664108">
              <w:rPr>
                <w:rFonts w:asciiTheme="majorHAnsi" w:hAnsiTheme="majorHAnsi"/>
                <w:sz w:val="16"/>
                <w:szCs w:val="16"/>
              </w:rPr>
              <w:t>132329</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34877A" w14:textId="77777777" w:rsidR="00833524" w:rsidRPr="00634E4C" w:rsidRDefault="00833524" w:rsidP="00E56269">
            <w:pPr>
              <w:spacing w:line="259" w:lineRule="auto"/>
              <w:ind w:left="58"/>
              <w:jc w:val="center"/>
              <w:rPr>
                <w:rFonts w:asciiTheme="majorHAnsi" w:hAnsiTheme="majorHAnsi"/>
                <w:sz w:val="16"/>
              </w:rPr>
            </w:pPr>
            <w:r w:rsidRPr="00664108">
              <w:rPr>
                <w:rFonts w:asciiTheme="majorHAnsi" w:hAnsiTheme="majorHAnsi"/>
                <w:sz w:val="16"/>
                <w:szCs w:val="16"/>
              </w:rPr>
              <w:t>141051</w:t>
            </w:r>
          </w:p>
        </w:tc>
        <w:tc>
          <w:tcPr>
            <w:tcW w:w="80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3E096B" w14:textId="77777777" w:rsidR="00833524" w:rsidRPr="00634E4C" w:rsidRDefault="00833524" w:rsidP="00E56269">
            <w:pPr>
              <w:spacing w:line="259" w:lineRule="auto"/>
              <w:ind w:left="58"/>
              <w:jc w:val="center"/>
              <w:rPr>
                <w:rFonts w:asciiTheme="majorHAnsi" w:hAnsiTheme="majorHAnsi"/>
                <w:sz w:val="16"/>
              </w:rPr>
            </w:pPr>
            <w:r w:rsidRPr="00664108">
              <w:rPr>
                <w:rFonts w:asciiTheme="majorHAnsi" w:hAnsiTheme="majorHAnsi"/>
                <w:sz w:val="16"/>
                <w:szCs w:val="16"/>
              </w:rPr>
              <w:t>142041</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BFC2D41" w14:textId="77777777" w:rsidR="00833524" w:rsidRPr="00634E4C" w:rsidRDefault="00833524" w:rsidP="00E56269">
            <w:pPr>
              <w:spacing w:line="259" w:lineRule="auto"/>
              <w:ind w:left="58"/>
              <w:jc w:val="center"/>
              <w:rPr>
                <w:rFonts w:asciiTheme="majorHAnsi" w:hAnsiTheme="majorHAnsi"/>
                <w:sz w:val="16"/>
              </w:rPr>
            </w:pPr>
            <w:r w:rsidRPr="00664108">
              <w:rPr>
                <w:rFonts w:asciiTheme="majorHAnsi" w:hAnsiTheme="majorHAnsi"/>
                <w:sz w:val="16"/>
                <w:szCs w:val="16"/>
              </w:rPr>
              <w:t>133750</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60F938" w14:textId="77777777" w:rsidR="00833524" w:rsidRPr="00634E4C" w:rsidRDefault="00833524" w:rsidP="00E56269">
            <w:pPr>
              <w:spacing w:line="259" w:lineRule="auto"/>
              <w:ind w:left="58"/>
              <w:jc w:val="center"/>
              <w:rPr>
                <w:rFonts w:asciiTheme="majorHAnsi" w:hAnsiTheme="majorHAnsi"/>
                <w:sz w:val="16"/>
              </w:rPr>
            </w:pPr>
            <w:r w:rsidRPr="00664108">
              <w:rPr>
                <w:rFonts w:asciiTheme="majorHAnsi" w:hAnsiTheme="majorHAnsi"/>
                <w:sz w:val="16"/>
                <w:szCs w:val="16"/>
              </w:rPr>
              <w:t>133744</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45B4AE" w14:textId="77777777" w:rsidR="00833524" w:rsidRPr="00634E4C" w:rsidRDefault="00833524" w:rsidP="00E56269">
            <w:pPr>
              <w:spacing w:line="259" w:lineRule="auto"/>
              <w:ind w:left="62"/>
              <w:jc w:val="center"/>
              <w:rPr>
                <w:rFonts w:asciiTheme="majorHAnsi" w:hAnsiTheme="majorHAnsi"/>
                <w:sz w:val="16"/>
              </w:rPr>
            </w:pPr>
            <w:r w:rsidRPr="00664108">
              <w:rPr>
                <w:rFonts w:asciiTheme="majorHAnsi" w:hAnsiTheme="majorHAnsi"/>
                <w:sz w:val="16"/>
                <w:szCs w:val="16"/>
              </w:rPr>
              <w:t>131725</w:t>
            </w:r>
          </w:p>
        </w:tc>
        <w:tc>
          <w:tcPr>
            <w:tcW w:w="78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316129" w14:textId="77777777" w:rsidR="00833524" w:rsidRPr="00364545" w:rsidRDefault="00833524" w:rsidP="00E56269">
            <w:pPr>
              <w:spacing w:line="259" w:lineRule="auto"/>
              <w:ind w:left="62"/>
              <w:jc w:val="center"/>
              <w:rPr>
                <w:sz w:val="16"/>
                <w:szCs w:val="16"/>
              </w:rPr>
            </w:pPr>
            <w:r w:rsidRPr="00364545">
              <w:rPr>
                <w:sz w:val="16"/>
              </w:rPr>
              <w:t>104084</w:t>
            </w:r>
          </w:p>
        </w:tc>
        <w:tc>
          <w:tcPr>
            <w:tcW w:w="6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9693598" w14:textId="77777777" w:rsidR="00833524" w:rsidRPr="00364545" w:rsidRDefault="00833524" w:rsidP="00E56269">
            <w:pPr>
              <w:spacing w:line="259" w:lineRule="auto"/>
              <w:ind w:left="62"/>
              <w:jc w:val="center"/>
              <w:rPr>
                <w:sz w:val="16"/>
                <w:szCs w:val="16"/>
              </w:rPr>
            </w:pPr>
            <w:r w:rsidRPr="00364545">
              <w:rPr>
                <w:sz w:val="16"/>
              </w:rPr>
              <w:t>114627</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439B793" w14:textId="77777777" w:rsidR="00833524" w:rsidRPr="00364545" w:rsidRDefault="00833524" w:rsidP="00E56269">
            <w:pPr>
              <w:spacing w:line="259" w:lineRule="auto"/>
              <w:ind w:left="62"/>
              <w:jc w:val="center"/>
              <w:rPr>
                <w:sz w:val="16"/>
                <w:szCs w:val="16"/>
              </w:rPr>
            </w:pPr>
            <w:r w:rsidRPr="00364545">
              <w:rPr>
                <w:sz w:val="16"/>
              </w:rPr>
              <w:t>102181</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5445473" w14:textId="77777777" w:rsidR="00833524" w:rsidRPr="00364545" w:rsidRDefault="00833524" w:rsidP="00E56269">
            <w:pPr>
              <w:spacing w:line="259" w:lineRule="auto"/>
              <w:ind w:left="62"/>
              <w:jc w:val="center"/>
              <w:rPr>
                <w:sz w:val="16"/>
                <w:szCs w:val="16"/>
              </w:rPr>
            </w:pPr>
            <w:r w:rsidRPr="00364545">
              <w:rPr>
                <w:sz w:val="16"/>
              </w:rPr>
              <w:t>96593</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6895A5" w14:textId="77777777" w:rsidR="00833524" w:rsidRPr="00364545" w:rsidRDefault="00833524" w:rsidP="00E56269">
            <w:pPr>
              <w:spacing w:line="259" w:lineRule="auto"/>
              <w:ind w:left="62"/>
              <w:jc w:val="center"/>
              <w:rPr>
                <w:sz w:val="16"/>
                <w:szCs w:val="16"/>
              </w:rPr>
            </w:pPr>
            <w:r w:rsidRPr="00364545">
              <w:rPr>
                <w:sz w:val="16"/>
              </w:rPr>
              <w:t>83729</w:t>
            </w:r>
          </w:p>
        </w:tc>
      </w:tr>
      <w:tr w:rsidR="00833524" w:rsidRPr="00364545" w14:paraId="5A8F0C8A" w14:textId="77777777" w:rsidTr="00E56269">
        <w:trPr>
          <w:trHeight w:val="596"/>
        </w:trPr>
        <w:tc>
          <w:tcPr>
            <w:tcW w:w="1328" w:type="dxa"/>
            <w:tcBorders>
              <w:top w:val="single" w:sz="2" w:space="0" w:color="000000"/>
              <w:left w:val="single" w:sz="2" w:space="0" w:color="000000"/>
              <w:bottom w:val="single" w:sz="2" w:space="0" w:color="000000"/>
              <w:right w:val="single" w:sz="2" w:space="0" w:color="000000"/>
            </w:tcBorders>
          </w:tcPr>
          <w:p w14:paraId="00ACE3BA" w14:textId="77777777" w:rsidR="00833524" w:rsidRPr="00364545" w:rsidRDefault="00833524" w:rsidP="00E56269">
            <w:pPr>
              <w:spacing w:line="259" w:lineRule="auto"/>
            </w:pPr>
            <w:r w:rsidRPr="00364545">
              <w:rPr>
                <w:sz w:val="18"/>
              </w:rPr>
              <w:t xml:space="preserve">Other sectors </w:t>
            </w:r>
          </w:p>
          <w:p w14:paraId="03A910F2" w14:textId="77777777" w:rsidR="00833524" w:rsidRPr="00364545" w:rsidRDefault="00833524" w:rsidP="00E56269">
            <w:pPr>
              <w:spacing w:line="259" w:lineRule="auto"/>
            </w:pPr>
            <w:r w:rsidRPr="00364545">
              <w:rPr>
                <w:sz w:val="18"/>
              </w:rPr>
              <w:t xml:space="preserve">(residential, tertiary, agriculture) </w:t>
            </w:r>
          </w:p>
        </w:tc>
        <w:tc>
          <w:tcPr>
            <w:tcW w:w="714" w:type="dxa"/>
            <w:tcBorders>
              <w:top w:val="single" w:sz="2" w:space="0" w:color="000000"/>
              <w:left w:val="single" w:sz="2" w:space="0" w:color="000000"/>
              <w:bottom w:val="single" w:sz="2" w:space="0" w:color="000000"/>
              <w:right w:val="single" w:sz="2" w:space="0" w:color="000000"/>
            </w:tcBorders>
            <w:vAlign w:val="center"/>
          </w:tcPr>
          <w:p w14:paraId="07FBB423" w14:textId="77777777" w:rsidR="00833524" w:rsidRPr="00634E4C" w:rsidRDefault="00833524" w:rsidP="00E56269">
            <w:pPr>
              <w:spacing w:line="259" w:lineRule="auto"/>
              <w:ind w:left="58"/>
              <w:jc w:val="center"/>
              <w:rPr>
                <w:rFonts w:asciiTheme="majorHAnsi" w:hAnsiTheme="majorHAnsi"/>
                <w:sz w:val="16"/>
              </w:rPr>
            </w:pPr>
            <w:r w:rsidRPr="00664108">
              <w:rPr>
                <w:rFonts w:asciiTheme="majorHAnsi" w:hAnsiTheme="majorHAnsi" w:cs="Calibri"/>
                <w:color w:val="000000"/>
                <w:sz w:val="16"/>
                <w:szCs w:val="16"/>
              </w:rPr>
              <w:t>102477</w:t>
            </w:r>
          </w:p>
        </w:tc>
        <w:tc>
          <w:tcPr>
            <w:tcW w:w="759" w:type="dxa"/>
            <w:tcBorders>
              <w:top w:val="single" w:sz="2" w:space="0" w:color="000000"/>
              <w:left w:val="single" w:sz="2" w:space="0" w:color="000000"/>
              <w:bottom w:val="single" w:sz="2" w:space="0" w:color="000000"/>
              <w:right w:val="single" w:sz="2" w:space="0" w:color="000000"/>
            </w:tcBorders>
            <w:vAlign w:val="center"/>
          </w:tcPr>
          <w:p w14:paraId="5E3A65BB" w14:textId="77777777" w:rsidR="00833524" w:rsidRPr="00634E4C" w:rsidRDefault="00833524" w:rsidP="00E56269">
            <w:pPr>
              <w:spacing w:line="259" w:lineRule="auto"/>
              <w:jc w:val="center"/>
              <w:rPr>
                <w:rFonts w:asciiTheme="majorHAnsi" w:hAnsiTheme="majorHAnsi"/>
                <w:sz w:val="16"/>
              </w:rPr>
            </w:pPr>
            <w:r w:rsidRPr="00664108">
              <w:rPr>
                <w:rFonts w:asciiTheme="majorHAnsi" w:hAnsiTheme="majorHAnsi" w:cs="Calibri"/>
                <w:color w:val="000000"/>
                <w:sz w:val="16"/>
                <w:szCs w:val="16"/>
              </w:rPr>
              <w:t>97525</w:t>
            </w:r>
          </w:p>
        </w:tc>
        <w:tc>
          <w:tcPr>
            <w:tcW w:w="759" w:type="dxa"/>
            <w:tcBorders>
              <w:top w:val="single" w:sz="2" w:space="0" w:color="000000"/>
              <w:left w:val="single" w:sz="2" w:space="0" w:color="000000"/>
              <w:bottom w:val="single" w:sz="2" w:space="0" w:color="000000"/>
              <w:right w:val="single" w:sz="2" w:space="0" w:color="000000"/>
            </w:tcBorders>
            <w:vAlign w:val="center"/>
          </w:tcPr>
          <w:p w14:paraId="015DAEA8" w14:textId="77777777" w:rsidR="00833524" w:rsidRPr="00634E4C" w:rsidRDefault="00833524" w:rsidP="00E56269">
            <w:pPr>
              <w:spacing w:line="259" w:lineRule="auto"/>
              <w:ind w:left="58"/>
              <w:jc w:val="center"/>
              <w:rPr>
                <w:rFonts w:asciiTheme="majorHAnsi" w:hAnsiTheme="majorHAnsi"/>
                <w:sz w:val="16"/>
              </w:rPr>
            </w:pPr>
            <w:r w:rsidRPr="00664108">
              <w:rPr>
                <w:rFonts w:asciiTheme="majorHAnsi" w:hAnsiTheme="majorHAnsi" w:cs="Calibri"/>
                <w:color w:val="000000"/>
                <w:sz w:val="16"/>
                <w:szCs w:val="16"/>
              </w:rPr>
              <w:t>102881</w:t>
            </w:r>
          </w:p>
        </w:tc>
        <w:tc>
          <w:tcPr>
            <w:tcW w:w="805" w:type="dxa"/>
            <w:tcBorders>
              <w:top w:val="single" w:sz="2" w:space="0" w:color="000000"/>
              <w:left w:val="single" w:sz="2" w:space="0" w:color="000000"/>
              <w:bottom w:val="single" w:sz="2" w:space="0" w:color="000000"/>
              <w:right w:val="single" w:sz="2" w:space="0" w:color="000000"/>
            </w:tcBorders>
            <w:vAlign w:val="center"/>
          </w:tcPr>
          <w:p w14:paraId="0202020E" w14:textId="77777777" w:rsidR="00833524" w:rsidRPr="00634E4C" w:rsidRDefault="00833524" w:rsidP="00E56269">
            <w:pPr>
              <w:spacing w:line="259" w:lineRule="auto"/>
              <w:ind w:left="62"/>
              <w:jc w:val="center"/>
              <w:rPr>
                <w:rFonts w:asciiTheme="majorHAnsi" w:hAnsiTheme="majorHAnsi"/>
                <w:sz w:val="16"/>
              </w:rPr>
            </w:pPr>
            <w:r w:rsidRPr="00664108">
              <w:rPr>
                <w:rFonts w:asciiTheme="majorHAnsi" w:hAnsiTheme="majorHAnsi" w:cs="Calibri"/>
                <w:color w:val="000000"/>
                <w:sz w:val="16"/>
                <w:szCs w:val="16"/>
              </w:rPr>
              <w:t>109388</w:t>
            </w:r>
          </w:p>
        </w:tc>
        <w:tc>
          <w:tcPr>
            <w:tcW w:w="803" w:type="dxa"/>
            <w:tcBorders>
              <w:top w:val="single" w:sz="2" w:space="0" w:color="000000"/>
              <w:left w:val="single" w:sz="2" w:space="0" w:color="000000"/>
              <w:bottom w:val="single" w:sz="2" w:space="0" w:color="000000"/>
              <w:right w:val="single" w:sz="2" w:space="0" w:color="000000"/>
            </w:tcBorders>
            <w:vAlign w:val="center"/>
          </w:tcPr>
          <w:p w14:paraId="22158E35" w14:textId="77777777" w:rsidR="00833524" w:rsidRPr="00634E4C" w:rsidRDefault="00833524" w:rsidP="00E56269">
            <w:pPr>
              <w:spacing w:line="259" w:lineRule="auto"/>
              <w:ind w:left="58"/>
              <w:jc w:val="center"/>
              <w:rPr>
                <w:rFonts w:asciiTheme="majorHAnsi" w:hAnsiTheme="majorHAnsi"/>
                <w:sz w:val="16"/>
              </w:rPr>
            </w:pPr>
            <w:r w:rsidRPr="00664108">
              <w:rPr>
                <w:rFonts w:asciiTheme="majorHAnsi" w:hAnsiTheme="majorHAnsi" w:cs="Calibri"/>
                <w:color w:val="000000"/>
                <w:sz w:val="16"/>
                <w:szCs w:val="16"/>
              </w:rPr>
              <w:t>101722</w:t>
            </w:r>
          </w:p>
        </w:tc>
        <w:tc>
          <w:tcPr>
            <w:tcW w:w="670" w:type="dxa"/>
            <w:tcBorders>
              <w:top w:val="single" w:sz="2" w:space="0" w:color="000000"/>
              <w:left w:val="single" w:sz="2" w:space="0" w:color="000000"/>
              <w:bottom w:val="single" w:sz="2" w:space="0" w:color="000000"/>
              <w:right w:val="single" w:sz="2" w:space="0" w:color="000000"/>
            </w:tcBorders>
            <w:vAlign w:val="center"/>
          </w:tcPr>
          <w:p w14:paraId="2FFD524B"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cs="Calibri"/>
                <w:color w:val="000000"/>
                <w:sz w:val="16"/>
                <w:szCs w:val="16"/>
              </w:rPr>
              <w:t>82940</w:t>
            </w:r>
          </w:p>
        </w:tc>
        <w:tc>
          <w:tcPr>
            <w:tcW w:w="803" w:type="dxa"/>
            <w:tcBorders>
              <w:top w:val="single" w:sz="2" w:space="0" w:color="000000"/>
              <w:left w:val="single" w:sz="2" w:space="0" w:color="000000"/>
              <w:bottom w:val="single" w:sz="2" w:space="0" w:color="000000"/>
              <w:right w:val="single" w:sz="2" w:space="0" w:color="000000"/>
            </w:tcBorders>
            <w:vAlign w:val="center"/>
          </w:tcPr>
          <w:p w14:paraId="244AD9EE" w14:textId="77777777" w:rsidR="00833524" w:rsidRPr="00634E4C" w:rsidRDefault="00833524" w:rsidP="00E56269">
            <w:pPr>
              <w:spacing w:line="259" w:lineRule="auto"/>
              <w:ind w:left="108"/>
              <w:jc w:val="center"/>
              <w:rPr>
                <w:rFonts w:asciiTheme="majorHAnsi" w:hAnsiTheme="majorHAnsi"/>
                <w:sz w:val="16"/>
              </w:rPr>
            </w:pPr>
            <w:r w:rsidRPr="00664108">
              <w:rPr>
                <w:rFonts w:asciiTheme="majorHAnsi" w:hAnsiTheme="majorHAnsi" w:cs="Calibri"/>
                <w:color w:val="000000"/>
                <w:sz w:val="16"/>
                <w:szCs w:val="16"/>
              </w:rPr>
              <w:t>75877</w:t>
            </w:r>
          </w:p>
        </w:tc>
        <w:tc>
          <w:tcPr>
            <w:tcW w:w="783" w:type="dxa"/>
            <w:tcBorders>
              <w:top w:val="single" w:sz="2" w:space="0" w:color="000000"/>
              <w:left w:val="single" w:sz="2" w:space="0" w:color="000000"/>
              <w:bottom w:val="single" w:sz="2" w:space="0" w:color="000000"/>
              <w:right w:val="single" w:sz="2" w:space="0" w:color="000000"/>
            </w:tcBorders>
            <w:vAlign w:val="center"/>
          </w:tcPr>
          <w:p w14:paraId="66975703" w14:textId="77777777" w:rsidR="00833524" w:rsidRPr="00364545" w:rsidRDefault="00833524" w:rsidP="00E56269">
            <w:pPr>
              <w:spacing w:line="259" w:lineRule="auto"/>
              <w:ind w:left="108"/>
              <w:jc w:val="center"/>
              <w:rPr>
                <w:sz w:val="16"/>
                <w:szCs w:val="16"/>
              </w:rPr>
            </w:pPr>
            <w:r w:rsidRPr="00364545">
              <w:rPr>
                <w:sz w:val="16"/>
              </w:rPr>
              <w:t>73985</w:t>
            </w:r>
          </w:p>
        </w:tc>
        <w:tc>
          <w:tcPr>
            <w:tcW w:w="692" w:type="dxa"/>
            <w:tcBorders>
              <w:top w:val="single" w:sz="2" w:space="0" w:color="000000"/>
              <w:left w:val="single" w:sz="2" w:space="0" w:color="000000"/>
              <w:bottom w:val="single" w:sz="2" w:space="0" w:color="000000"/>
              <w:right w:val="single" w:sz="2" w:space="0" w:color="000000"/>
            </w:tcBorders>
            <w:vAlign w:val="center"/>
          </w:tcPr>
          <w:p w14:paraId="56F20496" w14:textId="77777777" w:rsidR="00833524" w:rsidRPr="00364545" w:rsidRDefault="00833524" w:rsidP="00E56269">
            <w:pPr>
              <w:spacing w:line="259" w:lineRule="auto"/>
              <w:ind w:left="108"/>
              <w:jc w:val="center"/>
              <w:rPr>
                <w:sz w:val="16"/>
                <w:szCs w:val="16"/>
              </w:rPr>
            </w:pPr>
            <w:r w:rsidRPr="00364545">
              <w:rPr>
                <w:sz w:val="16"/>
              </w:rPr>
              <w:t>67291</w:t>
            </w:r>
          </w:p>
        </w:tc>
        <w:tc>
          <w:tcPr>
            <w:tcW w:w="803" w:type="dxa"/>
            <w:tcBorders>
              <w:top w:val="single" w:sz="2" w:space="0" w:color="000000"/>
              <w:left w:val="single" w:sz="2" w:space="0" w:color="000000"/>
              <w:bottom w:val="single" w:sz="2" w:space="0" w:color="000000"/>
              <w:right w:val="single" w:sz="2" w:space="0" w:color="000000"/>
            </w:tcBorders>
            <w:vAlign w:val="center"/>
          </w:tcPr>
          <w:p w14:paraId="1DA6E5A1" w14:textId="77777777" w:rsidR="00833524" w:rsidRPr="00364545" w:rsidRDefault="00833524" w:rsidP="00E56269">
            <w:pPr>
              <w:spacing w:line="259" w:lineRule="auto"/>
              <w:ind w:left="113"/>
              <w:jc w:val="center"/>
              <w:rPr>
                <w:sz w:val="16"/>
                <w:szCs w:val="16"/>
              </w:rPr>
            </w:pPr>
            <w:r w:rsidRPr="00364545">
              <w:rPr>
                <w:sz w:val="16"/>
              </w:rPr>
              <w:t>60718</w:t>
            </w:r>
          </w:p>
        </w:tc>
        <w:tc>
          <w:tcPr>
            <w:tcW w:w="670" w:type="dxa"/>
            <w:tcBorders>
              <w:top w:val="single" w:sz="2" w:space="0" w:color="000000"/>
              <w:left w:val="single" w:sz="2" w:space="0" w:color="000000"/>
              <w:bottom w:val="single" w:sz="2" w:space="0" w:color="000000"/>
              <w:right w:val="single" w:sz="2" w:space="0" w:color="000000"/>
            </w:tcBorders>
            <w:vAlign w:val="center"/>
          </w:tcPr>
          <w:p w14:paraId="26C423FC" w14:textId="77777777" w:rsidR="00833524" w:rsidRPr="00364545" w:rsidRDefault="00833524" w:rsidP="00E56269">
            <w:pPr>
              <w:spacing w:line="259" w:lineRule="auto"/>
              <w:ind w:left="108"/>
              <w:jc w:val="center"/>
              <w:rPr>
                <w:sz w:val="16"/>
                <w:szCs w:val="16"/>
              </w:rPr>
            </w:pPr>
            <w:r w:rsidRPr="00364545">
              <w:rPr>
                <w:sz w:val="16"/>
              </w:rPr>
              <w:t>57402</w:t>
            </w:r>
          </w:p>
        </w:tc>
        <w:tc>
          <w:tcPr>
            <w:tcW w:w="670" w:type="dxa"/>
            <w:tcBorders>
              <w:top w:val="single" w:sz="2" w:space="0" w:color="000000"/>
              <w:left w:val="single" w:sz="2" w:space="0" w:color="000000"/>
              <w:bottom w:val="single" w:sz="2" w:space="0" w:color="000000"/>
              <w:right w:val="single" w:sz="2" w:space="0" w:color="000000"/>
            </w:tcBorders>
            <w:vAlign w:val="center"/>
          </w:tcPr>
          <w:p w14:paraId="4DA553DC" w14:textId="77777777" w:rsidR="00833524" w:rsidRPr="00364545" w:rsidRDefault="00833524" w:rsidP="00E56269">
            <w:pPr>
              <w:spacing w:line="259" w:lineRule="auto"/>
              <w:ind w:left="108"/>
              <w:jc w:val="center"/>
              <w:rPr>
                <w:sz w:val="16"/>
                <w:szCs w:val="16"/>
              </w:rPr>
            </w:pPr>
            <w:r w:rsidRPr="00364545">
              <w:rPr>
                <w:sz w:val="16"/>
              </w:rPr>
              <w:t>47041</w:t>
            </w:r>
          </w:p>
        </w:tc>
      </w:tr>
      <w:tr w:rsidR="00833524" w:rsidRPr="00364545" w14:paraId="36D279F6" w14:textId="77777777" w:rsidTr="00E56269">
        <w:trPr>
          <w:trHeight w:val="327"/>
        </w:trPr>
        <w:tc>
          <w:tcPr>
            <w:tcW w:w="1328" w:type="dxa"/>
            <w:tcBorders>
              <w:top w:val="single" w:sz="2" w:space="0" w:color="000000"/>
              <w:left w:val="single" w:sz="2" w:space="0" w:color="000000"/>
              <w:bottom w:val="single" w:sz="2" w:space="0" w:color="000000"/>
              <w:right w:val="single" w:sz="2" w:space="0" w:color="000000"/>
            </w:tcBorders>
            <w:shd w:val="clear" w:color="auto" w:fill="ECE6E2"/>
          </w:tcPr>
          <w:p w14:paraId="3CE1005F" w14:textId="77777777" w:rsidR="00833524" w:rsidRPr="00364545" w:rsidRDefault="00833524" w:rsidP="00E56269">
            <w:pPr>
              <w:spacing w:line="259" w:lineRule="auto"/>
            </w:pPr>
            <w:r w:rsidRPr="00364545">
              <w:rPr>
                <w:b/>
                <w:sz w:val="18"/>
              </w:rPr>
              <w:t xml:space="preserve">All energy </w:t>
            </w:r>
          </w:p>
        </w:tc>
        <w:tc>
          <w:tcPr>
            <w:tcW w:w="71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ED8081E" w14:textId="77777777" w:rsidR="00833524" w:rsidRPr="00634E4C" w:rsidRDefault="00833524" w:rsidP="00E56269">
            <w:pPr>
              <w:spacing w:line="259" w:lineRule="auto"/>
              <w:jc w:val="center"/>
              <w:rPr>
                <w:rFonts w:asciiTheme="majorHAnsi" w:hAnsiTheme="majorHAnsi"/>
                <w:b/>
                <w:sz w:val="16"/>
              </w:rPr>
            </w:pPr>
            <w:r w:rsidRPr="00664108">
              <w:rPr>
                <w:rFonts w:asciiTheme="majorHAnsi" w:hAnsiTheme="majorHAnsi"/>
                <w:b/>
                <w:sz w:val="16"/>
                <w:szCs w:val="16"/>
              </w:rPr>
              <w:t>367272</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BC24F0" w14:textId="77777777" w:rsidR="00833524" w:rsidRPr="00634E4C" w:rsidRDefault="00833524" w:rsidP="00E56269">
            <w:pPr>
              <w:spacing w:line="259" w:lineRule="auto"/>
              <w:jc w:val="center"/>
              <w:rPr>
                <w:rFonts w:asciiTheme="majorHAnsi" w:hAnsiTheme="majorHAnsi"/>
                <w:b/>
                <w:sz w:val="16"/>
              </w:rPr>
            </w:pPr>
            <w:r w:rsidRPr="00664108">
              <w:rPr>
                <w:rFonts w:asciiTheme="majorHAnsi" w:hAnsiTheme="majorHAnsi"/>
                <w:b/>
                <w:sz w:val="16"/>
                <w:szCs w:val="16"/>
              </w:rPr>
              <w:t>366079</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E1F450" w14:textId="77777777" w:rsidR="00833524" w:rsidRPr="00634E4C" w:rsidRDefault="00833524" w:rsidP="00E56269">
            <w:pPr>
              <w:spacing w:line="259" w:lineRule="auto"/>
              <w:jc w:val="center"/>
              <w:rPr>
                <w:rFonts w:asciiTheme="majorHAnsi" w:hAnsiTheme="majorHAnsi"/>
                <w:b/>
                <w:sz w:val="16"/>
              </w:rPr>
            </w:pPr>
            <w:r w:rsidRPr="00664108">
              <w:rPr>
                <w:rFonts w:asciiTheme="majorHAnsi" w:hAnsiTheme="majorHAnsi"/>
                <w:b/>
                <w:sz w:val="16"/>
                <w:szCs w:val="16"/>
              </w:rPr>
              <w:t>381989</w:t>
            </w:r>
          </w:p>
        </w:tc>
        <w:tc>
          <w:tcPr>
            <w:tcW w:w="80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6674D4" w14:textId="77777777" w:rsidR="00833524" w:rsidRPr="00634E4C" w:rsidRDefault="00833524" w:rsidP="00E56269">
            <w:pPr>
              <w:spacing w:line="259" w:lineRule="auto"/>
              <w:jc w:val="center"/>
              <w:rPr>
                <w:rFonts w:asciiTheme="majorHAnsi" w:hAnsiTheme="majorHAnsi"/>
                <w:b/>
                <w:sz w:val="16"/>
              </w:rPr>
            </w:pPr>
            <w:r w:rsidRPr="00664108">
              <w:rPr>
                <w:rFonts w:asciiTheme="majorHAnsi" w:hAnsiTheme="majorHAnsi"/>
                <w:b/>
                <w:sz w:val="16"/>
                <w:szCs w:val="16"/>
              </w:rPr>
              <w:t>390391</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9CEC11" w14:textId="77777777" w:rsidR="00833524" w:rsidRPr="00634E4C" w:rsidRDefault="00833524" w:rsidP="00E56269">
            <w:pPr>
              <w:spacing w:line="259" w:lineRule="auto"/>
              <w:jc w:val="center"/>
              <w:rPr>
                <w:rFonts w:asciiTheme="majorHAnsi" w:hAnsiTheme="majorHAnsi"/>
                <w:b/>
                <w:sz w:val="16"/>
              </w:rPr>
            </w:pPr>
            <w:r w:rsidRPr="00664108">
              <w:rPr>
                <w:rFonts w:asciiTheme="majorHAnsi" w:hAnsiTheme="majorHAnsi"/>
                <w:b/>
                <w:sz w:val="16"/>
                <w:szCs w:val="16"/>
              </w:rPr>
              <w:t>357711</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B19162D" w14:textId="77777777" w:rsidR="00833524" w:rsidRPr="00634E4C" w:rsidRDefault="00833524" w:rsidP="00E56269">
            <w:pPr>
              <w:spacing w:line="259" w:lineRule="auto"/>
              <w:jc w:val="center"/>
              <w:rPr>
                <w:rFonts w:asciiTheme="majorHAnsi" w:hAnsiTheme="majorHAnsi"/>
                <w:b/>
                <w:sz w:val="16"/>
              </w:rPr>
            </w:pPr>
            <w:r w:rsidRPr="00664108">
              <w:rPr>
                <w:rFonts w:asciiTheme="majorHAnsi" w:hAnsiTheme="majorHAnsi"/>
                <w:b/>
                <w:sz w:val="16"/>
                <w:szCs w:val="16"/>
              </w:rPr>
              <w:t>313634</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74998F" w14:textId="77777777" w:rsidR="00833524" w:rsidRPr="00634E4C" w:rsidRDefault="00833524" w:rsidP="00E56269">
            <w:pPr>
              <w:spacing w:line="259" w:lineRule="auto"/>
              <w:jc w:val="center"/>
              <w:rPr>
                <w:rFonts w:asciiTheme="majorHAnsi" w:hAnsiTheme="majorHAnsi"/>
                <w:b/>
                <w:sz w:val="16"/>
              </w:rPr>
            </w:pPr>
            <w:r w:rsidRPr="00664108">
              <w:rPr>
                <w:rFonts w:asciiTheme="majorHAnsi" w:hAnsiTheme="majorHAnsi"/>
                <w:b/>
                <w:sz w:val="16"/>
                <w:szCs w:val="16"/>
              </w:rPr>
              <w:t>297313</w:t>
            </w:r>
          </w:p>
        </w:tc>
        <w:tc>
          <w:tcPr>
            <w:tcW w:w="78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33DB4A" w14:textId="77777777" w:rsidR="00833524" w:rsidRPr="00364545" w:rsidRDefault="00833524" w:rsidP="00E56269">
            <w:pPr>
              <w:spacing w:line="259" w:lineRule="auto"/>
              <w:jc w:val="center"/>
              <w:rPr>
                <w:sz w:val="16"/>
                <w:szCs w:val="16"/>
              </w:rPr>
            </w:pPr>
            <w:r w:rsidRPr="00364545">
              <w:rPr>
                <w:b/>
                <w:sz w:val="16"/>
              </w:rPr>
              <w:t>264395</w:t>
            </w:r>
          </w:p>
        </w:tc>
        <w:tc>
          <w:tcPr>
            <w:tcW w:w="6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7085A4" w14:textId="77777777" w:rsidR="00833524" w:rsidRPr="00364545" w:rsidRDefault="00833524" w:rsidP="00E56269">
            <w:pPr>
              <w:spacing w:line="259" w:lineRule="auto"/>
              <w:jc w:val="center"/>
              <w:rPr>
                <w:sz w:val="16"/>
                <w:szCs w:val="16"/>
              </w:rPr>
            </w:pPr>
            <w:r w:rsidRPr="00364545">
              <w:rPr>
                <w:b/>
                <w:sz w:val="16"/>
              </w:rPr>
              <w:t>261598</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7C3C3AA" w14:textId="77777777" w:rsidR="00833524" w:rsidRPr="00364545" w:rsidRDefault="00833524" w:rsidP="00E56269">
            <w:pPr>
              <w:spacing w:line="259" w:lineRule="auto"/>
              <w:jc w:val="center"/>
              <w:rPr>
                <w:sz w:val="16"/>
                <w:szCs w:val="16"/>
              </w:rPr>
            </w:pPr>
            <w:r w:rsidRPr="00364545">
              <w:rPr>
                <w:b/>
                <w:sz w:val="16"/>
              </w:rPr>
              <w:t>240639</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C36177D" w14:textId="77777777" w:rsidR="00833524" w:rsidRPr="00364545" w:rsidRDefault="00833524" w:rsidP="00E56269">
            <w:pPr>
              <w:spacing w:line="259" w:lineRule="auto"/>
              <w:jc w:val="center"/>
              <w:rPr>
                <w:sz w:val="16"/>
                <w:szCs w:val="16"/>
              </w:rPr>
            </w:pPr>
            <w:r w:rsidRPr="00364545">
              <w:rPr>
                <w:b/>
                <w:sz w:val="16"/>
              </w:rPr>
              <w:t>231245</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230023B" w14:textId="77777777" w:rsidR="00833524" w:rsidRPr="00364545" w:rsidRDefault="00833524" w:rsidP="00E56269">
            <w:pPr>
              <w:spacing w:line="259" w:lineRule="auto"/>
              <w:ind w:left="58"/>
              <w:jc w:val="center"/>
              <w:rPr>
                <w:b/>
                <w:sz w:val="16"/>
                <w:szCs w:val="16"/>
              </w:rPr>
            </w:pPr>
            <w:r w:rsidRPr="00364545">
              <w:rPr>
                <w:b/>
                <w:sz w:val="16"/>
              </w:rPr>
              <w:t>211199</w:t>
            </w:r>
          </w:p>
        </w:tc>
      </w:tr>
    </w:tbl>
    <w:p w14:paraId="439D94D4" w14:textId="77777777" w:rsidR="00833524" w:rsidRPr="00364545" w:rsidRDefault="00833524" w:rsidP="00833524">
      <w:pPr>
        <w:pStyle w:val="Default"/>
        <w:rPr>
          <w:sz w:val="16"/>
          <w:szCs w:val="16"/>
        </w:rPr>
      </w:pPr>
      <w:r w:rsidRPr="00364545">
        <w:rPr>
          <w:i/>
          <w:sz w:val="16"/>
        </w:rPr>
        <w:t xml:space="preserve">Reading the table: Energy industry = category CRF1A1; manufacturing and construction = category CRF1A2 and 1B; transport = category CRF 1A3; other sectors = category CRF 1A4 and 1A5. </w:t>
      </w:r>
    </w:p>
    <w:p w14:paraId="0F636747" w14:textId="76F85F05" w:rsidR="00833524" w:rsidRPr="00364545" w:rsidRDefault="00833524" w:rsidP="00833524">
      <w:pPr>
        <w:pStyle w:val="Caption"/>
      </w:pPr>
      <w:r w:rsidRPr="00364545">
        <w:t xml:space="preserve">Table </w:t>
      </w:r>
      <w:fldSimple w:instr=" SEQ Tableau \* ARABIC ">
        <w:r w:rsidR="009A2FAA">
          <w:rPr>
            <w:noProof/>
          </w:rPr>
          <w:t>15</w:t>
        </w:r>
      </w:fldSimple>
      <w:r w:rsidRPr="00364545">
        <w:t>: Details of energy sector categories (in ktCO</w:t>
      </w:r>
      <w:r w:rsidRPr="00364545">
        <w:rPr>
          <w:vertAlign w:val="subscript"/>
        </w:rPr>
        <w:t>2e</w:t>
      </w:r>
      <w:r w:rsidRPr="00364545">
        <w:t>) in the Kyoto scope in the AME scenario (with existing measures)</w:t>
      </w:r>
    </w:p>
    <w:p w14:paraId="737DD599" w14:textId="77777777" w:rsidR="00833524" w:rsidRPr="00364545" w:rsidRDefault="00833524" w:rsidP="00833524">
      <w:pPr>
        <w:pStyle w:val="Caption"/>
      </w:pPr>
      <w:r w:rsidRPr="00364545">
        <w:t>Source: UNFCCC inventory, Citepa/MTES, 202</w:t>
      </w:r>
      <w:r>
        <w:t>2</w:t>
      </w:r>
      <w:r w:rsidRPr="00364545">
        <w:t xml:space="preserve"> submission and MTES emission projections, 2021</w:t>
      </w:r>
    </w:p>
    <w:p w14:paraId="3D78415F" w14:textId="77777777" w:rsidR="00833524" w:rsidRPr="00364545" w:rsidRDefault="00833524" w:rsidP="00833524">
      <w:pPr>
        <w:pStyle w:val="Default"/>
        <w:rPr>
          <w:sz w:val="18"/>
          <w:szCs w:val="18"/>
        </w:rPr>
      </w:pPr>
    </w:p>
    <w:p w14:paraId="4970BDD7" w14:textId="77777777" w:rsidR="00833524" w:rsidRDefault="00833524" w:rsidP="00833524">
      <w:pPr>
        <w:jc w:val="center"/>
      </w:pPr>
    </w:p>
    <w:p w14:paraId="052FC344" w14:textId="77777777" w:rsidR="00833524" w:rsidRPr="00364545" w:rsidRDefault="00833524" w:rsidP="00833524">
      <w:pPr>
        <w:jc w:val="center"/>
      </w:pPr>
      <w:r>
        <w:rPr>
          <w:noProof/>
          <w:lang w:val="fr-FR"/>
        </w:rPr>
        <w:drawing>
          <wp:inline distT="0" distB="0" distL="0" distR="0" wp14:anchorId="697A2744" wp14:editId="0E4148A7">
            <wp:extent cx="5511800" cy="2743200"/>
            <wp:effectExtent l="0" t="0" r="12700" b="0"/>
            <wp:docPr id="28683" name="Graphique 286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1462B93C" w14:textId="77996CC5" w:rsidR="00833524" w:rsidRPr="00364545" w:rsidRDefault="00833524" w:rsidP="00833524">
      <w:pPr>
        <w:pStyle w:val="Caption"/>
      </w:pPr>
      <w:r w:rsidRPr="00364545">
        <w:t xml:space="preserve">Figure </w:t>
      </w:r>
      <w:fldSimple w:instr=" SEQ Figure \* ARABIC ">
        <w:r w:rsidR="009A2FAA">
          <w:rPr>
            <w:noProof/>
          </w:rPr>
          <w:t>56</w:t>
        </w:r>
      </w:fldSimple>
      <w:r w:rsidRPr="00364545">
        <w:t>: Details of energy sector categories in ktCO</w:t>
      </w:r>
      <w:r w:rsidRPr="00364545">
        <w:rPr>
          <w:vertAlign w:val="subscript"/>
        </w:rPr>
        <w:t>2e</w:t>
      </w:r>
      <w:r w:rsidRPr="00364545">
        <w:t>, in the Kyoto scope, AME 2021 scenario</w:t>
      </w:r>
    </w:p>
    <w:p w14:paraId="2A68E8BF" w14:textId="77777777" w:rsidR="00833524" w:rsidRPr="00364545" w:rsidRDefault="00833524" w:rsidP="00833524">
      <w:pPr>
        <w:pStyle w:val="Caption"/>
        <w:rPr>
          <w:szCs w:val="21"/>
        </w:rPr>
      </w:pPr>
      <w:r w:rsidRPr="00364545">
        <w:t>Source: UNFCCC inventory, Citepa/MTE, 202</w:t>
      </w:r>
      <w:r>
        <w:t>2</w:t>
      </w:r>
      <w:r w:rsidRPr="00364545">
        <w:t xml:space="preserve"> submission and MTE emission projections, 2021</w:t>
      </w:r>
    </w:p>
    <w:p w14:paraId="15B5B8D6" w14:textId="77777777" w:rsidR="00833524" w:rsidRPr="00364545" w:rsidRDefault="00833524" w:rsidP="00833524">
      <w:pPr>
        <w:pStyle w:val="titreencadre"/>
        <w:numPr>
          <w:ilvl w:val="3"/>
          <w:numId w:val="78"/>
        </w:numPr>
      </w:pPr>
      <w:r w:rsidRPr="00364545">
        <w:t>AMS 2018</w:t>
      </w:r>
    </w:p>
    <w:tbl>
      <w:tblPr>
        <w:tblStyle w:val="TableGrid0"/>
        <w:tblW w:w="9795" w:type="dxa"/>
        <w:tblInd w:w="10" w:type="dxa"/>
        <w:tblLayout w:type="fixed"/>
        <w:tblCellMar>
          <w:top w:w="40" w:type="dxa"/>
          <w:left w:w="28" w:type="dxa"/>
          <w:right w:w="1" w:type="dxa"/>
        </w:tblCellMar>
        <w:tblLook w:val="04A0" w:firstRow="1" w:lastRow="0" w:firstColumn="1" w:lastColumn="0" w:noHBand="0" w:noVBand="1"/>
      </w:tblPr>
      <w:tblGrid>
        <w:gridCol w:w="1277"/>
        <w:gridCol w:w="709"/>
        <w:gridCol w:w="710"/>
        <w:gridCol w:w="710"/>
        <w:gridCol w:w="710"/>
        <w:gridCol w:w="710"/>
        <w:gridCol w:w="709"/>
        <w:gridCol w:w="710"/>
        <w:gridCol w:w="710"/>
        <w:gridCol w:w="710"/>
        <w:gridCol w:w="710"/>
        <w:gridCol w:w="710"/>
        <w:gridCol w:w="710"/>
      </w:tblGrid>
      <w:tr w:rsidR="00833524" w:rsidRPr="00364545" w14:paraId="680997EF" w14:textId="77777777" w:rsidTr="00E56269">
        <w:trPr>
          <w:trHeight w:val="335"/>
        </w:trPr>
        <w:tc>
          <w:tcPr>
            <w:tcW w:w="1277" w:type="dxa"/>
            <w:tcBorders>
              <w:top w:val="single" w:sz="2" w:space="0" w:color="000000"/>
              <w:left w:val="single" w:sz="2" w:space="0" w:color="000000"/>
              <w:bottom w:val="single" w:sz="2" w:space="0" w:color="000000"/>
              <w:right w:val="single" w:sz="2" w:space="0" w:color="000000"/>
            </w:tcBorders>
            <w:shd w:val="clear" w:color="auto" w:fill="6D2A78"/>
          </w:tcPr>
          <w:p w14:paraId="7780AE39" w14:textId="77777777" w:rsidR="00833524" w:rsidRPr="00364545" w:rsidRDefault="00833524" w:rsidP="00E56269">
            <w:r w:rsidRPr="00364545">
              <w:t>AMS 2018</w:t>
            </w:r>
          </w:p>
        </w:tc>
        <w:tc>
          <w:tcPr>
            <w:tcW w:w="709" w:type="dxa"/>
            <w:tcBorders>
              <w:top w:val="single" w:sz="2" w:space="0" w:color="000000"/>
              <w:left w:val="single" w:sz="2" w:space="0" w:color="000000"/>
              <w:bottom w:val="single" w:sz="2" w:space="0" w:color="000000"/>
              <w:right w:val="single" w:sz="2" w:space="0" w:color="000000"/>
            </w:tcBorders>
            <w:shd w:val="clear" w:color="auto" w:fill="6D2A78"/>
          </w:tcPr>
          <w:p w14:paraId="1EA8C1A9" w14:textId="77777777" w:rsidR="00833524" w:rsidRPr="00364545" w:rsidRDefault="00833524" w:rsidP="00E56269">
            <w:pPr>
              <w:spacing w:line="259" w:lineRule="auto"/>
              <w:ind w:right="27"/>
              <w:jc w:val="center"/>
            </w:pPr>
            <w:r w:rsidRPr="00364545">
              <w:rPr>
                <w:b/>
                <w:color w:val="FFFFFF"/>
                <w:sz w:val="18"/>
              </w:rPr>
              <w:t xml:space="preserve">1990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4B1A3B19" w14:textId="77777777" w:rsidR="00833524" w:rsidRPr="00364545" w:rsidRDefault="00833524" w:rsidP="00E56269">
            <w:pPr>
              <w:spacing w:line="259" w:lineRule="auto"/>
              <w:ind w:right="24"/>
              <w:jc w:val="center"/>
              <w:rPr>
                <w:b/>
                <w:color w:val="FFFFFF"/>
                <w:sz w:val="18"/>
              </w:rPr>
            </w:pPr>
            <w:r w:rsidRPr="00364545">
              <w:rPr>
                <w:b/>
                <w:color w:val="FFFFFF"/>
                <w:sz w:val="18"/>
              </w:rPr>
              <w:t>1995</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485A0B98" w14:textId="77777777" w:rsidR="00833524" w:rsidRPr="00364545" w:rsidRDefault="00833524" w:rsidP="00E56269">
            <w:pPr>
              <w:spacing w:line="259" w:lineRule="auto"/>
              <w:ind w:right="24"/>
              <w:jc w:val="center"/>
            </w:pPr>
            <w:r w:rsidRPr="00364545">
              <w:rPr>
                <w:b/>
                <w:color w:val="FFFFFF"/>
                <w:sz w:val="18"/>
              </w:rPr>
              <w:t xml:space="preserve">2000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417B9412" w14:textId="77777777" w:rsidR="00833524" w:rsidRPr="00364545" w:rsidRDefault="00833524" w:rsidP="00E56269">
            <w:pPr>
              <w:spacing w:line="259" w:lineRule="auto"/>
              <w:ind w:right="27"/>
              <w:jc w:val="center"/>
            </w:pPr>
            <w:r w:rsidRPr="00364545">
              <w:rPr>
                <w:b/>
                <w:color w:val="FFFFFF"/>
                <w:sz w:val="18"/>
              </w:rPr>
              <w:t xml:space="preserve">2005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3CEC45D0" w14:textId="77777777" w:rsidR="00833524" w:rsidRPr="00364545" w:rsidRDefault="00833524" w:rsidP="00E56269">
            <w:pPr>
              <w:spacing w:line="259" w:lineRule="auto"/>
              <w:ind w:right="24"/>
              <w:jc w:val="center"/>
            </w:pPr>
            <w:r w:rsidRPr="00364545">
              <w:rPr>
                <w:b/>
                <w:color w:val="FFFFFF"/>
                <w:sz w:val="18"/>
              </w:rPr>
              <w:t xml:space="preserve">2010 </w:t>
            </w:r>
          </w:p>
        </w:tc>
        <w:tc>
          <w:tcPr>
            <w:tcW w:w="709" w:type="dxa"/>
            <w:tcBorders>
              <w:top w:val="single" w:sz="2" w:space="0" w:color="000000"/>
              <w:left w:val="single" w:sz="2" w:space="0" w:color="000000"/>
              <w:bottom w:val="single" w:sz="2" w:space="0" w:color="000000"/>
              <w:right w:val="single" w:sz="2" w:space="0" w:color="000000"/>
            </w:tcBorders>
            <w:shd w:val="clear" w:color="auto" w:fill="6D2A78"/>
          </w:tcPr>
          <w:p w14:paraId="4F3F1D25" w14:textId="77777777" w:rsidR="00833524" w:rsidRPr="00364545" w:rsidRDefault="00833524" w:rsidP="00E56269">
            <w:pPr>
              <w:spacing w:line="259" w:lineRule="auto"/>
              <w:ind w:right="27"/>
              <w:jc w:val="center"/>
            </w:pPr>
            <w:r w:rsidRPr="00364545">
              <w:rPr>
                <w:b/>
                <w:color w:val="FFFFFF"/>
                <w:sz w:val="18"/>
              </w:rPr>
              <w:t xml:space="preserve">2015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434DF373" w14:textId="77777777" w:rsidR="00833524" w:rsidRPr="00364545" w:rsidRDefault="00833524" w:rsidP="00E56269">
            <w:pPr>
              <w:spacing w:line="259" w:lineRule="auto"/>
              <w:ind w:right="24"/>
              <w:jc w:val="center"/>
              <w:rPr>
                <w:b/>
                <w:color w:val="FFFFFF"/>
                <w:sz w:val="18"/>
              </w:rPr>
            </w:pPr>
            <w:r>
              <w:rPr>
                <w:b/>
                <w:color w:val="FFFFFF"/>
                <w:sz w:val="18"/>
              </w:rPr>
              <w:t>2019</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208168E8" w14:textId="77777777" w:rsidR="00833524" w:rsidRPr="00364545" w:rsidRDefault="00833524" w:rsidP="00E56269">
            <w:pPr>
              <w:spacing w:line="259" w:lineRule="auto"/>
              <w:ind w:right="24"/>
              <w:jc w:val="center"/>
            </w:pPr>
            <w:r w:rsidRPr="00364545">
              <w:rPr>
                <w:b/>
                <w:color w:val="FFFFFF"/>
                <w:sz w:val="18"/>
              </w:rPr>
              <w:t xml:space="preserve">2020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1FA255DD" w14:textId="77777777" w:rsidR="00833524" w:rsidRPr="00364545" w:rsidRDefault="00833524" w:rsidP="00E56269">
            <w:pPr>
              <w:spacing w:line="259" w:lineRule="auto"/>
              <w:ind w:right="27"/>
              <w:jc w:val="center"/>
            </w:pPr>
            <w:r w:rsidRPr="00364545">
              <w:rPr>
                <w:b/>
                <w:color w:val="FFFFFF"/>
                <w:sz w:val="18"/>
              </w:rPr>
              <w:t xml:space="preserve">2025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31C4C100" w14:textId="77777777" w:rsidR="00833524" w:rsidRPr="00364545" w:rsidRDefault="00833524" w:rsidP="00E56269">
            <w:pPr>
              <w:spacing w:line="259" w:lineRule="auto"/>
              <w:ind w:right="24"/>
              <w:jc w:val="center"/>
            </w:pPr>
            <w:r w:rsidRPr="00364545">
              <w:rPr>
                <w:b/>
                <w:color w:val="FFFFFF"/>
                <w:sz w:val="18"/>
              </w:rPr>
              <w:t xml:space="preserve">2030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642CDBF0" w14:textId="77777777" w:rsidR="00833524" w:rsidRPr="00364545" w:rsidRDefault="00833524" w:rsidP="00E56269">
            <w:pPr>
              <w:spacing w:line="259" w:lineRule="auto"/>
              <w:ind w:right="26"/>
              <w:jc w:val="center"/>
            </w:pPr>
            <w:r w:rsidRPr="00364545">
              <w:rPr>
                <w:b/>
                <w:color w:val="FFFFFF"/>
                <w:sz w:val="18"/>
              </w:rPr>
              <w:t xml:space="preserve">2035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27FE7635" w14:textId="77777777" w:rsidR="00833524" w:rsidRPr="00364545" w:rsidRDefault="00833524" w:rsidP="00E56269">
            <w:pPr>
              <w:spacing w:line="259" w:lineRule="auto"/>
              <w:ind w:right="26"/>
              <w:jc w:val="center"/>
              <w:rPr>
                <w:b/>
                <w:color w:val="FFFFFF"/>
                <w:sz w:val="18"/>
              </w:rPr>
            </w:pPr>
            <w:r w:rsidRPr="00364545">
              <w:rPr>
                <w:b/>
                <w:color w:val="FFFFFF"/>
                <w:sz w:val="18"/>
              </w:rPr>
              <w:t>2050</w:t>
            </w:r>
          </w:p>
        </w:tc>
      </w:tr>
      <w:tr w:rsidR="00833524" w:rsidRPr="00364545" w14:paraId="18C7E326" w14:textId="77777777" w:rsidTr="00E56269">
        <w:trPr>
          <w:trHeight w:val="291"/>
        </w:trPr>
        <w:tc>
          <w:tcPr>
            <w:tcW w:w="1277" w:type="dxa"/>
            <w:tcBorders>
              <w:top w:val="single" w:sz="2" w:space="0" w:color="000000"/>
              <w:left w:val="single" w:sz="2" w:space="0" w:color="000000"/>
              <w:bottom w:val="single" w:sz="2" w:space="0" w:color="000000"/>
              <w:right w:val="single" w:sz="2" w:space="0" w:color="000000"/>
            </w:tcBorders>
          </w:tcPr>
          <w:p w14:paraId="53168D01" w14:textId="77777777" w:rsidR="00833524" w:rsidRPr="00364545" w:rsidRDefault="00833524" w:rsidP="00E56269">
            <w:pPr>
              <w:spacing w:line="259" w:lineRule="auto"/>
              <w:jc w:val="left"/>
            </w:pPr>
            <w:r w:rsidRPr="00364545">
              <w:rPr>
                <w:b/>
                <w:sz w:val="18"/>
              </w:rPr>
              <w:t xml:space="preserve"> </w:t>
            </w:r>
          </w:p>
        </w:tc>
        <w:tc>
          <w:tcPr>
            <w:tcW w:w="709" w:type="dxa"/>
            <w:tcBorders>
              <w:top w:val="single" w:sz="2" w:space="0" w:color="000000"/>
              <w:left w:val="single" w:sz="2" w:space="0" w:color="000000"/>
              <w:bottom w:val="single" w:sz="2" w:space="0" w:color="000000"/>
              <w:right w:val="single" w:sz="2" w:space="0" w:color="000000"/>
            </w:tcBorders>
          </w:tcPr>
          <w:p w14:paraId="232C4FC2" w14:textId="77777777" w:rsidR="00833524" w:rsidRPr="00364545" w:rsidRDefault="00833524" w:rsidP="00E56269">
            <w:pPr>
              <w:spacing w:line="259" w:lineRule="auto"/>
              <w:rPr>
                <w:sz w:val="16"/>
              </w:rPr>
            </w:pPr>
            <w:r w:rsidRPr="00364545">
              <w:rPr>
                <w:b/>
                <w:color w:val="6D2A78"/>
                <w:sz w:val="16"/>
              </w:rPr>
              <w:t xml:space="preserve">Observed </w:t>
            </w:r>
          </w:p>
        </w:tc>
        <w:tc>
          <w:tcPr>
            <w:tcW w:w="710" w:type="dxa"/>
            <w:tcBorders>
              <w:top w:val="single" w:sz="2" w:space="0" w:color="000000"/>
              <w:left w:val="single" w:sz="2" w:space="0" w:color="000000"/>
              <w:bottom w:val="single" w:sz="2" w:space="0" w:color="000000"/>
              <w:right w:val="single" w:sz="2" w:space="0" w:color="000000"/>
            </w:tcBorders>
          </w:tcPr>
          <w:p w14:paraId="75FC8AA2" w14:textId="77777777" w:rsidR="00833524" w:rsidRPr="00364545" w:rsidRDefault="00833524" w:rsidP="00E56269">
            <w:pPr>
              <w:spacing w:line="259" w:lineRule="auto"/>
              <w:rPr>
                <w:b/>
                <w:color w:val="6D2A78"/>
                <w:sz w:val="16"/>
              </w:rPr>
            </w:pPr>
            <w:r w:rsidRPr="00364545">
              <w:rPr>
                <w:b/>
                <w:color w:val="6D2A78"/>
                <w:sz w:val="16"/>
              </w:rPr>
              <w:t xml:space="preserve">Observed </w:t>
            </w:r>
          </w:p>
        </w:tc>
        <w:tc>
          <w:tcPr>
            <w:tcW w:w="710" w:type="dxa"/>
            <w:tcBorders>
              <w:top w:val="single" w:sz="2" w:space="0" w:color="000000"/>
              <w:left w:val="single" w:sz="2" w:space="0" w:color="000000"/>
              <w:bottom w:val="single" w:sz="2" w:space="0" w:color="000000"/>
              <w:right w:val="single" w:sz="2" w:space="0" w:color="000000"/>
            </w:tcBorders>
          </w:tcPr>
          <w:p w14:paraId="745F5BCA" w14:textId="77777777" w:rsidR="00833524" w:rsidRPr="00364545" w:rsidRDefault="00833524" w:rsidP="00E56269">
            <w:pPr>
              <w:spacing w:line="259" w:lineRule="auto"/>
              <w:rPr>
                <w:sz w:val="16"/>
              </w:rPr>
            </w:pPr>
            <w:r w:rsidRPr="00364545">
              <w:rPr>
                <w:b/>
                <w:color w:val="6D2A78"/>
                <w:sz w:val="16"/>
              </w:rPr>
              <w:t xml:space="preserve">Observed </w:t>
            </w:r>
          </w:p>
        </w:tc>
        <w:tc>
          <w:tcPr>
            <w:tcW w:w="710" w:type="dxa"/>
            <w:tcBorders>
              <w:top w:val="single" w:sz="2" w:space="0" w:color="000000"/>
              <w:left w:val="single" w:sz="2" w:space="0" w:color="000000"/>
              <w:bottom w:val="single" w:sz="2" w:space="0" w:color="000000"/>
              <w:right w:val="single" w:sz="2" w:space="0" w:color="000000"/>
            </w:tcBorders>
          </w:tcPr>
          <w:p w14:paraId="095146CD" w14:textId="77777777" w:rsidR="00833524" w:rsidRPr="00364545" w:rsidRDefault="00833524" w:rsidP="00E56269">
            <w:pPr>
              <w:spacing w:line="259" w:lineRule="auto"/>
              <w:rPr>
                <w:sz w:val="16"/>
              </w:rPr>
            </w:pPr>
            <w:r w:rsidRPr="00364545">
              <w:rPr>
                <w:b/>
                <w:color w:val="6D2A78"/>
                <w:sz w:val="16"/>
              </w:rPr>
              <w:t xml:space="preserve">Observed </w:t>
            </w:r>
          </w:p>
        </w:tc>
        <w:tc>
          <w:tcPr>
            <w:tcW w:w="710" w:type="dxa"/>
            <w:tcBorders>
              <w:top w:val="single" w:sz="2" w:space="0" w:color="000000"/>
              <w:left w:val="single" w:sz="2" w:space="0" w:color="000000"/>
              <w:bottom w:val="single" w:sz="2" w:space="0" w:color="000000"/>
              <w:right w:val="single" w:sz="2" w:space="0" w:color="000000"/>
            </w:tcBorders>
          </w:tcPr>
          <w:p w14:paraId="0E15E80A" w14:textId="77777777" w:rsidR="00833524" w:rsidRPr="00364545" w:rsidRDefault="00833524" w:rsidP="00E56269">
            <w:pPr>
              <w:spacing w:line="259" w:lineRule="auto"/>
              <w:rPr>
                <w:sz w:val="16"/>
              </w:rPr>
            </w:pPr>
            <w:r w:rsidRPr="00364545">
              <w:rPr>
                <w:b/>
                <w:color w:val="6D2A78"/>
                <w:sz w:val="16"/>
              </w:rPr>
              <w:t xml:space="preserve">Observed </w:t>
            </w:r>
          </w:p>
        </w:tc>
        <w:tc>
          <w:tcPr>
            <w:tcW w:w="709" w:type="dxa"/>
            <w:tcBorders>
              <w:top w:val="single" w:sz="2" w:space="0" w:color="000000"/>
              <w:left w:val="single" w:sz="2" w:space="0" w:color="000000"/>
              <w:bottom w:val="single" w:sz="2" w:space="0" w:color="000000"/>
              <w:right w:val="single" w:sz="2" w:space="0" w:color="000000"/>
            </w:tcBorders>
          </w:tcPr>
          <w:p w14:paraId="797378A2" w14:textId="77777777" w:rsidR="00833524" w:rsidRPr="00364545" w:rsidRDefault="00833524" w:rsidP="00E56269">
            <w:pPr>
              <w:spacing w:line="259" w:lineRule="auto"/>
              <w:rPr>
                <w:sz w:val="16"/>
              </w:rPr>
            </w:pPr>
            <w:r w:rsidRPr="00364545">
              <w:rPr>
                <w:b/>
                <w:color w:val="6D2A78"/>
                <w:sz w:val="16"/>
              </w:rPr>
              <w:t xml:space="preserve">Observed </w:t>
            </w:r>
          </w:p>
        </w:tc>
        <w:tc>
          <w:tcPr>
            <w:tcW w:w="710" w:type="dxa"/>
            <w:tcBorders>
              <w:top w:val="single" w:sz="2" w:space="0" w:color="000000"/>
              <w:left w:val="single" w:sz="2" w:space="0" w:color="000000"/>
              <w:bottom w:val="single" w:sz="2" w:space="0" w:color="000000"/>
              <w:right w:val="single" w:sz="2" w:space="0" w:color="000000"/>
            </w:tcBorders>
          </w:tcPr>
          <w:p w14:paraId="5DE7D71C" w14:textId="77777777" w:rsidR="00833524" w:rsidRPr="00364545" w:rsidRDefault="00833524" w:rsidP="00E56269">
            <w:pPr>
              <w:spacing w:line="259" w:lineRule="auto"/>
              <w:rPr>
                <w:b/>
                <w:color w:val="6D2A78"/>
                <w:sz w:val="16"/>
              </w:rPr>
            </w:pPr>
            <w:r w:rsidRPr="00364545">
              <w:rPr>
                <w:b/>
                <w:color w:val="6D2A78"/>
                <w:sz w:val="16"/>
              </w:rPr>
              <w:t xml:space="preserve">Observed </w:t>
            </w:r>
          </w:p>
        </w:tc>
        <w:tc>
          <w:tcPr>
            <w:tcW w:w="710" w:type="dxa"/>
            <w:tcBorders>
              <w:top w:val="single" w:sz="2" w:space="0" w:color="000000"/>
              <w:left w:val="single" w:sz="2" w:space="0" w:color="000000"/>
              <w:bottom w:val="single" w:sz="2" w:space="0" w:color="000000"/>
              <w:right w:val="single" w:sz="2" w:space="0" w:color="000000"/>
            </w:tcBorders>
          </w:tcPr>
          <w:p w14:paraId="22343B8B" w14:textId="77777777" w:rsidR="00833524" w:rsidRPr="00364545" w:rsidRDefault="00833524" w:rsidP="00E56269">
            <w:pPr>
              <w:spacing w:line="259" w:lineRule="auto"/>
              <w:rPr>
                <w:sz w:val="16"/>
              </w:rPr>
            </w:pPr>
            <w:r w:rsidRPr="00364545">
              <w:rPr>
                <w:b/>
                <w:color w:val="6D2A78"/>
                <w:sz w:val="16"/>
              </w:rPr>
              <w:t xml:space="preserve">Projected </w:t>
            </w:r>
          </w:p>
        </w:tc>
        <w:tc>
          <w:tcPr>
            <w:tcW w:w="710" w:type="dxa"/>
            <w:tcBorders>
              <w:top w:val="single" w:sz="2" w:space="0" w:color="000000"/>
              <w:left w:val="single" w:sz="2" w:space="0" w:color="000000"/>
              <w:bottom w:val="single" w:sz="2" w:space="0" w:color="000000"/>
              <w:right w:val="single" w:sz="2" w:space="0" w:color="000000"/>
            </w:tcBorders>
          </w:tcPr>
          <w:p w14:paraId="48DD0C54" w14:textId="77777777" w:rsidR="00833524" w:rsidRPr="00364545" w:rsidRDefault="00833524" w:rsidP="00E56269">
            <w:pPr>
              <w:spacing w:line="259" w:lineRule="auto"/>
              <w:rPr>
                <w:sz w:val="16"/>
              </w:rPr>
            </w:pPr>
            <w:r w:rsidRPr="00364545">
              <w:rPr>
                <w:b/>
                <w:color w:val="6D2A78"/>
                <w:sz w:val="16"/>
              </w:rPr>
              <w:t xml:space="preserve">Projected </w:t>
            </w:r>
          </w:p>
        </w:tc>
        <w:tc>
          <w:tcPr>
            <w:tcW w:w="710" w:type="dxa"/>
            <w:tcBorders>
              <w:top w:val="single" w:sz="2" w:space="0" w:color="000000"/>
              <w:left w:val="single" w:sz="2" w:space="0" w:color="000000"/>
              <w:bottom w:val="single" w:sz="2" w:space="0" w:color="000000"/>
              <w:right w:val="single" w:sz="2" w:space="0" w:color="000000"/>
            </w:tcBorders>
          </w:tcPr>
          <w:p w14:paraId="632EBB45" w14:textId="77777777" w:rsidR="00833524" w:rsidRPr="00364545" w:rsidRDefault="00833524" w:rsidP="00E56269">
            <w:pPr>
              <w:spacing w:line="259" w:lineRule="auto"/>
              <w:rPr>
                <w:sz w:val="16"/>
              </w:rPr>
            </w:pPr>
            <w:r w:rsidRPr="00364545">
              <w:rPr>
                <w:b/>
                <w:color w:val="6D2A78"/>
                <w:sz w:val="16"/>
              </w:rPr>
              <w:t xml:space="preserve">Projected </w:t>
            </w:r>
          </w:p>
        </w:tc>
        <w:tc>
          <w:tcPr>
            <w:tcW w:w="710" w:type="dxa"/>
            <w:tcBorders>
              <w:top w:val="single" w:sz="2" w:space="0" w:color="000000"/>
              <w:left w:val="single" w:sz="2" w:space="0" w:color="000000"/>
              <w:bottom w:val="single" w:sz="2" w:space="0" w:color="000000"/>
              <w:right w:val="single" w:sz="2" w:space="0" w:color="000000"/>
            </w:tcBorders>
          </w:tcPr>
          <w:p w14:paraId="12D32E38" w14:textId="77777777" w:rsidR="00833524" w:rsidRPr="00364545" w:rsidRDefault="00833524" w:rsidP="00E56269">
            <w:pPr>
              <w:spacing w:line="259" w:lineRule="auto"/>
              <w:rPr>
                <w:sz w:val="16"/>
              </w:rPr>
            </w:pPr>
            <w:r w:rsidRPr="00364545">
              <w:rPr>
                <w:b/>
                <w:color w:val="6D2A78"/>
                <w:sz w:val="16"/>
              </w:rPr>
              <w:t xml:space="preserve">Projected </w:t>
            </w:r>
          </w:p>
        </w:tc>
        <w:tc>
          <w:tcPr>
            <w:tcW w:w="710" w:type="dxa"/>
            <w:tcBorders>
              <w:top w:val="single" w:sz="2" w:space="0" w:color="000000"/>
              <w:left w:val="single" w:sz="2" w:space="0" w:color="000000"/>
              <w:bottom w:val="single" w:sz="2" w:space="0" w:color="000000"/>
              <w:right w:val="single" w:sz="2" w:space="0" w:color="000000"/>
            </w:tcBorders>
          </w:tcPr>
          <w:p w14:paraId="4AA0E040" w14:textId="77777777" w:rsidR="00833524" w:rsidRPr="00364545" w:rsidRDefault="00833524" w:rsidP="00E56269">
            <w:pPr>
              <w:spacing w:line="259" w:lineRule="auto"/>
              <w:rPr>
                <w:b/>
                <w:color w:val="6D2A78"/>
                <w:sz w:val="16"/>
              </w:rPr>
            </w:pPr>
            <w:r w:rsidRPr="00364545">
              <w:rPr>
                <w:b/>
                <w:color w:val="6D2A78"/>
                <w:sz w:val="16"/>
              </w:rPr>
              <w:t>Projected</w:t>
            </w:r>
          </w:p>
        </w:tc>
      </w:tr>
      <w:tr w:rsidR="00833524" w:rsidRPr="00364545" w14:paraId="7B426471" w14:textId="77777777" w:rsidTr="00E56269">
        <w:trPr>
          <w:trHeight w:val="288"/>
        </w:trPr>
        <w:tc>
          <w:tcPr>
            <w:tcW w:w="1277" w:type="dxa"/>
            <w:tcBorders>
              <w:top w:val="single" w:sz="2" w:space="0" w:color="000000"/>
              <w:left w:val="single" w:sz="2" w:space="0" w:color="000000"/>
              <w:bottom w:val="single" w:sz="2" w:space="0" w:color="000000"/>
              <w:right w:val="single" w:sz="2" w:space="0" w:color="000000"/>
            </w:tcBorders>
            <w:shd w:val="clear" w:color="auto" w:fill="ECE6E2"/>
          </w:tcPr>
          <w:p w14:paraId="4761F1DC" w14:textId="77777777" w:rsidR="00833524" w:rsidRPr="00364545" w:rsidRDefault="00833524" w:rsidP="00E56269">
            <w:pPr>
              <w:spacing w:line="259" w:lineRule="auto"/>
              <w:jc w:val="left"/>
            </w:pPr>
            <w:r w:rsidRPr="00364545">
              <w:rPr>
                <w:sz w:val="18"/>
              </w:rPr>
              <w:t xml:space="preserve">Energy industry </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3886296" w14:textId="77777777" w:rsidR="00833524" w:rsidRPr="00364545" w:rsidRDefault="00833524" w:rsidP="00E56269">
            <w:pPr>
              <w:spacing w:line="259" w:lineRule="auto"/>
              <w:ind w:left="108"/>
              <w:jc w:val="center"/>
              <w:rPr>
                <w:sz w:val="16"/>
                <w:szCs w:val="16"/>
              </w:rPr>
            </w:pPr>
            <w:r w:rsidRPr="00664108">
              <w:rPr>
                <w:rFonts w:asciiTheme="majorHAnsi" w:hAnsiTheme="majorHAnsi"/>
                <w:sz w:val="16"/>
                <w:szCs w:val="16"/>
              </w:rPr>
              <w:t>66338</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23AC9EA" w14:textId="77777777" w:rsidR="00833524" w:rsidRPr="00364545" w:rsidRDefault="00833524" w:rsidP="00E56269">
            <w:pPr>
              <w:spacing w:line="259" w:lineRule="auto"/>
              <w:ind w:left="108"/>
              <w:jc w:val="center"/>
              <w:rPr>
                <w:sz w:val="16"/>
                <w:szCs w:val="16"/>
              </w:rPr>
            </w:pPr>
            <w:r w:rsidRPr="00664108">
              <w:rPr>
                <w:rFonts w:asciiTheme="majorHAnsi" w:hAnsiTheme="majorHAnsi"/>
                <w:sz w:val="16"/>
                <w:szCs w:val="16"/>
              </w:rPr>
              <w:t>55802</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610367" w14:textId="77777777" w:rsidR="00833524" w:rsidRPr="00364545" w:rsidRDefault="00833524" w:rsidP="00E56269">
            <w:pPr>
              <w:spacing w:line="259" w:lineRule="auto"/>
              <w:ind w:left="108"/>
              <w:jc w:val="center"/>
              <w:rPr>
                <w:sz w:val="16"/>
                <w:szCs w:val="16"/>
              </w:rPr>
            </w:pPr>
            <w:r w:rsidRPr="00664108">
              <w:rPr>
                <w:rFonts w:asciiTheme="majorHAnsi" w:hAnsiTheme="majorHAnsi"/>
                <w:sz w:val="16"/>
                <w:szCs w:val="16"/>
              </w:rPr>
              <w:t>62526</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CC67C0" w14:textId="77777777" w:rsidR="00833524" w:rsidRPr="00364545" w:rsidRDefault="00833524" w:rsidP="00E56269">
            <w:pPr>
              <w:spacing w:line="259" w:lineRule="auto"/>
              <w:ind w:left="108"/>
              <w:jc w:val="center"/>
              <w:rPr>
                <w:sz w:val="16"/>
                <w:szCs w:val="16"/>
              </w:rPr>
            </w:pPr>
            <w:r w:rsidRPr="00664108">
              <w:rPr>
                <w:rFonts w:asciiTheme="majorHAnsi" w:hAnsiTheme="majorHAnsi"/>
                <w:sz w:val="16"/>
                <w:szCs w:val="16"/>
              </w:rPr>
              <w:t>66972</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B508B7" w14:textId="77777777" w:rsidR="00833524" w:rsidRPr="00364545" w:rsidRDefault="00833524" w:rsidP="00E56269">
            <w:pPr>
              <w:spacing w:line="259" w:lineRule="auto"/>
              <w:ind w:left="108"/>
              <w:jc w:val="center"/>
              <w:rPr>
                <w:sz w:val="16"/>
                <w:szCs w:val="16"/>
              </w:rPr>
            </w:pPr>
            <w:r w:rsidRPr="00664108">
              <w:rPr>
                <w:rFonts w:asciiTheme="majorHAnsi" w:hAnsiTheme="majorHAnsi"/>
                <w:sz w:val="16"/>
                <w:szCs w:val="16"/>
              </w:rPr>
              <w:t>60134</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1C37C2" w14:textId="77777777" w:rsidR="00833524" w:rsidRPr="00364545" w:rsidRDefault="00833524" w:rsidP="00E56269">
            <w:pPr>
              <w:spacing w:line="259" w:lineRule="auto"/>
              <w:ind w:left="108"/>
              <w:jc w:val="center"/>
              <w:rPr>
                <w:sz w:val="16"/>
                <w:szCs w:val="16"/>
              </w:rPr>
            </w:pPr>
            <w:r w:rsidRPr="00664108">
              <w:rPr>
                <w:rFonts w:asciiTheme="majorHAnsi" w:hAnsiTheme="majorHAnsi"/>
                <w:sz w:val="16"/>
                <w:szCs w:val="16"/>
              </w:rPr>
              <w:t>44988</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594012B" w14:textId="77777777" w:rsidR="00833524" w:rsidRPr="00364545" w:rsidRDefault="00833524" w:rsidP="00E56269">
            <w:pPr>
              <w:spacing w:line="259" w:lineRule="auto"/>
              <w:ind w:left="108"/>
              <w:jc w:val="center"/>
              <w:rPr>
                <w:rFonts w:ascii="Calibri" w:hAnsi="Calibri"/>
                <w:color w:val="000000"/>
                <w:sz w:val="20"/>
              </w:rPr>
            </w:pPr>
            <w:r w:rsidRPr="00664108">
              <w:rPr>
                <w:rFonts w:asciiTheme="majorHAnsi" w:hAnsiTheme="majorHAnsi"/>
                <w:sz w:val="16"/>
                <w:szCs w:val="16"/>
              </w:rPr>
              <w:t>41680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FD937C"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51390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0FACC0"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35549</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4631E22"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30007</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87FD21"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19242</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106C1B8"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-13050</w:t>
            </w:r>
          </w:p>
        </w:tc>
      </w:tr>
      <w:tr w:rsidR="00833524" w:rsidRPr="00364545" w14:paraId="2D24280F" w14:textId="77777777" w:rsidTr="00E56269">
        <w:trPr>
          <w:trHeight w:val="351"/>
        </w:trPr>
        <w:tc>
          <w:tcPr>
            <w:tcW w:w="1277" w:type="dxa"/>
            <w:tcBorders>
              <w:top w:val="single" w:sz="2" w:space="0" w:color="000000"/>
              <w:left w:val="single" w:sz="2" w:space="0" w:color="000000"/>
              <w:bottom w:val="single" w:sz="2" w:space="0" w:color="000000"/>
              <w:right w:val="single" w:sz="2" w:space="0" w:color="000000"/>
            </w:tcBorders>
          </w:tcPr>
          <w:p w14:paraId="3D143086" w14:textId="77777777" w:rsidR="00833524" w:rsidRPr="00364545" w:rsidRDefault="00833524" w:rsidP="00E56269">
            <w:pPr>
              <w:spacing w:line="259" w:lineRule="auto"/>
              <w:jc w:val="left"/>
            </w:pPr>
            <w:r w:rsidRPr="00364545">
              <w:rPr>
                <w:sz w:val="18"/>
              </w:rPr>
              <w:t xml:space="preserve">Manufacturing and construction </w:t>
            </w:r>
          </w:p>
        </w:tc>
        <w:tc>
          <w:tcPr>
            <w:tcW w:w="709" w:type="dxa"/>
            <w:tcBorders>
              <w:top w:val="single" w:sz="2" w:space="0" w:color="000000"/>
              <w:left w:val="single" w:sz="2" w:space="0" w:color="000000"/>
              <w:bottom w:val="single" w:sz="2" w:space="0" w:color="000000"/>
              <w:right w:val="single" w:sz="2" w:space="0" w:color="000000"/>
            </w:tcBorders>
            <w:vAlign w:val="center"/>
          </w:tcPr>
          <w:p w14:paraId="4A96523B" w14:textId="77777777" w:rsidR="00833524" w:rsidRPr="00364545" w:rsidRDefault="00833524" w:rsidP="00E56269">
            <w:pPr>
              <w:spacing w:line="259" w:lineRule="auto"/>
              <w:ind w:left="108"/>
              <w:jc w:val="center"/>
              <w:rPr>
                <w:sz w:val="16"/>
                <w:szCs w:val="16"/>
              </w:rPr>
            </w:pPr>
            <w:r w:rsidRPr="00664108">
              <w:rPr>
                <w:rFonts w:asciiTheme="majorHAnsi" w:hAnsiTheme="majorHAnsi" w:cs="Calibri"/>
                <w:color w:val="000000"/>
                <w:sz w:val="16"/>
                <w:szCs w:val="16"/>
              </w:rPr>
              <w:t>76164</w:t>
            </w:r>
          </w:p>
        </w:tc>
        <w:tc>
          <w:tcPr>
            <w:tcW w:w="710" w:type="dxa"/>
            <w:tcBorders>
              <w:top w:val="single" w:sz="2" w:space="0" w:color="000000"/>
              <w:left w:val="single" w:sz="2" w:space="0" w:color="000000"/>
              <w:bottom w:val="single" w:sz="2" w:space="0" w:color="000000"/>
              <w:right w:val="single" w:sz="2" w:space="0" w:color="000000"/>
            </w:tcBorders>
            <w:vAlign w:val="center"/>
          </w:tcPr>
          <w:p w14:paraId="03DD7B34" w14:textId="77777777" w:rsidR="00833524" w:rsidRPr="00364545" w:rsidRDefault="00833524" w:rsidP="00E56269">
            <w:pPr>
              <w:spacing w:line="259" w:lineRule="auto"/>
              <w:ind w:left="108"/>
              <w:jc w:val="center"/>
              <w:rPr>
                <w:sz w:val="16"/>
                <w:szCs w:val="16"/>
              </w:rPr>
            </w:pPr>
            <w:r w:rsidRPr="00664108">
              <w:rPr>
                <w:rFonts w:asciiTheme="majorHAnsi" w:hAnsiTheme="majorHAnsi" w:cs="Calibri"/>
                <w:color w:val="000000"/>
                <w:sz w:val="16"/>
                <w:szCs w:val="16"/>
              </w:rPr>
              <w:t>80423</w:t>
            </w:r>
          </w:p>
        </w:tc>
        <w:tc>
          <w:tcPr>
            <w:tcW w:w="710" w:type="dxa"/>
            <w:tcBorders>
              <w:top w:val="single" w:sz="2" w:space="0" w:color="000000"/>
              <w:left w:val="single" w:sz="2" w:space="0" w:color="000000"/>
              <w:bottom w:val="single" w:sz="2" w:space="0" w:color="000000"/>
              <w:right w:val="single" w:sz="2" w:space="0" w:color="000000"/>
            </w:tcBorders>
            <w:vAlign w:val="center"/>
          </w:tcPr>
          <w:p w14:paraId="62CC1E3B" w14:textId="77777777" w:rsidR="00833524" w:rsidRPr="00364545" w:rsidRDefault="00833524" w:rsidP="00E56269">
            <w:pPr>
              <w:spacing w:line="259" w:lineRule="auto"/>
              <w:ind w:left="108"/>
              <w:jc w:val="center"/>
              <w:rPr>
                <w:sz w:val="16"/>
                <w:szCs w:val="16"/>
              </w:rPr>
            </w:pPr>
            <w:r w:rsidRPr="00664108">
              <w:rPr>
                <w:rFonts w:asciiTheme="majorHAnsi" w:hAnsiTheme="majorHAnsi" w:cs="Calibri"/>
                <w:color w:val="000000"/>
                <w:sz w:val="16"/>
                <w:szCs w:val="16"/>
              </w:rPr>
              <w:t>75532</w:t>
            </w:r>
          </w:p>
        </w:tc>
        <w:tc>
          <w:tcPr>
            <w:tcW w:w="710" w:type="dxa"/>
            <w:tcBorders>
              <w:top w:val="single" w:sz="2" w:space="0" w:color="000000"/>
              <w:left w:val="single" w:sz="2" w:space="0" w:color="000000"/>
              <w:bottom w:val="single" w:sz="2" w:space="0" w:color="000000"/>
              <w:right w:val="single" w:sz="2" w:space="0" w:color="000000"/>
            </w:tcBorders>
            <w:vAlign w:val="center"/>
          </w:tcPr>
          <w:p w14:paraId="4BB09AF2" w14:textId="77777777" w:rsidR="00833524" w:rsidRPr="00364545" w:rsidRDefault="00833524" w:rsidP="00E56269">
            <w:pPr>
              <w:spacing w:line="259" w:lineRule="auto"/>
              <w:ind w:left="108"/>
              <w:jc w:val="center"/>
              <w:rPr>
                <w:sz w:val="16"/>
                <w:szCs w:val="16"/>
              </w:rPr>
            </w:pPr>
            <w:r w:rsidRPr="00664108">
              <w:rPr>
                <w:rFonts w:asciiTheme="majorHAnsi" w:hAnsiTheme="majorHAnsi" w:cs="Calibri"/>
                <w:color w:val="000000"/>
                <w:sz w:val="16"/>
                <w:szCs w:val="16"/>
              </w:rPr>
              <w:t>71990</w:t>
            </w:r>
          </w:p>
        </w:tc>
        <w:tc>
          <w:tcPr>
            <w:tcW w:w="710" w:type="dxa"/>
            <w:tcBorders>
              <w:top w:val="single" w:sz="2" w:space="0" w:color="000000"/>
              <w:left w:val="single" w:sz="2" w:space="0" w:color="000000"/>
              <w:bottom w:val="single" w:sz="2" w:space="0" w:color="000000"/>
              <w:right w:val="single" w:sz="2" w:space="0" w:color="000000"/>
            </w:tcBorders>
            <w:vAlign w:val="center"/>
          </w:tcPr>
          <w:p w14:paraId="513503C4" w14:textId="77777777" w:rsidR="00833524" w:rsidRPr="00364545" w:rsidRDefault="00833524" w:rsidP="00E56269">
            <w:pPr>
              <w:spacing w:line="259" w:lineRule="auto"/>
              <w:ind w:left="108"/>
              <w:jc w:val="center"/>
              <w:rPr>
                <w:sz w:val="16"/>
                <w:szCs w:val="16"/>
              </w:rPr>
            </w:pPr>
            <w:r w:rsidRPr="00664108">
              <w:rPr>
                <w:rFonts w:asciiTheme="majorHAnsi" w:hAnsiTheme="majorHAnsi" w:cs="Calibri"/>
                <w:color w:val="000000"/>
                <w:sz w:val="16"/>
                <w:szCs w:val="16"/>
              </w:rPr>
              <w:t>62105</w:t>
            </w:r>
          </w:p>
        </w:tc>
        <w:tc>
          <w:tcPr>
            <w:tcW w:w="709" w:type="dxa"/>
            <w:tcBorders>
              <w:top w:val="single" w:sz="2" w:space="0" w:color="000000"/>
              <w:left w:val="single" w:sz="2" w:space="0" w:color="000000"/>
              <w:bottom w:val="single" w:sz="2" w:space="0" w:color="000000"/>
              <w:right w:val="single" w:sz="2" w:space="0" w:color="000000"/>
            </w:tcBorders>
            <w:vAlign w:val="center"/>
          </w:tcPr>
          <w:p w14:paraId="79DE4579" w14:textId="77777777" w:rsidR="00833524" w:rsidRPr="00364545" w:rsidRDefault="00833524" w:rsidP="00E56269">
            <w:pPr>
              <w:spacing w:line="259" w:lineRule="auto"/>
              <w:ind w:left="108"/>
              <w:jc w:val="center"/>
              <w:rPr>
                <w:sz w:val="16"/>
                <w:szCs w:val="16"/>
              </w:rPr>
            </w:pPr>
            <w:r w:rsidRPr="00664108">
              <w:rPr>
                <w:rFonts w:asciiTheme="majorHAnsi" w:hAnsiTheme="majorHAnsi" w:cs="Calibri"/>
                <w:color w:val="000000"/>
                <w:sz w:val="16"/>
                <w:szCs w:val="16"/>
              </w:rPr>
              <w:t>51963</w:t>
            </w:r>
          </w:p>
        </w:tc>
        <w:tc>
          <w:tcPr>
            <w:tcW w:w="710" w:type="dxa"/>
            <w:tcBorders>
              <w:top w:val="single" w:sz="2" w:space="0" w:color="000000"/>
              <w:left w:val="single" w:sz="2" w:space="0" w:color="000000"/>
              <w:bottom w:val="single" w:sz="2" w:space="0" w:color="000000"/>
              <w:right w:val="single" w:sz="2" w:space="0" w:color="000000"/>
            </w:tcBorders>
            <w:vAlign w:val="center"/>
          </w:tcPr>
          <w:p w14:paraId="5F1C39E7" w14:textId="77777777" w:rsidR="00833524" w:rsidRPr="00364545" w:rsidRDefault="00833524" w:rsidP="00E56269">
            <w:pPr>
              <w:spacing w:line="259" w:lineRule="auto"/>
              <w:ind w:left="108"/>
              <w:jc w:val="center"/>
              <w:rPr>
                <w:rFonts w:ascii="Calibri" w:hAnsi="Calibri"/>
                <w:color w:val="000000"/>
                <w:sz w:val="20"/>
              </w:rPr>
            </w:pPr>
            <w:r w:rsidRPr="00664108">
              <w:rPr>
                <w:rFonts w:asciiTheme="majorHAnsi" w:hAnsiTheme="majorHAnsi" w:cs="Calibri"/>
                <w:color w:val="000000"/>
                <w:sz w:val="16"/>
                <w:szCs w:val="16"/>
              </w:rPr>
              <w:t>48031</w:t>
            </w:r>
          </w:p>
        </w:tc>
        <w:tc>
          <w:tcPr>
            <w:tcW w:w="710" w:type="dxa"/>
            <w:tcBorders>
              <w:top w:val="single" w:sz="2" w:space="0" w:color="000000"/>
              <w:left w:val="single" w:sz="2" w:space="0" w:color="000000"/>
              <w:bottom w:val="single" w:sz="2" w:space="0" w:color="000000"/>
              <w:right w:val="single" w:sz="2" w:space="0" w:color="000000"/>
            </w:tcBorders>
            <w:vAlign w:val="center"/>
          </w:tcPr>
          <w:p w14:paraId="58E63200"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43570</w:t>
            </w:r>
          </w:p>
        </w:tc>
        <w:tc>
          <w:tcPr>
            <w:tcW w:w="710" w:type="dxa"/>
            <w:tcBorders>
              <w:top w:val="single" w:sz="2" w:space="0" w:color="000000"/>
              <w:left w:val="single" w:sz="2" w:space="0" w:color="000000"/>
              <w:bottom w:val="single" w:sz="2" w:space="0" w:color="000000"/>
              <w:right w:val="single" w:sz="2" w:space="0" w:color="000000"/>
            </w:tcBorders>
            <w:vAlign w:val="center"/>
          </w:tcPr>
          <w:p w14:paraId="12191719"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38146</w:t>
            </w:r>
          </w:p>
        </w:tc>
        <w:tc>
          <w:tcPr>
            <w:tcW w:w="710" w:type="dxa"/>
            <w:tcBorders>
              <w:top w:val="single" w:sz="2" w:space="0" w:color="000000"/>
              <w:left w:val="single" w:sz="2" w:space="0" w:color="000000"/>
              <w:bottom w:val="single" w:sz="2" w:space="0" w:color="000000"/>
              <w:right w:val="single" w:sz="2" w:space="0" w:color="000000"/>
            </w:tcBorders>
            <w:vAlign w:val="center"/>
          </w:tcPr>
          <w:p w14:paraId="6797DF8A"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30122</w:t>
            </w:r>
          </w:p>
        </w:tc>
        <w:tc>
          <w:tcPr>
            <w:tcW w:w="710" w:type="dxa"/>
            <w:tcBorders>
              <w:top w:val="single" w:sz="2" w:space="0" w:color="000000"/>
              <w:left w:val="single" w:sz="2" w:space="0" w:color="000000"/>
              <w:bottom w:val="single" w:sz="2" w:space="0" w:color="000000"/>
              <w:right w:val="single" w:sz="2" w:space="0" w:color="000000"/>
            </w:tcBorders>
            <w:vAlign w:val="center"/>
          </w:tcPr>
          <w:p w14:paraId="48679995"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23105</w:t>
            </w:r>
          </w:p>
        </w:tc>
        <w:tc>
          <w:tcPr>
            <w:tcW w:w="710" w:type="dxa"/>
            <w:tcBorders>
              <w:top w:val="single" w:sz="2" w:space="0" w:color="000000"/>
              <w:left w:val="single" w:sz="2" w:space="0" w:color="000000"/>
              <w:bottom w:val="single" w:sz="2" w:space="0" w:color="000000"/>
              <w:right w:val="single" w:sz="2" w:space="0" w:color="000000"/>
            </w:tcBorders>
            <w:vAlign w:val="center"/>
          </w:tcPr>
          <w:p w14:paraId="497BCAE9"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2056</w:t>
            </w:r>
          </w:p>
        </w:tc>
      </w:tr>
      <w:tr w:rsidR="00833524" w:rsidRPr="00364545" w14:paraId="4DAC4B80" w14:textId="77777777" w:rsidTr="00E56269">
        <w:trPr>
          <w:trHeight w:val="288"/>
        </w:trPr>
        <w:tc>
          <w:tcPr>
            <w:tcW w:w="1277" w:type="dxa"/>
            <w:tcBorders>
              <w:top w:val="single" w:sz="2" w:space="0" w:color="000000"/>
              <w:left w:val="single" w:sz="2" w:space="0" w:color="000000"/>
              <w:bottom w:val="single" w:sz="2" w:space="0" w:color="000000"/>
              <w:right w:val="single" w:sz="2" w:space="0" w:color="000000"/>
            </w:tcBorders>
            <w:shd w:val="clear" w:color="auto" w:fill="ECE6E2"/>
          </w:tcPr>
          <w:p w14:paraId="5F219200" w14:textId="77777777" w:rsidR="00833524" w:rsidRPr="00364545" w:rsidRDefault="00833524" w:rsidP="00E56269">
            <w:pPr>
              <w:spacing w:line="259" w:lineRule="auto"/>
              <w:jc w:val="left"/>
            </w:pPr>
            <w:r w:rsidRPr="00364545">
              <w:rPr>
                <w:sz w:val="18"/>
              </w:rPr>
              <w:t xml:space="preserve">Transport </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EAFFF0" w14:textId="77777777" w:rsidR="00833524" w:rsidRPr="00364545" w:rsidRDefault="00833524" w:rsidP="00E56269">
            <w:pPr>
              <w:spacing w:line="259" w:lineRule="auto"/>
              <w:ind w:left="58"/>
              <w:jc w:val="center"/>
              <w:rPr>
                <w:sz w:val="16"/>
                <w:szCs w:val="16"/>
              </w:rPr>
            </w:pPr>
            <w:r w:rsidRPr="00664108">
              <w:rPr>
                <w:rFonts w:asciiTheme="majorHAnsi" w:hAnsiTheme="majorHAnsi"/>
                <w:sz w:val="16"/>
                <w:szCs w:val="16"/>
              </w:rPr>
              <w:t>122293</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697048" w14:textId="77777777" w:rsidR="00833524" w:rsidRPr="00364545" w:rsidRDefault="00833524" w:rsidP="00E56269">
            <w:pPr>
              <w:spacing w:line="259" w:lineRule="auto"/>
              <w:ind w:left="58"/>
              <w:jc w:val="center"/>
              <w:rPr>
                <w:sz w:val="16"/>
                <w:szCs w:val="16"/>
              </w:rPr>
            </w:pPr>
            <w:r w:rsidRPr="00664108">
              <w:rPr>
                <w:rFonts w:asciiTheme="majorHAnsi" w:hAnsiTheme="majorHAnsi"/>
                <w:sz w:val="16"/>
                <w:szCs w:val="16"/>
              </w:rPr>
              <w:t>132329</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0548AE" w14:textId="77777777" w:rsidR="00833524" w:rsidRPr="00364545" w:rsidRDefault="00833524" w:rsidP="00E56269">
            <w:pPr>
              <w:spacing w:line="259" w:lineRule="auto"/>
              <w:ind w:left="58"/>
              <w:jc w:val="center"/>
              <w:rPr>
                <w:sz w:val="16"/>
                <w:szCs w:val="16"/>
              </w:rPr>
            </w:pPr>
            <w:r w:rsidRPr="00664108">
              <w:rPr>
                <w:rFonts w:asciiTheme="majorHAnsi" w:hAnsiTheme="majorHAnsi"/>
                <w:sz w:val="16"/>
                <w:szCs w:val="16"/>
              </w:rPr>
              <w:t>141051</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C222D6" w14:textId="77777777" w:rsidR="00833524" w:rsidRPr="00364545" w:rsidRDefault="00833524" w:rsidP="00E56269">
            <w:pPr>
              <w:spacing w:line="259" w:lineRule="auto"/>
              <w:ind w:left="58"/>
              <w:jc w:val="center"/>
              <w:rPr>
                <w:sz w:val="16"/>
                <w:szCs w:val="16"/>
              </w:rPr>
            </w:pPr>
            <w:r w:rsidRPr="00664108">
              <w:rPr>
                <w:rFonts w:asciiTheme="majorHAnsi" w:hAnsiTheme="majorHAnsi"/>
                <w:sz w:val="16"/>
                <w:szCs w:val="16"/>
              </w:rPr>
              <w:t>142041</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BF4D99" w14:textId="77777777" w:rsidR="00833524" w:rsidRPr="00364545" w:rsidRDefault="00833524" w:rsidP="00E56269">
            <w:pPr>
              <w:spacing w:line="259" w:lineRule="auto"/>
              <w:ind w:left="58"/>
              <w:jc w:val="center"/>
              <w:rPr>
                <w:sz w:val="16"/>
                <w:szCs w:val="16"/>
              </w:rPr>
            </w:pPr>
            <w:r w:rsidRPr="00664108">
              <w:rPr>
                <w:rFonts w:asciiTheme="majorHAnsi" w:hAnsiTheme="majorHAnsi"/>
                <w:sz w:val="16"/>
                <w:szCs w:val="16"/>
              </w:rPr>
              <w:t>133750</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10C8F6" w14:textId="77777777" w:rsidR="00833524" w:rsidRPr="00364545" w:rsidRDefault="00833524" w:rsidP="00E56269">
            <w:pPr>
              <w:spacing w:line="259" w:lineRule="auto"/>
              <w:ind w:left="58"/>
              <w:jc w:val="center"/>
              <w:rPr>
                <w:sz w:val="16"/>
                <w:szCs w:val="16"/>
              </w:rPr>
            </w:pPr>
            <w:r w:rsidRPr="00664108">
              <w:rPr>
                <w:rFonts w:asciiTheme="majorHAnsi" w:hAnsiTheme="majorHAnsi"/>
                <w:sz w:val="16"/>
                <w:szCs w:val="16"/>
              </w:rPr>
              <w:t>133744</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FA722A" w14:textId="77777777" w:rsidR="00833524" w:rsidRPr="00364545" w:rsidRDefault="00833524" w:rsidP="00E56269">
            <w:pPr>
              <w:spacing w:line="259" w:lineRule="auto"/>
              <w:ind w:left="62"/>
              <w:jc w:val="center"/>
              <w:rPr>
                <w:rFonts w:ascii="Calibri" w:hAnsi="Calibri"/>
                <w:color w:val="000000"/>
                <w:sz w:val="20"/>
              </w:rPr>
            </w:pPr>
            <w:r w:rsidRPr="00664108">
              <w:rPr>
                <w:rFonts w:asciiTheme="majorHAnsi" w:hAnsiTheme="majorHAnsi"/>
                <w:sz w:val="16"/>
                <w:szCs w:val="16"/>
              </w:rPr>
              <w:t>131725</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FA8535" w14:textId="77777777" w:rsidR="00833524" w:rsidRPr="00634E4C" w:rsidRDefault="00833524" w:rsidP="00E56269">
            <w:pPr>
              <w:spacing w:line="259" w:lineRule="auto"/>
              <w:ind w:left="62"/>
              <w:jc w:val="center"/>
              <w:rPr>
                <w:rFonts w:asciiTheme="majorHAnsi" w:hAnsiTheme="majorHAnsi"/>
                <w:sz w:val="16"/>
              </w:rPr>
            </w:pPr>
            <w:r w:rsidRPr="00634E4C">
              <w:rPr>
                <w:rFonts w:asciiTheme="majorHAnsi" w:hAnsiTheme="majorHAnsi"/>
                <w:color w:val="000000"/>
                <w:sz w:val="16"/>
              </w:rPr>
              <w:t>126491</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D514D3" w14:textId="77777777" w:rsidR="00833524" w:rsidRPr="00634E4C" w:rsidRDefault="00833524" w:rsidP="00E56269">
            <w:pPr>
              <w:spacing w:line="259" w:lineRule="auto"/>
              <w:ind w:left="62"/>
              <w:jc w:val="center"/>
              <w:rPr>
                <w:rFonts w:asciiTheme="majorHAnsi" w:hAnsiTheme="majorHAnsi"/>
                <w:sz w:val="16"/>
              </w:rPr>
            </w:pPr>
            <w:r w:rsidRPr="00634E4C">
              <w:rPr>
                <w:rFonts w:asciiTheme="majorHAnsi" w:hAnsiTheme="majorHAnsi"/>
                <w:color w:val="000000"/>
                <w:sz w:val="16"/>
              </w:rPr>
              <w:t>110958</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A8CC2F0" w14:textId="77777777" w:rsidR="00833524" w:rsidRPr="00634E4C" w:rsidRDefault="00833524" w:rsidP="00E56269">
            <w:pPr>
              <w:spacing w:line="259" w:lineRule="auto"/>
              <w:ind w:left="62"/>
              <w:jc w:val="center"/>
              <w:rPr>
                <w:rFonts w:asciiTheme="majorHAnsi" w:hAnsiTheme="majorHAnsi"/>
                <w:sz w:val="16"/>
              </w:rPr>
            </w:pPr>
            <w:r w:rsidRPr="00634E4C">
              <w:rPr>
                <w:rFonts w:asciiTheme="majorHAnsi" w:hAnsiTheme="majorHAnsi"/>
                <w:color w:val="000000"/>
                <w:sz w:val="16"/>
              </w:rPr>
              <w:t>94288</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1F3453" w14:textId="77777777" w:rsidR="00833524" w:rsidRPr="00634E4C" w:rsidRDefault="00833524" w:rsidP="00E56269">
            <w:pPr>
              <w:spacing w:line="259" w:lineRule="auto"/>
              <w:ind w:left="62"/>
              <w:jc w:val="center"/>
              <w:rPr>
                <w:rFonts w:asciiTheme="majorHAnsi" w:hAnsiTheme="majorHAnsi"/>
                <w:sz w:val="16"/>
              </w:rPr>
            </w:pPr>
            <w:r w:rsidRPr="00634E4C">
              <w:rPr>
                <w:rFonts w:asciiTheme="majorHAnsi" w:hAnsiTheme="majorHAnsi"/>
                <w:color w:val="000000"/>
                <w:sz w:val="16"/>
              </w:rPr>
              <w:t>71522</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9272466" w14:textId="77777777" w:rsidR="00833524" w:rsidRPr="00634E4C" w:rsidRDefault="00833524" w:rsidP="00E56269">
            <w:pPr>
              <w:spacing w:line="259" w:lineRule="auto"/>
              <w:ind w:left="62"/>
              <w:jc w:val="center"/>
              <w:rPr>
                <w:rFonts w:asciiTheme="majorHAnsi" w:hAnsiTheme="majorHAnsi"/>
                <w:sz w:val="16"/>
              </w:rPr>
            </w:pPr>
            <w:r w:rsidRPr="00634E4C">
              <w:rPr>
                <w:rFonts w:asciiTheme="majorHAnsi" w:hAnsiTheme="majorHAnsi"/>
                <w:color w:val="000000"/>
                <w:sz w:val="16"/>
              </w:rPr>
              <w:t>3221</w:t>
            </w:r>
          </w:p>
        </w:tc>
      </w:tr>
      <w:tr w:rsidR="00833524" w:rsidRPr="00364545" w14:paraId="7681FD7F" w14:textId="77777777" w:rsidTr="00E56269">
        <w:trPr>
          <w:trHeight w:val="527"/>
        </w:trPr>
        <w:tc>
          <w:tcPr>
            <w:tcW w:w="1277" w:type="dxa"/>
            <w:tcBorders>
              <w:top w:val="single" w:sz="2" w:space="0" w:color="000000"/>
              <w:left w:val="single" w:sz="2" w:space="0" w:color="000000"/>
              <w:bottom w:val="single" w:sz="2" w:space="0" w:color="000000"/>
              <w:right w:val="single" w:sz="2" w:space="0" w:color="000000"/>
            </w:tcBorders>
          </w:tcPr>
          <w:p w14:paraId="65D93D4C" w14:textId="77777777" w:rsidR="00833524" w:rsidRPr="00364545" w:rsidRDefault="00833524" w:rsidP="00E56269">
            <w:pPr>
              <w:spacing w:line="259" w:lineRule="auto"/>
              <w:jc w:val="left"/>
            </w:pPr>
            <w:r w:rsidRPr="00364545">
              <w:rPr>
                <w:sz w:val="18"/>
              </w:rPr>
              <w:t xml:space="preserve">Other sectors </w:t>
            </w:r>
          </w:p>
          <w:p w14:paraId="5A11779B" w14:textId="77777777" w:rsidR="00833524" w:rsidRPr="00364545" w:rsidRDefault="00833524" w:rsidP="00E56269">
            <w:pPr>
              <w:spacing w:line="259" w:lineRule="auto"/>
              <w:jc w:val="left"/>
            </w:pPr>
            <w:r w:rsidRPr="00364545">
              <w:rPr>
                <w:sz w:val="18"/>
              </w:rPr>
              <w:t xml:space="preserve">(residential, tertiary, agriculture) </w:t>
            </w:r>
          </w:p>
        </w:tc>
        <w:tc>
          <w:tcPr>
            <w:tcW w:w="709" w:type="dxa"/>
            <w:tcBorders>
              <w:top w:val="single" w:sz="2" w:space="0" w:color="000000"/>
              <w:left w:val="single" w:sz="2" w:space="0" w:color="000000"/>
              <w:bottom w:val="single" w:sz="2" w:space="0" w:color="000000"/>
              <w:right w:val="single" w:sz="2" w:space="0" w:color="000000"/>
            </w:tcBorders>
            <w:vAlign w:val="center"/>
          </w:tcPr>
          <w:p w14:paraId="6B265DD5" w14:textId="77777777" w:rsidR="00833524" w:rsidRPr="00364545" w:rsidRDefault="00833524" w:rsidP="00E56269">
            <w:pPr>
              <w:spacing w:line="259" w:lineRule="auto"/>
              <w:ind w:left="58"/>
              <w:jc w:val="center"/>
              <w:rPr>
                <w:sz w:val="16"/>
                <w:szCs w:val="16"/>
              </w:rPr>
            </w:pPr>
            <w:r w:rsidRPr="00664108">
              <w:rPr>
                <w:rFonts w:asciiTheme="majorHAnsi" w:hAnsiTheme="majorHAnsi" w:cs="Calibri"/>
                <w:color w:val="000000"/>
                <w:sz w:val="16"/>
                <w:szCs w:val="16"/>
              </w:rPr>
              <w:t>102477</w:t>
            </w:r>
          </w:p>
        </w:tc>
        <w:tc>
          <w:tcPr>
            <w:tcW w:w="710" w:type="dxa"/>
            <w:tcBorders>
              <w:top w:val="single" w:sz="2" w:space="0" w:color="000000"/>
              <w:left w:val="single" w:sz="2" w:space="0" w:color="000000"/>
              <w:bottom w:val="single" w:sz="2" w:space="0" w:color="000000"/>
              <w:right w:val="single" w:sz="2" w:space="0" w:color="000000"/>
            </w:tcBorders>
            <w:vAlign w:val="center"/>
          </w:tcPr>
          <w:p w14:paraId="39EA9D21" w14:textId="77777777" w:rsidR="00833524" w:rsidRPr="00364545" w:rsidRDefault="00833524" w:rsidP="00E56269">
            <w:pPr>
              <w:spacing w:line="259" w:lineRule="auto"/>
              <w:ind w:left="58"/>
              <w:jc w:val="center"/>
              <w:rPr>
                <w:sz w:val="16"/>
                <w:szCs w:val="16"/>
              </w:rPr>
            </w:pPr>
            <w:r w:rsidRPr="00664108">
              <w:rPr>
                <w:rFonts w:asciiTheme="majorHAnsi" w:hAnsiTheme="majorHAnsi" w:cs="Calibri"/>
                <w:color w:val="000000"/>
                <w:sz w:val="16"/>
                <w:szCs w:val="16"/>
              </w:rPr>
              <w:t>97525</w:t>
            </w:r>
          </w:p>
        </w:tc>
        <w:tc>
          <w:tcPr>
            <w:tcW w:w="710" w:type="dxa"/>
            <w:tcBorders>
              <w:top w:val="single" w:sz="2" w:space="0" w:color="000000"/>
              <w:left w:val="single" w:sz="2" w:space="0" w:color="000000"/>
              <w:bottom w:val="single" w:sz="2" w:space="0" w:color="000000"/>
              <w:right w:val="single" w:sz="2" w:space="0" w:color="000000"/>
            </w:tcBorders>
            <w:vAlign w:val="center"/>
          </w:tcPr>
          <w:p w14:paraId="789AD26D" w14:textId="77777777" w:rsidR="00833524" w:rsidRPr="00364545" w:rsidRDefault="00833524" w:rsidP="00E56269">
            <w:pPr>
              <w:spacing w:line="259" w:lineRule="auto"/>
              <w:ind w:left="58"/>
              <w:jc w:val="center"/>
              <w:rPr>
                <w:sz w:val="16"/>
                <w:szCs w:val="16"/>
              </w:rPr>
            </w:pPr>
            <w:r w:rsidRPr="00664108">
              <w:rPr>
                <w:rFonts w:asciiTheme="majorHAnsi" w:hAnsiTheme="majorHAnsi" w:cs="Calibri"/>
                <w:color w:val="000000"/>
                <w:sz w:val="16"/>
                <w:szCs w:val="16"/>
              </w:rPr>
              <w:t>102881</w:t>
            </w:r>
          </w:p>
        </w:tc>
        <w:tc>
          <w:tcPr>
            <w:tcW w:w="710" w:type="dxa"/>
            <w:tcBorders>
              <w:top w:val="single" w:sz="2" w:space="0" w:color="000000"/>
              <w:left w:val="single" w:sz="2" w:space="0" w:color="000000"/>
              <w:bottom w:val="single" w:sz="2" w:space="0" w:color="000000"/>
              <w:right w:val="single" w:sz="2" w:space="0" w:color="000000"/>
            </w:tcBorders>
            <w:vAlign w:val="center"/>
          </w:tcPr>
          <w:p w14:paraId="66879ED3" w14:textId="77777777" w:rsidR="00833524" w:rsidRPr="00364545" w:rsidRDefault="00833524" w:rsidP="00E56269">
            <w:pPr>
              <w:spacing w:line="259" w:lineRule="auto"/>
              <w:ind w:left="62"/>
              <w:jc w:val="center"/>
              <w:rPr>
                <w:sz w:val="16"/>
                <w:szCs w:val="16"/>
              </w:rPr>
            </w:pPr>
            <w:r w:rsidRPr="00664108">
              <w:rPr>
                <w:rFonts w:asciiTheme="majorHAnsi" w:hAnsiTheme="majorHAnsi" w:cs="Calibri"/>
                <w:color w:val="000000"/>
                <w:sz w:val="16"/>
                <w:szCs w:val="16"/>
              </w:rPr>
              <w:t>109388</w:t>
            </w:r>
          </w:p>
        </w:tc>
        <w:tc>
          <w:tcPr>
            <w:tcW w:w="710" w:type="dxa"/>
            <w:tcBorders>
              <w:top w:val="single" w:sz="2" w:space="0" w:color="000000"/>
              <w:left w:val="single" w:sz="2" w:space="0" w:color="000000"/>
              <w:bottom w:val="single" w:sz="2" w:space="0" w:color="000000"/>
              <w:right w:val="single" w:sz="2" w:space="0" w:color="000000"/>
            </w:tcBorders>
            <w:vAlign w:val="center"/>
          </w:tcPr>
          <w:p w14:paraId="7BE4EEF9" w14:textId="77777777" w:rsidR="00833524" w:rsidRPr="00364545" w:rsidRDefault="00833524" w:rsidP="00E56269">
            <w:pPr>
              <w:spacing w:line="259" w:lineRule="auto"/>
              <w:ind w:left="58"/>
              <w:jc w:val="center"/>
              <w:rPr>
                <w:sz w:val="16"/>
                <w:szCs w:val="16"/>
              </w:rPr>
            </w:pPr>
            <w:r w:rsidRPr="00664108">
              <w:rPr>
                <w:rFonts w:asciiTheme="majorHAnsi" w:hAnsiTheme="majorHAnsi" w:cs="Calibri"/>
                <w:color w:val="000000"/>
                <w:sz w:val="16"/>
                <w:szCs w:val="16"/>
              </w:rPr>
              <w:t>101722</w:t>
            </w:r>
          </w:p>
        </w:tc>
        <w:tc>
          <w:tcPr>
            <w:tcW w:w="709" w:type="dxa"/>
            <w:tcBorders>
              <w:top w:val="single" w:sz="2" w:space="0" w:color="000000"/>
              <w:left w:val="single" w:sz="2" w:space="0" w:color="000000"/>
              <w:bottom w:val="single" w:sz="2" w:space="0" w:color="000000"/>
              <w:right w:val="single" w:sz="2" w:space="0" w:color="000000"/>
            </w:tcBorders>
            <w:vAlign w:val="center"/>
          </w:tcPr>
          <w:p w14:paraId="18B0BCFF" w14:textId="77777777" w:rsidR="00833524" w:rsidRPr="00364545" w:rsidRDefault="00833524" w:rsidP="00E56269">
            <w:pPr>
              <w:spacing w:line="259" w:lineRule="auto"/>
              <w:ind w:left="108"/>
              <w:jc w:val="center"/>
              <w:rPr>
                <w:sz w:val="16"/>
                <w:szCs w:val="16"/>
              </w:rPr>
            </w:pPr>
            <w:r w:rsidRPr="00664108">
              <w:rPr>
                <w:rFonts w:asciiTheme="majorHAnsi" w:hAnsiTheme="majorHAnsi" w:cs="Calibri"/>
                <w:color w:val="000000"/>
                <w:sz w:val="16"/>
                <w:szCs w:val="16"/>
              </w:rPr>
              <w:t>82940</w:t>
            </w:r>
          </w:p>
        </w:tc>
        <w:tc>
          <w:tcPr>
            <w:tcW w:w="710" w:type="dxa"/>
            <w:tcBorders>
              <w:top w:val="single" w:sz="2" w:space="0" w:color="000000"/>
              <w:left w:val="single" w:sz="2" w:space="0" w:color="000000"/>
              <w:bottom w:val="single" w:sz="2" w:space="0" w:color="000000"/>
              <w:right w:val="single" w:sz="2" w:space="0" w:color="000000"/>
            </w:tcBorders>
            <w:vAlign w:val="center"/>
          </w:tcPr>
          <w:p w14:paraId="4F4F43E6" w14:textId="77777777" w:rsidR="00833524" w:rsidRPr="00364545" w:rsidRDefault="00833524" w:rsidP="00E56269">
            <w:pPr>
              <w:spacing w:line="259" w:lineRule="auto"/>
              <w:ind w:left="108"/>
              <w:jc w:val="center"/>
              <w:rPr>
                <w:rFonts w:ascii="Calibri" w:hAnsi="Calibri"/>
                <w:color w:val="000000"/>
                <w:sz w:val="20"/>
              </w:rPr>
            </w:pPr>
            <w:r w:rsidRPr="00664108">
              <w:rPr>
                <w:rFonts w:asciiTheme="majorHAnsi" w:hAnsiTheme="majorHAnsi" w:cs="Calibri"/>
                <w:color w:val="000000"/>
                <w:sz w:val="16"/>
                <w:szCs w:val="16"/>
              </w:rPr>
              <w:t>75877</w:t>
            </w:r>
          </w:p>
        </w:tc>
        <w:tc>
          <w:tcPr>
            <w:tcW w:w="710" w:type="dxa"/>
            <w:tcBorders>
              <w:top w:val="single" w:sz="2" w:space="0" w:color="000000"/>
              <w:left w:val="single" w:sz="2" w:space="0" w:color="000000"/>
              <w:bottom w:val="single" w:sz="2" w:space="0" w:color="000000"/>
              <w:right w:val="single" w:sz="2" w:space="0" w:color="000000"/>
            </w:tcBorders>
            <w:vAlign w:val="center"/>
          </w:tcPr>
          <w:p w14:paraId="2EECB06A"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83566</w:t>
            </w:r>
          </w:p>
        </w:tc>
        <w:tc>
          <w:tcPr>
            <w:tcW w:w="710" w:type="dxa"/>
            <w:tcBorders>
              <w:top w:val="single" w:sz="2" w:space="0" w:color="000000"/>
              <w:left w:val="single" w:sz="2" w:space="0" w:color="000000"/>
              <w:bottom w:val="single" w:sz="2" w:space="0" w:color="000000"/>
              <w:right w:val="single" w:sz="2" w:space="0" w:color="000000"/>
            </w:tcBorders>
            <w:vAlign w:val="center"/>
          </w:tcPr>
          <w:p w14:paraId="49388E86"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68697</w:t>
            </w:r>
          </w:p>
        </w:tc>
        <w:tc>
          <w:tcPr>
            <w:tcW w:w="710" w:type="dxa"/>
            <w:tcBorders>
              <w:top w:val="single" w:sz="2" w:space="0" w:color="000000"/>
              <w:left w:val="single" w:sz="2" w:space="0" w:color="000000"/>
              <w:bottom w:val="single" w:sz="2" w:space="0" w:color="000000"/>
              <w:right w:val="single" w:sz="2" w:space="0" w:color="000000"/>
            </w:tcBorders>
            <w:vAlign w:val="center"/>
          </w:tcPr>
          <w:p w14:paraId="19C0977A" w14:textId="77777777" w:rsidR="00833524" w:rsidRPr="00634E4C" w:rsidRDefault="00833524" w:rsidP="00E56269">
            <w:pPr>
              <w:spacing w:line="259" w:lineRule="auto"/>
              <w:ind w:left="113"/>
              <w:jc w:val="center"/>
              <w:rPr>
                <w:rFonts w:asciiTheme="majorHAnsi" w:hAnsiTheme="majorHAnsi"/>
                <w:sz w:val="16"/>
              </w:rPr>
            </w:pPr>
            <w:r w:rsidRPr="00634E4C">
              <w:rPr>
                <w:rFonts w:asciiTheme="majorHAnsi" w:hAnsiTheme="majorHAnsi"/>
                <w:color w:val="000000"/>
                <w:sz w:val="16"/>
              </w:rPr>
              <w:t>49099</w:t>
            </w:r>
          </w:p>
        </w:tc>
        <w:tc>
          <w:tcPr>
            <w:tcW w:w="710" w:type="dxa"/>
            <w:tcBorders>
              <w:top w:val="single" w:sz="2" w:space="0" w:color="000000"/>
              <w:left w:val="single" w:sz="2" w:space="0" w:color="000000"/>
              <w:bottom w:val="single" w:sz="2" w:space="0" w:color="000000"/>
              <w:right w:val="single" w:sz="2" w:space="0" w:color="000000"/>
            </w:tcBorders>
            <w:vAlign w:val="center"/>
          </w:tcPr>
          <w:p w14:paraId="0C7FF346"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37516</w:t>
            </w:r>
          </w:p>
        </w:tc>
        <w:tc>
          <w:tcPr>
            <w:tcW w:w="710" w:type="dxa"/>
            <w:tcBorders>
              <w:top w:val="single" w:sz="2" w:space="0" w:color="000000"/>
              <w:left w:val="single" w:sz="2" w:space="0" w:color="000000"/>
              <w:bottom w:val="single" w:sz="2" w:space="0" w:color="000000"/>
              <w:right w:val="single" w:sz="2" w:space="0" w:color="000000"/>
            </w:tcBorders>
            <w:vAlign w:val="center"/>
          </w:tcPr>
          <w:p w14:paraId="23A470A4" w14:textId="77777777" w:rsidR="00833524" w:rsidRPr="00634E4C" w:rsidRDefault="00833524" w:rsidP="00E56269">
            <w:pPr>
              <w:spacing w:line="259" w:lineRule="auto"/>
              <w:ind w:left="108"/>
              <w:jc w:val="center"/>
              <w:rPr>
                <w:rFonts w:asciiTheme="majorHAnsi" w:hAnsiTheme="majorHAnsi"/>
                <w:sz w:val="16"/>
              </w:rPr>
            </w:pPr>
            <w:r w:rsidRPr="00634E4C">
              <w:rPr>
                <w:rFonts w:asciiTheme="majorHAnsi" w:hAnsiTheme="majorHAnsi"/>
                <w:color w:val="000000"/>
                <w:sz w:val="16"/>
              </w:rPr>
              <w:t>2766</w:t>
            </w:r>
          </w:p>
        </w:tc>
      </w:tr>
      <w:tr w:rsidR="00833524" w:rsidRPr="00364545" w14:paraId="3C59B815" w14:textId="77777777" w:rsidTr="00E56269">
        <w:trPr>
          <w:trHeight w:val="288"/>
        </w:trPr>
        <w:tc>
          <w:tcPr>
            <w:tcW w:w="1277" w:type="dxa"/>
            <w:tcBorders>
              <w:top w:val="single" w:sz="2" w:space="0" w:color="000000"/>
              <w:left w:val="single" w:sz="2" w:space="0" w:color="000000"/>
              <w:bottom w:val="single" w:sz="2" w:space="0" w:color="000000"/>
              <w:right w:val="single" w:sz="2" w:space="0" w:color="000000"/>
            </w:tcBorders>
            <w:shd w:val="clear" w:color="auto" w:fill="ECE6E2"/>
          </w:tcPr>
          <w:p w14:paraId="73E6DAA2" w14:textId="77777777" w:rsidR="00833524" w:rsidRPr="00364545" w:rsidRDefault="00833524" w:rsidP="00E56269">
            <w:pPr>
              <w:spacing w:line="259" w:lineRule="auto"/>
              <w:jc w:val="left"/>
            </w:pPr>
            <w:r w:rsidRPr="00364545">
              <w:rPr>
                <w:b/>
                <w:sz w:val="18"/>
              </w:rPr>
              <w:t xml:space="preserve">All energy </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A5E6F76" w14:textId="77777777" w:rsidR="00833524" w:rsidRPr="00364545" w:rsidRDefault="00833524" w:rsidP="00E56269">
            <w:pPr>
              <w:spacing w:line="259" w:lineRule="auto"/>
              <w:jc w:val="center"/>
              <w:rPr>
                <w:b/>
                <w:sz w:val="16"/>
                <w:szCs w:val="16"/>
              </w:rPr>
            </w:pPr>
            <w:r w:rsidRPr="00664108">
              <w:rPr>
                <w:rFonts w:asciiTheme="majorHAnsi" w:hAnsiTheme="majorHAnsi"/>
                <w:b/>
                <w:sz w:val="16"/>
                <w:szCs w:val="16"/>
              </w:rPr>
              <w:t>367272</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3E6F064" w14:textId="77777777" w:rsidR="00833524" w:rsidRPr="00364545" w:rsidRDefault="00833524" w:rsidP="00E56269">
            <w:pPr>
              <w:spacing w:line="259" w:lineRule="auto"/>
              <w:jc w:val="center"/>
              <w:rPr>
                <w:b/>
                <w:sz w:val="16"/>
                <w:szCs w:val="16"/>
              </w:rPr>
            </w:pPr>
            <w:r w:rsidRPr="00664108">
              <w:rPr>
                <w:rFonts w:asciiTheme="majorHAnsi" w:hAnsiTheme="majorHAnsi"/>
                <w:b/>
                <w:sz w:val="16"/>
                <w:szCs w:val="16"/>
              </w:rPr>
              <w:t>366079</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DA0DCCF" w14:textId="77777777" w:rsidR="00833524" w:rsidRPr="00364545" w:rsidRDefault="00833524" w:rsidP="00E56269">
            <w:pPr>
              <w:spacing w:line="259" w:lineRule="auto"/>
              <w:jc w:val="center"/>
              <w:rPr>
                <w:b/>
                <w:sz w:val="16"/>
                <w:szCs w:val="16"/>
              </w:rPr>
            </w:pPr>
            <w:r w:rsidRPr="00664108">
              <w:rPr>
                <w:rFonts w:asciiTheme="majorHAnsi" w:hAnsiTheme="majorHAnsi"/>
                <w:b/>
                <w:sz w:val="16"/>
                <w:szCs w:val="16"/>
              </w:rPr>
              <w:t>381989</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43B8AE" w14:textId="77777777" w:rsidR="00833524" w:rsidRPr="00364545" w:rsidRDefault="00833524" w:rsidP="00E56269">
            <w:pPr>
              <w:spacing w:line="259" w:lineRule="auto"/>
              <w:jc w:val="center"/>
              <w:rPr>
                <w:b/>
                <w:sz w:val="16"/>
                <w:szCs w:val="16"/>
              </w:rPr>
            </w:pPr>
            <w:r w:rsidRPr="00664108">
              <w:rPr>
                <w:rFonts w:asciiTheme="majorHAnsi" w:hAnsiTheme="majorHAnsi"/>
                <w:b/>
                <w:sz w:val="16"/>
                <w:szCs w:val="16"/>
              </w:rPr>
              <w:t>390391</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410CFFE" w14:textId="77777777" w:rsidR="00833524" w:rsidRPr="00364545" w:rsidRDefault="00833524" w:rsidP="00E56269">
            <w:pPr>
              <w:spacing w:line="259" w:lineRule="auto"/>
              <w:jc w:val="center"/>
              <w:rPr>
                <w:b/>
                <w:sz w:val="16"/>
                <w:szCs w:val="16"/>
              </w:rPr>
            </w:pPr>
            <w:r w:rsidRPr="00664108">
              <w:rPr>
                <w:rFonts w:asciiTheme="majorHAnsi" w:hAnsiTheme="majorHAnsi"/>
                <w:b/>
                <w:sz w:val="16"/>
                <w:szCs w:val="16"/>
              </w:rPr>
              <w:t>357711</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080284" w14:textId="77777777" w:rsidR="00833524" w:rsidRPr="00364545" w:rsidRDefault="00833524" w:rsidP="00E56269">
            <w:pPr>
              <w:spacing w:line="259" w:lineRule="auto"/>
              <w:jc w:val="center"/>
              <w:rPr>
                <w:b/>
                <w:sz w:val="16"/>
                <w:szCs w:val="16"/>
              </w:rPr>
            </w:pPr>
            <w:r w:rsidRPr="00664108">
              <w:rPr>
                <w:rFonts w:asciiTheme="majorHAnsi" w:hAnsiTheme="majorHAnsi"/>
                <w:b/>
                <w:sz w:val="16"/>
                <w:szCs w:val="16"/>
              </w:rPr>
              <w:t>313634</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255411E" w14:textId="77777777" w:rsidR="00833524" w:rsidRPr="00364545" w:rsidRDefault="00833524" w:rsidP="00E56269">
            <w:pPr>
              <w:spacing w:line="259" w:lineRule="auto"/>
              <w:jc w:val="center"/>
              <w:rPr>
                <w:rFonts w:ascii="Calibri" w:hAnsi="Calibri"/>
                <w:b/>
                <w:color w:val="000000"/>
                <w:sz w:val="20"/>
              </w:rPr>
            </w:pPr>
            <w:r w:rsidRPr="00664108">
              <w:rPr>
                <w:rFonts w:asciiTheme="majorHAnsi" w:hAnsiTheme="majorHAnsi"/>
                <w:b/>
                <w:sz w:val="16"/>
                <w:szCs w:val="16"/>
              </w:rPr>
              <w:t>297313</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AFFA76" w14:textId="77777777" w:rsidR="00833524" w:rsidRPr="00634E4C" w:rsidRDefault="00833524" w:rsidP="00E56269">
            <w:pPr>
              <w:spacing w:line="259" w:lineRule="auto"/>
              <w:jc w:val="center"/>
              <w:rPr>
                <w:rFonts w:asciiTheme="majorHAnsi" w:hAnsiTheme="majorHAnsi"/>
                <w:b/>
                <w:sz w:val="16"/>
              </w:rPr>
            </w:pPr>
            <w:r w:rsidRPr="00634E4C">
              <w:rPr>
                <w:rFonts w:asciiTheme="majorHAnsi" w:hAnsiTheme="majorHAnsi"/>
                <w:b/>
                <w:color w:val="000000"/>
                <w:sz w:val="16"/>
              </w:rPr>
              <w:t>305017</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283D2E" w14:textId="77777777" w:rsidR="00833524" w:rsidRPr="00634E4C" w:rsidRDefault="00833524" w:rsidP="00E56269">
            <w:pPr>
              <w:spacing w:line="259" w:lineRule="auto"/>
              <w:jc w:val="center"/>
              <w:rPr>
                <w:rFonts w:asciiTheme="majorHAnsi" w:hAnsiTheme="majorHAnsi"/>
                <w:b/>
                <w:sz w:val="16"/>
              </w:rPr>
            </w:pPr>
            <w:r w:rsidRPr="00634E4C">
              <w:rPr>
                <w:rFonts w:asciiTheme="majorHAnsi" w:hAnsiTheme="majorHAnsi"/>
                <w:b/>
                <w:color w:val="000000"/>
                <w:sz w:val="16"/>
              </w:rPr>
              <w:t>253350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C01662" w14:textId="77777777" w:rsidR="00833524" w:rsidRPr="00634E4C" w:rsidRDefault="00833524" w:rsidP="00E56269">
            <w:pPr>
              <w:spacing w:line="259" w:lineRule="auto"/>
              <w:jc w:val="center"/>
              <w:rPr>
                <w:rFonts w:asciiTheme="majorHAnsi" w:hAnsiTheme="majorHAnsi"/>
                <w:b/>
                <w:sz w:val="16"/>
              </w:rPr>
            </w:pPr>
            <w:r w:rsidRPr="00634E4C">
              <w:rPr>
                <w:rFonts w:asciiTheme="majorHAnsi" w:hAnsiTheme="majorHAnsi"/>
                <w:b/>
                <w:color w:val="000000"/>
                <w:sz w:val="16"/>
              </w:rPr>
              <w:t>203515</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276D11" w14:textId="77777777" w:rsidR="00833524" w:rsidRPr="00634E4C" w:rsidRDefault="00833524" w:rsidP="00E56269">
            <w:pPr>
              <w:spacing w:line="259" w:lineRule="auto"/>
              <w:jc w:val="center"/>
              <w:rPr>
                <w:rFonts w:asciiTheme="majorHAnsi" w:hAnsiTheme="majorHAnsi"/>
                <w:b/>
                <w:sz w:val="16"/>
              </w:rPr>
            </w:pPr>
            <w:r w:rsidRPr="00634E4C">
              <w:rPr>
                <w:rFonts w:asciiTheme="majorHAnsi" w:hAnsiTheme="majorHAnsi"/>
                <w:b/>
                <w:color w:val="000000"/>
                <w:sz w:val="16"/>
              </w:rPr>
              <w:t>151385</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68FF93E" w14:textId="77777777" w:rsidR="00833524" w:rsidRPr="00634E4C" w:rsidRDefault="00833524" w:rsidP="00E56269">
            <w:pPr>
              <w:spacing w:line="259" w:lineRule="auto"/>
              <w:ind w:left="58"/>
              <w:jc w:val="center"/>
              <w:rPr>
                <w:rFonts w:asciiTheme="majorHAnsi" w:hAnsiTheme="majorHAnsi"/>
                <w:b/>
                <w:sz w:val="16"/>
              </w:rPr>
            </w:pPr>
            <w:r w:rsidRPr="00634E4C">
              <w:rPr>
                <w:rFonts w:asciiTheme="majorHAnsi" w:hAnsiTheme="majorHAnsi"/>
                <w:b/>
                <w:color w:val="000000"/>
                <w:sz w:val="16"/>
              </w:rPr>
              <w:t>-5007</w:t>
            </w:r>
          </w:p>
        </w:tc>
      </w:tr>
    </w:tbl>
    <w:p w14:paraId="58F7E16F" w14:textId="77777777" w:rsidR="00833524" w:rsidRPr="00364545" w:rsidRDefault="00833524" w:rsidP="00833524">
      <w:pPr>
        <w:pStyle w:val="Default"/>
        <w:rPr>
          <w:sz w:val="16"/>
          <w:szCs w:val="16"/>
        </w:rPr>
      </w:pPr>
      <w:r w:rsidRPr="00364545">
        <w:rPr>
          <w:i/>
          <w:sz w:val="16"/>
        </w:rPr>
        <w:t xml:space="preserve">Reading the table: Energy industry = category CRF1A1 and 1B; manufacturing and construction = category CRF1A2; transport = category CRF 1A3; other sectors = category CRF 1A4 and 1A5. </w:t>
      </w:r>
    </w:p>
    <w:p w14:paraId="38903711" w14:textId="02091BC1" w:rsidR="00833524" w:rsidRPr="00364545" w:rsidRDefault="00833524" w:rsidP="00833524">
      <w:pPr>
        <w:pStyle w:val="Caption"/>
      </w:pPr>
      <w:r w:rsidRPr="00364545">
        <w:t xml:space="preserve">Table </w:t>
      </w:r>
      <w:fldSimple w:instr=" SEQ Tableau \* ARABIC ">
        <w:r w:rsidR="009A2FAA">
          <w:rPr>
            <w:noProof/>
          </w:rPr>
          <w:t>16</w:t>
        </w:r>
      </w:fldSimple>
      <w:r w:rsidRPr="00364545">
        <w:t>: Details of energy sector categories (in ktCO</w:t>
      </w:r>
      <w:r w:rsidRPr="00364545">
        <w:rPr>
          <w:vertAlign w:val="subscript"/>
        </w:rPr>
        <w:t>2e</w:t>
      </w:r>
      <w:r w:rsidRPr="00364545">
        <w:t>) in the Kyoto scope in the AMS scenario (with additional measures)</w:t>
      </w:r>
    </w:p>
    <w:p w14:paraId="0F9D558E" w14:textId="77777777" w:rsidR="00833524" w:rsidRPr="00364545" w:rsidRDefault="00833524" w:rsidP="00833524">
      <w:pPr>
        <w:pStyle w:val="Caption"/>
      </w:pPr>
      <w:r w:rsidRPr="00364545">
        <w:t>Source: UNF</w:t>
      </w:r>
      <w:r>
        <w:t>CCC inventory, Citepa/MTES, 2022</w:t>
      </w:r>
      <w:r w:rsidRPr="00364545">
        <w:t xml:space="preserve"> submission and MTES emission projections, 2018</w:t>
      </w:r>
    </w:p>
    <w:p w14:paraId="21E7DBEA" w14:textId="77777777" w:rsidR="00833524" w:rsidRPr="00364545" w:rsidRDefault="00833524" w:rsidP="00833524"/>
    <w:p w14:paraId="56EC63BE" w14:textId="77777777" w:rsidR="00833524" w:rsidRPr="00364545" w:rsidRDefault="00833524" w:rsidP="00833524">
      <w:pPr>
        <w:rPr>
          <w:szCs w:val="21"/>
        </w:rPr>
      </w:pPr>
    </w:p>
    <w:p w14:paraId="45BB51A8" w14:textId="77777777" w:rsidR="00833524" w:rsidRDefault="00833524" w:rsidP="00833524">
      <w:pPr>
        <w:pStyle w:val="Caption"/>
        <w:jc w:val="center"/>
      </w:pPr>
      <w:r>
        <w:rPr>
          <w:noProof/>
          <w:lang w:val="fr-FR"/>
        </w:rPr>
        <w:drawing>
          <wp:inline distT="0" distB="0" distL="0" distR="0" wp14:anchorId="798CE630" wp14:editId="2D67B022">
            <wp:extent cx="5630333" cy="2743200"/>
            <wp:effectExtent l="0" t="0" r="8890" b="0"/>
            <wp:docPr id="28713" name="Graphique 287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3E386782" w14:textId="363E9CF0" w:rsidR="00833524" w:rsidRPr="00364545" w:rsidRDefault="00833524" w:rsidP="00833524">
      <w:pPr>
        <w:pStyle w:val="Caption"/>
      </w:pPr>
      <w:r w:rsidRPr="00364545">
        <w:t xml:space="preserve">Figure </w:t>
      </w:r>
      <w:fldSimple w:instr=" SEQ Figure \* ARABIC ">
        <w:r w:rsidR="009A2FAA">
          <w:rPr>
            <w:noProof/>
          </w:rPr>
          <w:t>57</w:t>
        </w:r>
      </w:fldSimple>
      <w:r w:rsidRPr="00364545">
        <w:t>: Details of energy sector categories in ktCO</w:t>
      </w:r>
      <w:r w:rsidRPr="00364545">
        <w:rPr>
          <w:vertAlign w:val="subscript"/>
        </w:rPr>
        <w:t>2e</w:t>
      </w:r>
      <w:r w:rsidRPr="00364545">
        <w:t>, in the Kyoto scope, AMS 2018 scenario</w:t>
      </w:r>
    </w:p>
    <w:p w14:paraId="14E7B906" w14:textId="77777777" w:rsidR="00833524" w:rsidRPr="00364545" w:rsidRDefault="00833524" w:rsidP="00833524">
      <w:pPr>
        <w:pStyle w:val="Caption"/>
        <w:rPr>
          <w:szCs w:val="21"/>
        </w:rPr>
      </w:pPr>
      <w:r w:rsidRPr="00364545">
        <w:t>Source: UNF</w:t>
      </w:r>
      <w:r>
        <w:t>CCC inventory, Citepa/MTES, 2022</w:t>
      </w:r>
      <w:r w:rsidRPr="00364545">
        <w:t xml:space="preserve"> submission and MTES emission projections, 2018</w:t>
      </w:r>
    </w:p>
    <w:p w14:paraId="18B1EA02" w14:textId="77777777" w:rsidR="00833524" w:rsidRPr="00364545" w:rsidRDefault="00833524" w:rsidP="00833524"/>
    <w:p w14:paraId="7C6B057F" w14:textId="77777777" w:rsidR="00833524" w:rsidRPr="00364545" w:rsidRDefault="00833524" w:rsidP="00833524">
      <w:pPr>
        <w:pStyle w:val="Titre3Niveau3"/>
        <w:numPr>
          <w:ilvl w:val="1"/>
          <w:numId w:val="78"/>
        </w:numPr>
      </w:pPr>
      <w:bookmarkStart w:id="528" w:name="_Toc138341845"/>
      <w:r w:rsidRPr="00364545">
        <w:t>Trends by gas</w:t>
      </w:r>
      <w:bookmarkEnd w:id="528"/>
    </w:p>
    <w:p w14:paraId="30BED0E0" w14:textId="77777777" w:rsidR="00833524" w:rsidRPr="00364545" w:rsidRDefault="00833524" w:rsidP="00833524">
      <w:pPr>
        <w:rPr>
          <w:szCs w:val="21"/>
        </w:rPr>
      </w:pPr>
      <w:r w:rsidRPr="00364545">
        <w:t>In accordance with UNFCCC guidelines, changes in emissions by gas are presented in the tables and graphs below (overall and then by sector).</w:t>
      </w:r>
    </w:p>
    <w:p w14:paraId="235FDF0B" w14:textId="77777777" w:rsidR="00833524" w:rsidRPr="00364545" w:rsidRDefault="00833524" w:rsidP="00833524">
      <w:pPr>
        <w:pStyle w:val="Titre4niveau4"/>
        <w:numPr>
          <w:ilvl w:val="2"/>
          <w:numId w:val="78"/>
        </w:numPr>
      </w:pPr>
      <w:r w:rsidRPr="00364545">
        <w:t>Overall trends</w:t>
      </w:r>
    </w:p>
    <w:p w14:paraId="2FFC6F48" w14:textId="77777777" w:rsidR="00833524" w:rsidRPr="00364545" w:rsidRDefault="00833524" w:rsidP="00833524">
      <w:pPr>
        <w:pStyle w:val="titreencadre"/>
        <w:numPr>
          <w:ilvl w:val="3"/>
          <w:numId w:val="78"/>
        </w:numPr>
      </w:pPr>
      <w:r w:rsidRPr="00364545">
        <w:t>AME 2021</w:t>
      </w:r>
    </w:p>
    <w:tbl>
      <w:tblPr>
        <w:tblStyle w:val="TableGrid0"/>
        <w:tblW w:w="9937" w:type="dxa"/>
        <w:tblInd w:w="7" w:type="dxa"/>
        <w:tblCellMar>
          <w:top w:w="106" w:type="dxa"/>
          <w:left w:w="27" w:type="dxa"/>
        </w:tblCellMar>
        <w:tblLook w:val="04A0" w:firstRow="1" w:lastRow="0" w:firstColumn="1" w:lastColumn="0" w:noHBand="0" w:noVBand="1"/>
      </w:tblPr>
      <w:tblGrid>
        <w:gridCol w:w="866"/>
        <w:gridCol w:w="780"/>
        <w:gridCol w:w="731"/>
        <w:gridCol w:w="731"/>
        <w:gridCol w:w="731"/>
        <w:gridCol w:w="731"/>
        <w:gridCol w:w="731"/>
        <w:gridCol w:w="736"/>
        <w:gridCol w:w="780"/>
        <w:gridCol w:w="780"/>
        <w:gridCol w:w="780"/>
        <w:gridCol w:w="780"/>
        <w:gridCol w:w="780"/>
      </w:tblGrid>
      <w:tr w:rsidR="00833524" w:rsidRPr="00364545" w14:paraId="5303E34A" w14:textId="77777777" w:rsidTr="00E56269">
        <w:trPr>
          <w:trHeight w:val="401"/>
        </w:trPr>
        <w:tc>
          <w:tcPr>
            <w:tcW w:w="866" w:type="dxa"/>
            <w:tcBorders>
              <w:top w:val="single" w:sz="2" w:space="0" w:color="000000"/>
              <w:left w:val="single" w:sz="2" w:space="0" w:color="000000"/>
              <w:bottom w:val="single" w:sz="2" w:space="0" w:color="000000"/>
              <w:right w:val="single" w:sz="2" w:space="0" w:color="000000"/>
            </w:tcBorders>
            <w:shd w:val="clear" w:color="auto" w:fill="6D2A78"/>
          </w:tcPr>
          <w:p w14:paraId="0245DF2C" w14:textId="77777777" w:rsidR="00833524" w:rsidRPr="00364545" w:rsidRDefault="00833524" w:rsidP="00E56269">
            <w:pPr>
              <w:spacing w:line="259" w:lineRule="auto"/>
              <w:rPr>
                <w:b/>
              </w:rPr>
            </w:pPr>
            <w:r w:rsidRPr="00364545">
              <w:rPr>
                <w:b/>
                <w:color w:val="FFFFFF" w:themeColor="background1"/>
              </w:rPr>
              <w:t>AME 2021</w:t>
            </w:r>
          </w:p>
        </w:tc>
        <w:tc>
          <w:tcPr>
            <w:tcW w:w="780" w:type="dxa"/>
            <w:tcBorders>
              <w:top w:val="single" w:sz="2" w:space="0" w:color="000000"/>
              <w:left w:val="single" w:sz="2" w:space="0" w:color="000000"/>
              <w:bottom w:val="single" w:sz="2" w:space="0" w:color="000000"/>
              <w:right w:val="single" w:sz="2" w:space="0" w:color="000000"/>
            </w:tcBorders>
            <w:shd w:val="clear" w:color="auto" w:fill="6D2A78"/>
          </w:tcPr>
          <w:p w14:paraId="4D8F4F6F" w14:textId="77777777" w:rsidR="00833524" w:rsidRPr="00364545" w:rsidRDefault="00833524" w:rsidP="00E56269">
            <w:pPr>
              <w:spacing w:line="259" w:lineRule="auto"/>
              <w:ind w:right="23"/>
              <w:jc w:val="center"/>
            </w:pPr>
            <w:r w:rsidRPr="00364545">
              <w:rPr>
                <w:b/>
                <w:color w:val="FFFFFF"/>
                <w:sz w:val="18"/>
              </w:rPr>
              <w:t xml:space="preserve">1990 </w:t>
            </w:r>
          </w:p>
        </w:tc>
        <w:tc>
          <w:tcPr>
            <w:tcW w:w="731" w:type="dxa"/>
            <w:tcBorders>
              <w:top w:val="single" w:sz="2" w:space="0" w:color="000000"/>
              <w:left w:val="single" w:sz="2" w:space="0" w:color="000000"/>
              <w:bottom w:val="single" w:sz="2" w:space="0" w:color="000000"/>
              <w:right w:val="single" w:sz="2" w:space="0" w:color="000000"/>
            </w:tcBorders>
            <w:shd w:val="clear" w:color="auto" w:fill="6D2A78"/>
          </w:tcPr>
          <w:p w14:paraId="0DE734DD" w14:textId="77777777" w:rsidR="00833524" w:rsidRPr="00364545" w:rsidRDefault="00833524" w:rsidP="00E56269">
            <w:pPr>
              <w:spacing w:line="259" w:lineRule="auto"/>
              <w:ind w:right="26"/>
              <w:jc w:val="center"/>
              <w:rPr>
                <w:b/>
                <w:color w:val="FFFFFF"/>
                <w:sz w:val="18"/>
              </w:rPr>
            </w:pPr>
            <w:r w:rsidRPr="00364545">
              <w:rPr>
                <w:b/>
                <w:color w:val="FFFFFF"/>
                <w:sz w:val="18"/>
              </w:rPr>
              <w:t>1995</w:t>
            </w:r>
          </w:p>
        </w:tc>
        <w:tc>
          <w:tcPr>
            <w:tcW w:w="731" w:type="dxa"/>
            <w:tcBorders>
              <w:top w:val="single" w:sz="2" w:space="0" w:color="000000"/>
              <w:left w:val="single" w:sz="2" w:space="0" w:color="000000"/>
              <w:bottom w:val="single" w:sz="2" w:space="0" w:color="000000"/>
              <w:right w:val="single" w:sz="2" w:space="0" w:color="000000"/>
            </w:tcBorders>
            <w:shd w:val="clear" w:color="auto" w:fill="6D2A78"/>
          </w:tcPr>
          <w:p w14:paraId="79E3BD1A" w14:textId="77777777" w:rsidR="00833524" w:rsidRPr="00364545" w:rsidRDefault="00833524" w:rsidP="00E56269">
            <w:pPr>
              <w:spacing w:line="259" w:lineRule="auto"/>
              <w:ind w:right="26"/>
              <w:jc w:val="center"/>
            </w:pPr>
            <w:r w:rsidRPr="00364545">
              <w:rPr>
                <w:b/>
                <w:color w:val="FFFFFF"/>
                <w:sz w:val="18"/>
              </w:rPr>
              <w:t xml:space="preserve">2000 </w:t>
            </w:r>
          </w:p>
        </w:tc>
        <w:tc>
          <w:tcPr>
            <w:tcW w:w="731" w:type="dxa"/>
            <w:tcBorders>
              <w:top w:val="single" w:sz="2" w:space="0" w:color="000000"/>
              <w:left w:val="single" w:sz="2" w:space="0" w:color="000000"/>
              <w:bottom w:val="single" w:sz="2" w:space="0" w:color="000000"/>
              <w:right w:val="single" w:sz="2" w:space="0" w:color="000000"/>
            </w:tcBorders>
            <w:shd w:val="clear" w:color="auto" w:fill="6D2A78"/>
          </w:tcPr>
          <w:p w14:paraId="30DA7ED7" w14:textId="77777777" w:rsidR="00833524" w:rsidRPr="00364545" w:rsidRDefault="00833524" w:rsidP="00E56269">
            <w:pPr>
              <w:spacing w:line="259" w:lineRule="auto"/>
              <w:ind w:right="23"/>
              <w:jc w:val="center"/>
            </w:pPr>
            <w:r w:rsidRPr="00364545">
              <w:rPr>
                <w:b/>
                <w:color w:val="FFFFFF"/>
                <w:sz w:val="18"/>
              </w:rPr>
              <w:t xml:space="preserve">2005 </w:t>
            </w:r>
          </w:p>
        </w:tc>
        <w:tc>
          <w:tcPr>
            <w:tcW w:w="731" w:type="dxa"/>
            <w:tcBorders>
              <w:top w:val="single" w:sz="2" w:space="0" w:color="000000"/>
              <w:left w:val="single" w:sz="2" w:space="0" w:color="000000"/>
              <w:bottom w:val="single" w:sz="2" w:space="0" w:color="000000"/>
              <w:right w:val="single" w:sz="2" w:space="0" w:color="000000"/>
            </w:tcBorders>
            <w:shd w:val="clear" w:color="auto" w:fill="6D2A78"/>
          </w:tcPr>
          <w:p w14:paraId="4940C344" w14:textId="77777777" w:rsidR="00833524" w:rsidRPr="00364545" w:rsidRDefault="00833524" w:rsidP="00E56269">
            <w:pPr>
              <w:spacing w:line="259" w:lineRule="auto"/>
              <w:ind w:right="26"/>
              <w:jc w:val="center"/>
            </w:pPr>
            <w:r w:rsidRPr="00364545">
              <w:rPr>
                <w:b/>
                <w:color w:val="FFFFFF"/>
                <w:sz w:val="18"/>
              </w:rPr>
              <w:t xml:space="preserve">2010 </w:t>
            </w:r>
          </w:p>
        </w:tc>
        <w:tc>
          <w:tcPr>
            <w:tcW w:w="731" w:type="dxa"/>
            <w:tcBorders>
              <w:top w:val="single" w:sz="2" w:space="0" w:color="000000"/>
              <w:left w:val="single" w:sz="2" w:space="0" w:color="000000"/>
              <w:bottom w:val="single" w:sz="2" w:space="0" w:color="000000"/>
              <w:right w:val="single" w:sz="2" w:space="0" w:color="000000"/>
            </w:tcBorders>
            <w:shd w:val="clear" w:color="auto" w:fill="6D2A78"/>
          </w:tcPr>
          <w:p w14:paraId="548FD447" w14:textId="77777777" w:rsidR="00833524" w:rsidRPr="00364545" w:rsidRDefault="00833524" w:rsidP="00E56269">
            <w:pPr>
              <w:spacing w:line="259" w:lineRule="auto"/>
              <w:ind w:right="23"/>
              <w:jc w:val="center"/>
            </w:pPr>
            <w:r w:rsidRPr="00364545">
              <w:rPr>
                <w:b/>
                <w:color w:val="FFFFFF"/>
                <w:sz w:val="18"/>
              </w:rPr>
              <w:t xml:space="preserve">2015 </w:t>
            </w:r>
          </w:p>
        </w:tc>
        <w:tc>
          <w:tcPr>
            <w:tcW w:w="736" w:type="dxa"/>
            <w:tcBorders>
              <w:top w:val="single" w:sz="2" w:space="0" w:color="000000"/>
              <w:left w:val="single" w:sz="2" w:space="0" w:color="000000"/>
              <w:bottom w:val="single" w:sz="2" w:space="0" w:color="000000"/>
              <w:right w:val="single" w:sz="2" w:space="0" w:color="000000"/>
            </w:tcBorders>
            <w:shd w:val="clear" w:color="auto" w:fill="6D2A78"/>
          </w:tcPr>
          <w:p w14:paraId="2CCF9A0F" w14:textId="77777777" w:rsidR="00833524" w:rsidRPr="00364545" w:rsidRDefault="00833524" w:rsidP="00E56269">
            <w:pPr>
              <w:spacing w:line="259" w:lineRule="auto"/>
              <w:ind w:right="26"/>
              <w:jc w:val="center"/>
              <w:rPr>
                <w:b/>
                <w:color w:val="FFFFFF"/>
                <w:sz w:val="18"/>
              </w:rPr>
            </w:pPr>
            <w:r w:rsidRPr="00364545">
              <w:rPr>
                <w:b/>
                <w:color w:val="FFFFFF"/>
                <w:sz w:val="18"/>
              </w:rPr>
              <w:t>2019</w:t>
            </w:r>
          </w:p>
        </w:tc>
        <w:tc>
          <w:tcPr>
            <w:tcW w:w="780" w:type="dxa"/>
            <w:tcBorders>
              <w:top w:val="single" w:sz="2" w:space="0" w:color="000000"/>
              <w:left w:val="single" w:sz="2" w:space="0" w:color="000000"/>
              <w:bottom w:val="single" w:sz="2" w:space="0" w:color="000000"/>
              <w:right w:val="single" w:sz="2" w:space="0" w:color="000000"/>
            </w:tcBorders>
            <w:shd w:val="clear" w:color="auto" w:fill="6D2A78"/>
          </w:tcPr>
          <w:p w14:paraId="33560B5D" w14:textId="77777777" w:rsidR="00833524" w:rsidRPr="00364545" w:rsidRDefault="00833524" w:rsidP="00E56269">
            <w:pPr>
              <w:spacing w:line="259" w:lineRule="auto"/>
              <w:ind w:right="26"/>
              <w:jc w:val="center"/>
            </w:pPr>
            <w:r w:rsidRPr="00364545">
              <w:rPr>
                <w:b/>
                <w:color w:val="FFFFFF"/>
                <w:sz w:val="18"/>
              </w:rPr>
              <w:t xml:space="preserve">2020 </w:t>
            </w:r>
          </w:p>
        </w:tc>
        <w:tc>
          <w:tcPr>
            <w:tcW w:w="780" w:type="dxa"/>
            <w:tcBorders>
              <w:top w:val="single" w:sz="2" w:space="0" w:color="000000"/>
              <w:left w:val="single" w:sz="2" w:space="0" w:color="000000"/>
              <w:bottom w:val="single" w:sz="2" w:space="0" w:color="000000"/>
              <w:right w:val="single" w:sz="2" w:space="0" w:color="000000"/>
            </w:tcBorders>
            <w:shd w:val="clear" w:color="auto" w:fill="6D2A78"/>
          </w:tcPr>
          <w:p w14:paraId="06FEC76E" w14:textId="77777777" w:rsidR="00833524" w:rsidRPr="00364545" w:rsidRDefault="00833524" w:rsidP="00E56269">
            <w:pPr>
              <w:spacing w:line="259" w:lineRule="auto"/>
              <w:ind w:right="23"/>
              <w:jc w:val="center"/>
            </w:pPr>
            <w:r w:rsidRPr="00364545">
              <w:rPr>
                <w:b/>
                <w:color w:val="FFFFFF"/>
                <w:sz w:val="18"/>
              </w:rPr>
              <w:t xml:space="preserve">2025 </w:t>
            </w:r>
          </w:p>
        </w:tc>
        <w:tc>
          <w:tcPr>
            <w:tcW w:w="780" w:type="dxa"/>
            <w:tcBorders>
              <w:top w:val="single" w:sz="2" w:space="0" w:color="000000"/>
              <w:left w:val="single" w:sz="2" w:space="0" w:color="000000"/>
              <w:bottom w:val="single" w:sz="2" w:space="0" w:color="000000"/>
              <w:right w:val="single" w:sz="2" w:space="0" w:color="000000"/>
            </w:tcBorders>
            <w:shd w:val="clear" w:color="auto" w:fill="6D2A78"/>
          </w:tcPr>
          <w:p w14:paraId="773575DD" w14:textId="77777777" w:rsidR="00833524" w:rsidRPr="00364545" w:rsidRDefault="00833524" w:rsidP="00E56269">
            <w:pPr>
              <w:spacing w:line="259" w:lineRule="auto"/>
              <w:ind w:right="26"/>
              <w:jc w:val="center"/>
            </w:pPr>
            <w:r w:rsidRPr="00364545">
              <w:rPr>
                <w:b/>
                <w:color w:val="FFFFFF"/>
                <w:sz w:val="18"/>
              </w:rPr>
              <w:t xml:space="preserve">2030 </w:t>
            </w:r>
          </w:p>
        </w:tc>
        <w:tc>
          <w:tcPr>
            <w:tcW w:w="780" w:type="dxa"/>
            <w:tcBorders>
              <w:top w:val="single" w:sz="2" w:space="0" w:color="000000"/>
              <w:left w:val="single" w:sz="2" w:space="0" w:color="000000"/>
              <w:bottom w:val="single" w:sz="2" w:space="0" w:color="000000"/>
              <w:right w:val="single" w:sz="2" w:space="0" w:color="000000"/>
            </w:tcBorders>
            <w:shd w:val="clear" w:color="auto" w:fill="6D2A78"/>
          </w:tcPr>
          <w:p w14:paraId="58F7943F" w14:textId="77777777" w:rsidR="00833524" w:rsidRPr="00364545" w:rsidRDefault="00833524" w:rsidP="00E56269">
            <w:pPr>
              <w:spacing w:line="259" w:lineRule="auto"/>
              <w:ind w:right="23"/>
              <w:jc w:val="center"/>
            </w:pPr>
            <w:r w:rsidRPr="00364545">
              <w:rPr>
                <w:b/>
                <w:color w:val="FFFFFF"/>
                <w:sz w:val="18"/>
              </w:rPr>
              <w:t xml:space="preserve">2035 </w:t>
            </w:r>
          </w:p>
        </w:tc>
        <w:tc>
          <w:tcPr>
            <w:tcW w:w="780" w:type="dxa"/>
            <w:tcBorders>
              <w:top w:val="single" w:sz="2" w:space="0" w:color="000000"/>
              <w:left w:val="single" w:sz="2" w:space="0" w:color="000000"/>
              <w:bottom w:val="single" w:sz="2" w:space="0" w:color="000000"/>
              <w:right w:val="single" w:sz="2" w:space="0" w:color="000000"/>
            </w:tcBorders>
            <w:shd w:val="clear" w:color="auto" w:fill="6D2A78"/>
          </w:tcPr>
          <w:p w14:paraId="2CFF238F" w14:textId="77777777" w:rsidR="00833524" w:rsidRPr="00364545" w:rsidRDefault="00833524" w:rsidP="00E56269">
            <w:pPr>
              <w:spacing w:line="259" w:lineRule="auto"/>
              <w:ind w:right="23"/>
              <w:jc w:val="center"/>
              <w:rPr>
                <w:b/>
                <w:color w:val="FFFFFF"/>
                <w:sz w:val="18"/>
              </w:rPr>
            </w:pPr>
            <w:r w:rsidRPr="00364545">
              <w:rPr>
                <w:b/>
                <w:color w:val="FFFFFF"/>
                <w:sz w:val="18"/>
              </w:rPr>
              <w:t>2050</w:t>
            </w:r>
          </w:p>
        </w:tc>
      </w:tr>
      <w:tr w:rsidR="00833524" w:rsidRPr="00364545" w14:paraId="2FC5D744" w14:textId="77777777" w:rsidTr="00E56269">
        <w:trPr>
          <w:trHeight w:val="401"/>
        </w:trPr>
        <w:tc>
          <w:tcPr>
            <w:tcW w:w="866" w:type="dxa"/>
            <w:tcBorders>
              <w:top w:val="single" w:sz="2" w:space="0" w:color="000000"/>
              <w:left w:val="single" w:sz="2" w:space="0" w:color="000000"/>
              <w:bottom w:val="single" w:sz="2" w:space="0" w:color="000000"/>
              <w:right w:val="single" w:sz="2" w:space="0" w:color="000000"/>
            </w:tcBorders>
            <w:shd w:val="clear" w:color="auto" w:fill="6D2A78"/>
          </w:tcPr>
          <w:p w14:paraId="57336C84" w14:textId="77777777" w:rsidR="00833524" w:rsidRPr="00364545" w:rsidRDefault="00833524" w:rsidP="00E56269">
            <w:pPr>
              <w:spacing w:line="259" w:lineRule="auto"/>
              <w:rPr>
                <w:color w:val="FFFFFF" w:themeColor="background1"/>
              </w:rPr>
            </w:pPr>
            <w:r w:rsidRPr="00364545">
              <w:rPr>
                <w:color w:val="FFFFFF" w:themeColor="background1"/>
              </w:rPr>
              <w:t>ktCO</w:t>
            </w:r>
            <w:r w:rsidRPr="00364545">
              <w:rPr>
                <w:color w:val="FFFFFF" w:themeColor="background1"/>
                <w:vertAlign w:val="subscript"/>
              </w:rPr>
              <w:t>2e</w:t>
            </w:r>
          </w:p>
        </w:tc>
        <w:tc>
          <w:tcPr>
            <w:tcW w:w="4435" w:type="dxa"/>
            <w:gridSpan w:val="6"/>
            <w:tcBorders>
              <w:top w:val="single" w:sz="2" w:space="0" w:color="000000"/>
              <w:left w:val="single" w:sz="2" w:space="0" w:color="000000"/>
              <w:bottom w:val="single" w:sz="2" w:space="0" w:color="000000"/>
              <w:right w:val="single" w:sz="2" w:space="0" w:color="000000"/>
            </w:tcBorders>
            <w:shd w:val="clear" w:color="auto" w:fill="6D2A78"/>
          </w:tcPr>
          <w:p w14:paraId="6AD6ED9A" w14:textId="77777777" w:rsidR="00833524" w:rsidRPr="00364545" w:rsidRDefault="00833524" w:rsidP="00E56269">
            <w:pPr>
              <w:spacing w:line="259" w:lineRule="auto"/>
              <w:ind w:right="23"/>
              <w:jc w:val="center"/>
              <w:rPr>
                <w:b/>
                <w:color w:val="FFFFFF"/>
                <w:sz w:val="18"/>
              </w:rPr>
            </w:pPr>
            <w:r w:rsidRPr="00364545">
              <w:rPr>
                <w:b/>
                <w:color w:val="FFFFFF"/>
                <w:sz w:val="18"/>
              </w:rPr>
              <w:t>Observed</w:t>
            </w:r>
          </w:p>
        </w:tc>
        <w:tc>
          <w:tcPr>
            <w:tcW w:w="4636" w:type="dxa"/>
            <w:gridSpan w:val="6"/>
            <w:tcBorders>
              <w:top w:val="single" w:sz="2" w:space="0" w:color="000000"/>
              <w:left w:val="single" w:sz="2" w:space="0" w:color="000000"/>
              <w:bottom w:val="single" w:sz="2" w:space="0" w:color="000000"/>
              <w:right w:val="single" w:sz="2" w:space="0" w:color="000000"/>
            </w:tcBorders>
            <w:shd w:val="clear" w:color="auto" w:fill="6D2A78"/>
          </w:tcPr>
          <w:p w14:paraId="52660B21" w14:textId="77777777" w:rsidR="00833524" w:rsidRPr="00364545" w:rsidRDefault="00833524" w:rsidP="00E56269">
            <w:pPr>
              <w:spacing w:line="259" w:lineRule="auto"/>
              <w:ind w:right="23"/>
              <w:jc w:val="center"/>
              <w:rPr>
                <w:b/>
                <w:color w:val="FFFFFF"/>
                <w:sz w:val="18"/>
              </w:rPr>
            </w:pPr>
            <w:r w:rsidRPr="00364545">
              <w:rPr>
                <w:b/>
                <w:color w:val="FFFFFF"/>
                <w:sz w:val="18"/>
              </w:rPr>
              <w:t>Projected</w:t>
            </w:r>
          </w:p>
        </w:tc>
      </w:tr>
      <w:tr w:rsidR="00833524" w:rsidRPr="00364545" w14:paraId="63E920AA" w14:textId="77777777" w:rsidTr="00E56269">
        <w:trPr>
          <w:trHeight w:val="342"/>
        </w:trPr>
        <w:tc>
          <w:tcPr>
            <w:tcW w:w="866" w:type="dxa"/>
            <w:tcBorders>
              <w:top w:val="single" w:sz="2" w:space="0" w:color="000000"/>
              <w:left w:val="single" w:sz="2" w:space="0" w:color="000000"/>
              <w:bottom w:val="single" w:sz="2" w:space="0" w:color="000000"/>
              <w:right w:val="single" w:sz="2" w:space="0" w:color="000000"/>
            </w:tcBorders>
            <w:shd w:val="clear" w:color="auto" w:fill="ECE6E2"/>
          </w:tcPr>
          <w:p w14:paraId="53E02338"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CO</w:t>
            </w:r>
            <w:r w:rsidRPr="00364545">
              <w:rPr>
                <w:rFonts w:asciiTheme="minorHAnsi" w:hAnsiTheme="minorHAnsi"/>
                <w:sz w:val="18"/>
                <w:vertAlign w:val="subscript"/>
              </w:rPr>
              <w:t>2</w:t>
            </w:r>
            <w:r w:rsidRPr="00364545">
              <w:rPr>
                <w:rFonts w:asciiTheme="minorHAnsi" w:hAnsiTheme="minorHAnsi"/>
                <w:sz w:val="18"/>
              </w:rPr>
              <w:t xml:space="preserve"> excluding LULUCF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B3FB2D"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398425</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B7D367"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392916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35D908"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414788</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AD3CDBC"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425444</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88B097"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386872</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EB5E1B"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341631</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861610" w14:textId="77777777" w:rsidR="00833524" w:rsidRPr="00364545" w:rsidRDefault="00833524" w:rsidP="00E56269">
            <w:pPr>
              <w:spacing w:line="259" w:lineRule="auto"/>
              <w:ind w:left="64"/>
              <w:jc w:val="center"/>
              <w:rPr>
                <w:rFonts w:asciiTheme="minorHAnsi" w:hAnsiTheme="minorHAnsi"/>
                <w:sz w:val="18"/>
                <w:szCs w:val="18"/>
              </w:rPr>
            </w:pPr>
            <w:r>
              <w:rPr>
                <w:sz w:val="18"/>
                <w:szCs w:val="18"/>
              </w:rPr>
              <w:t>326725</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B093F00" w14:textId="77777777" w:rsidR="00833524" w:rsidRPr="00364545" w:rsidRDefault="00833524" w:rsidP="00E56269">
            <w:pPr>
              <w:spacing w:line="259" w:lineRule="auto"/>
              <w:ind w:left="64"/>
              <w:jc w:val="center"/>
              <w:rPr>
                <w:rFonts w:asciiTheme="minorHAnsi" w:hAnsiTheme="minorHAnsi"/>
                <w:sz w:val="18"/>
                <w:szCs w:val="18"/>
              </w:rPr>
            </w:pPr>
            <w:r w:rsidRPr="00364545">
              <w:rPr>
                <w:rFonts w:asciiTheme="minorHAnsi" w:hAnsiTheme="minorHAnsi"/>
                <w:sz w:val="18"/>
              </w:rPr>
              <w:t xml:space="preserve">291487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CC2BF04"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292205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26B206"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272039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888B83"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262355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5CF9D5"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241265 </w:t>
            </w:r>
          </w:p>
        </w:tc>
      </w:tr>
      <w:tr w:rsidR="00833524" w:rsidRPr="00364545" w14:paraId="7BC2ED7A" w14:textId="77777777" w:rsidTr="00E56269">
        <w:trPr>
          <w:trHeight w:val="347"/>
        </w:trPr>
        <w:tc>
          <w:tcPr>
            <w:tcW w:w="866" w:type="dxa"/>
            <w:tcBorders>
              <w:top w:val="single" w:sz="2" w:space="0" w:color="000000"/>
              <w:left w:val="single" w:sz="2" w:space="0" w:color="000000"/>
              <w:bottom w:val="single" w:sz="2" w:space="0" w:color="000000"/>
              <w:right w:val="single" w:sz="2" w:space="0" w:color="000000"/>
            </w:tcBorders>
          </w:tcPr>
          <w:p w14:paraId="0197141F"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CO</w:t>
            </w:r>
            <w:r w:rsidRPr="00364545">
              <w:rPr>
                <w:rFonts w:asciiTheme="minorHAnsi" w:hAnsiTheme="minorHAnsi"/>
                <w:sz w:val="18"/>
                <w:vertAlign w:val="subscript"/>
              </w:rPr>
              <w:t>2</w:t>
            </w:r>
            <w:r w:rsidRPr="00364545">
              <w:rPr>
                <w:rFonts w:asciiTheme="minorHAnsi" w:hAnsiTheme="minorHAnsi"/>
                <w:sz w:val="18"/>
              </w:rPr>
              <w:t xml:space="preserve"> including LULUCF </w:t>
            </w:r>
          </w:p>
        </w:tc>
        <w:tc>
          <w:tcPr>
            <w:tcW w:w="780" w:type="dxa"/>
            <w:tcBorders>
              <w:top w:val="single" w:sz="2" w:space="0" w:color="000000"/>
              <w:left w:val="single" w:sz="2" w:space="0" w:color="000000"/>
              <w:bottom w:val="single" w:sz="2" w:space="0" w:color="000000"/>
              <w:right w:val="single" w:sz="2" w:space="0" w:color="000000"/>
            </w:tcBorders>
            <w:vAlign w:val="center"/>
          </w:tcPr>
          <w:p w14:paraId="1BEB8E21"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370280</w:t>
            </w:r>
          </w:p>
        </w:tc>
        <w:tc>
          <w:tcPr>
            <w:tcW w:w="731" w:type="dxa"/>
            <w:tcBorders>
              <w:top w:val="single" w:sz="2" w:space="0" w:color="000000"/>
              <w:left w:val="single" w:sz="2" w:space="0" w:color="000000"/>
              <w:bottom w:val="single" w:sz="2" w:space="0" w:color="000000"/>
              <w:right w:val="single" w:sz="2" w:space="0" w:color="000000"/>
            </w:tcBorders>
            <w:vAlign w:val="center"/>
          </w:tcPr>
          <w:p w14:paraId="36B8498D"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361121</w:t>
            </w:r>
          </w:p>
        </w:tc>
        <w:tc>
          <w:tcPr>
            <w:tcW w:w="731" w:type="dxa"/>
            <w:tcBorders>
              <w:top w:val="single" w:sz="2" w:space="0" w:color="000000"/>
              <w:left w:val="single" w:sz="2" w:space="0" w:color="000000"/>
              <w:bottom w:val="single" w:sz="2" w:space="0" w:color="000000"/>
              <w:right w:val="single" w:sz="2" w:space="0" w:color="000000"/>
            </w:tcBorders>
            <w:vAlign w:val="center"/>
          </w:tcPr>
          <w:p w14:paraId="56EA8917"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390194</w:t>
            </w:r>
          </w:p>
        </w:tc>
        <w:tc>
          <w:tcPr>
            <w:tcW w:w="731" w:type="dxa"/>
            <w:tcBorders>
              <w:top w:val="single" w:sz="2" w:space="0" w:color="000000"/>
              <w:left w:val="single" w:sz="2" w:space="0" w:color="000000"/>
              <w:bottom w:val="single" w:sz="2" w:space="0" w:color="000000"/>
              <w:right w:val="single" w:sz="2" w:space="0" w:color="000000"/>
            </w:tcBorders>
            <w:vAlign w:val="center"/>
          </w:tcPr>
          <w:p w14:paraId="7E9A17DC"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373972</w:t>
            </w:r>
          </w:p>
        </w:tc>
        <w:tc>
          <w:tcPr>
            <w:tcW w:w="731" w:type="dxa"/>
            <w:tcBorders>
              <w:top w:val="single" w:sz="2" w:space="0" w:color="000000"/>
              <w:left w:val="single" w:sz="2" w:space="0" w:color="000000"/>
              <w:bottom w:val="single" w:sz="2" w:space="0" w:color="000000"/>
              <w:right w:val="single" w:sz="2" w:space="0" w:color="000000"/>
            </w:tcBorders>
            <w:vAlign w:val="center"/>
          </w:tcPr>
          <w:p w14:paraId="78925153"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344171</w:t>
            </w:r>
          </w:p>
        </w:tc>
        <w:tc>
          <w:tcPr>
            <w:tcW w:w="731" w:type="dxa"/>
            <w:tcBorders>
              <w:top w:val="single" w:sz="2" w:space="0" w:color="000000"/>
              <w:left w:val="single" w:sz="2" w:space="0" w:color="000000"/>
              <w:bottom w:val="single" w:sz="2" w:space="0" w:color="000000"/>
              <w:right w:val="single" w:sz="2" w:space="0" w:color="000000"/>
            </w:tcBorders>
            <w:vAlign w:val="center"/>
          </w:tcPr>
          <w:p w14:paraId="2046C77A"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303032</w:t>
            </w:r>
          </w:p>
        </w:tc>
        <w:tc>
          <w:tcPr>
            <w:tcW w:w="736" w:type="dxa"/>
            <w:tcBorders>
              <w:top w:val="single" w:sz="2" w:space="0" w:color="000000"/>
              <w:left w:val="single" w:sz="2" w:space="0" w:color="000000"/>
              <w:bottom w:val="single" w:sz="2" w:space="0" w:color="000000"/>
              <w:right w:val="single" w:sz="2" w:space="0" w:color="000000"/>
            </w:tcBorders>
            <w:vAlign w:val="center"/>
          </w:tcPr>
          <w:p w14:paraId="565F6391"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310432</w:t>
            </w:r>
          </w:p>
        </w:tc>
        <w:tc>
          <w:tcPr>
            <w:tcW w:w="780" w:type="dxa"/>
            <w:tcBorders>
              <w:top w:val="single" w:sz="2" w:space="0" w:color="000000"/>
              <w:left w:val="single" w:sz="2" w:space="0" w:color="000000"/>
              <w:bottom w:val="single" w:sz="2" w:space="0" w:color="000000"/>
              <w:right w:val="single" w:sz="2" w:space="0" w:color="000000"/>
            </w:tcBorders>
            <w:vAlign w:val="center"/>
          </w:tcPr>
          <w:p w14:paraId="247BA01F"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254402 </w:t>
            </w:r>
          </w:p>
        </w:tc>
        <w:tc>
          <w:tcPr>
            <w:tcW w:w="780" w:type="dxa"/>
            <w:tcBorders>
              <w:top w:val="single" w:sz="2" w:space="0" w:color="000000"/>
              <w:left w:val="single" w:sz="2" w:space="0" w:color="000000"/>
              <w:bottom w:val="single" w:sz="2" w:space="0" w:color="000000"/>
              <w:right w:val="single" w:sz="2" w:space="0" w:color="000000"/>
            </w:tcBorders>
            <w:vAlign w:val="center"/>
          </w:tcPr>
          <w:p w14:paraId="35BA9510"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259213 </w:t>
            </w:r>
          </w:p>
        </w:tc>
        <w:tc>
          <w:tcPr>
            <w:tcW w:w="780" w:type="dxa"/>
            <w:tcBorders>
              <w:top w:val="single" w:sz="2" w:space="0" w:color="000000"/>
              <w:left w:val="single" w:sz="2" w:space="0" w:color="000000"/>
              <w:bottom w:val="single" w:sz="2" w:space="0" w:color="000000"/>
              <w:right w:val="single" w:sz="2" w:space="0" w:color="000000"/>
            </w:tcBorders>
            <w:vAlign w:val="center"/>
          </w:tcPr>
          <w:p w14:paraId="51F54B72"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241362 </w:t>
            </w:r>
          </w:p>
        </w:tc>
        <w:tc>
          <w:tcPr>
            <w:tcW w:w="780" w:type="dxa"/>
            <w:tcBorders>
              <w:top w:val="single" w:sz="2" w:space="0" w:color="000000"/>
              <w:left w:val="single" w:sz="2" w:space="0" w:color="000000"/>
              <w:bottom w:val="single" w:sz="2" w:space="0" w:color="000000"/>
              <w:right w:val="single" w:sz="2" w:space="0" w:color="000000"/>
            </w:tcBorders>
            <w:vAlign w:val="center"/>
          </w:tcPr>
          <w:p w14:paraId="4A5C3CF0"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236549 </w:t>
            </w:r>
          </w:p>
        </w:tc>
        <w:tc>
          <w:tcPr>
            <w:tcW w:w="780" w:type="dxa"/>
            <w:tcBorders>
              <w:top w:val="single" w:sz="2" w:space="0" w:color="000000"/>
              <w:left w:val="single" w:sz="2" w:space="0" w:color="000000"/>
              <w:bottom w:val="single" w:sz="2" w:space="0" w:color="000000"/>
              <w:right w:val="single" w:sz="2" w:space="0" w:color="000000"/>
            </w:tcBorders>
            <w:vAlign w:val="center"/>
          </w:tcPr>
          <w:p w14:paraId="4F9AABF0"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224391 </w:t>
            </w:r>
          </w:p>
        </w:tc>
      </w:tr>
      <w:tr w:rsidR="00833524" w:rsidRPr="00364545" w14:paraId="38257EA5" w14:textId="77777777" w:rsidTr="00E56269">
        <w:trPr>
          <w:trHeight w:val="344"/>
        </w:trPr>
        <w:tc>
          <w:tcPr>
            <w:tcW w:w="866" w:type="dxa"/>
            <w:tcBorders>
              <w:top w:val="single" w:sz="2" w:space="0" w:color="000000"/>
              <w:left w:val="single" w:sz="2" w:space="0" w:color="000000"/>
              <w:bottom w:val="single" w:sz="2" w:space="0" w:color="000000"/>
              <w:right w:val="single" w:sz="2" w:space="0" w:color="000000"/>
            </w:tcBorders>
            <w:shd w:val="clear" w:color="auto" w:fill="ECE6E2"/>
          </w:tcPr>
          <w:p w14:paraId="001D529E"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CH</w:t>
            </w:r>
            <w:r w:rsidRPr="00364545">
              <w:rPr>
                <w:rFonts w:asciiTheme="minorHAnsi" w:hAnsiTheme="minorHAnsi"/>
                <w:sz w:val="18"/>
                <w:vertAlign w:val="subscript"/>
              </w:rPr>
              <w:t>4</w:t>
            </w:r>
            <w:r w:rsidRPr="00364545">
              <w:rPr>
                <w:rFonts w:asciiTheme="minorHAnsi" w:hAnsiTheme="minorHAnsi"/>
                <w:sz w:val="18"/>
              </w:rPr>
              <w:t xml:space="preserve"> excluding LULUCF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F71D15"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69161</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23BCD8"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70383</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4108940"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68603</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96E53D5"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63632</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930EAF"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61663</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A73686"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57862</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E3A28C"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55740</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DFB5F7"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55161.5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54AE28"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53575.1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A9FDCF"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52448.1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47AE0C4"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51718.6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0D8EA1"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51049.8 </w:t>
            </w:r>
          </w:p>
        </w:tc>
      </w:tr>
      <w:tr w:rsidR="00833524" w:rsidRPr="00364545" w14:paraId="0B38FD94" w14:textId="77777777" w:rsidTr="00E56269">
        <w:trPr>
          <w:trHeight w:val="347"/>
        </w:trPr>
        <w:tc>
          <w:tcPr>
            <w:tcW w:w="866" w:type="dxa"/>
            <w:tcBorders>
              <w:top w:val="single" w:sz="2" w:space="0" w:color="000000"/>
              <w:left w:val="single" w:sz="2" w:space="0" w:color="000000"/>
              <w:bottom w:val="single" w:sz="2" w:space="0" w:color="000000"/>
              <w:right w:val="single" w:sz="2" w:space="0" w:color="000000"/>
            </w:tcBorders>
          </w:tcPr>
          <w:p w14:paraId="117856B6"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CH</w:t>
            </w:r>
            <w:r w:rsidRPr="00364545">
              <w:rPr>
                <w:rFonts w:asciiTheme="minorHAnsi" w:hAnsiTheme="minorHAnsi"/>
                <w:sz w:val="18"/>
                <w:vertAlign w:val="subscript"/>
              </w:rPr>
              <w:t>4</w:t>
            </w:r>
            <w:r w:rsidRPr="00364545">
              <w:rPr>
                <w:rFonts w:asciiTheme="minorHAnsi" w:hAnsiTheme="minorHAnsi"/>
                <w:sz w:val="18"/>
              </w:rPr>
              <w:t xml:space="preserve"> including LULUCF </w:t>
            </w:r>
          </w:p>
        </w:tc>
        <w:tc>
          <w:tcPr>
            <w:tcW w:w="780" w:type="dxa"/>
            <w:tcBorders>
              <w:top w:val="single" w:sz="2" w:space="0" w:color="000000"/>
              <w:left w:val="single" w:sz="2" w:space="0" w:color="000000"/>
              <w:bottom w:val="single" w:sz="2" w:space="0" w:color="000000"/>
              <w:right w:val="single" w:sz="2" w:space="0" w:color="000000"/>
            </w:tcBorders>
            <w:vAlign w:val="center"/>
          </w:tcPr>
          <w:p w14:paraId="50A344A1"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70094</w:t>
            </w:r>
          </w:p>
        </w:tc>
        <w:tc>
          <w:tcPr>
            <w:tcW w:w="731" w:type="dxa"/>
            <w:tcBorders>
              <w:top w:val="single" w:sz="2" w:space="0" w:color="000000"/>
              <w:left w:val="single" w:sz="2" w:space="0" w:color="000000"/>
              <w:bottom w:val="single" w:sz="2" w:space="0" w:color="000000"/>
              <w:right w:val="single" w:sz="2" w:space="0" w:color="000000"/>
            </w:tcBorders>
            <w:vAlign w:val="center"/>
          </w:tcPr>
          <w:p w14:paraId="228CBD64"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74053</w:t>
            </w:r>
          </w:p>
        </w:tc>
        <w:tc>
          <w:tcPr>
            <w:tcW w:w="731" w:type="dxa"/>
            <w:tcBorders>
              <w:top w:val="single" w:sz="2" w:space="0" w:color="000000"/>
              <w:left w:val="single" w:sz="2" w:space="0" w:color="000000"/>
              <w:bottom w:val="single" w:sz="2" w:space="0" w:color="000000"/>
              <w:right w:val="single" w:sz="2" w:space="0" w:color="000000"/>
            </w:tcBorders>
            <w:vAlign w:val="center"/>
          </w:tcPr>
          <w:p w14:paraId="0C4A6432"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70296</w:t>
            </w:r>
          </w:p>
        </w:tc>
        <w:tc>
          <w:tcPr>
            <w:tcW w:w="731" w:type="dxa"/>
            <w:tcBorders>
              <w:top w:val="single" w:sz="2" w:space="0" w:color="000000"/>
              <w:left w:val="single" w:sz="2" w:space="0" w:color="000000"/>
              <w:bottom w:val="single" w:sz="2" w:space="0" w:color="000000"/>
              <w:right w:val="single" w:sz="2" w:space="0" w:color="000000"/>
            </w:tcBorders>
            <w:vAlign w:val="center"/>
          </w:tcPr>
          <w:p w14:paraId="1CF294DA"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64820</w:t>
            </w:r>
          </w:p>
        </w:tc>
        <w:tc>
          <w:tcPr>
            <w:tcW w:w="731" w:type="dxa"/>
            <w:tcBorders>
              <w:top w:val="single" w:sz="2" w:space="0" w:color="000000"/>
              <w:left w:val="single" w:sz="2" w:space="0" w:color="000000"/>
              <w:bottom w:val="single" w:sz="2" w:space="0" w:color="000000"/>
              <w:right w:val="single" w:sz="2" w:space="0" w:color="000000"/>
            </w:tcBorders>
            <w:vAlign w:val="center"/>
          </w:tcPr>
          <w:p w14:paraId="21453C00"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62793</w:t>
            </w:r>
          </w:p>
        </w:tc>
        <w:tc>
          <w:tcPr>
            <w:tcW w:w="731" w:type="dxa"/>
            <w:tcBorders>
              <w:top w:val="single" w:sz="2" w:space="0" w:color="000000"/>
              <w:left w:val="single" w:sz="2" w:space="0" w:color="000000"/>
              <w:bottom w:val="single" w:sz="2" w:space="0" w:color="000000"/>
              <w:right w:val="single" w:sz="2" w:space="0" w:color="000000"/>
            </w:tcBorders>
            <w:vAlign w:val="center"/>
          </w:tcPr>
          <w:p w14:paraId="781B8671"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58940</w:t>
            </w:r>
          </w:p>
        </w:tc>
        <w:tc>
          <w:tcPr>
            <w:tcW w:w="736" w:type="dxa"/>
            <w:tcBorders>
              <w:top w:val="single" w:sz="2" w:space="0" w:color="000000"/>
              <w:left w:val="single" w:sz="2" w:space="0" w:color="000000"/>
              <w:bottom w:val="single" w:sz="2" w:space="0" w:color="000000"/>
              <w:right w:val="single" w:sz="2" w:space="0" w:color="000000"/>
            </w:tcBorders>
            <w:vAlign w:val="center"/>
          </w:tcPr>
          <w:p w14:paraId="530190F7"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56877</w:t>
            </w:r>
          </w:p>
        </w:tc>
        <w:tc>
          <w:tcPr>
            <w:tcW w:w="780" w:type="dxa"/>
            <w:tcBorders>
              <w:top w:val="single" w:sz="2" w:space="0" w:color="000000"/>
              <w:left w:val="single" w:sz="2" w:space="0" w:color="000000"/>
              <w:bottom w:val="single" w:sz="2" w:space="0" w:color="000000"/>
              <w:right w:val="single" w:sz="2" w:space="0" w:color="000000"/>
            </w:tcBorders>
            <w:vAlign w:val="center"/>
          </w:tcPr>
          <w:p w14:paraId="7E232D91"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56289.0 </w:t>
            </w:r>
          </w:p>
        </w:tc>
        <w:tc>
          <w:tcPr>
            <w:tcW w:w="780" w:type="dxa"/>
            <w:tcBorders>
              <w:top w:val="single" w:sz="2" w:space="0" w:color="000000"/>
              <w:left w:val="single" w:sz="2" w:space="0" w:color="000000"/>
              <w:bottom w:val="single" w:sz="2" w:space="0" w:color="000000"/>
              <w:right w:val="single" w:sz="2" w:space="0" w:color="000000"/>
            </w:tcBorders>
            <w:vAlign w:val="center"/>
          </w:tcPr>
          <w:p w14:paraId="26980BB6"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54702.2 </w:t>
            </w:r>
          </w:p>
        </w:tc>
        <w:tc>
          <w:tcPr>
            <w:tcW w:w="780" w:type="dxa"/>
            <w:tcBorders>
              <w:top w:val="single" w:sz="2" w:space="0" w:color="000000"/>
              <w:left w:val="single" w:sz="2" w:space="0" w:color="000000"/>
              <w:bottom w:val="single" w:sz="2" w:space="0" w:color="000000"/>
              <w:right w:val="single" w:sz="2" w:space="0" w:color="000000"/>
            </w:tcBorders>
            <w:vAlign w:val="center"/>
          </w:tcPr>
          <w:p w14:paraId="32061EA8"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53575.1 </w:t>
            </w:r>
          </w:p>
        </w:tc>
        <w:tc>
          <w:tcPr>
            <w:tcW w:w="780" w:type="dxa"/>
            <w:tcBorders>
              <w:top w:val="single" w:sz="2" w:space="0" w:color="000000"/>
              <w:left w:val="single" w:sz="2" w:space="0" w:color="000000"/>
              <w:bottom w:val="single" w:sz="2" w:space="0" w:color="000000"/>
              <w:right w:val="single" w:sz="2" w:space="0" w:color="000000"/>
            </w:tcBorders>
            <w:vAlign w:val="center"/>
          </w:tcPr>
          <w:p w14:paraId="2FD2EF32"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52845.5 </w:t>
            </w:r>
          </w:p>
        </w:tc>
        <w:tc>
          <w:tcPr>
            <w:tcW w:w="780" w:type="dxa"/>
            <w:tcBorders>
              <w:top w:val="single" w:sz="2" w:space="0" w:color="000000"/>
              <w:left w:val="single" w:sz="2" w:space="0" w:color="000000"/>
              <w:bottom w:val="single" w:sz="2" w:space="0" w:color="000000"/>
              <w:right w:val="single" w:sz="2" w:space="0" w:color="000000"/>
            </w:tcBorders>
            <w:vAlign w:val="center"/>
          </w:tcPr>
          <w:p w14:paraId="4A2F14AD"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52176.8 </w:t>
            </w:r>
          </w:p>
        </w:tc>
      </w:tr>
      <w:tr w:rsidR="00833524" w:rsidRPr="00364545" w14:paraId="43546FBE" w14:textId="77777777" w:rsidTr="00E56269">
        <w:trPr>
          <w:trHeight w:val="342"/>
        </w:trPr>
        <w:tc>
          <w:tcPr>
            <w:tcW w:w="866" w:type="dxa"/>
            <w:tcBorders>
              <w:top w:val="single" w:sz="2" w:space="0" w:color="000000"/>
              <w:left w:val="single" w:sz="2" w:space="0" w:color="000000"/>
              <w:bottom w:val="single" w:sz="2" w:space="0" w:color="000000"/>
              <w:right w:val="single" w:sz="2" w:space="0" w:color="000000"/>
            </w:tcBorders>
            <w:shd w:val="clear" w:color="auto" w:fill="ECE6E2"/>
          </w:tcPr>
          <w:p w14:paraId="2464CA3E"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N</w:t>
            </w:r>
            <w:r w:rsidRPr="00364545">
              <w:rPr>
                <w:rFonts w:asciiTheme="minorHAnsi" w:hAnsiTheme="minorHAnsi"/>
                <w:sz w:val="18"/>
                <w:vertAlign w:val="subscript"/>
              </w:rPr>
              <w:t>2</w:t>
            </w:r>
            <w:r w:rsidRPr="00364545">
              <w:rPr>
                <w:rFonts w:asciiTheme="minorHAnsi" w:hAnsiTheme="minorHAnsi"/>
                <w:sz w:val="18"/>
              </w:rPr>
              <w:t xml:space="preserve">O excluding LULUCF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AF7E32"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64725</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C891D8D"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65937</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3F9ECF"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53681</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BC5D51"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46307</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754B867"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40478</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833284E"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39895</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9DE67D"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38071</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A0456B"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38446.9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93E505"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37839.2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C5F823"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36921.5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CD325A"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36417.5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118628"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35003.5 </w:t>
            </w:r>
          </w:p>
        </w:tc>
      </w:tr>
      <w:tr w:rsidR="00833524" w:rsidRPr="00364545" w14:paraId="34BFDC1F" w14:textId="77777777" w:rsidTr="00E56269">
        <w:trPr>
          <w:trHeight w:val="347"/>
        </w:trPr>
        <w:tc>
          <w:tcPr>
            <w:tcW w:w="866" w:type="dxa"/>
            <w:tcBorders>
              <w:top w:val="single" w:sz="2" w:space="0" w:color="000000"/>
              <w:left w:val="single" w:sz="2" w:space="0" w:color="000000"/>
              <w:bottom w:val="single" w:sz="2" w:space="0" w:color="000000"/>
              <w:right w:val="single" w:sz="2" w:space="0" w:color="000000"/>
            </w:tcBorders>
          </w:tcPr>
          <w:p w14:paraId="194FA33E"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N</w:t>
            </w:r>
            <w:r w:rsidRPr="00364545">
              <w:rPr>
                <w:rFonts w:asciiTheme="minorHAnsi" w:hAnsiTheme="minorHAnsi"/>
                <w:sz w:val="18"/>
                <w:vertAlign w:val="subscript"/>
              </w:rPr>
              <w:t>2</w:t>
            </w:r>
            <w:r w:rsidRPr="00364545">
              <w:rPr>
                <w:rFonts w:asciiTheme="minorHAnsi" w:hAnsiTheme="minorHAnsi"/>
                <w:sz w:val="18"/>
              </w:rPr>
              <w:t xml:space="preserve">O including LULUCF </w:t>
            </w:r>
          </w:p>
        </w:tc>
        <w:tc>
          <w:tcPr>
            <w:tcW w:w="780" w:type="dxa"/>
            <w:tcBorders>
              <w:top w:val="single" w:sz="2" w:space="0" w:color="000000"/>
              <w:left w:val="single" w:sz="2" w:space="0" w:color="000000"/>
              <w:bottom w:val="single" w:sz="2" w:space="0" w:color="000000"/>
              <w:right w:val="single" w:sz="2" w:space="0" w:color="000000"/>
            </w:tcBorders>
            <w:vAlign w:val="center"/>
          </w:tcPr>
          <w:p w14:paraId="1F36457C"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67951</w:t>
            </w:r>
          </w:p>
        </w:tc>
        <w:tc>
          <w:tcPr>
            <w:tcW w:w="731" w:type="dxa"/>
            <w:tcBorders>
              <w:top w:val="single" w:sz="2" w:space="0" w:color="000000"/>
              <w:left w:val="single" w:sz="2" w:space="0" w:color="000000"/>
              <w:bottom w:val="single" w:sz="2" w:space="0" w:color="000000"/>
              <w:right w:val="single" w:sz="2" w:space="0" w:color="000000"/>
            </w:tcBorders>
            <w:vAlign w:val="center"/>
          </w:tcPr>
          <w:p w14:paraId="00147639"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69183</w:t>
            </w:r>
          </w:p>
        </w:tc>
        <w:tc>
          <w:tcPr>
            <w:tcW w:w="731" w:type="dxa"/>
            <w:tcBorders>
              <w:top w:val="single" w:sz="2" w:space="0" w:color="000000"/>
              <w:left w:val="single" w:sz="2" w:space="0" w:color="000000"/>
              <w:bottom w:val="single" w:sz="2" w:space="0" w:color="000000"/>
              <w:right w:val="single" w:sz="2" w:space="0" w:color="000000"/>
            </w:tcBorders>
            <w:vAlign w:val="center"/>
          </w:tcPr>
          <w:p w14:paraId="2C0829D2"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56873</w:t>
            </w:r>
          </w:p>
        </w:tc>
        <w:tc>
          <w:tcPr>
            <w:tcW w:w="731" w:type="dxa"/>
            <w:tcBorders>
              <w:top w:val="single" w:sz="2" w:space="0" w:color="000000"/>
              <w:left w:val="single" w:sz="2" w:space="0" w:color="000000"/>
              <w:bottom w:val="single" w:sz="2" w:space="0" w:color="000000"/>
              <w:right w:val="single" w:sz="2" w:space="0" w:color="000000"/>
            </w:tcBorders>
            <w:vAlign w:val="center"/>
          </w:tcPr>
          <w:p w14:paraId="50393136"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49279</w:t>
            </w:r>
          </w:p>
        </w:tc>
        <w:tc>
          <w:tcPr>
            <w:tcW w:w="731" w:type="dxa"/>
            <w:tcBorders>
              <w:top w:val="single" w:sz="2" w:space="0" w:color="000000"/>
              <w:left w:val="single" w:sz="2" w:space="0" w:color="000000"/>
              <w:bottom w:val="single" w:sz="2" w:space="0" w:color="000000"/>
              <w:right w:val="single" w:sz="2" w:space="0" w:color="000000"/>
            </w:tcBorders>
            <w:vAlign w:val="center"/>
          </w:tcPr>
          <w:p w14:paraId="3D21B684"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43694</w:t>
            </w:r>
          </w:p>
        </w:tc>
        <w:tc>
          <w:tcPr>
            <w:tcW w:w="731" w:type="dxa"/>
            <w:tcBorders>
              <w:top w:val="single" w:sz="2" w:space="0" w:color="000000"/>
              <w:left w:val="single" w:sz="2" w:space="0" w:color="000000"/>
              <w:bottom w:val="single" w:sz="2" w:space="0" w:color="000000"/>
              <w:right w:val="single" w:sz="2" w:space="0" w:color="000000"/>
            </w:tcBorders>
            <w:vAlign w:val="center"/>
          </w:tcPr>
          <w:p w14:paraId="5163ADE2"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42840</w:t>
            </w:r>
          </w:p>
        </w:tc>
        <w:tc>
          <w:tcPr>
            <w:tcW w:w="736" w:type="dxa"/>
            <w:tcBorders>
              <w:top w:val="single" w:sz="2" w:space="0" w:color="000000"/>
              <w:left w:val="single" w:sz="2" w:space="0" w:color="000000"/>
              <w:bottom w:val="single" w:sz="2" w:space="0" w:color="000000"/>
              <w:right w:val="single" w:sz="2" w:space="0" w:color="000000"/>
            </w:tcBorders>
            <w:vAlign w:val="center"/>
          </w:tcPr>
          <w:p w14:paraId="78129F53"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40939</w:t>
            </w:r>
          </w:p>
        </w:tc>
        <w:tc>
          <w:tcPr>
            <w:tcW w:w="780" w:type="dxa"/>
            <w:tcBorders>
              <w:top w:val="single" w:sz="2" w:space="0" w:color="000000"/>
              <w:left w:val="single" w:sz="2" w:space="0" w:color="000000"/>
              <w:bottom w:val="single" w:sz="2" w:space="0" w:color="000000"/>
              <w:right w:val="single" w:sz="2" w:space="0" w:color="000000"/>
            </w:tcBorders>
            <w:vAlign w:val="center"/>
          </w:tcPr>
          <w:p w14:paraId="7D772663"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41566.3 </w:t>
            </w:r>
          </w:p>
        </w:tc>
        <w:tc>
          <w:tcPr>
            <w:tcW w:w="780" w:type="dxa"/>
            <w:tcBorders>
              <w:top w:val="single" w:sz="2" w:space="0" w:color="000000"/>
              <w:left w:val="single" w:sz="2" w:space="0" w:color="000000"/>
              <w:bottom w:val="single" w:sz="2" w:space="0" w:color="000000"/>
              <w:right w:val="single" w:sz="2" w:space="0" w:color="000000"/>
            </w:tcBorders>
            <w:vAlign w:val="center"/>
          </w:tcPr>
          <w:p w14:paraId="5F08B241"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40958.6 </w:t>
            </w:r>
          </w:p>
        </w:tc>
        <w:tc>
          <w:tcPr>
            <w:tcW w:w="780" w:type="dxa"/>
            <w:tcBorders>
              <w:top w:val="single" w:sz="2" w:space="0" w:color="000000"/>
              <w:left w:val="single" w:sz="2" w:space="0" w:color="000000"/>
              <w:bottom w:val="single" w:sz="2" w:space="0" w:color="000000"/>
              <w:right w:val="single" w:sz="2" w:space="0" w:color="000000"/>
            </w:tcBorders>
            <w:vAlign w:val="center"/>
          </w:tcPr>
          <w:p w14:paraId="6BAB3F0D"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40040.9 </w:t>
            </w:r>
          </w:p>
        </w:tc>
        <w:tc>
          <w:tcPr>
            <w:tcW w:w="780" w:type="dxa"/>
            <w:tcBorders>
              <w:top w:val="single" w:sz="2" w:space="0" w:color="000000"/>
              <w:left w:val="single" w:sz="2" w:space="0" w:color="000000"/>
              <w:bottom w:val="single" w:sz="2" w:space="0" w:color="000000"/>
              <w:right w:val="single" w:sz="2" w:space="0" w:color="000000"/>
            </w:tcBorders>
            <w:vAlign w:val="center"/>
          </w:tcPr>
          <w:p w14:paraId="239ED4F4"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39537.0 </w:t>
            </w:r>
          </w:p>
        </w:tc>
        <w:tc>
          <w:tcPr>
            <w:tcW w:w="780" w:type="dxa"/>
            <w:tcBorders>
              <w:top w:val="single" w:sz="2" w:space="0" w:color="000000"/>
              <w:left w:val="single" w:sz="2" w:space="0" w:color="000000"/>
              <w:bottom w:val="single" w:sz="2" w:space="0" w:color="000000"/>
              <w:right w:val="single" w:sz="2" w:space="0" w:color="000000"/>
            </w:tcBorders>
            <w:vAlign w:val="center"/>
          </w:tcPr>
          <w:p w14:paraId="1F5C589A"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38123.0 </w:t>
            </w:r>
          </w:p>
        </w:tc>
      </w:tr>
      <w:tr w:rsidR="00833524" w:rsidRPr="00364545" w14:paraId="77213B6A" w14:textId="77777777" w:rsidTr="00E56269">
        <w:trPr>
          <w:trHeight w:val="344"/>
        </w:trPr>
        <w:tc>
          <w:tcPr>
            <w:tcW w:w="866" w:type="dxa"/>
            <w:tcBorders>
              <w:top w:val="single" w:sz="2" w:space="0" w:color="000000"/>
              <w:left w:val="single" w:sz="2" w:space="0" w:color="000000"/>
              <w:bottom w:val="single" w:sz="2" w:space="0" w:color="000000"/>
              <w:right w:val="single" w:sz="2" w:space="0" w:color="000000"/>
            </w:tcBorders>
            <w:shd w:val="clear" w:color="auto" w:fill="ECE6E2"/>
          </w:tcPr>
          <w:p w14:paraId="3F6C5260"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 xml:space="preserve">HFCs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A100CC" w14:textId="77777777" w:rsidR="00833524" w:rsidRPr="00364545" w:rsidRDefault="00833524" w:rsidP="00E56269">
            <w:pPr>
              <w:spacing w:line="259" w:lineRule="auto"/>
              <w:ind w:left="59"/>
              <w:rPr>
                <w:rFonts w:asciiTheme="minorHAnsi" w:hAnsiTheme="minorHAnsi"/>
                <w:sz w:val="18"/>
                <w:szCs w:val="18"/>
              </w:rPr>
            </w:pPr>
            <w:r>
              <w:rPr>
                <w:sz w:val="18"/>
                <w:szCs w:val="18"/>
              </w:rPr>
              <w:t>4402</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A8565E"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1702</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5064033"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6736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D9954E"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12862</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41B4B1"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16930</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4BDBE99"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17494</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45B451"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12992</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323853B"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12721.1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4BB0160"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7816.6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308AA7"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5052.7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440D26"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3427.2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B93488"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1830.7 </w:t>
            </w:r>
          </w:p>
        </w:tc>
      </w:tr>
      <w:tr w:rsidR="00833524" w:rsidRPr="00364545" w14:paraId="5FD7CC15" w14:textId="77777777" w:rsidTr="00E56269">
        <w:trPr>
          <w:trHeight w:val="347"/>
        </w:trPr>
        <w:tc>
          <w:tcPr>
            <w:tcW w:w="866" w:type="dxa"/>
            <w:tcBorders>
              <w:top w:val="single" w:sz="2" w:space="0" w:color="000000"/>
              <w:left w:val="single" w:sz="2" w:space="0" w:color="000000"/>
              <w:bottom w:val="single" w:sz="2" w:space="0" w:color="000000"/>
              <w:right w:val="single" w:sz="2" w:space="0" w:color="000000"/>
            </w:tcBorders>
          </w:tcPr>
          <w:p w14:paraId="50F154EE"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 xml:space="preserve">PFCs </w:t>
            </w:r>
          </w:p>
        </w:tc>
        <w:tc>
          <w:tcPr>
            <w:tcW w:w="780" w:type="dxa"/>
            <w:tcBorders>
              <w:top w:val="single" w:sz="2" w:space="0" w:color="000000"/>
              <w:left w:val="single" w:sz="2" w:space="0" w:color="000000"/>
              <w:bottom w:val="single" w:sz="2" w:space="0" w:color="000000"/>
              <w:right w:val="single" w:sz="2" w:space="0" w:color="000000"/>
            </w:tcBorders>
            <w:vAlign w:val="center"/>
          </w:tcPr>
          <w:p w14:paraId="55541F60"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5202</w:t>
            </w:r>
          </w:p>
        </w:tc>
        <w:tc>
          <w:tcPr>
            <w:tcW w:w="731" w:type="dxa"/>
            <w:tcBorders>
              <w:top w:val="single" w:sz="2" w:space="0" w:color="000000"/>
              <w:left w:val="single" w:sz="2" w:space="0" w:color="000000"/>
              <w:bottom w:val="single" w:sz="2" w:space="0" w:color="000000"/>
              <w:right w:val="single" w:sz="2" w:space="0" w:color="000000"/>
            </w:tcBorders>
            <w:vAlign w:val="center"/>
          </w:tcPr>
          <w:p w14:paraId="17449BD1"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3065</w:t>
            </w:r>
          </w:p>
        </w:tc>
        <w:tc>
          <w:tcPr>
            <w:tcW w:w="731" w:type="dxa"/>
            <w:tcBorders>
              <w:top w:val="single" w:sz="2" w:space="0" w:color="000000"/>
              <w:left w:val="single" w:sz="2" w:space="0" w:color="000000"/>
              <w:bottom w:val="single" w:sz="2" w:space="0" w:color="000000"/>
              <w:right w:val="single" w:sz="2" w:space="0" w:color="000000"/>
            </w:tcBorders>
            <w:vAlign w:val="center"/>
          </w:tcPr>
          <w:p w14:paraId="3E1A50A8"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2997</w:t>
            </w:r>
          </w:p>
        </w:tc>
        <w:tc>
          <w:tcPr>
            <w:tcW w:w="731" w:type="dxa"/>
            <w:tcBorders>
              <w:top w:val="single" w:sz="2" w:space="0" w:color="000000"/>
              <w:left w:val="single" w:sz="2" w:space="0" w:color="000000"/>
              <w:bottom w:val="single" w:sz="2" w:space="0" w:color="000000"/>
              <w:right w:val="single" w:sz="2" w:space="0" w:color="000000"/>
            </w:tcBorders>
            <w:vAlign w:val="center"/>
          </w:tcPr>
          <w:p w14:paraId="12950B8F"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1760</w:t>
            </w:r>
          </w:p>
        </w:tc>
        <w:tc>
          <w:tcPr>
            <w:tcW w:w="731" w:type="dxa"/>
            <w:tcBorders>
              <w:top w:val="single" w:sz="2" w:space="0" w:color="000000"/>
              <w:left w:val="single" w:sz="2" w:space="0" w:color="000000"/>
              <w:bottom w:val="single" w:sz="2" w:space="0" w:color="000000"/>
              <w:right w:val="single" w:sz="2" w:space="0" w:color="000000"/>
            </w:tcBorders>
            <w:vAlign w:val="center"/>
          </w:tcPr>
          <w:p w14:paraId="7AE92E35"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617</w:t>
            </w:r>
          </w:p>
        </w:tc>
        <w:tc>
          <w:tcPr>
            <w:tcW w:w="731" w:type="dxa"/>
            <w:tcBorders>
              <w:top w:val="single" w:sz="2" w:space="0" w:color="000000"/>
              <w:left w:val="single" w:sz="2" w:space="0" w:color="000000"/>
              <w:bottom w:val="single" w:sz="2" w:space="0" w:color="000000"/>
              <w:right w:val="single" w:sz="2" w:space="0" w:color="000000"/>
            </w:tcBorders>
            <w:vAlign w:val="center"/>
          </w:tcPr>
          <w:p w14:paraId="5E9EAF79"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537</w:t>
            </w:r>
          </w:p>
        </w:tc>
        <w:tc>
          <w:tcPr>
            <w:tcW w:w="736" w:type="dxa"/>
            <w:tcBorders>
              <w:top w:val="single" w:sz="2" w:space="0" w:color="000000"/>
              <w:left w:val="single" w:sz="2" w:space="0" w:color="000000"/>
              <w:bottom w:val="single" w:sz="2" w:space="0" w:color="000000"/>
              <w:right w:val="single" w:sz="2" w:space="0" w:color="000000"/>
            </w:tcBorders>
            <w:vAlign w:val="center"/>
          </w:tcPr>
          <w:p w14:paraId="08BE977E"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615</w:t>
            </w:r>
          </w:p>
        </w:tc>
        <w:tc>
          <w:tcPr>
            <w:tcW w:w="780" w:type="dxa"/>
            <w:tcBorders>
              <w:top w:val="single" w:sz="2" w:space="0" w:color="000000"/>
              <w:left w:val="single" w:sz="2" w:space="0" w:color="000000"/>
              <w:bottom w:val="single" w:sz="2" w:space="0" w:color="000000"/>
              <w:right w:val="single" w:sz="2" w:space="0" w:color="000000"/>
            </w:tcBorders>
            <w:vAlign w:val="center"/>
          </w:tcPr>
          <w:p w14:paraId="12C66AC8"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462.9 </w:t>
            </w:r>
          </w:p>
        </w:tc>
        <w:tc>
          <w:tcPr>
            <w:tcW w:w="780" w:type="dxa"/>
            <w:tcBorders>
              <w:top w:val="single" w:sz="2" w:space="0" w:color="000000"/>
              <w:left w:val="single" w:sz="2" w:space="0" w:color="000000"/>
              <w:bottom w:val="single" w:sz="2" w:space="0" w:color="000000"/>
              <w:right w:val="single" w:sz="2" w:space="0" w:color="000000"/>
            </w:tcBorders>
            <w:vAlign w:val="center"/>
          </w:tcPr>
          <w:p w14:paraId="60FB425C"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290.7 </w:t>
            </w:r>
          </w:p>
        </w:tc>
        <w:tc>
          <w:tcPr>
            <w:tcW w:w="780" w:type="dxa"/>
            <w:tcBorders>
              <w:top w:val="single" w:sz="2" w:space="0" w:color="000000"/>
              <w:left w:val="single" w:sz="2" w:space="0" w:color="000000"/>
              <w:bottom w:val="single" w:sz="2" w:space="0" w:color="000000"/>
              <w:right w:val="single" w:sz="2" w:space="0" w:color="000000"/>
            </w:tcBorders>
            <w:vAlign w:val="center"/>
          </w:tcPr>
          <w:p w14:paraId="222DBD1C"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217.7 </w:t>
            </w:r>
          </w:p>
        </w:tc>
        <w:tc>
          <w:tcPr>
            <w:tcW w:w="780" w:type="dxa"/>
            <w:tcBorders>
              <w:top w:val="single" w:sz="2" w:space="0" w:color="000000"/>
              <w:left w:val="single" w:sz="2" w:space="0" w:color="000000"/>
              <w:bottom w:val="single" w:sz="2" w:space="0" w:color="000000"/>
              <w:right w:val="single" w:sz="2" w:space="0" w:color="000000"/>
            </w:tcBorders>
            <w:vAlign w:val="center"/>
          </w:tcPr>
          <w:p w14:paraId="4FBC8E0C"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156.5 </w:t>
            </w:r>
          </w:p>
        </w:tc>
        <w:tc>
          <w:tcPr>
            <w:tcW w:w="780" w:type="dxa"/>
            <w:tcBorders>
              <w:top w:val="single" w:sz="2" w:space="0" w:color="000000"/>
              <w:left w:val="single" w:sz="2" w:space="0" w:color="000000"/>
              <w:bottom w:val="single" w:sz="2" w:space="0" w:color="000000"/>
              <w:right w:val="single" w:sz="2" w:space="0" w:color="000000"/>
            </w:tcBorders>
            <w:vAlign w:val="center"/>
          </w:tcPr>
          <w:p w14:paraId="0FA24904"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130.9 </w:t>
            </w:r>
          </w:p>
        </w:tc>
      </w:tr>
      <w:tr w:rsidR="00833524" w:rsidRPr="00364545" w14:paraId="1785E5EC" w14:textId="77777777" w:rsidTr="00E56269">
        <w:trPr>
          <w:trHeight w:val="342"/>
        </w:trPr>
        <w:tc>
          <w:tcPr>
            <w:tcW w:w="866" w:type="dxa"/>
            <w:tcBorders>
              <w:top w:val="single" w:sz="2" w:space="0" w:color="000000"/>
              <w:left w:val="single" w:sz="2" w:space="0" w:color="000000"/>
              <w:bottom w:val="single" w:sz="2" w:space="0" w:color="000000"/>
              <w:right w:val="single" w:sz="2" w:space="0" w:color="000000"/>
            </w:tcBorders>
            <w:shd w:val="clear" w:color="auto" w:fill="ECE6E2"/>
          </w:tcPr>
          <w:p w14:paraId="74BD3338"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SF</w:t>
            </w:r>
            <w:r w:rsidRPr="00364545">
              <w:rPr>
                <w:rFonts w:asciiTheme="minorHAnsi" w:hAnsiTheme="minorHAnsi"/>
                <w:sz w:val="18"/>
                <w:vertAlign w:val="subscript"/>
              </w:rPr>
              <w:t>6</w:t>
            </w:r>
            <w:r w:rsidRPr="00364545">
              <w:rPr>
                <w:rFonts w:asciiTheme="minorHAnsi" w:hAnsiTheme="minorHAnsi"/>
                <w:sz w:val="18"/>
              </w:rPr>
              <w:t xml:space="preserve">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62D346"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2155</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4FD581"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2467</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BEB518"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2180</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3361DAF"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1355</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E1D6C63"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875</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9D3D313"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498</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557A2F"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385</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3D47B3"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387.4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F463C9"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358.1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FA4F3FA"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359.2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30B57C"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360.2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AF0CAC"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363.0 </w:t>
            </w:r>
          </w:p>
        </w:tc>
      </w:tr>
      <w:tr w:rsidR="00833524" w:rsidRPr="00364545" w14:paraId="5A06E20A" w14:textId="77777777" w:rsidTr="00E56269">
        <w:trPr>
          <w:trHeight w:val="347"/>
        </w:trPr>
        <w:tc>
          <w:tcPr>
            <w:tcW w:w="866" w:type="dxa"/>
            <w:tcBorders>
              <w:top w:val="single" w:sz="2" w:space="0" w:color="000000"/>
              <w:left w:val="single" w:sz="2" w:space="0" w:color="000000"/>
              <w:bottom w:val="single" w:sz="2" w:space="0" w:color="000000"/>
              <w:right w:val="single" w:sz="2" w:space="0" w:color="000000"/>
            </w:tcBorders>
          </w:tcPr>
          <w:p w14:paraId="06D2547F" w14:textId="77777777" w:rsidR="00833524" w:rsidRPr="00364545" w:rsidRDefault="00833524" w:rsidP="00E56269">
            <w:pPr>
              <w:spacing w:line="259" w:lineRule="auto"/>
              <w:rPr>
                <w:rFonts w:asciiTheme="minorHAnsi" w:hAnsiTheme="minorHAnsi"/>
                <w:sz w:val="18"/>
                <w:szCs w:val="18"/>
              </w:rPr>
            </w:pPr>
            <w:r w:rsidRPr="00364545">
              <w:rPr>
                <w:rFonts w:asciiTheme="minorHAnsi" w:hAnsiTheme="minorHAnsi"/>
                <w:sz w:val="18"/>
              </w:rPr>
              <w:t>NF</w:t>
            </w:r>
            <w:r w:rsidRPr="00364545">
              <w:rPr>
                <w:rFonts w:asciiTheme="minorHAnsi" w:hAnsiTheme="minorHAnsi"/>
                <w:sz w:val="18"/>
                <w:vertAlign w:val="subscript"/>
              </w:rPr>
              <w:t>3</w:t>
            </w:r>
            <w:r w:rsidRPr="00364545">
              <w:rPr>
                <w:rFonts w:asciiTheme="minorHAnsi" w:hAnsiTheme="minorHAnsi"/>
                <w:sz w:val="18"/>
              </w:rPr>
              <w:t xml:space="preserve"> </w:t>
            </w:r>
          </w:p>
        </w:tc>
        <w:tc>
          <w:tcPr>
            <w:tcW w:w="780" w:type="dxa"/>
            <w:tcBorders>
              <w:top w:val="single" w:sz="2" w:space="0" w:color="000000"/>
              <w:left w:val="single" w:sz="2" w:space="0" w:color="000000"/>
              <w:bottom w:val="single" w:sz="2" w:space="0" w:color="000000"/>
              <w:right w:val="single" w:sz="2" w:space="0" w:color="000000"/>
            </w:tcBorders>
            <w:vAlign w:val="center"/>
          </w:tcPr>
          <w:p w14:paraId="4E0043BC"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16</w:t>
            </w:r>
          </w:p>
        </w:tc>
        <w:tc>
          <w:tcPr>
            <w:tcW w:w="731" w:type="dxa"/>
            <w:tcBorders>
              <w:top w:val="single" w:sz="2" w:space="0" w:color="000000"/>
              <w:left w:val="single" w:sz="2" w:space="0" w:color="000000"/>
              <w:bottom w:val="single" w:sz="2" w:space="0" w:color="000000"/>
              <w:right w:val="single" w:sz="2" w:space="0" w:color="000000"/>
            </w:tcBorders>
            <w:vAlign w:val="center"/>
          </w:tcPr>
          <w:p w14:paraId="7B335497"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w:t>
            </w:r>
          </w:p>
        </w:tc>
        <w:tc>
          <w:tcPr>
            <w:tcW w:w="731" w:type="dxa"/>
            <w:tcBorders>
              <w:top w:val="single" w:sz="2" w:space="0" w:color="000000"/>
              <w:left w:val="single" w:sz="2" w:space="0" w:color="000000"/>
              <w:bottom w:val="single" w:sz="2" w:space="0" w:color="000000"/>
              <w:right w:val="single" w:sz="2" w:space="0" w:color="000000"/>
            </w:tcBorders>
            <w:vAlign w:val="center"/>
          </w:tcPr>
          <w:p w14:paraId="7B412820"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20</w:t>
            </w:r>
          </w:p>
        </w:tc>
        <w:tc>
          <w:tcPr>
            <w:tcW w:w="731" w:type="dxa"/>
            <w:tcBorders>
              <w:top w:val="single" w:sz="2" w:space="0" w:color="000000"/>
              <w:left w:val="single" w:sz="2" w:space="0" w:color="000000"/>
              <w:bottom w:val="single" w:sz="2" w:space="0" w:color="000000"/>
              <w:right w:val="single" w:sz="2" w:space="0" w:color="000000"/>
            </w:tcBorders>
            <w:vAlign w:val="center"/>
          </w:tcPr>
          <w:p w14:paraId="0DAD5CD2"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31</w:t>
            </w:r>
          </w:p>
        </w:tc>
        <w:tc>
          <w:tcPr>
            <w:tcW w:w="731" w:type="dxa"/>
            <w:tcBorders>
              <w:top w:val="single" w:sz="2" w:space="0" w:color="000000"/>
              <w:left w:val="single" w:sz="2" w:space="0" w:color="000000"/>
              <w:bottom w:val="single" w:sz="2" w:space="0" w:color="000000"/>
              <w:right w:val="single" w:sz="2" w:space="0" w:color="000000"/>
            </w:tcBorders>
            <w:vAlign w:val="center"/>
          </w:tcPr>
          <w:p w14:paraId="4ECEAE3E"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32</w:t>
            </w:r>
          </w:p>
        </w:tc>
        <w:tc>
          <w:tcPr>
            <w:tcW w:w="731" w:type="dxa"/>
            <w:tcBorders>
              <w:top w:val="single" w:sz="2" w:space="0" w:color="000000"/>
              <w:left w:val="single" w:sz="2" w:space="0" w:color="000000"/>
              <w:bottom w:val="single" w:sz="2" w:space="0" w:color="000000"/>
              <w:right w:val="single" w:sz="2" w:space="0" w:color="000000"/>
            </w:tcBorders>
            <w:vAlign w:val="center"/>
          </w:tcPr>
          <w:p w14:paraId="69FF6513" w14:textId="77777777" w:rsidR="00833524" w:rsidRPr="00364545" w:rsidRDefault="00833524" w:rsidP="00E56269">
            <w:pPr>
              <w:spacing w:line="259" w:lineRule="auto"/>
              <w:ind w:left="59"/>
              <w:jc w:val="center"/>
              <w:rPr>
                <w:rFonts w:asciiTheme="minorHAnsi" w:hAnsiTheme="minorHAnsi"/>
                <w:sz w:val="18"/>
                <w:szCs w:val="18"/>
              </w:rPr>
            </w:pPr>
            <w:r>
              <w:rPr>
                <w:sz w:val="18"/>
                <w:szCs w:val="18"/>
              </w:rPr>
              <w:t>6</w:t>
            </w:r>
          </w:p>
        </w:tc>
        <w:tc>
          <w:tcPr>
            <w:tcW w:w="736" w:type="dxa"/>
            <w:tcBorders>
              <w:top w:val="single" w:sz="2" w:space="0" w:color="000000"/>
              <w:left w:val="single" w:sz="2" w:space="0" w:color="000000"/>
              <w:bottom w:val="single" w:sz="2" w:space="0" w:color="000000"/>
              <w:right w:val="single" w:sz="2" w:space="0" w:color="000000"/>
            </w:tcBorders>
            <w:vAlign w:val="center"/>
          </w:tcPr>
          <w:p w14:paraId="05D580F8" w14:textId="77777777" w:rsidR="00833524" w:rsidRPr="00364545" w:rsidRDefault="00833524" w:rsidP="00E56269">
            <w:pPr>
              <w:spacing w:line="259" w:lineRule="auto"/>
              <w:ind w:left="59"/>
              <w:jc w:val="center"/>
              <w:rPr>
                <w:rFonts w:asciiTheme="minorHAnsi" w:hAnsiTheme="minorHAnsi"/>
                <w:sz w:val="18"/>
                <w:szCs w:val="18"/>
              </w:rPr>
            </w:pPr>
            <w:r w:rsidRPr="00634E4C">
              <w:rPr>
                <w:sz w:val="18"/>
              </w:rPr>
              <w:t>10</w:t>
            </w:r>
          </w:p>
        </w:tc>
        <w:tc>
          <w:tcPr>
            <w:tcW w:w="780" w:type="dxa"/>
            <w:tcBorders>
              <w:top w:val="single" w:sz="2" w:space="0" w:color="000000"/>
              <w:left w:val="single" w:sz="2" w:space="0" w:color="000000"/>
              <w:bottom w:val="single" w:sz="2" w:space="0" w:color="000000"/>
              <w:right w:val="single" w:sz="2" w:space="0" w:color="000000"/>
            </w:tcBorders>
            <w:vAlign w:val="center"/>
          </w:tcPr>
          <w:p w14:paraId="6AC14F42"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9.4 </w:t>
            </w:r>
          </w:p>
        </w:tc>
        <w:tc>
          <w:tcPr>
            <w:tcW w:w="780" w:type="dxa"/>
            <w:tcBorders>
              <w:top w:val="single" w:sz="2" w:space="0" w:color="000000"/>
              <w:left w:val="single" w:sz="2" w:space="0" w:color="000000"/>
              <w:bottom w:val="single" w:sz="2" w:space="0" w:color="000000"/>
              <w:right w:val="single" w:sz="2" w:space="0" w:color="000000"/>
            </w:tcBorders>
            <w:vAlign w:val="center"/>
          </w:tcPr>
          <w:p w14:paraId="150A746A"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10.4 </w:t>
            </w:r>
          </w:p>
        </w:tc>
        <w:tc>
          <w:tcPr>
            <w:tcW w:w="780" w:type="dxa"/>
            <w:tcBorders>
              <w:top w:val="single" w:sz="2" w:space="0" w:color="000000"/>
              <w:left w:val="single" w:sz="2" w:space="0" w:color="000000"/>
              <w:bottom w:val="single" w:sz="2" w:space="0" w:color="000000"/>
              <w:right w:val="single" w:sz="2" w:space="0" w:color="000000"/>
            </w:tcBorders>
            <w:vAlign w:val="center"/>
          </w:tcPr>
          <w:p w14:paraId="4D20CD64"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10.4 </w:t>
            </w:r>
          </w:p>
        </w:tc>
        <w:tc>
          <w:tcPr>
            <w:tcW w:w="780" w:type="dxa"/>
            <w:tcBorders>
              <w:top w:val="single" w:sz="2" w:space="0" w:color="000000"/>
              <w:left w:val="single" w:sz="2" w:space="0" w:color="000000"/>
              <w:bottom w:val="single" w:sz="2" w:space="0" w:color="000000"/>
              <w:right w:val="single" w:sz="2" w:space="0" w:color="000000"/>
            </w:tcBorders>
            <w:vAlign w:val="center"/>
          </w:tcPr>
          <w:p w14:paraId="7E7448B8"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10.4 </w:t>
            </w:r>
          </w:p>
        </w:tc>
        <w:tc>
          <w:tcPr>
            <w:tcW w:w="780" w:type="dxa"/>
            <w:tcBorders>
              <w:top w:val="single" w:sz="2" w:space="0" w:color="000000"/>
              <w:left w:val="single" w:sz="2" w:space="0" w:color="000000"/>
              <w:bottom w:val="single" w:sz="2" w:space="0" w:color="000000"/>
              <w:right w:val="single" w:sz="2" w:space="0" w:color="000000"/>
            </w:tcBorders>
            <w:vAlign w:val="center"/>
          </w:tcPr>
          <w:p w14:paraId="4E16C16A" w14:textId="77777777" w:rsidR="00833524" w:rsidRPr="00364545" w:rsidRDefault="00833524" w:rsidP="00E56269">
            <w:pPr>
              <w:spacing w:line="259" w:lineRule="auto"/>
              <w:ind w:left="59"/>
              <w:jc w:val="center"/>
              <w:rPr>
                <w:rFonts w:asciiTheme="minorHAnsi" w:hAnsiTheme="minorHAnsi"/>
                <w:sz w:val="18"/>
                <w:szCs w:val="18"/>
              </w:rPr>
            </w:pPr>
            <w:r w:rsidRPr="00364545">
              <w:rPr>
                <w:rFonts w:asciiTheme="minorHAnsi" w:hAnsiTheme="minorHAnsi"/>
                <w:sz w:val="18"/>
              </w:rPr>
              <w:t xml:space="preserve">10.5 </w:t>
            </w:r>
          </w:p>
        </w:tc>
      </w:tr>
      <w:tr w:rsidR="00833524" w:rsidRPr="00364545" w14:paraId="258B81C5" w14:textId="77777777" w:rsidTr="00E56269">
        <w:trPr>
          <w:trHeight w:val="344"/>
        </w:trPr>
        <w:tc>
          <w:tcPr>
            <w:tcW w:w="866" w:type="dxa"/>
            <w:tcBorders>
              <w:top w:val="single" w:sz="2" w:space="0" w:color="000000"/>
              <w:left w:val="single" w:sz="2" w:space="0" w:color="000000"/>
              <w:bottom w:val="single" w:sz="2" w:space="0" w:color="000000"/>
              <w:right w:val="single" w:sz="2" w:space="0" w:color="000000"/>
            </w:tcBorders>
            <w:shd w:val="clear" w:color="auto" w:fill="ECE6E2"/>
          </w:tcPr>
          <w:p w14:paraId="551A6E00" w14:textId="77777777" w:rsidR="00833524" w:rsidRPr="00364545" w:rsidRDefault="00833524" w:rsidP="00E56269">
            <w:pPr>
              <w:spacing w:line="259" w:lineRule="auto"/>
              <w:rPr>
                <w:rFonts w:asciiTheme="minorHAnsi" w:hAnsiTheme="minorHAnsi"/>
                <w:b/>
                <w:sz w:val="18"/>
                <w:szCs w:val="18"/>
              </w:rPr>
            </w:pPr>
            <w:r w:rsidRPr="00364545">
              <w:rPr>
                <w:rFonts w:asciiTheme="minorHAnsi" w:hAnsiTheme="minorHAnsi"/>
                <w:b/>
                <w:sz w:val="18"/>
              </w:rPr>
              <w:t xml:space="preserve">Ensemble (hors UTCF)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1FAE411"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544086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0C59DC"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536476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1E0262A"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549005</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24D98B"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551391</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3BAA3DB" w14:textId="77777777" w:rsidR="00833524" w:rsidRPr="00664108" w:rsidRDefault="00833524" w:rsidP="00E56269">
            <w:pPr>
              <w:spacing w:line="259" w:lineRule="auto"/>
              <w:ind w:left="64"/>
              <w:jc w:val="center"/>
              <w:rPr>
                <w:rFonts w:asciiTheme="minorHAnsi" w:hAnsiTheme="minorHAnsi"/>
                <w:b/>
                <w:sz w:val="18"/>
                <w:szCs w:val="18"/>
              </w:rPr>
            </w:pPr>
            <w:r w:rsidRPr="00664108">
              <w:rPr>
                <w:b/>
                <w:sz w:val="18"/>
                <w:szCs w:val="18"/>
              </w:rPr>
              <w:t>507468</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A2CD3C9"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457924</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C5ADF2"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434540</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EAEF448" w14:textId="77777777" w:rsidR="00833524" w:rsidRPr="00364545" w:rsidRDefault="00833524" w:rsidP="00E56269">
            <w:pPr>
              <w:spacing w:line="259" w:lineRule="auto"/>
              <w:ind w:left="59"/>
              <w:jc w:val="center"/>
              <w:rPr>
                <w:rFonts w:asciiTheme="minorHAnsi" w:hAnsiTheme="minorHAnsi"/>
                <w:b/>
                <w:sz w:val="18"/>
                <w:szCs w:val="18"/>
              </w:rPr>
            </w:pPr>
            <w:r w:rsidRPr="00364545">
              <w:rPr>
                <w:rFonts w:asciiTheme="minorHAnsi" w:hAnsiTheme="minorHAnsi"/>
                <w:b/>
                <w:sz w:val="18"/>
              </w:rPr>
              <w:t xml:space="preserve">398676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DE400E" w14:textId="77777777" w:rsidR="00833524" w:rsidRPr="00364545" w:rsidRDefault="00833524" w:rsidP="00E56269">
            <w:pPr>
              <w:spacing w:line="259" w:lineRule="auto"/>
              <w:ind w:left="59"/>
              <w:rPr>
                <w:rFonts w:asciiTheme="minorHAnsi" w:hAnsiTheme="minorHAnsi"/>
                <w:b/>
                <w:sz w:val="18"/>
                <w:szCs w:val="18"/>
              </w:rPr>
            </w:pPr>
            <w:r w:rsidRPr="00364545">
              <w:rPr>
                <w:rFonts w:asciiTheme="minorHAnsi" w:hAnsiTheme="minorHAnsi"/>
                <w:b/>
                <w:sz w:val="18"/>
              </w:rPr>
              <w:t xml:space="preserve">392095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4C2104" w14:textId="77777777" w:rsidR="00833524" w:rsidRPr="00364545" w:rsidRDefault="00833524" w:rsidP="00E56269">
            <w:pPr>
              <w:spacing w:line="259" w:lineRule="auto"/>
              <w:ind w:left="59"/>
              <w:rPr>
                <w:rFonts w:asciiTheme="minorHAnsi" w:hAnsiTheme="minorHAnsi"/>
                <w:b/>
                <w:sz w:val="18"/>
                <w:szCs w:val="18"/>
              </w:rPr>
            </w:pPr>
            <w:r w:rsidRPr="00364545">
              <w:rPr>
                <w:rFonts w:asciiTheme="minorHAnsi" w:hAnsiTheme="minorHAnsi"/>
                <w:b/>
                <w:sz w:val="18"/>
              </w:rPr>
              <w:t xml:space="preserve">367049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9B7EAE" w14:textId="77777777" w:rsidR="00833524" w:rsidRPr="00364545" w:rsidRDefault="00833524" w:rsidP="00E56269">
            <w:pPr>
              <w:spacing w:line="259" w:lineRule="auto"/>
              <w:ind w:left="59"/>
              <w:rPr>
                <w:rFonts w:asciiTheme="minorHAnsi" w:hAnsiTheme="minorHAnsi"/>
                <w:b/>
                <w:sz w:val="18"/>
                <w:szCs w:val="18"/>
              </w:rPr>
            </w:pPr>
            <w:r w:rsidRPr="00364545">
              <w:rPr>
                <w:rFonts w:asciiTheme="minorHAnsi" w:hAnsiTheme="minorHAnsi"/>
                <w:b/>
                <w:sz w:val="18"/>
              </w:rPr>
              <w:t xml:space="preserve">354446 </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57A617" w14:textId="77777777" w:rsidR="00833524" w:rsidRPr="00364545" w:rsidRDefault="00833524" w:rsidP="00E56269">
            <w:pPr>
              <w:spacing w:line="259" w:lineRule="auto"/>
              <w:ind w:left="59"/>
              <w:rPr>
                <w:rFonts w:asciiTheme="minorHAnsi" w:hAnsiTheme="minorHAnsi"/>
                <w:b/>
                <w:sz w:val="18"/>
                <w:szCs w:val="18"/>
              </w:rPr>
            </w:pPr>
            <w:r w:rsidRPr="00364545">
              <w:rPr>
                <w:rFonts w:asciiTheme="minorHAnsi" w:hAnsiTheme="minorHAnsi"/>
                <w:b/>
                <w:sz w:val="18"/>
              </w:rPr>
              <w:t xml:space="preserve">329653 </w:t>
            </w:r>
          </w:p>
        </w:tc>
      </w:tr>
      <w:tr w:rsidR="00833524" w:rsidRPr="00364545" w14:paraId="7931EBBC" w14:textId="77777777" w:rsidTr="00E56269">
        <w:trPr>
          <w:trHeight w:val="346"/>
        </w:trPr>
        <w:tc>
          <w:tcPr>
            <w:tcW w:w="866" w:type="dxa"/>
            <w:tcBorders>
              <w:top w:val="single" w:sz="2" w:space="0" w:color="000000"/>
              <w:left w:val="single" w:sz="2" w:space="0" w:color="000000"/>
              <w:bottom w:val="single" w:sz="2" w:space="0" w:color="000000"/>
              <w:right w:val="single" w:sz="2" w:space="0" w:color="000000"/>
            </w:tcBorders>
          </w:tcPr>
          <w:p w14:paraId="73FE2BFE" w14:textId="77777777" w:rsidR="00833524" w:rsidRPr="00364545" w:rsidRDefault="00833524" w:rsidP="00E56269">
            <w:pPr>
              <w:spacing w:line="259" w:lineRule="auto"/>
              <w:rPr>
                <w:rFonts w:asciiTheme="minorHAnsi" w:hAnsiTheme="minorHAnsi"/>
                <w:b/>
                <w:sz w:val="18"/>
                <w:szCs w:val="18"/>
              </w:rPr>
            </w:pPr>
            <w:r w:rsidRPr="00364545">
              <w:rPr>
                <w:rFonts w:asciiTheme="minorHAnsi" w:hAnsiTheme="minorHAnsi"/>
                <w:b/>
                <w:sz w:val="18"/>
              </w:rPr>
              <w:t xml:space="preserve">Ensemble (avec UTCF) </w:t>
            </w:r>
          </w:p>
        </w:tc>
        <w:tc>
          <w:tcPr>
            <w:tcW w:w="780" w:type="dxa"/>
            <w:tcBorders>
              <w:top w:val="single" w:sz="2" w:space="0" w:color="000000"/>
              <w:left w:val="single" w:sz="2" w:space="0" w:color="000000"/>
              <w:bottom w:val="single" w:sz="2" w:space="0" w:color="000000"/>
              <w:right w:val="single" w:sz="2" w:space="0" w:color="000000"/>
            </w:tcBorders>
            <w:vAlign w:val="center"/>
          </w:tcPr>
          <w:p w14:paraId="78EAAFC6"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520100</w:t>
            </w:r>
          </w:p>
        </w:tc>
        <w:tc>
          <w:tcPr>
            <w:tcW w:w="731" w:type="dxa"/>
            <w:tcBorders>
              <w:top w:val="single" w:sz="2" w:space="0" w:color="000000"/>
              <w:left w:val="single" w:sz="2" w:space="0" w:color="000000"/>
              <w:bottom w:val="single" w:sz="2" w:space="0" w:color="000000"/>
              <w:right w:val="single" w:sz="2" w:space="0" w:color="000000"/>
            </w:tcBorders>
            <w:vAlign w:val="center"/>
          </w:tcPr>
          <w:p w14:paraId="5E662C8C"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511596</w:t>
            </w:r>
          </w:p>
        </w:tc>
        <w:tc>
          <w:tcPr>
            <w:tcW w:w="731" w:type="dxa"/>
            <w:tcBorders>
              <w:top w:val="single" w:sz="2" w:space="0" w:color="000000"/>
              <w:left w:val="single" w:sz="2" w:space="0" w:color="000000"/>
              <w:bottom w:val="single" w:sz="2" w:space="0" w:color="000000"/>
              <w:right w:val="single" w:sz="2" w:space="0" w:color="000000"/>
            </w:tcBorders>
            <w:vAlign w:val="center"/>
          </w:tcPr>
          <w:p w14:paraId="10C7ED2D"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529296</w:t>
            </w:r>
          </w:p>
        </w:tc>
        <w:tc>
          <w:tcPr>
            <w:tcW w:w="731" w:type="dxa"/>
            <w:tcBorders>
              <w:top w:val="single" w:sz="2" w:space="0" w:color="000000"/>
              <w:left w:val="single" w:sz="2" w:space="0" w:color="000000"/>
              <w:bottom w:val="single" w:sz="2" w:space="0" w:color="000000"/>
              <w:right w:val="single" w:sz="2" w:space="0" w:color="000000"/>
            </w:tcBorders>
            <w:vAlign w:val="center"/>
          </w:tcPr>
          <w:p w14:paraId="60E2838E"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504080</w:t>
            </w:r>
          </w:p>
        </w:tc>
        <w:tc>
          <w:tcPr>
            <w:tcW w:w="731" w:type="dxa"/>
            <w:tcBorders>
              <w:top w:val="single" w:sz="2" w:space="0" w:color="000000"/>
              <w:left w:val="single" w:sz="2" w:space="0" w:color="000000"/>
              <w:bottom w:val="single" w:sz="2" w:space="0" w:color="000000"/>
              <w:right w:val="single" w:sz="2" w:space="0" w:color="000000"/>
            </w:tcBorders>
            <w:vAlign w:val="center"/>
          </w:tcPr>
          <w:p w14:paraId="6CDDBEDE"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469113</w:t>
            </w:r>
          </w:p>
        </w:tc>
        <w:tc>
          <w:tcPr>
            <w:tcW w:w="731" w:type="dxa"/>
            <w:tcBorders>
              <w:top w:val="single" w:sz="2" w:space="0" w:color="000000"/>
              <w:left w:val="single" w:sz="2" w:space="0" w:color="000000"/>
              <w:bottom w:val="single" w:sz="2" w:space="0" w:color="000000"/>
              <w:right w:val="single" w:sz="2" w:space="0" w:color="000000"/>
            </w:tcBorders>
            <w:vAlign w:val="center"/>
          </w:tcPr>
          <w:p w14:paraId="11F03427"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423346</w:t>
            </w:r>
          </w:p>
        </w:tc>
        <w:tc>
          <w:tcPr>
            <w:tcW w:w="736" w:type="dxa"/>
            <w:tcBorders>
              <w:top w:val="single" w:sz="2" w:space="0" w:color="000000"/>
              <w:left w:val="single" w:sz="2" w:space="0" w:color="000000"/>
              <w:bottom w:val="single" w:sz="2" w:space="0" w:color="000000"/>
              <w:right w:val="single" w:sz="2" w:space="0" w:color="000000"/>
            </w:tcBorders>
            <w:vAlign w:val="center"/>
          </w:tcPr>
          <w:p w14:paraId="470D660E" w14:textId="77777777" w:rsidR="00833524" w:rsidRPr="00664108" w:rsidRDefault="00833524" w:rsidP="00E56269">
            <w:pPr>
              <w:spacing w:line="259" w:lineRule="auto"/>
              <w:ind w:left="59"/>
              <w:jc w:val="center"/>
              <w:rPr>
                <w:rFonts w:asciiTheme="minorHAnsi" w:hAnsiTheme="minorHAnsi"/>
                <w:b/>
                <w:sz w:val="18"/>
                <w:szCs w:val="18"/>
              </w:rPr>
            </w:pPr>
            <w:r w:rsidRPr="00664108">
              <w:rPr>
                <w:b/>
                <w:sz w:val="18"/>
                <w:szCs w:val="18"/>
              </w:rPr>
              <w:t>422252</w:t>
            </w:r>
          </w:p>
        </w:tc>
        <w:tc>
          <w:tcPr>
            <w:tcW w:w="780" w:type="dxa"/>
            <w:tcBorders>
              <w:top w:val="single" w:sz="2" w:space="0" w:color="000000"/>
              <w:left w:val="single" w:sz="2" w:space="0" w:color="000000"/>
              <w:bottom w:val="single" w:sz="2" w:space="0" w:color="000000"/>
              <w:right w:val="single" w:sz="2" w:space="0" w:color="000000"/>
            </w:tcBorders>
            <w:vAlign w:val="center"/>
          </w:tcPr>
          <w:p w14:paraId="6810EF2A" w14:textId="77777777" w:rsidR="00833524" w:rsidRPr="00364545" w:rsidRDefault="00833524" w:rsidP="00E56269">
            <w:pPr>
              <w:spacing w:line="259" w:lineRule="auto"/>
              <w:rPr>
                <w:rFonts w:asciiTheme="minorHAnsi" w:hAnsiTheme="minorHAnsi"/>
                <w:b/>
                <w:sz w:val="18"/>
                <w:szCs w:val="18"/>
              </w:rPr>
            </w:pPr>
            <w:r>
              <w:rPr>
                <w:rFonts w:asciiTheme="minorHAnsi" w:hAnsiTheme="minorHAnsi"/>
                <w:b/>
                <w:sz w:val="18"/>
              </w:rPr>
              <w:t xml:space="preserve"> </w:t>
            </w:r>
            <w:r w:rsidRPr="00364545">
              <w:rPr>
                <w:rFonts w:asciiTheme="minorHAnsi" w:hAnsiTheme="minorHAnsi"/>
                <w:b/>
                <w:sz w:val="18"/>
              </w:rPr>
              <w:t xml:space="preserve">365838 </w:t>
            </w:r>
          </w:p>
        </w:tc>
        <w:tc>
          <w:tcPr>
            <w:tcW w:w="780" w:type="dxa"/>
            <w:tcBorders>
              <w:top w:val="single" w:sz="2" w:space="0" w:color="000000"/>
              <w:left w:val="single" w:sz="2" w:space="0" w:color="000000"/>
              <w:bottom w:val="single" w:sz="2" w:space="0" w:color="000000"/>
              <w:right w:val="single" w:sz="2" w:space="0" w:color="000000"/>
            </w:tcBorders>
            <w:vAlign w:val="center"/>
          </w:tcPr>
          <w:p w14:paraId="6CB4146B" w14:textId="77777777" w:rsidR="00833524" w:rsidRPr="00364545" w:rsidRDefault="00833524" w:rsidP="00E56269">
            <w:pPr>
              <w:spacing w:line="259" w:lineRule="auto"/>
              <w:ind w:left="59"/>
              <w:rPr>
                <w:rFonts w:asciiTheme="minorHAnsi" w:hAnsiTheme="minorHAnsi"/>
                <w:b/>
                <w:sz w:val="18"/>
                <w:szCs w:val="18"/>
              </w:rPr>
            </w:pPr>
            <w:r w:rsidRPr="00364545">
              <w:rPr>
                <w:rFonts w:asciiTheme="minorHAnsi" w:hAnsiTheme="minorHAnsi"/>
                <w:b/>
                <w:sz w:val="18"/>
              </w:rPr>
              <w:t xml:space="preserve">363349 </w:t>
            </w:r>
          </w:p>
        </w:tc>
        <w:tc>
          <w:tcPr>
            <w:tcW w:w="780" w:type="dxa"/>
            <w:tcBorders>
              <w:top w:val="single" w:sz="2" w:space="0" w:color="000000"/>
              <w:left w:val="single" w:sz="2" w:space="0" w:color="000000"/>
              <w:bottom w:val="single" w:sz="2" w:space="0" w:color="000000"/>
              <w:right w:val="single" w:sz="2" w:space="0" w:color="000000"/>
            </w:tcBorders>
            <w:vAlign w:val="center"/>
          </w:tcPr>
          <w:p w14:paraId="538037DE" w14:textId="77777777" w:rsidR="00833524" w:rsidRPr="00364545" w:rsidRDefault="00833524" w:rsidP="00E56269">
            <w:pPr>
              <w:spacing w:line="259" w:lineRule="auto"/>
              <w:ind w:left="59"/>
              <w:rPr>
                <w:rFonts w:asciiTheme="minorHAnsi" w:hAnsiTheme="minorHAnsi"/>
                <w:b/>
                <w:sz w:val="18"/>
                <w:szCs w:val="18"/>
              </w:rPr>
            </w:pPr>
            <w:r w:rsidRPr="00364545">
              <w:rPr>
                <w:rFonts w:asciiTheme="minorHAnsi" w:hAnsiTheme="minorHAnsi"/>
                <w:b/>
                <w:sz w:val="18"/>
              </w:rPr>
              <w:t xml:space="preserve">340618 </w:t>
            </w:r>
          </w:p>
        </w:tc>
        <w:tc>
          <w:tcPr>
            <w:tcW w:w="780" w:type="dxa"/>
            <w:tcBorders>
              <w:top w:val="single" w:sz="2" w:space="0" w:color="000000"/>
              <w:left w:val="single" w:sz="2" w:space="0" w:color="000000"/>
              <w:bottom w:val="single" w:sz="2" w:space="0" w:color="000000"/>
              <w:right w:val="single" w:sz="2" w:space="0" w:color="000000"/>
            </w:tcBorders>
            <w:vAlign w:val="center"/>
          </w:tcPr>
          <w:p w14:paraId="78EC282C" w14:textId="77777777" w:rsidR="00833524" w:rsidRPr="00364545" w:rsidRDefault="00833524" w:rsidP="00E56269">
            <w:pPr>
              <w:spacing w:line="259" w:lineRule="auto"/>
              <w:ind w:left="63"/>
              <w:rPr>
                <w:rFonts w:asciiTheme="minorHAnsi" w:hAnsiTheme="minorHAnsi"/>
                <w:b/>
                <w:sz w:val="18"/>
                <w:szCs w:val="18"/>
              </w:rPr>
            </w:pPr>
            <w:r w:rsidRPr="00364545">
              <w:rPr>
                <w:rFonts w:asciiTheme="minorHAnsi" w:hAnsiTheme="minorHAnsi"/>
                <w:b/>
                <w:sz w:val="18"/>
              </w:rPr>
              <w:t xml:space="preserve">332886 </w:t>
            </w:r>
          </w:p>
        </w:tc>
        <w:tc>
          <w:tcPr>
            <w:tcW w:w="780" w:type="dxa"/>
            <w:tcBorders>
              <w:top w:val="single" w:sz="2" w:space="0" w:color="000000"/>
              <w:left w:val="single" w:sz="2" w:space="0" w:color="000000"/>
              <w:bottom w:val="single" w:sz="2" w:space="0" w:color="000000"/>
              <w:right w:val="single" w:sz="2" w:space="0" w:color="000000"/>
            </w:tcBorders>
            <w:vAlign w:val="center"/>
          </w:tcPr>
          <w:p w14:paraId="16CE08BD" w14:textId="77777777" w:rsidR="00833524" w:rsidRPr="00364545" w:rsidRDefault="00833524" w:rsidP="00E56269">
            <w:pPr>
              <w:spacing w:line="259" w:lineRule="auto"/>
              <w:ind w:left="63"/>
              <w:rPr>
                <w:rFonts w:asciiTheme="minorHAnsi" w:hAnsiTheme="minorHAnsi"/>
                <w:b/>
                <w:sz w:val="18"/>
                <w:szCs w:val="18"/>
              </w:rPr>
            </w:pPr>
            <w:r w:rsidRPr="00364545">
              <w:rPr>
                <w:rFonts w:asciiTheme="minorHAnsi" w:hAnsiTheme="minorHAnsi"/>
                <w:b/>
                <w:sz w:val="18"/>
              </w:rPr>
              <w:t xml:space="preserve">317026 </w:t>
            </w:r>
          </w:p>
        </w:tc>
      </w:tr>
    </w:tbl>
    <w:p w14:paraId="0B2D8A87" w14:textId="77777777" w:rsidR="00833524" w:rsidRPr="00364545" w:rsidRDefault="00833524" w:rsidP="00833524">
      <w:pPr>
        <w:pStyle w:val="Default"/>
        <w:rPr>
          <w:sz w:val="16"/>
          <w:szCs w:val="16"/>
        </w:rPr>
      </w:pPr>
      <w:r w:rsidRPr="00364545">
        <w:rPr>
          <w:i/>
          <w:sz w:val="16"/>
        </w:rPr>
        <w:t xml:space="preserve">Reading the table: Energy = category CRF1; industrial processes and solvents = category CRF2 and 3; agriculture (non-energy) = category CRF4; waste treatment = category CRF 6. </w:t>
      </w:r>
    </w:p>
    <w:p w14:paraId="6D282100" w14:textId="23DABD25" w:rsidR="00833524" w:rsidRPr="00364545" w:rsidRDefault="00833524" w:rsidP="00833524">
      <w:pPr>
        <w:pStyle w:val="Caption"/>
      </w:pPr>
      <w:r w:rsidRPr="00364545">
        <w:t xml:space="preserve">Table </w:t>
      </w:r>
      <w:fldSimple w:instr=" SEQ Tableau \* ARABIC ">
        <w:r w:rsidR="009A2FAA">
          <w:rPr>
            <w:noProof/>
          </w:rPr>
          <w:t>17</w:t>
        </w:r>
      </w:fldSimple>
      <w:r w:rsidRPr="00364545">
        <w:t>: GHG emissions projections by gas (in ktCO</w:t>
      </w:r>
      <w:r w:rsidRPr="00364545">
        <w:rPr>
          <w:vertAlign w:val="subscript"/>
        </w:rPr>
        <w:t>2e</w:t>
      </w:r>
      <w:r w:rsidRPr="00364545">
        <w:t>) in the Kyoto scope in the AME 2021 scenario (with existing measures)</w:t>
      </w:r>
    </w:p>
    <w:p w14:paraId="3786F38A" w14:textId="77777777" w:rsidR="00833524" w:rsidRPr="00364545" w:rsidRDefault="00833524" w:rsidP="00833524">
      <w:pPr>
        <w:pStyle w:val="Caption"/>
      </w:pPr>
      <w:r w:rsidRPr="00364545">
        <w:t>Source: UN</w:t>
      </w:r>
      <w:r>
        <w:t>FCCC inventory, Citepa/MTE, 2022</w:t>
      </w:r>
      <w:r w:rsidRPr="00364545">
        <w:t xml:space="preserve"> submission and MTE emission projections, 2021</w:t>
      </w:r>
    </w:p>
    <w:p w14:paraId="4F39B665" w14:textId="77777777" w:rsidR="00833524" w:rsidRDefault="00833524" w:rsidP="00833524">
      <w:pPr>
        <w:pStyle w:val="Caption"/>
      </w:pPr>
      <w:r>
        <w:rPr>
          <w:noProof/>
          <w:lang w:val="fr-FR"/>
        </w:rPr>
        <w:drawing>
          <wp:inline distT="0" distB="0" distL="0" distR="0" wp14:anchorId="7DDCC304" wp14:editId="19327946">
            <wp:extent cx="6553200" cy="3767667"/>
            <wp:effectExtent l="0" t="0" r="0" b="4445"/>
            <wp:docPr id="28701" name="Graphique 287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7417228B" w14:textId="2AEC7E20" w:rsidR="00833524" w:rsidRPr="00364545" w:rsidRDefault="00833524" w:rsidP="00833524">
      <w:pPr>
        <w:pStyle w:val="Caption"/>
      </w:pPr>
      <w:r w:rsidRPr="00364545">
        <w:t xml:space="preserve">Figure </w:t>
      </w:r>
      <w:fldSimple w:instr=" SEQ Figure \* ARABIC ">
        <w:r w:rsidR="009A2FAA">
          <w:rPr>
            <w:noProof/>
          </w:rPr>
          <w:t>58</w:t>
        </w:r>
      </w:fldSimple>
      <w:r w:rsidRPr="00364545">
        <w:t>: Projection by gas, excluding LULUCF in ktCO</w:t>
      </w:r>
      <w:r w:rsidRPr="00364545">
        <w:rPr>
          <w:vertAlign w:val="subscript"/>
        </w:rPr>
        <w:t>2e</w:t>
      </w:r>
      <w:r w:rsidRPr="00364545">
        <w:t>, in the Kyoto format, AME 2021 scenario</w:t>
      </w:r>
    </w:p>
    <w:p w14:paraId="3695373E" w14:textId="77777777" w:rsidR="00833524" w:rsidRPr="00364545" w:rsidRDefault="00833524" w:rsidP="00833524">
      <w:pPr>
        <w:pStyle w:val="Caption"/>
      </w:pPr>
      <w:r w:rsidRPr="00364545">
        <w:t>Source: UN</w:t>
      </w:r>
      <w:r>
        <w:t>FCCC inventory, Citepa/MTE, 2022</w:t>
      </w:r>
      <w:r w:rsidRPr="00364545">
        <w:t xml:space="preserve"> submission and MTE emission projections, 2021 </w:t>
      </w:r>
    </w:p>
    <w:p w14:paraId="15750C09" w14:textId="77777777" w:rsidR="00833524" w:rsidRDefault="00833524" w:rsidP="00833524">
      <w:pPr>
        <w:pStyle w:val="Caption"/>
      </w:pPr>
      <w:r>
        <w:rPr>
          <w:noProof/>
          <w:lang w:val="fr-FR"/>
        </w:rPr>
        <w:drawing>
          <wp:inline distT="0" distB="0" distL="0" distR="0" wp14:anchorId="40633FFB" wp14:editId="3A9A59F3">
            <wp:extent cx="6318250" cy="3420533"/>
            <wp:effectExtent l="0" t="0" r="6350" b="8890"/>
            <wp:docPr id="28702" name="Graphique 287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65B65D3" w14:textId="096DFE3C" w:rsidR="00833524" w:rsidRPr="00364545" w:rsidRDefault="00833524" w:rsidP="00833524">
      <w:pPr>
        <w:pStyle w:val="Caption"/>
      </w:pPr>
      <w:r w:rsidRPr="00364545">
        <w:t xml:space="preserve">Figure </w:t>
      </w:r>
      <w:fldSimple w:instr=" SEQ Figure \* ARABIC ">
        <w:r w:rsidR="009A2FAA">
          <w:rPr>
            <w:noProof/>
          </w:rPr>
          <w:t>59</w:t>
        </w:r>
      </w:fldSimple>
      <w:r w:rsidRPr="00364545">
        <w:t>: Projection by gas, including LULUCF in ktCO</w:t>
      </w:r>
      <w:r w:rsidRPr="00364545">
        <w:rPr>
          <w:vertAlign w:val="subscript"/>
        </w:rPr>
        <w:t>2e</w:t>
      </w:r>
      <w:r w:rsidRPr="00364545">
        <w:t>, in the Kyoto format, AME 2021 scenario</w:t>
      </w:r>
    </w:p>
    <w:p w14:paraId="3B5E1E1A" w14:textId="77777777" w:rsidR="00833524" w:rsidRPr="00364545" w:rsidRDefault="00833524" w:rsidP="00833524">
      <w:pPr>
        <w:pStyle w:val="Caption"/>
      </w:pPr>
      <w:r w:rsidRPr="00364545">
        <w:t>Source: UNF</w:t>
      </w:r>
      <w:r>
        <w:t>CCC inventory, Citepa/MTES, 2022</w:t>
      </w:r>
      <w:r w:rsidRPr="00364545">
        <w:t xml:space="preserve"> submission and MTES emission projections, 2021</w:t>
      </w:r>
    </w:p>
    <w:p w14:paraId="24B5AC1B" w14:textId="77777777" w:rsidR="00833524" w:rsidRPr="00364545" w:rsidRDefault="00833524" w:rsidP="00833524"/>
    <w:p w14:paraId="6898476C" w14:textId="77777777" w:rsidR="00833524" w:rsidRPr="00364545" w:rsidRDefault="00833524" w:rsidP="00833524">
      <w:pPr>
        <w:pStyle w:val="titreencadre"/>
        <w:numPr>
          <w:ilvl w:val="3"/>
          <w:numId w:val="78"/>
        </w:numPr>
      </w:pPr>
      <w:r w:rsidRPr="00364545">
        <w:t>AMS 2018</w:t>
      </w:r>
    </w:p>
    <w:p w14:paraId="34F8DC3E" w14:textId="77777777" w:rsidR="00833524" w:rsidRPr="00364545" w:rsidRDefault="00833524" w:rsidP="00833524"/>
    <w:tbl>
      <w:tblPr>
        <w:tblStyle w:val="TableGrid0"/>
        <w:tblpPr w:leftFromText="141" w:rightFromText="141" w:vertAnchor="text" w:tblpXSpec="center" w:tblpY="1"/>
        <w:tblOverlap w:val="never"/>
        <w:tblW w:w="9944" w:type="dxa"/>
        <w:tblInd w:w="0" w:type="dxa"/>
        <w:tblLayout w:type="fixed"/>
        <w:tblCellMar>
          <w:top w:w="106" w:type="dxa"/>
          <w:left w:w="27" w:type="dxa"/>
        </w:tblCellMar>
        <w:tblLook w:val="04A0" w:firstRow="1" w:lastRow="0" w:firstColumn="1" w:lastColumn="0" w:noHBand="0" w:noVBand="1"/>
      </w:tblPr>
      <w:tblGrid>
        <w:gridCol w:w="854"/>
        <w:gridCol w:w="757"/>
        <w:gridCol w:w="758"/>
        <w:gridCol w:w="757"/>
        <w:gridCol w:w="758"/>
        <w:gridCol w:w="757"/>
        <w:gridCol w:w="758"/>
        <w:gridCol w:w="757"/>
        <w:gridCol w:w="758"/>
        <w:gridCol w:w="757"/>
        <w:gridCol w:w="758"/>
        <w:gridCol w:w="757"/>
        <w:gridCol w:w="758"/>
      </w:tblGrid>
      <w:tr w:rsidR="00907F15" w:rsidRPr="00364545" w14:paraId="5606E654" w14:textId="77777777" w:rsidTr="00907F15">
        <w:trPr>
          <w:trHeight w:val="401"/>
        </w:trPr>
        <w:tc>
          <w:tcPr>
            <w:tcW w:w="854" w:type="dxa"/>
            <w:tcBorders>
              <w:top w:val="single" w:sz="2" w:space="0" w:color="000000"/>
              <w:left w:val="single" w:sz="2" w:space="0" w:color="000000"/>
              <w:bottom w:val="single" w:sz="2" w:space="0" w:color="000000"/>
              <w:right w:val="single" w:sz="2" w:space="0" w:color="000000"/>
            </w:tcBorders>
            <w:shd w:val="clear" w:color="auto" w:fill="6D2A78"/>
          </w:tcPr>
          <w:p w14:paraId="4A26007A" w14:textId="77777777" w:rsidR="00833524" w:rsidRPr="00364545" w:rsidRDefault="00833524" w:rsidP="00E56269">
            <w:pPr>
              <w:spacing w:line="259" w:lineRule="auto"/>
              <w:rPr>
                <w:b/>
              </w:rPr>
            </w:pPr>
            <w:r w:rsidRPr="00364545">
              <w:rPr>
                <w:b/>
                <w:color w:val="FFFFFF" w:themeColor="background1"/>
              </w:rPr>
              <w:t>AMS 2018</w:t>
            </w:r>
          </w:p>
        </w:tc>
        <w:tc>
          <w:tcPr>
            <w:tcW w:w="757" w:type="dxa"/>
            <w:tcBorders>
              <w:top w:val="single" w:sz="2" w:space="0" w:color="000000"/>
              <w:left w:val="single" w:sz="2" w:space="0" w:color="000000"/>
              <w:bottom w:val="single" w:sz="2" w:space="0" w:color="000000"/>
              <w:right w:val="single" w:sz="2" w:space="0" w:color="000000"/>
            </w:tcBorders>
            <w:shd w:val="clear" w:color="auto" w:fill="6D2A78"/>
          </w:tcPr>
          <w:p w14:paraId="2EED2CE0" w14:textId="77777777" w:rsidR="00833524" w:rsidRPr="00364545" w:rsidRDefault="00833524" w:rsidP="00E56269">
            <w:pPr>
              <w:spacing w:line="259" w:lineRule="auto"/>
              <w:ind w:right="23"/>
              <w:jc w:val="center"/>
            </w:pPr>
            <w:r w:rsidRPr="00364545">
              <w:rPr>
                <w:b/>
                <w:color w:val="FFFFFF"/>
                <w:sz w:val="18"/>
              </w:rPr>
              <w:t xml:space="preserve">1990 </w:t>
            </w:r>
          </w:p>
        </w:tc>
        <w:tc>
          <w:tcPr>
            <w:tcW w:w="758" w:type="dxa"/>
            <w:tcBorders>
              <w:top w:val="single" w:sz="2" w:space="0" w:color="000000"/>
              <w:left w:val="single" w:sz="2" w:space="0" w:color="000000"/>
              <w:bottom w:val="single" w:sz="2" w:space="0" w:color="000000"/>
              <w:right w:val="single" w:sz="2" w:space="0" w:color="000000"/>
            </w:tcBorders>
            <w:shd w:val="clear" w:color="auto" w:fill="6D2A78"/>
          </w:tcPr>
          <w:p w14:paraId="5BDF5E12" w14:textId="77777777" w:rsidR="00833524" w:rsidRPr="00364545" w:rsidRDefault="00833524" w:rsidP="00E56269">
            <w:pPr>
              <w:spacing w:line="259" w:lineRule="auto"/>
              <w:ind w:right="26"/>
              <w:jc w:val="center"/>
              <w:rPr>
                <w:b/>
                <w:color w:val="FFFFFF"/>
                <w:sz w:val="18"/>
              </w:rPr>
            </w:pPr>
            <w:r w:rsidRPr="00364545">
              <w:rPr>
                <w:b/>
                <w:color w:val="FFFFFF"/>
                <w:sz w:val="18"/>
              </w:rPr>
              <w:t>1995</w:t>
            </w:r>
          </w:p>
        </w:tc>
        <w:tc>
          <w:tcPr>
            <w:tcW w:w="757" w:type="dxa"/>
            <w:tcBorders>
              <w:top w:val="single" w:sz="2" w:space="0" w:color="000000"/>
              <w:left w:val="single" w:sz="2" w:space="0" w:color="000000"/>
              <w:bottom w:val="single" w:sz="2" w:space="0" w:color="000000"/>
              <w:right w:val="single" w:sz="2" w:space="0" w:color="000000"/>
            </w:tcBorders>
            <w:shd w:val="clear" w:color="auto" w:fill="6D2A78"/>
          </w:tcPr>
          <w:p w14:paraId="2328CA6F" w14:textId="77777777" w:rsidR="00833524" w:rsidRPr="00364545" w:rsidRDefault="00833524" w:rsidP="00E56269">
            <w:pPr>
              <w:spacing w:line="259" w:lineRule="auto"/>
              <w:ind w:right="26"/>
              <w:jc w:val="center"/>
            </w:pPr>
            <w:r w:rsidRPr="00364545">
              <w:rPr>
                <w:b/>
                <w:color w:val="FFFFFF"/>
                <w:sz w:val="18"/>
              </w:rPr>
              <w:t xml:space="preserve">2000 </w:t>
            </w:r>
          </w:p>
        </w:tc>
        <w:tc>
          <w:tcPr>
            <w:tcW w:w="758" w:type="dxa"/>
            <w:tcBorders>
              <w:top w:val="single" w:sz="2" w:space="0" w:color="000000"/>
              <w:left w:val="single" w:sz="2" w:space="0" w:color="000000"/>
              <w:bottom w:val="single" w:sz="2" w:space="0" w:color="000000"/>
              <w:right w:val="single" w:sz="2" w:space="0" w:color="000000"/>
            </w:tcBorders>
            <w:shd w:val="clear" w:color="auto" w:fill="6D2A78"/>
          </w:tcPr>
          <w:p w14:paraId="6EEABB65" w14:textId="77777777" w:rsidR="00833524" w:rsidRPr="00364545" w:rsidRDefault="00833524" w:rsidP="00E56269">
            <w:pPr>
              <w:spacing w:line="259" w:lineRule="auto"/>
              <w:ind w:right="23"/>
              <w:jc w:val="center"/>
            </w:pPr>
            <w:r w:rsidRPr="00364545">
              <w:rPr>
                <w:b/>
                <w:color w:val="FFFFFF"/>
                <w:sz w:val="18"/>
              </w:rPr>
              <w:t xml:space="preserve">2005 </w:t>
            </w:r>
          </w:p>
        </w:tc>
        <w:tc>
          <w:tcPr>
            <w:tcW w:w="757" w:type="dxa"/>
            <w:tcBorders>
              <w:top w:val="single" w:sz="2" w:space="0" w:color="000000"/>
              <w:left w:val="single" w:sz="2" w:space="0" w:color="000000"/>
              <w:bottom w:val="single" w:sz="2" w:space="0" w:color="000000"/>
              <w:right w:val="single" w:sz="2" w:space="0" w:color="000000"/>
            </w:tcBorders>
            <w:shd w:val="clear" w:color="auto" w:fill="6D2A78"/>
          </w:tcPr>
          <w:p w14:paraId="3E23FEF0" w14:textId="77777777" w:rsidR="00833524" w:rsidRPr="00364545" w:rsidRDefault="00833524" w:rsidP="00E56269">
            <w:pPr>
              <w:spacing w:line="259" w:lineRule="auto"/>
              <w:ind w:right="26"/>
              <w:jc w:val="center"/>
            </w:pPr>
            <w:r w:rsidRPr="00364545">
              <w:rPr>
                <w:b/>
                <w:color w:val="FFFFFF"/>
                <w:sz w:val="18"/>
              </w:rPr>
              <w:t xml:space="preserve">2010 </w:t>
            </w:r>
          </w:p>
        </w:tc>
        <w:tc>
          <w:tcPr>
            <w:tcW w:w="758" w:type="dxa"/>
            <w:tcBorders>
              <w:top w:val="single" w:sz="2" w:space="0" w:color="000000"/>
              <w:left w:val="single" w:sz="2" w:space="0" w:color="000000"/>
              <w:bottom w:val="single" w:sz="2" w:space="0" w:color="000000"/>
              <w:right w:val="single" w:sz="2" w:space="0" w:color="000000"/>
            </w:tcBorders>
            <w:shd w:val="clear" w:color="auto" w:fill="6D2A78"/>
          </w:tcPr>
          <w:p w14:paraId="05F810BD" w14:textId="77777777" w:rsidR="00833524" w:rsidRPr="00364545" w:rsidRDefault="00833524" w:rsidP="00E56269">
            <w:pPr>
              <w:spacing w:line="259" w:lineRule="auto"/>
              <w:ind w:right="23"/>
              <w:jc w:val="center"/>
            </w:pPr>
            <w:r w:rsidRPr="00364545">
              <w:rPr>
                <w:b/>
                <w:color w:val="FFFFFF"/>
                <w:sz w:val="18"/>
              </w:rPr>
              <w:t xml:space="preserve">2015 </w:t>
            </w:r>
          </w:p>
        </w:tc>
        <w:tc>
          <w:tcPr>
            <w:tcW w:w="757" w:type="dxa"/>
            <w:tcBorders>
              <w:top w:val="single" w:sz="2" w:space="0" w:color="000000"/>
              <w:left w:val="single" w:sz="2" w:space="0" w:color="000000"/>
              <w:bottom w:val="single" w:sz="2" w:space="0" w:color="000000"/>
              <w:right w:val="single" w:sz="2" w:space="0" w:color="000000"/>
            </w:tcBorders>
            <w:shd w:val="clear" w:color="auto" w:fill="6D2A78"/>
          </w:tcPr>
          <w:p w14:paraId="18A6C415" w14:textId="77777777" w:rsidR="00833524" w:rsidRPr="00364545" w:rsidRDefault="00833524" w:rsidP="00E56269">
            <w:pPr>
              <w:spacing w:line="259" w:lineRule="auto"/>
              <w:ind w:right="26"/>
              <w:jc w:val="center"/>
              <w:rPr>
                <w:b/>
                <w:color w:val="FFFFFF"/>
                <w:sz w:val="18"/>
              </w:rPr>
            </w:pPr>
            <w:r>
              <w:rPr>
                <w:b/>
                <w:color w:val="FFFFFF"/>
                <w:sz w:val="18"/>
              </w:rPr>
              <w:t>2019</w:t>
            </w:r>
          </w:p>
        </w:tc>
        <w:tc>
          <w:tcPr>
            <w:tcW w:w="758" w:type="dxa"/>
            <w:tcBorders>
              <w:top w:val="single" w:sz="2" w:space="0" w:color="000000"/>
              <w:left w:val="single" w:sz="2" w:space="0" w:color="000000"/>
              <w:bottom w:val="single" w:sz="2" w:space="0" w:color="000000"/>
              <w:right w:val="single" w:sz="2" w:space="0" w:color="000000"/>
            </w:tcBorders>
            <w:shd w:val="clear" w:color="auto" w:fill="6D2A78"/>
          </w:tcPr>
          <w:p w14:paraId="50BD0D8E" w14:textId="77777777" w:rsidR="00833524" w:rsidRPr="00364545" w:rsidRDefault="00833524" w:rsidP="00E56269">
            <w:pPr>
              <w:spacing w:line="259" w:lineRule="auto"/>
              <w:ind w:right="26"/>
              <w:jc w:val="center"/>
            </w:pPr>
            <w:r w:rsidRPr="00364545">
              <w:rPr>
                <w:b/>
                <w:color w:val="FFFFFF"/>
                <w:sz w:val="18"/>
              </w:rPr>
              <w:t xml:space="preserve">2020 </w:t>
            </w:r>
          </w:p>
        </w:tc>
        <w:tc>
          <w:tcPr>
            <w:tcW w:w="757" w:type="dxa"/>
            <w:tcBorders>
              <w:top w:val="single" w:sz="2" w:space="0" w:color="000000"/>
              <w:left w:val="single" w:sz="2" w:space="0" w:color="000000"/>
              <w:bottom w:val="single" w:sz="2" w:space="0" w:color="000000"/>
              <w:right w:val="single" w:sz="2" w:space="0" w:color="000000"/>
            </w:tcBorders>
            <w:shd w:val="clear" w:color="auto" w:fill="6D2A78"/>
          </w:tcPr>
          <w:p w14:paraId="7FBDD5B3" w14:textId="77777777" w:rsidR="00833524" w:rsidRPr="00364545" w:rsidRDefault="00833524" w:rsidP="00E56269">
            <w:pPr>
              <w:spacing w:line="259" w:lineRule="auto"/>
              <w:ind w:right="23"/>
              <w:jc w:val="center"/>
            </w:pPr>
            <w:r w:rsidRPr="00364545">
              <w:rPr>
                <w:b/>
                <w:color w:val="FFFFFF"/>
                <w:sz w:val="18"/>
              </w:rPr>
              <w:t xml:space="preserve">2025 </w:t>
            </w:r>
          </w:p>
        </w:tc>
        <w:tc>
          <w:tcPr>
            <w:tcW w:w="758" w:type="dxa"/>
            <w:tcBorders>
              <w:top w:val="single" w:sz="2" w:space="0" w:color="000000"/>
              <w:left w:val="single" w:sz="2" w:space="0" w:color="000000"/>
              <w:bottom w:val="single" w:sz="2" w:space="0" w:color="000000"/>
              <w:right w:val="single" w:sz="2" w:space="0" w:color="000000"/>
            </w:tcBorders>
            <w:shd w:val="clear" w:color="auto" w:fill="6D2A78"/>
          </w:tcPr>
          <w:p w14:paraId="30BC416B" w14:textId="77777777" w:rsidR="00833524" w:rsidRPr="00364545" w:rsidRDefault="00833524" w:rsidP="00E56269">
            <w:pPr>
              <w:spacing w:line="259" w:lineRule="auto"/>
              <w:ind w:right="26"/>
              <w:jc w:val="center"/>
            </w:pPr>
            <w:r w:rsidRPr="00364545">
              <w:rPr>
                <w:b/>
                <w:color w:val="FFFFFF"/>
                <w:sz w:val="18"/>
              </w:rPr>
              <w:t xml:space="preserve">2030 </w:t>
            </w:r>
          </w:p>
        </w:tc>
        <w:tc>
          <w:tcPr>
            <w:tcW w:w="757" w:type="dxa"/>
            <w:tcBorders>
              <w:top w:val="single" w:sz="2" w:space="0" w:color="000000"/>
              <w:left w:val="single" w:sz="2" w:space="0" w:color="000000"/>
              <w:bottom w:val="single" w:sz="2" w:space="0" w:color="000000"/>
              <w:right w:val="single" w:sz="2" w:space="0" w:color="000000"/>
            </w:tcBorders>
            <w:shd w:val="clear" w:color="auto" w:fill="6D2A78"/>
          </w:tcPr>
          <w:p w14:paraId="4126766B" w14:textId="77777777" w:rsidR="00833524" w:rsidRPr="00364545" w:rsidRDefault="00833524" w:rsidP="00E56269">
            <w:pPr>
              <w:spacing w:line="259" w:lineRule="auto"/>
              <w:ind w:right="23"/>
              <w:jc w:val="center"/>
            </w:pPr>
            <w:r w:rsidRPr="00364545">
              <w:rPr>
                <w:b/>
                <w:color w:val="FFFFFF"/>
                <w:sz w:val="18"/>
              </w:rPr>
              <w:t xml:space="preserve">2035 </w:t>
            </w:r>
          </w:p>
        </w:tc>
        <w:tc>
          <w:tcPr>
            <w:tcW w:w="758" w:type="dxa"/>
            <w:tcBorders>
              <w:top w:val="single" w:sz="2" w:space="0" w:color="000000"/>
              <w:left w:val="single" w:sz="2" w:space="0" w:color="000000"/>
              <w:bottom w:val="single" w:sz="2" w:space="0" w:color="000000"/>
              <w:right w:val="single" w:sz="2" w:space="0" w:color="000000"/>
            </w:tcBorders>
            <w:shd w:val="clear" w:color="auto" w:fill="6D2A78"/>
          </w:tcPr>
          <w:p w14:paraId="7B99CAD2" w14:textId="77777777" w:rsidR="00833524" w:rsidRPr="00364545" w:rsidRDefault="00833524" w:rsidP="00E56269">
            <w:pPr>
              <w:spacing w:line="259" w:lineRule="auto"/>
              <w:ind w:right="23"/>
              <w:jc w:val="center"/>
              <w:rPr>
                <w:b/>
                <w:color w:val="FFFFFF"/>
                <w:sz w:val="18"/>
              </w:rPr>
            </w:pPr>
            <w:r w:rsidRPr="00364545">
              <w:rPr>
                <w:b/>
                <w:color w:val="FFFFFF"/>
                <w:sz w:val="18"/>
              </w:rPr>
              <w:t>2050</w:t>
            </w:r>
          </w:p>
        </w:tc>
      </w:tr>
      <w:tr w:rsidR="00833524" w:rsidRPr="00364545" w14:paraId="17269E26" w14:textId="77777777" w:rsidTr="000D1437">
        <w:trPr>
          <w:trHeight w:val="401"/>
        </w:trPr>
        <w:tc>
          <w:tcPr>
            <w:tcW w:w="854" w:type="dxa"/>
            <w:tcBorders>
              <w:top w:val="single" w:sz="2" w:space="0" w:color="000000"/>
              <w:left w:val="single" w:sz="2" w:space="0" w:color="000000"/>
              <w:bottom w:val="single" w:sz="2" w:space="0" w:color="000000"/>
              <w:right w:val="single" w:sz="2" w:space="0" w:color="000000"/>
            </w:tcBorders>
            <w:shd w:val="clear" w:color="auto" w:fill="6D2A78"/>
          </w:tcPr>
          <w:p w14:paraId="61BF1116" w14:textId="77777777" w:rsidR="00833524" w:rsidRPr="00364545" w:rsidRDefault="00833524" w:rsidP="00E56269">
            <w:pPr>
              <w:spacing w:line="259" w:lineRule="auto"/>
            </w:pPr>
            <w:r w:rsidRPr="00364545">
              <w:rPr>
                <w:color w:val="FFFFFF" w:themeColor="background1"/>
              </w:rPr>
              <w:t>kt</w:t>
            </w:r>
            <w:r w:rsidRPr="00634E4C">
              <w:rPr>
                <w:color w:val="FFFFFF" w:themeColor="background1"/>
              </w:rPr>
              <w:t>CO</w:t>
            </w:r>
            <w:r w:rsidRPr="00634E4C">
              <w:rPr>
                <w:color w:val="FFFFFF" w:themeColor="background1"/>
                <w:vertAlign w:val="subscript"/>
              </w:rPr>
              <w:t>2</w:t>
            </w:r>
            <w:r w:rsidRPr="00364545">
              <w:rPr>
                <w:color w:val="FFFFFF" w:themeColor="background1"/>
                <w:vertAlign w:val="subscript"/>
              </w:rPr>
              <w:t>e</w:t>
            </w:r>
          </w:p>
        </w:tc>
        <w:tc>
          <w:tcPr>
            <w:tcW w:w="4545" w:type="dxa"/>
            <w:gridSpan w:val="6"/>
            <w:tcBorders>
              <w:top w:val="single" w:sz="2" w:space="0" w:color="000000"/>
              <w:left w:val="single" w:sz="2" w:space="0" w:color="000000"/>
              <w:bottom w:val="single" w:sz="2" w:space="0" w:color="000000"/>
              <w:right w:val="single" w:sz="2" w:space="0" w:color="000000"/>
            </w:tcBorders>
            <w:shd w:val="clear" w:color="auto" w:fill="6D2A78"/>
          </w:tcPr>
          <w:p w14:paraId="79FF5A65" w14:textId="77777777" w:rsidR="00833524" w:rsidRPr="00364545" w:rsidRDefault="00833524" w:rsidP="00E56269">
            <w:pPr>
              <w:spacing w:line="259" w:lineRule="auto"/>
              <w:ind w:right="23"/>
              <w:jc w:val="center"/>
              <w:rPr>
                <w:b/>
                <w:color w:val="FFFFFF"/>
                <w:sz w:val="18"/>
              </w:rPr>
            </w:pPr>
            <w:r w:rsidRPr="00364545">
              <w:rPr>
                <w:b/>
                <w:color w:val="FFFFFF"/>
                <w:sz w:val="18"/>
              </w:rPr>
              <w:t>Observed</w:t>
            </w:r>
          </w:p>
        </w:tc>
        <w:tc>
          <w:tcPr>
            <w:tcW w:w="4545" w:type="dxa"/>
            <w:gridSpan w:val="6"/>
            <w:tcBorders>
              <w:top w:val="single" w:sz="2" w:space="0" w:color="000000"/>
              <w:left w:val="single" w:sz="2" w:space="0" w:color="000000"/>
              <w:bottom w:val="single" w:sz="2" w:space="0" w:color="000000"/>
              <w:right w:val="single" w:sz="2" w:space="0" w:color="000000"/>
            </w:tcBorders>
            <w:shd w:val="clear" w:color="auto" w:fill="6D2A78"/>
          </w:tcPr>
          <w:p w14:paraId="543BD9FD" w14:textId="77777777" w:rsidR="00833524" w:rsidRPr="00364545" w:rsidRDefault="00833524" w:rsidP="00E56269">
            <w:pPr>
              <w:spacing w:line="259" w:lineRule="auto"/>
              <w:ind w:right="23"/>
              <w:jc w:val="center"/>
              <w:rPr>
                <w:b/>
                <w:color w:val="FFFFFF"/>
                <w:sz w:val="18"/>
              </w:rPr>
            </w:pPr>
            <w:r w:rsidRPr="00364545">
              <w:rPr>
                <w:b/>
                <w:color w:val="FFFFFF"/>
                <w:sz w:val="18"/>
              </w:rPr>
              <w:t>Projected</w:t>
            </w:r>
          </w:p>
        </w:tc>
      </w:tr>
      <w:tr w:rsidR="00907F15" w:rsidRPr="00364545" w14:paraId="64465A37" w14:textId="77777777" w:rsidTr="00907F15">
        <w:trPr>
          <w:trHeight w:val="342"/>
        </w:trPr>
        <w:tc>
          <w:tcPr>
            <w:tcW w:w="854" w:type="dxa"/>
            <w:tcBorders>
              <w:top w:val="single" w:sz="2" w:space="0" w:color="000000"/>
              <w:left w:val="single" w:sz="2" w:space="0" w:color="000000"/>
              <w:bottom w:val="single" w:sz="2" w:space="0" w:color="000000"/>
              <w:right w:val="single" w:sz="2" w:space="0" w:color="000000"/>
            </w:tcBorders>
            <w:shd w:val="clear" w:color="auto" w:fill="ECE6E2"/>
          </w:tcPr>
          <w:p w14:paraId="3F8DC61C" w14:textId="77777777" w:rsidR="00907F15" w:rsidRPr="00364545" w:rsidRDefault="00907F15" w:rsidP="00907F15">
            <w:pPr>
              <w:spacing w:line="259" w:lineRule="auto"/>
              <w:jc w:val="left"/>
            </w:pPr>
            <w:r w:rsidRPr="00364545">
              <w:t>CO</w:t>
            </w:r>
            <w:r w:rsidRPr="00364545">
              <w:rPr>
                <w:vertAlign w:val="subscript"/>
              </w:rPr>
              <w:t>2</w:t>
            </w:r>
            <w:r w:rsidRPr="00364545">
              <w:rPr>
                <w:sz w:val="18"/>
              </w:rPr>
              <w:t xml:space="preserve"> excluding LULUCF </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F603C1" w14:textId="77777777" w:rsidR="00907F15" w:rsidRPr="00364545" w:rsidRDefault="00907F15" w:rsidP="00907F15">
            <w:pPr>
              <w:spacing w:line="259" w:lineRule="auto"/>
              <w:ind w:left="59"/>
              <w:jc w:val="left"/>
              <w:rPr>
                <w:sz w:val="16"/>
                <w:szCs w:val="16"/>
              </w:rPr>
            </w:pPr>
            <w:r>
              <w:rPr>
                <w:sz w:val="18"/>
                <w:szCs w:val="18"/>
              </w:rPr>
              <w:t>398425</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FAC5F3" w14:textId="77777777" w:rsidR="00907F15" w:rsidRPr="00364545" w:rsidRDefault="00907F15" w:rsidP="00907F15">
            <w:pPr>
              <w:spacing w:line="259" w:lineRule="auto"/>
              <w:ind w:left="59"/>
              <w:jc w:val="left"/>
              <w:rPr>
                <w:sz w:val="16"/>
                <w:szCs w:val="16"/>
              </w:rPr>
            </w:pPr>
            <w:r>
              <w:rPr>
                <w:sz w:val="18"/>
                <w:szCs w:val="18"/>
              </w:rPr>
              <w:t>392916</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88D603" w14:textId="77777777" w:rsidR="00907F15" w:rsidRPr="00364545" w:rsidRDefault="00907F15" w:rsidP="00907F15">
            <w:pPr>
              <w:spacing w:line="259" w:lineRule="auto"/>
              <w:ind w:left="59"/>
              <w:jc w:val="left"/>
              <w:rPr>
                <w:sz w:val="16"/>
                <w:szCs w:val="16"/>
              </w:rPr>
            </w:pPr>
            <w:r>
              <w:rPr>
                <w:sz w:val="18"/>
                <w:szCs w:val="18"/>
              </w:rPr>
              <w:t>414788</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3873005" w14:textId="77777777" w:rsidR="00907F15" w:rsidRPr="00364545" w:rsidRDefault="00907F15" w:rsidP="00907F15">
            <w:pPr>
              <w:spacing w:line="259" w:lineRule="auto"/>
              <w:ind w:left="59"/>
              <w:jc w:val="left"/>
              <w:rPr>
                <w:sz w:val="16"/>
                <w:szCs w:val="16"/>
              </w:rPr>
            </w:pPr>
            <w:r>
              <w:rPr>
                <w:sz w:val="18"/>
                <w:szCs w:val="18"/>
              </w:rPr>
              <w:t>425444</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49FE1E" w14:textId="77777777" w:rsidR="00907F15" w:rsidRPr="00364545" w:rsidRDefault="00907F15" w:rsidP="00907F15">
            <w:pPr>
              <w:spacing w:line="259" w:lineRule="auto"/>
              <w:ind w:left="59"/>
              <w:jc w:val="left"/>
              <w:rPr>
                <w:sz w:val="16"/>
                <w:szCs w:val="16"/>
              </w:rPr>
            </w:pPr>
            <w:r>
              <w:rPr>
                <w:sz w:val="18"/>
                <w:szCs w:val="18"/>
              </w:rPr>
              <w:t>386872</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A6979E" w14:textId="77777777" w:rsidR="00907F15" w:rsidRPr="00364545" w:rsidRDefault="00907F15" w:rsidP="00907F15">
            <w:pPr>
              <w:spacing w:line="259" w:lineRule="auto"/>
              <w:ind w:left="59"/>
              <w:jc w:val="left"/>
              <w:rPr>
                <w:sz w:val="16"/>
                <w:szCs w:val="16"/>
              </w:rPr>
            </w:pPr>
            <w:r>
              <w:rPr>
                <w:sz w:val="18"/>
                <w:szCs w:val="18"/>
              </w:rPr>
              <w:t>341631</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13769E" w14:textId="77777777" w:rsidR="00907F15" w:rsidRPr="00634E4C" w:rsidRDefault="00907F15" w:rsidP="00907F15">
            <w:pPr>
              <w:spacing w:line="259" w:lineRule="auto"/>
              <w:ind w:left="64"/>
              <w:jc w:val="left"/>
              <w:rPr>
                <w:rFonts w:ascii="Calibri" w:hAnsi="Calibri"/>
                <w:sz w:val="20"/>
              </w:rPr>
            </w:pPr>
            <w:r>
              <w:rPr>
                <w:sz w:val="18"/>
                <w:szCs w:val="18"/>
              </w:rPr>
              <w:t>326725</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BA6CA7" w14:textId="77777777" w:rsidR="00907F15" w:rsidRPr="00634E4C" w:rsidRDefault="00907F15" w:rsidP="00907F15">
            <w:pPr>
              <w:spacing w:line="259" w:lineRule="auto"/>
              <w:jc w:val="left"/>
              <w:rPr>
                <w:rFonts w:asciiTheme="majorHAnsi" w:hAnsiTheme="majorHAnsi"/>
                <w:sz w:val="18"/>
              </w:rPr>
            </w:pPr>
            <w:r>
              <w:rPr>
                <w:rFonts w:asciiTheme="majorHAnsi" w:hAnsiTheme="majorHAnsi"/>
                <w:sz w:val="18"/>
                <w:szCs w:val="18"/>
              </w:rPr>
              <w:t>325904</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E73A07" w14:textId="77777777" w:rsidR="00907F15" w:rsidRPr="00634E4C" w:rsidRDefault="00907F15" w:rsidP="00907F15">
            <w:pPr>
              <w:spacing w:line="259" w:lineRule="auto"/>
              <w:jc w:val="left"/>
              <w:rPr>
                <w:rFonts w:asciiTheme="majorHAnsi" w:hAnsiTheme="majorHAnsi"/>
                <w:sz w:val="18"/>
              </w:rPr>
            </w:pPr>
            <w:r>
              <w:rPr>
                <w:rFonts w:asciiTheme="majorHAnsi" w:hAnsiTheme="majorHAnsi"/>
                <w:sz w:val="18"/>
                <w:szCs w:val="18"/>
              </w:rPr>
              <w:t>273167</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FAA05F2" w14:textId="77777777" w:rsidR="00907F15" w:rsidRPr="00634E4C" w:rsidRDefault="00907F15" w:rsidP="00907F15">
            <w:pPr>
              <w:spacing w:line="259" w:lineRule="auto"/>
              <w:jc w:val="left"/>
              <w:rPr>
                <w:rFonts w:asciiTheme="majorHAnsi" w:hAnsiTheme="majorHAnsi"/>
                <w:sz w:val="18"/>
              </w:rPr>
            </w:pPr>
            <w:r>
              <w:rPr>
                <w:rFonts w:asciiTheme="majorHAnsi" w:hAnsiTheme="majorHAnsi"/>
                <w:sz w:val="18"/>
                <w:szCs w:val="18"/>
              </w:rPr>
              <w:t>220992</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B2E1DD" w14:textId="77777777" w:rsidR="00907F15" w:rsidRPr="00634E4C" w:rsidRDefault="00907F15" w:rsidP="00907F15">
            <w:pPr>
              <w:spacing w:line="259" w:lineRule="auto"/>
              <w:ind w:left="59"/>
              <w:jc w:val="left"/>
              <w:rPr>
                <w:rFonts w:asciiTheme="majorHAnsi" w:hAnsiTheme="majorHAnsi"/>
                <w:sz w:val="18"/>
              </w:rPr>
            </w:pPr>
            <w:r>
              <w:rPr>
                <w:rFonts w:asciiTheme="majorHAnsi" w:hAnsiTheme="majorHAnsi"/>
                <w:sz w:val="18"/>
                <w:szCs w:val="18"/>
              </w:rPr>
              <w:t>167257</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18FCA07" w14:textId="44E3D596" w:rsidR="00907F15" w:rsidRPr="00664108" w:rsidRDefault="00907F15" w:rsidP="00907F15">
            <w:pPr>
              <w:spacing w:line="259" w:lineRule="auto"/>
              <w:ind w:left="59"/>
              <w:jc w:val="left"/>
              <w:rPr>
                <w:rFonts w:asciiTheme="majorHAnsi" w:hAnsiTheme="majorHAnsi"/>
                <w:sz w:val="18"/>
                <w:szCs w:val="18"/>
              </w:rPr>
            </w:pPr>
            <w:r w:rsidRPr="000B08DE">
              <w:rPr>
                <w:sz w:val="18"/>
              </w:rPr>
              <w:t>6447</w:t>
            </w:r>
          </w:p>
        </w:tc>
      </w:tr>
      <w:tr w:rsidR="00907F15" w:rsidRPr="00364545" w14:paraId="6889C2DA" w14:textId="77777777" w:rsidTr="000D1437">
        <w:trPr>
          <w:trHeight w:val="347"/>
        </w:trPr>
        <w:tc>
          <w:tcPr>
            <w:tcW w:w="854" w:type="dxa"/>
            <w:tcBorders>
              <w:top w:val="single" w:sz="2" w:space="0" w:color="000000"/>
              <w:left w:val="single" w:sz="2" w:space="0" w:color="000000"/>
              <w:bottom w:val="single" w:sz="2" w:space="0" w:color="000000"/>
              <w:right w:val="single" w:sz="2" w:space="0" w:color="000000"/>
            </w:tcBorders>
          </w:tcPr>
          <w:p w14:paraId="79FFCA7E" w14:textId="77777777" w:rsidR="00907F15" w:rsidRPr="00364545" w:rsidRDefault="00907F15" w:rsidP="00907F15">
            <w:pPr>
              <w:spacing w:line="259" w:lineRule="auto"/>
              <w:jc w:val="left"/>
            </w:pPr>
            <w:r w:rsidRPr="00364545">
              <w:t>CO</w:t>
            </w:r>
            <w:r w:rsidRPr="00364545">
              <w:rPr>
                <w:vertAlign w:val="subscript"/>
              </w:rPr>
              <w:t>2</w:t>
            </w:r>
            <w:r w:rsidRPr="00364545">
              <w:rPr>
                <w:sz w:val="18"/>
              </w:rPr>
              <w:t xml:space="preserve"> with LULUCF </w:t>
            </w:r>
          </w:p>
        </w:tc>
        <w:tc>
          <w:tcPr>
            <w:tcW w:w="757" w:type="dxa"/>
            <w:tcBorders>
              <w:top w:val="single" w:sz="2" w:space="0" w:color="000000"/>
              <w:left w:val="single" w:sz="2" w:space="0" w:color="000000"/>
              <w:bottom w:val="single" w:sz="2" w:space="0" w:color="000000"/>
              <w:right w:val="single" w:sz="2" w:space="0" w:color="000000"/>
            </w:tcBorders>
            <w:vAlign w:val="center"/>
          </w:tcPr>
          <w:p w14:paraId="65082DCC" w14:textId="77777777" w:rsidR="00907F15" w:rsidRPr="00364545" w:rsidRDefault="00907F15" w:rsidP="00907F15">
            <w:pPr>
              <w:spacing w:line="259" w:lineRule="auto"/>
              <w:ind w:left="59"/>
              <w:jc w:val="left"/>
              <w:rPr>
                <w:sz w:val="16"/>
                <w:szCs w:val="16"/>
              </w:rPr>
            </w:pPr>
            <w:r>
              <w:rPr>
                <w:sz w:val="18"/>
                <w:szCs w:val="18"/>
              </w:rPr>
              <w:t>370280</w:t>
            </w:r>
          </w:p>
        </w:tc>
        <w:tc>
          <w:tcPr>
            <w:tcW w:w="758" w:type="dxa"/>
            <w:tcBorders>
              <w:top w:val="single" w:sz="2" w:space="0" w:color="000000"/>
              <w:left w:val="single" w:sz="2" w:space="0" w:color="000000"/>
              <w:bottom w:val="single" w:sz="2" w:space="0" w:color="000000"/>
              <w:right w:val="single" w:sz="2" w:space="0" w:color="000000"/>
            </w:tcBorders>
            <w:vAlign w:val="center"/>
          </w:tcPr>
          <w:p w14:paraId="05D1C5DA" w14:textId="77777777" w:rsidR="00907F15" w:rsidRPr="00364545" w:rsidRDefault="00907F15" w:rsidP="00907F15">
            <w:pPr>
              <w:spacing w:line="259" w:lineRule="auto"/>
              <w:ind w:left="59"/>
              <w:jc w:val="left"/>
              <w:rPr>
                <w:sz w:val="16"/>
                <w:szCs w:val="16"/>
              </w:rPr>
            </w:pPr>
            <w:r>
              <w:rPr>
                <w:sz w:val="18"/>
                <w:szCs w:val="18"/>
              </w:rPr>
              <w:t>361121</w:t>
            </w:r>
          </w:p>
        </w:tc>
        <w:tc>
          <w:tcPr>
            <w:tcW w:w="757" w:type="dxa"/>
            <w:tcBorders>
              <w:top w:val="single" w:sz="2" w:space="0" w:color="000000"/>
              <w:left w:val="single" w:sz="2" w:space="0" w:color="000000"/>
              <w:bottom w:val="single" w:sz="2" w:space="0" w:color="000000"/>
              <w:right w:val="single" w:sz="2" w:space="0" w:color="000000"/>
            </w:tcBorders>
            <w:vAlign w:val="center"/>
          </w:tcPr>
          <w:p w14:paraId="5B9FEE65" w14:textId="77777777" w:rsidR="00907F15" w:rsidRPr="00364545" w:rsidRDefault="00907F15" w:rsidP="00907F15">
            <w:pPr>
              <w:spacing w:line="259" w:lineRule="auto"/>
              <w:ind w:left="59"/>
              <w:jc w:val="left"/>
              <w:rPr>
                <w:sz w:val="16"/>
                <w:szCs w:val="16"/>
              </w:rPr>
            </w:pPr>
            <w:r>
              <w:rPr>
                <w:sz w:val="18"/>
                <w:szCs w:val="18"/>
              </w:rPr>
              <w:t>390194</w:t>
            </w:r>
          </w:p>
        </w:tc>
        <w:tc>
          <w:tcPr>
            <w:tcW w:w="758" w:type="dxa"/>
            <w:tcBorders>
              <w:top w:val="single" w:sz="2" w:space="0" w:color="000000"/>
              <w:left w:val="single" w:sz="2" w:space="0" w:color="000000"/>
              <w:bottom w:val="single" w:sz="2" w:space="0" w:color="000000"/>
              <w:right w:val="single" w:sz="2" w:space="0" w:color="000000"/>
            </w:tcBorders>
            <w:vAlign w:val="center"/>
          </w:tcPr>
          <w:p w14:paraId="21898D5B" w14:textId="77777777" w:rsidR="00907F15" w:rsidRPr="00364545" w:rsidRDefault="00907F15" w:rsidP="00907F15">
            <w:pPr>
              <w:spacing w:line="259" w:lineRule="auto"/>
              <w:ind w:left="59"/>
              <w:jc w:val="left"/>
              <w:rPr>
                <w:sz w:val="16"/>
                <w:szCs w:val="16"/>
              </w:rPr>
            </w:pPr>
            <w:r>
              <w:rPr>
                <w:sz w:val="18"/>
                <w:szCs w:val="18"/>
              </w:rPr>
              <w:t>373972</w:t>
            </w:r>
          </w:p>
        </w:tc>
        <w:tc>
          <w:tcPr>
            <w:tcW w:w="757" w:type="dxa"/>
            <w:tcBorders>
              <w:top w:val="single" w:sz="2" w:space="0" w:color="000000"/>
              <w:left w:val="single" w:sz="2" w:space="0" w:color="000000"/>
              <w:bottom w:val="single" w:sz="2" w:space="0" w:color="000000"/>
              <w:right w:val="single" w:sz="2" w:space="0" w:color="000000"/>
            </w:tcBorders>
            <w:vAlign w:val="center"/>
          </w:tcPr>
          <w:p w14:paraId="3500AEC8" w14:textId="77777777" w:rsidR="00907F15" w:rsidRPr="00364545" w:rsidRDefault="00907F15" w:rsidP="00907F15">
            <w:pPr>
              <w:spacing w:line="259" w:lineRule="auto"/>
              <w:ind w:left="59"/>
              <w:jc w:val="left"/>
              <w:rPr>
                <w:sz w:val="16"/>
                <w:szCs w:val="16"/>
              </w:rPr>
            </w:pPr>
            <w:r>
              <w:rPr>
                <w:sz w:val="18"/>
                <w:szCs w:val="18"/>
              </w:rPr>
              <w:t>344171</w:t>
            </w:r>
          </w:p>
        </w:tc>
        <w:tc>
          <w:tcPr>
            <w:tcW w:w="758" w:type="dxa"/>
            <w:tcBorders>
              <w:top w:val="single" w:sz="2" w:space="0" w:color="000000"/>
              <w:left w:val="single" w:sz="2" w:space="0" w:color="000000"/>
              <w:bottom w:val="single" w:sz="2" w:space="0" w:color="000000"/>
              <w:right w:val="single" w:sz="2" w:space="0" w:color="000000"/>
            </w:tcBorders>
            <w:vAlign w:val="center"/>
          </w:tcPr>
          <w:p w14:paraId="763DF682" w14:textId="77777777" w:rsidR="00907F15" w:rsidRPr="00364545" w:rsidRDefault="00907F15" w:rsidP="00907F15">
            <w:pPr>
              <w:spacing w:line="259" w:lineRule="auto"/>
              <w:ind w:left="59"/>
              <w:jc w:val="left"/>
              <w:rPr>
                <w:sz w:val="16"/>
                <w:szCs w:val="16"/>
              </w:rPr>
            </w:pPr>
            <w:r>
              <w:rPr>
                <w:sz w:val="18"/>
                <w:szCs w:val="18"/>
              </w:rPr>
              <w:t>303032</w:t>
            </w:r>
          </w:p>
        </w:tc>
        <w:tc>
          <w:tcPr>
            <w:tcW w:w="757" w:type="dxa"/>
            <w:tcBorders>
              <w:top w:val="single" w:sz="2" w:space="0" w:color="000000"/>
              <w:left w:val="single" w:sz="2" w:space="0" w:color="000000"/>
              <w:bottom w:val="single" w:sz="2" w:space="0" w:color="000000"/>
              <w:right w:val="single" w:sz="2" w:space="0" w:color="000000"/>
            </w:tcBorders>
            <w:vAlign w:val="center"/>
          </w:tcPr>
          <w:p w14:paraId="4226E0D9" w14:textId="77777777" w:rsidR="00907F15" w:rsidRPr="00634E4C" w:rsidRDefault="00907F15" w:rsidP="00907F15">
            <w:pPr>
              <w:spacing w:line="259" w:lineRule="auto"/>
              <w:ind w:left="59"/>
              <w:jc w:val="left"/>
              <w:rPr>
                <w:rFonts w:ascii="Calibri" w:hAnsi="Calibri"/>
                <w:sz w:val="20"/>
              </w:rPr>
            </w:pPr>
            <w:r>
              <w:rPr>
                <w:sz w:val="18"/>
                <w:szCs w:val="18"/>
              </w:rPr>
              <w:t>310432</w:t>
            </w:r>
          </w:p>
        </w:tc>
        <w:tc>
          <w:tcPr>
            <w:tcW w:w="758" w:type="dxa"/>
            <w:tcBorders>
              <w:top w:val="single" w:sz="2" w:space="0" w:color="000000"/>
              <w:left w:val="single" w:sz="2" w:space="0" w:color="000000"/>
              <w:bottom w:val="single" w:sz="2" w:space="0" w:color="000000"/>
              <w:right w:val="single" w:sz="2" w:space="0" w:color="000000"/>
            </w:tcBorders>
            <w:vAlign w:val="center"/>
          </w:tcPr>
          <w:p w14:paraId="688CB5FA" w14:textId="77777777" w:rsidR="00907F15" w:rsidRPr="00634E4C" w:rsidRDefault="00907F15" w:rsidP="00907F15">
            <w:pPr>
              <w:spacing w:line="259" w:lineRule="auto"/>
              <w:jc w:val="left"/>
              <w:rPr>
                <w:rFonts w:asciiTheme="majorHAnsi" w:hAnsiTheme="majorHAnsi"/>
                <w:sz w:val="18"/>
              </w:rPr>
            </w:pPr>
            <w:bookmarkStart w:id="529" w:name="OLE_LINK1"/>
            <w:r>
              <w:rPr>
                <w:rFonts w:asciiTheme="majorHAnsi" w:hAnsiTheme="majorHAnsi"/>
                <w:sz w:val="18"/>
                <w:szCs w:val="18"/>
              </w:rPr>
              <w:t>282686</w:t>
            </w:r>
            <w:bookmarkEnd w:id="529"/>
          </w:p>
        </w:tc>
        <w:tc>
          <w:tcPr>
            <w:tcW w:w="757" w:type="dxa"/>
            <w:tcBorders>
              <w:top w:val="single" w:sz="2" w:space="0" w:color="000000"/>
              <w:left w:val="single" w:sz="2" w:space="0" w:color="000000"/>
              <w:bottom w:val="single" w:sz="2" w:space="0" w:color="000000"/>
              <w:right w:val="single" w:sz="2" w:space="0" w:color="000000"/>
            </w:tcBorders>
            <w:vAlign w:val="center"/>
          </w:tcPr>
          <w:p w14:paraId="792E2D28" w14:textId="77777777" w:rsidR="00907F15" w:rsidRPr="00634E4C" w:rsidRDefault="00907F15" w:rsidP="00907F15">
            <w:pPr>
              <w:spacing w:line="259" w:lineRule="auto"/>
              <w:jc w:val="left"/>
              <w:rPr>
                <w:rFonts w:asciiTheme="majorHAnsi" w:hAnsiTheme="majorHAnsi"/>
                <w:sz w:val="18"/>
              </w:rPr>
            </w:pPr>
            <w:r>
              <w:rPr>
                <w:rFonts w:asciiTheme="majorHAnsi" w:hAnsiTheme="majorHAnsi"/>
                <w:sz w:val="18"/>
                <w:szCs w:val="18"/>
              </w:rPr>
              <w:t>231263</w:t>
            </w:r>
          </w:p>
        </w:tc>
        <w:tc>
          <w:tcPr>
            <w:tcW w:w="758" w:type="dxa"/>
            <w:tcBorders>
              <w:top w:val="single" w:sz="2" w:space="0" w:color="000000"/>
              <w:left w:val="single" w:sz="2" w:space="0" w:color="000000"/>
              <w:bottom w:val="single" w:sz="2" w:space="0" w:color="000000"/>
              <w:right w:val="single" w:sz="2" w:space="0" w:color="000000"/>
            </w:tcBorders>
            <w:vAlign w:val="center"/>
          </w:tcPr>
          <w:p w14:paraId="7B87429A" w14:textId="77777777" w:rsidR="00907F15" w:rsidRPr="00634E4C" w:rsidRDefault="00907F15" w:rsidP="00907F15">
            <w:pPr>
              <w:spacing w:line="259" w:lineRule="auto"/>
              <w:ind w:left="59"/>
              <w:jc w:val="left"/>
              <w:rPr>
                <w:rFonts w:asciiTheme="majorHAnsi" w:hAnsiTheme="majorHAnsi"/>
                <w:sz w:val="18"/>
              </w:rPr>
            </w:pPr>
            <w:r>
              <w:rPr>
                <w:rFonts w:asciiTheme="majorHAnsi" w:hAnsiTheme="majorHAnsi"/>
                <w:sz w:val="18"/>
                <w:szCs w:val="18"/>
              </w:rPr>
              <w:t>176617</w:t>
            </w:r>
          </w:p>
        </w:tc>
        <w:tc>
          <w:tcPr>
            <w:tcW w:w="757" w:type="dxa"/>
            <w:tcBorders>
              <w:top w:val="single" w:sz="2" w:space="0" w:color="000000"/>
              <w:left w:val="single" w:sz="2" w:space="0" w:color="000000"/>
              <w:bottom w:val="single" w:sz="2" w:space="0" w:color="000000"/>
              <w:right w:val="single" w:sz="2" w:space="0" w:color="000000"/>
            </w:tcBorders>
            <w:vAlign w:val="center"/>
          </w:tcPr>
          <w:p w14:paraId="0F12FD84" w14:textId="77777777" w:rsidR="00907F15" w:rsidRPr="00634E4C" w:rsidRDefault="00907F15" w:rsidP="00907F15">
            <w:pPr>
              <w:spacing w:line="259" w:lineRule="auto"/>
              <w:ind w:left="59"/>
              <w:jc w:val="left"/>
              <w:rPr>
                <w:rFonts w:asciiTheme="majorHAnsi" w:hAnsiTheme="majorHAnsi"/>
                <w:sz w:val="18"/>
              </w:rPr>
            </w:pPr>
            <w:r>
              <w:rPr>
                <w:rFonts w:asciiTheme="majorHAnsi" w:hAnsiTheme="majorHAnsi"/>
                <w:sz w:val="18"/>
                <w:szCs w:val="18"/>
              </w:rPr>
              <w:t>117863</w:t>
            </w:r>
          </w:p>
        </w:tc>
        <w:tc>
          <w:tcPr>
            <w:tcW w:w="758" w:type="dxa"/>
            <w:tcBorders>
              <w:top w:val="single" w:sz="2" w:space="0" w:color="000000"/>
              <w:left w:val="single" w:sz="2" w:space="0" w:color="000000"/>
              <w:bottom w:val="single" w:sz="2" w:space="0" w:color="000000"/>
              <w:right w:val="single" w:sz="2" w:space="0" w:color="000000"/>
            </w:tcBorders>
            <w:vAlign w:val="center"/>
          </w:tcPr>
          <w:p w14:paraId="66947643" w14:textId="16A7CFD1" w:rsidR="00907F15" w:rsidRPr="00664108" w:rsidRDefault="00907F15" w:rsidP="00907F15">
            <w:pPr>
              <w:spacing w:line="259" w:lineRule="auto"/>
              <w:jc w:val="left"/>
              <w:rPr>
                <w:rFonts w:asciiTheme="majorHAnsi" w:hAnsiTheme="majorHAnsi"/>
                <w:sz w:val="18"/>
                <w:szCs w:val="18"/>
              </w:rPr>
            </w:pPr>
            <w:r w:rsidRPr="000B08DE">
              <w:rPr>
                <w:sz w:val="18"/>
              </w:rPr>
              <w:t>-64813</w:t>
            </w:r>
          </w:p>
        </w:tc>
      </w:tr>
      <w:tr w:rsidR="00907F15" w:rsidRPr="00364545" w14:paraId="4A52DAE3" w14:textId="77777777" w:rsidTr="00907F15">
        <w:trPr>
          <w:trHeight w:val="344"/>
        </w:trPr>
        <w:tc>
          <w:tcPr>
            <w:tcW w:w="854" w:type="dxa"/>
            <w:tcBorders>
              <w:top w:val="single" w:sz="2" w:space="0" w:color="000000"/>
              <w:left w:val="single" w:sz="2" w:space="0" w:color="000000"/>
              <w:bottom w:val="single" w:sz="2" w:space="0" w:color="000000"/>
              <w:right w:val="single" w:sz="2" w:space="0" w:color="000000"/>
            </w:tcBorders>
            <w:shd w:val="clear" w:color="auto" w:fill="ECE6E2"/>
          </w:tcPr>
          <w:p w14:paraId="08050F39" w14:textId="77777777" w:rsidR="00907F15" w:rsidRPr="00364545" w:rsidRDefault="00907F15" w:rsidP="00907F15">
            <w:pPr>
              <w:spacing w:line="259" w:lineRule="auto"/>
              <w:jc w:val="left"/>
            </w:pPr>
            <w:r w:rsidRPr="00364545">
              <w:t>CH</w:t>
            </w:r>
            <w:r w:rsidRPr="00364545">
              <w:rPr>
                <w:vertAlign w:val="subscript"/>
              </w:rPr>
              <w:t>4</w:t>
            </w:r>
            <w:r w:rsidRPr="00364545">
              <w:t xml:space="preserve"> </w:t>
            </w:r>
            <w:r w:rsidRPr="00364545">
              <w:rPr>
                <w:sz w:val="18"/>
              </w:rPr>
              <w:t xml:space="preserve">excluding LULUCF </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25B202" w14:textId="77777777" w:rsidR="00907F15" w:rsidRPr="00364545" w:rsidRDefault="00907F15" w:rsidP="00907F15">
            <w:pPr>
              <w:spacing w:line="259" w:lineRule="auto"/>
              <w:ind w:left="59"/>
              <w:jc w:val="left"/>
              <w:rPr>
                <w:sz w:val="16"/>
                <w:szCs w:val="16"/>
              </w:rPr>
            </w:pPr>
            <w:r>
              <w:rPr>
                <w:sz w:val="18"/>
                <w:szCs w:val="18"/>
              </w:rPr>
              <w:t>69161</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22AC853" w14:textId="77777777" w:rsidR="00907F15" w:rsidRPr="00364545" w:rsidRDefault="00907F15" w:rsidP="00907F15">
            <w:pPr>
              <w:spacing w:line="259" w:lineRule="auto"/>
              <w:ind w:left="59"/>
              <w:jc w:val="left"/>
              <w:rPr>
                <w:sz w:val="16"/>
                <w:szCs w:val="16"/>
              </w:rPr>
            </w:pPr>
            <w:r>
              <w:rPr>
                <w:sz w:val="18"/>
                <w:szCs w:val="18"/>
              </w:rPr>
              <w:t>70383</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E53EA93" w14:textId="77777777" w:rsidR="00907F15" w:rsidRPr="00364545" w:rsidRDefault="00907F15" w:rsidP="00907F15">
            <w:pPr>
              <w:spacing w:line="259" w:lineRule="auto"/>
              <w:ind w:left="59"/>
              <w:jc w:val="left"/>
              <w:rPr>
                <w:sz w:val="16"/>
                <w:szCs w:val="16"/>
              </w:rPr>
            </w:pPr>
            <w:r>
              <w:rPr>
                <w:sz w:val="18"/>
                <w:szCs w:val="18"/>
              </w:rPr>
              <w:t>68603</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45ADBC1" w14:textId="77777777" w:rsidR="00907F15" w:rsidRPr="00364545" w:rsidRDefault="00907F15" w:rsidP="00907F15">
            <w:pPr>
              <w:spacing w:line="259" w:lineRule="auto"/>
              <w:ind w:left="59"/>
              <w:jc w:val="left"/>
              <w:rPr>
                <w:sz w:val="16"/>
                <w:szCs w:val="16"/>
              </w:rPr>
            </w:pPr>
            <w:r>
              <w:rPr>
                <w:sz w:val="18"/>
                <w:szCs w:val="18"/>
              </w:rPr>
              <w:t>63632</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AD2021" w14:textId="77777777" w:rsidR="00907F15" w:rsidRPr="00364545" w:rsidRDefault="00907F15" w:rsidP="00907F15">
            <w:pPr>
              <w:spacing w:line="259" w:lineRule="auto"/>
              <w:ind w:left="59"/>
              <w:jc w:val="left"/>
              <w:rPr>
                <w:sz w:val="16"/>
                <w:szCs w:val="16"/>
              </w:rPr>
            </w:pPr>
            <w:r>
              <w:rPr>
                <w:sz w:val="18"/>
                <w:szCs w:val="18"/>
              </w:rPr>
              <w:t>61663</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B6617E" w14:textId="77777777" w:rsidR="00907F15" w:rsidRPr="00364545" w:rsidRDefault="00907F15" w:rsidP="00907F15">
            <w:pPr>
              <w:spacing w:line="259" w:lineRule="auto"/>
              <w:ind w:left="59"/>
              <w:jc w:val="left"/>
              <w:rPr>
                <w:sz w:val="16"/>
                <w:szCs w:val="16"/>
              </w:rPr>
            </w:pPr>
            <w:r>
              <w:rPr>
                <w:sz w:val="18"/>
                <w:szCs w:val="18"/>
              </w:rPr>
              <w:t>57862</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C6C789" w14:textId="77777777" w:rsidR="00907F15" w:rsidRPr="00364545" w:rsidRDefault="00907F15" w:rsidP="00907F15">
            <w:pPr>
              <w:spacing w:line="259" w:lineRule="auto"/>
              <w:ind w:left="59"/>
              <w:jc w:val="left"/>
              <w:rPr>
                <w:rFonts w:ascii="Calibri" w:hAnsi="Calibri"/>
                <w:sz w:val="20"/>
              </w:rPr>
            </w:pPr>
            <w:r>
              <w:rPr>
                <w:sz w:val="18"/>
                <w:szCs w:val="18"/>
              </w:rPr>
              <w:t>55740</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E1A569"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52531</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93BAC3"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47947</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708A01"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44507</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6B26EB"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41496</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C10E6A" w14:textId="3EDC3747" w:rsidR="00907F15" w:rsidRPr="00634E4C" w:rsidRDefault="00907F15" w:rsidP="00907F15">
            <w:pPr>
              <w:spacing w:line="259" w:lineRule="auto"/>
              <w:ind w:left="59"/>
              <w:jc w:val="left"/>
              <w:rPr>
                <w:rFonts w:asciiTheme="majorHAnsi" w:hAnsiTheme="majorHAnsi"/>
                <w:sz w:val="18"/>
              </w:rPr>
            </w:pPr>
            <w:r w:rsidRPr="000B08DE">
              <w:rPr>
                <w:sz w:val="18"/>
              </w:rPr>
              <w:t>32465</w:t>
            </w:r>
          </w:p>
        </w:tc>
      </w:tr>
      <w:tr w:rsidR="00907F15" w:rsidRPr="00364545" w14:paraId="5CD11161" w14:textId="77777777" w:rsidTr="000D1437">
        <w:trPr>
          <w:trHeight w:val="347"/>
        </w:trPr>
        <w:tc>
          <w:tcPr>
            <w:tcW w:w="854" w:type="dxa"/>
            <w:tcBorders>
              <w:top w:val="single" w:sz="2" w:space="0" w:color="000000"/>
              <w:left w:val="single" w:sz="2" w:space="0" w:color="000000"/>
              <w:bottom w:val="single" w:sz="2" w:space="0" w:color="000000"/>
              <w:right w:val="single" w:sz="2" w:space="0" w:color="000000"/>
            </w:tcBorders>
          </w:tcPr>
          <w:p w14:paraId="67A42342" w14:textId="77777777" w:rsidR="00907F15" w:rsidRPr="00364545" w:rsidRDefault="00907F15" w:rsidP="00907F15">
            <w:pPr>
              <w:spacing w:line="259" w:lineRule="auto"/>
              <w:jc w:val="left"/>
            </w:pPr>
            <w:r w:rsidRPr="00364545">
              <w:t>CH</w:t>
            </w:r>
            <w:r w:rsidRPr="00364545">
              <w:rPr>
                <w:vertAlign w:val="subscript"/>
              </w:rPr>
              <w:t>4</w:t>
            </w:r>
            <w:r w:rsidRPr="00364545">
              <w:t xml:space="preserve"> </w:t>
            </w:r>
            <w:r w:rsidRPr="00364545">
              <w:rPr>
                <w:sz w:val="18"/>
              </w:rPr>
              <w:t xml:space="preserve">with LULUCF </w:t>
            </w:r>
          </w:p>
        </w:tc>
        <w:tc>
          <w:tcPr>
            <w:tcW w:w="757" w:type="dxa"/>
            <w:tcBorders>
              <w:top w:val="single" w:sz="2" w:space="0" w:color="000000"/>
              <w:left w:val="single" w:sz="2" w:space="0" w:color="000000"/>
              <w:bottom w:val="single" w:sz="2" w:space="0" w:color="000000"/>
              <w:right w:val="single" w:sz="2" w:space="0" w:color="000000"/>
            </w:tcBorders>
            <w:vAlign w:val="center"/>
          </w:tcPr>
          <w:p w14:paraId="1EE9914A" w14:textId="77777777" w:rsidR="00907F15" w:rsidRPr="00364545" w:rsidRDefault="00907F15" w:rsidP="00907F15">
            <w:pPr>
              <w:spacing w:line="259" w:lineRule="auto"/>
              <w:ind w:left="59"/>
              <w:jc w:val="left"/>
              <w:rPr>
                <w:sz w:val="16"/>
                <w:szCs w:val="16"/>
              </w:rPr>
            </w:pPr>
            <w:r>
              <w:rPr>
                <w:sz w:val="18"/>
                <w:szCs w:val="18"/>
              </w:rPr>
              <w:t>70094</w:t>
            </w:r>
          </w:p>
        </w:tc>
        <w:tc>
          <w:tcPr>
            <w:tcW w:w="758" w:type="dxa"/>
            <w:tcBorders>
              <w:top w:val="single" w:sz="2" w:space="0" w:color="000000"/>
              <w:left w:val="single" w:sz="2" w:space="0" w:color="000000"/>
              <w:bottom w:val="single" w:sz="2" w:space="0" w:color="000000"/>
              <w:right w:val="single" w:sz="2" w:space="0" w:color="000000"/>
            </w:tcBorders>
            <w:vAlign w:val="center"/>
          </w:tcPr>
          <w:p w14:paraId="01779675" w14:textId="77777777" w:rsidR="00907F15" w:rsidRPr="00364545" w:rsidRDefault="00907F15" w:rsidP="00907F15">
            <w:pPr>
              <w:spacing w:line="259" w:lineRule="auto"/>
              <w:ind w:left="59"/>
              <w:jc w:val="left"/>
              <w:rPr>
                <w:sz w:val="16"/>
                <w:szCs w:val="16"/>
              </w:rPr>
            </w:pPr>
            <w:r>
              <w:rPr>
                <w:sz w:val="18"/>
                <w:szCs w:val="18"/>
              </w:rPr>
              <w:t>74053</w:t>
            </w:r>
          </w:p>
        </w:tc>
        <w:tc>
          <w:tcPr>
            <w:tcW w:w="757" w:type="dxa"/>
            <w:tcBorders>
              <w:top w:val="single" w:sz="2" w:space="0" w:color="000000"/>
              <w:left w:val="single" w:sz="2" w:space="0" w:color="000000"/>
              <w:bottom w:val="single" w:sz="2" w:space="0" w:color="000000"/>
              <w:right w:val="single" w:sz="2" w:space="0" w:color="000000"/>
            </w:tcBorders>
            <w:vAlign w:val="center"/>
          </w:tcPr>
          <w:p w14:paraId="63D3C06C" w14:textId="77777777" w:rsidR="00907F15" w:rsidRPr="00364545" w:rsidRDefault="00907F15" w:rsidP="00907F15">
            <w:pPr>
              <w:spacing w:line="259" w:lineRule="auto"/>
              <w:ind w:left="59"/>
              <w:jc w:val="left"/>
              <w:rPr>
                <w:sz w:val="16"/>
                <w:szCs w:val="16"/>
              </w:rPr>
            </w:pPr>
            <w:r>
              <w:rPr>
                <w:sz w:val="18"/>
                <w:szCs w:val="18"/>
              </w:rPr>
              <w:t>70296</w:t>
            </w:r>
          </w:p>
        </w:tc>
        <w:tc>
          <w:tcPr>
            <w:tcW w:w="758" w:type="dxa"/>
            <w:tcBorders>
              <w:top w:val="single" w:sz="2" w:space="0" w:color="000000"/>
              <w:left w:val="single" w:sz="2" w:space="0" w:color="000000"/>
              <w:bottom w:val="single" w:sz="2" w:space="0" w:color="000000"/>
              <w:right w:val="single" w:sz="2" w:space="0" w:color="000000"/>
            </w:tcBorders>
            <w:vAlign w:val="center"/>
          </w:tcPr>
          <w:p w14:paraId="4D89D8BC" w14:textId="77777777" w:rsidR="00907F15" w:rsidRPr="00364545" w:rsidRDefault="00907F15" w:rsidP="00907F15">
            <w:pPr>
              <w:spacing w:line="259" w:lineRule="auto"/>
              <w:ind w:left="59"/>
              <w:jc w:val="left"/>
              <w:rPr>
                <w:sz w:val="16"/>
                <w:szCs w:val="16"/>
              </w:rPr>
            </w:pPr>
            <w:r>
              <w:rPr>
                <w:sz w:val="18"/>
                <w:szCs w:val="18"/>
              </w:rPr>
              <w:t>64820</w:t>
            </w:r>
          </w:p>
        </w:tc>
        <w:tc>
          <w:tcPr>
            <w:tcW w:w="757" w:type="dxa"/>
            <w:tcBorders>
              <w:top w:val="single" w:sz="2" w:space="0" w:color="000000"/>
              <w:left w:val="single" w:sz="2" w:space="0" w:color="000000"/>
              <w:bottom w:val="single" w:sz="2" w:space="0" w:color="000000"/>
              <w:right w:val="single" w:sz="2" w:space="0" w:color="000000"/>
            </w:tcBorders>
            <w:vAlign w:val="center"/>
          </w:tcPr>
          <w:p w14:paraId="3C4C8002" w14:textId="77777777" w:rsidR="00907F15" w:rsidRPr="00364545" w:rsidRDefault="00907F15" w:rsidP="00907F15">
            <w:pPr>
              <w:spacing w:line="259" w:lineRule="auto"/>
              <w:ind w:left="59"/>
              <w:jc w:val="left"/>
              <w:rPr>
                <w:sz w:val="16"/>
                <w:szCs w:val="16"/>
              </w:rPr>
            </w:pPr>
            <w:r>
              <w:rPr>
                <w:sz w:val="18"/>
                <w:szCs w:val="18"/>
              </w:rPr>
              <w:t>62793</w:t>
            </w:r>
          </w:p>
        </w:tc>
        <w:tc>
          <w:tcPr>
            <w:tcW w:w="758" w:type="dxa"/>
            <w:tcBorders>
              <w:top w:val="single" w:sz="2" w:space="0" w:color="000000"/>
              <w:left w:val="single" w:sz="2" w:space="0" w:color="000000"/>
              <w:bottom w:val="single" w:sz="2" w:space="0" w:color="000000"/>
              <w:right w:val="single" w:sz="2" w:space="0" w:color="000000"/>
            </w:tcBorders>
            <w:vAlign w:val="center"/>
          </w:tcPr>
          <w:p w14:paraId="5DD7B327" w14:textId="77777777" w:rsidR="00907F15" w:rsidRPr="00364545" w:rsidRDefault="00907F15" w:rsidP="00907F15">
            <w:pPr>
              <w:spacing w:line="259" w:lineRule="auto"/>
              <w:ind w:left="59"/>
              <w:jc w:val="left"/>
              <w:rPr>
                <w:sz w:val="16"/>
                <w:szCs w:val="16"/>
              </w:rPr>
            </w:pPr>
            <w:r>
              <w:rPr>
                <w:sz w:val="18"/>
                <w:szCs w:val="18"/>
              </w:rPr>
              <w:t>58940</w:t>
            </w:r>
          </w:p>
        </w:tc>
        <w:tc>
          <w:tcPr>
            <w:tcW w:w="757" w:type="dxa"/>
            <w:tcBorders>
              <w:top w:val="single" w:sz="2" w:space="0" w:color="000000"/>
              <w:left w:val="single" w:sz="2" w:space="0" w:color="000000"/>
              <w:bottom w:val="single" w:sz="2" w:space="0" w:color="000000"/>
              <w:right w:val="single" w:sz="2" w:space="0" w:color="000000"/>
            </w:tcBorders>
            <w:vAlign w:val="center"/>
          </w:tcPr>
          <w:p w14:paraId="3700C49F" w14:textId="77777777" w:rsidR="00907F15" w:rsidRPr="00364545" w:rsidRDefault="00907F15" w:rsidP="00907F15">
            <w:pPr>
              <w:spacing w:line="259" w:lineRule="auto"/>
              <w:ind w:left="59"/>
              <w:jc w:val="left"/>
              <w:rPr>
                <w:rFonts w:ascii="Calibri" w:hAnsi="Calibri"/>
                <w:sz w:val="20"/>
              </w:rPr>
            </w:pPr>
            <w:r>
              <w:rPr>
                <w:sz w:val="18"/>
                <w:szCs w:val="18"/>
              </w:rPr>
              <w:t>56877</w:t>
            </w:r>
          </w:p>
        </w:tc>
        <w:tc>
          <w:tcPr>
            <w:tcW w:w="758" w:type="dxa"/>
            <w:tcBorders>
              <w:top w:val="single" w:sz="2" w:space="0" w:color="000000"/>
              <w:left w:val="single" w:sz="2" w:space="0" w:color="000000"/>
              <w:bottom w:val="single" w:sz="2" w:space="0" w:color="000000"/>
              <w:right w:val="single" w:sz="2" w:space="0" w:color="000000"/>
            </w:tcBorders>
            <w:vAlign w:val="center"/>
          </w:tcPr>
          <w:p w14:paraId="3383DF5B"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53671</w:t>
            </w:r>
          </w:p>
        </w:tc>
        <w:tc>
          <w:tcPr>
            <w:tcW w:w="757" w:type="dxa"/>
            <w:tcBorders>
              <w:top w:val="single" w:sz="2" w:space="0" w:color="000000"/>
              <w:left w:val="single" w:sz="2" w:space="0" w:color="000000"/>
              <w:bottom w:val="single" w:sz="2" w:space="0" w:color="000000"/>
              <w:right w:val="single" w:sz="2" w:space="0" w:color="000000"/>
            </w:tcBorders>
            <w:vAlign w:val="center"/>
          </w:tcPr>
          <w:p w14:paraId="651C667F"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49093</w:t>
            </w:r>
          </w:p>
        </w:tc>
        <w:tc>
          <w:tcPr>
            <w:tcW w:w="758" w:type="dxa"/>
            <w:tcBorders>
              <w:top w:val="single" w:sz="2" w:space="0" w:color="000000"/>
              <w:left w:val="single" w:sz="2" w:space="0" w:color="000000"/>
              <w:bottom w:val="single" w:sz="2" w:space="0" w:color="000000"/>
              <w:right w:val="single" w:sz="2" w:space="0" w:color="000000"/>
            </w:tcBorders>
            <w:vAlign w:val="center"/>
          </w:tcPr>
          <w:p w14:paraId="0D94F812"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45641</w:t>
            </w:r>
          </w:p>
        </w:tc>
        <w:tc>
          <w:tcPr>
            <w:tcW w:w="757" w:type="dxa"/>
            <w:tcBorders>
              <w:top w:val="single" w:sz="2" w:space="0" w:color="000000"/>
              <w:left w:val="single" w:sz="2" w:space="0" w:color="000000"/>
              <w:bottom w:val="single" w:sz="2" w:space="0" w:color="000000"/>
              <w:right w:val="single" w:sz="2" w:space="0" w:color="000000"/>
            </w:tcBorders>
            <w:vAlign w:val="center"/>
          </w:tcPr>
          <w:p w14:paraId="26FD8D87"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42610</w:t>
            </w:r>
          </w:p>
        </w:tc>
        <w:tc>
          <w:tcPr>
            <w:tcW w:w="758" w:type="dxa"/>
            <w:tcBorders>
              <w:top w:val="single" w:sz="2" w:space="0" w:color="000000"/>
              <w:left w:val="single" w:sz="2" w:space="0" w:color="000000"/>
              <w:bottom w:val="single" w:sz="2" w:space="0" w:color="000000"/>
              <w:right w:val="single" w:sz="2" w:space="0" w:color="000000"/>
            </w:tcBorders>
            <w:vAlign w:val="center"/>
          </w:tcPr>
          <w:p w14:paraId="682B365A" w14:textId="21417B08" w:rsidR="00907F15" w:rsidRPr="00634E4C" w:rsidRDefault="00907F15" w:rsidP="00907F15">
            <w:pPr>
              <w:spacing w:line="259" w:lineRule="auto"/>
              <w:ind w:left="59"/>
              <w:jc w:val="left"/>
              <w:rPr>
                <w:rFonts w:asciiTheme="majorHAnsi" w:hAnsiTheme="majorHAnsi"/>
                <w:sz w:val="18"/>
              </w:rPr>
            </w:pPr>
            <w:r w:rsidRPr="000B08DE">
              <w:rPr>
                <w:sz w:val="18"/>
              </w:rPr>
              <w:t>33519</w:t>
            </w:r>
          </w:p>
        </w:tc>
      </w:tr>
      <w:tr w:rsidR="00907F15" w:rsidRPr="00364545" w14:paraId="786C1962" w14:textId="77777777" w:rsidTr="00907F15">
        <w:trPr>
          <w:trHeight w:val="342"/>
        </w:trPr>
        <w:tc>
          <w:tcPr>
            <w:tcW w:w="854" w:type="dxa"/>
            <w:tcBorders>
              <w:top w:val="single" w:sz="2" w:space="0" w:color="000000"/>
              <w:left w:val="single" w:sz="2" w:space="0" w:color="000000"/>
              <w:bottom w:val="single" w:sz="2" w:space="0" w:color="000000"/>
              <w:right w:val="single" w:sz="2" w:space="0" w:color="000000"/>
            </w:tcBorders>
            <w:shd w:val="clear" w:color="auto" w:fill="ECE6E2"/>
          </w:tcPr>
          <w:p w14:paraId="5B94ABA6" w14:textId="77777777" w:rsidR="00907F15" w:rsidRPr="00364545" w:rsidRDefault="00907F15" w:rsidP="00907F15">
            <w:pPr>
              <w:spacing w:line="259" w:lineRule="auto"/>
              <w:jc w:val="left"/>
            </w:pPr>
            <w:r w:rsidRPr="00364545">
              <w:t>N2</w:t>
            </w:r>
            <w:r w:rsidRPr="00364545">
              <w:rPr>
                <w:vertAlign w:val="subscript"/>
              </w:rPr>
              <w:t>O</w:t>
            </w:r>
            <w:r w:rsidRPr="00364545">
              <w:t xml:space="preserve"> </w:t>
            </w:r>
            <w:r w:rsidRPr="00364545">
              <w:rPr>
                <w:sz w:val="18"/>
              </w:rPr>
              <w:t xml:space="preserve">excluding LULUCF </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189F158" w14:textId="77777777" w:rsidR="00907F15" w:rsidRPr="00364545" w:rsidRDefault="00907F15" w:rsidP="00907F15">
            <w:pPr>
              <w:spacing w:line="259" w:lineRule="auto"/>
              <w:ind w:left="59"/>
              <w:jc w:val="left"/>
              <w:rPr>
                <w:sz w:val="16"/>
                <w:szCs w:val="16"/>
              </w:rPr>
            </w:pPr>
            <w:r>
              <w:rPr>
                <w:sz w:val="18"/>
                <w:szCs w:val="18"/>
              </w:rPr>
              <w:t>64725</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3FCA857" w14:textId="77777777" w:rsidR="00907F15" w:rsidRPr="00364545" w:rsidRDefault="00907F15" w:rsidP="00907F15">
            <w:pPr>
              <w:spacing w:line="259" w:lineRule="auto"/>
              <w:ind w:left="59"/>
              <w:jc w:val="left"/>
              <w:rPr>
                <w:sz w:val="16"/>
                <w:szCs w:val="16"/>
              </w:rPr>
            </w:pPr>
            <w:r>
              <w:rPr>
                <w:sz w:val="18"/>
                <w:szCs w:val="18"/>
              </w:rPr>
              <w:t>65937</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ED2F6B0" w14:textId="77777777" w:rsidR="00907F15" w:rsidRPr="00364545" w:rsidRDefault="00907F15" w:rsidP="00907F15">
            <w:pPr>
              <w:spacing w:line="259" w:lineRule="auto"/>
              <w:ind w:left="59"/>
              <w:jc w:val="left"/>
              <w:rPr>
                <w:sz w:val="16"/>
                <w:szCs w:val="16"/>
              </w:rPr>
            </w:pPr>
            <w:r>
              <w:rPr>
                <w:sz w:val="18"/>
                <w:szCs w:val="18"/>
              </w:rPr>
              <w:t>53681</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E4E72B0" w14:textId="77777777" w:rsidR="00907F15" w:rsidRPr="00364545" w:rsidRDefault="00907F15" w:rsidP="00907F15">
            <w:pPr>
              <w:spacing w:line="259" w:lineRule="auto"/>
              <w:ind w:left="59"/>
              <w:jc w:val="left"/>
              <w:rPr>
                <w:sz w:val="16"/>
                <w:szCs w:val="16"/>
              </w:rPr>
            </w:pPr>
            <w:r>
              <w:rPr>
                <w:sz w:val="18"/>
                <w:szCs w:val="18"/>
              </w:rPr>
              <w:t>46307</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929EFB" w14:textId="77777777" w:rsidR="00907F15" w:rsidRPr="00364545" w:rsidRDefault="00907F15" w:rsidP="00907F15">
            <w:pPr>
              <w:spacing w:line="259" w:lineRule="auto"/>
              <w:ind w:left="59"/>
              <w:jc w:val="left"/>
              <w:rPr>
                <w:sz w:val="16"/>
                <w:szCs w:val="16"/>
              </w:rPr>
            </w:pPr>
            <w:r>
              <w:rPr>
                <w:sz w:val="18"/>
                <w:szCs w:val="18"/>
              </w:rPr>
              <w:t>40478</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E9E33F" w14:textId="77777777" w:rsidR="00907F15" w:rsidRPr="00364545" w:rsidRDefault="00907F15" w:rsidP="00907F15">
            <w:pPr>
              <w:spacing w:line="259" w:lineRule="auto"/>
              <w:ind w:left="59"/>
              <w:jc w:val="left"/>
              <w:rPr>
                <w:sz w:val="16"/>
                <w:szCs w:val="16"/>
              </w:rPr>
            </w:pPr>
            <w:r>
              <w:rPr>
                <w:sz w:val="18"/>
                <w:szCs w:val="18"/>
              </w:rPr>
              <w:t>39895</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BF961E" w14:textId="77777777" w:rsidR="00907F15" w:rsidRPr="00364545" w:rsidRDefault="00907F15" w:rsidP="00907F15">
            <w:pPr>
              <w:spacing w:line="259" w:lineRule="auto"/>
              <w:ind w:left="59"/>
              <w:jc w:val="left"/>
              <w:rPr>
                <w:rFonts w:ascii="Calibri" w:hAnsi="Calibri"/>
                <w:sz w:val="20"/>
              </w:rPr>
            </w:pPr>
            <w:r>
              <w:rPr>
                <w:sz w:val="18"/>
                <w:szCs w:val="18"/>
              </w:rPr>
              <w:t>38071</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EED983"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40268</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1B3D8C"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37693</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14FE38"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35559</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69ACCB"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33721</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16CABB" w14:textId="6819AC62" w:rsidR="00907F15" w:rsidRPr="00634E4C" w:rsidRDefault="00907F15" w:rsidP="00907F15">
            <w:pPr>
              <w:spacing w:line="259" w:lineRule="auto"/>
              <w:ind w:left="59"/>
              <w:jc w:val="left"/>
              <w:rPr>
                <w:rFonts w:asciiTheme="majorHAnsi" w:hAnsiTheme="majorHAnsi"/>
                <w:sz w:val="18"/>
              </w:rPr>
            </w:pPr>
            <w:r w:rsidRPr="000B08DE">
              <w:rPr>
                <w:sz w:val="18"/>
              </w:rPr>
              <w:t>22856</w:t>
            </w:r>
          </w:p>
        </w:tc>
      </w:tr>
      <w:tr w:rsidR="00907F15" w:rsidRPr="00364545" w14:paraId="0CD2C6AD" w14:textId="77777777" w:rsidTr="000D1437">
        <w:trPr>
          <w:trHeight w:val="347"/>
        </w:trPr>
        <w:tc>
          <w:tcPr>
            <w:tcW w:w="854" w:type="dxa"/>
            <w:tcBorders>
              <w:top w:val="single" w:sz="2" w:space="0" w:color="000000"/>
              <w:left w:val="single" w:sz="2" w:space="0" w:color="000000"/>
              <w:bottom w:val="single" w:sz="2" w:space="0" w:color="000000"/>
              <w:right w:val="single" w:sz="2" w:space="0" w:color="000000"/>
            </w:tcBorders>
          </w:tcPr>
          <w:p w14:paraId="6616C04E" w14:textId="77777777" w:rsidR="00907F15" w:rsidRPr="00364545" w:rsidRDefault="00907F15" w:rsidP="00907F15">
            <w:pPr>
              <w:spacing w:line="259" w:lineRule="auto"/>
              <w:jc w:val="left"/>
            </w:pPr>
            <w:r w:rsidRPr="00364545">
              <w:t>N2</w:t>
            </w:r>
            <w:r w:rsidRPr="00364545">
              <w:rPr>
                <w:vertAlign w:val="subscript"/>
              </w:rPr>
              <w:t>O</w:t>
            </w:r>
            <w:r w:rsidRPr="00364545">
              <w:t xml:space="preserve"> </w:t>
            </w:r>
            <w:r w:rsidRPr="00364545">
              <w:rPr>
                <w:sz w:val="18"/>
              </w:rPr>
              <w:t xml:space="preserve">with LULUCF </w:t>
            </w:r>
          </w:p>
        </w:tc>
        <w:tc>
          <w:tcPr>
            <w:tcW w:w="757" w:type="dxa"/>
            <w:tcBorders>
              <w:top w:val="single" w:sz="2" w:space="0" w:color="000000"/>
              <w:left w:val="single" w:sz="2" w:space="0" w:color="000000"/>
              <w:bottom w:val="single" w:sz="2" w:space="0" w:color="000000"/>
              <w:right w:val="single" w:sz="2" w:space="0" w:color="000000"/>
            </w:tcBorders>
            <w:vAlign w:val="center"/>
          </w:tcPr>
          <w:p w14:paraId="11DC6C58" w14:textId="77777777" w:rsidR="00907F15" w:rsidRPr="00364545" w:rsidRDefault="00907F15" w:rsidP="00907F15">
            <w:pPr>
              <w:spacing w:line="259" w:lineRule="auto"/>
              <w:ind w:left="59"/>
              <w:jc w:val="left"/>
              <w:rPr>
                <w:sz w:val="16"/>
                <w:szCs w:val="16"/>
              </w:rPr>
            </w:pPr>
            <w:r>
              <w:rPr>
                <w:sz w:val="18"/>
                <w:szCs w:val="18"/>
              </w:rPr>
              <w:t>67951</w:t>
            </w:r>
          </w:p>
        </w:tc>
        <w:tc>
          <w:tcPr>
            <w:tcW w:w="758" w:type="dxa"/>
            <w:tcBorders>
              <w:top w:val="single" w:sz="2" w:space="0" w:color="000000"/>
              <w:left w:val="single" w:sz="2" w:space="0" w:color="000000"/>
              <w:bottom w:val="single" w:sz="2" w:space="0" w:color="000000"/>
              <w:right w:val="single" w:sz="2" w:space="0" w:color="000000"/>
            </w:tcBorders>
            <w:vAlign w:val="center"/>
          </w:tcPr>
          <w:p w14:paraId="5035370C" w14:textId="77777777" w:rsidR="00907F15" w:rsidRPr="00364545" w:rsidRDefault="00907F15" w:rsidP="00907F15">
            <w:pPr>
              <w:spacing w:line="259" w:lineRule="auto"/>
              <w:ind w:left="59"/>
              <w:jc w:val="left"/>
              <w:rPr>
                <w:sz w:val="16"/>
                <w:szCs w:val="16"/>
              </w:rPr>
            </w:pPr>
            <w:r>
              <w:rPr>
                <w:sz w:val="18"/>
                <w:szCs w:val="18"/>
              </w:rPr>
              <w:t>69183</w:t>
            </w:r>
          </w:p>
        </w:tc>
        <w:tc>
          <w:tcPr>
            <w:tcW w:w="757" w:type="dxa"/>
            <w:tcBorders>
              <w:top w:val="single" w:sz="2" w:space="0" w:color="000000"/>
              <w:left w:val="single" w:sz="2" w:space="0" w:color="000000"/>
              <w:bottom w:val="single" w:sz="2" w:space="0" w:color="000000"/>
              <w:right w:val="single" w:sz="2" w:space="0" w:color="000000"/>
            </w:tcBorders>
            <w:vAlign w:val="center"/>
          </w:tcPr>
          <w:p w14:paraId="248DA15A" w14:textId="77777777" w:rsidR="00907F15" w:rsidRPr="00364545" w:rsidRDefault="00907F15" w:rsidP="00907F15">
            <w:pPr>
              <w:spacing w:line="259" w:lineRule="auto"/>
              <w:ind w:left="59"/>
              <w:jc w:val="left"/>
              <w:rPr>
                <w:sz w:val="16"/>
                <w:szCs w:val="16"/>
              </w:rPr>
            </w:pPr>
            <w:r>
              <w:rPr>
                <w:sz w:val="18"/>
                <w:szCs w:val="18"/>
              </w:rPr>
              <w:t>56873</w:t>
            </w:r>
          </w:p>
        </w:tc>
        <w:tc>
          <w:tcPr>
            <w:tcW w:w="758" w:type="dxa"/>
            <w:tcBorders>
              <w:top w:val="single" w:sz="2" w:space="0" w:color="000000"/>
              <w:left w:val="single" w:sz="2" w:space="0" w:color="000000"/>
              <w:bottom w:val="single" w:sz="2" w:space="0" w:color="000000"/>
              <w:right w:val="single" w:sz="2" w:space="0" w:color="000000"/>
            </w:tcBorders>
            <w:vAlign w:val="center"/>
          </w:tcPr>
          <w:p w14:paraId="6873B2F0" w14:textId="77777777" w:rsidR="00907F15" w:rsidRPr="00364545" w:rsidRDefault="00907F15" w:rsidP="00907F15">
            <w:pPr>
              <w:spacing w:line="259" w:lineRule="auto"/>
              <w:ind w:left="59"/>
              <w:jc w:val="left"/>
              <w:rPr>
                <w:sz w:val="16"/>
                <w:szCs w:val="16"/>
              </w:rPr>
            </w:pPr>
            <w:r>
              <w:rPr>
                <w:sz w:val="18"/>
                <w:szCs w:val="18"/>
              </w:rPr>
              <w:t>49279</w:t>
            </w:r>
          </w:p>
        </w:tc>
        <w:tc>
          <w:tcPr>
            <w:tcW w:w="757" w:type="dxa"/>
            <w:tcBorders>
              <w:top w:val="single" w:sz="2" w:space="0" w:color="000000"/>
              <w:left w:val="single" w:sz="2" w:space="0" w:color="000000"/>
              <w:bottom w:val="single" w:sz="2" w:space="0" w:color="000000"/>
              <w:right w:val="single" w:sz="2" w:space="0" w:color="000000"/>
            </w:tcBorders>
            <w:vAlign w:val="center"/>
          </w:tcPr>
          <w:p w14:paraId="39A498B3" w14:textId="77777777" w:rsidR="00907F15" w:rsidRPr="00364545" w:rsidRDefault="00907F15" w:rsidP="00907F15">
            <w:pPr>
              <w:spacing w:line="259" w:lineRule="auto"/>
              <w:ind w:left="59"/>
              <w:jc w:val="left"/>
              <w:rPr>
                <w:sz w:val="16"/>
                <w:szCs w:val="16"/>
              </w:rPr>
            </w:pPr>
            <w:r>
              <w:rPr>
                <w:sz w:val="18"/>
                <w:szCs w:val="18"/>
              </w:rPr>
              <w:t>43694</w:t>
            </w:r>
          </w:p>
        </w:tc>
        <w:tc>
          <w:tcPr>
            <w:tcW w:w="758" w:type="dxa"/>
            <w:tcBorders>
              <w:top w:val="single" w:sz="2" w:space="0" w:color="000000"/>
              <w:left w:val="single" w:sz="2" w:space="0" w:color="000000"/>
              <w:bottom w:val="single" w:sz="2" w:space="0" w:color="000000"/>
              <w:right w:val="single" w:sz="2" w:space="0" w:color="000000"/>
            </w:tcBorders>
            <w:vAlign w:val="center"/>
          </w:tcPr>
          <w:p w14:paraId="7A82DA00" w14:textId="77777777" w:rsidR="00907F15" w:rsidRPr="00364545" w:rsidRDefault="00907F15" w:rsidP="00907F15">
            <w:pPr>
              <w:spacing w:line="259" w:lineRule="auto"/>
              <w:ind w:left="59"/>
              <w:jc w:val="left"/>
              <w:rPr>
                <w:sz w:val="16"/>
                <w:szCs w:val="16"/>
              </w:rPr>
            </w:pPr>
            <w:r>
              <w:rPr>
                <w:sz w:val="18"/>
                <w:szCs w:val="18"/>
              </w:rPr>
              <w:t>42840</w:t>
            </w:r>
          </w:p>
        </w:tc>
        <w:tc>
          <w:tcPr>
            <w:tcW w:w="757" w:type="dxa"/>
            <w:tcBorders>
              <w:top w:val="single" w:sz="2" w:space="0" w:color="000000"/>
              <w:left w:val="single" w:sz="2" w:space="0" w:color="000000"/>
              <w:bottom w:val="single" w:sz="2" w:space="0" w:color="000000"/>
              <w:right w:val="single" w:sz="2" w:space="0" w:color="000000"/>
            </w:tcBorders>
            <w:vAlign w:val="center"/>
          </w:tcPr>
          <w:p w14:paraId="08F21D14" w14:textId="77777777" w:rsidR="00907F15" w:rsidRPr="00364545" w:rsidRDefault="00907F15" w:rsidP="00907F15">
            <w:pPr>
              <w:spacing w:line="259" w:lineRule="auto"/>
              <w:ind w:left="59"/>
              <w:jc w:val="left"/>
              <w:rPr>
                <w:rFonts w:ascii="Calibri" w:hAnsi="Calibri"/>
                <w:sz w:val="20"/>
              </w:rPr>
            </w:pPr>
            <w:r>
              <w:rPr>
                <w:sz w:val="18"/>
                <w:szCs w:val="18"/>
              </w:rPr>
              <w:t>40939</w:t>
            </w:r>
          </w:p>
        </w:tc>
        <w:tc>
          <w:tcPr>
            <w:tcW w:w="758" w:type="dxa"/>
            <w:tcBorders>
              <w:top w:val="single" w:sz="2" w:space="0" w:color="000000"/>
              <w:left w:val="single" w:sz="2" w:space="0" w:color="000000"/>
              <w:bottom w:val="single" w:sz="2" w:space="0" w:color="000000"/>
              <w:right w:val="single" w:sz="2" w:space="0" w:color="000000"/>
            </w:tcBorders>
            <w:vAlign w:val="center"/>
          </w:tcPr>
          <w:p w14:paraId="4B522B1B"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43352</w:t>
            </w:r>
          </w:p>
        </w:tc>
        <w:tc>
          <w:tcPr>
            <w:tcW w:w="757" w:type="dxa"/>
            <w:tcBorders>
              <w:top w:val="single" w:sz="2" w:space="0" w:color="000000"/>
              <w:left w:val="single" w:sz="2" w:space="0" w:color="000000"/>
              <w:bottom w:val="single" w:sz="2" w:space="0" w:color="000000"/>
              <w:right w:val="single" w:sz="2" w:space="0" w:color="000000"/>
            </w:tcBorders>
            <w:vAlign w:val="center"/>
          </w:tcPr>
          <w:p w14:paraId="2A4C9668"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40778</w:t>
            </w:r>
          </w:p>
        </w:tc>
        <w:tc>
          <w:tcPr>
            <w:tcW w:w="758" w:type="dxa"/>
            <w:tcBorders>
              <w:top w:val="single" w:sz="2" w:space="0" w:color="000000"/>
              <w:left w:val="single" w:sz="2" w:space="0" w:color="000000"/>
              <w:bottom w:val="single" w:sz="2" w:space="0" w:color="000000"/>
              <w:right w:val="single" w:sz="2" w:space="0" w:color="000000"/>
            </w:tcBorders>
            <w:vAlign w:val="center"/>
          </w:tcPr>
          <w:p w14:paraId="5732E753"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38641</w:t>
            </w:r>
          </w:p>
        </w:tc>
        <w:tc>
          <w:tcPr>
            <w:tcW w:w="757" w:type="dxa"/>
            <w:tcBorders>
              <w:top w:val="single" w:sz="2" w:space="0" w:color="000000"/>
              <w:left w:val="single" w:sz="2" w:space="0" w:color="000000"/>
              <w:bottom w:val="single" w:sz="2" w:space="0" w:color="000000"/>
              <w:right w:val="single" w:sz="2" w:space="0" w:color="000000"/>
            </w:tcBorders>
            <w:vAlign w:val="center"/>
          </w:tcPr>
          <w:p w14:paraId="56E1494C"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36797</w:t>
            </w:r>
          </w:p>
        </w:tc>
        <w:tc>
          <w:tcPr>
            <w:tcW w:w="758" w:type="dxa"/>
            <w:tcBorders>
              <w:top w:val="single" w:sz="2" w:space="0" w:color="000000"/>
              <w:left w:val="single" w:sz="2" w:space="0" w:color="000000"/>
              <w:bottom w:val="single" w:sz="2" w:space="0" w:color="000000"/>
              <w:right w:val="single" w:sz="2" w:space="0" w:color="000000"/>
            </w:tcBorders>
            <w:vAlign w:val="center"/>
          </w:tcPr>
          <w:p w14:paraId="1BC5C2E7" w14:textId="3BF71A92" w:rsidR="00907F15" w:rsidRPr="00634E4C" w:rsidRDefault="00907F15" w:rsidP="00907F15">
            <w:pPr>
              <w:spacing w:line="259" w:lineRule="auto"/>
              <w:ind w:left="59"/>
              <w:jc w:val="left"/>
              <w:rPr>
                <w:rFonts w:asciiTheme="majorHAnsi" w:hAnsiTheme="majorHAnsi"/>
                <w:sz w:val="18"/>
              </w:rPr>
            </w:pPr>
            <w:r w:rsidRPr="000B08DE">
              <w:rPr>
                <w:sz w:val="18"/>
              </w:rPr>
              <w:t>25914</w:t>
            </w:r>
          </w:p>
        </w:tc>
      </w:tr>
      <w:tr w:rsidR="00907F15" w:rsidRPr="00364545" w14:paraId="0F8303D1" w14:textId="77777777" w:rsidTr="00907F15">
        <w:trPr>
          <w:trHeight w:val="344"/>
        </w:trPr>
        <w:tc>
          <w:tcPr>
            <w:tcW w:w="854" w:type="dxa"/>
            <w:tcBorders>
              <w:top w:val="single" w:sz="2" w:space="0" w:color="000000"/>
              <w:left w:val="single" w:sz="2" w:space="0" w:color="000000"/>
              <w:bottom w:val="single" w:sz="2" w:space="0" w:color="000000"/>
              <w:right w:val="single" w:sz="2" w:space="0" w:color="000000"/>
            </w:tcBorders>
            <w:shd w:val="clear" w:color="auto" w:fill="ECE6E2"/>
          </w:tcPr>
          <w:p w14:paraId="0D1C9B84" w14:textId="77777777" w:rsidR="00907F15" w:rsidRPr="00364545" w:rsidRDefault="00907F15" w:rsidP="00907F15">
            <w:pPr>
              <w:spacing w:line="259" w:lineRule="auto"/>
              <w:jc w:val="left"/>
            </w:pPr>
            <w:r w:rsidRPr="00364545">
              <w:rPr>
                <w:sz w:val="18"/>
              </w:rPr>
              <w:t xml:space="preserve">HFCs </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D86C111" w14:textId="77777777" w:rsidR="00907F15" w:rsidRPr="00364545" w:rsidRDefault="00907F15" w:rsidP="00907F15">
            <w:pPr>
              <w:spacing w:line="259" w:lineRule="auto"/>
              <w:ind w:left="59"/>
              <w:jc w:val="left"/>
              <w:rPr>
                <w:sz w:val="16"/>
                <w:szCs w:val="16"/>
              </w:rPr>
            </w:pPr>
            <w:r>
              <w:rPr>
                <w:sz w:val="18"/>
                <w:szCs w:val="18"/>
              </w:rPr>
              <w:t>4402</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5A95FCC" w14:textId="77777777" w:rsidR="00907F15" w:rsidRPr="00364545" w:rsidRDefault="00907F15" w:rsidP="00907F15">
            <w:pPr>
              <w:spacing w:line="259" w:lineRule="auto"/>
              <w:ind w:left="59"/>
              <w:jc w:val="left"/>
              <w:rPr>
                <w:sz w:val="16"/>
                <w:szCs w:val="16"/>
              </w:rPr>
            </w:pPr>
            <w:r>
              <w:rPr>
                <w:sz w:val="18"/>
                <w:szCs w:val="18"/>
              </w:rPr>
              <w:t>1702</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CCFEE8" w14:textId="77777777" w:rsidR="00907F15" w:rsidRPr="00364545" w:rsidRDefault="00907F15" w:rsidP="00907F15">
            <w:pPr>
              <w:spacing w:line="259" w:lineRule="auto"/>
              <w:ind w:left="59"/>
              <w:jc w:val="left"/>
              <w:rPr>
                <w:sz w:val="16"/>
                <w:szCs w:val="16"/>
              </w:rPr>
            </w:pPr>
            <w:r>
              <w:rPr>
                <w:sz w:val="18"/>
                <w:szCs w:val="18"/>
              </w:rPr>
              <w:t>6736</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C5BF668" w14:textId="77777777" w:rsidR="00907F15" w:rsidRPr="00364545" w:rsidRDefault="00907F15" w:rsidP="00907F15">
            <w:pPr>
              <w:spacing w:line="259" w:lineRule="auto"/>
              <w:ind w:left="59"/>
              <w:jc w:val="left"/>
              <w:rPr>
                <w:sz w:val="16"/>
                <w:szCs w:val="16"/>
              </w:rPr>
            </w:pPr>
            <w:r>
              <w:rPr>
                <w:sz w:val="18"/>
                <w:szCs w:val="18"/>
              </w:rPr>
              <w:t>12862</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08AB62" w14:textId="77777777" w:rsidR="00907F15" w:rsidRPr="00364545" w:rsidRDefault="00907F15" w:rsidP="00907F15">
            <w:pPr>
              <w:spacing w:line="259" w:lineRule="auto"/>
              <w:ind w:left="59"/>
              <w:jc w:val="left"/>
              <w:rPr>
                <w:sz w:val="16"/>
                <w:szCs w:val="16"/>
              </w:rPr>
            </w:pPr>
            <w:r>
              <w:rPr>
                <w:sz w:val="18"/>
                <w:szCs w:val="18"/>
              </w:rPr>
              <w:t>16930</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A37989" w14:textId="77777777" w:rsidR="00907F15" w:rsidRPr="00364545" w:rsidRDefault="00907F15" w:rsidP="00907F15">
            <w:pPr>
              <w:spacing w:line="259" w:lineRule="auto"/>
              <w:ind w:left="59"/>
              <w:jc w:val="left"/>
              <w:rPr>
                <w:sz w:val="16"/>
                <w:szCs w:val="16"/>
              </w:rPr>
            </w:pPr>
            <w:r>
              <w:rPr>
                <w:sz w:val="18"/>
                <w:szCs w:val="18"/>
              </w:rPr>
              <w:t>17494</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7A59AE" w14:textId="77777777" w:rsidR="00907F15" w:rsidRPr="00364545" w:rsidRDefault="00907F15" w:rsidP="00907F15">
            <w:pPr>
              <w:spacing w:line="259" w:lineRule="auto"/>
              <w:ind w:left="59"/>
              <w:jc w:val="left"/>
              <w:rPr>
                <w:rFonts w:ascii="Calibri" w:hAnsi="Calibri"/>
                <w:sz w:val="20"/>
              </w:rPr>
            </w:pPr>
            <w:r>
              <w:rPr>
                <w:sz w:val="18"/>
                <w:szCs w:val="18"/>
              </w:rPr>
              <w:t>12992</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CF4B0B"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14731</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7EAEE1"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7995</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07A4F6"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5241</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504630"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4458</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4A16A98" w14:textId="11C32D42"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2109</w:t>
            </w:r>
          </w:p>
        </w:tc>
      </w:tr>
      <w:tr w:rsidR="00907F15" w:rsidRPr="00364545" w14:paraId="1794DB52" w14:textId="77777777" w:rsidTr="000D1437">
        <w:trPr>
          <w:trHeight w:val="347"/>
        </w:trPr>
        <w:tc>
          <w:tcPr>
            <w:tcW w:w="854" w:type="dxa"/>
            <w:tcBorders>
              <w:top w:val="single" w:sz="2" w:space="0" w:color="000000"/>
              <w:left w:val="single" w:sz="2" w:space="0" w:color="000000"/>
              <w:bottom w:val="single" w:sz="2" w:space="0" w:color="000000"/>
              <w:right w:val="single" w:sz="2" w:space="0" w:color="000000"/>
            </w:tcBorders>
          </w:tcPr>
          <w:p w14:paraId="30361E0D" w14:textId="77777777" w:rsidR="00907F15" w:rsidRPr="00364545" w:rsidRDefault="00907F15" w:rsidP="00907F15">
            <w:pPr>
              <w:spacing w:line="259" w:lineRule="auto"/>
              <w:jc w:val="left"/>
            </w:pPr>
            <w:r w:rsidRPr="00364545">
              <w:rPr>
                <w:sz w:val="18"/>
              </w:rPr>
              <w:t xml:space="preserve">PFCs </w:t>
            </w:r>
          </w:p>
        </w:tc>
        <w:tc>
          <w:tcPr>
            <w:tcW w:w="757" w:type="dxa"/>
            <w:tcBorders>
              <w:top w:val="single" w:sz="2" w:space="0" w:color="000000"/>
              <w:left w:val="single" w:sz="2" w:space="0" w:color="000000"/>
              <w:bottom w:val="single" w:sz="2" w:space="0" w:color="000000"/>
              <w:right w:val="single" w:sz="2" w:space="0" w:color="000000"/>
            </w:tcBorders>
            <w:vAlign w:val="center"/>
          </w:tcPr>
          <w:p w14:paraId="272BAA3F" w14:textId="77777777" w:rsidR="00907F15" w:rsidRPr="00364545" w:rsidRDefault="00907F15" w:rsidP="00907F15">
            <w:pPr>
              <w:spacing w:line="259" w:lineRule="auto"/>
              <w:ind w:left="59"/>
              <w:jc w:val="left"/>
              <w:rPr>
                <w:sz w:val="16"/>
                <w:szCs w:val="16"/>
              </w:rPr>
            </w:pPr>
            <w:r>
              <w:rPr>
                <w:sz w:val="18"/>
                <w:szCs w:val="18"/>
              </w:rPr>
              <w:t>5202</w:t>
            </w:r>
          </w:p>
        </w:tc>
        <w:tc>
          <w:tcPr>
            <w:tcW w:w="758" w:type="dxa"/>
            <w:tcBorders>
              <w:top w:val="single" w:sz="2" w:space="0" w:color="000000"/>
              <w:left w:val="single" w:sz="2" w:space="0" w:color="000000"/>
              <w:bottom w:val="single" w:sz="2" w:space="0" w:color="000000"/>
              <w:right w:val="single" w:sz="2" w:space="0" w:color="000000"/>
            </w:tcBorders>
            <w:vAlign w:val="center"/>
          </w:tcPr>
          <w:p w14:paraId="512EFE57" w14:textId="77777777" w:rsidR="00907F15" w:rsidRPr="00364545" w:rsidRDefault="00907F15" w:rsidP="00907F15">
            <w:pPr>
              <w:spacing w:line="259" w:lineRule="auto"/>
              <w:ind w:left="59"/>
              <w:jc w:val="left"/>
              <w:rPr>
                <w:sz w:val="16"/>
                <w:szCs w:val="16"/>
              </w:rPr>
            </w:pPr>
            <w:r w:rsidRPr="00634E4C">
              <w:rPr>
                <w:sz w:val="18"/>
              </w:rPr>
              <w:t>3065</w:t>
            </w:r>
          </w:p>
        </w:tc>
        <w:tc>
          <w:tcPr>
            <w:tcW w:w="757" w:type="dxa"/>
            <w:tcBorders>
              <w:top w:val="single" w:sz="2" w:space="0" w:color="000000"/>
              <w:left w:val="single" w:sz="2" w:space="0" w:color="000000"/>
              <w:bottom w:val="single" w:sz="2" w:space="0" w:color="000000"/>
              <w:right w:val="single" w:sz="2" w:space="0" w:color="000000"/>
            </w:tcBorders>
            <w:vAlign w:val="center"/>
          </w:tcPr>
          <w:p w14:paraId="12E02613" w14:textId="77777777" w:rsidR="00907F15" w:rsidRPr="00364545" w:rsidRDefault="00907F15" w:rsidP="00907F15">
            <w:pPr>
              <w:spacing w:line="259" w:lineRule="auto"/>
              <w:ind w:left="59"/>
              <w:jc w:val="left"/>
              <w:rPr>
                <w:sz w:val="16"/>
                <w:szCs w:val="16"/>
              </w:rPr>
            </w:pPr>
            <w:r w:rsidRPr="00634E4C">
              <w:rPr>
                <w:sz w:val="18"/>
              </w:rPr>
              <w:t>2997</w:t>
            </w:r>
          </w:p>
        </w:tc>
        <w:tc>
          <w:tcPr>
            <w:tcW w:w="758" w:type="dxa"/>
            <w:tcBorders>
              <w:top w:val="single" w:sz="2" w:space="0" w:color="000000"/>
              <w:left w:val="single" w:sz="2" w:space="0" w:color="000000"/>
              <w:bottom w:val="single" w:sz="2" w:space="0" w:color="000000"/>
              <w:right w:val="single" w:sz="2" w:space="0" w:color="000000"/>
            </w:tcBorders>
            <w:vAlign w:val="center"/>
          </w:tcPr>
          <w:p w14:paraId="3C2171E8" w14:textId="77777777" w:rsidR="00907F15" w:rsidRPr="00364545" w:rsidRDefault="00907F15" w:rsidP="00907F15">
            <w:pPr>
              <w:spacing w:line="259" w:lineRule="auto"/>
              <w:ind w:left="59"/>
              <w:jc w:val="left"/>
              <w:rPr>
                <w:sz w:val="16"/>
                <w:szCs w:val="16"/>
              </w:rPr>
            </w:pPr>
            <w:r w:rsidRPr="00634E4C">
              <w:rPr>
                <w:sz w:val="18"/>
              </w:rPr>
              <w:t>1760</w:t>
            </w:r>
          </w:p>
        </w:tc>
        <w:tc>
          <w:tcPr>
            <w:tcW w:w="757" w:type="dxa"/>
            <w:tcBorders>
              <w:top w:val="single" w:sz="2" w:space="0" w:color="000000"/>
              <w:left w:val="single" w:sz="2" w:space="0" w:color="000000"/>
              <w:bottom w:val="single" w:sz="2" w:space="0" w:color="000000"/>
              <w:right w:val="single" w:sz="2" w:space="0" w:color="000000"/>
            </w:tcBorders>
            <w:vAlign w:val="center"/>
          </w:tcPr>
          <w:p w14:paraId="6A1BA44D" w14:textId="77777777" w:rsidR="00907F15" w:rsidRPr="00364545" w:rsidRDefault="00907F15" w:rsidP="00907F15">
            <w:pPr>
              <w:spacing w:line="259" w:lineRule="auto"/>
              <w:ind w:left="59"/>
              <w:jc w:val="left"/>
              <w:rPr>
                <w:sz w:val="16"/>
                <w:szCs w:val="16"/>
              </w:rPr>
            </w:pPr>
            <w:r w:rsidRPr="00634E4C">
              <w:rPr>
                <w:sz w:val="18"/>
              </w:rPr>
              <w:t>617</w:t>
            </w:r>
          </w:p>
        </w:tc>
        <w:tc>
          <w:tcPr>
            <w:tcW w:w="758" w:type="dxa"/>
            <w:tcBorders>
              <w:top w:val="single" w:sz="2" w:space="0" w:color="000000"/>
              <w:left w:val="single" w:sz="2" w:space="0" w:color="000000"/>
              <w:bottom w:val="single" w:sz="2" w:space="0" w:color="000000"/>
              <w:right w:val="single" w:sz="2" w:space="0" w:color="000000"/>
            </w:tcBorders>
            <w:vAlign w:val="center"/>
          </w:tcPr>
          <w:p w14:paraId="417B01B4" w14:textId="77777777" w:rsidR="00907F15" w:rsidRPr="00364545" w:rsidRDefault="00907F15" w:rsidP="00907F15">
            <w:pPr>
              <w:spacing w:line="259" w:lineRule="auto"/>
              <w:ind w:left="59"/>
              <w:jc w:val="left"/>
              <w:rPr>
                <w:sz w:val="16"/>
                <w:szCs w:val="16"/>
              </w:rPr>
            </w:pPr>
            <w:r w:rsidRPr="00634E4C">
              <w:rPr>
                <w:sz w:val="18"/>
              </w:rPr>
              <w:t>537</w:t>
            </w:r>
          </w:p>
        </w:tc>
        <w:tc>
          <w:tcPr>
            <w:tcW w:w="757" w:type="dxa"/>
            <w:tcBorders>
              <w:top w:val="single" w:sz="2" w:space="0" w:color="000000"/>
              <w:left w:val="single" w:sz="2" w:space="0" w:color="000000"/>
              <w:bottom w:val="single" w:sz="2" w:space="0" w:color="000000"/>
              <w:right w:val="single" w:sz="2" w:space="0" w:color="000000"/>
            </w:tcBorders>
            <w:vAlign w:val="center"/>
          </w:tcPr>
          <w:p w14:paraId="26FD272A" w14:textId="77777777" w:rsidR="00907F15" w:rsidRPr="00364545" w:rsidRDefault="00907F15" w:rsidP="00907F15">
            <w:pPr>
              <w:spacing w:line="259" w:lineRule="auto"/>
              <w:ind w:left="59"/>
              <w:jc w:val="left"/>
              <w:rPr>
                <w:rFonts w:ascii="Calibri" w:hAnsi="Calibri"/>
                <w:sz w:val="20"/>
              </w:rPr>
            </w:pPr>
            <w:r>
              <w:rPr>
                <w:sz w:val="18"/>
                <w:szCs w:val="18"/>
              </w:rPr>
              <w:t>615</w:t>
            </w:r>
          </w:p>
        </w:tc>
        <w:tc>
          <w:tcPr>
            <w:tcW w:w="758" w:type="dxa"/>
            <w:tcBorders>
              <w:top w:val="single" w:sz="2" w:space="0" w:color="000000"/>
              <w:left w:val="single" w:sz="2" w:space="0" w:color="000000"/>
              <w:bottom w:val="single" w:sz="2" w:space="0" w:color="000000"/>
              <w:right w:val="single" w:sz="2" w:space="0" w:color="000000"/>
            </w:tcBorders>
            <w:vAlign w:val="center"/>
          </w:tcPr>
          <w:p w14:paraId="58D448C1"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479</w:t>
            </w:r>
          </w:p>
        </w:tc>
        <w:tc>
          <w:tcPr>
            <w:tcW w:w="757" w:type="dxa"/>
            <w:tcBorders>
              <w:top w:val="single" w:sz="2" w:space="0" w:color="000000"/>
              <w:left w:val="single" w:sz="2" w:space="0" w:color="000000"/>
              <w:bottom w:val="single" w:sz="2" w:space="0" w:color="000000"/>
              <w:right w:val="single" w:sz="2" w:space="0" w:color="000000"/>
            </w:tcBorders>
            <w:vAlign w:val="center"/>
          </w:tcPr>
          <w:p w14:paraId="62F7ED6D"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395</w:t>
            </w:r>
          </w:p>
        </w:tc>
        <w:tc>
          <w:tcPr>
            <w:tcW w:w="758" w:type="dxa"/>
            <w:tcBorders>
              <w:top w:val="single" w:sz="2" w:space="0" w:color="000000"/>
              <w:left w:val="single" w:sz="2" w:space="0" w:color="000000"/>
              <w:bottom w:val="single" w:sz="2" w:space="0" w:color="000000"/>
              <w:right w:val="single" w:sz="2" w:space="0" w:color="000000"/>
            </w:tcBorders>
            <w:vAlign w:val="center"/>
          </w:tcPr>
          <w:p w14:paraId="5C5C5C37"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330</w:t>
            </w:r>
          </w:p>
        </w:tc>
        <w:tc>
          <w:tcPr>
            <w:tcW w:w="757" w:type="dxa"/>
            <w:tcBorders>
              <w:top w:val="single" w:sz="2" w:space="0" w:color="000000"/>
              <w:left w:val="single" w:sz="2" w:space="0" w:color="000000"/>
              <w:bottom w:val="single" w:sz="2" w:space="0" w:color="000000"/>
              <w:right w:val="single" w:sz="2" w:space="0" w:color="000000"/>
            </w:tcBorders>
            <w:vAlign w:val="center"/>
          </w:tcPr>
          <w:p w14:paraId="5E4AA037"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299</w:t>
            </w:r>
          </w:p>
        </w:tc>
        <w:tc>
          <w:tcPr>
            <w:tcW w:w="758" w:type="dxa"/>
            <w:tcBorders>
              <w:top w:val="single" w:sz="2" w:space="0" w:color="000000"/>
              <w:left w:val="single" w:sz="2" w:space="0" w:color="000000"/>
              <w:bottom w:val="single" w:sz="2" w:space="0" w:color="000000"/>
              <w:right w:val="single" w:sz="2" w:space="0" w:color="000000"/>
            </w:tcBorders>
            <w:vAlign w:val="center"/>
          </w:tcPr>
          <w:p w14:paraId="6FF14FF2" w14:textId="07ABE4C4"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205</w:t>
            </w:r>
          </w:p>
        </w:tc>
      </w:tr>
      <w:tr w:rsidR="00907F15" w:rsidRPr="00364545" w14:paraId="27043108" w14:textId="77777777" w:rsidTr="00907F15">
        <w:trPr>
          <w:trHeight w:val="342"/>
        </w:trPr>
        <w:tc>
          <w:tcPr>
            <w:tcW w:w="854" w:type="dxa"/>
            <w:tcBorders>
              <w:top w:val="single" w:sz="2" w:space="0" w:color="000000"/>
              <w:left w:val="single" w:sz="2" w:space="0" w:color="000000"/>
              <w:bottom w:val="single" w:sz="2" w:space="0" w:color="000000"/>
              <w:right w:val="single" w:sz="2" w:space="0" w:color="000000"/>
            </w:tcBorders>
            <w:shd w:val="clear" w:color="auto" w:fill="ECE6E2"/>
          </w:tcPr>
          <w:p w14:paraId="44AE9B8D" w14:textId="77777777" w:rsidR="00907F15" w:rsidRPr="00364545" w:rsidRDefault="00907F15" w:rsidP="00907F15">
            <w:pPr>
              <w:spacing w:line="259" w:lineRule="auto"/>
              <w:jc w:val="left"/>
            </w:pPr>
            <w:r w:rsidRPr="00364545">
              <w:t>SF</w:t>
            </w:r>
            <w:r w:rsidRPr="00364545">
              <w:rPr>
                <w:vertAlign w:val="subscript"/>
              </w:rPr>
              <w:t>6</w:t>
            </w:r>
            <w:r w:rsidRPr="00364545">
              <w:rPr>
                <w:sz w:val="18"/>
              </w:rPr>
              <w:t xml:space="preserve"> </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9243FD" w14:textId="77777777" w:rsidR="00907F15" w:rsidRPr="00364545" w:rsidRDefault="00907F15" w:rsidP="00907F15">
            <w:pPr>
              <w:spacing w:line="259" w:lineRule="auto"/>
              <w:ind w:left="59"/>
              <w:jc w:val="left"/>
              <w:rPr>
                <w:sz w:val="16"/>
                <w:szCs w:val="16"/>
              </w:rPr>
            </w:pPr>
            <w:r>
              <w:rPr>
                <w:sz w:val="18"/>
                <w:szCs w:val="18"/>
              </w:rPr>
              <w:t>2155</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4743F5" w14:textId="77777777" w:rsidR="00907F15" w:rsidRPr="00364545" w:rsidRDefault="00907F15" w:rsidP="00907F15">
            <w:pPr>
              <w:spacing w:line="259" w:lineRule="auto"/>
              <w:ind w:left="59"/>
              <w:jc w:val="left"/>
              <w:rPr>
                <w:sz w:val="16"/>
                <w:szCs w:val="16"/>
              </w:rPr>
            </w:pPr>
            <w:r>
              <w:rPr>
                <w:sz w:val="18"/>
                <w:szCs w:val="18"/>
              </w:rPr>
              <w:t>2467</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07025D" w14:textId="77777777" w:rsidR="00907F15" w:rsidRPr="00364545" w:rsidRDefault="00907F15" w:rsidP="00907F15">
            <w:pPr>
              <w:spacing w:line="259" w:lineRule="auto"/>
              <w:ind w:left="59"/>
              <w:jc w:val="left"/>
              <w:rPr>
                <w:sz w:val="16"/>
                <w:szCs w:val="16"/>
              </w:rPr>
            </w:pPr>
            <w:r>
              <w:rPr>
                <w:sz w:val="18"/>
                <w:szCs w:val="18"/>
              </w:rPr>
              <w:t>2180</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F2AD6F" w14:textId="77777777" w:rsidR="00907F15" w:rsidRPr="00364545" w:rsidRDefault="00907F15" w:rsidP="00907F15">
            <w:pPr>
              <w:spacing w:line="259" w:lineRule="auto"/>
              <w:ind w:left="59"/>
              <w:jc w:val="left"/>
              <w:rPr>
                <w:sz w:val="16"/>
                <w:szCs w:val="16"/>
              </w:rPr>
            </w:pPr>
            <w:r w:rsidRPr="00634E4C">
              <w:rPr>
                <w:sz w:val="18"/>
              </w:rPr>
              <w:t>1355</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F45AB5" w14:textId="77777777" w:rsidR="00907F15" w:rsidRPr="00364545" w:rsidRDefault="00907F15" w:rsidP="00907F15">
            <w:pPr>
              <w:spacing w:line="259" w:lineRule="auto"/>
              <w:ind w:left="59"/>
              <w:jc w:val="left"/>
              <w:rPr>
                <w:sz w:val="16"/>
                <w:szCs w:val="16"/>
              </w:rPr>
            </w:pPr>
            <w:r>
              <w:rPr>
                <w:sz w:val="18"/>
                <w:szCs w:val="18"/>
              </w:rPr>
              <w:t>875</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48B45C" w14:textId="77777777" w:rsidR="00907F15" w:rsidRPr="00364545" w:rsidRDefault="00907F15" w:rsidP="00907F15">
            <w:pPr>
              <w:spacing w:line="259" w:lineRule="auto"/>
              <w:ind w:left="59"/>
              <w:jc w:val="left"/>
              <w:rPr>
                <w:sz w:val="16"/>
                <w:szCs w:val="16"/>
              </w:rPr>
            </w:pPr>
            <w:r>
              <w:rPr>
                <w:sz w:val="18"/>
                <w:szCs w:val="18"/>
              </w:rPr>
              <w:t>498</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3C08C3" w14:textId="77777777" w:rsidR="00907F15" w:rsidRPr="00364545" w:rsidRDefault="00907F15" w:rsidP="00907F15">
            <w:pPr>
              <w:spacing w:line="259" w:lineRule="auto"/>
              <w:ind w:left="59"/>
              <w:jc w:val="left"/>
              <w:rPr>
                <w:rFonts w:ascii="Calibri" w:hAnsi="Calibri"/>
                <w:sz w:val="20"/>
              </w:rPr>
            </w:pPr>
            <w:r>
              <w:rPr>
                <w:sz w:val="18"/>
                <w:szCs w:val="18"/>
              </w:rPr>
              <w:t>385</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28E46D"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458</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CFFD4C"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459</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34FBF6"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460</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B304C6"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460</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CB1C29" w14:textId="6873F7FC"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463</w:t>
            </w:r>
          </w:p>
        </w:tc>
      </w:tr>
      <w:tr w:rsidR="00907F15" w:rsidRPr="00364545" w14:paraId="3BC91C86" w14:textId="77777777" w:rsidTr="000D1437">
        <w:trPr>
          <w:trHeight w:val="347"/>
        </w:trPr>
        <w:tc>
          <w:tcPr>
            <w:tcW w:w="854" w:type="dxa"/>
            <w:tcBorders>
              <w:top w:val="single" w:sz="2" w:space="0" w:color="000000"/>
              <w:left w:val="single" w:sz="2" w:space="0" w:color="000000"/>
              <w:bottom w:val="single" w:sz="2" w:space="0" w:color="000000"/>
              <w:right w:val="single" w:sz="2" w:space="0" w:color="000000"/>
            </w:tcBorders>
          </w:tcPr>
          <w:p w14:paraId="66D9B51A" w14:textId="77777777" w:rsidR="00907F15" w:rsidRPr="00364545" w:rsidRDefault="00907F15" w:rsidP="00907F15">
            <w:pPr>
              <w:spacing w:line="259" w:lineRule="auto"/>
              <w:jc w:val="left"/>
            </w:pPr>
            <w:r w:rsidRPr="00364545">
              <w:rPr>
                <w:sz w:val="18"/>
              </w:rPr>
              <w:t>NF</w:t>
            </w:r>
            <w:r w:rsidRPr="00364545">
              <w:rPr>
                <w:sz w:val="18"/>
                <w:vertAlign w:val="subscript"/>
              </w:rPr>
              <w:t>3</w:t>
            </w:r>
            <w:r w:rsidRPr="00364545">
              <w:rPr>
                <w:sz w:val="18"/>
              </w:rPr>
              <w:t xml:space="preserve"> </w:t>
            </w:r>
          </w:p>
        </w:tc>
        <w:tc>
          <w:tcPr>
            <w:tcW w:w="757" w:type="dxa"/>
            <w:tcBorders>
              <w:top w:val="single" w:sz="2" w:space="0" w:color="000000"/>
              <w:left w:val="single" w:sz="2" w:space="0" w:color="000000"/>
              <w:bottom w:val="single" w:sz="2" w:space="0" w:color="000000"/>
              <w:right w:val="single" w:sz="2" w:space="0" w:color="000000"/>
            </w:tcBorders>
            <w:vAlign w:val="center"/>
          </w:tcPr>
          <w:p w14:paraId="4905A54C" w14:textId="77777777" w:rsidR="00907F15" w:rsidRPr="00364545" w:rsidRDefault="00907F15" w:rsidP="00907F15">
            <w:pPr>
              <w:spacing w:line="259" w:lineRule="auto"/>
              <w:ind w:left="59"/>
              <w:jc w:val="left"/>
              <w:rPr>
                <w:sz w:val="16"/>
                <w:szCs w:val="16"/>
              </w:rPr>
            </w:pPr>
            <w:r w:rsidRPr="00634E4C">
              <w:rPr>
                <w:sz w:val="18"/>
              </w:rPr>
              <w:t>16</w:t>
            </w:r>
          </w:p>
        </w:tc>
        <w:tc>
          <w:tcPr>
            <w:tcW w:w="758" w:type="dxa"/>
            <w:tcBorders>
              <w:top w:val="single" w:sz="2" w:space="0" w:color="000000"/>
              <w:left w:val="single" w:sz="2" w:space="0" w:color="000000"/>
              <w:bottom w:val="single" w:sz="2" w:space="0" w:color="000000"/>
              <w:right w:val="single" w:sz="2" w:space="0" w:color="000000"/>
            </w:tcBorders>
            <w:vAlign w:val="center"/>
          </w:tcPr>
          <w:p w14:paraId="78A3424D" w14:textId="77777777" w:rsidR="00907F15" w:rsidRPr="00364545" w:rsidRDefault="00907F15" w:rsidP="00907F15">
            <w:pPr>
              <w:spacing w:line="259" w:lineRule="auto"/>
              <w:ind w:left="59"/>
              <w:jc w:val="left"/>
              <w:rPr>
                <w:sz w:val="16"/>
                <w:szCs w:val="16"/>
              </w:rPr>
            </w:pPr>
            <w:r w:rsidRPr="00634E4C">
              <w:rPr>
                <w:sz w:val="18"/>
              </w:rPr>
              <w:t>6</w:t>
            </w:r>
          </w:p>
        </w:tc>
        <w:tc>
          <w:tcPr>
            <w:tcW w:w="757" w:type="dxa"/>
            <w:tcBorders>
              <w:top w:val="single" w:sz="2" w:space="0" w:color="000000"/>
              <w:left w:val="single" w:sz="2" w:space="0" w:color="000000"/>
              <w:bottom w:val="single" w:sz="2" w:space="0" w:color="000000"/>
              <w:right w:val="single" w:sz="2" w:space="0" w:color="000000"/>
            </w:tcBorders>
            <w:vAlign w:val="center"/>
          </w:tcPr>
          <w:p w14:paraId="2A33812E" w14:textId="77777777" w:rsidR="00907F15" w:rsidRPr="00364545" w:rsidRDefault="00907F15" w:rsidP="00907F15">
            <w:pPr>
              <w:spacing w:line="259" w:lineRule="auto"/>
              <w:ind w:left="59"/>
              <w:jc w:val="left"/>
              <w:rPr>
                <w:sz w:val="16"/>
                <w:szCs w:val="16"/>
              </w:rPr>
            </w:pPr>
            <w:r w:rsidRPr="00634E4C">
              <w:rPr>
                <w:sz w:val="18"/>
              </w:rPr>
              <w:t>20</w:t>
            </w:r>
          </w:p>
        </w:tc>
        <w:tc>
          <w:tcPr>
            <w:tcW w:w="758" w:type="dxa"/>
            <w:tcBorders>
              <w:top w:val="single" w:sz="2" w:space="0" w:color="000000"/>
              <w:left w:val="single" w:sz="2" w:space="0" w:color="000000"/>
              <w:bottom w:val="single" w:sz="2" w:space="0" w:color="000000"/>
              <w:right w:val="single" w:sz="2" w:space="0" w:color="000000"/>
            </w:tcBorders>
            <w:vAlign w:val="center"/>
          </w:tcPr>
          <w:p w14:paraId="14EF8945" w14:textId="77777777" w:rsidR="00907F15" w:rsidRPr="00364545" w:rsidRDefault="00907F15" w:rsidP="00907F15">
            <w:pPr>
              <w:spacing w:line="259" w:lineRule="auto"/>
              <w:ind w:left="59"/>
              <w:jc w:val="left"/>
              <w:rPr>
                <w:sz w:val="16"/>
                <w:szCs w:val="16"/>
              </w:rPr>
            </w:pPr>
            <w:r w:rsidRPr="00634E4C">
              <w:rPr>
                <w:sz w:val="18"/>
              </w:rPr>
              <w:t>31</w:t>
            </w:r>
          </w:p>
        </w:tc>
        <w:tc>
          <w:tcPr>
            <w:tcW w:w="757" w:type="dxa"/>
            <w:tcBorders>
              <w:top w:val="single" w:sz="2" w:space="0" w:color="000000"/>
              <w:left w:val="single" w:sz="2" w:space="0" w:color="000000"/>
              <w:bottom w:val="single" w:sz="2" w:space="0" w:color="000000"/>
              <w:right w:val="single" w:sz="2" w:space="0" w:color="000000"/>
            </w:tcBorders>
            <w:vAlign w:val="center"/>
          </w:tcPr>
          <w:p w14:paraId="4471E173" w14:textId="77777777" w:rsidR="00907F15" w:rsidRPr="00364545" w:rsidRDefault="00907F15" w:rsidP="00907F15">
            <w:pPr>
              <w:spacing w:line="259" w:lineRule="auto"/>
              <w:ind w:left="59"/>
              <w:jc w:val="left"/>
              <w:rPr>
                <w:sz w:val="16"/>
                <w:szCs w:val="16"/>
              </w:rPr>
            </w:pPr>
            <w:r w:rsidRPr="00634E4C">
              <w:rPr>
                <w:sz w:val="18"/>
              </w:rPr>
              <w:t>32</w:t>
            </w:r>
          </w:p>
        </w:tc>
        <w:tc>
          <w:tcPr>
            <w:tcW w:w="758" w:type="dxa"/>
            <w:tcBorders>
              <w:top w:val="single" w:sz="2" w:space="0" w:color="000000"/>
              <w:left w:val="single" w:sz="2" w:space="0" w:color="000000"/>
              <w:bottom w:val="single" w:sz="2" w:space="0" w:color="000000"/>
              <w:right w:val="single" w:sz="2" w:space="0" w:color="000000"/>
            </w:tcBorders>
            <w:vAlign w:val="center"/>
          </w:tcPr>
          <w:p w14:paraId="5FE2DA42" w14:textId="77777777" w:rsidR="00907F15" w:rsidRPr="00364545" w:rsidRDefault="00907F15" w:rsidP="00907F15">
            <w:pPr>
              <w:spacing w:line="259" w:lineRule="auto"/>
              <w:ind w:left="59"/>
              <w:jc w:val="left"/>
              <w:rPr>
                <w:sz w:val="16"/>
                <w:szCs w:val="16"/>
              </w:rPr>
            </w:pPr>
            <w:r w:rsidRPr="00634E4C">
              <w:rPr>
                <w:sz w:val="18"/>
              </w:rPr>
              <w:t>6</w:t>
            </w:r>
          </w:p>
        </w:tc>
        <w:tc>
          <w:tcPr>
            <w:tcW w:w="757" w:type="dxa"/>
            <w:tcBorders>
              <w:top w:val="single" w:sz="2" w:space="0" w:color="000000"/>
              <w:left w:val="single" w:sz="2" w:space="0" w:color="000000"/>
              <w:bottom w:val="single" w:sz="2" w:space="0" w:color="000000"/>
              <w:right w:val="single" w:sz="2" w:space="0" w:color="000000"/>
            </w:tcBorders>
            <w:vAlign w:val="center"/>
          </w:tcPr>
          <w:p w14:paraId="1CDBFBE2" w14:textId="77777777" w:rsidR="00907F15" w:rsidRPr="00364545" w:rsidRDefault="00907F15" w:rsidP="00907F15">
            <w:pPr>
              <w:spacing w:line="259" w:lineRule="auto"/>
              <w:ind w:left="59"/>
              <w:jc w:val="left"/>
              <w:rPr>
                <w:rFonts w:ascii="Calibri" w:hAnsi="Calibri"/>
                <w:sz w:val="20"/>
              </w:rPr>
            </w:pPr>
            <w:r>
              <w:rPr>
                <w:sz w:val="18"/>
                <w:szCs w:val="18"/>
              </w:rPr>
              <w:t>10</w:t>
            </w:r>
          </w:p>
        </w:tc>
        <w:tc>
          <w:tcPr>
            <w:tcW w:w="758" w:type="dxa"/>
            <w:tcBorders>
              <w:top w:val="single" w:sz="2" w:space="0" w:color="000000"/>
              <w:left w:val="single" w:sz="2" w:space="0" w:color="000000"/>
              <w:bottom w:val="single" w:sz="2" w:space="0" w:color="000000"/>
              <w:right w:val="single" w:sz="2" w:space="0" w:color="000000"/>
            </w:tcBorders>
            <w:vAlign w:val="center"/>
          </w:tcPr>
          <w:p w14:paraId="3E5AC1C7"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6</w:t>
            </w:r>
          </w:p>
        </w:tc>
        <w:tc>
          <w:tcPr>
            <w:tcW w:w="757" w:type="dxa"/>
            <w:tcBorders>
              <w:top w:val="single" w:sz="2" w:space="0" w:color="000000"/>
              <w:left w:val="single" w:sz="2" w:space="0" w:color="000000"/>
              <w:bottom w:val="single" w:sz="2" w:space="0" w:color="000000"/>
              <w:right w:val="single" w:sz="2" w:space="0" w:color="000000"/>
            </w:tcBorders>
            <w:vAlign w:val="center"/>
          </w:tcPr>
          <w:p w14:paraId="3AC8BD5E"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6</w:t>
            </w:r>
          </w:p>
        </w:tc>
        <w:tc>
          <w:tcPr>
            <w:tcW w:w="758" w:type="dxa"/>
            <w:tcBorders>
              <w:top w:val="single" w:sz="2" w:space="0" w:color="000000"/>
              <w:left w:val="single" w:sz="2" w:space="0" w:color="000000"/>
              <w:bottom w:val="single" w:sz="2" w:space="0" w:color="000000"/>
              <w:right w:val="single" w:sz="2" w:space="0" w:color="000000"/>
            </w:tcBorders>
            <w:vAlign w:val="center"/>
          </w:tcPr>
          <w:p w14:paraId="4215A354"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6</w:t>
            </w:r>
          </w:p>
        </w:tc>
        <w:tc>
          <w:tcPr>
            <w:tcW w:w="757" w:type="dxa"/>
            <w:tcBorders>
              <w:top w:val="single" w:sz="2" w:space="0" w:color="000000"/>
              <w:left w:val="single" w:sz="2" w:space="0" w:color="000000"/>
              <w:bottom w:val="single" w:sz="2" w:space="0" w:color="000000"/>
              <w:right w:val="single" w:sz="2" w:space="0" w:color="000000"/>
            </w:tcBorders>
            <w:vAlign w:val="center"/>
          </w:tcPr>
          <w:p w14:paraId="5327A1BC" w14:textId="77777777"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6</w:t>
            </w:r>
          </w:p>
        </w:tc>
        <w:tc>
          <w:tcPr>
            <w:tcW w:w="758" w:type="dxa"/>
            <w:tcBorders>
              <w:top w:val="single" w:sz="2" w:space="0" w:color="000000"/>
              <w:left w:val="single" w:sz="2" w:space="0" w:color="000000"/>
              <w:bottom w:val="single" w:sz="2" w:space="0" w:color="000000"/>
              <w:right w:val="single" w:sz="2" w:space="0" w:color="000000"/>
            </w:tcBorders>
            <w:vAlign w:val="center"/>
          </w:tcPr>
          <w:p w14:paraId="3274896E" w14:textId="43FD7502" w:rsidR="00907F15" w:rsidRPr="00634E4C" w:rsidRDefault="00907F15" w:rsidP="00907F15">
            <w:pPr>
              <w:spacing w:line="259" w:lineRule="auto"/>
              <w:ind w:left="59"/>
              <w:jc w:val="left"/>
              <w:rPr>
                <w:rFonts w:asciiTheme="majorHAnsi" w:hAnsiTheme="majorHAnsi"/>
                <w:sz w:val="18"/>
              </w:rPr>
            </w:pPr>
            <w:r w:rsidRPr="00634E4C">
              <w:rPr>
                <w:rFonts w:asciiTheme="majorHAnsi" w:hAnsiTheme="majorHAnsi"/>
                <w:sz w:val="18"/>
              </w:rPr>
              <w:t>6</w:t>
            </w:r>
          </w:p>
        </w:tc>
      </w:tr>
      <w:tr w:rsidR="00907F15" w:rsidRPr="00364545" w14:paraId="797DB98F" w14:textId="77777777" w:rsidTr="00907F15">
        <w:trPr>
          <w:trHeight w:val="344"/>
        </w:trPr>
        <w:tc>
          <w:tcPr>
            <w:tcW w:w="854" w:type="dxa"/>
            <w:tcBorders>
              <w:top w:val="single" w:sz="2" w:space="0" w:color="000000"/>
              <w:left w:val="single" w:sz="2" w:space="0" w:color="000000"/>
              <w:bottom w:val="single" w:sz="2" w:space="0" w:color="000000"/>
              <w:right w:val="single" w:sz="2" w:space="0" w:color="000000"/>
            </w:tcBorders>
            <w:shd w:val="clear" w:color="auto" w:fill="ECE6E2"/>
          </w:tcPr>
          <w:p w14:paraId="2D58192C" w14:textId="77777777" w:rsidR="00907F15" w:rsidRPr="00364545" w:rsidRDefault="00907F15" w:rsidP="00907F15">
            <w:pPr>
              <w:spacing w:line="259" w:lineRule="auto"/>
              <w:jc w:val="left"/>
            </w:pPr>
            <w:r w:rsidRPr="00364545">
              <w:rPr>
                <w:b/>
                <w:sz w:val="18"/>
              </w:rPr>
              <w:t xml:space="preserve">Ensemble (hors UTCF) </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CA7451" w14:textId="77777777" w:rsidR="00907F15" w:rsidRPr="00364545" w:rsidRDefault="00907F15" w:rsidP="00907F15">
            <w:pPr>
              <w:spacing w:line="259" w:lineRule="auto"/>
              <w:ind w:left="59"/>
              <w:jc w:val="left"/>
              <w:rPr>
                <w:b/>
                <w:sz w:val="16"/>
                <w:szCs w:val="16"/>
              </w:rPr>
            </w:pPr>
            <w:r w:rsidRPr="00664108">
              <w:rPr>
                <w:b/>
                <w:sz w:val="18"/>
                <w:szCs w:val="18"/>
              </w:rPr>
              <w:t>544086</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CDD1E45" w14:textId="77777777" w:rsidR="00907F15" w:rsidRPr="00364545" w:rsidRDefault="00907F15" w:rsidP="00907F15">
            <w:pPr>
              <w:spacing w:line="259" w:lineRule="auto"/>
              <w:ind w:left="59"/>
              <w:jc w:val="left"/>
              <w:rPr>
                <w:b/>
                <w:sz w:val="16"/>
                <w:szCs w:val="16"/>
              </w:rPr>
            </w:pPr>
            <w:r w:rsidRPr="00664108">
              <w:rPr>
                <w:b/>
                <w:sz w:val="18"/>
                <w:szCs w:val="18"/>
              </w:rPr>
              <w:t>536476</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9DF048C" w14:textId="77777777" w:rsidR="00907F15" w:rsidRPr="00364545" w:rsidRDefault="00907F15" w:rsidP="00907F15">
            <w:pPr>
              <w:spacing w:line="259" w:lineRule="auto"/>
              <w:ind w:left="59"/>
              <w:jc w:val="left"/>
              <w:rPr>
                <w:b/>
                <w:sz w:val="16"/>
                <w:szCs w:val="16"/>
              </w:rPr>
            </w:pPr>
            <w:r w:rsidRPr="00664108">
              <w:rPr>
                <w:b/>
                <w:sz w:val="18"/>
                <w:szCs w:val="18"/>
              </w:rPr>
              <w:t>549005</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BBE53A4" w14:textId="77777777" w:rsidR="00907F15" w:rsidRPr="00364545" w:rsidRDefault="00907F15" w:rsidP="00907F15">
            <w:pPr>
              <w:spacing w:line="259" w:lineRule="auto"/>
              <w:ind w:left="59"/>
              <w:jc w:val="left"/>
              <w:rPr>
                <w:b/>
                <w:sz w:val="16"/>
                <w:szCs w:val="16"/>
              </w:rPr>
            </w:pPr>
            <w:r w:rsidRPr="00664108">
              <w:rPr>
                <w:b/>
                <w:sz w:val="18"/>
                <w:szCs w:val="18"/>
              </w:rPr>
              <w:t>551391</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9B79D1" w14:textId="77777777" w:rsidR="00907F15" w:rsidRPr="00364545" w:rsidRDefault="00907F15" w:rsidP="00907F15">
            <w:pPr>
              <w:spacing w:line="259" w:lineRule="auto"/>
              <w:ind w:left="64"/>
              <w:jc w:val="left"/>
              <w:rPr>
                <w:b/>
                <w:sz w:val="16"/>
                <w:szCs w:val="16"/>
              </w:rPr>
            </w:pPr>
            <w:r w:rsidRPr="00664108">
              <w:rPr>
                <w:b/>
                <w:sz w:val="18"/>
                <w:szCs w:val="18"/>
              </w:rPr>
              <w:t>507468</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A9D2C74" w14:textId="77777777" w:rsidR="00907F15" w:rsidRPr="00364545" w:rsidRDefault="00907F15" w:rsidP="00907F15">
            <w:pPr>
              <w:spacing w:line="259" w:lineRule="auto"/>
              <w:ind w:left="59"/>
              <w:jc w:val="left"/>
              <w:rPr>
                <w:b/>
                <w:sz w:val="16"/>
                <w:szCs w:val="16"/>
              </w:rPr>
            </w:pPr>
            <w:r w:rsidRPr="00664108">
              <w:rPr>
                <w:b/>
                <w:sz w:val="18"/>
                <w:szCs w:val="18"/>
              </w:rPr>
              <w:t>457924</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BF3CB4" w14:textId="77777777" w:rsidR="00907F15" w:rsidRPr="00364545" w:rsidRDefault="00907F15" w:rsidP="00907F15">
            <w:pPr>
              <w:spacing w:line="259" w:lineRule="auto"/>
              <w:ind w:left="59"/>
              <w:jc w:val="left"/>
              <w:rPr>
                <w:rFonts w:ascii="Calibri" w:hAnsi="Calibri"/>
                <w:b/>
                <w:sz w:val="20"/>
              </w:rPr>
            </w:pPr>
            <w:r w:rsidRPr="00664108">
              <w:rPr>
                <w:b/>
                <w:sz w:val="18"/>
                <w:szCs w:val="18"/>
              </w:rPr>
              <w:t>434540</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8881B5" w14:textId="77777777" w:rsidR="00907F15" w:rsidRPr="00634E4C" w:rsidRDefault="00907F15" w:rsidP="00907F15">
            <w:pPr>
              <w:spacing w:line="259" w:lineRule="auto"/>
              <w:ind w:left="59"/>
              <w:jc w:val="left"/>
              <w:rPr>
                <w:rFonts w:asciiTheme="majorHAnsi" w:hAnsiTheme="majorHAnsi"/>
                <w:b/>
                <w:sz w:val="18"/>
              </w:rPr>
            </w:pPr>
            <w:r w:rsidRPr="00634E4C">
              <w:rPr>
                <w:rFonts w:asciiTheme="majorHAnsi" w:hAnsiTheme="majorHAnsi"/>
                <w:b/>
                <w:sz w:val="18"/>
              </w:rPr>
              <w:t>434378</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E4DF0F" w14:textId="77777777" w:rsidR="00907F15" w:rsidRPr="00634E4C" w:rsidRDefault="00907F15" w:rsidP="00907F15">
            <w:pPr>
              <w:spacing w:line="259" w:lineRule="auto"/>
              <w:ind w:left="59"/>
              <w:jc w:val="left"/>
              <w:rPr>
                <w:rFonts w:asciiTheme="majorHAnsi" w:hAnsiTheme="majorHAnsi"/>
                <w:b/>
                <w:sz w:val="18"/>
              </w:rPr>
            </w:pPr>
            <w:r w:rsidRPr="00634E4C">
              <w:rPr>
                <w:rFonts w:asciiTheme="majorHAnsi" w:hAnsiTheme="majorHAnsi"/>
                <w:b/>
                <w:sz w:val="18"/>
              </w:rPr>
              <w:t>367661</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4E2847" w14:textId="77777777" w:rsidR="00907F15" w:rsidRPr="00634E4C" w:rsidRDefault="00907F15" w:rsidP="00907F15">
            <w:pPr>
              <w:spacing w:line="259" w:lineRule="auto"/>
              <w:ind w:left="59"/>
              <w:jc w:val="left"/>
              <w:rPr>
                <w:rFonts w:asciiTheme="majorHAnsi" w:hAnsiTheme="majorHAnsi"/>
                <w:b/>
                <w:sz w:val="18"/>
              </w:rPr>
            </w:pPr>
            <w:r w:rsidRPr="00634E4C">
              <w:rPr>
                <w:rFonts w:asciiTheme="majorHAnsi" w:hAnsiTheme="majorHAnsi"/>
                <w:b/>
                <w:sz w:val="18"/>
              </w:rPr>
              <w:t>307094</w:t>
            </w:r>
          </w:p>
        </w:tc>
        <w:tc>
          <w:tcPr>
            <w:tcW w:w="75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6BFFDC" w14:textId="77777777" w:rsidR="00907F15" w:rsidRPr="00634E4C" w:rsidRDefault="00907F15" w:rsidP="00907F15">
            <w:pPr>
              <w:spacing w:line="259" w:lineRule="auto"/>
              <w:ind w:left="59"/>
              <w:jc w:val="left"/>
              <w:rPr>
                <w:rFonts w:asciiTheme="majorHAnsi" w:hAnsiTheme="majorHAnsi"/>
                <w:b/>
                <w:sz w:val="18"/>
              </w:rPr>
            </w:pPr>
            <w:r w:rsidRPr="00634E4C">
              <w:rPr>
                <w:rFonts w:asciiTheme="majorHAnsi" w:hAnsiTheme="majorHAnsi"/>
                <w:b/>
                <w:sz w:val="18"/>
              </w:rPr>
              <w:t>247697</w:t>
            </w:r>
          </w:p>
        </w:tc>
        <w:tc>
          <w:tcPr>
            <w:tcW w:w="7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43937B" w14:textId="6D7EAE3B" w:rsidR="00907F15" w:rsidRPr="00634E4C" w:rsidRDefault="00907F15" w:rsidP="00907F15">
            <w:pPr>
              <w:spacing w:line="259" w:lineRule="auto"/>
              <w:ind w:left="59"/>
              <w:jc w:val="left"/>
              <w:rPr>
                <w:rFonts w:asciiTheme="majorHAnsi" w:hAnsiTheme="majorHAnsi"/>
                <w:b/>
                <w:sz w:val="18"/>
              </w:rPr>
            </w:pPr>
            <w:r w:rsidRPr="00634E4C">
              <w:rPr>
                <w:rFonts w:asciiTheme="majorHAnsi" w:hAnsiTheme="majorHAnsi"/>
                <w:b/>
                <w:sz w:val="18"/>
              </w:rPr>
              <w:t>64551</w:t>
            </w:r>
          </w:p>
        </w:tc>
      </w:tr>
      <w:tr w:rsidR="00907F15" w:rsidRPr="00364545" w14:paraId="371A7F94" w14:textId="77777777" w:rsidTr="000D1437">
        <w:trPr>
          <w:trHeight w:val="346"/>
        </w:trPr>
        <w:tc>
          <w:tcPr>
            <w:tcW w:w="854" w:type="dxa"/>
            <w:tcBorders>
              <w:top w:val="single" w:sz="2" w:space="0" w:color="000000"/>
              <w:left w:val="single" w:sz="2" w:space="0" w:color="000000"/>
              <w:bottom w:val="single" w:sz="2" w:space="0" w:color="000000"/>
              <w:right w:val="single" w:sz="2" w:space="0" w:color="000000"/>
            </w:tcBorders>
          </w:tcPr>
          <w:p w14:paraId="6744A805" w14:textId="77777777" w:rsidR="00907F15" w:rsidRPr="00364545" w:rsidRDefault="00907F15" w:rsidP="00907F15">
            <w:pPr>
              <w:spacing w:line="259" w:lineRule="auto"/>
              <w:jc w:val="left"/>
            </w:pPr>
            <w:r w:rsidRPr="00364545">
              <w:rPr>
                <w:b/>
                <w:sz w:val="18"/>
              </w:rPr>
              <w:t xml:space="preserve">Ensemble (avec UTCF) </w:t>
            </w:r>
          </w:p>
        </w:tc>
        <w:tc>
          <w:tcPr>
            <w:tcW w:w="757" w:type="dxa"/>
            <w:tcBorders>
              <w:top w:val="single" w:sz="2" w:space="0" w:color="000000"/>
              <w:left w:val="single" w:sz="2" w:space="0" w:color="000000"/>
              <w:bottom w:val="single" w:sz="2" w:space="0" w:color="000000"/>
              <w:right w:val="single" w:sz="2" w:space="0" w:color="000000"/>
            </w:tcBorders>
            <w:vAlign w:val="center"/>
          </w:tcPr>
          <w:p w14:paraId="4FEEB86F" w14:textId="77777777" w:rsidR="00907F15" w:rsidRPr="00364545" w:rsidRDefault="00907F15" w:rsidP="00907F15">
            <w:pPr>
              <w:spacing w:line="259" w:lineRule="auto"/>
              <w:ind w:left="59"/>
              <w:jc w:val="left"/>
              <w:rPr>
                <w:b/>
                <w:sz w:val="16"/>
                <w:szCs w:val="16"/>
              </w:rPr>
            </w:pPr>
            <w:r w:rsidRPr="00664108">
              <w:rPr>
                <w:b/>
                <w:sz w:val="18"/>
                <w:szCs w:val="18"/>
              </w:rPr>
              <w:t>520100</w:t>
            </w:r>
          </w:p>
        </w:tc>
        <w:tc>
          <w:tcPr>
            <w:tcW w:w="758" w:type="dxa"/>
            <w:tcBorders>
              <w:top w:val="single" w:sz="2" w:space="0" w:color="000000"/>
              <w:left w:val="single" w:sz="2" w:space="0" w:color="000000"/>
              <w:bottom w:val="single" w:sz="2" w:space="0" w:color="000000"/>
              <w:right w:val="single" w:sz="2" w:space="0" w:color="000000"/>
            </w:tcBorders>
            <w:vAlign w:val="center"/>
          </w:tcPr>
          <w:p w14:paraId="14265464" w14:textId="77777777" w:rsidR="00907F15" w:rsidRPr="00364545" w:rsidRDefault="00907F15" w:rsidP="00907F15">
            <w:pPr>
              <w:spacing w:line="259" w:lineRule="auto"/>
              <w:ind w:left="59"/>
              <w:jc w:val="left"/>
              <w:rPr>
                <w:b/>
                <w:sz w:val="16"/>
                <w:szCs w:val="16"/>
              </w:rPr>
            </w:pPr>
            <w:r w:rsidRPr="00664108">
              <w:rPr>
                <w:b/>
                <w:sz w:val="18"/>
                <w:szCs w:val="18"/>
              </w:rPr>
              <w:t>511596</w:t>
            </w:r>
          </w:p>
        </w:tc>
        <w:tc>
          <w:tcPr>
            <w:tcW w:w="757" w:type="dxa"/>
            <w:tcBorders>
              <w:top w:val="single" w:sz="2" w:space="0" w:color="000000"/>
              <w:left w:val="single" w:sz="2" w:space="0" w:color="000000"/>
              <w:bottom w:val="single" w:sz="2" w:space="0" w:color="000000"/>
              <w:right w:val="single" w:sz="2" w:space="0" w:color="000000"/>
            </w:tcBorders>
            <w:vAlign w:val="center"/>
          </w:tcPr>
          <w:p w14:paraId="1D80408B" w14:textId="77777777" w:rsidR="00907F15" w:rsidRPr="00364545" w:rsidRDefault="00907F15" w:rsidP="00907F15">
            <w:pPr>
              <w:spacing w:line="259" w:lineRule="auto"/>
              <w:ind w:left="59"/>
              <w:jc w:val="left"/>
              <w:rPr>
                <w:b/>
                <w:sz w:val="16"/>
                <w:szCs w:val="16"/>
              </w:rPr>
            </w:pPr>
            <w:r w:rsidRPr="00664108">
              <w:rPr>
                <w:b/>
                <w:sz w:val="18"/>
                <w:szCs w:val="18"/>
              </w:rPr>
              <w:t>529296</w:t>
            </w:r>
          </w:p>
        </w:tc>
        <w:tc>
          <w:tcPr>
            <w:tcW w:w="758" w:type="dxa"/>
            <w:tcBorders>
              <w:top w:val="single" w:sz="2" w:space="0" w:color="000000"/>
              <w:left w:val="single" w:sz="2" w:space="0" w:color="000000"/>
              <w:bottom w:val="single" w:sz="2" w:space="0" w:color="000000"/>
              <w:right w:val="single" w:sz="2" w:space="0" w:color="000000"/>
            </w:tcBorders>
            <w:vAlign w:val="center"/>
          </w:tcPr>
          <w:p w14:paraId="5C38E185" w14:textId="77777777" w:rsidR="00907F15" w:rsidRPr="00364545" w:rsidRDefault="00907F15" w:rsidP="00907F15">
            <w:pPr>
              <w:spacing w:line="259" w:lineRule="auto"/>
              <w:ind w:left="59"/>
              <w:jc w:val="left"/>
              <w:rPr>
                <w:b/>
                <w:sz w:val="16"/>
                <w:szCs w:val="16"/>
              </w:rPr>
            </w:pPr>
            <w:r w:rsidRPr="00664108">
              <w:rPr>
                <w:b/>
                <w:sz w:val="18"/>
                <w:szCs w:val="18"/>
              </w:rPr>
              <w:t>504080</w:t>
            </w:r>
          </w:p>
        </w:tc>
        <w:tc>
          <w:tcPr>
            <w:tcW w:w="757" w:type="dxa"/>
            <w:tcBorders>
              <w:top w:val="single" w:sz="2" w:space="0" w:color="000000"/>
              <w:left w:val="single" w:sz="2" w:space="0" w:color="000000"/>
              <w:bottom w:val="single" w:sz="2" w:space="0" w:color="000000"/>
              <w:right w:val="single" w:sz="2" w:space="0" w:color="000000"/>
            </w:tcBorders>
            <w:vAlign w:val="center"/>
          </w:tcPr>
          <w:p w14:paraId="0D30A108" w14:textId="77777777" w:rsidR="00907F15" w:rsidRPr="00364545" w:rsidRDefault="00907F15" w:rsidP="00907F15">
            <w:pPr>
              <w:spacing w:line="259" w:lineRule="auto"/>
              <w:ind w:left="59"/>
              <w:jc w:val="left"/>
              <w:rPr>
                <w:b/>
                <w:sz w:val="16"/>
                <w:szCs w:val="16"/>
              </w:rPr>
            </w:pPr>
            <w:r w:rsidRPr="00664108">
              <w:rPr>
                <w:b/>
                <w:sz w:val="18"/>
                <w:szCs w:val="18"/>
              </w:rPr>
              <w:t>469113</w:t>
            </w:r>
          </w:p>
        </w:tc>
        <w:tc>
          <w:tcPr>
            <w:tcW w:w="758" w:type="dxa"/>
            <w:tcBorders>
              <w:top w:val="single" w:sz="2" w:space="0" w:color="000000"/>
              <w:left w:val="single" w:sz="2" w:space="0" w:color="000000"/>
              <w:bottom w:val="single" w:sz="2" w:space="0" w:color="000000"/>
              <w:right w:val="single" w:sz="2" w:space="0" w:color="000000"/>
            </w:tcBorders>
            <w:vAlign w:val="center"/>
          </w:tcPr>
          <w:p w14:paraId="1D9E7119" w14:textId="77777777" w:rsidR="00907F15" w:rsidRPr="00364545" w:rsidRDefault="00907F15" w:rsidP="00907F15">
            <w:pPr>
              <w:spacing w:line="259" w:lineRule="auto"/>
              <w:ind w:left="59"/>
              <w:jc w:val="left"/>
              <w:rPr>
                <w:b/>
                <w:sz w:val="16"/>
                <w:szCs w:val="16"/>
              </w:rPr>
            </w:pPr>
            <w:r w:rsidRPr="00664108">
              <w:rPr>
                <w:b/>
                <w:sz w:val="18"/>
                <w:szCs w:val="18"/>
              </w:rPr>
              <w:t>423346</w:t>
            </w:r>
          </w:p>
        </w:tc>
        <w:tc>
          <w:tcPr>
            <w:tcW w:w="757" w:type="dxa"/>
            <w:tcBorders>
              <w:top w:val="single" w:sz="2" w:space="0" w:color="000000"/>
              <w:left w:val="single" w:sz="2" w:space="0" w:color="000000"/>
              <w:bottom w:val="single" w:sz="2" w:space="0" w:color="000000"/>
              <w:right w:val="single" w:sz="2" w:space="0" w:color="000000"/>
            </w:tcBorders>
            <w:vAlign w:val="center"/>
          </w:tcPr>
          <w:p w14:paraId="6265809B" w14:textId="77777777" w:rsidR="00907F15" w:rsidRPr="00364545" w:rsidRDefault="00907F15" w:rsidP="00907F15">
            <w:pPr>
              <w:spacing w:line="259" w:lineRule="auto"/>
              <w:ind w:left="59"/>
              <w:jc w:val="left"/>
              <w:rPr>
                <w:rFonts w:ascii="Calibri" w:hAnsi="Calibri"/>
                <w:b/>
                <w:sz w:val="20"/>
              </w:rPr>
            </w:pPr>
            <w:r w:rsidRPr="00664108">
              <w:rPr>
                <w:b/>
                <w:sz w:val="18"/>
                <w:szCs w:val="18"/>
              </w:rPr>
              <w:t>422252</w:t>
            </w:r>
          </w:p>
        </w:tc>
        <w:tc>
          <w:tcPr>
            <w:tcW w:w="758" w:type="dxa"/>
            <w:tcBorders>
              <w:top w:val="single" w:sz="2" w:space="0" w:color="000000"/>
              <w:left w:val="single" w:sz="2" w:space="0" w:color="000000"/>
              <w:bottom w:val="single" w:sz="2" w:space="0" w:color="000000"/>
              <w:right w:val="single" w:sz="2" w:space="0" w:color="000000"/>
            </w:tcBorders>
            <w:vAlign w:val="center"/>
          </w:tcPr>
          <w:p w14:paraId="6B03A0CF" w14:textId="77777777" w:rsidR="00907F15" w:rsidRPr="00634E4C" w:rsidRDefault="00907F15" w:rsidP="00907F15">
            <w:pPr>
              <w:spacing w:line="259" w:lineRule="auto"/>
              <w:ind w:left="59"/>
              <w:jc w:val="left"/>
              <w:rPr>
                <w:rFonts w:asciiTheme="majorHAnsi" w:hAnsiTheme="majorHAnsi"/>
                <w:b/>
                <w:sz w:val="18"/>
              </w:rPr>
            </w:pPr>
            <w:r w:rsidRPr="00634E4C">
              <w:rPr>
                <w:rFonts w:asciiTheme="majorHAnsi" w:hAnsiTheme="majorHAnsi"/>
                <w:b/>
                <w:sz w:val="18"/>
              </w:rPr>
              <w:t>395383</w:t>
            </w:r>
          </w:p>
        </w:tc>
        <w:tc>
          <w:tcPr>
            <w:tcW w:w="757" w:type="dxa"/>
            <w:tcBorders>
              <w:top w:val="single" w:sz="2" w:space="0" w:color="000000"/>
              <w:left w:val="single" w:sz="2" w:space="0" w:color="000000"/>
              <w:bottom w:val="single" w:sz="2" w:space="0" w:color="000000"/>
              <w:right w:val="single" w:sz="2" w:space="0" w:color="000000"/>
            </w:tcBorders>
            <w:vAlign w:val="center"/>
          </w:tcPr>
          <w:p w14:paraId="053D11A0" w14:textId="77777777" w:rsidR="00907F15" w:rsidRPr="00634E4C" w:rsidRDefault="00907F15" w:rsidP="00907F15">
            <w:pPr>
              <w:spacing w:line="259" w:lineRule="auto"/>
              <w:ind w:left="59"/>
              <w:jc w:val="left"/>
              <w:rPr>
                <w:rFonts w:asciiTheme="majorHAnsi" w:hAnsiTheme="majorHAnsi"/>
                <w:b/>
                <w:sz w:val="18"/>
              </w:rPr>
            </w:pPr>
            <w:r w:rsidRPr="00634E4C">
              <w:rPr>
                <w:rFonts w:asciiTheme="majorHAnsi" w:hAnsiTheme="majorHAnsi"/>
                <w:b/>
                <w:sz w:val="18"/>
              </w:rPr>
              <w:t>329989</w:t>
            </w:r>
          </w:p>
        </w:tc>
        <w:tc>
          <w:tcPr>
            <w:tcW w:w="758" w:type="dxa"/>
            <w:tcBorders>
              <w:top w:val="single" w:sz="2" w:space="0" w:color="000000"/>
              <w:left w:val="single" w:sz="2" w:space="0" w:color="000000"/>
              <w:bottom w:val="single" w:sz="2" w:space="0" w:color="000000"/>
              <w:right w:val="single" w:sz="2" w:space="0" w:color="000000"/>
            </w:tcBorders>
            <w:vAlign w:val="center"/>
          </w:tcPr>
          <w:p w14:paraId="12D9D44F" w14:textId="77777777" w:rsidR="00907F15" w:rsidRPr="00634E4C" w:rsidRDefault="00907F15" w:rsidP="00907F15">
            <w:pPr>
              <w:spacing w:line="259" w:lineRule="auto"/>
              <w:ind w:left="59"/>
              <w:jc w:val="left"/>
              <w:rPr>
                <w:rFonts w:asciiTheme="majorHAnsi" w:hAnsiTheme="majorHAnsi"/>
                <w:b/>
                <w:sz w:val="18"/>
              </w:rPr>
            </w:pPr>
            <w:r w:rsidRPr="00634E4C">
              <w:rPr>
                <w:rFonts w:asciiTheme="majorHAnsi" w:hAnsiTheme="majorHAnsi"/>
                <w:b/>
                <w:sz w:val="18"/>
              </w:rPr>
              <w:t>266934</w:t>
            </w:r>
          </w:p>
        </w:tc>
        <w:tc>
          <w:tcPr>
            <w:tcW w:w="757" w:type="dxa"/>
            <w:tcBorders>
              <w:top w:val="single" w:sz="2" w:space="0" w:color="000000"/>
              <w:left w:val="single" w:sz="2" w:space="0" w:color="000000"/>
              <w:bottom w:val="single" w:sz="2" w:space="0" w:color="000000"/>
              <w:right w:val="single" w:sz="2" w:space="0" w:color="000000"/>
            </w:tcBorders>
            <w:vAlign w:val="center"/>
          </w:tcPr>
          <w:p w14:paraId="49B2A27B" w14:textId="77777777" w:rsidR="00907F15" w:rsidRPr="00634E4C" w:rsidRDefault="00907F15" w:rsidP="00907F15">
            <w:pPr>
              <w:spacing w:line="259" w:lineRule="auto"/>
              <w:ind w:left="63"/>
              <w:jc w:val="left"/>
              <w:rPr>
                <w:rFonts w:asciiTheme="majorHAnsi" w:hAnsiTheme="majorHAnsi"/>
                <w:b/>
                <w:sz w:val="18"/>
              </w:rPr>
            </w:pPr>
            <w:r w:rsidRPr="00634E4C">
              <w:rPr>
                <w:rFonts w:asciiTheme="majorHAnsi" w:hAnsiTheme="majorHAnsi"/>
                <w:b/>
                <w:sz w:val="18"/>
              </w:rPr>
              <w:t>202492</w:t>
            </w:r>
          </w:p>
        </w:tc>
        <w:tc>
          <w:tcPr>
            <w:tcW w:w="758" w:type="dxa"/>
            <w:tcBorders>
              <w:top w:val="single" w:sz="2" w:space="0" w:color="000000"/>
              <w:left w:val="single" w:sz="2" w:space="0" w:color="000000"/>
              <w:bottom w:val="single" w:sz="2" w:space="0" w:color="000000"/>
              <w:right w:val="single" w:sz="2" w:space="0" w:color="000000"/>
            </w:tcBorders>
            <w:vAlign w:val="center"/>
          </w:tcPr>
          <w:p w14:paraId="651022F8" w14:textId="2FEF0BD7" w:rsidR="00907F15" w:rsidRPr="00634E4C" w:rsidRDefault="00907F15" w:rsidP="00907F15">
            <w:pPr>
              <w:spacing w:line="259" w:lineRule="auto"/>
              <w:ind w:left="63"/>
              <w:jc w:val="left"/>
              <w:rPr>
                <w:rFonts w:asciiTheme="majorHAnsi" w:hAnsiTheme="majorHAnsi"/>
                <w:b/>
                <w:sz w:val="18"/>
              </w:rPr>
            </w:pPr>
            <w:r w:rsidRPr="00634E4C">
              <w:rPr>
                <w:rFonts w:asciiTheme="majorHAnsi" w:hAnsiTheme="majorHAnsi"/>
                <w:b/>
                <w:sz w:val="18"/>
              </w:rPr>
              <w:t>-2597</w:t>
            </w:r>
          </w:p>
        </w:tc>
      </w:tr>
    </w:tbl>
    <w:p w14:paraId="0E9D116F" w14:textId="38654414" w:rsidR="00833524" w:rsidRPr="00364545" w:rsidRDefault="00833524" w:rsidP="00833524">
      <w:pPr>
        <w:pStyle w:val="Caption"/>
      </w:pPr>
      <w:r w:rsidRPr="00364545">
        <w:t xml:space="preserve">Table </w:t>
      </w:r>
      <w:fldSimple w:instr=" SEQ Tableau \* ARABIC ">
        <w:r w:rsidR="009A2FAA">
          <w:rPr>
            <w:noProof/>
          </w:rPr>
          <w:t>18</w:t>
        </w:r>
      </w:fldSimple>
      <w:r w:rsidRPr="00364545">
        <w:t>: GHG emission projections by gas (in ktCO</w:t>
      </w:r>
      <w:r w:rsidRPr="00364545">
        <w:rPr>
          <w:vertAlign w:val="subscript"/>
        </w:rPr>
        <w:t>2</w:t>
      </w:r>
      <w:r w:rsidRPr="00364545">
        <w:t>e) at Kyoto scope in the WAM 2018 scenario (With Additional Measures)</w:t>
      </w:r>
    </w:p>
    <w:p w14:paraId="3AB2796F" w14:textId="77777777" w:rsidR="00833524" w:rsidRPr="00364545" w:rsidRDefault="00833524" w:rsidP="00833524">
      <w:pPr>
        <w:pStyle w:val="Caption"/>
      </w:pPr>
      <w:r w:rsidRPr="00364545">
        <w:t>Source: UN</w:t>
      </w:r>
      <w:r>
        <w:t>FCCC inventory, Citepa/MTE, 2022</w:t>
      </w:r>
      <w:r w:rsidRPr="00364545">
        <w:t xml:space="preserve"> submission and MTE emission projections, 2018</w:t>
      </w:r>
    </w:p>
    <w:p w14:paraId="6BE9744F" w14:textId="77777777" w:rsidR="00833524" w:rsidRPr="00364545" w:rsidRDefault="00833524" w:rsidP="00833524"/>
    <w:p w14:paraId="761FE47F" w14:textId="77777777" w:rsidR="00833524" w:rsidRPr="00364545" w:rsidRDefault="00833524" w:rsidP="00833524">
      <w:pPr>
        <w:jc w:val="center"/>
      </w:pPr>
    </w:p>
    <w:p w14:paraId="408DC842" w14:textId="77777777" w:rsidR="00833524" w:rsidRDefault="00833524" w:rsidP="00833524">
      <w:pPr>
        <w:pStyle w:val="Caption"/>
      </w:pPr>
      <w:r>
        <w:rPr>
          <w:noProof/>
          <w:lang w:val="fr-FR"/>
        </w:rPr>
        <w:drawing>
          <wp:inline distT="0" distB="0" distL="0" distR="0" wp14:anchorId="4E7989FB" wp14:editId="166485D6">
            <wp:extent cx="6341110" cy="4258310"/>
            <wp:effectExtent l="0" t="0" r="2540" b="8890"/>
            <wp:docPr id="28703" name="Graphique 28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A486A04" w14:textId="6A8B7644" w:rsidR="00833524" w:rsidRPr="00364545" w:rsidRDefault="00833524" w:rsidP="00833524">
      <w:pPr>
        <w:pStyle w:val="Caption"/>
      </w:pPr>
      <w:r w:rsidRPr="00364545">
        <w:t xml:space="preserve">Figure </w:t>
      </w:r>
      <w:fldSimple w:instr=" SEQ Figure \* ARABIC ">
        <w:r w:rsidR="009A2FAA">
          <w:rPr>
            <w:noProof/>
          </w:rPr>
          <w:t>60</w:t>
        </w:r>
      </w:fldSimple>
      <w:r w:rsidRPr="00364545">
        <w:t>: Projection by gas in ktCO</w:t>
      </w:r>
      <w:r w:rsidRPr="00364545">
        <w:rPr>
          <w:vertAlign w:val="subscript"/>
        </w:rPr>
        <w:t>2</w:t>
      </w:r>
      <w:r w:rsidRPr="00364545">
        <w:t>-eq, excluding LULUCF, in the Kyoto format, AM</w:t>
      </w:r>
      <w:r w:rsidR="001F6085">
        <w:t>S</w:t>
      </w:r>
      <w:r w:rsidRPr="00364545">
        <w:t xml:space="preserve"> scenario </w:t>
      </w:r>
    </w:p>
    <w:p w14:paraId="6717CD5A" w14:textId="77777777" w:rsidR="00833524" w:rsidRPr="00364545" w:rsidRDefault="00833524" w:rsidP="00833524">
      <w:pPr>
        <w:pStyle w:val="Caption"/>
      </w:pPr>
      <w:r w:rsidRPr="00364545">
        <w:t>Source: UN</w:t>
      </w:r>
      <w:r>
        <w:t>FCCC inventory, Citepa/MTE, 2022</w:t>
      </w:r>
      <w:r w:rsidRPr="00364545">
        <w:t xml:space="preserve"> submission and MTE emission projections, 2018</w:t>
      </w:r>
    </w:p>
    <w:p w14:paraId="172DF4DA" w14:textId="77777777" w:rsidR="00833524" w:rsidRPr="00364545" w:rsidRDefault="00833524" w:rsidP="00833524"/>
    <w:p w14:paraId="59170C09" w14:textId="77777777" w:rsidR="00833524" w:rsidRPr="00364545" w:rsidRDefault="00833524" w:rsidP="00833524"/>
    <w:p w14:paraId="6435A1FD" w14:textId="034500AC" w:rsidR="00833524" w:rsidRDefault="00833524" w:rsidP="00833524">
      <w:pPr>
        <w:pStyle w:val="Caption"/>
      </w:pPr>
    </w:p>
    <w:p w14:paraId="115C9478" w14:textId="16D3ADDE" w:rsidR="00696A3B" w:rsidRDefault="00696A3B" w:rsidP="00833524">
      <w:pPr>
        <w:pStyle w:val="Caption"/>
      </w:pPr>
      <w:r>
        <w:rPr>
          <w:noProof/>
          <w:lang w:val="fr-FR"/>
        </w:rPr>
        <w:drawing>
          <wp:inline distT="0" distB="0" distL="0" distR="0" wp14:anchorId="51C1DF96" wp14:editId="1BFEF0F1">
            <wp:extent cx="6318250" cy="3841750"/>
            <wp:effectExtent l="0" t="0" r="6350" b="6350"/>
            <wp:docPr id="28719" name="Graphique 287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8945640" w14:textId="583FED04" w:rsidR="00833524" w:rsidRPr="00364545" w:rsidRDefault="00833524" w:rsidP="00833524">
      <w:pPr>
        <w:pStyle w:val="Caption"/>
      </w:pPr>
      <w:r w:rsidRPr="00364545">
        <w:t xml:space="preserve">Figure </w:t>
      </w:r>
      <w:fldSimple w:instr=" SEQ Figure \* ARABIC ">
        <w:r w:rsidR="009A2FAA">
          <w:rPr>
            <w:noProof/>
          </w:rPr>
          <w:t>61</w:t>
        </w:r>
      </w:fldSimple>
      <w:r w:rsidRPr="00364545">
        <w:t>: Projection by gas in ktCO</w:t>
      </w:r>
      <w:r w:rsidRPr="00364545">
        <w:rPr>
          <w:vertAlign w:val="subscript"/>
        </w:rPr>
        <w:t>2</w:t>
      </w:r>
      <w:r w:rsidRPr="00364545">
        <w:t>-eq, including LULUCF, in the Kyoto format, AM</w:t>
      </w:r>
      <w:r w:rsidR="001F6085">
        <w:t>S</w:t>
      </w:r>
      <w:r w:rsidRPr="00364545">
        <w:t xml:space="preserve"> 2018 scenario </w:t>
      </w:r>
    </w:p>
    <w:p w14:paraId="6DBDD24E" w14:textId="77777777" w:rsidR="00833524" w:rsidRPr="00364545" w:rsidRDefault="00833524" w:rsidP="00833524">
      <w:pPr>
        <w:pStyle w:val="Caption"/>
      </w:pPr>
      <w:r w:rsidRPr="00364545">
        <w:t>Source: UN</w:t>
      </w:r>
      <w:r>
        <w:t>FCCC inventory, Citepa/MTE, 2022</w:t>
      </w:r>
      <w:r w:rsidRPr="00364545">
        <w:t xml:space="preserve"> submission and MTE emission projections, 2018</w:t>
      </w:r>
    </w:p>
    <w:p w14:paraId="2639DA52" w14:textId="77777777" w:rsidR="00833524" w:rsidRPr="00364545" w:rsidRDefault="00833524" w:rsidP="00833524">
      <w:pPr>
        <w:pStyle w:val="Titre4niveau4"/>
        <w:numPr>
          <w:ilvl w:val="2"/>
          <w:numId w:val="78"/>
        </w:numPr>
      </w:pPr>
      <w:r w:rsidRPr="00364545">
        <w:t>Cross-sectoral and gas-specific trends</w:t>
      </w:r>
    </w:p>
    <w:p w14:paraId="1479497E" w14:textId="77777777" w:rsidR="00833524" w:rsidRPr="00364545" w:rsidRDefault="00833524" w:rsidP="00833524">
      <w:pPr>
        <w:pStyle w:val="titreencadre"/>
        <w:numPr>
          <w:ilvl w:val="3"/>
          <w:numId w:val="78"/>
        </w:numPr>
      </w:pPr>
      <w:r w:rsidRPr="00364545">
        <w:t>AME 2021</w:t>
      </w:r>
    </w:p>
    <w:p w14:paraId="0C05281D" w14:textId="77777777" w:rsidR="00833524" w:rsidRPr="00364545" w:rsidRDefault="00833524" w:rsidP="00833524"/>
    <w:tbl>
      <w:tblPr>
        <w:tblStyle w:val="TableGrid0"/>
        <w:tblW w:w="9934" w:type="dxa"/>
        <w:tblInd w:w="10" w:type="dxa"/>
        <w:tblLayout w:type="fixed"/>
        <w:tblCellMar>
          <w:top w:w="39" w:type="dxa"/>
          <w:left w:w="28" w:type="dxa"/>
          <w:bottom w:w="2" w:type="dxa"/>
          <w:right w:w="31" w:type="dxa"/>
        </w:tblCellMar>
        <w:tblLook w:val="04A0" w:firstRow="1" w:lastRow="0" w:firstColumn="1" w:lastColumn="0" w:noHBand="0" w:noVBand="1"/>
      </w:tblPr>
      <w:tblGrid>
        <w:gridCol w:w="1121"/>
        <w:gridCol w:w="734"/>
        <w:gridCol w:w="734"/>
        <w:gridCol w:w="735"/>
        <w:gridCol w:w="734"/>
        <w:gridCol w:w="735"/>
        <w:gridCol w:w="734"/>
        <w:gridCol w:w="734"/>
        <w:gridCol w:w="735"/>
        <w:gridCol w:w="734"/>
        <w:gridCol w:w="735"/>
        <w:gridCol w:w="734"/>
        <w:gridCol w:w="735"/>
      </w:tblGrid>
      <w:tr w:rsidR="00833524" w:rsidRPr="00364545" w14:paraId="2277A55D" w14:textId="77777777" w:rsidTr="00E56269">
        <w:trPr>
          <w:trHeight w:val="400"/>
        </w:trPr>
        <w:tc>
          <w:tcPr>
            <w:tcW w:w="1121" w:type="dxa"/>
            <w:tcBorders>
              <w:top w:val="single" w:sz="2" w:space="0" w:color="000000"/>
              <w:left w:val="single" w:sz="2" w:space="0" w:color="000000"/>
              <w:bottom w:val="single" w:sz="2" w:space="0" w:color="000000"/>
              <w:right w:val="single" w:sz="2" w:space="0" w:color="000000"/>
            </w:tcBorders>
            <w:shd w:val="clear" w:color="auto" w:fill="6D2A78"/>
          </w:tcPr>
          <w:p w14:paraId="3CE0A2FF" w14:textId="77777777" w:rsidR="00833524" w:rsidRPr="00364545" w:rsidRDefault="00833524" w:rsidP="00E56269">
            <w:pPr>
              <w:spacing w:line="259" w:lineRule="auto"/>
              <w:jc w:val="left"/>
            </w:pPr>
            <w:r w:rsidRPr="00364545">
              <w:t>AME 21 – CO</w:t>
            </w:r>
            <w:r w:rsidRPr="00364545">
              <w:rPr>
                <w:vertAlign w:val="subscript"/>
              </w:rPr>
              <w:t>2</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0D9EEE6" w14:textId="77777777" w:rsidR="00833524" w:rsidRPr="00364545" w:rsidRDefault="00833524" w:rsidP="00E56269">
            <w:pPr>
              <w:spacing w:line="259" w:lineRule="auto"/>
              <w:ind w:left="1"/>
              <w:jc w:val="center"/>
            </w:pPr>
            <w:r w:rsidRPr="00364545">
              <w:rPr>
                <w:b/>
                <w:color w:val="FFFFFF"/>
                <w:sz w:val="18"/>
              </w:rPr>
              <w:t>1990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3AEB45D" w14:textId="77777777" w:rsidR="00833524" w:rsidRPr="00364545" w:rsidRDefault="00833524" w:rsidP="00E56269">
            <w:pPr>
              <w:spacing w:line="259" w:lineRule="auto"/>
              <w:ind w:left="4"/>
              <w:jc w:val="center"/>
              <w:rPr>
                <w:b/>
                <w:color w:val="FFFFFF"/>
                <w:sz w:val="18"/>
              </w:rPr>
            </w:pPr>
            <w:r w:rsidRPr="00364545">
              <w:rPr>
                <w:b/>
                <w:color w:val="FFFFFF"/>
                <w:sz w:val="18"/>
              </w:rPr>
              <w:t>1995</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04A2037" w14:textId="77777777" w:rsidR="00833524" w:rsidRPr="00364545" w:rsidRDefault="00833524" w:rsidP="00E56269">
            <w:pPr>
              <w:spacing w:line="259" w:lineRule="auto"/>
              <w:ind w:left="4"/>
              <w:jc w:val="center"/>
            </w:pPr>
            <w:r w:rsidRPr="00364545">
              <w:rPr>
                <w:b/>
                <w:color w:val="FFFFFF"/>
                <w:sz w:val="18"/>
              </w:rPr>
              <w:t>2000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6C29BF3" w14:textId="77777777" w:rsidR="00833524" w:rsidRPr="00364545" w:rsidRDefault="00833524" w:rsidP="00E56269">
            <w:pPr>
              <w:spacing w:line="259" w:lineRule="auto"/>
              <w:ind w:left="1"/>
              <w:jc w:val="center"/>
            </w:pPr>
            <w:r w:rsidRPr="00364545">
              <w:rPr>
                <w:b/>
                <w:color w:val="FFFFFF"/>
                <w:sz w:val="18"/>
              </w:rPr>
              <w:t>2005</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2E57513" w14:textId="77777777" w:rsidR="00833524" w:rsidRPr="00364545" w:rsidRDefault="00833524" w:rsidP="00E56269">
            <w:pPr>
              <w:spacing w:line="259" w:lineRule="auto"/>
              <w:ind w:left="4"/>
              <w:jc w:val="center"/>
            </w:pPr>
            <w:r w:rsidRPr="00364545">
              <w:rPr>
                <w:b/>
                <w:color w:val="FFFFFF"/>
                <w:sz w:val="18"/>
              </w:rPr>
              <w:t>2010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7C90B6F" w14:textId="77777777" w:rsidR="00833524" w:rsidRPr="00364545" w:rsidRDefault="00833524" w:rsidP="00E56269">
            <w:pPr>
              <w:spacing w:line="259" w:lineRule="auto"/>
              <w:ind w:left="1"/>
              <w:jc w:val="center"/>
            </w:pPr>
            <w:r w:rsidRPr="00364545">
              <w:rPr>
                <w:b/>
                <w:color w:val="FFFFFF"/>
                <w:sz w:val="18"/>
              </w:rPr>
              <w:t>2015</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6C85746" w14:textId="77777777" w:rsidR="00833524" w:rsidRPr="00364545" w:rsidRDefault="00833524" w:rsidP="00E56269">
            <w:pPr>
              <w:spacing w:line="259" w:lineRule="auto"/>
              <w:ind w:left="4"/>
              <w:jc w:val="center"/>
              <w:rPr>
                <w:b/>
                <w:color w:val="FFFFFF"/>
                <w:sz w:val="18"/>
              </w:rPr>
            </w:pPr>
            <w:r w:rsidRPr="00364545">
              <w:rPr>
                <w:b/>
                <w:color w:val="FFFFFF"/>
                <w:sz w:val="18"/>
              </w:rPr>
              <w:t>2019</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EC8E9E1" w14:textId="77777777" w:rsidR="00833524" w:rsidRPr="00364545" w:rsidRDefault="00833524" w:rsidP="00E56269">
            <w:pPr>
              <w:spacing w:line="259" w:lineRule="auto"/>
              <w:ind w:left="4"/>
              <w:jc w:val="center"/>
            </w:pPr>
            <w:r w:rsidRPr="00364545">
              <w:rPr>
                <w:b/>
                <w:color w:val="FFFFFF"/>
                <w:sz w:val="18"/>
              </w:rPr>
              <w:t>2020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CC12139" w14:textId="77777777" w:rsidR="00833524" w:rsidRPr="00364545" w:rsidRDefault="00833524" w:rsidP="00E56269">
            <w:pPr>
              <w:spacing w:line="259" w:lineRule="auto"/>
              <w:ind w:left="1"/>
              <w:jc w:val="center"/>
            </w:pPr>
            <w:r w:rsidRPr="00364545">
              <w:rPr>
                <w:b/>
                <w:color w:val="FFFFFF"/>
                <w:sz w:val="18"/>
              </w:rPr>
              <w:t>2025</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824624C" w14:textId="77777777" w:rsidR="00833524" w:rsidRPr="00364545" w:rsidRDefault="00833524" w:rsidP="00E56269">
            <w:pPr>
              <w:spacing w:line="259" w:lineRule="auto"/>
              <w:ind w:left="4"/>
              <w:jc w:val="center"/>
            </w:pPr>
            <w:r w:rsidRPr="00364545">
              <w:rPr>
                <w:b/>
                <w:color w:val="FFFFFF"/>
                <w:sz w:val="18"/>
              </w:rPr>
              <w:t>2030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6DBC83E" w14:textId="77777777" w:rsidR="00833524" w:rsidRPr="00364545" w:rsidRDefault="00833524" w:rsidP="00E56269">
            <w:pPr>
              <w:spacing w:line="259" w:lineRule="auto"/>
              <w:ind w:left="3"/>
              <w:jc w:val="center"/>
            </w:pPr>
            <w:r w:rsidRPr="00364545">
              <w:rPr>
                <w:b/>
                <w:color w:val="FFFFFF"/>
                <w:sz w:val="18"/>
              </w:rPr>
              <w:t>2035</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89DA2B5" w14:textId="77777777" w:rsidR="00833524" w:rsidRPr="00364545" w:rsidRDefault="00833524" w:rsidP="00E56269">
            <w:pPr>
              <w:spacing w:line="259" w:lineRule="auto"/>
              <w:ind w:left="3"/>
              <w:jc w:val="center"/>
              <w:rPr>
                <w:b/>
                <w:color w:val="FFFFFF"/>
                <w:sz w:val="18"/>
              </w:rPr>
            </w:pPr>
            <w:r w:rsidRPr="00364545">
              <w:rPr>
                <w:b/>
                <w:color w:val="FFFFFF"/>
                <w:sz w:val="18"/>
              </w:rPr>
              <w:t>2050</w:t>
            </w:r>
          </w:p>
        </w:tc>
      </w:tr>
      <w:tr w:rsidR="00833524" w:rsidRPr="00364545" w14:paraId="3642B488" w14:textId="77777777" w:rsidTr="00E56269">
        <w:trPr>
          <w:trHeight w:val="347"/>
        </w:trPr>
        <w:tc>
          <w:tcPr>
            <w:tcW w:w="1121" w:type="dxa"/>
            <w:tcBorders>
              <w:top w:val="single" w:sz="2" w:space="0" w:color="000000"/>
              <w:left w:val="single" w:sz="2" w:space="0" w:color="000000"/>
              <w:bottom w:val="single" w:sz="2" w:space="0" w:color="000000"/>
              <w:right w:val="single" w:sz="2" w:space="0" w:color="000000"/>
            </w:tcBorders>
          </w:tcPr>
          <w:p w14:paraId="630FAFAF" w14:textId="77777777" w:rsidR="00833524" w:rsidRPr="00364545" w:rsidRDefault="00833524" w:rsidP="00E56269">
            <w:pPr>
              <w:spacing w:line="259" w:lineRule="auto"/>
            </w:pPr>
            <w:r w:rsidRPr="00364545">
              <w:rPr>
                <w:sz w:val="18"/>
              </w:rPr>
              <w:t xml:space="preserve">Energy </w:t>
            </w:r>
          </w:p>
        </w:tc>
        <w:tc>
          <w:tcPr>
            <w:tcW w:w="734" w:type="dxa"/>
            <w:tcBorders>
              <w:top w:val="single" w:sz="2" w:space="0" w:color="000000"/>
              <w:left w:val="single" w:sz="2" w:space="0" w:color="000000"/>
              <w:bottom w:val="single" w:sz="2" w:space="0" w:color="000000"/>
              <w:right w:val="single" w:sz="2" w:space="0" w:color="000000"/>
            </w:tcBorders>
            <w:vAlign w:val="center"/>
          </w:tcPr>
          <w:p w14:paraId="6BD3B0AD" w14:textId="77777777" w:rsidR="00833524" w:rsidRPr="00364545" w:rsidRDefault="00833524" w:rsidP="00E56269">
            <w:pPr>
              <w:spacing w:line="259" w:lineRule="auto"/>
              <w:ind w:left="56"/>
              <w:jc w:val="center"/>
            </w:pPr>
            <w:r>
              <w:rPr>
                <w:sz w:val="18"/>
                <w:szCs w:val="18"/>
              </w:rPr>
              <w:t>351435</w:t>
            </w:r>
          </w:p>
        </w:tc>
        <w:tc>
          <w:tcPr>
            <w:tcW w:w="734" w:type="dxa"/>
            <w:tcBorders>
              <w:top w:val="single" w:sz="2" w:space="0" w:color="000000"/>
              <w:left w:val="single" w:sz="2" w:space="0" w:color="000000"/>
              <w:bottom w:val="single" w:sz="2" w:space="0" w:color="000000"/>
              <w:right w:val="single" w:sz="2" w:space="0" w:color="000000"/>
            </w:tcBorders>
            <w:vAlign w:val="center"/>
          </w:tcPr>
          <w:p w14:paraId="332DD077" w14:textId="77777777" w:rsidR="00833524" w:rsidRPr="00364545" w:rsidRDefault="00833524" w:rsidP="00E56269">
            <w:pPr>
              <w:spacing w:line="259" w:lineRule="auto"/>
              <w:ind w:left="56"/>
              <w:jc w:val="center"/>
              <w:rPr>
                <w:sz w:val="18"/>
              </w:rPr>
            </w:pPr>
            <w:r>
              <w:rPr>
                <w:sz w:val="18"/>
                <w:szCs w:val="18"/>
              </w:rPr>
              <w:t>350115</w:t>
            </w:r>
          </w:p>
        </w:tc>
        <w:tc>
          <w:tcPr>
            <w:tcW w:w="735" w:type="dxa"/>
            <w:tcBorders>
              <w:top w:val="single" w:sz="2" w:space="0" w:color="000000"/>
              <w:left w:val="single" w:sz="2" w:space="0" w:color="000000"/>
              <w:bottom w:val="single" w:sz="2" w:space="0" w:color="000000"/>
              <w:right w:val="single" w:sz="2" w:space="0" w:color="000000"/>
            </w:tcBorders>
            <w:vAlign w:val="center"/>
          </w:tcPr>
          <w:p w14:paraId="7FA32331" w14:textId="77777777" w:rsidR="00833524" w:rsidRPr="00364545" w:rsidRDefault="00833524" w:rsidP="00E56269">
            <w:pPr>
              <w:spacing w:line="259" w:lineRule="auto"/>
              <w:ind w:left="58"/>
              <w:jc w:val="center"/>
            </w:pPr>
            <w:r>
              <w:rPr>
                <w:sz w:val="18"/>
                <w:szCs w:val="18"/>
              </w:rPr>
              <w:t>370522</w:t>
            </w:r>
          </w:p>
        </w:tc>
        <w:tc>
          <w:tcPr>
            <w:tcW w:w="734" w:type="dxa"/>
            <w:tcBorders>
              <w:top w:val="single" w:sz="2" w:space="0" w:color="000000"/>
              <w:left w:val="single" w:sz="2" w:space="0" w:color="000000"/>
              <w:bottom w:val="single" w:sz="2" w:space="0" w:color="000000"/>
              <w:right w:val="single" w:sz="2" w:space="0" w:color="000000"/>
            </w:tcBorders>
            <w:vAlign w:val="center"/>
          </w:tcPr>
          <w:p w14:paraId="308A1752" w14:textId="77777777" w:rsidR="00833524" w:rsidRPr="00364545" w:rsidRDefault="00833524" w:rsidP="00E56269">
            <w:pPr>
              <w:spacing w:line="259" w:lineRule="auto"/>
              <w:ind w:left="56"/>
              <w:jc w:val="center"/>
            </w:pPr>
            <w:r>
              <w:rPr>
                <w:sz w:val="18"/>
                <w:szCs w:val="18"/>
              </w:rPr>
              <w:t>381286</w:t>
            </w:r>
          </w:p>
        </w:tc>
        <w:tc>
          <w:tcPr>
            <w:tcW w:w="735" w:type="dxa"/>
            <w:tcBorders>
              <w:top w:val="single" w:sz="2" w:space="0" w:color="000000"/>
              <w:left w:val="single" w:sz="2" w:space="0" w:color="000000"/>
              <w:bottom w:val="single" w:sz="2" w:space="0" w:color="000000"/>
              <w:right w:val="single" w:sz="2" w:space="0" w:color="000000"/>
            </w:tcBorders>
            <w:vAlign w:val="center"/>
          </w:tcPr>
          <w:p w14:paraId="3CAD7CD5" w14:textId="77777777" w:rsidR="00833524" w:rsidRPr="00364545" w:rsidRDefault="00833524" w:rsidP="00E56269">
            <w:pPr>
              <w:spacing w:line="259" w:lineRule="auto"/>
              <w:ind w:left="58"/>
              <w:jc w:val="center"/>
            </w:pPr>
            <w:r>
              <w:rPr>
                <w:sz w:val="18"/>
                <w:szCs w:val="18"/>
              </w:rPr>
              <w:t>350369</w:t>
            </w:r>
          </w:p>
        </w:tc>
        <w:tc>
          <w:tcPr>
            <w:tcW w:w="734" w:type="dxa"/>
            <w:tcBorders>
              <w:top w:val="single" w:sz="2" w:space="0" w:color="000000"/>
              <w:left w:val="single" w:sz="2" w:space="0" w:color="000000"/>
              <w:bottom w:val="single" w:sz="2" w:space="0" w:color="000000"/>
              <w:right w:val="single" w:sz="2" w:space="0" w:color="000000"/>
            </w:tcBorders>
            <w:vAlign w:val="center"/>
          </w:tcPr>
          <w:p w14:paraId="669ABB43" w14:textId="77777777" w:rsidR="00833524" w:rsidRPr="00364545" w:rsidRDefault="00833524" w:rsidP="00E56269">
            <w:pPr>
              <w:spacing w:line="259" w:lineRule="auto"/>
              <w:ind w:left="56"/>
              <w:jc w:val="center"/>
            </w:pPr>
            <w:r>
              <w:rPr>
                <w:sz w:val="18"/>
                <w:szCs w:val="18"/>
              </w:rPr>
              <w:t>307160</w:t>
            </w:r>
          </w:p>
        </w:tc>
        <w:tc>
          <w:tcPr>
            <w:tcW w:w="734" w:type="dxa"/>
            <w:tcBorders>
              <w:top w:val="single" w:sz="2" w:space="0" w:color="000000"/>
              <w:left w:val="single" w:sz="2" w:space="0" w:color="000000"/>
              <w:bottom w:val="single" w:sz="2" w:space="0" w:color="000000"/>
              <w:right w:val="single" w:sz="2" w:space="0" w:color="000000"/>
            </w:tcBorders>
            <w:vAlign w:val="center"/>
          </w:tcPr>
          <w:p w14:paraId="590EE8E8" w14:textId="77777777" w:rsidR="00833524" w:rsidRPr="00364545" w:rsidRDefault="00833524" w:rsidP="00E56269">
            <w:pPr>
              <w:spacing w:line="259" w:lineRule="auto"/>
              <w:ind w:left="58"/>
              <w:jc w:val="center"/>
              <w:rPr>
                <w:sz w:val="18"/>
              </w:rPr>
            </w:pPr>
            <w:r>
              <w:rPr>
                <w:sz w:val="18"/>
                <w:szCs w:val="18"/>
              </w:rPr>
              <w:t>291379</w:t>
            </w:r>
          </w:p>
        </w:tc>
        <w:tc>
          <w:tcPr>
            <w:tcW w:w="735" w:type="dxa"/>
            <w:tcBorders>
              <w:top w:val="single" w:sz="2" w:space="0" w:color="000000"/>
              <w:left w:val="single" w:sz="2" w:space="0" w:color="000000"/>
              <w:bottom w:val="single" w:sz="2" w:space="0" w:color="000000"/>
              <w:right w:val="single" w:sz="2" w:space="0" w:color="000000"/>
            </w:tcBorders>
            <w:vAlign w:val="center"/>
          </w:tcPr>
          <w:p w14:paraId="2C09F7E1" w14:textId="77777777" w:rsidR="00833524" w:rsidRPr="00364545" w:rsidRDefault="00833524" w:rsidP="00E56269">
            <w:pPr>
              <w:spacing w:line="259" w:lineRule="auto"/>
              <w:ind w:left="58"/>
              <w:jc w:val="center"/>
            </w:pPr>
            <w:r w:rsidRPr="00364545">
              <w:rPr>
                <w:sz w:val="18"/>
              </w:rPr>
              <w:t>259004</w:t>
            </w:r>
          </w:p>
        </w:tc>
        <w:tc>
          <w:tcPr>
            <w:tcW w:w="734" w:type="dxa"/>
            <w:tcBorders>
              <w:top w:val="single" w:sz="2" w:space="0" w:color="000000"/>
              <w:left w:val="single" w:sz="2" w:space="0" w:color="000000"/>
              <w:bottom w:val="single" w:sz="2" w:space="0" w:color="000000"/>
              <w:right w:val="single" w:sz="2" w:space="0" w:color="000000"/>
            </w:tcBorders>
            <w:vAlign w:val="center"/>
          </w:tcPr>
          <w:p w14:paraId="15774649" w14:textId="77777777" w:rsidR="00833524" w:rsidRPr="00364545" w:rsidRDefault="00833524" w:rsidP="00E56269">
            <w:pPr>
              <w:spacing w:line="259" w:lineRule="auto"/>
              <w:ind w:left="56"/>
              <w:jc w:val="center"/>
            </w:pPr>
            <w:r w:rsidRPr="00364545">
              <w:rPr>
                <w:sz w:val="18"/>
              </w:rPr>
              <w:t>256402</w:t>
            </w:r>
          </w:p>
        </w:tc>
        <w:tc>
          <w:tcPr>
            <w:tcW w:w="735" w:type="dxa"/>
            <w:tcBorders>
              <w:top w:val="single" w:sz="2" w:space="0" w:color="000000"/>
              <w:left w:val="single" w:sz="2" w:space="0" w:color="000000"/>
              <w:bottom w:val="single" w:sz="2" w:space="0" w:color="000000"/>
              <w:right w:val="single" w:sz="2" w:space="0" w:color="000000"/>
            </w:tcBorders>
            <w:vAlign w:val="center"/>
          </w:tcPr>
          <w:p w14:paraId="1BD0264E" w14:textId="77777777" w:rsidR="00833524" w:rsidRPr="00364545" w:rsidRDefault="00833524" w:rsidP="00E56269">
            <w:pPr>
              <w:spacing w:line="259" w:lineRule="auto"/>
              <w:ind w:left="58"/>
              <w:jc w:val="center"/>
            </w:pPr>
            <w:r w:rsidRPr="00364545">
              <w:rPr>
                <w:sz w:val="18"/>
              </w:rPr>
              <w:t>235838</w:t>
            </w:r>
          </w:p>
        </w:tc>
        <w:tc>
          <w:tcPr>
            <w:tcW w:w="734" w:type="dxa"/>
            <w:tcBorders>
              <w:top w:val="single" w:sz="2" w:space="0" w:color="000000"/>
              <w:left w:val="single" w:sz="2" w:space="0" w:color="000000"/>
              <w:bottom w:val="single" w:sz="2" w:space="0" w:color="000000"/>
              <w:right w:val="single" w:sz="2" w:space="0" w:color="000000"/>
            </w:tcBorders>
            <w:vAlign w:val="center"/>
          </w:tcPr>
          <w:p w14:paraId="1B5A3244" w14:textId="77777777" w:rsidR="00833524" w:rsidRPr="00364545" w:rsidRDefault="00833524" w:rsidP="00E56269">
            <w:pPr>
              <w:spacing w:line="259" w:lineRule="auto"/>
              <w:ind w:left="56"/>
              <w:jc w:val="center"/>
            </w:pPr>
            <w:r w:rsidRPr="00364545">
              <w:rPr>
                <w:sz w:val="18"/>
              </w:rPr>
              <w:t>226591</w:t>
            </w:r>
          </w:p>
        </w:tc>
        <w:tc>
          <w:tcPr>
            <w:tcW w:w="735" w:type="dxa"/>
            <w:tcBorders>
              <w:top w:val="single" w:sz="2" w:space="0" w:color="000000"/>
              <w:left w:val="single" w:sz="2" w:space="0" w:color="000000"/>
              <w:bottom w:val="single" w:sz="2" w:space="0" w:color="000000"/>
              <w:right w:val="single" w:sz="2" w:space="0" w:color="000000"/>
            </w:tcBorders>
            <w:vAlign w:val="center"/>
          </w:tcPr>
          <w:p w14:paraId="6E470975" w14:textId="77777777" w:rsidR="00833524" w:rsidRPr="00364545" w:rsidRDefault="00833524" w:rsidP="00E56269">
            <w:pPr>
              <w:spacing w:line="259" w:lineRule="auto"/>
              <w:ind w:left="56"/>
              <w:jc w:val="center"/>
              <w:rPr>
                <w:sz w:val="18"/>
              </w:rPr>
            </w:pPr>
            <w:r w:rsidRPr="00364545">
              <w:rPr>
                <w:sz w:val="18"/>
              </w:rPr>
              <w:t>206719</w:t>
            </w:r>
          </w:p>
        </w:tc>
      </w:tr>
      <w:tr w:rsidR="00833524" w:rsidRPr="00364545" w14:paraId="6F16167E" w14:textId="77777777" w:rsidTr="00E56269">
        <w:trPr>
          <w:trHeight w:val="419"/>
        </w:trPr>
        <w:tc>
          <w:tcPr>
            <w:tcW w:w="1121" w:type="dxa"/>
            <w:tcBorders>
              <w:top w:val="single" w:sz="2" w:space="0" w:color="000000"/>
              <w:left w:val="single" w:sz="2" w:space="0" w:color="000000"/>
              <w:bottom w:val="single" w:sz="2" w:space="0" w:color="000000"/>
              <w:right w:val="single" w:sz="2" w:space="0" w:color="000000"/>
            </w:tcBorders>
            <w:shd w:val="clear" w:color="auto" w:fill="ECE6E2"/>
          </w:tcPr>
          <w:p w14:paraId="381495F4" w14:textId="77777777" w:rsidR="00833524" w:rsidRPr="00364545" w:rsidRDefault="00833524" w:rsidP="00E56269">
            <w:pPr>
              <w:spacing w:line="259" w:lineRule="auto"/>
            </w:pPr>
            <w:r w:rsidRPr="00364545">
              <w:rPr>
                <w:sz w:val="18"/>
              </w:rPr>
              <w:t xml:space="preserve">Industrial processes, solvents and other products </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C99599" w14:textId="77777777" w:rsidR="00833524" w:rsidRPr="00364545" w:rsidRDefault="00833524" w:rsidP="00E56269">
            <w:pPr>
              <w:spacing w:line="259" w:lineRule="auto"/>
              <w:ind w:left="106"/>
              <w:jc w:val="center"/>
            </w:pPr>
            <w:r>
              <w:rPr>
                <w:sz w:val="18"/>
                <w:szCs w:val="18"/>
              </w:rPr>
              <w:t>42902</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7CCDE6" w14:textId="77777777" w:rsidR="00833524" w:rsidRPr="00364545" w:rsidRDefault="00833524" w:rsidP="00E56269">
            <w:pPr>
              <w:spacing w:line="259" w:lineRule="auto"/>
              <w:ind w:left="56"/>
              <w:jc w:val="center"/>
              <w:rPr>
                <w:sz w:val="18"/>
              </w:rPr>
            </w:pPr>
            <w:r>
              <w:rPr>
                <w:sz w:val="18"/>
                <w:szCs w:val="18"/>
              </w:rPr>
              <w:t>38604</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F3B6B0" w14:textId="77777777" w:rsidR="00833524" w:rsidRPr="00364545" w:rsidRDefault="00833524" w:rsidP="00E56269">
            <w:pPr>
              <w:spacing w:line="259" w:lineRule="auto"/>
              <w:ind w:left="108"/>
              <w:jc w:val="center"/>
            </w:pPr>
            <w:r>
              <w:rPr>
                <w:sz w:val="18"/>
                <w:szCs w:val="18"/>
              </w:rPr>
              <w:t>40574</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B45860" w14:textId="77777777" w:rsidR="00833524" w:rsidRPr="00364545" w:rsidRDefault="00833524" w:rsidP="00E56269">
            <w:pPr>
              <w:spacing w:line="259" w:lineRule="auto"/>
              <w:ind w:left="106"/>
              <w:jc w:val="center"/>
            </w:pPr>
            <w:r>
              <w:rPr>
                <w:sz w:val="18"/>
                <w:szCs w:val="18"/>
              </w:rPr>
              <w:t>40644</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AF3DEF" w14:textId="77777777" w:rsidR="00833524" w:rsidRPr="00364545" w:rsidRDefault="00833524" w:rsidP="00E56269">
            <w:pPr>
              <w:spacing w:line="259" w:lineRule="auto"/>
              <w:ind w:left="108"/>
              <w:jc w:val="center"/>
            </w:pPr>
            <w:r>
              <w:rPr>
                <w:sz w:val="18"/>
                <w:szCs w:val="18"/>
              </w:rPr>
              <w:t>32910</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E7B265" w14:textId="77777777" w:rsidR="00833524" w:rsidRPr="00364545" w:rsidRDefault="00833524" w:rsidP="00E56269">
            <w:pPr>
              <w:spacing w:line="259" w:lineRule="auto"/>
              <w:ind w:left="106"/>
              <w:jc w:val="center"/>
            </w:pPr>
            <w:r>
              <w:rPr>
                <w:sz w:val="18"/>
                <w:szCs w:val="18"/>
              </w:rPr>
              <w:t>30753</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BB3ABDA" w14:textId="77777777" w:rsidR="00833524" w:rsidRPr="00364545" w:rsidRDefault="00833524" w:rsidP="00E56269">
            <w:pPr>
              <w:spacing w:line="259" w:lineRule="auto"/>
              <w:ind w:left="108"/>
              <w:jc w:val="center"/>
              <w:rPr>
                <w:sz w:val="18"/>
              </w:rPr>
            </w:pPr>
            <w:r>
              <w:rPr>
                <w:sz w:val="18"/>
                <w:szCs w:val="18"/>
              </w:rPr>
              <w:t>31576</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D497E6" w14:textId="77777777" w:rsidR="00833524" w:rsidRPr="00364545" w:rsidRDefault="00833524" w:rsidP="00E56269">
            <w:pPr>
              <w:spacing w:line="259" w:lineRule="auto"/>
              <w:ind w:left="108"/>
              <w:jc w:val="center"/>
            </w:pPr>
            <w:r w:rsidRPr="00364545">
              <w:rPr>
                <w:sz w:val="18"/>
              </w:rPr>
              <w:t>29085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D413E4" w14:textId="77777777" w:rsidR="00833524" w:rsidRPr="00364545" w:rsidRDefault="00833524" w:rsidP="00E56269">
            <w:pPr>
              <w:spacing w:line="259" w:lineRule="auto"/>
              <w:ind w:left="106"/>
              <w:jc w:val="center"/>
            </w:pPr>
            <w:r w:rsidRPr="00364545">
              <w:rPr>
                <w:sz w:val="18"/>
              </w:rPr>
              <w:t>32247</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0BFAA8" w14:textId="77777777" w:rsidR="00833524" w:rsidRPr="00364545" w:rsidRDefault="00833524" w:rsidP="00E56269">
            <w:pPr>
              <w:spacing w:line="259" w:lineRule="auto"/>
              <w:ind w:left="108"/>
              <w:jc w:val="center"/>
            </w:pPr>
            <w:r w:rsidRPr="00364545">
              <w:rPr>
                <w:sz w:val="18"/>
              </w:rPr>
              <w:t>32522</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9BB6EE" w14:textId="77777777" w:rsidR="00833524" w:rsidRPr="00364545" w:rsidRDefault="00833524" w:rsidP="00E56269">
            <w:pPr>
              <w:spacing w:line="259" w:lineRule="auto"/>
              <w:ind w:left="106"/>
              <w:jc w:val="center"/>
            </w:pPr>
            <w:r w:rsidRPr="00364545">
              <w:rPr>
                <w:sz w:val="18"/>
              </w:rPr>
              <w:t>31943</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C58F46" w14:textId="77777777" w:rsidR="00833524" w:rsidRPr="00364545" w:rsidRDefault="00833524" w:rsidP="00E56269">
            <w:pPr>
              <w:spacing w:line="259" w:lineRule="auto"/>
              <w:ind w:left="106"/>
              <w:jc w:val="center"/>
              <w:rPr>
                <w:sz w:val="18"/>
              </w:rPr>
            </w:pPr>
            <w:r w:rsidRPr="00364545">
              <w:rPr>
                <w:sz w:val="18"/>
              </w:rPr>
              <w:t>30222</w:t>
            </w:r>
          </w:p>
        </w:tc>
      </w:tr>
      <w:tr w:rsidR="00833524" w:rsidRPr="00364545" w14:paraId="6702FF36" w14:textId="77777777" w:rsidTr="00E56269">
        <w:trPr>
          <w:trHeight w:val="344"/>
        </w:trPr>
        <w:tc>
          <w:tcPr>
            <w:tcW w:w="1121" w:type="dxa"/>
            <w:tcBorders>
              <w:top w:val="single" w:sz="2" w:space="0" w:color="000000"/>
              <w:left w:val="single" w:sz="2" w:space="0" w:color="000000"/>
              <w:bottom w:val="single" w:sz="2" w:space="0" w:color="000000"/>
              <w:right w:val="single" w:sz="2" w:space="0" w:color="000000"/>
            </w:tcBorders>
          </w:tcPr>
          <w:p w14:paraId="3D69C41A" w14:textId="77777777" w:rsidR="00833524" w:rsidRPr="00364545" w:rsidRDefault="00833524" w:rsidP="00E56269">
            <w:pPr>
              <w:spacing w:line="259" w:lineRule="auto"/>
            </w:pPr>
            <w:r w:rsidRPr="00364545">
              <w:rPr>
                <w:sz w:val="18"/>
              </w:rPr>
              <w:t xml:space="preserve">Agriculture (excluding energy) </w:t>
            </w:r>
          </w:p>
        </w:tc>
        <w:tc>
          <w:tcPr>
            <w:tcW w:w="734" w:type="dxa"/>
            <w:tcBorders>
              <w:top w:val="single" w:sz="2" w:space="0" w:color="000000"/>
              <w:left w:val="single" w:sz="2" w:space="0" w:color="000000"/>
              <w:bottom w:val="single" w:sz="2" w:space="0" w:color="000000"/>
              <w:right w:val="single" w:sz="2" w:space="0" w:color="000000"/>
            </w:tcBorders>
            <w:vAlign w:val="center"/>
          </w:tcPr>
          <w:p w14:paraId="1D94FBAE" w14:textId="77777777" w:rsidR="00833524" w:rsidRPr="00364545" w:rsidRDefault="00833524" w:rsidP="00E56269">
            <w:pPr>
              <w:spacing w:line="259" w:lineRule="auto"/>
              <w:ind w:right="1"/>
              <w:jc w:val="center"/>
            </w:pPr>
            <w:r>
              <w:rPr>
                <w:sz w:val="18"/>
                <w:szCs w:val="18"/>
              </w:rPr>
              <w:t>1894</w:t>
            </w:r>
          </w:p>
        </w:tc>
        <w:tc>
          <w:tcPr>
            <w:tcW w:w="734" w:type="dxa"/>
            <w:tcBorders>
              <w:top w:val="single" w:sz="2" w:space="0" w:color="000000"/>
              <w:left w:val="single" w:sz="2" w:space="0" w:color="000000"/>
              <w:bottom w:val="single" w:sz="2" w:space="0" w:color="000000"/>
              <w:right w:val="single" w:sz="2" w:space="0" w:color="000000"/>
            </w:tcBorders>
            <w:vAlign w:val="center"/>
          </w:tcPr>
          <w:p w14:paraId="7787FAB4" w14:textId="77777777" w:rsidR="00833524" w:rsidRPr="00364545" w:rsidRDefault="00833524" w:rsidP="00E56269">
            <w:pPr>
              <w:spacing w:line="259" w:lineRule="auto"/>
              <w:ind w:left="56"/>
              <w:jc w:val="center"/>
              <w:rPr>
                <w:sz w:val="18"/>
              </w:rPr>
            </w:pPr>
            <w:r>
              <w:rPr>
                <w:sz w:val="18"/>
                <w:szCs w:val="18"/>
              </w:rPr>
              <w:t>1973</w:t>
            </w:r>
          </w:p>
        </w:tc>
        <w:tc>
          <w:tcPr>
            <w:tcW w:w="735" w:type="dxa"/>
            <w:tcBorders>
              <w:top w:val="single" w:sz="2" w:space="0" w:color="000000"/>
              <w:left w:val="single" w:sz="2" w:space="0" w:color="000000"/>
              <w:bottom w:val="single" w:sz="2" w:space="0" w:color="000000"/>
              <w:right w:val="single" w:sz="2" w:space="0" w:color="000000"/>
            </w:tcBorders>
            <w:vAlign w:val="center"/>
          </w:tcPr>
          <w:p w14:paraId="36A9C9F2" w14:textId="77777777" w:rsidR="00833524" w:rsidRPr="00364545" w:rsidRDefault="00833524" w:rsidP="00E56269">
            <w:pPr>
              <w:spacing w:line="259" w:lineRule="auto"/>
              <w:ind w:left="1"/>
              <w:jc w:val="center"/>
            </w:pPr>
            <w:r>
              <w:rPr>
                <w:sz w:val="18"/>
                <w:szCs w:val="18"/>
              </w:rPr>
              <w:t>1989</w:t>
            </w:r>
          </w:p>
        </w:tc>
        <w:tc>
          <w:tcPr>
            <w:tcW w:w="734" w:type="dxa"/>
            <w:tcBorders>
              <w:top w:val="single" w:sz="2" w:space="0" w:color="000000"/>
              <w:left w:val="single" w:sz="2" w:space="0" w:color="000000"/>
              <w:bottom w:val="single" w:sz="2" w:space="0" w:color="000000"/>
              <w:right w:val="single" w:sz="2" w:space="0" w:color="000000"/>
            </w:tcBorders>
            <w:vAlign w:val="center"/>
          </w:tcPr>
          <w:p w14:paraId="2AB51AD0" w14:textId="77777777" w:rsidR="00833524" w:rsidRPr="00364545" w:rsidRDefault="00833524" w:rsidP="00E56269">
            <w:pPr>
              <w:spacing w:line="259" w:lineRule="auto"/>
              <w:ind w:right="1"/>
              <w:jc w:val="center"/>
            </w:pPr>
            <w:r>
              <w:rPr>
                <w:sz w:val="18"/>
                <w:szCs w:val="18"/>
              </w:rPr>
              <w:t>1965</w:t>
            </w:r>
          </w:p>
        </w:tc>
        <w:tc>
          <w:tcPr>
            <w:tcW w:w="735" w:type="dxa"/>
            <w:tcBorders>
              <w:top w:val="single" w:sz="2" w:space="0" w:color="000000"/>
              <w:left w:val="single" w:sz="2" w:space="0" w:color="000000"/>
              <w:bottom w:val="single" w:sz="2" w:space="0" w:color="000000"/>
              <w:right w:val="single" w:sz="2" w:space="0" w:color="000000"/>
            </w:tcBorders>
            <w:vAlign w:val="center"/>
          </w:tcPr>
          <w:p w14:paraId="00D2657F" w14:textId="77777777" w:rsidR="00833524" w:rsidRPr="00364545" w:rsidRDefault="00833524" w:rsidP="00E56269">
            <w:pPr>
              <w:spacing w:line="259" w:lineRule="auto"/>
              <w:ind w:left="1"/>
              <w:jc w:val="center"/>
            </w:pPr>
            <w:r>
              <w:rPr>
                <w:sz w:val="18"/>
                <w:szCs w:val="18"/>
              </w:rPr>
              <w:t>1986</w:t>
            </w:r>
          </w:p>
        </w:tc>
        <w:tc>
          <w:tcPr>
            <w:tcW w:w="734" w:type="dxa"/>
            <w:tcBorders>
              <w:top w:val="single" w:sz="2" w:space="0" w:color="000000"/>
              <w:left w:val="single" w:sz="2" w:space="0" w:color="000000"/>
              <w:bottom w:val="single" w:sz="2" w:space="0" w:color="000000"/>
              <w:right w:val="single" w:sz="2" w:space="0" w:color="000000"/>
            </w:tcBorders>
            <w:vAlign w:val="center"/>
          </w:tcPr>
          <w:p w14:paraId="228C7B00" w14:textId="77777777" w:rsidR="00833524" w:rsidRPr="00364545" w:rsidRDefault="00833524" w:rsidP="00E56269">
            <w:pPr>
              <w:spacing w:line="259" w:lineRule="auto"/>
              <w:ind w:right="1"/>
              <w:jc w:val="center"/>
            </w:pPr>
            <w:r>
              <w:rPr>
                <w:sz w:val="18"/>
                <w:szCs w:val="18"/>
              </w:rPr>
              <w:t>2176</w:t>
            </w:r>
          </w:p>
        </w:tc>
        <w:tc>
          <w:tcPr>
            <w:tcW w:w="734" w:type="dxa"/>
            <w:tcBorders>
              <w:top w:val="single" w:sz="2" w:space="0" w:color="000000"/>
              <w:left w:val="single" w:sz="2" w:space="0" w:color="000000"/>
              <w:bottom w:val="single" w:sz="2" w:space="0" w:color="000000"/>
              <w:right w:val="single" w:sz="2" w:space="0" w:color="000000"/>
            </w:tcBorders>
            <w:vAlign w:val="center"/>
          </w:tcPr>
          <w:p w14:paraId="02577BE2" w14:textId="77777777" w:rsidR="00833524" w:rsidRPr="00364545" w:rsidRDefault="00833524" w:rsidP="00E56269">
            <w:pPr>
              <w:spacing w:line="259" w:lineRule="auto"/>
              <w:ind w:left="1"/>
              <w:jc w:val="center"/>
              <w:rPr>
                <w:sz w:val="18"/>
              </w:rPr>
            </w:pPr>
            <w:r>
              <w:rPr>
                <w:sz w:val="18"/>
                <w:szCs w:val="18"/>
              </w:rPr>
              <w:t>2032</w:t>
            </w:r>
          </w:p>
        </w:tc>
        <w:tc>
          <w:tcPr>
            <w:tcW w:w="735" w:type="dxa"/>
            <w:tcBorders>
              <w:top w:val="single" w:sz="2" w:space="0" w:color="000000"/>
              <w:left w:val="single" w:sz="2" w:space="0" w:color="000000"/>
              <w:bottom w:val="single" w:sz="2" w:space="0" w:color="000000"/>
              <w:right w:val="single" w:sz="2" w:space="0" w:color="000000"/>
            </w:tcBorders>
            <w:vAlign w:val="center"/>
          </w:tcPr>
          <w:p w14:paraId="713833A6" w14:textId="77777777" w:rsidR="00833524" w:rsidRPr="00364545" w:rsidRDefault="00833524" w:rsidP="00E56269">
            <w:pPr>
              <w:spacing w:line="259" w:lineRule="auto"/>
              <w:ind w:left="1"/>
              <w:jc w:val="center"/>
            </w:pPr>
            <w:r w:rsidRPr="00364545">
              <w:rPr>
                <w:sz w:val="18"/>
              </w:rPr>
              <w:t>2139</w:t>
            </w:r>
          </w:p>
        </w:tc>
        <w:tc>
          <w:tcPr>
            <w:tcW w:w="734" w:type="dxa"/>
            <w:tcBorders>
              <w:top w:val="single" w:sz="2" w:space="0" w:color="000000"/>
              <w:left w:val="single" w:sz="2" w:space="0" w:color="000000"/>
              <w:bottom w:val="single" w:sz="2" w:space="0" w:color="000000"/>
              <w:right w:val="single" w:sz="2" w:space="0" w:color="000000"/>
            </w:tcBorders>
            <w:vAlign w:val="center"/>
          </w:tcPr>
          <w:p w14:paraId="142265C0" w14:textId="77777777" w:rsidR="00833524" w:rsidRPr="00364545" w:rsidRDefault="00833524" w:rsidP="00E56269">
            <w:pPr>
              <w:spacing w:line="259" w:lineRule="auto"/>
              <w:ind w:right="1"/>
              <w:jc w:val="center"/>
            </w:pPr>
            <w:r w:rsidRPr="00364545">
              <w:rPr>
                <w:sz w:val="18"/>
              </w:rPr>
              <w:t>2205</w:t>
            </w:r>
          </w:p>
        </w:tc>
        <w:tc>
          <w:tcPr>
            <w:tcW w:w="735" w:type="dxa"/>
            <w:tcBorders>
              <w:top w:val="single" w:sz="2" w:space="0" w:color="000000"/>
              <w:left w:val="single" w:sz="2" w:space="0" w:color="000000"/>
              <w:bottom w:val="single" w:sz="2" w:space="0" w:color="000000"/>
              <w:right w:val="single" w:sz="2" w:space="0" w:color="000000"/>
            </w:tcBorders>
            <w:vAlign w:val="center"/>
          </w:tcPr>
          <w:p w14:paraId="06A6420F" w14:textId="77777777" w:rsidR="00833524" w:rsidRPr="00364545" w:rsidRDefault="00833524" w:rsidP="00E56269">
            <w:pPr>
              <w:spacing w:line="259" w:lineRule="auto"/>
              <w:ind w:left="1"/>
              <w:jc w:val="center"/>
            </w:pPr>
            <w:r w:rsidRPr="00364545">
              <w:rPr>
                <w:sz w:val="18"/>
              </w:rPr>
              <w:t>2273</w:t>
            </w:r>
          </w:p>
        </w:tc>
        <w:tc>
          <w:tcPr>
            <w:tcW w:w="734" w:type="dxa"/>
            <w:tcBorders>
              <w:top w:val="single" w:sz="2" w:space="0" w:color="000000"/>
              <w:left w:val="single" w:sz="2" w:space="0" w:color="000000"/>
              <w:bottom w:val="single" w:sz="2" w:space="0" w:color="000000"/>
              <w:right w:val="single" w:sz="2" w:space="0" w:color="000000"/>
            </w:tcBorders>
            <w:vAlign w:val="center"/>
          </w:tcPr>
          <w:p w14:paraId="3340DB9E" w14:textId="77777777" w:rsidR="00833524" w:rsidRPr="00364545" w:rsidRDefault="00833524" w:rsidP="00E56269">
            <w:pPr>
              <w:spacing w:line="259" w:lineRule="auto"/>
              <w:jc w:val="center"/>
            </w:pPr>
            <w:r w:rsidRPr="00364545">
              <w:rPr>
                <w:sz w:val="18"/>
              </w:rPr>
              <w:t>2342</w:t>
            </w:r>
          </w:p>
        </w:tc>
        <w:tc>
          <w:tcPr>
            <w:tcW w:w="735" w:type="dxa"/>
            <w:tcBorders>
              <w:top w:val="single" w:sz="2" w:space="0" w:color="000000"/>
              <w:left w:val="single" w:sz="2" w:space="0" w:color="000000"/>
              <w:bottom w:val="single" w:sz="2" w:space="0" w:color="000000"/>
              <w:right w:val="single" w:sz="2" w:space="0" w:color="000000"/>
            </w:tcBorders>
            <w:vAlign w:val="center"/>
          </w:tcPr>
          <w:p w14:paraId="5A360FA4" w14:textId="77777777" w:rsidR="00833524" w:rsidRPr="00364545" w:rsidRDefault="00833524" w:rsidP="00E56269">
            <w:pPr>
              <w:spacing w:line="259" w:lineRule="auto"/>
              <w:jc w:val="center"/>
              <w:rPr>
                <w:sz w:val="18"/>
              </w:rPr>
            </w:pPr>
            <w:r w:rsidRPr="00364545">
              <w:rPr>
                <w:sz w:val="18"/>
              </w:rPr>
              <w:t>2518</w:t>
            </w:r>
          </w:p>
        </w:tc>
      </w:tr>
      <w:tr w:rsidR="00833524" w:rsidRPr="00364545" w14:paraId="5944C2BB" w14:textId="77777777" w:rsidTr="00E56269">
        <w:trPr>
          <w:trHeight w:val="344"/>
        </w:trPr>
        <w:tc>
          <w:tcPr>
            <w:tcW w:w="1121" w:type="dxa"/>
            <w:tcBorders>
              <w:top w:val="single" w:sz="2" w:space="0" w:color="000000"/>
              <w:left w:val="single" w:sz="2" w:space="0" w:color="000000"/>
              <w:bottom w:val="single" w:sz="2" w:space="0" w:color="000000"/>
              <w:right w:val="single" w:sz="2" w:space="0" w:color="000000"/>
            </w:tcBorders>
            <w:shd w:val="clear" w:color="auto" w:fill="ECE6E2"/>
          </w:tcPr>
          <w:p w14:paraId="7905A563" w14:textId="77777777" w:rsidR="00833524" w:rsidRPr="00364545" w:rsidRDefault="00833524" w:rsidP="00E56269">
            <w:pPr>
              <w:spacing w:line="259" w:lineRule="auto"/>
            </w:pPr>
            <w:r w:rsidRPr="00364545">
              <w:rPr>
                <w:sz w:val="18"/>
              </w:rPr>
              <w:t xml:space="preserve">LULUCF </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8A6C0F2" w14:textId="77777777" w:rsidR="00833524" w:rsidRPr="00364545" w:rsidRDefault="00833524" w:rsidP="00E56269">
            <w:pPr>
              <w:spacing w:line="259" w:lineRule="auto"/>
              <w:ind w:left="51"/>
              <w:jc w:val="center"/>
            </w:pPr>
            <w:r>
              <w:rPr>
                <w:sz w:val="18"/>
                <w:szCs w:val="18"/>
              </w:rPr>
              <w:t>-28145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44F906" w14:textId="77777777" w:rsidR="00833524" w:rsidRPr="00364545" w:rsidRDefault="00833524" w:rsidP="00E56269">
            <w:pPr>
              <w:spacing w:line="259" w:lineRule="auto"/>
              <w:jc w:val="center"/>
              <w:rPr>
                <w:sz w:val="18"/>
              </w:rPr>
            </w:pPr>
            <w:r>
              <w:rPr>
                <w:sz w:val="18"/>
                <w:szCs w:val="18"/>
              </w:rPr>
              <w:t>-31795</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1257B6" w14:textId="77777777" w:rsidR="00833524" w:rsidRPr="00364545" w:rsidRDefault="00833524" w:rsidP="00E56269">
            <w:pPr>
              <w:spacing w:line="259" w:lineRule="auto"/>
              <w:ind w:left="53"/>
              <w:jc w:val="center"/>
            </w:pPr>
            <w:r>
              <w:rPr>
                <w:sz w:val="18"/>
                <w:szCs w:val="18"/>
              </w:rPr>
              <w:t>-24595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7BBB69C" w14:textId="77777777" w:rsidR="00833524" w:rsidRPr="00364545" w:rsidRDefault="00833524" w:rsidP="00E56269">
            <w:pPr>
              <w:spacing w:line="259" w:lineRule="auto"/>
              <w:ind w:left="51"/>
              <w:jc w:val="center"/>
            </w:pPr>
            <w:r>
              <w:rPr>
                <w:sz w:val="18"/>
                <w:szCs w:val="18"/>
              </w:rPr>
              <w:t>-51471</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59622E" w14:textId="77777777" w:rsidR="00833524" w:rsidRPr="00364545" w:rsidRDefault="00833524" w:rsidP="00E56269">
            <w:pPr>
              <w:spacing w:line="259" w:lineRule="auto"/>
              <w:ind w:left="53"/>
              <w:jc w:val="center"/>
            </w:pPr>
            <w:r>
              <w:rPr>
                <w:sz w:val="18"/>
                <w:szCs w:val="18"/>
              </w:rPr>
              <w:t>-42701</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183A95" w14:textId="77777777" w:rsidR="00833524" w:rsidRPr="00364545" w:rsidRDefault="00833524" w:rsidP="00E56269">
            <w:pPr>
              <w:spacing w:line="259" w:lineRule="auto"/>
              <w:ind w:left="51"/>
              <w:jc w:val="center"/>
            </w:pPr>
            <w:r>
              <w:rPr>
                <w:sz w:val="18"/>
                <w:szCs w:val="18"/>
              </w:rPr>
              <w:t>-38599</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B8C1EA0" w14:textId="77777777" w:rsidR="00833524" w:rsidRPr="00364545" w:rsidRDefault="00833524" w:rsidP="00E56269">
            <w:pPr>
              <w:spacing w:line="259" w:lineRule="auto"/>
              <w:ind w:left="53"/>
              <w:jc w:val="center"/>
              <w:rPr>
                <w:sz w:val="18"/>
              </w:rPr>
            </w:pPr>
            <w:r>
              <w:rPr>
                <w:sz w:val="18"/>
                <w:szCs w:val="18"/>
              </w:rPr>
              <w:t>-16293</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97FB852" w14:textId="77777777" w:rsidR="00833524" w:rsidRPr="00364545" w:rsidRDefault="00833524" w:rsidP="00E56269">
            <w:pPr>
              <w:spacing w:line="259" w:lineRule="auto"/>
              <w:ind w:left="53"/>
              <w:jc w:val="center"/>
            </w:pPr>
            <w:r w:rsidRPr="00364545">
              <w:rPr>
                <w:sz w:val="18"/>
              </w:rPr>
              <w:t>-37085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CECD40" w14:textId="77777777" w:rsidR="00833524" w:rsidRPr="00364545" w:rsidRDefault="00833524" w:rsidP="00E56269">
            <w:pPr>
              <w:spacing w:line="259" w:lineRule="auto"/>
              <w:ind w:left="51"/>
              <w:jc w:val="center"/>
            </w:pPr>
            <w:r w:rsidRPr="00364545">
              <w:rPr>
                <w:sz w:val="18"/>
              </w:rPr>
              <w:t>- 32,992</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FA4D137" w14:textId="77777777" w:rsidR="00833524" w:rsidRPr="00364545" w:rsidRDefault="00833524" w:rsidP="00E56269">
            <w:pPr>
              <w:spacing w:line="259" w:lineRule="auto"/>
              <w:ind w:left="53"/>
              <w:jc w:val="center"/>
            </w:pPr>
            <w:r w:rsidRPr="00364545">
              <w:rPr>
                <w:sz w:val="18"/>
              </w:rPr>
              <w:t>- 30,678</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FAF0F6" w14:textId="77777777" w:rsidR="00833524" w:rsidRPr="00364545" w:rsidRDefault="00833524" w:rsidP="00E56269">
            <w:pPr>
              <w:spacing w:line="259" w:lineRule="auto"/>
              <w:ind w:left="51"/>
              <w:jc w:val="center"/>
            </w:pPr>
            <w:r w:rsidRPr="00364545">
              <w:rPr>
                <w:sz w:val="18"/>
              </w:rPr>
              <w:t>- 25,806</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FB003C" w14:textId="77777777" w:rsidR="00833524" w:rsidRPr="00364545" w:rsidRDefault="00833524" w:rsidP="00E56269">
            <w:pPr>
              <w:spacing w:line="259" w:lineRule="auto"/>
              <w:ind w:left="51"/>
              <w:jc w:val="center"/>
              <w:rPr>
                <w:sz w:val="18"/>
              </w:rPr>
            </w:pPr>
            <w:r w:rsidRPr="00364545">
              <w:rPr>
                <w:sz w:val="18"/>
              </w:rPr>
              <w:t>-16,873</w:t>
            </w:r>
          </w:p>
        </w:tc>
      </w:tr>
      <w:tr w:rsidR="00833524" w:rsidRPr="00364545" w14:paraId="2939DD98" w14:textId="77777777" w:rsidTr="00E56269">
        <w:trPr>
          <w:trHeight w:val="347"/>
        </w:trPr>
        <w:tc>
          <w:tcPr>
            <w:tcW w:w="1121" w:type="dxa"/>
            <w:tcBorders>
              <w:top w:val="single" w:sz="2" w:space="0" w:color="000000"/>
              <w:left w:val="single" w:sz="2" w:space="0" w:color="000000"/>
              <w:bottom w:val="single" w:sz="2" w:space="0" w:color="000000"/>
              <w:right w:val="single" w:sz="2" w:space="0" w:color="000000"/>
            </w:tcBorders>
          </w:tcPr>
          <w:p w14:paraId="3DEF5DF8" w14:textId="77777777" w:rsidR="00833524" w:rsidRPr="00364545" w:rsidRDefault="00833524" w:rsidP="00E56269">
            <w:pPr>
              <w:spacing w:line="259" w:lineRule="auto"/>
            </w:pPr>
            <w:r w:rsidRPr="00364545">
              <w:rPr>
                <w:sz w:val="18"/>
              </w:rPr>
              <w:t xml:space="preserve">Waste </w:t>
            </w:r>
          </w:p>
        </w:tc>
        <w:tc>
          <w:tcPr>
            <w:tcW w:w="734" w:type="dxa"/>
            <w:tcBorders>
              <w:top w:val="single" w:sz="2" w:space="0" w:color="000000"/>
              <w:left w:val="single" w:sz="2" w:space="0" w:color="000000"/>
              <w:bottom w:val="single" w:sz="2" w:space="0" w:color="000000"/>
              <w:right w:val="single" w:sz="2" w:space="0" w:color="000000"/>
            </w:tcBorders>
            <w:vAlign w:val="center"/>
          </w:tcPr>
          <w:p w14:paraId="22F4CB5D" w14:textId="77777777" w:rsidR="00833524" w:rsidRPr="00364545" w:rsidRDefault="00833524" w:rsidP="00E56269">
            <w:pPr>
              <w:spacing w:line="259" w:lineRule="auto"/>
              <w:ind w:right="1"/>
              <w:jc w:val="center"/>
            </w:pPr>
            <w:r>
              <w:rPr>
                <w:sz w:val="18"/>
                <w:szCs w:val="18"/>
              </w:rPr>
              <w:t>2194</w:t>
            </w:r>
          </w:p>
        </w:tc>
        <w:tc>
          <w:tcPr>
            <w:tcW w:w="734" w:type="dxa"/>
            <w:tcBorders>
              <w:top w:val="single" w:sz="2" w:space="0" w:color="000000"/>
              <w:left w:val="single" w:sz="2" w:space="0" w:color="000000"/>
              <w:bottom w:val="single" w:sz="2" w:space="0" w:color="000000"/>
              <w:right w:val="single" w:sz="2" w:space="0" w:color="000000"/>
            </w:tcBorders>
            <w:vAlign w:val="center"/>
          </w:tcPr>
          <w:p w14:paraId="242A6137" w14:textId="77777777" w:rsidR="00833524" w:rsidRPr="00364545" w:rsidRDefault="00833524" w:rsidP="00E56269">
            <w:pPr>
              <w:spacing w:line="259" w:lineRule="auto"/>
              <w:ind w:left="56"/>
              <w:jc w:val="center"/>
              <w:rPr>
                <w:sz w:val="18"/>
              </w:rPr>
            </w:pPr>
            <w:r>
              <w:rPr>
                <w:sz w:val="18"/>
                <w:szCs w:val="18"/>
              </w:rPr>
              <w:t>2223</w:t>
            </w:r>
          </w:p>
        </w:tc>
        <w:tc>
          <w:tcPr>
            <w:tcW w:w="735" w:type="dxa"/>
            <w:tcBorders>
              <w:top w:val="single" w:sz="2" w:space="0" w:color="000000"/>
              <w:left w:val="single" w:sz="2" w:space="0" w:color="000000"/>
              <w:bottom w:val="single" w:sz="2" w:space="0" w:color="000000"/>
              <w:right w:val="single" w:sz="2" w:space="0" w:color="000000"/>
            </w:tcBorders>
            <w:vAlign w:val="center"/>
          </w:tcPr>
          <w:p w14:paraId="08E037D3" w14:textId="77777777" w:rsidR="00833524" w:rsidRPr="00364545" w:rsidRDefault="00833524" w:rsidP="00E56269">
            <w:pPr>
              <w:spacing w:line="259" w:lineRule="auto"/>
              <w:ind w:left="1"/>
              <w:jc w:val="center"/>
            </w:pPr>
            <w:r>
              <w:rPr>
                <w:sz w:val="18"/>
                <w:szCs w:val="18"/>
              </w:rPr>
              <w:t>1704</w:t>
            </w:r>
          </w:p>
        </w:tc>
        <w:tc>
          <w:tcPr>
            <w:tcW w:w="734" w:type="dxa"/>
            <w:tcBorders>
              <w:top w:val="single" w:sz="2" w:space="0" w:color="000000"/>
              <w:left w:val="single" w:sz="2" w:space="0" w:color="000000"/>
              <w:bottom w:val="single" w:sz="2" w:space="0" w:color="000000"/>
              <w:right w:val="single" w:sz="2" w:space="0" w:color="000000"/>
            </w:tcBorders>
            <w:vAlign w:val="center"/>
          </w:tcPr>
          <w:p w14:paraId="1CCA6003" w14:textId="77777777" w:rsidR="00833524" w:rsidRPr="00364545" w:rsidRDefault="00833524" w:rsidP="00E56269">
            <w:pPr>
              <w:spacing w:line="259" w:lineRule="auto"/>
              <w:ind w:right="1"/>
              <w:jc w:val="center"/>
            </w:pPr>
            <w:r>
              <w:rPr>
                <w:sz w:val="18"/>
                <w:szCs w:val="18"/>
              </w:rPr>
              <w:t>1549</w:t>
            </w:r>
          </w:p>
        </w:tc>
        <w:tc>
          <w:tcPr>
            <w:tcW w:w="735" w:type="dxa"/>
            <w:tcBorders>
              <w:top w:val="single" w:sz="2" w:space="0" w:color="000000"/>
              <w:left w:val="single" w:sz="2" w:space="0" w:color="000000"/>
              <w:bottom w:val="single" w:sz="2" w:space="0" w:color="000000"/>
              <w:right w:val="single" w:sz="2" w:space="0" w:color="000000"/>
            </w:tcBorders>
            <w:vAlign w:val="center"/>
          </w:tcPr>
          <w:p w14:paraId="1AD21C13" w14:textId="77777777" w:rsidR="00833524" w:rsidRPr="00364545" w:rsidRDefault="00833524" w:rsidP="00E56269">
            <w:pPr>
              <w:spacing w:line="259" w:lineRule="auto"/>
              <w:ind w:left="1"/>
              <w:jc w:val="center"/>
            </w:pPr>
            <w:r>
              <w:rPr>
                <w:sz w:val="18"/>
                <w:szCs w:val="18"/>
              </w:rPr>
              <w:t>1608</w:t>
            </w:r>
          </w:p>
        </w:tc>
        <w:tc>
          <w:tcPr>
            <w:tcW w:w="734" w:type="dxa"/>
            <w:tcBorders>
              <w:top w:val="single" w:sz="2" w:space="0" w:color="000000"/>
              <w:left w:val="single" w:sz="2" w:space="0" w:color="000000"/>
              <w:bottom w:val="single" w:sz="2" w:space="0" w:color="000000"/>
              <w:right w:val="single" w:sz="2" w:space="0" w:color="000000"/>
            </w:tcBorders>
            <w:vAlign w:val="center"/>
          </w:tcPr>
          <w:p w14:paraId="098BB53C" w14:textId="77777777" w:rsidR="00833524" w:rsidRPr="00364545" w:rsidRDefault="00833524" w:rsidP="00E56269">
            <w:pPr>
              <w:spacing w:line="259" w:lineRule="auto"/>
              <w:ind w:right="1"/>
              <w:jc w:val="center"/>
            </w:pPr>
            <w:r>
              <w:rPr>
                <w:sz w:val="18"/>
                <w:szCs w:val="18"/>
              </w:rPr>
              <w:t>1542</w:t>
            </w:r>
          </w:p>
        </w:tc>
        <w:tc>
          <w:tcPr>
            <w:tcW w:w="734" w:type="dxa"/>
            <w:tcBorders>
              <w:top w:val="single" w:sz="2" w:space="0" w:color="000000"/>
              <w:left w:val="single" w:sz="2" w:space="0" w:color="000000"/>
              <w:bottom w:val="single" w:sz="2" w:space="0" w:color="000000"/>
              <w:right w:val="single" w:sz="2" w:space="0" w:color="000000"/>
            </w:tcBorders>
            <w:vAlign w:val="center"/>
          </w:tcPr>
          <w:p w14:paraId="4FB47857" w14:textId="77777777" w:rsidR="00833524" w:rsidRPr="00364545" w:rsidRDefault="00833524" w:rsidP="00E56269">
            <w:pPr>
              <w:spacing w:line="259" w:lineRule="auto"/>
              <w:ind w:left="1"/>
              <w:jc w:val="center"/>
              <w:rPr>
                <w:sz w:val="18"/>
              </w:rPr>
            </w:pPr>
            <w:r>
              <w:rPr>
                <w:sz w:val="18"/>
                <w:szCs w:val="18"/>
              </w:rPr>
              <w:t>1738</w:t>
            </w:r>
          </w:p>
        </w:tc>
        <w:tc>
          <w:tcPr>
            <w:tcW w:w="735" w:type="dxa"/>
            <w:tcBorders>
              <w:top w:val="single" w:sz="2" w:space="0" w:color="000000"/>
              <w:left w:val="single" w:sz="2" w:space="0" w:color="000000"/>
              <w:bottom w:val="single" w:sz="2" w:space="0" w:color="000000"/>
              <w:right w:val="single" w:sz="2" w:space="0" w:color="000000"/>
            </w:tcBorders>
            <w:vAlign w:val="center"/>
          </w:tcPr>
          <w:p w14:paraId="59798EA0" w14:textId="77777777" w:rsidR="00833524" w:rsidRPr="00364545" w:rsidRDefault="00833524" w:rsidP="00E56269">
            <w:pPr>
              <w:spacing w:line="259" w:lineRule="auto"/>
              <w:ind w:left="1"/>
              <w:jc w:val="center"/>
            </w:pPr>
            <w:r w:rsidRPr="00364545">
              <w:rPr>
                <w:sz w:val="18"/>
              </w:rPr>
              <w:t>1259</w:t>
            </w:r>
          </w:p>
        </w:tc>
        <w:tc>
          <w:tcPr>
            <w:tcW w:w="734" w:type="dxa"/>
            <w:tcBorders>
              <w:top w:val="single" w:sz="2" w:space="0" w:color="000000"/>
              <w:left w:val="single" w:sz="2" w:space="0" w:color="000000"/>
              <w:bottom w:val="single" w:sz="2" w:space="0" w:color="000000"/>
              <w:right w:val="single" w:sz="2" w:space="0" w:color="000000"/>
            </w:tcBorders>
            <w:vAlign w:val="center"/>
          </w:tcPr>
          <w:p w14:paraId="276174FB" w14:textId="77777777" w:rsidR="00833524" w:rsidRPr="00364545" w:rsidRDefault="00833524" w:rsidP="00E56269">
            <w:pPr>
              <w:spacing w:line="259" w:lineRule="auto"/>
              <w:ind w:right="1"/>
              <w:jc w:val="center"/>
            </w:pPr>
            <w:r w:rsidRPr="00364545">
              <w:rPr>
                <w:sz w:val="18"/>
              </w:rPr>
              <w:t>1351</w:t>
            </w:r>
          </w:p>
        </w:tc>
        <w:tc>
          <w:tcPr>
            <w:tcW w:w="735" w:type="dxa"/>
            <w:tcBorders>
              <w:top w:val="single" w:sz="2" w:space="0" w:color="000000"/>
              <w:left w:val="single" w:sz="2" w:space="0" w:color="000000"/>
              <w:bottom w:val="single" w:sz="2" w:space="0" w:color="000000"/>
              <w:right w:val="single" w:sz="2" w:space="0" w:color="000000"/>
            </w:tcBorders>
            <w:vAlign w:val="center"/>
          </w:tcPr>
          <w:p w14:paraId="60D18764" w14:textId="77777777" w:rsidR="00833524" w:rsidRPr="00364545" w:rsidRDefault="00833524" w:rsidP="00E56269">
            <w:pPr>
              <w:spacing w:line="259" w:lineRule="auto"/>
              <w:ind w:left="1"/>
              <w:jc w:val="center"/>
            </w:pPr>
            <w:r w:rsidRPr="00364545">
              <w:rPr>
                <w:sz w:val="18"/>
              </w:rPr>
              <w:t>1406</w:t>
            </w:r>
          </w:p>
        </w:tc>
        <w:tc>
          <w:tcPr>
            <w:tcW w:w="734" w:type="dxa"/>
            <w:tcBorders>
              <w:top w:val="single" w:sz="2" w:space="0" w:color="000000"/>
              <w:left w:val="single" w:sz="2" w:space="0" w:color="000000"/>
              <w:bottom w:val="single" w:sz="2" w:space="0" w:color="000000"/>
              <w:right w:val="single" w:sz="2" w:space="0" w:color="000000"/>
            </w:tcBorders>
            <w:vAlign w:val="center"/>
          </w:tcPr>
          <w:p w14:paraId="6143E8BC" w14:textId="77777777" w:rsidR="00833524" w:rsidRPr="00364545" w:rsidRDefault="00833524" w:rsidP="00E56269">
            <w:pPr>
              <w:spacing w:line="259" w:lineRule="auto"/>
              <w:jc w:val="center"/>
            </w:pPr>
            <w:r w:rsidRPr="00364545">
              <w:rPr>
                <w:sz w:val="18"/>
              </w:rPr>
              <w:t>1478</w:t>
            </w:r>
          </w:p>
        </w:tc>
        <w:tc>
          <w:tcPr>
            <w:tcW w:w="735" w:type="dxa"/>
            <w:tcBorders>
              <w:top w:val="single" w:sz="2" w:space="0" w:color="000000"/>
              <w:left w:val="single" w:sz="2" w:space="0" w:color="000000"/>
              <w:bottom w:val="single" w:sz="2" w:space="0" w:color="000000"/>
              <w:right w:val="single" w:sz="2" w:space="0" w:color="000000"/>
            </w:tcBorders>
            <w:vAlign w:val="center"/>
          </w:tcPr>
          <w:p w14:paraId="0544533C" w14:textId="77777777" w:rsidR="00833524" w:rsidRPr="00364545" w:rsidRDefault="00833524" w:rsidP="00E56269">
            <w:pPr>
              <w:spacing w:line="259" w:lineRule="auto"/>
              <w:jc w:val="center"/>
              <w:rPr>
                <w:sz w:val="18"/>
              </w:rPr>
            </w:pPr>
            <w:r w:rsidRPr="00364545">
              <w:rPr>
                <w:sz w:val="18"/>
              </w:rPr>
              <w:t>1805</w:t>
            </w:r>
          </w:p>
        </w:tc>
      </w:tr>
      <w:tr w:rsidR="00833524" w:rsidRPr="00364545" w14:paraId="4EE96FFA" w14:textId="77777777" w:rsidTr="00E56269">
        <w:trPr>
          <w:trHeight w:val="344"/>
        </w:trPr>
        <w:tc>
          <w:tcPr>
            <w:tcW w:w="1121" w:type="dxa"/>
            <w:tcBorders>
              <w:top w:val="single" w:sz="2" w:space="0" w:color="000000"/>
              <w:left w:val="single" w:sz="2" w:space="0" w:color="000000"/>
              <w:bottom w:val="single" w:sz="2" w:space="0" w:color="000000"/>
              <w:right w:val="single" w:sz="2" w:space="0" w:color="000000"/>
            </w:tcBorders>
            <w:shd w:val="clear" w:color="auto" w:fill="ECE6E2"/>
          </w:tcPr>
          <w:p w14:paraId="2BF6DDEC" w14:textId="77777777" w:rsidR="00833524" w:rsidRPr="00364545" w:rsidRDefault="00833524" w:rsidP="00E56269">
            <w:pPr>
              <w:spacing w:line="259" w:lineRule="auto"/>
            </w:pPr>
            <w:r w:rsidRPr="00364545">
              <w:rPr>
                <w:b/>
                <w:sz w:val="18"/>
              </w:rPr>
              <w:t xml:space="preserve">Ensemble (hors UTCF) </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AC6813" w14:textId="77777777" w:rsidR="00833524" w:rsidRPr="00944589" w:rsidRDefault="00833524" w:rsidP="00E56269">
            <w:pPr>
              <w:spacing w:line="259" w:lineRule="auto"/>
              <w:ind w:left="56"/>
              <w:jc w:val="center"/>
              <w:rPr>
                <w:b/>
              </w:rPr>
            </w:pPr>
            <w:r w:rsidRPr="00944589">
              <w:rPr>
                <w:b/>
                <w:sz w:val="18"/>
                <w:szCs w:val="18"/>
              </w:rPr>
              <w:t>398425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21635D" w14:textId="77777777" w:rsidR="00833524" w:rsidRPr="00944589" w:rsidRDefault="00833524" w:rsidP="00E56269">
            <w:pPr>
              <w:spacing w:line="259" w:lineRule="auto"/>
              <w:jc w:val="center"/>
              <w:rPr>
                <w:b/>
                <w:sz w:val="18"/>
              </w:rPr>
            </w:pPr>
            <w:r w:rsidRPr="00944589">
              <w:rPr>
                <w:b/>
                <w:sz w:val="18"/>
                <w:szCs w:val="18"/>
              </w:rPr>
              <w:t>392916</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EDC50C" w14:textId="77777777" w:rsidR="00833524" w:rsidRPr="00944589" w:rsidRDefault="00833524" w:rsidP="00E56269">
            <w:pPr>
              <w:spacing w:line="259" w:lineRule="auto"/>
              <w:ind w:left="58"/>
              <w:jc w:val="center"/>
              <w:rPr>
                <w:b/>
              </w:rPr>
            </w:pPr>
            <w:r w:rsidRPr="00944589">
              <w:rPr>
                <w:b/>
                <w:sz w:val="18"/>
                <w:szCs w:val="18"/>
              </w:rPr>
              <w:t>414788</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AD242A" w14:textId="77777777" w:rsidR="00833524" w:rsidRPr="00944589" w:rsidRDefault="00833524" w:rsidP="00E56269">
            <w:pPr>
              <w:spacing w:line="259" w:lineRule="auto"/>
              <w:ind w:left="56"/>
              <w:jc w:val="center"/>
              <w:rPr>
                <w:b/>
              </w:rPr>
            </w:pPr>
            <w:r w:rsidRPr="00944589">
              <w:rPr>
                <w:b/>
                <w:sz w:val="18"/>
                <w:szCs w:val="18"/>
              </w:rPr>
              <w:t>425444</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51520B" w14:textId="77777777" w:rsidR="00833524" w:rsidRPr="00944589" w:rsidRDefault="00833524" w:rsidP="00E56269">
            <w:pPr>
              <w:spacing w:line="259" w:lineRule="auto"/>
              <w:ind w:left="58"/>
              <w:jc w:val="center"/>
              <w:rPr>
                <w:b/>
              </w:rPr>
            </w:pPr>
            <w:r w:rsidRPr="00944589">
              <w:rPr>
                <w:b/>
                <w:sz w:val="18"/>
                <w:szCs w:val="18"/>
              </w:rPr>
              <w:t>386872</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C57AB0" w14:textId="77777777" w:rsidR="00833524" w:rsidRPr="00944589" w:rsidRDefault="00833524" w:rsidP="00E56269">
            <w:pPr>
              <w:spacing w:line="259" w:lineRule="auto"/>
              <w:ind w:left="56"/>
              <w:jc w:val="center"/>
              <w:rPr>
                <w:b/>
              </w:rPr>
            </w:pPr>
            <w:r w:rsidRPr="00944589">
              <w:rPr>
                <w:b/>
                <w:sz w:val="18"/>
                <w:szCs w:val="18"/>
              </w:rPr>
              <w:t>341631</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600942C" w14:textId="77777777" w:rsidR="00833524" w:rsidRPr="00944589" w:rsidRDefault="00833524" w:rsidP="00E56269">
            <w:pPr>
              <w:spacing w:line="259" w:lineRule="auto"/>
              <w:ind w:left="62"/>
              <w:jc w:val="center"/>
              <w:rPr>
                <w:b/>
                <w:sz w:val="18"/>
              </w:rPr>
            </w:pPr>
            <w:r w:rsidRPr="00944589">
              <w:rPr>
                <w:b/>
                <w:sz w:val="18"/>
                <w:szCs w:val="18"/>
              </w:rPr>
              <w:t>326725</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F41147B" w14:textId="77777777" w:rsidR="00833524" w:rsidRPr="00364545" w:rsidRDefault="00833524" w:rsidP="00E56269">
            <w:pPr>
              <w:spacing w:line="259" w:lineRule="auto"/>
              <w:ind w:left="62"/>
              <w:jc w:val="center"/>
              <w:rPr>
                <w:b/>
              </w:rPr>
            </w:pPr>
            <w:r w:rsidRPr="00364545">
              <w:rPr>
                <w:b/>
                <w:sz w:val="18"/>
              </w:rPr>
              <w:t>291487</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BB8ADF" w14:textId="77777777" w:rsidR="00833524" w:rsidRPr="00364545" w:rsidRDefault="00833524" w:rsidP="00E56269">
            <w:pPr>
              <w:spacing w:line="259" w:lineRule="auto"/>
              <w:ind w:left="56"/>
              <w:jc w:val="center"/>
              <w:rPr>
                <w:b/>
              </w:rPr>
            </w:pPr>
            <w:r w:rsidRPr="00364545">
              <w:rPr>
                <w:b/>
                <w:sz w:val="18"/>
              </w:rPr>
              <w:t>292205</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BCB8533" w14:textId="77777777" w:rsidR="00833524" w:rsidRPr="00364545" w:rsidRDefault="00833524" w:rsidP="00E56269">
            <w:pPr>
              <w:spacing w:line="259" w:lineRule="auto"/>
              <w:ind w:left="58"/>
              <w:jc w:val="center"/>
              <w:rPr>
                <w:b/>
              </w:rPr>
            </w:pPr>
            <w:r w:rsidRPr="00364545">
              <w:rPr>
                <w:b/>
                <w:sz w:val="18"/>
              </w:rPr>
              <w:t>272039</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C1B67E" w14:textId="77777777" w:rsidR="00833524" w:rsidRPr="00364545" w:rsidRDefault="00833524" w:rsidP="00E56269">
            <w:pPr>
              <w:spacing w:line="259" w:lineRule="auto"/>
              <w:ind w:left="56"/>
              <w:jc w:val="center"/>
              <w:rPr>
                <w:b/>
              </w:rPr>
            </w:pPr>
            <w:r w:rsidRPr="00364545">
              <w:rPr>
                <w:b/>
                <w:sz w:val="18"/>
              </w:rPr>
              <w:t>262355</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82C5C1" w14:textId="77777777" w:rsidR="00833524" w:rsidRPr="00364545" w:rsidRDefault="00833524" w:rsidP="00E56269">
            <w:pPr>
              <w:spacing w:line="259" w:lineRule="auto"/>
              <w:ind w:left="56"/>
              <w:jc w:val="center"/>
              <w:rPr>
                <w:b/>
                <w:sz w:val="18"/>
              </w:rPr>
            </w:pPr>
            <w:r w:rsidRPr="00364545">
              <w:rPr>
                <w:b/>
                <w:sz w:val="18"/>
              </w:rPr>
              <w:t>241265</w:t>
            </w:r>
          </w:p>
        </w:tc>
      </w:tr>
      <w:tr w:rsidR="00833524" w:rsidRPr="00364545" w14:paraId="0194EE94" w14:textId="77777777" w:rsidTr="00E56269">
        <w:trPr>
          <w:trHeight w:val="344"/>
        </w:trPr>
        <w:tc>
          <w:tcPr>
            <w:tcW w:w="1121" w:type="dxa"/>
            <w:tcBorders>
              <w:top w:val="single" w:sz="2" w:space="0" w:color="000000"/>
              <w:left w:val="single" w:sz="2" w:space="0" w:color="000000"/>
              <w:bottom w:val="single" w:sz="2" w:space="0" w:color="000000"/>
              <w:right w:val="single" w:sz="2" w:space="0" w:color="000000"/>
            </w:tcBorders>
          </w:tcPr>
          <w:p w14:paraId="6C79B51E" w14:textId="77777777" w:rsidR="00833524" w:rsidRPr="00364545" w:rsidRDefault="00833524" w:rsidP="00E56269">
            <w:pPr>
              <w:spacing w:line="259" w:lineRule="auto"/>
            </w:pPr>
            <w:r w:rsidRPr="00364545">
              <w:rPr>
                <w:b/>
                <w:sz w:val="18"/>
              </w:rPr>
              <w:t xml:space="preserve">Ensemble (avec UTCF) </w:t>
            </w:r>
          </w:p>
        </w:tc>
        <w:tc>
          <w:tcPr>
            <w:tcW w:w="734" w:type="dxa"/>
            <w:tcBorders>
              <w:top w:val="single" w:sz="2" w:space="0" w:color="000000"/>
              <w:left w:val="single" w:sz="2" w:space="0" w:color="000000"/>
              <w:bottom w:val="single" w:sz="2" w:space="0" w:color="000000"/>
              <w:right w:val="single" w:sz="2" w:space="0" w:color="000000"/>
            </w:tcBorders>
            <w:vAlign w:val="center"/>
          </w:tcPr>
          <w:p w14:paraId="14261DF0" w14:textId="77777777" w:rsidR="00833524" w:rsidRPr="00944589" w:rsidRDefault="00833524" w:rsidP="00E56269">
            <w:pPr>
              <w:spacing w:line="259" w:lineRule="auto"/>
              <w:ind w:left="56"/>
              <w:jc w:val="center"/>
              <w:rPr>
                <w:b/>
              </w:rPr>
            </w:pPr>
            <w:r w:rsidRPr="00944589">
              <w:rPr>
                <w:b/>
                <w:sz w:val="18"/>
                <w:szCs w:val="18"/>
              </w:rPr>
              <w:t>370280</w:t>
            </w:r>
          </w:p>
        </w:tc>
        <w:tc>
          <w:tcPr>
            <w:tcW w:w="734" w:type="dxa"/>
            <w:tcBorders>
              <w:top w:val="single" w:sz="2" w:space="0" w:color="000000"/>
              <w:left w:val="single" w:sz="2" w:space="0" w:color="000000"/>
              <w:bottom w:val="single" w:sz="2" w:space="0" w:color="000000"/>
              <w:right w:val="single" w:sz="2" w:space="0" w:color="000000"/>
            </w:tcBorders>
            <w:vAlign w:val="center"/>
          </w:tcPr>
          <w:p w14:paraId="1557322B" w14:textId="77777777" w:rsidR="00833524" w:rsidRPr="00944589" w:rsidRDefault="00833524" w:rsidP="00E56269">
            <w:pPr>
              <w:spacing w:line="259" w:lineRule="auto"/>
              <w:ind w:left="56"/>
              <w:jc w:val="center"/>
              <w:rPr>
                <w:b/>
                <w:sz w:val="18"/>
              </w:rPr>
            </w:pPr>
            <w:r w:rsidRPr="00944589">
              <w:rPr>
                <w:b/>
                <w:sz w:val="18"/>
                <w:szCs w:val="18"/>
              </w:rPr>
              <w:t>361121</w:t>
            </w:r>
          </w:p>
        </w:tc>
        <w:tc>
          <w:tcPr>
            <w:tcW w:w="735" w:type="dxa"/>
            <w:tcBorders>
              <w:top w:val="single" w:sz="2" w:space="0" w:color="000000"/>
              <w:left w:val="single" w:sz="2" w:space="0" w:color="000000"/>
              <w:bottom w:val="single" w:sz="2" w:space="0" w:color="000000"/>
              <w:right w:val="single" w:sz="2" w:space="0" w:color="000000"/>
            </w:tcBorders>
            <w:vAlign w:val="center"/>
          </w:tcPr>
          <w:p w14:paraId="4D2C5504" w14:textId="77777777" w:rsidR="00833524" w:rsidRPr="00944589" w:rsidRDefault="00833524" w:rsidP="00E56269">
            <w:pPr>
              <w:spacing w:line="259" w:lineRule="auto"/>
              <w:ind w:left="58"/>
              <w:jc w:val="center"/>
              <w:rPr>
                <w:b/>
              </w:rPr>
            </w:pPr>
            <w:r w:rsidRPr="00944589">
              <w:rPr>
                <w:b/>
                <w:sz w:val="18"/>
                <w:szCs w:val="18"/>
              </w:rPr>
              <w:t>390194</w:t>
            </w:r>
          </w:p>
        </w:tc>
        <w:tc>
          <w:tcPr>
            <w:tcW w:w="734" w:type="dxa"/>
            <w:tcBorders>
              <w:top w:val="single" w:sz="2" w:space="0" w:color="000000"/>
              <w:left w:val="single" w:sz="2" w:space="0" w:color="000000"/>
              <w:bottom w:val="single" w:sz="2" w:space="0" w:color="000000"/>
              <w:right w:val="single" w:sz="2" w:space="0" w:color="000000"/>
            </w:tcBorders>
            <w:vAlign w:val="center"/>
          </w:tcPr>
          <w:p w14:paraId="38C6598A" w14:textId="77777777" w:rsidR="00833524" w:rsidRPr="00944589" w:rsidRDefault="00833524" w:rsidP="00E56269">
            <w:pPr>
              <w:spacing w:line="259" w:lineRule="auto"/>
              <w:ind w:left="56"/>
              <w:jc w:val="center"/>
              <w:rPr>
                <w:b/>
              </w:rPr>
            </w:pPr>
            <w:r w:rsidRPr="00944589">
              <w:rPr>
                <w:b/>
                <w:sz w:val="18"/>
                <w:szCs w:val="18"/>
              </w:rPr>
              <w:t>373972</w:t>
            </w:r>
          </w:p>
        </w:tc>
        <w:tc>
          <w:tcPr>
            <w:tcW w:w="735" w:type="dxa"/>
            <w:tcBorders>
              <w:top w:val="single" w:sz="2" w:space="0" w:color="000000"/>
              <w:left w:val="single" w:sz="2" w:space="0" w:color="000000"/>
              <w:bottom w:val="single" w:sz="2" w:space="0" w:color="000000"/>
              <w:right w:val="single" w:sz="2" w:space="0" w:color="000000"/>
            </w:tcBorders>
            <w:vAlign w:val="center"/>
          </w:tcPr>
          <w:p w14:paraId="2C65C9DE" w14:textId="77777777" w:rsidR="00833524" w:rsidRPr="00944589" w:rsidRDefault="00833524" w:rsidP="00E56269">
            <w:pPr>
              <w:spacing w:line="259" w:lineRule="auto"/>
              <w:ind w:left="58"/>
              <w:jc w:val="center"/>
              <w:rPr>
                <w:b/>
              </w:rPr>
            </w:pPr>
            <w:r w:rsidRPr="00944589">
              <w:rPr>
                <w:b/>
                <w:sz w:val="18"/>
                <w:szCs w:val="18"/>
              </w:rPr>
              <w:t>344171</w:t>
            </w:r>
          </w:p>
        </w:tc>
        <w:tc>
          <w:tcPr>
            <w:tcW w:w="734" w:type="dxa"/>
            <w:tcBorders>
              <w:top w:val="single" w:sz="2" w:space="0" w:color="000000"/>
              <w:left w:val="single" w:sz="2" w:space="0" w:color="000000"/>
              <w:bottom w:val="single" w:sz="2" w:space="0" w:color="000000"/>
              <w:right w:val="single" w:sz="2" w:space="0" w:color="000000"/>
            </w:tcBorders>
            <w:vAlign w:val="center"/>
          </w:tcPr>
          <w:p w14:paraId="57FE0F1B" w14:textId="77777777" w:rsidR="00833524" w:rsidRPr="00944589" w:rsidRDefault="00833524" w:rsidP="00E56269">
            <w:pPr>
              <w:spacing w:line="259" w:lineRule="auto"/>
              <w:ind w:left="56"/>
              <w:jc w:val="center"/>
              <w:rPr>
                <w:b/>
              </w:rPr>
            </w:pPr>
            <w:r w:rsidRPr="00944589">
              <w:rPr>
                <w:b/>
                <w:sz w:val="18"/>
                <w:szCs w:val="18"/>
              </w:rPr>
              <w:t>303032</w:t>
            </w:r>
          </w:p>
        </w:tc>
        <w:tc>
          <w:tcPr>
            <w:tcW w:w="734" w:type="dxa"/>
            <w:tcBorders>
              <w:top w:val="single" w:sz="2" w:space="0" w:color="000000"/>
              <w:left w:val="single" w:sz="2" w:space="0" w:color="000000"/>
              <w:bottom w:val="single" w:sz="2" w:space="0" w:color="000000"/>
              <w:right w:val="single" w:sz="2" w:space="0" w:color="000000"/>
            </w:tcBorders>
            <w:vAlign w:val="center"/>
          </w:tcPr>
          <w:p w14:paraId="48966742" w14:textId="77777777" w:rsidR="00833524" w:rsidRPr="00944589" w:rsidRDefault="00833524" w:rsidP="00E56269">
            <w:pPr>
              <w:spacing w:line="259" w:lineRule="auto"/>
              <w:ind w:left="58"/>
              <w:jc w:val="center"/>
              <w:rPr>
                <w:b/>
                <w:sz w:val="18"/>
              </w:rPr>
            </w:pPr>
            <w:r w:rsidRPr="00944589">
              <w:rPr>
                <w:b/>
                <w:sz w:val="18"/>
                <w:szCs w:val="18"/>
              </w:rPr>
              <w:t>310432</w:t>
            </w:r>
          </w:p>
        </w:tc>
        <w:tc>
          <w:tcPr>
            <w:tcW w:w="735" w:type="dxa"/>
            <w:tcBorders>
              <w:top w:val="single" w:sz="2" w:space="0" w:color="000000"/>
              <w:left w:val="single" w:sz="2" w:space="0" w:color="000000"/>
              <w:bottom w:val="single" w:sz="2" w:space="0" w:color="000000"/>
              <w:right w:val="single" w:sz="2" w:space="0" w:color="000000"/>
            </w:tcBorders>
            <w:vAlign w:val="center"/>
          </w:tcPr>
          <w:p w14:paraId="4D0430C2" w14:textId="77777777" w:rsidR="00833524" w:rsidRPr="00364545" w:rsidRDefault="00833524" w:rsidP="00E56269">
            <w:pPr>
              <w:spacing w:line="259" w:lineRule="auto"/>
              <w:ind w:left="58"/>
              <w:jc w:val="center"/>
              <w:rPr>
                <w:b/>
              </w:rPr>
            </w:pPr>
            <w:r w:rsidRPr="00364545">
              <w:rPr>
                <w:b/>
                <w:sz w:val="18"/>
              </w:rPr>
              <w:t>254402</w:t>
            </w:r>
          </w:p>
        </w:tc>
        <w:tc>
          <w:tcPr>
            <w:tcW w:w="734" w:type="dxa"/>
            <w:tcBorders>
              <w:top w:val="single" w:sz="2" w:space="0" w:color="000000"/>
              <w:left w:val="single" w:sz="2" w:space="0" w:color="000000"/>
              <w:bottom w:val="single" w:sz="2" w:space="0" w:color="000000"/>
              <w:right w:val="single" w:sz="2" w:space="0" w:color="000000"/>
            </w:tcBorders>
            <w:vAlign w:val="center"/>
          </w:tcPr>
          <w:p w14:paraId="34CF5DE4" w14:textId="77777777" w:rsidR="00833524" w:rsidRPr="00364545" w:rsidRDefault="00833524" w:rsidP="00E56269">
            <w:pPr>
              <w:spacing w:line="259" w:lineRule="auto"/>
              <w:ind w:left="56"/>
              <w:jc w:val="center"/>
              <w:rPr>
                <w:b/>
              </w:rPr>
            </w:pPr>
            <w:r w:rsidRPr="00364545">
              <w:rPr>
                <w:b/>
                <w:sz w:val="18"/>
              </w:rPr>
              <w:t>259213</w:t>
            </w:r>
          </w:p>
        </w:tc>
        <w:tc>
          <w:tcPr>
            <w:tcW w:w="735" w:type="dxa"/>
            <w:tcBorders>
              <w:top w:val="single" w:sz="2" w:space="0" w:color="000000"/>
              <w:left w:val="single" w:sz="2" w:space="0" w:color="000000"/>
              <w:bottom w:val="single" w:sz="2" w:space="0" w:color="000000"/>
              <w:right w:val="single" w:sz="2" w:space="0" w:color="000000"/>
            </w:tcBorders>
            <w:vAlign w:val="center"/>
          </w:tcPr>
          <w:p w14:paraId="1251BE63" w14:textId="77777777" w:rsidR="00833524" w:rsidRPr="00364545" w:rsidRDefault="00833524" w:rsidP="00E56269">
            <w:pPr>
              <w:spacing w:line="259" w:lineRule="auto"/>
              <w:ind w:left="58"/>
              <w:jc w:val="center"/>
              <w:rPr>
                <w:b/>
              </w:rPr>
            </w:pPr>
            <w:r w:rsidRPr="00364545">
              <w:rPr>
                <w:b/>
                <w:sz w:val="18"/>
              </w:rPr>
              <w:t>241362</w:t>
            </w:r>
          </w:p>
        </w:tc>
        <w:tc>
          <w:tcPr>
            <w:tcW w:w="734" w:type="dxa"/>
            <w:tcBorders>
              <w:top w:val="single" w:sz="2" w:space="0" w:color="000000"/>
              <w:left w:val="single" w:sz="2" w:space="0" w:color="000000"/>
              <w:bottom w:val="single" w:sz="2" w:space="0" w:color="000000"/>
              <w:right w:val="single" w:sz="2" w:space="0" w:color="000000"/>
            </w:tcBorders>
            <w:vAlign w:val="center"/>
          </w:tcPr>
          <w:p w14:paraId="6501852C" w14:textId="77777777" w:rsidR="00833524" w:rsidRPr="00364545" w:rsidRDefault="00833524" w:rsidP="00E56269">
            <w:pPr>
              <w:spacing w:line="259" w:lineRule="auto"/>
              <w:ind w:left="56"/>
              <w:jc w:val="center"/>
              <w:rPr>
                <w:b/>
              </w:rPr>
            </w:pPr>
            <w:r w:rsidRPr="00364545">
              <w:rPr>
                <w:b/>
                <w:sz w:val="18"/>
              </w:rPr>
              <w:t>236549</w:t>
            </w:r>
          </w:p>
        </w:tc>
        <w:tc>
          <w:tcPr>
            <w:tcW w:w="735" w:type="dxa"/>
            <w:tcBorders>
              <w:top w:val="single" w:sz="2" w:space="0" w:color="000000"/>
              <w:left w:val="single" w:sz="2" w:space="0" w:color="000000"/>
              <w:bottom w:val="single" w:sz="2" w:space="0" w:color="000000"/>
              <w:right w:val="single" w:sz="2" w:space="0" w:color="000000"/>
            </w:tcBorders>
            <w:vAlign w:val="center"/>
          </w:tcPr>
          <w:p w14:paraId="065EE572" w14:textId="77777777" w:rsidR="00833524" w:rsidRPr="00364545" w:rsidRDefault="00833524" w:rsidP="00E56269">
            <w:pPr>
              <w:spacing w:line="259" w:lineRule="auto"/>
              <w:ind w:left="56"/>
              <w:jc w:val="center"/>
              <w:rPr>
                <w:b/>
                <w:sz w:val="18"/>
              </w:rPr>
            </w:pPr>
            <w:r w:rsidRPr="00364545">
              <w:rPr>
                <w:b/>
                <w:sz w:val="18"/>
              </w:rPr>
              <w:t>224391</w:t>
            </w:r>
          </w:p>
        </w:tc>
      </w:tr>
    </w:tbl>
    <w:p w14:paraId="49916507" w14:textId="5274A6A3" w:rsidR="00833524" w:rsidRPr="00364545" w:rsidRDefault="00833524" w:rsidP="00833524">
      <w:pPr>
        <w:pStyle w:val="Caption"/>
      </w:pPr>
      <w:r w:rsidRPr="00364545">
        <w:t xml:space="preserve">Table </w:t>
      </w:r>
      <w:fldSimple w:instr=" SEQ Tableau \* ARABIC ">
        <w:r w:rsidR="009A2FAA">
          <w:rPr>
            <w:noProof/>
          </w:rPr>
          <w:t>19</w:t>
        </w:r>
      </w:fldSimple>
      <w:r w:rsidRPr="00364545">
        <w:t>: CO</w:t>
      </w:r>
      <w:r w:rsidRPr="00364545">
        <w:rPr>
          <w:vertAlign w:val="subscript"/>
        </w:rPr>
        <w:t>2</w:t>
      </w:r>
      <w:r w:rsidRPr="00364545">
        <w:t xml:space="preserve"> emission projections (in ktCO</w:t>
      </w:r>
      <w:r w:rsidRPr="00364545">
        <w:rPr>
          <w:vertAlign w:val="subscript"/>
        </w:rPr>
        <w:t>2</w:t>
      </w:r>
      <w:r w:rsidRPr="00364545">
        <w:t>e) at Kyoto scope in the WEM 2021 scenario (with existing measures)</w:t>
      </w:r>
    </w:p>
    <w:p w14:paraId="69DD9F66" w14:textId="77777777" w:rsidR="00833524" w:rsidRPr="00364545" w:rsidRDefault="00833524" w:rsidP="00833524">
      <w:pPr>
        <w:pStyle w:val="Caption"/>
      </w:pPr>
      <w:r w:rsidRPr="00364545">
        <w:t>Source: UNF</w:t>
      </w:r>
      <w:r>
        <w:t>CCC inventory, Citepa/MTES, 2022</w:t>
      </w:r>
      <w:r w:rsidRPr="00364545">
        <w:t xml:space="preserve"> submission and MTES emission projections, 2021</w:t>
      </w:r>
    </w:p>
    <w:p w14:paraId="7638F9E6" w14:textId="77777777" w:rsidR="00833524" w:rsidRPr="00364545" w:rsidRDefault="00833524" w:rsidP="00833524"/>
    <w:p w14:paraId="02D7D156" w14:textId="77777777" w:rsidR="00833524" w:rsidRDefault="00833524" w:rsidP="00833524">
      <w:pPr>
        <w:pStyle w:val="Caption"/>
      </w:pPr>
      <w:r>
        <w:rPr>
          <w:noProof/>
          <w:lang w:val="fr-FR"/>
        </w:rPr>
        <w:drawing>
          <wp:inline distT="0" distB="0" distL="0" distR="0" wp14:anchorId="660B71A7" wp14:editId="6013F2AD">
            <wp:extent cx="6318250" cy="3632382"/>
            <wp:effectExtent l="0" t="0" r="6350" b="6350"/>
            <wp:docPr id="28705" name="Graphique 287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C868F8F" w14:textId="25F1831B" w:rsidR="00833524" w:rsidRPr="00364545" w:rsidRDefault="00833524" w:rsidP="00833524">
      <w:pPr>
        <w:pStyle w:val="Caption"/>
      </w:pPr>
      <w:r w:rsidRPr="00364545">
        <w:t xml:space="preserve">Figure </w:t>
      </w:r>
      <w:fldSimple w:instr=" SEQ Figure \* ARABIC ">
        <w:r w:rsidR="009A2FAA">
          <w:rPr>
            <w:noProof/>
          </w:rPr>
          <w:t>62</w:t>
        </w:r>
      </w:fldSimple>
      <w:r w:rsidRPr="00364545">
        <w:t>: Projection by gas, excluding LULUCF in ktCO</w:t>
      </w:r>
      <w:r w:rsidRPr="00364545">
        <w:rPr>
          <w:vertAlign w:val="subscript"/>
        </w:rPr>
        <w:t>2e</w:t>
      </w:r>
      <w:r w:rsidRPr="00364545">
        <w:t>, in the Kyoto format, AME 2021 scenario</w:t>
      </w:r>
    </w:p>
    <w:p w14:paraId="413E2716" w14:textId="77777777" w:rsidR="00833524" w:rsidRPr="00364545" w:rsidRDefault="00833524" w:rsidP="00833524">
      <w:pPr>
        <w:pStyle w:val="Caption"/>
      </w:pPr>
      <w:r w:rsidRPr="00364545">
        <w:t>Source: UNFCCC in</w:t>
      </w:r>
      <w:r>
        <w:t>ventory, Citepa/MTES, 2022</w:t>
      </w:r>
      <w:r w:rsidRPr="00364545">
        <w:t xml:space="preserve"> submission and MTES emission projections, 2021</w:t>
      </w:r>
    </w:p>
    <w:p w14:paraId="086E4213" w14:textId="77777777" w:rsidR="00833524" w:rsidRPr="00364545" w:rsidRDefault="00833524" w:rsidP="00833524"/>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114"/>
        <w:gridCol w:w="803"/>
        <w:gridCol w:w="780"/>
        <w:gridCol w:w="779"/>
        <w:gridCol w:w="802"/>
        <w:gridCol w:w="802"/>
        <w:gridCol w:w="802"/>
        <w:gridCol w:w="802"/>
        <w:gridCol w:w="650"/>
        <w:gridCol w:w="650"/>
        <w:gridCol w:w="650"/>
        <w:gridCol w:w="650"/>
        <w:gridCol w:w="650"/>
      </w:tblGrid>
      <w:tr w:rsidR="00833524" w:rsidRPr="00364545" w14:paraId="3DA2881A" w14:textId="77777777" w:rsidTr="00E56269">
        <w:trPr>
          <w:trHeight w:val="402"/>
        </w:trPr>
        <w:tc>
          <w:tcPr>
            <w:tcW w:w="1114" w:type="dxa"/>
            <w:tcBorders>
              <w:top w:val="single" w:sz="2" w:space="0" w:color="000000"/>
              <w:left w:val="single" w:sz="2" w:space="0" w:color="000000"/>
              <w:bottom w:val="single" w:sz="2" w:space="0" w:color="000000"/>
              <w:right w:val="single" w:sz="2" w:space="0" w:color="000000"/>
            </w:tcBorders>
            <w:shd w:val="clear" w:color="auto" w:fill="6D2A78"/>
          </w:tcPr>
          <w:p w14:paraId="08E98688" w14:textId="77777777" w:rsidR="00833524" w:rsidRPr="00364545" w:rsidRDefault="00833524" w:rsidP="00E56269">
            <w:pPr>
              <w:spacing w:line="259" w:lineRule="auto"/>
              <w:ind w:left="67"/>
              <w:jc w:val="left"/>
            </w:pPr>
            <w:r>
              <w:t>AME 21 – CH</w:t>
            </w:r>
            <w:r w:rsidRPr="00364545">
              <w:rPr>
                <w:vertAlign w:val="subscript"/>
              </w:rPr>
              <w:t>4</w:t>
            </w:r>
            <w:r w:rsidRPr="00364545">
              <w:t xml:space="preserve"> </w:t>
            </w:r>
          </w:p>
        </w:tc>
        <w:tc>
          <w:tcPr>
            <w:tcW w:w="803" w:type="dxa"/>
            <w:tcBorders>
              <w:top w:val="single" w:sz="2" w:space="0" w:color="000000"/>
              <w:left w:val="single" w:sz="2" w:space="0" w:color="000000"/>
              <w:bottom w:val="single" w:sz="2" w:space="0" w:color="000000"/>
              <w:right w:val="single" w:sz="2" w:space="0" w:color="000000"/>
            </w:tcBorders>
            <w:shd w:val="clear" w:color="auto" w:fill="6D2A78"/>
          </w:tcPr>
          <w:p w14:paraId="01DAC8A8" w14:textId="77777777" w:rsidR="00833524" w:rsidRPr="00364545" w:rsidRDefault="00833524" w:rsidP="00E56269">
            <w:pPr>
              <w:spacing w:line="259" w:lineRule="auto"/>
              <w:ind w:left="19"/>
              <w:jc w:val="center"/>
            </w:pPr>
            <w:r w:rsidRPr="00364545">
              <w:rPr>
                <w:b/>
                <w:color w:val="FFFFFF"/>
                <w:sz w:val="18"/>
              </w:rPr>
              <w:t xml:space="preserve">1990 </w:t>
            </w:r>
          </w:p>
        </w:tc>
        <w:tc>
          <w:tcPr>
            <w:tcW w:w="780" w:type="dxa"/>
            <w:tcBorders>
              <w:top w:val="single" w:sz="2" w:space="0" w:color="000000"/>
              <w:left w:val="single" w:sz="2" w:space="0" w:color="000000"/>
              <w:bottom w:val="single" w:sz="2" w:space="0" w:color="000000"/>
              <w:right w:val="single" w:sz="2" w:space="0" w:color="000000"/>
            </w:tcBorders>
            <w:shd w:val="clear" w:color="auto" w:fill="6D2A78"/>
          </w:tcPr>
          <w:p w14:paraId="41507FD1" w14:textId="77777777" w:rsidR="00833524" w:rsidRPr="00364545" w:rsidRDefault="00833524" w:rsidP="00E56269">
            <w:pPr>
              <w:spacing w:line="259" w:lineRule="auto"/>
              <w:ind w:left="21"/>
              <w:jc w:val="center"/>
              <w:rPr>
                <w:b/>
                <w:color w:val="FFFFFF"/>
                <w:sz w:val="18"/>
              </w:rPr>
            </w:pPr>
            <w:r w:rsidRPr="00364545">
              <w:rPr>
                <w:b/>
                <w:color w:val="FFFFFF"/>
                <w:sz w:val="18"/>
              </w:rPr>
              <w:t>1995</w:t>
            </w:r>
          </w:p>
        </w:tc>
        <w:tc>
          <w:tcPr>
            <w:tcW w:w="779" w:type="dxa"/>
            <w:tcBorders>
              <w:top w:val="single" w:sz="2" w:space="0" w:color="000000"/>
              <w:left w:val="single" w:sz="2" w:space="0" w:color="000000"/>
              <w:bottom w:val="single" w:sz="2" w:space="0" w:color="000000"/>
              <w:right w:val="single" w:sz="2" w:space="0" w:color="000000"/>
            </w:tcBorders>
            <w:shd w:val="clear" w:color="auto" w:fill="6D2A78"/>
          </w:tcPr>
          <w:p w14:paraId="484443E7" w14:textId="77777777" w:rsidR="00833524" w:rsidRPr="00364545" w:rsidRDefault="00833524" w:rsidP="00E56269">
            <w:pPr>
              <w:spacing w:line="259" w:lineRule="auto"/>
              <w:ind w:left="21"/>
              <w:jc w:val="center"/>
            </w:pPr>
            <w:r w:rsidRPr="00364545">
              <w:rPr>
                <w:b/>
                <w:color w:val="FFFFFF"/>
                <w:sz w:val="18"/>
              </w:rPr>
              <w:t xml:space="preserve">2000 </w:t>
            </w:r>
          </w:p>
        </w:tc>
        <w:tc>
          <w:tcPr>
            <w:tcW w:w="802" w:type="dxa"/>
            <w:tcBorders>
              <w:top w:val="single" w:sz="2" w:space="0" w:color="000000"/>
              <w:left w:val="single" w:sz="2" w:space="0" w:color="000000"/>
              <w:bottom w:val="single" w:sz="2" w:space="0" w:color="000000"/>
              <w:right w:val="single" w:sz="2" w:space="0" w:color="000000"/>
            </w:tcBorders>
            <w:shd w:val="clear" w:color="auto" w:fill="6D2A78"/>
          </w:tcPr>
          <w:p w14:paraId="7DEDD0A0" w14:textId="77777777" w:rsidR="00833524" w:rsidRPr="00364545" w:rsidRDefault="00833524" w:rsidP="00E56269">
            <w:pPr>
              <w:spacing w:line="259" w:lineRule="auto"/>
              <w:ind w:left="19"/>
              <w:jc w:val="center"/>
            </w:pPr>
            <w:r w:rsidRPr="00364545">
              <w:rPr>
                <w:b/>
                <w:color w:val="FFFFFF"/>
                <w:sz w:val="18"/>
              </w:rPr>
              <w:t xml:space="preserve">2005 </w:t>
            </w:r>
          </w:p>
        </w:tc>
        <w:tc>
          <w:tcPr>
            <w:tcW w:w="802" w:type="dxa"/>
            <w:tcBorders>
              <w:top w:val="single" w:sz="2" w:space="0" w:color="000000"/>
              <w:left w:val="single" w:sz="2" w:space="0" w:color="000000"/>
              <w:bottom w:val="single" w:sz="2" w:space="0" w:color="000000"/>
              <w:right w:val="single" w:sz="2" w:space="0" w:color="000000"/>
            </w:tcBorders>
            <w:shd w:val="clear" w:color="auto" w:fill="6D2A78"/>
          </w:tcPr>
          <w:p w14:paraId="276996EB" w14:textId="77777777" w:rsidR="00833524" w:rsidRPr="00364545" w:rsidRDefault="00833524" w:rsidP="00E56269">
            <w:pPr>
              <w:spacing w:line="259" w:lineRule="auto"/>
              <w:ind w:left="21"/>
              <w:jc w:val="center"/>
            </w:pPr>
            <w:r w:rsidRPr="00364545">
              <w:rPr>
                <w:b/>
                <w:color w:val="FFFFFF"/>
                <w:sz w:val="18"/>
              </w:rPr>
              <w:t xml:space="preserve">2010 </w:t>
            </w:r>
          </w:p>
        </w:tc>
        <w:tc>
          <w:tcPr>
            <w:tcW w:w="802" w:type="dxa"/>
            <w:tcBorders>
              <w:top w:val="single" w:sz="2" w:space="0" w:color="000000"/>
              <w:left w:val="single" w:sz="2" w:space="0" w:color="000000"/>
              <w:bottom w:val="single" w:sz="2" w:space="0" w:color="000000"/>
              <w:right w:val="single" w:sz="2" w:space="0" w:color="000000"/>
            </w:tcBorders>
            <w:shd w:val="clear" w:color="auto" w:fill="6D2A78"/>
          </w:tcPr>
          <w:p w14:paraId="18CF748A" w14:textId="77777777" w:rsidR="00833524" w:rsidRPr="00364545" w:rsidRDefault="00833524" w:rsidP="00E56269">
            <w:pPr>
              <w:spacing w:line="259" w:lineRule="auto"/>
              <w:ind w:left="19"/>
              <w:jc w:val="center"/>
            </w:pPr>
            <w:r w:rsidRPr="00364545">
              <w:rPr>
                <w:b/>
                <w:color w:val="FFFFFF"/>
                <w:sz w:val="18"/>
              </w:rPr>
              <w:t xml:space="preserve">2015 </w:t>
            </w:r>
          </w:p>
        </w:tc>
        <w:tc>
          <w:tcPr>
            <w:tcW w:w="802" w:type="dxa"/>
            <w:tcBorders>
              <w:top w:val="single" w:sz="2" w:space="0" w:color="000000"/>
              <w:left w:val="single" w:sz="2" w:space="0" w:color="000000"/>
              <w:bottom w:val="single" w:sz="2" w:space="0" w:color="000000"/>
              <w:right w:val="single" w:sz="2" w:space="0" w:color="000000"/>
            </w:tcBorders>
            <w:shd w:val="clear" w:color="auto" w:fill="6D2A78"/>
          </w:tcPr>
          <w:p w14:paraId="69B68A54" w14:textId="77777777" w:rsidR="00833524" w:rsidRPr="00364545" w:rsidRDefault="00833524" w:rsidP="00E56269">
            <w:pPr>
              <w:spacing w:line="259" w:lineRule="auto"/>
              <w:ind w:left="21"/>
              <w:jc w:val="center"/>
              <w:rPr>
                <w:b/>
                <w:color w:val="FFFFFF"/>
                <w:sz w:val="18"/>
              </w:rPr>
            </w:pPr>
            <w:r w:rsidRPr="00364545">
              <w:rPr>
                <w:b/>
                <w:color w:val="FFFFFF"/>
                <w:sz w:val="18"/>
              </w:rPr>
              <w:t>2019</w:t>
            </w:r>
          </w:p>
        </w:tc>
        <w:tc>
          <w:tcPr>
            <w:tcW w:w="650" w:type="dxa"/>
            <w:tcBorders>
              <w:top w:val="single" w:sz="2" w:space="0" w:color="000000"/>
              <w:left w:val="single" w:sz="2" w:space="0" w:color="000000"/>
              <w:bottom w:val="single" w:sz="2" w:space="0" w:color="000000"/>
              <w:right w:val="single" w:sz="2" w:space="0" w:color="000000"/>
            </w:tcBorders>
            <w:shd w:val="clear" w:color="auto" w:fill="6D2A78"/>
          </w:tcPr>
          <w:p w14:paraId="1AE59B33" w14:textId="77777777" w:rsidR="00833524" w:rsidRPr="00364545" w:rsidRDefault="00833524" w:rsidP="00E56269">
            <w:pPr>
              <w:spacing w:line="259" w:lineRule="auto"/>
              <w:ind w:left="21"/>
              <w:jc w:val="center"/>
            </w:pPr>
            <w:r w:rsidRPr="00364545">
              <w:rPr>
                <w:b/>
                <w:color w:val="FFFFFF"/>
                <w:sz w:val="18"/>
              </w:rPr>
              <w:t xml:space="preserve">2020 </w:t>
            </w:r>
          </w:p>
        </w:tc>
        <w:tc>
          <w:tcPr>
            <w:tcW w:w="650" w:type="dxa"/>
            <w:tcBorders>
              <w:top w:val="single" w:sz="2" w:space="0" w:color="000000"/>
              <w:left w:val="single" w:sz="2" w:space="0" w:color="000000"/>
              <w:bottom w:val="single" w:sz="2" w:space="0" w:color="000000"/>
              <w:right w:val="single" w:sz="2" w:space="0" w:color="000000"/>
            </w:tcBorders>
            <w:shd w:val="clear" w:color="auto" w:fill="6D2A78"/>
          </w:tcPr>
          <w:p w14:paraId="757FAF78" w14:textId="77777777" w:rsidR="00833524" w:rsidRPr="00364545" w:rsidRDefault="00833524" w:rsidP="00E56269">
            <w:pPr>
              <w:spacing w:line="259" w:lineRule="auto"/>
              <w:ind w:left="19"/>
              <w:jc w:val="center"/>
            </w:pPr>
            <w:r w:rsidRPr="00364545">
              <w:rPr>
                <w:b/>
                <w:color w:val="FFFFFF"/>
                <w:sz w:val="18"/>
              </w:rPr>
              <w:t xml:space="preserve">2025 </w:t>
            </w:r>
          </w:p>
        </w:tc>
        <w:tc>
          <w:tcPr>
            <w:tcW w:w="650" w:type="dxa"/>
            <w:tcBorders>
              <w:top w:val="single" w:sz="2" w:space="0" w:color="000000"/>
              <w:left w:val="single" w:sz="2" w:space="0" w:color="000000"/>
              <w:bottom w:val="single" w:sz="2" w:space="0" w:color="000000"/>
              <w:right w:val="single" w:sz="2" w:space="0" w:color="000000"/>
            </w:tcBorders>
            <w:shd w:val="clear" w:color="auto" w:fill="6D2A78"/>
          </w:tcPr>
          <w:p w14:paraId="3E7B746C" w14:textId="77777777" w:rsidR="00833524" w:rsidRPr="00364545" w:rsidRDefault="00833524" w:rsidP="00E56269">
            <w:pPr>
              <w:spacing w:line="259" w:lineRule="auto"/>
              <w:ind w:left="21"/>
              <w:jc w:val="center"/>
            </w:pPr>
            <w:r w:rsidRPr="00364545">
              <w:rPr>
                <w:b/>
                <w:color w:val="FFFFFF"/>
                <w:sz w:val="18"/>
              </w:rPr>
              <w:t xml:space="preserve">2030 </w:t>
            </w:r>
          </w:p>
        </w:tc>
        <w:tc>
          <w:tcPr>
            <w:tcW w:w="650" w:type="dxa"/>
            <w:tcBorders>
              <w:top w:val="single" w:sz="2" w:space="0" w:color="000000"/>
              <w:left w:val="single" w:sz="2" w:space="0" w:color="000000"/>
              <w:bottom w:val="single" w:sz="2" w:space="0" w:color="000000"/>
              <w:right w:val="single" w:sz="2" w:space="0" w:color="000000"/>
            </w:tcBorders>
            <w:shd w:val="clear" w:color="auto" w:fill="6D2A78"/>
          </w:tcPr>
          <w:p w14:paraId="212E2762" w14:textId="77777777" w:rsidR="00833524" w:rsidRPr="00364545" w:rsidRDefault="00833524" w:rsidP="00E56269">
            <w:pPr>
              <w:spacing w:line="259" w:lineRule="auto"/>
              <w:ind w:left="20"/>
              <w:jc w:val="center"/>
            </w:pPr>
            <w:r w:rsidRPr="00364545">
              <w:rPr>
                <w:b/>
                <w:color w:val="FFFFFF"/>
                <w:sz w:val="18"/>
              </w:rPr>
              <w:t xml:space="preserve">2035 </w:t>
            </w:r>
          </w:p>
        </w:tc>
        <w:tc>
          <w:tcPr>
            <w:tcW w:w="650" w:type="dxa"/>
            <w:tcBorders>
              <w:top w:val="single" w:sz="2" w:space="0" w:color="000000"/>
              <w:left w:val="single" w:sz="2" w:space="0" w:color="000000"/>
              <w:bottom w:val="single" w:sz="2" w:space="0" w:color="000000"/>
              <w:right w:val="single" w:sz="2" w:space="0" w:color="000000"/>
            </w:tcBorders>
            <w:shd w:val="clear" w:color="auto" w:fill="6D2A78"/>
          </w:tcPr>
          <w:p w14:paraId="02A98D68" w14:textId="77777777" w:rsidR="00833524" w:rsidRPr="00364545" w:rsidRDefault="00833524" w:rsidP="00E56269">
            <w:pPr>
              <w:spacing w:line="259" w:lineRule="auto"/>
              <w:ind w:left="20"/>
              <w:jc w:val="center"/>
              <w:rPr>
                <w:b/>
                <w:color w:val="FFFFFF"/>
                <w:sz w:val="18"/>
              </w:rPr>
            </w:pPr>
            <w:r w:rsidRPr="00364545">
              <w:rPr>
                <w:b/>
                <w:color w:val="FFFFFF"/>
                <w:sz w:val="18"/>
              </w:rPr>
              <w:t>2050</w:t>
            </w:r>
          </w:p>
        </w:tc>
      </w:tr>
      <w:tr w:rsidR="00833524" w:rsidRPr="00364545" w14:paraId="2A9B25CE" w14:textId="77777777" w:rsidTr="00E56269">
        <w:trPr>
          <w:trHeight w:val="344"/>
        </w:trPr>
        <w:tc>
          <w:tcPr>
            <w:tcW w:w="1114" w:type="dxa"/>
            <w:tcBorders>
              <w:top w:val="single" w:sz="2" w:space="0" w:color="000000"/>
              <w:left w:val="single" w:sz="2" w:space="0" w:color="000000"/>
              <w:bottom w:val="single" w:sz="2" w:space="0" w:color="000000"/>
              <w:right w:val="single" w:sz="2" w:space="0" w:color="000000"/>
            </w:tcBorders>
          </w:tcPr>
          <w:p w14:paraId="1F4C2591" w14:textId="77777777" w:rsidR="00833524" w:rsidRPr="00364545" w:rsidRDefault="00833524" w:rsidP="00E56269">
            <w:pPr>
              <w:spacing w:line="259" w:lineRule="auto"/>
            </w:pPr>
            <w:r w:rsidRPr="00364545">
              <w:rPr>
                <w:sz w:val="18"/>
              </w:rPr>
              <w:t xml:space="preserve">Energy </w:t>
            </w:r>
          </w:p>
        </w:tc>
        <w:tc>
          <w:tcPr>
            <w:tcW w:w="803" w:type="dxa"/>
            <w:tcBorders>
              <w:top w:val="single" w:sz="2" w:space="0" w:color="000000"/>
              <w:left w:val="single" w:sz="2" w:space="0" w:color="000000"/>
              <w:bottom w:val="single" w:sz="2" w:space="0" w:color="000000"/>
              <w:right w:val="single" w:sz="2" w:space="0" w:color="000000"/>
            </w:tcBorders>
            <w:vAlign w:val="bottom"/>
          </w:tcPr>
          <w:p w14:paraId="4749E72B" w14:textId="77777777" w:rsidR="00833524" w:rsidRPr="00634E4C" w:rsidRDefault="00833524" w:rsidP="00E56269">
            <w:pPr>
              <w:spacing w:line="259" w:lineRule="auto"/>
              <w:ind w:left="106"/>
              <w:rPr>
                <w:rFonts w:asciiTheme="majorHAnsi" w:hAnsiTheme="majorHAnsi"/>
                <w:sz w:val="16"/>
              </w:rPr>
            </w:pPr>
            <w:r w:rsidRPr="00944589">
              <w:rPr>
                <w:rFonts w:asciiTheme="majorHAnsi" w:hAnsiTheme="majorHAnsi"/>
                <w:sz w:val="16"/>
                <w:szCs w:val="16"/>
              </w:rPr>
              <w:t>12404</w:t>
            </w:r>
          </w:p>
        </w:tc>
        <w:tc>
          <w:tcPr>
            <w:tcW w:w="780" w:type="dxa"/>
            <w:tcBorders>
              <w:top w:val="single" w:sz="2" w:space="0" w:color="000000"/>
              <w:left w:val="single" w:sz="2" w:space="0" w:color="000000"/>
              <w:bottom w:val="single" w:sz="2" w:space="0" w:color="000000"/>
              <w:right w:val="single" w:sz="2" w:space="0" w:color="000000"/>
            </w:tcBorders>
            <w:vAlign w:val="bottom"/>
          </w:tcPr>
          <w:p w14:paraId="79363F00"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11918</w:t>
            </w:r>
          </w:p>
        </w:tc>
        <w:tc>
          <w:tcPr>
            <w:tcW w:w="779" w:type="dxa"/>
            <w:tcBorders>
              <w:top w:val="single" w:sz="2" w:space="0" w:color="000000"/>
              <w:left w:val="single" w:sz="2" w:space="0" w:color="000000"/>
              <w:bottom w:val="single" w:sz="2" w:space="0" w:color="000000"/>
              <w:right w:val="single" w:sz="2" w:space="0" w:color="000000"/>
            </w:tcBorders>
            <w:vAlign w:val="bottom"/>
          </w:tcPr>
          <w:p w14:paraId="311BCFCC"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7568</w:t>
            </w:r>
          </w:p>
        </w:tc>
        <w:tc>
          <w:tcPr>
            <w:tcW w:w="802" w:type="dxa"/>
            <w:tcBorders>
              <w:top w:val="single" w:sz="2" w:space="0" w:color="000000"/>
              <w:left w:val="single" w:sz="2" w:space="0" w:color="000000"/>
              <w:bottom w:val="single" w:sz="2" w:space="0" w:color="000000"/>
              <w:right w:val="single" w:sz="2" w:space="0" w:color="000000"/>
            </w:tcBorders>
            <w:vAlign w:val="bottom"/>
          </w:tcPr>
          <w:p w14:paraId="12FF9510"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4922</w:t>
            </w:r>
          </w:p>
        </w:tc>
        <w:tc>
          <w:tcPr>
            <w:tcW w:w="802" w:type="dxa"/>
            <w:tcBorders>
              <w:top w:val="single" w:sz="2" w:space="0" w:color="000000"/>
              <w:left w:val="single" w:sz="2" w:space="0" w:color="000000"/>
              <w:bottom w:val="single" w:sz="2" w:space="0" w:color="000000"/>
              <w:right w:val="single" w:sz="2" w:space="0" w:color="000000"/>
            </w:tcBorders>
            <w:vAlign w:val="bottom"/>
          </w:tcPr>
          <w:p w14:paraId="72063304"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3704</w:t>
            </w:r>
          </w:p>
        </w:tc>
        <w:tc>
          <w:tcPr>
            <w:tcW w:w="802" w:type="dxa"/>
            <w:tcBorders>
              <w:top w:val="single" w:sz="2" w:space="0" w:color="000000"/>
              <w:left w:val="single" w:sz="2" w:space="0" w:color="000000"/>
              <w:bottom w:val="single" w:sz="2" w:space="0" w:color="000000"/>
              <w:right w:val="single" w:sz="2" w:space="0" w:color="000000"/>
            </w:tcBorders>
            <w:vAlign w:val="bottom"/>
          </w:tcPr>
          <w:p w14:paraId="72E02719"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2743</w:t>
            </w:r>
          </w:p>
        </w:tc>
        <w:tc>
          <w:tcPr>
            <w:tcW w:w="802" w:type="dxa"/>
            <w:tcBorders>
              <w:top w:val="single" w:sz="2" w:space="0" w:color="000000"/>
              <w:left w:val="single" w:sz="2" w:space="0" w:color="000000"/>
              <w:bottom w:val="single" w:sz="2" w:space="0" w:color="000000"/>
              <w:right w:val="single" w:sz="2" w:space="0" w:color="000000"/>
            </w:tcBorders>
            <w:vAlign w:val="bottom"/>
          </w:tcPr>
          <w:p w14:paraId="1C48D3A9"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2398</w:t>
            </w:r>
          </w:p>
        </w:tc>
        <w:tc>
          <w:tcPr>
            <w:tcW w:w="650" w:type="dxa"/>
            <w:tcBorders>
              <w:top w:val="single" w:sz="2" w:space="0" w:color="000000"/>
              <w:left w:val="single" w:sz="2" w:space="0" w:color="000000"/>
              <w:bottom w:val="single" w:sz="2" w:space="0" w:color="000000"/>
              <w:right w:val="single" w:sz="2" w:space="0" w:color="000000"/>
            </w:tcBorders>
            <w:vAlign w:val="bottom"/>
          </w:tcPr>
          <w:p w14:paraId="30ECAB53"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2320</w:t>
            </w:r>
          </w:p>
        </w:tc>
        <w:tc>
          <w:tcPr>
            <w:tcW w:w="650" w:type="dxa"/>
            <w:tcBorders>
              <w:top w:val="single" w:sz="2" w:space="0" w:color="000000"/>
              <w:left w:val="single" w:sz="2" w:space="0" w:color="000000"/>
              <w:bottom w:val="single" w:sz="2" w:space="0" w:color="000000"/>
              <w:right w:val="single" w:sz="2" w:space="0" w:color="000000"/>
            </w:tcBorders>
            <w:vAlign w:val="bottom"/>
          </w:tcPr>
          <w:p w14:paraId="02755A16"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2262</w:t>
            </w:r>
          </w:p>
        </w:tc>
        <w:tc>
          <w:tcPr>
            <w:tcW w:w="650" w:type="dxa"/>
            <w:tcBorders>
              <w:top w:val="single" w:sz="2" w:space="0" w:color="000000"/>
              <w:left w:val="single" w:sz="2" w:space="0" w:color="000000"/>
              <w:bottom w:val="single" w:sz="2" w:space="0" w:color="000000"/>
              <w:right w:val="single" w:sz="2" w:space="0" w:color="000000"/>
            </w:tcBorders>
            <w:vAlign w:val="bottom"/>
          </w:tcPr>
          <w:p w14:paraId="6B0DA3AE"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2191</w:t>
            </w:r>
          </w:p>
        </w:tc>
        <w:tc>
          <w:tcPr>
            <w:tcW w:w="650" w:type="dxa"/>
            <w:tcBorders>
              <w:top w:val="single" w:sz="2" w:space="0" w:color="000000"/>
              <w:left w:val="single" w:sz="2" w:space="0" w:color="000000"/>
              <w:bottom w:val="single" w:sz="2" w:space="0" w:color="000000"/>
              <w:right w:val="single" w:sz="2" w:space="0" w:color="000000"/>
            </w:tcBorders>
            <w:vAlign w:val="bottom"/>
          </w:tcPr>
          <w:p w14:paraId="054D3211"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2158</w:t>
            </w:r>
          </w:p>
        </w:tc>
        <w:tc>
          <w:tcPr>
            <w:tcW w:w="650" w:type="dxa"/>
            <w:tcBorders>
              <w:top w:val="single" w:sz="2" w:space="0" w:color="000000"/>
              <w:left w:val="single" w:sz="2" w:space="0" w:color="000000"/>
              <w:bottom w:val="single" w:sz="2" w:space="0" w:color="000000"/>
              <w:right w:val="single" w:sz="2" w:space="0" w:color="000000"/>
            </w:tcBorders>
            <w:vAlign w:val="bottom"/>
          </w:tcPr>
          <w:p w14:paraId="7D867749"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2199</w:t>
            </w:r>
          </w:p>
        </w:tc>
      </w:tr>
      <w:tr w:rsidR="00833524" w:rsidRPr="00364545" w14:paraId="4A811EE2" w14:textId="77777777" w:rsidTr="00E56269">
        <w:trPr>
          <w:trHeight w:val="419"/>
        </w:trPr>
        <w:tc>
          <w:tcPr>
            <w:tcW w:w="1114" w:type="dxa"/>
            <w:tcBorders>
              <w:top w:val="single" w:sz="2" w:space="0" w:color="000000"/>
              <w:left w:val="single" w:sz="2" w:space="0" w:color="000000"/>
              <w:bottom w:val="single" w:sz="2" w:space="0" w:color="000000"/>
              <w:right w:val="single" w:sz="2" w:space="0" w:color="000000"/>
            </w:tcBorders>
            <w:shd w:val="clear" w:color="auto" w:fill="ECE6E2"/>
          </w:tcPr>
          <w:p w14:paraId="1D061419" w14:textId="77777777" w:rsidR="00833524" w:rsidRPr="00364545" w:rsidRDefault="00833524" w:rsidP="00E56269">
            <w:pPr>
              <w:spacing w:line="259" w:lineRule="auto"/>
            </w:pPr>
            <w:r w:rsidRPr="00364545">
              <w:rPr>
                <w:sz w:val="18"/>
              </w:rPr>
              <w:t xml:space="preserve">Industrial processes, solvents and other products </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D3DC8C5" w14:textId="77777777" w:rsidR="00833524" w:rsidRPr="00634E4C" w:rsidRDefault="00833524" w:rsidP="00E56269">
            <w:pPr>
              <w:spacing w:line="259" w:lineRule="auto"/>
              <w:ind w:left="19"/>
              <w:jc w:val="center"/>
              <w:rPr>
                <w:rFonts w:asciiTheme="majorHAnsi" w:hAnsiTheme="majorHAnsi"/>
                <w:sz w:val="16"/>
              </w:rPr>
            </w:pPr>
            <w:r w:rsidRPr="00634E4C">
              <w:rPr>
                <w:rFonts w:asciiTheme="majorHAnsi" w:hAnsiTheme="majorHAnsi"/>
                <w:sz w:val="16"/>
              </w:rPr>
              <w:t>220</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64BDE33"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sz w:val="16"/>
              </w:rPr>
              <w:t>221</w:t>
            </w:r>
          </w:p>
        </w:tc>
        <w:tc>
          <w:tcPr>
            <w:tcW w:w="77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797F994"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sz w:val="16"/>
              </w:rPr>
              <w:t>236</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C4EA5AB"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207</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0365130"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sz w:val="16"/>
              </w:rPr>
              <w:t>147</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ED55D88"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85</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A71DBA3"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66</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D03BCA7"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67</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3693499"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75</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613BB02"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75</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DFA0502"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75</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9EE9ED"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73</w:t>
            </w:r>
          </w:p>
        </w:tc>
      </w:tr>
      <w:tr w:rsidR="00833524" w:rsidRPr="00364545" w14:paraId="2D352EDA" w14:textId="77777777" w:rsidTr="00E56269">
        <w:trPr>
          <w:trHeight w:val="347"/>
        </w:trPr>
        <w:tc>
          <w:tcPr>
            <w:tcW w:w="1114" w:type="dxa"/>
            <w:tcBorders>
              <w:top w:val="single" w:sz="2" w:space="0" w:color="000000"/>
              <w:left w:val="single" w:sz="2" w:space="0" w:color="000000"/>
              <w:bottom w:val="single" w:sz="2" w:space="0" w:color="000000"/>
              <w:right w:val="single" w:sz="2" w:space="0" w:color="000000"/>
            </w:tcBorders>
          </w:tcPr>
          <w:p w14:paraId="568AB29F" w14:textId="77777777" w:rsidR="00833524" w:rsidRPr="00364545" w:rsidRDefault="00833524" w:rsidP="00E56269">
            <w:pPr>
              <w:spacing w:line="259" w:lineRule="auto"/>
            </w:pPr>
            <w:r w:rsidRPr="00364545">
              <w:rPr>
                <w:sz w:val="18"/>
              </w:rPr>
              <w:t xml:space="preserve">Agriculture (excluding energy) </w:t>
            </w:r>
          </w:p>
        </w:tc>
        <w:tc>
          <w:tcPr>
            <w:tcW w:w="803" w:type="dxa"/>
            <w:tcBorders>
              <w:top w:val="single" w:sz="2" w:space="0" w:color="000000"/>
              <w:left w:val="single" w:sz="2" w:space="0" w:color="000000"/>
              <w:bottom w:val="single" w:sz="2" w:space="0" w:color="000000"/>
              <w:right w:val="single" w:sz="2" w:space="0" w:color="000000"/>
            </w:tcBorders>
            <w:vAlign w:val="bottom"/>
          </w:tcPr>
          <w:p w14:paraId="21F35488" w14:textId="77777777" w:rsidR="00833524" w:rsidRPr="00634E4C" w:rsidRDefault="00833524" w:rsidP="00E56269">
            <w:pPr>
              <w:spacing w:line="259" w:lineRule="auto"/>
              <w:ind w:left="106"/>
              <w:rPr>
                <w:rFonts w:asciiTheme="majorHAnsi" w:hAnsiTheme="majorHAnsi"/>
                <w:sz w:val="16"/>
              </w:rPr>
            </w:pPr>
            <w:r w:rsidRPr="00634E4C">
              <w:rPr>
                <w:rFonts w:asciiTheme="majorHAnsi" w:hAnsiTheme="majorHAnsi"/>
                <w:sz w:val="16"/>
              </w:rPr>
              <w:t>42218</w:t>
            </w:r>
          </w:p>
        </w:tc>
        <w:tc>
          <w:tcPr>
            <w:tcW w:w="780" w:type="dxa"/>
            <w:tcBorders>
              <w:top w:val="single" w:sz="2" w:space="0" w:color="000000"/>
              <w:left w:val="single" w:sz="2" w:space="0" w:color="000000"/>
              <w:bottom w:val="single" w:sz="2" w:space="0" w:color="000000"/>
              <w:right w:val="single" w:sz="2" w:space="0" w:color="000000"/>
            </w:tcBorders>
            <w:vAlign w:val="bottom"/>
          </w:tcPr>
          <w:p w14:paraId="0EFEA5EC"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41145</w:t>
            </w:r>
          </w:p>
        </w:tc>
        <w:tc>
          <w:tcPr>
            <w:tcW w:w="779" w:type="dxa"/>
            <w:tcBorders>
              <w:top w:val="single" w:sz="2" w:space="0" w:color="000000"/>
              <w:left w:val="single" w:sz="2" w:space="0" w:color="000000"/>
              <w:bottom w:val="single" w:sz="2" w:space="0" w:color="000000"/>
              <w:right w:val="single" w:sz="2" w:space="0" w:color="000000"/>
            </w:tcBorders>
            <w:vAlign w:val="bottom"/>
          </w:tcPr>
          <w:p w14:paraId="5A301145"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42197</w:t>
            </w:r>
          </w:p>
        </w:tc>
        <w:tc>
          <w:tcPr>
            <w:tcW w:w="802" w:type="dxa"/>
            <w:tcBorders>
              <w:top w:val="single" w:sz="2" w:space="0" w:color="000000"/>
              <w:left w:val="single" w:sz="2" w:space="0" w:color="000000"/>
              <w:bottom w:val="single" w:sz="2" w:space="0" w:color="000000"/>
              <w:right w:val="single" w:sz="2" w:space="0" w:color="000000"/>
            </w:tcBorders>
            <w:vAlign w:val="bottom"/>
          </w:tcPr>
          <w:p w14:paraId="0113694C"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39373</w:t>
            </w:r>
          </w:p>
        </w:tc>
        <w:tc>
          <w:tcPr>
            <w:tcW w:w="802" w:type="dxa"/>
            <w:tcBorders>
              <w:top w:val="single" w:sz="2" w:space="0" w:color="000000"/>
              <w:left w:val="single" w:sz="2" w:space="0" w:color="000000"/>
              <w:bottom w:val="single" w:sz="2" w:space="0" w:color="000000"/>
              <w:right w:val="single" w:sz="2" w:space="0" w:color="000000"/>
            </w:tcBorders>
            <w:vAlign w:val="bottom"/>
          </w:tcPr>
          <w:p w14:paraId="60BB4B4B"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39325</w:t>
            </w:r>
          </w:p>
        </w:tc>
        <w:tc>
          <w:tcPr>
            <w:tcW w:w="802" w:type="dxa"/>
            <w:tcBorders>
              <w:top w:val="single" w:sz="2" w:space="0" w:color="000000"/>
              <w:left w:val="single" w:sz="2" w:space="0" w:color="000000"/>
              <w:bottom w:val="single" w:sz="2" w:space="0" w:color="000000"/>
              <w:right w:val="single" w:sz="2" w:space="0" w:color="000000"/>
            </w:tcBorders>
            <w:vAlign w:val="bottom"/>
          </w:tcPr>
          <w:p w14:paraId="0C446F6A"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39281</w:t>
            </w:r>
          </w:p>
        </w:tc>
        <w:tc>
          <w:tcPr>
            <w:tcW w:w="802" w:type="dxa"/>
            <w:tcBorders>
              <w:top w:val="single" w:sz="2" w:space="0" w:color="000000"/>
              <w:left w:val="single" w:sz="2" w:space="0" w:color="000000"/>
              <w:bottom w:val="single" w:sz="2" w:space="0" w:color="000000"/>
              <w:right w:val="single" w:sz="2" w:space="0" w:color="000000"/>
            </w:tcBorders>
            <w:vAlign w:val="bottom"/>
          </w:tcPr>
          <w:p w14:paraId="3872FB6B"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37445</w:t>
            </w:r>
          </w:p>
        </w:tc>
        <w:tc>
          <w:tcPr>
            <w:tcW w:w="650" w:type="dxa"/>
            <w:tcBorders>
              <w:top w:val="single" w:sz="2" w:space="0" w:color="000000"/>
              <w:left w:val="single" w:sz="2" w:space="0" w:color="000000"/>
              <w:bottom w:val="single" w:sz="2" w:space="0" w:color="000000"/>
              <w:right w:val="single" w:sz="2" w:space="0" w:color="000000"/>
            </w:tcBorders>
            <w:vAlign w:val="bottom"/>
          </w:tcPr>
          <w:p w14:paraId="2E23FD68"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37180</w:t>
            </w:r>
          </w:p>
        </w:tc>
        <w:tc>
          <w:tcPr>
            <w:tcW w:w="650" w:type="dxa"/>
            <w:tcBorders>
              <w:top w:val="single" w:sz="2" w:space="0" w:color="000000"/>
              <w:left w:val="single" w:sz="2" w:space="0" w:color="000000"/>
              <w:bottom w:val="single" w:sz="2" w:space="0" w:color="000000"/>
              <w:right w:val="single" w:sz="2" w:space="0" w:color="000000"/>
            </w:tcBorders>
            <w:vAlign w:val="bottom"/>
          </w:tcPr>
          <w:p w14:paraId="35BD47D6"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36538</w:t>
            </w:r>
          </w:p>
        </w:tc>
        <w:tc>
          <w:tcPr>
            <w:tcW w:w="650" w:type="dxa"/>
            <w:tcBorders>
              <w:top w:val="single" w:sz="2" w:space="0" w:color="000000"/>
              <w:left w:val="single" w:sz="2" w:space="0" w:color="000000"/>
              <w:bottom w:val="single" w:sz="2" w:space="0" w:color="000000"/>
              <w:right w:val="single" w:sz="2" w:space="0" w:color="000000"/>
            </w:tcBorders>
            <w:vAlign w:val="bottom"/>
          </w:tcPr>
          <w:p w14:paraId="3979BA67"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35950</w:t>
            </w:r>
          </w:p>
        </w:tc>
        <w:tc>
          <w:tcPr>
            <w:tcW w:w="650" w:type="dxa"/>
            <w:tcBorders>
              <w:top w:val="single" w:sz="2" w:space="0" w:color="000000"/>
              <w:left w:val="single" w:sz="2" w:space="0" w:color="000000"/>
              <w:bottom w:val="single" w:sz="2" w:space="0" w:color="000000"/>
              <w:right w:val="single" w:sz="2" w:space="0" w:color="000000"/>
            </w:tcBorders>
            <w:vAlign w:val="bottom"/>
          </w:tcPr>
          <w:p w14:paraId="0DF0DD35"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35340</w:t>
            </w:r>
          </w:p>
        </w:tc>
        <w:tc>
          <w:tcPr>
            <w:tcW w:w="650" w:type="dxa"/>
            <w:tcBorders>
              <w:top w:val="single" w:sz="2" w:space="0" w:color="000000"/>
              <w:left w:val="single" w:sz="2" w:space="0" w:color="000000"/>
              <w:bottom w:val="single" w:sz="2" w:space="0" w:color="000000"/>
              <w:right w:val="single" w:sz="2" w:space="0" w:color="000000"/>
            </w:tcBorders>
            <w:vAlign w:val="bottom"/>
          </w:tcPr>
          <w:p w14:paraId="6C630149"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34518</w:t>
            </w:r>
          </w:p>
        </w:tc>
      </w:tr>
      <w:tr w:rsidR="00833524" w:rsidRPr="00364545" w14:paraId="05239D15" w14:textId="77777777" w:rsidTr="00E56269">
        <w:trPr>
          <w:trHeight w:val="342"/>
        </w:trPr>
        <w:tc>
          <w:tcPr>
            <w:tcW w:w="1114" w:type="dxa"/>
            <w:tcBorders>
              <w:top w:val="single" w:sz="2" w:space="0" w:color="000000"/>
              <w:left w:val="single" w:sz="2" w:space="0" w:color="000000"/>
              <w:bottom w:val="single" w:sz="2" w:space="0" w:color="000000"/>
              <w:right w:val="single" w:sz="2" w:space="0" w:color="000000"/>
            </w:tcBorders>
            <w:shd w:val="clear" w:color="auto" w:fill="ECE6E2"/>
          </w:tcPr>
          <w:p w14:paraId="6C53393C" w14:textId="77777777" w:rsidR="00833524" w:rsidRPr="00364545" w:rsidRDefault="00833524" w:rsidP="00E56269">
            <w:pPr>
              <w:spacing w:line="259" w:lineRule="auto"/>
            </w:pPr>
            <w:r w:rsidRPr="00364545">
              <w:rPr>
                <w:sz w:val="18"/>
              </w:rPr>
              <w:t xml:space="preserve">LULUCF </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FC79D0B" w14:textId="77777777" w:rsidR="00833524" w:rsidRPr="00634E4C" w:rsidRDefault="00833524" w:rsidP="00E56269">
            <w:pPr>
              <w:spacing w:line="259" w:lineRule="auto"/>
              <w:ind w:left="19"/>
              <w:jc w:val="center"/>
              <w:rPr>
                <w:rFonts w:asciiTheme="majorHAnsi" w:hAnsiTheme="majorHAnsi"/>
                <w:sz w:val="16"/>
              </w:rPr>
            </w:pPr>
            <w:r w:rsidRPr="00944589">
              <w:rPr>
                <w:rFonts w:asciiTheme="majorHAnsi" w:hAnsiTheme="majorHAnsi"/>
                <w:sz w:val="16"/>
                <w:szCs w:val="16"/>
              </w:rPr>
              <w:t>933</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7E09EB7"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3670</w:t>
            </w:r>
          </w:p>
        </w:tc>
        <w:tc>
          <w:tcPr>
            <w:tcW w:w="77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F35A5A7"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1693</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820C2FA"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1189</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E492FC"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sz w:val="16"/>
              </w:rPr>
              <w:t>1130</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AE7C728"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1078</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8D01BE0"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1138</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2CA521F"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1128</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6BD1865"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1127</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F5DD02E"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1127</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D08475B"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1127</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1A65550"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1127</w:t>
            </w:r>
          </w:p>
        </w:tc>
      </w:tr>
      <w:tr w:rsidR="00833524" w:rsidRPr="00364545" w14:paraId="316D94CE" w14:textId="77777777" w:rsidTr="00E56269">
        <w:trPr>
          <w:trHeight w:val="347"/>
        </w:trPr>
        <w:tc>
          <w:tcPr>
            <w:tcW w:w="1114" w:type="dxa"/>
            <w:tcBorders>
              <w:top w:val="single" w:sz="2" w:space="0" w:color="000000"/>
              <w:left w:val="single" w:sz="2" w:space="0" w:color="000000"/>
              <w:bottom w:val="single" w:sz="2" w:space="0" w:color="000000"/>
              <w:right w:val="single" w:sz="2" w:space="0" w:color="000000"/>
            </w:tcBorders>
          </w:tcPr>
          <w:p w14:paraId="424DD8E3" w14:textId="77777777" w:rsidR="00833524" w:rsidRPr="00364545" w:rsidRDefault="00833524" w:rsidP="00E56269">
            <w:pPr>
              <w:spacing w:line="259" w:lineRule="auto"/>
            </w:pPr>
            <w:r w:rsidRPr="00364545">
              <w:rPr>
                <w:sz w:val="18"/>
              </w:rPr>
              <w:t xml:space="preserve">Waste </w:t>
            </w:r>
          </w:p>
        </w:tc>
        <w:tc>
          <w:tcPr>
            <w:tcW w:w="803" w:type="dxa"/>
            <w:tcBorders>
              <w:top w:val="single" w:sz="2" w:space="0" w:color="000000"/>
              <w:left w:val="single" w:sz="2" w:space="0" w:color="000000"/>
              <w:bottom w:val="single" w:sz="2" w:space="0" w:color="000000"/>
              <w:right w:val="single" w:sz="2" w:space="0" w:color="000000"/>
            </w:tcBorders>
            <w:vAlign w:val="bottom"/>
          </w:tcPr>
          <w:p w14:paraId="3F866763" w14:textId="77777777" w:rsidR="00833524" w:rsidRPr="00634E4C" w:rsidRDefault="00833524" w:rsidP="00E56269">
            <w:pPr>
              <w:spacing w:line="259" w:lineRule="auto"/>
              <w:ind w:left="106"/>
              <w:rPr>
                <w:rFonts w:asciiTheme="majorHAnsi" w:hAnsiTheme="majorHAnsi"/>
                <w:sz w:val="16"/>
              </w:rPr>
            </w:pPr>
            <w:r w:rsidRPr="00944589">
              <w:rPr>
                <w:rFonts w:asciiTheme="majorHAnsi" w:hAnsiTheme="majorHAnsi"/>
                <w:sz w:val="16"/>
                <w:szCs w:val="16"/>
              </w:rPr>
              <w:t>14318</w:t>
            </w:r>
          </w:p>
        </w:tc>
        <w:tc>
          <w:tcPr>
            <w:tcW w:w="780" w:type="dxa"/>
            <w:tcBorders>
              <w:top w:val="single" w:sz="2" w:space="0" w:color="000000"/>
              <w:left w:val="single" w:sz="2" w:space="0" w:color="000000"/>
              <w:bottom w:val="single" w:sz="2" w:space="0" w:color="000000"/>
              <w:right w:val="single" w:sz="2" w:space="0" w:color="000000"/>
            </w:tcBorders>
            <w:vAlign w:val="bottom"/>
          </w:tcPr>
          <w:p w14:paraId="22392286"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17099</w:t>
            </w:r>
          </w:p>
        </w:tc>
        <w:tc>
          <w:tcPr>
            <w:tcW w:w="779" w:type="dxa"/>
            <w:tcBorders>
              <w:top w:val="single" w:sz="2" w:space="0" w:color="000000"/>
              <w:left w:val="single" w:sz="2" w:space="0" w:color="000000"/>
              <w:bottom w:val="single" w:sz="2" w:space="0" w:color="000000"/>
              <w:right w:val="single" w:sz="2" w:space="0" w:color="000000"/>
            </w:tcBorders>
            <w:vAlign w:val="bottom"/>
          </w:tcPr>
          <w:p w14:paraId="04EE3531"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sz w:val="16"/>
              </w:rPr>
              <w:t>18602</w:t>
            </w:r>
          </w:p>
        </w:tc>
        <w:tc>
          <w:tcPr>
            <w:tcW w:w="802" w:type="dxa"/>
            <w:tcBorders>
              <w:top w:val="single" w:sz="2" w:space="0" w:color="000000"/>
              <w:left w:val="single" w:sz="2" w:space="0" w:color="000000"/>
              <w:bottom w:val="single" w:sz="2" w:space="0" w:color="000000"/>
              <w:right w:val="single" w:sz="2" w:space="0" w:color="000000"/>
            </w:tcBorders>
            <w:vAlign w:val="bottom"/>
          </w:tcPr>
          <w:p w14:paraId="417B495B"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19129</w:t>
            </w:r>
          </w:p>
        </w:tc>
        <w:tc>
          <w:tcPr>
            <w:tcW w:w="802" w:type="dxa"/>
            <w:tcBorders>
              <w:top w:val="single" w:sz="2" w:space="0" w:color="000000"/>
              <w:left w:val="single" w:sz="2" w:space="0" w:color="000000"/>
              <w:bottom w:val="single" w:sz="2" w:space="0" w:color="000000"/>
              <w:right w:val="single" w:sz="2" w:space="0" w:color="000000"/>
            </w:tcBorders>
            <w:vAlign w:val="bottom"/>
          </w:tcPr>
          <w:p w14:paraId="31B9F682"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18487</w:t>
            </w:r>
          </w:p>
        </w:tc>
        <w:tc>
          <w:tcPr>
            <w:tcW w:w="802" w:type="dxa"/>
            <w:tcBorders>
              <w:top w:val="single" w:sz="2" w:space="0" w:color="000000"/>
              <w:left w:val="single" w:sz="2" w:space="0" w:color="000000"/>
              <w:bottom w:val="single" w:sz="2" w:space="0" w:color="000000"/>
              <w:right w:val="single" w:sz="2" w:space="0" w:color="000000"/>
            </w:tcBorders>
            <w:vAlign w:val="bottom"/>
          </w:tcPr>
          <w:p w14:paraId="4632B9E2"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15753</w:t>
            </w:r>
          </w:p>
        </w:tc>
        <w:tc>
          <w:tcPr>
            <w:tcW w:w="802" w:type="dxa"/>
            <w:tcBorders>
              <w:top w:val="single" w:sz="2" w:space="0" w:color="000000"/>
              <w:left w:val="single" w:sz="2" w:space="0" w:color="000000"/>
              <w:bottom w:val="single" w:sz="2" w:space="0" w:color="000000"/>
              <w:right w:val="single" w:sz="2" w:space="0" w:color="000000"/>
            </w:tcBorders>
            <w:vAlign w:val="bottom"/>
          </w:tcPr>
          <w:p w14:paraId="2311F915"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15830</w:t>
            </w:r>
          </w:p>
        </w:tc>
        <w:tc>
          <w:tcPr>
            <w:tcW w:w="650" w:type="dxa"/>
            <w:tcBorders>
              <w:top w:val="single" w:sz="2" w:space="0" w:color="000000"/>
              <w:left w:val="single" w:sz="2" w:space="0" w:color="000000"/>
              <w:bottom w:val="single" w:sz="2" w:space="0" w:color="000000"/>
              <w:right w:val="single" w:sz="2" w:space="0" w:color="000000"/>
            </w:tcBorders>
            <w:vAlign w:val="bottom"/>
          </w:tcPr>
          <w:p w14:paraId="038D5647"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15594</w:t>
            </w:r>
          </w:p>
        </w:tc>
        <w:tc>
          <w:tcPr>
            <w:tcW w:w="650" w:type="dxa"/>
            <w:tcBorders>
              <w:top w:val="single" w:sz="2" w:space="0" w:color="000000"/>
              <w:left w:val="single" w:sz="2" w:space="0" w:color="000000"/>
              <w:bottom w:val="single" w:sz="2" w:space="0" w:color="000000"/>
              <w:right w:val="single" w:sz="2" w:space="0" w:color="000000"/>
            </w:tcBorders>
            <w:vAlign w:val="bottom"/>
          </w:tcPr>
          <w:p w14:paraId="60338562"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14700</w:t>
            </w:r>
          </w:p>
        </w:tc>
        <w:tc>
          <w:tcPr>
            <w:tcW w:w="650" w:type="dxa"/>
            <w:tcBorders>
              <w:top w:val="single" w:sz="2" w:space="0" w:color="000000"/>
              <w:left w:val="single" w:sz="2" w:space="0" w:color="000000"/>
              <w:bottom w:val="single" w:sz="2" w:space="0" w:color="000000"/>
              <w:right w:val="single" w:sz="2" w:space="0" w:color="000000"/>
            </w:tcBorders>
            <w:vAlign w:val="bottom"/>
          </w:tcPr>
          <w:p w14:paraId="3390E528" w14:textId="77777777" w:rsidR="00833524" w:rsidRPr="00634E4C" w:rsidRDefault="00833524" w:rsidP="00E56269">
            <w:pPr>
              <w:spacing w:line="259" w:lineRule="auto"/>
              <w:ind w:left="106"/>
              <w:jc w:val="center"/>
              <w:rPr>
                <w:rFonts w:asciiTheme="majorHAnsi" w:hAnsiTheme="majorHAnsi"/>
                <w:b/>
                <w:color w:val="000000"/>
                <w:sz w:val="16"/>
              </w:rPr>
            </w:pPr>
            <w:r w:rsidRPr="00634E4C">
              <w:rPr>
                <w:rFonts w:asciiTheme="majorHAnsi" w:hAnsiTheme="majorHAnsi"/>
                <w:b/>
                <w:color w:val="000000"/>
                <w:sz w:val="16"/>
              </w:rPr>
              <w:t>14232</w:t>
            </w:r>
          </w:p>
        </w:tc>
        <w:tc>
          <w:tcPr>
            <w:tcW w:w="650" w:type="dxa"/>
            <w:tcBorders>
              <w:top w:val="single" w:sz="2" w:space="0" w:color="000000"/>
              <w:left w:val="single" w:sz="2" w:space="0" w:color="000000"/>
              <w:bottom w:val="single" w:sz="2" w:space="0" w:color="000000"/>
              <w:right w:val="single" w:sz="2" w:space="0" w:color="000000"/>
            </w:tcBorders>
            <w:vAlign w:val="bottom"/>
          </w:tcPr>
          <w:p w14:paraId="58B4003A" w14:textId="77777777" w:rsidR="00833524" w:rsidRPr="00634E4C" w:rsidRDefault="00833524" w:rsidP="00E56269">
            <w:pPr>
              <w:spacing w:line="259" w:lineRule="auto"/>
              <w:ind w:left="106"/>
              <w:jc w:val="center"/>
              <w:rPr>
                <w:rFonts w:asciiTheme="majorHAnsi" w:hAnsiTheme="majorHAnsi"/>
                <w:b/>
                <w:color w:val="000000"/>
                <w:sz w:val="16"/>
              </w:rPr>
            </w:pPr>
            <w:r w:rsidRPr="00634E4C">
              <w:rPr>
                <w:rFonts w:asciiTheme="majorHAnsi" w:hAnsiTheme="majorHAnsi"/>
                <w:b/>
                <w:color w:val="000000"/>
                <w:sz w:val="16"/>
              </w:rPr>
              <w:t>14146</w:t>
            </w:r>
          </w:p>
        </w:tc>
        <w:tc>
          <w:tcPr>
            <w:tcW w:w="650" w:type="dxa"/>
            <w:tcBorders>
              <w:top w:val="single" w:sz="2" w:space="0" w:color="000000"/>
              <w:left w:val="single" w:sz="2" w:space="0" w:color="000000"/>
              <w:bottom w:val="single" w:sz="2" w:space="0" w:color="000000"/>
              <w:right w:val="single" w:sz="2" w:space="0" w:color="000000"/>
            </w:tcBorders>
            <w:vAlign w:val="bottom"/>
          </w:tcPr>
          <w:p w14:paraId="0C79A2F7" w14:textId="77777777" w:rsidR="00833524" w:rsidRPr="00634E4C" w:rsidRDefault="00833524" w:rsidP="00E56269">
            <w:pPr>
              <w:spacing w:line="259" w:lineRule="auto"/>
              <w:ind w:left="106"/>
              <w:jc w:val="center"/>
              <w:rPr>
                <w:rFonts w:asciiTheme="majorHAnsi" w:hAnsiTheme="majorHAnsi"/>
                <w:b/>
                <w:color w:val="000000"/>
                <w:sz w:val="16"/>
              </w:rPr>
            </w:pPr>
            <w:r w:rsidRPr="00634E4C">
              <w:rPr>
                <w:rFonts w:asciiTheme="majorHAnsi" w:hAnsiTheme="majorHAnsi"/>
                <w:b/>
                <w:color w:val="000000"/>
                <w:sz w:val="16"/>
              </w:rPr>
              <w:t>14260</w:t>
            </w:r>
          </w:p>
        </w:tc>
      </w:tr>
      <w:tr w:rsidR="00833524" w:rsidRPr="00364545" w14:paraId="7499B2ED" w14:textId="77777777" w:rsidTr="00E56269">
        <w:trPr>
          <w:trHeight w:val="344"/>
        </w:trPr>
        <w:tc>
          <w:tcPr>
            <w:tcW w:w="1114" w:type="dxa"/>
            <w:tcBorders>
              <w:top w:val="single" w:sz="2" w:space="0" w:color="000000"/>
              <w:left w:val="single" w:sz="2" w:space="0" w:color="000000"/>
              <w:bottom w:val="single" w:sz="2" w:space="0" w:color="000000"/>
              <w:right w:val="single" w:sz="2" w:space="0" w:color="000000"/>
            </w:tcBorders>
            <w:shd w:val="clear" w:color="auto" w:fill="ECE6E2"/>
          </w:tcPr>
          <w:p w14:paraId="53F269B8" w14:textId="77777777" w:rsidR="00833524" w:rsidRPr="00364545" w:rsidRDefault="00833524" w:rsidP="00E56269">
            <w:pPr>
              <w:spacing w:line="259" w:lineRule="auto"/>
            </w:pPr>
            <w:r w:rsidRPr="00364545">
              <w:rPr>
                <w:b/>
                <w:sz w:val="18"/>
              </w:rPr>
              <w:t xml:space="preserve">Ensemble (hors UTCF) </w:t>
            </w:r>
          </w:p>
        </w:tc>
        <w:tc>
          <w:tcPr>
            <w:tcW w:w="80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5CE8B3E" w14:textId="77777777" w:rsidR="00833524" w:rsidRPr="00634E4C" w:rsidRDefault="00833524" w:rsidP="00E56269">
            <w:pPr>
              <w:spacing w:line="259" w:lineRule="auto"/>
              <w:ind w:left="106"/>
              <w:rPr>
                <w:rFonts w:asciiTheme="majorHAnsi" w:hAnsiTheme="majorHAnsi"/>
                <w:sz w:val="16"/>
              </w:rPr>
            </w:pPr>
            <w:r w:rsidRPr="00944589">
              <w:rPr>
                <w:rFonts w:asciiTheme="majorHAnsi" w:hAnsiTheme="majorHAnsi"/>
                <w:sz w:val="16"/>
                <w:szCs w:val="16"/>
              </w:rPr>
              <w:t>69161</w:t>
            </w:r>
          </w:p>
        </w:tc>
        <w:tc>
          <w:tcPr>
            <w:tcW w:w="78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FC0835F"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70383</w:t>
            </w:r>
          </w:p>
        </w:tc>
        <w:tc>
          <w:tcPr>
            <w:tcW w:w="77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77C8FAF"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68603</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0A0DA94"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63632</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5EE4DD6"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61663</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22CDE10"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57862</w:t>
            </w:r>
          </w:p>
        </w:tc>
        <w:tc>
          <w:tcPr>
            <w:tcW w:w="8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E4FE50D"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55740</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A130A61"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55161</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781D906"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53575</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6F6DFB"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52448</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CDB15DE"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51719</w:t>
            </w:r>
          </w:p>
        </w:tc>
        <w:tc>
          <w:tcPr>
            <w:tcW w:w="6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E2BDD6"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51050</w:t>
            </w:r>
          </w:p>
        </w:tc>
      </w:tr>
      <w:tr w:rsidR="00833524" w:rsidRPr="00364545" w14:paraId="7438898C" w14:textId="77777777" w:rsidTr="00E56269">
        <w:trPr>
          <w:trHeight w:val="346"/>
        </w:trPr>
        <w:tc>
          <w:tcPr>
            <w:tcW w:w="1114" w:type="dxa"/>
            <w:tcBorders>
              <w:top w:val="single" w:sz="2" w:space="0" w:color="000000"/>
              <w:left w:val="single" w:sz="2" w:space="0" w:color="000000"/>
              <w:bottom w:val="single" w:sz="2" w:space="0" w:color="000000"/>
              <w:right w:val="single" w:sz="2" w:space="0" w:color="000000"/>
            </w:tcBorders>
          </w:tcPr>
          <w:p w14:paraId="4772156C" w14:textId="77777777" w:rsidR="00833524" w:rsidRPr="00364545" w:rsidRDefault="00833524" w:rsidP="00E56269">
            <w:pPr>
              <w:spacing w:line="259" w:lineRule="auto"/>
            </w:pPr>
            <w:r w:rsidRPr="00364545">
              <w:rPr>
                <w:b/>
                <w:sz w:val="18"/>
              </w:rPr>
              <w:t xml:space="preserve">Ensemble (avec UTCF) </w:t>
            </w:r>
          </w:p>
        </w:tc>
        <w:tc>
          <w:tcPr>
            <w:tcW w:w="803" w:type="dxa"/>
            <w:tcBorders>
              <w:top w:val="single" w:sz="2" w:space="0" w:color="000000"/>
              <w:left w:val="single" w:sz="2" w:space="0" w:color="000000"/>
              <w:bottom w:val="single" w:sz="2" w:space="0" w:color="000000"/>
              <w:right w:val="single" w:sz="2" w:space="0" w:color="000000"/>
            </w:tcBorders>
            <w:vAlign w:val="bottom"/>
          </w:tcPr>
          <w:p w14:paraId="7EACBCA7" w14:textId="77777777" w:rsidR="00833524" w:rsidRPr="00634E4C" w:rsidRDefault="00833524" w:rsidP="00E56269">
            <w:pPr>
              <w:spacing w:line="259" w:lineRule="auto"/>
              <w:ind w:left="106"/>
              <w:rPr>
                <w:rFonts w:asciiTheme="majorHAnsi" w:hAnsiTheme="majorHAnsi"/>
                <w:sz w:val="16"/>
              </w:rPr>
            </w:pPr>
            <w:r w:rsidRPr="00944589">
              <w:rPr>
                <w:rFonts w:asciiTheme="majorHAnsi" w:hAnsiTheme="majorHAnsi"/>
                <w:sz w:val="16"/>
                <w:szCs w:val="16"/>
              </w:rPr>
              <w:t>70094</w:t>
            </w:r>
          </w:p>
        </w:tc>
        <w:tc>
          <w:tcPr>
            <w:tcW w:w="780" w:type="dxa"/>
            <w:tcBorders>
              <w:top w:val="single" w:sz="2" w:space="0" w:color="000000"/>
              <w:left w:val="single" w:sz="2" w:space="0" w:color="000000"/>
              <w:bottom w:val="single" w:sz="2" w:space="0" w:color="000000"/>
              <w:right w:val="single" w:sz="2" w:space="0" w:color="000000"/>
            </w:tcBorders>
            <w:vAlign w:val="bottom"/>
          </w:tcPr>
          <w:p w14:paraId="43CE4C80"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74053</w:t>
            </w:r>
          </w:p>
        </w:tc>
        <w:tc>
          <w:tcPr>
            <w:tcW w:w="779" w:type="dxa"/>
            <w:tcBorders>
              <w:top w:val="single" w:sz="2" w:space="0" w:color="000000"/>
              <w:left w:val="single" w:sz="2" w:space="0" w:color="000000"/>
              <w:bottom w:val="single" w:sz="2" w:space="0" w:color="000000"/>
              <w:right w:val="single" w:sz="2" w:space="0" w:color="000000"/>
            </w:tcBorders>
            <w:vAlign w:val="bottom"/>
          </w:tcPr>
          <w:p w14:paraId="5C59B1D3"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70296</w:t>
            </w:r>
          </w:p>
        </w:tc>
        <w:tc>
          <w:tcPr>
            <w:tcW w:w="802" w:type="dxa"/>
            <w:tcBorders>
              <w:top w:val="single" w:sz="2" w:space="0" w:color="000000"/>
              <w:left w:val="single" w:sz="2" w:space="0" w:color="000000"/>
              <w:bottom w:val="single" w:sz="2" w:space="0" w:color="000000"/>
              <w:right w:val="single" w:sz="2" w:space="0" w:color="000000"/>
            </w:tcBorders>
            <w:vAlign w:val="bottom"/>
          </w:tcPr>
          <w:p w14:paraId="7807D7FF"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64820</w:t>
            </w:r>
          </w:p>
        </w:tc>
        <w:tc>
          <w:tcPr>
            <w:tcW w:w="802" w:type="dxa"/>
            <w:tcBorders>
              <w:top w:val="single" w:sz="2" w:space="0" w:color="000000"/>
              <w:left w:val="single" w:sz="2" w:space="0" w:color="000000"/>
              <w:bottom w:val="single" w:sz="2" w:space="0" w:color="000000"/>
              <w:right w:val="single" w:sz="2" w:space="0" w:color="000000"/>
            </w:tcBorders>
            <w:vAlign w:val="bottom"/>
          </w:tcPr>
          <w:p w14:paraId="5FF64480"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62793</w:t>
            </w:r>
          </w:p>
        </w:tc>
        <w:tc>
          <w:tcPr>
            <w:tcW w:w="802" w:type="dxa"/>
            <w:tcBorders>
              <w:top w:val="single" w:sz="2" w:space="0" w:color="000000"/>
              <w:left w:val="single" w:sz="2" w:space="0" w:color="000000"/>
              <w:bottom w:val="single" w:sz="2" w:space="0" w:color="000000"/>
              <w:right w:val="single" w:sz="2" w:space="0" w:color="000000"/>
            </w:tcBorders>
            <w:vAlign w:val="bottom"/>
          </w:tcPr>
          <w:p w14:paraId="05AECDE0"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58940</w:t>
            </w:r>
          </w:p>
        </w:tc>
        <w:tc>
          <w:tcPr>
            <w:tcW w:w="802" w:type="dxa"/>
            <w:tcBorders>
              <w:top w:val="single" w:sz="2" w:space="0" w:color="000000"/>
              <w:left w:val="single" w:sz="2" w:space="0" w:color="000000"/>
              <w:bottom w:val="single" w:sz="2" w:space="0" w:color="000000"/>
              <w:right w:val="single" w:sz="2" w:space="0" w:color="000000"/>
            </w:tcBorders>
            <w:vAlign w:val="bottom"/>
          </w:tcPr>
          <w:p w14:paraId="1E1CC904" w14:textId="77777777" w:rsidR="00833524" w:rsidRPr="00634E4C" w:rsidRDefault="00833524" w:rsidP="00E56269">
            <w:pPr>
              <w:spacing w:line="259" w:lineRule="auto"/>
              <w:ind w:left="106"/>
              <w:rPr>
                <w:rFonts w:asciiTheme="majorHAnsi" w:hAnsiTheme="majorHAnsi"/>
                <w:b/>
                <w:color w:val="000000"/>
                <w:sz w:val="16"/>
              </w:rPr>
            </w:pPr>
            <w:r w:rsidRPr="00944589">
              <w:rPr>
                <w:rFonts w:asciiTheme="majorHAnsi" w:hAnsiTheme="majorHAnsi"/>
                <w:sz w:val="16"/>
                <w:szCs w:val="16"/>
              </w:rPr>
              <w:t>56877</w:t>
            </w:r>
          </w:p>
        </w:tc>
        <w:tc>
          <w:tcPr>
            <w:tcW w:w="650" w:type="dxa"/>
            <w:tcBorders>
              <w:top w:val="single" w:sz="2" w:space="0" w:color="000000"/>
              <w:left w:val="single" w:sz="2" w:space="0" w:color="000000"/>
              <w:bottom w:val="single" w:sz="2" w:space="0" w:color="000000"/>
              <w:right w:val="single" w:sz="2" w:space="0" w:color="000000"/>
            </w:tcBorders>
            <w:vAlign w:val="bottom"/>
          </w:tcPr>
          <w:p w14:paraId="51587299"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56289</w:t>
            </w:r>
          </w:p>
        </w:tc>
        <w:tc>
          <w:tcPr>
            <w:tcW w:w="650" w:type="dxa"/>
            <w:tcBorders>
              <w:top w:val="single" w:sz="2" w:space="0" w:color="000000"/>
              <w:left w:val="single" w:sz="2" w:space="0" w:color="000000"/>
              <w:bottom w:val="single" w:sz="2" w:space="0" w:color="000000"/>
              <w:right w:val="single" w:sz="2" w:space="0" w:color="000000"/>
            </w:tcBorders>
            <w:vAlign w:val="bottom"/>
          </w:tcPr>
          <w:p w14:paraId="493130BF"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54702</w:t>
            </w:r>
          </w:p>
        </w:tc>
        <w:tc>
          <w:tcPr>
            <w:tcW w:w="650" w:type="dxa"/>
            <w:tcBorders>
              <w:top w:val="single" w:sz="2" w:space="0" w:color="000000"/>
              <w:left w:val="single" w:sz="2" w:space="0" w:color="000000"/>
              <w:bottom w:val="single" w:sz="2" w:space="0" w:color="000000"/>
              <w:right w:val="single" w:sz="2" w:space="0" w:color="000000"/>
            </w:tcBorders>
            <w:vAlign w:val="bottom"/>
          </w:tcPr>
          <w:p w14:paraId="7F27EF11"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53575</w:t>
            </w:r>
          </w:p>
        </w:tc>
        <w:tc>
          <w:tcPr>
            <w:tcW w:w="650" w:type="dxa"/>
            <w:tcBorders>
              <w:top w:val="single" w:sz="2" w:space="0" w:color="000000"/>
              <w:left w:val="single" w:sz="2" w:space="0" w:color="000000"/>
              <w:bottom w:val="single" w:sz="2" w:space="0" w:color="000000"/>
              <w:right w:val="single" w:sz="2" w:space="0" w:color="000000"/>
            </w:tcBorders>
            <w:vAlign w:val="bottom"/>
          </w:tcPr>
          <w:p w14:paraId="3A0B5DA8"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52846</w:t>
            </w:r>
          </w:p>
        </w:tc>
        <w:tc>
          <w:tcPr>
            <w:tcW w:w="650" w:type="dxa"/>
            <w:tcBorders>
              <w:top w:val="single" w:sz="2" w:space="0" w:color="000000"/>
              <w:left w:val="single" w:sz="2" w:space="0" w:color="000000"/>
              <w:bottom w:val="single" w:sz="2" w:space="0" w:color="000000"/>
              <w:right w:val="single" w:sz="2" w:space="0" w:color="000000"/>
            </w:tcBorders>
            <w:vAlign w:val="bottom"/>
          </w:tcPr>
          <w:p w14:paraId="6114C0E2" w14:textId="77777777" w:rsidR="00833524" w:rsidRPr="00634E4C" w:rsidRDefault="00833524" w:rsidP="00E56269">
            <w:pPr>
              <w:spacing w:line="259" w:lineRule="auto"/>
              <w:ind w:left="106"/>
              <w:rPr>
                <w:rFonts w:asciiTheme="majorHAnsi" w:hAnsiTheme="majorHAnsi"/>
                <w:b/>
                <w:color w:val="000000"/>
                <w:sz w:val="16"/>
              </w:rPr>
            </w:pPr>
            <w:r w:rsidRPr="00634E4C">
              <w:rPr>
                <w:rFonts w:asciiTheme="majorHAnsi" w:hAnsiTheme="majorHAnsi"/>
                <w:b/>
                <w:color w:val="000000"/>
                <w:sz w:val="16"/>
              </w:rPr>
              <w:t>52177</w:t>
            </w:r>
          </w:p>
        </w:tc>
      </w:tr>
    </w:tbl>
    <w:p w14:paraId="3801ABD5" w14:textId="314EBC06" w:rsidR="00833524" w:rsidRPr="00364545" w:rsidRDefault="00833524" w:rsidP="00833524">
      <w:pPr>
        <w:pStyle w:val="Caption"/>
      </w:pPr>
      <w:r w:rsidRPr="00364545">
        <w:t>Table</w:t>
      </w:r>
      <w:fldSimple w:instr=" SEQ Tableau \* ARABIC ">
        <w:r w:rsidR="009A2FAA">
          <w:rPr>
            <w:noProof/>
          </w:rPr>
          <w:t>20</w:t>
        </w:r>
      </w:fldSimple>
      <w:r w:rsidRPr="00364545">
        <w:t>: CH</w:t>
      </w:r>
      <w:r w:rsidRPr="00364545">
        <w:rPr>
          <w:vertAlign w:val="subscript"/>
        </w:rPr>
        <w:t>4</w:t>
      </w:r>
      <w:r w:rsidRPr="00364545">
        <w:t xml:space="preserve"> emissions projections (in ktCO</w:t>
      </w:r>
      <w:r w:rsidRPr="00364545">
        <w:rPr>
          <w:vertAlign w:val="subscript"/>
        </w:rPr>
        <w:t>2e</w:t>
      </w:r>
      <w:r w:rsidRPr="00364545">
        <w:t>) in the Kyoto scope in the AME 2021 scenario (with existing measures)</w:t>
      </w:r>
    </w:p>
    <w:p w14:paraId="3329DA7A" w14:textId="77777777" w:rsidR="00833524" w:rsidRPr="00364545" w:rsidRDefault="00833524" w:rsidP="00833524">
      <w:pPr>
        <w:pStyle w:val="Caption"/>
      </w:pPr>
      <w:r w:rsidRPr="00364545">
        <w:t>Source: UNFCCC inventory, Citepa/MTES, 202</w:t>
      </w:r>
      <w:r>
        <w:t>2</w:t>
      </w:r>
      <w:r w:rsidRPr="00364545">
        <w:t xml:space="preserve"> submission and MTES emission projections, 2021</w:t>
      </w:r>
    </w:p>
    <w:p w14:paraId="67AF5AD3" w14:textId="77777777" w:rsidR="00833524" w:rsidRPr="00364545" w:rsidRDefault="00833524" w:rsidP="00833524"/>
    <w:p w14:paraId="4D3C4F0E" w14:textId="77777777" w:rsidR="00833524" w:rsidRPr="00364545" w:rsidRDefault="00833524" w:rsidP="00833524"/>
    <w:tbl>
      <w:tblPr>
        <w:tblStyle w:val="TableGrid0"/>
        <w:tblW w:w="9934" w:type="dxa"/>
        <w:tblInd w:w="10" w:type="dxa"/>
        <w:tblCellMar>
          <w:top w:w="39" w:type="dxa"/>
          <w:left w:w="28" w:type="dxa"/>
          <w:bottom w:w="2" w:type="dxa"/>
        </w:tblCellMar>
        <w:tblLook w:val="04A0" w:firstRow="1" w:lastRow="0" w:firstColumn="1" w:lastColumn="0" w:noHBand="0" w:noVBand="1"/>
      </w:tblPr>
      <w:tblGrid>
        <w:gridCol w:w="1547"/>
        <w:gridCol w:w="698"/>
        <w:gridCol w:w="699"/>
        <w:gridCol w:w="699"/>
        <w:gridCol w:w="699"/>
        <w:gridCol w:w="699"/>
        <w:gridCol w:w="699"/>
        <w:gridCol w:w="699"/>
        <w:gridCol w:w="699"/>
        <w:gridCol w:w="699"/>
        <w:gridCol w:w="699"/>
        <w:gridCol w:w="699"/>
        <w:gridCol w:w="699"/>
      </w:tblGrid>
      <w:tr w:rsidR="00833524" w:rsidRPr="00364545" w14:paraId="371689DD" w14:textId="77777777" w:rsidTr="00E56269">
        <w:trPr>
          <w:trHeight w:val="460"/>
        </w:trPr>
        <w:tc>
          <w:tcPr>
            <w:tcW w:w="1547"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DB1B656" w14:textId="77777777" w:rsidR="00833524" w:rsidRPr="00364545" w:rsidRDefault="00833524" w:rsidP="00E56269">
            <w:pPr>
              <w:spacing w:line="259" w:lineRule="auto"/>
            </w:pPr>
            <w:r w:rsidRPr="00364545">
              <w:t>AME 21 – N</w:t>
            </w:r>
            <w:r w:rsidRPr="00364545">
              <w:rPr>
                <w:vertAlign w:val="subscript"/>
              </w:rPr>
              <w:t>2</w:t>
            </w:r>
            <w:r w:rsidRPr="00364545">
              <w:t xml:space="preserve">O </w:t>
            </w:r>
          </w:p>
        </w:tc>
        <w:tc>
          <w:tcPr>
            <w:tcW w:w="69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5ACCA72" w14:textId="77777777" w:rsidR="00833524" w:rsidRPr="00364545" w:rsidRDefault="00833524" w:rsidP="00E56269">
            <w:pPr>
              <w:spacing w:line="259" w:lineRule="auto"/>
              <w:ind w:right="30"/>
              <w:jc w:val="center"/>
            </w:pPr>
            <w:r w:rsidRPr="00364545">
              <w:rPr>
                <w:b/>
                <w:color w:val="FFFFFF"/>
                <w:sz w:val="18"/>
              </w:rPr>
              <w:t>1990</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0DF6304" w14:textId="77777777" w:rsidR="00833524" w:rsidRPr="00364545" w:rsidRDefault="00833524" w:rsidP="00E56269">
            <w:pPr>
              <w:spacing w:line="259" w:lineRule="auto"/>
              <w:ind w:right="30"/>
              <w:jc w:val="center"/>
              <w:rPr>
                <w:b/>
                <w:color w:val="FFFFFF"/>
                <w:sz w:val="18"/>
              </w:rPr>
            </w:pPr>
            <w:r w:rsidRPr="00364545">
              <w:rPr>
                <w:b/>
                <w:color w:val="FFFFFF"/>
                <w:sz w:val="18"/>
              </w:rPr>
              <w:t>1995</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4E63DA2" w14:textId="77777777" w:rsidR="00833524" w:rsidRPr="00364545" w:rsidRDefault="00833524" w:rsidP="00E56269">
            <w:pPr>
              <w:spacing w:line="259" w:lineRule="auto"/>
              <w:ind w:right="30"/>
              <w:jc w:val="center"/>
              <w:rPr>
                <w:b/>
                <w:color w:val="FFFFFF"/>
                <w:sz w:val="18"/>
              </w:rPr>
            </w:pPr>
            <w:r w:rsidRPr="00364545">
              <w:rPr>
                <w:b/>
                <w:color w:val="FFFFFF"/>
                <w:sz w:val="18"/>
              </w:rPr>
              <w:t>2000</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FD75DFE" w14:textId="77777777" w:rsidR="00833524" w:rsidRPr="00364545" w:rsidRDefault="00833524" w:rsidP="00E56269">
            <w:pPr>
              <w:spacing w:line="259" w:lineRule="auto"/>
              <w:ind w:right="30"/>
              <w:jc w:val="center"/>
              <w:rPr>
                <w:b/>
                <w:color w:val="FFFFFF"/>
                <w:sz w:val="18"/>
              </w:rPr>
            </w:pPr>
            <w:r w:rsidRPr="00364545">
              <w:rPr>
                <w:b/>
                <w:color w:val="FFFFFF"/>
                <w:sz w:val="18"/>
              </w:rPr>
              <w:t>2005</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43DD9ED" w14:textId="77777777" w:rsidR="00833524" w:rsidRPr="00364545" w:rsidRDefault="00833524" w:rsidP="00E56269">
            <w:pPr>
              <w:spacing w:line="259" w:lineRule="auto"/>
              <w:ind w:right="30"/>
              <w:jc w:val="center"/>
              <w:rPr>
                <w:b/>
                <w:color w:val="FFFFFF"/>
                <w:sz w:val="18"/>
              </w:rPr>
            </w:pPr>
            <w:r w:rsidRPr="00364545">
              <w:rPr>
                <w:b/>
                <w:color w:val="FFFFFF"/>
                <w:sz w:val="18"/>
              </w:rPr>
              <w:t>2010</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3DE2E4B" w14:textId="77777777" w:rsidR="00833524" w:rsidRPr="00364545" w:rsidRDefault="00833524" w:rsidP="00E56269">
            <w:pPr>
              <w:spacing w:line="259" w:lineRule="auto"/>
              <w:ind w:right="30"/>
              <w:jc w:val="center"/>
              <w:rPr>
                <w:b/>
                <w:color w:val="FFFFFF"/>
                <w:sz w:val="18"/>
              </w:rPr>
            </w:pPr>
            <w:r w:rsidRPr="00364545">
              <w:rPr>
                <w:b/>
                <w:color w:val="FFFFFF"/>
                <w:sz w:val="18"/>
              </w:rPr>
              <w:t>2015</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DA2BAE1" w14:textId="77777777" w:rsidR="00833524" w:rsidRPr="00364545" w:rsidRDefault="00833524" w:rsidP="00E56269">
            <w:pPr>
              <w:spacing w:line="259" w:lineRule="auto"/>
              <w:ind w:right="30"/>
              <w:jc w:val="center"/>
              <w:rPr>
                <w:b/>
                <w:color w:val="FFFFFF"/>
                <w:sz w:val="18"/>
              </w:rPr>
            </w:pPr>
            <w:r w:rsidRPr="00364545">
              <w:rPr>
                <w:b/>
                <w:color w:val="FFFFFF"/>
                <w:sz w:val="18"/>
              </w:rPr>
              <w:t>2019</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6E81618" w14:textId="77777777" w:rsidR="00833524" w:rsidRPr="00364545" w:rsidRDefault="00833524" w:rsidP="00E56269">
            <w:pPr>
              <w:spacing w:line="259" w:lineRule="auto"/>
              <w:ind w:right="30"/>
              <w:jc w:val="center"/>
              <w:rPr>
                <w:b/>
                <w:color w:val="FFFFFF"/>
                <w:sz w:val="18"/>
              </w:rPr>
            </w:pPr>
            <w:r w:rsidRPr="00364545">
              <w:rPr>
                <w:b/>
                <w:color w:val="FFFFFF"/>
                <w:sz w:val="18"/>
              </w:rPr>
              <w:t>2020</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0A44DB8" w14:textId="77777777" w:rsidR="00833524" w:rsidRPr="00364545" w:rsidRDefault="00833524" w:rsidP="00E56269">
            <w:pPr>
              <w:spacing w:line="259" w:lineRule="auto"/>
              <w:ind w:right="30"/>
              <w:jc w:val="center"/>
              <w:rPr>
                <w:b/>
                <w:color w:val="FFFFFF"/>
                <w:sz w:val="18"/>
              </w:rPr>
            </w:pPr>
            <w:r w:rsidRPr="00364545">
              <w:rPr>
                <w:b/>
                <w:color w:val="FFFFFF"/>
                <w:sz w:val="18"/>
              </w:rPr>
              <w:t>2025</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A464BC2" w14:textId="77777777" w:rsidR="00833524" w:rsidRPr="00364545" w:rsidRDefault="00833524" w:rsidP="00E56269">
            <w:pPr>
              <w:spacing w:line="259" w:lineRule="auto"/>
              <w:ind w:right="30"/>
              <w:jc w:val="center"/>
              <w:rPr>
                <w:b/>
                <w:color w:val="FFFFFF"/>
                <w:sz w:val="18"/>
              </w:rPr>
            </w:pPr>
            <w:r w:rsidRPr="00364545">
              <w:rPr>
                <w:b/>
                <w:color w:val="FFFFFF"/>
                <w:sz w:val="18"/>
              </w:rPr>
              <w:t>2030</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5D528FE" w14:textId="77777777" w:rsidR="00833524" w:rsidRPr="00364545" w:rsidRDefault="00833524" w:rsidP="00E56269">
            <w:pPr>
              <w:spacing w:line="259" w:lineRule="auto"/>
              <w:ind w:right="30"/>
              <w:jc w:val="center"/>
              <w:rPr>
                <w:b/>
                <w:color w:val="FFFFFF"/>
                <w:sz w:val="18"/>
              </w:rPr>
            </w:pPr>
            <w:r w:rsidRPr="00364545">
              <w:rPr>
                <w:b/>
                <w:color w:val="FFFFFF"/>
                <w:sz w:val="18"/>
              </w:rPr>
              <w:t>2035</w:t>
            </w:r>
          </w:p>
        </w:tc>
        <w:tc>
          <w:tcPr>
            <w:tcW w:w="69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D92781B" w14:textId="77777777" w:rsidR="00833524" w:rsidRPr="00364545" w:rsidRDefault="00833524" w:rsidP="00E56269">
            <w:pPr>
              <w:spacing w:line="259" w:lineRule="auto"/>
              <w:ind w:right="30"/>
              <w:jc w:val="center"/>
              <w:rPr>
                <w:b/>
                <w:color w:val="FFFFFF"/>
                <w:sz w:val="18"/>
              </w:rPr>
            </w:pPr>
            <w:r w:rsidRPr="00364545">
              <w:rPr>
                <w:b/>
                <w:color w:val="FFFFFF"/>
                <w:sz w:val="18"/>
              </w:rPr>
              <w:t>2050</w:t>
            </w:r>
          </w:p>
        </w:tc>
      </w:tr>
      <w:tr w:rsidR="00833524" w:rsidRPr="00364545" w14:paraId="495FC608" w14:textId="77777777" w:rsidTr="00E56269">
        <w:trPr>
          <w:trHeight w:val="344"/>
        </w:trPr>
        <w:tc>
          <w:tcPr>
            <w:tcW w:w="1547" w:type="dxa"/>
            <w:tcBorders>
              <w:top w:val="single" w:sz="2" w:space="0" w:color="000000"/>
              <w:left w:val="single" w:sz="2" w:space="0" w:color="000000"/>
              <w:bottom w:val="single" w:sz="2" w:space="0" w:color="000000"/>
              <w:right w:val="single" w:sz="2" w:space="0" w:color="000000"/>
            </w:tcBorders>
          </w:tcPr>
          <w:p w14:paraId="76B3A5E5" w14:textId="77777777" w:rsidR="00833524" w:rsidRPr="00364545" w:rsidRDefault="00833524" w:rsidP="00E56269">
            <w:pPr>
              <w:spacing w:line="259" w:lineRule="auto"/>
            </w:pPr>
            <w:r w:rsidRPr="00364545">
              <w:rPr>
                <w:sz w:val="18"/>
              </w:rPr>
              <w:t xml:space="preserve">Energy </w:t>
            </w:r>
          </w:p>
        </w:tc>
        <w:tc>
          <w:tcPr>
            <w:tcW w:w="698" w:type="dxa"/>
            <w:tcBorders>
              <w:top w:val="single" w:sz="2" w:space="0" w:color="000000"/>
              <w:left w:val="single" w:sz="2" w:space="0" w:color="000000"/>
              <w:bottom w:val="single" w:sz="2" w:space="0" w:color="000000"/>
              <w:right w:val="single" w:sz="2" w:space="0" w:color="000000"/>
            </w:tcBorders>
            <w:vAlign w:val="center"/>
          </w:tcPr>
          <w:p w14:paraId="64F02E63" w14:textId="77777777" w:rsidR="00833524" w:rsidRPr="00634E4C" w:rsidRDefault="00833524" w:rsidP="00E56269">
            <w:pPr>
              <w:spacing w:line="259" w:lineRule="auto"/>
              <w:ind w:right="28"/>
              <w:jc w:val="center"/>
              <w:rPr>
                <w:rFonts w:asciiTheme="majorHAnsi" w:hAnsiTheme="majorHAnsi"/>
                <w:sz w:val="18"/>
              </w:rPr>
            </w:pPr>
            <w:r w:rsidRPr="005D0955">
              <w:rPr>
                <w:rFonts w:asciiTheme="majorHAnsi" w:hAnsiTheme="majorHAnsi"/>
                <w:sz w:val="18"/>
                <w:szCs w:val="18"/>
              </w:rPr>
              <w:t>3433</w:t>
            </w:r>
          </w:p>
        </w:tc>
        <w:tc>
          <w:tcPr>
            <w:tcW w:w="699" w:type="dxa"/>
            <w:tcBorders>
              <w:top w:val="single" w:sz="2" w:space="0" w:color="000000"/>
              <w:left w:val="single" w:sz="2" w:space="0" w:color="000000"/>
              <w:bottom w:val="single" w:sz="2" w:space="0" w:color="000000"/>
              <w:right w:val="single" w:sz="2" w:space="0" w:color="000000"/>
            </w:tcBorders>
            <w:vAlign w:val="center"/>
          </w:tcPr>
          <w:p w14:paraId="6D3070E4"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4046</w:t>
            </w:r>
          </w:p>
        </w:tc>
        <w:tc>
          <w:tcPr>
            <w:tcW w:w="699" w:type="dxa"/>
            <w:tcBorders>
              <w:top w:val="single" w:sz="2" w:space="0" w:color="000000"/>
              <w:left w:val="single" w:sz="2" w:space="0" w:color="000000"/>
              <w:bottom w:val="single" w:sz="2" w:space="0" w:color="000000"/>
              <w:right w:val="single" w:sz="2" w:space="0" w:color="000000"/>
            </w:tcBorders>
            <w:vAlign w:val="center"/>
          </w:tcPr>
          <w:p w14:paraId="7667CE5D"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3900</w:t>
            </w:r>
          </w:p>
        </w:tc>
        <w:tc>
          <w:tcPr>
            <w:tcW w:w="699" w:type="dxa"/>
            <w:tcBorders>
              <w:top w:val="single" w:sz="2" w:space="0" w:color="000000"/>
              <w:left w:val="single" w:sz="2" w:space="0" w:color="000000"/>
              <w:bottom w:val="single" w:sz="2" w:space="0" w:color="000000"/>
              <w:right w:val="single" w:sz="2" w:space="0" w:color="000000"/>
            </w:tcBorders>
            <w:vAlign w:val="center"/>
          </w:tcPr>
          <w:p w14:paraId="0764C996"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4183</w:t>
            </w:r>
          </w:p>
        </w:tc>
        <w:tc>
          <w:tcPr>
            <w:tcW w:w="699" w:type="dxa"/>
            <w:tcBorders>
              <w:top w:val="single" w:sz="2" w:space="0" w:color="000000"/>
              <w:left w:val="single" w:sz="2" w:space="0" w:color="000000"/>
              <w:bottom w:val="single" w:sz="2" w:space="0" w:color="000000"/>
              <w:right w:val="single" w:sz="2" w:space="0" w:color="000000"/>
            </w:tcBorders>
            <w:vAlign w:val="center"/>
          </w:tcPr>
          <w:p w14:paraId="40964673"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3638</w:t>
            </w:r>
          </w:p>
        </w:tc>
        <w:tc>
          <w:tcPr>
            <w:tcW w:w="699" w:type="dxa"/>
            <w:tcBorders>
              <w:top w:val="single" w:sz="2" w:space="0" w:color="000000"/>
              <w:left w:val="single" w:sz="2" w:space="0" w:color="000000"/>
              <w:bottom w:val="single" w:sz="2" w:space="0" w:color="000000"/>
              <w:right w:val="single" w:sz="2" w:space="0" w:color="000000"/>
            </w:tcBorders>
            <w:vAlign w:val="center"/>
          </w:tcPr>
          <w:p w14:paraId="60198424"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3731</w:t>
            </w:r>
          </w:p>
        </w:tc>
        <w:tc>
          <w:tcPr>
            <w:tcW w:w="699" w:type="dxa"/>
            <w:tcBorders>
              <w:top w:val="single" w:sz="2" w:space="0" w:color="000000"/>
              <w:left w:val="single" w:sz="2" w:space="0" w:color="000000"/>
              <w:bottom w:val="single" w:sz="2" w:space="0" w:color="000000"/>
              <w:right w:val="single" w:sz="2" w:space="0" w:color="000000"/>
            </w:tcBorders>
            <w:vAlign w:val="center"/>
          </w:tcPr>
          <w:p w14:paraId="4DEF352A"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3537</w:t>
            </w:r>
          </w:p>
        </w:tc>
        <w:tc>
          <w:tcPr>
            <w:tcW w:w="699" w:type="dxa"/>
            <w:tcBorders>
              <w:top w:val="single" w:sz="2" w:space="0" w:color="000000"/>
              <w:left w:val="single" w:sz="2" w:space="0" w:color="000000"/>
              <w:bottom w:val="single" w:sz="2" w:space="0" w:color="000000"/>
              <w:right w:val="single" w:sz="2" w:space="0" w:color="000000"/>
            </w:tcBorders>
            <w:vAlign w:val="center"/>
          </w:tcPr>
          <w:p w14:paraId="6CD76F29"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3072</w:t>
            </w:r>
          </w:p>
        </w:tc>
        <w:tc>
          <w:tcPr>
            <w:tcW w:w="699" w:type="dxa"/>
            <w:tcBorders>
              <w:top w:val="single" w:sz="2" w:space="0" w:color="000000"/>
              <w:left w:val="single" w:sz="2" w:space="0" w:color="000000"/>
              <w:bottom w:val="single" w:sz="2" w:space="0" w:color="000000"/>
              <w:right w:val="single" w:sz="2" w:space="0" w:color="000000"/>
            </w:tcBorders>
            <w:vAlign w:val="center"/>
          </w:tcPr>
          <w:p w14:paraId="1FD06F1C"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2933</w:t>
            </w:r>
          </w:p>
        </w:tc>
        <w:tc>
          <w:tcPr>
            <w:tcW w:w="699" w:type="dxa"/>
            <w:tcBorders>
              <w:top w:val="single" w:sz="2" w:space="0" w:color="000000"/>
              <w:left w:val="single" w:sz="2" w:space="0" w:color="000000"/>
              <w:bottom w:val="single" w:sz="2" w:space="0" w:color="000000"/>
              <w:right w:val="single" w:sz="2" w:space="0" w:color="000000"/>
            </w:tcBorders>
            <w:vAlign w:val="center"/>
          </w:tcPr>
          <w:p w14:paraId="1A43385A"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2611</w:t>
            </w:r>
          </w:p>
        </w:tc>
        <w:tc>
          <w:tcPr>
            <w:tcW w:w="699" w:type="dxa"/>
            <w:tcBorders>
              <w:top w:val="single" w:sz="2" w:space="0" w:color="000000"/>
              <w:left w:val="single" w:sz="2" w:space="0" w:color="000000"/>
              <w:bottom w:val="single" w:sz="2" w:space="0" w:color="000000"/>
              <w:right w:val="single" w:sz="2" w:space="0" w:color="000000"/>
            </w:tcBorders>
            <w:vAlign w:val="center"/>
          </w:tcPr>
          <w:p w14:paraId="1FD58A7F"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2495</w:t>
            </w:r>
          </w:p>
        </w:tc>
        <w:tc>
          <w:tcPr>
            <w:tcW w:w="699" w:type="dxa"/>
            <w:tcBorders>
              <w:top w:val="single" w:sz="2" w:space="0" w:color="000000"/>
              <w:left w:val="single" w:sz="2" w:space="0" w:color="000000"/>
              <w:bottom w:val="single" w:sz="2" w:space="0" w:color="000000"/>
              <w:right w:val="single" w:sz="2" w:space="0" w:color="000000"/>
            </w:tcBorders>
            <w:vAlign w:val="center"/>
          </w:tcPr>
          <w:p w14:paraId="5E2EEDA5"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2281</w:t>
            </w:r>
          </w:p>
        </w:tc>
      </w:tr>
      <w:tr w:rsidR="00833524" w:rsidRPr="00364545" w14:paraId="4627D9E7" w14:textId="77777777" w:rsidTr="00E56269">
        <w:trPr>
          <w:trHeight w:val="419"/>
        </w:trPr>
        <w:tc>
          <w:tcPr>
            <w:tcW w:w="1547" w:type="dxa"/>
            <w:tcBorders>
              <w:top w:val="single" w:sz="2" w:space="0" w:color="000000"/>
              <w:left w:val="single" w:sz="2" w:space="0" w:color="000000"/>
              <w:bottom w:val="single" w:sz="2" w:space="0" w:color="000000"/>
              <w:right w:val="single" w:sz="2" w:space="0" w:color="000000"/>
            </w:tcBorders>
            <w:shd w:val="clear" w:color="auto" w:fill="ECE6E2"/>
          </w:tcPr>
          <w:p w14:paraId="7A3CFABE" w14:textId="77777777" w:rsidR="00833524" w:rsidRPr="00364545" w:rsidRDefault="00833524" w:rsidP="00E56269">
            <w:pPr>
              <w:spacing w:line="259" w:lineRule="auto"/>
            </w:pPr>
            <w:r w:rsidRPr="00364545">
              <w:rPr>
                <w:sz w:val="18"/>
              </w:rPr>
              <w:t xml:space="preserve">Industrial processes, solvents and other products </w:t>
            </w:r>
          </w:p>
        </w:tc>
        <w:tc>
          <w:tcPr>
            <w:tcW w:w="69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06C4310" w14:textId="77777777" w:rsidR="00833524" w:rsidRPr="00634E4C" w:rsidRDefault="00833524" w:rsidP="00E56269">
            <w:pPr>
              <w:spacing w:line="259" w:lineRule="auto"/>
              <w:ind w:right="28"/>
              <w:jc w:val="center"/>
              <w:rPr>
                <w:rFonts w:asciiTheme="majorHAnsi" w:hAnsiTheme="majorHAnsi"/>
                <w:sz w:val="18"/>
              </w:rPr>
            </w:pPr>
            <w:r w:rsidRPr="005D0955">
              <w:rPr>
                <w:rFonts w:asciiTheme="majorHAnsi" w:hAnsiTheme="majorHAnsi"/>
                <w:sz w:val="18"/>
                <w:szCs w:val="18"/>
              </w:rPr>
              <w:t>23831</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4556FFE"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sz w:val="18"/>
              </w:rPr>
              <w:t>25932</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B61912"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sz w:val="18"/>
              </w:rPr>
              <w:t>11924</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ECB169"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sz w:val="18"/>
              </w:rPr>
              <w:t>6760</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5EFC4F"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sz w:val="18"/>
              </w:rPr>
              <w:t>2287</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024395"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sz w:val="18"/>
              </w:rPr>
              <w:t>1291</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E77FA6"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918</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718D8F2"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983</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47AD5C"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903</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D25632"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821</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41A9B5"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822</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187405"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825</w:t>
            </w:r>
          </w:p>
        </w:tc>
      </w:tr>
      <w:tr w:rsidR="00833524" w:rsidRPr="00364545" w14:paraId="277681AC" w14:textId="77777777" w:rsidTr="00E56269">
        <w:trPr>
          <w:trHeight w:val="347"/>
        </w:trPr>
        <w:tc>
          <w:tcPr>
            <w:tcW w:w="1547" w:type="dxa"/>
            <w:tcBorders>
              <w:top w:val="single" w:sz="2" w:space="0" w:color="000000"/>
              <w:left w:val="single" w:sz="2" w:space="0" w:color="000000"/>
              <w:bottom w:val="single" w:sz="2" w:space="0" w:color="000000"/>
              <w:right w:val="single" w:sz="2" w:space="0" w:color="000000"/>
            </w:tcBorders>
          </w:tcPr>
          <w:p w14:paraId="01DF56F4" w14:textId="77777777" w:rsidR="00833524" w:rsidRPr="00364545" w:rsidRDefault="00833524" w:rsidP="00E56269">
            <w:pPr>
              <w:spacing w:line="259" w:lineRule="auto"/>
            </w:pPr>
            <w:r w:rsidRPr="00364545">
              <w:rPr>
                <w:sz w:val="18"/>
              </w:rPr>
              <w:t xml:space="preserve">Agriculture (excluding energy) </w:t>
            </w:r>
          </w:p>
        </w:tc>
        <w:tc>
          <w:tcPr>
            <w:tcW w:w="698" w:type="dxa"/>
            <w:tcBorders>
              <w:top w:val="single" w:sz="2" w:space="0" w:color="000000"/>
              <w:left w:val="single" w:sz="2" w:space="0" w:color="000000"/>
              <w:bottom w:val="single" w:sz="2" w:space="0" w:color="000000"/>
              <w:right w:val="single" w:sz="2" w:space="0" w:color="000000"/>
            </w:tcBorders>
            <w:vAlign w:val="center"/>
          </w:tcPr>
          <w:p w14:paraId="70176E8F" w14:textId="77777777" w:rsidR="00833524" w:rsidRPr="00634E4C" w:rsidRDefault="00833524" w:rsidP="00E56269">
            <w:pPr>
              <w:spacing w:line="259" w:lineRule="auto"/>
              <w:ind w:right="28"/>
              <w:jc w:val="center"/>
              <w:rPr>
                <w:rFonts w:asciiTheme="majorHAnsi" w:hAnsiTheme="majorHAnsi"/>
                <w:sz w:val="18"/>
              </w:rPr>
            </w:pPr>
            <w:r w:rsidRPr="005D0955">
              <w:rPr>
                <w:rFonts w:asciiTheme="majorHAnsi" w:hAnsiTheme="majorHAnsi"/>
                <w:sz w:val="18"/>
                <w:szCs w:val="18"/>
              </w:rPr>
              <w:t>36691</w:t>
            </w:r>
          </w:p>
        </w:tc>
        <w:tc>
          <w:tcPr>
            <w:tcW w:w="699" w:type="dxa"/>
            <w:tcBorders>
              <w:top w:val="single" w:sz="2" w:space="0" w:color="000000"/>
              <w:left w:val="single" w:sz="2" w:space="0" w:color="000000"/>
              <w:bottom w:val="single" w:sz="2" w:space="0" w:color="000000"/>
              <w:right w:val="single" w:sz="2" w:space="0" w:color="000000"/>
            </w:tcBorders>
            <w:vAlign w:val="center"/>
          </w:tcPr>
          <w:p w14:paraId="4DF94C53"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35162</w:t>
            </w:r>
          </w:p>
        </w:tc>
        <w:tc>
          <w:tcPr>
            <w:tcW w:w="699" w:type="dxa"/>
            <w:tcBorders>
              <w:top w:val="single" w:sz="2" w:space="0" w:color="000000"/>
              <w:left w:val="single" w:sz="2" w:space="0" w:color="000000"/>
              <w:bottom w:val="single" w:sz="2" w:space="0" w:color="000000"/>
              <w:right w:val="single" w:sz="2" w:space="0" w:color="000000"/>
            </w:tcBorders>
            <w:vAlign w:val="center"/>
          </w:tcPr>
          <w:p w14:paraId="6FF1FDF7"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37106</w:t>
            </w:r>
          </w:p>
        </w:tc>
        <w:tc>
          <w:tcPr>
            <w:tcW w:w="699" w:type="dxa"/>
            <w:tcBorders>
              <w:top w:val="single" w:sz="2" w:space="0" w:color="000000"/>
              <w:left w:val="single" w:sz="2" w:space="0" w:color="000000"/>
              <w:bottom w:val="single" w:sz="2" w:space="0" w:color="000000"/>
              <w:right w:val="single" w:sz="2" w:space="0" w:color="000000"/>
            </w:tcBorders>
            <w:vAlign w:val="center"/>
          </w:tcPr>
          <w:p w14:paraId="31A8E990"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34680</w:t>
            </w:r>
          </w:p>
        </w:tc>
        <w:tc>
          <w:tcPr>
            <w:tcW w:w="699" w:type="dxa"/>
            <w:tcBorders>
              <w:top w:val="single" w:sz="2" w:space="0" w:color="000000"/>
              <w:left w:val="single" w:sz="2" w:space="0" w:color="000000"/>
              <w:bottom w:val="single" w:sz="2" w:space="0" w:color="000000"/>
              <w:right w:val="single" w:sz="2" w:space="0" w:color="000000"/>
            </w:tcBorders>
            <w:vAlign w:val="center"/>
          </w:tcPr>
          <w:p w14:paraId="38150477"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33892</w:t>
            </w:r>
          </w:p>
        </w:tc>
        <w:tc>
          <w:tcPr>
            <w:tcW w:w="699" w:type="dxa"/>
            <w:tcBorders>
              <w:top w:val="single" w:sz="2" w:space="0" w:color="000000"/>
              <w:left w:val="single" w:sz="2" w:space="0" w:color="000000"/>
              <w:bottom w:val="single" w:sz="2" w:space="0" w:color="000000"/>
              <w:right w:val="single" w:sz="2" w:space="0" w:color="000000"/>
            </w:tcBorders>
            <w:vAlign w:val="center"/>
          </w:tcPr>
          <w:p w14:paraId="19592A31"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34263</w:t>
            </w:r>
          </w:p>
        </w:tc>
        <w:tc>
          <w:tcPr>
            <w:tcW w:w="699" w:type="dxa"/>
            <w:tcBorders>
              <w:top w:val="single" w:sz="2" w:space="0" w:color="000000"/>
              <w:left w:val="single" w:sz="2" w:space="0" w:color="000000"/>
              <w:bottom w:val="single" w:sz="2" w:space="0" w:color="000000"/>
              <w:right w:val="single" w:sz="2" w:space="0" w:color="000000"/>
            </w:tcBorders>
            <w:vAlign w:val="center"/>
          </w:tcPr>
          <w:p w14:paraId="0CB44EEE"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33020</w:t>
            </w:r>
          </w:p>
        </w:tc>
        <w:tc>
          <w:tcPr>
            <w:tcW w:w="699" w:type="dxa"/>
            <w:tcBorders>
              <w:top w:val="single" w:sz="2" w:space="0" w:color="000000"/>
              <w:left w:val="single" w:sz="2" w:space="0" w:color="000000"/>
              <w:bottom w:val="single" w:sz="2" w:space="0" w:color="000000"/>
              <w:right w:val="single" w:sz="2" w:space="0" w:color="000000"/>
            </w:tcBorders>
            <w:vAlign w:val="center"/>
          </w:tcPr>
          <w:p w14:paraId="7C44AB9E"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33731</w:t>
            </w:r>
          </w:p>
        </w:tc>
        <w:tc>
          <w:tcPr>
            <w:tcW w:w="699" w:type="dxa"/>
            <w:tcBorders>
              <w:top w:val="single" w:sz="2" w:space="0" w:color="000000"/>
              <w:left w:val="single" w:sz="2" w:space="0" w:color="000000"/>
              <w:bottom w:val="single" w:sz="2" w:space="0" w:color="000000"/>
              <w:right w:val="single" w:sz="2" w:space="0" w:color="000000"/>
            </w:tcBorders>
            <w:vAlign w:val="center"/>
          </w:tcPr>
          <w:p w14:paraId="7178BE36"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33337</w:t>
            </w:r>
          </w:p>
        </w:tc>
        <w:tc>
          <w:tcPr>
            <w:tcW w:w="699" w:type="dxa"/>
            <w:tcBorders>
              <w:top w:val="single" w:sz="2" w:space="0" w:color="000000"/>
              <w:left w:val="single" w:sz="2" w:space="0" w:color="000000"/>
              <w:bottom w:val="single" w:sz="2" w:space="0" w:color="000000"/>
              <w:right w:val="single" w:sz="2" w:space="0" w:color="000000"/>
            </w:tcBorders>
            <w:vAlign w:val="center"/>
          </w:tcPr>
          <w:p w14:paraId="40261A86"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32820</w:t>
            </w:r>
          </w:p>
        </w:tc>
        <w:tc>
          <w:tcPr>
            <w:tcW w:w="699" w:type="dxa"/>
            <w:tcBorders>
              <w:top w:val="single" w:sz="2" w:space="0" w:color="000000"/>
              <w:left w:val="single" w:sz="2" w:space="0" w:color="000000"/>
              <w:bottom w:val="single" w:sz="2" w:space="0" w:color="000000"/>
              <w:right w:val="single" w:sz="2" w:space="0" w:color="000000"/>
            </w:tcBorders>
            <w:vAlign w:val="center"/>
          </w:tcPr>
          <w:p w14:paraId="10D458BB"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32410</w:t>
            </w:r>
          </w:p>
        </w:tc>
        <w:tc>
          <w:tcPr>
            <w:tcW w:w="699" w:type="dxa"/>
            <w:tcBorders>
              <w:top w:val="single" w:sz="2" w:space="0" w:color="000000"/>
              <w:left w:val="single" w:sz="2" w:space="0" w:color="000000"/>
              <w:bottom w:val="single" w:sz="2" w:space="0" w:color="000000"/>
              <w:right w:val="single" w:sz="2" w:space="0" w:color="000000"/>
            </w:tcBorders>
            <w:vAlign w:val="center"/>
          </w:tcPr>
          <w:p w14:paraId="3D5CAD70"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31217</w:t>
            </w:r>
          </w:p>
        </w:tc>
      </w:tr>
      <w:tr w:rsidR="00833524" w:rsidRPr="00364545" w14:paraId="6EB05799" w14:textId="77777777" w:rsidTr="00E56269">
        <w:trPr>
          <w:trHeight w:val="342"/>
        </w:trPr>
        <w:tc>
          <w:tcPr>
            <w:tcW w:w="1547" w:type="dxa"/>
            <w:tcBorders>
              <w:top w:val="single" w:sz="2" w:space="0" w:color="000000"/>
              <w:left w:val="single" w:sz="2" w:space="0" w:color="000000"/>
              <w:bottom w:val="single" w:sz="2" w:space="0" w:color="000000"/>
              <w:right w:val="single" w:sz="2" w:space="0" w:color="000000"/>
            </w:tcBorders>
            <w:shd w:val="clear" w:color="auto" w:fill="ECE6E2"/>
          </w:tcPr>
          <w:p w14:paraId="0859711D" w14:textId="77777777" w:rsidR="00833524" w:rsidRPr="00364545" w:rsidRDefault="00833524" w:rsidP="00E56269">
            <w:pPr>
              <w:spacing w:line="259" w:lineRule="auto"/>
            </w:pPr>
            <w:r w:rsidRPr="00364545">
              <w:rPr>
                <w:sz w:val="18"/>
              </w:rPr>
              <w:t xml:space="preserve">LULUCF </w:t>
            </w:r>
          </w:p>
        </w:tc>
        <w:tc>
          <w:tcPr>
            <w:tcW w:w="69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551FE7" w14:textId="77777777" w:rsidR="00833524" w:rsidRPr="00634E4C" w:rsidRDefault="00833524" w:rsidP="00E56269">
            <w:pPr>
              <w:spacing w:line="259" w:lineRule="auto"/>
              <w:ind w:right="28"/>
              <w:jc w:val="center"/>
              <w:rPr>
                <w:rFonts w:asciiTheme="majorHAnsi" w:hAnsiTheme="majorHAnsi"/>
                <w:sz w:val="18"/>
              </w:rPr>
            </w:pPr>
            <w:r w:rsidRPr="005D0955">
              <w:rPr>
                <w:rFonts w:asciiTheme="majorHAnsi" w:hAnsiTheme="majorHAnsi"/>
                <w:sz w:val="18"/>
                <w:szCs w:val="18"/>
              </w:rPr>
              <w:t>3226</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EB5CDDD"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3246</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A7752B"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3193</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46E350"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2971</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8B5517"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3216</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44C5C2D"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2944</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78F7E6"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2867</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CB0C52"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3119</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7A4707E"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3119</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7C6F4A"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3119</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2C6115E"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3119</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9538C9"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3119</w:t>
            </w:r>
          </w:p>
        </w:tc>
      </w:tr>
      <w:tr w:rsidR="00833524" w:rsidRPr="00364545" w14:paraId="4B9AC918" w14:textId="77777777" w:rsidTr="00E56269">
        <w:trPr>
          <w:trHeight w:val="347"/>
        </w:trPr>
        <w:tc>
          <w:tcPr>
            <w:tcW w:w="1547" w:type="dxa"/>
            <w:tcBorders>
              <w:top w:val="single" w:sz="2" w:space="0" w:color="000000"/>
              <w:left w:val="single" w:sz="2" w:space="0" w:color="000000"/>
              <w:bottom w:val="single" w:sz="2" w:space="0" w:color="000000"/>
              <w:right w:val="single" w:sz="2" w:space="0" w:color="000000"/>
            </w:tcBorders>
          </w:tcPr>
          <w:p w14:paraId="7E1D8DF3" w14:textId="77777777" w:rsidR="00833524" w:rsidRPr="00364545" w:rsidRDefault="00833524" w:rsidP="00E56269">
            <w:pPr>
              <w:spacing w:line="259" w:lineRule="auto"/>
            </w:pPr>
            <w:r w:rsidRPr="00364545">
              <w:rPr>
                <w:sz w:val="18"/>
              </w:rPr>
              <w:t xml:space="preserve">Waste </w:t>
            </w:r>
          </w:p>
        </w:tc>
        <w:tc>
          <w:tcPr>
            <w:tcW w:w="698" w:type="dxa"/>
            <w:tcBorders>
              <w:top w:val="single" w:sz="2" w:space="0" w:color="000000"/>
              <w:left w:val="single" w:sz="2" w:space="0" w:color="000000"/>
              <w:bottom w:val="single" w:sz="2" w:space="0" w:color="000000"/>
              <w:right w:val="single" w:sz="2" w:space="0" w:color="000000"/>
            </w:tcBorders>
            <w:vAlign w:val="center"/>
          </w:tcPr>
          <w:p w14:paraId="4EDBAFC4" w14:textId="77777777" w:rsidR="00833524" w:rsidRPr="00634E4C" w:rsidRDefault="00833524" w:rsidP="00E56269">
            <w:pPr>
              <w:spacing w:line="259" w:lineRule="auto"/>
              <w:ind w:right="28"/>
              <w:jc w:val="center"/>
              <w:rPr>
                <w:rFonts w:asciiTheme="majorHAnsi" w:hAnsiTheme="majorHAnsi"/>
                <w:sz w:val="18"/>
              </w:rPr>
            </w:pPr>
            <w:r w:rsidRPr="005D0955">
              <w:rPr>
                <w:rFonts w:asciiTheme="majorHAnsi" w:hAnsiTheme="majorHAnsi"/>
                <w:sz w:val="18"/>
                <w:szCs w:val="18"/>
              </w:rPr>
              <w:t>771</w:t>
            </w:r>
          </w:p>
        </w:tc>
        <w:tc>
          <w:tcPr>
            <w:tcW w:w="699" w:type="dxa"/>
            <w:tcBorders>
              <w:top w:val="single" w:sz="2" w:space="0" w:color="000000"/>
              <w:left w:val="single" w:sz="2" w:space="0" w:color="000000"/>
              <w:bottom w:val="single" w:sz="2" w:space="0" w:color="000000"/>
              <w:right w:val="single" w:sz="2" w:space="0" w:color="000000"/>
            </w:tcBorders>
            <w:vAlign w:val="center"/>
          </w:tcPr>
          <w:p w14:paraId="5CF2E238"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796</w:t>
            </w:r>
          </w:p>
        </w:tc>
        <w:tc>
          <w:tcPr>
            <w:tcW w:w="699" w:type="dxa"/>
            <w:tcBorders>
              <w:top w:val="single" w:sz="2" w:space="0" w:color="000000"/>
              <w:left w:val="single" w:sz="2" w:space="0" w:color="000000"/>
              <w:bottom w:val="single" w:sz="2" w:space="0" w:color="000000"/>
              <w:right w:val="single" w:sz="2" w:space="0" w:color="000000"/>
            </w:tcBorders>
            <w:vAlign w:val="center"/>
          </w:tcPr>
          <w:p w14:paraId="6CDD6D63"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750</w:t>
            </w:r>
          </w:p>
        </w:tc>
        <w:tc>
          <w:tcPr>
            <w:tcW w:w="699" w:type="dxa"/>
            <w:tcBorders>
              <w:top w:val="single" w:sz="2" w:space="0" w:color="000000"/>
              <w:left w:val="single" w:sz="2" w:space="0" w:color="000000"/>
              <w:bottom w:val="single" w:sz="2" w:space="0" w:color="000000"/>
              <w:right w:val="single" w:sz="2" w:space="0" w:color="000000"/>
            </w:tcBorders>
            <w:vAlign w:val="center"/>
          </w:tcPr>
          <w:p w14:paraId="05BA5027"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684</w:t>
            </w:r>
          </w:p>
        </w:tc>
        <w:tc>
          <w:tcPr>
            <w:tcW w:w="699" w:type="dxa"/>
            <w:tcBorders>
              <w:top w:val="single" w:sz="2" w:space="0" w:color="000000"/>
              <w:left w:val="single" w:sz="2" w:space="0" w:color="000000"/>
              <w:bottom w:val="single" w:sz="2" w:space="0" w:color="000000"/>
              <w:right w:val="single" w:sz="2" w:space="0" w:color="000000"/>
            </w:tcBorders>
            <w:vAlign w:val="center"/>
          </w:tcPr>
          <w:p w14:paraId="57A18BE8"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661</w:t>
            </w:r>
          </w:p>
        </w:tc>
        <w:tc>
          <w:tcPr>
            <w:tcW w:w="699" w:type="dxa"/>
            <w:tcBorders>
              <w:top w:val="single" w:sz="2" w:space="0" w:color="000000"/>
              <w:left w:val="single" w:sz="2" w:space="0" w:color="000000"/>
              <w:bottom w:val="single" w:sz="2" w:space="0" w:color="000000"/>
              <w:right w:val="single" w:sz="2" w:space="0" w:color="000000"/>
            </w:tcBorders>
            <w:vAlign w:val="center"/>
          </w:tcPr>
          <w:p w14:paraId="6B8135C5"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610</w:t>
            </w:r>
          </w:p>
        </w:tc>
        <w:tc>
          <w:tcPr>
            <w:tcW w:w="699" w:type="dxa"/>
            <w:tcBorders>
              <w:top w:val="single" w:sz="2" w:space="0" w:color="000000"/>
              <w:left w:val="single" w:sz="2" w:space="0" w:color="000000"/>
              <w:bottom w:val="single" w:sz="2" w:space="0" w:color="000000"/>
              <w:right w:val="single" w:sz="2" w:space="0" w:color="000000"/>
            </w:tcBorders>
            <w:vAlign w:val="center"/>
          </w:tcPr>
          <w:p w14:paraId="56F8B562"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597</w:t>
            </w:r>
          </w:p>
        </w:tc>
        <w:tc>
          <w:tcPr>
            <w:tcW w:w="699" w:type="dxa"/>
            <w:tcBorders>
              <w:top w:val="single" w:sz="2" w:space="0" w:color="000000"/>
              <w:left w:val="single" w:sz="2" w:space="0" w:color="000000"/>
              <w:bottom w:val="single" w:sz="2" w:space="0" w:color="000000"/>
              <w:right w:val="single" w:sz="2" w:space="0" w:color="000000"/>
            </w:tcBorders>
            <w:vAlign w:val="center"/>
          </w:tcPr>
          <w:p w14:paraId="1E536352"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662</w:t>
            </w:r>
          </w:p>
        </w:tc>
        <w:tc>
          <w:tcPr>
            <w:tcW w:w="699" w:type="dxa"/>
            <w:tcBorders>
              <w:top w:val="single" w:sz="2" w:space="0" w:color="000000"/>
              <w:left w:val="single" w:sz="2" w:space="0" w:color="000000"/>
              <w:bottom w:val="single" w:sz="2" w:space="0" w:color="000000"/>
              <w:right w:val="single" w:sz="2" w:space="0" w:color="000000"/>
            </w:tcBorders>
            <w:vAlign w:val="center"/>
          </w:tcPr>
          <w:p w14:paraId="0015F7CA"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666</w:t>
            </w:r>
          </w:p>
        </w:tc>
        <w:tc>
          <w:tcPr>
            <w:tcW w:w="699" w:type="dxa"/>
            <w:tcBorders>
              <w:top w:val="single" w:sz="2" w:space="0" w:color="000000"/>
              <w:left w:val="single" w:sz="2" w:space="0" w:color="000000"/>
              <w:bottom w:val="single" w:sz="2" w:space="0" w:color="000000"/>
              <w:right w:val="single" w:sz="2" w:space="0" w:color="000000"/>
            </w:tcBorders>
            <w:vAlign w:val="center"/>
          </w:tcPr>
          <w:p w14:paraId="65CFC04B"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670</w:t>
            </w:r>
          </w:p>
        </w:tc>
        <w:tc>
          <w:tcPr>
            <w:tcW w:w="699" w:type="dxa"/>
            <w:tcBorders>
              <w:top w:val="single" w:sz="2" w:space="0" w:color="000000"/>
              <w:left w:val="single" w:sz="2" w:space="0" w:color="000000"/>
              <w:bottom w:val="single" w:sz="2" w:space="0" w:color="000000"/>
              <w:right w:val="single" w:sz="2" w:space="0" w:color="000000"/>
            </w:tcBorders>
            <w:vAlign w:val="center"/>
          </w:tcPr>
          <w:p w14:paraId="6E10FB20"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690</w:t>
            </w:r>
          </w:p>
        </w:tc>
        <w:tc>
          <w:tcPr>
            <w:tcW w:w="699" w:type="dxa"/>
            <w:tcBorders>
              <w:top w:val="single" w:sz="2" w:space="0" w:color="000000"/>
              <w:left w:val="single" w:sz="2" w:space="0" w:color="000000"/>
              <w:bottom w:val="single" w:sz="2" w:space="0" w:color="000000"/>
              <w:right w:val="single" w:sz="2" w:space="0" w:color="000000"/>
            </w:tcBorders>
            <w:vAlign w:val="center"/>
          </w:tcPr>
          <w:p w14:paraId="1C7EE819"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681</w:t>
            </w:r>
          </w:p>
        </w:tc>
      </w:tr>
      <w:tr w:rsidR="00833524" w:rsidRPr="00364545" w14:paraId="05A7D482" w14:textId="77777777" w:rsidTr="00E56269">
        <w:trPr>
          <w:trHeight w:val="344"/>
        </w:trPr>
        <w:tc>
          <w:tcPr>
            <w:tcW w:w="1547" w:type="dxa"/>
            <w:tcBorders>
              <w:top w:val="single" w:sz="2" w:space="0" w:color="000000"/>
              <w:left w:val="single" w:sz="2" w:space="0" w:color="000000"/>
              <w:bottom w:val="single" w:sz="2" w:space="0" w:color="000000"/>
              <w:right w:val="single" w:sz="2" w:space="0" w:color="000000"/>
            </w:tcBorders>
            <w:shd w:val="clear" w:color="auto" w:fill="ECE6E2"/>
          </w:tcPr>
          <w:p w14:paraId="0C217889" w14:textId="77777777" w:rsidR="00833524" w:rsidRPr="00364545" w:rsidRDefault="00833524" w:rsidP="00E56269">
            <w:pPr>
              <w:spacing w:line="259" w:lineRule="auto"/>
            </w:pPr>
            <w:r w:rsidRPr="00364545">
              <w:rPr>
                <w:b/>
                <w:sz w:val="18"/>
              </w:rPr>
              <w:t xml:space="preserve">Ensemble (hors UTCF) </w:t>
            </w:r>
          </w:p>
        </w:tc>
        <w:tc>
          <w:tcPr>
            <w:tcW w:w="69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19D8F0" w14:textId="77777777" w:rsidR="00833524" w:rsidRPr="00634E4C" w:rsidRDefault="00833524" w:rsidP="00E56269">
            <w:pPr>
              <w:spacing w:line="259" w:lineRule="auto"/>
              <w:ind w:right="28"/>
              <w:jc w:val="center"/>
              <w:rPr>
                <w:rFonts w:asciiTheme="majorHAnsi" w:hAnsiTheme="majorHAnsi"/>
                <w:sz w:val="18"/>
              </w:rPr>
            </w:pPr>
            <w:r w:rsidRPr="005D0955">
              <w:rPr>
                <w:rFonts w:asciiTheme="majorHAnsi" w:hAnsiTheme="majorHAnsi"/>
                <w:sz w:val="18"/>
                <w:szCs w:val="18"/>
              </w:rPr>
              <w:t>64725</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A45FBB"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65937</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F95C2E"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53681</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5222FB"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46307</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14E1F5"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40478</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42D47B2"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39895</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2473BF"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38071</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979386E"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38447</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76D031"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37839</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B1DC7C8"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36921</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8637A5"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36418</w:t>
            </w:r>
          </w:p>
        </w:tc>
        <w:tc>
          <w:tcPr>
            <w:tcW w:w="69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81195AC"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35004</w:t>
            </w:r>
          </w:p>
        </w:tc>
      </w:tr>
      <w:tr w:rsidR="00833524" w:rsidRPr="00364545" w14:paraId="3AA196CE" w14:textId="77777777" w:rsidTr="00E56269">
        <w:trPr>
          <w:trHeight w:val="346"/>
        </w:trPr>
        <w:tc>
          <w:tcPr>
            <w:tcW w:w="1547" w:type="dxa"/>
            <w:tcBorders>
              <w:top w:val="single" w:sz="2" w:space="0" w:color="000000"/>
              <w:left w:val="single" w:sz="2" w:space="0" w:color="000000"/>
              <w:bottom w:val="single" w:sz="2" w:space="0" w:color="000000"/>
              <w:right w:val="single" w:sz="2" w:space="0" w:color="000000"/>
            </w:tcBorders>
          </w:tcPr>
          <w:p w14:paraId="12903DB8" w14:textId="77777777" w:rsidR="00833524" w:rsidRPr="00364545" w:rsidRDefault="00833524" w:rsidP="00E56269">
            <w:pPr>
              <w:spacing w:line="259" w:lineRule="auto"/>
            </w:pPr>
            <w:r w:rsidRPr="00364545">
              <w:rPr>
                <w:b/>
                <w:sz w:val="18"/>
              </w:rPr>
              <w:t xml:space="preserve">Ensemble (avec UTCF) </w:t>
            </w:r>
          </w:p>
        </w:tc>
        <w:tc>
          <w:tcPr>
            <w:tcW w:w="698" w:type="dxa"/>
            <w:tcBorders>
              <w:top w:val="single" w:sz="2" w:space="0" w:color="000000"/>
              <w:left w:val="single" w:sz="2" w:space="0" w:color="000000"/>
              <w:bottom w:val="single" w:sz="2" w:space="0" w:color="000000"/>
              <w:right w:val="single" w:sz="2" w:space="0" w:color="000000"/>
            </w:tcBorders>
            <w:vAlign w:val="center"/>
          </w:tcPr>
          <w:p w14:paraId="429C820D" w14:textId="77777777" w:rsidR="00833524" w:rsidRPr="00634E4C" w:rsidRDefault="00833524" w:rsidP="00E56269">
            <w:pPr>
              <w:spacing w:line="259" w:lineRule="auto"/>
              <w:ind w:right="28"/>
              <w:jc w:val="center"/>
              <w:rPr>
                <w:rFonts w:asciiTheme="majorHAnsi" w:hAnsiTheme="majorHAnsi"/>
                <w:sz w:val="18"/>
              </w:rPr>
            </w:pPr>
            <w:r w:rsidRPr="005D0955">
              <w:rPr>
                <w:rFonts w:asciiTheme="majorHAnsi" w:hAnsiTheme="majorHAnsi"/>
                <w:sz w:val="18"/>
                <w:szCs w:val="18"/>
              </w:rPr>
              <w:t>67951</w:t>
            </w:r>
          </w:p>
        </w:tc>
        <w:tc>
          <w:tcPr>
            <w:tcW w:w="699" w:type="dxa"/>
            <w:tcBorders>
              <w:top w:val="single" w:sz="2" w:space="0" w:color="000000"/>
              <w:left w:val="single" w:sz="2" w:space="0" w:color="000000"/>
              <w:bottom w:val="single" w:sz="2" w:space="0" w:color="000000"/>
              <w:right w:val="single" w:sz="2" w:space="0" w:color="000000"/>
            </w:tcBorders>
            <w:vAlign w:val="center"/>
          </w:tcPr>
          <w:p w14:paraId="09360E22"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69183</w:t>
            </w:r>
          </w:p>
        </w:tc>
        <w:tc>
          <w:tcPr>
            <w:tcW w:w="699" w:type="dxa"/>
            <w:tcBorders>
              <w:top w:val="single" w:sz="2" w:space="0" w:color="000000"/>
              <w:left w:val="single" w:sz="2" w:space="0" w:color="000000"/>
              <w:bottom w:val="single" w:sz="2" w:space="0" w:color="000000"/>
              <w:right w:val="single" w:sz="2" w:space="0" w:color="000000"/>
            </w:tcBorders>
            <w:vAlign w:val="center"/>
          </w:tcPr>
          <w:p w14:paraId="79C8E6EB"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56873</w:t>
            </w:r>
          </w:p>
        </w:tc>
        <w:tc>
          <w:tcPr>
            <w:tcW w:w="699" w:type="dxa"/>
            <w:tcBorders>
              <w:top w:val="single" w:sz="2" w:space="0" w:color="000000"/>
              <w:left w:val="single" w:sz="2" w:space="0" w:color="000000"/>
              <w:bottom w:val="single" w:sz="2" w:space="0" w:color="000000"/>
              <w:right w:val="single" w:sz="2" w:space="0" w:color="000000"/>
            </w:tcBorders>
            <w:vAlign w:val="center"/>
          </w:tcPr>
          <w:p w14:paraId="2B4FCAE5"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49279</w:t>
            </w:r>
          </w:p>
        </w:tc>
        <w:tc>
          <w:tcPr>
            <w:tcW w:w="699" w:type="dxa"/>
            <w:tcBorders>
              <w:top w:val="single" w:sz="2" w:space="0" w:color="000000"/>
              <w:left w:val="single" w:sz="2" w:space="0" w:color="000000"/>
              <w:bottom w:val="single" w:sz="2" w:space="0" w:color="000000"/>
              <w:right w:val="single" w:sz="2" w:space="0" w:color="000000"/>
            </w:tcBorders>
            <w:vAlign w:val="center"/>
          </w:tcPr>
          <w:p w14:paraId="2F27810B"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43694</w:t>
            </w:r>
          </w:p>
        </w:tc>
        <w:tc>
          <w:tcPr>
            <w:tcW w:w="699" w:type="dxa"/>
            <w:tcBorders>
              <w:top w:val="single" w:sz="2" w:space="0" w:color="000000"/>
              <w:left w:val="single" w:sz="2" w:space="0" w:color="000000"/>
              <w:bottom w:val="single" w:sz="2" w:space="0" w:color="000000"/>
              <w:right w:val="single" w:sz="2" w:space="0" w:color="000000"/>
            </w:tcBorders>
            <w:vAlign w:val="center"/>
          </w:tcPr>
          <w:p w14:paraId="198E5246"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42840</w:t>
            </w:r>
          </w:p>
        </w:tc>
        <w:tc>
          <w:tcPr>
            <w:tcW w:w="699" w:type="dxa"/>
            <w:tcBorders>
              <w:top w:val="single" w:sz="2" w:space="0" w:color="000000"/>
              <w:left w:val="single" w:sz="2" w:space="0" w:color="000000"/>
              <w:bottom w:val="single" w:sz="2" w:space="0" w:color="000000"/>
              <w:right w:val="single" w:sz="2" w:space="0" w:color="000000"/>
            </w:tcBorders>
            <w:vAlign w:val="center"/>
          </w:tcPr>
          <w:p w14:paraId="03F701A7" w14:textId="77777777" w:rsidR="00833524" w:rsidRPr="00634E4C" w:rsidRDefault="00833524" w:rsidP="00E56269">
            <w:pPr>
              <w:spacing w:line="259" w:lineRule="auto"/>
              <w:ind w:right="28"/>
              <w:jc w:val="center"/>
              <w:rPr>
                <w:rFonts w:asciiTheme="majorHAnsi" w:hAnsiTheme="majorHAnsi"/>
                <w:b/>
                <w:color w:val="000000"/>
                <w:sz w:val="18"/>
              </w:rPr>
            </w:pPr>
            <w:r w:rsidRPr="005D0955">
              <w:rPr>
                <w:rFonts w:asciiTheme="majorHAnsi" w:hAnsiTheme="majorHAnsi"/>
                <w:sz w:val="18"/>
                <w:szCs w:val="18"/>
              </w:rPr>
              <w:t>40939</w:t>
            </w:r>
          </w:p>
        </w:tc>
        <w:tc>
          <w:tcPr>
            <w:tcW w:w="699" w:type="dxa"/>
            <w:tcBorders>
              <w:top w:val="single" w:sz="2" w:space="0" w:color="000000"/>
              <w:left w:val="single" w:sz="2" w:space="0" w:color="000000"/>
              <w:bottom w:val="single" w:sz="2" w:space="0" w:color="000000"/>
              <w:right w:val="single" w:sz="2" w:space="0" w:color="000000"/>
            </w:tcBorders>
            <w:vAlign w:val="center"/>
          </w:tcPr>
          <w:p w14:paraId="36071C51"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41566</w:t>
            </w:r>
          </w:p>
        </w:tc>
        <w:tc>
          <w:tcPr>
            <w:tcW w:w="699" w:type="dxa"/>
            <w:tcBorders>
              <w:top w:val="single" w:sz="2" w:space="0" w:color="000000"/>
              <w:left w:val="single" w:sz="2" w:space="0" w:color="000000"/>
              <w:bottom w:val="single" w:sz="2" w:space="0" w:color="000000"/>
              <w:right w:val="single" w:sz="2" w:space="0" w:color="000000"/>
            </w:tcBorders>
            <w:vAlign w:val="center"/>
          </w:tcPr>
          <w:p w14:paraId="49D60F31"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40959</w:t>
            </w:r>
          </w:p>
        </w:tc>
        <w:tc>
          <w:tcPr>
            <w:tcW w:w="699" w:type="dxa"/>
            <w:tcBorders>
              <w:top w:val="single" w:sz="2" w:space="0" w:color="000000"/>
              <w:left w:val="single" w:sz="2" w:space="0" w:color="000000"/>
              <w:bottom w:val="single" w:sz="2" w:space="0" w:color="000000"/>
              <w:right w:val="single" w:sz="2" w:space="0" w:color="000000"/>
            </w:tcBorders>
            <w:vAlign w:val="center"/>
          </w:tcPr>
          <w:p w14:paraId="34119462"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40041</w:t>
            </w:r>
          </w:p>
        </w:tc>
        <w:tc>
          <w:tcPr>
            <w:tcW w:w="699" w:type="dxa"/>
            <w:tcBorders>
              <w:top w:val="single" w:sz="2" w:space="0" w:color="000000"/>
              <w:left w:val="single" w:sz="2" w:space="0" w:color="000000"/>
              <w:bottom w:val="single" w:sz="2" w:space="0" w:color="000000"/>
              <w:right w:val="single" w:sz="2" w:space="0" w:color="000000"/>
            </w:tcBorders>
            <w:vAlign w:val="center"/>
          </w:tcPr>
          <w:p w14:paraId="21763551"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39537</w:t>
            </w:r>
          </w:p>
        </w:tc>
        <w:tc>
          <w:tcPr>
            <w:tcW w:w="699" w:type="dxa"/>
            <w:tcBorders>
              <w:top w:val="single" w:sz="2" w:space="0" w:color="000000"/>
              <w:left w:val="single" w:sz="2" w:space="0" w:color="000000"/>
              <w:bottom w:val="single" w:sz="2" w:space="0" w:color="000000"/>
              <w:right w:val="single" w:sz="2" w:space="0" w:color="000000"/>
            </w:tcBorders>
            <w:vAlign w:val="center"/>
          </w:tcPr>
          <w:p w14:paraId="4EE8235D" w14:textId="77777777" w:rsidR="00833524" w:rsidRPr="00634E4C" w:rsidRDefault="00833524" w:rsidP="00E56269">
            <w:pPr>
              <w:spacing w:line="259" w:lineRule="auto"/>
              <w:ind w:right="28"/>
              <w:jc w:val="center"/>
              <w:rPr>
                <w:rFonts w:asciiTheme="majorHAnsi" w:hAnsiTheme="majorHAnsi"/>
                <w:b/>
                <w:color w:val="000000"/>
                <w:sz w:val="18"/>
              </w:rPr>
            </w:pPr>
            <w:r w:rsidRPr="00634E4C">
              <w:rPr>
                <w:rFonts w:asciiTheme="majorHAnsi" w:hAnsiTheme="majorHAnsi"/>
                <w:b/>
                <w:color w:val="000000"/>
                <w:sz w:val="18"/>
              </w:rPr>
              <w:t>38123</w:t>
            </w:r>
          </w:p>
        </w:tc>
      </w:tr>
    </w:tbl>
    <w:p w14:paraId="64232584" w14:textId="4F4DF4B6" w:rsidR="00833524" w:rsidRPr="00364545" w:rsidRDefault="00833524" w:rsidP="00833524">
      <w:pPr>
        <w:pStyle w:val="Caption"/>
      </w:pPr>
      <w:r w:rsidRPr="00364545">
        <w:t xml:space="preserve">Table </w:t>
      </w:r>
      <w:fldSimple w:instr=" SEQ Tableau \* ARABIC ">
        <w:r w:rsidR="009A2FAA">
          <w:rPr>
            <w:noProof/>
          </w:rPr>
          <w:t>21</w:t>
        </w:r>
      </w:fldSimple>
      <w:r w:rsidRPr="00364545">
        <w:t>: N</w:t>
      </w:r>
      <w:r w:rsidRPr="00364545">
        <w:rPr>
          <w:vertAlign w:val="subscript"/>
        </w:rPr>
        <w:t>2</w:t>
      </w:r>
      <w:r w:rsidRPr="00364545">
        <w:t>O emissions projections (in ktCO</w:t>
      </w:r>
      <w:r w:rsidRPr="00364545">
        <w:rPr>
          <w:vertAlign w:val="subscript"/>
        </w:rPr>
        <w:t>2e</w:t>
      </w:r>
      <w:r w:rsidRPr="00364545">
        <w:t>) in the Kyoto scope in the AME scenario (with existing measures)</w:t>
      </w:r>
    </w:p>
    <w:p w14:paraId="33631A23" w14:textId="77777777" w:rsidR="00833524" w:rsidRPr="00364545" w:rsidRDefault="00833524" w:rsidP="00833524">
      <w:pPr>
        <w:pStyle w:val="Caption"/>
      </w:pPr>
      <w:r w:rsidRPr="00364545">
        <w:t>Source: UNFCCC inventory, Citepa/MTE, 202</w:t>
      </w:r>
      <w:r>
        <w:t>2</w:t>
      </w:r>
      <w:r w:rsidRPr="00364545">
        <w:t xml:space="preserve"> submission and MTE emission projections, 2021</w:t>
      </w:r>
    </w:p>
    <w:p w14:paraId="7BEE7ABE" w14:textId="77777777" w:rsidR="00833524" w:rsidRPr="00364545" w:rsidRDefault="00833524" w:rsidP="00833524"/>
    <w:tbl>
      <w:tblPr>
        <w:tblStyle w:val="TableGrid0"/>
        <w:tblW w:w="9934" w:type="dxa"/>
        <w:tblInd w:w="10" w:type="dxa"/>
        <w:tblCellMar>
          <w:top w:w="39" w:type="dxa"/>
          <w:left w:w="28" w:type="dxa"/>
          <w:bottom w:w="2" w:type="dxa"/>
        </w:tblCellMar>
        <w:tblLook w:val="04A0" w:firstRow="1" w:lastRow="0" w:firstColumn="1" w:lastColumn="0" w:noHBand="0" w:noVBand="1"/>
      </w:tblPr>
      <w:tblGrid>
        <w:gridCol w:w="1405"/>
        <w:gridCol w:w="710"/>
        <w:gridCol w:w="711"/>
        <w:gridCol w:w="711"/>
        <w:gridCol w:w="711"/>
        <w:gridCol w:w="710"/>
        <w:gridCol w:w="711"/>
        <w:gridCol w:w="711"/>
        <w:gridCol w:w="711"/>
        <w:gridCol w:w="710"/>
        <w:gridCol w:w="711"/>
        <w:gridCol w:w="711"/>
        <w:gridCol w:w="711"/>
      </w:tblGrid>
      <w:tr w:rsidR="00833524" w:rsidRPr="00364545" w14:paraId="3E8FBA01" w14:textId="77777777" w:rsidTr="00E56269">
        <w:trPr>
          <w:trHeight w:val="402"/>
        </w:trPr>
        <w:tc>
          <w:tcPr>
            <w:tcW w:w="1405" w:type="dxa"/>
            <w:tcBorders>
              <w:top w:val="single" w:sz="2" w:space="0" w:color="000000"/>
              <w:left w:val="single" w:sz="2" w:space="0" w:color="000000"/>
              <w:bottom w:val="single" w:sz="2" w:space="0" w:color="000000"/>
              <w:right w:val="single" w:sz="2" w:space="0" w:color="000000"/>
            </w:tcBorders>
            <w:shd w:val="clear" w:color="auto" w:fill="6D2A78"/>
          </w:tcPr>
          <w:p w14:paraId="06E7B68D" w14:textId="77777777" w:rsidR="00833524" w:rsidRPr="00364545" w:rsidRDefault="00833524" w:rsidP="00E56269">
            <w:pPr>
              <w:spacing w:line="259" w:lineRule="auto"/>
            </w:pPr>
            <w:r w:rsidRPr="00364545">
              <w:t>AME 21 - HFC</w:t>
            </w:r>
          </w:p>
        </w:tc>
        <w:tc>
          <w:tcPr>
            <w:tcW w:w="71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252E584" w14:textId="77777777" w:rsidR="00833524" w:rsidRPr="00364545" w:rsidRDefault="00833524" w:rsidP="00E56269">
            <w:pPr>
              <w:spacing w:line="259" w:lineRule="auto"/>
              <w:ind w:right="30"/>
              <w:jc w:val="center"/>
            </w:pPr>
            <w:r w:rsidRPr="00364545">
              <w:rPr>
                <w:b/>
                <w:color w:val="FFFFFF"/>
                <w:sz w:val="18"/>
              </w:rPr>
              <w:t>1990</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13BA576" w14:textId="77777777" w:rsidR="00833524" w:rsidRPr="00364545" w:rsidRDefault="00833524" w:rsidP="00E56269">
            <w:pPr>
              <w:spacing w:line="259" w:lineRule="auto"/>
              <w:ind w:right="27"/>
              <w:jc w:val="center"/>
              <w:rPr>
                <w:b/>
                <w:color w:val="FFFFFF"/>
                <w:sz w:val="18"/>
              </w:rPr>
            </w:pPr>
            <w:r w:rsidRPr="00364545">
              <w:rPr>
                <w:b/>
                <w:color w:val="FFFFFF"/>
                <w:sz w:val="18"/>
              </w:rPr>
              <w:t>1995</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84775AA" w14:textId="77777777" w:rsidR="00833524" w:rsidRPr="00364545" w:rsidRDefault="00833524" w:rsidP="00E56269">
            <w:pPr>
              <w:spacing w:line="259" w:lineRule="auto"/>
              <w:ind w:right="27"/>
              <w:jc w:val="center"/>
            </w:pPr>
            <w:r w:rsidRPr="00364545">
              <w:rPr>
                <w:b/>
                <w:color w:val="FFFFFF"/>
                <w:sz w:val="18"/>
              </w:rPr>
              <w:t>2000</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879C469" w14:textId="77777777" w:rsidR="00833524" w:rsidRPr="00364545" w:rsidRDefault="00833524" w:rsidP="00E56269">
            <w:pPr>
              <w:spacing w:line="259" w:lineRule="auto"/>
              <w:ind w:right="30"/>
              <w:jc w:val="center"/>
            </w:pPr>
            <w:r w:rsidRPr="00364545">
              <w:rPr>
                <w:b/>
                <w:color w:val="FFFFFF"/>
                <w:sz w:val="18"/>
              </w:rPr>
              <w:t>2005</w:t>
            </w:r>
          </w:p>
        </w:tc>
        <w:tc>
          <w:tcPr>
            <w:tcW w:w="71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270DF30" w14:textId="77777777" w:rsidR="00833524" w:rsidRPr="00364545" w:rsidRDefault="00833524" w:rsidP="00E56269">
            <w:pPr>
              <w:spacing w:line="259" w:lineRule="auto"/>
              <w:ind w:right="27"/>
              <w:jc w:val="center"/>
            </w:pPr>
            <w:r w:rsidRPr="00364545">
              <w:rPr>
                <w:b/>
                <w:color w:val="FFFFFF"/>
                <w:sz w:val="18"/>
              </w:rPr>
              <w:t>2010</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F2F159E" w14:textId="77777777" w:rsidR="00833524" w:rsidRPr="00364545" w:rsidRDefault="00833524" w:rsidP="00E56269">
            <w:pPr>
              <w:spacing w:line="259" w:lineRule="auto"/>
              <w:ind w:right="30"/>
              <w:jc w:val="center"/>
            </w:pPr>
            <w:r w:rsidRPr="00364545">
              <w:rPr>
                <w:b/>
                <w:color w:val="FFFFFF"/>
                <w:sz w:val="18"/>
              </w:rPr>
              <w:t>2015</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C5D3ECA" w14:textId="77777777" w:rsidR="00833524" w:rsidRPr="00364545" w:rsidRDefault="00833524" w:rsidP="00E56269">
            <w:pPr>
              <w:spacing w:line="259" w:lineRule="auto"/>
              <w:ind w:right="27"/>
              <w:jc w:val="center"/>
              <w:rPr>
                <w:b/>
                <w:color w:val="FFFFFF"/>
                <w:sz w:val="18"/>
              </w:rPr>
            </w:pPr>
            <w:r w:rsidRPr="00364545">
              <w:rPr>
                <w:b/>
                <w:color w:val="FFFFFF"/>
                <w:sz w:val="18"/>
              </w:rPr>
              <w:t>2019</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03EB6E9" w14:textId="77777777" w:rsidR="00833524" w:rsidRPr="00364545" w:rsidRDefault="00833524" w:rsidP="00E56269">
            <w:pPr>
              <w:spacing w:line="259" w:lineRule="auto"/>
              <w:ind w:right="27"/>
              <w:jc w:val="center"/>
            </w:pPr>
            <w:r w:rsidRPr="00364545">
              <w:rPr>
                <w:b/>
                <w:color w:val="FFFFFF"/>
                <w:sz w:val="18"/>
              </w:rPr>
              <w:t>2020</w:t>
            </w:r>
          </w:p>
        </w:tc>
        <w:tc>
          <w:tcPr>
            <w:tcW w:w="71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0FBAEDD" w14:textId="77777777" w:rsidR="00833524" w:rsidRPr="00364545" w:rsidRDefault="00833524" w:rsidP="00E56269">
            <w:pPr>
              <w:spacing w:line="259" w:lineRule="auto"/>
              <w:ind w:right="30"/>
              <w:jc w:val="center"/>
            </w:pPr>
            <w:r w:rsidRPr="00364545">
              <w:rPr>
                <w:b/>
                <w:color w:val="FFFFFF"/>
                <w:sz w:val="18"/>
              </w:rPr>
              <w:t>2025</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26FF9D3" w14:textId="77777777" w:rsidR="00833524" w:rsidRPr="00364545" w:rsidRDefault="00833524" w:rsidP="00E56269">
            <w:pPr>
              <w:spacing w:line="259" w:lineRule="auto"/>
              <w:ind w:right="27"/>
              <w:jc w:val="center"/>
            </w:pPr>
            <w:r w:rsidRPr="00364545">
              <w:rPr>
                <w:b/>
                <w:color w:val="FFFFFF"/>
                <w:sz w:val="18"/>
              </w:rPr>
              <w:t>2030</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CCFFBF1" w14:textId="77777777" w:rsidR="00833524" w:rsidRPr="00364545" w:rsidRDefault="00833524" w:rsidP="00E56269">
            <w:pPr>
              <w:spacing w:line="259" w:lineRule="auto"/>
              <w:ind w:right="28"/>
              <w:jc w:val="center"/>
            </w:pPr>
            <w:r w:rsidRPr="00364545">
              <w:rPr>
                <w:b/>
                <w:color w:val="FFFFFF"/>
                <w:sz w:val="18"/>
              </w:rPr>
              <w:t>2035</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2011502" w14:textId="77777777" w:rsidR="00833524" w:rsidRPr="00364545" w:rsidRDefault="00833524" w:rsidP="00E56269">
            <w:pPr>
              <w:spacing w:line="259" w:lineRule="auto"/>
              <w:ind w:right="28"/>
              <w:jc w:val="center"/>
              <w:rPr>
                <w:b/>
                <w:color w:val="FFFFFF"/>
                <w:sz w:val="18"/>
              </w:rPr>
            </w:pPr>
            <w:r w:rsidRPr="00364545">
              <w:rPr>
                <w:b/>
                <w:color w:val="FFFFFF"/>
                <w:sz w:val="18"/>
              </w:rPr>
              <w:t>2050</w:t>
            </w:r>
          </w:p>
        </w:tc>
      </w:tr>
      <w:tr w:rsidR="00833524" w:rsidRPr="00364545" w14:paraId="16F49AB9" w14:textId="77777777" w:rsidTr="00E56269">
        <w:trPr>
          <w:trHeight w:val="344"/>
        </w:trPr>
        <w:tc>
          <w:tcPr>
            <w:tcW w:w="1405" w:type="dxa"/>
            <w:tcBorders>
              <w:top w:val="single" w:sz="2" w:space="0" w:color="000000"/>
              <w:left w:val="single" w:sz="2" w:space="0" w:color="000000"/>
              <w:bottom w:val="single" w:sz="2" w:space="0" w:color="000000"/>
              <w:right w:val="single" w:sz="2" w:space="0" w:color="000000"/>
            </w:tcBorders>
          </w:tcPr>
          <w:p w14:paraId="2ADF8EC2" w14:textId="77777777" w:rsidR="00833524" w:rsidRPr="00364545" w:rsidRDefault="00833524" w:rsidP="00E56269">
            <w:pPr>
              <w:spacing w:line="259" w:lineRule="auto"/>
            </w:pPr>
            <w:r w:rsidRPr="00364545">
              <w:rPr>
                <w:sz w:val="18"/>
              </w:rPr>
              <w:t xml:space="preserve">Energy </w:t>
            </w:r>
          </w:p>
        </w:tc>
        <w:tc>
          <w:tcPr>
            <w:tcW w:w="710" w:type="dxa"/>
            <w:tcBorders>
              <w:top w:val="single" w:sz="2" w:space="0" w:color="000000"/>
              <w:left w:val="single" w:sz="2" w:space="0" w:color="000000"/>
              <w:bottom w:val="single" w:sz="2" w:space="0" w:color="000000"/>
              <w:right w:val="single" w:sz="2" w:space="0" w:color="000000"/>
            </w:tcBorders>
            <w:vAlign w:val="center"/>
          </w:tcPr>
          <w:p w14:paraId="5D746C83"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5673B4BB"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2FE94D4A"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2446E42E"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4EAC7973"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49BC0838"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4D942535"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47644C6D"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6DD4DA32"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19C39FE3"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00D9745A"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31514C9B"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r>
      <w:tr w:rsidR="00833524" w:rsidRPr="00364545" w14:paraId="61376158" w14:textId="77777777" w:rsidTr="00E56269">
        <w:trPr>
          <w:trHeight w:val="419"/>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40E063F7" w14:textId="77777777" w:rsidR="00833524" w:rsidRPr="00364545" w:rsidRDefault="00833524" w:rsidP="00E56269">
            <w:pPr>
              <w:spacing w:line="259" w:lineRule="auto"/>
            </w:pPr>
            <w:r w:rsidRPr="00364545">
              <w:rPr>
                <w:sz w:val="18"/>
              </w:rPr>
              <w:t xml:space="preserve">Industrial processes, solvents and other products </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67D820" w14:textId="77777777" w:rsidR="00833524" w:rsidRPr="00634E4C" w:rsidRDefault="00833524" w:rsidP="00E56269">
            <w:pPr>
              <w:spacing w:line="259" w:lineRule="auto"/>
              <w:ind w:right="28"/>
              <w:jc w:val="center"/>
              <w:rPr>
                <w:rFonts w:asciiTheme="majorHAnsi" w:hAnsiTheme="majorHAnsi"/>
                <w:sz w:val="18"/>
              </w:rPr>
            </w:pPr>
            <w:r w:rsidRPr="005D0955">
              <w:rPr>
                <w:rFonts w:asciiTheme="majorHAnsi" w:hAnsiTheme="majorHAnsi"/>
                <w:sz w:val="18"/>
                <w:szCs w:val="18"/>
              </w:rPr>
              <w:t>4402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9DB409B" w14:textId="77777777" w:rsidR="00833524" w:rsidRPr="00634E4C" w:rsidRDefault="00833524" w:rsidP="00E56269">
            <w:pPr>
              <w:spacing w:line="259" w:lineRule="auto"/>
              <w:ind w:right="28"/>
              <w:jc w:val="center"/>
              <w:rPr>
                <w:rFonts w:asciiTheme="majorHAnsi" w:hAnsiTheme="majorHAnsi"/>
                <w:color w:val="000000"/>
                <w:sz w:val="18"/>
              </w:rPr>
            </w:pPr>
            <w:r w:rsidRPr="005D0955">
              <w:rPr>
                <w:rFonts w:asciiTheme="majorHAnsi" w:hAnsiTheme="majorHAnsi"/>
                <w:sz w:val="18"/>
                <w:szCs w:val="18"/>
              </w:rPr>
              <w:t>1702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4A5340" w14:textId="77777777" w:rsidR="00833524" w:rsidRPr="00634E4C" w:rsidRDefault="00833524" w:rsidP="00E56269">
            <w:pPr>
              <w:spacing w:line="259" w:lineRule="auto"/>
              <w:ind w:right="28"/>
              <w:jc w:val="center"/>
              <w:rPr>
                <w:rFonts w:asciiTheme="majorHAnsi" w:hAnsiTheme="majorHAnsi"/>
                <w:color w:val="000000"/>
                <w:sz w:val="18"/>
              </w:rPr>
            </w:pPr>
            <w:r w:rsidRPr="005D0955">
              <w:rPr>
                <w:rFonts w:asciiTheme="majorHAnsi" w:hAnsiTheme="majorHAnsi"/>
                <w:sz w:val="18"/>
                <w:szCs w:val="18"/>
              </w:rPr>
              <w:t>6736</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688906" w14:textId="77777777" w:rsidR="00833524" w:rsidRPr="00634E4C" w:rsidRDefault="00833524" w:rsidP="00E56269">
            <w:pPr>
              <w:spacing w:line="259" w:lineRule="auto"/>
              <w:ind w:right="28"/>
              <w:jc w:val="center"/>
              <w:rPr>
                <w:rFonts w:asciiTheme="majorHAnsi" w:hAnsiTheme="majorHAnsi"/>
                <w:color w:val="000000"/>
                <w:sz w:val="18"/>
              </w:rPr>
            </w:pPr>
            <w:r w:rsidRPr="005D0955">
              <w:rPr>
                <w:rFonts w:asciiTheme="majorHAnsi" w:hAnsiTheme="majorHAnsi"/>
                <w:sz w:val="18"/>
                <w:szCs w:val="18"/>
              </w:rPr>
              <w:t>12862</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5DB606" w14:textId="77777777" w:rsidR="00833524" w:rsidRPr="00634E4C" w:rsidRDefault="00833524" w:rsidP="00E56269">
            <w:pPr>
              <w:spacing w:line="259" w:lineRule="auto"/>
              <w:ind w:right="28"/>
              <w:jc w:val="center"/>
              <w:rPr>
                <w:rFonts w:asciiTheme="majorHAnsi" w:hAnsiTheme="majorHAnsi"/>
                <w:color w:val="000000"/>
                <w:sz w:val="18"/>
              </w:rPr>
            </w:pPr>
            <w:r w:rsidRPr="005D0955">
              <w:rPr>
                <w:rFonts w:asciiTheme="majorHAnsi" w:hAnsiTheme="majorHAnsi"/>
                <w:sz w:val="18"/>
                <w:szCs w:val="18"/>
              </w:rPr>
              <w:t>16930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1CCDFC" w14:textId="77777777" w:rsidR="00833524" w:rsidRPr="00634E4C" w:rsidRDefault="00833524" w:rsidP="00E56269">
            <w:pPr>
              <w:spacing w:line="259" w:lineRule="auto"/>
              <w:ind w:right="28"/>
              <w:jc w:val="center"/>
              <w:rPr>
                <w:rFonts w:asciiTheme="majorHAnsi" w:hAnsiTheme="majorHAnsi"/>
                <w:color w:val="000000"/>
                <w:sz w:val="18"/>
              </w:rPr>
            </w:pPr>
            <w:r w:rsidRPr="005D0955">
              <w:rPr>
                <w:rFonts w:asciiTheme="majorHAnsi" w:hAnsiTheme="majorHAnsi"/>
                <w:sz w:val="18"/>
                <w:szCs w:val="18"/>
              </w:rPr>
              <w:t>17494</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17132A" w14:textId="77777777" w:rsidR="00833524" w:rsidRPr="00634E4C" w:rsidRDefault="00833524" w:rsidP="00E56269">
            <w:pPr>
              <w:spacing w:line="259" w:lineRule="auto"/>
              <w:ind w:right="28"/>
              <w:jc w:val="center"/>
              <w:rPr>
                <w:rFonts w:asciiTheme="majorHAnsi" w:hAnsiTheme="majorHAnsi"/>
                <w:color w:val="000000"/>
                <w:sz w:val="18"/>
              </w:rPr>
            </w:pPr>
            <w:r w:rsidRPr="005D0955">
              <w:rPr>
                <w:rFonts w:asciiTheme="majorHAnsi" w:hAnsiTheme="majorHAnsi"/>
                <w:sz w:val="18"/>
                <w:szCs w:val="18"/>
              </w:rPr>
              <w:t>12992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470B34" w14:textId="77777777" w:rsidR="00833524" w:rsidRPr="00634E4C" w:rsidRDefault="00833524" w:rsidP="00E56269">
            <w:pPr>
              <w:spacing w:line="259" w:lineRule="auto"/>
              <w:ind w:right="28"/>
              <w:jc w:val="center"/>
              <w:rPr>
                <w:rFonts w:asciiTheme="majorHAnsi" w:hAnsiTheme="majorHAnsi"/>
                <w:color w:val="000000"/>
                <w:sz w:val="18"/>
              </w:rPr>
            </w:pPr>
            <w:r w:rsidRPr="00634E4C">
              <w:rPr>
                <w:rFonts w:asciiTheme="majorHAnsi" w:hAnsiTheme="majorHAnsi"/>
                <w:color w:val="000000"/>
                <w:sz w:val="18"/>
              </w:rPr>
              <w:t>12721</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856E4F" w14:textId="77777777" w:rsidR="00833524" w:rsidRPr="00634E4C" w:rsidRDefault="00833524" w:rsidP="00E56269">
            <w:pPr>
              <w:spacing w:line="259" w:lineRule="auto"/>
              <w:ind w:right="28"/>
              <w:jc w:val="center"/>
              <w:rPr>
                <w:rFonts w:asciiTheme="majorHAnsi" w:hAnsiTheme="majorHAnsi"/>
                <w:color w:val="000000"/>
                <w:sz w:val="18"/>
              </w:rPr>
            </w:pPr>
            <w:r w:rsidRPr="00634E4C">
              <w:rPr>
                <w:rFonts w:asciiTheme="majorHAnsi" w:hAnsiTheme="majorHAnsi"/>
                <w:color w:val="000000"/>
                <w:sz w:val="18"/>
              </w:rPr>
              <w:t>7817</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E58AD1" w14:textId="77777777" w:rsidR="00833524" w:rsidRPr="00634E4C" w:rsidRDefault="00833524" w:rsidP="00E56269">
            <w:pPr>
              <w:spacing w:line="259" w:lineRule="auto"/>
              <w:ind w:right="28"/>
              <w:jc w:val="center"/>
              <w:rPr>
                <w:rFonts w:asciiTheme="majorHAnsi" w:hAnsiTheme="majorHAnsi"/>
                <w:color w:val="000000"/>
                <w:sz w:val="18"/>
              </w:rPr>
            </w:pPr>
            <w:r w:rsidRPr="00634E4C">
              <w:rPr>
                <w:rFonts w:asciiTheme="majorHAnsi" w:hAnsiTheme="majorHAnsi"/>
                <w:color w:val="000000"/>
                <w:sz w:val="18"/>
              </w:rPr>
              <w:t>5053</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0B3DA7" w14:textId="77777777" w:rsidR="00833524" w:rsidRPr="00634E4C" w:rsidRDefault="00833524" w:rsidP="00E56269">
            <w:pPr>
              <w:spacing w:line="259" w:lineRule="auto"/>
              <w:ind w:right="28"/>
              <w:jc w:val="center"/>
              <w:rPr>
                <w:rFonts w:asciiTheme="majorHAnsi" w:hAnsiTheme="majorHAnsi"/>
                <w:color w:val="000000"/>
                <w:sz w:val="18"/>
              </w:rPr>
            </w:pPr>
            <w:r w:rsidRPr="00634E4C">
              <w:rPr>
                <w:rFonts w:asciiTheme="majorHAnsi" w:hAnsiTheme="majorHAnsi"/>
                <w:color w:val="000000"/>
                <w:sz w:val="18"/>
              </w:rPr>
              <w:t>3427</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04925AF" w14:textId="77777777" w:rsidR="00833524" w:rsidRPr="00634E4C" w:rsidRDefault="00833524" w:rsidP="00E56269">
            <w:pPr>
              <w:spacing w:line="259" w:lineRule="auto"/>
              <w:ind w:right="28"/>
              <w:jc w:val="center"/>
              <w:rPr>
                <w:rFonts w:asciiTheme="majorHAnsi" w:hAnsiTheme="majorHAnsi"/>
                <w:color w:val="000000"/>
                <w:sz w:val="18"/>
              </w:rPr>
            </w:pPr>
            <w:r w:rsidRPr="00634E4C">
              <w:rPr>
                <w:rFonts w:asciiTheme="majorHAnsi" w:hAnsiTheme="majorHAnsi"/>
                <w:color w:val="000000"/>
                <w:sz w:val="18"/>
              </w:rPr>
              <w:t>1831</w:t>
            </w:r>
          </w:p>
        </w:tc>
      </w:tr>
      <w:tr w:rsidR="00833524" w:rsidRPr="00364545" w14:paraId="6A616669" w14:textId="77777777" w:rsidTr="00E56269">
        <w:trPr>
          <w:trHeight w:val="347"/>
        </w:trPr>
        <w:tc>
          <w:tcPr>
            <w:tcW w:w="1405" w:type="dxa"/>
            <w:tcBorders>
              <w:top w:val="single" w:sz="2" w:space="0" w:color="000000"/>
              <w:left w:val="single" w:sz="2" w:space="0" w:color="000000"/>
              <w:bottom w:val="single" w:sz="2" w:space="0" w:color="000000"/>
              <w:right w:val="single" w:sz="2" w:space="0" w:color="000000"/>
            </w:tcBorders>
          </w:tcPr>
          <w:p w14:paraId="249E64B5" w14:textId="77777777" w:rsidR="00833524" w:rsidRPr="00364545" w:rsidRDefault="00833524" w:rsidP="00E56269">
            <w:pPr>
              <w:spacing w:line="259" w:lineRule="auto"/>
            </w:pPr>
            <w:r w:rsidRPr="00364545">
              <w:rPr>
                <w:sz w:val="18"/>
              </w:rPr>
              <w:t xml:space="preserve">Agriculture (excluding energy) </w:t>
            </w:r>
          </w:p>
        </w:tc>
        <w:tc>
          <w:tcPr>
            <w:tcW w:w="710" w:type="dxa"/>
            <w:tcBorders>
              <w:top w:val="single" w:sz="2" w:space="0" w:color="000000"/>
              <w:left w:val="single" w:sz="2" w:space="0" w:color="000000"/>
              <w:bottom w:val="single" w:sz="2" w:space="0" w:color="000000"/>
              <w:right w:val="single" w:sz="2" w:space="0" w:color="000000"/>
            </w:tcBorders>
            <w:vAlign w:val="center"/>
          </w:tcPr>
          <w:p w14:paraId="6B8A3145"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2F9102C7"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924568B"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321912ED"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06F7CE51"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BB2A016"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3EB461B4"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29151E05"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2A2D6150"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29FAF615"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1BBF4A10"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148917C4"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r>
      <w:tr w:rsidR="00833524" w:rsidRPr="00364545" w14:paraId="4F0587F8" w14:textId="77777777" w:rsidTr="00E56269">
        <w:trPr>
          <w:trHeight w:val="342"/>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35A2AA6E" w14:textId="77777777" w:rsidR="00833524" w:rsidRPr="00364545" w:rsidRDefault="00833524" w:rsidP="00E56269">
            <w:pPr>
              <w:spacing w:line="259" w:lineRule="auto"/>
            </w:pPr>
            <w:r w:rsidRPr="00364545">
              <w:rPr>
                <w:sz w:val="18"/>
              </w:rPr>
              <w:t xml:space="preserve">LULUCF </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710119"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43EC54"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CE40F7"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9EED2B"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FD4F42"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8D65923"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2267C78"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81B886"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90B79D"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E0BEBA"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01C45B"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DD6A85C"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r>
      <w:tr w:rsidR="00833524" w:rsidRPr="00364545" w14:paraId="42BD00A4" w14:textId="77777777" w:rsidTr="00E56269">
        <w:trPr>
          <w:trHeight w:val="347"/>
        </w:trPr>
        <w:tc>
          <w:tcPr>
            <w:tcW w:w="1405" w:type="dxa"/>
            <w:tcBorders>
              <w:top w:val="single" w:sz="2" w:space="0" w:color="000000"/>
              <w:left w:val="single" w:sz="2" w:space="0" w:color="000000"/>
              <w:bottom w:val="single" w:sz="2" w:space="0" w:color="000000"/>
              <w:right w:val="single" w:sz="2" w:space="0" w:color="000000"/>
            </w:tcBorders>
          </w:tcPr>
          <w:p w14:paraId="223E17ED" w14:textId="77777777" w:rsidR="00833524" w:rsidRPr="00364545" w:rsidRDefault="00833524" w:rsidP="00E56269">
            <w:pPr>
              <w:spacing w:line="259" w:lineRule="auto"/>
            </w:pPr>
            <w:r w:rsidRPr="00364545">
              <w:rPr>
                <w:sz w:val="18"/>
              </w:rPr>
              <w:t xml:space="preserve">Waste </w:t>
            </w:r>
          </w:p>
        </w:tc>
        <w:tc>
          <w:tcPr>
            <w:tcW w:w="710" w:type="dxa"/>
            <w:tcBorders>
              <w:top w:val="single" w:sz="2" w:space="0" w:color="000000"/>
              <w:left w:val="single" w:sz="2" w:space="0" w:color="000000"/>
              <w:bottom w:val="single" w:sz="2" w:space="0" w:color="000000"/>
              <w:right w:val="single" w:sz="2" w:space="0" w:color="000000"/>
            </w:tcBorders>
            <w:vAlign w:val="center"/>
          </w:tcPr>
          <w:p w14:paraId="4328A8FA"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09E75C69"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0BD0D69B"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5C59D19"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6928A909"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57E9C01E"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3D7C36C9"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14E8878"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1CD6606D"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73E0099" w14:textId="77777777" w:rsidR="00833524" w:rsidRPr="00634E4C" w:rsidRDefault="00833524" w:rsidP="00E56269">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50A9E6F7"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210E7576"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r>
      <w:tr w:rsidR="00833524" w:rsidRPr="00364545" w14:paraId="2EA6AF78" w14:textId="77777777" w:rsidTr="00E56269">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67CE6612" w14:textId="77777777" w:rsidR="00833524" w:rsidRPr="00364545" w:rsidRDefault="00833524" w:rsidP="00E56269">
            <w:pPr>
              <w:spacing w:line="259" w:lineRule="auto"/>
            </w:pPr>
            <w:r w:rsidRPr="00364545">
              <w:rPr>
                <w:b/>
                <w:sz w:val="18"/>
              </w:rPr>
              <w:t xml:space="preserve">Ensemble (hors UTCF) </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42EC037" w14:textId="77777777" w:rsidR="00833524" w:rsidRPr="00634E4C" w:rsidRDefault="00833524" w:rsidP="00E56269">
            <w:pPr>
              <w:spacing w:line="259" w:lineRule="auto"/>
              <w:ind w:right="28"/>
              <w:jc w:val="center"/>
              <w:rPr>
                <w:rFonts w:asciiTheme="majorHAnsi" w:hAnsiTheme="majorHAnsi"/>
                <w:b/>
                <w:sz w:val="18"/>
              </w:rPr>
            </w:pPr>
            <w:r w:rsidRPr="005D0955">
              <w:rPr>
                <w:rFonts w:asciiTheme="majorHAnsi" w:hAnsiTheme="majorHAnsi"/>
                <w:sz w:val="18"/>
                <w:szCs w:val="18"/>
              </w:rPr>
              <w:t>4402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90EB9A" w14:textId="77777777" w:rsidR="00833524" w:rsidRPr="00634E4C" w:rsidRDefault="00833524" w:rsidP="00E56269">
            <w:pPr>
              <w:spacing w:line="259" w:lineRule="auto"/>
              <w:ind w:right="27"/>
              <w:jc w:val="center"/>
              <w:rPr>
                <w:rFonts w:asciiTheme="majorHAnsi" w:hAnsiTheme="majorHAnsi"/>
                <w:b/>
                <w:sz w:val="18"/>
              </w:rPr>
            </w:pPr>
            <w:r w:rsidRPr="005D0955">
              <w:rPr>
                <w:rFonts w:asciiTheme="majorHAnsi" w:hAnsiTheme="majorHAnsi"/>
                <w:sz w:val="18"/>
                <w:szCs w:val="18"/>
              </w:rPr>
              <w:t>1702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AB42E6" w14:textId="77777777" w:rsidR="00833524" w:rsidRPr="00634E4C" w:rsidRDefault="00833524" w:rsidP="00E56269">
            <w:pPr>
              <w:spacing w:line="259" w:lineRule="auto"/>
              <w:ind w:right="27"/>
              <w:jc w:val="center"/>
              <w:rPr>
                <w:rFonts w:asciiTheme="majorHAnsi" w:hAnsiTheme="majorHAnsi"/>
                <w:b/>
                <w:sz w:val="18"/>
              </w:rPr>
            </w:pPr>
            <w:r w:rsidRPr="005D0955">
              <w:rPr>
                <w:rFonts w:asciiTheme="majorHAnsi" w:hAnsiTheme="majorHAnsi"/>
                <w:sz w:val="18"/>
                <w:szCs w:val="18"/>
              </w:rPr>
              <w:t>6736</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321DC3" w14:textId="77777777" w:rsidR="00833524" w:rsidRPr="00634E4C" w:rsidRDefault="00833524" w:rsidP="00E56269">
            <w:pPr>
              <w:spacing w:line="259" w:lineRule="auto"/>
              <w:ind w:right="28"/>
              <w:jc w:val="center"/>
              <w:rPr>
                <w:rFonts w:asciiTheme="majorHAnsi" w:hAnsiTheme="majorHAnsi"/>
                <w:b/>
                <w:sz w:val="18"/>
              </w:rPr>
            </w:pPr>
            <w:r w:rsidRPr="005D0955">
              <w:rPr>
                <w:rFonts w:asciiTheme="majorHAnsi" w:hAnsiTheme="majorHAnsi"/>
                <w:sz w:val="18"/>
                <w:szCs w:val="18"/>
              </w:rPr>
              <w:t>12862</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ACA21F" w14:textId="77777777" w:rsidR="00833524" w:rsidRPr="00634E4C" w:rsidRDefault="00833524" w:rsidP="00E56269">
            <w:pPr>
              <w:spacing w:line="259" w:lineRule="auto"/>
              <w:ind w:right="27"/>
              <w:jc w:val="center"/>
              <w:rPr>
                <w:rFonts w:asciiTheme="majorHAnsi" w:hAnsiTheme="majorHAnsi"/>
                <w:b/>
                <w:sz w:val="18"/>
              </w:rPr>
            </w:pPr>
            <w:r w:rsidRPr="005D0955">
              <w:rPr>
                <w:rFonts w:asciiTheme="majorHAnsi" w:hAnsiTheme="majorHAnsi"/>
                <w:sz w:val="18"/>
                <w:szCs w:val="18"/>
              </w:rPr>
              <w:t>16930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9D468C4" w14:textId="77777777" w:rsidR="00833524" w:rsidRPr="00634E4C" w:rsidRDefault="00833524" w:rsidP="00E56269">
            <w:pPr>
              <w:spacing w:line="259" w:lineRule="auto"/>
              <w:ind w:right="28"/>
              <w:jc w:val="center"/>
              <w:rPr>
                <w:rFonts w:asciiTheme="majorHAnsi" w:hAnsiTheme="majorHAnsi"/>
                <w:b/>
                <w:sz w:val="18"/>
              </w:rPr>
            </w:pPr>
            <w:r w:rsidRPr="005D0955">
              <w:rPr>
                <w:rFonts w:asciiTheme="majorHAnsi" w:hAnsiTheme="majorHAnsi"/>
                <w:sz w:val="18"/>
                <w:szCs w:val="18"/>
              </w:rPr>
              <w:t>17494</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C3D117" w14:textId="77777777" w:rsidR="00833524" w:rsidRPr="00634E4C" w:rsidRDefault="00833524" w:rsidP="00E56269">
            <w:pPr>
              <w:spacing w:line="259" w:lineRule="auto"/>
              <w:ind w:right="27"/>
              <w:jc w:val="center"/>
              <w:rPr>
                <w:rFonts w:asciiTheme="majorHAnsi" w:hAnsiTheme="majorHAnsi"/>
                <w:b/>
                <w:sz w:val="18"/>
              </w:rPr>
            </w:pPr>
            <w:r w:rsidRPr="005D0955">
              <w:rPr>
                <w:rFonts w:asciiTheme="majorHAnsi" w:hAnsiTheme="majorHAnsi"/>
                <w:sz w:val="18"/>
                <w:szCs w:val="18"/>
              </w:rPr>
              <w:t>12992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39276F" w14:textId="77777777" w:rsidR="00833524" w:rsidRPr="00634E4C" w:rsidRDefault="00833524" w:rsidP="00E56269">
            <w:pPr>
              <w:spacing w:line="259" w:lineRule="auto"/>
              <w:ind w:right="27"/>
              <w:jc w:val="center"/>
              <w:rPr>
                <w:rFonts w:asciiTheme="majorHAnsi" w:hAnsiTheme="majorHAnsi"/>
                <w:b/>
                <w:sz w:val="18"/>
              </w:rPr>
            </w:pPr>
            <w:r w:rsidRPr="00634E4C">
              <w:rPr>
                <w:rFonts w:asciiTheme="majorHAnsi" w:hAnsiTheme="majorHAnsi"/>
                <w:b/>
                <w:color w:val="000000"/>
                <w:sz w:val="18"/>
              </w:rPr>
              <w:t>12721</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AAC37C" w14:textId="77777777" w:rsidR="00833524" w:rsidRPr="00634E4C" w:rsidRDefault="00833524" w:rsidP="00E56269">
            <w:pPr>
              <w:spacing w:line="259" w:lineRule="auto"/>
              <w:ind w:right="28"/>
              <w:jc w:val="center"/>
              <w:rPr>
                <w:rFonts w:asciiTheme="majorHAnsi" w:hAnsiTheme="majorHAnsi"/>
                <w:b/>
                <w:sz w:val="18"/>
              </w:rPr>
            </w:pPr>
            <w:r w:rsidRPr="00634E4C">
              <w:rPr>
                <w:rFonts w:asciiTheme="majorHAnsi" w:hAnsiTheme="majorHAnsi"/>
                <w:b/>
                <w:color w:val="000000"/>
                <w:sz w:val="18"/>
              </w:rPr>
              <w:t>7817</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1A570C" w14:textId="77777777" w:rsidR="00833524" w:rsidRPr="00634E4C" w:rsidRDefault="00833524" w:rsidP="00E56269">
            <w:pPr>
              <w:spacing w:line="259" w:lineRule="auto"/>
              <w:ind w:right="27"/>
              <w:jc w:val="center"/>
              <w:rPr>
                <w:rFonts w:asciiTheme="majorHAnsi" w:hAnsiTheme="majorHAnsi"/>
                <w:b/>
                <w:sz w:val="18"/>
              </w:rPr>
            </w:pPr>
            <w:r w:rsidRPr="00634E4C">
              <w:rPr>
                <w:rFonts w:asciiTheme="majorHAnsi" w:hAnsiTheme="majorHAnsi"/>
                <w:b/>
                <w:color w:val="000000"/>
                <w:sz w:val="18"/>
              </w:rPr>
              <w:t>5053</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8A2986" w14:textId="77777777" w:rsidR="00833524" w:rsidRPr="00634E4C" w:rsidRDefault="00833524" w:rsidP="00E56269">
            <w:pPr>
              <w:spacing w:line="259" w:lineRule="auto"/>
              <w:ind w:right="27"/>
              <w:jc w:val="center"/>
              <w:rPr>
                <w:rFonts w:asciiTheme="majorHAnsi" w:hAnsiTheme="majorHAnsi"/>
                <w:b/>
                <w:sz w:val="18"/>
              </w:rPr>
            </w:pPr>
            <w:r w:rsidRPr="00634E4C">
              <w:rPr>
                <w:rFonts w:asciiTheme="majorHAnsi" w:hAnsiTheme="majorHAnsi"/>
                <w:b/>
                <w:color w:val="000000"/>
                <w:sz w:val="18"/>
              </w:rPr>
              <w:t>3427</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67BC11" w14:textId="77777777" w:rsidR="00833524" w:rsidRPr="00634E4C" w:rsidRDefault="00833524" w:rsidP="00E56269">
            <w:pPr>
              <w:spacing w:line="259" w:lineRule="auto"/>
              <w:ind w:right="27"/>
              <w:jc w:val="center"/>
              <w:rPr>
                <w:rFonts w:asciiTheme="majorHAnsi" w:hAnsiTheme="majorHAnsi"/>
                <w:b/>
                <w:sz w:val="18"/>
              </w:rPr>
            </w:pPr>
            <w:r w:rsidRPr="00634E4C">
              <w:rPr>
                <w:rFonts w:asciiTheme="majorHAnsi" w:hAnsiTheme="majorHAnsi"/>
                <w:b/>
                <w:color w:val="000000"/>
                <w:sz w:val="18"/>
              </w:rPr>
              <w:t>1831</w:t>
            </w:r>
          </w:p>
        </w:tc>
      </w:tr>
      <w:tr w:rsidR="00833524" w:rsidRPr="00364545" w14:paraId="5B0E94ED" w14:textId="77777777" w:rsidTr="00E56269">
        <w:trPr>
          <w:trHeight w:val="346"/>
        </w:trPr>
        <w:tc>
          <w:tcPr>
            <w:tcW w:w="1405" w:type="dxa"/>
            <w:tcBorders>
              <w:top w:val="single" w:sz="2" w:space="0" w:color="000000"/>
              <w:left w:val="single" w:sz="2" w:space="0" w:color="000000"/>
              <w:bottom w:val="single" w:sz="2" w:space="0" w:color="000000"/>
              <w:right w:val="single" w:sz="2" w:space="0" w:color="000000"/>
            </w:tcBorders>
          </w:tcPr>
          <w:p w14:paraId="4BA65986" w14:textId="77777777" w:rsidR="00833524" w:rsidRPr="00364545" w:rsidRDefault="00833524" w:rsidP="00E56269">
            <w:pPr>
              <w:spacing w:line="259" w:lineRule="auto"/>
            </w:pPr>
            <w:r w:rsidRPr="00364545">
              <w:rPr>
                <w:b/>
                <w:sz w:val="18"/>
              </w:rPr>
              <w:t xml:space="preserve">Ensemble (avec UTCF) </w:t>
            </w:r>
          </w:p>
        </w:tc>
        <w:tc>
          <w:tcPr>
            <w:tcW w:w="710" w:type="dxa"/>
            <w:tcBorders>
              <w:top w:val="single" w:sz="2" w:space="0" w:color="000000"/>
              <w:left w:val="single" w:sz="2" w:space="0" w:color="000000"/>
              <w:bottom w:val="single" w:sz="2" w:space="0" w:color="000000"/>
              <w:right w:val="single" w:sz="2" w:space="0" w:color="000000"/>
            </w:tcBorders>
            <w:vAlign w:val="center"/>
          </w:tcPr>
          <w:p w14:paraId="47C535BB" w14:textId="77777777" w:rsidR="00833524" w:rsidRPr="00634E4C" w:rsidRDefault="00833524" w:rsidP="00E56269">
            <w:pPr>
              <w:spacing w:line="259" w:lineRule="auto"/>
              <w:ind w:right="28"/>
              <w:jc w:val="center"/>
              <w:rPr>
                <w:rFonts w:asciiTheme="majorHAnsi" w:hAnsiTheme="majorHAnsi"/>
                <w:b/>
                <w:sz w:val="18"/>
              </w:rPr>
            </w:pPr>
            <w:r w:rsidRPr="005D0955">
              <w:rPr>
                <w:rFonts w:asciiTheme="majorHAnsi" w:hAnsiTheme="majorHAnsi"/>
                <w:sz w:val="18"/>
                <w:szCs w:val="18"/>
              </w:rPr>
              <w:t>4402</w:t>
            </w:r>
          </w:p>
        </w:tc>
        <w:tc>
          <w:tcPr>
            <w:tcW w:w="711" w:type="dxa"/>
            <w:tcBorders>
              <w:top w:val="single" w:sz="2" w:space="0" w:color="000000"/>
              <w:left w:val="single" w:sz="2" w:space="0" w:color="000000"/>
              <w:bottom w:val="single" w:sz="2" w:space="0" w:color="000000"/>
              <w:right w:val="single" w:sz="2" w:space="0" w:color="000000"/>
            </w:tcBorders>
            <w:vAlign w:val="center"/>
          </w:tcPr>
          <w:p w14:paraId="73AB2EC8" w14:textId="77777777" w:rsidR="00833524" w:rsidRPr="00634E4C" w:rsidRDefault="00833524" w:rsidP="00E56269">
            <w:pPr>
              <w:spacing w:line="259" w:lineRule="auto"/>
              <w:ind w:right="27"/>
              <w:jc w:val="center"/>
              <w:rPr>
                <w:rFonts w:asciiTheme="majorHAnsi" w:hAnsiTheme="majorHAnsi"/>
                <w:b/>
                <w:sz w:val="18"/>
              </w:rPr>
            </w:pPr>
            <w:r w:rsidRPr="005D0955">
              <w:rPr>
                <w:rFonts w:asciiTheme="majorHAnsi" w:hAnsiTheme="majorHAnsi"/>
                <w:sz w:val="18"/>
                <w:szCs w:val="18"/>
              </w:rPr>
              <w:t>1702</w:t>
            </w:r>
          </w:p>
        </w:tc>
        <w:tc>
          <w:tcPr>
            <w:tcW w:w="711" w:type="dxa"/>
            <w:tcBorders>
              <w:top w:val="single" w:sz="2" w:space="0" w:color="000000"/>
              <w:left w:val="single" w:sz="2" w:space="0" w:color="000000"/>
              <w:bottom w:val="single" w:sz="2" w:space="0" w:color="000000"/>
              <w:right w:val="single" w:sz="2" w:space="0" w:color="000000"/>
            </w:tcBorders>
            <w:vAlign w:val="center"/>
          </w:tcPr>
          <w:p w14:paraId="092EA56C" w14:textId="77777777" w:rsidR="00833524" w:rsidRPr="00634E4C" w:rsidRDefault="00833524" w:rsidP="00E56269">
            <w:pPr>
              <w:spacing w:line="259" w:lineRule="auto"/>
              <w:ind w:right="27"/>
              <w:jc w:val="center"/>
              <w:rPr>
                <w:rFonts w:asciiTheme="majorHAnsi" w:hAnsiTheme="majorHAnsi"/>
                <w:b/>
                <w:sz w:val="18"/>
              </w:rPr>
            </w:pPr>
            <w:r w:rsidRPr="005D0955">
              <w:rPr>
                <w:rFonts w:asciiTheme="majorHAnsi" w:hAnsiTheme="majorHAnsi"/>
                <w:sz w:val="18"/>
                <w:szCs w:val="18"/>
              </w:rPr>
              <w:t>6736</w:t>
            </w:r>
          </w:p>
        </w:tc>
        <w:tc>
          <w:tcPr>
            <w:tcW w:w="711" w:type="dxa"/>
            <w:tcBorders>
              <w:top w:val="single" w:sz="2" w:space="0" w:color="000000"/>
              <w:left w:val="single" w:sz="2" w:space="0" w:color="000000"/>
              <w:bottom w:val="single" w:sz="2" w:space="0" w:color="000000"/>
              <w:right w:val="single" w:sz="2" w:space="0" w:color="000000"/>
            </w:tcBorders>
            <w:vAlign w:val="center"/>
          </w:tcPr>
          <w:p w14:paraId="5D8CCFF6" w14:textId="77777777" w:rsidR="00833524" w:rsidRPr="00634E4C" w:rsidRDefault="00833524" w:rsidP="00E56269">
            <w:pPr>
              <w:spacing w:line="259" w:lineRule="auto"/>
              <w:ind w:right="28"/>
              <w:jc w:val="center"/>
              <w:rPr>
                <w:rFonts w:asciiTheme="majorHAnsi" w:hAnsiTheme="majorHAnsi"/>
                <w:b/>
                <w:sz w:val="18"/>
              </w:rPr>
            </w:pPr>
            <w:r w:rsidRPr="005D0955">
              <w:rPr>
                <w:rFonts w:asciiTheme="majorHAnsi" w:hAnsiTheme="majorHAnsi"/>
                <w:sz w:val="18"/>
                <w:szCs w:val="18"/>
              </w:rPr>
              <w:t>12862</w:t>
            </w:r>
          </w:p>
        </w:tc>
        <w:tc>
          <w:tcPr>
            <w:tcW w:w="710" w:type="dxa"/>
            <w:tcBorders>
              <w:top w:val="single" w:sz="2" w:space="0" w:color="000000"/>
              <w:left w:val="single" w:sz="2" w:space="0" w:color="000000"/>
              <w:bottom w:val="single" w:sz="2" w:space="0" w:color="000000"/>
              <w:right w:val="single" w:sz="2" w:space="0" w:color="000000"/>
            </w:tcBorders>
            <w:vAlign w:val="center"/>
          </w:tcPr>
          <w:p w14:paraId="7E130540" w14:textId="77777777" w:rsidR="00833524" w:rsidRPr="00634E4C" w:rsidRDefault="00833524" w:rsidP="00E56269">
            <w:pPr>
              <w:spacing w:line="259" w:lineRule="auto"/>
              <w:ind w:right="27"/>
              <w:jc w:val="center"/>
              <w:rPr>
                <w:rFonts w:asciiTheme="majorHAnsi" w:hAnsiTheme="majorHAnsi"/>
                <w:b/>
                <w:sz w:val="18"/>
              </w:rPr>
            </w:pPr>
            <w:r w:rsidRPr="005D0955">
              <w:rPr>
                <w:rFonts w:asciiTheme="majorHAnsi" w:hAnsiTheme="majorHAnsi"/>
                <w:sz w:val="18"/>
                <w:szCs w:val="18"/>
              </w:rPr>
              <w:t>16930</w:t>
            </w:r>
          </w:p>
        </w:tc>
        <w:tc>
          <w:tcPr>
            <w:tcW w:w="711" w:type="dxa"/>
            <w:tcBorders>
              <w:top w:val="single" w:sz="2" w:space="0" w:color="000000"/>
              <w:left w:val="single" w:sz="2" w:space="0" w:color="000000"/>
              <w:bottom w:val="single" w:sz="2" w:space="0" w:color="000000"/>
              <w:right w:val="single" w:sz="2" w:space="0" w:color="000000"/>
            </w:tcBorders>
            <w:vAlign w:val="center"/>
          </w:tcPr>
          <w:p w14:paraId="3ABD763D" w14:textId="77777777" w:rsidR="00833524" w:rsidRPr="00634E4C" w:rsidRDefault="00833524" w:rsidP="00E56269">
            <w:pPr>
              <w:spacing w:line="259" w:lineRule="auto"/>
              <w:ind w:right="28"/>
              <w:jc w:val="center"/>
              <w:rPr>
                <w:rFonts w:asciiTheme="majorHAnsi" w:hAnsiTheme="majorHAnsi"/>
                <w:b/>
                <w:sz w:val="18"/>
              </w:rPr>
            </w:pPr>
            <w:r w:rsidRPr="005D0955">
              <w:rPr>
                <w:rFonts w:asciiTheme="majorHAnsi" w:hAnsiTheme="majorHAnsi"/>
                <w:sz w:val="18"/>
                <w:szCs w:val="18"/>
              </w:rPr>
              <w:t>17494</w:t>
            </w:r>
          </w:p>
        </w:tc>
        <w:tc>
          <w:tcPr>
            <w:tcW w:w="711" w:type="dxa"/>
            <w:tcBorders>
              <w:top w:val="single" w:sz="2" w:space="0" w:color="000000"/>
              <w:left w:val="single" w:sz="2" w:space="0" w:color="000000"/>
              <w:bottom w:val="single" w:sz="2" w:space="0" w:color="000000"/>
              <w:right w:val="single" w:sz="2" w:space="0" w:color="000000"/>
            </w:tcBorders>
            <w:vAlign w:val="center"/>
          </w:tcPr>
          <w:p w14:paraId="116DE418" w14:textId="77777777" w:rsidR="00833524" w:rsidRPr="00634E4C" w:rsidRDefault="00833524" w:rsidP="00E56269">
            <w:pPr>
              <w:spacing w:line="259" w:lineRule="auto"/>
              <w:ind w:right="27"/>
              <w:jc w:val="center"/>
              <w:rPr>
                <w:rFonts w:asciiTheme="majorHAnsi" w:hAnsiTheme="majorHAnsi"/>
                <w:b/>
                <w:sz w:val="18"/>
              </w:rPr>
            </w:pPr>
            <w:r w:rsidRPr="005D0955">
              <w:rPr>
                <w:rFonts w:asciiTheme="majorHAnsi" w:hAnsiTheme="majorHAnsi"/>
                <w:sz w:val="18"/>
                <w:szCs w:val="18"/>
              </w:rPr>
              <w:t>12992</w:t>
            </w:r>
          </w:p>
        </w:tc>
        <w:tc>
          <w:tcPr>
            <w:tcW w:w="711" w:type="dxa"/>
            <w:tcBorders>
              <w:top w:val="single" w:sz="2" w:space="0" w:color="000000"/>
              <w:left w:val="single" w:sz="2" w:space="0" w:color="000000"/>
              <w:bottom w:val="single" w:sz="2" w:space="0" w:color="000000"/>
              <w:right w:val="single" w:sz="2" w:space="0" w:color="000000"/>
            </w:tcBorders>
            <w:vAlign w:val="center"/>
          </w:tcPr>
          <w:p w14:paraId="3FD42FB4" w14:textId="77777777" w:rsidR="00833524" w:rsidRPr="00634E4C" w:rsidRDefault="00833524" w:rsidP="00E56269">
            <w:pPr>
              <w:spacing w:line="259" w:lineRule="auto"/>
              <w:ind w:right="27"/>
              <w:jc w:val="center"/>
              <w:rPr>
                <w:rFonts w:asciiTheme="majorHAnsi" w:hAnsiTheme="majorHAnsi"/>
                <w:b/>
                <w:sz w:val="18"/>
              </w:rPr>
            </w:pPr>
            <w:r w:rsidRPr="00634E4C">
              <w:rPr>
                <w:rFonts w:asciiTheme="majorHAnsi" w:hAnsiTheme="majorHAnsi"/>
                <w:b/>
                <w:color w:val="000000"/>
                <w:sz w:val="18"/>
              </w:rPr>
              <w:t>12721</w:t>
            </w:r>
          </w:p>
        </w:tc>
        <w:tc>
          <w:tcPr>
            <w:tcW w:w="710" w:type="dxa"/>
            <w:tcBorders>
              <w:top w:val="single" w:sz="2" w:space="0" w:color="000000"/>
              <w:left w:val="single" w:sz="2" w:space="0" w:color="000000"/>
              <w:bottom w:val="single" w:sz="2" w:space="0" w:color="000000"/>
              <w:right w:val="single" w:sz="2" w:space="0" w:color="000000"/>
            </w:tcBorders>
            <w:vAlign w:val="center"/>
          </w:tcPr>
          <w:p w14:paraId="4A36F511" w14:textId="77777777" w:rsidR="00833524" w:rsidRPr="00634E4C" w:rsidRDefault="00833524" w:rsidP="00E56269">
            <w:pPr>
              <w:spacing w:line="259" w:lineRule="auto"/>
              <w:ind w:right="28"/>
              <w:jc w:val="center"/>
              <w:rPr>
                <w:rFonts w:asciiTheme="majorHAnsi" w:hAnsiTheme="majorHAnsi"/>
                <w:b/>
                <w:sz w:val="18"/>
              </w:rPr>
            </w:pPr>
            <w:r w:rsidRPr="00634E4C">
              <w:rPr>
                <w:rFonts w:asciiTheme="majorHAnsi" w:hAnsiTheme="majorHAnsi"/>
                <w:b/>
                <w:color w:val="000000"/>
                <w:sz w:val="18"/>
              </w:rPr>
              <w:t>7817</w:t>
            </w:r>
          </w:p>
        </w:tc>
        <w:tc>
          <w:tcPr>
            <w:tcW w:w="711" w:type="dxa"/>
            <w:tcBorders>
              <w:top w:val="single" w:sz="2" w:space="0" w:color="000000"/>
              <w:left w:val="single" w:sz="2" w:space="0" w:color="000000"/>
              <w:bottom w:val="single" w:sz="2" w:space="0" w:color="000000"/>
              <w:right w:val="single" w:sz="2" w:space="0" w:color="000000"/>
            </w:tcBorders>
            <w:vAlign w:val="center"/>
          </w:tcPr>
          <w:p w14:paraId="39645D80" w14:textId="77777777" w:rsidR="00833524" w:rsidRPr="00634E4C" w:rsidRDefault="00833524" w:rsidP="00E56269">
            <w:pPr>
              <w:spacing w:line="259" w:lineRule="auto"/>
              <w:ind w:right="27"/>
              <w:jc w:val="center"/>
              <w:rPr>
                <w:rFonts w:asciiTheme="majorHAnsi" w:hAnsiTheme="majorHAnsi"/>
                <w:b/>
                <w:sz w:val="18"/>
              </w:rPr>
            </w:pPr>
            <w:r w:rsidRPr="00634E4C">
              <w:rPr>
                <w:rFonts w:asciiTheme="majorHAnsi" w:hAnsiTheme="majorHAnsi"/>
                <w:b/>
                <w:color w:val="000000"/>
                <w:sz w:val="18"/>
              </w:rPr>
              <w:t>5053</w:t>
            </w:r>
          </w:p>
        </w:tc>
        <w:tc>
          <w:tcPr>
            <w:tcW w:w="711" w:type="dxa"/>
            <w:tcBorders>
              <w:top w:val="single" w:sz="2" w:space="0" w:color="000000"/>
              <w:left w:val="single" w:sz="2" w:space="0" w:color="000000"/>
              <w:bottom w:val="single" w:sz="2" w:space="0" w:color="000000"/>
              <w:right w:val="single" w:sz="2" w:space="0" w:color="000000"/>
            </w:tcBorders>
            <w:vAlign w:val="center"/>
          </w:tcPr>
          <w:p w14:paraId="5A63C68C" w14:textId="77777777" w:rsidR="00833524" w:rsidRPr="00634E4C" w:rsidRDefault="00833524" w:rsidP="00E56269">
            <w:pPr>
              <w:spacing w:line="259" w:lineRule="auto"/>
              <w:ind w:right="27"/>
              <w:jc w:val="center"/>
              <w:rPr>
                <w:rFonts w:asciiTheme="majorHAnsi" w:hAnsiTheme="majorHAnsi"/>
                <w:b/>
                <w:sz w:val="18"/>
              </w:rPr>
            </w:pPr>
            <w:r w:rsidRPr="00634E4C">
              <w:rPr>
                <w:rFonts w:asciiTheme="majorHAnsi" w:hAnsiTheme="majorHAnsi"/>
                <w:b/>
                <w:color w:val="000000"/>
                <w:sz w:val="18"/>
              </w:rPr>
              <w:t>3427</w:t>
            </w:r>
          </w:p>
        </w:tc>
        <w:tc>
          <w:tcPr>
            <w:tcW w:w="711" w:type="dxa"/>
            <w:tcBorders>
              <w:top w:val="single" w:sz="2" w:space="0" w:color="000000"/>
              <w:left w:val="single" w:sz="2" w:space="0" w:color="000000"/>
              <w:bottom w:val="single" w:sz="2" w:space="0" w:color="000000"/>
              <w:right w:val="single" w:sz="2" w:space="0" w:color="000000"/>
            </w:tcBorders>
            <w:vAlign w:val="center"/>
          </w:tcPr>
          <w:p w14:paraId="40C4DAE7" w14:textId="77777777" w:rsidR="00833524" w:rsidRPr="00634E4C" w:rsidRDefault="00833524" w:rsidP="00E56269">
            <w:pPr>
              <w:spacing w:line="259" w:lineRule="auto"/>
              <w:ind w:right="27"/>
              <w:jc w:val="center"/>
              <w:rPr>
                <w:rFonts w:asciiTheme="majorHAnsi" w:hAnsiTheme="majorHAnsi"/>
                <w:b/>
                <w:sz w:val="18"/>
              </w:rPr>
            </w:pPr>
            <w:r w:rsidRPr="00634E4C">
              <w:rPr>
                <w:rFonts w:asciiTheme="majorHAnsi" w:hAnsiTheme="majorHAnsi"/>
                <w:b/>
                <w:color w:val="000000"/>
                <w:sz w:val="18"/>
              </w:rPr>
              <w:t>1831</w:t>
            </w:r>
          </w:p>
        </w:tc>
      </w:tr>
    </w:tbl>
    <w:p w14:paraId="59742D1A" w14:textId="440140DC" w:rsidR="00833524" w:rsidRPr="00364545" w:rsidRDefault="00833524" w:rsidP="00833524">
      <w:pPr>
        <w:pStyle w:val="Caption"/>
      </w:pPr>
      <w:r w:rsidRPr="00364545">
        <w:t>Table</w:t>
      </w:r>
      <w:fldSimple w:instr=" SEQ Tableau \* ARABIC ">
        <w:r w:rsidR="009A2FAA">
          <w:rPr>
            <w:noProof/>
          </w:rPr>
          <w:t>22</w:t>
        </w:r>
      </w:fldSimple>
      <w:r w:rsidRPr="00364545">
        <w:t>: HFC emissions projections (in ktCO</w:t>
      </w:r>
      <w:r w:rsidRPr="00364545">
        <w:rPr>
          <w:vertAlign w:val="subscript"/>
        </w:rPr>
        <w:t>2e</w:t>
      </w:r>
      <w:r w:rsidRPr="00364545">
        <w:t>) in the Kyoto scope in the AME scenario (with existing measures)</w:t>
      </w:r>
    </w:p>
    <w:p w14:paraId="58F31297" w14:textId="77777777" w:rsidR="00833524" w:rsidRPr="00364545" w:rsidRDefault="00833524" w:rsidP="00833524">
      <w:pPr>
        <w:pStyle w:val="Caption"/>
      </w:pPr>
      <w:r w:rsidRPr="00364545">
        <w:t>Source: UNFCCC inv</w:t>
      </w:r>
      <w:r>
        <w:t>entory, Citepa/MTE, 2022</w:t>
      </w:r>
      <w:r w:rsidRPr="00364545">
        <w:t xml:space="preserve"> submission and MTE emission projections, 2021</w:t>
      </w:r>
    </w:p>
    <w:p w14:paraId="001D0406" w14:textId="77777777" w:rsidR="00833524" w:rsidRPr="00364545" w:rsidRDefault="00833524" w:rsidP="00833524"/>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510"/>
        <w:gridCol w:w="765"/>
        <w:gridCol w:w="792"/>
        <w:gridCol w:w="792"/>
        <w:gridCol w:w="762"/>
        <w:gridCol w:w="685"/>
        <w:gridCol w:w="683"/>
        <w:gridCol w:w="675"/>
        <w:gridCol w:w="691"/>
        <w:gridCol w:w="658"/>
        <w:gridCol w:w="660"/>
        <w:gridCol w:w="659"/>
        <w:gridCol w:w="602"/>
      </w:tblGrid>
      <w:tr w:rsidR="00833524" w:rsidRPr="00364545" w14:paraId="415381A3" w14:textId="77777777" w:rsidTr="00E56269">
        <w:trPr>
          <w:trHeight w:val="402"/>
        </w:trPr>
        <w:tc>
          <w:tcPr>
            <w:tcW w:w="1510" w:type="dxa"/>
            <w:tcBorders>
              <w:top w:val="single" w:sz="2" w:space="0" w:color="000000"/>
              <w:left w:val="single" w:sz="2" w:space="0" w:color="000000"/>
              <w:bottom w:val="single" w:sz="2" w:space="0" w:color="000000"/>
              <w:right w:val="single" w:sz="2" w:space="0" w:color="000000"/>
            </w:tcBorders>
            <w:shd w:val="clear" w:color="auto" w:fill="6D2A78"/>
          </w:tcPr>
          <w:p w14:paraId="7430137F" w14:textId="77777777" w:rsidR="00833524" w:rsidRPr="00364545" w:rsidRDefault="00833524" w:rsidP="00E56269">
            <w:pPr>
              <w:spacing w:line="259" w:lineRule="auto"/>
            </w:pPr>
            <w:r w:rsidRPr="00364545">
              <w:t>AME 21 - PFC</w:t>
            </w:r>
          </w:p>
        </w:tc>
        <w:tc>
          <w:tcPr>
            <w:tcW w:w="765" w:type="dxa"/>
            <w:tcBorders>
              <w:top w:val="single" w:sz="2" w:space="0" w:color="000000"/>
              <w:left w:val="single" w:sz="2" w:space="0" w:color="000000"/>
              <w:bottom w:val="single" w:sz="2" w:space="0" w:color="000000"/>
              <w:right w:val="single" w:sz="2" w:space="0" w:color="000000"/>
            </w:tcBorders>
            <w:shd w:val="clear" w:color="auto" w:fill="6D2A78"/>
          </w:tcPr>
          <w:p w14:paraId="7368ED9D" w14:textId="77777777" w:rsidR="00833524" w:rsidRPr="00364545" w:rsidRDefault="00833524" w:rsidP="00E56269">
            <w:pPr>
              <w:spacing w:line="259" w:lineRule="auto"/>
              <w:ind w:left="19"/>
              <w:jc w:val="center"/>
            </w:pPr>
            <w:r w:rsidRPr="00364545">
              <w:rPr>
                <w:b/>
                <w:color w:val="FFFFFF"/>
                <w:sz w:val="18"/>
              </w:rPr>
              <w:t xml:space="preserve">1990 </w:t>
            </w:r>
          </w:p>
        </w:tc>
        <w:tc>
          <w:tcPr>
            <w:tcW w:w="792" w:type="dxa"/>
            <w:tcBorders>
              <w:top w:val="single" w:sz="2" w:space="0" w:color="000000"/>
              <w:left w:val="single" w:sz="2" w:space="0" w:color="000000"/>
              <w:bottom w:val="single" w:sz="2" w:space="0" w:color="000000"/>
              <w:right w:val="single" w:sz="2" w:space="0" w:color="000000"/>
            </w:tcBorders>
            <w:shd w:val="clear" w:color="auto" w:fill="6D2A78"/>
          </w:tcPr>
          <w:p w14:paraId="1B709FA4" w14:textId="77777777" w:rsidR="00833524" w:rsidRPr="00364545" w:rsidRDefault="00833524" w:rsidP="00E56269">
            <w:pPr>
              <w:spacing w:line="259" w:lineRule="auto"/>
              <w:ind w:left="21"/>
              <w:jc w:val="center"/>
              <w:rPr>
                <w:b/>
                <w:color w:val="FFFFFF"/>
                <w:sz w:val="18"/>
              </w:rPr>
            </w:pPr>
            <w:r w:rsidRPr="00364545">
              <w:rPr>
                <w:b/>
                <w:color w:val="FFFFFF"/>
                <w:sz w:val="18"/>
              </w:rPr>
              <w:t>1995</w:t>
            </w:r>
          </w:p>
        </w:tc>
        <w:tc>
          <w:tcPr>
            <w:tcW w:w="792" w:type="dxa"/>
            <w:tcBorders>
              <w:top w:val="single" w:sz="2" w:space="0" w:color="000000"/>
              <w:left w:val="single" w:sz="2" w:space="0" w:color="000000"/>
              <w:bottom w:val="single" w:sz="2" w:space="0" w:color="000000"/>
              <w:right w:val="single" w:sz="2" w:space="0" w:color="000000"/>
            </w:tcBorders>
            <w:shd w:val="clear" w:color="auto" w:fill="6D2A78"/>
          </w:tcPr>
          <w:p w14:paraId="4AA916F1" w14:textId="77777777" w:rsidR="00833524" w:rsidRPr="00364545" w:rsidRDefault="00833524" w:rsidP="00E56269">
            <w:pPr>
              <w:spacing w:line="259" w:lineRule="auto"/>
              <w:ind w:left="21"/>
              <w:jc w:val="center"/>
            </w:pPr>
            <w:r w:rsidRPr="00364545">
              <w:rPr>
                <w:b/>
                <w:color w:val="FFFFFF"/>
                <w:sz w:val="18"/>
              </w:rPr>
              <w:t xml:space="preserve">2000 </w:t>
            </w:r>
          </w:p>
        </w:tc>
        <w:tc>
          <w:tcPr>
            <w:tcW w:w="762" w:type="dxa"/>
            <w:tcBorders>
              <w:top w:val="single" w:sz="2" w:space="0" w:color="000000"/>
              <w:left w:val="single" w:sz="2" w:space="0" w:color="000000"/>
              <w:bottom w:val="single" w:sz="2" w:space="0" w:color="000000"/>
              <w:right w:val="single" w:sz="2" w:space="0" w:color="000000"/>
            </w:tcBorders>
            <w:shd w:val="clear" w:color="auto" w:fill="6D2A78"/>
          </w:tcPr>
          <w:p w14:paraId="53E1F683" w14:textId="77777777" w:rsidR="00833524" w:rsidRPr="00364545" w:rsidRDefault="00833524" w:rsidP="00E56269">
            <w:pPr>
              <w:spacing w:line="259" w:lineRule="auto"/>
              <w:ind w:left="19"/>
              <w:jc w:val="center"/>
            </w:pPr>
            <w:r w:rsidRPr="00364545">
              <w:rPr>
                <w:b/>
                <w:color w:val="FFFFFF"/>
                <w:sz w:val="18"/>
              </w:rPr>
              <w:t xml:space="preserve">2005 </w:t>
            </w:r>
          </w:p>
        </w:tc>
        <w:tc>
          <w:tcPr>
            <w:tcW w:w="685" w:type="dxa"/>
            <w:tcBorders>
              <w:top w:val="single" w:sz="2" w:space="0" w:color="000000"/>
              <w:left w:val="single" w:sz="2" w:space="0" w:color="000000"/>
              <w:bottom w:val="single" w:sz="2" w:space="0" w:color="000000"/>
              <w:right w:val="single" w:sz="2" w:space="0" w:color="000000"/>
            </w:tcBorders>
            <w:shd w:val="clear" w:color="auto" w:fill="6D2A78"/>
          </w:tcPr>
          <w:p w14:paraId="1EBAED10" w14:textId="77777777" w:rsidR="00833524" w:rsidRPr="00364545" w:rsidRDefault="00833524" w:rsidP="00E56269">
            <w:pPr>
              <w:spacing w:line="259" w:lineRule="auto"/>
              <w:ind w:left="21"/>
              <w:jc w:val="center"/>
            </w:pPr>
            <w:r w:rsidRPr="00364545">
              <w:rPr>
                <w:b/>
                <w:color w:val="FFFFFF"/>
                <w:sz w:val="18"/>
              </w:rPr>
              <w:t xml:space="preserve">2010 </w:t>
            </w:r>
          </w:p>
        </w:tc>
        <w:tc>
          <w:tcPr>
            <w:tcW w:w="683" w:type="dxa"/>
            <w:tcBorders>
              <w:top w:val="single" w:sz="2" w:space="0" w:color="000000"/>
              <w:left w:val="single" w:sz="2" w:space="0" w:color="000000"/>
              <w:bottom w:val="single" w:sz="2" w:space="0" w:color="000000"/>
              <w:right w:val="single" w:sz="2" w:space="0" w:color="000000"/>
            </w:tcBorders>
            <w:shd w:val="clear" w:color="auto" w:fill="6D2A78"/>
          </w:tcPr>
          <w:p w14:paraId="042540C1" w14:textId="77777777" w:rsidR="00833524" w:rsidRPr="00364545" w:rsidRDefault="00833524" w:rsidP="00E56269">
            <w:pPr>
              <w:spacing w:line="259" w:lineRule="auto"/>
              <w:ind w:left="19"/>
              <w:jc w:val="center"/>
            </w:pPr>
            <w:r w:rsidRPr="00364545">
              <w:rPr>
                <w:b/>
                <w:color w:val="FFFFFF"/>
                <w:sz w:val="18"/>
              </w:rPr>
              <w:t xml:space="preserve">2015 </w:t>
            </w:r>
          </w:p>
        </w:tc>
        <w:tc>
          <w:tcPr>
            <w:tcW w:w="675" w:type="dxa"/>
            <w:tcBorders>
              <w:top w:val="single" w:sz="2" w:space="0" w:color="000000"/>
              <w:left w:val="single" w:sz="2" w:space="0" w:color="000000"/>
              <w:bottom w:val="single" w:sz="2" w:space="0" w:color="000000"/>
              <w:right w:val="single" w:sz="2" w:space="0" w:color="000000"/>
            </w:tcBorders>
            <w:shd w:val="clear" w:color="auto" w:fill="6D2A78"/>
          </w:tcPr>
          <w:p w14:paraId="2431D999" w14:textId="77777777" w:rsidR="00833524" w:rsidRPr="00364545" w:rsidRDefault="00833524" w:rsidP="00E56269">
            <w:pPr>
              <w:spacing w:line="259" w:lineRule="auto"/>
              <w:ind w:left="21"/>
              <w:jc w:val="center"/>
              <w:rPr>
                <w:b/>
                <w:color w:val="FFFFFF"/>
                <w:sz w:val="18"/>
              </w:rPr>
            </w:pPr>
            <w:r w:rsidRPr="00364545">
              <w:rPr>
                <w:b/>
                <w:color w:val="FFFFFF"/>
                <w:sz w:val="18"/>
              </w:rPr>
              <w:t>2019</w:t>
            </w:r>
          </w:p>
        </w:tc>
        <w:tc>
          <w:tcPr>
            <w:tcW w:w="691" w:type="dxa"/>
            <w:tcBorders>
              <w:top w:val="single" w:sz="2" w:space="0" w:color="000000"/>
              <w:left w:val="single" w:sz="2" w:space="0" w:color="000000"/>
              <w:bottom w:val="single" w:sz="2" w:space="0" w:color="000000"/>
              <w:right w:val="single" w:sz="2" w:space="0" w:color="000000"/>
            </w:tcBorders>
            <w:shd w:val="clear" w:color="auto" w:fill="6D2A78"/>
          </w:tcPr>
          <w:p w14:paraId="27757FE0" w14:textId="77777777" w:rsidR="00833524" w:rsidRPr="00364545" w:rsidRDefault="00833524" w:rsidP="00E56269">
            <w:pPr>
              <w:spacing w:line="259" w:lineRule="auto"/>
              <w:ind w:left="21"/>
              <w:jc w:val="center"/>
            </w:pPr>
            <w:r w:rsidRPr="00364545">
              <w:rPr>
                <w:b/>
                <w:color w:val="FFFFFF"/>
                <w:sz w:val="18"/>
              </w:rPr>
              <w:t xml:space="preserve">2020 </w:t>
            </w:r>
          </w:p>
        </w:tc>
        <w:tc>
          <w:tcPr>
            <w:tcW w:w="658" w:type="dxa"/>
            <w:tcBorders>
              <w:top w:val="single" w:sz="2" w:space="0" w:color="000000"/>
              <w:left w:val="single" w:sz="2" w:space="0" w:color="000000"/>
              <w:bottom w:val="single" w:sz="2" w:space="0" w:color="000000"/>
              <w:right w:val="single" w:sz="2" w:space="0" w:color="000000"/>
            </w:tcBorders>
            <w:shd w:val="clear" w:color="auto" w:fill="6D2A78"/>
          </w:tcPr>
          <w:p w14:paraId="61B77E2D" w14:textId="77777777" w:rsidR="00833524" w:rsidRPr="00364545" w:rsidRDefault="00833524" w:rsidP="00E56269">
            <w:pPr>
              <w:spacing w:line="259" w:lineRule="auto"/>
              <w:ind w:left="19"/>
              <w:jc w:val="center"/>
            </w:pPr>
            <w:r w:rsidRPr="00364545">
              <w:rPr>
                <w:b/>
                <w:color w:val="FFFFFF"/>
                <w:sz w:val="18"/>
              </w:rPr>
              <w:t xml:space="preserve">2025 </w:t>
            </w:r>
          </w:p>
        </w:tc>
        <w:tc>
          <w:tcPr>
            <w:tcW w:w="660" w:type="dxa"/>
            <w:tcBorders>
              <w:top w:val="single" w:sz="2" w:space="0" w:color="000000"/>
              <w:left w:val="single" w:sz="2" w:space="0" w:color="000000"/>
              <w:bottom w:val="single" w:sz="2" w:space="0" w:color="000000"/>
              <w:right w:val="single" w:sz="2" w:space="0" w:color="000000"/>
            </w:tcBorders>
            <w:shd w:val="clear" w:color="auto" w:fill="6D2A78"/>
          </w:tcPr>
          <w:p w14:paraId="57708154" w14:textId="77777777" w:rsidR="00833524" w:rsidRPr="00364545" w:rsidRDefault="00833524" w:rsidP="00E56269">
            <w:pPr>
              <w:spacing w:line="259" w:lineRule="auto"/>
              <w:ind w:left="21"/>
              <w:jc w:val="center"/>
            </w:pPr>
            <w:r w:rsidRPr="00364545">
              <w:rPr>
                <w:b/>
                <w:color w:val="FFFFFF"/>
                <w:sz w:val="18"/>
              </w:rPr>
              <w:t xml:space="preserve">2030 </w:t>
            </w:r>
          </w:p>
        </w:tc>
        <w:tc>
          <w:tcPr>
            <w:tcW w:w="659" w:type="dxa"/>
            <w:tcBorders>
              <w:top w:val="single" w:sz="2" w:space="0" w:color="000000"/>
              <w:left w:val="single" w:sz="2" w:space="0" w:color="000000"/>
              <w:bottom w:val="single" w:sz="2" w:space="0" w:color="000000"/>
              <w:right w:val="single" w:sz="2" w:space="0" w:color="000000"/>
            </w:tcBorders>
            <w:shd w:val="clear" w:color="auto" w:fill="6D2A78"/>
          </w:tcPr>
          <w:p w14:paraId="121E4C75" w14:textId="77777777" w:rsidR="00833524" w:rsidRPr="00364545" w:rsidRDefault="00833524" w:rsidP="00E56269">
            <w:pPr>
              <w:spacing w:line="259" w:lineRule="auto"/>
              <w:ind w:left="20"/>
              <w:jc w:val="center"/>
            </w:pPr>
            <w:r w:rsidRPr="00364545">
              <w:rPr>
                <w:b/>
                <w:color w:val="FFFFFF"/>
                <w:sz w:val="18"/>
              </w:rPr>
              <w:t xml:space="preserve">2035 </w:t>
            </w:r>
          </w:p>
        </w:tc>
        <w:tc>
          <w:tcPr>
            <w:tcW w:w="602" w:type="dxa"/>
            <w:tcBorders>
              <w:top w:val="single" w:sz="2" w:space="0" w:color="000000"/>
              <w:left w:val="single" w:sz="2" w:space="0" w:color="000000"/>
              <w:bottom w:val="single" w:sz="2" w:space="0" w:color="000000"/>
              <w:right w:val="single" w:sz="2" w:space="0" w:color="000000"/>
            </w:tcBorders>
            <w:shd w:val="clear" w:color="auto" w:fill="6D2A78"/>
          </w:tcPr>
          <w:p w14:paraId="2F67EF49" w14:textId="77777777" w:rsidR="00833524" w:rsidRPr="00364545" w:rsidRDefault="00833524" w:rsidP="00E56269">
            <w:pPr>
              <w:spacing w:line="259" w:lineRule="auto"/>
              <w:ind w:left="20"/>
              <w:jc w:val="center"/>
              <w:rPr>
                <w:b/>
                <w:color w:val="FFFFFF"/>
                <w:sz w:val="18"/>
              </w:rPr>
            </w:pPr>
            <w:r w:rsidRPr="00364545">
              <w:rPr>
                <w:b/>
                <w:color w:val="FFFFFF"/>
                <w:sz w:val="18"/>
              </w:rPr>
              <w:t>2050</w:t>
            </w:r>
          </w:p>
        </w:tc>
      </w:tr>
      <w:tr w:rsidR="00833524" w:rsidRPr="00364545" w14:paraId="1FB92971" w14:textId="77777777" w:rsidTr="00E56269">
        <w:trPr>
          <w:trHeight w:val="344"/>
        </w:trPr>
        <w:tc>
          <w:tcPr>
            <w:tcW w:w="1510" w:type="dxa"/>
            <w:tcBorders>
              <w:top w:val="single" w:sz="2" w:space="0" w:color="000000"/>
              <w:left w:val="single" w:sz="2" w:space="0" w:color="000000"/>
              <w:bottom w:val="single" w:sz="2" w:space="0" w:color="000000"/>
              <w:right w:val="single" w:sz="2" w:space="0" w:color="000000"/>
            </w:tcBorders>
          </w:tcPr>
          <w:p w14:paraId="3BA113F2" w14:textId="77777777" w:rsidR="00833524" w:rsidRPr="00364545" w:rsidRDefault="00833524" w:rsidP="00E56269">
            <w:pPr>
              <w:spacing w:line="259" w:lineRule="auto"/>
            </w:pPr>
            <w:r w:rsidRPr="00364545">
              <w:rPr>
                <w:sz w:val="18"/>
              </w:rPr>
              <w:t xml:space="preserve">Energy </w:t>
            </w:r>
          </w:p>
        </w:tc>
        <w:tc>
          <w:tcPr>
            <w:tcW w:w="765" w:type="dxa"/>
            <w:tcBorders>
              <w:top w:val="single" w:sz="2" w:space="0" w:color="000000"/>
              <w:left w:val="single" w:sz="2" w:space="0" w:color="000000"/>
              <w:bottom w:val="single" w:sz="2" w:space="0" w:color="000000"/>
              <w:right w:val="single" w:sz="2" w:space="0" w:color="000000"/>
            </w:tcBorders>
            <w:vAlign w:val="center"/>
          </w:tcPr>
          <w:p w14:paraId="2D86FA90"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2E474360"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7EF08446"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6C0F7FCB"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85" w:type="dxa"/>
            <w:tcBorders>
              <w:top w:val="single" w:sz="2" w:space="0" w:color="000000"/>
              <w:left w:val="single" w:sz="2" w:space="0" w:color="000000"/>
              <w:bottom w:val="single" w:sz="2" w:space="0" w:color="000000"/>
              <w:right w:val="single" w:sz="2" w:space="0" w:color="000000"/>
            </w:tcBorders>
            <w:vAlign w:val="center"/>
          </w:tcPr>
          <w:p w14:paraId="29A66D15"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83" w:type="dxa"/>
            <w:tcBorders>
              <w:top w:val="single" w:sz="2" w:space="0" w:color="000000"/>
              <w:left w:val="single" w:sz="2" w:space="0" w:color="000000"/>
              <w:bottom w:val="single" w:sz="2" w:space="0" w:color="000000"/>
              <w:right w:val="single" w:sz="2" w:space="0" w:color="000000"/>
            </w:tcBorders>
            <w:vAlign w:val="center"/>
          </w:tcPr>
          <w:p w14:paraId="70B38C7A"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332119F5"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91" w:type="dxa"/>
            <w:tcBorders>
              <w:top w:val="single" w:sz="2" w:space="0" w:color="000000"/>
              <w:left w:val="single" w:sz="2" w:space="0" w:color="000000"/>
              <w:bottom w:val="single" w:sz="2" w:space="0" w:color="000000"/>
              <w:right w:val="single" w:sz="2" w:space="0" w:color="000000"/>
            </w:tcBorders>
            <w:vAlign w:val="center"/>
          </w:tcPr>
          <w:p w14:paraId="17EDACBD"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58" w:type="dxa"/>
            <w:tcBorders>
              <w:top w:val="single" w:sz="2" w:space="0" w:color="000000"/>
              <w:left w:val="single" w:sz="2" w:space="0" w:color="000000"/>
              <w:bottom w:val="single" w:sz="2" w:space="0" w:color="000000"/>
              <w:right w:val="single" w:sz="2" w:space="0" w:color="000000"/>
            </w:tcBorders>
            <w:vAlign w:val="center"/>
          </w:tcPr>
          <w:p w14:paraId="1408953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60" w:type="dxa"/>
            <w:tcBorders>
              <w:top w:val="single" w:sz="2" w:space="0" w:color="000000"/>
              <w:left w:val="single" w:sz="2" w:space="0" w:color="000000"/>
              <w:bottom w:val="single" w:sz="2" w:space="0" w:color="000000"/>
              <w:right w:val="single" w:sz="2" w:space="0" w:color="000000"/>
            </w:tcBorders>
            <w:vAlign w:val="center"/>
          </w:tcPr>
          <w:p w14:paraId="28524969"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59" w:type="dxa"/>
            <w:tcBorders>
              <w:top w:val="single" w:sz="2" w:space="0" w:color="000000"/>
              <w:left w:val="single" w:sz="2" w:space="0" w:color="000000"/>
              <w:bottom w:val="single" w:sz="2" w:space="0" w:color="000000"/>
              <w:right w:val="single" w:sz="2" w:space="0" w:color="000000"/>
            </w:tcBorders>
            <w:vAlign w:val="center"/>
          </w:tcPr>
          <w:p w14:paraId="77D70B78"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0FE001FE"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r>
      <w:tr w:rsidR="00833524" w:rsidRPr="00364545" w14:paraId="1955DF96" w14:textId="77777777" w:rsidTr="00E56269">
        <w:trPr>
          <w:trHeight w:val="419"/>
        </w:trPr>
        <w:tc>
          <w:tcPr>
            <w:tcW w:w="1510" w:type="dxa"/>
            <w:tcBorders>
              <w:top w:val="single" w:sz="2" w:space="0" w:color="000000"/>
              <w:left w:val="single" w:sz="2" w:space="0" w:color="000000"/>
              <w:bottom w:val="single" w:sz="2" w:space="0" w:color="000000"/>
              <w:right w:val="single" w:sz="2" w:space="0" w:color="000000"/>
            </w:tcBorders>
            <w:shd w:val="clear" w:color="auto" w:fill="ECE6E2"/>
          </w:tcPr>
          <w:p w14:paraId="1D77A86C" w14:textId="77777777" w:rsidR="00833524" w:rsidRPr="00364545" w:rsidRDefault="00833524" w:rsidP="00E56269">
            <w:pPr>
              <w:spacing w:line="259" w:lineRule="auto"/>
            </w:pPr>
            <w:r w:rsidRPr="00364545">
              <w:rPr>
                <w:sz w:val="18"/>
              </w:rPr>
              <w:t xml:space="preserve">Industrial processes, solvents and other products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284FEF2" w14:textId="77777777" w:rsidR="00833524" w:rsidRPr="00634E4C" w:rsidRDefault="00833524" w:rsidP="00E56269">
            <w:pPr>
              <w:spacing w:line="259" w:lineRule="auto"/>
              <w:ind w:left="16"/>
              <w:jc w:val="center"/>
              <w:rPr>
                <w:rFonts w:asciiTheme="majorHAnsi" w:hAnsiTheme="majorHAnsi"/>
                <w:sz w:val="18"/>
              </w:rPr>
            </w:pPr>
            <w:r w:rsidRPr="005D0955">
              <w:rPr>
                <w:rFonts w:asciiTheme="majorHAnsi" w:hAnsiTheme="majorHAnsi"/>
                <w:sz w:val="18"/>
                <w:szCs w:val="18"/>
              </w:rPr>
              <w:t>5202</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33536E0" w14:textId="77777777" w:rsidR="00833524" w:rsidRPr="00634E4C" w:rsidRDefault="00833524" w:rsidP="00E56269">
            <w:pPr>
              <w:spacing w:line="259" w:lineRule="auto"/>
              <w:ind w:left="16"/>
              <w:jc w:val="center"/>
              <w:rPr>
                <w:rFonts w:asciiTheme="majorHAnsi" w:hAnsiTheme="majorHAnsi"/>
                <w:color w:val="000000"/>
                <w:sz w:val="18"/>
              </w:rPr>
            </w:pPr>
            <w:r w:rsidRPr="005D0955">
              <w:rPr>
                <w:rFonts w:asciiTheme="majorHAnsi" w:hAnsiTheme="majorHAnsi"/>
                <w:sz w:val="18"/>
                <w:szCs w:val="18"/>
              </w:rPr>
              <w:t>3065</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B86E23F" w14:textId="77777777" w:rsidR="00833524" w:rsidRPr="00634E4C" w:rsidRDefault="00833524" w:rsidP="00E56269">
            <w:pPr>
              <w:spacing w:line="259" w:lineRule="auto"/>
              <w:ind w:left="16"/>
              <w:jc w:val="center"/>
              <w:rPr>
                <w:rFonts w:asciiTheme="majorHAnsi" w:hAnsiTheme="majorHAnsi"/>
                <w:color w:val="000000"/>
                <w:sz w:val="18"/>
              </w:rPr>
            </w:pPr>
            <w:r w:rsidRPr="00634E4C">
              <w:rPr>
                <w:rFonts w:asciiTheme="majorHAnsi" w:hAnsiTheme="majorHAnsi"/>
                <w:sz w:val="18"/>
              </w:rPr>
              <w:t>2997</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0A297E8" w14:textId="77777777" w:rsidR="00833524" w:rsidRPr="00634E4C" w:rsidRDefault="00833524" w:rsidP="00E56269">
            <w:pPr>
              <w:spacing w:line="259" w:lineRule="auto"/>
              <w:ind w:left="16"/>
              <w:jc w:val="center"/>
              <w:rPr>
                <w:rFonts w:asciiTheme="majorHAnsi" w:hAnsiTheme="majorHAnsi"/>
                <w:color w:val="000000"/>
                <w:sz w:val="18"/>
              </w:rPr>
            </w:pPr>
            <w:r w:rsidRPr="00634E4C">
              <w:rPr>
                <w:rFonts w:asciiTheme="majorHAnsi" w:hAnsiTheme="majorHAnsi"/>
                <w:sz w:val="18"/>
              </w:rPr>
              <w:t>1760</w:t>
            </w:r>
          </w:p>
        </w:tc>
        <w:tc>
          <w:tcPr>
            <w:tcW w:w="68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8AA4D0F" w14:textId="77777777" w:rsidR="00833524" w:rsidRPr="00634E4C" w:rsidRDefault="00833524" w:rsidP="00E56269">
            <w:pPr>
              <w:spacing w:line="259" w:lineRule="auto"/>
              <w:ind w:left="16"/>
              <w:jc w:val="center"/>
              <w:rPr>
                <w:rFonts w:asciiTheme="majorHAnsi" w:hAnsiTheme="majorHAnsi"/>
                <w:color w:val="000000"/>
                <w:sz w:val="18"/>
              </w:rPr>
            </w:pPr>
            <w:r w:rsidRPr="00634E4C">
              <w:rPr>
                <w:rFonts w:asciiTheme="majorHAnsi" w:hAnsiTheme="majorHAnsi"/>
                <w:sz w:val="18"/>
              </w:rPr>
              <w:t>617</w:t>
            </w:r>
          </w:p>
        </w:tc>
        <w:tc>
          <w:tcPr>
            <w:tcW w:w="68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85B37FB" w14:textId="77777777" w:rsidR="00833524" w:rsidRPr="00634E4C" w:rsidRDefault="00833524" w:rsidP="00E56269">
            <w:pPr>
              <w:spacing w:line="259" w:lineRule="auto"/>
              <w:ind w:left="16"/>
              <w:jc w:val="center"/>
              <w:rPr>
                <w:rFonts w:asciiTheme="majorHAnsi" w:hAnsiTheme="majorHAnsi"/>
                <w:color w:val="000000"/>
                <w:sz w:val="18"/>
              </w:rPr>
            </w:pPr>
            <w:r w:rsidRPr="005D0955">
              <w:rPr>
                <w:rFonts w:asciiTheme="majorHAnsi" w:hAnsiTheme="majorHAnsi"/>
                <w:sz w:val="18"/>
                <w:szCs w:val="18"/>
              </w:rPr>
              <w:t>537</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E7F5D0C" w14:textId="77777777" w:rsidR="00833524" w:rsidRPr="00634E4C" w:rsidRDefault="00833524" w:rsidP="00E56269">
            <w:pPr>
              <w:spacing w:line="259" w:lineRule="auto"/>
              <w:ind w:left="16"/>
              <w:jc w:val="center"/>
              <w:rPr>
                <w:rFonts w:asciiTheme="majorHAnsi" w:hAnsiTheme="majorHAnsi"/>
                <w:color w:val="000000"/>
                <w:sz w:val="18"/>
              </w:rPr>
            </w:pPr>
            <w:r w:rsidRPr="005D0955">
              <w:rPr>
                <w:rFonts w:asciiTheme="majorHAnsi" w:hAnsiTheme="majorHAnsi"/>
                <w:sz w:val="18"/>
                <w:szCs w:val="18"/>
              </w:rPr>
              <w:t>615</w:t>
            </w:r>
          </w:p>
        </w:tc>
        <w:tc>
          <w:tcPr>
            <w:tcW w:w="69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7214611" w14:textId="77777777" w:rsidR="00833524" w:rsidRPr="00634E4C" w:rsidRDefault="00833524" w:rsidP="00E56269">
            <w:pPr>
              <w:spacing w:line="259" w:lineRule="auto"/>
              <w:ind w:left="16"/>
              <w:jc w:val="center"/>
              <w:rPr>
                <w:rFonts w:asciiTheme="majorHAnsi" w:hAnsiTheme="majorHAnsi"/>
                <w:color w:val="000000"/>
                <w:sz w:val="18"/>
              </w:rPr>
            </w:pPr>
            <w:r w:rsidRPr="00634E4C">
              <w:rPr>
                <w:rFonts w:asciiTheme="majorHAnsi" w:hAnsiTheme="majorHAnsi"/>
                <w:color w:val="000000"/>
                <w:sz w:val="18"/>
              </w:rPr>
              <w:t>462.9</w:t>
            </w:r>
          </w:p>
        </w:tc>
        <w:tc>
          <w:tcPr>
            <w:tcW w:w="65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289B032" w14:textId="77777777" w:rsidR="00833524" w:rsidRPr="00634E4C" w:rsidRDefault="00833524" w:rsidP="00E56269">
            <w:pPr>
              <w:spacing w:line="259" w:lineRule="auto"/>
              <w:ind w:left="16"/>
              <w:jc w:val="center"/>
              <w:rPr>
                <w:rFonts w:asciiTheme="majorHAnsi" w:hAnsiTheme="majorHAnsi"/>
                <w:color w:val="000000"/>
                <w:sz w:val="18"/>
              </w:rPr>
            </w:pPr>
            <w:r w:rsidRPr="00634E4C">
              <w:rPr>
                <w:rFonts w:asciiTheme="majorHAnsi" w:hAnsiTheme="majorHAnsi"/>
                <w:color w:val="000000"/>
                <w:sz w:val="18"/>
              </w:rPr>
              <w:t>290.7</w:t>
            </w:r>
          </w:p>
        </w:tc>
        <w:tc>
          <w:tcPr>
            <w:tcW w:w="66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7396CF2" w14:textId="77777777" w:rsidR="00833524" w:rsidRPr="00634E4C" w:rsidRDefault="00833524" w:rsidP="00E56269">
            <w:pPr>
              <w:spacing w:line="259" w:lineRule="auto"/>
              <w:ind w:left="16"/>
              <w:jc w:val="center"/>
              <w:rPr>
                <w:rFonts w:asciiTheme="majorHAnsi" w:hAnsiTheme="majorHAnsi"/>
                <w:color w:val="000000"/>
                <w:sz w:val="18"/>
              </w:rPr>
            </w:pPr>
            <w:r w:rsidRPr="00634E4C">
              <w:rPr>
                <w:rFonts w:asciiTheme="majorHAnsi" w:hAnsiTheme="majorHAnsi"/>
                <w:color w:val="000000"/>
                <w:sz w:val="18"/>
              </w:rPr>
              <w:t>217.7</w:t>
            </w:r>
          </w:p>
        </w:tc>
        <w:tc>
          <w:tcPr>
            <w:tcW w:w="65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1154047" w14:textId="77777777" w:rsidR="00833524" w:rsidRPr="00634E4C" w:rsidRDefault="00833524" w:rsidP="00E56269">
            <w:pPr>
              <w:spacing w:line="259" w:lineRule="auto"/>
              <w:ind w:left="16"/>
              <w:jc w:val="center"/>
              <w:rPr>
                <w:rFonts w:asciiTheme="majorHAnsi" w:hAnsiTheme="majorHAnsi"/>
                <w:color w:val="000000"/>
                <w:sz w:val="18"/>
              </w:rPr>
            </w:pPr>
            <w:r w:rsidRPr="00634E4C">
              <w:rPr>
                <w:rFonts w:asciiTheme="majorHAnsi" w:hAnsiTheme="majorHAnsi"/>
                <w:color w:val="000000"/>
                <w:sz w:val="18"/>
              </w:rPr>
              <w:t>156.5</w:t>
            </w:r>
          </w:p>
        </w:tc>
        <w:tc>
          <w:tcPr>
            <w:tcW w:w="6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74FBEC2" w14:textId="77777777" w:rsidR="00833524" w:rsidRPr="00634E4C" w:rsidRDefault="00833524" w:rsidP="00E56269">
            <w:pPr>
              <w:spacing w:line="259" w:lineRule="auto"/>
              <w:ind w:left="16"/>
              <w:jc w:val="center"/>
              <w:rPr>
                <w:rFonts w:asciiTheme="majorHAnsi" w:hAnsiTheme="majorHAnsi"/>
                <w:color w:val="000000"/>
                <w:sz w:val="18"/>
              </w:rPr>
            </w:pPr>
            <w:r w:rsidRPr="00634E4C">
              <w:rPr>
                <w:rFonts w:asciiTheme="majorHAnsi" w:hAnsiTheme="majorHAnsi"/>
                <w:color w:val="000000"/>
                <w:sz w:val="18"/>
              </w:rPr>
              <w:t>130.9</w:t>
            </w:r>
          </w:p>
        </w:tc>
      </w:tr>
      <w:tr w:rsidR="00833524" w:rsidRPr="00364545" w14:paraId="716D962D" w14:textId="77777777" w:rsidTr="00E56269">
        <w:trPr>
          <w:trHeight w:val="347"/>
        </w:trPr>
        <w:tc>
          <w:tcPr>
            <w:tcW w:w="1510" w:type="dxa"/>
            <w:tcBorders>
              <w:top w:val="single" w:sz="2" w:space="0" w:color="000000"/>
              <w:left w:val="single" w:sz="2" w:space="0" w:color="000000"/>
              <w:bottom w:val="single" w:sz="2" w:space="0" w:color="000000"/>
              <w:right w:val="single" w:sz="2" w:space="0" w:color="000000"/>
            </w:tcBorders>
          </w:tcPr>
          <w:p w14:paraId="0E6F3F6F" w14:textId="77777777" w:rsidR="00833524" w:rsidRPr="00364545" w:rsidRDefault="00833524" w:rsidP="00E56269">
            <w:pPr>
              <w:spacing w:line="259" w:lineRule="auto"/>
            </w:pPr>
            <w:r w:rsidRPr="00364545">
              <w:rPr>
                <w:sz w:val="18"/>
              </w:rPr>
              <w:t xml:space="preserve">Agriculture (excluding energy) </w:t>
            </w:r>
          </w:p>
        </w:tc>
        <w:tc>
          <w:tcPr>
            <w:tcW w:w="765" w:type="dxa"/>
            <w:tcBorders>
              <w:top w:val="single" w:sz="2" w:space="0" w:color="000000"/>
              <w:left w:val="single" w:sz="2" w:space="0" w:color="000000"/>
              <w:bottom w:val="single" w:sz="2" w:space="0" w:color="000000"/>
              <w:right w:val="single" w:sz="2" w:space="0" w:color="000000"/>
            </w:tcBorders>
            <w:vAlign w:val="center"/>
          </w:tcPr>
          <w:p w14:paraId="5CE132CE"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4666EC7E"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758B6793"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00116F63"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85" w:type="dxa"/>
            <w:tcBorders>
              <w:top w:val="single" w:sz="2" w:space="0" w:color="000000"/>
              <w:left w:val="single" w:sz="2" w:space="0" w:color="000000"/>
              <w:bottom w:val="single" w:sz="2" w:space="0" w:color="000000"/>
              <w:right w:val="single" w:sz="2" w:space="0" w:color="000000"/>
            </w:tcBorders>
            <w:vAlign w:val="center"/>
          </w:tcPr>
          <w:p w14:paraId="37EADB8B"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83" w:type="dxa"/>
            <w:tcBorders>
              <w:top w:val="single" w:sz="2" w:space="0" w:color="000000"/>
              <w:left w:val="single" w:sz="2" w:space="0" w:color="000000"/>
              <w:bottom w:val="single" w:sz="2" w:space="0" w:color="000000"/>
              <w:right w:val="single" w:sz="2" w:space="0" w:color="000000"/>
            </w:tcBorders>
            <w:vAlign w:val="center"/>
          </w:tcPr>
          <w:p w14:paraId="47F52E47"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23FD258C"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91" w:type="dxa"/>
            <w:tcBorders>
              <w:top w:val="single" w:sz="2" w:space="0" w:color="000000"/>
              <w:left w:val="single" w:sz="2" w:space="0" w:color="000000"/>
              <w:bottom w:val="single" w:sz="2" w:space="0" w:color="000000"/>
              <w:right w:val="single" w:sz="2" w:space="0" w:color="000000"/>
            </w:tcBorders>
            <w:vAlign w:val="center"/>
          </w:tcPr>
          <w:p w14:paraId="419637D6"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58" w:type="dxa"/>
            <w:tcBorders>
              <w:top w:val="single" w:sz="2" w:space="0" w:color="000000"/>
              <w:left w:val="single" w:sz="2" w:space="0" w:color="000000"/>
              <w:bottom w:val="single" w:sz="2" w:space="0" w:color="000000"/>
              <w:right w:val="single" w:sz="2" w:space="0" w:color="000000"/>
            </w:tcBorders>
            <w:vAlign w:val="center"/>
          </w:tcPr>
          <w:p w14:paraId="3AE8EDA0"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60" w:type="dxa"/>
            <w:tcBorders>
              <w:top w:val="single" w:sz="2" w:space="0" w:color="000000"/>
              <w:left w:val="single" w:sz="2" w:space="0" w:color="000000"/>
              <w:bottom w:val="single" w:sz="2" w:space="0" w:color="000000"/>
              <w:right w:val="single" w:sz="2" w:space="0" w:color="000000"/>
            </w:tcBorders>
            <w:vAlign w:val="center"/>
          </w:tcPr>
          <w:p w14:paraId="14F0E7A6"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59" w:type="dxa"/>
            <w:tcBorders>
              <w:top w:val="single" w:sz="2" w:space="0" w:color="000000"/>
              <w:left w:val="single" w:sz="2" w:space="0" w:color="000000"/>
              <w:bottom w:val="single" w:sz="2" w:space="0" w:color="000000"/>
              <w:right w:val="single" w:sz="2" w:space="0" w:color="000000"/>
            </w:tcBorders>
            <w:vAlign w:val="center"/>
          </w:tcPr>
          <w:p w14:paraId="78F37A95"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2FB29792"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r>
      <w:tr w:rsidR="00833524" w:rsidRPr="00364545" w14:paraId="336F7FFD" w14:textId="77777777" w:rsidTr="00E56269">
        <w:trPr>
          <w:trHeight w:val="342"/>
        </w:trPr>
        <w:tc>
          <w:tcPr>
            <w:tcW w:w="1510" w:type="dxa"/>
            <w:tcBorders>
              <w:top w:val="single" w:sz="2" w:space="0" w:color="000000"/>
              <w:left w:val="single" w:sz="2" w:space="0" w:color="000000"/>
              <w:bottom w:val="single" w:sz="2" w:space="0" w:color="000000"/>
              <w:right w:val="single" w:sz="2" w:space="0" w:color="000000"/>
            </w:tcBorders>
            <w:shd w:val="clear" w:color="auto" w:fill="ECE6E2"/>
          </w:tcPr>
          <w:p w14:paraId="142729E5" w14:textId="77777777" w:rsidR="00833524" w:rsidRPr="00364545" w:rsidRDefault="00833524" w:rsidP="00E56269">
            <w:pPr>
              <w:spacing w:line="259" w:lineRule="auto"/>
            </w:pPr>
            <w:r w:rsidRPr="00364545">
              <w:rPr>
                <w:sz w:val="18"/>
              </w:rPr>
              <w:t xml:space="preserve">LULUCF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7EFF3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12F18C"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C963A6"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2009E57"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8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CC72A92"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8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FB9215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C420D81"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9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0CFF74"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B0ED11"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6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837C8B"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4DB265"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c>
          <w:tcPr>
            <w:tcW w:w="60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C194A0"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r>
      <w:tr w:rsidR="00833524" w:rsidRPr="00364545" w14:paraId="07DE4DEB" w14:textId="77777777" w:rsidTr="00E56269">
        <w:trPr>
          <w:trHeight w:val="347"/>
        </w:trPr>
        <w:tc>
          <w:tcPr>
            <w:tcW w:w="1510" w:type="dxa"/>
            <w:tcBorders>
              <w:top w:val="single" w:sz="2" w:space="0" w:color="000000"/>
              <w:left w:val="single" w:sz="2" w:space="0" w:color="000000"/>
              <w:bottom w:val="single" w:sz="2" w:space="0" w:color="000000"/>
              <w:right w:val="single" w:sz="2" w:space="0" w:color="000000"/>
            </w:tcBorders>
          </w:tcPr>
          <w:p w14:paraId="578DD9C9" w14:textId="77777777" w:rsidR="00833524" w:rsidRPr="00364545" w:rsidRDefault="00833524" w:rsidP="00E56269">
            <w:pPr>
              <w:spacing w:line="259" w:lineRule="auto"/>
            </w:pPr>
            <w:r w:rsidRPr="00364545">
              <w:rPr>
                <w:sz w:val="18"/>
              </w:rPr>
              <w:t xml:space="preserve">Waste </w:t>
            </w:r>
          </w:p>
        </w:tc>
        <w:tc>
          <w:tcPr>
            <w:tcW w:w="765" w:type="dxa"/>
            <w:tcBorders>
              <w:top w:val="single" w:sz="2" w:space="0" w:color="000000"/>
              <w:left w:val="single" w:sz="2" w:space="0" w:color="000000"/>
              <w:bottom w:val="single" w:sz="2" w:space="0" w:color="000000"/>
              <w:right w:val="single" w:sz="2" w:space="0" w:color="000000"/>
            </w:tcBorders>
            <w:vAlign w:val="center"/>
          </w:tcPr>
          <w:p w14:paraId="77E8DBCB"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3B44EA8A"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5DE68A45"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7053669C"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85" w:type="dxa"/>
            <w:tcBorders>
              <w:top w:val="single" w:sz="2" w:space="0" w:color="000000"/>
              <w:left w:val="single" w:sz="2" w:space="0" w:color="000000"/>
              <w:bottom w:val="single" w:sz="2" w:space="0" w:color="000000"/>
              <w:right w:val="single" w:sz="2" w:space="0" w:color="000000"/>
            </w:tcBorders>
            <w:vAlign w:val="center"/>
          </w:tcPr>
          <w:p w14:paraId="4A945DF1"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83" w:type="dxa"/>
            <w:tcBorders>
              <w:top w:val="single" w:sz="2" w:space="0" w:color="000000"/>
              <w:left w:val="single" w:sz="2" w:space="0" w:color="000000"/>
              <w:bottom w:val="single" w:sz="2" w:space="0" w:color="000000"/>
              <w:right w:val="single" w:sz="2" w:space="0" w:color="000000"/>
            </w:tcBorders>
            <w:vAlign w:val="center"/>
          </w:tcPr>
          <w:p w14:paraId="38E4B65A"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39345F55"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91" w:type="dxa"/>
            <w:tcBorders>
              <w:top w:val="single" w:sz="2" w:space="0" w:color="000000"/>
              <w:left w:val="single" w:sz="2" w:space="0" w:color="000000"/>
              <w:bottom w:val="single" w:sz="2" w:space="0" w:color="000000"/>
              <w:right w:val="single" w:sz="2" w:space="0" w:color="000000"/>
            </w:tcBorders>
            <w:vAlign w:val="center"/>
          </w:tcPr>
          <w:p w14:paraId="293A020B"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58" w:type="dxa"/>
            <w:tcBorders>
              <w:top w:val="single" w:sz="2" w:space="0" w:color="000000"/>
              <w:left w:val="single" w:sz="2" w:space="0" w:color="000000"/>
              <w:bottom w:val="single" w:sz="2" w:space="0" w:color="000000"/>
              <w:right w:val="single" w:sz="2" w:space="0" w:color="000000"/>
            </w:tcBorders>
            <w:vAlign w:val="center"/>
          </w:tcPr>
          <w:p w14:paraId="316D2262"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60" w:type="dxa"/>
            <w:tcBorders>
              <w:top w:val="single" w:sz="2" w:space="0" w:color="000000"/>
              <w:left w:val="single" w:sz="2" w:space="0" w:color="000000"/>
              <w:bottom w:val="single" w:sz="2" w:space="0" w:color="000000"/>
              <w:right w:val="single" w:sz="2" w:space="0" w:color="000000"/>
            </w:tcBorders>
            <w:vAlign w:val="center"/>
          </w:tcPr>
          <w:p w14:paraId="42CCE0E5"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59" w:type="dxa"/>
            <w:tcBorders>
              <w:top w:val="single" w:sz="2" w:space="0" w:color="000000"/>
              <w:left w:val="single" w:sz="2" w:space="0" w:color="000000"/>
              <w:bottom w:val="single" w:sz="2" w:space="0" w:color="000000"/>
              <w:right w:val="single" w:sz="2" w:space="0" w:color="000000"/>
            </w:tcBorders>
            <w:vAlign w:val="center"/>
          </w:tcPr>
          <w:p w14:paraId="48DC7C1F"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4D927D50"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r>
      <w:tr w:rsidR="00833524" w:rsidRPr="00364545" w14:paraId="3038B480" w14:textId="77777777" w:rsidTr="00E56269">
        <w:trPr>
          <w:trHeight w:val="344"/>
        </w:trPr>
        <w:tc>
          <w:tcPr>
            <w:tcW w:w="1510" w:type="dxa"/>
            <w:tcBorders>
              <w:top w:val="single" w:sz="2" w:space="0" w:color="000000"/>
              <w:left w:val="single" w:sz="2" w:space="0" w:color="000000"/>
              <w:bottom w:val="single" w:sz="2" w:space="0" w:color="000000"/>
              <w:right w:val="single" w:sz="2" w:space="0" w:color="000000"/>
            </w:tcBorders>
            <w:shd w:val="clear" w:color="auto" w:fill="ECE6E2"/>
          </w:tcPr>
          <w:p w14:paraId="765FDA67" w14:textId="77777777" w:rsidR="00833524" w:rsidRPr="00364545" w:rsidRDefault="00833524" w:rsidP="00E56269">
            <w:pPr>
              <w:spacing w:line="259" w:lineRule="auto"/>
            </w:pPr>
            <w:r w:rsidRPr="00364545">
              <w:rPr>
                <w:b/>
                <w:sz w:val="18"/>
              </w:rPr>
              <w:t xml:space="preserve">Ensemble (hors UTCF)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64A9DCC" w14:textId="77777777" w:rsidR="00833524" w:rsidRPr="00634E4C" w:rsidRDefault="00833524" w:rsidP="00E56269">
            <w:pPr>
              <w:spacing w:line="259" w:lineRule="auto"/>
              <w:ind w:left="16"/>
              <w:jc w:val="center"/>
              <w:rPr>
                <w:rFonts w:asciiTheme="majorHAnsi" w:hAnsiTheme="majorHAnsi"/>
                <w:sz w:val="18"/>
              </w:rPr>
            </w:pPr>
            <w:r w:rsidRPr="005D0955">
              <w:rPr>
                <w:rFonts w:asciiTheme="majorHAnsi" w:hAnsiTheme="majorHAnsi"/>
                <w:sz w:val="18"/>
                <w:szCs w:val="18"/>
              </w:rPr>
              <w:t>5202</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7948908" w14:textId="77777777" w:rsidR="00833524" w:rsidRPr="00634E4C" w:rsidRDefault="00833524" w:rsidP="00E56269">
            <w:pPr>
              <w:spacing w:line="259" w:lineRule="auto"/>
              <w:ind w:left="19"/>
              <w:jc w:val="center"/>
              <w:rPr>
                <w:rFonts w:asciiTheme="majorHAnsi" w:hAnsiTheme="majorHAnsi"/>
                <w:b/>
                <w:color w:val="000000"/>
                <w:sz w:val="18"/>
              </w:rPr>
            </w:pPr>
            <w:r w:rsidRPr="005D0955">
              <w:rPr>
                <w:rFonts w:asciiTheme="majorHAnsi" w:hAnsiTheme="majorHAnsi"/>
                <w:sz w:val="18"/>
                <w:szCs w:val="18"/>
              </w:rPr>
              <w:t>3065</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859BD4A"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2997</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5BFA15D"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sz w:val="18"/>
              </w:rPr>
              <w:t>1760</w:t>
            </w:r>
          </w:p>
        </w:tc>
        <w:tc>
          <w:tcPr>
            <w:tcW w:w="68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39E52B0"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sz w:val="18"/>
              </w:rPr>
              <w:t>617</w:t>
            </w:r>
          </w:p>
        </w:tc>
        <w:tc>
          <w:tcPr>
            <w:tcW w:w="68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BD704F9" w14:textId="77777777" w:rsidR="00833524" w:rsidRPr="00634E4C" w:rsidRDefault="00833524" w:rsidP="00E56269">
            <w:pPr>
              <w:spacing w:line="259" w:lineRule="auto"/>
              <w:ind w:left="19"/>
              <w:jc w:val="center"/>
              <w:rPr>
                <w:rFonts w:asciiTheme="majorHAnsi" w:hAnsiTheme="majorHAnsi"/>
                <w:b/>
                <w:color w:val="000000"/>
                <w:sz w:val="18"/>
              </w:rPr>
            </w:pPr>
            <w:r w:rsidRPr="005D0955">
              <w:rPr>
                <w:rFonts w:asciiTheme="majorHAnsi" w:hAnsiTheme="majorHAnsi"/>
                <w:sz w:val="18"/>
                <w:szCs w:val="18"/>
              </w:rPr>
              <w:t>537</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2E6B8E5" w14:textId="77777777" w:rsidR="00833524" w:rsidRPr="00634E4C" w:rsidRDefault="00833524" w:rsidP="00E56269">
            <w:pPr>
              <w:spacing w:line="259" w:lineRule="auto"/>
              <w:ind w:left="21"/>
              <w:jc w:val="center"/>
              <w:rPr>
                <w:rFonts w:asciiTheme="majorHAnsi" w:hAnsiTheme="majorHAnsi"/>
                <w:b/>
                <w:color w:val="000000"/>
                <w:sz w:val="18"/>
              </w:rPr>
            </w:pPr>
            <w:r w:rsidRPr="005D0955">
              <w:rPr>
                <w:rFonts w:asciiTheme="majorHAnsi" w:hAnsiTheme="majorHAnsi"/>
                <w:sz w:val="18"/>
                <w:szCs w:val="18"/>
              </w:rPr>
              <w:t>615</w:t>
            </w:r>
          </w:p>
        </w:tc>
        <w:tc>
          <w:tcPr>
            <w:tcW w:w="69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8500D5F"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462.9</w:t>
            </w:r>
          </w:p>
        </w:tc>
        <w:tc>
          <w:tcPr>
            <w:tcW w:w="65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21DC9BB"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290.7</w:t>
            </w:r>
          </w:p>
        </w:tc>
        <w:tc>
          <w:tcPr>
            <w:tcW w:w="66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BD0EB12"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217.7</w:t>
            </w:r>
          </w:p>
        </w:tc>
        <w:tc>
          <w:tcPr>
            <w:tcW w:w="65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8D6C6BC" w14:textId="77777777" w:rsidR="00833524" w:rsidRPr="00634E4C" w:rsidRDefault="00833524" w:rsidP="00E56269">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156.5</w:t>
            </w:r>
          </w:p>
        </w:tc>
        <w:tc>
          <w:tcPr>
            <w:tcW w:w="6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2931927" w14:textId="77777777" w:rsidR="00833524" w:rsidRPr="00634E4C" w:rsidRDefault="00833524" w:rsidP="00E56269">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130.9</w:t>
            </w:r>
          </w:p>
        </w:tc>
      </w:tr>
      <w:tr w:rsidR="00833524" w:rsidRPr="00364545" w14:paraId="1A1168E7" w14:textId="77777777" w:rsidTr="00E56269">
        <w:trPr>
          <w:trHeight w:val="346"/>
        </w:trPr>
        <w:tc>
          <w:tcPr>
            <w:tcW w:w="1510" w:type="dxa"/>
            <w:tcBorders>
              <w:top w:val="single" w:sz="2" w:space="0" w:color="000000"/>
              <w:left w:val="single" w:sz="2" w:space="0" w:color="000000"/>
              <w:bottom w:val="single" w:sz="2" w:space="0" w:color="000000"/>
              <w:right w:val="single" w:sz="2" w:space="0" w:color="000000"/>
            </w:tcBorders>
          </w:tcPr>
          <w:p w14:paraId="0A716958" w14:textId="77777777" w:rsidR="00833524" w:rsidRPr="00364545" w:rsidRDefault="00833524" w:rsidP="00E56269">
            <w:pPr>
              <w:spacing w:line="259" w:lineRule="auto"/>
            </w:pPr>
            <w:r w:rsidRPr="00364545">
              <w:rPr>
                <w:b/>
                <w:sz w:val="18"/>
              </w:rPr>
              <w:t xml:space="preserve">Ensemble (avec UTCF) </w:t>
            </w:r>
          </w:p>
        </w:tc>
        <w:tc>
          <w:tcPr>
            <w:tcW w:w="765" w:type="dxa"/>
            <w:tcBorders>
              <w:top w:val="single" w:sz="2" w:space="0" w:color="000000"/>
              <w:left w:val="single" w:sz="2" w:space="0" w:color="000000"/>
              <w:bottom w:val="single" w:sz="2" w:space="0" w:color="000000"/>
              <w:right w:val="single" w:sz="2" w:space="0" w:color="000000"/>
            </w:tcBorders>
            <w:vAlign w:val="bottom"/>
          </w:tcPr>
          <w:p w14:paraId="3BE31C73" w14:textId="77777777" w:rsidR="00833524" w:rsidRPr="00634E4C" w:rsidRDefault="00833524" w:rsidP="00E56269">
            <w:pPr>
              <w:spacing w:line="259" w:lineRule="auto"/>
              <w:ind w:left="16"/>
              <w:jc w:val="center"/>
              <w:rPr>
                <w:rFonts w:asciiTheme="majorHAnsi" w:hAnsiTheme="majorHAnsi"/>
                <w:sz w:val="18"/>
              </w:rPr>
            </w:pPr>
            <w:r w:rsidRPr="005D0955">
              <w:rPr>
                <w:rFonts w:asciiTheme="majorHAnsi" w:hAnsiTheme="majorHAnsi"/>
                <w:sz w:val="18"/>
                <w:szCs w:val="18"/>
              </w:rPr>
              <w:t>5202</w:t>
            </w:r>
          </w:p>
        </w:tc>
        <w:tc>
          <w:tcPr>
            <w:tcW w:w="792" w:type="dxa"/>
            <w:tcBorders>
              <w:top w:val="single" w:sz="2" w:space="0" w:color="000000"/>
              <w:left w:val="single" w:sz="2" w:space="0" w:color="000000"/>
              <w:bottom w:val="single" w:sz="2" w:space="0" w:color="000000"/>
              <w:right w:val="single" w:sz="2" w:space="0" w:color="000000"/>
            </w:tcBorders>
            <w:vAlign w:val="bottom"/>
          </w:tcPr>
          <w:p w14:paraId="12C74C8F" w14:textId="77777777" w:rsidR="00833524" w:rsidRPr="00634E4C" w:rsidRDefault="00833524" w:rsidP="00E56269">
            <w:pPr>
              <w:spacing w:line="259" w:lineRule="auto"/>
              <w:ind w:left="19"/>
              <w:jc w:val="center"/>
              <w:rPr>
                <w:rFonts w:asciiTheme="majorHAnsi" w:hAnsiTheme="majorHAnsi"/>
                <w:b/>
                <w:color w:val="000000"/>
                <w:sz w:val="18"/>
              </w:rPr>
            </w:pPr>
            <w:r w:rsidRPr="005D0955">
              <w:rPr>
                <w:rFonts w:asciiTheme="majorHAnsi" w:hAnsiTheme="majorHAnsi"/>
                <w:sz w:val="18"/>
                <w:szCs w:val="18"/>
              </w:rPr>
              <w:t>3065</w:t>
            </w:r>
          </w:p>
        </w:tc>
        <w:tc>
          <w:tcPr>
            <w:tcW w:w="792" w:type="dxa"/>
            <w:tcBorders>
              <w:top w:val="single" w:sz="2" w:space="0" w:color="000000"/>
              <w:left w:val="single" w:sz="2" w:space="0" w:color="000000"/>
              <w:bottom w:val="single" w:sz="2" w:space="0" w:color="000000"/>
              <w:right w:val="single" w:sz="2" w:space="0" w:color="000000"/>
            </w:tcBorders>
            <w:vAlign w:val="bottom"/>
          </w:tcPr>
          <w:p w14:paraId="02D0C931"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2997</w:t>
            </w:r>
          </w:p>
        </w:tc>
        <w:tc>
          <w:tcPr>
            <w:tcW w:w="762" w:type="dxa"/>
            <w:tcBorders>
              <w:top w:val="single" w:sz="2" w:space="0" w:color="000000"/>
              <w:left w:val="single" w:sz="2" w:space="0" w:color="000000"/>
              <w:bottom w:val="single" w:sz="2" w:space="0" w:color="000000"/>
              <w:right w:val="single" w:sz="2" w:space="0" w:color="000000"/>
            </w:tcBorders>
            <w:vAlign w:val="bottom"/>
          </w:tcPr>
          <w:p w14:paraId="1EC31BF8"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sz w:val="18"/>
              </w:rPr>
              <w:t>1760</w:t>
            </w:r>
          </w:p>
        </w:tc>
        <w:tc>
          <w:tcPr>
            <w:tcW w:w="685" w:type="dxa"/>
            <w:tcBorders>
              <w:top w:val="single" w:sz="2" w:space="0" w:color="000000"/>
              <w:left w:val="single" w:sz="2" w:space="0" w:color="000000"/>
              <w:bottom w:val="single" w:sz="2" w:space="0" w:color="000000"/>
              <w:right w:val="single" w:sz="2" w:space="0" w:color="000000"/>
            </w:tcBorders>
            <w:vAlign w:val="bottom"/>
          </w:tcPr>
          <w:p w14:paraId="3E14B14B"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sz w:val="18"/>
              </w:rPr>
              <w:t>617</w:t>
            </w:r>
          </w:p>
        </w:tc>
        <w:tc>
          <w:tcPr>
            <w:tcW w:w="683" w:type="dxa"/>
            <w:tcBorders>
              <w:top w:val="single" w:sz="2" w:space="0" w:color="000000"/>
              <w:left w:val="single" w:sz="2" w:space="0" w:color="000000"/>
              <w:bottom w:val="single" w:sz="2" w:space="0" w:color="000000"/>
              <w:right w:val="single" w:sz="2" w:space="0" w:color="000000"/>
            </w:tcBorders>
            <w:vAlign w:val="bottom"/>
          </w:tcPr>
          <w:p w14:paraId="3AE25D91" w14:textId="77777777" w:rsidR="00833524" w:rsidRPr="00634E4C" w:rsidRDefault="00833524" w:rsidP="00E56269">
            <w:pPr>
              <w:spacing w:line="259" w:lineRule="auto"/>
              <w:ind w:left="19"/>
              <w:jc w:val="center"/>
              <w:rPr>
                <w:rFonts w:asciiTheme="majorHAnsi" w:hAnsiTheme="majorHAnsi"/>
                <w:b/>
                <w:color w:val="000000"/>
                <w:sz w:val="18"/>
              </w:rPr>
            </w:pPr>
            <w:r w:rsidRPr="005D0955">
              <w:rPr>
                <w:rFonts w:asciiTheme="majorHAnsi" w:hAnsiTheme="majorHAnsi"/>
                <w:sz w:val="18"/>
                <w:szCs w:val="18"/>
              </w:rPr>
              <w:t>537</w:t>
            </w:r>
          </w:p>
        </w:tc>
        <w:tc>
          <w:tcPr>
            <w:tcW w:w="675" w:type="dxa"/>
            <w:tcBorders>
              <w:top w:val="single" w:sz="2" w:space="0" w:color="000000"/>
              <w:left w:val="single" w:sz="2" w:space="0" w:color="000000"/>
              <w:bottom w:val="single" w:sz="2" w:space="0" w:color="000000"/>
              <w:right w:val="single" w:sz="2" w:space="0" w:color="000000"/>
            </w:tcBorders>
            <w:vAlign w:val="bottom"/>
          </w:tcPr>
          <w:p w14:paraId="192C5CEB" w14:textId="77777777" w:rsidR="00833524" w:rsidRPr="00634E4C" w:rsidRDefault="00833524" w:rsidP="00E56269">
            <w:pPr>
              <w:spacing w:line="259" w:lineRule="auto"/>
              <w:ind w:left="21"/>
              <w:jc w:val="center"/>
              <w:rPr>
                <w:rFonts w:asciiTheme="majorHAnsi" w:hAnsiTheme="majorHAnsi"/>
                <w:b/>
                <w:color w:val="000000"/>
                <w:sz w:val="18"/>
              </w:rPr>
            </w:pPr>
            <w:r w:rsidRPr="005D0955">
              <w:rPr>
                <w:rFonts w:asciiTheme="majorHAnsi" w:hAnsiTheme="majorHAnsi"/>
                <w:sz w:val="18"/>
                <w:szCs w:val="18"/>
              </w:rPr>
              <w:t>615</w:t>
            </w:r>
          </w:p>
        </w:tc>
        <w:tc>
          <w:tcPr>
            <w:tcW w:w="691" w:type="dxa"/>
            <w:tcBorders>
              <w:top w:val="single" w:sz="2" w:space="0" w:color="000000"/>
              <w:left w:val="single" w:sz="2" w:space="0" w:color="000000"/>
              <w:bottom w:val="single" w:sz="2" w:space="0" w:color="000000"/>
              <w:right w:val="single" w:sz="2" w:space="0" w:color="000000"/>
            </w:tcBorders>
            <w:vAlign w:val="bottom"/>
          </w:tcPr>
          <w:p w14:paraId="55F563A9"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462.9</w:t>
            </w:r>
          </w:p>
        </w:tc>
        <w:tc>
          <w:tcPr>
            <w:tcW w:w="658" w:type="dxa"/>
            <w:tcBorders>
              <w:top w:val="single" w:sz="2" w:space="0" w:color="000000"/>
              <w:left w:val="single" w:sz="2" w:space="0" w:color="000000"/>
              <w:bottom w:val="single" w:sz="2" w:space="0" w:color="000000"/>
              <w:right w:val="single" w:sz="2" w:space="0" w:color="000000"/>
            </w:tcBorders>
            <w:vAlign w:val="bottom"/>
          </w:tcPr>
          <w:p w14:paraId="41FD1E64"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290.7</w:t>
            </w:r>
          </w:p>
        </w:tc>
        <w:tc>
          <w:tcPr>
            <w:tcW w:w="660" w:type="dxa"/>
            <w:tcBorders>
              <w:top w:val="single" w:sz="2" w:space="0" w:color="000000"/>
              <w:left w:val="single" w:sz="2" w:space="0" w:color="000000"/>
              <w:bottom w:val="single" w:sz="2" w:space="0" w:color="000000"/>
              <w:right w:val="single" w:sz="2" w:space="0" w:color="000000"/>
            </w:tcBorders>
            <w:vAlign w:val="bottom"/>
          </w:tcPr>
          <w:p w14:paraId="2683AD8F"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217.7</w:t>
            </w:r>
          </w:p>
        </w:tc>
        <w:tc>
          <w:tcPr>
            <w:tcW w:w="659" w:type="dxa"/>
            <w:tcBorders>
              <w:top w:val="single" w:sz="2" w:space="0" w:color="000000"/>
              <w:left w:val="single" w:sz="2" w:space="0" w:color="000000"/>
              <w:bottom w:val="single" w:sz="2" w:space="0" w:color="000000"/>
              <w:right w:val="single" w:sz="2" w:space="0" w:color="000000"/>
            </w:tcBorders>
            <w:vAlign w:val="bottom"/>
          </w:tcPr>
          <w:p w14:paraId="24A60883" w14:textId="77777777" w:rsidR="00833524" w:rsidRPr="00634E4C" w:rsidRDefault="00833524" w:rsidP="00E56269">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156.5</w:t>
            </w:r>
          </w:p>
        </w:tc>
        <w:tc>
          <w:tcPr>
            <w:tcW w:w="602" w:type="dxa"/>
            <w:tcBorders>
              <w:top w:val="single" w:sz="2" w:space="0" w:color="000000"/>
              <w:left w:val="single" w:sz="2" w:space="0" w:color="000000"/>
              <w:bottom w:val="single" w:sz="2" w:space="0" w:color="000000"/>
              <w:right w:val="single" w:sz="2" w:space="0" w:color="000000"/>
            </w:tcBorders>
            <w:vAlign w:val="bottom"/>
          </w:tcPr>
          <w:p w14:paraId="10A160F6" w14:textId="77777777" w:rsidR="00833524" w:rsidRPr="00634E4C" w:rsidRDefault="00833524" w:rsidP="00E56269">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130.9</w:t>
            </w:r>
          </w:p>
        </w:tc>
      </w:tr>
    </w:tbl>
    <w:p w14:paraId="28F22DDA" w14:textId="4B3ACDA0" w:rsidR="00833524" w:rsidRPr="00364545" w:rsidRDefault="00833524" w:rsidP="00833524">
      <w:pPr>
        <w:pStyle w:val="Caption"/>
      </w:pPr>
      <w:r w:rsidRPr="00364545">
        <w:t xml:space="preserve">Table </w:t>
      </w:r>
      <w:fldSimple w:instr=" SEQ Tableau \* ARABIC ">
        <w:r w:rsidR="009A2FAA">
          <w:rPr>
            <w:noProof/>
          </w:rPr>
          <w:t>23</w:t>
        </w:r>
      </w:fldSimple>
      <w:r w:rsidRPr="00364545">
        <w:t>: PFC emissions projections (in ktCO2e) in the Kyoto scope in the AME 2021 scenario (with existing measures)</w:t>
      </w:r>
    </w:p>
    <w:p w14:paraId="6DD5C60E" w14:textId="77777777" w:rsidR="00833524" w:rsidRPr="00364545" w:rsidRDefault="00833524" w:rsidP="00833524">
      <w:pPr>
        <w:pStyle w:val="Caption"/>
      </w:pPr>
      <w:r w:rsidRPr="00364545">
        <w:t>Source: UN</w:t>
      </w:r>
      <w:r>
        <w:t>FCCC inventory, Citepa/MTE, 2022</w:t>
      </w:r>
      <w:r w:rsidRPr="00364545">
        <w:t xml:space="preserve"> submission and MTE emission projections, 2021</w:t>
      </w:r>
    </w:p>
    <w:p w14:paraId="3D1BFA53" w14:textId="77777777" w:rsidR="00833524" w:rsidRPr="00364545" w:rsidRDefault="00833524" w:rsidP="00833524">
      <w:pPr>
        <w:rPr>
          <w:sz w:val="18"/>
          <w:szCs w:val="18"/>
        </w:rPr>
      </w:pPr>
    </w:p>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594"/>
        <w:gridCol w:w="765"/>
        <w:gridCol w:w="792"/>
        <w:gridCol w:w="765"/>
        <w:gridCol w:w="762"/>
        <w:gridCol w:w="667"/>
        <w:gridCol w:w="665"/>
        <w:gridCol w:w="621"/>
        <w:gridCol w:w="675"/>
        <w:gridCol w:w="673"/>
        <w:gridCol w:w="675"/>
        <w:gridCol w:w="674"/>
        <w:gridCol w:w="606"/>
      </w:tblGrid>
      <w:tr w:rsidR="00833524" w:rsidRPr="00364545" w14:paraId="7D87EEAD" w14:textId="77777777" w:rsidTr="00E56269">
        <w:trPr>
          <w:trHeight w:val="402"/>
        </w:trPr>
        <w:tc>
          <w:tcPr>
            <w:tcW w:w="1594" w:type="dxa"/>
            <w:tcBorders>
              <w:top w:val="single" w:sz="2" w:space="0" w:color="000000"/>
              <w:left w:val="single" w:sz="2" w:space="0" w:color="000000"/>
              <w:bottom w:val="single" w:sz="2" w:space="0" w:color="000000"/>
              <w:right w:val="single" w:sz="2" w:space="0" w:color="000000"/>
            </w:tcBorders>
            <w:shd w:val="clear" w:color="auto" w:fill="6D2A78"/>
          </w:tcPr>
          <w:p w14:paraId="755F2A13" w14:textId="77777777" w:rsidR="00833524" w:rsidRPr="00364545" w:rsidRDefault="00833524" w:rsidP="00E56269">
            <w:pPr>
              <w:spacing w:line="259" w:lineRule="auto"/>
            </w:pPr>
            <w:r w:rsidRPr="00364545">
              <w:t>AME 21 – SF</w:t>
            </w:r>
            <w:r w:rsidRPr="00364545">
              <w:rPr>
                <w:vertAlign w:val="subscript"/>
              </w:rPr>
              <w:t>6</w:t>
            </w:r>
          </w:p>
        </w:tc>
        <w:tc>
          <w:tcPr>
            <w:tcW w:w="765" w:type="dxa"/>
            <w:tcBorders>
              <w:top w:val="single" w:sz="2" w:space="0" w:color="000000"/>
              <w:left w:val="single" w:sz="2" w:space="0" w:color="000000"/>
              <w:bottom w:val="single" w:sz="2" w:space="0" w:color="000000"/>
              <w:right w:val="single" w:sz="2" w:space="0" w:color="000000"/>
            </w:tcBorders>
            <w:shd w:val="clear" w:color="auto" w:fill="6D2A78"/>
          </w:tcPr>
          <w:p w14:paraId="5EDE18A1" w14:textId="77777777" w:rsidR="00833524" w:rsidRPr="00364545" w:rsidRDefault="00833524" w:rsidP="00E56269">
            <w:pPr>
              <w:spacing w:line="259" w:lineRule="auto"/>
              <w:ind w:left="19"/>
              <w:jc w:val="center"/>
            </w:pPr>
            <w:r w:rsidRPr="00364545">
              <w:rPr>
                <w:b/>
                <w:color w:val="FFFFFF"/>
                <w:sz w:val="18"/>
              </w:rPr>
              <w:t xml:space="preserve">1990 </w:t>
            </w:r>
          </w:p>
        </w:tc>
        <w:tc>
          <w:tcPr>
            <w:tcW w:w="792" w:type="dxa"/>
            <w:tcBorders>
              <w:top w:val="single" w:sz="2" w:space="0" w:color="000000"/>
              <w:left w:val="single" w:sz="2" w:space="0" w:color="000000"/>
              <w:bottom w:val="single" w:sz="2" w:space="0" w:color="000000"/>
              <w:right w:val="single" w:sz="2" w:space="0" w:color="000000"/>
            </w:tcBorders>
            <w:shd w:val="clear" w:color="auto" w:fill="6D2A78"/>
          </w:tcPr>
          <w:p w14:paraId="0963D0E7" w14:textId="77777777" w:rsidR="00833524" w:rsidRPr="00364545" w:rsidRDefault="00833524" w:rsidP="00E56269">
            <w:pPr>
              <w:spacing w:line="259" w:lineRule="auto"/>
              <w:ind w:left="21"/>
              <w:jc w:val="center"/>
              <w:rPr>
                <w:b/>
                <w:color w:val="FFFFFF"/>
                <w:sz w:val="18"/>
              </w:rPr>
            </w:pPr>
            <w:r w:rsidRPr="00364545">
              <w:rPr>
                <w:b/>
                <w:color w:val="FFFFFF"/>
                <w:sz w:val="18"/>
              </w:rPr>
              <w:t>1995</w:t>
            </w:r>
          </w:p>
        </w:tc>
        <w:tc>
          <w:tcPr>
            <w:tcW w:w="765" w:type="dxa"/>
            <w:tcBorders>
              <w:top w:val="single" w:sz="2" w:space="0" w:color="000000"/>
              <w:left w:val="single" w:sz="2" w:space="0" w:color="000000"/>
              <w:bottom w:val="single" w:sz="2" w:space="0" w:color="000000"/>
              <w:right w:val="single" w:sz="2" w:space="0" w:color="000000"/>
            </w:tcBorders>
            <w:shd w:val="clear" w:color="auto" w:fill="6D2A78"/>
          </w:tcPr>
          <w:p w14:paraId="5551DD6C" w14:textId="77777777" w:rsidR="00833524" w:rsidRPr="00364545" w:rsidRDefault="00833524" w:rsidP="00E56269">
            <w:pPr>
              <w:spacing w:line="259" w:lineRule="auto"/>
              <w:ind w:left="21"/>
              <w:jc w:val="center"/>
            </w:pPr>
            <w:r w:rsidRPr="00364545">
              <w:rPr>
                <w:b/>
                <w:color w:val="FFFFFF"/>
                <w:sz w:val="18"/>
              </w:rPr>
              <w:t xml:space="preserve">2000 </w:t>
            </w:r>
          </w:p>
        </w:tc>
        <w:tc>
          <w:tcPr>
            <w:tcW w:w="762" w:type="dxa"/>
            <w:tcBorders>
              <w:top w:val="single" w:sz="2" w:space="0" w:color="000000"/>
              <w:left w:val="single" w:sz="2" w:space="0" w:color="000000"/>
              <w:bottom w:val="single" w:sz="2" w:space="0" w:color="000000"/>
              <w:right w:val="single" w:sz="2" w:space="0" w:color="000000"/>
            </w:tcBorders>
            <w:shd w:val="clear" w:color="auto" w:fill="6D2A78"/>
          </w:tcPr>
          <w:p w14:paraId="40A85838" w14:textId="77777777" w:rsidR="00833524" w:rsidRPr="00364545" w:rsidRDefault="00833524" w:rsidP="00E56269">
            <w:pPr>
              <w:spacing w:line="259" w:lineRule="auto"/>
              <w:ind w:left="19"/>
              <w:jc w:val="center"/>
            </w:pPr>
            <w:r w:rsidRPr="00364545">
              <w:rPr>
                <w:b/>
                <w:color w:val="FFFFFF"/>
                <w:sz w:val="18"/>
              </w:rPr>
              <w:t xml:space="preserve">2005 </w:t>
            </w:r>
          </w:p>
        </w:tc>
        <w:tc>
          <w:tcPr>
            <w:tcW w:w="667" w:type="dxa"/>
            <w:tcBorders>
              <w:top w:val="single" w:sz="2" w:space="0" w:color="000000"/>
              <w:left w:val="single" w:sz="2" w:space="0" w:color="000000"/>
              <w:bottom w:val="single" w:sz="2" w:space="0" w:color="000000"/>
              <w:right w:val="single" w:sz="2" w:space="0" w:color="000000"/>
            </w:tcBorders>
            <w:shd w:val="clear" w:color="auto" w:fill="6D2A78"/>
          </w:tcPr>
          <w:p w14:paraId="154D29F9" w14:textId="77777777" w:rsidR="00833524" w:rsidRPr="00364545" w:rsidRDefault="00833524" w:rsidP="00E56269">
            <w:pPr>
              <w:spacing w:line="259" w:lineRule="auto"/>
              <w:ind w:left="21"/>
              <w:jc w:val="center"/>
            </w:pPr>
            <w:r w:rsidRPr="00364545">
              <w:rPr>
                <w:b/>
                <w:color w:val="FFFFFF"/>
                <w:sz w:val="18"/>
              </w:rPr>
              <w:t xml:space="preserve">2010 </w:t>
            </w:r>
          </w:p>
        </w:tc>
        <w:tc>
          <w:tcPr>
            <w:tcW w:w="665" w:type="dxa"/>
            <w:tcBorders>
              <w:top w:val="single" w:sz="2" w:space="0" w:color="000000"/>
              <w:left w:val="single" w:sz="2" w:space="0" w:color="000000"/>
              <w:bottom w:val="single" w:sz="2" w:space="0" w:color="000000"/>
              <w:right w:val="single" w:sz="2" w:space="0" w:color="000000"/>
            </w:tcBorders>
            <w:shd w:val="clear" w:color="auto" w:fill="6D2A78"/>
          </w:tcPr>
          <w:p w14:paraId="4C4FEFD3" w14:textId="77777777" w:rsidR="00833524" w:rsidRPr="00364545" w:rsidRDefault="00833524" w:rsidP="00E56269">
            <w:pPr>
              <w:spacing w:line="259" w:lineRule="auto"/>
              <w:ind w:left="19"/>
              <w:jc w:val="center"/>
            </w:pPr>
            <w:r w:rsidRPr="00364545">
              <w:rPr>
                <w:b/>
                <w:color w:val="FFFFFF"/>
                <w:sz w:val="18"/>
              </w:rPr>
              <w:t xml:space="preserve">2015 </w:t>
            </w:r>
          </w:p>
        </w:tc>
        <w:tc>
          <w:tcPr>
            <w:tcW w:w="621" w:type="dxa"/>
            <w:tcBorders>
              <w:top w:val="single" w:sz="2" w:space="0" w:color="000000"/>
              <w:left w:val="single" w:sz="2" w:space="0" w:color="000000"/>
              <w:bottom w:val="single" w:sz="2" w:space="0" w:color="000000"/>
              <w:right w:val="single" w:sz="2" w:space="0" w:color="000000"/>
            </w:tcBorders>
            <w:shd w:val="clear" w:color="auto" w:fill="6D2A78"/>
          </w:tcPr>
          <w:p w14:paraId="31B05E99" w14:textId="77777777" w:rsidR="00833524" w:rsidRPr="00364545" w:rsidRDefault="00833524" w:rsidP="00E56269">
            <w:pPr>
              <w:spacing w:line="259" w:lineRule="auto"/>
              <w:ind w:left="21"/>
              <w:jc w:val="center"/>
              <w:rPr>
                <w:b/>
                <w:color w:val="FFFFFF"/>
                <w:sz w:val="18"/>
              </w:rPr>
            </w:pPr>
            <w:r w:rsidRPr="00364545">
              <w:rPr>
                <w:b/>
                <w:color w:val="FFFFFF"/>
                <w:sz w:val="18"/>
              </w:rPr>
              <w:t>2019</w:t>
            </w:r>
          </w:p>
        </w:tc>
        <w:tc>
          <w:tcPr>
            <w:tcW w:w="675" w:type="dxa"/>
            <w:tcBorders>
              <w:top w:val="single" w:sz="2" w:space="0" w:color="000000"/>
              <w:left w:val="single" w:sz="2" w:space="0" w:color="000000"/>
              <w:bottom w:val="single" w:sz="2" w:space="0" w:color="000000"/>
              <w:right w:val="single" w:sz="2" w:space="0" w:color="000000"/>
            </w:tcBorders>
            <w:shd w:val="clear" w:color="auto" w:fill="6D2A78"/>
          </w:tcPr>
          <w:p w14:paraId="5629F177" w14:textId="77777777" w:rsidR="00833524" w:rsidRPr="00364545" w:rsidRDefault="00833524" w:rsidP="00E56269">
            <w:pPr>
              <w:spacing w:line="259" w:lineRule="auto"/>
              <w:ind w:left="21"/>
              <w:jc w:val="center"/>
            </w:pPr>
            <w:r w:rsidRPr="00364545">
              <w:rPr>
                <w:b/>
                <w:color w:val="FFFFFF"/>
                <w:sz w:val="18"/>
              </w:rPr>
              <w:t xml:space="preserve">2020 </w:t>
            </w:r>
          </w:p>
        </w:tc>
        <w:tc>
          <w:tcPr>
            <w:tcW w:w="673" w:type="dxa"/>
            <w:tcBorders>
              <w:top w:val="single" w:sz="2" w:space="0" w:color="000000"/>
              <w:left w:val="single" w:sz="2" w:space="0" w:color="000000"/>
              <w:bottom w:val="single" w:sz="2" w:space="0" w:color="000000"/>
              <w:right w:val="single" w:sz="2" w:space="0" w:color="000000"/>
            </w:tcBorders>
            <w:shd w:val="clear" w:color="auto" w:fill="6D2A78"/>
          </w:tcPr>
          <w:p w14:paraId="222152ED" w14:textId="77777777" w:rsidR="00833524" w:rsidRPr="00364545" w:rsidRDefault="00833524" w:rsidP="00E56269">
            <w:pPr>
              <w:spacing w:line="259" w:lineRule="auto"/>
              <w:ind w:left="19"/>
              <w:jc w:val="center"/>
            </w:pPr>
            <w:r w:rsidRPr="00364545">
              <w:rPr>
                <w:b/>
                <w:color w:val="FFFFFF"/>
                <w:sz w:val="18"/>
              </w:rPr>
              <w:t xml:space="preserve">2025 </w:t>
            </w:r>
          </w:p>
        </w:tc>
        <w:tc>
          <w:tcPr>
            <w:tcW w:w="675" w:type="dxa"/>
            <w:tcBorders>
              <w:top w:val="single" w:sz="2" w:space="0" w:color="000000"/>
              <w:left w:val="single" w:sz="2" w:space="0" w:color="000000"/>
              <w:bottom w:val="single" w:sz="2" w:space="0" w:color="000000"/>
              <w:right w:val="single" w:sz="2" w:space="0" w:color="000000"/>
            </w:tcBorders>
            <w:shd w:val="clear" w:color="auto" w:fill="6D2A78"/>
          </w:tcPr>
          <w:p w14:paraId="737708C4" w14:textId="77777777" w:rsidR="00833524" w:rsidRPr="00364545" w:rsidRDefault="00833524" w:rsidP="00E56269">
            <w:pPr>
              <w:spacing w:line="259" w:lineRule="auto"/>
              <w:ind w:left="21"/>
              <w:jc w:val="center"/>
            </w:pPr>
            <w:r w:rsidRPr="00364545">
              <w:rPr>
                <w:b/>
                <w:color w:val="FFFFFF"/>
                <w:sz w:val="18"/>
              </w:rPr>
              <w:t xml:space="preserve">2030 </w:t>
            </w:r>
          </w:p>
        </w:tc>
        <w:tc>
          <w:tcPr>
            <w:tcW w:w="674" w:type="dxa"/>
            <w:tcBorders>
              <w:top w:val="single" w:sz="2" w:space="0" w:color="000000"/>
              <w:left w:val="single" w:sz="2" w:space="0" w:color="000000"/>
              <w:bottom w:val="single" w:sz="2" w:space="0" w:color="000000"/>
              <w:right w:val="single" w:sz="2" w:space="0" w:color="000000"/>
            </w:tcBorders>
            <w:shd w:val="clear" w:color="auto" w:fill="6D2A78"/>
          </w:tcPr>
          <w:p w14:paraId="389829A9" w14:textId="77777777" w:rsidR="00833524" w:rsidRPr="00364545" w:rsidRDefault="00833524" w:rsidP="00E56269">
            <w:pPr>
              <w:spacing w:line="259" w:lineRule="auto"/>
              <w:ind w:left="20"/>
              <w:jc w:val="center"/>
            </w:pPr>
            <w:r w:rsidRPr="00364545">
              <w:rPr>
                <w:b/>
                <w:color w:val="FFFFFF"/>
                <w:sz w:val="18"/>
              </w:rPr>
              <w:t xml:space="preserve">2035 </w:t>
            </w:r>
          </w:p>
        </w:tc>
        <w:tc>
          <w:tcPr>
            <w:tcW w:w="606" w:type="dxa"/>
            <w:tcBorders>
              <w:top w:val="single" w:sz="2" w:space="0" w:color="000000"/>
              <w:left w:val="single" w:sz="2" w:space="0" w:color="000000"/>
              <w:bottom w:val="single" w:sz="2" w:space="0" w:color="000000"/>
              <w:right w:val="single" w:sz="2" w:space="0" w:color="000000"/>
            </w:tcBorders>
            <w:shd w:val="clear" w:color="auto" w:fill="6D2A78"/>
          </w:tcPr>
          <w:p w14:paraId="408305F2" w14:textId="77777777" w:rsidR="00833524" w:rsidRPr="00364545" w:rsidRDefault="00833524" w:rsidP="00E56269">
            <w:pPr>
              <w:spacing w:line="259" w:lineRule="auto"/>
              <w:ind w:left="20"/>
              <w:jc w:val="center"/>
              <w:rPr>
                <w:b/>
                <w:color w:val="FFFFFF"/>
                <w:sz w:val="18"/>
              </w:rPr>
            </w:pPr>
            <w:r w:rsidRPr="00364545">
              <w:rPr>
                <w:b/>
                <w:color w:val="FFFFFF"/>
                <w:sz w:val="18"/>
              </w:rPr>
              <w:t>2050</w:t>
            </w:r>
          </w:p>
        </w:tc>
      </w:tr>
      <w:tr w:rsidR="00833524" w:rsidRPr="00364545" w14:paraId="55176422" w14:textId="77777777" w:rsidTr="00E56269">
        <w:trPr>
          <w:trHeight w:val="347"/>
        </w:trPr>
        <w:tc>
          <w:tcPr>
            <w:tcW w:w="1594" w:type="dxa"/>
            <w:tcBorders>
              <w:top w:val="single" w:sz="2" w:space="0" w:color="000000"/>
              <w:left w:val="single" w:sz="2" w:space="0" w:color="000000"/>
              <w:bottom w:val="single" w:sz="2" w:space="0" w:color="000000"/>
              <w:right w:val="single" w:sz="2" w:space="0" w:color="000000"/>
            </w:tcBorders>
          </w:tcPr>
          <w:p w14:paraId="62DC53EA" w14:textId="77777777" w:rsidR="00833524" w:rsidRPr="00364545" w:rsidRDefault="00833524" w:rsidP="00E56269">
            <w:pPr>
              <w:spacing w:line="259" w:lineRule="auto"/>
            </w:pPr>
            <w:r w:rsidRPr="00364545">
              <w:rPr>
                <w:sz w:val="18"/>
              </w:rPr>
              <w:t xml:space="preserve">Energy </w:t>
            </w:r>
          </w:p>
        </w:tc>
        <w:tc>
          <w:tcPr>
            <w:tcW w:w="765" w:type="dxa"/>
            <w:tcBorders>
              <w:top w:val="single" w:sz="2" w:space="0" w:color="000000"/>
              <w:left w:val="single" w:sz="2" w:space="0" w:color="000000"/>
              <w:bottom w:val="single" w:sz="2" w:space="0" w:color="000000"/>
              <w:right w:val="single" w:sz="2" w:space="0" w:color="000000"/>
            </w:tcBorders>
            <w:vAlign w:val="center"/>
          </w:tcPr>
          <w:p w14:paraId="398C1598"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4E253D09"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65" w:type="dxa"/>
            <w:tcBorders>
              <w:top w:val="single" w:sz="2" w:space="0" w:color="000000"/>
              <w:left w:val="single" w:sz="2" w:space="0" w:color="000000"/>
              <w:bottom w:val="single" w:sz="2" w:space="0" w:color="000000"/>
              <w:right w:val="single" w:sz="2" w:space="0" w:color="000000"/>
            </w:tcBorders>
            <w:vAlign w:val="center"/>
          </w:tcPr>
          <w:p w14:paraId="05A373CA"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6A9DC6F9"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67" w:type="dxa"/>
            <w:tcBorders>
              <w:top w:val="single" w:sz="2" w:space="0" w:color="000000"/>
              <w:left w:val="single" w:sz="2" w:space="0" w:color="000000"/>
              <w:bottom w:val="single" w:sz="2" w:space="0" w:color="000000"/>
              <w:right w:val="single" w:sz="2" w:space="0" w:color="000000"/>
            </w:tcBorders>
            <w:vAlign w:val="center"/>
          </w:tcPr>
          <w:p w14:paraId="41E7404F"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65" w:type="dxa"/>
            <w:tcBorders>
              <w:top w:val="single" w:sz="2" w:space="0" w:color="000000"/>
              <w:left w:val="single" w:sz="2" w:space="0" w:color="000000"/>
              <w:bottom w:val="single" w:sz="2" w:space="0" w:color="000000"/>
              <w:right w:val="single" w:sz="2" w:space="0" w:color="000000"/>
            </w:tcBorders>
            <w:vAlign w:val="center"/>
          </w:tcPr>
          <w:p w14:paraId="5F9AE838"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21" w:type="dxa"/>
            <w:tcBorders>
              <w:top w:val="single" w:sz="2" w:space="0" w:color="000000"/>
              <w:left w:val="single" w:sz="2" w:space="0" w:color="000000"/>
              <w:bottom w:val="single" w:sz="2" w:space="0" w:color="000000"/>
              <w:right w:val="single" w:sz="2" w:space="0" w:color="000000"/>
            </w:tcBorders>
            <w:vAlign w:val="center"/>
          </w:tcPr>
          <w:p w14:paraId="54CB9E29"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227F615D"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73" w:type="dxa"/>
            <w:tcBorders>
              <w:top w:val="single" w:sz="2" w:space="0" w:color="000000"/>
              <w:left w:val="single" w:sz="2" w:space="0" w:color="000000"/>
              <w:bottom w:val="single" w:sz="2" w:space="0" w:color="000000"/>
              <w:right w:val="single" w:sz="2" w:space="0" w:color="000000"/>
            </w:tcBorders>
            <w:vAlign w:val="center"/>
          </w:tcPr>
          <w:p w14:paraId="0BC6F7CB"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6B1CD367"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74" w:type="dxa"/>
            <w:tcBorders>
              <w:top w:val="single" w:sz="2" w:space="0" w:color="000000"/>
              <w:left w:val="single" w:sz="2" w:space="0" w:color="000000"/>
              <w:bottom w:val="single" w:sz="2" w:space="0" w:color="000000"/>
              <w:right w:val="single" w:sz="2" w:space="0" w:color="000000"/>
            </w:tcBorders>
            <w:vAlign w:val="center"/>
          </w:tcPr>
          <w:p w14:paraId="4BE6FA26"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c>
          <w:tcPr>
            <w:tcW w:w="606" w:type="dxa"/>
            <w:tcBorders>
              <w:top w:val="single" w:sz="2" w:space="0" w:color="000000"/>
              <w:left w:val="single" w:sz="2" w:space="0" w:color="000000"/>
              <w:bottom w:val="single" w:sz="2" w:space="0" w:color="000000"/>
              <w:right w:val="single" w:sz="2" w:space="0" w:color="000000"/>
            </w:tcBorders>
            <w:vAlign w:val="center"/>
          </w:tcPr>
          <w:p w14:paraId="771754A6"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r>
      <w:tr w:rsidR="00833524" w:rsidRPr="00364545" w14:paraId="64192057" w14:textId="77777777" w:rsidTr="00E56269">
        <w:trPr>
          <w:trHeight w:val="416"/>
        </w:trPr>
        <w:tc>
          <w:tcPr>
            <w:tcW w:w="1594" w:type="dxa"/>
            <w:tcBorders>
              <w:top w:val="single" w:sz="2" w:space="0" w:color="000000"/>
              <w:left w:val="single" w:sz="2" w:space="0" w:color="000000"/>
              <w:bottom w:val="single" w:sz="2" w:space="0" w:color="000000"/>
              <w:right w:val="single" w:sz="2" w:space="0" w:color="000000"/>
            </w:tcBorders>
            <w:shd w:val="clear" w:color="auto" w:fill="ECE6E2"/>
          </w:tcPr>
          <w:p w14:paraId="7D6941B1" w14:textId="77777777" w:rsidR="00833524" w:rsidRPr="00364545" w:rsidRDefault="00833524" w:rsidP="00E56269">
            <w:pPr>
              <w:spacing w:line="259" w:lineRule="auto"/>
            </w:pPr>
            <w:r w:rsidRPr="00364545">
              <w:rPr>
                <w:sz w:val="18"/>
              </w:rPr>
              <w:t xml:space="preserve">Industrial processes, solvents and other products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A0A1F3B" w14:textId="77777777" w:rsidR="00833524" w:rsidRPr="00634E4C" w:rsidRDefault="00833524" w:rsidP="00E56269">
            <w:pPr>
              <w:spacing w:line="259" w:lineRule="auto"/>
              <w:ind w:left="16"/>
              <w:jc w:val="center"/>
              <w:rPr>
                <w:rFonts w:asciiTheme="majorHAnsi" w:hAnsiTheme="majorHAnsi"/>
                <w:sz w:val="18"/>
              </w:rPr>
            </w:pPr>
            <w:r w:rsidRPr="005D0955">
              <w:rPr>
                <w:rFonts w:asciiTheme="majorHAnsi" w:hAnsiTheme="majorHAnsi"/>
                <w:sz w:val="18"/>
                <w:szCs w:val="18"/>
              </w:rPr>
              <w:t>2155</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15D0510" w14:textId="77777777" w:rsidR="00833524" w:rsidRPr="00634E4C" w:rsidRDefault="00833524" w:rsidP="00E56269">
            <w:pPr>
              <w:spacing w:line="259" w:lineRule="auto"/>
              <w:ind w:left="19"/>
              <w:jc w:val="center"/>
              <w:rPr>
                <w:rFonts w:asciiTheme="majorHAnsi" w:hAnsiTheme="majorHAnsi"/>
                <w:color w:val="000000"/>
                <w:sz w:val="18"/>
              </w:rPr>
            </w:pPr>
            <w:r w:rsidRPr="005D0955">
              <w:rPr>
                <w:rFonts w:asciiTheme="majorHAnsi" w:hAnsiTheme="majorHAnsi"/>
                <w:sz w:val="18"/>
                <w:szCs w:val="18"/>
              </w:rPr>
              <w:t>2467</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897D621"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sz w:val="18"/>
              </w:rPr>
              <w:t>2180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3FEAD59" w14:textId="77777777" w:rsidR="00833524" w:rsidRPr="00634E4C" w:rsidRDefault="00833524" w:rsidP="00E56269">
            <w:pPr>
              <w:spacing w:line="259" w:lineRule="auto"/>
              <w:ind w:left="16"/>
              <w:jc w:val="center"/>
              <w:rPr>
                <w:rFonts w:asciiTheme="majorHAnsi" w:hAnsiTheme="majorHAnsi"/>
                <w:color w:val="000000"/>
                <w:sz w:val="18"/>
              </w:rPr>
            </w:pPr>
            <w:r w:rsidRPr="005D0955">
              <w:rPr>
                <w:rFonts w:asciiTheme="majorHAnsi" w:hAnsiTheme="majorHAnsi"/>
                <w:sz w:val="18"/>
                <w:szCs w:val="18"/>
              </w:rPr>
              <w:t>1355</w:t>
            </w:r>
          </w:p>
        </w:tc>
        <w:tc>
          <w:tcPr>
            <w:tcW w:w="66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C4CE9D9" w14:textId="77777777" w:rsidR="00833524" w:rsidRPr="00634E4C" w:rsidRDefault="00833524" w:rsidP="00E56269">
            <w:pPr>
              <w:spacing w:line="259" w:lineRule="auto"/>
              <w:ind w:left="21"/>
              <w:jc w:val="center"/>
              <w:rPr>
                <w:rFonts w:asciiTheme="majorHAnsi" w:hAnsiTheme="majorHAnsi"/>
                <w:color w:val="000000"/>
                <w:sz w:val="18"/>
              </w:rPr>
            </w:pPr>
            <w:r w:rsidRPr="00634E4C">
              <w:rPr>
                <w:rFonts w:asciiTheme="majorHAnsi" w:hAnsiTheme="majorHAnsi"/>
                <w:sz w:val="18"/>
              </w:rPr>
              <w:t>875</w:t>
            </w:r>
          </w:p>
        </w:tc>
        <w:tc>
          <w:tcPr>
            <w:tcW w:w="6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DB424B7"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sz w:val="18"/>
              </w:rPr>
              <w:t>498</w:t>
            </w:r>
          </w:p>
        </w:tc>
        <w:tc>
          <w:tcPr>
            <w:tcW w:w="62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2F1561F" w14:textId="77777777" w:rsidR="00833524" w:rsidRPr="00634E4C" w:rsidRDefault="00833524" w:rsidP="00E56269">
            <w:pPr>
              <w:spacing w:line="259" w:lineRule="auto"/>
              <w:ind w:left="21"/>
              <w:jc w:val="center"/>
              <w:rPr>
                <w:rFonts w:asciiTheme="majorHAnsi" w:hAnsiTheme="majorHAnsi"/>
                <w:color w:val="000000"/>
                <w:sz w:val="18"/>
              </w:rPr>
            </w:pPr>
            <w:r w:rsidRPr="005D0955">
              <w:rPr>
                <w:rFonts w:asciiTheme="majorHAnsi" w:hAnsiTheme="majorHAnsi"/>
                <w:sz w:val="18"/>
                <w:szCs w:val="18"/>
              </w:rPr>
              <w:t>385</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F81D4B4" w14:textId="77777777" w:rsidR="00833524" w:rsidRPr="00634E4C" w:rsidRDefault="00833524" w:rsidP="00E56269">
            <w:pPr>
              <w:spacing w:line="259" w:lineRule="auto"/>
              <w:ind w:left="21"/>
              <w:jc w:val="center"/>
              <w:rPr>
                <w:rFonts w:asciiTheme="majorHAnsi" w:hAnsiTheme="majorHAnsi"/>
                <w:color w:val="000000"/>
                <w:sz w:val="18"/>
              </w:rPr>
            </w:pPr>
            <w:r w:rsidRPr="00634E4C">
              <w:rPr>
                <w:rFonts w:asciiTheme="majorHAnsi" w:hAnsiTheme="majorHAnsi"/>
                <w:color w:val="000000"/>
                <w:sz w:val="18"/>
              </w:rPr>
              <w:t>387.4</w:t>
            </w:r>
          </w:p>
        </w:tc>
        <w:tc>
          <w:tcPr>
            <w:tcW w:w="67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2C9D788"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color w:val="000000"/>
                <w:sz w:val="18"/>
              </w:rPr>
              <w:t>358.1</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45E4397" w14:textId="77777777" w:rsidR="00833524" w:rsidRPr="00634E4C" w:rsidRDefault="00833524" w:rsidP="00E56269">
            <w:pPr>
              <w:spacing w:line="259" w:lineRule="auto"/>
              <w:ind w:left="21"/>
              <w:jc w:val="center"/>
              <w:rPr>
                <w:rFonts w:asciiTheme="majorHAnsi" w:hAnsiTheme="majorHAnsi"/>
                <w:color w:val="000000"/>
                <w:sz w:val="18"/>
              </w:rPr>
            </w:pPr>
            <w:r w:rsidRPr="00634E4C">
              <w:rPr>
                <w:rFonts w:asciiTheme="majorHAnsi" w:hAnsiTheme="majorHAnsi"/>
                <w:color w:val="000000"/>
                <w:sz w:val="18"/>
              </w:rPr>
              <w:t>359.2</w:t>
            </w:r>
          </w:p>
        </w:tc>
        <w:tc>
          <w:tcPr>
            <w:tcW w:w="674"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F53C0C3" w14:textId="77777777" w:rsidR="00833524" w:rsidRPr="00634E4C" w:rsidRDefault="00833524" w:rsidP="00E56269">
            <w:pPr>
              <w:spacing w:line="259" w:lineRule="auto"/>
              <w:ind w:left="20"/>
              <w:jc w:val="center"/>
              <w:rPr>
                <w:rFonts w:asciiTheme="majorHAnsi" w:hAnsiTheme="majorHAnsi"/>
                <w:color w:val="000000"/>
                <w:sz w:val="18"/>
              </w:rPr>
            </w:pPr>
            <w:r w:rsidRPr="00634E4C">
              <w:rPr>
                <w:rFonts w:asciiTheme="majorHAnsi" w:hAnsiTheme="majorHAnsi"/>
                <w:color w:val="000000"/>
                <w:sz w:val="18"/>
              </w:rPr>
              <w:t>360.2</w:t>
            </w:r>
          </w:p>
        </w:tc>
        <w:tc>
          <w:tcPr>
            <w:tcW w:w="60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16C890" w14:textId="77777777" w:rsidR="00833524" w:rsidRPr="00634E4C" w:rsidRDefault="00833524" w:rsidP="00E56269">
            <w:pPr>
              <w:spacing w:line="259" w:lineRule="auto"/>
              <w:ind w:left="20"/>
              <w:jc w:val="center"/>
              <w:rPr>
                <w:rFonts w:asciiTheme="majorHAnsi" w:hAnsiTheme="majorHAnsi"/>
                <w:color w:val="000000"/>
                <w:sz w:val="18"/>
              </w:rPr>
            </w:pPr>
            <w:r w:rsidRPr="00634E4C">
              <w:rPr>
                <w:rFonts w:asciiTheme="majorHAnsi" w:hAnsiTheme="majorHAnsi"/>
                <w:color w:val="000000"/>
                <w:sz w:val="18"/>
              </w:rPr>
              <w:t>363.0</w:t>
            </w:r>
          </w:p>
        </w:tc>
      </w:tr>
      <w:tr w:rsidR="00833524" w:rsidRPr="00364545" w14:paraId="59CA48DC" w14:textId="77777777" w:rsidTr="00E56269">
        <w:trPr>
          <w:trHeight w:val="347"/>
        </w:trPr>
        <w:tc>
          <w:tcPr>
            <w:tcW w:w="1594" w:type="dxa"/>
            <w:tcBorders>
              <w:top w:val="single" w:sz="2" w:space="0" w:color="000000"/>
              <w:left w:val="single" w:sz="2" w:space="0" w:color="000000"/>
              <w:bottom w:val="single" w:sz="2" w:space="0" w:color="000000"/>
              <w:right w:val="single" w:sz="2" w:space="0" w:color="000000"/>
            </w:tcBorders>
          </w:tcPr>
          <w:p w14:paraId="32FA9654" w14:textId="77777777" w:rsidR="00833524" w:rsidRPr="00364545" w:rsidRDefault="00833524" w:rsidP="00E56269">
            <w:pPr>
              <w:spacing w:line="259" w:lineRule="auto"/>
            </w:pPr>
            <w:r w:rsidRPr="00364545">
              <w:rPr>
                <w:sz w:val="18"/>
              </w:rPr>
              <w:t xml:space="preserve">Agriculture (excluding energy) </w:t>
            </w:r>
          </w:p>
        </w:tc>
        <w:tc>
          <w:tcPr>
            <w:tcW w:w="765" w:type="dxa"/>
            <w:tcBorders>
              <w:top w:val="single" w:sz="2" w:space="0" w:color="000000"/>
              <w:left w:val="single" w:sz="2" w:space="0" w:color="000000"/>
              <w:bottom w:val="single" w:sz="2" w:space="0" w:color="000000"/>
              <w:right w:val="single" w:sz="2" w:space="0" w:color="000000"/>
            </w:tcBorders>
            <w:vAlign w:val="center"/>
          </w:tcPr>
          <w:p w14:paraId="5265DD7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28EF27D5"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5" w:type="dxa"/>
            <w:tcBorders>
              <w:top w:val="single" w:sz="2" w:space="0" w:color="000000"/>
              <w:left w:val="single" w:sz="2" w:space="0" w:color="000000"/>
              <w:bottom w:val="single" w:sz="2" w:space="0" w:color="000000"/>
              <w:right w:val="single" w:sz="2" w:space="0" w:color="000000"/>
            </w:tcBorders>
            <w:vAlign w:val="center"/>
          </w:tcPr>
          <w:p w14:paraId="79D7CFEC"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67507DC1" w14:textId="77777777" w:rsidR="00833524" w:rsidRPr="00634E4C" w:rsidRDefault="00833524" w:rsidP="00E56269">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67" w:type="dxa"/>
            <w:tcBorders>
              <w:top w:val="single" w:sz="2" w:space="0" w:color="000000"/>
              <w:left w:val="single" w:sz="2" w:space="0" w:color="000000"/>
              <w:bottom w:val="single" w:sz="2" w:space="0" w:color="000000"/>
              <w:right w:val="single" w:sz="2" w:space="0" w:color="000000"/>
            </w:tcBorders>
            <w:vAlign w:val="center"/>
          </w:tcPr>
          <w:p w14:paraId="15F53A0B"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65" w:type="dxa"/>
            <w:tcBorders>
              <w:top w:val="single" w:sz="2" w:space="0" w:color="000000"/>
              <w:left w:val="single" w:sz="2" w:space="0" w:color="000000"/>
              <w:bottom w:val="single" w:sz="2" w:space="0" w:color="000000"/>
              <w:right w:val="single" w:sz="2" w:space="0" w:color="000000"/>
            </w:tcBorders>
            <w:vAlign w:val="center"/>
          </w:tcPr>
          <w:p w14:paraId="7BC0852B" w14:textId="77777777" w:rsidR="00833524" w:rsidRPr="00634E4C" w:rsidRDefault="00833524" w:rsidP="00E56269">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21" w:type="dxa"/>
            <w:tcBorders>
              <w:top w:val="single" w:sz="2" w:space="0" w:color="000000"/>
              <w:left w:val="single" w:sz="2" w:space="0" w:color="000000"/>
              <w:bottom w:val="single" w:sz="2" w:space="0" w:color="000000"/>
              <w:right w:val="single" w:sz="2" w:space="0" w:color="000000"/>
            </w:tcBorders>
            <w:vAlign w:val="center"/>
          </w:tcPr>
          <w:p w14:paraId="23C1C646"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5BE02473"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3" w:type="dxa"/>
            <w:tcBorders>
              <w:top w:val="single" w:sz="2" w:space="0" w:color="000000"/>
              <w:left w:val="single" w:sz="2" w:space="0" w:color="000000"/>
              <w:bottom w:val="single" w:sz="2" w:space="0" w:color="000000"/>
              <w:right w:val="single" w:sz="2" w:space="0" w:color="000000"/>
            </w:tcBorders>
            <w:vAlign w:val="center"/>
          </w:tcPr>
          <w:p w14:paraId="40E33262" w14:textId="77777777" w:rsidR="00833524" w:rsidRPr="00634E4C" w:rsidRDefault="00833524" w:rsidP="00E56269">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6710B4F0"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4" w:type="dxa"/>
            <w:tcBorders>
              <w:top w:val="single" w:sz="2" w:space="0" w:color="000000"/>
              <w:left w:val="single" w:sz="2" w:space="0" w:color="000000"/>
              <w:bottom w:val="single" w:sz="2" w:space="0" w:color="000000"/>
              <w:right w:val="single" w:sz="2" w:space="0" w:color="000000"/>
            </w:tcBorders>
            <w:vAlign w:val="center"/>
          </w:tcPr>
          <w:p w14:paraId="06FA4524" w14:textId="77777777" w:rsidR="00833524" w:rsidRPr="00634E4C" w:rsidRDefault="00833524" w:rsidP="00E56269">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c>
          <w:tcPr>
            <w:tcW w:w="606" w:type="dxa"/>
            <w:tcBorders>
              <w:top w:val="single" w:sz="2" w:space="0" w:color="000000"/>
              <w:left w:val="single" w:sz="2" w:space="0" w:color="000000"/>
              <w:bottom w:val="single" w:sz="2" w:space="0" w:color="000000"/>
              <w:right w:val="single" w:sz="2" w:space="0" w:color="000000"/>
            </w:tcBorders>
            <w:vAlign w:val="center"/>
          </w:tcPr>
          <w:p w14:paraId="4A3B2369" w14:textId="77777777" w:rsidR="00833524" w:rsidRPr="00634E4C" w:rsidRDefault="00833524" w:rsidP="00E56269">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r>
      <w:tr w:rsidR="00833524" w:rsidRPr="00364545" w14:paraId="304A3CC0" w14:textId="77777777" w:rsidTr="00E56269">
        <w:trPr>
          <w:trHeight w:val="344"/>
        </w:trPr>
        <w:tc>
          <w:tcPr>
            <w:tcW w:w="1594" w:type="dxa"/>
            <w:tcBorders>
              <w:top w:val="single" w:sz="2" w:space="0" w:color="000000"/>
              <w:left w:val="single" w:sz="2" w:space="0" w:color="000000"/>
              <w:bottom w:val="single" w:sz="2" w:space="0" w:color="000000"/>
              <w:right w:val="single" w:sz="2" w:space="0" w:color="000000"/>
            </w:tcBorders>
            <w:shd w:val="clear" w:color="auto" w:fill="ECE6E2"/>
          </w:tcPr>
          <w:p w14:paraId="405A1855" w14:textId="77777777" w:rsidR="00833524" w:rsidRPr="00364545" w:rsidRDefault="00833524" w:rsidP="00E56269">
            <w:pPr>
              <w:spacing w:line="259" w:lineRule="auto"/>
            </w:pPr>
            <w:r w:rsidRPr="00364545">
              <w:rPr>
                <w:sz w:val="18"/>
              </w:rPr>
              <w:t xml:space="preserve">LULUCF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644AB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94615F"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4684724"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7DEA72" w14:textId="77777777" w:rsidR="00833524" w:rsidRPr="00634E4C" w:rsidRDefault="00833524" w:rsidP="00E56269">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98045C"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EEC1B4E" w14:textId="77777777" w:rsidR="00833524" w:rsidRPr="00634E4C" w:rsidRDefault="00833524" w:rsidP="00E56269">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2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E07008"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369D94"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47F2DC" w14:textId="77777777" w:rsidR="00833524" w:rsidRPr="00634E4C" w:rsidRDefault="00833524" w:rsidP="00E56269">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3CAF52"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71ECEFB" w14:textId="77777777" w:rsidR="00833524" w:rsidRPr="00634E4C" w:rsidRDefault="00833524" w:rsidP="00E56269">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c>
          <w:tcPr>
            <w:tcW w:w="60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F74621" w14:textId="77777777" w:rsidR="00833524" w:rsidRPr="00634E4C" w:rsidRDefault="00833524" w:rsidP="00E56269">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r>
      <w:tr w:rsidR="00833524" w:rsidRPr="00364545" w14:paraId="6C001BEE" w14:textId="77777777" w:rsidTr="00E56269">
        <w:trPr>
          <w:trHeight w:val="346"/>
        </w:trPr>
        <w:tc>
          <w:tcPr>
            <w:tcW w:w="1594" w:type="dxa"/>
            <w:tcBorders>
              <w:top w:val="single" w:sz="2" w:space="0" w:color="000000"/>
              <w:left w:val="single" w:sz="2" w:space="0" w:color="000000"/>
              <w:bottom w:val="single" w:sz="2" w:space="0" w:color="000000"/>
              <w:right w:val="single" w:sz="2" w:space="0" w:color="000000"/>
            </w:tcBorders>
          </w:tcPr>
          <w:p w14:paraId="2B0966A5" w14:textId="77777777" w:rsidR="00833524" w:rsidRPr="00364545" w:rsidRDefault="00833524" w:rsidP="00E56269">
            <w:pPr>
              <w:spacing w:line="259" w:lineRule="auto"/>
            </w:pPr>
            <w:r w:rsidRPr="00364545">
              <w:rPr>
                <w:sz w:val="18"/>
              </w:rPr>
              <w:t xml:space="preserve">Waste </w:t>
            </w:r>
          </w:p>
        </w:tc>
        <w:tc>
          <w:tcPr>
            <w:tcW w:w="765" w:type="dxa"/>
            <w:tcBorders>
              <w:top w:val="single" w:sz="2" w:space="0" w:color="000000"/>
              <w:left w:val="single" w:sz="2" w:space="0" w:color="000000"/>
              <w:bottom w:val="single" w:sz="2" w:space="0" w:color="000000"/>
              <w:right w:val="single" w:sz="2" w:space="0" w:color="000000"/>
            </w:tcBorders>
            <w:vAlign w:val="center"/>
          </w:tcPr>
          <w:p w14:paraId="22B39A11"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5F2A34A6"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5" w:type="dxa"/>
            <w:tcBorders>
              <w:top w:val="single" w:sz="2" w:space="0" w:color="000000"/>
              <w:left w:val="single" w:sz="2" w:space="0" w:color="000000"/>
              <w:bottom w:val="single" w:sz="2" w:space="0" w:color="000000"/>
              <w:right w:val="single" w:sz="2" w:space="0" w:color="000000"/>
            </w:tcBorders>
            <w:vAlign w:val="center"/>
          </w:tcPr>
          <w:p w14:paraId="7132A02A"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3E375F9F" w14:textId="77777777" w:rsidR="00833524" w:rsidRPr="00634E4C" w:rsidRDefault="00833524" w:rsidP="00E56269">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67" w:type="dxa"/>
            <w:tcBorders>
              <w:top w:val="single" w:sz="2" w:space="0" w:color="000000"/>
              <w:left w:val="single" w:sz="2" w:space="0" w:color="000000"/>
              <w:bottom w:val="single" w:sz="2" w:space="0" w:color="000000"/>
              <w:right w:val="single" w:sz="2" w:space="0" w:color="000000"/>
            </w:tcBorders>
            <w:vAlign w:val="center"/>
          </w:tcPr>
          <w:p w14:paraId="6D5C340C"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65" w:type="dxa"/>
            <w:tcBorders>
              <w:top w:val="single" w:sz="2" w:space="0" w:color="000000"/>
              <w:left w:val="single" w:sz="2" w:space="0" w:color="000000"/>
              <w:bottom w:val="single" w:sz="2" w:space="0" w:color="000000"/>
              <w:right w:val="single" w:sz="2" w:space="0" w:color="000000"/>
            </w:tcBorders>
            <w:vAlign w:val="center"/>
          </w:tcPr>
          <w:p w14:paraId="05458FAC" w14:textId="77777777" w:rsidR="00833524" w:rsidRPr="00634E4C" w:rsidRDefault="00833524" w:rsidP="00E56269">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21" w:type="dxa"/>
            <w:tcBorders>
              <w:top w:val="single" w:sz="2" w:space="0" w:color="000000"/>
              <w:left w:val="single" w:sz="2" w:space="0" w:color="000000"/>
              <w:bottom w:val="single" w:sz="2" w:space="0" w:color="000000"/>
              <w:right w:val="single" w:sz="2" w:space="0" w:color="000000"/>
            </w:tcBorders>
            <w:vAlign w:val="center"/>
          </w:tcPr>
          <w:p w14:paraId="58A56EC2"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5D96E7EF"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3" w:type="dxa"/>
            <w:tcBorders>
              <w:top w:val="single" w:sz="2" w:space="0" w:color="000000"/>
              <w:left w:val="single" w:sz="2" w:space="0" w:color="000000"/>
              <w:bottom w:val="single" w:sz="2" w:space="0" w:color="000000"/>
              <w:right w:val="single" w:sz="2" w:space="0" w:color="000000"/>
            </w:tcBorders>
            <w:vAlign w:val="center"/>
          </w:tcPr>
          <w:p w14:paraId="014CA567" w14:textId="77777777" w:rsidR="00833524" w:rsidRPr="00634E4C" w:rsidRDefault="00833524" w:rsidP="00E56269">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74721145" w14:textId="77777777" w:rsidR="00833524" w:rsidRPr="00634E4C" w:rsidRDefault="00833524" w:rsidP="00E56269">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4" w:type="dxa"/>
            <w:tcBorders>
              <w:top w:val="single" w:sz="2" w:space="0" w:color="000000"/>
              <w:left w:val="single" w:sz="2" w:space="0" w:color="000000"/>
              <w:bottom w:val="single" w:sz="2" w:space="0" w:color="000000"/>
              <w:right w:val="single" w:sz="2" w:space="0" w:color="000000"/>
            </w:tcBorders>
            <w:vAlign w:val="center"/>
          </w:tcPr>
          <w:p w14:paraId="570D6E64" w14:textId="77777777" w:rsidR="00833524" w:rsidRPr="00634E4C" w:rsidRDefault="00833524" w:rsidP="00E56269">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c>
          <w:tcPr>
            <w:tcW w:w="606" w:type="dxa"/>
            <w:tcBorders>
              <w:top w:val="single" w:sz="2" w:space="0" w:color="000000"/>
              <w:left w:val="single" w:sz="2" w:space="0" w:color="000000"/>
              <w:bottom w:val="single" w:sz="2" w:space="0" w:color="000000"/>
              <w:right w:val="single" w:sz="2" w:space="0" w:color="000000"/>
            </w:tcBorders>
            <w:vAlign w:val="center"/>
          </w:tcPr>
          <w:p w14:paraId="3950CE1E" w14:textId="77777777" w:rsidR="00833524" w:rsidRPr="00634E4C" w:rsidRDefault="00833524" w:rsidP="00E56269">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r>
      <w:tr w:rsidR="00833524" w:rsidRPr="00364545" w14:paraId="1357E26B" w14:textId="77777777" w:rsidTr="00E56269">
        <w:trPr>
          <w:trHeight w:val="343"/>
        </w:trPr>
        <w:tc>
          <w:tcPr>
            <w:tcW w:w="1594" w:type="dxa"/>
            <w:tcBorders>
              <w:top w:val="single" w:sz="2" w:space="0" w:color="000000"/>
              <w:left w:val="single" w:sz="2" w:space="0" w:color="000000"/>
              <w:bottom w:val="single" w:sz="2" w:space="0" w:color="000000"/>
              <w:right w:val="single" w:sz="2" w:space="0" w:color="000000"/>
            </w:tcBorders>
            <w:shd w:val="clear" w:color="auto" w:fill="ECE6E2"/>
          </w:tcPr>
          <w:p w14:paraId="5B3C5ACB" w14:textId="77777777" w:rsidR="00833524" w:rsidRPr="00364545" w:rsidRDefault="00833524" w:rsidP="00E56269">
            <w:pPr>
              <w:spacing w:line="259" w:lineRule="auto"/>
            </w:pPr>
            <w:r w:rsidRPr="00364545">
              <w:rPr>
                <w:b/>
                <w:sz w:val="18"/>
              </w:rPr>
              <w:t xml:space="preserve">Ensemble (hors UTCF)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573F5CA" w14:textId="77777777" w:rsidR="00833524" w:rsidRPr="00634E4C" w:rsidRDefault="00833524" w:rsidP="00E56269">
            <w:pPr>
              <w:spacing w:line="259" w:lineRule="auto"/>
              <w:ind w:left="16"/>
              <w:jc w:val="center"/>
              <w:rPr>
                <w:rFonts w:asciiTheme="majorHAnsi" w:hAnsiTheme="majorHAnsi"/>
                <w:sz w:val="18"/>
              </w:rPr>
            </w:pPr>
            <w:r w:rsidRPr="005D0955">
              <w:rPr>
                <w:rFonts w:asciiTheme="majorHAnsi" w:hAnsiTheme="majorHAnsi"/>
                <w:sz w:val="18"/>
                <w:szCs w:val="18"/>
              </w:rPr>
              <w:t>2155</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CA90A45" w14:textId="77777777" w:rsidR="00833524" w:rsidRPr="00634E4C" w:rsidRDefault="00833524" w:rsidP="00E56269">
            <w:pPr>
              <w:spacing w:line="259" w:lineRule="auto"/>
              <w:ind w:left="19"/>
              <w:jc w:val="center"/>
              <w:rPr>
                <w:rFonts w:asciiTheme="majorHAnsi" w:hAnsiTheme="majorHAnsi"/>
                <w:b/>
                <w:color w:val="000000"/>
                <w:sz w:val="18"/>
              </w:rPr>
            </w:pPr>
            <w:r w:rsidRPr="005D0955">
              <w:rPr>
                <w:rFonts w:asciiTheme="majorHAnsi" w:hAnsiTheme="majorHAnsi"/>
                <w:sz w:val="18"/>
                <w:szCs w:val="18"/>
              </w:rPr>
              <w:t>2467</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BFBC246"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2180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458BCAA" w14:textId="77777777" w:rsidR="00833524" w:rsidRPr="00634E4C" w:rsidRDefault="00833524" w:rsidP="00E56269">
            <w:pPr>
              <w:spacing w:line="259" w:lineRule="auto"/>
              <w:ind w:left="16"/>
              <w:jc w:val="center"/>
              <w:rPr>
                <w:rFonts w:asciiTheme="majorHAnsi" w:hAnsiTheme="majorHAnsi"/>
                <w:b/>
                <w:color w:val="000000"/>
                <w:sz w:val="18"/>
              </w:rPr>
            </w:pPr>
            <w:r w:rsidRPr="005D0955">
              <w:rPr>
                <w:rFonts w:asciiTheme="majorHAnsi" w:hAnsiTheme="majorHAnsi"/>
                <w:sz w:val="18"/>
                <w:szCs w:val="18"/>
              </w:rPr>
              <w:t>1355</w:t>
            </w:r>
          </w:p>
        </w:tc>
        <w:tc>
          <w:tcPr>
            <w:tcW w:w="66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B4A994E"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sz w:val="18"/>
              </w:rPr>
              <w:t>875</w:t>
            </w:r>
          </w:p>
        </w:tc>
        <w:tc>
          <w:tcPr>
            <w:tcW w:w="6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7E80D1F"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498</w:t>
            </w:r>
          </w:p>
        </w:tc>
        <w:tc>
          <w:tcPr>
            <w:tcW w:w="62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C4C1230" w14:textId="77777777" w:rsidR="00833524" w:rsidRPr="00634E4C" w:rsidRDefault="00833524" w:rsidP="00E56269">
            <w:pPr>
              <w:spacing w:line="259" w:lineRule="auto"/>
              <w:ind w:left="21"/>
              <w:jc w:val="center"/>
              <w:rPr>
                <w:rFonts w:asciiTheme="majorHAnsi" w:hAnsiTheme="majorHAnsi"/>
                <w:b/>
                <w:color w:val="000000"/>
                <w:sz w:val="18"/>
              </w:rPr>
            </w:pPr>
            <w:r w:rsidRPr="005D0955">
              <w:rPr>
                <w:rFonts w:asciiTheme="majorHAnsi" w:hAnsiTheme="majorHAnsi"/>
                <w:sz w:val="18"/>
                <w:szCs w:val="18"/>
              </w:rPr>
              <w:t>385</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D62908E"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387.4</w:t>
            </w:r>
          </w:p>
        </w:tc>
        <w:tc>
          <w:tcPr>
            <w:tcW w:w="67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9507E9C"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358.1</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0161D83"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359.2</w:t>
            </w:r>
          </w:p>
        </w:tc>
        <w:tc>
          <w:tcPr>
            <w:tcW w:w="674"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76E136" w14:textId="77777777" w:rsidR="00833524" w:rsidRPr="00634E4C" w:rsidRDefault="00833524" w:rsidP="00E56269">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360.2</w:t>
            </w:r>
          </w:p>
        </w:tc>
        <w:tc>
          <w:tcPr>
            <w:tcW w:w="60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AAABE6B" w14:textId="77777777" w:rsidR="00833524" w:rsidRPr="00634E4C" w:rsidRDefault="00833524" w:rsidP="00E56269">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363.0</w:t>
            </w:r>
          </w:p>
        </w:tc>
      </w:tr>
      <w:tr w:rsidR="00833524" w:rsidRPr="00364545" w14:paraId="3BDEF695" w14:textId="77777777" w:rsidTr="00E56269">
        <w:trPr>
          <w:trHeight w:val="346"/>
        </w:trPr>
        <w:tc>
          <w:tcPr>
            <w:tcW w:w="1594" w:type="dxa"/>
            <w:tcBorders>
              <w:top w:val="single" w:sz="2" w:space="0" w:color="000000"/>
              <w:left w:val="single" w:sz="2" w:space="0" w:color="000000"/>
              <w:bottom w:val="single" w:sz="2" w:space="0" w:color="000000"/>
              <w:right w:val="single" w:sz="2" w:space="0" w:color="000000"/>
            </w:tcBorders>
          </w:tcPr>
          <w:p w14:paraId="2D95EAA7" w14:textId="77777777" w:rsidR="00833524" w:rsidRPr="00364545" w:rsidRDefault="00833524" w:rsidP="00E56269">
            <w:pPr>
              <w:spacing w:line="259" w:lineRule="auto"/>
            </w:pPr>
            <w:r w:rsidRPr="00364545">
              <w:rPr>
                <w:b/>
                <w:sz w:val="18"/>
              </w:rPr>
              <w:t xml:space="preserve">Ensemble (avec UTCF) </w:t>
            </w:r>
          </w:p>
        </w:tc>
        <w:tc>
          <w:tcPr>
            <w:tcW w:w="765" w:type="dxa"/>
            <w:tcBorders>
              <w:top w:val="single" w:sz="2" w:space="0" w:color="000000"/>
              <w:left w:val="single" w:sz="2" w:space="0" w:color="000000"/>
              <w:bottom w:val="single" w:sz="2" w:space="0" w:color="000000"/>
              <w:right w:val="single" w:sz="2" w:space="0" w:color="000000"/>
            </w:tcBorders>
            <w:vAlign w:val="bottom"/>
          </w:tcPr>
          <w:p w14:paraId="6B57E2F4" w14:textId="77777777" w:rsidR="00833524" w:rsidRPr="00634E4C" w:rsidRDefault="00833524" w:rsidP="00E56269">
            <w:pPr>
              <w:spacing w:line="259" w:lineRule="auto"/>
              <w:ind w:left="16"/>
              <w:jc w:val="center"/>
              <w:rPr>
                <w:rFonts w:asciiTheme="majorHAnsi" w:hAnsiTheme="majorHAnsi"/>
                <w:sz w:val="18"/>
              </w:rPr>
            </w:pPr>
            <w:r w:rsidRPr="005D0955">
              <w:rPr>
                <w:rFonts w:asciiTheme="majorHAnsi" w:hAnsiTheme="majorHAnsi"/>
                <w:sz w:val="18"/>
                <w:szCs w:val="18"/>
              </w:rPr>
              <w:t>2155</w:t>
            </w:r>
          </w:p>
        </w:tc>
        <w:tc>
          <w:tcPr>
            <w:tcW w:w="792" w:type="dxa"/>
            <w:tcBorders>
              <w:top w:val="single" w:sz="2" w:space="0" w:color="000000"/>
              <w:left w:val="single" w:sz="2" w:space="0" w:color="000000"/>
              <w:bottom w:val="single" w:sz="2" w:space="0" w:color="000000"/>
              <w:right w:val="single" w:sz="2" w:space="0" w:color="000000"/>
            </w:tcBorders>
            <w:vAlign w:val="bottom"/>
          </w:tcPr>
          <w:p w14:paraId="25AAA620" w14:textId="77777777" w:rsidR="00833524" w:rsidRPr="00634E4C" w:rsidRDefault="00833524" w:rsidP="00E56269">
            <w:pPr>
              <w:spacing w:line="259" w:lineRule="auto"/>
              <w:ind w:left="19"/>
              <w:jc w:val="center"/>
              <w:rPr>
                <w:rFonts w:asciiTheme="majorHAnsi" w:hAnsiTheme="majorHAnsi"/>
                <w:b/>
                <w:color w:val="000000"/>
                <w:sz w:val="18"/>
              </w:rPr>
            </w:pPr>
            <w:r w:rsidRPr="005D0955">
              <w:rPr>
                <w:rFonts w:asciiTheme="majorHAnsi" w:hAnsiTheme="majorHAnsi"/>
                <w:sz w:val="18"/>
                <w:szCs w:val="18"/>
              </w:rPr>
              <w:t>2467</w:t>
            </w:r>
          </w:p>
        </w:tc>
        <w:tc>
          <w:tcPr>
            <w:tcW w:w="765" w:type="dxa"/>
            <w:tcBorders>
              <w:top w:val="single" w:sz="2" w:space="0" w:color="000000"/>
              <w:left w:val="single" w:sz="2" w:space="0" w:color="000000"/>
              <w:bottom w:val="single" w:sz="2" w:space="0" w:color="000000"/>
              <w:right w:val="single" w:sz="2" w:space="0" w:color="000000"/>
            </w:tcBorders>
            <w:vAlign w:val="bottom"/>
          </w:tcPr>
          <w:p w14:paraId="1EB3DA4A"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2180</w:t>
            </w:r>
          </w:p>
        </w:tc>
        <w:tc>
          <w:tcPr>
            <w:tcW w:w="762" w:type="dxa"/>
            <w:tcBorders>
              <w:top w:val="single" w:sz="2" w:space="0" w:color="000000"/>
              <w:left w:val="single" w:sz="2" w:space="0" w:color="000000"/>
              <w:bottom w:val="single" w:sz="2" w:space="0" w:color="000000"/>
              <w:right w:val="single" w:sz="2" w:space="0" w:color="000000"/>
            </w:tcBorders>
            <w:vAlign w:val="bottom"/>
          </w:tcPr>
          <w:p w14:paraId="74CA195A" w14:textId="77777777" w:rsidR="00833524" w:rsidRPr="00634E4C" w:rsidRDefault="00833524" w:rsidP="00E56269">
            <w:pPr>
              <w:spacing w:line="259" w:lineRule="auto"/>
              <w:ind w:left="16"/>
              <w:jc w:val="center"/>
              <w:rPr>
                <w:rFonts w:asciiTheme="majorHAnsi" w:hAnsiTheme="majorHAnsi"/>
                <w:b/>
                <w:color w:val="000000"/>
                <w:sz w:val="18"/>
              </w:rPr>
            </w:pPr>
            <w:r w:rsidRPr="005D0955">
              <w:rPr>
                <w:rFonts w:asciiTheme="majorHAnsi" w:hAnsiTheme="majorHAnsi"/>
                <w:sz w:val="18"/>
                <w:szCs w:val="18"/>
              </w:rPr>
              <w:t>1355</w:t>
            </w:r>
          </w:p>
        </w:tc>
        <w:tc>
          <w:tcPr>
            <w:tcW w:w="667" w:type="dxa"/>
            <w:tcBorders>
              <w:top w:val="single" w:sz="2" w:space="0" w:color="000000"/>
              <w:left w:val="single" w:sz="2" w:space="0" w:color="000000"/>
              <w:bottom w:val="single" w:sz="2" w:space="0" w:color="000000"/>
              <w:right w:val="single" w:sz="2" w:space="0" w:color="000000"/>
            </w:tcBorders>
            <w:vAlign w:val="bottom"/>
          </w:tcPr>
          <w:p w14:paraId="083B950C"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sz w:val="18"/>
              </w:rPr>
              <w:t>875</w:t>
            </w:r>
          </w:p>
        </w:tc>
        <w:tc>
          <w:tcPr>
            <w:tcW w:w="665" w:type="dxa"/>
            <w:tcBorders>
              <w:top w:val="single" w:sz="2" w:space="0" w:color="000000"/>
              <w:left w:val="single" w:sz="2" w:space="0" w:color="000000"/>
              <w:bottom w:val="single" w:sz="2" w:space="0" w:color="000000"/>
              <w:right w:val="single" w:sz="2" w:space="0" w:color="000000"/>
            </w:tcBorders>
            <w:vAlign w:val="bottom"/>
          </w:tcPr>
          <w:p w14:paraId="70D1B0DE"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498</w:t>
            </w:r>
          </w:p>
        </w:tc>
        <w:tc>
          <w:tcPr>
            <w:tcW w:w="621" w:type="dxa"/>
            <w:tcBorders>
              <w:top w:val="single" w:sz="2" w:space="0" w:color="000000"/>
              <w:left w:val="single" w:sz="2" w:space="0" w:color="000000"/>
              <w:bottom w:val="single" w:sz="2" w:space="0" w:color="000000"/>
              <w:right w:val="single" w:sz="2" w:space="0" w:color="000000"/>
            </w:tcBorders>
            <w:vAlign w:val="bottom"/>
          </w:tcPr>
          <w:p w14:paraId="377B27BD" w14:textId="77777777" w:rsidR="00833524" w:rsidRPr="00634E4C" w:rsidRDefault="00833524" w:rsidP="00E56269">
            <w:pPr>
              <w:spacing w:line="259" w:lineRule="auto"/>
              <w:ind w:left="21"/>
              <w:jc w:val="center"/>
              <w:rPr>
                <w:rFonts w:asciiTheme="majorHAnsi" w:hAnsiTheme="majorHAnsi"/>
                <w:b/>
                <w:color w:val="000000"/>
                <w:sz w:val="18"/>
              </w:rPr>
            </w:pPr>
            <w:r w:rsidRPr="005D0955">
              <w:rPr>
                <w:rFonts w:asciiTheme="majorHAnsi" w:hAnsiTheme="majorHAnsi"/>
                <w:sz w:val="18"/>
                <w:szCs w:val="18"/>
              </w:rPr>
              <w:t>385</w:t>
            </w:r>
          </w:p>
        </w:tc>
        <w:tc>
          <w:tcPr>
            <w:tcW w:w="675" w:type="dxa"/>
            <w:tcBorders>
              <w:top w:val="single" w:sz="2" w:space="0" w:color="000000"/>
              <w:left w:val="single" w:sz="2" w:space="0" w:color="000000"/>
              <w:bottom w:val="single" w:sz="2" w:space="0" w:color="000000"/>
              <w:right w:val="single" w:sz="2" w:space="0" w:color="000000"/>
            </w:tcBorders>
            <w:vAlign w:val="bottom"/>
          </w:tcPr>
          <w:p w14:paraId="0AB05781"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387.4</w:t>
            </w:r>
          </w:p>
        </w:tc>
        <w:tc>
          <w:tcPr>
            <w:tcW w:w="673" w:type="dxa"/>
            <w:tcBorders>
              <w:top w:val="single" w:sz="2" w:space="0" w:color="000000"/>
              <w:left w:val="single" w:sz="2" w:space="0" w:color="000000"/>
              <w:bottom w:val="single" w:sz="2" w:space="0" w:color="000000"/>
              <w:right w:val="single" w:sz="2" w:space="0" w:color="000000"/>
            </w:tcBorders>
            <w:vAlign w:val="bottom"/>
          </w:tcPr>
          <w:p w14:paraId="2A199B2C"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358.1</w:t>
            </w:r>
          </w:p>
        </w:tc>
        <w:tc>
          <w:tcPr>
            <w:tcW w:w="675" w:type="dxa"/>
            <w:tcBorders>
              <w:top w:val="single" w:sz="2" w:space="0" w:color="000000"/>
              <w:left w:val="single" w:sz="2" w:space="0" w:color="000000"/>
              <w:bottom w:val="single" w:sz="2" w:space="0" w:color="000000"/>
              <w:right w:val="single" w:sz="2" w:space="0" w:color="000000"/>
            </w:tcBorders>
            <w:vAlign w:val="bottom"/>
          </w:tcPr>
          <w:p w14:paraId="3362C060" w14:textId="77777777" w:rsidR="00833524" w:rsidRPr="00634E4C" w:rsidRDefault="00833524" w:rsidP="00E56269">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359.2</w:t>
            </w:r>
          </w:p>
        </w:tc>
        <w:tc>
          <w:tcPr>
            <w:tcW w:w="674" w:type="dxa"/>
            <w:tcBorders>
              <w:top w:val="single" w:sz="2" w:space="0" w:color="000000"/>
              <w:left w:val="single" w:sz="2" w:space="0" w:color="000000"/>
              <w:bottom w:val="single" w:sz="2" w:space="0" w:color="000000"/>
              <w:right w:val="single" w:sz="2" w:space="0" w:color="000000"/>
            </w:tcBorders>
            <w:vAlign w:val="bottom"/>
          </w:tcPr>
          <w:p w14:paraId="6E7AF119" w14:textId="77777777" w:rsidR="00833524" w:rsidRPr="00634E4C" w:rsidRDefault="00833524" w:rsidP="00E56269">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360.2</w:t>
            </w:r>
          </w:p>
        </w:tc>
        <w:tc>
          <w:tcPr>
            <w:tcW w:w="606" w:type="dxa"/>
            <w:tcBorders>
              <w:top w:val="single" w:sz="2" w:space="0" w:color="000000"/>
              <w:left w:val="single" w:sz="2" w:space="0" w:color="000000"/>
              <w:bottom w:val="single" w:sz="2" w:space="0" w:color="000000"/>
              <w:right w:val="single" w:sz="2" w:space="0" w:color="000000"/>
            </w:tcBorders>
            <w:vAlign w:val="bottom"/>
          </w:tcPr>
          <w:p w14:paraId="7D803E32" w14:textId="77777777" w:rsidR="00833524" w:rsidRPr="00634E4C" w:rsidRDefault="00833524" w:rsidP="00E56269">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363.0</w:t>
            </w:r>
          </w:p>
        </w:tc>
      </w:tr>
    </w:tbl>
    <w:p w14:paraId="73A673B0" w14:textId="30AD7D59" w:rsidR="00833524" w:rsidRPr="00364545" w:rsidRDefault="00833524" w:rsidP="00833524">
      <w:pPr>
        <w:pStyle w:val="Caption"/>
      </w:pPr>
      <w:r w:rsidRPr="00364545">
        <w:t xml:space="preserve">Table </w:t>
      </w:r>
      <w:fldSimple w:instr=" SEQ Tableau \* ARABIC ">
        <w:r w:rsidR="009A2FAA">
          <w:rPr>
            <w:noProof/>
          </w:rPr>
          <w:t>24</w:t>
        </w:r>
      </w:fldSimple>
      <w:r w:rsidRPr="00364545">
        <w:t>: SF</w:t>
      </w:r>
      <w:r w:rsidRPr="00364545">
        <w:rPr>
          <w:vertAlign w:val="subscript"/>
        </w:rPr>
        <w:t>6</w:t>
      </w:r>
      <w:r w:rsidRPr="00364545">
        <w:t xml:space="preserve"> emissions projections (in ktCO</w:t>
      </w:r>
      <w:r w:rsidRPr="00364545">
        <w:rPr>
          <w:vertAlign w:val="subscript"/>
        </w:rPr>
        <w:t>2e</w:t>
      </w:r>
      <w:r w:rsidRPr="00364545">
        <w:t>) in the Kyoto scope in the AME 2021 scenario (with existing measures)</w:t>
      </w:r>
    </w:p>
    <w:p w14:paraId="53B124AB" w14:textId="77777777" w:rsidR="00833524" w:rsidRPr="00364545" w:rsidRDefault="00833524" w:rsidP="00833524">
      <w:pPr>
        <w:pStyle w:val="Caption"/>
      </w:pPr>
      <w:r w:rsidRPr="00364545">
        <w:t>Source: UN</w:t>
      </w:r>
      <w:r>
        <w:t>FCCC inventory, Citepa/MTE, 2022</w:t>
      </w:r>
      <w:r w:rsidRPr="00364545">
        <w:t xml:space="preserve"> submission and MTE emission projections, 2021</w:t>
      </w:r>
    </w:p>
    <w:p w14:paraId="4DD8862B" w14:textId="77777777" w:rsidR="00833524" w:rsidRPr="00364545" w:rsidRDefault="00833524" w:rsidP="00833524"/>
    <w:p w14:paraId="069FF57E" w14:textId="77777777" w:rsidR="00833524" w:rsidRPr="00364545" w:rsidRDefault="00833524" w:rsidP="00833524">
      <w:pPr>
        <w:rPr>
          <w:sz w:val="18"/>
          <w:szCs w:val="18"/>
        </w:rPr>
      </w:pPr>
    </w:p>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672"/>
        <w:gridCol w:w="730"/>
        <w:gridCol w:w="731"/>
        <w:gridCol w:w="731"/>
        <w:gridCol w:w="729"/>
        <w:gridCol w:w="680"/>
        <w:gridCol w:w="677"/>
        <w:gridCol w:w="627"/>
        <w:gridCol w:w="688"/>
        <w:gridCol w:w="686"/>
        <w:gridCol w:w="688"/>
        <w:gridCol w:w="686"/>
        <w:gridCol w:w="609"/>
      </w:tblGrid>
      <w:tr w:rsidR="00833524" w:rsidRPr="00364545" w14:paraId="7D036FDF" w14:textId="77777777" w:rsidTr="00E56269">
        <w:trPr>
          <w:trHeight w:val="401"/>
        </w:trPr>
        <w:tc>
          <w:tcPr>
            <w:tcW w:w="1672" w:type="dxa"/>
            <w:tcBorders>
              <w:top w:val="single" w:sz="2" w:space="0" w:color="000000"/>
              <w:left w:val="single" w:sz="2" w:space="0" w:color="000000"/>
              <w:bottom w:val="single" w:sz="2" w:space="0" w:color="000000"/>
              <w:right w:val="single" w:sz="2" w:space="0" w:color="000000"/>
            </w:tcBorders>
            <w:shd w:val="clear" w:color="auto" w:fill="6D2A78"/>
          </w:tcPr>
          <w:p w14:paraId="41999C65" w14:textId="77777777" w:rsidR="00833524" w:rsidRPr="00364545" w:rsidRDefault="00833524" w:rsidP="00E56269">
            <w:pPr>
              <w:spacing w:line="259" w:lineRule="auto"/>
            </w:pPr>
            <w:r>
              <w:t>AME</w:t>
            </w:r>
            <w:r w:rsidRPr="00364545">
              <w:t xml:space="preserve"> 21 </w:t>
            </w:r>
            <w:r w:rsidRPr="005D0955">
              <w:rPr>
                <w:szCs w:val="22"/>
              </w:rPr>
              <w:t xml:space="preserve">- </w:t>
            </w:r>
            <w:r w:rsidRPr="00634E4C">
              <w:t>NF3</w:t>
            </w:r>
          </w:p>
        </w:tc>
        <w:tc>
          <w:tcPr>
            <w:tcW w:w="730" w:type="dxa"/>
            <w:tcBorders>
              <w:top w:val="single" w:sz="2" w:space="0" w:color="000000"/>
              <w:left w:val="single" w:sz="2" w:space="0" w:color="000000"/>
              <w:bottom w:val="single" w:sz="2" w:space="0" w:color="000000"/>
              <w:right w:val="single" w:sz="2" w:space="0" w:color="000000"/>
            </w:tcBorders>
            <w:shd w:val="clear" w:color="auto" w:fill="6D2A78"/>
          </w:tcPr>
          <w:p w14:paraId="3D119C51" w14:textId="77777777" w:rsidR="00833524" w:rsidRPr="00364545" w:rsidRDefault="00833524" w:rsidP="00E56269">
            <w:pPr>
              <w:spacing w:line="259" w:lineRule="auto"/>
              <w:ind w:left="19"/>
              <w:jc w:val="center"/>
            </w:pPr>
            <w:r w:rsidRPr="00364545">
              <w:rPr>
                <w:b/>
                <w:color w:val="FFFFFF"/>
                <w:sz w:val="18"/>
              </w:rPr>
              <w:t xml:space="preserve">1990 </w:t>
            </w:r>
          </w:p>
        </w:tc>
        <w:tc>
          <w:tcPr>
            <w:tcW w:w="731" w:type="dxa"/>
            <w:tcBorders>
              <w:top w:val="single" w:sz="2" w:space="0" w:color="000000"/>
              <w:left w:val="single" w:sz="2" w:space="0" w:color="000000"/>
              <w:bottom w:val="single" w:sz="2" w:space="0" w:color="000000"/>
              <w:right w:val="single" w:sz="2" w:space="0" w:color="000000"/>
            </w:tcBorders>
            <w:shd w:val="clear" w:color="auto" w:fill="6D2A78"/>
          </w:tcPr>
          <w:p w14:paraId="67A6B028" w14:textId="77777777" w:rsidR="00833524" w:rsidRPr="00364545" w:rsidRDefault="00833524" w:rsidP="00E56269">
            <w:pPr>
              <w:spacing w:line="259" w:lineRule="auto"/>
              <w:ind w:left="21"/>
              <w:jc w:val="center"/>
              <w:rPr>
                <w:b/>
                <w:color w:val="FFFFFF"/>
                <w:sz w:val="18"/>
              </w:rPr>
            </w:pPr>
            <w:r w:rsidRPr="00364545">
              <w:rPr>
                <w:b/>
                <w:color w:val="FFFFFF"/>
                <w:sz w:val="18"/>
              </w:rPr>
              <w:t>1995</w:t>
            </w:r>
          </w:p>
        </w:tc>
        <w:tc>
          <w:tcPr>
            <w:tcW w:w="731" w:type="dxa"/>
            <w:tcBorders>
              <w:top w:val="single" w:sz="2" w:space="0" w:color="000000"/>
              <w:left w:val="single" w:sz="2" w:space="0" w:color="000000"/>
              <w:bottom w:val="single" w:sz="2" w:space="0" w:color="000000"/>
              <w:right w:val="single" w:sz="2" w:space="0" w:color="000000"/>
            </w:tcBorders>
            <w:shd w:val="clear" w:color="auto" w:fill="6D2A78"/>
          </w:tcPr>
          <w:p w14:paraId="00C0DB7B" w14:textId="77777777" w:rsidR="00833524" w:rsidRPr="00364545" w:rsidRDefault="00833524" w:rsidP="00E56269">
            <w:pPr>
              <w:spacing w:line="259" w:lineRule="auto"/>
              <w:ind w:left="21"/>
              <w:jc w:val="center"/>
            </w:pPr>
            <w:r w:rsidRPr="00364545">
              <w:rPr>
                <w:b/>
                <w:color w:val="FFFFFF"/>
                <w:sz w:val="18"/>
              </w:rPr>
              <w:t xml:space="preserve">2000 </w:t>
            </w:r>
          </w:p>
        </w:tc>
        <w:tc>
          <w:tcPr>
            <w:tcW w:w="729" w:type="dxa"/>
            <w:tcBorders>
              <w:top w:val="single" w:sz="2" w:space="0" w:color="000000"/>
              <w:left w:val="single" w:sz="2" w:space="0" w:color="000000"/>
              <w:bottom w:val="single" w:sz="2" w:space="0" w:color="000000"/>
              <w:right w:val="single" w:sz="2" w:space="0" w:color="000000"/>
            </w:tcBorders>
            <w:shd w:val="clear" w:color="auto" w:fill="6D2A78"/>
          </w:tcPr>
          <w:p w14:paraId="01B0B536" w14:textId="77777777" w:rsidR="00833524" w:rsidRPr="00364545" w:rsidRDefault="00833524" w:rsidP="00E56269">
            <w:pPr>
              <w:spacing w:line="259" w:lineRule="auto"/>
              <w:ind w:left="19"/>
              <w:jc w:val="center"/>
            </w:pPr>
            <w:r w:rsidRPr="00364545">
              <w:rPr>
                <w:b/>
                <w:color w:val="FFFFFF"/>
                <w:sz w:val="18"/>
              </w:rPr>
              <w:t xml:space="preserve">2005 </w:t>
            </w:r>
          </w:p>
        </w:tc>
        <w:tc>
          <w:tcPr>
            <w:tcW w:w="680" w:type="dxa"/>
            <w:tcBorders>
              <w:top w:val="single" w:sz="2" w:space="0" w:color="000000"/>
              <w:left w:val="single" w:sz="2" w:space="0" w:color="000000"/>
              <w:bottom w:val="single" w:sz="2" w:space="0" w:color="000000"/>
              <w:right w:val="single" w:sz="2" w:space="0" w:color="000000"/>
            </w:tcBorders>
            <w:shd w:val="clear" w:color="auto" w:fill="6D2A78"/>
          </w:tcPr>
          <w:p w14:paraId="73247C95" w14:textId="77777777" w:rsidR="00833524" w:rsidRPr="00364545" w:rsidRDefault="00833524" w:rsidP="00E56269">
            <w:pPr>
              <w:spacing w:line="259" w:lineRule="auto"/>
              <w:ind w:left="21"/>
              <w:jc w:val="center"/>
            </w:pPr>
            <w:r w:rsidRPr="00364545">
              <w:rPr>
                <w:b/>
                <w:color w:val="FFFFFF"/>
                <w:sz w:val="18"/>
              </w:rPr>
              <w:t xml:space="preserve">2010 </w:t>
            </w:r>
          </w:p>
        </w:tc>
        <w:tc>
          <w:tcPr>
            <w:tcW w:w="677" w:type="dxa"/>
            <w:tcBorders>
              <w:top w:val="single" w:sz="2" w:space="0" w:color="000000"/>
              <w:left w:val="single" w:sz="2" w:space="0" w:color="000000"/>
              <w:bottom w:val="single" w:sz="2" w:space="0" w:color="000000"/>
              <w:right w:val="single" w:sz="2" w:space="0" w:color="000000"/>
            </w:tcBorders>
            <w:shd w:val="clear" w:color="auto" w:fill="6D2A78"/>
          </w:tcPr>
          <w:p w14:paraId="59CC4CA9" w14:textId="77777777" w:rsidR="00833524" w:rsidRPr="00364545" w:rsidRDefault="00833524" w:rsidP="00E56269">
            <w:pPr>
              <w:spacing w:line="259" w:lineRule="auto"/>
              <w:ind w:left="19"/>
              <w:jc w:val="center"/>
            </w:pPr>
            <w:r w:rsidRPr="00364545">
              <w:rPr>
                <w:b/>
                <w:color w:val="FFFFFF"/>
                <w:sz w:val="18"/>
              </w:rPr>
              <w:t xml:space="preserve">2015 </w:t>
            </w:r>
          </w:p>
        </w:tc>
        <w:tc>
          <w:tcPr>
            <w:tcW w:w="627" w:type="dxa"/>
            <w:tcBorders>
              <w:top w:val="single" w:sz="2" w:space="0" w:color="000000"/>
              <w:left w:val="single" w:sz="2" w:space="0" w:color="000000"/>
              <w:bottom w:val="single" w:sz="2" w:space="0" w:color="000000"/>
              <w:right w:val="single" w:sz="2" w:space="0" w:color="000000"/>
            </w:tcBorders>
            <w:shd w:val="clear" w:color="auto" w:fill="6D2A78"/>
          </w:tcPr>
          <w:p w14:paraId="0DA5C989" w14:textId="77777777" w:rsidR="00833524" w:rsidRPr="00364545" w:rsidRDefault="00833524" w:rsidP="00E56269">
            <w:pPr>
              <w:spacing w:line="259" w:lineRule="auto"/>
              <w:ind w:left="21"/>
              <w:jc w:val="center"/>
              <w:rPr>
                <w:b/>
                <w:color w:val="FFFFFF"/>
                <w:sz w:val="18"/>
              </w:rPr>
            </w:pPr>
            <w:r w:rsidRPr="00364545">
              <w:rPr>
                <w:b/>
                <w:color w:val="FFFFFF"/>
                <w:sz w:val="18"/>
              </w:rPr>
              <w:t>2019</w:t>
            </w:r>
          </w:p>
        </w:tc>
        <w:tc>
          <w:tcPr>
            <w:tcW w:w="688" w:type="dxa"/>
            <w:tcBorders>
              <w:top w:val="single" w:sz="2" w:space="0" w:color="000000"/>
              <w:left w:val="single" w:sz="2" w:space="0" w:color="000000"/>
              <w:bottom w:val="single" w:sz="2" w:space="0" w:color="000000"/>
              <w:right w:val="single" w:sz="2" w:space="0" w:color="000000"/>
            </w:tcBorders>
            <w:shd w:val="clear" w:color="auto" w:fill="6D2A78"/>
          </w:tcPr>
          <w:p w14:paraId="2C3153F4" w14:textId="77777777" w:rsidR="00833524" w:rsidRPr="00364545" w:rsidRDefault="00833524" w:rsidP="00E56269">
            <w:pPr>
              <w:spacing w:line="259" w:lineRule="auto"/>
              <w:ind w:left="21"/>
              <w:jc w:val="center"/>
            </w:pPr>
            <w:r w:rsidRPr="00364545">
              <w:rPr>
                <w:b/>
                <w:color w:val="FFFFFF"/>
                <w:sz w:val="18"/>
              </w:rPr>
              <w:t xml:space="preserve">2020 </w:t>
            </w:r>
          </w:p>
        </w:tc>
        <w:tc>
          <w:tcPr>
            <w:tcW w:w="686" w:type="dxa"/>
            <w:tcBorders>
              <w:top w:val="single" w:sz="2" w:space="0" w:color="000000"/>
              <w:left w:val="single" w:sz="2" w:space="0" w:color="000000"/>
              <w:bottom w:val="single" w:sz="2" w:space="0" w:color="000000"/>
              <w:right w:val="single" w:sz="2" w:space="0" w:color="000000"/>
            </w:tcBorders>
            <w:shd w:val="clear" w:color="auto" w:fill="6D2A78"/>
          </w:tcPr>
          <w:p w14:paraId="7B6E808B" w14:textId="77777777" w:rsidR="00833524" w:rsidRPr="00364545" w:rsidRDefault="00833524" w:rsidP="00E56269">
            <w:pPr>
              <w:spacing w:line="259" w:lineRule="auto"/>
              <w:ind w:left="19"/>
              <w:jc w:val="center"/>
            </w:pPr>
            <w:r w:rsidRPr="00364545">
              <w:rPr>
                <w:b/>
                <w:color w:val="FFFFFF"/>
                <w:sz w:val="18"/>
              </w:rPr>
              <w:t xml:space="preserve">2025 </w:t>
            </w:r>
          </w:p>
        </w:tc>
        <w:tc>
          <w:tcPr>
            <w:tcW w:w="688" w:type="dxa"/>
            <w:tcBorders>
              <w:top w:val="single" w:sz="2" w:space="0" w:color="000000"/>
              <w:left w:val="single" w:sz="2" w:space="0" w:color="000000"/>
              <w:bottom w:val="single" w:sz="2" w:space="0" w:color="000000"/>
              <w:right w:val="single" w:sz="2" w:space="0" w:color="000000"/>
            </w:tcBorders>
            <w:shd w:val="clear" w:color="auto" w:fill="6D2A78"/>
          </w:tcPr>
          <w:p w14:paraId="59464A95" w14:textId="77777777" w:rsidR="00833524" w:rsidRPr="00364545" w:rsidRDefault="00833524" w:rsidP="00E56269">
            <w:pPr>
              <w:spacing w:line="259" w:lineRule="auto"/>
              <w:ind w:left="21"/>
              <w:jc w:val="center"/>
            </w:pPr>
            <w:r w:rsidRPr="00364545">
              <w:rPr>
                <w:b/>
                <w:color w:val="FFFFFF"/>
                <w:sz w:val="18"/>
              </w:rPr>
              <w:t xml:space="preserve">2030 </w:t>
            </w:r>
          </w:p>
        </w:tc>
        <w:tc>
          <w:tcPr>
            <w:tcW w:w="686" w:type="dxa"/>
            <w:tcBorders>
              <w:top w:val="single" w:sz="2" w:space="0" w:color="000000"/>
              <w:left w:val="single" w:sz="2" w:space="0" w:color="000000"/>
              <w:bottom w:val="single" w:sz="2" w:space="0" w:color="000000"/>
              <w:right w:val="single" w:sz="2" w:space="0" w:color="000000"/>
            </w:tcBorders>
            <w:shd w:val="clear" w:color="auto" w:fill="6D2A78"/>
          </w:tcPr>
          <w:p w14:paraId="78A81A28" w14:textId="77777777" w:rsidR="00833524" w:rsidRPr="00364545" w:rsidRDefault="00833524" w:rsidP="00E56269">
            <w:pPr>
              <w:spacing w:line="259" w:lineRule="auto"/>
              <w:ind w:left="20"/>
              <w:jc w:val="center"/>
            </w:pPr>
            <w:r w:rsidRPr="00364545">
              <w:rPr>
                <w:b/>
                <w:color w:val="FFFFFF"/>
                <w:sz w:val="18"/>
              </w:rPr>
              <w:t xml:space="preserve">2035 </w:t>
            </w:r>
          </w:p>
        </w:tc>
        <w:tc>
          <w:tcPr>
            <w:tcW w:w="609" w:type="dxa"/>
            <w:tcBorders>
              <w:top w:val="single" w:sz="2" w:space="0" w:color="000000"/>
              <w:left w:val="single" w:sz="2" w:space="0" w:color="000000"/>
              <w:bottom w:val="single" w:sz="2" w:space="0" w:color="000000"/>
              <w:right w:val="single" w:sz="2" w:space="0" w:color="000000"/>
            </w:tcBorders>
            <w:shd w:val="clear" w:color="auto" w:fill="6D2A78"/>
          </w:tcPr>
          <w:p w14:paraId="64005D2D" w14:textId="77777777" w:rsidR="00833524" w:rsidRPr="00364545" w:rsidRDefault="00833524" w:rsidP="00E56269">
            <w:pPr>
              <w:spacing w:line="259" w:lineRule="auto"/>
              <w:ind w:left="20"/>
              <w:jc w:val="center"/>
              <w:rPr>
                <w:b/>
                <w:color w:val="FFFFFF"/>
                <w:sz w:val="18"/>
              </w:rPr>
            </w:pPr>
            <w:r w:rsidRPr="00364545">
              <w:rPr>
                <w:b/>
                <w:color w:val="FFFFFF"/>
                <w:sz w:val="18"/>
              </w:rPr>
              <w:t>2050</w:t>
            </w:r>
          </w:p>
        </w:tc>
      </w:tr>
      <w:tr w:rsidR="00833524" w:rsidRPr="00364545" w14:paraId="2D0FE3FD" w14:textId="77777777" w:rsidTr="00E56269">
        <w:trPr>
          <w:trHeight w:val="347"/>
        </w:trPr>
        <w:tc>
          <w:tcPr>
            <w:tcW w:w="1672" w:type="dxa"/>
            <w:tcBorders>
              <w:top w:val="single" w:sz="2" w:space="0" w:color="000000"/>
              <w:left w:val="single" w:sz="2" w:space="0" w:color="000000"/>
              <w:bottom w:val="single" w:sz="2" w:space="0" w:color="000000"/>
              <w:right w:val="single" w:sz="2" w:space="0" w:color="000000"/>
            </w:tcBorders>
          </w:tcPr>
          <w:p w14:paraId="07E7A6C4" w14:textId="77777777" w:rsidR="00833524" w:rsidRPr="00364545" w:rsidRDefault="00833524" w:rsidP="00E56269">
            <w:pPr>
              <w:spacing w:line="259" w:lineRule="auto"/>
            </w:pPr>
            <w:r w:rsidRPr="00364545">
              <w:rPr>
                <w:sz w:val="18"/>
              </w:rPr>
              <w:t xml:space="preserve">Energy </w:t>
            </w:r>
          </w:p>
        </w:tc>
        <w:tc>
          <w:tcPr>
            <w:tcW w:w="730" w:type="dxa"/>
            <w:tcBorders>
              <w:top w:val="single" w:sz="2" w:space="0" w:color="000000"/>
              <w:left w:val="single" w:sz="2" w:space="0" w:color="000000"/>
              <w:bottom w:val="single" w:sz="2" w:space="0" w:color="000000"/>
              <w:right w:val="single" w:sz="2" w:space="0" w:color="000000"/>
            </w:tcBorders>
            <w:vAlign w:val="center"/>
          </w:tcPr>
          <w:p w14:paraId="5CF55E48"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4C2EC905"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39E2AEFE"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729" w:type="dxa"/>
            <w:tcBorders>
              <w:top w:val="single" w:sz="2" w:space="0" w:color="000000"/>
              <w:left w:val="single" w:sz="2" w:space="0" w:color="000000"/>
              <w:bottom w:val="single" w:sz="2" w:space="0" w:color="000000"/>
              <w:right w:val="single" w:sz="2" w:space="0" w:color="000000"/>
            </w:tcBorders>
            <w:vAlign w:val="center"/>
          </w:tcPr>
          <w:p w14:paraId="48600883"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80" w:type="dxa"/>
            <w:tcBorders>
              <w:top w:val="single" w:sz="2" w:space="0" w:color="000000"/>
              <w:left w:val="single" w:sz="2" w:space="0" w:color="000000"/>
              <w:bottom w:val="single" w:sz="2" w:space="0" w:color="000000"/>
              <w:right w:val="single" w:sz="2" w:space="0" w:color="000000"/>
            </w:tcBorders>
            <w:vAlign w:val="center"/>
          </w:tcPr>
          <w:p w14:paraId="273352F2"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77" w:type="dxa"/>
            <w:tcBorders>
              <w:top w:val="single" w:sz="2" w:space="0" w:color="000000"/>
              <w:left w:val="single" w:sz="2" w:space="0" w:color="000000"/>
              <w:bottom w:val="single" w:sz="2" w:space="0" w:color="000000"/>
              <w:right w:val="single" w:sz="2" w:space="0" w:color="000000"/>
            </w:tcBorders>
            <w:vAlign w:val="center"/>
          </w:tcPr>
          <w:p w14:paraId="7701E115"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27" w:type="dxa"/>
            <w:tcBorders>
              <w:top w:val="single" w:sz="2" w:space="0" w:color="000000"/>
              <w:left w:val="single" w:sz="2" w:space="0" w:color="000000"/>
              <w:bottom w:val="single" w:sz="2" w:space="0" w:color="000000"/>
              <w:right w:val="single" w:sz="2" w:space="0" w:color="000000"/>
            </w:tcBorders>
            <w:vAlign w:val="center"/>
          </w:tcPr>
          <w:p w14:paraId="1E24D44C"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05F13038"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10D38833"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1E1CB451" w14:textId="77777777" w:rsidR="00833524" w:rsidRPr="00634E4C" w:rsidRDefault="00833524" w:rsidP="00E56269">
            <w:pPr>
              <w:spacing w:line="259" w:lineRule="auto"/>
              <w:ind w:left="16"/>
              <w:jc w:val="center"/>
              <w:rPr>
                <w:rFonts w:asciiTheme="majorHAnsi" w:hAnsiTheme="majorHAnsi"/>
                <w:sz w:val="18"/>
              </w:rPr>
            </w:pPr>
            <w:r w:rsidRPr="00634E4C">
              <w:rPr>
                <w:rFonts w:asciiTheme="majorHAnsi" w:hAnsiTheme="majorHAnsi"/>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4E3E4C36"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c>
          <w:tcPr>
            <w:tcW w:w="609" w:type="dxa"/>
            <w:tcBorders>
              <w:top w:val="single" w:sz="2" w:space="0" w:color="000000"/>
              <w:left w:val="single" w:sz="2" w:space="0" w:color="000000"/>
              <w:bottom w:val="single" w:sz="2" w:space="0" w:color="000000"/>
              <w:right w:val="single" w:sz="2" w:space="0" w:color="000000"/>
            </w:tcBorders>
            <w:vAlign w:val="center"/>
          </w:tcPr>
          <w:p w14:paraId="46FE83B7" w14:textId="77777777" w:rsidR="00833524" w:rsidRPr="00634E4C" w:rsidRDefault="00833524" w:rsidP="00E56269">
            <w:pPr>
              <w:spacing w:line="259" w:lineRule="auto"/>
              <w:ind w:left="15"/>
              <w:jc w:val="center"/>
              <w:rPr>
                <w:rFonts w:asciiTheme="majorHAnsi" w:hAnsiTheme="majorHAnsi"/>
                <w:sz w:val="18"/>
              </w:rPr>
            </w:pPr>
            <w:r w:rsidRPr="00634E4C">
              <w:rPr>
                <w:rFonts w:asciiTheme="majorHAnsi" w:hAnsiTheme="majorHAnsi"/>
                <w:sz w:val="18"/>
              </w:rPr>
              <w:t>0</w:t>
            </w:r>
          </w:p>
        </w:tc>
      </w:tr>
      <w:tr w:rsidR="00833524" w:rsidRPr="00364545" w14:paraId="68E1FADD" w14:textId="77777777" w:rsidTr="00E56269">
        <w:trPr>
          <w:trHeight w:val="416"/>
        </w:trPr>
        <w:tc>
          <w:tcPr>
            <w:tcW w:w="1672" w:type="dxa"/>
            <w:tcBorders>
              <w:top w:val="single" w:sz="2" w:space="0" w:color="000000"/>
              <w:left w:val="single" w:sz="2" w:space="0" w:color="000000"/>
              <w:bottom w:val="single" w:sz="2" w:space="0" w:color="000000"/>
              <w:right w:val="single" w:sz="2" w:space="0" w:color="000000"/>
            </w:tcBorders>
            <w:shd w:val="clear" w:color="auto" w:fill="ECE6E2"/>
          </w:tcPr>
          <w:p w14:paraId="55AA38F3" w14:textId="77777777" w:rsidR="00833524" w:rsidRPr="00364545" w:rsidRDefault="00833524" w:rsidP="00E56269">
            <w:pPr>
              <w:spacing w:line="259" w:lineRule="auto"/>
            </w:pPr>
            <w:r w:rsidRPr="00364545">
              <w:rPr>
                <w:sz w:val="18"/>
              </w:rPr>
              <w:t xml:space="preserve">Industrial processes, solvents and other products </w:t>
            </w:r>
          </w:p>
        </w:tc>
        <w:tc>
          <w:tcPr>
            <w:tcW w:w="73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E57AC86" w14:textId="77777777" w:rsidR="00833524" w:rsidRPr="00634E4C" w:rsidRDefault="00833524" w:rsidP="00E56269">
            <w:pPr>
              <w:spacing w:line="259" w:lineRule="auto"/>
              <w:ind w:left="19"/>
              <w:jc w:val="center"/>
              <w:rPr>
                <w:rFonts w:asciiTheme="majorHAnsi" w:hAnsiTheme="majorHAnsi"/>
                <w:sz w:val="18"/>
              </w:rPr>
            </w:pPr>
            <w:r w:rsidRPr="00634E4C">
              <w:rPr>
                <w:rFonts w:asciiTheme="majorHAnsi" w:hAnsiTheme="majorHAnsi"/>
                <w:sz w:val="18"/>
              </w:rPr>
              <w:t>16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4828040"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sz w:val="18"/>
              </w:rPr>
              <w:t>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D7EDC90" w14:textId="77777777" w:rsidR="00833524" w:rsidRPr="00634E4C" w:rsidRDefault="00833524" w:rsidP="00E56269">
            <w:pPr>
              <w:spacing w:line="259" w:lineRule="auto"/>
              <w:ind w:left="19"/>
              <w:jc w:val="center"/>
              <w:rPr>
                <w:rFonts w:asciiTheme="majorHAnsi" w:hAnsiTheme="majorHAnsi"/>
                <w:color w:val="000000"/>
                <w:sz w:val="18"/>
              </w:rPr>
            </w:pPr>
            <w:r w:rsidRPr="005D0955">
              <w:rPr>
                <w:rFonts w:asciiTheme="majorHAnsi" w:hAnsiTheme="majorHAnsi"/>
                <w:sz w:val="18"/>
                <w:szCs w:val="18"/>
              </w:rPr>
              <w:t>20</w:t>
            </w:r>
          </w:p>
        </w:tc>
        <w:tc>
          <w:tcPr>
            <w:tcW w:w="72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6E03477"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sz w:val="18"/>
              </w:rPr>
              <w:t>31</w:t>
            </w:r>
          </w:p>
        </w:tc>
        <w:tc>
          <w:tcPr>
            <w:tcW w:w="68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2497CE5"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sz w:val="18"/>
              </w:rPr>
              <w:t>32</w:t>
            </w:r>
          </w:p>
        </w:tc>
        <w:tc>
          <w:tcPr>
            <w:tcW w:w="67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849117D"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sz w:val="18"/>
              </w:rPr>
              <w:t>6</w:t>
            </w:r>
          </w:p>
        </w:tc>
        <w:tc>
          <w:tcPr>
            <w:tcW w:w="62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630E060"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sz w:val="18"/>
              </w:rPr>
              <w:t>10</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C1C85F0"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color w:val="000000"/>
                <w:sz w:val="18"/>
              </w:rPr>
              <w:t>9.4</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D4B1179"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color w:val="000000"/>
                <w:sz w:val="18"/>
              </w:rPr>
              <w:t>10.4</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3E9F4CD"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color w:val="000000"/>
                <w:sz w:val="18"/>
              </w:rPr>
              <w:t>10.4</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1610589"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color w:val="000000"/>
                <w:sz w:val="18"/>
              </w:rPr>
              <w:t>10.4</w:t>
            </w:r>
          </w:p>
        </w:tc>
        <w:tc>
          <w:tcPr>
            <w:tcW w:w="6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21E20ED" w14:textId="77777777" w:rsidR="00833524" w:rsidRPr="00634E4C" w:rsidRDefault="00833524" w:rsidP="00E56269">
            <w:pPr>
              <w:spacing w:line="259" w:lineRule="auto"/>
              <w:ind w:left="19"/>
              <w:jc w:val="center"/>
              <w:rPr>
                <w:rFonts w:asciiTheme="majorHAnsi" w:hAnsiTheme="majorHAnsi"/>
                <w:color w:val="000000"/>
                <w:sz w:val="18"/>
              </w:rPr>
            </w:pPr>
            <w:r w:rsidRPr="00634E4C">
              <w:rPr>
                <w:rFonts w:asciiTheme="majorHAnsi" w:hAnsiTheme="majorHAnsi"/>
                <w:color w:val="000000"/>
                <w:sz w:val="18"/>
              </w:rPr>
              <w:t>10.5</w:t>
            </w:r>
          </w:p>
        </w:tc>
      </w:tr>
      <w:tr w:rsidR="00833524" w:rsidRPr="00364545" w14:paraId="2B499A4F" w14:textId="77777777" w:rsidTr="00E56269">
        <w:trPr>
          <w:trHeight w:val="347"/>
        </w:trPr>
        <w:tc>
          <w:tcPr>
            <w:tcW w:w="1672" w:type="dxa"/>
            <w:tcBorders>
              <w:top w:val="single" w:sz="2" w:space="0" w:color="000000"/>
              <w:left w:val="single" w:sz="2" w:space="0" w:color="000000"/>
              <w:bottom w:val="single" w:sz="2" w:space="0" w:color="000000"/>
              <w:right w:val="single" w:sz="2" w:space="0" w:color="000000"/>
            </w:tcBorders>
          </w:tcPr>
          <w:p w14:paraId="4061D729" w14:textId="77777777" w:rsidR="00833524" w:rsidRPr="00364545" w:rsidRDefault="00833524" w:rsidP="00E56269">
            <w:pPr>
              <w:spacing w:line="259" w:lineRule="auto"/>
            </w:pPr>
            <w:r w:rsidRPr="00364545">
              <w:rPr>
                <w:sz w:val="18"/>
              </w:rPr>
              <w:t xml:space="preserve">Agriculture (excluding energy) </w:t>
            </w:r>
          </w:p>
        </w:tc>
        <w:tc>
          <w:tcPr>
            <w:tcW w:w="730" w:type="dxa"/>
            <w:tcBorders>
              <w:top w:val="single" w:sz="2" w:space="0" w:color="000000"/>
              <w:left w:val="single" w:sz="2" w:space="0" w:color="000000"/>
              <w:bottom w:val="single" w:sz="2" w:space="0" w:color="000000"/>
              <w:right w:val="single" w:sz="2" w:space="0" w:color="000000"/>
            </w:tcBorders>
            <w:vAlign w:val="center"/>
          </w:tcPr>
          <w:p w14:paraId="048828CC"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7691D8F9"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543DB181"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29" w:type="dxa"/>
            <w:tcBorders>
              <w:top w:val="single" w:sz="2" w:space="0" w:color="000000"/>
              <w:left w:val="single" w:sz="2" w:space="0" w:color="000000"/>
              <w:bottom w:val="single" w:sz="2" w:space="0" w:color="000000"/>
              <w:right w:val="single" w:sz="2" w:space="0" w:color="000000"/>
            </w:tcBorders>
            <w:vAlign w:val="center"/>
          </w:tcPr>
          <w:p w14:paraId="5DCF952D"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0" w:type="dxa"/>
            <w:tcBorders>
              <w:top w:val="single" w:sz="2" w:space="0" w:color="000000"/>
              <w:left w:val="single" w:sz="2" w:space="0" w:color="000000"/>
              <w:bottom w:val="single" w:sz="2" w:space="0" w:color="000000"/>
              <w:right w:val="single" w:sz="2" w:space="0" w:color="000000"/>
            </w:tcBorders>
            <w:vAlign w:val="center"/>
          </w:tcPr>
          <w:p w14:paraId="7F9ACE17"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77" w:type="dxa"/>
            <w:tcBorders>
              <w:top w:val="single" w:sz="2" w:space="0" w:color="000000"/>
              <w:left w:val="single" w:sz="2" w:space="0" w:color="000000"/>
              <w:bottom w:val="single" w:sz="2" w:space="0" w:color="000000"/>
              <w:right w:val="single" w:sz="2" w:space="0" w:color="000000"/>
            </w:tcBorders>
            <w:vAlign w:val="center"/>
          </w:tcPr>
          <w:p w14:paraId="70E13406"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27" w:type="dxa"/>
            <w:tcBorders>
              <w:top w:val="single" w:sz="2" w:space="0" w:color="000000"/>
              <w:left w:val="single" w:sz="2" w:space="0" w:color="000000"/>
              <w:bottom w:val="single" w:sz="2" w:space="0" w:color="000000"/>
              <w:right w:val="single" w:sz="2" w:space="0" w:color="000000"/>
            </w:tcBorders>
            <w:vAlign w:val="center"/>
          </w:tcPr>
          <w:p w14:paraId="0A95CB23"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2F9EA20E"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73BBD098"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073E4B70"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7BE0B0AC"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09" w:type="dxa"/>
            <w:tcBorders>
              <w:top w:val="single" w:sz="2" w:space="0" w:color="000000"/>
              <w:left w:val="single" w:sz="2" w:space="0" w:color="000000"/>
              <w:bottom w:val="single" w:sz="2" w:space="0" w:color="000000"/>
              <w:right w:val="single" w:sz="2" w:space="0" w:color="000000"/>
            </w:tcBorders>
            <w:vAlign w:val="center"/>
          </w:tcPr>
          <w:p w14:paraId="75E69E08"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r>
      <w:tr w:rsidR="00833524" w:rsidRPr="00364545" w14:paraId="6FC8F56B" w14:textId="77777777" w:rsidTr="00E56269">
        <w:trPr>
          <w:trHeight w:val="344"/>
        </w:trPr>
        <w:tc>
          <w:tcPr>
            <w:tcW w:w="1672" w:type="dxa"/>
            <w:tcBorders>
              <w:top w:val="single" w:sz="2" w:space="0" w:color="000000"/>
              <w:left w:val="single" w:sz="2" w:space="0" w:color="000000"/>
              <w:bottom w:val="single" w:sz="2" w:space="0" w:color="000000"/>
              <w:right w:val="single" w:sz="2" w:space="0" w:color="000000"/>
            </w:tcBorders>
            <w:shd w:val="clear" w:color="auto" w:fill="ECE6E2"/>
          </w:tcPr>
          <w:p w14:paraId="41B196DA" w14:textId="77777777" w:rsidR="00833524" w:rsidRPr="00364545" w:rsidRDefault="00833524" w:rsidP="00E56269">
            <w:pPr>
              <w:spacing w:line="259" w:lineRule="auto"/>
            </w:pPr>
            <w:r w:rsidRPr="00364545">
              <w:rPr>
                <w:sz w:val="18"/>
              </w:rPr>
              <w:t xml:space="preserve">LULUCF </w:t>
            </w:r>
          </w:p>
        </w:tc>
        <w:tc>
          <w:tcPr>
            <w:tcW w:w="73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F4EDFB"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35A8648"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2DE58AA"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2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FC49CD"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A8015D"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7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348EFA0"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2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1DB8B9"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4464C0"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DA07E4"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6DB6A2"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04219D"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8A9027"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r>
      <w:tr w:rsidR="00833524" w:rsidRPr="00364545" w14:paraId="1CBE543A" w14:textId="77777777" w:rsidTr="00E56269">
        <w:trPr>
          <w:trHeight w:val="346"/>
        </w:trPr>
        <w:tc>
          <w:tcPr>
            <w:tcW w:w="1672" w:type="dxa"/>
            <w:tcBorders>
              <w:top w:val="single" w:sz="2" w:space="0" w:color="000000"/>
              <w:left w:val="single" w:sz="2" w:space="0" w:color="000000"/>
              <w:bottom w:val="single" w:sz="2" w:space="0" w:color="000000"/>
              <w:right w:val="single" w:sz="2" w:space="0" w:color="000000"/>
            </w:tcBorders>
          </w:tcPr>
          <w:p w14:paraId="0B7BEE21" w14:textId="77777777" w:rsidR="00833524" w:rsidRPr="00364545" w:rsidRDefault="00833524" w:rsidP="00E56269">
            <w:pPr>
              <w:spacing w:line="259" w:lineRule="auto"/>
            </w:pPr>
            <w:r w:rsidRPr="00364545">
              <w:rPr>
                <w:sz w:val="18"/>
              </w:rPr>
              <w:t xml:space="preserve">Waste </w:t>
            </w:r>
          </w:p>
        </w:tc>
        <w:tc>
          <w:tcPr>
            <w:tcW w:w="730" w:type="dxa"/>
            <w:tcBorders>
              <w:top w:val="single" w:sz="2" w:space="0" w:color="000000"/>
              <w:left w:val="single" w:sz="2" w:space="0" w:color="000000"/>
              <w:bottom w:val="single" w:sz="2" w:space="0" w:color="000000"/>
              <w:right w:val="single" w:sz="2" w:space="0" w:color="000000"/>
            </w:tcBorders>
            <w:vAlign w:val="center"/>
          </w:tcPr>
          <w:p w14:paraId="2C6B1CF7"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2442F351"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377D3E1F"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29" w:type="dxa"/>
            <w:tcBorders>
              <w:top w:val="single" w:sz="2" w:space="0" w:color="000000"/>
              <w:left w:val="single" w:sz="2" w:space="0" w:color="000000"/>
              <w:bottom w:val="single" w:sz="2" w:space="0" w:color="000000"/>
              <w:right w:val="single" w:sz="2" w:space="0" w:color="000000"/>
            </w:tcBorders>
            <w:vAlign w:val="center"/>
          </w:tcPr>
          <w:p w14:paraId="5AC500FA"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0" w:type="dxa"/>
            <w:tcBorders>
              <w:top w:val="single" w:sz="2" w:space="0" w:color="000000"/>
              <w:left w:val="single" w:sz="2" w:space="0" w:color="000000"/>
              <w:bottom w:val="single" w:sz="2" w:space="0" w:color="000000"/>
              <w:right w:val="single" w:sz="2" w:space="0" w:color="000000"/>
            </w:tcBorders>
            <w:vAlign w:val="center"/>
          </w:tcPr>
          <w:p w14:paraId="52C36F3B"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77" w:type="dxa"/>
            <w:tcBorders>
              <w:top w:val="single" w:sz="2" w:space="0" w:color="000000"/>
              <w:left w:val="single" w:sz="2" w:space="0" w:color="000000"/>
              <w:bottom w:val="single" w:sz="2" w:space="0" w:color="000000"/>
              <w:right w:val="single" w:sz="2" w:space="0" w:color="000000"/>
            </w:tcBorders>
            <w:vAlign w:val="center"/>
          </w:tcPr>
          <w:p w14:paraId="2E8F004E"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27" w:type="dxa"/>
            <w:tcBorders>
              <w:top w:val="single" w:sz="2" w:space="0" w:color="000000"/>
              <w:left w:val="single" w:sz="2" w:space="0" w:color="000000"/>
              <w:bottom w:val="single" w:sz="2" w:space="0" w:color="000000"/>
              <w:right w:val="single" w:sz="2" w:space="0" w:color="000000"/>
            </w:tcBorders>
            <w:vAlign w:val="center"/>
          </w:tcPr>
          <w:p w14:paraId="3F0B69F5"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33ECA9A1"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19346639"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0A425F4B"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2F4E77C5"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09" w:type="dxa"/>
            <w:tcBorders>
              <w:top w:val="single" w:sz="2" w:space="0" w:color="000000"/>
              <w:left w:val="single" w:sz="2" w:space="0" w:color="000000"/>
              <w:bottom w:val="single" w:sz="2" w:space="0" w:color="000000"/>
              <w:right w:val="single" w:sz="2" w:space="0" w:color="000000"/>
            </w:tcBorders>
            <w:vAlign w:val="center"/>
          </w:tcPr>
          <w:p w14:paraId="70558AE5"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r>
      <w:tr w:rsidR="00833524" w:rsidRPr="00364545" w14:paraId="544E36D5" w14:textId="77777777" w:rsidTr="00E56269">
        <w:trPr>
          <w:trHeight w:val="343"/>
        </w:trPr>
        <w:tc>
          <w:tcPr>
            <w:tcW w:w="1672" w:type="dxa"/>
            <w:tcBorders>
              <w:top w:val="single" w:sz="2" w:space="0" w:color="000000"/>
              <w:left w:val="single" w:sz="2" w:space="0" w:color="000000"/>
              <w:bottom w:val="single" w:sz="2" w:space="0" w:color="000000"/>
              <w:right w:val="single" w:sz="2" w:space="0" w:color="000000"/>
            </w:tcBorders>
            <w:shd w:val="clear" w:color="auto" w:fill="ECE6E2"/>
          </w:tcPr>
          <w:p w14:paraId="4CB1F13D" w14:textId="77777777" w:rsidR="00833524" w:rsidRPr="00364545" w:rsidRDefault="00833524" w:rsidP="00E56269">
            <w:pPr>
              <w:spacing w:line="259" w:lineRule="auto"/>
            </w:pPr>
            <w:r w:rsidRPr="00364545">
              <w:rPr>
                <w:b/>
                <w:sz w:val="18"/>
              </w:rPr>
              <w:t xml:space="preserve">Ensemble (hors UTCF) </w:t>
            </w:r>
          </w:p>
        </w:tc>
        <w:tc>
          <w:tcPr>
            <w:tcW w:w="73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1808587" w14:textId="77777777" w:rsidR="00833524" w:rsidRPr="00634E4C" w:rsidRDefault="00833524" w:rsidP="00E56269">
            <w:pPr>
              <w:spacing w:line="259" w:lineRule="auto"/>
              <w:ind w:left="19"/>
              <w:jc w:val="center"/>
              <w:rPr>
                <w:rFonts w:asciiTheme="majorHAnsi" w:hAnsiTheme="majorHAnsi"/>
                <w:sz w:val="18"/>
              </w:rPr>
            </w:pPr>
            <w:r w:rsidRPr="00634E4C">
              <w:rPr>
                <w:rFonts w:asciiTheme="majorHAnsi" w:hAnsiTheme="majorHAnsi"/>
                <w:sz w:val="18"/>
              </w:rPr>
              <w:t>16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A8F7A1E"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D4C7DDC" w14:textId="77777777" w:rsidR="00833524" w:rsidRPr="00634E4C" w:rsidRDefault="00833524" w:rsidP="00E56269">
            <w:pPr>
              <w:spacing w:line="259" w:lineRule="auto"/>
              <w:ind w:left="19"/>
              <w:jc w:val="center"/>
              <w:rPr>
                <w:rFonts w:asciiTheme="majorHAnsi" w:hAnsiTheme="majorHAnsi"/>
                <w:b/>
                <w:color w:val="000000"/>
                <w:sz w:val="18"/>
              </w:rPr>
            </w:pPr>
            <w:r w:rsidRPr="005D0955">
              <w:rPr>
                <w:rFonts w:asciiTheme="majorHAnsi" w:hAnsiTheme="majorHAnsi"/>
                <w:sz w:val="18"/>
                <w:szCs w:val="18"/>
              </w:rPr>
              <w:t>20</w:t>
            </w:r>
          </w:p>
        </w:tc>
        <w:tc>
          <w:tcPr>
            <w:tcW w:w="72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A8513CC"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31</w:t>
            </w:r>
          </w:p>
        </w:tc>
        <w:tc>
          <w:tcPr>
            <w:tcW w:w="68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E555FC2"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32</w:t>
            </w:r>
          </w:p>
        </w:tc>
        <w:tc>
          <w:tcPr>
            <w:tcW w:w="67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C478FD5"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6</w:t>
            </w:r>
          </w:p>
        </w:tc>
        <w:tc>
          <w:tcPr>
            <w:tcW w:w="62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065D00C"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10</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CEB24E4"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9.4</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3F31214"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F09352D"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F49C3C2"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BE7BD1A"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10.5</w:t>
            </w:r>
          </w:p>
        </w:tc>
      </w:tr>
      <w:tr w:rsidR="00833524" w:rsidRPr="00364545" w14:paraId="3E7C52EB" w14:textId="77777777" w:rsidTr="00E56269">
        <w:trPr>
          <w:trHeight w:val="346"/>
        </w:trPr>
        <w:tc>
          <w:tcPr>
            <w:tcW w:w="1672" w:type="dxa"/>
            <w:tcBorders>
              <w:top w:val="single" w:sz="2" w:space="0" w:color="000000"/>
              <w:left w:val="single" w:sz="2" w:space="0" w:color="000000"/>
              <w:bottom w:val="single" w:sz="2" w:space="0" w:color="000000"/>
              <w:right w:val="single" w:sz="2" w:space="0" w:color="000000"/>
            </w:tcBorders>
          </w:tcPr>
          <w:p w14:paraId="579A5F8C" w14:textId="77777777" w:rsidR="00833524" w:rsidRPr="00364545" w:rsidRDefault="00833524" w:rsidP="00E56269">
            <w:pPr>
              <w:spacing w:line="259" w:lineRule="auto"/>
            </w:pPr>
            <w:r w:rsidRPr="00364545">
              <w:rPr>
                <w:b/>
                <w:sz w:val="18"/>
              </w:rPr>
              <w:t xml:space="preserve">Ensemble (avec UTCF) </w:t>
            </w:r>
          </w:p>
        </w:tc>
        <w:tc>
          <w:tcPr>
            <w:tcW w:w="730" w:type="dxa"/>
            <w:tcBorders>
              <w:top w:val="single" w:sz="2" w:space="0" w:color="000000"/>
              <w:left w:val="single" w:sz="2" w:space="0" w:color="000000"/>
              <w:bottom w:val="single" w:sz="2" w:space="0" w:color="000000"/>
              <w:right w:val="single" w:sz="2" w:space="0" w:color="000000"/>
            </w:tcBorders>
            <w:vAlign w:val="bottom"/>
          </w:tcPr>
          <w:p w14:paraId="5850535A" w14:textId="77777777" w:rsidR="00833524" w:rsidRPr="00634E4C" w:rsidRDefault="00833524" w:rsidP="00E56269">
            <w:pPr>
              <w:spacing w:line="259" w:lineRule="auto"/>
              <w:ind w:left="19"/>
              <w:jc w:val="center"/>
              <w:rPr>
                <w:rFonts w:asciiTheme="majorHAnsi" w:hAnsiTheme="majorHAnsi"/>
                <w:sz w:val="18"/>
              </w:rPr>
            </w:pPr>
            <w:r w:rsidRPr="00634E4C">
              <w:rPr>
                <w:rFonts w:asciiTheme="majorHAnsi" w:hAnsiTheme="majorHAnsi"/>
                <w:sz w:val="18"/>
              </w:rPr>
              <w:t>16</w:t>
            </w:r>
          </w:p>
        </w:tc>
        <w:tc>
          <w:tcPr>
            <w:tcW w:w="731" w:type="dxa"/>
            <w:tcBorders>
              <w:top w:val="single" w:sz="2" w:space="0" w:color="000000"/>
              <w:left w:val="single" w:sz="2" w:space="0" w:color="000000"/>
              <w:bottom w:val="single" w:sz="2" w:space="0" w:color="000000"/>
              <w:right w:val="single" w:sz="2" w:space="0" w:color="000000"/>
            </w:tcBorders>
            <w:vAlign w:val="bottom"/>
          </w:tcPr>
          <w:p w14:paraId="1C9A8734"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6</w:t>
            </w:r>
          </w:p>
        </w:tc>
        <w:tc>
          <w:tcPr>
            <w:tcW w:w="731" w:type="dxa"/>
            <w:tcBorders>
              <w:top w:val="single" w:sz="2" w:space="0" w:color="000000"/>
              <w:left w:val="single" w:sz="2" w:space="0" w:color="000000"/>
              <w:bottom w:val="single" w:sz="2" w:space="0" w:color="000000"/>
              <w:right w:val="single" w:sz="2" w:space="0" w:color="000000"/>
            </w:tcBorders>
            <w:vAlign w:val="bottom"/>
          </w:tcPr>
          <w:p w14:paraId="6F4191C1" w14:textId="77777777" w:rsidR="00833524" w:rsidRPr="00634E4C" w:rsidRDefault="00833524" w:rsidP="00E56269">
            <w:pPr>
              <w:spacing w:line="259" w:lineRule="auto"/>
              <w:ind w:left="19"/>
              <w:jc w:val="center"/>
              <w:rPr>
                <w:rFonts w:asciiTheme="majorHAnsi" w:hAnsiTheme="majorHAnsi"/>
                <w:b/>
                <w:color w:val="000000"/>
                <w:sz w:val="18"/>
              </w:rPr>
            </w:pPr>
            <w:r w:rsidRPr="005D0955">
              <w:rPr>
                <w:rFonts w:asciiTheme="majorHAnsi" w:hAnsiTheme="majorHAnsi"/>
                <w:sz w:val="18"/>
                <w:szCs w:val="18"/>
              </w:rPr>
              <w:t>20</w:t>
            </w:r>
          </w:p>
        </w:tc>
        <w:tc>
          <w:tcPr>
            <w:tcW w:w="729" w:type="dxa"/>
            <w:tcBorders>
              <w:top w:val="single" w:sz="2" w:space="0" w:color="000000"/>
              <w:left w:val="single" w:sz="2" w:space="0" w:color="000000"/>
              <w:bottom w:val="single" w:sz="2" w:space="0" w:color="000000"/>
              <w:right w:val="single" w:sz="2" w:space="0" w:color="000000"/>
            </w:tcBorders>
            <w:vAlign w:val="bottom"/>
          </w:tcPr>
          <w:p w14:paraId="41819E56"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31</w:t>
            </w:r>
          </w:p>
        </w:tc>
        <w:tc>
          <w:tcPr>
            <w:tcW w:w="680" w:type="dxa"/>
            <w:tcBorders>
              <w:top w:val="single" w:sz="2" w:space="0" w:color="000000"/>
              <w:left w:val="single" w:sz="2" w:space="0" w:color="000000"/>
              <w:bottom w:val="single" w:sz="2" w:space="0" w:color="000000"/>
              <w:right w:val="single" w:sz="2" w:space="0" w:color="000000"/>
            </w:tcBorders>
            <w:vAlign w:val="bottom"/>
          </w:tcPr>
          <w:p w14:paraId="24A42196"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32</w:t>
            </w:r>
          </w:p>
        </w:tc>
        <w:tc>
          <w:tcPr>
            <w:tcW w:w="677" w:type="dxa"/>
            <w:tcBorders>
              <w:top w:val="single" w:sz="2" w:space="0" w:color="000000"/>
              <w:left w:val="single" w:sz="2" w:space="0" w:color="000000"/>
              <w:bottom w:val="single" w:sz="2" w:space="0" w:color="000000"/>
              <w:right w:val="single" w:sz="2" w:space="0" w:color="000000"/>
            </w:tcBorders>
            <w:vAlign w:val="bottom"/>
          </w:tcPr>
          <w:p w14:paraId="47A930E3"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6</w:t>
            </w:r>
          </w:p>
        </w:tc>
        <w:tc>
          <w:tcPr>
            <w:tcW w:w="627" w:type="dxa"/>
            <w:tcBorders>
              <w:top w:val="single" w:sz="2" w:space="0" w:color="000000"/>
              <w:left w:val="single" w:sz="2" w:space="0" w:color="000000"/>
              <w:bottom w:val="single" w:sz="2" w:space="0" w:color="000000"/>
              <w:right w:val="single" w:sz="2" w:space="0" w:color="000000"/>
            </w:tcBorders>
            <w:vAlign w:val="bottom"/>
          </w:tcPr>
          <w:p w14:paraId="40C5538D"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sz w:val="18"/>
              </w:rPr>
              <w:t>10</w:t>
            </w:r>
          </w:p>
        </w:tc>
        <w:tc>
          <w:tcPr>
            <w:tcW w:w="688" w:type="dxa"/>
            <w:tcBorders>
              <w:top w:val="single" w:sz="2" w:space="0" w:color="000000"/>
              <w:left w:val="single" w:sz="2" w:space="0" w:color="000000"/>
              <w:bottom w:val="single" w:sz="2" w:space="0" w:color="000000"/>
              <w:right w:val="single" w:sz="2" w:space="0" w:color="000000"/>
            </w:tcBorders>
            <w:vAlign w:val="bottom"/>
          </w:tcPr>
          <w:p w14:paraId="6D230EF4"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9.4</w:t>
            </w:r>
          </w:p>
        </w:tc>
        <w:tc>
          <w:tcPr>
            <w:tcW w:w="686" w:type="dxa"/>
            <w:tcBorders>
              <w:top w:val="single" w:sz="2" w:space="0" w:color="000000"/>
              <w:left w:val="single" w:sz="2" w:space="0" w:color="000000"/>
              <w:bottom w:val="single" w:sz="2" w:space="0" w:color="000000"/>
              <w:right w:val="single" w:sz="2" w:space="0" w:color="000000"/>
            </w:tcBorders>
            <w:vAlign w:val="bottom"/>
          </w:tcPr>
          <w:p w14:paraId="75019276"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88" w:type="dxa"/>
            <w:tcBorders>
              <w:top w:val="single" w:sz="2" w:space="0" w:color="000000"/>
              <w:left w:val="single" w:sz="2" w:space="0" w:color="000000"/>
              <w:bottom w:val="single" w:sz="2" w:space="0" w:color="000000"/>
              <w:right w:val="single" w:sz="2" w:space="0" w:color="000000"/>
            </w:tcBorders>
            <w:vAlign w:val="bottom"/>
          </w:tcPr>
          <w:p w14:paraId="585CA164"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86" w:type="dxa"/>
            <w:tcBorders>
              <w:top w:val="single" w:sz="2" w:space="0" w:color="000000"/>
              <w:left w:val="single" w:sz="2" w:space="0" w:color="000000"/>
              <w:bottom w:val="single" w:sz="2" w:space="0" w:color="000000"/>
              <w:right w:val="single" w:sz="2" w:space="0" w:color="000000"/>
            </w:tcBorders>
            <w:vAlign w:val="bottom"/>
          </w:tcPr>
          <w:p w14:paraId="74A86226"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09" w:type="dxa"/>
            <w:tcBorders>
              <w:top w:val="single" w:sz="2" w:space="0" w:color="000000"/>
              <w:left w:val="single" w:sz="2" w:space="0" w:color="000000"/>
              <w:bottom w:val="single" w:sz="2" w:space="0" w:color="000000"/>
              <w:right w:val="single" w:sz="2" w:space="0" w:color="000000"/>
            </w:tcBorders>
            <w:vAlign w:val="bottom"/>
          </w:tcPr>
          <w:p w14:paraId="7ACA506D" w14:textId="77777777" w:rsidR="00833524" w:rsidRPr="00634E4C" w:rsidRDefault="00833524" w:rsidP="00E56269">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10.5</w:t>
            </w:r>
          </w:p>
        </w:tc>
      </w:tr>
    </w:tbl>
    <w:p w14:paraId="4285DBCF" w14:textId="14836F49" w:rsidR="00833524" w:rsidRPr="00364545" w:rsidRDefault="00833524" w:rsidP="00833524">
      <w:pPr>
        <w:pStyle w:val="Caption"/>
      </w:pPr>
      <w:r w:rsidRPr="00364545">
        <w:t xml:space="preserve">Table </w:t>
      </w:r>
      <w:fldSimple w:instr=" SEQ Tableau \* ARABIC ">
        <w:r w:rsidR="009A2FAA">
          <w:rPr>
            <w:noProof/>
          </w:rPr>
          <w:t>25</w:t>
        </w:r>
      </w:fldSimple>
      <w:r w:rsidRPr="00364545">
        <w:t>: NF</w:t>
      </w:r>
      <w:r w:rsidRPr="00364545">
        <w:rPr>
          <w:vertAlign w:val="subscript"/>
        </w:rPr>
        <w:t>3</w:t>
      </w:r>
      <w:r w:rsidRPr="00364545">
        <w:t xml:space="preserve"> emissions projections (in ktCO</w:t>
      </w:r>
      <w:r w:rsidRPr="00364545">
        <w:rPr>
          <w:vertAlign w:val="subscript"/>
        </w:rPr>
        <w:t>2e</w:t>
      </w:r>
      <w:r w:rsidRPr="00364545">
        <w:t>) in the Kyoto scope in the AME 2021 scenario (with existing measures)</w:t>
      </w:r>
    </w:p>
    <w:p w14:paraId="244E7742" w14:textId="77777777" w:rsidR="00833524" w:rsidRPr="00364545" w:rsidRDefault="00833524" w:rsidP="00833524">
      <w:pPr>
        <w:pStyle w:val="Caption"/>
      </w:pPr>
      <w:r w:rsidRPr="00364545">
        <w:t>Source: UNFCCC inventory, Citepa/MTE, 202</w:t>
      </w:r>
      <w:r>
        <w:t>2</w:t>
      </w:r>
      <w:r w:rsidRPr="00364545">
        <w:t xml:space="preserve"> submission and MTE emission projections, 2021</w:t>
      </w:r>
    </w:p>
    <w:p w14:paraId="7141D765" w14:textId="77777777" w:rsidR="00833524" w:rsidRPr="00364545" w:rsidRDefault="00833524" w:rsidP="00833524"/>
    <w:p w14:paraId="05F13548" w14:textId="77777777" w:rsidR="00833524" w:rsidRPr="00364545" w:rsidRDefault="00833524" w:rsidP="00833524">
      <w:pPr>
        <w:rPr>
          <w:b/>
        </w:rPr>
      </w:pPr>
      <w:r w:rsidRPr="00364545">
        <w:rPr>
          <w:b/>
        </w:rPr>
        <w:t>AMS 2018</w:t>
      </w:r>
    </w:p>
    <w:p w14:paraId="1195BABD" w14:textId="77777777" w:rsidR="00833524" w:rsidRPr="00364545" w:rsidRDefault="00833524" w:rsidP="00833524"/>
    <w:tbl>
      <w:tblPr>
        <w:tblStyle w:val="TableGrid0"/>
        <w:tblW w:w="9934" w:type="dxa"/>
        <w:tblInd w:w="10" w:type="dxa"/>
        <w:tblCellMar>
          <w:top w:w="39" w:type="dxa"/>
          <w:left w:w="28" w:type="dxa"/>
          <w:bottom w:w="2" w:type="dxa"/>
          <w:right w:w="31" w:type="dxa"/>
        </w:tblCellMar>
        <w:tblLook w:val="04A0" w:firstRow="1" w:lastRow="0" w:firstColumn="1" w:lastColumn="0" w:noHBand="0" w:noVBand="1"/>
      </w:tblPr>
      <w:tblGrid>
        <w:gridCol w:w="1132"/>
        <w:gridCol w:w="754"/>
        <w:gridCol w:w="754"/>
        <w:gridCol w:w="754"/>
        <w:gridCol w:w="739"/>
        <w:gridCol w:w="753"/>
        <w:gridCol w:w="753"/>
        <w:gridCol w:w="613"/>
        <w:gridCol w:w="757"/>
        <w:gridCol w:w="757"/>
        <w:gridCol w:w="757"/>
        <w:gridCol w:w="742"/>
        <w:gridCol w:w="669"/>
      </w:tblGrid>
      <w:tr w:rsidR="00833524" w:rsidRPr="00364545" w14:paraId="74BD1C63" w14:textId="77777777" w:rsidTr="00E56269">
        <w:trPr>
          <w:trHeight w:val="400"/>
        </w:trPr>
        <w:tc>
          <w:tcPr>
            <w:tcW w:w="1154" w:type="dxa"/>
            <w:tcBorders>
              <w:top w:val="single" w:sz="2" w:space="0" w:color="000000"/>
              <w:left w:val="single" w:sz="2" w:space="0" w:color="000000"/>
              <w:bottom w:val="single" w:sz="2" w:space="0" w:color="000000"/>
              <w:right w:val="single" w:sz="2" w:space="0" w:color="000000"/>
            </w:tcBorders>
            <w:shd w:val="clear" w:color="auto" w:fill="6D2A78"/>
          </w:tcPr>
          <w:p w14:paraId="3829A540" w14:textId="77777777" w:rsidR="00833524" w:rsidRPr="00364545" w:rsidRDefault="00833524" w:rsidP="00E56269">
            <w:pPr>
              <w:spacing w:line="259" w:lineRule="auto"/>
              <w:jc w:val="left"/>
            </w:pPr>
            <w:r w:rsidRPr="00364545">
              <w:t>AMS 18 – CO</w:t>
            </w:r>
            <w:r w:rsidRPr="00364545">
              <w:rPr>
                <w:vertAlign w:val="subscript"/>
              </w:rPr>
              <w:t>2</w:t>
            </w:r>
          </w:p>
        </w:tc>
        <w:tc>
          <w:tcPr>
            <w:tcW w:w="767"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0B551C2" w14:textId="77777777" w:rsidR="00833524" w:rsidRPr="00364545" w:rsidRDefault="00833524" w:rsidP="00E56269">
            <w:pPr>
              <w:spacing w:line="259" w:lineRule="auto"/>
              <w:ind w:left="1"/>
              <w:jc w:val="center"/>
            </w:pPr>
            <w:r w:rsidRPr="00364545">
              <w:rPr>
                <w:b/>
                <w:color w:val="FFFFFF"/>
                <w:sz w:val="18"/>
              </w:rPr>
              <w:t>1990</w:t>
            </w:r>
          </w:p>
        </w:tc>
        <w:tc>
          <w:tcPr>
            <w:tcW w:w="767"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70E3A39" w14:textId="77777777" w:rsidR="00833524" w:rsidRPr="00364545" w:rsidRDefault="00833524" w:rsidP="00E56269">
            <w:pPr>
              <w:spacing w:line="259" w:lineRule="auto"/>
              <w:ind w:left="4"/>
              <w:jc w:val="center"/>
              <w:rPr>
                <w:b/>
                <w:color w:val="FFFFFF"/>
                <w:sz w:val="18"/>
              </w:rPr>
            </w:pPr>
            <w:r w:rsidRPr="00364545">
              <w:rPr>
                <w:b/>
                <w:color w:val="FFFFFF"/>
                <w:sz w:val="18"/>
              </w:rPr>
              <w:t>1995</w:t>
            </w:r>
          </w:p>
        </w:tc>
        <w:tc>
          <w:tcPr>
            <w:tcW w:w="767"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7DC5FC5" w14:textId="77777777" w:rsidR="00833524" w:rsidRPr="00364545" w:rsidRDefault="00833524" w:rsidP="00E56269">
            <w:pPr>
              <w:spacing w:line="259" w:lineRule="auto"/>
              <w:ind w:left="4"/>
              <w:jc w:val="center"/>
            </w:pPr>
            <w:r w:rsidRPr="00364545">
              <w:rPr>
                <w:b/>
                <w:color w:val="FFFFFF"/>
                <w:sz w:val="18"/>
              </w:rPr>
              <w:t>2000</w:t>
            </w:r>
          </w:p>
        </w:tc>
        <w:tc>
          <w:tcPr>
            <w:tcW w:w="75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C52D1D9" w14:textId="77777777" w:rsidR="00833524" w:rsidRPr="00364545" w:rsidRDefault="00833524" w:rsidP="00E56269">
            <w:pPr>
              <w:spacing w:line="259" w:lineRule="auto"/>
              <w:ind w:left="1"/>
              <w:jc w:val="center"/>
            </w:pPr>
            <w:r w:rsidRPr="00364545">
              <w:rPr>
                <w:b/>
                <w:color w:val="FFFFFF"/>
                <w:sz w:val="18"/>
              </w:rPr>
              <w:t>2005</w:t>
            </w:r>
          </w:p>
        </w:tc>
        <w:tc>
          <w:tcPr>
            <w:tcW w:w="76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0493E09" w14:textId="77777777" w:rsidR="00833524" w:rsidRPr="00364545" w:rsidRDefault="00833524" w:rsidP="00E56269">
            <w:pPr>
              <w:spacing w:line="259" w:lineRule="auto"/>
              <w:ind w:left="4"/>
              <w:jc w:val="center"/>
            </w:pPr>
            <w:r w:rsidRPr="00364545">
              <w:rPr>
                <w:b/>
                <w:color w:val="FFFFFF"/>
                <w:sz w:val="18"/>
              </w:rPr>
              <w:t>2010</w:t>
            </w:r>
          </w:p>
        </w:tc>
        <w:tc>
          <w:tcPr>
            <w:tcW w:w="76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4DDAEB3" w14:textId="77777777" w:rsidR="00833524" w:rsidRPr="00364545" w:rsidRDefault="00833524" w:rsidP="00E56269">
            <w:pPr>
              <w:spacing w:line="259" w:lineRule="auto"/>
              <w:ind w:left="1"/>
              <w:jc w:val="center"/>
            </w:pPr>
            <w:r w:rsidRPr="00364545">
              <w:rPr>
                <w:b/>
                <w:color w:val="FFFFFF"/>
                <w:sz w:val="18"/>
              </w:rPr>
              <w:t>2015</w:t>
            </w:r>
          </w:p>
        </w:tc>
        <w:tc>
          <w:tcPr>
            <w:tcW w:w="47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783AAD2" w14:textId="77777777" w:rsidR="00833524" w:rsidRPr="00364545" w:rsidRDefault="00833524" w:rsidP="00E56269">
            <w:pPr>
              <w:spacing w:line="259" w:lineRule="auto"/>
              <w:ind w:left="4"/>
              <w:jc w:val="center"/>
              <w:rPr>
                <w:b/>
                <w:color w:val="FFFFFF"/>
                <w:sz w:val="18"/>
              </w:rPr>
            </w:pPr>
            <w:r>
              <w:rPr>
                <w:b/>
                <w:color w:val="FFFFFF"/>
                <w:sz w:val="18"/>
              </w:rPr>
              <w:t>2019</w:t>
            </w:r>
          </w:p>
        </w:tc>
        <w:tc>
          <w:tcPr>
            <w:tcW w:w="76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13D110F" w14:textId="77777777" w:rsidR="00833524" w:rsidRPr="00364545" w:rsidRDefault="00833524" w:rsidP="00E56269">
            <w:pPr>
              <w:spacing w:line="259" w:lineRule="auto"/>
              <w:ind w:left="4"/>
              <w:jc w:val="center"/>
            </w:pPr>
            <w:r w:rsidRPr="00364545">
              <w:rPr>
                <w:b/>
                <w:color w:val="FFFFFF"/>
                <w:sz w:val="18"/>
              </w:rPr>
              <w:t>2020</w:t>
            </w:r>
          </w:p>
        </w:tc>
        <w:tc>
          <w:tcPr>
            <w:tcW w:w="76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EC42CF6" w14:textId="77777777" w:rsidR="00833524" w:rsidRPr="00364545" w:rsidRDefault="00833524" w:rsidP="00E56269">
            <w:pPr>
              <w:spacing w:line="259" w:lineRule="auto"/>
              <w:ind w:left="1"/>
              <w:jc w:val="center"/>
            </w:pPr>
            <w:r w:rsidRPr="00364545">
              <w:rPr>
                <w:b/>
                <w:color w:val="FFFFFF"/>
                <w:sz w:val="18"/>
              </w:rPr>
              <w:t>2025</w:t>
            </w:r>
          </w:p>
        </w:tc>
        <w:tc>
          <w:tcPr>
            <w:tcW w:w="76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6FDC245" w14:textId="77777777" w:rsidR="00833524" w:rsidRPr="00364545" w:rsidRDefault="00833524" w:rsidP="00E56269">
            <w:pPr>
              <w:spacing w:line="259" w:lineRule="auto"/>
              <w:ind w:left="4"/>
              <w:jc w:val="center"/>
            </w:pPr>
            <w:r w:rsidRPr="00364545">
              <w:rPr>
                <w:b/>
                <w:color w:val="FFFFFF"/>
                <w:sz w:val="18"/>
              </w:rPr>
              <w:t>2030</w:t>
            </w:r>
          </w:p>
        </w:tc>
        <w:tc>
          <w:tcPr>
            <w:tcW w:w="75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0128FEE" w14:textId="77777777" w:rsidR="00833524" w:rsidRPr="00364545" w:rsidRDefault="00833524" w:rsidP="00E56269">
            <w:pPr>
              <w:spacing w:line="259" w:lineRule="auto"/>
              <w:ind w:left="3"/>
              <w:jc w:val="center"/>
            </w:pPr>
            <w:r w:rsidRPr="00364545">
              <w:rPr>
                <w:b/>
                <w:color w:val="FFFFFF"/>
                <w:sz w:val="18"/>
              </w:rPr>
              <w:t>2035</w:t>
            </w:r>
          </w:p>
        </w:tc>
        <w:tc>
          <w:tcPr>
            <w:tcW w:w="67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3288682" w14:textId="77777777" w:rsidR="00833524" w:rsidRPr="00364545" w:rsidRDefault="00833524" w:rsidP="00E56269">
            <w:pPr>
              <w:spacing w:line="259" w:lineRule="auto"/>
              <w:ind w:left="3"/>
              <w:jc w:val="center"/>
              <w:rPr>
                <w:b/>
                <w:color w:val="FFFFFF"/>
                <w:sz w:val="18"/>
              </w:rPr>
            </w:pPr>
            <w:r w:rsidRPr="00364545">
              <w:rPr>
                <w:b/>
                <w:color w:val="FFFFFF"/>
                <w:sz w:val="18"/>
              </w:rPr>
              <w:t>2050</w:t>
            </w:r>
          </w:p>
        </w:tc>
      </w:tr>
      <w:tr w:rsidR="00833524" w:rsidRPr="00364545" w14:paraId="6BE6BA26" w14:textId="77777777" w:rsidTr="00E56269">
        <w:trPr>
          <w:trHeight w:val="347"/>
        </w:trPr>
        <w:tc>
          <w:tcPr>
            <w:tcW w:w="1154" w:type="dxa"/>
            <w:tcBorders>
              <w:top w:val="single" w:sz="2" w:space="0" w:color="000000"/>
              <w:left w:val="single" w:sz="2" w:space="0" w:color="000000"/>
              <w:bottom w:val="single" w:sz="2" w:space="0" w:color="000000"/>
              <w:right w:val="single" w:sz="2" w:space="0" w:color="000000"/>
            </w:tcBorders>
          </w:tcPr>
          <w:p w14:paraId="15F70937" w14:textId="77777777" w:rsidR="00833524" w:rsidRPr="00364545" w:rsidRDefault="00833524" w:rsidP="00E56269">
            <w:pPr>
              <w:spacing w:line="259" w:lineRule="auto"/>
            </w:pPr>
            <w:r w:rsidRPr="00364545">
              <w:rPr>
                <w:sz w:val="18"/>
              </w:rPr>
              <w:t xml:space="preserve">Energy </w:t>
            </w:r>
          </w:p>
        </w:tc>
        <w:tc>
          <w:tcPr>
            <w:tcW w:w="767" w:type="dxa"/>
            <w:tcBorders>
              <w:top w:val="single" w:sz="2" w:space="0" w:color="000000"/>
              <w:left w:val="single" w:sz="2" w:space="0" w:color="000000"/>
              <w:bottom w:val="single" w:sz="2" w:space="0" w:color="000000"/>
              <w:right w:val="single" w:sz="2" w:space="0" w:color="000000"/>
            </w:tcBorders>
            <w:vAlign w:val="center"/>
          </w:tcPr>
          <w:p w14:paraId="41293136" w14:textId="77777777" w:rsidR="00833524" w:rsidRPr="00364545" w:rsidRDefault="00833524" w:rsidP="00E56269">
            <w:pPr>
              <w:spacing w:line="259" w:lineRule="auto"/>
              <w:ind w:left="14"/>
              <w:jc w:val="center"/>
              <w:rPr>
                <w:sz w:val="18"/>
              </w:rPr>
            </w:pPr>
            <w:r>
              <w:rPr>
                <w:sz w:val="18"/>
                <w:szCs w:val="18"/>
              </w:rPr>
              <w:t>351435</w:t>
            </w:r>
          </w:p>
        </w:tc>
        <w:tc>
          <w:tcPr>
            <w:tcW w:w="767" w:type="dxa"/>
            <w:tcBorders>
              <w:top w:val="single" w:sz="2" w:space="0" w:color="000000"/>
              <w:left w:val="single" w:sz="2" w:space="0" w:color="000000"/>
              <w:bottom w:val="single" w:sz="2" w:space="0" w:color="000000"/>
              <w:right w:val="single" w:sz="2" w:space="0" w:color="000000"/>
            </w:tcBorders>
            <w:vAlign w:val="center"/>
          </w:tcPr>
          <w:p w14:paraId="6451C13A" w14:textId="77777777" w:rsidR="00833524" w:rsidRPr="00364545" w:rsidRDefault="00833524" w:rsidP="00E56269">
            <w:pPr>
              <w:spacing w:line="259" w:lineRule="auto"/>
              <w:ind w:left="14"/>
              <w:jc w:val="center"/>
              <w:rPr>
                <w:sz w:val="18"/>
              </w:rPr>
            </w:pPr>
            <w:r>
              <w:rPr>
                <w:sz w:val="18"/>
                <w:szCs w:val="18"/>
              </w:rPr>
              <w:t>350115</w:t>
            </w:r>
          </w:p>
        </w:tc>
        <w:tc>
          <w:tcPr>
            <w:tcW w:w="767" w:type="dxa"/>
            <w:tcBorders>
              <w:top w:val="single" w:sz="2" w:space="0" w:color="000000"/>
              <w:left w:val="single" w:sz="2" w:space="0" w:color="000000"/>
              <w:bottom w:val="single" w:sz="2" w:space="0" w:color="000000"/>
              <w:right w:val="single" w:sz="2" w:space="0" w:color="000000"/>
            </w:tcBorders>
            <w:vAlign w:val="center"/>
          </w:tcPr>
          <w:p w14:paraId="2F6EBB64" w14:textId="77777777" w:rsidR="00833524" w:rsidRPr="00364545" w:rsidRDefault="00833524" w:rsidP="00E56269">
            <w:pPr>
              <w:spacing w:line="259" w:lineRule="auto"/>
              <w:ind w:left="14"/>
              <w:jc w:val="center"/>
              <w:rPr>
                <w:sz w:val="18"/>
              </w:rPr>
            </w:pPr>
            <w:r>
              <w:rPr>
                <w:sz w:val="18"/>
                <w:szCs w:val="18"/>
              </w:rPr>
              <w:t>370522</w:t>
            </w:r>
          </w:p>
        </w:tc>
        <w:tc>
          <w:tcPr>
            <w:tcW w:w="750" w:type="dxa"/>
            <w:tcBorders>
              <w:top w:val="single" w:sz="2" w:space="0" w:color="000000"/>
              <w:left w:val="single" w:sz="2" w:space="0" w:color="000000"/>
              <w:bottom w:val="single" w:sz="2" w:space="0" w:color="000000"/>
              <w:right w:val="single" w:sz="2" w:space="0" w:color="000000"/>
            </w:tcBorders>
            <w:vAlign w:val="center"/>
          </w:tcPr>
          <w:p w14:paraId="4617C5B1" w14:textId="77777777" w:rsidR="00833524" w:rsidRPr="00364545" w:rsidRDefault="00833524" w:rsidP="00E56269">
            <w:pPr>
              <w:spacing w:line="259" w:lineRule="auto"/>
              <w:ind w:left="14"/>
              <w:jc w:val="center"/>
              <w:rPr>
                <w:sz w:val="18"/>
              </w:rPr>
            </w:pPr>
            <w:r>
              <w:rPr>
                <w:sz w:val="18"/>
                <w:szCs w:val="18"/>
              </w:rPr>
              <w:t>381286</w:t>
            </w:r>
          </w:p>
        </w:tc>
        <w:tc>
          <w:tcPr>
            <w:tcW w:w="766" w:type="dxa"/>
            <w:tcBorders>
              <w:top w:val="single" w:sz="2" w:space="0" w:color="000000"/>
              <w:left w:val="single" w:sz="2" w:space="0" w:color="000000"/>
              <w:bottom w:val="single" w:sz="2" w:space="0" w:color="000000"/>
              <w:right w:val="single" w:sz="2" w:space="0" w:color="000000"/>
            </w:tcBorders>
            <w:vAlign w:val="center"/>
          </w:tcPr>
          <w:p w14:paraId="1907F364" w14:textId="77777777" w:rsidR="00833524" w:rsidRPr="00364545" w:rsidRDefault="00833524" w:rsidP="00E56269">
            <w:pPr>
              <w:spacing w:line="259" w:lineRule="auto"/>
              <w:ind w:left="14"/>
              <w:jc w:val="center"/>
              <w:rPr>
                <w:sz w:val="18"/>
              </w:rPr>
            </w:pPr>
            <w:r>
              <w:rPr>
                <w:sz w:val="18"/>
                <w:szCs w:val="18"/>
              </w:rPr>
              <w:t>350369</w:t>
            </w:r>
          </w:p>
        </w:tc>
        <w:tc>
          <w:tcPr>
            <w:tcW w:w="766" w:type="dxa"/>
            <w:tcBorders>
              <w:top w:val="single" w:sz="2" w:space="0" w:color="000000"/>
              <w:left w:val="single" w:sz="2" w:space="0" w:color="000000"/>
              <w:bottom w:val="single" w:sz="2" w:space="0" w:color="000000"/>
              <w:right w:val="single" w:sz="2" w:space="0" w:color="000000"/>
            </w:tcBorders>
            <w:vAlign w:val="center"/>
          </w:tcPr>
          <w:p w14:paraId="6110FFDE" w14:textId="77777777" w:rsidR="00833524" w:rsidRPr="00364545" w:rsidRDefault="00833524" w:rsidP="00E56269">
            <w:pPr>
              <w:spacing w:line="259" w:lineRule="auto"/>
              <w:ind w:left="14"/>
              <w:jc w:val="center"/>
              <w:rPr>
                <w:sz w:val="18"/>
              </w:rPr>
            </w:pPr>
            <w:r>
              <w:rPr>
                <w:sz w:val="18"/>
                <w:szCs w:val="18"/>
              </w:rPr>
              <w:t>307160</w:t>
            </w:r>
          </w:p>
        </w:tc>
        <w:tc>
          <w:tcPr>
            <w:tcW w:w="471" w:type="dxa"/>
            <w:tcBorders>
              <w:top w:val="single" w:sz="2" w:space="0" w:color="000000"/>
              <w:left w:val="single" w:sz="2" w:space="0" w:color="000000"/>
              <w:bottom w:val="single" w:sz="2" w:space="0" w:color="000000"/>
              <w:right w:val="single" w:sz="2" w:space="0" w:color="000000"/>
            </w:tcBorders>
            <w:vAlign w:val="center"/>
          </w:tcPr>
          <w:p w14:paraId="6434DEDC" w14:textId="77777777" w:rsidR="00833524" w:rsidRPr="00364545" w:rsidRDefault="00833524" w:rsidP="00E56269">
            <w:pPr>
              <w:spacing w:line="259" w:lineRule="auto"/>
              <w:ind w:left="14"/>
              <w:jc w:val="center"/>
              <w:rPr>
                <w:sz w:val="18"/>
              </w:rPr>
            </w:pPr>
            <w:r>
              <w:rPr>
                <w:sz w:val="18"/>
                <w:szCs w:val="18"/>
              </w:rPr>
              <w:t>291379</w:t>
            </w:r>
          </w:p>
        </w:tc>
        <w:tc>
          <w:tcPr>
            <w:tcW w:w="766" w:type="dxa"/>
            <w:tcBorders>
              <w:top w:val="single" w:sz="2" w:space="0" w:color="000000"/>
              <w:left w:val="single" w:sz="2" w:space="0" w:color="000000"/>
              <w:bottom w:val="single" w:sz="2" w:space="0" w:color="000000"/>
              <w:right w:val="single" w:sz="2" w:space="0" w:color="000000"/>
            </w:tcBorders>
            <w:vAlign w:val="center"/>
          </w:tcPr>
          <w:p w14:paraId="5B567763" w14:textId="77777777" w:rsidR="00833524" w:rsidRPr="00364545" w:rsidRDefault="00833524" w:rsidP="00E56269">
            <w:pPr>
              <w:spacing w:line="259" w:lineRule="auto"/>
              <w:ind w:left="14"/>
              <w:jc w:val="center"/>
              <w:rPr>
                <w:sz w:val="18"/>
              </w:rPr>
            </w:pPr>
            <w:r w:rsidRPr="00364545">
              <w:rPr>
                <w:sz w:val="18"/>
              </w:rPr>
              <w:t>297</w:t>
            </w:r>
            <w:r w:rsidRPr="00364545">
              <w:rPr>
                <w:rFonts w:ascii="Calibri" w:hAnsi="Calibri"/>
                <w:sz w:val="18"/>
              </w:rPr>
              <w:t> </w:t>
            </w:r>
            <w:r w:rsidRPr="00364545">
              <w:rPr>
                <w:sz w:val="18"/>
              </w:rPr>
              <w:t>837</w:t>
            </w:r>
          </w:p>
        </w:tc>
        <w:tc>
          <w:tcPr>
            <w:tcW w:w="766" w:type="dxa"/>
            <w:tcBorders>
              <w:top w:val="single" w:sz="2" w:space="0" w:color="000000"/>
              <w:left w:val="single" w:sz="2" w:space="0" w:color="000000"/>
              <w:bottom w:val="single" w:sz="2" w:space="0" w:color="000000"/>
              <w:right w:val="single" w:sz="2" w:space="0" w:color="000000"/>
            </w:tcBorders>
            <w:vAlign w:val="center"/>
          </w:tcPr>
          <w:p w14:paraId="1F2EE629" w14:textId="77777777" w:rsidR="00833524" w:rsidRPr="00364545" w:rsidRDefault="00833524" w:rsidP="00E56269">
            <w:pPr>
              <w:spacing w:line="259" w:lineRule="auto"/>
              <w:ind w:left="14"/>
              <w:jc w:val="center"/>
              <w:rPr>
                <w:sz w:val="18"/>
              </w:rPr>
            </w:pPr>
            <w:r w:rsidRPr="00364545">
              <w:rPr>
                <w:sz w:val="18"/>
              </w:rPr>
              <w:t>246</w:t>
            </w:r>
            <w:r w:rsidRPr="00364545">
              <w:rPr>
                <w:rFonts w:ascii="Calibri" w:hAnsi="Calibri"/>
                <w:sz w:val="18"/>
              </w:rPr>
              <w:t> </w:t>
            </w:r>
            <w:r w:rsidRPr="00364545">
              <w:rPr>
                <w:sz w:val="18"/>
              </w:rPr>
              <w:t>729</w:t>
            </w:r>
          </w:p>
        </w:tc>
        <w:tc>
          <w:tcPr>
            <w:tcW w:w="766" w:type="dxa"/>
            <w:tcBorders>
              <w:top w:val="single" w:sz="2" w:space="0" w:color="000000"/>
              <w:left w:val="single" w:sz="2" w:space="0" w:color="000000"/>
              <w:bottom w:val="single" w:sz="2" w:space="0" w:color="000000"/>
              <w:right w:val="single" w:sz="2" w:space="0" w:color="000000"/>
            </w:tcBorders>
            <w:vAlign w:val="center"/>
          </w:tcPr>
          <w:p w14:paraId="65407A86" w14:textId="77777777" w:rsidR="00833524" w:rsidRPr="00364545" w:rsidRDefault="00833524" w:rsidP="00E56269">
            <w:pPr>
              <w:spacing w:line="259" w:lineRule="auto"/>
              <w:ind w:left="14"/>
              <w:jc w:val="center"/>
              <w:rPr>
                <w:sz w:val="18"/>
              </w:rPr>
            </w:pPr>
            <w:r w:rsidRPr="00364545">
              <w:rPr>
                <w:sz w:val="18"/>
              </w:rPr>
              <w:t>197</w:t>
            </w:r>
            <w:r w:rsidRPr="00364545">
              <w:rPr>
                <w:rFonts w:ascii="Calibri" w:hAnsi="Calibri"/>
                <w:sz w:val="18"/>
              </w:rPr>
              <w:t> </w:t>
            </w:r>
            <w:r w:rsidRPr="00364545">
              <w:rPr>
                <w:sz w:val="18"/>
              </w:rPr>
              <w:t>348</w:t>
            </w:r>
          </w:p>
        </w:tc>
        <w:tc>
          <w:tcPr>
            <w:tcW w:w="750" w:type="dxa"/>
            <w:tcBorders>
              <w:top w:val="single" w:sz="2" w:space="0" w:color="000000"/>
              <w:left w:val="single" w:sz="2" w:space="0" w:color="000000"/>
              <w:bottom w:val="single" w:sz="2" w:space="0" w:color="000000"/>
              <w:right w:val="single" w:sz="2" w:space="0" w:color="000000"/>
            </w:tcBorders>
            <w:vAlign w:val="center"/>
          </w:tcPr>
          <w:p w14:paraId="75A95964" w14:textId="77777777" w:rsidR="00833524" w:rsidRPr="00364545" w:rsidRDefault="00833524" w:rsidP="00E56269">
            <w:pPr>
              <w:spacing w:line="259" w:lineRule="auto"/>
              <w:ind w:left="14"/>
              <w:jc w:val="center"/>
              <w:rPr>
                <w:sz w:val="18"/>
              </w:rPr>
            </w:pPr>
            <w:r w:rsidRPr="00364545">
              <w:rPr>
                <w:sz w:val="18"/>
              </w:rPr>
              <w:t>145</w:t>
            </w:r>
            <w:r w:rsidRPr="00364545">
              <w:rPr>
                <w:rFonts w:ascii="Calibri" w:hAnsi="Calibri"/>
                <w:sz w:val="18"/>
              </w:rPr>
              <w:t> </w:t>
            </w:r>
            <w:r w:rsidRPr="00364545">
              <w:rPr>
                <w:sz w:val="18"/>
              </w:rPr>
              <w:t>879</w:t>
            </w:r>
          </w:p>
        </w:tc>
        <w:tc>
          <w:tcPr>
            <w:tcW w:w="678" w:type="dxa"/>
            <w:tcBorders>
              <w:top w:val="single" w:sz="2" w:space="0" w:color="000000"/>
              <w:left w:val="single" w:sz="2" w:space="0" w:color="000000"/>
              <w:bottom w:val="single" w:sz="2" w:space="0" w:color="000000"/>
              <w:right w:val="single" w:sz="2" w:space="0" w:color="000000"/>
            </w:tcBorders>
            <w:vAlign w:val="center"/>
          </w:tcPr>
          <w:p w14:paraId="7CD7550C" w14:textId="77777777" w:rsidR="00833524" w:rsidRPr="00364545" w:rsidRDefault="00833524" w:rsidP="00E56269">
            <w:pPr>
              <w:spacing w:line="259" w:lineRule="auto"/>
              <w:ind w:left="14"/>
              <w:jc w:val="center"/>
              <w:rPr>
                <w:sz w:val="18"/>
              </w:rPr>
            </w:pPr>
            <w:r w:rsidRPr="00364545">
              <w:rPr>
                <w:sz w:val="18"/>
              </w:rPr>
              <w:t>-8</w:t>
            </w:r>
            <w:r w:rsidRPr="00364545">
              <w:rPr>
                <w:rFonts w:ascii="Calibri" w:hAnsi="Calibri"/>
                <w:sz w:val="18"/>
              </w:rPr>
              <w:t> </w:t>
            </w:r>
            <w:r w:rsidRPr="00364545">
              <w:rPr>
                <w:sz w:val="18"/>
              </w:rPr>
              <w:t>529</w:t>
            </w:r>
          </w:p>
        </w:tc>
      </w:tr>
      <w:tr w:rsidR="00833524" w:rsidRPr="00364545" w14:paraId="6A1C8A65" w14:textId="77777777" w:rsidTr="00E56269">
        <w:trPr>
          <w:trHeight w:val="419"/>
        </w:trPr>
        <w:tc>
          <w:tcPr>
            <w:tcW w:w="1154" w:type="dxa"/>
            <w:tcBorders>
              <w:top w:val="single" w:sz="2" w:space="0" w:color="000000"/>
              <w:left w:val="single" w:sz="2" w:space="0" w:color="000000"/>
              <w:bottom w:val="single" w:sz="2" w:space="0" w:color="000000"/>
              <w:right w:val="single" w:sz="2" w:space="0" w:color="000000"/>
            </w:tcBorders>
            <w:shd w:val="clear" w:color="auto" w:fill="ECE6E2"/>
          </w:tcPr>
          <w:p w14:paraId="0D802956" w14:textId="77777777" w:rsidR="00833524" w:rsidRPr="00364545" w:rsidRDefault="00833524" w:rsidP="00E56269">
            <w:pPr>
              <w:spacing w:line="259" w:lineRule="auto"/>
            </w:pPr>
            <w:r w:rsidRPr="00364545">
              <w:rPr>
                <w:sz w:val="18"/>
              </w:rPr>
              <w:t xml:space="preserve">Industrial processes, solvents and other products </w:t>
            </w:r>
          </w:p>
        </w:tc>
        <w:tc>
          <w:tcPr>
            <w:tcW w:w="7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BE8084" w14:textId="77777777" w:rsidR="00833524" w:rsidRPr="00364545" w:rsidRDefault="00833524" w:rsidP="00E56269">
            <w:pPr>
              <w:spacing w:line="259" w:lineRule="auto"/>
              <w:ind w:left="14"/>
              <w:jc w:val="center"/>
              <w:rPr>
                <w:sz w:val="18"/>
              </w:rPr>
            </w:pPr>
            <w:r>
              <w:rPr>
                <w:sz w:val="18"/>
                <w:szCs w:val="18"/>
              </w:rPr>
              <w:t>42902</w:t>
            </w:r>
          </w:p>
        </w:tc>
        <w:tc>
          <w:tcPr>
            <w:tcW w:w="7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550B3E" w14:textId="77777777" w:rsidR="00833524" w:rsidRPr="00364545" w:rsidRDefault="00833524" w:rsidP="00E56269">
            <w:pPr>
              <w:spacing w:line="259" w:lineRule="auto"/>
              <w:ind w:left="14"/>
              <w:jc w:val="center"/>
              <w:rPr>
                <w:sz w:val="18"/>
              </w:rPr>
            </w:pPr>
            <w:r>
              <w:rPr>
                <w:sz w:val="18"/>
                <w:szCs w:val="18"/>
              </w:rPr>
              <w:t>38604</w:t>
            </w:r>
          </w:p>
        </w:tc>
        <w:tc>
          <w:tcPr>
            <w:tcW w:w="7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9D0158" w14:textId="77777777" w:rsidR="00833524" w:rsidRPr="00364545" w:rsidRDefault="00833524" w:rsidP="00E56269">
            <w:pPr>
              <w:spacing w:line="259" w:lineRule="auto"/>
              <w:ind w:left="14"/>
              <w:jc w:val="center"/>
              <w:rPr>
                <w:sz w:val="18"/>
              </w:rPr>
            </w:pPr>
            <w:r>
              <w:rPr>
                <w:sz w:val="18"/>
                <w:szCs w:val="18"/>
              </w:rPr>
              <w:t>40574</w:t>
            </w:r>
          </w:p>
        </w:tc>
        <w:tc>
          <w:tcPr>
            <w:tcW w:w="7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49732C" w14:textId="77777777" w:rsidR="00833524" w:rsidRPr="00364545" w:rsidRDefault="00833524" w:rsidP="00E56269">
            <w:pPr>
              <w:spacing w:line="259" w:lineRule="auto"/>
              <w:ind w:left="14"/>
              <w:jc w:val="center"/>
              <w:rPr>
                <w:sz w:val="18"/>
              </w:rPr>
            </w:pPr>
            <w:r>
              <w:rPr>
                <w:sz w:val="18"/>
                <w:szCs w:val="18"/>
              </w:rPr>
              <w:t>40644</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D42F89" w14:textId="77777777" w:rsidR="00833524" w:rsidRPr="00364545" w:rsidRDefault="00833524" w:rsidP="00E56269">
            <w:pPr>
              <w:spacing w:line="259" w:lineRule="auto"/>
              <w:ind w:left="14"/>
              <w:jc w:val="center"/>
              <w:rPr>
                <w:sz w:val="18"/>
              </w:rPr>
            </w:pPr>
            <w:r>
              <w:rPr>
                <w:sz w:val="18"/>
                <w:szCs w:val="18"/>
              </w:rPr>
              <w:t>32910</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30585C" w14:textId="77777777" w:rsidR="00833524" w:rsidRPr="00364545" w:rsidRDefault="00833524" w:rsidP="00E56269">
            <w:pPr>
              <w:spacing w:line="259" w:lineRule="auto"/>
              <w:ind w:left="14"/>
              <w:jc w:val="center"/>
              <w:rPr>
                <w:sz w:val="18"/>
              </w:rPr>
            </w:pPr>
            <w:r>
              <w:rPr>
                <w:sz w:val="18"/>
                <w:szCs w:val="18"/>
              </w:rPr>
              <w:t>30753</w:t>
            </w:r>
          </w:p>
        </w:tc>
        <w:tc>
          <w:tcPr>
            <w:tcW w:w="47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BAA719" w14:textId="77777777" w:rsidR="00833524" w:rsidRPr="00364545" w:rsidRDefault="00833524" w:rsidP="00E56269">
            <w:pPr>
              <w:spacing w:line="259" w:lineRule="auto"/>
              <w:ind w:left="14"/>
              <w:jc w:val="center"/>
              <w:rPr>
                <w:sz w:val="18"/>
              </w:rPr>
            </w:pPr>
            <w:r>
              <w:rPr>
                <w:sz w:val="18"/>
                <w:szCs w:val="18"/>
              </w:rPr>
              <w:t>31576</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1A95693" w14:textId="77777777" w:rsidR="00833524" w:rsidRPr="00364545" w:rsidRDefault="00833524" w:rsidP="00E56269">
            <w:pPr>
              <w:spacing w:line="259" w:lineRule="auto"/>
              <w:ind w:left="14"/>
              <w:jc w:val="center"/>
              <w:rPr>
                <w:sz w:val="18"/>
              </w:rPr>
            </w:pPr>
            <w:r w:rsidRPr="00364545">
              <w:rPr>
                <w:sz w:val="18"/>
              </w:rPr>
              <w:t>24</w:t>
            </w:r>
            <w:r w:rsidRPr="00364545">
              <w:rPr>
                <w:rFonts w:ascii="Calibri" w:hAnsi="Calibri"/>
                <w:sz w:val="18"/>
              </w:rPr>
              <w:t> </w:t>
            </w:r>
            <w:r w:rsidRPr="00364545">
              <w:rPr>
                <w:sz w:val="18"/>
              </w:rPr>
              <w:t>658</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6B4635" w14:textId="77777777" w:rsidR="00833524" w:rsidRPr="00364545" w:rsidRDefault="00833524" w:rsidP="00E56269">
            <w:pPr>
              <w:spacing w:line="259" w:lineRule="auto"/>
              <w:ind w:left="14"/>
              <w:jc w:val="center"/>
              <w:rPr>
                <w:sz w:val="18"/>
              </w:rPr>
            </w:pPr>
            <w:r w:rsidRPr="00364545">
              <w:rPr>
                <w:sz w:val="18"/>
              </w:rPr>
              <w:t>23</w:t>
            </w:r>
            <w:r w:rsidRPr="00364545">
              <w:rPr>
                <w:rFonts w:ascii="Calibri" w:hAnsi="Calibri"/>
                <w:sz w:val="18"/>
              </w:rPr>
              <w:t> </w:t>
            </w:r>
            <w:r w:rsidRPr="00364545">
              <w:rPr>
                <w:sz w:val="18"/>
              </w:rPr>
              <w:t>181</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6711C06" w14:textId="77777777" w:rsidR="00833524" w:rsidRPr="00364545" w:rsidRDefault="00833524" w:rsidP="00E56269">
            <w:pPr>
              <w:spacing w:line="259" w:lineRule="auto"/>
              <w:ind w:left="14"/>
              <w:jc w:val="center"/>
              <w:rPr>
                <w:sz w:val="18"/>
              </w:rPr>
            </w:pPr>
            <w:r w:rsidRPr="00364545">
              <w:rPr>
                <w:sz w:val="18"/>
              </w:rPr>
              <w:t>20</w:t>
            </w:r>
            <w:r w:rsidRPr="00364545">
              <w:rPr>
                <w:rFonts w:ascii="Calibri" w:hAnsi="Calibri"/>
                <w:sz w:val="18"/>
              </w:rPr>
              <w:t> </w:t>
            </w:r>
            <w:r w:rsidRPr="00364545">
              <w:rPr>
                <w:sz w:val="18"/>
              </w:rPr>
              <w:t>509</w:t>
            </w:r>
          </w:p>
        </w:tc>
        <w:tc>
          <w:tcPr>
            <w:tcW w:w="7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4CD193" w14:textId="77777777" w:rsidR="00833524" w:rsidRPr="00364545" w:rsidRDefault="00833524" w:rsidP="00E56269">
            <w:pPr>
              <w:spacing w:line="259" w:lineRule="auto"/>
              <w:ind w:left="14"/>
              <w:jc w:val="center"/>
              <w:rPr>
                <w:sz w:val="18"/>
              </w:rPr>
            </w:pPr>
            <w:r w:rsidRPr="00364545">
              <w:rPr>
                <w:sz w:val="18"/>
              </w:rPr>
              <w:t>18</w:t>
            </w:r>
            <w:r w:rsidRPr="00364545">
              <w:rPr>
                <w:rFonts w:ascii="Calibri" w:hAnsi="Calibri"/>
                <w:sz w:val="18"/>
              </w:rPr>
              <w:t> </w:t>
            </w:r>
            <w:r w:rsidRPr="00364545">
              <w:rPr>
                <w:sz w:val="18"/>
              </w:rPr>
              <w:t>386</w:t>
            </w:r>
          </w:p>
        </w:tc>
        <w:tc>
          <w:tcPr>
            <w:tcW w:w="67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A109B23" w14:textId="77777777" w:rsidR="00833524" w:rsidRPr="00364545" w:rsidRDefault="00833524" w:rsidP="00E56269">
            <w:pPr>
              <w:spacing w:line="259" w:lineRule="auto"/>
              <w:ind w:left="14"/>
              <w:jc w:val="center"/>
              <w:rPr>
                <w:sz w:val="18"/>
              </w:rPr>
            </w:pPr>
            <w:r w:rsidRPr="00364545">
              <w:rPr>
                <w:sz w:val="18"/>
              </w:rPr>
              <w:t>12</w:t>
            </w:r>
            <w:r w:rsidRPr="00364545">
              <w:rPr>
                <w:rFonts w:ascii="Calibri" w:hAnsi="Calibri"/>
                <w:sz w:val="18"/>
              </w:rPr>
              <w:t> </w:t>
            </w:r>
            <w:r w:rsidRPr="00364545">
              <w:rPr>
                <w:sz w:val="18"/>
              </w:rPr>
              <w:t>017</w:t>
            </w:r>
          </w:p>
        </w:tc>
      </w:tr>
      <w:tr w:rsidR="00833524" w:rsidRPr="00364545" w14:paraId="44961888" w14:textId="77777777" w:rsidTr="00E56269">
        <w:trPr>
          <w:trHeight w:val="344"/>
        </w:trPr>
        <w:tc>
          <w:tcPr>
            <w:tcW w:w="1154" w:type="dxa"/>
            <w:tcBorders>
              <w:top w:val="single" w:sz="2" w:space="0" w:color="000000"/>
              <w:left w:val="single" w:sz="2" w:space="0" w:color="000000"/>
              <w:bottom w:val="single" w:sz="2" w:space="0" w:color="000000"/>
              <w:right w:val="single" w:sz="2" w:space="0" w:color="000000"/>
            </w:tcBorders>
          </w:tcPr>
          <w:p w14:paraId="63F6281F" w14:textId="77777777" w:rsidR="00833524" w:rsidRPr="00364545" w:rsidRDefault="00833524" w:rsidP="00E56269">
            <w:pPr>
              <w:spacing w:line="259" w:lineRule="auto"/>
            </w:pPr>
            <w:r w:rsidRPr="00364545">
              <w:rPr>
                <w:sz w:val="18"/>
              </w:rPr>
              <w:t xml:space="preserve">Agriculture (excluding energy) </w:t>
            </w:r>
          </w:p>
        </w:tc>
        <w:tc>
          <w:tcPr>
            <w:tcW w:w="767" w:type="dxa"/>
            <w:tcBorders>
              <w:top w:val="single" w:sz="2" w:space="0" w:color="000000"/>
              <w:left w:val="single" w:sz="2" w:space="0" w:color="000000"/>
              <w:bottom w:val="single" w:sz="2" w:space="0" w:color="000000"/>
              <w:right w:val="single" w:sz="2" w:space="0" w:color="000000"/>
            </w:tcBorders>
            <w:vAlign w:val="center"/>
          </w:tcPr>
          <w:p w14:paraId="756E0885" w14:textId="77777777" w:rsidR="00833524" w:rsidRPr="00364545" w:rsidRDefault="00833524" w:rsidP="00E56269">
            <w:pPr>
              <w:spacing w:line="259" w:lineRule="auto"/>
              <w:ind w:left="14"/>
              <w:jc w:val="center"/>
              <w:rPr>
                <w:sz w:val="18"/>
              </w:rPr>
            </w:pPr>
            <w:r>
              <w:rPr>
                <w:sz w:val="18"/>
                <w:szCs w:val="18"/>
              </w:rPr>
              <w:t>1894</w:t>
            </w:r>
          </w:p>
        </w:tc>
        <w:tc>
          <w:tcPr>
            <w:tcW w:w="767" w:type="dxa"/>
            <w:tcBorders>
              <w:top w:val="single" w:sz="2" w:space="0" w:color="000000"/>
              <w:left w:val="single" w:sz="2" w:space="0" w:color="000000"/>
              <w:bottom w:val="single" w:sz="2" w:space="0" w:color="000000"/>
              <w:right w:val="single" w:sz="2" w:space="0" w:color="000000"/>
            </w:tcBorders>
            <w:vAlign w:val="center"/>
          </w:tcPr>
          <w:p w14:paraId="1949DFAA" w14:textId="77777777" w:rsidR="00833524" w:rsidRPr="00364545" w:rsidRDefault="00833524" w:rsidP="00E56269">
            <w:pPr>
              <w:spacing w:line="259" w:lineRule="auto"/>
              <w:ind w:left="14"/>
              <w:jc w:val="center"/>
              <w:rPr>
                <w:sz w:val="18"/>
              </w:rPr>
            </w:pPr>
            <w:r>
              <w:rPr>
                <w:sz w:val="18"/>
                <w:szCs w:val="18"/>
              </w:rPr>
              <w:t>1973</w:t>
            </w:r>
          </w:p>
        </w:tc>
        <w:tc>
          <w:tcPr>
            <w:tcW w:w="767" w:type="dxa"/>
            <w:tcBorders>
              <w:top w:val="single" w:sz="2" w:space="0" w:color="000000"/>
              <w:left w:val="single" w:sz="2" w:space="0" w:color="000000"/>
              <w:bottom w:val="single" w:sz="2" w:space="0" w:color="000000"/>
              <w:right w:val="single" w:sz="2" w:space="0" w:color="000000"/>
            </w:tcBorders>
            <w:vAlign w:val="center"/>
          </w:tcPr>
          <w:p w14:paraId="42162E49" w14:textId="77777777" w:rsidR="00833524" w:rsidRPr="00364545" w:rsidRDefault="00833524" w:rsidP="00E56269">
            <w:pPr>
              <w:spacing w:line="259" w:lineRule="auto"/>
              <w:ind w:left="14"/>
              <w:jc w:val="center"/>
              <w:rPr>
                <w:sz w:val="18"/>
              </w:rPr>
            </w:pPr>
            <w:r>
              <w:rPr>
                <w:sz w:val="18"/>
                <w:szCs w:val="18"/>
              </w:rPr>
              <w:t>1989</w:t>
            </w:r>
          </w:p>
        </w:tc>
        <w:tc>
          <w:tcPr>
            <w:tcW w:w="750" w:type="dxa"/>
            <w:tcBorders>
              <w:top w:val="single" w:sz="2" w:space="0" w:color="000000"/>
              <w:left w:val="single" w:sz="2" w:space="0" w:color="000000"/>
              <w:bottom w:val="single" w:sz="2" w:space="0" w:color="000000"/>
              <w:right w:val="single" w:sz="2" w:space="0" w:color="000000"/>
            </w:tcBorders>
            <w:vAlign w:val="center"/>
          </w:tcPr>
          <w:p w14:paraId="67FA82D4" w14:textId="77777777" w:rsidR="00833524" w:rsidRPr="00364545" w:rsidRDefault="00833524" w:rsidP="00E56269">
            <w:pPr>
              <w:spacing w:line="259" w:lineRule="auto"/>
              <w:ind w:left="14"/>
              <w:jc w:val="center"/>
              <w:rPr>
                <w:sz w:val="18"/>
              </w:rPr>
            </w:pPr>
            <w:r>
              <w:rPr>
                <w:sz w:val="18"/>
                <w:szCs w:val="18"/>
              </w:rPr>
              <w:t>1965</w:t>
            </w:r>
          </w:p>
        </w:tc>
        <w:tc>
          <w:tcPr>
            <w:tcW w:w="766" w:type="dxa"/>
            <w:tcBorders>
              <w:top w:val="single" w:sz="2" w:space="0" w:color="000000"/>
              <w:left w:val="single" w:sz="2" w:space="0" w:color="000000"/>
              <w:bottom w:val="single" w:sz="2" w:space="0" w:color="000000"/>
              <w:right w:val="single" w:sz="2" w:space="0" w:color="000000"/>
            </w:tcBorders>
            <w:vAlign w:val="center"/>
          </w:tcPr>
          <w:p w14:paraId="1079F6D4" w14:textId="77777777" w:rsidR="00833524" w:rsidRPr="00364545" w:rsidRDefault="00833524" w:rsidP="00E56269">
            <w:pPr>
              <w:spacing w:line="259" w:lineRule="auto"/>
              <w:ind w:left="14"/>
              <w:jc w:val="center"/>
              <w:rPr>
                <w:sz w:val="18"/>
              </w:rPr>
            </w:pPr>
            <w:r>
              <w:rPr>
                <w:sz w:val="18"/>
                <w:szCs w:val="18"/>
              </w:rPr>
              <w:t>1986</w:t>
            </w:r>
          </w:p>
        </w:tc>
        <w:tc>
          <w:tcPr>
            <w:tcW w:w="766" w:type="dxa"/>
            <w:tcBorders>
              <w:top w:val="single" w:sz="2" w:space="0" w:color="000000"/>
              <w:left w:val="single" w:sz="2" w:space="0" w:color="000000"/>
              <w:bottom w:val="single" w:sz="2" w:space="0" w:color="000000"/>
              <w:right w:val="single" w:sz="2" w:space="0" w:color="000000"/>
            </w:tcBorders>
            <w:vAlign w:val="center"/>
          </w:tcPr>
          <w:p w14:paraId="31FEE780" w14:textId="77777777" w:rsidR="00833524" w:rsidRPr="00364545" w:rsidRDefault="00833524" w:rsidP="00E56269">
            <w:pPr>
              <w:spacing w:line="259" w:lineRule="auto"/>
              <w:ind w:left="14"/>
              <w:jc w:val="center"/>
              <w:rPr>
                <w:sz w:val="18"/>
              </w:rPr>
            </w:pPr>
            <w:r>
              <w:rPr>
                <w:sz w:val="18"/>
                <w:szCs w:val="18"/>
              </w:rPr>
              <w:t>2176</w:t>
            </w:r>
          </w:p>
        </w:tc>
        <w:tc>
          <w:tcPr>
            <w:tcW w:w="471" w:type="dxa"/>
            <w:tcBorders>
              <w:top w:val="single" w:sz="2" w:space="0" w:color="000000"/>
              <w:left w:val="single" w:sz="2" w:space="0" w:color="000000"/>
              <w:bottom w:val="single" w:sz="2" w:space="0" w:color="000000"/>
              <w:right w:val="single" w:sz="2" w:space="0" w:color="000000"/>
            </w:tcBorders>
            <w:vAlign w:val="center"/>
          </w:tcPr>
          <w:p w14:paraId="1B03F417" w14:textId="77777777" w:rsidR="00833524" w:rsidRPr="00364545" w:rsidRDefault="00833524" w:rsidP="00E56269">
            <w:pPr>
              <w:spacing w:line="259" w:lineRule="auto"/>
              <w:ind w:left="14"/>
              <w:jc w:val="center"/>
              <w:rPr>
                <w:sz w:val="18"/>
              </w:rPr>
            </w:pPr>
            <w:r>
              <w:rPr>
                <w:sz w:val="18"/>
                <w:szCs w:val="18"/>
              </w:rPr>
              <w:t>2032</w:t>
            </w:r>
          </w:p>
        </w:tc>
        <w:tc>
          <w:tcPr>
            <w:tcW w:w="766" w:type="dxa"/>
            <w:tcBorders>
              <w:top w:val="single" w:sz="2" w:space="0" w:color="000000"/>
              <w:left w:val="single" w:sz="2" w:space="0" w:color="000000"/>
              <w:bottom w:val="single" w:sz="2" w:space="0" w:color="000000"/>
              <w:right w:val="single" w:sz="2" w:space="0" w:color="000000"/>
            </w:tcBorders>
            <w:vAlign w:val="center"/>
          </w:tcPr>
          <w:p w14:paraId="01B7E0FD"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894</w:t>
            </w:r>
          </w:p>
        </w:tc>
        <w:tc>
          <w:tcPr>
            <w:tcW w:w="766" w:type="dxa"/>
            <w:tcBorders>
              <w:top w:val="single" w:sz="2" w:space="0" w:color="000000"/>
              <w:left w:val="single" w:sz="2" w:space="0" w:color="000000"/>
              <w:bottom w:val="single" w:sz="2" w:space="0" w:color="000000"/>
              <w:right w:val="single" w:sz="2" w:space="0" w:color="000000"/>
            </w:tcBorders>
            <w:vAlign w:val="center"/>
          </w:tcPr>
          <w:p w14:paraId="063EFA18"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742</w:t>
            </w:r>
          </w:p>
        </w:tc>
        <w:tc>
          <w:tcPr>
            <w:tcW w:w="766" w:type="dxa"/>
            <w:tcBorders>
              <w:top w:val="single" w:sz="2" w:space="0" w:color="000000"/>
              <w:left w:val="single" w:sz="2" w:space="0" w:color="000000"/>
              <w:bottom w:val="single" w:sz="2" w:space="0" w:color="000000"/>
              <w:right w:val="single" w:sz="2" w:space="0" w:color="000000"/>
            </w:tcBorders>
            <w:vAlign w:val="center"/>
          </w:tcPr>
          <w:p w14:paraId="390D1655"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620</w:t>
            </w:r>
          </w:p>
        </w:tc>
        <w:tc>
          <w:tcPr>
            <w:tcW w:w="750" w:type="dxa"/>
            <w:tcBorders>
              <w:top w:val="single" w:sz="2" w:space="0" w:color="000000"/>
              <w:left w:val="single" w:sz="2" w:space="0" w:color="000000"/>
              <w:bottom w:val="single" w:sz="2" w:space="0" w:color="000000"/>
              <w:right w:val="single" w:sz="2" w:space="0" w:color="000000"/>
            </w:tcBorders>
            <w:vAlign w:val="center"/>
          </w:tcPr>
          <w:p w14:paraId="461E7A69"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478</w:t>
            </w:r>
          </w:p>
        </w:tc>
        <w:tc>
          <w:tcPr>
            <w:tcW w:w="678" w:type="dxa"/>
            <w:tcBorders>
              <w:top w:val="single" w:sz="2" w:space="0" w:color="000000"/>
              <w:left w:val="single" w:sz="2" w:space="0" w:color="000000"/>
              <w:bottom w:val="single" w:sz="2" w:space="0" w:color="000000"/>
              <w:right w:val="single" w:sz="2" w:space="0" w:color="000000"/>
            </w:tcBorders>
            <w:vAlign w:val="center"/>
          </w:tcPr>
          <w:p w14:paraId="1A4AD9E6"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445</w:t>
            </w:r>
          </w:p>
        </w:tc>
      </w:tr>
      <w:tr w:rsidR="00833524" w:rsidRPr="00364545" w14:paraId="6B95627E" w14:textId="77777777" w:rsidTr="00E56269">
        <w:trPr>
          <w:trHeight w:val="344"/>
        </w:trPr>
        <w:tc>
          <w:tcPr>
            <w:tcW w:w="1154" w:type="dxa"/>
            <w:tcBorders>
              <w:top w:val="single" w:sz="2" w:space="0" w:color="000000"/>
              <w:left w:val="single" w:sz="2" w:space="0" w:color="000000"/>
              <w:bottom w:val="single" w:sz="2" w:space="0" w:color="000000"/>
              <w:right w:val="single" w:sz="2" w:space="0" w:color="000000"/>
            </w:tcBorders>
            <w:shd w:val="clear" w:color="auto" w:fill="ECE6E2"/>
          </w:tcPr>
          <w:p w14:paraId="4D37FA4A" w14:textId="77777777" w:rsidR="00833524" w:rsidRPr="00364545" w:rsidRDefault="00833524" w:rsidP="00E56269">
            <w:pPr>
              <w:spacing w:line="259" w:lineRule="auto"/>
            </w:pPr>
            <w:r w:rsidRPr="00364545">
              <w:rPr>
                <w:sz w:val="18"/>
              </w:rPr>
              <w:t xml:space="preserve">LULUCF </w:t>
            </w:r>
          </w:p>
        </w:tc>
        <w:tc>
          <w:tcPr>
            <w:tcW w:w="7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789BD66" w14:textId="77777777" w:rsidR="00833524" w:rsidRPr="00364545" w:rsidRDefault="00833524" w:rsidP="00E56269">
            <w:pPr>
              <w:spacing w:line="259" w:lineRule="auto"/>
              <w:ind w:left="14"/>
              <w:jc w:val="center"/>
              <w:rPr>
                <w:sz w:val="18"/>
              </w:rPr>
            </w:pPr>
            <w:r>
              <w:rPr>
                <w:sz w:val="18"/>
                <w:szCs w:val="18"/>
              </w:rPr>
              <w:t>-28145</w:t>
            </w:r>
          </w:p>
        </w:tc>
        <w:tc>
          <w:tcPr>
            <w:tcW w:w="7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A33EE0F" w14:textId="77777777" w:rsidR="00833524" w:rsidRPr="00364545" w:rsidRDefault="00833524" w:rsidP="00E56269">
            <w:pPr>
              <w:spacing w:line="259" w:lineRule="auto"/>
              <w:ind w:left="14"/>
              <w:jc w:val="center"/>
              <w:rPr>
                <w:sz w:val="18"/>
              </w:rPr>
            </w:pPr>
            <w:r>
              <w:rPr>
                <w:sz w:val="18"/>
                <w:szCs w:val="18"/>
              </w:rPr>
              <w:t>-31795</w:t>
            </w:r>
          </w:p>
        </w:tc>
        <w:tc>
          <w:tcPr>
            <w:tcW w:w="7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40A6F7" w14:textId="77777777" w:rsidR="00833524" w:rsidRPr="00364545" w:rsidRDefault="00833524" w:rsidP="00E56269">
            <w:pPr>
              <w:spacing w:line="259" w:lineRule="auto"/>
              <w:ind w:left="14"/>
              <w:jc w:val="center"/>
              <w:rPr>
                <w:sz w:val="18"/>
              </w:rPr>
            </w:pPr>
            <w:r>
              <w:rPr>
                <w:sz w:val="18"/>
                <w:szCs w:val="18"/>
              </w:rPr>
              <w:t>-24595</w:t>
            </w:r>
          </w:p>
        </w:tc>
        <w:tc>
          <w:tcPr>
            <w:tcW w:w="7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5232C4" w14:textId="77777777" w:rsidR="00833524" w:rsidRPr="00364545" w:rsidRDefault="00833524" w:rsidP="00E56269">
            <w:pPr>
              <w:spacing w:line="259" w:lineRule="auto"/>
              <w:ind w:left="14"/>
              <w:jc w:val="center"/>
              <w:rPr>
                <w:sz w:val="18"/>
              </w:rPr>
            </w:pPr>
            <w:r>
              <w:rPr>
                <w:sz w:val="18"/>
                <w:szCs w:val="18"/>
              </w:rPr>
              <w:t>-51471</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72454C" w14:textId="77777777" w:rsidR="00833524" w:rsidRPr="00364545" w:rsidRDefault="00833524" w:rsidP="00E56269">
            <w:pPr>
              <w:spacing w:line="259" w:lineRule="auto"/>
              <w:ind w:left="14"/>
              <w:jc w:val="center"/>
              <w:rPr>
                <w:sz w:val="18"/>
              </w:rPr>
            </w:pPr>
            <w:r>
              <w:rPr>
                <w:sz w:val="18"/>
                <w:szCs w:val="18"/>
              </w:rPr>
              <w:t>-42701</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2D94202" w14:textId="77777777" w:rsidR="00833524" w:rsidRPr="00364545" w:rsidRDefault="00833524" w:rsidP="00E56269">
            <w:pPr>
              <w:spacing w:line="259" w:lineRule="auto"/>
              <w:ind w:left="14"/>
              <w:jc w:val="center"/>
              <w:rPr>
                <w:sz w:val="18"/>
              </w:rPr>
            </w:pPr>
            <w:r>
              <w:rPr>
                <w:sz w:val="18"/>
                <w:szCs w:val="18"/>
              </w:rPr>
              <w:t>-38599</w:t>
            </w:r>
          </w:p>
        </w:tc>
        <w:tc>
          <w:tcPr>
            <w:tcW w:w="47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C638EB" w14:textId="77777777" w:rsidR="00833524" w:rsidRPr="00364545" w:rsidRDefault="00833524" w:rsidP="00E56269">
            <w:pPr>
              <w:spacing w:line="259" w:lineRule="auto"/>
              <w:ind w:left="14"/>
              <w:jc w:val="center"/>
              <w:rPr>
                <w:sz w:val="18"/>
              </w:rPr>
            </w:pPr>
            <w:r>
              <w:rPr>
                <w:sz w:val="18"/>
                <w:szCs w:val="18"/>
              </w:rPr>
              <w:t>-16293</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826252" w14:textId="77777777" w:rsidR="00833524" w:rsidRPr="00364545" w:rsidRDefault="00833524" w:rsidP="00E56269">
            <w:pPr>
              <w:spacing w:line="259" w:lineRule="auto"/>
              <w:ind w:left="14"/>
              <w:jc w:val="center"/>
              <w:rPr>
                <w:sz w:val="18"/>
              </w:rPr>
            </w:pPr>
            <w:r w:rsidRPr="00364545">
              <w:rPr>
                <w:sz w:val="18"/>
              </w:rPr>
              <w:t>-43</w:t>
            </w:r>
            <w:r w:rsidRPr="00364545">
              <w:rPr>
                <w:rFonts w:ascii="Calibri" w:hAnsi="Calibri"/>
                <w:sz w:val="18"/>
              </w:rPr>
              <w:t> </w:t>
            </w:r>
            <w:r w:rsidRPr="00364545">
              <w:rPr>
                <w:sz w:val="18"/>
              </w:rPr>
              <w:t>218</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029A2F" w14:textId="77777777" w:rsidR="00833524" w:rsidRPr="00364545" w:rsidRDefault="00833524" w:rsidP="00E56269">
            <w:pPr>
              <w:spacing w:line="259" w:lineRule="auto"/>
              <w:ind w:left="14"/>
              <w:jc w:val="center"/>
              <w:rPr>
                <w:sz w:val="18"/>
              </w:rPr>
            </w:pPr>
            <w:r w:rsidRPr="00364545">
              <w:rPr>
                <w:sz w:val="18"/>
              </w:rPr>
              <w:t>-41</w:t>
            </w:r>
            <w:r w:rsidRPr="00364545">
              <w:rPr>
                <w:rFonts w:ascii="Calibri" w:hAnsi="Calibri"/>
                <w:sz w:val="18"/>
              </w:rPr>
              <w:t> </w:t>
            </w:r>
            <w:r w:rsidRPr="00364545">
              <w:rPr>
                <w:sz w:val="18"/>
              </w:rPr>
              <w:t>903</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E1F855" w14:textId="77777777" w:rsidR="00833524" w:rsidRPr="00364545" w:rsidRDefault="00833524" w:rsidP="00E56269">
            <w:pPr>
              <w:spacing w:line="259" w:lineRule="auto"/>
              <w:ind w:left="14"/>
              <w:jc w:val="center"/>
              <w:rPr>
                <w:sz w:val="18"/>
              </w:rPr>
            </w:pPr>
            <w:r w:rsidRPr="00364545">
              <w:rPr>
                <w:sz w:val="18"/>
              </w:rPr>
              <w:t>-44</w:t>
            </w:r>
            <w:r w:rsidRPr="00364545">
              <w:rPr>
                <w:rFonts w:ascii="Calibri" w:hAnsi="Calibri"/>
                <w:sz w:val="18"/>
              </w:rPr>
              <w:t> </w:t>
            </w:r>
            <w:r w:rsidRPr="00364545">
              <w:rPr>
                <w:sz w:val="18"/>
              </w:rPr>
              <w:t>376</w:t>
            </w:r>
          </w:p>
        </w:tc>
        <w:tc>
          <w:tcPr>
            <w:tcW w:w="7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900A714" w14:textId="77777777" w:rsidR="00833524" w:rsidRPr="00364545" w:rsidRDefault="00833524" w:rsidP="00E56269">
            <w:pPr>
              <w:spacing w:line="259" w:lineRule="auto"/>
              <w:ind w:left="14"/>
              <w:jc w:val="center"/>
              <w:rPr>
                <w:sz w:val="18"/>
              </w:rPr>
            </w:pPr>
            <w:r w:rsidRPr="00364545">
              <w:rPr>
                <w:sz w:val="18"/>
              </w:rPr>
              <w:t>-49</w:t>
            </w:r>
            <w:r w:rsidRPr="00364545">
              <w:rPr>
                <w:rFonts w:ascii="Calibri" w:hAnsi="Calibri"/>
                <w:sz w:val="18"/>
              </w:rPr>
              <w:t> </w:t>
            </w:r>
            <w:r w:rsidRPr="00364545">
              <w:rPr>
                <w:sz w:val="18"/>
              </w:rPr>
              <w:t>395</w:t>
            </w:r>
          </w:p>
        </w:tc>
        <w:tc>
          <w:tcPr>
            <w:tcW w:w="67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1667B4" w14:textId="77777777" w:rsidR="00833524" w:rsidRPr="00364545" w:rsidRDefault="00833524" w:rsidP="00E56269">
            <w:pPr>
              <w:spacing w:line="259" w:lineRule="auto"/>
              <w:ind w:left="14"/>
              <w:jc w:val="center"/>
              <w:rPr>
                <w:sz w:val="18"/>
              </w:rPr>
            </w:pPr>
            <w:r w:rsidRPr="00364545">
              <w:rPr>
                <w:sz w:val="18"/>
              </w:rPr>
              <w:t>-71</w:t>
            </w:r>
            <w:r w:rsidRPr="00364545">
              <w:rPr>
                <w:rFonts w:ascii="Calibri" w:hAnsi="Calibri"/>
                <w:sz w:val="18"/>
              </w:rPr>
              <w:t> </w:t>
            </w:r>
            <w:r w:rsidRPr="00364545">
              <w:rPr>
                <w:sz w:val="18"/>
              </w:rPr>
              <w:t>260</w:t>
            </w:r>
          </w:p>
        </w:tc>
      </w:tr>
      <w:tr w:rsidR="00833524" w:rsidRPr="00364545" w14:paraId="0488DD66" w14:textId="77777777" w:rsidTr="00E56269">
        <w:trPr>
          <w:trHeight w:val="347"/>
        </w:trPr>
        <w:tc>
          <w:tcPr>
            <w:tcW w:w="1154" w:type="dxa"/>
            <w:tcBorders>
              <w:top w:val="single" w:sz="2" w:space="0" w:color="000000"/>
              <w:left w:val="single" w:sz="2" w:space="0" w:color="000000"/>
              <w:bottom w:val="single" w:sz="2" w:space="0" w:color="000000"/>
              <w:right w:val="single" w:sz="2" w:space="0" w:color="000000"/>
            </w:tcBorders>
          </w:tcPr>
          <w:p w14:paraId="5CF07096" w14:textId="77777777" w:rsidR="00833524" w:rsidRPr="00364545" w:rsidRDefault="00833524" w:rsidP="00E56269">
            <w:pPr>
              <w:spacing w:line="259" w:lineRule="auto"/>
            </w:pPr>
            <w:r w:rsidRPr="00364545">
              <w:rPr>
                <w:sz w:val="18"/>
              </w:rPr>
              <w:t xml:space="preserve">Waste </w:t>
            </w:r>
          </w:p>
        </w:tc>
        <w:tc>
          <w:tcPr>
            <w:tcW w:w="767" w:type="dxa"/>
            <w:tcBorders>
              <w:top w:val="single" w:sz="2" w:space="0" w:color="000000"/>
              <w:left w:val="single" w:sz="2" w:space="0" w:color="000000"/>
              <w:bottom w:val="single" w:sz="2" w:space="0" w:color="000000"/>
              <w:right w:val="single" w:sz="2" w:space="0" w:color="000000"/>
            </w:tcBorders>
            <w:vAlign w:val="center"/>
          </w:tcPr>
          <w:p w14:paraId="0F1C0B3A" w14:textId="77777777" w:rsidR="00833524" w:rsidRPr="00364545" w:rsidRDefault="00833524" w:rsidP="00E56269">
            <w:pPr>
              <w:spacing w:line="259" w:lineRule="auto"/>
              <w:ind w:left="14"/>
              <w:jc w:val="center"/>
              <w:rPr>
                <w:sz w:val="18"/>
              </w:rPr>
            </w:pPr>
            <w:r>
              <w:rPr>
                <w:sz w:val="18"/>
                <w:szCs w:val="18"/>
              </w:rPr>
              <w:t>2194</w:t>
            </w:r>
          </w:p>
        </w:tc>
        <w:tc>
          <w:tcPr>
            <w:tcW w:w="767" w:type="dxa"/>
            <w:tcBorders>
              <w:top w:val="single" w:sz="2" w:space="0" w:color="000000"/>
              <w:left w:val="single" w:sz="2" w:space="0" w:color="000000"/>
              <w:bottom w:val="single" w:sz="2" w:space="0" w:color="000000"/>
              <w:right w:val="single" w:sz="2" w:space="0" w:color="000000"/>
            </w:tcBorders>
            <w:vAlign w:val="center"/>
          </w:tcPr>
          <w:p w14:paraId="41E776A7" w14:textId="77777777" w:rsidR="00833524" w:rsidRPr="00364545" w:rsidRDefault="00833524" w:rsidP="00E56269">
            <w:pPr>
              <w:spacing w:line="259" w:lineRule="auto"/>
              <w:ind w:left="14"/>
              <w:jc w:val="center"/>
              <w:rPr>
                <w:sz w:val="18"/>
              </w:rPr>
            </w:pPr>
            <w:r>
              <w:rPr>
                <w:sz w:val="18"/>
                <w:szCs w:val="18"/>
              </w:rPr>
              <w:t>2223</w:t>
            </w:r>
          </w:p>
        </w:tc>
        <w:tc>
          <w:tcPr>
            <w:tcW w:w="767" w:type="dxa"/>
            <w:tcBorders>
              <w:top w:val="single" w:sz="2" w:space="0" w:color="000000"/>
              <w:left w:val="single" w:sz="2" w:space="0" w:color="000000"/>
              <w:bottom w:val="single" w:sz="2" w:space="0" w:color="000000"/>
              <w:right w:val="single" w:sz="2" w:space="0" w:color="000000"/>
            </w:tcBorders>
            <w:vAlign w:val="center"/>
          </w:tcPr>
          <w:p w14:paraId="67BFC28D" w14:textId="77777777" w:rsidR="00833524" w:rsidRPr="00364545" w:rsidRDefault="00833524" w:rsidP="00E56269">
            <w:pPr>
              <w:spacing w:line="259" w:lineRule="auto"/>
              <w:ind w:left="14"/>
              <w:jc w:val="center"/>
              <w:rPr>
                <w:sz w:val="18"/>
              </w:rPr>
            </w:pPr>
            <w:r>
              <w:rPr>
                <w:sz w:val="18"/>
                <w:szCs w:val="18"/>
              </w:rPr>
              <w:t>1704</w:t>
            </w:r>
          </w:p>
        </w:tc>
        <w:tc>
          <w:tcPr>
            <w:tcW w:w="750" w:type="dxa"/>
            <w:tcBorders>
              <w:top w:val="single" w:sz="2" w:space="0" w:color="000000"/>
              <w:left w:val="single" w:sz="2" w:space="0" w:color="000000"/>
              <w:bottom w:val="single" w:sz="2" w:space="0" w:color="000000"/>
              <w:right w:val="single" w:sz="2" w:space="0" w:color="000000"/>
            </w:tcBorders>
            <w:vAlign w:val="center"/>
          </w:tcPr>
          <w:p w14:paraId="42978BEA" w14:textId="77777777" w:rsidR="00833524" w:rsidRPr="00364545" w:rsidRDefault="00833524" w:rsidP="00E56269">
            <w:pPr>
              <w:spacing w:line="259" w:lineRule="auto"/>
              <w:ind w:left="14"/>
              <w:jc w:val="center"/>
              <w:rPr>
                <w:sz w:val="18"/>
              </w:rPr>
            </w:pPr>
            <w:r>
              <w:rPr>
                <w:sz w:val="18"/>
                <w:szCs w:val="18"/>
              </w:rPr>
              <w:t>1549</w:t>
            </w:r>
          </w:p>
        </w:tc>
        <w:tc>
          <w:tcPr>
            <w:tcW w:w="766" w:type="dxa"/>
            <w:tcBorders>
              <w:top w:val="single" w:sz="2" w:space="0" w:color="000000"/>
              <w:left w:val="single" w:sz="2" w:space="0" w:color="000000"/>
              <w:bottom w:val="single" w:sz="2" w:space="0" w:color="000000"/>
              <w:right w:val="single" w:sz="2" w:space="0" w:color="000000"/>
            </w:tcBorders>
            <w:vAlign w:val="center"/>
          </w:tcPr>
          <w:p w14:paraId="4ADF710A" w14:textId="77777777" w:rsidR="00833524" w:rsidRPr="00364545" w:rsidRDefault="00833524" w:rsidP="00E56269">
            <w:pPr>
              <w:spacing w:line="259" w:lineRule="auto"/>
              <w:ind w:left="14"/>
              <w:jc w:val="center"/>
              <w:rPr>
                <w:sz w:val="18"/>
              </w:rPr>
            </w:pPr>
            <w:r>
              <w:rPr>
                <w:sz w:val="18"/>
                <w:szCs w:val="18"/>
              </w:rPr>
              <w:t>1608</w:t>
            </w:r>
          </w:p>
        </w:tc>
        <w:tc>
          <w:tcPr>
            <w:tcW w:w="766" w:type="dxa"/>
            <w:tcBorders>
              <w:top w:val="single" w:sz="2" w:space="0" w:color="000000"/>
              <w:left w:val="single" w:sz="2" w:space="0" w:color="000000"/>
              <w:bottom w:val="single" w:sz="2" w:space="0" w:color="000000"/>
              <w:right w:val="single" w:sz="2" w:space="0" w:color="000000"/>
            </w:tcBorders>
            <w:vAlign w:val="center"/>
          </w:tcPr>
          <w:p w14:paraId="79006F16" w14:textId="77777777" w:rsidR="00833524" w:rsidRPr="00364545" w:rsidRDefault="00833524" w:rsidP="00E56269">
            <w:pPr>
              <w:spacing w:line="259" w:lineRule="auto"/>
              <w:ind w:left="14"/>
              <w:jc w:val="center"/>
              <w:rPr>
                <w:sz w:val="18"/>
              </w:rPr>
            </w:pPr>
            <w:r>
              <w:rPr>
                <w:sz w:val="18"/>
                <w:szCs w:val="18"/>
              </w:rPr>
              <w:t>1542</w:t>
            </w:r>
          </w:p>
        </w:tc>
        <w:tc>
          <w:tcPr>
            <w:tcW w:w="471" w:type="dxa"/>
            <w:tcBorders>
              <w:top w:val="single" w:sz="2" w:space="0" w:color="000000"/>
              <w:left w:val="single" w:sz="2" w:space="0" w:color="000000"/>
              <w:bottom w:val="single" w:sz="2" w:space="0" w:color="000000"/>
              <w:right w:val="single" w:sz="2" w:space="0" w:color="000000"/>
            </w:tcBorders>
            <w:vAlign w:val="center"/>
          </w:tcPr>
          <w:p w14:paraId="20B292C2" w14:textId="77777777" w:rsidR="00833524" w:rsidRPr="00364545" w:rsidRDefault="00833524" w:rsidP="00E56269">
            <w:pPr>
              <w:spacing w:line="259" w:lineRule="auto"/>
              <w:ind w:left="14"/>
              <w:jc w:val="center"/>
              <w:rPr>
                <w:sz w:val="18"/>
              </w:rPr>
            </w:pPr>
            <w:r>
              <w:rPr>
                <w:sz w:val="18"/>
                <w:szCs w:val="18"/>
              </w:rPr>
              <w:t>1738</w:t>
            </w:r>
          </w:p>
        </w:tc>
        <w:tc>
          <w:tcPr>
            <w:tcW w:w="766" w:type="dxa"/>
            <w:tcBorders>
              <w:top w:val="single" w:sz="2" w:space="0" w:color="000000"/>
              <w:left w:val="single" w:sz="2" w:space="0" w:color="000000"/>
              <w:bottom w:val="single" w:sz="2" w:space="0" w:color="000000"/>
              <w:right w:val="single" w:sz="2" w:space="0" w:color="000000"/>
            </w:tcBorders>
            <w:vAlign w:val="center"/>
          </w:tcPr>
          <w:p w14:paraId="7DB4E860"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c>
          <w:tcPr>
            <w:tcW w:w="766" w:type="dxa"/>
            <w:tcBorders>
              <w:top w:val="single" w:sz="2" w:space="0" w:color="000000"/>
              <w:left w:val="single" w:sz="2" w:space="0" w:color="000000"/>
              <w:bottom w:val="single" w:sz="2" w:space="0" w:color="000000"/>
              <w:right w:val="single" w:sz="2" w:space="0" w:color="000000"/>
            </w:tcBorders>
            <w:vAlign w:val="center"/>
          </w:tcPr>
          <w:p w14:paraId="2043AB28"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c>
          <w:tcPr>
            <w:tcW w:w="766" w:type="dxa"/>
            <w:tcBorders>
              <w:top w:val="single" w:sz="2" w:space="0" w:color="000000"/>
              <w:left w:val="single" w:sz="2" w:space="0" w:color="000000"/>
              <w:bottom w:val="single" w:sz="2" w:space="0" w:color="000000"/>
              <w:right w:val="single" w:sz="2" w:space="0" w:color="000000"/>
            </w:tcBorders>
            <w:vAlign w:val="center"/>
          </w:tcPr>
          <w:p w14:paraId="5F09CFCE"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c>
          <w:tcPr>
            <w:tcW w:w="750" w:type="dxa"/>
            <w:tcBorders>
              <w:top w:val="single" w:sz="2" w:space="0" w:color="000000"/>
              <w:left w:val="single" w:sz="2" w:space="0" w:color="000000"/>
              <w:bottom w:val="single" w:sz="2" w:space="0" w:color="000000"/>
              <w:right w:val="single" w:sz="2" w:space="0" w:color="000000"/>
            </w:tcBorders>
            <w:vAlign w:val="center"/>
          </w:tcPr>
          <w:p w14:paraId="16760D78"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c>
          <w:tcPr>
            <w:tcW w:w="678" w:type="dxa"/>
            <w:tcBorders>
              <w:top w:val="single" w:sz="2" w:space="0" w:color="000000"/>
              <w:left w:val="single" w:sz="2" w:space="0" w:color="000000"/>
              <w:bottom w:val="single" w:sz="2" w:space="0" w:color="000000"/>
              <w:right w:val="single" w:sz="2" w:space="0" w:color="000000"/>
            </w:tcBorders>
            <w:vAlign w:val="center"/>
          </w:tcPr>
          <w:p w14:paraId="49EF8331" w14:textId="77777777" w:rsidR="00833524" w:rsidRPr="00364545" w:rsidRDefault="00833524" w:rsidP="00E56269">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r>
      <w:tr w:rsidR="00833524" w:rsidRPr="00364545" w14:paraId="63BE4C82" w14:textId="77777777" w:rsidTr="00E56269">
        <w:trPr>
          <w:trHeight w:val="344"/>
        </w:trPr>
        <w:tc>
          <w:tcPr>
            <w:tcW w:w="1154" w:type="dxa"/>
            <w:tcBorders>
              <w:top w:val="single" w:sz="2" w:space="0" w:color="000000"/>
              <w:left w:val="single" w:sz="2" w:space="0" w:color="000000"/>
              <w:bottom w:val="single" w:sz="2" w:space="0" w:color="000000"/>
              <w:right w:val="single" w:sz="2" w:space="0" w:color="000000"/>
            </w:tcBorders>
            <w:shd w:val="clear" w:color="auto" w:fill="ECE6E2"/>
          </w:tcPr>
          <w:p w14:paraId="11A2496E" w14:textId="77777777" w:rsidR="00833524" w:rsidRPr="00364545" w:rsidRDefault="00833524" w:rsidP="00E56269">
            <w:pPr>
              <w:spacing w:line="259" w:lineRule="auto"/>
            </w:pPr>
            <w:r w:rsidRPr="00364545">
              <w:rPr>
                <w:b/>
                <w:sz w:val="18"/>
              </w:rPr>
              <w:t xml:space="preserve">Ensemble (hors UTCF) </w:t>
            </w:r>
          </w:p>
        </w:tc>
        <w:tc>
          <w:tcPr>
            <w:tcW w:w="7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E7BD5B" w14:textId="77777777" w:rsidR="00833524" w:rsidRPr="00364545" w:rsidRDefault="00833524" w:rsidP="00E56269">
            <w:pPr>
              <w:spacing w:line="259" w:lineRule="auto"/>
              <w:ind w:left="14"/>
              <w:jc w:val="center"/>
              <w:rPr>
                <w:b/>
                <w:sz w:val="18"/>
              </w:rPr>
            </w:pPr>
            <w:r w:rsidRPr="00944589">
              <w:rPr>
                <w:b/>
                <w:sz w:val="18"/>
                <w:szCs w:val="18"/>
              </w:rPr>
              <w:t>398425</w:t>
            </w:r>
          </w:p>
        </w:tc>
        <w:tc>
          <w:tcPr>
            <w:tcW w:w="7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580EF8" w14:textId="77777777" w:rsidR="00833524" w:rsidRPr="00364545" w:rsidRDefault="00833524" w:rsidP="00E56269">
            <w:pPr>
              <w:spacing w:line="259" w:lineRule="auto"/>
              <w:ind w:left="14"/>
              <w:jc w:val="center"/>
              <w:rPr>
                <w:b/>
                <w:sz w:val="18"/>
              </w:rPr>
            </w:pPr>
            <w:r w:rsidRPr="00944589">
              <w:rPr>
                <w:b/>
                <w:sz w:val="18"/>
                <w:szCs w:val="18"/>
              </w:rPr>
              <w:t>392916</w:t>
            </w:r>
          </w:p>
        </w:tc>
        <w:tc>
          <w:tcPr>
            <w:tcW w:w="7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4321CD" w14:textId="77777777" w:rsidR="00833524" w:rsidRPr="00364545" w:rsidRDefault="00833524" w:rsidP="00E56269">
            <w:pPr>
              <w:spacing w:line="259" w:lineRule="auto"/>
              <w:ind w:left="14"/>
              <w:jc w:val="center"/>
              <w:rPr>
                <w:b/>
                <w:sz w:val="18"/>
              </w:rPr>
            </w:pPr>
            <w:r w:rsidRPr="00944589">
              <w:rPr>
                <w:b/>
                <w:sz w:val="18"/>
                <w:szCs w:val="18"/>
              </w:rPr>
              <w:t>414788</w:t>
            </w:r>
          </w:p>
        </w:tc>
        <w:tc>
          <w:tcPr>
            <w:tcW w:w="7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7489EA" w14:textId="77777777" w:rsidR="00833524" w:rsidRPr="00364545" w:rsidRDefault="00833524" w:rsidP="00E56269">
            <w:pPr>
              <w:spacing w:line="259" w:lineRule="auto"/>
              <w:ind w:left="14"/>
              <w:jc w:val="center"/>
              <w:rPr>
                <w:b/>
                <w:sz w:val="18"/>
              </w:rPr>
            </w:pPr>
            <w:r w:rsidRPr="00944589">
              <w:rPr>
                <w:b/>
                <w:sz w:val="18"/>
                <w:szCs w:val="18"/>
              </w:rPr>
              <w:t>425444</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DBCB0B" w14:textId="77777777" w:rsidR="00833524" w:rsidRPr="00364545" w:rsidRDefault="00833524" w:rsidP="00E56269">
            <w:pPr>
              <w:spacing w:line="259" w:lineRule="auto"/>
              <w:ind w:left="14"/>
              <w:jc w:val="center"/>
              <w:rPr>
                <w:b/>
                <w:sz w:val="18"/>
              </w:rPr>
            </w:pPr>
            <w:r w:rsidRPr="00944589">
              <w:rPr>
                <w:b/>
                <w:sz w:val="18"/>
                <w:szCs w:val="18"/>
              </w:rPr>
              <w:t>386872</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095A8F" w14:textId="77777777" w:rsidR="00833524" w:rsidRPr="00364545" w:rsidRDefault="00833524" w:rsidP="00E56269">
            <w:pPr>
              <w:spacing w:line="259" w:lineRule="auto"/>
              <w:ind w:left="14"/>
              <w:jc w:val="center"/>
              <w:rPr>
                <w:b/>
                <w:sz w:val="18"/>
              </w:rPr>
            </w:pPr>
            <w:r w:rsidRPr="00944589">
              <w:rPr>
                <w:b/>
                <w:sz w:val="18"/>
                <w:szCs w:val="18"/>
              </w:rPr>
              <w:t>341631</w:t>
            </w:r>
          </w:p>
        </w:tc>
        <w:tc>
          <w:tcPr>
            <w:tcW w:w="47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E3F991" w14:textId="77777777" w:rsidR="00833524" w:rsidRPr="00364545" w:rsidRDefault="00833524" w:rsidP="00E56269">
            <w:pPr>
              <w:spacing w:line="259" w:lineRule="auto"/>
              <w:ind w:left="14"/>
              <w:jc w:val="center"/>
              <w:rPr>
                <w:b/>
                <w:sz w:val="18"/>
              </w:rPr>
            </w:pPr>
            <w:r w:rsidRPr="00944589">
              <w:rPr>
                <w:b/>
                <w:sz w:val="18"/>
                <w:szCs w:val="18"/>
              </w:rPr>
              <w:t>326725</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E9EC72" w14:textId="77777777" w:rsidR="00833524" w:rsidRPr="00364545" w:rsidRDefault="00833524" w:rsidP="00E56269">
            <w:pPr>
              <w:spacing w:line="259" w:lineRule="auto"/>
              <w:ind w:left="14"/>
              <w:jc w:val="center"/>
              <w:rPr>
                <w:b/>
                <w:sz w:val="18"/>
              </w:rPr>
            </w:pPr>
            <w:r w:rsidRPr="00364545">
              <w:rPr>
                <w:b/>
                <w:sz w:val="18"/>
              </w:rPr>
              <w:t>325</w:t>
            </w:r>
            <w:r w:rsidRPr="00364545">
              <w:rPr>
                <w:rFonts w:ascii="Calibri" w:hAnsi="Calibri"/>
                <w:b/>
                <w:sz w:val="18"/>
              </w:rPr>
              <w:t> </w:t>
            </w:r>
            <w:r w:rsidRPr="00364545">
              <w:rPr>
                <w:b/>
                <w:sz w:val="18"/>
              </w:rPr>
              <w:t>904</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2090CD" w14:textId="77777777" w:rsidR="00833524" w:rsidRPr="00364545" w:rsidRDefault="00833524" w:rsidP="00E56269">
            <w:pPr>
              <w:spacing w:line="259" w:lineRule="auto"/>
              <w:ind w:left="14"/>
              <w:jc w:val="center"/>
              <w:rPr>
                <w:b/>
                <w:sz w:val="18"/>
              </w:rPr>
            </w:pPr>
            <w:r w:rsidRPr="00364545">
              <w:rPr>
                <w:b/>
                <w:sz w:val="18"/>
              </w:rPr>
              <w:t>273</w:t>
            </w:r>
            <w:r w:rsidRPr="00364545">
              <w:rPr>
                <w:rFonts w:ascii="Calibri" w:hAnsi="Calibri"/>
                <w:b/>
                <w:sz w:val="18"/>
              </w:rPr>
              <w:t> </w:t>
            </w:r>
            <w:r w:rsidRPr="00364545">
              <w:rPr>
                <w:b/>
                <w:sz w:val="18"/>
              </w:rPr>
              <w:t>167</w:t>
            </w:r>
          </w:p>
        </w:tc>
        <w:tc>
          <w:tcPr>
            <w:tcW w:w="7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5FFBF1" w14:textId="77777777" w:rsidR="00833524" w:rsidRPr="00364545" w:rsidRDefault="00833524" w:rsidP="00E56269">
            <w:pPr>
              <w:spacing w:line="259" w:lineRule="auto"/>
              <w:ind w:left="14"/>
              <w:jc w:val="center"/>
              <w:rPr>
                <w:b/>
                <w:sz w:val="18"/>
              </w:rPr>
            </w:pPr>
            <w:r w:rsidRPr="00364545">
              <w:rPr>
                <w:b/>
                <w:sz w:val="18"/>
              </w:rPr>
              <w:t>220</w:t>
            </w:r>
            <w:r w:rsidRPr="00364545">
              <w:rPr>
                <w:rFonts w:ascii="Calibri" w:hAnsi="Calibri"/>
                <w:b/>
                <w:sz w:val="18"/>
              </w:rPr>
              <w:t> </w:t>
            </w:r>
            <w:r w:rsidRPr="00364545">
              <w:rPr>
                <w:b/>
                <w:sz w:val="18"/>
              </w:rPr>
              <w:t>992</w:t>
            </w:r>
          </w:p>
        </w:tc>
        <w:tc>
          <w:tcPr>
            <w:tcW w:w="7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50FC81" w14:textId="77777777" w:rsidR="00833524" w:rsidRPr="00364545" w:rsidRDefault="00833524" w:rsidP="00E56269">
            <w:pPr>
              <w:spacing w:line="259" w:lineRule="auto"/>
              <w:ind w:left="14"/>
              <w:jc w:val="center"/>
              <w:rPr>
                <w:b/>
                <w:sz w:val="18"/>
              </w:rPr>
            </w:pPr>
            <w:r w:rsidRPr="00364545">
              <w:rPr>
                <w:b/>
                <w:sz w:val="18"/>
              </w:rPr>
              <w:t>167</w:t>
            </w:r>
            <w:r w:rsidRPr="00364545">
              <w:rPr>
                <w:rFonts w:ascii="Calibri" w:hAnsi="Calibri"/>
                <w:b/>
                <w:sz w:val="18"/>
              </w:rPr>
              <w:t> </w:t>
            </w:r>
            <w:r w:rsidRPr="00364545">
              <w:rPr>
                <w:b/>
                <w:sz w:val="18"/>
              </w:rPr>
              <w:t>257</w:t>
            </w:r>
          </w:p>
        </w:tc>
        <w:tc>
          <w:tcPr>
            <w:tcW w:w="67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F3C44B" w14:textId="77777777" w:rsidR="00833524" w:rsidRPr="00364545" w:rsidRDefault="00833524" w:rsidP="00E56269">
            <w:pPr>
              <w:spacing w:line="259" w:lineRule="auto"/>
              <w:ind w:left="14"/>
              <w:jc w:val="center"/>
              <w:rPr>
                <w:b/>
                <w:sz w:val="18"/>
              </w:rPr>
            </w:pPr>
            <w:r w:rsidRPr="00364545">
              <w:rPr>
                <w:b/>
                <w:sz w:val="18"/>
              </w:rPr>
              <w:t>6</w:t>
            </w:r>
            <w:r w:rsidRPr="00364545">
              <w:rPr>
                <w:rFonts w:ascii="Calibri" w:hAnsi="Calibri"/>
                <w:b/>
                <w:sz w:val="18"/>
              </w:rPr>
              <w:t> </w:t>
            </w:r>
            <w:r w:rsidRPr="00364545">
              <w:rPr>
                <w:b/>
                <w:sz w:val="18"/>
              </w:rPr>
              <w:t>447</w:t>
            </w:r>
          </w:p>
        </w:tc>
      </w:tr>
      <w:tr w:rsidR="00833524" w:rsidRPr="00364545" w14:paraId="368DB354" w14:textId="77777777" w:rsidTr="00E56269">
        <w:trPr>
          <w:trHeight w:val="344"/>
        </w:trPr>
        <w:tc>
          <w:tcPr>
            <w:tcW w:w="1154" w:type="dxa"/>
            <w:tcBorders>
              <w:top w:val="single" w:sz="2" w:space="0" w:color="000000"/>
              <w:left w:val="single" w:sz="2" w:space="0" w:color="000000"/>
              <w:bottom w:val="single" w:sz="2" w:space="0" w:color="000000"/>
              <w:right w:val="single" w:sz="2" w:space="0" w:color="000000"/>
            </w:tcBorders>
          </w:tcPr>
          <w:p w14:paraId="1689FA36" w14:textId="77777777" w:rsidR="00833524" w:rsidRPr="00364545" w:rsidRDefault="00833524" w:rsidP="00E56269">
            <w:pPr>
              <w:spacing w:line="259" w:lineRule="auto"/>
            </w:pPr>
            <w:r w:rsidRPr="00364545">
              <w:rPr>
                <w:b/>
                <w:sz w:val="18"/>
              </w:rPr>
              <w:t xml:space="preserve">Ensemble (avec UTCF) </w:t>
            </w:r>
          </w:p>
        </w:tc>
        <w:tc>
          <w:tcPr>
            <w:tcW w:w="767" w:type="dxa"/>
            <w:tcBorders>
              <w:top w:val="single" w:sz="2" w:space="0" w:color="000000"/>
              <w:left w:val="single" w:sz="2" w:space="0" w:color="000000"/>
              <w:bottom w:val="single" w:sz="2" w:space="0" w:color="000000"/>
              <w:right w:val="single" w:sz="2" w:space="0" w:color="000000"/>
            </w:tcBorders>
            <w:vAlign w:val="center"/>
          </w:tcPr>
          <w:p w14:paraId="46509B12" w14:textId="77777777" w:rsidR="00833524" w:rsidRPr="00364545" w:rsidRDefault="00833524" w:rsidP="00E56269">
            <w:pPr>
              <w:spacing w:line="259" w:lineRule="auto"/>
              <w:ind w:left="14"/>
              <w:jc w:val="center"/>
              <w:rPr>
                <w:b/>
                <w:sz w:val="18"/>
              </w:rPr>
            </w:pPr>
            <w:r w:rsidRPr="00944589">
              <w:rPr>
                <w:b/>
                <w:sz w:val="18"/>
                <w:szCs w:val="18"/>
              </w:rPr>
              <w:t>370280</w:t>
            </w:r>
          </w:p>
        </w:tc>
        <w:tc>
          <w:tcPr>
            <w:tcW w:w="767" w:type="dxa"/>
            <w:tcBorders>
              <w:top w:val="single" w:sz="2" w:space="0" w:color="000000"/>
              <w:left w:val="single" w:sz="2" w:space="0" w:color="000000"/>
              <w:bottom w:val="single" w:sz="2" w:space="0" w:color="000000"/>
              <w:right w:val="single" w:sz="2" w:space="0" w:color="000000"/>
            </w:tcBorders>
            <w:vAlign w:val="center"/>
          </w:tcPr>
          <w:p w14:paraId="1D59D6E3" w14:textId="77777777" w:rsidR="00833524" w:rsidRPr="00364545" w:rsidRDefault="00833524" w:rsidP="00E56269">
            <w:pPr>
              <w:spacing w:line="259" w:lineRule="auto"/>
              <w:ind w:left="14"/>
              <w:jc w:val="center"/>
              <w:rPr>
                <w:b/>
                <w:sz w:val="18"/>
              </w:rPr>
            </w:pPr>
            <w:r w:rsidRPr="00944589">
              <w:rPr>
                <w:b/>
                <w:sz w:val="18"/>
                <w:szCs w:val="18"/>
              </w:rPr>
              <w:t>361121</w:t>
            </w:r>
          </w:p>
        </w:tc>
        <w:tc>
          <w:tcPr>
            <w:tcW w:w="767" w:type="dxa"/>
            <w:tcBorders>
              <w:top w:val="single" w:sz="2" w:space="0" w:color="000000"/>
              <w:left w:val="single" w:sz="2" w:space="0" w:color="000000"/>
              <w:bottom w:val="single" w:sz="2" w:space="0" w:color="000000"/>
              <w:right w:val="single" w:sz="2" w:space="0" w:color="000000"/>
            </w:tcBorders>
            <w:vAlign w:val="center"/>
          </w:tcPr>
          <w:p w14:paraId="1A9571AC" w14:textId="77777777" w:rsidR="00833524" w:rsidRPr="00364545" w:rsidRDefault="00833524" w:rsidP="00E56269">
            <w:pPr>
              <w:spacing w:line="259" w:lineRule="auto"/>
              <w:ind w:left="14"/>
              <w:jc w:val="center"/>
              <w:rPr>
                <w:b/>
                <w:sz w:val="18"/>
              </w:rPr>
            </w:pPr>
            <w:r w:rsidRPr="00944589">
              <w:rPr>
                <w:b/>
                <w:sz w:val="18"/>
                <w:szCs w:val="18"/>
              </w:rPr>
              <w:t>390194</w:t>
            </w:r>
          </w:p>
        </w:tc>
        <w:tc>
          <w:tcPr>
            <w:tcW w:w="750" w:type="dxa"/>
            <w:tcBorders>
              <w:top w:val="single" w:sz="2" w:space="0" w:color="000000"/>
              <w:left w:val="single" w:sz="2" w:space="0" w:color="000000"/>
              <w:bottom w:val="single" w:sz="2" w:space="0" w:color="000000"/>
              <w:right w:val="single" w:sz="2" w:space="0" w:color="000000"/>
            </w:tcBorders>
            <w:vAlign w:val="center"/>
          </w:tcPr>
          <w:p w14:paraId="72369797" w14:textId="77777777" w:rsidR="00833524" w:rsidRPr="00364545" w:rsidRDefault="00833524" w:rsidP="00E56269">
            <w:pPr>
              <w:spacing w:line="259" w:lineRule="auto"/>
              <w:ind w:left="14"/>
              <w:jc w:val="center"/>
              <w:rPr>
                <w:b/>
                <w:sz w:val="18"/>
              </w:rPr>
            </w:pPr>
            <w:r w:rsidRPr="00944589">
              <w:rPr>
                <w:b/>
                <w:sz w:val="18"/>
                <w:szCs w:val="18"/>
              </w:rPr>
              <w:t>373972</w:t>
            </w:r>
          </w:p>
        </w:tc>
        <w:tc>
          <w:tcPr>
            <w:tcW w:w="766" w:type="dxa"/>
            <w:tcBorders>
              <w:top w:val="single" w:sz="2" w:space="0" w:color="000000"/>
              <w:left w:val="single" w:sz="2" w:space="0" w:color="000000"/>
              <w:bottom w:val="single" w:sz="2" w:space="0" w:color="000000"/>
              <w:right w:val="single" w:sz="2" w:space="0" w:color="000000"/>
            </w:tcBorders>
            <w:vAlign w:val="center"/>
          </w:tcPr>
          <w:p w14:paraId="33628054" w14:textId="77777777" w:rsidR="00833524" w:rsidRPr="00364545" w:rsidRDefault="00833524" w:rsidP="00E56269">
            <w:pPr>
              <w:spacing w:line="259" w:lineRule="auto"/>
              <w:ind w:left="14"/>
              <w:jc w:val="center"/>
              <w:rPr>
                <w:b/>
                <w:sz w:val="18"/>
              </w:rPr>
            </w:pPr>
            <w:r w:rsidRPr="00944589">
              <w:rPr>
                <w:b/>
                <w:sz w:val="18"/>
                <w:szCs w:val="18"/>
              </w:rPr>
              <w:t>344171</w:t>
            </w:r>
          </w:p>
        </w:tc>
        <w:tc>
          <w:tcPr>
            <w:tcW w:w="766" w:type="dxa"/>
            <w:tcBorders>
              <w:top w:val="single" w:sz="2" w:space="0" w:color="000000"/>
              <w:left w:val="single" w:sz="2" w:space="0" w:color="000000"/>
              <w:bottom w:val="single" w:sz="2" w:space="0" w:color="000000"/>
              <w:right w:val="single" w:sz="2" w:space="0" w:color="000000"/>
            </w:tcBorders>
            <w:vAlign w:val="center"/>
          </w:tcPr>
          <w:p w14:paraId="64E1F5BF" w14:textId="77777777" w:rsidR="00833524" w:rsidRPr="00364545" w:rsidRDefault="00833524" w:rsidP="00E56269">
            <w:pPr>
              <w:spacing w:line="259" w:lineRule="auto"/>
              <w:ind w:left="14"/>
              <w:jc w:val="center"/>
              <w:rPr>
                <w:b/>
                <w:sz w:val="18"/>
              </w:rPr>
            </w:pPr>
            <w:r w:rsidRPr="00944589">
              <w:rPr>
                <w:b/>
                <w:sz w:val="18"/>
                <w:szCs w:val="18"/>
              </w:rPr>
              <w:t>303032</w:t>
            </w:r>
          </w:p>
        </w:tc>
        <w:tc>
          <w:tcPr>
            <w:tcW w:w="471" w:type="dxa"/>
            <w:tcBorders>
              <w:top w:val="single" w:sz="2" w:space="0" w:color="000000"/>
              <w:left w:val="single" w:sz="2" w:space="0" w:color="000000"/>
              <w:bottom w:val="single" w:sz="2" w:space="0" w:color="000000"/>
              <w:right w:val="single" w:sz="2" w:space="0" w:color="000000"/>
            </w:tcBorders>
            <w:vAlign w:val="center"/>
          </w:tcPr>
          <w:p w14:paraId="4B9D9B6B" w14:textId="77777777" w:rsidR="00833524" w:rsidRPr="00364545" w:rsidRDefault="00833524" w:rsidP="00E56269">
            <w:pPr>
              <w:spacing w:line="259" w:lineRule="auto"/>
              <w:ind w:left="14"/>
              <w:jc w:val="center"/>
              <w:rPr>
                <w:b/>
                <w:sz w:val="18"/>
              </w:rPr>
            </w:pPr>
            <w:r w:rsidRPr="00944589">
              <w:rPr>
                <w:b/>
                <w:sz w:val="18"/>
                <w:szCs w:val="18"/>
              </w:rPr>
              <w:t>310432</w:t>
            </w:r>
          </w:p>
        </w:tc>
        <w:tc>
          <w:tcPr>
            <w:tcW w:w="766" w:type="dxa"/>
            <w:tcBorders>
              <w:top w:val="single" w:sz="2" w:space="0" w:color="000000"/>
              <w:left w:val="single" w:sz="2" w:space="0" w:color="000000"/>
              <w:bottom w:val="single" w:sz="2" w:space="0" w:color="000000"/>
              <w:right w:val="single" w:sz="2" w:space="0" w:color="000000"/>
            </w:tcBorders>
            <w:vAlign w:val="center"/>
          </w:tcPr>
          <w:p w14:paraId="78603B73" w14:textId="77777777" w:rsidR="00833524" w:rsidRPr="00364545" w:rsidRDefault="00833524" w:rsidP="00E56269">
            <w:pPr>
              <w:spacing w:line="259" w:lineRule="auto"/>
              <w:ind w:left="14"/>
              <w:jc w:val="center"/>
              <w:rPr>
                <w:b/>
                <w:sz w:val="18"/>
              </w:rPr>
            </w:pPr>
            <w:r w:rsidRPr="00364545">
              <w:rPr>
                <w:b/>
                <w:sz w:val="18"/>
              </w:rPr>
              <w:t>282</w:t>
            </w:r>
            <w:r w:rsidRPr="00364545">
              <w:rPr>
                <w:rFonts w:ascii="Calibri" w:hAnsi="Calibri"/>
                <w:b/>
                <w:sz w:val="18"/>
              </w:rPr>
              <w:t> </w:t>
            </w:r>
            <w:r w:rsidRPr="00364545">
              <w:rPr>
                <w:b/>
                <w:sz w:val="18"/>
              </w:rPr>
              <w:t>686</w:t>
            </w:r>
          </w:p>
        </w:tc>
        <w:tc>
          <w:tcPr>
            <w:tcW w:w="766" w:type="dxa"/>
            <w:tcBorders>
              <w:top w:val="single" w:sz="2" w:space="0" w:color="000000"/>
              <w:left w:val="single" w:sz="2" w:space="0" w:color="000000"/>
              <w:bottom w:val="single" w:sz="2" w:space="0" w:color="000000"/>
              <w:right w:val="single" w:sz="2" w:space="0" w:color="000000"/>
            </w:tcBorders>
            <w:vAlign w:val="center"/>
          </w:tcPr>
          <w:p w14:paraId="1ED593FB" w14:textId="77777777" w:rsidR="00833524" w:rsidRPr="00364545" w:rsidRDefault="00833524" w:rsidP="00E56269">
            <w:pPr>
              <w:spacing w:line="259" w:lineRule="auto"/>
              <w:ind w:left="14"/>
              <w:jc w:val="center"/>
              <w:rPr>
                <w:b/>
                <w:sz w:val="18"/>
              </w:rPr>
            </w:pPr>
            <w:r w:rsidRPr="00364545">
              <w:rPr>
                <w:b/>
                <w:sz w:val="18"/>
              </w:rPr>
              <w:t>231</w:t>
            </w:r>
            <w:r w:rsidRPr="00364545">
              <w:rPr>
                <w:rFonts w:ascii="Calibri" w:hAnsi="Calibri"/>
                <w:b/>
                <w:sz w:val="18"/>
              </w:rPr>
              <w:t> </w:t>
            </w:r>
            <w:r w:rsidRPr="00364545">
              <w:rPr>
                <w:b/>
                <w:sz w:val="18"/>
              </w:rPr>
              <w:t>264</w:t>
            </w:r>
          </w:p>
        </w:tc>
        <w:tc>
          <w:tcPr>
            <w:tcW w:w="766" w:type="dxa"/>
            <w:tcBorders>
              <w:top w:val="single" w:sz="2" w:space="0" w:color="000000"/>
              <w:left w:val="single" w:sz="2" w:space="0" w:color="000000"/>
              <w:bottom w:val="single" w:sz="2" w:space="0" w:color="000000"/>
              <w:right w:val="single" w:sz="2" w:space="0" w:color="000000"/>
            </w:tcBorders>
            <w:vAlign w:val="center"/>
          </w:tcPr>
          <w:p w14:paraId="029AB890" w14:textId="77777777" w:rsidR="00833524" w:rsidRPr="00364545" w:rsidRDefault="00833524" w:rsidP="00E56269">
            <w:pPr>
              <w:spacing w:line="259" w:lineRule="auto"/>
              <w:ind w:left="14"/>
              <w:jc w:val="center"/>
              <w:rPr>
                <w:b/>
                <w:sz w:val="18"/>
              </w:rPr>
            </w:pPr>
            <w:r w:rsidRPr="00364545">
              <w:rPr>
                <w:b/>
                <w:sz w:val="18"/>
              </w:rPr>
              <w:t>176</w:t>
            </w:r>
            <w:r w:rsidRPr="00364545">
              <w:rPr>
                <w:rFonts w:ascii="Calibri" w:hAnsi="Calibri"/>
                <w:b/>
                <w:sz w:val="18"/>
              </w:rPr>
              <w:t> </w:t>
            </w:r>
            <w:r w:rsidRPr="00364545">
              <w:rPr>
                <w:b/>
                <w:sz w:val="18"/>
              </w:rPr>
              <w:t>617</w:t>
            </w:r>
          </w:p>
        </w:tc>
        <w:tc>
          <w:tcPr>
            <w:tcW w:w="750" w:type="dxa"/>
            <w:tcBorders>
              <w:top w:val="single" w:sz="2" w:space="0" w:color="000000"/>
              <w:left w:val="single" w:sz="2" w:space="0" w:color="000000"/>
              <w:bottom w:val="single" w:sz="2" w:space="0" w:color="000000"/>
              <w:right w:val="single" w:sz="2" w:space="0" w:color="000000"/>
            </w:tcBorders>
            <w:vAlign w:val="center"/>
          </w:tcPr>
          <w:p w14:paraId="04A71E85" w14:textId="77777777" w:rsidR="00833524" w:rsidRPr="00364545" w:rsidRDefault="00833524" w:rsidP="00E56269">
            <w:pPr>
              <w:spacing w:line="259" w:lineRule="auto"/>
              <w:ind w:left="14"/>
              <w:jc w:val="center"/>
              <w:rPr>
                <w:b/>
                <w:sz w:val="18"/>
              </w:rPr>
            </w:pPr>
            <w:r w:rsidRPr="00364545">
              <w:rPr>
                <w:b/>
                <w:sz w:val="18"/>
              </w:rPr>
              <w:t>117</w:t>
            </w:r>
            <w:r w:rsidRPr="00364545">
              <w:rPr>
                <w:rFonts w:ascii="Calibri" w:hAnsi="Calibri"/>
                <w:b/>
                <w:sz w:val="18"/>
              </w:rPr>
              <w:t> </w:t>
            </w:r>
            <w:r w:rsidRPr="00364545">
              <w:rPr>
                <w:b/>
                <w:sz w:val="18"/>
              </w:rPr>
              <w:t>863</w:t>
            </w:r>
          </w:p>
        </w:tc>
        <w:tc>
          <w:tcPr>
            <w:tcW w:w="678" w:type="dxa"/>
            <w:tcBorders>
              <w:top w:val="single" w:sz="2" w:space="0" w:color="000000"/>
              <w:left w:val="single" w:sz="2" w:space="0" w:color="000000"/>
              <w:bottom w:val="single" w:sz="2" w:space="0" w:color="000000"/>
              <w:right w:val="single" w:sz="2" w:space="0" w:color="000000"/>
            </w:tcBorders>
            <w:vAlign w:val="center"/>
          </w:tcPr>
          <w:p w14:paraId="1A4A7C42" w14:textId="77777777" w:rsidR="00833524" w:rsidRPr="00364545" w:rsidRDefault="00833524" w:rsidP="00E56269">
            <w:pPr>
              <w:spacing w:line="259" w:lineRule="auto"/>
              <w:ind w:left="14"/>
              <w:jc w:val="center"/>
              <w:rPr>
                <w:b/>
                <w:sz w:val="18"/>
              </w:rPr>
            </w:pPr>
            <w:r w:rsidRPr="00364545">
              <w:rPr>
                <w:b/>
                <w:sz w:val="18"/>
              </w:rPr>
              <w:t>-64</w:t>
            </w:r>
            <w:r w:rsidRPr="00364545">
              <w:rPr>
                <w:rFonts w:ascii="Calibri" w:hAnsi="Calibri"/>
                <w:b/>
                <w:sz w:val="18"/>
              </w:rPr>
              <w:t> </w:t>
            </w:r>
            <w:r w:rsidRPr="00364545">
              <w:rPr>
                <w:b/>
                <w:sz w:val="18"/>
              </w:rPr>
              <w:t>813</w:t>
            </w:r>
          </w:p>
        </w:tc>
      </w:tr>
    </w:tbl>
    <w:p w14:paraId="7525736B" w14:textId="40CAD216" w:rsidR="00833524" w:rsidRPr="00364545" w:rsidRDefault="00833524" w:rsidP="00833524">
      <w:pPr>
        <w:pStyle w:val="Caption"/>
      </w:pPr>
      <w:r w:rsidRPr="00364545">
        <w:t xml:space="preserve">Table </w:t>
      </w:r>
      <w:fldSimple w:instr=" SEQ Tableau \* ARABIC ">
        <w:r w:rsidR="009A2FAA">
          <w:rPr>
            <w:noProof/>
          </w:rPr>
          <w:t>26</w:t>
        </w:r>
      </w:fldSimple>
      <w:r w:rsidRPr="00364545">
        <w:t>: CO</w:t>
      </w:r>
      <w:r w:rsidRPr="00364545">
        <w:rPr>
          <w:vertAlign w:val="subscript"/>
        </w:rPr>
        <w:t>2</w:t>
      </w:r>
      <w:r w:rsidRPr="00364545">
        <w:t xml:space="preserve"> emissions projections (in ktCO</w:t>
      </w:r>
      <w:r w:rsidRPr="00364545">
        <w:rPr>
          <w:vertAlign w:val="subscript"/>
        </w:rPr>
        <w:t>2e</w:t>
      </w:r>
      <w:r w:rsidRPr="00364545">
        <w:t>) in the Kyoto scope in the AMS 2018 scenario (with additional measures)</w:t>
      </w:r>
    </w:p>
    <w:p w14:paraId="38C9C68F" w14:textId="77777777" w:rsidR="00833524" w:rsidRPr="00364545" w:rsidRDefault="00833524" w:rsidP="00833524">
      <w:pPr>
        <w:pStyle w:val="Caption"/>
      </w:pPr>
      <w:r w:rsidRPr="00364545">
        <w:t>Source: U</w:t>
      </w:r>
      <w:r>
        <w:t>NFCCC inventory, Citepa/MTE, 2022</w:t>
      </w:r>
      <w:r w:rsidRPr="00364545">
        <w:t xml:space="preserve"> submission and MTE emission projections, 2018</w:t>
      </w:r>
    </w:p>
    <w:p w14:paraId="2FD32B00" w14:textId="77777777" w:rsidR="00833524" w:rsidRPr="00364545" w:rsidRDefault="00833524" w:rsidP="00833524"/>
    <w:p w14:paraId="53256AAD" w14:textId="77777777" w:rsidR="00833524" w:rsidRPr="00364545" w:rsidRDefault="00833524" w:rsidP="00833524"/>
    <w:tbl>
      <w:tblPr>
        <w:tblStyle w:val="TableGrid0"/>
        <w:tblW w:w="10683" w:type="dxa"/>
        <w:tblInd w:w="10" w:type="dxa"/>
        <w:tblLayout w:type="fixed"/>
        <w:tblCellMar>
          <w:top w:w="39" w:type="dxa"/>
          <w:left w:w="28" w:type="dxa"/>
          <w:bottom w:w="2" w:type="dxa"/>
          <w:right w:w="48" w:type="dxa"/>
        </w:tblCellMar>
        <w:tblLook w:val="04A0" w:firstRow="1" w:lastRow="0" w:firstColumn="1" w:lastColumn="0" w:noHBand="0" w:noVBand="1"/>
      </w:tblPr>
      <w:tblGrid>
        <w:gridCol w:w="1405"/>
        <w:gridCol w:w="773"/>
        <w:gridCol w:w="773"/>
        <w:gridCol w:w="773"/>
        <w:gridCol w:w="773"/>
        <w:gridCol w:w="773"/>
        <w:gridCol w:w="774"/>
        <w:gridCol w:w="773"/>
        <w:gridCol w:w="773"/>
        <w:gridCol w:w="773"/>
        <w:gridCol w:w="773"/>
        <w:gridCol w:w="773"/>
        <w:gridCol w:w="774"/>
      </w:tblGrid>
      <w:tr w:rsidR="00833524" w:rsidRPr="00364545" w14:paraId="18E94DB5" w14:textId="77777777" w:rsidTr="00E56269">
        <w:trPr>
          <w:trHeight w:val="402"/>
        </w:trPr>
        <w:tc>
          <w:tcPr>
            <w:tcW w:w="1405" w:type="dxa"/>
            <w:tcBorders>
              <w:top w:val="single" w:sz="2" w:space="0" w:color="000000"/>
              <w:left w:val="single" w:sz="2" w:space="0" w:color="000000"/>
              <w:bottom w:val="single" w:sz="2" w:space="0" w:color="000000"/>
              <w:right w:val="single" w:sz="2" w:space="0" w:color="000000"/>
            </w:tcBorders>
            <w:shd w:val="clear" w:color="auto" w:fill="6D2A78"/>
          </w:tcPr>
          <w:p w14:paraId="5D7A5A38" w14:textId="77777777" w:rsidR="00833524" w:rsidRPr="00364545" w:rsidRDefault="00833524" w:rsidP="00E56269">
            <w:pPr>
              <w:spacing w:line="259" w:lineRule="auto"/>
              <w:ind w:left="67"/>
              <w:jc w:val="left"/>
            </w:pPr>
            <w:r w:rsidRPr="00364545">
              <w:t>AMS 18 – CH</w:t>
            </w:r>
            <w:r w:rsidRPr="00364545">
              <w:rPr>
                <w:vertAlign w:val="subscript"/>
              </w:rPr>
              <w:t>4</w:t>
            </w:r>
            <w:r w:rsidRPr="00364545">
              <w:t xml:space="preserve">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39E3FB59" w14:textId="77777777" w:rsidR="00833524" w:rsidRPr="00364545" w:rsidRDefault="00833524" w:rsidP="00E56269">
            <w:pPr>
              <w:spacing w:line="259" w:lineRule="auto"/>
              <w:ind w:left="19"/>
              <w:jc w:val="center"/>
            </w:pPr>
            <w:r w:rsidRPr="00364545">
              <w:rPr>
                <w:b/>
                <w:color w:val="FFFFFF"/>
                <w:sz w:val="18"/>
              </w:rPr>
              <w:t xml:space="preserve">1990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7A2E5979" w14:textId="77777777" w:rsidR="00833524" w:rsidRPr="00364545" w:rsidRDefault="00833524" w:rsidP="00E56269">
            <w:pPr>
              <w:spacing w:line="259" w:lineRule="auto"/>
              <w:ind w:left="21"/>
              <w:jc w:val="center"/>
              <w:rPr>
                <w:b/>
                <w:color w:val="FFFFFF"/>
                <w:sz w:val="18"/>
              </w:rPr>
            </w:pPr>
            <w:r w:rsidRPr="00364545">
              <w:rPr>
                <w:b/>
                <w:color w:val="FFFFFF"/>
                <w:sz w:val="18"/>
              </w:rPr>
              <w:t>1995</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5F2B767C" w14:textId="77777777" w:rsidR="00833524" w:rsidRPr="00364545" w:rsidRDefault="00833524" w:rsidP="00E56269">
            <w:pPr>
              <w:spacing w:line="259" w:lineRule="auto"/>
              <w:ind w:left="21"/>
              <w:jc w:val="center"/>
            </w:pPr>
            <w:r w:rsidRPr="00364545">
              <w:rPr>
                <w:b/>
                <w:color w:val="FFFFFF"/>
                <w:sz w:val="18"/>
              </w:rPr>
              <w:t xml:space="preserve">2000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216D52E2" w14:textId="77777777" w:rsidR="00833524" w:rsidRPr="00364545" w:rsidRDefault="00833524" w:rsidP="00E56269">
            <w:pPr>
              <w:spacing w:line="259" w:lineRule="auto"/>
              <w:ind w:left="19"/>
              <w:jc w:val="center"/>
            </w:pPr>
            <w:r w:rsidRPr="00364545">
              <w:rPr>
                <w:b/>
                <w:color w:val="FFFFFF"/>
                <w:sz w:val="18"/>
              </w:rPr>
              <w:t xml:space="preserve">2005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7A1167CA" w14:textId="77777777" w:rsidR="00833524" w:rsidRPr="00364545" w:rsidRDefault="00833524" w:rsidP="00E56269">
            <w:pPr>
              <w:spacing w:line="259" w:lineRule="auto"/>
              <w:ind w:left="21"/>
              <w:jc w:val="center"/>
            </w:pPr>
            <w:r w:rsidRPr="00364545">
              <w:rPr>
                <w:b/>
                <w:color w:val="FFFFFF"/>
                <w:sz w:val="18"/>
              </w:rPr>
              <w:t xml:space="preserve">2010 </w:t>
            </w:r>
          </w:p>
        </w:tc>
        <w:tc>
          <w:tcPr>
            <w:tcW w:w="774" w:type="dxa"/>
            <w:tcBorders>
              <w:top w:val="single" w:sz="2" w:space="0" w:color="000000"/>
              <w:left w:val="single" w:sz="2" w:space="0" w:color="000000"/>
              <w:bottom w:val="single" w:sz="2" w:space="0" w:color="000000"/>
              <w:right w:val="single" w:sz="2" w:space="0" w:color="000000"/>
            </w:tcBorders>
            <w:shd w:val="clear" w:color="auto" w:fill="6D2A78"/>
          </w:tcPr>
          <w:p w14:paraId="08C7995C" w14:textId="77777777" w:rsidR="00833524" w:rsidRPr="00364545" w:rsidRDefault="00833524" w:rsidP="00E56269">
            <w:pPr>
              <w:spacing w:line="259" w:lineRule="auto"/>
              <w:ind w:left="19"/>
              <w:jc w:val="center"/>
            </w:pPr>
            <w:r w:rsidRPr="00364545">
              <w:rPr>
                <w:b/>
                <w:color w:val="FFFFFF"/>
                <w:sz w:val="18"/>
              </w:rPr>
              <w:t xml:space="preserve">2015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6C532454" w14:textId="77777777" w:rsidR="00833524" w:rsidRPr="00364545" w:rsidRDefault="00833524" w:rsidP="00E56269">
            <w:pPr>
              <w:spacing w:line="259" w:lineRule="auto"/>
              <w:ind w:left="21"/>
              <w:jc w:val="center"/>
              <w:rPr>
                <w:b/>
                <w:color w:val="FFFFFF"/>
                <w:sz w:val="18"/>
              </w:rPr>
            </w:pPr>
            <w:r>
              <w:rPr>
                <w:b/>
                <w:color w:val="FFFFFF"/>
                <w:sz w:val="18"/>
              </w:rPr>
              <w:t>2019</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4CA59669" w14:textId="77777777" w:rsidR="00833524" w:rsidRPr="00364545" w:rsidRDefault="00833524" w:rsidP="00E56269">
            <w:pPr>
              <w:spacing w:line="259" w:lineRule="auto"/>
              <w:ind w:left="21"/>
              <w:jc w:val="center"/>
            </w:pPr>
            <w:r w:rsidRPr="00364545">
              <w:rPr>
                <w:b/>
                <w:color w:val="FFFFFF"/>
                <w:sz w:val="18"/>
              </w:rPr>
              <w:t xml:space="preserve">2020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07882991" w14:textId="77777777" w:rsidR="00833524" w:rsidRPr="00364545" w:rsidRDefault="00833524" w:rsidP="00E56269">
            <w:pPr>
              <w:spacing w:line="259" w:lineRule="auto"/>
              <w:ind w:left="19"/>
              <w:jc w:val="center"/>
            </w:pPr>
            <w:r w:rsidRPr="00364545">
              <w:rPr>
                <w:b/>
                <w:color w:val="FFFFFF"/>
                <w:sz w:val="18"/>
              </w:rPr>
              <w:t xml:space="preserve">2025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0DAF56FA" w14:textId="77777777" w:rsidR="00833524" w:rsidRPr="00364545" w:rsidRDefault="00833524" w:rsidP="00E56269">
            <w:pPr>
              <w:spacing w:line="259" w:lineRule="auto"/>
              <w:ind w:left="21"/>
              <w:jc w:val="center"/>
            </w:pPr>
            <w:r w:rsidRPr="00364545">
              <w:rPr>
                <w:b/>
                <w:color w:val="FFFFFF"/>
                <w:sz w:val="18"/>
              </w:rPr>
              <w:t xml:space="preserve">2030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1AA86A3F" w14:textId="77777777" w:rsidR="00833524" w:rsidRPr="00364545" w:rsidRDefault="00833524" w:rsidP="00E56269">
            <w:pPr>
              <w:spacing w:line="259" w:lineRule="auto"/>
              <w:ind w:left="20"/>
              <w:jc w:val="center"/>
            </w:pPr>
            <w:r w:rsidRPr="00364545">
              <w:rPr>
                <w:b/>
                <w:color w:val="FFFFFF"/>
                <w:sz w:val="18"/>
              </w:rPr>
              <w:t xml:space="preserve">2035 </w:t>
            </w:r>
          </w:p>
        </w:tc>
        <w:tc>
          <w:tcPr>
            <w:tcW w:w="774" w:type="dxa"/>
            <w:tcBorders>
              <w:top w:val="single" w:sz="2" w:space="0" w:color="000000"/>
              <w:left w:val="single" w:sz="2" w:space="0" w:color="000000"/>
              <w:bottom w:val="single" w:sz="2" w:space="0" w:color="000000"/>
              <w:right w:val="single" w:sz="2" w:space="0" w:color="000000"/>
            </w:tcBorders>
            <w:shd w:val="clear" w:color="auto" w:fill="6D2A78"/>
          </w:tcPr>
          <w:p w14:paraId="4A00B9EB" w14:textId="77777777" w:rsidR="00833524" w:rsidRPr="00364545" w:rsidRDefault="00833524" w:rsidP="00E56269">
            <w:pPr>
              <w:spacing w:line="259" w:lineRule="auto"/>
              <w:ind w:left="20"/>
              <w:jc w:val="center"/>
              <w:rPr>
                <w:b/>
                <w:color w:val="FFFFFF"/>
                <w:sz w:val="18"/>
              </w:rPr>
            </w:pPr>
            <w:r w:rsidRPr="00364545">
              <w:rPr>
                <w:b/>
                <w:color w:val="FFFFFF"/>
                <w:sz w:val="18"/>
              </w:rPr>
              <w:t>2050</w:t>
            </w:r>
          </w:p>
        </w:tc>
      </w:tr>
      <w:tr w:rsidR="00833524" w:rsidRPr="00364545" w14:paraId="19CEB1EB" w14:textId="77777777" w:rsidTr="00E56269">
        <w:trPr>
          <w:trHeight w:val="344"/>
        </w:trPr>
        <w:tc>
          <w:tcPr>
            <w:tcW w:w="1405" w:type="dxa"/>
            <w:tcBorders>
              <w:top w:val="single" w:sz="2" w:space="0" w:color="000000"/>
              <w:left w:val="single" w:sz="2" w:space="0" w:color="000000"/>
              <w:bottom w:val="single" w:sz="2" w:space="0" w:color="000000"/>
              <w:right w:val="single" w:sz="2" w:space="0" w:color="000000"/>
            </w:tcBorders>
          </w:tcPr>
          <w:p w14:paraId="4956CA5B" w14:textId="77777777" w:rsidR="00833524" w:rsidRPr="00364545" w:rsidRDefault="00833524" w:rsidP="00E56269">
            <w:pPr>
              <w:spacing w:line="259" w:lineRule="auto"/>
            </w:pPr>
            <w:r w:rsidRPr="00364545">
              <w:rPr>
                <w:sz w:val="18"/>
              </w:rPr>
              <w:t xml:space="preserve">Energy </w:t>
            </w:r>
          </w:p>
        </w:tc>
        <w:tc>
          <w:tcPr>
            <w:tcW w:w="773" w:type="dxa"/>
            <w:tcBorders>
              <w:top w:val="single" w:sz="2" w:space="0" w:color="000000"/>
              <w:left w:val="single" w:sz="2" w:space="0" w:color="000000"/>
              <w:bottom w:val="single" w:sz="2" w:space="0" w:color="000000"/>
              <w:right w:val="single" w:sz="2" w:space="0" w:color="000000"/>
            </w:tcBorders>
            <w:vAlign w:val="center"/>
          </w:tcPr>
          <w:p w14:paraId="219DE857"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12404</w:t>
            </w:r>
          </w:p>
        </w:tc>
        <w:tc>
          <w:tcPr>
            <w:tcW w:w="773" w:type="dxa"/>
            <w:tcBorders>
              <w:top w:val="single" w:sz="2" w:space="0" w:color="000000"/>
              <w:left w:val="single" w:sz="2" w:space="0" w:color="000000"/>
              <w:bottom w:val="single" w:sz="2" w:space="0" w:color="000000"/>
              <w:right w:val="single" w:sz="2" w:space="0" w:color="000000"/>
            </w:tcBorders>
            <w:vAlign w:val="center"/>
          </w:tcPr>
          <w:p w14:paraId="41E71EEF"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11918</w:t>
            </w:r>
          </w:p>
        </w:tc>
        <w:tc>
          <w:tcPr>
            <w:tcW w:w="773" w:type="dxa"/>
            <w:tcBorders>
              <w:top w:val="single" w:sz="2" w:space="0" w:color="000000"/>
              <w:left w:val="single" w:sz="2" w:space="0" w:color="000000"/>
              <w:bottom w:val="single" w:sz="2" w:space="0" w:color="000000"/>
              <w:right w:val="single" w:sz="2" w:space="0" w:color="000000"/>
            </w:tcBorders>
            <w:vAlign w:val="center"/>
          </w:tcPr>
          <w:p w14:paraId="5A9A7BAF"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7568</w:t>
            </w:r>
          </w:p>
        </w:tc>
        <w:tc>
          <w:tcPr>
            <w:tcW w:w="773" w:type="dxa"/>
            <w:tcBorders>
              <w:top w:val="single" w:sz="2" w:space="0" w:color="000000"/>
              <w:left w:val="single" w:sz="2" w:space="0" w:color="000000"/>
              <w:bottom w:val="single" w:sz="2" w:space="0" w:color="000000"/>
              <w:right w:val="single" w:sz="2" w:space="0" w:color="000000"/>
            </w:tcBorders>
            <w:vAlign w:val="center"/>
          </w:tcPr>
          <w:p w14:paraId="7387BFA3"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4922</w:t>
            </w:r>
          </w:p>
        </w:tc>
        <w:tc>
          <w:tcPr>
            <w:tcW w:w="773" w:type="dxa"/>
            <w:tcBorders>
              <w:top w:val="single" w:sz="2" w:space="0" w:color="000000"/>
              <w:left w:val="single" w:sz="2" w:space="0" w:color="000000"/>
              <w:bottom w:val="single" w:sz="2" w:space="0" w:color="000000"/>
              <w:right w:val="single" w:sz="2" w:space="0" w:color="000000"/>
            </w:tcBorders>
            <w:vAlign w:val="center"/>
          </w:tcPr>
          <w:p w14:paraId="39CFD2F7"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3704</w:t>
            </w:r>
          </w:p>
        </w:tc>
        <w:tc>
          <w:tcPr>
            <w:tcW w:w="774" w:type="dxa"/>
            <w:tcBorders>
              <w:top w:val="single" w:sz="2" w:space="0" w:color="000000"/>
              <w:left w:val="single" w:sz="2" w:space="0" w:color="000000"/>
              <w:bottom w:val="single" w:sz="2" w:space="0" w:color="000000"/>
              <w:right w:val="single" w:sz="2" w:space="0" w:color="000000"/>
            </w:tcBorders>
            <w:vAlign w:val="center"/>
          </w:tcPr>
          <w:p w14:paraId="74DD2638"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2743</w:t>
            </w:r>
          </w:p>
        </w:tc>
        <w:tc>
          <w:tcPr>
            <w:tcW w:w="773" w:type="dxa"/>
            <w:tcBorders>
              <w:top w:val="single" w:sz="2" w:space="0" w:color="000000"/>
              <w:left w:val="single" w:sz="2" w:space="0" w:color="000000"/>
              <w:bottom w:val="single" w:sz="2" w:space="0" w:color="000000"/>
              <w:right w:val="single" w:sz="2" w:space="0" w:color="000000"/>
            </w:tcBorders>
            <w:vAlign w:val="center"/>
          </w:tcPr>
          <w:p w14:paraId="63102009"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2398</w:t>
            </w:r>
          </w:p>
        </w:tc>
        <w:tc>
          <w:tcPr>
            <w:tcW w:w="773" w:type="dxa"/>
            <w:tcBorders>
              <w:top w:val="single" w:sz="2" w:space="0" w:color="000000"/>
              <w:left w:val="single" w:sz="2" w:space="0" w:color="000000"/>
              <w:bottom w:val="single" w:sz="2" w:space="0" w:color="000000"/>
              <w:right w:val="single" w:sz="2" w:space="0" w:color="000000"/>
            </w:tcBorders>
            <w:vAlign w:val="center"/>
          </w:tcPr>
          <w:p w14:paraId="7CA9F679"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247</w:t>
            </w:r>
          </w:p>
        </w:tc>
        <w:tc>
          <w:tcPr>
            <w:tcW w:w="773" w:type="dxa"/>
            <w:tcBorders>
              <w:top w:val="single" w:sz="2" w:space="0" w:color="000000"/>
              <w:left w:val="single" w:sz="2" w:space="0" w:color="000000"/>
              <w:bottom w:val="single" w:sz="2" w:space="0" w:color="000000"/>
              <w:right w:val="single" w:sz="2" w:space="0" w:color="000000"/>
            </w:tcBorders>
            <w:vAlign w:val="center"/>
          </w:tcPr>
          <w:p w14:paraId="1F616DCE"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120</w:t>
            </w:r>
          </w:p>
        </w:tc>
        <w:tc>
          <w:tcPr>
            <w:tcW w:w="773" w:type="dxa"/>
            <w:tcBorders>
              <w:top w:val="single" w:sz="2" w:space="0" w:color="000000"/>
              <w:left w:val="single" w:sz="2" w:space="0" w:color="000000"/>
              <w:bottom w:val="single" w:sz="2" w:space="0" w:color="000000"/>
              <w:right w:val="single" w:sz="2" w:space="0" w:color="000000"/>
            </w:tcBorders>
            <w:vAlign w:val="center"/>
          </w:tcPr>
          <w:p w14:paraId="77BE3666"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049</w:t>
            </w:r>
          </w:p>
        </w:tc>
        <w:tc>
          <w:tcPr>
            <w:tcW w:w="773" w:type="dxa"/>
            <w:tcBorders>
              <w:top w:val="single" w:sz="2" w:space="0" w:color="000000"/>
              <w:left w:val="single" w:sz="2" w:space="0" w:color="000000"/>
              <w:bottom w:val="single" w:sz="2" w:space="0" w:color="000000"/>
              <w:right w:val="single" w:sz="2" w:space="0" w:color="000000"/>
            </w:tcBorders>
            <w:vAlign w:val="center"/>
          </w:tcPr>
          <w:p w14:paraId="5739DA98"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2</w:t>
            </w:r>
            <w:r w:rsidRPr="005D0955">
              <w:rPr>
                <w:rFonts w:ascii="Calibri" w:hAnsi="Calibri" w:cs="Calibri"/>
                <w:sz w:val="18"/>
                <w:szCs w:val="18"/>
              </w:rPr>
              <w:t> </w:t>
            </w:r>
            <w:r w:rsidRPr="00634E4C">
              <w:rPr>
                <w:rFonts w:asciiTheme="majorHAnsi" w:hAnsiTheme="majorHAnsi"/>
                <w:sz w:val="18"/>
              </w:rPr>
              <w:t>893</w:t>
            </w:r>
          </w:p>
        </w:tc>
        <w:tc>
          <w:tcPr>
            <w:tcW w:w="774" w:type="dxa"/>
            <w:tcBorders>
              <w:top w:val="single" w:sz="2" w:space="0" w:color="000000"/>
              <w:left w:val="single" w:sz="2" w:space="0" w:color="000000"/>
              <w:bottom w:val="single" w:sz="2" w:space="0" w:color="000000"/>
              <w:right w:val="single" w:sz="2" w:space="0" w:color="000000"/>
            </w:tcBorders>
            <w:vAlign w:val="center"/>
          </w:tcPr>
          <w:p w14:paraId="6183D6A7"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2</w:t>
            </w:r>
            <w:r w:rsidRPr="005D0955">
              <w:rPr>
                <w:rFonts w:ascii="Calibri" w:hAnsi="Calibri" w:cs="Calibri"/>
                <w:sz w:val="18"/>
                <w:szCs w:val="18"/>
              </w:rPr>
              <w:t> </w:t>
            </w:r>
            <w:r w:rsidRPr="00634E4C">
              <w:rPr>
                <w:rFonts w:asciiTheme="majorHAnsi" w:hAnsiTheme="majorHAnsi"/>
                <w:sz w:val="18"/>
              </w:rPr>
              <w:t>422</w:t>
            </w:r>
          </w:p>
        </w:tc>
      </w:tr>
      <w:tr w:rsidR="00833524" w:rsidRPr="00364545" w14:paraId="0C94CFEA" w14:textId="77777777" w:rsidTr="00E56269">
        <w:trPr>
          <w:trHeight w:val="419"/>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298C3168" w14:textId="77777777" w:rsidR="00833524" w:rsidRPr="00364545" w:rsidRDefault="00833524" w:rsidP="00E56269">
            <w:pPr>
              <w:spacing w:line="259" w:lineRule="auto"/>
            </w:pPr>
            <w:r w:rsidRPr="00364545">
              <w:rPr>
                <w:sz w:val="18"/>
              </w:rPr>
              <w:t xml:space="preserve">Industrial processes, solvents and other products </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2501CA1"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220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6708A8"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221</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C3E967"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236</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DDF320"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207</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C5033F"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147</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1A3BA9"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85</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26FAFF0"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66</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BD799B"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54</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CEF0D0C"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50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D441C1"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45</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EB4C05"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39</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3D063E3"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23</w:t>
            </w:r>
          </w:p>
        </w:tc>
      </w:tr>
      <w:tr w:rsidR="00833524" w:rsidRPr="00364545" w14:paraId="23373E27" w14:textId="77777777" w:rsidTr="00E56269">
        <w:trPr>
          <w:trHeight w:val="347"/>
        </w:trPr>
        <w:tc>
          <w:tcPr>
            <w:tcW w:w="1405" w:type="dxa"/>
            <w:tcBorders>
              <w:top w:val="single" w:sz="2" w:space="0" w:color="000000"/>
              <w:left w:val="single" w:sz="2" w:space="0" w:color="000000"/>
              <w:bottom w:val="single" w:sz="2" w:space="0" w:color="000000"/>
              <w:right w:val="single" w:sz="2" w:space="0" w:color="000000"/>
            </w:tcBorders>
          </w:tcPr>
          <w:p w14:paraId="43F8EC52" w14:textId="77777777" w:rsidR="00833524" w:rsidRPr="00364545" w:rsidRDefault="00833524" w:rsidP="00E56269">
            <w:pPr>
              <w:spacing w:line="259" w:lineRule="auto"/>
            </w:pPr>
            <w:r w:rsidRPr="00364545">
              <w:rPr>
                <w:sz w:val="18"/>
              </w:rPr>
              <w:t xml:space="preserve">Agriculture (excluding energy) </w:t>
            </w:r>
          </w:p>
        </w:tc>
        <w:tc>
          <w:tcPr>
            <w:tcW w:w="773" w:type="dxa"/>
            <w:tcBorders>
              <w:top w:val="single" w:sz="2" w:space="0" w:color="000000"/>
              <w:left w:val="single" w:sz="2" w:space="0" w:color="000000"/>
              <w:bottom w:val="single" w:sz="2" w:space="0" w:color="000000"/>
              <w:right w:val="single" w:sz="2" w:space="0" w:color="000000"/>
            </w:tcBorders>
            <w:vAlign w:val="center"/>
          </w:tcPr>
          <w:p w14:paraId="3F8ED4FD"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42218</w:t>
            </w:r>
          </w:p>
        </w:tc>
        <w:tc>
          <w:tcPr>
            <w:tcW w:w="773" w:type="dxa"/>
            <w:tcBorders>
              <w:top w:val="single" w:sz="2" w:space="0" w:color="000000"/>
              <w:left w:val="single" w:sz="2" w:space="0" w:color="000000"/>
              <w:bottom w:val="single" w:sz="2" w:space="0" w:color="000000"/>
              <w:right w:val="single" w:sz="2" w:space="0" w:color="000000"/>
            </w:tcBorders>
            <w:vAlign w:val="center"/>
          </w:tcPr>
          <w:p w14:paraId="658DC786"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41145</w:t>
            </w:r>
          </w:p>
        </w:tc>
        <w:tc>
          <w:tcPr>
            <w:tcW w:w="773" w:type="dxa"/>
            <w:tcBorders>
              <w:top w:val="single" w:sz="2" w:space="0" w:color="000000"/>
              <w:left w:val="single" w:sz="2" w:space="0" w:color="000000"/>
              <w:bottom w:val="single" w:sz="2" w:space="0" w:color="000000"/>
              <w:right w:val="single" w:sz="2" w:space="0" w:color="000000"/>
            </w:tcBorders>
            <w:vAlign w:val="center"/>
          </w:tcPr>
          <w:p w14:paraId="0B2C42D0"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42197</w:t>
            </w:r>
          </w:p>
        </w:tc>
        <w:tc>
          <w:tcPr>
            <w:tcW w:w="773" w:type="dxa"/>
            <w:tcBorders>
              <w:top w:val="single" w:sz="2" w:space="0" w:color="000000"/>
              <w:left w:val="single" w:sz="2" w:space="0" w:color="000000"/>
              <w:bottom w:val="single" w:sz="2" w:space="0" w:color="000000"/>
              <w:right w:val="single" w:sz="2" w:space="0" w:color="000000"/>
            </w:tcBorders>
            <w:vAlign w:val="center"/>
          </w:tcPr>
          <w:p w14:paraId="3C0BE4F4"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39373</w:t>
            </w:r>
          </w:p>
        </w:tc>
        <w:tc>
          <w:tcPr>
            <w:tcW w:w="773" w:type="dxa"/>
            <w:tcBorders>
              <w:top w:val="single" w:sz="2" w:space="0" w:color="000000"/>
              <w:left w:val="single" w:sz="2" w:space="0" w:color="000000"/>
              <w:bottom w:val="single" w:sz="2" w:space="0" w:color="000000"/>
              <w:right w:val="single" w:sz="2" w:space="0" w:color="000000"/>
            </w:tcBorders>
            <w:vAlign w:val="center"/>
          </w:tcPr>
          <w:p w14:paraId="2F5B31BE"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39325</w:t>
            </w:r>
          </w:p>
        </w:tc>
        <w:tc>
          <w:tcPr>
            <w:tcW w:w="774" w:type="dxa"/>
            <w:tcBorders>
              <w:top w:val="single" w:sz="2" w:space="0" w:color="000000"/>
              <w:left w:val="single" w:sz="2" w:space="0" w:color="000000"/>
              <w:bottom w:val="single" w:sz="2" w:space="0" w:color="000000"/>
              <w:right w:val="single" w:sz="2" w:space="0" w:color="000000"/>
            </w:tcBorders>
            <w:vAlign w:val="center"/>
          </w:tcPr>
          <w:p w14:paraId="58901C57"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39281</w:t>
            </w:r>
          </w:p>
        </w:tc>
        <w:tc>
          <w:tcPr>
            <w:tcW w:w="773" w:type="dxa"/>
            <w:tcBorders>
              <w:top w:val="single" w:sz="2" w:space="0" w:color="000000"/>
              <w:left w:val="single" w:sz="2" w:space="0" w:color="000000"/>
              <w:bottom w:val="single" w:sz="2" w:space="0" w:color="000000"/>
              <w:right w:val="single" w:sz="2" w:space="0" w:color="000000"/>
            </w:tcBorders>
            <w:vAlign w:val="center"/>
          </w:tcPr>
          <w:p w14:paraId="2B9C1909"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37445</w:t>
            </w:r>
          </w:p>
        </w:tc>
        <w:tc>
          <w:tcPr>
            <w:tcW w:w="773" w:type="dxa"/>
            <w:tcBorders>
              <w:top w:val="single" w:sz="2" w:space="0" w:color="000000"/>
              <w:left w:val="single" w:sz="2" w:space="0" w:color="000000"/>
              <w:bottom w:val="single" w:sz="2" w:space="0" w:color="000000"/>
              <w:right w:val="single" w:sz="2" w:space="0" w:color="000000"/>
            </w:tcBorders>
            <w:vAlign w:val="center"/>
          </w:tcPr>
          <w:p w14:paraId="1E794989"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37</w:t>
            </w:r>
            <w:r w:rsidRPr="005D0955">
              <w:rPr>
                <w:rFonts w:ascii="Calibri" w:hAnsi="Calibri" w:cs="Calibri"/>
                <w:sz w:val="18"/>
                <w:szCs w:val="18"/>
              </w:rPr>
              <w:t> </w:t>
            </w:r>
            <w:r w:rsidRPr="00634E4C">
              <w:rPr>
                <w:rFonts w:asciiTheme="majorHAnsi" w:hAnsiTheme="majorHAnsi"/>
                <w:sz w:val="18"/>
              </w:rPr>
              <w:t>174</w:t>
            </w:r>
          </w:p>
        </w:tc>
        <w:tc>
          <w:tcPr>
            <w:tcW w:w="773" w:type="dxa"/>
            <w:tcBorders>
              <w:top w:val="single" w:sz="2" w:space="0" w:color="000000"/>
              <w:left w:val="single" w:sz="2" w:space="0" w:color="000000"/>
              <w:bottom w:val="single" w:sz="2" w:space="0" w:color="000000"/>
              <w:right w:val="single" w:sz="2" w:space="0" w:color="000000"/>
            </w:tcBorders>
            <w:vAlign w:val="center"/>
          </w:tcPr>
          <w:p w14:paraId="2E06C963"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34</w:t>
            </w:r>
            <w:r w:rsidRPr="005D0955">
              <w:rPr>
                <w:rFonts w:ascii="Calibri" w:hAnsi="Calibri" w:cs="Calibri"/>
                <w:sz w:val="18"/>
                <w:szCs w:val="18"/>
              </w:rPr>
              <w:t> </w:t>
            </w:r>
            <w:r w:rsidRPr="00634E4C">
              <w:rPr>
                <w:rFonts w:asciiTheme="majorHAnsi" w:hAnsiTheme="majorHAnsi"/>
                <w:sz w:val="18"/>
              </w:rPr>
              <w:t>794</w:t>
            </w:r>
          </w:p>
        </w:tc>
        <w:tc>
          <w:tcPr>
            <w:tcW w:w="773" w:type="dxa"/>
            <w:tcBorders>
              <w:top w:val="single" w:sz="2" w:space="0" w:color="000000"/>
              <w:left w:val="single" w:sz="2" w:space="0" w:color="000000"/>
              <w:bottom w:val="single" w:sz="2" w:space="0" w:color="000000"/>
              <w:right w:val="single" w:sz="2" w:space="0" w:color="000000"/>
            </w:tcBorders>
            <w:vAlign w:val="center"/>
          </w:tcPr>
          <w:p w14:paraId="5568B2C8"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32</w:t>
            </w:r>
            <w:r w:rsidRPr="005D0955">
              <w:rPr>
                <w:rFonts w:ascii="Calibri" w:hAnsi="Calibri" w:cs="Calibri"/>
                <w:sz w:val="18"/>
                <w:szCs w:val="18"/>
              </w:rPr>
              <w:t> </w:t>
            </w:r>
            <w:r w:rsidRPr="00634E4C">
              <w:rPr>
                <w:rFonts w:asciiTheme="majorHAnsi" w:hAnsiTheme="majorHAnsi"/>
                <w:sz w:val="18"/>
              </w:rPr>
              <w:t>781</w:t>
            </w:r>
          </w:p>
        </w:tc>
        <w:tc>
          <w:tcPr>
            <w:tcW w:w="773" w:type="dxa"/>
            <w:tcBorders>
              <w:top w:val="single" w:sz="2" w:space="0" w:color="000000"/>
              <w:left w:val="single" w:sz="2" w:space="0" w:color="000000"/>
              <w:bottom w:val="single" w:sz="2" w:space="0" w:color="000000"/>
              <w:right w:val="single" w:sz="2" w:space="0" w:color="000000"/>
            </w:tcBorders>
            <w:vAlign w:val="center"/>
          </w:tcPr>
          <w:p w14:paraId="2C9F7800"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31</w:t>
            </w:r>
            <w:r w:rsidRPr="005D0955">
              <w:rPr>
                <w:rFonts w:ascii="Calibri" w:hAnsi="Calibri" w:cs="Calibri"/>
                <w:sz w:val="18"/>
                <w:szCs w:val="18"/>
              </w:rPr>
              <w:t> </w:t>
            </w:r>
            <w:r w:rsidRPr="00634E4C">
              <w:rPr>
                <w:rFonts w:asciiTheme="majorHAnsi" w:hAnsiTheme="majorHAnsi"/>
                <w:sz w:val="18"/>
              </w:rPr>
              <w:t>121</w:t>
            </w:r>
          </w:p>
        </w:tc>
        <w:tc>
          <w:tcPr>
            <w:tcW w:w="774" w:type="dxa"/>
            <w:tcBorders>
              <w:top w:val="single" w:sz="2" w:space="0" w:color="000000"/>
              <w:left w:val="single" w:sz="2" w:space="0" w:color="000000"/>
              <w:bottom w:val="single" w:sz="2" w:space="0" w:color="000000"/>
              <w:right w:val="single" w:sz="2" w:space="0" w:color="000000"/>
            </w:tcBorders>
            <w:vAlign w:val="center"/>
          </w:tcPr>
          <w:p w14:paraId="7CCB6D91"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26</w:t>
            </w:r>
            <w:r w:rsidRPr="005D0955">
              <w:rPr>
                <w:rFonts w:ascii="Calibri" w:hAnsi="Calibri" w:cs="Calibri"/>
                <w:sz w:val="18"/>
                <w:szCs w:val="18"/>
              </w:rPr>
              <w:t> </w:t>
            </w:r>
            <w:r w:rsidRPr="00634E4C">
              <w:rPr>
                <w:rFonts w:asciiTheme="majorHAnsi" w:hAnsiTheme="majorHAnsi"/>
                <w:sz w:val="18"/>
              </w:rPr>
              <w:t>140</w:t>
            </w:r>
          </w:p>
        </w:tc>
      </w:tr>
      <w:tr w:rsidR="00833524" w:rsidRPr="00364545" w14:paraId="27FFB8E3" w14:textId="77777777" w:rsidTr="00E56269">
        <w:trPr>
          <w:trHeight w:val="342"/>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195815FE" w14:textId="77777777" w:rsidR="00833524" w:rsidRPr="00364545" w:rsidRDefault="00833524" w:rsidP="00E56269">
            <w:pPr>
              <w:spacing w:line="259" w:lineRule="auto"/>
            </w:pPr>
            <w:r w:rsidRPr="00364545">
              <w:rPr>
                <w:sz w:val="18"/>
              </w:rPr>
              <w:t xml:space="preserve">LULUCF </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50711C"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933</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103616"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3670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F7A796"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1693</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E4E4CF"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1189</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2A9F55"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1130</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2F5A51"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1078</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A8B87B"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1138</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BA2578"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140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3C3DD1"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146</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1C50D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134</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573B9A"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114</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964C73"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054</w:t>
            </w:r>
          </w:p>
        </w:tc>
      </w:tr>
      <w:tr w:rsidR="00833524" w:rsidRPr="00364545" w14:paraId="4D91990A" w14:textId="77777777" w:rsidTr="00E56269">
        <w:trPr>
          <w:trHeight w:val="347"/>
        </w:trPr>
        <w:tc>
          <w:tcPr>
            <w:tcW w:w="1405" w:type="dxa"/>
            <w:tcBorders>
              <w:top w:val="single" w:sz="2" w:space="0" w:color="000000"/>
              <w:left w:val="single" w:sz="2" w:space="0" w:color="000000"/>
              <w:bottom w:val="single" w:sz="2" w:space="0" w:color="000000"/>
              <w:right w:val="single" w:sz="2" w:space="0" w:color="000000"/>
            </w:tcBorders>
          </w:tcPr>
          <w:p w14:paraId="18649F87" w14:textId="77777777" w:rsidR="00833524" w:rsidRPr="00364545" w:rsidRDefault="00833524" w:rsidP="00E56269">
            <w:pPr>
              <w:spacing w:line="259" w:lineRule="auto"/>
            </w:pPr>
            <w:r w:rsidRPr="00364545">
              <w:rPr>
                <w:sz w:val="18"/>
              </w:rPr>
              <w:t xml:space="preserve">Waste </w:t>
            </w:r>
          </w:p>
        </w:tc>
        <w:tc>
          <w:tcPr>
            <w:tcW w:w="773" w:type="dxa"/>
            <w:tcBorders>
              <w:top w:val="single" w:sz="2" w:space="0" w:color="000000"/>
              <w:left w:val="single" w:sz="2" w:space="0" w:color="000000"/>
              <w:bottom w:val="single" w:sz="2" w:space="0" w:color="000000"/>
              <w:right w:val="single" w:sz="2" w:space="0" w:color="000000"/>
            </w:tcBorders>
            <w:vAlign w:val="center"/>
          </w:tcPr>
          <w:p w14:paraId="6748C752"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14318</w:t>
            </w:r>
          </w:p>
        </w:tc>
        <w:tc>
          <w:tcPr>
            <w:tcW w:w="773" w:type="dxa"/>
            <w:tcBorders>
              <w:top w:val="single" w:sz="2" w:space="0" w:color="000000"/>
              <w:left w:val="single" w:sz="2" w:space="0" w:color="000000"/>
              <w:bottom w:val="single" w:sz="2" w:space="0" w:color="000000"/>
              <w:right w:val="single" w:sz="2" w:space="0" w:color="000000"/>
            </w:tcBorders>
            <w:vAlign w:val="center"/>
          </w:tcPr>
          <w:p w14:paraId="6E13875A"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17099</w:t>
            </w:r>
          </w:p>
        </w:tc>
        <w:tc>
          <w:tcPr>
            <w:tcW w:w="773" w:type="dxa"/>
            <w:tcBorders>
              <w:top w:val="single" w:sz="2" w:space="0" w:color="000000"/>
              <w:left w:val="single" w:sz="2" w:space="0" w:color="000000"/>
              <w:bottom w:val="single" w:sz="2" w:space="0" w:color="000000"/>
              <w:right w:val="single" w:sz="2" w:space="0" w:color="000000"/>
            </w:tcBorders>
            <w:vAlign w:val="center"/>
          </w:tcPr>
          <w:p w14:paraId="7E3C7D7B"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18602</w:t>
            </w:r>
          </w:p>
        </w:tc>
        <w:tc>
          <w:tcPr>
            <w:tcW w:w="773" w:type="dxa"/>
            <w:tcBorders>
              <w:top w:val="single" w:sz="2" w:space="0" w:color="000000"/>
              <w:left w:val="single" w:sz="2" w:space="0" w:color="000000"/>
              <w:bottom w:val="single" w:sz="2" w:space="0" w:color="000000"/>
              <w:right w:val="single" w:sz="2" w:space="0" w:color="000000"/>
            </w:tcBorders>
            <w:vAlign w:val="center"/>
          </w:tcPr>
          <w:p w14:paraId="71A6C633"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19129</w:t>
            </w:r>
          </w:p>
        </w:tc>
        <w:tc>
          <w:tcPr>
            <w:tcW w:w="773" w:type="dxa"/>
            <w:tcBorders>
              <w:top w:val="single" w:sz="2" w:space="0" w:color="000000"/>
              <w:left w:val="single" w:sz="2" w:space="0" w:color="000000"/>
              <w:bottom w:val="single" w:sz="2" w:space="0" w:color="000000"/>
              <w:right w:val="single" w:sz="2" w:space="0" w:color="000000"/>
            </w:tcBorders>
            <w:vAlign w:val="center"/>
          </w:tcPr>
          <w:p w14:paraId="260E8FBC"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18487</w:t>
            </w:r>
          </w:p>
        </w:tc>
        <w:tc>
          <w:tcPr>
            <w:tcW w:w="774" w:type="dxa"/>
            <w:tcBorders>
              <w:top w:val="single" w:sz="2" w:space="0" w:color="000000"/>
              <w:left w:val="single" w:sz="2" w:space="0" w:color="000000"/>
              <w:bottom w:val="single" w:sz="2" w:space="0" w:color="000000"/>
              <w:right w:val="single" w:sz="2" w:space="0" w:color="000000"/>
            </w:tcBorders>
            <w:vAlign w:val="center"/>
          </w:tcPr>
          <w:p w14:paraId="17ACE6DB"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15753</w:t>
            </w:r>
          </w:p>
        </w:tc>
        <w:tc>
          <w:tcPr>
            <w:tcW w:w="773" w:type="dxa"/>
            <w:tcBorders>
              <w:top w:val="single" w:sz="2" w:space="0" w:color="000000"/>
              <w:left w:val="single" w:sz="2" w:space="0" w:color="000000"/>
              <w:bottom w:val="single" w:sz="2" w:space="0" w:color="000000"/>
              <w:right w:val="single" w:sz="2" w:space="0" w:color="000000"/>
            </w:tcBorders>
            <w:vAlign w:val="center"/>
          </w:tcPr>
          <w:p w14:paraId="5F2124F1"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15830</w:t>
            </w:r>
          </w:p>
        </w:tc>
        <w:tc>
          <w:tcPr>
            <w:tcW w:w="773" w:type="dxa"/>
            <w:tcBorders>
              <w:top w:val="single" w:sz="2" w:space="0" w:color="000000"/>
              <w:left w:val="single" w:sz="2" w:space="0" w:color="000000"/>
              <w:bottom w:val="single" w:sz="2" w:space="0" w:color="000000"/>
              <w:right w:val="single" w:sz="2" w:space="0" w:color="000000"/>
            </w:tcBorders>
            <w:vAlign w:val="center"/>
          </w:tcPr>
          <w:p w14:paraId="15931309"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12</w:t>
            </w:r>
            <w:r w:rsidRPr="005D0955">
              <w:rPr>
                <w:rFonts w:ascii="Calibri" w:hAnsi="Calibri" w:cs="Calibri"/>
                <w:sz w:val="18"/>
                <w:szCs w:val="18"/>
              </w:rPr>
              <w:t> </w:t>
            </w:r>
            <w:r w:rsidRPr="00634E4C">
              <w:rPr>
                <w:rFonts w:asciiTheme="majorHAnsi" w:hAnsiTheme="majorHAnsi"/>
                <w:sz w:val="18"/>
              </w:rPr>
              <w:t>056</w:t>
            </w:r>
          </w:p>
        </w:tc>
        <w:tc>
          <w:tcPr>
            <w:tcW w:w="773" w:type="dxa"/>
            <w:tcBorders>
              <w:top w:val="single" w:sz="2" w:space="0" w:color="000000"/>
              <w:left w:val="single" w:sz="2" w:space="0" w:color="000000"/>
              <w:bottom w:val="single" w:sz="2" w:space="0" w:color="000000"/>
              <w:right w:val="single" w:sz="2" w:space="0" w:color="000000"/>
            </w:tcBorders>
            <w:vAlign w:val="center"/>
          </w:tcPr>
          <w:p w14:paraId="464DFFC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9</w:t>
            </w:r>
            <w:r w:rsidRPr="005D0955">
              <w:rPr>
                <w:rFonts w:ascii="Calibri" w:hAnsi="Calibri" w:cs="Calibri"/>
                <w:sz w:val="18"/>
                <w:szCs w:val="18"/>
              </w:rPr>
              <w:t> </w:t>
            </w:r>
            <w:r w:rsidRPr="00634E4C">
              <w:rPr>
                <w:rFonts w:asciiTheme="majorHAnsi" w:hAnsiTheme="majorHAnsi"/>
                <w:sz w:val="18"/>
              </w:rPr>
              <w:t>982</w:t>
            </w:r>
          </w:p>
        </w:tc>
        <w:tc>
          <w:tcPr>
            <w:tcW w:w="773" w:type="dxa"/>
            <w:tcBorders>
              <w:top w:val="single" w:sz="2" w:space="0" w:color="000000"/>
              <w:left w:val="single" w:sz="2" w:space="0" w:color="000000"/>
              <w:bottom w:val="single" w:sz="2" w:space="0" w:color="000000"/>
              <w:right w:val="single" w:sz="2" w:space="0" w:color="000000"/>
            </w:tcBorders>
            <w:vAlign w:val="center"/>
          </w:tcPr>
          <w:p w14:paraId="395B833D"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8</w:t>
            </w:r>
            <w:r w:rsidRPr="005D0955">
              <w:rPr>
                <w:rFonts w:ascii="Calibri" w:hAnsi="Calibri" w:cs="Calibri"/>
                <w:sz w:val="18"/>
                <w:szCs w:val="18"/>
              </w:rPr>
              <w:t> </w:t>
            </w:r>
            <w:r w:rsidRPr="00634E4C">
              <w:rPr>
                <w:rFonts w:asciiTheme="majorHAnsi" w:hAnsiTheme="majorHAnsi"/>
                <w:sz w:val="18"/>
              </w:rPr>
              <w:t>631</w:t>
            </w:r>
          </w:p>
        </w:tc>
        <w:tc>
          <w:tcPr>
            <w:tcW w:w="773" w:type="dxa"/>
            <w:tcBorders>
              <w:top w:val="single" w:sz="2" w:space="0" w:color="000000"/>
              <w:left w:val="single" w:sz="2" w:space="0" w:color="000000"/>
              <w:bottom w:val="single" w:sz="2" w:space="0" w:color="000000"/>
              <w:right w:val="single" w:sz="2" w:space="0" w:color="000000"/>
            </w:tcBorders>
            <w:vAlign w:val="center"/>
          </w:tcPr>
          <w:p w14:paraId="06C6893D"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7</w:t>
            </w:r>
            <w:r w:rsidRPr="005D0955">
              <w:rPr>
                <w:rFonts w:ascii="Calibri" w:hAnsi="Calibri" w:cs="Calibri"/>
                <w:sz w:val="18"/>
                <w:szCs w:val="18"/>
              </w:rPr>
              <w:t> </w:t>
            </w:r>
            <w:r w:rsidRPr="00634E4C">
              <w:rPr>
                <w:rFonts w:asciiTheme="majorHAnsi" w:hAnsiTheme="majorHAnsi"/>
                <w:sz w:val="18"/>
              </w:rPr>
              <w:t>443</w:t>
            </w:r>
          </w:p>
        </w:tc>
        <w:tc>
          <w:tcPr>
            <w:tcW w:w="774" w:type="dxa"/>
            <w:tcBorders>
              <w:top w:val="single" w:sz="2" w:space="0" w:color="000000"/>
              <w:left w:val="single" w:sz="2" w:space="0" w:color="000000"/>
              <w:bottom w:val="single" w:sz="2" w:space="0" w:color="000000"/>
              <w:right w:val="single" w:sz="2" w:space="0" w:color="000000"/>
            </w:tcBorders>
            <w:vAlign w:val="center"/>
          </w:tcPr>
          <w:p w14:paraId="098BA6FB"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880</w:t>
            </w:r>
          </w:p>
        </w:tc>
      </w:tr>
      <w:tr w:rsidR="00833524" w:rsidRPr="00364545" w14:paraId="53B10386" w14:textId="77777777" w:rsidTr="00E56269">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65A8F4C4" w14:textId="77777777" w:rsidR="00833524" w:rsidRPr="00364545" w:rsidRDefault="00833524" w:rsidP="00E56269">
            <w:pPr>
              <w:spacing w:line="259" w:lineRule="auto"/>
            </w:pPr>
            <w:r w:rsidRPr="00364545">
              <w:rPr>
                <w:b/>
                <w:sz w:val="18"/>
              </w:rPr>
              <w:t xml:space="preserve">Ensemble (hors UTCF) </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DC2DEC5"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69161</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E8DDB1"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70383</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8DBD00"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68603</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98597B"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63632</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AD8B2B"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61663</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C0AF0A"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57862</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107D1E0" w14:textId="77777777" w:rsidR="00833524" w:rsidRPr="005D0955" w:rsidRDefault="00833524" w:rsidP="00E56269">
            <w:pPr>
              <w:spacing w:line="259" w:lineRule="auto"/>
              <w:ind w:left="14"/>
              <w:jc w:val="center"/>
              <w:rPr>
                <w:rFonts w:asciiTheme="majorHAnsi" w:hAnsiTheme="majorHAnsi"/>
                <w:b/>
                <w:sz w:val="18"/>
                <w:szCs w:val="18"/>
              </w:rPr>
            </w:pPr>
            <w:r w:rsidRPr="005D0955">
              <w:rPr>
                <w:rFonts w:asciiTheme="majorHAnsi" w:hAnsiTheme="majorHAnsi"/>
                <w:sz w:val="18"/>
                <w:szCs w:val="18"/>
              </w:rPr>
              <w:t>55740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40B3D89"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52</w:t>
            </w:r>
            <w:r w:rsidRPr="005D0955">
              <w:rPr>
                <w:rFonts w:ascii="Calibri" w:hAnsi="Calibri" w:cs="Calibri"/>
                <w:b/>
                <w:sz w:val="18"/>
                <w:szCs w:val="18"/>
              </w:rPr>
              <w:t> </w:t>
            </w:r>
            <w:r w:rsidRPr="00634E4C">
              <w:rPr>
                <w:rFonts w:asciiTheme="majorHAnsi" w:hAnsiTheme="majorHAnsi"/>
                <w:b/>
                <w:sz w:val="18"/>
              </w:rPr>
              <w:t>531</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44B5B1"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47</w:t>
            </w:r>
            <w:r w:rsidRPr="005D0955">
              <w:rPr>
                <w:rFonts w:ascii="Calibri" w:hAnsi="Calibri" w:cs="Calibri"/>
                <w:b/>
                <w:sz w:val="18"/>
                <w:szCs w:val="18"/>
              </w:rPr>
              <w:t> </w:t>
            </w:r>
            <w:r w:rsidRPr="00634E4C">
              <w:rPr>
                <w:rFonts w:asciiTheme="majorHAnsi" w:hAnsiTheme="majorHAnsi"/>
                <w:b/>
                <w:sz w:val="18"/>
              </w:rPr>
              <w:t>947</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FB2A21"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44</w:t>
            </w:r>
            <w:r w:rsidRPr="005D0955">
              <w:rPr>
                <w:rFonts w:ascii="Calibri" w:hAnsi="Calibri" w:cs="Calibri"/>
                <w:b/>
                <w:sz w:val="18"/>
                <w:szCs w:val="18"/>
              </w:rPr>
              <w:t> </w:t>
            </w:r>
            <w:r w:rsidRPr="00634E4C">
              <w:rPr>
                <w:rFonts w:asciiTheme="majorHAnsi" w:hAnsiTheme="majorHAnsi"/>
                <w:b/>
                <w:sz w:val="18"/>
              </w:rPr>
              <w:t>507</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8C244F"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41</w:t>
            </w:r>
            <w:r w:rsidRPr="005D0955">
              <w:rPr>
                <w:rFonts w:ascii="Calibri" w:hAnsi="Calibri" w:cs="Calibri"/>
                <w:b/>
                <w:sz w:val="18"/>
                <w:szCs w:val="18"/>
              </w:rPr>
              <w:t> </w:t>
            </w:r>
            <w:r w:rsidRPr="00634E4C">
              <w:rPr>
                <w:rFonts w:asciiTheme="majorHAnsi" w:hAnsiTheme="majorHAnsi"/>
                <w:b/>
                <w:sz w:val="18"/>
              </w:rPr>
              <w:t>496</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59A8E3"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32</w:t>
            </w:r>
            <w:r w:rsidRPr="005D0955">
              <w:rPr>
                <w:rFonts w:ascii="Calibri" w:hAnsi="Calibri" w:cs="Calibri"/>
                <w:b/>
                <w:sz w:val="18"/>
                <w:szCs w:val="18"/>
              </w:rPr>
              <w:t> </w:t>
            </w:r>
            <w:r w:rsidRPr="00634E4C">
              <w:rPr>
                <w:rFonts w:asciiTheme="majorHAnsi" w:hAnsiTheme="majorHAnsi"/>
                <w:b/>
                <w:sz w:val="18"/>
              </w:rPr>
              <w:t>465</w:t>
            </w:r>
          </w:p>
        </w:tc>
      </w:tr>
      <w:tr w:rsidR="00833524" w:rsidRPr="00364545" w14:paraId="49D0811E" w14:textId="77777777" w:rsidTr="00E56269">
        <w:trPr>
          <w:trHeight w:val="346"/>
        </w:trPr>
        <w:tc>
          <w:tcPr>
            <w:tcW w:w="1405" w:type="dxa"/>
            <w:tcBorders>
              <w:top w:val="single" w:sz="2" w:space="0" w:color="000000"/>
              <w:left w:val="single" w:sz="2" w:space="0" w:color="000000"/>
              <w:bottom w:val="single" w:sz="2" w:space="0" w:color="000000"/>
              <w:right w:val="single" w:sz="2" w:space="0" w:color="000000"/>
            </w:tcBorders>
          </w:tcPr>
          <w:p w14:paraId="48E11D92" w14:textId="77777777" w:rsidR="00833524" w:rsidRPr="00364545" w:rsidRDefault="00833524" w:rsidP="00E56269">
            <w:pPr>
              <w:spacing w:line="259" w:lineRule="auto"/>
            </w:pPr>
            <w:r w:rsidRPr="00364545">
              <w:rPr>
                <w:b/>
                <w:sz w:val="18"/>
              </w:rPr>
              <w:t xml:space="preserve">Ensemble (avec UTCF) </w:t>
            </w:r>
          </w:p>
        </w:tc>
        <w:tc>
          <w:tcPr>
            <w:tcW w:w="773" w:type="dxa"/>
            <w:tcBorders>
              <w:top w:val="single" w:sz="2" w:space="0" w:color="000000"/>
              <w:left w:val="single" w:sz="2" w:space="0" w:color="000000"/>
              <w:bottom w:val="single" w:sz="2" w:space="0" w:color="000000"/>
              <w:right w:val="single" w:sz="2" w:space="0" w:color="000000"/>
            </w:tcBorders>
            <w:vAlign w:val="center"/>
          </w:tcPr>
          <w:p w14:paraId="7F384779"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70094</w:t>
            </w:r>
          </w:p>
        </w:tc>
        <w:tc>
          <w:tcPr>
            <w:tcW w:w="773" w:type="dxa"/>
            <w:tcBorders>
              <w:top w:val="single" w:sz="2" w:space="0" w:color="000000"/>
              <w:left w:val="single" w:sz="2" w:space="0" w:color="000000"/>
              <w:bottom w:val="single" w:sz="2" w:space="0" w:color="000000"/>
              <w:right w:val="single" w:sz="2" w:space="0" w:color="000000"/>
            </w:tcBorders>
            <w:vAlign w:val="center"/>
          </w:tcPr>
          <w:p w14:paraId="2D1ADA34"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74053</w:t>
            </w:r>
          </w:p>
        </w:tc>
        <w:tc>
          <w:tcPr>
            <w:tcW w:w="773" w:type="dxa"/>
            <w:tcBorders>
              <w:top w:val="single" w:sz="2" w:space="0" w:color="000000"/>
              <w:left w:val="single" w:sz="2" w:space="0" w:color="000000"/>
              <w:bottom w:val="single" w:sz="2" w:space="0" w:color="000000"/>
              <w:right w:val="single" w:sz="2" w:space="0" w:color="000000"/>
            </w:tcBorders>
            <w:vAlign w:val="center"/>
          </w:tcPr>
          <w:p w14:paraId="7A31D06F"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70296</w:t>
            </w:r>
          </w:p>
        </w:tc>
        <w:tc>
          <w:tcPr>
            <w:tcW w:w="773" w:type="dxa"/>
            <w:tcBorders>
              <w:top w:val="single" w:sz="2" w:space="0" w:color="000000"/>
              <w:left w:val="single" w:sz="2" w:space="0" w:color="000000"/>
              <w:bottom w:val="single" w:sz="2" w:space="0" w:color="000000"/>
              <w:right w:val="single" w:sz="2" w:space="0" w:color="000000"/>
            </w:tcBorders>
            <w:vAlign w:val="center"/>
          </w:tcPr>
          <w:p w14:paraId="64162078"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64820</w:t>
            </w:r>
          </w:p>
        </w:tc>
        <w:tc>
          <w:tcPr>
            <w:tcW w:w="773" w:type="dxa"/>
            <w:tcBorders>
              <w:top w:val="single" w:sz="2" w:space="0" w:color="000000"/>
              <w:left w:val="single" w:sz="2" w:space="0" w:color="000000"/>
              <w:bottom w:val="single" w:sz="2" w:space="0" w:color="000000"/>
              <w:right w:val="single" w:sz="2" w:space="0" w:color="000000"/>
            </w:tcBorders>
            <w:vAlign w:val="center"/>
          </w:tcPr>
          <w:p w14:paraId="3FE87608"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62793</w:t>
            </w:r>
          </w:p>
        </w:tc>
        <w:tc>
          <w:tcPr>
            <w:tcW w:w="774" w:type="dxa"/>
            <w:tcBorders>
              <w:top w:val="single" w:sz="2" w:space="0" w:color="000000"/>
              <w:left w:val="single" w:sz="2" w:space="0" w:color="000000"/>
              <w:bottom w:val="single" w:sz="2" w:space="0" w:color="000000"/>
              <w:right w:val="single" w:sz="2" w:space="0" w:color="000000"/>
            </w:tcBorders>
            <w:vAlign w:val="center"/>
          </w:tcPr>
          <w:p w14:paraId="5404F3F6"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58940</w:t>
            </w:r>
          </w:p>
        </w:tc>
        <w:tc>
          <w:tcPr>
            <w:tcW w:w="773" w:type="dxa"/>
            <w:tcBorders>
              <w:top w:val="single" w:sz="2" w:space="0" w:color="000000"/>
              <w:left w:val="single" w:sz="2" w:space="0" w:color="000000"/>
              <w:bottom w:val="single" w:sz="2" w:space="0" w:color="000000"/>
              <w:right w:val="single" w:sz="2" w:space="0" w:color="000000"/>
            </w:tcBorders>
            <w:vAlign w:val="center"/>
          </w:tcPr>
          <w:p w14:paraId="5D100326" w14:textId="77777777" w:rsidR="00833524" w:rsidRPr="005D0955" w:rsidRDefault="00833524" w:rsidP="00E56269">
            <w:pPr>
              <w:spacing w:line="259" w:lineRule="auto"/>
              <w:ind w:left="14"/>
              <w:jc w:val="center"/>
              <w:rPr>
                <w:rFonts w:asciiTheme="majorHAnsi" w:hAnsiTheme="majorHAnsi"/>
                <w:b/>
                <w:sz w:val="18"/>
                <w:szCs w:val="18"/>
              </w:rPr>
            </w:pPr>
            <w:r w:rsidRPr="005D0955">
              <w:rPr>
                <w:rFonts w:asciiTheme="majorHAnsi" w:hAnsiTheme="majorHAnsi"/>
                <w:sz w:val="18"/>
                <w:szCs w:val="18"/>
              </w:rPr>
              <w:t>56877</w:t>
            </w:r>
          </w:p>
        </w:tc>
        <w:tc>
          <w:tcPr>
            <w:tcW w:w="773" w:type="dxa"/>
            <w:tcBorders>
              <w:top w:val="single" w:sz="2" w:space="0" w:color="000000"/>
              <w:left w:val="single" w:sz="2" w:space="0" w:color="000000"/>
              <w:bottom w:val="single" w:sz="2" w:space="0" w:color="000000"/>
              <w:right w:val="single" w:sz="2" w:space="0" w:color="000000"/>
            </w:tcBorders>
            <w:vAlign w:val="center"/>
          </w:tcPr>
          <w:p w14:paraId="4A55C064"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53</w:t>
            </w:r>
            <w:r w:rsidRPr="005D0955">
              <w:rPr>
                <w:rFonts w:ascii="Calibri" w:hAnsi="Calibri" w:cs="Calibri"/>
                <w:b/>
                <w:sz w:val="18"/>
                <w:szCs w:val="18"/>
              </w:rPr>
              <w:t> </w:t>
            </w:r>
            <w:r w:rsidRPr="00634E4C">
              <w:rPr>
                <w:rFonts w:asciiTheme="majorHAnsi" w:hAnsiTheme="majorHAnsi"/>
                <w:b/>
                <w:sz w:val="18"/>
              </w:rPr>
              <w:t>671</w:t>
            </w:r>
          </w:p>
        </w:tc>
        <w:tc>
          <w:tcPr>
            <w:tcW w:w="773" w:type="dxa"/>
            <w:tcBorders>
              <w:top w:val="single" w:sz="2" w:space="0" w:color="000000"/>
              <w:left w:val="single" w:sz="2" w:space="0" w:color="000000"/>
              <w:bottom w:val="single" w:sz="2" w:space="0" w:color="000000"/>
              <w:right w:val="single" w:sz="2" w:space="0" w:color="000000"/>
            </w:tcBorders>
            <w:vAlign w:val="center"/>
          </w:tcPr>
          <w:p w14:paraId="56C29245"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49</w:t>
            </w:r>
            <w:r w:rsidRPr="005D0955">
              <w:rPr>
                <w:rFonts w:ascii="Calibri" w:hAnsi="Calibri" w:cs="Calibri"/>
                <w:b/>
                <w:sz w:val="18"/>
                <w:szCs w:val="18"/>
              </w:rPr>
              <w:t> </w:t>
            </w:r>
            <w:r w:rsidRPr="00634E4C">
              <w:rPr>
                <w:rFonts w:asciiTheme="majorHAnsi" w:hAnsiTheme="majorHAnsi"/>
                <w:b/>
                <w:sz w:val="18"/>
              </w:rPr>
              <w:t>093</w:t>
            </w:r>
          </w:p>
        </w:tc>
        <w:tc>
          <w:tcPr>
            <w:tcW w:w="773" w:type="dxa"/>
            <w:tcBorders>
              <w:top w:val="single" w:sz="2" w:space="0" w:color="000000"/>
              <w:left w:val="single" w:sz="2" w:space="0" w:color="000000"/>
              <w:bottom w:val="single" w:sz="2" w:space="0" w:color="000000"/>
              <w:right w:val="single" w:sz="2" w:space="0" w:color="000000"/>
            </w:tcBorders>
            <w:vAlign w:val="center"/>
          </w:tcPr>
          <w:p w14:paraId="01724806"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45</w:t>
            </w:r>
            <w:r w:rsidRPr="005D0955">
              <w:rPr>
                <w:rFonts w:ascii="Calibri" w:hAnsi="Calibri" w:cs="Calibri"/>
                <w:b/>
                <w:sz w:val="18"/>
                <w:szCs w:val="18"/>
              </w:rPr>
              <w:t> </w:t>
            </w:r>
            <w:r w:rsidRPr="00634E4C">
              <w:rPr>
                <w:rFonts w:asciiTheme="majorHAnsi" w:hAnsiTheme="majorHAnsi"/>
                <w:b/>
                <w:sz w:val="18"/>
              </w:rPr>
              <w:t>641</w:t>
            </w:r>
          </w:p>
        </w:tc>
        <w:tc>
          <w:tcPr>
            <w:tcW w:w="773" w:type="dxa"/>
            <w:tcBorders>
              <w:top w:val="single" w:sz="2" w:space="0" w:color="000000"/>
              <w:left w:val="single" w:sz="2" w:space="0" w:color="000000"/>
              <w:bottom w:val="single" w:sz="2" w:space="0" w:color="000000"/>
              <w:right w:val="single" w:sz="2" w:space="0" w:color="000000"/>
            </w:tcBorders>
            <w:vAlign w:val="center"/>
          </w:tcPr>
          <w:p w14:paraId="1841B153"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42</w:t>
            </w:r>
            <w:r w:rsidRPr="005D0955">
              <w:rPr>
                <w:rFonts w:ascii="Calibri" w:hAnsi="Calibri" w:cs="Calibri"/>
                <w:b/>
                <w:sz w:val="18"/>
                <w:szCs w:val="18"/>
              </w:rPr>
              <w:t> </w:t>
            </w:r>
            <w:r w:rsidRPr="00634E4C">
              <w:rPr>
                <w:rFonts w:asciiTheme="majorHAnsi" w:hAnsiTheme="majorHAnsi"/>
                <w:b/>
                <w:sz w:val="18"/>
              </w:rPr>
              <w:t>610</w:t>
            </w:r>
          </w:p>
        </w:tc>
        <w:tc>
          <w:tcPr>
            <w:tcW w:w="774" w:type="dxa"/>
            <w:tcBorders>
              <w:top w:val="single" w:sz="2" w:space="0" w:color="000000"/>
              <w:left w:val="single" w:sz="2" w:space="0" w:color="000000"/>
              <w:bottom w:val="single" w:sz="2" w:space="0" w:color="000000"/>
              <w:right w:val="single" w:sz="2" w:space="0" w:color="000000"/>
            </w:tcBorders>
            <w:vAlign w:val="center"/>
          </w:tcPr>
          <w:p w14:paraId="2B3C77E6"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33</w:t>
            </w:r>
            <w:r w:rsidRPr="005D0955">
              <w:rPr>
                <w:rFonts w:ascii="Calibri" w:hAnsi="Calibri" w:cs="Calibri"/>
                <w:b/>
                <w:sz w:val="18"/>
                <w:szCs w:val="18"/>
              </w:rPr>
              <w:t> </w:t>
            </w:r>
            <w:r w:rsidRPr="00634E4C">
              <w:rPr>
                <w:rFonts w:asciiTheme="majorHAnsi" w:hAnsiTheme="majorHAnsi"/>
                <w:b/>
                <w:sz w:val="18"/>
              </w:rPr>
              <w:t>519</w:t>
            </w:r>
          </w:p>
        </w:tc>
      </w:tr>
    </w:tbl>
    <w:p w14:paraId="5EF633D3" w14:textId="31B54017" w:rsidR="00833524" w:rsidRPr="00364545" w:rsidRDefault="00833524" w:rsidP="00833524">
      <w:pPr>
        <w:pStyle w:val="Caption"/>
      </w:pPr>
      <w:r w:rsidRPr="00364545">
        <w:t xml:space="preserve">Table </w:t>
      </w:r>
      <w:fldSimple w:instr=" SEQ Tableau \* ARABIC ">
        <w:r w:rsidR="009A2FAA">
          <w:rPr>
            <w:noProof/>
          </w:rPr>
          <w:t>27</w:t>
        </w:r>
      </w:fldSimple>
      <w:r w:rsidRPr="00364545">
        <w:t>: CH</w:t>
      </w:r>
      <w:r w:rsidRPr="00364545">
        <w:rPr>
          <w:vertAlign w:val="subscript"/>
        </w:rPr>
        <w:t>4</w:t>
      </w:r>
      <w:r w:rsidRPr="00364545">
        <w:t xml:space="preserve"> emissions projections (in ktCO</w:t>
      </w:r>
      <w:r w:rsidRPr="00364545">
        <w:rPr>
          <w:vertAlign w:val="subscript"/>
        </w:rPr>
        <w:t>2e</w:t>
      </w:r>
      <w:r w:rsidRPr="00364545">
        <w:t>) in the Kyoto scope in the AMS 2018 scenario (with additional measures)</w:t>
      </w:r>
    </w:p>
    <w:p w14:paraId="262F1898" w14:textId="77777777" w:rsidR="00833524" w:rsidRPr="00364545" w:rsidRDefault="00833524" w:rsidP="00833524">
      <w:pPr>
        <w:pStyle w:val="Caption"/>
      </w:pPr>
      <w:r w:rsidRPr="00364545">
        <w:t>Source: U</w:t>
      </w:r>
      <w:r>
        <w:t>NFCCC inventory, Citepa/MTE, 2022</w:t>
      </w:r>
      <w:r w:rsidRPr="00364545">
        <w:t xml:space="preserve"> submission and MTE emission projections, 2018</w:t>
      </w:r>
    </w:p>
    <w:p w14:paraId="77CF4B1E" w14:textId="77777777" w:rsidR="00833524" w:rsidRPr="00364545" w:rsidRDefault="00833524" w:rsidP="00833524"/>
    <w:p w14:paraId="6681BE2C" w14:textId="77777777" w:rsidR="00833524" w:rsidRPr="00364545" w:rsidRDefault="00833524" w:rsidP="00833524"/>
    <w:tbl>
      <w:tblPr>
        <w:tblStyle w:val="TableGrid0"/>
        <w:tblW w:w="9934" w:type="dxa"/>
        <w:tblInd w:w="10" w:type="dxa"/>
        <w:tblCellMar>
          <w:top w:w="39" w:type="dxa"/>
          <w:left w:w="28" w:type="dxa"/>
          <w:bottom w:w="2" w:type="dxa"/>
        </w:tblCellMar>
        <w:tblLook w:val="04A0" w:firstRow="1" w:lastRow="0" w:firstColumn="1" w:lastColumn="0" w:noHBand="0" w:noVBand="1"/>
      </w:tblPr>
      <w:tblGrid>
        <w:gridCol w:w="1401"/>
        <w:gridCol w:w="723"/>
        <w:gridCol w:w="723"/>
        <w:gridCol w:w="724"/>
        <w:gridCol w:w="725"/>
        <w:gridCol w:w="724"/>
        <w:gridCol w:w="724"/>
        <w:gridCol w:w="568"/>
        <w:gridCol w:w="724"/>
        <w:gridCol w:w="725"/>
        <w:gridCol w:w="724"/>
        <w:gridCol w:w="724"/>
        <w:gridCol w:w="725"/>
      </w:tblGrid>
      <w:tr w:rsidR="00833524" w:rsidRPr="00364545" w14:paraId="087DBA8C" w14:textId="77777777" w:rsidTr="00E56269">
        <w:trPr>
          <w:trHeight w:val="460"/>
        </w:trPr>
        <w:tc>
          <w:tcPr>
            <w:tcW w:w="140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A699CFE" w14:textId="77777777" w:rsidR="00833524" w:rsidRPr="00364545" w:rsidRDefault="00833524" w:rsidP="00E56269">
            <w:pPr>
              <w:spacing w:line="259" w:lineRule="auto"/>
            </w:pPr>
            <w:r w:rsidRPr="00364545">
              <w:t>AMS 18 – N</w:t>
            </w:r>
            <w:r w:rsidRPr="00364545">
              <w:rPr>
                <w:vertAlign w:val="subscript"/>
              </w:rPr>
              <w:t>2</w:t>
            </w:r>
            <w:r w:rsidRPr="00364545">
              <w:t xml:space="preserve">O </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0B86B2D" w14:textId="77777777" w:rsidR="00833524" w:rsidRPr="00364545" w:rsidRDefault="00833524" w:rsidP="00E56269">
            <w:pPr>
              <w:spacing w:line="259" w:lineRule="auto"/>
              <w:ind w:right="30"/>
              <w:jc w:val="center"/>
            </w:pPr>
            <w:r w:rsidRPr="00364545">
              <w:rPr>
                <w:b/>
                <w:color w:val="FFFFFF"/>
                <w:sz w:val="18"/>
              </w:rPr>
              <w:t>1990</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DF49250" w14:textId="77777777" w:rsidR="00833524" w:rsidRPr="00364545" w:rsidRDefault="00833524" w:rsidP="00E56269">
            <w:pPr>
              <w:spacing w:line="259" w:lineRule="auto"/>
              <w:ind w:right="30"/>
              <w:jc w:val="center"/>
              <w:rPr>
                <w:b/>
                <w:color w:val="FFFFFF"/>
                <w:sz w:val="18"/>
              </w:rPr>
            </w:pPr>
            <w:r w:rsidRPr="00364545">
              <w:rPr>
                <w:b/>
                <w:color w:val="FFFFFF"/>
                <w:sz w:val="18"/>
              </w:rPr>
              <w:t>1995</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A9DCF4B" w14:textId="77777777" w:rsidR="00833524" w:rsidRPr="00364545" w:rsidRDefault="00833524" w:rsidP="00E56269">
            <w:pPr>
              <w:spacing w:line="259" w:lineRule="auto"/>
              <w:ind w:right="30"/>
              <w:jc w:val="center"/>
              <w:rPr>
                <w:b/>
                <w:color w:val="FFFFFF"/>
                <w:sz w:val="18"/>
              </w:rPr>
            </w:pPr>
            <w:r w:rsidRPr="00364545">
              <w:rPr>
                <w:b/>
                <w:color w:val="FFFFFF"/>
                <w:sz w:val="18"/>
              </w:rPr>
              <w:t>2000</w:t>
            </w:r>
          </w:p>
        </w:tc>
        <w:tc>
          <w:tcPr>
            <w:tcW w:w="72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3264DFC" w14:textId="77777777" w:rsidR="00833524" w:rsidRPr="00364545" w:rsidRDefault="00833524" w:rsidP="00E56269">
            <w:pPr>
              <w:spacing w:line="259" w:lineRule="auto"/>
              <w:ind w:right="30"/>
              <w:jc w:val="center"/>
              <w:rPr>
                <w:b/>
                <w:color w:val="FFFFFF"/>
                <w:sz w:val="18"/>
              </w:rPr>
            </w:pPr>
            <w:r w:rsidRPr="00364545">
              <w:rPr>
                <w:b/>
                <w:color w:val="FFFFFF"/>
                <w:sz w:val="18"/>
              </w:rPr>
              <w:t>2005</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F8A78F1" w14:textId="77777777" w:rsidR="00833524" w:rsidRPr="00364545" w:rsidRDefault="00833524" w:rsidP="00E56269">
            <w:pPr>
              <w:spacing w:line="259" w:lineRule="auto"/>
              <w:ind w:right="30"/>
              <w:jc w:val="center"/>
              <w:rPr>
                <w:b/>
                <w:color w:val="FFFFFF"/>
                <w:sz w:val="18"/>
              </w:rPr>
            </w:pPr>
            <w:r w:rsidRPr="00364545">
              <w:rPr>
                <w:b/>
                <w:color w:val="FFFFFF"/>
                <w:sz w:val="18"/>
              </w:rPr>
              <w:t>2010</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E4E7876" w14:textId="77777777" w:rsidR="00833524" w:rsidRPr="00364545" w:rsidRDefault="00833524" w:rsidP="00E56269">
            <w:pPr>
              <w:spacing w:line="259" w:lineRule="auto"/>
              <w:ind w:right="30"/>
              <w:jc w:val="center"/>
              <w:rPr>
                <w:b/>
                <w:color w:val="FFFFFF"/>
                <w:sz w:val="18"/>
              </w:rPr>
            </w:pPr>
            <w:r w:rsidRPr="00364545">
              <w:rPr>
                <w:b/>
                <w:color w:val="FFFFFF"/>
                <w:sz w:val="18"/>
              </w:rPr>
              <w:t>2015</w:t>
            </w:r>
          </w:p>
        </w:tc>
        <w:tc>
          <w:tcPr>
            <w:tcW w:w="56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3702893" w14:textId="77777777" w:rsidR="00833524" w:rsidRPr="00364545" w:rsidRDefault="00833524" w:rsidP="00E56269">
            <w:pPr>
              <w:spacing w:line="259" w:lineRule="auto"/>
              <w:ind w:right="30"/>
              <w:jc w:val="center"/>
              <w:rPr>
                <w:b/>
                <w:color w:val="FFFFFF"/>
                <w:sz w:val="18"/>
              </w:rPr>
            </w:pPr>
            <w:r>
              <w:rPr>
                <w:b/>
                <w:color w:val="FFFFFF"/>
                <w:sz w:val="18"/>
              </w:rPr>
              <w:t>2019</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0D163D8" w14:textId="77777777" w:rsidR="00833524" w:rsidRPr="00364545" w:rsidRDefault="00833524" w:rsidP="00E56269">
            <w:pPr>
              <w:spacing w:line="259" w:lineRule="auto"/>
              <w:ind w:right="30"/>
              <w:jc w:val="center"/>
              <w:rPr>
                <w:b/>
                <w:color w:val="FFFFFF"/>
                <w:sz w:val="18"/>
              </w:rPr>
            </w:pPr>
            <w:r w:rsidRPr="00364545">
              <w:rPr>
                <w:b/>
                <w:color w:val="FFFFFF"/>
                <w:sz w:val="18"/>
              </w:rPr>
              <w:t>2020</w:t>
            </w:r>
          </w:p>
        </w:tc>
        <w:tc>
          <w:tcPr>
            <w:tcW w:w="72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BF04A82" w14:textId="77777777" w:rsidR="00833524" w:rsidRPr="00364545" w:rsidRDefault="00833524" w:rsidP="00E56269">
            <w:pPr>
              <w:spacing w:line="259" w:lineRule="auto"/>
              <w:ind w:right="30"/>
              <w:jc w:val="center"/>
              <w:rPr>
                <w:b/>
                <w:color w:val="FFFFFF"/>
                <w:sz w:val="18"/>
              </w:rPr>
            </w:pPr>
            <w:r w:rsidRPr="00364545">
              <w:rPr>
                <w:b/>
                <w:color w:val="FFFFFF"/>
                <w:sz w:val="18"/>
              </w:rPr>
              <w:t>2025</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C672C93" w14:textId="77777777" w:rsidR="00833524" w:rsidRPr="00364545" w:rsidRDefault="00833524" w:rsidP="00E56269">
            <w:pPr>
              <w:spacing w:line="259" w:lineRule="auto"/>
              <w:ind w:right="30"/>
              <w:jc w:val="center"/>
              <w:rPr>
                <w:b/>
                <w:color w:val="FFFFFF"/>
                <w:sz w:val="18"/>
              </w:rPr>
            </w:pPr>
            <w:r w:rsidRPr="00364545">
              <w:rPr>
                <w:b/>
                <w:color w:val="FFFFFF"/>
                <w:sz w:val="18"/>
              </w:rPr>
              <w:t>2030</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D25EAF4" w14:textId="77777777" w:rsidR="00833524" w:rsidRPr="00364545" w:rsidRDefault="00833524" w:rsidP="00E56269">
            <w:pPr>
              <w:spacing w:line="259" w:lineRule="auto"/>
              <w:ind w:right="30"/>
              <w:jc w:val="center"/>
              <w:rPr>
                <w:b/>
                <w:color w:val="FFFFFF"/>
                <w:sz w:val="18"/>
              </w:rPr>
            </w:pPr>
            <w:r w:rsidRPr="00364545">
              <w:rPr>
                <w:b/>
                <w:color w:val="FFFFFF"/>
                <w:sz w:val="18"/>
              </w:rPr>
              <w:t>2035</w:t>
            </w:r>
          </w:p>
        </w:tc>
        <w:tc>
          <w:tcPr>
            <w:tcW w:w="72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2B36D88" w14:textId="77777777" w:rsidR="00833524" w:rsidRPr="00364545" w:rsidRDefault="00833524" w:rsidP="00E56269">
            <w:pPr>
              <w:spacing w:line="259" w:lineRule="auto"/>
              <w:ind w:right="30"/>
              <w:jc w:val="center"/>
              <w:rPr>
                <w:b/>
                <w:color w:val="FFFFFF"/>
                <w:sz w:val="18"/>
              </w:rPr>
            </w:pPr>
            <w:r w:rsidRPr="00364545">
              <w:rPr>
                <w:b/>
                <w:color w:val="FFFFFF"/>
                <w:sz w:val="18"/>
              </w:rPr>
              <w:t>2050</w:t>
            </w:r>
          </w:p>
        </w:tc>
      </w:tr>
      <w:tr w:rsidR="00833524" w:rsidRPr="00364545" w14:paraId="6AD7DFCC" w14:textId="77777777" w:rsidTr="00E56269">
        <w:trPr>
          <w:trHeight w:val="344"/>
        </w:trPr>
        <w:tc>
          <w:tcPr>
            <w:tcW w:w="1401" w:type="dxa"/>
            <w:tcBorders>
              <w:top w:val="single" w:sz="2" w:space="0" w:color="000000"/>
              <w:left w:val="single" w:sz="2" w:space="0" w:color="000000"/>
              <w:bottom w:val="single" w:sz="2" w:space="0" w:color="000000"/>
              <w:right w:val="single" w:sz="2" w:space="0" w:color="000000"/>
            </w:tcBorders>
          </w:tcPr>
          <w:p w14:paraId="5A6A52EB" w14:textId="77777777" w:rsidR="00833524" w:rsidRPr="00364545" w:rsidRDefault="00833524" w:rsidP="00E56269">
            <w:pPr>
              <w:spacing w:line="259" w:lineRule="auto"/>
            </w:pPr>
            <w:r w:rsidRPr="00364545">
              <w:rPr>
                <w:sz w:val="18"/>
              </w:rPr>
              <w:t xml:space="preserve">Energy </w:t>
            </w:r>
          </w:p>
        </w:tc>
        <w:tc>
          <w:tcPr>
            <w:tcW w:w="723" w:type="dxa"/>
            <w:tcBorders>
              <w:top w:val="single" w:sz="2" w:space="0" w:color="000000"/>
              <w:left w:val="single" w:sz="2" w:space="0" w:color="000000"/>
              <w:bottom w:val="single" w:sz="2" w:space="0" w:color="000000"/>
              <w:right w:val="single" w:sz="2" w:space="0" w:color="000000"/>
            </w:tcBorders>
            <w:vAlign w:val="center"/>
          </w:tcPr>
          <w:p w14:paraId="3BFBD4D7"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3433</w:t>
            </w:r>
          </w:p>
        </w:tc>
        <w:tc>
          <w:tcPr>
            <w:tcW w:w="723" w:type="dxa"/>
            <w:tcBorders>
              <w:top w:val="single" w:sz="2" w:space="0" w:color="000000"/>
              <w:left w:val="single" w:sz="2" w:space="0" w:color="000000"/>
              <w:bottom w:val="single" w:sz="2" w:space="0" w:color="000000"/>
              <w:right w:val="single" w:sz="2" w:space="0" w:color="000000"/>
            </w:tcBorders>
            <w:vAlign w:val="center"/>
          </w:tcPr>
          <w:p w14:paraId="47212348"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4046</w:t>
            </w:r>
          </w:p>
        </w:tc>
        <w:tc>
          <w:tcPr>
            <w:tcW w:w="724" w:type="dxa"/>
            <w:tcBorders>
              <w:top w:val="single" w:sz="2" w:space="0" w:color="000000"/>
              <w:left w:val="single" w:sz="2" w:space="0" w:color="000000"/>
              <w:bottom w:val="single" w:sz="2" w:space="0" w:color="000000"/>
              <w:right w:val="single" w:sz="2" w:space="0" w:color="000000"/>
            </w:tcBorders>
            <w:vAlign w:val="center"/>
          </w:tcPr>
          <w:p w14:paraId="5D535F90"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3900</w:t>
            </w:r>
          </w:p>
        </w:tc>
        <w:tc>
          <w:tcPr>
            <w:tcW w:w="725" w:type="dxa"/>
            <w:tcBorders>
              <w:top w:val="single" w:sz="2" w:space="0" w:color="000000"/>
              <w:left w:val="single" w:sz="2" w:space="0" w:color="000000"/>
              <w:bottom w:val="single" w:sz="2" w:space="0" w:color="000000"/>
              <w:right w:val="single" w:sz="2" w:space="0" w:color="000000"/>
            </w:tcBorders>
            <w:vAlign w:val="center"/>
          </w:tcPr>
          <w:p w14:paraId="6286126B"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4183</w:t>
            </w:r>
          </w:p>
        </w:tc>
        <w:tc>
          <w:tcPr>
            <w:tcW w:w="724" w:type="dxa"/>
            <w:tcBorders>
              <w:top w:val="single" w:sz="2" w:space="0" w:color="000000"/>
              <w:left w:val="single" w:sz="2" w:space="0" w:color="000000"/>
              <w:bottom w:val="single" w:sz="2" w:space="0" w:color="000000"/>
              <w:right w:val="single" w:sz="2" w:space="0" w:color="000000"/>
            </w:tcBorders>
            <w:vAlign w:val="center"/>
          </w:tcPr>
          <w:p w14:paraId="4C7D7D6B"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3638</w:t>
            </w:r>
          </w:p>
        </w:tc>
        <w:tc>
          <w:tcPr>
            <w:tcW w:w="724" w:type="dxa"/>
            <w:tcBorders>
              <w:top w:val="single" w:sz="2" w:space="0" w:color="000000"/>
              <w:left w:val="single" w:sz="2" w:space="0" w:color="000000"/>
              <w:bottom w:val="single" w:sz="2" w:space="0" w:color="000000"/>
              <w:right w:val="single" w:sz="2" w:space="0" w:color="000000"/>
            </w:tcBorders>
            <w:vAlign w:val="center"/>
          </w:tcPr>
          <w:p w14:paraId="054156F4"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3731</w:t>
            </w:r>
          </w:p>
        </w:tc>
        <w:tc>
          <w:tcPr>
            <w:tcW w:w="568" w:type="dxa"/>
            <w:tcBorders>
              <w:top w:val="single" w:sz="2" w:space="0" w:color="000000"/>
              <w:left w:val="single" w:sz="2" w:space="0" w:color="000000"/>
              <w:bottom w:val="single" w:sz="2" w:space="0" w:color="000000"/>
              <w:right w:val="single" w:sz="2" w:space="0" w:color="000000"/>
            </w:tcBorders>
            <w:vAlign w:val="center"/>
          </w:tcPr>
          <w:p w14:paraId="36B18364"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3537</w:t>
            </w:r>
          </w:p>
        </w:tc>
        <w:tc>
          <w:tcPr>
            <w:tcW w:w="724" w:type="dxa"/>
            <w:tcBorders>
              <w:top w:val="single" w:sz="2" w:space="0" w:color="000000"/>
              <w:left w:val="single" w:sz="2" w:space="0" w:color="000000"/>
              <w:bottom w:val="single" w:sz="2" w:space="0" w:color="000000"/>
              <w:right w:val="single" w:sz="2" w:space="0" w:color="000000"/>
            </w:tcBorders>
            <w:vAlign w:val="center"/>
          </w:tcPr>
          <w:p w14:paraId="530A685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932</w:t>
            </w:r>
          </w:p>
        </w:tc>
        <w:tc>
          <w:tcPr>
            <w:tcW w:w="725" w:type="dxa"/>
            <w:tcBorders>
              <w:top w:val="single" w:sz="2" w:space="0" w:color="000000"/>
              <w:left w:val="single" w:sz="2" w:space="0" w:color="000000"/>
              <w:bottom w:val="single" w:sz="2" w:space="0" w:color="000000"/>
              <w:right w:val="single" w:sz="2" w:space="0" w:color="000000"/>
            </w:tcBorders>
            <w:vAlign w:val="center"/>
          </w:tcPr>
          <w:p w14:paraId="5152E492"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501</w:t>
            </w:r>
          </w:p>
        </w:tc>
        <w:tc>
          <w:tcPr>
            <w:tcW w:w="724" w:type="dxa"/>
            <w:tcBorders>
              <w:top w:val="single" w:sz="2" w:space="0" w:color="000000"/>
              <w:left w:val="single" w:sz="2" w:space="0" w:color="000000"/>
              <w:bottom w:val="single" w:sz="2" w:space="0" w:color="000000"/>
              <w:right w:val="single" w:sz="2" w:space="0" w:color="000000"/>
            </w:tcBorders>
            <w:vAlign w:val="center"/>
          </w:tcPr>
          <w:p w14:paraId="741789A1"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118</w:t>
            </w:r>
          </w:p>
        </w:tc>
        <w:tc>
          <w:tcPr>
            <w:tcW w:w="724" w:type="dxa"/>
            <w:tcBorders>
              <w:top w:val="single" w:sz="2" w:space="0" w:color="000000"/>
              <w:left w:val="single" w:sz="2" w:space="0" w:color="000000"/>
              <w:bottom w:val="single" w:sz="2" w:space="0" w:color="000000"/>
              <w:right w:val="single" w:sz="2" w:space="0" w:color="000000"/>
            </w:tcBorders>
            <w:vAlign w:val="center"/>
          </w:tcPr>
          <w:p w14:paraId="4607E876"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2</w:t>
            </w:r>
            <w:r w:rsidRPr="005D0955">
              <w:rPr>
                <w:rFonts w:ascii="Calibri" w:hAnsi="Calibri" w:cs="Calibri"/>
                <w:sz w:val="18"/>
                <w:szCs w:val="18"/>
              </w:rPr>
              <w:t> </w:t>
            </w:r>
            <w:r w:rsidRPr="00634E4C">
              <w:rPr>
                <w:rFonts w:asciiTheme="majorHAnsi" w:hAnsiTheme="majorHAnsi"/>
                <w:sz w:val="18"/>
              </w:rPr>
              <w:t>613</w:t>
            </w:r>
          </w:p>
        </w:tc>
        <w:tc>
          <w:tcPr>
            <w:tcW w:w="725" w:type="dxa"/>
            <w:tcBorders>
              <w:top w:val="single" w:sz="2" w:space="0" w:color="000000"/>
              <w:left w:val="single" w:sz="2" w:space="0" w:color="000000"/>
              <w:bottom w:val="single" w:sz="2" w:space="0" w:color="000000"/>
              <w:right w:val="single" w:sz="2" w:space="0" w:color="000000"/>
            </w:tcBorders>
            <w:vAlign w:val="center"/>
          </w:tcPr>
          <w:p w14:paraId="386DE430"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100</w:t>
            </w:r>
          </w:p>
        </w:tc>
      </w:tr>
      <w:tr w:rsidR="00833524" w:rsidRPr="00364545" w14:paraId="6581D262" w14:textId="77777777" w:rsidTr="00E56269">
        <w:trPr>
          <w:trHeight w:val="419"/>
        </w:trPr>
        <w:tc>
          <w:tcPr>
            <w:tcW w:w="1401" w:type="dxa"/>
            <w:tcBorders>
              <w:top w:val="single" w:sz="2" w:space="0" w:color="000000"/>
              <w:left w:val="single" w:sz="2" w:space="0" w:color="000000"/>
              <w:bottom w:val="single" w:sz="2" w:space="0" w:color="000000"/>
              <w:right w:val="single" w:sz="2" w:space="0" w:color="000000"/>
            </w:tcBorders>
            <w:shd w:val="clear" w:color="auto" w:fill="ECE6E2"/>
          </w:tcPr>
          <w:p w14:paraId="76B1978E" w14:textId="77777777" w:rsidR="00833524" w:rsidRPr="00364545" w:rsidRDefault="00833524" w:rsidP="00E56269">
            <w:pPr>
              <w:spacing w:line="259" w:lineRule="auto"/>
            </w:pPr>
            <w:r w:rsidRPr="00364545">
              <w:rPr>
                <w:sz w:val="18"/>
              </w:rPr>
              <w:t xml:space="preserve">Industrial processes, solvents and other products </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6102BEF"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23831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572215B"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25932</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765603"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11924</w:t>
            </w:r>
          </w:p>
        </w:tc>
        <w:tc>
          <w:tcPr>
            <w:tcW w:w="7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4CE5C2D"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6760</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B2EED4"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2287</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813BF8"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1291</w:t>
            </w:r>
          </w:p>
        </w:tc>
        <w:tc>
          <w:tcPr>
            <w:tcW w:w="56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E663CC"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918</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38F669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984</w:t>
            </w:r>
          </w:p>
        </w:tc>
        <w:tc>
          <w:tcPr>
            <w:tcW w:w="7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60AF9D"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893</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3DE94F"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778</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2C5C49"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761</w:t>
            </w:r>
          </w:p>
        </w:tc>
        <w:tc>
          <w:tcPr>
            <w:tcW w:w="7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DD152A"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712</w:t>
            </w:r>
          </w:p>
        </w:tc>
      </w:tr>
      <w:tr w:rsidR="00833524" w:rsidRPr="00364545" w14:paraId="3E63739E" w14:textId="77777777" w:rsidTr="00E56269">
        <w:trPr>
          <w:trHeight w:val="347"/>
        </w:trPr>
        <w:tc>
          <w:tcPr>
            <w:tcW w:w="1401" w:type="dxa"/>
            <w:tcBorders>
              <w:top w:val="single" w:sz="2" w:space="0" w:color="000000"/>
              <w:left w:val="single" w:sz="2" w:space="0" w:color="000000"/>
              <w:bottom w:val="single" w:sz="2" w:space="0" w:color="000000"/>
              <w:right w:val="single" w:sz="2" w:space="0" w:color="000000"/>
            </w:tcBorders>
          </w:tcPr>
          <w:p w14:paraId="4070E98B" w14:textId="77777777" w:rsidR="00833524" w:rsidRPr="00364545" w:rsidRDefault="00833524" w:rsidP="00E56269">
            <w:pPr>
              <w:spacing w:line="259" w:lineRule="auto"/>
            </w:pPr>
            <w:r w:rsidRPr="00364545">
              <w:rPr>
                <w:sz w:val="18"/>
              </w:rPr>
              <w:t xml:space="preserve">Agriculture (excluding energy) </w:t>
            </w:r>
          </w:p>
        </w:tc>
        <w:tc>
          <w:tcPr>
            <w:tcW w:w="723" w:type="dxa"/>
            <w:tcBorders>
              <w:top w:val="single" w:sz="2" w:space="0" w:color="000000"/>
              <w:left w:val="single" w:sz="2" w:space="0" w:color="000000"/>
              <w:bottom w:val="single" w:sz="2" w:space="0" w:color="000000"/>
              <w:right w:val="single" w:sz="2" w:space="0" w:color="000000"/>
            </w:tcBorders>
            <w:vAlign w:val="center"/>
          </w:tcPr>
          <w:p w14:paraId="46BC6192"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36691</w:t>
            </w:r>
          </w:p>
        </w:tc>
        <w:tc>
          <w:tcPr>
            <w:tcW w:w="723" w:type="dxa"/>
            <w:tcBorders>
              <w:top w:val="single" w:sz="2" w:space="0" w:color="000000"/>
              <w:left w:val="single" w:sz="2" w:space="0" w:color="000000"/>
              <w:bottom w:val="single" w:sz="2" w:space="0" w:color="000000"/>
              <w:right w:val="single" w:sz="2" w:space="0" w:color="000000"/>
            </w:tcBorders>
            <w:vAlign w:val="center"/>
          </w:tcPr>
          <w:p w14:paraId="43F80358"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35162</w:t>
            </w:r>
          </w:p>
        </w:tc>
        <w:tc>
          <w:tcPr>
            <w:tcW w:w="724" w:type="dxa"/>
            <w:tcBorders>
              <w:top w:val="single" w:sz="2" w:space="0" w:color="000000"/>
              <w:left w:val="single" w:sz="2" w:space="0" w:color="000000"/>
              <w:bottom w:val="single" w:sz="2" w:space="0" w:color="000000"/>
              <w:right w:val="single" w:sz="2" w:space="0" w:color="000000"/>
            </w:tcBorders>
            <w:vAlign w:val="center"/>
          </w:tcPr>
          <w:p w14:paraId="1CA510A0"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37106</w:t>
            </w:r>
          </w:p>
        </w:tc>
        <w:tc>
          <w:tcPr>
            <w:tcW w:w="725" w:type="dxa"/>
            <w:tcBorders>
              <w:top w:val="single" w:sz="2" w:space="0" w:color="000000"/>
              <w:left w:val="single" w:sz="2" w:space="0" w:color="000000"/>
              <w:bottom w:val="single" w:sz="2" w:space="0" w:color="000000"/>
              <w:right w:val="single" w:sz="2" w:space="0" w:color="000000"/>
            </w:tcBorders>
            <w:vAlign w:val="center"/>
          </w:tcPr>
          <w:p w14:paraId="037B92CF"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34680</w:t>
            </w:r>
          </w:p>
        </w:tc>
        <w:tc>
          <w:tcPr>
            <w:tcW w:w="724" w:type="dxa"/>
            <w:tcBorders>
              <w:top w:val="single" w:sz="2" w:space="0" w:color="000000"/>
              <w:left w:val="single" w:sz="2" w:space="0" w:color="000000"/>
              <w:bottom w:val="single" w:sz="2" w:space="0" w:color="000000"/>
              <w:right w:val="single" w:sz="2" w:space="0" w:color="000000"/>
            </w:tcBorders>
            <w:vAlign w:val="center"/>
          </w:tcPr>
          <w:p w14:paraId="36BBCA05"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33892</w:t>
            </w:r>
          </w:p>
        </w:tc>
        <w:tc>
          <w:tcPr>
            <w:tcW w:w="724" w:type="dxa"/>
            <w:tcBorders>
              <w:top w:val="single" w:sz="2" w:space="0" w:color="000000"/>
              <w:left w:val="single" w:sz="2" w:space="0" w:color="000000"/>
              <w:bottom w:val="single" w:sz="2" w:space="0" w:color="000000"/>
              <w:right w:val="single" w:sz="2" w:space="0" w:color="000000"/>
            </w:tcBorders>
            <w:vAlign w:val="center"/>
          </w:tcPr>
          <w:p w14:paraId="5D41EBD8"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34263</w:t>
            </w:r>
          </w:p>
        </w:tc>
        <w:tc>
          <w:tcPr>
            <w:tcW w:w="568" w:type="dxa"/>
            <w:tcBorders>
              <w:top w:val="single" w:sz="2" w:space="0" w:color="000000"/>
              <w:left w:val="single" w:sz="2" w:space="0" w:color="000000"/>
              <w:bottom w:val="single" w:sz="2" w:space="0" w:color="000000"/>
              <w:right w:val="single" w:sz="2" w:space="0" w:color="000000"/>
            </w:tcBorders>
            <w:vAlign w:val="center"/>
          </w:tcPr>
          <w:p w14:paraId="4501A8FE"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33020</w:t>
            </w:r>
          </w:p>
        </w:tc>
        <w:tc>
          <w:tcPr>
            <w:tcW w:w="724" w:type="dxa"/>
            <w:tcBorders>
              <w:top w:val="single" w:sz="2" w:space="0" w:color="000000"/>
              <w:left w:val="single" w:sz="2" w:space="0" w:color="000000"/>
              <w:bottom w:val="single" w:sz="2" w:space="0" w:color="000000"/>
              <w:right w:val="single" w:sz="2" w:space="0" w:color="000000"/>
            </w:tcBorders>
            <w:vAlign w:val="center"/>
          </w:tcPr>
          <w:p w14:paraId="6BBCE4D9"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34</w:t>
            </w:r>
            <w:r w:rsidRPr="005D0955">
              <w:rPr>
                <w:rFonts w:ascii="Calibri" w:hAnsi="Calibri" w:cs="Calibri"/>
                <w:sz w:val="18"/>
                <w:szCs w:val="18"/>
              </w:rPr>
              <w:t> </w:t>
            </w:r>
            <w:r w:rsidRPr="00634E4C">
              <w:rPr>
                <w:rFonts w:asciiTheme="majorHAnsi" w:hAnsiTheme="majorHAnsi"/>
                <w:sz w:val="18"/>
              </w:rPr>
              <w:t>579</w:t>
            </w:r>
          </w:p>
        </w:tc>
        <w:tc>
          <w:tcPr>
            <w:tcW w:w="725" w:type="dxa"/>
            <w:tcBorders>
              <w:top w:val="single" w:sz="2" w:space="0" w:color="000000"/>
              <w:left w:val="single" w:sz="2" w:space="0" w:color="000000"/>
              <w:bottom w:val="single" w:sz="2" w:space="0" w:color="000000"/>
              <w:right w:val="single" w:sz="2" w:space="0" w:color="000000"/>
            </w:tcBorders>
            <w:vAlign w:val="center"/>
          </w:tcPr>
          <w:p w14:paraId="48A44B19"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32</w:t>
            </w:r>
            <w:r w:rsidRPr="005D0955">
              <w:rPr>
                <w:rFonts w:ascii="Calibri" w:hAnsi="Calibri" w:cs="Calibri"/>
                <w:sz w:val="18"/>
                <w:szCs w:val="18"/>
              </w:rPr>
              <w:t> </w:t>
            </w:r>
            <w:r w:rsidRPr="00634E4C">
              <w:rPr>
                <w:rFonts w:asciiTheme="majorHAnsi" w:hAnsiTheme="majorHAnsi"/>
                <w:sz w:val="18"/>
              </w:rPr>
              <w:t>471</w:t>
            </w:r>
          </w:p>
        </w:tc>
        <w:tc>
          <w:tcPr>
            <w:tcW w:w="724" w:type="dxa"/>
            <w:tcBorders>
              <w:top w:val="single" w:sz="2" w:space="0" w:color="000000"/>
              <w:left w:val="single" w:sz="2" w:space="0" w:color="000000"/>
              <w:bottom w:val="single" w:sz="2" w:space="0" w:color="000000"/>
              <w:right w:val="single" w:sz="2" w:space="0" w:color="000000"/>
            </w:tcBorders>
            <w:vAlign w:val="center"/>
          </w:tcPr>
          <w:p w14:paraId="61E1D812"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30</w:t>
            </w:r>
            <w:r w:rsidRPr="005D0955">
              <w:rPr>
                <w:rFonts w:ascii="Calibri" w:hAnsi="Calibri" w:cs="Calibri"/>
                <w:sz w:val="18"/>
                <w:szCs w:val="18"/>
              </w:rPr>
              <w:t> </w:t>
            </w:r>
            <w:r w:rsidRPr="00634E4C">
              <w:rPr>
                <w:rFonts w:asciiTheme="majorHAnsi" w:hAnsiTheme="majorHAnsi"/>
                <w:sz w:val="18"/>
              </w:rPr>
              <w:t>826</w:t>
            </w:r>
          </w:p>
        </w:tc>
        <w:tc>
          <w:tcPr>
            <w:tcW w:w="724" w:type="dxa"/>
            <w:tcBorders>
              <w:top w:val="single" w:sz="2" w:space="0" w:color="000000"/>
              <w:left w:val="single" w:sz="2" w:space="0" w:color="000000"/>
              <w:bottom w:val="single" w:sz="2" w:space="0" w:color="000000"/>
              <w:right w:val="single" w:sz="2" w:space="0" w:color="000000"/>
            </w:tcBorders>
            <w:vAlign w:val="center"/>
          </w:tcPr>
          <w:p w14:paraId="302B0A26"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29</w:t>
            </w:r>
            <w:r w:rsidRPr="005D0955">
              <w:rPr>
                <w:rFonts w:ascii="Calibri" w:hAnsi="Calibri" w:cs="Calibri"/>
                <w:sz w:val="18"/>
                <w:szCs w:val="18"/>
              </w:rPr>
              <w:t> </w:t>
            </w:r>
            <w:r w:rsidRPr="00634E4C">
              <w:rPr>
                <w:rFonts w:asciiTheme="majorHAnsi" w:hAnsiTheme="majorHAnsi"/>
                <w:sz w:val="18"/>
              </w:rPr>
              <w:t>519</w:t>
            </w:r>
          </w:p>
        </w:tc>
        <w:tc>
          <w:tcPr>
            <w:tcW w:w="725" w:type="dxa"/>
            <w:tcBorders>
              <w:top w:val="single" w:sz="2" w:space="0" w:color="000000"/>
              <w:left w:val="single" w:sz="2" w:space="0" w:color="000000"/>
              <w:bottom w:val="single" w:sz="2" w:space="0" w:color="000000"/>
              <w:right w:val="single" w:sz="2" w:space="0" w:color="000000"/>
            </w:tcBorders>
            <w:vAlign w:val="center"/>
          </w:tcPr>
          <w:p w14:paraId="7E3124F3"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20</w:t>
            </w:r>
            <w:r w:rsidRPr="005D0955">
              <w:rPr>
                <w:rFonts w:ascii="Calibri" w:hAnsi="Calibri" w:cs="Calibri"/>
                <w:sz w:val="18"/>
                <w:szCs w:val="18"/>
              </w:rPr>
              <w:t> </w:t>
            </w:r>
            <w:r w:rsidRPr="00634E4C">
              <w:rPr>
                <w:rFonts w:asciiTheme="majorHAnsi" w:hAnsiTheme="majorHAnsi"/>
                <w:sz w:val="18"/>
              </w:rPr>
              <w:t>246</w:t>
            </w:r>
          </w:p>
        </w:tc>
      </w:tr>
      <w:tr w:rsidR="00833524" w:rsidRPr="00364545" w14:paraId="72461EC9" w14:textId="77777777" w:rsidTr="00E56269">
        <w:trPr>
          <w:trHeight w:val="342"/>
        </w:trPr>
        <w:tc>
          <w:tcPr>
            <w:tcW w:w="1401" w:type="dxa"/>
            <w:tcBorders>
              <w:top w:val="single" w:sz="2" w:space="0" w:color="000000"/>
              <w:left w:val="single" w:sz="2" w:space="0" w:color="000000"/>
              <w:bottom w:val="single" w:sz="2" w:space="0" w:color="000000"/>
              <w:right w:val="single" w:sz="2" w:space="0" w:color="000000"/>
            </w:tcBorders>
            <w:shd w:val="clear" w:color="auto" w:fill="ECE6E2"/>
          </w:tcPr>
          <w:p w14:paraId="08573943" w14:textId="77777777" w:rsidR="00833524" w:rsidRPr="00364545" w:rsidRDefault="00833524" w:rsidP="00E56269">
            <w:pPr>
              <w:spacing w:line="259" w:lineRule="auto"/>
            </w:pPr>
            <w:r w:rsidRPr="00364545">
              <w:rPr>
                <w:sz w:val="18"/>
              </w:rPr>
              <w:t xml:space="preserve">LULUCF </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3C700C"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3226</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AA33262"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3246</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1D0B204"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3193</w:t>
            </w:r>
          </w:p>
        </w:tc>
        <w:tc>
          <w:tcPr>
            <w:tcW w:w="7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4A2A2D"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2971</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4101C0"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3216</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ECF0E7"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2944</w:t>
            </w:r>
          </w:p>
        </w:tc>
        <w:tc>
          <w:tcPr>
            <w:tcW w:w="56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2E292B4"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2867</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22D37D"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083</w:t>
            </w:r>
          </w:p>
        </w:tc>
        <w:tc>
          <w:tcPr>
            <w:tcW w:w="7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1842EC"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085</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CC096A"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082</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F91EB65"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076</w:t>
            </w:r>
          </w:p>
        </w:tc>
        <w:tc>
          <w:tcPr>
            <w:tcW w:w="7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004AE6"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059</w:t>
            </w:r>
          </w:p>
        </w:tc>
      </w:tr>
      <w:tr w:rsidR="00833524" w:rsidRPr="00364545" w14:paraId="17AF4870" w14:textId="77777777" w:rsidTr="00E56269">
        <w:trPr>
          <w:trHeight w:val="347"/>
        </w:trPr>
        <w:tc>
          <w:tcPr>
            <w:tcW w:w="1401" w:type="dxa"/>
            <w:tcBorders>
              <w:top w:val="single" w:sz="2" w:space="0" w:color="000000"/>
              <w:left w:val="single" w:sz="2" w:space="0" w:color="000000"/>
              <w:bottom w:val="single" w:sz="2" w:space="0" w:color="000000"/>
              <w:right w:val="single" w:sz="2" w:space="0" w:color="000000"/>
            </w:tcBorders>
          </w:tcPr>
          <w:p w14:paraId="0717FEEF" w14:textId="77777777" w:rsidR="00833524" w:rsidRPr="00364545" w:rsidRDefault="00833524" w:rsidP="00E56269">
            <w:pPr>
              <w:spacing w:line="259" w:lineRule="auto"/>
            </w:pPr>
            <w:r w:rsidRPr="00364545">
              <w:rPr>
                <w:sz w:val="18"/>
              </w:rPr>
              <w:t xml:space="preserve">Waste </w:t>
            </w:r>
          </w:p>
        </w:tc>
        <w:tc>
          <w:tcPr>
            <w:tcW w:w="723" w:type="dxa"/>
            <w:tcBorders>
              <w:top w:val="single" w:sz="2" w:space="0" w:color="000000"/>
              <w:left w:val="single" w:sz="2" w:space="0" w:color="000000"/>
              <w:bottom w:val="single" w:sz="2" w:space="0" w:color="000000"/>
              <w:right w:val="single" w:sz="2" w:space="0" w:color="000000"/>
            </w:tcBorders>
            <w:vAlign w:val="center"/>
          </w:tcPr>
          <w:p w14:paraId="3E9BB851"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771</w:t>
            </w:r>
          </w:p>
        </w:tc>
        <w:tc>
          <w:tcPr>
            <w:tcW w:w="723" w:type="dxa"/>
            <w:tcBorders>
              <w:top w:val="single" w:sz="2" w:space="0" w:color="000000"/>
              <w:left w:val="single" w:sz="2" w:space="0" w:color="000000"/>
              <w:bottom w:val="single" w:sz="2" w:space="0" w:color="000000"/>
              <w:right w:val="single" w:sz="2" w:space="0" w:color="000000"/>
            </w:tcBorders>
            <w:vAlign w:val="center"/>
          </w:tcPr>
          <w:p w14:paraId="76FADCAE"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796</w:t>
            </w:r>
          </w:p>
        </w:tc>
        <w:tc>
          <w:tcPr>
            <w:tcW w:w="724" w:type="dxa"/>
            <w:tcBorders>
              <w:top w:val="single" w:sz="2" w:space="0" w:color="000000"/>
              <w:left w:val="single" w:sz="2" w:space="0" w:color="000000"/>
              <w:bottom w:val="single" w:sz="2" w:space="0" w:color="000000"/>
              <w:right w:val="single" w:sz="2" w:space="0" w:color="000000"/>
            </w:tcBorders>
            <w:vAlign w:val="center"/>
          </w:tcPr>
          <w:p w14:paraId="10F0F693"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750</w:t>
            </w:r>
          </w:p>
        </w:tc>
        <w:tc>
          <w:tcPr>
            <w:tcW w:w="725" w:type="dxa"/>
            <w:tcBorders>
              <w:top w:val="single" w:sz="2" w:space="0" w:color="000000"/>
              <w:left w:val="single" w:sz="2" w:space="0" w:color="000000"/>
              <w:bottom w:val="single" w:sz="2" w:space="0" w:color="000000"/>
              <w:right w:val="single" w:sz="2" w:space="0" w:color="000000"/>
            </w:tcBorders>
            <w:vAlign w:val="center"/>
          </w:tcPr>
          <w:p w14:paraId="07302685"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684</w:t>
            </w:r>
          </w:p>
        </w:tc>
        <w:tc>
          <w:tcPr>
            <w:tcW w:w="724" w:type="dxa"/>
            <w:tcBorders>
              <w:top w:val="single" w:sz="2" w:space="0" w:color="000000"/>
              <w:left w:val="single" w:sz="2" w:space="0" w:color="000000"/>
              <w:bottom w:val="single" w:sz="2" w:space="0" w:color="000000"/>
              <w:right w:val="single" w:sz="2" w:space="0" w:color="000000"/>
            </w:tcBorders>
            <w:vAlign w:val="center"/>
          </w:tcPr>
          <w:p w14:paraId="5D4269DF"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661</w:t>
            </w:r>
          </w:p>
        </w:tc>
        <w:tc>
          <w:tcPr>
            <w:tcW w:w="724" w:type="dxa"/>
            <w:tcBorders>
              <w:top w:val="single" w:sz="2" w:space="0" w:color="000000"/>
              <w:left w:val="single" w:sz="2" w:space="0" w:color="000000"/>
              <w:bottom w:val="single" w:sz="2" w:space="0" w:color="000000"/>
              <w:right w:val="single" w:sz="2" w:space="0" w:color="000000"/>
            </w:tcBorders>
            <w:vAlign w:val="center"/>
          </w:tcPr>
          <w:p w14:paraId="57E47AA2" w14:textId="77777777" w:rsidR="00833524" w:rsidRPr="00634E4C" w:rsidRDefault="00833524" w:rsidP="00E56269">
            <w:pPr>
              <w:spacing w:line="259" w:lineRule="auto"/>
              <w:ind w:left="14"/>
              <w:jc w:val="center"/>
              <w:rPr>
                <w:rFonts w:asciiTheme="majorHAnsi" w:hAnsiTheme="majorHAnsi"/>
                <w:sz w:val="18"/>
              </w:rPr>
            </w:pPr>
            <w:r w:rsidRPr="005D0955">
              <w:rPr>
                <w:rFonts w:asciiTheme="majorHAnsi" w:hAnsiTheme="majorHAnsi"/>
                <w:sz w:val="18"/>
                <w:szCs w:val="18"/>
              </w:rPr>
              <w:t>610</w:t>
            </w:r>
          </w:p>
        </w:tc>
        <w:tc>
          <w:tcPr>
            <w:tcW w:w="568" w:type="dxa"/>
            <w:tcBorders>
              <w:top w:val="single" w:sz="2" w:space="0" w:color="000000"/>
              <w:left w:val="single" w:sz="2" w:space="0" w:color="000000"/>
              <w:bottom w:val="single" w:sz="2" w:space="0" w:color="000000"/>
              <w:right w:val="single" w:sz="2" w:space="0" w:color="000000"/>
            </w:tcBorders>
            <w:vAlign w:val="center"/>
          </w:tcPr>
          <w:p w14:paraId="734184E5" w14:textId="77777777" w:rsidR="00833524" w:rsidRPr="005D0955" w:rsidRDefault="00833524" w:rsidP="00E56269">
            <w:pPr>
              <w:spacing w:line="259" w:lineRule="auto"/>
              <w:ind w:left="14"/>
              <w:jc w:val="center"/>
              <w:rPr>
                <w:rFonts w:asciiTheme="majorHAnsi" w:hAnsiTheme="majorHAnsi"/>
                <w:sz w:val="18"/>
                <w:szCs w:val="18"/>
              </w:rPr>
            </w:pPr>
            <w:r w:rsidRPr="005D0955">
              <w:rPr>
                <w:rFonts w:asciiTheme="majorHAnsi" w:hAnsiTheme="majorHAnsi"/>
                <w:sz w:val="18"/>
                <w:szCs w:val="18"/>
              </w:rPr>
              <w:t>597</w:t>
            </w:r>
          </w:p>
        </w:tc>
        <w:tc>
          <w:tcPr>
            <w:tcW w:w="724" w:type="dxa"/>
            <w:tcBorders>
              <w:top w:val="single" w:sz="2" w:space="0" w:color="000000"/>
              <w:left w:val="single" w:sz="2" w:space="0" w:color="000000"/>
              <w:bottom w:val="single" w:sz="2" w:space="0" w:color="000000"/>
              <w:right w:val="single" w:sz="2" w:space="0" w:color="000000"/>
            </w:tcBorders>
            <w:vAlign w:val="center"/>
          </w:tcPr>
          <w:p w14:paraId="3394428C"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773</w:t>
            </w:r>
          </w:p>
        </w:tc>
        <w:tc>
          <w:tcPr>
            <w:tcW w:w="725" w:type="dxa"/>
            <w:tcBorders>
              <w:top w:val="single" w:sz="2" w:space="0" w:color="000000"/>
              <w:left w:val="single" w:sz="2" w:space="0" w:color="000000"/>
              <w:bottom w:val="single" w:sz="2" w:space="0" w:color="000000"/>
              <w:right w:val="single" w:sz="2" w:space="0" w:color="000000"/>
            </w:tcBorders>
            <w:vAlign w:val="center"/>
          </w:tcPr>
          <w:p w14:paraId="59C9CA5A"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828</w:t>
            </w:r>
          </w:p>
        </w:tc>
        <w:tc>
          <w:tcPr>
            <w:tcW w:w="724" w:type="dxa"/>
            <w:tcBorders>
              <w:top w:val="single" w:sz="2" w:space="0" w:color="000000"/>
              <w:left w:val="single" w:sz="2" w:space="0" w:color="000000"/>
              <w:bottom w:val="single" w:sz="2" w:space="0" w:color="000000"/>
              <w:right w:val="single" w:sz="2" w:space="0" w:color="000000"/>
            </w:tcBorders>
            <w:vAlign w:val="center"/>
          </w:tcPr>
          <w:p w14:paraId="2D64C234"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837</w:t>
            </w:r>
          </w:p>
        </w:tc>
        <w:tc>
          <w:tcPr>
            <w:tcW w:w="724" w:type="dxa"/>
            <w:tcBorders>
              <w:top w:val="single" w:sz="2" w:space="0" w:color="000000"/>
              <w:left w:val="single" w:sz="2" w:space="0" w:color="000000"/>
              <w:bottom w:val="single" w:sz="2" w:space="0" w:color="000000"/>
              <w:right w:val="single" w:sz="2" w:space="0" w:color="000000"/>
            </w:tcBorders>
            <w:vAlign w:val="center"/>
          </w:tcPr>
          <w:p w14:paraId="0D7B00C3"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827</w:t>
            </w:r>
          </w:p>
        </w:tc>
        <w:tc>
          <w:tcPr>
            <w:tcW w:w="725" w:type="dxa"/>
            <w:tcBorders>
              <w:top w:val="single" w:sz="2" w:space="0" w:color="000000"/>
              <w:left w:val="single" w:sz="2" w:space="0" w:color="000000"/>
              <w:bottom w:val="single" w:sz="2" w:space="0" w:color="000000"/>
              <w:right w:val="single" w:sz="2" w:space="0" w:color="000000"/>
            </w:tcBorders>
            <w:vAlign w:val="center"/>
          </w:tcPr>
          <w:p w14:paraId="42D8F156" w14:textId="77777777" w:rsidR="00833524" w:rsidRPr="00634E4C" w:rsidRDefault="00833524" w:rsidP="00E56269">
            <w:pPr>
              <w:spacing w:line="259" w:lineRule="auto"/>
              <w:ind w:left="14"/>
              <w:jc w:val="center"/>
              <w:rPr>
                <w:rFonts w:asciiTheme="majorHAnsi" w:hAnsiTheme="majorHAnsi"/>
                <w:sz w:val="18"/>
              </w:rPr>
            </w:pPr>
            <w:r w:rsidRPr="00634E4C">
              <w:rPr>
                <w:rFonts w:asciiTheme="majorHAnsi" w:hAnsiTheme="majorHAnsi"/>
                <w:sz w:val="18"/>
              </w:rPr>
              <w:t>798</w:t>
            </w:r>
          </w:p>
        </w:tc>
      </w:tr>
      <w:tr w:rsidR="00833524" w:rsidRPr="00364545" w14:paraId="38F6F3A8" w14:textId="77777777" w:rsidTr="00E56269">
        <w:trPr>
          <w:trHeight w:val="344"/>
        </w:trPr>
        <w:tc>
          <w:tcPr>
            <w:tcW w:w="1401" w:type="dxa"/>
            <w:tcBorders>
              <w:top w:val="single" w:sz="2" w:space="0" w:color="000000"/>
              <w:left w:val="single" w:sz="2" w:space="0" w:color="000000"/>
              <w:bottom w:val="single" w:sz="2" w:space="0" w:color="000000"/>
              <w:right w:val="single" w:sz="2" w:space="0" w:color="000000"/>
            </w:tcBorders>
            <w:shd w:val="clear" w:color="auto" w:fill="ECE6E2"/>
          </w:tcPr>
          <w:p w14:paraId="3A7A9C26" w14:textId="77777777" w:rsidR="00833524" w:rsidRPr="00364545" w:rsidRDefault="00833524" w:rsidP="00E56269">
            <w:pPr>
              <w:spacing w:line="259" w:lineRule="auto"/>
            </w:pPr>
            <w:r w:rsidRPr="00364545">
              <w:rPr>
                <w:b/>
                <w:sz w:val="18"/>
              </w:rPr>
              <w:t xml:space="preserve">Ensemble (hors UTCF) </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C51EC5"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64725</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13A318E"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65937</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8BBABA"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53681</w:t>
            </w:r>
          </w:p>
        </w:tc>
        <w:tc>
          <w:tcPr>
            <w:tcW w:w="7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873681"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46307</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42DC67"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40478</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90E1C14"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39895</w:t>
            </w:r>
          </w:p>
        </w:tc>
        <w:tc>
          <w:tcPr>
            <w:tcW w:w="56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58221B" w14:textId="77777777" w:rsidR="00833524" w:rsidRPr="005D0955" w:rsidRDefault="00833524" w:rsidP="00E56269">
            <w:pPr>
              <w:spacing w:line="259" w:lineRule="auto"/>
              <w:ind w:left="14"/>
              <w:jc w:val="center"/>
              <w:rPr>
                <w:rFonts w:asciiTheme="majorHAnsi" w:hAnsiTheme="majorHAnsi"/>
                <w:b/>
                <w:sz w:val="18"/>
                <w:szCs w:val="18"/>
              </w:rPr>
            </w:pPr>
            <w:r w:rsidRPr="005D0955">
              <w:rPr>
                <w:rFonts w:asciiTheme="majorHAnsi" w:hAnsiTheme="majorHAnsi"/>
                <w:sz w:val="18"/>
                <w:szCs w:val="18"/>
              </w:rPr>
              <w:t>38071</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9211C6F"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40</w:t>
            </w:r>
            <w:r w:rsidRPr="005D0955">
              <w:rPr>
                <w:rFonts w:ascii="Calibri" w:hAnsi="Calibri" w:cs="Calibri"/>
                <w:b/>
                <w:sz w:val="18"/>
                <w:szCs w:val="18"/>
              </w:rPr>
              <w:t> </w:t>
            </w:r>
            <w:r w:rsidRPr="00634E4C">
              <w:rPr>
                <w:rFonts w:asciiTheme="majorHAnsi" w:hAnsiTheme="majorHAnsi"/>
                <w:b/>
                <w:sz w:val="18"/>
              </w:rPr>
              <w:t>268</w:t>
            </w:r>
          </w:p>
        </w:tc>
        <w:tc>
          <w:tcPr>
            <w:tcW w:w="7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4C91C2"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37</w:t>
            </w:r>
            <w:r w:rsidRPr="005D0955">
              <w:rPr>
                <w:rFonts w:ascii="Calibri" w:hAnsi="Calibri" w:cs="Calibri"/>
                <w:b/>
                <w:sz w:val="18"/>
                <w:szCs w:val="18"/>
              </w:rPr>
              <w:t> </w:t>
            </w:r>
            <w:r w:rsidRPr="00634E4C">
              <w:rPr>
                <w:rFonts w:asciiTheme="majorHAnsi" w:hAnsiTheme="majorHAnsi"/>
                <w:b/>
                <w:sz w:val="18"/>
              </w:rPr>
              <w:t>693</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280AB99"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35</w:t>
            </w:r>
            <w:r w:rsidRPr="005D0955">
              <w:rPr>
                <w:rFonts w:ascii="Calibri" w:hAnsi="Calibri" w:cs="Calibri"/>
                <w:b/>
                <w:sz w:val="18"/>
                <w:szCs w:val="18"/>
              </w:rPr>
              <w:t> </w:t>
            </w:r>
            <w:r w:rsidRPr="00634E4C">
              <w:rPr>
                <w:rFonts w:asciiTheme="majorHAnsi" w:hAnsiTheme="majorHAnsi"/>
                <w:b/>
                <w:sz w:val="18"/>
              </w:rPr>
              <w:t>559</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43EA8B"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33</w:t>
            </w:r>
            <w:r w:rsidRPr="005D0955">
              <w:rPr>
                <w:rFonts w:ascii="Calibri" w:hAnsi="Calibri" w:cs="Calibri"/>
                <w:b/>
                <w:sz w:val="18"/>
                <w:szCs w:val="18"/>
              </w:rPr>
              <w:t> </w:t>
            </w:r>
            <w:r w:rsidRPr="00634E4C">
              <w:rPr>
                <w:rFonts w:asciiTheme="majorHAnsi" w:hAnsiTheme="majorHAnsi"/>
                <w:b/>
                <w:sz w:val="18"/>
              </w:rPr>
              <w:t>721</w:t>
            </w:r>
          </w:p>
        </w:tc>
        <w:tc>
          <w:tcPr>
            <w:tcW w:w="7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89A7CC"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22</w:t>
            </w:r>
            <w:r w:rsidRPr="005D0955">
              <w:rPr>
                <w:rFonts w:ascii="Calibri" w:hAnsi="Calibri" w:cs="Calibri"/>
                <w:b/>
                <w:sz w:val="18"/>
                <w:szCs w:val="18"/>
              </w:rPr>
              <w:t> </w:t>
            </w:r>
            <w:r w:rsidRPr="00634E4C">
              <w:rPr>
                <w:rFonts w:asciiTheme="majorHAnsi" w:hAnsiTheme="majorHAnsi"/>
                <w:b/>
                <w:sz w:val="18"/>
              </w:rPr>
              <w:t>856</w:t>
            </w:r>
          </w:p>
        </w:tc>
      </w:tr>
      <w:tr w:rsidR="00833524" w:rsidRPr="00364545" w14:paraId="7CB2EA0F" w14:textId="77777777" w:rsidTr="00E56269">
        <w:trPr>
          <w:trHeight w:val="346"/>
        </w:trPr>
        <w:tc>
          <w:tcPr>
            <w:tcW w:w="1401" w:type="dxa"/>
            <w:tcBorders>
              <w:top w:val="single" w:sz="2" w:space="0" w:color="000000"/>
              <w:left w:val="single" w:sz="2" w:space="0" w:color="000000"/>
              <w:bottom w:val="single" w:sz="2" w:space="0" w:color="000000"/>
              <w:right w:val="single" w:sz="2" w:space="0" w:color="000000"/>
            </w:tcBorders>
          </w:tcPr>
          <w:p w14:paraId="74EE56DC" w14:textId="77777777" w:rsidR="00833524" w:rsidRPr="00364545" w:rsidRDefault="00833524" w:rsidP="00E56269">
            <w:pPr>
              <w:spacing w:line="259" w:lineRule="auto"/>
            </w:pPr>
            <w:r w:rsidRPr="00364545">
              <w:rPr>
                <w:b/>
                <w:sz w:val="18"/>
              </w:rPr>
              <w:t xml:space="preserve">Ensemble (avec UTCF) </w:t>
            </w:r>
          </w:p>
        </w:tc>
        <w:tc>
          <w:tcPr>
            <w:tcW w:w="723" w:type="dxa"/>
            <w:tcBorders>
              <w:top w:val="single" w:sz="2" w:space="0" w:color="000000"/>
              <w:left w:val="single" w:sz="2" w:space="0" w:color="000000"/>
              <w:bottom w:val="single" w:sz="2" w:space="0" w:color="000000"/>
              <w:right w:val="single" w:sz="2" w:space="0" w:color="000000"/>
            </w:tcBorders>
            <w:vAlign w:val="center"/>
          </w:tcPr>
          <w:p w14:paraId="76872629"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67951</w:t>
            </w:r>
          </w:p>
        </w:tc>
        <w:tc>
          <w:tcPr>
            <w:tcW w:w="723" w:type="dxa"/>
            <w:tcBorders>
              <w:top w:val="single" w:sz="2" w:space="0" w:color="000000"/>
              <w:left w:val="single" w:sz="2" w:space="0" w:color="000000"/>
              <w:bottom w:val="single" w:sz="2" w:space="0" w:color="000000"/>
              <w:right w:val="single" w:sz="2" w:space="0" w:color="000000"/>
            </w:tcBorders>
            <w:vAlign w:val="center"/>
          </w:tcPr>
          <w:p w14:paraId="39CFF6FE"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69183</w:t>
            </w:r>
          </w:p>
        </w:tc>
        <w:tc>
          <w:tcPr>
            <w:tcW w:w="724" w:type="dxa"/>
            <w:tcBorders>
              <w:top w:val="single" w:sz="2" w:space="0" w:color="000000"/>
              <w:left w:val="single" w:sz="2" w:space="0" w:color="000000"/>
              <w:bottom w:val="single" w:sz="2" w:space="0" w:color="000000"/>
              <w:right w:val="single" w:sz="2" w:space="0" w:color="000000"/>
            </w:tcBorders>
            <w:vAlign w:val="center"/>
          </w:tcPr>
          <w:p w14:paraId="7A43511A"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56873</w:t>
            </w:r>
          </w:p>
        </w:tc>
        <w:tc>
          <w:tcPr>
            <w:tcW w:w="725" w:type="dxa"/>
            <w:tcBorders>
              <w:top w:val="single" w:sz="2" w:space="0" w:color="000000"/>
              <w:left w:val="single" w:sz="2" w:space="0" w:color="000000"/>
              <w:bottom w:val="single" w:sz="2" w:space="0" w:color="000000"/>
              <w:right w:val="single" w:sz="2" w:space="0" w:color="000000"/>
            </w:tcBorders>
            <w:vAlign w:val="center"/>
          </w:tcPr>
          <w:p w14:paraId="038B42B1"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49279</w:t>
            </w:r>
          </w:p>
        </w:tc>
        <w:tc>
          <w:tcPr>
            <w:tcW w:w="724" w:type="dxa"/>
            <w:tcBorders>
              <w:top w:val="single" w:sz="2" w:space="0" w:color="000000"/>
              <w:left w:val="single" w:sz="2" w:space="0" w:color="000000"/>
              <w:bottom w:val="single" w:sz="2" w:space="0" w:color="000000"/>
              <w:right w:val="single" w:sz="2" w:space="0" w:color="000000"/>
            </w:tcBorders>
            <w:vAlign w:val="center"/>
          </w:tcPr>
          <w:p w14:paraId="108A37AD"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43694</w:t>
            </w:r>
          </w:p>
        </w:tc>
        <w:tc>
          <w:tcPr>
            <w:tcW w:w="724" w:type="dxa"/>
            <w:tcBorders>
              <w:top w:val="single" w:sz="2" w:space="0" w:color="000000"/>
              <w:left w:val="single" w:sz="2" w:space="0" w:color="000000"/>
              <w:bottom w:val="single" w:sz="2" w:space="0" w:color="000000"/>
              <w:right w:val="single" w:sz="2" w:space="0" w:color="000000"/>
            </w:tcBorders>
            <w:vAlign w:val="center"/>
          </w:tcPr>
          <w:p w14:paraId="2186A43E" w14:textId="77777777" w:rsidR="00833524" w:rsidRPr="00634E4C" w:rsidRDefault="00833524" w:rsidP="00E56269">
            <w:pPr>
              <w:spacing w:line="259" w:lineRule="auto"/>
              <w:ind w:left="14"/>
              <w:jc w:val="center"/>
              <w:rPr>
                <w:rFonts w:asciiTheme="majorHAnsi" w:hAnsiTheme="majorHAnsi"/>
                <w:b/>
                <w:sz w:val="18"/>
              </w:rPr>
            </w:pPr>
            <w:r w:rsidRPr="005D0955">
              <w:rPr>
                <w:rFonts w:asciiTheme="majorHAnsi" w:hAnsiTheme="majorHAnsi"/>
                <w:sz w:val="18"/>
                <w:szCs w:val="18"/>
              </w:rPr>
              <w:t>42840</w:t>
            </w:r>
          </w:p>
        </w:tc>
        <w:tc>
          <w:tcPr>
            <w:tcW w:w="568" w:type="dxa"/>
            <w:tcBorders>
              <w:top w:val="single" w:sz="2" w:space="0" w:color="000000"/>
              <w:left w:val="single" w:sz="2" w:space="0" w:color="000000"/>
              <w:bottom w:val="single" w:sz="2" w:space="0" w:color="000000"/>
              <w:right w:val="single" w:sz="2" w:space="0" w:color="000000"/>
            </w:tcBorders>
            <w:vAlign w:val="center"/>
          </w:tcPr>
          <w:p w14:paraId="4557A16F" w14:textId="77777777" w:rsidR="00833524" w:rsidRPr="005D0955" w:rsidRDefault="00833524" w:rsidP="00E56269">
            <w:pPr>
              <w:spacing w:line="259" w:lineRule="auto"/>
              <w:ind w:left="14"/>
              <w:jc w:val="center"/>
              <w:rPr>
                <w:rFonts w:asciiTheme="majorHAnsi" w:hAnsiTheme="majorHAnsi"/>
                <w:b/>
                <w:sz w:val="18"/>
                <w:szCs w:val="18"/>
              </w:rPr>
            </w:pPr>
            <w:r w:rsidRPr="005D0955">
              <w:rPr>
                <w:rFonts w:asciiTheme="majorHAnsi" w:hAnsiTheme="majorHAnsi"/>
                <w:sz w:val="18"/>
                <w:szCs w:val="18"/>
              </w:rPr>
              <w:t>40939</w:t>
            </w:r>
          </w:p>
        </w:tc>
        <w:tc>
          <w:tcPr>
            <w:tcW w:w="724" w:type="dxa"/>
            <w:tcBorders>
              <w:top w:val="single" w:sz="2" w:space="0" w:color="000000"/>
              <w:left w:val="single" w:sz="2" w:space="0" w:color="000000"/>
              <w:bottom w:val="single" w:sz="2" w:space="0" w:color="000000"/>
              <w:right w:val="single" w:sz="2" w:space="0" w:color="000000"/>
            </w:tcBorders>
            <w:vAlign w:val="center"/>
          </w:tcPr>
          <w:p w14:paraId="4DD90108"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43</w:t>
            </w:r>
            <w:r w:rsidRPr="005D0955">
              <w:rPr>
                <w:rFonts w:ascii="Calibri" w:hAnsi="Calibri" w:cs="Calibri"/>
                <w:b/>
                <w:sz w:val="18"/>
                <w:szCs w:val="18"/>
              </w:rPr>
              <w:t> </w:t>
            </w:r>
            <w:r w:rsidRPr="00634E4C">
              <w:rPr>
                <w:rFonts w:asciiTheme="majorHAnsi" w:hAnsiTheme="majorHAnsi"/>
                <w:b/>
                <w:sz w:val="18"/>
              </w:rPr>
              <w:t>352</w:t>
            </w:r>
          </w:p>
        </w:tc>
        <w:tc>
          <w:tcPr>
            <w:tcW w:w="725" w:type="dxa"/>
            <w:tcBorders>
              <w:top w:val="single" w:sz="2" w:space="0" w:color="000000"/>
              <w:left w:val="single" w:sz="2" w:space="0" w:color="000000"/>
              <w:bottom w:val="single" w:sz="2" w:space="0" w:color="000000"/>
              <w:right w:val="single" w:sz="2" w:space="0" w:color="000000"/>
            </w:tcBorders>
            <w:vAlign w:val="center"/>
          </w:tcPr>
          <w:p w14:paraId="1909645A"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40</w:t>
            </w:r>
            <w:r w:rsidRPr="005D0955">
              <w:rPr>
                <w:rFonts w:ascii="Calibri" w:hAnsi="Calibri" w:cs="Calibri"/>
                <w:b/>
                <w:sz w:val="18"/>
                <w:szCs w:val="18"/>
              </w:rPr>
              <w:t> </w:t>
            </w:r>
            <w:r w:rsidRPr="00634E4C">
              <w:rPr>
                <w:rFonts w:asciiTheme="majorHAnsi" w:hAnsiTheme="majorHAnsi"/>
                <w:b/>
                <w:sz w:val="18"/>
              </w:rPr>
              <w:t>778</w:t>
            </w:r>
          </w:p>
        </w:tc>
        <w:tc>
          <w:tcPr>
            <w:tcW w:w="724" w:type="dxa"/>
            <w:tcBorders>
              <w:top w:val="single" w:sz="2" w:space="0" w:color="000000"/>
              <w:left w:val="single" w:sz="2" w:space="0" w:color="000000"/>
              <w:bottom w:val="single" w:sz="2" w:space="0" w:color="000000"/>
              <w:right w:val="single" w:sz="2" w:space="0" w:color="000000"/>
            </w:tcBorders>
            <w:vAlign w:val="center"/>
          </w:tcPr>
          <w:p w14:paraId="185B9F5F"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38</w:t>
            </w:r>
            <w:r w:rsidRPr="005D0955">
              <w:rPr>
                <w:rFonts w:ascii="Calibri" w:hAnsi="Calibri" w:cs="Calibri"/>
                <w:b/>
                <w:sz w:val="18"/>
                <w:szCs w:val="18"/>
              </w:rPr>
              <w:t> </w:t>
            </w:r>
            <w:r w:rsidRPr="00634E4C">
              <w:rPr>
                <w:rFonts w:asciiTheme="majorHAnsi" w:hAnsiTheme="majorHAnsi"/>
                <w:b/>
                <w:sz w:val="18"/>
              </w:rPr>
              <w:t>641</w:t>
            </w:r>
          </w:p>
        </w:tc>
        <w:tc>
          <w:tcPr>
            <w:tcW w:w="724" w:type="dxa"/>
            <w:tcBorders>
              <w:top w:val="single" w:sz="2" w:space="0" w:color="000000"/>
              <w:left w:val="single" w:sz="2" w:space="0" w:color="000000"/>
              <w:bottom w:val="single" w:sz="2" w:space="0" w:color="000000"/>
              <w:right w:val="single" w:sz="2" w:space="0" w:color="000000"/>
            </w:tcBorders>
            <w:vAlign w:val="center"/>
          </w:tcPr>
          <w:p w14:paraId="0DFDCEB7"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36</w:t>
            </w:r>
            <w:r w:rsidRPr="005D0955">
              <w:rPr>
                <w:rFonts w:ascii="Calibri" w:hAnsi="Calibri" w:cs="Calibri"/>
                <w:b/>
                <w:sz w:val="18"/>
                <w:szCs w:val="18"/>
              </w:rPr>
              <w:t> </w:t>
            </w:r>
            <w:r w:rsidRPr="00634E4C">
              <w:rPr>
                <w:rFonts w:asciiTheme="majorHAnsi" w:hAnsiTheme="majorHAnsi"/>
                <w:b/>
                <w:sz w:val="18"/>
              </w:rPr>
              <w:t>797</w:t>
            </w:r>
          </w:p>
        </w:tc>
        <w:tc>
          <w:tcPr>
            <w:tcW w:w="725" w:type="dxa"/>
            <w:tcBorders>
              <w:top w:val="single" w:sz="2" w:space="0" w:color="000000"/>
              <w:left w:val="single" w:sz="2" w:space="0" w:color="000000"/>
              <w:bottom w:val="single" w:sz="2" w:space="0" w:color="000000"/>
              <w:right w:val="single" w:sz="2" w:space="0" w:color="000000"/>
            </w:tcBorders>
            <w:vAlign w:val="center"/>
          </w:tcPr>
          <w:p w14:paraId="5CEFF5BB" w14:textId="77777777" w:rsidR="00833524" w:rsidRPr="00634E4C" w:rsidRDefault="00833524" w:rsidP="00E56269">
            <w:pPr>
              <w:spacing w:line="259" w:lineRule="auto"/>
              <w:ind w:left="14"/>
              <w:jc w:val="center"/>
              <w:rPr>
                <w:rFonts w:asciiTheme="majorHAnsi" w:hAnsiTheme="majorHAnsi"/>
                <w:b/>
                <w:sz w:val="18"/>
              </w:rPr>
            </w:pPr>
            <w:r w:rsidRPr="00634E4C">
              <w:rPr>
                <w:rFonts w:asciiTheme="majorHAnsi" w:hAnsiTheme="majorHAnsi"/>
                <w:b/>
                <w:sz w:val="18"/>
              </w:rPr>
              <w:t>25</w:t>
            </w:r>
            <w:r w:rsidRPr="005D0955">
              <w:rPr>
                <w:rFonts w:ascii="Calibri" w:hAnsi="Calibri" w:cs="Calibri"/>
                <w:b/>
                <w:sz w:val="18"/>
                <w:szCs w:val="18"/>
              </w:rPr>
              <w:t> </w:t>
            </w:r>
            <w:r w:rsidRPr="00634E4C">
              <w:rPr>
                <w:rFonts w:asciiTheme="majorHAnsi" w:hAnsiTheme="majorHAnsi"/>
                <w:b/>
                <w:sz w:val="18"/>
              </w:rPr>
              <w:t>914</w:t>
            </w:r>
          </w:p>
        </w:tc>
      </w:tr>
    </w:tbl>
    <w:p w14:paraId="76CA4D90" w14:textId="54B5932D" w:rsidR="00833524" w:rsidRPr="00364545" w:rsidRDefault="00833524" w:rsidP="00833524">
      <w:pPr>
        <w:pStyle w:val="Caption"/>
      </w:pPr>
      <w:r w:rsidRPr="00364545">
        <w:t xml:space="preserve">Table </w:t>
      </w:r>
      <w:fldSimple w:instr=" SEQ Tableau \* ARABIC ">
        <w:r w:rsidR="009A2FAA">
          <w:rPr>
            <w:noProof/>
          </w:rPr>
          <w:t>28</w:t>
        </w:r>
      </w:fldSimple>
      <w:r w:rsidRPr="00364545">
        <w:t>: N</w:t>
      </w:r>
      <w:r w:rsidRPr="00364545">
        <w:rPr>
          <w:vertAlign w:val="subscript"/>
        </w:rPr>
        <w:t>2</w:t>
      </w:r>
      <w:r w:rsidRPr="00364545">
        <w:t>O emissions projections (in ktCO</w:t>
      </w:r>
      <w:r w:rsidRPr="00364545">
        <w:rPr>
          <w:vertAlign w:val="subscript"/>
        </w:rPr>
        <w:t>2e</w:t>
      </w:r>
      <w:r w:rsidRPr="00364545">
        <w:t>) in the Kyoto scope in the AMS 2018 scenario (with additional measures)</w:t>
      </w:r>
    </w:p>
    <w:p w14:paraId="4A0E80ED" w14:textId="77777777" w:rsidR="00833524" w:rsidRPr="00364545" w:rsidRDefault="00833524" w:rsidP="00833524">
      <w:pPr>
        <w:pStyle w:val="Caption"/>
      </w:pPr>
      <w:r w:rsidRPr="00364545">
        <w:t>Source: UN</w:t>
      </w:r>
      <w:r>
        <w:t>FCCC inventory, Citepa/MTE, 2022</w:t>
      </w:r>
      <w:r w:rsidRPr="00364545">
        <w:t xml:space="preserve"> submission and MTE emission projections, 2018</w:t>
      </w:r>
    </w:p>
    <w:p w14:paraId="2974E86E" w14:textId="77777777" w:rsidR="00833524" w:rsidRPr="00364545" w:rsidRDefault="00833524" w:rsidP="00833524"/>
    <w:p w14:paraId="05057FC2" w14:textId="77777777" w:rsidR="00833524" w:rsidRPr="00364545" w:rsidRDefault="00833524" w:rsidP="00833524"/>
    <w:tbl>
      <w:tblPr>
        <w:tblStyle w:val="TableGrid0"/>
        <w:tblW w:w="9934" w:type="dxa"/>
        <w:tblInd w:w="10" w:type="dxa"/>
        <w:tblCellMar>
          <w:top w:w="39" w:type="dxa"/>
          <w:left w:w="28" w:type="dxa"/>
          <w:bottom w:w="2" w:type="dxa"/>
        </w:tblCellMar>
        <w:tblLook w:val="04A0" w:firstRow="1" w:lastRow="0" w:firstColumn="1" w:lastColumn="0" w:noHBand="0" w:noVBand="1"/>
      </w:tblPr>
      <w:tblGrid>
        <w:gridCol w:w="1323"/>
        <w:gridCol w:w="724"/>
        <w:gridCol w:w="713"/>
        <w:gridCol w:w="718"/>
        <w:gridCol w:w="740"/>
        <w:gridCol w:w="740"/>
        <w:gridCol w:w="736"/>
        <w:gridCol w:w="622"/>
        <w:gridCol w:w="735"/>
        <w:gridCol w:w="723"/>
        <w:gridCol w:w="718"/>
        <w:gridCol w:w="723"/>
        <w:gridCol w:w="719"/>
      </w:tblGrid>
      <w:tr w:rsidR="00833524" w:rsidRPr="00364545" w14:paraId="7F4DC8DA" w14:textId="77777777" w:rsidTr="00E56269">
        <w:trPr>
          <w:trHeight w:val="402"/>
        </w:trPr>
        <w:tc>
          <w:tcPr>
            <w:tcW w:w="1323" w:type="dxa"/>
            <w:tcBorders>
              <w:top w:val="single" w:sz="2" w:space="0" w:color="000000"/>
              <w:left w:val="single" w:sz="2" w:space="0" w:color="000000"/>
              <w:bottom w:val="single" w:sz="2" w:space="0" w:color="000000"/>
              <w:right w:val="single" w:sz="2" w:space="0" w:color="000000"/>
            </w:tcBorders>
            <w:shd w:val="clear" w:color="auto" w:fill="6D2A78"/>
          </w:tcPr>
          <w:p w14:paraId="3F02E701" w14:textId="77777777" w:rsidR="00833524" w:rsidRPr="00364545" w:rsidRDefault="00833524" w:rsidP="00E56269">
            <w:pPr>
              <w:spacing w:line="259" w:lineRule="auto"/>
            </w:pPr>
            <w:r w:rsidRPr="00364545">
              <w:t>AMS 18 - HFC</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D64EDAC" w14:textId="77777777" w:rsidR="00833524" w:rsidRPr="00364545" w:rsidRDefault="00833524" w:rsidP="00E56269">
            <w:pPr>
              <w:spacing w:line="259" w:lineRule="auto"/>
              <w:ind w:right="30"/>
              <w:jc w:val="center"/>
            </w:pPr>
            <w:r w:rsidRPr="00364545">
              <w:rPr>
                <w:b/>
                <w:color w:val="FFFFFF"/>
                <w:sz w:val="18"/>
              </w:rPr>
              <w:t>1990</w:t>
            </w:r>
          </w:p>
        </w:tc>
        <w:tc>
          <w:tcPr>
            <w:tcW w:w="71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3FED74B" w14:textId="77777777" w:rsidR="00833524" w:rsidRPr="00364545" w:rsidRDefault="00833524" w:rsidP="00E56269">
            <w:pPr>
              <w:spacing w:line="259" w:lineRule="auto"/>
              <w:ind w:right="27"/>
              <w:jc w:val="center"/>
              <w:rPr>
                <w:b/>
                <w:color w:val="FFFFFF"/>
                <w:sz w:val="18"/>
              </w:rPr>
            </w:pPr>
            <w:r w:rsidRPr="00364545">
              <w:rPr>
                <w:b/>
                <w:color w:val="FFFFFF"/>
                <w:sz w:val="18"/>
              </w:rPr>
              <w:t>1995</w:t>
            </w:r>
          </w:p>
        </w:tc>
        <w:tc>
          <w:tcPr>
            <w:tcW w:w="71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296432A" w14:textId="77777777" w:rsidR="00833524" w:rsidRPr="00364545" w:rsidRDefault="00833524" w:rsidP="00E56269">
            <w:pPr>
              <w:spacing w:line="259" w:lineRule="auto"/>
              <w:ind w:right="27"/>
              <w:jc w:val="center"/>
            </w:pPr>
            <w:r w:rsidRPr="00364545">
              <w:rPr>
                <w:b/>
                <w:color w:val="FFFFFF"/>
                <w:sz w:val="18"/>
              </w:rPr>
              <w:t>2000</w:t>
            </w:r>
          </w:p>
        </w:tc>
        <w:tc>
          <w:tcPr>
            <w:tcW w:w="74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99BAA2E" w14:textId="77777777" w:rsidR="00833524" w:rsidRPr="00364545" w:rsidRDefault="00833524" w:rsidP="00E56269">
            <w:pPr>
              <w:spacing w:line="259" w:lineRule="auto"/>
              <w:ind w:right="30"/>
              <w:jc w:val="center"/>
            </w:pPr>
            <w:r w:rsidRPr="00364545">
              <w:rPr>
                <w:b/>
                <w:color w:val="FFFFFF"/>
                <w:sz w:val="18"/>
              </w:rPr>
              <w:t>2005</w:t>
            </w:r>
          </w:p>
        </w:tc>
        <w:tc>
          <w:tcPr>
            <w:tcW w:w="74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3DC6D5F" w14:textId="77777777" w:rsidR="00833524" w:rsidRPr="00364545" w:rsidRDefault="00833524" w:rsidP="00E56269">
            <w:pPr>
              <w:spacing w:line="259" w:lineRule="auto"/>
              <w:ind w:right="27"/>
              <w:jc w:val="center"/>
            </w:pPr>
            <w:r w:rsidRPr="00364545">
              <w:rPr>
                <w:b/>
                <w:color w:val="FFFFFF"/>
                <w:sz w:val="18"/>
              </w:rPr>
              <w:t>2010</w:t>
            </w:r>
          </w:p>
        </w:tc>
        <w:tc>
          <w:tcPr>
            <w:tcW w:w="73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A5C9401" w14:textId="77777777" w:rsidR="00833524" w:rsidRPr="00364545" w:rsidRDefault="00833524" w:rsidP="00E56269">
            <w:pPr>
              <w:spacing w:line="259" w:lineRule="auto"/>
              <w:ind w:right="30"/>
              <w:jc w:val="center"/>
            </w:pPr>
            <w:r w:rsidRPr="00364545">
              <w:rPr>
                <w:b/>
                <w:color w:val="FFFFFF"/>
                <w:sz w:val="18"/>
              </w:rPr>
              <w:t>2015</w:t>
            </w:r>
          </w:p>
        </w:tc>
        <w:tc>
          <w:tcPr>
            <w:tcW w:w="622"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CA6B092" w14:textId="77777777" w:rsidR="00833524" w:rsidRPr="00364545" w:rsidRDefault="00833524" w:rsidP="00E56269">
            <w:pPr>
              <w:spacing w:line="259" w:lineRule="auto"/>
              <w:ind w:right="27"/>
              <w:jc w:val="center"/>
              <w:rPr>
                <w:b/>
                <w:color w:val="FFFFFF"/>
                <w:sz w:val="18"/>
              </w:rPr>
            </w:pPr>
            <w:r>
              <w:rPr>
                <w:b/>
                <w:color w:val="FFFFFF"/>
                <w:sz w:val="18"/>
              </w:rPr>
              <w:t>2019</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1D0B272" w14:textId="77777777" w:rsidR="00833524" w:rsidRPr="00364545" w:rsidRDefault="00833524" w:rsidP="00E56269">
            <w:pPr>
              <w:spacing w:line="259" w:lineRule="auto"/>
              <w:ind w:right="27"/>
              <w:jc w:val="center"/>
            </w:pPr>
            <w:r w:rsidRPr="00364545">
              <w:rPr>
                <w:b/>
                <w:color w:val="FFFFFF"/>
                <w:sz w:val="18"/>
              </w:rPr>
              <w:t>2020</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E5A9E5A" w14:textId="77777777" w:rsidR="00833524" w:rsidRPr="00364545" w:rsidRDefault="00833524" w:rsidP="00E56269">
            <w:pPr>
              <w:spacing w:line="259" w:lineRule="auto"/>
              <w:ind w:right="30"/>
              <w:jc w:val="center"/>
            </w:pPr>
            <w:r w:rsidRPr="00364545">
              <w:rPr>
                <w:b/>
                <w:color w:val="FFFFFF"/>
                <w:sz w:val="18"/>
              </w:rPr>
              <w:t>2025</w:t>
            </w:r>
          </w:p>
        </w:tc>
        <w:tc>
          <w:tcPr>
            <w:tcW w:w="71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5799B7E" w14:textId="77777777" w:rsidR="00833524" w:rsidRPr="00364545" w:rsidRDefault="00833524" w:rsidP="00E56269">
            <w:pPr>
              <w:spacing w:line="259" w:lineRule="auto"/>
              <w:ind w:right="27"/>
              <w:jc w:val="center"/>
            </w:pPr>
            <w:r w:rsidRPr="00364545">
              <w:rPr>
                <w:b/>
                <w:color w:val="FFFFFF"/>
                <w:sz w:val="18"/>
              </w:rPr>
              <w:t>2030</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54EFE79" w14:textId="77777777" w:rsidR="00833524" w:rsidRPr="00364545" w:rsidRDefault="00833524" w:rsidP="00E56269">
            <w:pPr>
              <w:spacing w:line="259" w:lineRule="auto"/>
              <w:ind w:right="28"/>
              <w:jc w:val="center"/>
            </w:pPr>
            <w:r w:rsidRPr="00364545">
              <w:rPr>
                <w:b/>
                <w:color w:val="FFFFFF"/>
                <w:sz w:val="18"/>
              </w:rPr>
              <w:t>2035</w:t>
            </w:r>
          </w:p>
        </w:tc>
        <w:tc>
          <w:tcPr>
            <w:tcW w:w="71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2854FA8" w14:textId="77777777" w:rsidR="00833524" w:rsidRPr="00364545" w:rsidRDefault="00833524" w:rsidP="00E56269">
            <w:pPr>
              <w:spacing w:line="259" w:lineRule="auto"/>
              <w:ind w:right="28"/>
              <w:jc w:val="center"/>
              <w:rPr>
                <w:b/>
                <w:color w:val="FFFFFF"/>
                <w:sz w:val="18"/>
              </w:rPr>
            </w:pPr>
            <w:r w:rsidRPr="00364545">
              <w:rPr>
                <w:b/>
                <w:color w:val="FFFFFF"/>
                <w:sz w:val="18"/>
              </w:rPr>
              <w:t>2050</w:t>
            </w:r>
          </w:p>
        </w:tc>
      </w:tr>
      <w:tr w:rsidR="00833524" w:rsidRPr="00364545" w14:paraId="6B84EF48" w14:textId="77777777" w:rsidTr="00E56269">
        <w:trPr>
          <w:trHeight w:val="344"/>
        </w:trPr>
        <w:tc>
          <w:tcPr>
            <w:tcW w:w="1323" w:type="dxa"/>
            <w:tcBorders>
              <w:top w:val="single" w:sz="2" w:space="0" w:color="000000"/>
              <w:left w:val="single" w:sz="2" w:space="0" w:color="000000"/>
              <w:bottom w:val="single" w:sz="2" w:space="0" w:color="000000"/>
              <w:right w:val="single" w:sz="2" w:space="0" w:color="000000"/>
            </w:tcBorders>
          </w:tcPr>
          <w:p w14:paraId="661F57E4" w14:textId="77777777" w:rsidR="00833524" w:rsidRPr="00364545" w:rsidRDefault="00833524" w:rsidP="00E56269">
            <w:pPr>
              <w:spacing w:line="259" w:lineRule="auto"/>
            </w:pPr>
            <w:r w:rsidRPr="00364545">
              <w:rPr>
                <w:sz w:val="18"/>
              </w:rPr>
              <w:t xml:space="preserve">Energy </w:t>
            </w:r>
          </w:p>
        </w:tc>
        <w:tc>
          <w:tcPr>
            <w:tcW w:w="724" w:type="dxa"/>
            <w:tcBorders>
              <w:top w:val="single" w:sz="2" w:space="0" w:color="000000"/>
              <w:left w:val="single" w:sz="2" w:space="0" w:color="000000"/>
              <w:bottom w:val="single" w:sz="2" w:space="0" w:color="000000"/>
              <w:right w:val="single" w:sz="2" w:space="0" w:color="000000"/>
            </w:tcBorders>
            <w:vAlign w:val="center"/>
          </w:tcPr>
          <w:p w14:paraId="5B7BBA0A"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3" w:type="dxa"/>
            <w:tcBorders>
              <w:top w:val="single" w:sz="2" w:space="0" w:color="000000"/>
              <w:left w:val="single" w:sz="2" w:space="0" w:color="000000"/>
              <w:bottom w:val="single" w:sz="2" w:space="0" w:color="000000"/>
              <w:right w:val="single" w:sz="2" w:space="0" w:color="000000"/>
            </w:tcBorders>
            <w:vAlign w:val="center"/>
          </w:tcPr>
          <w:p w14:paraId="349D0745"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072CC2A7"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5B343950"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7D879830"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36" w:type="dxa"/>
            <w:tcBorders>
              <w:top w:val="single" w:sz="2" w:space="0" w:color="000000"/>
              <w:left w:val="single" w:sz="2" w:space="0" w:color="000000"/>
              <w:bottom w:val="single" w:sz="2" w:space="0" w:color="000000"/>
              <w:right w:val="single" w:sz="2" w:space="0" w:color="000000"/>
            </w:tcBorders>
            <w:vAlign w:val="center"/>
          </w:tcPr>
          <w:p w14:paraId="55E65961"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00FFC678"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35" w:type="dxa"/>
            <w:tcBorders>
              <w:top w:val="single" w:sz="2" w:space="0" w:color="000000"/>
              <w:left w:val="single" w:sz="2" w:space="0" w:color="000000"/>
              <w:bottom w:val="single" w:sz="2" w:space="0" w:color="000000"/>
              <w:right w:val="single" w:sz="2" w:space="0" w:color="000000"/>
            </w:tcBorders>
            <w:vAlign w:val="center"/>
          </w:tcPr>
          <w:p w14:paraId="6F6D901B"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593E4396"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44B3A689"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3B08B5D4"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9" w:type="dxa"/>
            <w:tcBorders>
              <w:top w:val="single" w:sz="2" w:space="0" w:color="000000"/>
              <w:left w:val="single" w:sz="2" w:space="0" w:color="000000"/>
              <w:bottom w:val="single" w:sz="2" w:space="0" w:color="000000"/>
              <w:right w:val="single" w:sz="2" w:space="0" w:color="000000"/>
            </w:tcBorders>
            <w:vAlign w:val="center"/>
          </w:tcPr>
          <w:p w14:paraId="58345A9C" w14:textId="77777777" w:rsidR="00833524" w:rsidRPr="005D0955" w:rsidRDefault="00833524" w:rsidP="00E56269">
            <w:pPr>
              <w:spacing w:line="259" w:lineRule="auto"/>
              <w:ind w:right="29"/>
              <w:jc w:val="center"/>
              <w:rPr>
                <w:rFonts w:asciiTheme="majorHAnsi" w:hAnsiTheme="majorHAnsi"/>
                <w:sz w:val="18"/>
                <w:szCs w:val="18"/>
              </w:rPr>
            </w:pPr>
            <w:r w:rsidRPr="005D0955">
              <w:rPr>
                <w:rFonts w:asciiTheme="majorHAnsi" w:hAnsiTheme="majorHAnsi"/>
                <w:sz w:val="18"/>
                <w:szCs w:val="18"/>
              </w:rPr>
              <w:t>0</w:t>
            </w:r>
          </w:p>
        </w:tc>
      </w:tr>
      <w:tr w:rsidR="00833524" w:rsidRPr="00364545" w14:paraId="27C73380" w14:textId="77777777" w:rsidTr="00E56269">
        <w:trPr>
          <w:trHeight w:val="419"/>
        </w:trPr>
        <w:tc>
          <w:tcPr>
            <w:tcW w:w="1323" w:type="dxa"/>
            <w:tcBorders>
              <w:top w:val="single" w:sz="2" w:space="0" w:color="000000"/>
              <w:left w:val="single" w:sz="2" w:space="0" w:color="000000"/>
              <w:bottom w:val="single" w:sz="2" w:space="0" w:color="000000"/>
              <w:right w:val="single" w:sz="2" w:space="0" w:color="000000"/>
            </w:tcBorders>
            <w:shd w:val="clear" w:color="auto" w:fill="ECE6E2"/>
          </w:tcPr>
          <w:p w14:paraId="65DC8A7A" w14:textId="77777777" w:rsidR="00833524" w:rsidRPr="00364545" w:rsidRDefault="00833524" w:rsidP="00E56269">
            <w:pPr>
              <w:spacing w:line="259" w:lineRule="auto"/>
            </w:pPr>
            <w:r w:rsidRPr="00364545">
              <w:rPr>
                <w:sz w:val="18"/>
              </w:rPr>
              <w:t xml:space="preserve">Industrial processes, solvents and other products </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B944C2" w14:textId="77777777" w:rsidR="00833524" w:rsidRPr="00634E4C" w:rsidRDefault="00833524" w:rsidP="00E56269">
            <w:pPr>
              <w:spacing w:line="259" w:lineRule="auto"/>
              <w:ind w:right="29"/>
              <w:jc w:val="center"/>
              <w:rPr>
                <w:rFonts w:asciiTheme="majorHAnsi" w:hAnsiTheme="majorHAnsi"/>
                <w:sz w:val="18"/>
              </w:rPr>
            </w:pPr>
            <w:r w:rsidRPr="005D0955">
              <w:rPr>
                <w:rFonts w:asciiTheme="majorHAnsi" w:hAnsiTheme="majorHAnsi"/>
                <w:sz w:val="18"/>
                <w:szCs w:val="18"/>
              </w:rPr>
              <w:t>4402</w:t>
            </w:r>
          </w:p>
        </w:tc>
        <w:tc>
          <w:tcPr>
            <w:tcW w:w="71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8FA988" w14:textId="77777777" w:rsidR="00833524" w:rsidRPr="00634E4C" w:rsidRDefault="00833524" w:rsidP="00E56269">
            <w:pPr>
              <w:spacing w:line="259" w:lineRule="auto"/>
              <w:ind w:right="29"/>
              <w:jc w:val="center"/>
              <w:rPr>
                <w:rFonts w:asciiTheme="majorHAnsi" w:hAnsiTheme="majorHAnsi"/>
                <w:sz w:val="18"/>
              </w:rPr>
            </w:pPr>
            <w:r w:rsidRPr="005D0955">
              <w:rPr>
                <w:rFonts w:asciiTheme="majorHAnsi" w:hAnsiTheme="majorHAnsi"/>
                <w:sz w:val="18"/>
                <w:szCs w:val="18"/>
              </w:rPr>
              <w:t>1702</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67A530" w14:textId="77777777" w:rsidR="00833524" w:rsidRPr="00634E4C" w:rsidRDefault="00833524" w:rsidP="00E56269">
            <w:pPr>
              <w:spacing w:line="259" w:lineRule="auto"/>
              <w:ind w:right="29"/>
              <w:jc w:val="center"/>
              <w:rPr>
                <w:rFonts w:asciiTheme="majorHAnsi" w:hAnsiTheme="majorHAnsi"/>
                <w:sz w:val="18"/>
              </w:rPr>
            </w:pPr>
            <w:r w:rsidRPr="005D0955">
              <w:rPr>
                <w:rFonts w:asciiTheme="majorHAnsi" w:hAnsiTheme="majorHAnsi"/>
                <w:sz w:val="18"/>
                <w:szCs w:val="18"/>
              </w:rPr>
              <w:t>6736</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391A07" w14:textId="77777777" w:rsidR="00833524" w:rsidRPr="00634E4C" w:rsidRDefault="00833524" w:rsidP="00E56269">
            <w:pPr>
              <w:spacing w:line="259" w:lineRule="auto"/>
              <w:ind w:right="29"/>
              <w:jc w:val="center"/>
              <w:rPr>
                <w:rFonts w:asciiTheme="majorHAnsi" w:hAnsiTheme="majorHAnsi"/>
                <w:sz w:val="18"/>
              </w:rPr>
            </w:pPr>
            <w:r w:rsidRPr="005D0955">
              <w:rPr>
                <w:rFonts w:asciiTheme="majorHAnsi" w:hAnsiTheme="majorHAnsi"/>
                <w:sz w:val="18"/>
                <w:szCs w:val="18"/>
              </w:rPr>
              <w:t>12862</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A82E1F" w14:textId="77777777" w:rsidR="00833524" w:rsidRPr="00634E4C" w:rsidRDefault="00833524" w:rsidP="00E56269">
            <w:pPr>
              <w:spacing w:line="259" w:lineRule="auto"/>
              <w:ind w:right="29"/>
              <w:jc w:val="center"/>
              <w:rPr>
                <w:rFonts w:asciiTheme="majorHAnsi" w:hAnsiTheme="majorHAnsi"/>
                <w:sz w:val="18"/>
              </w:rPr>
            </w:pPr>
            <w:r w:rsidRPr="005D0955">
              <w:rPr>
                <w:rFonts w:asciiTheme="majorHAnsi" w:hAnsiTheme="majorHAnsi"/>
                <w:sz w:val="18"/>
                <w:szCs w:val="18"/>
              </w:rPr>
              <w:t>16930</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FE4238" w14:textId="77777777" w:rsidR="00833524" w:rsidRPr="00634E4C" w:rsidRDefault="00833524" w:rsidP="00E56269">
            <w:pPr>
              <w:spacing w:line="259" w:lineRule="auto"/>
              <w:ind w:right="29"/>
              <w:jc w:val="center"/>
              <w:rPr>
                <w:rFonts w:asciiTheme="majorHAnsi" w:hAnsiTheme="majorHAnsi"/>
                <w:sz w:val="18"/>
              </w:rPr>
            </w:pPr>
            <w:r w:rsidRPr="005D0955">
              <w:rPr>
                <w:rFonts w:asciiTheme="majorHAnsi" w:hAnsiTheme="majorHAnsi"/>
                <w:sz w:val="18"/>
                <w:szCs w:val="18"/>
              </w:rPr>
              <w:t>17494</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3F187D" w14:textId="77777777" w:rsidR="00833524" w:rsidRPr="005D0955" w:rsidRDefault="00833524" w:rsidP="00E56269">
            <w:pPr>
              <w:spacing w:line="259" w:lineRule="auto"/>
              <w:ind w:right="29"/>
              <w:jc w:val="center"/>
              <w:rPr>
                <w:rFonts w:asciiTheme="majorHAnsi" w:hAnsiTheme="majorHAnsi"/>
                <w:sz w:val="18"/>
                <w:szCs w:val="18"/>
              </w:rPr>
            </w:pPr>
            <w:r w:rsidRPr="005D0955">
              <w:rPr>
                <w:rFonts w:asciiTheme="majorHAnsi" w:hAnsiTheme="majorHAnsi"/>
                <w:sz w:val="18"/>
                <w:szCs w:val="18"/>
              </w:rPr>
              <w:t>12992</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E9B4B73"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14</w:t>
            </w:r>
            <w:r w:rsidRPr="005D0955">
              <w:rPr>
                <w:rFonts w:ascii="Calibri" w:hAnsi="Calibri" w:cs="Calibri"/>
                <w:sz w:val="18"/>
                <w:szCs w:val="18"/>
              </w:rPr>
              <w:t> </w:t>
            </w:r>
            <w:r w:rsidRPr="00634E4C">
              <w:rPr>
                <w:rFonts w:asciiTheme="majorHAnsi" w:hAnsiTheme="majorHAnsi"/>
                <w:sz w:val="18"/>
              </w:rPr>
              <w:t>731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AA6507"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7</w:t>
            </w:r>
            <w:r w:rsidRPr="005D0955">
              <w:rPr>
                <w:rFonts w:ascii="Calibri" w:hAnsi="Calibri" w:cs="Calibri"/>
                <w:sz w:val="18"/>
                <w:szCs w:val="18"/>
              </w:rPr>
              <w:t> </w:t>
            </w:r>
            <w:r w:rsidRPr="00634E4C">
              <w:rPr>
                <w:rFonts w:asciiTheme="majorHAnsi" w:hAnsiTheme="majorHAnsi"/>
                <w:sz w:val="18"/>
              </w:rPr>
              <w:t>995</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F286C0"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5</w:t>
            </w:r>
            <w:r w:rsidRPr="005D0955">
              <w:rPr>
                <w:rFonts w:ascii="Calibri" w:hAnsi="Calibri" w:cs="Calibri"/>
                <w:sz w:val="18"/>
                <w:szCs w:val="18"/>
              </w:rPr>
              <w:t> </w:t>
            </w:r>
            <w:r w:rsidRPr="00634E4C">
              <w:rPr>
                <w:rFonts w:asciiTheme="majorHAnsi" w:hAnsiTheme="majorHAnsi"/>
                <w:sz w:val="18"/>
              </w:rPr>
              <w:t>241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02838FD"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4</w:t>
            </w:r>
            <w:r w:rsidRPr="005D0955">
              <w:rPr>
                <w:rFonts w:ascii="Calibri" w:hAnsi="Calibri" w:cs="Calibri"/>
                <w:sz w:val="18"/>
                <w:szCs w:val="18"/>
              </w:rPr>
              <w:t> </w:t>
            </w:r>
            <w:r w:rsidRPr="00634E4C">
              <w:rPr>
                <w:rFonts w:asciiTheme="majorHAnsi" w:hAnsiTheme="majorHAnsi"/>
                <w:sz w:val="18"/>
              </w:rPr>
              <w:t>458</w:t>
            </w:r>
          </w:p>
        </w:tc>
        <w:tc>
          <w:tcPr>
            <w:tcW w:w="71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21EEF17"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2</w:t>
            </w:r>
            <w:r w:rsidRPr="005D0955">
              <w:rPr>
                <w:rFonts w:ascii="Calibri" w:hAnsi="Calibri" w:cs="Calibri"/>
                <w:sz w:val="18"/>
                <w:szCs w:val="18"/>
              </w:rPr>
              <w:t> </w:t>
            </w:r>
            <w:r w:rsidRPr="00634E4C">
              <w:rPr>
                <w:rFonts w:asciiTheme="majorHAnsi" w:hAnsiTheme="majorHAnsi"/>
                <w:sz w:val="18"/>
              </w:rPr>
              <w:t>109</w:t>
            </w:r>
          </w:p>
        </w:tc>
      </w:tr>
      <w:tr w:rsidR="00833524" w:rsidRPr="00364545" w14:paraId="29FFDED7" w14:textId="77777777" w:rsidTr="00E56269">
        <w:trPr>
          <w:trHeight w:val="347"/>
        </w:trPr>
        <w:tc>
          <w:tcPr>
            <w:tcW w:w="1323" w:type="dxa"/>
            <w:tcBorders>
              <w:top w:val="single" w:sz="2" w:space="0" w:color="000000"/>
              <w:left w:val="single" w:sz="2" w:space="0" w:color="000000"/>
              <w:bottom w:val="single" w:sz="2" w:space="0" w:color="000000"/>
              <w:right w:val="single" w:sz="2" w:space="0" w:color="000000"/>
            </w:tcBorders>
          </w:tcPr>
          <w:p w14:paraId="200F8FF1" w14:textId="77777777" w:rsidR="00833524" w:rsidRPr="00364545" w:rsidRDefault="00833524" w:rsidP="00E56269">
            <w:pPr>
              <w:spacing w:line="259" w:lineRule="auto"/>
            </w:pPr>
            <w:r w:rsidRPr="00364545">
              <w:rPr>
                <w:sz w:val="18"/>
              </w:rPr>
              <w:t xml:space="preserve">Agriculture (excluding energy) </w:t>
            </w:r>
          </w:p>
        </w:tc>
        <w:tc>
          <w:tcPr>
            <w:tcW w:w="724" w:type="dxa"/>
            <w:tcBorders>
              <w:top w:val="single" w:sz="2" w:space="0" w:color="000000"/>
              <w:left w:val="single" w:sz="2" w:space="0" w:color="000000"/>
              <w:bottom w:val="single" w:sz="2" w:space="0" w:color="000000"/>
              <w:right w:val="single" w:sz="2" w:space="0" w:color="000000"/>
            </w:tcBorders>
            <w:vAlign w:val="center"/>
          </w:tcPr>
          <w:p w14:paraId="1011CD3F"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3" w:type="dxa"/>
            <w:tcBorders>
              <w:top w:val="single" w:sz="2" w:space="0" w:color="000000"/>
              <w:left w:val="single" w:sz="2" w:space="0" w:color="000000"/>
              <w:bottom w:val="single" w:sz="2" w:space="0" w:color="000000"/>
              <w:right w:val="single" w:sz="2" w:space="0" w:color="000000"/>
            </w:tcBorders>
            <w:vAlign w:val="center"/>
          </w:tcPr>
          <w:p w14:paraId="15FBA250"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718E81EB"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031B10AE"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405BA3E0"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36" w:type="dxa"/>
            <w:tcBorders>
              <w:top w:val="single" w:sz="2" w:space="0" w:color="000000"/>
              <w:left w:val="single" w:sz="2" w:space="0" w:color="000000"/>
              <w:bottom w:val="single" w:sz="2" w:space="0" w:color="000000"/>
              <w:right w:val="single" w:sz="2" w:space="0" w:color="000000"/>
            </w:tcBorders>
            <w:vAlign w:val="center"/>
          </w:tcPr>
          <w:p w14:paraId="16AA98DA"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29B6B0D3"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35" w:type="dxa"/>
            <w:tcBorders>
              <w:top w:val="single" w:sz="2" w:space="0" w:color="000000"/>
              <w:left w:val="single" w:sz="2" w:space="0" w:color="000000"/>
              <w:bottom w:val="single" w:sz="2" w:space="0" w:color="000000"/>
              <w:right w:val="single" w:sz="2" w:space="0" w:color="000000"/>
            </w:tcBorders>
            <w:vAlign w:val="center"/>
          </w:tcPr>
          <w:p w14:paraId="60AA4905"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7FC031C2"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0B41E3BB"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79CA20F9"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9" w:type="dxa"/>
            <w:tcBorders>
              <w:top w:val="single" w:sz="2" w:space="0" w:color="000000"/>
              <w:left w:val="single" w:sz="2" w:space="0" w:color="000000"/>
              <w:bottom w:val="single" w:sz="2" w:space="0" w:color="000000"/>
              <w:right w:val="single" w:sz="2" w:space="0" w:color="000000"/>
            </w:tcBorders>
            <w:vAlign w:val="center"/>
          </w:tcPr>
          <w:p w14:paraId="5A5FD875" w14:textId="77777777" w:rsidR="00833524" w:rsidRPr="005D0955" w:rsidRDefault="00833524" w:rsidP="00E56269">
            <w:pPr>
              <w:spacing w:line="259" w:lineRule="auto"/>
              <w:ind w:right="29"/>
              <w:jc w:val="center"/>
              <w:rPr>
                <w:rFonts w:asciiTheme="majorHAnsi" w:hAnsiTheme="majorHAnsi"/>
                <w:sz w:val="18"/>
                <w:szCs w:val="18"/>
              </w:rPr>
            </w:pPr>
            <w:r w:rsidRPr="005D0955">
              <w:rPr>
                <w:rFonts w:asciiTheme="majorHAnsi" w:hAnsiTheme="majorHAnsi"/>
                <w:sz w:val="18"/>
                <w:szCs w:val="18"/>
              </w:rPr>
              <w:t>0</w:t>
            </w:r>
          </w:p>
        </w:tc>
      </w:tr>
      <w:tr w:rsidR="00833524" w:rsidRPr="00364545" w14:paraId="5C27C512" w14:textId="77777777" w:rsidTr="00E56269">
        <w:trPr>
          <w:trHeight w:val="342"/>
        </w:trPr>
        <w:tc>
          <w:tcPr>
            <w:tcW w:w="1323" w:type="dxa"/>
            <w:tcBorders>
              <w:top w:val="single" w:sz="2" w:space="0" w:color="000000"/>
              <w:left w:val="single" w:sz="2" w:space="0" w:color="000000"/>
              <w:bottom w:val="single" w:sz="2" w:space="0" w:color="000000"/>
              <w:right w:val="single" w:sz="2" w:space="0" w:color="000000"/>
            </w:tcBorders>
            <w:shd w:val="clear" w:color="auto" w:fill="ECE6E2"/>
          </w:tcPr>
          <w:p w14:paraId="5814ABE1" w14:textId="77777777" w:rsidR="00833524" w:rsidRPr="00364545" w:rsidRDefault="00833524" w:rsidP="00E56269">
            <w:pPr>
              <w:spacing w:line="259" w:lineRule="auto"/>
            </w:pPr>
            <w:r w:rsidRPr="00364545">
              <w:rPr>
                <w:sz w:val="18"/>
              </w:rPr>
              <w:t xml:space="preserve">LULUCF </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12C569"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2C0B7C"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FC172AF"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5966DC"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CBE41C"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FAC603"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8B31A2"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FC1E2B"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F1E3D73"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2838D9"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19AF07"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5C8359" w14:textId="77777777" w:rsidR="00833524" w:rsidRPr="005D0955" w:rsidRDefault="00833524" w:rsidP="00E56269">
            <w:pPr>
              <w:spacing w:line="259" w:lineRule="auto"/>
              <w:ind w:right="29"/>
              <w:jc w:val="center"/>
              <w:rPr>
                <w:rFonts w:asciiTheme="majorHAnsi" w:hAnsiTheme="majorHAnsi"/>
                <w:sz w:val="18"/>
                <w:szCs w:val="18"/>
              </w:rPr>
            </w:pPr>
            <w:r w:rsidRPr="005D0955">
              <w:rPr>
                <w:rFonts w:asciiTheme="majorHAnsi" w:hAnsiTheme="majorHAnsi"/>
                <w:sz w:val="18"/>
                <w:szCs w:val="18"/>
              </w:rPr>
              <w:t>0</w:t>
            </w:r>
          </w:p>
        </w:tc>
      </w:tr>
      <w:tr w:rsidR="00833524" w:rsidRPr="00364545" w14:paraId="59CBE716" w14:textId="77777777" w:rsidTr="00E56269">
        <w:trPr>
          <w:trHeight w:val="347"/>
        </w:trPr>
        <w:tc>
          <w:tcPr>
            <w:tcW w:w="1323" w:type="dxa"/>
            <w:tcBorders>
              <w:top w:val="single" w:sz="2" w:space="0" w:color="000000"/>
              <w:left w:val="single" w:sz="2" w:space="0" w:color="000000"/>
              <w:bottom w:val="single" w:sz="2" w:space="0" w:color="000000"/>
              <w:right w:val="single" w:sz="2" w:space="0" w:color="000000"/>
            </w:tcBorders>
          </w:tcPr>
          <w:p w14:paraId="7CC03846" w14:textId="77777777" w:rsidR="00833524" w:rsidRPr="00364545" w:rsidRDefault="00833524" w:rsidP="00E56269">
            <w:pPr>
              <w:spacing w:line="259" w:lineRule="auto"/>
            </w:pPr>
            <w:r w:rsidRPr="00364545">
              <w:rPr>
                <w:sz w:val="18"/>
              </w:rPr>
              <w:t xml:space="preserve">Waste </w:t>
            </w:r>
          </w:p>
        </w:tc>
        <w:tc>
          <w:tcPr>
            <w:tcW w:w="724" w:type="dxa"/>
            <w:tcBorders>
              <w:top w:val="single" w:sz="2" w:space="0" w:color="000000"/>
              <w:left w:val="single" w:sz="2" w:space="0" w:color="000000"/>
              <w:bottom w:val="single" w:sz="2" w:space="0" w:color="000000"/>
              <w:right w:val="single" w:sz="2" w:space="0" w:color="000000"/>
            </w:tcBorders>
            <w:vAlign w:val="center"/>
          </w:tcPr>
          <w:p w14:paraId="753BD57B"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3" w:type="dxa"/>
            <w:tcBorders>
              <w:top w:val="single" w:sz="2" w:space="0" w:color="000000"/>
              <w:left w:val="single" w:sz="2" w:space="0" w:color="000000"/>
              <w:bottom w:val="single" w:sz="2" w:space="0" w:color="000000"/>
              <w:right w:val="single" w:sz="2" w:space="0" w:color="000000"/>
            </w:tcBorders>
            <w:vAlign w:val="center"/>
          </w:tcPr>
          <w:p w14:paraId="1379B9DC"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3FDBEF3C"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7375A11E"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02B2F151"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36" w:type="dxa"/>
            <w:tcBorders>
              <w:top w:val="single" w:sz="2" w:space="0" w:color="000000"/>
              <w:left w:val="single" w:sz="2" w:space="0" w:color="000000"/>
              <w:bottom w:val="single" w:sz="2" w:space="0" w:color="000000"/>
              <w:right w:val="single" w:sz="2" w:space="0" w:color="000000"/>
            </w:tcBorders>
            <w:vAlign w:val="center"/>
          </w:tcPr>
          <w:p w14:paraId="25E055D1"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2A48FEE8"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35" w:type="dxa"/>
            <w:tcBorders>
              <w:top w:val="single" w:sz="2" w:space="0" w:color="000000"/>
              <w:left w:val="single" w:sz="2" w:space="0" w:color="000000"/>
              <w:bottom w:val="single" w:sz="2" w:space="0" w:color="000000"/>
              <w:right w:val="single" w:sz="2" w:space="0" w:color="000000"/>
            </w:tcBorders>
            <w:vAlign w:val="center"/>
          </w:tcPr>
          <w:p w14:paraId="4D67DBCE"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2468394A"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4D6AA259"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0EE321B4" w14:textId="77777777" w:rsidR="00833524" w:rsidRPr="00634E4C" w:rsidRDefault="00833524" w:rsidP="00E56269">
            <w:pPr>
              <w:spacing w:line="259" w:lineRule="auto"/>
              <w:ind w:right="29"/>
              <w:jc w:val="center"/>
              <w:rPr>
                <w:rFonts w:asciiTheme="majorHAnsi" w:hAnsiTheme="majorHAnsi"/>
                <w:sz w:val="18"/>
              </w:rPr>
            </w:pPr>
            <w:r w:rsidRPr="00634E4C">
              <w:rPr>
                <w:rFonts w:asciiTheme="majorHAnsi" w:hAnsiTheme="majorHAnsi"/>
                <w:sz w:val="18"/>
              </w:rPr>
              <w:t>0</w:t>
            </w:r>
          </w:p>
        </w:tc>
        <w:tc>
          <w:tcPr>
            <w:tcW w:w="719" w:type="dxa"/>
            <w:tcBorders>
              <w:top w:val="single" w:sz="2" w:space="0" w:color="000000"/>
              <w:left w:val="single" w:sz="2" w:space="0" w:color="000000"/>
              <w:bottom w:val="single" w:sz="2" w:space="0" w:color="000000"/>
              <w:right w:val="single" w:sz="2" w:space="0" w:color="000000"/>
            </w:tcBorders>
            <w:vAlign w:val="center"/>
          </w:tcPr>
          <w:p w14:paraId="3A90A30C" w14:textId="77777777" w:rsidR="00833524" w:rsidRPr="005D0955" w:rsidRDefault="00833524" w:rsidP="00E56269">
            <w:pPr>
              <w:spacing w:line="259" w:lineRule="auto"/>
              <w:ind w:right="29"/>
              <w:jc w:val="center"/>
              <w:rPr>
                <w:rFonts w:asciiTheme="majorHAnsi" w:hAnsiTheme="majorHAnsi"/>
                <w:sz w:val="18"/>
                <w:szCs w:val="18"/>
              </w:rPr>
            </w:pPr>
            <w:r w:rsidRPr="005D0955">
              <w:rPr>
                <w:rFonts w:asciiTheme="majorHAnsi" w:hAnsiTheme="majorHAnsi"/>
                <w:sz w:val="18"/>
                <w:szCs w:val="18"/>
              </w:rPr>
              <w:t>0</w:t>
            </w:r>
          </w:p>
        </w:tc>
      </w:tr>
      <w:tr w:rsidR="00833524" w:rsidRPr="00364545" w14:paraId="553AA157" w14:textId="77777777" w:rsidTr="00E56269">
        <w:trPr>
          <w:trHeight w:val="344"/>
        </w:trPr>
        <w:tc>
          <w:tcPr>
            <w:tcW w:w="1323" w:type="dxa"/>
            <w:tcBorders>
              <w:top w:val="single" w:sz="2" w:space="0" w:color="000000"/>
              <w:left w:val="single" w:sz="2" w:space="0" w:color="000000"/>
              <w:bottom w:val="single" w:sz="2" w:space="0" w:color="000000"/>
              <w:right w:val="single" w:sz="2" w:space="0" w:color="000000"/>
            </w:tcBorders>
            <w:shd w:val="clear" w:color="auto" w:fill="ECE6E2"/>
          </w:tcPr>
          <w:p w14:paraId="7E6D2E20" w14:textId="77777777" w:rsidR="00833524" w:rsidRPr="00364545" w:rsidRDefault="00833524" w:rsidP="00E56269">
            <w:pPr>
              <w:spacing w:line="259" w:lineRule="auto"/>
            </w:pPr>
            <w:r w:rsidRPr="00364545">
              <w:rPr>
                <w:b/>
                <w:sz w:val="18"/>
              </w:rPr>
              <w:t xml:space="preserve">Ensemble (hors UTCF) </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8F7A7C"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4402</w:t>
            </w:r>
          </w:p>
        </w:tc>
        <w:tc>
          <w:tcPr>
            <w:tcW w:w="71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5AC070"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1702</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89556E9"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6736</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341AC3"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12862</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DF376D2"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16930</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2210CF"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17494</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5EBA9B8" w14:textId="77777777" w:rsidR="00833524" w:rsidRPr="005D0955" w:rsidRDefault="00833524" w:rsidP="00E56269">
            <w:pPr>
              <w:spacing w:line="259" w:lineRule="auto"/>
              <w:ind w:right="29"/>
              <w:jc w:val="center"/>
              <w:rPr>
                <w:rFonts w:asciiTheme="majorHAnsi" w:hAnsiTheme="majorHAnsi"/>
                <w:b/>
                <w:sz w:val="18"/>
                <w:szCs w:val="18"/>
              </w:rPr>
            </w:pPr>
            <w:r w:rsidRPr="005D0955">
              <w:rPr>
                <w:rFonts w:asciiTheme="majorHAnsi" w:hAnsiTheme="majorHAnsi"/>
                <w:sz w:val="18"/>
                <w:szCs w:val="18"/>
              </w:rPr>
              <w:t>12992</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DACD7D"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14</w:t>
            </w:r>
            <w:r w:rsidRPr="005D0955">
              <w:rPr>
                <w:rFonts w:ascii="Calibri" w:hAnsi="Calibri" w:cs="Calibri"/>
                <w:b/>
                <w:sz w:val="18"/>
                <w:szCs w:val="18"/>
              </w:rPr>
              <w:t> </w:t>
            </w:r>
            <w:r w:rsidRPr="00634E4C">
              <w:rPr>
                <w:rFonts w:asciiTheme="majorHAnsi" w:hAnsiTheme="majorHAnsi"/>
                <w:b/>
                <w:sz w:val="18"/>
              </w:rPr>
              <w:t>731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109FF7E"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7</w:t>
            </w:r>
            <w:r w:rsidRPr="005D0955">
              <w:rPr>
                <w:rFonts w:ascii="Calibri" w:hAnsi="Calibri" w:cs="Calibri"/>
                <w:b/>
                <w:sz w:val="18"/>
                <w:szCs w:val="18"/>
              </w:rPr>
              <w:t> </w:t>
            </w:r>
            <w:r w:rsidRPr="00634E4C">
              <w:rPr>
                <w:rFonts w:asciiTheme="majorHAnsi" w:hAnsiTheme="majorHAnsi"/>
                <w:b/>
                <w:sz w:val="18"/>
              </w:rPr>
              <w:t>995</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79B3865"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5</w:t>
            </w:r>
            <w:r w:rsidRPr="005D0955">
              <w:rPr>
                <w:rFonts w:ascii="Calibri" w:hAnsi="Calibri" w:cs="Calibri"/>
                <w:b/>
                <w:sz w:val="18"/>
                <w:szCs w:val="18"/>
              </w:rPr>
              <w:t> </w:t>
            </w:r>
            <w:r w:rsidRPr="00634E4C">
              <w:rPr>
                <w:rFonts w:asciiTheme="majorHAnsi" w:hAnsiTheme="majorHAnsi"/>
                <w:b/>
                <w:sz w:val="18"/>
              </w:rPr>
              <w:t>241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8CF80AB"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4</w:t>
            </w:r>
            <w:r w:rsidRPr="005D0955">
              <w:rPr>
                <w:rFonts w:ascii="Calibri" w:hAnsi="Calibri" w:cs="Calibri"/>
                <w:b/>
                <w:sz w:val="18"/>
                <w:szCs w:val="18"/>
              </w:rPr>
              <w:t> </w:t>
            </w:r>
            <w:r w:rsidRPr="00634E4C">
              <w:rPr>
                <w:rFonts w:asciiTheme="majorHAnsi" w:hAnsiTheme="majorHAnsi"/>
                <w:b/>
                <w:sz w:val="18"/>
              </w:rPr>
              <w:t>458</w:t>
            </w:r>
          </w:p>
        </w:tc>
        <w:tc>
          <w:tcPr>
            <w:tcW w:w="71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B87D671"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2</w:t>
            </w:r>
            <w:r w:rsidRPr="005D0955">
              <w:rPr>
                <w:rFonts w:ascii="Calibri" w:hAnsi="Calibri" w:cs="Calibri"/>
                <w:b/>
                <w:sz w:val="18"/>
                <w:szCs w:val="18"/>
              </w:rPr>
              <w:t> </w:t>
            </w:r>
            <w:r w:rsidRPr="00634E4C">
              <w:rPr>
                <w:rFonts w:asciiTheme="majorHAnsi" w:hAnsiTheme="majorHAnsi"/>
                <w:b/>
                <w:sz w:val="18"/>
              </w:rPr>
              <w:t>109</w:t>
            </w:r>
          </w:p>
        </w:tc>
      </w:tr>
      <w:tr w:rsidR="00833524" w:rsidRPr="00364545" w14:paraId="7F575471" w14:textId="77777777" w:rsidTr="00E56269">
        <w:trPr>
          <w:trHeight w:val="346"/>
        </w:trPr>
        <w:tc>
          <w:tcPr>
            <w:tcW w:w="1323" w:type="dxa"/>
            <w:tcBorders>
              <w:top w:val="single" w:sz="2" w:space="0" w:color="000000"/>
              <w:left w:val="single" w:sz="2" w:space="0" w:color="000000"/>
              <w:bottom w:val="single" w:sz="2" w:space="0" w:color="000000"/>
              <w:right w:val="single" w:sz="2" w:space="0" w:color="000000"/>
            </w:tcBorders>
          </w:tcPr>
          <w:p w14:paraId="454C5CD9" w14:textId="77777777" w:rsidR="00833524" w:rsidRPr="00364545" w:rsidRDefault="00833524" w:rsidP="00E56269">
            <w:pPr>
              <w:spacing w:line="259" w:lineRule="auto"/>
            </w:pPr>
            <w:r w:rsidRPr="00364545">
              <w:rPr>
                <w:b/>
                <w:sz w:val="18"/>
              </w:rPr>
              <w:t xml:space="preserve">Ensemble (avec UTCF) </w:t>
            </w:r>
          </w:p>
        </w:tc>
        <w:tc>
          <w:tcPr>
            <w:tcW w:w="724" w:type="dxa"/>
            <w:tcBorders>
              <w:top w:val="single" w:sz="2" w:space="0" w:color="000000"/>
              <w:left w:val="single" w:sz="2" w:space="0" w:color="000000"/>
              <w:bottom w:val="single" w:sz="2" w:space="0" w:color="000000"/>
              <w:right w:val="single" w:sz="2" w:space="0" w:color="000000"/>
            </w:tcBorders>
            <w:vAlign w:val="center"/>
          </w:tcPr>
          <w:p w14:paraId="1D92CD4C"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4402</w:t>
            </w:r>
          </w:p>
        </w:tc>
        <w:tc>
          <w:tcPr>
            <w:tcW w:w="713" w:type="dxa"/>
            <w:tcBorders>
              <w:top w:val="single" w:sz="2" w:space="0" w:color="000000"/>
              <w:left w:val="single" w:sz="2" w:space="0" w:color="000000"/>
              <w:bottom w:val="single" w:sz="2" w:space="0" w:color="000000"/>
              <w:right w:val="single" w:sz="2" w:space="0" w:color="000000"/>
            </w:tcBorders>
            <w:vAlign w:val="center"/>
          </w:tcPr>
          <w:p w14:paraId="23DA95A2"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1702</w:t>
            </w:r>
          </w:p>
        </w:tc>
        <w:tc>
          <w:tcPr>
            <w:tcW w:w="718" w:type="dxa"/>
            <w:tcBorders>
              <w:top w:val="single" w:sz="2" w:space="0" w:color="000000"/>
              <w:left w:val="single" w:sz="2" w:space="0" w:color="000000"/>
              <w:bottom w:val="single" w:sz="2" w:space="0" w:color="000000"/>
              <w:right w:val="single" w:sz="2" w:space="0" w:color="000000"/>
            </w:tcBorders>
            <w:vAlign w:val="center"/>
          </w:tcPr>
          <w:p w14:paraId="13AB2419"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6736</w:t>
            </w:r>
          </w:p>
        </w:tc>
        <w:tc>
          <w:tcPr>
            <w:tcW w:w="740" w:type="dxa"/>
            <w:tcBorders>
              <w:top w:val="single" w:sz="2" w:space="0" w:color="000000"/>
              <w:left w:val="single" w:sz="2" w:space="0" w:color="000000"/>
              <w:bottom w:val="single" w:sz="2" w:space="0" w:color="000000"/>
              <w:right w:val="single" w:sz="2" w:space="0" w:color="000000"/>
            </w:tcBorders>
            <w:vAlign w:val="center"/>
          </w:tcPr>
          <w:p w14:paraId="2794880F"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12862</w:t>
            </w:r>
          </w:p>
        </w:tc>
        <w:tc>
          <w:tcPr>
            <w:tcW w:w="740" w:type="dxa"/>
            <w:tcBorders>
              <w:top w:val="single" w:sz="2" w:space="0" w:color="000000"/>
              <w:left w:val="single" w:sz="2" w:space="0" w:color="000000"/>
              <w:bottom w:val="single" w:sz="2" w:space="0" w:color="000000"/>
              <w:right w:val="single" w:sz="2" w:space="0" w:color="000000"/>
            </w:tcBorders>
            <w:vAlign w:val="center"/>
          </w:tcPr>
          <w:p w14:paraId="08346B0A"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16930</w:t>
            </w:r>
          </w:p>
        </w:tc>
        <w:tc>
          <w:tcPr>
            <w:tcW w:w="736" w:type="dxa"/>
            <w:tcBorders>
              <w:top w:val="single" w:sz="2" w:space="0" w:color="000000"/>
              <w:left w:val="single" w:sz="2" w:space="0" w:color="000000"/>
              <w:bottom w:val="single" w:sz="2" w:space="0" w:color="000000"/>
              <w:right w:val="single" w:sz="2" w:space="0" w:color="000000"/>
            </w:tcBorders>
            <w:vAlign w:val="center"/>
          </w:tcPr>
          <w:p w14:paraId="5DFB0BF7" w14:textId="77777777" w:rsidR="00833524" w:rsidRPr="00634E4C" w:rsidRDefault="00833524" w:rsidP="00E56269">
            <w:pPr>
              <w:spacing w:line="259" w:lineRule="auto"/>
              <w:ind w:right="29"/>
              <w:jc w:val="center"/>
              <w:rPr>
                <w:rFonts w:asciiTheme="majorHAnsi" w:hAnsiTheme="majorHAnsi"/>
                <w:b/>
                <w:sz w:val="18"/>
              </w:rPr>
            </w:pPr>
            <w:r w:rsidRPr="005D0955">
              <w:rPr>
                <w:rFonts w:asciiTheme="majorHAnsi" w:hAnsiTheme="majorHAnsi"/>
                <w:sz w:val="18"/>
                <w:szCs w:val="18"/>
              </w:rPr>
              <w:t>17494</w:t>
            </w:r>
          </w:p>
        </w:tc>
        <w:tc>
          <w:tcPr>
            <w:tcW w:w="622" w:type="dxa"/>
            <w:tcBorders>
              <w:top w:val="single" w:sz="2" w:space="0" w:color="000000"/>
              <w:left w:val="single" w:sz="2" w:space="0" w:color="000000"/>
              <w:bottom w:val="single" w:sz="2" w:space="0" w:color="000000"/>
              <w:right w:val="single" w:sz="2" w:space="0" w:color="000000"/>
            </w:tcBorders>
            <w:vAlign w:val="center"/>
          </w:tcPr>
          <w:p w14:paraId="0306D874" w14:textId="77777777" w:rsidR="00833524" w:rsidRPr="005D0955" w:rsidRDefault="00833524" w:rsidP="00E56269">
            <w:pPr>
              <w:spacing w:line="259" w:lineRule="auto"/>
              <w:ind w:right="29"/>
              <w:jc w:val="center"/>
              <w:rPr>
                <w:rFonts w:asciiTheme="majorHAnsi" w:hAnsiTheme="majorHAnsi"/>
                <w:b/>
                <w:sz w:val="18"/>
                <w:szCs w:val="18"/>
              </w:rPr>
            </w:pPr>
            <w:r w:rsidRPr="005D0955">
              <w:rPr>
                <w:rFonts w:asciiTheme="majorHAnsi" w:hAnsiTheme="majorHAnsi"/>
                <w:sz w:val="18"/>
                <w:szCs w:val="18"/>
              </w:rPr>
              <w:t>12992</w:t>
            </w:r>
          </w:p>
        </w:tc>
        <w:tc>
          <w:tcPr>
            <w:tcW w:w="735" w:type="dxa"/>
            <w:tcBorders>
              <w:top w:val="single" w:sz="2" w:space="0" w:color="000000"/>
              <w:left w:val="single" w:sz="2" w:space="0" w:color="000000"/>
              <w:bottom w:val="single" w:sz="2" w:space="0" w:color="000000"/>
              <w:right w:val="single" w:sz="2" w:space="0" w:color="000000"/>
            </w:tcBorders>
            <w:vAlign w:val="center"/>
          </w:tcPr>
          <w:p w14:paraId="38AA85D3"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14</w:t>
            </w:r>
            <w:r w:rsidRPr="005D0955">
              <w:rPr>
                <w:rFonts w:ascii="Calibri" w:hAnsi="Calibri" w:cs="Calibri"/>
                <w:b/>
                <w:sz w:val="18"/>
                <w:szCs w:val="18"/>
              </w:rPr>
              <w:t> </w:t>
            </w:r>
            <w:r w:rsidRPr="00634E4C">
              <w:rPr>
                <w:rFonts w:asciiTheme="majorHAnsi" w:hAnsiTheme="majorHAnsi"/>
                <w:b/>
                <w:sz w:val="18"/>
              </w:rPr>
              <w:t>731</w:t>
            </w:r>
          </w:p>
        </w:tc>
        <w:tc>
          <w:tcPr>
            <w:tcW w:w="723" w:type="dxa"/>
            <w:tcBorders>
              <w:top w:val="single" w:sz="2" w:space="0" w:color="000000"/>
              <w:left w:val="single" w:sz="2" w:space="0" w:color="000000"/>
              <w:bottom w:val="single" w:sz="2" w:space="0" w:color="000000"/>
              <w:right w:val="single" w:sz="2" w:space="0" w:color="000000"/>
            </w:tcBorders>
            <w:vAlign w:val="center"/>
          </w:tcPr>
          <w:p w14:paraId="00DCC587"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7</w:t>
            </w:r>
            <w:r w:rsidRPr="005D0955">
              <w:rPr>
                <w:rFonts w:ascii="Calibri" w:hAnsi="Calibri" w:cs="Calibri"/>
                <w:b/>
                <w:sz w:val="18"/>
                <w:szCs w:val="18"/>
              </w:rPr>
              <w:t> </w:t>
            </w:r>
            <w:r w:rsidRPr="00634E4C">
              <w:rPr>
                <w:rFonts w:asciiTheme="majorHAnsi" w:hAnsiTheme="majorHAnsi"/>
                <w:b/>
                <w:sz w:val="18"/>
              </w:rPr>
              <w:t>995</w:t>
            </w:r>
          </w:p>
        </w:tc>
        <w:tc>
          <w:tcPr>
            <w:tcW w:w="718" w:type="dxa"/>
            <w:tcBorders>
              <w:top w:val="single" w:sz="2" w:space="0" w:color="000000"/>
              <w:left w:val="single" w:sz="2" w:space="0" w:color="000000"/>
              <w:bottom w:val="single" w:sz="2" w:space="0" w:color="000000"/>
              <w:right w:val="single" w:sz="2" w:space="0" w:color="000000"/>
            </w:tcBorders>
            <w:vAlign w:val="center"/>
          </w:tcPr>
          <w:p w14:paraId="3092764E"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5</w:t>
            </w:r>
            <w:r w:rsidRPr="005D0955">
              <w:rPr>
                <w:rFonts w:ascii="Calibri" w:hAnsi="Calibri" w:cs="Calibri"/>
                <w:b/>
                <w:sz w:val="18"/>
                <w:szCs w:val="18"/>
              </w:rPr>
              <w:t> </w:t>
            </w:r>
            <w:r w:rsidRPr="00634E4C">
              <w:rPr>
                <w:rFonts w:asciiTheme="majorHAnsi" w:hAnsiTheme="majorHAnsi"/>
                <w:b/>
                <w:sz w:val="18"/>
              </w:rPr>
              <w:t>241</w:t>
            </w:r>
          </w:p>
        </w:tc>
        <w:tc>
          <w:tcPr>
            <w:tcW w:w="723" w:type="dxa"/>
            <w:tcBorders>
              <w:top w:val="single" w:sz="2" w:space="0" w:color="000000"/>
              <w:left w:val="single" w:sz="2" w:space="0" w:color="000000"/>
              <w:bottom w:val="single" w:sz="2" w:space="0" w:color="000000"/>
              <w:right w:val="single" w:sz="2" w:space="0" w:color="000000"/>
            </w:tcBorders>
            <w:vAlign w:val="center"/>
          </w:tcPr>
          <w:p w14:paraId="7DD152E5"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4</w:t>
            </w:r>
            <w:r w:rsidRPr="005D0955">
              <w:rPr>
                <w:rFonts w:ascii="Calibri" w:hAnsi="Calibri" w:cs="Calibri"/>
                <w:b/>
                <w:sz w:val="18"/>
                <w:szCs w:val="18"/>
              </w:rPr>
              <w:t> </w:t>
            </w:r>
            <w:r w:rsidRPr="00634E4C">
              <w:rPr>
                <w:rFonts w:asciiTheme="majorHAnsi" w:hAnsiTheme="majorHAnsi"/>
                <w:b/>
                <w:sz w:val="18"/>
              </w:rPr>
              <w:t>458</w:t>
            </w:r>
          </w:p>
        </w:tc>
        <w:tc>
          <w:tcPr>
            <w:tcW w:w="719" w:type="dxa"/>
            <w:tcBorders>
              <w:top w:val="single" w:sz="2" w:space="0" w:color="000000"/>
              <w:left w:val="single" w:sz="2" w:space="0" w:color="000000"/>
              <w:bottom w:val="single" w:sz="2" w:space="0" w:color="000000"/>
              <w:right w:val="single" w:sz="2" w:space="0" w:color="000000"/>
            </w:tcBorders>
            <w:vAlign w:val="center"/>
          </w:tcPr>
          <w:p w14:paraId="6266083F" w14:textId="77777777" w:rsidR="00833524" w:rsidRPr="00634E4C" w:rsidRDefault="00833524" w:rsidP="00E56269">
            <w:pPr>
              <w:spacing w:line="259" w:lineRule="auto"/>
              <w:ind w:right="29"/>
              <w:jc w:val="center"/>
              <w:rPr>
                <w:rFonts w:asciiTheme="majorHAnsi" w:hAnsiTheme="majorHAnsi"/>
                <w:b/>
                <w:sz w:val="18"/>
              </w:rPr>
            </w:pPr>
            <w:r w:rsidRPr="00634E4C">
              <w:rPr>
                <w:rFonts w:asciiTheme="majorHAnsi" w:hAnsiTheme="majorHAnsi"/>
                <w:b/>
                <w:sz w:val="18"/>
              </w:rPr>
              <w:t>2</w:t>
            </w:r>
            <w:r w:rsidRPr="005D0955">
              <w:rPr>
                <w:rFonts w:ascii="Calibri" w:hAnsi="Calibri" w:cs="Calibri"/>
                <w:b/>
                <w:sz w:val="18"/>
                <w:szCs w:val="18"/>
              </w:rPr>
              <w:t> </w:t>
            </w:r>
            <w:r w:rsidRPr="00634E4C">
              <w:rPr>
                <w:rFonts w:asciiTheme="majorHAnsi" w:hAnsiTheme="majorHAnsi"/>
                <w:b/>
                <w:sz w:val="18"/>
              </w:rPr>
              <w:t>109</w:t>
            </w:r>
          </w:p>
        </w:tc>
      </w:tr>
    </w:tbl>
    <w:p w14:paraId="544F610B" w14:textId="210819A0" w:rsidR="00833524" w:rsidRPr="00364545" w:rsidRDefault="00833524" w:rsidP="00833524">
      <w:pPr>
        <w:pStyle w:val="Caption"/>
      </w:pPr>
      <w:r w:rsidRPr="00364545">
        <w:t xml:space="preserve">Table </w:t>
      </w:r>
      <w:fldSimple w:instr=" SEQ Tableau \* ARABIC ">
        <w:r w:rsidR="009A2FAA">
          <w:rPr>
            <w:noProof/>
          </w:rPr>
          <w:t>29</w:t>
        </w:r>
      </w:fldSimple>
      <w:r w:rsidRPr="00364545">
        <w:t>: GHG emission projections (in ktCO</w:t>
      </w:r>
      <w:r w:rsidRPr="00364545">
        <w:rPr>
          <w:vertAlign w:val="subscript"/>
        </w:rPr>
        <w:t>2e</w:t>
      </w:r>
      <w:r w:rsidRPr="00364545">
        <w:t>) at the Kyoto scope in the AMS 2018 scenario (with additional measures)</w:t>
      </w:r>
    </w:p>
    <w:p w14:paraId="044AD5B7" w14:textId="77777777" w:rsidR="00833524" w:rsidRPr="00364545" w:rsidRDefault="00833524" w:rsidP="00833524">
      <w:pPr>
        <w:pStyle w:val="Caption"/>
      </w:pPr>
      <w:r w:rsidRPr="00364545">
        <w:t>Source: UN</w:t>
      </w:r>
      <w:r>
        <w:t>FCCC inventory, Citepa/MTES, 2022</w:t>
      </w:r>
      <w:r w:rsidRPr="00364545">
        <w:t xml:space="preserve"> submission and MTES emission projections, 2018</w:t>
      </w:r>
    </w:p>
    <w:p w14:paraId="45F5847A" w14:textId="77777777" w:rsidR="00833524" w:rsidRPr="00364545" w:rsidRDefault="00833524" w:rsidP="00833524"/>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426"/>
        <w:gridCol w:w="722"/>
        <w:gridCol w:w="723"/>
        <w:gridCol w:w="724"/>
        <w:gridCol w:w="717"/>
        <w:gridCol w:w="710"/>
        <w:gridCol w:w="710"/>
        <w:gridCol w:w="625"/>
        <w:gridCol w:w="715"/>
        <w:gridCol w:w="715"/>
        <w:gridCol w:w="716"/>
        <w:gridCol w:w="715"/>
        <w:gridCol w:w="716"/>
      </w:tblGrid>
      <w:tr w:rsidR="00833524" w:rsidRPr="00364545" w14:paraId="35069EBE" w14:textId="77777777" w:rsidTr="00E56269">
        <w:trPr>
          <w:trHeight w:val="402"/>
        </w:trPr>
        <w:tc>
          <w:tcPr>
            <w:tcW w:w="1426" w:type="dxa"/>
            <w:tcBorders>
              <w:top w:val="single" w:sz="2" w:space="0" w:color="000000"/>
              <w:left w:val="single" w:sz="2" w:space="0" w:color="000000"/>
              <w:bottom w:val="single" w:sz="2" w:space="0" w:color="000000"/>
              <w:right w:val="single" w:sz="2" w:space="0" w:color="000000"/>
            </w:tcBorders>
            <w:shd w:val="clear" w:color="auto" w:fill="6D2A78"/>
          </w:tcPr>
          <w:p w14:paraId="76E82298" w14:textId="77777777" w:rsidR="00833524" w:rsidRPr="00364545" w:rsidRDefault="00833524" w:rsidP="00E56269">
            <w:pPr>
              <w:spacing w:line="259" w:lineRule="auto"/>
            </w:pPr>
            <w:r w:rsidRPr="00364545">
              <w:t>AMS 18 - PFC</w:t>
            </w:r>
          </w:p>
        </w:tc>
        <w:tc>
          <w:tcPr>
            <w:tcW w:w="722" w:type="dxa"/>
            <w:tcBorders>
              <w:top w:val="single" w:sz="2" w:space="0" w:color="000000"/>
              <w:left w:val="single" w:sz="2" w:space="0" w:color="000000"/>
              <w:bottom w:val="single" w:sz="2" w:space="0" w:color="000000"/>
              <w:right w:val="single" w:sz="2" w:space="0" w:color="000000"/>
            </w:tcBorders>
            <w:shd w:val="clear" w:color="auto" w:fill="6D2A78"/>
          </w:tcPr>
          <w:p w14:paraId="42841F19" w14:textId="77777777" w:rsidR="00833524" w:rsidRPr="00364545" w:rsidRDefault="00833524" w:rsidP="00E56269">
            <w:pPr>
              <w:spacing w:line="259" w:lineRule="auto"/>
              <w:ind w:left="19"/>
              <w:jc w:val="center"/>
            </w:pPr>
            <w:r w:rsidRPr="00364545">
              <w:rPr>
                <w:b/>
                <w:color w:val="FFFFFF"/>
                <w:sz w:val="18"/>
              </w:rPr>
              <w:t xml:space="preserve">1990 </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61A9E1EA" w14:textId="77777777" w:rsidR="00833524" w:rsidRPr="00364545" w:rsidRDefault="00833524" w:rsidP="00E56269">
            <w:pPr>
              <w:spacing w:line="259" w:lineRule="auto"/>
              <w:ind w:left="21"/>
              <w:jc w:val="center"/>
              <w:rPr>
                <w:b/>
                <w:color w:val="FFFFFF"/>
                <w:sz w:val="18"/>
              </w:rPr>
            </w:pPr>
            <w:r w:rsidRPr="00364545">
              <w:rPr>
                <w:b/>
                <w:color w:val="FFFFFF"/>
                <w:sz w:val="18"/>
              </w:rPr>
              <w:t>1995</w:t>
            </w:r>
          </w:p>
        </w:tc>
        <w:tc>
          <w:tcPr>
            <w:tcW w:w="724" w:type="dxa"/>
            <w:tcBorders>
              <w:top w:val="single" w:sz="2" w:space="0" w:color="000000"/>
              <w:left w:val="single" w:sz="2" w:space="0" w:color="000000"/>
              <w:bottom w:val="single" w:sz="2" w:space="0" w:color="000000"/>
              <w:right w:val="single" w:sz="2" w:space="0" w:color="000000"/>
            </w:tcBorders>
            <w:shd w:val="clear" w:color="auto" w:fill="6D2A78"/>
          </w:tcPr>
          <w:p w14:paraId="4D4CB40F" w14:textId="77777777" w:rsidR="00833524" w:rsidRPr="00364545" w:rsidRDefault="00833524" w:rsidP="00E56269">
            <w:pPr>
              <w:spacing w:line="259" w:lineRule="auto"/>
              <w:ind w:left="21"/>
              <w:jc w:val="center"/>
            </w:pPr>
            <w:r w:rsidRPr="00364545">
              <w:rPr>
                <w:b/>
                <w:color w:val="FFFFFF"/>
                <w:sz w:val="18"/>
              </w:rPr>
              <w:t xml:space="preserve">2000 </w:t>
            </w:r>
          </w:p>
        </w:tc>
        <w:tc>
          <w:tcPr>
            <w:tcW w:w="717" w:type="dxa"/>
            <w:tcBorders>
              <w:top w:val="single" w:sz="2" w:space="0" w:color="000000"/>
              <w:left w:val="single" w:sz="2" w:space="0" w:color="000000"/>
              <w:bottom w:val="single" w:sz="2" w:space="0" w:color="000000"/>
              <w:right w:val="single" w:sz="2" w:space="0" w:color="000000"/>
            </w:tcBorders>
            <w:shd w:val="clear" w:color="auto" w:fill="6D2A78"/>
          </w:tcPr>
          <w:p w14:paraId="12A48C6D" w14:textId="77777777" w:rsidR="00833524" w:rsidRPr="00364545" w:rsidRDefault="00833524" w:rsidP="00E56269">
            <w:pPr>
              <w:spacing w:line="259" w:lineRule="auto"/>
              <w:ind w:left="19"/>
              <w:jc w:val="center"/>
            </w:pPr>
            <w:r w:rsidRPr="00364545">
              <w:rPr>
                <w:b/>
                <w:color w:val="FFFFFF"/>
                <w:sz w:val="18"/>
              </w:rPr>
              <w:t xml:space="preserve">2005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4DABF76E" w14:textId="77777777" w:rsidR="00833524" w:rsidRPr="00364545" w:rsidRDefault="00833524" w:rsidP="00E56269">
            <w:pPr>
              <w:spacing w:line="259" w:lineRule="auto"/>
              <w:ind w:left="21"/>
              <w:jc w:val="center"/>
            </w:pPr>
            <w:r w:rsidRPr="00364545">
              <w:rPr>
                <w:b/>
                <w:color w:val="FFFFFF"/>
                <w:sz w:val="18"/>
              </w:rPr>
              <w:t xml:space="preserve">2010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59401BE3" w14:textId="77777777" w:rsidR="00833524" w:rsidRPr="00364545" w:rsidRDefault="00833524" w:rsidP="00E56269">
            <w:pPr>
              <w:spacing w:line="259" w:lineRule="auto"/>
              <w:ind w:left="19"/>
              <w:jc w:val="center"/>
            </w:pPr>
            <w:r w:rsidRPr="00364545">
              <w:rPr>
                <w:b/>
                <w:color w:val="FFFFFF"/>
                <w:sz w:val="18"/>
              </w:rPr>
              <w:t xml:space="preserve">2015 </w:t>
            </w:r>
          </w:p>
        </w:tc>
        <w:tc>
          <w:tcPr>
            <w:tcW w:w="625" w:type="dxa"/>
            <w:tcBorders>
              <w:top w:val="single" w:sz="2" w:space="0" w:color="000000"/>
              <w:left w:val="single" w:sz="2" w:space="0" w:color="000000"/>
              <w:bottom w:val="single" w:sz="2" w:space="0" w:color="000000"/>
              <w:right w:val="single" w:sz="2" w:space="0" w:color="000000"/>
            </w:tcBorders>
            <w:shd w:val="clear" w:color="auto" w:fill="6D2A78"/>
          </w:tcPr>
          <w:p w14:paraId="0B7AC702" w14:textId="77777777" w:rsidR="00833524" w:rsidRPr="00364545" w:rsidRDefault="00833524" w:rsidP="00E56269">
            <w:pPr>
              <w:spacing w:line="259" w:lineRule="auto"/>
              <w:ind w:left="21"/>
              <w:jc w:val="center"/>
              <w:rPr>
                <w:b/>
                <w:color w:val="FFFFFF"/>
                <w:sz w:val="18"/>
              </w:rPr>
            </w:pPr>
            <w:r>
              <w:rPr>
                <w:b/>
                <w:color w:val="FFFFFF"/>
                <w:sz w:val="18"/>
              </w:rPr>
              <w:t>2019</w:t>
            </w:r>
          </w:p>
        </w:tc>
        <w:tc>
          <w:tcPr>
            <w:tcW w:w="715" w:type="dxa"/>
            <w:tcBorders>
              <w:top w:val="single" w:sz="2" w:space="0" w:color="000000"/>
              <w:left w:val="single" w:sz="2" w:space="0" w:color="000000"/>
              <w:bottom w:val="single" w:sz="2" w:space="0" w:color="000000"/>
              <w:right w:val="single" w:sz="2" w:space="0" w:color="000000"/>
            </w:tcBorders>
            <w:shd w:val="clear" w:color="auto" w:fill="6D2A78"/>
          </w:tcPr>
          <w:p w14:paraId="00314EA7" w14:textId="77777777" w:rsidR="00833524" w:rsidRPr="00364545" w:rsidRDefault="00833524" w:rsidP="00E56269">
            <w:pPr>
              <w:spacing w:line="259" w:lineRule="auto"/>
              <w:ind w:left="21"/>
              <w:jc w:val="center"/>
            </w:pPr>
            <w:r w:rsidRPr="00364545">
              <w:rPr>
                <w:b/>
                <w:color w:val="FFFFFF"/>
                <w:sz w:val="18"/>
              </w:rPr>
              <w:t xml:space="preserve">2020 </w:t>
            </w:r>
          </w:p>
        </w:tc>
        <w:tc>
          <w:tcPr>
            <w:tcW w:w="715" w:type="dxa"/>
            <w:tcBorders>
              <w:top w:val="single" w:sz="2" w:space="0" w:color="000000"/>
              <w:left w:val="single" w:sz="2" w:space="0" w:color="000000"/>
              <w:bottom w:val="single" w:sz="2" w:space="0" w:color="000000"/>
              <w:right w:val="single" w:sz="2" w:space="0" w:color="000000"/>
            </w:tcBorders>
            <w:shd w:val="clear" w:color="auto" w:fill="6D2A78"/>
          </w:tcPr>
          <w:p w14:paraId="7EA3159C" w14:textId="77777777" w:rsidR="00833524" w:rsidRPr="00364545" w:rsidRDefault="00833524" w:rsidP="00E56269">
            <w:pPr>
              <w:spacing w:line="259" w:lineRule="auto"/>
              <w:ind w:left="19"/>
              <w:jc w:val="center"/>
            </w:pPr>
            <w:r w:rsidRPr="00364545">
              <w:rPr>
                <w:b/>
                <w:color w:val="FFFFFF"/>
                <w:sz w:val="18"/>
              </w:rPr>
              <w:t xml:space="preserve">2025 </w:t>
            </w:r>
          </w:p>
        </w:tc>
        <w:tc>
          <w:tcPr>
            <w:tcW w:w="716" w:type="dxa"/>
            <w:tcBorders>
              <w:top w:val="single" w:sz="2" w:space="0" w:color="000000"/>
              <w:left w:val="single" w:sz="2" w:space="0" w:color="000000"/>
              <w:bottom w:val="single" w:sz="2" w:space="0" w:color="000000"/>
              <w:right w:val="single" w:sz="2" w:space="0" w:color="000000"/>
            </w:tcBorders>
            <w:shd w:val="clear" w:color="auto" w:fill="6D2A78"/>
          </w:tcPr>
          <w:p w14:paraId="518103AC" w14:textId="77777777" w:rsidR="00833524" w:rsidRPr="00364545" w:rsidRDefault="00833524" w:rsidP="00E56269">
            <w:pPr>
              <w:spacing w:line="259" w:lineRule="auto"/>
              <w:ind w:left="21"/>
              <w:jc w:val="center"/>
            </w:pPr>
            <w:r w:rsidRPr="00364545">
              <w:rPr>
                <w:b/>
                <w:color w:val="FFFFFF"/>
                <w:sz w:val="18"/>
              </w:rPr>
              <w:t xml:space="preserve">2030 </w:t>
            </w:r>
          </w:p>
        </w:tc>
        <w:tc>
          <w:tcPr>
            <w:tcW w:w="715" w:type="dxa"/>
            <w:tcBorders>
              <w:top w:val="single" w:sz="2" w:space="0" w:color="000000"/>
              <w:left w:val="single" w:sz="2" w:space="0" w:color="000000"/>
              <w:bottom w:val="single" w:sz="2" w:space="0" w:color="000000"/>
              <w:right w:val="single" w:sz="2" w:space="0" w:color="000000"/>
            </w:tcBorders>
            <w:shd w:val="clear" w:color="auto" w:fill="6D2A78"/>
          </w:tcPr>
          <w:p w14:paraId="5D76CB67" w14:textId="77777777" w:rsidR="00833524" w:rsidRPr="00364545" w:rsidRDefault="00833524" w:rsidP="00E56269">
            <w:pPr>
              <w:spacing w:line="259" w:lineRule="auto"/>
              <w:ind w:left="20"/>
              <w:jc w:val="center"/>
            </w:pPr>
            <w:r w:rsidRPr="00364545">
              <w:rPr>
                <w:b/>
                <w:color w:val="FFFFFF"/>
                <w:sz w:val="18"/>
              </w:rPr>
              <w:t xml:space="preserve">2035 </w:t>
            </w:r>
          </w:p>
        </w:tc>
        <w:tc>
          <w:tcPr>
            <w:tcW w:w="716" w:type="dxa"/>
            <w:tcBorders>
              <w:top w:val="single" w:sz="2" w:space="0" w:color="000000"/>
              <w:left w:val="single" w:sz="2" w:space="0" w:color="000000"/>
              <w:bottom w:val="single" w:sz="2" w:space="0" w:color="000000"/>
              <w:right w:val="single" w:sz="2" w:space="0" w:color="000000"/>
            </w:tcBorders>
            <w:shd w:val="clear" w:color="auto" w:fill="6D2A78"/>
          </w:tcPr>
          <w:p w14:paraId="31661A2B" w14:textId="77777777" w:rsidR="00833524" w:rsidRPr="00364545" w:rsidRDefault="00833524" w:rsidP="00E56269">
            <w:pPr>
              <w:spacing w:line="259" w:lineRule="auto"/>
              <w:ind w:left="20"/>
              <w:jc w:val="center"/>
              <w:rPr>
                <w:b/>
                <w:color w:val="FFFFFF"/>
                <w:sz w:val="18"/>
              </w:rPr>
            </w:pPr>
            <w:r w:rsidRPr="00364545">
              <w:rPr>
                <w:b/>
                <w:color w:val="FFFFFF"/>
                <w:sz w:val="18"/>
              </w:rPr>
              <w:t>2050</w:t>
            </w:r>
          </w:p>
        </w:tc>
      </w:tr>
      <w:tr w:rsidR="00833524" w:rsidRPr="00364545" w14:paraId="788853F2" w14:textId="77777777" w:rsidTr="00E56269">
        <w:trPr>
          <w:trHeight w:val="344"/>
        </w:trPr>
        <w:tc>
          <w:tcPr>
            <w:tcW w:w="1426" w:type="dxa"/>
            <w:tcBorders>
              <w:top w:val="single" w:sz="2" w:space="0" w:color="000000"/>
              <w:left w:val="single" w:sz="2" w:space="0" w:color="000000"/>
              <w:bottom w:val="single" w:sz="2" w:space="0" w:color="000000"/>
              <w:right w:val="single" w:sz="2" w:space="0" w:color="000000"/>
            </w:tcBorders>
          </w:tcPr>
          <w:p w14:paraId="5A049E90" w14:textId="77777777" w:rsidR="00833524" w:rsidRPr="00364545" w:rsidRDefault="00833524" w:rsidP="00E56269">
            <w:pPr>
              <w:spacing w:line="259" w:lineRule="auto"/>
            </w:pPr>
            <w:r w:rsidRPr="00364545">
              <w:rPr>
                <w:sz w:val="18"/>
              </w:rPr>
              <w:t xml:space="preserve">Energy </w:t>
            </w:r>
          </w:p>
        </w:tc>
        <w:tc>
          <w:tcPr>
            <w:tcW w:w="722" w:type="dxa"/>
            <w:tcBorders>
              <w:top w:val="single" w:sz="2" w:space="0" w:color="000000"/>
              <w:left w:val="single" w:sz="2" w:space="0" w:color="000000"/>
              <w:bottom w:val="single" w:sz="2" w:space="0" w:color="000000"/>
              <w:right w:val="single" w:sz="2" w:space="0" w:color="000000"/>
            </w:tcBorders>
            <w:vAlign w:val="center"/>
          </w:tcPr>
          <w:p w14:paraId="7E43D559"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0B5CABC6"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7D3688E4"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7" w:type="dxa"/>
            <w:tcBorders>
              <w:top w:val="single" w:sz="2" w:space="0" w:color="000000"/>
              <w:left w:val="single" w:sz="2" w:space="0" w:color="000000"/>
              <w:bottom w:val="single" w:sz="2" w:space="0" w:color="000000"/>
              <w:right w:val="single" w:sz="2" w:space="0" w:color="000000"/>
            </w:tcBorders>
            <w:vAlign w:val="center"/>
          </w:tcPr>
          <w:p w14:paraId="302E9B59"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070A7D60"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38788FC3"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625" w:type="dxa"/>
            <w:tcBorders>
              <w:top w:val="single" w:sz="2" w:space="0" w:color="000000"/>
              <w:left w:val="single" w:sz="2" w:space="0" w:color="000000"/>
              <w:bottom w:val="single" w:sz="2" w:space="0" w:color="000000"/>
              <w:right w:val="single" w:sz="2" w:space="0" w:color="000000"/>
            </w:tcBorders>
            <w:vAlign w:val="center"/>
          </w:tcPr>
          <w:p w14:paraId="042FF50C"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3ED89298" w14:textId="77777777" w:rsidR="00833524" w:rsidRPr="00364545" w:rsidRDefault="00833524" w:rsidP="00E56269">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157CA4C4" w14:textId="77777777" w:rsidR="00833524" w:rsidRPr="00364545" w:rsidRDefault="00833524" w:rsidP="00E56269">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69C9BAFB" w14:textId="77777777" w:rsidR="00833524" w:rsidRPr="00364545" w:rsidRDefault="00833524" w:rsidP="00E56269">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7B172FD5" w14:textId="77777777" w:rsidR="00833524" w:rsidRPr="00364545" w:rsidRDefault="00833524" w:rsidP="00E56269">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4392F9DC" w14:textId="77777777" w:rsidR="00833524" w:rsidRPr="00364545" w:rsidRDefault="00833524" w:rsidP="00E56269">
            <w:pPr>
              <w:spacing w:line="259" w:lineRule="auto"/>
              <w:ind w:left="16"/>
              <w:jc w:val="center"/>
              <w:rPr>
                <w:sz w:val="18"/>
              </w:rPr>
            </w:pPr>
            <w:r w:rsidRPr="00364545">
              <w:rPr>
                <w:sz w:val="18"/>
              </w:rPr>
              <w:t>0</w:t>
            </w:r>
          </w:p>
        </w:tc>
      </w:tr>
      <w:tr w:rsidR="00833524" w:rsidRPr="00364545" w14:paraId="314887B6" w14:textId="77777777" w:rsidTr="00E56269">
        <w:trPr>
          <w:trHeight w:val="419"/>
        </w:trPr>
        <w:tc>
          <w:tcPr>
            <w:tcW w:w="1426" w:type="dxa"/>
            <w:tcBorders>
              <w:top w:val="single" w:sz="2" w:space="0" w:color="000000"/>
              <w:left w:val="single" w:sz="2" w:space="0" w:color="000000"/>
              <w:bottom w:val="single" w:sz="2" w:space="0" w:color="000000"/>
              <w:right w:val="single" w:sz="2" w:space="0" w:color="000000"/>
            </w:tcBorders>
            <w:shd w:val="clear" w:color="auto" w:fill="ECE6E2"/>
          </w:tcPr>
          <w:p w14:paraId="210961C1" w14:textId="77777777" w:rsidR="00833524" w:rsidRPr="00364545" w:rsidRDefault="00833524" w:rsidP="00E56269">
            <w:pPr>
              <w:spacing w:line="259" w:lineRule="auto"/>
            </w:pPr>
            <w:r w:rsidRPr="00364545">
              <w:rPr>
                <w:sz w:val="18"/>
              </w:rPr>
              <w:t xml:space="preserve">Industrial processes, solvents and other products </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F7DFE2" w14:textId="77777777" w:rsidR="00833524" w:rsidRPr="00364545" w:rsidRDefault="00833524" w:rsidP="00E56269">
            <w:pPr>
              <w:spacing w:line="259" w:lineRule="auto"/>
              <w:ind w:left="16"/>
              <w:jc w:val="center"/>
              <w:rPr>
                <w:sz w:val="18"/>
              </w:rPr>
            </w:pPr>
            <w:r w:rsidRPr="005D0955">
              <w:rPr>
                <w:rFonts w:asciiTheme="majorHAnsi" w:hAnsiTheme="majorHAnsi"/>
                <w:sz w:val="18"/>
                <w:szCs w:val="18"/>
              </w:rPr>
              <w:t>5202</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54D8D6" w14:textId="77777777" w:rsidR="00833524" w:rsidRPr="00364545" w:rsidRDefault="00833524" w:rsidP="00E56269">
            <w:pPr>
              <w:spacing w:line="259" w:lineRule="auto"/>
              <w:ind w:left="16"/>
              <w:jc w:val="center"/>
              <w:rPr>
                <w:sz w:val="18"/>
              </w:rPr>
            </w:pPr>
            <w:r w:rsidRPr="005D0955">
              <w:rPr>
                <w:rFonts w:asciiTheme="majorHAnsi" w:hAnsiTheme="majorHAnsi"/>
                <w:sz w:val="18"/>
                <w:szCs w:val="18"/>
              </w:rPr>
              <w:t>3065</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0F6DC5" w14:textId="77777777" w:rsidR="00833524" w:rsidRPr="00364545" w:rsidRDefault="00833524" w:rsidP="00E56269">
            <w:pPr>
              <w:spacing w:line="259" w:lineRule="auto"/>
              <w:ind w:left="16"/>
              <w:jc w:val="center"/>
              <w:rPr>
                <w:sz w:val="18"/>
              </w:rPr>
            </w:pPr>
            <w:r w:rsidRPr="005D0955">
              <w:rPr>
                <w:rFonts w:asciiTheme="majorHAnsi" w:hAnsiTheme="majorHAnsi"/>
                <w:sz w:val="18"/>
                <w:szCs w:val="18"/>
              </w:rPr>
              <w:t>2997</w:t>
            </w:r>
          </w:p>
        </w:tc>
        <w:tc>
          <w:tcPr>
            <w:tcW w:w="71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FF30B36" w14:textId="77777777" w:rsidR="00833524" w:rsidRPr="00364545" w:rsidRDefault="00833524" w:rsidP="00E56269">
            <w:pPr>
              <w:spacing w:line="259" w:lineRule="auto"/>
              <w:ind w:left="16"/>
              <w:jc w:val="center"/>
              <w:rPr>
                <w:sz w:val="18"/>
              </w:rPr>
            </w:pPr>
            <w:r w:rsidRPr="005D0955">
              <w:rPr>
                <w:rFonts w:asciiTheme="majorHAnsi" w:hAnsiTheme="majorHAnsi"/>
                <w:sz w:val="18"/>
                <w:szCs w:val="18"/>
              </w:rPr>
              <w:t>1760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01FEFE" w14:textId="77777777" w:rsidR="00833524" w:rsidRPr="00364545" w:rsidRDefault="00833524" w:rsidP="00E56269">
            <w:pPr>
              <w:spacing w:line="259" w:lineRule="auto"/>
              <w:ind w:left="16"/>
              <w:jc w:val="center"/>
              <w:rPr>
                <w:sz w:val="18"/>
              </w:rPr>
            </w:pPr>
            <w:r w:rsidRPr="00634E4C">
              <w:rPr>
                <w:rFonts w:asciiTheme="majorHAnsi" w:hAnsiTheme="majorHAnsi"/>
                <w:sz w:val="18"/>
              </w:rPr>
              <w:t>617</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A0312A" w14:textId="77777777" w:rsidR="00833524" w:rsidRPr="00364545" w:rsidRDefault="00833524" w:rsidP="00E56269">
            <w:pPr>
              <w:spacing w:line="259" w:lineRule="auto"/>
              <w:ind w:left="16"/>
              <w:jc w:val="center"/>
              <w:rPr>
                <w:sz w:val="18"/>
              </w:rPr>
            </w:pPr>
            <w:r w:rsidRPr="00634E4C">
              <w:rPr>
                <w:rFonts w:asciiTheme="majorHAnsi" w:hAnsiTheme="majorHAnsi"/>
                <w:sz w:val="18"/>
              </w:rPr>
              <w:t>537</w:t>
            </w:r>
          </w:p>
        </w:tc>
        <w:tc>
          <w:tcPr>
            <w:tcW w:w="6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8AD866" w14:textId="77777777" w:rsidR="00833524" w:rsidRPr="00364545" w:rsidRDefault="00833524" w:rsidP="00E56269">
            <w:pPr>
              <w:spacing w:line="259" w:lineRule="auto"/>
              <w:ind w:left="16"/>
              <w:jc w:val="center"/>
              <w:rPr>
                <w:sz w:val="18"/>
              </w:rPr>
            </w:pPr>
            <w:r w:rsidRPr="005D0955">
              <w:rPr>
                <w:rFonts w:asciiTheme="majorHAnsi" w:hAnsiTheme="majorHAnsi"/>
                <w:sz w:val="18"/>
                <w:szCs w:val="18"/>
              </w:rPr>
              <w:t>615</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9C871D" w14:textId="77777777" w:rsidR="00833524" w:rsidRPr="00364545" w:rsidRDefault="00833524" w:rsidP="00E56269">
            <w:pPr>
              <w:spacing w:line="259" w:lineRule="auto"/>
              <w:ind w:left="16"/>
              <w:jc w:val="center"/>
              <w:rPr>
                <w:sz w:val="18"/>
              </w:rPr>
            </w:pPr>
            <w:r w:rsidRPr="00364545">
              <w:rPr>
                <w:sz w:val="18"/>
              </w:rPr>
              <w:t>479</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F83702" w14:textId="77777777" w:rsidR="00833524" w:rsidRPr="00364545" w:rsidRDefault="00833524" w:rsidP="00E56269">
            <w:pPr>
              <w:spacing w:line="259" w:lineRule="auto"/>
              <w:ind w:left="16"/>
              <w:jc w:val="center"/>
              <w:rPr>
                <w:sz w:val="18"/>
              </w:rPr>
            </w:pPr>
            <w:r w:rsidRPr="00364545">
              <w:rPr>
                <w:sz w:val="18"/>
              </w:rPr>
              <w:t>395</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63088B" w14:textId="77777777" w:rsidR="00833524" w:rsidRPr="00364545" w:rsidRDefault="00833524" w:rsidP="00E56269">
            <w:pPr>
              <w:spacing w:line="259" w:lineRule="auto"/>
              <w:ind w:left="16"/>
              <w:jc w:val="center"/>
              <w:rPr>
                <w:sz w:val="18"/>
              </w:rPr>
            </w:pPr>
            <w:r w:rsidRPr="00364545">
              <w:rPr>
                <w:sz w:val="18"/>
              </w:rPr>
              <w:t>330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4B748B" w14:textId="77777777" w:rsidR="00833524" w:rsidRPr="00364545" w:rsidRDefault="00833524" w:rsidP="00E56269">
            <w:pPr>
              <w:spacing w:line="259" w:lineRule="auto"/>
              <w:ind w:left="16"/>
              <w:jc w:val="center"/>
              <w:rPr>
                <w:sz w:val="18"/>
              </w:rPr>
            </w:pPr>
            <w:r w:rsidRPr="00364545">
              <w:rPr>
                <w:sz w:val="18"/>
              </w:rPr>
              <w:t>299</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C2CD3E" w14:textId="77777777" w:rsidR="00833524" w:rsidRPr="00364545" w:rsidRDefault="00833524" w:rsidP="00E56269">
            <w:pPr>
              <w:spacing w:line="259" w:lineRule="auto"/>
              <w:ind w:left="16"/>
              <w:jc w:val="center"/>
              <w:rPr>
                <w:sz w:val="18"/>
              </w:rPr>
            </w:pPr>
            <w:r w:rsidRPr="00364545">
              <w:rPr>
                <w:sz w:val="18"/>
              </w:rPr>
              <w:t>205</w:t>
            </w:r>
          </w:p>
        </w:tc>
      </w:tr>
      <w:tr w:rsidR="00833524" w:rsidRPr="00364545" w14:paraId="56EF9CD0" w14:textId="77777777" w:rsidTr="00E56269">
        <w:trPr>
          <w:trHeight w:val="347"/>
        </w:trPr>
        <w:tc>
          <w:tcPr>
            <w:tcW w:w="1426" w:type="dxa"/>
            <w:tcBorders>
              <w:top w:val="single" w:sz="2" w:space="0" w:color="000000"/>
              <w:left w:val="single" w:sz="2" w:space="0" w:color="000000"/>
              <w:bottom w:val="single" w:sz="2" w:space="0" w:color="000000"/>
              <w:right w:val="single" w:sz="2" w:space="0" w:color="000000"/>
            </w:tcBorders>
          </w:tcPr>
          <w:p w14:paraId="468B0FD5" w14:textId="77777777" w:rsidR="00833524" w:rsidRPr="00364545" w:rsidRDefault="00833524" w:rsidP="00E56269">
            <w:pPr>
              <w:spacing w:line="259" w:lineRule="auto"/>
            </w:pPr>
            <w:r w:rsidRPr="00364545">
              <w:rPr>
                <w:sz w:val="18"/>
              </w:rPr>
              <w:t xml:space="preserve">Agriculture (excluding energy) </w:t>
            </w:r>
          </w:p>
        </w:tc>
        <w:tc>
          <w:tcPr>
            <w:tcW w:w="722" w:type="dxa"/>
            <w:tcBorders>
              <w:top w:val="single" w:sz="2" w:space="0" w:color="000000"/>
              <w:left w:val="single" w:sz="2" w:space="0" w:color="000000"/>
              <w:bottom w:val="single" w:sz="2" w:space="0" w:color="000000"/>
              <w:right w:val="single" w:sz="2" w:space="0" w:color="000000"/>
            </w:tcBorders>
            <w:vAlign w:val="center"/>
          </w:tcPr>
          <w:p w14:paraId="5FEB397D"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5E096BD1"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2A7A10FC"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7" w:type="dxa"/>
            <w:tcBorders>
              <w:top w:val="single" w:sz="2" w:space="0" w:color="000000"/>
              <w:left w:val="single" w:sz="2" w:space="0" w:color="000000"/>
              <w:bottom w:val="single" w:sz="2" w:space="0" w:color="000000"/>
              <w:right w:val="single" w:sz="2" w:space="0" w:color="000000"/>
            </w:tcBorders>
            <w:vAlign w:val="center"/>
          </w:tcPr>
          <w:p w14:paraId="27EA6825"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66AA09B0"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24429243"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625" w:type="dxa"/>
            <w:tcBorders>
              <w:top w:val="single" w:sz="2" w:space="0" w:color="000000"/>
              <w:left w:val="single" w:sz="2" w:space="0" w:color="000000"/>
              <w:bottom w:val="single" w:sz="2" w:space="0" w:color="000000"/>
              <w:right w:val="single" w:sz="2" w:space="0" w:color="000000"/>
            </w:tcBorders>
            <w:vAlign w:val="center"/>
          </w:tcPr>
          <w:p w14:paraId="28F1C858"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5E9F8DB1" w14:textId="77777777" w:rsidR="00833524" w:rsidRPr="00364545" w:rsidRDefault="00833524" w:rsidP="00E56269">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2A0BA235" w14:textId="77777777" w:rsidR="00833524" w:rsidRPr="00364545" w:rsidRDefault="00833524" w:rsidP="00E56269">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1B5A9C1B" w14:textId="77777777" w:rsidR="00833524" w:rsidRPr="00364545" w:rsidRDefault="00833524" w:rsidP="00E56269">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7E236AE8" w14:textId="77777777" w:rsidR="00833524" w:rsidRPr="00364545" w:rsidRDefault="00833524" w:rsidP="00E56269">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2FC941D7" w14:textId="77777777" w:rsidR="00833524" w:rsidRPr="00364545" w:rsidRDefault="00833524" w:rsidP="00E56269">
            <w:pPr>
              <w:spacing w:line="259" w:lineRule="auto"/>
              <w:ind w:left="16"/>
              <w:jc w:val="center"/>
              <w:rPr>
                <w:sz w:val="18"/>
              </w:rPr>
            </w:pPr>
            <w:r w:rsidRPr="00364545">
              <w:rPr>
                <w:sz w:val="18"/>
              </w:rPr>
              <w:t>0</w:t>
            </w:r>
          </w:p>
        </w:tc>
      </w:tr>
      <w:tr w:rsidR="00833524" w:rsidRPr="00364545" w14:paraId="26E98315" w14:textId="77777777" w:rsidTr="00E56269">
        <w:trPr>
          <w:trHeight w:val="342"/>
        </w:trPr>
        <w:tc>
          <w:tcPr>
            <w:tcW w:w="1426" w:type="dxa"/>
            <w:tcBorders>
              <w:top w:val="single" w:sz="2" w:space="0" w:color="000000"/>
              <w:left w:val="single" w:sz="2" w:space="0" w:color="000000"/>
              <w:bottom w:val="single" w:sz="2" w:space="0" w:color="000000"/>
              <w:right w:val="single" w:sz="2" w:space="0" w:color="000000"/>
            </w:tcBorders>
            <w:shd w:val="clear" w:color="auto" w:fill="ECE6E2"/>
          </w:tcPr>
          <w:p w14:paraId="415FAAE2" w14:textId="77777777" w:rsidR="00833524" w:rsidRPr="00364545" w:rsidRDefault="00833524" w:rsidP="00E56269">
            <w:pPr>
              <w:spacing w:line="259" w:lineRule="auto"/>
            </w:pPr>
            <w:r w:rsidRPr="00364545">
              <w:rPr>
                <w:sz w:val="18"/>
              </w:rPr>
              <w:t xml:space="preserve">LULUCF </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2B7958"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DAE542"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99E8F9"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78B63AF"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7C1880"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C4BDDE"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6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B4BF8B"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2525CB" w14:textId="77777777" w:rsidR="00833524" w:rsidRPr="00364545" w:rsidRDefault="00833524" w:rsidP="00E56269">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279E9B" w14:textId="77777777" w:rsidR="00833524" w:rsidRPr="00364545" w:rsidRDefault="00833524" w:rsidP="00E56269">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FC938D" w14:textId="77777777" w:rsidR="00833524" w:rsidRPr="00364545" w:rsidRDefault="00833524" w:rsidP="00E56269">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B549A2" w14:textId="77777777" w:rsidR="00833524" w:rsidRPr="00364545" w:rsidRDefault="00833524" w:rsidP="00E56269">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D6BBA4" w14:textId="77777777" w:rsidR="00833524" w:rsidRPr="00364545" w:rsidRDefault="00833524" w:rsidP="00E56269">
            <w:pPr>
              <w:spacing w:line="259" w:lineRule="auto"/>
              <w:ind w:left="16"/>
              <w:jc w:val="center"/>
              <w:rPr>
                <w:sz w:val="18"/>
              </w:rPr>
            </w:pPr>
            <w:r w:rsidRPr="00364545">
              <w:rPr>
                <w:sz w:val="18"/>
              </w:rPr>
              <w:t>0</w:t>
            </w:r>
          </w:p>
        </w:tc>
      </w:tr>
      <w:tr w:rsidR="00833524" w:rsidRPr="00364545" w14:paraId="75110BD2" w14:textId="77777777" w:rsidTr="00E56269">
        <w:trPr>
          <w:trHeight w:val="347"/>
        </w:trPr>
        <w:tc>
          <w:tcPr>
            <w:tcW w:w="1426" w:type="dxa"/>
            <w:tcBorders>
              <w:top w:val="single" w:sz="2" w:space="0" w:color="000000"/>
              <w:left w:val="single" w:sz="2" w:space="0" w:color="000000"/>
              <w:bottom w:val="single" w:sz="2" w:space="0" w:color="000000"/>
              <w:right w:val="single" w:sz="2" w:space="0" w:color="000000"/>
            </w:tcBorders>
          </w:tcPr>
          <w:p w14:paraId="675683E2" w14:textId="77777777" w:rsidR="00833524" w:rsidRPr="00364545" w:rsidRDefault="00833524" w:rsidP="00E56269">
            <w:pPr>
              <w:spacing w:line="259" w:lineRule="auto"/>
            </w:pPr>
            <w:r w:rsidRPr="00364545">
              <w:rPr>
                <w:sz w:val="18"/>
              </w:rPr>
              <w:t xml:space="preserve">Waste </w:t>
            </w:r>
          </w:p>
        </w:tc>
        <w:tc>
          <w:tcPr>
            <w:tcW w:w="722" w:type="dxa"/>
            <w:tcBorders>
              <w:top w:val="single" w:sz="2" w:space="0" w:color="000000"/>
              <w:left w:val="single" w:sz="2" w:space="0" w:color="000000"/>
              <w:bottom w:val="single" w:sz="2" w:space="0" w:color="000000"/>
              <w:right w:val="single" w:sz="2" w:space="0" w:color="000000"/>
            </w:tcBorders>
            <w:vAlign w:val="center"/>
          </w:tcPr>
          <w:p w14:paraId="7D0E6B56"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2D38B436"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736639BB"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7" w:type="dxa"/>
            <w:tcBorders>
              <w:top w:val="single" w:sz="2" w:space="0" w:color="000000"/>
              <w:left w:val="single" w:sz="2" w:space="0" w:color="000000"/>
              <w:bottom w:val="single" w:sz="2" w:space="0" w:color="000000"/>
              <w:right w:val="single" w:sz="2" w:space="0" w:color="000000"/>
            </w:tcBorders>
            <w:vAlign w:val="center"/>
          </w:tcPr>
          <w:p w14:paraId="33C1AB07"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27CAFB32"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311363DD"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625" w:type="dxa"/>
            <w:tcBorders>
              <w:top w:val="single" w:sz="2" w:space="0" w:color="000000"/>
              <w:left w:val="single" w:sz="2" w:space="0" w:color="000000"/>
              <w:bottom w:val="single" w:sz="2" w:space="0" w:color="000000"/>
              <w:right w:val="single" w:sz="2" w:space="0" w:color="000000"/>
            </w:tcBorders>
            <w:vAlign w:val="center"/>
          </w:tcPr>
          <w:p w14:paraId="4FEADFB0" w14:textId="77777777" w:rsidR="00833524" w:rsidRPr="00364545" w:rsidRDefault="00833524" w:rsidP="00E56269">
            <w:pPr>
              <w:spacing w:line="259" w:lineRule="auto"/>
              <w:ind w:left="16"/>
              <w:jc w:val="center"/>
              <w:rPr>
                <w:sz w:val="18"/>
              </w:rPr>
            </w:pPr>
            <w:r w:rsidRPr="00634E4C">
              <w:rPr>
                <w:rFonts w:asciiTheme="majorHAnsi" w:hAnsiTheme="majorHAnsi"/>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00944AF1" w14:textId="77777777" w:rsidR="00833524" w:rsidRPr="00364545" w:rsidRDefault="00833524" w:rsidP="00E56269">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540BB785" w14:textId="77777777" w:rsidR="00833524" w:rsidRPr="00364545" w:rsidRDefault="00833524" w:rsidP="00E56269">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608C5D74" w14:textId="77777777" w:rsidR="00833524" w:rsidRPr="00364545" w:rsidRDefault="00833524" w:rsidP="00E56269">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03EA2547" w14:textId="77777777" w:rsidR="00833524" w:rsidRPr="00364545" w:rsidRDefault="00833524" w:rsidP="00E56269">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48A4CB1E" w14:textId="77777777" w:rsidR="00833524" w:rsidRPr="00364545" w:rsidRDefault="00833524" w:rsidP="00E56269">
            <w:pPr>
              <w:spacing w:line="259" w:lineRule="auto"/>
              <w:ind w:left="16"/>
              <w:jc w:val="center"/>
              <w:rPr>
                <w:sz w:val="18"/>
              </w:rPr>
            </w:pPr>
            <w:r w:rsidRPr="00364545">
              <w:rPr>
                <w:sz w:val="18"/>
              </w:rPr>
              <w:t>0</w:t>
            </w:r>
          </w:p>
        </w:tc>
      </w:tr>
      <w:tr w:rsidR="00833524" w:rsidRPr="00364545" w14:paraId="1856DECE" w14:textId="77777777" w:rsidTr="00E56269">
        <w:trPr>
          <w:trHeight w:val="344"/>
        </w:trPr>
        <w:tc>
          <w:tcPr>
            <w:tcW w:w="1426" w:type="dxa"/>
            <w:tcBorders>
              <w:top w:val="single" w:sz="2" w:space="0" w:color="000000"/>
              <w:left w:val="single" w:sz="2" w:space="0" w:color="000000"/>
              <w:bottom w:val="single" w:sz="2" w:space="0" w:color="000000"/>
              <w:right w:val="single" w:sz="2" w:space="0" w:color="000000"/>
            </w:tcBorders>
            <w:shd w:val="clear" w:color="auto" w:fill="ECE6E2"/>
          </w:tcPr>
          <w:p w14:paraId="29FF73E6" w14:textId="77777777" w:rsidR="00833524" w:rsidRPr="00364545" w:rsidRDefault="00833524" w:rsidP="00E56269">
            <w:pPr>
              <w:spacing w:line="259" w:lineRule="auto"/>
            </w:pPr>
            <w:r w:rsidRPr="00364545">
              <w:rPr>
                <w:b/>
                <w:sz w:val="18"/>
              </w:rPr>
              <w:t xml:space="preserve">Ensemble (hors UTCF) </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0DF4BA" w14:textId="77777777" w:rsidR="00833524" w:rsidRPr="00364545" w:rsidRDefault="00833524" w:rsidP="00E56269">
            <w:pPr>
              <w:spacing w:line="259" w:lineRule="auto"/>
              <w:ind w:left="16"/>
              <w:jc w:val="center"/>
              <w:rPr>
                <w:b/>
                <w:sz w:val="18"/>
              </w:rPr>
            </w:pPr>
            <w:r w:rsidRPr="005D0955">
              <w:rPr>
                <w:rFonts w:asciiTheme="majorHAnsi" w:hAnsiTheme="majorHAnsi"/>
                <w:sz w:val="18"/>
                <w:szCs w:val="18"/>
              </w:rPr>
              <w:t>5202</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7269EC" w14:textId="77777777" w:rsidR="00833524" w:rsidRPr="00364545" w:rsidRDefault="00833524" w:rsidP="00E56269">
            <w:pPr>
              <w:spacing w:line="259" w:lineRule="auto"/>
              <w:ind w:left="19"/>
              <w:jc w:val="center"/>
              <w:rPr>
                <w:b/>
                <w:sz w:val="18"/>
              </w:rPr>
            </w:pPr>
            <w:r w:rsidRPr="005D0955">
              <w:rPr>
                <w:rFonts w:asciiTheme="majorHAnsi" w:hAnsiTheme="majorHAnsi"/>
                <w:sz w:val="18"/>
                <w:szCs w:val="18"/>
              </w:rPr>
              <w:t>3065</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2566137" w14:textId="77777777" w:rsidR="00833524" w:rsidRPr="00364545" w:rsidRDefault="00833524" w:rsidP="00E56269">
            <w:pPr>
              <w:spacing w:line="259" w:lineRule="auto"/>
              <w:ind w:left="19"/>
              <w:jc w:val="center"/>
              <w:rPr>
                <w:b/>
                <w:sz w:val="18"/>
              </w:rPr>
            </w:pPr>
            <w:r w:rsidRPr="005D0955">
              <w:rPr>
                <w:rFonts w:asciiTheme="majorHAnsi" w:hAnsiTheme="majorHAnsi"/>
                <w:sz w:val="18"/>
                <w:szCs w:val="18"/>
              </w:rPr>
              <w:t>2997</w:t>
            </w:r>
          </w:p>
        </w:tc>
        <w:tc>
          <w:tcPr>
            <w:tcW w:w="71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DC7D0E" w14:textId="77777777" w:rsidR="00833524" w:rsidRPr="00364545" w:rsidRDefault="00833524" w:rsidP="00E56269">
            <w:pPr>
              <w:spacing w:line="259" w:lineRule="auto"/>
              <w:ind w:left="16"/>
              <w:jc w:val="center"/>
              <w:rPr>
                <w:b/>
                <w:sz w:val="18"/>
              </w:rPr>
            </w:pPr>
            <w:r w:rsidRPr="005D0955">
              <w:rPr>
                <w:rFonts w:asciiTheme="majorHAnsi" w:hAnsiTheme="majorHAnsi"/>
                <w:sz w:val="18"/>
                <w:szCs w:val="18"/>
              </w:rPr>
              <w:t>1760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B66884" w14:textId="77777777" w:rsidR="00833524" w:rsidRPr="00364545" w:rsidRDefault="00833524" w:rsidP="00E56269">
            <w:pPr>
              <w:spacing w:line="259" w:lineRule="auto"/>
              <w:ind w:left="21"/>
              <w:jc w:val="center"/>
              <w:rPr>
                <w:b/>
                <w:sz w:val="18"/>
              </w:rPr>
            </w:pPr>
            <w:r w:rsidRPr="00634E4C">
              <w:rPr>
                <w:rFonts w:asciiTheme="majorHAnsi" w:hAnsiTheme="majorHAnsi"/>
                <w:sz w:val="18"/>
              </w:rPr>
              <w:t>617</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D44F1F" w14:textId="77777777" w:rsidR="00833524" w:rsidRPr="00364545" w:rsidRDefault="00833524" w:rsidP="00E56269">
            <w:pPr>
              <w:spacing w:line="259" w:lineRule="auto"/>
              <w:ind w:left="19"/>
              <w:jc w:val="center"/>
              <w:rPr>
                <w:b/>
                <w:sz w:val="18"/>
              </w:rPr>
            </w:pPr>
            <w:r w:rsidRPr="00634E4C">
              <w:rPr>
                <w:rFonts w:asciiTheme="majorHAnsi" w:hAnsiTheme="majorHAnsi"/>
                <w:sz w:val="18"/>
              </w:rPr>
              <w:t>537</w:t>
            </w:r>
          </w:p>
        </w:tc>
        <w:tc>
          <w:tcPr>
            <w:tcW w:w="6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EC1074" w14:textId="77777777" w:rsidR="00833524" w:rsidRPr="00364545" w:rsidRDefault="00833524" w:rsidP="00E56269">
            <w:pPr>
              <w:spacing w:line="259" w:lineRule="auto"/>
              <w:ind w:left="21"/>
              <w:jc w:val="center"/>
              <w:rPr>
                <w:b/>
                <w:sz w:val="18"/>
              </w:rPr>
            </w:pPr>
            <w:r w:rsidRPr="005D0955">
              <w:rPr>
                <w:rFonts w:asciiTheme="majorHAnsi" w:hAnsiTheme="majorHAnsi"/>
                <w:sz w:val="18"/>
                <w:szCs w:val="18"/>
              </w:rPr>
              <w:t>615</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9403B2F" w14:textId="77777777" w:rsidR="00833524" w:rsidRPr="00364545" w:rsidRDefault="00833524" w:rsidP="00E56269">
            <w:pPr>
              <w:spacing w:line="259" w:lineRule="auto"/>
              <w:ind w:left="21"/>
              <w:jc w:val="center"/>
              <w:rPr>
                <w:b/>
                <w:sz w:val="18"/>
              </w:rPr>
            </w:pPr>
            <w:r w:rsidRPr="00364545">
              <w:rPr>
                <w:b/>
                <w:sz w:val="18"/>
              </w:rPr>
              <w:t>479</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02B5C75" w14:textId="77777777" w:rsidR="00833524" w:rsidRPr="00364545" w:rsidRDefault="00833524" w:rsidP="00E56269">
            <w:pPr>
              <w:spacing w:line="259" w:lineRule="auto"/>
              <w:ind w:left="19"/>
              <w:jc w:val="center"/>
              <w:rPr>
                <w:b/>
                <w:sz w:val="18"/>
              </w:rPr>
            </w:pPr>
            <w:r w:rsidRPr="00364545">
              <w:rPr>
                <w:b/>
                <w:sz w:val="18"/>
              </w:rPr>
              <w:t>395</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86BAEF" w14:textId="77777777" w:rsidR="00833524" w:rsidRPr="00364545" w:rsidRDefault="00833524" w:rsidP="00E56269">
            <w:pPr>
              <w:spacing w:line="259" w:lineRule="auto"/>
              <w:ind w:left="21"/>
              <w:jc w:val="center"/>
              <w:rPr>
                <w:b/>
                <w:sz w:val="18"/>
              </w:rPr>
            </w:pPr>
            <w:r w:rsidRPr="00364545">
              <w:rPr>
                <w:b/>
                <w:sz w:val="18"/>
              </w:rPr>
              <w:t>330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DBE5923" w14:textId="77777777" w:rsidR="00833524" w:rsidRPr="00364545" w:rsidRDefault="00833524" w:rsidP="00E56269">
            <w:pPr>
              <w:spacing w:line="259" w:lineRule="auto"/>
              <w:ind w:left="20"/>
              <w:jc w:val="center"/>
              <w:rPr>
                <w:b/>
                <w:sz w:val="18"/>
              </w:rPr>
            </w:pPr>
            <w:r w:rsidRPr="00364545">
              <w:rPr>
                <w:b/>
                <w:sz w:val="18"/>
              </w:rPr>
              <w:t>299</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6E664A" w14:textId="77777777" w:rsidR="00833524" w:rsidRPr="00364545" w:rsidRDefault="00833524" w:rsidP="00E56269">
            <w:pPr>
              <w:spacing w:line="259" w:lineRule="auto"/>
              <w:ind w:left="20"/>
              <w:jc w:val="center"/>
              <w:rPr>
                <w:b/>
                <w:sz w:val="18"/>
              </w:rPr>
            </w:pPr>
            <w:r w:rsidRPr="00364545">
              <w:rPr>
                <w:b/>
                <w:sz w:val="18"/>
              </w:rPr>
              <w:t>205</w:t>
            </w:r>
          </w:p>
        </w:tc>
      </w:tr>
      <w:tr w:rsidR="00833524" w:rsidRPr="00364545" w14:paraId="60B7E120" w14:textId="77777777" w:rsidTr="00E56269">
        <w:trPr>
          <w:trHeight w:val="346"/>
        </w:trPr>
        <w:tc>
          <w:tcPr>
            <w:tcW w:w="1426" w:type="dxa"/>
            <w:tcBorders>
              <w:top w:val="single" w:sz="2" w:space="0" w:color="000000"/>
              <w:left w:val="single" w:sz="2" w:space="0" w:color="000000"/>
              <w:bottom w:val="single" w:sz="2" w:space="0" w:color="000000"/>
              <w:right w:val="single" w:sz="2" w:space="0" w:color="000000"/>
            </w:tcBorders>
          </w:tcPr>
          <w:p w14:paraId="57AE47F8" w14:textId="77777777" w:rsidR="00833524" w:rsidRPr="00364545" w:rsidRDefault="00833524" w:rsidP="00E56269">
            <w:pPr>
              <w:spacing w:line="259" w:lineRule="auto"/>
            </w:pPr>
            <w:r w:rsidRPr="00364545">
              <w:rPr>
                <w:b/>
                <w:sz w:val="18"/>
              </w:rPr>
              <w:t xml:space="preserve">Ensemble (avec UTCF) </w:t>
            </w:r>
          </w:p>
        </w:tc>
        <w:tc>
          <w:tcPr>
            <w:tcW w:w="722" w:type="dxa"/>
            <w:tcBorders>
              <w:top w:val="single" w:sz="2" w:space="0" w:color="000000"/>
              <w:left w:val="single" w:sz="2" w:space="0" w:color="000000"/>
              <w:bottom w:val="single" w:sz="2" w:space="0" w:color="000000"/>
              <w:right w:val="single" w:sz="2" w:space="0" w:color="000000"/>
            </w:tcBorders>
            <w:vAlign w:val="center"/>
          </w:tcPr>
          <w:p w14:paraId="540BEBB4" w14:textId="77777777" w:rsidR="00833524" w:rsidRPr="00364545" w:rsidRDefault="00833524" w:rsidP="00E56269">
            <w:pPr>
              <w:spacing w:line="259" w:lineRule="auto"/>
              <w:ind w:left="16"/>
              <w:jc w:val="center"/>
              <w:rPr>
                <w:b/>
                <w:sz w:val="18"/>
              </w:rPr>
            </w:pPr>
            <w:r w:rsidRPr="005D0955">
              <w:rPr>
                <w:rFonts w:asciiTheme="majorHAnsi" w:hAnsiTheme="majorHAnsi"/>
                <w:sz w:val="18"/>
                <w:szCs w:val="18"/>
              </w:rPr>
              <w:t>5202</w:t>
            </w:r>
          </w:p>
        </w:tc>
        <w:tc>
          <w:tcPr>
            <w:tcW w:w="723" w:type="dxa"/>
            <w:tcBorders>
              <w:top w:val="single" w:sz="2" w:space="0" w:color="000000"/>
              <w:left w:val="single" w:sz="2" w:space="0" w:color="000000"/>
              <w:bottom w:val="single" w:sz="2" w:space="0" w:color="000000"/>
              <w:right w:val="single" w:sz="2" w:space="0" w:color="000000"/>
            </w:tcBorders>
            <w:vAlign w:val="center"/>
          </w:tcPr>
          <w:p w14:paraId="685E46D5" w14:textId="77777777" w:rsidR="00833524" w:rsidRPr="00364545" w:rsidRDefault="00833524" w:rsidP="00E56269">
            <w:pPr>
              <w:spacing w:line="259" w:lineRule="auto"/>
              <w:ind w:left="19"/>
              <w:jc w:val="center"/>
              <w:rPr>
                <w:b/>
                <w:sz w:val="18"/>
              </w:rPr>
            </w:pPr>
            <w:r w:rsidRPr="005D0955">
              <w:rPr>
                <w:rFonts w:asciiTheme="majorHAnsi" w:hAnsiTheme="majorHAnsi"/>
                <w:sz w:val="18"/>
                <w:szCs w:val="18"/>
              </w:rPr>
              <w:t>3065</w:t>
            </w:r>
          </w:p>
        </w:tc>
        <w:tc>
          <w:tcPr>
            <w:tcW w:w="724" w:type="dxa"/>
            <w:tcBorders>
              <w:top w:val="single" w:sz="2" w:space="0" w:color="000000"/>
              <w:left w:val="single" w:sz="2" w:space="0" w:color="000000"/>
              <w:bottom w:val="single" w:sz="2" w:space="0" w:color="000000"/>
              <w:right w:val="single" w:sz="2" w:space="0" w:color="000000"/>
            </w:tcBorders>
            <w:vAlign w:val="center"/>
          </w:tcPr>
          <w:p w14:paraId="03D04F8B" w14:textId="77777777" w:rsidR="00833524" w:rsidRPr="00364545" w:rsidRDefault="00833524" w:rsidP="00E56269">
            <w:pPr>
              <w:spacing w:line="259" w:lineRule="auto"/>
              <w:ind w:left="19"/>
              <w:jc w:val="center"/>
              <w:rPr>
                <w:b/>
                <w:sz w:val="18"/>
              </w:rPr>
            </w:pPr>
            <w:r w:rsidRPr="005D0955">
              <w:rPr>
                <w:rFonts w:asciiTheme="majorHAnsi" w:hAnsiTheme="majorHAnsi"/>
                <w:sz w:val="18"/>
                <w:szCs w:val="18"/>
              </w:rPr>
              <w:t>2997</w:t>
            </w:r>
          </w:p>
        </w:tc>
        <w:tc>
          <w:tcPr>
            <w:tcW w:w="717" w:type="dxa"/>
            <w:tcBorders>
              <w:top w:val="single" w:sz="2" w:space="0" w:color="000000"/>
              <w:left w:val="single" w:sz="2" w:space="0" w:color="000000"/>
              <w:bottom w:val="single" w:sz="2" w:space="0" w:color="000000"/>
              <w:right w:val="single" w:sz="2" w:space="0" w:color="000000"/>
            </w:tcBorders>
            <w:vAlign w:val="center"/>
          </w:tcPr>
          <w:p w14:paraId="69884C21" w14:textId="77777777" w:rsidR="00833524" w:rsidRPr="00364545" w:rsidRDefault="00833524" w:rsidP="00E56269">
            <w:pPr>
              <w:spacing w:line="259" w:lineRule="auto"/>
              <w:ind w:left="16"/>
              <w:jc w:val="center"/>
              <w:rPr>
                <w:b/>
                <w:sz w:val="18"/>
              </w:rPr>
            </w:pPr>
            <w:r w:rsidRPr="005D0955">
              <w:rPr>
                <w:rFonts w:asciiTheme="majorHAnsi" w:hAnsiTheme="majorHAnsi"/>
                <w:sz w:val="18"/>
                <w:szCs w:val="18"/>
              </w:rPr>
              <w:t>1760</w:t>
            </w:r>
          </w:p>
        </w:tc>
        <w:tc>
          <w:tcPr>
            <w:tcW w:w="710" w:type="dxa"/>
            <w:tcBorders>
              <w:top w:val="single" w:sz="2" w:space="0" w:color="000000"/>
              <w:left w:val="single" w:sz="2" w:space="0" w:color="000000"/>
              <w:bottom w:val="single" w:sz="2" w:space="0" w:color="000000"/>
              <w:right w:val="single" w:sz="2" w:space="0" w:color="000000"/>
            </w:tcBorders>
            <w:vAlign w:val="center"/>
          </w:tcPr>
          <w:p w14:paraId="2CDD7684" w14:textId="77777777" w:rsidR="00833524" w:rsidRPr="00364545" w:rsidRDefault="00833524" w:rsidP="00E56269">
            <w:pPr>
              <w:spacing w:line="259" w:lineRule="auto"/>
              <w:ind w:left="21"/>
              <w:jc w:val="center"/>
              <w:rPr>
                <w:b/>
                <w:sz w:val="18"/>
              </w:rPr>
            </w:pPr>
            <w:r w:rsidRPr="00634E4C">
              <w:rPr>
                <w:rFonts w:asciiTheme="majorHAnsi" w:hAnsiTheme="majorHAnsi"/>
                <w:sz w:val="18"/>
              </w:rPr>
              <w:t>617</w:t>
            </w:r>
          </w:p>
        </w:tc>
        <w:tc>
          <w:tcPr>
            <w:tcW w:w="710" w:type="dxa"/>
            <w:tcBorders>
              <w:top w:val="single" w:sz="2" w:space="0" w:color="000000"/>
              <w:left w:val="single" w:sz="2" w:space="0" w:color="000000"/>
              <w:bottom w:val="single" w:sz="2" w:space="0" w:color="000000"/>
              <w:right w:val="single" w:sz="2" w:space="0" w:color="000000"/>
            </w:tcBorders>
            <w:vAlign w:val="center"/>
          </w:tcPr>
          <w:p w14:paraId="47186857" w14:textId="77777777" w:rsidR="00833524" w:rsidRPr="00364545" w:rsidRDefault="00833524" w:rsidP="00E56269">
            <w:pPr>
              <w:spacing w:line="259" w:lineRule="auto"/>
              <w:ind w:left="19"/>
              <w:jc w:val="center"/>
              <w:rPr>
                <w:b/>
                <w:sz w:val="18"/>
              </w:rPr>
            </w:pPr>
            <w:r w:rsidRPr="00634E4C">
              <w:rPr>
                <w:rFonts w:asciiTheme="majorHAnsi" w:hAnsiTheme="majorHAnsi"/>
                <w:sz w:val="18"/>
              </w:rPr>
              <w:t>537</w:t>
            </w:r>
          </w:p>
        </w:tc>
        <w:tc>
          <w:tcPr>
            <w:tcW w:w="625" w:type="dxa"/>
            <w:tcBorders>
              <w:top w:val="single" w:sz="2" w:space="0" w:color="000000"/>
              <w:left w:val="single" w:sz="2" w:space="0" w:color="000000"/>
              <w:bottom w:val="single" w:sz="2" w:space="0" w:color="000000"/>
              <w:right w:val="single" w:sz="2" w:space="0" w:color="000000"/>
            </w:tcBorders>
            <w:vAlign w:val="center"/>
          </w:tcPr>
          <w:p w14:paraId="0E67A8E6" w14:textId="77777777" w:rsidR="00833524" w:rsidRPr="00364545" w:rsidRDefault="00833524" w:rsidP="00E56269">
            <w:pPr>
              <w:spacing w:line="259" w:lineRule="auto"/>
              <w:ind w:left="21"/>
              <w:jc w:val="center"/>
              <w:rPr>
                <w:b/>
                <w:sz w:val="18"/>
              </w:rPr>
            </w:pPr>
            <w:r w:rsidRPr="005D0955">
              <w:rPr>
                <w:rFonts w:asciiTheme="majorHAnsi" w:hAnsiTheme="majorHAnsi"/>
                <w:sz w:val="18"/>
                <w:szCs w:val="18"/>
              </w:rPr>
              <w:t>615</w:t>
            </w:r>
          </w:p>
        </w:tc>
        <w:tc>
          <w:tcPr>
            <w:tcW w:w="715" w:type="dxa"/>
            <w:tcBorders>
              <w:top w:val="single" w:sz="2" w:space="0" w:color="000000"/>
              <w:left w:val="single" w:sz="2" w:space="0" w:color="000000"/>
              <w:bottom w:val="single" w:sz="2" w:space="0" w:color="000000"/>
              <w:right w:val="single" w:sz="2" w:space="0" w:color="000000"/>
            </w:tcBorders>
            <w:vAlign w:val="center"/>
          </w:tcPr>
          <w:p w14:paraId="39C74A7C" w14:textId="77777777" w:rsidR="00833524" w:rsidRPr="00364545" w:rsidRDefault="00833524" w:rsidP="00E56269">
            <w:pPr>
              <w:spacing w:line="259" w:lineRule="auto"/>
              <w:ind w:left="21"/>
              <w:jc w:val="center"/>
              <w:rPr>
                <w:b/>
                <w:sz w:val="18"/>
              </w:rPr>
            </w:pPr>
            <w:r w:rsidRPr="00364545">
              <w:rPr>
                <w:b/>
                <w:sz w:val="18"/>
              </w:rPr>
              <w:t>479</w:t>
            </w:r>
          </w:p>
        </w:tc>
        <w:tc>
          <w:tcPr>
            <w:tcW w:w="715" w:type="dxa"/>
            <w:tcBorders>
              <w:top w:val="single" w:sz="2" w:space="0" w:color="000000"/>
              <w:left w:val="single" w:sz="2" w:space="0" w:color="000000"/>
              <w:bottom w:val="single" w:sz="2" w:space="0" w:color="000000"/>
              <w:right w:val="single" w:sz="2" w:space="0" w:color="000000"/>
            </w:tcBorders>
            <w:vAlign w:val="center"/>
          </w:tcPr>
          <w:p w14:paraId="2D81431A" w14:textId="77777777" w:rsidR="00833524" w:rsidRPr="00364545" w:rsidRDefault="00833524" w:rsidP="00E56269">
            <w:pPr>
              <w:spacing w:line="259" w:lineRule="auto"/>
              <w:ind w:left="19"/>
              <w:jc w:val="center"/>
              <w:rPr>
                <w:b/>
                <w:sz w:val="18"/>
              </w:rPr>
            </w:pPr>
            <w:r w:rsidRPr="00364545">
              <w:rPr>
                <w:b/>
                <w:sz w:val="18"/>
              </w:rPr>
              <w:t>395</w:t>
            </w:r>
          </w:p>
        </w:tc>
        <w:tc>
          <w:tcPr>
            <w:tcW w:w="716" w:type="dxa"/>
            <w:tcBorders>
              <w:top w:val="single" w:sz="2" w:space="0" w:color="000000"/>
              <w:left w:val="single" w:sz="2" w:space="0" w:color="000000"/>
              <w:bottom w:val="single" w:sz="2" w:space="0" w:color="000000"/>
              <w:right w:val="single" w:sz="2" w:space="0" w:color="000000"/>
            </w:tcBorders>
            <w:vAlign w:val="center"/>
          </w:tcPr>
          <w:p w14:paraId="52F7FDEF" w14:textId="77777777" w:rsidR="00833524" w:rsidRPr="00364545" w:rsidRDefault="00833524" w:rsidP="00E56269">
            <w:pPr>
              <w:spacing w:line="259" w:lineRule="auto"/>
              <w:ind w:left="21"/>
              <w:jc w:val="center"/>
              <w:rPr>
                <w:b/>
                <w:sz w:val="18"/>
              </w:rPr>
            </w:pPr>
            <w:r w:rsidRPr="00364545">
              <w:rPr>
                <w:b/>
                <w:sz w:val="18"/>
              </w:rPr>
              <w:t>330</w:t>
            </w:r>
          </w:p>
        </w:tc>
        <w:tc>
          <w:tcPr>
            <w:tcW w:w="715" w:type="dxa"/>
            <w:tcBorders>
              <w:top w:val="single" w:sz="2" w:space="0" w:color="000000"/>
              <w:left w:val="single" w:sz="2" w:space="0" w:color="000000"/>
              <w:bottom w:val="single" w:sz="2" w:space="0" w:color="000000"/>
              <w:right w:val="single" w:sz="2" w:space="0" w:color="000000"/>
            </w:tcBorders>
            <w:vAlign w:val="center"/>
          </w:tcPr>
          <w:p w14:paraId="0ED58A3A" w14:textId="77777777" w:rsidR="00833524" w:rsidRPr="00364545" w:rsidRDefault="00833524" w:rsidP="00E56269">
            <w:pPr>
              <w:spacing w:line="259" w:lineRule="auto"/>
              <w:ind w:left="20"/>
              <w:jc w:val="center"/>
              <w:rPr>
                <w:b/>
                <w:sz w:val="18"/>
              </w:rPr>
            </w:pPr>
            <w:r w:rsidRPr="00364545">
              <w:rPr>
                <w:b/>
                <w:sz w:val="18"/>
              </w:rPr>
              <w:t>299</w:t>
            </w:r>
          </w:p>
        </w:tc>
        <w:tc>
          <w:tcPr>
            <w:tcW w:w="716" w:type="dxa"/>
            <w:tcBorders>
              <w:top w:val="single" w:sz="2" w:space="0" w:color="000000"/>
              <w:left w:val="single" w:sz="2" w:space="0" w:color="000000"/>
              <w:bottom w:val="single" w:sz="2" w:space="0" w:color="000000"/>
              <w:right w:val="single" w:sz="2" w:space="0" w:color="000000"/>
            </w:tcBorders>
            <w:vAlign w:val="center"/>
          </w:tcPr>
          <w:p w14:paraId="312482BA" w14:textId="77777777" w:rsidR="00833524" w:rsidRPr="00364545" w:rsidRDefault="00833524" w:rsidP="00E56269">
            <w:pPr>
              <w:spacing w:line="259" w:lineRule="auto"/>
              <w:ind w:left="20"/>
              <w:jc w:val="center"/>
              <w:rPr>
                <w:b/>
                <w:sz w:val="18"/>
              </w:rPr>
            </w:pPr>
            <w:r w:rsidRPr="00364545">
              <w:rPr>
                <w:b/>
                <w:sz w:val="18"/>
              </w:rPr>
              <w:t>205</w:t>
            </w:r>
          </w:p>
        </w:tc>
      </w:tr>
    </w:tbl>
    <w:p w14:paraId="09447460" w14:textId="67DBC459" w:rsidR="00833524" w:rsidRPr="00364545" w:rsidRDefault="00833524" w:rsidP="00833524">
      <w:pPr>
        <w:pStyle w:val="Caption"/>
      </w:pPr>
      <w:r w:rsidRPr="00364545">
        <w:t xml:space="preserve">Table </w:t>
      </w:r>
      <w:fldSimple w:instr=" SEQ Tableau \* ARABIC ">
        <w:r w:rsidR="009A2FAA">
          <w:rPr>
            <w:noProof/>
          </w:rPr>
          <w:t>30</w:t>
        </w:r>
      </w:fldSimple>
      <w:r w:rsidRPr="00364545">
        <w:t>: GHG emission projections (in ktCO</w:t>
      </w:r>
      <w:r w:rsidRPr="00364545">
        <w:rPr>
          <w:vertAlign w:val="subscript"/>
        </w:rPr>
        <w:t>2e</w:t>
      </w:r>
      <w:r w:rsidRPr="00364545">
        <w:t>) at the Kyoto scope in the AMS 2018 scenario (with additional measures)</w:t>
      </w:r>
    </w:p>
    <w:p w14:paraId="223141FF" w14:textId="77777777" w:rsidR="00833524" w:rsidRPr="00364545" w:rsidRDefault="00833524" w:rsidP="00833524">
      <w:pPr>
        <w:pStyle w:val="Caption"/>
      </w:pPr>
      <w:r w:rsidRPr="00364545">
        <w:t>Source: UN</w:t>
      </w:r>
      <w:r>
        <w:t>FCCC inventory, Citepa/MTES, 2022</w:t>
      </w:r>
      <w:r w:rsidRPr="00364545">
        <w:t xml:space="preserve"> submission and MTES emission projections, 2018</w:t>
      </w:r>
    </w:p>
    <w:p w14:paraId="56BD932D" w14:textId="77777777" w:rsidR="00833524" w:rsidRPr="00364545" w:rsidRDefault="00833524" w:rsidP="00833524">
      <w:pPr>
        <w:rPr>
          <w:sz w:val="18"/>
          <w:szCs w:val="18"/>
        </w:rPr>
      </w:pPr>
    </w:p>
    <w:tbl>
      <w:tblPr>
        <w:tblStyle w:val="TableGrid0"/>
        <w:tblW w:w="9934" w:type="dxa"/>
        <w:tblInd w:w="10" w:type="dxa"/>
        <w:tblLayout w:type="fixed"/>
        <w:tblCellMar>
          <w:top w:w="39" w:type="dxa"/>
          <w:left w:w="28" w:type="dxa"/>
          <w:bottom w:w="2" w:type="dxa"/>
          <w:right w:w="48" w:type="dxa"/>
        </w:tblCellMar>
        <w:tblLook w:val="04A0" w:firstRow="1" w:lastRow="0" w:firstColumn="1" w:lastColumn="0" w:noHBand="0" w:noVBand="1"/>
      </w:tblPr>
      <w:tblGrid>
        <w:gridCol w:w="1254"/>
        <w:gridCol w:w="723"/>
        <w:gridCol w:w="723"/>
        <w:gridCol w:w="724"/>
        <w:gridCol w:w="723"/>
        <w:gridCol w:w="723"/>
        <w:gridCol w:w="724"/>
        <w:gridCol w:w="723"/>
        <w:gridCol w:w="723"/>
        <w:gridCol w:w="724"/>
        <w:gridCol w:w="723"/>
        <w:gridCol w:w="723"/>
        <w:gridCol w:w="724"/>
      </w:tblGrid>
      <w:tr w:rsidR="000D1437" w:rsidRPr="00364545" w14:paraId="75625082" w14:textId="77777777" w:rsidTr="000D1437">
        <w:trPr>
          <w:trHeight w:val="402"/>
        </w:trPr>
        <w:tc>
          <w:tcPr>
            <w:tcW w:w="1254" w:type="dxa"/>
            <w:tcBorders>
              <w:top w:val="single" w:sz="2" w:space="0" w:color="000000"/>
              <w:left w:val="single" w:sz="2" w:space="0" w:color="000000"/>
              <w:bottom w:val="single" w:sz="2" w:space="0" w:color="000000"/>
              <w:right w:val="single" w:sz="2" w:space="0" w:color="000000"/>
            </w:tcBorders>
            <w:shd w:val="clear" w:color="auto" w:fill="6D2A78"/>
          </w:tcPr>
          <w:p w14:paraId="41C40063" w14:textId="77777777" w:rsidR="00833524" w:rsidRPr="00364545" w:rsidRDefault="00833524" w:rsidP="00E56269">
            <w:pPr>
              <w:spacing w:line="259" w:lineRule="auto"/>
            </w:pPr>
            <w:r w:rsidRPr="00364545">
              <w:t>AMS 18 – SF</w:t>
            </w:r>
            <w:r w:rsidRPr="00364545">
              <w:rPr>
                <w:vertAlign w:val="subscript"/>
              </w:rPr>
              <w:t>6</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174FA40B" w14:textId="77777777" w:rsidR="00833524" w:rsidRPr="00364545" w:rsidRDefault="00833524" w:rsidP="00E56269">
            <w:pPr>
              <w:spacing w:line="259" w:lineRule="auto"/>
              <w:ind w:left="19"/>
              <w:jc w:val="center"/>
            </w:pPr>
            <w:r w:rsidRPr="00364545">
              <w:rPr>
                <w:b/>
                <w:color w:val="FFFFFF"/>
                <w:sz w:val="18"/>
              </w:rPr>
              <w:t xml:space="preserve">1990 </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6554F7CF" w14:textId="77777777" w:rsidR="00833524" w:rsidRPr="00364545" w:rsidRDefault="00833524" w:rsidP="00E56269">
            <w:pPr>
              <w:spacing w:line="259" w:lineRule="auto"/>
              <w:ind w:left="21"/>
              <w:jc w:val="center"/>
              <w:rPr>
                <w:b/>
                <w:color w:val="FFFFFF"/>
                <w:sz w:val="18"/>
              </w:rPr>
            </w:pPr>
            <w:r w:rsidRPr="00364545">
              <w:rPr>
                <w:b/>
                <w:color w:val="FFFFFF"/>
                <w:sz w:val="18"/>
              </w:rPr>
              <w:t>1995</w:t>
            </w:r>
          </w:p>
        </w:tc>
        <w:tc>
          <w:tcPr>
            <w:tcW w:w="724" w:type="dxa"/>
            <w:tcBorders>
              <w:top w:val="single" w:sz="2" w:space="0" w:color="000000"/>
              <w:left w:val="single" w:sz="2" w:space="0" w:color="000000"/>
              <w:bottom w:val="single" w:sz="2" w:space="0" w:color="000000"/>
              <w:right w:val="single" w:sz="2" w:space="0" w:color="000000"/>
            </w:tcBorders>
            <w:shd w:val="clear" w:color="auto" w:fill="6D2A78"/>
          </w:tcPr>
          <w:p w14:paraId="07B3BAC9" w14:textId="77777777" w:rsidR="00833524" w:rsidRPr="00364545" w:rsidRDefault="00833524" w:rsidP="00E56269">
            <w:pPr>
              <w:spacing w:line="259" w:lineRule="auto"/>
              <w:ind w:left="21"/>
              <w:jc w:val="center"/>
            </w:pPr>
            <w:r w:rsidRPr="00364545">
              <w:rPr>
                <w:b/>
                <w:color w:val="FFFFFF"/>
                <w:sz w:val="18"/>
              </w:rPr>
              <w:t xml:space="preserve">2000 </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15116ACB" w14:textId="77777777" w:rsidR="00833524" w:rsidRPr="00364545" w:rsidRDefault="00833524" w:rsidP="00E56269">
            <w:pPr>
              <w:spacing w:line="259" w:lineRule="auto"/>
              <w:ind w:left="19"/>
              <w:jc w:val="center"/>
            </w:pPr>
            <w:r w:rsidRPr="00364545">
              <w:rPr>
                <w:b/>
                <w:color w:val="FFFFFF"/>
                <w:sz w:val="18"/>
              </w:rPr>
              <w:t xml:space="preserve">2005 </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583AA2F2" w14:textId="77777777" w:rsidR="00833524" w:rsidRPr="00364545" w:rsidRDefault="00833524" w:rsidP="00E56269">
            <w:pPr>
              <w:spacing w:line="259" w:lineRule="auto"/>
              <w:ind w:left="21"/>
              <w:jc w:val="center"/>
            </w:pPr>
            <w:r w:rsidRPr="00364545">
              <w:rPr>
                <w:b/>
                <w:color w:val="FFFFFF"/>
                <w:sz w:val="18"/>
              </w:rPr>
              <w:t xml:space="preserve">2010 </w:t>
            </w:r>
          </w:p>
        </w:tc>
        <w:tc>
          <w:tcPr>
            <w:tcW w:w="724" w:type="dxa"/>
            <w:tcBorders>
              <w:top w:val="single" w:sz="2" w:space="0" w:color="000000"/>
              <w:left w:val="single" w:sz="2" w:space="0" w:color="000000"/>
              <w:bottom w:val="single" w:sz="2" w:space="0" w:color="000000"/>
              <w:right w:val="single" w:sz="2" w:space="0" w:color="000000"/>
            </w:tcBorders>
            <w:shd w:val="clear" w:color="auto" w:fill="6D2A78"/>
          </w:tcPr>
          <w:p w14:paraId="5C89F667" w14:textId="77777777" w:rsidR="00833524" w:rsidRPr="00364545" w:rsidRDefault="00833524" w:rsidP="00E56269">
            <w:pPr>
              <w:spacing w:line="259" w:lineRule="auto"/>
              <w:ind w:left="19"/>
              <w:jc w:val="center"/>
            </w:pPr>
            <w:r w:rsidRPr="00364545">
              <w:rPr>
                <w:b/>
                <w:color w:val="FFFFFF"/>
                <w:sz w:val="18"/>
              </w:rPr>
              <w:t xml:space="preserve">2015 </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33BEBB1D" w14:textId="77777777" w:rsidR="00833524" w:rsidRPr="00364545" w:rsidRDefault="00833524" w:rsidP="00E56269">
            <w:pPr>
              <w:spacing w:line="259" w:lineRule="auto"/>
              <w:ind w:left="21"/>
              <w:jc w:val="center"/>
              <w:rPr>
                <w:b/>
                <w:color w:val="FFFFFF"/>
                <w:sz w:val="18"/>
              </w:rPr>
            </w:pPr>
            <w:r w:rsidRPr="00364545">
              <w:rPr>
                <w:b/>
                <w:color w:val="FFFFFF"/>
                <w:sz w:val="18"/>
              </w:rPr>
              <w:t>2019</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371D1E61" w14:textId="77777777" w:rsidR="00833524" w:rsidRPr="00364545" w:rsidRDefault="00833524" w:rsidP="00E56269">
            <w:pPr>
              <w:spacing w:line="259" w:lineRule="auto"/>
              <w:ind w:left="21"/>
              <w:jc w:val="center"/>
            </w:pPr>
            <w:r w:rsidRPr="00364545">
              <w:rPr>
                <w:b/>
                <w:color w:val="FFFFFF"/>
                <w:sz w:val="18"/>
              </w:rPr>
              <w:t xml:space="preserve">2020 </w:t>
            </w:r>
          </w:p>
        </w:tc>
        <w:tc>
          <w:tcPr>
            <w:tcW w:w="724" w:type="dxa"/>
            <w:tcBorders>
              <w:top w:val="single" w:sz="2" w:space="0" w:color="000000"/>
              <w:left w:val="single" w:sz="2" w:space="0" w:color="000000"/>
              <w:bottom w:val="single" w:sz="2" w:space="0" w:color="000000"/>
              <w:right w:val="single" w:sz="2" w:space="0" w:color="000000"/>
            </w:tcBorders>
            <w:shd w:val="clear" w:color="auto" w:fill="6D2A78"/>
          </w:tcPr>
          <w:p w14:paraId="732336B8" w14:textId="77777777" w:rsidR="00833524" w:rsidRPr="00364545" w:rsidRDefault="00833524" w:rsidP="00E56269">
            <w:pPr>
              <w:spacing w:line="259" w:lineRule="auto"/>
              <w:ind w:left="19"/>
              <w:jc w:val="center"/>
            </w:pPr>
            <w:r w:rsidRPr="00364545">
              <w:rPr>
                <w:b/>
                <w:color w:val="FFFFFF"/>
                <w:sz w:val="18"/>
              </w:rPr>
              <w:t xml:space="preserve">2025 </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28F715A0" w14:textId="77777777" w:rsidR="00833524" w:rsidRPr="00364545" w:rsidRDefault="00833524" w:rsidP="00E56269">
            <w:pPr>
              <w:spacing w:line="259" w:lineRule="auto"/>
              <w:ind w:left="21"/>
              <w:jc w:val="center"/>
            </w:pPr>
            <w:r w:rsidRPr="00364545">
              <w:rPr>
                <w:b/>
                <w:color w:val="FFFFFF"/>
                <w:sz w:val="18"/>
              </w:rPr>
              <w:t xml:space="preserve">2030 </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2A055A71" w14:textId="77777777" w:rsidR="00833524" w:rsidRPr="00364545" w:rsidRDefault="00833524" w:rsidP="00E56269">
            <w:pPr>
              <w:spacing w:line="259" w:lineRule="auto"/>
              <w:ind w:left="20"/>
              <w:jc w:val="center"/>
            </w:pPr>
            <w:r w:rsidRPr="00364545">
              <w:rPr>
                <w:b/>
                <w:color w:val="FFFFFF"/>
                <w:sz w:val="18"/>
              </w:rPr>
              <w:t xml:space="preserve">2035 </w:t>
            </w:r>
          </w:p>
        </w:tc>
        <w:tc>
          <w:tcPr>
            <w:tcW w:w="724" w:type="dxa"/>
            <w:tcBorders>
              <w:top w:val="single" w:sz="2" w:space="0" w:color="000000"/>
              <w:left w:val="single" w:sz="2" w:space="0" w:color="000000"/>
              <w:bottom w:val="single" w:sz="2" w:space="0" w:color="000000"/>
              <w:right w:val="single" w:sz="2" w:space="0" w:color="000000"/>
            </w:tcBorders>
            <w:shd w:val="clear" w:color="auto" w:fill="6D2A78"/>
          </w:tcPr>
          <w:p w14:paraId="2A6B672F" w14:textId="77777777" w:rsidR="00833524" w:rsidRPr="00364545" w:rsidRDefault="00833524" w:rsidP="00E56269">
            <w:pPr>
              <w:spacing w:line="259" w:lineRule="auto"/>
              <w:ind w:left="20"/>
              <w:jc w:val="center"/>
              <w:rPr>
                <w:b/>
                <w:color w:val="FFFFFF"/>
                <w:sz w:val="18"/>
              </w:rPr>
            </w:pPr>
            <w:r w:rsidRPr="00364545">
              <w:rPr>
                <w:b/>
                <w:color w:val="FFFFFF"/>
                <w:sz w:val="18"/>
              </w:rPr>
              <w:t>2050</w:t>
            </w:r>
          </w:p>
        </w:tc>
      </w:tr>
      <w:tr w:rsidR="00833524" w:rsidRPr="00364545" w14:paraId="6DFEB49B" w14:textId="77777777" w:rsidTr="000D1437">
        <w:trPr>
          <w:trHeight w:val="347"/>
        </w:trPr>
        <w:tc>
          <w:tcPr>
            <w:tcW w:w="1254" w:type="dxa"/>
            <w:tcBorders>
              <w:top w:val="single" w:sz="2" w:space="0" w:color="000000"/>
              <w:left w:val="single" w:sz="2" w:space="0" w:color="000000"/>
              <w:bottom w:val="single" w:sz="2" w:space="0" w:color="000000"/>
              <w:right w:val="single" w:sz="2" w:space="0" w:color="000000"/>
            </w:tcBorders>
          </w:tcPr>
          <w:p w14:paraId="57B794A5" w14:textId="77777777" w:rsidR="00833524" w:rsidRPr="00364545" w:rsidRDefault="00833524" w:rsidP="00E56269">
            <w:pPr>
              <w:spacing w:line="259" w:lineRule="auto"/>
            </w:pPr>
            <w:r w:rsidRPr="00364545">
              <w:rPr>
                <w:sz w:val="18"/>
              </w:rPr>
              <w:t xml:space="preserve">Energy </w:t>
            </w:r>
          </w:p>
        </w:tc>
        <w:tc>
          <w:tcPr>
            <w:tcW w:w="723" w:type="dxa"/>
            <w:tcBorders>
              <w:top w:val="single" w:sz="2" w:space="0" w:color="000000"/>
              <w:left w:val="single" w:sz="2" w:space="0" w:color="000000"/>
              <w:bottom w:val="single" w:sz="2" w:space="0" w:color="000000"/>
              <w:right w:val="single" w:sz="2" w:space="0" w:color="000000"/>
            </w:tcBorders>
            <w:vAlign w:val="center"/>
          </w:tcPr>
          <w:p w14:paraId="38CE5CE0" w14:textId="77777777" w:rsidR="00833524" w:rsidRPr="00364545" w:rsidRDefault="00833524" w:rsidP="00E56269">
            <w:pPr>
              <w:spacing w:line="259" w:lineRule="auto"/>
              <w:ind w:left="14"/>
              <w:jc w:val="cente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5FCDDC88" w14:textId="77777777" w:rsidR="00833524" w:rsidRPr="00364545" w:rsidRDefault="00833524" w:rsidP="00E56269">
            <w:pPr>
              <w:spacing w:line="259" w:lineRule="auto"/>
              <w:ind w:left="16"/>
              <w:jc w:val="cente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77924178" w14:textId="77777777" w:rsidR="00833524" w:rsidRPr="00364545" w:rsidRDefault="00833524" w:rsidP="00E56269">
            <w:pPr>
              <w:spacing w:line="259" w:lineRule="auto"/>
              <w:ind w:left="16"/>
              <w:jc w:val="cente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40E6804B" w14:textId="77777777" w:rsidR="00833524" w:rsidRPr="00364545" w:rsidRDefault="00833524" w:rsidP="00E56269">
            <w:pPr>
              <w:spacing w:line="259" w:lineRule="auto"/>
              <w:ind w:left="14"/>
              <w:jc w:val="cente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65D4A612" w14:textId="77777777" w:rsidR="00833524" w:rsidRPr="00364545" w:rsidRDefault="00833524" w:rsidP="00E56269">
            <w:pPr>
              <w:spacing w:line="259" w:lineRule="auto"/>
              <w:ind w:left="16"/>
              <w:jc w:val="cente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29F3DECD" w14:textId="77777777" w:rsidR="00833524" w:rsidRPr="00364545" w:rsidRDefault="00833524" w:rsidP="00E56269">
            <w:pPr>
              <w:spacing w:line="259" w:lineRule="auto"/>
              <w:ind w:left="14"/>
              <w:jc w:val="cente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0BB72549" w14:textId="77777777" w:rsidR="00833524" w:rsidRPr="00364545" w:rsidRDefault="00833524" w:rsidP="00E56269">
            <w:pPr>
              <w:spacing w:line="259" w:lineRule="auto"/>
              <w:ind w:left="16"/>
              <w:jc w:val="cente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0C1E0796" w14:textId="77777777" w:rsidR="00833524" w:rsidRPr="00364545" w:rsidRDefault="00833524" w:rsidP="00E56269">
            <w:pPr>
              <w:spacing w:line="259" w:lineRule="auto"/>
              <w:ind w:left="16"/>
              <w:jc w:val="center"/>
            </w:pPr>
            <w:r w:rsidRPr="00364545">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7715C374" w14:textId="77777777" w:rsidR="00833524" w:rsidRPr="00364545" w:rsidRDefault="00833524" w:rsidP="00E56269">
            <w:pPr>
              <w:spacing w:line="259" w:lineRule="auto"/>
              <w:ind w:left="14"/>
              <w:jc w:val="center"/>
            </w:pPr>
            <w:r w:rsidRPr="00364545">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18F841AA" w14:textId="77777777" w:rsidR="00833524" w:rsidRPr="00364545" w:rsidRDefault="00833524" w:rsidP="00E56269">
            <w:pPr>
              <w:spacing w:line="259" w:lineRule="auto"/>
              <w:ind w:left="16"/>
              <w:jc w:val="center"/>
            </w:pPr>
            <w:r w:rsidRPr="00364545">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06FBC870" w14:textId="77777777" w:rsidR="00833524" w:rsidRPr="00364545" w:rsidRDefault="00833524" w:rsidP="00E56269">
            <w:pPr>
              <w:spacing w:line="259" w:lineRule="auto"/>
              <w:ind w:left="15"/>
              <w:jc w:val="center"/>
            </w:pPr>
            <w:r w:rsidRPr="00364545">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04453494" w14:textId="77777777" w:rsidR="00833524" w:rsidRPr="00364545" w:rsidRDefault="00833524" w:rsidP="00E56269">
            <w:pPr>
              <w:spacing w:line="259" w:lineRule="auto"/>
              <w:ind w:left="15"/>
              <w:jc w:val="center"/>
            </w:pPr>
            <w:r w:rsidRPr="00364545">
              <w:t>0</w:t>
            </w:r>
          </w:p>
        </w:tc>
      </w:tr>
      <w:tr w:rsidR="000D1437" w:rsidRPr="00364545" w14:paraId="680F6B72" w14:textId="77777777" w:rsidTr="000D1437">
        <w:trPr>
          <w:trHeight w:val="416"/>
        </w:trPr>
        <w:tc>
          <w:tcPr>
            <w:tcW w:w="1254" w:type="dxa"/>
            <w:tcBorders>
              <w:top w:val="single" w:sz="2" w:space="0" w:color="000000"/>
              <w:left w:val="single" w:sz="2" w:space="0" w:color="000000"/>
              <w:bottom w:val="single" w:sz="2" w:space="0" w:color="000000"/>
              <w:right w:val="single" w:sz="2" w:space="0" w:color="000000"/>
            </w:tcBorders>
            <w:shd w:val="clear" w:color="auto" w:fill="ECE6E2"/>
          </w:tcPr>
          <w:p w14:paraId="5F6389E7" w14:textId="77777777" w:rsidR="00907F15" w:rsidRPr="00364545" w:rsidRDefault="00907F15" w:rsidP="00907F15">
            <w:pPr>
              <w:spacing w:line="259" w:lineRule="auto"/>
            </w:pPr>
            <w:r w:rsidRPr="00364545">
              <w:rPr>
                <w:sz w:val="18"/>
              </w:rPr>
              <w:t xml:space="preserve">Industrial processes, solvents and other products </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AE5CD4" w14:textId="77777777" w:rsidR="00907F15" w:rsidRPr="00364545" w:rsidRDefault="00907F15" w:rsidP="00907F15">
            <w:pPr>
              <w:spacing w:line="259" w:lineRule="auto"/>
              <w:ind w:left="14"/>
              <w:jc w:val="center"/>
            </w:pPr>
            <w:r w:rsidRPr="005D0955">
              <w:rPr>
                <w:rFonts w:asciiTheme="majorHAnsi" w:hAnsiTheme="majorHAnsi"/>
                <w:sz w:val="18"/>
                <w:szCs w:val="18"/>
              </w:rPr>
              <w:t>2155</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42BF8CD" w14:textId="77777777" w:rsidR="00907F15" w:rsidRPr="00364545" w:rsidRDefault="00907F15" w:rsidP="00907F15">
            <w:pPr>
              <w:spacing w:line="259" w:lineRule="auto"/>
              <w:ind w:left="14"/>
              <w:jc w:val="center"/>
            </w:pPr>
            <w:r w:rsidRPr="005D0955">
              <w:rPr>
                <w:rFonts w:asciiTheme="majorHAnsi" w:hAnsiTheme="majorHAnsi"/>
                <w:sz w:val="18"/>
                <w:szCs w:val="18"/>
              </w:rPr>
              <w:t>2467</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F48466" w14:textId="77777777" w:rsidR="00907F15" w:rsidRPr="00364545" w:rsidRDefault="00907F15" w:rsidP="00907F15">
            <w:pPr>
              <w:spacing w:line="259" w:lineRule="auto"/>
              <w:ind w:left="14"/>
              <w:jc w:val="center"/>
            </w:pPr>
            <w:r w:rsidRPr="005D0955">
              <w:rPr>
                <w:rFonts w:asciiTheme="majorHAnsi" w:hAnsiTheme="majorHAnsi"/>
                <w:sz w:val="18"/>
                <w:szCs w:val="18"/>
              </w:rPr>
              <w:t>2180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88122C" w14:textId="77777777" w:rsidR="00907F15" w:rsidRPr="00364545" w:rsidRDefault="00907F15" w:rsidP="00907F15">
            <w:pPr>
              <w:spacing w:line="259" w:lineRule="auto"/>
              <w:ind w:left="14"/>
              <w:jc w:val="center"/>
            </w:pPr>
            <w:r w:rsidRPr="005D0955">
              <w:rPr>
                <w:rFonts w:asciiTheme="majorHAnsi" w:hAnsiTheme="majorHAnsi"/>
                <w:sz w:val="18"/>
                <w:szCs w:val="18"/>
              </w:rPr>
              <w:t>1355</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2E0904" w14:textId="77777777" w:rsidR="00907F15" w:rsidRPr="00364545" w:rsidRDefault="00907F15" w:rsidP="00907F15">
            <w:pPr>
              <w:spacing w:line="259" w:lineRule="auto"/>
              <w:ind w:left="14"/>
              <w:jc w:val="center"/>
            </w:pPr>
            <w:r w:rsidRPr="005D0955">
              <w:rPr>
                <w:rFonts w:asciiTheme="majorHAnsi" w:hAnsiTheme="majorHAnsi"/>
                <w:sz w:val="18"/>
                <w:szCs w:val="18"/>
              </w:rPr>
              <w:t>875</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41C888F" w14:textId="77777777" w:rsidR="00907F15" w:rsidRPr="00364545" w:rsidRDefault="00907F15" w:rsidP="00907F15">
            <w:pPr>
              <w:spacing w:line="259" w:lineRule="auto"/>
              <w:ind w:left="14"/>
              <w:jc w:val="center"/>
            </w:pPr>
            <w:r w:rsidRPr="005D0955">
              <w:rPr>
                <w:rFonts w:asciiTheme="majorHAnsi" w:hAnsiTheme="majorHAnsi"/>
                <w:sz w:val="18"/>
                <w:szCs w:val="18"/>
              </w:rPr>
              <w:t>498</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5AFD94D" w14:textId="77777777" w:rsidR="00907F15" w:rsidRPr="00364545" w:rsidRDefault="00907F15" w:rsidP="00907F15">
            <w:pPr>
              <w:spacing w:line="259" w:lineRule="auto"/>
              <w:ind w:left="14"/>
              <w:jc w:val="center"/>
            </w:pPr>
            <w:r w:rsidRPr="005D0955">
              <w:rPr>
                <w:rFonts w:asciiTheme="majorHAnsi" w:hAnsiTheme="majorHAnsi"/>
                <w:sz w:val="18"/>
                <w:szCs w:val="18"/>
              </w:rPr>
              <w:t>385</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30227C" w14:textId="515FA604" w:rsidR="00907F15" w:rsidRPr="00364545" w:rsidRDefault="00907F15" w:rsidP="00907F15">
            <w:pPr>
              <w:spacing w:line="259" w:lineRule="auto"/>
              <w:ind w:left="14"/>
              <w:jc w:val="center"/>
            </w:pPr>
            <w:r>
              <w:t>458</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A7BBC6" w14:textId="5D70CFAD" w:rsidR="00907F15" w:rsidRPr="00364545" w:rsidRDefault="00907F15" w:rsidP="00907F15">
            <w:pPr>
              <w:spacing w:line="259" w:lineRule="auto"/>
              <w:ind w:left="14"/>
              <w:jc w:val="center"/>
            </w:pPr>
            <w:r w:rsidRPr="00364545">
              <w:t>460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DB74C5" w14:textId="4BDC1316" w:rsidR="00907F15" w:rsidRPr="00364545" w:rsidRDefault="00907F15" w:rsidP="00907F15">
            <w:pPr>
              <w:spacing w:line="259" w:lineRule="auto"/>
              <w:ind w:left="14"/>
              <w:jc w:val="center"/>
            </w:pPr>
            <w:r w:rsidRPr="00364545">
              <w:t>460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E1B7B3E" w14:textId="54D51AC4" w:rsidR="00907F15" w:rsidRPr="00364545" w:rsidRDefault="00907F15" w:rsidP="00907F15">
            <w:pPr>
              <w:spacing w:line="259" w:lineRule="auto"/>
              <w:ind w:left="14"/>
              <w:jc w:val="center"/>
            </w:pPr>
            <w:r>
              <w:t>460</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F53AC8D" w14:textId="655E2979" w:rsidR="00907F15" w:rsidRPr="00364545" w:rsidRDefault="00907F15" w:rsidP="00907F15">
            <w:pPr>
              <w:spacing w:line="259" w:lineRule="auto"/>
              <w:ind w:left="14"/>
              <w:jc w:val="center"/>
            </w:pPr>
            <w:r>
              <w:t>463</w:t>
            </w:r>
          </w:p>
        </w:tc>
      </w:tr>
      <w:tr w:rsidR="00907F15" w:rsidRPr="00364545" w14:paraId="46CE3A2A" w14:textId="77777777" w:rsidTr="000D1437">
        <w:trPr>
          <w:trHeight w:val="347"/>
        </w:trPr>
        <w:tc>
          <w:tcPr>
            <w:tcW w:w="1254" w:type="dxa"/>
            <w:tcBorders>
              <w:top w:val="single" w:sz="2" w:space="0" w:color="000000"/>
              <w:left w:val="single" w:sz="2" w:space="0" w:color="000000"/>
              <w:bottom w:val="single" w:sz="2" w:space="0" w:color="000000"/>
              <w:right w:val="single" w:sz="2" w:space="0" w:color="000000"/>
            </w:tcBorders>
          </w:tcPr>
          <w:p w14:paraId="3299E688" w14:textId="77777777" w:rsidR="00907F15" w:rsidRPr="00364545" w:rsidRDefault="00907F15" w:rsidP="00907F15">
            <w:pPr>
              <w:spacing w:line="259" w:lineRule="auto"/>
            </w:pPr>
            <w:r w:rsidRPr="00364545">
              <w:rPr>
                <w:sz w:val="18"/>
              </w:rPr>
              <w:t xml:space="preserve">Agriculture (excluding energy) </w:t>
            </w:r>
          </w:p>
        </w:tc>
        <w:tc>
          <w:tcPr>
            <w:tcW w:w="723" w:type="dxa"/>
            <w:tcBorders>
              <w:top w:val="single" w:sz="2" w:space="0" w:color="000000"/>
              <w:left w:val="single" w:sz="2" w:space="0" w:color="000000"/>
              <w:bottom w:val="single" w:sz="2" w:space="0" w:color="000000"/>
              <w:right w:val="single" w:sz="2" w:space="0" w:color="000000"/>
            </w:tcBorders>
            <w:vAlign w:val="center"/>
          </w:tcPr>
          <w:p w14:paraId="552DBB62" w14:textId="77777777" w:rsidR="00907F15" w:rsidRPr="00364545" w:rsidRDefault="00907F15" w:rsidP="00907F15">
            <w:pPr>
              <w:spacing w:line="259" w:lineRule="auto"/>
              <w:ind w:left="14"/>
              <w:jc w:val="cente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567A7F7C"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34798C91"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36126C52" w14:textId="77777777" w:rsidR="00907F15" w:rsidRPr="00364545" w:rsidRDefault="00907F15" w:rsidP="00907F15">
            <w:pPr>
              <w:spacing w:line="259" w:lineRule="auto"/>
              <w:ind w:left="14"/>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7BD250DD"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4E752EA3" w14:textId="77777777" w:rsidR="00907F15" w:rsidRPr="00364545" w:rsidRDefault="00907F15" w:rsidP="00907F15">
            <w:pPr>
              <w:spacing w:line="259" w:lineRule="auto"/>
              <w:ind w:left="14"/>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008B02E7"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6FFB09AB" w14:textId="6869F639" w:rsidR="00907F15" w:rsidRPr="00364545" w:rsidRDefault="00907F15" w:rsidP="00907F15">
            <w:pPr>
              <w:spacing w:line="259" w:lineRule="auto"/>
              <w:ind w:left="16"/>
              <w:jc w:val="center"/>
            </w:pPr>
            <w:r w:rsidRPr="00364545">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0CAED658" w14:textId="4417DECB" w:rsidR="00907F15" w:rsidRPr="00364545" w:rsidRDefault="00907F15" w:rsidP="00907F15">
            <w:pPr>
              <w:spacing w:line="259" w:lineRule="auto"/>
              <w:ind w:left="14"/>
              <w:jc w:val="center"/>
            </w:pPr>
            <w:r w:rsidRPr="00364545">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2A61984E" w14:textId="62CAF5C6" w:rsidR="00907F15" w:rsidRPr="00364545" w:rsidRDefault="00907F15" w:rsidP="00907F15">
            <w:pPr>
              <w:spacing w:line="259" w:lineRule="auto"/>
              <w:ind w:left="16"/>
              <w:jc w:val="center"/>
            </w:pPr>
            <w:r w:rsidRPr="00364545">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7D1CB3DC" w14:textId="1F439994" w:rsidR="00907F15" w:rsidRPr="00364545" w:rsidRDefault="00907F15" w:rsidP="00907F15">
            <w:pPr>
              <w:spacing w:line="259" w:lineRule="auto"/>
              <w:ind w:left="15"/>
              <w:jc w:val="center"/>
            </w:pPr>
            <w:r w:rsidRPr="00364545">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512D02B8" w14:textId="7F6784C6" w:rsidR="00907F15" w:rsidRPr="00364545" w:rsidRDefault="00907F15" w:rsidP="00907F15">
            <w:pPr>
              <w:spacing w:line="259" w:lineRule="auto"/>
              <w:ind w:left="15"/>
              <w:jc w:val="center"/>
            </w:pPr>
            <w:r w:rsidRPr="00364545">
              <w:t>0</w:t>
            </w:r>
          </w:p>
        </w:tc>
      </w:tr>
      <w:tr w:rsidR="000D1437" w:rsidRPr="00364545" w14:paraId="6C672AC3" w14:textId="77777777" w:rsidTr="000D1437">
        <w:trPr>
          <w:trHeight w:val="344"/>
        </w:trPr>
        <w:tc>
          <w:tcPr>
            <w:tcW w:w="1254" w:type="dxa"/>
            <w:tcBorders>
              <w:top w:val="single" w:sz="2" w:space="0" w:color="000000"/>
              <w:left w:val="single" w:sz="2" w:space="0" w:color="000000"/>
              <w:bottom w:val="single" w:sz="2" w:space="0" w:color="000000"/>
              <w:right w:val="single" w:sz="2" w:space="0" w:color="000000"/>
            </w:tcBorders>
            <w:shd w:val="clear" w:color="auto" w:fill="ECE6E2"/>
          </w:tcPr>
          <w:p w14:paraId="709A379E" w14:textId="77777777" w:rsidR="00907F15" w:rsidRPr="00364545" w:rsidRDefault="00907F15" w:rsidP="00907F15">
            <w:pPr>
              <w:spacing w:line="259" w:lineRule="auto"/>
            </w:pPr>
            <w:r w:rsidRPr="00364545">
              <w:rPr>
                <w:sz w:val="18"/>
              </w:rPr>
              <w:t xml:space="preserve">LULUCF </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54AAD9" w14:textId="77777777" w:rsidR="00907F15" w:rsidRPr="00364545" w:rsidRDefault="00907F15" w:rsidP="00907F15">
            <w:pPr>
              <w:spacing w:line="259" w:lineRule="auto"/>
              <w:ind w:left="14"/>
              <w:jc w:val="cente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2B29D0"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EFE861"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B2A694" w14:textId="77777777" w:rsidR="00907F15" w:rsidRPr="00364545" w:rsidRDefault="00907F15" w:rsidP="00907F15">
            <w:pPr>
              <w:spacing w:line="259" w:lineRule="auto"/>
              <w:ind w:left="14"/>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AD77B3"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D5D249" w14:textId="77777777" w:rsidR="00907F15" w:rsidRPr="00364545" w:rsidRDefault="00907F15" w:rsidP="00907F15">
            <w:pPr>
              <w:spacing w:line="259" w:lineRule="auto"/>
              <w:ind w:left="14"/>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0F12692"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615FAC" w14:textId="415DA11B" w:rsidR="00907F15" w:rsidRPr="00364545" w:rsidRDefault="00907F15" w:rsidP="00907F15">
            <w:pPr>
              <w:spacing w:line="259" w:lineRule="auto"/>
              <w:ind w:left="16"/>
              <w:jc w:val="center"/>
            </w:pPr>
            <w:r w:rsidRPr="00364545">
              <w:t>0</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9FF88A" w14:textId="3FFA6858" w:rsidR="00907F15" w:rsidRPr="00364545" w:rsidRDefault="00907F15" w:rsidP="00907F15">
            <w:pPr>
              <w:spacing w:line="259" w:lineRule="auto"/>
              <w:ind w:left="14"/>
              <w:jc w:val="center"/>
            </w:pPr>
            <w:r w:rsidRPr="00364545">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0EA2AB" w14:textId="0481C227" w:rsidR="00907F15" w:rsidRPr="00364545" w:rsidRDefault="00907F15" w:rsidP="00907F15">
            <w:pPr>
              <w:spacing w:line="259" w:lineRule="auto"/>
              <w:ind w:left="16"/>
              <w:jc w:val="center"/>
            </w:pPr>
            <w:r w:rsidRPr="00364545">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883607A" w14:textId="0101FEE8" w:rsidR="00907F15" w:rsidRPr="00364545" w:rsidRDefault="00907F15" w:rsidP="00907F15">
            <w:pPr>
              <w:spacing w:line="259" w:lineRule="auto"/>
              <w:ind w:left="15"/>
              <w:jc w:val="center"/>
            </w:pPr>
            <w:r w:rsidRPr="00364545">
              <w:t>0</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18E072" w14:textId="449CA841" w:rsidR="00907F15" w:rsidRPr="00364545" w:rsidRDefault="00907F15" w:rsidP="00907F15">
            <w:pPr>
              <w:spacing w:line="259" w:lineRule="auto"/>
              <w:ind w:left="15"/>
              <w:jc w:val="center"/>
            </w:pPr>
            <w:r w:rsidRPr="00364545">
              <w:t>0</w:t>
            </w:r>
          </w:p>
        </w:tc>
      </w:tr>
      <w:tr w:rsidR="00907F15" w:rsidRPr="00364545" w14:paraId="47633785" w14:textId="77777777" w:rsidTr="000D1437">
        <w:trPr>
          <w:trHeight w:val="346"/>
        </w:trPr>
        <w:tc>
          <w:tcPr>
            <w:tcW w:w="1254" w:type="dxa"/>
            <w:tcBorders>
              <w:top w:val="single" w:sz="2" w:space="0" w:color="000000"/>
              <w:left w:val="single" w:sz="2" w:space="0" w:color="000000"/>
              <w:bottom w:val="single" w:sz="2" w:space="0" w:color="000000"/>
              <w:right w:val="single" w:sz="2" w:space="0" w:color="000000"/>
            </w:tcBorders>
          </w:tcPr>
          <w:p w14:paraId="4CE06145" w14:textId="77777777" w:rsidR="00907F15" w:rsidRPr="00364545" w:rsidRDefault="00907F15" w:rsidP="00907F15">
            <w:pPr>
              <w:spacing w:line="259" w:lineRule="auto"/>
            </w:pPr>
            <w:r w:rsidRPr="00364545">
              <w:rPr>
                <w:sz w:val="18"/>
              </w:rPr>
              <w:t xml:space="preserve">Waste </w:t>
            </w:r>
          </w:p>
        </w:tc>
        <w:tc>
          <w:tcPr>
            <w:tcW w:w="723" w:type="dxa"/>
            <w:tcBorders>
              <w:top w:val="single" w:sz="2" w:space="0" w:color="000000"/>
              <w:left w:val="single" w:sz="2" w:space="0" w:color="000000"/>
              <w:bottom w:val="single" w:sz="2" w:space="0" w:color="000000"/>
              <w:right w:val="single" w:sz="2" w:space="0" w:color="000000"/>
            </w:tcBorders>
            <w:vAlign w:val="center"/>
          </w:tcPr>
          <w:p w14:paraId="57006A28" w14:textId="77777777" w:rsidR="00907F15" w:rsidRPr="00364545" w:rsidRDefault="00907F15" w:rsidP="00907F15">
            <w:pPr>
              <w:spacing w:line="259" w:lineRule="auto"/>
              <w:ind w:left="14"/>
              <w:jc w:val="cente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45F5756B"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74A6717E"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305CF6FF" w14:textId="77777777" w:rsidR="00907F15" w:rsidRPr="00364545" w:rsidRDefault="00907F15" w:rsidP="00907F15">
            <w:pPr>
              <w:spacing w:line="259" w:lineRule="auto"/>
              <w:ind w:left="14"/>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797C50CD"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3134C335" w14:textId="77777777" w:rsidR="00907F15" w:rsidRPr="00364545" w:rsidRDefault="00907F15" w:rsidP="00907F15">
            <w:pPr>
              <w:spacing w:line="259" w:lineRule="auto"/>
              <w:ind w:left="14"/>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5031901C" w14:textId="77777777" w:rsidR="00907F15" w:rsidRPr="00364545" w:rsidRDefault="00907F15" w:rsidP="00907F15">
            <w:pPr>
              <w:spacing w:line="259" w:lineRule="auto"/>
              <w:ind w:left="16"/>
              <w:jc w:val="center"/>
            </w:pPr>
            <w:r w:rsidRPr="00634E4C">
              <w:rPr>
                <w:rFonts w:asciiTheme="majorHAnsi" w:hAnsiTheme="majorHAnsi"/>
                <w:b/>
                <w:color w:val="000000"/>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1872636E" w14:textId="48EF9244" w:rsidR="00907F15" w:rsidRPr="00364545" w:rsidRDefault="00907F15" w:rsidP="00907F15">
            <w:pPr>
              <w:spacing w:line="259" w:lineRule="auto"/>
              <w:ind w:left="16"/>
              <w:jc w:val="center"/>
            </w:pPr>
            <w:r w:rsidRPr="00364545">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775D43F5" w14:textId="29CB190A" w:rsidR="00907F15" w:rsidRPr="00364545" w:rsidRDefault="00907F15" w:rsidP="00907F15">
            <w:pPr>
              <w:spacing w:line="259" w:lineRule="auto"/>
              <w:ind w:left="14"/>
              <w:jc w:val="center"/>
            </w:pPr>
            <w:r w:rsidRPr="00364545">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5004F567" w14:textId="6F8C6268" w:rsidR="00907F15" w:rsidRPr="00364545" w:rsidRDefault="00907F15" w:rsidP="00907F15">
            <w:pPr>
              <w:spacing w:line="259" w:lineRule="auto"/>
              <w:ind w:left="16"/>
              <w:jc w:val="center"/>
            </w:pPr>
            <w:r w:rsidRPr="00364545">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694763BB" w14:textId="77A81E73" w:rsidR="00907F15" w:rsidRPr="00364545" w:rsidRDefault="00907F15" w:rsidP="00907F15">
            <w:pPr>
              <w:spacing w:line="259" w:lineRule="auto"/>
              <w:ind w:left="15"/>
              <w:jc w:val="center"/>
            </w:pPr>
            <w:r w:rsidRPr="00364545">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72C9EBAD" w14:textId="07A5068F" w:rsidR="00907F15" w:rsidRPr="00364545" w:rsidRDefault="00907F15" w:rsidP="00907F15">
            <w:pPr>
              <w:spacing w:line="259" w:lineRule="auto"/>
              <w:ind w:left="15"/>
              <w:jc w:val="center"/>
            </w:pPr>
            <w:r w:rsidRPr="00364545">
              <w:t>0</w:t>
            </w:r>
          </w:p>
        </w:tc>
      </w:tr>
      <w:tr w:rsidR="000D1437" w:rsidRPr="00364545" w14:paraId="707281AB" w14:textId="77777777" w:rsidTr="000D1437">
        <w:trPr>
          <w:trHeight w:val="343"/>
        </w:trPr>
        <w:tc>
          <w:tcPr>
            <w:tcW w:w="1254" w:type="dxa"/>
            <w:tcBorders>
              <w:top w:val="single" w:sz="2" w:space="0" w:color="000000"/>
              <w:left w:val="single" w:sz="2" w:space="0" w:color="000000"/>
              <w:bottom w:val="single" w:sz="2" w:space="0" w:color="000000"/>
              <w:right w:val="single" w:sz="2" w:space="0" w:color="000000"/>
            </w:tcBorders>
            <w:shd w:val="clear" w:color="auto" w:fill="ECE6E2"/>
          </w:tcPr>
          <w:p w14:paraId="4455C3E8" w14:textId="77777777" w:rsidR="00907F15" w:rsidRPr="00364545" w:rsidRDefault="00907F15" w:rsidP="00907F15">
            <w:pPr>
              <w:spacing w:line="259" w:lineRule="auto"/>
            </w:pPr>
            <w:r w:rsidRPr="00364545">
              <w:rPr>
                <w:b/>
                <w:sz w:val="18"/>
              </w:rPr>
              <w:t xml:space="preserve">Ensemble (hors UTCF) </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4965E9" w14:textId="77777777" w:rsidR="00907F15" w:rsidRPr="00364545" w:rsidRDefault="00907F15" w:rsidP="00907F15">
            <w:pPr>
              <w:spacing w:line="259" w:lineRule="auto"/>
              <w:ind w:left="14"/>
              <w:jc w:val="center"/>
              <w:rPr>
                <w:b/>
              </w:rPr>
            </w:pPr>
            <w:r w:rsidRPr="005D0955">
              <w:rPr>
                <w:rFonts w:asciiTheme="majorHAnsi" w:hAnsiTheme="majorHAnsi"/>
                <w:sz w:val="18"/>
                <w:szCs w:val="18"/>
              </w:rPr>
              <w:t>2155</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D7722F" w14:textId="77777777" w:rsidR="00907F15" w:rsidRPr="00364545" w:rsidRDefault="00907F15" w:rsidP="00907F15">
            <w:pPr>
              <w:spacing w:line="259" w:lineRule="auto"/>
              <w:ind w:left="14"/>
              <w:jc w:val="center"/>
              <w:rPr>
                <w:b/>
              </w:rPr>
            </w:pPr>
            <w:r w:rsidRPr="005D0955">
              <w:rPr>
                <w:rFonts w:asciiTheme="majorHAnsi" w:hAnsiTheme="majorHAnsi"/>
                <w:sz w:val="18"/>
                <w:szCs w:val="18"/>
              </w:rPr>
              <w:t>2467</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446D6A" w14:textId="77777777" w:rsidR="00907F15" w:rsidRPr="00364545" w:rsidRDefault="00907F15" w:rsidP="00907F15">
            <w:pPr>
              <w:spacing w:line="259" w:lineRule="auto"/>
              <w:ind w:left="14"/>
              <w:jc w:val="center"/>
              <w:rPr>
                <w:b/>
              </w:rPr>
            </w:pPr>
            <w:r w:rsidRPr="005D0955">
              <w:rPr>
                <w:rFonts w:asciiTheme="majorHAnsi" w:hAnsiTheme="majorHAnsi"/>
                <w:sz w:val="18"/>
                <w:szCs w:val="18"/>
              </w:rPr>
              <w:t>2180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262431" w14:textId="77777777" w:rsidR="00907F15" w:rsidRPr="00364545" w:rsidRDefault="00907F15" w:rsidP="00907F15">
            <w:pPr>
              <w:spacing w:line="259" w:lineRule="auto"/>
              <w:ind w:left="14"/>
              <w:jc w:val="center"/>
              <w:rPr>
                <w:b/>
              </w:rPr>
            </w:pPr>
            <w:r w:rsidRPr="005D0955">
              <w:rPr>
                <w:rFonts w:asciiTheme="majorHAnsi" w:hAnsiTheme="majorHAnsi"/>
                <w:sz w:val="18"/>
                <w:szCs w:val="18"/>
              </w:rPr>
              <w:t>1355</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475DD8" w14:textId="77777777" w:rsidR="00907F15" w:rsidRPr="00364545" w:rsidRDefault="00907F15" w:rsidP="00907F15">
            <w:pPr>
              <w:spacing w:line="259" w:lineRule="auto"/>
              <w:ind w:left="14"/>
              <w:jc w:val="center"/>
              <w:rPr>
                <w:b/>
              </w:rPr>
            </w:pPr>
            <w:r w:rsidRPr="005D0955">
              <w:rPr>
                <w:rFonts w:asciiTheme="majorHAnsi" w:hAnsiTheme="majorHAnsi"/>
                <w:sz w:val="18"/>
                <w:szCs w:val="18"/>
              </w:rPr>
              <w:t>875</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E7EC7A" w14:textId="77777777" w:rsidR="00907F15" w:rsidRPr="00364545" w:rsidRDefault="00907F15" w:rsidP="00907F15">
            <w:pPr>
              <w:spacing w:line="259" w:lineRule="auto"/>
              <w:ind w:left="14"/>
              <w:jc w:val="center"/>
              <w:rPr>
                <w:b/>
              </w:rPr>
            </w:pPr>
            <w:r w:rsidRPr="005D0955">
              <w:rPr>
                <w:rFonts w:asciiTheme="majorHAnsi" w:hAnsiTheme="majorHAnsi"/>
                <w:sz w:val="18"/>
                <w:szCs w:val="18"/>
              </w:rPr>
              <w:t>498</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67E952" w14:textId="77777777" w:rsidR="00907F15" w:rsidRPr="00364545" w:rsidRDefault="00907F15" w:rsidP="00907F15">
            <w:pPr>
              <w:spacing w:line="259" w:lineRule="auto"/>
              <w:ind w:left="14"/>
              <w:jc w:val="center"/>
              <w:rPr>
                <w:b/>
              </w:rPr>
            </w:pPr>
            <w:r w:rsidRPr="005D0955">
              <w:rPr>
                <w:rFonts w:asciiTheme="majorHAnsi" w:hAnsiTheme="majorHAnsi"/>
                <w:sz w:val="18"/>
                <w:szCs w:val="18"/>
              </w:rPr>
              <w:t>385</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6EE94B" w14:textId="60F95B43" w:rsidR="00907F15" w:rsidRPr="00364545" w:rsidRDefault="00907F15" w:rsidP="00907F15">
            <w:pPr>
              <w:spacing w:line="259" w:lineRule="auto"/>
              <w:ind w:left="14"/>
              <w:jc w:val="center"/>
              <w:rPr>
                <w:b/>
              </w:rPr>
            </w:pPr>
            <w:r>
              <w:rPr>
                <w:b/>
              </w:rPr>
              <w:t>458</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F8E1C7" w14:textId="592F05D6" w:rsidR="00907F15" w:rsidRPr="00364545" w:rsidRDefault="00907F15" w:rsidP="00907F15">
            <w:pPr>
              <w:spacing w:line="259" w:lineRule="auto"/>
              <w:ind w:left="14"/>
              <w:jc w:val="center"/>
              <w:rPr>
                <w:b/>
              </w:rPr>
            </w:pPr>
            <w:r w:rsidRPr="00364545">
              <w:rPr>
                <w:b/>
              </w:rPr>
              <w:t>460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FA48C3" w14:textId="7BFFBD2D" w:rsidR="00907F15" w:rsidRPr="00364545" w:rsidRDefault="00907F15" w:rsidP="00907F15">
            <w:pPr>
              <w:spacing w:line="259" w:lineRule="auto"/>
              <w:ind w:left="14"/>
              <w:jc w:val="center"/>
              <w:rPr>
                <w:b/>
              </w:rPr>
            </w:pPr>
            <w:r w:rsidRPr="00364545">
              <w:rPr>
                <w:b/>
              </w:rPr>
              <w:t>460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C646E5" w14:textId="1D0970C5" w:rsidR="00907F15" w:rsidRPr="00364545" w:rsidRDefault="00907F15" w:rsidP="00907F15">
            <w:pPr>
              <w:spacing w:line="259" w:lineRule="auto"/>
              <w:ind w:left="14"/>
              <w:jc w:val="center"/>
              <w:rPr>
                <w:b/>
              </w:rPr>
            </w:pPr>
            <w:r>
              <w:rPr>
                <w:b/>
              </w:rPr>
              <w:t>460</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9A81CE" w14:textId="27B0C614" w:rsidR="00907F15" w:rsidRPr="00364545" w:rsidRDefault="00907F15" w:rsidP="00907F15">
            <w:pPr>
              <w:spacing w:line="259" w:lineRule="auto"/>
              <w:ind w:left="14"/>
              <w:jc w:val="center"/>
              <w:rPr>
                <w:b/>
              </w:rPr>
            </w:pPr>
            <w:r>
              <w:rPr>
                <w:b/>
              </w:rPr>
              <w:t>463</w:t>
            </w:r>
          </w:p>
        </w:tc>
      </w:tr>
      <w:tr w:rsidR="00907F15" w:rsidRPr="00364545" w14:paraId="11C9EDD8" w14:textId="77777777" w:rsidTr="000D1437">
        <w:trPr>
          <w:trHeight w:val="346"/>
        </w:trPr>
        <w:tc>
          <w:tcPr>
            <w:tcW w:w="1254" w:type="dxa"/>
            <w:tcBorders>
              <w:top w:val="single" w:sz="2" w:space="0" w:color="000000"/>
              <w:left w:val="single" w:sz="2" w:space="0" w:color="000000"/>
              <w:bottom w:val="single" w:sz="2" w:space="0" w:color="000000"/>
              <w:right w:val="single" w:sz="2" w:space="0" w:color="000000"/>
            </w:tcBorders>
          </w:tcPr>
          <w:p w14:paraId="73E5620C" w14:textId="77777777" w:rsidR="00907F15" w:rsidRPr="00364545" w:rsidRDefault="00907F15" w:rsidP="00907F15">
            <w:pPr>
              <w:spacing w:line="259" w:lineRule="auto"/>
            </w:pPr>
            <w:r w:rsidRPr="00364545">
              <w:rPr>
                <w:b/>
                <w:sz w:val="18"/>
              </w:rPr>
              <w:t xml:space="preserve">Ensemble (avec UTCF) </w:t>
            </w:r>
          </w:p>
        </w:tc>
        <w:tc>
          <w:tcPr>
            <w:tcW w:w="723" w:type="dxa"/>
            <w:tcBorders>
              <w:top w:val="single" w:sz="2" w:space="0" w:color="000000"/>
              <w:left w:val="single" w:sz="2" w:space="0" w:color="000000"/>
              <w:bottom w:val="single" w:sz="2" w:space="0" w:color="000000"/>
              <w:right w:val="single" w:sz="2" w:space="0" w:color="000000"/>
            </w:tcBorders>
            <w:vAlign w:val="center"/>
          </w:tcPr>
          <w:p w14:paraId="41EF59F9" w14:textId="77777777" w:rsidR="00907F15" w:rsidRPr="00364545" w:rsidRDefault="00907F15" w:rsidP="00907F15">
            <w:pPr>
              <w:spacing w:line="259" w:lineRule="auto"/>
              <w:ind w:left="14"/>
              <w:jc w:val="center"/>
              <w:rPr>
                <w:b/>
              </w:rPr>
            </w:pPr>
            <w:r w:rsidRPr="005D0955">
              <w:rPr>
                <w:rFonts w:asciiTheme="majorHAnsi" w:hAnsiTheme="majorHAnsi"/>
                <w:sz w:val="18"/>
                <w:szCs w:val="18"/>
              </w:rPr>
              <w:t>2155</w:t>
            </w:r>
          </w:p>
        </w:tc>
        <w:tc>
          <w:tcPr>
            <w:tcW w:w="723" w:type="dxa"/>
            <w:tcBorders>
              <w:top w:val="single" w:sz="2" w:space="0" w:color="000000"/>
              <w:left w:val="single" w:sz="2" w:space="0" w:color="000000"/>
              <w:bottom w:val="single" w:sz="2" w:space="0" w:color="000000"/>
              <w:right w:val="single" w:sz="2" w:space="0" w:color="000000"/>
            </w:tcBorders>
            <w:vAlign w:val="center"/>
          </w:tcPr>
          <w:p w14:paraId="165B89CA" w14:textId="77777777" w:rsidR="00907F15" w:rsidRPr="00364545" w:rsidRDefault="00907F15" w:rsidP="00907F15">
            <w:pPr>
              <w:spacing w:line="259" w:lineRule="auto"/>
              <w:ind w:left="14"/>
              <w:jc w:val="center"/>
              <w:rPr>
                <w:b/>
              </w:rPr>
            </w:pPr>
            <w:r w:rsidRPr="005D0955">
              <w:rPr>
                <w:rFonts w:asciiTheme="majorHAnsi" w:hAnsiTheme="majorHAnsi"/>
                <w:sz w:val="18"/>
                <w:szCs w:val="18"/>
              </w:rPr>
              <w:t>2467</w:t>
            </w:r>
          </w:p>
        </w:tc>
        <w:tc>
          <w:tcPr>
            <w:tcW w:w="724" w:type="dxa"/>
            <w:tcBorders>
              <w:top w:val="single" w:sz="2" w:space="0" w:color="000000"/>
              <w:left w:val="single" w:sz="2" w:space="0" w:color="000000"/>
              <w:bottom w:val="single" w:sz="2" w:space="0" w:color="000000"/>
              <w:right w:val="single" w:sz="2" w:space="0" w:color="000000"/>
            </w:tcBorders>
            <w:vAlign w:val="center"/>
          </w:tcPr>
          <w:p w14:paraId="50C1C62D" w14:textId="77777777" w:rsidR="00907F15" w:rsidRPr="00364545" w:rsidRDefault="00907F15" w:rsidP="00907F15">
            <w:pPr>
              <w:spacing w:line="259" w:lineRule="auto"/>
              <w:ind w:left="14"/>
              <w:jc w:val="center"/>
              <w:rPr>
                <w:b/>
              </w:rPr>
            </w:pPr>
            <w:r w:rsidRPr="005D0955">
              <w:rPr>
                <w:rFonts w:asciiTheme="majorHAnsi" w:hAnsiTheme="majorHAnsi"/>
                <w:sz w:val="18"/>
                <w:szCs w:val="18"/>
              </w:rPr>
              <w:t>2180</w:t>
            </w:r>
          </w:p>
        </w:tc>
        <w:tc>
          <w:tcPr>
            <w:tcW w:w="723" w:type="dxa"/>
            <w:tcBorders>
              <w:top w:val="single" w:sz="2" w:space="0" w:color="000000"/>
              <w:left w:val="single" w:sz="2" w:space="0" w:color="000000"/>
              <w:bottom w:val="single" w:sz="2" w:space="0" w:color="000000"/>
              <w:right w:val="single" w:sz="2" w:space="0" w:color="000000"/>
            </w:tcBorders>
            <w:vAlign w:val="center"/>
          </w:tcPr>
          <w:p w14:paraId="34DC843D" w14:textId="77777777" w:rsidR="00907F15" w:rsidRPr="00364545" w:rsidRDefault="00907F15" w:rsidP="00907F15">
            <w:pPr>
              <w:spacing w:line="259" w:lineRule="auto"/>
              <w:ind w:left="14"/>
              <w:jc w:val="center"/>
              <w:rPr>
                <w:b/>
              </w:rPr>
            </w:pPr>
            <w:r w:rsidRPr="005D0955">
              <w:rPr>
                <w:rFonts w:asciiTheme="majorHAnsi" w:hAnsiTheme="majorHAnsi"/>
                <w:sz w:val="18"/>
                <w:szCs w:val="18"/>
              </w:rPr>
              <w:t>1355</w:t>
            </w:r>
          </w:p>
        </w:tc>
        <w:tc>
          <w:tcPr>
            <w:tcW w:w="723" w:type="dxa"/>
            <w:tcBorders>
              <w:top w:val="single" w:sz="2" w:space="0" w:color="000000"/>
              <w:left w:val="single" w:sz="2" w:space="0" w:color="000000"/>
              <w:bottom w:val="single" w:sz="2" w:space="0" w:color="000000"/>
              <w:right w:val="single" w:sz="2" w:space="0" w:color="000000"/>
            </w:tcBorders>
            <w:vAlign w:val="center"/>
          </w:tcPr>
          <w:p w14:paraId="0AC9F47A" w14:textId="77777777" w:rsidR="00907F15" w:rsidRPr="00364545" w:rsidRDefault="00907F15" w:rsidP="00907F15">
            <w:pPr>
              <w:spacing w:line="259" w:lineRule="auto"/>
              <w:ind w:left="14"/>
              <w:jc w:val="center"/>
              <w:rPr>
                <w:b/>
              </w:rPr>
            </w:pPr>
            <w:r w:rsidRPr="005D0955">
              <w:rPr>
                <w:rFonts w:asciiTheme="majorHAnsi" w:hAnsiTheme="majorHAnsi"/>
                <w:sz w:val="18"/>
                <w:szCs w:val="18"/>
              </w:rPr>
              <w:t>875</w:t>
            </w:r>
          </w:p>
        </w:tc>
        <w:tc>
          <w:tcPr>
            <w:tcW w:w="724" w:type="dxa"/>
            <w:tcBorders>
              <w:top w:val="single" w:sz="2" w:space="0" w:color="000000"/>
              <w:left w:val="single" w:sz="2" w:space="0" w:color="000000"/>
              <w:bottom w:val="single" w:sz="2" w:space="0" w:color="000000"/>
              <w:right w:val="single" w:sz="2" w:space="0" w:color="000000"/>
            </w:tcBorders>
            <w:vAlign w:val="center"/>
          </w:tcPr>
          <w:p w14:paraId="00B49769" w14:textId="77777777" w:rsidR="00907F15" w:rsidRPr="00364545" w:rsidRDefault="00907F15" w:rsidP="00907F15">
            <w:pPr>
              <w:spacing w:line="259" w:lineRule="auto"/>
              <w:ind w:left="14"/>
              <w:jc w:val="center"/>
              <w:rPr>
                <w:b/>
              </w:rPr>
            </w:pPr>
            <w:r w:rsidRPr="005D0955">
              <w:rPr>
                <w:rFonts w:asciiTheme="majorHAnsi" w:hAnsiTheme="majorHAnsi"/>
                <w:sz w:val="18"/>
                <w:szCs w:val="18"/>
              </w:rPr>
              <w:t>498</w:t>
            </w:r>
          </w:p>
        </w:tc>
        <w:tc>
          <w:tcPr>
            <w:tcW w:w="723" w:type="dxa"/>
            <w:tcBorders>
              <w:top w:val="single" w:sz="2" w:space="0" w:color="000000"/>
              <w:left w:val="single" w:sz="2" w:space="0" w:color="000000"/>
              <w:bottom w:val="single" w:sz="2" w:space="0" w:color="000000"/>
              <w:right w:val="single" w:sz="2" w:space="0" w:color="000000"/>
            </w:tcBorders>
            <w:vAlign w:val="center"/>
          </w:tcPr>
          <w:p w14:paraId="2B213544" w14:textId="77777777" w:rsidR="00907F15" w:rsidRPr="00364545" w:rsidRDefault="00907F15" w:rsidP="00907F15">
            <w:pPr>
              <w:spacing w:line="259" w:lineRule="auto"/>
              <w:ind w:left="14"/>
              <w:jc w:val="center"/>
              <w:rPr>
                <w:b/>
              </w:rPr>
            </w:pPr>
            <w:r w:rsidRPr="005D0955">
              <w:rPr>
                <w:rFonts w:asciiTheme="majorHAnsi" w:hAnsiTheme="majorHAnsi"/>
                <w:sz w:val="18"/>
                <w:szCs w:val="18"/>
              </w:rPr>
              <w:t>385</w:t>
            </w:r>
          </w:p>
        </w:tc>
        <w:tc>
          <w:tcPr>
            <w:tcW w:w="723" w:type="dxa"/>
            <w:tcBorders>
              <w:top w:val="single" w:sz="2" w:space="0" w:color="000000"/>
              <w:left w:val="single" w:sz="2" w:space="0" w:color="000000"/>
              <w:bottom w:val="single" w:sz="2" w:space="0" w:color="000000"/>
              <w:right w:val="single" w:sz="2" w:space="0" w:color="000000"/>
            </w:tcBorders>
            <w:vAlign w:val="center"/>
          </w:tcPr>
          <w:p w14:paraId="34054C4B" w14:textId="43ABAE9A" w:rsidR="00907F15" w:rsidRPr="00364545" w:rsidRDefault="00907F15" w:rsidP="00907F15">
            <w:pPr>
              <w:spacing w:line="259" w:lineRule="auto"/>
              <w:ind w:left="14"/>
              <w:jc w:val="center"/>
              <w:rPr>
                <w:b/>
              </w:rPr>
            </w:pPr>
            <w:r>
              <w:rPr>
                <w:b/>
              </w:rPr>
              <w:t>458</w:t>
            </w:r>
          </w:p>
        </w:tc>
        <w:tc>
          <w:tcPr>
            <w:tcW w:w="724" w:type="dxa"/>
            <w:tcBorders>
              <w:top w:val="single" w:sz="2" w:space="0" w:color="000000"/>
              <w:left w:val="single" w:sz="2" w:space="0" w:color="000000"/>
              <w:bottom w:val="single" w:sz="2" w:space="0" w:color="000000"/>
              <w:right w:val="single" w:sz="2" w:space="0" w:color="000000"/>
            </w:tcBorders>
            <w:vAlign w:val="center"/>
          </w:tcPr>
          <w:p w14:paraId="4A4CAF60" w14:textId="2C5632C6" w:rsidR="00907F15" w:rsidRPr="00364545" w:rsidRDefault="00907F15" w:rsidP="00907F15">
            <w:pPr>
              <w:spacing w:line="259" w:lineRule="auto"/>
              <w:ind w:left="14"/>
              <w:jc w:val="center"/>
              <w:rPr>
                <w:b/>
              </w:rPr>
            </w:pPr>
            <w:r w:rsidRPr="00364545">
              <w:rPr>
                <w:b/>
              </w:rPr>
              <w:t>460</w:t>
            </w:r>
          </w:p>
        </w:tc>
        <w:tc>
          <w:tcPr>
            <w:tcW w:w="723" w:type="dxa"/>
            <w:tcBorders>
              <w:top w:val="single" w:sz="2" w:space="0" w:color="000000"/>
              <w:left w:val="single" w:sz="2" w:space="0" w:color="000000"/>
              <w:bottom w:val="single" w:sz="2" w:space="0" w:color="000000"/>
              <w:right w:val="single" w:sz="2" w:space="0" w:color="000000"/>
            </w:tcBorders>
            <w:vAlign w:val="center"/>
          </w:tcPr>
          <w:p w14:paraId="7AF0DB10" w14:textId="01E68DD5" w:rsidR="00907F15" w:rsidRPr="00364545" w:rsidRDefault="00907F15" w:rsidP="00907F15">
            <w:pPr>
              <w:spacing w:line="259" w:lineRule="auto"/>
              <w:ind w:left="14"/>
              <w:jc w:val="center"/>
              <w:rPr>
                <w:b/>
              </w:rPr>
            </w:pPr>
            <w:r w:rsidRPr="00364545">
              <w:rPr>
                <w:b/>
              </w:rPr>
              <w:t>460</w:t>
            </w:r>
          </w:p>
        </w:tc>
        <w:tc>
          <w:tcPr>
            <w:tcW w:w="723" w:type="dxa"/>
            <w:tcBorders>
              <w:top w:val="single" w:sz="2" w:space="0" w:color="000000"/>
              <w:left w:val="single" w:sz="2" w:space="0" w:color="000000"/>
              <w:bottom w:val="single" w:sz="2" w:space="0" w:color="000000"/>
              <w:right w:val="single" w:sz="2" w:space="0" w:color="000000"/>
            </w:tcBorders>
            <w:vAlign w:val="center"/>
          </w:tcPr>
          <w:p w14:paraId="0510ED9A" w14:textId="04DBC4D4" w:rsidR="00907F15" w:rsidRPr="00364545" w:rsidRDefault="00907F15" w:rsidP="00907F15">
            <w:pPr>
              <w:spacing w:line="259" w:lineRule="auto"/>
              <w:ind w:left="14"/>
              <w:jc w:val="center"/>
              <w:rPr>
                <w:b/>
              </w:rPr>
            </w:pPr>
            <w:r>
              <w:rPr>
                <w:b/>
              </w:rPr>
              <w:t>460</w:t>
            </w:r>
          </w:p>
        </w:tc>
        <w:tc>
          <w:tcPr>
            <w:tcW w:w="724" w:type="dxa"/>
            <w:tcBorders>
              <w:top w:val="single" w:sz="2" w:space="0" w:color="000000"/>
              <w:left w:val="single" w:sz="2" w:space="0" w:color="000000"/>
              <w:bottom w:val="single" w:sz="2" w:space="0" w:color="000000"/>
              <w:right w:val="single" w:sz="2" w:space="0" w:color="000000"/>
            </w:tcBorders>
            <w:vAlign w:val="center"/>
          </w:tcPr>
          <w:p w14:paraId="7577D8ED" w14:textId="1A5713D0" w:rsidR="00907F15" w:rsidRPr="00364545" w:rsidRDefault="00907F15" w:rsidP="00907F15">
            <w:pPr>
              <w:spacing w:line="259" w:lineRule="auto"/>
              <w:ind w:left="14"/>
              <w:jc w:val="center"/>
              <w:rPr>
                <w:b/>
              </w:rPr>
            </w:pPr>
            <w:r>
              <w:rPr>
                <w:b/>
              </w:rPr>
              <w:t>463</w:t>
            </w:r>
          </w:p>
        </w:tc>
      </w:tr>
    </w:tbl>
    <w:p w14:paraId="0AB620C2" w14:textId="006E5A87" w:rsidR="00833524" w:rsidRPr="00364545" w:rsidRDefault="00833524" w:rsidP="00833524">
      <w:pPr>
        <w:pStyle w:val="Caption"/>
      </w:pPr>
      <w:r w:rsidRPr="00364545">
        <w:t xml:space="preserve">Table </w:t>
      </w:r>
      <w:fldSimple w:instr=" SEQ Tableau \* ARABIC ">
        <w:r w:rsidR="009A2FAA">
          <w:rPr>
            <w:noProof/>
          </w:rPr>
          <w:t>31</w:t>
        </w:r>
      </w:fldSimple>
      <w:r w:rsidRPr="00364545">
        <w:t>: SF</w:t>
      </w:r>
      <w:r w:rsidRPr="00364545">
        <w:rPr>
          <w:vertAlign w:val="subscript"/>
        </w:rPr>
        <w:t>6</w:t>
      </w:r>
      <w:r w:rsidRPr="00364545">
        <w:t xml:space="preserve"> emissions projections (in ktCO</w:t>
      </w:r>
      <w:r w:rsidRPr="00364545">
        <w:rPr>
          <w:vertAlign w:val="subscript"/>
        </w:rPr>
        <w:t>2e</w:t>
      </w:r>
      <w:r w:rsidRPr="00364545">
        <w:t>) in the Kyoto scope in the AMS 2018 scenario (with additional measures)</w:t>
      </w:r>
    </w:p>
    <w:p w14:paraId="0813692E" w14:textId="77777777" w:rsidR="00833524" w:rsidRPr="00364545" w:rsidRDefault="00833524" w:rsidP="00833524">
      <w:pPr>
        <w:pStyle w:val="Caption"/>
      </w:pPr>
      <w:r w:rsidRPr="00364545">
        <w:t>Source: UN</w:t>
      </w:r>
      <w:r>
        <w:t>FCCC inventory, Citepa/MTES, 2022</w:t>
      </w:r>
      <w:r w:rsidRPr="00364545">
        <w:t xml:space="preserve"> submission and MTES emission projections, 2018</w:t>
      </w:r>
    </w:p>
    <w:p w14:paraId="6BB6ADC0" w14:textId="77777777" w:rsidR="00833524" w:rsidRPr="00364545" w:rsidRDefault="00833524" w:rsidP="00833524">
      <w:pPr>
        <w:rPr>
          <w:sz w:val="18"/>
          <w:szCs w:val="18"/>
        </w:rPr>
      </w:pPr>
    </w:p>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554"/>
        <w:gridCol w:w="701"/>
        <w:gridCol w:w="703"/>
        <w:gridCol w:w="707"/>
        <w:gridCol w:w="707"/>
        <w:gridCol w:w="703"/>
        <w:gridCol w:w="702"/>
        <w:gridCol w:w="622"/>
        <w:gridCol w:w="707"/>
        <w:gridCol w:w="707"/>
        <w:gridCol w:w="707"/>
        <w:gridCol w:w="707"/>
        <w:gridCol w:w="707"/>
      </w:tblGrid>
      <w:tr w:rsidR="00833524" w:rsidRPr="00364545" w14:paraId="3D73DAF6" w14:textId="77777777" w:rsidTr="00E56269">
        <w:trPr>
          <w:trHeight w:val="401"/>
        </w:trPr>
        <w:tc>
          <w:tcPr>
            <w:tcW w:w="1554" w:type="dxa"/>
            <w:tcBorders>
              <w:top w:val="single" w:sz="2" w:space="0" w:color="000000"/>
              <w:left w:val="single" w:sz="2" w:space="0" w:color="000000"/>
              <w:bottom w:val="single" w:sz="2" w:space="0" w:color="000000"/>
              <w:right w:val="single" w:sz="2" w:space="0" w:color="000000"/>
            </w:tcBorders>
            <w:shd w:val="clear" w:color="auto" w:fill="6D2A78"/>
          </w:tcPr>
          <w:p w14:paraId="5A3486C0" w14:textId="77777777" w:rsidR="00833524" w:rsidRPr="00364545" w:rsidRDefault="00833524" w:rsidP="00E56269">
            <w:pPr>
              <w:spacing w:line="259" w:lineRule="auto"/>
            </w:pPr>
            <w:r>
              <w:t>AME</w:t>
            </w:r>
            <w:r w:rsidRPr="00364545">
              <w:t xml:space="preserve"> 18 </w:t>
            </w:r>
            <w:r w:rsidRPr="00C01073">
              <w:rPr>
                <w:szCs w:val="22"/>
              </w:rPr>
              <w:t xml:space="preserve">– </w:t>
            </w:r>
            <w:r w:rsidRPr="00634E4C">
              <w:t>NF3</w:t>
            </w:r>
          </w:p>
        </w:tc>
        <w:tc>
          <w:tcPr>
            <w:tcW w:w="701" w:type="dxa"/>
            <w:tcBorders>
              <w:top w:val="single" w:sz="2" w:space="0" w:color="000000"/>
              <w:left w:val="single" w:sz="2" w:space="0" w:color="000000"/>
              <w:bottom w:val="single" w:sz="2" w:space="0" w:color="000000"/>
              <w:right w:val="single" w:sz="2" w:space="0" w:color="000000"/>
            </w:tcBorders>
            <w:shd w:val="clear" w:color="auto" w:fill="6D2A78"/>
          </w:tcPr>
          <w:p w14:paraId="2C225216" w14:textId="77777777" w:rsidR="00833524" w:rsidRPr="00364545" w:rsidRDefault="00833524" w:rsidP="00E56269">
            <w:pPr>
              <w:spacing w:line="259" w:lineRule="auto"/>
              <w:ind w:left="19"/>
              <w:jc w:val="center"/>
            </w:pPr>
            <w:r w:rsidRPr="00364545">
              <w:rPr>
                <w:b/>
                <w:color w:val="FFFFFF"/>
                <w:sz w:val="18"/>
              </w:rPr>
              <w:t xml:space="preserve">1990 </w:t>
            </w:r>
          </w:p>
        </w:tc>
        <w:tc>
          <w:tcPr>
            <w:tcW w:w="703" w:type="dxa"/>
            <w:tcBorders>
              <w:top w:val="single" w:sz="2" w:space="0" w:color="000000"/>
              <w:left w:val="single" w:sz="2" w:space="0" w:color="000000"/>
              <w:bottom w:val="single" w:sz="2" w:space="0" w:color="000000"/>
              <w:right w:val="single" w:sz="2" w:space="0" w:color="000000"/>
            </w:tcBorders>
            <w:shd w:val="clear" w:color="auto" w:fill="6D2A78"/>
          </w:tcPr>
          <w:p w14:paraId="3BB3E3C5" w14:textId="77777777" w:rsidR="00833524" w:rsidRPr="00364545" w:rsidRDefault="00833524" w:rsidP="00E56269">
            <w:pPr>
              <w:spacing w:line="259" w:lineRule="auto"/>
              <w:ind w:left="21"/>
              <w:jc w:val="center"/>
              <w:rPr>
                <w:b/>
                <w:color w:val="FFFFFF"/>
                <w:sz w:val="18"/>
              </w:rPr>
            </w:pPr>
            <w:r w:rsidRPr="00364545">
              <w:rPr>
                <w:b/>
                <w:color w:val="FFFFFF"/>
                <w:sz w:val="18"/>
              </w:rPr>
              <w:t>1995</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7F35C4DE" w14:textId="77777777" w:rsidR="00833524" w:rsidRPr="00364545" w:rsidRDefault="00833524" w:rsidP="00E56269">
            <w:pPr>
              <w:spacing w:line="259" w:lineRule="auto"/>
              <w:ind w:left="21"/>
              <w:jc w:val="center"/>
            </w:pPr>
            <w:r w:rsidRPr="00364545">
              <w:rPr>
                <w:b/>
                <w:color w:val="FFFFFF"/>
                <w:sz w:val="18"/>
              </w:rPr>
              <w:t xml:space="preserve">2000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4CCE83B7" w14:textId="77777777" w:rsidR="00833524" w:rsidRPr="00364545" w:rsidRDefault="00833524" w:rsidP="00E56269">
            <w:pPr>
              <w:spacing w:line="259" w:lineRule="auto"/>
              <w:ind w:left="19"/>
              <w:jc w:val="center"/>
            </w:pPr>
            <w:r w:rsidRPr="00364545">
              <w:rPr>
                <w:b/>
                <w:color w:val="FFFFFF"/>
                <w:sz w:val="18"/>
              </w:rPr>
              <w:t xml:space="preserve">2005 </w:t>
            </w:r>
          </w:p>
        </w:tc>
        <w:tc>
          <w:tcPr>
            <w:tcW w:w="703" w:type="dxa"/>
            <w:tcBorders>
              <w:top w:val="single" w:sz="2" w:space="0" w:color="000000"/>
              <w:left w:val="single" w:sz="2" w:space="0" w:color="000000"/>
              <w:bottom w:val="single" w:sz="2" w:space="0" w:color="000000"/>
              <w:right w:val="single" w:sz="2" w:space="0" w:color="000000"/>
            </w:tcBorders>
            <w:shd w:val="clear" w:color="auto" w:fill="6D2A78"/>
          </w:tcPr>
          <w:p w14:paraId="299FE21E" w14:textId="77777777" w:rsidR="00833524" w:rsidRPr="00364545" w:rsidRDefault="00833524" w:rsidP="00E56269">
            <w:pPr>
              <w:spacing w:line="259" w:lineRule="auto"/>
              <w:ind w:left="21"/>
              <w:jc w:val="center"/>
            </w:pPr>
            <w:r w:rsidRPr="00364545">
              <w:rPr>
                <w:b/>
                <w:color w:val="FFFFFF"/>
                <w:sz w:val="18"/>
              </w:rPr>
              <w:t xml:space="preserve">2010 </w:t>
            </w:r>
          </w:p>
        </w:tc>
        <w:tc>
          <w:tcPr>
            <w:tcW w:w="702" w:type="dxa"/>
            <w:tcBorders>
              <w:top w:val="single" w:sz="2" w:space="0" w:color="000000"/>
              <w:left w:val="single" w:sz="2" w:space="0" w:color="000000"/>
              <w:bottom w:val="single" w:sz="2" w:space="0" w:color="000000"/>
              <w:right w:val="single" w:sz="2" w:space="0" w:color="000000"/>
            </w:tcBorders>
            <w:shd w:val="clear" w:color="auto" w:fill="6D2A78"/>
          </w:tcPr>
          <w:p w14:paraId="75B25C2E" w14:textId="77777777" w:rsidR="00833524" w:rsidRPr="00364545" w:rsidRDefault="00833524" w:rsidP="00E56269">
            <w:pPr>
              <w:spacing w:line="259" w:lineRule="auto"/>
              <w:ind w:left="19"/>
              <w:jc w:val="center"/>
            </w:pPr>
            <w:r w:rsidRPr="00364545">
              <w:rPr>
                <w:b/>
                <w:color w:val="FFFFFF"/>
                <w:sz w:val="18"/>
              </w:rPr>
              <w:t xml:space="preserve">2015 </w:t>
            </w:r>
          </w:p>
        </w:tc>
        <w:tc>
          <w:tcPr>
            <w:tcW w:w="622" w:type="dxa"/>
            <w:tcBorders>
              <w:top w:val="single" w:sz="2" w:space="0" w:color="000000"/>
              <w:left w:val="single" w:sz="2" w:space="0" w:color="000000"/>
              <w:bottom w:val="single" w:sz="2" w:space="0" w:color="000000"/>
              <w:right w:val="single" w:sz="2" w:space="0" w:color="000000"/>
            </w:tcBorders>
            <w:shd w:val="clear" w:color="auto" w:fill="6D2A78"/>
          </w:tcPr>
          <w:p w14:paraId="56875542" w14:textId="77777777" w:rsidR="00833524" w:rsidRPr="00364545" w:rsidRDefault="00833524" w:rsidP="00E56269">
            <w:pPr>
              <w:spacing w:line="259" w:lineRule="auto"/>
              <w:ind w:left="21"/>
              <w:jc w:val="center"/>
              <w:rPr>
                <w:b/>
                <w:color w:val="FFFFFF"/>
                <w:sz w:val="18"/>
              </w:rPr>
            </w:pPr>
            <w:r>
              <w:rPr>
                <w:b/>
                <w:color w:val="FFFFFF"/>
                <w:sz w:val="18"/>
              </w:rPr>
              <w:t>2019</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20DEAB42" w14:textId="77777777" w:rsidR="00833524" w:rsidRPr="00364545" w:rsidRDefault="00833524" w:rsidP="00E56269">
            <w:pPr>
              <w:spacing w:line="259" w:lineRule="auto"/>
              <w:ind w:left="21"/>
              <w:jc w:val="center"/>
            </w:pPr>
            <w:r w:rsidRPr="00364545">
              <w:rPr>
                <w:b/>
                <w:color w:val="FFFFFF"/>
                <w:sz w:val="18"/>
              </w:rPr>
              <w:t xml:space="preserve">2020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195CB422" w14:textId="77777777" w:rsidR="00833524" w:rsidRPr="00364545" w:rsidRDefault="00833524" w:rsidP="00E56269">
            <w:pPr>
              <w:spacing w:line="259" w:lineRule="auto"/>
              <w:ind w:left="19"/>
              <w:jc w:val="center"/>
            </w:pPr>
            <w:r w:rsidRPr="00364545">
              <w:rPr>
                <w:b/>
                <w:color w:val="FFFFFF"/>
                <w:sz w:val="18"/>
              </w:rPr>
              <w:t xml:space="preserve">2025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147735D3" w14:textId="77777777" w:rsidR="00833524" w:rsidRPr="00364545" w:rsidRDefault="00833524" w:rsidP="00E56269">
            <w:pPr>
              <w:spacing w:line="259" w:lineRule="auto"/>
              <w:ind w:left="21"/>
              <w:jc w:val="center"/>
            </w:pPr>
            <w:r w:rsidRPr="00364545">
              <w:rPr>
                <w:b/>
                <w:color w:val="FFFFFF"/>
                <w:sz w:val="18"/>
              </w:rPr>
              <w:t xml:space="preserve">2030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3C589F58" w14:textId="77777777" w:rsidR="00833524" w:rsidRPr="00364545" w:rsidRDefault="00833524" w:rsidP="00E56269">
            <w:pPr>
              <w:spacing w:line="259" w:lineRule="auto"/>
              <w:ind w:left="20"/>
              <w:jc w:val="center"/>
            </w:pPr>
            <w:r w:rsidRPr="00364545">
              <w:rPr>
                <w:b/>
                <w:color w:val="FFFFFF"/>
                <w:sz w:val="18"/>
              </w:rPr>
              <w:t xml:space="preserve">2035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2EE5B595" w14:textId="77777777" w:rsidR="00833524" w:rsidRPr="00364545" w:rsidRDefault="00833524" w:rsidP="00E56269">
            <w:pPr>
              <w:spacing w:line="259" w:lineRule="auto"/>
              <w:ind w:left="20"/>
              <w:jc w:val="center"/>
              <w:rPr>
                <w:b/>
                <w:color w:val="FFFFFF"/>
                <w:sz w:val="18"/>
              </w:rPr>
            </w:pPr>
            <w:r w:rsidRPr="00364545">
              <w:rPr>
                <w:b/>
                <w:color w:val="FFFFFF"/>
                <w:sz w:val="18"/>
              </w:rPr>
              <w:t>2050</w:t>
            </w:r>
          </w:p>
        </w:tc>
      </w:tr>
      <w:tr w:rsidR="00833524" w:rsidRPr="00364545" w14:paraId="09580FBF" w14:textId="77777777" w:rsidTr="00E56269">
        <w:trPr>
          <w:trHeight w:val="347"/>
        </w:trPr>
        <w:tc>
          <w:tcPr>
            <w:tcW w:w="1554" w:type="dxa"/>
            <w:tcBorders>
              <w:top w:val="single" w:sz="2" w:space="0" w:color="000000"/>
              <w:left w:val="single" w:sz="2" w:space="0" w:color="000000"/>
              <w:bottom w:val="single" w:sz="2" w:space="0" w:color="000000"/>
              <w:right w:val="single" w:sz="2" w:space="0" w:color="000000"/>
            </w:tcBorders>
          </w:tcPr>
          <w:p w14:paraId="20A3F44C" w14:textId="77777777" w:rsidR="00833524" w:rsidRPr="00364545" w:rsidRDefault="00833524" w:rsidP="00E56269">
            <w:pPr>
              <w:spacing w:line="259" w:lineRule="auto"/>
            </w:pPr>
            <w:r w:rsidRPr="00364545">
              <w:rPr>
                <w:sz w:val="18"/>
              </w:rPr>
              <w:t xml:space="preserve">Energy </w:t>
            </w:r>
          </w:p>
        </w:tc>
        <w:tc>
          <w:tcPr>
            <w:tcW w:w="701" w:type="dxa"/>
            <w:tcBorders>
              <w:top w:val="single" w:sz="2" w:space="0" w:color="000000"/>
              <w:left w:val="single" w:sz="2" w:space="0" w:color="000000"/>
              <w:bottom w:val="single" w:sz="2" w:space="0" w:color="000000"/>
              <w:right w:val="single" w:sz="2" w:space="0" w:color="000000"/>
            </w:tcBorders>
            <w:vAlign w:val="center"/>
          </w:tcPr>
          <w:p w14:paraId="4CDFD4C9"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41F3004E"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225F8FA6"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7168894"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46827539"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702" w:type="dxa"/>
            <w:tcBorders>
              <w:top w:val="single" w:sz="2" w:space="0" w:color="000000"/>
              <w:left w:val="single" w:sz="2" w:space="0" w:color="000000"/>
              <w:bottom w:val="single" w:sz="2" w:space="0" w:color="000000"/>
              <w:right w:val="single" w:sz="2" w:space="0" w:color="000000"/>
            </w:tcBorders>
            <w:vAlign w:val="center"/>
          </w:tcPr>
          <w:p w14:paraId="15D7F549"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18E9A260"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560700D5"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65B7E1EA"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5A62B57C"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17D929F8"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012BD35C" w14:textId="77777777" w:rsidR="00833524" w:rsidRPr="00364545" w:rsidRDefault="00833524" w:rsidP="00E56269">
            <w:pPr>
              <w:spacing w:line="259" w:lineRule="auto"/>
              <w:ind w:left="19"/>
              <w:jc w:val="center"/>
            </w:pPr>
            <w:r w:rsidRPr="00364545">
              <w:t>0</w:t>
            </w:r>
          </w:p>
        </w:tc>
      </w:tr>
      <w:tr w:rsidR="00833524" w:rsidRPr="00364545" w14:paraId="40DDFA58" w14:textId="77777777" w:rsidTr="00E56269">
        <w:trPr>
          <w:trHeight w:val="416"/>
        </w:trPr>
        <w:tc>
          <w:tcPr>
            <w:tcW w:w="1554" w:type="dxa"/>
            <w:tcBorders>
              <w:top w:val="single" w:sz="2" w:space="0" w:color="000000"/>
              <w:left w:val="single" w:sz="2" w:space="0" w:color="000000"/>
              <w:bottom w:val="single" w:sz="2" w:space="0" w:color="000000"/>
              <w:right w:val="single" w:sz="2" w:space="0" w:color="000000"/>
            </w:tcBorders>
            <w:shd w:val="clear" w:color="auto" w:fill="ECE6E2"/>
          </w:tcPr>
          <w:p w14:paraId="1260C305" w14:textId="77777777" w:rsidR="00833524" w:rsidRPr="00364545" w:rsidRDefault="00833524" w:rsidP="00E56269">
            <w:pPr>
              <w:spacing w:line="259" w:lineRule="auto"/>
            </w:pPr>
            <w:r w:rsidRPr="00364545">
              <w:rPr>
                <w:sz w:val="18"/>
              </w:rPr>
              <w:t xml:space="preserve">Industrial processes, solvents and other products </w:t>
            </w:r>
          </w:p>
        </w:tc>
        <w:tc>
          <w:tcPr>
            <w:tcW w:w="70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265160" w14:textId="77777777" w:rsidR="00833524" w:rsidRPr="00364545" w:rsidRDefault="00833524" w:rsidP="00E56269">
            <w:pPr>
              <w:spacing w:line="259" w:lineRule="auto"/>
              <w:ind w:left="19"/>
              <w:jc w:val="center"/>
            </w:pPr>
            <w:r w:rsidRPr="00634E4C">
              <w:rPr>
                <w:rFonts w:asciiTheme="majorHAnsi" w:hAnsiTheme="majorHAnsi"/>
                <w:sz w:val="18"/>
              </w:rPr>
              <w:t>16</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A0C94B2" w14:textId="77777777" w:rsidR="00833524" w:rsidRPr="00364545" w:rsidRDefault="00833524" w:rsidP="00E56269">
            <w:pPr>
              <w:spacing w:line="259" w:lineRule="auto"/>
              <w:ind w:left="19"/>
              <w:jc w:val="center"/>
            </w:pPr>
            <w:r w:rsidRPr="00634E4C">
              <w:rPr>
                <w:rFonts w:asciiTheme="majorHAnsi" w:hAnsiTheme="majorHAnsi"/>
                <w:sz w:val="18"/>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B1576D" w14:textId="77777777" w:rsidR="00833524" w:rsidRPr="00364545" w:rsidRDefault="00833524" w:rsidP="00E56269">
            <w:pPr>
              <w:spacing w:line="259" w:lineRule="auto"/>
              <w:ind w:left="19"/>
              <w:jc w:val="center"/>
            </w:pPr>
            <w:r w:rsidRPr="00634E4C">
              <w:rPr>
                <w:rFonts w:asciiTheme="majorHAnsi" w:hAnsiTheme="majorHAnsi"/>
                <w:sz w:val="18"/>
              </w:rPr>
              <w:t>20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73E231" w14:textId="77777777" w:rsidR="00833524" w:rsidRPr="00364545" w:rsidRDefault="00833524" w:rsidP="00E56269">
            <w:pPr>
              <w:spacing w:line="259" w:lineRule="auto"/>
              <w:ind w:left="19"/>
              <w:jc w:val="center"/>
            </w:pPr>
            <w:r w:rsidRPr="00634E4C">
              <w:rPr>
                <w:rFonts w:asciiTheme="majorHAnsi" w:hAnsiTheme="majorHAnsi"/>
                <w:sz w:val="18"/>
              </w:rPr>
              <w:t>31</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B9335D" w14:textId="77777777" w:rsidR="00833524" w:rsidRPr="00364545" w:rsidRDefault="00833524" w:rsidP="00E56269">
            <w:pPr>
              <w:spacing w:line="259" w:lineRule="auto"/>
              <w:ind w:left="19"/>
              <w:jc w:val="center"/>
            </w:pPr>
            <w:r w:rsidRPr="00634E4C">
              <w:rPr>
                <w:rFonts w:asciiTheme="majorHAnsi" w:hAnsiTheme="majorHAnsi"/>
                <w:sz w:val="18"/>
              </w:rPr>
              <w:t>32</w:t>
            </w:r>
          </w:p>
        </w:tc>
        <w:tc>
          <w:tcPr>
            <w:tcW w:w="70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CF44E26" w14:textId="77777777" w:rsidR="00833524" w:rsidRPr="00364545" w:rsidRDefault="00833524" w:rsidP="00E56269">
            <w:pPr>
              <w:spacing w:line="259" w:lineRule="auto"/>
              <w:ind w:left="19"/>
              <w:jc w:val="center"/>
            </w:pPr>
            <w:r w:rsidRPr="00634E4C">
              <w:rPr>
                <w:rFonts w:asciiTheme="majorHAnsi" w:hAnsiTheme="majorHAnsi"/>
                <w:sz w:val="18"/>
              </w:rPr>
              <w:t>6</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670010" w14:textId="77777777" w:rsidR="00833524" w:rsidRPr="00364545" w:rsidRDefault="00833524" w:rsidP="00E56269">
            <w:pPr>
              <w:spacing w:line="259" w:lineRule="auto"/>
              <w:ind w:left="19"/>
              <w:jc w:val="center"/>
            </w:pPr>
            <w:r w:rsidRPr="005D0955">
              <w:rPr>
                <w:rFonts w:asciiTheme="majorHAnsi" w:hAnsiTheme="majorHAnsi"/>
                <w:sz w:val="18"/>
                <w:szCs w:val="18"/>
              </w:rPr>
              <w:t>10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7A542E" w14:textId="77777777" w:rsidR="00833524" w:rsidRPr="00364545" w:rsidRDefault="00833524" w:rsidP="00E56269">
            <w:pPr>
              <w:spacing w:line="259" w:lineRule="auto"/>
              <w:ind w:left="19"/>
              <w:jc w:val="center"/>
            </w:pPr>
            <w:r w:rsidRPr="00364545">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FC57FA" w14:textId="77777777" w:rsidR="00833524" w:rsidRPr="00364545" w:rsidRDefault="00833524" w:rsidP="00E56269">
            <w:pPr>
              <w:spacing w:line="259" w:lineRule="auto"/>
              <w:ind w:left="19"/>
              <w:jc w:val="center"/>
            </w:pPr>
            <w:r w:rsidRPr="00364545">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C807E8" w14:textId="77777777" w:rsidR="00833524" w:rsidRPr="00364545" w:rsidRDefault="00833524" w:rsidP="00E56269">
            <w:pPr>
              <w:spacing w:line="259" w:lineRule="auto"/>
              <w:ind w:left="19"/>
              <w:jc w:val="center"/>
            </w:pPr>
            <w:r w:rsidRPr="00364545">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FE43350" w14:textId="77777777" w:rsidR="00833524" w:rsidRPr="00364545" w:rsidRDefault="00833524" w:rsidP="00E56269">
            <w:pPr>
              <w:spacing w:line="259" w:lineRule="auto"/>
              <w:ind w:left="19"/>
              <w:jc w:val="center"/>
            </w:pPr>
            <w:r w:rsidRPr="00364545">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914A58" w14:textId="77777777" w:rsidR="00833524" w:rsidRPr="00364545" w:rsidRDefault="00833524" w:rsidP="00E56269">
            <w:pPr>
              <w:spacing w:line="259" w:lineRule="auto"/>
              <w:ind w:left="19"/>
              <w:jc w:val="center"/>
            </w:pPr>
            <w:r w:rsidRPr="00364545">
              <w:t>6</w:t>
            </w:r>
          </w:p>
        </w:tc>
      </w:tr>
      <w:tr w:rsidR="00833524" w:rsidRPr="00364545" w14:paraId="3684CCBF" w14:textId="77777777" w:rsidTr="00E56269">
        <w:trPr>
          <w:trHeight w:val="347"/>
        </w:trPr>
        <w:tc>
          <w:tcPr>
            <w:tcW w:w="1554" w:type="dxa"/>
            <w:tcBorders>
              <w:top w:val="single" w:sz="2" w:space="0" w:color="000000"/>
              <w:left w:val="single" w:sz="2" w:space="0" w:color="000000"/>
              <w:bottom w:val="single" w:sz="2" w:space="0" w:color="000000"/>
              <w:right w:val="single" w:sz="2" w:space="0" w:color="000000"/>
            </w:tcBorders>
          </w:tcPr>
          <w:p w14:paraId="1ED9DCC9" w14:textId="77777777" w:rsidR="00833524" w:rsidRPr="00364545" w:rsidRDefault="00833524" w:rsidP="00E56269">
            <w:pPr>
              <w:spacing w:line="259" w:lineRule="auto"/>
            </w:pPr>
            <w:r w:rsidRPr="00364545">
              <w:rPr>
                <w:sz w:val="18"/>
              </w:rPr>
              <w:t xml:space="preserve">Agriculture (excluding energy) </w:t>
            </w:r>
          </w:p>
        </w:tc>
        <w:tc>
          <w:tcPr>
            <w:tcW w:w="701" w:type="dxa"/>
            <w:tcBorders>
              <w:top w:val="single" w:sz="2" w:space="0" w:color="000000"/>
              <w:left w:val="single" w:sz="2" w:space="0" w:color="000000"/>
              <w:bottom w:val="single" w:sz="2" w:space="0" w:color="000000"/>
              <w:right w:val="single" w:sz="2" w:space="0" w:color="000000"/>
            </w:tcBorders>
            <w:vAlign w:val="center"/>
          </w:tcPr>
          <w:p w14:paraId="26F7C431"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0A2E55FC"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2EA55148"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172BFB7E"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0D5BDD6E"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2" w:type="dxa"/>
            <w:tcBorders>
              <w:top w:val="single" w:sz="2" w:space="0" w:color="000000"/>
              <w:left w:val="single" w:sz="2" w:space="0" w:color="000000"/>
              <w:bottom w:val="single" w:sz="2" w:space="0" w:color="000000"/>
              <w:right w:val="single" w:sz="2" w:space="0" w:color="000000"/>
            </w:tcBorders>
            <w:vAlign w:val="center"/>
          </w:tcPr>
          <w:p w14:paraId="184A7179"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7AEFDE62"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5F3354FA"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F4FF2EE"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92774D2"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09B96666"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2899FCD2" w14:textId="77777777" w:rsidR="00833524" w:rsidRPr="00364545" w:rsidRDefault="00833524" w:rsidP="00E56269">
            <w:pPr>
              <w:spacing w:line="259" w:lineRule="auto"/>
              <w:ind w:left="19"/>
              <w:jc w:val="center"/>
            </w:pPr>
            <w:r w:rsidRPr="00364545">
              <w:t>0</w:t>
            </w:r>
          </w:p>
        </w:tc>
      </w:tr>
      <w:tr w:rsidR="00833524" w:rsidRPr="00364545" w14:paraId="4EF81647" w14:textId="77777777" w:rsidTr="00E56269">
        <w:trPr>
          <w:trHeight w:val="344"/>
        </w:trPr>
        <w:tc>
          <w:tcPr>
            <w:tcW w:w="1554" w:type="dxa"/>
            <w:tcBorders>
              <w:top w:val="single" w:sz="2" w:space="0" w:color="000000"/>
              <w:left w:val="single" w:sz="2" w:space="0" w:color="000000"/>
              <w:bottom w:val="single" w:sz="2" w:space="0" w:color="000000"/>
              <w:right w:val="single" w:sz="2" w:space="0" w:color="000000"/>
            </w:tcBorders>
            <w:shd w:val="clear" w:color="auto" w:fill="ECE6E2"/>
          </w:tcPr>
          <w:p w14:paraId="1FAF87AB" w14:textId="77777777" w:rsidR="00833524" w:rsidRPr="00364545" w:rsidRDefault="00833524" w:rsidP="00E56269">
            <w:pPr>
              <w:spacing w:line="259" w:lineRule="auto"/>
            </w:pPr>
            <w:r w:rsidRPr="00364545">
              <w:rPr>
                <w:sz w:val="18"/>
              </w:rPr>
              <w:t xml:space="preserve">LULUCF </w:t>
            </w:r>
          </w:p>
        </w:tc>
        <w:tc>
          <w:tcPr>
            <w:tcW w:w="70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BF45B27"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59AB34"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09C109"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3F3343"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9E65A4"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ADF5F5"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AC18660"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D4D10ED"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8F3E45"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254C5BE"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32DA59"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EEF5761" w14:textId="77777777" w:rsidR="00833524" w:rsidRPr="00364545" w:rsidRDefault="00833524" w:rsidP="00E56269">
            <w:pPr>
              <w:spacing w:line="259" w:lineRule="auto"/>
              <w:ind w:left="19"/>
              <w:jc w:val="center"/>
            </w:pPr>
            <w:r w:rsidRPr="00364545">
              <w:t>0</w:t>
            </w:r>
          </w:p>
        </w:tc>
      </w:tr>
      <w:tr w:rsidR="00833524" w:rsidRPr="00364545" w14:paraId="1B7E8CE4" w14:textId="77777777" w:rsidTr="00E56269">
        <w:trPr>
          <w:trHeight w:val="346"/>
        </w:trPr>
        <w:tc>
          <w:tcPr>
            <w:tcW w:w="1554" w:type="dxa"/>
            <w:tcBorders>
              <w:top w:val="single" w:sz="2" w:space="0" w:color="000000"/>
              <w:left w:val="single" w:sz="2" w:space="0" w:color="000000"/>
              <w:bottom w:val="single" w:sz="2" w:space="0" w:color="000000"/>
              <w:right w:val="single" w:sz="2" w:space="0" w:color="000000"/>
            </w:tcBorders>
          </w:tcPr>
          <w:p w14:paraId="1E7B8D2B" w14:textId="77777777" w:rsidR="00833524" w:rsidRPr="00364545" w:rsidRDefault="00833524" w:rsidP="00E56269">
            <w:pPr>
              <w:spacing w:line="259" w:lineRule="auto"/>
            </w:pPr>
            <w:r w:rsidRPr="00364545">
              <w:rPr>
                <w:sz w:val="18"/>
              </w:rPr>
              <w:t xml:space="preserve">Waste </w:t>
            </w:r>
          </w:p>
        </w:tc>
        <w:tc>
          <w:tcPr>
            <w:tcW w:w="701" w:type="dxa"/>
            <w:tcBorders>
              <w:top w:val="single" w:sz="2" w:space="0" w:color="000000"/>
              <w:left w:val="single" w:sz="2" w:space="0" w:color="000000"/>
              <w:bottom w:val="single" w:sz="2" w:space="0" w:color="000000"/>
              <w:right w:val="single" w:sz="2" w:space="0" w:color="000000"/>
            </w:tcBorders>
            <w:vAlign w:val="center"/>
          </w:tcPr>
          <w:p w14:paraId="04E36944" w14:textId="77777777" w:rsidR="00833524" w:rsidRPr="00364545" w:rsidRDefault="00833524" w:rsidP="00E56269">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234A037D"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69748536"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3627484D"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1C0D8A17"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2" w:type="dxa"/>
            <w:tcBorders>
              <w:top w:val="single" w:sz="2" w:space="0" w:color="000000"/>
              <w:left w:val="single" w:sz="2" w:space="0" w:color="000000"/>
              <w:bottom w:val="single" w:sz="2" w:space="0" w:color="000000"/>
              <w:right w:val="single" w:sz="2" w:space="0" w:color="000000"/>
            </w:tcBorders>
            <w:vAlign w:val="center"/>
          </w:tcPr>
          <w:p w14:paraId="4E775F35"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548C5FB3" w14:textId="77777777" w:rsidR="00833524" w:rsidRPr="00364545" w:rsidRDefault="00833524" w:rsidP="00E56269">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28404200"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430CA06"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1EC321B9"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3EF16C02" w14:textId="77777777" w:rsidR="00833524" w:rsidRPr="00364545" w:rsidRDefault="00833524" w:rsidP="00E56269">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EC94C3D" w14:textId="77777777" w:rsidR="00833524" w:rsidRPr="00364545" w:rsidRDefault="00833524" w:rsidP="00E56269">
            <w:pPr>
              <w:spacing w:line="259" w:lineRule="auto"/>
              <w:ind w:left="19"/>
              <w:jc w:val="center"/>
            </w:pPr>
            <w:r w:rsidRPr="00364545">
              <w:t>0</w:t>
            </w:r>
          </w:p>
        </w:tc>
      </w:tr>
      <w:tr w:rsidR="00833524" w:rsidRPr="00364545" w14:paraId="1181B6C6" w14:textId="77777777" w:rsidTr="00E56269">
        <w:trPr>
          <w:trHeight w:val="343"/>
        </w:trPr>
        <w:tc>
          <w:tcPr>
            <w:tcW w:w="1554" w:type="dxa"/>
            <w:tcBorders>
              <w:top w:val="single" w:sz="2" w:space="0" w:color="000000"/>
              <w:left w:val="single" w:sz="2" w:space="0" w:color="000000"/>
              <w:bottom w:val="single" w:sz="2" w:space="0" w:color="000000"/>
              <w:right w:val="single" w:sz="2" w:space="0" w:color="000000"/>
            </w:tcBorders>
            <w:shd w:val="clear" w:color="auto" w:fill="ECE6E2"/>
          </w:tcPr>
          <w:p w14:paraId="60EFBA4D" w14:textId="77777777" w:rsidR="00833524" w:rsidRPr="00364545" w:rsidRDefault="00833524" w:rsidP="00E56269">
            <w:pPr>
              <w:spacing w:line="259" w:lineRule="auto"/>
            </w:pPr>
            <w:r w:rsidRPr="00364545">
              <w:rPr>
                <w:b/>
                <w:sz w:val="18"/>
              </w:rPr>
              <w:t xml:space="preserve">Ensemble (hors UTCF) </w:t>
            </w:r>
          </w:p>
        </w:tc>
        <w:tc>
          <w:tcPr>
            <w:tcW w:w="70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CB1401" w14:textId="77777777" w:rsidR="00833524" w:rsidRPr="00364545" w:rsidRDefault="00833524" w:rsidP="00E56269">
            <w:pPr>
              <w:spacing w:line="259" w:lineRule="auto"/>
              <w:ind w:left="19"/>
              <w:jc w:val="center"/>
              <w:rPr>
                <w:b/>
              </w:rPr>
            </w:pPr>
            <w:r w:rsidRPr="00634E4C">
              <w:rPr>
                <w:rFonts w:asciiTheme="majorHAnsi" w:hAnsiTheme="majorHAnsi"/>
                <w:sz w:val="18"/>
              </w:rPr>
              <w:t>16</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4CB6A1D" w14:textId="77777777" w:rsidR="00833524" w:rsidRPr="00364545" w:rsidRDefault="00833524" w:rsidP="00E56269">
            <w:pPr>
              <w:spacing w:line="259" w:lineRule="auto"/>
              <w:ind w:left="19"/>
              <w:jc w:val="center"/>
              <w:rPr>
                <w:b/>
              </w:rPr>
            </w:pPr>
            <w:r w:rsidRPr="00634E4C">
              <w:rPr>
                <w:rFonts w:asciiTheme="majorHAnsi" w:hAnsiTheme="majorHAnsi"/>
                <w:sz w:val="18"/>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AB2CF20" w14:textId="77777777" w:rsidR="00833524" w:rsidRPr="00364545" w:rsidRDefault="00833524" w:rsidP="00E56269">
            <w:pPr>
              <w:spacing w:line="259" w:lineRule="auto"/>
              <w:ind w:left="19"/>
              <w:jc w:val="center"/>
              <w:rPr>
                <w:b/>
              </w:rPr>
            </w:pPr>
            <w:r w:rsidRPr="00634E4C">
              <w:rPr>
                <w:rFonts w:asciiTheme="majorHAnsi" w:hAnsiTheme="majorHAnsi"/>
                <w:sz w:val="18"/>
              </w:rPr>
              <w:t>20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C0CA60" w14:textId="77777777" w:rsidR="00833524" w:rsidRPr="00364545" w:rsidRDefault="00833524" w:rsidP="00E56269">
            <w:pPr>
              <w:spacing w:line="259" w:lineRule="auto"/>
              <w:ind w:left="19"/>
              <w:jc w:val="center"/>
              <w:rPr>
                <w:b/>
              </w:rPr>
            </w:pPr>
            <w:r w:rsidRPr="00634E4C">
              <w:rPr>
                <w:rFonts w:asciiTheme="majorHAnsi" w:hAnsiTheme="majorHAnsi"/>
                <w:sz w:val="18"/>
              </w:rPr>
              <w:t>31</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20B738" w14:textId="77777777" w:rsidR="00833524" w:rsidRPr="00364545" w:rsidRDefault="00833524" w:rsidP="00E56269">
            <w:pPr>
              <w:spacing w:line="259" w:lineRule="auto"/>
              <w:ind w:left="19"/>
              <w:jc w:val="center"/>
              <w:rPr>
                <w:b/>
              </w:rPr>
            </w:pPr>
            <w:r w:rsidRPr="00634E4C">
              <w:rPr>
                <w:rFonts w:asciiTheme="majorHAnsi" w:hAnsiTheme="majorHAnsi"/>
                <w:sz w:val="18"/>
              </w:rPr>
              <w:t>32</w:t>
            </w:r>
          </w:p>
        </w:tc>
        <w:tc>
          <w:tcPr>
            <w:tcW w:w="70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219A03" w14:textId="77777777" w:rsidR="00833524" w:rsidRPr="00364545" w:rsidRDefault="00833524" w:rsidP="00E56269">
            <w:pPr>
              <w:spacing w:line="259" w:lineRule="auto"/>
              <w:ind w:left="19"/>
              <w:jc w:val="center"/>
              <w:rPr>
                <w:b/>
              </w:rPr>
            </w:pPr>
            <w:r w:rsidRPr="00634E4C">
              <w:rPr>
                <w:rFonts w:asciiTheme="majorHAnsi" w:hAnsiTheme="majorHAnsi"/>
                <w:sz w:val="18"/>
              </w:rPr>
              <w:t>6</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D1E478B" w14:textId="77777777" w:rsidR="00833524" w:rsidRPr="00364545" w:rsidRDefault="00833524" w:rsidP="00E56269">
            <w:pPr>
              <w:spacing w:line="259" w:lineRule="auto"/>
              <w:ind w:left="19"/>
              <w:jc w:val="center"/>
              <w:rPr>
                <w:b/>
              </w:rPr>
            </w:pPr>
            <w:r w:rsidRPr="005D0955">
              <w:rPr>
                <w:rFonts w:asciiTheme="majorHAnsi" w:hAnsiTheme="majorHAnsi"/>
                <w:sz w:val="18"/>
                <w:szCs w:val="18"/>
              </w:rPr>
              <w:t>10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AB9343" w14:textId="77777777" w:rsidR="00833524" w:rsidRPr="00364545" w:rsidRDefault="00833524" w:rsidP="00E56269">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A3D3D3D" w14:textId="77777777" w:rsidR="00833524" w:rsidRPr="00364545" w:rsidRDefault="00833524" w:rsidP="00E56269">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634D71" w14:textId="77777777" w:rsidR="00833524" w:rsidRPr="00364545" w:rsidRDefault="00833524" w:rsidP="00E56269">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9E9A53" w14:textId="77777777" w:rsidR="00833524" w:rsidRPr="00364545" w:rsidRDefault="00833524" w:rsidP="00E56269">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5935DC8" w14:textId="77777777" w:rsidR="00833524" w:rsidRPr="00364545" w:rsidRDefault="00833524" w:rsidP="00E56269">
            <w:pPr>
              <w:spacing w:line="259" w:lineRule="auto"/>
              <w:ind w:left="19"/>
              <w:jc w:val="center"/>
              <w:rPr>
                <w:b/>
              </w:rPr>
            </w:pPr>
            <w:r w:rsidRPr="00364545">
              <w:rPr>
                <w:b/>
              </w:rPr>
              <w:t>6</w:t>
            </w:r>
          </w:p>
        </w:tc>
      </w:tr>
      <w:tr w:rsidR="00833524" w:rsidRPr="00364545" w14:paraId="1007D185" w14:textId="77777777" w:rsidTr="00E56269">
        <w:trPr>
          <w:trHeight w:val="346"/>
        </w:trPr>
        <w:tc>
          <w:tcPr>
            <w:tcW w:w="1554" w:type="dxa"/>
            <w:tcBorders>
              <w:top w:val="single" w:sz="2" w:space="0" w:color="000000"/>
              <w:left w:val="single" w:sz="2" w:space="0" w:color="000000"/>
              <w:bottom w:val="single" w:sz="2" w:space="0" w:color="000000"/>
              <w:right w:val="single" w:sz="2" w:space="0" w:color="000000"/>
            </w:tcBorders>
          </w:tcPr>
          <w:p w14:paraId="384D79BC" w14:textId="77777777" w:rsidR="00833524" w:rsidRPr="00364545" w:rsidRDefault="00833524" w:rsidP="00E56269">
            <w:pPr>
              <w:spacing w:line="259" w:lineRule="auto"/>
            </w:pPr>
            <w:r w:rsidRPr="00364545">
              <w:rPr>
                <w:b/>
                <w:sz w:val="18"/>
              </w:rPr>
              <w:t xml:space="preserve">Ensemble (avec UTCF) </w:t>
            </w:r>
          </w:p>
        </w:tc>
        <w:tc>
          <w:tcPr>
            <w:tcW w:w="701" w:type="dxa"/>
            <w:tcBorders>
              <w:top w:val="single" w:sz="2" w:space="0" w:color="000000"/>
              <w:left w:val="single" w:sz="2" w:space="0" w:color="000000"/>
              <w:bottom w:val="single" w:sz="2" w:space="0" w:color="000000"/>
              <w:right w:val="single" w:sz="2" w:space="0" w:color="000000"/>
            </w:tcBorders>
            <w:vAlign w:val="center"/>
          </w:tcPr>
          <w:p w14:paraId="0F43F6CB" w14:textId="77777777" w:rsidR="00833524" w:rsidRPr="00364545" w:rsidRDefault="00833524" w:rsidP="00E56269">
            <w:pPr>
              <w:spacing w:line="259" w:lineRule="auto"/>
              <w:ind w:left="19"/>
              <w:jc w:val="center"/>
              <w:rPr>
                <w:b/>
              </w:rPr>
            </w:pPr>
            <w:r w:rsidRPr="00634E4C">
              <w:rPr>
                <w:rFonts w:asciiTheme="majorHAnsi" w:hAnsiTheme="majorHAnsi"/>
                <w:sz w:val="18"/>
              </w:rPr>
              <w:t>16</w:t>
            </w:r>
          </w:p>
        </w:tc>
        <w:tc>
          <w:tcPr>
            <w:tcW w:w="703" w:type="dxa"/>
            <w:tcBorders>
              <w:top w:val="single" w:sz="2" w:space="0" w:color="000000"/>
              <w:left w:val="single" w:sz="2" w:space="0" w:color="000000"/>
              <w:bottom w:val="single" w:sz="2" w:space="0" w:color="000000"/>
              <w:right w:val="single" w:sz="2" w:space="0" w:color="000000"/>
            </w:tcBorders>
            <w:vAlign w:val="center"/>
          </w:tcPr>
          <w:p w14:paraId="3D5F86E3" w14:textId="77777777" w:rsidR="00833524" w:rsidRPr="00364545" w:rsidRDefault="00833524" w:rsidP="00E56269">
            <w:pPr>
              <w:spacing w:line="259" w:lineRule="auto"/>
              <w:ind w:left="19"/>
              <w:jc w:val="center"/>
              <w:rPr>
                <w:b/>
              </w:rPr>
            </w:pPr>
            <w:r w:rsidRPr="00634E4C">
              <w:rPr>
                <w:rFonts w:asciiTheme="majorHAnsi" w:hAnsiTheme="majorHAnsi"/>
                <w:sz w:val="18"/>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14C694B3" w14:textId="77777777" w:rsidR="00833524" w:rsidRPr="00364545" w:rsidRDefault="00833524" w:rsidP="00E56269">
            <w:pPr>
              <w:spacing w:line="259" w:lineRule="auto"/>
              <w:ind w:left="19"/>
              <w:jc w:val="center"/>
              <w:rPr>
                <w:b/>
              </w:rPr>
            </w:pPr>
            <w:r w:rsidRPr="00634E4C">
              <w:rPr>
                <w:rFonts w:asciiTheme="majorHAnsi" w:hAnsiTheme="majorHAnsi"/>
                <w:sz w:val="18"/>
              </w:rPr>
              <w:t>20</w:t>
            </w:r>
          </w:p>
        </w:tc>
        <w:tc>
          <w:tcPr>
            <w:tcW w:w="707" w:type="dxa"/>
            <w:tcBorders>
              <w:top w:val="single" w:sz="2" w:space="0" w:color="000000"/>
              <w:left w:val="single" w:sz="2" w:space="0" w:color="000000"/>
              <w:bottom w:val="single" w:sz="2" w:space="0" w:color="000000"/>
              <w:right w:val="single" w:sz="2" w:space="0" w:color="000000"/>
            </w:tcBorders>
            <w:vAlign w:val="center"/>
          </w:tcPr>
          <w:p w14:paraId="21434F87" w14:textId="77777777" w:rsidR="00833524" w:rsidRPr="00364545" w:rsidRDefault="00833524" w:rsidP="00E56269">
            <w:pPr>
              <w:spacing w:line="259" w:lineRule="auto"/>
              <w:ind w:left="19"/>
              <w:jc w:val="center"/>
              <w:rPr>
                <w:b/>
              </w:rPr>
            </w:pPr>
            <w:r w:rsidRPr="00634E4C">
              <w:rPr>
                <w:rFonts w:asciiTheme="majorHAnsi" w:hAnsiTheme="majorHAnsi"/>
                <w:sz w:val="18"/>
              </w:rPr>
              <w:t>31</w:t>
            </w:r>
          </w:p>
        </w:tc>
        <w:tc>
          <w:tcPr>
            <w:tcW w:w="703" w:type="dxa"/>
            <w:tcBorders>
              <w:top w:val="single" w:sz="2" w:space="0" w:color="000000"/>
              <w:left w:val="single" w:sz="2" w:space="0" w:color="000000"/>
              <w:bottom w:val="single" w:sz="2" w:space="0" w:color="000000"/>
              <w:right w:val="single" w:sz="2" w:space="0" w:color="000000"/>
            </w:tcBorders>
            <w:vAlign w:val="center"/>
          </w:tcPr>
          <w:p w14:paraId="2E4E9FDF" w14:textId="77777777" w:rsidR="00833524" w:rsidRPr="00364545" w:rsidRDefault="00833524" w:rsidP="00E56269">
            <w:pPr>
              <w:spacing w:line="259" w:lineRule="auto"/>
              <w:ind w:left="19"/>
              <w:jc w:val="center"/>
              <w:rPr>
                <w:b/>
              </w:rPr>
            </w:pPr>
            <w:r w:rsidRPr="00634E4C">
              <w:rPr>
                <w:rFonts w:asciiTheme="majorHAnsi" w:hAnsiTheme="majorHAnsi"/>
                <w:sz w:val="18"/>
              </w:rPr>
              <w:t>32</w:t>
            </w:r>
          </w:p>
        </w:tc>
        <w:tc>
          <w:tcPr>
            <w:tcW w:w="702" w:type="dxa"/>
            <w:tcBorders>
              <w:top w:val="single" w:sz="2" w:space="0" w:color="000000"/>
              <w:left w:val="single" w:sz="2" w:space="0" w:color="000000"/>
              <w:bottom w:val="single" w:sz="2" w:space="0" w:color="000000"/>
              <w:right w:val="single" w:sz="2" w:space="0" w:color="000000"/>
            </w:tcBorders>
            <w:vAlign w:val="center"/>
          </w:tcPr>
          <w:p w14:paraId="1957FFD6" w14:textId="77777777" w:rsidR="00833524" w:rsidRPr="00364545" w:rsidRDefault="00833524" w:rsidP="00E56269">
            <w:pPr>
              <w:spacing w:line="259" w:lineRule="auto"/>
              <w:ind w:left="19"/>
              <w:jc w:val="center"/>
              <w:rPr>
                <w:b/>
              </w:rPr>
            </w:pPr>
            <w:r w:rsidRPr="00634E4C">
              <w:rPr>
                <w:rFonts w:asciiTheme="majorHAnsi" w:hAnsiTheme="majorHAnsi"/>
                <w:sz w:val="18"/>
              </w:rPr>
              <w:t>6</w:t>
            </w:r>
          </w:p>
        </w:tc>
        <w:tc>
          <w:tcPr>
            <w:tcW w:w="622" w:type="dxa"/>
            <w:tcBorders>
              <w:top w:val="single" w:sz="2" w:space="0" w:color="000000"/>
              <w:left w:val="single" w:sz="2" w:space="0" w:color="000000"/>
              <w:bottom w:val="single" w:sz="2" w:space="0" w:color="000000"/>
              <w:right w:val="single" w:sz="2" w:space="0" w:color="000000"/>
            </w:tcBorders>
            <w:vAlign w:val="center"/>
          </w:tcPr>
          <w:p w14:paraId="5FFE75B4" w14:textId="77777777" w:rsidR="00833524" w:rsidRPr="00364545" w:rsidRDefault="00833524" w:rsidP="00E56269">
            <w:pPr>
              <w:spacing w:line="259" w:lineRule="auto"/>
              <w:ind w:left="19"/>
              <w:jc w:val="center"/>
              <w:rPr>
                <w:b/>
              </w:rPr>
            </w:pPr>
            <w:r w:rsidRPr="005D0955">
              <w:rPr>
                <w:rFonts w:asciiTheme="majorHAnsi" w:hAnsiTheme="majorHAnsi"/>
                <w:sz w:val="18"/>
                <w:szCs w:val="18"/>
              </w:rPr>
              <w:t>10</w:t>
            </w:r>
          </w:p>
        </w:tc>
        <w:tc>
          <w:tcPr>
            <w:tcW w:w="707" w:type="dxa"/>
            <w:tcBorders>
              <w:top w:val="single" w:sz="2" w:space="0" w:color="000000"/>
              <w:left w:val="single" w:sz="2" w:space="0" w:color="000000"/>
              <w:bottom w:val="single" w:sz="2" w:space="0" w:color="000000"/>
              <w:right w:val="single" w:sz="2" w:space="0" w:color="000000"/>
            </w:tcBorders>
            <w:vAlign w:val="center"/>
          </w:tcPr>
          <w:p w14:paraId="3FF666BD" w14:textId="77777777" w:rsidR="00833524" w:rsidRPr="00364545" w:rsidRDefault="00833524" w:rsidP="00E56269">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6AD02D29" w14:textId="77777777" w:rsidR="00833524" w:rsidRPr="00364545" w:rsidRDefault="00833524" w:rsidP="00E56269">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4F616931" w14:textId="77777777" w:rsidR="00833524" w:rsidRPr="00364545" w:rsidRDefault="00833524" w:rsidP="00E56269">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670D5AD5" w14:textId="77777777" w:rsidR="00833524" w:rsidRPr="00364545" w:rsidRDefault="00833524" w:rsidP="00E56269">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06629C03" w14:textId="77777777" w:rsidR="00833524" w:rsidRPr="00364545" w:rsidRDefault="00833524" w:rsidP="00E56269">
            <w:pPr>
              <w:spacing w:line="259" w:lineRule="auto"/>
              <w:ind w:left="19"/>
              <w:jc w:val="center"/>
              <w:rPr>
                <w:b/>
              </w:rPr>
            </w:pPr>
            <w:r w:rsidRPr="00364545">
              <w:rPr>
                <w:b/>
              </w:rPr>
              <w:t>6</w:t>
            </w:r>
          </w:p>
        </w:tc>
      </w:tr>
    </w:tbl>
    <w:p w14:paraId="16FD9829" w14:textId="1D3C550A" w:rsidR="00833524" w:rsidRPr="00364545" w:rsidRDefault="00833524" w:rsidP="00833524">
      <w:pPr>
        <w:pStyle w:val="Caption"/>
      </w:pPr>
      <w:r w:rsidRPr="00364545">
        <w:t xml:space="preserve">Table </w:t>
      </w:r>
      <w:fldSimple w:instr=" SEQ Tableau \* ARABIC ">
        <w:r w:rsidR="009A2FAA">
          <w:rPr>
            <w:noProof/>
          </w:rPr>
          <w:t>32</w:t>
        </w:r>
      </w:fldSimple>
      <w:r w:rsidRPr="00364545">
        <w:t>: NF</w:t>
      </w:r>
      <w:r w:rsidRPr="00364545">
        <w:rPr>
          <w:vertAlign w:val="subscript"/>
        </w:rPr>
        <w:t>3</w:t>
      </w:r>
      <w:r w:rsidRPr="00364545">
        <w:t xml:space="preserve"> emissions projections (in ktCO</w:t>
      </w:r>
      <w:r w:rsidRPr="00364545">
        <w:rPr>
          <w:vertAlign w:val="subscript"/>
        </w:rPr>
        <w:t>2e</w:t>
      </w:r>
      <w:r w:rsidRPr="00364545">
        <w:t>) in the Kyoto scope in the AMS 2018 scenario (with additional measures)</w:t>
      </w:r>
    </w:p>
    <w:p w14:paraId="19C32341" w14:textId="77777777" w:rsidR="00833524" w:rsidRPr="00364545" w:rsidRDefault="00833524" w:rsidP="00833524">
      <w:pPr>
        <w:pStyle w:val="Caption"/>
      </w:pPr>
      <w:r w:rsidRPr="00364545">
        <w:t>Source: UNF</w:t>
      </w:r>
      <w:r>
        <w:t>CCC inventory, Citepa/MTES, 2022</w:t>
      </w:r>
      <w:r w:rsidRPr="00364545">
        <w:t xml:space="preserve"> submission and MTES emission projections, 2018</w:t>
      </w:r>
    </w:p>
    <w:p w14:paraId="1C684F24" w14:textId="70F1FEC1" w:rsidR="001021CB" w:rsidRPr="00364545" w:rsidRDefault="001021CB" w:rsidP="003F57EA">
      <w:pPr>
        <w:pStyle w:val="Titre2Niveau2"/>
        <w:numPr>
          <w:ilvl w:val="0"/>
          <w:numId w:val="78"/>
        </w:numPr>
      </w:pPr>
      <w:bookmarkStart w:id="530" w:name="_Toc121215535"/>
      <w:bookmarkStart w:id="531" w:name="_Toc138341847"/>
      <w:r w:rsidRPr="00364545">
        <w:t>Assessment of the overall impact of policies and measures</w:t>
      </w:r>
      <w:bookmarkEnd w:id="530"/>
      <w:bookmarkEnd w:id="531"/>
    </w:p>
    <w:p w14:paraId="3CC3248A" w14:textId="6C9CD3A8" w:rsidR="00296D13" w:rsidRPr="00364545" w:rsidRDefault="00296D13" w:rsidP="00296D13">
      <w:r w:rsidRPr="00364545">
        <w:t>The impact of the various measures adopted by the government cannot be assessed by simply adding up the emissions reductions that these measures, taken in isolation, could theoretically achieve.</w:t>
      </w:r>
    </w:p>
    <w:p w14:paraId="65BD8EEB" w14:textId="4F1238EA" w:rsidR="00296D13" w:rsidRPr="00364545" w:rsidRDefault="00296D13" w:rsidP="00296D13">
      <w:r w:rsidRPr="00364545">
        <w:t xml:space="preserve">As the reduction of greenhouse gas emissions is </w:t>
      </w:r>
      <w:r w:rsidRPr="00364545">
        <w:rPr>
          <w:b/>
        </w:rPr>
        <w:t>by nature cross-sectoral to the whole economy</w:t>
      </w:r>
      <w:r w:rsidRPr="00364545">
        <w:t>, such an addition could lead to double counting or omission of systemic effects resulting from the interactions between different sectors. For example, the effects of many measures designed to encourage individuals to acquire clean vehicles interfere with each other, making it impossible to reliably assess their effect in isolation (bonus-malus, conversion premium, low emission zones, European regulation on emission standards, etc.).</w:t>
      </w:r>
    </w:p>
    <w:p w14:paraId="30D2284A" w14:textId="3E24D4B2" w:rsidR="00296D13" w:rsidRPr="00364545" w:rsidRDefault="00296D13" w:rsidP="00296D13">
      <w:r w:rsidRPr="00364545">
        <w:t>An assessment of the impact of the policy must therefore be based on a systemic study of its functioning and not on a measure by measure quantification.</w:t>
      </w:r>
    </w:p>
    <w:p w14:paraId="68B0DBD0" w14:textId="15964B8B" w:rsidR="001021CB" w:rsidRPr="00364545" w:rsidRDefault="00296D13" w:rsidP="000C1A7E">
      <w:pPr>
        <w:spacing w:before="240" w:after="240"/>
      </w:pPr>
      <w:r w:rsidRPr="00364545">
        <w:t>Here, the total effect of policies and measures is estimated by adding up the measures assessed individually in Chapter 4. The scope of the measures evaluated is smaller than the set of measures actually implemented. In the transport sector, the strongest measures are the European regulations on vehicles (21.7 MtCO</w:t>
      </w:r>
      <w:r w:rsidRPr="00364545">
        <w:rPr>
          <w:vertAlign w:val="subscript"/>
        </w:rPr>
        <w:t>2</w:t>
      </w:r>
      <w:r w:rsidRPr="00364545">
        <w:t xml:space="preserve"> expected in 2030, including 15.7 MtCO</w:t>
      </w:r>
      <w:r w:rsidRPr="00364545">
        <w:rPr>
          <w:vertAlign w:val="subscript"/>
        </w:rPr>
        <w:t>2</w:t>
      </w:r>
      <w:r w:rsidRPr="00364545">
        <w:t xml:space="preserve"> for the European regulations adopted in 2019), the national measures relating to the obligation to incorporate low-emission vehicles when renewing the fleets of legal entities and companies, and the measures of aid for the purchase of low-emission vehicles to support the achievement of this objective. The incentive tax for the incorporation of biofuels has an estimated impact of 6.1 MtCO</w:t>
      </w:r>
      <w:r w:rsidRPr="00364545">
        <w:rPr>
          <w:vertAlign w:val="subscript"/>
        </w:rPr>
        <w:t>2</w:t>
      </w:r>
      <w:r w:rsidRPr="00364545">
        <w:t xml:space="preserve"> in 2030. In the buildings sector, the regulatory measures on new construction, the obligation to carry out thermal insulation work in the event of major façade work and the tertiary sector decree represent the most important measures saving 2.3 MtCO</w:t>
      </w:r>
      <w:r w:rsidRPr="00364545">
        <w:rPr>
          <w:vertAlign w:val="subscript"/>
        </w:rPr>
        <w:t>2</w:t>
      </w:r>
      <w:r w:rsidRPr="00364545">
        <w:t>e. The impact of the fluorinated gas regulations in 2030 is estimated to be: 8.5 MtCO</w:t>
      </w:r>
      <w:r w:rsidRPr="00364545">
        <w:rPr>
          <w:vertAlign w:val="subscript"/>
        </w:rPr>
        <w:t>2</w:t>
      </w:r>
      <w:r w:rsidRPr="00364545">
        <w:t xml:space="preserve">e. </w:t>
      </w:r>
    </w:p>
    <w:p w14:paraId="63D1ED50" w14:textId="55DF4637" w:rsidR="002E35D7" w:rsidRPr="00364545" w:rsidRDefault="0085310F" w:rsidP="000C1A7E">
      <w:pPr>
        <w:spacing w:before="240" w:after="240"/>
      </w:pPr>
      <w:r w:rsidRPr="00364545">
        <w:t>The sum of the individually assessed measures is estimated at</w:t>
      </w:r>
      <w:r w:rsidRPr="00364545">
        <w:rPr>
          <w:rFonts w:ascii="Calibri" w:hAnsi="Calibri"/>
        </w:rPr>
        <w:t> </w:t>
      </w:r>
      <w:r w:rsidR="008C2628">
        <w:t>59</w:t>
      </w:r>
      <w:r w:rsidRPr="00364545">
        <w:t xml:space="preserve"> MtCO</w:t>
      </w:r>
      <w:r w:rsidRPr="00364545">
        <w:rPr>
          <w:vertAlign w:val="subscript"/>
        </w:rPr>
        <w:t>2</w:t>
      </w:r>
      <w:r w:rsidRPr="00364545">
        <w:t xml:space="preserve">e in 2030, </w:t>
      </w:r>
      <w:r w:rsidR="008C2628">
        <w:t>76</w:t>
      </w:r>
      <w:r w:rsidRPr="00364545">
        <w:t xml:space="preserve"> MtCO</w:t>
      </w:r>
      <w:r w:rsidRPr="00364545">
        <w:rPr>
          <w:vertAlign w:val="subscript"/>
        </w:rPr>
        <w:t>2</w:t>
      </w:r>
      <w:r w:rsidRPr="00364545">
        <w:t>e in 2035 and 7</w:t>
      </w:r>
      <w:r w:rsidR="008C2628">
        <w:t>6</w:t>
      </w:r>
      <w:r w:rsidRPr="00364545">
        <w:t xml:space="preserve"> MtCO</w:t>
      </w:r>
      <w:r w:rsidRPr="00364545">
        <w:rPr>
          <w:vertAlign w:val="subscript"/>
        </w:rPr>
        <w:t>2</w:t>
      </w:r>
      <w:r w:rsidRPr="00364545">
        <w:t>e in 2040.</w:t>
      </w:r>
    </w:p>
    <w:p w14:paraId="7C2DDD55" w14:textId="77777777" w:rsidR="002E35D7" w:rsidRPr="00364545" w:rsidRDefault="002E35D7">
      <w:pPr>
        <w:spacing w:line="240" w:lineRule="atLeast"/>
        <w:jc w:val="left"/>
      </w:pPr>
      <w:r w:rsidRPr="00364545">
        <w:br w:type="page"/>
      </w:r>
    </w:p>
    <w:p w14:paraId="066974E9" w14:textId="77777777" w:rsidR="0085310F" w:rsidRPr="00364545" w:rsidRDefault="0085310F" w:rsidP="000C1A7E">
      <w:pPr>
        <w:spacing w:before="240" w:after="240"/>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1"/>
        <w:gridCol w:w="1433"/>
        <w:gridCol w:w="1433"/>
        <w:gridCol w:w="1433"/>
        <w:gridCol w:w="1433"/>
      </w:tblGrid>
      <w:tr w:rsidR="002E35D7" w:rsidRPr="00364545" w14:paraId="1DE738C2" w14:textId="77777777" w:rsidTr="002E35D7">
        <w:trPr>
          <w:trHeight w:val="893"/>
          <w:jc w:val="center"/>
        </w:trPr>
        <w:tc>
          <w:tcPr>
            <w:tcW w:w="4611" w:type="dxa"/>
            <w:shd w:val="clear" w:color="FFFFCC" w:fill="FFFFFF"/>
            <w:hideMark/>
          </w:tcPr>
          <w:p w14:paraId="179537E5" w14:textId="77777777" w:rsidR="002E35D7" w:rsidRPr="00364545" w:rsidRDefault="002E35D7" w:rsidP="002E35D7">
            <w:pPr>
              <w:jc w:val="left"/>
              <w:rPr>
                <w:rFonts w:ascii="Calibri" w:hAnsi="Calibri" w:cs="Calibri"/>
                <w:b/>
                <w:bCs/>
                <w:color w:val="44546A"/>
                <w:sz w:val="18"/>
                <w:szCs w:val="18"/>
              </w:rPr>
            </w:pPr>
            <w:r w:rsidRPr="00364545">
              <w:rPr>
                <w:rFonts w:ascii="Calibri" w:hAnsi="Calibri"/>
                <w:b/>
                <w:color w:val="44546A"/>
                <w:sz w:val="18"/>
              </w:rPr>
              <w:t>Name of mitigation action</w:t>
            </w:r>
          </w:p>
        </w:tc>
        <w:tc>
          <w:tcPr>
            <w:tcW w:w="1433" w:type="dxa"/>
            <w:shd w:val="clear" w:color="FFFFCC" w:fill="FFFFFF"/>
            <w:hideMark/>
          </w:tcPr>
          <w:p w14:paraId="528E116D" w14:textId="77777777" w:rsidR="002E35D7" w:rsidRPr="00364545" w:rsidRDefault="002E35D7" w:rsidP="002E35D7">
            <w:pPr>
              <w:jc w:val="left"/>
              <w:rPr>
                <w:rFonts w:ascii="Calibri" w:hAnsi="Calibri" w:cs="Calibri"/>
                <w:b/>
                <w:bCs/>
                <w:color w:val="44546A"/>
                <w:sz w:val="18"/>
                <w:szCs w:val="18"/>
              </w:rPr>
            </w:pPr>
            <w:r w:rsidRPr="00364545">
              <w:rPr>
                <w:rFonts w:ascii="Calibri" w:hAnsi="Calibri"/>
                <w:b/>
                <w:color w:val="44546A"/>
                <w:sz w:val="18"/>
              </w:rPr>
              <w:t>Estimate of mitigation impact (not cumulative, in kt CO2 eq) 2025</w:t>
            </w:r>
          </w:p>
        </w:tc>
        <w:tc>
          <w:tcPr>
            <w:tcW w:w="1433" w:type="dxa"/>
            <w:shd w:val="clear" w:color="auto" w:fill="auto"/>
            <w:hideMark/>
          </w:tcPr>
          <w:p w14:paraId="2F3F5625" w14:textId="77777777" w:rsidR="002E35D7" w:rsidRPr="00364545" w:rsidRDefault="002E35D7" w:rsidP="002E35D7">
            <w:pPr>
              <w:jc w:val="left"/>
              <w:rPr>
                <w:rFonts w:ascii="Calibri" w:hAnsi="Calibri" w:cs="Calibri"/>
                <w:b/>
                <w:bCs/>
                <w:color w:val="44546A"/>
                <w:sz w:val="18"/>
                <w:szCs w:val="18"/>
              </w:rPr>
            </w:pPr>
            <w:r w:rsidRPr="00364545">
              <w:rPr>
                <w:rFonts w:ascii="Calibri" w:hAnsi="Calibri"/>
                <w:b/>
                <w:color w:val="44546A"/>
                <w:sz w:val="18"/>
              </w:rPr>
              <w:t>Estimate of mitigation impact (not cumulative, in kt CO2 eq) 2030</w:t>
            </w:r>
          </w:p>
        </w:tc>
        <w:tc>
          <w:tcPr>
            <w:tcW w:w="1433" w:type="dxa"/>
            <w:shd w:val="clear" w:color="FFFFCC" w:fill="FFFFFF"/>
            <w:hideMark/>
          </w:tcPr>
          <w:p w14:paraId="2BD89139" w14:textId="77777777" w:rsidR="002E35D7" w:rsidRPr="00364545" w:rsidRDefault="002E35D7" w:rsidP="002E35D7">
            <w:pPr>
              <w:jc w:val="left"/>
              <w:rPr>
                <w:rFonts w:ascii="Calibri" w:hAnsi="Calibri" w:cs="Calibri"/>
                <w:b/>
                <w:bCs/>
                <w:color w:val="44546A"/>
                <w:sz w:val="18"/>
                <w:szCs w:val="18"/>
              </w:rPr>
            </w:pPr>
            <w:r w:rsidRPr="00364545">
              <w:rPr>
                <w:rFonts w:ascii="Calibri" w:hAnsi="Calibri"/>
                <w:b/>
                <w:color w:val="44546A"/>
                <w:sz w:val="18"/>
              </w:rPr>
              <w:t>Estimate of mitigation impact (not cumulative, in kt CO2 eq) 2035</w:t>
            </w:r>
          </w:p>
        </w:tc>
        <w:tc>
          <w:tcPr>
            <w:tcW w:w="1433" w:type="dxa"/>
            <w:shd w:val="clear" w:color="FFFFCC" w:fill="FFFFFF"/>
            <w:hideMark/>
          </w:tcPr>
          <w:p w14:paraId="2E4811FF" w14:textId="77777777" w:rsidR="002E35D7" w:rsidRPr="00364545" w:rsidRDefault="002E35D7" w:rsidP="002E35D7">
            <w:pPr>
              <w:jc w:val="left"/>
              <w:rPr>
                <w:rFonts w:ascii="Calibri" w:hAnsi="Calibri" w:cs="Calibri"/>
                <w:b/>
                <w:bCs/>
                <w:color w:val="44546A"/>
                <w:sz w:val="18"/>
                <w:szCs w:val="18"/>
              </w:rPr>
            </w:pPr>
            <w:r w:rsidRPr="00364545">
              <w:rPr>
                <w:rFonts w:ascii="Calibri" w:hAnsi="Calibri"/>
                <w:b/>
                <w:color w:val="44546A"/>
                <w:sz w:val="18"/>
              </w:rPr>
              <w:t>Estimate of mitigation impact (not cumulative, in kt CO2 eq) 2040</w:t>
            </w:r>
          </w:p>
        </w:tc>
      </w:tr>
      <w:tr w:rsidR="002E35D7" w:rsidRPr="00364545" w14:paraId="57A1DF6D" w14:textId="77777777" w:rsidTr="002E35D7">
        <w:trPr>
          <w:trHeight w:val="360"/>
          <w:jc w:val="center"/>
        </w:trPr>
        <w:tc>
          <w:tcPr>
            <w:tcW w:w="4611" w:type="dxa"/>
            <w:shd w:val="clear" w:color="auto" w:fill="auto"/>
            <w:hideMark/>
          </w:tcPr>
          <w:p w14:paraId="4A792B24" w14:textId="77777777" w:rsidR="002E35D7" w:rsidRPr="00364545" w:rsidRDefault="002E35D7" w:rsidP="002E35D7">
            <w:pPr>
              <w:jc w:val="left"/>
              <w:rPr>
                <w:rFonts w:ascii="Calibri" w:hAnsi="Calibri" w:cs="Calibri"/>
                <w:sz w:val="18"/>
                <w:szCs w:val="18"/>
              </w:rPr>
            </w:pPr>
            <w:r w:rsidRPr="00364545">
              <w:rPr>
                <w:rFonts w:ascii="Calibri" w:hAnsi="Calibri"/>
                <w:sz w:val="18"/>
              </w:rPr>
              <w:t>2012 Thermal Regulations (RT 2012) in new buildings</w:t>
            </w:r>
          </w:p>
        </w:tc>
        <w:tc>
          <w:tcPr>
            <w:tcW w:w="1433" w:type="dxa"/>
            <w:shd w:val="clear" w:color="auto" w:fill="auto"/>
            <w:noWrap/>
            <w:hideMark/>
          </w:tcPr>
          <w:p w14:paraId="2578D48E" w14:textId="77777777" w:rsidR="002E35D7" w:rsidRPr="00364545" w:rsidRDefault="002E35D7" w:rsidP="002E35D7">
            <w:pPr>
              <w:jc w:val="right"/>
              <w:rPr>
                <w:rFonts w:ascii="Calibri" w:hAnsi="Calibri" w:cs="Calibri"/>
                <w:sz w:val="18"/>
                <w:szCs w:val="18"/>
              </w:rPr>
            </w:pPr>
            <w:r w:rsidRPr="00364545">
              <w:rPr>
                <w:rFonts w:ascii="Calibri" w:hAnsi="Calibri"/>
                <w:sz w:val="18"/>
              </w:rPr>
              <w:t>6300</w:t>
            </w:r>
          </w:p>
        </w:tc>
        <w:tc>
          <w:tcPr>
            <w:tcW w:w="1433" w:type="dxa"/>
            <w:shd w:val="clear" w:color="auto" w:fill="auto"/>
            <w:noWrap/>
            <w:hideMark/>
          </w:tcPr>
          <w:p w14:paraId="277F0236" w14:textId="77777777" w:rsidR="002E35D7" w:rsidRPr="00364545" w:rsidRDefault="002E35D7" w:rsidP="002E35D7">
            <w:pPr>
              <w:jc w:val="right"/>
              <w:rPr>
                <w:rFonts w:ascii="Calibri" w:hAnsi="Calibri" w:cs="Calibri"/>
                <w:sz w:val="18"/>
                <w:szCs w:val="18"/>
              </w:rPr>
            </w:pPr>
            <w:r w:rsidRPr="00364545">
              <w:rPr>
                <w:rFonts w:ascii="Calibri" w:hAnsi="Calibri"/>
                <w:sz w:val="18"/>
              </w:rPr>
              <w:t>9000</w:t>
            </w:r>
          </w:p>
        </w:tc>
        <w:tc>
          <w:tcPr>
            <w:tcW w:w="1433" w:type="dxa"/>
            <w:shd w:val="clear" w:color="auto" w:fill="auto"/>
            <w:noWrap/>
            <w:hideMark/>
          </w:tcPr>
          <w:p w14:paraId="4E84950D" w14:textId="77777777" w:rsidR="002E35D7" w:rsidRPr="00364545" w:rsidRDefault="002E35D7" w:rsidP="002E35D7">
            <w:pPr>
              <w:jc w:val="right"/>
              <w:rPr>
                <w:rFonts w:ascii="Calibri" w:hAnsi="Calibri" w:cs="Calibri"/>
                <w:sz w:val="18"/>
                <w:szCs w:val="18"/>
              </w:rPr>
            </w:pPr>
            <w:r w:rsidRPr="00364545">
              <w:rPr>
                <w:rFonts w:ascii="Calibri" w:hAnsi="Calibri"/>
                <w:sz w:val="18"/>
              </w:rPr>
              <w:t>11700</w:t>
            </w:r>
          </w:p>
        </w:tc>
        <w:tc>
          <w:tcPr>
            <w:tcW w:w="1433" w:type="dxa"/>
            <w:shd w:val="clear" w:color="auto" w:fill="auto"/>
            <w:noWrap/>
            <w:hideMark/>
          </w:tcPr>
          <w:p w14:paraId="4F56FFD8" w14:textId="77777777" w:rsidR="002E35D7" w:rsidRPr="00364545" w:rsidRDefault="002E35D7" w:rsidP="002E35D7">
            <w:pPr>
              <w:jc w:val="right"/>
              <w:rPr>
                <w:rFonts w:ascii="Calibri" w:hAnsi="Calibri" w:cs="Calibri"/>
                <w:sz w:val="18"/>
                <w:szCs w:val="18"/>
              </w:rPr>
            </w:pPr>
          </w:p>
        </w:tc>
      </w:tr>
      <w:tr w:rsidR="002E35D7" w:rsidRPr="00364545" w14:paraId="0098555A" w14:textId="77777777" w:rsidTr="002E35D7">
        <w:trPr>
          <w:trHeight w:val="360"/>
          <w:jc w:val="center"/>
        </w:trPr>
        <w:tc>
          <w:tcPr>
            <w:tcW w:w="4611" w:type="dxa"/>
            <w:shd w:val="clear" w:color="auto" w:fill="auto"/>
            <w:hideMark/>
          </w:tcPr>
          <w:p w14:paraId="78055041" w14:textId="77777777" w:rsidR="002E35D7" w:rsidRPr="00364545" w:rsidRDefault="002E35D7" w:rsidP="002E35D7">
            <w:pPr>
              <w:jc w:val="left"/>
              <w:rPr>
                <w:rFonts w:ascii="Calibri" w:hAnsi="Calibri" w:cs="Calibri"/>
                <w:sz w:val="18"/>
                <w:szCs w:val="18"/>
              </w:rPr>
            </w:pPr>
            <w:r w:rsidRPr="00364545">
              <w:rPr>
                <w:rFonts w:ascii="Calibri" w:hAnsi="Calibri"/>
                <w:sz w:val="18"/>
              </w:rPr>
              <w:t>Obligation to carry out thermal insulation work in the case of major façade work, roof repairs or room conversions</w:t>
            </w:r>
          </w:p>
        </w:tc>
        <w:tc>
          <w:tcPr>
            <w:tcW w:w="1433" w:type="dxa"/>
            <w:shd w:val="clear" w:color="auto" w:fill="auto"/>
            <w:noWrap/>
            <w:hideMark/>
          </w:tcPr>
          <w:p w14:paraId="7EE4D0E2" w14:textId="77777777" w:rsidR="002E35D7" w:rsidRPr="00364545" w:rsidRDefault="002E35D7" w:rsidP="002E35D7">
            <w:pPr>
              <w:jc w:val="right"/>
              <w:rPr>
                <w:rFonts w:ascii="Calibri" w:hAnsi="Calibri" w:cs="Calibri"/>
                <w:sz w:val="18"/>
                <w:szCs w:val="18"/>
              </w:rPr>
            </w:pPr>
            <w:r w:rsidRPr="00364545">
              <w:rPr>
                <w:rFonts w:ascii="Calibri" w:hAnsi="Calibri"/>
                <w:sz w:val="18"/>
              </w:rPr>
              <w:t>1500</w:t>
            </w:r>
          </w:p>
        </w:tc>
        <w:tc>
          <w:tcPr>
            <w:tcW w:w="1433" w:type="dxa"/>
            <w:shd w:val="clear" w:color="auto" w:fill="auto"/>
            <w:noWrap/>
            <w:hideMark/>
          </w:tcPr>
          <w:p w14:paraId="2B2E774C" w14:textId="77777777" w:rsidR="002E35D7" w:rsidRPr="00364545" w:rsidRDefault="002E35D7" w:rsidP="002E35D7">
            <w:pPr>
              <w:jc w:val="right"/>
              <w:rPr>
                <w:rFonts w:ascii="Calibri" w:hAnsi="Calibri" w:cs="Calibri"/>
                <w:sz w:val="18"/>
                <w:szCs w:val="18"/>
              </w:rPr>
            </w:pPr>
            <w:r w:rsidRPr="00364545">
              <w:rPr>
                <w:rFonts w:ascii="Calibri" w:hAnsi="Calibri"/>
                <w:sz w:val="18"/>
              </w:rPr>
              <w:t>2300</w:t>
            </w:r>
          </w:p>
        </w:tc>
        <w:tc>
          <w:tcPr>
            <w:tcW w:w="1433" w:type="dxa"/>
            <w:shd w:val="clear" w:color="auto" w:fill="auto"/>
            <w:noWrap/>
            <w:hideMark/>
          </w:tcPr>
          <w:p w14:paraId="30A36891" w14:textId="77777777" w:rsidR="002E35D7" w:rsidRPr="00364545" w:rsidRDefault="002E35D7" w:rsidP="002E35D7">
            <w:pPr>
              <w:jc w:val="right"/>
              <w:rPr>
                <w:rFonts w:ascii="Calibri" w:hAnsi="Calibri" w:cs="Calibri"/>
                <w:sz w:val="18"/>
                <w:szCs w:val="18"/>
              </w:rPr>
            </w:pPr>
            <w:r w:rsidRPr="00364545">
              <w:rPr>
                <w:rFonts w:ascii="Calibri" w:hAnsi="Calibri"/>
                <w:sz w:val="18"/>
              </w:rPr>
              <w:t>3100</w:t>
            </w:r>
          </w:p>
        </w:tc>
        <w:tc>
          <w:tcPr>
            <w:tcW w:w="1433" w:type="dxa"/>
            <w:shd w:val="clear" w:color="auto" w:fill="auto"/>
            <w:noWrap/>
            <w:hideMark/>
          </w:tcPr>
          <w:p w14:paraId="07EF40DF" w14:textId="77777777" w:rsidR="002E35D7" w:rsidRPr="00364545" w:rsidRDefault="002E35D7" w:rsidP="002E35D7">
            <w:pPr>
              <w:jc w:val="right"/>
              <w:rPr>
                <w:rFonts w:ascii="Calibri" w:hAnsi="Calibri" w:cs="Calibri"/>
                <w:sz w:val="18"/>
                <w:szCs w:val="18"/>
              </w:rPr>
            </w:pPr>
          </w:p>
        </w:tc>
      </w:tr>
      <w:tr w:rsidR="002E35D7" w:rsidRPr="00364545" w14:paraId="11BBCF0A" w14:textId="77777777" w:rsidTr="002E35D7">
        <w:trPr>
          <w:trHeight w:val="360"/>
          <w:jc w:val="center"/>
        </w:trPr>
        <w:tc>
          <w:tcPr>
            <w:tcW w:w="4611" w:type="dxa"/>
            <w:shd w:val="clear" w:color="auto" w:fill="auto"/>
            <w:hideMark/>
          </w:tcPr>
          <w:p w14:paraId="6F0F02DB" w14:textId="77777777" w:rsidR="002E35D7" w:rsidRPr="00364545" w:rsidRDefault="002E35D7" w:rsidP="002E35D7">
            <w:pPr>
              <w:jc w:val="left"/>
              <w:rPr>
                <w:rFonts w:ascii="Calibri" w:hAnsi="Calibri" w:cs="Calibri"/>
                <w:sz w:val="18"/>
                <w:szCs w:val="18"/>
              </w:rPr>
            </w:pPr>
            <w:r w:rsidRPr="00364545">
              <w:rPr>
                <w:rFonts w:ascii="Calibri" w:hAnsi="Calibri"/>
                <w:sz w:val="18"/>
              </w:rPr>
              <w:t>Shutting down the last coal-fired power plants</w:t>
            </w:r>
          </w:p>
        </w:tc>
        <w:tc>
          <w:tcPr>
            <w:tcW w:w="1433" w:type="dxa"/>
            <w:shd w:val="clear" w:color="auto" w:fill="auto"/>
            <w:noWrap/>
            <w:hideMark/>
          </w:tcPr>
          <w:p w14:paraId="2DED8F5C" w14:textId="77777777" w:rsidR="002E35D7" w:rsidRPr="00364545" w:rsidRDefault="002E35D7" w:rsidP="002E35D7">
            <w:pPr>
              <w:jc w:val="right"/>
              <w:rPr>
                <w:rFonts w:ascii="Calibri" w:hAnsi="Calibri" w:cs="Calibri"/>
                <w:sz w:val="18"/>
                <w:szCs w:val="18"/>
              </w:rPr>
            </w:pPr>
            <w:r w:rsidRPr="00364545">
              <w:rPr>
                <w:rFonts w:ascii="Calibri" w:hAnsi="Calibri"/>
                <w:sz w:val="18"/>
              </w:rPr>
              <w:t>4000</w:t>
            </w:r>
          </w:p>
        </w:tc>
        <w:tc>
          <w:tcPr>
            <w:tcW w:w="1433" w:type="dxa"/>
            <w:shd w:val="clear" w:color="auto" w:fill="auto"/>
            <w:noWrap/>
            <w:hideMark/>
          </w:tcPr>
          <w:p w14:paraId="0DA18EEC" w14:textId="77777777" w:rsidR="002E35D7" w:rsidRPr="00364545" w:rsidRDefault="002E35D7" w:rsidP="002E35D7">
            <w:pPr>
              <w:jc w:val="right"/>
              <w:rPr>
                <w:rFonts w:ascii="Calibri" w:hAnsi="Calibri" w:cs="Calibri"/>
                <w:sz w:val="18"/>
                <w:szCs w:val="18"/>
              </w:rPr>
            </w:pPr>
            <w:r w:rsidRPr="00364545">
              <w:rPr>
                <w:rFonts w:ascii="Calibri" w:hAnsi="Calibri"/>
                <w:sz w:val="18"/>
              </w:rPr>
              <w:t>4000</w:t>
            </w:r>
          </w:p>
        </w:tc>
        <w:tc>
          <w:tcPr>
            <w:tcW w:w="1433" w:type="dxa"/>
            <w:shd w:val="clear" w:color="auto" w:fill="auto"/>
            <w:noWrap/>
            <w:hideMark/>
          </w:tcPr>
          <w:p w14:paraId="09F4A6B0" w14:textId="77777777" w:rsidR="002E35D7" w:rsidRPr="00364545" w:rsidRDefault="002E35D7" w:rsidP="002E35D7">
            <w:pPr>
              <w:jc w:val="right"/>
              <w:rPr>
                <w:rFonts w:ascii="Calibri" w:hAnsi="Calibri" w:cs="Calibri"/>
                <w:sz w:val="18"/>
                <w:szCs w:val="18"/>
              </w:rPr>
            </w:pPr>
            <w:r w:rsidRPr="00364545">
              <w:rPr>
                <w:rFonts w:ascii="Calibri" w:hAnsi="Calibri"/>
                <w:sz w:val="18"/>
              </w:rPr>
              <w:t>4000</w:t>
            </w:r>
          </w:p>
        </w:tc>
        <w:tc>
          <w:tcPr>
            <w:tcW w:w="1433" w:type="dxa"/>
            <w:shd w:val="clear" w:color="auto" w:fill="auto"/>
            <w:noWrap/>
            <w:hideMark/>
          </w:tcPr>
          <w:p w14:paraId="09AB7533" w14:textId="77777777" w:rsidR="002E35D7" w:rsidRPr="00364545" w:rsidRDefault="002E35D7" w:rsidP="002E35D7">
            <w:pPr>
              <w:jc w:val="right"/>
              <w:rPr>
                <w:rFonts w:ascii="Calibri" w:hAnsi="Calibri" w:cs="Calibri"/>
                <w:sz w:val="18"/>
                <w:szCs w:val="18"/>
              </w:rPr>
            </w:pPr>
            <w:r w:rsidRPr="00364545">
              <w:rPr>
                <w:rFonts w:ascii="Calibri" w:hAnsi="Calibri"/>
                <w:sz w:val="18"/>
              </w:rPr>
              <w:t>4000</w:t>
            </w:r>
          </w:p>
        </w:tc>
      </w:tr>
      <w:tr w:rsidR="002E35D7" w:rsidRPr="00364545" w14:paraId="1F3934E1" w14:textId="77777777" w:rsidTr="002E35D7">
        <w:trPr>
          <w:trHeight w:val="360"/>
          <w:jc w:val="center"/>
        </w:trPr>
        <w:tc>
          <w:tcPr>
            <w:tcW w:w="4611" w:type="dxa"/>
            <w:shd w:val="clear" w:color="auto" w:fill="auto"/>
            <w:hideMark/>
          </w:tcPr>
          <w:p w14:paraId="6D027E3C" w14:textId="77777777" w:rsidR="002E35D7" w:rsidRPr="00364545" w:rsidRDefault="002E35D7" w:rsidP="002E35D7">
            <w:pPr>
              <w:jc w:val="left"/>
              <w:rPr>
                <w:rFonts w:ascii="Calibri" w:hAnsi="Calibri" w:cs="Calibri"/>
                <w:sz w:val="18"/>
                <w:szCs w:val="18"/>
              </w:rPr>
            </w:pPr>
            <w:r w:rsidRPr="00364545">
              <w:rPr>
                <w:rFonts w:ascii="Calibri" w:hAnsi="Calibri"/>
                <w:sz w:val="18"/>
              </w:rPr>
              <w:t>Energy saving certificates</w:t>
            </w:r>
          </w:p>
        </w:tc>
        <w:tc>
          <w:tcPr>
            <w:tcW w:w="1433" w:type="dxa"/>
            <w:shd w:val="clear" w:color="auto" w:fill="auto"/>
            <w:noWrap/>
            <w:hideMark/>
          </w:tcPr>
          <w:p w14:paraId="13B1A834" w14:textId="77777777" w:rsidR="002E35D7" w:rsidRPr="00364545" w:rsidRDefault="002E35D7" w:rsidP="002E35D7">
            <w:pPr>
              <w:jc w:val="right"/>
              <w:rPr>
                <w:rFonts w:ascii="Calibri" w:hAnsi="Calibri" w:cs="Calibri"/>
                <w:sz w:val="18"/>
                <w:szCs w:val="18"/>
              </w:rPr>
            </w:pPr>
            <w:r w:rsidRPr="00364545">
              <w:rPr>
                <w:rFonts w:ascii="Calibri" w:hAnsi="Calibri"/>
                <w:sz w:val="18"/>
              </w:rPr>
              <w:t>5900</w:t>
            </w:r>
          </w:p>
        </w:tc>
        <w:tc>
          <w:tcPr>
            <w:tcW w:w="1433" w:type="dxa"/>
            <w:shd w:val="clear" w:color="auto" w:fill="auto"/>
            <w:noWrap/>
            <w:hideMark/>
          </w:tcPr>
          <w:p w14:paraId="218E95A7" w14:textId="77777777" w:rsidR="002E35D7" w:rsidRPr="00364545" w:rsidRDefault="002E35D7" w:rsidP="002E35D7">
            <w:pPr>
              <w:jc w:val="right"/>
              <w:rPr>
                <w:rFonts w:ascii="Calibri" w:hAnsi="Calibri" w:cs="Calibri"/>
                <w:sz w:val="18"/>
                <w:szCs w:val="18"/>
              </w:rPr>
            </w:pPr>
            <w:r w:rsidRPr="00364545">
              <w:rPr>
                <w:rFonts w:ascii="Calibri" w:hAnsi="Calibri"/>
                <w:sz w:val="18"/>
              </w:rPr>
              <w:t>3500</w:t>
            </w:r>
          </w:p>
        </w:tc>
        <w:tc>
          <w:tcPr>
            <w:tcW w:w="1433" w:type="dxa"/>
            <w:shd w:val="clear" w:color="auto" w:fill="auto"/>
            <w:noWrap/>
            <w:hideMark/>
          </w:tcPr>
          <w:p w14:paraId="760FFB6F" w14:textId="77777777" w:rsidR="002E35D7" w:rsidRPr="00364545" w:rsidRDefault="002E35D7" w:rsidP="002E35D7">
            <w:pPr>
              <w:jc w:val="right"/>
              <w:rPr>
                <w:rFonts w:ascii="Calibri" w:hAnsi="Calibri" w:cs="Calibri"/>
                <w:sz w:val="18"/>
                <w:szCs w:val="18"/>
              </w:rPr>
            </w:pPr>
            <w:r w:rsidRPr="00364545">
              <w:rPr>
                <w:rFonts w:ascii="Calibri" w:hAnsi="Calibri"/>
                <w:sz w:val="18"/>
              </w:rPr>
              <w:t>1600</w:t>
            </w:r>
          </w:p>
        </w:tc>
        <w:tc>
          <w:tcPr>
            <w:tcW w:w="1433" w:type="dxa"/>
            <w:shd w:val="clear" w:color="auto" w:fill="auto"/>
            <w:noWrap/>
            <w:hideMark/>
          </w:tcPr>
          <w:p w14:paraId="5E2DD45F" w14:textId="77777777" w:rsidR="002E35D7" w:rsidRPr="00364545" w:rsidRDefault="002E35D7" w:rsidP="002E35D7">
            <w:pPr>
              <w:jc w:val="right"/>
              <w:rPr>
                <w:rFonts w:ascii="Calibri" w:hAnsi="Calibri" w:cs="Calibri"/>
                <w:sz w:val="18"/>
                <w:szCs w:val="18"/>
              </w:rPr>
            </w:pPr>
          </w:p>
        </w:tc>
      </w:tr>
      <w:tr w:rsidR="002E35D7" w:rsidRPr="00364545" w14:paraId="3C8FC1EA" w14:textId="77777777" w:rsidTr="002E35D7">
        <w:trPr>
          <w:trHeight w:val="360"/>
          <w:jc w:val="center"/>
        </w:trPr>
        <w:tc>
          <w:tcPr>
            <w:tcW w:w="4611" w:type="dxa"/>
            <w:shd w:val="clear" w:color="auto" w:fill="auto"/>
            <w:hideMark/>
          </w:tcPr>
          <w:p w14:paraId="70AE5295" w14:textId="77777777" w:rsidR="002E35D7" w:rsidRPr="00364545" w:rsidRDefault="002E35D7" w:rsidP="002E35D7">
            <w:pPr>
              <w:jc w:val="left"/>
              <w:rPr>
                <w:rFonts w:ascii="Calibri" w:hAnsi="Calibri" w:cs="Calibri"/>
                <w:sz w:val="18"/>
                <w:szCs w:val="18"/>
              </w:rPr>
            </w:pPr>
            <w:r w:rsidRPr="00364545">
              <w:rPr>
                <w:rFonts w:ascii="Calibri" w:hAnsi="Calibri"/>
                <w:sz w:val="18"/>
              </w:rPr>
              <w:t>Regulation 517/2014 (F-Gas II) for the reduction of emissions of fluorinated greenhouse gases</w:t>
            </w:r>
          </w:p>
        </w:tc>
        <w:tc>
          <w:tcPr>
            <w:tcW w:w="1433" w:type="dxa"/>
            <w:shd w:val="clear" w:color="auto" w:fill="auto"/>
            <w:noWrap/>
            <w:hideMark/>
          </w:tcPr>
          <w:p w14:paraId="6AA31CD5" w14:textId="77777777" w:rsidR="002E35D7" w:rsidRPr="00364545" w:rsidRDefault="002E35D7" w:rsidP="002E35D7">
            <w:pPr>
              <w:jc w:val="right"/>
              <w:rPr>
                <w:rFonts w:ascii="Calibri" w:hAnsi="Calibri" w:cs="Calibri"/>
                <w:sz w:val="18"/>
                <w:szCs w:val="18"/>
              </w:rPr>
            </w:pPr>
            <w:r w:rsidRPr="00364545">
              <w:rPr>
                <w:rFonts w:ascii="Calibri" w:hAnsi="Calibri"/>
                <w:sz w:val="18"/>
              </w:rPr>
              <w:t>3890</w:t>
            </w:r>
          </w:p>
        </w:tc>
        <w:tc>
          <w:tcPr>
            <w:tcW w:w="1433" w:type="dxa"/>
            <w:shd w:val="clear" w:color="auto" w:fill="auto"/>
            <w:noWrap/>
            <w:hideMark/>
          </w:tcPr>
          <w:p w14:paraId="0E95F737" w14:textId="77777777" w:rsidR="002E35D7" w:rsidRPr="00364545" w:rsidRDefault="002E35D7" w:rsidP="002E35D7">
            <w:pPr>
              <w:jc w:val="right"/>
              <w:rPr>
                <w:rFonts w:ascii="Calibri" w:hAnsi="Calibri" w:cs="Calibri"/>
                <w:sz w:val="18"/>
                <w:szCs w:val="18"/>
              </w:rPr>
            </w:pPr>
            <w:r w:rsidRPr="00364545">
              <w:rPr>
                <w:rFonts w:ascii="Calibri" w:hAnsi="Calibri"/>
                <w:sz w:val="18"/>
              </w:rPr>
              <w:t>5750</w:t>
            </w:r>
          </w:p>
        </w:tc>
        <w:tc>
          <w:tcPr>
            <w:tcW w:w="1433" w:type="dxa"/>
            <w:shd w:val="clear" w:color="auto" w:fill="auto"/>
            <w:noWrap/>
            <w:hideMark/>
          </w:tcPr>
          <w:p w14:paraId="2A39B8AC" w14:textId="77777777" w:rsidR="002E35D7" w:rsidRPr="00364545" w:rsidRDefault="002E35D7" w:rsidP="002E35D7">
            <w:pPr>
              <w:jc w:val="right"/>
              <w:rPr>
                <w:rFonts w:ascii="Calibri" w:hAnsi="Calibri" w:cs="Calibri"/>
                <w:sz w:val="18"/>
                <w:szCs w:val="18"/>
              </w:rPr>
            </w:pPr>
            <w:r w:rsidRPr="00364545">
              <w:rPr>
                <w:rFonts w:ascii="Calibri" w:hAnsi="Calibri"/>
                <w:sz w:val="18"/>
              </w:rPr>
              <w:t>7300</w:t>
            </w:r>
          </w:p>
        </w:tc>
        <w:tc>
          <w:tcPr>
            <w:tcW w:w="1433" w:type="dxa"/>
            <w:shd w:val="clear" w:color="auto" w:fill="auto"/>
            <w:noWrap/>
            <w:hideMark/>
          </w:tcPr>
          <w:p w14:paraId="036E611A" w14:textId="77777777" w:rsidR="002E35D7" w:rsidRPr="00364545" w:rsidRDefault="002E35D7" w:rsidP="002E35D7">
            <w:pPr>
              <w:jc w:val="right"/>
              <w:rPr>
                <w:rFonts w:ascii="Calibri" w:hAnsi="Calibri" w:cs="Calibri"/>
                <w:sz w:val="18"/>
                <w:szCs w:val="18"/>
              </w:rPr>
            </w:pPr>
            <w:r w:rsidRPr="00364545">
              <w:rPr>
                <w:rFonts w:ascii="Calibri" w:hAnsi="Calibri"/>
                <w:sz w:val="18"/>
              </w:rPr>
              <w:t>7300</w:t>
            </w:r>
          </w:p>
        </w:tc>
      </w:tr>
      <w:tr w:rsidR="002E35D7" w:rsidRPr="00364545" w14:paraId="4F3EE375" w14:textId="77777777" w:rsidTr="002E35D7">
        <w:trPr>
          <w:trHeight w:val="360"/>
          <w:jc w:val="center"/>
        </w:trPr>
        <w:tc>
          <w:tcPr>
            <w:tcW w:w="4611" w:type="dxa"/>
            <w:shd w:val="clear" w:color="auto" w:fill="auto"/>
            <w:hideMark/>
          </w:tcPr>
          <w:p w14:paraId="720F12EF" w14:textId="77777777" w:rsidR="002E35D7" w:rsidRPr="00364545" w:rsidRDefault="002E35D7" w:rsidP="002E35D7">
            <w:pPr>
              <w:jc w:val="left"/>
              <w:rPr>
                <w:rFonts w:ascii="Calibri" w:hAnsi="Calibri" w:cs="Calibri"/>
                <w:sz w:val="18"/>
                <w:szCs w:val="18"/>
              </w:rPr>
            </w:pPr>
            <w:r w:rsidRPr="00364545">
              <w:rPr>
                <w:rFonts w:ascii="Calibri" w:hAnsi="Calibri"/>
                <w:sz w:val="18"/>
              </w:rPr>
              <w:t>Strengthening of the regulations on leakage testing of refrigeration, air conditioning and heat pump equipment</w:t>
            </w:r>
          </w:p>
        </w:tc>
        <w:tc>
          <w:tcPr>
            <w:tcW w:w="1433" w:type="dxa"/>
            <w:shd w:val="clear" w:color="auto" w:fill="auto"/>
            <w:noWrap/>
            <w:hideMark/>
          </w:tcPr>
          <w:p w14:paraId="47564E5D" w14:textId="77777777" w:rsidR="002E35D7" w:rsidRPr="00364545" w:rsidRDefault="002E35D7" w:rsidP="002E35D7">
            <w:pPr>
              <w:jc w:val="right"/>
              <w:rPr>
                <w:rFonts w:ascii="Calibri" w:hAnsi="Calibri" w:cs="Calibri"/>
                <w:sz w:val="18"/>
                <w:szCs w:val="18"/>
              </w:rPr>
            </w:pPr>
            <w:r w:rsidRPr="00364545">
              <w:rPr>
                <w:rFonts w:ascii="Calibri" w:hAnsi="Calibri"/>
                <w:sz w:val="18"/>
              </w:rPr>
              <w:t>70</w:t>
            </w:r>
          </w:p>
        </w:tc>
        <w:tc>
          <w:tcPr>
            <w:tcW w:w="1433" w:type="dxa"/>
            <w:shd w:val="clear" w:color="auto" w:fill="auto"/>
            <w:noWrap/>
            <w:hideMark/>
          </w:tcPr>
          <w:p w14:paraId="55092338" w14:textId="77777777" w:rsidR="002E35D7" w:rsidRPr="00364545" w:rsidRDefault="002E35D7" w:rsidP="002E35D7">
            <w:pPr>
              <w:jc w:val="right"/>
              <w:rPr>
                <w:rFonts w:ascii="Calibri" w:hAnsi="Calibri" w:cs="Calibri"/>
                <w:sz w:val="18"/>
                <w:szCs w:val="18"/>
              </w:rPr>
            </w:pPr>
            <w:r w:rsidRPr="00364545">
              <w:rPr>
                <w:rFonts w:ascii="Calibri" w:hAnsi="Calibri"/>
                <w:sz w:val="18"/>
              </w:rPr>
              <w:t>40</w:t>
            </w:r>
          </w:p>
        </w:tc>
        <w:tc>
          <w:tcPr>
            <w:tcW w:w="1433" w:type="dxa"/>
            <w:shd w:val="clear" w:color="auto" w:fill="auto"/>
            <w:noWrap/>
            <w:hideMark/>
          </w:tcPr>
          <w:p w14:paraId="5A990897" w14:textId="77777777" w:rsidR="002E35D7" w:rsidRPr="00364545" w:rsidRDefault="002E35D7" w:rsidP="002E35D7">
            <w:pPr>
              <w:jc w:val="right"/>
              <w:rPr>
                <w:rFonts w:ascii="Calibri" w:hAnsi="Calibri" w:cs="Calibri"/>
                <w:sz w:val="18"/>
                <w:szCs w:val="18"/>
              </w:rPr>
            </w:pPr>
            <w:r w:rsidRPr="00364545">
              <w:rPr>
                <w:rFonts w:ascii="Calibri" w:hAnsi="Calibri"/>
                <w:sz w:val="18"/>
              </w:rPr>
              <w:t>30</w:t>
            </w:r>
          </w:p>
        </w:tc>
        <w:tc>
          <w:tcPr>
            <w:tcW w:w="1433" w:type="dxa"/>
            <w:shd w:val="clear" w:color="auto" w:fill="auto"/>
            <w:noWrap/>
            <w:hideMark/>
          </w:tcPr>
          <w:p w14:paraId="3BEB5C40" w14:textId="77777777" w:rsidR="002E35D7" w:rsidRPr="00364545" w:rsidRDefault="002E35D7" w:rsidP="002E35D7">
            <w:pPr>
              <w:jc w:val="right"/>
              <w:rPr>
                <w:rFonts w:ascii="Calibri" w:hAnsi="Calibri" w:cs="Calibri"/>
                <w:sz w:val="18"/>
                <w:szCs w:val="18"/>
              </w:rPr>
            </w:pPr>
            <w:r w:rsidRPr="00364545">
              <w:rPr>
                <w:rFonts w:ascii="Calibri" w:hAnsi="Calibri"/>
                <w:sz w:val="18"/>
              </w:rPr>
              <w:t>30</w:t>
            </w:r>
          </w:p>
        </w:tc>
      </w:tr>
      <w:tr w:rsidR="002E35D7" w:rsidRPr="00364545" w14:paraId="79B68682" w14:textId="77777777" w:rsidTr="002E35D7">
        <w:trPr>
          <w:trHeight w:val="360"/>
          <w:jc w:val="center"/>
        </w:trPr>
        <w:tc>
          <w:tcPr>
            <w:tcW w:w="4611" w:type="dxa"/>
            <w:shd w:val="clear" w:color="auto" w:fill="auto"/>
            <w:hideMark/>
          </w:tcPr>
          <w:p w14:paraId="3AA8E209" w14:textId="77777777" w:rsidR="002E35D7" w:rsidRPr="00364545" w:rsidRDefault="002E35D7" w:rsidP="002E35D7">
            <w:pPr>
              <w:jc w:val="left"/>
              <w:rPr>
                <w:rFonts w:ascii="Calibri" w:hAnsi="Calibri" w:cs="Calibri"/>
                <w:sz w:val="18"/>
                <w:szCs w:val="18"/>
              </w:rPr>
            </w:pPr>
            <w:r w:rsidRPr="00364545">
              <w:rPr>
                <w:rFonts w:ascii="Calibri" w:hAnsi="Calibri"/>
                <w:sz w:val="18"/>
              </w:rPr>
              <w:t>Ban on certain fluorinated gases in motor vehicle air conditioning systems</w:t>
            </w:r>
          </w:p>
        </w:tc>
        <w:tc>
          <w:tcPr>
            <w:tcW w:w="1433" w:type="dxa"/>
            <w:shd w:val="clear" w:color="auto" w:fill="auto"/>
            <w:noWrap/>
            <w:hideMark/>
          </w:tcPr>
          <w:p w14:paraId="7BF447A3" w14:textId="77777777" w:rsidR="002E35D7" w:rsidRPr="00364545" w:rsidRDefault="002E35D7" w:rsidP="002E35D7">
            <w:pPr>
              <w:jc w:val="right"/>
              <w:rPr>
                <w:rFonts w:ascii="Calibri" w:hAnsi="Calibri" w:cs="Calibri"/>
                <w:sz w:val="18"/>
                <w:szCs w:val="18"/>
              </w:rPr>
            </w:pPr>
            <w:r w:rsidRPr="00364545">
              <w:rPr>
                <w:rFonts w:ascii="Calibri" w:hAnsi="Calibri"/>
                <w:sz w:val="18"/>
              </w:rPr>
              <w:t>2320</w:t>
            </w:r>
          </w:p>
        </w:tc>
        <w:tc>
          <w:tcPr>
            <w:tcW w:w="1433" w:type="dxa"/>
            <w:shd w:val="clear" w:color="auto" w:fill="auto"/>
            <w:noWrap/>
            <w:hideMark/>
          </w:tcPr>
          <w:p w14:paraId="656D2648" w14:textId="77777777" w:rsidR="002E35D7" w:rsidRPr="00364545" w:rsidRDefault="002E35D7" w:rsidP="002E35D7">
            <w:pPr>
              <w:jc w:val="right"/>
              <w:rPr>
                <w:rFonts w:ascii="Calibri" w:hAnsi="Calibri" w:cs="Calibri"/>
                <w:sz w:val="18"/>
                <w:szCs w:val="18"/>
              </w:rPr>
            </w:pPr>
            <w:r w:rsidRPr="00364545">
              <w:rPr>
                <w:rFonts w:ascii="Calibri" w:hAnsi="Calibri"/>
                <w:sz w:val="18"/>
              </w:rPr>
              <w:t>2830</w:t>
            </w:r>
          </w:p>
        </w:tc>
        <w:tc>
          <w:tcPr>
            <w:tcW w:w="1433" w:type="dxa"/>
            <w:shd w:val="clear" w:color="auto" w:fill="auto"/>
            <w:noWrap/>
            <w:hideMark/>
          </w:tcPr>
          <w:p w14:paraId="276291EB" w14:textId="77777777" w:rsidR="002E35D7" w:rsidRPr="00364545" w:rsidRDefault="002E35D7" w:rsidP="002E35D7">
            <w:pPr>
              <w:jc w:val="right"/>
              <w:rPr>
                <w:rFonts w:ascii="Calibri" w:hAnsi="Calibri" w:cs="Calibri"/>
                <w:sz w:val="18"/>
                <w:szCs w:val="18"/>
              </w:rPr>
            </w:pPr>
            <w:r w:rsidRPr="00364545">
              <w:rPr>
                <w:rFonts w:ascii="Calibri" w:hAnsi="Calibri"/>
                <w:sz w:val="18"/>
              </w:rPr>
              <w:t>2180</w:t>
            </w:r>
          </w:p>
        </w:tc>
        <w:tc>
          <w:tcPr>
            <w:tcW w:w="1433" w:type="dxa"/>
            <w:shd w:val="clear" w:color="auto" w:fill="auto"/>
            <w:noWrap/>
            <w:hideMark/>
          </w:tcPr>
          <w:p w14:paraId="0B849E38" w14:textId="77777777" w:rsidR="002E35D7" w:rsidRPr="00364545" w:rsidRDefault="002E35D7" w:rsidP="002E35D7">
            <w:pPr>
              <w:jc w:val="right"/>
              <w:rPr>
                <w:rFonts w:ascii="Calibri" w:hAnsi="Calibri" w:cs="Calibri"/>
                <w:sz w:val="18"/>
                <w:szCs w:val="18"/>
              </w:rPr>
            </w:pPr>
            <w:r w:rsidRPr="00364545">
              <w:rPr>
                <w:rFonts w:ascii="Calibri" w:hAnsi="Calibri"/>
                <w:sz w:val="18"/>
              </w:rPr>
              <w:t>2100</w:t>
            </w:r>
          </w:p>
        </w:tc>
      </w:tr>
      <w:tr w:rsidR="002E35D7" w:rsidRPr="00364545" w14:paraId="5DA2B268" w14:textId="77777777" w:rsidTr="002E35D7">
        <w:trPr>
          <w:trHeight w:val="360"/>
          <w:jc w:val="center"/>
        </w:trPr>
        <w:tc>
          <w:tcPr>
            <w:tcW w:w="4611" w:type="dxa"/>
            <w:shd w:val="clear" w:color="auto" w:fill="auto"/>
            <w:hideMark/>
          </w:tcPr>
          <w:p w14:paraId="6A5323F5" w14:textId="77777777" w:rsidR="002E35D7" w:rsidRPr="00364545" w:rsidRDefault="002E35D7" w:rsidP="002E35D7">
            <w:pPr>
              <w:jc w:val="left"/>
              <w:rPr>
                <w:rFonts w:ascii="Calibri" w:hAnsi="Calibri" w:cs="Calibri"/>
                <w:sz w:val="18"/>
                <w:szCs w:val="18"/>
              </w:rPr>
            </w:pPr>
            <w:r w:rsidRPr="00364545">
              <w:rPr>
                <w:rFonts w:ascii="Calibri" w:hAnsi="Calibri"/>
                <w:sz w:val="18"/>
              </w:rPr>
              <w:t>EU Regulations 443/2009 and 333/2014 setting targets for car manufacturers to reduce average emissions from new cars by 2020</w:t>
            </w:r>
          </w:p>
        </w:tc>
        <w:tc>
          <w:tcPr>
            <w:tcW w:w="1433" w:type="dxa"/>
            <w:shd w:val="clear" w:color="auto" w:fill="auto"/>
            <w:noWrap/>
            <w:hideMark/>
          </w:tcPr>
          <w:p w14:paraId="12975C3A" w14:textId="77777777" w:rsidR="002E35D7" w:rsidRPr="00364545" w:rsidRDefault="002E35D7" w:rsidP="002E35D7">
            <w:pPr>
              <w:jc w:val="right"/>
              <w:rPr>
                <w:rFonts w:ascii="Calibri" w:hAnsi="Calibri" w:cs="Calibri"/>
                <w:sz w:val="18"/>
                <w:szCs w:val="18"/>
              </w:rPr>
            </w:pPr>
            <w:r w:rsidRPr="00364545">
              <w:rPr>
                <w:rFonts w:ascii="Calibri" w:hAnsi="Calibri"/>
                <w:sz w:val="18"/>
              </w:rPr>
              <w:t>4353</w:t>
            </w:r>
          </w:p>
        </w:tc>
        <w:tc>
          <w:tcPr>
            <w:tcW w:w="1433" w:type="dxa"/>
            <w:shd w:val="clear" w:color="auto" w:fill="auto"/>
            <w:noWrap/>
            <w:hideMark/>
          </w:tcPr>
          <w:p w14:paraId="53B9D7F7" w14:textId="77777777" w:rsidR="002E35D7" w:rsidRPr="00364545" w:rsidRDefault="002E35D7" w:rsidP="002E35D7">
            <w:pPr>
              <w:jc w:val="right"/>
              <w:rPr>
                <w:rFonts w:ascii="Calibri" w:hAnsi="Calibri" w:cs="Calibri"/>
                <w:sz w:val="18"/>
                <w:szCs w:val="18"/>
              </w:rPr>
            </w:pPr>
            <w:r w:rsidRPr="00364545">
              <w:rPr>
                <w:rFonts w:ascii="Calibri" w:hAnsi="Calibri"/>
                <w:sz w:val="18"/>
              </w:rPr>
              <w:t>5409</w:t>
            </w:r>
          </w:p>
        </w:tc>
        <w:tc>
          <w:tcPr>
            <w:tcW w:w="1433" w:type="dxa"/>
            <w:shd w:val="clear" w:color="auto" w:fill="auto"/>
            <w:noWrap/>
            <w:hideMark/>
          </w:tcPr>
          <w:p w14:paraId="1B9EEFBB" w14:textId="77777777" w:rsidR="002E35D7" w:rsidRPr="00364545" w:rsidRDefault="002E35D7" w:rsidP="002E35D7">
            <w:pPr>
              <w:jc w:val="right"/>
              <w:rPr>
                <w:rFonts w:ascii="Calibri" w:hAnsi="Calibri" w:cs="Calibri"/>
                <w:sz w:val="18"/>
                <w:szCs w:val="18"/>
              </w:rPr>
            </w:pPr>
            <w:r w:rsidRPr="00364545">
              <w:rPr>
                <w:rFonts w:ascii="Calibri" w:hAnsi="Calibri"/>
                <w:sz w:val="18"/>
              </w:rPr>
              <w:t>6130</w:t>
            </w:r>
          </w:p>
        </w:tc>
        <w:tc>
          <w:tcPr>
            <w:tcW w:w="1433" w:type="dxa"/>
            <w:shd w:val="clear" w:color="auto" w:fill="auto"/>
            <w:noWrap/>
            <w:hideMark/>
          </w:tcPr>
          <w:p w14:paraId="3B5F99F9" w14:textId="77777777" w:rsidR="002E35D7" w:rsidRPr="00364545" w:rsidRDefault="002E35D7" w:rsidP="002E35D7">
            <w:pPr>
              <w:jc w:val="right"/>
              <w:rPr>
                <w:rFonts w:ascii="Calibri" w:hAnsi="Calibri" w:cs="Calibri"/>
                <w:sz w:val="18"/>
                <w:szCs w:val="18"/>
              </w:rPr>
            </w:pPr>
            <w:r w:rsidRPr="00364545">
              <w:rPr>
                <w:rFonts w:ascii="Calibri" w:hAnsi="Calibri"/>
                <w:sz w:val="18"/>
              </w:rPr>
              <w:t>6130</w:t>
            </w:r>
          </w:p>
        </w:tc>
      </w:tr>
      <w:tr w:rsidR="002E35D7" w:rsidRPr="00364545" w14:paraId="4CB05C1A" w14:textId="77777777" w:rsidTr="002E35D7">
        <w:trPr>
          <w:trHeight w:val="360"/>
          <w:jc w:val="center"/>
        </w:trPr>
        <w:tc>
          <w:tcPr>
            <w:tcW w:w="4611" w:type="dxa"/>
            <w:shd w:val="clear" w:color="auto" w:fill="auto"/>
            <w:hideMark/>
          </w:tcPr>
          <w:p w14:paraId="45A32E86" w14:textId="77777777" w:rsidR="002E35D7" w:rsidRPr="00364545" w:rsidRDefault="002E35D7" w:rsidP="002E35D7">
            <w:pPr>
              <w:jc w:val="left"/>
              <w:rPr>
                <w:rFonts w:ascii="Calibri" w:hAnsi="Calibri" w:cs="Calibri"/>
                <w:sz w:val="18"/>
                <w:szCs w:val="18"/>
              </w:rPr>
            </w:pPr>
            <w:r w:rsidRPr="00364545">
              <w:rPr>
                <w:rFonts w:ascii="Calibri" w:hAnsi="Calibri"/>
                <w:sz w:val="18"/>
              </w:rPr>
              <w:t>EU Regulation 510/2011 setting average emission reduction targets for new light commercial vehicles by 2020</w:t>
            </w:r>
          </w:p>
        </w:tc>
        <w:tc>
          <w:tcPr>
            <w:tcW w:w="1433" w:type="dxa"/>
            <w:shd w:val="clear" w:color="auto" w:fill="auto"/>
            <w:noWrap/>
            <w:hideMark/>
          </w:tcPr>
          <w:p w14:paraId="203CB65B" w14:textId="77777777" w:rsidR="002E35D7" w:rsidRPr="00364545" w:rsidRDefault="002E35D7" w:rsidP="002E35D7">
            <w:pPr>
              <w:jc w:val="right"/>
              <w:rPr>
                <w:rFonts w:ascii="Calibri" w:hAnsi="Calibri" w:cs="Calibri"/>
                <w:sz w:val="18"/>
                <w:szCs w:val="18"/>
              </w:rPr>
            </w:pPr>
            <w:r w:rsidRPr="00364545">
              <w:rPr>
                <w:rFonts w:ascii="Calibri" w:hAnsi="Calibri"/>
                <w:sz w:val="18"/>
              </w:rPr>
              <w:t>418</w:t>
            </w:r>
          </w:p>
        </w:tc>
        <w:tc>
          <w:tcPr>
            <w:tcW w:w="1433" w:type="dxa"/>
            <w:shd w:val="clear" w:color="auto" w:fill="auto"/>
            <w:noWrap/>
            <w:hideMark/>
          </w:tcPr>
          <w:p w14:paraId="542C7535" w14:textId="77777777" w:rsidR="002E35D7" w:rsidRPr="00364545" w:rsidRDefault="002E35D7" w:rsidP="002E35D7">
            <w:pPr>
              <w:jc w:val="right"/>
              <w:rPr>
                <w:rFonts w:ascii="Calibri" w:hAnsi="Calibri" w:cs="Calibri"/>
                <w:sz w:val="18"/>
                <w:szCs w:val="18"/>
              </w:rPr>
            </w:pPr>
            <w:r w:rsidRPr="00364545">
              <w:rPr>
                <w:rFonts w:ascii="Calibri" w:hAnsi="Calibri"/>
                <w:sz w:val="18"/>
              </w:rPr>
              <w:t>521</w:t>
            </w:r>
          </w:p>
        </w:tc>
        <w:tc>
          <w:tcPr>
            <w:tcW w:w="1433" w:type="dxa"/>
            <w:shd w:val="clear" w:color="auto" w:fill="auto"/>
            <w:noWrap/>
            <w:hideMark/>
          </w:tcPr>
          <w:p w14:paraId="48995C47" w14:textId="77777777" w:rsidR="002E35D7" w:rsidRPr="00364545" w:rsidRDefault="002E35D7" w:rsidP="002E35D7">
            <w:pPr>
              <w:jc w:val="right"/>
              <w:rPr>
                <w:rFonts w:ascii="Calibri" w:hAnsi="Calibri" w:cs="Calibri"/>
                <w:sz w:val="18"/>
                <w:szCs w:val="18"/>
              </w:rPr>
            </w:pPr>
            <w:r w:rsidRPr="00364545">
              <w:rPr>
                <w:rFonts w:ascii="Calibri" w:hAnsi="Calibri"/>
                <w:sz w:val="18"/>
              </w:rPr>
              <w:t>539</w:t>
            </w:r>
          </w:p>
        </w:tc>
        <w:tc>
          <w:tcPr>
            <w:tcW w:w="1433" w:type="dxa"/>
            <w:shd w:val="clear" w:color="auto" w:fill="auto"/>
            <w:noWrap/>
            <w:hideMark/>
          </w:tcPr>
          <w:p w14:paraId="3E75EA75" w14:textId="77777777" w:rsidR="002E35D7" w:rsidRPr="00364545" w:rsidRDefault="002E35D7" w:rsidP="002E35D7">
            <w:pPr>
              <w:jc w:val="right"/>
              <w:rPr>
                <w:rFonts w:ascii="Calibri" w:hAnsi="Calibri" w:cs="Calibri"/>
                <w:sz w:val="18"/>
                <w:szCs w:val="18"/>
              </w:rPr>
            </w:pPr>
            <w:r w:rsidRPr="00364545">
              <w:rPr>
                <w:rFonts w:ascii="Calibri" w:hAnsi="Calibri"/>
                <w:sz w:val="18"/>
              </w:rPr>
              <w:t>539</w:t>
            </w:r>
          </w:p>
        </w:tc>
      </w:tr>
      <w:tr w:rsidR="002E35D7" w:rsidRPr="00364545" w14:paraId="35EE97A2" w14:textId="77777777" w:rsidTr="002E35D7">
        <w:trPr>
          <w:trHeight w:val="360"/>
          <w:jc w:val="center"/>
        </w:trPr>
        <w:tc>
          <w:tcPr>
            <w:tcW w:w="4611" w:type="dxa"/>
            <w:shd w:val="clear" w:color="auto" w:fill="auto"/>
            <w:hideMark/>
          </w:tcPr>
          <w:p w14:paraId="24CA23DE" w14:textId="77777777" w:rsidR="002E35D7" w:rsidRPr="00364545" w:rsidRDefault="002E35D7" w:rsidP="002E35D7">
            <w:pPr>
              <w:jc w:val="left"/>
              <w:rPr>
                <w:rFonts w:ascii="Calibri" w:hAnsi="Calibri" w:cs="Calibri"/>
                <w:sz w:val="18"/>
                <w:szCs w:val="18"/>
              </w:rPr>
            </w:pPr>
            <w:r w:rsidRPr="00364545">
              <w:rPr>
                <w:rFonts w:ascii="Calibri" w:hAnsi="Calibri"/>
                <w:sz w:val="18"/>
              </w:rPr>
              <w:t>European Regulation n°2019/631 of 17 April 2019 setting emission reduction targets for new passenger cars and light commercial vehicles for the years 2025 and 2030</w:t>
            </w:r>
          </w:p>
        </w:tc>
        <w:tc>
          <w:tcPr>
            <w:tcW w:w="1433" w:type="dxa"/>
            <w:shd w:val="clear" w:color="auto" w:fill="auto"/>
            <w:noWrap/>
            <w:hideMark/>
          </w:tcPr>
          <w:p w14:paraId="79CECDFE" w14:textId="77777777" w:rsidR="002E35D7" w:rsidRPr="00364545" w:rsidRDefault="002E35D7" w:rsidP="002E35D7">
            <w:pPr>
              <w:jc w:val="right"/>
              <w:rPr>
                <w:rFonts w:ascii="Calibri" w:hAnsi="Calibri" w:cs="Calibri"/>
                <w:sz w:val="18"/>
                <w:szCs w:val="18"/>
              </w:rPr>
            </w:pPr>
            <w:r w:rsidRPr="00364545">
              <w:rPr>
                <w:rFonts w:ascii="Calibri" w:hAnsi="Calibri"/>
                <w:sz w:val="18"/>
              </w:rPr>
              <w:t>4650</w:t>
            </w:r>
          </w:p>
        </w:tc>
        <w:tc>
          <w:tcPr>
            <w:tcW w:w="1433" w:type="dxa"/>
            <w:shd w:val="clear" w:color="auto" w:fill="auto"/>
            <w:noWrap/>
            <w:hideMark/>
          </w:tcPr>
          <w:p w14:paraId="0DC17B05" w14:textId="77777777" w:rsidR="002E35D7" w:rsidRPr="00364545" w:rsidRDefault="002E35D7" w:rsidP="002E35D7">
            <w:pPr>
              <w:jc w:val="right"/>
              <w:rPr>
                <w:rFonts w:ascii="Calibri" w:hAnsi="Calibri" w:cs="Calibri"/>
                <w:sz w:val="18"/>
                <w:szCs w:val="18"/>
              </w:rPr>
            </w:pPr>
            <w:r w:rsidRPr="00364545">
              <w:rPr>
                <w:rFonts w:ascii="Calibri" w:hAnsi="Calibri"/>
                <w:sz w:val="18"/>
              </w:rPr>
              <w:t>12560</w:t>
            </w:r>
          </w:p>
        </w:tc>
        <w:tc>
          <w:tcPr>
            <w:tcW w:w="1433" w:type="dxa"/>
            <w:shd w:val="clear" w:color="auto" w:fill="auto"/>
            <w:noWrap/>
            <w:hideMark/>
          </w:tcPr>
          <w:p w14:paraId="5299181A" w14:textId="77777777" w:rsidR="002E35D7" w:rsidRPr="00364545" w:rsidRDefault="002E35D7" w:rsidP="002E35D7">
            <w:pPr>
              <w:jc w:val="right"/>
              <w:rPr>
                <w:rFonts w:ascii="Calibri" w:hAnsi="Calibri" w:cs="Calibri"/>
                <w:sz w:val="18"/>
                <w:szCs w:val="18"/>
              </w:rPr>
            </w:pPr>
            <w:r w:rsidRPr="00364545">
              <w:rPr>
                <w:rFonts w:ascii="Calibri" w:hAnsi="Calibri"/>
                <w:sz w:val="18"/>
              </w:rPr>
              <w:t>23730</w:t>
            </w:r>
          </w:p>
        </w:tc>
        <w:tc>
          <w:tcPr>
            <w:tcW w:w="1433" w:type="dxa"/>
            <w:shd w:val="clear" w:color="auto" w:fill="auto"/>
            <w:noWrap/>
            <w:hideMark/>
          </w:tcPr>
          <w:p w14:paraId="563E7A81" w14:textId="77777777" w:rsidR="002E35D7" w:rsidRPr="00364545" w:rsidRDefault="002E35D7" w:rsidP="002E35D7">
            <w:pPr>
              <w:jc w:val="right"/>
              <w:rPr>
                <w:rFonts w:ascii="Calibri" w:hAnsi="Calibri" w:cs="Calibri"/>
                <w:sz w:val="18"/>
                <w:szCs w:val="18"/>
              </w:rPr>
            </w:pPr>
            <w:r w:rsidRPr="00364545">
              <w:rPr>
                <w:rFonts w:ascii="Calibri" w:hAnsi="Calibri"/>
                <w:sz w:val="18"/>
              </w:rPr>
              <w:t>34900</w:t>
            </w:r>
          </w:p>
        </w:tc>
      </w:tr>
      <w:tr w:rsidR="002E35D7" w:rsidRPr="00364545" w14:paraId="25018917" w14:textId="77777777" w:rsidTr="002E35D7">
        <w:trPr>
          <w:trHeight w:val="360"/>
          <w:jc w:val="center"/>
        </w:trPr>
        <w:tc>
          <w:tcPr>
            <w:tcW w:w="4611" w:type="dxa"/>
            <w:shd w:val="clear" w:color="auto" w:fill="auto"/>
            <w:hideMark/>
          </w:tcPr>
          <w:p w14:paraId="1D3BE37E" w14:textId="77777777" w:rsidR="002E35D7" w:rsidRPr="00364545" w:rsidRDefault="002E35D7" w:rsidP="002E35D7">
            <w:pPr>
              <w:jc w:val="left"/>
              <w:rPr>
                <w:rFonts w:ascii="Calibri" w:hAnsi="Calibri" w:cs="Calibri"/>
                <w:sz w:val="18"/>
                <w:szCs w:val="18"/>
              </w:rPr>
            </w:pPr>
            <w:r w:rsidRPr="00364545">
              <w:rPr>
                <w:rFonts w:ascii="Calibri" w:hAnsi="Calibri"/>
                <w:sz w:val="18"/>
              </w:rPr>
              <w:t>European Regulation n°2019/1242 of 20 June 2019 setting emission reduction targets for heavy goods vehicles for 2025 and 2030</w:t>
            </w:r>
          </w:p>
        </w:tc>
        <w:tc>
          <w:tcPr>
            <w:tcW w:w="1433" w:type="dxa"/>
            <w:shd w:val="clear" w:color="auto" w:fill="auto"/>
            <w:noWrap/>
            <w:hideMark/>
          </w:tcPr>
          <w:p w14:paraId="1D9310BF" w14:textId="77777777" w:rsidR="002E35D7" w:rsidRPr="00364545" w:rsidRDefault="002E35D7" w:rsidP="002E35D7">
            <w:pPr>
              <w:jc w:val="right"/>
              <w:rPr>
                <w:rFonts w:ascii="Calibri" w:hAnsi="Calibri" w:cs="Calibri"/>
                <w:sz w:val="18"/>
                <w:szCs w:val="18"/>
              </w:rPr>
            </w:pPr>
            <w:r w:rsidRPr="00364545">
              <w:rPr>
                <w:rFonts w:ascii="Calibri" w:hAnsi="Calibri"/>
                <w:sz w:val="18"/>
              </w:rPr>
              <w:t>1250</w:t>
            </w:r>
          </w:p>
        </w:tc>
        <w:tc>
          <w:tcPr>
            <w:tcW w:w="1433" w:type="dxa"/>
            <w:shd w:val="clear" w:color="auto" w:fill="auto"/>
            <w:noWrap/>
            <w:hideMark/>
          </w:tcPr>
          <w:p w14:paraId="2DF63D2A" w14:textId="77777777" w:rsidR="002E35D7" w:rsidRPr="00364545" w:rsidRDefault="002E35D7" w:rsidP="002E35D7">
            <w:pPr>
              <w:jc w:val="right"/>
              <w:rPr>
                <w:rFonts w:ascii="Calibri" w:hAnsi="Calibri" w:cs="Calibri"/>
                <w:sz w:val="18"/>
                <w:szCs w:val="18"/>
              </w:rPr>
            </w:pPr>
            <w:r w:rsidRPr="00364545">
              <w:rPr>
                <w:rFonts w:ascii="Calibri" w:hAnsi="Calibri"/>
                <w:sz w:val="18"/>
              </w:rPr>
              <w:t>3125</w:t>
            </w:r>
          </w:p>
        </w:tc>
        <w:tc>
          <w:tcPr>
            <w:tcW w:w="1433" w:type="dxa"/>
            <w:shd w:val="clear" w:color="auto" w:fill="auto"/>
            <w:noWrap/>
            <w:hideMark/>
          </w:tcPr>
          <w:p w14:paraId="5A953C90" w14:textId="77777777" w:rsidR="002E35D7" w:rsidRPr="00364545" w:rsidRDefault="002E35D7" w:rsidP="002E35D7">
            <w:pPr>
              <w:jc w:val="right"/>
              <w:rPr>
                <w:rFonts w:ascii="Calibri" w:hAnsi="Calibri" w:cs="Calibri"/>
                <w:sz w:val="18"/>
                <w:szCs w:val="18"/>
              </w:rPr>
            </w:pPr>
            <w:r w:rsidRPr="00364545">
              <w:rPr>
                <w:rFonts w:ascii="Calibri" w:hAnsi="Calibri"/>
                <w:sz w:val="18"/>
              </w:rPr>
              <w:t>5625</w:t>
            </w:r>
          </w:p>
        </w:tc>
        <w:tc>
          <w:tcPr>
            <w:tcW w:w="1433" w:type="dxa"/>
            <w:shd w:val="clear" w:color="auto" w:fill="auto"/>
            <w:noWrap/>
            <w:hideMark/>
          </w:tcPr>
          <w:p w14:paraId="2A414505" w14:textId="77777777" w:rsidR="002E35D7" w:rsidRPr="00364545" w:rsidRDefault="002E35D7" w:rsidP="002E35D7">
            <w:pPr>
              <w:jc w:val="right"/>
              <w:rPr>
                <w:rFonts w:ascii="Calibri" w:hAnsi="Calibri" w:cs="Calibri"/>
                <w:sz w:val="18"/>
                <w:szCs w:val="18"/>
              </w:rPr>
            </w:pPr>
            <w:r w:rsidRPr="00364545">
              <w:rPr>
                <w:rFonts w:ascii="Calibri" w:hAnsi="Calibri"/>
                <w:sz w:val="18"/>
              </w:rPr>
              <w:t>8125</w:t>
            </w:r>
          </w:p>
        </w:tc>
      </w:tr>
      <w:tr w:rsidR="002E35D7" w:rsidRPr="00364545" w14:paraId="489CED74" w14:textId="77777777" w:rsidTr="002E35D7">
        <w:trPr>
          <w:trHeight w:val="360"/>
          <w:jc w:val="center"/>
        </w:trPr>
        <w:tc>
          <w:tcPr>
            <w:tcW w:w="4611" w:type="dxa"/>
            <w:shd w:val="clear" w:color="auto" w:fill="auto"/>
            <w:hideMark/>
          </w:tcPr>
          <w:p w14:paraId="46F4FAA4" w14:textId="77777777" w:rsidR="002E35D7" w:rsidRPr="00364545" w:rsidRDefault="002E35D7" w:rsidP="002E35D7">
            <w:pPr>
              <w:jc w:val="left"/>
              <w:rPr>
                <w:rFonts w:ascii="Calibri" w:hAnsi="Calibri" w:cs="Calibri"/>
                <w:sz w:val="18"/>
                <w:szCs w:val="18"/>
              </w:rPr>
            </w:pPr>
            <w:r w:rsidRPr="00364545">
              <w:rPr>
                <w:rFonts w:ascii="Calibri" w:hAnsi="Calibri"/>
                <w:sz w:val="18"/>
              </w:rPr>
              <w:t>Incentive tax on the incorporation of biofuels (TIRUERT) to encourage the introduction of biofuels</w:t>
            </w:r>
          </w:p>
        </w:tc>
        <w:tc>
          <w:tcPr>
            <w:tcW w:w="1433" w:type="dxa"/>
            <w:shd w:val="clear" w:color="auto" w:fill="auto"/>
            <w:noWrap/>
            <w:hideMark/>
          </w:tcPr>
          <w:p w14:paraId="3F4043C3" w14:textId="77777777" w:rsidR="002E35D7" w:rsidRPr="00364545" w:rsidRDefault="002E35D7" w:rsidP="002E35D7">
            <w:pPr>
              <w:jc w:val="right"/>
              <w:rPr>
                <w:rFonts w:ascii="Calibri" w:hAnsi="Calibri" w:cs="Calibri"/>
                <w:sz w:val="18"/>
                <w:szCs w:val="18"/>
              </w:rPr>
            </w:pPr>
            <w:r w:rsidRPr="00364545">
              <w:rPr>
                <w:rFonts w:ascii="Calibri" w:hAnsi="Calibri"/>
                <w:sz w:val="18"/>
              </w:rPr>
              <w:t>7381</w:t>
            </w:r>
          </w:p>
        </w:tc>
        <w:tc>
          <w:tcPr>
            <w:tcW w:w="1433" w:type="dxa"/>
            <w:shd w:val="clear" w:color="auto" w:fill="auto"/>
            <w:noWrap/>
            <w:hideMark/>
          </w:tcPr>
          <w:p w14:paraId="1F74760B" w14:textId="77777777" w:rsidR="002E35D7" w:rsidRPr="00364545" w:rsidRDefault="002E35D7" w:rsidP="002E35D7">
            <w:pPr>
              <w:jc w:val="right"/>
              <w:rPr>
                <w:rFonts w:ascii="Calibri" w:hAnsi="Calibri" w:cs="Calibri"/>
                <w:sz w:val="18"/>
                <w:szCs w:val="18"/>
              </w:rPr>
            </w:pPr>
            <w:r w:rsidRPr="00364545">
              <w:rPr>
                <w:rFonts w:ascii="Calibri" w:hAnsi="Calibri"/>
                <w:sz w:val="18"/>
              </w:rPr>
              <w:t>6112</w:t>
            </w:r>
          </w:p>
        </w:tc>
        <w:tc>
          <w:tcPr>
            <w:tcW w:w="1433" w:type="dxa"/>
            <w:shd w:val="clear" w:color="auto" w:fill="auto"/>
            <w:noWrap/>
            <w:hideMark/>
          </w:tcPr>
          <w:p w14:paraId="51E1548B" w14:textId="77777777" w:rsidR="002E35D7" w:rsidRPr="00364545" w:rsidRDefault="002E35D7" w:rsidP="002E35D7">
            <w:pPr>
              <w:jc w:val="right"/>
              <w:rPr>
                <w:rFonts w:ascii="Calibri" w:hAnsi="Calibri" w:cs="Calibri"/>
                <w:sz w:val="18"/>
                <w:szCs w:val="18"/>
              </w:rPr>
            </w:pPr>
            <w:r w:rsidRPr="00364545">
              <w:rPr>
                <w:rFonts w:ascii="Calibri" w:hAnsi="Calibri"/>
                <w:sz w:val="18"/>
              </w:rPr>
              <w:t>5482</w:t>
            </w:r>
          </w:p>
        </w:tc>
        <w:tc>
          <w:tcPr>
            <w:tcW w:w="1433" w:type="dxa"/>
            <w:shd w:val="clear" w:color="auto" w:fill="auto"/>
            <w:noWrap/>
            <w:hideMark/>
          </w:tcPr>
          <w:p w14:paraId="4C753C73" w14:textId="77777777" w:rsidR="002E35D7" w:rsidRPr="00364545" w:rsidRDefault="002E35D7" w:rsidP="002E35D7">
            <w:pPr>
              <w:jc w:val="right"/>
              <w:rPr>
                <w:rFonts w:ascii="Calibri" w:hAnsi="Calibri" w:cs="Calibri"/>
                <w:sz w:val="18"/>
                <w:szCs w:val="18"/>
              </w:rPr>
            </w:pPr>
            <w:r w:rsidRPr="00364545">
              <w:rPr>
                <w:rFonts w:ascii="Calibri" w:hAnsi="Calibri"/>
                <w:sz w:val="18"/>
              </w:rPr>
              <w:t>4774</w:t>
            </w:r>
          </w:p>
        </w:tc>
      </w:tr>
      <w:tr w:rsidR="002E35D7" w:rsidRPr="00364545" w14:paraId="505A0914" w14:textId="77777777" w:rsidTr="002E35D7">
        <w:trPr>
          <w:trHeight w:val="360"/>
          <w:jc w:val="center"/>
        </w:trPr>
        <w:tc>
          <w:tcPr>
            <w:tcW w:w="4611" w:type="dxa"/>
            <w:shd w:val="clear" w:color="auto" w:fill="auto"/>
            <w:hideMark/>
          </w:tcPr>
          <w:p w14:paraId="474E67A3" w14:textId="77777777" w:rsidR="002E35D7" w:rsidRPr="00364545" w:rsidRDefault="002E35D7" w:rsidP="002E35D7">
            <w:pPr>
              <w:jc w:val="left"/>
              <w:rPr>
                <w:rFonts w:ascii="Calibri" w:hAnsi="Calibri" w:cs="Calibri"/>
                <w:sz w:val="18"/>
                <w:szCs w:val="18"/>
              </w:rPr>
            </w:pPr>
            <w:r w:rsidRPr="00364545">
              <w:rPr>
                <w:rFonts w:ascii="Calibri" w:hAnsi="Calibri"/>
                <w:sz w:val="18"/>
              </w:rPr>
              <w:t>Development of high-speed rail lines</w:t>
            </w:r>
          </w:p>
        </w:tc>
        <w:tc>
          <w:tcPr>
            <w:tcW w:w="1433" w:type="dxa"/>
            <w:shd w:val="clear" w:color="auto" w:fill="auto"/>
            <w:noWrap/>
            <w:hideMark/>
          </w:tcPr>
          <w:p w14:paraId="25EAB2A8" w14:textId="77777777" w:rsidR="002E35D7" w:rsidRPr="00364545" w:rsidRDefault="002E35D7" w:rsidP="002E35D7">
            <w:pPr>
              <w:jc w:val="right"/>
              <w:rPr>
                <w:rFonts w:ascii="Calibri" w:hAnsi="Calibri" w:cs="Calibri"/>
                <w:sz w:val="18"/>
                <w:szCs w:val="18"/>
              </w:rPr>
            </w:pPr>
            <w:r w:rsidRPr="00364545">
              <w:rPr>
                <w:rFonts w:ascii="Calibri" w:hAnsi="Calibri"/>
                <w:sz w:val="18"/>
              </w:rPr>
              <w:t>441</w:t>
            </w:r>
          </w:p>
        </w:tc>
        <w:tc>
          <w:tcPr>
            <w:tcW w:w="1433" w:type="dxa"/>
            <w:shd w:val="clear" w:color="auto" w:fill="auto"/>
            <w:noWrap/>
            <w:hideMark/>
          </w:tcPr>
          <w:p w14:paraId="37D493B9" w14:textId="77777777" w:rsidR="002E35D7" w:rsidRPr="00364545" w:rsidRDefault="002E35D7" w:rsidP="002E35D7">
            <w:pPr>
              <w:jc w:val="right"/>
              <w:rPr>
                <w:rFonts w:ascii="Calibri" w:hAnsi="Calibri" w:cs="Calibri"/>
                <w:sz w:val="18"/>
                <w:szCs w:val="18"/>
              </w:rPr>
            </w:pPr>
            <w:r w:rsidRPr="00364545">
              <w:rPr>
                <w:rFonts w:ascii="Calibri" w:hAnsi="Calibri"/>
                <w:sz w:val="18"/>
              </w:rPr>
              <w:t>434</w:t>
            </w:r>
          </w:p>
        </w:tc>
        <w:tc>
          <w:tcPr>
            <w:tcW w:w="1433" w:type="dxa"/>
            <w:shd w:val="clear" w:color="auto" w:fill="auto"/>
            <w:noWrap/>
            <w:hideMark/>
          </w:tcPr>
          <w:p w14:paraId="7133FEFD" w14:textId="77777777" w:rsidR="002E35D7" w:rsidRPr="00364545" w:rsidRDefault="002E35D7" w:rsidP="002E35D7">
            <w:pPr>
              <w:jc w:val="right"/>
              <w:rPr>
                <w:rFonts w:ascii="Calibri" w:hAnsi="Calibri" w:cs="Calibri"/>
                <w:sz w:val="18"/>
                <w:szCs w:val="18"/>
              </w:rPr>
            </w:pPr>
            <w:r w:rsidRPr="00364545">
              <w:rPr>
                <w:rFonts w:ascii="Calibri" w:hAnsi="Calibri"/>
                <w:sz w:val="18"/>
              </w:rPr>
              <w:t>425</w:t>
            </w:r>
          </w:p>
        </w:tc>
        <w:tc>
          <w:tcPr>
            <w:tcW w:w="1433" w:type="dxa"/>
            <w:shd w:val="clear" w:color="auto" w:fill="auto"/>
            <w:noWrap/>
            <w:hideMark/>
          </w:tcPr>
          <w:p w14:paraId="72CA277E" w14:textId="77777777" w:rsidR="002E35D7" w:rsidRPr="00364545" w:rsidRDefault="002E35D7" w:rsidP="002E35D7">
            <w:pPr>
              <w:jc w:val="right"/>
              <w:rPr>
                <w:rFonts w:ascii="Calibri" w:hAnsi="Calibri" w:cs="Calibri"/>
                <w:sz w:val="18"/>
                <w:szCs w:val="18"/>
              </w:rPr>
            </w:pPr>
            <w:r w:rsidRPr="00364545">
              <w:rPr>
                <w:rFonts w:ascii="Calibri" w:hAnsi="Calibri"/>
                <w:sz w:val="18"/>
              </w:rPr>
              <w:t>425</w:t>
            </w:r>
          </w:p>
        </w:tc>
      </w:tr>
      <w:tr w:rsidR="002E35D7" w:rsidRPr="00364545" w14:paraId="6D3AA788" w14:textId="77777777" w:rsidTr="002E35D7">
        <w:trPr>
          <w:trHeight w:val="360"/>
          <w:jc w:val="center"/>
        </w:trPr>
        <w:tc>
          <w:tcPr>
            <w:tcW w:w="4611" w:type="dxa"/>
            <w:shd w:val="clear" w:color="auto" w:fill="auto"/>
            <w:hideMark/>
          </w:tcPr>
          <w:p w14:paraId="291B2B4B" w14:textId="77777777" w:rsidR="002E35D7" w:rsidRPr="00364545" w:rsidRDefault="002E35D7" w:rsidP="002E35D7">
            <w:pPr>
              <w:jc w:val="left"/>
              <w:rPr>
                <w:rFonts w:ascii="Calibri" w:hAnsi="Calibri" w:cs="Calibri"/>
                <w:sz w:val="18"/>
                <w:szCs w:val="18"/>
              </w:rPr>
            </w:pPr>
            <w:r w:rsidRPr="00364545">
              <w:rPr>
                <w:rFonts w:ascii="Calibri" w:hAnsi="Calibri"/>
                <w:sz w:val="18"/>
              </w:rPr>
              <w:t>Obligation to sort waste from economic activities (for paper, cardboard, plastic, metals, wood, glass)</w:t>
            </w:r>
          </w:p>
        </w:tc>
        <w:tc>
          <w:tcPr>
            <w:tcW w:w="1433" w:type="dxa"/>
            <w:shd w:val="clear" w:color="auto" w:fill="auto"/>
            <w:noWrap/>
            <w:hideMark/>
          </w:tcPr>
          <w:p w14:paraId="1258ACB9" w14:textId="77777777" w:rsidR="002E35D7" w:rsidRPr="00364545" w:rsidRDefault="002E35D7" w:rsidP="002E35D7">
            <w:pPr>
              <w:jc w:val="right"/>
              <w:rPr>
                <w:rFonts w:ascii="Calibri" w:hAnsi="Calibri" w:cs="Calibri"/>
                <w:sz w:val="18"/>
                <w:szCs w:val="18"/>
              </w:rPr>
            </w:pPr>
            <w:r w:rsidRPr="00364545">
              <w:rPr>
                <w:rFonts w:ascii="Calibri" w:hAnsi="Calibri"/>
                <w:sz w:val="18"/>
              </w:rPr>
              <w:t>3600</w:t>
            </w:r>
          </w:p>
        </w:tc>
        <w:tc>
          <w:tcPr>
            <w:tcW w:w="1433" w:type="dxa"/>
            <w:shd w:val="clear" w:color="auto" w:fill="auto"/>
            <w:noWrap/>
            <w:hideMark/>
          </w:tcPr>
          <w:p w14:paraId="6EE6EBD4" w14:textId="77777777" w:rsidR="002E35D7" w:rsidRPr="00364545" w:rsidRDefault="002E35D7" w:rsidP="002E35D7">
            <w:pPr>
              <w:jc w:val="right"/>
              <w:rPr>
                <w:rFonts w:ascii="Calibri" w:hAnsi="Calibri" w:cs="Calibri"/>
                <w:sz w:val="18"/>
                <w:szCs w:val="18"/>
              </w:rPr>
            </w:pPr>
            <w:r w:rsidRPr="00364545">
              <w:rPr>
                <w:rFonts w:ascii="Calibri" w:hAnsi="Calibri"/>
                <w:sz w:val="18"/>
              </w:rPr>
              <w:t>4000</w:t>
            </w:r>
          </w:p>
        </w:tc>
        <w:tc>
          <w:tcPr>
            <w:tcW w:w="1433" w:type="dxa"/>
            <w:shd w:val="clear" w:color="auto" w:fill="auto"/>
            <w:noWrap/>
            <w:hideMark/>
          </w:tcPr>
          <w:p w14:paraId="2BF20DD1" w14:textId="77777777" w:rsidR="002E35D7" w:rsidRPr="00364545" w:rsidRDefault="002E35D7" w:rsidP="002E35D7">
            <w:pPr>
              <w:jc w:val="right"/>
              <w:rPr>
                <w:rFonts w:ascii="Calibri" w:hAnsi="Calibri" w:cs="Calibri"/>
                <w:sz w:val="18"/>
                <w:szCs w:val="18"/>
              </w:rPr>
            </w:pPr>
            <w:r w:rsidRPr="00364545">
              <w:rPr>
                <w:rFonts w:ascii="Calibri" w:hAnsi="Calibri"/>
                <w:sz w:val="18"/>
              </w:rPr>
              <w:t>4200</w:t>
            </w:r>
          </w:p>
        </w:tc>
        <w:tc>
          <w:tcPr>
            <w:tcW w:w="1433" w:type="dxa"/>
            <w:shd w:val="clear" w:color="auto" w:fill="auto"/>
            <w:noWrap/>
            <w:hideMark/>
          </w:tcPr>
          <w:p w14:paraId="0008D0B0" w14:textId="77777777" w:rsidR="002E35D7" w:rsidRPr="00364545" w:rsidRDefault="002E35D7" w:rsidP="002E35D7">
            <w:pPr>
              <w:jc w:val="right"/>
              <w:rPr>
                <w:rFonts w:ascii="Calibri" w:hAnsi="Calibri" w:cs="Calibri"/>
                <w:sz w:val="18"/>
                <w:szCs w:val="18"/>
              </w:rPr>
            </w:pPr>
            <w:r w:rsidRPr="00364545">
              <w:rPr>
                <w:rFonts w:ascii="Calibri" w:hAnsi="Calibri"/>
                <w:sz w:val="18"/>
              </w:rPr>
              <w:t>4200</w:t>
            </w:r>
          </w:p>
        </w:tc>
      </w:tr>
      <w:tr w:rsidR="002E35D7" w:rsidRPr="00364545" w14:paraId="621C0B3D" w14:textId="77777777" w:rsidTr="002E35D7">
        <w:trPr>
          <w:trHeight w:val="211"/>
          <w:jc w:val="center"/>
        </w:trPr>
        <w:tc>
          <w:tcPr>
            <w:tcW w:w="4611" w:type="dxa"/>
            <w:shd w:val="clear" w:color="auto" w:fill="auto"/>
          </w:tcPr>
          <w:p w14:paraId="48AD651C" w14:textId="13ED8E6A" w:rsidR="002E35D7" w:rsidRPr="00364545" w:rsidRDefault="002E35D7" w:rsidP="002E35D7">
            <w:pPr>
              <w:jc w:val="left"/>
              <w:rPr>
                <w:rFonts w:ascii="Calibri" w:hAnsi="Calibri" w:cs="Calibri"/>
                <w:b/>
                <w:sz w:val="18"/>
                <w:szCs w:val="18"/>
              </w:rPr>
            </w:pPr>
            <w:r w:rsidRPr="00364545">
              <w:rPr>
                <w:rFonts w:ascii="Calibri" w:hAnsi="Calibri"/>
                <w:b/>
                <w:sz w:val="18"/>
              </w:rPr>
              <w:t>TOTAL</w:t>
            </w:r>
          </w:p>
        </w:tc>
        <w:tc>
          <w:tcPr>
            <w:tcW w:w="1433" w:type="dxa"/>
            <w:shd w:val="clear" w:color="auto" w:fill="auto"/>
            <w:noWrap/>
            <w:vAlign w:val="bottom"/>
          </w:tcPr>
          <w:p w14:paraId="3F0CADCD" w14:textId="71959C5F" w:rsidR="002E35D7" w:rsidRPr="00364545" w:rsidRDefault="00426A57" w:rsidP="002E35D7">
            <w:pPr>
              <w:jc w:val="right"/>
              <w:rPr>
                <w:rFonts w:ascii="Calibri" w:hAnsi="Calibri" w:cs="Calibri"/>
                <w:b/>
                <w:sz w:val="18"/>
                <w:szCs w:val="18"/>
              </w:rPr>
            </w:pPr>
            <w:r>
              <w:rPr>
                <w:rFonts w:ascii="Calibri" w:hAnsi="Calibri"/>
                <w:b/>
                <w:color w:val="000000"/>
                <w:sz w:val="18"/>
              </w:rPr>
              <w:t>46073</w:t>
            </w:r>
          </w:p>
        </w:tc>
        <w:tc>
          <w:tcPr>
            <w:tcW w:w="1433" w:type="dxa"/>
            <w:shd w:val="clear" w:color="auto" w:fill="auto"/>
            <w:noWrap/>
            <w:vAlign w:val="bottom"/>
          </w:tcPr>
          <w:p w14:paraId="64746803" w14:textId="139CD409" w:rsidR="002E35D7" w:rsidRPr="00364545" w:rsidRDefault="00426A57" w:rsidP="002E35D7">
            <w:pPr>
              <w:jc w:val="right"/>
              <w:rPr>
                <w:rFonts w:ascii="Calibri" w:hAnsi="Calibri" w:cs="Calibri"/>
                <w:b/>
                <w:sz w:val="18"/>
                <w:szCs w:val="18"/>
              </w:rPr>
            </w:pPr>
            <w:r>
              <w:rPr>
                <w:rFonts w:ascii="Calibri" w:hAnsi="Calibri"/>
                <w:b/>
                <w:color w:val="000000"/>
                <w:sz w:val="18"/>
              </w:rPr>
              <w:t>59581</w:t>
            </w:r>
          </w:p>
        </w:tc>
        <w:tc>
          <w:tcPr>
            <w:tcW w:w="1433" w:type="dxa"/>
            <w:shd w:val="clear" w:color="auto" w:fill="auto"/>
            <w:noWrap/>
            <w:vAlign w:val="bottom"/>
          </w:tcPr>
          <w:p w14:paraId="60C7336C" w14:textId="027F29ED" w:rsidR="002E35D7" w:rsidRPr="00364545" w:rsidRDefault="00426A57" w:rsidP="002E35D7">
            <w:pPr>
              <w:jc w:val="right"/>
              <w:rPr>
                <w:rFonts w:ascii="Calibri" w:hAnsi="Calibri" w:cs="Calibri"/>
                <w:b/>
                <w:sz w:val="18"/>
                <w:szCs w:val="18"/>
              </w:rPr>
            </w:pPr>
            <w:r>
              <w:rPr>
                <w:rFonts w:ascii="Calibri" w:hAnsi="Calibri"/>
                <w:b/>
                <w:color w:val="000000"/>
                <w:sz w:val="18"/>
              </w:rPr>
              <w:t>76041</w:t>
            </w:r>
          </w:p>
        </w:tc>
        <w:tc>
          <w:tcPr>
            <w:tcW w:w="1433" w:type="dxa"/>
            <w:shd w:val="clear" w:color="auto" w:fill="auto"/>
            <w:noWrap/>
            <w:vAlign w:val="bottom"/>
          </w:tcPr>
          <w:p w14:paraId="550CAB7F" w14:textId="6378159A" w:rsidR="002E35D7" w:rsidRPr="00364545" w:rsidRDefault="00426A57" w:rsidP="002E35D7">
            <w:pPr>
              <w:jc w:val="right"/>
              <w:rPr>
                <w:rFonts w:ascii="Calibri" w:hAnsi="Calibri" w:cs="Calibri"/>
                <w:b/>
                <w:sz w:val="18"/>
                <w:szCs w:val="18"/>
              </w:rPr>
            </w:pPr>
            <w:r>
              <w:rPr>
                <w:rFonts w:ascii="Calibri" w:hAnsi="Calibri"/>
                <w:b/>
                <w:color w:val="000000"/>
                <w:sz w:val="18"/>
              </w:rPr>
              <w:t>75623</w:t>
            </w:r>
          </w:p>
        </w:tc>
      </w:tr>
    </w:tbl>
    <w:p w14:paraId="7E3E021A" w14:textId="5E591223" w:rsidR="002E35D7" w:rsidRPr="00364545" w:rsidRDefault="002E35D7" w:rsidP="002E35D7">
      <w:pPr>
        <w:pStyle w:val="Caption"/>
      </w:pPr>
      <w:bookmarkStart w:id="532" w:name="_Toc123916525"/>
      <w:r w:rsidRPr="00364545">
        <w:t xml:space="preserve">Table </w:t>
      </w:r>
      <w:r w:rsidR="003714FB">
        <w:fldChar w:fldCharType="begin"/>
      </w:r>
      <w:r w:rsidR="003714FB">
        <w:instrText xml:space="preserve"> SEQ Tableau \* ARABIC </w:instrText>
      </w:r>
      <w:r w:rsidR="003714FB">
        <w:fldChar w:fldCharType="separate"/>
      </w:r>
      <w:r w:rsidR="009A2FAA">
        <w:rPr>
          <w:noProof/>
        </w:rPr>
        <w:t>33</w:t>
      </w:r>
      <w:r w:rsidR="003714FB">
        <w:rPr>
          <w:noProof/>
        </w:rPr>
        <w:fldChar w:fldCharType="end"/>
      </w:r>
      <w:r w:rsidRPr="00364545">
        <w:t>: Effect of policies and measures on greenhouse gas emissions in 2025, 2030, 2035 and 2040</w:t>
      </w:r>
      <w:bookmarkEnd w:id="532"/>
    </w:p>
    <w:p w14:paraId="06E2870D" w14:textId="55B43ABB" w:rsidR="002E35D7" w:rsidRPr="00364545" w:rsidRDefault="002E35D7" w:rsidP="002E35D7">
      <w:pPr>
        <w:pStyle w:val="Caption"/>
      </w:pPr>
      <w:r w:rsidRPr="00364545">
        <w:t>Source: MTE-DGEC</w:t>
      </w:r>
    </w:p>
    <w:p w14:paraId="3749B050" w14:textId="5DA2C0C5" w:rsidR="00572599" w:rsidRPr="00364545" w:rsidRDefault="00572599" w:rsidP="00E22CF8">
      <w:pPr>
        <w:pStyle w:val="Titre2Niveau2"/>
      </w:pPr>
      <w:bookmarkStart w:id="533" w:name="_Toc138341848"/>
      <w:bookmarkStart w:id="534" w:name="_Toc121215536"/>
      <w:r w:rsidRPr="00364545">
        <w:t>Role of credits from the mechanisms created by Articles 6, 12 and 17 of the Kyoto Protocol in achieving France's quantitative targets</w:t>
      </w:r>
      <w:bookmarkEnd w:id="533"/>
    </w:p>
    <w:p w14:paraId="0F284F7D" w14:textId="21A7AF80" w:rsidR="009C793D" w:rsidRPr="00364545" w:rsidRDefault="009C793D" w:rsidP="009C793D">
      <w:r w:rsidRPr="00364545">
        <w:t>The public policies implemented by France have enabled it to reach its Kyoto target without having to acquire international credits.</w:t>
      </w:r>
    </w:p>
    <w:p w14:paraId="2E9CA7E6" w14:textId="41DCE372" w:rsidR="009C793D" w:rsidRPr="00364545" w:rsidRDefault="009C793D" w:rsidP="009C793D">
      <w:r w:rsidRPr="00364545">
        <w:t>French companies subject to the EU ETS can surrender Emission Reduction Units (ERUs) and Certified Emission Reductions (CERs) up to a limit of 13.5% of their initial allocation of allowances (National Quota Allocation Plan for the period 2008-2012) for the period 2008-2020. This percentage is limited to 4.5% in the case of the new sectors that joined the EU ETS in 2013. Neither has this flexibility been used by France to achieve its European objectives.</w:t>
      </w:r>
    </w:p>
    <w:p w14:paraId="55D9B732" w14:textId="10E1B11B" w:rsidR="009C793D" w:rsidRPr="00364545" w:rsidRDefault="009C793D" w:rsidP="009C793D">
      <w:r w:rsidRPr="00364545">
        <w:t>Aircraft operators are allowed to use international credits up to a maximum of 1.5% of their verified emissions in the period 2013-2020.</w:t>
      </w:r>
    </w:p>
    <w:p w14:paraId="2BB7139F" w14:textId="075FCCEB" w:rsidR="009C793D" w:rsidRPr="00364545" w:rsidRDefault="009C793D" w:rsidP="009C793D">
      <w:r w:rsidRPr="00364545">
        <w:t>Beyond 2020, other market mechanisms will be put in place in accordance with Article 6 of the Paris Agreement. The European Union and its Member States do not intend to use such mechanisms to achieve the common goal set out in the EU's Nationally Determined Contribution.</w:t>
      </w:r>
    </w:p>
    <w:p w14:paraId="63ED9C31" w14:textId="28E091F8" w:rsidR="001021CB" w:rsidRPr="00364545" w:rsidRDefault="001021CB" w:rsidP="00E22CF8">
      <w:pPr>
        <w:pStyle w:val="Titre2Niveau2"/>
      </w:pPr>
      <w:bookmarkStart w:id="535" w:name="_Toc138341849"/>
      <w:r w:rsidRPr="00364545">
        <w:t>Methodology</w:t>
      </w:r>
      <w:bookmarkEnd w:id="534"/>
      <w:bookmarkEnd w:id="535"/>
    </w:p>
    <w:p w14:paraId="2D8DF7A4" w14:textId="77777777" w:rsidR="001021CB" w:rsidRPr="00364545" w:rsidRDefault="001021CB" w:rsidP="003F57EA">
      <w:pPr>
        <w:pStyle w:val="Titre3Niveau3"/>
      </w:pPr>
      <w:bookmarkStart w:id="536" w:name="_Toc121215537"/>
      <w:bookmarkStart w:id="537" w:name="_Toc138341850"/>
      <w:r w:rsidRPr="00364545">
        <w:t>Modelling used</w:t>
      </w:r>
      <w:bookmarkEnd w:id="536"/>
      <w:bookmarkEnd w:id="537"/>
    </w:p>
    <w:p w14:paraId="3A622160" w14:textId="76D95835" w:rsidR="001021CB" w:rsidRPr="00364545" w:rsidRDefault="001021CB" w:rsidP="001021CB">
      <w:pPr>
        <w:spacing w:before="240" w:after="240"/>
      </w:pPr>
      <w:r w:rsidRPr="00364545">
        <w:t xml:space="preserve">The modelling process for the AMS 2018 scenario was presented in the previous national communication and the </w:t>
      </w:r>
      <w:r w:rsidR="003E64A4">
        <w:t>previous</w:t>
      </w:r>
      <w:r w:rsidR="003E64A4" w:rsidRPr="00364545">
        <w:t xml:space="preserve"> </w:t>
      </w:r>
      <w:r w:rsidRPr="00364545">
        <w:t xml:space="preserve">biennial report. </w:t>
      </w:r>
    </w:p>
    <w:p w14:paraId="61A72EB3" w14:textId="77777777" w:rsidR="001021CB" w:rsidRPr="00364545" w:rsidRDefault="001021CB" w:rsidP="001021CB">
      <w:pPr>
        <w:pStyle w:val="Textedesaisie"/>
        <w:ind w:left="0"/>
        <w:rPr>
          <w:sz w:val="21"/>
          <w:szCs w:val="21"/>
        </w:rPr>
      </w:pPr>
      <w:r w:rsidRPr="00364545">
        <w:rPr>
          <w:sz w:val="21"/>
        </w:rPr>
        <w:t xml:space="preserve">The process for AMS 2021 has broadly followed the same lines, with some notable differences: </w:t>
      </w:r>
    </w:p>
    <w:p w14:paraId="65B76629" w14:textId="77777777" w:rsidR="001021CB" w:rsidRPr="00364545" w:rsidRDefault="001021CB" w:rsidP="001021CB">
      <w:pPr>
        <w:pStyle w:val="Textedesaisie"/>
        <w:ind w:left="0"/>
        <w:rPr>
          <w:sz w:val="21"/>
          <w:szCs w:val="21"/>
        </w:rPr>
      </w:pPr>
      <w:r w:rsidRPr="00364545">
        <w:rPr>
          <w:sz w:val="21"/>
        </w:rPr>
        <w:t xml:space="preserve">Unlike the previous period, which was linked to the updating of national programmes, this time the consultations were limited to the administrations concerned (other MTE directorates, MASA/DGPE, MEFR/DGT, ADEME) as well as the external modellers (Citepa and CSTB). Five working groups were set up (agriculture-forest-land / buildings / transport / industry / energy-waste), each of which held between 2 and 4 meetings as required between September 2020 and February 2021. </w:t>
      </w:r>
    </w:p>
    <w:p w14:paraId="47D72AA1" w14:textId="77777777" w:rsidR="001021CB" w:rsidRPr="00364545" w:rsidRDefault="001021CB" w:rsidP="001021CB">
      <w:pPr>
        <w:pStyle w:val="Textedesaisie"/>
        <w:keepNext/>
      </w:pPr>
      <w:r w:rsidRPr="00364545">
        <w:rPr>
          <w:noProof/>
          <w:lang w:val="fr-FR"/>
        </w:rPr>
        <w:drawing>
          <wp:inline distT="0" distB="0" distL="0" distR="0" wp14:anchorId="6D496101" wp14:editId="331B53D5">
            <wp:extent cx="5762625" cy="3133725"/>
            <wp:effectExtent l="0" t="0" r="9525" b="9525"/>
            <wp:docPr id="28707" name="Image 2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2625" cy="3133725"/>
                    </a:xfrm>
                    <a:prstGeom prst="rect">
                      <a:avLst/>
                    </a:prstGeom>
                    <a:noFill/>
                    <a:ln>
                      <a:noFill/>
                    </a:ln>
                  </pic:spPr>
                </pic:pic>
              </a:graphicData>
            </a:graphic>
          </wp:inline>
        </w:drawing>
      </w:r>
    </w:p>
    <w:p w14:paraId="2A777F10" w14:textId="50E73401" w:rsidR="006B7515" w:rsidRPr="00364545" w:rsidRDefault="006B7515" w:rsidP="0045532B">
      <w:pPr>
        <w:pStyle w:val="Caption"/>
      </w:pPr>
      <w:bookmarkStart w:id="538" w:name="_Toc123916474"/>
      <w:r w:rsidRPr="00364545">
        <w:t xml:space="preserve">Figure </w:t>
      </w:r>
      <w:r w:rsidR="003714FB">
        <w:fldChar w:fldCharType="begin"/>
      </w:r>
      <w:r w:rsidR="003714FB">
        <w:instrText xml:space="preserve"> SEQ Figure \* ARABIC </w:instrText>
      </w:r>
      <w:r w:rsidR="003714FB">
        <w:fldChar w:fldCharType="separate"/>
      </w:r>
      <w:r w:rsidR="009A2FAA">
        <w:rPr>
          <w:noProof/>
        </w:rPr>
        <w:t>63</w:t>
      </w:r>
      <w:r w:rsidR="003714FB">
        <w:rPr>
          <w:noProof/>
        </w:rPr>
        <w:fldChar w:fldCharType="end"/>
      </w:r>
      <w:r w:rsidRPr="00364545">
        <w:t>: Modelling process for AME 2021</w:t>
      </w:r>
      <w:bookmarkEnd w:id="538"/>
    </w:p>
    <w:p w14:paraId="0E1762DC" w14:textId="6EA426F5" w:rsidR="001021CB" w:rsidRPr="00364545" w:rsidRDefault="001021CB" w:rsidP="0045532B">
      <w:pPr>
        <w:pStyle w:val="Caption"/>
      </w:pPr>
      <w:r w:rsidRPr="00364545">
        <w:t>Source: MTE/DGEC</w:t>
      </w:r>
    </w:p>
    <w:p w14:paraId="32385C2D" w14:textId="77777777" w:rsidR="001021CB" w:rsidRPr="00364545" w:rsidRDefault="001021CB" w:rsidP="001021CB"/>
    <w:p w14:paraId="70BBAF02" w14:textId="77777777" w:rsidR="00DB787E" w:rsidRDefault="001021CB" w:rsidP="001021CB">
      <w:r w:rsidRPr="00364545">
        <w:t>In terms of modelling, the process is largely the same as that used in 2018</w:t>
      </w:r>
      <w:r w:rsidR="00DB787E">
        <w:t xml:space="preserve"> : the use of a large variety of sectoral technico-economic models, whose energy consumptions and GHG emissions are aggregated in accordance with GHG inventory methodologies. This modelling approach allows for a fine description of sectoral transformations associated with the scenario. Its main weakness, compared to the use of a single top-down model, is that extra attention needs to be given to the potential interactions between sectors, and that it takes a long time to proceed to all the modelling (one full run may take up to 6 months). All models have been elaborated with a view to make analysis on GHG emissions and energy consumptions. The integration of several policies and measures at the same time within each sectors helps to prevent double-counting between PaMs. </w:t>
      </w:r>
    </w:p>
    <w:p w14:paraId="3735046A" w14:textId="1E78C492" w:rsidR="001021CB" w:rsidRPr="00364545" w:rsidRDefault="00DB787E" w:rsidP="001021CB">
      <w:r>
        <w:t xml:space="preserve">The main difference with the modelling approach used in 2018 resides in the use </w:t>
      </w:r>
      <w:r w:rsidR="001021CB" w:rsidRPr="00364545">
        <w:t xml:space="preserve">of GEStime, an internal tool developed by the DGEC, which has replaced the use of MedPro for energy aspects and for industry. GEStime </w:t>
      </w:r>
      <w:r>
        <w:t xml:space="preserve">is an accounting model which </w:t>
      </w:r>
      <w:r w:rsidR="001021CB" w:rsidRPr="00364545">
        <w:t>allows energy consumption and greenhouse gas emissions to be represented statically for a given time horizon as a function of a series of physical levers in each of the sectors. It is based on the year 2015 using data from the SDES energy balance and the Citepa inventory. New tools have also been used to model land artificialisation and air transport.</w:t>
      </w:r>
    </w:p>
    <w:p w14:paraId="07F716BA" w14:textId="77777777" w:rsidR="001021CB" w:rsidRPr="00364545" w:rsidRDefault="001021CB" w:rsidP="001021CB"/>
    <w:tbl>
      <w:tblPr>
        <w:tblStyle w:val="GridTable4-Accent5"/>
        <w:tblW w:w="0" w:type="auto"/>
        <w:tblLook w:val="04A0" w:firstRow="1" w:lastRow="0" w:firstColumn="1" w:lastColumn="0" w:noHBand="0" w:noVBand="1"/>
      </w:tblPr>
      <w:tblGrid>
        <w:gridCol w:w="1982"/>
        <w:gridCol w:w="3542"/>
        <w:gridCol w:w="1842"/>
        <w:gridCol w:w="2574"/>
      </w:tblGrid>
      <w:tr w:rsidR="00DB787E" w:rsidRPr="00364545" w14:paraId="4A56DE29" w14:textId="3D583DFF" w:rsidTr="000D14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2D2F843C" w14:textId="77777777" w:rsidR="00DB787E" w:rsidRPr="00364545" w:rsidRDefault="00DB787E" w:rsidP="00C44824">
            <w:pPr>
              <w:rPr>
                <w:b w:val="0"/>
              </w:rPr>
            </w:pPr>
            <w:r w:rsidRPr="00364545">
              <w:rPr>
                <w:b w:val="0"/>
              </w:rPr>
              <w:t>Sector</w:t>
            </w:r>
          </w:p>
        </w:tc>
        <w:tc>
          <w:tcPr>
            <w:tcW w:w="3542" w:type="dxa"/>
          </w:tcPr>
          <w:p w14:paraId="12F0C126" w14:textId="5C9D6E7B" w:rsidR="00DB787E" w:rsidRPr="00364545" w:rsidRDefault="00DB787E" w:rsidP="00C44824">
            <w:pPr>
              <w:cnfStyle w:val="100000000000" w:firstRow="1" w:lastRow="0" w:firstColumn="0" w:lastColumn="0" w:oddVBand="0" w:evenVBand="0" w:oddHBand="0" w:evenHBand="0" w:firstRowFirstColumn="0" w:firstRowLastColumn="0" w:lastRowFirstColumn="0" w:lastRowLastColumn="0"/>
              <w:rPr>
                <w:b w:val="0"/>
              </w:rPr>
            </w:pPr>
            <w:r w:rsidRPr="00364545">
              <w:rPr>
                <w:b w:val="0"/>
              </w:rPr>
              <w:t>Tools used</w:t>
            </w:r>
          </w:p>
        </w:tc>
        <w:tc>
          <w:tcPr>
            <w:tcW w:w="1842" w:type="dxa"/>
          </w:tcPr>
          <w:p w14:paraId="392E8FFE" w14:textId="77777777" w:rsidR="00DB787E" w:rsidRPr="00364545" w:rsidRDefault="00DB787E" w:rsidP="00C44824">
            <w:pPr>
              <w:cnfStyle w:val="100000000000" w:firstRow="1" w:lastRow="0" w:firstColumn="0" w:lastColumn="0" w:oddVBand="0" w:evenVBand="0" w:oddHBand="0" w:evenHBand="0" w:firstRowFirstColumn="0" w:firstRowLastColumn="0" w:lastRowFirstColumn="0" w:lastRowLastColumn="0"/>
              <w:rPr>
                <w:b w:val="0"/>
              </w:rPr>
            </w:pPr>
            <w:r w:rsidRPr="00364545">
              <w:rPr>
                <w:b w:val="0"/>
              </w:rPr>
              <w:t>Managed by</w:t>
            </w:r>
          </w:p>
        </w:tc>
        <w:tc>
          <w:tcPr>
            <w:tcW w:w="2574" w:type="dxa"/>
          </w:tcPr>
          <w:p w14:paraId="7D4F39EA" w14:textId="7332895B" w:rsidR="00DB787E" w:rsidRPr="00364545" w:rsidRDefault="00DB787E" w:rsidP="00C44824">
            <w:pPr>
              <w:cnfStyle w:val="100000000000" w:firstRow="1" w:lastRow="0" w:firstColumn="0" w:lastColumn="0" w:oddVBand="0" w:evenVBand="0" w:oddHBand="0" w:evenHBand="0" w:firstRowFirstColumn="0" w:firstRowLastColumn="0" w:lastRowFirstColumn="0" w:lastRowLastColumn="0"/>
              <w:rPr>
                <w:b w:val="0"/>
              </w:rPr>
            </w:pPr>
            <w:r>
              <w:rPr>
                <w:b w:val="0"/>
              </w:rPr>
              <w:t>Type of model</w:t>
            </w:r>
          </w:p>
        </w:tc>
      </w:tr>
      <w:tr w:rsidR="00DB787E" w:rsidRPr="00364545" w14:paraId="0B215102" w14:textId="636DB234" w:rsidTr="000D1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0195B167" w14:textId="77777777" w:rsidR="00DB787E" w:rsidRPr="00364545" w:rsidRDefault="00DB787E" w:rsidP="00C44824">
            <w:r w:rsidRPr="00364545">
              <w:t>Agriculture</w:t>
            </w:r>
          </w:p>
        </w:tc>
        <w:tc>
          <w:tcPr>
            <w:tcW w:w="3542" w:type="dxa"/>
          </w:tcPr>
          <w:p w14:paraId="66C35C1C"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Climagri and CITEPA modules</w:t>
            </w:r>
          </w:p>
        </w:tc>
        <w:tc>
          <w:tcPr>
            <w:tcW w:w="1842" w:type="dxa"/>
          </w:tcPr>
          <w:p w14:paraId="6FB19801"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CITEPA</w:t>
            </w:r>
          </w:p>
        </w:tc>
        <w:tc>
          <w:tcPr>
            <w:tcW w:w="2574" w:type="dxa"/>
          </w:tcPr>
          <w:p w14:paraId="025A59D3" w14:textId="1D1E5E4A"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t>Accounting</w:t>
            </w:r>
          </w:p>
        </w:tc>
      </w:tr>
      <w:tr w:rsidR="00DB787E" w:rsidRPr="00364545" w14:paraId="2D1F34B2" w14:textId="5F349A77" w:rsidTr="000D1437">
        <w:tc>
          <w:tcPr>
            <w:cnfStyle w:val="001000000000" w:firstRow="0" w:lastRow="0" w:firstColumn="1" w:lastColumn="0" w:oddVBand="0" w:evenVBand="0" w:oddHBand="0" w:evenHBand="0" w:firstRowFirstColumn="0" w:firstRowLastColumn="0" w:lastRowFirstColumn="0" w:lastRowLastColumn="0"/>
            <w:tcW w:w="1982" w:type="dxa"/>
          </w:tcPr>
          <w:p w14:paraId="182D69E9" w14:textId="77777777" w:rsidR="00DB787E" w:rsidRPr="00364545" w:rsidRDefault="00DB787E" w:rsidP="00C44824">
            <w:r w:rsidRPr="00364545">
              <w:t>Forest</w:t>
            </w:r>
          </w:p>
        </w:tc>
        <w:tc>
          <w:tcPr>
            <w:tcW w:w="3542" w:type="dxa"/>
          </w:tcPr>
          <w:p w14:paraId="2144BB41"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Forestry calculator and CITEPA module</w:t>
            </w:r>
          </w:p>
        </w:tc>
        <w:tc>
          <w:tcPr>
            <w:tcW w:w="1842" w:type="dxa"/>
          </w:tcPr>
          <w:p w14:paraId="64D07B83"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DGEC, CITEPA</w:t>
            </w:r>
          </w:p>
        </w:tc>
        <w:tc>
          <w:tcPr>
            <w:tcW w:w="2574" w:type="dxa"/>
          </w:tcPr>
          <w:p w14:paraId="0016A486" w14:textId="5FC20D06"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t>Accounting</w:t>
            </w:r>
          </w:p>
        </w:tc>
      </w:tr>
      <w:tr w:rsidR="00DB787E" w:rsidRPr="00364545" w14:paraId="61AB760E" w14:textId="7FB25243" w:rsidTr="000D1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21355DEB" w14:textId="77777777" w:rsidR="00DB787E" w:rsidRPr="00364545" w:rsidRDefault="00DB787E" w:rsidP="00C44824">
            <w:r w:rsidRPr="00364545">
              <w:t>Land (artificialisation)</w:t>
            </w:r>
          </w:p>
        </w:tc>
        <w:tc>
          <w:tcPr>
            <w:tcW w:w="3542" w:type="dxa"/>
          </w:tcPr>
          <w:p w14:paraId="1760BE44"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Artificial growth calculator*, CITEPA module</w:t>
            </w:r>
          </w:p>
        </w:tc>
        <w:tc>
          <w:tcPr>
            <w:tcW w:w="1842" w:type="dxa"/>
          </w:tcPr>
          <w:p w14:paraId="756FEB86"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DGEC, CITEPA</w:t>
            </w:r>
          </w:p>
        </w:tc>
        <w:tc>
          <w:tcPr>
            <w:tcW w:w="2574" w:type="dxa"/>
          </w:tcPr>
          <w:p w14:paraId="770ACD46" w14:textId="5EF2DA11"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t>Accounting</w:t>
            </w:r>
          </w:p>
        </w:tc>
      </w:tr>
      <w:tr w:rsidR="00DB787E" w:rsidRPr="00364545" w14:paraId="36663DFB" w14:textId="7471E47F" w:rsidTr="000D1437">
        <w:tc>
          <w:tcPr>
            <w:cnfStyle w:val="001000000000" w:firstRow="0" w:lastRow="0" w:firstColumn="1" w:lastColumn="0" w:oddVBand="0" w:evenVBand="0" w:oddHBand="0" w:evenHBand="0" w:firstRowFirstColumn="0" w:firstRowLastColumn="0" w:lastRowFirstColumn="0" w:lastRowLastColumn="0"/>
            <w:tcW w:w="1982" w:type="dxa"/>
          </w:tcPr>
          <w:p w14:paraId="09DCD307" w14:textId="77777777" w:rsidR="00DB787E" w:rsidRPr="00364545" w:rsidRDefault="00DB787E" w:rsidP="00C44824">
            <w:r w:rsidRPr="00364545">
              <w:t>Residential</w:t>
            </w:r>
          </w:p>
        </w:tc>
        <w:tc>
          <w:tcPr>
            <w:tcW w:w="3542" w:type="dxa"/>
          </w:tcPr>
          <w:p w14:paraId="77986225"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Menfis</w:t>
            </w:r>
          </w:p>
        </w:tc>
        <w:tc>
          <w:tcPr>
            <w:tcW w:w="1842" w:type="dxa"/>
          </w:tcPr>
          <w:p w14:paraId="2BFA24E5"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CSTB</w:t>
            </w:r>
          </w:p>
        </w:tc>
        <w:tc>
          <w:tcPr>
            <w:tcW w:w="2574" w:type="dxa"/>
          </w:tcPr>
          <w:p w14:paraId="5057D5E5" w14:textId="5DE892E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t>Bottom-up</w:t>
            </w:r>
          </w:p>
        </w:tc>
      </w:tr>
      <w:tr w:rsidR="00DB787E" w:rsidRPr="00364545" w14:paraId="755E350F" w14:textId="54B59279" w:rsidTr="000D1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0B64A964" w14:textId="77777777" w:rsidR="00DB787E" w:rsidRPr="00364545" w:rsidRDefault="00DB787E" w:rsidP="00C44824">
            <w:r w:rsidRPr="00364545">
              <w:t>Tertiary</w:t>
            </w:r>
          </w:p>
        </w:tc>
        <w:tc>
          <w:tcPr>
            <w:tcW w:w="3542" w:type="dxa"/>
          </w:tcPr>
          <w:p w14:paraId="2FC327B0"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Tertiary model</w:t>
            </w:r>
          </w:p>
        </w:tc>
        <w:tc>
          <w:tcPr>
            <w:tcW w:w="1842" w:type="dxa"/>
          </w:tcPr>
          <w:p w14:paraId="6CD653EA"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CGDD</w:t>
            </w:r>
          </w:p>
        </w:tc>
        <w:tc>
          <w:tcPr>
            <w:tcW w:w="2574" w:type="dxa"/>
          </w:tcPr>
          <w:p w14:paraId="54C11575" w14:textId="03EB97E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t>Bottom-up</w:t>
            </w:r>
          </w:p>
        </w:tc>
      </w:tr>
      <w:tr w:rsidR="00DB787E" w:rsidRPr="00364545" w14:paraId="67CD5161" w14:textId="0E60F9C1" w:rsidTr="000D1437">
        <w:tc>
          <w:tcPr>
            <w:cnfStyle w:val="001000000000" w:firstRow="0" w:lastRow="0" w:firstColumn="1" w:lastColumn="0" w:oddVBand="0" w:evenVBand="0" w:oddHBand="0" w:evenHBand="0" w:firstRowFirstColumn="0" w:firstRowLastColumn="0" w:lastRowFirstColumn="0" w:lastRowLastColumn="0"/>
            <w:tcW w:w="1982" w:type="dxa"/>
          </w:tcPr>
          <w:p w14:paraId="3A2686CC" w14:textId="77777777" w:rsidR="00DB787E" w:rsidRPr="00364545" w:rsidRDefault="00DB787E" w:rsidP="00C44824">
            <w:r w:rsidRPr="00364545">
              <w:t>Excluding heating (residential and tertiary)</w:t>
            </w:r>
          </w:p>
        </w:tc>
        <w:tc>
          <w:tcPr>
            <w:tcW w:w="3542" w:type="dxa"/>
          </w:tcPr>
          <w:p w14:paraId="730E0DCF"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GEStime*</w:t>
            </w:r>
          </w:p>
        </w:tc>
        <w:tc>
          <w:tcPr>
            <w:tcW w:w="1842" w:type="dxa"/>
          </w:tcPr>
          <w:p w14:paraId="7D34A5E6" w14:textId="1A19C538" w:rsidR="00DB787E" w:rsidRPr="00364545" w:rsidRDefault="00DB787E" w:rsidP="00F15C26">
            <w:pPr>
              <w:cnfStyle w:val="000000000000" w:firstRow="0" w:lastRow="0" w:firstColumn="0" w:lastColumn="0" w:oddVBand="0" w:evenVBand="0" w:oddHBand="0" w:evenHBand="0" w:firstRowFirstColumn="0" w:firstRowLastColumn="0" w:lastRowFirstColumn="0" w:lastRowLastColumn="0"/>
            </w:pPr>
            <w:r w:rsidRPr="00364545">
              <w:t>DGEC</w:t>
            </w:r>
          </w:p>
        </w:tc>
        <w:tc>
          <w:tcPr>
            <w:tcW w:w="2574" w:type="dxa"/>
          </w:tcPr>
          <w:p w14:paraId="395A2932" w14:textId="7DF3BA1E"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t>Accounting</w:t>
            </w:r>
          </w:p>
        </w:tc>
      </w:tr>
      <w:tr w:rsidR="00DB787E" w:rsidRPr="00364545" w14:paraId="1CB2B829" w14:textId="52EB32F6" w:rsidTr="000D1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vMerge w:val="restart"/>
          </w:tcPr>
          <w:p w14:paraId="4AB7D493" w14:textId="77777777" w:rsidR="00DB787E" w:rsidRPr="00364545" w:rsidRDefault="00DB787E" w:rsidP="00C44824">
            <w:r w:rsidRPr="00364545">
              <w:t>Transport</w:t>
            </w:r>
          </w:p>
        </w:tc>
        <w:tc>
          <w:tcPr>
            <w:tcW w:w="3542" w:type="dxa"/>
          </w:tcPr>
          <w:p w14:paraId="0962D92E"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Modev (traffic)</w:t>
            </w:r>
          </w:p>
        </w:tc>
        <w:tc>
          <w:tcPr>
            <w:tcW w:w="1842" w:type="dxa"/>
          </w:tcPr>
          <w:p w14:paraId="30328205"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CGDD</w:t>
            </w:r>
          </w:p>
        </w:tc>
        <w:tc>
          <w:tcPr>
            <w:tcW w:w="2574" w:type="dxa"/>
          </w:tcPr>
          <w:p w14:paraId="240EF25E" w14:textId="5AA3FACD"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t>Bottom-up</w:t>
            </w:r>
          </w:p>
        </w:tc>
      </w:tr>
      <w:tr w:rsidR="00DB787E" w:rsidRPr="00364545" w14:paraId="09E6F283" w14:textId="6C74C24F" w:rsidTr="000D1437">
        <w:tc>
          <w:tcPr>
            <w:cnfStyle w:val="001000000000" w:firstRow="0" w:lastRow="0" w:firstColumn="1" w:lastColumn="0" w:oddVBand="0" w:evenVBand="0" w:oddHBand="0" w:evenHBand="0" w:firstRowFirstColumn="0" w:firstRowLastColumn="0" w:lastRowFirstColumn="0" w:lastRowLastColumn="0"/>
            <w:tcW w:w="1982" w:type="dxa"/>
            <w:vMerge/>
          </w:tcPr>
          <w:p w14:paraId="0F4FB52B" w14:textId="77777777" w:rsidR="00DB787E" w:rsidRPr="00364545" w:rsidRDefault="00DB787E" w:rsidP="00C44824"/>
        </w:tc>
        <w:tc>
          <w:tcPr>
            <w:tcW w:w="3542" w:type="dxa"/>
          </w:tcPr>
          <w:p w14:paraId="7FE5F5E7"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 xml:space="preserve">Private car type model* </w:t>
            </w:r>
          </w:p>
        </w:tc>
        <w:tc>
          <w:tcPr>
            <w:tcW w:w="1842" w:type="dxa"/>
          </w:tcPr>
          <w:p w14:paraId="3417A378"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DGITM</w:t>
            </w:r>
          </w:p>
        </w:tc>
        <w:tc>
          <w:tcPr>
            <w:tcW w:w="2574" w:type="dxa"/>
          </w:tcPr>
          <w:p w14:paraId="564F3973" w14:textId="42295D15"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t>Bottom-up</w:t>
            </w:r>
          </w:p>
        </w:tc>
      </w:tr>
      <w:tr w:rsidR="00DB787E" w:rsidRPr="00364545" w14:paraId="63F5E884" w14:textId="385BC838" w:rsidTr="000D1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vMerge/>
          </w:tcPr>
          <w:p w14:paraId="7BF23CBD" w14:textId="77777777" w:rsidR="00DB787E" w:rsidRPr="00364545" w:rsidRDefault="00DB787E" w:rsidP="00C44824"/>
        </w:tc>
        <w:tc>
          <w:tcPr>
            <w:tcW w:w="3542" w:type="dxa"/>
          </w:tcPr>
          <w:p w14:paraId="171124DC"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Aviation*</w:t>
            </w:r>
          </w:p>
        </w:tc>
        <w:tc>
          <w:tcPr>
            <w:tcW w:w="1842" w:type="dxa"/>
          </w:tcPr>
          <w:p w14:paraId="07BFCBB1"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DGAC</w:t>
            </w:r>
          </w:p>
        </w:tc>
        <w:tc>
          <w:tcPr>
            <w:tcW w:w="2574" w:type="dxa"/>
          </w:tcPr>
          <w:p w14:paraId="341CE536" w14:textId="5776251F"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t>Bottom-up</w:t>
            </w:r>
          </w:p>
        </w:tc>
      </w:tr>
      <w:tr w:rsidR="00DB787E" w:rsidRPr="00364545" w14:paraId="3945EB2B" w14:textId="53920C6D" w:rsidTr="000D1437">
        <w:tc>
          <w:tcPr>
            <w:cnfStyle w:val="001000000000" w:firstRow="0" w:lastRow="0" w:firstColumn="1" w:lastColumn="0" w:oddVBand="0" w:evenVBand="0" w:oddHBand="0" w:evenHBand="0" w:firstRowFirstColumn="0" w:firstRowLastColumn="0" w:lastRowFirstColumn="0" w:lastRowLastColumn="0"/>
            <w:tcW w:w="1982" w:type="dxa"/>
          </w:tcPr>
          <w:p w14:paraId="6BE5F807" w14:textId="77777777" w:rsidR="00DB787E" w:rsidRPr="00364545" w:rsidRDefault="00DB787E" w:rsidP="00C44824">
            <w:r w:rsidRPr="00364545">
              <w:t>Industry</w:t>
            </w:r>
          </w:p>
        </w:tc>
        <w:tc>
          <w:tcPr>
            <w:tcW w:w="3542" w:type="dxa"/>
          </w:tcPr>
          <w:p w14:paraId="706909D8"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GEStime*</w:t>
            </w:r>
          </w:p>
        </w:tc>
        <w:tc>
          <w:tcPr>
            <w:tcW w:w="1842" w:type="dxa"/>
          </w:tcPr>
          <w:p w14:paraId="08AB937E" w14:textId="69AFC750" w:rsidR="00DB787E" w:rsidRPr="00364545" w:rsidRDefault="00DB787E" w:rsidP="00F15C26">
            <w:pPr>
              <w:cnfStyle w:val="000000000000" w:firstRow="0" w:lastRow="0" w:firstColumn="0" w:lastColumn="0" w:oddVBand="0" w:evenVBand="0" w:oddHBand="0" w:evenHBand="0" w:firstRowFirstColumn="0" w:firstRowLastColumn="0" w:lastRowFirstColumn="0" w:lastRowLastColumn="0"/>
            </w:pPr>
            <w:r w:rsidRPr="00364545">
              <w:t>DGEC</w:t>
            </w:r>
          </w:p>
        </w:tc>
        <w:tc>
          <w:tcPr>
            <w:tcW w:w="2574" w:type="dxa"/>
          </w:tcPr>
          <w:p w14:paraId="24F39A33" w14:textId="6008A722"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t>Accounting</w:t>
            </w:r>
          </w:p>
        </w:tc>
      </w:tr>
      <w:tr w:rsidR="00DB787E" w:rsidRPr="00364545" w14:paraId="4BB52ED1" w14:textId="306F5FE2" w:rsidTr="000D1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4A5B9268" w14:textId="77777777" w:rsidR="00DB787E" w:rsidRPr="00364545" w:rsidRDefault="00DB787E" w:rsidP="00C44824">
            <w:r w:rsidRPr="00364545">
              <w:t>Energy production</w:t>
            </w:r>
          </w:p>
        </w:tc>
        <w:tc>
          <w:tcPr>
            <w:tcW w:w="3542" w:type="dxa"/>
          </w:tcPr>
          <w:p w14:paraId="360C8C0E"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GEStime*</w:t>
            </w:r>
          </w:p>
        </w:tc>
        <w:tc>
          <w:tcPr>
            <w:tcW w:w="1842" w:type="dxa"/>
          </w:tcPr>
          <w:p w14:paraId="1A65BA9F" w14:textId="177E3D54" w:rsidR="00DB787E" w:rsidRPr="00364545" w:rsidRDefault="00DB787E" w:rsidP="00F15C26">
            <w:pPr>
              <w:cnfStyle w:val="000000100000" w:firstRow="0" w:lastRow="0" w:firstColumn="0" w:lastColumn="0" w:oddVBand="0" w:evenVBand="0" w:oddHBand="1" w:evenHBand="0" w:firstRowFirstColumn="0" w:firstRowLastColumn="0" w:lastRowFirstColumn="0" w:lastRowLastColumn="0"/>
            </w:pPr>
            <w:r w:rsidRPr="00364545">
              <w:t>DGEC</w:t>
            </w:r>
          </w:p>
        </w:tc>
        <w:tc>
          <w:tcPr>
            <w:tcW w:w="2574" w:type="dxa"/>
          </w:tcPr>
          <w:p w14:paraId="3BBE3446" w14:textId="291ECB60"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t>Accounting</w:t>
            </w:r>
          </w:p>
        </w:tc>
      </w:tr>
      <w:tr w:rsidR="00DB787E" w:rsidRPr="00364545" w14:paraId="3F67CA45" w14:textId="0AE82CBC" w:rsidTr="000D1437">
        <w:tc>
          <w:tcPr>
            <w:cnfStyle w:val="001000000000" w:firstRow="0" w:lastRow="0" w:firstColumn="1" w:lastColumn="0" w:oddVBand="0" w:evenVBand="0" w:oddHBand="0" w:evenHBand="0" w:firstRowFirstColumn="0" w:firstRowLastColumn="0" w:lastRowFirstColumn="0" w:lastRowLastColumn="0"/>
            <w:tcW w:w="1982" w:type="dxa"/>
          </w:tcPr>
          <w:p w14:paraId="00D1E597" w14:textId="77777777" w:rsidR="00DB787E" w:rsidRPr="00364545" w:rsidRDefault="00DB787E" w:rsidP="00C44824">
            <w:r w:rsidRPr="00364545">
              <w:t>Waste</w:t>
            </w:r>
          </w:p>
        </w:tc>
        <w:tc>
          <w:tcPr>
            <w:tcW w:w="3542" w:type="dxa"/>
          </w:tcPr>
          <w:p w14:paraId="0F618748"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CITEPA module</w:t>
            </w:r>
          </w:p>
        </w:tc>
        <w:tc>
          <w:tcPr>
            <w:tcW w:w="1842" w:type="dxa"/>
          </w:tcPr>
          <w:p w14:paraId="2B8F9C31"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CITEPA</w:t>
            </w:r>
          </w:p>
        </w:tc>
        <w:tc>
          <w:tcPr>
            <w:tcW w:w="2574" w:type="dxa"/>
          </w:tcPr>
          <w:p w14:paraId="0808F0D5" w14:textId="795BBA6D"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t>Accounting</w:t>
            </w:r>
          </w:p>
        </w:tc>
      </w:tr>
      <w:tr w:rsidR="00DB787E" w:rsidRPr="00364545" w14:paraId="2C408FC2" w14:textId="5A0BC842" w:rsidTr="000D1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0BC79FAF" w14:textId="77777777" w:rsidR="00DB787E" w:rsidRPr="00364545" w:rsidRDefault="00DB787E" w:rsidP="00C44824">
            <w:r w:rsidRPr="00364545">
              <w:t>F-gas</w:t>
            </w:r>
          </w:p>
        </w:tc>
        <w:tc>
          <w:tcPr>
            <w:tcW w:w="3542" w:type="dxa"/>
          </w:tcPr>
          <w:p w14:paraId="0445B9DF"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CITEPA module</w:t>
            </w:r>
          </w:p>
        </w:tc>
        <w:tc>
          <w:tcPr>
            <w:tcW w:w="1842" w:type="dxa"/>
          </w:tcPr>
          <w:p w14:paraId="01F84375" w14:textId="77777777"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rsidRPr="00364545">
              <w:t>CITEPA</w:t>
            </w:r>
          </w:p>
        </w:tc>
        <w:tc>
          <w:tcPr>
            <w:tcW w:w="2574" w:type="dxa"/>
          </w:tcPr>
          <w:p w14:paraId="110E849D" w14:textId="2413AFA4" w:rsidR="00DB787E" w:rsidRPr="00364545" w:rsidRDefault="00DB787E" w:rsidP="00C44824">
            <w:pPr>
              <w:cnfStyle w:val="000000100000" w:firstRow="0" w:lastRow="0" w:firstColumn="0" w:lastColumn="0" w:oddVBand="0" w:evenVBand="0" w:oddHBand="1" w:evenHBand="0" w:firstRowFirstColumn="0" w:firstRowLastColumn="0" w:lastRowFirstColumn="0" w:lastRowLastColumn="0"/>
            </w:pPr>
            <w:r>
              <w:t>Accounting</w:t>
            </w:r>
          </w:p>
        </w:tc>
      </w:tr>
      <w:tr w:rsidR="00DB787E" w:rsidRPr="00364545" w14:paraId="427C1A2F" w14:textId="75023F71" w:rsidTr="000D1437">
        <w:tc>
          <w:tcPr>
            <w:cnfStyle w:val="001000000000" w:firstRow="0" w:lastRow="0" w:firstColumn="1" w:lastColumn="0" w:oddVBand="0" w:evenVBand="0" w:oddHBand="0" w:evenHBand="0" w:firstRowFirstColumn="0" w:firstRowLastColumn="0" w:lastRowFirstColumn="0" w:lastRowLastColumn="0"/>
            <w:tcW w:w="1982" w:type="dxa"/>
          </w:tcPr>
          <w:p w14:paraId="43D7DE6B" w14:textId="77777777" w:rsidR="00DB787E" w:rsidRPr="00364545" w:rsidRDefault="00DB787E" w:rsidP="00C44824">
            <w:r w:rsidRPr="00364545">
              <w:t>GHG aggregations</w:t>
            </w:r>
          </w:p>
        </w:tc>
        <w:tc>
          <w:tcPr>
            <w:tcW w:w="3542" w:type="dxa"/>
          </w:tcPr>
          <w:p w14:paraId="4B7C90A7"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CITEPA modules</w:t>
            </w:r>
          </w:p>
        </w:tc>
        <w:tc>
          <w:tcPr>
            <w:tcW w:w="1842" w:type="dxa"/>
          </w:tcPr>
          <w:p w14:paraId="04C63216" w14:textId="77777777"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rsidRPr="00364545">
              <w:t>CITEPA</w:t>
            </w:r>
          </w:p>
        </w:tc>
        <w:tc>
          <w:tcPr>
            <w:tcW w:w="2574" w:type="dxa"/>
          </w:tcPr>
          <w:p w14:paraId="7248CC08" w14:textId="7C5F7C8A" w:rsidR="00DB787E" w:rsidRPr="00364545" w:rsidRDefault="00DB787E" w:rsidP="00C44824">
            <w:pPr>
              <w:cnfStyle w:val="000000000000" w:firstRow="0" w:lastRow="0" w:firstColumn="0" w:lastColumn="0" w:oddVBand="0" w:evenVBand="0" w:oddHBand="0" w:evenHBand="0" w:firstRowFirstColumn="0" w:firstRowLastColumn="0" w:lastRowFirstColumn="0" w:lastRowLastColumn="0"/>
            </w:pPr>
            <w:r>
              <w:t>Accounting</w:t>
            </w:r>
          </w:p>
        </w:tc>
      </w:tr>
    </w:tbl>
    <w:p w14:paraId="2E054CA6" w14:textId="77777777" w:rsidR="001021CB" w:rsidRPr="00364545" w:rsidRDefault="001021CB" w:rsidP="001021CB">
      <w:r w:rsidRPr="00364545">
        <w:t>* new AME 2021</w:t>
      </w:r>
    </w:p>
    <w:p w14:paraId="26A2881D" w14:textId="4D579993" w:rsidR="006B7515" w:rsidRPr="00364545" w:rsidRDefault="006B7515" w:rsidP="0045532B">
      <w:pPr>
        <w:pStyle w:val="Caption"/>
      </w:pPr>
      <w:bookmarkStart w:id="539" w:name="_Toc123916526"/>
      <w:r w:rsidRPr="00364545">
        <w:t xml:space="preserve">Table </w:t>
      </w:r>
      <w:r w:rsidR="003714FB">
        <w:fldChar w:fldCharType="begin"/>
      </w:r>
      <w:r w:rsidR="003714FB">
        <w:instrText xml:space="preserve"> SEQ Tableau \* ARABIC </w:instrText>
      </w:r>
      <w:r w:rsidR="003714FB">
        <w:fldChar w:fldCharType="separate"/>
      </w:r>
      <w:r w:rsidR="009A2FAA">
        <w:rPr>
          <w:noProof/>
        </w:rPr>
        <w:t>34</w:t>
      </w:r>
      <w:r w:rsidR="003714FB">
        <w:rPr>
          <w:noProof/>
        </w:rPr>
        <w:fldChar w:fldCharType="end"/>
      </w:r>
      <w:r w:rsidRPr="00364545">
        <w:t>: Details of the tools and models used</w:t>
      </w:r>
      <w:bookmarkEnd w:id="539"/>
      <w:r w:rsidR="00D6090C">
        <w:rPr>
          <w:rStyle w:val="FootnoteReference"/>
        </w:rPr>
        <w:footnoteReference w:id="56"/>
      </w:r>
    </w:p>
    <w:p w14:paraId="0ED52830" w14:textId="4BF798E9" w:rsidR="001021CB" w:rsidRDefault="001021CB" w:rsidP="0045532B">
      <w:pPr>
        <w:pStyle w:val="Caption"/>
      </w:pPr>
      <w:r w:rsidRPr="00364545">
        <w:t>Source: MTE/DGEC</w:t>
      </w:r>
    </w:p>
    <w:p w14:paraId="74B1F044" w14:textId="1C294CA1" w:rsidR="00D6090C" w:rsidRDefault="00D6090C" w:rsidP="000D1437"/>
    <w:p w14:paraId="4346C73F" w14:textId="77777777" w:rsidR="00D6090C" w:rsidRPr="00913449" w:rsidRDefault="00D6090C" w:rsidP="00D6090C">
      <w:r>
        <w:t>A report describing all the assumptions and the modelling process for AME 2021 is available in French</w:t>
      </w:r>
      <w:r>
        <w:rPr>
          <w:rStyle w:val="FootnoteReference"/>
        </w:rPr>
        <w:footnoteReference w:id="57"/>
      </w:r>
      <w:r>
        <w:t>. It also contains detailed information about the difference between AME2018 (BR4) and AME 2021 (BR5).</w:t>
      </w:r>
    </w:p>
    <w:p w14:paraId="776D805F" w14:textId="77777777" w:rsidR="00D6090C" w:rsidRPr="00D6090C" w:rsidRDefault="00D6090C" w:rsidP="000D1437"/>
    <w:p w14:paraId="22737575" w14:textId="77777777" w:rsidR="001021CB" w:rsidRPr="00364545" w:rsidRDefault="001021CB" w:rsidP="00EF6DB6">
      <w:pPr>
        <w:pStyle w:val="Titre4niveau4"/>
        <w:rPr>
          <w:rFonts w:asciiTheme="minorHAnsi" w:hAnsiTheme="minorHAnsi"/>
          <w:sz w:val="19"/>
        </w:rPr>
      </w:pPr>
      <w:r w:rsidRPr="00364545">
        <w:t xml:space="preserve">Sectoral models </w:t>
      </w:r>
    </w:p>
    <w:p w14:paraId="426DCFF0" w14:textId="77777777" w:rsidR="001021CB" w:rsidRPr="00364545" w:rsidRDefault="001021CB" w:rsidP="00E22CF8">
      <w:pPr>
        <w:pStyle w:val="titreencadre"/>
      </w:pPr>
      <w:r w:rsidRPr="00364545">
        <w:t xml:space="preserve">Modelling the transport sector </w:t>
      </w:r>
    </w:p>
    <w:p w14:paraId="09CEFA24" w14:textId="77777777" w:rsidR="001021CB" w:rsidRPr="00364545" w:rsidRDefault="001021CB" w:rsidP="001021CB">
      <w:pPr>
        <w:spacing w:before="240" w:after="240"/>
      </w:pPr>
      <w:r w:rsidRPr="00364545">
        <w:t xml:space="preserve">Traffic projections are based on the Modev model of the Commissariat Général au Développement Durable (French General Commission for Sustainable Development). Modev model changes in passenger and freight traffic as a function of demographic and economic growth variables (GDP, final household consumption, sectoral added value), changes in transport infrastructure and services, and the prices of the various modes of transport. Modev models changes to the overall demand for transport (passengers and goods) as well as changes to the modal split between the different modes of transport and the traffic on the network. </w:t>
      </w:r>
    </w:p>
    <w:p w14:paraId="645EE349" w14:textId="77777777" w:rsidR="001021CB" w:rsidRPr="00364545" w:rsidRDefault="001021CB" w:rsidP="001021CB">
      <w:pPr>
        <w:spacing w:before="240" w:after="240"/>
      </w:pPr>
      <w:r w:rsidRPr="00364545">
        <w:t xml:space="preserve">The traffic modelling is completed with models of vehicle fleets which include, in particular, a modelling of the spread of electric vehicles and changes to the distribution of diesel/petrol engines, according to hypotheses on changes to cost of vehicles and batteries and changes in the unit consumption of the various types of vehicles. </w:t>
      </w:r>
    </w:p>
    <w:p w14:paraId="274247CE" w14:textId="77777777" w:rsidR="001021CB" w:rsidRPr="00364545" w:rsidRDefault="001021CB" w:rsidP="00E22CF8">
      <w:pPr>
        <w:pStyle w:val="titreencadre"/>
      </w:pPr>
      <w:r w:rsidRPr="00364545">
        <w:t xml:space="preserve">Modelling the building sector </w:t>
      </w:r>
    </w:p>
    <w:p w14:paraId="34C96CF9" w14:textId="77777777" w:rsidR="001021CB" w:rsidRPr="00364545" w:rsidRDefault="001021CB" w:rsidP="001021CB">
      <w:pPr>
        <w:spacing w:before="240" w:after="240"/>
      </w:pPr>
      <w:r w:rsidRPr="00364545">
        <w:t xml:space="preserve">The residential sector is modelled with the Menfis model managed by the CSTB (Higher Technical Building Council). The Menfis model models changes in the energy performance of the stock of residential buildings annually from 2008 to 2050. The energy performance dynamics are obtained by renovation, destruction of buildings, and new constructions. Renovation processes are central to Menfis. With technical-economic calculations, Menfis determines annually which parts of the building can be renovated and at which energy performance level. By modelling the rebound effect, it predicts changes in energy consumption and greenhouse gas emissions. </w:t>
      </w:r>
    </w:p>
    <w:p w14:paraId="2E665CB5" w14:textId="77777777" w:rsidR="001021CB" w:rsidRPr="00364545" w:rsidRDefault="001021CB" w:rsidP="001021CB">
      <w:pPr>
        <w:spacing w:before="240" w:after="240"/>
      </w:pPr>
      <w:r w:rsidRPr="00364545">
        <w:t xml:space="preserve">The tertiary sector was modelled by the CGDD using the Énergies Demain Enerter® Tertiaire tool, which evaluates the energy consumption of tertiary buildings and estimates the impact of rehabilitation measures on this stock. </w:t>
      </w:r>
    </w:p>
    <w:p w14:paraId="27FF53D6" w14:textId="77777777" w:rsidR="001021CB" w:rsidRPr="00364545" w:rsidRDefault="001021CB" w:rsidP="00E22CF8">
      <w:pPr>
        <w:pStyle w:val="titreencadre"/>
      </w:pPr>
      <w:r w:rsidRPr="00364545">
        <w:t xml:space="preserve">Modelling the agriculture and forestry sector </w:t>
      </w:r>
    </w:p>
    <w:p w14:paraId="0940088B" w14:textId="77777777" w:rsidR="001021CB" w:rsidRPr="00364545" w:rsidRDefault="001021CB" w:rsidP="001021CB">
      <w:pPr>
        <w:spacing w:before="240" w:after="240"/>
      </w:pPr>
      <w:r w:rsidRPr="00364545">
        <w:t xml:space="preserve">The agriculture and forestry sector was modelled by Citepa using the ClimAgri® model initially developed in 2009 by Solagro and Bio Intelligence Service for ADEME. ClimAgri models energy consumption and greenhouse gases in the agricultural sector based on assumptions about the characteristics of crop production (description of production, inputs, technical practices and itineraries, yields) and bioconversions, i.e. the transformation of fodder and concentrates into the production of eggs, milk and meat, by describing livestock, inputs and breeding practices. </w:t>
      </w:r>
    </w:p>
    <w:p w14:paraId="78948121" w14:textId="77777777" w:rsidR="001021CB" w:rsidRPr="00364545" w:rsidRDefault="001021CB" w:rsidP="00E22CF8">
      <w:pPr>
        <w:pStyle w:val="titreencadre"/>
      </w:pPr>
      <w:r w:rsidRPr="00364545">
        <w:t xml:space="preserve">Modelling the industrial sector </w:t>
      </w:r>
    </w:p>
    <w:p w14:paraId="742AB783" w14:textId="77777777" w:rsidR="001021CB" w:rsidRPr="00364545" w:rsidRDefault="001021CB" w:rsidP="001021CB">
      <w:pPr>
        <w:spacing w:before="240" w:after="240"/>
      </w:pPr>
      <w:r w:rsidRPr="00364545">
        <w:t>Changes in tonnages, energy performance, recycling rates and mix developed in the previous scenarios were updated by a group of experts, taking into account recent developments in the sector. The associated energy consumption was calculated using the GEStime tool.</w:t>
      </w:r>
    </w:p>
    <w:p w14:paraId="25CF056B" w14:textId="77777777" w:rsidR="001021CB" w:rsidRPr="00364545" w:rsidRDefault="001021CB" w:rsidP="00E22CF8">
      <w:pPr>
        <w:pStyle w:val="titreencadre"/>
      </w:pPr>
      <w:r w:rsidRPr="00364545">
        <w:t xml:space="preserve">Modelling of fluorinated gases </w:t>
      </w:r>
    </w:p>
    <w:p w14:paraId="120F91D8" w14:textId="77777777" w:rsidR="001021CB" w:rsidRPr="00364545" w:rsidRDefault="001021CB" w:rsidP="001021CB">
      <w:pPr>
        <w:spacing w:before="240" w:after="240"/>
      </w:pPr>
      <w:r w:rsidRPr="00364545">
        <w:t xml:space="preserve">For the F-gas sector, an assessment of HFC emissions was carried out using the RIEP software developed by the Energy and Processes Centre of MINES ParisTech. In the RIEP software, equipment containing fluorinated gases is grouped into eight application areas: domestic refrigeration, commercial refrigeration, refrigerated transport, industry, air conditioning, chillers, on-board air conditioning (including automotive air conditioning) and heat pumps. Each database describes, for 41 equipment sub-sectors, the national markets and production of equipment, the technical characteristics of the equipment (related to load, installed power, lifetime, etc.) as well as the emission levels and recovery efficiency of the maintenance and end-of-life channels. Market and production data are taken from statistical sources available for mainland France and referenced in the French Inventory studies that are updated each year. The other hypotheses are derived from the results of field surveys, communications from equipment manufacturers, results of experimental measurements and expert assessments. </w:t>
      </w:r>
    </w:p>
    <w:p w14:paraId="7A5AD93E" w14:textId="77777777" w:rsidR="001021CB" w:rsidRPr="00364545" w:rsidRDefault="001021CB" w:rsidP="00EF6DB6">
      <w:pPr>
        <w:pStyle w:val="Titre4niveau4"/>
      </w:pPr>
      <w:r w:rsidRPr="00364545">
        <w:t xml:space="preserve">Modelling energy scenarios </w:t>
      </w:r>
    </w:p>
    <w:p w14:paraId="0A4D0E32" w14:textId="77777777" w:rsidR="001021CB" w:rsidRPr="00364545" w:rsidRDefault="001021CB" w:rsidP="001021CB">
      <w:pPr>
        <w:spacing w:before="240" w:after="240"/>
      </w:pPr>
      <w:r w:rsidRPr="00364545">
        <w:t xml:space="preserve">The GEStime tool, developed internally by the DGEC, was used to aggregate energy consumption and to model changes in the energy sector in 5-year steps. </w:t>
      </w:r>
    </w:p>
    <w:p w14:paraId="49265294" w14:textId="77777777" w:rsidR="001021CB" w:rsidRPr="00364545" w:rsidRDefault="001021CB" w:rsidP="00EF6DB6">
      <w:pPr>
        <w:pStyle w:val="Titre4niveau4"/>
      </w:pPr>
      <w:r w:rsidRPr="00364545">
        <w:t xml:space="preserve">Modelling greenhouse gas emissions </w:t>
      </w:r>
    </w:p>
    <w:p w14:paraId="5E3ADD5E" w14:textId="77777777" w:rsidR="001021CB" w:rsidRPr="00364545" w:rsidRDefault="001021CB" w:rsidP="001021CB">
      <w:pPr>
        <w:spacing w:before="240" w:after="240"/>
      </w:pPr>
      <w:r w:rsidRPr="00364545">
        <w:t xml:space="preserve">Based on the activity scenarios described above, Citepa developed emission projection scenarios up to 2050. The emission projections are consistent with the national greenhouse gas emission inventory submitted to the UNFCCC. The methods used to convert activity data into emissions are therefore consistent with the inventory report. </w:t>
      </w:r>
    </w:p>
    <w:p w14:paraId="134B44AE" w14:textId="77777777" w:rsidR="001021CB" w:rsidRPr="00364545" w:rsidRDefault="001021CB" w:rsidP="003F57EA">
      <w:pPr>
        <w:pStyle w:val="Titre3Niveau3"/>
      </w:pPr>
      <w:bookmarkStart w:id="540" w:name="_Toc121215538"/>
      <w:bookmarkStart w:id="541" w:name="_Toc138341851"/>
      <w:r w:rsidRPr="00364545">
        <w:t>Baseline scenario assumptions</w:t>
      </w:r>
      <w:bookmarkEnd w:id="540"/>
      <w:bookmarkEnd w:id="541"/>
      <w:r w:rsidRPr="00364545">
        <w:t xml:space="preserve"> </w:t>
      </w:r>
    </w:p>
    <w:p w14:paraId="49967F68" w14:textId="61037D41" w:rsidR="001021CB" w:rsidRPr="00364545" w:rsidRDefault="001021CB" w:rsidP="001021CB">
      <w:pPr>
        <w:spacing w:before="240" w:after="240"/>
      </w:pPr>
      <w:r w:rsidRPr="00364545">
        <w:t>The economic framework used to develop the scenarios is as follows</w:t>
      </w:r>
      <w:r w:rsidR="00781784">
        <w:t xml:space="preserve">. It is important to note that the assumptions are different between the AMS and the AME scenario, as the scenarios were not designed at the same time. </w:t>
      </w:r>
    </w:p>
    <w:p w14:paraId="2DA29B77" w14:textId="77777777" w:rsidR="001021CB" w:rsidRPr="00364545" w:rsidRDefault="001021CB" w:rsidP="00EF6DB6">
      <w:pPr>
        <w:pStyle w:val="Titre4niveau4"/>
      </w:pPr>
      <w:r w:rsidRPr="00364545">
        <w:t xml:space="preserve">Assumptions about changes to energy prices </w:t>
      </w:r>
    </w:p>
    <w:p w14:paraId="5232E02C" w14:textId="77777777" w:rsidR="001021CB" w:rsidRPr="00364545" w:rsidRDefault="001021CB" w:rsidP="001021CB">
      <w:pPr>
        <w:spacing w:before="240" w:after="240"/>
      </w:pPr>
      <w:r w:rsidRPr="00364545">
        <w:t xml:space="preserve">The assumptions used for the price of fossil fuels come from the economic framework proposed by the European Commission to all EU countries. </w:t>
      </w:r>
    </w:p>
    <w:tbl>
      <w:tblPr>
        <w:tblStyle w:val="TableGrid0"/>
        <w:tblW w:w="9941" w:type="dxa"/>
        <w:tblInd w:w="3" w:type="dxa"/>
        <w:tblCellMar>
          <w:top w:w="131" w:type="dxa"/>
          <w:left w:w="28" w:type="dxa"/>
          <w:right w:w="115" w:type="dxa"/>
        </w:tblCellMar>
        <w:tblLook w:val="04A0" w:firstRow="1" w:lastRow="0" w:firstColumn="1" w:lastColumn="0" w:noHBand="0" w:noVBand="1"/>
      </w:tblPr>
      <w:tblGrid>
        <w:gridCol w:w="3791"/>
        <w:gridCol w:w="1046"/>
        <w:gridCol w:w="1047"/>
        <w:gridCol w:w="1047"/>
        <w:gridCol w:w="1048"/>
        <w:gridCol w:w="981"/>
        <w:gridCol w:w="981"/>
      </w:tblGrid>
      <w:tr w:rsidR="001021CB" w:rsidRPr="00364545" w14:paraId="2FF3946A" w14:textId="77777777" w:rsidTr="00C44824">
        <w:trPr>
          <w:trHeight w:val="389"/>
        </w:trPr>
        <w:tc>
          <w:tcPr>
            <w:tcW w:w="3791" w:type="dxa"/>
            <w:tcBorders>
              <w:top w:val="single" w:sz="2" w:space="0" w:color="000000"/>
              <w:left w:val="single" w:sz="2" w:space="0" w:color="000000"/>
              <w:bottom w:val="single" w:sz="2" w:space="0" w:color="000000"/>
              <w:right w:val="single" w:sz="2" w:space="0" w:color="000000"/>
            </w:tcBorders>
            <w:shd w:val="clear" w:color="auto" w:fill="6D2A78"/>
          </w:tcPr>
          <w:p w14:paraId="04CEDDD1" w14:textId="77777777" w:rsidR="001021CB" w:rsidRPr="00364545" w:rsidRDefault="001021CB" w:rsidP="00C44824">
            <w:pPr>
              <w:spacing w:line="259" w:lineRule="auto"/>
              <w:ind w:left="136"/>
              <w:jc w:val="center"/>
            </w:pPr>
            <w:r w:rsidRPr="00364545">
              <w:t>AME 2021</w:t>
            </w:r>
          </w:p>
        </w:tc>
        <w:tc>
          <w:tcPr>
            <w:tcW w:w="1046" w:type="dxa"/>
            <w:tcBorders>
              <w:top w:val="single" w:sz="2" w:space="0" w:color="000000"/>
              <w:left w:val="single" w:sz="2" w:space="0" w:color="000000"/>
              <w:bottom w:val="single" w:sz="2" w:space="0" w:color="000000"/>
              <w:right w:val="single" w:sz="2" w:space="0" w:color="000000"/>
            </w:tcBorders>
            <w:shd w:val="clear" w:color="auto" w:fill="6D2A78"/>
          </w:tcPr>
          <w:p w14:paraId="0F2048A3" w14:textId="77777777" w:rsidR="001021CB" w:rsidRPr="00364545" w:rsidRDefault="001021CB" w:rsidP="00C44824">
            <w:pPr>
              <w:spacing w:line="259" w:lineRule="auto"/>
              <w:ind w:left="88"/>
              <w:jc w:val="center"/>
            </w:pPr>
            <w:r w:rsidRPr="00364545">
              <w:rPr>
                <w:b/>
                <w:color w:val="FFFFFF"/>
                <w:sz w:val="18"/>
              </w:rPr>
              <w:t xml:space="preserve">2020 </w:t>
            </w:r>
          </w:p>
        </w:tc>
        <w:tc>
          <w:tcPr>
            <w:tcW w:w="1047" w:type="dxa"/>
            <w:tcBorders>
              <w:top w:val="single" w:sz="2" w:space="0" w:color="000000"/>
              <w:left w:val="single" w:sz="2" w:space="0" w:color="000000"/>
              <w:bottom w:val="single" w:sz="2" w:space="0" w:color="000000"/>
              <w:right w:val="single" w:sz="2" w:space="0" w:color="000000"/>
            </w:tcBorders>
            <w:shd w:val="clear" w:color="auto" w:fill="6D2A78"/>
          </w:tcPr>
          <w:p w14:paraId="648F410C" w14:textId="77777777" w:rsidR="001021CB" w:rsidRPr="00364545" w:rsidRDefault="001021CB" w:rsidP="00C44824">
            <w:pPr>
              <w:spacing w:line="259" w:lineRule="auto"/>
              <w:ind w:left="86"/>
              <w:jc w:val="center"/>
            </w:pPr>
            <w:r w:rsidRPr="00364545">
              <w:rPr>
                <w:b/>
                <w:color w:val="FFFFFF"/>
                <w:sz w:val="18"/>
              </w:rPr>
              <w:t xml:space="preserve">2025 </w:t>
            </w:r>
          </w:p>
        </w:tc>
        <w:tc>
          <w:tcPr>
            <w:tcW w:w="1047" w:type="dxa"/>
            <w:tcBorders>
              <w:top w:val="single" w:sz="2" w:space="0" w:color="000000"/>
              <w:left w:val="single" w:sz="2" w:space="0" w:color="000000"/>
              <w:bottom w:val="single" w:sz="2" w:space="0" w:color="000000"/>
              <w:right w:val="single" w:sz="2" w:space="0" w:color="000000"/>
            </w:tcBorders>
            <w:shd w:val="clear" w:color="auto" w:fill="6D2A78"/>
          </w:tcPr>
          <w:p w14:paraId="66BF4D29" w14:textId="77777777" w:rsidR="001021CB" w:rsidRPr="00364545" w:rsidRDefault="001021CB" w:rsidP="00C44824">
            <w:pPr>
              <w:spacing w:line="259" w:lineRule="auto"/>
              <w:ind w:left="87"/>
              <w:jc w:val="center"/>
            </w:pPr>
            <w:r w:rsidRPr="00364545">
              <w:rPr>
                <w:b/>
                <w:color w:val="FFFFFF"/>
                <w:sz w:val="18"/>
              </w:rPr>
              <w:t xml:space="preserve">2030 </w:t>
            </w:r>
          </w:p>
        </w:tc>
        <w:tc>
          <w:tcPr>
            <w:tcW w:w="1048" w:type="dxa"/>
            <w:tcBorders>
              <w:top w:val="single" w:sz="2" w:space="0" w:color="000000"/>
              <w:left w:val="single" w:sz="2" w:space="0" w:color="000000"/>
              <w:bottom w:val="single" w:sz="2" w:space="0" w:color="000000"/>
              <w:right w:val="single" w:sz="2" w:space="0" w:color="000000"/>
            </w:tcBorders>
            <w:shd w:val="clear" w:color="auto" w:fill="6D2A78"/>
          </w:tcPr>
          <w:p w14:paraId="54001BFF" w14:textId="77777777" w:rsidR="001021CB" w:rsidRPr="00364545" w:rsidRDefault="001021CB" w:rsidP="00C44824">
            <w:pPr>
              <w:spacing w:line="259" w:lineRule="auto"/>
              <w:ind w:left="86"/>
              <w:jc w:val="center"/>
            </w:pPr>
            <w:r w:rsidRPr="00364545">
              <w:rPr>
                <w:b/>
                <w:color w:val="FFFFFF"/>
                <w:sz w:val="18"/>
              </w:rPr>
              <w:t xml:space="preserve">2035 </w:t>
            </w:r>
          </w:p>
        </w:tc>
        <w:tc>
          <w:tcPr>
            <w:tcW w:w="981" w:type="dxa"/>
            <w:tcBorders>
              <w:top w:val="single" w:sz="2" w:space="0" w:color="000000"/>
              <w:left w:val="single" w:sz="2" w:space="0" w:color="000000"/>
              <w:bottom w:val="single" w:sz="2" w:space="0" w:color="000000"/>
              <w:right w:val="single" w:sz="2" w:space="0" w:color="000000"/>
            </w:tcBorders>
            <w:shd w:val="clear" w:color="auto" w:fill="6D2A78"/>
          </w:tcPr>
          <w:p w14:paraId="233EFA61" w14:textId="77777777" w:rsidR="001021CB" w:rsidRPr="00364545" w:rsidRDefault="001021CB" w:rsidP="00C44824">
            <w:pPr>
              <w:spacing w:line="259" w:lineRule="auto"/>
              <w:ind w:left="86"/>
              <w:jc w:val="center"/>
              <w:rPr>
                <w:b/>
                <w:color w:val="FFFFFF"/>
                <w:sz w:val="18"/>
              </w:rPr>
            </w:pPr>
            <w:r w:rsidRPr="00364545">
              <w:rPr>
                <w:b/>
                <w:color w:val="FFFFFF"/>
                <w:sz w:val="18"/>
              </w:rPr>
              <w:t>2040</w:t>
            </w:r>
          </w:p>
        </w:tc>
        <w:tc>
          <w:tcPr>
            <w:tcW w:w="981" w:type="dxa"/>
            <w:tcBorders>
              <w:top w:val="single" w:sz="2" w:space="0" w:color="000000"/>
              <w:left w:val="single" w:sz="2" w:space="0" w:color="000000"/>
              <w:bottom w:val="single" w:sz="2" w:space="0" w:color="000000"/>
              <w:right w:val="single" w:sz="2" w:space="0" w:color="000000"/>
            </w:tcBorders>
            <w:shd w:val="clear" w:color="auto" w:fill="6D2A78"/>
          </w:tcPr>
          <w:p w14:paraId="42180E90" w14:textId="77777777" w:rsidR="001021CB" w:rsidRPr="00364545" w:rsidRDefault="001021CB" w:rsidP="00C44824">
            <w:pPr>
              <w:spacing w:line="259" w:lineRule="auto"/>
              <w:ind w:left="86"/>
              <w:jc w:val="center"/>
              <w:rPr>
                <w:b/>
                <w:color w:val="FFFFFF"/>
                <w:sz w:val="18"/>
              </w:rPr>
            </w:pPr>
            <w:r w:rsidRPr="00364545">
              <w:rPr>
                <w:b/>
                <w:color w:val="FFFFFF"/>
                <w:sz w:val="18"/>
              </w:rPr>
              <w:t>2050</w:t>
            </w:r>
          </w:p>
        </w:tc>
      </w:tr>
      <w:tr w:rsidR="001021CB" w:rsidRPr="00364545" w14:paraId="5EFF9314" w14:textId="77777777" w:rsidTr="00C44824">
        <w:trPr>
          <w:trHeight w:val="407"/>
        </w:trPr>
        <w:tc>
          <w:tcPr>
            <w:tcW w:w="3791" w:type="dxa"/>
            <w:tcBorders>
              <w:top w:val="single" w:sz="2" w:space="0" w:color="000000"/>
              <w:left w:val="single" w:sz="2" w:space="0" w:color="000000"/>
              <w:bottom w:val="single" w:sz="2" w:space="0" w:color="000000"/>
              <w:right w:val="single" w:sz="2" w:space="0" w:color="000000"/>
            </w:tcBorders>
          </w:tcPr>
          <w:p w14:paraId="2E9161C7" w14:textId="77777777" w:rsidR="001021CB" w:rsidRPr="00364545" w:rsidRDefault="001021CB" w:rsidP="00C44824">
            <w:pPr>
              <w:spacing w:line="259" w:lineRule="auto"/>
            </w:pPr>
            <w:r w:rsidRPr="00364545">
              <w:rPr>
                <w:sz w:val="18"/>
              </w:rPr>
              <w:t xml:space="preserve">Oil (Brent crude oil) </w:t>
            </w:r>
          </w:p>
        </w:tc>
        <w:tc>
          <w:tcPr>
            <w:tcW w:w="1046" w:type="dxa"/>
            <w:tcBorders>
              <w:top w:val="single" w:sz="2" w:space="0" w:color="000000"/>
              <w:left w:val="single" w:sz="2" w:space="0" w:color="000000"/>
              <w:bottom w:val="single" w:sz="2" w:space="0" w:color="000000"/>
              <w:right w:val="single" w:sz="2" w:space="0" w:color="000000"/>
            </w:tcBorders>
          </w:tcPr>
          <w:p w14:paraId="1A60DCC5" w14:textId="77777777" w:rsidR="001021CB" w:rsidRPr="00364545" w:rsidRDefault="001021CB" w:rsidP="00C44824">
            <w:pPr>
              <w:spacing w:line="259" w:lineRule="auto"/>
              <w:ind w:left="91"/>
              <w:jc w:val="center"/>
            </w:pPr>
            <w:r w:rsidRPr="00364545">
              <w:t>38</w:t>
            </w:r>
          </w:p>
        </w:tc>
        <w:tc>
          <w:tcPr>
            <w:tcW w:w="1047" w:type="dxa"/>
            <w:tcBorders>
              <w:top w:val="single" w:sz="2" w:space="0" w:color="000000"/>
              <w:left w:val="single" w:sz="2" w:space="0" w:color="000000"/>
              <w:bottom w:val="single" w:sz="2" w:space="0" w:color="000000"/>
              <w:right w:val="single" w:sz="2" w:space="0" w:color="000000"/>
            </w:tcBorders>
          </w:tcPr>
          <w:p w14:paraId="1102445E" w14:textId="77777777" w:rsidR="001021CB" w:rsidRPr="00364545" w:rsidRDefault="001021CB" w:rsidP="00C44824">
            <w:pPr>
              <w:spacing w:line="259" w:lineRule="auto"/>
              <w:ind w:left="88"/>
              <w:jc w:val="center"/>
            </w:pPr>
            <w:r w:rsidRPr="00364545">
              <w:t>67.4</w:t>
            </w:r>
          </w:p>
        </w:tc>
        <w:tc>
          <w:tcPr>
            <w:tcW w:w="1047" w:type="dxa"/>
            <w:tcBorders>
              <w:top w:val="single" w:sz="2" w:space="0" w:color="000000"/>
              <w:left w:val="single" w:sz="2" w:space="0" w:color="000000"/>
              <w:bottom w:val="single" w:sz="2" w:space="0" w:color="000000"/>
              <w:right w:val="single" w:sz="2" w:space="0" w:color="000000"/>
            </w:tcBorders>
          </w:tcPr>
          <w:p w14:paraId="1F05729D" w14:textId="77777777" w:rsidR="001021CB" w:rsidRPr="00364545" w:rsidRDefault="001021CB" w:rsidP="00C44824">
            <w:pPr>
              <w:spacing w:line="259" w:lineRule="auto"/>
              <w:ind w:left="90"/>
              <w:jc w:val="center"/>
            </w:pPr>
            <w:r w:rsidRPr="00364545">
              <w:t>80</w:t>
            </w:r>
          </w:p>
        </w:tc>
        <w:tc>
          <w:tcPr>
            <w:tcW w:w="1048" w:type="dxa"/>
            <w:tcBorders>
              <w:top w:val="single" w:sz="2" w:space="0" w:color="000000"/>
              <w:left w:val="single" w:sz="2" w:space="0" w:color="000000"/>
              <w:bottom w:val="single" w:sz="2" w:space="0" w:color="000000"/>
              <w:right w:val="single" w:sz="2" w:space="0" w:color="000000"/>
            </w:tcBorders>
          </w:tcPr>
          <w:p w14:paraId="2F0AA7CF" w14:textId="77777777" w:rsidR="001021CB" w:rsidRPr="00364545" w:rsidRDefault="001021CB" w:rsidP="00C44824">
            <w:pPr>
              <w:spacing w:line="259" w:lineRule="auto"/>
              <w:ind w:left="89"/>
              <w:jc w:val="center"/>
            </w:pPr>
            <w:r w:rsidRPr="00364545">
              <w:t>86.4</w:t>
            </w:r>
          </w:p>
        </w:tc>
        <w:tc>
          <w:tcPr>
            <w:tcW w:w="981" w:type="dxa"/>
            <w:tcBorders>
              <w:top w:val="single" w:sz="2" w:space="0" w:color="000000"/>
              <w:left w:val="single" w:sz="2" w:space="0" w:color="000000"/>
              <w:bottom w:val="single" w:sz="2" w:space="0" w:color="000000"/>
              <w:right w:val="single" w:sz="2" w:space="0" w:color="000000"/>
            </w:tcBorders>
          </w:tcPr>
          <w:p w14:paraId="46D48192" w14:textId="77777777" w:rsidR="001021CB" w:rsidRPr="00364545" w:rsidRDefault="001021CB" w:rsidP="00C44824">
            <w:pPr>
              <w:spacing w:line="259" w:lineRule="auto"/>
              <w:ind w:left="89"/>
              <w:jc w:val="center"/>
              <w:rPr>
                <w:sz w:val="18"/>
              </w:rPr>
            </w:pPr>
            <w:r w:rsidRPr="00364545">
              <w:rPr>
                <w:sz w:val="18"/>
              </w:rPr>
              <w:t>92.8</w:t>
            </w:r>
          </w:p>
        </w:tc>
        <w:tc>
          <w:tcPr>
            <w:tcW w:w="981" w:type="dxa"/>
            <w:tcBorders>
              <w:top w:val="single" w:sz="2" w:space="0" w:color="000000"/>
              <w:left w:val="single" w:sz="2" w:space="0" w:color="000000"/>
              <w:bottom w:val="single" w:sz="2" w:space="0" w:color="000000"/>
              <w:right w:val="single" w:sz="2" w:space="0" w:color="000000"/>
            </w:tcBorders>
          </w:tcPr>
          <w:p w14:paraId="617BA1EB" w14:textId="77777777" w:rsidR="001021CB" w:rsidRPr="00364545" w:rsidRDefault="001021CB" w:rsidP="00C44824">
            <w:pPr>
              <w:spacing w:line="259" w:lineRule="auto"/>
              <w:ind w:left="89"/>
              <w:jc w:val="center"/>
              <w:rPr>
                <w:sz w:val="18"/>
              </w:rPr>
            </w:pPr>
            <w:r w:rsidRPr="00364545">
              <w:rPr>
                <w:sz w:val="18"/>
              </w:rPr>
              <w:t>113.2</w:t>
            </w:r>
          </w:p>
        </w:tc>
      </w:tr>
      <w:tr w:rsidR="001021CB" w:rsidRPr="00364545" w14:paraId="771D1D3E" w14:textId="77777777" w:rsidTr="00C44824">
        <w:trPr>
          <w:trHeight w:val="385"/>
        </w:trPr>
        <w:tc>
          <w:tcPr>
            <w:tcW w:w="3791" w:type="dxa"/>
            <w:tcBorders>
              <w:top w:val="single" w:sz="2" w:space="0" w:color="000000"/>
              <w:left w:val="single" w:sz="2" w:space="0" w:color="000000"/>
              <w:bottom w:val="single" w:sz="2" w:space="0" w:color="000000"/>
              <w:right w:val="single" w:sz="2" w:space="0" w:color="000000"/>
            </w:tcBorders>
            <w:shd w:val="clear" w:color="auto" w:fill="ECE6E2"/>
          </w:tcPr>
          <w:p w14:paraId="0DBA56E3" w14:textId="77777777" w:rsidR="001021CB" w:rsidRPr="00364545" w:rsidRDefault="001021CB" w:rsidP="00C44824">
            <w:pPr>
              <w:spacing w:line="259" w:lineRule="auto"/>
            </w:pPr>
            <w:r w:rsidRPr="00364545">
              <w:rPr>
                <w:sz w:val="18"/>
              </w:rPr>
              <w:t xml:space="preserve">Coal (CIF ARA 6000) </w:t>
            </w:r>
          </w:p>
        </w:tc>
        <w:tc>
          <w:tcPr>
            <w:tcW w:w="1046" w:type="dxa"/>
            <w:tcBorders>
              <w:top w:val="single" w:sz="2" w:space="0" w:color="000000"/>
              <w:left w:val="single" w:sz="2" w:space="0" w:color="000000"/>
              <w:bottom w:val="single" w:sz="2" w:space="0" w:color="000000"/>
              <w:right w:val="single" w:sz="2" w:space="0" w:color="000000"/>
            </w:tcBorders>
            <w:shd w:val="clear" w:color="auto" w:fill="ECE6E2"/>
          </w:tcPr>
          <w:p w14:paraId="40A3F62A" w14:textId="77777777" w:rsidR="001021CB" w:rsidRPr="00364545" w:rsidRDefault="001021CB" w:rsidP="00C44824">
            <w:pPr>
              <w:spacing w:line="259" w:lineRule="auto"/>
              <w:ind w:left="90"/>
              <w:jc w:val="center"/>
            </w:pPr>
            <w:r w:rsidRPr="00364545">
              <w:t>74.2</w:t>
            </w:r>
          </w:p>
        </w:tc>
        <w:tc>
          <w:tcPr>
            <w:tcW w:w="1047" w:type="dxa"/>
            <w:tcBorders>
              <w:top w:val="single" w:sz="2" w:space="0" w:color="000000"/>
              <w:left w:val="single" w:sz="2" w:space="0" w:color="000000"/>
              <w:bottom w:val="single" w:sz="2" w:space="0" w:color="000000"/>
              <w:right w:val="single" w:sz="2" w:space="0" w:color="000000"/>
            </w:tcBorders>
            <w:shd w:val="clear" w:color="auto" w:fill="ECE6E2"/>
          </w:tcPr>
          <w:p w14:paraId="6D278FD5" w14:textId="77777777" w:rsidR="001021CB" w:rsidRPr="00364545" w:rsidRDefault="001021CB" w:rsidP="00C44824">
            <w:pPr>
              <w:spacing w:line="259" w:lineRule="auto"/>
              <w:ind w:left="88"/>
              <w:jc w:val="center"/>
            </w:pPr>
            <w:r w:rsidRPr="00364545">
              <w:t>111.7</w:t>
            </w:r>
          </w:p>
        </w:tc>
        <w:tc>
          <w:tcPr>
            <w:tcW w:w="1047" w:type="dxa"/>
            <w:tcBorders>
              <w:top w:val="single" w:sz="2" w:space="0" w:color="000000"/>
              <w:left w:val="single" w:sz="2" w:space="0" w:color="000000"/>
              <w:bottom w:val="single" w:sz="2" w:space="0" w:color="000000"/>
              <w:right w:val="single" w:sz="2" w:space="0" w:color="000000"/>
            </w:tcBorders>
            <w:shd w:val="clear" w:color="auto" w:fill="ECE6E2"/>
          </w:tcPr>
          <w:p w14:paraId="21C5D1C5" w14:textId="77777777" w:rsidR="001021CB" w:rsidRPr="00364545" w:rsidRDefault="001021CB" w:rsidP="00C44824">
            <w:pPr>
              <w:spacing w:line="259" w:lineRule="auto"/>
              <w:ind w:left="90"/>
              <w:jc w:val="center"/>
            </w:pPr>
            <w:r w:rsidRPr="00364545">
              <w:t>121.9</w:t>
            </w:r>
          </w:p>
        </w:tc>
        <w:tc>
          <w:tcPr>
            <w:tcW w:w="1048" w:type="dxa"/>
            <w:tcBorders>
              <w:top w:val="single" w:sz="2" w:space="0" w:color="000000"/>
              <w:left w:val="single" w:sz="2" w:space="0" w:color="000000"/>
              <w:bottom w:val="single" w:sz="2" w:space="0" w:color="000000"/>
              <w:right w:val="single" w:sz="2" w:space="0" w:color="000000"/>
            </w:tcBorders>
            <w:shd w:val="clear" w:color="auto" w:fill="ECE6E2"/>
          </w:tcPr>
          <w:p w14:paraId="3D0D41EA" w14:textId="77777777" w:rsidR="001021CB" w:rsidRPr="00364545" w:rsidRDefault="001021CB" w:rsidP="00C44824">
            <w:pPr>
              <w:spacing w:line="259" w:lineRule="auto"/>
              <w:ind w:left="89"/>
              <w:jc w:val="center"/>
            </w:pPr>
            <w:r w:rsidRPr="00364545">
              <w:t>131.3</w:t>
            </w:r>
          </w:p>
        </w:tc>
        <w:tc>
          <w:tcPr>
            <w:tcW w:w="981" w:type="dxa"/>
            <w:tcBorders>
              <w:top w:val="single" w:sz="2" w:space="0" w:color="000000"/>
              <w:left w:val="single" w:sz="2" w:space="0" w:color="000000"/>
              <w:bottom w:val="single" w:sz="2" w:space="0" w:color="000000"/>
              <w:right w:val="single" w:sz="2" w:space="0" w:color="000000"/>
            </w:tcBorders>
            <w:shd w:val="clear" w:color="auto" w:fill="ECE6E2"/>
          </w:tcPr>
          <w:p w14:paraId="40A6958F" w14:textId="77777777" w:rsidR="001021CB" w:rsidRPr="00364545" w:rsidRDefault="001021CB" w:rsidP="00C44824">
            <w:pPr>
              <w:spacing w:line="259" w:lineRule="auto"/>
              <w:ind w:left="89"/>
              <w:jc w:val="center"/>
              <w:rPr>
                <w:sz w:val="18"/>
              </w:rPr>
            </w:pPr>
            <w:r w:rsidRPr="00364545">
              <w:rPr>
                <w:sz w:val="18"/>
              </w:rPr>
              <w:t>137.8</w:t>
            </w:r>
          </w:p>
        </w:tc>
        <w:tc>
          <w:tcPr>
            <w:tcW w:w="981" w:type="dxa"/>
            <w:tcBorders>
              <w:top w:val="single" w:sz="2" w:space="0" w:color="000000"/>
              <w:left w:val="single" w:sz="2" w:space="0" w:color="000000"/>
              <w:bottom w:val="single" w:sz="2" w:space="0" w:color="000000"/>
              <w:right w:val="single" w:sz="2" w:space="0" w:color="000000"/>
            </w:tcBorders>
            <w:shd w:val="clear" w:color="auto" w:fill="ECE6E2"/>
          </w:tcPr>
          <w:p w14:paraId="51C469D6" w14:textId="77777777" w:rsidR="001021CB" w:rsidRPr="00364545" w:rsidRDefault="001021CB" w:rsidP="00C44824">
            <w:pPr>
              <w:spacing w:line="259" w:lineRule="auto"/>
              <w:ind w:left="89"/>
              <w:jc w:val="center"/>
              <w:rPr>
                <w:sz w:val="18"/>
              </w:rPr>
            </w:pPr>
            <w:r w:rsidRPr="00364545">
              <w:rPr>
                <w:sz w:val="18"/>
              </w:rPr>
              <w:t>147.3</w:t>
            </w:r>
          </w:p>
        </w:tc>
      </w:tr>
      <w:tr w:rsidR="001021CB" w:rsidRPr="00364545" w14:paraId="3C855E1F" w14:textId="77777777" w:rsidTr="00C44824">
        <w:trPr>
          <w:trHeight w:val="407"/>
        </w:trPr>
        <w:tc>
          <w:tcPr>
            <w:tcW w:w="3791" w:type="dxa"/>
            <w:tcBorders>
              <w:top w:val="single" w:sz="2" w:space="0" w:color="000000"/>
              <w:left w:val="single" w:sz="2" w:space="0" w:color="000000"/>
              <w:bottom w:val="single" w:sz="2" w:space="0" w:color="000000"/>
              <w:right w:val="single" w:sz="2" w:space="0" w:color="000000"/>
            </w:tcBorders>
          </w:tcPr>
          <w:p w14:paraId="32F7BFF2" w14:textId="77777777" w:rsidR="001021CB" w:rsidRPr="004F2995" w:rsidRDefault="001021CB" w:rsidP="00C44824">
            <w:pPr>
              <w:spacing w:line="259" w:lineRule="auto"/>
              <w:rPr>
                <w:lang w:val="fr-FR"/>
              </w:rPr>
            </w:pPr>
            <w:r w:rsidRPr="004F2995">
              <w:rPr>
                <w:sz w:val="18"/>
                <w:lang w:val="fr-FR"/>
              </w:rPr>
              <w:t xml:space="preserve">Gas (GCG average EU import) </w:t>
            </w:r>
          </w:p>
        </w:tc>
        <w:tc>
          <w:tcPr>
            <w:tcW w:w="1046" w:type="dxa"/>
            <w:tcBorders>
              <w:top w:val="single" w:sz="2" w:space="0" w:color="000000"/>
              <w:left w:val="single" w:sz="2" w:space="0" w:color="000000"/>
              <w:bottom w:val="single" w:sz="2" w:space="0" w:color="000000"/>
              <w:right w:val="single" w:sz="2" w:space="0" w:color="000000"/>
            </w:tcBorders>
          </w:tcPr>
          <w:p w14:paraId="658B7A75" w14:textId="77777777" w:rsidR="001021CB" w:rsidRPr="00364545" w:rsidRDefault="001021CB" w:rsidP="00C44824">
            <w:pPr>
              <w:spacing w:line="259" w:lineRule="auto"/>
              <w:ind w:left="90"/>
              <w:jc w:val="center"/>
            </w:pPr>
            <w:r w:rsidRPr="00364545">
              <w:t>146.9</w:t>
            </w:r>
          </w:p>
        </w:tc>
        <w:tc>
          <w:tcPr>
            <w:tcW w:w="1047" w:type="dxa"/>
            <w:tcBorders>
              <w:top w:val="single" w:sz="2" w:space="0" w:color="000000"/>
              <w:left w:val="single" w:sz="2" w:space="0" w:color="000000"/>
              <w:bottom w:val="single" w:sz="2" w:space="0" w:color="000000"/>
              <w:right w:val="single" w:sz="2" w:space="0" w:color="000000"/>
            </w:tcBorders>
          </w:tcPr>
          <w:p w14:paraId="32E5C8A6" w14:textId="77777777" w:rsidR="001021CB" w:rsidRPr="00364545" w:rsidRDefault="001021CB" w:rsidP="00C44824">
            <w:pPr>
              <w:spacing w:line="259" w:lineRule="auto"/>
              <w:ind w:left="88"/>
              <w:jc w:val="center"/>
            </w:pPr>
            <w:r w:rsidRPr="00364545">
              <w:t>238.2</w:t>
            </w:r>
          </w:p>
        </w:tc>
        <w:tc>
          <w:tcPr>
            <w:tcW w:w="1047" w:type="dxa"/>
            <w:tcBorders>
              <w:top w:val="single" w:sz="2" w:space="0" w:color="000000"/>
              <w:left w:val="single" w:sz="2" w:space="0" w:color="000000"/>
              <w:bottom w:val="single" w:sz="2" w:space="0" w:color="000000"/>
              <w:right w:val="single" w:sz="2" w:space="0" w:color="000000"/>
            </w:tcBorders>
          </w:tcPr>
          <w:p w14:paraId="344F6298" w14:textId="77777777" w:rsidR="001021CB" w:rsidRPr="00364545" w:rsidRDefault="001021CB" w:rsidP="00C44824">
            <w:pPr>
              <w:spacing w:line="259" w:lineRule="auto"/>
              <w:ind w:left="90"/>
              <w:jc w:val="center"/>
            </w:pPr>
            <w:r w:rsidRPr="00364545">
              <w:t>249.4</w:t>
            </w:r>
          </w:p>
        </w:tc>
        <w:tc>
          <w:tcPr>
            <w:tcW w:w="1048" w:type="dxa"/>
            <w:tcBorders>
              <w:top w:val="single" w:sz="2" w:space="0" w:color="000000"/>
              <w:left w:val="single" w:sz="2" w:space="0" w:color="000000"/>
              <w:bottom w:val="single" w:sz="2" w:space="0" w:color="000000"/>
              <w:right w:val="single" w:sz="2" w:space="0" w:color="000000"/>
            </w:tcBorders>
          </w:tcPr>
          <w:p w14:paraId="64863656" w14:textId="77777777" w:rsidR="001021CB" w:rsidRPr="00364545" w:rsidRDefault="001021CB" w:rsidP="00C44824">
            <w:pPr>
              <w:spacing w:line="259" w:lineRule="auto"/>
              <w:ind w:left="89"/>
              <w:jc w:val="center"/>
            </w:pPr>
            <w:r w:rsidRPr="00364545">
              <w:t>285.8</w:t>
            </w:r>
          </w:p>
        </w:tc>
        <w:tc>
          <w:tcPr>
            <w:tcW w:w="981" w:type="dxa"/>
            <w:tcBorders>
              <w:top w:val="single" w:sz="2" w:space="0" w:color="000000"/>
              <w:left w:val="single" w:sz="2" w:space="0" w:color="000000"/>
              <w:bottom w:val="single" w:sz="2" w:space="0" w:color="000000"/>
              <w:right w:val="single" w:sz="2" w:space="0" w:color="000000"/>
            </w:tcBorders>
          </w:tcPr>
          <w:p w14:paraId="0BDF6846" w14:textId="77777777" w:rsidR="001021CB" w:rsidRPr="00364545" w:rsidRDefault="001021CB" w:rsidP="00C44824">
            <w:pPr>
              <w:spacing w:line="259" w:lineRule="auto"/>
              <w:ind w:left="89"/>
              <w:jc w:val="center"/>
              <w:rPr>
                <w:sz w:val="18"/>
              </w:rPr>
            </w:pPr>
            <w:r w:rsidRPr="00364545">
              <w:rPr>
                <w:sz w:val="18"/>
              </w:rPr>
              <w:t>341.4</w:t>
            </w:r>
          </w:p>
        </w:tc>
        <w:tc>
          <w:tcPr>
            <w:tcW w:w="981" w:type="dxa"/>
            <w:tcBorders>
              <w:top w:val="single" w:sz="2" w:space="0" w:color="000000"/>
              <w:left w:val="single" w:sz="2" w:space="0" w:color="000000"/>
              <w:bottom w:val="single" w:sz="2" w:space="0" w:color="000000"/>
              <w:right w:val="single" w:sz="2" w:space="0" w:color="000000"/>
            </w:tcBorders>
          </w:tcPr>
          <w:p w14:paraId="14AFEF8B" w14:textId="77777777" w:rsidR="001021CB" w:rsidRPr="00364545" w:rsidRDefault="001021CB" w:rsidP="00C44824">
            <w:pPr>
              <w:spacing w:line="259" w:lineRule="auto"/>
              <w:ind w:left="89"/>
              <w:jc w:val="center"/>
              <w:rPr>
                <w:sz w:val="18"/>
              </w:rPr>
            </w:pPr>
            <w:r w:rsidRPr="00364545">
              <w:rPr>
                <w:sz w:val="18"/>
              </w:rPr>
              <w:t>343.8</w:t>
            </w:r>
          </w:p>
        </w:tc>
      </w:tr>
    </w:tbl>
    <w:p w14:paraId="63788EB2" w14:textId="77777777" w:rsidR="001021CB" w:rsidRPr="00364545" w:rsidRDefault="001021CB" w:rsidP="001021CB">
      <w:pPr>
        <w:spacing w:before="240" w:after="240"/>
      </w:pPr>
    </w:p>
    <w:tbl>
      <w:tblPr>
        <w:tblStyle w:val="TableGrid0"/>
        <w:tblW w:w="9917" w:type="dxa"/>
        <w:tblInd w:w="3" w:type="dxa"/>
        <w:tblCellMar>
          <w:top w:w="131" w:type="dxa"/>
          <w:left w:w="28" w:type="dxa"/>
          <w:right w:w="115" w:type="dxa"/>
        </w:tblCellMar>
        <w:tblLook w:val="04A0" w:firstRow="1" w:lastRow="0" w:firstColumn="1" w:lastColumn="0" w:noHBand="0" w:noVBand="1"/>
      </w:tblPr>
      <w:tblGrid>
        <w:gridCol w:w="4177"/>
        <w:gridCol w:w="1092"/>
        <w:gridCol w:w="1091"/>
        <w:gridCol w:w="1095"/>
        <w:gridCol w:w="1092"/>
        <w:gridCol w:w="1370"/>
      </w:tblGrid>
      <w:tr w:rsidR="001021CB" w:rsidRPr="00364545" w14:paraId="4979C688" w14:textId="77777777" w:rsidTr="0072099A">
        <w:trPr>
          <w:trHeight w:val="389"/>
        </w:trPr>
        <w:tc>
          <w:tcPr>
            <w:tcW w:w="4177" w:type="dxa"/>
            <w:tcBorders>
              <w:top w:val="single" w:sz="2" w:space="0" w:color="000000"/>
              <w:left w:val="single" w:sz="2" w:space="0" w:color="000000"/>
              <w:bottom w:val="single" w:sz="2" w:space="0" w:color="000000"/>
              <w:right w:val="single" w:sz="2" w:space="0" w:color="000000"/>
            </w:tcBorders>
            <w:shd w:val="clear" w:color="auto" w:fill="6D2A78"/>
          </w:tcPr>
          <w:p w14:paraId="23072ECA" w14:textId="77777777" w:rsidR="001021CB" w:rsidRPr="00364545" w:rsidRDefault="001021CB" w:rsidP="00C44824">
            <w:pPr>
              <w:spacing w:line="259" w:lineRule="auto"/>
              <w:ind w:left="136"/>
              <w:jc w:val="center"/>
            </w:pPr>
            <w:r w:rsidRPr="00364545">
              <w:t>AMS 2018</w:t>
            </w:r>
          </w:p>
        </w:tc>
        <w:tc>
          <w:tcPr>
            <w:tcW w:w="1092" w:type="dxa"/>
            <w:tcBorders>
              <w:top w:val="single" w:sz="2" w:space="0" w:color="000000"/>
              <w:left w:val="single" w:sz="2" w:space="0" w:color="000000"/>
              <w:bottom w:val="single" w:sz="2" w:space="0" w:color="000000"/>
              <w:right w:val="single" w:sz="2" w:space="0" w:color="000000"/>
            </w:tcBorders>
            <w:shd w:val="clear" w:color="auto" w:fill="6D2A78"/>
          </w:tcPr>
          <w:p w14:paraId="659AB2FA" w14:textId="77777777" w:rsidR="001021CB" w:rsidRPr="00364545" w:rsidRDefault="001021CB" w:rsidP="00C44824">
            <w:pPr>
              <w:spacing w:line="259" w:lineRule="auto"/>
              <w:ind w:left="87"/>
              <w:jc w:val="center"/>
            </w:pPr>
            <w:r w:rsidRPr="00364545">
              <w:rPr>
                <w:b/>
                <w:color w:val="FFFFFF"/>
                <w:sz w:val="18"/>
              </w:rPr>
              <w:t xml:space="preserve">2015 </w:t>
            </w:r>
          </w:p>
        </w:tc>
        <w:tc>
          <w:tcPr>
            <w:tcW w:w="1091" w:type="dxa"/>
            <w:tcBorders>
              <w:top w:val="single" w:sz="2" w:space="0" w:color="000000"/>
              <w:left w:val="single" w:sz="2" w:space="0" w:color="000000"/>
              <w:bottom w:val="single" w:sz="2" w:space="0" w:color="000000"/>
              <w:right w:val="single" w:sz="2" w:space="0" w:color="000000"/>
            </w:tcBorders>
            <w:shd w:val="clear" w:color="auto" w:fill="6D2A78"/>
          </w:tcPr>
          <w:p w14:paraId="7AD1187A" w14:textId="77777777" w:rsidR="001021CB" w:rsidRPr="00364545" w:rsidRDefault="001021CB" w:rsidP="00C44824">
            <w:pPr>
              <w:spacing w:line="259" w:lineRule="auto"/>
              <w:ind w:left="88"/>
              <w:jc w:val="center"/>
            </w:pPr>
            <w:r w:rsidRPr="00364545">
              <w:rPr>
                <w:b/>
                <w:color w:val="FFFFFF"/>
                <w:sz w:val="18"/>
              </w:rPr>
              <w:t xml:space="preserve">2020 </w:t>
            </w:r>
          </w:p>
        </w:tc>
        <w:tc>
          <w:tcPr>
            <w:tcW w:w="1095" w:type="dxa"/>
            <w:tcBorders>
              <w:top w:val="single" w:sz="2" w:space="0" w:color="000000"/>
              <w:left w:val="single" w:sz="2" w:space="0" w:color="000000"/>
              <w:bottom w:val="single" w:sz="2" w:space="0" w:color="000000"/>
              <w:right w:val="single" w:sz="2" w:space="0" w:color="000000"/>
            </w:tcBorders>
            <w:shd w:val="clear" w:color="auto" w:fill="6D2A78"/>
          </w:tcPr>
          <w:p w14:paraId="42A50398" w14:textId="77777777" w:rsidR="001021CB" w:rsidRPr="00364545" w:rsidRDefault="001021CB" w:rsidP="00C44824">
            <w:pPr>
              <w:spacing w:line="259" w:lineRule="auto"/>
              <w:ind w:left="86"/>
              <w:jc w:val="center"/>
            </w:pPr>
            <w:r w:rsidRPr="00364545">
              <w:rPr>
                <w:b/>
                <w:color w:val="FFFFFF"/>
                <w:sz w:val="18"/>
              </w:rPr>
              <w:t xml:space="preserve">2025 </w:t>
            </w:r>
          </w:p>
        </w:tc>
        <w:tc>
          <w:tcPr>
            <w:tcW w:w="1092" w:type="dxa"/>
            <w:tcBorders>
              <w:top w:val="single" w:sz="2" w:space="0" w:color="000000"/>
              <w:left w:val="single" w:sz="2" w:space="0" w:color="000000"/>
              <w:bottom w:val="single" w:sz="2" w:space="0" w:color="000000"/>
              <w:right w:val="single" w:sz="2" w:space="0" w:color="000000"/>
            </w:tcBorders>
            <w:shd w:val="clear" w:color="auto" w:fill="6D2A78"/>
          </w:tcPr>
          <w:p w14:paraId="4F87C10C" w14:textId="77777777" w:rsidR="001021CB" w:rsidRPr="00364545" w:rsidRDefault="001021CB" w:rsidP="00C44824">
            <w:pPr>
              <w:spacing w:line="259" w:lineRule="auto"/>
              <w:ind w:left="87"/>
              <w:jc w:val="center"/>
            </w:pPr>
            <w:r w:rsidRPr="00364545">
              <w:rPr>
                <w:b/>
                <w:color w:val="FFFFFF"/>
                <w:sz w:val="18"/>
              </w:rPr>
              <w:t xml:space="preserve">2030 </w:t>
            </w:r>
          </w:p>
        </w:tc>
        <w:tc>
          <w:tcPr>
            <w:tcW w:w="1370" w:type="dxa"/>
            <w:tcBorders>
              <w:top w:val="single" w:sz="2" w:space="0" w:color="000000"/>
              <w:left w:val="single" w:sz="2" w:space="0" w:color="000000"/>
              <w:bottom w:val="single" w:sz="2" w:space="0" w:color="000000"/>
              <w:right w:val="single" w:sz="2" w:space="0" w:color="000000"/>
            </w:tcBorders>
            <w:shd w:val="clear" w:color="auto" w:fill="6D2A78"/>
          </w:tcPr>
          <w:p w14:paraId="2605D99B" w14:textId="77777777" w:rsidR="001021CB" w:rsidRPr="00364545" w:rsidRDefault="001021CB" w:rsidP="00C44824">
            <w:pPr>
              <w:spacing w:line="259" w:lineRule="auto"/>
              <w:ind w:left="86"/>
              <w:jc w:val="center"/>
            </w:pPr>
            <w:r w:rsidRPr="00364545">
              <w:rPr>
                <w:b/>
                <w:color w:val="FFFFFF"/>
                <w:sz w:val="18"/>
              </w:rPr>
              <w:t xml:space="preserve">2035 </w:t>
            </w:r>
          </w:p>
        </w:tc>
      </w:tr>
      <w:tr w:rsidR="001021CB" w:rsidRPr="00364545" w14:paraId="360E4D38" w14:textId="77777777" w:rsidTr="0072099A">
        <w:trPr>
          <w:trHeight w:val="407"/>
        </w:trPr>
        <w:tc>
          <w:tcPr>
            <w:tcW w:w="4177" w:type="dxa"/>
            <w:tcBorders>
              <w:top w:val="single" w:sz="2" w:space="0" w:color="000000"/>
              <w:left w:val="single" w:sz="2" w:space="0" w:color="000000"/>
              <w:bottom w:val="single" w:sz="2" w:space="0" w:color="000000"/>
              <w:right w:val="single" w:sz="2" w:space="0" w:color="000000"/>
            </w:tcBorders>
          </w:tcPr>
          <w:p w14:paraId="5FC22439" w14:textId="77777777" w:rsidR="001021CB" w:rsidRPr="00364545" w:rsidRDefault="001021CB" w:rsidP="00C44824">
            <w:pPr>
              <w:spacing w:line="259" w:lineRule="auto"/>
            </w:pPr>
            <w:r w:rsidRPr="00364545">
              <w:rPr>
                <w:sz w:val="18"/>
              </w:rPr>
              <w:t xml:space="preserve">Oil (Brent crude oil) </w:t>
            </w:r>
          </w:p>
        </w:tc>
        <w:tc>
          <w:tcPr>
            <w:tcW w:w="1092" w:type="dxa"/>
            <w:tcBorders>
              <w:top w:val="single" w:sz="2" w:space="0" w:color="000000"/>
              <w:left w:val="single" w:sz="2" w:space="0" w:color="000000"/>
              <w:bottom w:val="single" w:sz="2" w:space="0" w:color="000000"/>
              <w:right w:val="single" w:sz="2" w:space="0" w:color="000000"/>
            </w:tcBorders>
          </w:tcPr>
          <w:p w14:paraId="35F49039" w14:textId="77777777" w:rsidR="001021CB" w:rsidRPr="00364545" w:rsidRDefault="001021CB" w:rsidP="00C44824">
            <w:pPr>
              <w:spacing w:line="259" w:lineRule="auto"/>
              <w:ind w:left="90"/>
              <w:jc w:val="center"/>
            </w:pPr>
            <w:r w:rsidRPr="00364545">
              <w:rPr>
                <w:sz w:val="18"/>
              </w:rPr>
              <w:t xml:space="preserve">48.19 </w:t>
            </w:r>
          </w:p>
        </w:tc>
        <w:tc>
          <w:tcPr>
            <w:tcW w:w="1091" w:type="dxa"/>
            <w:tcBorders>
              <w:top w:val="single" w:sz="2" w:space="0" w:color="000000"/>
              <w:left w:val="single" w:sz="2" w:space="0" w:color="000000"/>
              <w:bottom w:val="single" w:sz="2" w:space="0" w:color="000000"/>
              <w:right w:val="single" w:sz="2" w:space="0" w:color="000000"/>
            </w:tcBorders>
          </w:tcPr>
          <w:p w14:paraId="024DBBAB" w14:textId="77777777" w:rsidR="001021CB" w:rsidRPr="00364545" w:rsidRDefault="001021CB" w:rsidP="00C44824">
            <w:pPr>
              <w:spacing w:line="259" w:lineRule="auto"/>
              <w:ind w:left="91"/>
              <w:jc w:val="center"/>
            </w:pPr>
            <w:r w:rsidRPr="00364545">
              <w:rPr>
                <w:sz w:val="18"/>
              </w:rPr>
              <w:t xml:space="preserve">75.01 </w:t>
            </w:r>
          </w:p>
        </w:tc>
        <w:tc>
          <w:tcPr>
            <w:tcW w:w="1095" w:type="dxa"/>
            <w:tcBorders>
              <w:top w:val="single" w:sz="2" w:space="0" w:color="000000"/>
              <w:left w:val="single" w:sz="2" w:space="0" w:color="000000"/>
              <w:bottom w:val="single" w:sz="2" w:space="0" w:color="000000"/>
              <w:right w:val="single" w:sz="2" w:space="0" w:color="000000"/>
            </w:tcBorders>
          </w:tcPr>
          <w:p w14:paraId="7B25443E" w14:textId="77777777" w:rsidR="001021CB" w:rsidRPr="00364545" w:rsidRDefault="001021CB" w:rsidP="00C44824">
            <w:pPr>
              <w:spacing w:line="259" w:lineRule="auto"/>
              <w:ind w:left="88"/>
              <w:jc w:val="center"/>
            </w:pPr>
            <w:r w:rsidRPr="00364545">
              <w:rPr>
                <w:sz w:val="18"/>
              </w:rPr>
              <w:t xml:space="preserve">85.15 </w:t>
            </w:r>
          </w:p>
        </w:tc>
        <w:tc>
          <w:tcPr>
            <w:tcW w:w="1092" w:type="dxa"/>
            <w:tcBorders>
              <w:top w:val="single" w:sz="2" w:space="0" w:color="000000"/>
              <w:left w:val="single" w:sz="2" w:space="0" w:color="000000"/>
              <w:bottom w:val="single" w:sz="2" w:space="0" w:color="000000"/>
              <w:right w:val="single" w:sz="2" w:space="0" w:color="000000"/>
            </w:tcBorders>
          </w:tcPr>
          <w:p w14:paraId="5FB7F669" w14:textId="77777777" w:rsidR="001021CB" w:rsidRPr="00364545" w:rsidRDefault="001021CB" w:rsidP="00C44824">
            <w:pPr>
              <w:spacing w:line="259" w:lineRule="auto"/>
              <w:ind w:left="90"/>
              <w:jc w:val="center"/>
            </w:pPr>
            <w:r w:rsidRPr="00364545">
              <w:rPr>
                <w:sz w:val="18"/>
              </w:rPr>
              <w:t xml:space="preserve">93.8 </w:t>
            </w:r>
          </w:p>
        </w:tc>
        <w:tc>
          <w:tcPr>
            <w:tcW w:w="1370" w:type="dxa"/>
            <w:tcBorders>
              <w:top w:val="single" w:sz="2" w:space="0" w:color="000000"/>
              <w:left w:val="single" w:sz="2" w:space="0" w:color="000000"/>
              <w:bottom w:val="single" w:sz="2" w:space="0" w:color="000000"/>
              <w:right w:val="single" w:sz="2" w:space="0" w:color="000000"/>
            </w:tcBorders>
          </w:tcPr>
          <w:p w14:paraId="2F74FCAD" w14:textId="77777777" w:rsidR="001021CB" w:rsidRPr="00364545" w:rsidRDefault="001021CB" w:rsidP="00C44824">
            <w:pPr>
              <w:spacing w:line="259" w:lineRule="auto"/>
              <w:ind w:left="89"/>
              <w:jc w:val="center"/>
            </w:pPr>
            <w:r w:rsidRPr="00364545">
              <w:rPr>
                <w:sz w:val="18"/>
              </w:rPr>
              <w:t xml:space="preserve">97.85 </w:t>
            </w:r>
          </w:p>
        </w:tc>
      </w:tr>
      <w:tr w:rsidR="001021CB" w:rsidRPr="00364545" w14:paraId="5528F675" w14:textId="77777777" w:rsidTr="0072099A">
        <w:trPr>
          <w:trHeight w:val="385"/>
        </w:trPr>
        <w:tc>
          <w:tcPr>
            <w:tcW w:w="4177" w:type="dxa"/>
            <w:tcBorders>
              <w:top w:val="single" w:sz="2" w:space="0" w:color="000000"/>
              <w:left w:val="single" w:sz="2" w:space="0" w:color="000000"/>
              <w:bottom w:val="single" w:sz="2" w:space="0" w:color="000000"/>
              <w:right w:val="single" w:sz="2" w:space="0" w:color="000000"/>
            </w:tcBorders>
            <w:shd w:val="clear" w:color="auto" w:fill="ECE6E2"/>
          </w:tcPr>
          <w:p w14:paraId="5DB5250C" w14:textId="77777777" w:rsidR="001021CB" w:rsidRPr="00364545" w:rsidRDefault="001021CB" w:rsidP="00C44824">
            <w:pPr>
              <w:spacing w:line="259" w:lineRule="auto"/>
            </w:pPr>
            <w:r w:rsidRPr="00364545">
              <w:rPr>
                <w:sz w:val="18"/>
              </w:rPr>
              <w:t xml:space="preserve">Coal (CIF ARA 6000) </w:t>
            </w:r>
          </w:p>
        </w:tc>
        <w:tc>
          <w:tcPr>
            <w:tcW w:w="1092" w:type="dxa"/>
            <w:tcBorders>
              <w:top w:val="single" w:sz="2" w:space="0" w:color="000000"/>
              <w:left w:val="single" w:sz="2" w:space="0" w:color="000000"/>
              <w:bottom w:val="single" w:sz="2" w:space="0" w:color="000000"/>
              <w:right w:val="single" w:sz="2" w:space="0" w:color="000000"/>
            </w:tcBorders>
            <w:shd w:val="clear" w:color="auto" w:fill="ECE6E2"/>
          </w:tcPr>
          <w:p w14:paraId="095B370C" w14:textId="77777777" w:rsidR="001021CB" w:rsidRPr="00364545" w:rsidRDefault="001021CB" w:rsidP="00C44824">
            <w:pPr>
              <w:spacing w:line="259" w:lineRule="auto"/>
              <w:ind w:left="90"/>
              <w:jc w:val="center"/>
            </w:pPr>
            <w:r w:rsidRPr="00364545">
              <w:rPr>
                <w:sz w:val="18"/>
              </w:rPr>
              <w:t xml:space="preserve">11.47 </w:t>
            </w:r>
          </w:p>
        </w:tc>
        <w:tc>
          <w:tcPr>
            <w:tcW w:w="1091" w:type="dxa"/>
            <w:tcBorders>
              <w:top w:val="single" w:sz="2" w:space="0" w:color="000000"/>
              <w:left w:val="single" w:sz="2" w:space="0" w:color="000000"/>
              <w:bottom w:val="single" w:sz="2" w:space="0" w:color="000000"/>
              <w:right w:val="single" w:sz="2" w:space="0" w:color="000000"/>
            </w:tcBorders>
            <w:shd w:val="clear" w:color="auto" w:fill="ECE6E2"/>
          </w:tcPr>
          <w:p w14:paraId="0B5B7A3D" w14:textId="77777777" w:rsidR="001021CB" w:rsidRPr="00364545" w:rsidRDefault="001021CB" w:rsidP="00C44824">
            <w:pPr>
              <w:spacing w:line="259" w:lineRule="auto"/>
              <w:ind w:left="90"/>
              <w:jc w:val="center"/>
            </w:pPr>
            <w:r w:rsidRPr="00364545">
              <w:rPr>
                <w:sz w:val="18"/>
              </w:rPr>
              <w:t xml:space="preserve">14.31 </w:t>
            </w:r>
          </w:p>
        </w:tc>
        <w:tc>
          <w:tcPr>
            <w:tcW w:w="1095" w:type="dxa"/>
            <w:tcBorders>
              <w:top w:val="single" w:sz="2" w:space="0" w:color="000000"/>
              <w:left w:val="single" w:sz="2" w:space="0" w:color="000000"/>
              <w:bottom w:val="single" w:sz="2" w:space="0" w:color="000000"/>
              <w:right w:val="single" w:sz="2" w:space="0" w:color="000000"/>
            </w:tcBorders>
            <w:shd w:val="clear" w:color="auto" w:fill="ECE6E2"/>
          </w:tcPr>
          <w:p w14:paraId="4F6D3673" w14:textId="77777777" w:rsidR="001021CB" w:rsidRPr="00364545" w:rsidRDefault="001021CB" w:rsidP="00C44824">
            <w:pPr>
              <w:spacing w:line="259" w:lineRule="auto"/>
              <w:ind w:left="88"/>
              <w:jc w:val="center"/>
            </w:pPr>
            <w:r w:rsidRPr="00364545">
              <w:rPr>
                <w:sz w:val="18"/>
              </w:rPr>
              <w:t xml:space="preserve">17.09 </w:t>
            </w:r>
          </w:p>
        </w:tc>
        <w:tc>
          <w:tcPr>
            <w:tcW w:w="1092" w:type="dxa"/>
            <w:tcBorders>
              <w:top w:val="single" w:sz="2" w:space="0" w:color="000000"/>
              <w:left w:val="single" w:sz="2" w:space="0" w:color="000000"/>
              <w:bottom w:val="single" w:sz="2" w:space="0" w:color="000000"/>
              <w:right w:val="single" w:sz="2" w:space="0" w:color="000000"/>
            </w:tcBorders>
            <w:shd w:val="clear" w:color="auto" w:fill="ECE6E2"/>
          </w:tcPr>
          <w:p w14:paraId="2BCEADC6" w14:textId="77777777" w:rsidR="001021CB" w:rsidRPr="00364545" w:rsidRDefault="001021CB" w:rsidP="00C44824">
            <w:pPr>
              <w:spacing w:line="259" w:lineRule="auto"/>
              <w:ind w:left="90"/>
              <w:jc w:val="center"/>
            </w:pPr>
            <w:r w:rsidRPr="00364545">
              <w:rPr>
                <w:sz w:val="18"/>
              </w:rPr>
              <w:t xml:space="preserve">20.51 </w:t>
            </w:r>
          </w:p>
        </w:tc>
        <w:tc>
          <w:tcPr>
            <w:tcW w:w="1370" w:type="dxa"/>
            <w:tcBorders>
              <w:top w:val="single" w:sz="2" w:space="0" w:color="000000"/>
              <w:left w:val="single" w:sz="2" w:space="0" w:color="000000"/>
              <w:bottom w:val="single" w:sz="2" w:space="0" w:color="000000"/>
              <w:right w:val="single" w:sz="2" w:space="0" w:color="000000"/>
            </w:tcBorders>
            <w:shd w:val="clear" w:color="auto" w:fill="ECE6E2"/>
          </w:tcPr>
          <w:p w14:paraId="32ED5029" w14:textId="77777777" w:rsidR="001021CB" w:rsidRPr="00364545" w:rsidRDefault="001021CB" w:rsidP="00C44824">
            <w:pPr>
              <w:spacing w:line="259" w:lineRule="auto"/>
              <w:ind w:left="89"/>
              <w:jc w:val="center"/>
            </w:pPr>
            <w:r w:rsidRPr="00364545">
              <w:rPr>
                <w:sz w:val="18"/>
              </w:rPr>
              <w:t xml:space="preserve">21.72 </w:t>
            </w:r>
          </w:p>
        </w:tc>
      </w:tr>
      <w:tr w:rsidR="001021CB" w:rsidRPr="00364545" w14:paraId="7C038BD0" w14:textId="77777777" w:rsidTr="0072099A">
        <w:trPr>
          <w:trHeight w:val="407"/>
        </w:trPr>
        <w:tc>
          <w:tcPr>
            <w:tcW w:w="4177" w:type="dxa"/>
            <w:tcBorders>
              <w:top w:val="single" w:sz="2" w:space="0" w:color="000000"/>
              <w:left w:val="single" w:sz="2" w:space="0" w:color="000000"/>
              <w:bottom w:val="single" w:sz="2" w:space="0" w:color="000000"/>
              <w:right w:val="single" w:sz="2" w:space="0" w:color="000000"/>
            </w:tcBorders>
          </w:tcPr>
          <w:p w14:paraId="1F83BDDF" w14:textId="77777777" w:rsidR="001021CB" w:rsidRPr="004F2995" w:rsidRDefault="001021CB" w:rsidP="00C44824">
            <w:pPr>
              <w:spacing w:line="259" w:lineRule="auto"/>
              <w:rPr>
                <w:lang w:val="fr-FR"/>
              </w:rPr>
            </w:pPr>
            <w:r w:rsidRPr="004F2995">
              <w:rPr>
                <w:sz w:val="18"/>
                <w:lang w:val="fr-FR"/>
              </w:rPr>
              <w:t xml:space="preserve">Gas (NCV, CIF average EU import) </w:t>
            </w:r>
          </w:p>
        </w:tc>
        <w:tc>
          <w:tcPr>
            <w:tcW w:w="1092" w:type="dxa"/>
            <w:tcBorders>
              <w:top w:val="single" w:sz="2" w:space="0" w:color="000000"/>
              <w:left w:val="single" w:sz="2" w:space="0" w:color="000000"/>
              <w:bottom w:val="single" w:sz="2" w:space="0" w:color="000000"/>
              <w:right w:val="single" w:sz="2" w:space="0" w:color="000000"/>
            </w:tcBorders>
          </w:tcPr>
          <w:p w14:paraId="1C17E5E9" w14:textId="77777777" w:rsidR="001021CB" w:rsidRPr="00364545" w:rsidRDefault="001021CB" w:rsidP="00C44824">
            <w:pPr>
              <w:spacing w:line="259" w:lineRule="auto"/>
              <w:ind w:left="90"/>
              <w:jc w:val="center"/>
            </w:pPr>
            <w:r w:rsidRPr="00364545">
              <w:rPr>
                <w:sz w:val="18"/>
              </w:rPr>
              <w:t xml:space="preserve">38.8 </w:t>
            </w:r>
          </w:p>
        </w:tc>
        <w:tc>
          <w:tcPr>
            <w:tcW w:w="1091" w:type="dxa"/>
            <w:tcBorders>
              <w:top w:val="single" w:sz="2" w:space="0" w:color="000000"/>
              <w:left w:val="single" w:sz="2" w:space="0" w:color="000000"/>
              <w:bottom w:val="single" w:sz="2" w:space="0" w:color="000000"/>
              <w:right w:val="single" w:sz="2" w:space="0" w:color="000000"/>
            </w:tcBorders>
          </w:tcPr>
          <w:p w14:paraId="5BDBE393" w14:textId="77777777" w:rsidR="001021CB" w:rsidRPr="00364545" w:rsidRDefault="001021CB" w:rsidP="00C44824">
            <w:pPr>
              <w:spacing w:line="259" w:lineRule="auto"/>
              <w:ind w:left="90"/>
              <w:jc w:val="center"/>
            </w:pPr>
            <w:r w:rsidRPr="00364545">
              <w:rPr>
                <w:sz w:val="18"/>
              </w:rPr>
              <w:t xml:space="preserve">48.25 </w:t>
            </w:r>
          </w:p>
        </w:tc>
        <w:tc>
          <w:tcPr>
            <w:tcW w:w="1095" w:type="dxa"/>
            <w:tcBorders>
              <w:top w:val="single" w:sz="2" w:space="0" w:color="000000"/>
              <w:left w:val="single" w:sz="2" w:space="0" w:color="000000"/>
              <w:bottom w:val="single" w:sz="2" w:space="0" w:color="000000"/>
              <w:right w:val="single" w:sz="2" w:space="0" w:color="000000"/>
            </w:tcBorders>
          </w:tcPr>
          <w:p w14:paraId="1DB666A1" w14:textId="77777777" w:rsidR="001021CB" w:rsidRPr="00364545" w:rsidRDefault="001021CB" w:rsidP="00C44824">
            <w:pPr>
              <w:spacing w:line="259" w:lineRule="auto"/>
              <w:ind w:left="88"/>
              <w:jc w:val="center"/>
            </w:pPr>
            <w:r w:rsidRPr="00364545">
              <w:rPr>
                <w:sz w:val="18"/>
              </w:rPr>
              <w:t xml:space="preserve">52.21 </w:t>
            </w:r>
          </w:p>
        </w:tc>
        <w:tc>
          <w:tcPr>
            <w:tcW w:w="1092" w:type="dxa"/>
            <w:tcBorders>
              <w:top w:val="single" w:sz="2" w:space="0" w:color="000000"/>
              <w:left w:val="single" w:sz="2" w:space="0" w:color="000000"/>
              <w:bottom w:val="single" w:sz="2" w:space="0" w:color="000000"/>
              <w:right w:val="single" w:sz="2" w:space="0" w:color="000000"/>
            </w:tcBorders>
          </w:tcPr>
          <w:p w14:paraId="798BFB5D" w14:textId="77777777" w:rsidR="001021CB" w:rsidRPr="00364545" w:rsidRDefault="001021CB" w:rsidP="00C44824">
            <w:pPr>
              <w:spacing w:line="259" w:lineRule="auto"/>
              <w:ind w:left="90"/>
              <w:jc w:val="center"/>
            </w:pPr>
            <w:r w:rsidRPr="00364545">
              <w:rPr>
                <w:sz w:val="18"/>
              </w:rPr>
              <w:t xml:space="preserve">56.77 </w:t>
            </w:r>
          </w:p>
        </w:tc>
        <w:tc>
          <w:tcPr>
            <w:tcW w:w="1370" w:type="dxa"/>
            <w:tcBorders>
              <w:top w:val="single" w:sz="2" w:space="0" w:color="000000"/>
              <w:left w:val="single" w:sz="2" w:space="0" w:color="000000"/>
              <w:bottom w:val="single" w:sz="2" w:space="0" w:color="000000"/>
              <w:right w:val="single" w:sz="2" w:space="0" w:color="000000"/>
            </w:tcBorders>
          </w:tcPr>
          <w:p w14:paraId="0A370691" w14:textId="77777777" w:rsidR="001021CB" w:rsidRPr="00364545" w:rsidRDefault="001021CB" w:rsidP="00C44824">
            <w:pPr>
              <w:spacing w:line="259" w:lineRule="auto"/>
              <w:ind w:left="89"/>
              <w:jc w:val="center"/>
            </w:pPr>
            <w:r w:rsidRPr="00364545">
              <w:rPr>
                <w:sz w:val="18"/>
              </w:rPr>
              <w:t xml:space="preserve">60.63 </w:t>
            </w:r>
          </w:p>
        </w:tc>
      </w:tr>
    </w:tbl>
    <w:p w14:paraId="55C8A6F8" w14:textId="4D50048B" w:rsidR="00B94B7E" w:rsidRPr="00364545" w:rsidRDefault="00B94B7E" w:rsidP="0045532B">
      <w:pPr>
        <w:pStyle w:val="Caption"/>
      </w:pPr>
      <w:bookmarkStart w:id="542" w:name="_Toc123916527"/>
      <w:r w:rsidRPr="00364545">
        <w:t xml:space="preserve">Table </w:t>
      </w:r>
      <w:r w:rsidR="003714FB">
        <w:fldChar w:fldCharType="begin"/>
      </w:r>
      <w:r w:rsidR="003714FB">
        <w:instrText xml:space="preserve"> SEQ Tableau \* ARABIC </w:instrText>
      </w:r>
      <w:r w:rsidR="003714FB">
        <w:fldChar w:fldCharType="separate"/>
      </w:r>
      <w:r w:rsidR="009A2FAA">
        <w:rPr>
          <w:noProof/>
        </w:rPr>
        <w:t>35</w:t>
      </w:r>
      <w:r w:rsidR="003714FB">
        <w:rPr>
          <w:noProof/>
        </w:rPr>
        <w:fldChar w:fldCharType="end"/>
      </w:r>
      <w:r w:rsidRPr="00364545">
        <w:t xml:space="preserve">: </w:t>
      </w:r>
      <w:r w:rsidRPr="00364545">
        <w:rPr>
          <w:sz w:val="21"/>
        </w:rPr>
        <w:t>Imported energy price assumptions (in € 2013/boe)</w:t>
      </w:r>
      <w:r w:rsidRPr="00364545">
        <w:t xml:space="preserve"> in AME 21 and AMS 18</w:t>
      </w:r>
      <w:bookmarkEnd w:id="542"/>
    </w:p>
    <w:p w14:paraId="3B15C655" w14:textId="50EAABAB" w:rsidR="001021CB" w:rsidRPr="00364545" w:rsidRDefault="001021CB" w:rsidP="0045532B">
      <w:pPr>
        <w:pStyle w:val="Caption"/>
      </w:pPr>
      <w:r w:rsidRPr="00364545">
        <w:t>Source: EU economic framework</w:t>
      </w:r>
    </w:p>
    <w:p w14:paraId="4D667429" w14:textId="77777777" w:rsidR="001021CB" w:rsidRPr="00364545" w:rsidRDefault="001021CB" w:rsidP="00EF6DB6">
      <w:pPr>
        <w:pStyle w:val="Titre4niveau4"/>
      </w:pPr>
      <w:r w:rsidRPr="00364545">
        <w:t xml:space="preserve">Carbon price assumptions under the ETS </w:t>
      </w:r>
    </w:p>
    <w:p w14:paraId="6E831518" w14:textId="77777777" w:rsidR="001021CB" w:rsidRPr="00364545" w:rsidRDefault="001021CB" w:rsidP="001021CB">
      <w:pPr>
        <w:spacing w:before="240" w:after="240"/>
      </w:pPr>
      <w:r w:rsidRPr="00364545">
        <w:t xml:space="preserve">The carbon price assumptions for companies included in the ETS come from the economic framework proposed by the European Commission to all EU countries. </w:t>
      </w:r>
    </w:p>
    <w:tbl>
      <w:tblPr>
        <w:tblStyle w:val="TableGrid0"/>
        <w:tblW w:w="9943" w:type="dxa"/>
        <w:tblInd w:w="1" w:type="dxa"/>
        <w:tblCellMar>
          <w:top w:w="124" w:type="dxa"/>
          <w:left w:w="28" w:type="dxa"/>
          <w:right w:w="115" w:type="dxa"/>
        </w:tblCellMar>
        <w:tblLook w:val="04A0" w:firstRow="1" w:lastRow="0" w:firstColumn="1" w:lastColumn="0" w:noHBand="0" w:noVBand="1"/>
      </w:tblPr>
      <w:tblGrid>
        <w:gridCol w:w="2987"/>
        <w:gridCol w:w="915"/>
        <w:gridCol w:w="924"/>
        <w:gridCol w:w="924"/>
        <w:gridCol w:w="924"/>
        <w:gridCol w:w="923"/>
        <w:gridCol w:w="811"/>
        <w:gridCol w:w="811"/>
        <w:gridCol w:w="724"/>
      </w:tblGrid>
      <w:tr w:rsidR="001021CB" w:rsidRPr="00364545" w14:paraId="4F8696B3" w14:textId="77777777" w:rsidTr="00C44824">
        <w:trPr>
          <w:trHeight w:val="378"/>
        </w:trPr>
        <w:tc>
          <w:tcPr>
            <w:tcW w:w="2987" w:type="dxa"/>
            <w:tcBorders>
              <w:top w:val="single" w:sz="2" w:space="0" w:color="000000"/>
              <w:left w:val="single" w:sz="2" w:space="0" w:color="000000"/>
              <w:bottom w:val="single" w:sz="2" w:space="0" w:color="000000"/>
              <w:right w:val="single" w:sz="2" w:space="0" w:color="000000"/>
            </w:tcBorders>
            <w:shd w:val="clear" w:color="auto" w:fill="6D2A78"/>
          </w:tcPr>
          <w:p w14:paraId="35CD2F82" w14:textId="77777777" w:rsidR="001021CB" w:rsidRPr="00364545" w:rsidRDefault="001021CB" w:rsidP="00C44824">
            <w:pPr>
              <w:spacing w:line="259" w:lineRule="auto"/>
              <w:ind w:left="133"/>
              <w:jc w:val="center"/>
            </w:pPr>
            <w:r w:rsidRPr="00364545">
              <w:rPr>
                <w:sz w:val="18"/>
              </w:rPr>
              <w:t>EU ETS carbon price</w:t>
            </w:r>
          </w:p>
        </w:tc>
        <w:tc>
          <w:tcPr>
            <w:tcW w:w="915" w:type="dxa"/>
            <w:tcBorders>
              <w:top w:val="single" w:sz="2" w:space="0" w:color="000000"/>
              <w:left w:val="single" w:sz="2" w:space="0" w:color="000000"/>
              <w:bottom w:val="single" w:sz="2" w:space="0" w:color="000000"/>
              <w:right w:val="single" w:sz="2" w:space="0" w:color="000000"/>
            </w:tcBorders>
            <w:shd w:val="clear" w:color="auto" w:fill="6D2A78"/>
          </w:tcPr>
          <w:p w14:paraId="1BA45663" w14:textId="77777777" w:rsidR="001021CB" w:rsidRPr="00364545" w:rsidRDefault="001021CB" w:rsidP="00C44824">
            <w:pPr>
              <w:spacing w:line="259" w:lineRule="auto"/>
              <w:ind w:left="85"/>
              <w:jc w:val="center"/>
            </w:pPr>
            <w:r w:rsidRPr="00364545">
              <w:rPr>
                <w:b/>
                <w:color w:val="FFFFFF"/>
                <w:sz w:val="18"/>
              </w:rPr>
              <w:t xml:space="preserve">2015 </w:t>
            </w:r>
          </w:p>
        </w:tc>
        <w:tc>
          <w:tcPr>
            <w:tcW w:w="924" w:type="dxa"/>
            <w:tcBorders>
              <w:top w:val="single" w:sz="2" w:space="0" w:color="000000"/>
              <w:left w:val="single" w:sz="2" w:space="0" w:color="000000"/>
              <w:bottom w:val="single" w:sz="2" w:space="0" w:color="000000"/>
              <w:right w:val="single" w:sz="2" w:space="0" w:color="000000"/>
            </w:tcBorders>
            <w:shd w:val="clear" w:color="auto" w:fill="6D2A78"/>
          </w:tcPr>
          <w:p w14:paraId="0A92C45F" w14:textId="77777777" w:rsidR="001021CB" w:rsidRPr="00364545" w:rsidRDefault="001021CB" w:rsidP="00C44824">
            <w:pPr>
              <w:spacing w:line="259" w:lineRule="auto"/>
              <w:ind w:left="85"/>
              <w:jc w:val="center"/>
            </w:pPr>
            <w:r w:rsidRPr="00364545">
              <w:rPr>
                <w:b/>
                <w:color w:val="FFFFFF"/>
                <w:sz w:val="18"/>
              </w:rPr>
              <w:t xml:space="preserve">2020 </w:t>
            </w:r>
          </w:p>
        </w:tc>
        <w:tc>
          <w:tcPr>
            <w:tcW w:w="924" w:type="dxa"/>
            <w:tcBorders>
              <w:top w:val="single" w:sz="2" w:space="0" w:color="000000"/>
              <w:left w:val="single" w:sz="2" w:space="0" w:color="000000"/>
              <w:bottom w:val="single" w:sz="2" w:space="0" w:color="000000"/>
              <w:right w:val="single" w:sz="2" w:space="0" w:color="000000"/>
            </w:tcBorders>
            <w:shd w:val="clear" w:color="auto" w:fill="6D2A78"/>
          </w:tcPr>
          <w:p w14:paraId="3B843107" w14:textId="77777777" w:rsidR="001021CB" w:rsidRPr="00364545" w:rsidRDefault="001021CB" w:rsidP="00C44824">
            <w:pPr>
              <w:spacing w:line="259" w:lineRule="auto"/>
              <w:ind w:left="85"/>
              <w:jc w:val="center"/>
            </w:pPr>
            <w:r w:rsidRPr="00364545">
              <w:rPr>
                <w:b/>
                <w:color w:val="FFFFFF"/>
                <w:sz w:val="18"/>
              </w:rPr>
              <w:t xml:space="preserve">2025 </w:t>
            </w:r>
          </w:p>
        </w:tc>
        <w:tc>
          <w:tcPr>
            <w:tcW w:w="924" w:type="dxa"/>
            <w:tcBorders>
              <w:top w:val="single" w:sz="2" w:space="0" w:color="000000"/>
              <w:left w:val="single" w:sz="2" w:space="0" w:color="000000"/>
              <w:bottom w:val="single" w:sz="2" w:space="0" w:color="000000"/>
              <w:right w:val="single" w:sz="2" w:space="0" w:color="000000"/>
            </w:tcBorders>
            <w:shd w:val="clear" w:color="auto" w:fill="6D2A78"/>
          </w:tcPr>
          <w:p w14:paraId="59599C14" w14:textId="77777777" w:rsidR="001021CB" w:rsidRPr="00364545" w:rsidRDefault="001021CB" w:rsidP="00C44824">
            <w:pPr>
              <w:spacing w:line="259" w:lineRule="auto"/>
              <w:ind w:left="86"/>
              <w:jc w:val="center"/>
            </w:pPr>
            <w:r w:rsidRPr="00364545">
              <w:rPr>
                <w:b/>
                <w:color w:val="FFFFFF"/>
                <w:sz w:val="18"/>
              </w:rPr>
              <w:t xml:space="preserve">2030 </w:t>
            </w:r>
          </w:p>
        </w:tc>
        <w:tc>
          <w:tcPr>
            <w:tcW w:w="923" w:type="dxa"/>
            <w:tcBorders>
              <w:top w:val="single" w:sz="2" w:space="0" w:color="000000"/>
              <w:left w:val="single" w:sz="2" w:space="0" w:color="000000"/>
              <w:bottom w:val="single" w:sz="2" w:space="0" w:color="000000"/>
              <w:right w:val="single" w:sz="2" w:space="0" w:color="000000"/>
            </w:tcBorders>
            <w:shd w:val="clear" w:color="auto" w:fill="6D2A78"/>
          </w:tcPr>
          <w:p w14:paraId="5DC5907E" w14:textId="77777777" w:rsidR="001021CB" w:rsidRPr="00364545" w:rsidRDefault="001021CB" w:rsidP="00C44824">
            <w:pPr>
              <w:spacing w:line="259" w:lineRule="auto"/>
              <w:ind w:left="84"/>
              <w:jc w:val="center"/>
            </w:pPr>
            <w:r w:rsidRPr="00364545">
              <w:rPr>
                <w:b/>
                <w:color w:val="FFFFFF"/>
                <w:sz w:val="18"/>
              </w:rPr>
              <w:t xml:space="preserve">2035 </w:t>
            </w:r>
          </w:p>
        </w:tc>
        <w:tc>
          <w:tcPr>
            <w:tcW w:w="811" w:type="dxa"/>
            <w:tcBorders>
              <w:top w:val="single" w:sz="2" w:space="0" w:color="000000"/>
              <w:left w:val="single" w:sz="2" w:space="0" w:color="000000"/>
              <w:bottom w:val="single" w:sz="2" w:space="0" w:color="000000"/>
              <w:right w:val="single" w:sz="2" w:space="0" w:color="000000"/>
            </w:tcBorders>
            <w:shd w:val="clear" w:color="auto" w:fill="6D2A78"/>
          </w:tcPr>
          <w:p w14:paraId="7F451AD2" w14:textId="77777777" w:rsidR="001021CB" w:rsidRPr="00364545" w:rsidRDefault="001021CB" w:rsidP="00C44824">
            <w:pPr>
              <w:spacing w:line="259" w:lineRule="auto"/>
              <w:ind w:left="84"/>
              <w:jc w:val="center"/>
              <w:rPr>
                <w:b/>
                <w:color w:val="FFFFFF"/>
                <w:sz w:val="18"/>
              </w:rPr>
            </w:pPr>
            <w:r w:rsidRPr="00364545">
              <w:rPr>
                <w:b/>
                <w:color w:val="FFFFFF"/>
                <w:sz w:val="18"/>
              </w:rPr>
              <w:t>2040</w:t>
            </w:r>
          </w:p>
        </w:tc>
        <w:tc>
          <w:tcPr>
            <w:tcW w:w="811" w:type="dxa"/>
            <w:tcBorders>
              <w:top w:val="single" w:sz="2" w:space="0" w:color="000000"/>
              <w:left w:val="single" w:sz="2" w:space="0" w:color="000000"/>
              <w:bottom w:val="single" w:sz="2" w:space="0" w:color="000000"/>
              <w:right w:val="single" w:sz="2" w:space="0" w:color="000000"/>
            </w:tcBorders>
            <w:shd w:val="clear" w:color="auto" w:fill="6D2A78"/>
          </w:tcPr>
          <w:p w14:paraId="1922DD75" w14:textId="77777777" w:rsidR="001021CB" w:rsidRPr="00364545" w:rsidRDefault="001021CB" w:rsidP="00C44824">
            <w:pPr>
              <w:spacing w:line="259" w:lineRule="auto"/>
              <w:ind w:left="84"/>
              <w:jc w:val="center"/>
              <w:rPr>
                <w:b/>
                <w:color w:val="FFFFFF"/>
                <w:sz w:val="18"/>
              </w:rPr>
            </w:pPr>
            <w:r w:rsidRPr="00364545">
              <w:rPr>
                <w:b/>
                <w:color w:val="FFFFFF"/>
                <w:sz w:val="18"/>
              </w:rPr>
              <w:t>2045</w:t>
            </w:r>
          </w:p>
        </w:tc>
        <w:tc>
          <w:tcPr>
            <w:tcW w:w="724" w:type="dxa"/>
            <w:tcBorders>
              <w:top w:val="single" w:sz="2" w:space="0" w:color="000000"/>
              <w:left w:val="single" w:sz="2" w:space="0" w:color="000000"/>
              <w:bottom w:val="single" w:sz="2" w:space="0" w:color="000000"/>
              <w:right w:val="single" w:sz="2" w:space="0" w:color="000000"/>
            </w:tcBorders>
            <w:shd w:val="clear" w:color="auto" w:fill="6D2A78"/>
          </w:tcPr>
          <w:p w14:paraId="69968C05" w14:textId="77777777" w:rsidR="001021CB" w:rsidRPr="00364545" w:rsidRDefault="001021CB" w:rsidP="00C44824">
            <w:pPr>
              <w:spacing w:line="259" w:lineRule="auto"/>
              <w:ind w:left="84"/>
              <w:jc w:val="center"/>
              <w:rPr>
                <w:b/>
                <w:color w:val="FFFFFF"/>
                <w:sz w:val="18"/>
              </w:rPr>
            </w:pPr>
            <w:r w:rsidRPr="00364545">
              <w:rPr>
                <w:b/>
                <w:color w:val="FFFFFF"/>
                <w:sz w:val="18"/>
              </w:rPr>
              <w:t>2050</w:t>
            </w:r>
          </w:p>
        </w:tc>
      </w:tr>
      <w:tr w:rsidR="001021CB" w:rsidRPr="00364545" w14:paraId="4530D884" w14:textId="77777777" w:rsidTr="00C44824">
        <w:trPr>
          <w:trHeight w:val="407"/>
        </w:trPr>
        <w:tc>
          <w:tcPr>
            <w:tcW w:w="2987" w:type="dxa"/>
            <w:tcBorders>
              <w:top w:val="single" w:sz="2" w:space="0" w:color="000000"/>
              <w:left w:val="single" w:sz="2" w:space="0" w:color="000000"/>
              <w:bottom w:val="single" w:sz="2" w:space="0" w:color="000000"/>
              <w:right w:val="single" w:sz="2" w:space="0" w:color="000000"/>
            </w:tcBorders>
          </w:tcPr>
          <w:p w14:paraId="795026AB" w14:textId="2C354860" w:rsidR="001021CB" w:rsidRPr="00364545" w:rsidRDefault="001021CB" w:rsidP="00C44824">
            <w:pPr>
              <w:rPr>
                <w:i/>
                <w:iCs/>
                <w:sz w:val="16"/>
                <w:szCs w:val="16"/>
              </w:rPr>
            </w:pPr>
            <w:r w:rsidRPr="00364545">
              <w:t>WAM</w:t>
            </w:r>
            <w:r w:rsidRPr="00364545">
              <w:rPr>
                <w:sz w:val="18"/>
              </w:rPr>
              <w:t xml:space="preserve"> 2018 (€</w:t>
            </w:r>
            <w:r w:rsidRPr="00364545">
              <w:rPr>
                <w:sz w:val="12"/>
                <w:vertAlign w:val="subscript"/>
              </w:rPr>
              <w:t>2013</w:t>
            </w:r>
            <w:r w:rsidRPr="00364545">
              <w:rPr>
                <w:sz w:val="18"/>
              </w:rPr>
              <w:t>/t</w:t>
            </w:r>
            <w:r w:rsidRPr="00364545">
              <w:t>CO</w:t>
            </w:r>
            <w:r w:rsidRPr="00364545">
              <w:rPr>
                <w:vertAlign w:val="subscript"/>
              </w:rPr>
              <w:t>2</w:t>
            </w:r>
            <w:r w:rsidRPr="00364545">
              <w:rPr>
                <w:sz w:val="18"/>
              </w:rPr>
              <w:t>)</w:t>
            </w:r>
          </w:p>
        </w:tc>
        <w:tc>
          <w:tcPr>
            <w:tcW w:w="915" w:type="dxa"/>
            <w:tcBorders>
              <w:top w:val="single" w:sz="2" w:space="0" w:color="000000"/>
              <w:left w:val="single" w:sz="2" w:space="0" w:color="000000"/>
              <w:bottom w:val="single" w:sz="2" w:space="0" w:color="000000"/>
              <w:right w:val="single" w:sz="2" w:space="0" w:color="000000"/>
            </w:tcBorders>
          </w:tcPr>
          <w:p w14:paraId="12E85F91" w14:textId="77777777" w:rsidR="001021CB" w:rsidRPr="00364545" w:rsidRDefault="001021CB" w:rsidP="00C44824">
            <w:pPr>
              <w:spacing w:line="259" w:lineRule="auto"/>
              <w:ind w:left="88"/>
              <w:jc w:val="center"/>
            </w:pPr>
            <w:r w:rsidRPr="00364545">
              <w:rPr>
                <w:sz w:val="18"/>
              </w:rPr>
              <w:t xml:space="preserve">7.5 </w:t>
            </w:r>
          </w:p>
        </w:tc>
        <w:tc>
          <w:tcPr>
            <w:tcW w:w="924" w:type="dxa"/>
            <w:tcBorders>
              <w:top w:val="single" w:sz="2" w:space="0" w:color="000000"/>
              <w:left w:val="single" w:sz="2" w:space="0" w:color="000000"/>
              <w:bottom w:val="single" w:sz="2" w:space="0" w:color="000000"/>
              <w:right w:val="single" w:sz="2" w:space="0" w:color="000000"/>
            </w:tcBorders>
          </w:tcPr>
          <w:p w14:paraId="77A6F173" w14:textId="77777777" w:rsidR="001021CB" w:rsidRPr="00364545" w:rsidRDefault="001021CB" w:rsidP="00C44824">
            <w:pPr>
              <w:spacing w:line="259" w:lineRule="auto"/>
              <w:ind w:left="86"/>
              <w:jc w:val="center"/>
            </w:pPr>
            <w:r w:rsidRPr="00364545">
              <w:rPr>
                <w:sz w:val="18"/>
              </w:rPr>
              <w:t xml:space="preserve">15 </w:t>
            </w:r>
          </w:p>
        </w:tc>
        <w:tc>
          <w:tcPr>
            <w:tcW w:w="924" w:type="dxa"/>
            <w:tcBorders>
              <w:top w:val="single" w:sz="2" w:space="0" w:color="000000"/>
              <w:left w:val="single" w:sz="2" w:space="0" w:color="000000"/>
              <w:bottom w:val="single" w:sz="2" w:space="0" w:color="000000"/>
              <w:right w:val="single" w:sz="2" w:space="0" w:color="000000"/>
            </w:tcBorders>
          </w:tcPr>
          <w:p w14:paraId="5A89B652" w14:textId="77777777" w:rsidR="001021CB" w:rsidRPr="00364545" w:rsidRDefault="001021CB" w:rsidP="00C44824">
            <w:pPr>
              <w:spacing w:line="259" w:lineRule="auto"/>
              <w:ind w:left="88"/>
              <w:jc w:val="center"/>
            </w:pPr>
            <w:r w:rsidRPr="00364545">
              <w:rPr>
                <w:sz w:val="18"/>
              </w:rPr>
              <w:t xml:space="preserve">22.5 </w:t>
            </w:r>
          </w:p>
        </w:tc>
        <w:tc>
          <w:tcPr>
            <w:tcW w:w="924" w:type="dxa"/>
            <w:tcBorders>
              <w:top w:val="single" w:sz="2" w:space="0" w:color="000000"/>
              <w:left w:val="single" w:sz="2" w:space="0" w:color="000000"/>
              <w:bottom w:val="single" w:sz="2" w:space="0" w:color="000000"/>
              <w:right w:val="single" w:sz="2" w:space="0" w:color="000000"/>
            </w:tcBorders>
          </w:tcPr>
          <w:p w14:paraId="70245734" w14:textId="77777777" w:rsidR="001021CB" w:rsidRPr="00364545" w:rsidRDefault="001021CB" w:rsidP="00C44824">
            <w:pPr>
              <w:spacing w:line="259" w:lineRule="auto"/>
              <w:ind w:left="89"/>
              <w:jc w:val="center"/>
            </w:pPr>
            <w:r w:rsidRPr="00364545">
              <w:rPr>
                <w:sz w:val="18"/>
              </w:rPr>
              <w:t xml:space="preserve">33.5 </w:t>
            </w:r>
          </w:p>
        </w:tc>
        <w:tc>
          <w:tcPr>
            <w:tcW w:w="923" w:type="dxa"/>
            <w:tcBorders>
              <w:top w:val="single" w:sz="2" w:space="0" w:color="000000"/>
              <w:left w:val="single" w:sz="2" w:space="0" w:color="000000"/>
              <w:bottom w:val="single" w:sz="2" w:space="0" w:color="000000"/>
              <w:right w:val="single" w:sz="2" w:space="0" w:color="000000"/>
            </w:tcBorders>
          </w:tcPr>
          <w:p w14:paraId="3D3269EA" w14:textId="77777777" w:rsidR="001021CB" w:rsidRPr="00364545" w:rsidRDefault="001021CB" w:rsidP="00C44824">
            <w:pPr>
              <w:spacing w:line="259" w:lineRule="auto"/>
              <w:ind w:left="85"/>
              <w:jc w:val="center"/>
              <w:rPr>
                <w:sz w:val="18"/>
              </w:rPr>
            </w:pPr>
            <w:r w:rsidRPr="00364545">
              <w:rPr>
                <w:sz w:val="18"/>
              </w:rPr>
              <w:t xml:space="preserve">42 </w:t>
            </w:r>
          </w:p>
        </w:tc>
        <w:tc>
          <w:tcPr>
            <w:tcW w:w="811" w:type="dxa"/>
            <w:tcBorders>
              <w:top w:val="single" w:sz="2" w:space="0" w:color="000000"/>
              <w:left w:val="single" w:sz="2" w:space="0" w:color="000000"/>
              <w:bottom w:val="single" w:sz="2" w:space="0" w:color="000000"/>
              <w:right w:val="single" w:sz="2" w:space="0" w:color="000000"/>
            </w:tcBorders>
          </w:tcPr>
          <w:p w14:paraId="521611F2" w14:textId="77777777" w:rsidR="001021CB" w:rsidRPr="00364545" w:rsidRDefault="001021CB" w:rsidP="00C44824">
            <w:pPr>
              <w:spacing w:line="259" w:lineRule="auto"/>
              <w:ind w:left="85"/>
              <w:jc w:val="center"/>
              <w:rPr>
                <w:sz w:val="18"/>
              </w:rPr>
            </w:pPr>
          </w:p>
        </w:tc>
        <w:tc>
          <w:tcPr>
            <w:tcW w:w="811" w:type="dxa"/>
            <w:tcBorders>
              <w:top w:val="single" w:sz="2" w:space="0" w:color="000000"/>
              <w:left w:val="single" w:sz="2" w:space="0" w:color="000000"/>
              <w:bottom w:val="single" w:sz="2" w:space="0" w:color="000000"/>
              <w:right w:val="single" w:sz="2" w:space="0" w:color="000000"/>
            </w:tcBorders>
          </w:tcPr>
          <w:p w14:paraId="33BB45E2" w14:textId="77777777" w:rsidR="001021CB" w:rsidRPr="00364545" w:rsidRDefault="001021CB" w:rsidP="00C44824">
            <w:pPr>
              <w:spacing w:line="259" w:lineRule="auto"/>
              <w:ind w:left="85"/>
              <w:jc w:val="center"/>
              <w:rPr>
                <w:sz w:val="18"/>
              </w:rPr>
            </w:pPr>
          </w:p>
        </w:tc>
        <w:tc>
          <w:tcPr>
            <w:tcW w:w="724" w:type="dxa"/>
            <w:tcBorders>
              <w:top w:val="single" w:sz="2" w:space="0" w:color="000000"/>
              <w:left w:val="single" w:sz="2" w:space="0" w:color="000000"/>
              <w:bottom w:val="single" w:sz="2" w:space="0" w:color="000000"/>
              <w:right w:val="single" w:sz="2" w:space="0" w:color="000000"/>
            </w:tcBorders>
          </w:tcPr>
          <w:p w14:paraId="3274C831" w14:textId="77777777" w:rsidR="001021CB" w:rsidRPr="00364545" w:rsidRDefault="001021CB" w:rsidP="00C44824">
            <w:pPr>
              <w:spacing w:line="259" w:lineRule="auto"/>
              <w:ind w:left="85"/>
              <w:jc w:val="center"/>
              <w:rPr>
                <w:sz w:val="18"/>
              </w:rPr>
            </w:pPr>
          </w:p>
        </w:tc>
      </w:tr>
      <w:tr w:rsidR="001021CB" w:rsidRPr="00364545" w14:paraId="5BC05DDB" w14:textId="77777777" w:rsidTr="00C44824">
        <w:trPr>
          <w:trHeight w:val="407"/>
        </w:trPr>
        <w:tc>
          <w:tcPr>
            <w:tcW w:w="2987" w:type="dxa"/>
            <w:tcBorders>
              <w:top w:val="single" w:sz="2" w:space="0" w:color="000000"/>
              <w:left w:val="single" w:sz="2" w:space="0" w:color="000000"/>
              <w:bottom w:val="single" w:sz="2" w:space="0" w:color="000000"/>
              <w:right w:val="single" w:sz="2" w:space="0" w:color="000000"/>
            </w:tcBorders>
          </w:tcPr>
          <w:p w14:paraId="7DEF1C30" w14:textId="3E918497" w:rsidR="001021CB" w:rsidRPr="00364545" w:rsidDel="0084154F" w:rsidRDefault="001021CB" w:rsidP="00C44824">
            <w:pPr>
              <w:rPr>
                <w:sz w:val="18"/>
              </w:rPr>
            </w:pPr>
            <w:r w:rsidRPr="00364545">
              <w:t>WEM</w:t>
            </w:r>
            <w:r w:rsidRPr="00364545">
              <w:rPr>
                <w:sz w:val="18"/>
              </w:rPr>
              <w:t xml:space="preserve"> 2021 (€</w:t>
            </w:r>
            <w:r w:rsidRPr="00364545">
              <w:rPr>
                <w:sz w:val="18"/>
                <w:vertAlign w:val="subscript"/>
              </w:rPr>
              <w:t>2016</w:t>
            </w:r>
            <w:r w:rsidRPr="00364545">
              <w:rPr>
                <w:sz w:val="18"/>
              </w:rPr>
              <w:t>/t</w:t>
            </w:r>
            <w:r w:rsidRPr="00364545">
              <w:t>CO</w:t>
            </w:r>
            <w:r w:rsidRPr="00364545">
              <w:rPr>
                <w:vertAlign w:val="subscript"/>
              </w:rPr>
              <w:t>2</w:t>
            </w:r>
            <w:r w:rsidRPr="00364545">
              <w:rPr>
                <w:sz w:val="18"/>
              </w:rPr>
              <w:t>)</w:t>
            </w:r>
          </w:p>
        </w:tc>
        <w:tc>
          <w:tcPr>
            <w:tcW w:w="915" w:type="dxa"/>
            <w:tcBorders>
              <w:top w:val="single" w:sz="2" w:space="0" w:color="000000"/>
              <w:left w:val="single" w:sz="2" w:space="0" w:color="000000"/>
              <w:bottom w:val="single" w:sz="2" w:space="0" w:color="000000"/>
              <w:right w:val="single" w:sz="2" w:space="0" w:color="000000"/>
            </w:tcBorders>
          </w:tcPr>
          <w:p w14:paraId="59194E47" w14:textId="77777777" w:rsidR="001021CB" w:rsidRPr="00364545" w:rsidRDefault="001021CB" w:rsidP="00C44824">
            <w:pPr>
              <w:spacing w:line="259" w:lineRule="auto"/>
              <w:ind w:left="88"/>
              <w:jc w:val="center"/>
              <w:rPr>
                <w:sz w:val="18"/>
              </w:rPr>
            </w:pPr>
          </w:p>
        </w:tc>
        <w:tc>
          <w:tcPr>
            <w:tcW w:w="924" w:type="dxa"/>
            <w:tcBorders>
              <w:top w:val="single" w:sz="2" w:space="0" w:color="000000"/>
              <w:left w:val="single" w:sz="2" w:space="0" w:color="000000"/>
              <w:bottom w:val="single" w:sz="2" w:space="0" w:color="000000"/>
              <w:right w:val="single" w:sz="2" w:space="0" w:color="000000"/>
            </w:tcBorders>
          </w:tcPr>
          <w:p w14:paraId="3ADCE8EA" w14:textId="77777777" w:rsidR="001021CB" w:rsidRPr="00364545" w:rsidRDefault="001021CB" w:rsidP="00C44824">
            <w:pPr>
              <w:spacing w:line="259" w:lineRule="auto"/>
              <w:ind w:left="86"/>
              <w:jc w:val="center"/>
              <w:rPr>
                <w:sz w:val="18"/>
              </w:rPr>
            </w:pPr>
            <w:r w:rsidRPr="00364545">
              <w:rPr>
                <w:sz w:val="18"/>
              </w:rPr>
              <w:t>25</w:t>
            </w:r>
          </w:p>
        </w:tc>
        <w:tc>
          <w:tcPr>
            <w:tcW w:w="924" w:type="dxa"/>
            <w:tcBorders>
              <w:top w:val="single" w:sz="2" w:space="0" w:color="000000"/>
              <w:left w:val="single" w:sz="2" w:space="0" w:color="000000"/>
              <w:bottom w:val="single" w:sz="2" w:space="0" w:color="000000"/>
              <w:right w:val="single" w:sz="2" w:space="0" w:color="000000"/>
            </w:tcBorders>
          </w:tcPr>
          <w:p w14:paraId="47E01ACB" w14:textId="77777777" w:rsidR="001021CB" w:rsidRPr="00364545" w:rsidRDefault="001021CB" w:rsidP="00C44824">
            <w:pPr>
              <w:spacing w:line="259" w:lineRule="auto"/>
              <w:ind w:left="88"/>
              <w:jc w:val="center"/>
              <w:rPr>
                <w:sz w:val="18"/>
              </w:rPr>
            </w:pPr>
            <w:r w:rsidRPr="00364545">
              <w:rPr>
                <w:sz w:val="18"/>
              </w:rPr>
              <w:t>28</w:t>
            </w:r>
          </w:p>
        </w:tc>
        <w:tc>
          <w:tcPr>
            <w:tcW w:w="924" w:type="dxa"/>
            <w:tcBorders>
              <w:top w:val="single" w:sz="2" w:space="0" w:color="000000"/>
              <w:left w:val="single" w:sz="2" w:space="0" w:color="000000"/>
              <w:bottom w:val="single" w:sz="2" w:space="0" w:color="000000"/>
              <w:right w:val="single" w:sz="2" w:space="0" w:color="000000"/>
            </w:tcBorders>
          </w:tcPr>
          <w:p w14:paraId="7B70CA04" w14:textId="77777777" w:rsidR="001021CB" w:rsidRPr="00364545" w:rsidRDefault="001021CB" w:rsidP="00C44824">
            <w:pPr>
              <w:spacing w:line="259" w:lineRule="auto"/>
              <w:ind w:left="89"/>
              <w:jc w:val="center"/>
              <w:rPr>
                <w:sz w:val="18"/>
              </w:rPr>
            </w:pPr>
            <w:r w:rsidRPr="00364545">
              <w:rPr>
                <w:sz w:val="18"/>
              </w:rPr>
              <w:t>30</w:t>
            </w:r>
          </w:p>
        </w:tc>
        <w:tc>
          <w:tcPr>
            <w:tcW w:w="923" w:type="dxa"/>
            <w:tcBorders>
              <w:top w:val="single" w:sz="2" w:space="0" w:color="000000"/>
              <w:left w:val="single" w:sz="2" w:space="0" w:color="000000"/>
              <w:bottom w:val="single" w:sz="2" w:space="0" w:color="000000"/>
              <w:right w:val="single" w:sz="2" w:space="0" w:color="000000"/>
            </w:tcBorders>
          </w:tcPr>
          <w:p w14:paraId="3102E75A" w14:textId="77777777" w:rsidR="001021CB" w:rsidRPr="00364545" w:rsidRDefault="001021CB" w:rsidP="00C44824">
            <w:pPr>
              <w:spacing w:line="259" w:lineRule="auto"/>
              <w:ind w:left="85"/>
              <w:jc w:val="center"/>
              <w:rPr>
                <w:sz w:val="18"/>
              </w:rPr>
            </w:pPr>
            <w:r w:rsidRPr="00364545">
              <w:rPr>
                <w:sz w:val="18"/>
              </w:rPr>
              <w:t>40</w:t>
            </w:r>
          </w:p>
        </w:tc>
        <w:tc>
          <w:tcPr>
            <w:tcW w:w="811" w:type="dxa"/>
            <w:tcBorders>
              <w:top w:val="single" w:sz="2" w:space="0" w:color="000000"/>
              <w:left w:val="single" w:sz="2" w:space="0" w:color="000000"/>
              <w:bottom w:val="single" w:sz="2" w:space="0" w:color="000000"/>
              <w:right w:val="single" w:sz="2" w:space="0" w:color="000000"/>
            </w:tcBorders>
          </w:tcPr>
          <w:p w14:paraId="577230C0" w14:textId="77777777" w:rsidR="001021CB" w:rsidRPr="00364545" w:rsidRDefault="001021CB" w:rsidP="00C44824">
            <w:pPr>
              <w:spacing w:line="259" w:lineRule="auto"/>
              <w:ind w:left="85"/>
              <w:jc w:val="center"/>
              <w:rPr>
                <w:sz w:val="18"/>
              </w:rPr>
            </w:pPr>
            <w:r w:rsidRPr="00364545">
              <w:rPr>
                <w:sz w:val="18"/>
              </w:rPr>
              <w:t>53</w:t>
            </w:r>
          </w:p>
        </w:tc>
        <w:tc>
          <w:tcPr>
            <w:tcW w:w="811" w:type="dxa"/>
            <w:tcBorders>
              <w:top w:val="single" w:sz="2" w:space="0" w:color="000000"/>
              <w:left w:val="single" w:sz="2" w:space="0" w:color="000000"/>
              <w:bottom w:val="single" w:sz="2" w:space="0" w:color="000000"/>
              <w:right w:val="single" w:sz="2" w:space="0" w:color="000000"/>
            </w:tcBorders>
          </w:tcPr>
          <w:p w14:paraId="52C51369" w14:textId="77777777" w:rsidR="001021CB" w:rsidRPr="00364545" w:rsidRDefault="001021CB" w:rsidP="00C44824">
            <w:pPr>
              <w:spacing w:line="259" w:lineRule="auto"/>
              <w:ind w:left="85"/>
              <w:jc w:val="center"/>
              <w:rPr>
                <w:sz w:val="18"/>
              </w:rPr>
            </w:pPr>
            <w:r w:rsidRPr="00364545">
              <w:rPr>
                <w:sz w:val="18"/>
              </w:rPr>
              <w:t>70.1</w:t>
            </w:r>
          </w:p>
        </w:tc>
        <w:tc>
          <w:tcPr>
            <w:tcW w:w="724" w:type="dxa"/>
            <w:tcBorders>
              <w:top w:val="single" w:sz="2" w:space="0" w:color="000000"/>
              <w:left w:val="single" w:sz="2" w:space="0" w:color="000000"/>
              <w:bottom w:val="single" w:sz="2" w:space="0" w:color="000000"/>
              <w:right w:val="single" w:sz="2" w:space="0" w:color="000000"/>
            </w:tcBorders>
          </w:tcPr>
          <w:p w14:paraId="6D867EEE" w14:textId="77777777" w:rsidR="001021CB" w:rsidRPr="00364545" w:rsidRDefault="001021CB" w:rsidP="00C44824">
            <w:pPr>
              <w:spacing w:line="259" w:lineRule="auto"/>
              <w:ind w:left="85"/>
              <w:jc w:val="center"/>
              <w:rPr>
                <w:sz w:val="18"/>
              </w:rPr>
            </w:pPr>
            <w:r w:rsidRPr="00364545">
              <w:rPr>
                <w:sz w:val="18"/>
              </w:rPr>
              <w:t>89.4</w:t>
            </w:r>
          </w:p>
        </w:tc>
      </w:tr>
    </w:tbl>
    <w:p w14:paraId="224E4DD2" w14:textId="356E6ECD" w:rsidR="00B94B7E" w:rsidRPr="00364545" w:rsidRDefault="00B94B7E" w:rsidP="0045532B">
      <w:pPr>
        <w:pStyle w:val="Caption"/>
      </w:pPr>
      <w:bookmarkStart w:id="543" w:name="_Toc123916528"/>
      <w:r w:rsidRPr="00364545">
        <w:t xml:space="preserve">Table </w:t>
      </w:r>
      <w:r w:rsidR="003714FB">
        <w:fldChar w:fldCharType="begin"/>
      </w:r>
      <w:r w:rsidR="003714FB">
        <w:instrText xml:space="preserve"> SEQ Tableau \* ARABIC </w:instrText>
      </w:r>
      <w:r w:rsidR="003714FB">
        <w:fldChar w:fldCharType="separate"/>
      </w:r>
      <w:r w:rsidR="009A2FAA">
        <w:rPr>
          <w:noProof/>
        </w:rPr>
        <w:t>36</w:t>
      </w:r>
      <w:r w:rsidR="003714FB">
        <w:rPr>
          <w:noProof/>
        </w:rPr>
        <w:fldChar w:fldCharType="end"/>
      </w:r>
      <w:r w:rsidRPr="00364545">
        <w:t>: Carbon price assumptions under the ETS</w:t>
      </w:r>
      <w:bookmarkEnd w:id="543"/>
      <w:r w:rsidRPr="00364545">
        <w:t xml:space="preserve"> </w:t>
      </w:r>
    </w:p>
    <w:p w14:paraId="34E6B1CC" w14:textId="77CD8403" w:rsidR="001021CB" w:rsidRPr="00364545" w:rsidRDefault="001021CB" w:rsidP="0045532B">
      <w:pPr>
        <w:pStyle w:val="Caption"/>
      </w:pPr>
      <w:r w:rsidRPr="00364545">
        <w:t>Source: EU economic framework</w:t>
      </w:r>
    </w:p>
    <w:p w14:paraId="113F9C2E" w14:textId="77777777" w:rsidR="001021CB" w:rsidRPr="00364545" w:rsidRDefault="001021CB" w:rsidP="00EF6DB6">
      <w:pPr>
        <w:pStyle w:val="Titre4niveau4"/>
      </w:pPr>
      <w:r w:rsidRPr="00364545">
        <w:t>Demographic assumptions</w:t>
      </w:r>
    </w:p>
    <w:p w14:paraId="5057459C" w14:textId="77777777" w:rsidR="001021CB" w:rsidRPr="00364545" w:rsidRDefault="001021CB" w:rsidP="001021CB">
      <w:pPr>
        <w:spacing w:before="240" w:after="240"/>
      </w:pPr>
      <w:r w:rsidRPr="00364545">
        <w:t xml:space="preserve">The population growth assumptions for AMS 2018 come from the central scenario by INSEE (Institut National de la Statistique et des Etudes Economiques) which produces the reference demographic projections for France. </w:t>
      </w:r>
    </w:p>
    <w:p w14:paraId="3F1654A7" w14:textId="77777777" w:rsidR="001021CB" w:rsidRPr="00364545" w:rsidRDefault="001021CB" w:rsidP="001021CB">
      <w:pPr>
        <w:spacing w:before="240" w:after="240"/>
      </w:pPr>
      <w:r w:rsidRPr="00364545">
        <w:t>The Eurostat scenario, provided in the European Commission’s framework, was used for AMS 2021. Indeed, the data observed up to 2019 already deviated from the data in the 2016 INSEE scenario, which justified this change of source, leading to a decrease in the population of about 2 million inhabitants in 2050. As Eurostat does not provide a disaggregated figure between mainland France and the DROMs, the figures from the INSEE low fertility scenario, recalculated on the Eurostat totals, were used to calculate the population of the DROMs.</w:t>
      </w:r>
    </w:p>
    <w:p w14:paraId="56BA627C" w14:textId="77777777" w:rsidR="001021CB" w:rsidRPr="00364545" w:rsidRDefault="001021CB" w:rsidP="00E22CF8">
      <w:pPr>
        <w:pStyle w:val="titreencadre"/>
      </w:pPr>
      <w:r w:rsidRPr="00364545">
        <w:t>AME 2021</w:t>
      </w:r>
    </w:p>
    <w:tbl>
      <w:tblPr>
        <w:tblStyle w:val="TableGrid0"/>
        <w:tblW w:w="9943" w:type="dxa"/>
        <w:tblInd w:w="1" w:type="dxa"/>
        <w:tblCellMar>
          <w:top w:w="124" w:type="dxa"/>
          <w:left w:w="28" w:type="dxa"/>
          <w:bottom w:w="20" w:type="dxa"/>
          <w:right w:w="115" w:type="dxa"/>
        </w:tblCellMar>
        <w:tblLook w:val="04A0" w:firstRow="1" w:lastRow="0" w:firstColumn="1" w:lastColumn="0" w:noHBand="0" w:noVBand="1"/>
      </w:tblPr>
      <w:tblGrid>
        <w:gridCol w:w="1981"/>
        <w:gridCol w:w="995"/>
        <w:gridCol w:w="995"/>
        <w:gridCol w:w="995"/>
        <w:gridCol w:w="996"/>
        <w:gridCol w:w="995"/>
        <w:gridCol w:w="995"/>
        <w:gridCol w:w="995"/>
        <w:gridCol w:w="996"/>
      </w:tblGrid>
      <w:tr w:rsidR="001021CB" w:rsidRPr="00364545" w14:paraId="50584725" w14:textId="77777777" w:rsidTr="00C44824">
        <w:trPr>
          <w:trHeight w:val="378"/>
        </w:trPr>
        <w:tc>
          <w:tcPr>
            <w:tcW w:w="1981" w:type="dxa"/>
            <w:tcBorders>
              <w:top w:val="single" w:sz="2" w:space="0" w:color="000000"/>
              <w:left w:val="single" w:sz="2" w:space="0" w:color="000000"/>
              <w:bottom w:val="single" w:sz="2" w:space="0" w:color="000000"/>
              <w:right w:val="single" w:sz="4" w:space="0" w:color="auto"/>
            </w:tcBorders>
            <w:shd w:val="clear" w:color="auto" w:fill="6D2A78"/>
          </w:tcPr>
          <w:p w14:paraId="47610464" w14:textId="77777777" w:rsidR="001021CB" w:rsidRPr="00364545" w:rsidRDefault="001021CB" w:rsidP="00C44824">
            <w:pPr>
              <w:spacing w:line="259" w:lineRule="auto"/>
            </w:pPr>
            <w:r w:rsidRPr="00364545">
              <w:rPr>
                <w:color w:val="FFFFFF"/>
                <w:sz w:val="18"/>
              </w:rPr>
              <w:t xml:space="preserve">Population (in thousands of inhabitants) </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6FF245E5" w14:textId="77777777" w:rsidR="001021CB" w:rsidRPr="00364545" w:rsidRDefault="001021CB" w:rsidP="00C44824">
            <w:pPr>
              <w:spacing w:line="259" w:lineRule="auto"/>
              <w:ind w:left="85"/>
              <w:jc w:val="center"/>
            </w:pPr>
            <w:r w:rsidRPr="00364545">
              <w:rPr>
                <w:b/>
                <w:color w:val="FFFFFF"/>
                <w:sz w:val="18"/>
              </w:rPr>
              <w:t>2019</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3C704CAA" w14:textId="77777777" w:rsidR="001021CB" w:rsidRPr="00364545" w:rsidRDefault="001021CB" w:rsidP="00C44824">
            <w:pPr>
              <w:spacing w:line="259" w:lineRule="auto"/>
              <w:ind w:left="85"/>
              <w:jc w:val="center"/>
            </w:pPr>
            <w:r w:rsidRPr="00364545">
              <w:rPr>
                <w:b/>
                <w:color w:val="FFFFFF"/>
                <w:sz w:val="18"/>
              </w:rPr>
              <w:t>2020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3B39F3F1" w14:textId="77777777" w:rsidR="001021CB" w:rsidRPr="00364545" w:rsidRDefault="001021CB" w:rsidP="00C44824">
            <w:pPr>
              <w:spacing w:line="259" w:lineRule="auto"/>
              <w:ind w:left="85"/>
              <w:jc w:val="center"/>
            </w:pPr>
            <w:r w:rsidRPr="00364545">
              <w:rPr>
                <w:b/>
                <w:color w:val="FFFFFF"/>
                <w:sz w:val="18"/>
              </w:rPr>
              <w:t>2025</w:t>
            </w:r>
          </w:p>
        </w:tc>
        <w:tc>
          <w:tcPr>
            <w:tcW w:w="996" w:type="dxa"/>
            <w:tcBorders>
              <w:top w:val="single" w:sz="4" w:space="0" w:color="auto"/>
              <w:left w:val="single" w:sz="4" w:space="0" w:color="auto"/>
              <w:bottom w:val="single" w:sz="4" w:space="0" w:color="auto"/>
              <w:right w:val="single" w:sz="4" w:space="0" w:color="auto"/>
            </w:tcBorders>
            <w:shd w:val="clear" w:color="auto" w:fill="6D2A78"/>
            <w:vAlign w:val="center"/>
          </w:tcPr>
          <w:p w14:paraId="39504AC1" w14:textId="77777777" w:rsidR="001021CB" w:rsidRPr="00364545" w:rsidRDefault="001021CB" w:rsidP="00C44824">
            <w:pPr>
              <w:spacing w:line="259" w:lineRule="auto"/>
              <w:ind w:left="86"/>
              <w:jc w:val="center"/>
            </w:pPr>
            <w:r w:rsidRPr="00364545">
              <w:rPr>
                <w:b/>
                <w:color w:val="FFFFFF"/>
                <w:sz w:val="18"/>
              </w:rPr>
              <w:t>2030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58509EA9" w14:textId="77777777" w:rsidR="001021CB" w:rsidRPr="00364545" w:rsidRDefault="001021CB" w:rsidP="00C44824">
            <w:pPr>
              <w:spacing w:line="259" w:lineRule="auto"/>
              <w:ind w:left="84"/>
              <w:jc w:val="center"/>
            </w:pPr>
            <w:r w:rsidRPr="00364545">
              <w:rPr>
                <w:b/>
                <w:color w:val="FFFFFF"/>
                <w:sz w:val="18"/>
              </w:rPr>
              <w:t>2035</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27E39D5A" w14:textId="77777777" w:rsidR="001021CB" w:rsidRPr="00364545" w:rsidRDefault="001021CB" w:rsidP="00C44824">
            <w:pPr>
              <w:spacing w:line="259" w:lineRule="auto"/>
              <w:ind w:left="84"/>
              <w:jc w:val="center"/>
              <w:rPr>
                <w:b/>
                <w:color w:val="FFFFFF"/>
                <w:sz w:val="18"/>
              </w:rPr>
            </w:pPr>
            <w:r w:rsidRPr="00364545">
              <w:rPr>
                <w:b/>
                <w:color w:val="FFFFFF"/>
                <w:sz w:val="18"/>
              </w:rPr>
              <w:t>2040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62184502" w14:textId="77777777" w:rsidR="001021CB" w:rsidRPr="00364545" w:rsidRDefault="001021CB" w:rsidP="00C44824">
            <w:pPr>
              <w:spacing w:line="259" w:lineRule="auto"/>
              <w:ind w:left="84"/>
              <w:jc w:val="center"/>
              <w:rPr>
                <w:b/>
                <w:color w:val="FFFFFF"/>
                <w:sz w:val="18"/>
              </w:rPr>
            </w:pPr>
            <w:r w:rsidRPr="00364545">
              <w:rPr>
                <w:b/>
                <w:color w:val="FFFFFF"/>
                <w:sz w:val="18"/>
              </w:rPr>
              <w:t>2045</w:t>
            </w:r>
          </w:p>
        </w:tc>
        <w:tc>
          <w:tcPr>
            <w:tcW w:w="996" w:type="dxa"/>
            <w:tcBorders>
              <w:top w:val="single" w:sz="4" w:space="0" w:color="auto"/>
              <w:left w:val="single" w:sz="4" w:space="0" w:color="auto"/>
              <w:bottom w:val="single" w:sz="4" w:space="0" w:color="auto"/>
              <w:right w:val="single" w:sz="4" w:space="0" w:color="auto"/>
            </w:tcBorders>
            <w:shd w:val="clear" w:color="auto" w:fill="6D2A78"/>
            <w:vAlign w:val="center"/>
          </w:tcPr>
          <w:p w14:paraId="581C4A39" w14:textId="77777777" w:rsidR="001021CB" w:rsidRPr="00364545" w:rsidRDefault="001021CB" w:rsidP="00C44824">
            <w:pPr>
              <w:spacing w:line="259" w:lineRule="auto"/>
              <w:ind w:left="84"/>
              <w:jc w:val="center"/>
              <w:rPr>
                <w:b/>
                <w:color w:val="FFFFFF"/>
                <w:sz w:val="18"/>
              </w:rPr>
            </w:pPr>
            <w:r w:rsidRPr="00364545">
              <w:rPr>
                <w:b/>
                <w:color w:val="FFFFFF"/>
                <w:sz w:val="18"/>
              </w:rPr>
              <w:t>2050</w:t>
            </w:r>
          </w:p>
        </w:tc>
      </w:tr>
      <w:tr w:rsidR="001021CB" w:rsidRPr="00364545" w14:paraId="4C89E64F" w14:textId="77777777" w:rsidTr="00C44824">
        <w:trPr>
          <w:trHeight w:val="359"/>
        </w:trPr>
        <w:tc>
          <w:tcPr>
            <w:tcW w:w="1981" w:type="dxa"/>
            <w:tcBorders>
              <w:top w:val="single" w:sz="2" w:space="0" w:color="000000"/>
              <w:left w:val="single" w:sz="2" w:space="0" w:color="000000"/>
              <w:bottom w:val="single" w:sz="2" w:space="0" w:color="000000"/>
              <w:right w:val="single" w:sz="4" w:space="0" w:color="auto"/>
            </w:tcBorders>
            <w:vAlign w:val="bottom"/>
          </w:tcPr>
          <w:p w14:paraId="65AE397F" w14:textId="77777777" w:rsidR="001021CB" w:rsidRPr="00364545" w:rsidRDefault="001021CB" w:rsidP="00C44824">
            <w:pPr>
              <w:spacing w:line="259" w:lineRule="auto"/>
            </w:pPr>
            <w:r w:rsidRPr="00364545">
              <w:rPr>
                <w:sz w:val="18"/>
              </w:rPr>
              <w:t xml:space="preserve">France </w:t>
            </w:r>
          </w:p>
        </w:tc>
        <w:tc>
          <w:tcPr>
            <w:tcW w:w="995" w:type="dxa"/>
            <w:tcBorders>
              <w:top w:val="single" w:sz="4" w:space="0" w:color="auto"/>
              <w:left w:val="single" w:sz="4" w:space="0" w:color="auto"/>
              <w:bottom w:val="single" w:sz="4" w:space="0" w:color="auto"/>
              <w:right w:val="single" w:sz="4" w:space="0" w:color="auto"/>
            </w:tcBorders>
            <w:vAlign w:val="center"/>
          </w:tcPr>
          <w:p w14:paraId="67E09BEB" w14:textId="77777777" w:rsidR="001021CB" w:rsidRPr="00364545" w:rsidRDefault="001021CB" w:rsidP="00C44824">
            <w:pPr>
              <w:spacing w:line="259" w:lineRule="auto"/>
              <w:jc w:val="center"/>
              <w:rPr>
                <w:sz w:val="18"/>
              </w:rPr>
            </w:pPr>
            <w:r w:rsidRPr="00364545">
              <w:rPr>
                <w:sz w:val="18"/>
              </w:rPr>
              <w:t>67.0</w:t>
            </w:r>
          </w:p>
        </w:tc>
        <w:tc>
          <w:tcPr>
            <w:tcW w:w="995" w:type="dxa"/>
            <w:tcBorders>
              <w:top w:val="single" w:sz="4" w:space="0" w:color="auto"/>
              <w:left w:val="single" w:sz="4" w:space="0" w:color="auto"/>
              <w:bottom w:val="single" w:sz="4" w:space="0" w:color="auto"/>
              <w:right w:val="single" w:sz="4" w:space="0" w:color="auto"/>
            </w:tcBorders>
            <w:vAlign w:val="center"/>
          </w:tcPr>
          <w:p w14:paraId="2ECA7DF5" w14:textId="77777777" w:rsidR="001021CB" w:rsidRPr="00364545" w:rsidRDefault="001021CB" w:rsidP="00C44824">
            <w:pPr>
              <w:spacing w:line="259" w:lineRule="auto"/>
              <w:jc w:val="center"/>
              <w:rPr>
                <w:sz w:val="18"/>
              </w:rPr>
            </w:pPr>
            <w:r w:rsidRPr="00364545">
              <w:rPr>
                <w:sz w:val="18"/>
              </w:rPr>
              <w:t>67.20</w:t>
            </w:r>
          </w:p>
        </w:tc>
        <w:tc>
          <w:tcPr>
            <w:tcW w:w="995" w:type="dxa"/>
            <w:tcBorders>
              <w:top w:val="single" w:sz="4" w:space="0" w:color="auto"/>
              <w:left w:val="single" w:sz="4" w:space="0" w:color="auto"/>
              <w:bottom w:val="single" w:sz="4" w:space="0" w:color="auto"/>
              <w:right w:val="single" w:sz="4" w:space="0" w:color="auto"/>
            </w:tcBorders>
            <w:vAlign w:val="center"/>
          </w:tcPr>
          <w:p w14:paraId="294EF5F3" w14:textId="77777777" w:rsidR="001021CB" w:rsidRPr="00364545" w:rsidRDefault="001021CB" w:rsidP="00C44824">
            <w:pPr>
              <w:spacing w:line="259" w:lineRule="auto"/>
              <w:jc w:val="center"/>
              <w:rPr>
                <w:sz w:val="18"/>
              </w:rPr>
            </w:pPr>
            <w:r w:rsidRPr="00364545">
              <w:rPr>
                <w:sz w:val="18"/>
              </w:rPr>
              <w:t>68.15</w:t>
            </w:r>
          </w:p>
        </w:tc>
        <w:tc>
          <w:tcPr>
            <w:tcW w:w="996" w:type="dxa"/>
            <w:tcBorders>
              <w:top w:val="single" w:sz="4" w:space="0" w:color="auto"/>
              <w:left w:val="single" w:sz="4" w:space="0" w:color="auto"/>
              <w:bottom w:val="single" w:sz="4" w:space="0" w:color="auto"/>
              <w:right w:val="single" w:sz="4" w:space="0" w:color="auto"/>
            </w:tcBorders>
            <w:vAlign w:val="center"/>
          </w:tcPr>
          <w:p w14:paraId="553E2BDD" w14:textId="77777777" w:rsidR="001021CB" w:rsidRPr="00364545" w:rsidRDefault="001021CB" w:rsidP="00C44824">
            <w:pPr>
              <w:spacing w:line="259" w:lineRule="auto"/>
              <w:jc w:val="center"/>
              <w:rPr>
                <w:sz w:val="18"/>
              </w:rPr>
            </w:pPr>
            <w:r w:rsidRPr="00364545">
              <w:rPr>
                <w:sz w:val="18"/>
              </w:rPr>
              <w:t>69.12</w:t>
            </w:r>
          </w:p>
        </w:tc>
        <w:tc>
          <w:tcPr>
            <w:tcW w:w="995" w:type="dxa"/>
            <w:tcBorders>
              <w:top w:val="single" w:sz="4" w:space="0" w:color="auto"/>
              <w:left w:val="single" w:sz="4" w:space="0" w:color="auto"/>
              <w:bottom w:val="single" w:sz="4" w:space="0" w:color="auto"/>
              <w:right w:val="single" w:sz="4" w:space="0" w:color="auto"/>
            </w:tcBorders>
            <w:vAlign w:val="center"/>
          </w:tcPr>
          <w:p w14:paraId="4D25AD27" w14:textId="77777777" w:rsidR="001021CB" w:rsidRPr="00364545" w:rsidRDefault="001021CB" w:rsidP="00C44824">
            <w:pPr>
              <w:spacing w:line="259" w:lineRule="auto"/>
              <w:jc w:val="center"/>
              <w:rPr>
                <w:sz w:val="18"/>
              </w:rPr>
            </w:pPr>
            <w:r w:rsidRPr="00364545">
              <w:rPr>
                <w:sz w:val="18"/>
              </w:rPr>
              <w:t>70.10</w:t>
            </w:r>
          </w:p>
        </w:tc>
        <w:tc>
          <w:tcPr>
            <w:tcW w:w="995" w:type="dxa"/>
            <w:tcBorders>
              <w:top w:val="single" w:sz="4" w:space="0" w:color="auto"/>
              <w:left w:val="single" w:sz="4" w:space="0" w:color="auto"/>
              <w:bottom w:val="single" w:sz="4" w:space="0" w:color="auto"/>
              <w:right w:val="single" w:sz="4" w:space="0" w:color="auto"/>
            </w:tcBorders>
            <w:vAlign w:val="center"/>
          </w:tcPr>
          <w:p w14:paraId="39709247" w14:textId="77777777" w:rsidR="001021CB" w:rsidRPr="00364545" w:rsidRDefault="001021CB" w:rsidP="00C44824">
            <w:pPr>
              <w:spacing w:line="259" w:lineRule="auto"/>
              <w:jc w:val="center"/>
              <w:rPr>
                <w:sz w:val="18"/>
              </w:rPr>
            </w:pPr>
            <w:r w:rsidRPr="00364545">
              <w:rPr>
                <w:sz w:val="18"/>
              </w:rPr>
              <w:t>70.93</w:t>
            </w:r>
          </w:p>
        </w:tc>
        <w:tc>
          <w:tcPr>
            <w:tcW w:w="995" w:type="dxa"/>
            <w:tcBorders>
              <w:top w:val="single" w:sz="4" w:space="0" w:color="auto"/>
              <w:left w:val="single" w:sz="4" w:space="0" w:color="auto"/>
              <w:bottom w:val="single" w:sz="4" w:space="0" w:color="auto"/>
              <w:right w:val="single" w:sz="4" w:space="0" w:color="auto"/>
            </w:tcBorders>
            <w:vAlign w:val="center"/>
          </w:tcPr>
          <w:p w14:paraId="2EA870DB" w14:textId="77777777" w:rsidR="001021CB" w:rsidRPr="00364545" w:rsidRDefault="001021CB" w:rsidP="00C44824">
            <w:pPr>
              <w:spacing w:line="259" w:lineRule="auto"/>
              <w:jc w:val="center"/>
              <w:rPr>
                <w:sz w:val="18"/>
              </w:rPr>
            </w:pPr>
            <w:r w:rsidRPr="00364545">
              <w:rPr>
                <w:sz w:val="18"/>
              </w:rPr>
              <w:t>71.46</w:t>
            </w:r>
          </w:p>
        </w:tc>
        <w:tc>
          <w:tcPr>
            <w:tcW w:w="996" w:type="dxa"/>
            <w:tcBorders>
              <w:top w:val="single" w:sz="4" w:space="0" w:color="auto"/>
              <w:left w:val="single" w:sz="4" w:space="0" w:color="auto"/>
              <w:bottom w:val="single" w:sz="4" w:space="0" w:color="auto"/>
              <w:right w:val="single" w:sz="4" w:space="0" w:color="auto"/>
            </w:tcBorders>
            <w:vAlign w:val="center"/>
          </w:tcPr>
          <w:p w14:paraId="0EFE4AD7" w14:textId="77777777" w:rsidR="001021CB" w:rsidRPr="00364545" w:rsidRDefault="001021CB" w:rsidP="00C44824">
            <w:pPr>
              <w:spacing w:line="259" w:lineRule="auto"/>
              <w:jc w:val="center"/>
              <w:rPr>
                <w:sz w:val="18"/>
              </w:rPr>
            </w:pPr>
            <w:r w:rsidRPr="00364545">
              <w:rPr>
                <w:sz w:val="18"/>
              </w:rPr>
              <w:t>71.78</w:t>
            </w:r>
          </w:p>
        </w:tc>
      </w:tr>
      <w:tr w:rsidR="001021CB" w:rsidRPr="00364545" w14:paraId="2AF5C7FA" w14:textId="77777777" w:rsidTr="00C44824">
        <w:trPr>
          <w:trHeight w:val="320"/>
        </w:trPr>
        <w:tc>
          <w:tcPr>
            <w:tcW w:w="1981" w:type="dxa"/>
            <w:tcBorders>
              <w:top w:val="single" w:sz="2" w:space="0" w:color="000000"/>
              <w:left w:val="single" w:sz="2" w:space="0" w:color="000000"/>
              <w:bottom w:val="single" w:sz="2" w:space="0" w:color="000000"/>
              <w:right w:val="single" w:sz="4" w:space="0" w:color="auto"/>
            </w:tcBorders>
            <w:shd w:val="clear" w:color="auto" w:fill="ECE6E2"/>
            <w:vAlign w:val="bottom"/>
          </w:tcPr>
          <w:p w14:paraId="6155341F" w14:textId="076143CC" w:rsidR="001021CB" w:rsidRPr="00364545" w:rsidRDefault="00260E0B" w:rsidP="00C44824">
            <w:pPr>
              <w:spacing w:line="259" w:lineRule="auto"/>
            </w:pPr>
            <w:r w:rsidRPr="00364545">
              <w:rPr>
                <w:sz w:val="18"/>
              </w:rPr>
              <w:t xml:space="preserve"> of which mainland France </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1CBD77C9" w14:textId="77777777" w:rsidR="001021CB" w:rsidRPr="00364545" w:rsidRDefault="001021CB" w:rsidP="00C44824">
            <w:pPr>
              <w:spacing w:line="259" w:lineRule="auto"/>
              <w:jc w:val="center"/>
              <w:rPr>
                <w:sz w:val="18"/>
              </w:rPr>
            </w:pPr>
            <w:r w:rsidRPr="00364545">
              <w:rPr>
                <w:sz w:val="18"/>
              </w:rPr>
              <w:t>64.90</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2BA90A6D" w14:textId="77777777" w:rsidR="001021CB" w:rsidRPr="00364545" w:rsidRDefault="001021CB" w:rsidP="00C44824">
            <w:pPr>
              <w:spacing w:line="259" w:lineRule="auto"/>
              <w:jc w:val="center"/>
              <w:rPr>
                <w:sz w:val="18"/>
              </w:rPr>
            </w:pPr>
            <w:r w:rsidRPr="00364545">
              <w:rPr>
                <w:sz w:val="18"/>
              </w:rPr>
              <w:t>65.09</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0F01B81D" w14:textId="77777777" w:rsidR="001021CB" w:rsidRPr="00364545" w:rsidRDefault="001021CB" w:rsidP="00C44824">
            <w:pPr>
              <w:spacing w:line="259" w:lineRule="auto"/>
              <w:jc w:val="center"/>
              <w:rPr>
                <w:sz w:val="18"/>
              </w:rPr>
            </w:pPr>
            <w:r w:rsidRPr="00364545">
              <w:rPr>
                <w:sz w:val="18"/>
              </w:rPr>
              <w:t>66.01</w:t>
            </w:r>
          </w:p>
        </w:tc>
        <w:tc>
          <w:tcPr>
            <w:tcW w:w="996" w:type="dxa"/>
            <w:tcBorders>
              <w:top w:val="single" w:sz="4" w:space="0" w:color="auto"/>
              <w:left w:val="single" w:sz="4" w:space="0" w:color="auto"/>
              <w:bottom w:val="single" w:sz="4" w:space="0" w:color="auto"/>
              <w:right w:val="single" w:sz="4" w:space="0" w:color="auto"/>
            </w:tcBorders>
            <w:shd w:val="clear" w:color="auto" w:fill="ECE6E2"/>
            <w:vAlign w:val="center"/>
          </w:tcPr>
          <w:p w14:paraId="5000F312" w14:textId="77777777" w:rsidR="001021CB" w:rsidRPr="00364545" w:rsidRDefault="001021CB" w:rsidP="00C44824">
            <w:pPr>
              <w:spacing w:line="259" w:lineRule="auto"/>
              <w:jc w:val="center"/>
              <w:rPr>
                <w:sz w:val="18"/>
              </w:rPr>
            </w:pPr>
            <w:r w:rsidRPr="00364545">
              <w:rPr>
                <w:sz w:val="18"/>
              </w:rPr>
              <w:t>66.95</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4F79DEC4" w14:textId="77777777" w:rsidR="001021CB" w:rsidRPr="00364545" w:rsidRDefault="001021CB" w:rsidP="00C44824">
            <w:pPr>
              <w:spacing w:line="259" w:lineRule="auto"/>
              <w:jc w:val="center"/>
              <w:rPr>
                <w:sz w:val="18"/>
              </w:rPr>
            </w:pPr>
            <w:r w:rsidRPr="00364545">
              <w:rPr>
                <w:sz w:val="18"/>
              </w:rPr>
              <w:t>67.91</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1163EE41" w14:textId="77777777" w:rsidR="001021CB" w:rsidRPr="00364545" w:rsidRDefault="001021CB" w:rsidP="00C44824">
            <w:pPr>
              <w:spacing w:line="259" w:lineRule="auto"/>
              <w:jc w:val="center"/>
              <w:rPr>
                <w:sz w:val="18"/>
              </w:rPr>
            </w:pPr>
            <w:r w:rsidRPr="00364545">
              <w:rPr>
                <w:sz w:val="18"/>
              </w:rPr>
              <w:t>68.69</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41B8006A" w14:textId="77777777" w:rsidR="001021CB" w:rsidRPr="00364545" w:rsidRDefault="001021CB" w:rsidP="00C44824">
            <w:pPr>
              <w:spacing w:line="259" w:lineRule="auto"/>
              <w:jc w:val="center"/>
              <w:rPr>
                <w:sz w:val="18"/>
              </w:rPr>
            </w:pPr>
            <w:r w:rsidRPr="00364545">
              <w:rPr>
                <w:sz w:val="18"/>
              </w:rPr>
              <w:t>69.20</w:t>
            </w:r>
          </w:p>
        </w:tc>
        <w:tc>
          <w:tcPr>
            <w:tcW w:w="996" w:type="dxa"/>
            <w:tcBorders>
              <w:top w:val="single" w:sz="4" w:space="0" w:color="auto"/>
              <w:left w:val="single" w:sz="4" w:space="0" w:color="auto"/>
              <w:bottom w:val="single" w:sz="4" w:space="0" w:color="auto"/>
              <w:right w:val="single" w:sz="4" w:space="0" w:color="auto"/>
            </w:tcBorders>
            <w:shd w:val="clear" w:color="auto" w:fill="ECE6E2"/>
            <w:vAlign w:val="center"/>
          </w:tcPr>
          <w:p w14:paraId="4AF4C351" w14:textId="77777777" w:rsidR="001021CB" w:rsidRPr="00364545" w:rsidRDefault="001021CB" w:rsidP="00C44824">
            <w:pPr>
              <w:spacing w:line="259" w:lineRule="auto"/>
              <w:jc w:val="center"/>
              <w:rPr>
                <w:sz w:val="18"/>
              </w:rPr>
            </w:pPr>
            <w:r w:rsidRPr="00364545">
              <w:rPr>
                <w:sz w:val="18"/>
              </w:rPr>
              <w:t>69.49</w:t>
            </w:r>
          </w:p>
        </w:tc>
      </w:tr>
      <w:tr w:rsidR="001021CB" w:rsidRPr="00364545" w14:paraId="5B6EE1B8" w14:textId="77777777" w:rsidTr="00C44824">
        <w:trPr>
          <w:trHeight w:val="350"/>
        </w:trPr>
        <w:tc>
          <w:tcPr>
            <w:tcW w:w="1981" w:type="dxa"/>
            <w:tcBorders>
              <w:top w:val="single" w:sz="2" w:space="0" w:color="000000"/>
              <w:left w:val="single" w:sz="2" w:space="0" w:color="000000"/>
              <w:bottom w:val="single" w:sz="2" w:space="0" w:color="000000"/>
              <w:right w:val="single" w:sz="4" w:space="0" w:color="auto"/>
            </w:tcBorders>
            <w:vAlign w:val="bottom"/>
          </w:tcPr>
          <w:p w14:paraId="32059B96" w14:textId="39729EAF" w:rsidR="001021CB" w:rsidRPr="00364545" w:rsidRDefault="00260E0B" w:rsidP="00C44824">
            <w:pPr>
              <w:spacing w:line="259" w:lineRule="auto"/>
            </w:pPr>
            <w:r w:rsidRPr="00364545">
              <w:rPr>
                <w:sz w:val="18"/>
              </w:rPr>
              <w:t xml:space="preserve"> of which Dom-Com </w:t>
            </w:r>
          </w:p>
        </w:tc>
        <w:tc>
          <w:tcPr>
            <w:tcW w:w="995" w:type="dxa"/>
            <w:tcBorders>
              <w:top w:val="single" w:sz="4" w:space="0" w:color="auto"/>
              <w:left w:val="single" w:sz="4" w:space="0" w:color="auto"/>
              <w:bottom w:val="single" w:sz="4" w:space="0" w:color="auto"/>
              <w:right w:val="single" w:sz="4" w:space="0" w:color="auto"/>
            </w:tcBorders>
            <w:vAlign w:val="center"/>
          </w:tcPr>
          <w:p w14:paraId="1C2E9433" w14:textId="77777777" w:rsidR="001021CB" w:rsidRPr="00364545" w:rsidRDefault="001021CB" w:rsidP="00C44824">
            <w:pPr>
              <w:spacing w:line="259" w:lineRule="auto"/>
              <w:jc w:val="center"/>
              <w:rPr>
                <w:sz w:val="18"/>
              </w:rPr>
            </w:pPr>
            <w:r w:rsidRPr="00364545">
              <w:rPr>
                <w:sz w:val="18"/>
              </w:rPr>
              <w:t>2.11</w:t>
            </w:r>
          </w:p>
        </w:tc>
        <w:tc>
          <w:tcPr>
            <w:tcW w:w="995" w:type="dxa"/>
            <w:tcBorders>
              <w:top w:val="single" w:sz="4" w:space="0" w:color="auto"/>
              <w:left w:val="single" w:sz="4" w:space="0" w:color="auto"/>
              <w:bottom w:val="single" w:sz="4" w:space="0" w:color="auto"/>
              <w:right w:val="single" w:sz="4" w:space="0" w:color="auto"/>
            </w:tcBorders>
            <w:vAlign w:val="center"/>
          </w:tcPr>
          <w:p w14:paraId="41F81FAD" w14:textId="77777777" w:rsidR="001021CB" w:rsidRPr="00364545" w:rsidRDefault="001021CB" w:rsidP="00C44824">
            <w:pPr>
              <w:spacing w:line="259" w:lineRule="auto"/>
              <w:jc w:val="center"/>
              <w:rPr>
                <w:sz w:val="18"/>
              </w:rPr>
            </w:pPr>
            <w:r w:rsidRPr="00364545">
              <w:rPr>
                <w:sz w:val="18"/>
              </w:rPr>
              <w:t>2.11</w:t>
            </w:r>
          </w:p>
        </w:tc>
        <w:tc>
          <w:tcPr>
            <w:tcW w:w="995" w:type="dxa"/>
            <w:tcBorders>
              <w:top w:val="single" w:sz="4" w:space="0" w:color="auto"/>
              <w:left w:val="single" w:sz="4" w:space="0" w:color="auto"/>
              <w:bottom w:val="single" w:sz="4" w:space="0" w:color="auto"/>
              <w:right w:val="single" w:sz="4" w:space="0" w:color="auto"/>
            </w:tcBorders>
            <w:vAlign w:val="center"/>
          </w:tcPr>
          <w:p w14:paraId="66E3FDB2" w14:textId="77777777" w:rsidR="001021CB" w:rsidRPr="00364545" w:rsidRDefault="001021CB" w:rsidP="00C44824">
            <w:pPr>
              <w:spacing w:line="259" w:lineRule="auto"/>
              <w:jc w:val="center"/>
              <w:rPr>
                <w:sz w:val="18"/>
              </w:rPr>
            </w:pPr>
            <w:r w:rsidRPr="00364545">
              <w:rPr>
                <w:sz w:val="18"/>
              </w:rPr>
              <w:t>2.14</w:t>
            </w:r>
          </w:p>
        </w:tc>
        <w:tc>
          <w:tcPr>
            <w:tcW w:w="996" w:type="dxa"/>
            <w:tcBorders>
              <w:top w:val="single" w:sz="4" w:space="0" w:color="auto"/>
              <w:left w:val="single" w:sz="4" w:space="0" w:color="auto"/>
              <w:bottom w:val="single" w:sz="4" w:space="0" w:color="auto"/>
              <w:right w:val="single" w:sz="4" w:space="0" w:color="auto"/>
            </w:tcBorders>
            <w:vAlign w:val="center"/>
          </w:tcPr>
          <w:p w14:paraId="53888B4D" w14:textId="77777777" w:rsidR="001021CB" w:rsidRPr="00364545" w:rsidRDefault="001021CB" w:rsidP="00C44824">
            <w:pPr>
              <w:spacing w:line="259" w:lineRule="auto"/>
              <w:jc w:val="center"/>
              <w:rPr>
                <w:sz w:val="18"/>
              </w:rPr>
            </w:pPr>
            <w:r w:rsidRPr="00364545">
              <w:rPr>
                <w:sz w:val="18"/>
              </w:rPr>
              <w:t>2.16</w:t>
            </w:r>
          </w:p>
        </w:tc>
        <w:tc>
          <w:tcPr>
            <w:tcW w:w="995" w:type="dxa"/>
            <w:tcBorders>
              <w:top w:val="single" w:sz="4" w:space="0" w:color="auto"/>
              <w:left w:val="single" w:sz="4" w:space="0" w:color="auto"/>
              <w:bottom w:val="single" w:sz="4" w:space="0" w:color="auto"/>
              <w:right w:val="single" w:sz="4" w:space="0" w:color="auto"/>
            </w:tcBorders>
            <w:vAlign w:val="center"/>
          </w:tcPr>
          <w:p w14:paraId="3854E98E" w14:textId="77777777" w:rsidR="001021CB" w:rsidRPr="00364545" w:rsidRDefault="001021CB" w:rsidP="00C44824">
            <w:pPr>
              <w:spacing w:line="259" w:lineRule="auto"/>
              <w:jc w:val="center"/>
              <w:rPr>
                <w:sz w:val="18"/>
              </w:rPr>
            </w:pPr>
            <w:r w:rsidRPr="00364545">
              <w:rPr>
                <w:sz w:val="18"/>
              </w:rPr>
              <w:t>2.20</w:t>
            </w:r>
          </w:p>
        </w:tc>
        <w:tc>
          <w:tcPr>
            <w:tcW w:w="995" w:type="dxa"/>
            <w:tcBorders>
              <w:top w:val="single" w:sz="4" w:space="0" w:color="auto"/>
              <w:left w:val="single" w:sz="4" w:space="0" w:color="auto"/>
              <w:bottom w:val="single" w:sz="4" w:space="0" w:color="auto"/>
              <w:right w:val="single" w:sz="4" w:space="0" w:color="auto"/>
            </w:tcBorders>
            <w:vAlign w:val="center"/>
          </w:tcPr>
          <w:p w14:paraId="2C90CB99" w14:textId="77777777" w:rsidR="001021CB" w:rsidRPr="00364545" w:rsidRDefault="001021CB" w:rsidP="00C44824">
            <w:pPr>
              <w:spacing w:line="259" w:lineRule="auto"/>
              <w:jc w:val="center"/>
              <w:rPr>
                <w:sz w:val="18"/>
              </w:rPr>
            </w:pPr>
            <w:r w:rsidRPr="00364545">
              <w:rPr>
                <w:sz w:val="18"/>
              </w:rPr>
              <w:t>2.23</w:t>
            </w:r>
          </w:p>
        </w:tc>
        <w:tc>
          <w:tcPr>
            <w:tcW w:w="995" w:type="dxa"/>
            <w:tcBorders>
              <w:top w:val="single" w:sz="4" w:space="0" w:color="auto"/>
              <w:left w:val="single" w:sz="4" w:space="0" w:color="auto"/>
              <w:bottom w:val="single" w:sz="4" w:space="0" w:color="auto"/>
              <w:right w:val="single" w:sz="4" w:space="0" w:color="auto"/>
            </w:tcBorders>
            <w:vAlign w:val="center"/>
          </w:tcPr>
          <w:p w14:paraId="49DF6C59" w14:textId="77777777" w:rsidR="001021CB" w:rsidRPr="00364545" w:rsidRDefault="001021CB" w:rsidP="00C44824">
            <w:pPr>
              <w:spacing w:line="259" w:lineRule="auto"/>
              <w:jc w:val="center"/>
              <w:rPr>
                <w:sz w:val="18"/>
              </w:rPr>
            </w:pPr>
            <w:r w:rsidRPr="00364545">
              <w:rPr>
                <w:sz w:val="18"/>
              </w:rPr>
              <w:t>2.26</w:t>
            </w:r>
          </w:p>
        </w:tc>
        <w:tc>
          <w:tcPr>
            <w:tcW w:w="996" w:type="dxa"/>
            <w:tcBorders>
              <w:top w:val="single" w:sz="4" w:space="0" w:color="auto"/>
              <w:left w:val="single" w:sz="4" w:space="0" w:color="auto"/>
              <w:bottom w:val="single" w:sz="4" w:space="0" w:color="auto"/>
              <w:right w:val="single" w:sz="4" w:space="0" w:color="auto"/>
            </w:tcBorders>
            <w:vAlign w:val="center"/>
          </w:tcPr>
          <w:p w14:paraId="1B4C5BEA" w14:textId="77777777" w:rsidR="001021CB" w:rsidRPr="00364545" w:rsidRDefault="001021CB" w:rsidP="00C44824">
            <w:pPr>
              <w:spacing w:line="259" w:lineRule="auto"/>
              <w:jc w:val="center"/>
              <w:rPr>
                <w:sz w:val="18"/>
              </w:rPr>
            </w:pPr>
            <w:r w:rsidRPr="00364545">
              <w:rPr>
                <w:sz w:val="18"/>
              </w:rPr>
              <w:t>2.28</w:t>
            </w:r>
          </w:p>
        </w:tc>
      </w:tr>
    </w:tbl>
    <w:p w14:paraId="3FB24498" w14:textId="734CE39D" w:rsidR="00B94B7E" w:rsidRPr="00364545" w:rsidRDefault="00B94B7E" w:rsidP="0045532B">
      <w:pPr>
        <w:pStyle w:val="Caption"/>
      </w:pPr>
      <w:bookmarkStart w:id="544" w:name="_Toc123916529"/>
      <w:r w:rsidRPr="00364545">
        <w:t xml:space="preserve">Table </w:t>
      </w:r>
      <w:r w:rsidR="003714FB">
        <w:fldChar w:fldCharType="begin"/>
      </w:r>
      <w:r w:rsidR="003714FB">
        <w:instrText xml:space="preserve"> SEQ Tableau \* ARABIC </w:instrText>
      </w:r>
      <w:r w:rsidR="003714FB">
        <w:fldChar w:fldCharType="separate"/>
      </w:r>
      <w:r w:rsidR="009A2FAA">
        <w:rPr>
          <w:noProof/>
        </w:rPr>
        <w:t>37</w:t>
      </w:r>
      <w:r w:rsidR="003714FB">
        <w:rPr>
          <w:noProof/>
        </w:rPr>
        <w:fldChar w:fldCharType="end"/>
      </w:r>
      <w:r w:rsidRPr="00364545">
        <w:t>: Population growth assumptions for AME 2021</w:t>
      </w:r>
      <w:bookmarkEnd w:id="544"/>
    </w:p>
    <w:p w14:paraId="7FC1BC75" w14:textId="4914D814" w:rsidR="001021CB" w:rsidRPr="00364545" w:rsidRDefault="001021CB" w:rsidP="0045532B">
      <w:pPr>
        <w:pStyle w:val="Caption"/>
        <w:rPr>
          <w:b/>
          <w:bCs/>
        </w:rPr>
      </w:pPr>
      <w:r w:rsidRPr="00364545">
        <w:t xml:space="preserve">Source: EU economic framework, Insee, 2016 </w:t>
      </w:r>
    </w:p>
    <w:p w14:paraId="4667C38C" w14:textId="77777777" w:rsidR="001021CB" w:rsidRPr="00364545" w:rsidRDefault="001021CB" w:rsidP="001021CB">
      <w:pPr>
        <w:spacing w:after="54" w:line="249" w:lineRule="auto"/>
        <w:ind w:left="-5" w:right="914" w:hanging="3"/>
        <w:jc w:val="left"/>
        <w:rPr>
          <w:b/>
          <w:bCs/>
          <w:sz w:val="18"/>
          <w:szCs w:val="18"/>
        </w:rPr>
      </w:pPr>
    </w:p>
    <w:p w14:paraId="15C5B332" w14:textId="77777777" w:rsidR="001021CB" w:rsidRPr="00364545" w:rsidRDefault="001021CB" w:rsidP="00E22CF8">
      <w:pPr>
        <w:pStyle w:val="titreencadre"/>
      </w:pPr>
      <w:r w:rsidRPr="00364545">
        <w:t>AMS 2018</w:t>
      </w:r>
    </w:p>
    <w:tbl>
      <w:tblPr>
        <w:tblStyle w:val="TableGrid0"/>
        <w:tblW w:w="9943" w:type="dxa"/>
        <w:tblInd w:w="1" w:type="dxa"/>
        <w:tblCellMar>
          <w:top w:w="124" w:type="dxa"/>
          <w:left w:w="28" w:type="dxa"/>
          <w:bottom w:w="20" w:type="dxa"/>
          <w:right w:w="115" w:type="dxa"/>
        </w:tblCellMar>
        <w:tblLook w:val="04A0" w:firstRow="1" w:lastRow="0" w:firstColumn="1" w:lastColumn="0" w:noHBand="0" w:noVBand="1"/>
      </w:tblPr>
      <w:tblGrid>
        <w:gridCol w:w="1981"/>
        <w:gridCol w:w="995"/>
        <w:gridCol w:w="995"/>
        <w:gridCol w:w="995"/>
        <w:gridCol w:w="996"/>
        <w:gridCol w:w="995"/>
        <w:gridCol w:w="995"/>
        <w:gridCol w:w="995"/>
        <w:gridCol w:w="996"/>
      </w:tblGrid>
      <w:tr w:rsidR="001021CB" w:rsidRPr="00364545" w14:paraId="240B44BE" w14:textId="77777777" w:rsidTr="00C44824">
        <w:trPr>
          <w:trHeight w:val="378"/>
        </w:trPr>
        <w:tc>
          <w:tcPr>
            <w:tcW w:w="1981" w:type="dxa"/>
            <w:tcBorders>
              <w:top w:val="single" w:sz="2" w:space="0" w:color="000000"/>
              <w:left w:val="single" w:sz="2" w:space="0" w:color="000000"/>
              <w:bottom w:val="single" w:sz="2" w:space="0" w:color="000000"/>
              <w:right w:val="single" w:sz="4" w:space="0" w:color="auto"/>
            </w:tcBorders>
            <w:shd w:val="clear" w:color="auto" w:fill="6D2A78"/>
          </w:tcPr>
          <w:p w14:paraId="5C7836C4" w14:textId="77777777" w:rsidR="001021CB" w:rsidRPr="00364545" w:rsidRDefault="001021CB" w:rsidP="00C44824">
            <w:pPr>
              <w:spacing w:line="259" w:lineRule="auto"/>
            </w:pPr>
            <w:r w:rsidRPr="00364545">
              <w:rPr>
                <w:color w:val="FFFFFF"/>
                <w:sz w:val="18"/>
              </w:rPr>
              <w:t xml:space="preserve">Population (in thousands of inhabitants) </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0AD9E07D" w14:textId="77777777" w:rsidR="001021CB" w:rsidRPr="00364545" w:rsidRDefault="001021CB" w:rsidP="00C44824">
            <w:pPr>
              <w:spacing w:line="259" w:lineRule="auto"/>
              <w:ind w:left="85"/>
              <w:jc w:val="center"/>
            </w:pPr>
            <w:r w:rsidRPr="00364545">
              <w:rPr>
                <w:b/>
                <w:color w:val="FFFFFF"/>
                <w:sz w:val="18"/>
              </w:rPr>
              <w:t>2015</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6385C25F" w14:textId="77777777" w:rsidR="001021CB" w:rsidRPr="00364545" w:rsidRDefault="001021CB" w:rsidP="00C44824">
            <w:pPr>
              <w:spacing w:line="259" w:lineRule="auto"/>
              <w:ind w:left="85"/>
              <w:jc w:val="center"/>
            </w:pPr>
            <w:r w:rsidRPr="00364545">
              <w:rPr>
                <w:b/>
                <w:color w:val="FFFFFF"/>
                <w:sz w:val="18"/>
              </w:rPr>
              <w:t>2020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1D7EA1BD" w14:textId="77777777" w:rsidR="001021CB" w:rsidRPr="00364545" w:rsidRDefault="001021CB" w:rsidP="00C44824">
            <w:pPr>
              <w:spacing w:line="259" w:lineRule="auto"/>
              <w:ind w:left="85"/>
              <w:jc w:val="center"/>
            </w:pPr>
            <w:r w:rsidRPr="00364545">
              <w:rPr>
                <w:b/>
                <w:color w:val="FFFFFF"/>
                <w:sz w:val="18"/>
              </w:rPr>
              <w:t>2025</w:t>
            </w:r>
          </w:p>
        </w:tc>
        <w:tc>
          <w:tcPr>
            <w:tcW w:w="996" w:type="dxa"/>
            <w:tcBorders>
              <w:top w:val="single" w:sz="4" w:space="0" w:color="auto"/>
              <w:left w:val="single" w:sz="4" w:space="0" w:color="auto"/>
              <w:bottom w:val="single" w:sz="4" w:space="0" w:color="auto"/>
              <w:right w:val="single" w:sz="4" w:space="0" w:color="auto"/>
            </w:tcBorders>
            <w:shd w:val="clear" w:color="auto" w:fill="6D2A78"/>
            <w:vAlign w:val="center"/>
          </w:tcPr>
          <w:p w14:paraId="1E0F805E" w14:textId="77777777" w:rsidR="001021CB" w:rsidRPr="00364545" w:rsidRDefault="001021CB" w:rsidP="00C44824">
            <w:pPr>
              <w:spacing w:line="259" w:lineRule="auto"/>
              <w:ind w:left="86"/>
              <w:jc w:val="center"/>
            </w:pPr>
            <w:r w:rsidRPr="00364545">
              <w:rPr>
                <w:b/>
                <w:color w:val="FFFFFF"/>
                <w:sz w:val="18"/>
              </w:rPr>
              <w:t>2030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53BC4C2C" w14:textId="77777777" w:rsidR="001021CB" w:rsidRPr="00364545" w:rsidRDefault="001021CB" w:rsidP="00C44824">
            <w:pPr>
              <w:spacing w:line="259" w:lineRule="auto"/>
              <w:ind w:left="84"/>
              <w:jc w:val="center"/>
            </w:pPr>
            <w:r w:rsidRPr="00364545">
              <w:rPr>
                <w:b/>
                <w:color w:val="FFFFFF"/>
                <w:sz w:val="18"/>
              </w:rPr>
              <w:t>2035</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79C30C66" w14:textId="77777777" w:rsidR="001021CB" w:rsidRPr="00364545" w:rsidRDefault="001021CB" w:rsidP="00C44824">
            <w:pPr>
              <w:spacing w:line="259" w:lineRule="auto"/>
              <w:ind w:left="84"/>
              <w:jc w:val="center"/>
              <w:rPr>
                <w:b/>
                <w:color w:val="FFFFFF"/>
                <w:sz w:val="18"/>
              </w:rPr>
            </w:pPr>
            <w:r w:rsidRPr="00364545">
              <w:rPr>
                <w:b/>
                <w:color w:val="FFFFFF"/>
                <w:sz w:val="18"/>
              </w:rPr>
              <w:t>2040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4ABF8BC8" w14:textId="77777777" w:rsidR="001021CB" w:rsidRPr="00364545" w:rsidRDefault="001021CB" w:rsidP="00C44824">
            <w:pPr>
              <w:spacing w:line="259" w:lineRule="auto"/>
              <w:ind w:left="84"/>
              <w:jc w:val="center"/>
              <w:rPr>
                <w:b/>
                <w:color w:val="FFFFFF"/>
                <w:sz w:val="18"/>
              </w:rPr>
            </w:pPr>
            <w:r w:rsidRPr="00364545">
              <w:rPr>
                <w:b/>
                <w:color w:val="FFFFFF"/>
                <w:sz w:val="18"/>
              </w:rPr>
              <w:t>2045</w:t>
            </w:r>
          </w:p>
        </w:tc>
        <w:tc>
          <w:tcPr>
            <w:tcW w:w="996" w:type="dxa"/>
            <w:tcBorders>
              <w:top w:val="single" w:sz="4" w:space="0" w:color="auto"/>
              <w:left w:val="single" w:sz="4" w:space="0" w:color="auto"/>
              <w:bottom w:val="single" w:sz="4" w:space="0" w:color="auto"/>
              <w:right w:val="single" w:sz="4" w:space="0" w:color="auto"/>
            </w:tcBorders>
            <w:shd w:val="clear" w:color="auto" w:fill="6D2A78"/>
            <w:vAlign w:val="center"/>
          </w:tcPr>
          <w:p w14:paraId="316252B2" w14:textId="77777777" w:rsidR="001021CB" w:rsidRPr="00364545" w:rsidRDefault="001021CB" w:rsidP="00C44824">
            <w:pPr>
              <w:spacing w:line="259" w:lineRule="auto"/>
              <w:ind w:left="84"/>
              <w:jc w:val="center"/>
              <w:rPr>
                <w:b/>
                <w:color w:val="FFFFFF"/>
                <w:sz w:val="18"/>
              </w:rPr>
            </w:pPr>
            <w:r w:rsidRPr="00364545">
              <w:rPr>
                <w:b/>
                <w:color w:val="FFFFFF"/>
                <w:sz w:val="18"/>
              </w:rPr>
              <w:t>2050</w:t>
            </w:r>
          </w:p>
        </w:tc>
      </w:tr>
      <w:tr w:rsidR="001021CB" w:rsidRPr="00364545" w14:paraId="40AF6F75" w14:textId="77777777" w:rsidTr="00C44824">
        <w:trPr>
          <w:trHeight w:val="359"/>
        </w:trPr>
        <w:tc>
          <w:tcPr>
            <w:tcW w:w="1981" w:type="dxa"/>
            <w:tcBorders>
              <w:top w:val="single" w:sz="2" w:space="0" w:color="000000"/>
              <w:left w:val="single" w:sz="2" w:space="0" w:color="000000"/>
              <w:bottom w:val="single" w:sz="2" w:space="0" w:color="000000"/>
              <w:right w:val="single" w:sz="4" w:space="0" w:color="auto"/>
            </w:tcBorders>
            <w:vAlign w:val="bottom"/>
          </w:tcPr>
          <w:p w14:paraId="5F58EAD6" w14:textId="77777777" w:rsidR="001021CB" w:rsidRPr="00364545" w:rsidRDefault="001021CB" w:rsidP="00C44824">
            <w:pPr>
              <w:spacing w:line="259" w:lineRule="auto"/>
            </w:pPr>
            <w:r w:rsidRPr="00364545">
              <w:rPr>
                <w:sz w:val="18"/>
              </w:rPr>
              <w:t xml:space="preserve">France </w:t>
            </w:r>
          </w:p>
        </w:tc>
        <w:tc>
          <w:tcPr>
            <w:tcW w:w="995" w:type="dxa"/>
            <w:tcBorders>
              <w:top w:val="single" w:sz="4" w:space="0" w:color="auto"/>
              <w:left w:val="single" w:sz="4" w:space="0" w:color="auto"/>
              <w:bottom w:val="single" w:sz="4" w:space="0" w:color="auto"/>
              <w:right w:val="single" w:sz="4" w:space="0" w:color="auto"/>
            </w:tcBorders>
            <w:vAlign w:val="center"/>
          </w:tcPr>
          <w:p w14:paraId="71360E52" w14:textId="77777777" w:rsidR="001021CB" w:rsidRPr="00364545" w:rsidRDefault="001021CB" w:rsidP="00C44824">
            <w:pPr>
              <w:spacing w:line="259" w:lineRule="auto"/>
              <w:ind w:left="85"/>
              <w:jc w:val="center"/>
            </w:pPr>
            <w:r w:rsidRPr="00364545">
              <w:rPr>
                <w:sz w:val="18"/>
              </w:rPr>
              <w:t>66,391</w:t>
            </w:r>
          </w:p>
        </w:tc>
        <w:tc>
          <w:tcPr>
            <w:tcW w:w="995" w:type="dxa"/>
            <w:tcBorders>
              <w:top w:val="single" w:sz="4" w:space="0" w:color="auto"/>
              <w:left w:val="single" w:sz="4" w:space="0" w:color="auto"/>
              <w:bottom w:val="single" w:sz="4" w:space="0" w:color="auto"/>
              <w:right w:val="single" w:sz="4" w:space="0" w:color="auto"/>
            </w:tcBorders>
            <w:vAlign w:val="center"/>
          </w:tcPr>
          <w:p w14:paraId="41D06649" w14:textId="77777777" w:rsidR="001021CB" w:rsidRPr="00364545" w:rsidRDefault="001021CB" w:rsidP="00C44824">
            <w:pPr>
              <w:spacing w:line="259" w:lineRule="auto"/>
              <w:ind w:left="85"/>
              <w:jc w:val="center"/>
            </w:pPr>
            <w:r w:rsidRPr="00364545">
              <w:rPr>
                <w:sz w:val="18"/>
              </w:rPr>
              <w:t>67820</w:t>
            </w:r>
          </w:p>
        </w:tc>
        <w:tc>
          <w:tcPr>
            <w:tcW w:w="995" w:type="dxa"/>
            <w:tcBorders>
              <w:top w:val="single" w:sz="4" w:space="0" w:color="auto"/>
              <w:left w:val="single" w:sz="4" w:space="0" w:color="auto"/>
              <w:bottom w:val="single" w:sz="4" w:space="0" w:color="auto"/>
              <w:right w:val="single" w:sz="4" w:space="0" w:color="auto"/>
            </w:tcBorders>
            <w:vAlign w:val="center"/>
          </w:tcPr>
          <w:p w14:paraId="72F0DA27" w14:textId="77777777" w:rsidR="001021CB" w:rsidRPr="00364545" w:rsidRDefault="001021CB" w:rsidP="00C44824">
            <w:pPr>
              <w:spacing w:line="259" w:lineRule="auto"/>
              <w:ind w:left="85"/>
              <w:jc w:val="center"/>
            </w:pPr>
            <w:r w:rsidRPr="00364545">
              <w:rPr>
                <w:sz w:val="18"/>
              </w:rPr>
              <w:t>69093</w:t>
            </w:r>
          </w:p>
        </w:tc>
        <w:tc>
          <w:tcPr>
            <w:tcW w:w="996" w:type="dxa"/>
            <w:tcBorders>
              <w:top w:val="single" w:sz="4" w:space="0" w:color="auto"/>
              <w:left w:val="single" w:sz="4" w:space="0" w:color="auto"/>
              <w:bottom w:val="single" w:sz="4" w:space="0" w:color="auto"/>
              <w:right w:val="single" w:sz="4" w:space="0" w:color="auto"/>
            </w:tcBorders>
            <w:vAlign w:val="center"/>
          </w:tcPr>
          <w:p w14:paraId="1CEE0FFE" w14:textId="77777777" w:rsidR="001021CB" w:rsidRPr="00364545" w:rsidRDefault="001021CB" w:rsidP="00C44824">
            <w:pPr>
              <w:spacing w:line="259" w:lineRule="auto"/>
              <w:ind w:left="86"/>
              <w:jc w:val="center"/>
            </w:pPr>
            <w:r w:rsidRPr="00364545">
              <w:rPr>
                <w:sz w:val="18"/>
              </w:rPr>
              <w:t>70281</w:t>
            </w:r>
          </w:p>
        </w:tc>
        <w:tc>
          <w:tcPr>
            <w:tcW w:w="995" w:type="dxa"/>
            <w:tcBorders>
              <w:top w:val="single" w:sz="4" w:space="0" w:color="auto"/>
              <w:left w:val="single" w:sz="4" w:space="0" w:color="auto"/>
              <w:bottom w:val="single" w:sz="4" w:space="0" w:color="auto"/>
              <w:right w:val="single" w:sz="4" w:space="0" w:color="auto"/>
            </w:tcBorders>
            <w:vAlign w:val="center"/>
          </w:tcPr>
          <w:p w14:paraId="73E846A2" w14:textId="77777777" w:rsidR="001021CB" w:rsidRPr="00364545" w:rsidRDefault="001021CB" w:rsidP="00C44824">
            <w:pPr>
              <w:spacing w:line="259" w:lineRule="auto"/>
              <w:ind w:left="85"/>
              <w:jc w:val="center"/>
            </w:pPr>
            <w:r w:rsidRPr="00364545">
              <w:rPr>
                <w:sz w:val="18"/>
              </w:rPr>
              <w:t>71417</w:t>
            </w:r>
          </w:p>
        </w:tc>
        <w:tc>
          <w:tcPr>
            <w:tcW w:w="995" w:type="dxa"/>
            <w:tcBorders>
              <w:top w:val="single" w:sz="4" w:space="0" w:color="auto"/>
              <w:left w:val="single" w:sz="4" w:space="0" w:color="auto"/>
              <w:bottom w:val="single" w:sz="4" w:space="0" w:color="auto"/>
              <w:right w:val="single" w:sz="4" w:space="0" w:color="auto"/>
            </w:tcBorders>
            <w:vAlign w:val="center"/>
          </w:tcPr>
          <w:p w14:paraId="30EA9A02" w14:textId="77777777" w:rsidR="001021CB" w:rsidRPr="00364545" w:rsidRDefault="001021CB" w:rsidP="00C44824">
            <w:pPr>
              <w:spacing w:line="259" w:lineRule="auto"/>
              <w:ind w:left="85"/>
              <w:jc w:val="center"/>
              <w:rPr>
                <w:sz w:val="18"/>
              </w:rPr>
            </w:pPr>
            <w:r w:rsidRPr="00364545">
              <w:rPr>
                <w:sz w:val="18"/>
              </w:rPr>
              <w:t>72449</w:t>
            </w:r>
          </w:p>
        </w:tc>
        <w:tc>
          <w:tcPr>
            <w:tcW w:w="995" w:type="dxa"/>
            <w:tcBorders>
              <w:top w:val="single" w:sz="4" w:space="0" w:color="auto"/>
              <w:left w:val="single" w:sz="4" w:space="0" w:color="auto"/>
              <w:bottom w:val="single" w:sz="4" w:space="0" w:color="auto"/>
              <w:right w:val="single" w:sz="4" w:space="0" w:color="auto"/>
            </w:tcBorders>
            <w:vAlign w:val="center"/>
          </w:tcPr>
          <w:p w14:paraId="3322FA98" w14:textId="77777777" w:rsidR="001021CB" w:rsidRPr="00364545" w:rsidRDefault="001021CB" w:rsidP="00C44824">
            <w:pPr>
              <w:spacing w:line="259" w:lineRule="auto"/>
              <w:ind w:left="85"/>
              <w:jc w:val="center"/>
              <w:rPr>
                <w:sz w:val="18"/>
              </w:rPr>
            </w:pPr>
            <w:r w:rsidRPr="00364545">
              <w:rPr>
                <w:sz w:val="18"/>
              </w:rPr>
              <w:t>73312</w:t>
            </w:r>
          </w:p>
        </w:tc>
        <w:tc>
          <w:tcPr>
            <w:tcW w:w="996" w:type="dxa"/>
            <w:tcBorders>
              <w:top w:val="single" w:sz="4" w:space="0" w:color="auto"/>
              <w:left w:val="single" w:sz="4" w:space="0" w:color="auto"/>
              <w:bottom w:val="single" w:sz="4" w:space="0" w:color="auto"/>
              <w:right w:val="single" w:sz="4" w:space="0" w:color="auto"/>
            </w:tcBorders>
            <w:vAlign w:val="center"/>
          </w:tcPr>
          <w:p w14:paraId="5FF47814" w14:textId="77777777" w:rsidR="001021CB" w:rsidRPr="00364545" w:rsidRDefault="001021CB" w:rsidP="00C44824">
            <w:pPr>
              <w:spacing w:line="259" w:lineRule="auto"/>
              <w:ind w:left="85"/>
              <w:jc w:val="center"/>
              <w:rPr>
                <w:sz w:val="18"/>
              </w:rPr>
            </w:pPr>
            <w:r w:rsidRPr="00364545">
              <w:rPr>
                <w:sz w:val="18"/>
              </w:rPr>
              <w:t>74025</w:t>
            </w:r>
          </w:p>
        </w:tc>
      </w:tr>
      <w:tr w:rsidR="001021CB" w:rsidRPr="00364545" w14:paraId="0393A9C8" w14:textId="77777777" w:rsidTr="00C44824">
        <w:trPr>
          <w:trHeight w:val="320"/>
        </w:trPr>
        <w:tc>
          <w:tcPr>
            <w:tcW w:w="1981" w:type="dxa"/>
            <w:tcBorders>
              <w:top w:val="single" w:sz="2" w:space="0" w:color="000000"/>
              <w:left w:val="single" w:sz="2" w:space="0" w:color="000000"/>
              <w:bottom w:val="single" w:sz="2" w:space="0" w:color="000000"/>
              <w:right w:val="single" w:sz="4" w:space="0" w:color="auto"/>
            </w:tcBorders>
            <w:shd w:val="clear" w:color="auto" w:fill="ECE6E2"/>
            <w:vAlign w:val="bottom"/>
          </w:tcPr>
          <w:p w14:paraId="2553AD54" w14:textId="7D3E748A" w:rsidR="001021CB" w:rsidRPr="00364545" w:rsidRDefault="00260E0B" w:rsidP="00C44824">
            <w:pPr>
              <w:spacing w:line="259" w:lineRule="auto"/>
            </w:pPr>
            <w:r w:rsidRPr="00364545">
              <w:rPr>
                <w:sz w:val="18"/>
              </w:rPr>
              <w:t xml:space="preserve"> of which mainland France </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162D307B" w14:textId="77777777" w:rsidR="001021CB" w:rsidRPr="00364545" w:rsidRDefault="001021CB" w:rsidP="00C44824">
            <w:pPr>
              <w:spacing w:line="259" w:lineRule="auto"/>
              <w:ind w:left="85"/>
              <w:jc w:val="center"/>
            </w:pPr>
            <w:r w:rsidRPr="00364545">
              <w:rPr>
                <w:sz w:val="18"/>
              </w:rPr>
              <w:t>64,293</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5EA9A4AA" w14:textId="77777777" w:rsidR="001021CB" w:rsidRPr="00364545" w:rsidRDefault="001021CB" w:rsidP="00C44824">
            <w:pPr>
              <w:spacing w:line="259" w:lineRule="auto"/>
              <w:ind w:left="85"/>
              <w:jc w:val="center"/>
            </w:pPr>
            <w:r w:rsidRPr="00364545">
              <w:rPr>
                <w:sz w:val="18"/>
              </w:rPr>
              <w:t>65684</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2D1F00A0" w14:textId="77777777" w:rsidR="001021CB" w:rsidRPr="00364545" w:rsidRDefault="001021CB" w:rsidP="00C44824">
            <w:pPr>
              <w:spacing w:line="259" w:lineRule="auto"/>
              <w:ind w:left="85"/>
              <w:jc w:val="center"/>
            </w:pPr>
            <w:r w:rsidRPr="00364545">
              <w:rPr>
                <w:sz w:val="18"/>
              </w:rPr>
              <w:t>66918</w:t>
            </w:r>
          </w:p>
        </w:tc>
        <w:tc>
          <w:tcPr>
            <w:tcW w:w="996" w:type="dxa"/>
            <w:tcBorders>
              <w:top w:val="single" w:sz="4" w:space="0" w:color="auto"/>
              <w:left w:val="single" w:sz="4" w:space="0" w:color="auto"/>
              <w:bottom w:val="single" w:sz="4" w:space="0" w:color="auto"/>
              <w:right w:val="single" w:sz="4" w:space="0" w:color="auto"/>
            </w:tcBorders>
            <w:shd w:val="clear" w:color="auto" w:fill="ECE6E2"/>
            <w:vAlign w:val="center"/>
          </w:tcPr>
          <w:p w14:paraId="1967BF10" w14:textId="77777777" w:rsidR="001021CB" w:rsidRPr="00364545" w:rsidRDefault="001021CB" w:rsidP="00C44824">
            <w:pPr>
              <w:spacing w:line="259" w:lineRule="auto"/>
              <w:ind w:left="86"/>
              <w:jc w:val="center"/>
            </w:pPr>
            <w:r w:rsidRPr="00364545">
              <w:rPr>
                <w:sz w:val="18"/>
              </w:rPr>
              <w:t>68064</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3C19807C" w14:textId="77777777" w:rsidR="001021CB" w:rsidRPr="00364545" w:rsidRDefault="001021CB" w:rsidP="00C44824">
            <w:pPr>
              <w:spacing w:line="259" w:lineRule="auto"/>
              <w:ind w:left="85"/>
              <w:jc w:val="center"/>
            </w:pPr>
            <w:r w:rsidRPr="00364545">
              <w:rPr>
                <w:sz w:val="18"/>
              </w:rPr>
              <w:t>69157</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3962ED50" w14:textId="77777777" w:rsidR="001021CB" w:rsidRPr="00364545" w:rsidRDefault="001021CB" w:rsidP="00C44824">
            <w:pPr>
              <w:spacing w:line="259" w:lineRule="auto"/>
              <w:ind w:left="85"/>
              <w:jc w:val="center"/>
              <w:rPr>
                <w:sz w:val="18"/>
              </w:rPr>
            </w:pPr>
            <w:r w:rsidRPr="00364545">
              <w:rPr>
                <w:sz w:val="18"/>
              </w:rPr>
              <w:t>70143</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2336EEDB" w14:textId="77777777" w:rsidR="001021CB" w:rsidRPr="00364545" w:rsidRDefault="001021CB" w:rsidP="00C44824">
            <w:pPr>
              <w:spacing w:line="259" w:lineRule="auto"/>
              <w:ind w:left="85"/>
              <w:jc w:val="center"/>
              <w:rPr>
                <w:sz w:val="18"/>
              </w:rPr>
            </w:pPr>
            <w:r w:rsidRPr="00364545">
              <w:rPr>
                <w:sz w:val="18"/>
              </w:rPr>
              <w:t>70961</w:t>
            </w:r>
          </w:p>
        </w:tc>
        <w:tc>
          <w:tcPr>
            <w:tcW w:w="996" w:type="dxa"/>
            <w:tcBorders>
              <w:top w:val="single" w:sz="4" w:space="0" w:color="auto"/>
              <w:left w:val="single" w:sz="4" w:space="0" w:color="auto"/>
              <w:bottom w:val="single" w:sz="4" w:space="0" w:color="auto"/>
              <w:right w:val="single" w:sz="4" w:space="0" w:color="auto"/>
            </w:tcBorders>
            <w:shd w:val="clear" w:color="auto" w:fill="ECE6E2"/>
            <w:vAlign w:val="center"/>
          </w:tcPr>
          <w:p w14:paraId="0D760467" w14:textId="77777777" w:rsidR="001021CB" w:rsidRPr="00364545" w:rsidRDefault="001021CB" w:rsidP="00C44824">
            <w:pPr>
              <w:spacing w:line="259" w:lineRule="auto"/>
              <w:ind w:left="85"/>
              <w:jc w:val="center"/>
              <w:rPr>
                <w:sz w:val="18"/>
              </w:rPr>
            </w:pPr>
            <w:r w:rsidRPr="00364545">
              <w:rPr>
                <w:sz w:val="18"/>
              </w:rPr>
              <w:t>71628</w:t>
            </w:r>
          </w:p>
        </w:tc>
      </w:tr>
      <w:tr w:rsidR="001021CB" w:rsidRPr="00364545" w14:paraId="4DEB2B4F" w14:textId="77777777" w:rsidTr="00C44824">
        <w:trPr>
          <w:trHeight w:val="350"/>
        </w:trPr>
        <w:tc>
          <w:tcPr>
            <w:tcW w:w="1981" w:type="dxa"/>
            <w:tcBorders>
              <w:top w:val="single" w:sz="2" w:space="0" w:color="000000"/>
              <w:left w:val="single" w:sz="2" w:space="0" w:color="000000"/>
              <w:bottom w:val="single" w:sz="2" w:space="0" w:color="000000"/>
              <w:right w:val="single" w:sz="4" w:space="0" w:color="auto"/>
            </w:tcBorders>
            <w:vAlign w:val="bottom"/>
          </w:tcPr>
          <w:p w14:paraId="52E50046" w14:textId="6009D196" w:rsidR="001021CB" w:rsidRPr="00364545" w:rsidRDefault="00260E0B" w:rsidP="00C44824">
            <w:pPr>
              <w:spacing w:line="259" w:lineRule="auto"/>
            </w:pPr>
            <w:r w:rsidRPr="00364545">
              <w:rPr>
                <w:sz w:val="18"/>
              </w:rPr>
              <w:t xml:space="preserve"> of which Dom-Com </w:t>
            </w:r>
          </w:p>
        </w:tc>
        <w:tc>
          <w:tcPr>
            <w:tcW w:w="995" w:type="dxa"/>
            <w:tcBorders>
              <w:top w:val="single" w:sz="4" w:space="0" w:color="auto"/>
              <w:left w:val="single" w:sz="4" w:space="0" w:color="auto"/>
              <w:bottom w:val="single" w:sz="4" w:space="0" w:color="auto"/>
              <w:right w:val="single" w:sz="4" w:space="0" w:color="auto"/>
            </w:tcBorders>
            <w:vAlign w:val="center"/>
          </w:tcPr>
          <w:p w14:paraId="3648541F" w14:textId="77777777" w:rsidR="001021CB" w:rsidRPr="00364545" w:rsidRDefault="001021CB" w:rsidP="00C44824">
            <w:pPr>
              <w:spacing w:line="259" w:lineRule="auto"/>
              <w:ind w:left="87"/>
              <w:jc w:val="center"/>
            </w:pPr>
            <w:r w:rsidRPr="00364545">
              <w:rPr>
                <w:sz w:val="18"/>
              </w:rPr>
              <w:t>2,098</w:t>
            </w:r>
          </w:p>
        </w:tc>
        <w:tc>
          <w:tcPr>
            <w:tcW w:w="995" w:type="dxa"/>
            <w:tcBorders>
              <w:top w:val="single" w:sz="4" w:space="0" w:color="auto"/>
              <w:left w:val="single" w:sz="4" w:space="0" w:color="auto"/>
              <w:bottom w:val="single" w:sz="4" w:space="0" w:color="auto"/>
              <w:right w:val="single" w:sz="4" w:space="0" w:color="auto"/>
            </w:tcBorders>
            <w:vAlign w:val="center"/>
          </w:tcPr>
          <w:p w14:paraId="0FD0092C" w14:textId="77777777" w:rsidR="001021CB" w:rsidRPr="00364545" w:rsidRDefault="001021CB" w:rsidP="00C44824">
            <w:pPr>
              <w:spacing w:line="259" w:lineRule="auto"/>
              <w:ind w:left="87"/>
              <w:jc w:val="center"/>
            </w:pPr>
            <w:r w:rsidRPr="00364545">
              <w:rPr>
                <w:sz w:val="18"/>
              </w:rPr>
              <w:t>2136</w:t>
            </w:r>
          </w:p>
        </w:tc>
        <w:tc>
          <w:tcPr>
            <w:tcW w:w="995" w:type="dxa"/>
            <w:tcBorders>
              <w:top w:val="single" w:sz="4" w:space="0" w:color="auto"/>
              <w:left w:val="single" w:sz="4" w:space="0" w:color="auto"/>
              <w:bottom w:val="single" w:sz="4" w:space="0" w:color="auto"/>
              <w:right w:val="single" w:sz="4" w:space="0" w:color="auto"/>
            </w:tcBorders>
            <w:vAlign w:val="center"/>
          </w:tcPr>
          <w:p w14:paraId="3AFCA3A4" w14:textId="77777777" w:rsidR="001021CB" w:rsidRPr="00364545" w:rsidRDefault="001021CB" w:rsidP="00C44824">
            <w:pPr>
              <w:spacing w:line="259" w:lineRule="auto"/>
              <w:ind w:left="87"/>
              <w:jc w:val="center"/>
            </w:pPr>
            <w:r w:rsidRPr="00364545">
              <w:rPr>
                <w:sz w:val="18"/>
              </w:rPr>
              <w:t>2175</w:t>
            </w:r>
          </w:p>
        </w:tc>
        <w:tc>
          <w:tcPr>
            <w:tcW w:w="996" w:type="dxa"/>
            <w:tcBorders>
              <w:top w:val="single" w:sz="4" w:space="0" w:color="auto"/>
              <w:left w:val="single" w:sz="4" w:space="0" w:color="auto"/>
              <w:bottom w:val="single" w:sz="4" w:space="0" w:color="auto"/>
              <w:right w:val="single" w:sz="4" w:space="0" w:color="auto"/>
            </w:tcBorders>
            <w:vAlign w:val="center"/>
          </w:tcPr>
          <w:p w14:paraId="091EAF6F" w14:textId="77777777" w:rsidR="001021CB" w:rsidRPr="00364545" w:rsidRDefault="001021CB" w:rsidP="00C44824">
            <w:pPr>
              <w:spacing w:line="259" w:lineRule="auto"/>
              <w:ind w:left="89"/>
              <w:jc w:val="center"/>
            </w:pPr>
            <w:r w:rsidRPr="00364545">
              <w:rPr>
                <w:sz w:val="18"/>
              </w:rPr>
              <w:t>2217</w:t>
            </w:r>
          </w:p>
        </w:tc>
        <w:tc>
          <w:tcPr>
            <w:tcW w:w="995" w:type="dxa"/>
            <w:tcBorders>
              <w:top w:val="single" w:sz="4" w:space="0" w:color="auto"/>
              <w:left w:val="single" w:sz="4" w:space="0" w:color="auto"/>
              <w:bottom w:val="single" w:sz="4" w:space="0" w:color="auto"/>
              <w:right w:val="single" w:sz="4" w:space="0" w:color="auto"/>
            </w:tcBorders>
            <w:vAlign w:val="center"/>
          </w:tcPr>
          <w:p w14:paraId="793CFB87" w14:textId="77777777" w:rsidR="001021CB" w:rsidRPr="00364545" w:rsidRDefault="001021CB" w:rsidP="00C44824">
            <w:pPr>
              <w:spacing w:line="259" w:lineRule="auto"/>
              <w:ind w:left="87"/>
              <w:jc w:val="center"/>
            </w:pPr>
            <w:r w:rsidRPr="00364545">
              <w:rPr>
                <w:sz w:val="18"/>
              </w:rPr>
              <w:t>2260</w:t>
            </w:r>
          </w:p>
        </w:tc>
        <w:tc>
          <w:tcPr>
            <w:tcW w:w="995" w:type="dxa"/>
            <w:tcBorders>
              <w:top w:val="single" w:sz="4" w:space="0" w:color="auto"/>
              <w:left w:val="single" w:sz="4" w:space="0" w:color="auto"/>
              <w:bottom w:val="single" w:sz="4" w:space="0" w:color="auto"/>
              <w:right w:val="single" w:sz="4" w:space="0" w:color="auto"/>
            </w:tcBorders>
            <w:vAlign w:val="center"/>
          </w:tcPr>
          <w:p w14:paraId="338A71D0" w14:textId="77777777" w:rsidR="001021CB" w:rsidRPr="00364545" w:rsidRDefault="001021CB" w:rsidP="00C44824">
            <w:pPr>
              <w:spacing w:line="259" w:lineRule="auto"/>
              <w:ind w:left="87"/>
              <w:jc w:val="center"/>
              <w:rPr>
                <w:sz w:val="18"/>
              </w:rPr>
            </w:pPr>
            <w:r w:rsidRPr="00364545">
              <w:rPr>
                <w:sz w:val="18"/>
              </w:rPr>
              <w:t>2306</w:t>
            </w:r>
          </w:p>
        </w:tc>
        <w:tc>
          <w:tcPr>
            <w:tcW w:w="995" w:type="dxa"/>
            <w:tcBorders>
              <w:top w:val="single" w:sz="4" w:space="0" w:color="auto"/>
              <w:left w:val="single" w:sz="4" w:space="0" w:color="auto"/>
              <w:bottom w:val="single" w:sz="4" w:space="0" w:color="auto"/>
              <w:right w:val="single" w:sz="4" w:space="0" w:color="auto"/>
            </w:tcBorders>
            <w:vAlign w:val="center"/>
          </w:tcPr>
          <w:p w14:paraId="613D177F" w14:textId="77777777" w:rsidR="001021CB" w:rsidRPr="00364545" w:rsidRDefault="001021CB" w:rsidP="00C44824">
            <w:pPr>
              <w:spacing w:line="259" w:lineRule="auto"/>
              <w:ind w:left="87"/>
              <w:jc w:val="center"/>
              <w:rPr>
                <w:sz w:val="18"/>
              </w:rPr>
            </w:pPr>
            <w:r w:rsidRPr="00364545">
              <w:rPr>
                <w:sz w:val="18"/>
              </w:rPr>
              <w:t>2351</w:t>
            </w:r>
          </w:p>
        </w:tc>
        <w:tc>
          <w:tcPr>
            <w:tcW w:w="996" w:type="dxa"/>
            <w:tcBorders>
              <w:top w:val="single" w:sz="4" w:space="0" w:color="auto"/>
              <w:left w:val="single" w:sz="4" w:space="0" w:color="auto"/>
              <w:bottom w:val="single" w:sz="4" w:space="0" w:color="auto"/>
              <w:right w:val="single" w:sz="4" w:space="0" w:color="auto"/>
            </w:tcBorders>
            <w:vAlign w:val="center"/>
          </w:tcPr>
          <w:p w14:paraId="7FBB424B" w14:textId="77777777" w:rsidR="001021CB" w:rsidRPr="00364545" w:rsidRDefault="001021CB" w:rsidP="00C44824">
            <w:pPr>
              <w:spacing w:line="259" w:lineRule="auto"/>
              <w:ind w:left="87"/>
              <w:jc w:val="center"/>
              <w:rPr>
                <w:sz w:val="18"/>
              </w:rPr>
            </w:pPr>
            <w:r w:rsidRPr="00364545">
              <w:rPr>
                <w:sz w:val="18"/>
              </w:rPr>
              <w:t>2397</w:t>
            </w:r>
          </w:p>
        </w:tc>
      </w:tr>
    </w:tbl>
    <w:p w14:paraId="5083215D" w14:textId="32107BF4" w:rsidR="00B94B7E" w:rsidRPr="00364545" w:rsidRDefault="00B94B7E" w:rsidP="0045532B">
      <w:pPr>
        <w:pStyle w:val="Caption"/>
      </w:pPr>
      <w:bookmarkStart w:id="545" w:name="_Toc123916530"/>
      <w:r w:rsidRPr="00364545">
        <w:t xml:space="preserve">Table </w:t>
      </w:r>
      <w:r w:rsidR="003714FB">
        <w:fldChar w:fldCharType="begin"/>
      </w:r>
      <w:r w:rsidR="003714FB">
        <w:instrText xml:space="preserve"> SEQ Tableau \* ARABIC </w:instrText>
      </w:r>
      <w:r w:rsidR="003714FB">
        <w:fldChar w:fldCharType="separate"/>
      </w:r>
      <w:r w:rsidR="009A2FAA">
        <w:rPr>
          <w:noProof/>
        </w:rPr>
        <w:t>38</w:t>
      </w:r>
      <w:r w:rsidR="003714FB">
        <w:rPr>
          <w:noProof/>
        </w:rPr>
        <w:fldChar w:fldCharType="end"/>
      </w:r>
      <w:r w:rsidRPr="00364545">
        <w:t>: Population growth assumptions for AMS 2018</w:t>
      </w:r>
      <w:bookmarkEnd w:id="545"/>
    </w:p>
    <w:p w14:paraId="00B3DAC1" w14:textId="60D46DBF" w:rsidR="001021CB" w:rsidRPr="00364545" w:rsidRDefault="001021CB" w:rsidP="0045532B">
      <w:pPr>
        <w:pStyle w:val="Caption"/>
      </w:pPr>
      <w:r w:rsidRPr="00364545">
        <w:t xml:space="preserve">Source: Insee, 2016 </w:t>
      </w:r>
    </w:p>
    <w:p w14:paraId="0EDBD1E4" w14:textId="77777777" w:rsidR="001021CB" w:rsidRPr="00364545" w:rsidRDefault="001021CB" w:rsidP="001021CB">
      <w:pPr>
        <w:spacing w:after="54" w:line="249" w:lineRule="auto"/>
        <w:ind w:left="-5" w:right="914" w:hanging="3"/>
        <w:rPr>
          <w:b/>
          <w:bCs/>
          <w:sz w:val="18"/>
          <w:szCs w:val="18"/>
        </w:rPr>
      </w:pPr>
    </w:p>
    <w:p w14:paraId="220FDF03" w14:textId="77777777" w:rsidR="001021CB" w:rsidRPr="00364545" w:rsidRDefault="001021CB" w:rsidP="001021CB">
      <w:pPr>
        <w:spacing w:after="240"/>
        <w:jc w:val="center"/>
      </w:pPr>
      <w:r w:rsidRPr="00364545">
        <w:rPr>
          <w:noProof/>
          <w:lang w:val="fr-FR"/>
        </w:rPr>
        <w:drawing>
          <wp:inline distT="0" distB="0" distL="0" distR="0" wp14:anchorId="3A6BDE95" wp14:editId="5746C98D">
            <wp:extent cx="5398770" cy="3575050"/>
            <wp:effectExtent l="0" t="0" r="11430" b="6350"/>
            <wp:docPr id="28708" name="Graphique 28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0B74762E" w14:textId="4FE8D22C" w:rsidR="00B94B7E" w:rsidRPr="00364545" w:rsidRDefault="00B94B7E" w:rsidP="0045532B">
      <w:pPr>
        <w:pStyle w:val="Caption"/>
      </w:pPr>
      <w:bookmarkStart w:id="546" w:name="_Toc123916475"/>
      <w:r w:rsidRPr="00364545">
        <w:t xml:space="preserve">Figure </w:t>
      </w:r>
      <w:r w:rsidR="003714FB">
        <w:fldChar w:fldCharType="begin"/>
      </w:r>
      <w:r w:rsidR="003714FB">
        <w:instrText xml:space="preserve"> SEQ Figure \* ARABIC </w:instrText>
      </w:r>
      <w:r w:rsidR="003714FB">
        <w:fldChar w:fldCharType="separate"/>
      </w:r>
      <w:r w:rsidR="009A2FAA">
        <w:rPr>
          <w:noProof/>
        </w:rPr>
        <w:t>64</w:t>
      </w:r>
      <w:r w:rsidR="003714FB">
        <w:rPr>
          <w:noProof/>
        </w:rPr>
        <w:fldChar w:fldCharType="end"/>
      </w:r>
      <w:r w:rsidRPr="00364545">
        <w:t>: Population growth assumption for AME 2021 and AMS 2018</w:t>
      </w:r>
      <w:bookmarkEnd w:id="546"/>
    </w:p>
    <w:p w14:paraId="3E95C882" w14:textId="6EE2BCDE" w:rsidR="001021CB" w:rsidRPr="00364545" w:rsidRDefault="001021CB" w:rsidP="0045532B">
      <w:pPr>
        <w:pStyle w:val="Caption"/>
      </w:pPr>
      <w:r w:rsidRPr="00364545">
        <w:t>Source: MTE/DGEC, INSEE</w:t>
      </w:r>
    </w:p>
    <w:p w14:paraId="133A07A2" w14:textId="77777777" w:rsidR="001021CB" w:rsidRPr="00364545" w:rsidRDefault="001021CB" w:rsidP="003F57EA">
      <w:pPr>
        <w:pStyle w:val="Titre4niveau4"/>
        <w:numPr>
          <w:ilvl w:val="2"/>
          <w:numId w:val="79"/>
        </w:numPr>
      </w:pPr>
      <w:r w:rsidRPr="00364545">
        <w:t xml:space="preserve">Assumptions on economic growth </w:t>
      </w:r>
    </w:p>
    <w:p w14:paraId="2DB2656A" w14:textId="15135E22" w:rsidR="002F7DEA" w:rsidRPr="00364545" w:rsidRDefault="001021CB" w:rsidP="001021CB">
      <w:pPr>
        <w:spacing w:before="240" w:after="240"/>
      </w:pPr>
      <w:r w:rsidRPr="00364545">
        <w:t>The economic growth assumptions are those recommended for France by the European Commission. These assumptions are also consistent with the assumptions used by the French Ministry of the Economy for long-term economic frameworks. The GDP trajectory for AME 2021 includes the impact of the Covid-19 pandemic, and assumes a rapid recovery of the economy.</w:t>
      </w:r>
    </w:p>
    <w:tbl>
      <w:tblPr>
        <w:tblStyle w:val="TableGrid0"/>
        <w:tblW w:w="9943" w:type="dxa"/>
        <w:tblInd w:w="7" w:type="dxa"/>
        <w:tblLook w:val="04A0" w:firstRow="1" w:lastRow="0" w:firstColumn="1" w:lastColumn="0" w:noHBand="0" w:noVBand="1"/>
      </w:tblPr>
      <w:tblGrid>
        <w:gridCol w:w="5367"/>
        <w:gridCol w:w="651"/>
        <w:gridCol w:w="652"/>
        <w:gridCol w:w="653"/>
        <w:gridCol w:w="655"/>
        <w:gridCol w:w="655"/>
        <w:gridCol w:w="655"/>
        <w:gridCol w:w="655"/>
      </w:tblGrid>
      <w:tr w:rsidR="002402DC" w:rsidRPr="00364545" w14:paraId="3FE529D8" w14:textId="77777777" w:rsidTr="002402DC">
        <w:trPr>
          <w:trHeight w:val="407"/>
        </w:trPr>
        <w:tc>
          <w:tcPr>
            <w:tcW w:w="5367" w:type="dxa"/>
          </w:tcPr>
          <w:p w14:paraId="1FA91ECF" w14:textId="0F72B7ED" w:rsidR="002F7DEA" w:rsidRPr="00364545" w:rsidRDefault="001021CB" w:rsidP="00E22CF8">
            <w:pPr>
              <w:pStyle w:val="titreencadre"/>
            </w:pPr>
            <w:r w:rsidRPr="00364545">
              <w:t>AMS 2018</w:t>
            </w:r>
          </w:p>
        </w:tc>
        <w:tc>
          <w:tcPr>
            <w:tcW w:w="651" w:type="dxa"/>
          </w:tcPr>
          <w:p w14:paraId="360FA186" w14:textId="01947D18" w:rsidR="001021CB" w:rsidRPr="00364545" w:rsidRDefault="001021CB" w:rsidP="00C44824">
            <w:pPr>
              <w:spacing w:line="259" w:lineRule="auto"/>
              <w:ind w:left="114"/>
              <w:jc w:val="center"/>
            </w:pPr>
          </w:p>
        </w:tc>
        <w:tc>
          <w:tcPr>
            <w:tcW w:w="652" w:type="dxa"/>
          </w:tcPr>
          <w:p w14:paraId="10B45F9C" w14:textId="3C075D56" w:rsidR="001021CB" w:rsidRPr="00364545" w:rsidRDefault="001021CB" w:rsidP="00C44824">
            <w:pPr>
              <w:spacing w:line="259" w:lineRule="auto"/>
              <w:ind w:left="115"/>
              <w:jc w:val="center"/>
            </w:pPr>
          </w:p>
        </w:tc>
        <w:tc>
          <w:tcPr>
            <w:tcW w:w="653" w:type="dxa"/>
          </w:tcPr>
          <w:p w14:paraId="72C4938C" w14:textId="10162147" w:rsidR="001021CB" w:rsidRPr="00364545" w:rsidRDefault="001021CB" w:rsidP="00C44824">
            <w:pPr>
              <w:spacing w:line="259" w:lineRule="auto"/>
              <w:ind w:left="116"/>
              <w:jc w:val="center"/>
            </w:pPr>
          </w:p>
        </w:tc>
        <w:tc>
          <w:tcPr>
            <w:tcW w:w="655" w:type="dxa"/>
          </w:tcPr>
          <w:p w14:paraId="7A5D64AE" w14:textId="61C9A6F0" w:rsidR="001021CB" w:rsidRPr="00364545" w:rsidRDefault="001021CB" w:rsidP="00C44824">
            <w:pPr>
              <w:spacing w:line="259" w:lineRule="auto"/>
              <w:ind w:left="118"/>
              <w:jc w:val="center"/>
            </w:pPr>
          </w:p>
        </w:tc>
        <w:tc>
          <w:tcPr>
            <w:tcW w:w="655" w:type="dxa"/>
          </w:tcPr>
          <w:p w14:paraId="6BEC6D1B" w14:textId="257DAFB0" w:rsidR="001021CB" w:rsidRPr="00364545" w:rsidRDefault="001021CB" w:rsidP="00C44824">
            <w:pPr>
              <w:spacing w:line="259" w:lineRule="auto"/>
              <w:ind w:left="118"/>
              <w:jc w:val="center"/>
              <w:rPr>
                <w:sz w:val="18"/>
              </w:rPr>
            </w:pPr>
          </w:p>
        </w:tc>
        <w:tc>
          <w:tcPr>
            <w:tcW w:w="655" w:type="dxa"/>
          </w:tcPr>
          <w:p w14:paraId="6822956C" w14:textId="50714C01" w:rsidR="001021CB" w:rsidRPr="00364545" w:rsidRDefault="001021CB" w:rsidP="00C44824">
            <w:pPr>
              <w:spacing w:line="259" w:lineRule="auto"/>
              <w:ind w:left="118"/>
              <w:jc w:val="center"/>
              <w:rPr>
                <w:sz w:val="18"/>
              </w:rPr>
            </w:pPr>
          </w:p>
        </w:tc>
        <w:tc>
          <w:tcPr>
            <w:tcW w:w="655" w:type="dxa"/>
          </w:tcPr>
          <w:p w14:paraId="11CB50BD" w14:textId="740DCCA8" w:rsidR="001021CB" w:rsidRPr="00364545" w:rsidRDefault="001021CB" w:rsidP="00C44824">
            <w:pPr>
              <w:spacing w:line="259" w:lineRule="auto"/>
              <w:ind w:left="118"/>
              <w:jc w:val="center"/>
              <w:rPr>
                <w:sz w:val="18"/>
              </w:rPr>
            </w:pPr>
          </w:p>
        </w:tc>
      </w:tr>
      <w:tr w:rsidR="001021CB" w:rsidRPr="00364545" w14:paraId="15AEFCCD" w14:textId="77777777" w:rsidTr="002402DC">
        <w:tblPrEx>
          <w:tblCellMar>
            <w:top w:w="37" w:type="dxa"/>
            <w:right w:w="115" w:type="dxa"/>
          </w:tblCellMar>
        </w:tblPrEx>
        <w:trPr>
          <w:trHeight w:val="389"/>
        </w:trPr>
        <w:tc>
          <w:tcPr>
            <w:tcW w:w="5367" w:type="dxa"/>
            <w:tcBorders>
              <w:top w:val="single" w:sz="2" w:space="0" w:color="000000"/>
              <w:left w:val="single" w:sz="2" w:space="0" w:color="000000"/>
              <w:bottom w:val="single" w:sz="2" w:space="0" w:color="000000"/>
              <w:right w:val="single" w:sz="2" w:space="0" w:color="000000"/>
            </w:tcBorders>
            <w:shd w:val="clear" w:color="auto" w:fill="6D2A78"/>
          </w:tcPr>
          <w:p w14:paraId="55830C5F" w14:textId="77777777" w:rsidR="001021CB" w:rsidRPr="00364545" w:rsidRDefault="001021CB" w:rsidP="00C44824">
            <w:pPr>
              <w:spacing w:line="259" w:lineRule="auto"/>
              <w:ind w:left="28"/>
            </w:pPr>
            <w:r w:rsidRPr="00364545">
              <w:rPr>
                <w:b/>
                <w:color w:val="FFFFFF"/>
                <w:sz w:val="18"/>
              </w:rPr>
              <w:t>Average annual GDP growth rate</w:t>
            </w:r>
          </w:p>
        </w:tc>
        <w:tc>
          <w:tcPr>
            <w:tcW w:w="651" w:type="dxa"/>
            <w:tcBorders>
              <w:top w:val="single" w:sz="2" w:space="0" w:color="000000"/>
              <w:left w:val="single" w:sz="2" w:space="0" w:color="000000"/>
              <w:bottom w:val="single" w:sz="2" w:space="0" w:color="000000"/>
              <w:right w:val="single" w:sz="2" w:space="0" w:color="000000"/>
            </w:tcBorders>
            <w:shd w:val="clear" w:color="auto" w:fill="6D2A78"/>
          </w:tcPr>
          <w:p w14:paraId="1F7E8E9A" w14:textId="77777777" w:rsidR="001021CB" w:rsidRPr="00364545" w:rsidRDefault="001021CB" w:rsidP="00C44824">
            <w:pPr>
              <w:spacing w:line="259" w:lineRule="auto"/>
              <w:ind w:left="116"/>
              <w:jc w:val="center"/>
            </w:pPr>
            <w:r w:rsidRPr="00364545">
              <w:rPr>
                <w:b/>
                <w:color w:val="FFFFFF"/>
                <w:sz w:val="18"/>
              </w:rPr>
              <w:t xml:space="preserve">2015-2020 </w:t>
            </w:r>
          </w:p>
        </w:tc>
        <w:tc>
          <w:tcPr>
            <w:tcW w:w="652" w:type="dxa"/>
            <w:tcBorders>
              <w:top w:val="single" w:sz="2" w:space="0" w:color="000000"/>
              <w:left w:val="single" w:sz="2" w:space="0" w:color="000000"/>
              <w:bottom w:val="single" w:sz="2" w:space="0" w:color="000000"/>
              <w:right w:val="single" w:sz="2" w:space="0" w:color="000000"/>
            </w:tcBorders>
            <w:shd w:val="clear" w:color="auto" w:fill="6D2A78"/>
          </w:tcPr>
          <w:p w14:paraId="5531679C" w14:textId="77777777" w:rsidR="001021CB" w:rsidRPr="00364545" w:rsidRDefault="001021CB" w:rsidP="00C44824">
            <w:pPr>
              <w:spacing w:line="259" w:lineRule="auto"/>
              <w:ind w:left="117"/>
              <w:jc w:val="center"/>
            </w:pPr>
            <w:r w:rsidRPr="00364545">
              <w:rPr>
                <w:b/>
                <w:color w:val="FFFFFF"/>
                <w:sz w:val="18"/>
              </w:rPr>
              <w:t xml:space="preserve">2020-2025 </w:t>
            </w:r>
          </w:p>
        </w:tc>
        <w:tc>
          <w:tcPr>
            <w:tcW w:w="653" w:type="dxa"/>
            <w:tcBorders>
              <w:top w:val="single" w:sz="2" w:space="0" w:color="000000"/>
              <w:left w:val="single" w:sz="2" w:space="0" w:color="000000"/>
              <w:bottom w:val="single" w:sz="2" w:space="0" w:color="000000"/>
              <w:right w:val="single" w:sz="2" w:space="0" w:color="000000"/>
            </w:tcBorders>
            <w:shd w:val="clear" w:color="auto" w:fill="6D2A78"/>
          </w:tcPr>
          <w:p w14:paraId="6360B851" w14:textId="77777777" w:rsidR="001021CB" w:rsidRPr="00364545" w:rsidRDefault="001021CB" w:rsidP="00C44824">
            <w:pPr>
              <w:spacing w:line="259" w:lineRule="auto"/>
              <w:ind w:left="118"/>
              <w:jc w:val="center"/>
            </w:pPr>
            <w:r w:rsidRPr="00364545">
              <w:rPr>
                <w:b/>
                <w:color w:val="FFFFFF"/>
                <w:sz w:val="18"/>
              </w:rPr>
              <w:t xml:space="preserve">2025-2030 </w:t>
            </w:r>
          </w:p>
        </w:tc>
        <w:tc>
          <w:tcPr>
            <w:tcW w:w="655" w:type="dxa"/>
            <w:tcBorders>
              <w:top w:val="single" w:sz="2" w:space="0" w:color="000000"/>
              <w:left w:val="single" w:sz="2" w:space="0" w:color="000000"/>
              <w:bottom w:val="single" w:sz="2" w:space="0" w:color="000000"/>
              <w:right w:val="single" w:sz="2" w:space="0" w:color="000000"/>
            </w:tcBorders>
            <w:shd w:val="clear" w:color="auto" w:fill="6D2A78"/>
          </w:tcPr>
          <w:p w14:paraId="108BE3CE" w14:textId="77777777" w:rsidR="001021CB" w:rsidRPr="00364545" w:rsidRDefault="001021CB" w:rsidP="00C44824">
            <w:pPr>
              <w:spacing w:line="259" w:lineRule="auto"/>
              <w:ind w:left="120"/>
              <w:jc w:val="center"/>
            </w:pPr>
            <w:r w:rsidRPr="00364545">
              <w:rPr>
                <w:b/>
                <w:color w:val="FFFFFF"/>
                <w:sz w:val="18"/>
              </w:rPr>
              <w:t xml:space="preserve">2030-2035 </w:t>
            </w:r>
          </w:p>
        </w:tc>
        <w:tc>
          <w:tcPr>
            <w:tcW w:w="655" w:type="dxa"/>
            <w:tcBorders>
              <w:top w:val="single" w:sz="2" w:space="0" w:color="000000"/>
              <w:left w:val="single" w:sz="2" w:space="0" w:color="000000"/>
              <w:bottom w:val="single" w:sz="2" w:space="0" w:color="000000"/>
              <w:right w:val="single" w:sz="2" w:space="0" w:color="000000"/>
            </w:tcBorders>
            <w:shd w:val="clear" w:color="auto" w:fill="6D2A78"/>
          </w:tcPr>
          <w:p w14:paraId="61AF0A49" w14:textId="77777777" w:rsidR="001021CB" w:rsidRPr="00364545" w:rsidRDefault="001021CB" w:rsidP="00C44824">
            <w:pPr>
              <w:spacing w:line="259" w:lineRule="auto"/>
              <w:ind w:left="120"/>
              <w:jc w:val="center"/>
              <w:rPr>
                <w:b/>
                <w:color w:val="FFFFFF"/>
                <w:sz w:val="18"/>
              </w:rPr>
            </w:pPr>
            <w:r w:rsidRPr="00364545">
              <w:rPr>
                <w:b/>
                <w:color w:val="FFFFFF"/>
                <w:sz w:val="18"/>
              </w:rPr>
              <w:t>2035-2040</w:t>
            </w:r>
          </w:p>
        </w:tc>
        <w:tc>
          <w:tcPr>
            <w:tcW w:w="655" w:type="dxa"/>
            <w:tcBorders>
              <w:top w:val="single" w:sz="2" w:space="0" w:color="000000"/>
              <w:left w:val="single" w:sz="2" w:space="0" w:color="000000"/>
              <w:bottom w:val="single" w:sz="2" w:space="0" w:color="000000"/>
              <w:right w:val="single" w:sz="2" w:space="0" w:color="000000"/>
            </w:tcBorders>
            <w:shd w:val="clear" w:color="auto" w:fill="6D2A78"/>
          </w:tcPr>
          <w:p w14:paraId="132A720E" w14:textId="77777777" w:rsidR="001021CB" w:rsidRPr="00364545" w:rsidRDefault="001021CB" w:rsidP="00C44824">
            <w:pPr>
              <w:spacing w:line="259" w:lineRule="auto"/>
              <w:ind w:left="120"/>
              <w:jc w:val="center"/>
              <w:rPr>
                <w:b/>
                <w:color w:val="FFFFFF"/>
                <w:sz w:val="18"/>
              </w:rPr>
            </w:pPr>
            <w:r w:rsidRPr="00364545">
              <w:rPr>
                <w:b/>
                <w:color w:val="FFFFFF"/>
                <w:sz w:val="18"/>
              </w:rPr>
              <w:t>2040-2045</w:t>
            </w:r>
          </w:p>
        </w:tc>
        <w:tc>
          <w:tcPr>
            <w:tcW w:w="655" w:type="dxa"/>
            <w:tcBorders>
              <w:top w:val="single" w:sz="2" w:space="0" w:color="000000"/>
              <w:left w:val="single" w:sz="2" w:space="0" w:color="000000"/>
              <w:bottom w:val="single" w:sz="2" w:space="0" w:color="000000"/>
              <w:right w:val="single" w:sz="2" w:space="0" w:color="000000"/>
            </w:tcBorders>
            <w:shd w:val="clear" w:color="auto" w:fill="6D2A78"/>
          </w:tcPr>
          <w:p w14:paraId="5E664D43" w14:textId="77777777" w:rsidR="001021CB" w:rsidRPr="00364545" w:rsidRDefault="001021CB" w:rsidP="00C44824">
            <w:pPr>
              <w:spacing w:line="259" w:lineRule="auto"/>
              <w:ind w:left="120"/>
              <w:jc w:val="center"/>
              <w:rPr>
                <w:b/>
                <w:color w:val="FFFFFF"/>
                <w:sz w:val="18"/>
              </w:rPr>
            </w:pPr>
            <w:r w:rsidRPr="00364545">
              <w:rPr>
                <w:b/>
                <w:color w:val="FFFFFF"/>
                <w:sz w:val="18"/>
              </w:rPr>
              <w:t>2045-2050</w:t>
            </w:r>
          </w:p>
        </w:tc>
      </w:tr>
      <w:tr w:rsidR="002402DC" w:rsidRPr="00364545" w14:paraId="50B574EA" w14:textId="77777777" w:rsidTr="002402DC">
        <w:tblPrEx>
          <w:tblCellMar>
            <w:top w:w="37" w:type="dxa"/>
            <w:right w:w="115" w:type="dxa"/>
          </w:tblCellMar>
        </w:tblPrEx>
        <w:trPr>
          <w:trHeight w:val="407"/>
        </w:trPr>
        <w:tc>
          <w:tcPr>
            <w:tcW w:w="5367" w:type="dxa"/>
            <w:tcBorders>
              <w:top w:val="single" w:sz="2" w:space="0" w:color="000000"/>
              <w:left w:val="single" w:sz="2" w:space="0" w:color="000000"/>
              <w:bottom w:val="single" w:sz="2" w:space="0" w:color="000000"/>
              <w:right w:val="single" w:sz="2" w:space="0" w:color="000000"/>
            </w:tcBorders>
          </w:tcPr>
          <w:p w14:paraId="752508CE" w14:textId="77777777" w:rsidR="001021CB" w:rsidRPr="00364545" w:rsidRDefault="001021CB" w:rsidP="00C44824">
            <w:pPr>
              <w:spacing w:line="259" w:lineRule="auto"/>
              <w:ind w:left="28"/>
            </w:pPr>
            <w:r w:rsidRPr="00364545">
              <w:rPr>
                <w:sz w:val="18"/>
              </w:rPr>
              <w:t>AMS 2018</w:t>
            </w:r>
          </w:p>
        </w:tc>
        <w:tc>
          <w:tcPr>
            <w:tcW w:w="651" w:type="dxa"/>
            <w:tcBorders>
              <w:top w:val="single" w:sz="2" w:space="0" w:color="000000"/>
              <w:left w:val="single" w:sz="2" w:space="0" w:color="000000"/>
              <w:bottom w:val="single" w:sz="2" w:space="0" w:color="000000"/>
              <w:right w:val="single" w:sz="2" w:space="0" w:color="000000"/>
            </w:tcBorders>
          </w:tcPr>
          <w:p w14:paraId="28CFB9DA" w14:textId="77777777" w:rsidR="001021CB" w:rsidRPr="00364545" w:rsidRDefault="001021CB" w:rsidP="00C44824">
            <w:pPr>
              <w:spacing w:line="259" w:lineRule="auto"/>
              <w:ind w:left="114"/>
              <w:jc w:val="center"/>
            </w:pPr>
            <w:r w:rsidRPr="00364545">
              <w:rPr>
                <w:sz w:val="18"/>
              </w:rPr>
              <w:t xml:space="preserve">1.6 </w:t>
            </w:r>
          </w:p>
        </w:tc>
        <w:tc>
          <w:tcPr>
            <w:tcW w:w="652" w:type="dxa"/>
            <w:tcBorders>
              <w:top w:val="single" w:sz="2" w:space="0" w:color="000000"/>
              <w:left w:val="single" w:sz="2" w:space="0" w:color="000000"/>
              <w:bottom w:val="single" w:sz="2" w:space="0" w:color="000000"/>
              <w:right w:val="single" w:sz="2" w:space="0" w:color="000000"/>
            </w:tcBorders>
          </w:tcPr>
          <w:p w14:paraId="4419B324" w14:textId="77777777" w:rsidR="001021CB" w:rsidRPr="00364545" w:rsidRDefault="001021CB" w:rsidP="00C44824">
            <w:pPr>
              <w:spacing w:line="259" w:lineRule="auto"/>
              <w:ind w:left="115"/>
              <w:jc w:val="center"/>
            </w:pPr>
            <w:r w:rsidRPr="00364545">
              <w:rPr>
                <w:sz w:val="18"/>
              </w:rPr>
              <w:t xml:space="preserve">1.3 </w:t>
            </w:r>
          </w:p>
        </w:tc>
        <w:tc>
          <w:tcPr>
            <w:tcW w:w="653" w:type="dxa"/>
            <w:tcBorders>
              <w:top w:val="single" w:sz="2" w:space="0" w:color="000000"/>
              <w:left w:val="single" w:sz="2" w:space="0" w:color="000000"/>
              <w:bottom w:val="single" w:sz="2" w:space="0" w:color="000000"/>
              <w:right w:val="single" w:sz="2" w:space="0" w:color="000000"/>
            </w:tcBorders>
          </w:tcPr>
          <w:p w14:paraId="28FA48D7" w14:textId="77777777" w:rsidR="001021CB" w:rsidRPr="00364545" w:rsidRDefault="001021CB" w:rsidP="00C44824">
            <w:pPr>
              <w:spacing w:line="259" w:lineRule="auto"/>
              <w:ind w:left="116"/>
              <w:jc w:val="center"/>
            </w:pPr>
            <w:r w:rsidRPr="00364545">
              <w:rPr>
                <w:sz w:val="18"/>
              </w:rPr>
              <w:t xml:space="preserve">1.4 </w:t>
            </w:r>
          </w:p>
        </w:tc>
        <w:tc>
          <w:tcPr>
            <w:tcW w:w="655" w:type="dxa"/>
            <w:tcBorders>
              <w:top w:val="single" w:sz="2" w:space="0" w:color="000000"/>
              <w:left w:val="single" w:sz="2" w:space="0" w:color="000000"/>
              <w:bottom w:val="single" w:sz="2" w:space="0" w:color="000000"/>
              <w:right w:val="single" w:sz="2" w:space="0" w:color="000000"/>
            </w:tcBorders>
          </w:tcPr>
          <w:p w14:paraId="24C93500" w14:textId="77777777" w:rsidR="001021CB" w:rsidRPr="00364545" w:rsidRDefault="001021CB" w:rsidP="00C44824">
            <w:pPr>
              <w:spacing w:line="259" w:lineRule="auto"/>
              <w:ind w:left="118"/>
              <w:jc w:val="center"/>
            </w:pPr>
            <w:r w:rsidRPr="00364545">
              <w:rPr>
                <w:sz w:val="18"/>
              </w:rPr>
              <w:t xml:space="preserve">1.7 </w:t>
            </w:r>
          </w:p>
        </w:tc>
        <w:tc>
          <w:tcPr>
            <w:tcW w:w="655" w:type="dxa"/>
            <w:tcBorders>
              <w:top w:val="single" w:sz="2" w:space="0" w:color="000000"/>
              <w:left w:val="single" w:sz="2" w:space="0" w:color="000000"/>
              <w:bottom w:val="single" w:sz="2" w:space="0" w:color="000000"/>
              <w:right w:val="single" w:sz="2" w:space="0" w:color="000000"/>
            </w:tcBorders>
          </w:tcPr>
          <w:p w14:paraId="5603131F" w14:textId="77777777" w:rsidR="001021CB" w:rsidRPr="00364545" w:rsidRDefault="001021CB" w:rsidP="00C44824">
            <w:pPr>
              <w:spacing w:line="259" w:lineRule="auto"/>
              <w:ind w:left="118"/>
              <w:jc w:val="center"/>
              <w:rPr>
                <w:sz w:val="18"/>
              </w:rPr>
            </w:pPr>
            <w:r w:rsidRPr="00364545">
              <w:rPr>
                <w:sz w:val="18"/>
              </w:rPr>
              <w:t>1.7</w:t>
            </w:r>
          </w:p>
        </w:tc>
        <w:tc>
          <w:tcPr>
            <w:tcW w:w="655" w:type="dxa"/>
            <w:tcBorders>
              <w:top w:val="single" w:sz="2" w:space="0" w:color="000000"/>
              <w:left w:val="single" w:sz="2" w:space="0" w:color="000000"/>
              <w:bottom w:val="single" w:sz="2" w:space="0" w:color="000000"/>
              <w:right w:val="single" w:sz="2" w:space="0" w:color="000000"/>
            </w:tcBorders>
          </w:tcPr>
          <w:p w14:paraId="4F016919" w14:textId="77777777" w:rsidR="001021CB" w:rsidRPr="00364545" w:rsidRDefault="001021CB" w:rsidP="00C44824">
            <w:pPr>
              <w:spacing w:line="259" w:lineRule="auto"/>
              <w:ind w:left="118"/>
              <w:jc w:val="center"/>
              <w:rPr>
                <w:sz w:val="18"/>
              </w:rPr>
            </w:pPr>
            <w:r w:rsidRPr="00364545">
              <w:rPr>
                <w:sz w:val="18"/>
              </w:rPr>
              <w:t>1.7</w:t>
            </w:r>
          </w:p>
        </w:tc>
        <w:tc>
          <w:tcPr>
            <w:tcW w:w="655" w:type="dxa"/>
            <w:tcBorders>
              <w:top w:val="single" w:sz="2" w:space="0" w:color="000000"/>
              <w:left w:val="single" w:sz="2" w:space="0" w:color="000000"/>
              <w:bottom w:val="single" w:sz="2" w:space="0" w:color="000000"/>
              <w:right w:val="single" w:sz="2" w:space="0" w:color="000000"/>
            </w:tcBorders>
          </w:tcPr>
          <w:p w14:paraId="0429BFF3" w14:textId="77777777" w:rsidR="001021CB" w:rsidRPr="00364545" w:rsidRDefault="001021CB" w:rsidP="00C44824">
            <w:pPr>
              <w:spacing w:line="259" w:lineRule="auto"/>
              <w:ind w:left="118"/>
              <w:jc w:val="center"/>
              <w:rPr>
                <w:sz w:val="18"/>
              </w:rPr>
            </w:pPr>
            <w:r w:rsidRPr="00364545">
              <w:rPr>
                <w:sz w:val="18"/>
              </w:rPr>
              <w:t>1.7</w:t>
            </w:r>
          </w:p>
        </w:tc>
      </w:tr>
      <w:tr w:rsidR="00F36447" w:rsidRPr="00364545" w14:paraId="7B2FDF01" w14:textId="77777777" w:rsidTr="002402DC">
        <w:tblPrEx>
          <w:tblCellMar>
            <w:top w:w="37" w:type="dxa"/>
            <w:right w:w="115" w:type="dxa"/>
          </w:tblCellMar>
        </w:tblPrEx>
        <w:trPr>
          <w:trHeight w:val="407"/>
        </w:trPr>
        <w:tc>
          <w:tcPr>
            <w:tcW w:w="5367" w:type="dxa"/>
            <w:tcBorders>
              <w:top w:val="single" w:sz="2" w:space="0" w:color="000000"/>
              <w:left w:val="single" w:sz="2" w:space="0" w:color="000000"/>
              <w:bottom w:val="single" w:sz="2" w:space="0" w:color="000000"/>
              <w:right w:val="single" w:sz="2" w:space="0" w:color="000000"/>
            </w:tcBorders>
          </w:tcPr>
          <w:p w14:paraId="18C816EF" w14:textId="0685348C" w:rsidR="00F36447" w:rsidRPr="00364545" w:rsidRDefault="00F36447" w:rsidP="00F36447">
            <w:pPr>
              <w:spacing w:line="259" w:lineRule="auto"/>
              <w:ind w:left="28"/>
              <w:rPr>
                <w:sz w:val="18"/>
              </w:rPr>
            </w:pPr>
            <w:r w:rsidRPr="00364545">
              <w:rPr>
                <w:sz w:val="18"/>
              </w:rPr>
              <w:t>AME 2021</w:t>
            </w:r>
          </w:p>
        </w:tc>
        <w:tc>
          <w:tcPr>
            <w:tcW w:w="651" w:type="dxa"/>
            <w:tcBorders>
              <w:top w:val="single" w:sz="2" w:space="0" w:color="000000"/>
              <w:left w:val="single" w:sz="2" w:space="0" w:color="000000"/>
              <w:bottom w:val="single" w:sz="2" w:space="0" w:color="000000"/>
              <w:right w:val="single" w:sz="2" w:space="0" w:color="000000"/>
            </w:tcBorders>
          </w:tcPr>
          <w:p w14:paraId="4F248752" w14:textId="3CA38B4A" w:rsidR="00F36447" w:rsidRPr="00364545" w:rsidRDefault="00F36447" w:rsidP="00F36447">
            <w:pPr>
              <w:spacing w:line="259" w:lineRule="auto"/>
              <w:ind w:left="114"/>
              <w:jc w:val="center"/>
              <w:rPr>
                <w:sz w:val="18"/>
              </w:rPr>
            </w:pPr>
            <w:r w:rsidRPr="00364545">
              <w:rPr>
                <w:sz w:val="18"/>
              </w:rPr>
              <w:t xml:space="preserve">1.31 </w:t>
            </w:r>
          </w:p>
        </w:tc>
        <w:tc>
          <w:tcPr>
            <w:tcW w:w="652" w:type="dxa"/>
            <w:tcBorders>
              <w:top w:val="single" w:sz="2" w:space="0" w:color="000000"/>
              <w:left w:val="single" w:sz="2" w:space="0" w:color="000000"/>
              <w:bottom w:val="single" w:sz="2" w:space="0" w:color="000000"/>
              <w:right w:val="single" w:sz="2" w:space="0" w:color="000000"/>
            </w:tcBorders>
          </w:tcPr>
          <w:p w14:paraId="47682CFB" w14:textId="6923617C" w:rsidR="00F36447" w:rsidRPr="00364545" w:rsidRDefault="00F36447" w:rsidP="00F36447">
            <w:pPr>
              <w:spacing w:line="259" w:lineRule="auto"/>
              <w:ind w:left="115"/>
              <w:jc w:val="center"/>
              <w:rPr>
                <w:sz w:val="18"/>
              </w:rPr>
            </w:pPr>
            <w:r w:rsidRPr="00364545">
              <w:rPr>
                <w:sz w:val="18"/>
              </w:rPr>
              <w:t xml:space="preserve">-8.25 </w:t>
            </w:r>
          </w:p>
        </w:tc>
        <w:tc>
          <w:tcPr>
            <w:tcW w:w="653" w:type="dxa"/>
            <w:tcBorders>
              <w:top w:val="single" w:sz="2" w:space="0" w:color="000000"/>
              <w:left w:val="single" w:sz="2" w:space="0" w:color="000000"/>
              <w:bottom w:val="single" w:sz="2" w:space="0" w:color="000000"/>
              <w:right w:val="single" w:sz="2" w:space="0" w:color="000000"/>
            </w:tcBorders>
          </w:tcPr>
          <w:p w14:paraId="02926B02" w14:textId="0D5FB674" w:rsidR="00F36447" w:rsidRPr="00364545" w:rsidRDefault="00F36447" w:rsidP="00F36447">
            <w:pPr>
              <w:spacing w:line="259" w:lineRule="auto"/>
              <w:ind w:left="116"/>
              <w:jc w:val="center"/>
              <w:rPr>
                <w:sz w:val="18"/>
              </w:rPr>
            </w:pPr>
            <w:r w:rsidRPr="00364545">
              <w:rPr>
                <w:sz w:val="18"/>
              </w:rPr>
              <w:t xml:space="preserve">7.4 </w:t>
            </w:r>
          </w:p>
        </w:tc>
        <w:tc>
          <w:tcPr>
            <w:tcW w:w="655" w:type="dxa"/>
            <w:tcBorders>
              <w:top w:val="single" w:sz="2" w:space="0" w:color="000000"/>
              <w:left w:val="single" w:sz="2" w:space="0" w:color="000000"/>
              <w:bottom w:val="single" w:sz="2" w:space="0" w:color="000000"/>
              <w:right w:val="single" w:sz="2" w:space="0" w:color="000000"/>
            </w:tcBorders>
          </w:tcPr>
          <w:p w14:paraId="461FECB0" w14:textId="2BE742E7" w:rsidR="00F36447" w:rsidRPr="00364545" w:rsidRDefault="00F36447" w:rsidP="00F36447">
            <w:pPr>
              <w:spacing w:line="259" w:lineRule="auto"/>
              <w:ind w:left="118"/>
              <w:jc w:val="center"/>
              <w:rPr>
                <w:sz w:val="18"/>
              </w:rPr>
            </w:pPr>
            <w:r w:rsidRPr="00364545">
              <w:rPr>
                <w:sz w:val="18"/>
              </w:rPr>
              <w:t>1.77</w:t>
            </w:r>
          </w:p>
        </w:tc>
        <w:tc>
          <w:tcPr>
            <w:tcW w:w="655" w:type="dxa"/>
            <w:tcBorders>
              <w:top w:val="single" w:sz="2" w:space="0" w:color="000000"/>
              <w:left w:val="single" w:sz="2" w:space="0" w:color="000000"/>
              <w:bottom w:val="single" w:sz="2" w:space="0" w:color="000000"/>
              <w:right w:val="single" w:sz="2" w:space="0" w:color="000000"/>
            </w:tcBorders>
          </w:tcPr>
          <w:p w14:paraId="51C80849" w14:textId="61FE6BB0" w:rsidR="00F36447" w:rsidRPr="00364545" w:rsidRDefault="00F36447" w:rsidP="00F36447">
            <w:pPr>
              <w:spacing w:line="259" w:lineRule="auto"/>
              <w:ind w:left="118"/>
              <w:jc w:val="center"/>
              <w:rPr>
                <w:sz w:val="18"/>
              </w:rPr>
            </w:pPr>
            <w:r w:rsidRPr="00364545">
              <w:rPr>
                <w:sz w:val="18"/>
              </w:rPr>
              <w:t>0.87</w:t>
            </w:r>
          </w:p>
        </w:tc>
        <w:tc>
          <w:tcPr>
            <w:tcW w:w="655" w:type="dxa"/>
            <w:tcBorders>
              <w:top w:val="single" w:sz="2" w:space="0" w:color="000000"/>
              <w:left w:val="single" w:sz="2" w:space="0" w:color="000000"/>
              <w:bottom w:val="single" w:sz="2" w:space="0" w:color="000000"/>
              <w:right w:val="single" w:sz="2" w:space="0" w:color="000000"/>
            </w:tcBorders>
          </w:tcPr>
          <w:p w14:paraId="01F2BC07" w14:textId="78761B9F" w:rsidR="00F36447" w:rsidRPr="00364545" w:rsidRDefault="00F36447" w:rsidP="00F36447">
            <w:pPr>
              <w:spacing w:line="259" w:lineRule="auto"/>
              <w:ind w:left="118"/>
              <w:jc w:val="center"/>
              <w:rPr>
                <w:sz w:val="18"/>
              </w:rPr>
            </w:pPr>
            <w:r w:rsidRPr="00364545">
              <w:rPr>
                <w:sz w:val="18"/>
              </w:rPr>
              <w:t>1.33</w:t>
            </w:r>
          </w:p>
        </w:tc>
        <w:tc>
          <w:tcPr>
            <w:tcW w:w="655" w:type="dxa"/>
            <w:tcBorders>
              <w:top w:val="single" w:sz="2" w:space="0" w:color="000000"/>
              <w:left w:val="single" w:sz="2" w:space="0" w:color="000000"/>
              <w:bottom w:val="single" w:sz="2" w:space="0" w:color="000000"/>
              <w:right w:val="single" w:sz="2" w:space="0" w:color="000000"/>
            </w:tcBorders>
          </w:tcPr>
          <w:p w14:paraId="58241469" w14:textId="660E970C" w:rsidR="00F36447" w:rsidRPr="00364545" w:rsidRDefault="00F36447" w:rsidP="00F36447">
            <w:pPr>
              <w:spacing w:line="259" w:lineRule="auto"/>
              <w:ind w:left="118"/>
              <w:jc w:val="center"/>
              <w:rPr>
                <w:sz w:val="18"/>
              </w:rPr>
            </w:pPr>
            <w:r w:rsidRPr="00364545">
              <w:rPr>
                <w:sz w:val="18"/>
              </w:rPr>
              <w:t>1.63</w:t>
            </w:r>
          </w:p>
        </w:tc>
      </w:tr>
    </w:tbl>
    <w:p w14:paraId="642ADE1B" w14:textId="19B67915" w:rsidR="002402DC" w:rsidRPr="00364545" w:rsidRDefault="002402DC" w:rsidP="0045532B">
      <w:pPr>
        <w:pStyle w:val="Caption"/>
      </w:pPr>
      <w:bookmarkStart w:id="547" w:name="_Toc123916531"/>
      <w:r w:rsidRPr="00364545">
        <w:t xml:space="preserve">Table </w:t>
      </w:r>
      <w:r w:rsidR="003714FB">
        <w:fldChar w:fldCharType="begin"/>
      </w:r>
      <w:r w:rsidR="003714FB">
        <w:instrText xml:space="preserve"> SEQ Tableau \* ARABIC </w:instrText>
      </w:r>
      <w:r w:rsidR="003714FB">
        <w:fldChar w:fldCharType="separate"/>
      </w:r>
      <w:r w:rsidR="009A2FAA">
        <w:rPr>
          <w:noProof/>
        </w:rPr>
        <w:t>39</w:t>
      </w:r>
      <w:r w:rsidR="003714FB">
        <w:rPr>
          <w:noProof/>
        </w:rPr>
        <w:fldChar w:fldCharType="end"/>
      </w:r>
      <w:r w:rsidRPr="00364545">
        <w:t>: GDP growth assumptions</w:t>
      </w:r>
      <w:bookmarkEnd w:id="547"/>
      <w:r w:rsidRPr="00364545">
        <w:t xml:space="preserve"> </w:t>
      </w:r>
    </w:p>
    <w:p w14:paraId="4DF51BD9" w14:textId="73BA4048" w:rsidR="002402DC" w:rsidRPr="00364545" w:rsidRDefault="002402DC" w:rsidP="00AE5863">
      <w:pPr>
        <w:pStyle w:val="Caption"/>
        <w:rPr>
          <w:color w:val="auto"/>
          <w:sz w:val="21"/>
        </w:rPr>
      </w:pPr>
      <w:r w:rsidRPr="00364545">
        <w:t xml:space="preserve">Source: EU economic framework for France </w:t>
      </w:r>
    </w:p>
    <w:p w14:paraId="4797ACD7" w14:textId="77777777" w:rsidR="002402DC" w:rsidRPr="00364545" w:rsidRDefault="002402DC" w:rsidP="00EF6DB6">
      <w:pPr>
        <w:pStyle w:val="Titre4niveau4"/>
      </w:pPr>
      <w:r w:rsidRPr="00364545">
        <w:t>Assumptions on industrial production</w:t>
      </w:r>
    </w:p>
    <w:p w14:paraId="20CE89C0" w14:textId="77777777" w:rsidR="002402DC" w:rsidRPr="00364545" w:rsidRDefault="002402DC" w:rsidP="002402DC">
      <w:pPr>
        <w:spacing w:after="43" w:line="259" w:lineRule="auto"/>
        <w:ind w:left="-1"/>
      </w:pPr>
      <w:r w:rsidRPr="00364545">
        <w:t>Industrial value added has been indexed to GDP up to 2025 to reflect the impact of the pandemic, and then follows the AMS 2018 trajectory thereafter (AME 2018 trajectory, with strong growth up to 2030 and then a marked slowdown, was deemed obsolete). The AME 21 trajectory is also broadly in line with that included in the European Commission’s baseline scenario (‘EC ref’), although more dynamic between 2025 and 2040.</w:t>
      </w:r>
    </w:p>
    <w:p w14:paraId="791B13DB" w14:textId="77777777" w:rsidR="002402DC" w:rsidRPr="00364545" w:rsidRDefault="002402DC" w:rsidP="001021CB"/>
    <w:p w14:paraId="406CE384" w14:textId="60D8F8B2" w:rsidR="002402DC" w:rsidRPr="00364545" w:rsidRDefault="002402DC" w:rsidP="007E2D6F">
      <w:pPr>
        <w:jc w:val="center"/>
      </w:pPr>
      <w:r w:rsidRPr="00364545">
        <w:rPr>
          <w:noProof/>
          <w:lang w:val="fr-FR"/>
        </w:rPr>
        <w:drawing>
          <wp:inline distT="0" distB="0" distL="0" distR="0" wp14:anchorId="54A76DDF" wp14:editId="362EDD1A">
            <wp:extent cx="4593981" cy="3143738"/>
            <wp:effectExtent l="0" t="0" r="16510" b="0"/>
            <wp:docPr id="28710" name="Graphique 287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769A13B" w14:textId="77777777" w:rsidR="002402DC" w:rsidRPr="00364545" w:rsidRDefault="002402DC" w:rsidP="001021CB"/>
    <w:tbl>
      <w:tblPr>
        <w:tblStyle w:val="TableGrid0"/>
        <w:tblW w:w="9943" w:type="dxa"/>
        <w:tblInd w:w="7" w:type="dxa"/>
        <w:tblCellMar>
          <w:top w:w="37" w:type="dxa"/>
          <w:right w:w="115" w:type="dxa"/>
        </w:tblCellMar>
        <w:tblLook w:val="04A0" w:firstRow="1" w:lastRow="0" w:firstColumn="1" w:lastColumn="0" w:noHBand="0" w:noVBand="1"/>
      </w:tblPr>
      <w:tblGrid>
        <w:gridCol w:w="5358"/>
        <w:gridCol w:w="685"/>
        <w:gridCol w:w="652"/>
        <w:gridCol w:w="648"/>
        <w:gridCol w:w="650"/>
        <w:gridCol w:w="650"/>
        <w:gridCol w:w="650"/>
        <w:gridCol w:w="650"/>
      </w:tblGrid>
      <w:tr w:rsidR="002402DC" w:rsidRPr="00364545" w14:paraId="664DC602" w14:textId="77777777" w:rsidTr="00C44824">
        <w:trPr>
          <w:trHeight w:val="378"/>
        </w:trPr>
        <w:tc>
          <w:tcPr>
            <w:tcW w:w="6163" w:type="dxa"/>
            <w:tcBorders>
              <w:top w:val="single" w:sz="2" w:space="0" w:color="000000"/>
              <w:left w:val="single" w:sz="2" w:space="0" w:color="000000"/>
              <w:bottom w:val="single" w:sz="2" w:space="0" w:color="000000"/>
              <w:right w:val="single" w:sz="2" w:space="0" w:color="000000"/>
            </w:tcBorders>
            <w:shd w:val="clear" w:color="auto" w:fill="6D2A78"/>
          </w:tcPr>
          <w:p w14:paraId="204E50FE" w14:textId="4B40ED5C" w:rsidR="002402DC" w:rsidRPr="00364545" w:rsidRDefault="002402DC" w:rsidP="00C44824">
            <w:pPr>
              <w:spacing w:line="259" w:lineRule="auto"/>
              <w:ind w:left="28"/>
            </w:pPr>
            <w:r w:rsidRPr="00364545">
              <w:rPr>
                <w:b/>
                <w:color w:val="FFFFFF"/>
                <w:sz w:val="18"/>
              </w:rPr>
              <w:t>Average annual growth rate of industrial added value</w:t>
            </w:r>
          </w:p>
        </w:tc>
        <w:tc>
          <w:tcPr>
            <w:tcW w:w="557" w:type="dxa"/>
            <w:tcBorders>
              <w:top w:val="single" w:sz="2" w:space="0" w:color="000000"/>
              <w:left w:val="single" w:sz="2" w:space="0" w:color="000000"/>
              <w:bottom w:val="single" w:sz="2" w:space="0" w:color="000000"/>
              <w:right w:val="single" w:sz="2" w:space="0" w:color="000000"/>
            </w:tcBorders>
            <w:shd w:val="clear" w:color="auto" w:fill="6D2A78"/>
          </w:tcPr>
          <w:p w14:paraId="7785E761" w14:textId="77777777" w:rsidR="002402DC" w:rsidRPr="00364545" w:rsidRDefault="002402DC" w:rsidP="00C44824">
            <w:pPr>
              <w:spacing w:line="259" w:lineRule="auto"/>
              <w:ind w:left="116"/>
              <w:jc w:val="center"/>
            </w:pPr>
            <w:r w:rsidRPr="00364545">
              <w:rPr>
                <w:b/>
                <w:color w:val="FFFFFF"/>
                <w:sz w:val="18"/>
              </w:rPr>
              <w:t xml:space="preserve">2015-2020 </w:t>
            </w:r>
          </w:p>
        </w:tc>
        <w:tc>
          <w:tcPr>
            <w:tcW w:w="532" w:type="dxa"/>
            <w:tcBorders>
              <w:top w:val="single" w:sz="2" w:space="0" w:color="000000"/>
              <w:left w:val="single" w:sz="2" w:space="0" w:color="000000"/>
              <w:bottom w:val="single" w:sz="2" w:space="0" w:color="000000"/>
              <w:right w:val="single" w:sz="2" w:space="0" w:color="000000"/>
            </w:tcBorders>
            <w:shd w:val="clear" w:color="auto" w:fill="6D2A78"/>
          </w:tcPr>
          <w:p w14:paraId="670A5C89" w14:textId="77777777" w:rsidR="002402DC" w:rsidRPr="00364545" w:rsidRDefault="002402DC" w:rsidP="00C44824">
            <w:pPr>
              <w:spacing w:line="259" w:lineRule="auto"/>
              <w:ind w:left="117"/>
              <w:jc w:val="center"/>
            </w:pPr>
            <w:r w:rsidRPr="00364545">
              <w:rPr>
                <w:b/>
                <w:color w:val="FFFFFF"/>
                <w:sz w:val="18"/>
              </w:rPr>
              <w:t xml:space="preserve">2020-2025 </w:t>
            </w:r>
          </w:p>
        </w:tc>
        <w:tc>
          <w:tcPr>
            <w:tcW w:w="555" w:type="dxa"/>
            <w:tcBorders>
              <w:top w:val="single" w:sz="2" w:space="0" w:color="000000"/>
              <w:left w:val="single" w:sz="2" w:space="0" w:color="000000"/>
              <w:bottom w:val="single" w:sz="2" w:space="0" w:color="000000"/>
              <w:right w:val="single" w:sz="2" w:space="0" w:color="000000"/>
            </w:tcBorders>
            <w:shd w:val="clear" w:color="auto" w:fill="6D2A78"/>
          </w:tcPr>
          <w:p w14:paraId="138CEDFB" w14:textId="77777777" w:rsidR="002402DC" w:rsidRPr="00364545" w:rsidRDefault="002402DC" w:rsidP="00C44824">
            <w:pPr>
              <w:spacing w:line="259" w:lineRule="auto"/>
              <w:ind w:left="113"/>
              <w:jc w:val="center"/>
            </w:pPr>
            <w:r w:rsidRPr="00364545">
              <w:rPr>
                <w:b/>
                <w:color w:val="FFFFFF"/>
                <w:sz w:val="18"/>
              </w:rPr>
              <w:t xml:space="preserve">2025-2030 </w:t>
            </w:r>
          </w:p>
        </w:tc>
        <w:tc>
          <w:tcPr>
            <w:tcW w:w="534" w:type="dxa"/>
            <w:tcBorders>
              <w:top w:val="single" w:sz="2" w:space="0" w:color="000000"/>
              <w:left w:val="single" w:sz="2" w:space="0" w:color="000000"/>
              <w:bottom w:val="single" w:sz="2" w:space="0" w:color="000000"/>
              <w:right w:val="single" w:sz="2" w:space="0" w:color="000000"/>
            </w:tcBorders>
            <w:shd w:val="clear" w:color="auto" w:fill="6D2A78"/>
          </w:tcPr>
          <w:p w14:paraId="2092737A" w14:textId="77777777" w:rsidR="002402DC" w:rsidRPr="00364545" w:rsidRDefault="002402DC" w:rsidP="00C44824">
            <w:pPr>
              <w:spacing w:line="259" w:lineRule="auto"/>
              <w:ind w:left="115"/>
              <w:jc w:val="center"/>
            </w:pPr>
            <w:r w:rsidRPr="00364545">
              <w:rPr>
                <w:b/>
                <w:color w:val="FFFFFF"/>
                <w:sz w:val="18"/>
              </w:rPr>
              <w:t xml:space="preserve">2030-2035 </w:t>
            </w:r>
          </w:p>
        </w:tc>
        <w:tc>
          <w:tcPr>
            <w:tcW w:w="534" w:type="dxa"/>
            <w:tcBorders>
              <w:top w:val="single" w:sz="2" w:space="0" w:color="000000"/>
              <w:left w:val="single" w:sz="2" w:space="0" w:color="000000"/>
              <w:bottom w:val="single" w:sz="2" w:space="0" w:color="000000"/>
              <w:right w:val="single" w:sz="2" w:space="0" w:color="000000"/>
            </w:tcBorders>
            <w:shd w:val="clear" w:color="auto" w:fill="6D2A78"/>
          </w:tcPr>
          <w:p w14:paraId="2D64D920" w14:textId="77777777" w:rsidR="002402DC" w:rsidRPr="00364545" w:rsidRDefault="002402DC" w:rsidP="00C44824">
            <w:pPr>
              <w:spacing w:line="259" w:lineRule="auto"/>
              <w:ind w:left="115"/>
              <w:jc w:val="center"/>
              <w:rPr>
                <w:b/>
                <w:color w:val="FFFFFF"/>
                <w:sz w:val="18"/>
              </w:rPr>
            </w:pPr>
            <w:r w:rsidRPr="00364545">
              <w:rPr>
                <w:b/>
                <w:color w:val="FFFFFF"/>
                <w:sz w:val="18"/>
              </w:rPr>
              <w:t>2036-2040</w:t>
            </w:r>
          </w:p>
        </w:tc>
        <w:tc>
          <w:tcPr>
            <w:tcW w:w="534" w:type="dxa"/>
            <w:tcBorders>
              <w:top w:val="single" w:sz="2" w:space="0" w:color="000000"/>
              <w:left w:val="single" w:sz="2" w:space="0" w:color="000000"/>
              <w:bottom w:val="single" w:sz="2" w:space="0" w:color="000000"/>
              <w:right w:val="single" w:sz="2" w:space="0" w:color="000000"/>
            </w:tcBorders>
            <w:shd w:val="clear" w:color="auto" w:fill="6D2A78"/>
          </w:tcPr>
          <w:p w14:paraId="10EA773F" w14:textId="77777777" w:rsidR="002402DC" w:rsidRPr="00364545" w:rsidRDefault="002402DC" w:rsidP="00C44824">
            <w:pPr>
              <w:spacing w:line="259" w:lineRule="auto"/>
              <w:ind w:left="115"/>
              <w:jc w:val="center"/>
              <w:rPr>
                <w:b/>
                <w:color w:val="FFFFFF"/>
                <w:sz w:val="18"/>
              </w:rPr>
            </w:pPr>
            <w:r w:rsidRPr="00364545">
              <w:rPr>
                <w:b/>
                <w:color w:val="FFFFFF"/>
                <w:sz w:val="18"/>
              </w:rPr>
              <w:t>2041-2045</w:t>
            </w:r>
          </w:p>
        </w:tc>
        <w:tc>
          <w:tcPr>
            <w:tcW w:w="534" w:type="dxa"/>
            <w:tcBorders>
              <w:top w:val="single" w:sz="2" w:space="0" w:color="000000"/>
              <w:left w:val="single" w:sz="2" w:space="0" w:color="000000"/>
              <w:bottom w:val="single" w:sz="2" w:space="0" w:color="000000"/>
              <w:right w:val="single" w:sz="2" w:space="0" w:color="000000"/>
            </w:tcBorders>
            <w:shd w:val="clear" w:color="auto" w:fill="6D2A78"/>
          </w:tcPr>
          <w:p w14:paraId="0DED5E77" w14:textId="77777777" w:rsidR="002402DC" w:rsidRPr="00364545" w:rsidRDefault="002402DC" w:rsidP="00C44824">
            <w:pPr>
              <w:spacing w:line="259" w:lineRule="auto"/>
              <w:ind w:left="115"/>
              <w:jc w:val="center"/>
              <w:rPr>
                <w:b/>
                <w:color w:val="FFFFFF"/>
                <w:sz w:val="18"/>
              </w:rPr>
            </w:pPr>
            <w:r w:rsidRPr="00364545">
              <w:rPr>
                <w:b/>
                <w:color w:val="FFFFFF"/>
                <w:sz w:val="18"/>
              </w:rPr>
              <w:t>2046-2050</w:t>
            </w:r>
          </w:p>
        </w:tc>
      </w:tr>
      <w:tr w:rsidR="002402DC" w:rsidRPr="00364545" w14:paraId="6D68F875" w14:textId="77777777" w:rsidTr="00C44824">
        <w:trPr>
          <w:trHeight w:val="407"/>
        </w:trPr>
        <w:tc>
          <w:tcPr>
            <w:tcW w:w="6163" w:type="dxa"/>
            <w:tcBorders>
              <w:top w:val="single" w:sz="2" w:space="0" w:color="000000"/>
              <w:left w:val="single" w:sz="2" w:space="0" w:color="000000"/>
              <w:bottom w:val="single" w:sz="2" w:space="0" w:color="000000"/>
              <w:right w:val="single" w:sz="2" w:space="0" w:color="000000"/>
            </w:tcBorders>
          </w:tcPr>
          <w:p w14:paraId="50B21F34" w14:textId="77777777" w:rsidR="002402DC" w:rsidRPr="00364545" w:rsidRDefault="002402DC" w:rsidP="00C44824">
            <w:pPr>
              <w:spacing w:line="259" w:lineRule="auto"/>
              <w:ind w:left="28"/>
            </w:pPr>
            <w:r w:rsidRPr="00364545">
              <w:rPr>
                <w:sz w:val="18"/>
              </w:rPr>
              <w:t xml:space="preserve">AME 2021 </w:t>
            </w:r>
          </w:p>
        </w:tc>
        <w:tc>
          <w:tcPr>
            <w:tcW w:w="557" w:type="dxa"/>
            <w:tcBorders>
              <w:top w:val="single" w:sz="2" w:space="0" w:color="000000"/>
              <w:left w:val="single" w:sz="2" w:space="0" w:color="000000"/>
              <w:bottom w:val="single" w:sz="2" w:space="0" w:color="000000"/>
              <w:right w:val="single" w:sz="2" w:space="0" w:color="000000"/>
            </w:tcBorders>
          </w:tcPr>
          <w:p w14:paraId="5C63FDFB" w14:textId="77777777" w:rsidR="002402DC" w:rsidRPr="00364545" w:rsidRDefault="002402DC" w:rsidP="00C44824">
            <w:pPr>
              <w:spacing w:line="259" w:lineRule="auto"/>
              <w:ind w:left="119"/>
              <w:jc w:val="center"/>
              <w:rPr>
                <w:sz w:val="18"/>
              </w:rPr>
            </w:pPr>
          </w:p>
          <w:p w14:paraId="03137C33" w14:textId="77777777" w:rsidR="002402DC" w:rsidRPr="00364545" w:rsidRDefault="002402DC" w:rsidP="00C44824">
            <w:pPr>
              <w:spacing w:line="259" w:lineRule="auto"/>
              <w:ind w:left="119"/>
              <w:jc w:val="center"/>
              <w:rPr>
                <w:sz w:val="18"/>
              </w:rPr>
            </w:pPr>
            <w:r w:rsidRPr="00364545">
              <w:rPr>
                <w:sz w:val="18"/>
              </w:rPr>
              <w:t>2019</w:t>
            </w:r>
            <w:r w:rsidRPr="00364545">
              <w:rPr>
                <w:rFonts w:ascii="Calibri" w:hAnsi="Calibri"/>
                <w:sz w:val="18"/>
              </w:rPr>
              <w:t> </w:t>
            </w:r>
            <w:r w:rsidRPr="00364545">
              <w:rPr>
                <w:sz w:val="18"/>
              </w:rPr>
              <w:t>: 1.4</w:t>
            </w:r>
          </w:p>
          <w:p w14:paraId="1D90673A" w14:textId="77777777" w:rsidR="002402DC" w:rsidRPr="00364545" w:rsidRDefault="002402DC" w:rsidP="00C44824">
            <w:pPr>
              <w:spacing w:line="259" w:lineRule="auto"/>
              <w:ind w:left="119"/>
              <w:jc w:val="center"/>
            </w:pPr>
            <w:r w:rsidRPr="00364545">
              <w:rPr>
                <w:sz w:val="18"/>
              </w:rPr>
              <w:t>2020</w:t>
            </w:r>
            <w:r w:rsidRPr="00364545">
              <w:rPr>
                <w:rFonts w:ascii="Calibri" w:hAnsi="Calibri"/>
                <w:sz w:val="18"/>
              </w:rPr>
              <w:t> </w:t>
            </w:r>
            <w:r w:rsidRPr="00364545">
              <w:rPr>
                <w:sz w:val="18"/>
              </w:rPr>
              <w:t>: -8.3</w:t>
            </w:r>
          </w:p>
        </w:tc>
        <w:tc>
          <w:tcPr>
            <w:tcW w:w="532" w:type="dxa"/>
            <w:tcBorders>
              <w:top w:val="single" w:sz="2" w:space="0" w:color="000000"/>
              <w:left w:val="single" w:sz="2" w:space="0" w:color="000000"/>
              <w:bottom w:val="single" w:sz="2" w:space="0" w:color="000000"/>
              <w:right w:val="single" w:sz="2" w:space="0" w:color="000000"/>
            </w:tcBorders>
          </w:tcPr>
          <w:p w14:paraId="47D4E67A" w14:textId="77777777" w:rsidR="002402DC" w:rsidRPr="00364545" w:rsidRDefault="002402DC" w:rsidP="00C44824">
            <w:pPr>
              <w:spacing w:line="259" w:lineRule="auto"/>
              <w:ind w:left="117"/>
              <w:jc w:val="center"/>
            </w:pPr>
            <w:bookmarkStart w:id="548" w:name="OLE_LINK53"/>
            <w:r w:rsidRPr="00364545">
              <w:rPr>
                <w:sz w:val="18"/>
              </w:rPr>
              <w:t>2.63</w:t>
            </w:r>
            <w:bookmarkEnd w:id="548"/>
          </w:p>
        </w:tc>
        <w:tc>
          <w:tcPr>
            <w:tcW w:w="555" w:type="dxa"/>
            <w:tcBorders>
              <w:top w:val="single" w:sz="2" w:space="0" w:color="000000"/>
              <w:left w:val="single" w:sz="2" w:space="0" w:color="000000"/>
              <w:bottom w:val="single" w:sz="2" w:space="0" w:color="000000"/>
              <w:right w:val="single" w:sz="2" w:space="0" w:color="000000"/>
            </w:tcBorders>
          </w:tcPr>
          <w:p w14:paraId="4D9AAEF6" w14:textId="77777777" w:rsidR="002402DC" w:rsidRPr="00364545" w:rsidRDefault="002402DC" w:rsidP="00C44824">
            <w:pPr>
              <w:spacing w:line="259" w:lineRule="auto"/>
              <w:ind w:left="116"/>
              <w:jc w:val="center"/>
            </w:pPr>
            <w:r w:rsidRPr="00364545">
              <w:rPr>
                <w:sz w:val="18"/>
              </w:rPr>
              <w:t>0.9</w:t>
            </w:r>
          </w:p>
        </w:tc>
        <w:tc>
          <w:tcPr>
            <w:tcW w:w="534" w:type="dxa"/>
            <w:tcBorders>
              <w:top w:val="single" w:sz="2" w:space="0" w:color="000000"/>
              <w:left w:val="single" w:sz="2" w:space="0" w:color="000000"/>
              <w:bottom w:val="single" w:sz="2" w:space="0" w:color="000000"/>
              <w:right w:val="single" w:sz="2" w:space="0" w:color="000000"/>
            </w:tcBorders>
          </w:tcPr>
          <w:p w14:paraId="4236E8A3" w14:textId="77777777" w:rsidR="002402DC" w:rsidRPr="00364545" w:rsidRDefault="002402DC" w:rsidP="00C44824">
            <w:pPr>
              <w:spacing w:line="259" w:lineRule="auto"/>
              <w:ind w:left="118"/>
              <w:jc w:val="center"/>
            </w:pPr>
            <w:r w:rsidRPr="00364545">
              <w:rPr>
                <w:sz w:val="18"/>
              </w:rPr>
              <w:t>1,</w:t>
            </w:r>
          </w:p>
        </w:tc>
        <w:tc>
          <w:tcPr>
            <w:tcW w:w="534" w:type="dxa"/>
            <w:tcBorders>
              <w:top w:val="single" w:sz="2" w:space="0" w:color="000000"/>
              <w:left w:val="single" w:sz="2" w:space="0" w:color="000000"/>
              <w:bottom w:val="single" w:sz="2" w:space="0" w:color="000000"/>
              <w:right w:val="single" w:sz="2" w:space="0" w:color="000000"/>
            </w:tcBorders>
          </w:tcPr>
          <w:p w14:paraId="4F8783D0" w14:textId="77777777" w:rsidR="002402DC" w:rsidRPr="00364545" w:rsidRDefault="002402DC" w:rsidP="00C44824">
            <w:pPr>
              <w:spacing w:line="259" w:lineRule="auto"/>
              <w:ind w:left="118"/>
              <w:jc w:val="center"/>
              <w:rPr>
                <w:sz w:val="18"/>
              </w:rPr>
            </w:pPr>
            <w:r w:rsidRPr="00364545">
              <w:rPr>
                <w:sz w:val="18"/>
              </w:rPr>
              <w:t>1.3</w:t>
            </w:r>
          </w:p>
        </w:tc>
        <w:tc>
          <w:tcPr>
            <w:tcW w:w="534" w:type="dxa"/>
            <w:tcBorders>
              <w:top w:val="single" w:sz="2" w:space="0" w:color="000000"/>
              <w:left w:val="single" w:sz="2" w:space="0" w:color="000000"/>
              <w:bottom w:val="single" w:sz="2" w:space="0" w:color="000000"/>
              <w:right w:val="single" w:sz="2" w:space="0" w:color="000000"/>
            </w:tcBorders>
          </w:tcPr>
          <w:p w14:paraId="1CD8B129" w14:textId="77777777" w:rsidR="002402DC" w:rsidRPr="00364545" w:rsidRDefault="002402DC" w:rsidP="00C44824">
            <w:pPr>
              <w:spacing w:line="259" w:lineRule="auto"/>
              <w:ind w:left="118"/>
              <w:jc w:val="center"/>
              <w:rPr>
                <w:sz w:val="18"/>
              </w:rPr>
            </w:pPr>
            <w:r w:rsidRPr="00364545">
              <w:rPr>
                <w:sz w:val="18"/>
              </w:rPr>
              <w:t>1.3</w:t>
            </w:r>
          </w:p>
        </w:tc>
        <w:tc>
          <w:tcPr>
            <w:tcW w:w="534" w:type="dxa"/>
            <w:tcBorders>
              <w:top w:val="single" w:sz="2" w:space="0" w:color="000000"/>
              <w:left w:val="single" w:sz="2" w:space="0" w:color="000000"/>
              <w:bottom w:val="single" w:sz="2" w:space="0" w:color="000000"/>
              <w:right w:val="single" w:sz="2" w:space="0" w:color="000000"/>
            </w:tcBorders>
          </w:tcPr>
          <w:p w14:paraId="40112944" w14:textId="77777777" w:rsidR="002402DC" w:rsidRPr="00364545" w:rsidRDefault="002402DC" w:rsidP="00C44824">
            <w:pPr>
              <w:spacing w:line="259" w:lineRule="auto"/>
              <w:ind w:left="118"/>
              <w:jc w:val="center"/>
              <w:rPr>
                <w:sz w:val="18"/>
              </w:rPr>
            </w:pPr>
            <w:r w:rsidRPr="00364545">
              <w:rPr>
                <w:sz w:val="18"/>
              </w:rPr>
              <w:t>1.3</w:t>
            </w:r>
          </w:p>
        </w:tc>
      </w:tr>
      <w:tr w:rsidR="002402DC" w:rsidRPr="00364545" w14:paraId="31B20771" w14:textId="77777777" w:rsidTr="00C44824">
        <w:trPr>
          <w:trHeight w:val="407"/>
        </w:trPr>
        <w:tc>
          <w:tcPr>
            <w:tcW w:w="6163" w:type="dxa"/>
            <w:tcBorders>
              <w:top w:val="single" w:sz="2" w:space="0" w:color="000000"/>
              <w:left w:val="single" w:sz="2" w:space="0" w:color="000000"/>
              <w:bottom w:val="single" w:sz="2" w:space="0" w:color="000000"/>
              <w:right w:val="single" w:sz="2" w:space="0" w:color="000000"/>
            </w:tcBorders>
          </w:tcPr>
          <w:p w14:paraId="6F1089C7" w14:textId="77777777" w:rsidR="002402DC" w:rsidRPr="00364545" w:rsidRDefault="002402DC" w:rsidP="00C44824">
            <w:pPr>
              <w:spacing w:line="259" w:lineRule="auto"/>
              <w:ind w:left="28"/>
              <w:rPr>
                <w:sz w:val="18"/>
              </w:rPr>
            </w:pPr>
            <w:r w:rsidRPr="00364545">
              <w:rPr>
                <w:sz w:val="18"/>
              </w:rPr>
              <w:t>AMS 2018</w:t>
            </w:r>
          </w:p>
        </w:tc>
        <w:tc>
          <w:tcPr>
            <w:tcW w:w="557" w:type="dxa"/>
            <w:tcBorders>
              <w:top w:val="single" w:sz="2" w:space="0" w:color="000000"/>
              <w:left w:val="single" w:sz="2" w:space="0" w:color="000000"/>
              <w:bottom w:val="single" w:sz="2" w:space="0" w:color="000000"/>
              <w:right w:val="single" w:sz="2" w:space="0" w:color="000000"/>
            </w:tcBorders>
          </w:tcPr>
          <w:p w14:paraId="68827912" w14:textId="77777777" w:rsidR="002402DC" w:rsidRPr="00364545" w:rsidRDefault="002402DC" w:rsidP="00C44824">
            <w:pPr>
              <w:spacing w:line="259" w:lineRule="auto"/>
              <w:ind w:left="119"/>
              <w:jc w:val="center"/>
              <w:rPr>
                <w:sz w:val="18"/>
              </w:rPr>
            </w:pPr>
            <w:r w:rsidRPr="00364545">
              <w:rPr>
                <w:sz w:val="18"/>
              </w:rPr>
              <w:t xml:space="preserve">1.4 </w:t>
            </w:r>
          </w:p>
        </w:tc>
        <w:tc>
          <w:tcPr>
            <w:tcW w:w="532" w:type="dxa"/>
            <w:tcBorders>
              <w:top w:val="single" w:sz="2" w:space="0" w:color="000000"/>
              <w:left w:val="single" w:sz="2" w:space="0" w:color="000000"/>
              <w:bottom w:val="single" w:sz="2" w:space="0" w:color="000000"/>
              <w:right w:val="single" w:sz="2" w:space="0" w:color="000000"/>
            </w:tcBorders>
          </w:tcPr>
          <w:p w14:paraId="706BA963" w14:textId="77777777" w:rsidR="002402DC" w:rsidRPr="00364545" w:rsidRDefault="002402DC" w:rsidP="00C44824">
            <w:pPr>
              <w:spacing w:line="259" w:lineRule="auto"/>
              <w:ind w:left="117"/>
              <w:jc w:val="center"/>
              <w:rPr>
                <w:sz w:val="18"/>
              </w:rPr>
            </w:pPr>
            <w:r w:rsidRPr="00364545">
              <w:rPr>
                <w:sz w:val="18"/>
              </w:rPr>
              <w:t xml:space="preserve">1 </w:t>
            </w:r>
          </w:p>
        </w:tc>
        <w:tc>
          <w:tcPr>
            <w:tcW w:w="555" w:type="dxa"/>
            <w:tcBorders>
              <w:top w:val="single" w:sz="2" w:space="0" w:color="000000"/>
              <w:left w:val="single" w:sz="2" w:space="0" w:color="000000"/>
              <w:bottom w:val="single" w:sz="2" w:space="0" w:color="000000"/>
              <w:right w:val="single" w:sz="2" w:space="0" w:color="000000"/>
            </w:tcBorders>
          </w:tcPr>
          <w:p w14:paraId="6D4E32D9" w14:textId="77777777" w:rsidR="002402DC" w:rsidRPr="00364545" w:rsidRDefault="002402DC" w:rsidP="00C44824">
            <w:pPr>
              <w:spacing w:line="259" w:lineRule="auto"/>
              <w:ind w:left="116"/>
              <w:jc w:val="center"/>
              <w:rPr>
                <w:sz w:val="18"/>
              </w:rPr>
            </w:pPr>
            <w:r w:rsidRPr="00364545">
              <w:rPr>
                <w:sz w:val="18"/>
              </w:rPr>
              <w:t xml:space="preserve">1.1 </w:t>
            </w:r>
          </w:p>
        </w:tc>
        <w:tc>
          <w:tcPr>
            <w:tcW w:w="534" w:type="dxa"/>
            <w:tcBorders>
              <w:top w:val="single" w:sz="2" w:space="0" w:color="000000"/>
              <w:left w:val="single" w:sz="2" w:space="0" w:color="000000"/>
              <w:bottom w:val="single" w:sz="2" w:space="0" w:color="000000"/>
              <w:right w:val="single" w:sz="2" w:space="0" w:color="000000"/>
            </w:tcBorders>
          </w:tcPr>
          <w:p w14:paraId="6C01A0A5" w14:textId="77777777" w:rsidR="002402DC" w:rsidRPr="00364545" w:rsidRDefault="002402DC" w:rsidP="00C44824">
            <w:pPr>
              <w:spacing w:line="259" w:lineRule="auto"/>
              <w:ind w:left="118"/>
              <w:jc w:val="center"/>
              <w:rPr>
                <w:sz w:val="18"/>
              </w:rPr>
            </w:pPr>
            <w:r w:rsidRPr="00364545">
              <w:rPr>
                <w:sz w:val="18"/>
              </w:rPr>
              <w:t xml:space="preserve">1.3 </w:t>
            </w:r>
          </w:p>
        </w:tc>
        <w:tc>
          <w:tcPr>
            <w:tcW w:w="534" w:type="dxa"/>
            <w:tcBorders>
              <w:top w:val="single" w:sz="2" w:space="0" w:color="000000"/>
              <w:left w:val="single" w:sz="2" w:space="0" w:color="000000"/>
              <w:bottom w:val="single" w:sz="2" w:space="0" w:color="000000"/>
              <w:right w:val="single" w:sz="2" w:space="0" w:color="000000"/>
            </w:tcBorders>
          </w:tcPr>
          <w:p w14:paraId="157CD6DA" w14:textId="77777777" w:rsidR="002402DC" w:rsidRPr="00364545" w:rsidRDefault="002402DC" w:rsidP="00C44824">
            <w:pPr>
              <w:spacing w:line="259" w:lineRule="auto"/>
              <w:ind w:left="118"/>
              <w:jc w:val="center"/>
              <w:rPr>
                <w:sz w:val="18"/>
              </w:rPr>
            </w:pPr>
            <w:r w:rsidRPr="00364545">
              <w:rPr>
                <w:sz w:val="18"/>
              </w:rPr>
              <w:t>1.3</w:t>
            </w:r>
          </w:p>
        </w:tc>
        <w:tc>
          <w:tcPr>
            <w:tcW w:w="534" w:type="dxa"/>
            <w:tcBorders>
              <w:top w:val="single" w:sz="2" w:space="0" w:color="000000"/>
              <w:left w:val="single" w:sz="2" w:space="0" w:color="000000"/>
              <w:bottom w:val="single" w:sz="2" w:space="0" w:color="000000"/>
              <w:right w:val="single" w:sz="2" w:space="0" w:color="000000"/>
            </w:tcBorders>
          </w:tcPr>
          <w:p w14:paraId="714B14E0" w14:textId="77777777" w:rsidR="002402DC" w:rsidRPr="00364545" w:rsidRDefault="002402DC" w:rsidP="00C44824">
            <w:pPr>
              <w:spacing w:line="259" w:lineRule="auto"/>
              <w:ind w:left="118"/>
              <w:jc w:val="center"/>
              <w:rPr>
                <w:sz w:val="18"/>
              </w:rPr>
            </w:pPr>
            <w:r w:rsidRPr="00364545">
              <w:rPr>
                <w:sz w:val="18"/>
              </w:rPr>
              <w:t>1.3</w:t>
            </w:r>
          </w:p>
        </w:tc>
        <w:tc>
          <w:tcPr>
            <w:tcW w:w="534" w:type="dxa"/>
            <w:tcBorders>
              <w:top w:val="single" w:sz="2" w:space="0" w:color="000000"/>
              <w:left w:val="single" w:sz="2" w:space="0" w:color="000000"/>
              <w:bottom w:val="single" w:sz="2" w:space="0" w:color="000000"/>
              <w:right w:val="single" w:sz="2" w:space="0" w:color="000000"/>
            </w:tcBorders>
          </w:tcPr>
          <w:p w14:paraId="686CD19B" w14:textId="77777777" w:rsidR="002402DC" w:rsidRPr="00364545" w:rsidRDefault="002402DC" w:rsidP="00C44824">
            <w:pPr>
              <w:spacing w:line="259" w:lineRule="auto"/>
              <w:ind w:left="118"/>
              <w:jc w:val="center"/>
              <w:rPr>
                <w:sz w:val="18"/>
              </w:rPr>
            </w:pPr>
            <w:r w:rsidRPr="00364545">
              <w:rPr>
                <w:sz w:val="18"/>
              </w:rPr>
              <w:t>1.3</w:t>
            </w:r>
          </w:p>
        </w:tc>
      </w:tr>
    </w:tbl>
    <w:p w14:paraId="1B41E37C" w14:textId="19BA82CC" w:rsidR="002402DC" w:rsidRPr="00364545" w:rsidRDefault="002402DC" w:rsidP="0045532B">
      <w:pPr>
        <w:pStyle w:val="Caption"/>
      </w:pPr>
      <w:bookmarkStart w:id="549" w:name="_Toc123916532"/>
      <w:r w:rsidRPr="00364545">
        <w:t xml:space="preserve">Table </w:t>
      </w:r>
      <w:r w:rsidR="003714FB">
        <w:fldChar w:fldCharType="begin"/>
      </w:r>
      <w:r w:rsidR="003714FB">
        <w:instrText xml:space="preserve"> SEQ Tableau \* ARABIC </w:instrText>
      </w:r>
      <w:r w:rsidR="003714FB">
        <w:fldChar w:fldCharType="separate"/>
      </w:r>
      <w:r w:rsidR="009A2FAA">
        <w:rPr>
          <w:noProof/>
        </w:rPr>
        <w:t>40</w:t>
      </w:r>
      <w:r w:rsidR="003714FB">
        <w:rPr>
          <w:noProof/>
        </w:rPr>
        <w:fldChar w:fldCharType="end"/>
      </w:r>
      <w:r w:rsidRPr="00364545">
        <w:t>: Assumptions for the evolution of industrial value added</w:t>
      </w:r>
      <w:bookmarkEnd w:id="549"/>
    </w:p>
    <w:p w14:paraId="77C612E7" w14:textId="43EDF7A2" w:rsidR="001021CB" w:rsidRPr="00364545" w:rsidRDefault="001021CB" w:rsidP="0045532B">
      <w:pPr>
        <w:pStyle w:val="Caption"/>
      </w:pPr>
      <w:r w:rsidRPr="00364545">
        <w:t xml:space="preserve">Source: EU economic framework for France </w:t>
      </w:r>
    </w:p>
    <w:p w14:paraId="2557DEB4" w14:textId="545F7605" w:rsidR="006D5177" w:rsidRPr="00364545" w:rsidRDefault="006D5177" w:rsidP="0005726D">
      <w:pPr>
        <w:spacing w:before="240" w:after="240"/>
        <w:rPr>
          <w:rFonts w:asciiTheme="minorHAnsi" w:hAnsiTheme="minorHAnsi"/>
          <w:sz w:val="19"/>
        </w:rPr>
      </w:pPr>
    </w:p>
    <w:p w14:paraId="5268790E" w14:textId="77777777" w:rsidR="00D463FC" w:rsidRPr="00364545" w:rsidRDefault="00D463FC">
      <w:pPr>
        <w:spacing w:line="240" w:lineRule="atLeast"/>
        <w:jc w:val="left"/>
        <w:rPr>
          <w:rFonts w:eastAsiaTheme="majorEastAsia" w:cstheme="majorBidi"/>
          <w:bCs/>
          <w:spacing w:val="-10"/>
          <w:kern w:val="28"/>
          <w:sz w:val="48"/>
          <w:szCs w:val="56"/>
        </w:rPr>
      </w:pPr>
      <w:r w:rsidRPr="00364545">
        <w:br w:type="page"/>
      </w:r>
    </w:p>
    <w:p w14:paraId="6BD520BD" w14:textId="1F4116F3" w:rsidR="00810BA9" w:rsidRPr="00364545" w:rsidRDefault="0051771F" w:rsidP="008C79A1">
      <w:pPr>
        <w:pStyle w:val="Titre1Niveau1"/>
        <w:ind w:left="0" w:right="27"/>
      </w:pPr>
      <w:bookmarkStart w:id="550" w:name="_Toc138341852"/>
      <w:bookmarkStart w:id="551" w:name="ChapitreVI"/>
      <w:r w:rsidRPr="00364545">
        <w:t>Chapter VI - Impact, vulnerability and adaptation</w:t>
      </w:r>
      <w:bookmarkEnd w:id="550"/>
    </w:p>
    <w:bookmarkEnd w:id="551"/>
    <w:p w14:paraId="00419CC7" w14:textId="77777777" w:rsidR="006D5177" w:rsidRPr="00364545" w:rsidRDefault="006D5177" w:rsidP="006D5177">
      <w:pPr>
        <w:spacing w:before="240" w:after="240"/>
      </w:pPr>
      <w:r w:rsidRPr="00364545">
        <w:t>Humankind has always had to deal with many natural threats: storms, cyclones, earthquakes, floods, landslides, droughts. The consequences of natural disasters are often tragic in terms of both human toll and economic damage. However, in a context of climate change, the expected increase in extreme events for which there is the most certainty and whose impacts will be the strongest, particularly in terms of risks, health and the weakening of ecosystems and agricultural and industrial production, are those linked to heat waves, droughts, intense rainfall and rising sea levels. The French overseas departments and regions, with the exception of Saint-Pierre and Miquelon, are exposed to cyclones and tropical storms, the most severe of which are expected to increase in intensity</w:t>
      </w:r>
      <w:r w:rsidRPr="00364545">
        <w:rPr>
          <w:rFonts w:ascii="Calibri" w:hAnsi="Calibri"/>
        </w:rPr>
        <w:t>.</w:t>
      </w:r>
    </w:p>
    <w:p w14:paraId="7028416D" w14:textId="77777777" w:rsidR="006D5177" w:rsidRPr="00364545" w:rsidRDefault="006D5177" w:rsidP="006D5177">
      <w:pPr>
        <w:spacing w:before="240" w:after="240"/>
      </w:pPr>
      <w:r w:rsidRPr="00364545">
        <w:t xml:space="preserve">Since 1993, France has been conducting study and research programmes with the specific aim of assessing the possible impacts of climate change on the national territory (including overseas territories and regions) and the adaptation measures that could be implemented in the most vulnerable geographical areas and sectors of activity. One of the most emblematic projects is </w:t>
      </w:r>
      <w:r w:rsidRPr="00364545">
        <w:rPr>
          <w:i/>
        </w:rPr>
        <w:t>Drias, the Future of Climate</w:t>
      </w:r>
      <w:r w:rsidRPr="00364545">
        <w:t xml:space="preserve">. The </w:t>
      </w:r>
      <w:r w:rsidRPr="00364545">
        <w:rPr>
          <w:i/>
          <w:iCs/>
        </w:rPr>
        <w:t>Drias, the Future of Climate</w:t>
      </w:r>
      <w:r w:rsidRPr="00364545">
        <w:t xml:space="preserve"> portal meets an important need expressed by all the actors concerned by climate change in providing easy access to information and assistance in studying the impacts and deciding on measures to adapt to climate change. Providing some of these elements in a simple way for users, in July 2012 it constituted a first essential step in the development of a French climate services base. </w:t>
      </w:r>
    </w:p>
    <w:p w14:paraId="5362E936" w14:textId="6B6BDDAE" w:rsidR="006D5177" w:rsidRPr="00364545" w:rsidRDefault="006D5177" w:rsidP="006D5177">
      <w:pPr>
        <w:spacing w:before="240" w:after="240"/>
      </w:pPr>
      <w:r w:rsidRPr="00364545">
        <w:t xml:space="preserve">At the institutional level, the National Observatory on the Effects of Global Warming (Onerc) was created by a law in 2001. Its mission is to collect and disseminate information, and to make recommendations on prevention and adaptation measures likely to limit the risks associated with climate change. Onerc is also the French focal point of the IPCC (Intergovernmental Panel on Climate Change). Within the Ministry of Ecology Transition and Regional Cohesion (MTE), Onerc is attached to the Directorate General for Energy and Climate, so that adaptation issues are dealt with in the same framework as mitigation issues. </w:t>
      </w:r>
    </w:p>
    <w:p w14:paraId="1499932A" w14:textId="77777777" w:rsidR="006D5177" w:rsidRPr="00364545" w:rsidRDefault="006D5177" w:rsidP="006D5177">
      <w:pPr>
        <w:spacing w:before="240" w:after="240"/>
      </w:pPr>
      <w:r w:rsidRPr="00364545">
        <w:t>Submitted to the Prime Minister and the Parliament, ONERC reports describe the main consequences of global warming in France and present recommendations for adaptation. Fourteen reports have been published since the creation of ONERC at the end of 2001. The 2018 report is topic-based and is entitled</w:t>
      </w:r>
      <w:r w:rsidRPr="00364545">
        <w:rPr>
          <w:rStyle w:val="FootnoteReference"/>
        </w:rPr>
        <w:footnoteReference w:id="58"/>
      </w:r>
      <w:r w:rsidRPr="00364545">
        <w:t>: “Extreme weather events in the context of climate change”. By contrast, the reports published in 2019 and 2021 respectively present solutions and tools for adaptation to climate change. The 2019</w:t>
      </w:r>
      <w:r w:rsidRPr="00364545">
        <w:rPr>
          <w:rStyle w:val="FootnoteReference"/>
        </w:rPr>
        <w:footnoteReference w:id="59"/>
      </w:r>
      <w:r w:rsidRPr="00364545">
        <w:t xml:space="preserve"> report, “Nature-Based Solutions to Adapt to Climate Change” describes solutions on the ground, while the 2021</w:t>
      </w:r>
      <w:r w:rsidRPr="00364545">
        <w:rPr>
          <w:rStyle w:val="FootnoteReference"/>
        </w:rPr>
        <w:footnoteReference w:id="60"/>
      </w:r>
      <w:r w:rsidRPr="00364545">
        <w:t xml:space="preserve"> report, “Foresight for Climate Change Adaptation” provides decision-making tools. In addition, ONERC organises and participates in topic-based seminars, and has been distributing a bimonthly technical monitoring newsletter since 2009 (76 issues dispatched so far, and about 900 voluntary subscribers). It also produces a publication specifically for elected officials, with a distribution of over 5,000 copies (34 issues published so far). This newsletter aims to raise awareness among local elected officials about the reality of climate change, stimulate courses of action, and share information about local initiatives concerning adaptation and mitigation. ONERC also organises two travelling educational exhibitions specifically aimed at local authorities, associations, and schools (free of charge).</w:t>
      </w:r>
    </w:p>
    <w:p w14:paraId="07F4AC06" w14:textId="77777777" w:rsidR="00A845C2" w:rsidRPr="00364545" w:rsidRDefault="00A845C2" w:rsidP="00A845C2">
      <w:pPr>
        <w:spacing w:before="240" w:after="240"/>
      </w:pPr>
      <w:r w:rsidRPr="00364545">
        <w:t>The ONERC</w:t>
      </w:r>
      <w:r w:rsidRPr="00364545">
        <w:rPr>
          <w:rStyle w:val="FootnoteReference"/>
        </w:rPr>
        <w:footnoteReference w:id="61"/>
      </w:r>
      <w:r w:rsidRPr="00364545">
        <w:t xml:space="preserve"> website aims to help the general public understand the issues related to climate change. Hosted on the website of the Ministry of Ecological Transition and Territorial Cohesion and the Ministry of Energy Transition, it provides information about impacts, current knowledge, the adaptation approach, publications, and databases. As well as providing information about the Observatory, the website also has pages that specifically detail climate change indicators. The climate change adaptation approach is set forth according to the three areas along which it is undertaken: at national, European, and international levels. Lastly, it gives information about the IPCC in order to promote better understanding of how the Panel functions and enable the work it carries out to be monitored and consulted. The website content is regularly updated, as is the presentation of its pages, to ensure the whole meets the latest communication standards and facilitates access to information.</w:t>
      </w:r>
    </w:p>
    <w:p w14:paraId="7CB0DC8B" w14:textId="77777777" w:rsidR="006D5177" w:rsidRPr="00364545" w:rsidRDefault="006D5177" w:rsidP="006D5177">
      <w:pPr>
        <w:spacing w:before="240" w:after="240"/>
      </w:pPr>
      <w:r w:rsidRPr="00364545">
        <w:t xml:space="preserve">Current and future vulnerability analyses allow recommendations to be made and preventative and adaptive measures taken to attenuate the hazards associated with climate change. Such measures, to be unrolled in economic sectors, concern land use planning, water resources, public health, the protection of people and property, biodiversity, and cultural heritage. Since the success of these adaptation measures hinges on the close involvement of local actors, the results of all research and studies in plans and laws is taken into account before consolidating their implementation. </w:t>
      </w:r>
    </w:p>
    <w:p w14:paraId="2809CAF7" w14:textId="77777777" w:rsidR="006D5177" w:rsidRPr="00364545" w:rsidRDefault="006D5177" w:rsidP="006D5177">
      <w:pPr>
        <w:spacing w:before="240" w:after="240"/>
      </w:pPr>
      <w:r w:rsidRPr="00364545">
        <w:t>The Laws on Spatial Planning and Environmental Protection and the 2004 Climate Plan paved the way to the putting climate change adaptation into action, with the adoption of the first National Climate Change Adaptation Plan in 2011, and the second in late 2018. The Environment Round Table (Grenelle) enabled measures related to regional and local planning systems to be strengthened, particularly the SRCAEs (Regional Climate Air Energy Schemes) and the PCETs (Territorial Energy Climate Plans). Promulgated in 2015, the law on the New Territorial Organisation of the Republic (NOTRe) reinforces the territorial aspect of adaptation by obliging inter-municipalities with more than 20,000 inhabitants to draft a PCAET (Territorial Air Energy Climate Plan).</w:t>
      </w:r>
    </w:p>
    <w:p w14:paraId="1ABC32FC" w14:textId="34BB0964" w:rsidR="006D5177" w:rsidRPr="00364545" w:rsidRDefault="006D5177" w:rsidP="00E524AF">
      <w:pPr>
        <w:pStyle w:val="Titre2Niveau2"/>
        <w:numPr>
          <w:ilvl w:val="0"/>
          <w:numId w:val="100"/>
        </w:numPr>
      </w:pPr>
      <w:bookmarkStart w:id="552" w:name="_Toc118276993"/>
      <w:bookmarkStart w:id="553" w:name="_Toc118384423"/>
      <w:bookmarkStart w:id="554" w:name="_Toc138341853"/>
      <w:r w:rsidRPr="00364545">
        <w:t>Modelling, Predictions, and Scenarios</w:t>
      </w:r>
      <w:bookmarkEnd w:id="552"/>
      <w:bookmarkEnd w:id="553"/>
      <w:bookmarkEnd w:id="554"/>
    </w:p>
    <w:p w14:paraId="40FCAB70" w14:textId="7C5C877D" w:rsidR="006D5177" w:rsidRPr="00364545" w:rsidRDefault="006D5177" w:rsidP="003F57EA">
      <w:pPr>
        <w:pStyle w:val="Titre3Niveau3"/>
      </w:pPr>
      <w:bookmarkStart w:id="555" w:name="_Toc118276994"/>
      <w:bookmarkStart w:id="556" w:name="_Toc118384424"/>
      <w:bookmarkStart w:id="557" w:name="_Toc138341854"/>
      <w:r w:rsidRPr="00364545">
        <w:t>Observed developments and trends</w:t>
      </w:r>
      <w:bookmarkEnd w:id="555"/>
      <w:bookmarkEnd w:id="556"/>
      <w:bookmarkEnd w:id="557"/>
    </w:p>
    <w:p w14:paraId="2CEDC6A2" w14:textId="6C4C131D" w:rsidR="00A845C2" w:rsidRPr="00364545" w:rsidRDefault="00A845C2" w:rsidP="006D5177">
      <w:pPr>
        <w:spacing w:after="240"/>
      </w:pPr>
      <w:r w:rsidRPr="00364545">
        <w:t>As announced at the end of November by Météo-France, and whatever the temperatures in December, the year 2022 will be the warmest that France has ever measured since surveys first started taking place in 1900. Over the whole year, the temperature is likely to exceed a 14.2 °C average in France. 2022 will thus rank first among the hottest years, ahead of 2020 which held the record until now. Punctuated by climatic extremes, 2022 has proved a manifestation of climate change in France. While the year stands out in comparison to the current climate, by 2050, it may well become “normal”.</w:t>
      </w:r>
    </w:p>
    <w:p w14:paraId="00C5E764" w14:textId="08DC3BE9" w:rsidR="006D5177" w:rsidRPr="00364545" w:rsidRDefault="004077DC" w:rsidP="006D5177">
      <w:pPr>
        <w:spacing w:after="240"/>
      </w:pPr>
      <w:r w:rsidRPr="00364545">
        <w:t>Extreme events, exacerbated by climate change, cause tremendous economic and human damage and have a major impact on many people's quality of life.</w:t>
      </w:r>
    </w:p>
    <w:p w14:paraId="434A9CE7" w14:textId="77777777" w:rsidR="006D5177" w:rsidRPr="00364545" w:rsidRDefault="006D5177" w:rsidP="006D5177">
      <w:pPr>
        <w:spacing w:after="240"/>
      </w:pPr>
      <w:r w:rsidRPr="00364545">
        <w:rPr>
          <w:noProof/>
          <w:lang w:val="fr-FR"/>
        </w:rPr>
        <w:drawing>
          <wp:inline distT="0" distB="0" distL="0" distR="0" wp14:anchorId="6B62A369" wp14:editId="4223DFDE">
            <wp:extent cx="5715000" cy="3221990"/>
            <wp:effectExtent l="0" t="0" r="0" b="0"/>
            <wp:docPr id="22" name="Image 22" descr="Pour la 5e décennie consécutive, les températures moyennes de la période 2011–2020 ont été en hausse par rapport à la décennie précéden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ur la 5e décennie consécutive, les températures moyennes de la période 2011–2020 ont été en hausse par rapport à la décennie précédente.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15000" cy="3221990"/>
                    </a:xfrm>
                    <a:prstGeom prst="rect">
                      <a:avLst/>
                    </a:prstGeom>
                    <a:noFill/>
                    <a:ln>
                      <a:noFill/>
                    </a:ln>
                  </pic:spPr>
                </pic:pic>
              </a:graphicData>
            </a:graphic>
          </wp:inline>
        </w:drawing>
      </w:r>
    </w:p>
    <w:p w14:paraId="663723CC" w14:textId="08231477" w:rsidR="00C44824" w:rsidRPr="00364545" w:rsidRDefault="00C44824" w:rsidP="0045532B">
      <w:pPr>
        <w:pStyle w:val="Caption"/>
      </w:pPr>
      <w:bookmarkStart w:id="558" w:name="_Toc123916476"/>
      <w:r w:rsidRPr="00364545">
        <w:t xml:space="preserve">Figure </w:t>
      </w:r>
      <w:r w:rsidR="003714FB">
        <w:fldChar w:fldCharType="begin"/>
      </w:r>
      <w:r w:rsidR="003714FB">
        <w:instrText xml:space="preserve"> SEQ Figure \* ARABIC </w:instrText>
      </w:r>
      <w:r w:rsidR="003714FB">
        <w:fldChar w:fldCharType="separate"/>
      </w:r>
      <w:r w:rsidR="009A2FAA">
        <w:rPr>
          <w:noProof/>
        </w:rPr>
        <w:t>65</w:t>
      </w:r>
      <w:r w:rsidR="003714FB">
        <w:rPr>
          <w:noProof/>
        </w:rPr>
        <w:fldChar w:fldCharType="end"/>
      </w:r>
      <w:r w:rsidRPr="00364545">
        <w:t>: Evolution of decadal temperatures in France</w:t>
      </w:r>
      <w:bookmarkEnd w:id="558"/>
    </w:p>
    <w:p w14:paraId="20721EE4" w14:textId="02CADE69" w:rsidR="006D5177" w:rsidRPr="00364545" w:rsidRDefault="006D5177" w:rsidP="0045532B">
      <w:pPr>
        <w:pStyle w:val="Caption"/>
      </w:pPr>
      <w:r w:rsidRPr="00364545">
        <w:t>Source: Méteo France</w:t>
      </w:r>
    </w:p>
    <w:p w14:paraId="1C12FD5A" w14:textId="77777777" w:rsidR="00C44824" w:rsidRPr="00364545" w:rsidRDefault="00C44824" w:rsidP="006D5177">
      <w:pPr>
        <w:spacing w:after="240"/>
      </w:pPr>
    </w:p>
    <w:p w14:paraId="5517CF05" w14:textId="7782A745" w:rsidR="006D5177" w:rsidRPr="00364545" w:rsidRDefault="006D5177" w:rsidP="006D5177">
      <w:pPr>
        <w:spacing w:after="240"/>
      </w:pPr>
      <w:r w:rsidRPr="00364545">
        <w:t xml:space="preserve">While the level of warming is similar across all French regions, it is not taking place at an even pace. Indeed, it has been speeding up since the 1980s. The decadal temperatures illustrate this acceleration phenomenon. </w:t>
      </w:r>
      <w:hyperlink r:id="rId110" w:history="1">
        <w:r w:rsidRPr="00364545">
          <w:rPr>
            <w:rStyle w:val="Hyperlink"/>
          </w:rPr>
          <w:t>The average temperature in France has warmed by 1.7 °C since 1900.</w:t>
        </w:r>
      </w:hyperlink>
      <w:r w:rsidRPr="00364545">
        <w:t xml:space="preserve"> And, since 1970, each decade has been warmer than the previous one. Over the last ten years, during the period 2011-2020, the rise reached +0.6 °C, marking the greatest increase observed between two decades in France since 1900.</w:t>
      </w:r>
    </w:p>
    <w:p w14:paraId="0D6DC385" w14:textId="77777777" w:rsidR="006D5177" w:rsidRPr="00364545" w:rsidRDefault="006D5177" w:rsidP="006D5177">
      <w:pPr>
        <w:spacing w:after="240"/>
      </w:pPr>
      <w:r w:rsidRPr="00364545">
        <w:t xml:space="preserve">Changes in precipitation patterns differ according to regions and seasons. Across France, annual rainfall has not changed significantly since 1961. However, it is characterised by a net disparity, with in increase in the large northern half (mainly the North-East quarter) and a decrease in the south. In spring and autumn, precipitation levels are on the rise across most of mainland France. In winter and summer, precipitation patterns show greater variation from region to region. Notably, rainfall has dropped in the southern regions. Nevertheless, with the exception of a few regions in eastern France or close to the Mediterranean, precipitation trends tend to be rather slight and can vary depending on the study period covered by the analysis. </w:t>
      </w:r>
    </w:p>
    <w:p w14:paraId="46F26A7B" w14:textId="258653C5" w:rsidR="006D5177" w:rsidRPr="00364545" w:rsidRDefault="006D5177" w:rsidP="006D5177">
      <w:pPr>
        <w:spacing w:after="240"/>
      </w:pPr>
      <w:r w:rsidRPr="00364545">
        <w:rPr>
          <w:noProof/>
          <w:lang w:val="fr-FR"/>
        </w:rPr>
        <w:drawing>
          <wp:inline distT="0" distB="0" distL="0" distR="0" wp14:anchorId="755010B3" wp14:editId="1B9DA70E">
            <wp:extent cx="6000750" cy="3857625"/>
            <wp:effectExtent l="0" t="0" r="0" b="952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SSE_FRA_PRECI_RR_ANN_IMAGE.png"/>
                    <pic:cNvPicPr/>
                  </pic:nvPicPr>
                  <pic:blipFill>
                    <a:blip r:embed="rId111">
                      <a:extLst>
                        <a:ext uri="{28A0092B-C50C-407E-A947-70E740481C1C}">
                          <a14:useLocalDpi xmlns:a14="http://schemas.microsoft.com/office/drawing/2010/main" val="0"/>
                        </a:ext>
                      </a:extLst>
                    </a:blip>
                    <a:stretch>
                      <a:fillRect/>
                    </a:stretch>
                  </pic:blipFill>
                  <pic:spPr>
                    <a:xfrm>
                      <a:off x="0" y="0"/>
                      <a:ext cx="6000750" cy="3857625"/>
                    </a:xfrm>
                    <a:prstGeom prst="rect">
                      <a:avLst/>
                    </a:prstGeom>
                  </pic:spPr>
                </pic:pic>
              </a:graphicData>
            </a:graphic>
          </wp:inline>
        </w:drawing>
      </w:r>
    </w:p>
    <w:p w14:paraId="0135E763" w14:textId="296A0BA2" w:rsidR="00C44824" w:rsidRPr="00364545" w:rsidRDefault="00C44824" w:rsidP="0045532B">
      <w:pPr>
        <w:pStyle w:val="Caption"/>
      </w:pPr>
      <w:bookmarkStart w:id="559" w:name="_Toc123916477"/>
      <w:r w:rsidRPr="00364545">
        <w:t xml:space="preserve">Figure </w:t>
      </w:r>
      <w:r w:rsidR="003714FB">
        <w:fldChar w:fldCharType="begin"/>
      </w:r>
      <w:r w:rsidR="003714FB">
        <w:instrText xml:space="preserve"> SEQ Figure \* ARABIC </w:instrText>
      </w:r>
      <w:r w:rsidR="003714FB">
        <w:fldChar w:fldCharType="separate"/>
      </w:r>
      <w:r w:rsidR="009A2FAA">
        <w:rPr>
          <w:noProof/>
        </w:rPr>
        <w:t>66</w:t>
      </w:r>
      <w:r w:rsidR="003714FB">
        <w:rPr>
          <w:noProof/>
        </w:rPr>
        <w:fldChar w:fldCharType="end"/>
      </w:r>
      <w:r w:rsidRPr="00364545">
        <w:t>: Evolution of annual accumulated precipitation over the period 1961-2012</w:t>
      </w:r>
      <w:bookmarkEnd w:id="559"/>
    </w:p>
    <w:p w14:paraId="01AAC693" w14:textId="57D2F0E3" w:rsidR="00C44824" w:rsidRPr="00364545" w:rsidRDefault="00C44824" w:rsidP="0045532B">
      <w:pPr>
        <w:pStyle w:val="Caption"/>
      </w:pPr>
      <w:r w:rsidRPr="00364545">
        <w:t>Source: Météo France</w:t>
      </w:r>
    </w:p>
    <w:p w14:paraId="48404501" w14:textId="77777777" w:rsidR="00C44824" w:rsidRPr="00364545" w:rsidRDefault="00C44824" w:rsidP="00C44824"/>
    <w:p w14:paraId="634F4744" w14:textId="03F30794" w:rsidR="004077DC" w:rsidRPr="00364545" w:rsidRDefault="004077DC" w:rsidP="004077DC">
      <w:pPr>
        <w:spacing w:after="240"/>
      </w:pPr>
      <w:r w:rsidRPr="00364545">
        <w:t>Since the mid-twentieth</w:t>
      </w:r>
      <w:r w:rsidRPr="00364545">
        <w:rPr>
          <w:vertAlign w:val="superscript"/>
        </w:rPr>
        <w:t xml:space="preserve"> </w:t>
      </w:r>
      <w:r w:rsidRPr="00364545">
        <w:t>century, there have also been changes in the frequency and intensity of extreme events: the number of hot days (maximum temperatures above 25</w:t>
      </w:r>
      <w:r w:rsidRPr="00364545">
        <w:rPr>
          <w:rFonts w:ascii="Calibri" w:hAnsi="Calibri"/>
        </w:rPr>
        <w:t xml:space="preserve"> </w:t>
      </w:r>
      <w:r w:rsidRPr="00364545">
        <w:t xml:space="preserve">°C) has increased, while the number of frost days has decreased. Heatwaves have grown more frequent and more intense. </w:t>
      </w:r>
    </w:p>
    <w:p w14:paraId="736DDD42" w14:textId="77777777" w:rsidR="004077DC" w:rsidRPr="00364545" w:rsidRDefault="004077DC" w:rsidP="004077DC">
      <w:pPr>
        <w:spacing w:after="240"/>
      </w:pPr>
      <w:r w:rsidRPr="00364545">
        <w:t xml:space="preserve">Climate change can be seen at all levels, with direct impacts that include not only the rise in annual average temperature, but also more specific ones such as a shorter period of snowfall in medium-sized mountains and a steeper rise in soil evaporation, inducing more frequent and more intense droughts. </w:t>
      </w:r>
    </w:p>
    <w:p w14:paraId="58CE19D9" w14:textId="1CAA8634" w:rsidR="004077DC" w:rsidRPr="00364545" w:rsidRDefault="004077DC" w:rsidP="004077DC">
      <w:pPr>
        <w:spacing w:after="240"/>
      </w:pPr>
      <w:r w:rsidRPr="00364545">
        <w:t xml:space="preserve">Much like the rest of the world, the change in average annual temperatures in metropolitan France has shown clear warming since 1900. The rate of warming has varied, with a particularly marked increase since the 1980s. With the exception of 2021, the last few years (2017, 2018, 2019 and 2020) have been among the warmest since 1900. In 2020, two heatwaves occurred during the summer, followed by an exceptional late heat episode in mid-September. The year was also marked by a succession of storms from late winter to early spring. There were also episodes of extreme weather in the Mediterranean region that caused river flooding and groundwater flooding, with devastating local floods in Roussillon in January; in the Cévennes in September; and in the Alpes-Maritimes in October. </w:t>
      </w:r>
    </w:p>
    <w:p w14:paraId="75C270D2" w14:textId="77777777" w:rsidR="004077DC" w:rsidRPr="00364545" w:rsidRDefault="004077DC" w:rsidP="004077DC">
      <w:pPr>
        <w:spacing w:after="240"/>
      </w:pPr>
      <w:r w:rsidRPr="00364545">
        <w:t>The average annual temperature across the whole country reached 14.1 °C, exceeding the normal (with reference to 1981-2010) by 1.5 °C. The year 2020 thus ranked first</w:t>
      </w:r>
      <w:r w:rsidRPr="00364545">
        <w:rPr>
          <w:vertAlign w:val="superscript"/>
        </w:rPr>
        <w:t xml:space="preserve"> </w:t>
      </w:r>
      <w:r w:rsidRPr="00364545">
        <w:t>among the warmest years over the period 1900-2020, ahead of 2018 (13.9°C) and 2014 (13.8°C). As announced at the end of November by Météo-France, and whatever the temperatures in December, the year 2022 will be the warmest that France has ever measured since surveys first started taking place in 1900.</w:t>
      </w:r>
    </w:p>
    <w:p w14:paraId="3F6F2412" w14:textId="77777777" w:rsidR="004077DC" w:rsidRPr="00364545" w:rsidRDefault="004077DC" w:rsidP="004077DC">
      <w:pPr>
        <w:spacing w:after="240"/>
      </w:pPr>
      <w:r w:rsidRPr="00364545">
        <w:t>The consequences of changing climatic conditions are being felt in many areas. The glaciers of the French Alps show loss of their mass balance and the glaciers of the Pyrenees are following the same trend. Despite fluctuating values of accumulation and ablation, the balance has been negative every year since the 2001-02 cycle. The average balance of a selection of French glaciers (Alps and Pyrenees) shows a negative mass balance of 27 metres of water equivalent in 2021 compared to 2001.</w:t>
      </w:r>
    </w:p>
    <w:p w14:paraId="3D38F1CF" w14:textId="77777777" w:rsidR="006D5177" w:rsidRPr="00364545" w:rsidRDefault="006D5177" w:rsidP="006D5177"/>
    <w:p w14:paraId="4CA16691" w14:textId="77777777" w:rsidR="006D5177" w:rsidRPr="00364545" w:rsidRDefault="006D5177" w:rsidP="006D5177"/>
    <w:p w14:paraId="66E8B6BE" w14:textId="77777777" w:rsidR="006D5177" w:rsidRPr="00364545" w:rsidRDefault="006D5177" w:rsidP="006D5177"/>
    <w:p w14:paraId="08B790B6" w14:textId="664E0D6B" w:rsidR="006D5177" w:rsidRPr="00364545" w:rsidRDefault="006D5177" w:rsidP="006D5177">
      <w:r w:rsidRPr="00364545">
        <w:rPr>
          <w:noProof/>
          <w:lang w:val="fr-FR"/>
        </w:rPr>
        <w:drawing>
          <wp:inline distT="0" distB="0" distL="0" distR="0" wp14:anchorId="0A1E79AA" wp14:editId="4E2E1D5D">
            <wp:extent cx="6318250" cy="4141479"/>
            <wp:effectExtent l="0" t="0" r="6350" b="0"/>
            <wp:docPr id="60" name="Image 60" descr="Bilan de masse d'une sélection de glaciers franç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an de masse d'une sélection de glaciers françai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18250" cy="4141479"/>
                    </a:xfrm>
                    <a:prstGeom prst="rect">
                      <a:avLst/>
                    </a:prstGeom>
                    <a:noFill/>
                    <a:ln>
                      <a:noFill/>
                    </a:ln>
                  </pic:spPr>
                </pic:pic>
              </a:graphicData>
            </a:graphic>
          </wp:inline>
        </w:drawing>
      </w:r>
    </w:p>
    <w:p w14:paraId="5A2DD277" w14:textId="28CCD51A" w:rsidR="00C44824" w:rsidRPr="00364545" w:rsidRDefault="00C44824" w:rsidP="0045532B">
      <w:pPr>
        <w:pStyle w:val="Caption"/>
      </w:pPr>
      <w:bookmarkStart w:id="560" w:name="_Toc123916478"/>
      <w:r w:rsidRPr="00364545">
        <w:t xml:space="preserve">Figure </w:t>
      </w:r>
      <w:r w:rsidR="003714FB">
        <w:fldChar w:fldCharType="begin"/>
      </w:r>
      <w:r w:rsidR="003714FB">
        <w:instrText xml:space="preserve"> SEQ Figure \* ARABIC </w:instrText>
      </w:r>
      <w:r w:rsidR="003714FB">
        <w:fldChar w:fldCharType="separate"/>
      </w:r>
      <w:r w:rsidR="009A2FAA">
        <w:rPr>
          <w:noProof/>
        </w:rPr>
        <w:t>67</w:t>
      </w:r>
      <w:r w:rsidR="003714FB">
        <w:rPr>
          <w:noProof/>
        </w:rPr>
        <w:fldChar w:fldCharType="end"/>
      </w:r>
      <w:r w:rsidRPr="00364545">
        <w:t>: Loss of water from glaciers</w:t>
      </w:r>
      <w:bookmarkEnd w:id="560"/>
    </w:p>
    <w:p w14:paraId="053748FF" w14:textId="7955586A" w:rsidR="006D5177" w:rsidRPr="004F2995" w:rsidRDefault="00C44824" w:rsidP="0045532B">
      <w:pPr>
        <w:pStyle w:val="Caption"/>
        <w:rPr>
          <w:lang w:val="fr-FR"/>
        </w:rPr>
      </w:pPr>
      <w:r w:rsidRPr="004F2995">
        <w:rPr>
          <w:lang w:val="fr-FR"/>
        </w:rPr>
        <w:t>Sources: Association Moraine (Association Pyrénéenne de Glaciologie), LGEE (Gebroulaz, Argentière, Saint Sorlin, Mer de Glace)</w:t>
      </w:r>
    </w:p>
    <w:p w14:paraId="627BA8F3" w14:textId="77777777" w:rsidR="00C44824" w:rsidRPr="004F2995" w:rsidRDefault="00C44824" w:rsidP="006D5177">
      <w:pPr>
        <w:rPr>
          <w:lang w:val="fr-FR"/>
        </w:rPr>
      </w:pPr>
    </w:p>
    <w:p w14:paraId="34F81EED" w14:textId="77777777" w:rsidR="006D5177" w:rsidRPr="00364545" w:rsidRDefault="006D5177" w:rsidP="006D5177">
      <w:r w:rsidRPr="00364545">
        <w:t>The effects of climate change are as apparent in the Overseas Territories as in mainland France, particularly with regard to rising temperatures.</w:t>
      </w:r>
    </w:p>
    <w:p w14:paraId="2DC73E18" w14:textId="77777777" w:rsidR="006D5177" w:rsidRPr="00364545" w:rsidRDefault="006D5177" w:rsidP="006D5177"/>
    <w:p w14:paraId="4FA5E9F2" w14:textId="77777777" w:rsidR="006D5177" w:rsidRPr="00364545" w:rsidRDefault="006D5177" w:rsidP="006D5177">
      <w:r w:rsidRPr="00364545">
        <w:t>In the Antilles, climate change is manifested mainly by a rise in average temperatures of about 0.3°C per decade over the period 1971-2013, with the warmest years occurring after the 2000s. This trend is more pronounced for minimum temperatures, that show a change of +0.4 °C per decade, than for maximum temperatures, that climb by +0.2 °C per decade; it is also fairly even following the seasons.</w:t>
      </w:r>
    </w:p>
    <w:p w14:paraId="2B0CD0D7" w14:textId="77777777" w:rsidR="006D5177" w:rsidRPr="00364545" w:rsidRDefault="006D5177" w:rsidP="006D5177">
      <w:r w:rsidRPr="00364545">
        <w:t>The number of hot nights (minimum temperature greater than or equal to 24 °C) are also increasing in the Antilles. The number of hot days (maximum temperature greater than or equal to 31 °C.) also shows an increasing trend, particularly at low altitudes.</w:t>
      </w:r>
    </w:p>
    <w:p w14:paraId="25B49F79" w14:textId="77777777" w:rsidR="006D5177" w:rsidRPr="00364545" w:rsidRDefault="006D5177" w:rsidP="006D5177">
      <w:r w:rsidRPr="00364545">
        <w:t>Annual rainfall varies highly from one year to the next, notably due to cyclones, a fairly unpredictable factor. No significant precipitation trend can be seen over the period 1971-2013.</w:t>
      </w:r>
    </w:p>
    <w:p w14:paraId="1D56B6DB" w14:textId="77777777" w:rsidR="006D5177" w:rsidRPr="00364545" w:rsidRDefault="006D5177" w:rsidP="006D5177">
      <w:r w:rsidRPr="00364545">
        <w:t>Similarly, there is no clear trend in the number of moderate or intense rainfall events.</w:t>
      </w:r>
    </w:p>
    <w:p w14:paraId="22B1B77E" w14:textId="77777777" w:rsidR="006D5177" w:rsidRPr="00364545" w:rsidRDefault="006D5177" w:rsidP="006D5177"/>
    <w:p w14:paraId="16D91EA3" w14:textId="77777777" w:rsidR="006D5177" w:rsidRPr="00364545" w:rsidRDefault="006D5177" w:rsidP="006D5177">
      <w:r w:rsidRPr="00364545">
        <w:t>In Reunion Island, the effects of climate change mainly take the shape of a rise in average temperatures, particularly over the last two decades. Since 1970, there has been a rise in annual minimum and maximum temperatures of between 0.1</w:t>
      </w:r>
      <w:r w:rsidRPr="00364545">
        <w:rPr>
          <w:rFonts w:ascii="Calibri" w:hAnsi="Calibri"/>
        </w:rPr>
        <w:t xml:space="preserve"> </w:t>
      </w:r>
      <w:r w:rsidRPr="00364545">
        <w:t>°C and 0.2</w:t>
      </w:r>
      <w:r w:rsidRPr="00364545">
        <w:rPr>
          <w:rFonts w:ascii="Calibri" w:hAnsi="Calibri"/>
        </w:rPr>
        <w:t xml:space="preserve"> </w:t>
      </w:r>
      <w:r w:rsidRPr="00364545">
        <w:t>°C per decade. These values are lower than in mainland France, mainly due to lower temperature variability in the tropics.</w:t>
      </w:r>
    </w:p>
    <w:p w14:paraId="22792018" w14:textId="77777777" w:rsidR="006D5177" w:rsidRPr="00364545" w:rsidRDefault="006D5177" w:rsidP="006D5177"/>
    <w:p w14:paraId="1BD0FA22" w14:textId="77777777" w:rsidR="006D5177" w:rsidRPr="00364545" w:rsidRDefault="006D5177" w:rsidP="006D5177">
      <w:r w:rsidRPr="00364545">
        <w:t>On a seasonal scale, it is the austral summer (or rainy season) that shows the greatest level of warming. And overall, in any season, the day's maximum temperatures are warming more than the night's minimum temperatures.</w:t>
      </w:r>
    </w:p>
    <w:p w14:paraId="3B18B3C8" w14:textId="77777777" w:rsidR="006D5177" w:rsidRPr="00364545" w:rsidRDefault="006D5177" w:rsidP="006D5177">
      <w:r w:rsidRPr="00364545">
        <w:t>Annual rainfall varies highly from year to year, notably due to cyclone (a fairly unpredictable factor), and analyses of their changes tend to vary depending on when the study has been conducted. As a result, over the period 1961-2016, precipitation trends are often not marked, except in the south-west of Reunion Island where a significant decrease appears.</w:t>
      </w:r>
    </w:p>
    <w:p w14:paraId="3DB5D9CC" w14:textId="77777777" w:rsidR="006D5177" w:rsidRPr="00364545" w:rsidRDefault="006D5177" w:rsidP="006D5177">
      <w:r w:rsidRPr="00364545">
        <w:t>There is no clear trend in the number of intense rain events. On the other hand, as in the case of rainfall levels, there is a drop in the number of moderate to heavy rainy days in the southwest of Reunion Island.</w:t>
      </w:r>
    </w:p>
    <w:p w14:paraId="04712E4C" w14:textId="2DB31781" w:rsidR="006D5177" w:rsidRPr="00364545" w:rsidRDefault="006D5177" w:rsidP="003F57EA">
      <w:pPr>
        <w:pStyle w:val="Titre3Niveau3"/>
      </w:pPr>
      <w:bookmarkStart w:id="561" w:name="_Toc118276995"/>
      <w:bookmarkStart w:id="562" w:name="_Toc118384425"/>
      <w:bookmarkStart w:id="563" w:name="_Toc138341855"/>
      <w:r w:rsidRPr="00364545">
        <w:t>Picturing Future Climate</w:t>
      </w:r>
      <w:bookmarkEnd w:id="561"/>
      <w:bookmarkEnd w:id="562"/>
      <w:bookmarkEnd w:id="563"/>
    </w:p>
    <w:p w14:paraId="0509BC28" w14:textId="77777777" w:rsidR="006D5177" w:rsidRPr="00364545" w:rsidRDefault="006D5177" w:rsidP="006D5177">
      <w:pPr>
        <w:spacing w:after="240"/>
      </w:pPr>
      <w:r w:rsidRPr="00364545">
        <w:t xml:space="preserve">In 2010, the Ministry of the Environment called on the expertise of the French climate science community, made up of researchers from CNRS/INSU/IPSL and LGGE, Météo-France, BRGM, CEA, CETMEF and CNES, to produce a scientific assessment of France's climate conditions in the twenty-first century. The series “France's climate in the twenty-first century” provides the reference climate indices that serve as a basis for the development of climate change adaptation policies. </w:t>
      </w:r>
    </w:p>
    <w:p w14:paraId="6183F3E4" w14:textId="77777777" w:rsidR="006D5177" w:rsidRPr="00364545" w:rsidRDefault="006D5177" w:rsidP="006D5177">
      <w:pPr>
        <w:spacing w:after="240"/>
      </w:pPr>
      <w:r w:rsidRPr="00364545">
        <w:t>This constitutes an essential tool for the many players involved in adaptation, including local authorities, economic players, associations, and government departments. For this reason, the production of these baseline data is included as a flagship action in the National Climate Change Adaptation Plan</w:t>
      </w:r>
      <w:r w:rsidRPr="00364545">
        <w:rPr>
          <w:rStyle w:val="FootnoteReference"/>
        </w:rPr>
        <w:footnoteReference w:id="62"/>
      </w:r>
      <w:r w:rsidRPr="00364545">
        <w:t xml:space="preserve"> that came into force on July 19, 2011. The National Observatory on the Effects of Global Warming (ONERC) organises and disseminates this scientific information under the title “France's climate in the twenty-first century”. </w:t>
      </w:r>
    </w:p>
    <w:p w14:paraId="1E3055DC" w14:textId="77777777" w:rsidR="006D5177" w:rsidRPr="00364545" w:rsidRDefault="006D5177" w:rsidP="006D5177">
      <w:pPr>
        <w:spacing w:after="240"/>
      </w:pPr>
      <w:r w:rsidRPr="00364545">
        <w:t xml:space="preserve">Volumes 4 and 5 of this collection provide an update of Volumes 2 and 3 based on the results available from the DRIAS, Futures of Climate portal. This first climate service comes from the DRIAS project (Providing access to French Regionalised Climate Scenarios for the Impact and Adaptation of our Societies and the Environment) funded by the Climate Change Management and Impact Program (GICC) of the Ministry of Energy Transition and Solidarity (MTES). It responds to important needs expressed by all actors involved in climate change: the need for easily available information and that of receiving help to study the impacts and decide on measures for adaptation to climate change. </w:t>
      </w:r>
    </w:p>
    <w:p w14:paraId="3F5A9F34" w14:textId="77777777" w:rsidR="006D5177" w:rsidRPr="00364545" w:rsidRDefault="006D5177" w:rsidP="006D5177">
      <w:pPr>
        <w:spacing w:after="240"/>
      </w:pPr>
      <w:r w:rsidRPr="00364545">
        <w:t xml:space="preserve">The DRIAS portal provides some of these elements in a way that is easy for users to navigate. This is a crucial first step in the development of a French climate service, as it facilitates and simplifies access to and use of information relating to French regionalised climate projections. It also helps enhance the value of research work and further streamlines the productions of French modelling groups, now accessible in a single location. </w:t>
      </w:r>
    </w:p>
    <w:p w14:paraId="129A7645" w14:textId="77777777" w:rsidR="006D5177" w:rsidRPr="00364545" w:rsidRDefault="006D5177" w:rsidP="006D5177">
      <w:pPr>
        <w:spacing w:after="240"/>
      </w:pPr>
      <w:r w:rsidRPr="00364545">
        <w:t xml:space="preserve">The DRIAS portal is intended for a wide spectrum of users, ranging from experts (researchers, academics, etc.) to non-specialists (project managers, decision-makers, etc.), involved in climate change impact and adaptation studies. It is aimed at regional actors, who act within the framework of a climate-related plan or scheme, or of an observatory; private actors who need to consider future climate in the context of their work; environmental and adaptation consulting professionals; researchers who are involved in impact studies or adaptation work; and teachers who wish to access climate projection information. Access to this data is essential to carrying out territorial vulnerability studies, on whose basis local authorities can go on to draw up climate change adaptation policies. </w:t>
      </w:r>
    </w:p>
    <w:p w14:paraId="4AB7E984" w14:textId="77777777" w:rsidR="006D5177" w:rsidRPr="00364545" w:rsidRDefault="006D5177" w:rsidP="006D5177">
      <w:pPr>
        <w:spacing w:after="240"/>
      </w:pPr>
      <w:r w:rsidRPr="00364545">
        <w:t xml:space="preserve">For the general public, this service is supplemented by the web application, “Climat HD”: the climate of yesterday and tomorrow, that offers an integrated vision of the evolution of the past and future climate, at national and regional levels. Climat HD provides an overview of the latest climatology studies, presenting key messages and graphs to better understand climate change and its impacts. </w:t>
      </w:r>
    </w:p>
    <w:p w14:paraId="0C864C7D" w14:textId="77777777" w:rsidR="006D5177" w:rsidRPr="00364545" w:rsidRDefault="006D5177" w:rsidP="006D5177">
      <w:r w:rsidRPr="00364545">
        <w:t>At the end of 2020, the “DRIAS - Futures of Climate” portal received an important update with the launch of DRIAS 2020, a resource that publishes the key information required for this dataset to be used in the development, implementation, or evaluation of adaptation approaches. The portal now incorporates the following new features:</w:t>
      </w:r>
    </w:p>
    <w:p w14:paraId="17312198" w14:textId="77777777" w:rsidR="006D5177" w:rsidRPr="00364545" w:rsidRDefault="006D5177" w:rsidP="00BE086C">
      <w:pPr>
        <w:pStyle w:val="ListParagraph"/>
        <w:numPr>
          <w:ilvl w:val="1"/>
          <w:numId w:val="38"/>
        </w:numPr>
      </w:pPr>
      <w:r w:rsidRPr="00364545">
        <w:t>A new design across the entire portal</w:t>
      </w:r>
    </w:p>
    <w:p w14:paraId="52E270F3" w14:textId="77777777" w:rsidR="006D5177" w:rsidRPr="00364545" w:rsidRDefault="006D5177" w:rsidP="00BE086C">
      <w:pPr>
        <w:pStyle w:val="ListParagraph"/>
        <w:numPr>
          <w:ilvl w:val="1"/>
          <w:numId w:val="38"/>
        </w:numPr>
      </w:pPr>
      <w:r w:rsidRPr="00364545">
        <w:t xml:space="preserve">Improved ergonomics for the Discovery area. </w:t>
      </w:r>
    </w:p>
    <w:p w14:paraId="541404F9" w14:textId="77777777" w:rsidR="006D5177" w:rsidRPr="00364545" w:rsidRDefault="006D5177" w:rsidP="00BE086C">
      <w:pPr>
        <w:pStyle w:val="ListParagraph"/>
        <w:numPr>
          <w:ilvl w:val="1"/>
          <w:numId w:val="38"/>
        </w:numPr>
      </w:pPr>
      <w:r w:rsidRPr="00364545">
        <w:t>More articles in the Accompaniment area.</w:t>
      </w:r>
    </w:p>
    <w:p w14:paraId="1F0FB779" w14:textId="77777777" w:rsidR="006D5177" w:rsidRPr="00364545" w:rsidRDefault="006D5177" w:rsidP="00BE086C">
      <w:pPr>
        <w:pStyle w:val="ListParagraph"/>
        <w:numPr>
          <w:ilvl w:val="1"/>
          <w:numId w:val="38"/>
        </w:numPr>
      </w:pPr>
      <w:r w:rsidRPr="00364545">
        <w:t>A new reference dataset: DRIAS-2020</w:t>
      </w:r>
    </w:p>
    <w:p w14:paraId="38FE6FD4" w14:textId="77777777" w:rsidR="006D5177" w:rsidRPr="00364545" w:rsidRDefault="006D5177" w:rsidP="00BE086C">
      <w:pPr>
        <w:pStyle w:val="ListParagraph"/>
        <w:numPr>
          <w:ilvl w:val="1"/>
          <w:numId w:val="38"/>
        </w:numPr>
      </w:pPr>
      <w:r w:rsidRPr="00364545">
        <w:t>- New agro-climatic indicators.</w:t>
      </w:r>
    </w:p>
    <w:p w14:paraId="1414EDD0" w14:textId="77777777" w:rsidR="006D5177" w:rsidRPr="00364545" w:rsidRDefault="006D5177" w:rsidP="006D5177">
      <w:r w:rsidRPr="00364545">
        <w:t>In 2021, as part of the C3AF project (Climate Change and Consequences on the French Antilles) led by Météo-France and its scientific partners (University of the French Antilles, BRGM, and the University of Montpellier), new regionalised climate projections were made and integrated into the portal for several Overseas Territories (Guadeloupe, Martinique, Saint-Martin, Saint-Barthélemy).</w:t>
      </w:r>
    </w:p>
    <w:p w14:paraId="075FCABB" w14:textId="2D1FAA59" w:rsidR="006D5177" w:rsidRPr="00364545" w:rsidRDefault="006D5177" w:rsidP="00C02C24">
      <w:pPr>
        <w:rPr>
          <w:sz w:val="23"/>
          <w:szCs w:val="23"/>
          <w:shd w:val="clear" w:color="auto" w:fill="FFFFFF"/>
        </w:rPr>
      </w:pPr>
      <w:r w:rsidRPr="00364545">
        <w:t xml:space="preserve">Reunion Island followed in July 2021 with the addition of data from the </w:t>
      </w:r>
      <w:r w:rsidRPr="00364545">
        <w:rPr>
          <w:sz w:val="23"/>
          <w:shd w:val="clear" w:color="auto" w:fill="FFFFFF"/>
        </w:rPr>
        <w:t>BRIO-2021. game.</w:t>
      </w:r>
    </w:p>
    <w:p w14:paraId="00F121EF" w14:textId="1977A005" w:rsidR="006D5177" w:rsidRPr="00364545" w:rsidRDefault="006D5177" w:rsidP="003F57EA">
      <w:pPr>
        <w:pStyle w:val="Titre3Niveau3"/>
      </w:pPr>
      <w:bookmarkStart w:id="564" w:name="_Toc118276996"/>
      <w:bookmarkStart w:id="565" w:name="_Toc118384426"/>
      <w:bookmarkStart w:id="566" w:name="_Toc138341856"/>
      <w:r w:rsidRPr="00364545">
        <w:t>Expected impacts of climate change</w:t>
      </w:r>
      <w:bookmarkEnd w:id="564"/>
      <w:bookmarkEnd w:id="565"/>
      <w:bookmarkEnd w:id="566"/>
    </w:p>
    <w:p w14:paraId="3DAF888F" w14:textId="77777777" w:rsidR="006D5177" w:rsidRPr="00364545" w:rsidRDefault="006D5177" w:rsidP="006D5177">
      <w:pPr>
        <w:spacing w:after="240"/>
      </w:pPr>
      <w:r w:rsidRPr="00364545">
        <w:t xml:space="preserve">The 2 °C rise in average global temperature by the end of the century will vary from region to region and will be accompanied by significant changes in precipitation patterns and in the frequency and severity of extreme events everywhere. These changes will have major impacts in all socio-economic sectors and on the entire planet's natural environment. </w:t>
      </w:r>
    </w:p>
    <w:p w14:paraId="1216B01F" w14:textId="77777777" w:rsidR="006D5177" w:rsidRPr="00364545" w:rsidRDefault="006D5177" w:rsidP="006D5177">
      <w:pPr>
        <w:spacing w:after="240"/>
      </w:pPr>
      <w:r w:rsidRPr="00364545">
        <w:t>In mainland and overseas France, the average rise of 2</w:t>
      </w:r>
      <w:r w:rsidRPr="00364545">
        <w:rPr>
          <w:rFonts w:ascii="Calibri" w:hAnsi="Calibri"/>
        </w:rPr>
        <w:t xml:space="preserve"> </w:t>
      </w:r>
      <w:r w:rsidRPr="00364545">
        <w:t xml:space="preserve">°C will generate significant upheavals in many aspects of regional climates, particularly with regard to extreme events. In order identify the most appropriate adaptation measures, it is essential to have as good an understanding as possible of these changes, their impacts, and the uncertainties that accompany them. </w:t>
      </w:r>
    </w:p>
    <w:p w14:paraId="0B6F48F7" w14:textId="77777777" w:rsidR="006D5177" w:rsidRPr="00364545" w:rsidRDefault="006D5177" w:rsidP="006D5177">
      <w:pPr>
        <w:spacing w:after="240"/>
      </w:pPr>
      <w:r w:rsidRPr="00364545">
        <w:t xml:space="preserve">A number projects launched under the two National Adaptation Plans for Climate Change (PNACC-1 and PNACC-2) have enabled the predicted changes in different regions to be specified and provided access to the corresponding quantitative data for all those involved in the adaptation process. From a qualitative point of view, the main characteristics anticipated, consistent with the changes already detected, are as follows: </w:t>
      </w:r>
    </w:p>
    <w:p w14:paraId="474EEBF2" w14:textId="77777777" w:rsidR="006D5177" w:rsidRPr="00364545" w:rsidRDefault="006D5177" w:rsidP="00BE086C">
      <w:pPr>
        <w:pStyle w:val="ListParagraph"/>
        <w:numPr>
          <w:ilvl w:val="0"/>
          <w:numId w:val="33"/>
        </w:numPr>
        <w:spacing w:after="240"/>
      </w:pPr>
      <w:r w:rsidRPr="00364545">
        <w:t xml:space="preserve">a rise in temperatures higher than the global average of 2 °C, particularly in regions further from the coast, with heatwaves becoming more frequent and more severe, and extending beyond traditional summer periods. Cold snaps will be less severe and less frequent; however the risk of spring frosts sparked by an earlier start of plant growth will not diminish; </w:t>
      </w:r>
    </w:p>
    <w:p w14:paraId="39BE6FF1" w14:textId="77777777" w:rsidR="006D5177" w:rsidRPr="00364545" w:rsidRDefault="006D5177" w:rsidP="00BE086C">
      <w:pPr>
        <w:pStyle w:val="ListParagraph"/>
        <w:numPr>
          <w:ilvl w:val="0"/>
          <w:numId w:val="33"/>
        </w:numPr>
        <w:spacing w:after="240"/>
      </w:pPr>
      <w:r w:rsidRPr="00364545">
        <w:t xml:space="preserve">more intense rainfall, even in areas where the annual amount of precipitation is set to drop, increasing the risk of river and groundwater flooding. At the same time, droughts will be more frequent and severe, leading to a sharp drop in groundwater levels and river flows, increased pressure on water resources for ecosystems and human activities, and heightened risk of forest fires; </w:t>
      </w:r>
    </w:p>
    <w:p w14:paraId="59D93FE6" w14:textId="77777777" w:rsidR="006D5177" w:rsidRPr="00364545" w:rsidRDefault="006D5177" w:rsidP="00BE086C">
      <w:pPr>
        <w:pStyle w:val="ListParagraph"/>
        <w:numPr>
          <w:ilvl w:val="0"/>
          <w:numId w:val="33"/>
        </w:numPr>
        <w:spacing w:after="240"/>
      </w:pPr>
      <w:r w:rsidRPr="00364545">
        <w:t xml:space="preserve">a rise in sea level that will continue to accelerate and increase the risk of submersion; </w:t>
      </w:r>
    </w:p>
    <w:p w14:paraId="7E75421A" w14:textId="77777777" w:rsidR="006D5177" w:rsidRPr="00364545" w:rsidRDefault="006D5177" w:rsidP="00BE086C">
      <w:pPr>
        <w:pStyle w:val="ListParagraph"/>
        <w:numPr>
          <w:ilvl w:val="0"/>
          <w:numId w:val="33"/>
        </w:numPr>
        <w:spacing w:after="240"/>
      </w:pPr>
      <w:r w:rsidRPr="00364545">
        <w:t>the main trends of climate change are better known today in the Overseas Territories. Over the past forty years, temperatures have risen from +0.65 °C to +1.5 °C, depending on the territory. In the Antilles, warming could reach 2.5</w:t>
      </w:r>
      <w:r w:rsidRPr="00364545">
        <w:rPr>
          <w:rFonts w:ascii="Calibri" w:hAnsi="Calibri"/>
        </w:rPr>
        <w:t xml:space="preserve"> </w:t>
      </w:r>
      <w:r w:rsidRPr="00364545">
        <w:t>°C to 3</w:t>
      </w:r>
      <w:r w:rsidRPr="00364545">
        <w:rPr>
          <w:rFonts w:ascii="Calibri" w:hAnsi="Calibri"/>
        </w:rPr>
        <w:t xml:space="preserve"> </w:t>
      </w:r>
      <w:r w:rsidRPr="00364545">
        <w:t>°C by 2056-2080 compared to 1981-2010. For Reunion Island, warming in the twenty-first century occurs under any scenario and could reach 3</w:t>
      </w:r>
      <w:r w:rsidRPr="00364545">
        <w:rPr>
          <w:rFonts w:ascii="Calibri" w:hAnsi="Calibri"/>
        </w:rPr>
        <w:t> </w:t>
      </w:r>
      <w:r w:rsidRPr="00364545">
        <w:t>°C at Horizon 2071-2100 compared to the period 1976-2005, or even 4</w:t>
      </w:r>
      <w:r w:rsidRPr="00364545">
        <w:rPr>
          <w:rFonts w:ascii="Calibri" w:hAnsi="Calibri"/>
        </w:rPr>
        <w:t xml:space="preserve"> </w:t>
      </w:r>
      <w:r w:rsidRPr="00364545">
        <w:t xml:space="preserve">°C according to the latest simulations. In the Overseas Territories, heatwaves are also set to become much more frequent. Temperatures considered exceptional in the present day are set to become common in the future. </w:t>
      </w:r>
    </w:p>
    <w:p w14:paraId="7375E0B2" w14:textId="77777777" w:rsidR="006D5177" w:rsidRPr="00364545" w:rsidRDefault="006D5177" w:rsidP="00BE086C">
      <w:pPr>
        <w:pStyle w:val="ListParagraph"/>
        <w:numPr>
          <w:ilvl w:val="0"/>
          <w:numId w:val="33"/>
        </w:numPr>
        <w:spacing w:after="240"/>
      </w:pPr>
      <w:r w:rsidRPr="00364545">
        <w:t xml:space="preserve">an uncertain evolution of the frequency and severity of storms, except in tropical overseas regions where the severity of cyclones is expected to increase. </w:t>
      </w:r>
    </w:p>
    <w:p w14:paraId="0C39F33F" w14:textId="77777777" w:rsidR="006D5177" w:rsidRPr="00364545" w:rsidRDefault="006D5177" w:rsidP="006D5177">
      <w:pPr>
        <w:spacing w:after="240"/>
      </w:pPr>
      <w:r w:rsidRPr="00364545">
        <w:t>The expected impacts are summarised in the map below.</w:t>
      </w:r>
    </w:p>
    <w:p w14:paraId="26355EA0" w14:textId="77777777" w:rsidR="006D5177" w:rsidRPr="00364545" w:rsidRDefault="006D5177" w:rsidP="006D5177"/>
    <w:p w14:paraId="687BF671" w14:textId="77777777" w:rsidR="006D5177" w:rsidRPr="00364545" w:rsidRDefault="006D5177" w:rsidP="006D5177">
      <w:pPr>
        <w:keepNext/>
      </w:pPr>
      <w:r w:rsidRPr="00364545">
        <w:rPr>
          <w:noProof/>
          <w:lang w:val="fr-FR"/>
        </w:rPr>
        <w:drawing>
          <wp:inline distT="0" distB="0" distL="0" distR="0" wp14:anchorId="18E66998" wp14:editId="5A6DB6C5">
            <wp:extent cx="6297930" cy="5218430"/>
            <wp:effectExtent l="0" t="0" r="7620" b="127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97930" cy="5218430"/>
                    </a:xfrm>
                    <a:prstGeom prst="rect">
                      <a:avLst/>
                    </a:prstGeom>
                    <a:noFill/>
                  </pic:spPr>
                </pic:pic>
              </a:graphicData>
            </a:graphic>
          </wp:inline>
        </w:drawing>
      </w:r>
    </w:p>
    <w:p w14:paraId="7FF70F59" w14:textId="787687C5" w:rsidR="00C44824" w:rsidRPr="00364545" w:rsidRDefault="00C44824" w:rsidP="0045532B">
      <w:pPr>
        <w:pStyle w:val="Caption"/>
      </w:pPr>
      <w:bookmarkStart w:id="567" w:name="_Toc123916479"/>
      <w:r w:rsidRPr="00364545">
        <w:t xml:space="preserve">Figure </w:t>
      </w:r>
      <w:r w:rsidR="003714FB">
        <w:fldChar w:fldCharType="begin"/>
      </w:r>
      <w:r w:rsidR="003714FB">
        <w:instrText xml:space="preserve"> SEQ Figure \* ARABIC </w:instrText>
      </w:r>
      <w:r w:rsidR="003714FB">
        <w:fldChar w:fldCharType="separate"/>
      </w:r>
      <w:r w:rsidR="009A2FAA">
        <w:rPr>
          <w:noProof/>
        </w:rPr>
        <w:t>68</w:t>
      </w:r>
      <w:r w:rsidR="003714FB">
        <w:rPr>
          <w:noProof/>
        </w:rPr>
        <w:fldChar w:fldCharType="end"/>
      </w:r>
      <w:r w:rsidRPr="00364545">
        <w:t>: Potential impacts in 2050 and beyond</w:t>
      </w:r>
      <w:bookmarkEnd w:id="567"/>
    </w:p>
    <w:p w14:paraId="76AA307A" w14:textId="344CC38F" w:rsidR="006D5177" w:rsidRPr="00364545" w:rsidRDefault="006D5177" w:rsidP="0045532B">
      <w:pPr>
        <w:pStyle w:val="Caption"/>
      </w:pPr>
      <w:r w:rsidRPr="00364545">
        <w:t>Source: Météo France</w:t>
      </w:r>
    </w:p>
    <w:p w14:paraId="7A12B9F1" w14:textId="77777777" w:rsidR="006D5177" w:rsidRPr="00364545" w:rsidRDefault="006D5177" w:rsidP="006D5177"/>
    <w:p w14:paraId="3B745C0B" w14:textId="77777777" w:rsidR="006D5177" w:rsidRPr="00364545" w:rsidRDefault="006D5177" w:rsidP="006D5177"/>
    <w:p w14:paraId="79FBF7D2" w14:textId="77777777" w:rsidR="006D5177" w:rsidRPr="00364545" w:rsidRDefault="006D5177" w:rsidP="006D5177">
      <w:pPr>
        <w:spacing w:after="240"/>
      </w:pPr>
      <w:r w:rsidRPr="00364545">
        <w:rPr>
          <w:noProof/>
          <w:lang w:val="fr-FR"/>
        </w:rPr>
        <w:drawing>
          <wp:inline distT="0" distB="0" distL="0" distR="0" wp14:anchorId="3E099981" wp14:editId="1152BFF6">
            <wp:extent cx="4785775" cy="4206605"/>
            <wp:effectExtent l="0" t="0" r="0" b="381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pacts.png"/>
                    <pic:cNvPicPr/>
                  </pic:nvPicPr>
                  <pic:blipFill>
                    <a:blip r:embed="rId114">
                      <a:extLst>
                        <a:ext uri="{28A0092B-C50C-407E-A947-70E740481C1C}">
                          <a14:useLocalDpi xmlns:a14="http://schemas.microsoft.com/office/drawing/2010/main" val="0"/>
                        </a:ext>
                      </a:extLst>
                    </a:blip>
                    <a:stretch>
                      <a:fillRect/>
                    </a:stretch>
                  </pic:blipFill>
                  <pic:spPr>
                    <a:xfrm>
                      <a:off x="0" y="0"/>
                      <a:ext cx="4785775" cy="4206605"/>
                    </a:xfrm>
                    <a:prstGeom prst="rect">
                      <a:avLst/>
                    </a:prstGeom>
                  </pic:spPr>
                </pic:pic>
              </a:graphicData>
            </a:graphic>
          </wp:inline>
        </w:drawing>
      </w:r>
    </w:p>
    <w:p w14:paraId="06291F80" w14:textId="429CB258" w:rsidR="00C44824" w:rsidRPr="00364545" w:rsidRDefault="00C44824" w:rsidP="0045532B">
      <w:pPr>
        <w:pStyle w:val="Caption"/>
      </w:pPr>
      <w:bookmarkStart w:id="568" w:name="_Ref123904101"/>
      <w:bookmarkStart w:id="569" w:name="_Toc123916480"/>
      <w:r w:rsidRPr="00364545">
        <w:t>Figure</w:t>
      </w:r>
      <w:r w:rsidR="003714FB">
        <w:fldChar w:fldCharType="begin"/>
      </w:r>
      <w:r w:rsidR="003714FB">
        <w:instrText xml:space="preserve"> SEQ Figure \* ARABIC </w:instrText>
      </w:r>
      <w:r w:rsidR="003714FB">
        <w:fldChar w:fldCharType="separate"/>
      </w:r>
      <w:r w:rsidR="009A2FAA">
        <w:rPr>
          <w:noProof/>
        </w:rPr>
        <w:t>69</w:t>
      </w:r>
      <w:r w:rsidR="003714FB">
        <w:rPr>
          <w:noProof/>
        </w:rPr>
        <w:fldChar w:fldCharType="end"/>
      </w:r>
      <w:bookmarkEnd w:id="568"/>
      <w:r w:rsidRPr="00364545">
        <w:t>: Possible impacts of temperature rise under different scenarios</w:t>
      </w:r>
      <w:bookmarkEnd w:id="569"/>
    </w:p>
    <w:p w14:paraId="525F2DB9" w14:textId="450FB1E9" w:rsidR="006D5177" w:rsidRPr="00364545" w:rsidRDefault="006D5177" w:rsidP="0045532B">
      <w:pPr>
        <w:pStyle w:val="Caption"/>
      </w:pPr>
      <w:r w:rsidRPr="00364545">
        <w:t>Source: Météo-France according to the IPCC</w:t>
      </w:r>
    </w:p>
    <w:p w14:paraId="2869E48E" w14:textId="77777777" w:rsidR="006D5177" w:rsidRPr="00364545" w:rsidRDefault="006D5177" w:rsidP="006D5177">
      <w:pPr>
        <w:spacing w:after="240"/>
      </w:pPr>
    </w:p>
    <w:p w14:paraId="0171E6F8" w14:textId="52A00753" w:rsidR="006D5177" w:rsidRPr="00364545" w:rsidRDefault="006D5177" w:rsidP="006D5177">
      <w:pPr>
        <w:spacing w:after="240"/>
      </w:pPr>
      <w:r w:rsidRPr="00364545">
        <w:t>The impacts on France will be different according to how the planet's average temperature changes. Figure 69</w:t>
      </w:r>
      <w:r w:rsidR="004077DC" w:rsidRPr="00364545">
        <w:fldChar w:fldCharType="begin"/>
      </w:r>
      <w:r w:rsidR="004077DC" w:rsidRPr="00364545">
        <w:instrText xml:space="preserve"> REF _Ref123904101 \h </w:instrText>
      </w:r>
      <w:r w:rsidR="00364545">
        <w:instrText xml:space="preserve"> \* MERGEFORMAT </w:instrText>
      </w:r>
      <w:r w:rsidR="004077DC" w:rsidRPr="00364545">
        <w:fldChar w:fldCharType="separate"/>
      </w:r>
      <w:r w:rsidR="009A2FAA" w:rsidRPr="00364545">
        <w:t>Figure</w:t>
      </w:r>
      <w:r w:rsidR="009A2FAA">
        <w:t>69</w:t>
      </w:r>
      <w:r w:rsidR="004077DC" w:rsidRPr="00364545">
        <w:fldChar w:fldCharType="end"/>
      </w:r>
      <w:r w:rsidRPr="00364545">
        <w:t>, created by Météo-France, shows how temperature rises will impact climatic extremes in a way that is easy to understand. For instance, an overall rise of 4</w:t>
      </w:r>
      <w:r w:rsidRPr="00364545">
        <w:rPr>
          <w:rFonts w:ascii="Calibri" w:hAnsi="Calibri"/>
        </w:rPr>
        <w:t xml:space="preserve"> </w:t>
      </w:r>
      <w:r w:rsidRPr="00364545">
        <w:t>°C will result in a 25</w:t>
      </w:r>
      <w:r w:rsidRPr="00364545">
        <w:rPr>
          <w:rFonts w:ascii="Calibri" w:hAnsi="Calibri"/>
        </w:rPr>
        <w:t>%</w:t>
      </w:r>
      <w:r w:rsidRPr="00364545">
        <w:t xml:space="preserve"> decrease in snow cover and a 20</w:t>
      </w:r>
      <w:r w:rsidRPr="00364545">
        <w:rPr>
          <w:rFonts w:ascii="Calibri" w:hAnsi="Calibri"/>
        </w:rPr>
        <w:t>%</w:t>
      </w:r>
      <w:r w:rsidRPr="00364545">
        <w:t xml:space="preserve"> increase in the proportion of intense tropical cyclones.</w:t>
      </w:r>
    </w:p>
    <w:p w14:paraId="09B6613C" w14:textId="77777777" w:rsidR="006D5177" w:rsidRPr="00364545" w:rsidRDefault="006D5177" w:rsidP="006D5177"/>
    <w:p w14:paraId="34BCE38F" w14:textId="77777777" w:rsidR="006D5177" w:rsidRPr="00364545" w:rsidRDefault="006D5177" w:rsidP="006D5177">
      <w:r w:rsidRPr="00364545">
        <w:t>Significant impacts on biodiversity are also anticipated. For example, changes in the geographical distribution of bioclimatic envelopes for tree species will outpace the trees' natural capacity to adapt.</w:t>
      </w:r>
    </w:p>
    <w:p w14:paraId="4D72C319" w14:textId="77777777" w:rsidR="006D5177" w:rsidRPr="00364545" w:rsidRDefault="006D5177" w:rsidP="006D5177"/>
    <w:p w14:paraId="46B3659E" w14:textId="77777777" w:rsidR="006D5177" w:rsidRPr="00364545" w:rsidRDefault="006D5177" w:rsidP="006D5177"/>
    <w:p w14:paraId="6B4E4426" w14:textId="77777777" w:rsidR="006D5177" w:rsidRPr="00364545" w:rsidRDefault="006D5177" w:rsidP="00C44824">
      <w:pPr>
        <w:jc w:val="center"/>
      </w:pPr>
      <w:r w:rsidRPr="00364545">
        <w:rPr>
          <w:noProof/>
          <w:lang w:val="fr-FR"/>
        </w:rPr>
        <w:drawing>
          <wp:inline distT="0" distB="0" distL="0" distR="0" wp14:anchorId="2711BE29" wp14:editId="6EB8F37F">
            <wp:extent cx="5758288" cy="4008012"/>
            <wp:effectExtent l="0" t="0" r="0" b="0"/>
            <wp:docPr id="36420" name="Picture 36420"/>
            <wp:cNvGraphicFramePr/>
            <a:graphic xmlns:a="http://schemas.openxmlformats.org/drawingml/2006/main">
              <a:graphicData uri="http://schemas.openxmlformats.org/drawingml/2006/picture">
                <pic:pic xmlns:pic="http://schemas.openxmlformats.org/drawingml/2006/picture">
                  <pic:nvPicPr>
                    <pic:cNvPr id="36420" name="Picture 36420"/>
                    <pic:cNvPicPr/>
                  </pic:nvPicPr>
                  <pic:blipFill>
                    <a:blip r:embed="rId115">
                      <a:extLst>
                        <a:ext uri="{28A0092B-C50C-407E-A947-70E740481C1C}">
                          <a14:useLocalDpi xmlns:a14="http://schemas.microsoft.com/office/drawing/2010/main" val="0"/>
                        </a:ext>
                      </a:extLst>
                    </a:blip>
                    <a:stretch>
                      <a:fillRect/>
                    </a:stretch>
                  </pic:blipFill>
                  <pic:spPr>
                    <a:xfrm>
                      <a:off x="0" y="0"/>
                      <a:ext cx="5758288" cy="4008012"/>
                    </a:xfrm>
                    <a:prstGeom prst="rect">
                      <a:avLst/>
                    </a:prstGeom>
                  </pic:spPr>
                </pic:pic>
              </a:graphicData>
            </a:graphic>
          </wp:inline>
        </w:drawing>
      </w:r>
    </w:p>
    <w:p w14:paraId="2A49231F" w14:textId="35506FCD" w:rsidR="00A845C2" w:rsidRPr="00364545" w:rsidRDefault="00C44824" w:rsidP="0045532B">
      <w:pPr>
        <w:pStyle w:val="Caption"/>
      </w:pPr>
      <w:bookmarkStart w:id="570" w:name="_Toc123916481"/>
      <w:r w:rsidRPr="00364545">
        <w:t xml:space="preserve">Figure </w:t>
      </w:r>
      <w:r w:rsidR="003714FB">
        <w:fldChar w:fldCharType="begin"/>
      </w:r>
      <w:r w:rsidR="003714FB">
        <w:instrText xml:space="preserve"> SEQ Figure \* ARABIC </w:instrText>
      </w:r>
      <w:r w:rsidR="003714FB">
        <w:fldChar w:fldCharType="separate"/>
      </w:r>
      <w:r w:rsidR="009A2FAA">
        <w:rPr>
          <w:noProof/>
        </w:rPr>
        <w:t>70</w:t>
      </w:r>
      <w:r w:rsidR="003714FB">
        <w:rPr>
          <w:noProof/>
        </w:rPr>
        <w:fldChar w:fldCharType="end"/>
      </w:r>
      <w:r w:rsidRPr="00364545">
        <w:t>: Evolution of plant group distributions by 2050 and 2100</w:t>
      </w:r>
      <w:bookmarkEnd w:id="570"/>
    </w:p>
    <w:p w14:paraId="5758AFCE" w14:textId="7FB3BE75" w:rsidR="006D5177" w:rsidRPr="00364545" w:rsidRDefault="00A845C2" w:rsidP="0045532B">
      <w:pPr>
        <w:pStyle w:val="Caption"/>
      </w:pPr>
      <w:r w:rsidRPr="00364545">
        <w:t>Source: 2014 ONERC Report Trees and Forests in a Changing Climate according to Badeau (2010)</w:t>
      </w:r>
    </w:p>
    <w:p w14:paraId="005D4622" w14:textId="77777777" w:rsidR="006D5177" w:rsidRPr="00364545" w:rsidRDefault="006D5177" w:rsidP="006D5177"/>
    <w:p w14:paraId="15584718" w14:textId="77777777" w:rsidR="006D5177" w:rsidRPr="00364545" w:rsidRDefault="006D5177" w:rsidP="00E22CF8">
      <w:pPr>
        <w:pStyle w:val="titreencadre"/>
      </w:pPr>
      <w:r w:rsidRPr="00364545">
        <w:t xml:space="preserve">Sea level rise </w:t>
      </w:r>
    </w:p>
    <w:p w14:paraId="76AC14CC" w14:textId="77777777" w:rsidR="006D5177" w:rsidRPr="00364545" w:rsidRDefault="006D5177" w:rsidP="006D5177">
      <w:pPr>
        <w:spacing w:after="240"/>
      </w:pPr>
      <w:r w:rsidRPr="00364545">
        <w:t xml:space="preserve">Since the French Overseas Territories are scattered across all the world's oceans and a considerable porportion of the French population lives in coastal areas, the issue of rising sea levels is a matter of fundamental importance for France. </w:t>
      </w:r>
    </w:p>
    <w:p w14:paraId="42A6BD58" w14:textId="77777777" w:rsidR="006D5177" w:rsidRPr="00364545" w:rsidRDefault="006D5177" w:rsidP="006D5177">
      <w:pPr>
        <w:spacing w:after="240"/>
      </w:pPr>
      <w:r w:rsidRPr="00364545">
        <w:t xml:space="preserve">All observations, both satellite and hydrographic, agree that global sea level rise is not rising uniformly around the world; nor is it rising at an even pace. In some regions, the rates of this rise are up to several times the global mean rise, while in other regions the sea level is dropping. </w:t>
      </w:r>
    </w:p>
    <w:p w14:paraId="11BA9FEE" w14:textId="5F8487A0" w:rsidR="006D5177" w:rsidRPr="00364545" w:rsidRDefault="004077DC" w:rsidP="006D5177">
      <w:pPr>
        <w:spacing w:after="240"/>
      </w:pPr>
      <w:r w:rsidRPr="00364545">
        <w:t>On the planetary scale, sea levels will rise even faster in the twenty-first century. The two main causes of global sea level rise are the thermal expansion of the oceans (water expands with heat) and the disappearance of continental glaciers due to an increase in ice melting. The rate of sea level rise has increased from less than 3 mm/year to more than 5 mm/year over the last twenty years: an increase of +6 cm over the last twenty years and 17 cm over the last century. Depending on the trajectory followed, the sea level will keep rising from the current 44 cm (SSP1-2.6) to 77 cm (SSP5-8.5) by the end of the century, compared to the average reference level (1995-2014), sometimes with considerable regional variations, reaching over 1 m in extreme cases (up to 1.1 m projected in the Mediterranean).</w:t>
      </w:r>
    </w:p>
    <w:p w14:paraId="3F962176" w14:textId="77777777" w:rsidR="006D5177" w:rsidRPr="00364545" w:rsidRDefault="006D5177" w:rsidP="006D5177">
      <w:pPr>
        <w:spacing w:after="240"/>
      </w:pPr>
      <w:r w:rsidRPr="00364545">
        <w:t xml:space="preserve">Most of the Overseas Territories have a weaker capacity for pressure relief and territorial redistribution than mainland areas. This reduces the scope of action for companies and actors, both public and private, in the face of constraints. </w:t>
      </w:r>
    </w:p>
    <w:p w14:paraId="7D8E87F3" w14:textId="77777777" w:rsidR="006D5177" w:rsidRPr="00364545" w:rsidRDefault="006D5177" w:rsidP="006D5177">
      <w:pPr>
        <w:spacing w:after="240"/>
      </w:pPr>
      <w:r w:rsidRPr="00364545">
        <w:t>Current environmental and development conditions determine the territories' adaptive capacity and thus their ability to engage in an adaptation approach over the long term. At the local level, the main effect of climate change will be to exacerbate existing pressures linked to unsustainable development patterns.</w:t>
      </w:r>
    </w:p>
    <w:p w14:paraId="60027E8B" w14:textId="77777777" w:rsidR="006D5177" w:rsidRPr="00364545" w:rsidRDefault="006D5177" w:rsidP="006D5177">
      <w:pPr>
        <w:keepNext/>
      </w:pPr>
      <w:r w:rsidRPr="00364545">
        <w:rPr>
          <w:noProof/>
          <w:lang w:val="fr-FR"/>
        </w:rPr>
        <w:drawing>
          <wp:inline distT="0" distB="0" distL="0" distR="0" wp14:anchorId="6E2403FA" wp14:editId="76B97033">
            <wp:extent cx="6318250" cy="3455664"/>
            <wp:effectExtent l="0" t="0" r="635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18250" cy="3455664"/>
                    </a:xfrm>
                    <a:prstGeom prst="rect">
                      <a:avLst/>
                    </a:prstGeom>
                    <a:noFill/>
                    <a:ln>
                      <a:noFill/>
                    </a:ln>
                  </pic:spPr>
                </pic:pic>
              </a:graphicData>
            </a:graphic>
          </wp:inline>
        </w:drawing>
      </w:r>
    </w:p>
    <w:p w14:paraId="0B20D0B3" w14:textId="55980C10" w:rsidR="00C44824" w:rsidRPr="00364545" w:rsidRDefault="00C44824" w:rsidP="0045532B">
      <w:pPr>
        <w:pStyle w:val="Caption"/>
      </w:pPr>
      <w:bookmarkStart w:id="571" w:name="_Toc123916482"/>
      <w:r w:rsidRPr="00364545">
        <w:t xml:space="preserve">Figure </w:t>
      </w:r>
      <w:r w:rsidR="003714FB">
        <w:fldChar w:fldCharType="begin"/>
      </w:r>
      <w:r w:rsidR="003714FB">
        <w:instrText xml:space="preserve"> SEQ Figure \* ARABIC </w:instrText>
      </w:r>
      <w:r w:rsidR="003714FB">
        <w:fldChar w:fldCharType="separate"/>
      </w:r>
      <w:r w:rsidR="009A2FAA">
        <w:rPr>
          <w:noProof/>
        </w:rPr>
        <w:t>71</w:t>
      </w:r>
      <w:r w:rsidR="003714FB">
        <w:rPr>
          <w:noProof/>
        </w:rPr>
        <w:fldChar w:fldCharType="end"/>
      </w:r>
      <w:r w:rsidRPr="00364545">
        <w:t>: Length of infrastructure according to its submerged nature in the event of a sea level rise of 1 metre, overlaid with a submerged hazard that has a return period of 100 years</w:t>
      </w:r>
      <w:bookmarkEnd w:id="571"/>
    </w:p>
    <w:p w14:paraId="5ABD91B5" w14:textId="2AC2B830" w:rsidR="006D5177" w:rsidRPr="00364545" w:rsidRDefault="006D5177" w:rsidP="0045532B">
      <w:pPr>
        <w:pStyle w:val="Caption"/>
      </w:pPr>
      <w:r w:rsidRPr="00364545">
        <w:t>Source: ONERC</w:t>
      </w:r>
    </w:p>
    <w:p w14:paraId="358BA638" w14:textId="41E1882D" w:rsidR="006D5177" w:rsidRPr="00364545" w:rsidRDefault="006D5177" w:rsidP="00E22CF8">
      <w:pPr>
        <w:pStyle w:val="Titre2Niveau2"/>
      </w:pPr>
      <w:bookmarkStart w:id="572" w:name="_Toc118276997"/>
      <w:bookmarkStart w:id="573" w:name="_Toc118384427"/>
      <w:bookmarkStart w:id="574" w:name="_Toc138341857"/>
      <w:r w:rsidRPr="00364545">
        <w:t>Assessment of hazards and vulnerability to climate change</w:t>
      </w:r>
      <w:bookmarkEnd w:id="572"/>
      <w:bookmarkEnd w:id="573"/>
      <w:bookmarkEnd w:id="574"/>
    </w:p>
    <w:p w14:paraId="49748789" w14:textId="0C3C849A" w:rsidR="006D5177" w:rsidRPr="00364545" w:rsidRDefault="006D5177" w:rsidP="006D5177">
      <w:pPr>
        <w:spacing w:after="240"/>
      </w:pPr>
      <w:r w:rsidRPr="00364545">
        <w:t>While humanity and nature may, to some extent, have the capacity to spontaneously adapt to the changes brought about by climate change, one thing is certain: if we fail to prepare for this change, the costs and damage will be far greater than the effort of anticipation. We must therefore reduce our vulnerability to climatic variations now in order to prevent tremendous environmental, material, financial, and human losses. It is worth recalling that the cost of inaction, as estimated by economist Nicholas Stern</w:t>
      </w:r>
      <w:r w:rsidRPr="00364545">
        <w:rPr>
          <w:rStyle w:val="FootnoteReference"/>
        </w:rPr>
        <w:footnoteReference w:id="63"/>
      </w:r>
      <w:r w:rsidRPr="00364545">
        <w:t xml:space="preserve">, is between 5% and 20% of global GDP, while that of action is between 1% and 2% of global gross domestic product (GDP). </w:t>
      </w:r>
    </w:p>
    <w:p w14:paraId="168080C4" w14:textId="77777777" w:rsidR="006D5177" w:rsidRPr="00364545" w:rsidRDefault="006D5177" w:rsidP="006D5177">
      <w:pPr>
        <w:spacing w:after="240"/>
      </w:pPr>
      <w:r w:rsidRPr="00364545">
        <w:t>The ONERC report published in 2009, “Impacts of climate change, associated costs and adaptation paths”</w:t>
      </w:r>
      <w:r w:rsidRPr="00364545">
        <w:rPr>
          <w:rStyle w:val="FootnoteReference"/>
        </w:rPr>
        <w:footnoteReference w:id="64"/>
      </w:r>
      <w:r w:rsidRPr="00364545">
        <w:t>, demonstrates that, if no adaptation measures were taken, annual costs related to climate change could reach several billion euros per year for mainland France.</w:t>
      </w:r>
    </w:p>
    <w:p w14:paraId="5AD8AB8E" w14:textId="77777777" w:rsidR="006D5177" w:rsidRPr="00364545" w:rsidRDefault="006D5177" w:rsidP="006D5177">
      <w:pPr>
        <w:spacing w:after="240"/>
      </w:pPr>
      <w:r w:rsidRPr="00364545">
        <w:t>To clearly expose the effects of climate change, there are a number of indicators published on the ONERC website. Some are aggregations of available data that demonstrate the influence of climate change.</w:t>
      </w:r>
    </w:p>
    <w:p w14:paraId="453A43F2" w14:textId="77777777" w:rsidR="006D5177" w:rsidRPr="00364545" w:rsidRDefault="006D5177" w:rsidP="006D5177"/>
    <w:p w14:paraId="674D8130" w14:textId="77777777" w:rsidR="006D5177" w:rsidRPr="00364545" w:rsidRDefault="006D5177" w:rsidP="006D5177"/>
    <w:p w14:paraId="23620C52" w14:textId="77777777" w:rsidR="006D5177" w:rsidRPr="00364545" w:rsidRDefault="006D5177" w:rsidP="006D5177">
      <w:r w:rsidRPr="00364545">
        <w:rPr>
          <w:noProof/>
          <w:lang w:val="fr-FR"/>
        </w:rPr>
        <w:drawing>
          <wp:inline distT="0" distB="0" distL="0" distR="0" wp14:anchorId="43124166" wp14:editId="2E63BD0C">
            <wp:extent cx="6318250" cy="7259669"/>
            <wp:effectExtent l="0" t="0" r="6350" b="0"/>
            <wp:docPr id="128" name="Image 128" descr="https://www.ecologie.gouv.fr/sites/default/files/styles/standard/public/ONERC_exposition_populations_risques_climatiques_2015.png?itok=r95vtYZ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cologie.gouv.fr/sites/default/files/styles/standard/public/ONERC_exposition_populations_risques_climatiques_2015.png?itok=r95vtYZb"/>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18250" cy="7259669"/>
                    </a:xfrm>
                    <a:prstGeom prst="rect">
                      <a:avLst/>
                    </a:prstGeom>
                    <a:noFill/>
                    <a:ln>
                      <a:noFill/>
                    </a:ln>
                  </pic:spPr>
                </pic:pic>
              </a:graphicData>
            </a:graphic>
          </wp:inline>
        </w:drawing>
      </w:r>
    </w:p>
    <w:p w14:paraId="1B5C72C3" w14:textId="04CC0456" w:rsidR="00C44824" w:rsidRPr="00364545" w:rsidRDefault="00C44824" w:rsidP="0045532B">
      <w:pPr>
        <w:pStyle w:val="Caption"/>
      </w:pPr>
      <w:bookmarkStart w:id="575" w:name="_Toc123916483"/>
      <w:r w:rsidRPr="00364545">
        <w:t xml:space="preserve">Figure </w:t>
      </w:r>
      <w:r w:rsidR="003714FB">
        <w:fldChar w:fldCharType="begin"/>
      </w:r>
      <w:r w:rsidR="003714FB">
        <w:instrText xml:space="preserve"> SEQ Figure \* AR</w:instrText>
      </w:r>
      <w:r w:rsidR="003714FB">
        <w:instrText xml:space="preserve">ABIC </w:instrText>
      </w:r>
      <w:r w:rsidR="003714FB">
        <w:fldChar w:fldCharType="separate"/>
      </w:r>
      <w:r w:rsidR="009A2FAA">
        <w:rPr>
          <w:noProof/>
        </w:rPr>
        <w:t>72</w:t>
      </w:r>
      <w:r w:rsidR="003714FB">
        <w:rPr>
          <w:noProof/>
        </w:rPr>
        <w:fldChar w:fldCharType="end"/>
      </w:r>
      <w:r w:rsidRPr="00364545">
        <w:t>: Exposure of populations</w:t>
      </w:r>
      <w:bookmarkEnd w:id="575"/>
    </w:p>
    <w:p w14:paraId="037F5F43" w14:textId="6AD2282F" w:rsidR="006D5177" w:rsidRPr="00364545" w:rsidRDefault="006D5177" w:rsidP="0045532B">
      <w:pPr>
        <w:pStyle w:val="Caption"/>
        <w:rPr>
          <w:noProof/>
          <w:sz w:val="21"/>
          <w:szCs w:val="24"/>
        </w:rPr>
      </w:pPr>
      <w:r w:rsidRPr="00364545">
        <w:t>Source: ONERC SDES</w:t>
      </w:r>
    </w:p>
    <w:p w14:paraId="48764D07" w14:textId="77777777" w:rsidR="006D5177" w:rsidRPr="00364545" w:rsidRDefault="006D5177" w:rsidP="006D5177"/>
    <w:p w14:paraId="7D75EE84" w14:textId="77777777" w:rsidR="006D5177" w:rsidRPr="00364545" w:rsidRDefault="006D5177" w:rsidP="006D5177"/>
    <w:p w14:paraId="304C2A27" w14:textId="77777777" w:rsidR="006D5177" w:rsidRPr="00364545" w:rsidRDefault="006D5177" w:rsidP="006D5177"/>
    <w:p w14:paraId="74F9D8BB" w14:textId="77777777" w:rsidR="006D5177" w:rsidRPr="00364545" w:rsidRDefault="006D5177" w:rsidP="006D5177"/>
    <w:p w14:paraId="2FFC7179" w14:textId="77777777" w:rsidR="006D5177" w:rsidRPr="00364545" w:rsidRDefault="006D5177" w:rsidP="006D5177"/>
    <w:p w14:paraId="029A0C66" w14:textId="77777777" w:rsidR="006D5177" w:rsidRPr="00364545" w:rsidRDefault="006D5177" w:rsidP="006D5177"/>
    <w:p w14:paraId="6ADA4592" w14:textId="65052024" w:rsidR="006D5177" w:rsidRPr="00364545" w:rsidRDefault="006D5177" w:rsidP="006D5177"/>
    <w:p w14:paraId="52ABEBCD" w14:textId="77777777" w:rsidR="006D5177" w:rsidRPr="00364545" w:rsidRDefault="006D5177" w:rsidP="006D5177"/>
    <w:p w14:paraId="2881E852" w14:textId="7252FB74" w:rsidR="006D5177" w:rsidRPr="00364545" w:rsidRDefault="006D5177" w:rsidP="00CC12D8">
      <w:r w:rsidRPr="00364545">
        <w:t xml:space="preserve">These maps illustrate the level of exposure of the French population to climate-related natural hazards. The higher the population density and the greater the number of climatic hazards identified per municipality, the higher the risk index. </w:t>
      </w:r>
    </w:p>
    <w:p w14:paraId="74857684" w14:textId="77777777" w:rsidR="00CC12D8" w:rsidRPr="00364545" w:rsidRDefault="00CC12D8" w:rsidP="00CC12D8"/>
    <w:p w14:paraId="1ABA6B42" w14:textId="577DE03A" w:rsidR="006D5177" w:rsidRPr="00364545" w:rsidRDefault="006D5177" w:rsidP="00CC12D8">
      <w:r w:rsidRPr="00364545">
        <w:t xml:space="preserve">These hazards are likely to increase with climate change, as some weather events and extremes may become more frequent, widespread and/or intense. Consequently, adaptation actions must be undertaken in exposed territories to mitigate their vulnerability to climatic hazards. </w:t>
      </w:r>
    </w:p>
    <w:p w14:paraId="130FF780" w14:textId="77777777" w:rsidR="00CC12D8" w:rsidRPr="00364545" w:rsidRDefault="00CC12D8" w:rsidP="00CC12D8"/>
    <w:p w14:paraId="7CB171CE" w14:textId="34CFDBED" w:rsidR="006D5177" w:rsidRPr="00364545" w:rsidRDefault="006D5177" w:rsidP="00CC12D8">
      <w:r w:rsidRPr="00364545">
        <w:t xml:space="preserve">An analysis of statistical data shows that 18.5% of municipalities in mainland France are highly exposed to climatic hazards; this figure goes up to 50% when municipalities with medium exposure are included. On the regional scale, those most affected are the Overseas Territories, with 90% of their municipalities rated as highly exposed to climatic hazards. On the mainland, the most exposed regions are Brittany (46%), PACA (44%) and Île-de-France (40%). In Île-de-France, the prevailing factor is high population density, while in PACA and Brittany, that factor is exacerbated by a high number of municipalities for which at least three climatic hazards have been identified. </w:t>
      </w:r>
    </w:p>
    <w:p w14:paraId="73ADA9DC" w14:textId="77777777" w:rsidR="00CC12D8" w:rsidRPr="00364545" w:rsidRDefault="00CC12D8" w:rsidP="00CC12D8"/>
    <w:p w14:paraId="3E67D9D5" w14:textId="01E4D5A5" w:rsidR="006D5177" w:rsidRPr="00364545" w:rsidRDefault="004077DC" w:rsidP="00181B96">
      <w:r w:rsidRPr="00364545">
        <w:t xml:space="preserve">In comparison with other countries, particularly in the southern hemisphere, France (with the exception of the Overseas Territories, that are already highly exposed) currently remains less severely affected by climate change. Nonetheless, the situation could change and become much worse from 2060 onwards. </w:t>
      </w:r>
    </w:p>
    <w:p w14:paraId="5B2E7275" w14:textId="77777777" w:rsidR="00CC12D8" w:rsidRPr="00364545" w:rsidRDefault="00CC12D8" w:rsidP="00181B96"/>
    <w:p w14:paraId="311C8CBB" w14:textId="77777777" w:rsidR="006D5177" w:rsidRPr="00364545" w:rsidRDefault="006D5177" w:rsidP="00181B96">
      <w:r w:rsidRPr="00364545">
        <w:t xml:space="preserve">The ONERC report published in 2009, entitled “Climate Change: costs of impacts and lines of adaptation”, highlights the expected economic impacts in the near and far horizons. </w:t>
      </w:r>
    </w:p>
    <w:p w14:paraId="2F4FBF4C" w14:textId="0302E78F" w:rsidR="006D5177" w:rsidRPr="00364545" w:rsidRDefault="006D5177" w:rsidP="00181B96">
      <w:r w:rsidRPr="00364545">
        <w:t>Several lines of adaptation were identified that would allow the negative impacts of climate change to be limited. Nevertheless, most adaptation measures are largely dependent on territorial characteristics and must therefore be considered on a case-by-case basis at local level.</w:t>
      </w:r>
    </w:p>
    <w:p w14:paraId="217A174B" w14:textId="77777777" w:rsidR="00181B96" w:rsidRPr="00364545" w:rsidRDefault="00181B96" w:rsidP="00181B96"/>
    <w:p w14:paraId="216A8687" w14:textId="260B6750" w:rsidR="006D5177" w:rsidRPr="00364545" w:rsidRDefault="006D5177" w:rsidP="00181B96">
      <w:r w:rsidRPr="00364545">
        <w:t>In line with the 2009 ONERC report: “Climate Change: costs of impacts and lines of adaptation”, it has been established that France will undergo increased pressure on water resources (e.g. a deficit of 2 billion m</w:t>
      </w:r>
      <w:r w:rsidRPr="00364545">
        <w:rPr>
          <w:vertAlign w:val="superscript"/>
        </w:rPr>
        <w:t>3</w:t>
      </w:r>
      <w:r w:rsidRPr="00364545">
        <w:t xml:space="preserve"> per year); a significant increase in natural hazards (e.g. damage to homes caused by clay shrinkage and swelling that can exceed 1 billion euros per year); considerable impacts on biomass production (e.g. costs greater than 300 million euros per year for wheat cultivation alone with the multiplication of events similar to the 2003 heatwave); all this at Horizon 2050-2100, to cite but a few examples. A number of the studies mentioned in this publication focus on the cost of climate change in the territories.</w:t>
      </w:r>
    </w:p>
    <w:p w14:paraId="1E872AC0" w14:textId="77777777" w:rsidR="00181B96" w:rsidRPr="00364545" w:rsidRDefault="00181B96" w:rsidP="00181B96"/>
    <w:p w14:paraId="0EB79A33" w14:textId="77777777" w:rsidR="006D5177" w:rsidRPr="00364545" w:rsidRDefault="006D5177" w:rsidP="00181B96">
      <w:r w:rsidRPr="00364545">
        <w:t>Far from inciting lack of action, the current situation should therefore urge the development of the expertise, skills, and collective mobilisation essential to adaptation. It appears, however, that the notion of “adaptation” is interpreted in different ways by the actors involved. Such confusion can lead to contradictions that are detrimental to public action. In view of this, it is fundamental to begin by clarifying the meaning of this term for all the actors concerned and describe exactly how it is to be interpreted.</w:t>
      </w:r>
    </w:p>
    <w:p w14:paraId="34A35000" w14:textId="77777777" w:rsidR="006D5177" w:rsidRPr="00364545" w:rsidRDefault="006D5177" w:rsidP="00E22CF8">
      <w:pPr>
        <w:pStyle w:val="Titre2Niveau2"/>
      </w:pPr>
      <w:bookmarkStart w:id="576" w:name="_Toc118276998"/>
      <w:bookmarkStart w:id="577" w:name="_Toc118384428"/>
      <w:bookmarkStart w:id="578" w:name="_Toc138341858"/>
      <w:r w:rsidRPr="00364545">
        <w:t>Impacts of Climate Change</w:t>
      </w:r>
      <w:bookmarkEnd w:id="576"/>
      <w:bookmarkEnd w:id="577"/>
      <w:bookmarkEnd w:id="578"/>
    </w:p>
    <w:p w14:paraId="7840CFB0" w14:textId="77777777" w:rsidR="006D5177" w:rsidRPr="00364545" w:rsidRDefault="006D5177" w:rsidP="006D5177">
      <w:pPr>
        <w:spacing w:after="240"/>
      </w:pPr>
      <w:r w:rsidRPr="00364545">
        <w:t>The PNACC-2A is adopts the hypothesis of a 2 °C increase in the average global temperature by the end of the century, that will vary according to the regions of the world and be accompanied everywhere by significant changes in precipitation patterns and the frequency and severity of extreme events. These changes will have major impacts in all socio-economic sectors and on the entire planet's natural environment. In order to determine the most appropriate adaptation measures and develop them as our knowledge progresses, it is essential to have as profound an understanding as possible of these changes, their impacts, and the uncertainties that accompany them.</w:t>
      </w:r>
    </w:p>
    <w:p w14:paraId="696C7BE9" w14:textId="42E4C008" w:rsidR="006D5177" w:rsidRPr="00364545" w:rsidRDefault="004077DC" w:rsidP="006D5177">
      <w:pPr>
        <w:spacing w:after="240"/>
      </w:pPr>
      <w:r w:rsidRPr="00364545">
        <w:t>IPCC (Intergovernmental Panel on Climate Change) Working Group I published its Sixth Assessment Report on the scientific basis of climate change in August 2021. This report reaffirms the fact that the climate change observed since the latter half of the nineteenth century has, unequivocally, been induced by human activity; this includes global warming (+ 1.1</w:t>
      </w:r>
      <w:r w:rsidRPr="00364545">
        <w:rPr>
          <w:rFonts w:ascii="Calibri" w:hAnsi="Calibri"/>
        </w:rPr>
        <w:t> </w:t>
      </w:r>
      <w:r w:rsidRPr="00364545">
        <w:t>°C), the retreat of snow and ice, ocean acidification, and rising sea levels. One of the major advances of the report is to highlight the human influence on the intensity and frequency of extreme events such as heatwaves or heavy rains. Observed climate changes are set to continue, including the assumption that global temperatures will reach 1.5</w:t>
      </w:r>
      <w:r w:rsidRPr="00364545">
        <w:rPr>
          <w:rFonts w:ascii="Calibri" w:hAnsi="Calibri"/>
        </w:rPr>
        <w:t xml:space="preserve"> </w:t>
      </w:r>
      <w:r w:rsidRPr="00364545">
        <w:t>°C within less than twenty years, although they can still be contained over the longer term if decisive, swift, and sustainable actions to reduce CO</w:t>
      </w:r>
      <w:r w:rsidRPr="00364545">
        <w:rPr>
          <w:vertAlign w:val="subscript"/>
        </w:rPr>
        <w:t>2</w:t>
      </w:r>
      <w:r w:rsidRPr="00364545">
        <w:t xml:space="preserve"> emissions are taken. </w:t>
      </w:r>
    </w:p>
    <w:p w14:paraId="01DA85EC" w14:textId="2534EEA9" w:rsidR="006D5177" w:rsidRPr="00364545" w:rsidRDefault="006D5177" w:rsidP="006D5177">
      <w:pPr>
        <w:spacing w:after="240"/>
      </w:pPr>
      <w:r w:rsidRPr="00364545">
        <w:t>With a nominal GDP of about 3 trillion dollars, France ranks as the world's sixth biggest economy. The French economy suffered a massive recession in 2020 under the impact of the Covid-19 epidemic, with a gross domestic product (GDP) drop of 8.3%.</w:t>
      </w:r>
    </w:p>
    <w:p w14:paraId="37504DE8" w14:textId="3EFC90F4" w:rsidR="006D5177" w:rsidRPr="00364545" w:rsidRDefault="006D5177" w:rsidP="006D5177">
      <w:pPr>
        <w:spacing w:after="240"/>
      </w:pPr>
      <w:r w:rsidRPr="00364545">
        <w:t>The French economy is mainly a service economy: in 2015, the tertiary sector (service) occupied 76.7% of the active population, while the primary sector (agriculture, fishing, etc.) represented only 2.8%, and the secondary sector (mainly industry) 20.5%.</w:t>
      </w:r>
    </w:p>
    <w:p w14:paraId="1EC98657" w14:textId="77777777" w:rsidR="006D5177" w:rsidRPr="00364545" w:rsidRDefault="006D5177" w:rsidP="006D5177">
      <w:pPr>
        <w:spacing w:after="240"/>
      </w:pPr>
      <w:r w:rsidRPr="00364545">
        <w:t>In terms of employment, the major economic sectors most affected by climate change are:</w:t>
      </w:r>
    </w:p>
    <w:p w14:paraId="343385E8" w14:textId="763A178A" w:rsidR="006D5177" w:rsidRPr="00364545" w:rsidRDefault="006D5177" w:rsidP="00BE086C">
      <w:pPr>
        <w:pStyle w:val="ListParagraph"/>
        <w:numPr>
          <w:ilvl w:val="0"/>
          <w:numId w:val="54"/>
        </w:numPr>
        <w:spacing w:after="240"/>
      </w:pPr>
      <w:r w:rsidRPr="00364545">
        <w:t xml:space="preserve">The building sector (about 2 million jobs), with the need to find solutions to increase resilience to climate change (for instance, thermal comfort) while providing mitigation solutions (low consumption, etc.). </w:t>
      </w:r>
    </w:p>
    <w:p w14:paraId="37A4E801" w14:textId="0274A4DB" w:rsidR="006D5177" w:rsidRPr="00364545" w:rsidRDefault="006D5177" w:rsidP="00BE086C">
      <w:pPr>
        <w:pStyle w:val="ListParagraph"/>
        <w:numPr>
          <w:ilvl w:val="0"/>
          <w:numId w:val="54"/>
        </w:numPr>
        <w:spacing w:after="240"/>
      </w:pPr>
      <w:r w:rsidRPr="00364545">
        <w:t>The transport sector (about 1.2 million jobs), particularly with regard to infrastructure that can be affected both by extreme weather events (e.g. heatwaves, floods) and by climate change and its effects (e.g. drought, rising sea levels, comfort of travellers in the event of heatwaves).</w:t>
      </w:r>
    </w:p>
    <w:p w14:paraId="4C653638" w14:textId="37CC4A71" w:rsidR="006D5177" w:rsidRPr="00364545" w:rsidRDefault="006D5177" w:rsidP="00BE086C">
      <w:pPr>
        <w:pStyle w:val="ListParagraph"/>
        <w:numPr>
          <w:ilvl w:val="0"/>
          <w:numId w:val="54"/>
        </w:numPr>
        <w:spacing w:after="240"/>
      </w:pPr>
      <w:r w:rsidRPr="00364545">
        <w:t>Needless to say, the tourism sector (1.5 million jobs), with 90 million foreign tourists in 2018 is also heavily affected by climate change, with an expected drop in attendance depending on the regions (that are becoming too hot) and the season (lack of snow).</w:t>
      </w:r>
    </w:p>
    <w:p w14:paraId="61DDE399" w14:textId="0718914F" w:rsidR="006D5177" w:rsidRPr="00364545" w:rsidRDefault="006D5177" w:rsidP="00BE086C">
      <w:pPr>
        <w:pStyle w:val="ListParagraph"/>
        <w:numPr>
          <w:ilvl w:val="0"/>
          <w:numId w:val="54"/>
        </w:numPr>
        <w:spacing w:after="240"/>
      </w:pPr>
      <w:r w:rsidRPr="00364545">
        <w:t>The fisheries agriculture sector associated with the agri-food sector (1.6 million jobs) must respond to the challenge of local climate change (such as the decline in water resources) in the production department and to global impacts in the processing department, while at the same time meeting consumer demand.</w:t>
      </w:r>
    </w:p>
    <w:p w14:paraId="18715BF2" w14:textId="77777777" w:rsidR="006D5177" w:rsidRPr="00364545" w:rsidRDefault="006D5177" w:rsidP="006D5177">
      <w:pPr>
        <w:spacing w:after="240"/>
      </w:pPr>
      <w:r w:rsidRPr="00364545">
        <w:t xml:space="preserve">In March 2007, the Ministry of Ecology set up an inter-ministerial group to assess damage and elaborate measures to attenuate the costs of impacts. In the absence of a long-term socio-economic outlook for France per region and per sector, it was decided to proceed based on the current French socio-economic situation (scenario known as “constant economy”). This option allows the impact of climate change to be isolated from that of other developments and does not add macroeconomic uncertainties to uncertainties relating to climatic aspects. However, it remains a restrictive and limiting choice for some sectors, for which a socioeconomic change is already forecast or for which these changes constitute a determining factor in vulnerability to climate change. Only a limited number of sectors have been studied and, within these, the analyses conducted only covered a selection of climate change impacts. The estimated costs should be viewed only as rough estimates, owing to the limits of the methodologies used and the non-exhaustive nature of the evaluations carried out. </w:t>
      </w:r>
    </w:p>
    <w:p w14:paraId="4FE113F4" w14:textId="77777777" w:rsidR="006D5177" w:rsidRPr="00364545" w:rsidRDefault="006D5177" w:rsidP="006D5177">
      <w:pPr>
        <w:spacing w:after="240"/>
      </w:pPr>
      <w:r w:rsidRPr="00364545">
        <w:t>An overall deficit of 2 billion m</w:t>
      </w:r>
      <w:r w:rsidRPr="00364545">
        <w:rPr>
          <w:vertAlign w:val="superscript"/>
        </w:rPr>
        <w:t>3</w:t>
      </w:r>
      <w:r w:rsidRPr="00364545">
        <w:t xml:space="preserve"> of water per year is deemed to affect economic sectors sensitive to water resources, such as industry, agriculture, and drinking water supply. The projections indicate that the zones most affected will be those already suffering from structural deficits.</w:t>
      </w:r>
    </w:p>
    <w:p w14:paraId="08C74498" w14:textId="77777777" w:rsidR="006D5177" w:rsidRPr="00364545" w:rsidRDefault="006D5177" w:rsidP="006D5177">
      <w:pPr>
        <w:spacing w:after="240"/>
      </w:pPr>
      <w:r w:rsidRPr="00364545">
        <w:t xml:space="preserve">The analysis concerned four specific types of hazards: floods, coastal hazards, clay shrinkage and swelling, and gravitational hazards (avalanches, mudslides, rockfalls, etc.). At a constant rate of urbanisation, the average annual damage to dwellings generated by the risk of clay shrinkage and swelling could exceed 1 billion euros in 2100. In the absence of adaptation, the impacts of coastal hazards (erosion and submersion), will eventually affect several hundred thousand people and cause the destruction of housing. </w:t>
      </w:r>
    </w:p>
    <w:p w14:paraId="5F9F4399" w14:textId="5CA7C960" w:rsidR="006D5177" w:rsidRPr="00364545" w:rsidRDefault="004077DC" w:rsidP="006D5177">
      <w:pPr>
        <w:spacing w:after="240"/>
      </w:pPr>
      <w:r w:rsidRPr="00364545">
        <w:t>The agricultural sector is clearly the most affected, along with the agri-food sector by extension. While the growth models for the field crops used show an increase in yield, in response to climate change over the short term (due to the rise in CO</w:t>
      </w:r>
      <w:r w:rsidRPr="00364545">
        <w:rPr>
          <w:vertAlign w:val="subscript"/>
        </w:rPr>
        <w:t>2</w:t>
      </w:r>
      <w:r w:rsidRPr="00364545">
        <w:t xml:space="preserve"> levels), the increase in evapotranspiration together with the a decline in water availability are just some of the factors that could result in moderation of the predicted yield increase. For instance, if no adaptation measures are taken, a growing number of events like the 2003 heatwave could, in 2100, represent a cost of up to more than 300 million euros per year for a crop such as wheat. Viticulture is clearly affected by climate change, with high territorial differences and effects on the quality of the wines. In the case of meadows, the exercise carried out for the peri-Mediterranean area gives a loss-compensation cost of 200 million euros per year over the second half of the twenty-first</w:t>
      </w:r>
      <w:r w:rsidRPr="00364545">
        <w:rPr>
          <w:vertAlign w:val="superscript"/>
        </w:rPr>
        <w:t xml:space="preserve"> </w:t>
      </w:r>
      <w:r w:rsidRPr="00364545">
        <w:t>century.</w:t>
      </w:r>
    </w:p>
    <w:p w14:paraId="6AAF05E5" w14:textId="29AE71EA" w:rsidR="00C44824" w:rsidRPr="00364545" w:rsidRDefault="00DC248F" w:rsidP="006D5177">
      <w:pPr>
        <w:spacing w:after="240"/>
      </w:pPr>
      <w:r w:rsidRPr="00364545">
        <w:t>For power generation, restricted water resources are expected to lead to a decrease of around 15</w:t>
      </w:r>
      <w:r w:rsidRPr="00364545">
        <w:rPr>
          <w:rFonts w:ascii="Calibri" w:hAnsi="Calibri"/>
        </w:rPr>
        <w:t>%</w:t>
      </w:r>
      <w:r w:rsidRPr="00364545">
        <w:t xml:space="preserve"> from hydroelectric plants, for which water is the “raw material”; this will be accompanied by loss of efficiency for infrastructures that generate and transport energy. For nuclear power plants, the feedback collected in 2003 led to the implementation of technical and regulatory measures that have demonstrated the resilience of the power generation system as a whole. For example, the investments, focused particularly on cooling systems (with the replacement of water or air exchangers), led to improved output and demonstrated the sector's resilience during the different heatwaves of 2022.</w:t>
      </w:r>
    </w:p>
    <w:p w14:paraId="7DA59DA5" w14:textId="77777777" w:rsidR="006D5177" w:rsidRPr="00364545" w:rsidRDefault="006D5177" w:rsidP="006D5177">
      <w:pPr>
        <w:spacing w:after="240"/>
      </w:pPr>
      <w:r w:rsidRPr="00364545">
        <w:t>In 2100, a significant impact on tourism turnover is forecast for the summer season, owing to a drop in attractiveness to tourists, except in northern France and some departments in the Alps. Conversely, conditions are set to improve in the off-seasons. According to an OECD study, 143 ski areas in the French Alps had reliable snow cover in 2006. In the event of warming by +1 °C, this will be the case for only 123 resorts; for 96 resorts if warming reaches 2 °C and for only 55 resorts in the event of warming by 4 °C. Studies carried out in 2019 by Météo-France and IRSTEA confirm that if global warming rises beyond a certain level (above 2 °C), artificial snow will no longer be able to compensate for the loss of natural snow, whether in the Alps or the Pyrenees. In a general fashion, this work indicated that, in all geographical areas of mainland France, the tourism sector must adapt to future indications of climate change in order to limit the negative impacts and seize the potential opportunities.</w:t>
      </w:r>
    </w:p>
    <w:p w14:paraId="559DC40B" w14:textId="77777777" w:rsidR="006D5177" w:rsidRPr="00364545" w:rsidRDefault="006D5177" w:rsidP="006D5177">
      <w:pPr>
        <w:spacing w:after="240"/>
      </w:pPr>
      <w:r w:rsidRPr="00364545">
        <w:t xml:space="preserve">The predicted climate change could mean adaptations are required at road infrastructure level. While the 2003 and 2019 heatwaves did not seem to cause generalised disorders that call into question the permanence of the roadway or civil engineering structures, the effects of repetitive periods of heatwave are not known at this time. As far as the risk of permanent marine submersion linked to an overall rise in sea levels by one metre is concerned, this would represent a property cost, for the mainland A-roads (excluding motorways and other roads), excluding loss of use and outside of the “network” effect (for example the submersion of a limited length of road could cause an entire section to be unavailable but only the property value for the submerged length has been calculated) that falls in a range between 500 million and 1.2 billion euros. It could reach 2 billion euros if the current protections prove to be insufficient. </w:t>
      </w:r>
    </w:p>
    <w:p w14:paraId="2076B2A3" w14:textId="77777777" w:rsidR="006D5177" w:rsidRPr="00364545" w:rsidRDefault="006D5177" w:rsidP="006D5177">
      <w:pPr>
        <w:spacing w:after="240"/>
      </w:pPr>
      <w:r w:rsidRPr="00364545">
        <w:t>Global warming is accelerating biodiversity loss while, conversely, biodiversity protection measures could mitigate the impacts of climate change. The disruption of major ecological balances can already be seen: a changing physical environment and living beings struggling to adapt or disappearing under the combined effects of climate change and human pressure on their environment. Climate change is now the main threat to the World Natural Heritage.</w:t>
      </w:r>
    </w:p>
    <w:p w14:paraId="04AFEC7D" w14:textId="77777777" w:rsidR="006D5177" w:rsidRPr="00364545" w:rsidRDefault="006D5177" w:rsidP="006D5177">
      <w:pPr>
        <w:spacing w:after="240"/>
      </w:pPr>
      <w:r w:rsidRPr="00364545">
        <w:t>Agriculture is one of the sectors most heavily impacted by the consequences of climate change, suffering from the rise in temperatures, decline in water resources, increased frequency and intensity of droughts, proliferation of pathogens and pests resulting from these droughts, accentuation of certain extreme events, including intense rains, heatwaves, and tropical cyclones with immediate impacts on crops and livestock, not to forget the risk of wildfires. Cold snaps will be less severe and less frequent without reducing the hazard of spring frosts sparked by an earlier start of plant growth;</w:t>
      </w:r>
    </w:p>
    <w:p w14:paraId="6C101FA5" w14:textId="1C6219D1" w:rsidR="006D5177" w:rsidRPr="00364545" w:rsidRDefault="006D5177" w:rsidP="006D5177">
      <w:pPr>
        <w:spacing w:after="240"/>
      </w:pPr>
      <w:r w:rsidRPr="00364545">
        <w:t>All these impacts can already be seen and they will only rise in intensity as global warming increases. Thus, while the decline in yields for some crops is, for the moment, partially offset by the fertilising effect of an increased concentration of atmospheric CO</w:t>
      </w:r>
      <w:r w:rsidRPr="00364545">
        <w:rPr>
          <w:vertAlign w:val="subscript"/>
        </w:rPr>
        <w:t>2</w:t>
      </w:r>
      <w:r w:rsidRPr="00364545">
        <w:t>, declining yields can already be seen for some crops and this trend is expected to become widespread over the coming decades.</w:t>
      </w:r>
    </w:p>
    <w:p w14:paraId="419AEB89" w14:textId="5FBA2E6F" w:rsidR="006D5177" w:rsidRPr="00364545" w:rsidRDefault="006D5177" w:rsidP="006D5177">
      <w:pPr>
        <w:spacing w:after="240"/>
      </w:pPr>
      <w:r w:rsidRPr="00364545">
        <w:t>Forests, both hardwood and coniferous, could be impacted by climate change in the near future; and in a very significant way in the more distant future, whatever their location in France. Soil and atmospheric droughts constitute the main sources of duress. In the case of forests, as opposed to all other farming systems, water stress cannot be attenuated by irrigation. And, unlike for annual crops, temperature effects on phenology do not give rise to workable evasion strategies. Rising temperatures play a harmful role as they enhance atmospheric drought. The only beneficial effect is that of increasing the atmospheric CO</w:t>
      </w:r>
      <w:r w:rsidRPr="00364545">
        <w:rPr>
          <w:vertAlign w:val="subscript"/>
        </w:rPr>
        <w:t>2</w:t>
      </w:r>
      <w:r w:rsidRPr="00364545">
        <w:t xml:space="preserve"> content, which enhances photosynthesis; but this does not compensate for the negative effects of the increasing scarcity of water resources. </w:t>
      </w:r>
    </w:p>
    <w:p w14:paraId="6F4AC481" w14:textId="77777777" w:rsidR="006D5177" w:rsidRPr="00364545" w:rsidRDefault="006D5177" w:rsidP="006D5177">
      <w:pPr>
        <w:spacing w:after="240"/>
      </w:pPr>
      <w:r w:rsidRPr="00364545">
        <w:t>A sharp increase in wildfire risks is also predicted. It is forecast that around 2060, there will be an extreme fire hazard affecting most of the country for several weeks every year. Up till now, this hazard was limited to the Mediterranean area; now, it has begun to spread to other areas such as the Gironde and even Brittany.</w:t>
      </w:r>
    </w:p>
    <w:p w14:paraId="22616B9F" w14:textId="3840B6C5" w:rsidR="006D5177" w:rsidRPr="00364545" w:rsidRDefault="00DC248F" w:rsidP="00C44824">
      <w:pPr>
        <w:spacing w:after="240"/>
        <w:jc w:val="center"/>
      </w:pPr>
      <w:r w:rsidRPr="00364545">
        <w:rPr>
          <w:noProof/>
          <w:lang w:val="fr-FR"/>
        </w:rPr>
        <w:drawing>
          <wp:inline distT="0" distB="0" distL="0" distR="0" wp14:anchorId="25B065BB" wp14:editId="275A1684">
            <wp:extent cx="4640400" cy="3992400"/>
            <wp:effectExtent l="0" t="0" r="8255" b="8255"/>
            <wp:docPr id="28676" name="Image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640400" cy="3992400"/>
                    </a:xfrm>
                    <a:prstGeom prst="rect">
                      <a:avLst/>
                    </a:prstGeom>
                  </pic:spPr>
                </pic:pic>
              </a:graphicData>
            </a:graphic>
          </wp:inline>
        </w:drawing>
      </w:r>
    </w:p>
    <w:p w14:paraId="4C332643" w14:textId="5C33BBB8" w:rsidR="00F86AB7" w:rsidRPr="00364545" w:rsidRDefault="00C44824" w:rsidP="0045532B">
      <w:pPr>
        <w:pStyle w:val="Caption"/>
      </w:pPr>
      <w:bookmarkStart w:id="579" w:name="_Toc123916484"/>
      <w:r w:rsidRPr="00364545">
        <w:t xml:space="preserve">Figure </w:t>
      </w:r>
      <w:r w:rsidR="003714FB">
        <w:fldChar w:fldCharType="begin"/>
      </w:r>
      <w:r w:rsidR="003714FB">
        <w:instrText xml:space="preserve"> SEQ Figure \* ARABIC </w:instrText>
      </w:r>
      <w:r w:rsidR="003714FB">
        <w:fldChar w:fldCharType="separate"/>
      </w:r>
      <w:r w:rsidR="009A2FAA">
        <w:rPr>
          <w:noProof/>
        </w:rPr>
        <w:t>73</w:t>
      </w:r>
      <w:r w:rsidR="003714FB">
        <w:rPr>
          <w:noProof/>
        </w:rPr>
        <w:fldChar w:fldCharType="end"/>
      </w:r>
      <w:r w:rsidRPr="00364545">
        <w:t>: Fires recorded in 2022 on the territory (MODIS/Sentinel 2)</w:t>
      </w:r>
      <w:bookmarkEnd w:id="579"/>
    </w:p>
    <w:p w14:paraId="6F2C4639" w14:textId="77777777" w:rsidR="00F86AB7" w:rsidRPr="00364545" w:rsidRDefault="006D5177" w:rsidP="0045532B">
      <w:pPr>
        <w:pStyle w:val="Caption"/>
      </w:pPr>
      <w:r w:rsidRPr="00364545">
        <w:t>Source: EFFIS</w:t>
      </w:r>
    </w:p>
    <w:p w14:paraId="0E6A75D3" w14:textId="686B15B2" w:rsidR="006D5177" w:rsidRPr="00364545" w:rsidRDefault="006D5177" w:rsidP="0045532B">
      <w:pPr>
        <w:pStyle w:val="Caption"/>
      </w:pPr>
      <w:r w:rsidRPr="00364545">
        <w:t xml:space="preserve"> </w:t>
      </w:r>
    </w:p>
    <w:p w14:paraId="2536E8EF" w14:textId="77777777" w:rsidR="006D5177" w:rsidRPr="00364545" w:rsidRDefault="006D5177" w:rsidP="006D5177">
      <w:pPr>
        <w:spacing w:after="240"/>
      </w:pPr>
      <w:r w:rsidRPr="00364545">
        <w:t>Another alarming phenomenon we need to prepare for is heatwaves, set to occur with increasing more frequency, duration, and intensity.</w:t>
      </w:r>
    </w:p>
    <w:p w14:paraId="4DC0E388" w14:textId="77777777" w:rsidR="00DC248F" w:rsidRPr="00364545" w:rsidRDefault="00DC248F" w:rsidP="00DC248F">
      <w:pPr>
        <w:spacing w:after="240"/>
      </w:pPr>
      <w:r w:rsidRPr="00364545">
        <w:t xml:space="preserve">Heatwaves cause significant excess mortality. The 2003 heatwave caused 15,000 deaths; that of 2015 more than 1,700, that of 2018 about 1,600, while the 2018 heatwave caused 1,462 deaths. Three heatwaves were recorded in 2022, making it the year with the greatest health impact (after 2003), with 2,816 excess deaths. Rising temperatures will also indirectly impact health, for instance through the increase in air pollution hazards, particularly ozone pollution, the increase in allergenic risks, and the proliferation of certain algae (such as cyanobacteria), and the ensuing contamination hazards for drinking water, recreational waters, fish, and seafood. </w:t>
      </w:r>
    </w:p>
    <w:p w14:paraId="0C690CF8" w14:textId="7BE5B191" w:rsidR="006D5177" w:rsidRPr="00364545" w:rsidRDefault="00DC248F" w:rsidP="00DC248F">
      <w:pPr>
        <w:spacing w:after="240"/>
      </w:pPr>
      <w:r w:rsidRPr="00364545">
        <w:t>Lastly, global warming facilitates the spread of vector-borne diseases, notably since it expands the population area of the tiger mosquito, responsible for transmitting a variety of diseases, including chikungunya, dengue, and zika viruses. France's situation could soon resemble that of countries already more exposed, such as Greece and Italy, that are facing epidemics of the West Nile virus, as an example</w:t>
      </w:r>
    </w:p>
    <w:p w14:paraId="35234E40" w14:textId="2454D947" w:rsidR="006D5177" w:rsidRPr="00364545" w:rsidRDefault="006D5177" w:rsidP="006D5177">
      <w:pPr>
        <w:spacing w:after="240"/>
      </w:pPr>
      <w:r w:rsidRPr="00364545">
        <w:t>The “Explore 70” project provides figures on river levels and groundwater levels predicted at Horizon 2046-2065. It is predicted that groundwater recharge will significantly decrease, the mean annual flow of rivers will drop, and low flow rates will happen earlier in the year, be more severe, and last longer, with summer flows reduced by 30 to 60%. This depletion of water resources will result in the deterioration of aquatic environments, increased pressure on drinking water supplies, and severe disturbances for sectors such as agriculture, tourism, and energy. Conflicts of use may build up in water-stressed areas. A new project (Explore 2) launched in 2021 will soon enhance our knowledge about the availability of water resources in the future.</w:t>
      </w:r>
    </w:p>
    <w:p w14:paraId="267DC405" w14:textId="77777777" w:rsidR="006D5177" w:rsidRPr="00364545" w:rsidRDefault="006D5177" w:rsidP="006D5177">
      <w:pPr>
        <w:spacing w:after="240"/>
      </w:pPr>
      <w:r w:rsidRPr="00364545">
        <w:t>Climate change affects different economic sectors in different ways. The one most directly impacted is agriculture. The consequences of warming include stagnation in yields, decline in nutritional quality, alteration in seed quality, a change in the phenology of perennial crops such as fruit trees and vines, changes in the organoleptic quality of some products, and effects on plant and animal health linked to the modification of the behaviour and geographical distribution of bio-aggressors and pathogens. In addition, agricultural droughts, whose frequency and intensity are on the rise, can significantly alter agricultural production potential and create an increased need for irrigation just as water resources are becoming more scarce</w:t>
      </w:r>
      <w:r w:rsidRPr="00364545">
        <w:rPr>
          <w:rFonts w:ascii="Calibri" w:hAnsi="Calibri"/>
        </w:rPr>
        <w:t xml:space="preserve">. </w:t>
      </w:r>
      <w:r w:rsidRPr="00364545">
        <w:t>Over the period 2021-2050, the duration of soil drought in France is forecast to extend from the present average of two months (from mid-July to mid-September) to four months (from mid-June to mid-October) and grow more intense.</w:t>
      </w:r>
    </w:p>
    <w:p w14:paraId="41D5B454" w14:textId="696FA72E" w:rsidR="006D5177" w:rsidRPr="00364545" w:rsidRDefault="006D5177" w:rsidP="00E22CF8">
      <w:pPr>
        <w:pStyle w:val="Titre2Niveau2"/>
      </w:pPr>
      <w:bookmarkStart w:id="580" w:name="_Toc118276999"/>
      <w:bookmarkStart w:id="581" w:name="_Toc118384429"/>
      <w:bookmarkStart w:id="582" w:name="_Toc138341859"/>
      <w:r w:rsidRPr="00364545">
        <w:t>National adaptation policies and strategies</w:t>
      </w:r>
      <w:bookmarkEnd w:id="580"/>
      <w:bookmarkEnd w:id="581"/>
      <w:bookmarkEnd w:id="582"/>
    </w:p>
    <w:p w14:paraId="3E73E36A" w14:textId="17822DE9" w:rsidR="006D5177" w:rsidRPr="00364545" w:rsidRDefault="006D5177" w:rsidP="003F57EA">
      <w:pPr>
        <w:pStyle w:val="Titre3Niveau3"/>
      </w:pPr>
      <w:bookmarkStart w:id="583" w:name="_Toc121431048"/>
      <w:bookmarkStart w:id="584" w:name="_Toc121431385"/>
      <w:bookmarkStart w:id="585" w:name="_Toc121431546"/>
      <w:bookmarkStart w:id="586" w:name="_Toc121431708"/>
      <w:bookmarkStart w:id="587" w:name="_Toc121431871"/>
      <w:bookmarkStart w:id="588" w:name="_Toc121432033"/>
      <w:bookmarkStart w:id="589" w:name="_Toc118277000"/>
      <w:bookmarkStart w:id="590" w:name="_Toc118384430"/>
      <w:bookmarkStart w:id="591" w:name="_Toc138341860"/>
      <w:bookmarkEnd w:id="583"/>
      <w:bookmarkEnd w:id="584"/>
      <w:bookmarkEnd w:id="585"/>
      <w:bookmarkEnd w:id="586"/>
      <w:bookmarkEnd w:id="587"/>
      <w:bookmarkEnd w:id="588"/>
      <w:r w:rsidRPr="00364545">
        <w:t xml:space="preserve">The </w:t>
      </w:r>
      <w:bookmarkEnd w:id="589"/>
      <w:bookmarkEnd w:id="590"/>
      <w:r w:rsidRPr="00364545">
        <w:t>Climate and Resilience Law</w:t>
      </w:r>
      <w:bookmarkEnd w:id="591"/>
    </w:p>
    <w:p w14:paraId="7EE83EBB" w14:textId="77777777" w:rsidR="006D5177" w:rsidRPr="00364545" w:rsidRDefault="006D5177" w:rsidP="006D5177">
      <w:pPr>
        <w:spacing w:after="240"/>
      </w:pPr>
      <w:r w:rsidRPr="00364545">
        <w:t xml:space="preserve">As a result of the work of the Citizens' Climate Convention, the law on combating climate change and building resilience to its effects was promulgated and published in the Official Journal on August 24, 2021. This law anchors ecology in French society, reaching into public services, children's education, urban planning, travel, consumption patterns, and justice. </w:t>
      </w:r>
    </w:p>
    <w:p w14:paraId="2EBB9B59" w14:textId="77777777" w:rsidR="006D5177" w:rsidRPr="00364545" w:rsidRDefault="006D5177" w:rsidP="006D5177">
      <w:pPr>
        <w:spacing w:after="240"/>
      </w:pPr>
      <w:r w:rsidRPr="00364545">
        <w:t>In line with the Paris Agreement adopted on December 12, 2015, and ratified on October 5, 2016, and under the European Climate Pact, France has reaffirmed its commitment to fighting climate change and strengthening resilience to its effects, through the publication of its Climate and Resilience Law.</w:t>
      </w:r>
    </w:p>
    <w:p w14:paraId="6E437248" w14:textId="3E7163D2" w:rsidR="006D5177" w:rsidRPr="00364545" w:rsidRDefault="006D5177" w:rsidP="003F57EA">
      <w:pPr>
        <w:pStyle w:val="Titre3Niveau3"/>
      </w:pPr>
      <w:bookmarkStart w:id="592" w:name="_Toc118277001"/>
      <w:bookmarkStart w:id="593" w:name="_Toc118384431"/>
      <w:bookmarkStart w:id="594" w:name="_Toc138341861"/>
      <w:r w:rsidRPr="00364545">
        <w:t>France's Climate Plan</w:t>
      </w:r>
      <w:bookmarkEnd w:id="592"/>
      <w:bookmarkEnd w:id="593"/>
      <w:bookmarkEnd w:id="594"/>
    </w:p>
    <w:p w14:paraId="2C8422E7" w14:textId="77777777" w:rsidR="006D5177" w:rsidRPr="00364545" w:rsidRDefault="006D5177" w:rsidP="006D5177">
      <w:pPr>
        <w:spacing w:after="240"/>
      </w:pPr>
      <w:r w:rsidRPr="00364545">
        <w:t xml:space="preserve">The fight against climate change is a national priority. France's Plan Climat (Climate Plan) draws up the measures we need to take to attenuate this change by reducing greenhouse gas emissions (i.e., climate change mitigation). Elaborated at the request of the president and prime minister, the Climate Plan is regularly updated, with the latest version published in July 2017. It aims is to spur the whole government into action over the coming months and years to make the Paris Agreement a reality for the French, for Europe, and for France's diplomatic action. The Climate Plan is an instrument for France to speed up the operational implementation of the Paris Agreement, exceeding its initial goals through six priorities set out into 23 areas, including: </w:t>
      </w:r>
    </w:p>
    <w:p w14:paraId="643BBD60" w14:textId="02DA59AC" w:rsidR="006D5177" w:rsidRPr="00364545" w:rsidRDefault="00447DFE" w:rsidP="00BE086C">
      <w:pPr>
        <w:pStyle w:val="ListParagraph"/>
        <w:numPr>
          <w:ilvl w:val="0"/>
          <w:numId w:val="35"/>
        </w:numPr>
        <w:spacing w:after="240"/>
        <w:jc w:val="left"/>
      </w:pPr>
      <w:r w:rsidRPr="00364545">
        <w:t xml:space="preserve">Make the implementation of the Paris Agreement irreversible; </w:t>
      </w:r>
    </w:p>
    <w:p w14:paraId="62DCF453" w14:textId="478B4232" w:rsidR="006D5177" w:rsidRPr="00364545" w:rsidRDefault="00447DFE" w:rsidP="00BE086C">
      <w:pPr>
        <w:pStyle w:val="ListParagraph"/>
        <w:numPr>
          <w:ilvl w:val="0"/>
          <w:numId w:val="35"/>
        </w:numPr>
        <w:spacing w:after="240"/>
        <w:jc w:val="left"/>
      </w:pPr>
      <w:r w:rsidRPr="00364545">
        <w:t xml:space="preserve">Improve the daily lives of all French people; </w:t>
      </w:r>
    </w:p>
    <w:p w14:paraId="5195F5EF" w14:textId="3C8CA14D" w:rsidR="006D5177" w:rsidRPr="00364545" w:rsidRDefault="00447DFE" w:rsidP="00BE086C">
      <w:pPr>
        <w:pStyle w:val="ListParagraph"/>
        <w:numPr>
          <w:ilvl w:val="0"/>
          <w:numId w:val="35"/>
        </w:numPr>
        <w:spacing w:after="240"/>
        <w:jc w:val="left"/>
      </w:pPr>
      <w:r w:rsidRPr="00364545">
        <w:t xml:space="preserve">End fossil fuels and commit to carbon neutrality; </w:t>
      </w:r>
    </w:p>
    <w:p w14:paraId="0108AD3E" w14:textId="1A00CF1E" w:rsidR="006D5177" w:rsidRPr="00364545" w:rsidRDefault="00447DFE" w:rsidP="00BE086C">
      <w:pPr>
        <w:pStyle w:val="ListParagraph"/>
        <w:numPr>
          <w:ilvl w:val="0"/>
          <w:numId w:val="35"/>
        </w:numPr>
        <w:spacing w:after="240"/>
        <w:jc w:val="left"/>
      </w:pPr>
      <w:r w:rsidRPr="00364545">
        <w:t xml:space="preserve">Make France a leader in the green economy; </w:t>
      </w:r>
    </w:p>
    <w:p w14:paraId="44EAC7B7" w14:textId="319A6509" w:rsidR="006D5177" w:rsidRPr="00364545" w:rsidRDefault="00447DFE" w:rsidP="00BE086C">
      <w:pPr>
        <w:pStyle w:val="ListParagraph"/>
        <w:numPr>
          <w:ilvl w:val="0"/>
          <w:numId w:val="35"/>
        </w:numPr>
        <w:spacing w:after="240"/>
        <w:jc w:val="left"/>
      </w:pPr>
      <w:r w:rsidRPr="00364545">
        <w:t xml:space="preserve">Encourage the potential of ecosystems and agriculture; </w:t>
      </w:r>
    </w:p>
    <w:p w14:paraId="7DFC870D" w14:textId="2B43DFE9" w:rsidR="006D5177" w:rsidRPr="00364545" w:rsidRDefault="00447DFE" w:rsidP="00BE086C">
      <w:pPr>
        <w:pStyle w:val="ListParagraph"/>
        <w:numPr>
          <w:ilvl w:val="0"/>
          <w:numId w:val="35"/>
        </w:numPr>
        <w:spacing w:after="240"/>
        <w:jc w:val="left"/>
      </w:pPr>
      <w:r w:rsidRPr="00364545">
        <w:t>Intensify international mobilisation on climate diplomacy.</w:t>
      </w:r>
    </w:p>
    <w:p w14:paraId="5BD605A4" w14:textId="66204644" w:rsidR="006D5177" w:rsidRPr="00364545" w:rsidRDefault="006D5177" w:rsidP="006D5177">
      <w:pPr>
        <w:spacing w:after="240"/>
      </w:pPr>
      <w:r w:rsidRPr="00364545">
        <w:rPr>
          <w:b/>
        </w:rPr>
        <w:t>At the end of 2018 and following a consultation period, the French government published – a new National Climate Change Adaptation Plan</w:t>
      </w:r>
      <w:r w:rsidRPr="00364545">
        <w:t xml:space="preserve"> (PNACC-2</w:t>
      </w:r>
      <w:r w:rsidRPr="00364545">
        <w:rPr>
          <w:rStyle w:val="FootnoteReference"/>
        </w:rPr>
        <w:footnoteReference w:id="65"/>
      </w:r>
      <w:r w:rsidRPr="00364545">
        <w:t xml:space="preserve">) to be implemented over the next five years. Its objective is to better protect the French against extreme weather events, as well as to build up the resilience of the main sectors of the economy (agriculture, industry, tourism) to climate change. As announced in the Climate Plan published in July 2017, </w:t>
      </w:r>
      <w:r w:rsidRPr="00364545">
        <w:rPr>
          <w:b/>
        </w:rPr>
        <w:t>France has increased funding for the adaptation of its territories and its ... to take action in mainland and Overseas Territories</w:t>
      </w:r>
      <w:r w:rsidRPr="00364545">
        <w:t xml:space="preserve"> to mitigate climate change impacts, improve resilience, and increase the use of nature-based adaptation solutions. Adapting our territory to climate change is also a major challenge that must be approached as a necessary complement to the mitigation actions already undertaken. </w:t>
      </w:r>
    </w:p>
    <w:p w14:paraId="607E3F6F" w14:textId="7A19E971" w:rsidR="006D5177" w:rsidRPr="00364545" w:rsidRDefault="006D5177" w:rsidP="006F2069">
      <w:pPr>
        <w:spacing w:after="240"/>
      </w:pPr>
      <w:r w:rsidRPr="00364545">
        <w:t>France's central government began to take action in the field of adaptation to climate change in 2001, with the creation of the National Observatory on the Effects of Global Warming (ONERC), tasked explicitly with handling adaptation to climate change, and went on to adopt the National Adaptation Strategy in 2006. In July 2011, the National Climate Change Adaptation Plan was adopted. Adaptation policies, drawn up at both regional and local levels, are set out in the Regional Climate Air and Energy Schemes as well as in the Climate Energy and Territorial Plans, that must also include an adaptation component.</w:t>
      </w:r>
    </w:p>
    <w:p w14:paraId="665471E5" w14:textId="17F7D1F3" w:rsidR="006D5177" w:rsidRPr="00364545" w:rsidRDefault="006D5177" w:rsidP="003F57EA">
      <w:pPr>
        <w:pStyle w:val="Titre3Niveau3"/>
      </w:pPr>
      <w:bookmarkStart w:id="595" w:name="_Toc118277002"/>
      <w:bookmarkStart w:id="596" w:name="_Toc118384432"/>
      <w:bookmarkStart w:id="597" w:name="_Toc138341862"/>
      <w:r w:rsidRPr="00364545">
        <w:t>France's National Adaptation Strategy</w:t>
      </w:r>
      <w:bookmarkEnd w:id="595"/>
      <w:bookmarkEnd w:id="596"/>
      <w:bookmarkEnd w:id="597"/>
    </w:p>
    <w:p w14:paraId="50A23F99" w14:textId="77777777" w:rsidR="006D5177" w:rsidRPr="00364545" w:rsidRDefault="006D5177" w:rsidP="006D5177">
      <w:pPr>
        <w:spacing w:after="240"/>
      </w:pPr>
      <w:r w:rsidRPr="00364545">
        <w:t xml:space="preserve">Adopted in 2006, the National Adaptation Strategy objectives are to underpin all approaches advocated for adaptation to climate change, namely: </w:t>
      </w:r>
    </w:p>
    <w:p w14:paraId="7B6EAF83" w14:textId="77777777" w:rsidR="006D5177" w:rsidRPr="00364545" w:rsidRDefault="006D5177" w:rsidP="00BE086C">
      <w:pPr>
        <w:pStyle w:val="ListParagraph"/>
        <w:numPr>
          <w:ilvl w:val="0"/>
          <w:numId w:val="36"/>
        </w:numPr>
        <w:spacing w:after="240"/>
        <w:jc w:val="left"/>
      </w:pPr>
      <w:r w:rsidRPr="00364545">
        <w:t xml:space="preserve">act to safeguard public safety and health; </w:t>
      </w:r>
    </w:p>
    <w:p w14:paraId="60503A1C" w14:textId="77777777" w:rsidR="006D5177" w:rsidRPr="00364545" w:rsidRDefault="006D5177" w:rsidP="00BE086C">
      <w:pPr>
        <w:pStyle w:val="ListParagraph"/>
        <w:numPr>
          <w:ilvl w:val="0"/>
          <w:numId w:val="36"/>
        </w:numPr>
        <w:spacing w:after="240"/>
        <w:jc w:val="left"/>
      </w:pPr>
      <w:r w:rsidRPr="00364545">
        <w:t xml:space="preserve">take social inequalities into account; </w:t>
      </w:r>
    </w:p>
    <w:p w14:paraId="00D23864" w14:textId="77777777" w:rsidR="006D5177" w:rsidRPr="00364545" w:rsidRDefault="006D5177" w:rsidP="00BE086C">
      <w:pPr>
        <w:pStyle w:val="ListParagraph"/>
        <w:numPr>
          <w:ilvl w:val="0"/>
          <w:numId w:val="36"/>
        </w:numPr>
        <w:spacing w:after="240"/>
        <w:jc w:val="left"/>
      </w:pPr>
      <w:r w:rsidRPr="00364545">
        <w:t xml:space="preserve">limit costs, harness benefits; </w:t>
      </w:r>
    </w:p>
    <w:p w14:paraId="1BC9FD3E" w14:textId="77777777" w:rsidR="006D5177" w:rsidRPr="00364545" w:rsidRDefault="006D5177" w:rsidP="00BE086C">
      <w:pPr>
        <w:pStyle w:val="ListParagraph"/>
        <w:numPr>
          <w:ilvl w:val="0"/>
          <w:numId w:val="36"/>
        </w:numPr>
        <w:spacing w:after="240"/>
        <w:jc w:val="left"/>
      </w:pPr>
      <w:r w:rsidRPr="00364545">
        <w:t>protect the natural heritage.</w:t>
      </w:r>
    </w:p>
    <w:p w14:paraId="2F04EDBF" w14:textId="77777777" w:rsidR="006D5177" w:rsidRPr="00364545" w:rsidRDefault="006D5177" w:rsidP="006D5177">
      <w:pPr>
        <w:spacing w:after="240"/>
      </w:pPr>
      <w:r w:rsidRPr="00364545">
        <w:t xml:space="preserve">Adaptation must be taken into account in all trades. Owing to their transversal nature and relationship with the economic, social, and environmental sectors, the following cross-cutting approachesare examined as as priorities: water hazards, health, and biodiversity. This is followed by investigation into the following economic activities: agriculture, energy and industry, transport, construction and housing, and tourism. </w:t>
      </w:r>
    </w:p>
    <w:p w14:paraId="7EB3622E" w14:textId="205718DD" w:rsidR="006D5177" w:rsidRPr="00364545" w:rsidRDefault="006D5177" w:rsidP="00931B2E">
      <w:pPr>
        <w:spacing w:after="240"/>
      </w:pPr>
      <w:r w:rsidRPr="00364545">
        <w:t>Since adaptation must also be considered from a holistic perspective, the final step involves moving on from examining individual sectors of activity to considering the most appropriate combination of sectoral policies within the “environments” selected due to their particular vulnerability: cities, coastal areas and seas, mountains, forests.</w:t>
      </w:r>
    </w:p>
    <w:p w14:paraId="42CA6F2E" w14:textId="487A6900" w:rsidR="006D5177" w:rsidRPr="00364545" w:rsidRDefault="006D5177" w:rsidP="003F57EA">
      <w:pPr>
        <w:pStyle w:val="Titre3Niveau3"/>
      </w:pPr>
      <w:bookmarkStart w:id="598" w:name="_Toc118277003"/>
      <w:bookmarkStart w:id="599" w:name="_Toc118384433"/>
      <w:bookmarkStart w:id="600" w:name="_Toc138341863"/>
      <w:r w:rsidRPr="00364545">
        <w:t>The National Climate Change Adaptation Plan</w:t>
      </w:r>
      <w:bookmarkEnd w:id="598"/>
      <w:bookmarkEnd w:id="599"/>
      <w:bookmarkEnd w:id="600"/>
    </w:p>
    <w:p w14:paraId="6B1803E9" w14:textId="77777777" w:rsidR="006D5177" w:rsidRPr="00364545" w:rsidRDefault="006D5177" w:rsidP="006D5177">
      <w:pPr>
        <w:spacing w:after="240"/>
      </w:pPr>
      <w:r w:rsidRPr="00364545">
        <w:t>Ever since the United Nations Framework Convention on Climate Change (UNFCCC) was created in 1992, the international community has been working to mitigate the rapid build-up of greenhouse gas emissions. Yet the concentration of greenhouse gases in the global atmosphere continues to rise and, owing to the inertia of the atmospheric and oceanic systems, the climate will continue to change for at least a few more decades. We must therefore adapt to living in a climate that is undergoing transition, in the present and in the future.</w:t>
      </w:r>
    </w:p>
    <w:p w14:paraId="135AF76F" w14:textId="77777777" w:rsidR="006D5177" w:rsidRPr="00364545" w:rsidRDefault="006D5177" w:rsidP="006D5177">
      <w:pPr>
        <w:spacing w:after="240"/>
      </w:pPr>
      <w:r w:rsidRPr="00364545">
        <w:t>In view of the conclusions of the IPCC's Fourth Summary Report published in 2007, the programming law on the implementation of the “Grenelle Environnement” (or Grenelle 1 Law), adopted on August 3, 2009, provided for a National Adaptation Plan to be prepared for the various sectors of activity by 2011.</w:t>
      </w:r>
    </w:p>
    <w:p w14:paraId="23D3257B" w14:textId="77777777" w:rsidR="006D5177" w:rsidRPr="00364545" w:rsidRDefault="006D5177" w:rsidP="006D5177">
      <w:pPr>
        <w:spacing w:after="240"/>
      </w:pPr>
      <w:r w:rsidRPr="00364545">
        <w:t>Adapting our territory to climate change thus became a major issue, calling for nationwide mobilisation. From that moment, adaptation has been viewed as a necessary complement to the mitigation actions already undertaken.</w:t>
      </w:r>
    </w:p>
    <w:p w14:paraId="7651B673" w14:textId="77777777" w:rsidR="006D5177" w:rsidRPr="00364545" w:rsidRDefault="006D5177" w:rsidP="006D5177">
      <w:pPr>
        <w:spacing w:after="240"/>
      </w:pPr>
      <w:r w:rsidRPr="00364545">
        <w:t>The inter-ministerial group's report, “Climate change: costs of impacts and lines of adaptation”, published by ONERC in September 2009, provided elements illustrating the significance not only of climate change impacts and their costs but also of the opportunities open to France.</w:t>
      </w:r>
    </w:p>
    <w:p w14:paraId="37D140A8" w14:textId="77777777" w:rsidR="006D5177" w:rsidRPr="00364545" w:rsidRDefault="006D5177" w:rsidP="006D5177">
      <w:pPr>
        <w:spacing w:after="240"/>
      </w:pPr>
      <w:r w:rsidRPr="00364545">
        <w:t>In 2010, a vast consultation was held among representatives of the Grenelle Environment Roundtable groups (central government, elected representatives, civil society, employers’ associations, and trade unions) that led to the development of the National Adaptation Plan.</w:t>
      </w:r>
    </w:p>
    <w:p w14:paraId="71AA2FA4" w14:textId="77777777" w:rsidR="006D5177" w:rsidRPr="00364545" w:rsidRDefault="006D5177" w:rsidP="006D5177">
      <w:pPr>
        <w:spacing w:after="240"/>
      </w:pPr>
      <w:r w:rsidRPr="00364545">
        <w:t>The objective of this national plan was to present measures to be implemented over the period 2011 to 2015, so that France would be prepared to tackle new climatic conditions and harness their benefits.</w:t>
      </w:r>
    </w:p>
    <w:p w14:paraId="28F292C7" w14:textId="77777777" w:rsidR="006D5177" w:rsidRPr="00364545" w:rsidRDefault="006D5177" w:rsidP="006D5177">
      <w:pPr>
        <w:spacing w:after="240"/>
      </w:pPr>
      <w:r w:rsidRPr="00364545">
        <w:t>The first adaptation plan dealt only with measures designed solely at national level. The Energy, Air and Climate Regional Schemes (SRCAE in French) and Territorial Climate-Energy Plans (PCET in French) were drawn up to bring adaptation measures to the local scale, specifically adapting them to each territory.</w:t>
      </w:r>
    </w:p>
    <w:p w14:paraId="7CF59ADB" w14:textId="77777777" w:rsidR="006D5177" w:rsidRPr="00364545" w:rsidRDefault="006D5177" w:rsidP="006D5177">
      <w:pPr>
        <w:spacing w:after="240"/>
      </w:pPr>
      <w:r w:rsidRPr="00364545">
        <w:t>In June 2015, the overall evaluation of this first adaptation plan was entrusted to the General Council for the Environment and Sustainable Development (CGEDD). Submitted in October 2015 to Minister Ségolène Royal, the report contained a summary of the evaluation along with recommendations for a future plan covering the period 2017-2021. This evaluation served as a basis for the development of a second plan, which, in its turn, benefited from the knowledge gained, particularly from the studies and research activities carried out under the first plan, as well as from the fifth IPCC report, published in 2013 and 2014.</w:t>
      </w:r>
    </w:p>
    <w:p w14:paraId="7542B718" w14:textId="77777777" w:rsidR="006D5177" w:rsidRPr="00364545" w:rsidRDefault="006D5177" w:rsidP="006D5177">
      <w:pPr>
        <w:spacing w:after="240"/>
      </w:pPr>
      <w:r w:rsidRPr="00364545">
        <w:t>Based on the recommendations of the evaluation of the first PNACC (2011-2015), the PNACC-2 was developed according to one of the main principles governing the Climate Plan: that of tapping into the collective intelligence of a wide variety of stakeholders, which allowed for the co-construction of the actions included in this National Adaptation Plan. The consultation was organised according to six areas of action that structure the priorities of the PNACC-2: Governance, Prevention and Resilience, Economic Sectors, Knowledge and Information, Nature and Environments, International.</w:t>
      </w:r>
    </w:p>
    <w:p w14:paraId="1B771785" w14:textId="77777777" w:rsidR="006D5177" w:rsidRPr="00364545" w:rsidRDefault="006D5177" w:rsidP="006D5177">
      <w:pPr>
        <w:spacing w:after="240"/>
      </w:pPr>
      <w:r w:rsidRPr="00364545">
        <w:t>The overarching purpose of the National Climate Change Adaptation Plan 2018-2023 (PNACC-2) is to implement the actions required to adapt the territories of mainland and overseas France to regional climate change, in line with the long-term goal of the Paris Agreement.</w:t>
      </w:r>
    </w:p>
    <w:p w14:paraId="42CE1046" w14:textId="627B5CE2" w:rsidR="006D5177" w:rsidRPr="00364545" w:rsidRDefault="006D5177" w:rsidP="003F57EA">
      <w:pPr>
        <w:pStyle w:val="Titre3Niveau3"/>
      </w:pPr>
      <w:bookmarkStart w:id="601" w:name="_Toc118277004"/>
      <w:bookmarkStart w:id="602" w:name="_Toc118384434"/>
      <w:bookmarkStart w:id="603" w:name="_Toc138341864"/>
      <w:r w:rsidRPr="00364545">
        <w:t>The action of local authorities</w:t>
      </w:r>
      <w:bookmarkEnd w:id="601"/>
      <w:bookmarkEnd w:id="602"/>
      <w:bookmarkEnd w:id="603"/>
    </w:p>
    <w:p w14:paraId="2F8F6FEB" w14:textId="0DF721FC" w:rsidR="00EA1889" w:rsidRPr="00364545" w:rsidRDefault="00EA1889" w:rsidP="00EF6DB6">
      <w:pPr>
        <w:pStyle w:val="Titre4niveau4"/>
      </w:pPr>
      <w:r w:rsidRPr="00364545">
        <w:t>Regional approaches</w:t>
      </w:r>
    </w:p>
    <w:p w14:paraId="2CC558AC" w14:textId="77777777" w:rsidR="00EA1889" w:rsidRPr="00364545" w:rsidRDefault="00EA1889" w:rsidP="00EA1889">
      <w:pPr>
        <w:spacing w:before="240" w:after="60"/>
      </w:pPr>
      <w:r w:rsidRPr="00364545">
        <w:rPr>
          <w:b/>
        </w:rPr>
        <w:t>SRADDETs</w:t>
      </w:r>
      <w:r w:rsidRPr="00364545">
        <w:t xml:space="preserve"> (Regional plans for planning, sustainable development, and territorial equality) are now the reference documents for the regions. Drawn up for 11 regions in mainland France, these plans set objectives for developing renewable energies and define climate change mitigation and adaptation strategies for each of the regions, under an overal framework of spatial planning. Notably, SRADDETs must take account of the national low-carbon strategy (SNBC) and the national objectives and actions set out under the national plan to reduce air pollutants. </w:t>
      </w:r>
    </w:p>
    <w:p w14:paraId="4DCB49F5" w14:textId="46EA44E6" w:rsidR="00EA1889" w:rsidRPr="00364545" w:rsidRDefault="00EA1889" w:rsidP="00EA1889">
      <w:pPr>
        <w:spacing w:before="240" w:after="60"/>
      </w:pPr>
      <w:r w:rsidRPr="00364545">
        <w:t>As provided for by the Climate and Resilience Act, regional objectives for the development of renewable energies are to be established by decree in mainland France, to contribute to the national objectives. This process starts once the next revision of the multiannual energy programming (PPE) has been submitted and following consultation with the regional councils concerned. Once the objectives have been set by decree, the regions can initiate the procedure for amending their SRADDET, that should be compatible with these objectives, within the six months following the adoption of the decree.</w:t>
      </w:r>
    </w:p>
    <w:p w14:paraId="0AE12369" w14:textId="77777777" w:rsidR="00EA1889" w:rsidRPr="00364545" w:rsidRDefault="00EA1889" w:rsidP="00EA1889">
      <w:pPr>
        <w:spacing w:before="240" w:after="60"/>
      </w:pPr>
      <w:r w:rsidRPr="00364545">
        <w:t>The SRADDET was created as a result of a major consultation with the state, the main communities concerned, their groupings, and the consular chambers. The state services therefore intervene upstream (“spreading knowledge”) and are involved in its development. They also intervene downstream, before the SRADDET is approved by the prefect, to check that there is no reason that may justify requests for modification.</w:t>
      </w:r>
    </w:p>
    <w:p w14:paraId="7A1819BB" w14:textId="77777777" w:rsidR="00EA1889" w:rsidRPr="00364545" w:rsidRDefault="00EA1889" w:rsidP="00EA1889">
      <w:pPr>
        <w:spacing w:before="240" w:after="60"/>
      </w:pPr>
      <w:r w:rsidRPr="00364545">
        <w:t>The SRADDETs for all 11 mainland territories have now been approved.</w:t>
      </w:r>
    </w:p>
    <w:p w14:paraId="09A009AE" w14:textId="77777777" w:rsidR="00EA1889" w:rsidRPr="00364545" w:rsidRDefault="00EA1889" w:rsidP="00EA1889">
      <w:pPr>
        <w:spacing w:before="240" w:after="60"/>
      </w:pPr>
      <w:r w:rsidRPr="00364545">
        <w:rPr>
          <w:b/>
        </w:rPr>
        <w:t>SRCAEs</w:t>
      </w:r>
      <w:r w:rsidRPr="00364545">
        <w:t xml:space="preserve"> (Energy, Air and Climate Regional Schemes) are in force in Île-de-France, Corsica, and several Overseas Territories. SRCAEs define regional guidelines and objectives for reducing greenhouse gas emissions, combating air pollution, developing renewable energy sectors, and adapting to climate change. They also contain an annex entitled “Regional wind energy scheme” that groups together the parts of the regional territory in which wind energy development zone proposals are to be located. The SRCAE must be evaluated and reviewed every five years.</w:t>
      </w:r>
    </w:p>
    <w:p w14:paraId="5BA01DAB" w14:textId="77777777" w:rsidR="00EA1889" w:rsidRPr="00364545" w:rsidRDefault="00EA1889" w:rsidP="00EA1889">
      <w:pPr>
        <w:spacing w:before="240" w:after="60"/>
      </w:pPr>
      <w:r w:rsidRPr="00364545">
        <w:t>Île-de-France has a SRCAE that was approved in 2013, Corsica an SRCAE approved in 2014.</w:t>
      </w:r>
    </w:p>
    <w:p w14:paraId="7971EFD1" w14:textId="7D30C4B5" w:rsidR="00EA1889" w:rsidRPr="00364545" w:rsidRDefault="00EA1889" w:rsidP="00EA1889">
      <w:pPr>
        <w:spacing w:before="240" w:after="60"/>
      </w:pPr>
      <w:r w:rsidRPr="00364545">
        <w:rPr>
          <w:b/>
        </w:rPr>
        <w:t>The SAR</w:t>
      </w:r>
      <w:r w:rsidRPr="00364545">
        <w:t xml:space="preserve"> (Regional development scheme) is the main planning tool for spatial planning in the Overseas Departments and Regions. A new generation of SARs is to replace the existing SRCAEs for low-carbon planning.</w:t>
      </w:r>
    </w:p>
    <w:p w14:paraId="3A9AC07D" w14:textId="68C41EDF" w:rsidR="00EA1889" w:rsidRPr="00364545" w:rsidRDefault="00EA1889" w:rsidP="00EF6DB6">
      <w:pPr>
        <w:pStyle w:val="Titre4niveau4"/>
      </w:pPr>
      <w:r w:rsidRPr="00364545">
        <w:t>The Territorial Climate Air Energy Plan (PCAET) at local level</w:t>
      </w:r>
    </w:p>
    <w:p w14:paraId="5DD75180" w14:textId="7F3497DC" w:rsidR="00EA1889" w:rsidRPr="00364545" w:rsidRDefault="00EA1889" w:rsidP="00EA1889">
      <w:pPr>
        <w:rPr>
          <w:highlight w:val="yellow"/>
        </w:rPr>
      </w:pPr>
      <w:r w:rsidRPr="00364545">
        <w:rPr>
          <w:b/>
        </w:rPr>
        <w:t>The PCAET</w:t>
      </w:r>
      <w:r w:rsidRPr="00364545">
        <w:t xml:space="preserve"> is the operational tool for coordinating the energy transition in sub-regional territories. All public institutions for inter-municipal cooperation (EPCI) that have their own taxation of over 20,000 existing inhabitants as of January 1</w:t>
      </w:r>
      <w:r w:rsidRPr="00364545">
        <w:rPr>
          <w:vertAlign w:val="superscript"/>
        </w:rPr>
        <w:t>st</w:t>
      </w:r>
      <w:r w:rsidRPr="00364545">
        <w:t xml:space="preserve">, 2017 (or within two years of their creation or the date on which they cross the threshold of 20,000 inhabitants) must establish PCAETs. EPCIs that have fewer than 20,000 inhabitants may establish PCAETs voluntarily. These Plans provide a holistic overview of the issues involved in mitigating and adapting to climate change, preserving and reinforcing of carbon sinks, developing renewable energies, managing energy consumption, and combating air pollution across the territory. Objectives and priorities must be articulated in an explicit manner aligned with the existing regional scheme (SRADDET, SRCAE, SAR, as appropriate) or with the national low-carbon strategy if the existing regional scheme has yet to take account of the national strategy. </w:t>
      </w:r>
    </w:p>
    <w:p w14:paraId="285E9064" w14:textId="77777777" w:rsidR="00EA1889" w:rsidRPr="00364545" w:rsidRDefault="00EA1889" w:rsidP="00EA1889">
      <w:pPr>
        <w:rPr>
          <w:highlight w:val="yellow"/>
        </w:rPr>
      </w:pPr>
    </w:p>
    <w:p w14:paraId="4ED60D97" w14:textId="77777777" w:rsidR="00EA1889" w:rsidRPr="00364545" w:rsidRDefault="00EA1889" w:rsidP="00EA1889"/>
    <w:p w14:paraId="04D43BB7" w14:textId="77777777" w:rsidR="00EA1889" w:rsidRPr="00364545" w:rsidRDefault="00EA1889" w:rsidP="00EA1889">
      <w:r w:rsidRPr="00364545">
        <w:t>The PCAETs already adopted currently cover about 35% of mainland France, affecting 36 million inhabitants. In August 2022, 840 communities initiated PCAET drafts but only 386 PCAETs were adopted (+54% compared to August 2021).</w:t>
      </w:r>
    </w:p>
    <w:p w14:paraId="5D03977F" w14:textId="77777777" w:rsidR="00EA1889" w:rsidRPr="00364545" w:rsidRDefault="00EA1889" w:rsidP="00EA1889"/>
    <w:p w14:paraId="6DD7CFEE" w14:textId="77777777" w:rsidR="00EA1889" w:rsidRPr="00364545" w:rsidRDefault="00EA1889" w:rsidP="00EA1889">
      <w:r w:rsidRPr="00364545">
        <w:rPr>
          <w:noProof/>
          <w:lang w:val="fr-FR"/>
        </w:rPr>
        <w:drawing>
          <wp:inline distT="0" distB="0" distL="0" distR="0" wp14:anchorId="21F96F0C" wp14:editId="7925EFFB">
            <wp:extent cx="5400675" cy="3815631"/>
            <wp:effectExtent l="0" t="0" r="0" b="0"/>
            <wp:docPr id="28686" name="Image 28686" descr="https://www.territoires-climat.ademe.fr/Uploads/media/default/0001/01/a45c5fc6d134a1e018349a127d9589bab4d1ed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erritoires-climat.ademe.fr/Uploads/media/default/0001/01/a45c5fc6d134a1e018349a127d9589bab4d1ede0.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29294" cy="3835851"/>
                    </a:xfrm>
                    <a:prstGeom prst="rect">
                      <a:avLst/>
                    </a:prstGeom>
                    <a:noFill/>
                    <a:ln>
                      <a:noFill/>
                    </a:ln>
                  </pic:spPr>
                </pic:pic>
              </a:graphicData>
            </a:graphic>
          </wp:inline>
        </w:drawing>
      </w:r>
      <w:r w:rsidRPr="00364545">
        <w:rPr>
          <w:noProof/>
          <w:lang w:val="fr-FR"/>
        </w:rPr>
        <w:drawing>
          <wp:inline distT="0" distB="0" distL="0" distR="0" wp14:anchorId="3F745B1B" wp14:editId="60FE7D6A">
            <wp:extent cx="2848904" cy="2014623"/>
            <wp:effectExtent l="0" t="0" r="8890" b="5080"/>
            <wp:docPr id="2868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48904" cy="2014623"/>
                    </a:xfrm>
                    <a:prstGeom prst="rect">
                      <a:avLst/>
                    </a:prstGeom>
                  </pic:spPr>
                </pic:pic>
              </a:graphicData>
            </a:graphic>
          </wp:inline>
        </w:drawing>
      </w:r>
    </w:p>
    <w:p w14:paraId="01604E9E" w14:textId="6D939993" w:rsidR="00F86AB7" w:rsidRPr="00364545" w:rsidRDefault="00F86AB7" w:rsidP="0045532B">
      <w:pPr>
        <w:pStyle w:val="Caption"/>
      </w:pPr>
      <w:bookmarkStart w:id="604" w:name="_Toc123916485"/>
      <w:r w:rsidRPr="00364545">
        <w:t xml:space="preserve">Figure </w:t>
      </w:r>
      <w:r w:rsidR="003714FB">
        <w:fldChar w:fldCharType="begin"/>
      </w:r>
      <w:r w:rsidR="003714FB">
        <w:instrText xml:space="preserve"> SEQ Figure \* ARABIC </w:instrText>
      </w:r>
      <w:r w:rsidR="003714FB">
        <w:fldChar w:fldCharType="separate"/>
      </w:r>
      <w:r w:rsidR="009A2FAA">
        <w:rPr>
          <w:noProof/>
        </w:rPr>
        <w:t>74</w:t>
      </w:r>
      <w:r w:rsidR="003714FB">
        <w:rPr>
          <w:noProof/>
        </w:rPr>
        <w:fldChar w:fldCharType="end"/>
      </w:r>
      <w:r w:rsidRPr="00364545">
        <w:t>: PCAET progress map in August 2022</w:t>
      </w:r>
      <w:bookmarkEnd w:id="604"/>
    </w:p>
    <w:p w14:paraId="0B50D3C7" w14:textId="38D34358" w:rsidR="00EA1889" w:rsidRPr="00364545" w:rsidRDefault="00F86AB7" w:rsidP="0045532B">
      <w:pPr>
        <w:pStyle w:val="Caption"/>
      </w:pPr>
      <w:r w:rsidRPr="00364545">
        <w:t>Source: DGEC (French Directorate-General for Energy and Climate)</w:t>
      </w:r>
    </w:p>
    <w:p w14:paraId="1BCB61EF" w14:textId="77777777" w:rsidR="00F86AB7" w:rsidRPr="00364545" w:rsidRDefault="00F86AB7" w:rsidP="00F86AB7"/>
    <w:p w14:paraId="128BC6D3" w14:textId="32CB4E18" w:rsidR="00EA1889" w:rsidRPr="00364545" w:rsidRDefault="00EA1889" w:rsidP="00F86AB7">
      <w:r w:rsidRPr="00364545">
        <w:t>PCAETs and SRADDETs form part of France's legal landscape and the various judicial connections they hold other with planning documents must notably enable national climate, energy, and air quality ambitions to be implemented across the territory, taking into account local specificities and empowering each of the actors involved, even at the smallest scale.</w:t>
      </w:r>
    </w:p>
    <w:p w14:paraId="3C7FCFAD" w14:textId="77777777" w:rsidR="00F86AB7" w:rsidRPr="00364545" w:rsidRDefault="00F86AB7" w:rsidP="00F86AB7"/>
    <w:p w14:paraId="17574740" w14:textId="77777777" w:rsidR="00EA1889" w:rsidRPr="00364545" w:rsidRDefault="00EA1889" w:rsidP="00F86AB7">
      <w:r w:rsidRPr="00364545">
        <w:t>These judicial connections include the following:</w:t>
      </w:r>
    </w:p>
    <w:p w14:paraId="0A551761" w14:textId="472660EE" w:rsidR="00EA1889" w:rsidRPr="00364545" w:rsidRDefault="00EA1889" w:rsidP="00BE086C">
      <w:pPr>
        <w:pStyle w:val="ListParagraph"/>
        <w:numPr>
          <w:ilvl w:val="0"/>
          <w:numId w:val="19"/>
        </w:numPr>
      </w:pPr>
      <w:r w:rsidRPr="00364545">
        <w:t>SRADDETs must take account of the national low-carbon strategy,</w:t>
      </w:r>
    </w:p>
    <w:p w14:paraId="7D6E8F65" w14:textId="78B56627" w:rsidR="00EA1889" w:rsidRPr="00364545" w:rsidRDefault="00EA1889" w:rsidP="00BE086C">
      <w:pPr>
        <w:pStyle w:val="ListParagraph"/>
        <w:numPr>
          <w:ilvl w:val="0"/>
          <w:numId w:val="19"/>
        </w:numPr>
      </w:pPr>
      <w:r w:rsidRPr="00364545">
        <w:t>PCAETs and territorial coherence schemes (SCoTs) must take account of the SRADDET objectives and be compatible with its rules,</w:t>
      </w:r>
    </w:p>
    <w:p w14:paraId="15800783" w14:textId="1FB2C81D" w:rsidR="00EA1889" w:rsidRPr="00364545" w:rsidRDefault="00EA1889" w:rsidP="00BE086C">
      <w:pPr>
        <w:pStyle w:val="ListParagraph"/>
        <w:numPr>
          <w:ilvl w:val="0"/>
          <w:numId w:val="19"/>
        </w:numPr>
        <w:rPr>
          <w:b/>
          <w:bCs/>
          <w:iCs/>
        </w:rPr>
      </w:pPr>
      <w:r w:rsidRPr="00364545">
        <w:t>Local urban planning plans (PLU) must be compatible with the PCAETs as of April 1, 2021 (see Article L.131-5 of the Urban Planning Code introduced by Ordinance No.2020-745 of June 18, 2020).</w:t>
      </w:r>
    </w:p>
    <w:p w14:paraId="6BACDCC4" w14:textId="089C8038" w:rsidR="00EA1889" w:rsidRPr="00364545" w:rsidRDefault="00EA1889" w:rsidP="00EA1889">
      <w:pPr>
        <w:jc w:val="center"/>
      </w:pPr>
      <w:r w:rsidRPr="00364545">
        <w:rPr>
          <w:noProof/>
          <w:lang w:val="fr-FR"/>
        </w:rPr>
        <w:drawing>
          <wp:inline distT="0" distB="0" distL="0" distR="0" wp14:anchorId="1E1479A7" wp14:editId="1CA1DCB3">
            <wp:extent cx="6305550" cy="4733925"/>
            <wp:effectExtent l="0" t="0" r="0" b="9525"/>
            <wp:docPr id="28688" name="Image 28688" descr="2f0b54ddcc7ffe03e8d24099a9928320b62fa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f0b54ddcc7ffe03e8d24099a9928320b62fa4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05550" cy="4733925"/>
                    </a:xfrm>
                    <a:prstGeom prst="rect">
                      <a:avLst/>
                    </a:prstGeom>
                    <a:noFill/>
                    <a:ln>
                      <a:noFill/>
                    </a:ln>
                  </pic:spPr>
                </pic:pic>
              </a:graphicData>
            </a:graphic>
          </wp:inline>
        </w:drawing>
      </w:r>
    </w:p>
    <w:p w14:paraId="28829296" w14:textId="48193461" w:rsidR="00F86AB7" w:rsidRPr="00364545" w:rsidRDefault="00F86AB7" w:rsidP="0045532B">
      <w:pPr>
        <w:pStyle w:val="Caption"/>
      </w:pPr>
      <w:bookmarkStart w:id="605" w:name="_Toc123916486"/>
      <w:r w:rsidRPr="00364545">
        <w:t xml:space="preserve">Figure </w:t>
      </w:r>
      <w:r w:rsidR="003714FB">
        <w:fldChar w:fldCharType="begin"/>
      </w:r>
      <w:r w:rsidR="003714FB">
        <w:instrText xml:space="preserve"> SEQ Figure \* ARABIC </w:instrText>
      </w:r>
      <w:r w:rsidR="003714FB">
        <w:fldChar w:fldCharType="separate"/>
      </w:r>
      <w:r w:rsidR="009A2FAA">
        <w:rPr>
          <w:noProof/>
        </w:rPr>
        <w:t>75</w:t>
      </w:r>
      <w:r w:rsidR="003714FB">
        <w:rPr>
          <w:noProof/>
        </w:rPr>
        <w:fldChar w:fldCharType="end"/>
      </w:r>
      <w:r w:rsidRPr="00364545">
        <w:t>: Coordination of regulatory mechanisms, planning tools, and urban planning documents</w:t>
      </w:r>
      <w:bookmarkEnd w:id="605"/>
    </w:p>
    <w:p w14:paraId="6885DAC0" w14:textId="3636C10D" w:rsidR="00EA1889" w:rsidRPr="00364545" w:rsidRDefault="00F86AB7" w:rsidP="0045532B">
      <w:pPr>
        <w:pStyle w:val="Caption"/>
      </w:pPr>
      <w:r w:rsidRPr="00364545">
        <w:t>Source: ADEME</w:t>
      </w:r>
    </w:p>
    <w:p w14:paraId="6D98F2B3" w14:textId="77777777" w:rsidR="00F86AB7" w:rsidRPr="00364545" w:rsidRDefault="00F86AB7" w:rsidP="00F86AB7"/>
    <w:p w14:paraId="7225E31F" w14:textId="77777777" w:rsidR="00EA1889" w:rsidRPr="00364545" w:rsidRDefault="00EA1889" w:rsidP="00F86AB7">
      <w:r w:rsidRPr="00364545">
        <w:t>Beyond these legal aspects, PCAETs, SRADDETs, and SRCAEs constitute planning approaches that must generate commitment from local actors to take action towards mitigating the effects of climate change, achieving air quality standards, and reducing energy consumption.</w:t>
      </w:r>
    </w:p>
    <w:p w14:paraId="6285A0EA" w14:textId="77777777" w:rsidR="00F86AB7" w:rsidRPr="00364545" w:rsidRDefault="00F86AB7" w:rsidP="00F86AB7"/>
    <w:p w14:paraId="32870144" w14:textId="62EABDF1" w:rsidR="00EA1889" w:rsidRPr="00364545" w:rsidRDefault="00EA1889" w:rsidP="00F86AB7">
      <w:r w:rsidRPr="00364545">
        <w:t xml:space="preserve">These approaches present: </w:t>
      </w:r>
    </w:p>
    <w:p w14:paraId="004861DA" w14:textId="143FE186" w:rsidR="00EA1889" w:rsidRPr="00364545" w:rsidRDefault="00EA1889" w:rsidP="00BE086C">
      <w:pPr>
        <w:pStyle w:val="ListParagraph"/>
        <w:numPr>
          <w:ilvl w:val="0"/>
          <w:numId w:val="55"/>
        </w:numPr>
      </w:pPr>
      <w:r w:rsidRPr="00364545">
        <w:t>an opportunity for local authorities to bring more durability, coherence, and visibility to the integration of climate-air-energy subjects in their territorial projects and to institute long-term territorial actions,</w:t>
      </w:r>
    </w:p>
    <w:p w14:paraId="23B51B58" w14:textId="7D9C4A11" w:rsidR="00EA1889" w:rsidRPr="00364545" w:rsidRDefault="00EA1889" w:rsidP="00BE086C">
      <w:pPr>
        <w:pStyle w:val="ListParagraph"/>
        <w:numPr>
          <w:ilvl w:val="0"/>
          <w:numId w:val="55"/>
        </w:numPr>
      </w:pPr>
      <w:r w:rsidRPr="00364545">
        <w:t>an essential tool for local actors to take ownership of these subjects and enhance their skills accordingly.</w:t>
      </w:r>
    </w:p>
    <w:p w14:paraId="64CB79FD" w14:textId="744D9FDE" w:rsidR="006D5177" w:rsidRPr="00364545" w:rsidRDefault="006D5177" w:rsidP="00EF6DB6">
      <w:pPr>
        <w:pStyle w:val="Titre4niveau4"/>
      </w:pPr>
      <w:r w:rsidRPr="00364545">
        <w:t>Territorial governance</w:t>
      </w:r>
    </w:p>
    <w:p w14:paraId="6D13BA78" w14:textId="77777777" w:rsidR="006D5177" w:rsidRPr="00364545" w:rsidRDefault="006D5177" w:rsidP="006D5177">
      <w:pPr>
        <w:spacing w:before="240" w:after="240"/>
      </w:pPr>
      <w:r w:rsidRPr="00364545">
        <w:t>For proper governance of adaptation policies, practices of “good governance” vis-à-vis local populations must also be established. It follows that territorial and citizen consultation can only take place once awareness of climate change has been raised and knowledge disseminated to the actors involved. In order for projects to be socially accepted, local public action on adaptation must bring in the involvement of all stakeholders.</w:t>
      </w:r>
    </w:p>
    <w:p w14:paraId="28E58C73" w14:textId="62709B5B" w:rsidR="006D5177" w:rsidRPr="00364545" w:rsidRDefault="006D5177" w:rsidP="00EF6DB6">
      <w:pPr>
        <w:pStyle w:val="Titre4niveau4"/>
      </w:pPr>
      <w:r w:rsidRPr="00364545">
        <w:t>Inter-territorial governance</w:t>
      </w:r>
    </w:p>
    <w:p w14:paraId="0949DF30" w14:textId="77777777" w:rsidR="006D5177" w:rsidRPr="00364545" w:rsidRDefault="006D5177" w:rsidP="006D5177">
      <w:pPr>
        <w:spacing w:before="240" w:after="240"/>
      </w:pPr>
      <w:r w:rsidRPr="00364545">
        <w:t>Since adaptation is a very recent and cross-cutting topic, it is important to create networks of actors that allow good practices to be shared; this can lead to the improvement of measures recommended by communities. These networks can also act as tools that, combined with the rest of the toolbox, strengthen inter-territorial cooperation. Such subnational strategic documents must indeed reach beyond their own administrative boundaries and scopes of action, since the vulnerabilities they address are not bound by the traditional geo-administrative framework.</w:t>
      </w:r>
    </w:p>
    <w:p w14:paraId="7203EBE2" w14:textId="3B11B96C" w:rsidR="006D5177" w:rsidRPr="00364545" w:rsidRDefault="006D5177" w:rsidP="00EF6DB6">
      <w:pPr>
        <w:pStyle w:val="Titre4niveau4"/>
      </w:pPr>
      <w:r w:rsidRPr="00364545">
        <w:t>Coherence of adaptation policies with other climate change policies</w:t>
      </w:r>
    </w:p>
    <w:p w14:paraId="1B7D26D4" w14:textId="3EBF10F4" w:rsidR="006D5177" w:rsidRPr="00364545" w:rsidRDefault="006D5177" w:rsidP="006D5177">
      <w:pPr>
        <w:spacing w:before="240" w:after="240"/>
      </w:pPr>
      <w:r w:rsidRPr="00364545">
        <w:t>For the most part, guidance documents such as SRCAEs or PCAETs seek to establish as many synergies as possible between climate, air, and energy policies. For the measures to be implemented as effectively as possible, it is crucial that the various policies are mutually integrated, and, above all, that they do not contradict one another. In the case of SRADDETs, this integrative role has been amplified by the merging of existing or planned topic-based regional schemes. Progress is indeed being made towards streamlining policies for spatial planning, via regional planning.</w:t>
      </w:r>
    </w:p>
    <w:p w14:paraId="2B4751E2" w14:textId="77777777" w:rsidR="006D5177" w:rsidRPr="00364545" w:rsidRDefault="006D5177" w:rsidP="006D5177">
      <w:pPr>
        <w:spacing w:before="240" w:after="240"/>
      </w:pPr>
      <w:r w:rsidRPr="00364545">
        <w:t>(SRCE: Regional Ecological Coherence Scheme – SRCAE: Energy, Air and Climate Regional Scheme – SRIT: Infrastructure and Transport Regional Scheme – SRI: Intermodality Regional Scheme – PRPGD: Waste Prevention and Management Regional Plan)</w:t>
      </w:r>
    </w:p>
    <w:p w14:paraId="6A1D0DC9" w14:textId="365A87A2" w:rsidR="006D5177" w:rsidRPr="00364545" w:rsidRDefault="00F86AB7" w:rsidP="006D5177">
      <w:pPr>
        <w:spacing w:before="240" w:after="240"/>
      </w:pPr>
      <w:r w:rsidRPr="00364545">
        <w:rPr>
          <w:noProof/>
          <w:lang w:val="fr-FR"/>
        </w:rPr>
        <mc:AlternateContent>
          <mc:Choice Requires="wps">
            <w:drawing>
              <wp:anchor distT="0" distB="0" distL="114300" distR="114300" simplePos="0" relativeHeight="251854336" behindDoc="0" locked="0" layoutInCell="1" allowOverlap="1" wp14:anchorId="63B9A580" wp14:editId="3216A7C9">
                <wp:simplePos x="0" y="0"/>
                <wp:positionH relativeFrom="page">
                  <wp:posOffset>5429250</wp:posOffset>
                </wp:positionH>
                <wp:positionV relativeFrom="paragraph">
                  <wp:posOffset>849630</wp:posOffset>
                </wp:positionV>
                <wp:extent cx="1638300" cy="3667125"/>
                <wp:effectExtent l="0" t="0" r="0" b="9525"/>
                <wp:wrapTopAndBottom/>
                <wp:docPr id="58" name="Zone de texte 58"/>
                <wp:cNvGraphicFramePr/>
                <a:graphic xmlns:a="http://schemas.openxmlformats.org/drawingml/2006/main">
                  <a:graphicData uri="http://schemas.microsoft.com/office/word/2010/wordprocessingShape">
                    <wps:wsp>
                      <wps:cNvSpPr txBox="1"/>
                      <wps:spPr>
                        <a:xfrm>
                          <a:off x="0" y="0"/>
                          <a:ext cx="1638300" cy="3667125"/>
                        </a:xfrm>
                        <a:prstGeom prst="rect">
                          <a:avLst/>
                        </a:prstGeom>
                        <a:solidFill>
                          <a:prstClr val="white"/>
                        </a:solidFill>
                        <a:ln>
                          <a:noFill/>
                        </a:ln>
                      </wps:spPr>
                      <wps:txbx>
                        <w:txbxContent>
                          <w:p w14:paraId="7B9748C3" w14:textId="77777777" w:rsidR="00FB41BB" w:rsidRDefault="00FB41BB" w:rsidP="0045532B">
                            <w:pPr>
                              <w:pStyle w:val="Caption"/>
                            </w:pPr>
                            <w:r>
                              <w:t>Key</w:t>
                            </w:r>
                          </w:p>
                          <w:p w14:paraId="132C7F56" w14:textId="388FB173" w:rsidR="00FB41BB" w:rsidRPr="00F86AB7" w:rsidRDefault="00FB41BB" w:rsidP="0045532B">
                            <w:pPr>
                              <w:pStyle w:val="Caption"/>
                            </w:pPr>
                            <w:r>
                              <w:t xml:space="preserve">SRADDET, Regional plans for planning, sustainable development, and territorial equality </w:t>
                            </w:r>
                          </w:p>
                          <w:p w14:paraId="3269952F" w14:textId="77777777" w:rsidR="00FB41BB" w:rsidRDefault="00FB41BB" w:rsidP="0045532B">
                            <w:pPr>
                              <w:pStyle w:val="Caption"/>
                            </w:pPr>
                            <w:r>
                              <w:t>PCAET: Territorial Climate Air Energy Plan</w:t>
                            </w:r>
                          </w:p>
                          <w:p w14:paraId="37B28FCD" w14:textId="7C423C92" w:rsidR="00FB41BB" w:rsidRDefault="00FB41BB" w:rsidP="0045532B">
                            <w:pPr>
                              <w:pStyle w:val="Caption"/>
                            </w:pPr>
                            <w:r>
                              <w:t>SCoT: Territorial Coherence Scheme</w:t>
                            </w:r>
                          </w:p>
                          <w:p w14:paraId="2D1DAFD4" w14:textId="0785EBC5" w:rsidR="00FB41BB" w:rsidRPr="00F86AB7" w:rsidRDefault="00FB41BB" w:rsidP="0045532B">
                            <w:pPr>
                              <w:pStyle w:val="Caption"/>
                            </w:pPr>
                            <w:r>
                              <w:t>PLUi: Intercommunal Urban Planning Local Plan</w:t>
                            </w:r>
                          </w:p>
                          <w:p w14:paraId="2922CC99" w14:textId="77777777" w:rsidR="00FB41BB" w:rsidRDefault="00FB41B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9A580" id="Zone de texte 58" o:spid="_x0000_s1027" type="#_x0000_t202" style="position:absolute;left:0;text-align:left;margin-left:427.5pt;margin-top:66.9pt;width:129pt;height:288.75pt;z-index:25185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" stroked="f">
                <v:textbox inset="0,0,0,0">
                  <w:txbxContent>
                    <w:p w14:paraId="7B9748C3" w14:textId="77777777" w:rsidR="00FB41BB" w:rsidRDefault="00FB41BB" w:rsidP="0045532B">
                      <w:pPr>
                        <w:pStyle w:val="Lgende"/>
                      </w:pPr>
                      <w:r>
                        <w:t>Key</w:t>
                      </w:r>
                    </w:p>
                    <w:p w14:paraId="132C7F56" w14:textId="388FB173" w:rsidR="00FB41BB" w:rsidRPr="00F86AB7" w:rsidRDefault="00FB41BB" w:rsidP="0045532B">
                      <w:pPr>
                        <w:pStyle w:val="Lgende"/>
                      </w:pPr>
                      <w:r>
                        <w:t xml:space="preserve">SRADDET, Regional plans for planning, sustainable development, and territorial equality </w:t>
                      </w:r>
                    </w:p>
                    <w:p w14:paraId="3269952F" w14:textId="77777777" w:rsidR="00FB41BB" w:rsidRDefault="00FB41BB" w:rsidP="0045532B">
                      <w:pPr>
                        <w:pStyle w:val="Lgende"/>
                      </w:pPr>
                      <w:r>
                        <w:t>PCAET: Territorial Climate Air Energy Plan</w:t>
                      </w:r>
                    </w:p>
                    <w:p w14:paraId="37B28FCD" w14:textId="7C423C92" w:rsidR="00FB41BB" w:rsidRDefault="00FB41BB" w:rsidP="0045532B">
                      <w:pPr>
                        <w:pStyle w:val="Lgende"/>
                      </w:pPr>
                      <w:r>
                        <w:t>SCoT: Territorial Coherence Scheme</w:t>
                      </w:r>
                    </w:p>
                    <w:p w14:paraId="2D1DAFD4" w14:textId="0785EBC5" w:rsidR="00FB41BB" w:rsidRPr="00F86AB7" w:rsidRDefault="00FB41BB" w:rsidP="0045532B">
                      <w:pPr>
                        <w:pStyle w:val="Lgende"/>
                      </w:pPr>
                      <w:r>
                        <w:t>PLUi: Intercommunal Urban Planning Local Plan</w:t>
                      </w:r>
                    </w:p>
                    <w:p w14:paraId="2922CC99" w14:textId="77777777" w:rsidR="00FB41BB" w:rsidRDefault="00FB41BB"/>
                  </w:txbxContent>
                </v:textbox>
                <w10:wrap type="topAndBottom" anchorx="page"/>
              </v:shape>
            </w:pict>
          </mc:Fallback>
        </mc:AlternateContent>
      </w:r>
      <w:r w:rsidRPr="00364545">
        <w:rPr>
          <w:noProof/>
          <w:lang w:val="fr-FR"/>
        </w:rPr>
        <w:drawing>
          <wp:anchor distT="0" distB="0" distL="114300" distR="114300" simplePos="0" relativeHeight="251853312" behindDoc="0" locked="0" layoutInCell="1" allowOverlap="1" wp14:anchorId="2FC21649" wp14:editId="7A26ADD9">
            <wp:simplePos x="0" y="0"/>
            <wp:positionH relativeFrom="page">
              <wp:posOffset>589280</wp:posOffset>
            </wp:positionH>
            <wp:positionV relativeFrom="paragraph">
              <wp:posOffset>718185</wp:posOffset>
            </wp:positionV>
            <wp:extent cx="4646357" cy="3819525"/>
            <wp:effectExtent l="0" t="0" r="1905" b="0"/>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46357" cy="3819525"/>
                    </a:xfrm>
                    <a:prstGeom prst="rect">
                      <a:avLst/>
                    </a:prstGeom>
                    <a:noFill/>
                    <a:ln>
                      <a:noFill/>
                    </a:ln>
                  </pic:spPr>
                </pic:pic>
              </a:graphicData>
            </a:graphic>
          </wp:anchor>
        </w:drawing>
      </w:r>
      <w:r w:rsidRPr="00364545">
        <w:t>Broadly speaking, all traditional public policies must now integrate issues of adaptation. Moreover, this is still too new a subject and the uncertainties about climate change impacts are still too great for us to realistically envisage defining policies solely for adaptation.</w:t>
      </w:r>
    </w:p>
    <w:p w14:paraId="6CF6172D" w14:textId="23C77BBB" w:rsidR="00F86AB7" w:rsidRPr="00364545" w:rsidRDefault="00F86AB7" w:rsidP="0045532B">
      <w:pPr>
        <w:pStyle w:val="Caption"/>
      </w:pPr>
      <w:bookmarkStart w:id="606" w:name="_Toc123916487"/>
      <w:r w:rsidRPr="00364545">
        <w:t xml:space="preserve">Figure </w:t>
      </w:r>
      <w:r w:rsidR="003714FB">
        <w:fldChar w:fldCharType="begin"/>
      </w:r>
      <w:r w:rsidR="003714FB">
        <w:instrText xml:space="preserve"> SEQ Figure \* ARABIC </w:instrText>
      </w:r>
      <w:r w:rsidR="003714FB">
        <w:fldChar w:fldCharType="separate"/>
      </w:r>
      <w:r w:rsidR="009A2FAA">
        <w:rPr>
          <w:noProof/>
        </w:rPr>
        <w:t>76</w:t>
      </w:r>
      <w:r w:rsidR="003714FB">
        <w:rPr>
          <w:noProof/>
        </w:rPr>
        <w:fldChar w:fldCharType="end"/>
      </w:r>
      <w:r w:rsidRPr="00364545">
        <w:t>: Simplified diagram of the coordination of mitigation and adaptation policies at various scales from international to intercommunal</w:t>
      </w:r>
      <w:bookmarkEnd w:id="606"/>
    </w:p>
    <w:p w14:paraId="64C3F658" w14:textId="61CC3497" w:rsidR="00F86AB7" w:rsidRPr="00364545" w:rsidRDefault="00F86AB7" w:rsidP="0045532B">
      <w:pPr>
        <w:pStyle w:val="Caption"/>
      </w:pPr>
      <w:r w:rsidRPr="00364545">
        <w:t>Source: ONERC</w:t>
      </w:r>
    </w:p>
    <w:p w14:paraId="77A6CB2E" w14:textId="77777777" w:rsidR="006D5177" w:rsidRPr="00364545" w:rsidRDefault="006D5177" w:rsidP="006D5177">
      <w:pPr>
        <w:spacing w:before="240" w:after="240"/>
      </w:pPr>
    </w:p>
    <w:p w14:paraId="54CDAAE1" w14:textId="77777777" w:rsidR="006D5177" w:rsidRPr="00364545" w:rsidRDefault="006D5177" w:rsidP="00E22CF8">
      <w:pPr>
        <w:pStyle w:val="Titre2Niveau2"/>
        <w:spacing w:before="240" w:after="240"/>
      </w:pPr>
      <w:bookmarkStart w:id="607" w:name="_Toc118277005"/>
      <w:bookmarkStart w:id="608" w:name="_Toc118384435"/>
      <w:bookmarkStart w:id="609" w:name="_Toc138341865"/>
      <w:r w:rsidRPr="00364545">
        <w:t>Monitoring and evaluation framework</w:t>
      </w:r>
      <w:bookmarkEnd w:id="607"/>
      <w:bookmarkEnd w:id="608"/>
      <w:bookmarkEnd w:id="609"/>
    </w:p>
    <w:p w14:paraId="604F0755" w14:textId="77777777" w:rsidR="00DC248F" w:rsidRPr="00364545" w:rsidRDefault="00DC248F" w:rsidP="00DC248F">
      <w:pPr>
        <w:spacing w:before="240" w:after="240"/>
      </w:pPr>
      <w:r w:rsidRPr="00364545">
        <w:t xml:space="preserve">France is breaking new ground in the establishment and evaluation of adaptation policies. From the first publication of the climate change adaptation strategy in 2006 to the publication of the PNACC-2 in 2018, the country has been engaged in an open, transparent, and collaborative approach. </w:t>
      </w:r>
    </w:p>
    <w:p w14:paraId="05EACB08" w14:textId="118C2313" w:rsidR="00DC248F" w:rsidRPr="00364545" w:rsidRDefault="00DC248F" w:rsidP="00DC248F">
      <w:pPr>
        <w:spacing w:before="240" w:after="240"/>
      </w:pPr>
      <w:r w:rsidRPr="00364545">
        <w:t>The final evaluation report, published in 2016 in the form of an ONERC report to the prime minister and parliament, noted that although this was the first plan, its overall progress had been very satisfactory, as 80% of the actions and about 75% of the measures initiated would be completed by the end of 2016. However, the ONERC report was unable to comment on the extent of the plan's financial commitment, for which 171 million euros had been earmarked, because the financial resources allocated were not monitored in a global fashion. This first plan placed a great deal of emphasis on deploying key levers that could be used by the central government to move the whole country forward, such as laws, statutory provisions, planning tools, and methodological tools, as well as efforts to improve observation systems and share analyses and observations. It is worth highlighting some of the more prominent results, such as the publication of the Climate Report for France in the Twenty-first Century (Le climat de la France</w:t>
      </w:r>
      <w:r w:rsidRPr="00364545">
        <w:br/>
        <w:t>au XXI</w:t>
      </w:r>
      <w:r w:rsidRPr="00364545">
        <w:rPr>
          <w:vertAlign w:val="superscript"/>
        </w:rPr>
        <w:t>è</w:t>
      </w:r>
      <w:r w:rsidRPr="00364545">
        <w:t xml:space="preserve"> siècle); planning tools that have been significantly improved (for example, the first national flood risk strategy, published in October 2014, and the national integrated coastal management strategy both take climate change impacts into account); and a number of operational measures have been taken to adapt specific sectors of activity.</w:t>
      </w:r>
    </w:p>
    <w:p w14:paraId="60DBAEDE" w14:textId="77777777" w:rsidR="006D5177" w:rsidRPr="00364545" w:rsidRDefault="006D5177" w:rsidP="006D5177">
      <w:pPr>
        <w:spacing w:before="240" w:after="240"/>
      </w:pPr>
      <w:r w:rsidRPr="00364545">
        <w:t>The process to review the PNACC-1 began in June 2016. Announced in the National Climate Plan (Plan Climat) published in July 2017, the second National Climate Change Adaptation Plan (PNACC-2) was presented by the Minister of Ecological and Solidarity Transition on December 20, 2018. The second Adaptation Plan, concerning both mainland France and the Overseas Territories from the middle of the twenty-first</w:t>
      </w:r>
      <w:r w:rsidRPr="00364545">
        <w:rPr>
          <w:vertAlign w:val="superscript"/>
        </w:rPr>
        <w:t xml:space="preserve"> </w:t>
      </w:r>
      <w:r w:rsidRPr="00364545">
        <w:t>century, aims to bring France into a position from which it can effectively adapt to a regional climate consistent with a 2 °C rise in global temperature compared to pre-industrial levels. Its purpose is to better prepare French society for climate change by integrating adaptation into all public policies, by involving the territories and the main sectors of the economy (agriculture, industry, tourism, etc.). Compared to the first PNACC (2011-2015), the PNACC-2 is distinguished by the following main orientations:</w:t>
      </w:r>
    </w:p>
    <w:p w14:paraId="66D0589B" w14:textId="3A3484FB" w:rsidR="006D5177" w:rsidRPr="00364545" w:rsidRDefault="007B2BE1" w:rsidP="00BE086C">
      <w:pPr>
        <w:pStyle w:val="ListParagraph"/>
        <w:numPr>
          <w:ilvl w:val="1"/>
          <w:numId w:val="34"/>
        </w:numPr>
        <w:spacing w:before="240" w:after="240"/>
      </w:pPr>
      <w:r w:rsidRPr="00364545">
        <w:t>Greater involvement of territorial actors in a coherent, coordinated, shared, and closely monitored national system of adaptation to climate change;</w:t>
      </w:r>
    </w:p>
    <w:p w14:paraId="61E429F8" w14:textId="2D1A6467" w:rsidR="006D5177" w:rsidRPr="00364545" w:rsidRDefault="007B2BE1" w:rsidP="00BE086C">
      <w:pPr>
        <w:pStyle w:val="ListParagraph"/>
        <w:numPr>
          <w:ilvl w:val="1"/>
          <w:numId w:val="34"/>
        </w:numPr>
        <w:spacing w:before="240" w:after="240"/>
      </w:pPr>
      <w:r w:rsidRPr="00364545">
        <w:t>Priority is given to nature-based solutions wherever feasible;</w:t>
      </w:r>
    </w:p>
    <w:p w14:paraId="092AEC02" w14:textId="0FF956DF" w:rsidR="006D5177" w:rsidRPr="00364545" w:rsidRDefault="007B2BE1" w:rsidP="00BE086C">
      <w:pPr>
        <w:pStyle w:val="ListParagraph"/>
        <w:numPr>
          <w:ilvl w:val="1"/>
          <w:numId w:val="34"/>
        </w:numPr>
        <w:spacing w:before="240" w:after="240"/>
      </w:pPr>
      <w:r w:rsidRPr="00364545">
        <w:t>A strong focus on the Overseas Territories, manifested by specific measures for these regions that are highly vulnerable to climate change;</w:t>
      </w:r>
    </w:p>
    <w:p w14:paraId="4EACC531" w14:textId="15234A8A" w:rsidR="006D5177" w:rsidRPr="00364545" w:rsidRDefault="007B2BE1" w:rsidP="00BE086C">
      <w:pPr>
        <w:pStyle w:val="ListParagraph"/>
        <w:numPr>
          <w:ilvl w:val="1"/>
          <w:numId w:val="34"/>
        </w:numPr>
        <w:spacing w:before="240" w:after="240"/>
      </w:pPr>
      <w:r w:rsidRPr="00364545">
        <w:t>The involvement of major economic sectors, beginning with systematic prospective studies;</w:t>
      </w:r>
    </w:p>
    <w:p w14:paraId="5515D90B" w14:textId="4C725F88" w:rsidR="006D5177" w:rsidRPr="00364545" w:rsidRDefault="007B2BE1" w:rsidP="00BE086C">
      <w:pPr>
        <w:pStyle w:val="ListParagraph"/>
        <w:numPr>
          <w:ilvl w:val="1"/>
          <w:numId w:val="34"/>
        </w:numPr>
        <w:spacing w:before="240" w:after="240"/>
      </w:pPr>
      <w:r w:rsidRPr="00364545">
        <w:t>Close monitoring of the measures established, implemented by a Specialised Committee of the National Transitional Council (CNTE) representing stakeholders and society, and chaired by a senator. The annual progress report on the plan is, accordingly, presented to the Specialised Committee, tasked with annually issuing an opinion and submitting it to the CNTE;</w:t>
      </w:r>
    </w:p>
    <w:p w14:paraId="42345895" w14:textId="77777777" w:rsidR="006D5177" w:rsidRPr="00364545" w:rsidRDefault="006D5177" w:rsidP="006D5177">
      <w:pPr>
        <w:spacing w:before="240" w:after="240"/>
      </w:pPr>
      <w:r w:rsidRPr="00364545">
        <w:t>The 58 measures included in the PNACC-2 are divided into six main areas of action that take account of all the problems posed by the ongoing and predicted impacts of climate change:</w:t>
      </w:r>
    </w:p>
    <w:p w14:paraId="6D3720F2" w14:textId="06A35CA5" w:rsidR="006D5177" w:rsidRPr="00364545" w:rsidRDefault="007B2BE1" w:rsidP="00BE086C">
      <w:pPr>
        <w:pStyle w:val="ListParagraph"/>
        <w:numPr>
          <w:ilvl w:val="2"/>
          <w:numId w:val="34"/>
        </w:numPr>
        <w:spacing w:before="240" w:after="240"/>
        <w:ind w:left="2685" w:hanging="705"/>
      </w:pPr>
      <w:r w:rsidRPr="00364545">
        <w:t>Governance: territorialisation of the PNACC-2 and evolution of standards and regulations to take future climate into account;</w:t>
      </w:r>
    </w:p>
    <w:p w14:paraId="76F7D56D" w14:textId="15DE15FB" w:rsidR="006D5177" w:rsidRPr="00364545" w:rsidRDefault="007B2BE1" w:rsidP="00BE086C">
      <w:pPr>
        <w:pStyle w:val="ListParagraph"/>
        <w:numPr>
          <w:ilvl w:val="2"/>
          <w:numId w:val="34"/>
        </w:numPr>
        <w:spacing w:before="240" w:after="240"/>
        <w:ind w:left="2685" w:hanging="705"/>
      </w:pPr>
      <w:r w:rsidRPr="00364545">
        <w:t>Prevention and resilience: improving prevention and building resilience to address the predicted escalation of extreme events;</w:t>
      </w:r>
    </w:p>
    <w:p w14:paraId="1CC3BDFF" w14:textId="20728D66" w:rsidR="006D5177" w:rsidRPr="00364545" w:rsidRDefault="007B2BE1" w:rsidP="00BE086C">
      <w:pPr>
        <w:pStyle w:val="ListParagraph"/>
        <w:numPr>
          <w:ilvl w:val="2"/>
          <w:numId w:val="34"/>
        </w:numPr>
        <w:spacing w:before="240" w:after="240"/>
        <w:ind w:left="2685" w:hanging="705"/>
      </w:pPr>
      <w:r w:rsidRPr="00364545">
        <w:t>Nature and environments: adaptation and preservation of environments to secure favourable evolution of biodiversity and our environmental heritage;</w:t>
      </w:r>
    </w:p>
    <w:p w14:paraId="1C5C9BCF" w14:textId="0C4BAAD1" w:rsidR="006D5177" w:rsidRPr="00364545" w:rsidRDefault="007B2BE1" w:rsidP="00BE086C">
      <w:pPr>
        <w:pStyle w:val="ListParagraph"/>
        <w:numPr>
          <w:ilvl w:val="2"/>
          <w:numId w:val="34"/>
        </w:numPr>
        <w:spacing w:before="240" w:after="240"/>
        <w:ind w:left="2685" w:hanging="705"/>
      </w:pPr>
      <w:r w:rsidRPr="00364545">
        <w:t>Economic sectors: adaptation of major economic sectors impacted by climate change, including tourism, agriculture, fisheries and aquaculture, forestry and the related timber industry, as well as the finance and insurance sectors;</w:t>
      </w:r>
    </w:p>
    <w:p w14:paraId="27D20235" w14:textId="24AF13AB" w:rsidR="006D5177" w:rsidRPr="00364545" w:rsidRDefault="007B2BE1" w:rsidP="00BE086C">
      <w:pPr>
        <w:pStyle w:val="ListParagraph"/>
        <w:numPr>
          <w:ilvl w:val="2"/>
          <w:numId w:val="34"/>
        </w:numPr>
        <w:spacing w:before="240" w:after="240"/>
        <w:ind w:left="2685" w:hanging="705"/>
      </w:pPr>
      <w:r w:rsidRPr="00364545">
        <w:t>Knowledge and information: developing knowledge and methods of training, informing and educating stakeholders and the general public to speed up France's adaptation and consolidate the bases on which decisions are taken;</w:t>
      </w:r>
    </w:p>
    <w:p w14:paraId="3EAB72F6" w14:textId="55D2F41D" w:rsidR="006D5177" w:rsidRPr="00364545" w:rsidRDefault="007B2BE1" w:rsidP="00BE086C">
      <w:pPr>
        <w:pStyle w:val="ListParagraph"/>
        <w:numPr>
          <w:ilvl w:val="2"/>
          <w:numId w:val="34"/>
        </w:numPr>
        <w:spacing w:before="240" w:after="240"/>
        <w:ind w:left="2685" w:hanging="705"/>
      </w:pPr>
      <w:r w:rsidRPr="00364545">
        <w:t>International dimension: development and export of France's expertise in this field and influence of French diplomacy in climate negotiations.</w:t>
      </w:r>
    </w:p>
    <w:p w14:paraId="52661AB0" w14:textId="7A1EE131" w:rsidR="006D5177" w:rsidRPr="00364545" w:rsidRDefault="006D5177" w:rsidP="006D5177">
      <w:pPr>
        <w:spacing w:before="240" w:after="240"/>
      </w:pPr>
      <w:r w:rsidRPr="00364545">
        <w:t>The monitoring of the second National Climate Change Adaptation Plan's implementation, covering the period 2018 to 2023 (PNACC-2), is described in the governance component of PNACC-2. The implementation of the PNACC-2 required the prior establishment of a rigorous system for monitoring the actions covered by this ambitious plan, as well as the resources mobilised. This mechanism draws in the involvement of stakeholders at all levels, leading them to follow a virtuous and fully transparent approach that enables the proper initiation of the 58 actions included in this plan and their effective progress. This allows progress on adaptation to be measured as it unfolds, right until the end of the period.</w:t>
      </w:r>
    </w:p>
    <w:p w14:paraId="321AAB2E" w14:textId="77777777" w:rsidR="006D5177" w:rsidRPr="00364545" w:rsidRDefault="006D5177" w:rsidP="006D5177">
      <w:pPr>
        <w:spacing w:before="240" w:after="240"/>
      </w:pPr>
      <w:r w:rsidRPr="00364545">
        <w:t xml:space="preserve">The mechanism has been entrusted to the Specialised Commitee of the National Transitional Council (CNTE) tasked with guiding ONERC. The Committee thus acts as a national adaptation monitoring committee whose task it is to carry out annual monitoring of the plan, choose relevant adaptation indicators, and, if necessary, propose changes in the national adaptation policy, particularly by way of supplements to the PNACC-2. This entity aims to make the PNACC an evolving public policy instrument whilst preparing its final overall evaluation, that will lead to the development of the next national adaptation plan. The implementation of the second National Climate Change Adaptation Plan (PNACC-2) is structured around a dual monitoring mechanism and an annual cycle of meetings involving the departments of the relevant pilot ministries and civil society representatives. </w:t>
      </w:r>
    </w:p>
    <w:p w14:paraId="4425C400" w14:textId="77777777" w:rsidR="006D5177" w:rsidRPr="00364545" w:rsidRDefault="006D5177" w:rsidP="006D5177">
      <w:pPr>
        <w:spacing w:before="240" w:after="240"/>
      </w:pPr>
      <w:r w:rsidRPr="00364545">
        <w:t>In the first quarter, the pilots of the PNACC-2 actions meet to present the work programme for the year and the budgetary elements for the current and the following year. In the second quarter, members of the CNTE's Specialised Committee, responsible for guiding the work of the National Observatory on the Effects of Global Warming (ONERC) and representing all the civil society groups, come together to present the year's work programme.</w:t>
      </w:r>
    </w:p>
    <w:p w14:paraId="77DD07FE" w14:textId="77777777" w:rsidR="006D5177" w:rsidRPr="00364545" w:rsidRDefault="006D5177" w:rsidP="006D5177">
      <w:pPr>
        <w:spacing w:before="240" w:after="240"/>
      </w:pPr>
      <w:r w:rsidRPr="00364545">
        <w:t>In the third quarter, the pilots of the territorial actions, the members of the Specialised Committee concerned, the territorial collectivities, and the decentralised government services are invited to a territorial coordination meeting.</w:t>
      </w:r>
    </w:p>
    <w:p w14:paraId="75888CDD" w14:textId="77777777" w:rsidR="006D5177" w:rsidRPr="00364545" w:rsidRDefault="006D5177" w:rsidP="006D5177">
      <w:pPr>
        <w:spacing w:before="240" w:after="240"/>
      </w:pPr>
      <w:r w:rsidRPr="00364545">
        <w:t>In the fourth quarter, the PNACC-2 pilots and the members of the Specialised Committee meet to prepare the CNTE's opinion on the annual review of the PNACC-2's implementation; this is subsequently voted in plenary session of the CNTE. The general public can access each of these opinions on the website of the Ministry of Ecological Transition.</w:t>
      </w:r>
    </w:p>
    <w:p w14:paraId="1290E237" w14:textId="77777777" w:rsidR="006D5177" w:rsidRPr="00364545" w:rsidRDefault="006D5177" w:rsidP="006D5177">
      <w:pPr>
        <w:spacing w:before="240" w:after="240"/>
      </w:pPr>
      <w:r w:rsidRPr="00364545">
        <w:t>The review of the implementation is conducted through a specific monitoring tool developed by the Ministry of Ecological Transition and Territorial Cohesion's digital service. Using this tool, the pilots of actions and sub-actions can regularly update the progress of the implementation of PNACC-2 actions. The CNTE Specialised Committee also approved a series of indicators structured into three areas: context, action, and result. Fed into the system with frequency, these indicators contribute to forming an overview of climate change impacts, the actions implemented, and the results obtained.</w:t>
      </w:r>
    </w:p>
    <w:p w14:paraId="5B43090F" w14:textId="77777777" w:rsidR="006D5177" w:rsidRPr="00364545" w:rsidRDefault="006D5177" w:rsidP="00E22CF8">
      <w:pPr>
        <w:pStyle w:val="Titre2Niveau2"/>
        <w:spacing w:before="240" w:after="240"/>
      </w:pPr>
      <w:bookmarkStart w:id="610" w:name="_Toc118277006"/>
      <w:bookmarkStart w:id="611" w:name="_Toc118384436"/>
      <w:bookmarkStart w:id="612" w:name="_Toc138341866"/>
      <w:r w:rsidRPr="00364545">
        <w:t>Progress and results of adaptation measures</w:t>
      </w:r>
      <w:bookmarkEnd w:id="610"/>
      <w:bookmarkEnd w:id="611"/>
      <w:bookmarkEnd w:id="612"/>
    </w:p>
    <w:p w14:paraId="35BF5D51" w14:textId="77777777" w:rsidR="006D5177" w:rsidRPr="00364545" w:rsidRDefault="006D5177" w:rsidP="003F57EA">
      <w:pPr>
        <w:pStyle w:val="Titre3Niveau3"/>
      </w:pPr>
      <w:bookmarkStart w:id="613" w:name="_Toc138341867"/>
      <w:r w:rsidRPr="00364545">
        <w:t>Key findings from the mid-term evaluation of the second national climate change adaptation plan</w:t>
      </w:r>
      <w:bookmarkEnd w:id="613"/>
    </w:p>
    <w:p w14:paraId="096BB03D" w14:textId="77777777" w:rsidR="006D5177" w:rsidRPr="00364545" w:rsidRDefault="006D5177" w:rsidP="006D5177">
      <w:pPr>
        <w:spacing w:line="240" w:lineRule="atLeast"/>
        <w:rPr>
          <w:b/>
        </w:rPr>
      </w:pPr>
    </w:p>
    <w:p w14:paraId="0354D667" w14:textId="77777777" w:rsidR="006D5177" w:rsidRPr="00364545" w:rsidRDefault="006D5177" w:rsidP="006D5177">
      <w:pPr>
        <w:spacing w:line="240" w:lineRule="atLeast"/>
      </w:pPr>
      <w:r w:rsidRPr="00364545">
        <w:t>On December 16, 2021, the mid-term evaluation of the second National Climate Change Adaptation Plan (PNACC-2) was presented to the Specialised Committee of the National Council for Ecological Transition tasked with its review. This evaluation was published online on March 11 with its full text and summary. It provides an initial assessment of the implementation of this plan since its adoption in 2018.</w:t>
      </w:r>
    </w:p>
    <w:p w14:paraId="08951F52" w14:textId="77777777" w:rsidR="006D5177" w:rsidRPr="00364545" w:rsidRDefault="006D5177" w:rsidP="00EF6DB6">
      <w:pPr>
        <w:pStyle w:val="Titre4niveau4"/>
      </w:pPr>
      <w:r w:rsidRPr="00364545">
        <w:t>Budgets</w:t>
      </w:r>
    </w:p>
    <w:p w14:paraId="1FF613C3" w14:textId="77777777" w:rsidR="006D5177" w:rsidRPr="00364545" w:rsidRDefault="006D5177" w:rsidP="006D5177">
      <w:pPr>
        <w:spacing w:after="160" w:line="259" w:lineRule="auto"/>
        <w:contextualSpacing/>
        <w:rPr>
          <w:rFonts w:asciiTheme="minorHAnsi" w:hAnsiTheme="minorHAnsi" w:cstheme="minorHAnsi"/>
          <w:szCs w:val="22"/>
        </w:rPr>
      </w:pPr>
      <w:r w:rsidRPr="00364545">
        <w:rPr>
          <w:rFonts w:asciiTheme="majorHAnsi" w:hAnsiTheme="majorHAnsi"/>
        </w:rPr>
        <w:t xml:space="preserve">Over the course of the PNACC-2's implementation, new sub-actions became necessary; accordingly, the allocated budget grew. </w:t>
      </w:r>
      <w:r w:rsidRPr="00364545">
        <w:rPr>
          <w:rFonts w:asciiTheme="minorHAnsi" w:hAnsiTheme="minorHAnsi"/>
        </w:rPr>
        <w:t xml:space="preserve">Consequently, the overall budget of the PNACC-2 rose from 299 million euros at the end of 2019 to 8.3 billion euros at the end of 2021. </w:t>
      </w:r>
    </w:p>
    <w:p w14:paraId="3E60F3E9" w14:textId="77777777" w:rsidR="006D5177" w:rsidRPr="00364545" w:rsidRDefault="006D5177" w:rsidP="006D5177">
      <w:pPr>
        <w:spacing w:after="160" w:line="259" w:lineRule="auto"/>
        <w:contextualSpacing/>
        <w:rPr>
          <w:rFonts w:asciiTheme="minorHAnsi" w:hAnsiTheme="minorHAnsi" w:cstheme="minorHAnsi"/>
          <w:szCs w:val="22"/>
        </w:rPr>
      </w:pPr>
    </w:p>
    <w:p w14:paraId="287A03D8" w14:textId="77777777" w:rsidR="006D5177" w:rsidRPr="00364545" w:rsidRDefault="006D5177" w:rsidP="006D5177">
      <w:pPr>
        <w:spacing w:line="240" w:lineRule="atLeast"/>
      </w:pPr>
      <w:r w:rsidRPr="00364545">
        <w:t>The budgets spent over the period 2018-2021 to implement climate change adaptation actions under PNACC-2 are as follows:</w:t>
      </w:r>
    </w:p>
    <w:p w14:paraId="6BF232E8" w14:textId="77777777" w:rsidR="006D5177" w:rsidRPr="00364545" w:rsidRDefault="006D5177" w:rsidP="00BE086C">
      <w:pPr>
        <w:pStyle w:val="ListParagraph"/>
        <w:numPr>
          <w:ilvl w:val="0"/>
          <w:numId w:val="39"/>
        </w:numPr>
        <w:spacing w:line="240" w:lineRule="atLeast"/>
      </w:pPr>
      <w:r w:rsidRPr="00364545">
        <w:t>€100,000 for adaptation policy governance;</w:t>
      </w:r>
    </w:p>
    <w:p w14:paraId="4597EC63" w14:textId="77777777" w:rsidR="006D5177" w:rsidRPr="00364545" w:rsidRDefault="006D5177" w:rsidP="00BE086C">
      <w:pPr>
        <w:pStyle w:val="ListParagraph"/>
        <w:numPr>
          <w:ilvl w:val="0"/>
          <w:numId w:val="39"/>
        </w:numPr>
        <w:spacing w:line="240" w:lineRule="atLeast"/>
      </w:pPr>
      <w:r w:rsidRPr="00364545">
        <w:t>€ 346 million for prevention and management of hazards and natural disasters;</w:t>
      </w:r>
    </w:p>
    <w:p w14:paraId="7054606A" w14:textId="77777777" w:rsidR="006D5177" w:rsidRPr="00364545" w:rsidRDefault="006D5177" w:rsidP="00BE086C">
      <w:pPr>
        <w:pStyle w:val="ListParagraph"/>
        <w:numPr>
          <w:ilvl w:val="0"/>
          <w:numId w:val="39"/>
        </w:numPr>
        <w:spacing w:line="240" w:lineRule="atLeast"/>
      </w:pPr>
      <w:r w:rsidRPr="00364545">
        <w:t>€ 1.6 billion for conservation and sustainable management of natural resources and environments</w:t>
      </w:r>
    </w:p>
    <w:p w14:paraId="7003A32A" w14:textId="77777777" w:rsidR="006D5177" w:rsidRPr="00364545" w:rsidRDefault="006D5177" w:rsidP="00BE086C">
      <w:pPr>
        <w:pStyle w:val="ListParagraph"/>
        <w:numPr>
          <w:ilvl w:val="0"/>
          <w:numId w:val="39"/>
        </w:numPr>
        <w:spacing w:line="240" w:lineRule="atLeast"/>
      </w:pPr>
      <w:r w:rsidRPr="00364545">
        <w:t>€ 43 million for the adaptation of economic sectors</w:t>
      </w:r>
    </w:p>
    <w:p w14:paraId="56976862" w14:textId="77777777" w:rsidR="006D5177" w:rsidRPr="00364545" w:rsidRDefault="006D5177" w:rsidP="00BE086C">
      <w:pPr>
        <w:pStyle w:val="ListParagraph"/>
        <w:numPr>
          <w:ilvl w:val="0"/>
          <w:numId w:val="39"/>
        </w:numPr>
        <w:spacing w:line="240" w:lineRule="atLeast"/>
      </w:pPr>
      <w:r w:rsidRPr="00364545">
        <w:t>€ 121 million to develop knowledge and information on climate change</w:t>
      </w:r>
    </w:p>
    <w:p w14:paraId="098C679F" w14:textId="77777777" w:rsidR="006D5177" w:rsidRPr="00364545" w:rsidRDefault="006D5177" w:rsidP="00BE086C">
      <w:pPr>
        <w:pStyle w:val="ListParagraph"/>
        <w:numPr>
          <w:ilvl w:val="0"/>
          <w:numId w:val="39"/>
        </w:numPr>
        <w:spacing w:line="240" w:lineRule="atLeast"/>
      </w:pPr>
      <w:r w:rsidRPr="00364545">
        <w:t>€ 6.1 billion for France's international action on climate change</w:t>
      </w:r>
    </w:p>
    <w:p w14:paraId="6A700771" w14:textId="77777777" w:rsidR="006D5177" w:rsidRPr="00364545" w:rsidRDefault="006D5177" w:rsidP="006D5177">
      <w:pPr>
        <w:spacing w:after="160" w:line="259" w:lineRule="auto"/>
        <w:contextualSpacing/>
        <w:rPr>
          <w:rFonts w:asciiTheme="majorHAnsi" w:hAnsiTheme="majorHAnsi"/>
        </w:rPr>
      </w:pPr>
    </w:p>
    <w:p w14:paraId="66DA5B3B" w14:textId="77777777" w:rsidR="006D5177" w:rsidRPr="00364545" w:rsidRDefault="006D5177" w:rsidP="00EF6DB6">
      <w:pPr>
        <w:pStyle w:val="Titre4niveau4"/>
      </w:pPr>
      <w:bookmarkStart w:id="614" w:name="_Toc90285247"/>
      <w:r w:rsidRPr="00364545">
        <w:t>Implementation</w:t>
      </w:r>
      <w:bookmarkEnd w:id="614"/>
    </w:p>
    <w:p w14:paraId="61EAD6D3" w14:textId="482A4D6B" w:rsidR="006D5177" w:rsidRPr="00364545" w:rsidRDefault="006D5177" w:rsidP="006D5177">
      <w:pPr>
        <w:spacing w:before="240" w:after="160" w:line="259" w:lineRule="auto"/>
        <w:rPr>
          <w:rFonts w:asciiTheme="majorHAnsi" w:hAnsiTheme="majorHAnsi"/>
        </w:rPr>
      </w:pPr>
      <w:r w:rsidRPr="00364545">
        <w:rPr>
          <w:rFonts w:asciiTheme="majorHAnsi" w:hAnsiTheme="majorHAnsi"/>
        </w:rPr>
        <w:t>In the second half of 2021, 53 of the 58 PNACC-2 actions were initiated; in other words, almost all actions. For operational purposes, these actions are broken down into 389 sub-actions (compared to 319 in 2019 and 360 in 2020). Of these 389 sub-actions, 106 have been completed so far, 225 are under way, and 58 have yet to begin.</w:t>
      </w:r>
    </w:p>
    <w:p w14:paraId="0940482E" w14:textId="77777777" w:rsidR="006D5177" w:rsidRPr="00364545" w:rsidRDefault="006D5177" w:rsidP="00EF6DB6">
      <w:pPr>
        <w:pStyle w:val="Titre4niveau4"/>
      </w:pPr>
      <w:r w:rsidRPr="00364545">
        <w:t>Monitoring</w:t>
      </w:r>
    </w:p>
    <w:p w14:paraId="4865FA00" w14:textId="77777777" w:rsidR="006D5177" w:rsidRPr="00364545" w:rsidRDefault="006D5177" w:rsidP="006D5177">
      <w:pPr>
        <w:contextualSpacing/>
        <w:rPr>
          <w:rFonts w:asciiTheme="majorHAnsi" w:hAnsiTheme="majorHAnsi"/>
        </w:rPr>
      </w:pPr>
      <w:r w:rsidRPr="00364545">
        <w:rPr>
          <w:rFonts w:asciiTheme="majorHAnsi" w:hAnsiTheme="majorHAnsi"/>
        </w:rPr>
        <w:t xml:space="preserve">To monitor the national climate change adaptation policy, a digital monitoring tool for PNACC-2 pilots was developed and a Specialised Committee the National Council for Ecological Transition (CNTE) was established, tasked with reviewing the PNACC-2. This meant that the work of updating and monitoring policy actions could be accomplished more efficiently and transparently. </w:t>
      </w:r>
    </w:p>
    <w:p w14:paraId="0B34ABEB" w14:textId="77777777" w:rsidR="006D5177" w:rsidRPr="00364545" w:rsidRDefault="006D5177" w:rsidP="006D5177">
      <w:pPr>
        <w:contextualSpacing/>
        <w:rPr>
          <w:rFonts w:asciiTheme="majorHAnsi" w:hAnsiTheme="majorHAnsi"/>
        </w:rPr>
      </w:pPr>
    </w:p>
    <w:p w14:paraId="7EB41FA6" w14:textId="6070C4D0" w:rsidR="006D5177" w:rsidRPr="00364545" w:rsidRDefault="00DC248F" w:rsidP="006D5177">
      <w:pPr>
        <w:contextualSpacing/>
        <w:rPr>
          <w:rFonts w:asciiTheme="majorHAnsi" w:hAnsiTheme="majorHAnsi"/>
        </w:rPr>
      </w:pPr>
      <w:r w:rsidRPr="00364545">
        <w:rPr>
          <w:rFonts w:asciiTheme="majorHAnsi" w:hAnsiTheme="majorHAnsi"/>
        </w:rPr>
        <w:t>Firstly, the digital monitoring tool</w:t>
      </w:r>
      <w:r w:rsidRPr="00364545">
        <w:rPr>
          <w:rStyle w:val="FootnoteReference"/>
          <w:rFonts w:asciiTheme="majorHAnsi" w:hAnsiTheme="majorHAnsi"/>
        </w:rPr>
        <w:footnoteReference w:id="66"/>
      </w:r>
      <w:r w:rsidRPr="00364545">
        <w:rPr>
          <w:rFonts w:asciiTheme="majorHAnsi" w:hAnsiTheme="majorHAnsi"/>
        </w:rPr>
        <w:t xml:space="preserve"> enabled ministries to inform and monitor the progress of the PNACC-2 actions, sub-actions, budgets, and indicators under their management in real time. The data thus provided could be extracted and reported to the Specialised Committee tasked with reviewing the effective implementation of PNACC-2 actions on an annual basis. It is on the basis of this assessment that, every year since 2019, the CNTE has delivered its opinion on the status of the PNACC-2's implementation.</w:t>
      </w:r>
    </w:p>
    <w:p w14:paraId="5F2F15DE" w14:textId="77777777" w:rsidR="006D5177" w:rsidRPr="00364545" w:rsidRDefault="006D5177" w:rsidP="006D5177">
      <w:pPr>
        <w:contextualSpacing/>
        <w:rPr>
          <w:rFonts w:asciiTheme="majorHAnsi" w:hAnsiTheme="majorHAnsi"/>
        </w:rPr>
      </w:pPr>
    </w:p>
    <w:p w14:paraId="2C66DB83" w14:textId="77777777" w:rsidR="006D5177" w:rsidRPr="00364545" w:rsidRDefault="006D5177" w:rsidP="006D5177">
      <w:pPr>
        <w:contextualSpacing/>
        <w:rPr>
          <w:rFonts w:asciiTheme="majorHAnsi" w:hAnsiTheme="majorHAnsi"/>
        </w:rPr>
      </w:pPr>
      <w:r w:rsidRPr="00364545">
        <w:rPr>
          <w:rFonts w:asciiTheme="majorHAnsi" w:hAnsiTheme="majorHAnsi"/>
        </w:rPr>
        <w:t>Secondly, at the request of the Specialised Committee's members and qualified individuals, the pilots developed indicators to evaluate the progress achieved in the implementation of PNACC-2 actions. In the second half of 2021, 69 of the 104 monitoring indicators were completed.</w:t>
      </w:r>
    </w:p>
    <w:p w14:paraId="7801E220" w14:textId="77777777" w:rsidR="006D5177" w:rsidRPr="00364545" w:rsidRDefault="006D5177" w:rsidP="00EF6DB6">
      <w:pPr>
        <w:pStyle w:val="Titre4niveau4"/>
      </w:pPr>
      <w:bookmarkStart w:id="615" w:name="_Toc90285249"/>
      <w:r w:rsidRPr="00364545">
        <w:t>Coordinating climate change mitigation and adaptation</w:t>
      </w:r>
      <w:bookmarkEnd w:id="615"/>
    </w:p>
    <w:p w14:paraId="183172E6" w14:textId="4CE62CCE" w:rsidR="006D5177" w:rsidRPr="00364545" w:rsidRDefault="006D5177" w:rsidP="006D5177">
      <w:pPr>
        <w:contextualSpacing/>
        <w:rPr>
          <w:rFonts w:asciiTheme="majorHAnsi" w:hAnsiTheme="majorHAnsi"/>
        </w:rPr>
      </w:pPr>
      <w:r w:rsidRPr="00364545">
        <w:rPr>
          <w:rFonts w:asciiTheme="majorHAnsi" w:hAnsiTheme="majorHAnsi"/>
        </w:rPr>
        <w:t>To coordinate mitigation and adaptation policies, the PNACC-2 and SNBC-2 have been used as a basis for inter-connection. While the PNACC-2 devotes a specific action to the coordination of mitigation and adaptation policies, the SNBC-2 explicitly mentions the impacts of climate change alongside potential synergies and trade-offs with adaptation policy in several checkpoint guidelines. The impacts were also modelled in the prospective scenario that underlies the strategy, particularly with regard to the consumption of energy for heating and cooling, agriculture, and forestry. The launch of the new French Climate Energy Strategy on October 11, 2021, also provides opportunities to reinforce the coordination of climate policies, notably by further explaining climate change impacts under the SNBC-3 scenario.</w:t>
      </w:r>
    </w:p>
    <w:p w14:paraId="3C119841" w14:textId="77777777" w:rsidR="006D5177" w:rsidRPr="00364545" w:rsidRDefault="006D5177" w:rsidP="00EF6DB6">
      <w:pPr>
        <w:pStyle w:val="Titre4niveau4"/>
      </w:pPr>
      <w:bookmarkStart w:id="616" w:name="_Toc90285250"/>
      <w:r w:rsidRPr="00364545">
        <w:t>Territorial coordination of adaptation policy in mainland France and overseas</w:t>
      </w:r>
      <w:bookmarkEnd w:id="616"/>
    </w:p>
    <w:p w14:paraId="59754174" w14:textId="77777777" w:rsidR="006D5177" w:rsidRPr="00364545" w:rsidRDefault="006D5177" w:rsidP="006D5177">
      <w:pPr>
        <w:contextualSpacing/>
        <w:rPr>
          <w:rFonts w:asciiTheme="majorHAnsi" w:hAnsiTheme="majorHAnsi"/>
        </w:rPr>
      </w:pPr>
      <w:r w:rsidRPr="00364545">
        <w:rPr>
          <w:rFonts w:asciiTheme="majorHAnsi" w:hAnsiTheme="majorHAnsi"/>
        </w:rPr>
        <w:t xml:space="preserve">To coordinate efforts at a territorial level, one of the PNACC-2's key objectives is to enhance the consideration of climate change adaptation issues in regional and territorial strategic and planning documents, particularly in Regional plans for planning, sustainable development, and territorial equality (SRADDET) and Territorial Climate Air Energy Plans (PCAET). </w:t>
      </w:r>
    </w:p>
    <w:p w14:paraId="025CDD7B" w14:textId="77777777" w:rsidR="006D5177" w:rsidRPr="00364545" w:rsidRDefault="006D5177" w:rsidP="006D5177">
      <w:pPr>
        <w:contextualSpacing/>
        <w:rPr>
          <w:rFonts w:asciiTheme="majorHAnsi" w:hAnsiTheme="majorHAnsi"/>
        </w:rPr>
      </w:pPr>
      <w:r w:rsidRPr="00364545">
        <w:rPr>
          <w:rFonts w:asciiTheme="majorHAnsi" w:hAnsiTheme="majorHAnsi"/>
        </w:rPr>
        <w:t>Two studies on the integration of Nature-Based Adaptation Solutions (NBAs) into the Regional plans for planning, sustainable development and territorial equality (SRADDETs), on the one hand, and into the Territorial Air Energy Climate Plans (PCAETs) on the other, conducted under the PNACC-2 and the LIFE ARTISAN Project respectively by CEREMA and ADEME, shed light on adaptation actions carried out at regional and local levels.</w:t>
      </w:r>
    </w:p>
    <w:p w14:paraId="3FA95F19" w14:textId="77777777" w:rsidR="006D5177" w:rsidRPr="00364545" w:rsidRDefault="006D5177" w:rsidP="006D5177">
      <w:pPr>
        <w:contextualSpacing/>
        <w:rPr>
          <w:rFonts w:asciiTheme="majorHAnsi" w:hAnsiTheme="majorHAnsi"/>
        </w:rPr>
      </w:pPr>
      <w:r w:rsidRPr="00364545">
        <w:rPr>
          <w:rFonts w:asciiTheme="majorHAnsi" w:hAnsiTheme="majorHAnsi"/>
        </w:rPr>
        <w:t>The study led by CEREMA revealed that while climate change adaptation is one of the issues present in the SRADDETs, it is less apparent in the SRADDETs' general rules, that are decoupled from the objectives; and that in many SRADDETs, the link between adaptation and other issues is not considered. Moreover, in most cases, the implementation of adaptation actions is left to sub-regional local authorities.</w:t>
      </w:r>
    </w:p>
    <w:p w14:paraId="5FB20A63" w14:textId="77777777" w:rsidR="006D5177" w:rsidRPr="00364545" w:rsidRDefault="006D5177" w:rsidP="006D5177">
      <w:pPr>
        <w:contextualSpacing/>
        <w:rPr>
          <w:rFonts w:asciiTheme="majorHAnsi" w:hAnsiTheme="majorHAnsi"/>
        </w:rPr>
      </w:pPr>
      <w:r w:rsidRPr="00364545">
        <w:rPr>
          <w:rFonts w:asciiTheme="majorHAnsi" w:hAnsiTheme="majorHAnsi"/>
        </w:rPr>
        <w:t xml:space="preserve">The study led by ADEME shows that the PCAETs do indeed integrate adaptation actions and SafNs, but that these actions lack the operational elements required for their implementation. </w:t>
      </w:r>
    </w:p>
    <w:p w14:paraId="4C4573AC" w14:textId="77777777" w:rsidR="006D5177" w:rsidRPr="00364545" w:rsidRDefault="006D5177" w:rsidP="006D5177">
      <w:pPr>
        <w:contextualSpacing/>
        <w:rPr>
          <w:rFonts w:asciiTheme="majorHAnsi" w:hAnsiTheme="majorHAnsi"/>
        </w:rPr>
      </w:pPr>
    </w:p>
    <w:p w14:paraId="1F73630E" w14:textId="77777777" w:rsidR="006D5177" w:rsidRPr="00364545" w:rsidRDefault="006D5177" w:rsidP="006D5177">
      <w:pPr>
        <w:contextualSpacing/>
        <w:rPr>
          <w:rFonts w:asciiTheme="majorHAnsi" w:hAnsiTheme="majorHAnsi"/>
        </w:rPr>
      </w:pPr>
      <w:r w:rsidRPr="00364545">
        <w:rPr>
          <w:rFonts w:asciiTheme="majorHAnsi" w:hAnsiTheme="majorHAnsi"/>
        </w:rPr>
        <w:t xml:space="preserve">With regard to the Overseas Territories, progress has also been made in taking account of climate change adaptation since the launch of the PNACC-2, in particular through the </w:t>
      </w:r>
      <w:r w:rsidRPr="00364545">
        <w:rPr>
          <w:rStyle w:val="ml-2"/>
          <w:rFonts w:asciiTheme="majorHAnsi" w:hAnsiTheme="majorHAnsi"/>
        </w:rPr>
        <w:t>Convergence and Transformation Contracts (CCTs) that</w:t>
      </w:r>
      <w:r w:rsidRPr="00364545">
        <w:rPr>
          <w:rFonts w:asciiTheme="majorHAnsi" w:hAnsiTheme="majorHAnsi"/>
        </w:rPr>
        <w:t xml:space="preserve"> present the adapted strategy in each territory in order to reduce development gaps with the mainland. Accordingly, four of the eight CCTs signed in 2019 include projects that directly contribute to climate change adaptation (Guadeloupe, Mayotte, Reunion Island, and Wallis and Futuna). </w:t>
      </w:r>
    </w:p>
    <w:p w14:paraId="28ABD433" w14:textId="77777777" w:rsidR="006D5177" w:rsidRPr="00364545" w:rsidRDefault="006D5177" w:rsidP="006D5177">
      <w:pPr>
        <w:contextualSpacing/>
        <w:rPr>
          <w:rFonts w:asciiTheme="majorHAnsi" w:hAnsiTheme="majorHAnsi"/>
        </w:rPr>
      </w:pPr>
    </w:p>
    <w:p w14:paraId="6D923CA9" w14:textId="56F148F5" w:rsidR="006D5177" w:rsidRPr="00364545" w:rsidRDefault="006D5177" w:rsidP="006D5177">
      <w:pPr>
        <w:contextualSpacing/>
        <w:rPr>
          <w:rFonts w:asciiTheme="majorHAnsi" w:hAnsiTheme="majorHAnsi"/>
        </w:rPr>
      </w:pPr>
      <w:r w:rsidRPr="00364545">
        <w:rPr>
          <w:rFonts w:asciiTheme="majorHAnsi" w:hAnsiTheme="majorHAnsi"/>
        </w:rPr>
        <w:t>A growing number of actors working at regional or local levels (local authorities in particular), are expressing the need to base their reflections and adaptation strategies on more regional or local climate data and knowledge. Observatories and expert groups have therefore been set up to meet this growing demand for information. The number of regions with observatories has increased from three to six, while the number of observatories or expert groups has gone up from 17 to 27 between 2020 and 2021.</w:t>
      </w:r>
    </w:p>
    <w:p w14:paraId="1E2E1A6E" w14:textId="77777777" w:rsidR="006D5177" w:rsidRPr="00364545" w:rsidRDefault="006D5177" w:rsidP="00EF6DB6">
      <w:pPr>
        <w:pStyle w:val="Titre4niveau4"/>
      </w:pPr>
      <w:bookmarkStart w:id="617" w:name="_Toc90285251"/>
      <w:r w:rsidRPr="00364545">
        <w:t>Standards and regulations</w:t>
      </w:r>
      <w:bookmarkEnd w:id="617"/>
    </w:p>
    <w:p w14:paraId="6C918649" w14:textId="77777777" w:rsidR="006D5177" w:rsidRPr="00364545" w:rsidRDefault="006D5177" w:rsidP="006D5177">
      <w:pPr>
        <w:contextualSpacing/>
        <w:rPr>
          <w:rFonts w:asciiTheme="majorHAnsi" w:hAnsiTheme="majorHAnsi"/>
        </w:rPr>
      </w:pPr>
      <w:r w:rsidRPr="00364545">
        <w:rPr>
          <w:rFonts w:asciiTheme="majorHAnsi" w:hAnsiTheme="majorHAnsi"/>
        </w:rPr>
        <w:t>France has actively participated in international efforts to reinforce the role of climate change adaptation in the legislative field. At present, there are four ISO standards on climate change, three of which are specific to adaptation. Some are intended for local authorities, others for businesses. Setting guidelines, these standards complement the legal regulatory framework on climate (e.g.: SRADDETs, PCAETs, etc.) and should</w:t>
      </w:r>
      <w:r w:rsidRPr="00364545">
        <w:t xml:space="preserve"> </w:t>
      </w:r>
      <w:r w:rsidRPr="00364545">
        <w:rPr>
          <w:rFonts w:asciiTheme="majorHAnsi" w:hAnsiTheme="majorHAnsi"/>
        </w:rPr>
        <w:t>incite public and private actors to take greater account of climate change impacts in their strategies.</w:t>
      </w:r>
    </w:p>
    <w:p w14:paraId="27913DA1" w14:textId="77777777" w:rsidR="006D5177" w:rsidRPr="00364545" w:rsidRDefault="006D5177" w:rsidP="00EF6DB6">
      <w:pPr>
        <w:pStyle w:val="Titre4niveau4"/>
      </w:pPr>
      <w:bookmarkStart w:id="618" w:name="_Toc90285252"/>
      <w:r w:rsidRPr="00364545">
        <w:t>Prevention of natural hazards</w:t>
      </w:r>
      <w:bookmarkEnd w:id="618"/>
    </w:p>
    <w:p w14:paraId="40F8933C" w14:textId="77777777" w:rsidR="006D5177" w:rsidRPr="00364545" w:rsidRDefault="006D5177" w:rsidP="006D5177">
      <w:pPr>
        <w:contextualSpacing/>
        <w:rPr>
          <w:rFonts w:asciiTheme="majorHAnsi" w:hAnsiTheme="majorHAnsi"/>
        </w:rPr>
      </w:pPr>
      <w:r w:rsidRPr="00364545">
        <w:rPr>
          <w:rFonts w:asciiTheme="majorHAnsi" w:hAnsiTheme="majorHAnsi"/>
        </w:rPr>
        <w:t>With regard to hazard prevention and risk management, an improvement can be seen in the means of dealing with the increased risks of fire, heatwaves, extreme precipitation, and clay shrinkage and swelling.</w:t>
      </w:r>
    </w:p>
    <w:p w14:paraId="1B3530C7" w14:textId="77777777" w:rsidR="006D5177" w:rsidRPr="00364545" w:rsidRDefault="006D5177" w:rsidP="006D5177">
      <w:pPr>
        <w:contextualSpacing/>
        <w:rPr>
          <w:rFonts w:asciiTheme="majorHAnsi" w:hAnsiTheme="majorHAnsi"/>
        </w:rPr>
      </w:pPr>
    </w:p>
    <w:p w14:paraId="629CFCCF" w14:textId="77777777" w:rsidR="006D5177" w:rsidRPr="00364545" w:rsidRDefault="006D5177" w:rsidP="006D5177">
      <w:pPr>
        <w:contextualSpacing/>
        <w:rPr>
          <w:rFonts w:asciiTheme="majorHAnsi" w:hAnsiTheme="majorHAnsi"/>
        </w:rPr>
      </w:pPr>
      <w:r w:rsidRPr="00364545">
        <w:rPr>
          <w:rFonts w:asciiTheme="majorHAnsi" w:hAnsiTheme="majorHAnsi"/>
        </w:rPr>
        <w:t xml:space="preserve">Inter-ministerial awareness-raising campaigns to inform the public and set out the right behaviour to adopt in the event of natural hazards have been taking place on an annual basis for years; it is only recently, however, that they have shifted towards better consideration of the consequences of climate change. In 2020, in response to the rising number of territories affected by the risk of forest fires, the communication campaign for their prevention was expanded to all of mainland France and to all plants (until then, it had been conducted only in the 32 departments of the South of France). </w:t>
      </w:r>
    </w:p>
    <w:p w14:paraId="3B9B8C15" w14:textId="77777777" w:rsidR="006D5177" w:rsidRPr="00364545" w:rsidRDefault="006D5177" w:rsidP="006D5177">
      <w:pPr>
        <w:contextualSpacing/>
        <w:rPr>
          <w:rFonts w:asciiTheme="majorHAnsi" w:hAnsiTheme="majorHAnsi"/>
        </w:rPr>
      </w:pPr>
    </w:p>
    <w:p w14:paraId="5959D745" w14:textId="77777777" w:rsidR="006D5177" w:rsidRPr="00364545" w:rsidRDefault="006D5177" w:rsidP="006D5177">
      <w:pPr>
        <w:contextualSpacing/>
        <w:rPr>
          <w:rFonts w:asciiTheme="majorHAnsi" w:hAnsiTheme="majorHAnsi"/>
        </w:rPr>
      </w:pPr>
      <w:r w:rsidRPr="00364545">
        <w:rPr>
          <w:rFonts w:asciiTheme="majorHAnsi" w:hAnsiTheme="majorHAnsi"/>
        </w:rPr>
        <w:t>Following the two heatwave episodes of 2019, feedback was sought as part of an effort to tackle the climate risks related to rising temperatures. The information collected enabled a need to be recognised: that of establishing a national heatwave management plan to better tackle the impact of heatwaves on the daily life of France's inhabitants, ensure the continuity of essential public services, and safeguard economic activities, environments, and natural resources.</w:t>
      </w:r>
    </w:p>
    <w:p w14:paraId="66A46381" w14:textId="77777777" w:rsidR="006D5177" w:rsidRPr="00364545" w:rsidRDefault="006D5177" w:rsidP="006D5177">
      <w:pPr>
        <w:contextualSpacing/>
        <w:rPr>
          <w:rFonts w:asciiTheme="majorHAnsi" w:hAnsiTheme="majorHAnsi"/>
        </w:rPr>
      </w:pPr>
    </w:p>
    <w:p w14:paraId="139AB998" w14:textId="15FC7E63" w:rsidR="006D5177" w:rsidRPr="00364545" w:rsidRDefault="006D5177" w:rsidP="006D5177">
      <w:pPr>
        <w:contextualSpacing/>
        <w:rPr>
          <w:rFonts w:asciiTheme="majorHAnsi" w:eastAsia="Liberation Sans;Arial" w:hAnsiTheme="majorHAnsi" w:cstheme="minorHAnsi"/>
          <w:color w:val="000000"/>
          <w:szCs w:val="21"/>
        </w:rPr>
      </w:pPr>
      <w:r w:rsidRPr="00364545">
        <w:rPr>
          <w:rFonts w:asciiTheme="majorHAnsi" w:hAnsiTheme="majorHAnsi"/>
        </w:rPr>
        <w:t>With regard to the risk of shrinkage and swelling of clay soils (SSCS), actions have been taken to reinforce construction specifications and inform future land buyers. A new device was indeed set up in 2018 as part of the ELAN law</w:t>
      </w:r>
      <w:r w:rsidRPr="00364545">
        <w:rPr>
          <w:rFonts w:asciiTheme="majorHAnsi" w:hAnsiTheme="majorHAnsi"/>
          <w:color w:val="000000"/>
        </w:rPr>
        <w:t xml:space="preserve"> to ensure that new houses (their foundations in particular) are built using construction techniques adapted to prevent damage related to clay shrinkage and swelling. As of October </w:t>
      </w:r>
      <w:r w:rsidRPr="00364545">
        <w:t>1</w:t>
      </w:r>
      <w:r w:rsidRPr="00364545">
        <w:rPr>
          <w:rFonts w:asciiTheme="majorHAnsi" w:hAnsiTheme="majorHAnsi"/>
          <w:color w:val="000000"/>
        </w:rPr>
        <w:t>, 2020, when a building plot located in a clay zone of medium or high exposure is sold, the seller must provide a prior goetechnical study informing the buyer of the nature of the land.</w:t>
      </w:r>
    </w:p>
    <w:p w14:paraId="31CEA701" w14:textId="77777777" w:rsidR="006D5177" w:rsidRPr="00364545" w:rsidRDefault="006D5177" w:rsidP="00EF6DB6">
      <w:pPr>
        <w:pStyle w:val="Titre4niveau4"/>
      </w:pPr>
      <w:bookmarkStart w:id="619" w:name="_Toc90285253"/>
      <w:r w:rsidRPr="00364545">
        <w:t>Protection of natural resources and environments</w:t>
      </w:r>
      <w:bookmarkEnd w:id="619"/>
    </w:p>
    <w:p w14:paraId="20B8EE51"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With regard to the preservation of natural resources and environments, it appears that biodiversity protection actors are increasingly taking up the challenges of adapting to climate change. Actions are being taken at all levels to boost the resilience of ecosystems and</w:t>
      </w:r>
      <w:r w:rsidRPr="00364545">
        <w:rPr>
          <w:rFonts w:ascii="Calibri" w:hAnsi="Calibri"/>
        </w:rPr>
        <w:t xml:space="preserve"> </w:t>
      </w:r>
      <w:r w:rsidRPr="00364545">
        <w:rPr>
          <w:rFonts w:asciiTheme="majorHAnsi" w:hAnsiTheme="majorHAnsi"/>
        </w:rPr>
        <w:t>attenuate the increasing</w:t>
      </w:r>
      <w:r w:rsidRPr="00364545">
        <w:t xml:space="preserve"> </w:t>
      </w:r>
      <w:r w:rsidRPr="00364545">
        <w:rPr>
          <w:rFonts w:asciiTheme="majorHAnsi" w:hAnsiTheme="majorHAnsi"/>
        </w:rPr>
        <w:t>scarcity of natural resources: studies of climate change impacts</w:t>
      </w:r>
      <w:r w:rsidRPr="00364545">
        <w:t xml:space="preserve"> </w:t>
      </w:r>
      <w:r w:rsidRPr="00364545">
        <w:rPr>
          <w:rFonts w:asciiTheme="majorHAnsi" w:hAnsiTheme="majorHAnsi"/>
        </w:rPr>
        <w:t>on</w:t>
      </w:r>
      <w:r w:rsidRPr="00364545">
        <w:t xml:space="preserve"> </w:t>
      </w:r>
      <w:r w:rsidRPr="00364545">
        <w:rPr>
          <w:rFonts w:asciiTheme="majorHAnsi" w:hAnsiTheme="majorHAnsi"/>
        </w:rPr>
        <w:t>the</w:t>
      </w:r>
      <w:r w:rsidRPr="00364545">
        <w:t xml:space="preserve"> </w:t>
      </w:r>
      <w:r w:rsidRPr="00364545">
        <w:rPr>
          <w:rFonts w:asciiTheme="majorHAnsi" w:hAnsiTheme="majorHAnsi"/>
        </w:rPr>
        <w:t>quantity and quality of water resources; adaptation</w:t>
      </w:r>
      <w:r w:rsidRPr="00364545">
        <w:t xml:space="preserve"> </w:t>
      </w:r>
      <w:r w:rsidRPr="00364545">
        <w:rPr>
          <w:rFonts w:asciiTheme="majorHAnsi" w:hAnsiTheme="majorHAnsi"/>
        </w:rPr>
        <w:t>plan for watershed</w:t>
      </w:r>
      <w:r w:rsidRPr="00364545">
        <w:t xml:space="preserve"> </w:t>
      </w:r>
      <w:r w:rsidRPr="00364545">
        <w:rPr>
          <w:rFonts w:asciiTheme="majorHAnsi" w:hAnsiTheme="majorHAnsi"/>
        </w:rPr>
        <w:t>committees;</w:t>
      </w:r>
      <w:r w:rsidRPr="00364545">
        <w:t xml:space="preserve"> </w:t>
      </w:r>
      <w:r w:rsidRPr="00364545">
        <w:rPr>
          <w:rFonts w:asciiTheme="majorHAnsi" w:hAnsiTheme="majorHAnsi"/>
        </w:rPr>
        <w:t xml:space="preserve">diagnosis of vulnerability to climate change impacts in protected areas; flexible management of coastal areas; renewal and creation of new seed orchards to improve the resilience of forests; ecological restoration projects; and the list goes on. </w:t>
      </w:r>
    </w:p>
    <w:p w14:paraId="7120C636" w14:textId="77777777" w:rsidR="006D5177" w:rsidRPr="00364545" w:rsidRDefault="006D5177" w:rsidP="00EF6DB6">
      <w:pPr>
        <w:pStyle w:val="Titre4niveau4"/>
      </w:pPr>
      <w:bookmarkStart w:id="620" w:name="_Toc90285254"/>
      <w:r w:rsidRPr="00364545">
        <w:t>Nature-based solutions for climate change adaptation</w:t>
      </w:r>
      <w:bookmarkEnd w:id="620"/>
    </w:p>
    <w:p w14:paraId="51D89EA8"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Beyond the perceived impacts of climate change on ecosystems, actors in the fields of biodiversity and adaptation are increasingly turning to nature as a potential source of solutions to adapt to climate change. Accordingly, many of the PNACC-2 actions involve nature-based solutions for adaptation to climate change (NBS): protection and restoration of mangroves in Martinique; restoration of aquatic environments, habitats, and ecosystems in the six watersheds of mainland France; production of a brochure for elected representatives and territorial project holders that brings value to the role natural areas play in the prevention of natural hazards (marine submersion, coastal erosion, flooding); launch of the LIFE ARTISAN project; and so on.</w:t>
      </w:r>
    </w:p>
    <w:p w14:paraId="2FA20CEB" w14:textId="77777777" w:rsidR="006D5177" w:rsidRPr="00364545" w:rsidRDefault="006D5177" w:rsidP="00EF6DB6">
      <w:pPr>
        <w:pStyle w:val="Titre4niveau4"/>
      </w:pPr>
      <w:bookmarkStart w:id="621" w:name="_Toc90285255"/>
      <w:r w:rsidRPr="00364545">
        <w:t>Adapting economic sectors to climate change</w:t>
      </w:r>
      <w:bookmarkEnd w:id="621"/>
    </w:p>
    <w:p w14:paraId="16A4F648"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Disparities appear from one economic sector to the next in terms of progress towards climate change adaptation.</w:t>
      </w:r>
    </w:p>
    <w:p w14:paraId="5188E23A" w14:textId="77777777" w:rsidR="006D5177" w:rsidRPr="00364545" w:rsidRDefault="006D5177" w:rsidP="006D5177">
      <w:pPr>
        <w:contextualSpacing/>
        <w:rPr>
          <w:rFonts w:asciiTheme="majorHAnsi" w:hAnsiTheme="majorHAnsi" w:cstheme="minorHAnsi"/>
          <w:szCs w:val="21"/>
        </w:rPr>
      </w:pPr>
    </w:p>
    <w:p w14:paraId="0B5B9C25"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 xml:space="preserve">In the agricultural sector, the recovery plan allowed the financing of a measure supporting investments in equipment to deal with the risks of frost and hail. Additionally, as a result of the national consultation “Varenne of agricultural water and adaptation to climate change” launched on May 28, 2021, </w:t>
      </w:r>
      <w:r w:rsidRPr="00364545">
        <w:t>all sectors are now obliged to finalise a strategy for climate change adaptation and set up an action plan by 2025</w:t>
      </w:r>
      <w:r w:rsidRPr="00364545">
        <w:rPr>
          <w:rFonts w:asciiTheme="majorHAnsi" w:hAnsiTheme="majorHAnsi"/>
        </w:rPr>
        <w:t>.</w:t>
      </w:r>
    </w:p>
    <w:p w14:paraId="5481FF72" w14:textId="77777777" w:rsidR="006D5177" w:rsidRPr="00364545" w:rsidRDefault="006D5177" w:rsidP="006D5177">
      <w:pPr>
        <w:contextualSpacing/>
        <w:rPr>
          <w:rFonts w:asciiTheme="majorHAnsi" w:hAnsiTheme="majorHAnsi" w:cstheme="minorHAnsi"/>
          <w:szCs w:val="21"/>
        </w:rPr>
      </w:pPr>
    </w:p>
    <w:p w14:paraId="1A31A79C"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In the forestry and timber sectors, the adoption of the</w:t>
      </w:r>
      <w:r w:rsidRPr="00364545">
        <w:rPr>
          <w:rFonts w:ascii="Calibri" w:hAnsi="Calibri"/>
        </w:rPr>
        <w:t> </w:t>
      </w:r>
      <w:r w:rsidRPr="00364545">
        <w:t>“</w:t>
      </w:r>
      <w:r w:rsidRPr="00364545">
        <w:rPr>
          <w:rFonts w:asciiTheme="majorHAnsi" w:hAnsiTheme="majorHAnsi"/>
        </w:rPr>
        <w:t>Roadmap for adapting</w:t>
      </w:r>
      <w:r w:rsidRPr="00364545">
        <w:t xml:space="preserve"> </w:t>
      </w:r>
      <w:r w:rsidRPr="00364545">
        <w:rPr>
          <w:rFonts w:asciiTheme="majorHAnsi" w:hAnsiTheme="majorHAnsi"/>
        </w:rPr>
        <w:t>forests to climate</w:t>
      </w:r>
      <w:r w:rsidRPr="00364545">
        <w:t xml:space="preserve"> </w:t>
      </w:r>
      <w:r w:rsidRPr="00364545">
        <w:rPr>
          <w:rFonts w:asciiTheme="majorHAnsi" w:hAnsiTheme="majorHAnsi"/>
        </w:rPr>
        <w:t>change</w:t>
      </w:r>
      <w:r w:rsidRPr="00364545">
        <w:t>”</w:t>
      </w:r>
      <w:r w:rsidRPr="00364545">
        <w:rPr>
          <w:rFonts w:asciiTheme="majorHAnsi" w:hAnsiTheme="majorHAnsi"/>
        </w:rPr>
        <w:t xml:space="preserve"> in</w:t>
      </w:r>
      <w:r w:rsidRPr="00364545">
        <w:t xml:space="preserve"> </w:t>
      </w:r>
      <w:r w:rsidRPr="00364545">
        <w:rPr>
          <w:rFonts w:asciiTheme="majorHAnsi" w:hAnsiTheme="majorHAnsi"/>
        </w:rPr>
        <w:t>December 2020 led to the launch of a whole battery of measures to support research and</w:t>
      </w:r>
      <w:r w:rsidRPr="00364545">
        <w:t xml:space="preserve"> </w:t>
      </w:r>
      <w:r w:rsidRPr="00364545">
        <w:rPr>
          <w:rFonts w:asciiTheme="majorHAnsi" w:hAnsiTheme="majorHAnsi"/>
        </w:rPr>
        <w:t>investment. For instance, one of the priorities of this roadmap concerns the reinforcement of research on</w:t>
      </w:r>
      <w:r w:rsidRPr="00364545">
        <w:rPr>
          <w:rFonts w:ascii="Calibri" w:hAnsi="Calibri"/>
        </w:rPr>
        <w:t xml:space="preserve"> </w:t>
      </w:r>
      <w:r w:rsidRPr="00364545">
        <w:rPr>
          <w:rFonts w:asciiTheme="majorHAnsi" w:hAnsiTheme="majorHAnsi"/>
        </w:rPr>
        <w:t>new species and forest genetic resources; new silvicultural models; mixtures and the behaviour of interacting species; soil-climate diagnostics; new digital tools and levers (remote sensing, LiDAR, etc.); the impacts of climate change on forests and biodiversity and their potential consequences on forestry and timber for processing companies, as well as on their adaptation needs. Another of the priorities set out in the roadmap is to provide adaptation assistance to forest owners, for example by supporting improvement of forest stands, providing tax incentives for investment in forests (DEFI, France's forest tax incentive programme), and a Forest Investment and Insurance Account (CIFA). The adaptation actions resulting from the “Assises de la forêt et du bois”, a national consultation launched in October 2021, also subsequently reinforced the momentum sparked by this roadmap:</w:t>
      </w:r>
    </w:p>
    <w:p w14:paraId="7DF7D46C" w14:textId="77777777" w:rsidR="006D5177" w:rsidRPr="00364545" w:rsidRDefault="006D5177" w:rsidP="00BE086C">
      <w:pPr>
        <w:pStyle w:val="ListParagraph"/>
        <w:numPr>
          <w:ilvl w:val="0"/>
          <w:numId w:val="39"/>
        </w:numPr>
      </w:pPr>
      <w:r w:rsidRPr="00364545">
        <w:t>improved forest observation and monitoring, with the creation of a forest monitoring centre (Observatoire des forêts françaises) at the IGN</w:t>
      </w:r>
    </w:p>
    <w:p w14:paraId="279D41C0" w14:textId="77777777" w:rsidR="006D5177" w:rsidRPr="00364545" w:rsidRDefault="006D5177" w:rsidP="00BE086C">
      <w:pPr>
        <w:pStyle w:val="ListParagraph"/>
        <w:numPr>
          <w:ilvl w:val="0"/>
          <w:numId w:val="39"/>
        </w:numPr>
      </w:pPr>
      <w:r w:rsidRPr="00364545">
        <w:t>instituting an increase in France 2030 aid for the renewal of forests and their adapatation to climate change, and lowering the threshold for the obligation to diversify</w:t>
      </w:r>
    </w:p>
    <w:p w14:paraId="56F028CF" w14:textId="77777777" w:rsidR="006D5177" w:rsidRPr="00364545" w:rsidRDefault="006D5177" w:rsidP="00BE086C">
      <w:pPr>
        <w:pStyle w:val="ListParagraph"/>
        <w:numPr>
          <w:ilvl w:val="0"/>
          <w:numId w:val="39"/>
        </w:numPr>
      </w:pPr>
      <w:r w:rsidRPr="00364545">
        <w:t>launching a call for R&amp;D projects concerning the adaptation of forests to climate change; updating the national map of areas subject to risks of forest fires and plant fires; and detailing changes in the sensitivity of interfaces to fire (mainland France)</w:t>
      </w:r>
    </w:p>
    <w:p w14:paraId="565A60AB" w14:textId="77777777" w:rsidR="006D5177" w:rsidRPr="00364545" w:rsidRDefault="006D5177" w:rsidP="00BE086C">
      <w:pPr>
        <w:pStyle w:val="ListParagraph"/>
        <w:numPr>
          <w:ilvl w:val="0"/>
          <w:numId w:val="39"/>
        </w:numPr>
      </w:pPr>
      <w:r w:rsidRPr="00364545">
        <w:t>founding a scientific commission on future species and increasing the production capacity of future species</w:t>
      </w:r>
    </w:p>
    <w:p w14:paraId="643B674C" w14:textId="77777777" w:rsidR="006D5177" w:rsidRPr="00364545" w:rsidRDefault="006D5177" w:rsidP="00BE086C">
      <w:pPr>
        <w:pStyle w:val="ListParagraph"/>
        <w:numPr>
          <w:ilvl w:val="0"/>
          <w:numId w:val="39"/>
        </w:numPr>
        <w:rPr>
          <w:rStyle w:val="ml-2"/>
        </w:rPr>
      </w:pPr>
      <w:r w:rsidRPr="00364545">
        <w:t>simplifying legal clearing obligations and improving them.</w:t>
      </w:r>
    </w:p>
    <w:p w14:paraId="55F6AD05" w14:textId="77777777" w:rsidR="006D5177" w:rsidRPr="00364545" w:rsidRDefault="006D5177" w:rsidP="006D5177">
      <w:pPr>
        <w:contextualSpacing/>
      </w:pPr>
    </w:p>
    <w:p w14:paraId="73586D8F"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In the fisheries and aquaculture sectors, considerable needs have been identified regarding research on and awareness of the impacts of climate change.</w:t>
      </w:r>
    </w:p>
    <w:p w14:paraId="226FF180" w14:textId="77777777" w:rsidR="006D5177" w:rsidRPr="00364545" w:rsidRDefault="006D5177" w:rsidP="006D5177">
      <w:pPr>
        <w:contextualSpacing/>
        <w:rPr>
          <w:rFonts w:asciiTheme="majorHAnsi" w:hAnsiTheme="majorHAnsi" w:cstheme="minorHAnsi"/>
          <w:szCs w:val="21"/>
        </w:rPr>
      </w:pPr>
    </w:p>
    <w:p w14:paraId="3B907A5E"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In the tourism sector, actors involved in mountain tourism have taken the lead in tackling the challenges of climate change adaptation. Indeed, more and more mountain territories are beginning to consider moving from an economy exclusively focused on skiing to “four seasons</w:t>
      </w:r>
      <w:r w:rsidRPr="00364545">
        <w:t>” tourism that is less dependent on snow, as the snowpack continues to diminish with climate change.</w:t>
      </w:r>
    </w:p>
    <w:p w14:paraId="30B32AD6"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The Overseas Territories' tourism sector has yet to include climate change adaptation as one of its priorities. Nevertheless, there are some avenues that could enable adaptation to take root in these territories: Convergence and Transformation Contracts for Overseas Territories on the one hand, and, on the other, the Atout France initiative to promote tourism focused on nature discovery, protection of the environment, and sustainable development.</w:t>
      </w:r>
    </w:p>
    <w:p w14:paraId="647F208B" w14:textId="77777777" w:rsidR="006D5177" w:rsidRPr="00364545" w:rsidRDefault="006D5177" w:rsidP="006D5177">
      <w:pPr>
        <w:contextualSpacing/>
        <w:rPr>
          <w:rFonts w:asciiTheme="majorHAnsi" w:hAnsiTheme="majorHAnsi" w:cstheme="minorHAnsi"/>
          <w:szCs w:val="21"/>
        </w:rPr>
      </w:pPr>
    </w:p>
    <w:p w14:paraId="7C10554D"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At the present time, difficulties in gaining access to actors in the finance, banking, and insurance sectors prevent us from accurately determining what progress these sectors are making towards adaptation to climate change. Additionally, the three PNACC-2 actions specific to the adaptation of the finance and banking sectors have been abandoned.</w:t>
      </w:r>
    </w:p>
    <w:p w14:paraId="7836044D" w14:textId="77777777" w:rsidR="006D5177" w:rsidRPr="00364545" w:rsidRDefault="006D5177" w:rsidP="00EF6DB6">
      <w:pPr>
        <w:pStyle w:val="Titre4niveau4"/>
      </w:pPr>
      <w:bookmarkStart w:id="622" w:name="_Toc90285258"/>
      <w:r w:rsidRPr="00364545">
        <w:t>New research on climate change, water resources, and aquatic environments</w:t>
      </w:r>
      <w:bookmarkEnd w:id="622"/>
    </w:p>
    <w:p w14:paraId="559D8444"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color w:val="000000"/>
        </w:rPr>
        <w:t xml:space="preserve">Advances can be expected in our knowledge of predicted impacts in France, particularly in the field of water resources with the launch of the Explore 2 project, initiated in July 2021. </w:t>
      </w:r>
      <w:r w:rsidRPr="00364545">
        <w:rPr>
          <w:rFonts w:asciiTheme="majorHAnsi" w:hAnsiTheme="majorHAnsi"/>
        </w:rPr>
        <w:t xml:space="preserve">In 2012, the first Explore 2070 project provided an assessment of climate change impacts on aquatic environments and water resources by 2070. Explore 2, the continuation of this project, will bring the results up to date and reinforce consultation with users. </w:t>
      </w:r>
    </w:p>
    <w:p w14:paraId="5D760828" w14:textId="77777777" w:rsidR="006D5177" w:rsidRPr="00364545" w:rsidRDefault="006D5177" w:rsidP="00EF6DB6">
      <w:pPr>
        <w:pStyle w:val="Titre4niveau4"/>
      </w:pPr>
      <w:bookmarkStart w:id="623" w:name="_Toc90285259"/>
      <w:r w:rsidRPr="00364545">
        <w:t>Climate change in all school curricula</w:t>
      </w:r>
      <w:bookmarkEnd w:id="623"/>
    </w:p>
    <w:p w14:paraId="3E60829A" w14:textId="77777777" w:rsidR="006D5177" w:rsidRPr="00364545" w:rsidRDefault="006D5177" w:rsidP="006D5177">
      <w:pPr>
        <w:contextualSpacing/>
        <w:rPr>
          <w:rFonts w:asciiTheme="majorHAnsi" w:hAnsiTheme="majorHAnsi" w:cstheme="minorHAnsi"/>
          <w:szCs w:val="21"/>
        </w:rPr>
      </w:pPr>
      <w:r w:rsidRPr="00364545">
        <w:rPr>
          <w:rFonts w:asciiTheme="majorHAnsi" w:hAnsiTheme="majorHAnsi"/>
        </w:rPr>
        <w:t>In the field of education, real progress has been made since the launch of PNACC-2 with the integration of climate change into primary and secondary school curricula. In secondary school, a topic called “The planet's present-day issues” was introduced in the Life and Earth Sciences specialty, while a topic called “Science, climate and society” was introduced in Year 12. At least 2,700 teachers and trainers have been trained on climate change issues since 2020 through the work of the Office for Climate Education (OCE). The OCE has also developed educational resources for primary and middle schools covering three areas of the Intergovernmental Panel on Climate Change (IPCC) special reports: “1.5 °C warming”, “ocean and cryosphere”, and “soil”. The purpsoe of these resources is to enable teachers to work on the topic of climate change by integrating concrete action modalities in the form of projects that can be carried out in the classroom.</w:t>
      </w:r>
    </w:p>
    <w:p w14:paraId="02ECC9CB" w14:textId="77777777" w:rsidR="006D5177" w:rsidRPr="00364545" w:rsidRDefault="006D5177" w:rsidP="00EF6DB6">
      <w:pPr>
        <w:pStyle w:val="Titre4niveau4"/>
      </w:pPr>
      <w:bookmarkStart w:id="624" w:name="_Toc90285260"/>
      <w:r w:rsidRPr="00364545">
        <w:t>Launch of the first resource centre dedicated to climate change adaptation</w:t>
      </w:r>
      <w:bookmarkEnd w:id="624"/>
    </w:p>
    <w:p w14:paraId="71EAE46D" w14:textId="77777777" w:rsidR="006D5177" w:rsidRPr="00364545" w:rsidRDefault="006D5177" w:rsidP="006D5177">
      <w:pPr>
        <w:contextualSpacing/>
        <w:rPr>
          <w:rFonts w:asciiTheme="majorHAnsi" w:hAnsiTheme="majorHAnsi" w:cstheme="minorHAnsi"/>
          <w:color w:val="000000"/>
          <w:szCs w:val="21"/>
          <w:shd w:val="clear" w:color="auto" w:fill="FFFFFF"/>
        </w:rPr>
      </w:pPr>
      <w:r w:rsidRPr="00364545">
        <w:rPr>
          <w:rFonts w:asciiTheme="majorHAnsi" w:hAnsiTheme="majorHAnsi"/>
          <w:color w:val="000000"/>
        </w:rPr>
        <w:t>With regard to the requirement for providing information on climate change, PNACC-2 has brought about the creation of a resource centre specifically dedicated to climate change adaptation.</w:t>
      </w:r>
      <w:r w:rsidRPr="00364545">
        <w:rPr>
          <w:rStyle w:val="FootnoteReference"/>
          <w:rFonts w:asciiTheme="majorHAnsi" w:eastAsia="Liberation Sans;Arial" w:hAnsiTheme="majorHAnsi" w:cstheme="minorHAnsi"/>
          <w:color w:val="000000"/>
          <w:szCs w:val="21"/>
        </w:rPr>
        <w:footnoteReference w:id="67"/>
      </w:r>
      <w:r w:rsidRPr="00364545">
        <w:rPr>
          <w:rFonts w:asciiTheme="majorHAnsi" w:hAnsiTheme="majorHAnsi"/>
          <w:color w:val="000000"/>
        </w:rPr>
        <w:t xml:space="preserve"> This resource centre, developed by CEREMA at the request of the Ministry of Ecological Transition, in partnership with ADEME and Météo-France, was launched online in 2020. By 2021, it already listed 1,877 website pages and had received over 60</w:t>
      </w:r>
      <w:r w:rsidRPr="00364545">
        <w:rPr>
          <w:rFonts w:ascii="Calibri" w:hAnsi="Calibri"/>
          <w:color w:val="000000"/>
        </w:rPr>
        <w:t>,</w:t>
      </w:r>
      <w:r w:rsidRPr="00364545">
        <w:rPr>
          <w:rFonts w:asciiTheme="majorHAnsi" w:hAnsiTheme="majorHAnsi"/>
          <w:color w:val="000000"/>
        </w:rPr>
        <w:t xml:space="preserve">000 visits since going live. This online centre is continually updated with new resources and examples of local initiatives, amongst other things. </w:t>
      </w:r>
      <w:r w:rsidRPr="00364545">
        <w:rPr>
          <w:rFonts w:asciiTheme="majorHAnsi" w:hAnsiTheme="majorHAnsi"/>
          <w:color w:val="000000"/>
          <w:shd w:val="clear" w:color="auto" w:fill="FFFFFF"/>
        </w:rPr>
        <w:t>A sixth user pathway, developed specifically for teachers, will be added to the five existing ones (for elected representatives, local authority technicians, economic actors, design offices, individuals).</w:t>
      </w:r>
    </w:p>
    <w:p w14:paraId="42D161A8" w14:textId="77777777" w:rsidR="006D5177" w:rsidRPr="00364545" w:rsidRDefault="006D5177" w:rsidP="00EF6DB6">
      <w:pPr>
        <w:pStyle w:val="Titre4niveau4"/>
        <w:rPr>
          <w:shd w:val="clear" w:color="auto" w:fill="FFFFFF"/>
        </w:rPr>
      </w:pPr>
      <w:bookmarkStart w:id="625" w:name="_Toc90285261"/>
      <w:r w:rsidRPr="00364545">
        <w:rPr>
          <w:shd w:val="clear" w:color="auto" w:fill="FFFFFF"/>
        </w:rPr>
        <w:t>Climate services to adapt territories and businesses</w:t>
      </w:r>
      <w:bookmarkEnd w:id="625"/>
    </w:p>
    <w:p w14:paraId="07436F6B" w14:textId="77777777" w:rsidR="006D5177" w:rsidRPr="00364545" w:rsidRDefault="006D5177" w:rsidP="006D5177">
      <w:pPr>
        <w:contextualSpacing/>
        <w:rPr>
          <w:rFonts w:asciiTheme="majorHAnsi" w:hAnsiTheme="majorHAnsi"/>
        </w:rPr>
      </w:pPr>
      <w:r w:rsidRPr="00364545">
        <w:rPr>
          <w:rFonts w:asciiTheme="majorHAnsi" w:hAnsiTheme="majorHAnsi"/>
        </w:rPr>
        <w:t xml:space="preserve">In the field of climate services, the agreement between the Ministry of Ecological Transition, Météo-France, and various research institutes has yielded considerable advances in the open access dissemination of data, methods, and training materials on climate change and extreme events. Notably, it has allowed the DRIAS portal to be significantly expanded, a new operational service for extreme events to be set up, and five service demonstrators to be established. The “DRIAS – Futures of Climate” </w:t>
      </w:r>
      <w:r w:rsidRPr="00364545">
        <w:rPr>
          <w:rStyle w:val="FootnoteReference"/>
          <w:rFonts w:asciiTheme="majorHAnsi" w:hAnsiTheme="majorHAnsi"/>
        </w:rPr>
        <w:footnoteReference w:id="68"/>
      </w:r>
      <w:r w:rsidRPr="00364545">
        <w:rPr>
          <w:rFonts w:asciiTheme="majorHAnsi" w:hAnsiTheme="majorHAnsi"/>
        </w:rPr>
        <w:t>portal is one of the foremost climate service achievements in France. It provides free, easy-to-use access to regionalised climate projections concerning mainland France and Overseas Territories (corrected projections based on observations). In 2020, the portal received nearly 150,000 visits from 80,000 different visitors, totalling over 5 million page views. In 2021, DRIAS was updated with the online release of a new set of regionalised climate projections concerning mainland France, entitled “DRIAS 2020”. Meanwhile, further evolutions of the portal are planned for 2022 including new regionalised climate projections for Reunion Island as well as at the municipal level, the update of the Forest Fire Weather Indices, and the expansion of the portal for water resources.</w:t>
      </w:r>
    </w:p>
    <w:p w14:paraId="08E6FD85" w14:textId="77777777" w:rsidR="006D5177" w:rsidRPr="00364545" w:rsidRDefault="006D5177" w:rsidP="00EF6DB6">
      <w:pPr>
        <w:pStyle w:val="Titre4niveau4"/>
      </w:pPr>
      <w:bookmarkStart w:id="626" w:name="_Toc90285263"/>
      <w:r w:rsidRPr="00364545">
        <w:t>A new regulatory and policy framework for adaptation in the European Union</w:t>
      </w:r>
      <w:bookmarkEnd w:id="626"/>
    </w:p>
    <w:p w14:paraId="19EB7E92" w14:textId="77777777" w:rsidR="006D5177" w:rsidRPr="00364545" w:rsidRDefault="006D5177" w:rsidP="006D5177">
      <w:pPr>
        <w:contextualSpacing/>
        <w:rPr>
          <w:rFonts w:asciiTheme="majorHAnsi" w:hAnsiTheme="majorHAnsi"/>
        </w:rPr>
      </w:pPr>
      <w:r w:rsidRPr="00364545">
        <w:rPr>
          <w:rFonts w:asciiTheme="majorHAnsi" w:hAnsiTheme="majorHAnsi"/>
        </w:rPr>
        <w:t>France has been very active in the climate-related work launched by the European Commission, particularly since the launch of the European Green Deal in December 2019. The vote on European climate regulation, known as the “European Climate Law</w:t>
      </w:r>
      <w:r w:rsidRPr="00364545">
        <w:t>”, and the adoption of strategies for adaptation to climate change and for forests present opportunities to reinforce Member States' commitments to climate change adaptation.</w:t>
      </w:r>
      <w:r w:rsidRPr="00364545">
        <w:rPr>
          <w:rFonts w:asciiTheme="majorHAnsi" w:hAnsiTheme="majorHAnsi"/>
        </w:rPr>
        <w:t xml:space="preserve"> For the first time, Regulation (EU) 2021/1119 on climate change imposes adaptation obligations on Member States (vulnerability analyses, adaptation strategies and plans, progress evaluations), and calls on the Commission henceforth to verify that all EU and national policies are consistent with the adaptation objectives set out in Article 4 of the Regulation. These objectives mirror those of Article 7 of the Paris Agreement, that include enhancing adaptive capacity, building resilience, and reducing vulnerability to climate change. France has actively supported the reinforcement of adaptation provisions in the European Climate Law that entered into force on July 29, 2021. The new EU strategy for adaptation to climate change was published on February 24, 2021. France has been very active in the development of this strategy. The new strategy aims to deliver on the vision of a resilient Union by 2050 by making adaptation to climate change smarter, more systemic, and faster, as well as by stepping up international action.</w:t>
      </w:r>
    </w:p>
    <w:p w14:paraId="549F1D11" w14:textId="77777777" w:rsidR="006D5177" w:rsidRPr="00364545" w:rsidRDefault="006D5177" w:rsidP="00EF6DB6">
      <w:pPr>
        <w:pStyle w:val="Titre4niveau4"/>
      </w:pPr>
      <w:bookmarkStart w:id="627" w:name="_Toc90285264"/>
      <w:r w:rsidRPr="00364545">
        <w:t>European funds mobilised</w:t>
      </w:r>
      <w:bookmarkEnd w:id="627"/>
    </w:p>
    <w:p w14:paraId="46F7A8EA" w14:textId="086C9746" w:rsidR="006D5177" w:rsidRPr="00364545" w:rsidRDefault="006D5177" w:rsidP="006D5177">
      <w:pPr>
        <w:contextualSpacing/>
        <w:rPr>
          <w:rFonts w:asciiTheme="majorHAnsi" w:hAnsiTheme="majorHAnsi"/>
        </w:rPr>
      </w:pPr>
      <w:r w:rsidRPr="00364545">
        <w:rPr>
          <w:rFonts w:asciiTheme="majorHAnsi" w:hAnsiTheme="majorHAnsi"/>
        </w:rPr>
        <w:t>The EU-State-Regions Partnership Agreements corresponding to the 2014-2020 and 2021-2027 programmes allow the French Regions to mobilise the European Regional Development Fund (ERDF) to finance climate change adaptation projects. The thematic objective covering adaptation and risk prevention represented 4% of the ERDF for the period 2014-2020. Over this period, four Regions have mobilised € 270 million in ERDF appropriations to finance 607 climate change adaptation projects. Strategic Objective 2, entitled “Green Europe</w:t>
      </w:r>
      <w:r w:rsidRPr="00364545">
        <w:t>”,</w:t>
      </w:r>
      <w:r w:rsidRPr="00364545">
        <w:rPr>
          <w:rFonts w:asciiTheme="majorHAnsi" w:hAnsiTheme="majorHAnsi"/>
        </w:rPr>
        <w:t xml:space="preserve"> </w:t>
      </w:r>
      <w:r w:rsidRPr="00364545">
        <w:t>that</w:t>
      </w:r>
      <w:r w:rsidRPr="00364545">
        <w:rPr>
          <w:rFonts w:asciiTheme="majorHAnsi" w:hAnsiTheme="majorHAnsi"/>
        </w:rPr>
        <w:t xml:space="preserve"> </w:t>
      </w:r>
      <w:r w:rsidRPr="00364545">
        <w:t>includes an</w:t>
      </w:r>
      <w:r w:rsidRPr="00364545">
        <w:rPr>
          <w:rFonts w:asciiTheme="majorHAnsi" w:hAnsiTheme="majorHAnsi"/>
        </w:rPr>
        <w:t xml:space="preserve"> adaptation component, corresponds to 21</w:t>
      </w:r>
      <w:r w:rsidRPr="00364545">
        <w:rPr>
          <w:rFonts w:ascii="Calibri" w:hAnsi="Calibri"/>
        </w:rPr>
        <w:t>%</w:t>
      </w:r>
      <w:r w:rsidRPr="00364545">
        <w:rPr>
          <w:rFonts w:asciiTheme="majorHAnsi" w:hAnsiTheme="majorHAnsi"/>
        </w:rPr>
        <w:t xml:space="preserve"> of</w:t>
      </w:r>
      <w:r w:rsidRPr="00364545">
        <w:t xml:space="preserve"> </w:t>
      </w:r>
      <w:r w:rsidRPr="00364545">
        <w:rPr>
          <w:rFonts w:asciiTheme="majorHAnsi" w:hAnsiTheme="majorHAnsi"/>
        </w:rPr>
        <w:t>the</w:t>
      </w:r>
      <w:r w:rsidRPr="00364545">
        <w:t xml:space="preserve"> </w:t>
      </w:r>
      <w:r w:rsidRPr="00364545">
        <w:rPr>
          <w:rFonts w:asciiTheme="majorHAnsi" w:hAnsiTheme="majorHAnsi"/>
        </w:rPr>
        <w:t xml:space="preserve">ERDF budget for 2021-2027 equivalent to </w:t>
      </w:r>
      <w:r w:rsidRPr="00364545">
        <w:t>€</w:t>
      </w:r>
      <w:r w:rsidRPr="00364545">
        <w:rPr>
          <w:rFonts w:asciiTheme="majorHAnsi" w:hAnsiTheme="majorHAnsi"/>
        </w:rPr>
        <w:t xml:space="preserve"> 3.3 billion over seven years.</w:t>
      </w:r>
    </w:p>
    <w:p w14:paraId="01F427AD" w14:textId="77777777" w:rsidR="006D5177" w:rsidRPr="00364545" w:rsidRDefault="006D5177" w:rsidP="00EF6DB6">
      <w:pPr>
        <w:pStyle w:val="Titre4niveau4"/>
      </w:pPr>
      <w:bookmarkStart w:id="628" w:name="_Toc90285268"/>
      <w:r w:rsidRPr="00364545">
        <w:t>Iron and steel products</w:t>
      </w:r>
      <w:bookmarkEnd w:id="628"/>
    </w:p>
    <w:p w14:paraId="1875A8C6" w14:textId="1C3F2D7C" w:rsidR="006D5177" w:rsidRPr="00364545" w:rsidRDefault="006D5177" w:rsidP="006D5177">
      <w:pPr>
        <w:contextualSpacing/>
        <w:rPr>
          <w:rFonts w:asciiTheme="majorHAnsi" w:hAnsiTheme="majorHAnsi"/>
        </w:rPr>
      </w:pPr>
      <w:r w:rsidRPr="00364545">
        <w:rPr>
          <w:rFonts w:asciiTheme="majorHAnsi" w:hAnsiTheme="majorHAnsi"/>
        </w:rPr>
        <w:t>France has committed to increasing the climate financing it provides to developing countries from € 3 billion in 2015 to € 5 billion in 2020. At the</w:t>
      </w:r>
      <w:r w:rsidRPr="00364545">
        <w:rPr>
          <w:rFonts w:asciiTheme="majorHAnsi" w:hAnsiTheme="majorHAnsi"/>
          <w:i/>
        </w:rPr>
        <w:t xml:space="preserve"> </w:t>
      </w:r>
      <w:r w:rsidRPr="00364545">
        <w:rPr>
          <w:rFonts w:asciiTheme="majorHAnsi" w:hAnsiTheme="majorHAnsi"/>
        </w:rPr>
        <w:t>One Planet Summit in 2017, it was announced that the share of funding for adaptation would be increased, to reach € 1.5 billion per year until 2020 (compared to € 1 billion previously). France had already reached its 2019 target in 2020, both in terms of overall volume and in terms of volume dedicated to adaptation. In December 2020, the French president announced that France's adaptation efforts for developing countries would rise to € 2 billion per year from 2021 to 2025, out of a total of € 6 billion per year in climate finance.</w:t>
      </w:r>
    </w:p>
    <w:p w14:paraId="3081CA3C" w14:textId="77777777" w:rsidR="006D5177" w:rsidRPr="00364545" w:rsidRDefault="006D5177" w:rsidP="00EF6DB6">
      <w:pPr>
        <w:pStyle w:val="Titre4niveau4"/>
      </w:pPr>
      <w:bookmarkStart w:id="629" w:name="_Toc90285269"/>
      <w:r w:rsidRPr="00364545">
        <w:t>Support for the IPCC</w:t>
      </w:r>
      <w:bookmarkEnd w:id="629"/>
    </w:p>
    <w:p w14:paraId="4BA0CF90" w14:textId="77777777" w:rsidR="006D5177" w:rsidRPr="00364545" w:rsidRDefault="006D5177" w:rsidP="006D5177">
      <w:pPr>
        <w:contextualSpacing/>
        <w:rPr>
          <w:rFonts w:asciiTheme="minorHAnsi" w:hAnsiTheme="minorHAnsi" w:cstheme="minorHAnsi"/>
          <w:szCs w:val="22"/>
        </w:rPr>
      </w:pPr>
      <w:r w:rsidRPr="00364545">
        <w:rPr>
          <w:rFonts w:asciiTheme="majorHAnsi" w:hAnsiTheme="majorHAnsi"/>
        </w:rPr>
        <w:t>France has also been very active in all the work carried out by the IPCC in its Sixth</w:t>
      </w:r>
      <w:r w:rsidRPr="00364545">
        <w:rPr>
          <w:rFonts w:asciiTheme="majorHAnsi" w:hAnsiTheme="majorHAnsi"/>
          <w:vertAlign w:val="superscript"/>
        </w:rPr>
        <w:t xml:space="preserve"> </w:t>
      </w:r>
      <w:r w:rsidRPr="00364545">
        <w:rPr>
          <w:rFonts w:asciiTheme="majorHAnsi" w:hAnsiTheme="majorHAnsi"/>
        </w:rPr>
        <w:t>Assessment round. In the financial field, France has considerably increased its contribution to the IPCC's voluntary budget. This contribution has now gone up to € 1 million per year, to help compensate for the considerable drop in the subsidy paid by the United States. From 2018 to 2020, France thus positioned itself as the top contributor, sparking a genuine dynamic amongst other countries and preventing the IPCC from running out of funding. France also funds the technical support team for IPCC Working Group 1's co-director, climatologist Valérie Masson-Delmotte, with a total contribution over the sixth round</w:t>
      </w:r>
      <w:r w:rsidRPr="00364545">
        <w:rPr>
          <w:rFonts w:asciiTheme="majorHAnsi" w:hAnsiTheme="majorHAnsi"/>
          <w:vertAlign w:val="superscript"/>
        </w:rPr>
        <w:t xml:space="preserve"> </w:t>
      </w:r>
      <w:r w:rsidRPr="00364545">
        <w:rPr>
          <w:rFonts w:asciiTheme="majorHAnsi" w:hAnsiTheme="majorHAnsi"/>
        </w:rPr>
        <w:t>amounting  to approximately € 6.5 million.</w:t>
      </w:r>
    </w:p>
    <w:p w14:paraId="1DDBA865" w14:textId="77777777" w:rsidR="006D5177" w:rsidRPr="00364545" w:rsidRDefault="006D5177" w:rsidP="003F57EA">
      <w:pPr>
        <w:pStyle w:val="Titre3Niveau3"/>
      </w:pPr>
      <w:bookmarkStart w:id="630" w:name="_Toc138341868"/>
      <w:r w:rsidRPr="00364545">
        <w:t>Economic assessment of the costs of adaptation to climate change</w:t>
      </w:r>
      <w:bookmarkEnd w:id="630"/>
    </w:p>
    <w:p w14:paraId="0C10D6AC" w14:textId="77777777" w:rsidR="006D5177" w:rsidRPr="00364545" w:rsidRDefault="006D5177" w:rsidP="006D5177">
      <w:pPr>
        <w:spacing w:line="240" w:lineRule="atLeast"/>
        <w:rPr>
          <w:rFonts w:ascii="Calibri" w:hAnsi="Calibri"/>
        </w:rPr>
      </w:pPr>
      <w:r w:rsidRPr="00364545">
        <w:t>According to the I4CE report</w:t>
      </w:r>
      <w:r w:rsidRPr="00364545">
        <w:rPr>
          <w:rStyle w:val="FootnoteReference"/>
        </w:rPr>
        <w:footnoteReference w:id="69"/>
      </w:r>
      <w:r w:rsidRPr="00364545">
        <w:t xml:space="preserve">, </w:t>
      </w:r>
      <w:r w:rsidRPr="00364545">
        <w:rPr>
          <w:rFonts w:asciiTheme="minorHAnsi" w:hAnsiTheme="minorHAnsi"/>
        </w:rPr>
        <w:t>“Ensuring sufficient means to adapt to climate change consequences in France: What are the costs?</w:t>
      </w:r>
      <w:r w:rsidRPr="00364545">
        <w:rPr>
          <w:rFonts w:ascii="Calibri" w:hAnsi="Calibri"/>
        </w:rPr>
        <w:t> </w:t>
      </w:r>
      <w:r w:rsidRPr="00364545">
        <w:t xml:space="preserve">”, published in June 2022, adapting to climate change is an issue that also affects social equity and territorial solidarity, and one the central government must respond to. To achieve this, work must be initiated in several areas, such as adapting buildings to longer heatwaves, making the transport and energy infrastructures more robust to ensure resilience in a context of greater climate variability, transforming agricultural systems to cope with more frequent droughts, diversifying mountain economies to respond to diminishing snow cover, and re-structuring coastlines to cope with rising sea levels (I4CE and Ramboll 2020). Each of these efforts requires resources, both financial and human, to bring about adaptation policies capable of measuring up to the consequences of climate change (I4CE 2021a). Actions have already been launched by the central government, local authorities, and other actors including in private sector, but these are not always equal to a task of such magnitude, and many blind spots remain (High Council for Climate 2021; Dantec and Roux 2019; IDDRI 2019). This study therefore presents two types of complementary elements: </w:t>
      </w:r>
    </w:p>
    <w:p w14:paraId="7D084BE3" w14:textId="77777777" w:rsidR="006D5177" w:rsidRPr="00364545" w:rsidRDefault="006D5177" w:rsidP="00BE086C">
      <w:pPr>
        <w:pStyle w:val="ListParagraph"/>
        <w:numPr>
          <w:ilvl w:val="0"/>
          <w:numId w:val="40"/>
        </w:numPr>
        <w:spacing w:line="240" w:lineRule="atLeast"/>
      </w:pPr>
      <w:r w:rsidRPr="00364545">
        <w:t>a selection of national budgetary decisions that could be taken now in addition to what already exists;</w:t>
      </w:r>
    </w:p>
    <w:p w14:paraId="425447A3" w14:textId="77777777" w:rsidR="006D5177" w:rsidRPr="00364545" w:rsidRDefault="006D5177" w:rsidP="00BE086C">
      <w:pPr>
        <w:pStyle w:val="ListParagraph"/>
        <w:numPr>
          <w:ilvl w:val="0"/>
          <w:numId w:val="40"/>
        </w:numPr>
        <w:spacing w:line="240" w:lineRule="atLeast"/>
      </w:pPr>
      <w:r w:rsidRPr="00364545">
        <w:t>cost elements to feed discussions that have yet to be initiated.</w:t>
      </w:r>
    </w:p>
    <w:p w14:paraId="364D21F1" w14:textId="04F09367" w:rsidR="006D5177" w:rsidRPr="00364545" w:rsidRDefault="006D5177" w:rsidP="006D5177">
      <w:pPr>
        <w:spacing w:line="240" w:lineRule="atLeast"/>
      </w:pPr>
      <w:r w:rsidRPr="00364545">
        <w:rPr>
          <w:noProof/>
          <w:lang w:val="fr-FR"/>
        </w:rPr>
        <w:drawing>
          <wp:inline distT="0" distB="0" distL="0" distR="0" wp14:anchorId="2AE40B0F" wp14:editId="0988F8E6">
            <wp:extent cx="6318250" cy="5523865"/>
            <wp:effectExtent l="0" t="0" r="6350" b="63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318250" cy="5523865"/>
                    </a:xfrm>
                    <a:prstGeom prst="rect">
                      <a:avLst/>
                    </a:prstGeom>
                  </pic:spPr>
                </pic:pic>
              </a:graphicData>
            </a:graphic>
          </wp:inline>
        </w:drawing>
      </w:r>
    </w:p>
    <w:p w14:paraId="75975912" w14:textId="19AB025B" w:rsidR="00734FEB" w:rsidRPr="00364545" w:rsidRDefault="00734FEB" w:rsidP="0045532B">
      <w:pPr>
        <w:pStyle w:val="Caption"/>
      </w:pPr>
      <w:bookmarkStart w:id="631" w:name="_Toc123916488"/>
      <w:r w:rsidRPr="00364545">
        <w:t xml:space="preserve">Figure </w:t>
      </w:r>
      <w:r w:rsidR="003714FB">
        <w:fldChar w:fldCharType="begin"/>
      </w:r>
      <w:r w:rsidR="003714FB">
        <w:instrText xml:space="preserve"> SEQ Figure \* ARABIC </w:instrText>
      </w:r>
      <w:r w:rsidR="003714FB">
        <w:fldChar w:fldCharType="separate"/>
      </w:r>
      <w:r w:rsidR="009A2FAA">
        <w:rPr>
          <w:noProof/>
        </w:rPr>
        <w:t>77</w:t>
      </w:r>
      <w:r w:rsidR="003714FB">
        <w:rPr>
          <w:noProof/>
        </w:rPr>
        <w:fldChar w:fldCharType="end"/>
      </w:r>
      <w:r w:rsidRPr="00364545">
        <w:t>: Financial requirements for measures to adapt to climate change consequences in France</w:t>
      </w:r>
      <w:bookmarkEnd w:id="631"/>
    </w:p>
    <w:p w14:paraId="3F8E8FF2" w14:textId="6BC4BD19" w:rsidR="00734FEB" w:rsidRPr="00364545" w:rsidRDefault="00734FEB" w:rsidP="0045532B">
      <w:pPr>
        <w:pStyle w:val="Caption"/>
      </w:pPr>
      <w:r w:rsidRPr="00364545">
        <w:t>Source: I4CE</w:t>
      </w:r>
    </w:p>
    <w:p w14:paraId="481BD957" w14:textId="77777777" w:rsidR="006D5177" w:rsidRPr="00364545" w:rsidRDefault="006D5177" w:rsidP="006D5177">
      <w:pPr>
        <w:spacing w:line="240" w:lineRule="atLeast"/>
      </w:pPr>
    </w:p>
    <w:p w14:paraId="6F6DC0AF" w14:textId="77777777" w:rsidR="006D5177" w:rsidRPr="00364545" w:rsidRDefault="006D5177" w:rsidP="006D5177">
      <w:pPr>
        <w:spacing w:line="240" w:lineRule="atLeast"/>
      </w:pPr>
      <w:r w:rsidRPr="00364545">
        <w:t>According to the I4CE report, an additional € 2.3 billion, at least, can be mobilised each year as soon as the next Finance Bill is drafted. This analysis is underpinned by a first set of 18 national budgetary measures that could be taken now to prepare, reinforce, or operationalise adaptation actions that are already set up and ready to launch.</w:t>
      </w:r>
    </w:p>
    <w:p w14:paraId="6085F0DC" w14:textId="77777777" w:rsidR="006D5177" w:rsidRPr="00364545" w:rsidRDefault="006D5177" w:rsidP="006D5177">
      <w:pPr>
        <w:spacing w:line="240" w:lineRule="atLeast"/>
      </w:pPr>
    </w:p>
    <w:p w14:paraId="0D76085C" w14:textId="77777777" w:rsidR="006D5177" w:rsidRPr="00364545" w:rsidRDefault="006D5177" w:rsidP="006D5177">
      <w:pPr>
        <w:spacing w:line="240" w:lineRule="atLeast"/>
      </w:pPr>
      <w:r w:rsidRPr="00364545">
        <w:t>The 14 ONERC reports published since 2005 describe the main consequences of global warming in France, including recommendations for adaptation:</w:t>
      </w:r>
    </w:p>
    <w:p w14:paraId="042B5C23" w14:textId="77777777" w:rsidR="006D5177" w:rsidRPr="00364545" w:rsidRDefault="006D5177" w:rsidP="006D5177">
      <w:pPr>
        <w:spacing w:line="240" w:lineRule="atLeast"/>
      </w:pPr>
      <w:r w:rsidRPr="00364545">
        <w:t>•</w:t>
      </w:r>
      <w:r w:rsidRPr="00364545">
        <w:tab/>
        <w:t>Extreme weather events in the context of climate change, December (2018).</w:t>
      </w:r>
    </w:p>
    <w:p w14:paraId="0E7A4C5C" w14:textId="77777777" w:rsidR="006D5177" w:rsidRPr="00364545" w:rsidRDefault="006D5177" w:rsidP="006D5177">
      <w:pPr>
        <w:spacing w:line="240" w:lineRule="atLeast"/>
      </w:pPr>
      <w:r w:rsidRPr="00364545">
        <w:tab/>
        <w:t>Nature-based solutions for climate change adaptation (2019)</w:t>
      </w:r>
    </w:p>
    <w:p w14:paraId="04D02E42" w14:textId="77777777" w:rsidR="006D5177" w:rsidRPr="00364545" w:rsidRDefault="006D5177" w:rsidP="006D5177">
      <w:pPr>
        <w:spacing w:line="240" w:lineRule="atLeast"/>
      </w:pPr>
      <w:r w:rsidRPr="00364545">
        <w:tab/>
        <w:t>Foresight for climate change adaptation (2022).</w:t>
      </w:r>
    </w:p>
    <w:p w14:paraId="1597CA4D" w14:textId="77777777" w:rsidR="006D5177" w:rsidRPr="00364545" w:rsidRDefault="006D5177" w:rsidP="003F57EA">
      <w:pPr>
        <w:pStyle w:val="Titre3Niveau3"/>
      </w:pPr>
      <w:bookmarkStart w:id="632" w:name="_Toc138341869"/>
      <w:r w:rsidRPr="00364545">
        <w:t>Launch of a resource centre for climate change adaptation</w:t>
      </w:r>
      <w:bookmarkEnd w:id="632"/>
    </w:p>
    <w:p w14:paraId="490CF0A3" w14:textId="77777777" w:rsidR="006D5177" w:rsidRPr="00364545" w:rsidRDefault="006D5177" w:rsidP="006D5177">
      <w:pPr>
        <w:spacing w:line="240" w:lineRule="atLeast"/>
      </w:pPr>
      <w:r w:rsidRPr="00364545">
        <w:t>The aim of the Resource Centre for Climate Change Adaptation, a flagship initiative launched under the National Climate Change Adaptation Plan, is to support all actors in climate change adaptation. This new resource centre provides access to customised information on the reality of climate change, the challenges it poses, and existing solutions. This is the first French resource centre specifically dedicated to climate change adaptation. It provides access to data on the reality of climate change, the challenges it poses, and the solutions that exist to address it. To properly equip all those involved in adaptation, the information is set out according to five user pathways: elected representatives, local authority technicians, economic actors, design offices, individuals. All the topics of climate change adaptation are covered. It features pages that specifically consolidate regional information (mapping of local initiatives, directory of local actors, access to climate services, etc.). There is also a search engine, offering access to various resources: reports, sheets, guides, summaries, research projects, etc.</w:t>
      </w:r>
    </w:p>
    <w:p w14:paraId="10786646" w14:textId="77777777" w:rsidR="006D5177" w:rsidRPr="00364545" w:rsidRDefault="006D5177" w:rsidP="006D5177">
      <w:pPr>
        <w:spacing w:line="240" w:lineRule="atLeast"/>
      </w:pPr>
    </w:p>
    <w:p w14:paraId="75F842B9" w14:textId="77777777" w:rsidR="006D5177" w:rsidRPr="00364545" w:rsidRDefault="006D5177" w:rsidP="006D5177">
      <w:pPr>
        <w:spacing w:line="240" w:lineRule="atLeast"/>
      </w:pPr>
      <w:r w:rsidRPr="00364545">
        <w:rPr>
          <w:noProof/>
          <w:lang w:val="fr-FR"/>
        </w:rPr>
        <w:drawing>
          <wp:inline distT="0" distB="0" distL="0" distR="0" wp14:anchorId="66C136BD" wp14:editId="1D5DF0CA">
            <wp:extent cx="6318250" cy="4693920"/>
            <wp:effectExtent l="0" t="0" r="635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318250" cy="4693920"/>
                    </a:xfrm>
                    <a:prstGeom prst="rect">
                      <a:avLst/>
                    </a:prstGeom>
                  </pic:spPr>
                </pic:pic>
              </a:graphicData>
            </a:graphic>
          </wp:inline>
        </w:drawing>
      </w:r>
    </w:p>
    <w:p w14:paraId="561581E2" w14:textId="539CB84D" w:rsidR="00734FEB" w:rsidRPr="00364545" w:rsidRDefault="00734FEB" w:rsidP="0045532B">
      <w:pPr>
        <w:pStyle w:val="Caption"/>
      </w:pPr>
      <w:bookmarkStart w:id="633" w:name="_Toc123916489"/>
      <w:r w:rsidRPr="00364545">
        <w:t xml:space="preserve">Figure </w:t>
      </w:r>
      <w:r w:rsidR="003714FB">
        <w:fldChar w:fldCharType="begin"/>
      </w:r>
      <w:r w:rsidR="003714FB">
        <w:instrText xml:space="preserve"> SEQ Figure \* ARABIC </w:instrText>
      </w:r>
      <w:r w:rsidR="003714FB">
        <w:fldChar w:fldCharType="separate"/>
      </w:r>
      <w:r w:rsidR="009A2FAA">
        <w:rPr>
          <w:noProof/>
        </w:rPr>
        <w:t>78</w:t>
      </w:r>
      <w:r w:rsidR="003714FB">
        <w:rPr>
          <w:noProof/>
        </w:rPr>
        <w:fldChar w:fldCharType="end"/>
      </w:r>
      <w:r w:rsidRPr="00364545">
        <w:t>: Extract from the homepage of the Resource Centre for Climate Change Adaptation</w:t>
      </w:r>
      <w:bookmarkEnd w:id="633"/>
    </w:p>
    <w:p w14:paraId="0A120790" w14:textId="6E2D538E" w:rsidR="00734FEB" w:rsidRPr="004F2995" w:rsidRDefault="00734FEB" w:rsidP="0045532B">
      <w:pPr>
        <w:pStyle w:val="Caption"/>
        <w:rPr>
          <w:lang w:val="fr-FR"/>
        </w:rPr>
      </w:pPr>
      <w:r w:rsidRPr="004F2995">
        <w:rPr>
          <w:lang w:val="fr-FR"/>
        </w:rPr>
        <w:t>Source: Centre de ressources pour l’adaptation au changement climatique (Resource Centre for Adaptation to Climate Change)</w:t>
      </w:r>
    </w:p>
    <w:p w14:paraId="769A9057" w14:textId="77777777" w:rsidR="006D5177" w:rsidRPr="004F2995" w:rsidRDefault="006D5177" w:rsidP="006D5177">
      <w:pPr>
        <w:spacing w:line="240" w:lineRule="atLeast"/>
        <w:rPr>
          <w:lang w:val="fr-FR"/>
        </w:rPr>
      </w:pPr>
    </w:p>
    <w:p w14:paraId="22A053D1" w14:textId="77777777" w:rsidR="006D5177" w:rsidRPr="00364545" w:rsidRDefault="006D5177" w:rsidP="006D5177">
      <w:pPr>
        <w:spacing w:line="240" w:lineRule="atLeast"/>
      </w:pPr>
      <w:r w:rsidRPr="00364545">
        <w:t>Published in March 2022 by France-Strategy, this analytical note</w:t>
      </w:r>
      <w:r w:rsidRPr="00364545">
        <w:rPr>
          <w:rStyle w:val="FootnoteReference"/>
        </w:rPr>
        <w:footnoteReference w:id="70"/>
      </w:r>
      <w:r w:rsidRPr="00364545">
        <w:t xml:space="preserve"> concerning climate change's impacts on transport networks sets out three key areas in which to enact the adaptation of network infrastructures to climate change: </w:t>
      </w:r>
    </w:p>
    <w:p w14:paraId="7BBC364A" w14:textId="1E4EE573" w:rsidR="006D5177" w:rsidRPr="00364545" w:rsidRDefault="006D5177" w:rsidP="006D5177">
      <w:pPr>
        <w:spacing w:line="240" w:lineRule="atLeast"/>
      </w:pPr>
      <w:r w:rsidRPr="00364545">
        <w:rPr>
          <w:noProof/>
          <w:lang w:val="fr-FR"/>
        </w:rPr>
        <w:drawing>
          <wp:inline distT="0" distB="0" distL="0" distR="0" wp14:anchorId="37EB4016" wp14:editId="57066980">
            <wp:extent cx="6318250" cy="3441700"/>
            <wp:effectExtent l="0" t="0" r="6350" b="635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318250" cy="3441700"/>
                    </a:xfrm>
                    <a:prstGeom prst="rect">
                      <a:avLst/>
                    </a:prstGeom>
                  </pic:spPr>
                </pic:pic>
              </a:graphicData>
            </a:graphic>
          </wp:inline>
        </w:drawing>
      </w:r>
    </w:p>
    <w:p w14:paraId="3A773349" w14:textId="782690DF" w:rsidR="00734FEB" w:rsidRPr="00364545" w:rsidRDefault="00734FEB" w:rsidP="0045532B">
      <w:pPr>
        <w:pStyle w:val="Caption"/>
      </w:pPr>
      <w:bookmarkStart w:id="634" w:name="_Toc123916490"/>
      <w:r w:rsidRPr="00364545">
        <w:t xml:space="preserve">Figure </w:t>
      </w:r>
      <w:r w:rsidR="003714FB">
        <w:fldChar w:fldCharType="begin"/>
      </w:r>
      <w:r w:rsidR="003714FB">
        <w:instrText xml:space="preserve"> SEQ Figure \* ARABIC </w:instrText>
      </w:r>
      <w:r w:rsidR="003714FB">
        <w:fldChar w:fldCharType="separate"/>
      </w:r>
      <w:r w:rsidR="009A2FAA">
        <w:rPr>
          <w:noProof/>
        </w:rPr>
        <w:t>79</w:t>
      </w:r>
      <w:r w:rsidR="003714FB">
        <w:rPr>
          <w:noProof/>
        </w:rPr>
        <w:fldChar w:fldCharType="end"/>
      </w:r>
      <w:r w:rsidRPr="00364545">
        <w:t>: Priority areas for adapting network infrastructure to climate change</w:t>
      </w:r>
      <w:bookmarkEnd w:id="634"/>
    </w:p>
    <w:p w14:paraId="53C52A5E" w14:textId="1F4B8AFC" w:rsidR="00734FEB" w:rsidRPr="00364545" w:rsidRDefault="00734FEB" w:rsidP="0045532B">
      <w:pPr>
        <w:pStyle w:val="Caption"/>
      </w:pPr>
      <w:r w:rsidRPr="00364545">
        <w:t>Source: France Stratégie</w:t>
      </w:r>
    </w:p>
    <w:p w14:paraId="2967BBD5" w14:textId="77777777" w:rsidR="00734FEB" w:rsidRPr="00364545" w:rsidRDefault="00734FEB" w:rsidP="00734FEB"/>
    <w:p w14:paraId="7E7BAC04" w14:textId="25643FDC" w:rsidR="006D5177" w:rsidRPr="00364545" w:rsidRDefault="006D5177" w:rsidP="006D5177">
      <w:pPr>
        <w:spacing w:line="240" w:lineRule="atLeast"/>
      </w:pPr>
      <w:r w:rsidRPr="00364545">
        <w:t>This study on the electricity, road and rail transport, and telecommunications networks draws attention to the vulnerability of the infrastructures these networks are composed of in the context of a changing climate.</w:t>
      </w:r>
    </w:p>
    <w:p w14:paraId="69830E76" w14:textId="77777777" w:rsidR="006D5177" w:rsidRPr="00364545" w:rsidRDefault="006D5177" w:rsidP="006D5177">
      <w:pPr>
        <w:spacing w:line="240" w:lineRule="atLeast"/>
      </w:pPr>
      <w:r w:rsidRPr="00364545">
        <w:t>As well as detailing these vulnerabilities, the study highlights the tremendous diversity of capacities present among all stakeholders to take account of these hazards as of now, and most importantly in response to the future climate. One particular area that needs to be addressed is the connections between these networks, which are currently rather weak. This is an area for public authorities to work on, both at national level (for instance, under the remit of revising France's Climate and Energy Strategy) and at territorial level, to stimulate, organise, and sustain communication among stakeholders, above all among network operators. The courses of action described appear likely to have the capacity to change the networks' overall maintenance and upkeep strategies.</w:t>
      </w:r>
    </w:p>
    <w:p w14:paraId="63CEAC31" w14:textId="77777777" w:rsidR="006D5177" w:rsidRPr="00364545" w:rsidRDefault="006D5177" w:rsidP="006D5177">
      <w:pPr>
        <w:spacing w:line="240" w:lineRule="atLeast"/>
      </w:pPr>
    </w:p>
    <w:p w14:paraId="0AB0C027" w14:textId="1F5AC6EE" w:rsidR="006D5177" w:rsidRPr="00364545" w:rsidRDefault="003714FB" w:rsidP="006D5177">
      <w:pPr>
        <w:spacing w:before="100" w:beforeAutospacing="1" w:after="100" w:afterAutospacing="1"/>
      </w:pPr>
      <w:hyperlink r:id="rId126" w:history="1">
        <w:r w:rsidR="00630688" w:rsidRPr="00364545">
          <w:rPr>
            <w:rStyle w:val="Hyperlink"/>
          </w:rPr>
          <w:t>Horizon Europe</w:t>
        </w:r>
      </w:hyperlink>
      <w:r w:rsidR="00630688" w:rsidRPr="00364545">
        <w:t xml:space="preserve"> is the European Union's research &amp; innovation framework programme for 2021-2027. Officially launched on September 29, 2021, the </w:t>
      </w:r>
      <w:hyperlink r:id="rId127" w:history="1">
        <w:r w:rsidR="00630688" w:rsidRPr="00364545">
          <w:rPr>
            <w:rStyle w:val="Hyperlink"/>
          </w:rPr>
          <w:t>Mission “Adaptation to climate change and societal transformations”</w:t>
        </w:r>
      </w:hyperlink>
      <w:r w:rsidR="00630688" w:rsidRPr="00364545">
        <w:t xml:space="preserve"> is one of five instruments that have been set up to address a series of major challenges. Detailed in the Implementation Plan published by the Commission on 29/09/2021, the Mission aims to help at least 150 European regions and communities achieve climate resilience by 2030. The Mission is proceeding in three different phases:</w:t>
      </w:r>
    </w:p>
    <w:p w14:paraId="39C83E4F" w14:textId="77777777" w:rsidR="006D5177" w:rsidRPr="00364545" w:rsidRDefault="006D5177" w:rsidP="00BE086C">
      <w:pPr>
        <w:pStyle w:val="ListParagraph"/>
        <w:numPr>
          <w:ilvl w:val="0"/>
          <w:numId w:val="37"/>
        </w:numPr>
        <w:spacing w:before="100" w:beforeAutospacing="1" w:after="100" w:afterAutospacing="1"/>
      </w:pPr>
      <w:r w:rsidRPr="00364545">
        <w:t>the construction phase (2021-2023), currently under way, during which the Mission support system is set up and some 60 to 100 regions and communities begin to fully engage in the Mission.</w:t>
      </w:r>
    </w:p>
    <w:p w14:paraId="520B21A2" w14:textId="77777777" w:rsidR="006D5177" w:rsidRPr="00364545" w:rsidRDefault="006D5177" w:rsidP="00BE086C">
      <w:pPr>
        <w:pStyle w:val="ListParagraph"/>
        <w:numPr>
          <w:ilvl w:val="0"/>
          <w:numId w:val="37"/>
        </w:numPr>
        <w:spacing w:before="100" w:beforeAutospacing="1" w:after="100" w:afterAutospacing="1"/>
      </w:pPr>
      <w:r w:rsidRPr="00364545">
        <w:t xml:space="preserve">the deployment phase (2024-2027), during which the Mission will make all the adjustments that result from the assessment conducted and activate all other actions in order to unroll its full potential, engaging 50 to 100 other regions and communities. </w:t>
      </w:r>
    </w:p>
    <w:p w14:paraId="101621E4" w14:textId="77777777" w:rsidR="006D5177" w:rsidRPr="00364545" w:rsidRDefault="006D5177" w:rsidP="00BE086C">
      <w:pPr>
        <w:pStyle w:val="ListParagraph"/>
        <w:numPr>
          <w:ilvl w:val="0"/>
          <w:numId w:val="37"/>
        </w:numPr>
        <w:spacing w:before="100" w:beforeAutospacing="1" w:after="100" w:afterAutospacing="1"/>
      </w:pPr>
      <w:r w:rsidRPr="00364545">
        <w:t>the consolidation phase (2028-2030), during which the Mission will build up its legacy and strive to maintain the momentum gained in the march towards climate resilience.</w:t>
      </w:r>
    </w:p>
    <w:p w14:paraId="3C1ED9BB" w14:textId="77777777" w:rsidR="006D5177" w:rsidRPr="00364545" w:rsidRDefault="006D5177" w:rsidP="006D5177">
      <w:pPr>
        <w:spacing w:before="100" w:beforeAutospacing="1" w:after="100" w:afterAutospacing="1"/>
      </w:pPr>
      <w:r w:rsidRPr="00364545">
        <w:t>Horizon Europe supports the Mission: the potential resources directly available from Horizon Europe for the Mission are estimated at approximately 930 million euros for 2021-2027, of which approximately 360 million euros are earmarked for the construction phase (2021-2023). In addition to Horizon Europe's core budget, the Mission focuses on mobilising funding from various public and private sources at different levels (EU, national, regional and local) and improving its coordination.</w:t>
      </w:r>
    </w:p>
    <w:p w14:paraId="29C46AF7" w14:textId="25998B3B" w:rsidR="00977B34" w:rsidRPr="00364545" w:rsidRDefault="006D5177" w:rsidP="006D5177">
      <w:pPr>
        <w:spacing w:before="100" w:beforeAutospacing="1" w:after="100" w:afterAutospacing="1"/>
      </w:pPr>
      <w:r w:rsidRPr="00364545">
        <w:t>At the end of September 2022, twenty projects involving France were approved and another twenty are in the process of being validated.</w:t>
      </w:r>
    </w:p>
    <w:p w14:paraId="73CBF790" w14:textId="77777777" w:rsidR="006D5177" w:rsidRPr="00364545" w:rsidRDefault="006D5177">
      <w:pPr>
        <w:spacing w:line="240" w:lineRule="atLeast"/>
        <w:jc w:val="left"/>
        <w:rPr>
          <w:rFonts w:eastAsiaTheme="majorEastAsia" w:cstheme="majorBidi"/>
          <w:bCs/>
          <w:spacing w:val="-10"/>
          <w:kern w:val="28"/>
          <w:sz w:val="48"/>
          <w:szCs w:val="56"/>
        </w:rPr>
      </w:pPr>
      <w:r w:rsidRPr="00364545">
        <w:br w:type="page"/>
      </w:r>
    </w:p>
    <w:p w14:paraId="06003EC4" w14:textId="4186906E" w:rsidR="0051771F" w:rsidRPr="00364545" w:rsidRDefault="0051771F" w:rsidP="008C79A1">
      <w:pPr>
        <w:pStyle w:val="Titre1Niveau1"/>
        <w:ind w:left="0" w:right="27"/>
        <w:rPr>
          <w:rFonts w:asciiTheme="minorHAnsi" w:hAnsiTheme="minorHAnsi"/>
          <w:sz w:val="19"/>
        </w:rPr>
      </w:pPr>
      <w:bookmarkStart w:id="635" w:name="_Toc138341870"/>
      <w:bookmarkStart w:id="636" w:name="ChapitreVII"/>
      <w:r w:rsidRPr="00364545">
        <w:t>Chapter VII – Financial resources and technology transfer</w:t>
      </w:r>
      <w:bookmarkEnd w:id="635"/>
    </w:p>
    <w:bookmarkEnd w:id="636"/>
    <w:p w14:paraId="75E2BE8A" w14:textId="53E7270F" w:rsidR="00880CF0" w:rsidRPr="00364545" w:rsidRDefault="00880CF0" w:rsidP="00880CF0">
      <w:pPr>
        <w:spacing w:before="240" w:after="240"/>
      </w:pPr>
      <w:r w:rsidRPr="00364545">
        <w:t>In 2021, France provided more than €6 billion in public funding</w:t>
      </w:r>
      <w:r w:rsidRPr="00364545">
        <w:rPr>
          <w:rFonts w:ascii="Times New Roman" w:hAnsi="Times New Roman"/>
        </w:rPr>
        <w:t xml:space="preserve"> </w:t>
      </w:r>
      <w:r w:rsidRPr="00364545">
        <w:t>for climate change mitigation and adaptation in developing countries, through bilateral and multilateral sources. This level of commitment has increased significantly compared to 2017 (+36% with a level of commitments of €4.4bn in 2017) and has reached more than €26.4bn since 2017, mainly through the activity of the Agence Française de Développement Group</w:t>
      </w:r>
      <w:r w:rsidRPr="00364545">
        <w:rPr>
          <w:rStyle w:val="FootnoteReference"/>
        </w:rPr>
        <w:footnoteReference w:id="71"/>
      </w:r>
      <w:r w:rsidRPr="00364545">
        <w:t xml:space="preserve">. All the financial support presented in this report is considered new and additional, being made up of financing authorisations for the year in question (for bilateral financing) and disbursements for the reporting year in question (for multilateral commitments). The total commitment of multilateral funding is therefore not reported, but only the share disbursed in 2020 and 2021. </w:t>
      </w:r>
    </w:p>
    <w:p w14:paraId="16B4ACB2" w14:textId="77777777" w:rsidR="00880CF0" w:rsidRPr="00364545" w:rsidRDefault="00880CF0" w:rsidP="00880CF0">
      <w:pPr>
        <w:spacing w:before="240" w:after="240"/>
      </w:pPr>
      <w:r w:rsidRPr="00364545">
        <w:t>In addition, France provides technological cooperation and supports capacity building in developing countries through a number of channels, which are also presented in this report.</w:t>
      </w:r>
    </w:p>
    <w:p w14:paraId="2C51E62F" w14:textId="77777777" w:rsidR="00880CF0" w:rsidRPr="00364545" w:rsidRDefault="00880CF0" w:rsidP="00E524AF">
      <w:pPr>
        <w:pStyle w:val="Titre2Niveau2"/>
        <w:numPr>
          <w:ilvl w:val="0"/>
          <w:numId w:val="101"/>
        </w:numPr>
      </w:pPr>
      <w:bookmarkStart w:id="637" w:name="_Toc115454098"/>
      <w:bookmarkStart w:id="638" w:name="_Toc121390979"/>
      <w:bookmarkStart w:id="639" w:name="_Ref122366346"/>
      <w:bookmarkStart w:id="640" w:name="_Ref122366355"/>
      <w:bookmarkStart w:id="641" w:name="_Toc138341871"/>
      <w:r w:rsidRPr="00364545">
        <w:t>Mobilising financial resources from bilateral sources</w:t>
      </w:r>
      <w:bookmarkEnd w:id="637"/>
      <w:bookmarkEnd w:id="638"/>
      <w:bookmarkEnd w:id="639"/>
      <w:bookmarkEnd w:id="640"/>
      <w:bookmarkEnd w:id="641"/>
    </w:p>
    <w:p w14:paraId="5CF8516B" w14:textId="131F2980" w:rsidR="00880CF0" w:rsidRPr="00364545" w:rsidRDefault="00880CF0" w:rsidP="00880CF0">
      <w:r w:rsidRPr="00364545">
        <w:rPr>
          <w:color w:val="000000"/>
        </w:rPr>
        <w:t>France is a major player in bilateral development aid in the field of climate, boasting a very wide scope of intervention, highly reputed levels of expertise, and substantial financial commitment. This task is based mainly on the work of the French Development Agency (AFD and its private sector subsidiary, PROPARCO), as well as bilateral instruments partially dedicated to climate issues in developing countries: the French Global Environment Facility (FFEM); the Private-sector Aid and Studies (FASEP), and concessional and non-concessional Treasury loans.</w:t>
      </w:r>
    </w:p>
    <w:p w14:paraId="3D58667D" w14:textId="77777777" w:rsidR="00880CF0" w:rsidRPr="00364545" w:rsidRDefault="00880CF0" w:rsidP="00E524AF">
      <w:pPr>
        <w:pStyle w:val="Titre3Niveau3"/>
      </w:pPr>
      <w:bookmarkStart w:id="642" w:name="_Toc115454099"/>
      <w:bookmarkStart w:id="643" w:name="_Toc121390980"/>
      <w:bookmarkStart w:id="644" w:name="_Toc138341872"/>
      <w:r w:rsidRPr="00364545">
        <w:t>Financial support provided by the Agence Française de Développement Group</w:t>
      </w:r>
      <w:bookmarkEnd w:id="642"/>
      <w:bookmarkEnd w:id="643"/>
      <w:bookmarkEnd w:id="644"/>
    </w:p>
    <w:p w14:paraId="0360A37A" w14:textId="08743E92" w:rsidR="00880CF0" w:rsidRPr="00364545" w:rsidRDefault="00880CF0" w:rsidP="00880CF0">
      <w:pPr>
        <w:spacing w:before="240" w:after="240"/>
        <w:rPr>
          <w:rFonts w:cs="Arial"/>
        </w:rPr>
      </w:pPr>
      <w:r w:rsidRPr="00364545">
        <w:rPr>
          <w:color w:val="000000"/>
        </w:rPr>
        <w:t>AFD, the main operator of French bilateral official development assistance, has developed an ambitious climate strategy for the 2017–2022 period, with the key objective of making all AFD Group financing consistent with low-carbon and resilient development. This “100% Paris Agreement” objective is one of the pillars of the Strategic Orientation Plan</w:t>
      </w:r>
      <w:r w:rsidRPr="00364545">
        <w:rPr>
          <w:rStyle w:val="FootnoteReference"/>
          <w:rFonts w:cs="Arial"/>
          <w:color w:val="000000"/>
        </w:rPr>
        <w:footnoteReference w:id="72"/>
      </w:r>
      <w:r w:rsidRPr="00364545">
        <w:rPr>
          <w:color w:val="000000"/>
        </w:rPr>
        <w:t xml:space="preserve"> adopted in 2018 for AFD Group. Thus, the Group (including Proparco) has set itself the target of allocating 50% of its financial commitments in foreign countries to projects with climate co-benefits. The plan also involves ensuring that the 50% of </w:t>
      </w:r>
      <w:r w:rsidRPr="00364545">
        <w:t>AFD Group financing that does not have climate co-benefits does not undermine the objectives of the Paris Agreement.</w:t>
      </w:r>
    </w:p>
    <w:p w14:paraId="2D6C3F89" w14:textId="3514EDF2" w:rsidR="00880CF0" w:rsidRPr="00364545" w:rsidRDefault="00880CF0" w:rsidP="00880CF0">
      <w:pPr>
        <w:spacing w:before="240" w:after="240"/>
        <w:rPr>
          <w:rFonts w:cs="Arial"/>
        </w:rPr>
      </w:pPr>
      <w:r w:rsidRPr="00364545">
        <w:t>Since 2017, AFD Group has committed at least 50% of its financing in developing countries to projects with climate co-benefits each year. In 2021, AFD Group has committed over €6bn of financing with</w:t>
      </w:r>
      <w:r w:rsidRPr="00364545">
        <w:rPr>
          <w:rFonts w:ascii="Calibri" w:hAnsi="Calibri"/>
        </w:rPr>
        <w:t> </w:t>
      </w:r>
      <w:r w:rsidRPr="00364545">
        <w:t>“climate”</w:t>
      </w:r>
      <w:r w:rsidRPr="00364545">
        <w:rPr>
          <w:rFonts w:ascii="Calibri" w:hAnsi="Calibri"/>
        </w:rPr>
        <w:t> </w:t>
      </w:r>
      <w:r w:rsidRPr="00364545">
        <w:t xml:space="preserve">co-benefits (compared to €4bn in 2017), including €2bn for adaptation in developing countries, confirming the strengthening of its ambition to contribute to France’s new objective. AFD Group’s climate commitments have thus made it possible to finance 330 projects in developing countries in 2021. In line with its climate strategy, AFD (excluding Proparco) will reach 58% of loans with a “climate” co-benefit in 2021, with Proparco reaching 34%. AFD Group’s climate financing increased significantly between 2017 and 2021 (+36%). </w:t>
      </w:r>
    </w:p>
    <w:p w14:paraId="44DE9980" w14:textId="16A82826" w:rsidR="0063459B" w:rsidRPr="00364545" w:rsidRDefault="0063459B" w:rsidP="00880CF0">
      <w:pPr>
        <w:spacing w:before="240" w:after="240"/>
        <w:rPr>
          <w:rFonts w:cs="Arial"/>
        </w:rPr>
      </w:pPr>
    </w:p>
    <w:p w14:paraId="4C18F2D3" w14:textId="37B6B2CE" w:rsidR="0063459B" w:rsidRPr="00364545" w:rsidRDefault="0063459B" w:rsidP="00880CF0">
      <w:pPr>
        <w:spacing w:before="240" w:after="240"/>
        <w:rPr>
          <w:rFonts w:cs="Arial"/>
        </w:rPr>
      </w:pPr>
      <w:r w:rsidRPr="00364545">
        <w:rPr>
          <w:noProof/>
          <w:lang w:val="fr-FR"/>
        </w:rPr>
        <w:drawing>
          <wp:inline distT="0" distB="0" distL="0" distR="0" wp14:anchorId="21166E68" wp14:editId="58D13E98">
            <wp:extent cx="2898000" cy="2336400"/>
            <wp:effectExtent l="0" t="0" r="0" b="698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98000" cy="2336400"/>
                    </a:xfrm>
                    <a:prstGeom prst="rect">
                      <a:avLst/>
                    </a:prstGeom>
                    <a:noFill/>
                    <a:ln>
                      <a:noFill/>
                    </a:ln>
                  </pic:spPr>
                </pic:pic>
              </a:graphicData>
            </a:graphic>
          </wp:inline>
        </w:drawing>
      </w:r>
      <w:r w:rsidRPr="00364545">
        <w:t xml:space="preserve"> </w:t>
      </w:r>
      <w:r w:rsidRPr="00364545">
        <w:rPr>
          <w:noProof/>
          <w:lang w:val="fr-FR"/>
        </w:rPr>
        <w:drawing>
          <wp:inline distT="0" distB="0" distL="0" distR="0" wp14:anchorId="71120FA6" wp14:editId="23FAE197">
            <wp:extent cx="2811600" cy="2631600"/>
            <wp:effectExtent l="0" t="0" r="8255" b="0"/>
            <wp:docPr id="28672" name="Image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11600" cy="2631600"/>
                    </a:xfrm>
                    <a:prstGeom prst="rect">
                      <a:avLst/>
                    </a:prstGeom>
                    <a:noFill/>
                    <a:ln>
                      <a:noFill/>
                    </a:ln>
                  </pic:spPr>
                </pic:pic>
              </a:graphicData>
            </a:graphic>
          </wp:inline>
        </w:drawing>
      </w:r>
    </w:p>
    <w:p w14:paraId="40B3ADD3" w14:textId="593FC916" w:rsidR="0063459B" w:rsidRPr="00364545" w:rsidRDefault="0063459B" w:rsidP="0045532B">
      <w:pPr>
        <w:pStyle w:val="Caption"/>
      </w:pPr>
      <w:bookmarkStart w:id="645" w:name="_Toc123916491"/>
      <w:r w:rsidRPr="00364545">
        <w:t xml:space="preserve">Figure </w:t>
      </w:r>
      <w:r w:rsidR="003714FB">
        <w:fldChar w:fldCharType="begin"/>
      </w:r>
      <w:r w:rsidR="003714FB">
        <w:instrText xml:space="preserve"> SEQ Figure \* ARABIC </w:instrText>
      </w:r>
      <w:r w:rsidR="003714FB">
        <w:fldChar w:fldCharType="separate"/>
      </w:r>
      <w:r w:rsidR="009A2FAA">
        <w:rPr>
          <w:noProof/>
        </w:rPr>
        <w:t>80</w:t>
      </w:r>
      <w:r w:rsidR="003714FB">
        <w:rPr>
          <w:noProof/>
        </w:rPr>
        <w:fldChar w:fldCharType="end"/>
      </w:r>
      <w:r w:rsidRPr="00364545">
        <w:t>: The evolution of AFD Group’s total climate financing (left figure) including adaptation financing (right)</w:t>
      </w:r>
      <w:bookmarkEnd w:id="645"/>
    </w:p>
    <w:p w14:paraId="466770E8" w14:textId="3AE32EC8" w:rsidR="0063459B" w:rsidRPr="00364545" w:rsidRDefault="0063459B" w:rsidP="0045532B">
      <w:pPr>
        <w:pStyle w:val="Caption"/>
      </w:pPr>
      <w:r w:rsidRPr="00364545">
        <w:t>Source: AFD, 2021 activity report</w:t>
      </w:r>
    </w:p>
    <w:p w14:paraId="38867F6E" w14:textId="77777777" w:rsidR="0063459B" w:rsidRPr="00364545" w:rsidRDefault="0063459B" w:rsidP="0063459B"/>
    <w:p w14:paraId="1372D95C" w14:textId="77777777" w:rsidR="00E23E59" w:rsidRDefault="00880CF0" w:rsidP="00E23E59">
      <w:r w:rsidRPr="00364545">
        <w:t xml:space="preserve">In order to ensure that the financing provided meets the needs of recipient countries in terms of climate change mitigation and adaptation, AFD’s local agencies identify the projects and needs of recipient countries in conjunction with the partners and project owners in these countries. It also relies on signing financing contracts with national and local authorities in the countries of intervention. </w:t>
      </w:r>
      <w:r w:rsidR="00E23E59">
        <w:t>The strategic documents prepared by AFD, which determine its areas of operation in sectors and on crosscutting issues, are subject to a consultation with the supervisory ministries and a presentation to stakeholders prior to being submitted to the Board of Directors.</w:t>
      </w:r>
    </w:p>
    <w:p w14:paraId="7E3F5C74" w14:textId="723CA39D" w:rsidR="00880CF0" w:rsidRPr="000D1437" w:rsidRDefault="00E23E59" w:rsidP="00E23E59">
      <w:pPr>
        <w:rPr>
          <w:rFonts w:asciiTheme="majorHAnsi" w:hAnsiTheme="majorHAnsi"/>
          <w:color w:val="005841" w:themeColor="accent1"/>
          <w:spacing w:val="7"/>
          <w:szCs w:val="22"/>
        </w:rPr>
      </w:pPr>
      <w:r>
        <w:t xml:space="preserve">In the case of Country Intervention Frameworks, a dialogue with stakeholders (local authorities, donors, private sector, CSOs, etc.) is systematically conducted prior to the drafting of the document. </w:t>
      </w:r>
      <w:r w:rsidR="00880CF0" w:rsidRPr="00364545">
        <w:t xml:space="preserve">In addition, following COP21, AFD deployed several </w:t>
      </w:r>
      <w:r w:rsidR="00880CF0" w:rsidRPr="00364545">
        <w:rPr>
          <w:color w:val="000000"/>
        </w:rPr>
        <w:t>specific instruments to support the implementation of developing countries’ climate commitments</w:t>
      </w:r>
      <w:r>
        <w:rPr>
          <w:color w:val="000000"/>
        </w:rPr>
        <w:t>,</w:t>
      </w:r>
      <w:r w:rsidRPr="00E23E59">
        <w:rPr>
          <w:color w:val="000000"/>
        </w:rPr>
        <w:t xml:space="preserve"> </w:t>
      </w:r>
      <w:r>
        <w:rPr>
          <w:color w:val="000000"/>
        </w:rPr>
        <w:t>such as the AdaptAction Facility endowed with 30M€ in its first phase, and the 2050 Facility, also endowed with 30M€ in its first phase</w:t>
      </w:r>
      <w:r w:rsidRPr="00364545">
        <w:rPr>
          <w:color w:val="000000"/>
        </w:rPr>
        <w:t>.</w:t>
      </w:r>
      <w:r>
        <w:rPr>
          <w:color w:val="000000"/>
        </w:rPr>
        <w:t xml:space="preserve"> </w:t>
      </w:r>
      <w:r w:rsidRPr="000D1437">
        <w:rPr>
          <w:rFonts w:asciiTheme="majorHAnsi" w:hAnsiTheme="majorHAnsi"/>
          <w:color w:val="000000"/>
          <w:szCs w:val="22"/>
        </w:rPr>
        <w:t xml:space="preserve">Finally, </w:t>
      </w:r>
      <w:r w:rsidRPr="000D1437">
        <w:rPr>
          <w:rFonts w:asciiTheme="majorHAnsi" w:hAnsiTheme="majorHAnsi"/>
          <w:color w:val="005841" w:themeColor="accent1"/>
          <w:spacing w:val="7"/>
          <w:szCs w:val="22"/>
        </w:rPr>
        <w:t>f</w:t>
      </w:r>
      <w:r w:rsidRPr="000D1437">
        <w:rPr>
          <w:rFonts w:asciiTheme="majorHAnsi" w:hAnsiTheme="majorHAnsi"/>
          <w:color w:val="005841" w:themeColor="accent1"/>
          <w:spacing w:val="7"/>
          <w:szCs w:val="22"/>
          <w:lang w:val="en-US"/>
        </w:rPr>
        <w:t>or each country of intervention, “climate country sheets” have been developed to inform sustainable development analyses of projects, support public policy dialogue with national authorities, and the drafting of all geographical strategies. These fact sheets, as well as sectoral strategies, contribute to the iden</w:t>
      </w:r>
      <w:r w:rsidRPr="000D1437">
        <w:rPr>
          <w:rFonts w:asciiTheme="majorHAnsi" w:hAnsiTheme="majorHAnsi"/>
          <w:color w:val="005841" w:themeColor="accent1"/>
          <w:spacing w:val="7"/>
          <w:szCs w:val="22"/>
        </w:rPr>
        <w:t>tification of upstream projects answering country’s needs</w:t>
      </w:r>
    </w:p>
    <w:p w14:paraId="75963237" w14:textId="31FC162F" w:rsidR="00E23E59" w:rsidRPr="000D1437" w:rsidRDefault="00E23E59" w:rsidP="00E23E59">
      <w:pPr>
        <w:rPr>
          <w:rFonts w:asciiTheme="majorHAnsi" w:hAnsiTheme="majorHAnsi"/>
          <w:color w:val="005841" w:themeColor="accent1"/>
          <w:spacing w:val="7"/>
          <w:szCs w:val="22"/>
        </w:rPr>
      </w:pPr>
    </w:p>
    <w:p w14:paraId="7F8A9A54" w14:textId="77777777" w:rsidR="00E23E59" w:rsidRPr="000D1437" w:rsidRDefault="00E23E59" w:rsidP="00E23E59">
      <w:pPr>
        <w:rPr>
          <w:rFonts w:asciiTheme="majorHAnsi" w:hAnsiTheme="majorHAnsi"/>
          <w:color w:val="000000"/>
          <w:szCs w:val="22"/>
        </w:rPr>
      </w:pPr>
      <w:r w:rsidRPr="000D1437">
        <w:rPr>
          <w:rFonts w:asciiTheme="majorHAnsi" w:hAnsiTheme="majorHAnsi"/>
          <w:color w:val="000000"/>
          <w:szCs w:val="22"/>
        </w:rPr>
        <w:t xml:space="preserve">AFD is supporting non Annex I Parties through research aiming to better assess economic and social consequences of low carbon transitions. On a medium/long term, such research supports public policy dialogue on designing appropriate policies and investments. </w:t>
      </w:r>
    </w:p>
    <w:p w14:paraId="034F9695" w14:textId="77777777" w:rsidR="00E23E59" w:rsidRPr="000D1437" w:rsidRDefault="00E23E59" w:rsidP="00E23E59">
      <w:pPr>
        <w:rPr>
          <w:rFonts w:asciiTheme="majorHAnsi" w:hAnsiTheme="majorHAnsi"/>
          <w:color w:val="000000"/>
          <w:szCs w:val="22"/>
        </w:rPr>
      </w:pPr>
      <w:r w:rsidRPr="000D1437">
        <w:rPr>
          <w:rFonts w:asciiTheme="majorHAnsi" w:hAnsiTheme="majorHAnsi"/>
          <w:color w:val="000000"/>
          <w:szCs w:val="22"/>
        </w:rPr>
        <w:t>Through the development of GEMMES, the modelling tool for macroeconomic climate impacts, AFD has contributed to the production of knowledge on long-term macro economics impacts linked to a low carbon transition. The tool is deployed across several countries (Brazil, Ivory Coast, Colombia, Morocco, Tunisia, Vietnam, Algeria, South Africa) and its results have paved the way for a dialogue with the authorities on their long-term strategies, in connection with or in addition to support from the 2050 Facility.</w:t>
      </w:r>
    </w:p>
    <w:p w14:paraId="1F509498" w14:textId="3838C9C1" w:rsidR="00E23E59" w:rsidRDefault="00E23E59" w:rsidP="00E23E59">
      <w:pPr>
        <w:rPr>
          <w:rFonts w:asciiTheme="majorHAnsi" w:hAnsiTheme="majorHAnsi"/>
          <w:color w:val="000000"/>
          <w:szCs w:val="22"/>
        </w:rPr>
      </w:pPr>
      <w:r w:rsidRPr="000D1437">
        <w:rPr>
          <w:rFonts w:asciiTheme="majorHAnsi" w:hAnsiTheme="majorHAnsi"/>
          <w:color w:val="000000"/>
          <w:szCs w:val="22"/>
        </w:rPr>
        <w:t>In addition, AFD developed, the ESTEEM model (Exposure to Structural Transition in an Ecological-Economic Model) identifies the transition risks to which the economies of developing countries are exposed, which makes it possible to anticipate them and to define a transition trajectory adapted to the situation of each country.</w:t>
      </w:r>
    </w:p>
    <w:p w14:paraId="75A0BA64" w14:textId="4488FD26" w:rsidR="00E23E59" w:rsidRDefault="00E23E59" w:rsidP="00E23E59">
      <w:pPr>
        <w:rPr>
          <w:rFonts w:asciiTheme="majorHAnsi" w:hAnsiTheme="majorHAnsi"/>
          <w:color w:val="000000"/>
          <w:szCs w:val="22"/>
        </w:rPr>
      </w:pPr>
    </w:p>
    <w:p w14:paraId="566471B8" w14:textId="6A97593B" w:rsidR="00E23E59" w:rsidRPr="000D1437" w:rsidRDefault="00E23E59" w:rsidP="00E23E59">
      <w:pPr>
        <w:rPr>
          <w:rFonts w:asciiTheme="majorHAnsi" w:hAnsiTheme="majorHAnsi"/>
          <w:color w:val="000000"/>
          <w:szCs w:val="22"/>
        </w:rPr>
      </w:pPr>
      <w:r w:rsidRPr="000D1437">
        <w:rPr>
          <w:color w:val="FF0000"/>
          <w:szCs w:val="22"/>
          <w:lang w:eastAsia="zh-CN"/>
        </w:rPr>
        <w:t>AFD’s average commitment for adaptation in developing countries was €1,9 B per year in the period 2019 to 2021. AFD provided 21% of this adaptation finance to LDC (€0,4 B), which are particularly vulnerable to climate change.</w:t>
      </w:r>
    </w:p>
    <w:p w14:paraId="2EEBD295" w14:textId="77777777" w:rsidR="00E23E59" w:rsidRPr="00364545" w:rsidRDefault="00E23E59" w:rsidP="00E23E59">
      <w:pPr>
        <w:rPr>
          <w:rFonts w:ascii="Arial" w:hAnsi="Arial" w:cs="Arial"/>
          <w:color w:val="000000"/>
        </w:rPr>
      </w:pPr>
    </w:p>
    <w:p w14:paraId="5FCADC0E" w14:textId="77777777" w:rsidR="00880CF0" w:rsidRPr="00364545" w:rsidRDefault="00880CF0" w:rsidP="003F57EA">
      <w:pPr>
        <w:pStyle w:val="Titre3Niveau3"/>
      </w:pPr>
      <w:bookmarkStart w:id="646" w:name="_Toc115454100"/>
      <w:bookmarkStart w:id="647" w:name="_Toc121390981"/>
      <w:bookmarkStart w:id="648" w:name="_Toc138341873"/>
      <w:r w:rsidRPr="00364545">
        <w:t>Methodology for accounting for AFD Group’s climate commitments</w:t>
      </w:r>
      <w:bookmarkEnd w:id="646"/>
      <w:bookmarkEnd w:id="647"/>
      <w:bookmarkEnd w:id="648"/>
    </w:p>
    <w:p w14:paraId="0468E021" w14:textId="3CB024C8" w:rsidR="00880CF0" w:rsidRPr="00364545" w:rsidRDefault="0092053B" w:rsidP="00880CF0">
      <w:r w:rsidRPr="00364545">
        <w:t>The accounting methodologies used in climate finance for mitigation</w:t>
      </w:r>
      <w:r w:rsidRPr="00364545">
        <w:rPr>
          <w:rStyle w:val="FootnoteReference"/>
        </w:rPr>
        <w:footnoteReference w:id="73"/>
      </w:r>
      <w:r w:rsidRPr="00364545">
        <w:t xml:space="preserve"> and adaptation</w:t>
      </w:r>
      <w:r w:rsidRPr="00364545">
        <w:rPr>
          <w:rStyle w:val="FootnoteReference"/>
        </w:rPr>
        <w:footnoteReference w:id="74"/>
      </w:r>
      <w:r w:rsidRPr="00364545">
        <w:t xml:space="preserve"> are built around the common principles agreed in 2015 (the mitigation part of which was enhanced in 2021 at the AFD's initiative) and shared with members of the International Development Finance Club (IDFC) as well as multilateral development banks.</w:t>
      </w:r>
    </w:p>
    <w:p w14:paraId="466AF9B3" w14:textId="4354AB88" w:rsidR="00880CF0" w:rsidRPr="00364545" w:rsidRDefault="00880CF0" w:rsidP="00EF6DB6">
      <w:pPr>
        <w:pStyle w:val="Titre4niveau4"/>
      </w:pPr>
      <w:bookmarkStart w:id="649" w:name="_Toc121431063"/>
      <w:bookmarkStart w:id="650" w:name="_Toc121431400"/>
      <w:bookmarkStart w:id="651" w:name="_Toc121431561"/>
      <w:bookmarkStart w:id="652" w:name="_Toc121431723"/>
      <w:bookmarkStart w:id="653" w:name="_Toc121431886"/>
      <w:bookmarkStart w:id="654" w:name="_Toc121432048"/>
      <w:bookmarkStart w:id="655" w:name="_Toc121431064"/>
      <w:bookmarkStart w:id="656" w:name="_Toc121431401"/>
      <w:bookmarkStart w:id="657" w:name="_Toc121431562"/>
      <w:bookmarkStart w:id="658" w:name="_Toc121431724"/>
      <w:bookmarkStart w:id="659" w:name="_Toc121431887"/>
      <w:bookmarkStart w:id="660" w:name="_Toc121432049"/>
      <w:bookmarkEnd w:id="649"/>
      <w:bookmarkEnd w:id="650"/>
      <w:bookmarkEnd w:id="651"/>
      <w:bookmarkEnd w:id="652"/>
      <w:bookmarkEnd w:id="653"/>
      <w:bookmarkEnd w:id="654"/>
      <w:bookmarkEnd w:id="655"/>
      <w:bookmarkEnd w:id="656"/>
      <w:bookmarkEnd w:id="657"/>
      <w:bookmarkEnd w:id="658"/>
      <w:bookmarkEnd w:id="659"/>
      <w:bookmarkEnd w:id="660"/>
      <w:r w:rsidRPr="00364545">
        <w:t>Greenhouse gas (GHG) mitigation or carbon sequestration</w:t>
      </w:r>
    </w:p>
    <w:p w14:paraId="10FA2C36" w14:textId="77777777" w:rsidR="00880CF0" w:rsidRPr="00364545" w:rsidRDefault="00880CF0" w:rsidP="00880CF0">
      <w:pPr>
        <w:spacing w:before="240" w:after="240"/>
      </w:pPr>
      <w:r w:rsidRPr="00364545">
        <w:t>A project contributes to mitigation when it reduces greenhouse gas (GHG) emissions compared to a baseline situation without the project, or if it is dedicated to actions that contribute to mitigation (studies, capacity building, etc.).</w:t>
      </w:r>
    </w:p>
    <w:p w14:paraId="687EC179" w14:textId="77777777" w:rsidR="00880CF0" w:rsidRPr="00364545" w:rsidRDefault="00880CF0" w:rsidP="00EF6DB6">
      <w:pPr>
        <w:pStyle w:val="Titre4niveau4"/>
      </w:pPr>
      <w:r w:rsidRPr="00364545">
        <w:t>Adaptation to climate change</w:t>
      </w:r>
    </w:p>
    <w:p w14:paraId="61D11F17" w14:textId="77777777" w:rsidR="00880CF0" w:rsidRPr="00364545" w:rsidRDefault="00880CF0" w:rsidP="00880CF0">
      <w:pPr>
        <w:spacing w:before="240" w:after="240"/>
      </w:pPr>
      <w:r w:rsidRPr="00364545">
        <w:t>A project contributes to adaptation when it limits or reduces the vulnerability of goods, people and ecosystems to the consequences of climate change. This is based on analysing the context of vulnerability to climate change, the project’s willingness to address climate risks and vulnerabilities, and the beneficial impact of the project’s actions on the vulnerability issues identified in the area.</w:t>
      </w:r>
    </w:p>
    <w:p w14:paraId="2EA290EB" w14:textId="77777777" w:rsidR="00880CF0" w:rsidRPr="00364545" w:rsidRDefault="00880CF0" w:rsidP="00EF6DB6">
      <w:pPr>
        <w:pStyle w:val="Titre4niveau4"/>
      </w:pPr>
      <w:r w:rsidRPr="00364545">
        <w:t>Support for the implementation of climate change policies</w:t>
      </w:r>
    </w:p>
    <w:p w14:paraId="2D9E5FDD" w14:textId="77777777" w:rsidR="00880CF0" w:rsidRPr="00364545" w:rsidRDefault="00880CF0" w:rsidP="00880CF0">
      <w:r w:rsidRPr="00364545">
        <w:t>Accounting for PrPPs (Public-private research project) loans should reflect policy and sectoral dialogue with the counterparty as well as the expected climate impacts. It is done:</w:t>
      </w:r>
    </w:p>
    <w:p w14:paraId="2FD0689E" w14:textId="77777777" w:rsidR="00880CF0" w:rsidRPr="00364545" w:rsidRDefault="00880CF0" w:rsidP="00BE086C">
      <w:pPr>
        <w:pStyle w:val="ListParagraph"/>
        <w:numPr>
          <w:ilvl w:val="0"/>
          <w:numId w:val="47"/>
        </w:numPr>
      </w:pPr>
      <w:r w:rsidRPr="00364545">
        <w:t xml:space="preserve">either in proportion to public policy matrix climate indicators or in proportion to the volume of climate-related investments; </w:t>
      </w:r>
    </w:p>
    <w:p w14:paraId="694A4C3D" w14:textId="76F666DE" w:rsidR="00880CF0" w:rsidRPr="00364545" w:rsidRDefault="00880CF0" w:rsidP="00BE086C">
      <w:pPr>
        <w:pStyle w:val="ListParagraph"/>
        <w:numPr>
          <w:ilvl w:val="0"/>
          <w:numId w:val="47"/>
        </w:numPr>
      </w:pPr>
      <w:r w:rsidRPr="00364545">
        <w:t>or using a flat rate of 40% if the financing receives a +2 or +3 rating according to the sustainable development analysis on climate, and if climate objectives are formalised and monitored.</w:t>
      </w:r>
    </w:p>
    <w:p w14:paraId="625BAE01" w14:textId="77777777" w:rsidR="00880CF0" w:rsidRPr="00364545" w:rsidRDefault="00880CF0" w:rsidP="00E524AF">
      <w:pPr>
        <w:pStyle w:val="Titre3Niveau3"/>
      </w:pPr>
      <w:bookmarkStart w:id="661" w:name="_Toc115454101"/>
      <w:bookmarkStart w:id="662" w:name="_Toc121390982"/>
      <w:bookmarkStart w:id="663" w:name="_Toc138341874"/>
      <w:r w:rsidRPr="00364545">
        <w:t>Private climate finance mobilised by AFD Group financing</w:t>
      </w:r>
      <w:bookmarkEnd w:id="661"/>
      <w:bookmarkEnd w:id="662"/>
      <w:bookmarkEnd w:id="663"/>
    </w:p>
    <w:p w14:paraId="722F4124" w14:textId="20E009D1" w:rsidR="00880CF0" w:rsidRPr="00364545" w:rsidRDefault="0092053B" w:rsidP="00880CF0">
      <w:r w:rsidRPr="00364545">
        <w:t>1.7bn of private finance was mobilised by AFD Group’s climate projects in 2021, including €690.4m by Proparco. Lines of credit granted to public development banks and commercial banks account for 76% of this total. These instances of private financing are not counted as part of the € 6 billion in climate funding.</w:t>
      </w:r>
    </w:p>
    <w:p w14:paraId="19E2E7AF" w14:textId="77777777" w:rsidR="00880CF0" w:rsidRPr="00364545" w:rsidRDefault="00880CF0" w:rsidP="00E524AF">
      <w:pPr>
        <w:pStyle w:val="Titre3Niveau3"/>
      </w:pPr>
      <w:bookmarkStart w:id="664" w:name="_Toc115454102"/>
      <w:bookmarkStart w:id="665" w:name="_Toc121390983"/>
      <w:bookmarkStart w:id="666" w:name="_Toc138341875"/>
      <w:r w:rsidRPr="00364545">
        <w:t>Financial support provided by the FGEF</w:t>
      </w:r>
      <w:bookmarkEnd w:id="664"/>
      <w:bookmarkEnd w:id="665"/>
      <w:bookmarkEnd w:id="666"/>
    </w:p>
    <w:p w14:paraId="30DEE3BD" w14:textId="77777777" w:rsidR="00880CF0" w:rsidRPr="00364545" w:rsidRDefault="00880CF0" w:rsidP="00880CF0">
      <w:r w:rsidRPr="00364545">
        <w:t>The FFEM (French Global Environment Facility) is a bilateral public fund created in 1994 and is one of the main instruments of French cooperation and development policy in the field of the environment. It contributes, in the form of grants, to the financing of innovative projects with an economic and social development objective and a significant and sustainable impact on one or other of the major components of the global environment (in particular combating climate change, protecting biodiversity, combating land degradation and desertification as well as combating the degradation of terrestrial and marine waters). The Fund has been replenished for the period 2015–2018 with €90m, and then with €120m for the period 2019–2022. It has already supported more than 400 projects in over 120 countries, two-thirds of which are in Africa.</w:t>
      </w:r>
    </w:p>
    <w:p w14:paraId="71D3A838" w14:textId="77777777" w:rsidR="00880CF0" w:rsidRPr="00364545" w:rsidRDefault="00880CF0" w:rsidP="00880CF0">
      <w:pPr>
        <w:rPr>
          <w:color w:val="FF0000"/>
        </w:rPr>
      </w:pPr>
    </w:p>
    <w:p w14:paraId="5FE94F06" w14:textId="4F629C13" w:rsidR="00880CF0" w:rsidRPr="00364545" w:rsidRDefault="00880CF0" w:rsidP="00880CF0">
      <w:pPr>
        <w:jc w:val="left"/>
      </w:pPr>
      <w:r w:rsidRPr="00364545">
        <w:t>Between 2019 and 2022, the FFEM allocated a total commitment volume of € 103 million to 60 projects, including € 55 million with co-benefits for the fight against climate change (representing 54</w:t>
      </w:r>
      <w:r w:rsidRPr="00364545">
        <w:rPr>
          <w:rFonts w:ascii="Calibri" w:hAnsi="Calibri"/>
        </w:rPr>
        <w:t>%</w:t>
      </w:r>
      <w:r w:rsidRPr="00364545">
        <w:t xml:space="preserve"> of its total financial commitments). Over this period, more than 70% of the financing concerns projects in Africa. The majority of projects during this period were led by NGOs or local stakeholders.</w:t>
      </w:r>
    </w:p>
    <w:p w14:paraId="14897B90" w14:textId="77777777" w:rsidR="00880CF0" w:rsidRPr="00364545" w:rsidRDefault="00880CF0" w:rsidP="00E524AF">
      <w:pPr>
        <w:pStyle w:val="Titre3Niveau3"/>
      </w:pPr>
      <w:bookmarkStart w:id="667" w:name="_Toc115454103"/>
      <w:bookmarkStart w:id="668" w:name="_Toc121390984"/>
      <w:bookmarkStart w:id="669" w:name="_Toc138341876"/>
      <w:r w:rsidRPr="00364545">
        <w:t>Financial support provided in the form of grants (FASEP) and loans by the French Treasury</w:t>
      </w:r>
      <w:bookmarkEnd w:id="667"/>
      <w:bookmarkEnd w:id="668"/>
      <w:bookmarkEnd w:id="669"/>
    </w:p>
    <w:p w14:paraId="795609BE" w14:textId="150A6962" w:rsidR="00880CF0" w:rsidRPr="00364545" w:rsidRDefault="00880CF0" w:rsidP="00880CF0">
      <w:pPr>
        <w:spacing w:before="240" w:after="240"/>
        <w:rPr>
          <w:rFonts w:ascii="Arial" w:hAnsi="Arial" w:cs="Arial"/>
          <w:color w:val="000000"/>
        </w:rPr>
      </w:pPr>
      <w:r w:rsidRPr="00364545">
        <w:t xml:space="preserve">In parallel, the Ministry of the Economy and Finance contributes, in the form of grants or repayable advances, to the financing of feasibility studies, technical assistance and demonstrators of innovative technologies dedicated to the environment and sustainable development, within the framework of the study and </w:t>
      </w:r>
      <w:r w:rsidRPr="00364545">
        <w:rPr>
          <w:color w:val="000000"/>
        </w:rPr>
        <w:t xml:space="preserve">private sector assistance funds (known as FASEP). This instrument finances services provided by French consultancy firms, and benefits public entities in countries eligible for Official Development Assistance and for sustainable economic development projects meeting the needs of these countries (better access to water, renewable energies, improved transport supply, etc.). </w:t>
      </w:r>
    </w:p>
    <w:p w14:paraId="74C0B455" w14:textId="77777777" w:rsidR="00880CF0" w:rsidRPr="00364545" w:rsidRDefault="00880CF0" w:rsidP="00880CF0">
      <w:pPr>
        <w:spacing w:before="240" w:after="240"/>
        <w:rPr>
          <w:rFonts w:cs="Arial"/>
          <w:color w:val="000000"/>
        </w:rPr>
      </w:pPr>
      <w:r w:rsidRPr="00364545">
        <w:rPr>
          <w:color w:val="000000"/>
        </w:rPr>
        <w:t>Through Treasury loans, the French Ministry of the Economy and Finance also supports infrastructure projects carried out by public entities in emerging countries eligible for official development assistance</w:t>
      </w:r>
      <w:r w:rsidRPr="00364545">
        <w:rPr>
          <w:rStyle w:val="Ancredenotedebasdepage"/>
          <w:rFonts w:cs="Arial"/>
          <w:color w:val="000000"/>
        </w:rPr>
        <w:footnoteReference w:id="75"/>
      </w:r>
      <w:r w:rsidRPr="00364545">
        <w:rPr>
          <w:color w:val="000000"/>
        </w:rPr>
        <w:t>. The sectors concerned are mainly related to sustainable development and climate change (public transport, water and the environment, renewable energy, etc.).</w:t>
      </w:r>
    </w:p>
    <w:p w14:paraId="009500CC" w14:textId="77777777" w:rsidR="00880CF0" w:rsidRPr="00364545" w:rsidRDefault="00880CF0" w:rsidP="00E524AF">
      <w:pPr>
        <w:pStyle w:val="Titre2Niveau2"/>
      </w:pPr>
      <w:bookmarkStart w:id="670" w:name="_Toc115454104"/>
      <w:bookmarkStart w:id="671" w:name="_Toc121390985"/>
      <w:bookmarkStart w:id="672" w:name="_Ref122366382"/>
      <w:bookmarkStart w:id="673" w:name="_Toc138341877"/>
      <w:r w:rsidRPr="00364545">
        <w:t>Mobilising financial resources from multilateral sources</w:t>
      </w:r>
      <w:bookmarkEnd w:id="670"/>
      <w:bookmarkEnd w:id="671"/>
      <w:bookmarkEnd w:id="672"/>
      <w:bookmarkEnd w:id="673"/>
    </w:p>
    <w:p w14:paraId="15BFE619" w14:textId="6A4D1FF0" w:rsidR="005731A1" w:rsidRPr="005731A1" w:rsidRDefault="005731A1" w:rsidP="005731A1">
      <w:pPr>
        <w:spacing w:before="240" w:after="240"/>
        <w:rPr>
          <w:lang w:val="fr-FR"/>
        </w:rPr>
      </w:pPr>
      <w:r w:rsidRPr="005731A1">
        <w:rPr>
          <w:lang w:val="fr-FR"/>
        </w:rPr>
        <w:t>For multilateral flows, France reports only the climate-relevant share on contributions to several concessionary financing instruments: IDA, the African Development Fund, the Asian Development Fund and IFAD. France considers its core contribution to the funds or to the concessionary arms of the multilateral development banks and multiplies it by the average imputed multilateral shares, based on the adjusted shares communicated to the OECD (</w:t>
      </w:r>
      <w:hyperlink r:id="rId130" w:history="1">
        <w:r w:rsidRPr="005731A1">
          <w:rPr>
            <w:rStyle w:val="Hyperlink"/>
            <w:lang w:val="fr-FR"/>
          </w:rPr>
          <w:t>http://www.oecd.org/dac/financing-sustainable-development/development-finance-topics/climate-change.htm</w:t>
        </w:r>
      </w:hyperlink>
      <w:r>
        <w:rPr>
          <w:lang w:val="fr-FR"/>
        </w:rPr>
        <w:t xml:space="preserve">). The </w:t>
      </w:r>
      <w:r w:rsidRPr="005731A1">
        <w:rPr>
          <w:lang w:val="fr-FR"/>
        </w:rPr>
        <w:t>mitigation-adaptation split are taken from the input provided by the MDBs and Funds, per our request.</w:t>
      </w:r>
    </w:p>
    <w:p w14:paraId="6F4C31BA" w14:textId="77777777" w:rsidR="00880CF0" w:rsidRPr="00364545" w:rsidRDefault="00880CF0" w:rsidP="00880CF0">
      <w:pPr>
        <w:spacing w:before="240" w:after="240"/>
        <w:rPr>
          <w:szCs w:val="22"/>
        </w:rPr>
      </w:pPr>
      <w:r w:rsidRPr="00364545">
        <w:t>With a contribution of €13 billion ($15.5 billion) in 2021, France ranks fifth among the G7 countries in terms of official development assistance as a proportion of gross national income. It considers that the multilateral system must be an exemplary driving force in combating climate change, with the particular aim of supporting the implementation of nationally-determined contributions by developing countries that have signed the Paris Agreement. In this respect, France is one of the main contributors to multilateral financial institutions and funds dedicated to the climate.</w:t>
      </w:r>
    </w:p>
    <w:p w14:paraId="2666EB62" w14:textId="56FBBAB1" w:rsidR="0027680A" w:rsidRPr="00364545" w:rsidRDefault="00880CF0" w:rsidP="008F3051">
      <w:pPr>
        <w:spacing w:before="240" w:after="240"/>
        <w:rPr>
          <w:rFonts w:eastAsiaTheme="minorHAnsi"/>
          <w:b/>
          <w:color w:val="000000"/>
          <w:highlight w:val="cyan"/>
        </w:rPr>
      </w:pPr>
      <w:r w:rsidRPr="00364545">
        <w:rPr>
          <w:color w:val="000000"/>
        </w:rPr>
        <w:t xml:space="preserve">A significant part of France’s action is dedicated to its participation in development banks and multilateral development funds, such as the International Development Association (IDA), the World Bank concessional window, the African Development Fund (FAD), the African Development Bank concessional window and the International Fund for Agricultural Development (IFAD). These banks and funds devote part of their resources to combating the effects of climate change. France accounts for the “climate” share attributable to its contribution to these concessional funds. </w:t>
      </w:r>
      <w:r w:rsidRPr="00364545">
        <w:rPr>
          <w:b/>
          <w:color w:val="000000"/>
        </w:rPr>
        <w:t xml:space="preserve">In 2018, the “climate” share of disbursements in these institutions was estimated at €372m. </w:t>
      </w:r>
      <w:bookmarkStart w:id="674" w:name="_Toc121431069"/>
      <w:bookmarkStart w:id="675" w:name="_Toc121431406"/>
      <w:bookmarkStart w:id="676" w:name="_Toc121431567"/>
      <w:bookmarkStart w:id="677" w:name="_Toc121431729"/>
      <w:bookmarkStart w:id="678" w:name="_Toc121431892"/>
      <w:bookmarkStart w:id="679" w:name="_Toc121432054"/>
      <w:bookmarkStart w:id="680" w:name="_Toc115454105"/>
      <w:bookmarkStart w:id="681" w:name="_Toc121390986"/>
      <w:bookmarkEnd w:id="674"/>
      <w:bookmarkEnd w:id="675"/>
      <w:bookmarkEnd w:id="676"/>
      <w:bookmarkEnd w:id="677"/>
      <w:bookmarkEnd w:id="678"/>
      <w:bookmarkEnd w:id="679"/>
    </w:p>
    <w:p w14:paraId="3A1D5C3C" w14:textId="78E28DCD" w:rsidR="00880CF0" w:rsidRPr="00364545" w:rsidRDefault="00880CF0" w:rsidP="00E524AF">
      <w:pPr>
        <w:pStyle w:val="Titre3Niveau3"/>
      </w:pPr>
      <w:bookmarkStart w:id="682" w:name="_Toc138341878"/>
      <w:r w:rsidRPr="00364545">
        <w:t>Contribution to the Green Climate Fund</w:t>
      </w:r>
      <w:bookmarkEnd w:id="680"/>
      <w:bookmarkEnd w:id="681"/>
      <w:bookmarkEnd w:id="682"/>
    </w:p>
    <w:p w14:paraId="5182014F" w14:textId="77777777" w:rsidR="0092053B" w:rsidRPr="00364545" w:rsidRDefault="0092053B" w:rsidP="0092053B">
      <w:pPr>
        <w:spacing w:before="240" w:after="240"/>
      </w:pPr>
      <w:r w:rsidRPr="00364545">
        <w:t xml:space="preserve">The Green Climate Fund, agreed at the 2009 Copenhagen Summit, was intended to become the main multilateral fund dedicated to financing mitigation and adaptation in developing countries towards low-carbon and resilient economies. Its initial capitalisation was $10.3 billion USD. It aims for a balanced distribution between mitigation and adaptation and a minimum allocation of 50% of its resources to adaptation for least-developed countries, African states and small island developing states. </w:t>
      </w:r>
    </w:p>
    <w:p w14:paraId="037924B2" w14:textId="77777777" w:rsidR="0092053B" w:rsidRPr="00364545" w:rsidRDefault="0092053B" w:rsidP="0092053B">
      <w:pPr>
        <w:spacing w:before="240" w:after="240"/>
      </w:pPr>
      <w:r w:rsidRPr="00364545">
        <w:t>By August 2022, the GCF had approved 200 projects in 117 developing countries with a total commitment of $10.8 billion USD (excluding co-financing), through a range of financial instruments (grants, loans, equity, guarantees). The co-financing associated with these projects amounted to approximately $30.6 billion USD. These projects are estimated to have reduced more than 2.1 billion tonnes of CO2 and to have had a direct impact on 637 million beneficiaries.</w:t>
      </w:r>
    </w:p>
    <w:p w14:paraId="598170D7" w14:textId="77777777" w:rsidR="0092053B" w:rsidRPr="00364545" w:rsidRDefault="0092053B" w:rsidP="0092053B">
      <w:pPr>
        <w:spacing w:before="240" w:after="240"/>
      </w:pPr>
      <w:r w:rsidRPr="00364545">
        <w:t>In terms of geographical distribution, Africa accounts for 81 projects, Asia-Pacific for 83 projects and Latin America and the Caribbean for 50 projects. In terms of targets, 66% of approved project funding is for mitigation projects and 34% for adaptation projects (in nominal terms). As of 31 July 2022, the public sector is financing 65% of the projects ($7bn USD) and the private sector 35% ($3.7bn USD).</w:t>
      </w:r>
    </w:p>
    <w:p w14:paraId="55D2E070" w14:textId="77777777" w:rsidR="0092053B" w:rsidRPr="00364545" w:rsidRDefault="0092053B" w:rsidP="0092053B">
      <w:pPr>
        <w:spacing w:before="240" w:after="240"/>
      </w:pPr>
      <w:r w:rsidRPr="00364545">
        <w:t>France contributed € 1.5 billion (US $ 1.7 billion) during the last replenishment of the Green Climate Fund over the period 2019-2023. This strong commitment, which represents a significant budgetary effort, makes France the third largest contributor (in terms of grant element</w:t>
      </w:r>
      <w:r w:rsidRPr="00364545">
        <w:rPr>
          <w:vertAlign w:val="superscript"/>
        </w:rPr>
        <w:footnoteReference w:id="76"/>
      </w:r>
      <w:r w:rsidRPr="00364545">
        <w:t>) to the replenishment behind the United Kingdom and Germany, and the fourth largest historical contributor behind these countries and Japan. This contribution was made mainly in the form of a grant (80%), with the remaining 20% was provided in the form of a very concessional loan (zero interest rate, 25-year maturity). This contribution was in addition to the first contribution made by France at the time of the initial mobilisation of resources, amounting to €774m, the payment of which was completed in 2018. A negotiation period for the next replenishment covering the period 2023–2025 started in the summer of 2022 and will end in October 2023 when the contributions will be announced.</w:t>
      </w:r>
    </w:p>
    <w:p w14:paraId="70458F46" w14:textId="0C446175" w:rsidR="00880CF0" w:rsidRPr="00364545" w:rsidRDefault="0092053B" w:rsidP="0092053B">
      <w:pPr>
        <w:rPr>
          <w:b/>
        </w:rPr>
      </w:pPr>
      <w:r w:rsidRPr="00364545">
        <w:rPr>
          <w:b/>
        </w:rPr>
        <w:t>The Green Climate Fund aims to achieve a balance between financing for climate change mitigation and adaptation. At the end of 2022, 51% of the fund's commitments were for mitigation projects, compared to 49</w:t>
      </w:r>
      <w:r w:rsidRPr="00364545">
        <w:rPr>
          <w:rFonts w:ascii="Calibri" w:hAnsi="Calibri"/>
          <w:b/>
        </w:rPr>
        <w:t xml:space="preserve"> </w:t>
      </w:r>
      <w:r w:rsidRPr="00364545">
        <w:rPr>
          <w:b/>
        </w:rPr>
        <w:t>% for adaptation (in grant equivalent).</w:t>
      </w:r>
    </w:p>
    <w:p w14:paraId="37966817" w14:textId="77777777" w:rsidR="00880CF0" w:rsidRPr="00364545" w:rsidRDefault="00880CF0" w:rsidP="00E524AF">
      <w:pPr>
        <w:pStyle w:val="Titre3Niveau3"/>
      </w:pPr>
      <w:bookmarkStart w:id="683" w:name="_Toc115454106"/>
      <w:bookmarkStart w:id="684" w:name="_Toc121390987"/>
      <w:bookmarkStart w:id="685" w:name="_Toc138341879"/>
      <w:r w:rsidRPr="00364545">
        <w:t>Contribution to the Global Environment Facility</w:t>
      </w:r>
      <w:bookmarkEnd w:id="683"/>
      <w:bookmarkEnd w:id="684"/>
      <w:bookmarkEnd w:id="685"/>
    </w:p>
    <w:p w14:paraId="20241758" w14:textId="77777777" w:rsidR="00880CF0" w:rsidRPr="00364545" w:rsidRDefault="00880CF0" w:rsidP="00880CF0">
      <w:pPr>
        <w:spacing w:before="240" w:after="240"/>
      </w:pPr>
      <w:r w:rsidRPr="00364545">
        <w:t xml:space="preserve">Created in 1991, the Global Environment Facility (GEF), of which France was one of the main promoters alongside Germany, is one of the major multilateral instruments for preserving the global environment. In addition to reducing greenhouse gas emissions, this fund intervenes in the areas of biodiversity protection, protection of international waters, combating ozone layer depletion, soil degradation and persistent organic pollutants. </w:t>
      </w:r>
    </w:p>
    <w:p w14:paraId="23A04E68" w14:textId="77777777" w:rsidR="00880CF0" w:rsidRPr="00364545" w:rsidRDefault="00880CF0" w:rsidP="00880CF0">
      <w:pPr>
        <w:spacing w:before="240" w:after="240"/>
      </w:pPr>
      <w:r w:rsidRPr="00364545">
        <w:t xml:space="preserve">The GEF is the financial mechanism for five conventions: </w:t>
      </w:r>
    </w:p>
    <w:p w14:paraId="57ECB18A" w14:textId="77777777" w:rsidR="00880CF0" w:rsidRPr="00364545" w:rsidRDefault="00880CF0" w:rsidP="00BE086C">
      <w:pPr>
        <w:pStyle w:val="ListParagraph"/>
        <w:numPr>
          <w:ilvl w:val="0"/>
          <w:numId w:val="48"/>
        </w:numPr>
        <w:spacing w:before="240" w:after="240"/>
      </w:pPr>
      <w:r w:rsidRPr="00364545">
        <w:t xml:space="preserve">Convention on Biological Diversity (CBD); </w:t>
      </w:r>
    </w:p>
    <w:p w14:paraId="2E63D918" w14:textId="77777777" w:rsidR="00880CF0" w:rsidRPr="00364545" w:rsidRDefault="00880CF0" w:rsidP="00BE086C">
      <w:pPr>
        <w:pStyle w:val="ListParagraph"/>
        <w:numPr>
          <w:ilvl w:val="0"/>
          <w:numId w:val="48"/>
        </w:numPr>
        <w:spacing w:before="240" w:after="240"/>
      </w:pPr>
      <w:r w:rsidRPr="00364545">
        <w:t xml:space="preserve">United Nations Framework Convention on Climate Change (UNFCCC); </w:t>
      </w:r>
    </w:p>
    <w:p w14:paraId="478C3F04" w14:textId="77777777" w:rsidR="00880CF0" w:rsidRPr="00364545" w:rsidRDefault="00880CF0" w:rsidP="00BE086C">
      <w:pPr>
        <w:pStyle w:val="ListParagraph"/>
        <w:numPr>
          <w:ilvl w:val="0"/>
          <w:numId w:val="48"/>
        </w:numPr>
        <w:spacing w:before="240" w:after="240"/>
      </w:pPr>
      <w:r w:rsidRPr="00364545">
        <w:t xml:space="preserve">Stockholm Convention on Persistent Organic Pollutants (POPs); </w:t>
      </w:r>
    </w:p>
    <w:p w14:paraId="6A5A595D" w14:textId="77777777" w:rsidR="00880CF0" w:rsidRPr="00364545" w:rsidRDefault="00880CF0" w:rsidP="00BE086C">
      <w:pPr>
        <w:pStyle w:val="ListParagraph"/>
        <w:numPr>
          <w:ilvl w:val="0"/>
          <w:numId w:val="48"/>
        </w:numPr>
        <w:spacing w:before="240" w:after="240"/>
      </w:pPr>
      <w:r w:rsidRPr="00364545">
        <w:t xml:space="preserve">United Nations Convention to Combat Desertification (UNCCD); </w:t>
      </w:r>
    </w:p>
    <w:p w14:paraId="2723279E" w14:textId="77777777" w:rsidR="00880CF0" w:rsidRPr="00364545" w:rsidRDefault="00880CF0" w:rsidP="00BE086C">
      <w:pPr>
        <w:pStyle w:val="ListParagraph"/>
        <w:numPr>
          <w:ilvl w:val="0"/>
          <w:numId w:val="48"/>
        </w:numPr>
        <w:spacing w:before="240" w:after="240"/>
      </w:pPr>
      <w:r w:rsidRPr="00364545">
        <w:t xml:space="preserve">Minamata Convention on Mercury. </w:t>
      </w:r>
    </w:p>
    <w:p w14:paraId="0AB3A248" w14:textId="77777777" w:rsidR="00880CF0" w:rsidRPr="00364545" w:rsidRDefault="00880CF0" w:rsidP="00880CF0">
      <w:pPr>
        <w:spacing w:before="240" w:after="240"/>
      </w:pPr>
      <w:r w:rsidRPr="00364545">
        <w:t>The 8</w:t>
      </w:r>
      <w:r w:rsidRPr="00364545">
        <w:rPr>
          <w:vertAlign w:val="superscript"/>
        </w:rPr>
        <w:t>th</w:t>
      </w:r>
      <w:r w:rsidRPr="00364545">
        <w:t xml:space="preserve"> replenishment of the GEF concluded on 8 April 2022 with all contributors agreeing to a total of $5.25</w:t>
      </w:r>
      <w:r w:rsidRPr="00364545">
        <w:rPr>
          <w:rFonts w:ascii="Calibri" w:hAnsi="Calibri"/>
        </w:rPr>
        <w:t> </w:t>
      </w:r>
      <w:r w:rsidRPr="00364545">
        <w:t>billion in resources being mobilised for the next four years. This represents an all-time high for the GEF, which raised $4.1</w:t>
      </w:r>
      <w:r w:rsidRPr="00364545">
        <w:rPr>
          <w:rFonts w:ascii="Calibri" w:hAnsi="Calibri"/>
        </w:rPr>
        <w:t> </w:t>
      </w:r>
      <w:r w:rsidRPr="00364545">
        <w:t>billion in the previous replenishment in 2018.</w:t>
      </w:r>
    </w:p>
    <w:p w14:paraId="28655B61" w14:textId="77777777" w:rsidR="00880CF0" w:rsidRPr="00364545" w:rsidRDefault="00880CF0" w:rsidP="00880CF0">
      <w:pPr>
        <w:spacing w:before="240" w:after="240"/>
      </w:pPr>
      <w:r w:rsidRPr="00364545">
        <w:t>France, an historic contributor for over 30 years, has taken part fully in this effort by the international community, by making a record contribution of $360 million, an increase of almost 40% in euros compared to its contribution to the previous replenishment.</w:t>
      </w:r>
    </w:p>
    <w:p w14:paraId="536F6D0E" w14:textId="77777777" w:rsidR="00880CF0" w:rsidRPr="00364545" w:rsidRDefault="00880CF0" w:rsidP="00880CF0">
      <w:pPr>
        <w:spacing w:before="240" w:after="240"/>
      </w:pPr>
      <w:r w:rsidRPr="00364545">
        <w:t>The resources mobilised will be used to finance climate and environmental projects in developing countries, particularly the least developed countries and small island developing states.</w:t>
      </w:r>
    </w:p>
    <w:p w14:paraId="74B7A399" w14:textId="77777777" w:rsidR="00880CF0" w:rsidRPr="00364545" w:rsidRDefault="00880CF0" w:rsidP="00E524AF">
      <w:pPr>
        <w:pStyle w:val="Titre3Niveau3"/>
      </w:pPr>
      <w:bookmarkStart w:id="686" w:name="_Toc115454107"/>
      <w:bookmarkStart w:id="687" w:name="_Toc121390988"/>
      <w:bookmarkStart w:id="688" w:name="_Toc138341880"/>
      <w:r w:rsidRPr="00364545">
        <w:t>Contribution to the Least Developed Countries Fund</w:t>
      </w:r>
      <w:bookmarkEnd w:id="686"/>
      <w:bookmarkEnd w:id="687"/>
      <w:bookmarkEnd w:id="688"/>
    </w:p>
    <w:p w14:paraId="440C2BE7" w14:textId="7AC61A8A" w:rsidR="00880CF0" w:rsidRPr="00364545" w:rsidRDefault="00880CF0" w:rsidP="00880CF0">
      <w:pPr>
        <w:spacing w:before="240" w:after="240"/>
      </w:pPr>
      <w:r w:rsidRPr="00364545">
        <w:t xml:space="preserve">The Least Developed Countries Fund (LDCF) is dedicated to adaptation and technology transfer in developing countries, hosted and managed by the GEF. France contributed € 15 million in donations in 2016, </w:t>
      </w:r>
      <w:r w:rsidRPr="00364545">
        <w:rPr>
          <w:b/>
        </w:rPr>
        <w:t>€ 10 million in 2017, € 7.5 million in 2018, and € 20 million in 2021 (announced at COP26). France contributed € 15</w:t>
      </w:r>
      <w:r w:rsidRPr="00364545">
        <w:rPr>
          <w:rFonts w:ascii="Calibri" w:hAnsi="Calibri"/>
          <w:b/>
        </w:rPr>
        <w:t xml:space="preserve"> </w:t>
      </w:r>
      <w:r w:rsidRPr="00364545">
        <w:rPr>
          <w:b/>
        </w:rPr>
        <w:t xml:space="preserve">million to the Adaptation Fund in 2018 </w:t>
      </w:r>
      <w:r w:rsidRPr="00364545">
        <w:t>(announced at COP24) and announced a fresh € 10 million contribution to the Adaptation Fund at COP27.</w:t>
      </w:r>
    </w:p>
    <w:p w14:paraId="21FD188F" w14:textId="6E640D11" w:rsidR="00880CF0" w:rsidRPr="00364545" w:rsidRDefault="00880CF0" w:rsidP="00880CF0">
      <w:pPr>
        <w:spacing w:before="240" w:after="240"/>
      </w:pPr>
      <w:r w:rsidRPr="00364545">
        <w:t>The funding tables for Sections 1 and 2 are presented in the appendix to the Biennial Report. The table below summarises France's commitments in the various multilateral funds.</w:t>
      </w:r>
    </w:p>
    <w:tbl>
      <w:tblPr>
        <w:tblStyle w:val="GridTable4-Accent4"/>
        <w:tblW w:w="0" w:type="auto"/>
        <w:tblLook w:val="04A0" w:firstRow="1" w:lastRow="0" w:firstColumn="1" w:lastColumn="0" w:noHBand="0" w:noVBand="1"/>
      </w:tblPr>
      <w:tblGrid>
        <w:gridCol w:w="2627"/>
        <w:gridCol w:w="2288"/>
        <w:gridCol w:w="2239"/>
        <w:gridCol w:w="2219"/>
      </w:tblGrid>
      <w:tr w:rsidR="0092053B" w:rsidRPr="00364545" w14:paraId="386BA676" w14:textId="77777777" w:rsidTr="00BF3A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7" w:type="dxa"/>
          </w:tcPr>
          <w:p w14:paraId="3043A7B6" w14:textId="77777777" w:rsidR="0092053B" w:rsidRPr="00364545" w:rsidRDefault="0092053B" w:rsidP="00EF6DB6">
            <w:pPr>
              <w:pStyle w:val="Textedesaisie"/>
              <w:ind w:left="0"/>
              <w:jc w:val="center"/>
              <w:rPr>
                <w:b w:val="0"/>
              </w:rPr>
            </w:pPr>
            <w:r w:rsidRPr="00364545">
              <w:t>Climate/Environment Fund</w:t>
            </w:r>
          </w:p>
        </w:tc>
        <w:tc>
          <w:tcPr>
            <w:tcW w:w="2288" w:type="dxa"/>
          </w:tcPr>
          <w:p w14:paraId="2E85B1DB" w14:textId="77777777" w:rsidR="0092053B" w:rsidRPr="00364545" w:rsidRDefault="0092053B" w:rsidP="00EF6DB6">
            <w:pPr>
              <w:pStyle w:val="Textedesaisie"/>
              <w:ind w:left="0"/>
              <w:jc w:val="center"/>
              <w:cnfStyle w:val="100000000000" w:firstRow="1" w:lastRow="0" w:firstColumn="0" w:lastColumn="0" w:oddVBand="0" w:evenVBand="0" w:oddHBand="0" w:evenHBand="0" w:firstRowFirstColumn="0" w:firstRowLastColumn="0" w:lastRowFirstColumn="0" w:lastRowLastColumn="0"/>
              <w:rPr>
                <w:b w:val="0"/>
              </w:rPr>
            </w:pPr>
            <w:r w:rsidRPr="00364545">
              <w:t>Amount of France's latest contribution</w:t>
            </w:r>
          </w:p>
        </w:tc>
        <w:tc>
          <w:tcPr>
            <w:tcW w:w="2239" w:type="dxa"/>
          </w:tcPr>
          <w:p w14:paraId="5A04F600" w14:textId="77777777" w:rsidR="0092053B" w:rsidRPr="00364545" w:rsidRDefault="0092053B" w:rsidP="00EF6DB6">
            <w:pPr>
              <w:pStyle w:val="Textedesaisie"/>
              <w:ind w:left="0"/>
              <w:jc w:val="center"/>
              <w:cnfStyle w:val="100000000000" w:firstRow="1" w:lastRow="0" w:firstColumn="0" w:lastColumn="0" w:oddVBand="0" w:evenVBand="0" w:oddHBand="0" w:evenHBand="0" w:firstRowFirstColumn="0" w:firstRowLastColumn="0" w:lastRowFirstColumn="0" w:lastRowLastColumn="0"/>
              <w:rPr>
                <w:b w:val="0"/>
              </w:rPr>
            </w:pPr>
            <w:r w:rsidRPr="00364545">
              <w:t>Period concerned</w:t>
            </w:r>
          </w:p>
        </w:tc>
        <w:tc>
          <w:tcPr>
            <w:tcW w:w="2219" w:type="dxa"/>
          </w:tcPr>
          <w:p w14:paraId="0B5E36DE" w14:textId="77777777" w:rsidR="0092053B" w:rsidRPr="00364545" w:rsidRDefault="0092053B" w:rsidP="00EF6DB6">
            <w:pPr>
              <w:pStyle w:val="Textedesaisie"/>
              <w:ind w:left="0"/>
              <w:jc w:val="center"/>
              <w:cnfStyle w:val="100000000000" w:firstRow="1" w:lastRow="0" w:firstColumn="0" w:lastColumn="0" w:oddVBand="0" w:evenVBand="0" w:oddHBand="0" w:evenHBand="0" w:firstRowFirstColumn="0" w:firstRowLastColumn="0" w:lastRowFirstColumn="0" w:lastRowLastColumn="0"/>
              <w:rPr>
                <w:b w:val="0"/>
              </w:rPr>
            </w:pPr>
            <w:r w:rsidRPr="00364545">
              <w:t>Pledge Announcement Date</w:t>
            </w:r>
          </w:p>
        </w:tc>
      </w:tr>
      <w:tr w:rsidR="0092053B" w:rsidRPr="00364545" w14:paraId="6C0A6A3B" w14:textId="77777777" w:rsidTr="00BF3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7" w:type="dxa"/>
          </w:tcPr>
          <w:p w14:paraId="14DDBF1B" w14:textId="77777777" w:rsidR="0092053B" w:rsidRPr="00364545" w:rsidRDefault="0092053B" w:rsidP="00EF6DB6">
            <w:pPr>
              <w:pStyle w:val="Textedesaisie"/>
              <w:ind w:left="0"/>
              <w:rPr>
                <w:b w:val="0"/>
              </w:rPr>
            </w:pPr>
            <w:r w:rsidRPr="00364545">
              <w:t>Green Climate Fund</w:t>
            </w:r>
          </w:p>
        </w:tc>
        <w:tc>
          <w:tcPr>
            <w:tcW w:w="2288" w:type="dxa"/>
          </w:tcPr>
          <w:p w14:paraId="19F9382B" w14:textId="77777777" w:rsidR="0092053B" w:rsidRPr="00364545"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rsidRPr="00364545">
              <w:t xml:space="preserve"> EUR 1.5 billion</w:t>
            </w:r>
          </w:p>
        </w:tc>
        <w:tc>
          <w:tcPr>
            <w:tcW w:w="2239" w:type="dxa"/>
          </w:tcPr>
          <w:p w14:paraId="08EC766F" w14:textId="77777777" w:rsidR="0092053B" w:rsidRPr="00364545"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rsidRPr="00364545">
              <w:t xml:space="preserve"> 2019 – 2023</w:t>
            </w:r>
          </w:p>
        </w:tc>
        <w:tc>
          <w:tcPr>
            <w:tcW w:w="2219" w:type="dxa"/>
          </w:tcPr>
          <w:p w14:paraId="72882543" w14:textId="77777777" w:rsidR="0092053B" w:rsidRPr="00364545"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rsidRPr="00364545">
              <w:t>Oct. 2019</w:t>
            </w:r>
          </w:p>
        </w:tc>
      </w:tr>
      <w:tr w:rsidR="0092053B" w:rsidRPr="00364545" w14:paraId="084A5982" w14:textId="77777777" w:rsidTr="00BF3A34">
        <w:tc>
          <w:tcPr>
            <w:cnfStyle w:val="001000000000" w:firstRow="0" w:lastRow="0" w:firstColumn="1" w:lastColumn="0" w:oddVBand="0" w:evenVBand="0" w:oddHBand="0" w:evenHBand="0" w:firstRowFirstColumn="0" w:firstRowLastColumn="0" w:lastRowFirstColumn="0" w:lastRowLastColumn="0"/>
            <w:tcW w:w="2627" w:type="dxa"/>
          </w:tcPr>
          <w:p w14:paraId="669A530A" w14:textId="77777777" w:rsidR="0092053B" w:rsidRPr="00364545" w:rsidRDefault="0092053B" w:rsidP="00EF6DB6">
            <w:pPr>
              <w:pStyle w:val="Textedesaisie"/>
              <w:ind w:left="0"/>
              <w:rPr>
                <w:b w:val="0"/>
              </w:rPr>
            </w:pPr>
            <w:r w:rsidRPr="00364545">
              <w:t>Global Environment Facility</w:t>
            </w:r>
          </w:p>
        </w:tc>
        <w:tc>
          <w:tcPr>
            <w:tcW w:w="2288" w:type="dxa"/>
          </w:tcPr>
          <w:p w14:paraId="49709F58" w14:textId="77777777" w:rsidR="0092053B" w:rsidRPr="00364545"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rsidRPr="00364545">
              <w:t xml:space="preserve"> EUR 300 million</w:t>
            </w:r>
          </w:p>
        </w:tc>
        <w:tc>
          <w:tcPr>
            <w:tcW w:w="2239" w:type="dxa"/>
          </w:tcPr>
          <w:p w14:paraId="009DBE5A" w14:textId="77777777" w:rsidR="0092053B" w:rsidRPr="00364545"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rsidRPr="00364545">
              <w:t xml:space="preserve"> 2022 – 2025</w:t>
            </w:r>
          </w:p>
        </w:tc>
        <w:tc>
          <w:tcPr>
            <w:tcW w:w="2219" w:type="dxa"/>
          </w:tcPr>
          <w:p w14:paraId="3E9C2BD5" w14:textId="77777777" w:rsidR="0092053B" w:rsidRPr="00364545"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rsidRPr="00364545">
              <w:t>April 2022</w:t>
            </w:r>
          </w:p>
        </w:tc>
      </w:tr>
      <w:tr w:rsidR="0092053B" w:rsidRPr="00364545" w14:paraId="06E534B0" w14:textId="77777777" w:rsidTr="00BF3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7" w:type="dxa"/>
          </w:tcPr>
          <w:p w14:paraId="275887FA" w14:textId="77777777" w:rsidR="0092053B" w:rsidRPr="00364545" w:rsidRDefault="0092053B" w:rsidP="00EF6DB6">
            <w:pPr>
              <w:pStyle w:val="Textedesaisie"/>
              <w:ind w:left="0"/>
              <w:rPr>
                <w:b w:val="0"/>
              </w:rPr>
            </w:pPr>
            <w:r w:rsidRPr="00364545">
              <w:t>Least Developed Countries Fund</w:t>
            </w:r>
          </w:p>
        </w:tc>
        <w:tc>
          <w:tcPr>
            <w:tcW w:w="2288" w:type="dxa"/>
          </w:tcPr>
          <w:p w14:paraId="0A653AB2" w14:textId="77777777" w:rsidR="0092053B" w:rsidRPr="00364545"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rsidRPr="00364545">
              <w:t>EUR 20 million</w:t>
            </w:r>
          </w:p>
        </w:tc>
        <w:tc>
          <w:tcPr>
            <w:tcW w:w="2239" w:type="dxa"/>
          </w:tcPr>
          <w:p w14:paraId="68896CF8" w14:textId="77777777" w:rsidR="0092053B" w:rsidRPr="00364545"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rsidRPr="00364545">
              <w:t>2022 – 2023</w:t>
            </w:r>
          </w:p>
        </w:tc>
        <w:tc>
          <w:tcPr>
            <w:tcW w:w="2219" w:type="dxa"/>
          </w:tcPr>
          <w:p w14:paraId="7B2649AC" w14:textId="77777777" w:rsidR="0092053B" w:rsidRPr="00364545"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rsidRPr="00364545">
              <w:t>COP26</w:t>
            </w:r>
          </w:p>
        </w:tc>
      </w:tr>
      <w:tr w:rsidR="0092053B" w:rsidRPr="00364545" w14:paraId="72360AA9" w14:textId="77777777" w:rsidTr="00BF3A34">
        <w:tc>
          <w:tcPr>
            <w:cnfStyle w:val="001000000000" w:firstRow="0" w:lastRow="0" w:firstColumn="1" w:lastColumn="0" w:oddVBand="0" w:evenVBand="0" w:oddHBand="0" w:evenHBand="0" w:firstRowFirstColumn="0" w:firstRowLastColumn="0" w:lastRowFirstColumn="0" w:lastRowLastColumn="0"/>
            <w:tcW w:w="2627" w:type="dxa"/>
          </w:tcPr>
          <w:p w14:paraId="2222F851" w14:textId="77777777" w:rsidR="0092053B" w:rsidRPr="00364545" w:rsidRDefault="0092053B" w:rsidP="00EF6DB6">
            <w:pPr>
              <w:pStyle w:val="Textedesaisie"/>
              <w:ind w:left="0"/>
              <w:rPr>
                <w:b w:val="0"/>
              </w:rPr>
            </w:pPr>
            <w:r w:rsidRPr="00364545">
              <w:t>Adaptation Fund</w:t>
            </w:r>
          </w:p>
        </w:tc>
        <w:tc>
          <w:tcPr>
            <w:tcW w:w="2288" w:type="dxa"/>
          </w:tcPr>
          <w:p w14:paraId="329CEDA1" w14:textId="77777777" w:rsidR="0092053B" w:rsidRPr="00364545"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rsidRPr="00364545">
              <w:t>EUR 10 million</w:t>
            </w:r>
          </w:p>
        </w:tc>
        <w:tc>
          <w:tcPr>
            <w:tcW w:w="2239" w:type="dxa"/>
          </w:tcPr>
          <w:p w14:paraId="495507CA" w14:textId="77777777" w:rsidR="0092053B" w:rsidRPr="00364545"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rsidRPr="00364545">
              <w:t>2022 – 2023</w:t>
            </w:r>
          </w:p>
        </w:tc>
        <w:tc>
          <w:tcPr>
            <w:tcW w:w="2219" w:type="dxa"/>
          </w:tcPr>
          <w:p w14:paraId="5E18A31A" w14:textId="77777777" w:rsidR="0092053B" w:rsidRPr="00364545"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rsidRPr="00364545">
              <w:t>COP27</w:t>
            </w:r>
          </w:p>
        </w:tc>
      </w:tr>
    </w:tbl>
    <w:p w14:paraId="294F5F8B" w14:textId="77777777" w:rsidR="0092053B" w:rsidRPr="00364545" w:rsidRDefault="0092053B" w:rsidP="00880CF0">
      <w:pPr>
        <w:spacing w:before="240" w:after="240"/>
      </w:pPr>
    </w:p>
    <w:p w14:paraId="05A3DF0C" w14:textId="77777777" w:rsidR="00880CF0" w:rsidRPr="00364545" w:rsidRDefault="00880CF0" w:rsidP="00E524AF">
      <w:pPr>
        <w:pStyle w:val="Titre2Niveau2"/>
      </w:pPr>
      <w:bookmarkStart w:id="689" w:name="_Toc115454108"/>
      <w:bookmarkStart w:id="690" w:name="_Toc121390989"/>
      <w:bookmarkStart w:id="691" w:name="_Toc138341881"/>
      <w:r w:rsidRPr="00364545">
        <w:t>Technological cooperation</w:t>
      </w:r>
      <w:bookmarkEnd w:id="689"/>
      <w:bookmarkEnd w:id="690"/>
      <w:bookmarkEnd w:id="691"/>
    </w:p>
    <w:p w14:paraId="192D8D1F" w14:textId="30332DB6" w:rsidR="0027680A" w:rsidRPr="00364545" w:rsidRDefault="00880CF0" w:rsidP="008F3051">
      <w:r w:rsidRPr="00364545">
        <w:t>France’s actions in terms of technological cooperation are already presented in Chapter 15: “Information on minimising adverse effects on developing countries of policies and measures implemented by France (Article 3.14)” of the French annual GHG inventory report for the UNFCCC (NIR). Additional information is provided below.</w:t>
      </w:r>
      <w:bookmarkStart w:id="692" w:name="_Toc121431074"/>
      <w:bookmarkStart w:id="693" w:name="_Toc121431411"/>
      <w:bookmarkStart w:id="694" w:name="_Toc121431572"/>
      <w:bookmarkStart w:id="695" w:name="_Toc121431734"/>
      <w:bookmarkStart w:id="696" w:name="_Toc121431897"/>
      <w:bookmarkStart w:id="697" w:name="_Toc121432059"/>
      <w:bookmarkEnd w:id="692"/>
      <w:bookmarkEnd w:id="693"/>
      <w:bookmarkEnd w:id="694"/>
      <w:bookmarkEnd w:id="695"/>
      <w:bookmarkEnd w:id="696"/>
      <w:bookmarkEnd w:id="697"/>
    </w:p>
    <w:p w14:paraId="62F3C241" w14:textId="0145A5BD" w:rsidR="00880CF0" w:rsidRPr="00364545" w:rsidRDefault="00880CF0" w:rsidP="00E524AF">
      <w:pPr>
        <w:pStyle w:val="Titre3Niveau3"/>
      </w:pPr>
      <w:bookmarkStart w:id="698" w:name="_Toc138341882"/>
      <w:r w:rsidRPr="00364545">
        <w:t>ADEME’s role</w:t>
      </w:r>
      <w:bookmarkEnd w:id="698"/>
    </w:p>
    <w:p w14:paraId="3C7021F0" w14:textId="77777777" w:rsidR="00880CF0" w:rsidRPr="00364545" w:rsidRDefault="00880CF0" w:rsidP="00880CF0">
      <w:r w:rsidRPr="00364545">
        <w:t>At national level, ADEME has supported the development and deployment of new climate technologies, thanks to its annual budget allocation, the Programme d'Investissements d'Avenir (Investment Programme for the Future), and more recently the French Economic Recovery Plan (2020-2022).</w:t>
      </w:r>
    </w:p>
    <w:p w14:paraId="34D2C45D" w14:textId="77777777" w:rsidR="00880CF0" w:rsidRPr="00364545" w:rsidRDefault="00880CF0" w:rsidP="00880CF0"/>
    <w:p w14:paraId="14C3E4E7" w14:textId="77777777" w:rsidR="00880CF0" w:rsidRPr="00364545" w:rsidRDefault="00880CF0" w:rsidP="00880CF0">
      <w:r w:rsidRPr="00364545">
        <w:t>ADEME has contributed to the international deployment of French climate technologies through several programmes and partnerships.</w:t>
      </w:r>
    </w:p>
    <w:p w14:paraId="3A311F7A" w14:textId="77777777" w:rsidR="00880CF0" w:rsidRPr="00364545" w:rsidRDefault="00880CF0" w:rsidP="00880CF0">
      <w:r w:rsidRPr="00364545">
        <w:t>Following COP21 and at the request of the French Ministry of Ecology, ADEME managed a programme to support the Climate Action Agenda coalitions. This programme mainly concerned the Global Alliance for Buildings and Construction (GlobalABC) and Mission Innovation, and included a cross-disciplinary focus: “Women and Climate”. The activities supported by this programme included technical and capacity-building dimensions.</w:t>
      </w:r>
    </w:p>
    <w:p w14:paraId="09914F95" w14:textId="765586CF" w:rsidR="00880CF0" w:rsidRPr="00364545" w:rsidRDefault="00A97954" w:rsidP="00880CF0">
      <w:r w:rsidRPr="00364545">
        <w:t>The Global Alliance for Buildings and Construction (GlobalABC – see also section</w:t>
      </w:r>
      <w:r w:rsidRPr="00364545">
        <w:fldChar w:fldCharType="begin"/>
      </w:r>
      <w:r w:rsidRPr="00364545">
        <w:instrText xml:space="preserve"> REF _Ref123207241 \r \h </w:instrText>
      </w:r>
      <w:r w:rsidR="00364545">
        <w:instrText xml:space="preserve"> \* MERGEFORMAT </w:instrText>
      </w:r>
      <w:r w:rsidRPr="00364545">
        <w:fldChar w:fldCharType="separate"/>
      </w:r>
      <w:r w:rsidR="009A2FAA">
        <w:t>D.1</w:t>
      </w:r>
      <w:r w:rsidRPr="00364545">
        <w:fldChar w:fldCharType="end"/>
      </w:r>
      <w:r w:rsidRPr="00364545">
        <w:t xml:space="preserve"> on international cooperation) was initiated at COP21 by France, together with UNEP. This alliance, co-chaired by France and now bringing together 36 countries and more than 200 organisations, has the mission of mobilising all these stakeholders for the transition to a zero-emission, energy-efficient and climate-resilient building sector, with a view to achieving the objectives of the Paris Agreement. ADEME has contributed to the implementation of the GlobalABC, notably by financing flagship operations in Senegal and Vietnam for bioclimatic and low-carbon buildings in hot and tropical climates and by co-chairing a working group on adaptation to climate change.</w:t>
      </w:r>
    </w:p>
    <w:p w14:paraId="386FB661" w14:textId="77777777" w:rsidR="00A97954" w:rsidRPr="00364545" w:rsidRDefault="00A97954" w:rsidP="00880CF0"/>
    <w:p w14:paraId="26A6CCD0" w14:textId="77777777" w:rsidR="00880CF0" w:rsidRPr="00364545" w:rsidRDefault="00880CF0" w:rsidP="00880CF0">
      <w:r w:rsidRPr="00364545">
        <w:t>The Mission Innovation coalition aims to strengthen public support for research and innovation in low-carbon technologies. In 2015, France and India were the leading countries on the theme of “access to renewable energy for off-grid populations”. In this context, ADEME launched a call for projects on access to off-grid renewable energy in 2017.</w:t>
      </w:r>
    </w:p>
    <w:p w14:paraId="680C1E8D" w14:textId="77777777" w:rsidR="00880CF0" w:rsidRPr="00364545" w:rsidRDefault="00880CF0" w:rsidP="00880CF0">
      <w:r w:rsidRPr="00364545">
        <w:t xml:space="preserve">It should be noted that this call for projects laid the foundation for a partnership with the French Development Agency, which made it possible to launch a second call for projects on access to off-grid renewable energy in 2019. </w:t>
      </w:r>
    </w:p>
    <w:p w14:paraId="33FD0301" w14:textId="77777777" w:rsidR="00880CF0" w:rsidRPr="00364545" w:rsidRDefault="00880CF0" w:rsidP="00880CF0">
      <w:r w:rsidRPr="00364545">
        <w:t>The “Women and Climate” focus of the programme was conducted in partnership with the International Association of Francophone Mayors (AIMF). A flagship project was selected with the REFELA-CAMEROUN Network of Local Elected Women in Africa for the implementation of pilot actions for public lighting and the supply of electricity to public buildings, as well as the strengthening of the skills of elected women in the production and management of sustainable energy.</w:t>
      </w:r>
    </w:p>
    <w:p w14:paraId="0C6919E7" w14:textId="77777777" w:rsidR="00880CF0" w:rsidRPr="00364545" w:rsidRDefault="00880CF0" w:rsidP="00880CF0"/>
    <w:p w14:paraId="371372E8" w14:textId="508D5412" w:rsidR="00880CF0" w:rsidRPr="00364545" w:rsidRDefault="00300845" w:rsidP="00880CF0">
      <w:r w:rsidRPr="00364545">
        <w:t>Since the 7</w:t>
      </w:r>
      <w:r w:rsidRPr="00364545">
        <w:rPr>
          <w:vertAlign w:val="superscript"/>
        </w:rPr>
        <w:t>th</w:t>
      </w:r>
      <w:r w:rsidRPr="00364545">
        <w:t xml:space="preserve"> National Communication there has been a more general awareness of the need to strengthen adaptation to climate change while continuing mitigation efforts. As a continuation of its national work on climate change adaptation, ADEME has launched a call for projects in 2022 aimed at strengthening this issue in the multilateral initiatives of the Action Agenda.</w:t>
      </w:r>
    </w:p>
    <w:p w14:paraId="002C0CC5" w14:textId="77777777" w:rsidR="00880CF0" w:rsidRPr="00364545" w:rsidRDefault="00880CF0" w:rsidP="00880CF0"/>
    <w:p w14:paraId="34F296EB" w14:textId="06319A73" w:rsidR="00880CF0" w:rsidRPr="00364545" w:rsidRDefault="00880CF0" w:rsidP="00880CF0">
      <w:r w:rsidRPr="00364545">
        <w:t>ADEME contributes directly to the implementation of the United Nations' Framework Convention Subsidiary Body for Scientific and Technological Advice on Climate Change through its role as the National Designated Entity of the Climate Technology Centre and Network (CTCN).</w:t>
      </w:r>
    </w:p>
    <w:p w14:paraId="5994756F" w14:textId="77777777" w:rsidR="00880CF0" w:rsidRPr="00364545" w:rsidRDefault="00880CF0" w:rsidP="00880CF0">
      <w:pPr>
        <w:sectPr w:rsidR="00880CF0" w:rsidRPr="00364545" w:rsidSect="00777BD5">
          <w:pgSz w:w="11906" w:h="16838" w:code="9"/>
          <w:pgMar w:top="1229" w:right="907" w:bottom="1648" w:left="1049" w:header="284" w:footer="284" w:gutter="0"/>
          <w:cols w:space="708"/>
          <w:titlePg/>
          <w:docGrid w:linePitch="360"/>
        </w:sectPr>
      </w:pPr>
    </w:p>
    <w:tbl>
      <w:tblPr>
        <w:tblStyle w:val="GridTable4-Accent4"/>
        <w:tblW w:w="15021" w:type="dxa"/>
        <w:jc w:val="center"/>
        <w:tblLook w:val="04A0" w:firstRow="1" w:lastRow="0" w:firstColumn="1" w:lastColumn="0" w:noHBand="0" w:noVBand="1"/>
      </w:tblPr>
      <w:tblGrid>
        <w:gridCol w:w="1200"/>
        <w:gridCol w:w="1200"/>
        <w:gridCol w:w="1848"/>
        <w:gridCol w:w="1134"/>
        <w:gridCol w:w="2268"/>
        <w:gridCol w:w="1559"/>
        <w:gridCol w:w="1701"/>
        <w:gridCol w:w="4111"/>
      </w:tblGrid>
      <w:tr w:rsidR="00880CF0" w:rsidRPr="00364545" w14:paraId="53779EEC" w14:textId="77777777" w:rsidTr="0093174E">
        <w:trPr>
          <w:cnfStyle w:val="100000000000" w:firstRow="1" w:lastRow="0" w:firstColumn="0" w:lastColumn="0" w:oddVBand="0" w:evenVBand="0" w:oddHBand="0"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2F6A172A" w14:textId="77777777" w:rsidR="00880CF0" w:rsidRPr="00364545" w:rsidRDefault="00880CF0" w:rsidP="00880CF0">
            <w:pPr>
              <w:jc w:val="center"/>
              <w:rPr>
                <w:rFonts w:ascii="Arial" w:hAnsi="Arial" w:cs="Arial"/>
                <w:color w:val="000000"/>
                <w:sz w:val="16"/>
                <w:szCs w:val="16"/>
              </w:rPr>
            </w:pPr>
            <w:r w:rsidRPr="00364545">
              <w:rPr>
                <w:rFonts w:ascii="Arial" w:hAnsi="Arial"/>
                <w:color w:val="000000"/>
                <w:sz w:val="16"/>
              </w:rPr>
              <w:t>Recipient country or region</w:t>
            </w:r>
          </w:p>
        </w:tc>
        <w:tc>
          <w:tcPr>
            <w:tcW w:w="1200" w:type="dxa"/>
            <w:hideMark/>
          </w:tcPr>
          <w:p w14:paraId="1407790E" w14:textId="77777777" w:rsidR="00880CF0" w:rsidRPr="00364545"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Objective</w:t>
            </w:r>
          </w:p>
        </w:tc>
        <w:tc>
          <w:tcPr>
            <w:tcW w:w="1848" w:type="dxa"/>
            <w:hideMark/>
          </w:tcPr>
          <w:p w14:paraId="7DBBDCE8" w14:textId="77777777" w:rsidR="00880CF0" w:rsidRPr="00364545"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Measures and activities related to technology transfer</w:t>
            </w:r>
          </w:p>
        </w:tc>
        <w:tc>
          <w:tcPr>
            <w:tcW w:w="1134" w:type="dxa"/>
            <w:hideMark/>
          </w:tcPr>
          <w:p w14:paraId="2B16B3C8" w14:textId="77777777" w:rsidR="00880CF0" w:rsidRPr="00364545"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Sector</w:t>
            </w:r>
          </w:p>
        </w:tc>
        <w:tc>
          <w:tcPr>
            <w:tcW w:w="2268" w:type="dxa"/>
            <w:hideMark/>
          </w:tcPr>
          <w:p w14:paraId="20FBD11B" w14:textId="77777777" w:rsidR="00880CF0" w:rsidRPr="00364545"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Source of funding</w:t>
            </w:r>
          </w:p>
        </w:tc>
        <w:tc>
          <w:tcPr>
            <w:tcW w:w="1559" w:type="dxa"/>
            <w:hideMark/>
          </w:tcPr>
          <w:p w14:paraId="7791BD4A" w14:textId="77777777" w:rsidR="00880CF0" w:rsidRPr="00364545"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Activities undertaken by:</w:t>
            </w:r>
          </w:p>
        </w:tc>
        <w:tc>
          <w:tcPr>
            <w:tcW w:w="1701" w:type="dxa"/>
            <w:hideMark/>
          </w:tcPr>
          <w:p w14:paraId="2D17C0D6" w14:textId="77777777" w:rsidR="00880CF0" w:rsidRPr="00364545"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Status</w:t>
            </w:r>
          </w:p>
        </w:tc>
        <w:tc>
          <w:tcPr>
            <w:tcW w:w="4111" w:type="dxa"/>
            <w:hideMark/>
          </w:tcPr>
          <w:p w14:paraId="034D9C73" w14:textId="77777777" w:rsidR="00880CF0" w:rsidRPr="00364545"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Additional information</w:t>
            </w:r>
          </w:p>
        </w:tc>
      </w:tr>
      <w:tr w:rsidR="00880CF0" w:rsidRPr="00364545" w14:paraId="6A1D3E1A" w14:textId="77777777" w:rsidTr="0093174E">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2F18B7F4" w14:textId="77777777" w:rsidR="00880CF0" w:rsidRPr="00364545" w:rsidRDefault="00880CF0" w:rsidP="00880CF0">
            <w:pPr>
              <w:jc w:val="left"/>
              <w:rPr>
                <w:rFonts w:ascii="Arial" w:hAnsi="Arial" w:cs="Arial"/>
                <w:color w:val="000000"/>
                <w:sz w:val="16"/>
                <w:szCs w:val="16"/>
              </w:rPr>
            </w:pPr>
            <w:r w:rsidRPr="00364545">
              <w:rPr>
                <w:rFonts w:ascii="Arial" w:hAnsi="Arial"/>
                <w:color w:val="000000"/>
                <w:sz w:val="16"/>
              </w:rPr>
              <w:t>Africa</w:t>
            </w:r>
          </w:p>
        </w:tc>
        <w:tc>
          <w:tcPr>
            <w:tcW w:w="1200" w:type="dxa"/>
            <w:hideMark/>
          </w:tcPr>
          <w:p w14:paraId="6255CB8D"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Mitigation</w:t>
            </w:r>
          </w:p>
        </w:tc>
        <w:tc>
          <w:tcPr>
            <w:tcW w:w="1848" w:type="dxa"/>
            <w:hideMark/>
          </w:tcPr>
          <w:p w14:paraId="106EDE1B"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ADEME 2017 call for projects: Access to renewable energy for off-grid populations. ADEME management.</w:t>
            </w:r>
          </w:p>
        </w:tc>
        <w:tc>
          <w:tcPr>
            <w:tcW w:w="1134" w:type="dxa"/>
            <w:hideMark/>
          </w:tcPr>
          <w:p w14:paraId="084B6B48"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Energy</w:t>
            </w:r>
          </w:p>
        </w:tc>
        <w:tc>
          <w:tcPr>
            <w:tcW w:w="2268" w:type="dxa"/>
            <w:hideMark/>
          </w:tcPr>
          <w:p w14:paraId="505F68D8"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Ministry of Ecology Transition. ADEME management.</w:t>
            </w:r>
          </w:p>
        </w:tc>
        <w:tc>
          <w:tcPr>
            <w:tcW w:w="1559" w:type="dxa"/>
            <w:hideMark/>
          </w:tcPr>
          <w:p w14:paraId="77460F71"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companies</w:t>
            </w:r>
          </w:p>
        </w:tc>
        <w:tc>
          <w:tcPr>
            <w:tcW w:w="1701" w:type="dxa"/>
            <w:hideMark/>
          </w:tcPr>
          <w:p w14:paraId="55CB4E3F"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Currently being finalised</w:t>
            </w:r>
          </w:p>
        </w:tc>
        <w:tc>
          <w:tcPr>
            <w:tcW w:w="4111" w:type="dxa"/>
            <w:hideMark/>
          </w:tcPr>
          <w:p w14:paraId="7385ABD0"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As part of the "Mission Innovation" multilateral coalition. Nine projects in Togo, Burkina Faso, Mauritania, Cape Verde, Madagascar, Benin and Uganda</w:t>
            </w:r>
          </w:p>
        </w:tc>
      </w:tr>
      <w:tr w:rsidR="00880CF0" w:rsidRPr="00364545" w14:paraId="4B0585F0" w14:textId="77777777" w:rsidTr="0093174E">
        <w:trPr>
          <w:trHeight w:val="675"/>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7EE448E1" w14:textId="77777777" w:rsidR="00880CF0" w:rsidRPr="00364545" w:rsidRDefault="00880CF0" w:rsidP="00880CF0">
            <w:pPr>
              <w:jc w:val="left"/>
              <w:rPr>
                <w:rFonts w:ascii="Arial" w:hAnsi="Arial" w:cs="Arial"/>
                <w:color w:val="000000"/>
                <w:sz w:val="16"/>
                <w:szCs w:val="16"/>
              </w:rPr>
            </w:pPr>
            <w:r w:rsidRPr="00364545">
              <w:rPr>
                <w:rFonts w:ascii="Arial" w:hAnsi="Arial"/>
                <w:color w:val="000000"/>
                <w:sz w:val="16"/>
              </w:rPr>
              <w:t>Africa</w:t>
            </w:r>
          </w:p>
        </w:tc>
        <w:tc>
          <w:tcPr>
            <w:tcW w:w="1200" w:type="dxa"/>
            <w:hideMark/>
          </w:tcPr>
          <w:p w14:paraId="16CCCCFD"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Mitigation</w:t>
            </w:r>
          </w:p>
        </w:tc>
        <w:tc>
          <w:tcPr>
            <w:tcW w:w="1848" w:type="dxa"/>
            <w:hideMark/>
          </w:tcPr>
          <w:p w14:paraId="49E0B317"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ADEME 2019 call for projects: Access to renewable energy for off-grid populations. ADEME management.</w:t>
            </w:r>
          </w:p>
        </w:tc>
        <w:tc>
          <w:tcPr>
            <w:tcW w:w="1134" w:type="dxa"/>
            <w:hideMark/>
          </w:tcPr>
          <w:p w14:paraId="4C436780"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Energy</w:t>
            </w:r>
          </w:p>
        </w:tc>
        <w:tc>
          <w:tcPr>
            <w:tcW w:w="2268" w:type="dxa"/>
            <w:hideMark/>
          </w:tcPr>
          <w:p w14:paraId="50E673CA"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French Development Agency. ADEME management.</w:t>
            </w:r>
          </w:p>
        </w:tc>
        <w:tc>
          <w:tcPr>
            <w:tcW w:w="1559" w:type="dxa"/>
            <w:hideMark/>
          </w:tcPr>
          <w:p w14:paraId="33F4E181"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companies</w:t>
            </w:r>
          </w:p>
        </w:tc>
        <w:tc>
          <w:tcPr>
            <w:tcW w:w="1701" w:type="dxa"/>
            <w:hideMark/>
          </w:tcPr>
          <w:p w14:paraId="547BD287"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Ongoing</w:t>
            </w:r>
          </w:p>
        </w:tc>
        <w:tc>
          <w:tcPr>
            <w:tcW w:w="4111" w:type="dxa"/>
            <w:hideMark/>
          </w:tcPr>
          <w:p w14:paraId="2D485584"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Following the 2017 call for projects.</w:t>
            </w:r>
          </w:p>
        </w:tc>
      </w:tr>
      <w:tr w:rsidR="00880CF0" w:rsidRPr="00364545" w14:paraId="7C39F325" w14:textId="77777777" w:rsidTr="0093174E">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2DF031FD" w14:textId="77777777" w:rsidR="00880CF0" w:rsidRPr="00364545" w:rsidRDefault="00880CF0" w:rsidP="00880CF0">
            <w:pPr>
              <w:jc w:val="left"/>
              <w:rPr>
                <w:rFonts w:ascii="Arial" w:hAnsi="Arial" w:cs="Arial"/>
                <w:color w:val="000000"/>
                <w:sz w:val="16"/>
                <w:szCs w:val="16"/>
              </w:rPr>
            </w:pPr>
            <w:r w:rsidRPr="00364545">
              <w:rPr>
                <w:rFonts w:ascii="Arial" w:hAnsi="Arial"/>
                <w:color w:val="000000"/>
                <w:sz w:val="16"/>
              </w:rPr>
              <w:t>Africa</w:t>
            </w:r>
          </w:p>
        </w:tc>
        <w:tc>
          <w:tcPr>
            <w:tcW w:w="1200" w:type="dxa"/>
            <w:hideMark/>
          </w:tcPr>
          <w:p w14:paraId="72BA7CAA"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Mitigation</w:t>
            </w:r>
          </w:p>
        </w:tc>
        <w:tc>
          <w:tcPr>
            <w:tcW w:w="1848" w:type="dxa"/>
            <w:hideMark/>
          </w:tcPr>
          <w:p w14:paraId="774D8A14"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Support for various innovative projects for access to sustainable energy.</w:t>
            </w:r>
          </w:p>
        </w:tc>
        <w:tc>
          <w:tcPr>
            <w:tcW w:w="1134" w:type="dxa"/>
            <w:hideMark/>
          </w:tcPr>
          <w:p w14:paraId="74B71913"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Energy</w:t>
            </w:r>
          </w:p>
        </w:tc>
        <w:tc>
          <w:tcPr>
            <w:tcW w:w="2268" w:type="dxa"/>
            <w:hideMark/>
          </w:tcPr>
          <w:p w14:paraId="2F49D8D4"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Ministry of Ecology Transition. ADEME management.</w:t>
            </w:r>
          </w:p>
        </w:tc>
        <w:tc>
          <w:tcPr>
            <w:tcW w:w="1559" w:type="dxa"/>
            <w:hideMark/>
          </w:tcPr>
          <w:p w14:paraId="3F0FF849"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companies</w:t>
            </w:r>
          </w:p>
        </w:tc>
        <w:tc>
          <w:tcPr>
            <w:tcW w:w="1701" w:type="dxa"/>
            <w:hideMark/>
          </w:tcPr>
          <w:p w14:paraId="62B4D5FE"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Ongoing</w:t>
            </w:r>
          </w:p>
        </w:tc>
        <w:tc>
          <w:tcPr>
            <w:tcW w:w="4111" w:type="dxa"/>
            <w:hideMark/>
          </w:tcPr>
          <w:p w14:paraId="4E826A6F"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As part of the "Mission Innovation" multilateral coalition. Finance for various innovative projects for access to sustainable energy. Example: setting up a methaniser in Lusaka (Zambia) in the Mtendere district.</w:t>
            </w:r>
          </w:p>
        </w:tc>
      </w:tr>
      <w:tr w:rsidR="00880CF0" w:rsidRPr="00364545" w14:paraId="5E7FA24B" w14:textId="77777777" w:rsidTr="0093174E">
        <w:trPr>
          <w:trHeight w:val="1350"/>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5631D5F1" w14:textId="77777777" w:rsidR="00880CF0" w:rsidRPr="00364545" w:rsidRDefault="00880CF0" w:rsidP="00880CF0">
            <w:pPr>
              <w:jc w:val="left"/>
              <w:rPr>
                <w:rFonts w:ascii="Arial" w:hAnsi="Arial" w:cs="Arial"/>
                <w:color w:val="000000"/>
                <w:sz w:val="16"/>
                <w:szCs w:val="16"/>
              </w:rPr>
            </w:pPr>
            <w:r w:rsidRPr="00364545">
              <w:rPr>
                <w:rFonts w:ascii="Arial" w:hAnsi="Arial"/>
                <w:color w:val="000000"/>
                <w:sz w:val="16"/>
              </w:rPr>
              <w:t>World</w:t>
            </w:r>
          </w:p>
        </w:tc>
        <w:tc>
          <w:tcPr>
            <w:tcW w:w="1200" w:type="dxa"/>
            <w:hideMark/>
          </w:tcPr>
          <w:p w14:paraId="50E94FFF"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Mitigation and adaptation</w:t>
            </w:r>
          </w:p>
        </w:tc>
        <w:tc>
          <w:tcPr>
            <w:tcW w:w="1848" w:type="dxa"/>
            <w:hideMark/>
          </w:tcPr>
          <w:p w14:paraId="21AED47D"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Support to the Global Alliance for Buildings and Construction (GlobalABC)</w:t>
            </w:r>
          </w:p>
        </w:tc>
        <w:tc>
          <w:tcPr>
            <w:tcW w:w="1134" w:type="dxa"/>
            <w:hideMark/>
          </w:tcPr>
          <w:p w14:paraId="4B1A73A3"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Building and construction</w:t>
            </w:r>
          </w:p>
        </w:tc>
        <w:tc>
          <w:tcPr>
            <w:tcW w:w="2268" w:type="dxa"/>
            <w:hideMark/>
          </w:tcPr>
          <w:p w14:paraId="50D2FED8"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Ministry of Ecology Transition. ADEME management.</w:t>
            </w:r>
          </w:p>
        </w:tc>
        <w:tc>
          <w:tcPr>
            <w:tcW w:w="1559" w:type="dxa"/>
            <w:hideMark/>
          </w:tcPr>
          <w:p w14:paraId="49877B03"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companies</w:t>
            </w:r>
          </w:p>
        </w:tc>
        <w:tc>
          <w:tcPr>
            <w:tcW w:w="1701" w:type="dxa"/>
            <w:hideMark/>
          </w:tcPr>
          <w:p w14:paraId="6D86F40F"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Ongoing</w:t>
            </w:r>
          </w:p>
        </w:tc>
        <w:tc>
          <w:tcPr>
            <w:tcW w:w="4111" w:type="dxa"/>
            <w:hideMark/>
          </w:tcPr>
          <w:p w14:paraId="6D4DD8B6" w14:textId="77777777" w:rsidR="00880CF0" w:rsidRPr="00364545"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In the framework of the Global Alliance for Buildings and Construction (GlobalABC). Co-chairing the working group on climate change adaptation. Financing of flagship projects in Senegal and Vietnam for bioclimatic and low-carbon buildings in hot and tropical climates.</w:t>
            </w:r>
          </w:p>
        </w:tc>
      </w:tr>
      <w:tr w:rsidR="00880CF0" w:rsidRPr="00364545" w14:paraId="0DC51EB6" w14:textId="77777777" w:rsidTr="0093174E">
        <w:trPr>
          <w:cnfStyle w:val="000000100000" w:firstRow="0" w:lastRow="0" w:firstColumn="0" w:lastColumn="0" w:oddVBand="0" w:evenVBand="0" w:oddHBand="1" w:evenHBand="0" w:firstRowFirstColumn="0" w:firstRowLastColumn="0" w:lastRowFirstColumn="0" w:lastRowLastColumn="0"/>
          <w:trHeight w:val="1800"/>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618211E7" w14:textId="77777777" w:rsidR="00880CF0" w:rsidRPr="00364545" w:rsidRDefault="00880CF0" w:rsidP="00880CF0">
            <w:pPr>
              <w:jc w:val="left"/>
              <w:rPr>
                <w:rFonts w:ascii="Arial" w:hAnsi="Arial" w:cs="Arial"/>
                <w:sz w:val="16"/>
                <w:szCs w:val="16"/>
              </w:rPr>
            </w:pPr>
            <w:r w:rsidRPr="00364545">
              <w:rPr>
                <w:rFonts w:ascii="Arial" w:hAnsi="Arial"/>
                <w:sz w:val="16"/>
              </w:rPr>
              <w:t>Cameroon</w:t>
            </w:r>
          </w:p>
        </w:tc>
        <w:tc>
          <w:tcPr>
            <w:tcW w:w="1200" w:type="dxa"/>
            <w:hideMark/>
          </w:tcPr>
          <w:p w14:paraId="55F5B205"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sz w:val="16"/>
              </w:rPr>
              <w:t>Mitigation</w:t>
            </w:r>
          </w:p>
        </w:tc>
        <w:tc>
          <w:tcPr>
            <w:tcW w:w="1848" w:type="dxa"/>
            <w:hideMark/>
          </w:tcPr>
          <w:p w14:paraId="4DBB4142"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64545">
              <w:rPr>
                <w:rFonts w:ascii="Arial" w:hAnsi="Arial"/>
                <w:sz w:val="16"/>
              </w:rPr>
              <w:t>Women and Climate: pilot actions</w:t>
            </w:r>
          </w:p>
        </w:tc>
        <w:tc>
          <w:tcPr>
            <w:tcW w:w="1134" w:type="dxa"/>
            <w:hideMark/>
          </w:tcPr>
          <w:p w14:paraId="23C359D8"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sz w:val="16"/>
              </w:rPr>
              <w:t>Energy</w:t>
            </w:r>
          </w:p>
        </w:tc>
        <w:tc>
          <w:tcPr>
            <w:tcW w:w="2268" w:type="dxa"/>
            <w:hideMark/>
          </w:tcPr>
          <w:p w14:paraId="185A7748" w14:textId="279C3158"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64545">
              <w:rPr>
                <w:rFonts w:ascii="Arial" w:hAnsi="Arial"/>
                <w:sz w:val="16"/>
              </w:rPr>
              <w:t>Ministry of Ecology Transition. ADEME management. Partners: AIMF, Veolia Foundation, FEICOM, and the municipalities targeted in Cameroon</w:t>
            </w:r>
          </w:p>
        </w:tc>
        <w:tc>
          <w:tcPr>
            <w:tcW w:w="1559" w:type="dxa"/>
            <w:hideMark/>
          </w:tcPr>
          <w:p w14:paraId="619EC764"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64545">
              <w:rPr>
                <w:rFonts w:ascii="Arial" w:hAnsi="Arial"/>
                <w:sz w:val="16"/>
              </w:rPr>
              <w:t>Secretariat of the Network of Local Elected Women of Cameroon</w:t>
            </w:r>
          </w:p>
        </w:tc>
        <w:tc>
          <w:tcPr>
            <w:tcW w:w="1701" w:type="dxa"/>
            <w:hideMark/>
          </w:tcPr>
          <w:p w14:paraId="2354370C" w14:textId="77777777"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64545">
              <w:rPr>
                <w:rFonts w:ascii="Arial" w:hAnsi="Arial"/>
                <w:sz w:val="16"/>
              </w:rPr>
              <w:t>Completed (2018-2020)</w:t>
            </w:r>
          </w:p>
        </w:tc>
        <w:tc>
          <w:tcPr>
            <w:tcW w:w="4111" w:type="dxa"/>
            <w:hideMark/>
          </w:tcPr>
          <w:p w14:paraId="70D09A87" w14:textId="2E1DB8B0" w:rsidR="00880CF0" w:rsidRPr="00364545"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 xml:space="preserve">Support to the network of women mayors in Cameroon. The project aims to strengthen the network of local elected women in Cameroon and to implement pilot actions for public lighting and electricity supply to public buildings. Partnership: AIMF, Veolia Foundation, ADEME, FEICOM, along with the targeted municipalities. </w:t>
            </w:r>
          </w:p>
        </w:tc>
      </w:tr>
    </w:tbl>
    <w:p w14:paraId="5E37F4B9" w14:textId="77777777" w:rsidR="00880CF0" w:rsidRPr="00364545" w:rsidRDefault="00880CF0" w:rsidP="00880CF0">
      <w:pPr>
        <w:sectPr w:rsidR="00880CF0" w:rsidRPr="00364545" w:rsidSect="00880CF0">
          <w:pgSz w:w="16838" w:h="11906" w:orient="landscape" w:code="9"/>
          <w:pgMar w:top="1049" w:right="1229" w:bottom="907" w:left="1648" w:header="284" w:footer="284" w:gutter="0"/>
          <w:cols w:space="708"/>
          <w:titlePg/>
          <w:docGrid w:linePitch="360"/>
        </w:sectPr>
      </w:pPr>
    </w:p>
    <w:p w14:paraId="23B4376C" w14:textId="77777777" w:rsidR="00880CF0" w:rsidRPr="00364545" w:rsidRDefault="00880CF0" w:rsidP="00880CF0"/>
    <w:p w14:paraId="53BEF862" w14:textId="77777777" w:rsidR="00880CF0" w:rsidRPr="00364545" w:rsidRDefault="00880CF0" w:rsidP="00E524AF">
      <w:pPr>
        <w:pStyle w:val="Titre3Niveau3"/>
      </w:pPr>
      <w:bookmarkStart w:id="699" w:name="_Toc138341883"/>
      <w:bookmarkStart w:id="700" w:name="_Toc115454109"/>
      <w:bookmarkStart w:id="701" w:name="_Toc121390990"/>
      <w:r w:rsidRPr="00364545">
        <w:t>Le Citepa</w:t>
      </w:r>
      <w:bookmarkEnd w:id="699"/>
    </w:p>
    <w:p w14:paraId="604BB2BF" w14:textId="2AA849FD" w:rsidR="00880CF0" w:rsidRPr="00364545" w:rsidRDefault="00880CF0" w:rsidP="00880CF0">
      <w:r w:rsidRPr="00364545">
        <w:t>CITEPA, an operator for the DGEC, produces national emissions inventories and contributes to capacity-building in third countries (one of the activity programme lines refers to this). At international level, it carries out capacity-building actions on climate change and air pollution. These actions include twinning, IPAs, and calls for tender from international donors; and, to a lesser extent, via a line of its programme with DGEC (around € 40 k/year), CITEPA can also act in all emerging and developing countries (each year in around twenty countries at the AOs' discretion). Most of the time, collaborations are bilateral via calls for tenders from technical agencies AFD/GIZ/European Environment Agency, as well as UN agencies (UNDP) or development banks (AFD/BM/ADB, etc.).</w:t>
      </w:r>
    </w:p>
    <w:p w14:paraId="53153FD9" w14:textId="77777777" w:rsidR="00880CF0" w:rsidRPr="00364545" w:rsidRDefault="00880CF0" w:rsidP="00880CF0"/>
    <w:p w14:paraId="713F4856" w14:textId="77777777" w:rsidR="00880CF0" w:rsidRPr="00364545" w:rsidRDefault="00880CF0" w:rsidP="00880CF0">
      <w:r w:rsidRPr="00364545">
        <w:t>Mandated by the Ministry (to produce atmospheric emission inventories in France and to strengthen the capacities of third countries), Citepa</w:t>
      </w:r>
    </w:p>
    <w:p w14:paraId="23C709A6" w14:textId="77777777" w:rsidR="00880CF0" w:rsidRPr="00364545" w:rsidRDefault="00880CF0" w:rsidP="00BE086C">
      <w:pPr>
        <w:pStyle w:val="ListParagraph"/>
        <w:numPr>
          <w:ilvl w:val="0"/>
          <w:numId w:val="57"/>
        </w:numPr>
      </w:pPr>
      <w:r w:rsidRPr="00364545">
        <w:t>Maintains a good international image through its work strengthening / transferring skills in the last three years: Pakistan, Kazakhstan, Vietnam, Chad, Nigeria, Niger, Zambia, Rwanda, Comoros, Morocco, Tunisia, Algeria, Union for the Mediterranean, Albania, Serbia, Croatia, Colombia, etc.)</w:t>
      </w:r>
    </w:p>
    <w:p w14:paraId="25C9E944" w14:textId="2DB4F174" w:rsidR="00880CF0" w:rsidRPr="00364545" w:rsidRDefault="00880CF0" w:rsidP="00BE086C">
      <w:pPr>
        <w:pStyle w:val="ListParagraph"/>
        <w:numPr>
          <w:ilvl w:val="0"/>
          <w:numId w:val="57"/>
        </w:numPr>
      </w:pPr>
      <w:r w:rsidRPr="00364545">
        <w:t>Key countries in the future will be: Morocco, Tunisia, other SEMED countries (South East Mediterranean), Senegal, Cote d'Ivoire, Niger, Nigeria, Rwanda, Cameroon, Kenya, Serbia/Croatia, Kazakhstan, Pakistan, India, Colombia, Uzbekistan.</w:t>
      </w:r>
    </w:p>
    <w:p w14:paraId="4E06A5E0" w14:textId="77777777" w:rsidR="00880CF0" w:rsidRPr="00364545" w:rsidRDefault="00880CF0" w:rsidP="00880CF0"/>
    <w:p w14:paraId="701669D9" w14:textId="47A0C91E" w:rsidR="00880CF0" w:rsidRPr="00364545" w:rsidRDefault="00880CF0" w:rsidP="00880CF0">
      <w:r w:rsidRPr="00364545">
        <w:t>CITEPA is sometimes called upon by the AFD/EF, the MEAE, and the DGEC to activate clusters of experts: a. GHG (Francophone cluster); b. Atmospheric Pollutants (AP) with GHG co-benefits; c. Air Quality Chain with AIRPARIF.</w:t>
      </w:r>
    </w:p>
    <w:p w14:paraId="26E7A41E" w14:textId="77777777" w:rsidR="00880CF0" w:rsidRPr="00364545" w:rsidRDefault="00880CF0" w:rsidP="00880CF0">
      <w:r w:rsidRPr="00364545">
        <w:t>It participates in meetings of the DAEI operators’ network.</w:t>
      </w:r>
    </w:p>
    <w:p w14:paraId="22246841" w14:textId="29D7FFE4" w:rsidR="0027680A" w:rsidRPr="00364545" w:rsidRDefault="00880CF0" w:rsidP="00E524AF">
      <w:pPr>
        <w:pStyle w:val="Titre2Niveau2"/>
      </w:pPr>
      <w:bookmarkStart w:id="702" w:name="_Toc138341884"/>
      <w:r w:rsidRPr="00364545">
        <w:t>Building capacity</w:t>
      </w:r>
      <w:bookmarkStart w:id="703" w:name="_Toc121431078"/>
      <w:bookmarkStart w:id="704" w:name="_Toc121431415"/>
      <w:bookmarkStart w:id="705" w:name="_Toc121431576"/>
      <w:bookmarkStart w:id="706" w:name="_Toc121431738"/>
      <w:bookmarkStart w:id="707" w:name="_Toc121431901"/>
      <w:bookmarkStart w:id="708" w:name="_Toc121432063"/>
      <w:bookmarkStart w:id="709" w:name="_Toc115454110"/>
      <w:bookmarkStart w:id="710" w:name="_Toc121390991"/>
      <w:bookmarkEnd w:id="700"/>
      <w:bookmarkEnd w:id="701"/>
      <w:bookmarkEnd w:id="703"/>
      <w:bookmarkEnd w:id="704"/>
      <w:bookmarkEnd w:id="705"/>
      <w:bookmarkEnd w:id="706"/>
      <w:bookmarkEnd w:id="707"/>
      <w:bookmarkEnd w:id="708"/>
      <w:bookmarkEnd w:id="702"/>
    </w:p>
    <w:p w14:paraId="6C3E0593" w14:textId="6F581B83" w:rsidR="00880CF0" w:rsidRPr="00364545" w:rsidRDefault="00880CF0" w:rsidP="00E524AF">
      <w:pPr>
        <w:pStyle w:val="Titre3Niveau3"/>
      </w:pPr>
      <w:bookmarkStart w:id="711" w:name="_Toc138341885"/>
      <w:r w:rsidRPr="00364545">
        <w:t>Adapting to climate change</w:t>
      </w:r>
      <w:bookmarkEnd w:id="709"/>
      <w:bookmarkEnd w:id="710"/>
      <w:bookmarkEnd w:id="711"/>
    </w:p>
    <w:p w14:paraId="2268D5C2" w14:textId="77777777" w:rsidR="00880CF0" w:rsidRPr="00364545" w:rsidRDefault="00880CF0" w:rsidP="00880CF0">
      <w:r w:rsidRPr="00364545">
        <w:t>France is involved in projects that aim to share its own experience in adaptation policy planning with developing countries. France has had an adaptation strategy since 2006. In 2011, the first national adaptation plan was published. This national plan was assessed in 2015. In 2018, the second national plan for adapting to climate change was issued (PNACC-2).</w:t>
      </w:r>
    </w:p>
    <w:p w14:paraId="2ADD48F9" w14:textId="77777777" w:rsidR="00880CF0" w:rsidRPr="00364545" w:rsidRDefault="00880CF0" w:rsidP="00880CF0"/>
    <w:p w14:paraId="0645359A" w14:textId="7DE32002" w:rsidR="00880CF0" w:rsidRDefault="00880CF0" w:rsidP="00880CF0">
      <w:r w:rsidRPr="00364545">
        <w:t>Within the framework of the Climate Services agreement signed in 2017 between the French Ministry of Ecological and Solidarity Transition and the main research organisations in climate science, the second part of the 4th work package (WP4) focuses on a climate service demonstrator for West African agriculture. On a continent that is particularly vulnerable to climate variability and change, the aim is to have effective climate risk management tools to provide real added value to adaptation strategies.</w:t>
      </w:r>
    </w:p>
    <w:p w14:paraId="0D4FE225" w14:textId="0D5A18F2" w:rsidR="009D2784" w:rsidRDefault="009D2784" w:rsidP="00880CF0"/>
    <w:p w14:paraId="72DF8A27" w14:textId="77777777" w:rsidR="009D2784" w:rsidRPr="00364545" w:rsidRDefault="009D2784" w:rsidP="009D2784">
      <w:r w:rsidRPr="002373FD">
        <w:t>AFD provides technical assistance through specific programmes such as AdaptAction Facility, and through technical assistance grants in addition to soverain and non soverain loans.</w:t>
      </w:r>
      <w:r>
        <w:t xml:space="preserve"> </w:t>
      </w:r>
      <w:r w:rsidRPr="002373FD">
        <w:t>The AdaptAction programme is focusing on identifying and addressing capacity building needs of partner countries. The involvement of Expertise France in the delivery of the programme confirms the strong involvement of AFD Group on strengthening countrie’s capacities.</w:t>
      </w:r>
    </w:p>
    <w:p w14:paraId="547BAA12" w14:textId="77777777" w:rsidR="009D2784" w:rsidRPr="00364545" w:rsidRDefault="009D2784" w:rsidP="00880CF0"/>
    <w:p w14:paraId="282610D1" w14:textId="0B9EEB0C" w:rsidR="00880CF0" w:rsidRPr="00364545" w:rsidRDefault="00880CF0" w:rsidP="00E524AF">
      <w:pPr>
        <w:pStyle w:val="Titre3Niveau3"/>
      </w:pPr>
      <w:bookmarkStart w:id="712" w:name="_Toc115454111"/>
      <w:bookmarkStart w:id="713" w:name="_Toc121390992"/>
      <w:bookmarkStart w:id="714" w:name="_Toc138341886"/>
      <w:r w:rsidRPr="00364545">
        <w:t>Preparation and implementation of Nationally Determined Contributions (NDCs)</w:t>
      </w:r>
      <w:bookmarkEnd w:id="712"/>
      <w:bookmarkEnd w:id="713"/>
      <w:bookmarkEnd w:id="714"/>
    </w:p>
    <w:p w14:paraId="575FDA6C" w14:textId="77777777" w:rsidR="00880CF0" w:rsidRPr="00364545" w:rsidRDefault="00880CF0" w:rsidP="0027680A">
      <w:r w:rsidRPr="00364545">
        <w:t>Since 2017, AFD Group’s AdaptAction programme has been supporting vulnerable countries in the implementation of their adaptation strategies through technical assistance and capacity-building activities to consolidate their climate governance, better integrate adaptation to climate change into their public policies, and implement foundational adaptation projects.</w:t>
      </w:r>
    </w:p>
    <w:p w14:paraId="134B396E" w14:textId="77777777" w:rsidR="00880CF0" w:rsidRPr="00364545" w:rsidRDefault="00880CF0" w:rsidP="00880CF0"/>
    <w:p w14:paraId="47E6DC6B" w14:textId="57A6129E" w:rsidR="00880CF0" w:rsidRDefault="00880CF0" w:rsidP="0027680A">
      <w:r w:rsidRPr="00364545">
        <w:t>Phase 1 of the AdaptAction programme (€30 million from 2017–2022) has deployed more than 70 supports in 15 countries (Least Developed Countries, Africa, Small Island States). The programme has exceeded its leverage target on the project portfolio, catalysing the financing of 10 projects for a total of €582 million financed or co-financed by AFD, the Green Fund or the European Union.</w:t>
      </w:r>
    </w:p>
    <w:p w14:paraId="1925253F" w14:textId="4B3CDFEE" w:rsidR="009D2784" w:rsidRDefault="009D2784" w:rsidP="0027680A"/>
    <w:p w14:paraId="60ABDF5B" w14:textId="77777777" w:rsidR="009D2784" w:rsidRDefault="009D2784" w:rsidP="009D2784">
      <w:pPr>
        <w:rPr>
          <w:lang w:val="en-US"/>
        </w:rPr>
      </w:pPr>
      <w:r w:rsidRPr="00C50551">
        <w:rPr>
          <w:lang w:val="en-US"/>
        </w:rPr>
        <w:t>Adapt’Action is based on three areas of</w:t>
      </w:r>
      <w:r>
        <w:rPr>
          <w:lang w:val="en-US"/>
        </w:rPr>
        <w:t xml:space="preserve"> operation: 1/ </w:t>
      </w:r>
      <w:r w:rsidRPr="00C50551">
        <w:rPr>
          <w:lang w:val="en-US"/>
        </w:rPr>
        <w:t>Support for “climate” capacity building and governance for the consolidation, implementation and supervision of the NDCs (im</w:t>
      </w:r>
      <w:r>
        <w:rPr>
          <w:lang w:val="en-US"/>
        </w:rPr>
        <w:t>plemented by Expertise France); 2/</w:t>
      </w:r>
      <w:r w:rsidRPr="00C50551">
        <w:rPr>
          <w:lang w:val="en-US"/>
        </w:rPr>
        <w:t xml:space="preserve"> Support for a better integration of the commitments made in the NDCs into sectoral public policies, particularly in the field of adaptation to clima</w:t>
      </w:r>
      <w:r>
        <w:rPr>
          <w:lang w:val="en-US"/>
        </w:rPr>
        <w:t xml:space="preserve">te change (implemented by AFD); 3/ </w:t>
      </w:r>
      <w:r w:rsidRPr="00C50551">
        <w:rPr>
          <w:lang w:val="en-US"/>
        </w:rPr>
        <w:t>Support for the preparation of structural programs in the field of adaptation to climate change (implemented by AFD).</w:t>
      </w:r>
    </w:p>
    <w:p w14:paraId="3CA484D8" w14:textId="77777777" w:rsidR="009D2784" w:rsidRDefault="009D2784" w:rsidP="009D2784">
      <w:pPr>
        <w:rPr>
          <w:lang w:val="en-US"/>
        </w:rPr>
      </w:pPr>
    </w:p>
    <w:p w14:paraId="0E8923B2" w14:textId="77777777" w:rsidR="009D2784" w:rsidRPr="00C50551" w:rsidRDefault="009D2784" w:rsidP="009D2784">
      <w:pPr>
        <w:rPr>
          <w:lang w:val="en-US"/>
        </w:rPr>
      </w:pPr>
      <w:r w:rsidRPr="00C50551">
        <w:rPr>
          <w:lang w:val="en-US"/>
        </w:rPr>
        <w:t>Expertise France participates in the implementation of Adapt'Action, by ensuring project management on axis 1 of the Facility, which aims to support the strengthening of institutional processes for the implementation and monitoring of the CDN, Develop technical capacities of stakeholders and raise their awareness for better ownership of their CDN.</w:t>
      </w:r>
    </w:p>
    <w:p w14:paraId="3E2B133E" w14:textId="77777777" w:rsidR="009D2784" w:rsidRPr="00C50551" w:rsidRDefault="009D2784" w:rsidP="009D2784">
      <w:pPr>
        <w:rPr>
          <w:lang w:val="en-US"/>
        </w:rPr>
      </w:pPr>
    </w:p>
    <w:p w14:paraId="158E187A" w14:textId="77777777" w:rsidR="009D2784" w:rsidRPr="00C50551" w:rsidRDefault="009D2784" w:rsidP="009D2784">
      <w:pPr>
        <w:rPr>
          <w:lang w:val="en-US"/>
        </w:rPr>
      </w:pPr>
      <w:r w:rsidRPr="00C50551">
        <w:rPr>
          <w:lang w:val="en-US"/>
        </w:rPr>
        <w:t>The types of support provided by Expertise France on this ax</w:t>
      </w:r>
      <w:r>
        <w:rPr>
          <w:lang w:val="en-US"/>
        </w:rPr>
        <w:t xml:space="preserve">is relate more specifically to: </w:t>
      </w:r>
      <w:r w:rsidRPr="00C50551">
        <w:rPr>
          <w:lang w:val="en-US"/>
        </w:rPr>
        <w:t>Institutional governance climate (strengthening of the NDC consultation and mo</w:t>
      </w:r>
      <w:r>
        <w:rPr>
          <w:lang w:val="en-US"/>
        </w:rPr>
        <w:t>nitoring bodies and frameworks), Review of NDCs,</w:t>
      </w:r>
      <w:r w:rsidRPr="00C50551">
        <w:rPr>
          <w:lang w:val="en-US"/>
        </w:rPr>
        <w:t xml:space="preserve"> NDC monitoring and ev</w:t>
      </w:r>
      <w:r>
        <w:rPr>
          <w:lang w:val="en-US"/>
        </w:rPr>
        <w:t>aluation mechanisms and systems,</w:t>
      </w:r>
      <w:r w:rsidRPr="00C50551">
        <w:rPr>
          <w:lang w:val="en-US"/>
        </w:rPr>
        <w:t xml:space="preserve"> Targeted technical capacity building for NDC monitoring.</w:t>
      </w:r>
    </w:p>
    <w:p w14:paraId="074DC9D4" w14:textId="77777777" w:rsidR="009D2784" w:rsidRDefault="009D2784" w:rsidP="009D2784">
      <w:pPr>
        <w:rPr>
          <w:lang w:val="en-US"/>
        </w:rPr>
      </w:pPr>
    </w:p>
    <w:p w14:paraId="4E4484C2" w14:textId="77777777" w:rsidR="009D2784" w:rsidRPr="00C50551" w:rsidRDefault="009D2784" w:rsidP="009D2784">
      <w:pPr>
        <w:rPr>
          <w:lang w:val="en-US"/>
        </w:rPr>
      </w:pPr>
      <w:r w:rsidRPr="00C50551">
        <w:rPr>
          <w:lang w:val="en-US"/>
        </w:rPr>
        <w:t>The support of Expertise France in the implementation of national contributions is part of a long-term dynamic since the agency had supported, prior to COP 21, 26 African countries and small is</w:t>
      </w:r>
      <w:r>
        <w:rPr>
          <w:lang w:val="en-US"/>
        </w:rPr>
        <w:t>land developing States in thei</w:t>
      </w:r>
      <w:r w:rsidRPr="00C50551">
        <w:rPr>
          <w:lang w:val="en-US"/>
        </w:rPr>
        <w:t xml:space="preserve">process of drawing up national </w:t>
      </w:r>
      <w:r>
        <w:rPr>
          <w:lang w:val="en-US"/>
        </w:rPr>
        <w:t xml:space="preserve">contributions. </w:t>
      </w:r>
      <w:r w:rsidRPr="00C50551">
        <w:rPr>
          <w:lang w:val="en-US"/>
        </w:rPr>
        <w:t xml:space="preserve">For each country, </w:t>
      </w:r>
      <w:r>
        <w:rPr>
          <w:lang w:val="en-US"/>
        </w:rPr>
        <w:t xml:space="preserve">the identification missions </w:t>
      </w:r>
      <w:r w:rsidRPr="00C50551">
        <w:rPr>
          <w:lang w:val="en-US"/>
        </w:rPr>
        <w:t>made it possible to define and analyse the specific needs of the countries concerned b</w:t>
      </w:r>
      <w:r>
        <w:rPr>
          <w:lang w:val="en-US"/>
        </w:rPr>
        <w:t xml:space="preserve">y the project. </w:t>
      </w:r>
      <w:r w:rsidRPr="00C50551">
        <w:rPr>
          <w:lang w:val="en-US"/>
        </w:rPr>
        <w:t>11 MOUs have been signed to date, the last with Côte d’Ivoire (March 2019).  The other signatory countries are: Comoros, Congo Brazzaville, Guinea Conakry, Madagascar, Mauritius, Niger, Dominican Republic, Senegal, Tunisia and the OECS.</w:t>
      </w:r>
    </w:p>
    <w:p w14:paraId="35A5EFE7" w14:textId="77777777" w:rsidR="009D2784" w:rsidRDefault="009D2784" w:rsidP="009D2784"/>
    <w:p w14:paraId="39F13A33" w14:textId="77777777" w:rsidR="009D2784" w:rsidRPr="000D1437" w:rsidRDefault="009D2784" w:rsidP="009D2784">
      <w:pPr>
        <w:suppressAutoHyphens/>
        <w:autoSpaceDE w:val="0"/>
        <w:autoSpaceDN w:val="0"/>
        <w:spacing w:before="40" w:after="120" w:line="220" w:lineRule="exact"/>
        <w:rPr>
          <w:rFonts w:asciiTheme="majorHAnsi" w:hAnsiTheme="majorHAnsi"/>
          <w:szCs w:val="22"/>
        </w:rPr>
      </w:pPr>
      <w:r w:rsidRPr="000D1437">
        <w:rPr>
          <w:rFonts w:asciiTheme="majorHAnsi" w:eastAsia="SimSun" w:hAnsiTheme="majorHAnsi"/>
          <w:szCs w:val="22"/>
          <w:lang w:eastAsia="en-GB"/>
        </w:rPr>
        <w:t xml:space="preserve">Through AdaptAction Facility, AFD was able to look back at the Programme, highlighting that a </w:t>
      </w:r>
      <w:r w:rsidRPr="000D1437">
        <w:rPr>
          <w:rFonts w:asciiTheme="majorHAnsi" w:hAnsiTheme="majorHAnsi"/>
          <w:szCs w:val="22"/>
        </w:rPr>
        <w:t xml:space="preserve">participatory and inclusive approach provides a framework for adaptation processes. 3 key successes were identified : </w:t>
      </w:r>
    </w:p>
    <w:p w14:paraId="765282BA" w14:textId="77777777" w:rsidR="009D2784" w:rsidRPr="000D1437" w:rsidRDefault="009D2784" w:rsidP="009D2784">
      <w:pPr>
        <w:suppressAutoHyphens/>
        <w:autoSpaceDE w:val="0"/>
        <w:autoSpaceDN w:val="0"/>
        <w:spacing w:before="40" w:after="120" w:line="220" w:lineRule="exact"/>
        <w:rPr>
          <w:rFonts w:asciiTheme="majorHAnsi" w:hAnsiTheme="majorHAnsi"/>
          <w:szCs w:val="22"/>
        </w:rPr>
      </w:pPr>
      <w:r w:rsidRPr="000D1437">
        <w:rPr>
          <w:rFonts w:asciiTheme="majorHAnsi" w:hAnsiTheme="majorHAnsi"/>
          <w:szCs w:val="22"/>
        </w:rPr>
        <w:t xml:space="preserve">1/ Co-construction with partner countries is one of the key structuring elements of the AdaptAction programme which aims to reduce maladaptation risks and ensure the projects’ adoption and sustainability over time. Multi-stakeholder workshops (ministries, researchers, NGOs, technical and financial partners, the private sector, etc.) help to better understand needs and identify adaptation strategies. </w:t>
      </w:r>
    </w:p>
    <w:p w14:paraId="566E0F5B" w14:textId="77777777" w:rsidR="009D2784" w:rsidRPr="000D1437" w:rsidRDefault="009D2784" w:rsidP="009D2784">
      <w:pPr>
        <w:suppressAutoHyphens/>
        <w:autoSpaceDE w:val="0"/>
        <w:autoSpaceDN w:val="0"/>
        <w:spacing w:before="40" w:after="120" w:line="220" w:lineRule="exact"/>
        <w:rPr>
          <w:rFonts w:asciiTheme="majorHAnsi" w:hAnsiTheme="majorHAnsi"/>
          <w:szCs w:val="22"/>
        </w:rPr>
      </w:pPr>
      <w:r w:rsidRPr="000D1437">
        <w:rPr>
          <w:rFonts w:asciiTheme="majorHAnsi" w:hAnsiTheme="majorHAnsi"/>
          <w:szCs w:val="22"/>
        </w:rPr>
        <w:t xml:space="preserve">2/ Participatory vulnerability studies foster the consideration of local knowledge and stakeholder dynamics, thereby promoting projects, therefore promoting projects that include a diversity of - sometimes diverging - points of views and interests. </w:t>
      </w:r>
    </w:p>
    <w:p w14:paraId="57500494" w14:textId="77777777" w:rsidR="009D2784" w:rsidRPr="000D1437" w:rsidRDefault="009D2784" w:rsidP="009D2784">
      <w:pPr>
        <w:suppressAutoHyphens/>
        <w:autoSpaceDE w:val="0"/>
        <w:autoSpaceDN w:val="0"/>
        <w:spacing w:before="40" w:after="120" w:line="220" w:lineRule="exact"/>
        <w:rPr>
          <w:rFonts w:asciiTheme="majorHAnsi" w:eastAsia="SimSun" w:hAnsiTheme="majorHAnsi"/>
          <w:szCs w:val="22"/>
          <w:lang w:eastAsia="en-GB"/>
        </w:rPr>
      </w:pPr>
      <w:r w:rsidRPr="000D1437">
        <w:rPr>
          <w:rFonts w:asciiTheme="majorHAnsi" w:hAnsiTheme="majorHAnsi"/>
          <w:szCs w:val="22"/>
        </w:rPr>
        <w:t>3/ Climate is not gender neutral. Specific expertise, data and indicators allow for a more detailed understanding of the differences in vulnerabilities and of the positive role played by women as agents of change.</w:t>
      </w:r>
    </w:p>
    <w:p w14:paraId="79678C05" w14:textId="77777777" w:rsidR="009D2784" w:rsidRPr="00364545" w:rsidRDefault="009D2784" w:rsidP="0027680A"/>
    <w:p w14:paraId="7EA2DC32" w14:textId="77777777" w:rsidR="00880CF0" w:rsidRPr="00364545" w:rsidRDefault="00880CF0" w:rsidP="00880CF0"/>
    <w:p w14:paraId="48E65683" w14:textId="77777777" w:rsidR="00880CF0" w:rsidRPr="004F2995" w:rsidRDefault="00880CF0" w:rsidP="0027680A">
      <w:pPr>
        <w:rPr>
          <w:lang w:val="fr-FR"/>
        </w:rPr>
      </w:pPr>
      <w:r w:rsidRPr="00364545">
        <w:t xml:space="preserve">For phase 2 (€15 million from 2022 to 2025), the scope of the programme has been refocused on Africa with 12 partner countries. </w:t>
      </w:r>
      <w:r w:rsidRPr="004F2995">
        <w:rPr>
          <w:lang w:val="fr-FR"/>
        </w:rPr>
        <w:t>La phase 2 a pour objectif de renforcer la résilience des populations et des écosystèmes au travers d’un triptyque comprendre/planifier/investir et de 2 composantes transversales :</w:t>
      </w:r>
    </w:p>
    <w:p w14:paraId="4791AC3E" w14:textId="77777777" w:rsidR="00880CF0" w:rsidRPr="00364545" w:rsidRDefault="00880CF0" w:rsidP="00BE086C">
      <w:pPr>
        <w:pStyle w:val="ListParagraph"/>
        <w:numPr>
          <w:ilvl w:val="0"/>
          <w:numId w:val="56"/>
        </w:numPr>
      </w:pPr>
      <w:r w:rsidRPr="00364545">
        <w:t>Focus 1 - “Understanding” supports operational research on the human dimensions of climate, to promote the translation of climate science into public policy and action;</w:t>
      </w:r>
    </w:p>
    <w:p w14:paraId="3A899965" w14:textId="77777777" w:rsidR="00880CF0" w:rsidRPr="00364545" w:rsidRDefault="00880CF0" w:rsidP="00BE086C">
      <w:pPr>
        <w:pStyle w:val="ListParagraph"/>
        <w:numPr>
          <w:ilvl w:val="0"/>
          <w:numId w:val="56"/>
        </w:numPr>
      </w:pPr>
      <w:r w:rsidRPr="00364545">
        <w:t>Focus 2 - “Planning” aims to better integrate adaptation into governance mechanisms and sectoral public policy strategies;</w:t>
      </w:r>
    </w:p>
    <w:p w14:paraId="4BCE8D7C" w14:textId="77777777" w:rsidR="00880CF0" w:rsidRPr="00364545" w:rsidRDefault="00880CF0" w:rsidP="00BE086C">
      <w:pPr>
        <w:pStyle w:val="ListParagraph"/>
        <w:numPr>
          <w:ilvl w:val="0"/>
          <w:numId w:val="56"/>
        </w:numPr>
      </w:pPr>
      <w:r w:rsidRPr="00364545">
        <w:t xml:space="preserve">Focus 3 - “Investing” produces vulnerability studies and project feasibility studies to contribute to the emergence of more robust adaptation projects. </w:t>
      </w:r>
    </w:p>
    <w:p w14:paraId="4E16A710" w14:textId="454308DC" w:rsidR="00880CF0" w:rsidRPr="00364545" w:rsidRDefault="00880CF0" w:rsidP="00BE086C">
      <w:pPr>
        <w:pStyle w:val="ListParagraph"/>
        <w:numPr>
          <w:ilvl w:val="0"/>
          <w:numId w:val="56"/>
        </w:numPr>
      </w:pPr>
      <w:r w:rsidRPr="00364545">
        <w:t xml:space="preserve">A cross-disciplinary component dedicated to a better understanding of gender and social inclusion in all the focuses (mobilisation of dedicated expertise, capacity building, deployment of specific activities). </w:t>
      </w:r>
    </w:p>
    <w:p w14:paraId="5613E28F" w14:textId="77777777" w:rsidR="00880CF0" w:rsidRPr="00364545" w:rsidRDefault="00880CF0" w:rsidP="00BE086C">
      <w:pPr>
        <w:pStyle w:val="ListParagraph"/>
        <w:numPr>
          <w:ilvl w:val="0"/>
          <w:numId w:val="56"/>
        </w:numPr>
      </w:pPr>
      <w:r w:rsidRPr="00364545">
        <w:t xml:space="preserve">A cross-disciplinary component dedicated to </w:t>
      </w:r>
      <w:r w:rsidRPr="00364545">
        <w:rPr>
          <w:i/>
        </w:rPr>
        <w:t>knowledge management</w:t>
      </w:r>
      <w:r w:rsidRPr="00364545">
        <w:t xml:space="preserve"> and highlighting the value of knowledge; this will contribute to capitalisation and exchange of North-South, South-South and also South-North knowledge and good practices (contributor of a community of knowledge and practices). </w:t>
      </w:r>
    </w:p>
    <w:p w14:paraId="53E7684E" w14:textId="77777777" w:rsidR="00880CF0" w:rsidRPr="00364545" w:rsidRDefault="00880CF0" w:rsidP="00880CF0"/>
    <w:p w14:paraId="6F9968CD" w14:textId="77777777" w:rsidR="00880CF0" w:rsidRPr="00364545" w:rsidRDefault="00880CF0" w:rsidP="0027680A">
      <w:r w:rsidRPr="00364545">
        <w:t>Phase 2 of AdaptAction thus aims to be a laboratory or learning system to better formalise and structure innovative approaches to adaptation, in particular the links between climate, biodiversity and society.</w:t>
      </w:r>
    </w:p>
    <w:p w14:paraId="6B5672F6" w14:textId="77777777" w:rsidR="00880CF0" w:rsidRPr="00364545" w:rsidRDefault="00880CF0" w:rsidP="00880CF0"/>
    <w:p w14:paraId="077C9BCB" w14:textId="77777777" w:rsidR="00880CF0" w:rsidRPr="00364545" w:rsidRDefault="00880CF0" w:rsidP="00E524AF">
      <w:pPr>
        <w:pStyle w:val="Titre3Niveau3"/>
      </w:pPr>
      <w:bookmarkStart w:id="715" w:name="_Toc138341887"/>
      <w:bookmarkStart w:id="716" w:name="_Toc115454112"/>
      <w:bookmarkStart w:id="717" w:name="_Toc121390993"/>
      <w:r w:rsidRPr="00364545">
        <w:t>Establishing a national reporting system (GHG inventory, projections, mitigation measures, adaptation)</w:t>
      </w:r>
      <w:bookmarkEnd w:id="715"/>
      <w:r w:rsidRPr="00364545">
        <w:t xml:space="preserve"> </w:t>
      </w:r>
      <w:bookmarkEnd w:id="716"/>
      <w:bookmarkEnd w:id="717"/>
    </w:p>
    <w:p w14:paraId="527171D1" w14:textId="77777777" w:rsidR="00880CF0" w:rsidRPr="00364545" w:rsidRDefault="00880CF0" w:rsidP="00880CF0">
      <w:pPr>
        <w:spacing w:before="240" w:after="240"/>
      </w:pPr>
      <w:r w:rsidRPr="00364545">
        <w:t xml:space="preserve">Since 2014, France has participated technically and financially in the activities of the “French-speaking Cluster” by co-financing capacity-building workshops for French-speaking developing countries with Belgium, Switzerland and Germany. The Francophone Cluster is an initiative of the Partnership for Transparency in the Paris Agreement. It was created following the French-speaking workshop for Africa on Measurement, Reporting and Verification (MRV) issues held in Gammarth, Tunisia, on 17-18 December 2013. Its aim is to enable the exchange of information, expertise and experiences between French-speaking partners, developing and developed countries, concerning GHG inventories, the development of mitigation measures, the MRV process and the formulation of Nationally Determined Contributions (NDCs). </w:t>
      </w:r>
    </w:p>
    <w:p w14:paraId="65284C2B" w14:textId="7EE3354A" w:rsidR="00880CF0" w:rsidRPr="00364545" w:rsidRDefault="00880CF0" w:rsidP="00880CF0">
      <w:pPr>
        <w:spacing w:before="240" w:after="240"/>
      </w:pPr>
      <w:r w:rsidRPr="00364545">
        <w:t>Several workshops have been organised since 2013 (see http://mitigationpartnership.net/cluster-francophone). A side event to present the feedback from these workshops took place during COP21 in Paris. In 2015, two workshops were held (Paris, Rabat); in 2016, two workshops were also held in Abidjan and Casablanca, and a workshop was held in Rome in 2017 for one week. In 2018, a workshop was held in Cameroon on the Measurement and Evaluation of Adaptation Measures. In 2019, a workshop in Saly, Senegal, brought together 65 participants from 20 French-speaking African developing countries to understand how to successfully implement the 2006 IPCC Guidelines in the "Agriculture, Forestry and Other Land Use" (AFAT) and waste treatment sectors with the aim of submitting Biennial Update Reports (BURs) and future Biennial Transparency Reports (BTRs) and stimulating the implementation of NDCs. CITEPA, a public operator with world-renowned expertise and a specialist in French inventories since their inception, is a major stakeholder in the French-speaking cluster and runs these workshops, the next of which is currently being prepared to support countries in updating and upgrading their NDCs for COP26 in Glasgow in 2020.</w:t>
      </w:r>
    </w:p>
    <w:p w14:paraId="55FF0761" w14:textId="77777777" w:rsidR="00880CF0" w:rsidRPr="00364545" w:rsidRDefault="00880CF0" w:rsidP="00E524AF">
      <w:pPr>
        <w:pStyle w:val="Titre3Niveau3"/>
      </w:pPr>
      <w:bookmarkStart w:id="718" w:name="_Toc115454113"/>
      <w:bookmarkStart w:id="719" w:name="_Toc121390994"/>
      <w:bookmarkStart w:id="720" w:name="_Toc138341888"/>
      <w:r w:rsidRPr="00364545">
        <w:t>French support for the implementation of a national GHG inventory system in Algeria</w:t>
      </w:r>
      <w:bookmarkEnd w:id="718"/>
      <w:bookmarkEnd w:id="719"/>
      <w:bookmarkEnd w:id="720"/>
      <w:r w:rsidRPr="00364545">
        <w:t xml:space="preserve"> </w:t>
      </w:r>
    </w:p>
    <w:p w14:paraId="33CAF473" w14:textId="77777777" w:rsidR="00880CF0" w:rsidRPr="00364545" w:rsidRDefault="00880CF0" w:rsidP="00880CF0">
      <w:pPr>
        <w:spacing w:before="240" w:after="240"/>
      </w:pPr>
      <w:r w:rsidRPr="00364545">
        <w:t>The French Ministry of Europe and Foreign Affairs, represented by the French Embassy in Algeria, is co-financing support for Algerian authorities, including the National Agency for Climate Change (ANCC) and the French Ministry of the Environment. This support, which began in 2018, is carried out by CITEPA as a State Operator and concerns the institutionalisation of the national GHG inventory system, the training of Algerian experts in GHG inventory methods based on the 2006 IPCC guidelines, and their assistance in implementing emission calculations for all sectors over long time series. This work could be used in the exercises underway to develop the National Communication and the RBA, as well as in the revision of the NDC.</w:t>
      </w:r>
    </w:p>
    <w:p w14:paraId="0C109BF3" w14:textId="77777777" w:rsidR="00880CF0" w:rsidRPr="00364545" w:rsidRDefault="00880CF0" w:rsidP="00E524AF">
      <w:pPr>
        <w:pStyle w:val="Titre3Niveau3"/>
      </w:pPr>
      <w:bookmarkStart w:id="721" w:name="_Toc138341889"/>
      <w:bookmarkStart w:id="722" w:name="_Toc115454114"/>
      <w:bookmarkStart w:id="723" w:name="_Toc121390995"/>
      <w:r w:rsidRPr="00364545">
        <w:t>Software for MRV of air pollutant and GHG emissions: RISQ</w:t>
      </w:r>
      <w:bookmarkEnd w:id="721"/>
      <w:r w:rsidRPr="00364545">
        <w:t xml:space="preserve"> </w:t>
      </w:r>
      <w:bookmarkEnd w:id="722"/>
      <w:bookmarkEnd w:id="723"/>
    </w:p>
    <w:p w14:paraId="743B6748" w14:textId="77777777" w:rsidR="00880CF0" w:rsidRPr="00364545" w:rsidRDefault="00880CF0" w:rsidP="00880CF0">
      <w:pPr>
        <w:spacing w:before="240" w:after="240"/>
      </w:pPr>
      <w:r w:rsidRPr="00364545">
        <w:t>Developed by CITEPA and customised for implementation in emerging and developing countries. This tool exists in three versions: Excel, Access and Web. It contributes to the transparency, accuracy, reliability, coverage and consistency of national inventories; to the sustainability of capacity-building actions in southern countries; and to the scalability of their measurement, reporting and verification (from nations to cities, from nations to their neighbours). RISQ has been or will be implemented in France, Morocco, Nigeria, Niger, Rwanda, Tunisia, Algeria and Monaco. (Developed with Citepa’s own funding)</w:t>
      </w:r>
    </w:p>
    <w:p w14:paraId="25F6233A" w14:textId="77777777" w:rsidR="00880CF0" w:rsidRPr="00364545" w:rsidRDefault="00880CF0" w:rsidP="00E524AF">
      <w:pPr>
        <w:pStyle w:val="Titre3Niveau3"/>
      </w:pPr>
      <w:bookmarkStart w:id="724" w:name="_Toc115454115"/>
      <w:bookmarkStart w:id="725" w:name="_Toc121390996"/>
      <w:bookmarkStart w:id="726" w:name="_Toc138341890"/>
      <w:r w:rsidRPr="00364545">
        <w:t>The Franco-Chinese centre with CRAES</w:t>
      </w:r>
      <w:bookmarkEnd w:id="724"/>
      <w:bookmarkEnd w:id="725"/>
      <w:bookmarkEnd w:id="726"/>
    </w:p>
    <w:p w14:paraId="6EB23B77" w14:textId="08EBC45D" w:rsidR="00880CF0" w:rsidRPr="00364545" w:rsidRDefault="00880CF0" w:rsidP="00880CF0">
      <w:pPr>
        <w:spacing w:before="240" w:after="240"/>
      </w:pPr>
      <w:r w:rsidRPr="00364545">
        <w:t xml:space="preserve">CITEPA and its Chinese partner CRAES, which depends on the Chinese Ministry of Pollution Control, met for the first time in Beijing in 2014. On August 1, 2015, they signed a five-year framework agreement to integrate GHGs and pollutants in order to establish a synergy between urban air quality and the fight against climate change. This collaboration based on knowledge, quantification, reporting and projections of emissions in China aims at a progressive integration of air-climate-energy issues. A report was published in 2015 about the fruits of this joint work, which led to the creation of the Franco-Chinese centre for pollutants, GHG emissions and their reduction. The centre promotes good practices in GHG emissions inventory, measurement, reporting and verification, in support of public policies. These actions were presented during a specific side-event at the 5th Franco-Chinese International Conference on Atmospheric Environment, which took place in Xi’an in October 2016. A workshop was also held in Paris in May 2017. In 2019, this partnership was completed by a visit by the NTSC, a division of the Chinese MEE, and head of the China NDC. In 2019-2020, the demonstration of an integrated approach to climate and air pollution reporting and policies and measures was carried out in two provinces (including Inner Mongolia). This pilot, involving two regional RISQ software packages, has been submitted for funding in March 2019 to the Asian Development Bank (AsDB). </w:t>
      </w:r>
    </w:p>
    <w:p w14:paraId="46A02470" w14:textId="0AD3C64E" w:rsidR="00880CF0" w:rsidRPr="00364545" w:rsidRDefault="00880CF0" w:rsidP="00880CF0">
      <w:pPr>
        <w:spacing w:before="240" w:after="240"/>
      </w:pPr>
      <w:r w:rsidRPr="00364545">
        <w:t>A new presentation of the RISQ software, for application in different Asian countries, took place in the first half of 2020. This project is self-financed by CITEPA.</w:t>
      </w:r>
    </w:p>
    <w:p w14:paraId="08A2BF39" w14:textId="77777777" w:rsidR="00880CF0" w:rsidRPr="00364545" w:rsidRDefault="00880CF0" w:rsidP="00E524AF">
      <w:pPr>
        <w:pStyle w:val="Titre3Niveau3"/>
      </w:pPr>
      <w:bookmarkStart w:id="727" w:name="_Toc115454116"/>
      <w:bookmarkStart w:id="728" w:name="_Toc121390997"/>
      <w:bookmarkStart w:id="729" w:name="_Toc138341891"/>
      <w:r w:rsidRPr="00364545">
        <w:t>ADEME’s role</w:t>
      </w:r>
      <w:bookmarkEnd w:id="727"/>
      <w:bookmarkEnd w:id="728"/>
      <w:bookmarkEnd w:id="729"/>
    </w:p>
    <w:p w14:paraId="668E9BB6" w14:textId="6930EDFF" w:rsidR="00880CF0" w:rsidRPr="00364545" w:rsidRDefault="00880CF0" w:rsidP="00880CF0">
      <w:pPr>
        <w:spacing w:before="240" w:after="240"/>
      </w:pPr>
      <w:r w:rsidRPr="00364545">
        <w:t xml:space="preserve">At the national level, ADEME supports the capacity building of local authorities as regards climate change. This expertise has been shared internationally in capacity-building programmes for local authorities in sub-Saharan Africa. In partnership with the European Commission, ADEME contributed to the work of the Covenant of Mayors for Sub-Saharan Africa (Com SSA). </w:t>
      </w:r>
      <w:r w:rsidRPr="004F2995">
        <w:rPr>
          <w:lang w:val="fr-FR"/>
        </w:rPr>
        <w:t xml:space="preserve">En partenariat avec l’Association Internationale des Maires Francophones (AIMF) elle accompagne le développement Réseau des Femmes Elues Locales d’Afrique (REFELA). </w:t>
      </w:r>
      <w:r w:rsidRPr="00364545">
        <w:t>Finally, ADEME supports the pan-African organisation United Cities and Local Governments of Africa (UCLG-Africa) and its African Local Government Academy (ALGA).</w:t>
      </w:r>
    </w:p>
    <w:p w14:paraId="07F88331" w14:textId="77777777" w:rsidR="00880CF0" w:rsidRPr="00364545" w:rsidRDefault="00880CF0" w:rsidP="00880CF0">
      <w:pPr>
        <w:spacing w:before="240" w:after="240"/>
      </w:pPr>
      <w:r w:rsidRPr="00364545">
        <w:t>ADEME also contributes to the multilateral initiative Mobilise Your City, which aims to increase the skills of local authorities in sustainable urban mobility.</w:t>
      </w:r>
    </w:p>
    <w:p w14:paraId="63CD9BC2" w14:textId="77777777" w:rsidR="00880CF0" w:rsidRPr="00364545" w:rsidRDefault="00880CF0" w:rsidP="00880CF0">
      <w:pPr>
        <w:spacing w:before="240" w:after="240"/>
        <w:rPr>
          <w:highlight w:val="yellow"/>
        </w:rPr>
      </w:pPr>
      <w:r w:rsidRPr="00364545">
        <w:t>In parallel to the 2017 and 2019 calls for projects on access to off-grid renewable energy, ADEME has led a working group of French supply stakeholders with the Syndicat des Energies Renouvelables. This facilitation, from 2018 to 2022, has made it possible to develop a common vision for French stakeholders for energy access, to develop proposals to remove the barriers that these stakeholders face, and to promote French expertise internationally. Their proposals to accelerate universal access to sustainable off-grid energy services were proposed in a White Paper published in 2020.</w:t>
      </w:r>
    </w:p>
    <w:p w14:paraId="7EE08C29" w14:textId="15D4985A" w:rsidR="0027680A" w:rsidRPr="00364545" w:rsidRDefault="00454093" w:rsidP="00714DEF">
      <w:pPr>
        <w:spacing w:before="240" w:after="240"/>
        <w:sectPr w:rsidR="0027680A" w:rsidRPr="00364545" w:rsidSect="00A8610E">
          <w:pgSz w:w="11906" w:h="16838" w:code="9"/>
          <w:pgMar w:top="1230" w:right="907" w:bottom="1650" w:left="1049" w:header="284" w:footer="284" w:gutter="0"/>
          <w:cols w:space="708"/>
          <w:titlePg/>
          <w:docGrid w:linePitch="360"/>
        </w:sectPr>
      </w:pPr>
      <w:r w:rsidRPr="00364545">
        <w:t>The CTF9 (Capacity Building Support) table below presents a number of capacity-building initiatives.</w:t>
      </w:r>
    </w:p>
    <w:tbl>
      <w:tblPr>
        <w:tblStyle w:val="GridTable4-Accent4"/>
        <w:tblW w:w="15021" w:type="dxa"/>
        <w:jc w:val="center"/>
        <w:tblLook w:val="04A0" w:firstRow="1" w:lastRow="0" w:firstColumn="1" w:lastColumn="0" w:noHBand="0" w:noVBand="1"/>
      </w:tblPr>
      <w:tblGrid>
        <w:gridCol w:w="1557"/>
        <w:gridCol w:w="1692"/>
        <w:gridCol w:w="2674"/>
        <w:gridCol w:w="9098"/>
      </w:tblGrid>
      <w:tr w:rsidR="0027680A" w:rsidRPr="00364545" w14:paraId="6A4189B3" w14:textId="77777777" w:rsidTr="005B7447">
        <w:trPr>
          <w:cnfStyle w:val="100000000000" w:firstRow="1" w:lastRow="0" w:firstColumn="0" w:lastColumn="0" w:oddVBand="0" w:evenVBand="0" w:oddHBand="0"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6B7B7BE7" w14:textId="3A546A58" w:rsidR="0027680A" w:rsidRPr="00364545" w:rsidRDefault="0027680A" w:rsidP="0027680A">
            <w:pPr>
              <w:jc w:val="center"/>
              <w:rPr>
                <w:rFonts w:ascii="Arial" w:hAnsi="Arial" w:cs="Arial"/>
                <w:color w:val="000000"/>
                <w:sz w:val="16"/>
                <w:szCs w:val="16"/>
              </w:rPr>
            </w:pPr>
            <w:r w:rsidRPr="00364545">
              <w:rPr>
                <w:rFonts w:ascii="Arial" w:hAnsi="Arial"/>
                <w:color w:val="000000"/>
                <w:sz w:val="16"/>
              </w:rPr>
              <w:t>Recipient country or region</w:t>
            </w:r>
          </w:p>
        </w:tc>
        <w:tc>
          <w:tcPr>
            <w:tcW w:w="1692" w:type="dxa"/>
            <w:hideMark/>
          </w:tcPr>
          <w:p w14:paraId="7B4D4300" w14:textId="69DA9DD9" w:rsidR="0027680A" w:rsidRPr="00364545" w:rsidRDefault="0027680A" w:rsidP="0027680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Objective</w:t>
            </w:r>
          </w:p>
        </w:tc>
        <w:tc>
          <w:tcPr>
            <w:tcW w:w="2674" w:type="dxa"/>
            <w:hideMark/>
          </w:tcPr>
          <w:p w14:paraId="5E106164" w14:textId="7D3E299A" w:rsidR="0027680A" w:rsidRPr="00364545" w:rsidRDefault="0027680A" w:rsidP="0027680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Programme or project title</w:t>
            </w:r>
          </w:p>
        </w:tc>
        <w:tc>
          <w:tcPr>
            <w:tcW w:w="9098" w:type="dxa"/>
            <w:hideMark/>
          </w:tcPr>
          <w:p w14:paraId="3575260D" w14:textId="4070A279" w:rsidR="0027680A" w:rsidRPr="00364545" w:rsidRDefault="0027680A" w:rsidP="0027680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64545">
              <w:rPr>
                <w:rFonts w:ascii="Arial" w:hAnsi="Arial"/>
                <w:color w:val="000000"/>
                <w:sz w:val="16"/>
              </w:rPr>
              <w:t>Programme or project description</w:t>
            </w:r>
          </w:p>
        </w:tc>
      </w:tr>
      <w:tr w:rsidR="0027680A" w:rsidRPr="00364545" w14:paraId="6598FE5E" w14:textId="77777777" w:rsidTr="005B7447">
        <w:trPr>
          <w:cnfStyle w:val="000000100000" w:firstRow="0" w:lastRow="0" w:firstColumn="0" w:lastColumn="0" w:oddVBand="0" w:evenVBand="0" w:oddHBand="1" w:evenHBand="0" w:firstRowFirstColumn="0" w:firstRowLastColumn="0" w:lastRowFirstColumn="0" w:lastRowLastColumn="0"/>
          <w:trHeight w:val="192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6F4C9515" w14:textId="77777777" w:rsidR="0027680A" w:rsidRPr="00364545" w:rsidRDefault="0027680A" w:rsidP="0027680A">
            <w:pPr>
              <w:jc w:val="left"/>
              <w:rPr>
                <w:rFonts w:ascii="Arial" w:hAnsi="Arial" w:cs="Arial"/>
                <w:color w:val="000000"/>
                <w:sz w:val="18"/>
                <w:szCs w:val="18"/>
              </w:rPr>
            </w:pPr>
            <w:r w:rsidRPr="00364545">
              <w:rPr>
                <w:rFonts w:ascii="Arial" w:hAnsi="Arial"/>
                <w:color w:val="000000"/>
                <w:sz w:val="18"/>
              </w:rPr>
              <w:t>Multi-country</w:t>
            </w:r>
          </w:p>
        </w:tc>
        <w:tc>
          <w:tcPr>
            <w:tcW w:w="1692" w:type="dxa"/>
            <w:hideMark/>
          </w:tcPr>
          <w:p w14:paraId="68002689" w14:textId="2D068DE5"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Mitigation</w:t>
            </w:r>
          </w:p>
        </w:tc>
        <w:tc>
          <w:tcPr>
            <w:tcW w:w="2674" w:type="dxa"/>
            <w:hideMark/>
          </w:tcPr>
          <w:p w14:paraId="68D342CA" w14:textId="77777777"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Mobilise Your City</w:t>
            </w:r>
          </w:p>
        </w:tc>
        <w:tc>
          <w:tcPr>
            <w:tcW w:w="9098" w:type="dxa"/>
            <w:hideMark/>
          </w:tcPr>
          <w:p w14:paraId="0BB6243D" w14:textId="77777777"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Launched at COP 21, MobiliseYourCity is a Franco-German Global Climate Action Agenda initiative implemented by GIZ, AFD, CEREMA, CODATU and ADEME, with support from the FGEF. It aims to roll out sustainable urban mobility plans in 100 cities in 20 developing countries. It takes the form of a partnership programme in which: (i) cities and governments commit to developing sustainable urban mobility plans (SUMPs) and national urban mobility policies (NUMPs) to improve mobility and reduce GHG emissions; and (ii) actions are financed to support them in this objective, to provide them with a robust methodological framework, and to facilitate exchange between peers.</w:t>
            </w:r>
          </w:p>
        </w:tc>
      </w:tr>
      <w:tr w:rsidR="0027680A" w:rsidRPr="00364545" w14:paraId="78A12584" w14:textId="77777777" w:rsidTr="005B7447">
        <w:trPr>
          <w:trHeight w:val="120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39633D8E" w14:textId="77777777" w:rsidR="0027680A" w:rsidRPr="00364545" w:rsidRDefault="0027680A" w:rsidP="0027680A">
            <w:pPr>
              <w:jc w:val="left"/>
              <w:rPr>
                <w:rFonts w:ascii="Arial" w:hAnsi="Arial" w:cs="Arial"/>
                <w:color w:val="000000"/>
                <w:sz w:val="18"/>
                <w:szCs w:val="18"/>
              </w:rPr>
            </w:pPr>
            <w:r w:rsidRPr="00364545">
              <w:rPr>
                <w:rFonts w:ascii="Arial" w:hAnsi="Arial"/>
                <w:color w:val="000000"/>
                <w:sz w:val="18"/>
              </w:rPr>
              <w:t>Cameroon</w:t>
            </w:r>
          </w:p>
        </w:tc>
        <w:tc>
          <w:tcPr>
            <w:tcW w:w="1692" w:type="dxa"/>
            <w:hideMark/>
          </w:tcPr>
          <w:p w14:paraId="2F3D4F85" w14:textId="1A94681E"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Mitigation</w:t>
            </w:r>
          </w:p>
        </w:tc>
        <w:tc>
          <w:tcPr>
            <w:tcW w:w="2674" w:type="dxa"/>
            <w:hideMark/>
          </w:tcPr>
          <w:p w14:paraId="5E208079" w14:textId="77777777"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Women and Climate</w:t>
            </w:r>
          </w:p>
        </w:tc>
        <w:tc>
          <w:tcPr>
            <w:tcW w:w="9098" w:type="dxa"/>
            <w:hideMark/>
          </w:tcPr>
          <w:p w14:paraId="1FED9606" w14:textId="323A745F"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 xml:space="preserve">Support to the network of women mayors in Cameroon. The aim of the project (2018 - 2020) was to strengthen the network of local elected women in Cameroon and implement pilot actions for public lighting and power supply to public buildings. This programme is funded by the Ministry of Ecological Transition and managed by ADEME. Partners: AIMF, Veolia Foundation, FEICOM, and the municipalities targeted in Cameroon. Partnership: AIMF, Veolia Foundation, ADEME, FEICOM, along with the targeted municipalities. </w:t>
            </w:r>
          </w:p>
        </w:tc>
      </w:tr>
      <w:tr w:rsidR="0027680A" w:rsidRPr="00364545" w14:paraId="6940E56E" w14:textId="77777777" w:rsidTr="005B7447">
        <w:trPr>
          <w:cnfStyle w:val="000000100000" w:firstRow="0" w:lastRow="0" w:firstColumn="0" w:lastColumn="0" w:oddVBand="0" w:evenVBand="0" w:oddHBand="1" w:evenHBand="0" w:firstRowFirstColumn="0" w:firstRowLastColumn="0" w:lastRowFirstColumn="0" w:lastRowLastColumn="0"/>
          <w:trHeight w:val="264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592921C7" w14:textId="77777777" w:rsidR="0027680A" w:rsidRPr="00364545" w:rsidRDefault="0027680A" w:rsidP="0027680A">
            <w:pPr>
              <w:jc w:val="left"/>
              <w:rPr>
                <w:rFonts w:ascii="Arial" w:hAnsi="Arial" w:cs="Arial"/>
                <w:color w:val="000000"/>
                <w:sz w:val="18"/>
                <w:szCs w:val="18"/>
              </w:rPr>
            </w:pPr>
            <w:r w:rsidRPr="00364545">
              <w:rPr>
                <w:rFonts w:ascii="Arial" w:hAnsi="Arial"/>
                <w:color w:val="000000"/>
                <w:sz w:val="18"/>
              </w:rPr>
              <w:t>Mediterranean, Asia, Sub-Saharan Africa, Latin America</w:t>
            </w:r>
          </w:p>
        </w:tc>
        <w:tc>
          <w:tcPr>
            <w:tcW w:w="1692" w:type="dxa"/>
            <w:hideMark/>
          </w:tcPr>
          <w:p w14:paraId="1A01ADA1" w14:textId="7C0FF44E"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Mitigation</w:t>
            </w:r>
          </w:p>
        </w:tc>
        <w:tc>
          <w:tcPr>
            <w:tcW w:w="2674" w:type="dxa"/>
            <w:hideMark/>
          </w:tcPr>
          <w:p w14:paraId="4D6EC743" w14:textId="77777777"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PEEB - Programme for the Energy Efficiency of Buildings</w:t>
            </w:r>
          </w:p>
        </w:tc>
        <w:tc>
          <w:tcPr>
            <w:tcW w:w="9098" w:type="dxa"/>
            <w:hideMark/>
          </w:tcPr>
          <w:p w14:paraId="2DDF4403" w14:textId="588A59FC"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Launched at COP 22, the Building Energy Efficiency Programme contributes to the Global Alliance for Buildings and Construction (GABC) and is implemented by GIZ, AFD, and ADEME, with the support of the FFEM. The aim of this programme is to stimulate and finance projects to improve the energy performance of buildings in developing countries. Five pilot countries were targeted in the initial phase of the PEEB project: Mexico, Morocco, Tunisia, Senegal and Vietnam. Priority is given to new buildings, as the majority of buildings in developing countries that will exist in 2035 have yet to be built. The programme consists of setting up a technical cooperation facility for the emergence at international level of innovative financing solutions, support for national public policies and assistance in structuring and accompanying projects. This facility thus aims to promote and support the financing by international and local financial institutions of investments in energy efficient buildings.</w:t>
            </w:r>
          </w:p>
        </w:tc>
      </w:tr>
      <w:tr w:rsidR="0027680A" w:rsidRPr="00364545" w14:paraId="2CEF8276" w14:textId="77777777" w:rsidTr="005B7447">
        <w:trPr>
          <w:trHeight w:val="72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79AE8B98" w14:textId="77777777" w:rsidR="0027680A" w:rsidRPr="00364545" w:rsidRDefault="0027680A" w:rsidP="0027680A">
            <w:pPr>
              <w:jc w:val="left"/>
              <w:rPr>
                <w:rFonts w:ascii="Arial" w:hAnsi="Arial" w:cs="Arial"/>
                <w:color w:val="000000"/>
                <w:sz w:val="18"/>
                <w:szCs w:val="18"/>
              </w:rPr>
            </w:pPr>
            <w:r w:rsidRPr="00364545">
              <w:rPr>
                <w:rFonts w:ascii="Arial" w:hAnsi="Arial"/>
                <w:color w:val="000000"/>
                <w:sz w:val="18"/>
              </w:rPr>
              <w:t>Africa</w:t>
            </w:r>
          </w:p>
        </w:tc>
        <w:tc>
          <w:tcPr>
            <w:tcW w:w="1692" w:type="dxa"/>
            <w:hideMark/>
          </w:tcPr>
          <w:p w14:paraId="382E2FDE" w14:textId="6F984563"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Mitigation &amp; Adaptation</w:t>
            </w:r>
          </w:p>
        </w:tc>
        <w:tc>
          <w:tcPr>
            <w:tcW w:w="2674" w:type="dxa"/>
            <w:hideMark/>
          </w:tcPr>
          <w:p w14:paraId="5EEF35FB" w14:textId="77777777"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Covenant of Mayors for Sub-Saharan Africa (Com SSA)</w:t>
            </w:r>
          </w:p>
        </w:tc>
        <w:tc>
          <w:tcPr>
            <w:tcW w:w="9098" w:type="dxa"/>
            <w:hideMark/>
          </w:tcPr>
          <w:p w14:paraId="19F6D253" w14:textId="77777777"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Capacity-building for communities in sub-Saharan Africa. In partnership with the European Commission, ADEME contributed to the work of the Covenant of Mayors for Sub-Saharan Africa (Com SSA).</w:t>
            </w:r>
          </w:p>
        </w:tc>
      </w:tr>
      <w:tr w:rsidR="0027680A" w:rsidRPr="00364545" w14:paraId="3D47C0F0" w14:textId="77777777" w:rsidTr="005B7447">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7B6CA734" w14:textId="77777777" w:rsidR="0027680A" w:rsidRPr="00364545" w:rsidRDefault="0027680A" w:rsidP="0027680A">
            <w:pPr>
              <w:jc w:val="left"/>
              <w:rPr>
                <w:rFonts w:ascii="Arial" w:hAnsi="Arial" w:cs="Arial"/>
                <w:color w:val="000000"/>
                <w:sz w:val="18"/>
                <w:szCs w:val="18"/>
              </w:rPr>
            </w:pPr>
            <w:r w:rsidRPr="00364545">
              <w:rPr>
                <w:rFonts w:ascii="Arial" w:hAnsi="Arial"/>
                <w:color w:val="000000"/>
                <w:sz w:val="18"/>
              </w:rPr>
              <w:t>Africa</w:t>
            </w:r>
          </w:p>
        </w:tc>
        <w:tc>
          <w:tcPr>
            <w:tcW w:w="1692" w:type="dxa"/>
            <w:hideMark/>
          </w:tcPr>
          <w:p w14:paraId="12577AE4" w14:textId="417AD76A"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Mitigation</w:t>
            </w:r>
          </w:p>
        </w:tc>
        <w:tc>
          <w:tcPr>
            <w:tcW w:w="2674" w:type="dxa"/>
            <w:hideMark/>
          </w:tcPr>
          <w:p w14:paraId="41124030" w14:textId="77777777"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Network of Local Elected Women of Africa (REFELA)</w:t>
            </w:r>
          </w:p>
        </w:tc>
        <w:tc>
          <w:tcPr>
            <w:tcW w:w="9098" w:type="dxa"/>
            <w:hideMark/>
          </w:tcPr>
          <w:p w14:paraId="74355696" w14:textId="77777777"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Capacity-building for communities in sub-Saharan Africa. ADEME, in partnership with the International Association of Francophone Mayors (AIMF), supports the Network of Local Elected Women of Africa (REFELA).</w:t>
            </w:r>
          </w:p>
        </w:tc>
      </w:tr>
      <w:tr w:rsidR="0027680A" w:rsidRPr="00364545" w14:paraId="21F24106" w14:textId="77777777" w:rsidTr="005B7447">
        <w:trPr>
          <w:trHeight w:val="72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04C18830" w14:textId="77777777" w:rsidR="0027680A" w:rsidRPr="00364545" w:rsidRDefault="0027680A" w:rsidP="0027680A">
            <w:pPr>
              <w:jc w:val="left"/>
              <w:rPr>
                <w:rFonts w:ascii="Arial" w:hAnsi="Arial" w:cs="Arial"/>
                <w:color w:val="000000"/>
                <w:sz w:val="18"/>
                <w:szCs w:val="18"/>
              </w:rPr>
            </w:pPr>
            <w:r w:rsidRPr="00364545">
              <w:rPr>
                <w:rFonts w:ascii="Arial" w:hAnsi="Arial"/>
                <w:color w:val="000000"/>
                <w:sz w:val="18"/>
              </w:rPr>
              <w:t>Africa</w:t>
            </w:r>
          </w:p>
        </w:tc>
        <w:tc>
          <w:tcPr>
            <w:tcW w:w="1692" w:type="dxa"/>
            <w:hideMark/>
          </w:tcPr>
          <w:p w14:paraId="0F925A7B" w14:textId="32FD4EE8"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Mitigation &amp; Adaptation</w:t>
            </w:r>
          </w:p>
        </w:tc>
        <w:tc>
          <w:tcPr>
            <w:tcW w:w="2674" w:type="dxa"/>
            <w:hideMark/>
          </w:tcPr>
          <w:p w14:paraId="7CA5C745" w14:textId="77777777"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United Cities and Local Governments of Africa (UCLG Africa)</w:t>
            </w:r>
          </w:p>
        </w:tc>
        <w:tc>
          <w:tcPr>
            <w:tcW w:w="9098" w:type="dxa"/>
            <w:hideMark/>
          </w:tcPr>
          <w:p w14:paraId="7EDA90CF" w14:textId="77777777"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Capacity-building for communities in sub-Saharan Africa. ADEME supports the pan-African organisation United Cities and Local Governments of Africa (UCLG – Africa) and its African Academy of Territorial Collectivities (ALGA).</w:t>
            </w:r>
          </w:p>
        </w:tc>
      </w:tr>
      <w:tr w:rsidR="0027680A" w:rsidRPr="00364545" w14:paraId="0E6B4A20" w14:textId="77777777" w:rsidTr="005B7447">
        <w:trPr>
          <w:cnfStyle w:val="000000100000" w:firstRow="0" w:lastRow="0" w:firstColumn="0" w:lastColumn="0" w:oddVBand="0" w:evenVBand="0" w:oddHBand="1" w:evenHBand="0" w:firstRowFirstColumn="0" w:firstRowLastColumn="0" w:lastRowFirstColumn="0" w:lastRowLastColumn="0"/>
          <w:trHeight w:val="144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65B54557" w14:textId="77777777" w:rsidR="0027680A" w:rsidRPr="00364545" w:rsidRDefault="0027680A" w:rsidP="0027680A">
            <w:pPr>
              <w:jc w:val="left"/>
              <w:rPr>
                <w:rFonts w:ascii="Arial" w:hAnsi="Arial" w:cs="Arial"/>
                <w:color w:val="000000"/>
                <w:sz w:val="18"/>
                <w:szCs w:val="18"/>
              </w:rPr>
            </w:pPr>
            <w:r w:rsidRPr="00364545">
              <w:rPr>
                <w:rFonts w:ascii="Arial" w:hAnsi="Arial"/>
                <w:color w:val="000000"/>
                <w:sz w:val="18"/>
              </w:rPr>
              <w:t>World</w:t>
            </w:r>
          </w:p>
        </w:tc>
        <w:tc>
          <w:tcPr>
            <w:tcW w:w="1692" w:type="dxa"/>
            <w:hideMark/>
          </w:tcPr>
          <w:p w14:paraId="7632035A" w14:textId="1C2BFE71"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Mitigation</w:t>
            </w:r>
          </w:p>
        </w:tc>
        <w:tc>
          <w:tcPr>
            <w:tcW w:w="2674" w:type="dxa"/>
            <w:hideMark/>
          </w:tcPr>
          <w:p w14:paraId="77B79159" w14:textId="77777777"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National Working Group on Access to Energy, led by ADEME and the SER 2018 - 2020</w:t>
            </w:r>
          </w:p>
        </w:tc>
        <w:tc>
          <w:tcPr>
            <w:tcW w:w="9098" w:type="dxa"/>
            <w:hideMark/>
          </w:tcPr>
          <w:p w14:paraId="584FF4B3" w14:textId="77777777" w:rsidR="0027680A" w:rsidRPr="00364545"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In parallel to the 2017 and 2019 calls for projects on access to off-grid renewable energy, ADEME has led a working group of French supply stakeholders with the Syndicat des Energies Renouvelables. This facilitation, from 2018 to 2022, has made it possible to develop a common vision for French stakeholders for energy access, to develop proposals to remove the barriers that these stakeholders face, and to promote French expertise internationally. Their proposals to accelerate universal access to sustainable off-grid energy services were proposed in a White Paper published in 2020.</w:t>
            </w:r>
          </w:p>
        </w:tc>
      </w:tr>
      <w:tr w:rsidR="0027680A" w:rsidRPr="00364545" w14:paraId="670954F2" w14:textId="77777777" w:rsidTr="005B7447">
        <w:trPr>
          <w:trHeight w:val="288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450771F6" w14:textId="77777777" w:rsidR="0027680A" w:rsidRPr="00364545" w:rsidRDefault="0027680A" w:rsidP="0027680A">
            <w:pPr>
              <w:jc w:val="left"/>
              <w:rPr>
                <w:rFonts w:ascii="Arial" w:hAnsi="Arial" w:cs="Arial"/>
                <w:color w:val="000000"/>
                <w:sz w:val="18"/>
                <w:szCs w:val="18"/>
              </w:rPr>
            </w:pPr>
            <w:r w:rsidRPr="00364545">
              <w:rPr>
                <w:rFonts w:ascii="Arial" w:hAnsi="Arial"/>
                <w:color w:val="000000"/>
                <w:sz w:val="18"/>
              </w:rPr>
              <w:t>Latin America and the Caribbean, Morocco, Algeria, Tunisia, Lebanon, India</w:t>
            </w:r>
          </w:p>
        </w:tc>
        <w:tc>
          <w:tcPr>
            <w:tcW w:w="1692" w:type="dxa"/>
            <w:hideMark/>
          </w:tcPr>
          <w:p w14:paraId="49ABB705" w14:textId="47FC31E0"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Mitigation</w:t>
            </w:r>
          </w:p>
        </w:tc>
        <w:tc>
          <w:tcPr>
            <w:tcW w:w="2674" w:type="dxa"/>
            <w:hideMark/>
          </w:tcPr>
          <w:p w14:paraId="5B990DB0" w14:textId="77777777"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Support for the implementation of an energy efficiency monitoring system (energy efficiency indicators and evaluation of energy efficiency policies)</w:t>
            </w:r>
          </w:p>
        </w:tc>
        <w:tc>
          <w:tcPr>
            <w:tcW w:w="9098" w:type="dxa"/>
            <w:hideMark/>
          </w:tcPr>
          <w:p w14:paraId="19AEEEBC" w14:textId="77777777" w:rsidR="0027680A" w:rsidRPr="00364545"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364545">
              <w:rPr>
                <w:rFonts w:ascii="Arial" w:hAnsi="Arial"/>
                <w:color w:val="000000"/>
                <w:sz w:val="18"/>
              </w:rPr>
              <w:t>Following on from the European Odyssee Mure project, which has been running for more than 20 years and which has enabled the development and implementation in the European Union of a methodology for evaluating energy savings based on energy efficiency indicators, ADEME is supporting the implementation of this methodology:</w:t>
            </w:r>
            <w:r w:rsidRPr="00364545">
              <w:rPr>
                <w:rFonts w:ascii="Arial" w:hAnsi="Arial"/>
                <w:color w:val="000000"/>
                <w:sz w:val="18"/>
              </w:rPr>
              <w:br/>
              <w:t>In Morocco, Algeria, Tunisia and Lebanon from 2012 to 2014 within the framework of MEDENER (Mediterranean Association of National Agencies for Energy Management);</w:t>
            </w:r>
            <w:r w:rsidRPr="00364545">
              <w:rPr>
                <w:rFonts w:ascii="Arial" w:hAnsi="Arial"/>
                <w:color w:val="000000"/>
                <w:sz w:val="18"/>
              </w:rPr>
              <w:cr/>
            </w:r>
            <w:r w:rsidRPr="00364545">
              <w:rPr>
                <w:rFonts w:ascii="Arial" w:hAnsi="Arial"/>
                <w:color w:val="000000"/>
                <w:sz w:val="18"/>
              </w:rPr>
              <w:br/>
              <w:t>Since 2014 in some twenty Latin American and Caribbean countries with CEPAL-UN (United Nations Economic Commission for Latin America and the Caribbean) in the framework of IPEEC (International Partnership for Energy Efficiency Cooperation);</w:t>
            </w:r>
            <w:r w:rsidRPr="00364545">
              <w:rPr>
                <w:rFonts w:ascii="Arial" w:hAnsi="Arial"/>
                <w:color w:val="000000"/>
                <w:sz w:val="18"/>
              </w:rPr>
              <w:cr/>
            </w:r>
            <w:r w:rsidRPr="00364545">
              <w:rPr>
                <w:rFonts w:ascii="Arial" w:hAnsi="Arial"/>
                <w:color w:val="000000"/>
                <w:sz w:val="18"/>
              </w:rPr>
              <w:br/>
              <w:t>Since 2016, more detailed work has been carried out with Mexico in the framework of cooperation with CONUEE (Comisión Nacional para el Uso Eficiente de la Energía) supported by AFD. More recently in India.</w:t>
            </w:r>
          </w:p>
        </w:tc>
      </w:tr>
      <w:tr w:rsidR="005B7447" w:rsidRPr="00364545" w14:paraId="2F6329C2" w14:textId="77777777" w:rsidTr="005B7447">
        <w:trPr>
          <w:cnfStyle w:val="000000100000" w:firstRow="0" w:lastRow="0" w:firstColumn="0" w:lastColumn="0" w:oddVBand="0" w:evenVBand="0" w:oddHBand="1" w:evenHBand="0" w:firstRowFirstColumn="0" w:firstRowLastColumn="0" w:lastRowFirstColumn="0" w:lastRowLastColumn="0"/>
          <w:trHeight w:val="1491"/>
          <w:jc w:val="center"/>
        </w:trPr>
        <w:tc>
          <w:tcPr>
            <w:cnfStyle w:val="001000000000" w:firstRow="0" w:lastRow="0" w:firstColumn="1" w:lastColumn="0" w:oddVBand="0" w:evenVBand="0" w:oddHBand="0" w:evenHBand="0" w:firstRowFirstColumn="0" w:firstRowLastColumn="0" w:lastRowFirstColumn="0" w:lastRowLastColumn="0"/>
            <w:tcW w:w="1557" w:type="dxa"/>
          </w:tcPr>
          <w:p w14:paraId="509B7173" w14:textId="3C60DA7F" w:rsidR="005B7447" w:rsidRPr="00364545" w:rsidRDefault="005B7447" w:rsidP="005B7447">
            <w:pPr>
              <w:jc w:val="left"/>
              <w:rPr>
                <w:rFonts w:ascii="Arial" w:hAnsi="Arial" w:cs="Arial"/>
                <w:color w:val="000000"/>
                <w:sz w:val="18"/>
                <w:szCs w:val="18"/>
              </w:rPr>
            </w:pPr>
            <w:r w:rsidRPr="00364545">
              <w:rPr>
                <w:rFonts w:ascii="Arial" w:hAnsi="Arial"/>
                <w:sz w:val="18"/>
              </w:rPr>
              <w:t>French-speaking Africa</w:t>
            </w:r>
          </w:p>
        </w:tc>
        <w:tc>
          <w:tcPr>
            <w:tcW w:w="1692" w:type="dxa"/>
          </w:tcPr>
          <w:p w14:paraId="765C34BF" w14:textId="6AAB1CBE" w:rsidR="005B7447" w:rsidRPr="00364545" w:rsidRDefault="005B7447" w:rsidP="005B7447">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sz w:val="18"/>
              </w:rPr>
              <w:t>Negotiation</w:t>
            </w:r>
          </w:p>
        </w:tc>
        <w:tc>
          <w:tcPr>
            <w:tcW w:w="2674" w:type="dxa"/>
          </w:tcPr>
          <w:p w14:paraId="4A6079C6" w14:textId="417A8BD3" w:rsidR="005B7447" w:rsidRPr="00364545" w:rsidRDefault="005B7447" w:rsidP="005B7447">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sz w:val="18"/>
              </w:rPr>
              <w:t>Capacity-building workshops for French-speaking African women negotiators</w:t>
            </w:r>
          </w:p>
        </w:tc>
        <w:tc>
          <w:tcPr>
            <w:tcW w:w="9098" w:type="dxa"/>
          </w:tcPr>
          <w:p w14:paraId="722C7A77" w14:textId="2C23E07B" w:rsidR="005B7447" w:rsidRPr="00364545" w:rsidRDefault="005B7447" w:rsidP="005B7447">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364545">
              <w:rPr>
                <w:rFonts w:ascii="Arial" w:hAnsi="Arial"/>
                <w:sz w:val="18"/>
              </w:rPr>
              <w:t xml:space="preserve">Since 2018, France and Canada have been funding capacity-building workshop cycles for French-speaking African women negotiators to ensure their active contribution during inter-sessional meetings and Conferences of the Parties. In 2022, 200 women negotiators participated in the workshops and more than 50 of them received additional financial support to participate in COP27. These workshops, supported by a mentoring system, aim, among other things, to acquire knowledge about negotiation processes and stakeholders and to develop negotiation skills in simulations. </w:t>
            </w:r>
          </w:p>
        </w:tc>
      </w:tr>
    </w:tbl>
    <w:p w14:paraId="13DFA900" w14:textId="074F641C" w:rsidR="007B49C8" w:rsidRPr="00364545" w:rsidRDefault="007B49C8" w:rsidP="007B49C8">
      <w:pPr>
        <w:pStyle w:val="Caption"/>
      </w:pPr>
      <w:bookmarkStart w:id="730" w:name="_Toc123916533"/>
      <w:r w:rsidRPr="00364545">
        <w:t xml:space="preserve">Table </w:t>
      </w:r>
      <w:r w:rsidR="003714FB">
        <w:fldChar w:fldCharType="begin"/>
      </w:r>
      <w:r w:rsidR="003714FB">
        <w:instrText xml:space="preserve"> SEQ Tableau \* ARABIC </w:instrText>
      </w:r>
      <w:r w:rsidR="003714FB">
        <w:fldChar w:fldCharType="separate"/>
      </w:r>
      <w:r w:rsidR="009A2FAA">
        <w:rPr>
          <w:noProof/>
        </w:rPr>
        <w:t>41</w:t>
      </w:r>
      <w:r w:rsidR="003714FB">
        <w:rPr>
          <w:noProof/>
        </w:rPr>
        <w:fldChar w:fldCharType="end"/>
      </w:r>
      <w:r w:rsidRPr="00364545">
        <w:t>: Table CTF9 – Capacity-Building Support</w:t>
      </w:r>
      <w:bookmarkEnd w:id="730"/>
    </w:p>
    <w:p w14:paraId="229DA000" w14:textId="1508F65A" w:rsidR="007B49C8" w:rsidRPr="00364545" w:rsidRDefault="007B49C8" w:rsidP="007B49C8">
      <w:pPr>
        <w:pStyle w:val="Caption"/>
        <w:sectPr w:rsidR="007B49C8" w:rsidRPr="00364545" w:rsidSect="0027680A">
          <w:pgSz w:w="16838" w:h="11906" w:orient="landscape" w:code="9"/>
          <w:pgMar w:top="1049" w:right="1230" w:bottom="907" w:left="1650" w:header="284" w:footer="284" w:gutter="0"/>
          <w:cols w:space="708"/>
          <w:titlePg/>
          <w:docGrid w:linePitch="360"/>
        </w:sectPr>
      </w:pPr>
      <w:r w:rsidRPr="00364545">
        <w:t>Source: ADEME</w:t>
      </w:r>
    </w:p>
    <w:p w14:paraId="090F17A6" w14:textId="77777777" w:rsidR="00714DEF" w:rsidRPr="00364545" w:rsidRDefault="00714DEF">
      <w:pPr>
        <w:spacing w:line="240" w:lineRule="atLeast"/>
        <w:jc w:val="left"/>
        <w:rPr>
          <w:rFonts w:eastAsiaTheme="majorEastAsia" w:cstheme="majorBidi"/>
          <w:bCs/>
          <w:spacing w:val="-10"/>
          <w:kern w:val="28"/>
          <w:sz w:val="48"/>
          <w:szCs w:val="56"/>
        </w:rPr>
      </w:pPr>
    </w:p>
    <w:p w14:paraId="1D18FEAA" w14:textId="0519F1CB" w:rsidR="007E76D2" w:rsidRPr="00364545" w:rsidRDefault="0051771F" w:rsidP="007E76D2">
      <w:pPr>
        <w:pStyle w:val="Titre1Niveau1"/>
        <w:ind w:left="0" w:right="27"/>
      </w:pPr>
      <w:bookmarkStart w:id="731" w:name="_Toc138341892"/>
      <w:bookmarkStart w:id="732" w:name="ChapitreVIII"/>
      <w:r w:rsidRPr="00364545">
        <w:t>Chapter VIII – Research and systematic observation</w:t>
      </w:r>
      <w:bookmarkEnd w:id="731"/>
    </w:p>
    <w:p w14:paraId="62EE89DC" w14:textId="77777777" w:rsidR="007E76D2" w:rsidRPr="00364545" w:rsidRDefault="007E76D2" w:rsidP="00E524AF">
      <w:pPr>
        <w:pStyle w:val="Titre2Niveau2"/>
        <w:numPr>
          <w:ilvl w:val="0"/>
          <w:numId w:val="102"/>
        </w:numPr>
        <w:rPr>
          <w:rFonts w:ascii="Times New Roman" w:hAnsi="Times New Roman"/>
          <w:color w:val="000000"/>
        </w:rPr>
      </w:pPr>
      <w:bookmarkStart w:id="733" w:name="_Toc138341893"/>
      <w:r w:rsidRPr="00364545">
        <w:t>Overview of climate research and observation in France</w:t>
      </w:r>
      <w:bookmarkEnd w:id="733"/>
    </w:p>
    <w:p w14:paraId="742BAF69" w14:textId="77777777" w:rsidR="007E76D2" w:rsidRPr="00364545" w:rsidRDefault="007E76D2" w:rsidP="00E524AF">
      <w:pPr>
        <w:pStyle w:val="Titre3Niveau3"/>
      </w:pPr>
      <w:bookmarkStart w:id="734" w:name="_Toc138341894"/>
      <w:r w:rsidRPr="00364545">
        <w:t>Overall research action carried out by public authorities</w:t>
      </w:r>
      <w:bookmarkEnd w:id="734"/>
    </w:p>
    <w:p w14:paraId="3D56F915" w14:textId="4A8C6994" w:rsidR="007E76D2" w:rsidRPr="00364545" w:rsidRDefault="007E76D2" w:rsidP="000E2F47">
      <w:r w:rsidRPr="00364545">
        <w:t xml:space="preserve">The planet has been undergoing climate change for over a century: this has been proved by the research conducted by scientists around the world over the last five decades. Summarised in the work of the Intergovernmental Panel on Climate Change (IPCC) since the late 1980s, this research has brought the risks associated with anthropogenic greenhouse gas emissions and the likely future climate trajectories to the attention of policymakers. Climate change, through the proven or probable consequences it will have on the environment, in all areas (water, agriculture, biodiversity, ocean, atmosphere as well as health and hazards), poses a threat to societies and economic and social development. </w:t>
      </w:r>
    </w:p>
    <w:p w14:paraId="4C9E77FD" w14:textId="77777777" w:rsidR="007E76D2" w:rsidRPr="00364545" w:rsidRDefault="007E76D2" w:rsidP="000E2F47">
      <w:pPr>
        <w:rPr>
          <w:color w:val="000000"/>
          <w:szCs w:val="22"/>
        </w:rPr>
      </w:pPr>
    </w:p>
    <w:p w14:paraId="766E0B2F" w14:textId="77777777" w:rsidR="007E76D2" w:rsidRPr="00364545" w:rsidRDefault="007E76D2" w:rsidP="000E2F47">
      <w:r w:rsidRPr="00364545">
        <w:t xml:space="preserve">Aware that the rise in measured temperatures is mainly human-induced, leaders have initiated policies to combat global warming (mitigation of greenhouse gas emissions and adaptation to changes). Countries formalised their commitment to this fight at the Paris Climate Conference (COP21) in December 2015, at which 195 countries adopted the first-ever global climate agreement. The agreement aims to keep the average air temperature rise well below 2 °C above pre-industrial levels and to continue efforts to limit the temperature rise to 1.5 °C. </w:t>
      </w:r>
    </w:p>
    <w:p w14:paraId="76B007F3" w14:textId="77777777" w:rsidR="007E76D2" w:rsidRPr="00364545" w:rsidRDefault="007E76D2" w:rsidP="000E2F47">
      <w:pPr>
        <w:rPr>
          <w:color w:val="000000"/>
          <w:szCs w:val="22"/>
        </w:rPr>
      </w:pPr>
    </w:p>
    <w:p w14:paraId="5A2DFB79" w14:textId="4702B961" w:rsidR="007E76D2" w:rsidRPr="00364545" w:rsidRDefault="007E76D2" w:rsidP="000E2F47">
      <w:r w:rsidRPr="00364545">
        <w:t>The impact of global scientific research has thus been vital in diagnosing and raising awareness of climate disruption. Thus climate forecasting, that requires an understanding of the underlying mechanisms, the role played by human activities, and impacts such as mitigating and adapting to climate change, have become priorities in French research. As these are global phenomena, that implies that efforts in climate research, its impact and the measures to be taken accordingly should be shared in international programmes. That research also requires the setting-up or upkeep of permanent operational observation systems, beyond the typical term for research programmes. Today research supports decision makers in defining public policies to combat climate disruption, and for mitigating and adapting whilst preserving the environment, by putting forward diagnoses or innovative solutions. From this viewpoint, France has mobilised and is mobilising significant resources to support climate research at national European and international levels.</w:t>
      </w:r>
    </w:p>
    <w:p w14:paraId="31153716" w14:textId="77777777" w:rsidR="007E76D2" w:rsidRPr="00364545" w:rsidRDefault="007E76D2" w:rsidP="007E76D2">
      <w:pPr>
        <w:rPr>
          <w:color w:val="000000"/>
          <w:szCs w:val="22"/>
          <w:lang w:eastAsia="ar-SA"/>
        </w:rPr>
      </w:pPr>
    </w:p>
    <w:p w14:paraId="15EF1093" w14:textId="4F144301" w:rsidR="007E76D2" w:rsidRPr="00364545" w:rsidRDefault="007E76D2" w:rsidP="00E524AF">
      <w:pPr>
        <w:pStyle w:val="Titre4niveau4"/>
      </w:pPr>
      <w:r w:rsidRPr="00364545">
        <w:rPr>
          <w:rStyle w:val="Strong"/>
          <w:rFonts w:ascii="Times New Roman" w:hAnsi="Times New Roman"/>
          <w:b/>
          <w:color w:val="000000"/>
        </w:rPr>
        <w:t>General Introduction to Research Players in France</w:t>
      </w:r>
    </w:p>
    <w:p w14:paraId="0F5B991E" w14:textId="77777777" w:rsidR="007E76D2" w:rsidRPr="00364545" w:rsidRDefault="007E76D2" w:rsidP="007E76D2">
      <w:pPr>
        <w:rPr>
          <w:szCs w:val="22"/>
        </w:rPr>
      </w:pPr>
    </w:p>
    <w:p w14:paraId="555E4BC2" w14:textId="099D9420" w:rsidR="007E76D2" w:rsidRPr="00364545" w:rsidRDefault="00BC3817" w:rsidP="007E76D2">
      <w:pPr>
        <w:rPr>
          <w:color w:val="000000"/>
          <w:szCs w:val="22"/>
        </w:rPr>
      </w:pPr>
      <w:r w:rsidRPr="00364545">
        <w:rPr>
          <w:color w:val="000000"/>
        </w:rPr>
        <w:t>France funds research by public or private laboratories thanks to the deployment of various support arrangements. National spending on research and development (R&amp;D) in France was more than Bn€ 53.4 in total (2019) and represents 2.19% of GDP. In total, amongst researchers, research-lecturers and support staff, in 2019 it was close 619,000 people devoted to R&amp;D for part of their work (that is a full-time equivalent of 441,500).</w:t>
      </w:r>
    </w:p>
    <w:p w14:paraId="1D8D4086" w14:textId="571A7B6B" w:rsidR="007E76D2" w:rsidRPr="00364545" w:rsidRDefault="007E76D2" w:rsidP="00E524AF">
      <w:pPr>
        <w:pStyle w:val="titreencadre"/>
      </w:pPr>
      <w:r w:rsidRPr="00364545">
        <w:t>French Public Scientific Research</w:t>
      </w:r>
    </w:p>
    <w:p w14:paraId="40EE0B5C" w14:textId="12AD2BD7" w:rsidR="00AF3E7A" w:rsidRPr="00364545" w:rsidRDefault="00BC3817" w:rsidP="00AF3E7A">
      <w:r w:rsidRPr="00364545">
        <w:t>Spending on public sector scientific research in 2019 came to Bn€ 20,3. This French public sector research, centred around the Research Ministry, has mainly been performed within higher education establishment laboratories (universities, national polytechnic institutes, higher national academies and major establishments) and in research bodies. Two major kinds of establishment have been coming together through setting-up combined research units (or unit partnerships) which are laboratories whose oversight is shared between one or more research bodies or universities.</w:t>
      </w:r>
    </w:p>
    <w:p w14:paraId="10EC6B88" w14:textId="60E7D602" w:rsidR="007E76D2" w:rsidRPr="00364545" w:rsidRDefault="00260E0B" w:rsidP="007E76D2">
      <w:pPr>
        <w:rPr>
          <w:color w:val="000000"/>
          <w:szCs w:val="22"/>
        </w:rPr>
      </w:pPr>
      <w:r w:rsidRPr="00364545">
        <w:rPr>
          <w:color w:val="000000"/>
        </w:rPr>
        <w:t xml:space="preserve">          </w:t>
      </w:r>
      <w:r w:rsidRPr="00364545">
        <w:t xml:space="preserve">                                                  </w:t>
      </w:r>
      <w:r w:rsidRPr="00364545">
        <w:rPr>
          <w:color w:val="000000"/>
        </w:rPr>
        <w:t xml:space="preserve">           </w:t>
      </w:r>
    </w:p>
    <w:p w14:paraId="58E60590" w14:textId="74D1596D" w:rsidR="007E76D2" w:rsidRPr="00364545" w:rsidRDefault="007E76D2" w:rsidP="00AF3E7A">
      <w:r w:rsidRPr="00364545">
        <w:t xml:space="preserve">The main public research bodies are made up of eight scientific and technical public establishments (EPSTs) and twelve public sector industrial and commercial bodies (EPIC). Placed under the aegis of one or more ministries, in particular those in charge of research, the environment, defence, health and agriculture, they all perform a public service remit and their goal is performing research work and the action outlined in contracts over several years whose targets and performance are set by the State. By performing 54% of public sector research and than one fifth of all research undertaken on the national territory (including all administrations and firms), they are the major players in research in France. In 2019 national expenditure of research and development by the main public research establishments came to 10.9 billion Euro (Bn€ ). </w:t>
      </w:r>
    </w:p>
    <w:p w14:paraId="0B705842" w14:textId="77777777" w:rsidR="007E76D2" w:rsidRPr="00364545" w:rsidRDefault="007E76D2" w:rsidP="00AF3E7A">
      <w:r w:rsidRPr="00364545">
        <w:t>Public sector research laboratories are partly funded by university budget loans, and those from public research bodies and funding agencies, including the National Research Agency (NRA). They benefit from other endowments from other agencies (such as ADEME), from the future investment programme (PIA), from French regions, from charitable associations, and from industry via competitiveness hubs, especially in Europe.</w:t>
      </w:r>
    </w:p>
    <w:p w14:paraId="6FF68183" w14:textId="77777777" w:rsidR="007E76D2" w:rsidRPr="00364545" w:rsidRDefault="007E76D2" w:rsidP="007E76D2">
      <w:pPr>
        <w:rPr>
          <w:color w:val="000000"/>
          <w:szCs w:val="22"/>
        </w:rPr>
      </w:pPr>
    </w:p>
    <w:p w14:paraId="72B6E349" w14:textId="174B38CC" w:rsidR="007E76D2" w:rsidRPr="00364545" w:rsidRDefault="007E76D2" w:rsidP="00E524AF">
      <w:pPr>
        <w:pStyle w:val="titreencadre"/>
      </w:pPr>
      <w:r w:rsidRPr="00364545">
        <w:t xml:space="preserve">Private Sector Scientific Research </w:t>
      </w:r>
    </w:p>
    <w:p w14:paraId="6D3A6326" w14:textId="4C3BF8B8" w:rsidR="007E76D2" w:rsidRPr="00364545" w:rsidRDefault="007E76D2" w:rsidP="00AF3E7A">
      <w:r w:rsidRPr="00364545">
        <w:t xml:space="preserve">Firms execute 65% of R&amp;D work performed on the national territory and fund 61% of national R&amp;D expenditure. Small and medium sized enterprises (SMEs) contribute 13% of national R&amp;D expenditure, of which more than half is in favour of service work. Major companies are the source of 58% of national R&amp;D spending, and perform three quarters of their efforts in high and medium technologies. </w:t>
      </w:r>
    </w:p>
    <w:p w14:paraId="7089169C" w14:textId="26F7D8F2" w:rsidR="007E76D2" w:rsidRPr="00364545" w:rsidRDefault="007E76D2" w:rsidP="00AF3E7A">
      <w:pPr>
        <w:rPr>
          <w:sz w:val="21"/>
        </w:rPr>
      </w:pPr>
      <w:r w:rsidRPr="00364545">
        <w:t>The State, by setting up Bpifrance and research tax breaks, supports innovative projects carried out by firms, including SMEs. The international attractiveness of France and welcoming foreign companies also contribute to funding industrial research.</w:t>
      </w:r>
    </w:p>
    <w:p w14:paraId="56356192" w14:textId="21856CBB" w:rsidR="007E76D2" w:rsidRPr="00364545" w:rsidRDefault="007E76D2" w:rsidP="00E524AF">
      <w:pPr>
        <w:pStyle w:val="Titre4niveau4"/>
      </w:pPr>
      <w:r w:rsidRPr="00364545">
        <w:rPr>
          <w:rStyle w:val="Strong"/>
          <w:rFonts w:ascii="Times New Roman" w:hAnsi="Times New Roman"/>
          <w:b/>
          <w:color w:val="000000"/>
        </w:rPr>
        <w:t>A Networked Organisation</w:t>
      </w:r>
    </w:p>
    <w:p w14:paraId="4EF8C72A" w14:textId="01FE3BC7" w:rsidR="007E76D2" w:rsidRPr="00364545" w:rsidRDefault="007E76D2" w:rsidP="007E76D2">
      <w:pPr>
        <w:rPr>
          <w:rStyle w:val="Strong"/>
          <w:b w:val="0"/>
          <w:bCs w:val="0"/>
          <w:color w:val="000000"/>
          <w:szCs w:val="22"/>
        </w:rPr>
      </w:pPr>
      <w:r w:rsidRPr="00364545">
        <w:rPr>
          <w:rStyle w:val="Strong"/>
          <w:b w:val="0"/>
          <w:color w:val="000000"/>
        </w:rPr>
        <w:t>The State encourages its research teams and systems to take part in major international European and national networks.</w:t>
      </w:r>
    </w:p>
    <w:p w14:paraId="11480555" w14:textId="77777777" w:rsidR="00AF3E15" w:rsidRPr="00364545" w:rsidRDefault="00AF3E15" w:rsidP="007E76D2">
      <w:pPr>
        <w:rPr>
          <w:szCs w:val="22"/>
        </w:rPr>
      </w:pPr>
    </w:p>
    <w:p w14:paraId="6FB38A61" w14:textId="2342FED7" w:rsidR="007E76D2" w:rsidRPr="00364545" w:rsidRDefault="007E76D2" w:rsidP="00E524AF">
      <w:pPr>
        <w:pStyle w:val="titreencadre"/>
      </w:pPr>
      <w:r w:rsidRPr="00364545">
        <w:t xml:space="preserve">International Level </w:t>
      </w:r>
    </w:p>
    <w:p w14:paraId="55D09496" w14:textId="39AD524A" w:rsidR="007E76D2" w:rsidRPr="00364545" w:rsidRDefault="007E76D2" w:rsidP="00AF3E15">
      <w:pPr>
        <w:rPr>
          <w:rStyle w:val="Strong"/>
          <w:b w:val="0"/>
          <w:bCs w:val="0"/>
          <w:color w:val="000000"/>
          <w:szCs w:val="22"/>
        </w:rPr>
      </w:pPr>
      <w:r w:rsidRPr="00364545">
        <w:rPr>
          <w:rStyle w:val="Strong"/>
          <w:b w:val="0"/>
          <w:color w:val="000000"/>
        </w:rPr>
        <w:t>At international level, French teams are heavily involved in the work of GIEC (Intergovernmental Expert Group on Climate Change or International Panel on Climate Change, IPCC) and the Intergovernmental Platform on Biodiversity and Ecosystem Services (Intergovernmental Science-Policy Platform on Biodiversity and Ecosystem Services, IPBES) Since 2016, thanks to joint funding by various government ministries, France has hosted the Workgroup 1 Technical Support Unit (TSU).</w:t>
      </w:r>
    </w:p>
    <w:p w14:paraId="3DE12751" w14:textId="77777777" w:rsidR="007E76D2" w:rsidRPr="00364545" w:rsidRDefault="007E76D2" w:rsidP="007E76D2">
      <w:pPr>
        <w:rPr>
          <w:szCs w:val="22"/>
        </w:rPr>
      </w:pPr>
      <w:r w:rsidRPr="00364545">
        <w:rPr>
          <w:rStyle w:val="Strong"/>
          <w:b w:val="0"/>
          <w:color w:val="000000"/>
        </w:rPr>
        <w:t xml:space="preserve">In addition to supporting the expert platforms, the Research Ministry supports major international programmes such as Future Earth, launched in 2015, and which brings together three major international programmes, (DIVERSITAS, the International Geosphere-Biosphere Programme (IGBP), the International Human Dimensions Programme (IHDP)) in partnership with the World Climate Research Programme (WCRP). </w:t>
      </w:r>
    </w:p>
    <w:p w14:paraId="01AE2CB1" w14:textId="77777777" w:rsidR="007E76D2" w:rsidRPr="00364545" w:rsidRDefault="007E76D2" w:rsidP="007E76D2">
      <w:pPr>
        <w:rPr>
          <w:szCs w:val="22"/>
        </w:rPr>
      </w:pPr>
    </w:p>
    <w:p w14:paraId="11F522BF" w14:textId="77777777" w:rsidR="007E76D2" w:rsidRPr="00364545" w:rsidRDefault="007E76D2" w:rsidP="00E524AF">
      <w:pPr>
        <w:pStyle w:val="titreencadre"/>
        <w:rPr>
          <w:rStyle w:val="Strong"/>
          <w:b/>
          <w:bCs w:val="0"/>
          <w:color w:val="000000"/>
          <w:sz w:val="22"/>
          <w:szCs w:val="22"/>
        </w:rPr>
      </w:pPr>
      <w:r w:rsidRPr="00364545">
        <w:rPr>
          <w:rStyle w:val="Strong"/>
          <w:b/>
          <w:color w:val="000000"/>
          <w:sz w:val="22"/>
        </w:rPr>
        <w:t>European Level</w:t>
      </w:r>
    </w:p>
    <w:p w14:paraId="0442C5D2" w14:textId="77777777" w:rsidR="007E76D2" w:rsidRPr="00364545" w:rsidRDefault="007E76D2" w:rsidP="007E76D2">
      <w:pPr>
        <w:rPr>
          <w:rStyle w:val="Strong"/>
          <w:b w:val="0"/>
          <w:bCs w:val="0"/>
          <w:color w:val="000000"/>
          <w:szCs w:val="22"/>
        </w:rPr>
      </w:pPr>
      <w:r w:rsidRPr="00364545">
        <w:rPr>
          <w:rStyle w:val="Strong"/>
          <w:b w:val="0"/>
          <w:color w:val="000000"/>
        </w:rPr>
        <w:t xml:space="preserve">At European level, the research ministry fully supports the ten Joint Programming Initiatives </w:t>
      </w:r>
      <w:r w:rsidRPr="00364545">
        <w:rPr>
          <w:rStyle w:val="Caractresdenotedebasdepage"/>
          <w:color w:val="000000"/>
          <w:szCs w:val="22"/>
        </w:rPr>
        <w:footnoteReference w:id="77"/>
      </w:r>
      <w:r w:rsidRPr="00364545">
        <w:rPr>
          <w:rStyle w:val="Strong"/>
          <w:b w:val="0"/>
          <w:color w:val="000000"/>
        </w:rPr>
        <w:t xml:space="preserve"> (IPC or Joint Programming Initiative (JPI)).</w:t>
      </w:r>
      <w:r w:rsidRPr="00364545">
        <w:t xml:space="preserve"> </w:t>
      </w:r>
      <w:r w:rsidRPr="00364545">
        <w:rPr>
          <w:rStyle w:val="Strong"/>
          <w:b w:val="0"/>
          <w:color w:val="000000"/>
        </w:rPr>
        <w:t>Each JPI develops joint activities with the purpose of coordinating European research and uses in particular trans-national European funding instruments, such as ERA-NET, co-funds. The States involved in JPIs are called upon to develop a joint vision on the way in which cooperation and coordination in the field of research can enable shared challenges to be faced, and to chart the research work performed, with the resources, domains, and activities that could benefit from shared coordination or activities.</w:t>
      </w:r>
    </w:p>
    <w:p w14:paraId="56F0D4CD" w14:textId="77777777" w:rsidR="00BC3817" w:rsidRPr="00364545" w:rsidRDefault="007E76D2" w:rsidP="007E76D2">
      <w:pPr>
        <w:rPr>
          <w:rStyle w:val="Strong"/>
          <w:b w:val="0"/>
          <w:bCs w:val="0"/>
          <w:color w:val="000000"/>
          <w:szCs w:val="22"/>
        </w:rPr>
      </w:pPr>
      <w:r w:rsidRPr="00364545">
        <w:rPr>
          <w:rStyle w:val="Strong"/>
          <w:b w:val="0"/>
          <w:color w:val="000000"/>
        </w:rPr>
        <w:t>The research ministry also supports initiatives under Article 185 such as the PRIMA initiative that is being set-up across the Mediterranean.</w:t>
      </w:r>
    </w:p>
    <w:p w14:paraId="06DB4F93" w14:textId="77777777" w:rsidR="00BC3817" w:rsidRPr="00364545" w:rsidRDefault="00BC3817" w:rsidP="00BC3817">
      <w:pPr>
        <w:rPr>
          <w:rStyle w:val="Strong"/>
          <w:b w:val="0"/>
          <w:bCs w:val="0"/>
          <w:color w:val="000000"/>
          <w:szCs w:val="22"/>
        </w:rPr>
      </w:pPr>
      <w:r w:rsidRPr="00364545">
        <w:rPr>
          <w:rStyle w:val="Strong"/>
          <w:b w:val="0"/>
          <w:color w:val="000000"/>
        </w:rPr>
        <w:t>With Horizon Europe, the response to major global challenges forms the scope of a new approach that will become reality through defining 5 missions</w:t>
      </w:r>
    </w:p>
    <w:p w14:paraId="2688711A" w14:textId="319CFE40" w:rsidR="00BC3817" w:rsidRPr="00364545" w:rsidRDefault="00BC3817" w:rsidP="00BE086C">
      <w:pPr>
        <w:pStyle w:val="ListParagraph"/>
        <w:numPr>
          <w:ilvl w:val="0"/>
          <w:numId w:val="48"/>
        </w:numPr>
        <w:rPr>
          <w:rStyle w:val="Strong"/>
          <w:b w:val="0"/>
          <w:bCs w:val="0"/>
          <w:color w:val="000000"/>
          <w:szCs w:val="22"/>
        </w:rPr>
      </w:pPr>
      <w:r w:rsidRPr="00364545">
        <w:rPr>
          <w:rStyle w:val="Strong"/>
          <w:b w:val="0"/>
          <w:color w:val="000000"/>
        </w:rPr>
        <w:t>Adaptation to climate change</w:t>
      </w:r>
    </w:p>
    <w:p w14:paraId="5B67BCD9" w14:textId="49D45132" w:rsidR="00BC3817" w:rsidRPr="00364545" w:rsidRDefault="00BC3817" w:rsidP="00BE086C">
      <w:pPr>
        <w:pStyle w:val="ListParagraph"/>
        <w:numPr>
          <w:ilvl w:val="0"/>
          <w:numId w:val="48"/>
        </w:numPr>
        <w:rPr>
          <w:rStyle w:val="Strong"/>
          <w:b w:val="0"/>
          <w:bCs w:val="0"/>
          <w:color w:val="000000"/>
          <w:szCs w:val="22"/>
        </w:rPr>
      </w:pPr>
      <w:r w:rsidRPr="00364545">
        <w:rPr>
          <w:rStyle w:val="Strong"/>
          <w:b w:val="0"/>
          <w:color w:val="000000"/>
        </w:rPr>
        <w:t>Defeating Cancer</w:t>
      </w:r>
    </w:p>
    <w:p w14:paraId="35C4B8D5" w14:textId="7320B04F" w:rsidR="00BC3817" w:rsidRPr="00364545" w:rsidRDefault="00BC3817" w:rsidP="00BE086C">
      <w:pPr>
        <w:pStyle w:val="ListParagraph"/>
        <w:numPr>
          <w:ilvl w:val="0"/>
          <w:numId w:val="48"/>
        </w:numPr>
        <w:rPr>
          <w:rStyle w:val="Strong"/>
          <w:b w:val="0"/>
          <w:bCs w:val="0"/>
          <w:color w:val="000000"/>
          <w:szCs w:val="22"/>
        </w:rPr>
      </w:pPr>
      <w:r w:rsidRPr="00364545">
        <w:rPr>
          <w:rStyle w:val="Strong"/>
          <w:b w:val="0"/>
          <w:color w:val="000000"/>
        </w:rPr>
        <w:t>Regenerating our Oceans and Water</w:t>
      </w:r>
    </w:p>
    <w:p w14:paraId="56F3A1B6" w14:textId="670C666A" w:rsidR="00BC3817" w:rsidRPr="00364545" w:rsidRDefault="00BC3817" w:rsidP="00BE086C">
      <w:pPr>
        <w:pStyle w:val="ListParagraph"/>
        <w:numPr>
          <w:ilvl w:val="0"/>
          <w:numId w:val="48"/>
        </w:numPr>
        <w:rPr>
          <w:rStyle w:val="Strong"/>
          <w:b w:val="0"/>
          <w:bCs w:val="0"/>
          <w:color w:val="000000"/>
          <w:szCs w:val="22"/>
        </w:rPr>
      </w:pPr>
      <w:r w:rsidRPr="00364545">
        <w:rPr>
          <w:rStyle w:val="Strong"/>
          <w:b w:val="0"/>
          <w:color w:val="000000"/>
        </w:rPr>
        <w:t>Carbon- Neutral Smart Cities</w:t>
      </w:r>
    </w:p>
    <w:p w14:paraId="5B8FB741" w14:textId="436A46CE" w:rsidR="00BC3817" w:rsidRPr="00364545" w:rsidRDefault="00BC3817" w:rsidP="00BE086C">
      <w:pPr>
        <w:pStyle w:val="ListParagraph"/>
        <w:numPr>
          <w:ilvl w:val="0"/>
          <w:numId w:val="48"/>
        </w:numPr>
        <w:rPr>
          <w:rStyle w:val="Strong"/>
          <w:b w:val="0"/>
          <w:bCs w:val="0"/>
          <w:color w:val="000000"/>
          <w:szCs w:val="22"/>
        </w:rPr>
      </w:pPr>
      <w:r w:rsidRPr="00364545">
        <w:rPr>
          <w:rStyle w:val="Strong"/>
          <w:b w:val="0"/>
          <w:color w:val="000000"/>
        </w:rPr>
        <w:t>Healthy Soils and Nutrition</w:t>
      </w:r>
    </w:p>
    <w:p w14:paraId="10ABB7E6" w14:textId="33762749" w:rsidR="007E76D2" w:rsidRPr="00364545" w:rsidRDefault="00BC3817" w:rsidP="00BC3817">
      <w:pPr>
        <w:rPr>
          <w:rStyle w:val="Strong"/>
          <w:b w:val="0"/>
          <w:bCs w:val="0"/>
          <w:color w:val="000000"/>
          <w:szCs w:val="22"/>
        </w:rPr>
      </w:pPr>
      <w:r w:rsidRPr="00364545">
        <w:rPr>
          <w:rStyle w:val="Strong"/>
          <w:b w:val="0"/>
          <w:color w:val="000000"/>
        </w:rPr>
        <w:t xml:space="preserve">France fully supports the deployment of its missions that are intended to influence the European programme. </w:t>
      </w:r>
    </w:p>
    <w:p w14:paraId="26BAA548" w14:textId="77777777" w:rsidR="007E76D2" w:rsidRPr="00364545" w:rsidRDefault="007E76D2" w:rsidP="007E76D2">
      <w:pPr>
        <w:rPr>
          <w:szCs w:val="22"/>
        </w:rPr>
      </w:pPr>
      <w:r w:rsidRPr="00364545">
        <w:rPr>
          <w:rStyle w:val="Strong"/>
          <w:b w:val="0"/>
          <w:color w:val="000000"/>
        </w:rPr>
        <w:t xml:space="preserve">Lastly France plays the role of a driver in the development of the major Copernicus programme that has the goal of combining all the data gathered from environmental satellites and on-site measuring instruments, so as to produce a complete overview of the state of our planet. </w:t>
      </w:r>
    </w:p>
    <w:p w14:paraId="616393DF" w14:textId="77777777" w:rsidR="007E76D2" w:rsidRPr="00364545" w:rsidRDefault="007E76D2" w:rsidP="007E76D2">
      <w:pPr>
        <w:ind w:left="567"/>
        <w:rPr>
          <w:szCs w:val="22"/>
        </w:rPr>
      </w:pPr>
    </w:p>
    <w:p w14:paraId="012597BC" w14:textId="35DF3B97" w:rsidR="007E76D2" w:rsidRPr="00364545" w:rsidRDefault="007E76D2" w:rsidP="00E524AF">
      <w:pPr>
        <w:pStyle w:val="titreencadre"/>
      </w:pPr>
      <w:r w:rsidRPr="00364545">
        <w:t>National Research Alliances in France</w:t>
      </w:r>
    </w:p>
    <w:p w14:paraId="1A3AA98B" w14:textId="77777777" w:rsidR="007E76D2" w:rsidRPr="00364545" w:rsidRDefault="007E76D2" w:rsidP="007E76D2">
      <w:pPr>
        <w:rPr>
          <w:color w:val="000000"/>
          <w:szCs w:val="22"/>
        </w:rPr>
      </w:pPr>
      <w:r w:rsidRPr="00364545">
        <w:rPr>
          <w:color w:val="000000"/>
        </w:rPr>
        <w:t>In five key areas, national research alliances enable various players in the research to come together to break down barriers and strengthen coordination between scientific programmes in France. The alliances do not form a new research body, but aim, within existing organisations, to better coordinate research body actions and programmes, by paving the way for research whose societal stakes will be defining for the coming century.</w:t>
      </w:r>
    </w:p>
    <w:p w14:paraId="5786ED59" w14:textId="77777777" w:rsidR="007E76D2" w:rsidRPr="00364545" w:rsidRDefault="007E76D2" w:rsidP="007E76D2">
      <w:pPr>
        <w:rPr>
          <w:color w:val="000000"/>
          <w:szCs w:val="22"/>
        </w:rPr>
      </w:pPr>
      <w:r w:rsidRPr="00364545">
        <w:rPr>
          <w:color w:val="000000"/>
        </w:rPr>
        <w:t>These research alliances were formed in 2009 and 2010:</w:t>
      </w:r>
    </w:p>
    <w:p w14:paraId="6E4C48FB" w14:textId="77777777" w:rsidR="007E76D2" w:rsidRPr="00364545" w:rsidRDefault="007E76D2" w:rsidP="003F57EA">
      <w:pPr>
        <w:numPr>
          <w:ilvl w:val="1"/>
          <w:numId w:val="65"/>
        </w:numPr>
        <w:suppressAutoHyphens/>
        <w:rPr>
          <w:color w:val="000000"/>
          <w:szCs w:val="22"/>
        </w:rPr>
      </w:pPr>
      <w:r w:rsidRPr="00364545">
        <w:rPr>
          <w:color w:val="000000"/>
        </w:rPr>
        <w:t>Aviesan: Health Alliance, formed in May 2009.</w:t>
      </w:r>
    </w:p>
    <w:p w14:paraId="7F98BF03" w14:textId="77777777" w:rsidR="007E76D2" w:rsidRPr="00364545" w:rsidRDefault="007E76D2" w:rsidP="003F57EA">
      <w:pPr>
        <w:numPr>
          <w:ilvl w:val="1"/>
          <w:numId w:val="65"/>
        </w:numPr>
        <w:suppressAutoHyphens/>
        <w:rPr>
          <w:color w:val="000000"/>
          <w:szCs w:val="22"/>
        </w:rPr>
      </w:pPr>
      <w:r w:rsidRPr="00364545">
        <w:rPr>
          <w:color w:val="000000"/>
        </w:rPr>
        <w:t>Ancre Energy Alliance, formed in September 2009.</w:t>
      </w:r>
    </w:p>
    <w:p w14:paraId="21E4E3C8" w14:textId="77777777" w:rsidR="007E76D2" w:rsidRPr="00364545" w:rsidRDefault="007E76D2" w:rsidP="003F57EA">
      <w:pPr>
        <w:numPr>
          <w:ilvl w:val="1"/>
          <w:numId w:val="65"/>
        </w:numPr>
        <w:suppressAutoHyphens/>
        <w:rPr>
          <w:color w:val="000000"/>
          <w:szCs w:val="22"/>
        </w:rPr>
      </w:pPr>
      <w:r w:rsidRPr="00364545">
        <w:rPr>
          <w:color w:val="000000"/>
        </w:rPr>
        <w:t>Allistène: Digital Sciences Alliance, formed in December 2009.</w:t>
      </w:r>
    </w:p>
    <w:p w14:paraId="650335B6" w14:textId="77777777" w:rsidR="007E76D2" w:rsidRPr="00364545" w:rsidRDefault="007E76D2" w:rsidP="003F57EA">
      <w:pPr>
        <w:numPr>
          <w:ilvl w:val="1"/>
          <w:numId w:val="65"/>
        </w:numPr>
        <w:suppressAutoHyphens/>
        <w:rPr>
          <w:color w:val="000000"/>
          <w:szCs w:val="22"/>
        </w:rPr>
      </w:pPr>
      <w:r w:rsidRPr="00364545">
        <w:rPr>
          <w:color w:val="000000"/>
        </w:rPr>
        <w:t>AllEnvi: Environmental Alliance, formed in February 2010.</w:t>
      </w:r>
    </w:p>
    <w:p w14:paraId="473080F3" w14:textId="77777777" w:rsidR="007E76D2" w:rsidRPr="00364545" w:rsidRDefault="007E76D2" w:rsidP="003F57EA">
      <w:pPr>
        <w:numPr>
          <w:ilvl w:val="1"/>
          <w:numId w:val="65"/>
        </w:numPr>
        <w:suppressAutoHyphens/>
        <w:rPr>
          <w:color w:val="000000"/>
          <w:szCs w:val="22"/>
        </w:rPr>
      </w:pPr>
      <w:r w:rsidRPr="00364545">
        <w:rPr>
          <w:color w:val="000000"/>
        </w:rPr>
        <w:t>Athéna: Alliance for human and social sciences, formed in June 2010.</w:t>
      </w:r>
    </w:p>
    <w:p w14:paraId="2ACFD175" w14:textId="77777777" w:rsidR="007E76D2" w:rsidRPr="00364545" w:rsidRDefault="007E76D2" w:rsidP="007E76D2">
      <w:pPr>
        <w:rPr>
          <w:color w:val="000000"/>
          <w:szCs w:val="22"/>
        </w:rPr>
      </w:pPr>
    </w:p>
    <w:p w14:paraId="6C174EF7" w14:textId="1B9B2700" w:rsidR="007E76D2" w:rsidRPr="00364545" w:rsidRDefault="007E76D2" w:rsidP="00E524AF">
      <w:pPr>
        <w:pStyle w:val="titreencadre"/>
      </w:pPr>
      <w:r w:rsidRPr="00364545">
        <w:t xml:space="preserve">Specialist Inter-Commission Bodies </w:t>
      </w:r>
    </w:p>
    <w:p w14:paraId="553D4447" w14:textId="77777777" w:rsidR="007E76D2" w:rsidRPr="00364545" w:rsidRDefault="007E76D2" w:rsidP="007E76D2">
      <w:pPr>
        <w:rPr>
          <w:color w:val="000000"/>
          <w:szCs w:val="22"/>
        </w:rPr>
      </w:pPr>
      <w:r w:rsidRPr="00364545">
        <w:rPr>
          <w:color w:val="000000"/>
        </w:rPr>
        <w:t>In the field of Earth-system sciences, two specialist national commissions exist amongst the public research bodies coordinated by the National Institute for Science of the Universe (INSU) at the National Centre for Scientific Research (CNRS):</w:t>
      </w:r>
    </w:p>
    <w:p w14:paraId="2A714869" w14:textId="77777777" w:rsidR="007E76D2" w:rsidRPr="00364545" w:rsidRDefault="007E76D2" w:rsidP="003F57EA">
      <w:pPr>
        <w:numPr>
          <w:ilvl w:val="1"/>
          <w:numId w:val="65"/>
        </w:numPr>
        <w:suppressAutoHyphens/>
        <w:rPr>
          <w:color w:val="000000"/>
          <w:szCs w:val="22"/>
        </w:rPr>
      </w:pPr>
      <w:r w:rsidRPr="00364545">
        <w:rPr>
          <w:color w:val="000000"/>
        </w:rPr>
        <w:t>CSOA for the Ocean-Atmosphere domain,</w:t>
      </w:r>
    </w:p>
    <w:p w14:paraId="56F3BE35" w14:textId="77777777" w:rsidR="007E76D2" w:rsidRPr="00364545" w:rsidRDefault="007E76D2" w:rsidP="003F57EA">
      <w:pPr>
        <w:numPr>
          <w:ilvl w:val="1"/>
          <w:numId w:val="65"/>
        </w:numPr>
        <w:suppressAutoHyphens/>
        <w:rPr>
          <w:rFonts w:ascii="Arial" w:hAnsi="Arial" w:cs="Arial"/>
          <w:color w:val="000000"/>
          <w:szCs w:val="22"/>
        </w:rPr>
      </w:pPr>
      <w:r w:rsidRPr="00364545">
        <w:rPr>
          <w:color w:val="000000"/>
        </w:rPr>
        <w:t>CSSIC for the Continental Areas and Interfaces domain.</w:t>
      </w:r>
    </w:p>
    <w:p w14:paraId="5FD4DDD4" w14:textId="77777777" w:rsidR="007E76D2" w:rsidRPr="00364545" w:rsidRDefault="007E76D2" w:rsidP="007E76D2">
      <w:pPr>
        <w:ind w:left="1440"/>
        <w:rPr>
          <w:rFonts w:ascii="Arial" w:hAnsi="Arial" w:cs="Arial"/>
          <w:color w:val="000000"/>
          <w:szCs w:val="22"/>
        </w:rPr>
      </w:pPr>
    </w:p>
    <w:p w14:paraId="044F0169" w14:textId="77777777" w:rsidR="007E76D2" w:rsidRPr="00364545" w:rsidRDefault="007E76D2" w:rsidP="007E76D2">
      <w:pPr>
        <w:ind w:left="1440"/>
        <w:rPr>
          <w:rFonts w:ascii="Arial" w:hAnsi="Arial" w:cs="Arial"/>
          <w:color w:val="000000"/>
          <w:szCs w:val="22"/>
        </w:rPr>
      </w:pPr>
    </w:p>
    <w:p w14:paraId="2025538B" w14:textId="53C149AF" w:rsidR="007E76D2" w:rsidRPr="00364545" w:rsidRDefault="007E76D2" w:rsidP="00E524AF">
      <w:pPr>
        <w:pStyle w:val="Titre4niveau4"/>
      </w:pPr>
      <w:bookmarkStart w:id="735" w:name="_Ref121997625"/>
      <w:r w:rsidRPr="00364545">
        <w:rPr>
          <w:rStyle w:val="Strong"/>
          <w:rFonts w:ascii="Times New Roman" w:hAnsi="Times New Roman"/>
          <w:b/>
          <w:color w:val="000000"/>
        </w:rPr>
        <w:t>National Research Strategy 2015-2020 (SNR)</w:t>
      </w:r>
      <w:r w:rsidRPr="00364545">
        <w:rPr>
          <w:rStyle w:val="Caractresdenotedebasdepage"/>
          <w:rFonts w:ascii="Times New Roman" w:hAnsi="Times New Roman" w:cs="Times New Roman"/>
          <w:color w:val="000000"/>
          <w:szCs w:val="22"/>
        </w:rPr>
        <w:footnoteReference w:id="78"/>
      </w:r>
      <w:bookmarkEnd w:id="735"/>
    </w:p>
    <w:p w14:paraId="5302B005" w14:textId="77777777" w:rsidR="007E76D2" w:rsidRPr="00364545" w:rsidRDefault="007E76D2" w:rsidP="007E76D2">
      <w:pPr>
        <w:rPr>
          <w:color w:val="000000"/>
          <w:szCs w:val="22"/>
        </w:rPr>
      </w:pPr>
      <w:r w:rsidRPr="00364545">
        <w:rPr>
          <w:color w:val="000000"/>
        </w:rPr>
        <w:t>A national research strategy (SNR) was decided upon by the law on higher education and research of the 22nd July 2013, involving a programme if resources over multiple years, and was devised under coordination of the research ministry in concert with civil society. This strategy intends to meet the scientific, technological, environmental and societal challenges by maintaining high level fundamental research. The SNR includes the use of research results for the benefit of society. To this end, it checks on the development of innovation, of technology transfers, of know-how expertise and support for public policy and for associations and foundations, recognised as being of public utility. Scientific technical and industrial culture form part of the national research strategy and are taken into account during its implementation.</w:t>
      </w:r>
    </w:p>
    <w:p w14:paraId="29279652" w14:textId="77777777" w:rsidR="007E76D2" w:rsidRPr="00364545" w:rsidRDefault="007E76D2" w:rsidP="007E76D2">
      <w:pPr>
        <w:rPr>
          <w:color w:val="000000"/>
          <w:szCs w:val="22"/>
        </w:rPr>
      </w:pPr>
    </w:p>
    <w:p w14:paraId="6EBE8DD8" w14:textId="77777777" w:rsidR="007E76D2" w:rsidRPr="00364545" w:rsidRDefault="007E76D2" w:rsidP="007E76D2">
      <w:pPr>
        <w:rPr>
          <w:rFonts w:ascii="Arial" w:hAnsi="Arial" w:cs="Arial"/>
          <w:color w:val="000000"/>
          <w:szCs w:val="22"/>
        </w:rPr>
      </w:pPr>
      <w:r w:rsidRPr="00364545">
        <w:rPr>
          <w:color w:val="000000"/>
        </w:rPr>
        <w:t>The SNR is intended to be reviewed every 5 years and is deployed and applied by means of multi-year contracts made with research bodies and higher education establishments, the ANR programme and other public research funding.</w:t>
      </w:r>
    </w:p>
    <w:p w14:paraId="1F54914E" w14:textId="77777777" w:rsidR="007E76D2" w:rsidRPr="00364545" w:rsidRDefault="007E76D2" w:rsidP="007E76D2">
      <w:pPr>
        <w:rPr>
          <w:rFonts w:ascii="Arial" w:hAnsi="Arial" w:cs="Arial"/>
          <w:color w:val="000000"/>
          <w:szCs w:val="22"/>
        </w:rPr>
      </w:pPr>
    </w:p>
    <w:p w14:paraId="4B3235F5" w14:textId="74B5AFF3" w:rsidR="007E76D2" w:rsidRPr="00364545" w:rsidRDefault="007E76D2" w:rsidP="00E524AF">
      <w:pPr>
        <w:pStyle w:val="titreencadre"/>
      </w:pPr>
      <w:r w:rsidRPr="00364545">
        <w:t>SNR Societal Challenges</w:t>
      </w:r>
    </w:p>
    <w:p w14:paraId="604CC481" w14:textId="232BAE09" w:rsidR="007E76D2" w:rsidRPr="00364545" w:rsidRDefault="007E76D2" w:rsidP="007E76D2">
      <w:pPr>
        <w:rPr>
          <w:color w:val="000000"/>
          <w:szCs w:val="22"/>
        </w:rPr>
      </w:pPr>
      <w:r w:rsidRPr="00364545">
        <w:rPr>
          <w:color w:val="000000"/>
        </w:rPr>
        <w:t>In accordance with the France Europe 2020 Strategic Agenda for Research and Innovation, the SNR sets out the main priorities for French research upon ten major challenges:</w:t>
      </w:r>
    </w:p>
    <w:p w14:paraId="7C1B7428" w14:textId="77777777" w:rsidR="007E76D2" w:rsidRPr="00364545" w:rsidRDefault="007E76D2" w:rsidP="003F57EA">
      <w:pPr>
        <w:numPr>
          <w:ilvl w:val="1"/>
          <w:numId w:val="65"/>
        </w:numPr>
        <w:suppressAutoHyphens/>
        <w:rPr>
          <w:color w:val="000000"/>
          <w:szCs w:val="22"/>
        </w:rPr>
      </w:pPr>
      <w:r w:rsidRPr="00364545">
        <w:rPr>
          <w:color w:val="000000"/>
        </w:rPr>
        <w:t xml:space="preserve">Challenge 1: Low-consumption resource management and adapting to climate change </w:t>
      </w:r>
    </w:p>
    <w:p w14:paraId="444426EE" w14:textId="77777777" w:rsidR="007E76D2" w:rsidRPr="00364545" w:rsidRDefault="007E76D2" w:rsidP="003F57EA">
      <w:pPr>
        <w:numPr>
          <w:ilvl w:val="1"/>
          <w:numId w:val="65"/>
        </w:numPr>
        <w:suppressAutoHyphens/>
        <w:rPr>
          <w:color w:val="000000"/>
          <w:szCs w:val="22"/>
        </w:rPr>
      </w:pPr>
      <w:r w:rsidRPr="00364545">
        <w:rPr>
          <w:color w:val="000000"/>
        </w:rPr>
        <w:t xml:space="preserve">Challenge 2: Clean, safe and efficient energy </w:t>
      </w:r>
    </w:p>
    <w:p w14:paraId="059650CE" w14:textId="77777777" w:rsidR="007E76D2" w:rsidRPr="00364545" w:rsidRDefault="007E76D2" w:rsidP="003F57EA">
      <w:pPr>
        <w:numPr>
          <w:ilvl w:val="1"/>
          <w:numId w:val="65"/>
        </w:numPr>
        <w:suppressAutoHyphens/>
        <w:rPr>
          <w:color w:val="000000"/>
          <w:szCs w:val="22"/>
        </w:rPr>
      </w:pPr>
      <w:r w:rsidRPr="00364545">
        <w:rPr>
          <w:color w:val="000000"/>
        </w:rPr>
        <w:t xml:space="preserve">Challenge 3: Stimulating industrial renewal </w:t>
      </w:r>
    </w:p>
    <w:p w14:paraId="72A6A83A" w14:textId="77777777" w:rsidR="007E76D2" w:rsidRPr="00364545" w:rsidRDefault="007E76D2" w:rsidP="003F57EA">
      <w:pPr>
        <w:numPr>
          <w:ilvl w:val="1"/>
          <w:numId w:val="65"/>
        </w:numPr>
        <w:suppressAutoHyphens/>
        <w:rPr>
          <w:color w:val="000000"/>
          <w:szCs w:val="22"/>
        </w:rPr>
      </w:pPr>
      <w:r w:rsidRPr="00364545">
        <w:rPr>
          <w:color w:val="000000"/>
        </w:rPr>
        <w:t>Challenge 4: Health and well-being</w:t>
      </w:r>
    </w:p>
    <w:p w14:paraId="7E90BE84" w14:textId="77777777" w:rsidR="007E76D2" w:rsidRPr="00364545" w:rsidRDefault="007E76D2" w:rsidP="003F57EA">
      <w:pPr>
        <w:numPr>
          <w:ilvl w:val="1"/>
          <w:numId w:val="65"/>
        </w:numPr>
        <w:suppressAutoHyphens/>
        <w:rPr>
          <w:color w:val="000000"/>
          <w:szCs w:val="22"/>
        </w:rPr>
      </w:pPr>
      <w:r w:rsidRPr="00364545">
        <w:rPr>
          <w:color w:val="000000"/>
        </w:rPr>
        <w:t>Challenge 5: Food safety and demographic challenge</w:t>
      </w:r>
    </w:p>
    <w:p w14:paraId="11E9BB20" w14:textId="77777777" w:rsidR="007E76D2" w:rsidRPr="00364545" w:rsidRDefault="007E76D2" w:rsidP="003F57EA">
      <w:pPr>
        <w:numPr>
          <w:ilvl w:val="1"/>
          <w:numId w:val="65"/>
        </w:numPr>
        <w:suppressAutoHyphens/>
        <w:rPr>
          <w:color w:val="000000"/>
          <w:szCs w:val="22"/>
        </w:rPr>
      </w:pPr>
      <w:r w:rsidRPr="00364545">
        <w:rPr>
          <w:color w:val="000000"/>
        </w:rPr>
        <w:t>Challenge 6: Sustainable transport and urban systems</w:t>
      </w:r>
    </w:p>
    <w:p w14:paraId="4EBC8720" w14:textId="77777777" w:rsidR="007E76D2" w:rsidRPr="00364545" w:rsidRDefault="007E76D2" w:rsidP="003F57EA">
      <w:pPr>
        <w:numPr>
          <w:ilvl w:val="1"/>
          <w:numId w:val="65"/>
        </w:numPr>
        <w:suppressAutoHyphens/>
        <w:rPr>
          <w:color w:val="000000"/>
          <w:szCs w:val="22"/>
        </w:rPr>
      </w:pPr>
      <w:r w:rsidRPr="00364545">
        <w:rPr>
          <w:color w:val="000000"/>
        </w:rPr>
        <w:t>Challenge 7: The information and communication society</w:t>
      </w:r>
    </w:p>
    <w:p w14:paraId="3198C1EC" w14:textId="77777777" w:rsidR="007E76D2" w:rsidRPr="00364545" w:rsidRDefault="007E76D2" w:rsidP="003F57EA">
      <w:pPr>
        <w:numPr>
          <w:ilvl w:val="1"/>
          <w:numId w:val="65"/>
        </w:numPr>
        <w:suppressAutoHyphens/>
        <w:rPr>
          <w:color w:val="000000"/>
          <w:szCs w:val="22"/>
        </w:rPr>
      </w:pPr>
      <w:r w:rsidRPr="00364545">
        <w:rPr>
          <w:color w:val="000000"/>
        </w:rPr>
        <w:t>Challenge 8: Innovative, integrated and versatile companies</w:t>
      </w:r>
    </w:p>
    <w:p w14:paraId="4C5458C5" w14:textId="77777777" w:rsidR="007E76D2" w:rsidRPr="00364545" w:rsidRDefault="007E76D2" w:rsidP="003F57EA">
      <w:pPr>
        <w:numPr>
          <w:ilvl w:val="1"/>
          <w:numId w:val="65"/>
        </w:numPr>
        <w:suppressAutoHyphens/>
        <w:rPr>
          <w:color w:val="000000"/>
          <w:szCs w:val="22"/>
        </w:rPr>
      </w:pPr>
      <w:r w:rsidRPr="00364545">
        <w:rPr>
          <w:color w:val="000000"/>
        </w:rPr>
        <w:t>Challenge 9: A European space ambition</w:t>
      </w:r>
    </w:p>
    <w:p w14:paraId="5ADE55D5" w14:textId="77777777" w:rsidR="007E76D2" w:rsidRPr="00364545" w:rsidRDefault="007E76D2" w:rsidP="003F57EA">
      <w:pPr>
        <w:numPr>
          <w:ilvl w:val="1"/>
          <w:numId w:val="65"/>
        </w:numPr>
        <w:suppressAutoHyphens/>
        <w:rPr>
          <w:color w:val="000000"/>
          <w:szCs w:val="22"/>
        </w:rPr>
      </w:pPr>
      <w:r w:rsidRPr="00364545">
        <w:rPr>
          <w:color w:val="000000"/>
        </w:rPr>
        <w:t>Challenge 10: Freedom and safety for Europe, its citizens and residents</w:t>
      </w:r>
    </w:p>
    <w:p w14:paraId="1E8FA52C" w14:textId="77777777" w:rsidR="007E76D2" w:rsidRPr="00364545" w:rsidRDefault="007E76D2" w:rsidP="007E76D2">
      <w:pPr>
        <w:rPr>
          <w:color w:val="000000"/>
          <w:szCs w:val="22"/>
        </w:rPr>
      </w:pPr>
    </w:p>
    <w:p w14:paraId="76439C5F" w14:textId="0BF8DEF2" w:rsidR="007E76D2" w:rsidRPr="00364545" w:rsidRDefault="007E76D2" w:rsidP="00E524AF">
      <w:pPr>
        <w:pStyle w:val="titreencadre"/>
      </w:pPr>
      <w:r w:rsidRPr="00364545">
        <w:t>Programme of Priority Action </w:t>
      </w:r>
    </w:p>
    <w:p w14:paraId="1AD2D7DC" w14:textId="77777777" w:rsidR="007E76D2" w:rsidRPr="00364545" w:rsidRDefault="007E76D2" w:rsidP="007E76D2">
      <w:pPr>
        <w:rPr>
          <w:color w:val="000000"/>
          <w:szCs w:val="22"/>
        </w:rPr>
      </w:pPr>
      <w:r w:rsidRPr="00364545">
        <w:rPr>
          <w:color w:val="000000"/>
        </w:rPr>
        <w:t xml:space="preserve">Within the SNR, five stakes were deemed to require specially urgent treatment, taking account of economic and social impacts, the current international dynamic and the maturity of the action envisaged. </w:t>
      </w:r>
    </w:p>
    <w:p w14:paraId="25AFC367" w14:textId="77777777" w:rsidR="007E76D2" w:rsidRPr="00364545" w:rsidRDefault="007E76D2" w:rsidP="003F57EA">
      <w:pPr>
        <w:numPr>
          <w:ilvl w:val="1"/>
          <w:numId w:val="65"/>
        </w:numPr>
        <w:suppressAutoHyphens/>
        <w:rPr>
          <w:color w:val="000000"/>
          <w:szCs w:val="22"/>
        </w:rPr>
      </w:pPr>
      <w:r w:rsidRPr="00364545">
        <w:rPr>
          <w:color w:val="000000"/>
        </w:rPr>
        <w:t>Big data</w:t>
      </w:r>
    </w:p>
    <w:p w14:paraId="62E80DE6" w14:textId="77777777" w:rsidR="007E76D2" w:rsidRPr="00364545" w:rsidRDefault="007E76D2" w:rsidP="003F57EA">
      <w:pPr>
        <w:numPr>
          <w:ilvl w:val="1"/>
          <w:numId w:val="65"/>
        </w:numPr>
        <w:suppressAutoHyphens/>
        <w:rPr>
          <w:color w:val="000000"/>
          <w:szCs w:val="22"/>
        </w:rPr>
      </w:pPr>
      <w:r w:rsidRPr="00364545">
        <w:rPr>
          <w:color w:val="000000"/>
        </w:rPr>
        <w:t>Earth System: observation, forecasting and adapting</w:t>
      </w:r>
    </w:p>
    <w:p w14:paraId="7B6A1554" w14:textId="77777777" w:rsidR="007E76D2" w:rsidRPr="00364545" w:rsidRDefault="007E76D2" w:rsidP="003F57EA">
      <w:pPr>
        <w:numPr>
          <w:ilvl w:val="1"/>
          <w:numId w:val="65"/>
        </w:numPr>
        <w:suppressAutoHyphens/>
        <w:rPr>
          <w:color w:val="000000"/>
          <w:szCs w:val="22"/>
        </w:rPr>
      </w:pPr>
      <w:r w:rsidRPr="00364545">
        <w:rPr>
          <w:color w:val="000000"/>
        </w:rPr>
        <w:t>System and application biology</w:t>
      </w:r>
    </w:p>
    <w:p w14:paraId="2FC1437C" w14:textId="77777777" w:rsidR="007E76D2" w:rsidRPr="00364545" w:rsidRDefault="007E76D2" w:rsidP="003F57EA">
      <w:pPr>
        <w:numPr>
          <w:ilvl w:val="1"/>
          <w:numId w:val="65"/>
        </w:numPr>
        <w:suppressAutoHyphens/>
        <w:rPr>
          <w:color w:val="000000"/>
          <w:szCs w:val="22"/>
        </w:rPr>
      </w:pPr>
      <w:r w:rsidRPr="00364545">
        <w:rPr>
          <w:color w:val="000000"/>
        </w:rPr>
        <w:t>From the laboratory to the patient</w:t>
      </w:r>
    </w:p>
    <w:p w14:paraId="2446AB37" w14:textId="77777777" w:rsidR="007E76D2" w:rsidRPr="00364545" w:rsidRDefault="007E76D2" w:rsidP="003F57EA">
      <w:pPr>
        <w:numPr>
          <w:ilvl w:val="1"/>
          <w:numId w:val="65"/>
        </w:numPr>
        <w:suppressAutoHyphens/>
        <w:rPr>
          <w:rFonts w:ascii="Arial" w:hAnsi="Arial" w:cs="Arial"/>
          <w:color w:val="000000"/>
          <w:szCs w:val="22"/>
        </w:rPr>
      </w:pPr>
      <w:r w:rsidRPr="00364545">
        <w:rPr>
          <w:color w:val="000000"/>
        </w:rPr>
        <w:t>Humans and cultures</w:t>
      </w:r>
    </w:p>
    <w:p w14:paraId="4623152D" w14:textId="77777777" w:rsidR="007E76D2" w:rsidRPr="00364545" w:rsidRDefault="007E76D2" w:rsidP="00AF3E15">
      <w:pPr>
        <w:rPr>
          <w:rFonts w:ascii="Arial" w:hAnsi="Arial" w:cs="Arial"/>
          <w:color w:val="000000"/>
          <w:szCs w:val="22"/>
        </w:rPr>
      </w:pPr>
    </w:p>
    <w:p w14:paraId="7E21E8D8" w14:textId="3D870B29" w:rsidR="007E76D2" w:rsidRPr="00364545" w:rsidRDefault="007E76D2" w:rsidP="00E524AF">
      <w:pPr>
        <w:pStyle w:val="Titre4niveau4"/>
      </w:pPr>
      <w:r w:rsidRPr="00364545">
        <w:rPr>
          <w:rStyle w:val="Strong"/>
          <w:rFonts w:ascii="Times New Roman" w:hAnsi="Times New Roman"/>
          <w:b/>
          <w:color w:val="000000"/>
        </w:rPr>
        <w:t>National Research Infrastructure Strategy</w:t>
      </w:r>
      <w:r w:rsidRPr="00364545">
        <w:rPr>
          <w:rStyle w:val="Caractresdenotedebasdepage"/>
          <w:rFonts w:ascii="Times New Roman" w:hAnsi="Times New Roman" w:cs="Times New Roman"/>
          <w:bCs w:val="0"/>
          <w:color w:val="000000"/>
          <w:szCs w:val="22"/>
        </w:rPr>
        <w:footnoteReference w:id="79"/>
      </w:r>
      <w:r w:rsidRPr="00364545">
        <w:rPr>
          <w:rStyle w:val="Strong"/>
          <w:rFonts w:ascii="Times New Roman" w:hAnsi="Times New Roman"/>
          <w:b/>
          <w:color w:val="000000"/>
        </w:rPr>
        <w:t xml:space="preserve"> </w:t>
      </w:r>
    </w:p>
    <w:p w14:paraId="75EEB2A8" w14:textId="77777777" w:rsidR="007E76D2" w:rsidRPr="00364545" w:rsidRDefault="007E76D2" w:rsidP="007E76D2">
      <w:pPr>
        <w:shd w:val="clear" w:color="auto" w:fill="FFFFFF"/>
        <w:spacing w:before="57" w:after="57"/>
        <w:rPr>
          <w:color w:val="000000"/>
          <w:szCs w:val="22"/>
        </w:rPr>
      </w:pPr>
      <w:r w:rsidRPr="00364545">
        <w:rPr>
          <w:color w:val="000000"/>
        </w:rPr>
        <w:t>Observing, measuring, experimenting, intensive calculation, data storage and sharing presuppose major tools that have technical capabilities beyond the existing ones and that build-in inter-disciplinary inputs that are a source of innovation. These tools form a source for future discoveries as much as the products of the latest scientific and technological advances do. Major experiments have thus been created, and run by national, European or International bodies, that require first class instrumentation and also significant human and financial resources, thanks to the support of public powers. In parallel with these major tools, over the last few years a number of shared tools have been developed amongst several actors on various sites. In France, the support of the PIA (see below) has been essential for its success.</w:t>
      </w:r>
    </w:p>
    <w:p w14:paraId="419B745F" w14:textId="426E3095" w:rsidR="007E76D2" w:rsidRPr="00364545" w:rsidRDefault="007E76D2" w:rsidP="00AF3E15">
      <w:pPr>
        <w:shd w:val="clear" w:color="auto" w:fill="FFFFFF"/>
        <w:spacing w:before="57" w:after="57"/>
        <w:rPr>
          <w:color w:val="000000"/>
          <w:szCs w:val="22"/>
        </w:rPr>
      </w:pPr>
      <w:r w:rsidRPr="00364545">
        <w:rPr>
          <w:color w:val="000000"/>
        </w:rPr>
        <w:t>In this context, a national infrastructures strategy has been put in place and has led to the publication of an initial French road-map in 2008, and updated in 2012 and 2016. The 2016 road-map includes 95 research tools and takes account of new contributions from technology, developments in scientific practises, and also the unfolding of European (ESRFI European infrastructure road-map) or international networks, human and financial investments, and outcomes for innovation and reconfiguring the French research landscape. The National Research Infrastructure Strategy presents existing arrangements that represent a real “strike-force” at the heart of the national research strategy, and projects that form a basis to be built on in the future.</w:t>
      </w:r>
    </w:p>
    <w:p w14:paraId="184AA457" w14:textId="77777777" w:rsidR="00AF3E15" w:rsidRPr="00364545" w:rsidRDefault="00AF3E15" w:rsidP="00AF3E15">
      <w:pPr>
        <w:shd w:val="clear" w:color="auto" w:fill="FFFFFF"/>
        <w:spacing w:before="57" w:after="57"/>
        <w:rPr>
          <w:rFonts w:cs="Arial"/>
          <w:color w:val="000000"/>
          <w:szCs w:val="22"/>
        </w:rPr>
      </w:pPr>
    </w:p>
    <w:p w14:paraId="4ED2EA40" w14:textId="4FE23CEA" w:rsidR="007E76D2" w:rsidRPr="00364545" w:rsidRDefault="007E76D2" w:rsidP="00E524AF">
      <w:pPr>
        <w:pStyle w:val="Titre4niveau4"/>
      </w:pPr>
      <w:r w:rsidRPr="00364545">
        <w:t>The Future Investments Programme</w:t>
      </w:r>
      <w:r w:rsidRPr="00364545">
        <w:rPr>
          <w:rStyle w:val="Caractresdenotedebasdepage"/>
          <w:rFonts w:ascii="Times New Roman" w:hAnsi="Times New Roman" w:cs="Times New Roman"/>
          <w:color w:val="000000"/>
          <w:szCs w:val="22"/>
        </w:rPr>
        <w:footnoteReference w:id="80"/>
      </w:r>
    </w:p>
    <w:p w14:paraId="0C718AD8" w14:textId="77777777" w:rsidR="007E76D2" w:rsidRPr="00364545" w:rsidRDefault="007E76D2" w:rsidP="007E76D2">
      <w:pPr>
        <w:rPr>
          <w:color w:val="000000"/>
          <w:szCs w:val="22"/>
        </w:rPr>
      </w:pPr>
      <w:r w:rsidRPr="00364545">
        <w:rPr>
          <w:color w:val="000000"/>
        </w:rPr>
        <w:t>The future investment programme (PIA) was set up in the supplementary Finance Act on the 9</w:t>
      </w:r>
      <w:r w:rsidRPr="00364545">
        <w:rPr>
          <w:color w:val="000000"/>
          <w:vertAlign w:val="superscript"/>
        </w:rPr>
        <w:t>th</w:t>
      </w:r>
      <w:r w:rsidRPr="00364545">
        <w:rPr>
          <w:color w:val="000000"/>
        </w:rPr>
        <w:t xml:space="preserve"> March 2010. The purpose of the programme is to strengthen productivity, innovation, and increase company competitiveness, and also to foster employment and promote equality of opportunity by favouring investment and innovation in 5 priority sectors including higher education, training, research, sustainable development and the digital world. The programme has a budget of 35 billion Euro of which 22 are for higher education and research. It has formed the scope of 3 programmes: the first one was in 2010, the second one in 2013, the third one was in 2016 and the last one was in 2021. The PIA has been an opportunity to support research and innovation in the field of environmental research and climate change and to structure the communities involved by means of various tenders.</w:t>
      </w:r>
    </w:p>
    <w:p w14:paraId="7AE84207" w14:textId="77777777" w:rsidR="007E76D2" w:rsidRPr="00364545" w:rsidRDefault="007E76D2" w:rsidP="007E76D2">
      <w:pPr>
        <w:rPr>
          <w:color w:val="000000"/>
          <w:szCs w:val="22"/>
        </w:rPr>
      </w:pPr>
      <w:r w:rsidRPr="00364545">
        <w:rPr>
          <w:color w:val="000000"/>
        </w:rPr>
        <w:t xml:space="preserve">Accordingly, laboratories or groups of laboratories and teams of excellence have funding available, with is useful for keeping in France very high level scientists and those with strong potential. </w:t>
      </w:r>
    </w:p>
    <w:p w14:paraId="3B3A0446" w14:textId="77777777" w:rsidR="007E76D2" w:rsidRPr="00364545" w:rsidRDefault="007E76D2" w:rsidP="007E76D2">
      <w:pPr>
        <w:rPr>
          <w:color w:val="000000"/>
          <w:szCs w:val="22"/>
        </w:rPr>
      </w:pPr>
      <w:r w:rsidRPr="00364545">
        <w:rPr>
          <w:color w:val="000000"/>
        </w:rPr>
        <w:t xml:space="preserve">To date it has devoted: </w:t>
      </w:r>
    </w:p>
    <w:p w14:paraId="3BC2C37A" w14:textId="77777777" w:rsidR="007E76D2" w:rsidRPr="00364545" w:rsidRDefault="007E76D2" w:rsidP="003F57EA">
      <w:pPr>
        <w:numPr>
          <w:ilvl w:val="1"/>
          <w:numId w:val="65"/>
        </w:numPr>
        <w:suppressAutoHyphens/>
        <w:rPr>
          <w:color w:val="000000"/>
          <w:szCs w:val="22"/>
        </w:rPr>
      </w:pPr>
      <w:r w:rsidRPr="00364545">
        <w:rPr>
          <w:color w:val="000000"/>
        </w:rPr>
        <w:t xml:space="preserve">1 Bn€ for Laboratories of excellence (labEx) for a 10 year period (2010-2019): 171 laboratories have been selected of which 17% are in the field of environmental and universe sciences and 10% in the field of energy. Beyond 2019 the State has announced that some laboratories shall have a renewal for 5 years. </w:t>
      </w:r>
    </w:p>
    <w:p w14:paraId="39D1F530" w14:textId="77777777" w:rsidR="007E76D2" w:rsidRPr="00364545" w:rsidRDefault="007E76D2" w:rsidP="003F57EA">
      <w:pPr>
        <w:numPr>
          <w:ilvl w:val="1"/>
          <w:numId w:val="65"/>
        </w:numPr>
        <w:suppressAutoHyphens/>
        <w:rPr>
          <w:color w:val="000000"/>
          <w:szCs w:val="22"/>
        </w:rPr>
      </w:pPr>
      <w:r w:rsidRPr="00364545">
        <w:rPr>
          <w:color w:val="000000"/>
        </w:rPr>
        <w:t>1 Bn€ for facilities of excellence (EquipEx) for a 10 year period (2010-2019): 93 projects selected.</w:t>
      </w:r>
    </w:p>
    <w:p w14:paraId="46B8126C" w14:textId="77777777" w:rsidR="007E76D2" w:rsidRPr="00364545" w:rsidRDefault="007E76D2" w:rsidP="003F57EA">
      <w:pPr>
        <w:numPr>
          <w:ilvl w:val="1"/>
          <w:numId w:val="65"/>
        </w:numPr>
        <w:suppressAutoHyphens/>
        <w:rPr>
          <w:color w:val="000000"/>
          <w:szCs w:val="22"/>
        </w:rPr>
      </w:pPr>
      <w:r w:rsidRPr="00364545">
        <w:rPr>
          <w:color w:val="000000"/>
        </w:rPr>
        <w:t xml:space="preserve">30M€ for convergence bodies: 10 projects selected. </w:t>
      </w:r>
    </w:p>
    <w:p w14:paraId="1EA786DD" w14:textId="77777777" w:rsidR="007E76D2" w:rsidRPr="00364545" w:rsidRDefault="007E76D2" w:rsidP="007E76D2">
      <w:pPr>
        <w:rPr>
          <w:color w:val="000000"/>
          <w:szCs w:val="22"/>
        </w:rPr>
      </w:pPr>
    </w:p>
    <w:p w14:paraId="0253A19E" w14:textId="32F9E6B9" w:rsidR="007E76D2" w:rsidRPr="00364545" w:rsidRDefault="007E76D2" w:rsidP="00E524AF">
      <w:pPr>
        <w:pStyle w:val="Titre4niveau4"/>
      </w:pPr>
      <w:r w:rsidRPr="00364545">
        <w:rPr>
          <w:rStyle w:val="Strong"/>
          <w:rFonts w:ascii="Times New Roman" w:hAnsi="Times New Roman"/>
          <w:b/>
          <w:color w:val="000000"/>
        </w:rPr>
        <w:t>Competitiveness Hubs</w:t>
      </w:r>
    </w:p>
    <w:p w14:paraId="5D6BE1EB" w14:textId="77777777" w:rsidR="007E76D2" w:rsidRPr="00364545" w:rsidRDefault="007E76D2" w:rsidP="007E76D2">
      <w:pPr>
        <w:rPr>
          <w:color w:val="000000"/>
          <w:szCs w:val="22"/>
        </w:rPr>
      </w:pPr>
      <w:r w:rsidRPr="00364545">
        <w:rPr>
          <w:color w:val="000000"/>
        </w:rPr>
        <w:t xml:space="preserve">Launched in 2004, competitiveness hubs are intended to support innovation by fostering the development of innovative collaborative research and development (R&amp;D) projects. The hubs are strongly anchored territorially, whilst relying on existing structures (firms, research bodies, higher education and research establishments, and collective infrastructures, etc.) These hubs have enabled links between firms and research bodies to be strengthened. In particular, one of their assignments is to support the development and growth of firms, thanks in particular to launching new products, services of processes on the market which have resulted from research projects. </w:t>
      </w:r>
    </w:p>
    <w:p w14:paraId="0EC6E512" w14:textId="77777777" w:rsidR="007E76D2" w:rsidRPr="00364545" w:rsidRDefault="007E76D2" w:rsidP="007E76D2">
      <w:pPr>
        <w:rPr>
          <w:color w:val="000000"/>
          <w:szCs w:val="22"/>
        </w:rPr>
      </w:pPr>
    </w:p>
    <w:p w14:paraId="7F4E8ED8" w14:textId="77777777" w:rsidR="007E76D2" w:rsidRPr="00364545" w:rsidRDefault="007E76D2" w:rsidP="007E76D2">
      <w:pPr>
        <w:rPr>
          <w:color w:val="000000"/>
          <w:szCs w:val="22"/>
        </w:rPr>
      </w:pPr>
      <w:r w:rsidRPr="00364545">
        <w:rPr>
          <w:color w:val="000000"/>
        </w:rPr>
        <w:t>The State is committed to promoting an overall environment favourable to companies and to innovating, in particular by supporting research and development efforts deployed within its hubs. At national or regional levels, it supports their development with local authorities by granting financial assistance, via the single inter-ministerial fund (FUI), to the best R&amp;D projects and innovation platforms, by financially assisting themed collective action and involving various partners (Bpifrace, Caisse des Dépots, etc.).</w:t>
      </w:r>
    </w:p>
    <w:p w14:paraId="03CAF43A" w14:textId="77777777" w:rsidR="007E76D2" w:rsidRPr="00364545" w:rsidRDefault="007E76D2" w:rsidP="007E76D2">
      <w:pPr>
        <w:rPr>
          <w:color w:val="000000"/>
          <w:szCs w:val="22"/>
        </w:rPr>
      </w:pPr>
    </w:p>
    <w:p w14:paraId="1C07FD02" w14:textId="200EF1D7" w:rsidR="007E76D2" w:rsidRPr="00364545" w:rsidRDefault="007E76D2" w:rsidP="00E524AF">
      <w:pPr>
        <w:pStyle w:val="Titre4niveau4"/>
      </w:pPr>
      <w:r w:rsidRPr="00364545">
        <w:rPr>
          <w:rStyle w:val="Strong"/>
          <w:rFonts w:ascii="Times New Roman" w:hAnsi="Times New Roman"/>
          <w:b/>
          <w:color w:val="000000"/>
        </w:rPr>
        <w:t>Research Funding Agencies</w:t>
      </w:r>
    </w:p>
    <w:p w14:paraId="79820872" w14:textId="77777777" w:rsidR="007E76D2" w:rsidRPr="00364545" w:rsidRDefault="007E76D2" w:rsidP="007E76D2">
      <w:pPr>
        <w:rPr>
          <w:szCs w:val="22"/>
        </w:rPr>
      </w:pPr>
    </w:p>
    <w:p w14:paraId="0C8AEBA3" w14:textId="77777777" w:rsidR="007E76D2" w:rsidRPr="00364545" w:rsidRDefault="007E76D2" w:rsidP="007E76D2">
      <w:pPr>
        <w:rPr>
          <w:rFonts w:ascii="Arial" w:hAnsi="Arial" w:cs="Arial"/>
          <w:color w:val="000000"/>
          <w:szCs w:val="22"/>
        </w:rPr>
      </w:pPr>
      <w:r w:rsidRPr="00364545">
        <w:rPr>
          <w:color w:val="000000"/>
        </w:rPr>
        <w:t>To support research and innovation projects, there are two main French funding agencies, the National Research Agency (ANR) and the Environment and Energy Control Agency (ADEME)-</w:t>
      </w:r>
    </w:p>
    <w:p w14:paraId="487E872F" w14:textId="77777777" w:rsidR="007E76D2" w:rsidRPr="00364545" w:rsidRDefault="007E76D2" w:rsidP="007E76D2">
      <w:pPr>
        <w:rPr>
          <w:rFonts w:ascii="Arial" w:hAnsi="Arial" w:cs="Arial"/>
          <w:color w:val="000000"/>
          <w:szCs w:val="22"/>
        </w:rPr>
      </w:pPr>
    </w:p>
    <w:p w14:paraId="3914EE0A" w14:textId="77777777" w:rsidR="007E76D2" w:rsidRPr="00364545" w:rsidRDefault="007E76D2" w:rsidP="00E524AF">
      <w:pPr>
        <w:pStyle w:val="titreencadre"/>
        <w:rPr>
          <w:rFonts w:ascii="Arial" w:hAnsi="Arial" w:cs="Arial"/>
        </w:rPr>
      </w:pPr>
      <w:r w:rsidRPr="00364545">
        <w:t>The National Research Agency (ANR)</w:t>
      </w:r>
    </w:p>
    <w:p w14:paraId="72FCD8E9" w14:textId="77777777" w:rsidR="007E76D2" w:rsidRPr="00364545" w:rsidRDefault="007E76D2" w:rsidP="007E76D2">
      <w:pPr>
        <w:rPr>
          <w:rFonts w:ascii="Arial" w:hAnsi="Arial" w:cs="Arial"/>
          <w:color w:val="000000"/>
          <w:szCs w:val="22"/>
        </w:rPr>
      </w:pPr>
    </w:p>
    <w:p w14:paraId="691A5655" w14:textId="408D9917" w:rsidR="007E76D2" w:rsidRPr="00364545" w:rsidRDefault="00BC3817" w:rsidP="007E76D2">
      <w:pPr>
        <w:rPr>
          <w:color w:val="000000"/>
          <w:szCs w:val="22"/>
        </w:rPr>
      </w:pPr>
      <w:r w:rsidRPr="00364545">
        <w:rPr>
          <w:color w:val="000000"/>
        </w:rPr>
        <w:t xml:space="preserve">The ANR has the task of providing project research funding in France. Since 2021 it has had a works budget of 1,190 M€ of which 286 M€ is for the follow-up plan. ANR has designed and deployed a range of tools to meet both the role allocated to it in public policy for research and innovation in France, and for the funding needs of research community projects. The major challenges on which ANR’s action focuses are consistent with the national and European strategic agenda. The ANR also has the task of managing the State's major investment programmes in the fields of higher education and research, and monitoring their application. That is why the ANR was appointed as State operator of future investment programmes in 2010 and took charge of organising, selecting, making contracts, funding, monitoring projects and their impact, and the programme’s effect on this field of work. Since it creation ANR has supported close 25,000 projects including 2291 in 2021. </w:t>
      </w:r>
    </w:p>
    <w:p w14:paraId="326EE61A" w14:textId="77777777" w:rsidR="007E76D2" w:rsidRPr="00364545" w:rsidRDefault="007E76D2" w:rsidP="007E76D2">
      <w:pPr>
        <w:ind w:left="567"/>
        <w:rPr>
          <w:color w:val="000000"/>
          <w:szCs w:val="22"/>
        </w:rPr>
      </w:pPr>
    </w:p>
    <w:p w14:paraId="7EFD5FF9" w14:textId="13A2E270" w:rsidR="007E76D2" w:rsidRPr="00364545" w:rsidRDefault="00AF3E15" w:rsidP="00E524AF">
      <w:pPr>
        <w:pStyle w:val="titreencadre"/>
      </w:pPr>
      <w:r w:rsidRPr="00364545">
        <w:t>The Energy Transition Agency (ADEME)</w:t>
      </w:r>
    </w:p>
    <w:p w14:paraId="5957D23C" w14:textId="77777777" w:rsidR="007E76D2" w:rsidRPr="00364545" w:rsidRDefault="007E76D2" w:rsidP="007E76D2">
      <w:pPr>
        <w:rPr>
          <w:color w:val="000000"/>
          <w:szCs w:val="22"/>
        </w:rPr>
      </w:pPr>
      <w:r w:rsidRPr="00364545">
        <w:rPr>
          <w:color w:val="000000"/>
        </w:rPr>
        <w:t>ADEME is a public body under the joint aegis of the Ecological and Solidarity Transition Ministry and the Higher Education, Research and Innovation Ministry. It takes part in implementing public policy in the fields of the environment, energy and sustainable development. It makes its know-how and consultancy capabilities available to firms, local authorities, public bodies and the public at large, in order to enable them to progress in their environmental work. The agency also assists with project funding, from research to application, in the following fields: waste management, soil conservation, energy efficiency and renewable energy, raw material savings, air quality, combating noise, transition to a circular economy and the fight against food waste.</w:t>
      </w:r>
    </w:p>
    <w:p w14:paraId="148F0814" w14:textId="77777777" w:rsidR="00AF3E15" w:rsidRPr="00364545" w:rsidRDefault="007E76D2" w:rsidP="00AF3E15">
      <w:pPr>
        <w:rPr>
          <w:color w:val="000000"/>
          <w:szCs w:val="22"/>
        </w:rPr>
      </w:pPr>
      <w:r w:rsidRPr="00364545">
        <w:rPr>
          <w:color w:val="000000"/>
        </w:rPr>
        <w:t>In 2022 its budget was 836 M€ in State allowances (of which 218 M€ were for the renewal project) and 45 M€ of its own resources.</w:t>
      </w:r>
    </w:p>
    <w:p w14:paraId="0DDB0E6E" w14:textId="77777777" w:rsidR="00AF3E15" w:rsidRPr="00364545" w:rsidRDefault="00AF3E15" w:rsidP="00AF3E15">
      <w:pPr>
        <w:rPr>
          <w:color w:val="000000"/>
          <w:szCs w:val="22"/>
        </w:rPr>
      </w:pPr>
    </w:p>
    <w:p w14:paraId="5BEAA5A4" w14:textId="2174833A" w:rsidR="007E76D2" w:rsidRPr="00364545" w:rsidRDefault="007E76D2" w:rsidP="00AF3E15">
      <w:r w:rsidRPr="00364545">
        <w:t>Its spending, whose total amount was 793 M€, covers the following major projects:</w:t>
      </w:r>
    </w:p>
    <w:p w14:paraId="53E1720C" w14:textId="77777777" w:rsidR="007E76D2" w:rsidRPr="00364545" w:rsidRDefault="007E76D2" w:rsidP="003F57EA">
      <w:pPr>
        <w:numPr>
          <w:ilvl w:val="1"/>
          <w:numId w:val="65"/>
        </w:numPr>
        <w:suppressAutoHyphens/>
        <w:rPr>
          <w:color w:val="000000"/>
          <w:szCs w:val="22"/>
        </w:rPr>
      </w:pPr>
      <w:r w:rsidRPr="00364545">
        <w:rPr>
          <w:color w:val="000000"/>
        </w:rPr>
        <w:t>370 M€ for the “Renewable Heating” programme,</w:t>
      </w:r>
    </w:p>
    <w:p w14:paraId="0AE11EAA" w14:textId="77777777" w:rsidR="007E76D2" w:rsidRPr="00364545" w:rsidRDefault="007E76D2" w:rsidP="003F57EA">
      <w:pPr>
        <w:numPr>
          <w:ilvl w:val="1"/>
          <w:numId w:val="65"/>
        </w:numPr>
        <w:suppressAutoHyphens/>
        <w:rPr>
          <w:color w:val="000000"/>
          <w:szCs w:val="22"/>
        </w:rPr>
      </w:pPr>
      <w:r w:rsidRPr="00364545">
        <w:rPr>
          <w:color w:val="000000"/>
        </w:rPr>
        <w:t>164 M€ for the “Waste and Circular Economy” programme,</w:t>
      </w:r>
    </w:p>
    <w:p w14:paraId="79620D3C" w14:textId="77777777" w:rsidR="007E76D2" w:rsidRPr="00364545" w:rsidRDefault="007E76D2" w:rsidP="003F57EA">
      <w:pPr>
        <w:numPr>
          <w:ilvl w:val="1"/>
          <w:numId w:val="65"/>
        </w:numPr>
        <w:suppressAutoHyphens/>
        <w:rPr>
          <w:color w:val="000000"/>
          <w:szCs w:val="22"/>
        </w:rPr>
      </w:pPr>
      <w:r w:rsidRPr="00364545">
        <w:rPr>
          <w:color w:val="000000"/>
        </w:rPr>
        <w:t>75 M€ c“Hydrogen” programme,</w:t>
      </w:r>
    </w:p>
    <w:p w14:paraId="41A2C0D1" w14:textId="77777777" w:rsidR="007E76D2" w:rsidRPr="00364545" w:rsidRDefault="007E76D2" w:rsidP="003F57EA">
      <w:pPr>
        <w:numPr>
          <w:ilvl w:val="1"/>
          <w:numId w:val="65"/>
        </w:numPr>
        <w:suppressAutoHyphens/>
        <w:rPr>
          <w:color w:val="000000"/>
          <w:szCs w:val="22"/>
        </w:rPr>
      </w:pPr>
      <w:r w:rsidRPr="00364545">
        <w:rPr>
          <w:color w:val="000000"/>
        </w:rPr>
        <w:t>35 M€ for the “Territorial Energy/Climate Initiative” programme,</w:t>
      </w:r>
    </w:p>
    <w:p w14:paraId="1BCBDBE2" w14:textId="77777777" w:rsidR="007E76D2" w:rsidRPr="00364545" w:rsidRDefault="007E76D2" w:rsidP="003F57EA">
      <w:pPr>
        <w:numPr>
          <w:ilvl w:val="1"/>
          <w:numId w:val="65"/>
        </w:numPr>
        <w:suppressAutoHyphens/>
        <w:rPr>
          <w:color w:val="000000"/>
          <w:szCs w:val="22"/>
        </w:rPr>
      </w:pPr>
      <w:r w:rsidRPr="00364545">
        <w:rPr>
          <w:color w:val="000000"/>
        </w:rPr>
        <w:t>34 M€ for the “Research” programme,</w:t>
      </w:r>
    </w:p>
    <w:p w14:paraId="76BF2B4A" w14:textId="77777777" w:rsidR="007E76D2" w:rsidRPr="00364545" w:rsidRDefault="007E76D2" w:rsidP="003F57EA">
      <w:pPr>
        <w:numPr>
          <w:ilvl w:val="1"/>
          <w:numId w:val="65"/>
        </w:numPr>
        <w:suppressAutoHyphens/>
        <w:rPr>
          <w:color w:val="000000"/>
          <w:szCs w:val="22"/>
        </w:rPr>
      </w:pPr>
      <w:r w:rsidRPr="00364545">
        <w:rPr>
          <w:color w:val="000000"/>
        </w:rPr>
        <w:t>28 M€ for the “Air Mobility” programme,</w:t>
      </w:r>
    </w:p>
    <w:p w14:paraId="1EECACF2" w14:textId="77777777" w:rsidR="007E76D2" w:rsidRPr="00364545" w:rsidRDefault="007E76D2" w:rsidP="003F57EA">
      <w:pPr>
        <w:numPr>
          <w:ilvl w:val="1"/>
          <w:numId w:val="65"/>
        </w:numPr>
        <w:suppressAutoHyphens/>
        <w:rPr>
          <w:color w:val="000000"/>
          <w:szCs w:val="22"/>
        </w:rPr>
      </w:pPr>
      <w:r w:rsidRPr="00364545">
        <w:rPr>
          <w:color w:val="000000"/>
        </w:rPr>
        <w:t>22 M€ for the “Polluted Sites and Urban Wastelands” programme,</w:t>
      </w:r>
    </w:p>
    <w:p w14:paraId="78B38B83" w14:textId="77777777" w:rsidR="007E76D2" w:rsidRPr="00364545" w:rsidRDefault="007E76D2" w:rsidP="003F57EA">
      <w:pPr>
        <w:numPr>
          <w:ilvl w:val="1"/>
          <w:numId w:val="65"/>
        </w:numPr>
        <w:suppressAutoHyphens/>
        <w:rPr>
          <w:color w:val="000000"/>
          <w:szCs w:val="22"/>
        </w:rPr>
      </w:pPr>
      <w:r w:rsidRPr="00364545">
        <w:rPr>
          <w:color w:val="000000"/>
        </w:rPr>
        <w:t>18 M€ for the “Buildings” programme,</w:t>
      </w:r>
    </w:p>
    <w:p w14:paraId="1AFC2B5C" w14:textId="77777777" w:rsidR="007E76D2" w:rsidRPr="00364545" w:rsidRDefault="007E76D2" w:rsidP="003F57EA">
      <w:pPr>
        <w:numPr>
          <w:ilvl w:val="1"/>
          <w:numId w:val="65"/>
        </w:numPr>
        <w:suppressAutoHyphens/>
        <w:rPr>
          <w:color w:val="000000"/>
          <w:szCs w:val="22"/>
        </w:rPr>
      </w:pPr>
      <w:r w:rsidRPr="00364545">
        <w:rPr>
          <w:color w:val="000000"/>
        </w:rPr>
        <w:t>12 M€ for the “Communications/Training” programme,</w:t>
      </w:r>
    </w:p>
    <w:p w14:paraId="57182B2F" w14:textId="77777777" w:rsidR="007E76D2" w:rsidRPr="00364545" w:rsidRDefault="007E76D2" w:rsidP="003F57EA">
      <w:pPr>
        <w:numPr>
          <w:ilvl w:val="1"/>
          <w:numId w:val="65"/>
        </w:numPr>
        <w:suppressAutoHyphens/>
        <w:rPr>
          <w:rFonts w:ascii="Arial" w:hAnsi="Arial" w:cs="Arial"/>
          <w:color w:val="000000"/>
          <w:szCs w:val="22"/>
        </w:rPr>
      </w:pPr>
      <w:r w:rsidRPr="00364545">
        <w:rPr>
          <w:color w:val="000000"/>
        </w:rPr>
        <w:t>35 M€ for other programmes.</w:t>
      </w:r>
    </w:p>
    <w:p w14:paraId="553D7DD8" w14:textId="77777777" w:rsidR="007E76D2" w:rsidRPr="00364545" w:rsidRDefault="007E76D2" w:rsidP="007E76D2">
      <w:pPr>
        <w:ind w:left="1440"/>
        <w:rPr>
          <w:rFonts w:ascii="Arial" w:hAnsi="Arial" w:cs="Arial"/>
          <w:color w:val="000000"/>
          <w:szCs w:val="22"/>
        </w:rPr>
      </w:pPr>
    </w:p>
    <w:p w14:paraId="46D36075" w14:textId="7960B057" w:rsidR="007E76D2" w:rsidRPr="00364545" w:rsidRDefault="007E76D2" w:rsidP="00E524AF">
      <w:pPr>
        <w:pStyle w:val="Titre3Niveau3"/>
      </w:pPr>
      <w:bookmarkStart w:id="736" w:name="_Toc138341895"/>
      <w:r w:rsidRPr="00364545">
        <w:t>Action by Public Authorities in Climate Change Research</w:t>
      </w:r>
      <w:bookmarkEnd w:id="736"/>
    </w:p>
    <w:p w14:paraId="36283EBF" w14:textId="6E9A7FAF" w:rsidR="007E76D2" w:rsidRPr="00364545" w:rsidRDefault="007E76D2" w:rsidP="00E524AF">
      <w:pPr>
        <w:pStyle w:val="Titre4niveau4"/>
      </w:pPr>
      <w:r w:rsidRPr="00364545">
        <w:t>The Main Research Organisations and the AllEnvi National Research Alliance</w:t>
      </w:r>
    </w:p>
    <w:p w14:paraId="1EDFC138" w14:textId="77777777" w:rsidR="007E76D2" w:rsidRPr="00364545" w:rsidRDefault="007E76D2" w:rsidP="007E76D2">
      <w:pPr>
        <w:rPr>
          <w:color w:val="000000"/>
          <w:szCs w:val="22"/>
        </w:rPr>
      </w:pPr>
      <w:r w:rsidRPr="00364545">
        <w:rPr>
          <w:color w:val="000000"/>
        </w:rPr>
        <w:t xml:space="preserve">French public research on climate in the broadest sense is carried out in higher education institutions which are represented in the AllEnvi alliance by the Conference of University Presidents (CPU, which brings together the heads of universities, national polytechnic institutes, Écoles Normales Supérieures and major institutions) and in twelve research organisations which devote a varying proportion of their activities to this field. This involves: </w:t>
      </w:r>
    </w:p>
    <w:p w14:paraId="09043D97" w14:textId="77777777" w:rsidR="007E76D2" w:rsidRPr="00364545" w:rsidRDefault="007E76D2" w:rsidP="003F57EA">
      <w:pPr>
        <w:numPr>
          <w:ilvl w:val="1"/>
          <w:numId w:val="65"/>
        </w:numPr>
        <w:suppressAutoHyphens/>
        <w:rPr>
          <w:color w:val="000000"/>
          <w:szCs w:val="22"/>
        </w:rPr>
      </w:pPr>
      <w:r w:rsidRPr="00364545">
        <w:rPr>
          <w:color w:val="000000"/>
        </w:rPr>
        <w:t>CNRS - National Scientific Research Centre</w:t>
      </w:r>
    </w:p>
    <w:p w14:paraId="02BB7ED5" w14:textId="77777777" w:rsidR="007E76D2" w:rsidRPr="00364545" w:rsidRDefault="007E76D2" w:rsidP="003F57EA">
      <w:pPr>
        <w:numPr>
          <w:ilvl w:val="1"/>
          <w:numId w:val="65"/>
        </w:numPr>
        <w:suppressAutoHyphens/>
        <w:rPr>
          <w:color w:val="000000"/>
          <w:szCs w:val="22"/>
        </w:rPr>
      </w:pPr>
      <w:r w:rsidRPr="00364545">
        <w:rPr>
          <w:color w:val="000000"/>
        </w:rPr>
        <w:t>CEA - Atomic Energy and Alternative Energies Commission</w:t>
      </w:r>
    </w:p>
    <w:p w14:paraId="6DFD74F6" w14:textId="022D462A" w:rsidR="007E76D2" w:rsidRPr="00364545" w:rsidRDefault="00BC3817" w:rsidP="003F57EA">
      <w:pPr>
        <w:numPr>
          <w:ilvl w:val="1"/>
          <w:numId w:val="65"/>
        </w:numPr>
        <w:suppressAutoHyphens/>
        <w:rPr>
          <w:color w:val="000000"/>
          <w:szCs w:val="22"/>
        </w:rPr>
      </w:pPr>
      <w:r w:rsidRPr="00364545">
        <w:rPr>
          <w:color w:val="000000"/>
        </w:rPr>
        <w:t>INRAE-National Agronomic and Environment Research Institute</w:t>
      </w:r>
    </w:p>
    <w:p w14:paraId="2F7CFB6E" w14:textId="77777777" w:rsidR="007E76D2" w:rsidRPr="00364545" w:rsidRDefault="007E76D2" w:rsidP="003F57EA">
      <w:pPr>
        <w:numPr>
          <w:ilvl w:val="1"/>
          <w:numId w:val="65"/>
        </w:numPr>
        <w:suppressAutoHyphens/>
        <w:rPr>
          <w:color w:val="000000"/>
          <w:szCs w:val="22"/>
        </w:rPr>
      </w:pPr>
      <w:r w:rsidRPr="00364545">
        <w:rPr>
          <w:color w:val="000000"/>
        </w:rPr>
        <w:t>Météo-France (French National Weather Forecasting Body)</w:t>
      </w:r>
    </w:p>
    <w:p w14:paraId="68C67151" w14:textId="77777777" w:rsidR="007E76D2" w:rsidRPr="00364545" w:rsidRDefault="007E76D2" w:rsidP="003F57EA">
      <w:pPr>
        <w:numPr>
          <w:ilvl w:val="1"/>
          <w:numId w:val="65"/>
        </w:numPr>
        <w:suppressAutoHyphens/>
        <w:rPr>
          <w:color w:val="000000"/>
          <w:szCs w:val="22"/>
        </w:rPr>
      </w:pPr>
      <w:r w:rsidRPr="00364545">
        <w:rPr>
          <w:color w:val="000000"/>
        </w:rPr>
        <w:t xml:space="preserve">CNES – National Space Studies Centre </w:t>
      </w:r>
    </w:p>
    <w:p w14:paraId="1FF61FC6" w14:textId="77777777" w:rsidR="007E76D2" w:rsidRPr="00364545" w:rsidRDefault="007E76D2" w:rsidP="003F57EA">
      <w:pPr>
        <w:numPr>
          <w:ilvl w:val="1"/>
          <w:numId w:val="65"/>
        </w:numPr>
        <w:suppressAutoHyphens/>
        <w:rPr>
          <w:color w:val="000000"/>
          <w:szCs w:val="22"/>
        </w:rPr>
      </w:pPr>
      <w:r w:rsidRPr="00364545">
        <w:rPr>
          <w:color w:val="000000"/>
        </w:rPr>
        <w:t xml:space="preserve">Cirad - International Cooperation Centre for Agronomic and Development Research </w:t>
      </w:r>
    </w:p>
    <w:p w14:paraId="402D9F42" w14:textId="77777777" w:rsidR="007E76D2" w:rsidRPr="00364545" w:rsidRDefault="007E76D2" w:rsidP="003F57EA">
      <w:pPr>
        <w:numPr>
          <w:ilvl w:val="1"/>
          <w:numId w:val="65"/>
        </w:numPr>
        <w:suppressAutoHyphens/>
        <w:rPr>
          <w:color w:val="000000"/>
          <w:szCs w:val="22"/>
        </w:rPr>
      </w:pPr>
      <w:r w:rsidRPr="00364545">
        <w:rPr>
          <w:color w:val="000000"/>
        </w:rPr>
        <w:t>IRD - Development Research Institute</w:t>
      </w:r>
    </w:p>
    <w:p w14:paraId="314386E3" w14:textId="77777777" w:rsidR="007E76D2" w:rsidRPr="00364545" w:rsidRDefault="007E76D2" w:rsidP="003F57EA">
      <w:pPr>
        <w:numPr>
          <w:ilvl w:val="1"/>
          <w:numId w:val="65"/>
        </w:numPr>
        <w:suppressAutoHyphens/>
        <w:rPr>
          <w:color w:val="000000"/>
          <w:szCs w:val="22"/>
        </w:rPr>
      </w:pPr>
      <w:r w:rsidRPr="00364545">
        <w:rPr>
          <w:color w:val="000000"/>
        </w:rPr>
        <w:t>MNHN - National Natural History Museum</w:t>
      </w:r>
    </w:p>
    <w:p w14:paraId="069A7920" w14:textId="77777777" w:rsidR="007E76D2" w:rsidRPr="00364545" w:rsidRDefault="007E76D2" w:rsidP="003F57EA">
      <w:pPr>
        <w:numPr>
          <w:ilvl w:val="1"/>
          <w:numId w:val="65"/>
        </w:numPr>
        <w:suppressAutoHyphens/>
        <w:rPr>
          <w:color w:val="000000"/>
          <w:szCs w:val="22"/>
        </w:rPr>
      </w:pPr>
      <w:r w:rsidRPr="00364545">
        <w:rPr>
          <w:color w:val="000000"/>
        </w:rPr>
        <w:t>Ifremer - French Institute for Marine Operations Research</w:t>
      </w:r>
    </w:p>
    <w:p w14:paraId="6F257F1D" w14:textId="77777777" w:rsidR="007E76D2" w:rsidRPr="00364545" w:rsidRDefault="007E76D2" w:rsidP="003F57EA">
      <w:pPr>
        <w:numPr>
          <w:ilvl w:val="1"/>
          <w:numId w:val="65"/>
        </w:numPr>
        <w:suppressAutoHyphens/>
        <w:rPr>
          <w:color w:val="000000"/>
          <w:szCs w:val="22"/>
        </w:rPr>
      </w:pPr>
      <w:r w:rsidRPr="00364545">
        <w:rPr>
          <w:color w:val="000000"/>
        </w:rPr>
        <w:t xml:space="preserve">Ifsttar - French Institute for Transport Sciences and Technologies, Development and Networks, which has become the Gustave Eiffel University </w:t>
      </w:r>
    </w:p>
    <w:p w14:paraId="0C8A681C" w14:textId="77777777" w:rsidR="007E76D2" w:rsidRPr="00364545" w:rsidRDefault="007E76D2" w:rsidP="003F57EA">
      <w:pPr>
        <w:numPr>
          <w:ilvl w:val="1"/>
          <w:numId w:val="65"/>
        </w:numPr>
        <w:suppressAutoHyphens/>
        <w:rPr>
          <w:color w:val="000000"/>
          <w:szCs w:val="22"/>
        </w:rPr>
      </w:pPr>
      <w:r w:rsidRPr="00364545">
        <w:rPr>
          <w:color w:val="000000"/>
        </w:rPr>
        <w:t>BRGM - Geological and Mining Research Office</w:t>
      </w:r>
    </w:p>
    <w:p w14:paraId="34C8B54B" w14:textId="77777777" w:rsidR="007E76D2" w:rsidRPr="00364545" w:rsidRDefault="007E76D2" w:rsidP="007E76D2">
      <w:pPr>
        <w:ind w:left="1440"/>
        <w:rPr>
          <w:color w:val="000000"/>
          <w:szCs w:val="22"/>
        </w:rPr>
      </w:pPr>
    </w:p>
    <w:p w14:paraId="12DFBDCA" w14:textId="77777777" w:rsidR="007E76D2" w:rsidRPr="00364545" w:rsidRDefault="007E76D2" w:rsidP="007E76D2">
      <w:pPr>
        <w:rPr>
          <w:color w:val="000000"/>
          <w:szCs w:val="22"/>
        </w:rPr>
      </w:pPr>
      <w:r w:rsidRPr="00364545">
        <w:rPr>
          <w:color w:val="000000"/>
        </w:rPr>
        <w:t xml:space="preserve">The bodies are founding members or partners in the Alliance that intends to coordinate French research in order to succeed in ecological transitioning and face up to the major societal challenges. The AllEnvi alliance is built around 4 stakes, including climate: </w:t>
      </w:r>
    </w:p>
    <w:p w14:paraId="2C80A30F" w14:textId="77777777" w:rsidR="007E76D2" w:rsidRPr="00364545" w:rsidRDefault="007E76D2" w:rsidP="003F57EA">
      <w:pPr>
        <w:numPr>
          <w:ilvl w:val="1"/>
          <w:numId w:val="65"/>
        </w:numPr>
        <w:suppressAutoHyphens/>
        <w:rPr>
          <w:color w:val="000000"/>
          <w:szCs w:val="22"/>
        </w:rPr>
      </w:pPr>
      <w:r w:rsidRPr="00364545">
        <w:rPr>
          <w:color w:val="000000"/>
        </w:rPr>
        <w:t>Nutrition: feeding nine billion human beings by the year 2050</w:t>
      </w:r>
    </w:p>
    <w:p w14:paraId="5DFC4486" w14:textId="77777777" w:rsidR="007E76D2" w:rsidRPr="00364545" w:rsidRDefault="007E76D2" w:rsidP="003F57EA">
      <w:pPr>
        <w:numPr>
          <w:ilvl w:val="1"/>
          <w:numId w:val="65"/>
        </w:numPr>
        <w:suppressAutoHyphens/>
        <w:rPr>
          <w:color w:val="000000"/>
          <w:szCs w:val="22"/>
        </w:rPr>
      </w:pPr>
      <w:r w:rsidRPr="00364545">
        <w:rPr>
          <w:color w:val="000000"/>
        </w:rPr>
        <w:t>Water: guaranteeing access to water and natural resources, in quantity and in quality terms, at the worldwide level.</w:t>
      </w:r>
    </w:p>
    <w:p w14:paraId="31DDACDC" w14:textId="77777777" w:rsidR="007E76D2" w:rsidRPr="00364545" w:rsidRDefault="007E76D2" w:rsidP="003F57EA">
      <w:pPr>
        <w:numPr>
          <w:ilvl w:val="1"/>
          <w:numId w:val="65"/>
        </w:numPr>
        <w:suppressAutoHyphens/>
        <w:rPr>
          <w:color w:val="000000"/>
          <w:szCs w:val="22"/>
        </w:rPr>
      </w:pPr>
      <w:r w:rsidRPr="00364545">
        <w:rPr>
          <w:color w:val="000000"/>
        </w:rPr>
        <w:t>Climate: facing up to climate change and the erosion of biodiversity</w:t>
      </w:r>
    </w:p>
    <w:p w14:paraId="203D4825" w14:textId="77777777" w:rsidR="007E76D2" w:rsidRPr="00364545" w:rsidRDefault="007E76D2" w:rsidP="003F57EA">
      <w:pPr>
        <w:numPr>
          <w:ilvl w:val="1"/>
          <w:numId w:val="65"/>
        </w:numPr>
        <w:suppressAutoHyphens/>
        <w:rPr>
          <w:color w:val="000000"/>
          <w:szCs w:val="22"/>
        </w:rPr>
      </w:pPr>
      <w:r w:rsidRPr="00364545">
        <w:rPr>
          <w:color w:val="000000"/>
        </w:rPr>
        <w:t>Lands: respecting imperative environmental quality on our lands.</w:t>
      </w:r>
    </w:p>
    <w:p w14:paraId="6A056D35" w14:textId="77777777" w:rsidR="007E76D2" w:rsidRPr="00364545" w:rsidRDefault="007E76D2" w:rsidP="007E76D2">
      <w:pPr>
        <w:rPr>
          <w:color w:val="000000"/>
          <w:szCs w:val="22"/>
        </w:rPr>
      </w:pPr>
    </w:p>
    <w:p w14:paraId="6D3B8C2D" w14:textId="77777777" w:rsidR="007E76D2" w:rsidRPr="00364545" w:rsidRDefault="007E76D2" w:rsidP="007E76D2">
      <w:pPr>
        <w:rPr>
          <w:color w:val="000000"/>
          <w:szCs w:val="22"/>
        </w:rPr>
      </w:pPr>
      <w:r w:rsidRPr="00364545">
        <w:rPr>
          <w:color w:val="000000"/>
        </w:rPr>
        <w:t>AllEnvi coordinates 12 topical groups that bring together more than 300 national scientists: Farm ecology and soils, Foods and nutrition, Animals, Biodiversity, Plant biology, Climate, Water. Environmental assessment, Eco-technology, the Sea, Hazards and Lands.</w:t>
      </w:r>
    </w:p>
    <w:p w14:paraId="207D9934" w14:textId="77777777" w:rsidR="007E76D2" w:rsidRPr="00364545" w:rsidRDefault="007E76D2" w:rsidP="007E76D2">
      <w:pPr>
        <w:rPr>
          <w:color w:val="000000"/>
          <w:szCs w:val="22"/>
        </w:rPr>
      </w:pPr>
    </w:p>
    <w:p w14:paraId="62CF6C6B" w14:textId="4D403F8C" w:rsidR="007E76D2" w:rsidRPr="00364545" w:rsidRDefault="007E76D2" w:rsidP="00E524AF">
      <w:pPr>
        <w:pStyle w:val="Titre4niveau4"/>
      </w:pPr>
      <w:r w:rsidRPr="00364545">
        <w:t>National Climate Modelling Centres</w:t>
      </w:r>
    </w:p>
    <w:p w14:paraId="4A7F2E98" w14:textId="77777777" w:rsidR="007E76D2" w:rsidRPr="00364545" w:rsidRDefault="007E76D2" w:rsidP="007E76D2">
      <w:pPr>
        <w:rPr>
          <w:color w:val="000000"/>
          <w:szCs w:val="22"/>
        </w:rPr>
      </w:pPr>
      <w:r w:rsidRPr="00364545">
        <w:rPr>
          <w:color w:val="000000"/>
        </w:rPr>
        <w:t xml:space="preserve">Several climate modelling centres exist in France which have led to the development of two major climate models, with one developed by the Institut Pierre-Simon-Laplace (IPSL) and the other by Météo-France. These models have been developed in partnership with numerous research units in France. </w:t>
      </w:r>
    </w:p>
    <w:p w14:paraId="0C2B6260" w14:textId="77777777" w:rsidR="007E76D2" w:rsidRPr="00364545" w:rsidRDefault="007E76D2" w:rsidP="007E76D2">
      <w:pPr>
        <w:rPr>
          <w:color w:val="000000"/>
          <w:szCs w:val="22"/>
        </w:rPr>
      </w:pPr>
    </w:p>
    <w:p w14:paraId="7769B897" w14:textId="5ACEAFA1" w:rsidR="007E76D2" w:rsidRPr="00364545" w:rsidRDefault="007E76D2" w:rsidP="003F57EA">
      <w:pPr>
        <w:numPr>
          <w:ilvl w:val="0"/>
          <w:numId w:val="64"/>
        </w:numPr>
        <w:suppressAutoHyphens/>
        <w:ind w:left="567" w:hanging="283"/>
        <w:rPr>
          <w:color w:val="000000"/>
          <w:szCs w:val="22"/>
        </w:rPr>
      </w:pPr>
      <w:r w:rsidRPr="00364545">
        <w:rPr>
          <w:color w:val="000000"/>
        </w:rPr>
        <w:t>The Pierre and Simon Laplace Institute (IPSL), set up in 1995, brings together 9 laboratories</w:t>
      </w:r>
      <w:r w:rsidRPr="00364545">
        <w:rPr>
          <w:rStyle w:val="Caractresdenotedebasdepage"/>
          <w:color w:val="000000"/>
          <w:szCs w:val="22"/>
        </w:rPr>
        <w:footnoteReference w:id="81"/>
      </w:r>
      <w:r w:rsidRPr="00364545">
        <w:rPr>
          <w:color w:val="000000"/>
        </w:rPr>
        <w:t xml:space="preserve"> in Paris and its region whose research topics involve the overall environment. The Institute is supervised by CNRS, CNES, CEA, IRD, ENS, Ecole Polytechnique, Sorbonne University, Paris Cité University, East Paris University in Créteil and the Paris-Saclay University. The Institute’s partner laboratories have devised a joint strategy for studying “Earth Systems” overall (the Earth’s climate system, climate change and variations, atmospheric chemistry and air quality, the environment and society) just as for the study as other items in the Solar System. </w:t>
      </w:r>
    </w:p>
    <w:p w14:paraId="2DDB7025" w14:textId="77777777" w:rsidR="007E76D2" w:rsidRPr="00364545" w:rsidRDefault="007E76D2" w:rsidP="007E76D2">
      <w:pPr>
        <w:ind w:left="567"/>
        <w:rPr>
          <w:color w:val="000000"/>
          <w:szCs w:val="22"/>
        </w:rPr>
      </w:pPr>
      <w:r w:rsidRPr="00364545">
        <w:rPr>
          <w:color w:val="000000"/>
        </w:rPr>
        <w:t xml:space="preserve">The IPSL laboratories have set up joint services and major scientific projects to serve its scientific strategy on the climate- </w:t>
      </w:r>
    </w:p>
    <w:p w14:paraId="5669F583" w14:textId="77777777" w:rsidR="007E76D2" w:rsidRPr="00364545" w:rsidRDefault="007E76D2" w:rsidP="003F57EA">
      <w:pPr>
        <w:numPr>
          <w:ilvl w:val="1"/>
          <w:numId w:val="65"/>
        </w:numPr>
        <w:suppressAutoHyphens/>
        <w:rPr>
          <w:color w:val="000000"/>
          <w:szCs w:val="22"/>
        </w:rPr>
      </w:pPr>
      <w:r w:rsidRPr="00364545">
        <w:rPr>
          <w:color w:val="000000"/>
        </w:rPr>
        <w:t xml:space="preserve">The Climate Modelling Hub studies natural and man-made variable in the climate system and has developed a digital instrument from coupling atmospheric, ocean, continental areas and atmospheric chemistry models developed at the IPSL laboratories. </w:t>
      </w:r>
    </w:p>
    <w:p w14:paraId="39FC73AA" w14:textId="77777777" w:rsidR="007E76D2" w:rsidRPr="00364545" w:rsidRDefault="007E76D2" w:rsidP="003F57EA">
      <w:pPr>
        <w:numPr>
          <w:ilvl w:val="1"/>
          <w:numId w:val="65"/>
        </w:numPr>
        <w:suppressAutoHyphens/>
        <w:rPr>
          <w:color w:val="000000"/>
          <w:szCs w:val="22"/>
        </w:rPr>
      </w:pPr>
      <w:r w:rsidRPr="00364545">
        <w:rPr>
          <w:color w:val="000000"/>
        </w:rPr>
        <w:t xml:space="preserve">The data Centre handles the data and makes it available to the IPSL teams. At national level, it is responsible for the data in the ETHER topical hub on atmospheric chemistry and takes part in the ICARE experts group, specialised in the study of aerosols and clouds, combined in the AERIS infrastructure. </w:t>
      </w:r>
    </w:p>
    <w:p w14:paraId="24EE08C4" w14:textId="77777777" w:rsidR="007E76D2" w:rsidRPr="00364545" w:rsidRDefault="007E76D2" w:rsidP="003F57EA">
      <w:pPr>
        <w:numPr>
          <w:ilvl w:val="1"/>
          <w:numId w:val="65"/>
        </w:numPr>
        <w:suppressAutoHyphens/>
        <w:rPr>
          <w:color w:val="000000"/>
          <w:szCs w:val="22"/>
        </w:rPr>
      </w:pPr>
      <w:r w:rsidRPr="00364545">
        <w:rPr>
          <w:color w:val="000000"/>
        </w:rPr>
        <w:t xml:space="preserve">IPSL is in charge of several observation (monitoring stratospheric ozone, greenhouse gases and carbon flows in the ocean and the atmosphere) and modelling departments (oceans and air pollution) in addition to an instrumental site all qualified by CNRS-INSU. </w:t>
      </w:r>
    </w:p>
    <w:p w14:paraId="6E1AF206" w14:textId="77777777" w:rsidR="007E76D2" w:rsidRPr="00364545" w:rsidRDefault="007E76D2" w:rsidP="003F57EA">
      <w:pPr>
        <w:numPr>
          <w:ilvl w:val="1"/>
          <w:numId w:val="65"/>
        </w:numPr>
        <w:suppressAutoHyphens/>
        <w:rPr>
          <w:color w:val="000000"/>
          <w:szCs w:val="22"/>
        </w:rPr>
      </w:pPr>
      <w:r w:rsidRPr="00364545">
        <w:rPr>
          <w:color w:val="000000"/>
        </w:rPr>
        <w:t>The “Regional Climates and Environments” Hub is concerned with the water cycle and the medium-scale processes that act on that cycle.</w:t>
      </w:r>
    </w:p>
    <w:p w14:paraId="1AC3B855" w14:textId="77777777" w:rsidR="007E76D2" w:rsidRPr="00364545" w:rsidRDefault="007E76D2" w:rsidP="007E76D2">
      <w:pPr>
        <w:rPr>
          <w:color w:val="000000"/>
          <w:szCs w:val="22"/>
        </w:rPr>
      </w:pPr>
    </w:p>
    <w:p w14:paraId="61835AEF" w14:textId="29139B6D" w:rsidR="007E76D2" w:rsidRPr="00364545" w:rsidRDefault="007E76D2" w:rsidP="003F57EA">
      <w:pPr>
        <w:numPr>
          <w:ilvl w:val="0"/>
          <w:numId w:val="64"/>
        </w:numPr>
        <w:suppressAutoHyphens/>
        <w:ind w:left="567" w:hanging="283"/>
        <w:rPr>
          <w:color w:val="000000"/>
          <w:szCs w:val="22"/>
        </w:rPr>
      </w:pPr>
      <w:r w:rsidRPr="00364545">
        <w:rPr>
          <w:color w:val="000000"/>
        </w:rPr>
        <w:t>Météo-France is the national meteorological and climatology service. Its annual budget is 362 M€ (2020). Its primary remit is to ensure meteorological safety for people and assets by performing observations across the whole national territory (mainland and overseas territories) and weather forecasting. Météo-France plays a significant role within the main weather cooperation bodies: the World Meteorological Organisation (OMM), the European Centre for Medium Term Weather Forecasting (CEPMMT), Eumetsat, the operator of European Weather Satellites, an Eumetnet.</w:t>
      </w:r>
    </w:p>
    <w:p w14:paraId="07447CA9" w14:textId="77777777" w:rsidR="007E76D2" w:rsidRPr="00364545" w:rsidRDefault="007E76D2" w:rsidP="007E76D2">
      <w:pPr>
        <w:ind w:left="567"/>
        <w:rPr>
          <w:color w:val="000000"/>
          <w:szCs w:val="22"/>
        </w:rPr>
      </w:pPr>
      <w:r w:rsidRPr="00364545">
        <w:rPr>
          <w:color w:val="000000"/>
        </w:rPr>
        <w:t xml:space="preserve">Météo-France’s research work represents a major contribution to the work of the French, European and International scientific community in the fields of meteorology and climatology. </w:t>
      </w:r>
    </w:p>
    <w:p w14:paraId="1FA5AA16" w14:textId="2BE549E2" w:rsidR="002B29B0" w:rsidRPr="00364545" w:rsidRDefault="007E76D2" w:rsidP="002B29B0">
      <w:pPr>
        <w:rPr>
          <w:rFonts w:asciiTheme="minorHAnsi" w:hAnsiTheme="minorHAnsi"/>
          <w:color w:val="000000"/>
          <w:szCs w:val="22"/>
        </w:rPr>
      </w:pPr>
      <w:r w:rsidRPr="00364545">
        <w:rPr>
          <w:color w:val="000000"/>
        </w:rPr>
        <w:t>The National Meteorological Research Centre (CNRM) is a shared research unit for CNRS and Météo-France. It brings together about 80 researchers, 150 engineers, technicians and administrators. It performs the essence of its work and coordinates all the R&amp;D items for Météo-France. It is formed of six research units and a group of shares departments spread across several sites in France: mainly the mainland at Toulouse (about 80%) and Grenoble, with the Snow Studies Centre. In order to perform its tasks and the vital experiments needed to acquire new knowledge, the CNRM relies on high technology resources: supercomputers, satellites, instrument-laden aircraft, drones, fixed or mobile measuring stations, mountain instrumentation sites, wind profiling radar, anchored and free-floating buoys, and chilled rooms. In 2021, in order to enhance the services offered to society, the power of Météo-France’s computers was increased by a factor of 5.5 compared with the previous configuration, to make available a calculation power of 21.48 petaflops split across two locations.</w:t>
      </w:r>
    </w:p>
    <w:p w14:paraId="696F2035" w14:textId="16502D0F" w:rsidR="007E76D2" w:rsidRPr="00364545" w:rsidRDefault="007E76D2" w:rsidP="002B29B0">
      <w:pPr>
        <w:ind w:left="567"/>
        <w:rPr>
          <w:color w:val="000000"/>
          <w:szCs w:val="22"/>
        </w:rPr>
      </w:pPr>
    </w:p>
    <w:p w14:paraId="67336FA9" w14:textId="77777777" w:rsidR="007E76D2" w:rsidRPr="00364545" w:rsidRDefault="007E76D2" w:rsidP="007E76D2">
      <w:pPr>
        <w:rPr>
          <w:color w:val="000000"/>
          <w:szCs w:val="22"/>
        </w:rPr>
      </w:pPr>
    </w:p>
    <w:p w14:paraId="78F3960B" w14:textId="481BD458" w:rsidR="007E76D2" w:rsidRPr="00364545" w:rsidRDefault="007E76D2" w:rsidP="00E524AF">
      <w:pPr>
        <w:pStyle w:val="titreencadre"/>
      </w:pPr>
      <w:r w:rsidRPr="00364545">
        <w:t>National Climate Modelling Infrastructure (ClimERI-France)</w:t>
      </w:r>
    </w:p>
    <w:p w14:paraId="33D02F70" w14:textId="2B43AA27" w:rsidR="007E76D2" w:rsidRPr="00364545" w:rsidRDefault="007E76D2" w:rsidP="00115021">
      <w:pPr>
        <w:rPr>
          <w:rFonts w:ascii="Arial" w:eastAsia="Symbol" w:hAnsi="Arial" w:cs="Arial"/>
          <w:color w:val="000000"/>
          <w:szCs w:val="22"/>
        </w:rPr>
      </w:pPr>
      <w:r w:rsidRPr="00364545">
        <w:rPr>
          <w:color w:val="000000"/>
        </w:rPr>
        <w:t>ClimERI-France, combining the CNRS, CEA, Météo-France, Sorbonne University, IRD, Cerfacs and GENCI, has the task of performing international digital simulations for the World Climate Research Programme and making their results available to various users. This coordinated experience intends to comprehend the operation of the climate system, to assess the capabilities of climate models by defining standard experiments, to support study mechanisms and processes and produce projections for future climate developments. These experiments contribute to reports prepared by GIEC. CLimERI-France includes the human resources to ensure the adjustment and maintenance of the tools needed for their use, for the preparation of reference code versions, the use of data produced by simulations, and computational resources to enable the execution of international experiments, data storage capacities and the software infrastructure to enable the management and handling of data and metadata flows. The infrastructure offers an access service to data and result analysis for global and regional climate models in addition to simulations over France, in the context of developing coordinated climate services at national level through the National Alliance for Environmental Research. AllEnvi.</w:t>
      </w:r>
      <w:r w:rsidRPr="00364545">
        <w:rPr>
          <w:rFonts w:ascii="Arial" w:hAnsi="Arial"/>
          <w:color w:val="000000"/>
        </w:rPr>
        <w:t xml:space="preserve"> </w:t>
      </w:r>
    </w:p>
    <w:p w14:paraId="54B8B6E0" w14:textId="77777777" w:rsidR="007E76D2" w:rsidRPr="00364545" w:rsidRDefault="007E76D2" w:rsidP="007E76D2">
      <w:pPr>
        <w:rPr>
          <w:rFonts w:ascii="Arial" w:eastAsia="Symbol" w:hAnsi="Arial" w:cs="Arial"/>
          <w:color w:val="000000"/>
          <w:szCs w:val="22"/>
        </w:rPr>
      </w:pPr>
    </w:p>
    <w:p w14:paraId="0C8C30E8" w14:textId="10D9F830" w:rsidR="007E76D2" w:rsidRPr="00364545" w:rsidRDefault="007E76D2" w:rsidP="00E524AF">
      <w:pPr>
        <w:pStyle w:val="Titre4niveau4"/>
      </w:pPr>
      <w:r w:rsidRPr="00364545">
        <w:t>The National Research Strategy (SNR)</w:t>
      </w:r>
    </w:p>
    <w:p w14:paraId="793CE2E2" w14:textId="68E641AC" w:rsidR="007E76D2" w:rsidRPr="00364545" w:rsidRDefault="007E76D2" w:rsidP="007E76D2">
      <w:pPr>
        <w:rPr>
          <w:rFonts w:eastAsia="Symbol"/>
          <w:color w:val="000000"/>
          <w:szCs w:val="22"/>
        </w:rPr>
      </w:pPr>
      <w:r w:rsidRPr="00364545">
        <w:t>Amongst the ten major scientific challenges set out in the</w:t>
      </w:r>
      <w:r w:rsidRPr="00364545">
        <w:rPr>
          <w:color w:val="000000"/>
        </w:rPr>
        <w:t xml:space="preserve"> SNR (see. VIII.</w:t>
      </w:r>
      <w:r w:rsidR="00115021" w:rsidRPr="00364545">
        <w:rPr>
          <w:rFonts w:eastAsia="Symbol"/>
          <w:color w:val="000000"/>
        </w:rPr>
        <w:fldChar w:fldCharType="begin"/>
      </w:r>
      <w:r w:rsidR="00115021" w:rsidRPr="00364545">
        <w:rPr>
          <w:rFonts w:eastAsia="Symbol"/>
          <w:color w:val="000000"/>
        </w:rPr>
        <w:instrText xml:space="preserve"> REF _Ref121997625 \r \h </w:instrText>
      </w:r>
      <w:r w:rsidR="00364545">
        <w:rPr>
          <w:rFonts w:eastAsia="Symbol"/>
          <w:color w:val="000000"/>
        </w:rPr>
        <w:instrText xml:space="preserve"> \* MERGEFORMAT </w:instrText>
      </w:r>
      <w:r w:rsidR="00115021" w:rsidRPr="00364545">
        <w:rPr>
          <w:rFonts w:eastAsia="Symbol"/>
          <w:color w:val="000000"/>
        </w:rPr>
      </w:r>
      <w:r w:rsidR="00115021" w:rsidRPr="00364545">
        <w:rPr>
          <w:rFonts w:eastAsia="Symbol"/>
          <w:color w:val="000000"/>
        </w:rPr>
        <w:fldChar w:fldCharType="separate"/>
      </w:r>
      <w:r w:rsidR="009A2FAA">
        <w:rPr>
          <w:rFonts w:eastAsia="Symbol"/>
          <w:color w:val="000000"/>
        </w:rPr>
        <w:t>A.1.3</w:t>
      </w:r>
      <w:r w:rsidR="00115021" w:rsidRPr="00364545">
        <w:rPr>
          <w:rFonts w:eastAsia="Symbol"/>
          <w:color w:val="000000"/>
        </w:rPr>
        <w:fldChar w:fldCharType="end"/>
      </w:r>
      <w:r w:rsidRPr="00364545">
        <w:rPr>
          <w:color w:val="000000"/>
        </w:rPr>
        <w:t>) half involve climate research and also the impact of climate change in particular on the major areas on Earth, including the oceans, the atmosphere and the critical area</w:t>
      </w:r>
      <w:r w:rsidRPr="00364545">
        <w:rPr>
          <w:rStyle w:val="Caractresdenotedebasdepage"/>
          <w:rFonts w:eastAsia="Symbol"/>
          <w:color w:val="000000"/>
          <w:szCs w:val="22"/>
        </w:rPr>
        <w:footnoteReference w:id="82"/>
      </w:r>
      <w:r w:rsidRPr="00364545">
        <w:rPr>
          <w:color w:val="000000"/>
        </w:rPr>
        <w:t>. This research also addresses the vulnerabilities and the adaptation required.</w:t>
      </w:r>
    </w:p>
    <w:p w14:paraId="2FD8F78E" w14:textId="77777777" w:rsidR="007E76D2" w:rsidRPr="00364545" w:rsidRDefault="007E76D2" w:rsidP="007E76D2">
      <w:pPr>
        <w:rPr>
          <w:rFonts w:eastAsia="Symbol"/>
          <w:color w:val="000000"/>
          <w:szCs w:val="22"/>
        </w:rPr>
      </w:pPr>
      <w:r w:rsidRPr="00364545">
        <w:rPr>
          <w:color w:val="000000"/>
        </w:rPr>
        <w:t>The challenge of “Reasonable management of resources and adapting to climate change” (or challenge 1) focusses climate research. In 2017, it unfolded across six research lines:</w:t>
      </w:r>
    </w:p>
    <w:p w14:paraId="319DDB61"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Line 1: Fundamental knowledge relating to the challenge (surroundings and biodiversity).</w:t>
      </w:r>
    </w:p>
    <w:p w14:paraId="0FF5D515"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Line 2: Ecosystem dynamics and their components with a view to their sustainable development</w:t>
      </w:r>
    </w:p>
    <w:p w14:paraId="64FC4CFC"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Line 3: Environmental Health “One Health”</w:t>
      </w:r>
    </w:p>
    <w:p w14:paraId="3E224EE4"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 xml:space="preserve">Line 4: Scientific and technological innovation in support of ecological transition </w:t>
      </w:r>
    </w:p>
    <w:p w14:paraId="45395785"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Line 5: Companies faced with environmental changes</w:t>
      </w:r>
    </w:p>
    <w:p w14:paraId="43DF693A"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Line 6: Integrated approaches for sustainable land development</w:t>
      </w:r>
    </w:p>
    <w:p w14:paraId="6CD49CBA" w14:textId="77777777" w:rsidR="007E76D2" w:rsidRPr="00364545" w:rsidRDefault="007E76D2" w:rsidP="007E76D2">
      <w:pPr>
        <w:rPr>
          <w:rFonts w:eastAsia="Symbol"/>
          <w:color w:val="000000"/>
          <w:szCs w:val="22"/>
        </w:rPr>
      </w:pPr>
    </w:p>
    <w:p w14:paraId="338D706D" w14:textId="77777777" w:rsidR="007E76D2" w:rsidRPr="00364545" w:rsidRDefault="007E76D2" w:rsidP="007E76D2">
      <w:pPr>
        <w:rPr>
          <w:rFonts w:eastAsia="Symbol"/>
          <w:color w:val="000000"/>
          <w:szCs w:val="22"/>
        </w:rPr>
      </w:pPr>
      <w:r w:rsidRPr="00364545">
        <w:rPr>
          <w:color w:val="000000"/>
        </w:rPr>
        <w:t xml:space="preserve">Three other major challenges also target, directly or indirectly, research issues on the climate and its impact is as follows: </w:t>
      </w:r>
    </w:p>
    <w:p w14:paraId="541ECBF4"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 xml:space="preserve">Challenge 2: Clean, safe and efficient energy </w:t>
      </w:r>
    </w:p>
    <w:p w14:paraId="3C833EFC"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Challenge 5: Food safety and demographic challenge</w:t>
      </w:r>
    </w:p>
    <w:p w14:paraId="1214203E"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Challenge 6: Sustainable transport and urban systems</w:t>
      </w:r>
    </w:p>
    <w:p w14:paraId="2925A412" w14:textId="77777777" w:rsidR="007E76D2" w:rsidRPr="00364545" w:rsidRDefault="007E76D2" w:rsidP="007E76D2">
      <w:pPr>
        <w:rPr>
          <w:rFonts w:eastAsia="Symbol"/>
          <w:color w:val="000000"/>
          <w:szCs w:val="22"/>
        </w:rPr>
      </w:pPr>
    </w:p>
    <w:p w14:paraId="24140D33" w14:textId="77777777" w:rsidR="007E76D2" w:rsidRPr="00364545" w:rsidRDefault="007E76D2" w:rsidP="007E76D2">
      <w:pPr>
        <w:rPr>
          <w:rFonts w:eastAsia="Symbol"/>
          <w:color w:val="000000"/>
          <w:szCs w:val="22"/>
        </w:rPr>
      </w:pPr>
      <w:r w:rsidRPr="00364545">
        <w:rPr>
          <w:color w:val="000000"/>
        </w:rPr>
        <w:t xml:space="preserve">From all the research orientations on societal challenges several stakes have emerged that have a strong potential impact, which require coordinated action beyond the usual research programmes and the goals set by research bodies. Within the five stakes deemed by France to require specially urgent treatment, taking account of the diversity of economic and social impacts, the current international dynamic and the maturity of the action envisaged, two concern climate change: </w:t>
      </w:r>
    </w:p>
    <w:p w14:paraId="304B1C05"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Big data with the explosion of volumes of digital data especially in the environmental -climatology fields, represent an exceptional pool of new knowledge;</w:t>
      </w:r>
    </w:p>
    <w:p w14:paraId="4C7EB206" w14:textId="77777777" w:rsidR="007E76D2" w:rsidRPr="00364545" w:rsidRDefault="007E76D2" w:rsidP="003F57EA">
      <w:pPr>
        <w:numPr>
          <w:ilvl w:val="0"/>
          <w:numId w:val="64"/>
        </w:numPr>
        <w:suppressAutoHyphens/>
        <w:ind w:left="567" w:hanging="283"/>
        <w:rPr>
          <w:rFonts w:eastAsia="Symbol"/>
          <w:color w:val="000000"/>
          <w:szCs w:val="22"/>
        </w:rPr>
      </w:pPr>
      <w:r w:rsidRPr="00364545">
        <w:rPr>
          <w:color w:val="000000"/>
        </w:rPr>
        <w:t>Earth System: observation, forecasting and adapting. Understanding and observing the Earth System, and forecasting how it will develop involve organising, acquiring and using earth observation data. This field clearly forms a major societal and economic stake in a context that is marked by climate degradation, and the scarcity and deterioration of certain natural resources.</w:t>
      </w:r>
    </w:p>
    <w:p w14:paraId="33807196" w14:textId="77777777" w:rsidR="007E76D2" w:rsidRPr="00364545" w:rsidRDefault="007E76D2" w:rsidP="007E76D2">
      <w:pPr>
        <w:rPr>
          <w:rFonts w:eastAsia="Symbol"/>
          <w:color w:val="000000"/>
          <w:szCs w:val="22"/>
        </w:rPr>
      </w:pPr>
    </w:p>
    <w:p w14:paraId="487042C2" w14:textId="679CC05A" w:rsidR="007E76D2" w:rsidRPr="00364545" w:rsidRDefault="007E76D2" w:rsidP="00E524AF">
      <w:pPr>
        <w:pStyle w:val="Titre4niveau4"/>
        <w:rPr>
          <w:u w:val="single"/>
        </w:rPr>
      </w:pPr>
      <w:r w:rsidRPr="00364545">
        <w:t>The Future Investments Programme</w:t>
      </w:r>
    </w:p>
    <w:p w14:paraId="15BDDA2E" w14:textId="77777777" w:rsidR="007E76D2" w:rsidRPr="00364545" w:rsidRDefault="007E76D2" w:rsidP="007E76D2">
      <w:pPr>
        <w:pStyle w:val="NormalWeb"/>
        <w:spacing w:before="0" w:after="0"/>
        <w:rPr>
          <w:color w:val="000000"/>
          <w:szCs w:val="22"/>
        </w:rPr>
      </w:pPr>
      <w:r w:rsidRPr="00364545">
        <w:rPr>
          <w:color w:val="000000"/>
        </w:rPr>
        <w:t>France has acknowledged scientific expertise in the field of climate modelling and on observation systems that focus on the main flowing envelopes around the planet (the atmosphere, oceans and continental groundwater) and the biosphere. The future investment programme has enabled national research resources to be enhanced by the creation of laboratories of excellence and excellent facilities.</w:t>
      </w:r>
    </w:p>
    <w:p w14:paraId="2F67D80D" w14:textId="77777777" w:rsidR="007E76D2" w:rsidRPr="00364545" w:rsidRDefault="007E76D2" w:rsidP="007E76D2">
      <w:pPr>
        <w:pStyle w:val="NormalWeb"/>
        <w:rPr>
          <w:color w:val="000000"/>
          <w:szCs w:val="22"/>
        </w:rPr>
      </w:pPr>
      <w:r w:rsidRPr="00364545">
        <w:rPr>
          <w:color w:val="000000"/>
        </w:rPr>
        <w:t>In this way, the capabilities of French research on climate and the environment have been enhanced by the creation of fourteen laboratories of excellence (labEx) supported by 133 M€ over 10 years.</w:t>
      </w:r>
    </w:p>
    <w:p w14:paraId="3DD82D2F" w14:textId="77777777" w:rsidR="007E76D2" w:rsidRPr="00364545" w:rsidRDefault="007E76D2" w:rsidP="003F57EA">
      <w:pPr>
        <w:pStyle w:val="ListParagraph"/>
        <w:numPr>
          <w:ilvl w:val="0"/>
          <w:numId w:val="67"/>
        </w:numPr>
        <w:suppressAutoHyphens/>
        <w:rPr>
          <w:color w:val="000000"/>
          <w:szCs w:val="22"/>
        </w:rPr>
      </w:pPr>
      <w:r w:rsidRPr="00364545">
        <w:rPr>
          <w:color w:val="000000"/>
        </w:rPr>
        <w:t>AGRO (Montpellier) :</w:t>
      </w:r>
      <w:r w:rsidRPr="00364545">
        <w:rPr>
          <w:color w:val="000000"/>
          <w:shd w:val="clear" w:color="auto" w:fill="FFFFFF"/>
        </w:rPr>
        <w:t xml:space="preserve"> </w:t>
      </w:r>
      <w:r w:rsidRPr="00364545">
        <w:rPr>
          <w:color w:val="000000"/>
        </w:rPr>
        <w:t>LabEx Agro focuses on plants of agronomic interest. It brings together more than 1200 scientists to form a continuum of multi-disciplinary skills (biological sciences, engineering sciences, human and social sciences) going from the study of genes to the end use of plants, and with the benefit of acknowledged expertise on a large number of temperate, Mediterranean and tropical plant species.</w:t>
      </w:r>
    </w:p>
    <w:p w14:paraId="294A4256" w14:textId="77777777" w:rsidR="007E76D2" w:rsidRPr="00364545" w:rsidRDefault="007E76D2" w:rsidP="003F57EA">
      <w:pPr>
        <w:pStyle w:val="ListParagraph"/>
        <w:numPr>
          <w:ilvl w:val="0"/>
          <w:numId w:val="67"/>
        </w:numPr>
        <w:suppressAutoHyphens/>
        <w:rPr>
          <w:color w:val="000000"/>
          <w:szCs w:val="22"/>
        </w:rPr>
      </w:pPr>
      <w:r w:rsidRPr="00364545">
        <w:rPr>
          <w:color w:val="000000"/>
        </w:rPr>
        <w:t>ARBRE (Advanced Research on Tree Biology and Forest Ecosystems; Lorraine). The general aim of labEx ARBRE is to understand the mechanisms that govern evolution in forest ecosystems, in order to provide medium and long term responses o global changes and to develop suitable management approaches to enable their sustainability or their mutation is assured.</w:t>
      </w:r>
    </w:p>
    <w:p w14:paraId="1C472408" w14:textId="77777777" w:rsidR="00115021" w:rsidRPr="00364545" w:rsidRDefault="007E76D2" w:rsidP="003F57EA">
      <w:pPr>
        <w:pStyle w:val="ListParagraph"/>
        <w:numPr>
          <w:ilvl w:val="0"/>
          <w:numId w:val="67"/>
        </w:numPr>
        <w:suppressAutoHyphens/>
        <w:rPr>
          <w:color w:val="000000"/>
          <w:szCs w:val="22"/>
        </w:rPr>
      </w:pPr>
      <w:r w:rsidRPr="00364545">
        <w:rPr>
          <w:color w:val="000000"/>
        </w:rPr>
        <w:t>BASC (Biodiversity, Farm-ecosystems, Society, and Climate; Paris-Saclay) proposes exploring how human activity interacts with ecosystems, and by what means it is possible to remedy the deterioration of biodiversity and the environment that it produces.</w:t>
      </w:r>
    </w:p>
    <w:p w14:paraId="3EA55326" w14:textId="3377F6E3" w:rsidR="007E76D2" w:rsidRPr="00364545" w:rsidRDefault="007E76D2" w:rsidP="003F57EA">
      <w:pPr>
        <w:pStyle w:val="ListParagraph"/>
        <w:numPr>
          <w:ilvl w:val="0"/>
          <w:numId w:val="67"/>
        </w:numPr>
        <w:suppressAutoHyphens/>
        <w:rPr>
          <w:color w:val="000000"/>
          <w:szCs w:val="22"/>
        </w:rPr>
      </w:pPr>
      <w:r w:rsidRPr="00364545">
        <w:rPr>
          <w:color w:val="000000"/>
        </w:rPr>
        <w:t xml:space="preserve">CAPPA (Atmospheric Environment Physics and Chemistry; Lille): The CaPPA laboratory of excellence - on the one hand focuses on the “aerosols” system and its precursors in order to better understand their role in climate forcing and the water cycle, and on the other hand on changes in air quality at global, regional and local levels, with specific studies devoted to radionuclides. </w:t>
      </w:r>
    </w:p>
    <w:p w14:paraId="6773BD22" w14:textId="77777777" w:rsidR="007E76D2" w:rsidRPr="00364545" w:rsidRDefault="007E76D2" w:rsidP="003F57EA">
      <w:pPr>
        <w:pStyle w:val="ListParagraph"/>
        <w:numPr>
          <w:ilvl w:val="0"/>
          <w:numId w:val="67"/>
        </w:numPr>
        <w:suppressAutoHyphens/>
        <w:rPr>
          <w:color w:val="000000"/>
          <w:szCs w:val="22"/>
        </w:rPr>
      </w:pPr>
      <w:r w:rsidRPr="00364545">
        <w:rPr>
          <w:color w:val="000000"/>
        </w:rPr>
        <w:t>CEBA (Centre for Amazonian Biodiversity Studies): Based in French Guyana, the CEBA laboratory of excellence fosters innovation in research in tropical biodiversity. It brings together a network of High level French research teams, contributes to University education and encourages scientific cooperation with South American countries.</w:t>
      </w:r>
    </w:p>
    <w:p w14:paraId="5E2BA382" w14:textId="77777777" w:rsidR="007E76D2" w:rsidRPr="00364545" w:rsidRDefault="007E76D2" w:rsidP="003F57EA">
      <w:pPr>
        <w:pStyle w:val="ListParagraph"/>
        <w:numPr>
          <w:ilvl w:val="0"/>
          <w:numId w:val="67"/>
        </w:numPr>
        <w:suppressAutoHyphens/>
        <w:rPr>
          <w:color w:val="000000"/>
          <w:szCs w:val="22"/>
        </w:rPr>
      </w:pPr>
      <w:r w:rsidRPr="00364545">
        <w:rPr>
          <w:color w:val="000000"/>
        </w:rPr>
        <w:t>CeMEB (Mediterranean Environment and Biodiversity Centre; Montpellier). Research performed at CeMEB involves the dynamics and workings of biodiversity and ecosystems in a context of environmental change, especially those brought about by human activity. A major goal is forecasting the biological consequences of planetary change by means of scenarios, and anticipating changes in ecosystem services and human societies</w:t>
      </w:r>
    </w:p>
    <w:p w14:paraId="4B2C8A1E" w14:textId="17A95884" w:rsidR="007E76D2" w:rsidRPr="00364545" w:rsidRDefault="007E76D2" w:rsidP="003F57EA">
      <w:pPr>
        <w:pStyle w:val="ListParagraph"/>
        <w:numPr>
          <w:ilvl w:val="0"/>
          <w:numId w:val="67"/>
        </w:numPr>
        <w:suppressAutoHyphens/>
        <w:rPr>
          <w:color w:val="000000"/>
          <w:szCs w:val="22"/>
        </w:rPr>
      </w:pPr>
      <w:r w:rsidRPr="00364545">
        <w:rPr>
          <w:color w:val="000000"/>
        </w:rPr>
        <w:t>CORAIL (Perpignan) : The labEx has the goal of providing a genuine platform for knowledge on coral ecosystems, to be used for their better management.</w:t>
      </w:r>
    </w:p>
    <w:p w14:paraId="06BB7D37" w14:textId="77777777" w:rsidR="007E76D2" w:rsidRPr="00364545" w:rsidRDefault="007E76D2" w:rsidP="003F57EA">
      <w:pPr>
        <w:pStyle w:val="ListParagraph"/>
        <w:numPr>
          <w:ilvl w:val="0"/>
          <w:numId w:val="67"/>
        </w:numPr>
        <w:suppressAutoHyphens/>
        <w:rPr>
          <w:color w:val="000000"/>
          <w:szCs w:val="22"/>
        </w:rPr>
      </w:pPr>
      <w:r w:rsidRPr="00364545">
        <w:rPr>
          <w:color w:val="000000"/>
        </w:rPr>
        <w:t>COTE (Bordeaux) : COTE brings together researchers in physics, chemistry and socio-economic sciences, to understand and forecast the response of continental and coastal ecosystems, to environmental change brought about by mankind and to provide the tools and methods to regulate or produce their upgrading.</w:t>
      </w:r>
    </w:p>
    <w:p w14:paraId="61BF5210" w14:textId="77777777" w:rsidR="007E76D2" w:rsidRPr="00364545" w:rsidRDefault="007E76D2" w:rsidP="003F57EA">
      <w:pPr>
        <w:pStyle w:val="ListParagraph"/>
        <w:numPr>
          <w:ilvl w:val="0"/>
          <w:numId w:val="67"/>
        </w:numPr>
        <w:suppressAutoHyphens/>
        <w:rPr>
          <w:color w:val="000000"/>
          <w:szCs w:val="22"/>
        </w:rPr>
      </w:pPr>
      <w:r w:rsidRPr="00364545">
        <w:rPr>
          <w:color w:val="000000"/>
        </w:rPr>
        <w:t xml:space="preserve">ITEM (Innovation and Mountain Lands; Grenoble): This labEx forms a reference hub for research in human and social sciences on mountains, which has the aim of bringing the analysis and expertise capabilities to mountain lands that the various types of change that they face require, including on climate. </w:t>
      </w:r>
    </w:p>
    <w:p w14:paraId="03BC1AAA" w14:textId="77777777" w:rsidR="007E76D2" w:rsidRPr="00364545" w:rsidRDefault="007E76D2" w:rsidP="003F57EA">
      <w:pPr>
        <w:pStyle w:val="ListParagraph"/>
        <w:numPr>
          <w:ilvl w:val="0"/>
          <w:numId w:val="67"/>
        </w:numPr>
        <w:suppressAutoHyphens/>
        <w:rPr>
          <w:color w:val="000000"/>
          <w:szCs w:val="22"/>
        </w:rPr>
      </w:pPr>
      <w:r w:rsidRPr="00364545">
        <w:rPr>
          <w:color w:val="000000"/>
        </w:rPr>
        <w:t xml:space="preserve">L-IPSL (Paris). The Pierre Simon Laplace labEx has the goal of understanding climate and anticipating future changes. </w:t>
      </w:r>
    </w:p>
    <w:p w14:paraId="62579FFB" w14:textId="77777777" w:rsidR="007E76D2" w:rsidRPr="00364545" w:rsidRDefault="007E76D2" w:rsidP="003F57EA">
      <w:pPr>
        <w:pStyle w:val="ListParagraph"/>
        <w:numPr>
          <w:ilvl w:val="0"/>
          <w:numId w:val="67"/>
        </w:numPr>
        <w:suppressAutoHyphens/>
        <w:rPr>
          <w:color w:val="000000"/>
          <w:szCs w:val="22"/>
        </w:rPr>
      </w:pPr>
      <w:r w:rsidRPr="00364545">
        <w:rPr>
          <w:color w:val="000000"/>
        </w:rPr>
        <w:t xml:space="preserve">LabexMER (Brest): In the context of climate change and scarcer resources, LabexMER intends to increase knowledge and understanding of how oceans work. </w:t>
      </w:r>
    </w:p>
    <w:p w14:paraId="56A1512D" w14:textId="77777777" w:rsidR="007E76D2" w:rsidRPr="00364545" w:rsidRDefault="007E76D2" w:rsidP="003F57EA">
      <w:pPr>
        <w:pStyle w:val="ListParagraph"/>
        <w:numPr>
          <w:ilvl w:val="0"/>
          <w:numId w:val="67"/>
        </w:numPr>
        <w:suppressAutoHyphens/>
        <w:rPr>
          <w:color w:val="000000"/>
          <w:szCs w:val="22"/>
        </w:rPr>
      </w:pPr>
      <w:r w:rsidRPr="00364545">
        <w:rPr>
          <w:color w:val="000000"/>
        </w:rPr>
        <w:t>OT-MED (Objective Earth: Mediterranean Basin; Aix en Provence): the aim of OT-Med is to create an inter-disciplinary “Earth Institute” focussed on the environment in the Mediterranean basin and in the semi-arid regions in the South, by setting up linkages between physical-biological sciences on natural hazards, in particular those connected to climate change, and societal sciences.</w:t>
      </w:r>
    </w:p>
    <w:p w14:paraId="05B401E5" w14:textId="1FC143DF" w:rsidR="007E76D2" w:rsidRPr="00364545" w:rsidRDefault="007E76D2" w:rsidP="003F57EA">
      <w:pPr>
        <w:pStyle w:val="ListParagraph"/>
        <w:numPr>
          <w:ilvl w:val="0"/>
          <w:numId w:val="67"/>
        </w:numPr>
        <w:suppressAutoHyphens/>
        <w:rPr>
          <w:color w:val="000000"/>
          <w:szCs w:val="22"/>
        </w:rPr>
      </w:pPr>
      <w:r w:rsidRPr="00364545">
        <w:rPr>
          <w:color w:val="000000"/>
        </w:rPr>
        <w:t>OSUG@2020 (Grenoble) : This labEx develops innovative strategies for observing and modelling natural systems.</w:t>
      </w:r>
    </w:p>
    <w:p w14:paraId="65B959CC" w14:textId="450D3EA7" w:rsidR="007E76D2" w:rsidRPr="00364545" w:rsidRDefault="007E76D2" w:rsidP="003F57EA">
      <w:pPr>
        <w:pStyle w:val="ListParagraph"/>
        <w:numPr>
          <w:ilvl w:val="0"/>
          <w:numId w:val="67"/>
        </w:numPr>
        <w:suppressAutoHyphens/>
        <w:rPr>
          <w:color w:val="000000"/>
          <w:szCs w:val="22"/>
        </w:rPr>
      </w:pPr>
      <w:r w:rsidRPr="00364545">
        <w:rPr>
          <w:color w:val="000000"/>
        </w:rPr>
        <w:t xml:space="preserve">VOLTAIRE (VOLatiles – Earth, Atmosphere and Interactions - Resources and Environment); Orleans): </w:t>
      </w:r>
      <w:r w:rsidRPr="00364545">
        <w:t>VOLTAIRE studies our planet’s natural complex liquids for application to natural resources, CO</w:t>
      </w:r>
      <w:r w:rsidRPr="00364545">
        <w:rPr>
          <w:vertAlign w:val="subscript"/>
        </w:rPr>
        <w:t>2</w:t>
      </w:r>
      <w:r w:rsidRPr="00364545">
        <w:t xml:space="preserve"> storage and energy, geothermics, water quality and the and the conservation of surroundings, soils and air quality and the ozone layer.</w:t>
      </w:r>
      <w:r w:rsidRPr="00364545">
        <w:rPr>
          <w:color w:val="000000"/>
        </w:rPr>
        <w:t> </w:t>
      </w:r>
    </w:p>
    <w:p w14:paraId="12B6DC60" w14:textId="77777777" w:rsidR="007E76D2" w:rsidRPr="00364545" w:rsidRDefault="007E76D2" w:rsidP="007E76D2">
      <w:pPr>
        <w:pStyle w:val="NormalWeb"/>
        <w:spacing w:before="0" w:after="0"/>
        <w:rPr>
          <w:color w:val="000000"/>
          <w:szCs w:val="22"/>
        </w:rPr>
      </w:pPr>
    </w:p>
    <w:p w14:paraId="0C310C9F" w14:textId="0AF7BB90" w:rsidR="007E76D2" w:rsidRPr="00364545" w:rsidRDefault="007E76D2" w:rsidP="007E76D2">
      <w:pPr>
        <w:pStyle w:val="NormalWeb"/>
        <w:spacing w:before="0" w:after="0"/>
        <w:rPr>
          <w:color w:val="000000"/>
          <w:szCs w:val="22"/>
        </w:rPr>
      </w:pPr>
      <w:r w:rsidRPr="00364545">
        <w:rPr>
          <w:color w:val="000000"/>
        </w:rPr>
        <w:t xml:space="preserve">Several teams of excellence (EquipEx)have been funded in the period 2010-2019 for a total of 61 M€: </w:t>
      </w:r>
    </w:p>
    <w:p w14:paraId="50BDD6A6" w14:textId="77777777" w:rsidR="007E76D2" w:rsidRPr="00364545" w:rsidRDefault="007E76D2" w:rsidP="003F57EA">
      <w:pPr>
        <w:pStyle w:val="ListParagraph"/>
        <w:numPr>
          <w:ilvl w:val="0"/>
          <w:numId w:val="68"/>
        </w:numPr>
        <w:suppressAutoHyphens/>
        <w:rPr>
          <w:color w:val="000000"/>
          <w:szCs w:val="22"/>
        </w:rPr>
      </w:pPr>
      <w:r w:rsidRPr="00364545">
        <w:rPr>
          <w:color w:val="000000"/>
        </w:rPr>
        <w:t>ASTER-CEREGE: an isotopic geochemistry platform for analysing chemical elements tracking climate variations and the impact of human activity.</w:t>
      </w:r>
    </w:p>
    <w:p w14:paraId="1DE08290" w14:textId="77777777" w:rsidR="007E76D2" w:rsidRPr="00364545" w:rsidRDefault="007E76D2" w:rsidP="003F57EA">
      <w:pPr>
        <w:pStyle w:val="ListParagraph"/>
        <w:numPr>
          <w:ilvl w:val="0"/>
          <w:numId w:val="68"/>
        </w:numPr>
        <w:suppressAutoHyphens/>
        <w:rPr>
          <w:color w:val="000000"/>
          <w:szCs w:val="22"/>
        </w:rPr>
      </w:pPr>
      <w:r w:rsidRPr="00364545">
        <w:rPr>
          <w:color w:val="000000"/>
        </w:rPr>
        <w:t>CRITEX: innovative set of tools for studying the critical area.</w:t>
      </w:r>
    </w:p>
    <w:p w14:paraId="48FD8323" w14:textId="77777777" w:rsidR="007E76D2" w:rsidRPr="00364545" w:rsidRDefault="007E76D2" w:rsidP="003F57EA">
      <w:pPr>
        <w:pStyle w:val="ListParagraph"/>
        <w:numPr>
          <w:ilvl w:val="0"/>
          <w:numId w:val="68"/>
        </w:numPr>
        <w:suppressAutoHyphens/>
        <w:rPr>
          <w:color w:val="000000"/>
          <w:szCs w:val="22"/>
        </w:rPr>
      </w:pPr>
      <w:r w:rsidRPr="00364545">
        <w:rPr>
          <w:color w:val="000000"/>
        </w:rPr>
        <w:t xml:space="preserve">IAOSS: a network of 15 floating platforms in the Arctic ocean intended for measuring climate parameters. </w:t>
      </w:r>
    </w:p>
    <w:p w14:paraId="409CB1BA" w14:textId="77777777" w:rsidR="007E76D2" w:rsidRPr="00364545" w:rsidRDefault="007E76D2" w:rsidP="003F57EA">
      <w:pPr>
        <w:pStyle w:val="ListParagraph"/>
        <w:numPr>
          <w:ilvl w:val="0"/>
          <w:numId w:val="68"/>
        </w:numPr>
        <w:suppressAutoHyphens/>
        <w:rPr>
          <w:color w:val="000000"/>
          <w:szCs w:val="22"/>
        </w:rPr>
      </w:pPr>
      <w:r w:rsidRPr="00364545">
        <w:rPr>
          <w:color w:val="000000"/>
        </w:rPr>
        <w:t xml:space="preserve">NAOS (French contribution to the ARGO international network): measures temperature and salinity up to 2000 m deep in the ocean across the whole globe over a 20 year period. </w:t>
      </w:r>
    </w:p>
    <w:p w14:paraId="565B0882" w14:textId="77777777" w:rsidR="007E76D2" w:rsidRPr="00364545" w:rsidRDefault="007E76D2" w:rsidP="003F57EA">
      <w:pPr>
        <w:pStyle w:val="ListParagraph"/>
        <w:numPr>
          <w:ilvl w:val="0"/>
          <w:numId w:val="68"/>
        </w:numPr>
        <w:suppressAutoHyphens/>
        <w:rPr>
          <w:color w:val="000000"/>
          <w:szCs w:val="22"/>
        </w:rPr>
      </w:pPr>
      <w:r w:rsidRPr="00364545">
        <w:rPr>
          <w:color w:val="000000"/>
        </w:rPr>
        <w:t>Climcor: innovative core sampling for high resolution analysis of the climate archives contained in marine, continental or glacial sediments for research into paleo-climatology.</w:t>
      </w:r>
    </w:p>
    <w:p w14:paraId="7D623831" w14:textId="77777777" w:rsidR="007E76D2" w:rsidRPr="00364545" w:rsidRDefault="007E76D2" w:rsidP="003F57EA">
      <w:pPr>
        <w:pStyle w:val="ListParagraph"/>
        <w:numPr>
          <w:ilvl w:val="0"/>
          <w:numId w:val="68"/>
        </w:numPr>
        <w:suppressAutoHyphens/>
        <w:rPr>
          <w:color w:val="000000"/>
          <w:szCs w:val="22"/>
        </w:rPr>
      </w:pPr>
      <w:r w:rsidRPr="00364545">
        <w:rPr>
          <w:color w:val="000000"/>
        </w:rPr>
        <w:t>Sense City: a climate chamber that can cover two areas of 400m². On each of those areas a portion of land is built, called a Mini-City, fitted with multiple sensors.</w:t>
      </w:r>
    </w:p>
    <w:p w14:paraId="5373379F" w14:textId="671553E5" w:rsidR="007E76D2" w:rsidRPr="00364545" w:rsidRDefault="007E76D2" w:rsidP="003F57EA">
      <w:pPr>
        <w:pStyle w:val="ListParagraph"/>
        <w:numPr>
          <w:ilvl w:val="0"/>
          <w:numId w:val="68"/>
        </w:numPr>
        <w:suppressAutoHyphens/>
        <w:rPr>
          <w:rFonts w:ascii="Arial" w:hAnsi="Arial" w:cs="Arial"/>
          <w:color w:val="000000"/>
          <w:szCs w:val="22"/>
        </w:rPr>
      </w:pPr>
      <w:r w:rsidRPr="00364545">
        <w:rPr>
          <w:color w:val="000000"/>
        </w:rPr>
        <w:t>Xyloforest; a research, innovation and service platform for cultivated forest systems - wood products and materials.</w:t>
      </w:r>
    </w:p>
    <w:p w14:paraId="0A0A4D08" w14:textId="0639C8A9" w:rsidR="007E76D2" w:rsidRPr="00364545" w:rsidRDefault="007E76D2" w:rsidP="00E524AF">
      <w:pPr>
        <w:pStyle w:val="Titre4niveau4"/>
      </w:pPr>
      <w:r w:rsidRPr="00364545">
        <w:t xml:space="preserve">National Arctic Roadmap </w:t>
      </w:r>
    </w:p>
    <w:p w14:paraId="4839DC3C" w14:textId="77777777" w:rsidR="007E76D2" w:rsidRPr="00364545" w:rsidRDefault="007E76D2" w:rsidP="007E76D2">
      <w:pPr>
        <w:pStyle w:val="NormalWeb"/>
        <w:spacing w:before="0" w:after="0"/>
        <w:rPr>
          <w:color w:val="000000"/>
        </w:rPr>
      </w:pPr>
      <w:r w:rsidRPr="00364545">
        <w:rPr>
          <w:color w:val="000000"/>
        </w:rPr>
        <w:t>Given the stakes and challenges arising in the Arctic, the French Foreign Ministry has decided to set up an inter-departmental network connected to several ministries and public agencies, under the presidency of Mr. Michel Rocard, former prime minister and ambassador in charge of polar areas, with the view of preparing a “National Arctic Roadmap” to identify, priorities and coordinate French priorities about the Arctic area. At the end of two years of work, and inter-ministerial document was adopted and presented in June 2016. That document provides a working framework for orientations and priorities, which will enable steps connected with the Arctic stakes and challenges that interest France from a well-understood general and sustainable logic to be prioritised and made consistent, France’s foreign policy on the Arctic, the excellence of scientific research in polar surroundings and its incorporation into the body of international research, forms a major advantage for our country.</w:t>
      </w:r>
    </w:p>
    <w:p w14:paraId="41C0EB69" w14:textId="4322A33D" w:rsidR="007E76D2" w:rsidRPr="00364545" w:rsidRDefault="007E76D2" w:rsidP="007E76D2">
      <w:pPr>
        <w:pStyle w:val="NormalWeb"/>
        <w:spacing w:before="0" w:after="0"/>
        <w:rPr>
          <w:rFonts w:ascii="Arial" w:hAnsi="Arial" w:cs="Arial"/>
          <w:color w:val="000000"/>
          <w:szCs w:val="22"/>
        </w:rPr>
      </w:pPr>
      <w:r w:rsidRPr="00364545">
        <w:rPr>
          <w:color w:val="000000"/>
        </w:rPr>
        <w:t>Increased interest from France and the international community for new environmental, scientific and economic stakes in the Arctic area has been, following the “National Arctic Roadmap” the source of the set-up of a scientific research coordination initiative in Arctic surroundings, and the “Arctic Work”, run by the National Scientific Research Centre (CNRS) which complements the work performed by the Paul-Emile Victor Institute, a public interest group. A forecasting exercise extended to the whole national scientific community interested in the scientific stakes in the Arctic, took place between 2010 and 2015.</w:t>
      </w:r>
    </w:p>
    <w:p w14:paraId="1753A615" w14:textId="497C00BF" w:rsidR="007E76D2" w:rsidRPr="00364545" w:rsidRDefault="007E76D2" w:rsidP="00E524AF">
      <w:pPr>
        <w:pStyle w:val="Titre4niveau4"/>
      </w:pPr>
      <w:r w:rsidRPr="00364545">
        <w:t>Research for Developing Southern Countries</w:t>
      </w:r>
    </w:p>
    <w:p w14:paraId="7F172A8C" w14:textId="77777777" w:rsidR="007E76D2" w:rsidRPr="00364545" w:rsidRDefault="007E76D2" w:rsidP="007E76D2">
      <w:pPr>
        <w:rPr>
          <w:color w:val="000000"/>
          <w:sz w:val="18"/>
          <w:szCs w:val="18"/>
        </w:rPr>
      </w:pPr>
      <w:r w:rsidRPr="00364545">
        <w:rPr>
          <w:color w:val="000000"/>
        </w:rPr>
        <w:t xml:space="preserve">Two national research organisations (IRD, CIRAD), under the dual supervision of the Ministry of Research and the Ministry of Foreign Affairs, carry out research and development activities with and for developing countries. </w:t>
      </w:r>
    </w:p>
    <w:p w14:paraId="36C84288" w14:textId="77777777" w:rsidR="007E76D2" w:rsidRPr="00364545" w:rsidRDefault="007E76D2" w:rsidP="007E76D2">
      <w:pPr>
        <w:jc w:val="right"/>
        <w:rPr>
          <w:color w:val="000000"/>
          <w:szCs w:val="22"/>
        </w:rPr>
      </w:pPr>
      <w:r w:rsidRPr="00364545">
        <w:rPr>
          <w:color w:val="000000"/>
          <w:sz w:val="18"/>
        </w:rPr>
        <w:t>197</w:t>
      </w:r>
    </w:p>
    <w:p w14:paraId="3BAD370B" w14:textId="77777777" w:rsidR="007E76D2" w:rsidRPr="00364545" w:rsidRDefault="007E76D2" w:rsidP="003F57EA">
      <w:pPr>
        <w:pStyle w:val="ListParagraph"/>
        <w:numPr>
          <w:ilvl w:val="0"/>
          <w:numId w:val="69"/>
        </w:numPr>
        <w:suppressAutoHyphens/>
        <w:rPr>
          <w:color w:val="000000"/>
          <w:szCs w:val="22"/>
        </w:rPr>
      </w:pPr>
      <w:r w:rsidRPr="00364545">
        <w:rPr>
          <w:color w:val="000000"/>
        </w:rPr>
        <w:t xml:space="preserve">The Development Research Institute (IRD, 2000 staff including 800 researchers and an annual budget of 230 M€) that has the mission of contributing to developing research capabilities in partners in the South. Its research strategy unfolds across more than 90 countries in the form of temporary missions or centres. The IRD’s goal is to better understand the processes that are the source of climate variations, and improving forecasting capabilities, in tropical surroundings, toe enable climate change scenarios to be refined over ten-year and one hundred year time-scales </w:t>
      </w:r>
    </w:p>
    <w:p w14:paraId="7F258074" w14:textId="40F95B27" w:rsidR="007E76D2" w:rsidRPr="00364545" w:rsidRDefault="007E76D2" w:rsidP="003F57EA">
      <w:pPr>
        <w:pStyle w:val="ListParagraph"/>
        <w:numPr>
          <w:ilvl w:val="0"/>
          <w:numId w:val="69"/>
        </w:numPr>
        <w:suppressAutoHyphens/>
        <w:rPr>
          <w:color w:val="000000"/>
          <w:szCs w:val="22"/>
        </w:rPr>
      </w:pPr>
      <w:r w:rsidRPr="00364545">
        <w:rPr>
          <w:color w:val="000000"/>
        </w:rPr>
        <w:t xml:space="preserve">The centre for international agronomy research for development (Cirad) is a research body with 1800 staff including 800 scientists (200 m€ annual budget), that handles, along with Southern countries, the international stakes in agriculture for development. Its work is in life sciences, social sciences and engineering science applied to agriculture, food and rural lands. In partnership with countries in the South, Cirad produces and transmits new knowledge to support agricultural development and contribute to the debate on the major world agronomic stakes. Ciras has defined 6 priority lines of research: ecological intensification; biomass energy; food; animal welfare; emerging diseases; public policies; rural areas with work in cooperation with more than 90 countries in Africa, in the Indian Ocean, in Asia and in South America. </w:t>
      </w:r>
    </w:p>
    <w:p w14:paraId="783D02C5" w14:textId="0C273E63" w:rsidR="007E76D2" w:rsidRPr="00364545" w:rsidRDefault="007E76D2" w:rsidP="00E524AF">
      <w:pPr>
        <w:pStyle w:val="Titre3Niveau3"/>
      </w:pPr>
      <w:bookmarkStart w:id="737" w:name="_Toc138341896"/>
      <w:r w:rsidRPr="00364545">
        <w:t>Research faced with the Stakes of Climate Change</w:t>
      </w:r>
      <w:bookmarkEnd w:id="737"/>
    </w:p>
    <w:p w14:paraId="57A030DB" w14:textId="77777777" w:rsidR="007E76D2" w:rsidRPr="00364545" w:rsidRDefault="007E76D2" w:rsidP="007E76D2">
      <w:pPr>
        <w:rPr>
          <w:rFonts w:ascii="Arial" w:hAnsi="Arial" w:cs="Arial"/>
          <w:color w:val="000000"/>
        </w:rPr>
      </w:pPr>
      <w:r w:rsidRPr="00364545">
        <w:rPr>
          <w:color w:val="000000"/>
        </w:rPr>
        <w:t>The National Research Strategy has identified in 2015, several research challenges to be taken up in addition to research orientation to be developed in the period 2015-2020. The stakes of climate change are to be found in the four challenges that concern climate knowledge in itself and its interaction with natural resources, energy, agriculture, health and urban systems. These challenges unfold into research orientations.</w:t>
      </w:r>
    </w:p>
    <w:p w14:paraId="377F33FA" w14:textId="77777777" w:rsidR="007E76D2" w:rsidRPr="00364545" w:rsidRDefault="007E76D2" w:rsidP="007E76D2">
      <w:pPr>
        <w:rPr>
          <w:rFonts w:ascii="Arial" w:hAnsi="Arial" w:cs="Arial"/>
          <w:color w:val="000000"/>
        </w:rPr>
      </w:pPr>
    </w:p>
    <w:p w14:paraId="792D0A18" w14:textId="7CC0AD93" w:rsidR="007E76D2" w:rsidRPr="00364545" w:rsidRDefault="007E76D2" w:rsidP="00E524AF">
      <w:pPr>
        <w:pStyle w:val="Titre4niveau4"/>
      </w:pPr>
      <w:r w:rsidRPr="00364545">
        <w:t>Low-consumption Resource Management and Adapting to Climate Change (Challenge 1)</w:t>
      </w:r>
    </w:p>
    <w:p w14:paraId="40F3A801" w14:textId="54CE4C2B" w:rsidR="007E76D2" w:rsidRPr="00364545" w:rsidRDefault="007E76D2" w:rsidP="007E76D2">
      <w:pPr>
        <w:autoSpaceDE w:val="0"/>
        <w:rPr>
          <w:color w:val="000000"/>
        </w:rPr>
      </w:pPr>
      <w:r w:rsidRPr="00364545">
        <w:rPr>
          <w:color w:val="000000"/>
        </w:rPr>
        <w:t>In the context of climate disruption and deterioration, and even sometimes the exhausting of natural resources, low-consumption resource management is central to Challenge 1 from the SNR, and concerns all the resources used or affected by Mankind for food, energy and industrial activity. Beyond resource knowledge, the issue of adapting to climate disruption presupposes a better understanding of climate’s functioning, which requires a twin approach to monitoring and modelling, in order to improve forecasting and long-term projection tools, to then assess the potential impact of climate change and build adaptation strategies for societies and economies to current local and global changes. This challenge has led to 5 major research orientations:</w:t>
      </w:r>
    </w:p>
    <w:p w14:paraId="5E80F3BF" w14:textId="77777777" w:rsidR="007E76D2" w:rsidRPr="00364545" w:rsidRDefault="007E76D2" w:rsidP="003F57EA">
      <w:pPr>
        <w:pStyle w:val="ListParagraph"/>
        <w:numPr>
          <w:ilvl w:val="0"/>
          <w:numId w:val="70"/>
        </w:numPr>
      </w:pPr>
      <w:r w:rsidRPr="00364545">
        <w:t xml:space="preserve">Intelligent monitoring of Earth-systems </w:t>
      </w:r>
    </w:p>
    <w:p w14:paraId="1413C7DF" w14:textId="77777777" w:rsidR="007E76D2" w:rsidRPr="00364545" w:rsidRDefault="007E76D2" w:rsidP="003F57EA">
      <w:pPr>
        <w:pStyle w:val="ListParagraph"/>
        <w:numPr>
          <w:ilvl w:val="0"/>
          <w:numId w:val="70"/>
        </w:numPr>
      </w:pPr>
      <w:r w:rsidRPr="00364545">
        <w:t>Sustainable management of natural resources</w:t>
      </w:r>
    </w:p>
    <w:p w14:paraId="55E7758D" w14:textId="77777777" w:rsidR="007E76D2" w:rsidRPr="00364545" w:rsidRDefault="007E76D2" w:rsidP="003F57EA">
      <w:pPr>
        <w:pStyle w:val="ListParagraph"/>
        <w:numPr>
          <w:ilvl w:val="0"/>
          <w:numId w:val="70"/>
        </w:numPr>
      </w:pPr>
      <w:r w:rsidRPr="00364545">
        <w:t>Assessment and control of climatic and environmental hazards</w:t>
      </w:r>
    </w:p>
    <w:p w14:paraId="2B957D43" w14:textId="77777777" w:rsidR="007E76D2" w:rsidRPr="00364545" w:rsidRDefault="007E76D2" w:rsidP="003F57EA">
      <w:pPr>
        <w:pStyle w:val="ListParagraph"/>
        <w:numPr>
          <w:ilvl w:val="0"/>
          <w:numId w:val="70"/>
        </w:numPr>
      </w:pPr>
      <w:r w:rsidRPr="00364545">
        <w:t>Eco- and bio-technologies in support of ecological transition</w:t>
      </w:r>
    </w:p>
    <w:p w14:paraId="2F2163B0" w14:textId="096C74D0" w:rsidR="007E76D2" w:rsidRPr="00364545" w:rsidRDefault="007E76D2" w:rsidP="003F57EA">
      <w:pPr>
        <w:pStyle w:val="ListParagraph"/>
        <w:numPr>
          <w:ilvl w:val="0"/>
          <w:numId w:val="70"/>
        </w:numPr>
        <w:rPr>
          <w:rFonts w:ascii="Arial" w:hAnsi="Arial" w:cs="Arial"/>
        </w:rPr>
      </w:pPr>
      <w:r w:rsidRPr="00364545">
        <w:t>The coastline a “laboratory” to study all concerns associated with resources and climate change</w:t>
      </w:r>
    </w:p>
    <w:p w14:paraId="4E567DAA" w14:textId="12CC6E35" w:rsidR="007E76D2" w:rsidRPr="00364545" w:rsidRDefault="007E76D2" w:rsidP="00E524AF">
      <w:pPr>
        <w:pStyle w:val="Titre4niveau4"/>
      </w:pPr>
      <w:r w:rsidRPr="00364545">
        <w:t>Clean, Safe and Efficient Energy (Challenge 2)</w:t>
      </w:r>
    </w:p>
    <w:p w14:paraId="47D52847" w14:textId="61FA0369" w:rsidR="007E76D2" w:rsidRPr="00364545" w:rsidRDefault="007E76D2" w:rsidP="003F51CF">
      <w:r w:rsidRPr="00364545">
        <w:t>Faced with increased energy demand at global level and to powerful restrictions imposed by combating climate disruption, France, like other countries, has become aware of an urgent need to think up a new mode based on lower energy consumption, better efficiency and an increased use of renewable energy. Transitioning trajectories rest upon a complex combination of progress to be made in fundamental scientific concepts, technological innovation and changes in behaviour. Accordingly, research, development and innovation efforts are essential to consolidate competition in existing sources (fossil, nuclear and renewable energy, financial and employment reserves, and also to make new energy systems emerge with the industrial trades that will result form them. All sources are involved: biomass, wind, solar, geo-thermal, nuclear energy and fossil energy including unconventional hydrocarbons carbon capture and recycling. Research into this challenge has been organised into 5 major orientations:</w:t>
      </w:r>
    </w:p>
    <w:p w14:paraId="5777197D" w14:textId="77777777" w:rsidR="007E76D2" w:rsidRPr="00364545" w:rsidRDefault="007E76D2" w:rsidP="003F57EA">
      <w:pPr>
        <w:pStyle w:val="ListParagraph"/>
        <w:numPr>
          <w:ilvl w:val="0"/>
          <w:numId w:val="71"/>
        </w:numPr>
        <w:rPr>
          <w:szCs w:val="22"/>
        </w:rPr>
      </w:pPr>
      <w:r w:rsidRPr="00364545">
        <w:t>Dynamic management of energy systems</w:t>
      </w:r>
    </w:p>
    <w:p w14:paraId="0F19A741" w14:textId="77777777" w:rsidR="007E76D2" w:rsidRPr="00364545" w:rsidRDefault="007E76D2" w:rsidP="003F57EA">
      <w:pPr>
        <w:pStyle w:val="ListParagraph"/>
        <w:numPr>
          <w:ilvl w:val="0"/>
          <w:numId w:val="71"/>
        </w:numPr>
        <w:rPr>
          <w:szCs w:val="22"/>
        </w:rPr>
      </w:pPr>
      <w:r w:rsidRPr="00364545">
        <w:t>Multi-level governance of new energy systems</w:t>
      </w:r>
    </w:p>
    <w:p w14:paraId="66323018" w14:textId="77777777" w:rsidR="007E76D2" w:rsidRPr="00364545" w:rsidRDefault="007E76D2" w:rsidP="003F57EA">
      <w:pPr>
        <w:pStyle w:val="ListParagraph"/>
        <w:numPr>
          <w:ilvl w:val="0"/>
          <w:numId w:val="71"/>
        </w:numPr>
        <w:rPr>
          <w:szCs w:val="22"/>
        </w:rPr>
      </w:pPr>
      <w:r w:rsidRPr="00364545">
        <w:t>Energy efficiency</w:t>
      </w:r>
    </w:p>
    <w:p w14:paraId="2E6BED80" w14:textId="77777777" w:rsidR="007E76D2" w:rsidRPr="00364545" w:rsidRDefault="007E76D2" w:rsidP="003F57EA">
      <w:pPr>
        <w:pStyle w:val="ListParagraph"/>
        <w:numPr>
          <w:ilvl w:val="0"/>
          <w:numId w:val="71"/>
        </w:numPr>
        <w:rPr>
          <w:szCs w:val="22"/>
        </w:rPr>
      </w:pPr>
      <w:r w:rsidRPr="00364545">
        <w:t>Reducing the need for strategic materials</w:t>
      </w:r>
    </w:p>
    <w:p w14:paraId="58AB1E12" w14:textId="606E0B5B" w:rsidR="007E76D2" w:rsidRPr="00364545" w:rsidRDefault="007E76D2" w:rsidP="003F57EA">
      <w:pPr>
        <w:pStyle w:val="ListParagraph"/>
        <w:numPr>
          <w:ilvl w:val="0"/>
          <w:numId w:val="71"/>
        </w:numPr>
        <w:rPr>
          <w:szCs w:val="22"/>
        </w:rPr>
      </w:pPr>
      <w:r w:rsidRPr="00364545">
        <w:t>Substitutes for fossil carbon for energy and chemistry</w:t>
      </w:r>
    </w:p>
    <w:p w14:paraId="166849A0" w14:textId="72247CFF" w:rsidR="007E76D2" w:rsidRPr="00364545" w:rsidRDefault="007E76D2" w:rsidP="00E524AF">
      <w:pPr>
        <w:pStyle w:val="Titre4niveau4"/>
      </w:pPr>
      <w:r w:rsidRPr="00364545">
        <w:t>Food Safety and Demographic Challenge (Challenge 5)</w:t>
      </w:r>
    </w:p>
    <w:p w14:paraId="39DD3EF7" w14:textId="77777777" w:rsidR="007E76D2" w:rsidRPr="00364545" w:rsidRDefault="007E76D2" w:rsidP="007E76D2">
      <w:pPr>
        <w:autoSpaceDE w:val="0"/>
        <w:rPr>
          <w:color w:val="000000"/>
        </w:rPr>
      </w:pPr>
      <w:r w:rsidRPr="00364545">
        <w:rPr>
          <w:color w:val="000000"/>
        </w:rPr>
        <w:t>Food safety is threatened today by the combined impact of climate change, the increased world population and changes in food habits. These factors exert ever greater pressures on production systems, greenhouse gas emissions, damage to soils and underground waters, and competition amongst users. They have repercussions upon health. They generate high levels of loss and waste. In France, research carried out on food safety cover large areas that go from production systems to the health of populations whilst considering al levels of organisation and of scale: from the gene to the individual, from the individual to the population and then to the ecosystem, new species, races or varieties to new social organisations and new markets. The areas are complex and interwoven. In this research challenge, two research orientations indirectly incorporate the climate variable:</w:t>
      </w:r>
    </w:p>
    <w:p w14:paraId="692539BF" w14:textId="77777777" w:rsidR="007E76D2" w:rsidRPr="00364545" w:rsidRDefault="007E76D2" w:rsidP="003F57EA">
      <w:pPr>
        <w:pStyle w:val="ListParagraph"/>
        <w:numPr>
          <w:ilvl w:val="0"/>
          <w:numId w:val="72"/>
        </w:numPr>
        <w:rPr>
          <w:szCs w:val="22"/>
        </w:rPr>
      </w:pPr>
      <w:r w:rsidRPr="00364545">
        <w:t>An integrated approach to production systems</w:t>
      </w:r>
    </w:p>
    <w:p w14:paraId="3337240D" w14:textId="2657FB2D" w:rsidR="007E76D2" w:rsidRPr="00364545" w:rsidRDefault="007E76D2" w:rsidP="003F57EA">
      <w:pPr>
        <w:pStyle w:val="ListParagraph"/>
        <w:numPr>
          <w:ilvl w:val="0"/>
          <w:numId w:val="72"/>
        </w:numPr>
        <w:rPr>
          <w:rFonts w:ascii="Arial" w:hAnsi="Arial" w:cs="Arial"/>
          <w:szCs w:val="22"/>
        </w:rPr>
      </w:pPr>
      <w:r w:rsidRPr="00364545">
        <w:t xml:space="preserve">From production to diversified biomass uses. </w:t>
      </w:r>
    </w:p>
    <w:p w14:paraId="656ED8EB" w14:textId="6321B748" w:rsidR="007E76D2" w:rsidRPr="00364545" w:rsidRDefault="003F51CF" w:rsidP="00E524AF">
      <w:pPr>
        <w:pStyle w:val="Titre4niveau4"/>
      </w:pPr>
      <w:r w:rsidRPr="00364545">
        <w:t>Sustainable Transport and Urban Systems (Challenge 6)</w:t>
      </w:r>
    </w:p>
    <w:p w14:paraId="410EFD17" w14:textId="77777777" w:rsidR="007E76D2" w:rsidRPr="00364545" w:rsidRDefault="007E76D2" w:rsidP="003F51CF">
      <w:pPr>
        <w:rPr>
          <w:szCs w:val="22"/>
        </w:rPr>
      </w:pPr>
      <w:r w:rsidRPr="00364545">
        <w:t>Cities and their transport infrastructures and complex systems, both physically, ecologically, technically and societally. Thus the search for balanced and sustainable solutions must be multi-disciplinary and incorporate climatic variables in particular. Four main research orientations connected with the climate are being considered:</w:t>
      </w:r>
    </w:p>
    <w:p w14:paraId="771029BA" w14:textId="77777777" w:rsidR="007E76D2" w:rsidRPr="00364545" w:rsidRDefault="007E76D2" w:rsidP="003F57EA">
      <w:pPr>
        <w:pStyle w:val="ListParagraph"/>
        <w:numPr>
          <w:ilvl w:val="0"/>
          <w:numId w:val="73"/>
        </w:numPr>
        <w:rPr>
          <w:szCs w:val="22"/>
        </w:rPr>
      </w:pPr>
      <w:r w:rsidRPr="00364545">
        <w:t>Observing cities</w:t>
      </w:r>
    </w:p>
    <w:p w14:paraId="421DC49F" w14:textId="77777777" w:rsidR="007E76D2" w:rsidRPr="00364545" w:rsidRDefault="007E76D2" w:rsidP="003F57EA">
      <w:pPr>
        <w:pStyle w:val="ListParagraph"/>
        <w:numPr>
          <w:ilvl w:val="0"/>
          <w:numId w:val="73"/>
        </w:numPr>
        <w:rPr>
          <w:szCs w:val="22"/>
        </w:rPr>
      </w:pPr>
      <w:r w:rsidRPr="00364545">
        <w:t>New mobility concepts</w:t>
      </w:r>
    </w:p>
    <w:p w14:paraId="0B0CF1F0" w14:textId="77777777" w:rsidR="007E76D2" w:rsidRPr="00364545" w:rsidRDefault="007E76D2" w:rsidP="003F57EA">
      <w:pPr>
        <w:pStyle w:val="ListParagraph"/>
        <w:numPr>
          <w:ilvl w:val="0"/>
          <w:numId w:val="73"/>
        </w:numPr>
        <w:rPr>
          <w:szCs w:val="22"/>
        </w:rPr>
      </w:pPr>
      <w:r w:rsidRPr="00364545">
        <w:t>Tools and technologies to serve sustainable cities</w:t>
      </w:r>
    </w:p>
    <w:p w14:paraId="415C8CF4" w14:textId="64822E9A" w:rsidR="007E76D2" w:rsidRPr="00364545" w:rsidRDefault="007E76D2" w:rsidP="003F57EA">
      <w:pPr>
        <w:pStyle w:val="ListParagraph"/>
        <w:numPr>
          <w:ilvl w:val="0"/>
          <w:numId w:val="73"/>
        </w:numPr>
        <w:rPr>
          <w:rFonts w:ascii="Arial" w:hAnsi="Arial" w:cs="Arial"/>
          <w:szCs w:val="22"/>
        </w:rPr>
      </w:pPr>
      <w:r w:rsidRPr="00364545">
        <w:t>Optimising and integrating infrastructures and urban networks</w:t>
      </w:r>
    </w:p>
    <w:p w14:paraId="69D4D9DD" w14:textId="5135F4D6" w:rsidR="007E76D2" w:rsidRPr="00364545" w:rsidRDefault="007E76D2" w:rsidP="00E524AF">
      <w:pPr>
        <w:pStyle w:val="Titre3Niveau3"/>
      </w:pPr>
      <w:bookmarkStart w:id="738" w:name="_Toc138341897"/>
      <w:r w:rsidRPr="00364545">
        <w:t>France’s Influence in Climate Research</w:t>
      </w:r>
      <w:bookmarkEnd w:id="738"/>
    </w:p>
    <w:p w14:paraId="740FD1F4" w14:textId="6DB31FF4" w:rsidR="007E76D2" w:rsidRPr="00364545" w:rsidRDefault="007E76D2" w:rsidP="003F51CF">
      <w:pPr>
        <w:pStyle w:val="Contenuducadre"/>
        <w:widowControl/>
        <w:suppressAutoHyphens w:val="0"/>
        <w:spacing w:before="0"/>
        <w:rPr>
          <w:rFonts w:cs="Times New Roman"/>
          <w:color w:val="000000"/>
          <w:szCs w:val="24"/>
        </w:rPr>
      </w:pPr>
      <w:r w:rsidRPr="00364545">
        <w:rPr>
          <w:rFonts w:ascii="Times New Roman" w:hAnsi="Times New Roman"/>
          <w:color w:val="000000"/>
        </w:rPr>
        <w:t xml:space="preserve">Faced with the challenges of climate change, French research is aligning its priorities with those of major European and international programmes. French participation in major international bodies such as GIEC (Intergovernmental Group on Climate Evolution), the Future Earth programme, and the Belmont Forum group of financiers are witness to this. Its active participation in European joint programming initiatives (Horizon-Europe's JPIs), Article 185s (the PRIMA programme) and the fact that its research strategy is aligned with the challenges of the European research strategy within the Horizon Europe programme demonstrate this commitment. On a national scale, France is mobilising resources for the study of climate change, particularly in relation to major research projects. </w:t>
      </w:r>
    </w:p>
    <w:p w14:paraId="1324465B" w14:textId="5EEDAE22" w:rsidR="007E76D2" w:rsidRPr="00364545" w:rsidRDefault="007E76D2" w:rsidP="00E524AF">
      <w:pPr>
        <w:pStyle w:val="Titre4niveau4"/>
      </w:pPr>
      <w:r w:rsidRPr="00364545">
        <w:t>French Climate Research in Compliance with Major International Programmes (outside Europe)</w:t>
      </w:r>
    </w:p>
    <w:p w14:paraId="66C7A01E" w14:textId="073FF33C" w:rsidR="007E76D2" w:rsidRPr="00364545" w:rsidRDefault="003F51CF" w:rsidP="00E524AF">
      <w:pPr>
        <w:pStyle w:val="titreencadre"/>
      </w:pPr>
      <w:r w:rsidRPr="00364545">
        <w:t>Future Earth</w:t>
      </w:r>
    </w:p>
    <w:p w14:paraId="13569C42" w14:textId="77777777" w:rsidR="007E76D2" w:rsidRPr="00364545" w:rsidRDefault="007E76D2" w:rsidP="007E76D2">
      <w:pPr>
        <w:rPr>
          <w:color w:val="000000"/>
          <w:szCs w:val="22"/>
        </w:rPr>
      </w:pPr>
      <w:r w:rsidRPr="00364545">
        <w:rPr>
          <w:color w:val="000000"/>
        </w:rPr>
        <w:t xml:space="preserve">France, with 4 other countries (United States, Japan, Canada and Sweden) coordinate the secretariat of the world programme Future Earth launched in 2015. This programme is the result of merging three existing major research programmes in the field of global environmental change (IGBO, IHDP and Diversitas) WCRP, the world research programme on the climate, is a Future Earth partner. </w:t>
      </w:r>
    </w:p>
    <w:p w14:paraId="7CB53F07" w14:textId="77777777" w:rsidR="007E76D2" w:rsidRPr="00364545" w:rsidRDefault="007E76D2" w:rsidP="007E76D2">
      <w:pPr>
        <w:rPr>
          <w:color w:val="000000"/>
          <w:szCs w:val="22"/>
        </w:rPr>
      </w:pPr>
    </w:p>
    <w:p w14:paraId="503FF271" w14:textId="77777777" w:rsidR="007E76D2" w:rsidRPr="00364545" w:rsidRDefault="007E76D2" w:rsidP="007E76D2">
      <w:pPr>
        <w:rPr>
          <w:color w:val="000000"/>
          <w:szCs w:val="22"/>
        </w:rPr>
      </w:pPr>
      <w:r w:rsidRPr="00364545">
        <w:rPr>
          <w:color w:val="000000"/>
        </w:rPr>
        <w:t>Future Earth aims at providing societies with the knowledge required to face up to global environmental changes and to foster ecological transitioning. The secretariat is distributed across five platforms (“hubs”) based in France (Paris) in the United States (Boulder), in Japan (Tokyo), in Canada (Montreal) and in Sweden (Stockholm). The French “hub” was located at CNRS headquarters and is not based at the Pierre et Marie Curie University. It is managed in the form of a Service and research Unit, CNRS-multiple bodies that combine the relevant sections of AllEnvi on environmental issues.</w:t>
      </w:r>
    </w:p>
    <w:p w14:paraId="4044BF7A" w14:textId="77777777" w:rsidR="007E76D2" w:rsidRPr="00364545" w:rsidRDefault="007E76D2" w:rsidP="007E76D2">
      <w:pPr>
        <w:rPr>
          <w:color w:val="000000"/>
          <w:szCs w:val="22"/>
        </w:rPr>
      </w:pPr>
    </w:p>
    <w:p w14:paraId="287290C6" w14:textId="77777777" w:rsidR="007E76D2" w:rsidRPr="00364545" w:rsidRDefault="007E76D2" w:rsidP="007E76D2">
      <w:pPr>
        <w:rPr>
          <w:color w:val="000000"/>
          <w:szCs w:val="22"/>
        </w:rPr>
      </w:pPr>
      <w:r w:rsidRPr="00364545">
        <w:rPr>
          <w:color w:val="000000"/>
        </w:rPr>
        <w:t>Through the Research Ministry (MESR), which coordinates the project for France with support from the AllEnvi alliance, CNRS, INRAE, and ANR, these are all the French players in environmental science that are involved. Through this involvement, France has the aim of paying a significant role in the world-wide development of solutions to the major environmental challenges and creating synergies between players.</w:t>
      </w:r>
    </w:p>
    <w:p w14:paraId="4E28D385" w14:textId="77777777" w:rsidR="007E76D2" w:rsidRPr="00364545" w:rsidRDefault="007E76D2" w:rsidP="007E76D2">
      <w:pPr>
        <w:rPr>
          <w:color w:val="000000"/>
          <w:szCs w:val="22"/>
        </w:rPr>
      </w:pPr>
    </w:p>
    <w:p w14:paraId="44716CD4" w14:textId="179B38DB" w:rsidR="007E76D2" w:rsidRPr="00364545" w:rsidRDefault="007E76D2" w:rsidP="00E524AF">
      <w:pPr>
        <w:pStyle w:val="titreencadre"/>
      </w:pPr>
      <w:r w:rsidRPr="00364545">
        <w:t>World Climate Research Programme (WCRP)</w:t>
      </w:r>
    </w:p>
    <w:p w14:paraId="4E68EA5D" w14:textId="77777777" w:rsidR="007E76D2" w:rsidRPr="00364545" w:rsidRDefault="007E76D2" w:rsidP="007E76D2">
      <w:pPr>
        <w:rPr>
          <w:rFonts w:ascii="Arial" w:hAnsi="Arial" w:cs="Arial"/>
          <w:color w:val="000000"/>
        </w:rPr>
      </w:pPr>
      <w:r w:rsidRPr="00364545">
        <w:rPr>
          <w:color w:val="000000"/>
        </w:rPr>
        <w:t xml:space="preserve">The World Climate Research Programme or PMRC (World Climate Research Programme, WCRP) is an international research programme on the world climate, set up in 1980. IPSL (France) is the Support Unit for the programme. </w:t>
      </w:r>
    </w:p>
    <w:p w14:paraId="29F3DA76" w14:textId="77777777" w:rsidR="007E76D2" w:rsidRPr="00364545" w:rsidRDefault="007E76D2" w:rsidP="007E76D2">
      <w:pPr>
        <w:rPr>
          <w:rFonts w:ascii="Arial" w:hAnsi="Arial" w:cs="Arial"/>
          <w:color w:val="000000"/>
        </w:rPr>
      </w:pPr>
    </w:p>
    <w:p w14:paraId="1A6A73DA" w14:textId="68B3B10A" w:rsidR="007E76D2" w:rsidRPr="00364545" w:rsidRDefault="007E76D2" w:rsidP="00E524AF">
      <w:pPr>
        <w:pStyle w:val="titreencadre"/>
      </w:pPr>
      <w:r w:rsidRPr="00364545">
        <w:t>Belmont Forum</w:t>
      </w:r>
    </w:p>
    <w:p w14:paraId="4370B79B" w14:textId="0BA775BA" w:rsidR="007E76D2" w:rsidRPr="00364545" w:rsidRDefault="007E76D2" w:rsidP="007E76D2">
      <w:pPr>
        <w:rPr>
          <w:color w:val="000000"/>
        </w:rPr>
      </w:pPr>
      <w:r w:rsidRPr="00364545">
        <w:rPr>
          <w:color w:val="000000"/>
        </w:rPr>
        <w:t xml:space="preserve">ANR, in partnership with the Research Ministry (MESR) and the alliance allEnvi, for France, is a member of the Belmont Forum, a consortium that brings together representatives of the main G7 and emerging countries funding agencies. Its action is intended to “deliver the knowledge needed for action to attenuate and adapt to harmful environmental changes and dangerous extreme events.” ANR was vie-president of the Belmont Forum from 2012 to 2015 and hosted its secretariat. </w:t>
      </w:r>
    </w:p>
    <w:p w14:paraId="564094EB" w14:textId="77777777" w:rsidR="007E76D2" w:rsidRPr="00364545" w:rsidRDefault="007E76D2" w:rsidP="007E76D2">
      <w:pPr>
        <w:rPr>
          <w:rFonts w:ascii="Arial" w:hAnsi="Arial" w:cs="Arial"/>
          <w:color w:val="000000"/>
        </w:rPr>
      </w:pPr>
    </w:p>
    <w:p w14:paraId="6EBBD94A" w14:textId="38792C44" w:rsidR="007E76D2" w:rsidRPr="00364545" w:rsidRDefault="007E76D2" w:rsidP="00E524AF">
      <w:pPr>
        <w:pStyle w:val="titreencadre"/>
      </w:pPr>
      <w:r w:rsidRPr="00364545">
        <w:t>Global Framework for Climate Services (CMSC)</w:t>
      </w:r>
    </w:p>
    <w:p w14:paraId="58D962DA" w14:textId="7EBBD36E" w:rsidR="007E76D2" w:rsidRPr="00364545" w:rsidRDefault="007E76D2" w:rsidP="007E76D2">
      <w:pPr>
        <w:rPr>
          <w:rFonts w:ascii="Arial" w:hAnsi="Arial" w:cs="Arial"/>
          <w:color w:val="000000"/>
        </w:rPr>
      </w:pPr>
      <w:r w:rsidRPr="00364545">
        <w:rPr>
          <w:color w:val="000000"/>
        </w:rPr>
        <w:t>France is a partner in the Global Framework for Climate Services - (GFCS), a UN initiative led by the WMO that aims to coordinate efforts made at global level to ensure the provision of climate services based on user needs and thus take the best advantage of climate knowledge,</w:t>
      </w:r>
    </w:p>
    <w:p w14:paraId="196BF8CF" w14:textId="165EF768" w:rsidR="007E76D2" w:rsidRPr="00364545" w:rsidRDefault="007E76D2" w:rsidP="00E524AF">
      <w:pPr>
        <w:pStyle w:val="Titre4niveau4"/>
      </w:pPr>
      <w:r w:rsidRPr="00364545">
        <w:t>French Climate Research in Compliance with Major European Programmes</w:t>
      </w:r>
    </w:p>
    <w:p w14:paraId="2B478DBF" w14:textId="01BF09FE" w:rsidR="007E76D2" w:rsidRPr="00364545" w:rsidRDefault="007E76D2" w:rsidP="00E524AF">
      <w:pPr>
        <w:pStyle w:val="titreencadre"/>
      </w:pPr>
      <w:r w:rsidRPr="00364545">
        <w:t>The Horizon-Europe Framework Programme</w:t>
      </w:r>
    </w:p>
    <w:p w14:paraId="7315990C" w14:textId="77777777" w:rsidR="007E76D2" w:rsidRPr="00364545" w:rsidRDefault="007E76D2" w:rsidP="007E76D2">
      <w:pPr>
        <w:shd w:val="clear" w:color="auto" w:fill="FFFFFF"/>
        <w:rPr>
          <w:rFonts w:ascii="Arial" w:hAnsi="Arial" w:cs="Arial"/>
          <w:color w:val="000000"/>
          <w:szCs w:val="14"/>
        </w:rPr>
      </w:pPr>
      <w:r w:rsidRPr="00364545">
        <w:rPr>
          <w:color w:val="000000"/>
        </w:rPr>
        <w:t>In 2014 France published its 5-year national research strategy in compliance with the European Union framework programme for funding research and innovation (Horizon 2020) for the period from 2014-2020. The SNR societal challenge called the “Food Safety and Demographic Challenge” (Challenge 5) mirrored Challenge 2 of the Horizon 2020 programme called “Food safety, sustainable agriculture, marine and maritime research and bio-economics”. The SNR challenge involving “Low-consumption Resource Management and Adapting to Climate Change (Challenge 1)” corresponded to challenge 6 of the Horizon 2020 programme “Combating climate change, efficient use of resources and raw materials”. The energy challenge called “clean, safe and efficient energy” (challenge 2) was based on the challenge in H2020, “Safe clean and efficient energy”(challenge 3). SNR challenge 6 “Sustainable Mobility and Urban Systems” corresponded i part to challenge 4 in Horizon 2020 that dealt with “Intelligent, green and integrated transport”.</w:t>
      </w:r>
      <w:r w:rsidRPr="00364545">
        <w:rPr>
          <w:rFonts w:ascii="Arial" w:hAnsi="Arial"/>
          <w:color w:val="000000"/>
        </w:rPr>
        <w:t xml:space="preserve"> </w:t>
      </w:r>
    </w:p>
    <w:p w14:paraId="38016CCA" w14:textId="77777777" w:rsidR="000E2F47" w:rsidRPr="00364545" w:rsidRDefault="000E2F47" w:rsidP="000E2F47">
      <w:pPr>
        <w:rPr>
          <w:rFonts w:ascii="Times New Roman" w:hAnsi="Times New Roman"/>
          <w:color w:val="000000"/>
        </w:rPr>
      </w:pPr>
    </w:p>
    <w:p w14:paraId="1E9D5833" w14:textId="20097666" w:rsidR="007E76D2" w:rsidRPr="00364545" w:rsidRDefault="007E76D2" w:rsidP="000E2F47">
      <w:pPr>
        <w:rPr>
          <w:rFonts w:ascii="Arial" w:hAnsi="Arial" w:cs="Arial"/>
          <w:color w:val="000000"/>
          <w:szCs w:val="14"/>
        </w:rPr>
      </w:pPr>
      <w:r w:rsidRPr="00364545">
        <w:rPr>
          <w:rFonts w:ascii="Times New Roman" w:hAnsi="Times New Roman"/>
          <w:color w:val="000000"/>
        </w:rPr>
        <w:t xml:space="preserve">The European framework has evolved with Horizon Europe, which has kept the choice of orienting research to respond to world problems and especially sustainable development goals. </w:t>
      </w:r>
      <w:r w:rsidRPr="00364545">
        <w:rPr>
          <w:color w:val="000000"/>
        </w:rPr>
        <w:t>Accordingly, programme mainstay 2, which focusses more than 55% of the total budget unfolds into 5 missions to meet society’s challenges: climate, cancer, oceans, cities and soils.</w:t>
      </w:r>
    </w:p>
    <w:p w14:paraId="0CBA51F2" w14:textId="77777777" w:rsidR="003F51CF" w:rsidRPr="00364545" w:rsidRDefault="003F51CF" w:rsidP="007E76D2">
      <w:pPr>
        <w:ind w:left="567"/>
        <w:rPr>
          <w:rFonts w:ascii="Arial" w:hAnsi="Arial" w:cs="Arial"/>
          <w:color w:val="000000"/>
          <w:szCs w:val="14"/>
        </w:rPr>
      </w:pPr>
    </w:p>
    <w:p w14:paraId="52818258" w14:textId="2C58004C" w:rsidR="007E76D2" w:rsidRPr="00364545" w:rsidRDefault="007E76D2" w:rsidP="00E524AF">
      <w:pPr>
        <w:pStyle w:val="titreencadre"/>
      </w:pPr>
      <w:r w:rsidRPr="00364545">
        <w:t>Joint Programme Initiatives (JPI)</w:t>
      </w:r>
    </w:p>
    <w:p w14:paraId="35215C8B" w14:textId="77662921" w:rsidR="007E76D2" w:rsidRPr="00364545" w:rsidRDefault="007E76D2" w:rsidP="003F51CF">
      <w:pPr>
        <w:rPr>
          <w:rFonts w:ascii="Arial" w:hAnsi="Arial" w:cs="Arial"/>
        </w:rPr>
      </w:pPr>
      <w:r w:rsidRPr="00364545">
        <w:t>The Joint Programme Initiatives set up a new kind of cooperation between Member States to take up a number of societal challenges that are essential for Europe. They lead Member States to define a common vision and a strategic research agenda on those societal stakes which national programmes cannot meet when taken in isolation. It consists of defining and implementing research programmes on the major stakes for European society, science and technology in a coordinated way at European level. France takes part in 10 approved Joint Programme Initiatives to date, five of which come into the purview of climate research.</w:t>
      </w:r>
    </w:p>
    <w:p w14:paraId="6FF141D0" w14:textId="4411C1A0" w:rsidR="007E76D2" w:rsidRPr="00364545" w:rsidRDefault="007E76D2" w:rsidP="003F57EA">
      <w:pPr>
        <w:pStyle w:val="ListParagraph"/>
        <w:numPr>
          <w:ilvl w:val="0"/>
          <w:numId w:val="75"/>
        </w:numPr>
        <w:rPr>
          <w:rFonts w:eastAsia="Symbol"/>
        </w:rPr>
      </w:pPr>
      <w:r w:rsidRPr="00364545">
        <w:t>JPI Climate (Coordinated Development of Climate Knowledge for the Benefit of Europe): Launched in April 2010, JPI Climate, which involves 17 countries, is a European initiative that enables coordinated funding of climate research (to a wide extent). It enables a contribution to developing knowledge to improve scientific expertise on the risks from climate change and options to adapt. France, through the ANR was its president until 2017.</w:t>
      </w:r>
    </w:p>
    <w:p w14:paraId="0529C52F" w14:textId="0CD2D588" w:rsidR="007E76D2" w:rsidRPr="00364545" w:rsidRDefault="007E76D2" w:rsidP="003F57EA">
      <w:pPr>
        <w:pStyle w:val="ListParagraph"/>
        <w:numPr>
          <w:ilvl w:val="0"/>
          <w:numId w:val="74"/>
        </w:numPr>
        <w:rPr>
          <w:rFonts w:eastAsia="Symbol"/>
        </w:rPr>
      </w:pPr>
      <w:r w:rsidRPr="00364545">
        <w:t>JPI Oceans (Healthy and Productive Seas and Oceans): The aim of this initiative that was launched in 2010 with 22 countries, was to create a knowledge base that will enable the set-up of an integrated policy for the sustainable use of marine resources, whilst limiting the impact of climate change on the marine world and coastal regions.</w:t>
      </w:r>
    </w:p>
    <w:p w14:paraId="3E378BF9" w14:textId="0D1D2E29" w:rsidR="007E76D2" w:rsidRPr="00364545" w:rsidRDefault="007E76D2" w:rsidP="003F57EA">
      <w:pPr>
        <w:pStyle w:val="ListParagraph"/>
        <w:numPr>
          <w:ilvl w:val="0"/>
          <w:numId w:val="74"/>
        </w:numPr>
        <w:rPr>
          <w:rFonts w:ascii="Arial" w:eastAsia="Symbol" w:hAnsi="Arial" w:cs="Arial"/>
          <w:b/>
        </w:rPr>
      </w:pPr>
      <w:r w:rsidRPr="00364545">
        <w:t xml:space="preserve">JPI Urban Europe: JPI Urban Europe, was created in 2010 and includes 14 European countries to help European cities to pick up several challenges that confront them: climate change, transport network congestion, energy management, ageing buildings, migration flows, and social and economic changes. </w:t>
      </w:r>
    </w:p>
    <w:p w14:paraId="7401AAB8" w14:textId="77777777" w:rsidR="007E76D2" w:rsidRPr="00364545" w:rsidRDefault="007E76D2" w:rsidP="003F57EA">
      <w:pPr>
        <w:pStyle w:val="ListParagraph"/>
        <w:numPr>
          <w:ilvl w:val="0"/>
          <w:numId w:val="74"/>
        </w:numPr>
        <w:rPr>
          <w:rFonts w:eastAsia="Symbol"/>
          <w:sz w:val="18"/>
          <w:szCs w:val="18"/>
        </w:rPr>
      </w:pPr>
      <w:r w:rsidRPr="00364545">
        <w:t>JPI Water (Challenges on Water in a Changing World):</w:t>
      </w:r>
      <w:r w:rsidRPr="00364545">
        <w:rPr>
          <w:b/>
        </w:rPr>
        <w:t xml:space="preserve"> </w:t>
      </w:r>
      <w:r w:rsidRPr="00364545">
        <w:t xml:space="preserve">This Joint Programme Initiative aims to strengthen leadership and competitiveness in Europe in the fields of research and innovation on water, whilst enabling the resource to be preserved. Through the ANR, France was president and handled coordination since November 2014. This JPI brings together 24 countries and the European Union </w:t>
      </w:r>
    </w:p>
    <w:p w14:paraId="7EFF37D2" w14:textId="77777777" w:rsidR="007E76D2" w:rsidRPr="00364545" w:rsidRDefault="007E76D2" w:rsidP="003F57EA">
      <w:pPr>
        <w:pStyle w:val="ListParagraph"/>
        <w:numPr>
          <w:ilvl w:val="0"/>
          <w:numId w:val="74"/>
        </w:numPr>
        <w:rPr>
          <w:rFonts w:eastAsia="Symbol"/>
        </w:rPr>
      </w:pPr>
      <w:r w:rsidRPr="00364545">
        <w:rPr>
          <w:sz w:val="18"/>
        </w:rPr>
        <w:t>201</w:t>
      </w:r>
    </w:p>
    <w:p w14:paraId="200D718C" w14:textId="77777777" w:rsidR="007E76D2" w:rsidRPr="00364545" w:rsidRDefault="007E76D2" w:rsidP="003F57EA">
      <w:pPr>
        <w:pStyle w:val="ListParagraph"/>
        <w:numPr>
          <w:ilvl w:val="0"/>
          <w:numId w:val="74"/>
        </w:numPr>
        <w:rPr>
          <w:rFonts w:eastAsia="Symbol"/>
        </w:rPr>
      </w:pPr>
      <w:r w:rsidRPr="00364545">
        <w:t>JPI FACCE(Agriculture, Food Safety and Climate Change):</w:t>
      </w:r>
      <w:r w:rsidRPr="00364545">
        <w:rPr>
          <w:b/>
        </w:rPr>
        <w:t xml:space="preserve"> </w:t>
      </w:r>
      <w:r w:rsidRPr="00364545">
        <w:t xml:space="preserve">This initiative was launched in 2010 and was coordinated by the National Institute for Agronomic Research (INRA) until 2014. FACCE’s secretariat is handled by INRA. This Joint Programme Initiative brings together 22 countries which have committed to building an integrated European research area in order to pick up the challenges connects to sustainable agriculture, food safety and the impact of climate change. It provides research intended t support sustainable agricultural production and economic growth, and contributes to the European bio-economy, whilst maintaining and restoring ecosystem services faced with current and future climate change. </w:t>
      </w:r>
    </w:p>
    <w:p w14:paraId="3EC9BDE2" w14:textId="77777777" w:rsidR="007E76D2" w:rsidRPr="00364545" w:rsidRDefault="007E76D2" w:rsidP="007E76D2">
      <w:pPr>
        <w:rPr>
          <w:rFonts w:eastAsia="Symbol"/>
          <w:color w:val="000000"/>
        </w:rPr>
      </w:pPr>
    </w:p>
    <w:p w14:paraId="2A0B31AE" w14:textId="06D3E055" w:rsidR="007E76D2" w:rsidRPr="00364545" w:rsidRDefault="007E76D2" w:rsidP="00E524AF">
      <w:pPr>
        <w:pStyle w:val="titreencadre"/>
        <w:rPr>
          <w:rFonts w:eastAsia="Symbol"/>
        </w:rPr>
      </w:pPr>
      <w:r w:rsidRPr="00364545">
        <w:t xml:space="preserve">Partnership for Research and Innovation in the Mediterranean Area (PRIMA) </w:t>
      </w:r>
    </w:p>
    <w:p w14:paraId="0A7DBB2D" w14:textId="77777777" w:rsidR="007E76D2" w:rsidRPr="00364545" w:rsidRDefault="007E76D2" w:rsidP="007E76D2">
      <w:pPr>
        <w:rPr>
          <w:rFonts w:eastAsia="Symbol"/>
          <w:color w:val="000000"/>
        </w:rPr>
      </w:pPr>
      <w:r w:rsidRPr="00364545">
        <w:rPr>
          <w:color w:val="000000"/>
        </w:rPr>
        <w:t xml:space="preserve">PRIMA (Partnership for Research and Innovation in the Mediterranean Area) has the aim of strengthening cooperation in research and innovation in Mediterranean countries to enable sustainable food production and water resource challenges to be met in the Mediterranean. The PRIMA initiative is an ARTCILE 185 type research and innovation programme which will be run over a 10-year period from 2018. </w:t>
      </w:r>
    </w:p>
    <w:p w14:paraId="14827475" w14:textId="77777777" w:rsidR="007E76D2" w:rsidRPr="00364545" w:rsidRDefault="007E76D2" w:rsidP="007E76D2">
      <w:pPr>
        <w:ind w:left="567"/>
        <w:rPr>
          <w:rFonts w:eastAsia="Symbol"/>
          <w:color w:val="000000"/>
        </w:rPr>
      </w:pPr>
    </w:p>
    <w:p w14:paraId="6A2BB8E5" w14:textId="37CC7B7F" w:rsidR="007E76D2" w:rsidRPr="00364545" w:rsidRDefault="007E76D2" w:rsidP="00E524AF">
      <w:pPr>
        <w:pStyle w:val="titreencadre"/>
        <w:rPr>
          <w:rFonts w:eastAsia="Symbol"/>
        </w:rPr>
      </w:pPr>
      <w:r w:rsidRPr="00364545">
        <w:t>European Strategy Forum on Research Infrastructures (ESFRI)</w:t>
      </w:r>
    </w:p>
    <w:p w14:paraId="68398A81" w14:textId="3F2B622D" w:rsidR="007E76D2" w:rsidRPr="00364545" w:rsidRDefault="007E76D2" w:rsidP="008E7350">
      <w:pPr>
        <w:rPr>
          <w:rFonts w:ascii="Arial" w:eastAsia="Symbol" w:hAnsi="Arial" w:cs="Arial"/>
          <w:color w:val="000000"/>
        </w:rPr>
      </w:pPr>
      <w:r w:rsidRPr="00364545">
        <w:rPr>
          <w:color w:val="000000"/>
        </w:rPr>
        <w:t xml:space="preserve">France h s taken an active part, in the context of the European Strategy Forum on Research Infrastructures (ESFRI) in updating the road-map for pan-European research infrastructures which was officially published in 2021. At the same time,it also revisited the road-map of its national facilities initially published in 2008 and then updated in 2012 and in 2016. The ESFRI forum, which pays a major role in devising research infrastructure policies in Europe, identifies the European research infrastructures that are essential for the next 10 to 20 years. France has built its research infrastructure road-map to be consistent with the ESFRI road-map. </w:t>
      </w:r>
    </w:p>
    <w:p w14:paraId="0761E586" w14:textId="24F79287" w:rsidR="007E76D2" w:rsidRPr="00364545" w:rsidRDefault="007E76D2" w:rsidP="00E524AF">
      <w:pPr>
        <w:pStyle w:val="Titre4niveau4"/>
      </w:pPr>
      <w:r w:rsidRPr="00364545">
        <w:t>French Participation in the Inter-Governmental Experts Group on Climate Evolution (GIEC)</w:t>
      </w:r>
    </w:p>
    <w:p w14:paraId="51AF0CF0" w14:textId="79DF2EDD" w:rsidR="007E76D2" w:rsidRPr="00364545" w:rsidRDefault="007E76D2" w:rsidP="007E76D2">
      <w:pPr>
        <w:rPr>
          <w:rFonts w:eastAsia="Symbol"/>
          <w:color w:val="000000"/>
          <w:szCs w:val="22"/>
        </w:rPr>
      </w:pPr>
      <w:r w:rsidRPr="00364545">
        <w:rPr>
          <w:color w:val="000000"/>
        </w:rPr>
        <w:t>French research times have contributed widely to the 6</w:t>
      </w:r>
      <w:r w:rsidRPr="00364545">
        <w:rPr>
          <w:color w:val="000000"/>
          <w:vertAlign w:val="superscript"/>
        </w:rPr>
        <w:t>th</w:t>
      </w:r>
      <w:r w:rsidRPr="00364545">
        <w:rPr>
          <w:color w:val="000000"/>
        </w:rPr>
        <w:t xml:space="preserve"> assessment report published by the GIEC, especially the report by Working Group 1 (“The Physical Science Basis”, whose vice-president was Valérie Masson-Delmotte, a researcher at IPSL). Forty-two French scientists contributed to the WG1 report published in 2013. French scientists also contributed to reports 2 and 3 published in 2014 devoted respectively to “Impacts, Adaptation and Vulnerability” (57 French authors and revisers) and “Mitigation of Climate Change” (7 French authors).</w:t>
      </w:r>
    </w:p>
    <w:p w14:paraId="0F1004B4" w14:textId="52F75D31" w:rsidR="007E76D2" w:rsidRPr="00364545" w:rsidRDefault="007E76D2" w:rsidP="008E7350">
      <w:r w:rsidRPr="00364545">
        <w:rPr>
          <w:color w:val="000000"/>
        </w:rPr>
        <w:t>The Ministry for Scientific Research (MESR) jointly with the Ministry for the Environment (MTE) through ADEME and the Ministry for Foreign Affairs (MEAE) have since 2016 been sustaining the Technical Support Unit (TSU) of Working Group 1. This working group assesses the scientific aspects of the physical climate system and of climate change. The TSU is based at Paris Saclay University in France with an office at the International Abdus Salam Centre for Theoretical Physics in Italy. The TSU also benefit from computing support from the Laboratory for Climate and Environmental Sciences (LCSE) at the Pierre Simon Laplace Institute (IPSL). Currently, France contributes 1.5 M€ per annum to the GIEC.</w:t>
      </w:r>
    </w:p>
    <w:p w14:paraId="000B264A" w14:textId="229144EC" w:rsidR="007E76D2" w:rsidRPr="00364545" w:rsidRDefault="007E76D2" w:rsidP="00E524AF">
      <w:pPr>
        <w:pStyle w:val="Titre2Niveau2"/>
      </w:pPr>
      <w:bookmarkStart w:id="739" w:name="_Toc138341898"/>
      <w:r w:rsidRPr="00364545">
        <w:t>Systematic Observation</w:t>
      </w:r>
      <w:bookmarkEnd w:id="739"/>
    </w:p>
    <w:p w14:paraId="16A6E8D3" w14:textId="1426B84B" w:rsidR="007E76D2" w:rsidRPr="00364545" w:rsidRDefault="007E76D2" w:rsidP="008E7350">
      <w:r w:rsidRPr="00364545">
        <w:t>France participates in the Global Climate Observing System (GCOS), a joint observation system comprising four areas of observation with specific networks: the atmosphere, the ocean, the terrestrial networks (glaciers and carbon fluxes) and the domain of space. This climate observation programme comes under the aegis of the World Meteorological Organisation (WMO), the International Council for Science (ICSU), the International Oceanographic Commission (IOC) and the United Nations Environment Programme (UNEP). The aim of the GCOS National Communication is to verify that the French system allows the climate to be monitored (spatial resolution, temporal frequency, operating status) and respects specific aspects related to the Climate Convention (Rio, 1992) and the Kyoto Protocol (1997).</w:t>
      </w:r>
    </w:p>
    <w:p w14:paraId="2AEA9BCC" w14:textId="4FF3580E" w:rsidR="007E76D2" w:rsidRPr="00364545" w:rsidRDefault="007E76D2" w:rsidP="008E7350">
      <w:r w:rsidRPr="00364545">
        <w:t>Two types of measurement networks are relevant according to their purpose: measurement networks for research and networks for public service purposes. The two networks inevitably interact.</w:t>
      </w:r>
    </w:p>
    <w:p w14:paraId="0567A7EC" w14:textId="77777777" w:rsidR="007E76D2" w:rsidRPr="00364545" w:rsidRDefault="007E76D2" w:rsidP="008E7350">
      <w:r w:rsidRPr="00364545">
        <w:t xml:space="preserve">In France, climate research relies on observation facilities approved by the Specialized Commission for Ocean-Atmosphere (CSOA) and managed locally by the Observatories of Sciences of the Universe (OSU). These facilities are the building blocks of national research infrastructures which are part of a national roadmap (set up in 2008 and updated in 2012, 2016 and 2021). For the past ten years, the organisation of the national infrastructure landscape has reflected France's desire to maintain existing observation systems, which are necessary for climate research in particular, in line with European or international research infrastructures. </w:t>
      </w:r>
    </w:p>
    <w:p w14:paraId="74A1AECC" w14:textId="77777777" w:rsidR="007E76D2" w:rsidRPr="00364545" w:rsidRDefault="007E76D2" w:rsidP="008E7350"/>
    <w:p w14:paraId="5288E44E" w14:textId="08E27D84" w:rsidR="007E76D2" w:rsidRPr="00364545" w:rsidRDefault="007E76D2" w:rsidP="007E76D2">
      <w:r w:rsidRPr="00364545">
        <w:t>Météo-France, the national meteorological and climatological service working on behalf of the state to ensure the meteorological safety of people and property, also has a role to play in cutting edge research and the latest scientific advances in the field of observation, forecasting and climate modelling. It occupies a central place in the systematic observation system because of its history, its links with the WMO and its geographical location.</w:t>
      </w:r>
    </w:p>
    <w:p w14:paraId="68AB637E" w14:textId="00D13373" w:rsidR="007E76D2" w:rsidRPr="00364545" w:rsidRDefault="007E76D2" w:rsidP="00E524AF">
      <w:pPr>
        <w:pStyle w:val="Titre3Niveau3"/>
      </w:pPr>
      <w:bookmarkStart w:id="740" w:name="_Toc138341899"/>
      <w:r w:rsidRPr="00364545">
        <w:t>National Observation Services in the Domain of the Atmosphere</w:t>
      </w:r>
      <w:bookmarkEnd w:id="740"/>
      <w:r w:rsidRPr="00364545">
        <w:t xml:space="preserve"> </w:t>
      </w:r>
    </w:p>
    <w:p w14:paraId="43031571" w14:textId="053F623F" w:rsidR="007E76D2" w:rsidRPr="00364545" w:rsidRDefault="007E76D2" w:rsidP="008E7350">
      <w:pPr>
        <w:rPr>
          <w:color w:val="000000"/>
          <w:szCs w:val="22"/>
        </w:rPr>
      </w:pPr>
      <w:r w:rsidRPr="00364545">
        <w:t>Eleven national observation services (SNO) qualified by the Specialist Ocean Atmosphere Commission enable the climate to be observed. Some of them represent the French contribution to European infrastructures or international networks.</w:t>
      </w:r>
    </w:p>
    <w:p w14:paraId="71DC07A2" w14:textId="6B0E0150" w:rsidR="007E76D2" w:rsidRPr="00364545" w:rsidRDefault="007E76D2" w:rsidP="00E524AF">
      <w:pPr>
        <w:pStyle w:val="Titre4niveau4"/>
      </w:pPr>
      <w:r w:rsidRPr="00364545">
        <w:t>The Integrated Carbon Observation System (ICOS)</w:t>
      </w:r>
    </w:p>
    <w:p w14:paraId="211DBF06" w14:textId="4A7E76B9" w:rsidR="007E76D2" w:rsidRPr="00364545" w:rsidRDefault="007E76D2" w:rsidP="007E76D2">
      <w:pPr>
        <w:rPr>
          <w:b/>
          <w:color w:val="000000"/>
          <w:szCs w:val="22"/>
        </w:rPr>
      </w:pPr>
      <w:r w:rsidRPr="00364545">
        <w:rPr>
          <w:color w:val="000000"/>
        </w:rPr>
        <w:t>ICOS-RAMCES is the French contribution to the ICOS network (Integrated Carbon Observation System qualified as a landmark by ESFRI) which is a distributed research infrastructure that provides harmonised measures at European level on the carbon cycle, emissions and atmospheric concentrations of greenhouse gases (GES). ICOS incorporates measurement networks in the atmosphere, at the level of land ecosystems and the oceans. The infrastructure is coordinated by Finland.</w:t>
      </w:r>
    </w:p>
    <w:p w14:paraId="0D3615AF" w14:textId="77777777" w:rsidR="007E76D2" w:rsidRPr="00364545" w:rsidRDefault="007E76D2" w:rsidP="007E76D2">
      <w:pPr>
        <w:rPr>
          <w:b/>
          <w:color w:val="000000"/>
          <w:szCs w:val="22"/>
        </w:rPr>
      </w:pPr>
    </w:p>
    <w:p w14:paraId="39F61C43" w14:textId="5C91E75E" w:rsidR="007E76D2" w:rsidRPr="00364545" w:rsidRDefault="007E76D2" w:rsidP="00E524AF">
      <w:pPr>
        <w:pStyle w:val="Titre4niveau4"/>
      </w:pPr>
      <w:r w:rsidRPr="00364545">
        <w:t>Airborne Measuring Instruments for Observation (IAGOS)</w:t>
      </w:r>
    </w:p>
    <w:p w14:paraId="31A70EAE" w14:textId="7E2692CC" w:rsidR="007E76D2" w:rsidRPr="00364545" w:rsidRDefault="007E76D2" w:rsidP="007E76D2">
      <w:pPr>
        <w:rPr>
          <w:color w:val="000000"/>
          <w:szCs w:val="22"/>
        </w:rPr>
      </w:pPr>
      <w:r w:rsidRPr="00364545">
        <w:rPr>
          <w:color w:val="000000"/>
        </w:rPr>
        <w:t>IAGOS (In-service Aircraft for Global Observing System qualified as a landmark by ESFRI) is a European research infrastructure that has the aim of establishing, operating and running a long-term global observation network on the composition of the atmosphere: traces of reactive gases (ozone, carbon monoxide, and nitrogen oxides), green house gases (water vapour, carbon dioxide, methane, and ozone), aerosols and cloud particles (water droplets and ice crystals). This data is used by international scientific networks, international weather forecasting centres, air quality forecasting centres, the Copernicus programme Atmospheric Service and more generally by the GEOSS sphere (Global Earth Observation System of Systems).</w:t>
      </w:r>
    </w:p>
    <w:p w14:paraId="70EB08F7" w14:textId="77777777" w:rsidR="007E76D2" w:rsidRPr="00364545" w:rsidRDefault="007E76D2" w:rsidP="007E76D2">
      <w:pPr>
        <w:rPr>
          <w:color w:val="000000"/>
          <w:szCs w:val="22"/>
        </w:rPr>
      </w:pPr>
    </w:p>
    <w:p w14:paraId="0F083886" w14:textId="3441D4C1" w:rsidR="007E76D2" w:rsidRPr="00364545" w:rsidRDefault="007E76D2" w:rsidP="00E524AF">
      <w:pPr>
        <w:pStyle w:val="Titre4niveau4"/>
      </w:pPr>
      <w:r w:rsidRPr="00364545">
        <w:t>International Network for the Detection of Atmospheric Composition Change (NDACC)</w:t>
      </w:r>
    </w:p>
    <w:p w14:paraId="496D12BE" w14:textId="77777777" w:rsidR="007E76D2" w:rsidRPr="00364545" w:rsidRDefault="007E76D2" w:rsidP="007E76D2">
      <w:pPr>
        <w:rPr>
          <w:bCs/>
          <w:szCs w:val="22"/>
        </w:rPr>
      </w:pPr>
      <w:r w:rsidRPr="00364545">
        <w:t>NDACC is a long-term international network monitoring the stratosphere and the upper troposphere created in 1991. It has the goal of detecting changes in the chemical composition and temperature of natural or human origin and the interaction between chemistry ad the climate, and long term validation of observations of the same parameters by several series of satellites put into orbit since then.</w:t>
      </w:r>
    </w:p>
    <w:p w14:paraId="7874E759" w14:textId="77777777" w:rsidR="007E76D2" w:rsidRPr="00364545" w:rsidRDefault="007E76D2" w:rsidP="007E76D2">
      <w:pPr>
        <w:rPr>
          <w:bCs/>
          <w:szCs w:val="22"/>
        </w:rPr>
      </w:pPr>
    </w:p>
    <w:p w14:paraId="37DC49DA" w14:textId="77777777" w:rsidR="007E76D2" w:rsidRPr="00364545" w:rsidRDefault="007E76D2" w:rsidP="00E524AF">
      <w:pPr>
        <w:pStyle w:val="Titre4niveau4"/>
      </w:pPr>
      <w:r w:rsidRPr="00364545">
        <w:t>Research Infrastructure on Aerosols, Clouds and Trace Gases (ACTRIS)</w:t>
      </w:r>
    </w:p>
    <w:p w14:paraId="190A083D" w14:textId="77777777" w:rsidR="007E76D2" w:rsidRPr="00364545" w:rsidRDefault="007E76D2" w:rsidP="007E76D2">
      <w:pPr>
        <w:rPr>
          <w:color w:val="000000"/>
          <w:szCs w:val="22"/>
        </w:rPr>
      </w:pPr>
    </w:p>
    <w:p w14:paraId="30EAD00C" w14:textId="1278BEFD" w:rsidR="007E76D2" w:rsidRPr="00364545" w:rsidRDefault="007E76D2" w:rsidP="007E76D2">
      <w:pPr>
        <w:rPr>
          <w:color w:val="000000"/>
          <w:szCs w:val="22"/>
        </w:rPr>
      </w:pPr>
      <w:r w:rsidRPr="00364545">
        <w:rPr>
          <w:color w:val="000000"/>
        </w:rPr>
        <w:t>ACTRIS-FR, (Aerosols, Clouds, and Trace Gases Research Infrastructure Network) is the French component of ACTRIS, The European initiative for observing and analysing aerosols, clouds and reactive gases and their interaction. It brings together four qualified SBOs.</w:t>
      </w:r>
    </w:p>
    <w:p w14:paraId="3B3C2591" w14:textId="77777777" w:rsidR="007E76D2" w:rsidRPr="00364545" w:rsidRDefault="007E76D2" w:rsidP="007E76D2">
      <w:pPr>
        <w:rPr>
          <w:color w:val="000000"/>
          <w:szCs w:val="22"/>
        </w:rPr>
      </w:pPr>
    </w:p>
    <w:p w14:paraId="1A1BEE31" w14:textId="290DE973" w:rsidR="007E76D2" w:rsidRPr="00364545" w:rsidRDefault="007E76D2" w:rsidP="00E524AF">
      <w:pPr>
        <w:pStyle w:val="Titre4niveau4"/>
      </w:pPr>
      <w:r w:rsidRPr="00364545">
        <w:t xml:space="preserve">The AMMA-CATCH Network </w:t>
      </w:r>
    </w:p>
    <w:p w14:paraId="3C8D9595" w14:textId="7EB38616" w:rsidR="007E76D2" w:rsidRPr="00364545" w:rsidRDefault="007E76D2" w:rsidP="007E76D2">
      <w:pPr>
        <w:rPr>
          <w:szCs w:val="22"/>
        </w:rPr>
      </w:pPr>
      <w:r w:rsidRPr="00364545">
        <w:t xml:space="preserve">The AMMA-CATCH observatory has the goal of monitoring the impact of global changes in the continental water cycle and its operation the critical area of West Africa over the long term. It forms part of </w:t>
      </w:r>
      <w:hyperlink r:id="rId131" w:history="1">
        <w:r w:rsidRPr="00364545">
          <w:rPr>
            <w:rStyle w:val="Hyperlink"/>
          </w:rPr>
          <w:t>infrastructure de recherche nationale OZCAR</w:t>
        </w:r>
      </w:hyperlink>
      <w:r w:rsidRPr="00364545">
        <w:t xml:space="preserve"> (Observatories of the Critical Area: Applications and Research), devoted to observing and studying the operation of ground areas, underground areas with low atmosphere, from high elevations to coastal regions. This network combines </w:t>
      </w:r>
      <w:hyperlink r:id="rId132" w:history="1">
        <w:r w:rsidRPr="00364545">
          <w:rPr>
            <w:rStyle w:val="Hyperlink"/>
          </w:rPr>
          <w:t>21 observatoires labellisés</w:t>
        </w:r>
      </w:hyperlink>
      <w:r w:rsidRPr="00364545">
        <w:t xml:space="preserve">, located both on French territory and in countries in the South. IR OZCAR represents the French contribution to the European IR "Long-Term Ecosystem Research in Europe" </w:t>
      </w:r>
      <w:hyperlink r:id="rId133" w:history="1">
        <w:r w:rsidRPr="00364545">
          <w:rPr>
            <w:rStyle w:val="Hyperlink"/>
          </w:rPr>
          <w:t>eLTER</w:t>
        </w:r>
      </w:hyperlink>
      <w:r w:rsidRPr="00364545">
        <w:t>.</w:t>
      </w:r>
    </w:p>
    <w:p w14:paraId="6CE390FD" w14:textId="5ACDFA77" w:rsidR="007E76D2" w:rsidRPr="00364545" w:rsidRDefault="007E76D2" w:rsidP="007E76D2">
      <w:pPr>
        <w:rPr>
          <w:szCs w:val="22"/>
        </w:rPr>
      </w:pPr>
      <w:r w:rsidRPr="00364545">
        <w:rPr>
          <w:rStyle w:val="Strong"/>
        </w:rPr>
        <w:t>Furthermore, AMMA-CATCH</w:t>
      </w:r>
      <w:r w:rsidRPr="00364545">
        <w:t xml:space="preserve"> is a member of the global network "Critical Zone Exploration Network" </w:t>
      </w:r>
      <w:hyperlink r:id="rId134" w:history="1">
        <w:r w:rsidRPr="00364545">
          <w:rPr>
            <w:rStyle w:val="Hyperlink"/>
          </w:rPr>
          <w:t>CZEN</w:t>
        </w:r>
      </w:hyperlink>
      <w:r w:rsidRPr="00364545">
        <w:t xml:space="preserve">. The main aim of CZEN is to create a network of observatories for studying processes in the critical area. </w:t>
      </w:r>
    </w:p>
    <w:p w14:paraId="713E20EF" w14:textId="77777777" w:rsidR="007E76D2" w:rsidRPr="00364545" w:rsidRDefault="007E76D2" w:rsidP="007E76D2">
      <w:pPr>
        <w:rPr>
          <w:color w:val="000000"/>
          <w:szCs w:val="22"/>
        </w:rPr>
      </w:pPr>
    </w:p>
    <w:p w14:paraId="60D27B53" w14:textId="286BB20F" w:rsidR="007E76D2" w:rsidRPr="00364545" w:rsidRDefault="007E76D2" w:rsidP="00E524AF">
      <w:pPr>
        <w:pStyle w:val="Titre3Niveau3"/>
      </w:pPr>
      <w:bookmarkStart w:id="741" w:name="_Toc138341900"/>
      <w:r w:rsidRPr="00364545">
        <w:t>Participation in International Physical -Chemical Measuring Networks (GAW, EMEP)</w:t>
      </w:r>
      <w:bookmarkEnd w:id="741"/>
    </w:p>
    <w:p w14:paraId="05D20BE1" w14:textId="77777777" w:rsidR="007E76D2" w:rsidRPr="00364545" w:rsidRDefault="007E76D2" w:rsidP="007E76D2">
      <w:pPr>
        <w:rPr>
          <w:color w:val="000000"/>
          <w:szCs w:val="22"/>
        </w:rPr>
      </w:pPr>
      <w:r w:rsidRPr="00364545">
        <w:rPr>
          <w:i/>
          <w:color w:val="000000"/>
        </w:rPr>
        <w:t xml:space="preserve">Several French observation stations take part n the VAG network </w:t>
      </w:r>
      <w:r w:rsidRPr="00364545">
        <w:rPr>
          <w:color w:val="000000"/>
        </w:rPr>
        <w:t xml:space="preserve">or GAW in English (Global Atmosphere Watch) which concerns physical-chemical measurements of the atmosphere and was set up more than twenty-five years ago with the aim of improving scientific knowledge of the increasing influence of human activities on the composition of the atmosphere. Measurements involve aerosols, greenhouse gases, certain reactive gases, ozone, UV radiation, and the chemistry of precipitation (atmospheric deposits). </w:t>
      </w:r>
    </w:p>
    <w:p w14:paraId="661E595A" w14:textId="77777777" w:rsidR="007E76D2" w:rsidRPr="00364545" w:rsidRDefault="007E76D2" w:rsidP="007E76D2">
      <w:pPr>
        <w:rPr>
          <w:szCs w:val="22"/>
        </w:rPr>
      </w:pPr>
    </w:p>
    <w:p w14:paraId="306E34F1" w14:textId="65B40A22" w:rsidR="007E76D2" w:rsidRPr="00364545" w:rsidRDefault="007E76D2" w:rsidP="007E76D2">
      <w:pPr>
        <w:rPr>
          <w:i/>
          <w:color w:val="000000"/>
          <w:szCs w:val="22"/>
        </w:rPr>
      </w:pPr>
      <w:r w:rsidRPr="00364545">
        <w:rPr>
          <w:i/>
          <w:color w:val="000000"/>
        </w:rPr>
        <w:t>The MERA</w:t>
      </w:r>
      <w:r w:rsidRPr="00364545">
        <w:rPr>
          <w:color w:val="000000"/>
        </w:rPr>
        <w:t xml:space="preserve"> network (Measurement of Atmospheric Precipitation) is the French component of the European body </w:t>
      </w:r>
      <w:hyperlink r:id="rId135" w:anchor="_blank" w:history="1">
        <w:r w:rsidRPr="00364545">
          <w:rPr>
            <w:rStyle w:val="Hyperlink"/>
            <w:color w:val="000000"/>
          </w:rPr>
          <w:t>EMEP</w:t>
        </w:r>
      </w:hyperlink>
      <w:r w:rsidRPr="00364545">
        <w:rPr>
          <w:color w:val="000000"/>
        </w:rPr>
        <w:t xml:space="preserve"> (European Monitoring and Evaluation Programme) for long-term monitoring of long-distance air pollution in the context of the Geneva Convention on Long-distance Cross-border Pollution (CLRTAP). </w:t>
      </w:r>
    </w:p>
    <w:p w14:paraId="5B3D9B7E" w14:textId="7251A246" w:rsidR="002B29B0" w:rsidRPr="00364545" w:rsidRDefault="002B29B0" w:rsidP="003F57EA">
      <w:pPr>
        <w:pStyle w:val="Titre3Niveau3"/>
        <w:rPr>
          <w:i/>
        </w:rPr>
      </w:pPr>
      <w:bookmarkStart w:id="742" w:name="_Toc138341901"/>
      <w:r w:rsidRPr="00364545">
        <w:t>Météo France Observation Systems</w:t>
      </w:r>
      <w:bookmarkEnd w:id="742"/>
    </w:p>
    <w:p w14:paraId="6583078A" w14:textId="51C8AC39" w:rsidR="002B29B0" w:rsidRPr="00364545" w:rsidRDefault="002B29B0" w:rsidP="002B29B0">
      <w:pPr>
        <w:rPr>
          <w:rFonts w:eastAsia="Symbol"/>
          <w:color w:val="000000"/>
          <w:szCs w:val="22"/>
        </w:rPr>
      </w:pPr>
      <w:r w:rsidRPr="00364545">
        <w:rPr>
          <w:color w:val="000000"/>
        </w:rPr>
        <w:t>Radio Sounding Météo France has a radio sounding network made up, at 31st December 2022, of 5 stations in mainland France, 9 stations in French Overseas Territories and one station in Terre Adelie in the Antarctic. In the context of French participation in Eumetnet’s E-ASAP programme, Météo France also has fitted trading ships that navigate between Le Havre and the West Indies with radio sounding systems. Two balloon releases take place each day.</w:t>
      </w:r>
    </w:p>
    <w:p w14:paraId="6EC52002" w14:textId="77777777" w:rsidR="002B29B0" w:rsidRPr="00364545" w:rsidRDefault="002B29B0" w:rsidP="002B29B0">
      <w:pPr>
        <w:rPr>
          <w:color w:val="000000"/>
          <w:szCs w:val="22"/>
        </w:rPr>
      </w:pPr>
    </w:p>
    <w:p w14:paraId="1B69D5A1" w14:textId="77777777" w:rsidR="002B29B0" w:rsidRPr="00364545" w:rsidRDefault="002B29B0" w:rsidP="002B29B0">
      <w:pPr>
        <w:rPr>
          <w:color w:val="000000"/>
          <w:szCs w:val="22"/>
        </w:rPr>
      </w:pPr>
      <w:r w:rsidRPr="00364545">
        <w:rPr>
          <w:i/>
          <w:iCs/>
          <w:color w:val="000000"/>
        </w:rPr>
        <w:t>High Mountain Measurements</w:t>
      </w:r>
      <w:r w:rsidRPr="00364545">
        <w:rPr>
          <w:color w:val="000000"/>
        </w:rPr>
        <w:t xml:space="preserve"> NIVOSE is the name of Météo France’s network of automatic weather stations in the high mountains. The stations in this network were created to enable meteorologists and the public in general to access meteorological data in real time concerning difficult to access mountain locations. The network includes 22 stations and covers several large mountain ranges in France. Alps (15 stations), Pyrenees (5 stations) and Corsica (2 stations).</w:t>
      </w:r>
    </w:p>
    <w:p w14:paraId="4635405A" w14:textId="77777777" w:rsidR="002B29B0" w:rsidRPr="00364545" w:rsidRDefault="002B29B0" w:rsidP="002B29B0">
      <w:pPr>
        <w:ind w:left="1276" w:hanging="283"/>
        <w:rPr>
          <w:rFonts w:eastAsia="Symbol"/>
          <w:color w:val="000000"/>
          <w:szCs w:val="22"/>
        </w:rPr>
      </w:pPr>
    </w:p>
    <w:p w14:paraId="03F2A5C0" w14:textId="77777777" w:rsidR="002B29B0" w:rsidRPr="00364545" w:rsidRDefault="002B29B0" w:rsidP="002B29B0">
      <w:pPr>
        <w:rPr>
          <w:rFonts w:eastAsia="Symbol"/>
          <w:color w:val="000000"/>
          <w:szCs w:val="22"/>
        </w:rPr>
      </w:pPr>
      <w:r w:rsidRPr="00364545">
        <w:rPr>
          <w:i/>
          <w:iCs/>
          <w:color w:val="000000"/>
        </w:rPr>
        <w:t>Airborne Measurements</w:t>
      </w:r>
      <w:r w:rsidRPr="00364545">
        <w:rPr>
          <w:color w:val="000000"/>
        </w:rPr>
        <w:t xml:space="preserve"> AMDAR (Aircraft Meteorological Data Relay)</w:t>
      </w:r>
      <w:r w:rsidRPr="00364545">
        <w:rPr>
          <w:i/>
          <w:color w:val="000000"/>
        </w:rPr>
        <w:t xml:space="preserve"> </w:t>
      </w:r>
      <w:r w:rsidRPr="00364545">
        <w:rPr>
          <w:color w:val="000000"/>
        </w:rPr>
        <w:t>To enrich data on thestate of the atmosphere at altitude, since 2001, the association of European weather services (Eumetnet) has performed for Europe, within the Amdar project launched in 1995 by the OMM, the gathering and checking of data from volunteering companies. </w:t>
      </w:r>
    </w:p>
    <w:p w14:paraId="0ECD5D31" w14:textId="77777777" w:rsidR="002B29B0" w:rsidRPr="00364545" w:rsidRDefault="002B29B0" w:rsidP="002B29B0">
      <w:pPr>
        <w:ind w:left="1276" w:hanging="283"/>
        <w:rPr>
          <w:rFonts w:eastAsia="Symbol"/>
          <w:color w:val="000000"/>
          <w:szCs w:val="22"/>
        </w:rPr>
      </w:pPr>
    </w:p>
    <w:p w14:paraId="1C91F9F2" w14:textId="5332AB09" w:rsidR="007E76D2" w:rsidRPr="00364545" w:rsidRDefault="007E76D2" w:rsidP="002B29B0">
      <w:pPr>
        <w:rPr>
          <w:rFonts w:eastAsia="Symbol"/>
          <w:i/>
          <w:color w:val="000000"/>
          <w:szCs w:val="22"/>
        </w:rPr>
      </w:pPr>
      <w:r w:rsidRPr="00364545">
        <w:rPr>
          <w:color w:val="000000"/>
        </w:rPr>
        <w:t xml:space="preserve">. </w:t>
      </w:r>
    </w:p>
    <w:p w14:paraId="3E7C21E9" w14:textId="5D979B0D" w:rsidR="007E76D2" w:rsidRPr="00364545" w:rsidRDefault="007E76D2" w:rsidP="00E524AF">
      <w:pPr>
        <w:pStyle w:val="Titre3Niveau3"/>
      </w:pPr>
      <w:bookmarkStart w:id="743" w:name="_Toc138341902"/>
      <w:r w:rsidRPr="00364545">
        <w:t>National Observation Services in the Domain of the Oceans</w:t>
      </w:r>
      <w:bookmarkEnd w:id="743"/>
    </w:p>
    <w:p w14:paraId="3B2DB57F" w14:textId="77777777" w:rsidR="007E76D2" w:rsidRPr="00364545" w:rsidRDefault="007E76D2" w:rsidP="007E76D2">
      <w:pPr>
        <w:rPr>
          <w:rFonts w:eastAsia="Symbol"/>
          <w:color w:val="000000"/>
          <w:szCs w:val="22"/>
        </w:rPr>
      </w:pPr>
      <w:r w:rsidRPr="00364545">
        <w:rPr>
          <w:color w:val="000000"/>
        </w:rPr>
        <w:t>France contributes to the GOOS system (Global Ocean Observation System) whose implementation is coordinated by the Joint Commission OMM-COI for Marine Meteorology and Oceanography (JCOMM). This contribution includes the following items. an oceanographic fleet, voluntary observation ships (VOS) and occasional observation vessels (SOOP), tide gauges, floating and anchored weather buoys, sub-surface floats (ARGO) and a shore and coastline infrastructure.</w:t>
      </w:r>
    </w:p>
    <w:p w14:paraId="701BD4B9" w14:textId="33950BFF" w:rsidR="007E76D2" w:rsidRPr="00364545" w:rsidRDefault="007E76D2" w:rsidP="008E7350">
      <w:pPr>
        <w:rPr>
          <w:szCs w:val="22"/>
        </w:rPr>
      </w:pPr>
      <w:r w:rsidRPr="00364545">
        <w:t>Fifteen national observation services (SNO) qualified by the Specialist Ocean Atmosphere Commission enable the ocean to be observed. Some of them represent the French contribution to European infrastructures or international networks.</w:t>
      </w:r>
    </w:p>
    <w:p w14:paraId="76BCC294" w14:textId="77777777" w:rsidR="007E76D2" w:rsidRPr="00364545" w:rsidRDefault="007E76D2" w:rsidP="007E76D2">
      <w:pPr>
        <w:rPr>
          <w:rFonts w:eastAsia="Symbol"/>
          <w:color w:val="000000"/>
          <w:szCs w:val="22"/>
        </w:rPr>
      </w:pPr>
    </w:p>
    <w:p w14:paraId="7F2D53D8" w14:textId="797A4D00" w:rsidR="007E76D2" w:rsidRPr="00364545" w:rsidRDefault="007E76D2" w:rsidP="00E524AF">
      <w:pPr>
        <w:pStyle w:val="titreencadre"/>
        <w:rPr>
          <w:rFonts w:eastAsia="Symbol"/>
        </w:rPr>
      </w:pPr>
      <w:r w:rsidRPr="00364545">
        <w:t>Global In-situ Ocean Observation Network (ARGO, Euro-ARGO)</w:t>
      </w:r>
    </w:p>
    <w:p w14:paraId="527083B3" w14:textId="4586A445" w:rsidR="007E76D2" w:rsidRPr="00364545" w:rsidRDefault="007E76D2" w:rsidP="007E76D2">
      <w:pPr>
        <w:rPr>
          <w:rFonts w:eastAsia="Symbol"/>
          <w:color w:val="000000"/>
          <w:szCs w:val="22"/>
        </w:rPr>
      </w:pPr>
      <w:r w:rsidRPr="00364545">
        <w:rPr>
          <w:color w:val="000000"/>
        </w:rPr>
        <w:t xml:space="preserve">ARGO-FR is the French contribution to the global ARGO network that </w:t>
      </w:r>
      <w:r w:rsidRPr="00364545">
        <w:rPr>
          <w:b/>
        </w:rPr>
        <w:t xml:space="preserve">aims to build and maintain a world-wide ocean observation network in real time of in situ measurements integrated with other Earth observation systems. </w:t>
      </w:r>
      <w:r w:rsidRPr="00364545">
        <w:t>The Argo programme has the intention of keeping 4700 autonomous floats in operation. Out of those 4700 floats, 1000 floats will be fitted with bio-geo-chemical sensors (BGC floats) and 1200 will be capable of going beyond depths of 2000 m (deep floats). ARGO-FR is also the French contribution to the Euro-Argo European research infrastructure.</w:t>
      </w:r>
    </w:p>
    <w:p w14:paraId="41794D75" w14:textId="77777777" w:rsidR="007E76D2" w:rsidRPr="00364545" w:rsidRDefault="007E76D2" w:rsidP="007E76D2">
      <w:pPr>
        <w:ind w:left="567"/>
        <w:rPr>
          <w:rFonts w:eastAsia="Symbol"/>
          <w:color w:val="000000"/>
          <w:szCs w:val="22"/>
        </w:rPr>
      </w:pPr>
    </w:p>
    <w:p w14:paraId="659D5CC4" w14:textId="77777777" w:rsidR="007E76D2" w:rsidRPr="00364545" w:rsidRDefault="007E76D2" w:rsidP="00E524AF">
      <w:pPr>
        <w:pStyle w:val="titreencadre"/>
      </w:pPr>
      <w:r w:rsidRPr="00364545">
        <w:t xml:space="preserve">OISO (Indian Ocean Observation Service) </w:t>
      </w:r>
    </w:p>
    <w:p w14:paraId="58B318E4" w14:textId="08843BAD" w:rsidR="007E76D2" w:rsidRPr="00364545" w:rsidRDefault="007E76D2" w:rsidP="008E7350">
      <w:pPr>
        <w:rPr>
          <w:color w:val="000000"/>
          <w:szCs w:val="22"/>
        </w:rPr>
      </w:pPr>
      <w:r w:rsidRPr="00364545">
        <w:rPr>
          <w:color w:val="000000"/>
        </w:rPr>
        <w:t>To intensify the network in key regions, a French network has been developed in the Indian Ocean. Since 2003 it has partnered the MINERVE (Measurements at the INterface of WatEr-aiR of Variability in Co</w:t>
      </w:r>
      <w:r w:rsidRPr="00364545">
        <w:rPr>
          <w:color w:val="000000"/>
          <w:vertAlign w:val="subscript"/>
        </w:rPr>
        <w:t>2</w:t>
      </w:r>
      <w:r w:rsidRPr="00364545">
        <w:rPr>
          <w:color w:val="000000"/>
        </w:rPr>
        <w:t xml:space="preserve"> Exchanges) campaigns, completing in this way the international measuring network for oceanic </w:t>
      </w:r>
      <w:r w:rsidRPr="00364545">
        <w:t>CO</w:t>
      </w:r>
      <w:r w:rsidRPr="00364545">
        <w:rPr>
          <w:vertAlign w:val="subscript"/>
        </w:rPr>
        <w:t>2</w:t>
      </w:r>
      <w:r w:rsidRPr="00364545">
        <w:rPr>
          <w:color w:val="000000"/>
        </w:rPr>
        <w:t xml:space="preserve"> in a little documented sector. The MINERVE programme relies on transit enhancement campaigns on board the vessel Astrolabe. </w:t>
      </w:r>
      <w:r w:rsidRPr="00364545">
        <w:t>It enable observing and understanding seasonal variations in partial Co</w:t>
      </w:r>
      <w:r w:rsidRPr="00364545">
        <w:rPr>
          <w:vertAlign w:val="subscript"/>
        </w:rPr>
        <w:t>2</w:t>
      </w:r>
      <w:r w:rsidRPr="00364545">
        <w:t xml:space="preserve"> pressure and Total Inorganic Carbon in surface waters associated with in-situ hydrological and bio-geo-chemical measurements using the aid of satellite data (temperature and sea colour).</w:t>
      </w:r>
      <w:r w:rsidRPr="00364545">
        <w:rPr>
          <w:color w:val="000000"/>
        </w:rPr>
        <w:t xml:space="preserve"> </w:t>
      </w:r>
    </w:p>
    <w:p w14:paraId="69CEB82B" w14:textId="77777777" w:rsidR="007E76D2" w:rsidRPr="00364545" w:rsidRDefault="007E76D2" w:rsidP="007E76D2">
      <w:pPr>
        <w:rPr>
          <w:rFonts w:eastAsia="Symbol"/>
          <w:bCs/>
          <w:i/>
          <w:iCs/>
          <w:color w:val="000000"/>
          <w:szCs w:val="22"/>
        </w:rPr>
      </w:pPr>
    </w:p>
    <w:p w14:paraId="4C851CB2" w14:textId="416020D6" w:rsidR="007E76D2" w:rsidRPr="00364545" w:rsidRDefault="007E76D2" w:rsidP="00E524AF">
      <w:pPr>
        <w:pStyle w:val="titreencadre"/>
        <w:rPr>
          <w:rFonts w:eastAsia="Symbol"/>
        </w:rPr>
      </w:pPr>
      <w:r w:rsidRPr="00364545">
        <w:t>Shore and Coastal Infrastructure (ILICO)</w:t>
      </w:r>
    </w:p>
    <w:p w14:paraId="29AAB6C7" w14:textId="77777777" w:rsidR="007E76D2" w:rsidRPr="00364545" w:rsidRDefault="007E76D2" w:rsidP="007E76D2">
      <w:pPr>
        <w:rPr>
          <w:rFonts w:eastAsia="Symbol"/>
          <w:color w:val="000000"/>
          <w:szCs w:val="22"/>
        </w:rPr>
      </w:pPr>
      <w:r w:rsidRPr="00364545">
        <w:t>The ILICO national research infrastructure has the goal of observing and understanding overall shore and coastal ecosystems. ILICO combines observation resources the enable long-term measurement of essential parameters of change in coastal and shoreline systems, collecting samples and ensuring that data is made available. ILICO ensures there is a scientific lead for the scientific community involved in the study of this environment. This infrastructure brings together 9 national observation services.</w:t>
      </w:r>
    </w:p>
    <w:p w14:paraId="1532A92B" w14:textId="77777777" w:rsidR="007E76D2" w:rsidRPr="00364545" w:rsidRDefault="007E76D2" w:rsidP="007E76D2">
      <w:pPr>
        <w:rPr>
          <w:rFonts w:eastAsia="Symbol"/>
          <w:color w:val="000000"/>
          <w:szCs w:val="22"/>
        </w:rPr>
      </w:pPr>
    </w:p>
    <w:p w14:paraId="6A485BAD" w14:textId="6E09ACAC" w:rsidR="007E76D2" w:rsidRPr="00364545" w:rsidRDefault="007E76D2" w:rsidP="00E524AF">
      <w:pPr>
        <w:pStyle w:val="titreencadre"/>
        <w:rPr>
          <w:rFonts w:eastAsia="Symbol"/>
        </w:rPr>
      </w:pPr>
      <w:r w:rsidRPr="00364545">
        <w:t>French Oceanographic Fleet Research Infrastructure (FOF)</w:t>
      </w:r>
    </w:p>
    <w:p w14:paraId="7EECD818" w14:textId="3312078F" w:rsidR="007E76D2" w:rsidRPr="00364545" w:rsidRDefault="007E76D2" w:rsidP="007E76D2">
      <w:pPr>
        <w:rPr>
          <w:rFonts w:eastAsia="Symbol"/>
          <w:color w:val="000000"/>
          <w:szCs w:val="22"/>
        </w:rPr>
      </w:pPr>
      <w:r w:rsidRPr="00364545">
        <w:rPr>
          <w:color w:val="000000"/>
        </w:rPr>
        <w:t>The French oceanographic fleet, operated by IFREMER combines the national research ships that enable scientific research to be performed in marine coastal and deep-sea surroundings on the universe and the environment in several fields: geo-sciences, physical and biological oceanography, bio-geo-chemistry of the oceans, paleo-climatology and biodiversity.</w:t>
      </w:r>
    </w:p>
    <w:p w14:paraId="31D353CB" w14:textId="54080084" w:rsidR="007E76D2" w:rsidRPr="00364545" w:rsidRDefault="007E76D2" w:rsidP="00E524AF">
      <w:pPr>
        <w:pStyle w:val="Titre3Niveau3"/>
      </w:pPr>
      <w:bookmarkStart w:id="744" w:name="_Toc138341903"/>
      <w:r w:rsidRPr="00364545">
        <w:t>Climate Observation in Space</w:t>
      </w:r>
      <w:bookmarkEnd w:id="744"/>
    </w:p>
    <w:p w14:paraId="134256DC" w14:textId="77777777" w:rsidR="007E76D2" w:rsidRPr="00364545" w:rsidRDefault="007E76D2" w:rsidP="007E76D2">
      <w:pPr>
        <w:rPr>
          <w:rFonts w:eastAsia="Symbol"/>
          <w:color w:val="000000"/>
          <w:szCs w:val="22"/>
        </w:rPr>
      </w:pPr>
      <w:r w:rsidRPr="00364545">
        <w:rPr>
          <w:color w:val="000000"/>
        </w:rPr>
        <w:t xml:space="preserve">Climate is one of the four main objectives of French space policy. </w:t>
      </w:r>
    </w:p>
    <w:p w14:paraId="730AEDAA" w14:textId="77777777" w:rsidR="007E76D2" w:rsidRPr="00364545" w:rsidRDefault="007E76D2" w:rsidP="007E76D2">
      <w:pPr>
        <w:rPr>
          <w:rFonts w:eastAsia="Symbol"/>
          <w:color w:val="000000"/>
          <w:szCs w:val="22"/>
        </w:rPr>
      </w:pPr>
      <w:r w:rsidRPr="00364545">
        <w:rPr>
          <w:color w:val="000000"/>
        </w:rPr>
        <w:t>France funds (via PIA in particular) and develops several scientific missions intended for observing the climate. MicroCarb is a mission initiated by CNES in partnership with the United Kingdom Space Agency (UKSA), which has the aim of charting the sources and sinks of carbon dioxide at a planetary level. SWOT is a joint mission between CNES and NASA in cooperation the Canadian (CSA) and British (UKSA) space agencies. It is devoted to the measurement of water levels in lakes and water courses, river flow rates and very precise determination of ocean dynamics (launched in 2022). CFOSAT is a mission developed by CNES and the Chinese space agency CNSA devoted to studying the characteristics of wind and waves on the surface of oceans. It was launched in 2018.</w:t>
      </w:r>
    </w:p>
    <w:p w14:paraId="054C985C" w14:textId="071D8205" w:rsidR="007E76D2" w:rsidRPr="00364545" w:rsidRDefault="007E76D2" w:rsidP="007E76D2">
      <w:pPr>
        <w:rPr>
          <w:rFonts w:eastAsia="Symbol"/>
          <w:color w:val="000000"/>
          <w:szCs w:val="22"/>
        </w:rPr>
      </w:pPr>
      <w:r w:rsidRPr="00364545">
        <w:rPr>
          <w:color w:val="000000"/>
        </w:rPr>
        <w:t xml:space="preserve">France has participated greatly in EUMETSAT operational space programmes and those of the European Union, including the Copernicus Earth observation programme. </w:t>
      </w:r>
      <w:r w:rsidRPr="00364545">
        <w:t>The programme ensures a systematic observation and operational monitoring of climate, thanks to missions such as Sentinel 6 (reference altimetry of the oceans operational since 2021) or Co</w:t>
      </w:r>
      <w:r w:rsidRPr="00364545">
        <w:rPr>
          <w:vertAlign w:val="subscript"/>
        </w:rPr>
        <w:t>2</w:t>
      </w:r>
      <w:r w:rsidRPr="00364545">
        <w:t>M (future mission devoted to monitoring human GHG emissions to be launched at the start of 2026).</w:t>
      </w:r>
      <w:r w:rsidRPr="00364545">
        <w:rPr>
          <w:color w:val="000000"/>
        </w:rPr>
        <w:t xml:space="preserve"> French actors, especially Météo-France, contribute greatly to providing climate services to this programme, including those of the Copernicus Climate Change Service that has been operational since 2018. </w:t>
      </w:r>
    </w:p>
    <w:p w14:paraId="667DAFCD" w14:textId="683F3C06" w:rsidR="007E76D2" w:rsidRPr="00364545" w:rsidRDefault="007E76D2" w:rsidP="007E76D2">
      <w:pPr>
        <w:rPr>
          <w:rFonts w:eastAsia="Symbol"/>
          <w:color w:val="000000"/>
          <w:szCs w:val="22"/>
        </w:rPr>
      </w:pPr>
      <w:r w:rsidRPr="00364545">
        <w:rPr>
          <w:color w:val="000000"/>
        </w:rPr>
        <w:t>France also makes a major contribution to programmes of the European Space Agency (ESA) in the field of Earth and climate observation, amongst which is Future EO (preparing and developing future research missions); Copernicus SC (developing operational missions for Copernicus); AEOLUS-2 (wind profile measuring mission) or Climate Space (developments to produce Essential Climate Variables).</w:t>
      </w:r>
    </w:p>
    <w:p w14:paraId="7ECE3604" w14:textId="77777777" w:rsidR="007E76D2" w:rsidRPr="00364545" w:rsidRDefault="007E76D2" w:rsidP="007E76D2">
      <w:pPr>
        <w:rPr>
          <w:rFonts w:eastAsia="Symbol"/>
          <w:color w:val="000000"/>
          <w:szCs w:val="22"/>
          <w:lang w:eastAsia="ar-SA"/>
        </w:rPr>
      </w:pPr>
    </w:p>
    <w:p w14:paraId="47FB42E5" w14:textId="77777777" w:rsidR="007E76D2" w:rsidRPr="00364545" w:rsidRDefault="007E76D2" w:rsidP="007E76D2">
      <w:pPr>
        <w:rPr>
          <w:rFonts w:eastAsia="Symbol"/>
          <w:color w:val="008000"/>
          <w:szCs w:val="22"/>
        </w:rPr>
      </w:pPr>
    </w:p>
    <w:p w14:paraId="0D422662" w14:textId="77777777" w:rsidR="007E76D2" w:rsidRPr="00364545" w:rsidRDefault="007E76D2" w:rsidP="007E76D2">
      <w:pPr>
        <w:jc w:val="right"/>
      </w:pPr>
    </w:p>
    <w:p w14:paraId="4A9E2ACE" w14:textId="77777777" w:rsidR="0014208C" w:rsidRPr="00364545" w:rsidRDefault="0014208C" w:rsidP="0014208C"/>
    <w:bookmarkEnd w:id="732"/>
    <w:p w14:paraId="09077D01" w14:textId="77777777" w:rsidR="006D5177" w:rsidRPr="00364545" w:rsidRDefault="006D5177">
      <w:pPr>
        <w:spacing w:line="240" w:lineRule="atLeast"/>
        <w:jc w:val="left"/>
        <w:rPr>
          <w:rFonts w:eastAsiaTheme="majorEastAsia" w:cstheme="majorBidi"/>
          <w:bCs/>
          <w:spacing w:val="-10"/>
          <w:kern w:val="28"/>
          <w:sz w:val="48"/>
          <w:szCs w:val="56"/>
        </w:rPr>
      </w:pPr>
      <w:r w:rsidRPr="00364545">
        <w:br w:type="page"/>
      </w:r>
    </w:p>
    <w:p w14:paraId="4019C0FD" w14:textId="475CD522" w:rsidR="00E4163C" w:rsidRPr="00364545" w:rsidRDefault="0051771F" w:rsidP="00E4163C">
      <w:pPr>
        <w:pStyle w:val="Titre1Niveau1"/>
        <w:ind w:left="0" w:right="27"/>
      </w:pPr>
      <w:bookmarkStart w:id="745" w:name="_Toc138341904"/>
      <w:bookmarkStart w:id="746" w:name="ChapitreIX"/>
      <w:r w:rsidRPr="00364545">
        <w:t>Chapter IX - Education, Training and Raising Public Awareness</w:t>
      </w:r>
      <w:bookmarkEnd w:id="745"/>
    </w:p>
    <w:p w14:paraId="4EF8272E" w14:textId="77777777" w:rsidR="001E2B1E" w:rsidRPr="00364545" w:rsidRDefault="001E2B1E" w:rsidP="003F57EA">
      <w:pPr>
        <w:pStyle w:val="Titre2Niveau2"/>
        <w:numPr>
          <w:ilvl w:val="0"/>
          <w:numId w:val="87"/>
        </w:numPr>
      </w:pPr>
      <w:bookmarkStart w:id="747" w:name="_Toc138341905"/>
      <w:bookmarkEnd w:id="746"/>
      <w:r w:rsidRPr="00364545">
        <w:t>Status of Opinions</w:t>
      </w:r>
      <w:bookmarkEnd w:id="747"/>
    </w:p>
    <w:p w14:paraId="2FD8A999" w14:textId="77777777" w:rsidR="001E2B1E" w:rsidRPr="00364545" w:rsidRDefault="001E2B1E" w:rsidP="003F57EA">
      <w:pPr>
        <w:pStyle w:val="Titre3Niveau3"/>
      </w:pPr>
      <w:bookmarkStart w:id="748" w:name="_Toc138341906"/>
      <w:r w:rsidRPr="00364545">
        <w:t>A major increase in awareness of French people about climate change.</w:t>
      </w:r>
      <w:bookmarkEnd w:id="748"/>
    </w:p>
    <w:p w14:paraId="29A66275" w14:textId="7EAD9513" w:rsidR="00865D8C" w:rsidRPr="00364545" w:rsidRDefault="00865D8C" w:rsidP="00774E19">
      <w:r w:rsidRPr="00364545">
        <w:t xml:space="preserve">The level of awareness of the French population about climate change continues to rise, continuing at rates observed since 2008. </w:t>
      </w:r>
    </w:p>
    <w:p w14:paraId="6F1BF3F3" w14:textId="77777777" w:rsidR="00865D8C" w:rsidRPr="00364545" w:rsidRDefault="00865D8C" w:rsidP="00774E19">
      <w:pPr>
        <w:rPr>
          <w:rFonts w:cstheme="minorHAnsi"/>
        </w:rPr>
      </w:pPr>
      <w:r w:rsidRPr="00364545">
        <w:t>Accordingly, between 2010 and 2021, global warming has come to the fore as the main environmental concern of the French (+22 points). This topic is now clearly ahead of natural catastrophes and air pollution. Whilst concerns about pollution of aquatic environments and the increase of household waste have had a tendency to decline over the past decade, concerns about biodiversity had grown instead between 2016 and 2018.</w:t>
      </w:r>
    </w:p>
    <w:p w14:paraId="7AF4525C" w14:textId="124961C8" w:rsidR="00865D8C" w:rsidRPr="00364545" w:rsidRDefault="00865D8C" w:rsidP="00865D8C">
      <w:pPr>
        <w:jc w:val="center"/>
        <w:rPr>
          <w:rFonts w:ascii="Times New Roman" w:hAnsi="Times New Roman"/>
          <w:sz w:val="24"/>
        </w:rPr>
      </w:pPr>
      <w:r w:rsidRPr="00364545">
        <w:rPr>
          <w:rFonts w:ascii="Times New Roman" w:hAnsi="Times New Roman"/>
          <w:noProof/>
          <w:sz w:val="24"/>
          <w:lang w:val="fr-FR"/>
        </w:rPr>
        <w:drawing>
          <wp:inline distT="0" distB="0" distL="0" distR="0" wp14:anchorId="0FBF81FF" wp14:editId="40EAD81F">
            <wp:extent cx="5438775" cy="3227007"/>
            <wp:effectExtent l="0" t="0" r="0" b="0"/>
            <wp:docPr id="28714" name="Image 28714" descr="https://www.statistiques.developpement-durable.gouv.fr/sites/default/files/2022-12/preoccupation_environnemental_2022_001-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tatistiques.developpement-durable.gouv.fr/sites/default/files/2022-12/preoccupation_environnemental_2022_001-min.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61621" cy="3240562"/>
                    </a:xfrm>
                    <a:prstGeom prst="rect">
                      <a:avLst/>
                    </a:prstGeom>
                    <a:noFill/>
                    <a:ln>
                      <a:noFill/>
                    </a:ln>
                  </pic:spPr>
                </pic:pic>
              </a:graphicData>
            </a:graphic>
          </wp:inline>
        </w:drawing>
      </w:r>
    </w:p>
    <w:p w14:paraId="15C8FBED" w14:textId="77777777" w:rsidR="00865D8C" w:rsidRPr="00364545" w:rsidRDefault="00865D8C" w:rsidP="00865D8C">
      <w:pPr>
        <w:autoSpaceDE w:val="0"/>
        <w:autoSpaceDN w:val="0"/>
        <w:adjustRightInd w:val="0"/>
        <w:rPr>
          <w:rFonts w:ascii="Times New Roman" w:hAnsi="Times New Roman"/>
          <w:i/>
          <w:iCs/>
          <w:sz w:val="18"/>
          <w:szCs w:val="18"/>
        </w:rPr>
      </w:pPr>
      <w:r w:rsidRPr="00364545">
        <w:rPr>
          <w:rFonts w:ascii="Times New Roman" w:hAnsi="Times New Roman"/>
          <w:b/>
          <w:bCs/>
          <w:i/>
          <w:sz w:val="18"/>
        </w:rPr>
        <w:t>Note:</w:t>
      </w:r>
      <w:r w:rsidRPr="00364545">
        <w:rPr>
          <w:rFonts w:ascii="Times New Roman" w:hAnsi="Times New Roman"/>
          <w:i/>
          <w:sz w:val="18"/>
        </w:rPr>
        <w:t xml:space="preserve"> The question asked was: “Out of the following problems connected to environmental deterioration, which are the ones that worry you most” The graph only shows respondents’ first choice.</w:t>
      </w:r>
      <w:r w:rsidRPr="00364545">
        <w:rPr>
          <w:rFonts w:ascii="Times New Roman" w:hAnsi="Times New Roman"/>
          <w:i/>
          <w:sz w:val="18"/>
        </w:rPr>
        <w:br/>
      </w:r>
      <w:r w:rsidRPr="00364545">
        <w:rPr>
          <w:rFonts w:ascii="Times New Roman" w:hAnsi="Times New Roman"/>
          <w:b/>
          <w:i/>
          <w:sz w:val="18"/>
        </w:rPr>
        <w:t xml:space="preserve">Area: </w:t>
      </w:r>
      <w:r w:rsidRPr="00364545">
        <w:rPr>
          <w:rFonts w:ascii="Times New Roman" w:hAnsi="Times New Roman"/>
          <w:i/>
          <w:sz w:val="18"/>
        </w:rPr>
        <w:t>Mainland France</w:t>
      </w:r>
    </w:p>
    <w:p w14:paraId="63BA21E6" w14:textId="55DBF2D9" w:rsidR="00865D8C" w:rsidRPr="00364545" w:rsidRDefault="00865D8C" w:rsidP="00865D8C">
      <w:pPr>
        <w:pStyle w:val="Caption"/>
      </w:pPr>
      <w:bookmarkStart w:id="749" w:name="_Toc123916492"/>
      <w:r w:rsidRPr="00364545">
        <w:t xml:space="preserve">Figure </w:t>
      </w:r>
      <w:r w:rsidR="003714FB">
        <w:fldChar w:fldCharType="begin"/>
      </w:r>
      <w:r w:rsidR="003714FB">
        <w:instrText xml:space="preserve"> SEQ Figure \* ARABIC </w:instrText>
      </w:r>
      <w:r w:rsidR="003714FB">
        <w:fldChar w:fldCharType="separate"/>
      </w:r>
      <w:r w:rsidR="009A2FAA">
        <w:rPr>
          <w:noProof/>
        </w:rPr>
        <w:t>81</w:t>
      </w:r>
      <w:r w:rsidR="003714FB">
        <w:rPr>
          <w:noProof/>
        </w:rPr>
        <w:fldChar w:fldCharType="end"/>
      </w:r>
      <w:r w:rsidRPr="00364545">
        <w:t>: Changes in Environmental Concerns for the French (in %)</w:t>
      </w:r>
      <w:bookmarkEnd w:id="749"/>
    </w:p>
    <w:p w14:paraId="3B530DE8" w14:textId="38618BA0" w:rsidR="00865D8C" w:rsidRPr="00364545" w:rsidRDefault="00865D8C" w:rsidP="00865D8C">
      <w:pPr>
        <w:pStyle w:val="Caption"/>
        <w:rPr>
          <w:rFonts w:ascii="Times New Roman" w:hAnsi="Times New Roman"/>
        </w:rPr>
      </w:pPr>
      <w:r w:rsidRPr="00364545">
        <w:rPr>
          <w:rFonts w:ascii="Times New Roman" w:hAnsi="Times New Roman"/>
          <w:b/>
        </w:rPr>
        <w:t xml:space="preserve">Source </w:t>
      </w:r>
      <w:r w:rsidRPr="00364545">
        <w:rPr>
          <w:rFonts w:ascii="Times New Roman" w:hAnsi="Times New Roman"/>
        </w:rPr>
        <w:t>: SDES, Environmental survey platform “Camme” perforemd by Insee in November 2021.</w:t>
      </w:r>
    </w:p>
    <w:p w14:paraId="11364D46" w14:textId="77777777" w:rsidR="00865D8C" w:rsidRPr="00364545" w:rsidRDefault="00865D8C" w:rsidP="00865D8C"/>
    <w:p w14:paraId="05E35526" w14:textId="01DDEDAA" w:rsidR="00865D8C" w:rsidRPr="00364545" w:rsidRDefault="00865D8C" w:rsidP="00865D8C">
      <w:r w:rsidRPr="00364545">
        <w:t xml:space="preserve">Since 2007, the Environment Ministry statistics department has been regularly questioning French people to monitor their perception of environmental hazards over the long term. In practise, these surveys ask about risk awareness, the survey experience, the way people get information, the way they see the future, and their opinions on risk prevention measures, etc… </w:t>
      </w:r>
      <w:r w:rsidRPr="004F2995">
        <w:rPr>
          <w:lang w:val="fr-FR"/>
        </w:rPr>
        <w:t>The two first surveys were made in 2007 and in 2013 (“</w:t>
      </w:r>
      <w:hyperlink r:id="rId137" w:history="1">
        <w:r w:rsidRPr="004F2995">
          <w:rPr>
            <w:rStyle w:val="Hyperlink"/>
            <w:rFonts w:asciiTheme="minorHAnsi" w:hAnsiTheme="minorHAnsi"/>
            <w:lang w:val="fr-FR"/>
          </w:rPr>
          <w:t>Le sentiment d’exposition aux risques environnementaux</w:t>
        </w:r>
      </w:hyperlink>
      <w:r w:rsidRPr="004F2995">
        <w:rPr>
          <w:lang w:val="fr-FR"/>
        </w:rPr>
        <w:t>“</w:t>
      </w:r>
      <w:r w:rsidRPr="004F2995">
        <w:rPr>
          <w:rStyle w:val="field-content"/>
          <w:rFonts w:asciiTheme="minorHAnsi" w:hAnsiTheme="minorHAnsi"/>
          <w:lang w:val="fr-FR"/>
        </w:rPr>
        <w:t>, October 2014</w:t>
      </w:r>
      <w:r w:rsidRPr="004F2995">
        <w:rPr>
          <w:rStyle w:val="field-content"/>
          <w:rFonts w:ascii="Calibri" w:hAnsi="Calibri"/>
          <w:lang w:val="fr-FR"/>
        </w:rPr>
        <w:t> </w:t>
      </w:r>
      <w:r w:rsidRPr="004F2995">
        <w:rPr>
          <w:rStyle w:val="field-content"/>
          <w:rFonts w:asciiTheme="minorHAnsi" w:hAnsiTheme="minorHAnsi"/>
          <w:lang w:val="fr-FR"/>
        </w:rPr>
        <w:t xml:space="preserve">; </w:t>
      </w:r>
      <w:r w:rsidRPr="004F2995">
        <w:rPr>
          <w:rStyle w:val="field-content"/>
          <w:lang w:val="fr-FR"/>
        </w:rPr>
        <w:t>"</w:t>
      </w:r>
      <w:hyperlink r:id="rId138" w:history="1">
        <w:r w:rsidRPr="004F2995">
          <w:rPr>
            <w:rStyle w:val="Hyperlink"/>
            <w:rFonts w:asciiTheme="minorHAnsi" w:hAnsiTheme="minorHAnsi"/>
            <w:lang w:val="fr-FR"/>
          </w:rPr>
          <w:t>Effets du changement climatique : des risques encore abstraits pour les Français</w:t>
        </w:r>
      </w:hyperlink>
      <w:r w:rsidRPr="004F2995">
        <w:rPr>
          <w:rStyle w:val="field-content"/>
          <w:lang w:val="fr-FR"/>
        </w:rPr>
        <w:t>”</w:t>
      </w:r>
      <w:r w:rsidRPr="004F2995">
        <w:rPr>
          <w:rStyle w:val="field-content"/>
          <w:rFonts w:asciiTheme="minorHAnsi" w:hAnsiTheme="minorHAnsi"/>
          <w:lang w:val="fr-FR"/>
        </w:rPr>
        <w:t>, octobre 2015)</w:t>
      </w:r>
      <w:r w:rsidRPr="004F2995">
        <w:rPr>
          <w:lang w:val="fr-FR"/>
        </w:rPr>
        <w:t xml:space="preserve">. </w:t>
      </w:r>
      <w:r w:rsidRPr="00364545">
        <w:t xml:space="preserve">In May 2022 a new issue was made by consulting a representative panel of 4,688 respondents residing in the mainland and in the overseas departements and regions. </w:t>
      </w:r>
    </w:p>
    <w:p w14:paraId="7D464D18" w14:textId="77777777" w:rsidR="00865D8C" w:rsidRPr="00364545" w:rsidRDefault="00865D8C" w:rsidP="00865D8C">
      <w:pPr>
        <w:autoSpaceDE w:val="0"/>
        <w:autoSpaceDN w:val="0"/>
        <w:adjustRightInd w:val="0"/>
        <w:rPr>
          <w:rFonts w:asciiTheme="minorHAnsi" w:hAnsiTheme="minorHAnsi" w:cs="Calibri"/>
        </w:rPr>
      </w:pPr>
    </w:p>
    <w:p w14:paraId="0D089E10" w14:textId="0055A521" w:rsidR="00865D8C" w:rsidRPr="00364545" w:rsidRDefault="00865D8C" w:rsidP="00865D8C">
      <w:pPr>
        <w:autoSpaceDE w:val="0"/>
        <w:autoSpaceDN w:val="0"/>
        <w:adjustRightInd w:val="0"/>
        <w:rPr>
          <w:rFonts w:asciiTheme="minorHAnsi" w:hAnsiTheme="minorHAnsi" w:cs="Calibri"/>
        </w:rPr>
      </w:pPr>
      <w:r w:rsidRPr="00364545">
        <w:t>The questionnaire for that survey each time included a section on “climate change”.</w:t>
      </w:r>
      <w:r w:rsidRPr="00364545">
        <w:rPr>
          <w:rFonts w:asciiTheme="minorHAnsi" w:hAnsiTheme="minorHAnsi"/>
        </w:rPr>
        <w:t xml:space="preserve"> In 2013 and in 2022 an </w:t>
      </w:r>
      <w:r w:rsidRPr="00364545">
        <w:rPr>
          <w:rFonts w:asciiTheme="minorHAnsi" w:hAnsiTheme="minorHAnsi"/>
          <w:b/>
          <w:bCs/>
        </w:rPr>
        <w:t>open question</w:t>
      </w:r>
      <w:r w:rsidRPr="00364545">
        <w:rPr>
          <w:rFonts w:asciiTheme="minorHAnsi" w:hAnsiTheme="minorHAnsi"/>
        </w:rPr>
        <w:t xml:space="preserve"> was asked of respondent persons: </w:t>
      </w:r>
      <w:r w:rsidRPr="00364545">
        <w:rPr>
          <w:rFonts w:asciiTheme="minorHAnsi" w:hAnsiTheme="minorHAnsi"/>
          <w:b/>
          <w:i/>
        </w:rPr>
        <w:t xml:space="preserve">What consequences could climate change have for you personally in the future? </w:t>
      </w:r>
      <w:r w:rsidRPr="00364545">
        <w:rPr>
          <w:rFonts w:asciiTheme="minorHAnsi" w:hAnsiTheme="minorHAnsi"/>
        </w:rPr>
        <w:t>No suggestions were made. Those surveyed answered spontaneously.</w:t>
      </w:r>
    </w:p>
    <w:p w14:paraId="1EA48788" w14:textId="46E28610" w:rsidR="00865D8C" w:rsidRPr="00364545" w:rsidRDefault="00865D8C" w:rsidP="00865D8C">
      <w:pPr>
        <w:autoSpaceDE w:val="0"/>
        <w:autoSpaceDN w:val="0"/>
        <w:adjustRightInd w:val="0"/>
        <w:rPr>
          <w:rFonts w:asciiTheme="minorHAnsi" w:hAnsiTheme="minorHAnsi" w:cs="Calibri"/>
        </w:rPr>
      </w:pPr>
      <w:r w:rsidRPr="00364545">
        <w:rPr>
          <w:rFonts w:asciiTheme="minorHAnsi" w:hAnsiTheme="minorHAnsi"/>
        </w:rPr>
        <w:t>It emerges from the initial analyses of that survey (“</w:t>
      </w:r>
      <w:hyperlink r:id="rId139" w:history="1">
        <w:r w:rsidRPr="00364545">
          <w:rPr>
            <w:rStyle w:val="Hyperlink"/>
            <w:rFonts w:asciiTheme="minorHAnsi" w:hAnsiTheme="minorHAnsi"/>
          </w:rPr>
          <w:t>Les Français face aux risques environnementaux : quelle prise de conscience en 2022 ?</w:t>
        </w:r>
      </w:hyperlink>
      <w:r w:rsidRPr="00364545">
        <w:rPr>
          <w:rStyle w:val="field-content"/>
          <w:rFonts w:ascii="Calibri" w:hAnsi="Calibri"/>
        </w:rPr>
        <w:t> </w:t>
      </w:r>
      <w:r w:rsidRPr="00364545">
        <w:rPr>
          <w:rStyle w:val="field-content"/>
        </w:rPr>
        <w:t>“</w:t>
      </w:r>
      <w:r w:rsidRPr="00364545">
        <w:rPr>
          <w:rStyle w:val="field-content"/>
          <w:rFonts w:asciiTheme="minorHAnsi" w:hAnsiTheme="minorHAnsi"/>
        </w:rPr>
        <w:t xml:space="preserve">, October 2022) </w:t>
      </w:r>
      <w:r w:rsidRPr="00364545">
        <w:t>that</w:t>
      </w:r>
      <w:r w:rsidRPr="00364545">
        <w:rPr>
          <w:rFonts w:asciiTheme="minorHAnsi" w:hAnsiTheme="minorHAnsi"/>
        </w:rPr>
        <w:t>:</w:t>
      </w:r>
    </w:p>
    <w:p w14:paraId="28F03D55" w14:textId="28BBDD68" w:rsidR="00865D8C" w:rsidRPr="00364545" w:rsidRDefault="00865D8C" w:rsidP="003F57EA">
      <w:pPr>
        <w:pStyle w:val="ListParagraph"/>
        <w:numPr>
          <w:ilvl w:val="0"/>
          <w:numId w:val="84"/>
        </w:numPr>
        <w:autoSpaceDE w:val="0"/>
        <w:autoSpaceDN w:val="0"/>
        <w:adjustRightInd w:val="0"/>
        <w:rPr>
          <w:rFonts w:asciiTheme="minorHAnsi" w:hAnsiTheme="minorHAnsi" w:cstheme="minorHAnsi"/>
        </w:rPr>
      </w:pPr>
      <w:r w:rsidRPr="00364545">
        <w:rPr>
          <w:rFonts w:asciiTheme="minorHAnsi" w:hAnsiTheme="minorHAnsi"/>
        </w:rPr>
        <w:t xml:space="preserve">The concerns of French people about natural hazards often meet those connected with climate change. Accordingly, of those who are most worried about the possible consequences of a natural or technological catastrophe , almost half (47%) consider that climate change already has an consequences on their daily life, as against 30% of all French people. </w:t>
      </w:r>
      <w:r w:rsidRPr="00364545">
        <w:t>Conversely, those who are least worried are also whose who consider that climate change will not be a problem in the future.</w:t>
      </w:r>
      <w:r w:rsidRPr="00364545">
        <w:rPr>
          <w:rFonts w:asciiTheme="minorHAnsi" w:hAnsiTheme="minorHAnsi"/>
        </w:rPr>
        <w:t xml:space="preserve"> </w:t>
      </w:r>
    </w:p>
    <w:p w14:paraId="236D9FF3" w14:textId="7684FB31" w:rsidR="00865D8C" w:rsidRPr="00364545" w:rsidRDefault="00865D8C" w:rsidP="003F57EA">
      <w:pPr>
        <w:pStyle w:val="ListParagraph"/>
        <w:numPr>
          <w:ilvl w:val="0"/>
          <w:numId w:val="84"/>
        </w:numPr>
        <w:autoSpaceDE w:val="0"/>
        <w:autoSpaceDN w:val="0"/>
        <w:adjustRightInd w:val="0"/>
        <w:rPr>
          <w:rFonts w:asciiTheme="minorHAnsi" w:hAnsiTheme="minorHAnsi" w:cstheme="minorHAnsi"/>
        </w:rPr>
      </w:pPr>
      <w:r w:rsidRPr="00364545">
        <w:t xml:space="preserve">27% of French people (the population residing in mainland France and in Overseas Départements, excluding Mayotte) consider that </w:t>
      </w:r>
      <w:r w:rsidRPr="00364545">
        <w:rPr>
          <w:i/>
          <w:iCs/>
        </w:rPr>
        <w:t>climate change already has consequences on their daily life, and 42% estimate that it will have in the next 10 years and 22% think it will only affect following generations.</w:t>
      </w:r>
      <w:r w:rsidRPr="00364545">
        <w:rPr>
          <w:rFonts w:asciiTheme="minorHAnsi" w:hAnsiTheme="minorHAnsi"/>
        </w:rPr>
        <w:t xml:space="preserve"> </w:t>
      </w:r>
      <w:r w:rsidRPr="00364545">
        <w:t>Only 8% of French people think that climate change will have no impact.</w:t>
      </w:r>
    </w:p>
    <w:p w14:paraId="3F9DFE5A" w14:textId="75395A21" w:rsidR="00865D8C" w:rsidRPr="00364545" w:rsidRDefault="00865D8C" w:rsidP="003F57EA">
      <w:pPr>
        <w:pStyle w:val="ListParagraph"/>
        <w:numPr>
          <w:ilvl w:val="0"/>
          <w:numId w:val="84"/>
        </w:numPr>
        <w:autoSpaceDE w:val="0"/>
        <w:autoSpaceDN w:val="0"/>
        <w:adjustRightInd w:val="0"/>
        <w:rPr>
          <w:rFonts w:asciiTheme="minorHAnsi" w:hAnsiTheme="minorHAnsi" w:cstheme="minorHAnsi"/>
        </w:rPr>
      </w:pPr>
      <w:r w:rsidRPr="00364545">
        <w:rPr>
          <w:rFonts w:asciiTheme="minorHAnsi" w:hAnsiTheme="minorHAnsi"/>
        </w:rPr>
        <w:t xml:space="preserve">27% of those surveyed referred to the </w:t>
      </w:r>
      <w:r w:rsidRPr="00364545">
        <w:rPr>
          <w:rFonts w:asciiTheme="minorHAnsi" w:hAnsiTheme="minorHAnsi"/>
          <w:b/>
          <w:bCs/>
        </w:rPr>
        <w:t>lack of water and droughts</w:t>
      </w:r>
      <w:r w:rsidRPr="00364545">
        <w:rPr>
          <w:rFonts w:asciiTheme="minorHAnsi" w:hAnsiTheme="minorHAnsi"/>
        </w:rPr>
        <w:t xml:space="preserve"> in the 16 départements involved in prefectoral water use restriction orders in May 2022. </w:t>
      </w:r>
      <w:r w:rsidRPr="00364545">
        <w:rPr>
          <w:rFonts w:asciiTheme="minorHAnsi" w:hAnsiTheme="minorHAnsi"/>
          <w:u w:val="single"/>
        </w:rPr>
        <w:t>Reminder:</w:t>
      </w:r>
      <w:r w:rsidRPr="00364545">
        <w:rPr>
          <w:rFonts w:asciiTheme="minorHAnsi" w:hAnsiTheme="minorHAnsi"/>
        </w:rPr>
        <w:t xml:space="preserve"> The month of May 2022 was the hottest and driest ever observed in France: monthly average of 17.8°C overall mainland territory and a 65% shortfall in precipitation. The contextual effect also explains the considerable increase in reference to </w:t>
      </w:r>
      <w:r w:rsidRPr="00364545">
        <w:rPr>
          <w:rFonts w:asciiTheme="minorHAnsi" w:hAnsiTheme="minorHAnsi"/>
          <w:b/>
          <w:bCs/>
        </w:rPr>
        <w:t>heat waves.</w:t>
      </w:r>
    </w:p>
    <w:p w14:paraId="2B338AB4" w14:textId="77777777" w:rsidR="00865D8C" w:rsidRPr="00364545" w:rsidRDefault="00865D8C" w:rsidP="003F57EA">
      <w:pPr>
        <w:pStyle w:val="ListParagraph"/>
        <w:numPr>
          <w:ilvl w:val="0"/>
          <w:numId w:val="84"/>
        </w:numPr>
        <w:autoSpaceDE w:val="0"/>
        <w:autoSpaceDN w:val="0"/>
        <w:adjustRightInd w:val="0"/>
        <w:rPr>
          <w:rFonts w:asciiTheme="minorHAnsi" w:hAnsiTheme="minorHAnsi" w:cstheme="minorHAnsi"/>
        </w:rPr>
      </w:pPr>
      <w:r w:rsidRPr="00364545">
        <w:rPr>
          <w:rFonts w:asciiTheme="minorHAnsi" w:hAnsiTheme="minorHAnsi"/>
        </w:rPr>
        <w:t xml:space="preserve">Regarding the effects of climate change on health, the situation is more complex: overall the topic of </w:t>
      </w:r>
      <w:r w:rsidRPr="00364545">
        <w:rPr>
          <w:rFonts w:asciiTheme="minorHAnsi" w:hAnsiTheme="minorHAnsi"/>
          <w:b/>
          <w:bCs/>
        </w:rPr>
        <w:t>Consequences on Health</w:t>
      </w:r>
      <w:r w:rsidRPr="00364545">
        <w:rPr>
          <w:rFonts w:asciiTheme="minorHAnsi" w:hAnsiTheme="minorHAnsi"/>
        </w:rPr>
        <w:t xml:space="preserve"> underwent a major drop. </w:t>
      </w:r>
      <w:r w:rsidRPr="00364545">
        <w:t xml:space="preserve">On the other had, the “Health” category (combining the concepts of </w:t>
      </w:r>
      <w:r w:rsidRPr="00364545">
        <w:rPr>
          <w:b/>
          <w:bCs/>
        </w:rPr>
        <w:t>illness</w:t>
      </w:r>
      <w:r w:rsidRPr="00364545">
        <w:t xml:space="preserve"> and </w:t>
      </w:r>
      <w:r w:rsidRPr="00364545">
        <w:rPr>
          <w:b/>
          <w:bCs/>
        </w:rPr>
        <w:t>discomfort</w:t>
      </w:r>
      <w:r w:rsidRPr="00364545">
        <w:t>) has increased significantly.</w:t>
      </w:r>
      <w:r w:rsidRPr="00364545">
        <w:rPr>
          <w:rFonts w:asciiTheme="minorHAnsi" w:hAnsiTheme="minorHAnsi"/>
        </w:rPr>
        <w:t xml:space="preserve"> </w:t>
      </w:r>
      <w:r w:rsidRPr="00364545">
        <w:t>The surveys thus frequently evoked the discomfort generated by heatwaves (“unbearable heatwaves”).</w:t>
      </w:r>
    </w:p>
    <w:p w14:paraId="735CE438" w14:textId="77777777" w:rsidR="00865D8C" w:rsidRPr="00364545" w:rsidRDefault="00865D8C" w:rsidP="003F57EA">
      <w:pPr>
        <w:pStyle w:val="ListParagraph"/>
        <w:numPr>
          <w:ilvl w:val="0"/>
          <w:numId w:val="84"/>
        </w:numPr>
        <w:autoSpaceDE w:val="0"/>
        <w:autoSpaceDN w:val="0"/>
        <w:adjustRightInd w:val="0"/>
        <w:rPr>
          <w:rFonts w:asciiTheme="minorHAnsi" w:hAnsiTheme="minorHAnsi" w:cstheme="minorHAnsi"/>
        </w:rPr>
      </w:pPr>
      <w:r w:rsidRPr="00364545">
        <w:rPr>
          <w:rFonts w:asciiTheme="minorHAnsi" w:hAnsiTheme="minorHAnsi"/>
        </w:rPr>
        <w:t>Made tangible by the early drought in spring 2022, the climate hazards that now seem to be feared by French people are those that resonate with that news. Thus it is an issue of:</w:t>
      </w:r>
    </w:p>
    <w:p w14:paraId="4DAC2776" w14:textId="77777777" w:rsidR="00865D8C" w:rsidRPr="00364545" w:rsidRDefault="00865D8C" w:rsidP="003F57EA">
      <w:pPr>
        <w:pStyle w:val="ListParagraph"/>
        <w:numPr>
          <w:ilvl w:val="1"/>
          <w:numId w:val="84"/>
        </w:numPr>
        <w:autoSpaceDE w:val="0"/>
        <w:autoSpaceDN w:val="0"/>
        <w:adjustRightInd w:val="0"/>
        <w:rPr>
          <w:rFonts w:asciiTheme="minorHAnsi" w:hAnsiTheme="minorHAnsi" w:cstheme="minorHAnsi"/>
        </w:rPr>
      </w:pPr>
      <w:r w:rsidRPr="00364545">
        <w:rPr>
          <w:rFonts w:asciiTheme="minorHAnsi" w:hAnsiTheme="minorHAnsi"/>
          <w:b/>
          <w:bCs/>
        </w:rPr>
        <w:t>Farming difficulty</w:t>
      </w:r>
      <w:r w:rsidRPr="00364545">
        <w:rPr>
          <w:rFonts w:asciiTheme="minorHAnsi" w:hAnsiTheme="minorHAnsi"/>
        </w:rPr>
        <w:t xml:space="preserve"> and food shortages, </w:t>
      </w:r>
    </w:p>
    <w:p w14:paraId="6072C217" w14:textId="77777777" w:rsidR="00865D8C" w:rsidRPr="00364545" w:rsidRDefault="00865D8C" w:rsidP="003F57EA">
      <w:pPr>
        <w:pStyle w:val="ListParagraph"/>
        <w:numPr>
          <w:ilvl w:val="1"/>
          <w:numId w:val="84"/>
        </w:numPr>
        <w:autoSpaceDE w:val="0"/>
        <w:autoSpaceDN w:val="0"/>
        <w:adjustRightInd w:val="0"/>
        <w:rPr>
          <w:rFonts w:asciiTheme="minorHAnsi" w:hAnsiTheme="minorHAnsi" w:cstheme="minorHAnsi"/>
        </w:rPr>
      </w:pPr>
      <w:r w:rsidRPr="00364545">
        <w:rPr>
          <w:rFonts w:asciiTheme="minorHAnsi" w:hAnsiTheme="minorHAnsi"/>
          <w:b/>
          <w:bCs/>
        </w:rPr>
        <w:t>Residential</w:t>
      </w:r>
      <w:r w:rsidRPr="00364545">
        <w:rPr>
          <w:rFonts w:asciiTheme="minorHAnsi" w:hAnsiTheme="minorHAnsi"/>
        </w:rPr>
        <w:t xml:space="preserve"> vulnerability (clay shrinkages), </w:t>
      </w:r>
    </w:p>
    <w:p w14:paraId="2D8CDF99" w14:textId="77777777" w:rsidR="00865D8C" w:rsidRPr="00364545" w:rsidRDefault="00865D8C" w:rsidP="003F57EA">
      <w:pPr>
        <w:pStyle w:val="ListParagraph"/>
        <w:numPr>
          <w:ilvl w:val="1"/>
          <w:numId w:val="84"/>
        </w:numPr>
        <w:autoSpaceDE w:val="0"/>
        <w:autoSpaceDN w:val="0"/>
        <w:adjustRightInd w:val="0"/>
        <w:rPr>
          <w:rFonts w:asciiTheme="minorHAnsi" w:hAnsiTheme="minorHAnsi" w:cstheme="minorHAnsi"/>
        </w:rPr>
      </w:pPr>
      <w:r w:rsidRPr="00364545">
        <w:rPr>
          <w:rFonts w:asciiTheme="minorHAnsi" w:hAnsiTheme="minorHAnsi"/>
        </w:rPr>
        <w:t xml:space="preserve">Increased </w:t>
      </w:r>
      <w:r w:rsidRPr="00364545">
        <w:rPr>
          <w:rFonts w:asciiTheme="minorHAnsi" w:hAnsiTheme="minorHAnsi"/>
          <w:b/>
          <w:bCs/>
        </w:rPr>
        <w:t>expenses,</w:t>
      </w:r>
      <w:r w:rsidRPr="00364545">
        <w:rPr>
          <w:rFonts w:asciiTheme="minorHAnsi" w:hAnsiTheme="minorHAnsi"/>
        </w:rPr>
        <w:t xml:space="preserve"> </w:t>
      </w:r>
    </w:p>
    <w:p w14:paraId="106AB1FF" w14:textId="77777777" w:rsidR="00865D8C" w:rsidRPr="00364545" w:rsidRDefault="00865D8C" w:rsidP="003F57EA">
      <w:pPr>
        <w:pStyle w:val="ListParagraph"/>
        <w:numPr>
          <w:ilvl w:val="1"/>
          <w:numId w:val="84"/>
        </w:numPr>
        <w:autoSpaceDE w:val="0"/>
        <w:autoSpaceDN w:val="0"/>
        <w:adjustRightInd w:val="0"/>
        <w:rPr>
          <w:rFonts w:asciiTheme="minorHAnsi" w:hAnsiTheme="minorHAnsi" w:cstheme="minorHAnsi"/>
        </w:rPr>
      </w:pPr>
      <w:r w:rsidRPr="00364545">
        <w:rPr>
          <w:rFonts w:asciiTheme="minorHAnsi" w:hAnsiTheme="minorHAnsi"/>
        </w:rPr>
        <w:t xml:space="preserve">Deteriorating </w:t>
      </w:r>
      <w:r w:rsidRPr="00364545">
        <w:rPr>
          <w:rFonts w:asciiTheme="minorHAnsi" w:hAnsiTheme="minorHAnsi"/>
          <w:b/>
          <w:bCs/>
        </w:rPr>
        <w:t>living conditions,</w:t>
      </w:r>
      <w:r w:rsidRPr="00364545">
        <w:rPr>
          <w:rFonts w:asciiTheme="minorHAnsi" w:hAnsiTheme="minorHAnsi"/>
        </w:rPr>
        <w:t xml:space="preserve"> </w:t>
      </w:r>
    </w:p>
    <w:p w14:paraId="683B4D10" w14:textId="77777777" w:rsidR="00865D8C" w:rsidRPr="00364545" w:rsidRDefault="00865D8C" w:rsidP="003F57EA">
      <w:pPr>
        <w:pStyle w:val="ListParagraph"/>
        <w:numPr>
          <w:ilvl w:val="1"/>
          <w:numId w:val="84"/>
        </w:numPr>
        <w:autoSpaceDE w:val="0"/>
        <w:autoSpaceDN w:val="0"/>
        <w:adjustRightInd w:val="0"/>
        <w:rPr>
          <w:rFonts w:asciiTheme="minorHAnsi" w:hAnsiTheme="minorHAnsi" w:cstheme="minorHAnsi"/>
        </w:rPr>
      </w:pPr>
      <w:r w:rsidRPr="00364545">
        <w:rPr>
          <w:rFonts w:asciiTheme="minorHAnsi" w:hAnsiTheme="minorHAnsi"/>
        </w:rPr>
        <w:t xml:space="preserve">And even the need </w:t>
      </w:r>
      <w:r w:rsidRPr="00364545">
        <w:rPr>
          <w:rFonts w:asciiTheme="minorHAnsi" w:hAnsiTheme="minorHAnsi"/>
          <w:b/>
          <w:bCs/>
        </w:rPr>
        <w:t>move house</w:t>
      </w:r>
      <w:r w:rsidRPr="00364545">
        <w:rPr>
          <w:rFonts w:asciiTheme="minorHAnsi" w:hAnsiTheme="minorHAnsi"/>
        </w:rPr>
        <w:t xml:space="preserve"> in due course.</w:t>
      </w:r>
    </w:p>
    <w:p w14:paraId="46085F51" w14:textId="77777777" w:rsidR="00865D8C" w:rsidRPr="00364545" w:rsidRDefault="00865D8C" w:rsidP="00865D8C">
      <w:pPr>
        <w:autoSpaceDE w:val="0"/>
        <w:autoSpaceDN w:val="0"/>
        <w:adjustRightInd w:val="0"/>
        <w:rPr>
          <w:rFonts w:cstheme="minorHAnsi"/>
        </w:rPr>
      </w:pPr>
    </w:p>
    <w:p w14:paraId="4A3D6D9B" w14:textId="77777777" w:rsidR="00865D8C" w:rsidRPr="00364545" w:rsidRDefault="00865D8C" w:rsidP="00865D8C">
      <w:pPr>
        <w:autoSpaceDE w:val="0"/>
        <w:autoSpaceDN w:val="0"/>
        <w:adjustRightInd w:val="0"/>
        <w:jc w:val="center"/>
        <w:rPr>
          <w:rFonts w:cstheme="minorHAnsi"/>
        </w:rPr>
      </w:pPr>
      <w:r w:rsidRPr="00364545">
        <w:rPr>
          <w:noProof/>
          <w:lang w:val="fr-FR"/>
        </w:rPr>
        <w:drawing>
          <wp:inline distT="0" distB="0" distL="0" distR="0" wp14:anchorId="0C72035B" wp14:editId="0CF76D03">
            <wp:extent cx="5177155" cy="2004695"/>
            <wp:effectExtent l="0" t="0" r="4445" b="0"/>
            <wp:docPr id="28715" name="Image 2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77155" cy="2004695"/>
                    </a:xfrm>
                    <a:prstGeom prst="rect">
                      <a:avLst/>
                    </a:prstGeom>
                    <a:noFill/>
                    <a:ln>
                      <a:noFill/>
                    </a:ln>
                  </pic:spPr>
                </pic:pic>
              </a:graphicData>
            </a:graphic>
          </wp:inline>
        </w:drawing>
      </w:r>
    </w:p>
    <w:p w14:paraId="31A2C294" w14:textId="77777777" w:rsidR="00865D8C" w:rsidRPr="00364545" w:rsidRDefault="00865D8C" w:rsidP="00865D8C">
      <w:pPr>
        <w:autoSpaceDE w:val="0"/>
        <w:autoSpaceDN w:val="0"/>
        <w:adjustRightInd w:val="0"/>
        <w:rPr>
          <w:rFonts w:cstheme="minorHAnsi"/>
        </w:rPr>
      </w:pPr>
    </w:p>
    <w:p w14:paraId="4C0F777D" w14:textId="77777777" w:rsidR="00865D8C" w:rsidRPr="00364545" w:rsidRDefault="00865D8C" w:rsidP="00865D8C">
      <w:pPr>
        <w:autoSpaceDE w:val="0"/>
        <w:autoSpaceDN w:val="0"/>
        <w:adjustRightInd w:val="0"/>
        <w:jc w:val="center"/>
        <w:rPr>
          <w:rFonts w:cstheme="minorHAnsi"/>
        </w:rPr>
      </w:pPr>
      <w:r w:rsidRPr="00364545">
        <w:rPr>
          <w:noProof/>
          <w:lang w:val="fr-FR"/>
        </w:rPr>
        <w:drawing>
          <wp:inline distT="0" distB="0" distL="0" distR="0" wp14:anchorId="0B1DD35A" wp14:editId="1241CD35">
            <wp:extent cx="4149725" cy="2251075"/>
            <wp:effectExtent l="0" t="0" r="3175" b="0"/>
            <wp:docPr id="28716" name="Image 2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49725" cy="2251075"/>
                    </a:xfrm>
                    <a:prstGeom prst="rect">
                      <a:avLst/>
                    </a:prstGeom>
                    <a:noFill/>
                    <a:ln>
                      <a:noFill/>
                    </a:ln>
                  </pic:spPr>
                </pic:pic>
              </a:graphicData>
            </a:graphic>
          </wp:inline>
        </w:drawing>
      </w:r>
    </w:p>
    <w:p w14:paraId="0867DA71" w14:textId="77777777" w:rsidR="00865D8C" w:rsidRPr="00364545" w:rsidRDefault="00865D8C" w:rsidP="00865D8C">
      <w:pPr>
        <w:autoSpaceDE w:val="0"/>
        <w:autoSpaceDN w:val="0"/>
        <w:adjustRightInd w:val="0"/>
        <w:jc w:val="center"/>
        <w:rPr>
          <w:rFonts w:cstheme="minorHAnsi"/>
        </w:rPr>
      </w:pPr>
      <w:r w:rsidRPr="00364545">
        <w:rPr>
          <w:noProof/>
          <w:lang w:val="fr-FR"/>
        </w:rPr>
        <w:drawing>
          <wp:inline distT="0" distB="0" distL="0" distR="0" wp14:anchorId="016A35DC" wp14:editId="62A0F6F6">
            <wp:extent cx="5845175" cy="3242310"/>
            <wp:effectExtent l="0" t="0" r="3175" b="0"/>
            <wp:docPr id="28717" name="Image 2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45175" cy="3242310"/>
                    </a:xfrm>
                    <a:prstGeom prst="rect">
                      <a:avLst/>
                    </a:prstGeom>
                    <a:noFill/>
                    <a:ln>
                      <a:noFill/>
                    </a:ln>
                  </pic:spPr>
                </pic:pic>
              </a:graphicData>
            </a:graphic>
          </wp:inline>
        </w:drawing>
      </w:r>
    </w:p>
    <w:p w14:paraId="1333E756" w14:textId="77777777" w:rsidR="00865D8C" w:rsidRPr="00364545" w:rsidRDefault="00865D8C" w:rsidP="00865D8C">
      <w:pPr>
        <w:autoSpaceDE w:val="0"/>
        <w:autoSpaceDN w:val="0"/>
        <w:adjustRightInd w:val="0"/>
        <w:rPr>
          <w:rFonts w:cstheme="minorHAnsi"/>
        </w:rPr>
      </w:pPr>
    </w:p>
    <w:p w14:paraId="493E9041" w14:textId="77777777" w:rsidR="00865D8C" w:rsidRPr="00364545" w:rsidRDefault="00865D8C" w:rsidP="00865D8C">
      <w:pPr>
        <w:autoSpaceDE w:val="0"/>
        <w:autoSpaceDN w:val="0"/>
        <w:adjustRightInd w:val="0"/>
        <w:rPr>
          <w:rFonts w:cstheme="minorHAnsi"/>
        </w:rPr>
      </w:pPr>
      <w:r w:rsidRPr="00364545">
        <w:rPr>
          <w:noProof/>
          <w:lang w:val="fr-FR"/>
        </w:rPr>
        <w:drawing>
          <wp:inline distT="0" distB="0" distL="0" distR="0" wp14:anchorId="542F247E" wp14:editId="2F97D502">
            <wp:extent cx="5612765" cy="3115945"/>
            <wp:effectExtent l="0" t="0" r="6985" b="8255"/>
            <wp:docPr id="28718" name="Image 2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12765" cy="3115945"/>
                    </a:xfrm>
                    <a:prstGeom prst="rect">
                      <a:avLst/>
                    </a:prstGeom>
                    <a:noFill/>
                    <a:ln>
                      <a:noFill/>
                    </a:ln>
                  </pic:spPr>
                </pic:pic>
              </a:graphicData>
            </a:graphic>
          </wp:inline>
        </w:drawing>
      </w:r>
    </w:p>
    <w:p w14:paraId="0030E86E" w14:textId="77777777" w:rsidR="00865D8C" w:rsidRPr="00364545" w:rsidRDefault="00865D8C" w:rsidP="00865D8C">
      <w:pPr>
        <w:autoSpaceDE w:val="0"/>
        <w:autoSpaceDN w:val="0"/>
        <w:adjustRightInd w:val="0"/>
        <w:rPr>
          <w:rFonts w:cstheme="minorHAnsi"/>
        </w:rPr>
      </w:pPr>
    </w:p>
    <w:p w14:paraId="6F517D21" w14:textId="77777777" w:rsidR="00865D8C" w:rsidRPr="00364545" w:rsidRDefault="00865D8C" w:rsidP="00865D8C">
      <w:pPr>
        <w:autoSpaceDE w:val="0"/>
        <w:autoSpaceDN w:val="0"/>
        <w:adjustRightInd w:val="0"/>
        <w:rPr>
          <w:rFonts w:cstheme="minorHAnsi"/>
        </w:rPr>
      </w:pPr>
      <w:r w:rsidRPr="00364545">
        <w:rPr>
          <w:b/>
        </w:rPr>
        <w:t>Topics on the rise:</w:t>
      </w:r>
    </w:p>
    <w:p w14:paraId="243A4B89"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Extreme climatic events (+11 points)</w:t>
      </w:r>
    </w:p>
    <w:p w14:paraId="6B7081E3"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Changes in quality of life (+8 points)</w:t>
      </w:r>
    </w:p>
    <w:p w14:paraId="5633C75E" w14:textId="77777777" w:rsidR="00865D8C" w:rsidRPr="00364545" w:rsidRDefault="00865D8C" w:rsidP="00865D8C">
      <w:pPr>
        <w:autoSpaceDE w:val="0"/>
        <w:autoSpaceDN w:val="0"/>
        <w:adjustRightInd w:val="0"/>
        <w:rPr>
          <w:rFonts w:cstheme="minorHAnsi"/>
          <w:b/>
          <w:bCs/>
        </w:rPr>
      </w:pPr>
    </w:p>
    <w:p w14:paraId="1B743C30" w14:textId="77777777" w:rsidR="00865D8C" w:rsidRPr="00364545" w:rsidRDefault="00865D8C" w:rsidP="00865D8C">
      <w:pPr>
        <w:autoSpaceDE w:val="0"/>
        <w:autoSpaceDN w:val="0"/>
        <w:adjustRightInd w:val="0"/>
        <w:rPr>
          <w:rFonts w:cstheme="minorHAnsi"/>
        </w:rPr>
      </w:pPr>
      <w:r w:rsidRPr="00364545">
        <w:rPr>
          <w:b/>
        </w:rPr>
        <w:t>Classes on the rise:</w:t>
      </w:r>
    </w:p>
    <w:p w14:paraId="5535CB83" w14:textId="344388FE" w:rsidR="00865D8C" w:rsidRPr="00364545" w:rsidRDefault="00865D8C" w:rsidP="003F57EA">
      <w:pPr>
        <w:pStyle w:val="ListParagraph"/>
        <w:numPr>
          <w:ilvl w:val="0"/>
          <w:numId w:val="84"/>
        </w:numPr>
        <w:autoSpaceDE w:val="0"/>
        <w:autoSpaceDN w:val="0"/>
        <w:adjustRightInd w:val="0"/>
        <w:rPr>
          <w:rFonts w:cstheme="minorHAnsi"/>
        </w:rPr>
      </w:pPr>
      <w:r w:rsidRPr="00364545">
        <w:t>Drought / Water shortages (5% in 2013 -16% in 2022)</w:t>
      </w:r>
    </w:p>
    <w:p w14:paraId="0BCD44C6"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Heatwaves / Hot spells (x3)</w:t>
      </w:r>
    </w:p>
    <w:p w14:paraId="5CD40DC9"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Health (illnesses, stress, discomfort, depression etc.) and hygiene (x2)</w:t>
      </w:r>
    </w:p>
    <w:p w14:paraId="4E21B827"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Farming difficulties / Food shortages (x2)</w:t>
      </w:r>
    </w:p>
    <w:p w14:paraId="7EA28BBA"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Physical Damage (assets and habitat) (x5)</w:t>
      </w:r>
    </w:p>
    <w:p w14:paraId="3CD75D6D"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Increased expenses (water, energy, etc.) and taxes</w:t>
      </w:r>
    </w:p>
    <w:p w14:paraId="2D27E601"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Deterioration of Nature / Biodiversity</w:t>
      </w:r>
    </w:p>
    <w:p w14:paraId="6EAF922C" w14:textId="77777777" w:rsidR="00865D8C" w:rsidRPr="00364545" w:rsidRDefault="00865D8C" w:rsidP="00865D8C">
      <w:pPr>
        <w:autoSpaceDE w:val="0"/>
        <w:autoSpaceDN w:val="0"/>
        <w:adjustRightInd w:val="0"/>
        <w:rPr>
          <w:rFonts w:cstheme="minorHAnsi"/>
        </w:rPr>
      </w:pPr>
    </w:p>
    <w:p w14:paraId="60878BB5" w14:textId="77777777" w:rsidR="00865D8C" w:rsidRPr="00364545" w:rsidRDefault="00865D8C" w:rsidP="00865D8C">
      <w:pPr>
        <w:autoSpaceDE w:val="0"/>
        <w:autoSpaceDN w:val="0"/>
        <w:adjustRightInd w:val="0"/>
        <w:rPr>
          <w:rFonts w:cstheme="minorHAnsi"/>
        </w:rPr>
      </w:pPr>
      <w:r w:rsidRPr="00364545">
        <w:rPr>
          <w:b/>
        </w:rPr>
        <w:t>Topics dropping:</w:t>
      </w:r>
    </w:p>
    <w:p w14:paraId="4B0783FB"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Non. Personal consequences and global impact (-10 points)</w:t>
      </w:r>
    </w:p>
    <w:p w14:paraId="7A5F1D3B"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Health consequences (-7 points)</w:t>
      </w:r>
    </w:p>
    <w:p w14:paraId="2DF1539A"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Territorial impact (-5 points)</w:t>
      </w:r>
    </w:p>
    <w:p w14:paraId="1E20F577" w14:textId="77777777" w:rsidR="00865D8C" w:rsidRPr="00364545" w:rsidRDefault="00865D8C" w:rsidP="00865D8C">
      <w:pPr>
        <w:autoSpaceDE w:val="0"/>
        <w:autoSpaceDN w:val="0"/>
        <w:adjustRightInd w:val="0"/>
        <w:rPr>
          <w:rFonts w:cstheme="minorHAnsi"/>
        </w:rPr>
      </w:pPr>
    </w:p>
    <w:p w14:paraId="7175AABF" w14:textId="77777777" w:rsidR="00865D8C" w:rsidRPr="00364545" w:rsidRDefault="00865D8C" w:rsidP="00865D8C">
      <w:pPr>
        <w:autoSpaceDE w:val="0"/>
        <w:autoSpaceDN w:val="0"/>
        <w:adjustRightInd w:val="0"/>
        <w:rPr>
          <w:rFonts w:cstheme="minorHAnsi"/>
        </w:rPr>
      </w:pPr>
      <w:r w:rsidRPr="00364545">
        <w:rPr>
          <w:b/>
        </w:rPr>
        <w:t>Classes dropping:</w:t>
      </w:r>
    </w:p>
    <w:p w14:paraId="4A245D65" w14:textId="66DF7E09" w:rsidR="00865D8C" w:rsidRPr="00364545" w:rsidRDefault="00865D8C" w:rsidP="003F57EA">
      <w:pPr>
        <w:pStyle w:val="ListParagraph"/>
        <w:numPr>
          <w:ilvl w:val="0"/>
          <w:numId w:val="84"/>
        </w:numPr>
        <w:autoSpaceDE w:val="0"/>
        <w:autoSpaceDN w:val="0"/>
        <w:adjustRightInd w:val="0"/>
        <w:rPr>
          <w:rFonts w:cstheme="minorHAnsi"/>
        </w:rPr>
      </w:pPr>
      <w:r w:rsidRPr="00364545">
        <w:t>Disruption of seasons / Climate (10% in 2013 - 4% in 2022)</w:t>
      </w:r>
    </w:p>
    <w:p w14:paraId="701FB6D8"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Dropping temperatures ( / 5)</w:t>
      </w:r>
    </w:p>
    <w:p w14:paraId="0BB65D6E"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 xml:space="preserve">Gradual rise in water levels / Coastal erosion </w:t>
      </w:r>
    </w:p>
    <w:p w14:paraId="6E2AFA3C" w14:textId="77777777" w:rsidR="00865D8C" w:rsidRPr="00364545" w:rsidRDefault="00865D8C" w:rsidP="003F57EA">
      <w:pPr>
        <w:pStyle w:val="ListParagraph"/>
        <w:numPr>
          <w:ilvl w:val="0"/>
          <w:numId w:val="84"/>
        </w:numPr>
        <w:autoSpaceDE w:val="0"/>
        <w:autoSpaceDN w:val="0"/>
        <w:adjustRightInd w:val="0"/>
        <w:rPr>
          <w:rFonts w:cstheme="minorHAnsi"/>
        </w:rPr>
      </w:pPr>
      <w:r w:rsidRPr="00364545">
        <w:t xml:space="preserve">Air quality / respiratory disease </w:t>
      </w:r>
    </w:p>
    <w:p w14:paraId="6298DA65" w14:textId="6CD1B702" w:rsidR="00865D8C" w:rsidRPr="00364545" w:rsidRDefault="00865D8C" w:rsidP="003F57EA">
      <w:pPr>
        <w:pStyle w:val="ListParagraph"/>
        <w:numPr>
          <w:ilvl w:val="0"/>
          <w:numId w:val="84"/>
        </w:numPr>
        <w:autoSpaceDE w:val="0"/>
        <w:autoSpaceDN w:val="0"/>
        <w:adjustRightInd w:val="0"/>
        <w:rPr>
          <w:rFonts w:cstheme="minorHAnsi"/>
        </w:rPr>
      </w:pPr>
      <w:r w:rsidRPr="00364545">
        <w:t>Farm produce quality / food poisoning</w:t>
      </w:r>
    </w:p>
    <w:p w14:paraId="1CFF4DDA" w14:textId="346127AE" w:rsidR="00865D8C" w:rsidRPr="00364545" w:rsidRDefault="00865D8C" w:rsidP="003F57EA">
      <w:pPr>
        <w:pStyle w:val="Titre3Niveau3"/>
      </w:pPr>
      <w:bookmarkStart w:id="750" w:name="_Toc122084416"/>
      <w:bookmarkStart w:id="751" w:name="_Toc138341907"/>
      <w:r w:rsidRPr="00364545">
        <w:t>Raised awareness generates large expectations as regards public authorities</w:t>
      </w:r>
      <w:bookmarkEnd w:id="750"/>
      <w:bookmarkEnd w:id="751"/>
    </w:p>
    <w:p w14:paraId="095A7306" w14:textId="0EDE68F7" w:rsidR="00865D8C" w:rsidRPr="00364545" w:rsidRDefault="00865D8C" w:rsidP="00865D8C">
      <w:pPr>
        <w:pStyle w:val="ListParagraph"/>
        <w:ind w:left="0"/>
      </w:pPr>
      <w:r w:rsidRPr="00364545">
        <w:t xml:space="preserve">This raised awareness has converted into expectations by the French as regards public authorities. At the end of 2022, 33% of French people considered that the environment and ecological transitioning were a major stake for France. The topic was thus put in third place, after rising prices (68%) and public health (36%). </w:t>
      </w:r>
    </w:p>
    <w:p w14:paraId="74058E0E" w14:textId="28D6E482" w:rsidR="00865D8C" w:rsidRPr="00364545" w:rsidRDefault="00865D8C" w:rsidP="00865D8C">
      <w:pPr>
        <w:pStyle w:val="ListParagraph"/>
        <w:ind w:left="0"/>
        <w:rPr>
          <w:highlight w:val="yellow"/>
        </w:rPr>
      </w:pPr>
      <w:r w:rsidRPr="00364545">
        <w:t>On measures intended to reduce greenhouse gas emission, 74% of French people found it desirable or very desirable to compel owners to renovate and insulate dwellings when selling or letting. 67% were in favour of greater taxes on the vehicles that emitted more greenhouse gases and 51% of an increased carbon tax.</w:t>
      </w:r>
    </w:p>
    <w:p w14:paraId="14279B83" w14:textId="77777777" w:rsidR="00865D8C" w:rsidRPr="00364545" w:rsidRDefault="00865D8C" w:rsidP="003F57EA">
      <w:pPr>
        <w:pStyle w:val="Titre3Niveau3"/>
      </w:pPr>
      <w:bookmarkStart w:id="752" w:name="_Toc122084417"/>
      <w:bookmarkStart w:id="753" w:name="_Toc138341908"/>
      <w:r w:rsidRPr="00364545">
        <w:t>The development of renewable energies, a great priority for the French.</w:t>
      </w:r>
      <w:bookmarkEnd w:id="752"/>
      <w:bookmarkEnd w:id="753"/>
    </w:p>
    <w:p w14:paraId="764E4C73" w14:textId="570909AB" w:rsidR="00865D8C" w:rsidRPr="00364545" w:rsidRDefault="00865D8C" w:rsidP="00865D8C">
      <w:pPr>
        <w:spacing w:before="240" w:after="240"/>
      </w:pPr>
      <w:r w:rsidRPr="00364545">
        <w:t>Measuring the degree of raised awareness in French people on the importance of combating climate change through their opinion f renewable energies becomes fundamental in the current context. At the end of 2022, 73% of French people wished that the government would handle the development of renewable energies as a priority to ensure France’s energy independence.</w:t>
      </w:r>
    </w:p>
    <w:p w14:paraId="34D7CA7E" w14:textId="532F0530" w:rsidR="00865D8C" w:rsidRPr="00364545" w:rsidRDefault="00865D8C" w:rsidP="00865D8C">
      <w:pPr>
        <w:spacing w:before="240" w:after="240"/>
      </w:pPr>
      <w:r w:rsidRPr="00364545">
        <w:t>The French are in favour (90%) and even very much in favour (57%) of the development of renewable energies. First and foremost is solar power (37%) that the French wish to develop as a priority, above sea-driven energy (25%), wind power (16%) geothermal energy (16%), water power (15%) and biomass fuels (13%). Furthermore, 32% of French people want the nuclear sector to be developed using a new generation of reactors. The advantages referred to by French people for developing renewable energies are above all ecological (they contribute to reducing air, ground and water pollution and to fight climate change, in addition to being renewable sources which will be available).</w:t>
      </w:r>
    </w:p>
    <w:p w14:paraId="55802135" w14:textId="77777777" w:rsidR="00865D8C" w:rsidRPr="00364545" w:rsidRDefault="00865D8C" w:rsidP="003F57EA">
      <w:pPr>
        <w:pStyle w:val="Titre3Niveau3"/>
      </w:pPr>
      <w:bookmarkStart w:id="754" w:name="_Toc138341909"/>
      <w:r w:rsidRPr="00364545">
        <w:t>Objective documented information at the root of awareness raising</w:t>
      </w:r>
      <w:bookmarkEnd w:id="754"/>
    </w:p>
    <w:p w14:paraId="2F86DB80" w14:textId="2903F8DD" w:rsidR="00865D8C" w:rsidRPr="00364545" w:rsidRDefault="00865D8C" w:rsidP="00865D8C">
      <w:pPr>
        <w:spacing w:before="240" w:after="240"/>
        <w:rPr>
          <w:rFonts w:cstheme="minorHAnsi"/>
        </w:rPr>
      </w:pPr>
      <w:r w:rsidRPr="00364545">
        <w:t xml:space="preserve">The raised awareness of citizens of the stakes in climate change have come about through objective and well documented information. This is why the General Commission for Sustainable Development (CGDD) at the Environment Ministry, in accordance with its role of analysing and distributing data and knowledge, concerns itself with regularly publishing - and analysing - the main data available connected with these stakes. Each year it makes “Key Climate Figures” available, drawn up by its Department for data and statistical studies (in cooperation with the General Directorate for energy and climate and the </w:t>
      </w:r>
      <w:r w:rsidRPr="00364545">
        <w:rPr>
          <w:i/>
          <w:iCs/>
        </w:rPr>
        <w:t>Institute for Climate Economics</w:t>
      </w:r>
      <w:r w:rsidRPr="00364545">
        <w:t>), which offer a panoramic view of the main data connected to climate change: its reality and impact, greenhouse gas emissions (GHG) at worldwide, European and national levels, and a breakdown of those emissions by sector and their changes, as estimate of the carbon footprint of France and details of the main climate policies applied to meet those challenges.</w:t>
      </w:r>
    </w:p>
    <w:p w14:paraId="639F90E5" w14:textId="6FBA2D9C" w:rsidR="00865D8C" w:rsidRPr="00364545" w:rsidRDefault="00865D8C" w:rsidP="00865D8C">
      <w:pPr>
        <w:spacing w:before="240" w:after="240"/>
        <w:rPr>
          <w:rFonts w:ascii="Calibri" w:hAnsi="Calibri" w:cs="Calibri"/>
        </w:rPr>
      </w:pPr>
      <w:r w:rsidRPr="00364545">
        <w:t>CGDD also publishes more detailed studies on changes in GHG emissions and the carbon footprint. Thus, for example, in 2022 it published a study on vectors of change in CO</w:t>
      </w:r>
      <w:r w:rsidRPr="00364545">
        <w:rPr>
          <w:vertAlign w:val="subscript"/>
        </w:rPr>
        <w:t>2</w:t>
      </w:r>
      <w:r w:rsidRPr="00364545">
        <w:t xml:space="preserve"> emissions, connected with energy from 1990 to 2020 (Datalab, September 2022) and a report from the National Observatory for Energy Renewal (ONRE) on GHG emission reductions linked to renewal (results of the TREMI survey) (September 2022). Estimates of the carbon footprint of France also form the scope of supported publications (the latest by date, in November 2022, dealt with changes in the footprint from 1995 to 2021).</w:t>
      </w:r>
    </w:p>
    <w:p w14:paraId="7B868165" w14:textId="48C186DE" w:rsidR="00865D8C" w:rsidRPr="00364545" w:rsidRDefault="00865D8C" w:rsidP="00865D8C">
      <w:pPr>
        <w:spacing w:before="240" w:after="240"/>
        <w:rPr>
          <w:rFonts w:ascii="Calibri" w:hAnsi="Calibri" w:cs="Calibri"/>
        </w:rPr>
      </w:pPr>
      <w:r w:rsidRPr="00364545">
        <w:t xml:space="preserve">The </w:t>
      </w:r>
      <w:hyperlink r:id="rId144" w:history="1">
        <w:r w:rsidRPr="00364545">
          <w:rPr>
            <w:rStyle w:val="Hyperlink"/>
          </w:rPr>
          <w:t>rapport quadriennal sur l’état de l’environnement en France</w:t>
        </w:r>
      </w:hyperlink>
      <w:r w:rsidRPr="00364545">
        <w:t xml:space="preserve"> et le </w:t>
      </w:r>
      <w:hyperlink r:id="rId145" w:history="1">
        <w:r w:rsidRPr="00364545">
          <w:rPr>
            <w:rStyle w:val="Hyperlink"/>
          </w:rPr>
          <w:t>bilan annuel environnemental de la France</w:t>
        </w:r>
      </w:hyperlink>
      <w:r w:rsidRPr="00364545">
        <w:t xml:space="preserve"> also handles issues relating to climate change and take part in distributing the information as widely as possible.</w:t>
      </w:r>
    </w:p>
    <w:p w14:paraId="721F0895" w14:textId="4C48F3B0" w:rsidR="00865D8C" w:rsidRPr="00364545" w:rsidRDefault="00865D8C" w:rsidP="00865D8C">
      <w:pPr>
        <w:spacing w:before="240" w:after="240"/>
        <w:rPr>
          <w:rFonts w:cstheme="minorHAnsi"/>
        </w:rPr>
      </w:pPr>
      <w:r w:rsidRPr="00364545">
        <w:t xml:space="preserve">All publications on the topic of climate change are put on-line at the data and statistical studies department website: </w:t>
      </w:r>
      <w:hyperlink r:id="rId146" w:history="1">
        <w:r w:rsidRPr="00364545">
          <w:t>https://www.statistiques.developpement-durable.gouv.fr/changement-climatique</w:t>
        </w:r>
      </w:hyperlink>
      <w:r w:rsidRPr="00364545">
        <w:t xml:space="preserve">. The media in particular refer to it very often. They are also enhanced by various formats accessible to the public at large: especially computer graphics and videos. </w:t>
      </w:r>
    </w:p>
    <w:p w14:paraId="2B9936F0" w14:textId="5763316A" w:rsidR="00865D8C" w:rsidRPr="00364545" w:rsidRDefault="00865D8C" w:rsidP="00865D8C">
      <w:pPr>
        <w:spacing w:before="240" w:after="240"/>
        <w:rPr>
          <w:rFonts w:cstheme="minorHAnsi"/>
        </w:rPr>
      </w:pPr>
      <w:r w:rsidRPr="00364545">
        <w:t>In addition, the environmental information site</w:t>
      </w:r>
      <w:r w:rsidRPr="00364545">
        <w:rPr>
          <w:rFonts w:ascii="Calibri" w:hAnsi="Calibri"/>
        </w:rPr>
        <w:t xml:space="preserve"> </w:t>
      </w:r>
      <w:r w:rsidRPr="00364545">
        <w:t>notre-environnement [</w:t>
      </w:r>
      <w:hyperlink r:id="rId147" w:history="1">
        <w:r w:rsidRPr="00364545">
          <w:t>https://www.notre-environnement.gouv.fr/</w:t>
        </w:r>
      </w:hyperlink>
      <w:r w:rsidRPr="00364545">
        <w:t xml:space="preserve"> ]</w:t>
      </w:r>
      <w:r w:rsidRPr="00364545">
        <w:rPr>
          <w:rFonts w:ascii="Calibri" w:hAnsi="Calibri"/>
        </w:rPr>
        <w:t xml:space="preserve"> </w:t>
      </w:r>
      <w:r w:rsidRPr="00364545">
        <w:t>launched by CGDD in 2021, gives climate change a front row seat amongst its topics by informing citizens on the causes and consequences of climate change and introducing mitigation and adaptation policies. Sheets by topic, news briefs and documentary resources are also formats that enable citizens to be informed.</w:t>
      </w:r>
    </w:p>
    <w:p w14:paraId="2FDD63F0" w14:textId="296122F8" w:rsidR="00865D8C" w:rsidRPr="004F2995" w:rsidRDefault="00865D8C" w:rsidP="00865D8C">
      <w:pPr>
        <w:spacing w:before="240" w:after="240"/>
        <w:rPr>
          <w:rFonts w:cstheme="minorHAnsi"/>
          <w:lang w:val="fr-FR"/>
        </w:rPr>
      </w:pPr>
      <w:r w:rsidRPr="004F2995">
        <w:rPr>
          <w:lang w:val="fr-FR"/>
        </w:rPr>
        <w:t xml:space="preserve">The </w:t>
      </w:r>
      <w:hyperlink r:id="rId148" w:history="1">
        <w:r w:rsidRPr="004F2995">
          <w:rPr>
            <w:rStyle w:val="Hyperlink"/>
            <w:lang w:val="fr-FR"/>
          </w:rPr>
          <w:t>centre de ressources pour l’adaptation au changement climatique</w:t>
        </w:r>
      </w:hyperlink>
      <w:r w:rsidRPr="004F2995">
        <w:rPr>
          <w:lang w:val="fr-FR"/>
        </w:rPr>
        <w:t xml:space="preserve"> and the work of the </w:t>
      </w:r>
      <w:hyperlink r:id="rId149" w:history="1">
        <w:r w:rsidRPr="004F2995">
          <w:rPr>
            <w:rStyle w:val="Hyperlink"/>
            <w:lang w:val="fr-FR"/>
          </w:rPr>
          <w:t>l’observatoire national sur les effets du changement climatique</w:t>
        </w:r>
      </w:hyperlink>
      <w:r w:rsidRPr="004F2995">
        <w:rPr>
          <w:lang w:val="fr-FR"/>
        </w:rPr>
        <w:t xml:space="preserve"> share the same goals</w:t>
      </w:r>
    </w:p>
    <w:p w14:paraId="5B4FC45B" w14:textId="77777777" w:rsidR="00865D8C" w:rsidRPr="00364545" w:rsidRDefault="00865D8C" w:rsidP="003F57EA">
      <w:pPr>
        <w:pStyle w:val="Titre3Niveau3"/>
      </w:pPr>
      <w:bookmarkStart w:id="755" w:name="_Toc138341910"/>
      <w:r w:rsidRPr="00364545">
        <w:t>Advertising and Sales Communications: a major tool for ecological transitioning</w:t>
      </w:r>
      <w:bookmarkEnd w:id="755"/>
    </w:p>
    <w:p w14:paraId="1E2CAC8E" w14:textId="77777777" w:rsidR="00865D8C" w:rsidRPr="00364545" w:rsidRDefault="00865D8C" w:rsidP="00865D8C">
      <w:r w:rsidRPr="00364545">
        <w:t>Since 2021, when la n* 2021-1104 of the 22nd August 2021, involving combating climate change and strengthening resilience to its effects, known as the “Climate and Resilience” law was passed, the importance of advertising and improving its participation in the consumer changes required was inserted into various public policy tools.</w:t>
      </w:r>
    </w:p>
    <w:p w14:paraId="32E480BB" w14:textId="77777777" w:rsidR="00865D8C" w:rsidRPr="00364545" w:rsidRDefault="00865D8C" w:rsidP="00865D8C"/>
    <w:p w14:paraId="032B41CE" w14:textId="77777777" w:rsidR="00865D8C" w:rsidRPr="00364545" w:rsidRDefault="00865D8C" w:rsidP="00865D8C">
      <w:r w:rsidRPr="00364545">
        <w:t>On information and raising public awareness, several arrangements have been set up, especially in the filed of advertising, following the passing of that law. One of the goals of the law was to manage sales communications about products with an excessive impact on the climate, whilst enabling improved information to consumers by encouraging all actors (advertisers, PR agencies, editors and media) to upgrade their practices.</w:t>
      </w:r>
    </w:p>
    <w:p w14:paraId="2D883455" w14:textId="77777777" w:rsidR="00865D8C" w:rsidRPr="00364545" w:rsidRDefault="00865D8C" w:rsidP="00865D8C">
      <w:r w:rsidRPr="00364545">
        <w:br/>
        <w:t xml:space="preserve">The law prohibits: </w:t>
      </w:r>
    </w:p>
    <w:p w14:paraId="5D4C7912" w14:textId="77777777" w:rsidR="00865D8C" w:rsidRPr="00364545" w:rsidRDefault="00865D8C" w:rsidP="003F57EA">
      <w:pPr>
        <w:pStyle w:val="ListParagraph"/>
        <w:numPr>
          <w:ilvl w:val="0"/>
          <w:numId w:val="84"/>
        </w:numPr>
        <w:spacing w:before="120"/>
        <w:ind w:left="425" w:hanging="357"/>
        <w:contextualSpacing w:val="0"/>
      </w:pPr>
      <w:r w:rsidRPr="00364545">
        <w:t>Advertising on marketing and promoting fossil energies by virtue of their direct connection to greenhouse gas emissions, starting in August 2022;</w:t>
      </w:r>
    </w:p>
    <w:p w14:paraId="59CD905D" w14:textId="1A70B621" w:rsidR="00865D8C" w:rsidRPr="00364545" w:rsidRDefault="00865D8C" w:rsidP="003F57EA">
      <w:pPr>
        <w:pStyle w:val="ListParagraph"/>
        <w:numPr>
          <w:ilvl w:val="0"/>
          <w:numId w:val="84"/>
        </w:numPr>
        <w:spacing w:before="120"/>
        <w:ind w:left="425" w:hanging="357"/>
        <w:contextualSpacing w:val="0"/>
      </w:pPr>
      <w:r w:rsidRPr="00364545">
        <w:t>From 2028, advertising relating to sales or promoting the sale of new private cars with high CO</w:t>
      </w:r>
      <w:r w:rsidRPr="00364545">
        <w:rPr>
          <w:vertAlign w:val="subscript"/>
        </w:rPr>
        <w:t>2</w:t>
      </w:r>
      <w:r w:rsidRPr="00364545">
        <w:t xml:space="preserve"> emissions;</w:t>
      </w:r>
    </w:p>
    <w:p w14:paraId="3E281E0C" w14:textId="77777777" w:rsidR="00865D8C" w:rsidRPr="00364545" w:rsidRDefault="00865D8C" w:rsidP="003F57EA">
      <w:pPr>
        <w:pStyle w:val="ListParagraph"/>
        <w:numPr>
          <w:ilvl w:val="0"/>
          <w:numId w:val="84"/>
        </w:numPr>
        <w:spacing w:before="120"/>
        <w:ind w:left="425" w:hanging="357"/>
        <w:contextualSpacing w:val="0"/>
      </w:pPr>
      <w:r w:rsidRPr="00364545">
        <w:t>Stating in an advert that a product or service is carbon neutral or using any wording of equivalent meaning or import, unless the advertiser makes an analysis of direct and indirect greenhouse gas emissions from the product or service easily available to the public, along with the steps taken to avoid, reduce and lastly offset the emissions from the product or service;</w:t>
      </w:r>
    </w:p>
    <w:p w14:paraId="2415792B" w14:textId="77777777" w:rsidR="00865D8C" w:rsidRPr="00364545" w:rsidRDefault="00865D8C" w:rsidP="003F57EA">
      <w:pPr>
        <w:pStyle w:val="ListParagraph"/>
        <w:numPr>
          <w:ilvl w:val="0"/>
          <w:numId w:val="84"/>
        </w:numPr>
        <w:spacing w:before="120"/>
        <w:ind w:left="425" w:hanging="357"/>
        <w:contextualSpacing w:val="0"/>
      </w:pPr>
      <w:r w:rsidRPr="00364545">
        <w:t>So-called “globalising” statements, that is the fact of stating that a product or service has a positive or no impact on the environment or that it is less harmful to the environment.</w:t>
      </w:r>
    </w:p>
    <w:p w14:paraId="66D6330C" w14:textId="77777777" w:rsidR="00865D8C" w:rsidRPr="00364545" w:rsidRDefault="00865D8C" w:rsidP="00865D8C"/>
    <w:p w14:paraId="427137B0" w14:textId="77777777" w:rsidR="00865D8C" w:rsidRPr="00364545" w:rsidRDefault="00865D8C" w:rsidP="00865D8C">
      <w:r w:rsidRPr="00364545">
        <w:t xml:space="preserve">These compulsory aspects are also combined with various self-governing initiatives by professionals in the field: </w:t>
      </w:r>
    </w:p>
    <w:p w14:paraId="0C723D19" w14:textId="77777777" w:rsidR="00865D8C" w:rsidRPr="00364545" w:rsidRDefault="00865D8C" w:rsidP="00865D8C"/>
    <w:p w14:paraId="159E999D" w14:textId="526997D3" w:rsidR="00865D8C" w:rsidRPr="00364545" w:rsidRDefault="00865D8C" w:rsidP="00865D8C">
      <w:r w:rsidRPr="00364545">
        <w:t xml:space="preserve">- </w:t>
      </w:r>
      <w:r w:rsidRPr="00364545">
        <w:rPr>
          <w:u w:val="single"/>
        </w:rPr>
        <w:t>Climate Contracts:</w:t>
      </w:r>
      <w:r w:rsidRPr="00364545">
        <w:t xml:space="preserve"> One of the goals of the Climate and Resilience law was to significantly reduce sales communications about products with an excessive impact on the climate, whilst enabling improved information to consumers by encouraging all actors (advertisers, PR agencies, advertising agencies and media) to upgrade their practices. Section 7 of the law concerns the obligation for companies marketing products or services subject to compulsory environmental labelling, to declare on a digital platform the energy class or the CO</w:t>
      </w:r>
      <w:r w:rsidRPr="00364545">
        <w:rPr>
          <w:vertAlign w:val="subscript"/>
        </w:rPr>
        <w:t>2</w:t>
      </w:r>
      <w:r w:rsidRPr="00364545">
        <w:t xml:space="preserve"> emissions class on the label, if their net advertising spend during the last accounting year was equal to or greater than 100,000 Euro. The General Commission for Sustainable Development has set up the platform devoted to declarations by the firms concerned and to the voluntary subscription of a climate contract. That platform can be consulted at publicite-responsable.ecologie.gouv.fr.</w:t>
      </w:r>
    </w:p>
    <w:p w14:paraId="0077D1FD" w14:textId="77777777" w:rsidR="00865D8C" w:rsidRPr="00364545" w:rsidRDefault="00865D8C" w:rsidP="00865D8C">
      <w:r w:rsidRPr="00364545">
        <w:br/>
      </w:r>
      <w:r w:rsidRPr="00364545">
        <w:rPr>
          <w:rFonts w:ascii="Calibri" w:hAnsi="Calibri"/>
        </w:rPr>
        <w:t> </w:t>
      </w:r>
      <w:r w:rsidRPr="00364545">
        <w:t>- Guidance from the National Consumer Council (CNC) on environmental allegations: The purpose of this guide, made both by professionals and consumers and run by the DGCCRF and the CGDD is to fight against greenwashing and manage the use of unregulated environmental allegations. This guide will be published at the start of the year 2023. Intended for consumers, that guide intends to provide keys to understanding the various allegations used. Also intended as a reference tool for professionals, it must enable them to communicate precisely and reliably and provide consumers with th information deemed relevant.</w:t>
      </w:r>
    </w:p>
    <w:p w14:paraId="7236356E" w14:textId="77777777" w:rsidR="001E2B1E" w:rsidRPr="00364545" w:rsidRDefault="001E2B1E" w:rsidP="003F57EA">
      <w:pPr>
        <w:pStyle w:val="Titre2Niveau2"/>
        <w:numPr>
          <w:ilvl w:val="0"/>
          <w:numId w:val="87"/>
        </w:numPr>
      </w:pPr>
      <w:bookmarkStart w:id="756" w:name="_Toc138341911"/>
      <w:r w:rsidRPr="00364545">
        <w:t>Education and Training</w:t>
      </w:r>
      <w:bookmarkEnd w:id="756"/>
    </w:p>
    <w:p w14:paraId="24ACC123" w14:textId="77777777" w:rsidR="001E2B1E" w:rsidRPr="00364545" w:rsidRDefault="001E2B1E" w:rsidP="003F57EA">
      <w:pPr>
        <w:pStyle w:val="Titre3Niveau3"/>
      </w:pPr>
      <w:bookmarkStart w:id="757" w:name="_Toc138341912"/>
      <w:r w:rsidRPr="00364545">
        <w:t>Education in sustainable development at school, deployed by the National Education Ministry across all schools, middle and high schools in France</w:t>
      </w:r>
      <w:bookmarkEnd w:id="757"/>
    </w:p>
    <w:p w14:paraId="127A1F14" w14:textId="77777777" w:rsidR="001E2B1E" w:rsidRPr="00364545" w:rsidRDefault="001E2B1E" w:rsidP="001E2B1E">
      <w:r w:rsidRPr="00364545">
        <w:t xml:space="preserve">The changes are major since the last report in 2017. </w:t>
      </w:r>
    </w:p>
    <w:p w14:paraId="7207010E" w14:textId="77777777" w:rsidR="001E2B1E" w:rsidRPr="00364545" w:rsidRDefault="001E2B1E" w:rsidP="00EF6DB6">
      <w:pPr>
        <w:pStyle w:val="Titre4niveau4"/>
      </w:pPr>
      <w:r w:rsidRPr="00364545">
        <w:t>Transverse and inter-disciplinary education</w:t>
      </w:r>
    </w:p>
    <w:p w14:paraId="11C0582C" w14:textId="77777777" w:rsidR="001E2B1E" w:rsidRPr="00364545" w:rsidRDefault="001E2B1E" w:rsidP="001E2B1E">
      <w:r w:rsidRPr="00364545">
        <w:t xml:space="preserve">In France, education on climate change issues is part of education about sustainable development and is done using an overarching approach which addresses all environmental issues, as well as the economic and social aspects of sustainable development. </w:t>
      </w:r>
    </w:p>
    <w:p w14:paraId="1B033A9F" w14:textId="77777777" w:rsidR="001E2B1E" w:rsidRPr="00364545" w:rsidRDefault="001E2B1E" w:rsidP="001E2B1E">
      <w:pPr>
        <w:rPr>
          <w:rFonts w:cstheme="minorHAnsi"/>
        </w:rPr>
      </w:pPr>
      <w:r w:rsidRPr="00364545">
        <w:t xml:space="preserve">Education about sustainable development is cross-curricular and can be found in the curriculum of all school subjects. It is also supported by practical educational projects involving students. </w:t>
      </w:r>
    </w:p>
    <w:p w14:paraId="65ECA6CC" w14:textId="77777777" w:rsidR="001E2B1E" w:rsidRPr="00364545" w:rsidRDefault="001E2B1E" w:rsidP="001E2B1E">
      <w:pPr>
        <w:rPr>
          <w:rFonts w:cstheme="minorHAnsi"/>
        </w:rPr>
      </w:pPr>
      <w:r w:rsidRPr="00364545">
        <w:t xml:space="preserve">It involves all pupils in all the branches of the national education system (general, technological and vocational), throughout their schooling, from nursery school to the end of secondary school. The aim is to enable the younger generation to acquire the keys to understanding, knowledge and skills in order to better understand the complexity of the modern world, and to better act in a manner which respects others and the environment. </w:t>
      </w:r>
    </w:p>
    <w:p w14:paraId="42C7D36D" w14:textId="7506FDBA" w:rsidR="001E2B1E" w:rsidRPr="00364545" w:rsidRDefault="003714FB" w:rsidP="001E2B1E">
      <w:hyperlink r:id="rId150" w:history="1">
        <w:r w:rsidR="00630688" w:rsidRPr="00364545">
          <w:rPr>
            <w:rStyle w:val="Hyperlink"/>
            <w:rFonts w:ascii="Calibri" w:hAnsi="Calibri"/>
          </w:rPr>
          <w:t>https://eduscol.education.fr/1117/education-au-developpement-durable</w:t>
        </w:r>
      </w:hyperlink>
    </w:p>
    <w:p w14:paraId="0706C4FB" w14:textId="77777777" w:rsidR="001E2B1E" w:rsidRPr="00364545" w:rsidRDefault="001E2B1E" w:rsidP="001E2B1E"/>
    <w:p w14:paraId="29BF967E" w14:textId="77777777" w:rsidR="001E2B1E" w:rsidRPr="00364545" w:rsidRDefault="001E2B1E" w:rsidP="00EF6DB6">
      <w:pPr>
        <w:pStyle w:val="Titre4niveau4"/>
      </w:pPr>
      <w:r w:rsidRPr="00364545">
        <w:t>Legislative strengthening in 2019 and then in 2021</w:t>
      </w:r>
    </w:p>
    <w:p w14:paraId="35FD3A4A" w14:textId="581B48FC" w:rsidR="001E2B1E" w:rsidRPr="00364545" w:rsidRDefault="001E2B1E" w:rsidP="001E2B1E">
      <w:pPr>
        <w:rPr>
          <w:rFonts w:cs="Calibri"/>
        </w:rPr>
      </w:pPr>
      <w:r w:rsidRPr="00364545">
        <w:t xml:space="preserve">In 2013, education about sustainable development entered in School remits codified in the Education Code, through the School Orientation and Refunding law of the 8th July, which introduced a special-purpose section </w:t>
      </w:r>
      <w:hyperlink r:id="rId151" w:history="1">
        <w:r w:rsidRPr="00364545">
          <w:rPr>
            <w:rStyle w:val="Hyperlink"/>
            <w:rFonts w:ascii="Calibri" w:hAnsi="Calibri"/>
          </w:rPr>
          <w:t>L. 312-19</w:t>
        </w:r>
      </w:hyperlink>
      <w:r w:rsidRPr="00364545">
        <w:t xml:space="preserve">. </w:t>
      </w:r>
    </w:p>
    <w:p w14:paraId="4EB1EC8B" w14:textId="77777777" w:rsidR="001E2B1E" w:rsidRPr="00364545" w:rsidRDefault="001E2B1E" w:rsidP="001E2B1E">
      <w:r w:rsidRPr="00364545">
        <w:t xml:space="preserve">In 2019, the law dated 26 July for a School of Trust completed this Article. </w:t>
      </w:r>
    </w:p>
    <w:p w14:paraId="1ACC6B29" w14:textId="6CA06262" w:rsidR="001E2B1E" w:rsidRPr="00364545" w:rsidRDefault="001E2B1E" w:rsidP="001E2B1E">
      <w:pPr>
        <w:rPr>
          <w:rFonts w:cs="Calibri"/>
        </w:rPr>
      </w:pPr>
      <w:r w:rsidRPr="00364545">
        <w:t xml:space="preserve">In 2021, based on the proposals of the Citizens' Climate Convention, the Climate and Resilience Act dated 22 August strengthened the legislative foundation of sustainable development education (new dedicated article </w:t>
      </w:r>
      <w:hyperlink r:id="rId152" w:history="1">
        <w:r w:rsidRPr="00364545">
          <w:rPr>
            <w:rStyle w:val="Hyperlink"/>
            <w:rFonts w:ascii="Calibri" w:hAnsi="Calibri"/>
          </w:rPr>
          <w:t>L. 121-8</w:t>
        </w:r>
      </w:hyperlink>
      <w:r w:rsidRPr="00364545">
        <w:t xml:space="preserve"> of the Education Code). It also extended the remit of the Health and Citizenship Education Committees, which are partnership bodies in lower and upper secondary schools, to become CESCEs - Committees for Education in Health, Citizenship and the Environment (Article </w:t>
      </w:r>
      <w:hyperlink r:id="rId153" w:history="1">
        <w:r w:rsidRPr="00364545">
          <w:rPr>
            <w:rStyle w:val="Hyperlink"/>
            <w:rFonts w:ascii="Calibri" w:hAnsi="Calibri"/>
          </w:rPr>
          <w:t>L. 421-8</w:t>
        </w:r>
      </w:hyperlink>
      <w:r w:rsidRPr="00364545">
        <w:t xml:space="preserve"> of the Education Code).</w:t>
      </w:r>
    </w:p>
    <w:p w14:paraId="2F37D57E" w14:textId="2F285792" w:rsidR="001E2B1E" w:rsidRPr="00364545" w:rsidRDefault="001E2B1E" w:rsidP="001E2B1E">
      <w:pPr>
        <w:rPr>
          <w:rFonts w:cstheme="minorHAnsi"/>
        </w:rPr>
      </w:pPr>
      <w:r w:rsidRPr="00364545">
        <w:t xml:space="preserve">The Climate and Resilience Act dated 22 August 2021 also reaffirms the responsibility of the Ministry of Education in terms of content, the implementation of this content and the roll-out of sustainable development education in schools. </w:t>
      </w:r>
    </w:p>
    <w:p w14:paraId="0C061533" w14:textId="77777777" w:rsidR="001E2B1E" w:rsidRPr="00364545" w:rsidRDefault="001E2B1E" w:rsidP="00EF6DB6">
      <w:pPr>
        <w:pStyle w:val="Titre4niveau4"/>
      </w:pPr>
      <w:r w:rsidRPr="00364545">
        <w:t xml:space="preserve">Two structural circulars in 2019 and 2020 are incorporated into Agenda 2030. </w:t>
      </w:r>
    </w:p>
    <w:p w14:paraId="6067F182" w14:textId="39CD7B29" w:rsidR="001E2B1E" w:rsidRPr="00364545" w:rsidRDefault="001E2B1E" w:rsidP="001E2B1E">
      <w:r w:rsidRPr="00364545">
        <w:t xml:space="preserve">The last two ministerial circulars on sustainable development education, dated </w:t>
      </w:r>
      <w:hyperlink r:id="rId154" w:history="1">
        <w:r w:rsidRPr="00364545">
          <w:rPr>
            <w:rStyle w:val="Hyperlink"/>
            <w:rFonts w:ascii="Calibri" w:hAnsi="Calibri"/>
          </w:rPr>
          <w:t>27 August 2019</w:t>
        </w:r>
      </w:hyperlink>
      <w:r w:rsidRPr="00364545">
        <w:t xml:space="preserve"> and </w:t>
      </w:r>
      <w:hyperlink r:id="rId155" w:history="1">
        <w:r w:rsidRPr="00364545">
          <w:rPr>
            <w:rStyle w:val="Hyperlink"/>
            <w:rFonts w:ascii="Calibri" w:hAnsi="Calibri"/>
          </w:rPr>
          <w:t>24 September 2020</w:t>
        </w:r>
      </w:hyperlink>
      <w:r w:rsidRPr="00364545">
        <w:rPr>
          <w:rStyle w:val="Hyperlink"/>
          <w:rFonts w:ascii="Calibri" w:hAnsi="Calibri"/>
        </w:rPr>
        <w:t>,</w:t>
      </w:r>
      <w:r w:rsidRPr="00364545">
        <w:t xml:space="preserve"> outlined the main principles of sustainable development education and invited educational institutions to be exemplary models in their own right. Connected with the adoption in September 2019 of the Agenda 2030 roadmap for France, the EDD were entered into the context of international commitments for France through Agenda 2030 and the 17 sustainable development goals (ODD) adopted by the United Nations. </w:t>
      </w:r>
    </w:p>
    <w:p w14:paraId="0EA8F9F9" w14:textId="1CA8C554" w:rsidR="001E2B1E" w:rsidRPr="00364545" w:rsidRDefault="001E2B1E" w:rsidP="001E2B1E">
      <w:r w:rsidRPr="00364545">
        <w:t>To accompany students and National Education partners, the Ministry of National Education and Youth published a reference work in January 2021:</w:t>
      </w:r>
      <w:r w:rsidRPr="00364545">
        <w:rPr>
          <w:b/>
        </w:rPr>
        <w:t xml:space="preserve"> </w:t>
      </w:r>
      <w:r w:rsidRPr="00364545">
        <w:t xml:space="preserve">The </w:t>
      </w:r>
      <w:hyperlink r:id="rId156" w:history="1">
        <w:r w:rsidRPr="00364545">
          <w:rPr>
            <w:rStyle w:val="Hyperlink"/>
            <w:rFonts w:ascii="Calibri" w:hAnsi="Calibri"/>
          </w:rPr>
          <w:t xml:space="preserve">vademecum </w:t>
        </w:r>
        <w:r w:rsidRPr="00364545">
          <w:rPr>
            <w:rStyle w:val="Hyperlink"/>
            <w:rFonts w:ascii="Calibri" w:hAnsi="Calibri"/>
            <w:i/>
          </w:rPr>
          <w:t>« Eduquer au développement durable à l’horizon 2030 »</w:t>
        </w:r>
      </w:hyperlink>
      <w:r w:rsidRPr="00364545">
        <w:t xml:space="preserve"> which sets out the stakes, and concepts and presents examples.</w:t>
      </w:r>
    </w:p>
    <w:p w14:paraId="038A6E99" w14:textId="77777777" w:rsidR="001E2B1E" w:rsidRPr="00364545" w:rsidRDefault="001E2B1E" w:rsidP="00EF6DB6">
      <w:pPr>
        <w:pStyle w:val="Titre4niveau4"/>
      </w:pPr>
      <w:r w:rsidRPr="00364545">
        <w:t>Enriched school programmes in 2019 and 2020.</w:t>
      </w:r>
    </w:p>
    <w:p w14:paraId="70C18C57" w14:textId="77777777" w:rsidR="001E2B1E" w:rsidRPr="00364545" w:rsidRDefault="001E2B1E" w:rsidP="001E2B1E">
      <w:r w:rsidRPr="00364545">
        <w:t xml:space="preserve">Following an appeal to the Higher Council for Programmes by the Minister in 2019, school programmes were enriched in the fields of biodiversity and climate, and more generally in the field of sustainable development. High school programmes were reinforced at the start of the 2019 school year and primary school and middle school programmes were reinforced at the start of the 2020 school year. Professional diplomas were also progressively revised sector by sector to develop skills and professional behaviour that is more favourable to ecological transition and to enhance trade references to energy and ecological transition. </w:t>
      </w:r>
    </w:p>
    <w:p w14:paraId="4C31DE9D" w14:textId="77777777" w:rsidR="001E2B1E" w:rsidRPr="00364545" w:rsidRDefault="001E2B1E" w:rsidP="001E2B1E">
      <w:r w:rsidRPr="00364545">
        <w:t>In September 2022 the Minister appealed to the Higher Council for Programmes to formulate proposals in order to enhance the project dynamics and to set up a reference base of skills in the fields of biodiversity and the climate, and more widely in the various domains of sustainable development.</w:t>
      </w:r>
    </w:p>
    <w:p w14:paraId="3036145D" w14:textId="77777777" w:rsidR="001E2B1E" w:rsidRPr="00364545" w:rsidRDefault="001E2B1E" w:rsidP="001E2B1E"/>
    <w:p w14:paraId="25B7F9C5" w14:textId="77777777" w:rsidR="001E2B1E" w:rsidRPr="00364545" w:rsidRDefault="001E2B1E" w:rsidP="00EF6DB6">
      <w:pPr>
        <w:pStyle w:val="Titre4niveau4"/>
      </w:pPr>
      <w:r w:rsidRPr="00364545">
        <w:t>Eco-delegate pupils mobilised in all classes since the start of the 2020 school year.</w:t>
      </w:r>
    </w:p>
    <w:p w14:paraId="1DF5C712" w14:textId="77777777" w:rsidR="001E2B1E" w:rsidRPr="00364545" w:rsidRDefault="001E2B1E" w:rsidP="001E2B1E">
      <w:pPr>
        <w:rPr>
          <w:rFonts w:cs="Calibri"/>
        </w:rPr>
      </w:pPr>
      <w:r w:rsidRPr="00364545">
        <w:t xml:space="preserve">Since the start of the 2020 school year, class eco-delegate pupils are elected at middle and high school in application of the September 2020 circular which recommends this also from middle school classes CM1-CM2. </w:t>
      </w:r>
    </w:p>
    <w:p w14:paraId="78E2C278" w14:textId="77777777" w:rsidR="001E2B1E" w:rsidRPr="00364545" w:rsidRDefault="001E2B1E" w:rsidP="001E2B1E">
      <w:r w:rsidRPr="00364545">
        <w:t xml:space="preserve">Class eco-delegates play a role in training and contribute to raising the awareness of all pupils. They perform action and run projects in favour of the environment and sustainable development, especially in favour of the climate, They are accompanied by the educating community (teachers, management team, manages, canteen managers, technical staff, etc.) and by outside partners (associations, local authorities, scientific experts...). </w:t>
      </w:r>
    </w:p>
    <w:p w14:paraId="2E4B79FE" w14:textId="77777777" w:rsidR="001E2B1E" w:rsidRPr="00364545" w:rsidRDefault="001E2B1E" w:rsidP="001E2B1E">
      <w:pPr>
        <w:rPr>
          <w:color w:val="1F497D"/>
        </w:rPr>
      </w:pPr>
      <w:r w:rsidRPr="00364545">
        <w:t>Despite the health crisis that accompanied this collective work over the last two school years, the eco.delegates system has been applied widely. Its results are numerous and diverse: combating food waste, reducing energy consumption, producing biodiversity, planting and redesigning the courtyard, re-using items. Inter-generational solidarity or directed towards deprived persons, and sorting and reducing waste.</w:t>
      </w:r>
      <w:r w:rsidRPr="00364545">
        <w:rPr>
          <w:color w:val="1F497D"/>
        </w:rPr>
        <w:t xml:space="preserve"> </w:t>
      </w:r>
    </w:p>
    <w:p w14:paraId="2093DD9E" w14:textId="48AAB9C4" w:rsidR="001E2B1E" w:rsidRPr="00364545" w:rsidRDefault="001E2B1E" w:rsidP="001E2B1E">
      <w:r w:rsidRPr="00364545">
        <w:t xml:space="preserve">In 2020, the Ministry of National Education and Youth created the </w:t>
      </w:r>
      <w:hyperlink r:id="rId157" w:history="1">
        <w:r w:rsidRPr="00364545">
          <w:rPr>
            <w:rStyle w:val="Hyperlink"/>
            <w:rFonts w:ascii="Calibri" w:hAnsi="Calibri"/>
          </w:rPr>
          <w:t>Prix de l’action éco-déléguée de l’année</w:t>
        </w:r>
      </w:hyperlink>
      <w:r w:rsidRPr="00364545">
        <w:rPr>
          <w:rStyle w:val="Hyperlink"/>
          <w:rFonts w:ascii="Calibri" w:hAnsi="Calibri"/>
        </w:rPr>
        <w:t xml:space="preserve"> </w:t>
      </w:r>
      <w:r w:rsidRPr="00364545">
        <w:t xml:space="preserve">to encourage and enhance the action of eco-delegates, which has given rise to the appointment of academic and national prizes in each of three categories schools, middle and high schools. </w:t>
      </w:r>
    </w:p>
    <w:p w14:paraId="63A9AFCB" w14:textId="5C75D96F" w:rsidR="001E2B1E" w:rsidRPr="00364545" w:rsidRDefault="001E2B1E" w:rsidP="001E2B1E">
      <w:r w:rsidRPr="00364545">
        <w:t xml:space="preserve">The national and academic prize-winning projects: </w:t>
      </w:r>
      <w:hyperlink r:id="rId158" w:history="1">
        <w:r w:rsidRPr="00364545">
          <w:rPr>
            <w:rStyle w:val="Hyperlink"/>
            <w:rFonts w:ascii="Calibri" w:hAnsi="Calibri"/>
          </w:rPr>
          <w:t>https://eduscol.education.fr/1121/les-eco-delegues</w:t>
        </w:r>
      </w:hyperlink>
    </w:p>
    <w:p w14:paraId="7FC9DDD4" w14:textId="5A51775D" w:rsidR="001E2B1E" w:rsidRPr="00364545" w:rsidRDefault="001E2B1E" w:rsidP="001E2B1E">
      <w:r w:rsidRPr="00364545">
        <w:t xml:space="preserve">The national 2022 hit-parade: </w:t>
      </w:r>
      <w:hyperlink r:id="rId159" w:history="1">
        <w:r w:rsidRPr="00364545">
          <w:rPr>
            <w:rStyle w:val="Hyperlink"/>
            <w:rFonts w:ascii="Calibri" w:hAnsi="Calibri"/>
          </w:rPr>
          <w:t>https://eduscol.education.fr/document/42448/download</w:t>
        </w:r>
      </w:hyperlink>
    </w:p>
    <w:p w14:paraId="7E4FFB1C" w14:textId="77777777" w:rsidR="001E2B1E" w:rsidRPr="00364545" w:rsidRDefault="001E2B1E" w:rsidP="001E2B1E"/>
    <w:p w14:paraId="5D614CFE" w14:textId="77777777" w:rsidR="001E2B1E" w:rsidRPr="00364545" w:rsidRDefault="001E2B1E" w:rsidP="00EF6DB6">
      <w:pPr>
        <w:pStyle w:val="Titre4niveau4"/>
      </w:pPr>
      <w:r w:rsidRPr="00364545">
        <w:t xml:space="preserve">10,000 schools and scholastic establishments now qualified </w:t>
      </w:r>
    </w:p>
    <w:p w14:paraId="78D394CC" w14:textId="77777777" w:rsidR="001E2B1E" w:rsidRPr="00364545" w:rsidRDefault="001E2B1E" w:rsidP="001E2B1E">
      <w:r w:rsidRPr="00364545">
        <w:t>In order to make teaching action and the management of the establishment consistently in favour of the environment and sustainable development, the E3D qualification was developed to recognise and encourage schools and establishments commit to an overall approach to sustainable development. Articulated along with the action to manage, maintain or renovate the establishment, educational projects have been developed with the pupils who are at the heart of the approach.</w:t>
      </w:r>
    </w:p>
    <w:p w14:paraId="68003EDB" w14:textId="77777777" w:rsidR="001E2B1E" w:rsidRPr="00364545" w:rsidRDefault="001E2B1E" w:rsidP="001E2B1E">
      <w:r w:rsidRPr="00364545">
        <w:t xml:space="preserve">Today, close to 10,000 schools and establishments are E3D qualified according to the latest national annual report (October 2022) that is, 17% of schools, middle schools and high schools in France. </w:t>
      </w:r>
    </w:p>
    <w:p w14:paraId="6C78555C" w14:textId="457320B4" w:rsidR="001E2B1E" w:rsidRPr="00364545" w:rsidRDefault="003714FB" w:rsidP="001E2B1E">
      <w:pPr>
        <w:rPr>
          <w:rStyle w:val="Hyperlink"/>
          <w:rFonts w:ascii="Calibri" w:hAnsi="Calibri"/>
        </w:rPr>
      </w:pPr>
      <w:hyperlink r:id="rId160" w:history="1">
        <w:r w:rsidR="00630688" w:rsidRPr="00364545">
          <w:rPr>
            <w:rStyle w:val="Hyperlink"/>
            <w:rFonts w:ascii="Calibri" w:hAnsi="Calibri"/>
          </w:rPr>
          <w:t>https://eduscol.education.fr/1118/la-labellisation-e3d</w:t>
        </w:r>
      </w:hyperlink>
    </w:p>
    <w:p w14:paraId="5F6FA9A6" w14:textId="77777777" w:rsidR="001E2B1E" w:rsidRPr="00364545" w:rsidRDefault="001E2B1E" w:rsidP="001E2B1E">
      <w:pPr>
        <w:rPr>
          <w:rFonts w:cs="Calibri"/>
        </w:rPr>
      </w:pPr>
    </w:p>
    <w:p w14:paraId="59CC2FA0" w14:textId="77777777" w:rsidR="001E2B1E" w:rsidRPr="00364545" w:rsidRDefault="001E2B1E" w:rsidP="00EF6DB6">
      <w:pPr>
        <w:pStyle w:val="Titre4niveau4"/>
      </w:pPr>
      <w:r w:rsidRPr="00364545">
        <w:t>Enhanced guidance at all levels since 2020.</w:t>
      </w:r>
    </w:p>
    <w:p w14:paraId="094C03AA" w14:textId="77777777" w:rsidR="001E2B1E" w:rsidRPr="00364545" w:rsidRDefault="001E2B1E" w:rsidP="001E2B1E">
      <w:r w:rsidRPr="00364545">
        <w:t>At the level of middle and high schools, the principal is invited by the circular of September 2020 to appoint an establishment EDD contact, who is most often a teacher. At education authority level, education authority EDD mission heads are instructed by the authority head to run the EDD. At national level, it is run by the general directorate for school tuition (DGESCO), at the level of the top sustainable development civil servant (HFDD) at the ministry that runs the network of EDD education authorities in particular.</w:t>
      </w:r>
    </w:p>
    <w:p w14:paraId="443551DF" w14:textId="77777777" w:rsidR="001E2B1E" w:rsidRPr="00364545" w:rsidRDefault="001E2B1E" w:rsidP="001E2B1E"/>
    <w:p w14:paraId="4C92ABEE" w14:textId="77777777" w:rsidR="001E2B1E" w:rsidRPr="00364545" w:rsidRDefault="001E2B1E" w:rsidP="00EF6DB6">
      <w:pPr>
        <w:pStyle w:val="Titre4niveau4"/>
      </w:pPr>
      <w:r w:rsidRPr="00364545">
        <w:t>Enhanced deployment with upgraded school buildings</w:t>
      </w:r>
    </w:p>
    <w:p w14:paraId="31DAB416" w14:textId="4665384F" w:rsidR="001E2B1E" w:rsidRPr="00364545" w:rsidRDefault="001E2B1E" w:rsidP="001E2B1E">
      <w:pPr>
        <w:rPr>
          <w:rStyle w:val="Hyperlink"/>
          <w:rFonts w:ascii="Calibri" w:hAnsi="Calibri"/>
        </w:rPr>
      </w:pPr>
      <w:r w:rsidRPr="00364545">
        <w:t>In order to support the educational community and local authorities in their choices, in June 2022 the National Education Ministry distributed a set of “Building the School” guides, in coordination with the Ministry’s general secretariat, for school buildings that re better suited to contemporary stakes, inducing that of ecological transition.</w:t>
      </w:r>
      <w:r w:rsidRPr="00364545">
        <w:rPr>
          <w:color w:val="1F497D"/>
        </w:rPr>
        <w:t xml:space="preserve"> </w:t>
      </w:r>
      <w:r w:rsidRPr="00364545">
        <w:t xml:space="preserve">A network of educational authority school building contacts was set up. In addition, practical recommendations relating to low-energy consumption have been published at the end of 2022 with recommendations about plants in school courtyards due in 2023. </w:t>
      </w:r>
      <w:hyperlink r:id="rId161" w:history="1">
        <w:r w:rsidRPr="00364545">
          <w:rPr>
            <w:rStyle w:val="Hyperlink"/>
            <w:rFonts w:ascii="Calibri" w:hAnsi="Calibri"/>
          </w:rPr>
          <w:t>https://batiscolaire.education.gouv.fr/</w:t>
        </w:r>
      </w:hyperlink>
    </w:p>
    <w:p w14:paraId="2E3B75AD" w14:textId="15737A5B" w:rsidR="001E2B1E" w:rsidRPr="00364545" w:rsidRDefault="001E2B1E" w:rsidP="001E2B1E">
      <w:r w:rsidRPr="00364545">
        <w:t>Under the patronage of the ministries and on an initiative from the French Institute for Building Performance (IFPEB) and the Centre for Studies for the Ministries in charge of Ecology, Cerema, a support arrangement for school establishments was set up, challenge Cube.S, whose results are remarkable: 23 to 25% on average reduction in energy consumption for the 700 middle and high schools involved (</w:t>
      </w:r>
      <w:hyperlink r:id="rId162" w:history="1">
        <w:r w:rsidRPr="00364545">
          <w:rPr>
            <w:rFonts w:ascii="Calibri" w:hAnsi="Calibri"/>
            <w:u w:val="single"/>
          </w:rPr>
          <w:t>https://www.cube-s.org/</w:t>
        </w:r>
      </w:hyperlink>
      <w:r w:rsidRPr="00364545">
        <w:t xml:space="preserve"> and </w:t>
      </w:r>
      <w:hyperlink r:id="rId163" w:history="1">
        <w:r w:rsidRPr="00364545">
          <w:rPr>
            <w:rFonts w:ascii="Calibri" w:hAnsi="Calibri"/>
            <w:u w:val="single"/>
          </w:rPr>
          <w:t>https://www.cube-s.org/retours-dexperience-du-challenge-cube-s/</w:t>
        </w:r>
      </w:hyperlink>
      <w:r w:rsidRPr="00364545">
        <w:t>).</w:t>
      </w:r>
    </w:p>
    <w:p w14:paraId="3A1E44D7" w14:textId="77777777" w:rsidR="001E2B1E" w:rsidRPr="00364545" w:rsidRDefault="001E2B1E" w:rsidP="001E2B1E"/>
    <w:p w14:paraId="3643C186" w14:textId="77777777" w:rsidR="001E2B1E" w:rsidRPr="00364545" w:rsidRDefault="001E2B1E" w:rsidP="003F57EA">
      <w:pPr>
        <w:pStyle w:val="Titre3Niveau3"/>
      </w:pPr>
      <w:bookmarkStart w:id="758" w:name="_Toc138341913"/>
      <w:r w:rsidRPr="00364545">
        <w:t>Enhanced teacher training and teaching resources</w:t>
      </w:r>
      <w:bookmarkEnd w:id="758"/>
      <w:r w:rsidRPr="00364545">
        <w:t xml:space="preserve"> </w:t>
      </w:r>
    </w:p>
    <w:p w14:paraId="60640E37" w14:textId="541EE3A1" w:rsidR="001E2B1E" w:rsidRPr="00364545" w:rsidRDefault="001E2B1E" w:rsidP="001E2B1E">
      <w:pPr>
        <w:rPr>
          <w:rFonts w:cstheme="minorHAnsi"/>
          <w:noProof/>
        </w:rPr>
      </w:pPr>
      <w:r w:rsidRPr="00364545">
        <w:t xml:space="preserve">As regards further education, issues related to sustainable development education have been integrated into the Ministry of Education’s National Training Plan (PNF) with the organisation of the annual Resource Forum on Education for Sustainable Development (FOREDD) (FOREDD), which has been in existence for 15 years. Other PNF education courses address these themes in the various disciplines, particularly in history/geography, life and earth sciences, and economic and social sciences, as well as in digital science and philosophy. At an academic level, academic training programmes include modules dedicated to sustainable development education, especially for history/geography and life and earth sciences teachers. </w:t>
      </w:r>
    </w:p>
    <w:p w14:paraId="79823A54" w14:textId="77777777" w:rsidR="001E2B1E" w:rsidRPr="00364545" w:rsidRDefault="001E2B1E" w:rsidP="001E2B1E">
      <w:pPr>
        <w:rPr>
          <w:rFonts w:cstheme="minorHAnsi"/>
        </w:rPr>
      </w:pPr>
      <w:r w:rsidRPr="00364545">
        <w:t xml:space="preserve">For two consecutive years, the Ministry has been reinforcing the PNF with new national training courses in addition to the FOREDD with the aim of training both teaching staff and managers in order to forge a common culture regarding sustainable development education. Climate change issues are integrated into these courses. </w:t>
      </w:r>
    </w:p>
    <w:p w14:paraId="1404AD5E" w14:textId="77777777" w:rsidR="001E2B1E" w:rsidRPr="00364545" w:rsidRDefault="001E2B1E" w:rsidP="001E2B1E">
      <w:r w:rsidRPr="00364545">
        <w:t>The Ministry for National Education support the production and structuring of teaching resources. More than twenty national partnerships were signed or enhanced in 2021-2022, especially in the field of the climate, with expert and research bodies and associations and foundations acknowledged in their field. Teaching resources are produced by the Office for Climate Education (OCE) whose official recognition in 2020 by UNESCO as a lass 2 centre was supported by the Ministry for National Education. By seconding a teacher to OCE, the ministry financially supports the production of teaching resources to enable teachers to take advantage of GIEC reports The Tara Ocean Foundation, a Ministry partner for 15 years, produces teaching resources on the close links between the oceans and the climate. We can also quote a role-play for pupils, a simulation tool of COP , Climate, which is in the process of being devised by the French Development Agency (AFD) in the context of a partnership with the ministry, using OCE expertise.</w:t>
      </w:r>
    </w:p>
    <w:p w14:paraId="127BA493" w14:textId="77777777" w:rsidR="001E2B1E" w:rsidRPr="00364545" w:rsidRDefault="001E2B1E" w:rsidP="001E2B1E">
      <w:pPr>
        <w:spacing w:after="120"/>
        <w:ind w:left="6"/>
        <w:rPr>
          <w:rFonts w:ascii="Calibri" w:hAnsi="Calibri" w:cstheme="minorHAnsi"/>
          <w:szCs w:val="22"/>
        </w:rPr>
      </w:pPr>
    </w:p>
    <w:p w14:paraId="2C656270" w14:textId="388AD375" w:rsidR="001E2B1E" w:rsidRPr="00364545" w:rsidRDefault="001E2B1E" w:rsidP="00170EEB">
      <w:pPr>
        <w:rPr>
          <w:rFonts w:asciiTheme="minorHAnsi" w:hAnsiTheme="minorHAnsi"/>
        </w:rPr>
      </w:pPr>
      <w:r w:rsidRPr="00364545">
        <w:t xml:space="preserve">Besides </w:t>
      </w:r>
      <w:r w:rsidRPr="00364545">
        <w:rPr>
          <w:rFonts w:asciiTheme="minorHAnsi" w:hAnsiTheme="minorHAnsi"/>
        </w:rPr>
        <w:t xml:space="preserve">Cerema referred to above, specialist public establishments offer several teaching tools to teachers or directly to pupils, such as the Ademe sites (respectively for pupils </w:t>
      </w:r>
      <w:hyperlink r:id="rId164" w:history="1">
        <w:r w:rsidRPr="00364545">
          <w:rPr>
            <w:rFonts w:asciiTheme="minorHAnsi" w:hAnsiTheme="minorHAnsi"/>
            <w:u w:val="single"/>
          </w:rPr>
          <w:t>https://www.mtaterre.fr/</w:t>
        </w:r>
      </w:hyperlink>
      <w:r w:rsidRPr="00364545">
        <w:rPr>
          <w:rFonts w:asciiTheme="minorHAnsi" w:hAnsiTheme="minorHAnsi"/>
        </w:rPr>
        <w:t xml:space="preserve"> and for teachers: </w:t>
      </w:r>
      <w:hyperlink r:id="rId165" w:history="1">
        <w:r w:rsidRPr="00364545">
          <w:rPr>
            <w:rFonts w:asciiTheme="minorHAnsi" w:hAnsiTheme="minorHAnsi"/>
            <w:u w:val="single"/>
          </w:rPr>
          <w:t>www.agirpourlatransition.ademe.fr/acteurs-education</w:t>
        </w:r>
      </w:hyperlink>
      <w:r w:rsidRPr="00364545">
        <w:rPr>
          <w:rFonts w:asciiTheme="minorHAnsi" w:hAnsiTheme="minorHAnsi"/>
        </w:rPr>
        <w:t xml:space="preserve">) or the Natural History Museum </w:t>
      </w:r>
      <w:hyperlink r:id="rId166" w:history="1">
        <w:r w:rsidRPr="00364545">
          <w:rPr>
            <w:rFonts w:asciiTheme="minorHAnsi" w:hAnsiTheme="minorHAnsi"/>
            <w:u w:val="single"/>
          </w:rPr>
          <w:t>https://www.mnhn.fr/fr/enseignants</w:t>
        </w:r>
      </w:hyperlink>
      <w:r w:rsidRPr="00364545">
        <w:rPr>
          <w:rFonts w:asciiTheme="minorHAnsi" w:hAnsiTheme="minorHAnsi"/>
        </w:rPr>
        <w:t xml:space="preserve">. </w:t>
      </w:r>
    </w:p>
    <w:p w14:paraId="487E1DA8" w14:textId="481FDF03" w:rsidR="001E2B1E" w:rsidRPr="00364545" w:rsidRDefault="001E2B1E" w:rsidP="00170EEB">
      <w:pPr>
        <w:rPr>
          <w:rFonts w:asciiTheme="minorHAnsi" w:hAnsiTheme="minorHAnsi"/>
        </w:rPr>
      </w:pPr>
      <w:r w:rsidRPr="00364545">
        <w:t xml:space="preserve">The “educational areas” arrangement coordinated by the French Biodiversity </w:t>
      </w:r>
      <w:r w:rsidRPr="00364545">
        <w:rPr>
          <w:rFonts w:asciiTheme="minorHAnsi" w:hAnsiTheme="minorHAnsi"/>
        </w:rPr>
        <w:t>Office, has met with increasing success with establishments and teachers (</w:t>
      </w:r>
      <w:hyperlink r:id="rId167" w:history="1">
        <w:r w:rsidRPr="00364545">
          <w:rPr>
            <w:rFonts w:asciiTheme="minorHAnsi" w:hAnsiTheme="minorHAnsi"/>
            <w:u w:val="single"/>
          </w:rPr>
          <w:t>https://www.ofb.gouv.fr/aires-educatives</w:t>
        </w:r>
      </w:hyperlink>
      <w:r w:rsidRPr="00364545">
        <w:rPr>
          <w:rFonts w:asciiTheme="minorHAnsi" w:hAnsiTheme="minorHAnsi"/>
        </w:rPr>
        <w:t>). Each area is a small natural area managed hands-on by the pupils of a school or of a middle school. Managed by their teachers and a structure for education on the environment, pupils get together in the form of a “children's’ council” and take all decisions about their educational area.</w:t>
      </w:r>
    </w:p>
    <w:p w14:paraId="29448E00" w14:textId="77777777" w:rsidR="001E2B1E" w:rsidRPr="00364545" w:rsidRDefault="001E2B1E" w:rsidP="00170EEB">
      <w:pPr>
        <w:rPr>
          <w:rFonts w:asciiTheme="minorHAnsi" w:hAnsiTheme="minorHAnsi"/>
        </w:rPr>
      </w:pPr>
      <w:r w:rsidRPr="00364545">
        <w:rPr>
          <w:rFonts w:asciiTheme="minorHAnsi" w:hAnsiTheme="minorHAnsi"/>
        </w:rPr>
        <w:t>The Water Agencies (agencies organised by basin, covering all water producers, managers and users) offer teachers “water classes” for several consecutive days, giving rise to being hosted by professionals, school outings and workshops, and lastly in the form of production by the class, of an exhibition, a video or a journal.</w:t>
      </w:r>
    </w:p>
    <w:p w14:paraId="460852EB" w14:textId="6FF3A648" w:rsidR="001E2B1E" w:rsidRPr="00364545" w:rsidRDefault="001E2B1E" w:rsidP="00170EEB">
      <w:pPr>
        <w:rPr>
          <w:rFonts w:asciiTheme="minorHAnsi" w:hAnsiTheme="minorHAnsi"/>
        </w:rPr>
      </w:pPr>
      <w:r w:rsidRPr="00364545">
        <w:rPr>
          <w:rFonts w:asciiTheme="minorHAnsi" w:hAnsiTheme="minorHAnsi"/>
        </w:rPr>
        <w:t xml:space="preserve">The MétéoFrance body offers in school surroundings the “Weather at school” project, which translates into making weather stations available to school establishments, and several scientific and teaching data sheets: </w:t>
      </w:r>
      <w:hyperlink r:id="rId168" w:history="1">
        <w:r w:rsidRPr="00364545">
          <w:rPr>
            <w:rStyle w:val="Hyperlink"/>
            <w:rFonts w:asciiTheme="minorHAnsi" w:hAnsiTheme="minorHAnsi"/>
          </w:rPr>
          <w:t>https://www.sciencealecole.org/plan-meteo-a-lecole-presentation</w:t>
        </w:r>
      </w:hyperlink>
      <w:r w:rsidRPr="00364545">
        <w:rPr>
          <w:rFonts w:asciiTheme="minorHAnsi" w:hAnsiTheme="minorHAnsi"/>
        </w:rPr>
        <w:t>.</w:t>
      </w:r>
    </w:p>
    <w:p w14:paraId="4861CEB2" w14:textId="77777777" w:rsidR="001E2B1E" w:rsidRPr="00364545" w:rsidRDefault="001E2B1E" w:rsidP="00EF6DB6">
      <w:pPr>
        <w:pStyle w:val="Titre4niveau4"/>
      </w:pPr>
      <w:r w:rsidRPr="00364545">
        <w:t>New measures in the pipeline</w:t>
      </w:r>
    </w:p>
    <w:p w14:paraId="6B436DE2" w14:textId="77777777" w:rsidR="001E2B1E" w:rsidRPr="00364545" w:rsidRDefault="001E2B1E" w:rsidP="001E2B1E">
      <w:r w:rsidRPr="00364545">
        <w:t xml:space="preserve">The circular for the start of the 2022 academic year placed ecological transition amongst the ministerial priorities. </w:t>
      </w:r>
    </w:p>
    <w:p w14:paraId="14DB7489" w14:textId="77777777" w:rsidR="001E2B1E" w:rsidRPr="00364545" w:rsidRDefault="001E2B1E" w:rsidP="001E2B1E">
      <w:r w:rsidRPr="00364545">
        <w:rPr>
          <w:color w:val="000000"/>
        </w:rPr>
        <w:t xml:space="preserve">Schools and colleges have been asked to carry on with their actions. This involves continuing with educational projects of which there are already many in number, notably those carried out by the eco-delegates, as well as schools and establishments placing the environmental and energy transition at the heart of their programme, notably through the E3D accreditation. </w:t>
      </w:r>
    </w:p>
    <w:p w14:paraId="421261F1" w14:textId="77777777" w:rsidR="001E2B1E" w:rsidRPr="00364545" w:rsidRDefault="001E2B1E" w:rsidP="001E2B1E">
      <w:r w:rsidRPr="00364545">
        <w:t>A</w:t>
      </w:r>
      <w:r w:rsidRPr="00364545">
        <w:rPr>
          <w:color w:val="000000"/>
        </w:rPr>
        <w:t xml:space="preserve"> guide for the ecological transition of schools and educational establishments will be published in early 2023.</w:t>
      </w:r>
      <w:r w:rsidRPr="00364545">
        <w:t xml:space="preserve">. </w:t>
      </w:r>
    </w:p>
    <w:p w14:paraId="564440E7" w14:textId="77777777" w:rsidR="001E2B1E" w:rsidRPr="00364545" w:rsidRDefault="001E2B1E" w:rsidP="001E2B1E">
      <w:r w:rsidRPr="00364545">
        <w:t xml:space="preserve">The National Education Ministry has applied to the Higher Programmes Council (CSP) at the end of September 2022, to formulate proposals to enhance learning about sustainable development, especially in the fields of biodiversity and climate, and preparing a grading of skills. On that basis, the National Remote Teaching Centre (CNED) will develop a digital certification tool for the levels of skill acquired by pupils. </w:t>
      </w:r>
    </w:p>
    <w:p w14:paraId="4259A7E1" w14:textId="3085B981" w:rsidR="00774E19" w:rsidRPr="00364545" w:rsidRDefault="001E2B1E" w:rsidP="001E2B1E">
      <w:r w:rsidRPr="00364545">
        <w:t>All of this work will enable new measures to be defined to go even further in education about sustainable development in the school environment, which will contribute in particular to applying section 5 of the Law on Climate and Resilience (sect. L.121-8 of the Education Code).</w:t>
      </w:r>
    </w:p>
    <w:p w14:paraId="152A4C1A" w14:textId="77777777" w:rsidR="00774E19" w:rsidRPr="00364545" w:rsidRDefault="00774E19" w:rsidP="001E2B1E"/>
    <w:p w14:paraId="69DD033E" w14:textId="3D7FDCCD" w:rsidR="00774E19" w:rsidRPr="00364545" w:rsidRDefault="00774E19" w:rsidP="003F57EA">
      <w:pPr>
        <w:pStyle w:val="titreencadre"/>
        <w:numPr>
          <w:ilvl w:val="3"/>
          <w:numId w:val="87"/>
        </w:numPr>
      </w:pPr>
      <w:r w:rsidRPr="00364545">
        <w:t>Youth Training by the National Universal Service (SNU)</w:t>
      </w:r>
    </w:p>
    <w:p w14:paraId="5ED24F5E" w14:textId="77777777" w:rsidR="00774E19" w:rsidRPr="00364545" w:rsidRDefault="00774E19" w:rsidP="00774E19">
      <w:r w:rsidRPr="00364545">
        <w:t>The cohesion trip offers an opportunity to position the stakes of sustainable development in response to both the expectations of youth in terms of citizen commitment and the need to identify a common thread for all the activities on the trip.</w:t>
      </w:r>
    </w:p>
    <w:p w14:paraId="453BADED" w14:textId="77777777" w:rsidR="00774E19" w:rsidRPr="00364545" w:rsidRDefault="00774E19" w:rsidP="00774E19">
      <w:r w:rsidRPr="00364545">
        <w:t>As of 2019, the ministry had suggested that SNU rely upon Agenda 2030 and its 17 interdependent sustainable development goals (ODD), to which public policy subscribes through the ministries, form the basis of this cohesion trip.</w:t>
      </w:r>
    </w:p>
    <w:p w14:paraId="1D8C42B4" w14:textId="77777777" w:rsidR="00774E19" w:rsidRPr="00364545" w:rsidRDefault="00774E19" w:rsidP="00774E19">
      <w:r w:rsidRPr="00364545">
        <w:t>The ministry for ecological transitioning and the cohesion of lands has produced data sheets on ten topics, identifying the priority messages: water quality, biodiversity, energy and climate change, circular economy, mobility, air quality, hazards, social economy and solidarity, environment and health and food. A data sheet on site exemplarity has also been produced. These 10 topics are intended to be handled transversally, in the same way as the subjects contributed by other ministries: from very practical activities (sporting activity, nature workshops, discussions with socio-economic players, etc.). This involves presenting ecological transition and solidarity as a transformation towards a new economic and social order which renews the ways we live, work, produce and consume together in such as way as to meet the challenges of climate change, or resource scarcity, of the accelerated loss of biodiversity and the multiplication of environmental health hazards.</w:t>
      </w:r>
    </w:p>
    <w:p w14:paraId="28E7B28F" w14:textId="77777777" w:rsidR="00774E19" w:rsidRPr="00364545" w:rsidRDefault="00774E19" w:rsidP="00774E19">
      <w:r w:rsidRPr="00364545">
        <w:t>Since this year, the national specifications for cohesion trips includes an obligation to keep a “Biodiversity Journal”. The content of that journal is managed, and specified/adapted for each centre, in association with local biodiversity payers (nature parks, associations, etc.). A report is required to ensure the correct application of that obligation and to draw initial lessons, in a continual improvement approach.</w:t>
      </w:r>
    </w:p>
    <w:p w14:paraId="5BB9D025" w14:textId="77777777" w:rsidR="00774E19" w:rsidRPr="00364545" w:rsidRDefault="00774E19" w:rsidP="00774E19"/>
    <w:p w14:paraId="0272FE20" w14:textId="77777777" w:rsidR="00774E19" w:rsidRPr="00364545" w:rsidRDefault="00774E19" w:rsidP="00774E19">
      <w:r w:rsidRPr="00364545">
        <w:t>Cohesion trip figures:</w:t>
      </w:r>
    </w:p>
    <w:p w14:paraId="108BCD92" w14:textId="47C843EC" w:rsidR="00774E19" w:rsidRPr="00364545" w:rsidRDefault="00774E19" w:rsidP="00BE086C">
      <w:pPr>
        <w:pStyle w:val="ListParagraph"/>
        <w:numPr>
          <w:ilvl w:val="0"/>
          <w:numId w:val="48"/>
        </w:numPr>
      </w:pPr>
      <w:r w:rsidRPr="00364545">
        <w:t>2021: with a minimum of one centre per departement, 15,000 youths were actually hosted;</w:t>
      </w:r>
    </w:p>
    <w:p w14:paraId="5E5A1981" w14:textId="5761C384" w:rsidR="00774E19" w:rsidRPr="00364545" w:rsidRDefault="00774E19" w:rsidP="00BE086C">
      <w:pPr>
        <w:pStyle w:val="ListParagraph"/>
        <w:numPr>
          <w:ilvl w:val="0"/>
          <w:numId w:val="48"/>
        </w:numPr>
      </w:pPr>
      <w:r w:rsidRPr="00364545">
        <w:t>2022: target 50,000 youths. In the summer, three sessions had been organised, enabling a total of close to 32,000 youths to be hosted.</w:t>
      </w:r>
    </w:p>
    <w:p w14:paraId="0BEBF4F1" w14:textId="6E36339F" w:rsidR="00774E19" w:rsidRPr="00364545" w:rsidRDefault="00774E19" w:rsidP="00BE086C">
      <w:pPr>
        <w:pStyle w:val="ListParagraph"/>
        <w:numPr>
          <w:ilvl w:val="0"/>
          <w:numId w:val="48"/>
        </w:numPr>
      </w:pPr>
      <w:r w:rsidRPr="00364545">
        <w:t>2023: five cohesion trip sessions, with an increasing goal with a view of extending it to all youths of 15 to 20 years old.</w:t>
      </w:r>
    </w:p>
    <w:p w14:paraId="4290FE4D" w14:textId="7C713FC5" w:rsidR="00774E19" w:rsidRPr="00364545" w:rsidRDefault="00774E19" w:rsidP="003F57EA">
      <w:pPr>
        <w:pStyle w:val="Titre2Niveau2"/>
        <w:numPr>
          <w:ilvl w:val="0"/>
          <w:numId w:val="87"/>
        </w:numPr>
      </w:pPr>
      <w:bookmarkStart w:id="759" w:name="_Toc138341914"/>
      <w:r w:rsidRPr="00364545">
        <w:t>Public Awareness Raising and Participation</w:t>
      </w:r>
      <w:bookmarkEnd w:id="759"/>
    </w:p>
    <w:p w14:paraId="4F789F65" w14:textId="77777777" w:rsidR="00774E19" w:rsidRPr="00364545" w:rsidRDefault="00774E19" w:rsidP="00774E19">
      <w:pPr>
        <w:spacing w:before="240" w:after="240"/>
      </w:pPr>
      <w:r w:rsidRPr="00364545">
        <w:t xml:space="preserve">The information campaigns organised by France between 2014 and 2017 on the importance of combating climate change have been, directly or indirectly, motivated by: </w:t>
      </w:r>
    </w:p>
    <w:p w14:paraId="6187D435" w14:textId="77777777" w:rsidR="00774E19" w:rsidRPr="00364545" w:rsidRDefault="00774E19" w:rsidP="003F57EA">
      <w:pPr>
        <w:pStyle w:val="Titre3Niveau3"/>
      </w:pPr>
      <w:bookmarkStart w:id="760" w:name="_Toc138341915"/>
      <w:bookmarkStart w:id="761" w:name="_Toc122084425"/>
      <w:r w:rsidRPr="00364545">
        <w:t>Citizen Participation</w:t>
      </w:r>
      <w:bookmarkEnd w:id="760"/>
      <w:r w:rsidRPr="00364545">
        <w:t xml:space="preserve"> </w:t>
      </w:r>
      <w:bookmarkEnd w:id="761"/>
    </w:p>
    <w:p w14:paraId="32E4F263" w14:textId="77777777" w:rsidR="00774E19" w:rsidRPr="00364545" w:rsidRDefault="00774E19" w:rsidP="00774E19">
      <w:r w:rsidRPr="00364545">
        <w:t xml:space="preserve">Public participation in preparing national policies to mitigate and adapt have always been a major concern for France taking account of the complexity and societal stakes of these issues. </w:t>
      </w:r>
    </w:p>
    <w:p w14:paraId="1433807B" w14:textId="77777777" w:rsidR="00774E19" w:rsidRPr="00364545" w:rsidRDefault="00774E19" w:rsidP="00774E19">
      <w:r w:rsidRPr="00364545">
        <w:t xml:space="preserve">The 2016 order recalls the goals pursued for public participation: </w:t>
      </w:r>
    </w:p>
    <w:p w14:paraId="16D4B139" w14:textId="77777777" w:rsidR="00774E19" w:rsidRPr="00364545" w:rsidRDefault="00774E19" w:rsidP="003F57EA">
      <w:pPr>
        <w:pStyle w:val="ListParagraph"/>
        <w:numPr>
          <w:ilvl w:val="0"/>
          <w:numId w:val="85"/>
        </w:numPr>
      </w:pPr>
      <w:r w:rsidRPr="00364545">
        <w:t xml:space="preserve">Improving the quality of public decision making and contributing to its greater democratic legitimacy: </w:t>
      </w:r>
    </w:p>
    <w:p w14:paraId="789F9692" w14:textId="77777777" w:rsidR="00774E19" w:rsidRPr="00364545" w:rsidRDefault="00774E19" w:rsidP="003F57EA">
      <w:pPr>
        <w:pStyle w:val="ListParagraph"/>
        <w:numPr>
          <w:ilvl w:val="0"/>
          <w:numId w:val="85"/>
        </w:numPr>
      </w:pPr>
      <w:r w:rsidRPr="00364545">
        <w:t xml:space="preserve">Ensuring the conservation of a healthy environment; </w:t>
      </w:r>
    </w:p>
    <w:p w14:paraId="1D604817" w14:textId="77777777" w:rsidR="00774E19" w:rsidRPr="00364545" w:rsidRDefault="00774E19" w:rsidP="003F57EA">
      <w:pPr>
        <w:pStyle w:val="ListParagraph"/>
        <w:numPr>
          <w:ilvl w:val="0"/>
          <w:numId w:val="85"/>
        </w:numPr>
      </w:pPr>
      <w:r w:rsidRPr="00364545">
        <w:t>Raising public awareness and educating it on environmental protection:</w:t>
      </w:r>
    </w:p>
    <w:p w14:paraId="11BA674F" w14:textId="2B1C9975" w:rsidR="00774E19" w:rsidRPr="00364545" w:rsidRDefault="00774E19" w:rsidP="003F57EA">
      <w:pPr>
        <w:pStyle w:val="ListParagraph"/>
        <w:numPr>
          <w:ilvl w:val="0"/>
          <w:numId w:val="85"/>
        </w:numPr>
      </w:pPr>
      <w:r w:rsidRPr="00364545">
        <w:t>Improving and diversifying environmental information.</w:t>
      </w:r>
      <w:r w:rsidRPr="00364545">
        <w:rPr>
          <w:rFonts w:ascii="Calibri" w:hAnsi="Calibri"/>
        </w:rPr>
        <w:t xml:space="preserve"> </w:t>
      </w:r>
    </w:p>
    <w:p w14:paraId="371A0A15" w14:textId="77777777" w:rsidR="00774E19" w:rsidRPr="00364545" w:rsidRDefault="00774E19" w:rsidP="00774E19"/>
    <w:p w14:paraId="7D018CEF" w14:textId="1269BB8D" w:rsidR="00774E19" w:rsidRPr="00364545" w:rsidRDefault="00774E19" w:rsidP="00774E19">
      <w:r w:rsidRPr="00364545">
        <w:t>Citizen involvement is decisive for achieving ecological and energy transitioning, in various forms that enable citizen opinions to be collected and associated with building their living context:</w:t>
      </w:r>
    </w:p>
    <w:p w14:paraId="3F88ADB4" w14:textId="77777777" w:rsidR="00774E19" w:rsidRPr="00364545" w:rsidRDefault="00774E19" w:rsidP="003F57EA">
      <w:pPr>
        <w:pStyle w:val="ListParagraph"/>
        <w:numPr>
          <w:ilvl w:val="0"/>
          <w:numId w:val="86"/>
        </w:numPr>
      </w:pPr>
      <w:r w:rsidRPr="00364545">
        <w:t>The National Council foe Ecological Transitioning (CNTE) which gives structural opinions on policies of ecological transitioning;</w:t>
      </w:r>
    </w:p>
    <w:p w14:paraId="797C960C" w14:textId="77777777" w:rsidR="00774E19" w:rsidRPr="00364545" w:rsidRDefault="00774E19" w:rsidP="003F57EA">
      <w:pPr>
        <w:pStyle w:val="ListParagraph"/>
        <w:numPr>
          <w:ilvl w:val="0"/>
          <w:numId w:val="86"/>
        </w:numPr>
      </w:pPr>
      <w:r w:rsidRPr="00364545">
        <w:t>Public cooperation (CCC, energy mix, etc.) ;</w:t>
      </w:r>
    </w:p>
    <w:p w14:paraId="3B954B63" w14:textId="77777777" w:rsidR="00774E19" w:rsidRPr="00364545" w:rsidRDefault="00774E19" w:rsidP="003F57EA">
      <w:pPr>
        <w:pStyle w:val="ListParagraph"/>
        <w:numPr>
          <w:ilvl w:val="0"/>
          <w:numId w:val="86"/>
        </w:numPr>
      </w:pPr>
      <w:r w:rsidRPr="00364545">
        <w:t>Experiments such as those performed with Bruno Latour: “Where do we land?</w:t>
      </w:r>
      <w:r w:rsidRPr="00364545">
        <w:rPr>
          <w:rFonts w:ascii="Calibri" w:hAnsi="Calibri"/>
        </w:rPr>
        <w:t> </w:t>
      </w:r>
      <w:r w:rsidRPr="00364545">
        <w:t>“</w:t>
      </w:r>
    </w:p>
    <w:p w14:paraId="6979E6B6" w14:textId="77777777" w:rsidR="00774E19" w:rsidRPr="00364545" w:rsidRDefault="00774E19" w:rsidP="003F57EA">
      <w:pPr>
        <w:pStyle w:val="ListParagraph"/>
        <w:numPr>
          <w:ilvl w:val="0"/>
          <w:numId w:val="86"/>
        </w:numPr>
      </w:pPr>
      <w:r w:rsidRPr="00364545">
        <w:t>Considerations and feedback on experience such as at the 21</w:t>
      </w:r>
      <w:r w:rsidRPr="00364545">
        <w:rPr>
          <w:vertAlign w:val="superscript"/>
        </w:rPr>
        <w:t>st</w:t>
      </w:r>
      <w:r w:rsidRPr="00364545">
        <w:t xml:space="preserve"> OIDP Conference, the World Summit on Participative Democracy, in Grenoble (France) from 7</w:t>
      </w:r>
      <w:r w:rsidRPr="00364545">
        <w:rPr>
          <w:vertAlign w:val="superscript"/>
        </w:rPr>
        <w:t>th</w:t>
      </w:r>
      <w:r w:rsidRPr="00364545">
        <w:t xml:space="preserve"> to 10</w:t>
      </w:r>
      <w:r w:rsidRPr="00364545">
        <w:rPr>
          <w:vertAlign w:val="superscript"/>
        </w:rPr>
        <w:t>th</w:t>
      </w:r>
      <w:r w:rsidRPr="00364545">
        <w:t xml:space="preserve"> December 2021, whose topic was “Moving to Action! Towards democratic renewal faced with the ecological, health and social crises”;</w:t>
      </w:r>
    </w:p>
    <w:p w14:paraId="0494B47B" w14:textId="6D4AA7BD" w:rsidR="00774E19" w:rsidRPr="00364545" w:rsidRDefault="00465F43" w:rsidP="003F57EA">
      <w:pPr>
        <w:pStyle w:val="ListParagraph"/>
        <w:numPr>
          <w:ilvl w:val="0"/>
          <w:numId w:val="86"/>
        </w:numPr>
      </w:pPr>
      <w:r w:rsidRPr="00364545">
        <w:t>CGDD initiatives such as the Topic “Citizen initiatives and ecological transitioning: what are the stakes for public action?</w:t>
      </w:r>
      <w:r w:rsidRPr="00364545">
        <w:rPr>
          <w:rFonts w:ascii="Calibri" w:hAnsi="Calibri"/>
        </w:rPr>
        <w:t> </w:t>
      </w:r>
      <w:r w:rsidRPr="00364545">
        <w:t>“(</w:t>
      </w:r>
      <w:hyperlink r:id="rId169" w:history="1">
        <w:r w:rsidRPr="00364545">
          <w:rPr>
            <w:sz w:val="18"/>
          </w:rPr>
          <w:t>https://www.ecologie.gouv.fr/sites/default/files/Thema%20-%20Initiatives%20citoyennes%20et%20transition%20%C3%A9cologique.pdf</w:t>
        </w:r>
      </w:hyperlink>
      <w:r w:rsidRPr="00364545">
        <w:t>)</w:t>
      </w:r>
      <w:r w:rsidRPr="00364545">
        <w:br/>
      </w:r>
      <w:r w:rsidRPr="00364545">
        <w:br/>
        <w:t xml:space="preserve">See also: </w:t>
      </w:r>
      <w:hyperlink r:id="rId170" w:history="1">
        <w:r w:rsidRPr="00364545">
          <w:t>https://www.ecologie.gouv.fr/dialogue-environnemental</w:t>
        </w:r>
      </w:hyperlink>
    </w:p>
    <w:p w14:paraId="35B64E50" w14:textId="77777777" w:rsidR="00774E19" w:rsidRPr="00364545" w:rsidRDefault="00774E19" w:rsidP="00774E19"/>
    <w:p w14:paraId="0381FD1B" w14:textId="335DFA1C" w:rsidR="001E2B1E" w:rsidRPr="00364545" w:rsidRDefault="00774E19" w:rsidP="003F57EA">
      <w:pPr>
        <w:pStyle w:val="Titre3Niveau3"/>
      </w:pPr>
      <w:bookmarkStart w:id="762" w:name="_Toc138341916"/>
      <w:r w:rsidRPr="00364545">
        <w:t>Youth delegates: the representatives of youth in climate negotiating teams and harbingers of future public participation in France</w:t>
      </w:r>
      <w:bookmarkEnd w:id="762"/>
    </w:p>
    <w:p w14:paraId="3D2620A1" w14:textId="77777777" w:rsidR="00B26AC0" w:rsidRPr="00364545" w:rsidRDefault="00B26AC0" w:rsidP="001E2B1E">
      <w:r w:rsidRPr="00364545">
        <w:t>With an aim of encouraging youth to take part in climate action and of enhancing the transparency of negotiation processes with in the Framework Agreement of the United Nations on Climate Change, in 2009 France set up the “Youth delegates for the climate” programme. This programme enables young French citizens to accompany the French inter-ministerial team on climate negations during sessions of subsidiary bodies and the Conference of CCNUCC Parties.</w:t>
      </w:r>
    </w:p>
    <w:p w14:paraId="2CD79B40" w14:textId="64C6E403" w:rsidR="001E2B1E" w:rsidRPr="00364545" w:rsidRDefault="00B26AC0" w:rsidP="001E2B1E">
      <w:r w:rsidRPr="00364545">
        <w:t>Youth delegates will have the possibility of choosing the topics of negotiation they wish to follow, together with the expert in charge of the topic and, if they do not speak on behalf of France during negotiations, they contribute to the work of he French delegation by sharing their opinions prior to and during negotiating. The experience and knowledge acquired during those negotiations are then shared by the Youth delegates in conferences and debates, and during their talks at middle and higher schools and higher education establishments, so they can inform and raise the awareness of the young on the stakes in the combat against climate change. During negotiations, the Youth delegates also make a link with young French people present on site, so that the latter can talk about it with French negotiators.</w:t>
      </w:r>
    </w:p>
    <w:p w14:paraId="0869326E" w14:textId="77777777" w:rsidR="00774E19" w:rsidRPr="00364545" w:rsidRDefault="00774E19" w:rsidP="003F57EA">
      <w:pPr>
        <w:pStyle w:val="Titre3Niveau3"/>
      </w:pPr>
      <w:bookmarkStart w:id="763" w:name="_Toc138341917"/>
      <w:r w:rsidRPr="00364545">
        <w:t>Informing Consumers on the Impact of Products on the Climate and Environment</w:t>
      </w:r>
      <w:bookmarkEnd w:id="763"/>
      <w:r w:rsidRPr="00364545">
        <w:rPr>
          <w:highlight w:val="yellow"/>
        </w:rPr>
        <w:t xml:space="preserve"> </w:t>
      </w:r>
    </w:p>
    <w:p w14:paraId="46C06A4C" w14:textId="77777777" w:rsidR="00774E19" w:rsidRPr="00364545" w:rsidRDefault="00774E19" w:rsidP="00774E19">
      <w:pPr>
        <w:spacing w:before="240" w:after="240"/>
      </w:pPr>
      <w:r w:rsidRPr="00364545">
        <w:t xml:space="preserve">The Climate and Resilience Law in 2021, inspired by the proposals of the Citizen Convention for the Climate, provides for the set-up of </w:t>
      </w:r>
      <w:r w:rsidRPr="00364545">
        <w:rPr>
          <w:b/>
          <w:bCs/>
        </w:rPr>
        <w:t>compulsory environmental labelling</w:t>
      </w:r>
      <w:r w:rsidRPr="00364545">
        <w:t xml:space="preserve"> on consumer products. This information on the carbon and environmental footprint on products is intended to orient consumer purchases towards more virtuous products whilst pushing manufacturers to improve the eco-design of their products. </w:t>
      </w:r>
    </w:p>
    <w:p w14:paraId="5EBAB242" w14:textId="6E81FAC7" w:rsidR="00774E19" w:rsidRPr="00364545" w:rsidRDefault="00774E19" w:rsidP="00774E19">
      <w:pPr>
        <w:spacing w:before="240" w:after="240"/>
        <w:rPr>
          <w:rFonts w:ascii="Calibri" w:hAnsi="Calibri" w:cs="Calibri"/>
          <w:b/>
        </w:rPr>
      </w:pPr>
      <w:r w:rsidRPr="00364545">
        <w:t xml:space="preserve">Work is in progress in the food and textile sectors, with the participation of a very large number of firms, whose results will be taken into account for drafting the application measures due </w:t>
      </w:r>
      <w:r w:rsidRPr="00364545">
        <w:rPr>
          <w:b/>
          <w:bCs/>
        </w:rPr>
        <w:t>from 2023.</w:t>
      </w:r>
    </w:p>
    <w:p w14:paraId="591F65F3" w14:textId="77777777" w:rsidR="0014226E" w:rsidRPr="00364545" w:rsidRDefault="0014226E" w:rsidP="003F57EA">
      <w:pPr>
        <w:pStyle w:val="Titre3Niveau3"/>
      </w:pPr>
      <w:bookmarkStart w:id="764" w:name="_Toc138341918"/>
      <w:r w:rsidRPr="00364545">
        <w:t>Making Editing and Weather Services in Newscasts</w:t>
      </w:r>
      <w:bookmarkEnd w:id="764"/>
      <w:r w:rsidRPr="00364545">
        <w:t xml:space="preserve"> </w:t>
      </w:r>
    </w:p>
    <w:p w14:paraId="249701EE" w14:textId="77777777" w:rsidR="0014226E" w:rsidRPr="00364545" w:rsidRDefault="0014226E" w:rsidP="0014226E">
      <w:r w:rsidRPr="00364545">
        <w:t xml:space="preserve">In the context of new commitments made by the France Télévisions group in the handling of current affairs on topics related to the environment, the ministry communications directorate has organised several encounters with the director of the group national newsrooms, the “Planet” department newsroom and ministry departments. Ahead of COP27, the ministry has, after the media summer break in 2022, launched discussions with the France Télévisions group. The project continued for COP15, which enabled a linkage to be formed between the two COP sessions and to explain how the two topics are interrelated. </w:t>
      </w:r>
    </w:p>
    <w:p w14:paraId="5031DB74" w14:textId="77777777" w:rsidR="0014226E" w:rsidRPr="00364545" w:rsidRDefault="0014226E" w:rsidP="0014226E"/>
    <w:p w14:paraId="23BCE2BC" w14:textId="77777777" w:rsidR="0014226E" w:rsidRPr="00364545" w:rsidRDefault="0014226E" w:rsidP="0014226E">
      <w:r w:rsidRPr="00364545">
        <w:t>Effectively the public service group has reformed the environment cell within its newsroom, and has renewed the way in which weather is handled on air, to connect more to climate change, with the purpose of having a new formula from January 2023.</w:t>
      </w:r>
    </w:p>
    <w:p w14:paraId="205307DD" w14:textId="77777777" w:rsidR="0014226E" w:rsidRPr="00364545" w:rsidRDefault="0014226E" w:rsidP="0014226E"/>
    <w:p w14:paraId="2C615A4A" w14:textId="77777777" w:rsidR="0014226E" w:rsidRPr="00364545" w:rsidRDefault="0014226E" w:rsidP="0014226E">
      <w:r w:rsidRPr="00364545">
        <w:t>The ministry was thus able to present scientific elements to the newsroom on the impact of climate change based on proven scientific data to help group programmes evolve. The discussions launched were continued later to get optimal media cover of COP15 in biodiversity.</w:t>
      </w:r>
    </w:p>
    <w:p w14:paraId="2DD19AC8" w14:textId="77777777" w:rsidR="0014226E" w:rsidRPr="00364545" w:rsidRDefault="0014226E" w:rsidP="0014226E"/>
    <w:p w14:paraId="5D2BB296" w14:textId="77777777" w:rsidR="0014226E" w:rsidRPr="00364545" w:rsidRDefault="0014226E" w:rsidP="0014226E">
      <w:r w:rsidRPr="00364545">
        <w:t xml:space="preserve">Beyond that specific action on COP, which will be likely continued, the ministry had previously trained several newsrooms (Ouest France, TF1 weather services and BFM TV, etc.) on the stakes involved in climate change. The ministry also made a partnership with “Medias en Seine”, a reference festival for the world of media and communications. </w:t>
      </w:r>
    </w:p>
    <w:p w14:paraId="706F0CB7" w14:textId="77777777" w:rsidR="0014226E" w:rsidRPr="00364545" w:rsidRDefault="0014226E" w:rsidP="0014226E"/>
    <w:p w14:paraId="0B7E845B" w14:textId="6F47BBB8" w:rsidR="0014226E" w:rsidRPr="00364545" w:rsidRDefault="0014226E" w:rsidP="0014226E">
      <w:pPr>
        <w:spacing w:before="240" w:after="240"/>
      </w:pPr>
      <w:r w:rsidRPr="00364545">
        <w:t>These actions to raise media awareness are likely to grow in future, as there is very strong demand on the part of journalists.</w:t>
      </w:r>
    </w:p>
    <w:p w14:paraId="70A53506" w14:textId="77777777" w:rsidR="001E2B1E" w:rsidRPr="00364545" w:rsidRDefault="001E2B1E" w:rsidP="003F57EA">
      <w:pPr>
        <w:pStyle w:val="Titre2Niveau2"/>
        <w:numPr>
          <w:ilvl w:val="0"/>
          <w:numId w:val="87"/>
        </w:numPr>
      </w:pPr>
      <w:bookmarkStart w:id="765" w:name="_Toc138341919"/>
      <w:r w:rsidRPr="00364545">
        <w:t>Cooperation</w:t>
      </w:r>
      <w:bookmarkEnd w:id="765"/>
    </w:p>
    <w:p w14:paraId="208CC6EA" w14:textId="77777777" w:rsidR="001E2B1E" w:rsidRPr="00364545" w:rsidRDefault="001E2B1E" w:rsidP="003F57EA">
      <w:pPr>
        <w:pStyle w:val="Titre3Niveau3"/>
        <w:rPr>
          <w:rFonts w:asciiTheme="minorHAnsi" w:hAnsiTheme="minorHAnsi"/>
          <w:sz w:val="19"/>
        </w:rPr>
      </w:pPr>
      <w:bookmarkStart w:id="766" w:name="_Ref123207241"/>
      <w:bookmarkStart w:id="767" w:name="_Toc138341920"/>
      <w:r w:rsidRPr="00364545">
        <w:t>International Cooperation</w:t>
      </w:r>
      <w:bookmarkEnd w:id="766"/>
      <w:bookmarkEnd w:id="767"/>
    </w:p>
    <w:p w14:paraId="741915AD" w14:textId="5A1C188B" w:rsidR="00ED2A5C" w:rsidRPr="00364545" w:rsidRDefault="00ED2A5C" w:rsidP="00ED2A5C">
      <w:r w:rsidRPr="00364545">
        <w:t>The effects of climate change are accelerating, intensifying and spreading to all regions of the globe. Accordingly, the matter must be handled at world level: each country must commit to reducing its direct and imported emissions.</w:t>
      </w:r>
    </w:p>
    <w:p w14:paraId="02E66E35" w14:textId="77777777" w:rsidR="001B6866" w:rsidRPr="00364545" w:rsidRDefault="001B6866" w:rsidP="00ED2A5C"/>
    <w:p w14:paraId="016184EA" w14:textId="557C4E09" w:rsidR="00ED2A5C" w:rsidRPr="00364545" w:rsidRDefault="00ED2A5C" w:rsidP="00ED2A5C">
      <w:r w:rsidRPr="00364545">
        <w:t xml:space="preserve">International cooperation starts with European action. In the context of the application of the Paris Accord that is the framework for all countries’ action, the European Union (EU) and France have committed to reducing their emissions by at least 55% compared with 1990 and to be climate neutral by 2050 by voluntary means and by example. In order to support reaching these goals, a range of European legislative tools and sectoral strategies have been adopted to set them on a decarbonising trajectory in line with hose aims. </w:t>
      </w:r>
    </w:p>
    <w:p w14:paraId="1CCA86A3" w14:textId="77777777" w:rsidR="001B6866" w:rsidRPr="00364545" w:rsidRDefault="001B6866" w:rsidP="00ED2A5C"/>
    <w:p w14:paraId="1534AA40" w14:textId="77777777" w:rsidR="00ED2A5C" w:rsidRPr="00364545" w:rsidRDefault="00ED2A5C" w:rsidP="00ED2A5C">
      <w:r w:rsidRPr="00364545">
        <w:t>Furthermore, France supports an ambitions application of the Paris Accord in all relevant international forums and by collective action that brings together all parties involved. Combating climate change requires in-depth decarbonising economies and societies, needs massive investments, a change of behaviours, the preservation, restoration and enhancement of land aquatic and marine ecosystems and also disruptive technology innovation. That is why France takes its climate goals not just into fora that relate solely to climate, but also to finance and the economy, to ways of life, to environmental protection and biodiversity.</w:t>
      </w:r>
    </w:p>
    <w:p w14:paraId="2074174B" w14:textId="20546EFA" w:rsidR="00ED2A5C" w:rsidRPr="00364545" w:rsidRDefault="00ED2A5C" w:rsidP="00ED2A5C">
      <w:r w:rsidRPr="00364545">
        <w:t>Bilateral cooperation is also a preferential area where France works to extend climate action. In order to achieve that, it puts in place sharing on good practices and areas for discussion to coordinate and make the action of countries complementary.</w:t>
      </w:r>
    </w:p>
    <w:p w14:paraId="62322996" w14:textId="77777777" w:rsidR="001B6866" w:rsidRPr="00364545" w:rsidRDefault="001B6866" w:rsidP="00ED2A5C"/>
    <w:p w14:paraId="20AE6683" w14:textId="45BA8441" w:rsidR="00ED2A5C" w:rsidRPr="00364545" w:rsidRDefault="00ED2A5C" w:rsidP="00ED2A5C">
      <w:r w:rsidRPr="00364545">
        <w:t>France supports populations, especially the most vulnerable, in ecological transitioning. France acts regularly in this way through the French Development Agency, which implements cooperation projects, for mitigation or adapting.</w:t>
      </w:r>
    </w:p>
    <w:p w14:paraId="1F709ABD" w14:textId="77777777" w:rsidR="001B6866" w:rsidRPr="00364545" w:rsidRDefault="001B6866" w:rsidP="00ED2A5C"/>
    <w:p w14:paraId="5D9F6BA5" w14:textId="0D52F62D" w:rsidR="00ED2A5C" w:rsidRPr="00364545" w:rsidRDefault="00ED2A5C" w:rsidP="00ED2A5C">
      <w:r w:rsidRPr="00364545">
        <w:t>Non-state actors, local authorities, professional bodies, scientific and technical communities and NGOs have major influence linkages in European and international areas that favour experience sharing. France is working in particular to increase discussions with these national and international actors by increased concomitance, to share priorities and identify opportunities for shared and coordinated international initiatives.</w:t>
      </w:r>
    </w:p>
    <w:p w14:paraId="42BADB36" w14:textId="77777777" w:rsidR="001B6866" w:rsidRPr="00364545" w:rsidRDefault="001B6866" w:rsidP="00ED2A5C"/>
    <w:p w14:paraId="5BFEAF4D" w14:textId="77777777" w:rsidR="005B7447" w:rsidRPr="00364545" w:rsidRDefault="00ED2A5C" w:rsidP="00ED2A5C">
      <w:r w:rsidRPr="00364545">
        <w:t>France has set up multi-player coalitions (for example those launched during COP21, and the in following COPs, during the French presidency of the G7 in 2019, or arising from the One Planet Summit), and favours involving non-State actors in major multilateral events (for example the climate COPs), encourages ambitions common commitments and even launches shared initiatives.</w:t>
      </w:r>
    </w:p>
    <w:p w14:paraId="7FDD02F2" w14:textId="77777777" w:rsidR="005B7447" w:rsidRPr="00364545" w:rsidRDefault="005B7447" w:rsidP="00ED2A5C"/>
    <w:p w14:paraId="47F1760A" w14:textId="1D9043B6" w:rsidR="00ED2A5C" w:rsidRPr="00364545" w:rsidRDefault="005B7447" w:rsidP="00ED2A5C">
      <w:r w:rsidRPr="00364545">
        <w:t xml:space="preserve">By way of illustration, once could cite </w:t>
      </w:r>
      <w:r w:rsidRPr="00364545">
        <w:rPr>
          <w:b/>
          <w:bCs/>
        </w:rPr>
        <w:t>French involvement at international level to accelerate transitioning to a zero-emission property sector, that is energy efficient and resilient</w:t>
      </w:r>
      <w:r w:rsidRPr="00364545">
        <w:t xml:space="preserve"> to climate change. During COP21, France this launched, together with PNUE, the World Alliance for Buildings and Construction (</w:t>
      </w:r>
      <w:hyperlink r:id="rId171" w:history="1">
        <w:r w:rsidRPr="00364545">
          <w:rPr>
            <w:rStyle w:val="Hyperlink"/>
          </w:rPr>
          <w:t>www.globalABC.com</w:t>
        </w:r>
      </w:hyperlink>
      <w:r w:rsidRPr="00364545">
        <w:t xml:space="preserve">). That alliance, jointly presided over by France, now brings together 36 countries and more than 200 bodies. More recently, at COP27, France, with support from 15 other countries, launched enhanced inter-governmental cooperation, with a “Breakthrough” on buildings, to enable resilient buildings close to zero emissions to become the new normal by 2030. </w:t>
      </w:r>
    </w:p>
    <w:p w14:paraId="1630D84B" w14:textId="77777777" w:rsidR="001B6866" w:rsidRPr="00364545" w:rsidRDefault="001B6866" w:rsidP="00ED2A5C"/>
    <w:p w14:paraId="154A3EBE" w14:textId="6248062B" w:rsidR="00ED2A5C" w:rsidRPr="00364545" w:rsidRDefault="00ED2A5C" w:rsidP="00ED2A5C">
      <w:r w:rsidRPr="00364545">
        <w:t>France relies upon international science - policy expert platforms for all countries (for example the Inter-ministry Group of Experts on Climate Change (GIEC), the Inter-governmental Scientific and Political Platform on Biodiversity and Ecosystem Services (IPBES), the International Group of Resource Experts (GIER), or the One Health High-Level Expert Panel (OHHLEP)) to increase the effectiveness of public policy based on scientifically established data, fostering their incorporation into multilateral areas and heir being taken into account in national policies.</w:t>
      </w:r>
    </w:p>
    <w:p w14:paraId="0021872D" w14:textId="77777777" w:rsidR="001B6866" w:rsidRPr="00364545" w:rsidRDefault="001B6866" w:rsidP="00ED2A5C"/>
    <w:p w14:paraId="05C194FD" w14:textId="04763656" w:rsidR="0051771F" w:rsidRPr="00364545" w:rsidRDefault="00ED2A5C" w:rsidP="00ED2A5C">
      <w:r w:rsidRPr="00364545">
        <w:t>France, under the head of French speaking peoples, takes on a major share of the application of this commitment and also of the work performed by the Institute for the French-speaking world for sustainable development and especially for the drafting and publishing of guides and de-cyphering notes for climate negotiations. A good number of publications in French on climate change prepared by France are widely distributed within the international French-speaking community.</w:t>
      </w:r>
      <w:r w:rsidRPr="00364545">
        <w:br w:type="page"/>
      </w:r>
    </w:p>
    <w:p w14:paraId="43C4829F" w14:textId="77777777" w:rsidR="00E4163C" w:rsidRPr="00364545" w:rsidRDefault="00E4163C" w:rsidP="00E4163C">
      <w:pPr>
        <w:pStyle w:val="Textedesaisie"/>
        <w:ind w:left="0"/>
      </w:pPr>
    </w:p>
    <w:p w14:paraId="51FCDCEC" w14:textId="77777777" w:rsidR="00B56301" w:rsidRPr="00364545" w:rsidRDefault="00B56301" w:rsidP="00B56301">
      <w:pPr>
        <w:pStyle w:val="Titre1Niveau1"/>
      </w:pPr>
      <w:bookmarkStart w:id="768" w:name="_Toc122099540"/>
      <w:bookmarkStart w:id="769" w:name="_Toc138341921"/>
      <w:r w:rsidRPr="00364545">
        <w:t>Appendix I - Contribution so the Eighth National Communication by France under CCNUCC.</w:t>
      </w:r>
      <w:bookmarkEnd w:id="768"/>
      <w:bookmarkEnd w:id="769"/>
    </w:p>
    <w:p w14:paraId="6CB4200D" w14:textId="77777777" w:rsidR="00B56301" w:rsidRPr="00364545" w:rsidRDefault="00B56301" w:rsidP="00B56301">
      <w:r w:rsidRPr="00364545">
        <w:t>This document has been prepared by the Department for Combating the Greenhouse Effect within the General Directorate for Climate and Energy with the following contributions:</w:t>
      </w:r>
    </w:p>
    <w:p w14:paraId="553E7627" w14:textId="77777777" w:rsidR="00B56301" w:rsidRPr="00364545" w:rsidRDefault="00B56301" w:rsidP="00B56301">
      <w:pPr>
        <w:rPr>
          <w:b/>
        </w:rPr>
      </w:pPr>
    </w:p>
    <w:p w14:paraId="03B0DFB3" w14:textId="77777777" w:rsidR="00B56301" w:rsidRPr="00364545" w:rsidRDefault="00B56301" w:rsidP="00B56301">
      <w:pPr>
        <w:rPr>
          <w:b/>
        </w:rPr>
      </w:pPr>
      <w:r w:rsidRPr="00364545">
        <w:rPr>
          <w:b/>
        </w:rPr>
        <w:t>Chapter II</w:t>
      </w:r>
    </w:p>
    <w:p w14:paraId="338281B6" w14:textId="2E30F877" w:rsidR="00B56301" w:rsidRPr="00364545" w:rsidRDefault="00B56301" w:rsidP="00B56301">
      <w:r w:rsidRPr="00364545">
        <w:t>Contributions by: Jérôme Duvernoy (MTE/ONERC); Jonathan Hess (MTE/DGEC); Martin Laurenceau (MASA); Valérie Dermaux (MASA); Camille Leboeuf (MINEFI/DG Treasury)</w:t>
      </w:r>
    </w:p>
    <w:p w14:paraId="30B6F8FC" w14:textId="77777777" w:rsidR="00B56301" w:rsidRPr="00364545" w:rsidRDefault="00B56301" w:rsidP="00B56301">
      <w:pPr>
        <w:rPr>
          <w:b/>
        </w:rPr>
      </w:pPr>
    </w:p>
    <w:p w14:paraId="767ABB87" w14:textId="77777777" w:rsidR="00B56301" w:rsidRPr="00364545" w:rsidRDefault="00B56301" w:rsidP="00B56301">
      <w:pPr>
        <w:rPr>
          <w:b/>
        </w:rPr>
      </w:pPr>
      <w:r w:rsidRPr="00364545">
        <w:rPr>
          <w:b/>
        </w:rPr>
        <w:t>Chapter III</w:t>
      </w:r>
    </w:p>
    <w:p w14:paraId="5D791E08" w14:textId="35BA2550" w:rsidR="00B56301" w:rsidRPr="00364545" w:rsidRDefault="00B56301" w:rsidP="00B56301">
      <w:r w:rsidRPr="00364545">
        <w:t>Contributions by: Jonathan Hess (MTE/DGEC) and Jean-Pierre Chang (CITEPA)</w:t>
      </w:r>
    </w:p>
    <w:p w14:paraId="0A81F9A4" w14:textId="77777777" w:rsidR="00B56301" w:rsidRPr="00364545" w:rsidRDefault="00B56301" w:rsidP="00B56301">
      <w:pPr>
        <w:rPr>
          <w:b/>
        </w:rPr>
      </w:pPr>
    </w:p>
    <w:p w14:paraId="3752CF29" w14:textId="77777777" w:rsidR="00B56301" w:rsidRPr="00364545" w:rsidRDefault="00B56301" w:rsidP="00B56301">
      <w:pPr>
        <w:rPr>
          <w:b/>
        </w:rPr>
      </w:pPr>
      <w:r w:rsidRPr="00364545">
        <w:rPr>
          <w:b/>
        </w:rPr>
        <w:t>Chapter IV</w:t>
      </w:r>
    </w:p>
    <w:p w14:paraId="7EE235C7" w14:textId="34F716A4" w:rsidR="00B56301" w:rsidRPr="00364545" w:rsidRDefault="00B56301" w:rsidP="00B56301">
      <w:pPr>
        <w:jc w:val="left"/>
      </w:pPr>
      <w:r w:rsidRPr="00364545">
        <w:t>Contribution by Anthony Dicanot (MTE/CGDD); Isabelle Cabanne (MTE/DGEC/SCEE/DLCES/BEPM); Florian Tirana (MTE/DGEC/SCEE/DLCES/BEPM); Marjorie Doudnikoff (MTE/DGEC/SCEE/DLCES/BMC); Michel Duhalde (MTE/DGEC/SCEE/DLCES/BPCA); Elisabeth Pagnac-Farbiaz (MTE/DGEC/SCEE/DLCES/BPCA)</w:t>
      </w:r>
    </w:p>
    <w:p w14:paraId="473603FC" w14:textId="77777777" w:rsidR="00B56301" w:rsidRPr="00364545" w:rsidRDefault="00B56301" w:rsidP="00B56301">
      <w:pPr>
        <w:rPr>
          <w:b/>
        </w:rPr>
      </w:pPr>
    </w:p>
    <w:p w14:paraId="7E43BB93" w14:textId="77777777" w:rsidR="00B56301" w:rsidRPr="00364545" w:rsidRDefault="00B56301" w:rsidP="00B56301">
      <w:pPr>
        <w:rPr>
          <w:b/>
        </w:rPr>
      </w:pPr>
      <w:r w:rsidRPr="00364545">
        <w:rPr>
          <w:b/>
        </w:rPr>
        <w:t>Chapter V</w:t>
      </w:r>
    </w:p>
    <w:p w14:paraId="077FFF3A" w14:textId="31123CE1" w:rsidR="00B56301" w:rsidRPr="00364545" w:rsidRDefault="00B56301" w:rsidP="00B56301">
      <w:r w:rsidRPr="00364545">
        <w:t>Contributions by: Gwenaël Podesta (MTE/DGEC/SCEE/DLCES/BEPM)</w:t>
      </w:r>
    </w:p>
    <w:p w14:paraId="546EFB42" w14:textId="77777777" w:rsidR="00B56301" w:rsidRPr="00364545" w:rsidRDefault="00B56301" w:rsidP="00B56301">
      <w:pPr>
        <w:rPr>
          <w:b/>
        </w:rPr>
      </w:pPr>
    </w:p>
    <w:p w14:paraId="40A9ECBE" w14:textId="77777777" w:rsidR="00B56301" w:rsidRPr="00364545" w:rsidRDefault="00B56301" w:rsidP="00B56301">
      <w:pPr>
        <w:rPr>
          <w:b/>
        </w:rPr>
      </w:pPr>
      <w:r w:rsidRPr="00364545">
        <w:rPr>
          <w:b/>
        </w:rPr>
        <w:t>Chapter VI</w:t>
      </w:r>
    </w:p>
    <w:p w14:paraId="51EBFFBA" w14:textId="23FD61CA" w:rsidR="00B56301" w:rsidRPr="00364545" w:rsidRDefault="00B56301" w:rsidP="00B56301">
      <w:r w:rsidRPr="00364545">
        <w:t>Contributions by Jérôme Duvernoy (MTE/ONERC); Fabien Doisne (MTE/DGEC/SCEE/DLCES/BPCA)</w:t>
      </w:r>
    </w:p>
    <w:p w14:paraId="65BE6014" w14:textId="77777777" w:rsidR="00B56301" w:rsidRPr="00364545" w:rsidRDefault="00B56301" w:rsidP="00B56301">
      <w:pPr>
        <w:rPr>
          <w:b/>
        </w:rPr>
      </w:pPr>
    </w:p>
    <w:p w14:paraId="5378D37B" w14:textId="77777777" w:rsidR="00B56301" w:rsidRPr="00364545" w:rsidRDefault="00B56301" w:rsidP="00B56301">
      <w:pPr>
        <w:rPr>
          <w:b/>
        </w:rPr>
      </w:pPr>
      <w:r w:rsidRPr="00364545">
        <w:rPr>
          <w:b/>
        </w:rPr>
        <w:t>Chapter VII</w:t>
      </w:r>
    </w:p>
    <w:p w14:paraId="5D55E4F5" w14:textId="77777777" w:rsidR="00B56301" w:rsidRPr="00364545" w:rsidRDefault="00B56301" w:rsidP="00B56301">
      <w:r w:rsidRPr="00364545">
        <w:t>Contributions by: Marine Lannoy (MINEFI/DG Treasury); Charlotte-Fleur Cristofari (AFD); Stéphanie Bouzigues-Eschmann (AFD); Céline Philips (ADEME); Jérôme Boutang (Citepa)</w:t>
      </w:r>
    </w:p>
    <w:p w14:paraId="433D6B96" w14:textId="77777777" w:rsidR="00B56301" w:rsidRPr="00364545" w:rsidRDefault="00B56301" w:rsidP="00B56301">
      <w:pPr>
        <w:rPr>
          <w:b/>
        </w:rPr>
      </w:pPr>
    </w:p>
    <w:p w14:paraId="26553881" w14:textId="77777777" w:rsidR="00B56301" w:rsidRPr="00364545" w:rsidRDefault="00B56301" w:rsidP="00B56301">
      <w:pPr>
        <w:rPr>
          <w:b/>
        </w:rPr>
      </w:pPr>
      <w:r w:rsidRPr="00364545">
        <w:rPr>
          <w:b/>
        </w:rPr>
        <w:t>Chapter VIII</w:t>
      </w:r>
    </w:p>
    <w:p w14:paraId="2E656CA1" w14:textId="71385C33" w:rsidR="00B56301" w:rsidRPr="00364545" w:rsidRDefault="00B56301" w:rsidP="00B56301">
      <w:r w:rsidRPr="00364545">
        <w:t xml:space="preserve">Contributions by: Marc Moroni (MTE/CGDD), Pascale Ebner (MTE/CGDD), Magali Domergue (MTE/CGDD), </w:t>
      </w:r>
    </w:p>
    <w:p w14:paraId="04052612" w14:textId="77777777" w:rsidR="00B56301" w:rsidRPr="00364545" w:rsidRDefault="00B56301" w:rsidP="00B56301">
      <w:pPr>
        <w:rPr>
          <w:b/>
        </w:rPr>
      </w:pPr>
    </w:p>
    <w:p w14:paraId="54924240" w14:textId="77777777" w:rsidR="00B56301" w:rsidRPr="00364545" w:rsidRDefault="00B56301" w:rsidP="00B56301">
      <w:pPr>
        <w:rPr>
          <w:b/>
        </w:rPr>
      </w:pPr>
      <w:r w:rsidRPr="00364545">
        <w:rPr>
          <w:b/>
        </w:rPr>
        <w:t>Chapter IX</w:t>
      </w:r>
    </w:p>
    <w:p w14:paraId="0A04768F" w14:textId="13B945C7" w:rsidR="00B56301" w:rsidRPr="00364545" w:rsidRDefault="00B56301" w:rsidP="00B56301">
      <w:pPr>
        <w:jc w:val="left"/>
      </w:pPr>
      <w:r w:rsidRPr="00364545">
        <w:t>Contributions by: Coralie Noël (Ministry of National Education and Youth); Martin Bortzmeyer (MTE/CGDD)</w:t>
      </w:r>
    </w:p>
    <w:p w14:paraId="6844EF3D" w14:textId="77777777" w:rsidR="00B56301" w:rsidRPr="00364545" w:rsidRDefault="00B56301" w:rsidP="00B56301"/>
    <w:p w14:paraId="379AE634" w14:textId="77777777" w:rsidR="00B56301" w:rsidRPr="00364545" w:rsidRDefault="00B56301" w:rsidP="00B56301">
      <w:pPr>
        <w:rPr>
          <w:b/>
        </w:rPr>
      </w:pPr>
      <w:r w:rsidRPr="00364545">
        <w:rPr>
          <w:b/>
        </w:rPr>
        <w:t>Orientation and Coordination</w:t>
      </w:r>
    </w:p>
    <w:p w14:paraId="4C7E3A12" w14:textId="26AB4D94" w:rsidR="00B56301" w:rsidRPr="00364545" w:rsidRDefault="00B56301" w:rsidP="00B56301">
      <w:r w:rsidRPr="00364545">
        <w:t>Jonathan Hess (MTE/DGEC/SCEE/DLCES/BEPM)</w:t>
      </w:r>
    </w:p>
    <w:p w14:paraId="2186B4EF" w14:textId="77777777" w:rsidR="00B56301" w:rsidRPr="00364545" w:rsidRDefault="00B56301" w:rsidP="00B56301"/>
    <w:p w14:paraId="47D7F9FC" w14:textId="77777777" w:rsidR="00B56301" w:rsidRPr="00364545" w:rsidRDefault="00B56301" w:rsidP="00B56301">
      <w:r w:rsidRPr="00364545">
        <w:rPr>
          <w:b/>
        </w:rPr>
        <w:t>Editing</w:t>
      </w:r>
    </w:p>
    <w:p w14:paraId="439E0520" w14:textId="736ECD1F" w:rsidR="00B56301" w:rsidRPr="00364545" w:rsidRDefault="007F0E33" w:rsidP="00B56301">
      <w:r w:rsidRPr="00364545">
        <w:t>Jonathan Hess, (MTE/DGEC/SCEE/DLCES/BEPM); Mickaël Thiery (MTE/DGEC/DLCES); Gwenaël Podesta (MTE/DGEC/SCEE/DLCES/BEPM); Stéphane Crouzat (MEAE)</w:t>
      </w:r>
    </w:p>
    <w:p w14:paraId="20376888" w14:textId="75714528" w:rsidR="00B56301" w:rsidRPr="00364545" w:rsidRDefault="00B56301" w:rsidP="00B56301">
      <w:pPr>
        <w:pStyle w:val="Titre1Niveau1"/>
      </w:pPr>
      <w:r w:rsidRPr="00364545">
        <w:br w:type="page"/>
      </w:r>
      <w:bookmarkStart w:id="770" w:name="_Toc122099541"/>
      <w:bookmarkStart w:id="771" w:name="_Toc138341922"/>
      <w:r w:rsidRPr="00364545">
        <w:t>Appendix II - Inventory of Greenhouse Gas Emissions, CRF Format and SECTEN Format</w:t>
      </w:r>
      <w:bookmarkEnd w:id="770"/>
      <w:bookmarkEnd w:id="771"/>
    </w:p>
    <w:p w14:paraId="08B1DCF6" w14:textId="150BE6FB" w:rsidR="00B56301" w:rsidRPr="00364545" w:rsidRDefault="00B56301" w:rsidP="003F57EA">
      <w:pPr>
        <w:pStyle w:val="Titre2Niveau2"/>
        <w:numPr>
          <w:ilvl w:val="0"/>
          <w:numId w:val="62"/>
        </w:numPr>
        <w:spacing w:before="0" w:after="160"/>
        <w:ind w:right="28"/>
      </w:pPr>
      <w:bookmarkStart w:id="772" w:name="_Toc122099542"/>
      <w:bookmarkStart w:id="773" w:name="_Toc138341923"/>
      <w:r w:rsidRPr="00364545">
        <w:t>Trend for CO</w:t>
      </w:r>
      <w:r w:rsidRPr="00364545">
        <w:rPr>
          <w:vertAlign w:val="subscript"/>
        </w:rPr>
        <w:t>2</w:t>
      </w:r>
      <w:r w:rsidRPr="00364545">
        <w:t xml:space="preserve"> (“Kyoto” scope - ktCO</w:t>
      </w:r>
      <w:r w:rsidRPr="00364545">
        <w:rPr>
          <w:vertAlign w:val="subscript"/>
        </w:rPr>
        <w:t>2</w:t>
      </w:r>
      <w:r w:rsidRPr="00364545">
        <w:t>)</w:t>
      </w:r>
      <w:bookmarkEnd w:id="772"/>
      <w:bookmarkEnd w:id="773"/>
    </w:p>
    <w:tbl>
      <w:tblPr>
        <w:tblW w:w="9940" w:type="dxa"/>
        <w:tblCellMar>
          <w:left w:w="70" w:type="dxa"/>
          <w:right w:w="70" w:type="dxa"/>
        </w:tblCellMar>
        <w:tblLook w:val="04A0" w:firstRow="1" w:lastRow="0" w:firstColumn="1" w:lastColumn="0" w:noHBand="0" w:noVBand="1"/>
      </w:tblPr>
      <w:tblGrid>
        <w:gridCol w:w="2785"/>
        <w:gridCol w:w="1198"/>
        <w:gridCol w:w="1197"/>
        <w:gridCol w:w="1197"/>
        <w:gridCol w:w="1183"/>
        <w:gridCol w:w="1183"/>
        <w:gridCol w:w="1197"/>
      </w:tblGrid>
      <w:tr w:rsidR="00B56301" w:rsidRPr="00364545" w14:paraId="3934445B" w14:textId="77777777" w:rsidTr="00543241">
        <w:trPr>
          <w:trHeight w:val="68"/>
        </w:trPr>
        <w:tc>
          <w:tcPr>
            <w:tcW w:w="278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A767BA5" w14:textId="77777777" w:rsidR="00B56301" w:rsidRPr="00364545" w:rsidRDefault="00B56301" w:rsidP="00B37B65">
            <w:pPr>
              <w:jc w:val="left"/>
              <w:rPr>
                <w:rFonts w:asciiTheme="majorHAnsi" w:hAnsiTheme="majorHAnsi"/>
                <w:b/>
                <w:bCs/>
                <w:sz w:val="14"/>
                <w:szCs w:val="16"/>
              </w:rPr>
            </w:pPr>
            <w:bookmarkStart w:id="774" w:name="RANGE!A5:AG68"/>
            <w:r w:rsidRPr="00364545">
              <w:rPr>
                <w:rFonts w:asciiTheme="majorHAnsi" w:hAnsiTheme="majorHAnsi"/>
                <w:b/>
                <w:sz w:val="14"/>
              </w:rPr>
              <w:t>GREENHOUSE GAS SOURCE AND SINK CATEGORIES</w:t>
            </w:r>
            <w:bookmarkEnd w:id="774"/>
          </w:p>
        </w:tc>
        <w:tc>
          <w:tcPr>
            <w:tcW w:w="1198"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E723E36" w14:textId="77777777" w:rsidR="00B56301" w:rsidRPr="00364545" w:rsidRDefault="00B56301" w:rsidP="00B37B65">
            <w:pPr>
              <w:jc w:val="center"/>
              <w:rPr>
                <w:rFonts w:ascii="Times New Roman" w:hAnsi="Times New Roman"/>
                <w:b/>
                <w:bCs/>
                <w:sz w:val="14"/>
                <w:szCs w:val="16"/>
              </w:rPr>
            </w:pPr>
            <w:r w:rsidRPr="00364545">
              <w:rPr>
                <w:rFonts w:ascii="Times New Roman" w:hAnsi="Times New Roman"/>
                <w:b/>
                <w:sz w:val="14"/>
              </w:rPr>
              <w:t>Base year</w:t>
            </w:r>
            <w:r w:rsidRPr="00364545">
              <w:rPr>
                <w:rFonts w:ascii="Times New Roman" w:hAnsi="Times New Roman"/>
                <w:b/>
                <w:sz w:val="14"/>
                <w:vertAlign w:val="superscript"/>
              </w:rPr>
              <w:t>(1)</w:t>
            </w:r>
          </w:p>
        </w:tc>
        <w:tc>
          <w:tcPr>
            <w:tcW w:w="1197" w:type="dxa"/>
            <w:tcBorders>
              <w:top w:val="single" w:sz="4" w:space="0" w:color="auto"/>
              <w:left w:val="nil"/>
              <w:bottom w:val="single" w:sz="4" w:space="0" w:color="auto"/>
              <w:right w:val="single" w:sz="4" w:space="0" w:color="auto"/>
            </w:tcBorders>
            <w:shd w:val="clear" w:color="000000" w:fill="CCFFFF"/>
            <w:noWrap/>
            <w:vAlign w:val="center"/>
            <w:hideMark/>
          </w:tcPr>
          <w:p w14:paraId="1FC96C38" w14:textId="77777777" w:rsidR="00B56301" w:rsidRPr="00364545" w:rsidRDefault="00B56301" w:rsidP="00B37B65">
            <w:pPr>
              <w:jc w:val="center"/>
              <w:rPr>
                <w:rFonts w:ascii="Times New Roman" w:hAnsi="Times New Roman"/>
                <w:b/>
                <w:bCs/>
                <w:sz w:val="14"/>
                <w:szCs w:val="16"/>
              </w:rPr>
            </w:pPr>
            <w:r w:rsidRPr="00364545">
              <w:rPr>
                <w:rFonts w:ascii="Times New Roman" w:hAnsi="Times New Roman"/>
                <w:b/>
                <w:sz w:val="14"/>
              </w:rPr>
              <w:t>1990</w:t>
            </w:r>
          </w:p>
        </w:tc>
        <w:tc>
          <w:tcPr>
            <w:tcW w:w="1197" w:type="dxa"/>
            <w:tcBorders>
              <w:top w:val="single" w:sz="4" w:space="0" w:color="auto"/>
              <w:left w:val="nil"/>
              <w:bottom w:val="single" w:sz="4" w:space="0" w:color="auto"/>
              <w:right w:val="single" w:sz="4" w:space="0" w:color="auto"/>
            </w:tcBorders>
            <w:shd w:val="clear" w:color="000000" w:fill="CCFFFF"/>
            <w:noWrap/>
            <w:vAlign w:val="center"/>
            <w:hideMark/>
          </w:tcPr>
          <w:p w14:paraId="0D496894" w14:textId="77777777" w:rsidR="00B56301" w:rsidRPr="00364545" w:rsidRDefault="00B56301" w:rsidP="00B37B65">
            <w:pPr>
              <w:jc w:val="center"/>
              <w:rPr>
                <w:rFonts w:ascii="Times New Roman" w:hAnsi="Times New Roman"/>
                <w:b/>
                <w:bCs/>
                <w:sz w:val="14"/>
                <w:szCs w:val="16"/>
              </w:rPr>
            </w:pPr>
            <w:r w:rsidRPr="00364545">
              <w:rPr>
                <w:rFonts w:ascii="Times New Roman" w:hAnsi="Times New Roman"/>
                <w:b/>
                <w:sz w:val="14"/>
              </w:rPr>
              <w:t>1991</w:t>
            </w:r>
          </w:p>
        </w:tc>
        <w:tc>
          <w:tcPr>
            <w:tcW w:w="1183" w:type="dxa"/>
            <w:tcBorders>
              <w:top w:val="single" w:sz="4" w:space="0" w:color="auto"/>
              <w:left w:val="nil"/>
              <w:bottom w:val="single" w:sz="4" w:space="0" w:color="auto"/>
              <w:right w:val="single" w:sz="4" w:space="0" w:color="auto"/>
            </w:tcBorders>
            <w:shd w:val="clear" w:color="000000" w:fill="CCFFFF"/>
            <w:noWrap/>
            <w:vAlign w:val="center"/>
            <w:hideMark/>
          </w:tcPr>
          <w:p w14:paraId="543DAD23" w14:textId="77777777" w:rsidR="00B56301" w:rsidRPr="00364545" w:rsidRDefault="00B56301" w:rsidP="00B37B65">
            <w:pPr>
              <w:jc w:val="center"/>
              <w:rPr>
                <w:rFonts w:ascii="Times New Roman" w:hAnsi="Times New Roman"/>
                <w:b/>
                <w:bCs/>
                <w:sz w:val="14"/>
                <w:szCs w:val="16"/>
              </w:rPr>
            </w:pPr>
            <w:r w:rsidRPr="00364545">
              <w:rPr>
                <w:rFonts w:ascii="Times New Roman" w:hAnsi="Times New Roman"/>
                <w:b/>
                <w:sz w:val="14"/>
              </w:rPr>
              <w:t>1992</w:t>
            </w:r>
          </w:p>
        </w:tc>
        <w:tc>
          <w:tcPr>
            <w:tcW w:w="1183" w:type="dxa"/>
            <w:tcBorders>
              <w:top w:val="single" w:sz="4" w:space="0" w:color="auto"/>
              <w:left w:val="nil"/>
              <w:bottom w:val="single" w:sz="4" w:space="0" w:color="auto"/>
              <w:right w:val="single" w:sz="4" w:space="0" w:color="auto"/>
            </w:tcBorders>
            <w:shd w:val="clear" w:color="000000" w:fill="CCFFFF"/>
            <w:noWrap/>
            <w:vAlign w:val="center"/>
            <w:hideMark/>
          </w:tcPr>
          <w:p w14:paraId="5D27FA78" w14:textId="77777777" w:rsidR="00B56301" w:rsidRPr="00364545" w:rsidRDefault="00B56301" w:rsidP="00B37B65">
            <w:pPr>
              <w:jc w:val="center"/>
              <w:rPr>
                <w:rFonts w:ascii="Times New Roman" w:hAnsi="Times New Roman"/>
                <w:b/>
                <w:bCs/>
                <w:sz w:val="14"/>
                <w:szCs w:val="16"/>
              </w:rPr>
            </w:pPr>
            <w:r w:rsidRPr="00364545">
              <w:rPr>
                <w:rFonts w:ascii="Times New Roman" w:hAnsi="Times New Roman"/>
                <w:b/>
                <w:sz w:val="14"/>
              </w:rPr>
              <w:t>1993</w:t>
            </w:r>
          </w:p>
        </w:tc>
        <w:tc>
          <w:tcPr>
            <w:tcW w:w="1197" w:type="dxa"/>
            <w:tcBorders>
              <w:top w:val="single" w:sz="4" w:space="0" w:color="auto"/>
              <w:left w:val="nil"/>
              <w:bottom w:val="single" w:sz="4" w:space="0" w:color="auto"/>
              <w:right w:val="single" w:sz="4" w:space="0" w:color="auto"/>
            </w:tcBorders>
            <w:shd w:val="clear" w:color="000000" w:fill="CCFFFF"/>
            <w:vAlign w:val="center"/>
          </w:tcPr>
          <w:p w14:paraId="61C0B6DE" w14:textId="77777777" w:rsidR="00B56301" w:rsidRPr="00364545" w:rsidRDefault="00B56301" w:rsidP="00B37B65">
            <w:pPr>
              <w:jc w:val="center"/>
              <w:rPr>
                <w:rFonts w:ascii="Times New Roman" w:hAnsi="Times New Roman"/>
                <w:b/>
                <w:bCs/>
                <w:sz w:val="14"/>
                <w:szCs w:val="16"/>
              </w:rPr>
            </w:pPr>
            <w:r w:rsidRPr="00364545">
              <w:rPr>
                <w:b/>
                <w:sz w:val="14"/>
              </w:rPr>
              <w:t>1994</w:t>
            </w:r>
          </w:p>
        </w:tc>
      </w:tr>
      <w:tr w:rsidR="00543241" w:rsidRPr="00364545" w14:paraId="237D87D0" w14:textId="77777777" w:rsidTr="000D1437">
        <w:trPr>
          <w:trHeight w:val="68"/>
        </w:trPr>
        <w:tc>
          <w:tcPr>
            <w:tcW w:w="278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52F2B81" w14:textId="77777777"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Total (net emissions)</w:t>
            </w:r>
            <w:r w:rsidRPr="00364545">
              <w:rPr>
                <w:rFonts w:asciiTheme="majorHAnsi" w:hAnsiTheme="majorHAnsi"/>
                <w:b/>
                <w:sz w:val="14"/>
                <w:vertAlign w:val="superscript"/>
              </w:rPr>
              <w:t>(2)</w:t>
            </w:r>
          </w:p>
        </w:tc>
        <w:tc>
          <w:tcPr>
            <w:tcW w:w="1198"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DA4C28A" w14:textId="625A4BDA" w:rsidR="00543241" w:rsidRPr="00C57E2E" w:rsidRDefault="00543241" w:rsidP="00543241">
            <w:pPr>
              <w:jc w:val="right"/>
              <w:rPr>
                <w:rFonts w:ascii="Times New Roman" w:hAnsi="Times New Roman"/>
                <w:sz w:val="14"/>
                <w:szCs w:val="14"/>
              </w:rPr>
            </w:pPr>
            <w:r w:rsidRPr="00CB4B9F">
              <w:rPr>
                <w:sz w:val="14"/>
                <w:szCs w:val="14"/>
              </w:rPr>
              <w:t>370279,74</w:t>
            </w:r>
          </w:p>
        </w:tc>
        <w:tc>
          <w:tcPr>
            <w:tcW w:w="1197" w:type="dxa"/>
            <w:tcBorders>
              <w:top w:val="single" w:sz="4" w:space="0" w:color="auto"/>
              <w:left w:val="nil"/>
              <w:bottom w:val="single" w:sz="4" w:space="0" w:color="auto"/>
              <w:right w:val="single" w:sz="4" w:space="0" w:color="auto"/>
            </w:tcBorders>
            <w:shd w:val="clear" w:color="000000" w:fill="CCFFFF"/>
            <w:noWrap/>
            <w:vAlign w:val="bottom"/>
            <w:hideMark/>
          </w:tcPr>
          <w:p w14:paraId="54C7F755" w14:textId="3D1CD08C" w:rsidR="00543241" w:rsidRPr="00364545" w:rsidRDefault="00543241" w:rsidP="00543241">
            <w:pPr>
              <w:jc w:val="right"/>
              <w:rPr>
                <w:rFonts w:ascii="Times New Roman" w:hAnsi="Times New Roman"/>
                <w:sz w:val="14"/>
                <w:szCs w:val="16"/>
              </w:rPr>
            </w:pPr>
            <w:r w:rsidRPr="00CB4B9F">
              <w:rPr>
                <w:sz w:val="14"/>
                <w:szCs w:val="14"/>
              </w:rPr>
              <w:t>370279,74</w:t>
            </w:r>
          </w:p>
        </w:tc>
        <w:tc>
          <w:tcPr>
            <w:tcW w:w="1197" w:type="dxa"/>
            <w:tcBorders>
              <w:top w:val="single" w:sz="4" w:space="0" w:color="auto"/>
              <w:left w:val="nil"/>
              <w:bottom w:val="single" w:sz="4" w:space="0" w:color="auto"/>
              <w:right w:val="single" w:sz="4" w:space="0" w:color="auto"/>
            </w:tcBorders>
            <w:shd w:val="clear" w:color="000000" w:fill="CCFFFF"/>
            <w:noWrap/>
            <w:vAlign w:val="bottom"/>
            <w:hideMark/>
          </w:tcPr>
          <w:p w14:paraId="1668517F" w14:textId="15796959" w:rsidR="00543241" w:rsidRPr="00364545" w:rsidRDefault="00543241" w:rsidP="00543241">
            <w:pPr>
              <w:jc w:val="right"/>
              <w:rPr>
                <w:rFonts w:ascii="Times New Roman" w:hAnsi="Times New Roman"/>
                <w:sz w:val="14"/>
                <w:szCs w:val="16"/>
              </w:rPr>
            </w:pPr>
            <w:r w:rsidRPr="00CB4B9F">
              <w:rPr>
                <w:sz w:val="14"/>
                <w:szCs w:val="14"/>
              </w:rPr>
              <w:t>395564,35</w:t>
            </w:r>
          </w:p>
        </w:tc>
        <w:tc>
          <w:tcPr>
            <w:tcW w:w="1183" w:type="dxa"/>
            <w:tcBorders>
              <w:top w:val="single" w:sz="4" w:space="0" w:color="auto"/>
              <w:left w:val="nil"/>
              <w:bottom w:val="single" w:sz="4" w:space="0" w:color="auto"/>
              <w:right w:val="single" w:sz="4" w:space="0" w:color="auto"/>
            </w:tcBorders>
            <w:shd w:val="clear" w:color="000000" w:fill="CCFFFF"/>
            <w:noWrap/>
            <w:vAlign w:val="bottom"/>
            <w:hideMark/>
          </w:tcPr>
          <w:p w14:paraId="3B0B31E7" w14:textId="6DCB30AE" w:rsidR="00543241" w:rsidRPr="00364545" w:rsidRDefault="00543241" w:rsidP="00543241">
            <w:pPr>
              <w:jc w:val="right"/>
              <w:rPr>
                <w:rFonts w:ascii="Times New Roman" w:hAnsi="Times New Roman"/>
                <w:sz w:val="14"/>
                <w:szCs w:val="16"/>
              </w:rPr>
            </w:pPr>
            <w:r w:rsidRPr="00CB4B9F">
              <w:rPr>
                <w:sz w:val="14"/>
                <w:szCs w:val="14"/>
              </w:rPr>
              <w:t>386207,36</w:t>
            </w:r>
          </w:p>
        </w:tc>
        <w:tc>
          <w:tcPr>
            <w:tcW w:w="1183" w:type="dxa"/>
            <w:tcBorders>
              <w:top w:val="single" w:sz="4" w:space="0" w:color="auto"/>
              <w:left w:val="nil"/>
              <w:bottom w:val="single" w:sz="4" w:space="0" w:color="auto"/>
              <w:right w:val="single" w:sz="4" w:space="0" w:color="auto"/>
            </w:tcBorders>
            <w:shd w:val="clear" w:color="000000" w:fill="CCFFFF"/>
            <w:noWrap/>
            <w:vAlign w:val="bottom"/>
            <w:hideMark/>
          </w:tcPr>
          <w:p w14:paraId="378650AC" w14:textId="271769A4" w:rsidR="00543241" w:rsidRPr="00364545" w:rsidRDefault="00543241" w:rsidP="00543241">
            <w:pPr>
              <w:jc w:val="right"/>
              <w:rPr>
                <w:rFonts w:ascii="Times New Roman" w:hAnsi="Times New Roman"/>
                <w:sz w:val="14"/>
                <w:szCs w:val="16"/>
              </w:rPr>
            </w:pPr>
            <w:r w:rsidRPr="00CB4B9F">
              <w:rPr>
                <w:sz w:val="14"/>
                <w:szCs w:val="14"/>
              </w:rPr>
              <w:t>364902,59</w:t>
            </w:r>
          </w:p>
        </w:tc>
        <w:tc>
          <w:tcPr>
            <w:tcW w:w="1197" w:type="dxa"/>
            <w:tcBorders>
              <w:top w:val="single" w:sz="4" w:space="0" w:color="auto"/>
              <w:left w:val="nil"/>
              <w:bottom w:val="single" w:sz="4" w:space="0" w:color="auto"/>
              <w:right w:val="single" w:sz="4" w:space="0" w:color="auto"/>
            </w:tcBorders>
            <w:shd w:val="clear" w:color="000000" w:fill="CCFFFF"/>
            <w:vAlign w:val="bottom"/>
          </w:tcPr>
          <w:p w14:paraId="36D1A396" w14:textId="483C77BE" w:rsidR="00543241" w:rsidRPr="00364545" w:rsidRDefault="00543241" w:rsidP="00543241">
            <w:pPr>
              <w:jc w:val="right"/>
              <w:rPr>
                <w:rFonts w:ascii="Times New Roman" w:hAnsi="Times New Roman"/>
                <w:sz w:val="14"/>
                <w:szCs w:val="16"/>
              </w:rPr>
            </w:pPr>
            <w:r w:rsidRPr="00CB4B9F">
              <w:rPr>
                <w:sz w:val="14"/>
                <w:szCs w:val="14"/>
              </w:rPr>
              <w:t>359027,48</w:t>
            </w:r>
          </w:p>
        </w:tc>
      </w:tr>
      <w:tr w:rsidR="00543241" w:rsidRPr="00364545" w14:paraId="5E545646" w14:textId="77777777" w:rsidTr="000D1437">
        <w:trPr>
          <w:trHeight w:val="68"/>
        </w:trPr>
        <w:tc>
          <w:tcPr>
            <w:tcW w:w="278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1CFF3A2" w14:textId="77777777"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1. Energy</w:t>
            </w:r>
          </w:p>
        </w:tc>
        <w:tc>
          <w:tcPr>
            <w:tcW w:w="1198" w:type="dxa"/>
            <w:tcBorders>
              <w:top w:val="nil"/>
              <w:left w:val="nil"/>
              <w:bottom w:val="single" w:sz="4" w:space="0" w:color="auto"/>
              <w:right w:val="single" w:sz="4" w:space="0" w:color="auto"/>
            </w:tcBorders>
            <w:shd w:val="clear" w:color="000000" w:fill="CCFFFF"/>
            <w:noWrap/>
            <w:vAlign w:val="bottom"/>
            <w:hideMark/>
          </w:tcPr>
          <w:p w14:paraId="41C242C0" w14:textId="52CA9295" w:rsidR="00543241" w:rsidRPr="00C57E2E" w:rsidRDefault="00543241" w:rsidP="00543241">
            <w:pPr>
              <w:jc w:val="right"/>
              <w:rPr>
                <w:rFonts w:ascii="Times New Roman" w:hAnsi="Times New Roman"/>
                <w:sz w:val="14"/>
                <w:szCs w:val="14"/>
              </w:rPr>
            </w:pPr>
            <w:r w:rsidRPr="000D1437">
              <w:rPr>
                <w:sz w:val="14"/>
                <w:szCs w:val="14"/>
              </w:rPr>
              <w:t>351435,06</w:t>
            </w:r>
          </w:p>
        </w:tc>
        <w:tc>
          <w:tcPr>
            <w:tcW w:w="1197" w:type="dxa"/>
            <w:tcBorders>
              <w:top w:val="nil"/>
              <w:left w:val="nil"/>
              <w:bottom w:val="single" w:sz="4" w:space="0" w:color="auto"/>
              <w:right w:val="single" w:sz="4" w:space="0" w:color="auto"/>
            </w:tcBorders>
            <w:shd w:val="clear" w:color="000000" w:fill="CCFFFF"/>
            <w:noWrap/>
            <w:vAlign w:val="bottom"/>
            <w:hideMark/>
          </w:tcPr>
          <w:p w14:paraId="5487A2BB" w14:textId="406640CF" w:rsidR="00543241" w:rsidRPr="00C57E2E" w:rsidRDefault="00543241" w:rsidP="00543241">
            <w:pPr>
              <w:jc w:val="right"/>
              <w:rPr>
                <w:rFonts w:ascii="Times New Roman" w:hAnsi="Times New Roman"/>
                <w:sz w:val="14"/>
                <w:szCs w:val="14"/>
              </w:rPr>
            </w:pPr>
            <w:r w:rsidRPr="000D1437">
              <w:rPr>
                <w:sz w:val="14"/>
                <w:szCs w:val="14"/>
              </w:rPr>
              <w:t>351435,06</w:t>
            </w:r>
          </w:p>
        </w:tc>
        <w:tc>
          <w:tcPr>
            <w:tcW w:w="1197" w:type="dxa"/>
            <w:tcBorders>
              <w:top w:val="nil"/>
              <w:left w:val="nil"/>
              <w:bottom w:val="single" w:sz="4" w:space="0" w:color="auto"/>
              <w:right w:val="single" w:sz="4" w:space="0" w:color="auto"/>
            </w:tcBorders>
            <w:shd w:val="clear" w:color="000000" w:fill="CCFFFF"/>
            <w:noWrap/>
            <w:vAlign w:val="bottom"/>
            <w:hideMark/>
          </w:tcPr>
          <w:p w14:paraId="727AB7BF" w14:textId="2DD12782" w:rsidR="00543241" w:rsidRPr="00C57E2E" w:rsidRDefault="00543241" w:rsidP="00543241">
            <w:pPr>
              <w:jc w:val="right"/>
              <w:rPr>
                <w:rFonts w:ascii="Times New Roman" w:hAnsi="Times New Roman"/>
                <w:sz w:val="14"/>
                <w:szCs w:val="14"/>
              </w:rPr>
            </w:pPr>
            <w:r w:rsidRPr="000D1437">
              <w:rPr>
                <w:sz w:val="14"/>
                <w:szCs w:val="14"/>
              </w:rPr>
              <w:t>378015,55</w:t>
            </w:r>
          </w:p>
        </w:tc>
        <w:tc>
          <w:tcPr>
            <w:tcW w:w="1183" w:type="dxa"/>
            <w:tcBorders>
              <w:top w:val="nil"/>
              <w:left w:val="nil"/>
              <w:bottom w:val="single" w:sz="4" w:space="0" w:color="auto"/>
              <w:right w:val="single" w:sz="4" w:space="0" w:color="auto"/>
            </w:tcBorders>
            <w:shd w:val="clear" w:color="000000" w:fill="CCFFFF"/>
            <w:noWrap/>
            <w:vAlign w:val="bottom"/>
            <w:hideMark/>
          </w:tcPr>
          <w:p w14:paraId="68E81617" w14:textId="4BE565B1" w:rsidR="00543241" w:rsidRPr="00C57E2E" w:rsidRDefault="00543241" w:rsidP="00543241">
            <w:pPr>
              <w:jc w:val="right"/>
              <w:rPr>
                <w:rFonts w:ascii="Times New Roman" w:hAnsi="Times New Roman"/>
                <w:sz w:val="14"/>
                <w:szCs w:val="14"/>
              </w:rPr>
            </w:pPr>
            <w:r w:rsidRPr="000D1437">
              <w:rPr>
                <w:sz w:val="14"/>
                <w:szCs w:val="14"/>
              </w:rPr>
              <w:t>368795,10</w:t>
            </w:r>
          </w:p>
        </w:tc>
        <w:tc>
          <w:tcPr>
            <w:tcW w:w="1183" w:type="dxa"/>
            <w:tcBorders>
              <w:top w:val="nil"/>
              <w:left w:val="nil"/>
              <w:bottom w:val="single" w:sz="4" w:space="0" w:color="auto"/>
              <w:right w:val="single" w:sz="4" w:space="0" w:color="auto"/>
            </w:tcBorders>
            <w:shd w:val="clear" w:color="000000" w:fill="CCFFFF"/>
            <w:noWrap/>
            <w:vAlign w:val="bottom"/>
            <w:hideMark/>
          </w:tcPr>
          <w:p w14:paraId="2AA46C5D" w14:textId="3A7B0B5F" w:rsidR="00543241" w:rsidRPr="00C57E2E" w:rsidRDefault="00543241" w:rsidP="00543241">
            <w:pPr>
              <w:jc w:val="right"/>
              <w:rPr>
                <w:rFonts w:ascii="Times New Roman" w:hAnsi="Times New Roman"/>
                <w:sz w:val="14"/>
                <w:szCs w:val="14"/>
              </w:rPr>
            </w:pPr>
            <w:r w:rsidRPr="000D1437">
              <w:rPr>
                <w:sz w:val="14"/>
                <w:szCs w:val="14"/>
              </w:rPr>
              <w:t>351410,42</w:t>
            </w:r>
          </w:p>
        </w:tc>
        <w:tc>
          <w:tcPr>
            <w:tcW w:w="1197" w:type="dxa"/>
            <w:tcBorders>
              <w:top w:val="nil"/>
              <w:left w:val="nil"/>
              <w:bottom w:val="single" w:sz="4" w:space="0" w:color="auto"/>
              <w:right w:val="single" w:sz="4" w:space="0" w:color="auto"/>
            </w:tcBorders>
            <w:shd w:val="clear" w:color="000000" w:fill="CCFFFF"/>
            <w:vAlign w:val="bottom"/>
          </w:tcPr>
          <w:p w14:paraId="00DDF6DE" w14:textId="1D700DB6" w:rsidR="00543241" w:rsidRPr="00C57E2E" w:rsidRDefault="00543241" w:rsidP="00543241">
            <w:pPr>
              <w:jc w:val="right"/>
              <w:rPr>
                <w:rFonts w:ascii="Times New Roman" w:hAnsi="Times New Roman"/>
                <w:sz w:val="14"/>
                <w:szCs w:val="14"/>
              </w:rPr>
            </w:pPr>
            <w:r w:rsidRPr="000D1437">
              <w:rPr>
                <w:sz w:val="14"/>
                <w:szCs w:val="14"/>
              </w:rPr>
              <w:t>344765,64</w:t>
            </w:r>
          </w:p>
        </w:tc>
      </w:tr>
      <w:tr w:rsidR="00543241" w:rsidRPr="00364545" w14:paraId="7B0091C6"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647E9B0A" w14:textId="77777777"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A. Fuel combustion (sectoral approach)</w:t>
            </w:r>
          </w:p>
        </w:tc>
        <w:tc>
          <w:tcPr>
            <w:tcW w:w="1198" w:type="dxa"/>
            <w:tcBorders>
              <w:top w:val="nil"/>
              <w:left w:val="nil"/>
              <w:bottom w:val="single" w:sz="4" w:space="0" w:color="auto"/>
              <w:right w:val="single" w:sz="4" w:space="0" w:color="auto"/>
            </w:tcBorders>
            <w:shd w:val="clear" w:color="000000" w:fill="CCFFFF"/>
            <w:noWrap/>
            <w:vAlign w:val="bottom"/>
            <w:hideMark/>
          </w:tcPr>
          <w:p w14:paraId="680EAB3E" w14:textId="6ECABC8E" w:rsidR="00543241" w:rsidRPr="00C57E2E" w:rsidRDefault="00543241" w:rsidP="00543241">
            <w:pPr>
              <w:jc w:val="right"/>
              <w:rPr>
                <w:rFonts w:ascii="Times New Roman" w:hAnsi="Times New Roman"/>
                <w:sz w:val="14"/>
                <w:szCs w:val="14"/>
              </w:rPr>
            </w:pPr>
            <w:r w:rsidRPr="000D1437">
              <w:rPr>
                <w:sz w:val="14"/>
                <w:szCs w:val="14"/>
              </w:rPr>
              <w:t>347073,53</w:t>
            </w:r>
          </w:p>
        </w:tc>
        <w:tc>
          <w:tcPr>
            <w:tcW w:w="1197" w:type="dxa"/>
            <w:tcBorders>
              <w:top w:val="nil"/>
              <w:left w:val="nil"/>
              <w:bottom w:val="single" w:sz="4" w:space="0" w:color="auto"/>
              <w:right w:val="single" w:sz="4" w:space="0" w:color="auto"/>
            </w:tcBorders>
            <w:shd w:val="clear" w:color="000000" w:fill="CCFFFF"/>
            <w:noWrap/>
            <w:vAlign w:val="bottom"/>
            <w:hideMark/>
          </w:tcPr>
          <w:p w14:paraId="15CC56D9" w14:textId="72B091B0" w:rsidR="00543241" w:rsidRPr="00C57E2E" w:rsidRDefault="00543241" w:rsidP="00543241">
            <w:pPr>
              <w:jc w:val="right"/>
              <w:rPr>
                <w:rFonts w:ascii="Times New Roman" w:hAnsi="Times New Roman"/>
                <w:sz w:val="14"/>
                <w:szCs w:val="14"/>
              </w:rPr>
            </w:pPr>
            <w:r w:rsidRPr="000D1437">
              <w:rPr>
                <w:sz w:val="14"/>
                <w:szCs w:val="14"/>
              </w:rPr>
              <w:t>347073,53</w:t>
            </w:r>
          </w:p>
        </w:tc>
        <w:tc>
          <w:tcPr>
            <w:tcW w:w="1197" w:type="dxa"/>
            <w:tcBorders>
              <w:top w:val="nil"/>
              <w:left w:val="nil"/>
              <w:bottom w:val="single" w:sz="4" w:space="0" w:color="auto"/>
              <w:right w:val="single" w:sz="4" w:space="0" w:color="auto"/>
            </w:tcBorders>
            <w:shd w:val="clear" w:color="000000" w:fill="CCFFFF"/>
            <w:noWrap/>
            <w:vAlign w:val="bottom"/>
            <w:hideMark/>
          </w:tcPr>
          <w:p w14:paraId="5B2C76D5" w14:textId="7AD201BF" w:rsidR="00543241" w:rsidRPr="00C57E2E" w:rsidRDefault="00543241" w:rsidP="00543241">
            <w:pPr>
              <w:jc w:val="right"/>
              <w:rPr>
                <w:rFonts w:ascii="Times New Roman" w:hAnsi="Times New Roman"/>
                <w:sz w:val="14"/>
                <w:szCs w:val="14"/>
              </w:rPr>
            </w:pPr>
            <w:r w:rsidRPr="000D1437">
              <w:rPr>
                <w:sz w:val="14"/>
                <w:szCs w:val="14"/>
              </w:rPr>
              <w:t>373550,75</w:t>
            </w:r>
          </w:p>
        </w:tc>
        <w:tc>
          <w:tcPr>
            <w:tcW w:w="1183" w:type="dxa"/>
            <w:tcBorders>
              <w:top w:val="nil"/>
              <w:left w:val="nil"/>
              <w:bottom w:val="single" w:sz="4" w:space="0" w:color="auto"/>
              <w:right w:val="single" w:sz="4" w:space="0" w:color="auto"/>
            </w:tcBorders>
            <w:shd w:val="clear" w:color="000000" w:fill="CCFFFF"/>
            <w:noWrap/>
            <w:vAlign w:val="bottom"/>
            <w:hideMark/>
          </w:tcPr>
          <w:p w14:paraId="53D7A577" w14:textId="659A037B" w:rsidR="00543241" w:rsidRPr="00C57E2E" w:rsidRDefault="00543241" w:rsidP="00543241">
            <w:pPr>
              <w:jc w:val="right"/>
              <w:rPr>
                <w:rFonts w:ascii="Times New Roman" w:hAnsi="Times New Roman"/>
                <w:sz w:val="14"/>
                <w:szCs w:val="14"/>
              </w:rPr>
            </w:pPr>
            <w:r w:rsidRPr="000D1437">
              <w:rPr>
                <w:sz w:val="14"/>
                <w:szCs w:val="14"/>
              </w:rPr>
              <w:t>364327,22</w:t>
            </w:r>
          </w:p>
        </w:tc>
        <w:tc>
          <w:tcPr>
            <w:tcW w:w="1183" w:type="dxa"/>
            <w:tcBorders>
              <w:top w:val="nil"/>
              <w:left w:val="nil"/>
              <w:bottom w:val="single" w:sz="4" w:space="0" w:color="auto"/>
              <w:right w:val="single" w:sz="4" w:space="0" w:color="auto"/>
            </w:tcBorders>
            <w:shd w:val="clear" w:color="000000" w:fill="CCFFFF"/>
            <w:noWrap/>
            <w:vAlign w:val="bottom"/>
            <w:hideMark/>
          </w:tcPr>
          <w:p w14:paraId="12F3A924" w14:textId="608472B4" w:rsidR="00543241" w:rsidRPr="00C57E2E" w:rsidRDefault="00543241" w:rsidP="00543241">
            <w:pPr>
              <w:jc w:val="right"/>
              <w:rPr>
                <w:rFonts w:ascii="Times New Roman" w:hAnsi="Times New Roman"/>
                <w:sz w:val="14"/>
                <w:szCs w:val="14"/>
              </w:rPr>
            </w:pPr>
            <w:r w:rsidRPr="000D1437">
              <w:rPr>
                <w:sz w:val="14"/>
                <w:szCs w:val="14"/>
              </w:rPr>
              <w:t>347140,08</w:t>
            </w:r>
          </w:p>
        </w:tc>
        <w:tc>
          <w:tcPr>
            <w:tcW w:w="1197" w:type="dxa"/>
            <w:tcBorders>
              <w:top w:val="nil"/>
              <w:left w:val="nil"/>
              <w:bottom w:val="single" w:sz="4" w:space="0" w:color="auto"/>
              <w:right w:val="single" w:sz="4" w:space="0" w:color="auto"/>
            </w:tcBorders>
            <w:shd w:val="clear" w:color="000000" w:fill="CCFFFF"/>
            <w:vAlign w:val="bottom"/>
          </w:tcPr>
          <w:p w14:paraId="28AC7490" w14:textId="5431483E" w:rsidR="00543241" w:rsidRPr="00C57E2E" w:rsidRDefault="00543241" w:rsidP="00543241">
            <w:pPr>
              <w:jc w:val="right"/>
              <w:rPr>
                <w:rFonts w:ascii="Times New Roman" w:hAnsi="Times New Roman"/>
                <w:sz w:val="14"/>
                <w:szCs w:val="14"/>
              </w:rPr>
            </w:pPr>
            <w:r w:rsidRPr="000D1437">
              <w:rPr>
                <w:sz w:val="14"/>
                <w:szCs w:val="14"/>
              </w:rPr>
              <w:t>340225,72</w:t>
            </w:r>
          </w:p>
        </w:tc>
      </w:tr>
      <w:tr w:rsidR="00543241" w:rsidRPr="00364545" w14:paraId="4E8DB9FD"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5FE5547C" w14:textId="08CB06DD" w:rsidR="00543241" w:rsidRPr="00364545" w:rsidRDefault="00543241" w:rsidP="00543241">
            <w:pPr>
              <w:ind w:firstLineChars="500" w:firstLine="700"/>
              <w:jc w:val="left"/>
              <w:rPr>
                <w:rFonts w:asciiTheme="majorHAnsi" w:hAnsiTheme="majorHAnsi"/>
                <w:sz w:val="14"/>
                <w:szCs w:val="16"/>
              </w:rPr>
            </w:pPr>
            <w:r w:rsidRPr="00364545">
              <w:rPr>
                <w:rFonts w:asciiTheme="majorHAnsi" w:hAnsiTheme="majorHAnsi"/>
                <w:sz w:val="14"/>
              </w:rPr>
              <w:t>1. Energy industries</w:t>
            </w:r>
          </w:p>
        </w:tc>
        <w:tc>
          <w:tcPr>
            <w:tcW w:w="1198" w:type="dxa"/>
            <w:tcBorders>
              <w:top w:val="nil"/>
              <w:left w:val="nil"/>
              <w:bottom w:val="single" w:sz="4" w:space="0" w:color="auto"/>
              <w:right w:val="single" w:sz="4" w:space="0" w:color="auto"/>
            </w:tcBorders>
            <w:shd w:val="clear" w:color="000000" w:fill="FFFFFF"/>
            <w:noWrap/>
            <w:vAlign w:val="bottom"/>
            <w:hideMark/>
          </w:tcPr>
          <w:p w14:paraId="7BE7071D" w14:textId="01AD5F19" w:rsidR="00543241" w:rsidRPr="0022028F" w:rsidRDefault="00543241" w:rsidP="00543241">
            <w:pPr>
              <w:jc w:val="right"/>
              <w:rPr>
                <w:rFonts w:ascii="Times New Roman" w:hAnsi="Times New Roman"/>
                <w:sz w:val="14"/>
                <w:szCs w:val="14"/>
              </w:rPr>
            </w:pPr>
            <w:r w:rsidRPr="000D1437">
              <w:rPr>
                <w:sz w:val="14"/>
                <w:szCs w:val="14"/>
              </w:rPr>
              <w:t>65823,14</w:t>
            </w:r>
          </w:p>
        </w:tc>
        <w:tc>
          <w:tcPr>
            <w:tcW w:w="1197" w:type="dxa"/>
            <w:tcBorders>
              <w:top w:val="nil"/>
              <w:left w:val="nil"/>
              <w:bottom w:val="single" w:sz="4" w:space="0" w:color="auto"/>
              <w:right w:val="single" w:sz="4" w:space="0" w:color="auto"/>
            </w:tcBorders>
            <w:shd w:val="clear" w:color="000000" w:fill="FFFFFF"/>
            <w:noWrap/>
            <w:vAlign w:val="bottom"/>
            <w:hideMark/>
          </w:tcPr>
          <w:p w14:paraId="6908DD37" w14:textId="7325FD1F" w:rsidR="00543241" w:rsidRPr="0022028F" w:rsidRDefault="00543241" w:rsidP="00543241">
            <w:pPr>
              <w:jc w:val="right"/>
              <w:rPr>
                <w:rFonts w:ascii="Times New Roman" w:hAnsi="Times New Roman"/>
                <w:sz w:val="14"/>
                <w:szCs w:val="14"/>
              </w:rPr>
            </w:pPr>
            <w:r w:rsidRPr="000D1437">
              <w:rPr>
                <w:sz w:val="14"/>
                <w:szCs w:val="14"/>
              </w:rPr>
              <w:t>65823,14</w:t>
            </w:r>
          </w:p>
        </w:tc>
        <w:tc>
          <w:tcPr>
            <w:tcW w:w="1197" w:type="dxa"/>
            <w:tcBorders>
              <w:top w:val="nil"/>
              <w:left w:val="nil"/>
              <w:bottom w:val="single" w:sz="4" w:space="0" w:color="auto"/>
              <w:right w:val="single" w:sz="4" w:space="0" w:color="auto"/>
            </w:tcBorders>
            <w:shd w:val="clear" w:color="000000" w:fill="FFFFFF"/>
            <w:noWrap/>
            <w:vAlign w:val="bottom"/>
            <w:hideMark/>
          </w:tcPr>
          <w:p w14:paraId="141B8696" w14:textId="136C9391" w:rsidR="00543241" w:rsidRPr="0022028F" w:rsidRDefault="00543241" w:rsidP="00543241">
            <w:pPr>
              <w:jc w:val="right"/>
              <w:rPr>
                <w:rFonts w:ascii="Times New Roman" w:hAnsi="Times New Roman"/>
                <w:sz w:val="14"/>
                <w:szCs w:val="14"/>
              </w:rPr>
            </w:pPr>
            <w:r w:rsidRPr="000D1437">
              <w:rPr>
                <w:sz w:val="14"/>
                <w:szCs w:val="14"/>
              </w:rPr>
              <w:t>67272,52</w:t>
            </w:r>
          </w:p>
        </w:tc>
        <w:tc>
          <w:tcPr>
            <w:tcW w:w="1183" w:type="dxa"/>
            <w:tcBorders>
              <w:top w:val="nil"/>
              <w:left w:val="nil"/>
              <w:bottom w:val="single" w:sz="4" w:space="0" w:color="auto"/>
              <w:right w:val="single" w:sz="4" w:space="0" w:color="auto"/>
            </w:tcBorders>
            <w:shd w:val="clear" w:color="000000" w:fill="FFFFFF"/>
            <w:noWrap/>
            <w:vAlign w:val="bottom"/>
            <w:hideMark/>
          </w:tcPr>
          <w:p w14:paraId="7F06E8C7" w14:textId="4765CB1C" w:rsidR="00543241" w:rsidRPr="0022028F" w:rsidRDefault="00543241" w:rsidP="00543241">
            <w:pPr>
              <w:jc w:val="right"/>
              <w:rPr>
                <w:rFonts w:ascii="Times New Roman" w:hAnsi="Times New Roman"/>
                <w:sz w:val="14"/>
                <w:szCs w:val="14"/>
              </w:rPr>
            </w:pPr>
            <w:r w:rsidRPr="000D1437">
              <w:rPr>
                <w:sz w:val="14"/>
                <w:szCs w:val="14"/>
              </w:rPr>
              <w:t>68346,08</w:t>
            </w:r>
          </w:p>
        </w:tc>
        <w:tc>
          <w:tcPr>
            <w:tcW w:w="1183" w:type="dxa"/>
            <w:tcBorders>
              <w:top w:val="nil"/>
              <w:left w:val="nil"/>
              <w:bottom w:val="single" w:sz="4" w:space="0" w:color="auto"/>
              <w:right w:val="single" w:sz="4" w:space="0" w:color="auto"/>
            </w:tcBorders>
            <w:shd w:val="clear" w:color="000000" w:fill="FFFFFF"/>
            <w:noWrap/>
            <w:vAlign w:val="bottom"/>
            <w:hideMark/>
          </w:tcPr>
          <w:p w14:paraId="471D14A7" w14:textId="272DDC2C" w:rsidR="00543241" w:rsidRPr="0022028F" w:rsidRDefault="00543241" w:rsidP="00543241">
            <w:pPr>
              <w:jc w:val="right"/>
              <w:rPr>
                <w:rFonts w:ascii="Times New Roman" w:hAnsi="Times New Roman"/>
                <w:sz w:val="14"/>
                <w:szCs w:val="14"/>
              </w:rPr>
            </w:pPr>
            <w:r w:rsidRPr="000D1437">
              <w:rPr>
                <w:sz w:val="14"/>
                <w:szCs w:val="14"/>
              </w:rPr>
              <w:t>56106,30</w:t>
            </w:r>
          </w:p>
        </w:tc>
        <w:tc>
          <w:tcPr>
            <w:tcW w:w="1197" w:type="dxa"/>
            <w:tcBorders>
              <w:top w:val="nil"/>
              <w:left w:val="nil"/>
              <w:bottom w:val="single" w:sz="4" w:space="0" w:color="auto"/>
              <w:right w:val="single" w:sz="4" w:space="0" w:color="auto"/>
            </w:tcBorders>
            <w:shd w:val="clear" w:color="000000" w:fill="FFFFFF"/>
            <w:vAlign w:val="bottom"/>
          </w:tcPr>
          <w:p w14:paraId="41AE15F9" w14:textId="25644626" w:rsidR="00543241" w:rsidRPr="0022028F" w:rsidRDefault="00543241" w:rsidP="00543241">
            <w:pPr>
              <w:jc w:val="right"/>
              <w:rPr>
                <w:rFonts w:ascii="Times New Roman" w:hAnsi="Times New Roman"/>
                <w:sz w:val="14"/>
                <w:szCs w:val="14"/>
              </w:rPr>
            </w:pPr>
            <w:r w:rsidRPr="000D1437">
              <w:rPr>
                <w:sz w:val="14"/>
                <w:szCs w:val="14"/>
              </w:rPr>
              <w:t>52582,36</w:t>
            </w:r>
          </w:p>
        </w:tc>
      </w:tr>
      <w:tr w:rsidR="00543241" w:rsidRPr="00364545" w14:paraId="61CADC38"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E24F228" w14:textId="6FD30CA5" w:rsidR="00543241" w:rsidRPr="00364545" w:rsidRDefault="00543241" w:rsidP="00543241">
            <w:pPr>
              <w:ind w:firstLineChars="500" w:firstLine="700"/>
              <w:jc w:val="left"/>
              <w:rPr>
                <w:rFonts w:asciiTheme="majorHAnsi" w:hAnsiTheme="majorHAnsi"/>
                <w:sz w:val="14"/>
                <w:szCs w:val="16"/>
              </w:rPr>
            </w:pPr>
            <w:r w:rsidRPr="00364545">
              <w:rPr>
                <w:rFonts w:asciiTheme="majorHAnsi" w:hAnsiTheme="majorHAnsi"/>
                <w:sz w:val="14"/>
              </w:rPr>
              <w:t>2. Manufacturing industries and construction</w:t>
            </w:r>
          </w:p>
        </w:tc>
        <w:tc>
          <w:tcPr>
            <w:tcW w:w="1198" w:type="dxa"/>
            <w:tcBorders>
              <w:top w:val="nil"/>
              <w:left w:val="nil"/>
              <w:bottom w:val="single" w:sz="4" w:space="0" w:color="auto"/>
              <w:right w:val="single" w:sz="4" w:space="0" w:color="auto"/>
            </w:tcBorders>
            <w:shd w:val="clear" w:color="000000" w:fill="FFFFFF"/>
            <w:noWrap/>
            <w:vAlign w:val="bottom"/>
            <w:hideMark/>
          </w:tcPr>
          <w:p w14:paraId="5A6ABACD" w14:textId="12E3E232" w:rsidR="00543241" w:rsidRPr="00C57E2E" w:rsidRDefault="00543241" w:rsidP="00543241">
            <w:pPr>
              <w:jc w:val="right"/>
              <w:rPr>
                <w:rFonts w:ascii="Times New Roman" w:hAnsi="Times New Roman"/>
                <w:sz w:val="14"/>
                <w:szCs w:val="14"/>
              </w:rPr>
            </w:pPr>
            <w:r w:rsidRPr="000D1437">
              <w:rPr>
                <w:sz w:val="14"/>
                <w:szCs w:val="14"/>
              </w:rPr>
              <w:t>64590,71</w:t>
            </w:r>
          </w:p>
        </w:tc>
        <w:tc>
          <w:tcPr>
            <w:tcW w:w="1197" w:type="dxa"/>
            <w:tcBorders>
              <w:top w:val="nil"/>
              <w:left w:val="nil"/>
              <w:bottom w:val="single" w:sz="4" w:space="0" w:color="auto"/>
              <w:right w:val="single" w:sz="4" w:space="0" w:color="auto"/>
            </w:tcBorders>
            <w:shd w:val="clear" w:color="000000" w:fill="FFFFFF"/>
            <w:noWrap/>
            <w:vAlign w:val="bottom"/>
            <w:hideMark/>
          </w:tcPr>
          <w:p w14:paraId="4B8D353F" w14:textId="4B694918" w:rsidR="00543241" w:rsidRPr="00C57E2E" w:rsidRDefault="00543241" w:rsidP="00543241">
            <w:pPr>
              <w:jc w:val="right"/>
              <w:rPr>
                <w:rFonts w:ascii="Times New Roman" w:hAnsi="Times New Roman"/>
                <w:sz w:val="14"/>
                <w:szCs w:val="14"/>
              </w:rPr>
            </w:pPr>
            <w:r w:rsidRPr="000D1437">
              <w:rPr>
                <w:sz w:val="14"/>
                <w:szCs w:val="14"/>
              </w:rPr>
              <w:t>64590,71</w:t>
            </w:r>
          </w:p>
        </w:tc>
        <w:tc>
          <w:tcPr>
            <w:tcW w:w="1197" w:type="dxa"/>
            <w:tcBorders>
              <w:top w:val="nil"/>
              <w:left w:val="nil"/>
              <w:bottom w:val="single" w:sz="4" w:space="0" w:color="auto"/>
              <w:right w:val="single" w:sz="4" w:space="0" w:color="auto"/>
            </w:tcBorders>
            <w:shd w:val="clear" w:color="000000" w:fill="FFFFFF"/>
            <w:noWrap/>
            <w:vAlign w:val="bottom"/>
            <w:hideMark/>
          </w:tcPr>
          <w:p w14:paraId="03408583" w14:textId="2125E8A6" w:rsidR="00543241" w:rsidRPr="0022028F" w:rsidRDefault="00543241" w:rsidP="00543241">
            <w:pPr>
              <w:jc w:val="right"/>
              <w:rPr>
                <w:rFonts w:ascii="Times New Roman" w:hAnsi="Times New Roman"/>
                <w:sz w:val="14"/>
                <w:szCs w:val="14"/>
              </w:rPr>
            </w:pPr>
            <w:r w:rsidRPr="000D1437">
              <w:rPr>
                <w:sz w:val="14"/>
                <w:szCs w:val="14"/>
              </w:rPr>
              <w:t>77696,01</w:t>
            </w:r>
          </w:p>
        </w:tc>
        <w:tc>
          <w:tcPr>
            <w:tcW w:w="1183" w:type="dxa"/>
            <w:tcBorders>
              <w:top w:val="nil"/>
              <w:left w:val="nil"/>
              <w:bottom w:val="single" w:sz="4" w:space="0" w:color="auto"/>
              <w:right w:val="single" w:sz="4" w:space="0" w:color="auto"/>
            </w:tcBorders>
            <w:shd w:val="clear" w:color="000000" w:fill="FFFFFF"/>
            <w:noWrap/>
            <w:vAlign w:val="bottom"/>
            <w:hideMark/>
          </w:tcPr>
          <w:p w14:paraId="5D4E9AFA" w14:textId="465AF45B" w:rsidR="00543241" w:rsidRPr="00C57E2E" w:rsidRDefault="00543241" w:rsidP="00543241">
            <w:pPr>
              <w:jc w:val="right"/>
              <w:rPr>
                <w:rFonts w:ascii="Times New Roman" w:hAnsi="Times New Roman"/>
                <w:sz w:val="14"/>
                <w:szCs w:val="14"/>
              </w:rPr>
            </w:pPr>
            <w:r w:rsidRPr="000D1437">
              <w:rPr>
                <w:sz w:val="14"/>
                <w:szCs w:val="14"/>
              </w:rPr>
              <w:t>68012,68</w:t>
            </w:r>
          </w:p>
        </w:tc>
        <w:tc>
          <w:tcPr>
            <w:tcW w:w="1183" w:type="dxa"/>
            <w:tcBorders>
              <w:top w:val="nil"/>
              <w:left w:val="nil"/>
              <w:bottom w:val="single" w:sz="4" w:space="0" w:color="auto"/>
              <w:right w:val="single" w:sz="4" w:space="0" w:color="auto"/>
            </w:tcBorders>
            <w:shd w:val="clear" w:color="000000" w:fill="FFFFFF"/>
            <w:noWrap/>
            <w:vAlign w:val="bottom"/>
            <w:hideMark/>
          </w:tcPr>
          <w:p w14:paraId="2B9C3EFE" w14:textId="2A5D2EE9" w:rsidR="00543241" w:rsidRPr="00C57E2E" w:rsidRDefault="00543241" w:rsidP="00543241">
            <w:pPr>
              <w:jc w:val="right"/>
              <w:rPr>
                <w:rFonts w:ascii="Times New Roman" w:hAnsi="Times New Roman"/>
                <w:sz w:val="14"/>
                <w:szCs w:val="14"/>
              </w:rPr>
            </w:pPr>
            <w:r w:rsidRPr="000D1437">
              <w:rPr>
                <w:sz w:val="14"/>
                <w:szCs w:val="14"/>
              </w:rPr>
              <w:t>65543,26</w:t>
            </w:r>
          </w:p>
        </w:tc>
        <w:tc>
          <w:tcPr>
            <w:tcW w:w="1197" w:type="dxa"/>
            <w:tcBorders>
              <w:top w:val="nil"/>
              <w:left w:val="nil"/>
              <w:bottom w:val="single" w:sz="4" w:space="0" w:color="auto"/>
              <w:right w:val="single" w:sz="4" w:space="0" w:color="auto"/>
            </w:tcBorders>
            <w:shd w:val="clear" w:color="000000" w:fill="FFFFFF"/>
            <w:vAlign w:val="bottom"/>
          </w:tcPr>
          <w:p w14:paraId="24295C69" w14:textId="53DD710B" w:rsidR="00543241" w:rsidRPr="00C57E2E" w:rsidRDefault="00543241" w:rsidP="00543241">
            <w:pPr>
              <w:jc w:val="right"/>
              <w:rPr>
                <w:rFonts w:ascii="Times New Roman" w:hAnsi="Times New Roman"/>
                <w:sz w:val="14"/>
                <w:szCs w:val="14"/>
              </w:rPr>
            </w:pPr>
            <w:r w:rsidRPr="000D1437">
              <w:rPr>
                <w:sz w:val="14"/>
                <w:szCs w:val="14"/>
              </w:rPr>
              <w:t>66699,35</w:t>
            </w:r>
          </w:p>
        </w:tc>
      </w:tr>
      <w:tr w:rsidR="00543241" w:rsidRPr="00364545" w14:paraId="52A80D95"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E6F3366" w14:textId="0E991745" w:rsidR="00543241" w:rsidRPr="00364545" w:rsidRDefault="00543241" w:rsidP="00543241">
            <w:pPr>
              <w:ind w:firstLineChars="500" w:firstLine="700"/>
              <w:jc w:val="left"/>
              <w:rPr>
                <w:rFonts w:asciiTheme="majorHAnsi" w:hAnsiTheme="majorHAnsi"/>
                <w:sz w:val="14"/>
                <w:szCs w:val="16"/>
              </w:rPr>
            </w:pPr>
            <w:r w:rsidRPr="00364545">
              <w:rPr>
                <w:rFonts w:asciiTheme="majorHAnsi" w:hAnsiTheme="majorHAnsi"/>
                <w:sz w:val="14"/>
              </w:rPr>
              <w:t>3. Transport</w:t>
            </w:r>
          </w:p>
        </w:tc>
        <w:tc>
          <w:tcPr>
            <w:tcW w:w="1198" w:type="dxa"/>
            <w:tcBorders>
              <w:top w:val="nil"/>
              <w:left w:val="nil"/>
              <w:bottom w:val="single" w:sz="4" w:space="0" w:color="auto"/>
              <w:right w:val="single" w:sz="4" w:space="0" w:color="auto"/>
            </w:tcBorders>
            <w:shd w:val="clear" w:color="000000" w:fill="FFFFFF"/>
            <w:noWrap/>
            <w:vAlign w:val="bottom"/>
            <w:hideMark/>
          </w:tcPr>
          <w:p w14:paraId="4B13AED7" w14:textId="71468903" w:rsidR="00543241" w:rsidRPr="00C57E2E" w:rsidRDefault="00543241" w:rsidP="00543241">
            <w:pPr>
              <w:jc w:val="right"/>
              <w:rPr>
                <w:rFonts w:ascii="Times New Roman" w:hAnsi="Times New Roman"/>
                <w:sz w:val="14"/>
                <w:szCs w:val="14"/>
              </w:rPr>
            </w:pPr>
            <w:r w:rsidRPr="000D1437">
              <w:rPr>
                <w:sz w:val="14"/>
                <w:szCs w:val="14"/>
              </w:rPr>
              <w:t>120340,58</w:t>
            </w:r>
          </w:p>
        </w:tc>
        <w:tc>
          <w:tcPr>
            <w:tcW w:w="1197" w:type="dxa"/>
            <w:tcBorders>
              <w:top w:val="nil"/>
              <w:left w:val="nil"/>
              <w:bottom w:val="single" w:sz="4" w:space="0" w:color="auto"/>
              <w:right w:val="single" w:sz="4" w:space="0" w:color="auto"/>
            </w:tcBorders>
            <w:shd w:val="clear" w:color="000000" w:fill="FFFFFF"/>
            <w:noWrap/>
            <w:vAlign w:val="bottom"/>
            <w:hideMark/>
          </w:tcPr>
          <w:p w14:paraId="4D273F54" w14:textId="3A032603" w:rsidR="00543241" w:rsidRPr="00C57E2E" w:rsidRDefault="00543241" w:rsidP="00543241">
            <w:pPr>
              <w:jc w:val="right"/>
              <w:rPr>
                <w:rFonts w:ascii="Times New Roman" w:hAnsi="Times New Roman"/>
                <w:sz w:val="14"/>
                <w:szCs w:val="14"/>
              </w:rPr>
            </w:pPr>
            <w:r w:rsidRPr="000D1437">
              <w:rPr>
                <w:sz w:val="14"/>
                <w:szCs w:val="14"/>
              </w:rPr>
              <w:t>120340,58</w:t>
            </w:r>
          </w:p>
        </w:tc>
        <w:tc>
          <w:tcPr>
            <w:tcW w:w="1197" w:type="dxa"/>
            <w:tcBorders>
              <w:top w:val="nil"/>
              <w:left w:val="nil"/>
              <w:bottom w:val="single" w:sz="4" w:space="0" w:color="auto"/>
              <w:right w:val="single" w:sz="4" w:space="0" w:color="auto"/>
            </w:tcBorders>
            <w:shd w:val="clear" w:color="000000" w:fill="FFFFFF"/>
            <w:noWrap/>
            <w:vAlign w:val="bottom"/>
            <w:hideMark/>
          </w:tcPr>
          <w:p w14:paraId="75B54F75" w14:textId="25D6068D" w:rsidR="00543241" w:rsidRPr="00C57E2E" w:rsidRDefault="00543241" w:rsidP="00543241">
            <w:pPr>
              <w:jc w:val="right"/>
              <w:rPr>
                <w:rFonts w:ascii="Times New Roman" w:hAnsi="Times New Roman"/>
                <w:sz w:val="14"/>
                <w:szCs w:val="14"/>
              </w:rPr>
            </w:pPr>
            <w:r w:rsidRPr="000D1437">
              <w:rPr>
                <w:sz w:val="14"/>
                <w:szCs w:val="14"/>
              </w:rPr>
              <w:t>123519,01</w:t>
            </w:r>
          </w:p>
        </w:tc>
        <w:tc>
          <w:tcPr>
            <w:tcW w:w="1183" w:type="dxa"/>
            <w:tcBorders>
              <w:top w:val="nil"/>
              <w:left w:val="nil"/>
              <w:bottom w:val="single" w:sz="4" w:space="0" w:color="auto"/>
              <w:right w:val="single" w:sz="4" w:space="0" w:color="auto"/>
            </w:tcBorders>
            <w:shd w:val="clear" w:color="000000" w:fill="FFFFFF"/>
            <w:noWrap/>
            <w:vAlign w:val="bottom"/>
            <w:hideMark/>
          </w:tcPr>
          <w:p w14:paraId="47B62275" w14:textId="1EC61150" w:rsidR="00543241" w:rsidRPr="00C57E2E" w:rsidRDefault="00543241" w:rsidP="00543241">
            <w:pPr>
              <w:jc w:val="right"/>
              <w:rPr>
                <w:rFonts w:ascii="Times New Roman" w:hAnsi="Times New Roman"/>
                <w:sz w:val="14"/>
                <w:szCs w:val="14"/>
              </w:rPr>
            </w:pPr>
            <w:r w:rsidRPr="000D1437">
              <w:rPr>
                <w:sz w:val="14"/>
                <w:szCs w:val="14"/>
              </w:rPr>
              <w:t>126346,18</w:t>
            </w:r>
          </w:p>
        </w:tc>
        <w:tc>
          <w:tcPr>
            <w:tcW w:w="1183" w:type="dxa"/>
            <w:tcBorders>
              <w:top w:val="nil"/>
              <w:left w:val="nil"/>
              <w:bottom w:val="single" w:sz="4" w:space="0" w:color="auto"/>
              <w:right w:val="single" w:sz="4" w:space="0" w:color="auto"/>
            </w:tcBorders>
            <w:shd w:val="clear" w:color="000000" w:fill="FFFFFF"/>
            <w:noWrap/>
            <w:vAlign w:val="bottom"/>
            <w:hideMark/>
          </w:tcPr>
          <w:p w14:paraId="3154AC29" w14:textId="2F92E57B" w:rsidR="00543241" w:rsidRPr="00C57E2E" w:rsidRDefault="00543241" w:rsidP="00543241">
            <w:pPr>
              <w:jc w:val="right"/>
              <w:rPr>
                <w:rFonts w:ascii="Times New Roman" w:hAnsi="Times New Roman"/>
                <w:sz w:val="14"/>
                <w:szCs w:val="14"/>
              </w:rPr>
            </w:pPr>
            <w:r w:rsidRPr="000D1437">
              <w:rPr>
                <w:sz w:val="14"/>
                <w:szCs w:val="14"/>
              </w:rPr>
              <w:t>127007,24</w:t>
            </w:r>
          </w:p>
        </w:tc>
        <w:tc>
          <w:tcPr>
            <w:tcW w:w="1197" w:type="dxa"/>
            <w:tcBorders>
              <w:top w:val="nil"/>
              <w:left w:val="nil"/>
              <w:bottom w:val="single" w:sz="4" w:space="0" w:color="auto"/>
              <w:right w:val="single" w:sz="4" w:space="0" w:color="auto"/>
            </w:tcBorders>
            <w:shd w:val="clear" w:color="000000" w:fill="FFFFFF"/>
            <w:vAlign w:val="bottom"/>
          </w:tcPr>
          <w:p w14:paraId="185D6994" w14:textId="317A7B19" w:rsidR="00543241" w:rsidRPr="00C57E2E" w:rsidRDefault="00543241" w:rsidP="00543241">
            <w:pPr>
              <w:jc w:val="right"/>
              <w:rPr>
                <w:rFonts w:ascii="Times New Roman" w:hAnsi="Times New Roman"/>
                <w:sz w:val="14"/>
                <w:szCs w:val="14"/>
              </w:rPr>
            </w:pPr>
            <w:r w:rsidRPr="000D1437">
              <w:rPr>
                <w:sz w:val="14"/>
                <w:szCs w:val="14"/>
              </w:rPr>
              <w:t>128627,69</w:t>
            </w:r>
          </w:p>
        </w:tc>
      </w:tr>
      <w:tr w:rsidR="00543241" w:rsidRPr="00364545" w14:paraId="301BD97A"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41DFD86" w14:textId="221E7953" w:rsidR="00543241" w:rsidRPr="00364545" w:rsidRDefault="00543241" w:rsidP="00543241">
            <w:pPr>
              <w:ind w:firstLineChars="500" w:firstLine="700"/>
              <w:jc w:val="left"/>
              <w:rPr>
                <w:rFonts w:asciiTheme="majorHAnsi" w:hAnsiTheme="majorHAnsi"/>
                <w:sz w:val="14"/>
                <w:szCs w:val="16"/>
              </w:rPr>
            </w:pPr>
            <w:r w:rsidRPr="00364545">
              <w:rPr>
                <w:rFonts w:asciiTheme="majorHAnsi" w:hAnsiTheme="majorHAnsi"/>
                <w:sz w:val="14"/>
              </w:rPr>
              <w:t>4. Other sectors</w:t>
            </w:r>
          </w:p>
        </w:tc>
        <w:tc>
          <w:tcPr>
            <w:tcW w:w="1198" w:type="dxa"/>
            <w:tcBorders>
              <w:top w:val="nil"/>
              <w:left w:val="nil"/>
              <w:bottom w:val="single" w:sz="4" w:space="0" w:color="auto"/>
              <w:right w:val="single" w:sz="4" w:space="0" w:color="auto"/>
            </w:tcBorders>
            <w:shd w:val="clear" w:color="000000" w:fill="FFFFFF"/>
            <w:noWrap/>
            <w:vAlign w:val="bottom"/>
            <w:hideMark/>
          </w:tcPr>
          <w:p w14:paraId="5D93C2D6" w14:textId="42D138A3" w:rsidR="00543241" w:rsidRPr="00C57E2E" w:rsidRDefault="00543241" w:rsidP="00543241">
            <w:pPr>
              <w:jc w:val="right"/>
              <w:rPr>
                <w:rFonts w:ascii="Times New Roman" w:hAnsi="Times New Roman"/>
                <w:sz w:val="14"/>
                <w:szCs w:val="14"/>
              </w:rPr>
            </w:pPr>
            <w:r w:rsidRPr="000D1437">
              <w:rPr>
                <w:sz w:val="14"/>
                <w:szCs w:val="14"/>
              </w:rPr>
              <w:t>91854,84</w:t>
            </w:r>
          </w:p>
        </w:tc>
        <w:tc>
          <w:tcPr>
            <w:tcW w:w="1197" w:type="dxa"/>
            <w:tcBorders>
              <w:top w:val="nil"/>
              <w:left w:val="nil"/>
              <w:bottom w:val="single" w:sz="4" w:space="0" w:color="auto"/>
              <w:right w:val="single" w:sz="4" w:space="0" w:color="auto"/>
            </w:tcBorders>
            <w:shd w:val="clear" w:color="000000" w:fill="FFFFFF"/>
            <w:noWrap/>
            <w:vAlign w:val="bottom"/>
            <w:hideMark/>
          </w:tcPr>
          <w:p w14:paraId="08A67EB0" w14:textId="6F7694C9" w:rsidR="00543241" w:rsidRPr="00C57E2E" w:rsidRDefault="00543241" w:rsidP="00543241">
            <w:pPr>
              <w:jc w:val="right"/>
              <w:rPr>
                <w:rFonts w:ascii="Times New Roman" w:hAnsi="Times New Roman"/>
                <w:sz w:val="14"/>
                <w:szCs w:val="14"/>
              </w:rPr>
            </w:pPr>
            <w:r w:rsidRPr="000D1437">
              <w:rPr>
                <w:sz w:val="14"/>
                <w:szCs w:val="14"/>
              </w:rPr>
              <w:t>91854,84</w:t>
            </w:r>
          </w:p>
        </w:tc>
        <w:tc>
          <w:tcPr>
            <w:tcW w:w="1197" w:type="dxa"/>
            <w:tcBorders>
              <w:top w:val="nil"/>
              <w:left w:val="nil"/>
              <w:bottom w:val="single" w:sz="4" w:space="0" w:color="auto"/>
              <w:right w:val="single" w:sz="4" w:space="0" w:color="auto"/>
            </w:tcBorders>
            <w:shd w:val="clear" w:color="000000" w:fill="FFFFFF"/>
            <w:noWrap/>
            <w:vAlign w:val="bottom"/>
            <w:hideMark/>
          </w:tcPr>
          <w:p w14:paraId="7656CB79" w14:textId="3336DF7A" w:rsidR="00543241" w:rsidRPr="00C57E2E" w:rsidRDefault="00543241" w:rsidP="00543241">
            <w:pPr>
              <w:jc w:val="right"/>
              <w:rPr>
                <w:rFonts w:ascii="Times New Roman" w:hAnsi="Times New Roman"/>
                <w:sz w:val="14"/>
                <w:szCs w:val="14"/>
              </w:rPr>
            </w:pPr>
            <w:r w:rsidRPr="000D1437">
              <w:rPr>
                <w:sz w:val="14"/>
                <w:szCs w:val="14"/>
              </w:rPr>
              <w:t>100953,23</w:t>
            </w:r>
          </w:p>
        </w:tc>
        <w:tc>
          <w:tcPr>
            <w:tcW w:w="1183" w:type="dxa"/>
            <w:tcBorders>
              <w:top w:val="nil"/>
              <w:left w:val="nil"/>
              <w:bottom w:val="single" w:sz="4" w:space="0" w:color="auto"/>
              <w:right w:val="single" w:sz="4" w:space="0" w:color="auto"/>
            </w:tcBorders>
            <w:shd w:val="clear" w:color="000000" w:fill="FFFFFF"/>
            <w:noWrap/>
            <w:vAlign w:val="bottom"/>
            <w:hideMark/>
          </w:tcPr>
          <w:p w14:paraId="7AC8E13B" w14:textId="5B2819EB" w:rsidR="00543241" w:rsidRPr="00C57E2E" w:rsidRDefault="00543241" w:rsidP="00543241">
            <w:pPr>
              <w:jc w:val="right"/>
              <w:rPr>
                <w:rFonts w:ascii="Times New Roman" w:hAnsi="Times New Roman"/>
                <w:sz w:val="14"/>
                <w:szCs w:val="14"/>
              </w:rPr>
            </w:pPr>
            <w:r w:rsidRPr="000D1437">
              <w:rPr>
                <w:sz w:val="14"/>
                <w:szCs w:val="14"/>
              </w:rPr>
              <w:t>98818,30</w:t>
            </w:r>
          </w:p>
        </w:tc>
        <w:tc>
          <w:tcPr>
            <w:tcW w:w="1183" w:type="dxa"/>
            <w:tcBorders>
              <w:top w:val="nil"/>
              <w:left w:val="nil"/>
              <w:bottom w:val="single" w:sz="4" w:space="0" w:color="auto"/>
              <w:right w:val="single" w:sz="4" w:space="0" w:color="auto"/>
            </w:tcBorders>
            <w:shd w:val="clear" w:color="000000" w:fill="FFFFFF"/>
            <w:noWrap/>
            <w:vAlign w:val="bottom"/>
            <w:hideMark/>
          </w:tcPr>
          <w:p w14:paraId="07759371" w14:textId="2C773AF7" w:rsidR="00543241" w:rsidRPr="00C57E2E" w:rsidRDefault="00543241" w:rsidP="00543241">
            <w:pPr>
              <w:jc w:val="right"/>
              <w:rPr>
                <w:rFonts w:ascii="Times New Roman" w:hAnsi="Times New Roman"/>
                <w:sz w:val="14"/>
                <w:szCs w:val="14"/>
              </w:rPr>
            </w:pPr>
            <w:r w:rsidRPr="000D1437">
              <w:rPr>
                <w:sz w:val="14"/>
                <w:szCs w:val="14"/>
              </w:rPr>
              <w:t>96141,86</w:t>
            </w:r>
          </w:p>
        </w:tc>
        <w:tc>
          <w:tcPr>
            <w:tcW w:w="1197" w:type="dxa"/>
            <w:tcBorders>
              <w:top w:val="nil"/>
              <w:left w:val="nil"/>
              <w:bottom w:val="single" w:sz="4" w:space="0" w:color="auto"/>
              <w:right w:val="single" w:sz="4" w:space="0" w:color="auto"/>
            </w:tcBorders>
            <w:shd w:val="clear" w:color="000000" w:fill="FFFFFF"/>
            <w:vAlign w:val="bottom"/>
          </w:tcPr>
          <w:p w14:paraId="44A60508" w14:textId="751DF376" w:rsidR="00543241" w:rsidRPr="00C57E2E" w:rsidRDefault="00543241" w:rsidP="00543241">
            <w:pPr>
              <w:jc w:val="right"/>
              <w:rPr>
                <w:rFonts w:ascii="Times New Roman" w:hAnsi="Times New Roman"/>
                <w:sz w:val="14"/>
                <w:szCs w:val="14"/>
              </w:rPr>
            </w:pPr>
            <w:r w:rsidRPr="000D1437">
              <w:rPr>
                <w:sz w:val="14"/>
                <w:szCs w:val="14"/>
              </w:rPr>
              <w:t>91239,03</w:t>
            </w:r>
          </w:p>
        </w:tc>
      </w:tr>
      <w:tr w:rsidR="00543241" w:rsidRPr="00364545" w14:paraId="7E623711"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772E16E" w14:textId="06213508" w:rsidR="00543241" w:rsidRPr="00364545" w:rsidRDefault="00543241" w:rsidP="00543241">
            <w:pPr>
              <w:ind w:firstLineChars="500" w:firstLine="700"/>
              <w:jc w:val="left"/>
              <w:rPr>
                <w:rFonts w:asciiTheme="majorHAnsi" w:hAnsiTheme="majorHAnsi"/>
                <w:sz w:val="14"/>
                <w:szCs w:val="16"/>
              </w:rPr>
            </w:pPr>
            <w:r w:rsidRPr="00364545">
              <w:rPr>
                <w:rFonts w:asciiTheme="majorHAnsi" w:hAnsiTheme="majorHAnsi"/>
                <w:sz w:val="14"/>
              </w:rPr>
              <w:t>5. Other</w:t>
            </w:r>
          </w:p>
        </w:tc>
        <w:tc>
          <w:tcPr>
            <w:tcW w:w="1198" w:type="dxa"/>
            <w:tcBorders>
              <w:top w:val="nil"/>
              <w:left w:val="nil"/>
              <w:bottom w:val="single" w:sz="4" w:space="0" w:color="auto"/>
              <w:right w:val="single" w:sz="4" w:space="0" w:color="auto"/>
            </w:tcBorders>
            <w:shd w:val="clear" w:color="000000" w:fill="FFFFFF"/>
            <w:noWrap/>
            <w:vAlign w:val="bottom"/>
            <w:hideMark/>
          </w:tcPr>
          <w:p w14:paraId="4D3F1712" w14:textId="1911FEFD" w:rsidR="00543241" w:rsidRPr="00C57E2E" w:rsidRDefault="00543241" w:rsidP="00543241">
            <w:pPr>
              <w:jc w:val="right"/>
              <w:rPr>
                <w:rFonts w:ascii="Times New Roman" w:hAnsi="Times New Roman"/>
                <w:sz w:val="14"/>
                <w:szCs w:val="14"/>
              </w:rPr>
            </w:pPr>
            <w:r w:rsidRPr="000D1437">
              <w:rPr>
                <w:sz w:val="14"/>
                <w:szCs w:val="14"/>
              </w:rPr>
              <w:t>4464,25</w:t>
            </w:r>
          </w:p>
        </w:tc>
        <w:tc>
          <w:tcPr>
            <w:tcW w:w="1197" w:type="dxa"/>
            <w:tcBorders>
              <w:top w:val="nil"/>
              <w:left w:val="nil"/>
              <w:bottom w:val="single" w:sz="4" w:space="0" w:color="auto"/>
              <w:right w:val="single" w:sz="4" w:space="0" w:color="auto"/>
            </w:tcBorders>
            <w:shd w:val="clear" w:color="000000" w:fill="FFFFFF"/>
            <w:noWrap/>
            <w:vAlign w:val="bottom"/>
            <w:hideMark/>
          </w:tcPr>
          <w:p w14:paraId="0864ECC7" w14:textId="626FF2F8" w:rsidR="00543241" w:rsidRPr="00C57E2E" w:rsidRDefault="00543241" w:rsidP="00543241">
            <w:pPr>
              <w:jc w:val="right"/>
              <w:rPr>
                <w:rFonts w:ascii="Times New Roman" w:hAnsi="Times New Roman"/>
                <w:sz w:val="14"/>
                <w:szCs w:val="14"/>
              </w:rPr>
            </w:pPr>
            <w:r w:rsidRPr="000D1437">
              <w:rPr>
                <w:sz w:val="14"/>
                <w:szCs w:val="14"/>
              </w:rPr>
              <w:t>4464,25</w:t>
            </w:r>
          </w:p>
        </w:tc>
        <w:tc>
          <w:tcPr>
            <w:tcW w:w="1197" w:type="dxa"/>
            <w:tcBorders>
              <w:top w:val="nil"/>
              <w:left w:val="nil"/>
              <w:bottom w:val="single" w:sz="4" w:space="0" w:color="auto"/>
              <w:right w:val="single" w:sz="4" w:space="0" w:color="auto"/>
            </w:tcBorders>
            <w:shd w:val="clear" w:color="000000" w:fill="FFFFFF"/>
            <w:noWrap/>
            <w:vAlign w:val="bottom"/>
            <w:hideMark/>
          </w:tcPr>
          <w:p w14:paraId="22DC3C9A" w14:textId="7BC903BC" w:rsidR="00543241" w:rsidRPr="00C57E2E" w:rsidRDefault="00543241" w:rsidP="00543241">
            <w:pPr>
              <w:jc w:val="right"/>
              <w:rPr>
                <w:rFonts w:ascii="Times New Roman" w:hAnsi="Times New Roman"/>
                <w:sz w:val="14"/>
                <w:szCs w:val="14"/>
              </w:rPr>
            </w:pPr>
            <w:r w:rsidRPr="000D1437">
              <w:rPr>
                <w:sz w:val="14"/>
                <w:szCs w:val="14"/>
              </w:rPr>
              <w:t>4109,98</w:t>
            </w:r>
          </w:p>
        </w:tc>
        <w:tc>
          <w:tcPr>
            <w:tcW w:w="1183" w:type="dxa"/>
            <w:tcBorders>
              <w:top w:val="nil"/>
              <w:left w:val="nil"/>
              <w:bottom w:val="single" w:sz="4" w:space="0" w:color="auto"/>
              <w:right w:val="single" w:sz="4" w:space="0" w:color="auto"/>
            </w:tcBorders>
            <w:shd w:val="clear" w:color="000000" w:fill="FFFFFF"/>
            <w:noWrap/>
            <w:vAlign w:val="bottom"/>
            <w:hideMark/>
          </w:tcPr>
          <w:p w14:paraId="760D9D29" w14:textId="69A135DC" w:rsidR="00543241" w:rsidRPr="00C57E2E" w:rsidRDefault="00543241" w:rsidP="00543241">
            <w:pPr>
              <w:jc w:val="right"/>
              <w:rPr>
                <w:rFonts w:ascii="Times New Roman" w:hAnsi="Times New Roman"/>
                <w:sz w:val="14"/>
                <w:szCs w:val="14"/>
              </w:rPr>
            </w:pPr>
            <w:r w:rsidRPr="000D1437">
              <w:rPr>
                <w:sz w:val="14"/>
                <w:szCs w:val="14"/>
              </w:rPr>
              <w:t>2803,98</w:t>
            </w:r>
          </w:p>
        </w:tc>
        <w:tc>
          <w:tcPr>
            <w:tcW w:w="1183" w:type="dxa"/>
            <w:tcBorders>
              <w:top w:val="nil"/>
              <w:left w:val="nil"/>
              <w:bottom w:val="single" w:sz="4" w:space="0" w:color="auto"/>
              <w:right w:val="single" w:sz="4" w:space="0" w:color="auto"/>
            </w:tcBorders>
            <w:shd w:val="clear" w:color="000000" w:fill="FFFFFF"/>
            <w:noWrap/>
            <w:vAlign w:val="bottom"/>
            <w:hideMark/>
          </w:tcPr>
          <w:p w14:paraId="03531719" w14:textId="689C2EC8" w:rsidR="00543241" w:rsidRPr="00C57E2E" w:rsidRDefault="00543241" w:rsidP="00543241">
            <w:pPr>
              <w:jc w:val="right"/>
              <w:rPr>
                <w:rFonts w:ascii="Times New Roman" w:hAnsi="Times New Roman"/>
                <w:sz w:val="14"/>
                <w:szCs w:val="14"/>
              </w:rPr>
            </w:pPr>
            <w:r w:rsidRPr="000D1437">
              <w:rPr>
                <w:sz w:val="14"/>
                <w:szCs w:val="14"/>
              </w:rPr>
              <w:t>2341,42</w:t>
            </w:r>
          </w:p>
        </w:tc>
        <w:tc>
          <w:tcPr>
            <w:tcW w:w="1197" w:type="dxa"/>
            <w:tcBorders>
              <w:top w:val="nil"/>
              <w:left w:val="nil"/>
              <w:bottom w:val="single" w:sz="4" w:space="0" w:color="auto"/>
              <w:right w:val="single" w:sz="4" w:space="0" w:color="auto"/>
            </w:tcBorders>
            <w:shd w:val="clear" w:color="000000" w:fill="FFFFFF"/>
            <w:vAlign w:val="bottom"/>
          </w:tcPr>
          <w:p w14:paraId="25A9CE75" w14:textId="4ABBA425" w:rsidR="00543241" w:rsidRPr="00C57E2E" w:rsidRDefault="00543241" w:rsidP="00543241">
            <w:pPr>
              <w:jc w:val="right"/>
              <w:rPr>
                <w:rFonts w:ascii="Times New Roman" w:hAnsi="Times New Roman"/>
                <w:sz w:val="14"/>
                <w:szCs w:val="14"/>
              </w:rPr>
            </w:pPr>
            <w:r w:rsidRPr="000D1437">
              <w:rPr>
                <w:sz w:val="14"/>
                <w:szCs w:val="14"/>
              </w:rPr>
              <w:t>1077,28</w:t>
            </w:r>
          </w:p>
        </w:tc>
      </w:tr>
      <w:tr w:rsidR="00543241" w:rsidRPr="00364545" w14:paraId="6D939098"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8E792D8" w14:textId="77777777"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B. Fugitive emissions from fuels</w:t>
            </w:r>
          </w:p>
        </w:tc>
        <w:tc>
          <w:tcPr>
            <w:tcW w:w="1198" w:type="dxa"/>
            <w:tcBorders>
              <w:top w:val="nil"/>
              <w:left w:val="nil"/>
              <w:bottom w:val="single" w:sz="4" w:space="0" w:color="auto"/>
              <w:right w:val="single" w:sz="4" w:space="0" w:color="auto"/>
            </w:tcBorders>
            <w:shd w:val="clear" w:color="000000" w:fill="CCFFFF"/>
            <w:noWrap/>
            <w:vAlign w:val="bottom"/>
            <w:hideMark/>
          </w:tcPr>
          <w:p w14:paraId="06F93221" w14:textId="1B94F217" w:rsidR="00543241" w:rsidRPr="00C57E2E" w:rsidRDefault="00543241" w:rsidP="00543241">
            <w:pPr>
              <w:jc w:val="right"/>
              <w:rPr>
                <w:rFonts w:ascii="Times New Roman" w:hAnsi="Times New Roman"/>
                <w:sz w:val="14"/>
                <w:szCs w:val="14"/>
              </w:rPr>
            </w:pPr>
            <w:r w:rsidRPr="000D1437">
              <w:rPr>
                <w:sz w:val="14"/>
                <w:szCs w:val="14"/>
              </w:rPr>
              <w:t>4361,54</w:t>
            </w:r>
          </w:p>
        </w:tc>
        <w:tc>
          <w:tcPr>
            <w:tcW w:w="1197" w:type="dxa"/>
            <w:tcBorders>
              <w:top w:val="nil"/>
              <w:left w:val="nil"/>
              <w:bottom w:val="single" w:sz="4" w:space="0" w:color="auto"/>
              <w:right w:val="single" w:sz="4" w:space="0" w:color="auto"/>
            </w:tcBorders>
            <w:shd w:val="clear" w:color="000000" w:fill="CCFFFF"/>
            <w:noWrap/>
            <w:vAlign w:val="bottom"/>
            <w:hideMark/>
          </w:tcPr>
          <w:p w14:paraId="2104BE4F" w14:textId="3C181D3E" w:rsidR="00543241" w:rsidRPr="00C57E2E" w:rsidRDefault="00543241" w:rsidP="00543241">
            <w:pPr>
              <w:jc w:val="right"/>
              <w:rPr>
                <w:rFonts w:ascii="Times New Roman" w:hAnsi="Times New Roman"/>
                <w:sz w:val="14"/>
                <w:szCs w:val="14"/>
              </w:rPr>
            </w:pPr>
            <w:r w:rsidRPr="000D1437">
              <w:rPr>
                <w:sz w:val="14"/>
                <w:szCs w:val="14"/>
              </w:rPr>
              <w:t>4361,54</w:t>
            </w:r>
          </w:p>
        </w:tc>
        <w:tc>
          <w:tcPr>
            <w:tcW w:w="1197" w:type="dxa"/>
            <w:tcBorders>
              <w:top w:val="nil"/>
              <w:left w:val="nil"/>
              <w:bottom w:val="single" w:sz="4" w:space="0" w:color="auto"/>
              <w:right w:val="single" w:sz="4" w:space="0" w:color="auto"/>
            </w:tcBorders>
            <w:shd w:val="clear" w:color="000000" w:fill="CCFFFF"/>
            <w:noWrap/>
            <w:vAlign w:val="bottom"/>
            <w:hideMark/>
          </w:tcPr>
          <w:p w14:paraId="4E059784" w14:textId="0426B8E8" w:rsidR="00543241" w:rsidRPr="00C57E2E" w:rsidRDefault="00543241" w:rsidP="00543241">
            <w:pPr>
              <w:jc w:val="right"/>
              <w:rPr>
                <w:rFonts w:ascii="Times New Roman" w:hAnsi="Times New Roman"/>
                <w:sz w:val="14"/>
                <w:szCs w:val="14"/>
              </w:rPr>
            </w:pPr>
            <w:r w:rsidRPr="000D1437">
              <w:rPr>
                <w:sz w:val="14"/>
                <w:szCs w:val="14"/>
              </w:rPr>
              <w:t>4464,80</w:t>
            </w:r>
          </w:p>
        </w:tc>
        <w:tc>
          <w:tcPr>
            <w:tcW w:w="1183" w:type="dxa"/>
            <w:tcBorders>
              <w:top w:val="nil"/>
              <w:left w:val="nil"/>
              <w:bottom w:val="single" w:sz="4" w:space="0" w:color="auto"/>
              <w:right w:val="single" w:sz="4" w:space="0" w:color="auto"/>
            </w:tcBorders>
            <w:shd w:val="clear" w:color="000000" w:fill="CCFFFF"/>
            <w:noWrap/>
            <w:vAlign w:val="bottom"/>
            <w:hideMark/>
          </w:tcPr>
          <w:p w14:paraId="47929358" w14:textId="5C90468A" w:rsidR="00543241" w:rsidRPr="00C57E2E" w:rsidRDefault="00543241" w:rsidP="00543241">
            <w:pPr>
              <w:jc w:val="right"/>
              <w:rPr>
                <w:rFonts w:ascii="Times New Roman" w:hAnsi="Times New Roman"/>
                <w:sz w:val="14"/>
                <w:szCs w:val="14"/>
              </w:rPr>
            </w:pPr>
            <w:r w:rsidRPr="000D1437">
              <w:rPr>
                <w:sz w:val="14"/>
                <w:szCs w:val="14"/>
              </w:rPr>
              <w:t>4467,87</w:t>
            </w:r>
          </w:p>
        </w:tc>
        <w:tc>
          <w:tcPr>
            <w:tcW w:w="1183" w:type="dxa"/>
            <w:tcBorders>
              <w:top w:val="nil"/>
              <w:left w:val="nil"/>
              <w:bottom w:val="single" w:sz="4" w:space="0" w:color="auto"/>
              <w:right w:val="single" w:sz="4" w:space="0" w:color="auto"/>
            </w:tcBorders>
            <w:shd w:val="clear" w:color="000000" w:fill="CCFFFF"/>
            <w:noWrap/>
            <w:vAlign w:val="bottom"/>
            <w:hideMark/>
          </w:tcPr>
          <w:p w14:paraId="5D2B827D" w14:textId="25EF070F" w:rsidR="00543241" w:rsidRPr="00C57E2E" w:rsidRDefault="00543241" w:rsidP="00543241">
            <w:pPr>
              <w:jc w:val="right"/>
              <w:rPr>
                <w:rFonts w:ascii="Times New Roman" w:hAnsi="Times New Roman"/>
                <w:sz w:val="14"/>
                <w:szCs w:val="14"/>
              </w:rPr>
            </w:pPr>
            <w:r w:rsidRPr="000D1437">
              <w:rPr>
                <w:sz w:val="14"/>
                <w:szCs w:val="14"/>
              </w:rPr>
              <w:t>4270,34</w:t>
            </w:r>
          </w:p>
        </w:tc>
        <w:tc>
          <w:tcPr>
            <w:tcW w:w="1197" w:type="dxa"/>
            <w:tcBorders>
              <w:top w:val="nil"/>
              <w:left w:val="nil"/>
              <w:bottom w:val="single" w:sz="4" w:space="0" w:color="auto"/>
              <w:right w:val="single" w:sz="4" w:space="0" w:color="auto"/>
            </w:tcBorders>
            <w:shd w:val="clear" w:color="000000" w:fill="CCFFFF"/>
            <w:vAlign w:val="bottom"/>
          </w:tcPr>
          <w:p w14:paraId="6939E859" w14:textId="5DEE85A4" w:rsidR="00543241" w:rsidRPr="00C57E2E" w:rsidRDefault="00543241" w:rsidP="00543241">
            <w:pPr>
              <w:jc w:val="right"/>
              <w:rPr>
                <w:rFonts w:ascii="Times New Roman" w:hAnsi="Times New Roman"/>
                <w:sz w:val="14"/>
                <w:szCs w:val="14"/>
              </w:rPr>
            </w:pPr>
            <w:r w:rsidRPr="000D1437">
              <w:rPr>
                <w:sz w:val="14"/>
                <w:szCs w:val="14"/>
              </w:rPr>
              <w:t>4539,92</w:t>
            </w:r>
          </w:p>
        </w:tc>
      </w:tr>
      <w:tr w:rsidR="00543241" w:rsidRPr="00364545" w14:paraId="6A136A77"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511F177F" w14:textId="42FC1925" w:rsidR="00543241" w:rsidRPr="00364545" w:rsidRDefault="00543241" w:rsidP="00543241">
            <w:pPr>
              <w:ind w:firstLineChars="500" w:firstLine="700"/>
              <w:jc w:val="left"/>
              <w:rPr>
                <w:rFonts w:asciiTheme="majorHAnsi" w:hAnsiTheme="majorHAnsi"/>
                <w:sz w:val="14"/>
                <w:szCs w:val="16"/>
              </w:rPr>
            </w:pPr>
            <w:r w:rsidRPr="00364545">
              <w:rPr>
                <w:rFonts w:asciiTheme="majorHAnsi" w:hAnsiTheme="majorHAnsi"/>
                <w:sz w:val="14"/>
              </w:rPr>
              <w:t>1. Solid fuels</w:t>
            </w:r>
          </w:p>
        </w:tc>
        <w:tc>
          <w:tcPr>
            <w:tcW w:w="1198" w:type="dxa"/>
            <w:tcBorders>
              <w:top w:val="nil"/>
              <w:left w:val="nil"/>
              <w:bottom w:val="single" w:sz="4" w:space="0" w:color="auto"/>
              <w:right w:val="single" w:sz="4" w:space="0" w:color="auto"/>
            </w:tcBorders>
            <w:shd w:val="clear" w:color="000000" w:fill="FFFFFF"/>
            <w:noWrap/>
            <w:vAlign w:val="bottom"/>
            <w:hideMark/>
          </w:tcPr>
          <w:p w14:paraId="30D53BC7" w14:textId="2289D173" w:rsidR="00543241" w:rsidRPr="00C57E2E"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7F63168F" w14:textId="1C34FFB2" w:rsidR="00543241" w:rsidRPr="00C57E2E"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176560EA" w14:textId="38421E1D" w:rsidR="00543241" w:rsidRPr="00C57E2E" w:rsidRDefault="00543241" w:rsidP="00543241">
            <w:pPr>
              <w:jc w:val="right"/>
              <w:rPr>
                <w:rFonts w:ascii="Times New Roman" w:hAnsi="Times New Roman"/>
                <w:sz w:val="14"/>
                <w:szCs w:val="14"/>
              </w:rPr>
            </w:pPr>
            <w:r w:rsidRPr="000D1437">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2743B951" w14:textId="5B8A1F31" w:rsidR="00543241" w:rsidRPr="00C57E2E" w:rsidRDefault="00543241" w:rsidP="00543241">
            <w:pPr>
              <w:jc w:val="right"/>
              <w:rPr>
                <w:rFonts w:ascii="Times New Roman" w:hAnsi="Times New Roman"/>
                <w:sz w:val="14"/>
                <w:szCs w:val="14"/>
              </w:rPr>
            </w:pPr>
            <w:r w:rsidRPr="000D1437">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6C2916C4" w14:textId="5CDB80C7" w:rsidR="00543241" w:rsidRPr="00C57E2E"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vAlign w:val="bottom"/>
          </w:tcPr>
          <w:p w14:paraId="7F5B3BD6" w14:textId="6BE8344C" w:rsidR="00543241" w:rsidRPr="00C57E2E" w:rsidRDefault="00543241" w:rsidP="00543241">
            <w:pPr>
              <w:jc w:val="right"/>
              <w:rPr>
                <w:rFonts w:ascii="Times New Roman" w:hAnsi="Times New Roman"/>
                <w:sz w:val="14"/>
                <w:szCs w:val="14"/>
              </w:rPr>
            </w:pPr>
            <w:r w:rsidRPr="000D1437">
              <w:rPr>
                <w:sz w:val="14"/>
                <w:szCs w:val="14"/>
              </w:rPr>
              <w:t>NO,NA</w:t>
            </w:r>
          </w:p>
        </w:tc>
      </w:tr>
      <w:tr w:rsidR="00543241" w:rsidRPr="00364545" w14:paraId="796F6E31"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5E83C76" w14:textId="5C5D84D8" w:rsidR="00543241" w:rsidRPr="00364545" w:rsidRDefault="00543241" w:rsidP="00543241">
            <w:pPr>
              <w:ind w:firstLineChars="500" w:firstLine="700"/>
              <w:jc w:val="left"/>
              <w:rPr>
                <w:rFonts w:asciiTheme="majorHAnsi" w:hAnsiTheme="majorHAnsi"/>
                <w:sz w:val="14"/>
                <w:szCs w:val="16"/>
              </w:rPr>
            </w:pPr>
            <w:r w:rsidRPr="00364545">
              <w:rPr>
                <w:rFonts w:asciiTheme="majorHAnsi" w:hAnsiTheme="majorHAnsi"/>
                <w:sz w:val="14"/>
              </w:rPr>
              <w:t>2. Oil and natural gas and other emissions from energy production</w:t>
            </w:r>
          </w:p>
        </w:tc>
        <w:tc>
          <w:tcPr>
            <w:tcW w:w="1198" w:type="dxa"/>
            <w:tcBorders>
              <w:top w:val="nil"/>
              <w:left w:val="nil"/>
              <w:bottom w:val="single" w:sz="4" w:space="0" w:color="auto"/>
              <w:right w:val="single" w:sz="4" w:space="0" w:color="auto"/>
            </w:tcBorders>
            <w:shd w:val="clear" w:color="000000" w:fill="FFFFFF"/>
            <w:noWrap/>
            <w:vAlign w:val="bottom"/>
            <w:hideMark/>
          </w:tcPr>
          <w:p w14:paraId="39643D8E" w14:textId="462B37ED" w:rsidR="00543241" w:rsidRPr="00C57E2E" w:rsidRDefault="00543241" w:rsidP="00543241">
            <w:pPr>
              <w:jc w:val="right"/>
              <w:rPr>
                <w:rFonts w:ascii="Times New Roman" w:hAnsi="Times New Roman"/>
                <w:sz w:val="14"/>
                <w:szCs w:val="14"/>
              </w:rPr>
            </w:pPr>
            <w:r w:rsidRPr="000D1437">
              <w:rPr>
                <w:sz w:val="14"/>
                <w:szCs w:val="14"/>
              </w:rPr>
              <w:t>4361,54</w:t>
            </w:r>
          </w:p>
        </w:tc>
        <w:tc>
          <w:tcPr>
            <w:tcW w:w="1197" w:type="dxa"/>
            <w:tcBorders>
              <w:top w:val="nil"/>
              <w:left w:val="nil"/>
              <w:bottom w:val="single" w:sz="4" w:space="0" w:color="auto"/>
              <w:right w:val="single" w:sz="4" w:space="0" w:color="auto"/>
            </w:tcBorders>
            <w:shd w:val="clear" w:color="000000" w:fill="FFFFFF"/>
            <w:noWrap/>
            <w:vAlign w:val="bottom"/>
            <w:hideMark/>
          </w:tcPr>
          <w:p w14:paraId="559A3D63" w14:textId="030D63BB" w:rsidR="00543241" w:rsidRPr="00C57E2E" w:rsidRDefault="00543241" w:rsidP="00543241">
            <w:pPr>
              <w:jc w:val="right"/>
              <w:rPr>
                <w:rFonts w:ascii="Times New Roman" w:hAnsi="Times New Roman"/>
                <w:sz w:val="14"/>
                <w:szCs w:val="14"/>
              </w:rPr>
            </w:pPr>
            <w:r w:rsidRPr="000D1437">
              <w:rPr>
                <w:sz w:val="14"/>
                <w:szCs w:val="14"/>
              </w:rPr>
              <w:t>4361,54</w:t>
            </w:r>
          </w:p>
        </w:tc>
        <w:tc>
          <w:tcPr>
            <w:tcW w:w="1197" w:type="dxa"/>
            <w:tcBorders>
              <w:top w:val="nil"/>
              <w:left w:val="nil"/>
              <w:bottom w:val="single" w:sz="4" w:space="0" w:color="auto"/>
              <w:right w:val="single" w:sz="4" w:space="0" w:color="auto"/>
            </w:tcBorders>
            <w:shd w:val="clear" w:color="000000" w:fill="FFFFFF"/>
            <w:noWrap/>
            <w:vAlign w:val="bottom"/>
            <w:hideMark/>
          </w:tcPr>
          <w:p w14:paraId="1931DFC6" w14:textId="33B7AE3D" w:rsidR="00543241" w:rsidRPr="00C57E2E" w:rsidRDefault="00543241" w:rsidP="00543241">
            <w:pPr>
              <w:jc w:val="right"/>
              <w:rPr>
                <w:rFonts w:ascii="Times New Roman" w:hAnsi="Times New Roman"/>
                <w:sz w:val="14"/>
                <w:szCs w:val="14"/>
              </w:rPr>
            </w:pPr>
            <w:r w:rsidRPr="000D1437">
              <w:rPr>
                <w:sz w:val="14"/>
                <w:szCs w:val="14"/>
              </w:rPr>
              <w:t>4464,80</w:t>
            </w:r>
          </w:p>
        </w:tc>
        <w:tc>
          <w:tcPr>
            <w:tcW w:w="1183" w:type="dxa"/>
            <w:tcBorders>
              <w:top w:val="nil"/>
              <w:left w:val="nil"/>
              <w:bottom w:val="single" w:sz="4" w:space="0" w:color="auto"/>
              <w:right w:val="single" w:sz="4" w:space="0" w:color="auto"/>
            </w:tcBorders>
            <w:shd w:val="clear" w:color="000000" w:fill="FFFFFF"/>
            <w:noWrap/>
            <w:vAlign w:val="bottom"/>
            <w:hideMark/>
          </w:tcPr>
          <w:p w14:paraId="29627C7B" w14:textId="28A42192" w:rsidR="00543241" w:rsidRPr="00C57E2E" w:rsidRDefault="00543241" w:rsidP="00543241">
            <w:pPr>
              <w:jc w:val="right"/>
              <w:rPr>
                <w:rFonts w:ascii="Times New Roman" w:hAnsi="Times New Roman"/>
                <w:sz w:val="14"/>
                <w:szCs w:val="14"/>
              </w:rPr>
            </w:pPr>
            <w:r w:rsidRPr="000D1437">
              <w:rPr>
                <w:sz w:val="14"/>
                <w:szCs w:val="14"/>
              </w:rPr>
              <w:t>4467,87</w:t>
            </w:r>
          </w:p>
        </w:tc>
        <w:tc>
          <w:tcPr>
            <w:tcW w:w="1183" w:type="dxa"/>
            <w:tcBorders>
              <w:top w:val="nil"/>
              <w:left w:val="nil"/>
              <w:bottom w:val="single" w:sz="4" w:space="0" w:color="auto"/>
              <w:right w:val="single" w:sz="4" w:space="0" w:color="auto"/>
            </w:tcBorders>
            <w:shd w:val="clear" w:color="000000" w:fill="FFFFFF"/>
            <w:noWrap/>
            <w:vAlign w:val="bottom"/>
            <w:hideMark/>
          </w:tcPr>
          <w:p w14:paraId="424E5473" w14:textId="3BA8AC7D" w:rsidR="00543241" w:rsidRPr="00C57E2E" w:rsidRDefault="00543241" w:rsidP="00543241">
            <w:pPr>
              <w:jc w:val="right"/>
              <w:rPr>
                <w:rFonts w:ascii="Times New Roman" w:hAnsi="Times New Roman"/>
                <w:sz w:val="14"/>
                <w:szCs w:val="14"/>
              </w:rPr>
            </w:pPr>
            <w:r w:rsidRPr="000D1437">
              <w:rPr>
                <w:sz w:val="14"/>
                <w:szCs w:val="14"/>
              </w:rPr>
              <w:t>4270,34</w:t>
            </w:r>
          </w:p>
        </w:tc>
        <w:tc>
          <w:tcPr>
            <w:tcW w:w="1197" w:type="dxa"/>
            <w:tcBorders>
              <w:top w:val="nil"/>
              <w:left w:val="nil"/>
              <w:bottom w:val="single" w:sz="4" w:space="0" w:color="auto"/>
              <w:right w:val="single" w:sz="4" w:space="0" w:color="auto"/>
            </w:tcBorders>
            <w:shd w:val="clear" w:color="000000" w:fill="FFFFFF"/>
            <w:vAlign w:val="bottom"/>
          </w:tcPr>
          <w:p w14:paraId="520A8A7B" w14:textId="50EE1811" w:rsidR="00543241" w:rsidRPr="00C57E2E" w:rsidRDefault="00543241" w:rsidP="00543241">
            <w:pPr>
              <w:jc w:val="right"/>
              <w:rPr>
                <w:rFonts w:ascii="Times New Roman" w:hAnsi="Times New Roman"/>
                <w:sz w:val="14"/>
                <w:szCs w:val="14"/>
              </w:rPr>
            </w:pPr>
            <w:r w:rsidRPr="000D1437">
              <w:rPr>
                <w:sz w:val="14"/>
                <w:szCs w:val="14"/>
              </w:rPr>
              <w:t>4539,92</w:t>
            </w:r>
          </w:p>
        </w:tc>
      </w:tr>
      <w:tr w:rsidR="00543241" w:rsidRPr="00364545" w14:paraId="2803490A"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2E34204" w14:textId="6715809B"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 xml:space="preserve">C. </w:t>
            </w:r>
            <w:r w:rsidRPr="00364545">
              <w:t>CO</w:t>
            </w:r>
            <w:r w:rsidRPr="00364545">
              <w:rPr>
                <w:vertAlign w:val="subscript"/>
              </w:rPr>
              <w:t>2</w:t>
            </w:r>
            <w:r w:rsidRPr="00364545">
              <w:rPr>
                <w:rFonts w:asciiTheme="majorHAnsi" w:hAnsiTheme="majorHAnsi"/>
                <w:sz w:val="14"/>
              </w:rPr>
              <w:t xml:space="preserve"> transport and storage</w:t>
            </w:r>
          </w:p>
        </w:tc>
        <w:tc>
          <w:tcPr>
            <w:tcW w:w="1198" w:type="dxa"/>
            <w:tcBorders>
              <w:top w:val="nil"/>
              <w:left w:val="nil"/>
              <w:bottom w:val="single" w:sz="4" w:space="0" w:color="auto"/>
              <w:right w:val="single" w:sz="4" w:space="0" w:color="auto"/>
            </w:tcBorders>
            <w:shd w:val="clear" w:color="000000" w:fill="FFFFFF"/>
            <w:noWrap/>
            <w:vAlign w:val="bottom"/>
            <w:hideMark/>
          </w:tcPr>
          <w:p w14:paraId="236862CE" w14:textId="591E2A27" w:rsidR="00543241" w:rsidRPr="00C57E2E"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76A33A05" w14:textId="7543FC2C" w:rsidR="00543241" w:rsidRPr="00C57E2E"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6EF5D311" w14:textId="4C2E144D" w:rsidR="00543241" w:rsidRPr="00C57E2E" w:rsidRDefault="00543241" w:rsidP="00543241">
            <w:pPr>
              <w:jc w:val="right"/>
              <w:rPr>
                <w:rFonts w:ascii="Times New Roman" w:hAnsi="Times New Roman"/>
                <w:sz w:val="14"/>
                <w:szCs w:val="14"/>
              </w:rPr>
            </w:pPr>
            <w:r w:rsidRPr="000D1437">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67AF19C0" w14:textId="1ECDB29B" w:rsidR="00543241" w:rsidRPr="00C57E2E" w:rsidRDefault="00543241" w:rsidP="00543241">
            <w:pPr>
              <w:jc w:val="right"/>
              <w:rPr>
                <w:rFonts w:ascii="Times New Roman" w:hAnsi="Times New Roman"/>
                <w:sz w:val="14"/>
                <w:szCs w:val="14"/>
              </w:rPr>
            </w:pPr>
            <w:r w:rsidRPr="000D1437">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437BCE37" w14:textId="5449959C" w:rsidR="00543241" w:rsidRPr="00C57E2E"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FFFFFF"/>
            <w:vAlign w:val="bottom"/>
          </w:tcPr>
          <w:p w14:paraId="7FA2EA4B" w14:textId="25FD6F72" w:rsidR="00543241" w:rsidRPr="00C57E2E" w:rsidRDefault="00543241" w:rsidP="00543241">
            <w:pPr>
              <w:jc w:val="right"/>
              <w:rPr>
                <w:rFonts w:ascii="Times New Roman" w:hAnsi="Times New Roman"/>
                <w:sz w:val="14"/>
                <w:szCs w:val="14"/>
              </w:rPr>
            </w:pPr>
            <w:r w:rsidRPr="000D1437">
              <w:rPr>
                <w:sz w:val="14"/>
                <w:szCs w:val="14"/>
              </w:rPr>
              <w:t>NO</w:t>
            </w:r>
          </w:p>
        </w:tc>
      </w:tr>
      <w:tr w:rsidR="00543241" w:rsidRPr="00364545" w14:paraId="4B1C46CB"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115DFF9" w14:textId="0ABE3B99"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2. Industrial Processes</w:t>
            </w:r>
          </w:p>
        </w:tc>
        <w:tc>
          <w:tcPr>
            <w:tcW w:w="1198" w:type="dxa"/>
            <w:tcBorders>
              <w:top w:val="nil"/>
              <w:left w:val="nil"/>
              <w:bottom w:val="single" w:sz="4" w:space="0" w:color="auto"/>
              <w:right w:val="single" w:sz="4" w:space="0" w:color="auto"/>
            </w:tcBorders>
            <w:shd w:val="clear" w:color="000000" w:fill="CCFFFF"/>
            <w:noWrap/>
            <w:vAlign w:val="bottom"/>
            <w:hideMark/>
          </w:tcPr>
          <w:p w14:paraId="5F3E170A" w14:textId="06A91FDD" w:rsidR="00543241" w:rsidRPr="00C57E2E" w:rsidRDefault="00543241" w:rsidP="00543241">
            <w:pPr>
              <w:jc w:val="right"/>
              <w:rPr>
                <w:rFonts w:ascii="Times New Roman" w:hAnsi="Times New Roman"/>
                <w:sz w:val="14"/>
                <w:szCs w:val="14"/>
              </w:rPr>
            </w:pPr>
            <w:r w:rsidRPr="000D1437">
              <w:rPr>
                <w:sz w:val="14"/>
                <w:szCs w:val="14"/>
              </w:rPr>
              <w:t>42901,86</w:t>
            </w:r>
          </w:p>
        </w:tc>
        <w:tc>
          <w:tcPr>
            <w:tcW w:w="1197" w:type="dxa"/>
            <w:tcBorders>
              <w:top w:val="nil"/>
              <w:left w:val="nil"/>
              <w:bottom w:val="single" w:sz="4" w:space="0" w:color="auto"/>
              <w:right w:val="single" w:sz="4" w:space="0" w:color="auto"/>
            </w:tcBorders>
            <w:shd w:val="clear" w:color="000000" w:fill="CCFFFF"/>
            <w:noWrap/>
            <w:vAlign w:val="bottom"/>
            <w:hideMark/>
          </w:tcPr>
          <w:p w14:paraId="6C06D4B0" w14:textId="213824A6" w:rsidR="00543241" w:rsidRPr="00C57E2E" w:rsidRDefault="00543241" w:rsidP="00543241">
            <w:pPr>
              <w:jc w:val="right"/>
              <w:rPr>
                <w:rFonts w:ascii="Times New Roman" w:hAnsi="Times New Roman"/>
                <w:sz w:val="14"/>
                <w:szCs w:val="14"/>
              </w:rPr>
            </w:pPr>
            <w:r w:rsidRPr="000D1437">
              <w:rPr>
                <w:sz w:val="14"/>
                <w:szCs w:val="14"/>
              </w:rPr>
              <w:t>42901,86</w:t>
            </w:r>
          </w:p>
        </w:tc>
        <w:tc>
          <w:tcPr>
            <w:tcW w:w="1197" w:type="dxa"/>
            <w:tcBorders>
              <w:top w:val="nil"/>
              <w:left w:val="nil"/>
              <w:bottom w:val="single" w:sz="4" w:space="0" w:color="auto"/>
              <w:right w:val="single" w:sz="4" w:space="0" w:color="auto"/>
            </w:tcBorders>
            <w:shd w:val="clear" w:color="000000" w:fill="CCFFFF"/>
            <w:noWrap/>
            <w:vAlign w:val="bottom"/>
            <w:hideMark/>
          </w:tcPr>
          <w:p w14:paraId="5D1A6004" w14:textId="01E2B319" w:rsidR="00543241" w:rsidRPr="00C57E2E" w:rsidRDefault="00543241" w:rsidP="00543241">
            <w:pPr>
              <w:jc w:val="right"/>
              <w:rPr>
                <w:rFonts w:ascii="Times New Roman" w:hAnsi="Times New Roman"/>
                <w:sz w:val="14"/>
                <w:szCs w:val="14"/>
              </w:rPr>
            </w:pPr>
            <w:r w:rsidRPr="000D1437">
              <w:rPr>
                <w:sz w:val="14"/>
                <w:szCs w:val="14"/>
              </w:rPr>
              <w:t>41712,31</w:t>
            </w:r>
          </w:p>
        </w:tc>
        <w:tc>
          <w:tcPr>
            <w:tcW w:w="1183" w:type="dxa"/>
            <w:tcBorders>
              <w:top w:val="nil"/>
              <w:left w:val="nil"/>
              <w:bottom w:val="single" w:sz="4" w:space="0" w:color="auto"/>
              <w:right w:val="single" w:sz="4" w:space="0" w:color="auto"/>
            </w:tcBorders>
            <w:shd w:val="clear" w:color="000000" w:fill="CCFFFF"/>
            <w:noWrap/>
            <w:vAlign w:val="bottom"/>
            <w:hideMark/>
          </w:tcPr>
          <w:p w14:paraId="57E271DD" w14:textId="70FD81CC" w:rsidR="00543241" w:rsidRPr="00C57E2E" w:rsidRDefault="00543241" w:rsidP="00543241">
            <w:pPr>
              <w:jc w:val="right"/>
              <w:rPr>
                <w:rFonts w:ascii="Times New Roman" w:hAnsi="Times New Roman"/>
                <w:sz w:val="14"/>
                <w:szCs w:val="14"/>
              </w:rPr>
            </w:pPr>
            <w:r w:rsidRPr="000D1437">
              <w:rPr>
                <w:sz w:val="14"/>
                <w:szCs w:val="14"/>
              </w:rPr>
              <w:t>39643,91</w:t>
            </w:r>
          </w:p>
        </w:tc>
        <w:tc>
          <w:tcPr>
            <w:tcW w:w="1183" w:type="dxa"/>
            <w:tcBorders>
              <w:top w:val="nil"/>
              <w:left w:val="nil"/>
              <w:bottom w:val="single" w:sz="4" w:space="0" w:color="auto"/>
              <w:right w:val="single" w:sz="4" w:space="0" w:color="auto"/>
            </w:tcBorders>
            <w:shd w:val="clear" w:color="000000" w:fill="CCFFFF"/>
            <w:noWrap/>
            <w:vAlign w:val="bottom"/>
            <w:hideMark/>
          </w:tcPr>
          <w:p w14:paraId="25370128" w14:textId="48696666" w:rsidR="00543241" w:rsidRPr="00C57E2E" w:rsidRDefault="00543241" w:rsidP="00543241">
            <w:pPr>
              <w:jc w:val="right"/>
              <w:rPr>
                <w:rFonts w:ascii="Times New Roman" w:hAnsi="Times New Roman"/>
                <w:sz w:val="14"/>
                <w:szCs w:val="14"/>
              </w:rPr>
            </w:pPr>
            <w:r w:rsidRPr="000D1437">
              <w:rPr>
                <w:sz w:val="14"/>
                <w:szCs w:val="14"/>
              </w:rPr>
              <w:t>38685,73</w:t>
            </w:r>
          </w:p>
        </w:tc>
        <w:tc>
          <w:tcPr>
            <w:tcW w:w="1197" w:type="dxa"/>
            <w:tcBorders>
              <w:top w:val="nil"/>
              <w:left w:val="nil"/>
              <w:bottom w:val="single" w:sz="4" w:space="0" w:color="auto"/>
              <w:right w:val="single" w:sz="4" w:space="0" w:color="auto"/>
            </w:tcBorders>
            <w:shd w:val="clear" w:color="000000" w:fill="CCFFFF"/>
            <w:vAlign w:val="bottom"/>
          </w:tcPr>
          <w:p w14:paraId="4A341527" w14:textId="0E8A2835" w:rsidR="00543241" w:rsidRPr="0022028F" w:rsidRDefault="00543241" w:rsidP="00543241">
            <w:pPr>
              <w:jc w:val="right"/>
              <w:rPr>
                <w:rFonts w:ascii="Times New Roman" w:hAnsi="Times New Roman"/>
                <w:sz w:val="14"/>
                <w:szCs w:val="14"/>
              </w:rPr>
            </w:pPr>
            <w:r w:rsidRPr="000D1437">
              <w:rPr>
                <w:sz w:val="14"/>
                <w:szCs w:val="14"/>
              </w:rPr>
              <w:t>39399,78</w:t>
            </w:r>
          </w:p>
        </w:tc>
      </w:tr>
      <w:tr w:rsidR="00543241" w:rsidRPr="00364545" w14:paraId="2E112F02"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6D4BA7B" w14:textId="3F0109FD"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A. Mineral industry</w:t>
            </w:r>
          </w:p>
        </w:tc>
        <w:tc>
          <w:tcPr>
            <w:tcW w:w="1198" w:type="dxa"/>
            <w:tcBorders>
              <w:top w:val="nil"/>
              <w:left w:val="nil"/>
              <w:bottom w:val="single" w:sz="4" w:space="0" w:color="auto"/>
              <w:right w:val="single" w:sz="4" w:space="0" w:color="auto"/>
            </w:tcBorders>
            <w:shd w:val="clear" w:color="000000" w:fill="FFFFFF"/>
            <w:noWrap/>
            <w:vAlign w:val="bottom"/>
            <w:hideMark/>
          </w:tcPr>
          <w:p w14:paraId="7A02C743" w14:textId="653521DD" w:rsidR="00543241" w:rsidRPr="00C57E2E" w:rsidRDefault="00543241" w:rsidP="00543241">
            <w:pPr>
              <w:jc w:val="right"/>
              <w:rPr>
                <w:rFonts w:ascii="Times New Roman" w:hAnsi="Times New Roman"/>
                <w:sz w:val="14"/>
                <w:szCs w:val="14"/>
              </w:rPr>
            </w:pPr>
            <w:r w:rsidRPr="000D1437">
              <w:rPr>
                <w:sz w:val="14"/>
                <w:szCs w:val="14"/>
              </w:rPr>
              <w:t>14977,20</w:t>
            </w:r>
          </w:p>
        </w:tc>
        <w:tc>
          <w:tcPr>
            <w:tcW w:w="1197" w:type="dxa"/>
            <w:tcBorders>
              <w:top w:val="nil"/>
              <w:left w:val="nil"/>
              <w:bottom w:val="single" w:sz="4" w:space="0" w:color="auto"/>
              <w:right w:val="single" w:sz="4" w:space="0" w:color="auto"/>
            </w:tcBorders>
            <w:shd w:val="clear" w:color="000000" w:fill="FFFFFF"/>
            <w:noWrap/>
            <w:vAlign w:val="bottom"/>
            <w:hideMark/>
          </w:tcPr>
          <w:p w14:paraId="57A35996" w14:textId="4261065C" w:rsidR="00543241" w:rsidRPr="00C57E2E" w:rsidRDefault="00543241" w:rsidP="00543241">
            <w:pPr>
              <w:jc w:val="right"/>
              <w:rPr>
                <w:rFonts w:ascii="Times New Roman" w:hAnsi="Times New Roman"/>
                <w:sz w:val="14"/>
                <w:szCs w:val="14"/>
              </w:rPr>
            </w:pPr>
            <w:r w:rsidRPr="000D1437">
              <w:rPr>
                <w:sz w:val="14"/>
                <w:szCs w:val="14"/>
              </w:rPr>
              <w:t>14977,20</w:t>
            </w:r>
          </w:p>
        </w:tc>
        <w:tc>
          <w:tcPr>
            <w:tcW w:w="1197" w:type="dxa"/>
            <w:tcBorders>
              <w:top w:val="nil"/>
              <w:left w:val="nil"/>
              <w:bottom w:val="single" w:sz="4" w:space="0" w:color="auto"/>
              <w:right w:val="single" w:sz="4" w:space="0" w:color="auto"/>
            </w:tcBorders>
            <w:shd w:val="clear" w:color="000000" w:fill="FFFFFF"/>
            <w:noWrap/>
            <w:vAlign w:val="bottom"/>
            <w:hideMark/>
          </w:tcPr>
          <w:p w14:paraId="30B0C043" w14:textId="1F3DC08E" w:rsidR="00543241" w:rsidRPr="00C57E2E" w:rsidRDefault="00543241" w:rsidP="00543241">
            <w:pPr>
              <w:jc w:val="right"/>
              <w:rPr>
                <w:rFonts w:ascii="Times New Roman" w:hAnsi="Times New Roman"/>
                <w:sz w:val="14"/>
                <w:szCs w:val="14"/>
              </w:rPr>
            </w:pPr>
            <w:r w:rsidRPr="000D1437">
              <w:rPr>
                <w:sz w:val="14"/>
                <w:szCs w:val="14"/>
              </w:rPr>
              <w:t>14322,08</w:t>
            </w:r>
          </w:p>
        </w:tc>
        <w:tc>
          <w:tcPr>
            <w:tcW w:w="1183" w:type="dxa"/>
            <w:tcBorders>
              <w:top w:val="nil"/>
              <w:left w:val="nil"/>
              <w:bottom w:val="single" w:sz="4" w:space="0" w:color="auto"/>
              <w:right w:val="single" w:sz="4" w:space="0" w:color="auto"/>
            </w:tcBorders>
            <w:shd w:val="clear" w:color="000000" w:fill="FFFFFF"/>
            <w:noWrap/>
            <w:vAlign w:val="bottom"/>
            <w:hideMark/>
          </w:tcPr>
          <w:p w14:paraId="07CC8BFB" w14:textId="1F10C5DB" w:rsidR="00543241" w:rsidRPr="00C57E2E" w:rsidRDefault="00543241" w:rsidP="00543241">
            <w:pPr>
              <w:jc w:val="right"/>
              <w:rPr>
                <w:rFonts w:ascii="Times New Roman" w:hAnsi="Times New Roman"/>
                <w:sz w:val="14"/>
                <w:szCs w:val="14"/>
              </w:rPr>
            </w:pPr>
            <w:r w:rsidRPr="000D1437">
              <w:rPr>
                <w:sz w:val="14"/>
                <w:szCs w:val="14"/>
              </w:rPr>
              <w:t>12934,12</w:t>
            </w:r>
          </w:p>
        </w:tc>
        <w:tc>
          <w:tcPr>
            <w:tcW w:w="1183" w:type="dxa"/>
            <w:tcBorders>
              <w:top w:val="nil"/>
              <w:left w:val="nil"/>
              <w:bottom w:val="single" w:sz="4" w:space="0" w:color="auto"/>
              <w:right w:val="single" w:sz="4" w:space="0" w:color="auto"/>
            </w:tcBorders>
            <w:shd w:val="clear" w:color="000000" w:fill="FFFFFF"/>
            <w:noWrap/>
            <w:vAlign w:val="bottom"/>
            <w:hideMark/>
          </w:tcPr>
          <w:p w14:paraId="4D22D428" w14:textId="618313DC" w:rsidR="00543241" w:rsidRPr="00C57E2E" w:rsidRDefault="00543241" w:rsidP="00543241">
            <w:pPr>
              <w:jc w:val="right"/>
              <w:rPr>
                <w:rFonts w:ascii="Times New Roman" w:hAnsi="Times New Roman"/>
                <w:sz w:val="14"/>
                <w:szCs w:val="14"/>
              </w:rPr>
            </w:pPr>
            <w:r w:rsidRPr="000D1437">
              <w:rPr>
                <w:sz w:val="14"/>
                <w:szCs w:val="14"/>
              </w:rPr>
              <w:t>12142,18</w:t>
            </w:r>
          </w:p>
        </w:tc>
        <w:tc>
          <w:tcPr>
            <w:tcW w:w="1197" w:type="dxa"/>
            <w:tcBorders>
              <w:top w:val="nil"/>
              <w:left w:val="nil"/>
              <w:bottom w:val="single" w:sz="4" w:space="0" w:color="auto"/>
              <w:right w:val="single" w:sz="4" w:space="0" w:color="auto"/>
            </w:tcBorders>
            <w:shd w:val="clear" w:color="000000" w:fill="FFFFFF"/>
            <w:vAlign w:val="bottom"/>
          </w:tcPr>
          <w:p w14:paraId="4C31D04E" w14:textId="7C9DCCB0" w:rsidR="00543241" w:rsidRPr="00C57E2E" w:rsidRDefault="00543241" w:rsidP="00543241">
            <w:pPr>
              <w:jc w:val="right"/>
              <w:rPr>
                <w:rFonts w:ascii="Times New Roman" w:hAnsi="Times New Roman"/>
                <w:sz w:val="14"/>
                <w:szCs w:val="14"/>
              </w:rPr>
            </w:pPr>
            <w:r w:rsidRPr="000D1437">
              <w:rPr>
                <w:sz w:val="14"/>
                <w:szCs w:val="14"/>
              </w:rPr>
              <w:t>12577,58</w:t>
            </w:r>
          </w:p>
        </w:tc>
      </w:tr>
      <w:tr w:rsidR="00543241" w:rsidRPr="00364545" w14:paraId="5668BE85"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64451E11" w14:textId="25E90B99"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B. Chemical industry</w:t>
            </w:r>
          </w:p>
        </w:tc>
        <w:tc>
          <w:tcPr>
            <w:tcW w:w="1198" w:type="dxa"/>
            <w:tcBorders>
              <w:top w:val="nil"/>
              <w:left w:val="nil"/>
              <w:bottom w:val="single" w:sz="4" w:space="0" w:color="auto"/>
              <w:right w:val="single" w:sz="4" w:space="0" w:color="auto"/>
            </w:tcBorders>
            <w:shd w:val="clear" w:color="000000" w:fill="FFFFFF"/>
            <w:noWrap/>
            <w:vAlign w:val="bottom"/>
            <w:hideMark/>
          </w:tcPr>
          <w:p w14:paraId="4A9F50CF" w14:textId="4CC2801C" w:rsidR="00543241" w:rsidRPr="00C57E2E" w:rsidRDefault="00543241" w:rsidP="00543241">
            <w:pPr>
              <w:jc w:val="right"/>
              <w:rPr>
                <w:rFonts w:ascii="Times New Roman" w:hAnsi="Times New Roman"/>
                <w:sz w:val="14"/>
                <w:szCs w:val="14"/>
              </w:rPr>
            </w:pPr>
            <w:r w:rsidRPr="000D1437">
              <w:rPr>
                <w:sz w:val="14"/>
                <w:szCs w:val="14"/>
              </w:rPr>
              <w:t>7539,92</w:t>
            </w:r>
          </w:p>
        </w:tc>
        <w:tc>
          <w:tcPr>
            <w:tcW w:w="1197" w:type="dxa"/>
            <w:tcBorders>
              <w:top w:val="nil"/>
              <w:left w:val="nil"/>
              <w:bottom w:val="single" w:sz="4" w:space="0" w:color="auto"/>
              <w:right w:val="single" w:sz="4" w:space="0" w:color="auto"/>
            </w:tcBorders>
            <w:shd w:val="clear" w:color="000000" w:fill="FFFFFF"/>
            <w:noWrap/>
            <w:vAlign w:val="bottom"/>
            <w:hideMark/>
          </w:tcPr>
          <w:p w14:paraId="5CEBFED9" w14:textId="5CB99BE5" w:rsidR="00543241" w:rsidRPr="00C57E2E" w:rsidRDefault="00543241" w:rsidP="00543241">
            <w:pPr>
              <w:jc w:val="right"/>
              <w:rPr>
                <w:rFonts w:ascii="Times New Roman" w:hAnsi="Times New Roman"/>
                <w:sz w:val="14"/>
                <w:szCs w:val="14"/>
              </w:rPr>
            </w:pPr>
            <w:r w:rsidRPr="000D1437">
              <w:rPr>
                <w:sz w:val="14"/>
                <w:szCs w:val="14"/>
              </w:rPr>
              <w:t>7539,92</w:t>
            </w:r>
          </w:p>
        </w:tc>
        <w:tc>
          <w:tcPr>
            <w:tcW w:w="1197" w:type="dxa"/>
            <w:tcBorders>
              <w:top w:val="nil"/>
              <w:left w:val="nil"/>
              <w:bottom w:val="single" w:sz="4" w:space="0" w:color="auto"/>
              <w:right w:val="single" w:sz="4" w:space="0" w:color="auto"/>
            </w:tcBorders>
            <w:shd w:val="clear" w:color="000000" w:fill="FFFFFF"/>
            <w:noWrap/>
            <w:vAlign w:val="bottom"/>
            <w:hideMark/>
          </w:tcPr>
          <w:p w14:paraId="649CA904" w14:textId="579E8558" w:rsidR="00543241" w:rsidRPr="00C57E2E" w:rsidRDefault="00543241" w:rsidP="00543241">
            <w:pPr>
              <w:jc w:val="right"/>
              <w:rPr>
                <w:rFonts w:ascii="Times New Roman" w:hAnsi="Times New Roman"/>
                <w:sz w:val="14"/>
                <w:szCs w:val="14"/>
              </w:rPr>
            </w:pPr>
            <w:r w:rsidRPr="000D1437">
              <w:rPr>
                <w:sz w:val="14"/>
                <w:szCs w:val="14"/>
              </w:rPr>
              <w:t>7769,12</w:t>
            </w:r>
          </w:p>
        </w:tc>
        <w:tc>
          <w:tcPr>
            <w:tcW w:w="1183" w:type="dxa"/>
            <w:tcBorders>
              <w:top w:val="nil"/>
              <w:left w:val="nil"/>
              <w:bottom w:val="single" w:sz="4" w:space="0" w:color="auto"/>
              <w:right w:val="single" w:sz="4" w:space="0" w:color="auto"/>
            </w:tcBorders>
            <w:shd w:val="clear" w:color="000000" w:fill="FFFFFF"/>
            <w:noWrap/>
            <w:vAlign w:val="bottom"/>
            <w:hideMark/>
          </w:tcPr>
          <w:p w14:paraId="690CE4A7" w14:textId="776E630C" w:rsidR="00543241" w:rsidRPr="00C57E2E" w:rsidRDefault="00543241" w:rsidP="00543241">
            <w:pPr>
              <w:jc w:val="right"/>
              <w:rPr>
                <w:rFonts w:ascii="Times New Roman" w:hAnsi="Times New Roman"/>
                <w:sz w:val="14"/>
                <w:szCs w:val="14"/>
              </w:rPr>
            </w:pPr>
            <w:r w:rsidRPr="000D1437">
              <w:rPr>
                <w:sz w:val="14"/>
                <w:szCs w:val="14"/>
              </w:rPr>
              <w:t>7706,01</w:t>
            </w:r>
          </w:p>
        </w:tc>
        <w:tc>
          <w:tcPr>
            <w:tcW w:w="1183" w:type="dxa"/>
            <w:tcBorders>
              <w:top w:val="nil"/>
              <w:left w:val="nil"/>
              <w:bottom w:val="single" w:sz="4" w:space="0" w:color="auto"/>
              <w:right w:val="single" w:sz="4" w:space="0" w:color="auto"/>
            </w:tcBorders>
            <w:shd w:val="clear" w:color="000000" w:fill="FFFFFF"/>
            <w:noWrap/>
            <w:vAlign w:val="bottom"/>
            <w:hideMark/>
          </w:tcPr>
          <w:p w14:paraId="2EACD195" w14:textId="60DABAA5" w:rsidR="00543241" w:rsidRPr="00C57E2E" w:rsidRDefault="00543241" w:rsidP="00543241">
            <w:pPr>
              <w:jc w:val="right"/>
              <w:rPr>
                <w:rFonts w:ascii="Times New Roman" w:hAnsi="Times New Roman"/>
                <w:sz w:val="14"/>
                <w:szCs w:val="14"/>
              </w:rPr>
            </w:pPr>
            <w:r w:rsidRPr="000D1437">
              <w:rPr>
                <w:sz w:val="14"/>
                <w:szCs w:val="14"/>
              </w:rPr>
              <w:t>7566,49</w:t>
            </w:r>
          </w:p>
        </w:tc>
        <w:tc>
          <w:tcPr>
            <w:tcW w:w="1197" w:type="dxa"/>
            <w:tcBorders>
              <w:top w:val="nil"/>
              <w:left w:val="nil"/>
              <w:bottom w:val="single" w:sz="4" w:space="0" w:color="auto"/>
              <w:right w:val="single" w:sz="4" w:space="0" w:color="auto"/>
            </w:tcBorders>
            <w:shd w:val="clear" w:color="000000" w:fill="FFFFFF"/>
            <w:vAlign w:val="bottom"/>
          </w:tcPr>
          <w:p w14:paraId="36F0FEB9" w14:textId="42372C60" w:rsidR="00543241" w:rsidRPr="00C57E2E" w:rsidRDefault="00543241" w:rsidP="00543241">
            <w:pPr>
              <w:jc w:val="right"/>
              <w:rPr>
                <w:rFonts w:ascii="Times New Roman" w:hAnsi="Times New Roman"/>
                <w:sz w:val="14"/>
                <w:szCs w:val="14"/>
              </w:rPr>
            </w:pPr>
            <w:r w:rsidRPr="000D1437">
              <w:rPr>
                <w:sz w:val="14"/>
                <w:szCs w:val="14"/>
              </w:rPr>
              <w:t>8109,28</w:t>
            </w:r>
          </w:p>
        </w:tc>
      </w:tr>
      <w:tr w:rsidR="00543241" w:rsidRPr="00364545" w14:paraId="75D3A0B0"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B61E0D1" w14:textId="786EBA81"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C. Metal industry</w:t>
            </w:r>
          </w:p>
        </w:tc>
        <w:tc>
          <w:tcPr>
            <w:tcW w:w="1198" w:type="dxa"/>
            <w:tcBorders>
              <w:top w:val="nil"/>
              <w:left w:val="nil"/>
              <w:bottom w:val="single" w:sz="4" w:space="0" w:color="auto"/>
              <w:right w:val="single" w:sz="4" w:space="0" w:color="auto"/>
            </w:tcBorders>
            <w:shd w:val="clear" w:color="000000" w:fill="FFFFFF"/>
            <w:noWrap/>
            <w:vAlign w:val="bottom"/>
            <w:hideMark/>
          </w:tcPr>
          <w:p w14:paraId="44FA6600" w14:textId="59AE2FF2" w:rsidR="00543241" w:rsidRPr="00C57E2E" w:rsidRDefault="00543241" w:rsidP="00543241">
            <w:pPr>
              <w:jc w:val="right"/>
              <w:rPr>
                <w:rFonts w:ascii="Times New Roman" w:hAnsi="Times New Roman"/>
                <w:sz w:val="14"/>
                <w:szCs w:val="14"/>
              </w:rPr>
            </w:pPr>
            <w:r w:rsidRPr="000D1437">
              <w:rPr>
                <w:sz w:val="14"/>
                <w:szCs w:val="14"/>
              </w:rPr>
              <w:t>17677,88</w:t>
            </w:r>
          </w:p>
        </w:tc>
        <w:tc>
          <w:tcPr>
            <w:tcW w:w="1197" w:type="dxa"/>
            <w:tcBorders>
              <w:top w:val="nil"/>
              <w:left w:val="nil"/>
              <w:bottom w:val="single" w:sz="4" w:space="0" w:color="auto"/>
              <w:right w:val="single" w:sz="4" w:space="0" w:color="auto"/>
            </w:tcBorders>
            <w:shd w:val="clear" w:color="000000" w:fill="FFFFFF"/>
            <w:noWrap/>
            <w:vAlign w:val="bottom"/>
            <w:hideMark/>
          </w:tcPr>
          <w:p w14:paraId="5527F10E" w14:textId="0A724549" w:rsidR="00543241" w:rsidRPr="00C57E2E" w:rsidRDefault="00543241" w:rsidP="00543241">
            <w:pPr>
              <w:jc w:val="right"/>
              <w:rPr>
                <w:rFonts w:ascii="Times New Roman" w:hAnsi="Times New Roman"/>
                <w:sz w:val="14"/>
                <w:szCs w:val="14"/>
              </w:rPr>
            </w:pPr>
            <w:r w:rsidRPr="000D1437">
              <w:rPr>
                <w:sz w:val="14"/>
                <w:szCs w:val="14"/>
              </w:rPr>
              <w:t>17677,88</w:t>
            </w:r>
          </w:p>
        </w:tc>
        <w:tc>
          <w:tcPr>
            <w:tcW w:w="1197" w:type="dxa"/>
            <w:tcBorders>
              <w:top w:val="nil"/>
              <w:left w:val="nil"/>
              <w:bottom w:val="single" w:sz="4" w:space="0" w:color="auto"/>
              <w:right w:val="single" w:sz="4" w:space="0" w:color="auto"/>
            </w:tcBorders>
            <w:shd w:val="clear" w:color="000000" w:fill="FFFFFF"/>
            <w:noWrap/>
            <w:vAlign w:val="bottom"/>
            <w:hideMark/>
          </w:tcPr>
          <w:p w14:paraId="785784DE" w14:textId="5CD8CA59" w:rsidR="00543241" w:rsidRPr="00C57E2E" w:rsidRDefault="00543241" w:rsidP="00543241">
            <w:pPr>
              <w:jc w:val="right"/>
              <w:rPr>
                <w:rFonts w:ascii="Times New Roman" w:hAnsi="Times New Roman"/>
                <w:sz w:val="14"/>
                <w:szCs w:val="14"/>
              </w:rPr>
            </w:pPr>
            <w:r w:rsidRPr="000D1437">
              <w:rPr>
                <w:sz w:val="14"/>
                <w:szCs w:val="14"/>
              </w:rPr>
              <w:t>16940,07</w:t>
            </w:r>
          </w:p>
        </w:tc>
        <w:tc>
          <w:tcPr>
            <w:tcW w:w="1183" w:type="dxa"/>
            <w:tcBorders>
              <w:top w:val="nil"/>
              <w:left w:val="nil"/>
              <w:bottom w:val="single" w:sz="4" w:space="0" w:color="auto"/>
              <w:right w:val="single" w:sz="4" w:space="0" w:color="auto"/>
            </w:tcBorders>
            <w:shd w:val="clear" w:color="000000" w:fill="FFFFFF"/>
            <w:noWrap/>
            <w:vAlign w:val="bottom"/>
            <w:hideMark/>
          </w:tcPr>
          <w:p w14:paraId="5091303C" w14:textId="03D7A774" w:rsidR="00543241" w:rsidRPr="00C57E2E" w:rsidRDefault="00543241" w:rsidP="00543241">
            <w:pPr>
              <w:jc w:val="right"/>
              <w:rPr>
                <w:rFonts w:ascii="Times New Roman" w:hAnsi="Times New Roman"/>
                <w:sz w:val="14"/>
                <w:szCs w:val="14"/>
              </w:rPr>
            </w:pPr>
            <w:r w:rsidRPr="000D1437">
              <w:rPr>
                <w:sz w:val="14"/>
                <w:szCs w:val="14"/>
              </w:rPr>
              <w:t>16425,32</w:t>
            </w:r>
          </w:p>
        </w:tc>
        <w:tc>
          <w:tcPr>
            <w:tcW w:w="1183" w:type="dxa"/>
            <w:tcBorders>
              <w:top w:val="nil"/>
              <w:left w:val="nil"/>
              <w:bottom w:val="single" w:sz="4" w:space="0" w:color="auto"/>
              <w:right w:val="single" w:sz="4" w:space="0" w:color="auto"/>
            </w:tcBorders>
            <w:shd w:val="clear" w:color="000000" w:fill="FFFFFF"/>
            <w:noWrap/>
            <w:vAlign w:val="bottom"/>
            <w:hideMark/>
          </w:tcPr>
          <w:p w14:paraId="6CF443BD" w14:textId="033FCEEF" w:rsidR="00543241" w:rsidRPr="00C57E2E" w:rsidRDefault="00543241" w:rsidP="00543241">
            <w:pPr>
              <w:jc w:val="right"/>
              <w:rPr>
                <w:rFonts w:ascii="Times New Roman" w:hAnsi="Times New Roman"/>
                <w:sz w:val="14"/>
                <w:szCs w:val="14"/>
              </w:rPr>
            </w:pPr>
            <w:r w:rsidRPr="000D1437">
              <w:rPr>
                <w:sz w:val="14"/>
                <w:szCs w:val="14"/>
              </w:rPr>
              <w:t>16401,39</w:t>
            </w:r>
          </w:p>
        </w:tc>
        <w:tc>
          <w:tcPr>
            <w:tcW w:w="1197" w:type="dxa"/>
            <w:tcBorders>
              <w:top w:val="nil"/>
              <w:left w:val="nil"/>
              <w:bottom w:val="single" w:sz="4" w:space="0" w:color="auto"/>
              <w:right w:val="single" w:sz="4" w:space="0" w:color="auto"/>
            </w:tcBorders>
            <w:shd w:val="clear" w:color="000000" w:fill="FFFFFF"/>
            <w:vAlign w:val="bottom"/>
          </w:tcPr>
          <w:p w14:paraId="71D7909C" w14:textId="41F2465F" w:rsidR="00543241" w:rsidRPr="00C57E2E" w:rsidRDefault="00543241" w:rsidP="00543241">
            <w:pPr>
              <w:jc w:val="right"/>
              <w:rPr>
                <w:rFonts w:ascii="Times New Roman" w:hAnsi="Times New Roman"/>
                <w:sz w:val="14"/>
                <w:szCs w:val="14"/>
              </w:rPr>
            </w:pPr>
            <w:r w:rsidRPr="000D1437">
              <w:rPr>
                <w:sz w:val="14"/>
                <w:szCs w:val="14"/>
              </w:rPr>
              <w:t>16174,49</w:t>
            </w:r>
          </w:p>
        </w:tc>
      </w:tr>
      <w:tr w:rsidR="00543241" w:rsidRPr="00364545" w14:paraId="0BA048BB"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vAlign w:val="center"/>
            <w:hideMark/>
          </w:tcPr>
          <w:p w14:paraId="52C86F0E" w14:textId="4AF5E378"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D. Non-energy products from fuels and solvent use</w:t>
            </w:r>
          </w:p>
        </w:tc>
        <w:tc>
          <w:tcPr>
            <w:tcW w:w="1198" w:type="dxa"/>
            <w:tcBorders>
              <w:top w:val="nil"/>
              <w:left w:val="nil"/>
              <w:bottom w:val="single" w:sz="4" w:space="0" w:color="auto"/>
              <w:right w:val="single" w:sz="4" w:space="0" w:color="auto"/>
            </w:tcBorders>
            <w:shd w:val="clear" w:color="000000" w:fill="FFFFFF"/>
            <w:noWrap/>
            <w:vAlign w:val="bottom"/>
            <w:hideMark/>
          </w:tcPr>
          <w:p w14:paraId="6E59544F" w14:textId="0682700D" w:rsidR="00543241" w:rsidRPr="00C57E2E" w:rsidRDefault="00543241" w:rsidP="00543241">
            <w:pPr>
              <w:jc w:val="right"/>
              <w:rPr>
                <w:rFonts w:ascii="Times New Roman" w:hAnsi="Times New Roman"/>
                <w:sz w:val="14"/>
                <w:szCs w:val="14"/>
              </w:rPr>
            </w:pPr>
            <w:r w:rsidRPr="000D1437">
              <w:rPr>
                <w:sz w:val="14"/>
                <w:szCs w:val="14"/>
              </w:rPr>
              <w:t>2047,82</w:t>
            </w:r>
          </w:p>
        </w:tc>
        <w:tc>
          <w:tcPr>
            <w:tcW w:w="1197" w:type="dxa"/>
            <w:tcBorders>
              <w:top w:val="nil"/>
              <w:left w:val="nil"/>
              <w:bottom w:val="single" w:sz="4" w:space="0" w:color="auto"/>
              <w:right w:val="single" w:sz="4" w:space="0" w:color="auto"/>
            </w:tcBorders>
            <w:shd w:val="clear" w:color="000000" w:fill="FFFFFF"/>
            <w:noWrap/>
            <w:vAlign w:val="bottom"/>
            <w:hideMark/>
          </w:tcPr>
          <w:p w14:paraId="74044DF0" w14:textId="55115C6B" w:rsidR="00543241" w:rsidRPr="00C57E2E" w:rsidRDefault="00543241" w:rsidP="00543241">
            <w:pPr>
              <w:jc w:val="right"/>
              <w:rPr>
                <w:rFonts w:ascii="Times New Roman" w:hAnsi="Times New Roman"/>
                <w:sz w:val="14"/>
                <w:szCs w:val="14"/>
              </w:rPr>
            </w:pPr>
            <w:r w:rsidRPr="000D1437">
              <w:rPr>
                <w:sz w:val="14"/>
                <w:szCs w:val="14"/>
              </w:rPr>
              <w:t>2047,82</w:t>
            </w:r>
          </w:p>
        </w:tc>
        <w:tc>
          <w:tcPr>
            <w:tcW w:w="1197" w:type="dxa"/>
            <w:tcBorders>
              <w:top w:val="nil"/>
              <w:left w:val="nil"/>
              <w:bottom w:val="single" w:sz="4" w:space="0" w:color="auto"/>
              <w:right w:val="single" w:sz="4" w:space="0" w:color="auto"/>
            </w:tcBorders>
            <w:shd w:val="clear" w:color="000000" w:fill="FFFFFF"/>
            <w:noWrap/>
            <w:vAlign w:val="bottom"/>
            <w:hideMark/>
          </w:tcPr>
          <w:p w14:paraId="642ED81C" w14:textId="16134978" w:rsidR="00543241" w:rsidRPr="00C57E2E" w:rsidRDefault="00543241" w:rsidP="00543241">
            <w:pPr>
              <w:jc w:val="right"/>
              <w:rPr>
                <w:rFonts w:ascii="Times New Roman" w:hAnsi="Times New Roman"/>
                <w:sz w:val="14"/>
                <w:szCs w:val="14"/>
              </w:rPr>
            </w:pPr>
            <w:r w:rsidRPr="000D1437">
              <w:rPr>
                <w:sz w:val="14"/>
                <w:szCs w:val="14"/>
              </w:rPr>
              <w:t>2002,97</w:t>
            </w:r>
          </w:p>
        </w:tc>
        <w:tc>
          <w:tcPr>
            <w:tcW w:w="1183" w:type="dxa"/>
            <w:tcBorders>
              <w:top w:val="nil"/>
              <w:left w:val="nil"/>
              <w:bottom w:val="single" w:sz="4" w:space="0" w:color="auto"/>
              <w:right w:val="single" w:sz="4" w:space="0" w:color="auto"/>
            </w:tcBorders>
            <w:shd w:val="clear" w:color="000000" w:fill="FFFFFF"/>
            <w:noWrap/>
            <w:vAlign w:val="bottom"/>
            <w:hideMark/>
          </w:tcPr>
          <w:p w14:paraId="7425A7F9" w14:textId="7CF636D7" w:rsidR="00543241" w:rsidRPr="00C57E2E" w:rsidRDefault="00543241" w:rsidP="00543241">
            <w:pPr>
              <w:jc w:val="right"/>
              <w:rPr>
                <w:rFonts w:ascii="Times New Roman" w:hAnsi="Times New Roman"/>
                <w:sz w:val="14"/>
                <w:szCs w:val="14"/>
              </w:rPr>
            </w:pPr>
            <w:r w:rsidRPr="000D1437">
              <w:rPr>
                <w:sz w:val="14"/>
                <w:szCs w:val="14"/>
              </w:rPr>
              <w:t>1899,71</w:t>
            </w:r>
          </w:p>
        </w:tc>
        <w:tc>
          <w:tcPr>
            <w:tcW w:w="1183" w:type="dxa"/>
            <w:tcBorders>
              <w:top w:val="nil"/>
              <w:left w:val="nil"/>
              <w:bottom w:val="single" w:sz="4" w:space="0" w:color="auto"/>
              <w:right w:val="single" w:sz="4" w:space="0" w:color="auto"/>
            </w:tcBorders>
            <w:shd w:val="clear" w:color="000000" w:fill="FFFFFF"/>
            <w:noWrap/>
            <w:vAlign w:val="bottom"/>
            <w:hideMark/>
          </w:tcPr>
          <w:p w14:paraId="63A9FAAF" w14:textId="0CA2C36E" w:rsidR="00543241" w:rsidRPr="00C57E2E" w:rsidRDefault="00543241" w:rsidP="00543241">
            <w:pPr>
              <w:jc w:val="right"/>
              <w:rPr>
                <w:rFonts w:ascii="Times New Roman" w:hAnsi="Times New Roman"/>
                <w:sz w:val="14"/>
                <w:szCs w:val="14"/>
              </w:rPr>
            </w:pPr>
            <w:r w:rsidRPr="000D1437">
              <w:rPr>
                <w:sz w:val="14"/>
                <w:szCs w:val="14"/>
              </w:rPr>
              <w:t>1932,14</w:t>
            </w:r>
          </w:p>
        </w:tc>
        <w:tc>
          <w:tcPr>
            <w:tcW w:w="1197" w:type="dxa"/>
            <w:tcBorders>
              <w:top w:val="nil"/>
              <w:left w:val="nil"/>
              <w:bottom w:val="single" w:sz="4" w:space="0" w:color="auto"/>
              <w:right w:val="single" w:sz="4" w:space="0" w:color="auto"/>
            </w:tcBorders>
            <w:shd w:val="clear" w:color="000000" w:fill="FFFFFF"/>
            <w:vAlign w:val="bottom"/>
          </w:tcPr>
          <w:p w14:paraId="0B02F5E7" w14:textId="5B300709" w:rsidR="00543241" w:rsidRPr="00C57E2E" w:rsidRDefault="00543241" w:rsidP="00543241">
            <w:pPr>
              <w:jc w:val="right"/>
              <w:rPr>
                <w:rFonts w:ascii="Times New Roman" w:hAnsi="Times New Roman"/>
                <w:sz w:val="14"/>
                <w:szCs w:val="14"/>
              </w:rPr>
            </w:pPr>
            <w:r w:rsidRPr="000D1437">
              <w:rPr>
                <w:sz w:val="14"/>
                <w:szCs w:val="14"/>
              </w:rPr>
              <w:t>1893,96</w:t>
            </w:r>
          </w:p>
        </w:tc>
      </w:tr>
      <w:tr w:rsidR="00543241" w:rsidRPr="00364545" w14:paraId="1CB10207"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F12EF0C" w14:textId="56244F21"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E. Electronic industry</w:t>
            </w:r>
          </w:p>
        </w:tc>
        <w:tc>
          <w:tcPr>
            <w:tcW w:w="1198" w:type="dxa"/>
            <w:tcBorders>
              <w:top w:val="nil"/>
              <w:left w:val="nil"/>
              <w:bottom w:val="single" w:sz="4" w:space="0" w:color="auto"/>
              <w:right w:val="single" w:sz="4" w:space="0" w:color="auto"/>
            </w:tcBorders>
            <w:shd w:val="clear" w:color="000000" w:fill="FFFFFF"/>
            <w:noWrap/>
            <w:vAlign w:val="bottom"/>
            <w:hideMark/>
          </w:tcPr>
          <w:p w14:paraId="34697348" w14:textId="5C8AC753"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4C78556A" w14:textId="530D99F0"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F71AF8E" w14:textId="4BD75D69"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0768B195" w14:textId="20275B17"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671502F" w14:textId="20DE41F2"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541DF79C" w14:textId="0994AA6C"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64A09C1F"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vAlign w:val="center"/>
            <w:hideMark/>
          </w:tcPr>
          <w:p w14:paraId="4DA77EAA" w14:textId="49FC8B57"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F. Product uses as ODS substitutes</w:t>
            </w:r>
          </w:p>
        </w:tc>
        <w:tc>
          <w:tcPr>
            <w:tcW w:w="1198" w:type="dxa"/>
            <w:tcBorders>
              <w:top w:val="nil"/>
              <w:left w:val="nil"/>
              <w:bottom w:val="single" w:sz="4" w:space="0" w:color="auto"/>
              <w:right w:val="single" w:sz="4" w:space="0" w:color="auto"/>
            </w:tcBorders>
            <w:shd w:val="clear" w:color="000000" w:fill="FFFFFF"/>
            <w:noWrap/>
            <w:vAlign w:val="bottom"/>
            <w:hideMark/>
          </w:tcPr>
          <w:p w14:paraId="2DB31B79" w14:textId="275AABFB"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4B31B105" w14:textId="5C847F3E"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4C60F245" w14:textId="62125D2A"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3E3B18A8" w14:textId="758D06D2"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7C2DCBD4" w14:textId="3E4B9C14"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03F18C50" w14:textId="75AF736B"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D1B3BE7"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vAlign w:val="center"/>
            <w:hideMark/>
          </w:tcPr>
          <w:p w14:paraId="009240E9" w14:textId="787A6716"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 xml:space="preserve">G. Other product manufacture and use </w:t>
            </w:r>
          </w:p>
        </w:tc>
        <w:tc>
          <w:tcPr>
            <w:tcW w:w="1198" w:type="dxa"/>
            <w:tcBorders>
              <w:top w:val="nil"/>
              <w:left w:val="nil"/>
              <w:bottom w:val="single" w:sz="4" w:space="0" w:color="auto"/>
              <w:right w:val="single" w:sz="4" w:space="0" w:color="auto"/>
            </w:tcBorders>
            <w:shd w:val="clear" w:color="000000" w:fill="FFFFFF"/>
            <w:noWrap/>
            <w:vAlign w:val="bottom"/>
            <w:hideMark/>
          </w:tcPr>
          <w:p w14:paraId="05D0D07D" w14:textId="66EBCD00" w:rsidR="00543241" w:rsidRPr="00C57E2E" w:rsidRDefault="00543241" w:rsidP="00543241">
            <w:pPr>
              <w:jc w:val="right"/>
              <w:rPr>
                <w:rFonts w:ascii="Times New Roman" w:hAnsi="Times New Roman"/>
                <w:sz w:val="14"/>
                <w:szCs w:val="14"/>
              </w:rPr>
            </w:pPr>
            <w:r w:rsidRPr="000D1437">
              <w:rPr>
                <w:sz w:val="14"/>
                <w:szCs w:val="14"/>
              </w:rPr>
              <w:t>659,00</w:t>
            </w:r>
          </w:p>
        </w:tc>
        <w:tc>
          <w:tcPr>
            <w:tcW w:w="1197" w:type="dxa"/>
            <w:tcBorders>
              <w:top w:val="nil"/>
              <w:left w:val="nil"/>
              <w:bottom w:val="single" w:sz="4" w:space="0" w:color="auto"/>
              <w:right w:val="single" w:sz="4" w:space="0" w:color="auto"/>
            </w:tcBorders>
            <w:shd w:val="clear" w:color="000000" w:fill="FFFFFF"/>
            <w:noWrap/>
            <w:vAlign w:val="bottom"/>
            <w:hideMark/>
          </w:tcPr>
          <w:p w14:paraId="36DAF479" w14:textId="7F246006" w:rsidR="00543241" w:rsidRPr="00C57E2E" w:rsidRDefault="00543241" w:rsidP="00543241">
            <w:pPr>
              <w:jc w:val="right"/>
              <w:rPr>
                <w:rFonts w:ascii="Times New Roman" w:hAnsi="Times New Roman"/>
                <w:sz w:val="14"/>
                <w:szCs w:val="14"/>
              </w:rPr>
            </w:pPr>
            <w:r w:rsidRPr="000D1437">
              <w:rPr>
                <w:sz w:val="14"/>
                <w:szCs w:val="14"/>
              </w:rPr>
              <w:t>659,00</w:t>
            </w:r>
          </w:p>
        </w:tc>
        <w:tc>
          <w:tcPr>
            <w:tcW w:w="1197" w:type="dxa"/>
            <w:tcBorders>
              <w:top w:val="nil"/>
              <w:left w:val="nil"/>
              <w:bottom w:val="single" w:sz="4" w:space="0" w:color="auto"/>
              <w:right w:val="single" w:sz="4" w:space="0" w:color="auto"/>
            </w:tcBorders>
            <w:shd w:val="clear" w:color="000000" w:fill="FFFFFF"/>
            <w:noWrap/>
            <w:vAlign w:val="bottom"/>
            <w:hideMark/>
          </w:tcPr>
          <w:p w14:paraId="08E1999D" w14:textId="3184BD04" w:rsidR="00543241" w:rsidRPr="00C57E2E" w:rsidRDefault="00543241" w:rsidP="00543241">
            <w:pPr>
              <w:jc w:val="right"/>
              <w:rPr>
                <w:rFonts w:ascii="Times New Roman" w:hAnsi="Times New Roman"/>
                <w:sz w:val="14"/>
                <w:szCs w:val="14"/>
              </w:rPr>
            </w:pPr>
            <w:r w:rsidRPr="000D1437">
              <w:rPr>
                <w:sz w:val="14"/>
                <w:szCs w:val="14"/>
              </w:rPr>
              <w:t>678,03</w:t>
            </w:r>
          </w:p>
        </w:tc>
        <w:tc>
          <w:tcPr>
            <w:tcW w:w="1183" w:type="dxa"/>
            <w:tcBorders>
              <w:top w:val="nil"/>
              <w:left w:val="nil"/>
              <w:bottom w:val="single" w:sz="4" w:space="0" w:color="auto"/>
              <w:right w:val="single" w:sz="4" w:space="0" w:color="auto"/>
            </w:tcBorders>
            <w:shd w:val="clear" w:color="000000" w:fill="FFFFFF"/>
            <w:noWrap/>
            <w:vAlign w:val="bottom"/>
            <w:hideMark/>
          </w:tcPr>
          <w:p w14:paraId="51CED37B" w14:textId="4C541F97" w:rsidR="00543241" w:rsidRPr="00C57E2E" w:rsidRDefault="00543241" w:rsidP="00543241">
            <w:pPr>
              <w:jc w:val="right"/>
              <w:rPr>
                <w:rFonts w:ascii="Times New Roman" w:hAnsi="Times New Roman"/>
                <w:sz w:val="14"/>
                <w:szCs w:val="14"/>
              </w:rPr>
            </w:pPr>
            <w:r w:rsidRPr="000D1437">
              <w:rPr>
                <w:sz w:val="14"/>
                <w:szCs w:val="14"/>
              </w:rPr>
              <w:t>678,72</w:t>
            </w:r>
          </w:p>
        </w:tc>
        <w:tc>
          <w:tcPr>
            <w:tcW w:w="1183" w:type="dxa"/>
            <w:tcBorders>
              <w:top w:val="nil"/>
              <w:left w:val="nil"/>
              <w:bottom w:val="single" w:sz="4" w:space="0" w:color="auto"/>
              <w:right w:val="single" w:sz="4" w:space="0" w:color="auto"/>
            </w:tcBorders>
            <w:shd w:val="clear" w:color="000000" w:fill="FFFFFF"/>
            <w:noWrap/>
            <w:vAlign w:val="bottom"/>
            <w:hideMark/>
          </w:tcPr>
          <w:p w14:paraId="0693FF69" w14:textId="524CB53A" w:rsidR="00543241" w:rsidRPr="00C57E2E" w:rsidRDefault="00543241" w:rsidP="00543241">
            <w:pPr>
              <w:jc w:val="right"/>
              <w:rPr>
                <w:rFonts w:ascii="Times New Roman" w:hAnsi="Times New Roman"/>
                <w:sz w:val="14"/>
                <w:szCs w:val="14"/>
              </w:rPr>
            </w:pPr>
            <w:r w:rsidRPr="000D1437">
              <w:rPr>
                <w:sz w:val="14"/>
                <w:szCs w:val="14"/>
              </w:rPr>
              <w:t>643,49</w:t>
            </w:r>
          </w:p>
        </w:tc>
        <w:tc>
          <w:tcPr>
            <w:tcW w:w="1197" w:type="dxa"/>
            <w:tcBorders>
              <w:top w:val="nil"/>
              <w:left w:val="nil"/>
              <w:bottom w:val="single" w:sz="4" w:space="0" w:color="auto"/>
              <w:right w:val="single" w:sz="4" w:space="0" w:color="auto"/>
            </w:tcBorders>
            <w:shd w:val="clear" w:color="000000" w:fill="FFFFFF"/>
            <w:vAlign w:val="bottom"/>
          </w:tcPr>
          <w:p w14:paraId="76BA1DEE" w14:textId="63D155F3" w:rsidR="00543241" w:rsidRPr="00C57E2E" w:rsidRDefault="00543241" w:rsidP="00543241">
            <w:pPr>
              <w:jc w:val="right"/>
              <w:rPr>
                <w:rFonts w:ascii="Times New Roman" w:hAnsi="Times New Roman"/>
                <w:sz w:val="14"/>
                <w:szCs w:val="14"/>
              </w:rPr>
            </w:pPr>
            <w:r w:rsidRPr="000D1437">
              <w:rPr>
                <w:sz w:val="14"/>
                <w:szCs w:val="14"/>
              </w:rPr>
              <w:t>644,42</w:t>
            </w:r>
          </w:p>
        </w:tc>
      </w:tr>
      <w:tr w:rsidR="00543241" w:rsidRPr="00364545" w14:paraId="3ED21D06"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8D60447" w14:textId="0AD1B912"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 xml:space="preserve">H. Other </w:t>
            </w:r>
          </w:p>
        </w:tc>
        <w:tc>
          <w:tcPr>
            <w:tcW w:w="1198" w:type="dxa"/>
            <w:tcBorders>
              <w:top w:val="nil"/>
              <w:left w:val="nil"/>
              <w:bottom w:val="single" w:sz="4" w:space="0" w:color="auto"/>
              <w:right w:val="single" w:sz="4" w:space="0" w:color="auto"/>
            </w:tcBorders>
            <w:shd w:val="clear" w:color="000000" w:fill="FFFFFF"/>
            <w:noWrap/>
            <w:vAlign w:val="bottom"/>
            <w:hideMark/>
          </w:tcPr>
          <w:p w14:paraId="456EFF32" w14:textId="70DB29FC" w:rsidR="00543241" w:rsidRPr="00C57E2E" w:rsidRDefault="00543241" w:rsidP="00543241">
            <w:pPr>
              <w:jc w:val="right"/>
              <w:rPr>
                <w:rFonts w:ascii="Times New Roman" w:hAnsi="Times New Roman"/>
                <w:sz w:val="14"/>
                <w:szCs w:val="14"/>
              </w:rPr>
            </w:pPr>
            <w:r w:rsidRPr="000D1437">
              <w:rPr>
                <w:sz w:val="14"/>
                <w:szCs w:val="14"/>
              </w:rPr>
              <w:t>0,04</w:t>
            </w:r>
          </w:p>
        </w:tc>
        <w:tc>
          <w:tcPr>
            <w:tcW w:w="1197" w:type="dxa"/>
            <w:tcBorders>
              <w:top w:val="nil"/>
              <w:left w:val="nil"/>
              <w:bottom w:val="single" w:sz="4" w:space="0" w:color="auto"/>
              <w:right w:val="single" w:sz="4" w:space="0" w:color="auto"/>
            </w:tcBorders>
            <w:shd w:val="clear" w:color="000000" w:fill="FFFFFF"/>
            <w:noWrap/>
            <w:vAlign w:val="bottom"/>
            <w:hideMark/>
          </w:tcPr>
          <w:p w14:paraId="4E40EE1D" w14:textId="22E6992B" w:rsidR="00543241" w:rsidRPr="00C57E2E" w:rsidRDefault="00543241" w:rsidP="00543241">
            <w:pPr>
              <w:jc w:val="right"/>
              <w:rPr>
                <w:rFonts w:ascii="Times New Roman" w:hAnsi="Times New Roman"/>
                <w:sz w:val="14"/>
                <w:szCs w:val="14"/>
              </w:rPr>
            </w:pPr>
            <w:r w:rsidRPr="000D1437">
              <w:rPr>
                <w:sz w:val="14"/>
                <w:szCs w:val="14"/>
              </w:rPr>
              <w:t>0,04</w:t>
            </w:r>
          </w:p>
        </w:tc>
        <w:tc>
          <w:tcPr>
            <w:tcW w:w="1197" w:type="dxa"/>
            <w:tcBorders>
              <w:top w:val="nil"/>
              <w:left w:val="nil"/>
              <w:bottom w:val="single" w:sz="4" w:space="0" w:color="auto"/>
              <w:right w:val="single" w:sz="4" w:space="0" w:color="auto"/>
            </w:tcBorders>
            <w:shd w:val="clear" w:color="000000" w:fill="FFFFFF"/>
            <w:noWrap/>
            <w:vAlign w:val="bottom"/>
            <w:hideMark/>
          </w:tcPr>
          <w:p w14:paraId="2BFBBD48" w14:textId="038EBA67" w:rsidR="00543241" w:rsidRPr="00C57E2E" w:rsidRDefault="00543241" w:rsidP="00543241">
            <w:pPr>
              <w:jc w:val="right"/>
              <w:rPr>
                <w:rFonts w:ascii="Times New Roman" w:hAnsi="Times New Roman"/>
                <w:sz w:val="14"/>
                <w:szCs w:val="14"/>
              </w:rPr>
            </w:pPr>
            <w:r w:rsidRPr="000D1437">
              <w:rPr>
                <w:sz w:val="14"/>
                <w:szCs w:val="14"/>
              </w:rPr>
              <w:t>0,04</w:t>
            </w:r>
          </w:p>
        </w:tc>
        <w:tc>
          <w:tcPr>
            <w:tcW w:w="1183" w:type="dxa"/>
            <w:tcBorders>
              <w:top w:val="nil"/>
              <w:left w:val="nil"/>
              <w:bottom w:val="single" w:sz="4" w:space="0" w:color="auto"/>
              <w:right w:val="single" w:sz="4" w:space="0" w:color="auto"/>
            </w:tcBorders>
            <w:shd w:val="clear" w:color="000000" w:fill="FFFFFF"/>
            <w:noWrap/>
            <w:vAlign w:val="bottom"/>
            <w:hideMark/>
          </w:tcPr>
          <w:p w14:paraId="73993876" w14:textId="1591A23D" w:rsidR="00543241" w:rsidRPr="00C57E2E" w:rsidRDefault="00543241" w:rsidP="00543241">
            <w:pPr>
              <w:jc w:val="right"/>
              <w:rPr>
                <w:rFonts w:ascii="Times New Roman" w:hAnsi="Times New Roman"/>
                <w:sz w:val="14"/>
                <w:szCs w:val="14"/>
              </w:rPr>
            </w:pPr>
            <w:r w:rsidRPr="000D1437">
              <w:rPr>
                <w:sz w:val="14"/>
                <w:szCs w:val="14"/>
              </w:rPr>
              <w:t>0,04</w:t>
            </w:r>
          </w:p>
        </w:tc>
        <w:tc>
          <w:tcPr>
            <w:tcW w:w="1183" w:type="dxa"/>
            <w:tcBorders>
              <w:top w:val="nil"/>
              <w:left w:val="nil"/>
              <w:bottom w:val="single" w:sz="4" w:space="0" w:color="auto"/>
              <w:right w:val="single" w:sz="4" w:space="0" w:color="auto"/>
            </w:tcBorders>
            <w:shd w:val="clear" w:color="000000" w:fill="FFFFFF"/>
            <w:noWrap/>
            <w:vAlign w:val="bottom"/>
            <w:hideMark/>
          </w:tcPr>
          <w:p w14:paraId="581807BE" w14:textId="0F09C712" w:rsidR="00543241" w:rsidRPr="00C57E2E" w:rsidRDefault="00543241" w:rsidP="00543241">
            <w:pPr>
              <w:jc w:val="right"/>
              <w:rPr>
                <w:rFonts w:ascii="Times New Roman" w:hAnsi="Times New Roman"/>
                <w:sz w:val="14"/>
                <w:szCs w:val="14"/>
              </w:rPr>
            </w:pPr>
            <w:r w:rsidRPr="000D1437">
              <w:rPr>
                <w:sz w:val="14"/>
                <w:szCs w:val="14"/>
              </w:rPr>
              <w:t>0,04</w:t>
            </w:r>
          </w:p>
        </w:tc>
        <w:tc>
          <w:tcPr>
            <w:tcW w:w="1197" w:type="dxa"/>
            <w:tcBorders>
              <w:top w:val="nil"/>
              <w:left w:val="nil"/>
              <w:bottom w:val="single" w:sz="4" w:space="0" w:color="auto"/>
              <w:right w:val="single" w:sz="4" w:space="0" w:color="auto"/>
            </w:tcBorders>
            <w:shd w:val="clear" w:color="000000" w:fill="FFFFFF"/>
            <w:vAlign w:val="bottom"/>
          </w:tcPr>
          <w:p w14:paraId="2CEDEE0C" w14:textId="0526A6E7" w:rsidR="00543241" w:rsidRPr="00C57E2E" w:rsidRDefault="00543241" w:rsidP="00543241">
            <w:pPr>
              <w:jc w:val="right"/>
              <w:rPr>
                <w:rFonts w:ascii="Times New Roman" w:hAnsi="Times New Roman"/>
                <w:sz w:val="14"/>
                <w:szCs w:val="14"/>
              </w:rPr>
            </w:pPr>
            <w:r w:rsidRPr="000D1437">
              <w:rPr>
                <w:sz w:val="14"/>
                <w:szCs w:val="14"/>
              </w:rPr>
              <w:t>0,04</w:t>
            </w:r>
          </w:p>
        </w:tc>
      </w:tr>
      <w:tr w:rsidR="00543241" w:rsidRPr="00364545" w14:paraId="454B08AE"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bottom"/>
            <w:hideMark/>
          </w:tcPr>
          <w:p w14:paraId="1DB040C7" w14:textId="2AB5A79B"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3. Agriculture</w:t>
            </w:r>
          </w:p>
        </w:tc>
        <w:tc>
          <w:tcPr>
            <w:tcW w:w="1198" w:type="dxa"/>
            <w:tcBorders>
              <w:top w:val="nil"/>
              <w:left w:val="nil"/>
              <w:bottom w:val="single" w:sz="4" w:space="0" w:color="auto"/>
              <w:right w:val="single" w:sz="4" w:space="0" w:color="auto"/>
            </w:tcBorders>
            <w:shd w:val="clear" w:color="000000" w:fill="CCFFFF"/>
            <w:noWrap/>
            <w:vAlign w:val="bottom"/>
            <w:hideMark/>
          </w:tcPr>
          <w:p w14:paraId="0DB1E4B8" w14:textId="36DDA996" w:rsidR="00543241" w:rsidRPr="00C57E2E" w:rsidRDefault="00543241" w:rsidP="00543241">
            <w:pPr>
              <w:jc w:val="right"/>
              <w:rPr>
                <w:rFonts w:ascii="Times New Roman" w:hAnsi="Times New Roman"/>
                <w:sz w:val="14"/>
                <w:szCs w:val="14"/>
              </w:rPr>
            </w:pPr>
            <w:r w:rsidRPr="000D1437">
              <w:rPr>
                <w:sz w:val="14"/>
                <w:szCs w:val="14"/>
              </w:rPr>
              <w:t>1893,65</w:t>
            </w:r>
          </w:p>
        </w:tc>
        <w:tc>
          <w:tcPr>
            <w:tcW w:w="1197" w:type="dxa"/>
            <w:tcBorders>
              <w:top w:val="nil"/>
              <w:left w:val="nil"/>
              <w:bottom w:val="single" w:sz="4" w:space="0" w:color="auto"/>
              <w:right w:val="single" w:sz="4" w:space="0" w:color="auto"/>
            </w:tcBorders>
            <w:shd w:val="clear" w:color="000000" w:fill="CCFFFF"/>
            <w:noWrap/>
            <w:vAlign w:val="bottom"/>
            <w:hideMark/>
          </w:tcPr>
          <w:p w14:paraId="7CA012D3" w14:textId="70BFA5C6" w:rsidR="00543241" w:rsidRPr="00C57E2E" w:rsidRDefault="00543241" w:rsidP="00543241">
            <w:pPr>
              <w:jc w:val="right"/>
              <w:rPr>
                <w:rFonts w:ascii="Times New Roman" w:hAnsi="Times New Roman"/>
                <w:sz w:val="14"/>
                <w:szCs w:val="14"/>
              </w:rPr>
            </w:pPr>
            <w:r w:rsidRPr="000D1437">
              <w:rPr>
                <w:sz w:val="14"/>
                <w:szCs w:val="14"/>
              </w:rPr>
              <w:t>1893,65</w:t>
            </w:r>
          </w:p>
        </w:tc>
        <w:tc>
          <w:tcPr>
            <w:tcW w:w="1197" w:type="dxa"/>
            <w:tcBorders>
              <w:top w:val="nil"/>
              <w:left w:val="nil"/>
              <w:bottom w:val="single" w:sz="4" w:space="0" w:color="auto"/>
              <w:right w:val="single" w:sz="4" w:space="0" w:color="auto"/>
            </w:tcBorders>
            <w:shd w:val="clear" w:color="000000" w:fill="CCFFFF"/>
            <w:noWrap/>
            <w:vAlign w:val="bottom"/>
            <w:hideMark/>
          </w:tcPr>
          <w:p w14:paraId="23FF1A65" w14:textId="0347854F" w:rsidR="00543241" w:rsidRPr="00C57E2E" w:rsidRDefault="00543241" w:rsidP="00543241">
            <w:pPr>
              <w:jc w:val="right"/>
              <w:rPr>
                <w:rFonts w:ascii="Times New Roman" w:hAnsi="Times New Roman"/>
                <w:sz w:val="14"/>
                <w:szCs w:val="14"/>
              </w:rPr>
            </w:pPr>
            <w:r w:rsidRPr="000D1437">
              <w:rPr>
                <w:sz w:val="14"/>
                <w:szCs w:val="14"/>
              </w:rPr>
              <w:t>1908,22</w:t>
            </w:r>
          </w:p>
        </w:tc>
        <w:tc>
          <w:tcPr>
            <w:tcW w:w="1183" w:type="dxa"/>
            <w:tcBorders>
              <w:top w:val="nil"/>
              <w:left w:val="nil"/>
              <w:bottom w:val="single" w:sz="4" w:space="0" w:color="auto"/>
              <w:right w:val="single" w:sz="4" w:space="0" w:color="auto"/>
            </w:tcBorders>
            <w:shd w:val="clear" w:color="000000" w:fill="CCFFFF"/>
            <w:noWrap/>
            <w:vAlign w:val="bottom"/>
            <w:hideMark/>
          </w:tcPr>
          <w:p w14:paraId="0CA46458" w14:textId="69D1DC39" w:rsidR="00543241" w:rsidRPr="00C57E2E" w:rsidRDefault="00543241" w:rsidP="00543241">
            <w:pPr>
              <w:jc w:val="right"/>
              <w:rPr>
                <w:rFonts w:ascii="Times New Roman" w:hAnsi="Times New Roman"/>
                <w:sz w:val="14"/>
                <w:szCs w:val="14"/>
              </w:rPr>
            </w:pPr>
            <w:r w:rsidRPr="000D1437">
              <w:rPr>
                <w:sz w:val="14"/>
                <w:szCs w:val="14"/>
              </w:rPr>
              <w:t>1742,93</w:t>
            </w:r>
          </w:p>
        </w:tc>
        <w:tc>
          <w:tcPr>
            <w:tcW w:w="1183" w:type="dxa"/>
            <w:tcBorders>
              <w:top w:val="nil"/>
              <w:left w:val="nil"/>
              <w:bottom w:val="single" w:sz="4" w:space="0" w:color="auto"/>
              <w:right w:val="single" w:sz="4" w:space="0" w:color="auto"/>
            </w:tcBorders>
            <w:shd w:val="clear" w:color="000000" w:fill="CCFFFF"/>
            <w:noWrap/>
            <w:vAlign w:val="bottom"/>
            <w:hideMark/>
          </w:tcPr>
          <w:p w14:paraId="19AA3AAB" w14:textId="32FA5D36" w:rsidR="00543241" w:rsidRPr="00C57E2E" w:rsidRDefault="00543241" w:rsidP="00543241">
            <w:pPr>
              <w:jc w:val="right"/>
              <w:rPr>
                <w:rFonts w:ascii="Times New Roman" w:hAnsi="Times New Roman"/>
                <w:sz w:val="14"/>
                <w:szCs w:val="14"/>
              </w:rPr>
            </w:pPr>
            <w:r w:rsidRPr="000D1437">
              <w:rPr>
                <w:sz w:val="14"/>
                <w:szCs w:val="14"/>
              </w:rPr>
              <w:t>1867,90</w:t>
            </w:r>
          </w:p>
        </w:tc>
        <w:tc>
          <w:tcPr>
            <w:tcW w:w="1197" w:type="dxa"/>
            <w:tcBorders>
              <w:top w:val="nil"/>
              <w:left w:val="nil"/>
              <w:bottom w:val="single" w:sz="4" w:space="0" w:color="auto"/>
              <w:right w:val="single" w:sz="4" w:space="0" w:color="auto"/>
            </w:tcBorders>
            <w:shd w:val="clear" w:color="000000" w:fill="CCFFFF"/>
            <w:vAlign w:val="bottom"/>
          </w:tcPr>
          <w:p w14:paraId="32997C87" w14:textId="49D6BDAE" w:rsidR="00543241" w:rsidRPr="00C57E2E" w:rsidRDefault="00543241" w:rsidP="00543241">
            <w:pPr>
              <w:jc w:val="right"/>
              <w:rPr>
                <w:rFonts w:ascii="Times New Roman" w:hAnsi="Times New Roman"/>
                <w:sz w:val="14"/>
                <w:szCs w:val="14"/>
              </w:rPr>
            </w:pPr>
            <w:r w:rsidRPr="000D1437">
              <w:rPr>
                <w:sz w:val="14"/>
                <w:szCs w:val="14"/>
              </w:rPr>
              <w:t>1847,47</w:t>
            </w:r>
          </w:p>
        </w:tc>
      </w:tr>
      <w:tr w:rsidR="00543241" w:rsidRPr="00364545" w14:paraId="756531DB"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6A98D98B" w14:textId="15EBA467"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A. Enteric fermentation</w:t>
            </w:r>
          </w:p>
        </w:tc>
        <w:tc>
          <w:tcPr>
            <w:tcW w:w="1198" w:type="dxa"/>
            <w:tcBorders>
              <w:top w:val="nil"/>
              <w:left w:val="nil"/>
              <w:bottom w:val="single" w:sz="4" w:space="0" w:color="auto"/>
              <w:right w:val="single" w:sz="4" w:space="0" w:color="auto"/>
            </w:tcBorders>
            <w:shd w:val="clear" w:color="000000" w:fill="FFFFFF"/>
            <w:noWrap/>
            <w:vAlign w:val="bottom"/>
            <w:hideMark/>
          </w:tcPr>
          <w:p w14:paraId="04DE9DA4" w14:textId="4E37869D"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6B523E85" w14:textId="43341D09"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4D355905" w14:textId="414AC09B"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12A4F374" w14:textId="6BCBC815"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D1C6C6D" w14:textId="03C7BC4D"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26786FC9" w14:textId="208F9464"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33665E18"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6369578" w14:textId="0C0EB4A6"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B. Manure management</w:t>
            </w:r>
          </w:p>
        </w:tc>
        <w:tc>
          <w:tcPr>
            <w:tcW w:w="1198" w:type="dxa"/>
            <w:tcBorders>
              <w:top w:val="nil"/>
              <w:left w:val="nil"/>
              <w:bottom w:val="single" w:sz="4" w:space="0" w:color="auto"/>
              <w:right w:val="single" w:sz="4" w:space="0" w:color="auto"/>
            </w:tcBorders>
            <w:shd w:val="clear" w:color="000000" w:fill="FFFFFF"/>
            <w:noWrap/>
            <w:vAlign w:val="bottom"/>
            <w:hideMark/>
          </w:tcPr>
          <w:p w14:paraId="371100A0" w14:textId="3F3C7F91"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2251C069" w14:textId="0EF6C335"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54F3E28" w14:textId="2BAB8074"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3C105F58" w14:textId="6D6B9E75"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B269280" w14:textId="54AAD0CF"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71CF290A" w14:textId="38197B07"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FF2797F"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9348320" w14:textId="2B3504BF"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C. Rice cultivation</w:t>
            </w:r>
          </w:p>
        </w:tc>
        <w:tc>
          <w:tcPr>
            <w:tcW w:w="1198" w:type="dxa"/>
            <w:tcBorders>
              <w:top w:val="nil"/>
              <w:left w:val="nil"/>
              <w:bottom w:val="single" w:sz="4" w:space="0" w:color="auto"/>
              <w:right w:val="single" w:sz="4" w:space="0" w:color="auto"/>
            </w:tcBorders>
            <w:shd w:val="clear" w:color="000000" w:fill="FFFFFF"/>
            <w:noWrap/>
            <w:vAlign w:val="bottom"/>
            <w:hideMark/>
          </w:tcPr>
          <w:p w14:paraId="6E975C9B" w14:textId="44918F9D"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FC89B6C" w14:textId="1F3F4C3C"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0DFF547B" w14:textId="5A5C573D"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1758A8C9" w14:textId="238B96E7"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3F4FE00A" w14:textId="3D28EA4B"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7652C23C" w14:textId="65B118EF"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5E6631E"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42BE728" w14:textId="2C03CEF5"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D. Agricultural soils</w:t>
            </w:r>
          </w:p>
        </w:tc>
        <w:tc>
          <w:tcPr>
            <w:tcW w:w="1198" w:type="dxa"/>
            <w:tcBorders>
              <w:top w:val="nil"/>
              <w:left w:val="nil"/>
              <w:bottom w:val="single" w:sz="4" w:space="0" w:color="auto"/>
              <w:right w:val="single" w:sz="4" w:space="0" w:color="auto"/>
            </w:tcBorders>
            <w:shd w:val="clear" w:color="000000" w:fill="FFFFFF"/>
            <w:noWrap/>
            <w:vAlign w:val="bottom"/>
            <w:hideMark/>
          </w:tcPr>
          <w:p w14:paraId="534FEA8F" w14:textId="561672EC"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BE641B2" w14:textId="3643A95E"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0B732A06" w14:textId="5CC5489F"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C1FF248" w14:textId="177FF4EC"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09EA6A5" w14:textId="22E3D090"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716BF6C2" w14:textId="18C4DB16"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70DB9892"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2754C72" w14:textId="29274FFE"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E. Prescribed burning of savannas</w:t>
            </w:r>
          </w:p>
        </w:tc>
        <w:tc>
          <w:tcPr>
            <w:tcW w:w="1198" w:type="dxa"/>
            <w:tcBorders>
              <w:top w:val="nil"/>
              <w:left w:val="nil"/>
              <w:bottom w:val="single" w:sz="4" w:space="0" w:color="auto"/>
              <w:right w:val="single" w:sz="4" w:space="0" w:color="auto"/>
            </w:tcBorders>
            <w:shd w:val="clear" w:color="000000" w:fill="FFFFFF"/>
            <w:noWrap/>
            <w:vAlign w:val="bottom"/>
            <w:hideMark/>
          </w:tcPr>
          <w:p w14:paraId="69025D05" w14:textId="5315AC5D"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1AB77E16" w14:textId="01824FAB"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0C6CC060" w14:textId="7F370B77"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431CE70F" w14:textId="7DBFC4D8"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46D90F87" w14:textId="40EF9E83"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10358929" w14:textId="43A0CDCC"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E34429F"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3791F76" w14:textId="64348595"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F. Field burning of agricultural residues</w:t>
            </w:r>
          </w:p>
        </w:tc>
        <w:tc>
          <w:tcPr>
            <w:tcW w:w="1198" w:type="dxa"/>
            <w:tcBorders>
              <w:top w:val="nil"/>
              <w:left w:val="nil"/>
              <w:bottom w:val="single" w:sz="4" w:space="0" w:color="auto"/>
              <w:right w:val="single" w:sz="4" w:space="0" w:color="auto"/>
            </w:tcBorders>
            <w:shd w:val="clear" w:color="000000" w:fill="FFFFFF"/>
            <w:noWrap/>
            <w:vAlign w:val="bottom"/>
            <w:hideMark/>
          </w:tcPr>
          <w:p w14:paraId="48B8C69C" w14:textId="0B03EC85"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73A83938" w14:textId="309562E3"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17A7FE6D" w14:textId="6DFF7D9F"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22D8506D" w14:textId="7D8330D2"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F921B3F" w14:textId="2CF4F66E"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032C1BD4" w14:textId="4C9EA377" w:rsidR="00543241" w:rsidRPr="00C57E2E"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058213A"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5ECA6DB" w14:textId="77777777"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G. Liming</w:t>
            </w:r>
          </w:p>
        </w:tc>
        <w:tc>
          <w:tcPr>
            <w:tcW w:w="1198" w:type="dxa"/>
            <w:tcBorders>
              <w:top w:val="nil"/>
              <w:left w:val="nil"/>
              <w:bottom w:val="single" w:sz="4" w:space="0" w:color="auto"/>
              <w:right w:val="single" w:sz="4" w:space="0" w:color="auto"/>
            </w:tcBorders>
            <w:shd w:val="clear" w:color="000000" w:fill="FFFFFF"/>
            <w:noWrap/>
            <w:vAlign w:val="bottom"/>
            <w:hideMark/>
          </w:tcPr>
          <w:p w14:paraId="22C9E8EA" w14:textId="7CF1ED56" w:rsidR="00543241" w:rsidRPr="00C57E2E" w:rsidRDefault="00543241" w:rsidP="00543241">
            <w:pPr>
              <w:jc w:val="right"/>
              <w:rPr>
                <w:rFonts w:ascii="Times New Roman" w:hAnsi="Times New Roman"/>
                <w:sz w:val="14"/>
                <w:szCs w:val="14"/>
              </w:rPr>
            </w:pPr>
            <w:r w:rsidRPr="000D1437">
              <w:rPr>
                <w:sz w:val="14"/>
                <w:szCs w:val="14"/>
              </w:rPr>
              <w:t>915,32</w:t>
            </w:r>
          </w:p>
        </w:tc>
        <w:tc>
          <w:tcPr>
            <w:tcW w:w="1197" w:type="dxa"/>
            <w:tcBorders>
              <w:top w:val="nil"/>
              <w:left w:val="nil"/>
              <w:bottom w:val="single" w:sz="4" w:space="0" w:color="auto"/>
              <w:right w:val="single" w:sz="4" w:space="0" w:color="auto"/>
            </w:tcBorders>
            <w:shd w:val="clear" w:color="000000" w:fill="FFFFFF"/>
            <w:noWrap/>
            <w:vAlign w:val="bottom"/>
            <w:hideMark/>
          </w:tcPr>
          <w:p w14:paraId="36F92C2E" w14:textId="682AE5AA" w:rsidR="00543241" w:rsidRPr="00C57E2E" w:rsidRDefault="00543241" w:rsidP="00543241">
            <w:pPr>
              <w:jc w:val="right"/>
              <w:rPr>
                <w:rFonts w:ascii="Times New Roman" w:hAnsi="Times New Roman"/>
                <w:sz w:val="14"/>
                <w:szCs w:val="14"/>
              </w:rPr>
            </w:pPr>
            <w:r w:rsidRPr="000D1437">
              <w:rPr>
                <w:sz w:val="14"/>
                <w:szCs w:val="14"/>
              </w:rPr>
              <w:t>915,32</w:t>
            </w:r>
          </w:p>
        </w:tc>
        <w:tc>
          <w:tcPr>
            <w:tcW w:w="1197" w:type="dxa"/>
            <w:tcBorders>
              <w:top w:val="nil"/>
              <w:left w:val="nil"/>
              <w:bottom w:val="single" w:sz="4" w:space="0" w:color="auto"/>
              <w:right w:val="single" w:sz="4" w:space="0" w:color="auto"/>
            </w:tcBorders>
            <w:shd w:val="clear" w:color="000000" w:fill="FFFFFF"/>
            <w:noWrap/>
            <w:vAlign w:val="bottom"/>
            <w:hideMark/>
          </w:tcPr>
          <w:p w14:paraId="1020AC04" w14:textId="50B99A7A" w:rsidR="00543241" w:rsidRPr="00C57E2E" w:rsidRDefault="00543241" w:rsidP="00543241">
            <w:pPr>
              <w:jc w:val="right"/>
              <w:rPr>
                <w:rFonts w:ascii="Times New Roman" w:hAnsi="Times New Roman"/>
                <w:sz w:val="14"/>
                <w:szCs w:val="14"/>
              </w:rPr>
            </w:pPr>
            <w:r w:rsidRPr="000D1437">
              <w:rPr>
                <w:sz w:val="14"/>
                <w:szCs w:val="14"/>
              </w:rPr>
              <w:t>891,07</w:t>
            </w:r>
          </w:p>
        </w:tc>
        <w:tc>
          <w:tcPr>
            <w:tcW w:w="1183" w:type="dxa"/>
            <w:tcBorders>
              <w:top w:val="nil"/>
              <w:left w:val="nil"/>
              <w:bottom w:val="single" w:sz="4" w:space="0" w:color="auto"/>
              <w:right w:val="single" w:sz="4" w:space="0" w:color="auto"/>
            </w:tcBorders>
            <w:shd w:val="clear" w:color="000000" w:fill="FFFFFF"/>
            <w:noWrap/>
            <w:vAlign w:val="bottom"/>
            <w:hideMark/>
          </w:tcPr>
          <w:p w14:paraId="5073DDFC" w14:textId="7B680D7D" w:rsidR="00543241" w:rsidRPr="00C57E2E" w:rsidRDefault="00543241" w:rsidP="00543241">
            <w:pPr>
              <w:jc w:val="right"/>
              <w:rPr>
                <w:rFonts w:ascii="Times New Roman" w:hAnsi="Times New Roman"/>
                <w:sz w:val="14"/>
                <w:szCs w:val="14"/>
              </w:rPr>
            </w:pPr>
            <w:r w:rsidRPr="000D1437">
              <w:rPr>
                <w:sz w:val="14"/>
                <w:szCs w:val="14"/>
              </w:rPr>
              <w:t>757,66</w:t>
            </w:r>
          </w:p>
        </w:tc>
        <w:tc>
          <w:tcPr>
            <w:tcW w:w="1183" w:type="dxa"/>
            <w:tcBorders>
              <w:top w:val="nil"/>
              <w:left w:val="nil"/>
              <w:bottom w:val="single" w:sz="4" w:space="0" w:color="auto"/>
              <w:right w:val="single" w:sz="4" w:space="0" w:color="auto"/>
            </w:tcBorders>
            <w:shd w:val="clear" w:color="000000" w:fill="FFFFFF"/>
            <w:noWrap/>
            <w:vAlign w:val="bottom"/>
            <w:hideMark/>
          </w:tcPr>
          <w:p w14:paraId="0817DFCC" w14:textId="61DA6613" w:rsidR="00543241" w:rsidRPr="00C57E2E" w:rsidRDefault="00543241" w:rsidP="00543241">
            <w:pPr>
              <w:jc w:val="right"/>
              <w:rPr>
                <w:rFonts w:ascii="Times New Roman" w:hAnsi="Times New Roman"/>
                <w:sz w:val="14"/>
                <w:szCs w:val="14"/>
              </w:rPr>
            </w:pPr>
            <w:r w:rsidRPr="000D1437">
              <w:rPr>
                <w:sz w:val="14"/>
                <w:szCs w:val="14"/>
              </w:rPr>
              <w:t>902,28</w:t>
            </w:r>
          </w:p>
        </w:tc>
        <w:tc>
          <w:tcPr>
            <w:tcW w:w="1197" w:type="dxa"/>
            <w:tcBorders>
              <w:top w:val="nil"/>
              <w:left w:val="nil"/>
              <w:bottom w:val="single" w:sz="4" w:space="0" w:color="auto"/>
              <w:right w:val="single" w:sz="4" w:space="0" w:color="auto"/>
            </w:tcBorders>
            <w:shd w:val="clear" w:color="000000" w:fill="FFFFFF"/>
            <w:vAlign w:val="bottom"/>
          </w:tcPr>
          <w:p w14:paraId="16F14105" w14:textId="128AD5E0" w:rsidR="00543241" w:rsidRPr="00C57E2E" w:rsidRDefault="00543241" w:rsidP="00543241">
            <w:pPr>
              <w:jc w:val="right"/>
              <w:rPr>
                <w:rFonts w:ascii="Times New Roman" w:hAnsi="Times New Roman"/>
                <w:sz w:val="14"/>
                <w:szCs w:val="14"/>
              </w:rPr>
            </w:pPr>
            <w:r w:rsidRPr="000D1437">
              <w:rPr>
                <w:sz w:val="14"/>
                <w:szCs w:val="14"/>
              </w:rPr>
              <w:t>919,50</w:t>
            </w:r>
          </w:p>
        </w:tc>
      </w:tr>
      <w:tr w:rsidR="00543241" w:rsidRPr="00364545" w14:paraId="744229E6"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FFF81B2" w14:textId="77777777"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H. Urea application</w:t>
            </w:r>
          </w:p>
        </w:tc>
        <w:tc>
          <w:tcPr>
            <w:tcW w:w="1198" w:type="dxa"/>
            <w:tcBorders>
              <w:top w:val="nil"/>
              <w:left w:val="nil"/>
              <w:bottom w:val="single" w:sz="4" w:space="0" w:color="auto"/>
              <w:right w:val="single" w:sz="4" w:space="0" w:color="auto"/>
            </w:tcBorders>
            <w:shd w:val="clear" w:color="000000" w:fill="FFFFFF"/>
            <w:noWrap/>
            <w:vAlign w:val="bottom"/>
            <w:hideMark/>
          </w:tcPr>
          <w:p w14:paraId="581F320D" w14:textId="733BA639" w:rsidR="00543241" w:rsidRPr="00C57E2E" w:rsidRDefault="00543241" w:rsidP="00543241">
            <w:pPr>
              <w:jc w:val="right"/>
              <w:rPr>
                <w:rFonts w:ascii="Times New Roman" w:hAnsi="Times New Roman"/>
                <w:sz w:val="14"/>
                <w:szCs w:val="14"/>
              </w:rPr>
            </w:pPr>
            <w:r w:rsidRPr="000D1437">
              <w:rPr>
                <w:sz w:val="14"/>
                <w:szCs w:val="14"/>
              </w:rPr>
              <w:t>850,17</w:t>
            </w:r>
          </w:p>
        </w:tc>
        <w:tc>
          <w:tcPr>
            <w:tcW w:w="1197" w:type="dxa"/>
            <w:tcBorders>
              <w:top w:val="nil"/>
              <w:left w:val="nil"/>
              <w:bottom w:val="single" w:sz="4" w:space="0" w:color="auto"/>
              <w:right w:val="single" w:sz="4" w:space="0" w:color="auto"/>
            </w:tcBorders>
            <w:shd w:val="clear" w:color="000000" w:fill="FFFFFF"/>
            <w:noWrap/>
            <w:vAlign w:val="bottom"/>
            <w:hideMark/>
          </w:tcPr>
          <w:p w14:paraId="3FCFF2E4" w14:textId="5264CD38" w:rsidR="00543241" w:rsidRPr="00C57E2E" w:rsidRDefault="00543241" w:rsidP="00543241">
            <w:pPr>
              <w:jc w:val="right"/>
              <w:rPr>
                <w:rFonts w:ascii="Times New Roman" w:hAnsi="Times New Roman"/>
                <w:sz w:val="14"/>
                <w:szCs w:val="14"/>
              </w:rPr>
            </w:pPr>
            <w:r w:rsidRPr="000D1437">
              <w:rPr>
                <w:sz w:val="14"/>
                <w:szCs w:val="14"/>
              </w:rPr>
              <w:t>850,17</w:t>
            </w:r>
          </w:p>
        </w:tc>
        <w:tc>
          <w:tcPr>
            <w:tcW w:w="1197" w:type="dxa"/>
            <w:tcBorders>
              <w:top w:val="nil"/>
              <w:left w:val="nil"/>
              <w:bottom w:val="single" w:sz="4" w:space="0" w:color="auto"/>
              <w:right w:val="single" w:sz="4" w:space="0" w:color="auto"/>
            </w:tcBorders>
            <w:shd w:val="clear" w:color="000000" w:fill="FFFFFF"/>
            <w:noWrap/>
            <w:vAlign w:val="bottom"/>
            <w:hideMark/>
          </w:tcPr>
          <w:p w14:paraId="27A5EA53" w14:textId="0021C892" w:rsidR="00543241" w:rsidRPr="00C57E2E" w:rsidRDefault="00543241" w:rsidP="00543241">
            <w:pPr>
              <w:jc w:val="right"/>
              <w:rPr>
                <w:rFonts w:ascii="Times New Roman" w:hAnsi="Times New Roman"/>
                <w:sz w:val="14"/>
                <w:szCs w:val="14"/>
              </w:rPr>
            </w:pPr>
            <w:r w:rsidRPr="000D1437">
              <w:rPr>
                <w:sz w:val="14"/>
                <w:szCs w:val="14"/>
              </w:rPr>
              <w:t>874,72</w:t>
            </w:r>
          </w:p>
        </w:tc>
        <w:tc>
          <w:tcPr>
            <w:tcW w:w="1183" w:type="dxa"/>
            <w:tcBorders>
              <w:top w:val="nil"/>
              <w:left w:val="nil"/>
              <w:bottom w:val="single" w:sz="4" w:space="0" w:color="auto"/>
              <w:right w:val="single" w:sz="4" w:space="0" w:color="auto"/>
            </w:tcBorders>
            <w:shd w:val="clear" w:color="000000" w:fill="FFFFFF"/>
            <w:noWrap/>
            <w:vAlign w:val="bottom"/>
            <w:hideMark/>
          </w:tcPr>
          <w:p w14:paraId="231B2F4C" w14:textId="2B1839BE" w:rsidR="00543241" w:rsidRPr="00C57E2E" w:rsidRDefault="00543241" w:rsidP="00543241">
            <w:pPr>
              <w:jc w:val="right"/>
              <w:rPr>
                <w:rFonts w:ascii="Times New Roman" w:hAnsi="Times New Roman"/>
                <w:sz w:val="14"/>
                <w:szCs w:val="14"/>
              </w:rPr>
            </w:pPr>
            <w:r w:rsidRPr="000D1437">
              <w:rPr>
                <w:sz w:val="14"/>
                <w:szCs w:val="14"/>
              </w:rPr>
              <w:t>847,65</w:t>
            </w:r>
          </w:p>
        </w:tc>
        <w:tc>
          <w:tcPr>
            <w:tcW w:w="1183" w:type="dxa"/>
            <w:tcBorders>
              <w:top w:val="nil"/>
              <w:left w:val="nil"/>
              <w:bottom w:val="single" w:sz="4" w:space="0" w:color="auto"/>
              <w:right w:val="single" w:sz="4" w:space="0" w:color="auto"/>
            </w:tcBorders>
            <w:shd w:val="clear" w:color="000000" w:fill="FFFFFF"/>
            <w:noWrap/>
            <w:vAlign w:val="bottom"/>
            <w:hideMark/>
          </w:tcPr>
          <w:p w14:paraId="64F2327A" w14:textId="5B6C0A69" w:rsidR="00543241" w:rsidRPr="00C57E2E" w:rsidRDefault="00543241" w:rsidP="00543241">
            <w:pPr>
              <w:jc w:val="right"/>
              <w:rPr>
                <w:rFonts w:ascii="Times New Roman" w:hAnsi="Times New Roman"/>
                <w:sz w:val="14"/>
                <w:szCs w:val="14"/>
              </w:rPr>
            </w:pPr>
            <w:r w:rsidRPr="000D1437">
              <w:rPr>
                <w:sz w:val="14"/>
                <w:szCs w:val="14"/>
              </w:rPr>
              <w:t>854,09</w:t>
            </w:r>
          </w:p>
        </w:tc>
        <w:tc>
          <w:tcPr>
            <w:tcW w:w="1197" w:type="dxa"/>
            <w:tcBorders>
              <w:top w:val="nil"/>
              <w:left w:val="nil"/>
              <w:bottom w:val="single" w:sz="4" w:space="0" w:color="auto"/>
              <w:right w:val="single" w:sz="4" w:space="0" w:color="auto"/>
            </w:tcBorders>
            <w:shd w:val="clear" w:color="000000" w:fill="FFFFFF"/>
            <w:vAlign w:val="bottom"/>
          </w:tcPr>
          <w:p w14:paraId="3A87512E" w14:textId="5AD844F2" w:rsidR="00543241" w:rsidRPr="00C57E2E" w:rsidRDefault="00543241" w:rsidP="00543241">
            <w:pPr>
              <w:jc w:val="right"/>
              <w:rPr>
                <w:rFonts w:ascii="Times New Roman" w:hAnsi="Times New Roman"/>
                <w:sz w:val="14"/>
                <w:szCs w:val="14"/>
              </w:rPr>
            </w:pPr>
            <w:r w:rsidRPr="000D1437">
              <w:rPr>
                <w:sz w:val="14"/>
                <w:szCs w:val="14"/>
              </w:rPr>
              <w:t>819,95</w:t>
            </w:r>
          </w:p>
        </w:tc>
      </w:tr>
      <w:tr w:rsidR="00543241" w:rsidRPr="00364545" w14:paraId="7F70608B"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94E54BE" w14:textId="4DF59BD1"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I. Other carbon-containing fertilizers</w:t>
            </w:r>
          </w:p>
        </w:tc>
        <w:tc>
          <w:tcPr>
            <w:tcW w:w="1198" w:type="dxa"/>
            <w:tcBorders>
              <w:top w:val="nil"/>
              <w:left w:val="nil"/>
              <w:bottom w:val="single" w:sz="4" w:space="0" w:color="auto"/>
              <w:right w:val="single" w:sz="4" w:space="0" w:color="auto"/>
            </w:tcBorders>
            <w:shd w:val="clear" w:color="000000" w:fill="FFFFFF"/>
            <w:noWrap/>
            <w:vAlign w:val="bottom"/>
            <w:hideMark/>
          </w:tcPr>
          <w:p w14:paraId="3D15BDFD" w14:textId="35D9D9D9" w:rsidR="00543241" w:rsidRPr="00C57E2E" w:rsidRDefault="00543241" w:rsidP="00543241">
            <w:pPr>
              <w:jc w:val="right"/>
              <w:rPr>
                <w:rFonts w:ascii="Times New Roman" w:hAnsi="Times New Roman"/>
                <w:sz w:val="14"/>
                <w:szCs w:val="14"/>
              </w:rPr>
            </w:pPr>
            <w:r w:rsidRPr="000D1437">
              <w:rPr>
                <w:sz w:val="14"/>
                <w:szCs w:val="14"/>
              </w:rPr>
              <w:t>128,16</w:t>
            </w:r>
          </w:p>
        </w:tc>
        <w:tc>
          <w:tcPr>
            <w:tcW w:w="1197" w:type="dxa"/>
            <w:tcBorders>
              <w:top w:val="nil"/>
              <w:left w:val="nil"/>
              <w:bottom w:val="single" w:sz="4" w:space="0" w:color="auto"/>
              <w:right w:val="single" w:sz="4" w:space="0" w:color="auto"/>
            </w:tcBorders>
            <w:shd w:val="clear" w:color="000000" w:fill="FFFFFF"/>
            <w:noWrap/>
            <w:vAlign w:val="bottom"/>
            <w:hideMark/>
          </w:tcPr>
          <w:p w14:paraId="062658E6" w14:textId="01871CD2" w:rsidR="00543241" w:rsidRPr="00C57E2E" w:rsidRDefault="00543241" w:rsidP="00543241">
            <w:pPr>
              <w:jc w:val="right"/>
              <w:rPr>
                <w:rFonts w:ascii="Times New Roman" w:hAnsi="Times New Roman"/>
                <w:sz w:val="14"/>
                <w:szCs w:val="14"/>
              </w:rPr>
            </w:pPr>
            <w:r w:rsidRPr="000D1437">
              <w:rPr>
                <w:sz w:val="14"/>
                <w:szCs w:val="14"/>
              </w:rPr>
              <w:t>128,16</w:t>
            </w:r>
          </w:p>
        </w:tc>
        <w:tc>
          <w:tcPr>
            <w:tcW w:w="1197" w:type="dxa"/>
            <w:tcBorders>
              <w:top w:val="nil"/>
              <w:left w:val="nil"/>
              <w:bottom w:val="single" w:sz="4" w:space="0" w:color="auto"/>
              <w:right w:val="single" w:sz="4" w:space="0" w:color="auto"/>
            </w:tcBorders>
            <w:shd w:val="clear" w:color="000000" w:fill="FFFFFF"/>
            <w:noWrap/>
            <w:vAlign w:val="bottom"/>
            <w:hideMark/>
          </w:tcPr>
          <w:p w14:paraId="082D15B2" w14:textId="3769669A" w:rsidR="00543241" w:rsidRPr="00C57E2E" w:rsidRDefault="00543241" w:rsidP="00543241">
            <w:pPr>
              <w:jc w:val="right"/>
              <w:rPr>
                <w:rFonts w:ascii="Times New Roman" w:hAnsi="Times New Roman"/>
                <w:sz w:val="14"/>
                <w:szCs w:val="14"/>
              </w:rPr>
            </w:pPr>
            <w:r w:rsidRPr="000D1437">
              <w:rPr>
                <w:sz w:val="14"/>
                <w:szCs w:val="14"/>
              </w:rPr>
              <w:t>142,43</w:t>
            </w:r>
          </w:p>
        </w:tc>
        <w:tc>
          <w:tcPr>
            <w:tcW w:w="1183" w:type="dxa"/>
            <w:tcBorders>
              <w:top w:val="nil"/>
              <w:left w:val="nil"/>
              <w:bottom w:val="single" w:sz="4" w:space="0" w:color="auto"/>
              <w:right w:val="single" w:sz="4" w:space="0" w:color="auto"/>
            </w:tcBorders>
            <w:shd w:val="clear" w:color="000000" w:fill="FFFFFF"/>
            <w:noWrap/>
            <w:vAlign w:val="bottom"/>
            <w:hideMark/>
          </w:tcPr>
          <w:p w14:paraId="44A61299" w14:textId="6191F245" w:rsidR="00543241" w:rsidRPr="00C57E2E" w:rsidRDefault="00543241" w:rsidP="00543241">
            <w:pPr>
              <w:jc w:val="right"/>
              <w:rPr>
                <w:rFonts w:ascii="Times New Roman" w:hAnsi="Times New Roman"/>
                <w:sz w:val="14"/>
                <w:szCs w:val="14"/>
              </w:rPr>
            </w:pPr>
            <w:r w:rsidRPr="000D1437">
              <w:rPr>
                <w:sz w:val="14"/>
                <w:szCs w:val="14"/>
              </w:rPr>
              <w:t>137,62</w:t>
            </w:r>
          </w:p>
        </w:tc>
        <w:tc>
          <w:tcPr>
            <w:tcW w:w="1183" w:type="dxa"/>
            <w:tcBorders>
              <w:top w:val="nil"/>
              <w:left w:val="nil"/>
              <w:bottom w:val="single" w:sz="4" w:space="0" w:color="auto"/>
              <w:right w:val="single" w:sz="4" w:space="0" w:color="auto"/>
            </w:tcBorders>
            <w:shd w:val="clear" w:color="000000" w:fill="FFFFFF"/>
            <w:noWrap/>
            <w:vAlign w:val="bottom"/>
            <w:hideMark/>
          </w:tcPr>
          <w:p w14:paraId="3224559E" w14:textId="37081B95" w:rsidR="00543241" w:rsidRPr="00C57E2E" w:rsidRDefault="00543241" w:rsidP="00543241">
            <w:pPr>
              <w:jc w:val="right"/>
              <w:rPr>
                <w:rFonts w:ascii="Times New Roman" w:hAnsi="Times New Roman"/>
                <w:sz w:val="14"/>
                <w:szCs w:val="14"/>
              </w:rPr>
            </w:pPr>
            <w:r w:rsidRPr="000D1437">
              <w:rPr>
                <w:sz w:val="14"/>
                <w:szCs w:val="14"/>
              </w:rPr>
              <w:t>111,53</w:t>
            </w:r>
          </w:p>
        </w:tc>
        <w:tc>
          <w:tcPr>
            <w:tcW w:w="1197" w:type="dxa"/>
            <w:tcBorders>
              <w:top w:val="nil"/>
              <w:left w:val="nil"/>
              <w:bottom w:val="single" w:sz="4" w:space="0" w:color="auto"/>
              <w:right w:val="single" w:sz="4" w:space="0" w:color="auto"/>
            </w:tcBorders>
            <w:shd w:val="clear" w:color="000000" w:fill="FFFFFF"/>
            <w:vAlign w:val="bottom"/>
          </w:tcPr>
          <w:p w14:paraId="36F566AA" w14:textId="4D16E6CA" w:rsidR="00543241" w:rsidRPr="00C57E2E" w:rsidRDefault="00543241" w:rsidP="00543241">
            <w:pPr>
              <w:jc w:val="right"/>
              <w:rPr>
                <w:rFonts w:ascii="Times New Roman" w:hAnsi="Times New Roman"/>
                <w:sz w:val="14"/>
                <w:szCs w:val="14"/>
              </w:rPr>
            </w:pPr>
            <w:r w:rsidRPr="000D1437">
              <w:rPr>
                <w:sz w:val="14"/>
                <w:szCs w:val="14"/>
              </w:rPr>
              <w:t>108,01</w:t>
            </w:r>
          </w:p>
        </w:tc>
      </w:tr>
      <w:tr w:rsidR="00543241" w:rsidRPr="00364545" w14:paraId="062DAC7B"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534BE11" w14:textId="62676FF9"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 xml:space="preserve">J. Other </w:t>
            </w:r>
          </w:p>
        </w:tc>
        <w:tc>
          <w:tcPr>
            <w:tcW w:w="1198" w:type="dxa"/>
            <w:tcBorders>
              <w:top w:val="nil"/>
              <w:left w:val="nil"/>
              <w:bottom w:val="single" w:sz="4" w:space="0" w:color="auto"/>
              <w:right w:val="single" w:sz="4" w:space="0" w:color="auto"/>
            </w:tcBorders>
            <w:shd w:val="clear" w:color="000000" w:fill="FFFFFF"/>
            <w:noWrap/>
            <w:vAlign w:val="bottom"/>
            <w:hideMark/>
          </w:tcPr>
          <w:p w14:paraId="236C5889" w14:textId="02A0AE0D" w:rsidR="00543241" w:rsidRPr="00C57E2E"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0E8D48C1" w14:textId="6941D3F4" w:rsidR="00543241" w:rsidRPr="00C57E2E"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5D2CC471" w14:textId="1D6D306E" w:rsidR="00543241" w:rsidRPr="00C57E2E" w:rsidRDefault="00543241" w:rsidP="00543241">
            <w:pPr>
              <w:jc w:val="right"/>
              <w:rPr>
                <w:rFonts w:ascii="Times New Roman" w:hAnsi="Times New Roman"/>
                <w:sz w:val="14"/>
                <w:szCs w:val="14"/>
              </w:rPr>
            </w:pPr>
            <w:r w:rsidRPr="000D1437">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197902F6" w14:textId="00E7AEF3" w:rsidR="00543241" w:rsidRPr="00C57E2E" w:rsidRDefault="00543241" w:rsidP="00543241">
            <w:pPr>
              <w:jc w:val="right"/>
              <w:rPr>
                <w:rFonts w:ascii="Times New Roman" w:hAnsi="Times New Roman"/>
                <w:sz w:val="14"/>
                <w:szCs w:val="14"/>
              </w:rPr>
            </w:pPr>
            <w:r w:rsidRPr="000D1437">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52735E06" w14:textId="532F6297" w:rsidR="00543241" w:rsidRPr="00C57E2E"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FFFFFF"/>
            <w:vAlign w:val="bottom"/>
          </w:tcPr>
          <w:p w14:paraId="2EEAF109" w14:textId="5BE60B2E" w:rsidR="00543241" w:rsidRPr="00C57E2E" w:rsidRDefault="00543241" w:rsidP="00543241">
            <w:pPr>
              <w:jc w:val="right"/>
              <w:rPr>
                <w:rFonts w:ascii="Times New Roman" w:hAnsi="Times New Roman"/>
                <w:sz w:val="14"/>
                <w:szCs w:val="14"/>
              </w:rPr>
            </w:pPr>
            <w:r w:rsidRPr="000D1437">
              <w:rPr>
                <w:sz w:val="14"/>
                <w:szCs w:val="14"/>
              </w:rPr>
              <w:t>NO</w:t>
            </w:r>
          </w:p>
        </w:tc>
      </w:tr>
      <w:tr w:rsidR="00543241" w:rsidRPr="00364545" w14:paraId="28656FFC"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bottom"/>
            <w:hideMark/>
          </w:tcPr>
          <w:p w14:paraId="213EA5BB" w14:textId="77777777"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4. Land use, land-use change and forestry</w:t>
            </w:r>
            <w:r w:rsidRPr="00364545">
              <w:rPr>
                <w:rFonts w:asciiTheme="majorHAnsi" w:hAnsiTheme="majorHAnsi"/>
                <w:b/>
                <w:sz w:val="14"/>
                <w:vertAlign w:val="superscript"/>
              </w:rPr>
              <w:t>(2)</w:t>
            </w:r>
          </w:p>
        </w:tc>
        <w:tc>
          <w:tcPr>
            <w:tcW w:w="1198" w:type="dxa"/>
            <w:tcBorders>
              <w:top w:val="nil"/>
              <w:left w:val="nil"/>
              <w:bottom w:val="single" w:sz="4" w:space="0" w:color="auto"/>
              <w:right w:val="single" w:sz="4" w:space="0" w:color="auto"/>
            </w:tcBorders>
            <w:shd w:val="clear" w:color="000000" w:fill="CCFFFF"/>
            <w:noWrap/>
            <w:vAlign w:val="bottom"/>
            <w:hideMark/>
          </w:tcPr>
          <w:p w14:paraId="7B68AF80" w14:textId="2347BE3A" w:rsidR="00543241" w:rsidRPr="00C57E2E" w:rsidRDefault="00543241" w:rsidP="00543241">
            <w:pPr>
              <w:jc w:val="right"/>
              <w:rPr>
                <w:rFonts w:ascii="Times New Roman" w:hAnsi="Times New Roman"/>
                <w:sz w:val="14"/>
                <w:szCs w:val="14"/>
              </w:rPr>
            </w:pPr>
            <w:r w:rsidRPr="000D1437">
              <w:rPr>
                <w:sz w:val="14"/>
                <w:szCs w:val="14"/>
              </w:rPr>
              <w:t>-28145,04</w:t>
            </w:r>
          </w:p>
        </w:tc>
        <w:tc>
          <w:tcPr>
            <w:tcW w:w="1197" w:type="dxa"/>
            <w:tcBorders>
              <w:top w:val="nil"/>
              <w:left w:val="nil"/>
              <w:bottom w:val="single" w:sz="4" w:space="0" w:color="auto"/>
              <w:right w:val="single" w:sz="4" w:space="0" w:color="auto"/>
            </w:tcBorders>
            <w:shd w:val="clear" w:color="000000" w:fill="CCFFFF"/>
            <w:noWrap/>
            <w:vAlign w:val="bottom"/>
            <w:hideMark/>
          </w:tcPr>
          <w:p w14:paraId="7A21C705" w14:textId="12597ABC" w:rsidR="00543241" w:rsidRPr="00C57E2E" w:rsidRDefault="00543241" w:rsidP="00543241">
            <w:pPr>
              <w:jc w:val="right"/>
              <w:rPr>
                <w:rFonts w:ascii="Times New Roman" w:hAnsi="Times New Roman"/>
                <w:sz w:val="14"/>
                <w:szCs w:val="14"/>
              </w:rPr>
            </w:pPr>
            <w:r w:rsidRPr="000D1437">
              <w:rPr>
                <w:sz w:val="14"/>
                <w:szCs w:val="14"/>
              </w:rPr>
              <w:t>-28145,04</w:t>
            </w:r>
          </w:p>
        </w:tc>
        <w:tc>
          <w:tcPr>
            <w:tcW w:w="1197" w:type="dxa"/>
            <w:tcBorders>
              <w:top w:val="nil"/>
              <w:left w:val="nil"/>
              <w:bottom w:val="single" w:sz="4" w:space="0" w:color="auto"/>
              <w:right w:val="single" w:sz="4" w:space="0" w:color="auto"/>
            </w:tcBorders>
            <w:shd w:val="clear" w:color="000000" w:fill="CCFFFF"/>
            <w:noWrap/>
            <w:vAlign w:val="bottom"/>
            <w:hideMark/>
          </w:tcPr>
          <w:p w14:paraId="7CDCFF07" w14:textId="0DC6329A" w:rsidR="00543241" w:rsidRPr="00C57E2E" w:rsidRDefault="00543241" w:rsidP="00543241">
            <w:pPr>
              <w:jc w:val="right"/>
              <w:rPr>
                <w:rFonts w:ascii="Times New Roman" w:hAnsi="Times New Roman"/>
                <w:sz w:val="14"/>
                <w:szCs w:val="14"/>
              </w:rPr>
            </w:pPr>
            <w:r w:rsidRPr="000D1437">
              <w:rPr>
                <w:sz w:val="14"/>
                <w:szCs w:val="14"/>
              </w:rPr>
              <w:t>-28265,56</w:t>
            </w:r>
          </w:p>
        </w:tc>
        <w:tc>
          <w:tcPr>
            <w:tcW w:w="1183" w:type="dxa"/>
            <w:tcBorders>
              <w:top w:val="nil"/>
              <w:left w:val="nil"/>
              <w:bottom w:val="single" w:sz="4" w:space="0" w:color="auto"/>
              <w:right w:val="single" w:sz="4" w:space="0" w:color="auto"/>
            </w:tcBorders>
            <w:shd w:val="clear" w:color="000000" w:fill="CCFFFF"/>
            <w:noWrap/>
            <w:vAlign w:val="bottom"/>
            <w:hideMark/>
          </w:tcPr>
          <w:p w14:paraId="4530A541" w14:textId="078FE92F" w:rsidR="00543241" w:rsidRPr="00C57E2E" w:rsidRDefault="00543241" w:rsidP="00543241">
            <w:pPr>
              <w:jc w:val="right"/>
              <w:rPr>
                <w:rFonts w:ascii="Times New Roman" w:hAnsi="Times New Roman"/>
                <w:sz w:val="14"/>
                <w:szCs w:val="14"/>
              </w:rPr>
            </w:pPr>
            <w:r w:rsidRPr="000D1437">
              <w:rPr>
                <w:sz w:val="14"/>
                <w:szCs w:val="14"/>
              </w:rPr>
              <w:t>-26209,43</w:t>
            </w:r>
          </w:p>
        </w:tc>
        <w:tc>
          <w:tcPr>
            <w:tcW w:w="1183" w:type="dxa"/>
            <w:tcBorders>
              <w:top w:val="nil"/>
              <w:left w:val="nil"/>
              <w:bottom w:val="single" w:sz="4" w:space="0" w:color="auto"/>
              <w:right w:val="single" w:sz="4" w:space="0" w:color="auto"/>
            </w:tcBorders>
            <w:shd w:val="clear" w:color="000000" w:fill="CCFFFF"/>
            <w:noWrap/>
            <w:vAlign w:val="bottom"/>
            <w:hideMark/>
          </w:tcPr>
          <w:p w14:paraId="7640963C" w14:textId="36F15C22" w:rsidR="00543241" w:rsidRPr="00C57E2E" w:rsidRDefault="00543241" w:rsidP="00543241">
            <w:pPr>
              <w:jc w:val="right"/>
              <w:rPr>
                <w:rFonts w:ascii="Times New Roman" w:hAnsi="Times New Roman"/>
                <w:sz w:val="14"/>
                <w:szCs w:val="14"/>
              </w:rPr>
            </w:pPr>
            <w:r w:rsidRPr="000D1437">
              <w:rPr>
                <w:sz w:val="14"/>
                <w:szCs w:val="14"/>
              </w:rPr>
              <w:t>-29282,65</w:t>
            </w:r>
          </w:p>
        </w:tc>
        <w:tc>
          <w:tcPr>
            <w:tcW w:w="1197" w:type="dxa"/>
            <w:tcBorders>
              <w:top w:val="nil"/>
              <w:left w:val="nil"/>
              <w:bottom w:val="single" w:sz="4" w:space="0" w:color="auto"/>
              <w:right w:val="single" w:sz="4" w:space="0" w:color="auto"/>
            </w:tcBorders>
            <w:shd w:val="clear" w:color="000000" w:fill="CCFFFF"/>
            <w:vAlign w:val="bottom"/>
          </w:tcPr>
          <w:p w14:paraId="26D08405" w14:textId="646856B2" w:rsidR="00543241" w:rsidRPr="00C57E2E" w:rsidRDefault="00543241" w:rsidP="00543241">
            <w:pPr>
              <w:jc w:val="right"/>
              <w:rPr>
                <w:rFonts w:ascii="Times New Roman" w:hAnsi="Times New Roman"/>
                <w:sz w:val="14"/>
                <w:szCs w:val="14"/>
              </w:rPr>
            </w:pPr>
            <w:r w:rsidRPr="000D1437">
              <w:rPr>
                <w:sz w:val="14"/>
                <w:szCs w:val="14"/>
              </w:rPr>
              <w:t>-29258,16</w:t>
            </w:r>
          </w:p>
        </w:tc>
      </w:tr>
      <w:tr w:rsidR="00543241" w:rsidRPr="00364545" w14:paraId="5EB5DD3B"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5685EAEA" w14:textId="353F9580"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A. Forest land</w:t>
            </w:r>
          </w:p>
        </w:tc>
        <w:tc>
          <w:tcPr>
            <w:tcW w:w="1198" w:type="dxa"/>
            <w:tcBorders>
              <w:top w:val="nil"/>
              <w:left w:val="nil"/>
              <w:bottom w:val="single" w:sz="4" w:space="0" w:color="auto"/>
              <w:right w:val="single" w:sz="4" w:space="0" w:color="auto"/>
            </w:tcBorders>
            <w:shd w:val="clear" w:color="000000" w:fill="FFFFFF"/>
            <w:noWrap/>
            <w:vAlign w:val="bottom"/>
            <w:hideMark/>
          </w:tcPr>
          <w:p w14:paraId="6A920113" w14:textId="11D2DC69" w:rsidR="00543241" w:rsidRPr="0022028F" w:rsidRDefault="00543241" w:rsidP="00543241">
            <w:pPr>
              <w:jc w:val="right"/>
              <w:rPr>
                <w:rFonts w:ascii="Times New Roman" w:hAnsi="Times New Roman"/>
                <w:sz w:val="14"/>
                <w:szCs w:val="14"/>
              </w:rPr>
            </w:pPr>
            <w:r w:rsidRPr="000D1437">
              <w:rPr>
                <w:sz w:val="14"/>
                <w:szCs w:val="14"/>
              </w:rPr>
              <w:t>-39612,80</w:t>
            </w:r>
          </w:p>
        </w:tc>
        <w:tc>
          <w:tcPr>
            <w:tcW w:w="1197" w:type="dxa"/>
            <w:tcBorders>
              <w:top w:val="nil"/>
              <w:left w:val="nil"/>
              <w:bottom w:val="single" w:sz="4" w:space="0" w:color="auto"/>
              <w:right w:val="single" w:sz="4" w:space="0" w:color="auto"/>
            </w:tcBorders>
            <w:shd w:val="clear" w:color="000000" w:fill="FFFFFF"/>
            <w:noWrap/>
            <w:vAlign w:val="bottom"/>
            <w:hideMark/>
          </w:tcPr>
          <w:p w14:paraId="7E402F95" w14:textId="615E5147" w:rsidR="00543241" w:rsidRPr="0022028F" w:rsidRDefault="00543241" w:rsidP="00543241">
            <w:pPr>
              <w:jc w:val="right"/>
              <w:rPr>
                <w:rFonts w:ascii="Times New Roman" w:hAnsi="Times New Roman"/>
                <w:sz w:val="14"/>
                <w:szCs w:val="14"/>
              </w:rPr>
            </w:pPr>
            <w:r w:rsidRPr="000D1437">
              <w:rPr>
                <w:sz w:val="14"/>
                <w:szCs w:val="14"/>
              </w:rPr>
              <w:t>-39612,80</w:t>
            </w:r>
          </w:p>
        </w:tc>
        <w:tc>
          <w:tcPr>
            <w:tcW w:w="1197" w:type="dxa"/>
            <w:tcBorders>
              <w:top w:val="nil"/>
              <w:left w:val="nil"/>
              <w:bottom w:val="single" w:sz="4" w:space="0" w:color="auto"/>
              <w:right w:val="single" w:sz="4" w:space="0" w:color="auto"/>
            </w:tcBorders>
            <w:shd w:val="clear" w:color="000000" w:fill="FFFFFF"/>
            <w:noWrap/>
            <w:vAlign w:val="bottom"/>
            <w:hideMark/>
          </w:tcPr>
          <w:p w14:paraId="7F6E66BA" w14:textId="7A610647" w:rsidR="00543241" w:rsidRPr="0022028F" w:rsidRDefault="00543241" w:rsidP="00543241">
            <w:pPr>
              <w:jc w:val="right"/>
              <w:rPr>
                <w:rFonts w:ascii="Times New Roman" w:hAnsi="Times New Roman"/>
                <w:sz w:val="14"/>
                <w:szCs w:val="14"/>
              </w:rPr>
            </w:pPr>
            <w:r w:rsidRPr="000D1437">
              <w:rPr>
                <w:sz w:val="14"/>
                <w:szCs w:val="14"/>
              </w:rPr>
              <w:t>-39539,41</w:t>
            </w:r>
          </w:p>
        </w:tc>
        <w:tc>
          <w:tcPr>
            <w:tcW w:w="1183" w:type="dxa"/>
            <w:tcBorders>
              <w:top w:val="nil"/>
              <w:left w:val="nil"/>
              <w:bottom w:val="single" w:sz="4" w:space="0" w:color="auto"/>
              <w:right w:val="single" w:sz="4" w:space="0" w:color="auto"/>
            </w:tcBorders>
            <w:shd w:val="clear" w:color="000000" w:fill="FFFFFF"/>
            <w:noWrap/>
            <w:vAlign w:val="bottom"/>
            <w:hideMark/>
          </w:tcPr>
          <w:p w14:paraId="4967FAA9" w14:textId="773ACACD" w:rsidR="00543241" w:rsidRPr="0022028F" w:rsidRDefault="00543241" w:rsidP="00543241">
            <w:pPr>
              <w:jc w:val="right"/>
              <w:rPr>
                <w:rFonts w:ascii="Times New Roman" w:hAnsi="Times New Roman"/>
                <w:sz w:val="14"/>
                <w:szCs w:val="14"/>
              </w:rPr>
            </w:pPr>
            <w:r w:rsidRPr="000D1437">
              <w:rPr>
                <w:sz w:val="14"/>
                <w:szCs w:val="14"/>
              </w:rPr>
              <w:t>-39130,91</w:t>
            </w:r>
          </w:p>
        </w:tc>
        <w:tc>
          <w:tcPr>
            <w:tcW w:w="1183" w:type="dxa"/>
            <w:tcBorders>
              <w:top w:val="nil"/>
              <w:left w:val="nil"/>
              <w:bottom w:val="single" w:sz="4" w:space="0" w:color="auto"/>
              <w:right w:val="single" w:sz="4" w:space="0" w:color="auto"/>
            </w:tcBorders>
            <w:shd w:val="clear" w:color="000000" w:fill="FFFFFF"/>
            <w:noWrap/>
            <w:vAlign w:val="bottom"/>
            <w:hideMark/>
          </w:tcPr>
          <w:p w14:paraId="3508006F" w14:textId="258301CD" w:rsidR="00543241" w:rsidRPr="0022028F" w:rsidRDefault="00543241" w:rsidP="00543241">
            <w:pPr>
              <w:jc w:val="right"/>
              <w:rPr>
                <w:rFonts w:ascii="Times New Roman" w:hAnsi="Times New Roman"/>
                <w:sz w:val="14"/>
                <w:szCs w:val="14"/>
              </w:rPr>
            </w:pPr>
            <w:r w:rsidRPr="000D1437">
              <w:rPr>
                <w:sz w:val="14"/>
                <w:szCs w:val="14"/>
              </w:rPr>
              <w:t>-43156,84</w:t>
            </w:r>
          </w:p>
        </w:tc>
        <w:tc>
          <w:tcPr>
            <w:tcW w:w="1197" w:type="dxa"/>
            <w:tcBorders>
              <w:top w:val="nil"/>
              <w:left w:val="nil"/>
              <w:bottom w:val="single" w:sz="4" w:space="0" w:color="auto"/>
              <w:right w:val="single" w:sz="4" w:space="0" w:color="auto"/>
            </w:tcBorders>
            <w:shd w:val="clear" w:color="000000" w:fill="FFFFFF"/>
            <w:vAlign w:val="bottom"/>
          </w:tcPr>
          <w:p w14:paraId="0F057067" w14:textId="2DE8DB88" w:rsidR="00543241" w:rsidRPr="0022028F" w:rsidRDefault="00543241" w:rsidP="00543241">
            <w:pPr>
              <w:jc w:val="right"/>
              <w:rPr>
                <w:rFonts w:ascii="Times New Roman" w:hAnsi="Times New Roman"/>
                <w:sz w:val="14"/>
                <w:szCs w:val="14"/>
              </w:rPr>
            </w:pPr>
            <w:r w:rsidRPr="000D1437">
              <w:rPr>
                <w:sz w:val="14"/>
                <w:szCs w:val="14"/>
              </w:rPr>
              <w:t>-44185,44</w:t>
            </w:r>
          </w:p>
        </w:tc>
      </w:tr>
      <w:tr w:rsidR="00543241" w:rsidRPr="00364545" w14:paraId="782F2EB7"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1F51B05" w14:textId="63571482"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B. Cropland</w:t>
            </w:r>
          </w:p>
        </w:tc>
        <w:tc>
          <w:tcPr>
            <w:tcW w:w="1198" w:type="dxa"/>
            <w:tcBorders>
              <w:top w:val="nil"/>
              <w:left w:val="nil"/>
              <w:bottom w:val="single" w:sz="4" w:space="0" w:color="auto"/>
              <w:right w:val="single" w:sz="4" w:space="0" w:color="auto"/>
            </w:tcBorders>
            <w:shd w:val="clear" w:color="000000" w:fill="FFFFFF"/>
            <w:noWrap/>
            <w:vAlign w:val="bottom"/>
            <w:hideMark/>
          </w:tcPr>
          <w:p w14:paraId="331A4896" w14:textId="593AC3E0" w:rsidR="00543241" w:rsidRPr="0022028F" w:rsidRDefault="00543241" w:rsidP="00543241">
            <w:pPr>
              <w:jc w:val="right"/>
              <w:rPr>
                <w:rFonts w:ascii="Times New Roman" w:hAnsi="Times New Roman"/>
                <w:sz w:val="14"/>
                <w:szCs w:val="14"/>
              </w:rPr>
            </w:pPr>
            <w:r w:rsidRPr="000D1437">
              <w:rPr>
                <w:sz w:val="14"/>
                <w:szCs w:val="14"/>
              </w:rPr>
              <w:t>21140,66</w:t>
            </w:r>
          </w:p>
        </w:tc>
        <w:tc>
          <w:tcPr>
            <w:tcW w:w="1197" w:type="dxa"/>
            <w:tcBorders>
              <w:top w:val="nil"/>
              <w:left w:val="nil"/>
              <w:bottom w:val="single" w:sz="4" w:space="0" w:color="auto"/>
              <w:right w:val="single" w:sz="4" w:space="0" w:color="auto"/>
            </w:tcBorders>
            <w:shd w:val="clear" w:color="000000" w:fill="FFFFFF"/>
            <w:noWrap/>
            <w:vAlign w:val="bottom"/>
            <w:hideMark/>
          </w:tcPr>
          <w:p w14:paraId="125F7E0F" w14:textId="3E794F8D" w:rsidR="00543241" w:rsidRPr="0022028F" w:rsidRDefault="00543241" w:rsidP="00543241">
            <w:pPr>
              <w:jc w:val="right"/>
              <w:rPr>
                <w:rFonts w:ascii="Times New Roman" w:hAnsi="Times New Roman"/>
                <w:sz w:val="14"/>
                <w:szCs w:val="14"/>
              </w:rPr>
            </w:pPr>
            <w:r w:rsidRPr="000D1437">
              <w:rPr>
                <w:sz w:val="14"/>
                <w:szCs w:val="14"/>
              </w:rPr>
              <w:t>21140,66</w:t>
            </w:r>
          </w:p>
        </w:tc>
        <w:tc>
          <w:tcPr>
            <w:tcW w:w="1197" w:type="dxa"/>
            <w:tcBorders>
              <w:top w:val="nil"/>
              <w:left w:val="nil"/>
              <w:bottom w:val="single" w:sz="4" w:space="0" w:color="auto"/>
              <w:right w:val="single" w:sz="4" w:space="0" w:color="auto"/>
            </w:tcBorders>
            <w:shd w:val="clear" w:color="000000" w:fill="FFFFFF"/>
            <w:noWrap/>
            <w:vAlign w:val="bottom"/>
            <w:hideMark/>
          </w:tcPr>
          <w:p w14:paraId="7473CE94" w14:textId="4EEDB2A2" w:rsidR="00543241" w:rsidRPr="0022028F" w:rsidRDefault="00543241" w:rsidP="00543241">
            <w:pPr>
              <w:jc w:val="right"/>
              <w:rPr>
                <w:rFonts w:ascii="Times New Roman" w:hAnsi="Times New Roman"/>
                <w:sz w:val="14"/>
                <w:szCs w:val="14"/>
              </w:rPr>
            </w:pPr>
            <w:r w:rsidRPr="000D1437">
              <w:rPr>
                <w:sz w:val="14"/>
                <w:szCs w:val="14"/>
              </w:rPr>
              <w:t>21059,07</w:t>
            </w:r>
          </w:p>
        </w:tc>
        <w:tc>
          <w:tcPr>
            <w:tcW w:w="1183" w:type="dxa"/>
            <w:tcBorders>
              <w:top w:val="nil"/>
              <w:left w:val="nil"/>
              <w:bottom w:val="single" w:sz="4" w:space="0" w:color="auto"/>
              <w:right w:val="single" w:sz="4" w:space="0" w:color="auto"/>
            </w:tcBorders>
            <w:shd w:val="clear" w:color="000000" w:fill="FFFFFF"/>
            <w:noWrap/>
            <w:vAlign w:val="bottom"/>
            <w:hideMark/>
          </w:tcPr>
          <w:p w14:paraId="19C8E866" w14:textId="0FEAC599" w:rsidR="00543241" w:rsidRPr="0022028F" w:rsidRDefault="00543241" w:rsidP="00543241">
            <w:pPr>
              <w:jc w:val="right"/>
              <w:rPr>
                <w:rFonts w:ascii="Times New Roman" w:hAnsi="Times New Roman"/>
                <w:sz w:val="14"/>
                <w:szCs w:val="14"/>
              </w:rPr>
            </w:pPr>
            <w:r w:rsidRPr="000D1437">
              <w:rPr>
                <w:sz w:val="14"/>
                <w:szCs w:val="14"/>
              </w:rPr>
              <w:t>21090,64</w:t>
            </w:r>
          </w:p>
        </w:tc>
        <w:tc>
          <w:tcPr>
            <w:tcW w:w="1183" w:type="dxa"/>
            <w:tcBorders>
              <w:top w:val="nil"/>
              <w:left w:val="nil"/>
              <w:bottom w:val="single" w:sz="4" w:space="0" w:color="auto"/>
              <w:right w:val="single" w:sz="4" w:space="0" w:color="auto"/>
            </w:tcBorders>
            <w:shd w:val="clear" w:color="000000" w:fill="FFFFFF"/>
            <w:noWrap/>
            <w:vAlign w:val="bottom"/>
            <w:hideMark/>
          </w:tcPr>
          <w:p w14:paraId="4B88426F" w14:textId="3CAB42C4" w:rsidR="00543241" w:rsidRPr="0022028F" w:rsidRDefault="00543241" w:rsidP="00543241">
            <w:pPr>
              <w:jc w:val="right"/>
              <w:rPr>
                <w:rFonts w:ascii="Times New Roman" w:hAnsi="Times New Roman"/>
                <w:sz w:val="14"/>
                <w:szCs w:val="14"/>
              </w:rPr>
            </w:pPr>
            <w:r w:rsidRPr="000D1437">
              <w:rPr>
                <w:sz w:val="14"/>
                <w:szCs w:val="14"/>
              </w:rPr>
              <w:t>21144,44</w:t>
            </w:r>
          </w:p>
        </w:tc>
        <w:tc>
          <w:tcPr>
            <w:tcW w:w="1197" w:type="dxa"/>
            <w:tcBorders>
              <w:top w:val="nil"/>
              <w:left w:val="nil"/>
              <w:bottom w:val="single" w:sz="4" w:space="0" w:color="auto"/>
              <w:right w:val="single" w:sz="4" w:space="0" w:color="auto"/>
            </w:tcBorders>
            <w:shd w:val="clear" w:color="000000" w:fill="FFFFFF"/>
            <w:vAlign w:val="bottom"/>
          </w:tcPr>
          <w:p w14:paraId="45696AB3" w14:textId="112D3E49" w:rsidR="00543241" w:rsidRPr="0022028F" w:rsidRDefault="00543241" w:rsidP="00543241">
            <w:pPr>
              <w:jc w:val="right"/>
              <w:rPr>
                <w:rFonts w:ascii="Times New Roman" w:hAnsi="Times New Roman"/>
                <w:sz w:val="14"/>
                <w:szCs w:val="14"/>
              </w:rPr>
            </w:pPr>
            <w:r w:rsidRPr="000D1437">
              <w:rPr>
                <w:sz w:val="14"/>
                <w:szCs w:val="14"/>
              </w:rPr>
              <w:t>21061,67</w:t>
            </w:r>
          </w:p>
        </w:tc>
      </w:tr>
      <w:tr w:rsidR="00543241" w:rsidRPr="00364545" w14:paraId="5CFB510E"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5200C94" w14:textId="1EBAA43B"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C. Grassland</w:t>
            </w:r>
          </w:p>
        </w:tc>
        <w:tc>
          <w:tcPr>
            <w:tcW w:w="1198" w:type="dxa"/>
            <w:tcBorders>
              <w:top w:val="nil"/>
              <w:left w:val="nil"/>
              <w:bottom w:val="single" w:sz="4" w:space="0" w:color="auto"/>
              <w:right w:val="single" w:sz="4" w:space="0" w:color="auto"/>
            </w:tcBorders>
            <w:shd w:val="clear" w:color="000000" w:fill="FFFFFF"/>
            <w:noWrap/>
            <w:vAlign w:val="bottom"/>
            <w:hideMark/>
          </w:tcPr>
          <w:p w14:paraId="798F6B65" w14:textId="0FBB2B46" w:rsidR="00543241" w:rsidRPr="0022028F" w:rsidRDefault="00543241" w:rsidP="00543241">
            <w:pPr>
              <w:jc w:val="right"/>
              <w:rPr>
                <w:rFonts w:ascii="Times New Roman" w:hAnsi="Times New Roman"/>
                <w:sz w:val="14"/>
                <w:szCs w:val="14"/>
              </w:rPr>
            </w:pPr>
            <w:r w:rsidRPr="000D1437">
              <w:rPr>
                <w:sz w:val="14"/>
                <w:szCs w:val="14"/>
              </w:rPr>
              <w:t>-14022,40</w:t>
            </w:r>
          </w:p>
        </w:tc>
        <w:tc>
          <w:tcPr>
            <w:tcW w:w="1197" w:type="dxa"/>
            <w:tcBorders>
              <w:top w:val="nil"/>
              <w:left w:val="nil"/>
              <w:bottom w:val="single" w:sz="4" w:space="0" w:color="auto"/>
              <w:right w:val="single" w:sz="4" w:space="0" w:color="auto"/>
            </w:tcBorders>
            <w:shd w:val="clear" w:color="000000" w:fill="FFFFFF"/>
            <w:noWrap/>
            <w:vAlign w:val="bottom"/>
            <w:hideMark/>
          </w:tcPr>
          <w:p w14:paraId="0E17F589" w14:textId="1A77CB1D" w:rsidR="00543241" w:rsidRPr="0022028F" w:rsidRDefault="00543241" w:rsidP="00543241">
            <w:pPr>
              <w:jc w:val="right"/>
              <w:rPr>
                <w:rFonts w:ascii="Times New Roman" w:hAnsi="Times New Roman"/>
                <w:sz w:val="14"/>
                <w:szCs w:val="14"/>
              </w:rPr>
            </w:pPr>
            <w:r w:rsidRPr="000D1437">
              <w:rPr>
                <w:sz w:val="14"/>
                <w:szCs w:val="14"/>
              </w:rPr>
              <w:t>-14022,40</w:t>
            </w:r>
          </w:p>
        </w:tc>
        <w:tc>
          <w:tcPr>
            <w:tcW w:w="1197" w:type="dxa"/>
            <w:tcBorders>
              <w:top w:val="nil"/>
              <w:left w:val="nil"/>
              <w:bottom w:val="single" w:sz="4" w:space="0" w:color="auto"/>
              <w:right w:val="single" w:sz="4" w:space="0" w:color="auto"/>
            </w:tcBorders>
            <w:shd w:val="clear" w:color="000000" w:fill="FFFFFF"/>
            <w:noWrap/>
            <w:vAlign w:val="bottom"/>
            <w:hideMark/>
          </w:tcPr>
          <w:p w14:paraId="4833355A" w14:textId="00B7D13C" w:rsidR="00543241" w:rsidRPr="0022028F" w:rsidRDefault="00543241" w:rsidP="00543241">
            <w:pPr>
              <w:jc w:val="right"/>
              <w:rPr>
                <w:rFonts w:ascii="Times New Roman" w:hAnsi="Times New Roman"/>
                <w:sz w:val="14"/>
                <w:szCs w:val="14"/>
              </w:rPr>
            </w:pPr>
            <w:r w:rsidRPr="000D1437">
              <w:rPr>
                <w:sz w:val="14"/>
                <w:szCs w:val="14"/>
              </w:rPr>
              <w:t>-14298,24</w:t>
            </w:r>
          </w:p>
        </w:tc>
        <w:tc>
          <w:tcPr>
            <w:tcW w:w="1183" w:type="dxa"/>
            <w:tcBorders>
              <w:top w:val="nil"/>
              <w:left w:val="nil"/>
              <w:bottom w:val="single" w:sz="4" w:space="0" w:color="auto"/>
              <w:right w:val="single" w:sz="4" w:space="0" w:color="auto"/>
            </w:tcBorders>
            <w:shd w:val="clear" w:color="000000" w:fill="FFFFFF"/>
            <w:noWrap/>
            <w:vAlign w:val="bottom"/>
            <w:hideMark/>
          </w:tcPr>
          <w:p w14:paraId="6F929A74" w14:textId="26E29908" w:rsidR="00543241" w:rsidRPr="0022028F" w:rsidRDefault="00543241" w:rsidP="00543241">
            <w:pPr>
              <w:jc w:val="right"/>
              <w:rPr>
                <w:rFonts w:ascii="Times New Roman" w:hAnsi="Times New Roman"/>
                <w:sz w:val="14"/>
                <w:szCs w:val="14"/>
              </w:rPr>
            </w:pPr>
            <w:r w:rsidRPr="000D1437">
              <w:rPr>
                <w:sz w:val="14"/>
                <w:szCs w:val="14"/>
              </w:rPr>
              <w:t>-14531,88</w:t>
            </w:r>
          </w:p>
        </w:tc>
        <w:tc>
          <w:tcPr>
            <w:tcW w:w="1183" w:type="dxa"/>
            <w:tcBorders>
              <w:top w:val="nil"/>
              <w:left w:val="nil"/>
              <w:bottom w:val="single" w:sz="4" w:space="0" w:color="auto"/>
              <w:right w:val="single" w:sz="4" w:space="0" w:color="auto"/>
            </w:tcBorders>
            <w:shd w:val="clear" w:color="000000" w:fill="FFFFFF"/>
            <w:noWrap/>
            <w:vAlign w:val="bottom"/>
            <w:hideMark/>
          </w:tcPr>
          <w:p w14:paraId="663C4F65" w14:textId="5E157E27" w:rsidR="00543241" w:rsidRPr="0022028F" w:rsidRDefault="00543241" w:rsidP="00543241">
            <w:pPr>
              <w:jc w:val="right"/>
              <w:rPr>
                <w:rFonts w:ascii="Times New Roman" w:hAnsi="Times New Roman"/>
                <w:sz w:val="14"/>
                <w:szCs w:val="14"/>
              </w:rPr>
            </w:pPr>
            <w:r w:rsidRPr="000D1437">
              <w:rPr>
                <w:sz w:val="14"/>
                <w:szCs w:val="14"/>
              </w:rPr>
              <w:t>-14723,04</w:t>
            </w:r>
          </w:p>
        </w:tc>
        <w:tc>
          <w:tcPr>
            <w:tcW w:w="1197" w:type="dxa"/>
            <w:tcBorders>
              <w:top w:val="nil"/>
              <w:left w:val="nil"/>
              <w:bottom w:val="single" w:sz="4" w:space="0" w:color="auto"/>
              <w:right w:val="single" w:sz="4" w:space="0" w:color="auto"/>
            </w:tcBorders>
            <w:shd w:val="clear" w:color="000000" w:fill="FFFFFF"/>
            <w:vAlign w:val="bottom"/>
          </w:tcPr>
          <w:p w14:paraId="32BECE41" w14:textId="799596FD" w:rsidR="00543241" w:rsidRPr="0022028F" w:rsidRDefault="00543241" w:rsidP="00543241">
            <w:pPr>
              <w:jc w:val="right"/>
              <w:rPr>
                <w:rFonts w:ascii="Times New Roman" w:hAnsi="Times New Roman"/>
                <w:sz w:val="14"/>
                <w:szCs w:val="14"/>
              </w:rPr>
            </w:pPr>
            <w:r w:rsidRPr="000D1437">
              <w:rPr>
                <w:sz w:val="14"/>
                <w:szCs w:val="14"/>
              </w:rPr>
              <w:t>-14297,54</w:t>
            </w:r>
          </w:p>
        </w:tc>
      </w:tr>
      <w:tr w:rsidR="00543241" w:rsidRPr="00364545" w14:paraId="14504501"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0615DD4" w14:textId="793B3F93"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D. Wetlands</w:t>
            </w:r>
          </w:p>
        </w:tc>
        <w:tc>
          <w:tcPr>
            <w:tcW w:w="1198" w:type="dxa"/>
            <w:tcBorders>
              <w:top w:val="nil"/>
              <w:left w:val="nil"/>
              <w:bottom w:val="single" w:sz="4" w:space="0" w:color="auto"/>
              <w:right w:val="single" w:sz="4" w:space="0" w:color="auto"/>
            </w:tcBorders>
            <w:shd w:val="clear" w:color="000000" w:fill="FFFFFF"/>
            <w:noWrap/>
            <w:vAlign w:val="bottom"/>
            <w:hideMark/>
          </w:tcPr>
          <w:p w14:paraId="22595C65" w14:textId="7ACE50F5" w:rsidR="00543241" w:rsidRPr="0022028F" w:rsidRDefault="00543241" w:rsidP="00543241">
            <w:pPr>
              <w:jc w:val="right"/>
              <w:rPr>
                <w:rFonts w:ascii="Times New Roman" w:hAnsi="Times New Roman"/>
                <w:sz w:val="14"/>
                <w:szCs w:val="14"/>
              </w:rPr>
            </w:pPr>
            <w:r w:rsidRPr="000D1437">
              <w:rPr>
                <w:sz w:val="14"/>
                <w:szCs w:val="14"/>
              </w:rPr>
              <w:t>358,14</w:t>
            </w:r>
          </w:p>
        </w:tc>
        <w:tc>
          <w:tcPr>
            <w:tcW w:w="1197" w:type="dxa"/>
            <w:tcBorders>
              <w:top w:val="nil"/>
              <w:left w:val="nil"/>
              <w:bottom w:val="single" w:sz="4" w:space="0" w:color="auto"/>
              <w:right w:val="single" w:sz="4" w:space="0" w:color="auto"/>
            </w:tcBorders>
            <w:shd w:val="clear" w:color="000000" w:fill="FFFFFF"/>
            <w:noWrap/>
            <w:vAlign w:val="bottom"/>
            <w:hideMark/>
          </w:tcPr>
          <w:p w14:paraId="593A4204" w14:textId="5804BA51" w:rsidR="00543241" w:rsidRPr="0022028F" w:rsidRDefault="00543241" w:rsidP="00543241">
            <w:pPr>
              <w:jc w:val="right"/>
              <w:rPr>
                <w:rFonts w:ascii="Times New Roman" w:hAnsi="Times New Roman"/>
                <w:sz w:val="14"/>
                <w:szCs w:val="14"/>
              </w:rPr>
            </w:pPr>
            <w:r w:rsidRPr="000D1437">
              <w:rPr>
                <w:sz w:val="14"/>
                <w:szCs w:val="14"/>
              </w:rPr>
              <w:t>358,14</w:t>
            </w:r>
          </w:p>
        </w:tc>
        <w:tc>
          <w:tcPr>
            <w:tcW w:w="1197" w:type="dxa"/>
            <w:tcBorders>
              <w:top w:val="nil"/>
              <w:left w:val="nil"/>
              <w:bottom w:val="single" w:sz="4" w:space="0" w:color="auto"/>
              <w:right w:val="single" w:sz="4" w:space="0" w:color="auto"/>
            </w:tcBorders>
            <w:shd w:val="clear" w:color="000000" w:fill="FFFFFF"/>
            <w:noWrap/>
            <w:vAlign w:val="bottom"/>
            <w:hideMark/>
          </w:tcPr>
          <w:p w14:paraId="2B037D8E" w14:textId="486CA43F" w:rsidR="00543241" w:rsidRPr="0022028F" w:rsidRDefault="00543241" w:rsidP="00543241">
            <w:pPr>
              <w:jc w:val="right"/>
              <w:rPr>
                <w:rFonts w:ascii="Times New Roman" w:hAnsi="Times New Roman"/>
                <w:sz w:val="14"/>
                <w:szCs w:val="14"/>
              </w:rPr>
            </w:pPr>
            <w:r w:rsidRPr="000D1437">
              <w:rPr>
                <w:sz w:val="14"/>
                <w:szCs w:val="14"/>
              </w:rPr>
              <w:t>340,32</w:t>
            </w:r>
          </w:p>
        </w:tc>
        <w:tc>
          <w:tcPr>
            <w:tcW w:w="1183" w:type="dxa"/>
            <w:tcBorders>
              <w:top w:val="nil"/>
              <w:left w:val="nil"/>
              <w:bottom w:val="single" w:sz="4" w:space="0" w:color="auto"/>
              <w:right w:val="single" w:sz="4" w:space="0" w:color="auto"/>
            </w:tcBorders>
            <w:shd w:val="clear" w:color="000000" w:fill="FFFFFF"/>
            <w:noWrap/>
            <w:vAlign w:val="bottom"/>
            <w:hideMark/>
          </w:tcPr>
          <w:p w14:paraId="3FF46BDB" w14:textId="0AE5D12B" w:rsidR="00543241" w:rsidRPr="0022028F" w:rsidRDefault="00543241" w:rsidP="00543241">
            <w:pPr>
              <w:jc w:val="right"/>
              <w:rPr>
                <w:rFonts w:ascii="Times New Roman" w:hAnsi="Times New Roman"/>
                <w:sz w:val="14"/>
                <w:szCs w:val="14"/>
              </w:rPr>
            </w:pPr>
            <w:r w:rsidRPr="000D1437">
              <w:rPr>
                <w:sz w:val="14"/>
                <w:szCs w:val="14"/>
              </w:rPr>
              <w:t>322,14</w:t>
            </w:r>
          </w:p>
        </w:tc>
        <w:tc>
          <w:tcPr>
            <w:tcW w:w="1183" w:type="dxa"/>
            <w:tcBorders>
              <w:top w:val="nil"/>
              <w:left w:val="nil"/>
              <w:bottom w:val="single" w:sz="4" w:space="0" w:color="auto"/>
              <w:right w:val="single" w:sz="4" w:space="0" w:color="auto"/>
            </w:tcBorders>
            <w:shd w:val="clear" w:color="000000" w:fill="FFFFFF"/>
            <w:noWrap/>
            <w:vAlign w:val="bottom"/>
            <w:hideMark/>
          </w:tcPr>
          <w:p w14:paraId="1EDA7E09" w14:textId="2D960EA7" w:rsidR="00543241" w:rsidRPr="0022028F" w:rsidRDefault="00543241" w:rsidP="00543241">
            <w:pPr>
              <w:jc w:val="right"/>
              <w:rPr>
                <w:rFonts w:ascii="Times New Roman" w:hAnsi="Times New Roman"/>
                <w:sz w:val="14"/>
                <w:szCs w:val="14"/>
              </w:rPr>
            </w:pPr>
            <w:r w:rsidRPr="000D1437">
              <w:rPr>
                <w:sz w:val="14"/>
                <w:szCs w:val="14"/>
              </w:rPr>
              <w:t>303,60</w:t>
            </w:r>
          </w:p>
        </w:tc>
        <w:tc>
          <w:tcPr>
            <w:tcW w:w="1197" w:type="dxa"/>
            <w:tcBorders>
              <w:top w:val="nil"/>
              <w:left w:val="nil"/>
              <w:bottom w:val="single" w:sz="4" w:space="0" w:color="auto"/>
              <w:right w:val="single" w:sz="4" w:space="0" w:color="auto"/>
            </w:tcBorders>
            <w:shd w:val="clear" w:color="000000" w:fill="FFFFFF"/>
            <w:vAlign w:val="bottom"/>
          </w:tcPr>
          <w:p w14:paraId="3F21F211" w14:textId="70BCE0B3" w:rsidR="00543241" w:rsidRPr="0022028F" w:rsidRDefault="00543241" w:rsidP="00543241">
            <w:pPr>
              <w:jc w:val="right"/>
              <w:rPr>
                <w:rFonts w:ascii="Times New Roman" w:hAnsi="Times New Roman"/>
                <w:sz w:val="14"/>
                <w:szCs w:val="14"/>
              </w:rPr>
            </w:pPr>
            <w:r w:rsidRPr="000D1437">
              <w:rPr>
                <w:sz w:val="14"/>
                <w:szCs w:val="14"/>
              </w:rPr>
              <w:t>379,00</w:t>
            </w:r>
          </w:p>
        </w:tc>
      </w:tr>
      <w:tr w:rsidR="00543241" w:rsidRPr="00364545" w14:paraId="4822427A"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6673EE22" w14:textId="7102E9ED"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 xml:space="preserve">E. Settlements </w:t>
            </w:r>
          </w:p>
        </w:tc>
        <w:tc>
          <w:tcPr>
            <w:tcW w:w="1198" w:type="dxa"/>
            <w:tcBorders>
              <w:top w:val="nil"/>
              <w:left w:val="nil"/>
              <w:bottom w:val="single" w:sz="4" w:space="0" w:color="auto"/>
              <w:right w:val="single" w:sz="4" w:space="0" w:color="auto"/>
            </w:tcBorders>
            <w:shd w:val="clear" w:color="000000" w:fill="FFFFFF"/>
            <w:noWrap/>
            <w:vAlign w:val="bottom"/>
            <w:hideMark/>
          </w:tcPr>
          <w:p w14:paraId="08838617" w14:textId="19053089" w:rsidR="00543241" w:rsidRPr="0022028F" w:rsidRDefault="00543241" w:rsidP="00543241">
            <w:pPr>
              <w:jc w:val="right"/>
              <w:rPr>
                <w:rFonts w:ascii="Times New Roman" w:hAnsi="Times New Roman"/>
                <w:sz w:val="14"/>
                <w:szCs w:val="14"/>
              </w:rPr>
            </w:pPr>
            <w:r w:rsidRPr="000D1437">
              <w:rPr>
                <w:sz w:val="14"/>
                <w:szCs w:val="14"/>
              </w:rPr>
              <w:t>9091,58</w:t>
            </w:r>
          </w:p>
        </w:tc>
        <w:tc>
          <w:tcPr>
            <w:tcW w:w="1197" w:type="dxa"/>
            <w:tcBorders>
              <w:top w:val="nil"/>
              <w:left w:val="nil"/>
              <w:bottom w:val="single" w:sz="4" w:space="0" w:color="auto"/>
              <w:right w:val="single" w:sz="4" w:space="0" w:color="auto"/>
            </w:tcBorders>
            <w:shd w:val="clear" w:color="000000" w:fill="FFFFFF"/>
            <w:noWrap/>
            <w:vAlign w:val="bottom"/>
            <w:hideMark/>
          </w:tcPr>
          <w:p w14:paraId="38BBDDDF" w14:textId="7723B4D5" w:rsidR="00543241" w:rsidRPr="0022028F" w:rsidRDefault="00543241" w:rsidP="00543241">
            <w:pPr>
              <w:jc w:val="right"/>
              <w:rPr>
                <w:rFonts w:ascii="Times New Roman" w:hAnsi="Times New Roman"/>
                <w:sz w:val="14"/>
                <w:szCs w:val="14"/>
              </w:rPr>
            </w:pPr>
            <w:r w:rsidRPr="000D1437">
              <w:rPr>
                <w:sz w:val="14"/>
                <w:szCs w:val="14"/>
              </w:rPr>
              <w:t>9091,58</w:t>
            </w:r>
          </w:p>
        </w:tc>
        <w:tc>
          <w:tcPr>
            <w:tcW w:w="1197" w:type="dxa"/>
            <w:tcBorders>
              <w:top w:val="nil"/>
              <w:left w:val="nil"/>
              <w:bottom w:val="single" w:sz="4" w:space="0" w:color="auto"/>
              <w:right w:val="single" w:sz="4" w:space="0" w:color="auto"/>
            </w:tcBorders>
            <w:shd w:val="clear" w:color="000000" w:fill="FFFFFF"/>
            <w:noWrap/>
            <w:vAlign w:val="bottom"/>
            <w:hideMark/>
          </w:tcPr>
          <w:p w14:paraId="1A3B92B9" w14:textId="2FDD5102" w:rsidR="00543241" w:rsidRPr="0022028F" w:rsidRDefault="00543241" w:rsidP="00543241">
            <w:pPr>
              <w:jc w:val="right"/>
              <w:rPr>
                <w:rFonts w:ascii="Times New Roman" w:hAnsi="Times New Roman"/>
                <w:sz w:val="14"/>
                <w:szCs w:val="14"/>
              </w:rPr>
            </w:pPr>
            <w:r w:rsidRPr="000D1437">
              <w:rPr>
                <w:sz w:val="14"/>
                <w:szCs w:val="14"/>
              </w:rPr>
              <w:t>9019,09</w:t>
            </w:r>
          </w:p>
        </w:tc>
        <w:tc>
          <w:tcPr>
            <w:tcW w:w="1183" w:type="dxa"/>
            <w:tcBorders>
              <w:top w:val="nil"/>
              <w:left w:val="nil"/>
              <w:bottom w:val="single" w:sz="4" w:space="0" w:color="auto"/>
              <w:right w:val="single" w:sz="4" w:space="0" w:color="auto"/>
            </w:tcBorders>
            <w:shd w:val="clear" w:color="000000" w:fill="FFFFFF"/>
            <w:noWrap/>
            <w:vAlign w:val="bottom"/>
            <w:hideMark/>
          </w:tcPr>
          <w:p w14:paraId="7A788D75" w14:textId="5879767E" w:rsidR="00543241" w:rsidRPr="0022028F" w:rsidRDefault="00543241" w:rsidP="00543241">
            <w:pPr>
              <w:jc w:val="right"/>
              <w:rPr>
                <w:rFonts w:ascii="Times New Roman" w:hAnsi="Times New Roman"/>
                <w:sz w:val="14"/>
                <w:szCs w:val="14"/>
              </w:rPr>
            </w:pPr>
            <w:r w:rsidRPr="000D1437">
              <w:rPr>
                <w:sz w:val="14"/>
                <w:szCs w:val="14"/>
              </w:rPr>
              <w:t>8961,74</w:t>
            </w:r>
          </w:p>
        </w:tc>
        <w:tc>
          <w:tcPr>
            <w:tcW w:w="1183" w:type="dxa"/>
            <w:tcBorders>
              <w:top w:val="nil"/>
              <w:left w:val="nil"/>
              <w:bottom w:val="single" w:sz="4" w:space="0" w:color="auto"/>
              <w:right w:val="single" w:sz="4" w:space="0" w:color="auto"/>
            </w:tcBorders>
            <w:shd w:val="clear" w:color="000000" w:fill="FFFFFF"/>
            <w:noWrap/>
            <w:vAlign w:val="bottom"/>
            <w:hideMark/>
          </w:tcPr>
          <w:p w14:paraId="7DD7C1ED" w14:textId="46C3A587" w:rsidR="00543241" w:rsidRPr="0022028F" w:rsidRDefault="00543241" w:rsidP="00543241">
            <w:pPr>
              <w:jc w:val="right"/>
              <w:rPr>
                <w:rFonts w:ascii="Times New Roman" w:hAnsi="Times New Roman"/>
                <w:sz w:val="14"/>
                <w:szCs w:val="14"/>
              </w:rPr>
            </w:pPr>
            <w:r w:rsidRPr="000D1437">
              <w:rPr>
                <w:sz w:val="14"/>
                <w:szCs w:val="14"/>
              </w:rPr>
              <w:t>8924,17</w:t>
            </w:r>
          </w:p>
        </w:tc>
        <w:tc>
          <w:tcPr>
            <w:tcW w:w="1197" w:type="dxa"/>
            <w:tcBorders>
              <w:top w:val="nil"/>
              <w:left w:val="nil"/>
              <w:bottom w:val="single" w:sz="4" w:space="0" w:color="auto"/>
              <w:right w:val="single" w:sz="4" w:space="0" w:color="auto"/>
            </w:tcBorders>
            <w:shd w:val="clear" w:color="000000" w:fill="FFFFFF"/>
            <w:vAlign w:val="bottom"/>
          </w:tcPr>
          <w:p w14:paraId="5937AE30" w14:textId="5AB1F925" w:rsidR="00543241" w:rsidRPr="0022028F" w:rsidRDefault="00543241" w:rsidP="00543241">
            <w:pPr>
              <w:jc w:val="right"/>
              <w:rPr>
                <w:rFonts w:ascii="Times New Roman" w:hAnsi="Times New Roman"/>
                <w:sz w:val="14"/>
                <w:szCs w:val="14"/>
              </w:rPr>
            </w:pPr>
            <w:r w:rsidRPr="000D1437">
              <w:rPr>
                <w:sz w:val="14"/>
                <w:szCs w:val="14"/>
              </w:rPr>
              <w:t>9416,36</w:t>
            </w:r>
          </w:p>
        </w:tc>
      </w:tr>
      <w:tr w:rsidR="00543241" w:rsidRPr="00364545" w14:paraId="032716D9"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655D1065" w14:textId="17D52F4C"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F. Other land</w:t>
            </w:r>
          </w:p>
        </w:tc>
        <w:tc>
          <w:tcPr>
            <w:tcW w:w="1198" w:type="dxa"/>
            <w:tcBorders>
              <w:top w:val="nil"/>
              <w:left w:val="nil"/>
              <w:bottom w:val="single" w:sz="4" w:space="0" w:color="auto"/>
              <w:right w:val="single" w:sz="4" w:space="0" w:color="auto"/>
            </w:tcBorders>
            <w:shd w:val="clear" w:color="000000" w:fill="FFFFFF"/>
            <w:noWrap/>
            <w:vAlign w:val="bottom"/>
            <w:hideMark/>
          </w:tcPr>
          <w:p w14:paraId="3E4AD6DF" w14:textId="78AFD6C1" w:rsidR="00543241" w:rsidRPr="0022028F"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5821FD3B" w14:textId="0CCEB3E9" w:rsidR="00543241" w:rsidRPr="0022028F"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2AFCA091" w14:textId="70D8A69E" w:rsidR="00543241" w:rsidRPr="0022028F" w:rsidRDefault="00543241" w:rsidP="00543241">
            <w:pPr>
              <w:jc w:val="right"/>
              <w:rPr>
                <w:rFonts w:ascii="Times New Roman" w:hAnsi="Times New Roman"/>
                <w:sz w:val="14"/>
                <w:szCs w:val="14"/>
              </w:rPr>
            </w:pPr>
            <w:r w:rsidRPr="000D1437">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38A8B63D" w14:textId="427CE559" w:rsidR="00543241" w:rsidRPr="0022028F" w:rsidRDefault="00543241" w:rsidP="00543241">
            <w:pPr>
              <w:jc w:val="right"/>
              <w:rPr>
                <w:rFonts w:ascii="Times New Roman" w:hAnsi="Times New Roman"/>
                <w:sz w:val="14"/>
                <w:szCs w:val="14"/>
              </w:rPr>
            </w:pPr>
            <w:r w:rsidRPr="000D1437">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3B641AA7" w14:textId="4C775B2D" w:rsidR="00543241" w:rsidRPr="0022028F"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vAlign w:val="bottom"/>
          </w:tcPr>
          <w:p w14:paraId="0A5F4001" w14:textId="19F1B101" w:rsidR="00543241" w:rsidRPr="0022028F" w:rsidRDefault="00543241" w:rsidP="00543241">
            <w:pPr>
              <w:jc w:val="right"/>
              <w:rPr>
                <w:rFonts w:ascii="Times New Roman" w:hAnsi="Times New Roman"/>
                <w:sz w:val="14"/>
                <w:szCs w:val="14"/>
              </w:rPr>
            </w:pPr>
            <w:r w:rsidRPr="000D1437">
              <w:rPr>
                <w:sz w:val="14"/>
                <w:szCs w:val="14"/>
              </w:rPr>
              <w:t>NO,NA</w:t>
            </w:r>
          </w:p>
        </w:tc>
      </w:tr>
      <w:tr w:rsidR="00543241" w:rsidRPr="00364545" w14:paraId="76ED985F"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DA423F4" w14:textId="6884365F"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G. Harvested wood products</w:t>
            </w:r>
          </w:p>
        </w:tc>
        <w:tc>
          <w:tcPr>
            <w:tcW w:w="1198" w:type="dxa"/>
            <w:tcBorders>
              <w:top w:val="nil"/>
              <w:left w:val="nil"/>
              <w:bottom w:val="single" w:sz="4" w:space="0" w:color="auto"/>
              <w:right w:val="single" w:sz="4" w:space="0" w:color="auto"/>
            </w:tcBorders>
            <w:shd w:val="clear" w:color="000000" w:fill="FFFFFF"/>
            <w:noWrap/>
            <w:vAlign w:val="bottom"/>
            <w:hideMark/>
          </w:tcPr>
          <w:p w14:paraId="6D04060E" w14:textId="68203D2A" w:rsidR="00543241" w:rsidRPr="0022028F" w:rsidRDefault="00543241" w:rsidP="00543241">
            <w:pPr>
              <w:jc w:val="right"/>
              <w:rPr>
                <w:rFonts w:ascii="Times New Roman" w:hAnsi="Times New Roman"/>
                <w:sz w:val="14"/>
                <w:szCs w:val="14"/>
              </w:rPr>
            </w:pPr>
            <w:r w:rsidRPr="000D1437">
              <w:rPr>
                <w:sz w:val="14"/>
                <w:szCs w:val="14"/>
              </w:rPr>
              <w:t>-5100,21</w:t>
            </w:r>
          </w:p>
        </w:tc>
        <w:tc>
          <w:tcPr>
            <w:tcW w:w="1197" w:type="dxa"/>
            <w:tcBorders>
              <w:top w:val="nil"/>
              <w:left w:val="nil"/>
              <w:bottom w:val="single" w:sz="4" w:space="0" w:color="auto"/>
              <w:right w:val="single" w:sz="4" w:space="0" w:color="auto"/>
            </w:tcBorders>
            <w:shd w:val="clear" w:color="000000" w:fill="FFFFFF"/>
            <w:noWrap/>
            <w:vAlign w:val="bottom"/>
            <w:hideMark/>
          </w:tcPr>
          <w:p w14:paraId="4E6943B1" w14:textId="37D7713D" w:rsidR="00543241" w:rsidRPr="0022028F" w:rsidRDefault="00543241" w:rsidP="00543241">
            <w:pPr>
              <w:jc w:val="right"/>
              <w:rPr>
                <w:rFonts w:ascii="Times New Roman" w:hAnsi="Times New Roman"/>
                <w:sz w:val="14"/>
                <w:szCs w:val="14"/>
              </w:rPr>
            </w:pPr>
            <w:r w:rsidRPr="000D1437">
              <w:rPr>
                <w:sz w:val="14"/>
                <w:szCs w:val="14"/>
              </w:rPr>
              <w:t>-5100,21</w:t>
            </w:r>
          </w:p>
        </w:tc>
        <w:tc>
          <w:tcPr>
            <w:tcW w:w="1197" w:type="dxa"/>
            <w:tcBorders>
              <w:top w:val="nil"/>
              <w:left w:val="nil"/>
              <w:bottom w:val="single" w:sz="4" w:space="0" w:color="auto"/>
              <w:right w:val="single" w:sz="4" w:space="0" w:color="auto"/>
            </w:tcBorders>
            <w:shd w:val="clear" w:color="000000" w:fill="FFFFFF"/>
            <w:noWrap/>
            <w:vAlign w:val="bottom"/>
            <w:hideMark/>
          </w:tcPr>
          <w:p w14:paraId="3756B9D7" w14:textId="5F200A19" w:rsidR="00543241" w:rsidRPr="0022028F" w:rsidRDefault="00543241" w:rsidP="00543241">
            <w:pPr>
              <w:jc w:val="right"/>
              <w:rPr>
                <w:rFonts w:ascii="Times New Roman" w:hAnsi="Times New Roman"/>
                <w:sz w:val="14"/>
                <w:szCs w:val="14"/>
              </w:rPr>
            </w:pPr>
            <w:r w:rsidRPr="000D1437">
              <w:rPr>
                <w:sz w:val="14"/>
                <w:szCs w:val="14"/>
              </w:rPr>
              <w:t>-4846,39</w:t>
            </w:r>
          </w:p>
        </w:tc>
        <w:tc>
          <w:tcPr>
            <w:tcW w:w="1183" w:type="dxa"/>
            <w:tcBorders>
              <w:top w:val="nil"/>
              <w:left w:val="nil"/>
              <w:bottom w:val="single" w:sz="4" w:space="0" w:color="auto"/>
              <w:right w:val="single" w:sz="4" w:space="0" w:color="auto"/>
            </w:tcBorders>
            <w:shd w:val="clear" w:color="000000" w:fill="FFFFFF"/>
            <w:noWrap/>
            <w:vAlign w:val="bottom"/>
            <w:hideMark/>
          </w:tcPr>
          <w:p w14:paraId="15242D19" w14:textId="6B305239" w:rsidR="00543241" w:rsidRPr="0022028F" w:rsidRDefault="00543241" w:rsidP="00543241">
            <w:pPr>
              <w:jc w:val="right"/>
              <w:rPr>
                <w:rFonts w:ascii="Times New Roman" w:hAnsi="Times New Roman"/>
                <w:sz w:val="14"/>
                <w:szCs w:val="14"/>
              </w:rPr>
            </w:pPr>
            <w:r w:rsidRPr="000D1437">
              <w:rPr>
                <w:sz w:val="14"/>
                <w:szCs w:val="14"/>
              </w:rPr>
              <w:t>-2921,17</w:t>
            </w:r>
          </w:p>
        </w:tc>
        <w:tc>
          <w:tcPr>
            <w:tcW w:w="1183" w:type="dxa"/>
            <w:tcBorders>
              <w:top w:val="nil"/>
              <w:left w:val="nil"/>
              <w:bottom w:val="single" w:sz="4" w:space="0" w:color="auto"/>
              <w:right w:val="single" w:sz="4" w:space="0" w:color="auto"/>
            </w:tcBorders>
            <w:shd w:val="clear" w:color="000000" w:fill="FFFFFF"/>
            <w:noWrap/>
            <w:vAlign w:val="bottom"/>
            <w:hideMark/>
          </w:tcPr>
          <w:p w14:paraId="27E2D035" w14:textId="37CF3930" w:rsidR="00543241" w:rsidRPr="0022028F" w:rsidRDefault="00543241" w:rsidP="00543241">
            <w:pPr>
              <w:jc w:val="right"/>
              <w:rPr>
                <w:rFonts w:ascii="Times New Roman" w:hAnsi="Times New Roman"/>
                <w:sz w:val="14"/>
                <w:szCs w:val="14"/>
              </w:rPr>
            </w:pPr>
            <w:r w:rsidRPr="000D1437">
              <w:rPr>
                <w:sz w:val="14"/>
                <w:szCs w:val="14"/>
              </w:rPr>
              <w:t>-1774,98</w:t>
            </w:r>
          </w:p>
        </w:tc>
        <w:tc>
          <w:tcPr>
            <w:tcW w:w="1197" w:type="dxa"/>
            <w:tcBorders>
              <w:top w:val="nil"/>
              <w:left w:val="nil"/>
              <w:bottom w:val="single" w:sz="4" w:space="0" w:color="auto"/>
              <w:right w:val="single" w:sz="4" w:space="0" w:color="auto"/>
            </w:tcBorders>
            <w:shd w:val="clear" w:color="000000" w:fill="FFFFFF"/>
            <w:vAlign w:val="bottom"/>
          </w:tcPr>
          <w:p w14:paraId="435A369A" w14:textId="23D1B03E" w:rsidR="00543241" w:rsidRPr="0022028F" w:rsidRDefault="00543241" w:rsidP="00543241">
            <w:pPr>
              <w:jc w:val="right"/>
              <w:rPr>
                <w:rFonts w:ascii="Times New Roman" w:hAnsi="Times New Roman"/>
                <w:sz w:val="14"/>
                <w:szCs w:val="14"/>
              </w:rPr>
            </w:pPr>
            <w:r w:rsidRPr="000D1437">
              <w:rPr>
                <w:sz w:val="14"/>
                <w:szCs w:val="14"/>
              </w:rPr>
              <w:t>-2666,21</w:t>
            </w:r>
          </w:p>
        </w:tc>
      </w:tr>
      <w:tr w:rsidR="00543241" w:rsidRPr="00364545" w14:paraId="0A65740E"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3FB59F8" w14:textId="4115F01A"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H. Other</w:t>
            </w:r>
            <w:r w:rsidRPr="00364545">
              <w:rPr>
                <w:rFonts w:asciiTheme="majorHAnsi" w:hAnsiTheme="majorHAnsi"/>
                <w:i/>
                <w:sz w:val="14"/>
              </w:rPr>
              <w:t xml:space="preserve">   </w:t>
            </w:r>
          </w:p>
        </w:tc>
        <w:tc>
          <w:tcPr>
            <w:tcW w:w="1198" w:type="dxa"/>
            <w:tcBorders>
              <w:top w:val="nil"/>
              <w:left w:val="nil"/>
              <w:bottom w:val="single" w:sz="4" w:space="0" w:color="auto"/>
              <w:right w:val="single" w:sz="4" w:space="0" w:color="auto"/>
            </w:tcBorders>
            <w:shd w:val="clear" w:color="000000" w:fill="FFFFFF"/>
            <w:noWrap/>
            <w:vAlign w:val="bottom"/>
            <w:hideMark/>
          </w:tcPr>
          <w:p w14:paraId="2CB73079" w14:textId="3E631124" w:rsidR="00543241" w:rsidRPr="0022028F"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0ACB6056" w14:textId="79956B04" w:rsidR="00543241" w:rsidRPr="0022028F"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373B7692" w14:textId="74376998" w:rsidR="00543241" w:rsidRPr="0022028F" w:rsidRDefault="00543241" w:rsidP="00543241">
            <w:pPr>
              <w:jc w:val="right"/>
              <w:rPr>
                <w:rFonts w:ascii="Times New Roman" w:hAnsi="Times New Roman"/>
                <w:sz w:val="14"/>
                <w:szCs w:val="14"/>
              </w:rPr>
            </w:pPr>
            <w:r w:rsidRPr="000D1437">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7F4082C5" w14:textId="0CDAD0DA" w:rsidR="00543241" w:rsidRPr="0022028F" w:rsidRDefault="00543241" w:rsidP="00543241">
            <w:pPr>
              <w:jc w:val="right"/>
              <w:rPr>
                <w:rFonts w:ascii="Times New Roman" w:hAnsi="Times New Roman"/>
                <w:sz w:val="14"/>
                <w:szCs w:val="14"/>
              </w:rPr>
            </w:pPr>
            <w:r w:rsidRPr="000D1437">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68E5C78F" w14:textId="418AEC93" w:rsidR="00543241" w:rsidRPr="0022028F"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vAlign w:val="bottom"/>
          </w:tcPr>
          <w:p w14:paraId="5225ACDD" w14:textId="09A291C8" w:rsidR="00543241" w:rsidRPr="0022028F" w:rsidRDefault="00543241" w:rsidP="00543241">
            <w:pPr>
              <w:jc w:val="right"/>
              <w:rPr>
                <w:rFonts w:ascii="Times New Roman" w:hAnsi="Times New Roman"/>
                <w:sz w:val="14"/>
                <w:szCs w:val="14"/>
              </w:rPr>
            </w:pPr>
            <w:r w:rsidRPr="000D1437">
              <w:rPr>
                <w:sz w:val="14"/>
                <w:szCs w:val="14"/>
              </w:rPr>
              <w:t>1034,00</w:t>
            </w:r>
          </w:p>
        </w:tc>
      </w:tr>
      <w:tr w:rsidR="00543241" w:rsidRPr="00364545" w14:paraId="2D75F133"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121E16C" w14:textId="01A8FD9A"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5. Waste</w:t>
            </w:r>
          </w:p>
        </w:tc>
        <w:tc>
          <w:tcPr>
            <w:tcW w:w="1198" w:type="dxa"/>
            <w:tcBorders>
              <w:top w:val="nil"/>
              <w:left w:val="nil"/>
              <w:bottom w:val="single" w:sz="4" w:space="0" w:color="auto"/>
              <w:right w:val="single" w:sz="4" w:space="0" w:color="auto"/>
            </w:tcBorders>
            <w:shd w:val="clear" w:color="000000" w:fill="CCFFFF"/>
            <w:noWrap/>
            <w:vAlign w:val="bottom"/>
            <w:hideMark/>
          </w:tcPr>
          <w:p w14:paraId="3BD1F01C" w14:textId="3CBF58FC" w:rsidR="00543241" w:rsidRPr="0022028F" w:rsidRDefault="00543241" w:rsidP="00543241">
            <w:pPr>
              <w:jc w:val="right"/>
              <w:rPr>
                <w:rFonts w:ascii="Times New Roman" w:hAnsi="Times New Roman"/>
                <w:sz w:val="14"/>
                <w:szCs w:val="14"/>
              </w:rPr>
            </w:pPr>
            <w:r w:rsidRPr="000D1437">
              <w:rPr>
                <w:sz w:val="14"/>
                <w:szCs w:val="14"/>
              </w:rPr>
              <w:t>2194,21</w:t>
            </w:r>
          </w:p>
        </w:tc>
        <w:tc>
          <w:tcPr>
            <w:tcW w:w="1197" w:type="dxa"/>
            <w:tcBorders>
              <w:top w:val="nil"/>
              <w:left w:val="nil"/>
              <w:bottom w:val="single" w:sz="4" w:space="0" w:color="auto"/>
              <w:right w:val="single" w:sz="4" w:space="0" w:color="auto"/>
            </w:tcBorders>
            <w:shd w:val="clear" w:color="000000" w:fill="CCFFFF"/>
            <w:noWrap/>
            <w:vAlign w:val="bottom"/>
            <w:hideMark/>
          </w:tcPr>
          <w:p w14:paraId="7FF53005" w14:textId="13C57F49" w:rsidR="00543241" w:rsidRPr="0022028F" w:rsidRDefault="00543241" w:rsidP="00543241">
            <w:pPr>
              <w:jc w:val="right"/>
              <w:rPr>
                <w:rFonts w:ascii="Times New Roman" w:hAnsi="Times New Roman"/>
                <w:sz w:val="14"/>
                <w:szCs w:val="14"/>
              </w:rPr>
            </w:pPr>
            <w:r w:rsidRPr="000D1437">
              <w:rPr>
                <w:sz w:val="14"/>
                <w:szCs w:val="14"/>
              </w:rPr>
              <w:t>2194,21</w:t>
            </w:r>
          </w:p>
        </w:tc>
        <w:tc>
          <w:tcPr>
            <w:tcW w:w="1197" w:type="dxa"/>
            <w:tcBorders>
              <w:top w:val="nil"/>
              <w:left w:val="nil"/>
              <w:bottom w:val="single" w:sz="4" w:space="0" w:color="auto"/>
              <w:right w:val="single" w:sz="4" w:space="0" w:color="auto"/>
            </w:tcBorders>
            <w:shd w:val="clear" w:color="000000" w:fill="CCFFFF"/>
            <w:noWrap/>
            <w:vAlign w:val="bottom"/>
            <w:hideMark/>
          </w:tcPr>
          <w:p w14:paraId="7C402573" w14:textId="1AB0CECA" w:rsidR="00543241" w:rsidRPr="0022028F" w:rsidRDefault="00543241" w:rsidP="00543241">
            <w:pPr>
              <w:jc w:val="right"/>
              <w:rPr>
                <w:rFonts w:ascii="Times New Roman" w:hAnsi="Times New Roman"/>
                <w:sz w:val="14"/>
                <w:szCs w:val="14"/>
              </w:rPr>
            </w:pPr>
            <w:r w:rsidRPr="000D1437">
              <w:rPr>
                <w:sz w:val="14"/>
                <w:szCs w:val="14"/>
              </w:rPr>
              <w:t>2193,82</w:t>
            </w:r>
          </w:p>
        </w:tc>
        <w:tc>
          <w:tcPr>
            <w:tcW w:w="1183" w:type="dxa"/>
            <w:tcBorders>
              <w:top w:val="nil"/>
              <w:left w:val="nil"/>
              <w:bottom w:val="single" w:sz="4" w:space="0" w:color="auto"/>
              <w:right w:val="single" w:sz="4" w:space="0" w:color="auto"/>
            </w:tcBorders>
            <w:shd w:val="clear" w:color="000000" w:fill="CCFFFF"/>
            <w:noWrap/>
            <w:vAlign w:val="bottom"/>
            <w:hideMark/>
          </w:tcPr>
          <w:p w14:paraId="43E9B3E0" w14:textId="0BF9E8DD" w:rsidR="00543241" w:rsidRPr="0022028F" w:rsidRDefault="00543241" w:rsidP="00543241">
            <w:pPr>
              <w:jc w:val="right"/>
              <w:rPr>
                <w:rFonts w:ascii="Times New Roman" w:hAnsi="Times New Roman"/>
                <w:sz w:val="14"/>
                <w:szCs w:val="14"/>
              </w:rPr>
            </w:pPr>
            <w:r w:rsidRPr="000D1437">
              <w:rPr>
                <w:sz w:val="14"/>
                <w:szCs w:val="14"/>
              </w:rPr>
              <w:t>2234,86</w:t>
            </w:r>
          </w:p>
        </w:tc>
        <w:tc>
          <w:tcPr>
            <w:tcW w:w="1183" w:type="dxa"/>
            <w:tcBorders>
              <w:top w:val="nil"/>
              <w:left w:val="nil"/>
              <w:bottom w:val="single" w:sz="4" w:space="0" w:color="auto"/>
              <w:right w:val="single" w:sz="4" w:space="0" w:color="auto"/>
            </w:tcBorders>
            <w:shd w:val="clear" w:color="000000" w:fill="CCFFFF"/>
            <w:noWrap/>
            <w:vAlign w:val="bottom"/>
            <w:hideMark/>
          </w:tcPr>
          <w:p w14:paraId="77A65F08" w14:textId="0D6712B9" w:rsidR="00543241" w:rsidRPr="0022028F" w:rsidRDefault="00543241" w:rsidP="00543241">
            <w:pPr>
              <w:jc w:val="right"/>
              <w:rPr>
                <w:rFonts w:ascii="Times New Roman" w:hAnsi="Times New Roman"/>
                <w:sz w:val="14"/>
                <w:szCs w:val="14"/>
              </w:rPr>
            </w:pPr>
            <w:r w:rsidRPr="000D1437">
              <w:rPr>
                <w:sz w:val="14"/>
                <w:szCs w:val="14"/>
              </w:rPr>
              <w:t>2221,20</w:t>
            </w:r>
          </w:p>
        </w:tc>
        <w:tc>
          <w:tcPr>
            <w:tcW w:w="1197" w:type="dxa"/>
            <w:tcBorders>
              <w:top w:val="nil"/>
              <w:left w:val="nil"/>
              <w:bottom w:val="single" w:sz="4" w:space="0" w:color="auto"/>
              <w:right w:val="single" w:sz="4" w:space="0" w:color="auto"/>
            </w:tcBorders>
            <w:shd w:val="clear" w:color="000000" w:fill="CCFFFF"/>
            <w:vAlign w:val="bottom"/>
          </w:tcPr>
          <w:p w14:paraId="44989AC3" w14:textId="4645EBAB" w:rsidR="00543241" w:rsidRPr="0022028F" w:rsidRDefault="00543241" w:rsidP="00543241">
            <w:pPr>
              <w:jc w:val="right"/>
              <w:rPr>
                <w:rFonts w:ascii="Times New Roman" w:hAnsi="Times New Roman"/>
                <w:sz w:val="14"/>
                <w:szCs w:val="14"/>
              </w:rPr>
            </w:pPr>
            <w:r w:rsidRPr="000D1437">
              <w:rPr>
                <w:sz w:val="14"/>
                <w:szCs w:val="14"/>
              </w:rPr>
              <w:t>2272,76</w:t>
            </w:r>
          </w:p>
        </w:tc>
      </w:tr>
      <w:tr w:rsidR="00543241" w:rsidRPr="00364545" w14:paraId="0D5E024B"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0B2FA82" w14:textId="4B159C7D"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A. Solid waste disposal</w:t>
            </w:r>
            <w:r w:rsidRPr="00364545">
              <w:rPr>
                <w:rFonts w:asciiTheme="majorHAnsi" w:hAnsiTheme="majorHAnsi"/>
                <w:b/>
                <w:sz w:val="14"/>
              </w:rPr>
              <w:t xml:space="preserve"> </w:t>
            </w:r>
          </w:p>
        </w:tc>
        <w:tc>
          <w:tcPr>
            <w:tcW w:w="1198" w:type="dxa"/>
            <w:tcBorders>
              <w:top w:val="nil"/>
              <w:left w:val="nil"/>
              <w:bottom w:val="single" w:sz="4" w:space="0" w:color="auto"/>
              <w:right w:val="single" w:sz="4" w:space="0" w:color="auto"/>
            </w:tcBorders>
            <w:shd w:val="clear" w:color="000000" w:fill="FFFFFF"/>
            <w:noWrap/>
            <w:vAlign w:val="bottom"/>
            <w:hideMark/>
          </w:tcPr>
          <w:p w14:paraId="0D4123EC" w14:textId="036EDC43" w:rsidR="00543241" w:rsidRPr="0022028F" w:rsidRDefault="00543241" w:rsidP="00543241">
            <w:pPr>
              <w:jc w:val="right"/>
              <w:rPr>
                <w:rFonts w:ascii="Times New Roman" w:hAnsi="Times New Roman"/>
                <w:sz w:val="14"/>
                <w:szCs w:val="14"/>
              </w:rPr>
            </w:pPr>
            <w:r w:rsidRPr="000D1437">
              <w:rPr>
                <w:sz w:val="14"/>
                <w:szCs w:val="14"/>
              </w:rPr>
              <w:t>NA</w:t>
            </w:r>
          </w:p>
        </w:tc>
        <w:tc>
          <w:tcPr>
            <w:tcW w:w="1197" w:type="dxa"/>
            <w:tcBorders>
              <w:top w:val="nil"/>
              <w:left w:val="nil"/>
              <w:bottom w:val="single" w:sz="4" w:space="0" w:color="auto"/>
              <w:right w:val="single" w:sz="4" w:space="0" w:color="auto"/>
            </w:tcBorders>
            <w:shd w:val="clear" w:color="000000" w:fill="FFFFFF"/>
            <w:noWrap/>
            <w:vAlign w:val="bottom"/>
            <w:hideMark/>
          </w:tcPr>
          <w:p w14:paraId="170BCE48" w14:textId="4F04A159" w:rsidR="00543241" w:rsidRPr="0022028F" w:rsidRDefault="00543241" w:rsidP="00543241">
            <w:pPr>
              <w:jc w:val="right"/>
              <w:rPr>
                <w:rFonts w:ascii="Times New Roman" w:hAnsi="Times New Roman"/>
                <w:sz w:val="14"/>
                <w:szCs w:val="14"/>
              </w:rPr>
            </w:pPr>
            <w:r w:rsidRPr="000D1437">
              <w:rPr>
                <w:sz w:val="14"/>
                <w:szCs w:val="14"/>
              </w:rPr>
              <w:t>NA</w:t>
            </w:r>
          </w:p>
        </w:tc>
        <w:tc>
          <w:tcPr>
            <w:tcW w:w="1197" w:type="dxa"/>
            <w:tcBorders>
              <w:top w:val="nil"/>
              <w:left w:val="nil"/>
              <w:bottom w:val="single" w:sz="4" w:space="0" w:color="auto"/>
              <w:right w:val="single" w:sz="4" w:space="0" w:color="auto"/>
            </w:tcBorders>
            <w:shd w:val="clear" w:color="000000" w:fill="FFFFFF"/>
            <w:noWrap/>
            <w:vAlign w:val="bottom"/>
            <w:hideMark/>
          </w:tcPr>
          <w:p w14:paraId="3AF566D0" w14:textId="7FAEB735" w:rsidR="00543241" w:rsidRPr="0022028F" w:rsidRDefault="00543241" w:rsidP="00543241">
            <w:pPr>
              <w:jc w:val="right"/>
              <w:rPr>
                <w:rFonts w:ascii="Times New Roman" w:hAnsi="Times New Roman"/>
                <w:sz w:val="14"/>
                <w:szCs w:val="14"/>
              </w:rPr>
            </w:pPr>
            <w:r w:rsidRPr="000D1437">
              <w:rPr>
                <w:sz w:val="14"/>
                <w:szCs w:val="14"/>
              </w:rPr>
              <w:t>NA</w:t>
            </w:r>
          </w:p>
        </w:tc>
        <w:tc>
          <w:tcPr>
            <w:tcW w:w="1183" w:type="dxa"/>
            <w:tcBorders>
              <w:top w:val="nil"/>
              <w:left w:val="nil"/>
              <w:bottom w:val="single" w:sz="4" w:space="0" w:color="auto"/>
              <w:right w:val="single" w:sz="4" w:space="0" w:color="auto"/>
            </w:tcBorders>
            <w:shd w:val="clear" w:color="000000" w:fill="FFFFFF"/>
            <w:noWrap/>
            <w:vAlign w:val="bottom"/>
            <w:hideMark/>
          </w:tcPr>
          <w:p w14:paraId="73761E6A" w14:textId="6CB77153" w:rsidR="00543241" w:rsidRPr="0022028F" w:rsidRDefault="00543241" w:rsidP="00543241">
            <w:pPr>
              <w:jc w:val="right"/>
              <w:rPr>
                <w:rFonts w:ascii="Times New Roman" w:hAnsi="Times New Roman"/>
                <w:sz w:val="14"/>
                <w:szCs w:val="14"/>
              </w:rPr>
            </w:pPr>
            <w:r w:rsidRPr="000D1437">
              <w:rPr>
                <w:sz w:val="14"/>
                <w:szCs w:val="14"/>
              </w:rPr>
              <w:t>NA</w:t>
            </w:r>
          </w:p>
        </w:tc>
        <w:tc>
          <w:tcPr>
            <w:tcW w:w="1183" w:type="dxa"/>
            <w:tcBorders>
              <w:top w:val="nil"/>
              <w:left w:val="nil"/>
              <w:bottom w:val="single" w:sz="4" w:space="0" w:color="auto"/>
              <w:right w:val="single" w:sz="4" w:space="0" w:color="auto"/>
            </w:tcBorders>
            <w:shd w:val="clear" w:color="000000" w:fill="FFFFFF"/>
            <w:noWrap/>
            <w:vAlign w:val="bottom"/>
            <w:hideMark/>
          </w:tcPr>
          <w:p w14:paraId="1579B515" w14:textId="54836DC5" w:rsidR="00543241" w:rsidRPr="0022028F" w:rsidRDefault="00543241" w:rsidP="00543241">
            <w:pPr>
              <w:jc w:val="right"/>
              <w:rPr>
                <w:rFonts w:ascii="Times New Roman" w:hAnsi="Times New Roman"/>
                <w:sz w:val="14"/>
                <w:szCs w:val="14"/>
              </w:rPr>
            </w:pPr>
            <w:r w:rsidRPr="000D1437">
              <w:rPr>
                <w:sz w:val="14"/>
                <w:szCs w:val="14"/>
              </w:rPr>
              <w:t>NA</w:t>
            </w:r>
          </w:p>
        </w:tc>
        <w:tc>
          <w:tcPr>
            <w:tcW w:w="1197" w:type="dxa"/>
            <w:tcBorders>
              <w:top w:val="nil"/>
              <w:left w:val="nil"/>
              <w:bottom w:val="single" w:sz="4" w:space="0" w:color="auto"/>
              <w:right w:val="single" w:sz="4" w:space="0" w:color="auto"/>
            </w:tcBorders>
            <w:shd w:val="clear" w:color="000000" w:fill="FFFFFF"/>
            <w:vAlign w:val="bottom"/>
          </w:tcPr>
          <w:p w14:paraId="7924A1BF" w14:textId="5116F8B4" w:rsidR="00543241" w:rsidRPr="0022028F" w:rsidRDefault="00543241" w:rsidP="00543241">
            <w:pPr>
              <w:jc w:val="right"/>
              <w:rPr>
                <w:rFonts w:ascii="Times New Roman" w:hAnsi="Times New Roman"/>
                <w:sz w:val="14"/>
                <w:szCs w:val="14"/>
              </w:rPr>
            </w:pPr>
            <w:r w:rsidRPr="000D1437">
              <w:rPr>
                <w:sz w:val="14"/>
                <w:szCs w:val="14"/>
              </w:rPr>
              <w:t>NA</w:t>
            </w:r>
          </w:p>
        </w:tc>
      </w:tr>
      <w:tr w:rsidR="00543241" w:rsidRPr="00364545" w14:paraId="107A145B"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6A8AABEB" w14:textId="17215350"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B. Biological treatment of solid waste</w:t>
            </w:r>
          </w:p>
        </w:tc>
        <w:tc>
          <w:tcPr>
            <w:tcW w:w="1198" w:type="dxa"/>
            <w:tcBorders>
              <w:top w:val="nil"/>
              <w:left w:val="nil"/>
              <w:bottom w:val="single" w:sz="4" w:space="0" w:color="auto"/>
              <w:right w:val="single" w:sz="4" w:space="0" w:color="auto"/>
            </w:tcBorders>
            <w:shd w:val="clear" w:color="000000" w:fill="FFFFFF"/>
            <w:noWrap/>
            <w:vAlign w:val="bottom"/>
            <w:hideMark/>
          </w:tcPr>
          <w:p w14:paraId="64F24ACF" w14:textId="794FFEEF"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E2CCB61" w14:textId="0CF40619"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57831C75" w14:textId="089A9685"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BE794A3" w14:textId="2D8D30F4"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E3E0CC7" w14:textId="1C9BC2CE"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0D7D06C9" w14:textId="1E8D1B3A"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0811CB9"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66B978A" w14:textId="7485D237"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C. Incineration and open burning of waste</w:t>
            </w:r>
          </w:p>
        </w:tc>
        <w:tc>
          <w:tcPr>
            <w:tcW w:w="1198" w:type="dxa"/>
            <w:tcBorders>
              <w:top w:val="nil"/>
              <w:left w:val="nil"/>
              <w:bottom w:val="single" w:sz="4" w:space="0" w:color="auto"/>
              <w:right w:val="single" w:sz="4" w:space="0" w:color="auto"/>
            </w:tcBorders>
            <w:shd w:val="clear" w:color="000000" w:fill="FFFFFF"/>
            <w:noWrap/>
            <w:vAlign w:val="bottom"/>
            <w:hideMark/>
          </w:tcPr>
          <w:p w14:paraId="58A1509D" w14:textId="265A3100" w:rsidR="00543241" w:rsidRPr="0022028F" w:rsidRDefault="00543241" w:rsidP="00543241">
            <w:pPr>
              <w:jc w:val="right"/>
              <w:rPr>
                <w:rFonts w:ascii="Times New Roman" w:hAnsi="Times New Roman"/>
                <w:sz w:val="14"/>
                <w:szCs w:val="14"/>
              </w:rPr>
            </w:pPr>
            <w:r w:rsidRPr="000D1437">
              <w:rPr>
                <w:sz w:val="14"/>
                <w:szCs w:val="14"/>
              </w:rPr>
              <w:t>2194,21</w:t>
            </w:r>
          </w:p>
        </w:tc>
        <w:tc>
          <w:tcPr>
            <w:tcW w:w="1197" w:type="dxa"/>
            <w:tcBorders>
              <w:top w:val="nil"/>
              <w:left w:val="nil"/>
              <w:bottom w:val="single" w:sz="4" w:space="0" w:color="auto"/>
              <w:right w:val="single" w:sz="4" w:space="0" w:color="auto"/>
            </w:tcBorders>
            <w:shd w:val="clear" w:color="000000" w:fill="FFFFFF"/>
            <w:noWrap/>
            <w:vAlign w:val="bottom"/>
            <w:hideMark/>
          </w:tcPr>
          <w:p w14:paraId="3F9E7BD0" w14:textId="6D1697ED" w:rsidR="00543241" w:rsidRPr="0022028F" w:rsidRDefault="00543241" w:rsidP="00543241">
            <w:pPr>
              <w:jc w:val="right"/>
              <w:rPr>
                <w:rFonts w:ascii="Times New Roman" w:hAnsi="Times New Roman"/>
                <w:sz w:val="14"/>
                <w:szCs w:val="14"/>
              </w:rPr>
            </w:pPr>
            <w:r w:rsidRPr="000D1437">
              <w:rPr>
                <w:sz w:val="14"/>
                <w:szCs w:val="14"/>
              </w:rPr>
              <w:t>2194,21</w:t>
            </w:r>
          </w:p>
        </w:tc>
        <w:tc>
          <w:tcPr>
            <w:tcW w:w="1197" w:type="dxa"/>
            <w:tcBorders>
              <w:top w:val="nil"/>
              <w:left w:val="nil"/>
              <w:bottom w:val="single" w:sz="4" w:space="0" w:color="auto"/>
              <w:right w:val="single" w:sz="4" w:space="0" w:color="auto"/>
            </w:tcBorders>
            <w:shd w:val="clear" w:color="000000" w:fill="FFFFFF"/>
            <w:noWrap/>
            <w:vAlign w:val="bottom"/>
            <w:hideMark/>
          </w:tcPr>
          <w:p w14:paraId="3E00C02A" w14:textId="16CF5184" w:rsidR="00543241" w:rsidRPr="0022028F" w:rsidRDefault="00543241" w:rsidP="00543241">
            <w:pPr>
              <w:jc w:val="right"/>
              <w:rPr>
                <w:rFonts w:ascii="Times New Roman" w:hAnsi="Times New Roman"/>
                <w:sz w:val="14"/>
                <w:szCs w:val="14"/>
              </w:rPr>
            </w:pPr>
            <w:r w:rsidRPr="000D1437">
              <w:rPr>
                <w:sz w:val="14"/>
                <w:szCs w:val="14"/>
              </w:rPr>
              <w:t>2193,82</w:t>
            </w:r>
          </w:p>
        </w:tc>
        <w:tc>
          <w:tcPr>
            <w:tcW w:w="1183" w:type="dxa"/>
            <w:tcBorders>
              <w:top w:val="nil"/>
              <w:left w:val="nil"/>
              <w:bottom w:val="single" w:sz="4" w:space="0" w:color="auto"/>
              <w:right w:val="single" w:sz="4" w:space="0" w:color="auto"/>
            </w:tcBorders>
            <w:shd w:val="clear" w:color="000000" w:fill="FFFFFF"/>
            <w:noWrap/>
            <w:vAlign w:val="bottom"/>
            <w:hideMark/>
          </w:tcPr>
          <w:p w14:paraId="3DD8F0C9" w14:textId="2A76F684" w:rsidR="00543241" w:rsidRPr="0022028F" w:rsidRDefault="00543241" w:rsidP="00543241">
            <w:pPr>
              <w:jc w:val="right"/>
              <w:rPr>
                <w:rFonts w:ascii="Times New Roman" w:hAnsi="Times New Roman"/>
                <w:sz w:val="14"/>
                <w:szCs w:val="14"/>
              </w:rPr>
            </w:pPr>
            <w:r w:rsidRPr="000D1437">
              <w:rPr>
                <w:sz w:val="14"/>
                <w:szCs w:val="14"/>
              </w:rPr>
              <w:t>2234,86</w:t>
            </w:r>
          </w:p>
        </w:tc>
        <w:tc>
          <w:tcPr>
            <w:tcW w:w="1183" w:type="dxa"/>
            <w:tcBorders>
              <w:top w:val="nil"/>
              <w:left w:val="nil"/>
              <w:bottom w:val="single" w:sz="4" w:space="0" w:color="auto"/>
              <w:right w:val="single" w:sz="4" w:space="0" w:color="auto"/>
            </w:tcBorders>
            <w:shd w:val="clear" w:color="000000" w:fill="FFFFFF"/>
            <w:noWrap/>
            <w:vAlign w:val="bottom"/>
            <w:hideMark/>
          </w:tcPr>
          <w:p w14:paraId="469A2D94" w14:textId="30DBFD52" w:rsidR="00543241" w:rsidRPr="0022028F" w:rsidRDefault="00543241" w:rsidP="00543241">
            <w:pPr>
              <w:jc w:val="right"/>
              <w:rPr>
                <w:rFonts w:ascii="Times New Roman" w:hAnsi="Times New Roman"/>
                <w:sz w:val="14"/>
                <w:szCs w:val="14"/>
              </w:rPr>
            </w:pPr>
            <w:r w:rsidRPr="000D1437">
              <w:rPr>
                <w:sz w:val="14"/>
                <w:szCs w:val="14"/>
              </w:rPr>
              <w:t>2221,20</w:t>
            </w:r>
          </w:p>
        </w:tc>
        <w:tc>
          <w:tcPr>
            <w:tcW w:w="1197" w:type="dxa"/>
            <w:tcBorders>
              <w:top w:val="nil"/>
              <w:left w:val="nil"/>
              <w:bottom w:val="single" w:sz="4" w:space="0" w:color="auto"/>
              <w:right w:val="single" w:sz="4" w:space="0" w:color="auto"/>
            </w:tcBorders>
            <w:shd w:val="clear" w:color="000000" w:fill="FFFFFF"/>
            <w:vAlign w:val="bottom"/>
          </w:tcPr>
          <w:p w14:paraId="23D36973" w14:textId="029204B1" w:rsidR="00543241" w:rsidRPr="0022028F" w:rsidRDefault="00543241" w:rsidP="00543241">
            <w:pPr>
              <w:jc w:val="right"/>
              <w:rPr>
                <w:rFonts w:ascii="Times New Roman" w:hAnsi="Times New Roman"/>
                <w:sz w:val="14"/>
                <w:szCs w:val="14"/>
              </w:rPr>
            </w:pPr>
            <w:r w:rsidRPr="000D1437">
              <w:rPr>
                <w:sz w:val="14"/>
                <w:szCs w:val="14"/>
              </w:rPr>
              <w:t>2272,76</w:t>
            </w:r>
          </w:p>
        </w:tc>
      </w:tr>
      <w:tr w:rsidR="00543241" w:rsidRPr="00364545" w14:paraId="606E080C"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437A4AB" w14:textId="4CDE83FD"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D. Waste water treatment and discharge</w:t>
            </w:r>
          </w:p>
        </w:tc>
        <w:tc>
          <w:tcPr>
            <w:tcW w:w="1198" w:type="dxa"/>
            <w:tcBorders>
              <w:top w:val="nil"/>
              <w:left w:val="nil"/>
              <w:bottom w:val="single" w:sz="4" w:space="0" w:color="auto"/>
              <w:right w:val="single" w:sz="4" w:space="0" w:color="auto"/>
            </w:tcBorders>
            <w:shd w:val="clear" w:color="000000" w:fill="FFFFFF"/>
            <w:noWrap/>
            <w:vAlign w:val="bottom"/>
            <w:hideMark/>
          </w:tcPr>
          <w:p w14:paraId="15B52E8F" w14:textId="36CA9BDF"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62C7DB52" w14:textId="15CA7BE1"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2835BB8C" w14:textId="13FF2442"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3068ACC6" w14:textId="3E1EB053"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3AB8E346" w14:textId="3A5F2A68"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61F3C8DF" w14:textId="6FEAB1D8"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ACEEC08"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837A9EB" w14:textId="0F7A4C11" w:rsidR="00543241" w:rsidRPr="00364545" w:rsidRDefault="00543241" w:rsidP="00543241">
            <w:pPr>
              <w:ind w:firstLineChars="200" w:firstLine="280"/>
              <w:jc w:val="left"/>
              <w:rPr>
                <w:rFonts w:asciiTheme="majorHAnsi" w:hAnsiTheme="majorHAnsi"/>
                <w:sz w:val="14"/>
                <w:szCs w:val="16"/>
              </w:rPr>
            </w:pPr>
            <w:r w:rsidRPr="00364545">
              <w:rPr>
                <w:rFonts w:asciiTheme="majorHAnsi" w:hAnsiTheme="majorHAnsi"/>
                <w:sz w:val="14"/>
              </w:rPr>
              <w:t>E. Other</w:t>
            </w:r>
            <w:r w:rsidRPr="00364545">
              <w:rPr>
                <w:rFonts w:asciiTheme="majorHAnsi" w:hAnsiTheme="majorHAnsi"/>
                <w:b/>
                <w:i/>
                <w:sz w:val="14"/>
              </w:rPr>
              <w:t xml:space="preserve"> </w:t>
            </w:r>
          </w:p>
        </w:tc>
        <w:tc>
          <w:tcPr>
            <w:tcW w:w="1198" w:type="dxa"/>
            <w:tcBorders>
              <w:top w:val="nil"/>
              <w:left w:val="nil"/>
              <w:bottom w:val="single" w:sz="4" w:space="0" w:color="auto"/>
              <w:right w:val="single" w:sz="4" w:space="0" w:color="auto"/>
            </w:tcBorders>
            <w:shd w:val="clear" w:color="000000" w:fill="FFFFFF"/>
            <w:noWrap/>
            <w:vAlign w:val="bottom"/>
            <w:hideMark/>
          </w:tcPr>
          <w:p w14:paraId="0A7E9C5A" w14:textId="19B5920C" w:rsidR="00543241" w:rsidRPr="0022028F"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3640E577" w14:textId="65B0A375" w:rsidR="00543241" w:rsidRPr="0022028F"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72AFC59E" w14:textId="447BBC2F" w:rsidR="00543241" w:rsidRPr="0022028F" w:rsidRDefault="00543241" w:rsidP="00543241">
            <w:pPr>
              <w:jc w:val="right"/>
              <w:rPr>
                <w:rFonts w:ascii="Times New Roman" w:hAnsi="Times New Roman"/>
                <w:sz w:val="14"/>
                <w:szCs w:val="14"/>
              </w:rPr>
            </w:pPr>
            <w:r w:rsidRPr="000D1437">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5C3D31DD" w14:textId="59EF3A81" w:rsidR="00543241" w:rsidRPr="0022028F" w:rsidRDefault="00543241" w:rsidP="00543241">
            <w:pPr>
              <w:jc w:val="right"/>
              <w:rPr>
                <w:rFonts w:ascii="Times New Roman" w:hAnsi="Times New Roman"/>
                <w:sz w:val="14"/>
                <w:szCs w:val="14"/>
              </w:rPr>
            </w:pPr>
            <w:r w:rsidRPr="000D1437">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32AEC1AE" w14:textId="49A44220" w:rsidR="00543241" w:rsidRPr="0022028F"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FFFFFF"/>
            <w:vAlign w:val="bottom"/>
          </w:tcPr>
          <w:p w14:paraId="7548F43E" w14:textId="3D89A89B" w:rsidR="00543241" w:rsidRPr="0022028F" w:rsidRDefault="00543241" w:rsidP="00543241">
            <w:pPr>
              <w:jc w:val="right"/>
              <w:rPr>
                <w:rFonts w:ascii="Times New Roman" w:hAnsi="Times New Roman"/>
                <w:sz w:val="14"/>
                <w:szCs w:val="14"/>
              </w:rPr>
            </w:pPr>
            <w:r w:rsidRPr="000D1437">
              <w:rPr>
                <w:sz w:val="14"/>
                <w:szCs w:val="14"/>
              </w:rPr>
              <w:t>NO</w:t>
            </w:r>
          </w:p>
        </w:tc>
      </w:tr>
      <w:tr w:rsidR="00543241" w:rsidRPr="00364545" w14:paraId="248B9D7F"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F41ABF9" w14:textId="61C4E2C5"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 xml:space="preserve">6. Other </w:t>
            </w:r>
            <w:r w:rsidRPr="00364545">
              <w:rPr>
                <w:rFonts w:asciiTheme="majorHAnsi" w:hAnsiTheme="majorHAnsi"/>
                <w:b/>
                <w:i/>
                <w:sz w:val="14"/>
              </w:rPr>
              <w:t>(as specified in summary 1.A)</w:t>
            </w:r>
          </w:p>
        </w:tc>
        <w:tc>
          <w:tcPr>
            <w:tcW w:w="1198" w:type="dxa"/>
            <w:tcBorders>
              <w:top w:val="nil"/>
              <w:left w:val="nil"/>
              <w:bottom w:val="single" w:sz="4" w:space="0" w:color="auto"/>
              <w:right w:val="single" w:sz="4" w:space="0" w:color="auto"/>
            </w:tcBorders>
            <w:shd w:val="clear" w:color="000000" w:fill="CCFFFF"/>
            <w:noWrap/>
            <w:vAlign w:val="bottom"/>
            <w:hideMark/>
          </w:tcPr>
          <w:p w14:paraId="556F4AB8" w14:textId="65161A1F" w:rsidR="00543241" w:rsidRPr="0022028F"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CCFFFF"/>
            <w:noWrap/>
            <w:vAlign w:val="bottom"/>
            <w:hideMark/>
          </w:tcPr>
          <w:p w14:paraId="299257D3" w14:textId="1BF512F9" w:rsidR="00543241" w:rsidRPr="0022028F"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CCFFFF"/>
            <w:noWrap/>
            <w:vAlign w:val="bottom"/>
            <w:hideMark/>
          </w:tcPr>
          <w:p w14:paraId="6E401177" w14:textId="23E589AA" w:rsidR="00543241" w:rsidRPr="0022028F" w:rsidRDefault="00543241" w:rsidP="00543241">
            <w:pPr>
              <w:jc w:val="right"/>
              <w:rPr>
                <w:rFonts w:ascii="Times New Roman" w:hAnsi="Times New Roman"/>
                <w:sz w:val="14"/>
                <w:szCs w:val="14"/>
              </w:rPr>
            </w:pPr>
            <w:r w:rsidRPr="000D1437">
              <w:rPr>
                <w:sz w:val="14"/>
                <w:szCs w:val="14"/>
              </w:rPr>
              <w:t>NO</w:t>
            </w:r>
          </w:p>
        </w:tc>
        <w:tc>
          <w:tcPr>
            <w:tcW w:w="1183" w:type="dxa"/>
            <w:tcBorders>
              <w:top w:val="nil"/>
              <w:left w:val="nil"/>
              <w:bottom w:val="single" w:sz="4" w:space="0" w:color="auto"/>
              <w:right w:val="single" w:sz="4" w:space="0" w:color="auto"/>
            </w:tcBorders>
            <w:shd w:val="clear" w:color="000000" w:fill="CCFFFF"/>
            <w:noWrap/>
            <w:vAlign w:val="bottom"/>
            <w:hideMark/>
          </w:tcPr>
          <w:p w14:paraId="2AEAFDF0" w14:textId="37DF02DE" w:rsidR="00543241" w:rsidRPr="0022028F" w:rsidRDefault="00543241" w:rsidP="00543241">
            <w:pPr>
              <w:jc w:val="right"/>
              <w:rPr>
                <w:rFonts w:ascii="Times New Roman" w:hAnsi="Times New Roman"/>
                <w:sz w:val="14"/>
                <w:szCs w:val="14"/>
              </w:rPr>
            </w:pPr>
            <w:r w:rsidRPr="000D1437">
              <w:rPr>
                <w:sz w:val="14"/>
                <w:szCs w:val="14"/>
              </w:rPr>
              <w:t>NO</w:t>
            </w:r>
          </w:p>
        </w:tc>
        <w:tc>
          <w:tcPr>
            <w:tcW w:w="1183" w:type="dxa"/>
            <w:tcBorders>
              <w:top w:val="nil"/>
              <w:left w:val="nil"/>
              <w:bottom w:val="single" w:sz="4" w:space="0" w:color="auto"/>
              <w:right w:val="single" w:sz="4" w:space="0" w:color="auto"/>
            </w:tcBorders>
            <w:shd w:val="clear" w:color="000000" w:fill="CCFFFF"/>
            <w:noWrap/>
            <w:vAlign w:val="bottom"/>
            <w:hideMark/>
          </w:tcPr>
          <w:p w14:paraId="141CB5D5" w14:textId="017DDCC3" w:rsidR="00543241" w:rsidRPr="0022028F" w:rsidRDefault="00543241" w:rsidP="00543241">
            <w:pPr>
              <w:jc w:val="right"/>
              <w:rPr>
                <w:rFonts w:ascii="Times New Roman" w:hAnsi="Times New Roman"/>
                <w:sz w:val="14"/>
                <w:szCs w:val="14"/>
              </w:rPr>
            </w:pPr>
            <w:r w:rsidRPr="000D1437">
              <w:rPr>
                <w:sz w:val="14"/>
                <w:szCs w:val="14"/>
              </w:rPr>
              <w:t>NO</w:t>
            </w:r>
          </w:p>
        </w:tc>
        <w:tc>
          <w:tcPr>
            <w:tcW w:w="1197" w:type="dxa"/>
            <w:tcBorders>
              <w:top w:val="nil"/>
              <w:left w:val="nil"/>
              <w:bottom w:val="single" w:sz="4" w:space="0" w:color="auto"/>
              <w:right w:val="single" w:sz="4" w:space="0" w:color="auto"/>
            </w:tcBorders>
            <w:shd w:val="clear" w:color="000000" w:fill="CCFFFF"/>
            <w:vAlign w:val="bottom"/>
          </w:tcPr>
          <w:p w14:paraId="2C787775" w14:textId="548ADDB6" w:rsidR="00543241" w:rsidRPr="0022028F" w:rsidRDefault="00543241" w:rsidP="00543241">
            <w:pPr>
              <w:jc w:val="right"/>
              <w:rPr>
                <w:rFonts w:ascii="Times New Roman" w:hAnsi="Times New Roman"/>
                <w:sz w:val="14"/>
                <w:szCs w:val="14"/>
              </w:rPr>
            </w:pPr>
            <w:r w:rsidRPr="000D1437">
              <w:rPr>
                <w:sz w:val="14"/>
                <w:szCs w:val="14"/>
              </w:rPr>
              <w:t>NO</w:t>
            </w:r>
          </w:p>
        </w:tc>
      </w:tr>
      <w:tr w:rsidR="00543241" w:rsidRPr="00364545" w14:paraId="46391492"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B25CA62" w14:textId="77777777"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Memo items:</w:t>
            </w:r>
          </w:p>
        </w:tc>
        <w:tc>
          <w:tcPr>
            <w:tcW w:w="1198" w:type="dxa"/>
            <w:tcBorders>
              <w:top w:val="nil"/>
              <w:left w:val="nil"/>
              <w:bottom w:val="single" w:sz="4" w:space="0" w:color="auto"/>
              <w:right w:val="single" w:sz="4" w:space="0" w:color="auto"/>
            </w:tcBorders>
            <w:shd w:val="clear" w:color="000000" w:fill="969696"/>
            <w:noWrap/>
            <w:vAlign w:val="bottom"/>
            <w:hideMark/>
          </w:tcPr>
          <w:p w14:paraId="13D1E2C0" w14:textId="6E6863C9"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969696"/>
            <w:noWrap/>
            <w:vAlign w:val="bottom"/>
            <w:hideMark/>
          </w:tcPr>
          <w:p w14:paraId="75F4AEB9" w14:textId="35C90510"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969696"/>
            <w:noWrap/>
            <w:vAlign w:val="bottom"/>
            <w:hideMark/>
          </w:tcPr>
          <w:p w14:paraId="46DFDA48" w14:textId="7BD41824"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969696"/>
            <w:noWrap/>
            <w:vAlign w:val="bottom"/>
            <w:hideMark/>
          </w:tcPr>
          <w:p w14:paraId="14C5C55D" w14:textId="12AF1B69"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969696"/>
            <w:noWrap/>
            <w:vAlign w:val="bottom"/>
            <w:hideMark/>
          </w:tcPr>
          <w:p w14:paraId="02314606" w14:textId="62BB4836"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969696"/>
            <w:vAlign w:val="bottom"/>
          </w:tcPr>
          <w:p w14:paraId="3758015D" w14:textId="45CE1AE1"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328B1951"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6D6EFF8" w14:textId="77777777"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International bunkers</w:t>
            </w:r>
          </w:p>
        </w:tc>
        <w:tc>
          <w:tcPr>
            <w:tcW w:w="1198" w:type="dxa"/>
            <w:tcBorders>
              <w:top w:val="nil"/>
              <w:left w:val="nil"/>
              <w:bottom w:val="single" w:sz="4" w:space="0" w:color="auto"/>
              <w:right w:val="single" w:sz="4" w:space="0" w:color="auto"/>
            </w:tcBorders>
            <w:shd w:val="clear" w:color="000000" w:fill="CCFFFF"/>
            <w:noWrap/>
            <w:vAlign w:val="bottom"/>
            <w:hideMark/>
          </w:tcPr>
          <w:p w14:paraId="4EC0C925" w14:textId="0EEA0CB9" w:rsidR="00543241" w:rsidRPr="0022028F" w:rsidRDefault="00543241" w:rsidP="00543241">
            <w:pPr>
              <w:jc w:val="right"/>
              <w:rPr>
                <w:rFonts w:ascii="Times New Roman" w:hAnsi="Times New Roman"/>
                <w:sz w:val="14"/>
                <w:szCs w:val="14"/>
              </w:rPr>
            </w:pPr>
            <w:r w:rsidRPr="000D1437">
              <w:rPr>
                <w:sz w:val="14"/>
                <w:szCs w:val="14"/>
              </w:rPr>
              <w:t>16765,94</w:t>
            </w:r>
          </w:p>
        </w:tc>
        <w:tc>
          <w:tcPr>
            <w:tcW w:w="1197" w:type="dxa"/>
            <w:tcBorders>
              <w:top w:val="nil"/>
              <w:left w:val="nil"/>
              <w:bottom w:val="single" w:sz="4" w:space="0" w:color="auto"/>
              <w:right w:val="single" w:sz="4" w:space="0" w:color="auto"/>
            </w:tcBorders>
            <w:shd w:val="clear" w:color="000000" w:fill="CCFFFF"/>
            <w:noWrap/>
            <w:vAlign w:val="bottom"/>
            <w:hideMark/>
          </w:tcPr>
          <w:p w14:paraId="54F1784B" w14:textId="43F6C6A9" w:rsidR="00543241" w:rsidRPr="0022028F" w:rsidRDefault="00543241" w:rsidP="00543241">
            <w:pPr>
              <w:jc w:val="right"/>
              <w:rPr>
                <w:rFonts w:ascii="Times New Roman" w:hAnsi="Times New Roman"/>
                <w:sz w:val="14"/>
                <w:szCs w:val="14"/>
              </w:rPr>
            </w:pPr>
            <w:r w:rsidRPr="000D1437">
              <w:rPr>
                <w:sz w:val="14"/>
                <w:szCs w:val="14"/>
              </w:rPr>
              <w:t>16765,94</w:t>
            </w:r>
          </w:p>
        </w:tc>
        <w:tc>
          <w:tcPr>
            <w:tcW w:w="1197" w:type="dxa"/>
            <w:tcBorders>
              <w:top w:val="nil"/>
              <w:left w:val="nil"/>
              <w:bottom w:val="single" w:sz="4" w:space="0" w:color="auto"/>
              <w:right w:val="single" w:sz="4" w:space="0" w:color="auto"/>
            </w:tcBorders>
            <w:shd w:val="clear" w:color="000000" w:fill="CCFFFF"/>
            <w:noWrap/>
            <w:vAlign w:val="bottom"/>
            <w:hideMark/>
          </w:tcPr>
          <w:p w14:paraId="4EA0A5A5" w14:textId="6D3016BC" w:rsidR="00543241" w:rsidRPr="0022028F" w:rsidRDefault="00543241" w:rsidP="00543241">
            <w:pPr>
              <w:jc w:val="right"/>
              <w:rPr>
                <w:rFonts w:ascii="Times New Roman" w:hAnsi="Times New Roman"/>
                <w:sz w:val="14"/>
                <w:szCs w:val="14"/>
              </w:rPr>
            </w:pPr>
            <w:r w:rsidRPr="000D1437">
              <w:rPr>
                <w:sz w:val="14"/>
                <w:szCs w:val="14"/>
              </w:rPr>
              <w:t>16718,20</w:t>
            </w:r>
          </w:p>
        </w:tc>
        <w:tc>
          <w:tcPr>
            <w:tcW w:w="1183" w:type="dxa"/>
            <w:tcBorders>
              <w:top w:val="nil"/>
              <w:left w:val="nil"/>
              <w:bottom w:val="single" w:sz="4" w:space="0" w:color="auto"/>
              <w:right w:val="single" w:sz="4" w:space="0" w:color="auto"/>
            </w:tcBorders>
            <w:shd w:val="clear" w:color="000000" w:fill="CCFFFF"/>
            <w:noWrap/>
            <w:vAlign w:val="bottom"/>
            <w:hideMark/>
          </w:tcPr>
          <w:p w14:paraId="03FF80F7" w14:textId="68E5263A" w:rsidR="00543241" w:rsidRPr="0022028F" w:rsidRDefault="00543241" w:rsidP="00543241">
            <w:pPr>
              <w:jc w:val="right"/>
              <w:rPr>
                <w:rFonts w:ascii="Times New Roman" w:hAnsi="Times New Roman"/>
                <w:sz w:val="14"/>
                <w:szCs w:val="14"/>
              </w:rPr>
            </w:pPr>
            <w:r w:rsidRPr="000D1437">
              <w:rPr>
                <w:sz w:val="14"/>
                <w:szCs w:val="14"/>
              </w:rPr>
              <w:t>17906,70</w:t>
            </w:r>
          </w:p>
        </w:tc>
        <w:tc>
          <w:tcPr>
            <w:tcW w:w="1183" w:type="dxa"/>
            <w:tcBorders>
              <w:top w:val="nil"/>
              <w:left w:val="nil"/>
              <w:bottom w:val="single" w:sz="4" w:space="0" w:color="auto"/>
              <w:right w:val="single" w:sz="4" w:space="0" w:color="auto"/>
            </w:tcBorders>
            <w:shd w:val="clear" w:color="000000" w:fill="CCFFFF"/>
            <w:noWrap/>
            <w:vAlign w:val="bottom"/>
            <w:hideMark/>
          </w:tcPr>
          <w:p w14:paraId="7C0324EC" w14:textId="39F869B2" w:rsidR="00543241" w:rsidRPr="0022028F" w:rsidRDefault="00543241" w:rsidP="00543241">
            <w:pPr>
              <w:jc w:val="right"/>
              <w:rPr>
                <w:rFonts w:ascii="Times New Roman" w:hAnsi="Times New Roman"/>
                <w:sz w:val="14"/>
                <w:szCs w:val="14"/>
              </w:rPr>
            </w:pPr>
            <w:r w:rsidRPr="000D1437">
              <w:rPr>
                <w:sz w:val="14"/>
                <w:szCs w:val="14"/>
              </w:rPr>
              <w:t>17964,24</w:t>
            </w:r>
          </w:p>
        </w:tc>
        <w:tc>
          <w:tcPr>
            <w:tcW w:w="1197" w:type="dxa"/>
            <w:tcBorders>
              <w:top w:val="nil"/>
              <w:left w:val="nil"/>
              <w:bottom w:val="single" w:sz="4" w:space="0" w:color="auto"/>
              <w:right w:val="single" w:sz="4" w:space="0" w:color="auto"/>
            </w:tcBorders>
            <w:shd w:val="clear" w:color="000000" w:fill="CCFFFF"/>
            <w:vAlign w:val="bottom"/>
          </w:tcPr>
          <w:p w14:paraId="1FAC5D7C" w14:textId="09FB975A" w:rsidR="00543241" w:rsidRPr="0022028F" w:rsidRDefault="00543241" w:rsidP="00543241">
            <w:pPr>
              <w:jc w:val="right"/>
              <w:rPr>
                <w:rFonts w:ascii="Times New Roman" w:hAnsi="Times New Roman"/>
                <w:sz w:val="14"/>
                <w:szCs w:val="14"/>
              </w:rPr>
            </w:pPr>
            <w:r w:rsidRPr="000D1437">
              <w:rPr>
                <w:sz w:val="14"/>
                <w:szCs w:val="14"/>
              </w:rPr>
              <w:t>17515,63</w:t>
            </w:r>
          </w:p>
        </w:tc>
      </w:tr>
      <w:tr w:rsidR="00543241" w:rsidRPr="00364545" w14:paraId="459D34AC"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D5705E7" w14:textId="77777777" w:rsidR="00543241" w:rsidRPr="00364545" w:rsidRDefault="00543241" w:rsidP="00543241">
            <w:pPr>
              <w:jc w:val="left"/>
              <w:rPr>
                <w:rFonts w:asciiTheme="majorHAnsi" w:hAnsiTheme="majorHAnsi"/>
                <w:sz w:val="14"/>
                <w:szCs w:val="16"/>
              </w:rPr>
            </w:pPr>
            <w:r w:rsidRPr="00364545">
              <w:rPr>
                <w:rFonts w:asciiTheme="majorHAnsi" w:hAnsiTheme="majorHAnsi"/>
                <w:sz w:val="14"/>
              </w:rPr>
              <w:t>Aviation</w:t>
            </w:r>
          </w:p>
        </w:tc>
        <w:tc>
          <w:tcPr>
            <w:tcW w:w="1198" w:type="dxa"/>
            <w:tcBorders>
              <w:top w:val="nil"/>
              <w:left w:val="nil"/>
              <w:bottom w:val="single" w:sz="4" w:space="0" w:color="auto"/>
              <w:right w:val="single" w:sz="4" w:space="0" w:color="auto"/>
            </w:tcBorders>
            <w:shd w:val="clear" w:color="000000" w:fill="FFFFFF"/>
            <w:noWrap/>
            <w:vAlign w:val="bottom"/>
            <w:hideMark/>
          </w:tcPr>
          <w:p w14:paraId="2E8A41B7" w14:textId="13EA0854" w:rsidR="00543241" w:rsidRPr="0022028F" w:rsidRDefault="00543241" w:rsidP="00543241">
            <w:pPr>
              <w:jc w:val="right"/>
              <w:rPr>
                <w:rFonts w:ascii="Times New Roman" w:hAnsi="Times New Roman"/>
                <w:sz w:val="14"/>
                <w:szCs w:val="14"/>
              </w:rPr>
            </w:pPr>
            <w:r w:rsidRPr="000D1437">
              <w:rPr>
                <w:sz w:val="14"/>
                <w:szCs w:val="14"/>
              </w:rPr>
              <w:t>8804,73</w:t>
            </w:r>
          </w:p>
        </w:tc>
        <w:tc>
          <w:tcPr>
            <w:tcW w:w="1197" w:type="dxa"/>
            <w:tcBorders>
              <w:top w:val="nil"/>
              <w:left w:val="nil"/>
              <w:bottom w:val="single" w:sz="4" w:space="0" w:color="auto"/>
              <w:right w:val="single" w:sz="4" w:space="0" w:color="auto"/>
            </w:tcBorders>
            <w:shd w:val="clear" w:color="000000" w:fill="FFFFFF"/>
            <w:noWrap/>
            <w:vAlign w:val="bottom"/>
            <w:hideMark/>
          </w:tcPr>
          <w:p w14:paraId="0907D84F" w14:textId="144E2D93" w:rsidR="00543241" w:rsidRPr="0022028F" w:rsidRDefault="00543241" w:rsidP="00543241">
            <w:pPr>
              <w:jc w:val="right"/>
              <w:rPr>
                <w:rFonts w:ascii="Times New Roman" w:hAnsi="Times New Roman"/>
                <w:sz w:val="14"/>
                <w:szCs w:val="14"/>
              </w:rPr>
            </w:pPr>
            <w:r w:rsidRPr="000D1437">
              <w:rPr>
                <w:sz w:val="14"/>
                <w:szCs w:val="14"/>
              </w:rPr>
              <w:t>8804,73</w:t>
            </w:r>
          </w:p>
        </w:tc>
        <w:tc>
          <w:tcPr>
            <w:tcW w:w="1197" w:type="dxa"/>
            <w:tcBorders>
              <w:top w:val="nil"/>
              <w:left w:val="nil"/>
              <w:bottom w:val="single" w:sz="4" w:space="0" w:color="auto"/>
              <w:right w:val="single" w:sz="4" w:space="0" w:color="auto"/>
            </w:tcBorders>
            <w:shd w:val="clear" w:color="000000" w:fill="FFFFFF"/>
            <w:noWrap/>
            <w:vAlign w:val="bottom"/>
            <w:hideMark/>
          </w:tcPr>
          <w:p w14:paraId="0D02057A" w14:textId="16371694" w:rsidR="00543241" w:rsidRPr="0022028F" w:rsidRDefault="00543241" w:rsidP="00543241">
            <w:pPr>
              <w:jc w:val="right"/>
              <w:rPr>
                <w:rFonts w:ascii="Times New Roman" w:hAnsi="Times New Roman"/>
                <w:sz w:val="14"/>
                <w:szCs w:val="14"/>
              </w:rPr>
            </w:pPr>
            <w:r w:rsidRPr="000D1437">
              <w:rPr>
                <w:sz w:val="14"/>
                <w:szCs w:val="14"/>
              </w:rPr>
              <w:t>8461,99</w:t>
            </w:r>
          </w:p>
        </w:tc>
        <w:tc>
          <w:tcPr>
            <w:tcW w:w="1183" w:type="dxa"/>
            <w:tcBorders>
              <w:top w:val="nil"/>
              <w:left w:val="nil"/>
              <w:bottom w:val="single" w:sz="4" w:space="0" w:color="auto"/>
              <w:right w:val="single" w:sz="4" w:space="0" w:color="auto"/>
            </w:tcBorders>
            <w:shd w:val="clear" w:color="000000" w:fill="FFFFFF"/>
            <w:noWrap/>
            <w:vAlign w:val="bottom"/>
            <w:hideMark/>
          </w:tcPr>
          <w:p w14:paraId="2198C455" w14:textId="5A69EBC1" w:rsidR="00543241" w:rsidRPr="0022028F" w:rsidRDefault="00543241" w:rsidP="00543241">
            <w:pPr>
              <w:jc w:val="right"/>
              <w:rPr>
                <w:rFonts w:ascii="Times New Roman" w:hAnsi="Times New Roman"/>
                <w:sz w:val="14"/>
                <w:szCs w:val="14"/>
              </w:rPr>
            </w:pPr>
            <w:r w:rsidRPr="000D1437">
              <w:rPr>
                <w:sz w:val="14"/>
                <w:szCs w:val="14"/>
              </w:rPr>
              <w:t>9901,36</w:t>
            </w:r>
          </w:p>
        </w:tc>
        <w:tc>
          <w:tcPr>
            <w:tcW w:w="1183" w:type="dxa"/>
            <w:tcBorders>
              <w:top w:val="nil"/>
              <w:left w:val="nil"/>
              <w:bottom w:val="single" w:sz="4" w:space="0" w:color="auto"/>
              <w:right w:val="single" w:sz="4" w:space="0" w:color="auto"/>
            </w:tcBorders>
            <w:shd w:val="clear" w:color="000000" w:fill="FFFFFF"/>
            <w:noWrap/>
            <w:vAlign w:val="bottom"/>
            <w:hideMark/>
          </w:tcPr>
          <w:p w14:paraId="7CB0AE64" w14:textId="2C862999" w:rsidR="00543241" w:rsidRPr="0022028F" w:rsidRDefault="00543241" w:rsidP="00543241">
            <w:pPr>
              <w:jc w:val="right"/>
              <w:rPr>
                <w:rFonts w:ascii="Times New Roman" w:hAnsi="Times New Roman"/>
                <w:sz w:val="14"/>
                <w:szCs w:val="14"/>
              </w:rPr>
            </w:pPr>
            <w:r w:rsidRPr="000D1437">
              <w:rPr>
                <w:sz w:val="14"/>
                <w:szCs w:val="14"/>
              </w:rPr>
              <w:t>10218,70</w:t>
            </w:r>
          </w:p>
        </w:tc>
        <w:tc>
          <w:tcPr>
            <w:tcW w:w="1197" w:type="dxa"/>
            <w:tcBorders>
              <w:top w:val="nil"/>
              <w:left w:val="nil"/>
              <w:bottom w:val="single" w:sz="4" w:space="0" w:color="auto"/>
              <w:right w:val="single" w:sz="4" w:space="0" w:color="auto"/>
            </w:tcBorders>
            <w:shd w:val="clear" w:color="000000" w:fill="FFFFFF"/>
            <w:vAlign w:val="bottom"/>
          </w:tcPr>
          <w:p w14:paraId="211F3767" w14:textId="31F6AE4C" w:rsidR="00543241" w:rsidRPr="0022028F" w:rsidRDefault="00543241" w:rsidP="00543241">
            <w:pPr>
              <w:jc w:val="right"/>
              <w:rPr>
                <w:rFonts w:ascii="Times New Roman" w:hAnsi="Times New Roman"/>
                <w:sz w:val="14"/>
                <w:szCs w:val="14"/>
              </w:rPr>
            </w:pPr>
            <w:r w:rsidRPr="000D1437">
              <w:rPr>
                <w:sz w:val="14"/>
                <w:szCs w:val="14"/>
              </w:rPr>
              <w:t>10605,47</w:t>
            </w:r>
          </w:p>
        </w:tc>
      </w:tr>
      <w:tr w:rsidR="00543241" w:rsidRPr="00364545" w14:paraId="5501ABFC"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AFA848C" w14:textId="77777777" w:rsidR="00543241" w:rsidRPr="00364545" w:rsidRDefault="00543241" w:rsidP="00543241">
            <w:pPr>
              <w:jc w:val="left"/>
              <w:rPr>
                <w:rFonts w:asciiTheme="majorHAnsi" w:hAnsiTheme="majorHAnsi"/>
                <w:sz w:val="14"/>
                <w:szCs w:val="16"/>
              </w:rPr>
            </w:pPr>
            <w:r w:rsidRPr="00364545">
              <w:rPr>
                <w:rFonts w:asciiTheme="majorHAnsi" w:hAnsiTheme="majorHAnsi"/>
                <w:sz w:val="14"/>
              </w:rPr>
              <w:t>Navigation</w:t>
            </w:r>
          </w:p>
        </w:tc>
        <w:tc>
          <w:tcPr>
            <w:tcW w:w="1198" w:type="dxa"/>
            <w:tcBorders>
              <w:top w:val="nil"/>
              <w:left w:val="nil"/>
              <w:bottom w:val="single" w:sz="4" w:space="0" w:color="auto"/>
              <w:right w:val="single" w:sz="4" w:space="0" w:color="auto"/>
            </w:tcBorders>
            <w:shd w:val="clear" w:color="000000" w:fill="FFFFFF"/>
            <w:noWrap/>
            <w:vAlign w:val="bottom"/>
            <w:hideMark/>
          </w:tcPr>
          <w:p w14:paraId="37BBD570" w14:textId="5F8959AC" w:rsidR="00543241" w:rsidRPr="0022028F" w:rsidRDefault="00543241" w:rsidP="00543241">
            <w:pPr>
              <w:jc w:val="right"/>
              <w:rPr>
                <w:rFonts w:ascii="Times New Roman" w:hAnsi="Times New Roman"/>
                <w:sz w:val="14"/>
                <w:szCs w:val="14"/>
              </w:rPr>
            </w:pPr>
            <w:r w:rsidRPr="000D1437">
              <w:rPr>
                <w:sz w:val="14"/>
                <w:szCs w:val="14"/>
              </w:rPr>
              <w:t>7961,21</w:t>
            </w:r>
          </w:p>
        </w:tc>
        <w:tc>
          <w:tcPr>
            <w:tcW w:w="1197" w:type="dxa"/>
            <w:tcBorders>
              <w:top w:val="nil"/>
              <w:left w:val="nil"/>
              <w:bottom w:val="single" w:sz="4" w:space="0" w:color="auto"/>
              <w:right w:val="single" w:sz="4" w:space="0" w:color="auto"/>
            </w:tcBorders>
            <w:shd w:val="clear" w:color="000000" w:fill="FFFFFF"/>
            <w:noWrap/>
            <w:vAlign w:val="bottom"/>
            <w:hideMark/>
          </w:tcPr>
          <w:p w14:paraId="3BF7F6B7" w14:textId="334200F0" w:rsidR="00543241" w:rsidRPr="0022028F" w:rsidRDefault="00543241" w:rsidP="00543241">
            <w:pPr>
              <w:jc w:val="right"/>
              <w:rPr>
                <w:rFonts w:ascii="Times New Roman" w:hAnsi="Times New Roman"/>
                <w:sz w:val="14"/>
                <w:szCs w:val="14"/>
              </w:rPr>
            </w:pPr>
            <w:r w:rsidRPr="000D1437">
              <w:rPr>
                <w:sz w:val="14"/>
                <w:szCs w:val="14"/>
              </w:rPr>
              <w:t>7961,21</w:t>
            </w:r>
          </w:p>
        </w:tc>
        <w:tc>
          <w:tcPr>
            <w:tcW w:w="1197" w:type="dxa"/>
            <w:tcBorders>
              <w:top w:val="nil"/>
              <w:left w:val="nil"/>
              <w:bottom w:val="single" w:sz="4" w:space="0" w:color="auto"/>
              <w:right w:val="single" w:sz="4" w:space="0" w:color="auto"/>
            </w:tcBorders>
            <w:shd w:val="clear" w:color="000000" w:fill="FFFFFF"/>
            <w:noWrap/>
            <w:vAlign w:val="bottom"/>
            <w:hideMark/>
          </w:tcPr>
          <w:p w14:paraId="32C099D5" w14:textId="062ACEC8" w:rsidR="00543241" w:rsidRPr="0022028F" w:rsidRDefault="00543241" w:rsidP="00543241">
            <w:pPr>
              <w:jc w:val="right"/>
              <w:rPr>
                <w:rFonts w:ascii="Times New Roman" w:hAnsi="Times New Roman"/>
                <w:sz w:val="14"/>
                <w:szCs w:val="14"/>
              </w:rPr>
            </w:pPr>
            <w:r w:rsidRPr="000D1437">
              <w:rPr>
                <w:sz w:val="14"/>
                <w:szCs w:val="14"/>
              </w:rPr>
              <w:t>8256,21</w:t>
            </w:r>
          </w:p>
        </w:tc>
        <w:tc>
          <w:tcPr>
            <w:tcW w:w="1183" w:type="dxa"/>
            <w:tcBorders>
              <w:top w:val="nil"/>
              <w:left w:val="nil"/>
              <w:bottom w:val="single" w:sz="4" w:space="0" w:color="auto"/>
              <w:right w:val="single" w:sz="4" w:space="0" w:color="auto"/>
            </w:tcBorders>
            <w:shd w:val="clear" w:color="000000" w:fill="FFFFFF"/>
            <w:noWrap/>
            <w:vAlign w:val="bottom"/>
            <w:hideMark/>
          </w:tcPr>
          <w:p w14:paraId="21DA4192" w14:textId="334B8F18" w:rsidR="00543241" w:rsidRPr="0022028F" w:rsidRDefault="00543241" w:rsidP="00543241">
            <w:pPr>
              <w:jc w:val="right"/>
              <w:rPr>
                <w:rFonts w:ascii="Times New Roman" w:hAnsi="Times New Roman"/>
                <w:sz w:val="14"/>
                <w:szCs w:val="14"/>
              </w:rPr>
            </w:pPr>
            <w:r w:rsidRPr="000D1437">
              <w:rPr>
                <w:sz w:val="14"/>
                <w:szCs w:val="14"/>
              </w:rPr>
              <w:t>8005,34</w:t>
            </w:r>
          </w:p>
        </w:tc>
        <w:tc>
          <w:tcPr>
            <w:tcW w:w="1183" w:type="dxa"/>
            <w:tcBorders>
              <w:top w:val="nil"/>
              <w:left w:val="nil"/>
              <w:bottom w:val="single" w:sz="4" w:space="0" w:color="auto"/>
              <w:right w:val="single" w:sz="4" w:space="0" w:color="auto"/>
            </w:tcBorders>
            <w:shd w:val="clear" w:color="000000" w:fill="FFFFFF"/>
            <w:noWrap/>
            <w:vAlign w:val="bottom"/>
            <w:hideMark/>
          </w:tcPr>
          <w:p w14:paraId="4D123290" w14:textId="74BD6DA6" w:rsidR="00543241" w:rsidRPr="0022028F" w:rsidRDefault="00543241" w:rsidP="00543241">
            <w:pPr>
              <w:jc w:val="right"/>
              <w:rPr>
                <w:rFonts w:ascii="Times New Roman" w:hAnsi="Times New Roman"/>
                <w:sz w:val="14"/>
                <w:szCs w:val="14"/>
              </w:rPr>
            </w:pPr>
            <w:r w:rsidRPr="000D1437">
              <w:rPr>
                <w:sz w:val="14"/>
                <w:szCs w:val="14"/>
              </w:rPr>
              <w:t>7745,54</w:t>
            </w:r>
          </w:p>
        </w:tc>
        <w:tc>
          <w:tcPr>
            <w:tcW w:w="1197" w:type="dxa"/>
            <w:tcBorders>
              <w:top w:val="nil"/>
              <w:left w:val="nil"/>
              <w:bottom w:val="single" w:sz="4" w:space="0" w:color="auto"/>
              <w:right w:val="single" w:sz="4" w:space="0" w:color="auto"/>
            </w:tcBorders>
            <w:shd w:val="clear" w:color="000000" w:fill="FFFFFF"/>
            <w:vAlign w:val="bottom"/>
          </w:tcPr>
          <w:p w14:paraId="4E2AA4D0" w14:textId="222462A8" w:rsidR="00543241" w:rsidRPr="0022028F" w:rsidRDefault="00543241" w:rsidP="00543241">
            <w:pPr>
              <w:jc w:val="right"/>
              <w:rPr>
                <w:rFonts w:ascii="Times New Roman" w:hAnsi="Times New Roman"/>
                <w:sz w:val="14"/>
                <w:szCs w:val="14"/>
              </w:rPr>
            </w:pPr>
            <w:r w:rsidRPr="000D1437">
              <w:rPr>
                <w:sz w:val="14"/>
                <w:szCs w:val="14"/>
              </w:rPr>
              <w:t>6910,15</w:t>
            </w:r>
          </w:p>
        </w:tc>
      </w:tr>
      <w:tr w:rsidR="00543241" w:rsidRPr="00364545" w14:paraId="2548C411"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C2FB604" w14:textId="77777777"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Multilateral operations</w:t>
            </w:r>
          </w:p>
        </w:tc>
        <w:tc>
          <w:tcPr>
            <w:tcW w:w="1198" w:type="dxa"/>
            <w:tcBorders>
              <w:top w:val="nil"/>
              <w:left w:val="nil"/>
              <w:bottom w:val="single" w:sz="4" w:space="0" w:color="auto"/>
              <w:right w:val="single" w:sz="4" w:space="0" w:color="auto"/>
            </w:tcBorders>
            <w:shd w:val="clear" w:color="000000" w:fill="FFFFFF"/>
            <w:noWrap/>
            <w:vAlign w:val="bottom"/>
            <w:hideMark/>
          </w:tcPr>
          <w:p w14:paraId="0D669EA2" w14:textId="68E9897E" w:rsidR="00543241" w:rsidRPr="0022028F" w:rsidRDefault="00543241" w:rsidP="00543241">
            <w:pPr>
              <w:jc w:val="right"/>
              <w:rPr>
                <w:rFonts w:ascii="Times New Roman" w:hAnsi="Times New Roman"/>
                <w:sz w:val="14"/>
                <w:szCs w:val="14"/>
              </w:rPr>
            </w:pPr>
            <w:r w:rsidRPr="000D1437">
              <w:rPr>
                <w:sz w:val="14"/>
                <w:szCs w:val="14"/>
              </w:rPr>
              <w:t>0,67</w:t>
            </w:r>
          </w:p>
        </w:tc>
        <w:tc>
          <w:tcPr>
            <w:tcW w:w="1197" w:type="dxa"/>
            <w:tcBorders>
              <w:top w:val="nil"/>
              <w:left w:val="nil"/>
              <w:bottom w:val="single" w:sz="4" w:space="0" w:color="auto"/>
              <w:right w:val="single" w:sz="4" w:space="0" w:color="auto"/>
            </w:tcBorders>
            <w:shd w:val="clear" w:color="000000" w:fill="FFFFFF"/>
            <w:noWrap/>
            <w:vAlign w:val="bottom"/>
            <w:hideMark/>
          </w:tcPr>
          <w:p w14:paraId="34E064E6" w14:textId="624C8508" w:rsidR="00543241" w:rsidRPr="0022028F" w:rsidRDefault="00543241" w:rsidP="00543241">
            <w:pPr>
              <w:jc w:val="right"/>
              <w:rPr>
                <w:rFonts w:ascii="Times New Roman" w:hAnsi="Times New Roman"/>
                <w:sz w:val="14"/>
                <w:szCs w:val="14"/>
              </w:rPr>
            </w:pPr>
            <w:r w:rsidRPr="000D1437">
              <w:rPr>
                <w:sz w:val="14"/>
                <w:szCs w:val="14"/>
              </w:rPr>
              <w:t>0,67</w:t>
            </w:r>
          </w:p>
        </w:tc>
        <w:tc>
          <w:tcPr>
            <w:tcW w:w="1197" w:type="dxa"/>
            <w:tcBorders>
              <w:top w:val="nil"/>
              <w:left w:val="nil"/>
              <w:bottom w:val="single" w:sz="4" w:space="0" w:color="auto"/>
              <w:right w:val="single" w:sz="4" w:space="0" w:color="auto"/>
            </w:tcBorders>
            <w:shd w:val="clear" w:color="000000" w:fill="FFFFFF"/>
            <w:noWrap/>
            <w:vAlign w:val="bottom"/>
            <w:hideMark/>
          </w:tcPr>
          <w:p w14:paraId="1F8BA04D" w14:textId="2C987114" w:rsidR="00543241" w:rsidRPr="0022028F" w:rsidRDefault="00543241" w:rsidP="00543241">
            <w:pPr>
              <w:jc w:val="right"/>
              <w:rPr>
                <w:rFonts w:ascii="Times New Roman" w:hAnsi="Times New Roman"/>
                <w:sz w:val="14"/>
                <w:szCs w:val="14"/>
              </w:rPr>
            </w:pPr>
            <w:r w:rsidRPr="000D1437">
              <w:rPr>
                <w:sz w:val="14"/>
                <w:szCs w:val="14"/>
              </w:rPr>
              <w:t>1,14</w:t>
            </w:r>
          </w:p>
        </w:tc>
        <w:tc>
          <w:tcPr>
            <w:tcW w:w="1183" w:type="dxa"/>
            <w:tcBorders>
              <w:top w:val="nil"/>
              <w:left w:val="nil"/>
              <w:bottom w:val="single" w:sz="4" w:space="0" w:color="auto"/>
              <w:right w:val="single" w:sz="4" w:space="0" w:color="auto"/>
            </w:tcBorders>
            <w:shd w:val="clear" w:color="000000" w:fill="FFFFFF"/>
            <w:noWrap/>
            <w:vAlign w:val="bottom"/>
            <w:hideMark/>
          </w:tcPr>
          <w:p w14:paraId="4A916E28" w14:textId="6F36D8B1" w:rsidR="00543241" w:rsidRPr="0022028F" w:rsidRDefault="00543241" w:rsidP="00543241">
            <w:pPr>
              <w:jc w:val="right"/>
              <w:rPr>
                <w:rFonts w:ascii="Times New Roman" w:hAnsi="Times New Roman"/>
                <w:sz w:val="14"/>
                <w:szCs w:val="14"/>
              </w:rPr>
            </w:pPr>
            <w:r w:rsidRPr="000D1437">
              <w:rPr>
                <w:sz w:val="14"/>
                <w:szCs w:val="14"/>
              </w:rPr>
              <w:t>0,98</w:t>
            </w:r>
          </w:p>
        </w:tc>
        <w:tc>
          <w:tcPr>
            <w:tcW w:w="1183" w:type="dxa"/>
            <w:tcBorders>
              <w:top w:val="nil"/>
              <w:left w:val="nil"/>
              <w:bottom w:val="single" w:sz="4" w:space="0" w:color="auto"/>
              <w:right w:val="single" w:sz="4" w:space="0" w:color="auto"/>
            </w:tcBorders>
            <w:shd w:val="clear" w:color="000000" w:fill="FFFFFF"/>
            <w:noWrap/>
            <w:vAlign w:val="bottom"/>
            <w:hideMark/>
          </w:tcPr>
          <w:p w14:paraId="483BD99C" w14:textId="2623E2A2" w:rsidR="00543241" w:rsidRPr="0022028F" w:rsidRDefault="00543241" w:rsidP="00543241">
            <w:pPr>
              <w:jc w:val="right"/>
              <w:rPr>
                <w:rFonts w:ascii="Times New Roman" w:hAnsi="Times New Roman"/>
                <w:sz w:val="14"/>
                <w:szCs w:val="14"/>
              </w:rPr>
            </w:pPr>
            <w:r w:rsidRPr="000D1437">
              <w:rPr>
                <w:sz w:val="14"/>
                <w:szCs w:val="14"/>
              </w:rPr>
              <w:t>0,94</w:t>
            </w:r>
          </w:p>
        </w:tc>
        <w:tc>
          <w:tcPr>
            <w:tcW w:w="1197" w:type="dxa"/>
            <w:tcBorders>
              <w:top w:val="nil"/>
              <w:left w:val="nil"/>
              <w:bottom w:val="single" w:sz="4" w:space="0" w:color="auto"/>
              <w:right w:val="single" w:sz="4" w:space="0" w:color="auto"/>
            </w:tcBorders>
            <w:shd w:val="clear" w:color="000000" w:fill="FFFFFF"/>
            <w:vAlign w:val="bottom"/>
          </w:tcPr>
          <w:p w14:paraId="3B1810C9" w14:textId="49BA1CB8" w:rsidR="00543241" w:rsidRPr="0022028F" w:rsidRDefault="00543241" w:rsidP="00543241">
            <w:pPr>
              <w:jc w:val="right"/>
              <w:rPr>
                <w:rFonts w:ascii="Times New Roman" w:hAnsi="Times New Roman"/>
                <w:sz w:val="14"/>
                <w:szCs w:val="14"/>
              </w:rPr>
            </w:pPr>
            <w:r w:rsidRPr="000D1437">
              <w:rPr>
                <w:sz w:val="14"/>
                <w:szCs w:val="14"/>
              </w:rPr>
              <w:t>0,86</w:t>
            </w:r>
          </w:p>
        </w:tc>
      </w:tr>
      <w:tr w:rsidR="00543241" w:rsidRPr="00364545" w14:paraId="7DE0AE33"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39679DE" w14:textId="26279232" w:rsidR="00543241" w:rsidRPr="00364545" w:rsidRDefault="00543241" w:rsidP="00543241">
            <w:pPr>
              <w:jc w:val="left"/>
              <w:rPr>
                <w:rFonts w:asciiTheme="majorHAnsi" w:hAnsiTheme="majorHAnsi"/>
                <w:b/>
                <w:bCs/>
                <w:sz w:val="14"/>
                <w:szCs w:val="16"/>
              </w:rPr>
            </w:pPr>
            <w:r w:rsidRPr="00364545">
              <w:t>CO</w:t>
            </w:r>
            <w:r w:rsidRPr="00364545">
              <w:rPr>
                <w:vertAlign w:val="subscript"/>
              </w:rPr>
              <w:t>2</w:t>
            </w:r>
            <w:r w:rsidRPr="00364545">
              <w:rPr>
                <w:rFonts w:asciiTheme="majorHAnsi" w:hAnsiTheme="majorHAnsi"/>
                <w:b/>
                <w:sz w:val="14"/>
              </w:rPr>
              <w:t xml:space="preserve"> emissions from biomass</w:t>
            </w:r>
          </w:p>
        </w:tc>
        <w:tc>
          <w:tcPr>
            <w:tcW w:w="1198" w:type="dxa"/>
            <w:tcBorders>
              <w:top w:val="nil"/>
              <w:left w:val="nil"/>
              <w:bottom w:val="single" w:sz="4" w:space="0" w:color="auto"/>
              <w:right w:val="single" w:sz="4" w:space="0" w:color="auto"/>
            </w:tcBorders>
            <w:shd w:val="clear" w:color="000000" w:fill="FFFFFF"/>
            <w:noWrap/>
            <w:vAlign w:val="bottom"/>
            <w:hideMark/>
          </w:tcPr>
          <w:p w14:paraId="6ECE349A" w14:textId="03EC9DB5" w:rsidR="00543241" w:rsidRPr="0022028F" w:rsidRDefault="00543241" w:rsidP="00543241">
            <w:pPr>
              <w:jc w:val="right"/>
              <w:rPr>
                <w:rFonts w:ascii="Times New Roman" w:hAnsi="Times New Roman"/>
                <w:sz w:val="14"/>
                <w:szCs w:val="14"/>
              </w:rPr>
            </w:pPr>
            <w:r w:rsidRPr="000D1437">
              <w:rPr>
                <w:sz w:val="14"/>
                <w:szCs w:val="14"/>
              </w:rPr>
              <w:t>43980,02</w:t>
            </w:r>
          </w:p>
        </w:tc>
        <w:tc>
          <w:tcPr>
            <w:tcW w:w="1197" w:type="dxa"/>
            <w:tcBorders>
              <w:top w:val="nil"/>
              <w:left w:val="nil"/>
              <w:bottom w:val="single" w:sz="4" w:space="0" w:color="auto"/>
              <w:right w:val="single" w:sz="4" w:space="0" w:color="auto"/>
            </w:tcBorders>
            <w:shd w:val="clear" w:color="000000" w:fill="FFFFFF"/>
            <w:noWrap/>
            <w:vAlign w:val="bottom"/>
            <w:hideMark/>
          </w:tcPr>
          <w:p w14:paraId="77C4FAFE" w14:textId="276ADA95" w:rsidR="00543241" w:rsidRPr="0022028F" w:rsidRDefault="00543241" w:rsidP="00543241">
            <w:pPr>
              <w:jc w:val="right"/>
              <w:rPr>
                <w:rFonts w:ascii="Times New Roman" w:hAnsi="Times New Roman"/>
                <w:sz w:val="14"/>
                <w:szCs w:val="14"/>
              </w:rPr>
            </w:pPr>
            <w:r w:rsidRPr="000D1437">
              <w:rPr>
                <w:sz w:val="14"/>
                <w:szCs w:val="14"/>
              </w:rPr>
              <w:t>43980,02</w:t>
            </w:r>
          </w:p>
        </w:tc>
        <w:tc>
          <w:tcPr>
            <w:tcW w:w="1197" w:type="dxa"/>
            <w:tcBorders>
              <w:top w:val="nil"/>
              <w:left w:val="nil"/>
              <w:bottom w:val="single" w:sz="4" w:space="0" w:color="auto"/>
              <w:right w:val="single" w:sz="4" w:space="0" w:color="auto"/>
            </w:tcBorders>
            <w:shd w:val="clear" w:color="000000" w:fill="FFFFFF"/>
            <w:noWrap/>
            <w:vAlign w:val="bottom"/>
            <w:hideMark/>
          </w:tcPr>
          <w:p w14:paraId="5ADDD6A3" w14:textId="495057F3" w:rsidR="00543241" w:rsidRPr="0022028F" w:rsidRDefault="00543241" w:rsidP="00543241">
            <w:pPr>
              <w:jc w:val="right"/>
              <w:rPr>
                <w:rFonts w:ascii="Times New Roman" w:hAnsi="Times New Roman"/>
                <w:sz w:val="14"/>
                <w:szCs w:val="14"/>
              </w:rPr>
            </w:pPr>
            <w:r w:rsidRPr="000D1437">
              <w:rPr>
                <w:sz w:val="14"/>
                <w:szCs w:val="14"/>
              </w:rPr>
              <w:t>50612,34</w:t>
            </w:r>
          </w:p>
        </w:tc>
        <w:tc>
          <w:tcPr>
            <w:tcW w:w="1183" w:type="dxa"/>
            <w:tcBorders>
              <w:top w:val="nil"/>
              <w:left w:val="nil"/>
              <w:bottom w:val="single" w:sz="4" w:space="0" w:color="auto"/>
              <w:right w:val="single" w:sz="4" w:space="0" w:color="auto"/>
            </w:tcBorders>
            <w:shd w:val="clear" w:color="000000" w:fill="FFFFFF"/>
            <w:noWrap/>
            <w:vAlign w:val="bottom"/>
            <w:hideMark/>
          </w:tcPr>
          <w:p w14:paraId="0B800881" w14:textId="2A4AEC9B" w:rsidR="00543241" w:rsidRPr="0022028F" w:rsidRDefault="00543241" w:rsidP="00543241">
            <w:pPr>
              <w:jc w:val="right"/>
              <w:rPr>
                <w:rFonts w:ascii="Times New Roman" w:hAnsi="Times New Roman"/>
                <w:sz w:val="14"/>
                <w:szCs w:val="14"/>
              </w:rPr>
            </w:pPr>
            <w:r w:rsidRPr="000D1437">
              <w:rPr>
                <w:sz w:val="14"/>
                <w:szCs w:val="14"/>
              </w:rPr>
              <w:t>49602,93</w:t>
            </w:r>
          </w:p>
        </w:tc>
        <w:tc>
          <w:tcPr>
            <w:tcW w:w="1183" w:type="dxa"/>
            <w:tcBorders>
              <w:top w:val="nil"/>
              <w:left w:val="nil"/>
              <w:bottom w:val="single" w:sz="4" w:space="0" w:color="auto"/>
              <w:right w:val="single" w:sz="4" w:space="0" w:color="auto"/>
            </w:tcBorders>
            <w:shd w:val="clear" w:color="000000" w:fill="FFFFFF"/>
            <w:noWrap/>
            <w:vAlign w:val="bottom"/>
            <w:hideMark/>
          </w:tcPr>
          <w:p w14:paraId="49D2F5CF" w14:textId="1763BC4B" w:rsidR="00543241" w:rsidRPr="0022028F" w:rsidRDefault="00543241" w:rsidP="00543241">
            <w:pPr>
              <w:jc w:val="right"/>
              <w:rPr>
                <w:rFonts w:ascii="Times New Roman" w:hAnsi="Times New Roman"/>
                <w:sz w:val="14"/>
                <w:szCs w:val="14"/>
              </w:rPr>
            </w:pPr>
            <w:r w:rsidRPr="000D1437">
              <w:rPr>
                <w:sz w:val="14"/>
                <w:szCs w:val="14"/>
              </w:rPr>
              <w:t>48638,03</w:t>
            </w:r>
          </w:p>
        </w:tc>
        <w:tc>
          <w:tcPr>
            <w:tcW w:w="1197" w:type="dxa"/>
            <w:tcBorders>
              <w:top w:val="nil"/>
              <w:left w:val="nil"/>
              <w:bottom w:val="single" w:sz="4" w:space="0" w:color="auto"/>
              <w:right w:val="single" w:sz="4" w:space="0" w:color="auto"/>
            </w:tcBorders>
            <w:shd w:val="clear" w:color="000000" w:fill="FFFFFF"/>
            <w:vAlign w:val="bottom"/>
          </w:tcPr>
          <w:p w14:paraId="3D2CE1D6" w14:textId="683B55BF" w:rsidR="00543241" w:rsidRPr="0022028F" w:rsidRDefault="00543241" w:rsidP="00543241">
            <w:pPr>
              <w:jc w:val="right"/>
              <w:rPr>
                <w:rFonts w:ascii="Times New Roman" w:hAnsi="Times New Roman"/>
                <w:sz w:val="14"/>
                <w:szCs w:val="14"/>
              </w:rPr>
            </w:pPr>
            <w:r w:rsidRPr="000D1437">
              <w:rPr>
                <w:sz w:val="14"/>
                <w:szCs w:val="14"/>
              </w:rPr>
              <w:t>44425,38</w:t>
            </w:r>
          </w:p>
        </w:tc>
      </w:tr>
      <w:tr w:rsidR="00543241" w:rsidRPr="00364545" w14:paraId="483868E7"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F87C41A" w14:textId="0ECFE3E3" w:rsidR="00543241" w:rsidRPr="00364545" w:rsidRDefault="00543241" w:rsidP="00543241">
            <w:pPr>
              <w:jc w:val="left"/>
              <w:rPr>
                <w:rFonts w:asciiTheme="majorHAnsi" w:hAnsiTheme="majorHAnsi"/>
                <w:b/>
                <w:bCs/>
                <w:sz w:val="14"/>
                <w:szCs w:val="16"/>
              </w:rPr>
            </w:pPr>
            <w:r w:rsidRPr="00364545">
              <w:t>CO</w:t>
            </w:r>
            <w:r w:rsidRPr="00364545">
              <w:rPr>
                <w:vertAlign w:val="subscript"/>
              </w:rPr>
              <w:t>2</w:t>
            </w:r>
            <w:r w:rsidRPr="00364545">
              <w:rPr>
                <w:rFonts w:asciiTheme="majorHAnsi" w:hAnsiTheme="majorHAnsi"/>
                <w:b/>
                <w:sz w:val="14"/>
              </w:rPr>
              <w:t xml:space="preserve"> captured</w:t>
            </w:r>
          </w:p>
        </w:tc>
        <w:tc>
          <w:tcPr>
            <w:tcW w:w="1198" w:type="dxa"/>
            <w:tcBorders>
              <w:top w:val="nil"/>
              <w:left w:val="nil"/>
              <w:bottom w:val="single" w:sz="4" w:space="0" w:color="auto"/>
              <w:right w:val="single" w:sz="4" w:space="0" w:color="auto"/>
            </w:tcBorders>
            <w:shd w:val="clear" w:color="000000" w:fill="FFFFFF"/>
            <w:noWrap/>
            <w:vAlign w:val="bottom"/>
            <w:hideMark/>
          </w:tcPr>
          <w:p w14:paraId="067AF0BE" w14:textId="47556BAF" w:rsidR="00543241" w:rsidRPr="0022028F"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35724D97" w14:textId="3310F69C" w:rsidR="00543241" w:rsidRPr="0022028F"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7D1765E7" w14:textId="2CD196F0" w:rsidR="00543241" w:rsidRPr="0022028F" w:rsidRDefault="00543241" w:rsidP="00543241">
            <w:pPr>
              <w:jc w:val="right"/>
              <w:rPr>
                <w:rFonts w:ascii="Times New Roman" w:hAnsi="Times New Roman"/>
                <w:sz w:val="14"/>
                <w:szCs w:val="14"/>
              </w:rPr>
            </w:pPr>
            <w:r w:rsidRPr="000D1437">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05AD5D23" w14:textId="7F984DF9" w:rsidR="00543241" w:rsidRPr="0022028F" w:rsidRDefault="00543241" w:rsidP="00543241">
            <w:pPr>
              <w:jc w:val="right"/>
              <w:rPr>
                <w:rFonts w:ascii="Times New Roman" w:hAnsi="Times New Roman"/>
                <w:sz w:val="14"/>
                <w:szCs w:val="14"/>
              </w:rPr>
            </w:pPr>
            <w:r w:rsidRPr="000D1437">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66DAB1E6" w14:textId="10F45307" w:rsidR="00543241" w:rsidRPr="0022028F" w:rsidRDefault="00543241" w:rsidP="00543241">
            <w:pPr>
              <w:jc w:val="right"/>
              <w:rPr>
                <w:rFonts w:ascii="Times New Roman" w:hAnsi="Times New Roman"/>
                <w:sz w:val="14"/>
                <w:szCs w:val="14"/>
              </w:rPr>
            </w:pPr>
            <w:r w:rsidRPr="000D1437">
              <w:rPr>
                <w:sz w:val="14"/>
                <w:szCs w:val="14"/>
              </w:rPr>
              <w:t>NO,NA</w:t>
            </w:r>
          </w:p>
        </w:tc>
        <w:tc>
          <w:tcPr>
            <w:tcW w:w="1197" w:type="dxa"/>
            <w:tcBorders>
              <w:top w:val="nil"/>
              <w:left w:val="nil"/>
              <w:bottom w:val="single" w:sz="4" w:space="0" w:color="auto"/>
              <w:right w:val="single" w:sz="4" w:space="0" w:color="auto"/>
            </w:tcBorders>
            <w:shd w:val="clear" w:color="000000" w:fill="FFFFFF"/>
            <w:vAlign w:val="bottom"/>
          </w:tcPr>
          <w:p w14:paraId="6EE7A882" w14:textId="0821F9E8" w:rsidR="00543241" w:rsidRPr="0022028F" w:rsidRDefault="00543241" w:rsidP="00543241">
            <w:pPr>
              <w:jc w:val="right"/>
              <w:rPr>
                <w:rFonts w:ascii="Times New Roman" w:hAnsi="Times New Roman"/>
                <w:sz w:val="14"/>
                <w:szCs w:val="14"/>
              </w:rPr>
            </w:pPr>
            <w:r w:rsidRPr="000D1437">
              <w:rPr>
                <w:sz w:val="14"/>
                <w:szCs w:val="14"/>
              </w:rPr>
              <w:t>NO,NA</w:t>
            </w:r>
          </w:p>
        </w:tc>
      </w:tr>
      <w:tr w:rsidR="00543241" w:rsidRPr="00364545" w14:paraId="2CF2FC77"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71D527D" w14:textId="77777777"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Long-term storage of C in waste disposal sites</w:t>
            </w:r>
          </w:p>
        </w:tc>
        <w:tc>
          <w:tcPr>
            <w:tcW w:w="1198" w:type="dxa"/>
            <w:tcBorders>
              <w:top w:val="nil"/>
              <w:left w:val="nil"/>
              <w:bottom w:val="single" w:sz="4" w:space="0" w:color="auto"/>
              <w:right w:val="single" w:sz="4" w:space="0" w:color="auto"/>
            </w:tcBorders>
            <w:shd w:val="clear" w:color="000000" w:fill="FFFFFF"/>
            <w:noWrap/>
            <w:vAlign w:val="bottom"/>
            <w:hideMark/>
          </w:tcPr>
          <w:p w14:paraId="7AF266D0" w14:textId="1A7CDBE7" w:rsidR="00543241" w:rsidRPr="0022028F" w:rsidRDefault="00543241" w:rsidP="00543241">
            <w:pPr>
              <w:jc w:val="right"/>
              <w:rPr>
                <w:rFonts w:ascii="Times New Roman" w:hAnsi="Times New Roman"/>
                <w:sz w:val="14"/>
                <w:szCs w:val="14"/>
              </w:rPr>
            </w:pPr>
            <w:r w:rsidRPr="000D1437">
              <w:rPr>
                <w:sz w:val="14"/>
                <w:szCs w:val="14"/>
              </w:rPr>
              <w:t>NE</w:t>
            </w:r>
          </w:p>
        </w:tc>
        <w:tc>
          <w:tcPr>
            <w:tcW w:w="1197" w:type="dxa"/>
            <w:tcBorders>
              <w:top w:val="nil"/>
              <w:left w:val="nil"/>
              <w:bottom w:val="single" w:sz="4" w:space="0" w:color="auto"/>
              <w:right w:val="single" w:sz="4" w:space="0" w:color="auto"/>
            </w:tcBorders>
            <w:shd w:val="clear" w:color="000000" w:fill="FFFFFF"/>
            <w:noWrap/>
            <w:vAlign w:val="bottom"/>
            <w:hideMark/>
          </w:tcPr>
          <w:p w14:paraId="405F3EDC" w14:textId="430CDD3F" w:rsidR="00543241" w:rsidRPr="0022028F" w:rsidRDefault="00543241" w:rsidP="00543241">
            <w:pPr>
              <w:jc w:val="right"/>
              <w:rPr>
                <w:rFonts w:ascii="Times New Roman" w:hAnsi="Times New Roman"/>
                <w:sz w:val="14"/>
                <w:szCs w:val="14"/>
              </w:rPr>
            </w:pPr>
            <w:r w:rsidRPr="000D1437">
              <w:rPr>
                <w:sz w:val="14"/>
                <w:szCs w:val="14"/>
              </w:rPr>
              <w:t>NE</w:t>
            </w:r>
          </w:p>
        </w:tc>
        <w:tc>
          <w:tcPr>
            <w:tcW w:w="1197" w:type="dxa"/>
            <w:tcBorders>
              <w:top w:val="nil"/>
              <w:left w:val="nil"/>
              <w:bottom w:val="single" w:sz="4" w:space="0" w:color="auto"/>
              <w:right w:val="single" w:sz="4" w:space="0" w:color="auto"/>
            </w:tcBorders>
            <w:shd w:val="clear" w:color="000000" w:fill="FFFFFF"/>
            <w:noWrap/>
            <w:vAlign w:val="bottom"/>
            <w:hideMark/>
          </w:tcPr>
          <w:p w14:paraId="20FB5D28" w14:textId="5F9099CB" w:rsidR="00543241" w:rsidRPr="0022028F" w:rsidRDefault="00543241" w:rsidP="00543241">
            <w:pPr>
              <w:jc w:val="right"/>
              <w:rPr>
                <w:rFonts w:ascii="Times New Roman" w:hAnsi="Times New Roman"/>
                <w:sz w:val="14"/>
                <w:szCs w:val="14"/>
              </w:rPr>
            </w:pPr>
            <w:r w:rsidRPr="000D1437">
              <w:rPr>
                <w:sz w:val="14"/>
                <w:szCs w:val="14"/>
              </w:rPr>
              <w:t>NE</w:t>
            </w:r>
          </w:p>
        </w:tc>
        <w:tc>
          <w:tcPr>
            <w:tcW w:w="1183" w:type="dxa"/>
            <w:tcBorders>
              <w:top w:val="nil"/>
              <w:left w:val="nil"/>
              <w:bottom w:val="single" w:sz="4" w:space="0" w:color="auto"/>
              <w:right w:val="single" w:sz="4" w:space="0" w:color="auto"/>
            </w:tcBorders>
            <w:shd w:val="clear" w:color="000000" w:fill="FFFFFF"/>
            <w:noWrap/>
            <w:vAlign w:val="bottom"/>
            <w:hideMark/>
          </w:tcPr>
          <w:p w14:paraId="66319C33" w14:textId="4968EDC4" w:rsidR="00543241" w:rsidRPr="0022028F" w:rsidRDefault="00543241" w:rsidP="00543241">
            <w:pPr>
              <w:jc w:val="right"/>
              <w:rPr>
                <w:rFonts w:ascii="Times New Roman" w:hAnsi="Times New Roman"/>
                <w:sz w:val="14"/>
                <w:szCs w:val="14"/>
              </w:rPr>
            </w:pPr>
            <w:r w:rsidRPr="000D1437">
              <w:rPr>
                <w:sz w:val="14"/>
                <w:szCs w:val="14"/>
              </w:rPr>
              <w:t>NE</w:t>
            </w:r>
          </w:p>
        </w:tc>
        <w:tc>
          <w:tcPr>
            <w:tcW w:w="1183" w:type="dxa"/>
            <w:tcBorders>
              <w:top w:val="nil"/>
              <w:left w:val="nil"/>
              <w:bottom w:val="single" w:sz="4" w:space="0" w:color="auto"/>
              <w:right w:val="single" w:sz="4" w:space="0" w:color="auto"/>
            </w:tcBorders>
            <w:shd w:val="clear" w:color="000000" w:fill="FFFFFF"/>
            <w:noWrap/>
            <w:vAlign w:val="bottom"/>
            <w:hideMark/>
          </w:tcPr>
          <w:p w14:paraId="1842341C" w14:textId="59765D0E" w:rsidR="00543241" w:rsidRPr="0022028F" w:rsidRDefault="00543241" w:rsidP="00543241">
            <w:pPr>
              <w:jc w:val="right"/>
              <w:rPr>
                <w:rFonts w:ascii="Times New Roman" w:hAnsi="Times New Roman"/>
                <w:sz w:val="14"/>
                <w:szCs w:val="14"/>
              </w:rPr>
            </w:pPr>
            <w:r w:rsidRPr="000D1437">
              <w:rPr>
                <w:sz w:val="14"/>
                <w:szCs w:val="14"/>
              </w:rPr>
              <w:t>NE</w:t>
            </w:r>
          </w:p>
        </w:tc>
        <w:tc>
          <w:tcPr>
            <w:tcW w:w="1197" w:type="dxa"/>
            <w:tcBorders>
              <w:top w:val="nil"/>
              <w:left w:val="nil"/>
              <w:bottom w:val="single" w:sz="4" w:space="0" w:color="auto"/>
              <w:right w:val="single" w:sz="4" w:space="0" w:color="auto"/>
            </w:tcBorders>
            <w:shd w:val="clear" w:color="000000" w:fill="FFFFFF"/>
            <w:vAlign w:val="bottom"/>
          </w:tcPr>
          <w:p w14:paraId="3ED5D902" w14:textId="2CDCCEA9" w:rsidR="00543241" w:rsidRPr="0022028F" w:rsidRDefault="00543241" w:rsidP="00543241">
            <w:pPr>
              <w:jc w:val="right"/>
              <w:rPr>
                <w:rFonts w:ascii="Times New Roman" w:hAnsi="Times New Roman"/>
                <w:sz w:val="14"/>
                <w:szCs w:val="14"/>
              </w:rPr>
            </w:pPr>
            <w:r w:rsidRPr="000D1437">
              <w:rPr>
                <w:sz w:val="14"/>
                <w:szCs w:val="14"/>
              </w:rPr>
              <w:t>NE</w:t>
            </w:r>
          </w:p>
        </w:tc>
      </w:tr>
      <w:tr w:rsidR="00543241" w:rsidRPr="00364545" w14:paraId="5601CFA5"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0CC39CD" w14:textId="4AC379EE"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 xml:space="preserve">Indirect </w:t>
            </w:r>
            <w:r w:rsidRPr="00364545">
              <w:t>N</w:t>
            </w:r>
            <w:r w:rsidRPr="00364545">
              <w:rPr>
                <w:vertAlign w:val="subscript"/>
              </w:rPr>
              <w:t>2</w:t>
            </w:r>
            <w:r w:rsidRPr="00364545">
              <w:t xml:space="preserve">O </w:t>
            </w:r>
          </w:p>
        </w:tc>
        <w:tc>
          <w:tcPr>
            <w:tcW w:w="1198" w:type="dxa"/>
            <w:tcBorders>
              <w:top w:val="nil"/>
              <w:left w:val="nil"/>
              <w:bottom w:val="single" w:sz="4" w:space="0" w:color="auto"/>
              <w:right w:val="single" w:sz="4" w:space="0" w:color="auto"/>
            </w:tcBorders>
            <w:shd w:val="clear" w:color="000000" w:fill="FFFFFF"/>
            <w:noWrap/>
            <w:vAlign w:val="bottom"/>
            <w:hideMark/>
          </w:tcPr>
          <w:p w14:paraId="35D21569" w14:textId="2DF0E471"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578C2FDE" w14:textId="0D787BA0"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8152AF8" w14:textId="622B61EB"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1F1E4556" w14:textId="35586870"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6756B487" w14:textId="1BAB5207"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04589968" w14:textId="16769902" w:rsidR="00543241" w:rsidRPr="0022028F"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CEE315B"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E87D4DF" w14:textId="620FB1A3"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 xml:space="preserve">Indirect </w:t>
            </w:r>
            <w:r w:rsidRPr="00364545">
              <w:t>CO</w:t>
            </w:r>
            <w:r w:rsidRPr="00364545">
              <w:rPr>
                <w:vertAlign w:val="subscript"/>
              </w:rPr>
              <w:t>2</w:t>
            </w:r>
            <w:r w:rsidRPr="00364545">
              <w:rPr>
                <w:rFonts w:asciiTheme="majorHAnsi" w:hAnsiTheme="majorHAnsi"/>
                <w:b/>
                <w:sz w:val="14"/>
                <w:vertAlign w:val="subscript"/>
              </w:rPr>
              <w:t xml:space="preserve"> </w:t>
            </w:r>
            <w:r w:rsidRPr="00364545">
              <w:rPr>
                <w:rFonts w:asciiTheme="majorHAnsi" w:hAnsiTheme="majorHAnsi"/>
                <w:b/>
                <w:sz w:val="14"/>
                <w:vertAlign w:val="superscript"/>
              </w:rPr>
              <w:t>(3)</w:t>
            </w:r>
          </w:p>
        </w:tc>
        <w:tc>
          <w:tcPr>
            <w:tcW w:w="1198" w:type="dxa"/>
            <w:tcBorders>
              <w:top w:val="nil"/>
              <w:left w:val="nil"/>
              <w:bottom w:val="single" w:sz="4" w:space="0" w:color="auto"/>
              <w:right w:val="single" w:sz="4" w:space="0" w:color="auto"/>
            </w:tcBorders>
            <w:shd w:val="clear" w:color="000000" w:fill="FFFFFF"/>
            <w:noWrap/>
            <w:vAlign w:val="bottom"/>
            <w:hideMark/>
          </w:tcPr>
          <w:p w14:paraId="5BFE2003" w14:textId="5ED8999F" w:rsidR="00543241" w:rsidRPr="0022028F" w:rsidRDefault="00543241" w:rsidP="00543241">
            <w:pPr>
              <w:jc w:val="right"/>
              <w:rPr>
                <w:rFonts w:ascii="Times New Roman" w:hAnsi="Times New Roman"/>
                <w:sz w:val="14"/>
                <w:szCs w:val="14"/>
              </w:rPr>
            </w:pPr>
            <w:r w:rsidRPr="000D1437">
              <w:rPr>
                <w:sz w:val="14"/>
                <w:szCs w:val="14"/>
              </w:rPr>
              <w:t>NO,IE,NA</w:t>
            </w:r>
          </w:p>
        </w:tc>
        <w:tc>
          <w:tcPr>
            <w:tcW w:w="1197" w:type="dxa"/>
            <w:tcBorders>
              <w:top w:val="nil"/>
              <w:left w:val="nil"/>
              <w:bottom w:val="single" w:sz="4" w:space="0" w:color="auto"/>
              <w:right w:val="single" w:sz="4" w:space="0" w:color="auto"/>
            </w:tcBorders>
            <w:shd w:val="clear" w:color="000000" w:fill="FFFFFF"/>
            <w:noWrap/>
            <w:vAlign w:val="bottom"/>
            <w:hideMark/>
          </w:tcPr>
          <w:p w14:paraId="3F1F0B5A" w14:textId="368A55EF" w:rsidR="00543241" w:rsidRPr="0022028F" w:rsidRDefault="00543241" w:rsidP="00543241">
            <w:pPr>
              <w:jc w:val="right"/>
              <w:rPr>
                <w:rFonts w:ascii="Times New Roman" w:hAnsi="Times New Roman"/>
                <w:sz w:val="14"/>
                <w:szCs w:val="14"/>
              </w:rPr>
            </w:pPr>
            <w:r w:rsidRPr="000D1437">
              <w:rPr>
                <w:sz w:val="14"/>
                <w:szCs w:val="14"/>
              </w:rPr>
              <w:t>NO,IE,NA</w:t>
            </w:r>
          </w:p>
        </w:tc>
        <w:tc>
          <w:tcPr>
            <w:tcW w:w="1197" w:type="dxa"/>
            <w:tcBorders>
              <w:top w:val="nil"/>
              <w:left w:val="nil"/>
              <w:bottom w:val="single" w:sz="4" w:space="0" w:color="auto"/>
              <w:right w:val="single" w:sz="4" w:space="0" w:color="auto"/>
            </w:tcBorders>
            <w:shd w:val="clear" w:color="000000" w:fill="FFFFFF"/>
            <w:noWrap/>
            <w:vAlign w:val="bottom"/>
            <w:hideMark/>
          </w:tcPr>
          <w:p w14:paraId="250343A1" w14:textId="740F7E40" w:rsidR="00543241" w:rsidRPr="0022028F" w:rsidRDefault="00543241" w:rsidP="00543241">
            <w:pPr>
              <w:jc w:val="right"/>
              <w:rPr>
                <w:rFonts w:ascii="Times New Roman" w:hAnsi="Times New Roman"/>
                <w:sz w:val="14"/>
                <w:szCs w:val="14"/>
              </w:rPr>
            </w:pPr>
            <w:r w:rsidRPr="000D1437">
              <w:rPr>
                <w:sz w:val="14"/>
                <w:szCs w:val="14"/>
              </w:rPr>
              <w:t>NO,IE,NA</w:t>
            </w:r>
          </w:p>
        </w:tc>
        <w:tc>
          <w:tcPr>
            <w:tcW w:w="1183" w:type="dxa"/>
            <w:tcBorders>
              <w:top w:val="nil"/>
              <w:left w:val="nil"/>
              <w:bottom w:val="single" w:sz="4" w:space="0" w:color="auto"/>
              <w:right w:val="single" w:sz="4" w:space="0" w:color="auto"/>
            </w:tcBorders>
            <w:shd w:val="clear" w:color="000000" w:fill="FFFFFF"/>
            <w:noWrap/>
            <w:vAlign w:val="bottom"/>
            <w:hideMark/>
          </w:tcPr>
          <w:p w14:paraId="0946395B" w14:textId="116B4195" w:rsidR="00543241" w:rsidRPr="0022028F" w:rsidRDefault="00543241" w:rsidP="00543241">
            <w:pPr>
              <w:jc w:val="right"/>
              <w:rPr>
                <w:rFonts w:ascii="Times New Roman" w:hAnsi="Times New Roman"/>
                <w:sz w:val="14"/>
                <w:szCs w:val="14"/>
              </w:rPr>
            </w:pPr>
            <w:r w:rsidRPr="000D1437">
              <w:rPr>
                <w:sz w:val="14"/>
                <w:szCs w:val="14"/>
              </w:rPr>
              <w:t>NO,IE,NA</w:t>
            </w:r>
          </w:p>
        </w:tc>
        <w:tc>
          <w:tcPr>
            <w:tcW w:w="1183" w:type="dxa"/>
            <w:tcBorders>
              <w:top w:val="nil"/>
              <w:left w:val="nil"/>
              <w:bottom w:val="single" w:sz="4" w:space="0" w:color="auto"/>
              <w:right w:val="single" w:sz="4" w:space="0" w:color="auto"/>
            </w:tcBorders>
            <w:shd w:val="clear" w:color="000000" w:fill="FFFFFF"/>
            <w:noWrap/>
            <w:vAlign w:val="bottom"/>
            <w:hideMark/>
          </w:tcPr>
          <w:p w14:paraId="6612FE92" w14:textId="5ABFACFF" w:rsidR="00543241" w:rsidRPr="0022028F" w:rsidRDefault="00543241" w:rsidP="00543241">
            <w:pPr>
              <w:jc w:val="right"/>
              <w:rPr>
                <w:rFonts w:ascii="Times New Roman" w:hAnsi="Times New Roman"/>
                <w:sz w:val="14"/>
                <w:szCs w:val="14"/>
              </w:rPr>
            </w:pPr>
            <w:r w:rsidRPr="000D1437">
              <w:rPr>
                <w:sz w:val="14"/>
                <w:szCs w:val="14"/>
              </w:rPr>
              <w:t>NO,IE,NA</w:t>
            </w:r>
          </w:p>
        </w:tc>
        <w:tc>
          <w:tcPr>
            <w:tcW w:w="1197" w:type="dxa"/>
            <w:tcBorders>
              <w:top w:val="nil"/>
              <w:left w:val="nil"/>
              <w:bottom w:val="single" w:sz="4" w:space="0" w:color="auto"/>
              <w:right w:val="single" w:sz="4" w:space="0" w:color="auto"/>
            </w:tcBorders>
            <w:shd w:val="clear" w:color="000000" w:fill="FFFFFF"/>
            <w:vAlign w:val="bottom"/>
          </w:tcPr>
          <w:p w14:paraId="01BD0ED2" w14:textId="065C9180" w:rsidR="00543241" w:rsidRPr="0022028F" w:rsidRDefault="00543241" w:rsidP="00543241">
            <w:pPr>
              <w:jc w:val="right"/>
              <w:rPr>
                <w:rFonts w:ascii="Times New Roman" w:hAnsi="Times New Roman"/>
                <w:sz w:val="14"/>
                <w:szCs w:val="14"/>
              </w:rPr>
            </w:pPr>
            <w:r w:rsidRPr="000D1437">
              <w:rPr>
                <w:sz w:val="14"/>
                <w:szCs w:val="14"/>
              </w:rPr>
              <w:t>NO,IE,NA</w:t>
            </w:r>
          </w:p>
        </w:tc>
      </w:tr>
      <w:tr w:rsidR="00543241" w:rsidRPr="00364545" w14:paraId="32ED5A63"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68E84A33" w14:textId="24DD5AD8"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 xml:space="preserve">Total </w:t>
            </w:r>
            <w:r w:rsidRPr="00364545">
              <w:t>CO</w:t>
            </w:r>
            <w:r w:rsidRPr="00364545">
              <w:rPr>
                <w:vertAlign w:val="subscript"/>
              </w:rPr>
              <w:t>2</w:t>
            </w:r>
            <w:r w:rsidRPr="00364545">
              <w:rPr>
                <w:rFonts w:asciiTheme="majorHAnsi" w:hAnsiTheme="majorHAnsi"/>
                <w:b/>
                <w:sz w:val="14"/>
              </w:rPr>
              <w:t xml:space="preserve"> equivalent emissions without land use, land-use change and forestry</w:t>
            </w:r>
          </w:p>
        </w:tc>
        <w:tc>
          <w:tcPr>
            <w:tcW w:w="1198" w:type="dxa"/>
            <w:tcBorders>
              <w:top w:val="nil"/>
              <w:left w:val="nil"/>
              <w:bottom w:val="single" w:sz="4" w:space="0" w:color="auto"/>
              <w:right w:val="single" w:sz="4" w:space="0" w:color="auto"/>
            </w:tcBorders>
            <w:shd w:val="clear" w:color="000000" w:fill="CCFFFF"/>
            <w:noWrap/>
            <w:vAlign w:val="bottom"/>
            <w:hideMark/>
          </w:tcPr>
          <w:p w14:paraId="327364B7" w14:textId="28468D54" w:rsidR="00543241" w:rsidRPr="0022028F" w:rsidRDefault="00543241" w:rsidP="00543241">
            <w:pPr>
              <w:jc w:val="right"/>
              <w:rPr>
                <w:rFonts w:ascii="Times New Roman" w:hAnsi="Times New Roman"/>
                <w:sz w:val="14"/>
                <w:szCs w:val="14"/>
              </w:rPr>
            </w:pPr>
            <w:r w:rsidRPr="000D1437">
              <w:rPr>
                <w:sz w:val="14"/>
                <w:szCs w:val="14"/>
              </w:rPr>
              <w:t>398424,79</w:t>
            </w:r>
          </w:p>
        </w:tc>
        <w:tc>
          <w:tcPr>
            <w:tcW w:w="1197" w:type="dxa"/>
            <w:tcBorders>
              <w:top w:val="nil"/>
              <w:left w:val="nil"/>
              <w:bottom w:val="single" w:sz="4" w:space="0" w:color="auto"/>
              <w:right w:val="single" w:sz="4" w:space="0" w:color="auto"/>
            </w:tcBorders>
            <w:shd w:val="clear" w:color="000000" w:fill="CCFFFF"/>
            <w:noWrap/>
            <w:vAlign w:val="bottom"/>
            <w:hideMark/>
          </w:tcPr>
          <w:p w14:paraId="0FEB8053" w14:textId="35A8A157" w:rsidR="00543241" w:rsidRPr="0022028F" w:rsidRDefault="00543241" w:rsidP="00543241">
            <w:pPr>
              <w:jc w:val="right"/>
              <w:rPr>
                <w:rFonts w:ascii="Times New Roman" w:hAnsi="Times New Roman"/>
                <w:sz w:val="14"/>
                <w:szCs w:val="14"/>
              </w:rPr>
            </w:pPr>
            <w:r w:rsidRPr="000D1437">
              <w:rPr>
                <w:sz w:val="14"/>
                <w:szCs w:val="14"/>
              </w:rPr>
              <w:t>398424,79</w:t>
            </w:r>
          </w:p>
        </w:tc>
        <w:tc>
          <w:tcPr>
            <w:tcW w:w="1197" w:type="dxa"/>
            <w:tcBorders>
              <w:top w:val="nil"/>
              <w:left w:val="nil"/>
              <w:bottom w:val="single" w:sz="4" w:space="0" w:color="auto"/>
              <w:right w:val="single" w:sz="4" w:space="0" w:color="auto"/>
            </w:tcBorders>
            <w:shd w:val="clear" w:color="000000" w:fill="CCFFFF"/>
            <w:noWrap/>
            <w:vAlign w:val="bottom"/>
            <w:hideMark/>
          </w:tcPr>
          <w:p w14:paraId="58A69A56" w14:textId="21424792" w:rsidR="00543241" w:rsidRPr="0022028F" w:rsidRDefault="00543241" w:rsidP="00543241">
            <w:pPr>
              <w:jc w:val="right"/>
              <w:rPr>
                <w:rFonts w:ascii="Times New Roman" w:hAnsi="Times New Roman"/>
                <w:sz w:val="14"/>
                <w:szCs w:val="14"/>
              </w:rPr>
            </w:pPr>
            <w:r w:rsidRPr="000D1437">
              <w:rPr>
                <w:sz w:val="14"/>
                <w:szCs w:val="14"/>
              </w:rPr>
              <w:t>423829,90</w:t>
            </w:r>
          </w:p>
        </w:tc>
        <w:tc>
          <w:tcPr>
            <w:tcW w:w="1183" w:type="dxa"/>
            <w:tcBorders>
              <w:top w:val="nil"/>
              <w:left w:val="nil"/>
              <w:bottom w:val="single" w:sz="4" w:space="0" w:color="auto"/>
              <w:right w:val="single" w:sz="4" w:space="0" w:color="auto"/>
            </w:tcBorders>
            <w:shd w:val="clear" w:color="000000" w:fill="CCFFFF"/>
            <w:noWrap/>
            <w:vAlign w:val="bottom"/>
            <w:hideMark/>
          </w:tcPr>
          <w:p w14:paraId="0A7BB933" w14:textId="06C07207" w:rsidR="00543241" w:rsidRPr="0022028F" w:rsidRDefault="00543241" w:rsidP="00543241">
            <w:pPr>
              <w:jc w:val="right"/>
              <w:rPr>
                <w:rFonts w:ascii="Times New Roman" w:hAnsi="Times New Roman"/>
                <w:sz w:val="14"/>
                <w:szCs w:val="14"/>
              </w:rPr>
            </w:pPr>
            <w:r w:rsidRPr="000D1437">
              <w:rPr>
                <w:sz w:val="14"/>
                <w:szCs w:val="14"/>
              </w:rPr>
              <w:t>412416,79</w:t>
            </w:r>
          </w:p>
        </w:tc>
        <w:tc>
          <w:tcPr>
            <w:tcW w:w="1183" w:type="dxa"/>
            <w:tcBorders>
              <w:top w:val="nil"/>
              <w:left w:val="nil"/>
              <w:bottom w:val="single" w:sz="4" w:space="0" w:color="auto"/>
              <w:right w:val="single" w:sz="4" w:space="0" w:color="auto"/>
            </w:tcBorders>
            <w:shd w:val="clear" w:color="000000" w:fill="CCFFFF"/>
            <w:noWrap/>
            <w:vAlign w:val="bottom"/>
            <w:hideMark/>
          </w:tcPr>
          <w:p w14:paraId="477C98D7" w14:textId="1FE31CAF" w:rsidR="00543241" w:rsidRPr="0022028F" w:rsidRDefault="00543241" w:rsidP="00543241">
            <w:pPr>
              <w:jc w:val="right"/>
              <w:rPr>
                <w:rFonts w:ascii="Times New Roman" w:hAnsi="Times New Roman"/>
                <w:sz w:val="14"/>
                <w:szCs w:val="14"/>
              </w:rPr>
            </w:pPr>
            <w:r w:rsidRPr="000D1437">
              <w:rPr>
                <w:sz w:val="14"/>
                <w:szCs w:val="14"/>
              </w:rPr>
              <w:t>394185,24</w:t>
            </w:r>
          </w:p>
        </w:tc>
        <w:tc>
          <w:tcPr>
            <w:tcW w:w="1197" w:type="dxa"/>
            <w:tcBorders>
              <w:top w:val="nil"/>
              <w:left w:val="nil"/>
              <w:bottom w:val="single" w:sz="4" w:space="0" w:color="auto"/>
              <w:right w:val="single" w:sz="4" w:space="0" w:color="auto"/>
            </w:tcBorders>
            <w:shd w:val="clear" w:color="000000" w:fill="CCFFFF"/>
            <w:vAlign w:val="bottom"/>
          </w:tcPr>
          <w:p w14:paraId="12005C9B" w14:textId="66D02A82" w:rsidR="00543241" w:rsidRPr="0022028F" w:rsidRDefault="00543241" w:rsidP="00543241">
            <w:pPr>
              <w:jc w:val="right"/>
              <w:rPr>
                <w:rFonts w:ascii="Times New Roman" w:hAnsi="Times New Roman"/>
                <w:sz w:val="14"/>
                <w:szCs w:val="14"/>
              </w:rPr>
            </w:pPr>
            <w:r w:rsidRPr="000D1437">
              <w:rPr>
                <w:sz w:val="14"/>
                <w:szCs w:val="14"/>
              </w:rPr>
              <w:t>388285,64</w:t>
            </w:r>
          </w:p>
        </w:tc>
      </w:tr>
      <w:tr w:rsidR="00543241" w:rsidRPr="00364545" w14:paraId="09DA0239"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56B144A8" w14:textId="30E34F1A"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 xml:space="preserve">Total </w:t>
            </w:r>
            <w:r w:rsidRPr="00364545">
              <w:t>CO</w:t>
            </w:r>
            <w:r w:rsidRPr="00364545">
              <w:rPr>
                <w:vertAlign w:val="subscript"/>
              </w:rPr>
              <w:t>2</w:t>
            </w:r>
            <w:r w:rsidRPr="00364545">
              <w:rPr>
                <w:rFonts w:asciiTheme="majorHAnsi" w:hAnsiTheme="majorHAnsi"/>
                <w:b/>
                <w:sz w:val="14"/>
                <w:vertAlign w:val="subscript"/>
              </w:rPr>
              <w:t xml:space="preserve"> </w:t>
            </w:r>
            <w:r w:rsidRPr="00364545">
              <w:rPr>
                <w:rFonts w:asciiTheme="majorHAnsi" w:hAnsiTheme="majorHAnsi"/>
                <w:b/>
                <w:sz w:val="14"/>
              </w:rPr>
              <w:t>equivalent emissions with land use, land-use change and forestry</w:t>
            </w:r>
          </w:p>
        </w:tc>
        <w:tc>
          <w:tcPr>
            <w:tcW w:w="1198" w:type="dxa"/>
            <w:tcBorders>
              <w:top w:val="nil"/>
              <w:left w:val="nil"/>
              <w:bottom w:val="single" w:sz="4" w:space="0" w:color="auto"/>
              <w:right w:val="single" w:sz="4" w:space="0" w:color="auto"/>
            </w:tcBorders>
            <w:shd w:val="clear" w:color="000000" w:fill="CCFFFF"/>
            <w:noWrap/>
            <w:vAlign w:val="bottom"/>
            <w:hideMark/>
          </w:tcPr>
          <w:p w14:paraId="69A3BFD0" w14:textId="5AFB9B43" w:rsidR="00543241" w:rsidRPr="0022028F" w:rsidRDefault="00543241" w:rsidP="00543241">
            <w:pPr>
              <w:jc w:val="right"/>
              <w:rPr>
                <w:rFonts w:ascii="Times New Roman" w:hAnsi="Times New Roman"/>
                <w:sz w:val="14"/>
                <w:szCs w:val="14"/>
              </w:rPr>
            </w:pPr>
            <w:r w:rsidRPr="000D1437">
              <w:rPr>
                <w:sz w:val="14"/>
                <w:szCs w:val="14"/>
              </w:rPr>
              <w:t>370279,74</w:t>
            </w:r>
          </w:p>
        </w:tc>
        <w:tc>
          <w:tcPr>
            <w:tcW w:w="1197" w:type="dxa"/>
            <w:tcBorders>
              <w:top w:val="nil"/>
              <w:left w:val="nil"/>
              <w:bottom w:val="single" w:sz="4" w:space="0" w:color="auto"/>
              <w:right w:val="single" w:sz="4" w:space="0" w:color="auto"/>
            </w:tcBorders>
            <w:shd w:val="clear" w:color="000000" w:fill="CCFFFF"/>
            <w:noWrap/>
            <w:vAlign w:val="bottom"/>
            <w:hideMark/>
          </w:tcPr>
          <w:p w14:paraId="4A028626" w14:textId="0180319C" w:rsidR="00543241" w:rsidRPr="0022028F" w:rsidRDefault="00543241" w:rsidP="00543241">
            <w:pPr>
              <w:jc w:val="right"/>
              <w:rPr>
                <w:rFonts w:ascii="Times New Roman" w:hAnsi="Times New Roman"/>
                <w:sz w:val="14"/>
                <w:szCs w:val="14"/>
              </w:rPr>
            </w:pPr>
            <w:r w:rsidRPr="000D1437">
              <w:rPr>
                <w:sz w:val="14"/>
                <w:szCs w:val="14"/>
              </w:rPr>
              <w:t>370279,74</w:t>
            </w:r>
          </w:p>
        </w:tc>
        <w:tc>
          <w:tcPr>
            <w:tcW w:w="1197" w:type="dxa"/>
            <w:tcBorders>
              <w:top w:val="nil"/>
              <w:left w:val="nil"/>
              <w:bottom w:val="single" w:sz="4" w:space="0" w:color="auto"/>
              <w:right w:val="single" w:sz="4" w:space="0" w:color="auto"/>
            </w:tcBorders>
            <w:shd w:val="clear" w:color="000000" w:fill="CCFFFF"/>
            <w:noWrap/>
            <w:vAlign w:val="bottom"/>
            <w:hideMark/>
          </w:tcPr>
          <w:p w14:paraId="5DE135BF" w14:textId="2DFBE01A" w:rsidR="00543241" w:rsidRPr="0022028F" w:rsidRDefault="00543241" w:rsidP="00543241">
            <w:pPr>
              <w:jc w:val="right"/>
              <w:rPr>
                <w:rFonts w:ascii="Times New Roman" w:hAnsi="Times New Roman"/>
                <w:sz w:val="14"/>
                <w:szCs w:val="14"/>
              </w:rPr>
            </w:pPr>
            <w:r w:rsidRPr="000D1437">
              <w:rPr>
                <w:sz w:val="14"/>
                <w:szCs w:val="14"/>
              </w:rPr>
              <w:t>395564,35</w:t>
            </w:r>
          </w:p>
        </w:tc>
        <w:tc>
          <w:tcPr>
            <w:tcW w:w="1183" w:type="dxa"/>
            <w:tcBorders>
              <w:top w:val="nil"/>
              <w:left w:val="nil"/>
              <w:bottom w:val="single" w:sz="4" w:space="0" w:color="auto"/>
              <w:right w:val="single" w:sz="4" w:space="0" w:color="auto"/>
            </w:tcBorders>
            <w:shd w:val="clear" w:color="000000" w:fill="CCFFFF"/>
            <w:noWrap/>
            <w:vAlign w:val="bottom"/>
            <w:hideMark/>
          </w:tcPr>
          <w:p w14:paraId="23D7C757" w14:textId="32D1024A" w:rsidR="00543241" w:rsidRPr="0022028F" w:rsidRDefault="00543241" w:rsidP="00543241">
            <w:pPr>
              <w:jc w:val="right"/>
              <w:rPr>
                <w:rFonts w:ascii="Times New Roman" w:hAnsi="Times New Roman"/>
                <w:sz w:val="14"/>
                <w:szCs w:val="14"/>
              </w:rPr>
            </w:pPr>
            <w:r w:rsidRPr="000D1437">
              <w:rPr>
                <w:sz w:val="14"/>
                <w:szCs w:val="14"/>
              </w:rPr>
              <w:t>386207,36</w:t>
            </w:r>
          </w:p>
        </w:tc>
        <w:tc>
          <w:tcPr>
            <w:tcW w:w="1183" w:type="dxa"/>
            <w:tcBorders>
              <w:top w:val="nil"/>
              <w:left w:val="nil"/>
              <w:bottom w:val="single" w:sz="4" w:space="0" w:color="auto"/>
              <w:right w:val="single" w:sz="4" w:space="0" w:color="auto"/>
            </w:tcBorders>
            <w:shd w:val="clear" w:color="000000" w:fill="CCFFFF"/>
            <w:noWrap/>
            <w:vAlign w:val="bottom"/>
            <w:hideMark/>
          </w:tcPr>
          <w:p w14:paraId="28071E1D" w14:textId="1751A2BF" w:rsidR="00543241" w:rsidRPr="0022028F" w:rsidRDefault="00543241" w:rsidP="00543241">
            <w:pPr>
              <w:jc w:val="right"/>
              <w:rPr>
                <w:rFonts w:ascii="Times New Roman" w:hAnsi="Times New Roman"/>
                <w:sz w:val="14"/>
                <w:szCs w:val="14"/>
              </w:rPr>
            </w:pPr>
            <w:r w:rsidRPr="000D1437">
              <w:rPr>
                <w:sz w:val="14"/>
                <w:szCs w:val="14"/>
              </w:rPr>
              <w:t>364902,59</w:t>
            </w:r>
          </w:p>
        </w:tc>
        <w:tc>
          <w:tcPr>
            <w:tcW w:w="1197" w:type="dxa"/>
            <w:tcBorders>
              <w:top w:val="nil"/>
              <w:left w:val="nil"/>
              <w:bottom w:val="single" w:sz="4" w:space="0" w:color="auto"/>
              <w:right w:val="single" w:sz="4" w:space="0" w:color="auto"/>
            </w:tcBorders>
            <w:shd w:val="clear" w:color="000000" w:fill="CCFFFF"/>
            <w:vAlign w:val="bottom"/>
          </w:tcPr>
          <w:p w14:paraId="341AF948" w14:textId="31DD2AA7" w:rsidR="00543241" w:rsidRPr="0022028F" w:rsidRDefault="00543241" w:rsidP="00543241">
            <w:pPr>
              <w:jc w:val="right"/>
              <w:rPr>
                <w:rFonts w:ascii="Times New Roman" w:hAnsi="Times New Roman"/>
                <w:sz w:val="14"/>
                <w:szCs w:val="14"/>
              </w:rPr>
            </w:pPr>
            <w:r w:rsidRPr="000D1437">
              <w:rPr>
                <w:sz w:val="14"/>
                <w:szCs w:val="14"/>
              </w:rPr>
              <w:t>359027,48</w:t>
            </w:r>
          </w:p>
        </w:tc>
      </w:tr>
      <w:tr w:rsidR="00543241" w:rsidRPr="00364545" w14:paraId="48A1C241"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B93E7A1" w14:textId="593C7B0D"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 xml:space="preserve">Total </w:t>
            </w:r>
            <w:r w:rsidRPr="00364545">
              <w:t>CO</w:t>
            </w:r>
            <w:r w:rsidRPr="00364545">
              <w:rPr>
                <w:vertAlign w:val="subscript"/>
              </w:rPr>
              <w:t>2</w:t>
            </w:r>
            <w:r w:rsidRPr="00364545">
              <w:rPr>
                <w:rFonts w:asciiTheme="majorHAnsi" w:hAnsiTheme="majorHAnsi"/>
                <w:b/>
                <w:sz w:val="14"/>
              </w:rPr>
              <w:t xml:space="preserve"> equivalent emissions, including indirect </w:t>
            </w:r>
            <w:r w:rsidRPr="00364545">
              <w:t>CO</w:t>
            </w:r>
            <w:r w:rsidRPr="00364545">
              <w:rPr>
                <w:vertAlign w:val="subscript"/>
              </w:rPr>
              <w:t>2</w:t>
            </w:r>
            <w:r w:rsidRPr="00364545">
              <w:rPr>
                <w:rFonts w:asciiTheme="majorHAnsi" w:hAnsiTheme="majorHAnsi"/>
                <w:b/>
                <w:sz w:val="14"/>
              </w:rPr>
              <w:t>, without land use, land-use change and forestry</w:t>
            </w:r>
          </w:p>
        </w:tc>
        <w:tc>
          <w:tcPr>
            <w:tcW w:w="1198" w:type="dxa"/>
            <w:tcBorders>
              <w:top w:val="nil"/>
              <w:left w:val="nil"/>
              <w:bottom w:val="single" w:sz="4" w:space="0" w:color="auto"/>
              <w:right w:val="single" w:sz="4" w:space="0" w:color="auto"/>
            </w:tcBorders>
            <w:shd w:val="clear" w:color="000000" w:fill="CCFFFF"/>
            <w:noWrap/>
            <w:vAlign w:val="bottom"/>
            <w:hideMark/>
          </w:tcPr>
          <w:p w14:paraId="4429B154" w14:textId="0CBA1FC7" w:rsidR="00543241" w:rsidRPr="0022028F" w:rsidRDefault="00543241" w:rsidP="00543241">
            <w:pPr>
              <w:jc w:val="right"/>
              <w:rPr>
                <w:rFonts w:ascii="Times New Roman" w:hAnsi="Times New Roman"/>
                <w:sz w:val="14"/>
                <w:szCs w:val="14"/>
              </w:rPr>
            </w:pPr>
            <w:r w:rsidRPr="000D1437">
              <w:rPr>
                <w:sz w:val="14"/>
                <w:szCs w:val="14"/>
              </w:rPr>
              <w:t>NA</w:t>
            </w:r>
          </w:p>
        </w:tc>
        <w:tc>
          <w:tcPr>
            <w:tcW w:w="1197" w:type="dxa"/>
            <w:tcBorders>
              <w:top w:val="nil"/>
              <w:left w:val="nil"/>
              <w:bottom w:val="single" w:sz="4" w:space="0" w:color="auto"/>
              <w:right w:val="single" w:sz="4" w:space="0" w:color="auto"/>
            </w:tcBorders>
            <w:shd w:val="clear" w:color="000000" w:fill="CCFFFF"/>
            <w:noWrap/>
            <w:vAlign w:val="bottom"/>
            <w:hideMark/>
          </w:tcPr>
          <w:p w14:paraId="0E84B2F1" w14:textId="5B61BB9E" w:rsidR="00543241" w:rsidRPr="0022028F" w:rsidRDefault="00543241" w:rsidP="00543241">
            <w:pPr>
              <w:jc w:val="right"/>
              <w:rPr>
                <w:rFonts w:ascii="Times New Roman" w:hAnsi="Times New Roman"/>
                <w:sz w:val="14"/>
                <w:szCs w:val="14"/>
              </w:rPr>
            </w:pPr>
            <w:r w:rsidRPr="000D1437">
              <w:rPr>
                <w:sz w:val="14"/>
                <w:szCs w:val="14"/>
              </w:rPr>
              <w:t>NA</w:t>
            </w:r>
          </w:p>
        </w:tc>
        <w:tc>
          <w:tcPr>
            <w:tcW w:w="1197" w:type="dxa"/>
            <w:tcBorders>
              <w:top w:val="nil"/>
              <w:left w:val="nil"/>
              <w:bottom w:val="single" w:sz="4" w:space="0" w:color="auto"/>
              <w:right w:val="single" w:sz="4" w:space="0" w:color="auto"/>
            </w:tcBorders>
            <w:shd w:val="clear" w:color="000000" w:fill="CCFFFF"/>
            <w:noWrap/>
            <w:vAlign w:val="bottom"/>
            <w:hideMark/>
          </w:tcPr>
          <w:p w14:paraId="13D18FB6" w14:textId="4F6785EF" w:rsidR="00543241" w:rsidRPr="0022028F" w:rsidRDefault="00543241" w:rsidP="00543241">
            <w:pPr>
              <w:jc w:val="right"/>
              <w:rPr>
                <w:rFonts w:ascii="Times New Roman" w:hAnsi="Times New Roman"/>
                <w:sz w:val="14"/>
                <w:szCs w:val="14"/>
              </w:rPr>
            </w:pPr>
            <w:r w:rsidRPr="000D1437">
              <w:rPr>
                <w:sz w:val="14"/>
                <w:szCs w:val="14"/>
              </w:rPr>
              <w:t>NA</w:t>
            </w:r>
          </w:p>
        </w:tc>
        <w:tc>
          <w:tcPr>
            <w:tcW w:w="1183" w:type="dxa"/>
            <w:tcBorders>
              <w:top w:val="nil"/>
              <w:left w:val="nil"/>
              <w:bottom w:val="single" w:sz="4" w:space="0" w:color="auto"/>
              <w:right w:val="single" w:sz="4" w:space="0" w:color="auto"/>
            </w:tcBorders>
            <w:shd w:val="clear" w:color="000000" w:fill="CCFFFF"/>
            <w:noWrap/>
            <w:vAlign w:val="bottom"/>
            <w:hideMark/>
          </w:tcPr>
          <w:p w14:paraId="6982E985" w14:textId="518A08C6" w:rsidR="00543241" w:rsidRPr="0022028F" w:rsidRDefault="00543241" w:rsidP="00543241">
            <w:pPr>
              <w:jc w:val="right"/>
              <w:rPr>
                <w:rFonts w:ascii="Times New Roman" w:hAnsi="Times New Roman"/>
                <w:sz w:val="14"/>
                <w:szCs w:val="14"/>
              </w:rPr>
            </w:pPr>
            <w:r w:rsidRPr="000D1437">
              <w:rPr>
                <w:sz w:val="14"/>
                <w:szCs w:val="14"/>
              </w:rPr>
              <w:t>NA</w:t>
            </w:r>
          </w:p>
        </w:tc>
        <w:tc>
          <w:tcPr>
            <w:tcW w:w="1183" w:type="dxa"/>
            <w:tcBorders>
              <w:top w:val="nil"/>
              <w:left w:val="nil"/>
              <w:bottom w:val="single" w:sz="4" w:space="0" w:color="auto"/>
              <w:right w:val="single" w:sz="4" w:space="0" w:color="auto"/>
            </w:tcBorders>
            <w:shd w:val="clear" w:color="000000" w:fill="CCFFFF"/>
            <w:noWrap/>
            <w:vAlign w:val="bottom"/>
            <w:hideMark/>
          </w:tcPr>
          <w:p w14:paraId="5E457A31" w14:textId="377F83CC" w:rsidR="00543241" w:rsidRPr="0022028F" w:rsidRDefault="00543241" w:rsidP="00543241">
            <w:pPr>
              <w:jc w:val="right"/>
              <w:rPr>
                <w:rFonts w:ascii="Times New Roman" w:hAnsi="Times New Roman"/>
                <w:sz w:val="14"/>
                <w:szCs w:val="14"/>
              </w:rPr>
            </w:pPr>
            <w:r w:rsidRPr="000D1437">
              <w:rPr>
                <w:sz w:val="14"/>
                <w:szCs w:val="14"/>
              </w:rPr>
              <w:t>NA</w:t>
            </w:r>
          </w:p>
        </w:tc>
        <w:tc>
          <w:tcPr>
            <w:tcW w:w="1197" w:type="dxa"/>
            <w:tcBorders>
              <w:top w:val="nil"/>
              <w:left w:val="nil"/>
              <w:bottom w:val="single" w:sz="4" w:space="0" w:color="auto"/>
              <w:right w:val="single" w:sz="4" w:space="0" w:color="auto"/>
            </w:tcBorders>
            <w:shd w:val="clear" w:color="000000" w:fill="CCFFFF"/>
            <w:vAlign w:val="bottom"/>
          </w:tcPr>
          <w:p w14:paraId="2A6D92B4" w14:textId="31F00A38" w:rsidR="00543241" w:rsidRPr="0022028F" w:rsidRDefault="00543241" w:rsidP="00543241">
            <w:pPr>
              <w:jc w:val="right"/>
              <w:rPr>
                <w:rFonts w:ascii="Times New Roman" w:hAnsi="Times New Roman"/>
                <w:sz w:val="14"/>
                <w:szCs w:val="14"/>
              </w:rPr>
            </w:pPr>
            <w:r w:rsidRPr="000D1437">
              <w:rPr>
                <w:sz w:val="14"/>
                <w:szCs w:val="14"/>
              </w:rPr>
              <w:t>NA</w:t>
            </w:r>
          </w:p>
        </w:tc>
      </w:tr>
      <w:tr w:rsidR="00543241" w:rsidRPr="00364545" w14:paraId="3E478C03" w14:textId="77777777" w:rsidTr="000D1437">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0A620AB" w14:textId="0049999D" w:rsidR="00543241" w:rsidRPr="00364545" w:rsidRDefault="00543241" w:rsidP="00543241">
            <w:pPr>
              <w:jc w:val="left"/>
              <w:rPr>
                <w:rFonts w:asciiTheme="majorHAnsi" w:hAnsiTheme="majorHAnsi"/>
                <w:b/>
                <w:bCs/>
                <w:sz w:val="14"/>
                <w:szCs w:val="16"/>
              </w:rPr>
            </w:pPr>
            <w:r w:rsidRPr="00364545">
              <w:rPr>
                <w:rFonts w:asciiTheme="majorHAnsi" w:hAnsiTheme="majorHAnsi"/>
                <w:b/>
                <w:sz w:val="14"/>
              </w:rPr>
              <w:t xml:space="preserve">Total </w:t>
            </w:r>
            <w:r w:rsidRPr="00364545">
              <w:t>CO</w:t>
            </w:r>
            <w:r w:rsidRPr="00364545">
              <w:rPr>
                <w:vertAlign w:val="subscript"/>
              </w:rPr>
              <w:t>2</w:t>
            </w:r>
            <w:r w:rsidRPr="00364545">
              <w:rPr>
                <w:rFonts w:asciiTheme="majorHAnsi" w:hAnsiTheme="majorHAnsi"/>
                <w:b/>
                <w:sz w:val="14"/>
                <w:vertAlign w:val="subscript"/>
              </w:rPr>
              <w:t xml:space="preserve"> </w:t>
            </w:r>
            <w:r w:rsidRPr="00364545">
              <w:rPr>
                <w:rFonts w:asciiTheme="majorHAnsi" w:hAnsiTheme="majorHAnsi"/>
                <w:b/>
                <w:sz w:val="14"/>
              </w:rPr>
              <w:t xml:space="preserve">equivalent emissions, including indirect </w:t>
            </w:r>
            <w:r w:rsidRPr="00364545">
              <w:t>CO</w:t>
            </w:r>
            <w:r w:rsidRPr="00364545">
              <w:rPr>
                <w:vertAlign w:val="subscript"/>
              </w:rPr>
              <w:t>2</w:t>
            </w:r>
            <w:r w:rsidRPr="00364545">
              <w:rPr>
                <w:rFonts w:asciiTheme="majorHAnsi" w:hAnsiTheme="majorHAnsi"/>
                <w:b/>
                <w:sz w:val="14"/>
              </w:rPr>
              <w:t>, with land use, land-use change and forestry</w:t>
            </w:r>
          </w:p>
        </w:tc>
        <w:tc>
          <w:tcPr>
            <w:tcW w:w="1198" w:type="dxa"/>
            <w:tcBorders>
              <w:top w:val="nil"/>
              <w:left w:val="nil"/>
              <w:bottom w:val="single" w:sz="4" w:space="0" w:color="auto"/>
              <w:right w:val="single" w:sz="4" w:space="0" w:color="auto"/>
            </w:tcBorders>
            <w:shd w:val="clear" w:color="000000" w:fill="CCFFFF"/>
            <w:noWrap/>
            <w:vAlign w:val="bottom"/>
            <w:hideMark/>
          </w:tcPr>
          <w:p w14:paraId="003FE690" w14:textId="60C4C967" w:rsidR="00543241" w:rsidRPr="0022028F" w:rsidRDefault="00543241" w:rsidP="00543241">
            <w:pPr>
              <w:jc w:val="right"/>
              <w:rPr>
                <w:rFonts w:ascii="Times New Roman" w:hAnsi="Times New Roman"/>
                <w:sz w:val="14"/>
                <w:szCs w:val="14"/>
              </w:rPr>
            </w:pPr>
            <w:r w:rsidRPr="000D1437">
              <w:rPr>
                <w:sz w:val="14"/>
                <w:szCs w:val="14"/>
              </w:rPr>
              <w:t>NA</w:t>
            </w:r>
          </w:p>
        </w:tc>
        <w:tc>
          <w:tcPr>
            <w:tcW w:w="1197" w:type="dxa"/>
            <w:tcBorders>
              <w:top w:val="nil"/>
              <w:left w:val="nil"/>
              <w:bottom w:val="single" w:sz="4" w:space="0" w:color="auto"/>
              <w:right w:val="single" w:sz="4" w:space="0" w:color="auto"/>
            </w:tcBorders>
            <w:shd w:val="clear" w:color="000000" w:fill="CCFFFF"/>
            <w:noWrap/>
            <w:vAlign w:val="bottom"/>
            <w:hideMark/>
          </w:tcPr>
          <w:p w14:paraId="2E7CDCC2" w14:textId="786F640F" w:rsidR="00543241" w:rsidRPr="0022028F" w:rsidRDefault="00543241" w:rsidP="00543241">
            <w:pPr>
              <w:jc w:val="right"/>
              <w:rPr>
                <w:rFonts w:ascii="Times New Roman" w:hAnsi="Times New Roman"/>
                <w:sz w:val="14"/>
                <w:szCs w:val="14"/>
              </w:rPr>
            </w:pPr>
            <w:r w:rsidRPr="000D1437">
              <w:rPr>
                <w:sz w:val="14"/>
                <w:szCs w:val="14"/>
              </w:rPr>
              <w:t>NA</w:t>
            </w:r>
          </w:p>
        </w:tc>
        <w:tc>
          <w:tcPr>
            <w:tcW w:w="1197" w:type="dxa"/>
            <w:tcBorders>
              <w:top w:val="nil"/>
              <w:left w:val="nil"/>
              <w:bottom w:val="single" w:sz="4" w:space="0" w:color="auto"/>
              <w:right w:val="single" w:sz="4" w:space="0" w:color="auto"/>
            </w:tcBorders>
            <w:shd w:val="clear" w:color="000000" w:fill="CCFFFF"/>
            <w:noWrap/>
            <w:vAlign w:val="bottom"/>
            <w:hideMark/>
          </w:tcPr>
          <w:p w14:paraId="072DD788" w14:textId="645E8603" w:rsidR="00543241" w:rsidRPr="0022028F" w:rsidRDefault="00543241" w:rsidP="00543241">
            <w:pPr>
              <w:jc w:val="right"/>
              <w:rPr>
                <w:rFonts w:ascii="Times New Roman" w:hAnsi="Times New Roman"/>
                <w:sz w:val="14"/>
                <w:szCs w:val="14"/>
              </w:rPr>
            </w:pPr>
            <w:r w:rsidRPr="000D1437">
              <w:rPr>
                <w:sz w:val="14"/>
                <w:szCs w:val="14"/>
              </w:rPr>
              <w:t>NA</w:t>
            </w:r>
          </w:p>
        </w:tc>
        <w:tc>
          <w:tcPr>
            <w:tcW w:w="1183" w:type="dxa"/>
            <w:tcBorders>
              <w:top w:val="nil"/>
              <w:left w:val="nil"/>
              <w:bottom w:val="single" w:sz="4" w:space="0" w:color="auto"/>
              <w:right w:val="single" w:sz="4" w:space="0" w:color="auto"/>
            </w:tcBorders>
            <w:shd w:val="clear" w:color="000000" w:fill="CCFFFF"/>
            <w:noWrap/>
            <w:vAlign w:val="bottom"/>
            <w:hideMark/>
          </w:tcPr>
          <w:p w14:paraId="04B22A57" w14:textId="194816F4" w:rsidR="00543241" w:rsidRPr="0022028F" w:rsidRDefault="00543241" w:rsidP="00543241">
            <w:pPr>
              <w:jc w:val="right"/>
              <w:rPr>
                <w:rFonts w:ascii="Times New Roman" w:hAnsi="Times New Roman"/>
                <w:sz w:val="14"/>
                <w:szCs w:val="14"/>
              </w:rPr>
            </w:pPr>
            <w:r w:rsidRPr="000D1437">
              <w:rPr>
                <w:sz w:val="14"/>
                <w:szCs w:val="14"/>
              </w:rPr>
              <w:t>NA</w:t>
            </w:r>
          </w:p>
        </w:tc>
        <w:tc>
          <w:tcPr>
            <w:tcW w:w="1183" w:type="dxa"/>
            <w:tcBorders>
              <w:top w:val="nil"/>
              <w:left w:val="nil"/>
              <w:bottom w:val="single" w:sz="4" w:space="0" w:color="auto"/>
              <w:right w:val="single" w:sz="4" w:space="0" w:color="auto"/>
            </w:tcBorders>
            <w:shd w:val="clear" w:color="000000" w:fill="CCFFFF"/>
            <w:noWrap/>
            <w:vAlign w:val="bottom"/>
            <w:hideMark/>
          </w:tcPr>
          <w:p w14:paraId="420F0C58" w14:textId="7DA55DC3" w:rsidR="00543241" w:rsidRPr="0022028F" w:rsidRDefault="00543241" w:rsidP="00543241">
            <w:pPr>
              <w:jc w:val="right"/>
              <w:rPr>
                <w:rFonts w:ascii="Times New Roman" w:hAnsi="Times New Roman"/>
                <w:sz w:val="14"/>
                <w:szCs w:val="14"/>
              </w:rPr>
            </w:pPr>
            <w:r w:rsidRPr="000D1437">
              <w:rPr>
                <w:sz w:val="14"/>
                <w:szCs w:val="14"/>
              </w:rPr>
              <w:t>NA</w:t>
            </w:r>
          </w:p>
        </w:tc>
        <w:tc>
          <w:tcPr>
            <w:tcW w:w="1197" w:type="dxa"/>
            <w:tcBorders>
              <w:top w:val="nil"/>
              <w:left w:val="nil"/>
              <w:bottom w:val="single" w:sz="4" w:space="0" w:color="auto"/>
              <w:right w:val="single" w:sz="4" w:space="0" w:color="auto"/>
            </w:tcBorders>
            <w:shd w:val="clear" w:color="000000" w:fill="CCFFFF"/>
            <w:vAlign w:val="bottom"/>
          </w:tcPr>
          <w:p w14:paraId="56596369" w14:textId="4C0AFAD9" w:rsidR="00543241" w:rsidRPr="0022028F" w:rsidRDefault="00543241" w:rsidP="00543241">
            <w:pPr>
              <w:jc w:val="right"/>
              <w:rPr>
                <w:rFonts w:ascii="Times New Roman" w:hAnsi="Times New Roman"/>
                <w:sz w:val="14"/>
                <w:szCs w:val="14"/>
              </w:rPr>
            </w:pPr>
            <w:r w:rsidRPr="000D1437">
              <w:rPr>
                <w:sz w:val="14"/>
                <w:szCs w:val="14"/>
              </w:rPr>
              <w:t>NA</w:t>
            </w:r>
          </w:p>
        </w:tc>
      </w:tr>
    </w:tbl>
    <w:p w14:paraId="59D312E6" w14:textId="77777777" w:rsidR="00B56301" w:rsidRPr="00364545" w:rsidRDefault="00B56301" w:rsidP="00B56301">
      <w:pPr>
        <w:rPr>
          <w:rFonts w:cs="Arial"/>
          <w:sz w:val="24"/>
        </w:rPr>
      </w:pPr>
    </w:p>
    <w:tbl>
      <w:tblPr>
        <w:tblW w:w="9940" w:type="dxa"/>
        <w:jc w:val="center"/>
        <w:tblCellMar>
          <w:left w:w="70" w:type="dxa"/>
          <w:right w:w="70" w:type="dxa"/>
        </w:tblCellMar>
        <w:tblLook w:val="04A0" w:firstRow="1" w:lastRow="0" w:firstColumn="1" w:lastColumn="0" w:noHBand="0" w:noVBand="1"/>
      </w:tblPr>
      <w:tblGrid>
        <w:gridCol w:w="2866"/>
        <w:gridCol w:w="1167"/>
        <w:gridCol w:w="1167"/>
        <w:gridCol w:w="1196"/>
        <w:gridCol w:w="1182"/>
        <w:gridCol w:w="1181"/>
        <w:gridCol w:w="1181"/>
      </w:tblGrid>
      <w:tr w:rsidR="00B56301" w:rsidRPr="00364545" w14:paraId="286E698B" w14:textId="77777777" w:rsidTr="00543241">
        <w:trPr>
          <w:trHeight w:val="68"/>
          <w:jc w:val="center"/>
        </w:trPr>
        <w:tc>
          <w:tcPr>
            <w:tcW w:w="286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188EA28" w14:textId="77777777" w:rsidR="00B56301" w:rsidRPr="00364545" w:rsidRDefault="00B56301" w:rsidP="00B37B65">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1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C8BC9E3"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1995</w:t>
            </w:r>
          </w:p>
        </w:tc>
        <w:tc>
          <w:tcPr>
            <w:tcW w:w="1167" w:type="dxa"/>
            <w:tcBorders>
              <w:top w:val="single" w:sz="4" w:space="0" w:color="auto"/>
              <w:left w:val="nil"/>
              <w:bottom w:val="single" w:sz="4" w:space="0" w:color="auto"/>
              <w:right w:val="single" w:sz="4" w:space="0" w:color="auto"/>
            </w:tcBorders>
            <w:shd w:val="clear" w:color="000000" w:fill="CCFFFF"/>
            <w:noWrap/>
            <w:vAlign w:val="center"/>
            <w:hideMark/>
          </w:tcPr>
          <w:p w14:paraId="29CCDCA3"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1996</w:t>
            </w:r>
          </w:p>
        </w:tc>
        <w:tc>
          <w:tcPr>
            <w:tcW w:w="1196" w:type="dxa"/>
            <w:tcBorders>
              <w:top w:val="single" w:sz="4" w:space="0" w:color="auto"/>
              <w:left w:val="nil"/>
              <w:bottom w:val="single" w:sz="4" w:space="0" w:color="auto"/>
              <w:right w:val="single" w:sz="4" w:space="0" w:color="auto"/>
            </w:tcBorders>
            <w:shd w:val="clear" w:color="000000" w:fill="CCFFFF"/>
            <w:noWrap/>
            <w:vAlign w:val="center"/>
            <w:hideMark/>
          </w:tcPr>
          <w:p w14:paraId="33392485"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1997</w:t>
            </w:r>
          </w:p>
        </w:tc>
        <w:tc>
          <w:tcPr>
            <w:tcW w:w="1182" w:type="dxa"/>
            <w:tcBorders>
              <w:top w:val="single" w:sz="4" w:space="0" w:color="auto"/>
              <w:left w:val="nil"/>
              <w:bottom w:val="single" w:sz="4" w:space="0" w:color="auto"/>
              <w:right w:val="single" w:sz="4" w:space="0" w:color="auto"/>
            </w:tcBorders>
            <w:shd w:val="clear" w:color="000000" w:fill="CCFFFF"/>
            <w:noWrap/>
            <w:vAlign w:val="center"/>
            <w:hideMark/>
          </w:tcPr>
          <w:p w14:paraId="323ACAD9"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1998</w:t>
            </w:r>
          </w:p>
        </w:tc>
        <w:tc>
          <w:tcPr>
            <w:tcW w:w="1181" w:type="dxa"/>
            <w:tcBorders>
              <w:top w:val="single" w:sz="4" w:space="0" w:color="auto"/>
              <w:left w:val="nil"/>
              <w:bottom w:val="single" w:sz="4" w:space="0" w:color="auto"/>
              <w:right w:val="single" w:sz="4" w:space="0" w:color="auto"/>
            </w:tcBorders>
            <w:shd w:val="clear" w:color="000000" w:fill="CCFFFF"/>
            <w:noWrap/>
            <w:vAlign w:val="center"/>
            <w:hideMark/>
          </w:tcPr>
          <w:p w14:paraId="1484BA15"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1999</w:t>
            </w:r>
          </w:p>
        </w:tc>
        <w:tc>
          <w:tcPr>
            <w:tcW w:w="1181" w:type="dxa"/>
            <w:tcBorders>
              <w:top w:val="single" w:sz="4" w:space="0" w:color="auto"/>
              <w:left w:val="nil"/>
              <w:bottom w:val="single" w:sz="4" w:space="0" w:color="auto"/>
              <w:right w:val="single" w:sz="4" w:space="0" w:color="auto"/>
            </w:tcBorders>
            <w:shd w:val="clear" w:color="000000" w:fill="CCFFFF"/>
            <w:vAlign w:val="center"/>
          </w:tcPr>
          <w:p w14:paraId="42E36389" w14:textId="77777777" w:rsidR="00B56301" w:rsidRPr="00364545" w:rsidRDefault="00B56301" w:rsidP="00B37B65">
            <w:pPr>
              <w:jc w:val="center"/>
              <w:rPr>
                <w:rFonts w:ascii="Times New Roman" w:hAnsi="Times New Roman"/>
                <w:b/>
                <w:bCs/>
                <w:sz w:val="16"/>
                <w:szCs w:val="16"/>
              </w:rPr>
            </w:pPr>
            <w:r w:rsidRPr="00364545">
              <w:rPr>
                <w:b/>
                <w:sz w:val="16"/>
              </w:rPr>
              <w:t>2000</w:t>
            </w:r>
          </w:p>
        </w:tc>
      </w:tr>
      <w:tr w:rsidR="00543241" w:rsidRPr="00364545" w14:paraId="2A72FCD8" w14:textId="77777777" w:rsidTr="00543241">
        <w:trPr>
          <w:trHeight w:val="68"/>
          <w:jc w:val="center"/>
        </w:trPr>
        <w:tc>
          <w:tcPr>
            <w:tcW w:w="286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ED3CD1E"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16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E70C6A7" w14:textId="5C463E28" w:rsidR="00543241" w:rsidRPr="00364545" w:rsidRDefault="00543241" w:rsidP="00543241">
            <w:pPr>
              <w:jc w:val="right"/>
              <w:rPr>
                <w:rFonts w:ascii="Times New Roman" w:hAnsi="Times New Roman"/>
                <w:sz w:val="16"/>
                <w:szCs w:val="16"/>
              </w:rPr>
            </w:pPr>
            <w:r w:rsidRPr="00CB4B9F">
              <w:rPr>
                <w:sz w:val="14"/>
                <w:szCs w:val="14"/>
              </w:rPr>
              <w:t>361120,67</w:t>
            </w:r>
          </w:p>
        </w:tc>
        <w:tc>
          <w:tcPr>
            <w:tcW w:w="1167" w:type="dxa"/>
            <w:tcBorders>
              <w:top w:val="single" w:sz="4" w:space="0" w:color="auto"/>
              <w:left w:val="nil"/>
              <w:bottom w:val="single" w:sz="4" w:space="0" w:color="auto"/>
              <w:right w:val="single" w:sz="4" w:space="0" w:color="auto"/>
            </w:tcBorders>
            <w:shd w:val="clear" w:color="000000" w:fill="CCFFFF"/>
            <w:noWrap/>
            <w:vAlign w:val="bottom"/>
            <w:hideMark/>
          </w:tcPr>
          <w:p w14:paraId="1781A47A" w14:textId="0DCB70E2" w:rsidR="00543241" w:rsidRPr="00364545" w:rsidRDefault="00543241" w:rsidP="00543241">
            <w:pPr>
              <w:jc w:val="right"/>
              <w:rPr>
                <w:rFonts w:ascii="Times New Roman" w:hAnsi="Times New Roman"/>
                <w:sz w:val="16"/>
                <w:szCs w:val="16"/>
              </w:rPr>
            </w:pPr>
            <w:r w:rsidRPr="00CB4B9F">
              <w:rPr>
                <w:sz w:val="14"/>
                <w:szCs w:val="14"/>
              </w:rPr>
              <w:t>370782,17</w:t>
            </w:r>
          </w:p>
        </w:tc>
        <w:tc>
          <w:tcPr>
            <w:tcW w:w="1196" w:type="dxa"/>
            <w:tcBorders>
              <w:top w:val="single" w:sz="4" w:space="0" w:color="auto"/>
              <w:left w:val="nil"/>
              <w:bottom w:val="single" w:sz="4" w:space="0" w:color="auto"/>
              <w:right w:val="single" w:sz="4" w:space="0" w:color="auto"/>
            </w:tcBorders>
            <w:shd w:val="clear" w:color="000000" w:fill="CCFFFF"/>
            <w:noWrap/>
            <w:vAlign w:val="bottom"/>
            <w:hideMark/>
          </w:tcPr>
          <w:p w14:paraId="638F8B73" w14:textId="50B6343D" w:rsidR="00543241" w:rsidRPr="00364545" w:rsidRDefault="00543241" w:rsidP="00543241">
            <w:pPr>
              <w:jc w:val="right"/>
              <w:rPr>
                <w:rFonts w:ascii="Times New Roman" w:hAnsi="Times New Roman"/>
                <w:sz w:val="16"/>
                <w:szCs w:val="16"/>
              </w:rPr>
            </w:pPr>
            <w:r w:rsidRPr="00CB4B9F">
              <w:rPr>
                <w:sz w:val="14"/>
                <w:szCs w:val="14"/>
              </w:rPr>
              <w:t>363788,94</w:t>
            </w:r>
          </w:p>
        </w:tc>
        <w:tc>
          <w:tcPr>
            <w:tcW w:w="1182" w:type="dxa"/>
            <w:tcBorders>
              <w:top w:val="single" w:sz="4" w:space="0" w:color="auto"/>
              <w:left w:val="nil"/>
              <w:bottom w:val="single" w:sz="4" w:space="0" w:color="auto"/>
              <w:right w:val="single" w:sz="4" w:space="0" w:color="auto"/>
            </w:tcBorders>
            <w:shd w:val="clear" w:color="000000" w:fill="CCFFFF"/>
            <w:noWrap/>
            <w:vAlign w:val="bottom"/>
            <w:hideMark/>
          </w:tcPr>
          <w:p w14:paraId="14E59E49" w14:textId="78FEF374" w:rsidR="00543241" w:rsidRPr="00364545" w:rsidRDefault="00543241" w:rsidP="00543241">
            <w:pPr>
              <w:jc w:val="right"/>
              <w:rPr>
                <w:rFonts w:ascii="Times New Roman" w:hAnsi="Times New Roman"/>
                <w:sz w:val="16"/>
                <w:szCs w:val="16"/>
              </w:rPr>
            </w:pPr>
            <w:r w:rsidRPr="00CB4B9F">
              <w:rPr>
                <w:sz w:val="14"/>
                <w:szCs w:val="14"/>
              </w:rPr>
              <w:t>382286,23</w:t>
            </w:r>
          </w:p>
        </w:tc>
        <w:tc>
          <w:tcPr>
            <w:tcW w:w="1181" w:type="dxa"/>
            <w:tcBorders>
              <w:top w:val="single" w:sz="4" w:space="0" w:color="auto"/>
              <w:left w:val="nil"/>
              <w:bottom w:val="single" w:sz="4" w:space="0" w:color="auto"/>
              <w:right w:val="single" w:sz="4" w:space="0" w:color="auto"/>
            </w:tcBorders>
            <w:shd w:val="clear" w:color="000000" w:fill="CCFFFF"/>
            <w:noWrap/>
            <w:vAlign w:val="bottom"/>
            <w:hideMark/>
          </w:tcPr>
          <w:p w14:paraId="47F61263" w14:textId="67CEAD89" w:rsidR="00543241" w:rsidRPr="00364545" w:rsidRDefault="00543241" w:rsidP="00543241">
            <w:pPr>
              <w:jc w:val="right"/>
              <w:rPr>
                <w:rFonts w:ascii="Times New Roman" w:hAnsi="Times New Roman"/>
                <w:sz w:val="16"/>
                <w:szCs w:val="16"/>
              </w:rPr>
            </w:pPr>
            <w:r w:rsidRPr="00CB4B9F">
              <w:rPr>
                <w:sz w:val="14"/>
                <w:szCs w:val="14"/>
              </w:rPr>
              <w:t>378132,88</w:t>
            </w:r>
          </w:p>
        </w:tc>
        <w:tc>
          <w:tcPr>
            <w:tcW w:w="1181" w:type="dxa"/>
            <w:tcBorders>
              <w:top w:val="single" w:sz="4" w:space="0" w:color="auto"/>
              <w:left w:val="nil"/>
              <w:bottom w:val="single" w:sz="4" w:space="0" w:color="auto"/>
              <w:right w:val="single" w:sz="4" w:space="0" w:color="auto"/>
            </w:tcBorders>
            <w:shd w:val="clear" w:color="000000" w:fill="CCFFFF"/>
            <w:vAlign w:val="bottom"/>
          </w:tcPr>
          <w:p w14:paraId="462C3ED3" w14:textId="7EE45F78" w:rsidR="00543241" w:rsidRPr="00364545" w:rsidRDefault="00543241" w:rsidP="00543241">
            <w:pPr>
              <w:jc w:val="right"/>
              <w:rPr>
                <w:rFonts w:ascii="Times New Roman" w:hAnsi="Times New Roman"/>
                <w:sz w:val="16"/>
                <w:szCs w:val="16"/>
              </w:rPr>
            </w:pPr>
            <w:r w:rsidRPr="00CB4B9F">
              <w:rPr>
                <w:sz w:val="14"/>
                <w:szCs w:val="14"/>
              </w:rPr>
              <w:t>390193,77</w:t>
            </w:r>
          </w:p>
        </w:tc>
      </w:tr>
      <w:tr w:rsidR="00543241" w:rsidRPr="00364545" w14:paraId="582B10DA" w14:textId="77777777" w:rsidTr="00543241">
        <w:trPr>
          <w:trHeight w:val="68"/>
          <w:jc w:val="center"/>
        </w:trPr>
        <w:tc>
          <w:tcPr>
            <w:tcW w:w="286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85ABC4B"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1. Energy</w:t>
            </w:r>
          </w:p>
        </w:tc>
        <w:tc>
          <w:tcPr>
            <w:tcW w:w="1167" w:type="dxa"/>
            <w:tcBorders>
              <w:top w:val="nil"/>
              <w:left w:val="nil"/>
              <w:bottom w:val="single" w:sz="4" w:space="0" w:color="auto"/>
              <w:right w:val="single" w:sz="4" w:space="0" w:color="auto"/>
            </w:tcBorders>
            <w:shd w:val="clear" w:color="000000" w:fill="CCFFFF"/>
            <w:noWrap/>
            <w:vAlign w:val="bottom"/>
            <w:hideMark/>
          </w:tcPr>
          <w:p w14:paraId="6BF64A35" w14:textId="1A2F84B8" w:rsidR="00543241" w:rsidRPr="000D1437" w:rsidRDefault="00543241" w:rsidP="00543241">
            <w:pPr>
              <w:jc w:val="right"/>
              <w:rPr>
                <w:rFonts w:ascii="Times New Roman" w:hAnsi="Times New Roman"/>
                <w:sz w:val="14"/>
                <w:szCs w:val="14"/>
              </w:rPr>
            </w:pPr>
            <w:r w:rsidRPr="000D1437">
              <w:rPr>
                <w:sz w:val="14"/>
                <w:szCs w:val="14"/>
              </w:rPr>
              <w:t>350114,94</w:t>
            </w:r>
          </w:p>
        </w:tc>
        <w:tc>
          <w:tcPr>
            <w:tcW w:w="1167" w:type="dxa"/>
            <w:tcBorders>
              <w:top w:val="nil"/>
              <w:left w:val="nil"/>
              <w:bottom w:val="single" w:sz="4" w:space="0" w:color="auto"/>
              <w:right w:val="single" w:sz="4" w:space="0" w:color="auto"/>
            </w:tcBorders>
            <w:shd w:val="clear" w:color="000000" w:fill="CCFFFF"/>
            <w:noWrap/>
            <w:vAlign w:val="bottom"/>
            <w:hideMark/>
          </w:tcPr>
          <w:p w14:paraId="6289BF99" w14:textId="2C033FB7" w:rsidR="00543241" w:rsidRPr="000D1437" w:rsidRDefault="00543241" w:rsidP="00543241">
            <w:pPr>
              <w:jc w:val="right"/>
              <w:rPr>
                <w:rFonts w:ascii="Times New Roman" w:hAnsi="Times New Roman"/>
                <w:sz w:val="14"/>
                <w:szCs w:val="14"/>
              </w:rPr>
            </w:pPr>
            <w:r w:rsidRPr="000D1437">
              <w:rPr>
                <w:sz w:val="14"/>
                <w:szCs w:val="14"/>
              </w:rPr>
              <w:t>366152,54</w:t>
            </w:r>
          </w:p>
        </w:tc>
        <w:tc>
          <w:tcPr>
            <w:tcW w:w="1196" w:type="dxa"/>
            <w:tcBorders>
              <w:top w:val="nil"/>
              <w:left w:val="nil"/>
              <w:bottom w:val="single" w:sz="4" w:space="0" w:color="auto"/>
              <w:right w:val="single" w:sz="4" w:space="0" w:color="auto"/>
            </w:tcBorders>
            <w:shd w:val="clear" w:color="000000" w:fill="CCFFFF"/>
            <w:noWrap/>
            <w:vAlign w:val="bottom"/>
            <w:hideMark/>
          </w:tcPr>
          <w:p w14:paraId="59884399" w14:textId="13B02427" w:rsidR="00543241" w:rsidRPr="000D1437" w:rsidRDefault="00543241" w:rsidP="00543241">
            <w:pPr>
              <w:jc w:val="right"/>
              <w:rPr>
                <w:rFonts w:ascii="Times New Roman" w:hAnsi="Times New Roman"/>
                <w:sz w:val="14"/>
                <w:szCs w:val="14"/>
              </w:rPr>
            </w:pPr>
            <w:r w:rsidRPr="000D1437">
              <w:rPr>
                <w:sz w:val="14"/>
                <w:szCs w:val="14"/>
              </w:rPr>
              <w:t>358000,63</w:t>
            </w:r>
          </w:p>
        </w:tc>
        <w:tc>
          <w:tcPr>
            <w:tcW w:w="1182" w:type="dxa"/>
            <w:tcBorders>
              <w:top w:val="nil"/>
              <w:left w:val="nil"/>
              <w:bottom w:val="single" w:sz="4" w:space="0" w:color="auto"/>
              <w:right w:val="single" w:sz="4" w:space="0" w:color="auto"/>
            </w:tcBorders>
            <w:shd w:val="clear" w:color="000000" w:fill="CCFFFF"/>
            <w:noWrap/>
            <w:vAlign w:val="bottom"/>
            <w:hideMark/>
          </w:tcPr>
          <w:p w14:paraId="5B961774" w14:textId="6767A962" w:rsidR="00543241" w:rsidRPr="000D1437" w:rsidRDefault="00543241" w:rsidP="00543241">
            <w:pPr>
              <w:jc w:val="right"/>
              <w:rPr>
                <w:rFonts w:ascii="Times New Roman" w:hAnsi="Times New Roman"/>
                <w:sz w:val="14"/>
                <w:szCs w:val="14"/>
              </w:rPr>
            </w:pPr>
            <w:r w:rsidRPr="000D1437">
              <w:rPr>
                <w:sz w:val="14"/>
                <w:szCs w:val="14"/>
              </w:rPr>
              <w:t>377369,92</w:t>
            </w:r>
          </w:p>
        </w:tc>
        <w:tc>
          <w:tcPr>
            <w:tcW w:w="1181" w:type="dxa"/>
            <w:tcBorders>
              <w:top w:val="nil"/>
              <w:left w:val="nil"/>
              <w:bottom w:val="single" w:sz="4" w:space="0" w:color="auto"/>
              <w:right w:val="single" w:sz="4" w:space="0" w:color="auto"/>
            </w:tcBorders>
            <w:shd w:val="clear" w:color="000000" w:fill="CCFFFF"/>
            <w:noWrap/>
            <w:vAlign w:val="bottom"/>
            <w:hideMark/>
          </w:tcPr>
          <w:p w14:paraId="280E92EF" w14:textId="0ED9FDCE" w:rsidR="00543241" w:rsidRPr="000D1437" w:rsidRDefault="00543241" w:rsidP="00543241">
            <w:pPr>
              <w:jc w:val="right"/>
              <w:rPr>
                <w:rFonts w:ascii="Times New Roman" w:hAnsi="Times New Roman"/>
                <w:sz w:val="14"/>
                <w:szCs w:val="14"/>
              </w:rPr>
            </w:pPr>
            <w:r w:rsidRPr="000D1437">
              <w:rPr>
                <w:sz w:val="14"/>
                <w:szCs w:val="14"/>
              </w:rPr>
              <w:t>376234,10</w:t>
            </w:r>
          </w:p>
        </w:tc>
        <w:tc>
          <w:tcPr>
            <w:tcW w:w="1181" w:type="dxa"/>
            <w:tcBorders>
              <w:top w:val="nil"/>
              <w:left w:val="nil"/>
              <w:bottom w:val="single" w:sz="4" w:space="0" w:color="auto"/>
              <w:right w:val="single" w:sz="4" w:space="0" w:color="auto"/>
            </w:tcBorders>
            <w:shd w:val="clear" w:color="000000" w:fill="CCFFFF"/>
            <w:vAlign w:val="bottom"/>
          </w:tcPr>
          <w:p w14:paraId="5227B3D7" w14:textId="5BEA7C36" w:rsidR="00543241" w:rsidRPr="000D1437" w:rsidRDefault="00543241" w:rsidP="00543241">
            <w:pPr>
              <w:jc w:val="right"/>
              <w:rPr>
                <w:rFonts w:ascii="Times New Roman" w:hAnsi="Times New Roman"/>
                <w:sz w:val="14"/>
                <w:szCs w:val="14"/>
              </w:rPr>
            </w:pPr>
            <w:r w:rsidRPr="000D1437">
              <w:rPr>
                <w:sz w:val="14"/>
                <w:szCs w:val="14"/>
              </w:rPr>
              <w:t>370521,77</w:t>
            </w:r>
          </w:p>
        </w:tc>
      </w:tr>
      <w:tr w:rsidR="00543241" w:rsidRPr="00364545" w14:paraId="4DB2661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7325B8F"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167" w:type="dxa"/>
            <w:tcBorders>
              <w:top w:val="nil"/>
              <w:left w:val="nil"/>
              <w:bottom w:val="single" w:sz="4" w:space="0" w:color="auto"/>
              <w:right w:val="single" w:sz="4" w:space="0" w:color="auto"/>
            </w:tcBorders>
            <w:shd w:val="clear" w:color="000000" w:fill="CCFFFF"/>
            <w:noWrap/>
            <w:vAlign w:val="bottom"/>
            <w:hideMark/>
          </w:tcPr>
          <w:p w14:paraId="31EF20B1" w14:textId="4DABFC2F" w:rsidR="00543241" w:rsidRPr="000D1437" w:rsidRDefault="00543241" w:rsidP="00543241">
            <w:pPr>
              <w:jc w:val="right"/>
              <w:rPr>
                <w:rFonts w:ascii="Times New Roman" w:hAnsi="Times New Roman"/>
                <w:sz w:val="14"/>
                <w:szCs w:val="14"/>
              </w:rPr>
            </w:pPr>
            <w:r w:rsidRPr="000D1437">
              <w:rPr>
                <w:sz w:val="14"/>
                <w:szCs w:val="14"/>
              </w:rPr>
              <w:t>345693,77</w:t>
            </w:r>
          </w:p>
        </w:tc>
        <w:tc>
          <w:tcPr>
            <w:tcW w:w="1167" w:type="dxa"/>
            <w:tcBorders>
              <w:top w:val="nil"/>
              <w:left w:val="nil"/>
              <w:bottom w:val="single" w:sz="4" w:space="0" w:color="auto"/>
              <w:right w:val="single" w:sz="4" w:space="0" w:color="auto"/>
            </w:tcBorders>
            <w:shd w:val="clear" w:color="000000" w:fill="CCFFFF"/>
            <w:noWrap/>
            <w:vAlign w:val="bottom"/>
            <w:hideMark/>
          </w:tcPr>
          <w:p w14:paraId="3DC5F26E" w14:textId="59F6655F" w:rsidR="00543241" w:rsidRPr="000D1437" w:rsidRDefault="00543241" w:rsidP="00543241">
            <w:pPr>
              <w:jc w:val="right"/>
              <w:rPr>
                <w:rFonts w:ascii="Times New Roman" w:hAnsi="Times New Roman"/>
                <w:sz w:val="14"/>
                <w:szCs w:val="14"/>
              </w:rPr>
            </w:pPr>
            <w:r w:rsidRPr="000D1437">
              <w:rPr>
                <w:sz w:val="14"/>
                <w:szCs w:val="14"/>
              </w:rPr>
              <w:t>361559,70</w:t>
            </w:r>
          </w:p>
        </w:tc>
        <w:tc>
          <w:tcPr>
            <w:tcW w:w="1196" w:type="dxa"/>
            <w:tcBorders>
              <w:top w:val="nil"/>
              <w:left w:val="nil"/>
              <w:bottom w:val="single" w:sz="4" w:space="0" w:color="auto"/>
              <w:right w:val="single" w:sz="4" w:space="0" w:color="auto"/>
            </w:tcBorders>
            <w:shd w:val="clear" w:color="000000" w:fill="CCFFFF"/>
            <w:noWrap/>
            <w:vAlign w:val="bottom"/>
            <w:hideMark/>
          </w:tcPr>
          <w:p w14:paraId="6DF22E6A" w14:textId="5C9BE698" w:rsidR="00543241" w:rsidRPr="000D1437" w:rsidRDefault="00543241" w:rsidP="00543241">
            <w:pPr>
              <w:jc w:val="right"/>
              <w:rPr>
                <w:rFonts w:ascii="Times New Roman" w:hAnsi="Times New Roman"/>
                <w:sz w:val="14"/>
                <w:szCs w:val="14"/>
              </w:rPr>
            </w:pPr>
            <w:r w:rsidRPr="000D1437">
              <w:rPr>
                <w:sz w:val="14"/>
                <w:szCs w:val="14"/>
              </w:rPr>
              <w:t>353459,73</w:t>
            </w:r>
          </w:p>
        </w:tc>
        <w:tc>
          <w:tcPr>
            <w:tcW w:w="1182" w:type="dxa"/>
            <w:tcBorders>
              <w:top w:val="nil"/>
              <w:left w:val="nil"/>
              <w:bottom w:val="single" w:sz="4" w:space="0" w:color="auto"/>
              <w:right w:val="single" w:sz="4" w:space="0" w:color="auto"/>
            </w:tcBorders>
            <w:shd w:val="clear" w:color="000000" w:fill="CCFFFF"/>
            <w:noWrap/>
            <w:vAlign w:val="bottom"/>
            <w:hideMark/>
          </w:tcPr>
          <w:p w14:paraId="7EEB8B25" w14:textId="63EA4370" w:rsidR="00543241" w:rsidRPr="000D1437" w:rsidRDefault="00543241" w:rsidP="00543241">
            <w:pPr>
              <w:jc w:val="right"/>
              <w:rPr>
                <w:rFonts w:ascii="Times New Roman" w:hAnsi="Times New Roman"/>
                <w:sz w:val="14"/>
                <w:szCs w:val="14"/>
              </w:rPr>
            </w:pPr>
            <w:r w:rsidRPr="000D1437">
              <w:rPr>
                <w:sz w:val="14"/>
                <w:szCs w:val="14"/>
              </w:rPr>
              <w:t>372912,75</w:t>
            </w:r>
          </w:p>
        </w:tc>
        <w:tc>
          <w:tcPr>
            <w:tcW w:w="1181" w:type="dxa"/>
            <w:tcBorders>
              <w:top w:val="nil"/>
              <w:left w:val="nil"/>
              <w:bottom w:val="single" w:sz="4" w:space="0" w:color="auto"/>
              <w:right w:val="single" w:sz="4" w:space="0" w:color="auto"/>
            </w:tcBorders>
            <w:shd w:val="clear" w:color="000000" w:fill="CCFFFF"/>
            <w:noWrap/>
            <w:vAlign w:val="bottom"/>
            <w:hideMark/>
          </w:tcPr>
          <w:p w14:paraId="2D460759" w14:textId="2D2A00F2" w:rsidR="00543241" w:rsidRPr="000D1437" w:rsidRDefault="00543241" w:rsidP="00543241">
            <w:pPr>
              <w:jc w:val="right"/>
              <w:rPr>
                <w:rFonts w:ascii="Times New Roman" w:hAnsi="Times New Roman"/>
                <w:sz w:val="14"/>
                <w:szCs w:val="14"/>
              </w:rPr>
            </w:pPr>
            <w:r w:rsidRPr="000D1437">
              <w:rPr>
                <w:sz w:val="14"/>
                <w:szCs w:val="14"/>
              </w:rPr>
              <w:t>372086,72</w:t>
            </w:r>
          </w:p>
        </w:tc>
        <w:tc>
          <w:tcPr>
            <w:tcW w:w="1181" w:type="dxa"/>
            <w:tcBorders>
              <w:top w:val="nil"/>
              <w:left w:val="nil"/>
              <w:bottom w:val="single" w:sz="4" w:space="0" w:color="auto"/>
              <w:right w:val="single" w:sz="4" w:space="0" w:color="auto"/>
            </w:tcBorders>
            <w:shd w:val="clear" w:color="000000" w:fill="CCFFFF"/>
            <w:vAlign w:val="bottom"/>
          </w:tcPr>
          <w:p w14:paraId="7294B360" w14:textId="3F7314E9" w:rsidR="00543241" w:rsidRPr="000D1437" w:rsidRDefault="00543241" w:rsidP="00543241">
            <w:pPr>
              <w:jc w:val="right"/>
              <w:rPr>
                <w:rFonts w:ascii="Times New Roman" w:hAnsi="Times New Roman"/>
                <w:sz w:val="14"/>
                <w:szCs w:val="14"/>
              </w:rPr>
            </w:pPr>
            <w:r w:rsidRPr="000D1437">
              <w:rPr>
                <w:sz w:val="14"/>
                <w:szCs w:val="14"/>
              </w:rPr>
              <w:t>366225,36</w:t>
            </w:r>
          </w:p>
        </w:tc>
      </w:tr>
      <w:tr w:rsidR="00543241" w:rsidRPr="00364545" w14:paraId="2C982191"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5003F9F1" w14:textId="2296C120"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167" w:type="dxa"/>
            <w:tcBorders>
              <w:top w:val="nil"/>
              <w:left w:val="nil"/>
              <w:bottom w:val="single" w:sz="4" w:space="0" w:color="auto"/>
              <w:right w:val="single" w:sz="4" w:space="0" w:color="auto"/>
            </w:tcBorders>
            <w:shd w:val="clear" w:color="000000" w:fill="FFFFFF"/>
            <w:noWrap/>
            <w:vAlign w:val="bottom"/>
            <w:hideMark/>
          </w:tcPr>
          <w:p w14:paraId="43986E1D" w14:textId="3CF6160C" w:rsidR="00543241" w:rsidRPr="000D1437" w:rsidRDefault="00543241" w:rsidP="00543241">
            <w:pPr>
              <w:jc w:val="right"/>
              <w:rPr>
                <w:rFonts w:ascii="Times New Roman" w:hAnsi="Times New Roman"/>
                <w:sz w:val="14"/>
                <w:szCs w:val="14"/>
              </w:rPr>
            </w:pPr>
            <w:r w:rsidRPr="000D1437">
              <w:rPr>
                <w:sz w:val="14"/>
                <w:szCs w:val="14"/>
              </w:rPr>
              <w:t>55329,47</w:t>
            </w:r>
          </w:p>
        </w:tc>
        <w:tc>
          <w:tcPr>
            <w:tcW w:w="1167" w:type="dxa"/>
            <w:tcBorders>
              <w:top w:val="nil"/>
              <w:left w:val="nil"/>
              <w:bottom w:val="single" w:sz="4" w:space="0" w:color="auto"/>
              <w:right w:val="single" w:sz="4" w:space="0" w:color="auto"/>
            </w:tcBorders>
            <w:shd w:val="clear" w:color="000000" w:fill="FFFFFF"/>
            <w:noWrap/>
            <w:vAlign w:val="bottom"/>
            <w:hideMark/>
          </w:tcPr>
          <w:p w14:paraId="49C52706" w14:textId="47B89750" w:rsidR="00543241" w:rsidRPr="000D1437" w:rsidRDefault="00543241" w:rsidP="00543241">
            <w:pPr>
              <w:jc w:val="right"/>
              <w:rPr>
                <w:rFonts w:ascii="Times New Roman" w:hAnsi="Times New Roman"/>
                <w:sz w:val="14"/>
                <w:szCs w:val="14"/>
              </w:rPr>
            </w:pPr>
            <w:r w:rsidRPr="000D1437">
              <w:rPr>
                <w:sz w:val="14"/>
                <w:szCs w:val="14"/>
              </w:rPr>
              <w:t>59998,95</w:t>
            </w:r>
          </w:p>
        </w:tc>
        <w:tc>
          <w:tcPr>
            <w:tcW w:w="1196" w:type="dxa"/>
            <w:tcBorders>
              <w:top w:val="nil"/>
              <w:left w:val="nil"/>
              <w:bottom w:val="single" w:sz="4" w:space="0" w:color="auto"/>
              <w:right w:val="single" w:sz="4" w:space="0" w:color="auto"/>
            </w:tcBorders>
            <w:shd w:val="clear" w:color="000000" w:fill="FFFFFF"/>
            <w:noWrap/>
            <w:vAlign w:val="bottom"/>
            <w:hideMark/>
          </w:tcPr>
          <w:p w14:paraId="2B76FEE0" w14:textId="0F91A072" w:rsidR="00543241" w:rsidRPr="000D1437" w:rsidRDefault="00543241" w:rsidP="00543241">
            <w:pPr>
              <w:jc w:val="right"/>
              <w:rPr>
                <w:rFonts w:ascii="Times New Roman" w:hAnsi="Times New Roman"/>
                <w:sz w:val="14"/>
                <w:szCs w:val="14"/>
              </w:rPr>
            </w:pPr>
            <w:r w:rsidRPr="000D1437">
              <w:rPr>
                <w:sz w:val="14"/>
                <w:szCs w:val="14"/>
              </w:rPr>
              <w:t>56427,99</w:t>
            </w:r>
          </w:p>
        </w:tc>
        <w:tc>
          <w:tcPr>
            <w:tcW w:w="1182" w:type="dxa"/>
            <w:tcBorders>
              <w:top w:val="nil"/>
              <w:left w:val="nil"/>
              <w:bottom w:val="single" w:sz="4" w:space="0" w:color="auto"/>
              <w:right w:val="single" w:sz="4" w:space="0" w:color="auto"/>
            </w:tcBorders>
            <w:shd w:val="clear" w:color="000000" w:fill="FFFFFF"/>
            <w:noWrap/>
            <w:vAlign w:val="bottom"/>
            <w:hideMark/>
          </w:tcPr>
          <w:p w14:paraId="0F1CAE38" w14:textId="60C4FAB9" w:rsidR="00543241" w:rsidRPr="000D1437" w:rsidRDefault="00543241" w:rsidP="00543241">
            <w:pPr>
              <w:jc w:val="right"/>
              <w:rPr>
                <w:rFonts w:ascii="Times New Roman" w:hAnsi="Times New Roman"/>
                <w:sz w:val="14"/>
                <w:szCs w:val="14"/>
              </w:rPr>
            </w:pPr>
            <w:r w:rsidRPr="000D1437">
              <w:rPr>
                <w:sz w:val="14"/>
                <w:szCs w:val="14"/>
              </w:rPr>
              <w:t>68949,74</w:t>
            </w:r>
          </w:p>
        </w:tc>
        <w:tc>
          <w:tcPr>
            <w:tcW w:w="1181" w:type="dxa"/>
            <w:tcBorders>
              <w:top w:val="nil"/>
              <w:left w:val="nil"/>
              <w:bottom w:val="single" w:sz="4" w:space="0" w:color="auto"/>
              <w:right w:val="single" w:sz="4" w:space="0" w:color="auto"/>
            </w:tcBorders>
            <w:shd w:val="clear" w:color="000000" w:fill="FFFFFF"/>
            <w:noWrap/>
            <w:vAlign w:val="bottom"/>
            <w:hideMark/>
          </w:tcPr>
          <w:p w14:paraId="5A5461D3" w14:textId="7FD365B8" w:rsidR="00543241" w:rsidRPr="000D1437" w:rsidRDefault="00543241" w:rsidP="00543241">
            <w:pPr>
              <w:jc w:val="right"/>
              <w:rPr>
                <w:rFonts w:ascii="Times New Roman" w:hAnsi="Times New Roman"/>
                <w:sz w:val="14"/>
                <w:szCs w:val="14"/>
              </w:rPr>
            </w:pPr>
            <w:r w:rsidRPr="000D1437">
              <w:rPr>
                <w:sz w:val="14"/>
                <w:szCs w:val="14"/>
              </w:rPr>
              <w:t>62422,56</w:t>
            </w:r>
          </w:p>
        </w:tc>
        <w:tc>
          <w:tcPr>
            <w:tcW w:w="1181" w:type="dxa"/>
            <w:tcBorders>
              <w:top w:val="nil"/>
              <w:left w:val="nil"/>
              <w:bottom w:val="single" w:sz="4" w:space="0" w:color="auto"/>
              <w:right w:val="single" w:sz="4" w:space="0" w:color="auto"/>
            </w:tcBorders>
            <w:shd w:val="clear" w:color="000000" w:fill="FFFFFF"/>
            <w:vAlign w:val="bottom"/>
          </w:tcPr>
          <w:p w14:paraId="7239C06E" w14:textId="6BF22DDD" w:rsidR="00543241" w:rsidRPr="000D1437" w:rsidRDefault="00543241" w:rsidP="00543241">
            <w:pPr>
              <w:jc w:val="right"/>
              <w:rPr>
                <w:rFonts w:ascii="Times New Roman" w:hAnsi="Times New Roman"/>
                <w:sz w:val="14"/>
                <w:szCs w:val="14"/>
              </w:rPr>
            </w:pPr>
            <w:r w:rsidRPr="000D1437">
              <w:rPr>
                <w:sz w:val="14"/>
                <w:szCs w:val="14"/>
              </w:rPr>
              <w:t>61956,30</w:t>
            </w:r>
          </w:p>
        </w:tc>
      </w:tr>
      <w:tr w:rsidR="00543241" w:rsidRPr="00364545" w14:paraId="2453609C"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634C76D7" w14:textId="0C7BBF19"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167" w:type="dxa"/>
            <w:tcBorders>
              <w:top w:val="nil"/>
              <w:left w:val="nil"/>
              <w:bottom w:val="single" w:sz="4" w:space="0" w:color="auto"/>
              <w:right w:val="single" w:sz="4" w:space="0" w:color="auto"/>
            </w:tcBorders>
            <w:shd w:val="clear" w:color="000000" w:fill="FFFFFF"/>
            <w:noWrap/>
            <w:vAlign w:val="bottom"/>
            <w:hideMark/>
          </w:tcPr>
          <w:p w14:paraId="0777F4AB" w14:textId="44D67863" w:rsidR="00543241" w:rsidRPr="000D1437" w:rsidRDefault="00543241" w:rsidP="00543241">
            <w:pPr>
              <w:jc w:val="right"/>
              <w:rPr>
                <w:rFonts w:ascii="Times New Roman" w:hAnsi="Times New Roman"/>
                <w:sz w:val="14"/>
                <w:szCs w:val="14"/>
              </w:rPr>
            </w:pPr>
            <w:r w:rsidRPr="000D1437">
              <w:rPr>
                <w:sz w:val="14"/>
                <w:szCs w:val="14"/>
              </w:rPr>
              <w:t>68882,99</w:t>
            </w:r>
          </w:p>
        </w:tc>
        <w:tc>
          <w:tcPr>
            <w:tcW w:w="1167" w:type="dxa"/>
            <w:tcBorders>
              <w:top w:val="nil"/>
              <w:left w:val="nil"/>
              <w:bottom w:val="single" w:sz="4" w:space="0" w:color="auto"/>
              <w:right w:val="single" w:sz="4" w:space="0" w:color="auto"/>
            </w:tcBorders>
            <w:shd w:val="clear" w:color="000000" w:fill="FFFFFF"/>
            <w:noWrap/>
            <w:vAlign w:val="bottom"/>
            <w:hideMark/>
          </w:tcPr>
          <w:p w14:paraId="1FF20071" w14:textId="72D5469A" w:rsidR="00543241" w:rsidRPr="000D1437" w:rsidRDefault="00543241" w:rsidP="00543241">
            <w:pPr>
              <w:jc w:val="right"/>
              <w:rPr>
                <w:rFonts w:ascii="Times New Roman" w:hAnsi="Times New Roman"/>
                <w:sz w:val="14"/>
                <w:szCs w:val="14"/>
              </w:rPr>
            </w:pPr>
            <w:r w:rsidRPr="000D1437">
              <w:rPr>
                <w:sz w:val="14"/>
                <w:szCs w:val="14"/>
              </w:rPr>
              <w:t>71016,82</w:t>
            </w:r>
          </w:p>
        </w:tc>
        <w:tc>
          <w:tcPr>
            <w:tcW w:w="1196" w:type="dxa"/>
            <w:tcBorders>
              <w:top w:val="nil"/>
              <w:left w:val="nil"/>
              <w:bottom w:val="single" w:sz="4" w:space="0" w:color="auto"/>
              <w:right w:val="single" w:sz="4" w:space="0" w:color="auto"/>
            </w:tcBorders>
            <w:shd w:val="clear" w:color="000000" w:fill="FFFFFF"/>
            <w:noWrap/>
            <w:vAlign w:val="bottom"/>
            <w:hideMark/>
          </w:tcPr>
          <w:p w14:paraId="2207AAFF" w14:textId="7B027D93" w:rsidR="00543241" w:rsidRPr="000D1437" w:rsidRDefault="00543241" w:rsidP="00543241">
            <w:pPr>
              <w:jc w:val="right"/>
              <w:rPr>
                <w:rFonts w:ascii="Times New Roman" w:hAnsi="Times New Roman"/>
                <w:sz w:val="14"/>
                <w:szCs w:val="14"/>
              </w:rPr>
            </w:pPr>
            <w:r w:rsidRPr="000D1437">
              <w:rPr>
                <w:sz w:val="14"/>
                <w:szCs w:val="14"/>
              </w:rPr>
              <w:t>69043,20</w:t>
            </w:r>
          </w:p>
        </w:tc>
        <w:tc>
          <w:tcPr>
            <w:tcW w:w="1182" w:type="dxa"/>
            <w:tcBorders>
              <w:top w:val="nil"/>
              <w:left w:val="nil"/>
              <w:bottom w:val="single" w:sz="4" w:space="0" w:color="auto"/>
              <w:right w:val="single" w:sz="4" w:space="0" w:color="auto"/>
            </w:tcBorders>
            <w:shd w:val="clear" w:color="000000" w:fill="FFFFFF"/>
            <w:noWrap/>
            <w:vAlign w:val="bottom"/>
            <w:hideMark/>
          </w:tcPr>
          <w:p w14:paraId="1B37B81B" w14:textId="29986584" w:rsidR="00543241" w:rsidRPr="000D1437" w:rsidRDefault="00543241" w:rsidP="00543241">
            <w:pPr>
              <w:jc w:val="right"/>
              <w:rPr>
                <w:rFonts w:ascii="Times New Roman" w:hAnsi="Times New Roman"/>
                <w:sz w:val="14"/>
                <w:szCs w:val="14"/>
              </w:rPr>
            </w:pPr>
            <w:r w:rsidRPr="000D1437">
              <w:rPr>
                <w:sz w:val="14"/>
                <w:szCs w:val="14"/>
              </w:rPr>
              <w:t>68059,36</w:t>
            </w:r>
          </w:p>
        </w:tc>
        <w:tc>
          <w:tcPr>
            <w:tcW w:w="1181" w:type="dxa"/>
            <w:tcBorders>
              <w:top w:val="nil"/>
              <w:left w:val="nil"/>
              <w:bottom w:val="single" w:sz="4" w:space="0" w:color="auto"/>
              <w:right w:val="single" w:sz="4" w:space="0" w:color="auto"/>
            </w:tcBorders>
            <w:shd w:val="clear" w:color="000000" w:fill="FFFFFF"/>
            <w:noWrap/>
            <w:vAlign w:val="bottom"/>
            <w:hideMark/>
          </w:tcPr>
          <w:p w14:paraId="439E9184" w14:textId="567B4F32" w:rsidR="00543241" w:rsidRPr="000D1437" w:rsidRDefault="00543241" w:rsidP="00543241">
            <w:pPr>
              <w:jc w:val="right"/>
              <w:rPr>
                <w:rFonts w:ascii="Times New Roman" w:hAnsi="Times New Roman"/>
                <w:sz w:val="14"/>
                <w:szCs w:val="14"/>
              </w:rPr>
            </w:pPr>
            <w:r w:rsidRPr="000D1437">
              <w:rPr>
                <w:sz w:val="14"/>
                <w:szCs w:val="14"/>
              </w:rPr>
              <w:t>68646,38</w:t>
            </w:r>
          </w:p>
        </w:tc>
        <w:tc>
          <w:tcPr>
            <w:tcW w:w="1181" w:type="dxa"/>
            <w:tcBorders>
              <w:top w:val="nil"/>
              <w:left w:val="nil"/>
              <w:bottom w:val="single" w:sz="4" w:space="0" w:color="auto"/>
              <w:right w:val="single" w:sz="4" w:space="0" w:color="auto"/>
            </w:tcBorders>
            <w:shd w:val="clear" w:color="000000" w:fill="FFFFFF"/>
            <w:vAlign w:val="bottom"/>
          </w:tcPr>
          <w:p w14:paraId="35414727" w14:textId="539A0DA0" w:rsidR="00543241" w:rsidRPr="000D1437" w:rsidRDefault="00543241" w:rsidP="00543241">
            <w:pPr>
              <w:jc w:val="right"/>
              <w:rPr>
                <w:rFonts w:ascii="Times New Roman" w:hAnsi="Times New Roman"/>
                <w:sz w:val="14"/>
                <w:szCs w:val="14"/>
              </w:rPr>
            </w:pPr>
            <w:r w:rsidRPr="000D1437">
              <w:rPr>
                <w:sz w:val="14"/>
                <w:szCs w:val="14"/>
              </w:rPr>
              <w:t>67107,91</w:t>
            </w:r>
          </w:p>
        </w:tc>
      </w:tr>
      <w:tr w:rsidR="00543241" w:rsidRPr="00364545" w14:paraId="5A2FDD4E"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DAE186A" w14:textId="025ED51D"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167" w:type="dxa"/>
            <w:tcBorders>
              <w:top w:val="nil"/>
              <w:left w:val="nil"/>
              <w:bottom w:val="single" w:sz="4" w:space="0" w:color="auto"/>
              <w:right w:val="single" w:sz="4" w:space="0" w:color="auto"/>
            </w:tcBorders>
            <w:shd w:val="clear" w:color="000000" w:fill="FFFFFF"/>
            <w:noWrap/>
            <w:vAlign w:val="bottom"/>
            <w:hideMark/>
          </w:tcPr>
          <w:p w14:paraId="0AEB68E3" w14:textId="58099282" w:rsidR="00543241" w:rsidRPr="000D1437" w:rsidRDefault="00543241" w:rsidP="00543241">
            <w:pPr>
              <w:jc w:val="right"/>
              <w:rPr>
                <w:rFonts w:ascii="Times New Roman" w:hAnsi="Times New Roman"/>
                <w:sz w:val="14"/>
                <w:szCs w:val="14"/>
              </w:rPr>
            </w:pPr>
            <w:r w:rsidRPr="000D1437">
              <w:rPr>
                <w:sz w:val="14"/>
                <w:szCs w:val="14"/>
              </w:rPr>
              <w:t>129860,95</w:t>
            </w:r>
          </w:p>
        </w:tc>
        <w:tc>
          <w:tcPr>
            <w:tcW w:w="1167" w:type="dxa"/>
            <w:tcBorders>
              <w:top w:val="nil"/>
              <w:left w:val="nil"/>
              <w:bottom w:val="single" w:sz="4" w:space="0" w:color="auto"/>
              <w:right w:val="single" w:sz="4" w:space="0" w:color="auto"/>
            </w:tcBorders>
            <w:shd w:val="clear" w:color="000000" w:fill="FFFFFF"/>
            <w:noWrap/>
            <w:vAlign w:val="bottom"/>
            <w:hideMark/>
          </w:tcPr>
          <w:p w14:paraId="04237FCB" w14:textId="024667D6" w:rsidR="00543241" w:rsidRPr="000D1437" w:rsidRDefault="00543241" w:rsidP="00543241">
            <w:pPr>
              <w:jc w:val="right"/>
              <w:rPr>
                <w:rFonts w:ascii="Times New Roman" w:hAnsi="Times New Roman"/>
                <w:sz w:val="14"/>
                <w:szCs w:val="14"/>
              </w:rPr>
            </w:pPr>
            <w:r w:rsidRPr="000D1437">
              <w:rPr>
                <w:sz w:val="14"/>
                <w:szCs w:val="14"/>
              </w:rPr>
              <w:t>130011,12</w:t>
            </w:r>
          </w:p>
        </w:tc>
        <w:tc>
          <w:tcPr>
            <w:tcW w:w="1196" w:type="dxa"/>
            <w:tcBorders>
              <w:top w:val="nil"/>
              <w:left w:val="nil"/>
              <w:bottom w:val="single" w:sz="4" w:space="0" w:color="auto"/>
              <w:right w:val="single" w:sz="4" w:space="0" w:color="auto"/>
            </w:tcBorders>
            <w:shd w:val="clear" w:color="000000" w:fill="FFFFFF"/>
            <w:noWrap/>
            <w:vAlign w:val="bottom"/>
            <w:hideMark/>
          </w:tcPr>
          <w:p w14:paraId="60EA527B" w14:textId="620A31B7" w:rsidR="00543241" w:rsidRPr="000D1437" w:rsidRDefault="00543241" w:rsidP="00543241">
            <w:pPr>
              <w:jc w:val="right"/>
              <w:rPr>
                <w:rFonts w:ascii="Times New Roman" w:hAnsi="Times New Roman"/>
                <w:sz w:val="14"/>
                <w:szCs w:val="14"/>
              </w:rPr>
            </w:pPr>
            <w:r w:rsidRPr="000D1437">
              <w:rPr>
                <w:sz w:val="14"/>
                <w:szCs w:val="14"/>
              </w:rPr>
              <w:t>132254,66</w:t>
            </w:r>
          </w:p>
        </w:tc>
        <w:tc>
          <w:tcPr>
            <w:tcW w:w="1182" w:type="dxa"/>
            <w:tcBorders>
              <w:top w:val="nil"/>
              <w:left w:val="nil"/>
              <w:bottom w:val="single" w:sz="4" w:space="0" w:color="auto"/>
              <w:right w:val="single" w:sz="4" w:space="0" w:color="auto"/>
            </w:tcBorders>
            <w:shd w:val="clear" w:color="000000" w:fill="FFFFFF"/>
            <w:noWrap/>
            <w:vAlign w:val="bottom"/>
            <w:hideMark/>
          </w:tcPr>
          <w:p w14:paraId="186B1A51" w14:textId="3C22236F" w:rsidR="00543241" w:rsidRPr="000D1437" w:rsidRDefault="00543241" w:rsidP="00543241">
            <w:pPr>
              <w:jc w:val="right"/>
              <w:rPr>
                <w:rFonts w:ascii="Times New Roman" w:hAnsi="Times New Roman"/>
                <w:sz w:val="14"/>
                <w:szCs w:val="14"/>
              </w:rPr>
            </w:pPr>
            <w:r w:rsidRPr="000D1437">
              <w:rPr>
                <w:sz w:val="14"/>
                <w:szCs w:val="14"/>
              </w:rPr>
              <w:t>135636,18</w:t>
            </w:r>
          </w:p>
        </w:tc>
        <w:tc>
          <w:tcPr>
            <w:tcW w:w="1181" w:type="dxa"/>
            <w:tcBorders>
              <w:top w:val="nil"/>
              <w:left w:val="nil"/>
              <w:bottom w:val="single" w:sz="4" w:space="0" w:color="auto"/>
              <w:right w:val="single" w:sz="4" w:space="0" w:color="auto"/>
            </w:tcBorders>
            <w:shd w:val="clear" w:color="000000" w:fill="FFFFFF"/>
            <w:noWrap/>
            <w:vAlign w:val="bottom"/>
            <w:hideMark/>
          </w:tcPr>
          <w:p w14:paraId="5FDD62E6" w14:textId="04B61DAA" w:rsidR="00543241" w:rsidRPr="000D1437" w:rsidRDefault="00543241" w:rsidP="00543241">
            <w:pPr>
              <w:jc w:val="right"/>
              <w:rPr>
                <w:rFonts w:ascii="Times New Roman" w:hAnsi="Times New Roman"/>
                <w:sz w:val="14"/>
                <w:szCs w:val="14"/>
              </w:rPr>
            </w:pPr>
            <w:r w:rsidRPr="000D1437">
              <w:rPr>
                <w:sz w:val="14"/>
                <w:szCs w:val="14"/>
              </w:rPr>
              <w:t>138973,97</w:t>
            </w:r>
          </w:p>
        </w:tc>
        <w:tc>
          <w:tcPr>
            <w:tcW w:w="1181" w:type="dxa"/>
            <w:tcBorders>
              <w:top w:val="nil"/>
              <w:left w:val="nil"/>
              <w:bottom w:val="single" w:sz="4" w:space="0" w:color="auto"/>
              <w:right w:val="single" w:sz="4" w:space="0" w:color="auto"/>
            </w:tcBorders>
            <w:shd w:val="clear" w:color="000000" w:fill="FFFFFF"/>
            <w:vAlign w:val="bottom"/>
          </w:tcPr>
          <w:p w14:paraId="4B280AB7" w14:textId="599CA90C" w:rsidR="00543241" w:rsidRPr="000D1437" w:rsidRDefault="00543241" w:rsidP="00543241">
            <w:pPr>
              <w:jc w:val="right"/>
              <w:rPr>
                <w:rFonts w:ascii="Times New Roman" w:hAnsi="Times New Roman"/>
                <w:sz w:val="14"/>
                <w:szCs w:val="14"/>
              </w:rPr>
            </w:pPr>
            <w:r w:rsidRPr="000D1437">
              <w:rPr>
                <w:sz w:val="14"/>
                <w:szCs w:val="14"/>
              </w:rPr>
              <w:t>139062,05</w:t>
            </w:r>
          </w:p>
        </w:tc>
      </w:tr>
      <w:tr w:rsidR="00543241" w:rsidRPr="00364545" w14:paraId="5EC041EE"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949D678" w14:textId="0B226167"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167" w:type="dxa"/>
            <w:tcBorders>
              <w:top w:val="nil"/>
              <w:left w:val="nil"/>
              <w:bottom w:val="single" w:sz="4" w:space="0" w:color="auto"/>
              <w:right w:val="single" w:sz="4" w:space="0" w:color="auto"/>
            </w:tcBorders>
            <w:shd w:val="clear" w:color="000000" w:fill="FFFFFF"/>
            <w:noWrap/>
            <w:vAlign w:val="bottom"/>
            <w:hideMark/>
          </w:tcPr>
          <w:p w14:paraId="20B5B155" w14:textId="6A0E043A" w:rsidR="00543241" w:rsidRPr="000D1437" w:rsidRDefault="00543241" w:rsidP="00543241">
            <w:pPr>
              <w:jc w:val="right"/>
              <w:rPr>
                <w:rFonts w:ascii="Times New Roman" w:hAnsi="Times New Roman"/>
                <w:sz w:val="14"/>
                <w:szCs w:val="14"/>
              </w:rPr>
            </w:pPr>
            <w:r w:rsidRPr="000D1437">
              <w:rPr>
                <w:sz w:val="14"/>
                <w:szCs w:val="14"/>
              </w:rPr>
              <w:t>91026,79</w:t>
            </w:r>
          </w:p>
        </w:tc>
        <w:tc>
          <w:tcPr>
            <w:tcW w:w="1167" w:type="dxa"/>
            <w:tcBorders>
              <w:top w:val="nil"/>
              <w:left w:val="nil"/>
              <w:bottom w:val="single" w:sz="4" w:space="0" w:color="auto"/>
              <w:right w:val="single" w:sz="4" w:space="0" w:color="auto"/>
            </w:tcBorders>
            <w:shd w:val="clear" w:color="000000" w:fill="FFFFFF"/>
            <w:noWrap/>
            <w:vAlign w:val="bottom"/>
            <w:hideMark/>
          </w:tcPr>
          <w:p w14:paraId="7560C78B" w14:textId="36C5213A" w:rsidR="00543241" w:rsidRPr="000D1437" w:rsidRDefault="00543241" w:rsidP="00543241">
            <w:pPr>
              <w:jc w:val="right"/>
              <w:rPr>
                <w:rFonts w:ascii="Times New Roman" w:hAnsi="Times New Roman"/>
                <w:sz w:val="14"/>
                <w:szCs w:val="14"/>
              </w:rPr>
            </w:pPr>
            <w:r w:rsidRPr="000D1437">
              <w:rPr>
                <w:sz w:val="14"/>
                <w:szCs w:val="14"/>
              </w:rPr>
              <w:t>99550,95</w:t>
            </w:r>
          </w:p>
        </w:tc>
        <w:tc>
          <w:tcPr>
            <w:tcW w:w="1196" w:type="dxa"/>
            <w:tcBorders>
              <w:top w:val="nil"/>
              <w:left w:val="nil"/>
              <w:bottom w:val="single" w:sz="4" w:space="0" w:color="auto"/>
              <w:right w:val="single" w:sz="4" w:space="0" w:color="auto"/>
            </w:tcBorders>
            <w:shd w:val="clear" w:color="000000" w:fill="FFFFFF"/>
            <w:noWrap/>
            <w:vAlign w:val="bottom"/>
            <w:hideMark/>
          </w:tcPr>
          <w:p w14:paraId="1CD40C25" w14:textId="43988716" w:rsidR="00543241" w:rsidRPr="000D1437" w:rsidRDefault="00543241" w:rsidP="00543241">
            <w:pPr>
              <w:jc w:val="right"/>
              <w:rPr>
                <w:rFonts w:ascii="Times New Roman" w:hAnsi="Times New Roman"/>
                <w:sz w:val="14"/>
                <w:szCs w:val="14"/>
              </w:rPr>
            </w:pPr>
            <w:r w:rsidRPr="000D1437">
              <w:rPr>
                <w:sz w:val="14"/>
                <w:szCs w:val="14"/>
              </w:rPr>
              <w:t>94309,73</w:t>
            </w:r>
          </w:p>
        </w:tc>
        <w:tc>
          <w:tcPr>
            <w:tcW w:w="1182" w:type="dxa"/>
            <w:tcBorders>
              <w:top w:val="nil"/>
              <w:left w:val="nil"/>
              <w:bottom w:val="single" w:sz="4" w:space="0" w:color="auto"/>
              <w:right w:val="single" w:sz="4" w:space="0" w:color="auto"/>
            </w:tcBorders>
            <w:shd w:val="clear" w:color="000000" w:fill="FFFFFF"/>
            <w:noWrap/>
            <w:vAlign w:val="bottom"/>
            <w:hideMark/>
          </w:tcPr>
          <w:p w14:paraId="0DE2A99B" w14:textId="4D8328BD" w:rsidR="00543241" w:rsidRPr="000D1437" w:rsidRDefault="00543241" w:rsidP="00543241">
            <w:pPr>
              <w:jc w:val="right"/>
              <w:rPr>
                <w:rFonts w:ascii="Times New Roman" w:hAnsi="Times New Roman"/>
                <w:sz w:val="14"/>
                <w:szCs w:val="14"/>
              </w:rPr>
            </w:pPr>
            <w:r w:rsidRPr="000D1437">
              <w:rPr>
                <w:sz w:val="14"/>
                <w:szCs w:val="14"/>
              </w:rPr>
              <w:t>98214,74</w:t>
            </w:r>
          </w:p>
        </w:tc>
        <w:tc>
          <w:tcPr>
            <w:tcW w:w="1181" w:type="dxa"/>
            <w:tcBorders>
              <w:top w:val="nil"/>
              <w:left w:val="nil"/>
              <w:bottom w:val="single" w:sz="4" w:space="0" w:color="auto"/>
              <w:right w:val="single" w:sz="4" w:space="0" w:color="auto"/>
            </w:tcBorders>
            <w:shd w:val="clear" w:color="000000" w:fill="FFFFFF"/>
            <w:noWrap/>
            <w:vAlign w:val="bottom"/>
            <w:hideMark/>
          </w:tcPr>
          <w:p w14:paraId="4B9161B2" w14:textId="3BBEBB05" w:rsidR="00543241" w:rsidRPr="000D1437" w:rsidRDefault="00543241" w:rsidP="00543241">
            <w:pPr>
              <w:jc w:val="right"/>
              <w:rPr>
                <w:rFonts w:ascii="Times New Roman" w:hAnsi="Times New Roman"/>
                <w:sz w:val="14"/>
                <w:szCs w:val="14"/>
              </w:rPr>
            </w:pPr>
            <w:r w:rsidRPr="000D1437">
              <w:rPr>
                <w:sz w:val="14"/>
                <w:szCs w:val="14"/>
              </w:rPr>
              <w:t>100041,77</w:t>
            </w:r>
          </w:p>
        </w:tc>
        <w:tc>
          <w:tcPr>
            <w:tcW w:w="1181" w:type="dxa"/>
            <w:tcBorders>
              <w:top w:val="nil"/>
              <w:left w:val="nil"/>
              <w:bottom w:val="single" w:sz="4" w:space="0" w:color="auto"/>
              <w:right w:val="single" w:sz="4" w:space="0" w:color="auto"/>
            </w:tcBorders>
            <w:shd w:val="clear" w:color="000000" w:fill="FFFFFF"/>
            <w:vAlign w:val="bottom"/>
          </w:tcPr>
          <w:p w14:paraId="235DC0F5" w14:textId="1F1978EC" w:rsidR="00543241" w:rsidRPr="000D1437" w:rsidRDefault="00543241" w:rsidP="00543241">
            <w:pPr>
              <w:jc w:val="right"/>
              <w:rPr>
                <w:rFonts w:ascii="Times New Roman" w:hAnsi="Times New Roman"/>
                <w:sz w:val="14"/>
                <w:szCs w:val="14"/>
              </w:rPr>
            </w:pPr>
            <w:r w:rsidRPr="000D1437">
              <w:rPr>
                <w:sz w:val="14"/>
                <w:szCs w:val="14"/>
              </w:rPr>
              <w:t>96141,42</w:t>
            </w:r>
          </w:p>
        </w:tc>
      </w:tr>
      <w:tr w:rsidR="00543241" w:rsidRPr="00364545" w14:paraId="0A5BA465"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0AE39E1" w14:textId="40FF51CF"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167" w:type="dxa"/>
            <w:tcBorders>
              <w:top w:val="nil"/>
              <w:left w:val="nil"/>
              <w:bottom w:val="single" w:sz="4" w:space="0" w:color="auto"/>
              <w:right w:val="single" w:sz="4" w:space="0" w:color="auto"/>
            </w:tcBorders>
            <w:shd w:val="clear" w:color="000000" w:fill="FFFFFF"/>
            <w:noWrap/>
            <w:vAlign w:val="bottom"/>
            <w:hideMark/>
          </w:tcPr>
          <w:p w14:paraId="06EF2E3B" w14:textId="2F40C1DD" w:rsidR="00543241" w:rsidRPr="000D1437" w:rsidRDefault="00543241" w:rsidP="00543241">
            <w:pPr>
              <w:jc w:val="right"/>
              <w:rPr>
                <w:rFonts w:ascii="Times New Roman" w:hAnsi="Times New Roman"/>
                <w:sz w:val="14"/>
                <w:szCs w:val="14"/>
              </w:rPr>
            </w:pPr>
            <w:r w:rsidRPr="000D1437">
              <w:rPr>
                <w:sz w:val="14"/>
                <w:szCs w:val="14"/>
              </w:rPr>
              <w:t>593,57</w:t>
            </w:r>
          </w:p>
        </w:tc>
        <w:tc>
          <w:tcPr>
            <w:tcW w:w="1167" w:type="dxa"/>
            <w:tcBorders>
              <w:top w:val="nil"/>
              <w:left w:val="nil"/>
              <w:bottom w:val="single" w:sz="4" w:space="0" w:color="auto"/>
              <w:right w:val="single" w:sz="4" w:space="0" w:color="auto"/>
            </w:tcBorders>
            <w:shd w:val="clear" w:color="000000" w:fill="FFFFFF"/>
            <w:noWrap/>
            <w:vAlign w:val="bottom"/>
            <w:hideMark/>
          </w:tcPr>
          <w:p w14:paraId="20CD3778" w14:textId="625A03BD" w:rsidR="00543241" w:rsidRPr="000D1437" w:rsidRDefault="00543241" w:rsidP="00543241">
            <w:pPr>
              <w:jc w:val="right"/>
              <w:rPr>
                <w:rFonts w:ascii="Times New Roman" w:hAnsi="Times New Roman"/>
                <w:sz w:val="14"/>
                <w:szCs w:val="14"/>
              </w:rPr>
            </w:pPr>
            <w:r w:rsidRPr="000D1437">
              <w:rPr>
                <w:sz w:val="14"/>
                <w:szCs w:val="14"/>
              </w:rPr>
              <w:t>981,86</w:t>
            </w:r>
          </w:p>
        </w:tc>
        <w:tc>
          <w:tcPr>
            <w:tcW w:w="1196" w:type="dxa"/>
            <w:tcBorders>
              <w:top w:val="nil"/>
              <w:left w:val="nil"/>
              <w:bottom w:val="single" w:sz="4" w:space="0" w:color="auto"/>
              <w:right w:val="single" w:sz="4" w:space="0" w:color="auto"/>
            </w:tcBorders>
            <w:shd w:val="clear" w:color="000000" w:fill="FFFFFF"/>
            <w:noWrap/>
            <w:vAlign w:val="bottom"/>
            <w:hideMark/>
          </w:tcPr>
          <w:p w14:paraId="7BD5CC9C" w14:textId="324E5C4D" w:rsidR="00543241" w:rsidRPr="000D1437" w:rsidRDefault="00543241" w:rsidP="00543241">
            <w:pPr>
              <w:jc w:val="right"/>
              <w:rPr>
                <w:rFonts w:ascii="Times New Roman" w:hAnsi="Times New Roman"/>
                <w:sz w:val="14"/>
                <w:szCs w:val="14"/>
              </w:rPr>
            </w:pPr>
            <w:r w:rsidRPr="000D1437">
              <w:rPr>
                <w:sz w:val="14"/>
                <w:szCs w:val="14"/>
              </w:rPr>
              <w:t>1424,16</w:t>
            </w:r>
          </w:p>
        </w:tc>
        <w:tc>
          <w:tcPr>
            <w:tcW w:w="1182" w:type="dxa"/>
            <w:tcBorders>
              <w:top w:val="nil"/>
              <w:left w:val="nil"/>
              <w:bottom w:val="single" w:sz="4" w:space="0" w:color="auto"/>
              <w:right w:val="single" w:sz="4" w:space="0" w:color="auto"/>
            </w:tcBorders>
            <w:shd w:val="clear" w:color="000000" w:fill="FFFFFF"/>
            <w:noWrap/>
            <w:vAlign w:val="bottom"/>
            <w:hideMark/>
          </w:tcPr>
          <w:p w14:paraId="54176A97" w14:textId="0337CC5E" w:rsidR="00543241" w:rsidRPr="000D1437" w:rsidRDefault="00543241" w:rsidP="00543241">
            <w:pPr>
              <w:jc w:val="right"/>
              <w:rPr>
                <w:rFonts w:ascii="Times New Roman" w:hAnsi="Times New Roman"/>
                <w:sz w:val="14"/>
                <w:szCs w:val="14"/>
              </w:rPr>
            </w:pPr>
            <w:r w:rsidRPr="000D1437">
              <w:rPr>
                <w:sz w:val="14"/>
                <w:szCs w:val="14"/>
              </w:rPr>
              <w:t>2052,72</w:t>
            </w:r>
          </w:p>
        </w:tc>
        <w:tc>
          <w:tcPr>
            <w:tcW w:w="1181" w:type="dxa"/>
            <w:tcBorders>
              <w:top w:val="nil"/>
              <w:left w:val="nil"/>
              <w:bottom w:val="single" w:sz="4" w:space="0" w:color="auto"/>
              <w:right w:val="single" w:sz="4" w:space="0" w:color="auto"/>
            </w:tcBorders>
            <w:shd w:val="clear" w:color="000000" w:fill="FFFFFF"/>
            <w:noWrap/>
            <w:vAlign w:val="bottom"/>
            <w:hideMark/>
          </w:tcPr>
          <w:p w14:paraId="21610EAE" w14:textId="0EA7F630" w:rsidR="00543241" w:rsidRPr="000D1437" w:rsidRDefault="00543241" w:rsidP="00543241">
            <w:pPr>
              <w:jc w:val="right"/>
              <w:rPr>
                <w:rFonts w:ascii="Times New Roman" w:hAnsi="Times New Roman"/>
                <w:sz w:val="14"/>
                <w:szCs w:val="14"/>
              </w:rPr>
            </w:pPr>
            <w:r w:rsidRPr="000D1437">
              <w:rPr>
                <w:sz w:val="14"/>
                <w:szCs w:val="14"/>
              </w:rPr>
              <w:t>2002,04</w:t>
            </w:r>
          </w:p>
        </w:tc>
        <w:tc>
          <w:tcPr>
            <w:tcW w:w="1181" w:type="dxa"/>
            <w:tcBorders>
              <w:top w:val="nil"/>
              <w:left w:val="nil"/>
              <w:bottom w:val="single" w:sz="4" w:space="0" w:color="auto"/>
              <w:right w:val="single" w:sz="4" w:space="0" w:color="auto"/>
            </w:tcBorders>
            <w:shd w:val="clear" w:color="000000" w:fill="FFFFFF"/>
            <w:vAlign w:val="bottom"/>
          </w:tcPr>
          <w:p w14:paraId="237CEB4D" w14:textId="5C9C4037" w:rsidR="00543241" w:rsidRPr="000D1437" w:rsidRDefault="00543241" w:rsidP="00543241">
            <w:pPr>
              <w:jc w:val="right"/>
              <w:rPr>
                <w:rFonts w:ascii="Times New Roman" w:hAnsi="Times New Roman"/>
                <w:sz w:val="14"/>
                <w:szCs w:val="14"/>
              </w:rPr>
            </w:pPr>
            <w:r w:rsidRPr="000D1437">
              <w:rPr>
                <w:sz w:val="14"/>
                <w:szCs w:val="14"/>
              </w:rPr>
              <w:t>1957,66</w:t>
            </w:r>
          </w:p>
        </w:tc>
      </w:tr>
      <w:tr w:rsidR="00543241" w:rsidRPr="00364545" w14:paraId="6D819A39"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8BE6BBD"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167" w:type="dxa"/>
            <w:tcBorders>
              <w:top w:val="nil"/>
              <w:left w:val="nil"/>
              <w:bottom w:val="single" w:sz="4" w:space="0" w:color="auto"/>
              <w:right w:val="single" w:sz="4" w:space="0" w:color="auto"/>
            </w:tcBorders>
            <w:shd w:val="clear" w:color="000000" w:fill="CCFFFF"/>
            <w:noWrap/>
            <w:vAlign w:val="bottom"/>
            <w:hideMark/>
          </w:tcPr>
          <w:p w14:paraId="3C382294" w14:textId="71587856" w:rsidR="00543241" w:rsidRPr="000D1437" w:rsidRDefault="00543241" w:rsidP="00543241">
            <w:pPr>
              <w:jc w:val="right"/>
              <w:rPr>
                <w:rFonts w:ascii="Times New Roman" w:hAnsi="Times New Roman"/>
                <w:sz w:val="14"/>
                <w:szCs w:val="14"/>
              </w:rPr>
            </w:pPr>
            <w:r w:rsidRPr="000D1437">
              <w:rPr>
                <w:sz w:val="14"/>
                <w:szCs w:val="14"/>
              </w:rPr>
              <w:t>4421,17</w:t>
            </w:r>
          </w:p>
        </w:tc>
        <w:tc>
          <w:tcPr>
            <w:tcW w:w="1167" w:type="dxa"/>
            <w:tcBorders>
              <w:top w:val="nil"/>
              <w:left w:val="nil"/>
              <w:bottom w:val="single" w:sz="4" w:space="0" w:color="auto"/>
              <w:right w:val="single" w:sz="4" w:space="0" w:color="auto"/>
            </w:tcBorders>
            <w:shd w:val="clear" w:color="000000" w:fill="CCFFFF"/>
            <w:noWrap/>
            <w:vAlign w:val="bottom"/>
            <w:hideMark/>
          </w:tcPr>
          <w:p w14:paraId="5093576A" w14:textId="6A0D6CD5" w:rsidR="00543241" w:rsidRPr="000D1437" w:rsidRDefault="00543241" w:rsidP="00543241">
            <w:pPr>
              <w:jc w:val="right"/>
              <w:rPr>
                <w:rFonts w:ascii="Times New Roman" w:hAnsi="Times New Roman"/>
                <w:sz w:val="14"/>
                <w:szCs w:val="14"/>
              </w:rPr>
            </w:pPr>
            <w:r w:rsidRPr="000D1437">
              <w:rPr>
                <w:sz w:val="14"/>
                <w:szCs w:val="14"/>
              </w:rPr>
              <w:t>4592,85</w:t>
            </w:r>
          </w:p>
        </w:tc>
        <w:tc>
          <w:tcPr>
            <w:tcW w:w="1196" w:type="dxa"/>
            <w:tcBorders>
              <w:top w:val="nil"/>
              <w:left w:val="nil"/>
              <w:bottom w:val="single" w:sz="4" w:space="0" w:color="auto"/>
              <w:right w:val="single" w:sz="4" w:space="0" w:color="auto"/>
            </w:tcBorders>
            <w:shd w:val="clear" w:color="000000" w:fill="CCFFFF"/>
            <w:noWrap/>
            <w:vAlign w:val="bottom"/>
            <w:hideMark/>
          </w:tcPr>
          <w:p w14:paraId="3F8D5A92" w14:textId="20150F4F" w:rsidR="00543241" w:rsidRPr="000D1437" w:rsidRDefault="00543241" w:rsidP="00543241">
            <w:pPr>
              <w:jc w:val="right"/>
              <w:rPr>
                <w:rFonts w:ascii="Times New Roman" w:hAnsi="Times New Roman"/>
                <w:sz w:val="14"/>
                <w:szCs w:val="14"/>
              </w:rPr>
            </w:pPr>
            <w:r w:rsidRPr="000D1437">
              <w:rPr>
                <w:sz w:val="14"/>
                <w:szCs w:val="14"/>
              </w:rPr>
              <w:t>4540,89</w:t>
            </w:r>
          </w:p>
        </w:tc>
        <w:tc>
          <w:tcPr>
            <w:tcW w:w="1182" w:type="dxa"/>
            <w:tcBorders>
              <w:top w:val="nil"/>
              <w:left w:val="nil"/>
              <w:bottom w:val="single" w:sz="4" w:space="0" w:color="auto"/>
              <w:right w:val="single" w:sz="4" w:space="0" w:color="auto"/>
            </w:tcBorders>
            <w:shd w:val="clear" w:color="000000" w:fill="CCFFFF"/>
            <w:noWrap/>
            <w:vAlign w:val="bottom"/>
            <w:hideMark/>
          </w:tcPr>
          <w:p w14:paraId="2CD85D72" w14:textId="62F8FAB3" w:rsidR="00543241" w:rsidRPr="000D1437" w:rsidRDefault="00543241" w:rsidP="00543241">
            <w:pPr>
              <w:jc w:val="right"/>
              <w:rPr>
                <w:rFonts w:ascii="Times New Roman" w:hAnsi="Times New Roman"/>
                <w:sz w:val="14"/>
                <w:szCs w:val="14"/>
              </w:rPr>
            </w:pPr>
            <w:r w:rsidRPr="000D1437">
              <w:rPr>
                <w:sz w:val="14"/>
                <w:szCs w:val="14"/>
              </w:rPr>
              <w:t>4457,18</w:t>
            </w:r>
          </w:p>
        </w:tc>
        <w:tc>
          <w:tcPr>
            <w:tcW w:w="1181" w:type="dxa"/>
            <w:tcBorders>
              <w:top w:val="nil"/>
              <w:left w:val="nil"/>
              <w:bottom w:val="single" w:sz="4" w:space="0" w:color="auto"/>
              <w:right w:val="single" w:sz="4" w:space="0" w:color="auto"/>
            </w:tcBorders>
            <w:shd w:val="clear" w:color="000000" w:fill="CCFFFF"/>
            <w:noWrap/>
            <w:vAlign w:val="bottom"/>
            <w:hideMark/>
          </w:tcPr>
          <w:p w14:paraId="0385A00E" w14:textId="04B69D4B" w:rsidR="00543241" w:rsidRPr="000D1437" w:rsidRDefault="00543241" w:rsidP="00543241">
            <w:pPr>
              <w:jc w:val="right"/>
              <w:rPr>
                <w:rFonts w:ascii="Times New Roman" w:hAnsi="Times New Roman"/>
                <w:sz w:val="14"/>
                <w:szCs w:val="14"/>
              </w:rPr>
            </w:pPr>
            <w:r w:rsidRPr="000D1437">
              <w:rPr>
                <w:sz w:val="14"/>
                <w:szCs w:val="14"/>
              </w:rPr>
              <w:t>4147,38</w:t>
            </w:r>
          </w:p>
        </w:tc>
        <w:tc>
          <w:tcPr>
            <w:tcW w:w="1181" w:type="dxa"/>
            <w:tcBorders>
              <w:top w:val="nil"/>
              <w:left w:val="nil"/>
              <w:bottom w:val="single" w:sz="4" w:space="0" w:color="auto"/>
              <w:right w:val="single" w:sz="4" w:space="0" w:color="auto"/>
            </w:tcBorders>
            <w:shd w:val="clear" w:color="000000" w:fill="CCFFFF"/>
            <w:vAlign w:val="bottom"/>
          </w:tcPr>
          <w:p w14:paraId="3859F10F" w14:textId="6CBCE7D0" w:rsidR="00543241" w:rsidRPr="000D1437" w:rsidRDefault="00543241" w:rsidP="00543241">
            <w:pPr>
              <w:jc w:val="right"/>
              <w:rPr>
                <w:rFonts w:ascii="Times New Roman" w:hAnsi="Times New Roman"/>
                <w:sz w:val="14"/>
                <w:szCs w:val="14"/>
              </w:rPr>
            </w:pPr>
            <w:r w:rsidRPr="000D1437">
              <w:rPr>
                <w:sz w:val="14"/>
                <w:szCs w:val="14"/>
              </w:rPr>
              <w:t>4296,41</w:t>
            </w:r>
          </w:p>
        </w:tc>
      </w:tr>
      <w:tr w:rsidR="00543241" w:rsidRPr="00364545" w14:paraId="1F4503A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0066B61" w14:textId="1DF2552C"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167" w:type="dxa"/>
            <w:tcBorders>
              <w:top w:val="nil"/>
              <w:left w:val="nil"/>
              <w:bottom w:val="single" w:sz="4" w:space="0" w:color="auto"/>
              <w:right w:val="single" w:sz="4" w:space="0" w:color="auto"/>
            </w:tcBorders>
            <w:shd w:val="clear" w:color="000000" w:fill="FFFFFF"/>
            <w:noWrap/>
            <w:vAlign w:val="bottom"/>
            <w:hideMark/>
          </w:tcPr>
          <w:p w14:paraId="315226A8" w14:textId="2615FECA" w:rsidR="00543241" w:rsidRPr="000D1437" w:rsidRDefault="00543241" w:rsidP="00543241">
            <w:pPr>
              <w:jc w:val="right"/>
              <w:rPr>
                <w:rFonts w:ascii="Times New Roman" w:hAnsi="Times New Roman"/>
                <w:sz w:val="14"/>
                <w:szCs w:val="14"/>
              </w:rPr>
            </w:pPr>
            <w:r w:rsidRPr="000D1437">
              <w:rPr>
                <w:sz w:val="14"/>
                <w:szCs w:val="14"/>
              </w:rPr>
              <w:t>NO,NA</w:t>
            </w:r>
          </w:p>
        </w:tc>
        <w:tc>
          <w:tcPr>
            <w:tcW w:w="1167" w:type="dxa"/>
            <w:tcBorders>
              <w:top w:val="nil"/>
              <w:left w:val="nil"/>
              <w:bottom w:val="single" w:sz="4" w:space="0" w:color="auto"/>
              <w:right w:val="single" w:sz="4" w:space="0" w:color="auto"/>
            </w:tcBorders>
            <w:shd w:val="clear" w:color="000000" w:fill="FFFFFF"/>
            <w:noWrap/>
            <w:vAlign w:val="bottom"/>
            <w:hideMark/>
          </w:tcPr>
          <w:p w14:paraId="37A1BA46" w14:textId="34DC5856" w:rsidR="00543241" w:rsidRPr="000D1437" w:rsidRDefault="00543241" w:rsidP="00543241">
            <w:pPr>
              <w:jc w:val="right"/>
              <w:rPr>
                <w:rFonts w:ascii="Times New Roman" w:hAnsi="Times New Roman"/>
                <w:sz w:val="14"/>
                <w:szCs w:val="14"/>
              </w:rPr>
            </w:pPr>
            <w:r w:rsidRPr="000D1437">
              <w:rPr>
                <w:sz w:val="14"/>
                <w:szCs w:val="14"/>
              </w:rPr>
              <w:t>NO,NA</w:t>
            </w:r>
          </w:p>
        </w:tc>
        <w:tc>
          <w:tcPr>
            <w:tcW w:w="1196" w:type="dxa"/>
            <w:tcBorders>
              <w:top w:val="nil"/>
              <w:left w:val="nil"/>
              <w:bottom w:val="single" w:sz="4" w:space="0" w:color="auto"/>
              <w:right w:val="single" w:sz="4" w:space="0" w:color="auto"/>
            </w:tcBorders>
            <w:shd w:val="clear" w:color="000000" w:fill="FFFFFF"/>
            <w:noWrap/>
            <w:vAlign w:val="bottom"/>
            <w:hideMark/>
          </w:tcPr>
          <w:p w14:paraId="5273CE98" w14:textId="0435A3A0" w:rsidR="00543241" w:rsidRPr="000D1437" w:rsidRDefault="00543241" w:rsidP="00543241">
            <w:pPr>
              <w:jc w:val="right"/>
              <w:rPr>
                <w:rFonts w:ascii="Times New Roman" w:hAnsi="Times New Roman"/>
                <w:sz w:val="14"/>
                <w:szCs w:val="14"/>
              </w:rPr>
            </w:pPr>
            <w:r w:rsidRPr="000D1437">
              <w:rPr>
                <w:sz w:val="14"/>
                <w:szCs w:val="14"/>
              </w:rPr>
              <w:t>NO,NA</w:t>
            </w:r>
          </w:p>
        </w:tc>
        <w:tc>
          <w:tcPr>
            <w:tcW w:w="1182" w:type="dxa"/>
            <w:tcBorders>
              <w:top w:val="nil"/>
              <w:left w:val="nil"/>
              <w:bottom w:val="single" w:sz="4" w:space="0" w:color="auto"/>
              <w:right w:val="single" w:sz="4" w:space="0" w:color="auto"/>
            </w:tcBorders>
            <w:shd w:val="clear" w:color="000000" w:fill="FFFFFF"/>
            <w:noWrap/>
            <w:vAlign w:val="bottom"/>
            <w:hideMark/>
          </w:tcPr>
          <w:p w14:paraId="3FC97BC7" w14:textId="18D2F670" w:rsidR="00543241" w:rsidRPr="000D1437" w:rsidRDefault="00543241" w:rsidP="00543241">
            <w:pPr>
              <w:jc w:val="right"/>
              <w:rPr>
                <w:rFonts w:ascii="Times New Roman" w:hAnsi="Times New Roman"/>
                <w:sz w:val="14"/>
                <w:szCs w:val="14"/>
              </w:rPr>
            </w:pPr>
            <w:r w:rsidRPr="000D1437">
              <w:rPr>
                <w:sz w:val="14"/>
                <w:szCs w:val="14"/>
              </w:rPr>
              <w:t>NO,NA</w:t>
            </w:r>
          </w:p>
        </w:tc>
        <w:tc>
          <w:tcPr>
            <w:tcW w:w="1181" w:type="dxa"/>
            <w:tcBorders>
              <w:top w:val="nil"/>
              <w:left w:val="nil"/>
              <w:bottom w:val="single" w:sz="4" w:space="0" w:color="auto"/>
              <w:right w:val="single" w:sz="4" w:space="0" w:color="auto"/>
            </w:tcBorders>
            <w:shd w:val="clear" w:color="000000" w:fill="FFFFFF"/>
            <w:noWrap/>
            <w:vAlign w:val="bottom"/>
            <w:hideMark/>
          </w:tcPr>
          <w:p w14:paraId="2F9E63FA" w14:textId="7044DAD6" w:rsidR="00543241" w:rsidRPr="000D1437" w:rsidRDefault="00543241" w:rsidP="00543241">
            <w:pPr>
              <w:jc w:val="right"/>
              <w:rPr>
                <w:rFonts w:ascii="Times New Roman" w:hAnsi="Times New Roman"/>
                <w:sz w:val="14"/>
                <w:szCs w:val="14"/>
              </w:rPr>
            </w:pPr>
            <w:r w:rsidRPr="000D1437">
              <w:rPr>
                <w:sz w:val="14"/>
                <w:szCs w:val="14"/>
              </w:rPr>
              <w:t>NO,NA</w:t>
            </w:r>
          </w:p>
        </w:tc>
        <w:tc>
          <w:tcPr>
            <w:tcW w:w="1181" w:type="dxa"/>
            <w:tcBorders>
              <w:top w:val="nil"/>
              <w:left w:val="nil"/>
              <w:bottom w:val="single" w:sz="4" w:space="0" w:color="auto"/>
              <w:right w:val="single" w:sz="4" w:space="0" w:color="auto"/>
            </w:tcBorders>
            <w:shd w:val="clear" w:color="000000" w:fill="FFFFFF"/>
            <w:vAlign w:val="bottom"/>
          </w:tcPr>
          <w:p w14:paraId="6A6E29C3" w14:textId="1C8C2DC5"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30F2F882"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5AA8B31" w14:textId="74BA4183"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167" w:type="dxa"/>
            <w:tcBorders>
              <w:top w:val="nil"/>
              <w:left w:val="nil"/>
              <w:bottom w:val="single" w:sz="4" w:space="0" w:color="auto"/>
              <w:right w:val="single" w:sz="4" w:space="0" w:color="auto"/>
            </w:tcBorders>
            <w:shd w:val="clear" w:color="000000" w:fill="FFFFFF"/>
            <w:noWrap/>
            <w:vAlign w:val="bottom"/>
            <w:hideMark/>
          </w:tcPr>
          <w:p w14:paraId="6AAAA8FF" w14:textId="48C492F1" w:rsidR="00543241" w:rsidRPr="000D1437" w:rsidRDefault="00543241" w:rsidP="00543241">
            <w:pPr>
              <w:jc w:val="right"/>
              <w:rPr>
                <w:rFonts w:ascii="Times New Roman" w:hAnsi="Times New Roman"/>
                <w:sz w:val="14"/>
                <w:szCs w:val="14"/>
              </w:rPr>
            </w:pPr>
            <w:r w:rsidRPr="000D1437">
              <w:rPr>
                <w:sz w:val="14"/>
                <w:szCs w:val="14"/>
              </w:rPr>
              <w:t>4421,17</w:t>
            </w:r>
          </w:p>
        </w:tc>
        <w:tc>
          <w:tcPr>
            <w:tcW w:w="1167" w:type="dxa"/>
            <w:tcBorders>
              <w:top w:val="nil"/>
              <w:left w:val="nil"/>
              <w:bottom w:val="single" w:sz="4" w:space="0" w:color="auto"/>
              <w:right w:val="single" w:sz="4" w:space="0" w:color="auto"/>
            </w:tcBorders>
            <w:shd w:val="clear" w:color="000000" w:fill="FFFFFF"/>
            <w:noWrap/>
            <w:vAlign w:val="bottom"/>
            <w:hideMark/>
          </w:tcPr>
          <w:p w14:paraId="30222271" w14:textId="3846001E" w:rsidR="00543241" w:rsidRPr="000D1437" w:rsidRDefault="00543241" w:rsidP="00543241">
            <w:pPr>
              <w:jc w:val="right"/>
              <w:rPr>
                <w:rFonts w:ascii="Times New Roman" w:hAnsi="Times New Roman"/>
                <w:sz w:val="14"/>
                <w:szCs w:val="14"/>
              </w:rPr>
            </w:pPr>
            <w:r w:rsidRPr="000D1437">
              <w:rPr>
                <w:sz w:val="14"/>
                <w:szCs w:val="14"/>
              </w:rPr>
              <w:t>4592,85</w:t>
            </w:r>
          </w:p>
        </w:tc>
        <w:tc>
          <w:tcPr>
            <w:tcW w:w="1196" w:type="dxa"/>
            <w:tcBorders>
              <w:top w:val="nil"/>
              <w:left w:val="nil"/>
              <w:bottom w:val="single" w:sz="4" w:space="0" w:color="auto"/>
              <w:right w:val="single" w:sz="4" w:space="0" w:color="auto"/>
            </w:tcBorders>
            <w:shd w:val="clear" w:color="000000" w:fill="FFFFFF"/>
            <w:noWrap/>
            <w:vAlign w:val="bottom"/>
            <w:hideMark/>
          </w:tcPr>
          <w:p w14:paraId="289020CB" w14:textId="707F4D32" w:rsidR="00543241" w:rsidRPr="000D1437" w:rsidRDefault="00543241" w:rsidP="00543241">
            <w:pPr>
              <w:jc w:val="right"/>
              <w:rPr>
                <w:rFonts w:ascii="Times New Roman" w:hAnsi="Times New Roman"/>
                <w:sz w:val="14"/>
                <w:szCs w:val="14"/>
              </w:rPr>
            </w:pPr>
            <w:r w:rsidRPr="000D1437">
              <w:rPr>
                <w:sz w:val="14"/>
                <w:szCs w:val="14"/>
              </w:rPr>
              <w:t>4540,89</w:t>
            </w:r>
          </w:p>
        </w:tc>
        <w:tc>
          <w:tcPr>
            <w:tcW w:w="1182" w:type="dxa"/>
            <w:tcBorders>
              <w:top w:val="nil"/>
              <w:left w:val="nil"/>
              <w:bottom w:val="single" w:sz="4" w:space="0" w:color="auto"/>
              <w:right w:val="single" w:sz="4" w:space="0" w:color="auto"/>
            </w:tcBorders>
            <w:shd w:val="clear" w:color="000000" w:fill="FFFFFF"/>
            <w:noWrap/>
            <w:vAlign w:val="bottom"/>
            <w:hideMark/>
          </w:tcPr>
          <w:p w14:paraId="3C46DA1F" w14:textId="5EC1703F" w:rsidR="00543241" w:rsidRPr="000D1437" w:rsidRDefault="00543241" w:rsidP="00543241">
            <w:pPr>
              <w:jc w:val="right"/>
              <w:rPr>
                <w:rFonts w:ascii="Times New Roman" w:hAnsi="Times New Roman"/>
                <w:sz w:val="14"/>
                <w:szCs w:val="14"/>
              </w:rPr>
            </w:pPr>
            <w:r w:rsidRPr="000D1437">
              <w:rPr>
                <w:sz w:val="14"/>
                <w:szCs w:val="14"/>
              </w:rPr>
              <w:t>4457,18</w:t>
            </w:r>
          </w:p>
        </w:tc>
        <w:tc>
          <w:tcPr>
            <w:tcW w:w="1181" w:type="dxa"/>
            <w:tcBorders>
              <w:top w:val="nil"/>
              <w:left w:val="nil"/>
              <w:bottom w:val="single" w:sz="4" w:space="0" w:color="auto"/>
              <w:right w:val="single" w:sz="4" w:space="0" w:color="auto"/>
            </w:tcBorders>
            <w:shd w:val="clear" w:color="000000" w:fill="FFFFFF"/>
            <w:noWrap/>
            <w:vAlign w:val="bottom"/>
            <w:hideMark/>
          </w:tcPr>
          <w:p w14:paraId="052AB0F4" w14:textId="3DFC0F1B" w:rsidR="00543241" w:rsidRPr="000D1437" w:rsidRDefault="00543241" w:rsidP="00543241">
            <w:pPr>
              <w:jc w:val="right"/>
              <w:rPr>
                <w:rFonts w:ascii="Times New Roman" w:hAnsi="Times New Roman"/>
                <w:sz w:val="14"/>
                <w:szCs w:val="14"/>
              </w:rPr>
            </w:pPr>
            <w:r w:rsidRPr="000D1437">
              <w:rPr>
                <w:sz w:val="14"/>
                <w:szCs w:val="14"/>
              </w:rPr>
              <w:t>4147,38</w:t>
            </w:r>
          </w:p>
        </w:tc>
        <w:tc>
          <w:tcPr>
            <w:tcW w:w="1181" w:type="dxa"/>
            <w:tcBorders>
              <w:top w:val="nil"/>
              <w:left w:val="nil"/>
              <w:bottom w:val="single" w:sz="4" w:space="0" w:color="auto"/>
              <w:right w:val="single" w:sz="4" w:space="0" w:color="auto"/>
            </w:tcBorders>
            <w:shd w:val="clear" w:color="000000" w:fill="FFFFFF"/>
            <w:vAlign w:val="bottom"/>
          </w:tcPr>
          <w:p w14:paraId="51D34460" w14:textId="09DC6012" w:rsidR="00543241" w:rsidRPr="000D1437" w:rsidRDefault="00543241" w:rsidP="00543241">
            <w:pPr>
              <w:jc w:val="right"/>
              <w:rPr>
                <w:rFonts w:ascii="Times New Roman" w:hAnsi="Times New Roman"/>
                <w:sz w:val="14"/>
                <w:szCs w:val="14"/>
              </w:rPr>
            </w:pPr>
            <w:r w:rsidRPr="000D1437">
              <w:rPr>
                <w:sz w:val="14"/>
                <w:szCs w:val="14"/>
              </w:rPr>
              <w:t>4296,41</w:t>
            </w:r>
          </w:p>
        </w:tc>
      </w:tr>
      <w:tr w:rsidR="00543241" w:rsidRPr="00364545" w14:paraId="38B14466"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43460B3" w14:textId="63173F08"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167" w:type="dxa"/>
            <w:tcBorders>
              <w:top w:val="nil"/>
              <w:left w:val="nil"/>
              <w:bottom w:val="single" w:sz="4" w:space="0" w:color="auto"/>
              <w:right w:val="single" w:sz="4" w:space="0" w:color="auto"/>
            </w:tcBorders>
            <w:shd w:val="clear" w:color="000000" w:fill="FFFFFF"/>
            <w:noWrap/>
            <w:vAlign w:val="bottom"/>
            <w:hideMark/>
          </w:tcPr>
          <w:p w14:paraId="186EAC30" w14:textId="665E3D2C" w:rsidR="00543241" w:rsidRPr="000D1437" w:rsidRDefault="00543241" w:rsidP="00543241">
            <w:pPr>
              <w:jc w:val="right"/>
              <w:rPr>
                <w:rFonts w:ascii="Times New Roman" w:hAnsi="Times New Roman"/>
                <w:sz w:val="14"/>
                <w:szCs w:val="14"/>
              </w:rPr>
            </w:pPr>
            <w:r w:rsidRPr="000D1437">
              <w:rPr>
                <w:sz w:val="14"/>
                <w:szCs w:val="14"/>
              </w:rPr>
              <w:t>NO</w:t>
            </w:r>
          </w:p>
        </w:tc>
        <w:tc>
          <w:tcPr>
            <w:tcW w:w="1167" w:type="dxa"/>
            <w:tcBorders>
              <w:top w:val="nil"/>
              <w:left w:val="nil"/>
              <w:bottom w:val="single" w:sz="4" w:space="0" w:color="auto"/>
              <w:right w:val="single" w:sz="4" w:space="0" w:color="auto"/>
            </w:tcBorders>
            <w:shd w:val="clear" w:color="000000" w:fill="FFFFFF"/>
            <w:noWrap/>
            <w:vAlign w:val="bottom"/>
            <w:hideMark/>
          </w:tcPr>
          <w:p w14:paraId="68D07C56" w14:textId="485DA863" w:rsidR="00543241" w:rsidRPr="000D1437" w:rsidRDefault="00543241" w:rsidP="00543241">
            <w:pPr>
              <w:jc w:val="right"/>
              <w:rPr>
                <w:rFonts w:ascii="Times New Roman" w:hAnsi="Times New Roman"/>
                <w:sz w:val="14"/>
                <w:szCs w:val="14"/>
              </w:rPr>
            </w:pPr>
            <w:r w:rsidRPr="000D1437">
              <w:rPr>
                <w:sz w:val="14"/>
                <w:szCs w:val="14"/>
              </w:rPr>
              <w:t>NO</w:t>
            </w:r>
          </w:p>
        </w:tc>
        <w:tc>
          <w:tcPr>
            <w:tcW w:w="1196" w:type="dxa"/>
            <w:tcBorders>
              <w:top w:val="nil"/>
              <w:left w:val="nil"/>
              <w:bottom w:val="single" w:sz="4" w:space="0" w:color="auto"/>
              <w:right w:val="single" w:sz="4" w:space="0" w:color="auto"/>
            </w:tcBorders>
            <w:shd w:val="clear" w:color="000000" w:fill="FFFFFF"/>
            <w:noWrap/>
            <w:vAlign w:val="bottom"/>
            <w:hideMark/>
          </w:tcPr>
          <w:p w14:paraId="213ED359" w14:textId="4C11AAEA" w:rsidR="00543241" w:rsidRPr="000D1437" w:rsidRDefault="00543241" w:rsidP="00543241">
            <w:pPr>
              <w:jc w:val="right"/>
              <w:rPr>
                <w:rFonts w:ascii="Times New Roman" w:hAnsi="Times New Roman"/>
                <w:sz w:val="14"/>
                <w:szCs w:val="14"/>
              </w:rPr>
            </w:pPr>
            <w:r w:rsidRPr="000D1437">
              <w:rPr>
                <w:sz w:val="14"/>
                <w:szCs w:val="14"/>
              </w:rPr>
              <w:t>NO</w:t>
            </w:r>
          </w:p>
        </w:tc>
        <w:tc>
          <w:tcPr>
            <w:tcW w:w="1182" w:type="dxa"/>
            <w:tcBorders>
              <w:top w:val="nil"/>
              <w:left w:val="nil"/>
              <w:bottom w:val="single" w:sz="4" w:space="0" w:color="auto"/>
              <w:right w:val="single" w:sz="4" w:space="0" w:color="auto"/>
            </w:tcBorders>
            <w:shd w:val="clear" w:color="000000" w:fill="FFFFFF"/>
            <w:noWrap/>
            <w:vAlign w:val="bottom"/>
            <w:hideMark/>
          </w:tcPr>
          <w:p w14:paraId="023ECA96" w14:textId="5CD6C1C0" w:rsidR="00543241" w:rsidRPr="000D1437" w:rsidRDefault="00543241" w:rsidP="00543241">
            <w:pPr>
              <w:jc w:val="right"/>
              <w:rPr>
                <w:rFonts w:ascii="Times New Roman" w:hAnsi="Times New Roman"/>
                <w:sz w:val="14"/>
                <w:szCs w:val="14"/>
              </w:rPr>
            </w:pPr>
            <w:r w:rsidRPr="000D1437">
              <w:rPr>
                <w:sz w:val="14"/>
                <w:szCs w:val="14"/>
              </w:rPr>
              <w:t>NO</w:t>
            </w:r>
          </w:p>
        </w:tc>
        <w:tc>
          <w:tcPr>
            <w:tcW w:w="1181" w:type="dxa"/>
            <w:tcBorders>
              <w:top w:val="nil"/>
              <w:left w:val="nil"/>
              <w:bottom w:val="single" w:sz="4" w:space="0" w:color="auto"/>
              <w:right w:val="single" w:sz="4" w:space="0" w:color="auto"/>
            </w:tcBorders>
            <w:shd w:val="clear" w:color="000000" w:fill="FFFFFF"/>
            <w:noWrap/>
            <w:vAlign w:val="bottom"/>
            <w:hideMark/>
          </w:tcPr>
          <w:p w14:paraId="3DEE9A62" w14:textId="35D3CE6C" w:rsidR="00543241" w:rsidRPr="000D1437" w:rsidRDefault="00543241" w:rsidP="00543241">
            <w:pPr>
              <w:jc w:val="right"/>
              <w:rPr>
                <w:rFonts w:ascii="Times New Roman" w:hAnsi="Times New Roman"/>
                <w:sz w:val="14"/>
                <w:szCs w:val="14"/>
              </w:rPr>
            </w:pPr>
            <w:r w:rsidRPr="000D1437">
              <w:rPr>
                <w:sz w:val="14"/>
                <w:szCs w:val="14"/>
              </w:rPr>
              <w:t>NO</w:t>
            </w:r>
          </w:p>
        </w:tc>
        <w:tc>
          <w:tcPr>
            <w:tcW w:w="1181" w:type="dxa"/>
            <w:tcBorders>
              <w:top w:val="nil"/>
              <w:left w:val="nil"/>
              <w:bottom w:val="single" w:sz="4" w:space="0" w:color="auto"/>
              <w:right w:val="single" w:sz="4" w:space="0" w:color="auto"/>
            </w:tcBorders>
            <w:shd w:val="clear" w:color="000000" w:fill="FFFFFF"/>
            <w:vAlign w:val="bottom"/>
          </w:tcPr>
          <w:p w14:paraId="05A57CCC" w14:textId="19A2DFC0"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7CF9F78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399CFEE" w14:textId="28703833"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2. Industrial Processes</w:t>
            </w:r>
          </w:p>
        </w:tc>
        <w:tc>
          <w:tcPr>
            <w:tcW w:w="1167" w:type="dxa"/>
            <w:tcBorders>
              <w:top w:val="nil"/>
              <w:left w:val="nil"/>
              <w:bottom w:val="single" w:sz="4" w:space="0" w:color="auto"/>
              <w:right w:val="single" w:sz="4" w:space="0" w:color="auto"/>
            </w:tcBorders>
            <w:shd w:val="clear" w:color="000000" w:fill="CCFFFF"/>
            <w:noWrap/>
            <w:vAlign w:val="bottom"/>
            <w:hideMark/>
          </w:tcPr>
          <w:p w14:paraId="3ECA8CE4" w14:textId="186E8C6A" w:rsidR="00543241" w:rsidRPr="000D1437" w:rsidRDefault="00543241" w:rsidP="00543241">
            <w:pPr>
              <w:jc w:val="right"/>
              <w:rPr>
                <w:rFonts w:ascii="Times New Roman" w:hAnsi="Times New Roman"/>
                <w:sz w:val="14"/>
                <w:szCs w:val="14"/>
              </w:rPr>
            </w:pPr>
            <w:r w:rsidRPr="000D1437">
              <w:rPr>
                <w:sz w:val="14"/>
                <w:szCs w:val="14"/>
              </w:rPr>
              <w:t>38604,26</w:t>
            </w:r>
          </w:p>
        </w:tc>
        <w:tc>
          <w:tcPr>
            <w:tcW w:w="1167" w:type="dxa"/>
            <w:tcBorders>
              <w:top w:val="nil"/>
              <w:left w:val="nil"/>
              <w:bottom w:val="single" w:sz="4" w:space="0" w:color="auto"/>
              <w:right w:val="single" w:sz="4" w:space="0" w:color="auto"/>
            </w:tcBorders>
            <w:shd w:val="clear" w:color="000000" w:fill="CCFFFF"/>
            <w:noWrap/>
            <w:vAlign w:val="bottom"/>
            <w:hideMark/>
          </w:tcPr>
          <w:p w14:paraId="7B8BDFD7" w14:textId="640D72CE" w:rsidR="00543241" w:rsidRPr="000D1437" w:rsidRDefault="00543241" w:rsidP="00543241">
            <w:pPr>
              <w:jc w:val="right"/>
              <w:rPr>
                <w:rFonts w:ascii="Times New Roman" w:hAnsi="Times New Roman"/>
                <w:sz w:val="14"/>
                <w:szCs w:val="14"/>
              </w:rPr>
            </w:pPr>
            <w:r w:rsidRPr="000D1437">
              <w:rPr>
                <w:sz w:val="14"/>
                <w:szCs w:val="14"/>
              </w:rPr>
              <w:t>38028,80</w:t>
            </w:r>
          </w:p>
        </w:tc>
        <w:tc>
          <w:tcPr>
            <w:tcW w:w="1196" w:type="dxa"/>
            <w:tcBorders>
              <w:top w:val="nil"/>
              <w:left w:val="nil"/>
              <w:bottom w:val="single" w:sz="4" w:space="0" w:color="auto"/>
              <w:right w:val="single" w:sz="4" w:space="0" w:color="auto"/>
            </w:tcBorders>
            <w:shd w:val="clear" w:color="000000" w:fill="CCFFFF"/>
            <w:noWrap/>
            <w:vAlign w:val="bottom"/>
            <w:hideMark/>
          </w:tcPr>
          <w:p w14:paraId="40173337" w14:textId="72FA40CB" w:rsidR="00543241" w:rsidRPr="000D1437" w:rsidRDefault="00543241" w:rsidP="00543241">
            <w:pPr>
              <w:jc w:val="right"/>
              <w:rPr>
                <w:rFonts w:ascii="Times New Roman" w:hAnsi="Times New Roman"/>
                <w:sz w:val="14"/>
                <w:szCs w:val="14"/>
              </w:rPr>
            </w:pPr>
            <w:r w:rsidRPr="000D1437">
              <w:rPr>
                <w:sz w:val="14"/>
                <w:szCs w:val="14"/>
              </w:rPr>
              <w:t>39022,24</w:t>
            </w:r>
          </w:p>
        </w:tc>
        <w:tc>
          <w:tcPr>
            <w:tcW w:w="1182" w:type="dxa"/>
            <w:tcBorders>
              <w:top w:val="nil"/>
              <w:left w:val="nil"/>
              <w:bottom w:val="single" w:sz="4" w:space="0" w:color="auto"/>
              <w:right w:val="single" w:sz="4" w:space="0" w:color="auto"/>
            </w:tcBorders>
            <w:shd w:val="clear" w:color="000000" w:fill="CCFFFF"/>
            <w:noWrap/>
            <w:vAlign w:val="bottom"/>
            <w:hideMark/>
          </w:tcPr>
          <w:p w14:paraId="5514A56A" w14:textId="0594A489" w:rsidR="00543241" w:rsidRPr="000D1437" w:rsidRDefault="00543241" w:rsidP="00543241">
            <w:pPr>
              <w:jc w:val="right"/>
              <w:rPr>
                <w:rFonts w:ascii="Times New Roman" w:hAnsi="Times New Roman"/>
                <w:sz w:val="14"/>
                <w:szCs w:val="14"/>
              </w:rPr>
            </w:pPr>
            <w:r w:rsidRPr="000D1437">
              <w:rPr>
                <w:sz w:val="14"/>
                <w:szCs w:val="14"/>
              </w:rPr>
              <w:t>39820,59</w:t>
            </w:r>
          </w:p>
        </w:tc>
        <w:tc>
          <w:tcPr>
            <w:tcW w:w="1181" w:type="dxa"/>
            <w:tcBorders>
              <w:top w:val="nil"/>
              <w:left w:val="nil"/>
              <w:bottom w:val="single" w:sz="4" w:space="0" w:color="auto"/>
              <w:right w:val="single" w:sz="4" w:space="0" w:color="auto"/>
            </w:tcBorders>
            <w:shd w:val="clear" w:color="000000" w:fill="CCFFFF"/>
            <w:noWrap/>
            <w:vAlign w:val="bottom"/>
            <w:hideMark/>
          </w:tcPr>
          <w:p w14:paraId="141AA495" w14:textId="3278C7C1" w:rsidR="00543241" w:rsidRPr="000D1437" w:rsidRDefault="00543241" w:rsidP="00543241">
            <w:pPr>
              <w:jc w:val="right"/>
              <w:rPr>
                <w:rFonts w:ascii="Times New Roman" w:hAnsi="Times New Roman"/>
                <w:sz w:val="14"/>
                <w:szCs w:val="14"/>
              </w:rPr>
            </w:pPr>
            <w:r w:rsidRPr="000D1437">
              <w:rPr>
                <w:sz w:val="14"/>
                <w:szCs w:val="14"/>
              </w:rPr>
              <w:t>39905,34</w:t>
            </w:r>
          </w:p>
        </w:tc>
        <w:tc>
          <w:tcPr>
            <w:tcW w:w="1181" w:type="dxa"/>
            <w:tcBorders>
              <w:top w:val="nil"/>
              <w:left w:val="nil"/>
              <w:bottom w:val="single" w:sz="4" w:space="0" w:color="auto"/>
              <w:right w:val="single" w:sz="4" w:space="0" w:color="auto"/>
            </w:tcBorders>
            <w:shd w:val="clear" w:color="000000" w:fill="CCFFFF"/>
            <w:vAlign w:val="bottom"/>
          </w:tcPr>
          <w:p w14:paraId="5D28B022" w14:textId="5E94027D" w:rsidR="00543241" w:rsidRPr="000D1437" w:rsidRDefault="00543241" w:rsidP="00543241">
            <w:pPr>
              <w:jc w:val="right"/>
              <w:rPr>
                <w:rFonts w:ascii="Times New Roman" w:hAnsi="Times New Roman"/>
                <w:sz w:val="14"/>
                <w:szCs w:val="14"/>
              </w:rPr>
            </w:pPr>
            <w:r w:rsidRPr="000D1437">
              <w:rPr>
                <w:sz w:val="14"/>
                <w:szCs w:val="14"/>
              </w:rPr>
              <w:t>40574,12</w:t>
            </w:r>
          </w:p>
        </w:tc>
      </w:tr>
      <w:tr w:rsidR="00543241" w:rsidRPr="00364545" w14:paraId="7463744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C9A7E9E" w14:textId="7428CEDF"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167" w:type="dxa"/>
            <w:tcBorders>
              <w:top w:val="nil"/>
              <w:left w:val="nil"/>
              <w:bottom w:val="single" w:sz="4" w:space="0" w:color="auto"/>
              <w:right w:val="single" w:sz="4" w:space="0" w:color="auto"/>
            </w:tcBorders>
            <w:shd w:val="clear" w:color="000000" w:fill="FFFFFF"/>
            <w:noWrap/>
            <w:vAlign w:val="bottom"/>
            <w:hideMark/>
          </w:tcPr>
          <w:p w14:paraId="6DF83542" w14:textId="6F306B45" w:rsidR="00543241" w:rsidRPr="000D1437" w:rsidRDefault="00543241" w:rsidP="00543241">
            <w:pPr>
              <w:jc w:val="right"/>
              <w:rPr>
                <w:rFonts w:ascii="Times New Roman" w:hAnsi="Times New Roman"/>
                <w:sz w:val="14"/>
                <w:szCs w:val="14"/>
              </w:rPr>
            </w:pPr>
            <w:r w:rsidRPr="000D1437">
              <w:rPr>
                <w:sz w:val="14"/>
                <w:szCs w:val="14"/>
              </w:rPr>
              <w:t>12467,46</w:t>
            </w:r>
          </w:p>
        </w:tc>
        <w:tc>
          <w:tcPr>
            <w:tcW w:w="1167" w:type="dxa"/>
            <w:tcBorders>
              <w:top w:val="nil"/>
              <w:left w:val="nil"/>
              <w:bottom w:val="single" w:sz="4" w:space="0" w:color="auto"/>
              <w:right w:val="single" w:sz="4" w:space="0" w:color="auto"/>
            </w:tcBorders>
            <w:shd w:val="clear" w:color="000000" w:fill="FFFFFF"/>
            <w:noWrap/>
            <w:vAlign w:val="bottom"/>
            <w:hideMark/>
          </w:tcPr>
          <w:p w14:paraId="66201837" w14:textId="2F902B8E" w:rsidR="00543241" w:rsidRPr="000D1437" w:rsidRDefault="00543241" w:rsidP="00543241">
            <w:pPr>
              <w:jc w:val="right"/>
              <w:rPr>
                <w:rFonts w:ascii="Times New Roman" w:hAnsi="Times New Roman"/>
                <w:sz w:val="14"/>
                <w:szCs w:val="14"/>
              </w:rPr>
            </w:pPr>
            <w:r w:rsidRPr="000D1437">
              <w:rPr>
                <w:sz w:val="14"/>
                <w:szCs w:val="14"/>
              </w:rPr>
              <w:t>12204,24</w:t>
            </w:r>
          </w:p>
        </w:tc>
        <w:tc>
          <w:tcPr>
            <w:tcW w:w="1196" w:type="dxa"/>
            <w:tcBorders>
              <w:top w:val="nil"/>
              <w:left w:val="nil"/>
              <w:bottom w:val="single" w:sz="4" w:space="0" w:color="auto"/>
              <w:right w:val="single" w:sz="4" w:space="0" w:color="auto"/>
            </w:tcBorders>
            <w:shd w:val="clear" w:color="000000" w:fill="FFFFFF"/>
            <w:noWrap/>
            <w:vAlign w:val="bottom"/>
            <w:hideMark/>
          </w:tcPr>
          <w:p w14:paraId="784DDDE7" w14:textId="48E3B93B" w:rsidR="00543241" w:rsidRPr="000D1437" w:rsidRDefault="00543241" w:rsidP="00543241">
            <w:pPr>
              <w:jc w:val="right"/>
              <w:rPr>
                <w:rFonts w:ascii="Times New Roman" w:hAnsi="Times New Roman"/>
                <w:sz w:val="14"/>
                <w:szCs w:val="14"/>
              </w:rPr>
            </w:pPr>
            <w:r w:rsidRPr="000D1437">
              <w:rPr>
                <w:sz w:val="14"/>
                <w:szCs w:val="14"/>
              </w:rPr>
              <w:t>11921,03</w:t>
            </w:r>
          </w:p>
        </w:tc>
        <w:tc>
          <w:tcPr>
            <w:tcW w:w="1182" w:type="dxa"/>
            <w:tcBorders>
              <w:top w:val="nil"/>
              <w:left w:val="nil"/>
              <w:bottom w:val="single" w:sz="4" w:space="0" w:color="auto"/>
              <w:right w:val="single" w:sz="4" w:space="0" w:color="auto"/>
            </w:tcBorders>
            <w:shd w:val="clear" w:color="000000" w:fill="FFFFFF"/>
            <w:noWrap/>
            <w:vAlign w:val="bottom"/>
            <w:hideMark/>
          </w:tcPr>
          <w:p w14:paraId="5E46E4A5" w14:textId="6345F3AF" w:rsidR="00543241" w:rsidRPr="000D1437" w:rsidRDefault="00543241" w:rsidP="00543241">
            <w:pPr>
              <w:jc w:val="right"/>
              <w:rPr>
                <w:rFonts w:ascii="Times New Roman" w:hAnsi="Times New Roman"/>
                <w:sz w:val="14"/>
                <w:szCs w:val="14"/>
              </w:rPr>
            </w:pPr>
            <w:r w:rsidRPr="000D1437">
              <w:rPr>
                <w:sz w:val="14"/>
                <w:szCs w:val="14"/>
              </w:rPr>
              <w:t>12581,59</w:t>
            </w:r>
          </w:p>
        </w:tc>
        <w:tc>
          <w:tcPr>
            <w:tcW w:w="1181" w:type="dxa"/>
            <w:tcBorders>
              <w:top w:val="nil"/>
              <w:left w:val="nil"/>
              <w:bottom w:val="single" w:sz="4" w:space="0" w:color="auto"/>
              <w:right w:val="single" w:sz="4" w:space="0" w:color="auto"/>
            </w:tcBorders>
            <w:shd w:val="clear" w:color="000000" w:fill="FFFFFF"/>
            <w:noWrap/>
            <w:vAlign w:val="bottom"/>
            <w:hideMark/>
          </w:tcPr>
          <w:p w14:paraId="60BE8659" w14:textId="0DA265F5" w:rsidR="00543241" w:rsidRPr="000D1437" w:rsidRDefault="00543241" w:rsidP="00543241">
            <w:pPr>
              <w:jc w:val="right"/>
              <w:rPr>
                <w:rFonts w:ascii="Times New Roman" w:hAnsi="Times New Roman"/>
                <w:sz w:val="14"/>
                <w:szCs w:val="14"/>
              </w:rPr>
            </w:pPr>
            <w:r w:rsidRPr="000D1437">
              <w:rPr>
                <w:sz w:val="14"/>
                <w:szCs w:val="14"/>
              </w:rPr>
              <w:t>12177,95</w:t>
            </w:r>
          </w:p>
        </w:tc>
        <w:tc>
          <w:tcPr>
            <w:tcW w:w="1181" w:type="dxa"/>
            <w:tcBorders>
              <w:top w:val="nil"/>
              <w:left w:val="nil"/>
              <w:bottom w:val="single" w:sz="4" w:space="0" w:color="auto"/>
              <w:right w:val="single" w:sz="4" w:space="0" w:color="auto"/>
            </w:tcBorders>
            <w:shd w:val="clear" w:color="000000" w:fill="FFFFFF"/>
            <w:vAlign w:val="bottom"/>
          </w:tcPr>
          <w:p w14:paraId="08350091" w14:textId="2A2E1244" w:rsidR="00543241" w:rsidRPr="000D1437" w:rsidRDefault="00543241" w:rsidP="00543241">
            <w:pPr>
              <w:jc w:val="right"/>
              <w:rPr>
                <w:rFonts w:ascii="Times New Roman" w:hAnsi="Times New Roman"/>
                <w:sz w:val="14"/>
                <w:szCs w:val="14"/>
              </w:rPr>
            </w:pPr>
            <w:r w:rsidRPr="000D1437">
              <w:rPr>
                <w:sz w:val="14"/>
                <w:szCs w:val="14"/>
              </w:rPr>
              <w:t>12376,26</w:t>
            </w:r>
          </w:p>
        </w:tc>
      </w:tr>
      <w:tr w:rsidR="00543241" w:rsidRPr="00364545" w14:paraId="5B20DE93"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671553D" w14:textId="5C9532C0"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167" w:type="dxa"/>
            <w:tcBorders>
              <w:top w:val="nil"/>
              <w:left w:val="nil"/>
              <w:bottom w:val="single" w:sz="4" w:space="0" w:color="auto"/>
              <w:right w:val="single" w:sz="4" w:space="0" w:color="auto"/>
            </w:tcBorders>
            <w:shd w:val="clear" w:color="000000" w:fill="FFFFFF"/>
            <w:noWrap/>
            <w:vAlign w:val="bottom"/>
            <w:hideMark/>
          </w:tcPr>
          <w:p w14:paraId="64DFBF87" w14:textId="447F7F43" w:rsidR="00543241" w:rsidRPr="000D1437" w:rsidRDefault="00543241" w:rsidP="00543241">
            <w:pPr>
              <w:jc w:val="right"/>
              <w:rPr>
                <w:rFonts w:ascii="Times New Roman" w:hAnsi="Times New Roman"/>
                <w:sz w:val="14"/>
                <w:szCs w:val="14"/>
              </w:rPr>
            </w:pPr>
            <w:r w:rsidRPr="000D1437">
              <w:rPr>
                <w:sz w:val="14"/>
                <w:szCs w:val="14"/>
              </w:rPr>
              <w:t>7864,59</w:t>
            </w:r>
          </w:p>
        </w:tc>
        <w:tc>
          <w:tcPr>
            <w:tcW w:w="1167" w:type="dxa"/>
            <w:tcBorders>
              <w:top w:val="nil"/>
              <w:left w:val="nil"/>
              <w:bottom w:val="single" w:sz="4" w:space="0" w:color="auto"/>
              <w:right w:val="single" w:sz="4" w:space="0" w:color="auto"/>
            </w:tcBorders>
            <w:shd w:val="clear" w:color="000000" w:fill="FFFFFF"/>
            <w:noWrap/>
            <w:vAlign w:val="bottom"/>
            <w:hideMark/>
          </w:tcPr>
          <w:p w14:paraId="76C38AFC" w14:textId="6A420EE5" w:rsidR="00543241" w:rsidRPr="000D1437" w:rsidRDefault="00543241" w:rsidP="00543241">
            <w:pPr>
              <w:jc w:val="right"/>
              <w:rPr>
                <w:rFonts w:ascii="Times New Roman" w:hAnsi="Times New Roman"/>
                <w:sz w:val="14"/>
                <w:szCs w:val="14"/>
              </w:rPr>
            </w:pPr>
            <w:r w:rsidRPr="000D1437">
              <w:rPr>
                <w:sz w:val="14"/>
                <w:szCs w:val="14"/>
              </w:rPr>
              <w:t>8311,87</w:t>
            </w:r>
          </w:p>
        </w:tc>
        <w:tc>
          <w:tcPr>
            <w:tcW w:w="1196" w:type="dxa"/>
            <w:tcBorders>
              <w:top w:val="nil"/>
              <w:left w:val="nil"/>
              <w:bottom w:val="single" w:sz="4" w:space="0" w:color="auto"/>
              <w:right w:val="single" w:sz="4" w:space="0" w:color="auto"/>
            </w:tcBorders>
            <w:shd w:val="clear" w:color="000000" w:fill="FFFFFF"/>
            <w:noWrap/>
            <w:vAlign w:val="bottom"/>
            <w:hideMark/>
          </w:tcPr>
          <w:p w14:paraId="46B7E9CC" w14:textId="03425411" w:rsidR="00543241" w:rsidRPr="000D1437" w:rsidRDefault="00543241" w:rsidP="00543241">
            <w:pPr>
              <w:jc w:val="right"/>
              <w:rPr>
                <w:rFonts w:ascii="Times New Roman" w:hAnsi="Times New Roman"/>
                <w:sz w:val="14"/>
                <w:szCs w:val="14"/>
              </w:rPr>
            </w:pPr>
            <w:r w:rsidRPr="000D1437">
              <w:rPr>
                <w:sz w:val="14"/>
                <w:szCs w:val="14"/>
              </w:rPr>
              <w:t>8466,43</w:t>
            </w:r>
          </w:p>
        </w:tc>
        <w:tc>
          <w:tcPr>
            <w:tcW w:w="1182" w:type="dxa"/>
            <w:tcBorders>
              <w:top w:val="nil"/>
              <w:left w:val="nil"/>
              <w:bottom w:val="single" w:sz="4" w:space="0" w:color="auto"/>
              <w:right w:val="single" w:sz="4" w:space="0" w:color="auto"/>
            </w:tcBorders>
            <w:shd w:val="clear" w:color="000000" w:fill="FFFFFF"/>
            <w:noWrap/>
            <w:vAlign w:val="bottom"/>
            <w:hideMark/>
          </w:tcPr>
          <w:p w14:paraId="18910184" w14:textId="229FC0BB" w:rsidR="00543241" w:rsidRPr="000D1437" w:rsidRDefault="00543241" w:rsidP="00543241">
            <w:pPr>
              <w:jc w:val="right"/>
              <w:rPr>
                <w:rFonts w:ascii="Times New Roman" w:hAnsi="Times New Roman"/>
                <w:sz w:val="14"/>
                <w:szCs w:val="14"/>
              </w:rPr>
            </w:pPr>
            <w:r w:rsidRPr="000D1437">
              <w:rPr>
                <w:sz w:val="14"/>
                <w:szCs w:val="14"/>
              </w:rPr>
              <w:t>8504,68</w:t>
            </w:r>
          </w:p>
        </w:tc>
        <w:tc>
          <w:tcPr>
            <w:tcW w:w="1181" w:type="dxa"/>
            <w:tcBorders>
              <w:top w:val="nil"/>
              <w:left w:val="nil"/>
              <w:bottom w:val="single" w:sz="4" w:space="0" w:color="auto"/>
              <w:right w:val="single" w:sz="4" w:space="0" w:color="auto"/>
            </w:tcBorders>
            <w:shd w:val="clear" w:color="000000" w:fill="FFFFFF"/>
            <w:noWrap/>
            <w:vAlign w:val="bottom"/>
            <w:hideMark/>
          </w:tcPr>
          <w:p w14:paraId="0DF3E698" w14:textId="65B19462" w:rsidR="00543241" w:rsidRPr="000D1437" w:rsidRDefault="00543241" w:rsidP="00543241">
            <w:pPr>
              <w:jc w:val="right"/>
              <w:rPr>
                <w:rFonts w:ascii="Times New Roman" w:hAnsi="Times New Roman"/>
                <w:sz w:val="14"/>
                <w:szCs w:val="14"/>
              </w:rPr>
            </w:pPr>
            <w:r w:rsidRPr="000D1437">
              <w:rPr>
                <w:sz w:val="14"/>
                <w:szCs w:val="14"/>
              </w:rPr>
              <w:t>8401,48</w:t>
            </w:r>
          </w:p>
        </w:tc>
        <w:tc>
          <w:tcPr>
            <w:tcW w:w="1181" w:type="dxa"/>
            <w:tcBorders>
              <w:top w:val="nil"/>
              <w:left w:val="nil"/>
              <w:bottom w:val="single" w:sz="4" w:space="0" w:color="auto"/>
              <w:right w:val="single" w:sz="4" w:space="0" w:color="auto"/>
            </w:tcBorders>
            <w:shd w:val="clear" w:color="000000" w:fill="FFFFFF"/>
            <w:vAlign w:val="bottom"/>
          </w:tcPr>
          <w:p w14:paraId="60E20D30" w14:textId="68966B43" w:rsidR="00543241" w:rsidRPr="000D1437" w:rsidRDefault="00543241" w:rsidP="00543241">
            <w:pPr>
              <w:jc w:val="right"/>
              <w:rPr>
                <w:rFonts w:ascii="Times New Roman" w:hAnsi="Times New Roman"/>
                <w:sz w:val="14"/>
                <w:szCs w:val="14"/>
              </w:rPr>
            </w:pPr>
            <w:r w:rsidRPr="000D1437">
              <w:rPr>
                <w:sz w:val="14"/>
                <w:szCs w:val="14"/>
              </w:rPr>
              <w:t>8528,22</w:t>
            </w:r>
          </w:p>
        </w:tc>
      </w:tr>
      <w:tr w:rsidR="00543241" w:rsidRPr="00364545" w14:paraId="20503031"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7079C13" w14:textId="62C8E5C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167" w:type="dxa"/>
            <w:tcBorders>
              <w:top w:val="nil"/>
              <w:left w:val="nil"/>
              <w:bottom w:val="single" w:sz="4" w:space="0" w:color="auto"/>
              <w:right w:val="single" w:sz="4" w:space="0" w:color="auto"/>
            </w:tcBorders>
            <w:shd w:val="clear" w:color="000000" w:fill="FFFFFF"/>
            <w:noWrap/>
            <w:vAlign w:val="bottom"/>
            <w:hideMark/>
          </w:tcPr>
          <w:p w14:paraId="19FB433F" w14:textId="6D9DC640" w:rsidR="00543241" w:rsidRPr="000D1437" w:rsidRDefault="00543241" w:rsidP="00543241">
            <w:pPr>
              <w:jc w:val="right"/>
              <w:rPr>
                <w:rFonts w:ascii="Times New Roman" w:hAnsi="Times New Roman"/>
                <w:sz w:val="14"/>
                <w:szCs w:val="14"/>
              </w:rPr>
            </w:pPr>
            <w:r w:rsidRPr="000D1437">
              <w:rPr>
                <w:sz w:val="14"/>
                <w:szCs w:val="14"/>
              </w:rPr>
              <w:t>15705,00</w:t>
            </w:r>
          </w:p>
        </w:tc>
        <w:tc>
          <w:tcPr>
            <w:tcW w:w="1167" w:type="dxa"/>
            <w:tcBorders>
              <w:top w:val="nil"/>
              <w:left w:val="nil"/>
              <w:bottom w:val="single" w:sz="4" w:space="0" w:color="auto"/>
              <w:right w:val="single" w:sz="4" w:space="0" w:color="auto"/>
            </w:tcBorders>
            <w:shd w:val="clear" w:color="000000" w:fill="FFFFFF"/>
            <w:noWrap/>
            <w:vAlign w:val="bottom"/>
            <w:hideMark/>
          </w:tcPr>
          <w:p w14:paraId="574F8028" w14:textId="58CB6814" w:rsidR="00543241" w:rsidRPr="000D1437" w:rsidRDefault="00543241" w:rsidP="00543241">
            <w:pPr>
              <w:jc w:val="right"/>
              <w:rPr>
                <w:rFonts w:ascii="Times New Roman" w:hAnsi="Times New Roman"/>
                <w:sz w:val="14"/>
                <w:szCs w:val="14"/>
              </w:rPr>
            </w:pPr>
            <w:r w:rsidRPr="000D1437">
              <w:rPr>
                <w:sz w:val="14"/>
                <w:szCs w:val="14"/>
              </w:rPr>
              <w:t>14935,83</w:t>
            </w:r>
          </w:p>
        </w:tc>
        <w:tc>
          <w:tcPr>
            <w:tcW w:w="1196" w:type="dxa"/>
            <w:tcBorders>
              <w:top w:val="nil"/>
              <w:left w:val="nil"/>
              <w:bottom w:val="single" w:sz="4" w:space="0" w:color="auto"/>
              <w:right w:val="single" w:sz="4" w:space="0" w:color="auto"/>
            </w:tcBorders>
            <w:shd w:val="clear" w:color="000000" w:fill="FFFFFF"/>
            <w:noWrap/>
            <w:vAlign w:val="bottom"/>
            <w:hideMark/>
          </w:tcPr>
          <w:p w14:paraId="1FF4682F" w14:textId="0E64B796" w:rsidR="00543241" w:rsidRPr="000D1437" w:rsidRDefault="00543241" w:rsidP="00543241">
            <w:pPr>
              <w:jc w:val="right"/>
              <w:rPr>
                <w:rFonts w:ascii="Times New Roman" w:hAnsi="Times New Roman"/>
                <w:sz w:val="14"/>
                <w:szCs w:val="14"/>
              </w:rPr>
            </w:pPr>
            <w:r w:rsidRPr="000D1437">
              <w:rPr>
                <w:sz w:val="14"/>
                <w:szCs w:val="14"/>
              </w:rPr>
              <w:t>16109,87</w:t>
            </w:r>
          </w:p>
        </w:tc>
        <w:tc>
          <w:tcPr>
            <w:tcW w:w="1182" w:type="dxa"/>
            <w:tcBorders>
              <w:top w:val="nil"/>
              <w:left w:val="nil"/>
              <w:bottom w:val="single" w:sz="4" w:space="0" w:color="auto"/>
              <w:right w:val="single" w:sz="4" w:space="0" w:color="auto"/>
            </w:tcBorders>
            <w:shd w:val="clear" w:color="000000" w:fill="FFFFFF"/>
            <w:noWrap/>
            <w:vAlign w:val="bottom"/>
            <w:hideMark/>
          </w:tcPr>
          <w:p w14:paraId="7E4D8AE4" w14:textId="48E3B3AF" w:rsidR="00543241" w:rsidRPr="000D1437" w:rsidRDefault="00543241" w:rsidP="00543241">
            <w:pPr>
              <w:jc w:val="right"/>
              <w:rPr>
                <w:rFonts w:ascii="Times New Roman" w:hAnsi="Times New Roman"/>
                <w:sz w:val="14"/>
                <w:szCs w:val="14"/>
              </w:rPr>
            </w:pPr>
            <w:r w:rsidRPr="000D1437">
              <w:rPr>
                <w:sz w:val="14"/>
                <w:szCs w:val="14"/>
              </w:rPr>
              <w:t>16034,92</w:t>
            </w:r>
          </w:p>
        </w:tc>
        <w:tc>
          <w:tcPr>
            <w:tcW w:w="1181" w:type="dxa"/>
            <w:tcBorders>
              <w:top w:val="nil"/>
              <w:left w:val="nil"/>
              <w:bottom w:val="single" w:sz="4" w:space="0" w:color="auto"/>
              <w:right w:val="single" w:sz="4" w:space="0" w:color="auto"/>
            </w:tcBorders>
            <w:shd w:val="clear" w:color="000000" w:fill="FFFFFF"/>
            <w:noWrap/>
            <w:vAlign w:val="bottom"/>
            <w:hideMark/>
          </w:tcPr>
          <w:p w14:paraId="7FD65964" w14:textId="62711145" w:rsidR="00543241" w:rsidRPr="000D1437" w:rsidRDefault="00543241" w:rsidP="00543241">
            <w:pPr>
              <w:jc w:val="right"/>
              <w:rPr>
                <w:rFonts w:ascii="Times New Roman" w:hAnsi="Times New Roman"/>
                <w:sz w:val="14"/>
                <w:szCs w:val="14"/>
              </w:rPr>
            </w:pPr>
            <w:r w:rsidRPr="000D1437">
              <w:rPr>
                <w:sz w:val="14"/>
                <w:szCs w:val="14"/>
              </w:rPr>
              <w:t>16735,64</w:t>
            </w:r>
          </w:p>
        </w:tc>
        <w:tc>
          <w:tcPr>
            <w:tcW w:w="1181" w:type="dxa"/>
            <w:tcBorders>
              <w:top w:val="nil"/>
              <w:left w:val="nil"/>
              <w:bottom w:val="single" w:sz="4" w:space="0" w:color="auto"/>
              <w:right w:val="single" w:sz="4" w:space="0" w:color="auto"/>
            </w:tcBorders>
            <w:shd w:val="clear" w:color="000000" w:fill="FFFFFF"/>
            <w:vAlign w:val="bottom"/>
          </w:tcPr>
          <w:p w14:paraId="5D30483D" w14:textId="26B075F6" w:rsidR="00543241" w:rsidRPr="000D1437" w:rsidRDefault="00543241" w:rsidP="00543241">
            <w:pPr>
              <w:jc w:val="right"/>
              <w:rPr>
                <w:rFonts w:ascii="Times New Roman" w:hAnsi="Times New Roman"/>
                <w:sz w:val="14"/>
                <w:szCs w:val="14"/>
              </w:rPr>
            </w:pPr>
            <w:r w:rsidRPr="000D1437">
              <w:rPr>
                <w:sz w:val="14"/>
                <w:szCs w:val="14"/>
              </w:rPr>
              <w:t>17034,44</w:t>
            </w:r>
          </w:p>
        </w:tc>
      </w:tr>
      <w:tr w:rsidR="00543241" w:rsidRPr="00364545" w14:paraId="07DF9ECE"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vAlign w:val="center"/>
            <w:hideMark/>
          </w:tcPr>
          <w:p w14:paraId="3F558E15" w14:textId="502346E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167" w:type="dxa"/>
            <w:tcBorders>
              <w:top w:val="nil"/>
              <w:left w:val="nil"/>
              <w:bottom w:val="single" w:sz="4" w:space="0" w:color="auto"/>
              <w:right w:val="single" w:sz="4" w:space="0" w:color="auto"/>
            </w:tcBorders>
            <w:shd w:val="clear" w:color="000000" w:fill="FFFFFF"/>
            <w:noWrap/>
            <w:vAlign w:val="bottom"/>
            <w:hideMark/>
          </w:tcPr>
          <w:p w14:paraId="5038A401" w14:textId="5AAA1570" w:rsidR="00543241" w:rsidRPr="000D1437" w:rsidRDefault="00543241" w:rsidP="00543241">
            <w:pPr>
              <w:jc w:val="right"/>
              <w:rPr>
                <w:rFonts w:ascii="Times New Roman" w:hAnsi="Times New Roman"/>
                <w:sz w:val="14"/>
                <w:szCs w:val="14"/>
              </w:rPr>
            </w:pPr>
            <w:r w:rsidRPr="000D1437">
              <w:rPr>
                <w:sz w:val="14"/>
                <w:szCs w:val="14"/>
              </w:rPr>
              <w:t>1916,33</w:t>
            </w:r>
          </w:p>
        </w:tc>
        <w:tc>
          <w:tcPr>
            <w:tcW w:w="1167" w:type="dxa"/>
            <w:tcBorders>
              <w:top w:val="nil"/>
              <w:left w:val="nil"/>
              <w:bottom w:val="single" w:sz="4" w:space="0" w:color="auto"/>
              <w:right w:val="single" w:sz="4" w:space="0" w:color="auto"/>
            </w:tcBorders>
            <w:shd w:val="clear" w:color="000000" w:fill="FFFFFF"/>
            <w:noWrap/>
            <w:vAlign w:val="bottom"/>
            <w:hideMark/>
          </w:tcPr>
          <w:p w14:paraId="27F8952E" w14:textId="4A0556EF" w:rsidR="00543241" w:rsidRPr="000D1437" w:rsidRDefault="00543241" w:rsidP="00543241">
            <w:pPr>
              <w:jc w:val="right"/>
              <w:rPr>
                <w:rFonts w:ascii="Times New Roman" w:hAnsi="Times New Roman"/>
                <w:sz w:val="14"/>
                <w:szCs w:val="14"/>
              </w:rPr>
            </w:pPr>
            <w:r w:rsidRPr="000D1437">
              <w:rPr>
                <w:sz w:val="14"/>
                <w:szCs w:val="14"/>
              </w:rPr>
              <w:t>1910,26</w:t>
            </w:r>
          </w:p>
        </w:tc>
        <w:tc>
          <w:tcPr>
            <w:tcW w:w="1196" w:type="dxa"/>
            <w:tcBorders>
              <w:top w:val="nil"/>
              <w:left w:val="nil"/>
              <w:bottom w:val="single" w:sz="4" w:space="0" w:color="auto"/>
              <w:right w:val="single" w:sz="4" w:space="0" w:color="auto"/>
            </w:tcBorders>
            <w:shd w:val="clear" w:color="000000" w:fill="FFFFFF"/>
            <w:noWrap/>
            <w:vAlign w:val="bottom"/>
            <w:hideMark/>
          </w:tcPr>
          <w:p w14:paraId="067FBEE3" w14:textId="49E4E238" w:rsidR="00543241" w:rsidRPr="000D1437" w:rsidRDefault="00543241" w:rsidP="00543241">
            <w:pPr>
              <w:jc w:val="right"/>
              <w:rPr>
                <w:rFonts w:ascii="Times New Roman" w:hAnsi="Times New Roman"/>
                <w:sz w:val="14"/>
                <w:szCs w:val="14"/>
              </w:rPr>
            </w:pPr>
            <w:r w:rsidRPr="000D1437">
              <w:rPr>
                <w:sz w:val="14"/>
                <w:szCs w:val="14"/>
              </w:rPr>
              <w:t>1863,85</w:t>
            </w:r>
          </w:p>
        </w:tc>
        <w:tc>
          <w:tcPr>
            <w:tcW w:w="1182" w:type="dxa"/>
            <w:tcBorders>
              <w:top w:val="nil"/>
              <w:left w:val="nil"/>
              <w:bottom w:val="single" w:sz="4" w:space="0" w:color="auto"/>
              <w:right w:val="single" w:sz="4" w:space="0" w:color="auto"/>
            </w:tcBorders>
            <w:shd w:val="clear" w:color="000000" w:fill="FFFFFF"/>
            <w:noWrap/>
            <w:vAlign w:val="bottom"/>
            <w:hideMark/>
          </w:tcPr>
          <w:p w14:paraId="6DCAAE47" w14:textId="6CC75E8D" w:rsidR="00543241" w:rsidRPr="000D1437" w:rsidRDefault="00543241" w:rsidP="00543241">
            <w:pPr>
              <w:jc w:val="right"/>
              <w:rPr>
                <w:rFonts w:ascii="Times New Roman" w:hAnsi="Times New Roman"/>
                <w:sz w:val="14"/>
                <w:szCs w:val="14"/>
              </w:rPr>
            </w:pPr>
            <w:r w:rsidRPr="000D1437">
              <w:rPr>
                <w:sz w:val="14"/>
                <w:szCs w:val="14"/>
              </w:rPr>
              <w:t>2029,49</w:t>
            </w:r>
          </w:p>
        </w:tc>
        <w:tc>
          <w:tcPr>
            <w:tcW w:w="1181" w:type="dxa"/>
            <w:tcBorders>
              <w:top w:val="nil"/>
              <w:left w:val="nil"/>
              <w:bottom w:val="single" w:sz="4" w:space="0" w:color="auto"/>
              <w:right w:val="single" w:sz="4" w:space="0" w:color="auto"/>
            </w:tcBorders>
            <w:shd w:val="clear" w:color="000000" w:fill="FFFFFF"/>
            <w:noWrap/>
            <w:vAlign w:val="bottom"/>
            <w:hideMark/>
          </w:tcPr>
          <w:p w14:paraId="138CD341" w14:textId="378329C1" w:rsidR="00543241" w:rsidRPr="000D1437" w:rsidRDefault="00543241" w:rsidP="00543241">
            <w:pPr>
              <w:jc w:val="right"/>
              <w:rPr>
                <w:rFonts w:ascii="Times New Roman" w:hAnsi="Times New Roman"/>
                <w:sz w:val="14"/>
                <w:szCs w:val="14"/>
              </w:rPr>
            </w:pPr>
            <w:r w:rsidRPr="000D1437">
              <w:rPr>
                <w:sz w:val="14"/>
                <w:szCs w:val="14"/>
              </w:rPr>
              <w:t>1933,33</w:t>
            </w:r>
          </w:p>
        </w:tc>
        <w:tc>
          <w:tcPr>
            <w:tcW w:w="1181" w:type="dxa"/>
            <w:tcBorders>
              <w:top w:val="nil"/>
              <w:left w:val="nil"/>
              <w:bottom w:val="single" w:sz="4" w:space="0" w:color="auto"/>
              <w:right w:val="single" w:sz="4" w:space="0" w:color="auto"/>
            </w:tcBorders>
            <w:shd w:val="clear" w:color="000000" w:fill="FFFFFF"/>
            <w:vAlign w:val="bottom"/>
          </w:tcPr>
          <w:p w14:paraId="1C912906" w14:textId="3DE5A58F" w:rsidR="00543241" w:rsidRPr="000D1437" w:rsidRDefault="00543241" w:rsidP="00543241">
            <w:pPr>
              <w:jc w:val="right"/>
              <w:rPr>
                <w:rFonts w:ascii="Times New Roman" w:hAnsi="Times New Roman"/>
                <w:sz w:val="14"/>
                <w:szCs w:val="14"/>
              </w:rPr>
            </w:pPr>
            <w:r w:rsidRPr="000D1437">
              <w:rPr>
                <w:sz w:val="14"/>
                <w:szCs w:val="14"/>
              </w:rPr>
              <w:t>1959,76</w:t>
            </w:r>
          </w:p>
        </w:tc>
      </w:tr>
      <w:tr w:rsidR="00543241" w:rsidRPr="00364545" w14:paraId="16D2AD64"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8DBED39" w14:textId="7463D65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167" w:type="dxa"/>
            <w:tcBorders>
              <w:top w:val="nil"/>
              <w:left w:val="nil"/>
              <w:bottom w:val="single" w:sz="4" w:space="0" w:color="auto"/>
              <w:right w:val="single" w:sz="4" w:space="0" w:color="auto"/>
            </w:tcBorders>
            <w:shd w:val="clear" w:color="000000" w:fill="FFFFFF"/>
            <w:noWrap/>
            <w:vAlign w:val="bottom"/>
            <w:hideMark/>
          </w:tcPr>
          <w:p w14:paraId="182879E1" w14:textId="2E0D2DA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63D85BDE" w14:textId="4A9C225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7E493726" w14:textId="62DDA3C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59D5B566" w14:textId="6BE0795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769CE8FC" w14:textId="1D9B97A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7CA31111" w14:textId="7514EF1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7B43FB3"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vAlign w:val="center"/>
            <w:hideMark/>
          </w:tcPr>
          <w:p w14:paraId="2B52A4AE" w14:textId="3521EFC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167" w:type="dxa"/>
            <w:tcBorders>
              <w:top w:val="nil"/>
              <w:left w:val="nil"/>
              <w:bottom w:val="single" w:sz="4" w:space="0" w:color="auto"/>
              <w:right w:val="single" w:sz="4" w:space="0" w:color="auto"/>
            </w:tcBorders>
            <w:shd w:val="clear" w:color="000000" w:fill="FFFFFF"/>
            <w:noWrap/>
            <w:vAlign w:val="bottom"/>
            <w:hideMark/>
          </w:tcPr>
          <w:p w14:paraId="1C846867" w14:textId="3F259CB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1EA5EBF2" w14:textId="20F95A5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5E59630D" w14:textId="190C8BB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2639D625" w14:textId="11597EF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13D91CEA" w14:textId="3169ABF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0B36FDD3" w14:textId="3DF8015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3E38DDA"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vAlign w:val="center"/>
            <w:hideMark/>
          </w:tcPr>
          <w:p w14:paraId="38FC8AC6" w14:textId="71F8F6B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167" w:type="dxa"/>
            <w:tcBorders>
              <w:top w:val="nil"/>
              <w:left w:val="nil"/>
              <w:bottom w:val="single" w:sz="4" w:space="0" w:color="auto"/>
              <w:right w:val="single" w:sz="4" w:space="0" w:color="auto"/>
            </w:tcBorders>
            <w:shd w:val="clear" w:color="000000" w:fill="FFFFFF"/>
            <w:noWrap/>
            <w:vAlign w:val="bottom"/>
            <w:hideMark/>
          </w:tcPr>
          <w:p w14:paraId="4B64921D" w14:textId="6E577CA8" w:rsidR="00543241" w:rsidRPr="000D1437" w:rsidRDefault="00543241" w:rsidP="00543241">
            <w:pPr>
              <w:jc w:val="right"/>
              <w:rPr>
                <w:rFonts w:ascii="Times New Roman" w:hAnsi="Times New Roman"/>
                <w:sz w:val="14"/>
                <w:szCs w:val="14"/>
              </w:rPr>
            </w:pPr>
            <w:r w:rsidRPr="000D1437">
              <w:rPr>
                <w:sz w:val="14"/>
                <w:szCs w:val="14"/>
              </w:rPr>
              <w:t>650,83</w:t>
            </w:r>
          </w:p>
        </w:tc>
        <w:tc>
          <w:tcPr>
            <w:tcW w:w="1167" w:type="dxa"/>
            <w:tcBorders>
              <w:top w:val="nil"/>
              <w:left w:val="nil"/>
              <w:bottom w:val="single" w:sz="4" w:space="0" w:color="auto"/>
              <w:right w:val="single" w:sz="4" w:space="0" w:color="auto"/>
            </w:tcBorders>
            <w:shd w:val="clear" w:color="000000" w:fill="FFFFFF"/>
            <w:noWrap/>
            <w:vAlign w:val="bottom"/>
            <w:hideMark/>
          </w:tcPr>
          <w:p w14:paraId="6C46479C" w14:textId="2D561904" w:rsidR="00543241" w:rsidRPr="000D1437" w:rsidRDefault="00543241" w:rsidP="00543241">
            <w:pPr>
              <w:jc w:val="right"/>
              <w:rPr>
                <w:rFonts w:ascii="Times New Roman" w:hAnsi="Times New Roman"/>
                <w:sz w:val="14"/>
                <w:szCs w:val="14"/>
              </w:rPr>
            </w:pPr>
            <w:r w:rsidRPr="000D1437">
              <w:rPr>
                <w:sz w:val="14"/>
                <w:szCs w:val="14"/>
              </w:rPr>
              <w:t>666,56</w:t>
            </w:r>
          </w:p>
        </w:tc>
        <w:tc>
          <w:tcPr>
            <w:tcW w:w="1196" w:type="dxa"/>
            <w:tcBorders>
              <w:top w:val="nil"/>
              <w:left w:val="nil"/>
              <w:bottom w:val="single" w:sz="4" w:space="0" w:color="auto"/>
              <w:right w:val="single" w:sz="4" w:space="0" w:color="auto"/>
            </w:tcBorders>
            <w:shd w:val="clear" w:color="000000" w:fill="FFFFFF"/>
            <w:noWrap/>
            <w:vAlign w:val="bottom"/>
            <w:hideMark/>
          </w:tcPr>
          <w:p w14:paraId="5F362D25" w14:textId="5B0A7C27" w:rsidR="00543241" w:rsidRPr="000D1437" w:rsidRDefault="00543241" w:rsidP="00543241">
            <w:pPr>
              <w:jc w:val="right"/>
              <w:rPr>
                <w:rFonts w:ascii="Times New Roman" w:hAnsi="Times New Roman"/>
                <w:sz w:val="14"/>
                <w:szCs w:val="14"/>
              </w:rPr>
            </w:pPr>
            <w:r w:rsidRPr="000D1437">
              <w:rPr>
                <w:sz w:val="14"/>
                <w:szCs w:val="14"/>
              </w:rPr>
              <w:t>661,01</w:t>
            </w:r>
          </w:p>
        </w:tc>
        <w:tc>
          <w:tcPr>
            <w:tcW w:w="1182" w:type="dxa"/>
            <w:tcBorders>
              <w:top w:val="nil"/>
              <w:left w:val="nil"/>
              <w:bottom w:val="single" w:sz="4" w:space="0" w:color="auto"/>
              <w:right w:val="single" w:sz="4" w:space="0" w:color="auto"/>
            </w:tcBorders>
            <w:shd w:val="clear" w:color="000000" w:fill="FFFFFF"/>
            <w:noWrap/>
            <w:vAlign w:val="bottom"/>
            <w:hideMark/>
          </w:tcPr>
          <w:p w14:paraId="3C6EDFD9" w14:textId="3C49CBDF" w:rsidR="00543241" w:rsidRPr="000D1437" w:rsidRDefault="00543241" w:rsidP="00543241">
            <w:pPr>
              <w:jc w:val="right"/>
              <w:rPr>
                <w:rFonts w:ascii="Times New Roman" w:hAnsi="Times New Roman"/>
                <w:sz w:val="14"/>
                <w:szCs w:val="14"/>
              </w:rPr>
            </w:pPr>
            <w:r w:rsidRPr="000D1437">
              <w:rPr>
                <w:sz w:val="14"/>
                <w:szCs w:val="14"/>
              </w:rPr>
              <w:t>669,87</w:t>
            </w:r>
          </w:p>
        </w:tc>
        <w:tc>
          <w:tcPr>
            <w:tcW w:w="1181" w:type="dxa"/>
            <w:tcBorders>
              <w:top w:val="nil"/>
              <w:left w:val="nil"/>
              <w:bottom w:val="single" w:sz="4" w:space="0" w:color="auto"/>
              <w:right w:val="single" w:sz="4" w:space="0" w:color="auto"/>
            </w:tcBorders>
            <w:shd w:val="clear" w:color="000000" w:fill="FFFFFF"/>
            <w:noWrap/>
            <w:vAlign w:val="bottom"/>
            <w:hideMark/>
          </w:tcPr>
          <w:p w14:paraId="048E67E5" w14:textId="761EEC78" w:rsidR="00543241" w:rsidRPr="000D1437" w:rsidRDefault="00543241" w:rsidP="00543241">
            <w:pPr>
              <w:jc w:val="right"/>
              <w:rPr>
                <w:rFonts w:ascii="Times New Roman" w:hAnsi="Times New Roman"/>
                <w:sz w:val="14"/>
                <w:szCs w:val="14"/>
              </w:rPr>
            </w:pPr>
            <w:r w:rsidRPr="000D1437">
              <w:rPr>
                <w:sz w:val="14"/>
                <w:szCs w:val="14"/>
              </w:rPr>
              <w:t>656,90</w:t>
            </w:r>
          </w:p>
        </w:tc>
        <w:tc>
          <w:tcPr>
            <w:tcW w:w="1181" w:type="dxa"/>
            <w:tcBorders>
              <w:top w:val="nil"/>
              <w:left w:val="nil"/>
              <w:bottom w:val="single" w:sz="4" w:space="0" w:color="auto"/>
              <w:right w:val="single" w:sz="4" w:space="0" w:color="auto"/>
            </w:tcBorders>
            <w:shd w:val="clear" w:color="000000" w:fill="FFFFFF"/>
            <w:vAlign w:val="bottom"/>
          </w:tcPr>
          <w:p w14:paraId="66346A6C" w14:textId="1B62BC38" w:rsidR="00543241" w:rsidRPr="000D1437" w:rsidRDefault="00543241" w:rsidP="00543241">
            <w:pPr>
              <w:jc w:val="right"/>
              <w:rPr>
                <w:rFonts w:ascii="Times New Roman" w:hAnsi="Times New Roman"/>
                <w:sz w:val="14"/>
                <w:szCs w:val="14"/>
              </w:rPr>
            </w:pPr>
            <w:r w:rsidRPr="000D1437">
              <w:rPr>
                <w:sz w:val="14"/>
                <w:szCs w:val="14"/>
              </w:rPr>
              <w:t>675,39</w:t>
            </w:r>
          </w:p>
        </w:tc>
      </w:tr>
      <w:tr w:rsidR="00543241" w:rsidRPr="00364545" w14:paraId="1398C990"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BC584CA" w14:textId="771DBE9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167" w:type="dxa"/>
            <w:tcBorders>
              <w:top w:val="nil"/>
              <w:left w:val="nil"/>
              <w:bottom w:val="single" w:sz="4" w:space="0" w:color="auto"/>
              <w:right w:val="single" w:sz="4" w:space="0" w:color="auto"/>
            </w:tcBorders>
            <w:shd w:val="clear" w:color="000000" w:fill="FFFFFF"/>
            <w:noWrap/>
            <w:vAlign w:val="bottom"/>
            <w:hideMark/>
          </w:tcPr>
          <w:p w14:paraId="738413BE" w14:textId="35DB774D" w:rsidR="00543241" w:rsidRPr="000D1437" w:rsidRDefault="00543241" w:rsidP="00543241">
            <w:pPr>
              <w:jc w:val="right"/>
              <w:rPr>
                <w:rFonts w:ascii="Times New Roman" w:hAnsi="Times New Roman"/>
                <w:sz w:val="14"/>
                <w:szCs w:val="14"/>
              </w:rPr>
            </w:pPr>
            <w:r w:rsidRPr="000D1437">
              <w:rPr>
                <w:sz w:val="14"/>
                <w:szCs w:val="14"/>
              </w:rPr>
              <w:t>0,04</w:t>
            </w:r>
          </w:p>
        </w:tc>
        <w:tc>
          <w:tcPr>
            <w:tcW w:w="1167" w:type="dxa"/>
            <w:tcBorders>
              <w:top w:val="nil"/>
              <w:left w:val="nil"/>
              <w:bottom w:val="single" w:sz="4" w:space="0" w:color="auto"/>
              <w:right w:val="single" w:sz="4" w:space="0" w:color="auto"/>
            </w:tcBorders>
            <w:shd w:val="clear" w:color="000000" w:fill="FFFFFF"/>
            <w:noWrap/>
            <w:vAlign w:val="bottom"/>
            <w:hideMark/>
          </w:tcPr>
          <w:p w14:paraId="2CF6627A" w14:textId="3F7C9F56" w:rsidR="00543241" w:rsidRPr="000D1437" w:rsidRDefault="00543241" w:rsidP="00543241">
            <w:pPr>
              <w:jc w:val="right"/>
              <w:rPr>
                <w:rFonts w:ascii="Times New Roman" w:hAnsi="Times New Roman"/>
                <w:sz w:val="14"/>
                <w:szCs w:val="14"/>
              </w:rPr>
            </w:pPr>
            <w:r w:rsidRPr="000D1437">
              <w:rPr>
                <w:sz w:val="14"/>
                <w:szCs w:val="14"/>
              </w:rPr>
              <w:t>0,04</w:t>
            </w:r>
          </w:p>
        </w:tc>
        <w:tc>
          <w:tcPr>
            <w:tcW w:w="1196" w:type="dxa"/>
            <w:tcBorders>
              <w:top w:val="nil"/>
              <w:left w:val="nil"/>
              <w:bottom w:val="single" w:sz="4" w:space="0" w:color="auto"/>
              <w:right w:val="single" w:sz="4" w:space="0" w:color="auto"/>
            </w:tcBorders>
            <w:shd w:val="clear" w:color="000000" w:fill="FFFFFF"/>
            <w:noWrap/>
            <w:vAlign w:val="bottom"/>
            <w:hideMark/>
          </w:tcPr>
          <w:p w14:paraId="032C9EF1" w14:textId="2AF98255" w:rsidR="00543241" w:rsidRPr="000D1437" w:rsidRDefault="00543241" w:rsidP="00543241">
            <w:pPr>
              <w:jc w:val="right"/>
              <w:rPr>
                <w:rFonts w:ascii="Times New Roman" w:hAnsi="Times New Roman"/>
                <w:sz w:val="14"/>
                <w:szCs w:val="14"/>
              </w:rPr>
            </w:pPr>
            <w:r w:rsidRPr="000D1437">
              <w:rPr>
                <w:sz w:val="14"/>
                <w:szCs w:val="14"/>
              </w:rPr>
              <w:t>0,04</w:t>
            </w:r>
          </w:p>
        </w:tc>
        <w:tc>
          <w:tcPr>
            <w:tcW w:w="1182" w:type="dxa"/>
            <w:tcBorders>
              <w:top w:val="nil"/>
              <w:left w:val="nil"/>
              <w:bottom w:val="single" w:sz="4" w:space="0" w:color="auto"/>
              <w:right w:val="single" w:sz="4" w:space="0" w:color="auto"/>
            </w:tcBorders>
            <w:shd w:val="clear" w:color="000000" w:fill="FFFFFF"/>
            <w:noWrap/>
            <w:vAlign w:val="bottom"/>
            <w:hideMark/>
          </w:tcPr>
          <w:p w14:paraId="61DA3500" w14:textId="4109B36C" w:rsidR="00543241" w:rsidRPr="000D1437" w:rsidRDefault="00543241" w:rsidP="00543241">
            <w:pPr>
              <w:jc w:val="right"/>
              <w:rPr>
                <w:rFonts w:ascii="Times New Roman" w:hAnsi="Times New Roman"/>
                <w:sz w:val="14"/>
                <w:szCs w:val="14"/>
              </w:rPr>
            </w:pPr>
            <w:r w:rsidRPr="000D1437">
              <w:rPr>
                <w:sz w:val="14"/>
                <w:szCs w:val="14"/>
              </w:rPr>
              <w:t>0,04</w:t>
            </w:r>
          </w:p>
        </w:tc>
        <w:tc>
          <w:tcPr>
            <w:tcW w:w="1181" w:type="dxa"/>
            <w:tcBorders>
              <w:top w:val="nil"/>
              <w:left w:val="nil"/>
              <w:bottom w:val="single" w:sz="4" w:space="0" w:color="auto"/>
              <w:right w:val="single" w:sz="4" w:space="0" w:color="auto"/>
            </w:tcBorders>
            <w:shd w:val="clear" w:color="000000" w:fill="FFFFFF"/>
            <w:noWrap/>
            <w:vAlign w:val="bottom"/>
            <w:hideMark/>
          </w:tcPr>
          <w:p w14:paraId="0B303CB6" w14:textId="2C350715" w:rsidR="00543241" w:rsidRPr="000D1437" w:rsidRDefault="00543241" w:rsidP="00543241">
            <w:pPr>
              <w:jc w:val="right"/>
              <w:rPr>
                <w:rFonts w:ascii="Times New Roman" w:hAnsi="Times New Roman"/>
                <w:sz w:val="14"/>
                <w:szCs w:val="14"/>
              </w:rPr>
            </w:pPr>
            <w:r w:rsidRPr="000D1437">
              <w:rPr>
                <w:sz w:val="14"/>
                <w:szCs w:val="14"/>
              </w:rPr>
              <w:t>0,04</w:t>
            </w:r>
          </w:p>
        </w:tc>
        <w:tc>
          <w:tcPr>
            <w:tcW w:w="1181" w:type="dxa"/>
            <w:tcBorders>
              <w:top w:val="nil"/>
              <w:left w:val="nil"/>
              <w:bottom w:val="single" w:sz="4" w:space="0" w:color="auto"/>
              <w:right w:val="single" w:sz="4" w:space="0" w:color="auto"/>
            </w:tcBorders>
            <w:shd w:val="clear" w:color="000000" w:fill="FFFFFF"/>
            <w:vAlign w:val="bottom"/>
          </w:tcPr>
          <w:p w14:paraId="5495D853" w14:textId="095D8A19" w:rsidR="00543241" w:rsidRPr="000D1437" w:rsidRDefault="00543241" w:rsidP="00543241">
            <w:pPr>
              <w:jc w:val="right"/>
              <w:rPr>
                <w:rFonts w:ascii="Times New Roman" w:hAnsi="Times New Roman"/>
                <w:sz w:val="14"/>
                <w:szCs w:val="14"/>
              </w:rPr>
            </w:pPr>
            <w:r w:rsidRPr="000D1437">
              <w:rPr>
                <w:sz w:val="14"/>
                <w:szCs w:val="14"/>
              </w:rPr>
              <w:t>0,04</w:t>
            </w:r>
          </w:p>
        </w:tc>
      </w:tr>
      <w:tr w:rsidR="00543241" w:rsidRPr="00364545" w14:paraId="74BFBED2"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bottom"/>
            <w:hideMark/>
          </w:tcPr>
          <w:p w14:paraId="677951E2" w14:textId="4B26A238"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3. Agriculture</w:t>
            </w:r>
          </w:p>
        </w:tc>
        <w:tc>
          <w:tcPr>
            <w:tcW w:w="1167" w:type="dxa"/>
            <w:tcBorders>
              <w:top w:val="nil"/>
              <w:left w:val="nil"/>
              <w:bottom w:val="single" w:sz="4" w:space="0" w:color="auto"/>
              <w:right w:val="single" w:sz="4" w:space="0" w:color="auto"/>
            </w:tcBorders>
            <w:shd w:val="clear" w:color="000000" w:fill="CCFFFF"/>
            <w:noWrap/>
            <w:vAlign w:val="bottom"/>
            <w:hideMark/>
          </w:tcPr>
          <w:p w14:paraId="34472A43" w14:textId="64878FE9" w:rsidR="00543241" w:rsidRPr="000D1437" w:rsidRDefault="00543241" w:rsidP="00543241">
            <w:pPr>
              <w:jc w:val="right"/>
              <w:rPr>
                <w:rFonts w:ascii="Times New Roman" w:hAnsi="Times New Roman"/>
                <w:sz w:val="14"/>
                <w:szCs w:val="14"/>
              </w:rPr>
            </w:pPr>
            <w:r w:rsidRPr="000D1437">
              <w:rPr>
                <w:sz w:val="14"/>
                <w:szCs w:val="14"/>
              </w:rPr>
              <w:t>1973,35</w:t>
            </w:r>
          </w:p>
        </w:tc>
        <w:tc>
          <w:tcPr>
            <w:tcW w:w="1167" w:type="dxa"/>
            <w:tcBorders>
              <w:top w:val="nil"/>
              <w:left w:val="nil"/>
              <w:bottom w:val="single" w:sz="4" w:space="0" w:color="auto"/>
              <w:right w:val="single" w:sz="4" w:space="0" w:color="auto"/>
            </w:tcBorders>
            <w:shd w:val="clear" w:color="000000" w:fill="CCFFFF"/>
            <w:noWrap/>
            <w:vAlign w:val="bottom"/>
            <w:hideMark/>
          </w:tcPr>
          <w:p w14:paraId="292D1A0B" w14:textId="3FA8CBA4" w:rsidR="00543241" w:rsidRPr="000D1437" w:rsidRDefault="00543241" w:rsidP="00543241">
            <w:pPr>
              <w:jc w:val="right"/>
              <w:rPr>
                <w:rFonts w:ascii="Times New Roman" w:hAnsi="Times New Roman"/>
                <w:sz w:val="14"/>
                <w:szCs w:val="14"/>
              </w:rPr>
            </w:pPr>
            <w:r w:rsidRPr="000D1437">
              <w:rPr>
                <w:sz w:val="14"/>
                <w:szCs w:val="14"/>
              </w:rPr>
              <w:t>1916,08</w:t>
            </w:r>
          </w:p>
        </w:tc>
        <w:tc>
          <w:tcPr>
            <w:tcW w:w="1196" w:type="dxa"/>
            <w:tcBorders>
              <w:top w:val="nil"/>
              <w:left w:val="nil"/>
              <w:bottom w:val="single" w:sz="4" w:space="0" w:color="auto"/>
              <w:right w:val="single" w:sz="4" w:space="0" w:color="auto"/>
            </w:tcBorders>
            <w:shd w:val="clear" w:color="000000" w:fill="CCFFFF"/>
            <w:noWrap/>
            <w:vAlign w:val="bottom"/>
            <w:hideMark/>
          </w:tcPr>
          <w:p w14:paraId="424CD955" w14:textId="49991EEE" w:rsidR="00543241" w:rsidRPr="000D1437" w:rsidRDefault="00543241" w:rsidP="00543241">
            <w:pPr>
              <w:jc w:val="right"/>
              <w:rPr>
                <w:rFonts w:ascii="Times New Roman" w:hAnsi="Times New Roman"/>
                <w:sz w:val="14"/>
                <w:szCs w:val="14"/>
              </w:rPr>
            </w:pPr>
            <w:r w:rsidRPr="000D1437">
              <w:rPr>
                <w:sz w:val="14"/>
                <w:szCs w:val="14"/>
              </w:rPr>
              <w:t>2082,81</w:t>
            </w:r>
          </w:p>
        </w:tc>
        <w:tc>
          <w:tcPr>
            <w:tcW w:w="1182" w:type="dxa"/>
            <w:tcBorders>
              <w:top w:val="nil"/>
              <w:left w:val="nil"/>
              <w:bottom w:val="single" w:sz="4" w:space="0" w:color="auto"/>
              <w:right w:val="single" w:sz="4" w:space="0" w:color="auto"/>
            </w:tcBorders>
            <w:shd w:val="clear" w:color="000000" w:fill="CCFFFF"/>
            <w:noWrap/>
            <w:vAlign w:val="bottom"/>
            <w:hideMark/>
          </w:tcPr>
          <w:p w14:paraId="193A7AB5" w14:textId="12446DD3" w:rsidR="00543241" w:rsidRPr="000D1437" w:rsidRDefault="00543241" w:rsidP="00543241">
            <w:pPr>
              <w:jc w:val="right"/>
              <w:rPr>
                <w:rFonts w:ascii="Times New Roman" w:hAnsi="Times New Roman"/>
                <w:sz w:val="14"/>
                <w:szCs w:val="14"/>
              </w:rPr>
            </w:pPr>
            <w:r w:rsidRPr="000D1437">
              <w:rPr>
                <w:sz w:val="14"/>
                <w:szCs w:val="14"/>
              </w:rPr>
              <w:t>2080,56</w:t>
            </w:r>
          </w:p>
        </w:tc>
        <w:tc>
          <w:tcPr>
            <w:tcW w:w="1181" w:type="dxa"/>
            <w:tcBorders>
              <w:top w:val="nil"/>
              <w:left w:val="nil"/>
              <w:bottom w:val="single" w:sz="4" w:space="0" w:color="auto"/>
              <w:right w:val="single" w:sz="4" w:space="0" w:color="auto"/>
            </w:tcBorders>
            <w:shd w:val="clear" w:color="000000" w:fill="CCFFFF"/>
            <w:noWrap/>
            <w:vAlign w:val="bottom"/>
            <w:hideMark/>
          </w:tcPr>
          <w:p w14:paraId="738229A6" w14:textId="6635F790" w:rsidR="00543241" w:rsidRPr="000D1437" w:rsidRDefault="00543241" w:rsidP="00543241">
            <w:pPr>
              <w:jc w:val="right"/>
              <w:rPr>
                <w:rFonts w:ascii="Times New Roman" w:hAnsi="Times New Roman"/>
                <w:sz w:val="14"/>
                <w:szCs w:val="14"/>
              </w:rPr>
            </w:pPr>
            <w:r w:rsidRPr="000D1437">
              <w:rPr>
                <w:sz w:val="14"/>
                <w:szCs w:val="14"/>
              </w:rPr>
              <w:t>2069,75</w:t>
            </w:r>
          </w:p>
        </w:tc>
        <w:tc>
          <w:tcPr>
            <w:tcW w:w="1181" w:type="dxa"/>
            <w:tcBorders>
              <w:top w:val="nil"/>
              <w:left w:val="nil"/>
              <w:bottom w:val="single" w:sz="4" w:space="0" w:color="auto"/>
              <w:right w:val="single" w:sz="4" w:space="0" w:color="auto"/>
            </w:tcBorders>
            <w:shd w:val="clear" w:color="000000" w:fill="CCFFFF"/>
            <w:vAlign w:val="bottom"/>
          </w:tcPr>
          <w:p w14:paraId="6384B279" w14:textId="3F674D31" w:rsidR="00543241" w:rsidRPr="000D1437" w:rsidRDefault="00543241" w:rsidP="00543241">
            <w:pPr>
              <w:jc w:val="right"/>
              <w:rPr>
                <w:rFonts w:ascii="Times New Roman" w:hAnsi="Times New Roman"/>
                <w:sz w:val="14"/>
                <w:szCs w:val="14"/>
              </w:rPr>
            </w:pPr>
            <w:r w:rsidRPr="000D1437">
              <w:rPr>
                <w:sz w:val="14"/>
                <w:szCs w:val="14"/>
              </w:rPr>
              <w:t>1988,53</w:t>
            </w:r>
          </w:p>
        </w:tc>
      </w:tr>
      <w:tr w:rsidR="00543241" w:rsidRPr="00364545" w14:paraId="6642A6FE"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B086995" w14:textId="242A0AB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0CC77D88" w14:textId="790930A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5C277C62" w14:textId="709B9CE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71DB9B5B" w14:textId="1CDF330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10E3F782" w14:textId="39B600D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149AFD09" w14:textId="164B1BC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18EA0EB3" w14:textId="5A74D1A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292F8908"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60D406E" w14:textId="7BE92C05"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656D93DA" w14:textId="4E9B7D8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37CDEE82" w14:textId="3E2CAFE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7243C2AC" w14:textId="5364889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2C902B55" w14:textId="52D986C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31DB369E" w14:textId="7E14BD1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41CB23F7" w14:textId="7CA7D12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27350740"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FA8CAA1" w14:textId="3B4AC875"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29724A59" w14:textId="4D10D53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209AF33A" w14:textId="19D04A1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7371C911" w14:textId="66B632A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6F3B7893" w14:textId="76C257F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578D92B7" w14:textId="18B6292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6D42654C" w14:textId="1F5679E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7735C52"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863F8CB" w14:textId="72B86785"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6E4C55B7" w14:textId="538EF1C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018142BF" w14:textId="2DDF146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56EA5734" w14:textId="621D649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77203A1C" w14:textId="1CA9CEA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2A622FC5" w14:textId="39699A8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13CF6C1D" w14:textId="235B3B2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0F6436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FA969B7" w14:textId="27683B40"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61496699" w14:textId="7DF889B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57F1E29B" w14:textId="42C8808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758F4B24" w14:textId="20F6D04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1542A76E" w14:textId="37A0C72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391DEA79" w14:textId="2E03EB3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4BB8F0AF" w14:textId="67639FF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27A69A17"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52850B2E" w14:textId="64B5C94F"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167" w:type="dxa"/>
            <w:tcBorders>
              <w:top w:val="nil"/>
              <w:left w:val="nil"/>
              <w:bottom w:val="single" w:sz="4" w:space="0" w:color="auto"/>
              <w:right w:val="single" w:sz="4" w:space="0" w:color="auto"/>
            </w:tcBorders>
            <w:shd w:val="clear" w:color="000000" w:fill="FFFFFF"/>
            <w:noWrap/>
            <w:vAlign w:val="bottom"/>
            <w:hideMark/>
          </w:tcPr>
          <w:p w14:paraId="550ABD19" w14:textId="73FC40F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18055CAC" w14:textId="2F54F7B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20C0FE3D" w14:textId="69B09D2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26E63624" w14:textId="378A6B7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68B7BD98" w14:textId="54497CD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6BF16B19" w14:textId="2246F7F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8805094"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D722F82"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167" w:type="dxa"/>
            <w:tcBorders>
              <w:top w:val="nil"/>
              <w:left w:val="nil"/>
              <w:bottom w:val="single" w:sz="4" w:space="0" w:color="auto"/>
              <w:right w:val="single" w:sz="4" w:space="0" w:color="auto"/>
            </w:tcBorders>
            <w:shd w:val="clear" w:color="000000" w:fill="FFFFFF"/>
            <w:noWrap/>
            <w:vAlign w:val="bottom"/>
            <w:hideMark/>
          </w:tcPr>
          <w:p w14:paraId="60956F2F" w14:textId="17A34028" w:rsidR="00543241" w:rsidRPr="000D1437" w:rsidRDefault="00543241" w:rsidP="00543241">
            <w:pPr>
              <w:jc w:val="right"/>
              <w:rPr>
                <w:rFonts w:ascii="Times New Roman" w:hAnsi="Times New Roman"/>
                <w:sz w:val="14"/>
                <w:szCs w:val="14"/>
              </w:rPr>
            </w:pPr>
            <w:r w:rsidRPr="000D1437">
              <w:rPr>
                <w:sz w:val="14"/>
                <w:szCs w:val="14"/>
              </w:rPr>
              <w:t>1048,78</w:t>
            </w:r>
          </w:p>
        </w:tc>
        <w:tc>
          <w:tcPr>
            <w:tcW w:w="1167" w:type="dxa"/>
            <w:tcBorders>
              <w:top w:val="nil"/>
              <w:left w:val="nil"/>
              <w:bottom w:val="single" w:sz="4" w:space="0" w:color="auto"/>
              <w:right w:val="single" w:sz="4" w:space="0" w:color="auto"/>
            </w:tcBorders>
            <w:shd w:val="clear" w:color="000000" w:fill="FFFFFF"/>
            <w:noWrap/>
            <w:vAlign w:val="bottom"/>
            <w:hideMark/>
          </w:tcPr>
          <w:p w14:paraId="5FD7398F" w14:textId="6CE10350" w:rsidR="00543241" w:rsidRPr="000D1437" w:rsidRDefault="00543241" w:rsidP="00543241">
            <w:pPr>
              <w:jc w:val="right"/>
              <w:rPr>
                <w:rFonts w:ascii="Times New Roman" w:hAnsi="Times New Roman"/>
                <w:sz w:val="14"/>
                <w:szCs w:val="14"/>
              </w:rPr>
            </w:pPr>
            <w:r w:rsidRPr="000D1437">
              <w:rPr>
                <w:sz w:val="14"/>
                <w:szCs w:val="14"/>
              </w:rPr>
              <w:t>994,62</w:t>
            </w:r>
          </w:p>
        </w:tc>
        <w:tc>
          <w:tcPr>
            <w:tcW w:w="1196" w:type="dxa"/>
            <w:tcBorders>
              <w:top w:val="nil"/>
              <w:left w:val="nil"/>
              <w:bottom w:val="single" w:sz="4" w:space="0" w:color="auto"/>
              <w:right w:val="single" w:sz="4" w:space="0" w:color="auto"/>
            </w:tcBorders>
            <w:shd w:val="clear" w:color="000000" w:fill="FFFFFF"/>
            <w:noWrap/>
            <w:vAlign w:val="bottom"/>
            <w:hideMark/>
          </w:tcPr>
          <w:p w14:paraId="5EC81AD5" w14:textId="0F490A87" w:rsidR="00543241" w:rsidRPr="000D1437" w:rsidRDefault="00543241" w:rsidP="00543241">
            <w:pPr>
              <w:jc w:val="right"/>
              <w:rPr>
                <w:rFonts w:ascii="Times New Roman" w:hAnsi="Times New Roman"/>
                <w:sz w:val="14"/>
                <w:szCs w:val="14"/>
              </w:rPr>
            </w:pPr>
            <w:r w:rsidRPr="000D1437">
              <w:rPr>
                <w:sz w:val="14"/>
                <w:szCs w:val="14"/>
              </w:rPr>
              <w:t>1170,85</w:t>
            </w:r>
          </w:p>
        </w:tc>
        <w:tc>
          <w:tcPr>
            <w:tcW w:w="1182" w:type="dxa"/>
            <w:tcBorders>
              <w:top w:val="nil"/>
              <w:left w:val="nil"/>
              <w:bottom w:val="single" w:sz="4" w:space="0" w:color="auto"/>
              <w:right w:val="single" w:sz="4" w:space="0" w:color="auto"/>
            </w:tcBorders>
            <w:shd w:val="clear" w:color="000000" w:fill="FFFFFF"/>
            <w:noWrap/>
            <w:vAlign w:val="bottom"/>
            <w:hideMark/>
          </w:tcPr>
          <w:p w14:paraId="3DBA4F32" w14:textId="00259744" w:rsidR="00543241" w:rsidRPr="000D1437" w:rsidRDefault="00543241" w:rsidP="00543241">
            <w:pPr>
              <w:jc w:val="right"/>
              <w:rPr>
                <w:rFonts w:ascii="Times New Roman" w:hAnsi="Times New Roman"/>
                <w:sz w:val="14"/>
                <w:szCs w:val="14"/>
              </w:rPr>
            </w:pPr>
            <w:r w:rsidRPr="000D1437">
              <w:rPr>
                <w:sz w:val="14"/>
                <w:szCs w:val="14"/>
              </w:rPr>
              <w:t>1117,15</w:t>
            </w:r>
          </w:p>
        </w:tc>
        <w:tc>
          <w:tcPr>
            <w:tcW w:w="1181" w:type="dxa"/>
            <w:tcBorders>
              <w:top w:val="nil"/>
              <w:left w:val="nil"/>
              <w:bottom w:val="single" w:sz="4" w:space="0" w:color="auto"/>
              <w:right w:val="single" w:sz="4" w:space="0" w:color="auto"/>
            </w:tcBorders>
            <w:shd w:val="clear" w:color="000000" w:fill="FFFFFF"/>
            <w:noWrap/>
            <w:vAlign w:val="bottom"/>
            <w:hideMark/>
          </w:tcPr>
          <w:p w14:paraId="2F7D07A2" w14:textId="3D28C459" w:rsidR="00543241" w:rsidRPr="000D1437" w:rsidRDefault="00543241" w:rsidP="00543241">
            <w:pPr>
              <w:jc w:val="right"/>
              <w:rPr>
                <w:rFonts w:ascii="Times New Roman" w:hAnsi="Times New Roman"/>
                <w:sz w:val="14"/>
                <w:szCs w:val="14"/>
              </w:rPr>
            </w:pPr>
            <w:r w:rsidRPr="000D1437">
              <w:rPr>
                <w:sz w:val="14"/>
                <w:szCs w:val="14"/>
              </w:rPr>
              <w:t>1081,34</w:t>
            </w:r>
          </w:p>
        </w:tc>
        <w:tc>
          <w:tcPr>
            <w:tcW w:w="1181" w:type="dxa"/>
            <w:tcBorders>
              <w:top w:val="nil"/>
              <w:left w:val="nil"/>
              <w:bottom w:val="single" w:sz="4" w:space="0" w:color="auto"/>
              <w:right w:val="single" w:sz="4" w:space="0" w:color="auto"/>
            </w:tcBorders>
            <w:shd w:val="clear" w:color="000000" w:fill="FFFFFF"/>
            <w:vAlign w:val="bottom"/>
          </w:tcPr>
          <w:p w14:paraId="6A9A9CDA" w14:textId="60017076" w:rsidR="00543241" w:rsidRPr="000D1437" w:rsidRDefault="00543241" w:rsidP="00543241">
            <w:pPr>
              <w:jc w:val="right"/>
              <w:rPr>
                <w:rFonts w:ascii="Times New Roman" w:hAnsi="Times New Roman"/>
                <w:sz w:val="14"/>
                <w:szCs w:val="14"/>
              </w:rPr>
            </w:pPr>
            <w:r w:rsidRPr="000D1437">
              <w:rPr>
                <w:sz w:val="14"/>
                <w:szCs w:val="14"/>
              </w:rPr>
              <w:t>955,34</w:t>
            </w:r>
          </w:p>
        </w:tc>
      </w:tr>
      <w:tr w:rsidR="00543241" w:rsidRPr="00364545" w14:paraId="6940D008"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DA0217E"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167" w:type="dxa"/>
            <w:tcBorders>
              <w:top w:val="nil"/>
              <w:left w:val="nil"/>
              <w:bottom w:val="single" w:sz="4" w:space="0" w:color="auto"/>
              <w:right w:val="single" w:sz="4" w:space="0" w:color="auto"/>
            </w:tcBorders>
            <w:shd w:val="clear" w:color="000000" w:fill="FFFFFF"/>
            <w:noWrap/>
            <w:vAlign w:val="bottom"/>
            <w:hideMark/>
          </w:tcPr>
          <w:p w14:paraId="0331D5EA" w14:textId="324436D6" w:rsidR="00543241" w:rsidRPr="000D1437" w:rsidRDefault="00543241" w:rsidP="00543241">
            <w:pPr>
              <w:jc w:val="right"/>
              <w:rPr>
                <w:rFonts w:ascii="Times New Roman" w:hAnsi="Times New Roman"/>
                <w:sz w:val="14"/>
                <w:szCs w:val="14"/>
              </w:rPr>
            </w:pPr>
            <w:r w:rsidRPr="000D1437">
              <w:rPr>
                <w:sz w:val="14"/>
                <w:szCs w:val="14"/>
              </w:rPr>
              <w:t>803,07</w:t>
            </w:r>
          </w:p>
        </w:tc>
        <w:tc>
          <w:tcPr>
            <w:tcW w:w="1167" w:type="dxa"/>
            <w:tcBorders>
              <w:top w:val="nil"/>
              <w:left w:val="nil"/>
              <w:bottom w:val="single" w:sz="4" w:space="0" w:color="auto"/>
              <w:right w:val="single" w:sz="4" w:space="0" w:color="auto"/>
            </w:tcBorders>
            <w:shd w:val="clear" w:color="000000" w:fill="FFFFFF"/>
            <w:noWrap/>
            <w:vAlign w:val="bottom"/>
            <w:hideMark/>
          </w:tcPr>
          <w:p w14:paraId="29E81E4B" w14:textId="7DF86CA8" w:rsidR="00543241" w:rsidRPr="000D1437" w:rsidRDefault="00543241" w:rsidP="00543241">
            <w:pPr>
              <w:jc w:val="right"/>
              <w:rPr>
                <w:rFonts w:ascii="Times New Roman" w:hAnsi="Times New Roman"/>
                <w:sz w:val="14"/>
                <w:szCs w:val="14"/>
              </w:rPr>
            </w:pPr>
            <w:r w:rsidRPr="000D1437">
              <w:rPr>
                <w:sz w:val="14"/>
                <w:szCs w:val="14"/>
              </w:rPr>
              <w:t>791,79</w:t>
            </w:r>
          </w:p>
        </w:tc>
        <w:tc>
          <w:tcPr>
            <w:tcW w:w="1196" w:type="dxa"/>
            <w:tcBorders>
              <w:top w:val="nil"/>
              <w:left w:val="nil"/>
              <w:bottom w:val="single" w:sz="4" w:space="0" w:color="auto"/>
              <w:right w:val="single" w:sz="4" w:space="0" w:color="auto"/>
            </w:tcBorders>
            <w:shd w:val="clear" w:color="000000" w:fill="FFFFFF"/>
            <w:noWrap/>
            <w:vAlign w:val="bottom"/>
            <w:hideMark/>
          </w:tcPr>
          <w:p w14:paraId="48DEE423" w14:textId="3E6D5CB9" w:rsidR="00543241" w:rsidRPr="000D1437" w:rsidRDefault="00543241" w:rsidP="00543241">
            <w:pPr>
              <w:jc w:val="right"/>
              <w:rPr>
                <w:rFonts w:ascii="Times New Roman" w:hAnsi="Times New Roman"/>
                <w:sz w:val="14"/>
                <w:szCs w:val="14"/>
              </w:rPr>
            </w:pPr>
            <w:r w:rsidRPr="000D1437">
              <w:rPr>
                <w:sz w:val="14"/>
                <w:szCs w:val="14"/>
              </w:rPr>
              <w:t>783,65</w:t>
            </w:r>
          </w:p>
        </w:tc>
        <w:tc>
          <w:tcPr>
            <w:tcW w:w="1182" w:type="dxa"/>
            <w:tcBorders>
              <w:top w:val="nil"/>
              <w:left w:val="nil"/>
              <w:bottom w:val="single" w:sz="4" w:space="0" w:color="auto"/>
              <w:right w:val="single" w:sz="4" w:space="0" w:color="auto"/>
            </w:tcBorders>
            <w:shd w:val="clear" w:color="000000" w:fill="FFFFFF"/>
            <w:noWrap/>
            <w:vAlign w:val="bottom"/>
            <w:hideMark/>
          </w:tcPr>
          <w:p w14:paraId="29E2E8BC" w14:textId="048AEA12" w:rsidR="00543241" w:rsidRPr="000D1437" w:rsidRDefault="00543241" w:rsidP="00543241">
            <w:pPr>
              <w:jc w:val="right"/>
              <w:rPr>
                <w:rFonts w:ascii="Times New Roman" w:hAnsi="Times New Roman"/>
                <w:sz w:val="14"/>
                <w:szCs w:val="14"/>
              </w:rPr>
            </w:pPr>
            <w:r w:rsidRPr="000D1437">
              <w:rPr>
                <w:sz w:val="14"/>
                <w:szCs w:val="14"/>
              </w:rPr>
              <w:t>819,36</w:t>
            </w:r>
          </w:p>
        </w:tc>
        <w:tc>
          <w:tcPr>
            <w:tcW w:w="1181" w:type="dxa"/>
            <w:tcBorders>
              <w:top w:val="nil"/>
              <w:left w:val="nil"/>
              <w:bottom w:val="single" w:sz="4" w:space="0" w:color="auto"/>
              <w:right w:val="single" w:sz="4" w:space="0" w:color="auto"/>
            </w:tcBorders>
            <w:shd w:val="clear" w:color="000000" w:fill="FFFFFF"/>
            <w:noWrap/>
            <w:vAlign w:val="bottom"/>
            <w:hideMark/>
          </w:tcPr>
          <w:p w14:paraId="01073BDC" w14:textId="6042653E" w:rsidR="00543241" w:rsidRPr="000D1437" w:rsidRDefault="00543241" w:rsidP="00543241">
            <w:pPr>
              <w:jc w:val="right"/>
              <w:rPr>
                <w:rFonts w:ascii="Times New Roman" w:hAnsi="Times New Roman"/>
                <w:sz w:val="14"/>
                <w:szCs w:val="14"/>
              </w:rPr>
            </w:pPr>
            <w:r w:rsidRPr="000D1437">
              <w:rPr>
                <w:sz w:val="14"/>
                <w:szCs w:val="14"/>
              </w:rPr>
              <w:t>841,69</w:t>
            </w:r>
          </w:p>
        </w:tc>
        <w:tc>
          <w:tcPr>
            <w:tcW w:w="1181" w:type="dxa"/>
            <w:tcBorders>
              <w:top w:val="nil"/>
              <w:left w:val="nil"/>
              <w:bottom w:val="single" w:sz="4" w:space="0" w:color="auto"/>
              <w:right w:val="single" w:sz="4" w:space="0" w:color="auto"/>
            </w:tcBorders>
            <w:shd w:val="clear" w:color="000000" w:fill="FFFFFF"/>
            <w:vAlign w:val="bottom"/>
          </w:tcPr>
          <w:p w14:paraId="0D9005F2" w14:textId="6E32D7E8" w:rsidR="00543241" w:rsidRPr="000D1437" w:rsidRDefault="00543241" w:rsidP="00543241">
            <w:pPr>
              <w:jc w:val="right"/>
              <w:rPr>
                <w:rFonts w:ascii="Times New Roman" w:hAnsi="Times New Roman"/>
                <w:sz w:val="14"/>
                <w:szCs w:val="14"/>
              </w:rPr>
            </w:pPr>
            <w:r w:rsidRPr="000D1437">
              <w:rPr>
                <w:sz w:val="14"/>
                <w:szCs w:val="14"/>
              </w:rPr>
              <w:t>870,76</w:t>
            </w:r>
          </w:p>
        </w:tc>
      </w:tr>
      <w:tr w:rsidR="00543241" w:rsidRPr="00364545" w14:paraId="59CD1020"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679B44F" w14:textId="2CF8CB58"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167" w:type="dxa"/>
            <w:tcBorders>
              <w:top w:val="nil"/>
              <w:left w:val="nil"/>
              <w:bottom w:val="single" w:sz="4" w:space="0" w:color="auto"/>
              <w:right w:val="single" w:sz="4" w:space="0" w:color="auto"/>
            </w:tcBorders>
            <w:shd w:val="clear" w:color="000000" w:fill="FFFFFF"/>
            <w:noWrap/>
            <w:vAlign w:val="bottom"/>
            <w:hideMark/>
          </w:tcPr>
          <w:p w14:paraId="36072459" w14:textId="2F91DE10" w:rsidR="00543241" w:rsidRPr="000D1437" w:rsidRDefault="00543241" w:rsidP="00543241">
            <w:pPr>
              <w:jc w:val="right"/>
              <w:rPr>
                <w:rFonts w:ascii="Times New Roman" w:hAnsi="Times New Roman"/>
                <w:sz w:val="14"/>
                <w:szCs w:val="14"/>
              </w:rPr>
            </w:pPr>
            <w:r w:rsidRPr="000D1437">
              <w:rPr>
                <w:sz w:val="14"/>
                <w:szCs w:val="14"/>
              </w:rPr>
              <w:t>121,49</w:t>
            </w:r>
          </w:p>
        </w:tc>
        <w:tc>
          <w:tcPr>
            <w:tcW w:w="1167" w:type="dxa"/>
            <w:tcBorders>
              <w:top w:val="nil"/>
              <w:left w:val="nil"/>
              <w:bottom w:val="single" w:sz="4" w:space="0" w:color="auto"/>
              <w:right w:val="single" w:sz="4" w:space="0" w:color="auto"/>
            </w:tcBorders>
            <w:shd w:val="clear" w:color="000000" w:fill="FFFFFF"/>
            <w:noWrap/>
            <w:vAlign w:val="bottom"/>
            <w:hideMark/>
          </w:tcPr>
          <w:p w14:paraId="4B0A48AB" w14:textId="0A00CC2E" w:rsidR="00543241" w:rsidRPr="000D1437" w:rsidRDefault="00543241" w:rsidP="00543241">
            <w:pPr>
              <w:jc w:val="right"/>
              <w:rPr>
                <w:rFonts w:ascii="Times New Roman" w:hAnsi="Times New Roman"/>
                <w:sz w:val="14"/>
                <w:szCs w:val="14"/>
              </w:rPr>
            </w:pPr>
            <w:r w:rsidRPr="000D1437">
              <w:rPr>
                <w:sz w:val="14"/>
                <w:szCs w:val="14"/>
              </w:rPr>
              <w:t>129,68</w:t>
            </w:r>
          </w:p>
        </w:tc>
        <w:tc>
          <w:tcPr>
            <w:tcW w:w="1196" w:type="dxa"/>
            <w:tcBorders>
              <w:top w:val="nil"/>
              <w:left w:val="nil"/>
              <w:bottom w:val="single" w:sz="4" w:space="0" w:color="auto"/>
              <w:right w:val="single" w:sz="4" w:space="0" w:color="auto"/>
            </w:tcBorders>
            <w:shd w:val="clear" w:color="000000" w:fill="FFFFFF"/>
            <w:noWrap/>
            <w:vAlign w:val="bottom"/>
            <w:hideMark/>
          </w:tcPr>
          <w:p w14:paraId="649295E5" w14:textId="5BA5B54F" w:rsidR="00543241" w:rsidRPr="000D1437" w:rsidRDefault="00543241" w:rsidP="00543241">
            <w:pPr>
              <w:jc w:val="right"/>
              <w:rPr>
                <w:rFonts w:ascii="Times New Roman" w:hAnsi="Times New Roman"/>
                <w:sz w:val="14"/>
                <w:szCs w:val="14"/>
              </w:rPr>
            </w:pPr>
            <w:r w:rsidRPr="000D1437">
              <w:rPr>
                <w:sz w:val="14"/>
                <w:szCs w:val="14"/>
              </w:rPr>
              <w:t>128,31</w:t>
            </w:r>
          </w:p>
        </w:tc>
        <w:tc>
          <w:tcPr>
            <w:tcW w:w="1182" w:type="dxa"/>
            <w:tcBorders>
              <w:top w:val="nil"/>
              <w:left w:val="nil"/>
              <w:bottom w:val="single" w:sz="4" w:space="0" w:color="auto"/>
              <w:right w:val="single" w:sz="4" w:space="0" w:color="auto"/>
            </w:tcBorders>
            <w:shd w:val="clear" w:color="000000" w:fill="FFFFFF"/>
            <w:noWrap/>
            <w:vAlign w:val="bottom"/>
            <w:hideMark/>
          </w:tcPr>
          <w:p w14:paraId="668D60DC" w14:textId="7F29852A" w:rsidR="00543241" w:rsidRPr="000D1437" w:rsidRDefault="00543241" w:rsidP="00543241">
            <w:pPr>
              <w:jc w:val="right"/>
              <w:rPr>
                <w:rFonts w:ascii="Times New Roman" w:hAnsi="Times New Roman"/>
                <w:sz w:val="14"/>
                <w:szCs w:val="14"/>
              </w:rPr>
            </w:pPr>
            <w:r w:rsidRPr="000D1437">
              <w:rPr>
                <w:sz w:val="14"/>
                <w:szCs w:val="14"/>
              </w:rPr>
              <w:t>144,06</w:t>
            </w:r>
          </w:p>
        </w:tc>
        <w:tc>
          <w:tcPr>
            <w:tcW w:w="1181" w:type="dxa"/>
            <w:tcBorders>
              <w:top w:val="nil"/>
              <w:left w:val="nil"/>
              <w:bottom w:val="single" w:sz="4" w:space="0" w:color="auto"/>
              <w:right w:val="single" w:sz="4" w:space="0" w:color="auto"/>
            </w:tcBorders>
            <w:shd w:val="clear" w:color="000000" w:fill="FFFFFF"/>
            <w:noWrap/>
            <w:vAlign w:val="bottom"/>
            <w:hideMark/>
          </w:tcPr>
          <w:p w14:paraId="58C9BCA0" w14:textId="76E6AAEB" w:rsidR="00543241" w:rsidRPr="000D1437" w:rsidRDefault="00543241" w:rsidP="00543241">
            <w:pPr>
              <w:jc w:val="right"/>
              <w:rPr>
                <w:rFonts w:ascii="Times New Roman" w:hAnsi="Times New Roman"/>
                <w:sz w:val="14"/>
                <w:szCs w:val="14"/>
              </w:rPr>
            </w:pPr>
            <w:r w:rsidRPr="000D1437">
              <w:rPr>
                <w:sz w:val="14"/>
                <w:szCs w:val="14"/>
              </w:rPr>
              <w:t>146,72</w:t>
            </w:r>
          </w:p>
        </w:tc>
        <w:tc>
          <w:tcPr>
            <w:tcW w:w="1181" w:type="dxa"/>
            <w:tcBorders>
              <w:top w:val="nil"/>
              <w:left w:val="nil"/>
              <w:bottom w:val="single" w:sz="4" w:space="0" w:color="auto"/>
              <w:right w:val="single" w:sz="4" w:space="0" w:color="auto"/>
            </w:tcBorders>
            <w:shd w:val="clear" w:color="000000" w:fill="FFFFFF"/>
            <w:vAlign w:val="bottom"/>
          </w:tcPr>
          <w:p w14:paraId="4E5624C2" w14:textId="0A37F395" w:rsidR="00543241" w:rsidRPr="000D1437" w:rsidRDefault="00543241" w:rsidP="00543241">
            <w:pPr>
              <w:jc w:val="right"/>
              <w:rPr>
                <w:rFonts w:ascii="Times New Roman" w:hAnsi="Times New Roman"/>
                <w:sz w:val="14"/>
                <w:szCs w:val="14"/>
              </w:rPr>
            </w:pPr>
            <w:r w:rsidRPr="000D1437">
              <w:rPr>
                <w:sz w:val="14"/>
                <w:szCs w:val="14"/>
              </w:rPr>
              <w:t>162,43</w:t>
            </w:r>
          </w:p>
        </w:tc>
      </w:tr>
      <w:tr w:rsidR="00543241" w:rsidRPr="00364545" w14:paraId="5FF6C235"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AF079D0" w14:textId="5F9DBB2B"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167" w:type="dxa"/>
            <w:tcBorders>
              <w:top w:val="nil"/>
              <w:left w:val="nil"/>
              <w:bottom w:val="single" w:sz="4" w:space="0" w:color="auto"/>
              <w:right w:val="single" w:sz="4" w:space="0" w:color="auto"/>
            </w:tcBorders>
            <w:shd w:val="clear" w:color="000000" w:fill="FFFFFF"/>
            <w:noWrap/>
            <w:vAlign w:val="bottom"/>
            <w:hideMark/>
          </w:tcPr>
          <w:p w14:paraId="667DE066" w14:textId="1F88587F" w:rsidR="00543241" w:rsidRPr="000D1437" w:rsidRDefault="00543241" w:rsidP="00543241">
            <w:pPr>
              <w:jc w:val="right"/>
              <w:rPr>
                <w:rFonts w:ascii="Times New Roman" w:hAnsi="Times New Roman"/>
                <w:sz w:val="14"/>
                <w:szCs w:val="14"/>
              </w:rPr>
            </w:pPr>
            <w:r w:rsidRPr="000D1437">
              <w:rPr>
                <w:sz w:val="14"/>
                <w:szCs w:val="14"/>
              </w:rPr>
              <w:t>NO</w:t>
            </w:r>
          </w:p>
        </w:tc>
        <w:tc>
          <w:tcPr>
            <w:tcW w:w="1167" w:type="dxa"/>
            <w:tcBorders>
              <w:top w:val="nil"/>
              <w:left w:val="nil"/>
              <w:bottom w:val="single" w:sz="4" w:space="0" w:color="auto"/>
              <w:right w:val="single" w:sz="4" w:space="0" w:color="auto"/>
            </w:tcBorders>
            <w:shd w:val="clear" w:color="000000" w:fill="FFFFFF"/>
            <w:noWrap/>
            <w:vAlign w:val="bottom"/>
            <w:hideMark/>
          </w:tcPr>
          <w:p w14:paraId="06169FF8" w14:textId="4CB7D0E9" w:rsidR="00543241" w:rsidRPr="000D1437" w:rsidRDefault="00543241" w:rsidP="00543241">
            <w:pPr>
              <w:jc w:val="right"/>
              <w:rPr>
                <w:rFonts w:ascii="Times New Roman" w:hAnsi="Times New Roman"/>
                <w:sz w:val="14"/>
                <w:szCs w:val="14"/>
              </w:rPr>
            </w:pPr>
            <w:r w:rsidRPr="000D1437">
              <w:rPr>
                <w:sz w:val="14"/>
                <w:szCs w:val="14"/>
              </w:rPr>
              <w:t>NO</w:t>
            </w:r>
          </w:p>
        </w:tc>
        <w:tc>
          <w:tcPr>
            <w:tcW w:w="1196" w:type="dxa"/>
            <w:tcBorders>
              <w:top w:val="nil"/>
              <w:left w:val="nil"/>
              <w:bottom w:val="single" w:sz="4" w:space="0" w:color="auto"/>
              <w:right w:val="single" w:sz="4" w:space="0" w:color="auto"/>
            </w:tcBorders>
            <w:shd w:val="clear" w:color="000000" w:fill="FFFFFF"/>
            <w:noWrap/>
            <w:vAlign w:val="bottom"/>
            <w:hideMark/>
          </w:tcPr>
          <w:p w14:paraId="2D03AAB0" w14:textId="42D64D24" w:rsidR="00543241" w:rsidRPr="000D1437" w:rsidRDefault="00543241" w:rsidP="00543241">
            <w:pPr>
              <w:jc w:val="right"/>
              <w:rPr>
                <w:rFonts w:ascii="Times New Roman" w:hAnsi="Times New Roman"/>
                <w:sz w:val="14"/>
                <w:szCs w:val="14"/>
              </w:rPr>
            </w:pPr>
            <w:r w:rsidRPr="000D1437">
              <w:rPr>
                <w:sz w:val="14"/>
                <w:szCs w:val="14"/>
              </w:rPr>
              <w:t>NO</w:t>
            </w:r>
          </w:p>
        </w:tc>
        <w:tc>
          <w:tcPr>
            <w:tcW w:w="1182" w:type="dxa"/>
            <w:tcBorders>
              <w:top w:val="nil"/>
              <w:left w:val="nil"/>
              <w:bottom w:val="single" w:sz="4" w:space="0" w:color="auto"/>
              <w:right w:val="single" w:sz="4" w:space="0" w:color="auto"/>
            </w:tcBorders>
            <w:shd w:val="clear" w:color="000000" w:fill="FFFFFF"/>
            <w:noWrap/>
            <w:vAlign w:val="bottom"/>
            <w:hideMark/>
          </w:tcPr>
          <w:p w14:paraId="00B7E142" w14:textId="325A3765" w:rsidR="00543241" w:rsidRPr="000D1437" w:rsidRDefault="00543241" w:rsidP="00543241">
            <w:pPr>
              <w:jc w:val="right"/>
              <w:rPr>
                <w:rFonts w:ascii="Times New Roman" w:hAnsi="Times New Roman"/>
                <w:sz w:val="14"/>
                <w:szCs w:val="14"/>
              </w:rPr>
            </w:pPr>
            <w:r w:rsidRPr="000D1437">
              <w:rPr>
                <w:sz w:val="14"/>
                <w:szCs w:val="14"/>
              </w:rPr>
              <w:t>NO</w:t>
            </w:r>
          </w:p>
        </w:tc>
        <w:tc>
          <w:tcPr>
            <w:tcW w:w="1181" w:type="dxa"/>
            <w:tcBorders>
              <w:top w:val="nil"/>
              <w:left w:val="nil"/>
              <w:bottom w:val="single" w:sz="4" w:space="0" w:color="auto"/>
              <w:right w:val="single" w:sz="4" w:space="0" w:color="auto"/>
            </w:tcBorders>
            <w:shd w:val="clear" w:color="000000" w:fill="FFFFFF"/>
            <w:noWrap/>
            <w:vAlign w:val="bottom"/>
            <w:hideMark/>
          </w:tcPr>
          <w:p w14:paraId="294940BF" w14:textId="4A0BE4F3" w:rsidR="00543241" w:rsidRPr="000D1437" w:rsidRDefault="00543241" w:rsidP="00543241">
            <w:pPr>
              <w:jc w:val="right"/>
              <w:rPr>
                <w:rFonts w:ascii="Times New Roman" w:hAnsi="Times New Roman"/>
                <w:sz w:val="14"/>
                <w:szCs w:val="14"/>
              </w:rPr>
            </w:pPr>
            <w:r w:rsidRPr="000D1437">
              <w:rPr>
                <w:sz w:val="14"/>
                <w:szCs w:val="14"/>
              </w:rPr>
              <w:t>NO</w:t>
            </w:r>
          </w:p>
        </w:tc>
        <w:tc>
          <w:tcPr>
            <w:tcW w:w="1181" w:type="dxa"/>
            <w:tcBorders>
              <w:top w:val="nil"/>
              <w:left w:val="nil"/>
              <w:bottom w:val="single" w:sz="4" w:space="0" w:color="auto"/>
              <w:right w:val="single" w:sz="4" w:space="0" w:color="auto"/>
            </w:tcBorders>
            <w:shd w:val="clear" w:color="000000" w:fill="FFFFFF"/>
            <w:vAlign w:val="bottom"/>
          </w:tcPr>
          <w:p w14:paraId="7A45B9D3" w14:textId="455B0E27"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333C3A3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bottom"/>
            <w:hideMark/>
          </w:tcPr>
          <w:p w14:paraId="188558BA"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167" w:type="dxa"/>
            <w:tcBorders>
              <w:top w:val="nil"/>
              <w:left w:val="nil"/>
              <w:bottom w:val="single" w:sz="4" w:space="0" w:color="auto"/>
              <w:right w:val="single" w:sz="4" w:space="0" w:color="auto"/>
            </w:tcBorders>
            <w:shd w:val="clear" w:color="000000" w:fill="CCFFFF"/>
            <w:noWrap/>
            <w:vAlign w:val="bottom"/>
            <w:hideMark/>
          </w:tcPr>
          <w:p w14:paraId="4EA99982" w14:textId="513AB9C5" w:rsidR="00543241" w:rsidRPr="000D1437" w:rsidRDefault="00543241" w:rsidP="00543241">
            <w:pPr>
              <w:jc w:val="right"/>
              <w:rPr>
                <w:rFonts w:ascii="Times New Roman" w:hAnsi="Times New Roman"/>
                <w:sz w:val="14"/>
                <w:szCs w:val="14"/>
              </w:rPr>
            </w:pPr>
            <w:r w:rsidRPr="000D1437">
              <w:rPr>
                <w:sz w:val="14"/>
                <w:szCs w:val="14"/>
              </w:rPr>
              <w:t>-31795,10</w:t>
            </w:r>
          </w:p>
        </w:tc>
        <w:tc>
          <w:tcPr>
            <w:tcW w:w="1167" w:type="dxa"/>
            <w:tcBorders>
              <w:top w:val="nil"/>
              <w:left w:val="nil"/>
              <w:bottom w:val="single" w:sz="4" w:space="0" w:color="auto"/>
              <w:right w:val="single" w:sz="4" w:space="0" w:color="auto"/>
            </w:tcBorders>
            <w:shd w:val="clear" w:color="000000" w:fill="CCFFFF"/>
            <w:noWrap/>
            <w:vAlign w:val="bottom"/>
            <w:hideMark/>
          </w:tcPr>
          <w:p w14:paraId="5B72E412" w14:textId="54F59EF8" w:rsidR="00543241" w:rsidRPr="000D1437" w:rsidRDefault="00543241" w:rsidP="00543241">
            <w:pPr>
              <w:jc w:val="right"/>
              <w:rPr>
                <w:rFonts w:ascii="Times New Roman" w:hAnsi="Times New Roman"/>
                <w:sz w:val="14"/>
                <w:szCs w:val="14"/>
              </w:rPr>
            </w:pPr>
            <w:r w:rsidRPr="000D1437">
              <w:rPr>
                <w:sz w:val="14"/>
                <w:szCs w:val="14"/>
              </w:rPr>
              <w:t>-37410,52</w:t>
            </w:r>
          </w:p>
        </w:tc>
        <w:tc>
          <w:tcPr>
            <w:tcW w:w="1196" w:type="dxa"/>
            <w:tcBorders>
              <w:top w:val="nil"/>
              <w:left w:val="nil"/>
              <w:bottom w:val="single" w:sz="4" w:space="0" w:color="auto"/>
              <w:right w:val="single" w:sz="4" w:space="0" w:color="auto"/>
            </w:tcBorders>
            <w:shd w:val="clear" w:color="000000" w:fill="CCFFFF"/>
            <w:noWrap/>
            <w:vAlign w:val="bottom"/>
            <w:hideMark/>
          </w:tcPr>
          <w:p w14:paraId="61A46A31" w14:textId="6DE07937" w:rsidR="00543241" w:rsidRPr="000D1437" w:rsidRDefault="00543241" w:rsidP="00543241">
            <w:pPr>
              <w:jc w:val="right"/>
              <w:rPr>
                <w:rFonts w:ascii="Times New Roman" w:hAnsi="Times New Roman"/>
                <w:sz w:val="14"/>
                <w:szCs w:val="14"/>
              </w:rPr>
            </w:pPr>
            <w:r w:rsidRPr="000D1437">
              <w:rPr>
                <w:sz w:val="14"/>
                <w:szCs w:val="14"/>
              </w:rPr>
              <w:t>-37208,07</w:t>
            </w:r>
          </w:p>
        </w:tc>
        <w:tc>
          <w:tcPr>
            <w:tcW w:w="1182" w:type="dxa"/>
            <w:tcBorders>
              <w:top w:val="nil"/>
              <w:left w:val="nil"/>
              <w:bottom w:val="single" w:sz="4" w:space="0" w:color="auto"/>
              <w:right w:val="single" w:sz="4" w:space="0" w:color="auto"/>
            </w:tcBorders>
            <w:shd w:val="clear" w:color="000000" w:fill="CCFFFF"/>
            <w:noWrap/>
            <w:vAlign w:val="bottom"/>
            <w:hideMark/>
          </w:tcPr>
          <w:p w14:paraId="7B8AC9F7" w14:textId="57972D1D" w:rsidR="00543241" w:rsidRPr="000D1437" w:rsidRDefault="00543241" w:rsidP="00543241">
            <w:pPr>
              <w:jc w:val="right"/>
              <w:rPr>
                <w:rFonts w:ascii="Times New Roman" w:hAnsi="Times New Roman"/>
                <w:sz w:val="14"/>
                <w:szCs w:val="14"/>
              </w:rPr>
            </w:pPr>
            <w:r w:rsidRPr="000D1437">
              <w:rPr>
                <w:sz w:val="14"/>
                <w:szCs w:val="14"/>
              </w:rPr>
              <w:t>-38742,45</w:t>
            </w:r>
          </w:p>
        </w:tc>
        <w:tc>
          <w:tcPr>
            <w:tcW w:w="1181" w:type="dxa"/>
            <w:tcBorders>
              <w:top w:val="nil"/>
              <w:left w:val="nil"/>
              <w:bottom w:val="single" w:sz="4" w:space="0" w:color="auto"/>
              <w:right w:val="single" w:sz="4" w:space="0" w:color="auto"/>
            </w:tcBorders>
            <w:shd w:val="clear" w:color="000000" w:fill="CCFFFF"/>
            <w:noWrap/>
            <w:vAlign w:val="bottom"/>
            <w:hideMark/>
          </w:tcPr>
          <w:p w14:paraId="167305B7" w14:textId="5DAA8E5F" w:rsidR="00543241" w:rsidRPr="000D1437" w:rsidRDefault="00543241" w:rsidP="00543241">
            <w:pPr>
              <w:jc w:val="right"/>
              <w:rPr>
                <w:rFonts w:ascii="Times New Roman" w:hAnsi="Times New Roman"/>
                <w:sz w:val="14"/>
                <w:szCs w:val="14"/>
              </w:rPr>
            </w:pPr>
            <w:r w:rsidRPr="000D1437">
              <w:rPr>
                <w:sz w:val="14"/>
                <w:szCs w:val="14"/>
              </w:rPr>
              <w:t>-41713,32</w:t>
            </w:r>
          </w:p>
        </w:tc>
        <w:tc>
          <w:tcPr>
            <w:tcW w:w="1181" w:type="dxa"/>
            <w:tcBorders>
              <w:top w:val="nil"/>
              <w:left w:val="nil"/>
              <w:bottom w:val="single" w:sz="4" w:space="0" w:color="auto"/>
              <w:right w:val="single" w:sz="4" w:space="0" w:color="auto"/>
            </w:tcBorders>
            <w:shd w:val="clear" w:color="000000" w:fill="CCFFFF"/>
            <w:vAlign w:val="bottom"/>
          </w:tcPr>
          <w:p w14:paraId="55AEF00E" w14:textId="7324AE5F" w:rsidR="00543241" w:rsidRPr="000D1437" w:rsidRDefault="00543241" w:rsidP="00543241">
            <w:pPr>
              <w:jc w:val="right"/>
              <w:rPr>
                <w:rFonts w:ascii="Times New Roman" w:hAnsi="Times New Roman"/>
                <w:sz w:val="14"/>
                <w:szCs w:val="14"/>
              </w:rPr>
            </w:pPr>
            <w:r w:rsidRPr="000D1437">
              <w:rPr>
                <w:sz w:val="14"/>
                <w:szCs w:val="14"/>
              </w:rPr>
              <w:t>-24594,70</w:t>
            </w:r>
          </w:p>
        </w:tc>
      </w:tr>
      <w:tr w:rsidR="00543241" w:rsidRPr="00364545" w14:paraId="5494DE99"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892A78D" w14:textId="41225669"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167" w:type="dxa"/>
            <w:tcBorders>
              <w:top w:val="nil"/>
              <w:left w:val="nil"/>
              <w:bottom w:val="single" w:sz="4" w:space="0" w:color="auto"/>
              <w:right w:val="single" w:sz="4" w:space="0" w:color="auto"/>
            </w:tcBorders>
            <w:shd w:val="clear" w:color="000000" w:fill="FFFFFF"/>
            <w:noWrap/>
            <w:vAlign w:val="bottom"/>
            <w:hideMark/>
          </w:tcPr>
          <w:p w14:paraId="1D3295F4" w14:textId="614266E0" w:rsidR="00543241" w:rsidRPr="000D1437" w:rsidRDefault="00543241" w:rsidP="00543241">
            <w:pPr>
              <w:jc w:val="right"/>
              <w:rPr>
                <w:rFonts w:ascii="Times New Roman" w:hAnsi="Times New Roman"/>
                <w:sz w:val="14"/>
                <w:szCs w:val="14"/>
              </w:rPr>
            </w:pPr>
            <w:r w:rsidRPr="000D1437">
              <w:rPr>
                <w:sz w:val="14"/>
                <w:szCs w:val="14"/>
              </w:rPr>
              <w:t>-44901,06</w:t>
            </w:r>
          </w:p>
        </w:tc>
        <w:tc>
          <w:tcPr>
            <w:tcW w:w="1167" w:type="dxa"/>
            <w:tcBorders>
              <w:top w:val="nil"/>
              <w:left w:val="nil"/>
              <w:bottom w:val="single" w:sz="4" w:space="0" w:color="auto"/>
              <w:right w:val="single" w:sz="4" w:space="0" w:color="auto"/>
            </w:tcBorders>
            <w:shd w:val="clear" w:color="000000" w:fill="FFFFFF"/>
            <w:noWrap/>
            <w:vAlign w:val="bottom"/>
            <w:hideMark/>
          </w:tcPr>
          <w:p w14:paraId="38AF814A" w14:textId="4B717CA9" w:rsidR="00543241" w:rsidRPr="000D1437" w:rsidRDefault="00543241" w:rsidP="00543241">
            <w:pPr>
              <w:jc w:val="right"/>
              <w:rPr>
                <w:rFonts w:ascii="Times New Roman" w:hAnsi="Times New Roman"/>
                <w:sz w:val="14"/>
                <w:szCs w:val="14"/>
              </w:rPr>
            </w:pPr>
            <w:r w:rsidRPr="000D1437">
              <w:rPr>
                <w:sz w:val="14"/>
                <w:szCs w:val="14"/>
              </w:rPr>
              <w:t>-51534,19</w:t>
            </w:r>
          </w:p>
        </w:tc>
        <w:tc>
          <w:tcPr>
            <w:tcW w:w="1196" w:type="dxa"/>
            <w:tcBorders>
              <w:top w:val="nil"/>
              <w:left w:val="nil"/>
              <w:bottom w:val="single" w:sz="4" w:space="0" w:color="auto"/>
              <w:right w:val="single" w:sz="4" w:space="0" w:color="auto"/>
            </w:tcBorders>
            <w:shd w:val="clear" w:color="000000" w:fill="FFFFFF"/>
            <w:noWrap/>
            <w:vAlign w:val="bottom"/>
            <w:hideMark/>
          </w:tcPr>
          <w:p w14:paraId="3FFFD0F2" w14:textId="5BC83EB4" w:rsidR="00543241" w:rsidRPr="000D1437" w:rsidRDefault="00543241" w:rsidP="00543241">
            <w:pPr>
              <w:jc w:val="right"/>
              <w:rPr>
                <w:rFonts w:ascii="Times New Roman" w:hAnsi="Times New Roman"/>
                <w:sz w:val="14"/>
                <w:szCs w:val="14"/>
              </w:rPr>
            </w:pPr>
            <w:r w:rsidRPr="000D1437">
              <w:rPr>
                <w:sz w:val="14"/>
                <w:szCs w:val="14"/>
              </w:rPr>
              <w:t>-50969,79</w:t>
            </w:r>
          </w:p>
        </w:tc>
        <w:tc>
          <w:tcPr>
            <w:tcW w:w="1182" w:type="dxa"/>
            <w:tcBorders>
              <w:top w:val="nil"/>
              <w:left w:val="nil"/>
              <w:bottom w:val="single" w:sz="4" w:space="0" w:color="auto"/>
              <w:right w:val="single" w:sz="4" w:space="0" w:color="auto"/>
            </w:tcBorders>
            <w:shd w:val="clear" w:color="000000" w:fill="FFFFFF"/>
            <w:noWrap/>
            <w:vAlign w:val="bottom"/>
            <w:hideMark/>
          </w:tcPr>
          <w:p w14:paraId="53FF9E51" w14:textId="2C1A5B08" w:rsidR="00543241" w:rsidRPr="000D1437" w:rsidRDefault="00543241" w:rsidP="00543241">
            <w:pPr>
              <w:jc w:val="right"/>
              <w:rPr>
                <w:rFonts w:ascii="Times New Roman" w:hAnsi="Times New Roman"/>
                <w:sz w:val="14"/>
                <w:szCs w:val="14"/>
              </w:rPr>
            </w:pPr>
            <w:r w:rsidRPr="000D1437">
              <w:rPr>
                <w:sz w:val="14"/>
                <w:szCs w:val="14"/>
              </w:rPr>
              <w:t>-51308,48</w:t>
            </w:r>
          </w:p>
        </w:tc>
        <w:tc>
          <w:tcPr>
            <w:tcW w:w="1181" w:type="dxa"/>
            <w:tcBorders>
              <w:top w:val="nil"/>
              <w:left w:val="nil"/>
              <w:bottom w:val="single" w:sz="4" w:space="0" w:color="auto"/>
              <w:right w:val="single" w:sz="4" w:space="0" w:color="auto"/>
            </w:tcBorders>
            <w:shd w:val="clear" w:color="000000" w:fill="FFFFFF"/>
            <w:noWrap/>
            <w:vAlign w:val="bottom"/>
            <w:hideMark/>
          </w:tcPr>
          <w:p w14:paraId="1069716E" w14:textId="0A22FB01" w:rsidR="00543241" w:rsidRPr="000D1437" w:rsidRDefault="00543241" w:rsidP="00543241">
            <w:pPr>
              <w:jc w:val="right"/>
              <w:rPr>
                <w:rFonts w:ascii="Times New Roman" w:hAnsi="Times New Roman"/>
                <w:sz w:val="14"/>
                <w:szCs w:val="14"/>
              </w:rPr>
            </w:pPr>
            <w:r w:rsidRPr="000D1437">
              <w:rPr>
                <w:sz w:val="14"/>
                <w:szCs w:val="14"/>
              </w:rPr>
              <w:t>-56405,53</w:t>
            </w:r>
          </w:p>
        </w:tc>
        <w:tc>
          <w:tcPr>
            <w:tcW w:w="1181" w:type="dxa"/>
            <w:tcBorders>
              <w:top w:val="nil"/>
              <w:left w:val="nil"/>
              <w:bottom w:val="single" w:sz="4" w:space="0" w:color="auto"/>
              <w:right w:val="single" w:sz="4" w:space="0" w:color="auto"/>
            </w:tcBorders>
            <w:shd w:val="clear" w:color="000000" w:fill="FFFFFF"/>
            <w:vAlign w:val="bottom"/>
          </w:tcPr>
          <w:p w14:paraId="383140EF" w14:textId="7B041892" w:rsidR="00543241" w:rsidRPr="000D1437" w:rsidRDefault="00543241" w:rsidP="00543241">
            <w:pPr>
              <w:jc w:val="right"/>
              <w:rPr>
                <w:rFonts w:ascii="Times New Roman" w:hAnsi="Times New Roman"/>
                <w:sz w:val="14"/>
                <w:szCs w:val="14"/>
              </w:rPr>
            </w:pPr>
            <w:r w:rsidRPr="000D1437">
              <w:rPr>
                <w:sz w:val="14"/>
                <w:szCs w:val="14"/>
              </w:rPr>
              <w:t>-33978,03</w:t>
            </w:r>
          </w:p>
        </w:tc>
      </w:tr>
      <w:tr w:rsidR="00543241" w:rsidRPr="00364545" w14:paraId="1E5F43E4"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6E2C8240" w14:textId="5D59C24D"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167" w:type="dxa"/>
            <w:tcBorders>
              <w:top w:val="nil"/>
              <w:left w:val="nil"/>
              <w:bottom w:val="single" w:sz="4" w:space="0" w:color="auto"/>
              <w:right w:val="single" w:sz="4" w:space="0" w:color="auto"/>
            </w:tcBorders>
            <w:shd w:val="clear" w:color="000000" w:fill="FFFFFF"/>
            <w:noWrap/>
            <w:vAlign w:val="bottom"/>
            <w:hideMark/>
          </w:tcPr>
          <w:p w14:paraId="3C8DB5F4" w14:textId="672F969E" w:rsidR="00543241" w:rsidRPr="000D1437" w:rsidRDefault="00543241" w:rsidP="00543241">
            <w:pPr>
              <w:jc w:val="right"/>
              <w:rPr>
                <w:rFonts w:ascii="Times New Roman" w:hAnsi="Times New Roman"/>
                <w:sz w:val="14"/>
                <w:szCs w:val="14"/>
              </w:rPr>
            </w:pPr>
            <w:r w:rsidRPr="000D1437">
              <w:rPr>
                <w:sz w:val="14"/>
                <w:szCs w:val="14"/>
              </w:rPr>
              <w:t>20560,62</w:t>
            </w:r>
          </w:p>
        </w:tc>
        <w:tc>
          <w:tcPr>
            <w:tcW w:w="1167" w:type="dxa"/>
            <w:tcBorders>
              <w:top w:val="nil"/>
              <w:left w:val="nil"/>
              <w:bottom w:val="single" w:sz="4" w:space="0" w:color="auto"/>
              <w:right w:val="single" w:sz="4" w:space="0" w:color="auto"/>
            </w:tcBorders>
            <w:shd w:val="clear" w:color="000000" w:fill="FFFFFF"/>
            <w:noWrap/>
            <w:vAlign w:val="bottom"/>
            <w:hideMark/>
          </w:tcPr>
          <w:p w14:paraId="238A3047" w14:textId="27B215B9" w:rsidR="00543241" w:rsidRPr="000D1437" w:rsidRDefault="00543241" w:rsidP="00543241">
            <w:pPr>
              <w:jc w:val="right"/>
              <w:rPr>
                <w:rFonts w:ascii="Times New Roman" w:hAnsi="Times New Roman"/>
                <w:sz w:val="14"/>
                <w:szCs w:val="14"/>
              </w:rPr>
            </w:pPr>
            <w:r w:rsidRPr="000D1437">
              <w:rPr>
                <w:sz w:val="14"/>
                <w:szCs w:val="14"/>
              </w:rPr>
              <w:t>20846,60</w:t>
            </w:r>
          </w:p>
        </w:tc>
        <w:tc>
          <w:tcPr>
            <w:tcW w:w="1196" w:type="dxa"/>
            <w:tcBorders>
              <w:top w:val="nil"/>
              <w:left w:val="nil"/>
              <w:bottom w:val="single" w:sz="4" w:space="0" w:color="auto"/>
              <w:right w:val="single" w:sz="4" w:space="0" w:color="auto"/>
            </w:tcBorders>
            <w:shd w:val="clear" w:color="000000" w:fill="FFFFFF"/>
            <w:noWrap/>
            <w:vAlign w:val="bottom"/>
            <w:hideMark/>
          </w:tcPr>
          <w:p w14:paraId="076AD715" w14:textId="75F82A61" w:rsidR="00543241" w:rsidRPr="000D1437" w:rsidRDefault="00543241" w:rsidP="00543241">
            <w:pPr>
              <w:jc w:val="right"/>
              <w:rPr>
                <w:rFonts w:ascii="Times New Roman" w:hAnsi="Times New Roman"/>
                <w:sz w:val="14"/>
                <w:szCs w:val="14"/>
              </w:rPr>
            </w:pPr>
            <w:r w:rsidRPr="000D1437">
              <w:rPr>
                <w:sz w:val="14"/>
                <w:szCs w:val="14"/>
              </w:rPr>
              <w:t>20377,88</w:t>
            </w:r>
          </w:p>
        </w:tc>
        <w:tc>
          <w:tcPr>
            <w:tcW w:w="1182" w:type="dxa"/>
            <w:tcBorders>
              <w:top w:val="nil"/>
              <w:left w:val="nil"/>
              <w:bottom w:val="single" w:sz="4" w:space="0" w:color="auto"/>
              <w:right w:val="single" w:sz="4" w:space="0" w:color="auto"/>
            </w:tcBorders>
            <w:shd w:val="clear" w:color="000000" w:fill="FFFFFF"/>
            <w:noWrap/>
            <w:vAlign w:val="bottom"/>
            <w:hideMark/>
          </w:tcPr>
          <w:p w14:paraId="28C9F874" w14:textId="4C7EB2B7" w:rsidR="00543241" w:rsidRPr="000D1437" w:rsidRDefault="00543241" w:rsidP="00543241">
            <w:pPr>
              <w:jc w:val="right"/>
              <w:rPr>
                <w:rFonts w:ascii="Times New Roman" w:hAnsi="Times New Roman"/>
                <w:sz w:val="14"/>
                <w:szCs w:val="14"/>
              </w:rPr>
            </w:pPr>
            <w:r w:rsidRPr="000D1437">
              <w:rPr>
                <w:sz w:val="14"/>
                <w:szCs w:val="14"/>
              </w:rPr>
              <w:t>20414,07</w:t>
            </w:r>
          </w:p>
        </w:tc>
        <w:tc>
          <w:tcPr>
            <w:tcW w:w="1181" w:type="dxa"/>
            <w:tcBorders>
              <w:top w:val="nil"/>
              <w:left w:val="nil"/>
              <w:bottom w:val="single" w:sz="4" w:space="0" w:color="auto"/>
              <w:right w:val="single" w:sz="4" w:space="0" w:color="auto"/>
            </w:tcBorders>
            <w:shd w:val="clear" w:color="000000" w:fill="FFFFFF"/>
            <w:noWrap/>
            <w:vAlign w:val="bottom"/>
            <w:hideMark/>
          </w:tcPr>
          <w:p w14:paraId="674D39FA" w14:textId="339AEA7A" w:rsidR="00543241" w:rsidRPr="000D1437" w:rsidRDefault="00543241" w:rsidP="00543241">
            <w:pPr>
              <w:jc w:val="right"/>
              <w:rPr>
                <w:rFonts w:ascii="Times New Roman" w:hAnsi="Times New Roman"/>
                <w:sz w:val="14"/>
                <w:szCs w:val="14"/>
              </w:rPr>
            </w:pPr>
            <w:r w:rsidRPr="000D1437">
              <w:rPr>
                <w:sz w:val="14"/>
                <w:szCs w:val="14"/>
              </w:rPr>
              <w:t>20368,77</w:t>
            </w:r>
          </w:p>
        </w:tc>
        <w:tc>
          <w:tcPr>
            <w:tcW w:w="1181" w:type="dxa"/>
            <w:tcBorders>
              <w:top w:val="nil"/>
              <w:left w:val="nil"/>
              <w:bottom w:val="single" w:sz="4" w:space="0" w:color="auto"/>
              <w:right w:val="single" w:sz="4" w:space="0" w:color="auto"/>
            </w:tcBorders>
            <w:shd w:val="clear" w:color="000000" w:fill="FFFFFF"/>
            <w:vAlign w:val="bottom"/>
          </w:tcPr>
          <w:p w14:paraId="18B622BC" w14:textId="5922158C" w:rsidR="00543241" w:rsidRPr="000D1437" w:rsidRDefault="00543241" w:rsidP="00543241">
            <w:pPr>
              <w:jc w:val="right"/>
              <w:rPr>
                <w:rFonts w:ascii="Times New Roman" w:hAnsi="Times New Roman"/>
                <w:sz w:val="14"/>
                <w:szCs w:val="14"/>
              </w:rPr>
            </w:pPr>
            <w:r w:rsidRPr="000D1437">
              <w:rPr>
                <w:sz w:val="14"/>
                <w:szCs w:val="14"/>
              </w:rPr>
              <w:t>19077,11</w:t>
            </w:r>
          </w:p>
        </w:tc>
      </w:tr>
      <w:tr w:rsidR="00543241" w:rsidRPr="00364545" w14:paraId="5018F90F"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7BC4124" w14:textId="577FDABD"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167" w:type="dxa"/>
            <w:tcBorders>
              <w:top w:val="nil"/>
              <w:left w:val="nil"/>
              <w:bottom w:val="single" w:sz="4" w:space="0" w:color="auto"/>
              <w:right w:val="single" w:sz="4" w:space="0" w:color="auto"/>
            </w:tcBorders>
            <w:shd w:val="clear" w:color="000000" w:fill="FFFFFF"/>
            <w:noWrap/>
            <w:vAlign w:val="bottom"/>
            <w:hideMark/>
          </w:tcPr>
          <w:p w14:paraId="1C1BEE94" w14:textId="0BA183CA" w:rsidR="00543241" w:rsidRPr="000D1437" w:rsidRDefault="00543241" w:rsidP="00543241">
            <w:pPr>
              <w:jc w:val="right"/>
              <w:rPr>
                <w:rFonts w:ascii="Times New Roman" w:hAnsi="Times New Roman"/>
                <w:sz w:val="14"/>
                <w:szCs w:val="14"/>
              </w:rPr>
            </w:pPr>
            <w:r w:rsidRPr="000D1437">
              <w:rPr>
                <w:sz w:val="14"/>
                <w:szCs w:val="14"/>
              </w:rPr>
              <w:t>-15120,99</w:t>
            </w:r>
          </w:p>
        </w:tc>
        <w:tc>
          <w:tcPr>
            <w:tcW w:w="1167" w:type="dxa"/>
            <w:tcBorders>
              <w:top w:val="nil"/>
              <w:left w:val="nil"/>
              <w:bottom w:val="single" w:sz="4" w:space="0" w:color="auto"/>
              <w:right w:val="single" w:sz="4" w:space="0" w:color="auto"/>
            </w:tcBorders>
            <w:shd w:val="clear" w:color="000000" w:fill="FFFFFF"/>
            <w:noWrap/>
            <w:vAlign w:val="bottom"/>
            <w:hideMark/>
          </w:tcPr>
          <w:p w14:paraId="769C57D6" w14:textId="4E498D63" w:rsidR="00543241" w:rsidRPr="000D1437" w:rsidRDefault="00543241" w:rsidP="00543241">
            <w:pPr>
              <w:jc w:val="right"/>
              <w:rPr>
                <w:rFonts w:ascii="Times New Roman" w:hAnsi="Times New Roman"/>
                <w:sz w:val="14"/>
                <w:szCs w:val="14"/>
              </w:rPr>
            </w:pPr>
            <w:r w:rsidRPr="000D1437">
              <w:rPr>
                <w:sz w:val="14"/>
                <w:szCs w:val="14"/>
              </w:rPr>
              <w:t>-14654,54</w:t>
            </w:r>
          </w:p>
        </w:tc>
        <w:tc>
          <w:tcPr>
            <w:tcW w:w="1196" w:type="dxa"/>
            <w:tcBorders>
              <w:top w:val="nil"/>
              <w:left w:val="nil"/>
              <w:bottom w:val="single" w:sz="4" w:space="0" w:color="auto"/>
              <w:right w:val="single" w:sz="4" w:space="0" w:color="auto"/>
            </w:tcBorders>
            <w:shd w:val="clear" w:color="000000" w:fill="FFFFFF"/>
            <w:noWrap/>
            <w:vAlign w:val="bottom"/>
            <w:hideMark/>
          </w:tcPr>
          <w:p w14:paraId="66E2B629" w14:textId="76C1E0DC" w:rsidR="00543241" w:rsidRPr="000D1437" w:rsidRDefault="00543241" w:rsidP="00543241">
            <w:pPr>
              <w:jc w:val="right"/>
              <w:rPr>
                <w:rFonts w:ascii="Times New Roman" w:hAnsi="Times New Roman"/>
                <w:sz w:val="14"/>
                <w:szCs w:val="14"/>
              </w:rPr>
            </w:pPr>
            <w:r w:rsidRPr="000D1437">
              <w:rPr>
                <w:sz w:val="14"/>
                <w:szCs w:val="14"/>
              </w:rPr>
              <w:t>-14498,16</w:t>
            </w:r>
          </w:p>
        </w:tc>
        <w:tc>
          <w:tcPr>
            <w:tcW w:w="1182" w:type="dxa"/>
            <w:tcBorders>
              <w:top w:val="nil"/>
              <w:left w:val="nil"/>
              <w:bottom w:val="single" w:sz="4" w:space="0" w:color="auto"/>
              <w:right w:val="single" w:sz="4" w:space="0" w:color="auto"/>
            </w:tcBorders>
            <w:shd w:val="clear" w:color="000000" w:fill="FFFFFF"/>
            <w:noWrap/>
            <w:vAlign w:val="bottom"/>
            <w:hideMark/>
          </w:tcPr>
          <w:p w14:paraId="227321D5" w14:textId="06DC4638" w:rsidR="00543241" w:rsidRPr="000D1437" w:rsidRDefault="00543241" w:rsidP="00543241">
            <w:pPr>
              <w:jc w:val="right"/>
              <w:rPr>
                <w:rFonts w:ascii="Times New Roman" w:hAnsi="Times New Roman"/>
                <w:sz w:val="14"/>
                <w:szCs w:val="14"/>
              </w:rPr>
            </w:pPr>
            <w:r w:rsidRPr="000D1437">
              <w:rPr>
                <w:sz w:val="14"/>
                <w:szCs w:val="14"/>
              </w:rPr>
              <w:t>-14662,10</w:t>
            </w:r>
          </w:p>
        </w:tc>
        <w:tc>
          <w:tcPr>
            <w:tcW w:w="1181" w:type="dxa"/>
            <w:tcBorders>
              <w:top w:val="nil"/>
              <w:left w:val="nil"/>
              <w:bottom w:val="single" w:sz="4" w:space="0" w:color="auto"/>
              <w:right w:val="single" w:sz="4" w:space="0" w:color="auto"/>
            </w:tcBorders>
            <w:shd w:val="clear" w:color="000000" w:fill="FFFFFF"/>
            <w:noWrap/>
            <w:vAlign w:val="bottom"/>
            <w:hideMark/>
          </w:tcPr>
          <w:p w14:paraId="35E5A12D" w14:textId="4B7E9435" w:rsidR="00543241" w:rsidRPr="000D1437" w:rsidRDefault="00543241" w:rsidP="00543241">
            <w:pPr>
              <w:jc w:val="right"/>
              <w:rPr>
                <w:rFonts w:ascii="Times New Roman" w:hAnsi="Times New Roman"/>
                <w:sz w:val="14"/>
                <w:szCs w:val="14"/>
              </w:rPr>
            </w:pPr>
            <w:r w:rsidRPr="000D1437">
              <w:rPr>
                <w:sz w:val="14"/>
                <w:szCs w:val="14"/>
              </w:rPr>
              <w:t>-13410,42</w:t>
            </w:r>
          </w:p>
        </w:tc>
        <w:tc>
          <w:tcPr>
            <w:tcW w:w="1181" w:type="dxa"/>
            <w:tcBorders>
              <w:top w:val="nil"/>
              <w:left w:val="nil"/>
              <w:bottom w:val="single" w:sz="4" w:space="0" w:color="auto"/>
              <w:right w:val="single" w:sz="4" w:space="0" w:color="auto"/>
            </w:tcBorders>
            <w:shd w:val="clear" w:color="000000" w:fill="FFFFFF"/>
            <w:vAlign w:val="bottom"/>
          </w:tcPr>
          <w:p w14:paraId="4565090C" w14:textId="52088221" w:rsidR="00543241" w:rsidRPr="000D1437" w:rsidRDefault="00543241" w:rsidP="00543241">
            <w:pPr>
              <w:jc w:val="right"/>
              <w:rPr>
                <w:rFonts w:ascii="Times New Roman" w:hAnsi="Times New Roman"/>
                <w:sz w:val="14"/>
                <w:szCs w:val="14"/>
              </w:rPr>
            </w:pPr>
            <w:r w:rsidRPr="000D1437">
              <w:rPr>
                <w:sz w:val="14"/>
                <w:szCs w:val="14"/>
              </w:rPr>
              <w:t>-14512,29</w:t>
            </w:r>
          </w:p>
        </w:tc>
      </w:tr>
      <w:tr w:rsidR="00543241" w:rsidRPr="00364545" w14:paraId="610C87D6"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69179D46" w14:textId="5EF76B89"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167" w:type="dxa"/>
            <w:tcBorders>
              <w:top w:val="nil"/>
              <w:left w:val="nil"/>
              <w:bottom w:val="single" w:sz="4" w:space="0" w:color="auto"/>
              <w:right w:val="single" w:sz="4" w:space="0" w:color="auto"/>
            </w:tcBorders>
            <w:shd w:val="clear" w:color="000000" w:fill="FFFFFF"/>
            <w:noWrap/>
            <w:vAlign w:val="bottom"/>
            <w:hideMark/>
          </w:tcPr>
          <w:p w14:paraId="49F964B0" w14:textId="2B7513C4" w:rsidR="00543241" w:rsidRPr="000D1437" w:rsidRDefault="00543241" w:rsidP="00543241">
            <w:pPr>
              <w:jc w:val="right"/>
              <w:rPr>
                <w:rFonts w:ascii="Times New Roman" w:hAnsi="Times New Roman"/>
                <w:sz w:val="14"/>
                <w:szCs w:val="14"/>
              </w:rPr>
            </w:pPr>
            <w:r w:rsidRPr="000D1437">
              <w:rPr>
                <w:sz w:val="14"/>
                <w:szCs w:val="14"/>
              </w:rPr>
              <w:t>225,57</w:t>
            </w:r>
          </w:p>
        </w:tc>
        <w:tc>
          <w:tcPr>
            <w:tcW w:w="1167" w:type="dxa"/>
            <w:tcBorders>
              <w:top w:val="nil"/>
              <w:left w:val="nil"/>
              <w:bottom w:val="single" w:sz="4" w:space="0" w:color="auto"/>
              <w:right w:val="single" w:sz="4" w:space="0" w:color="auto"/>
            </w:tcBorders>
            <w:shd w:val="clear" w:color="000000" w:fill="FFFFFF"/>
            <w:noWrap/>
            <w:vAlign w:val="bottom"/>
            <w:hideMark/>
          </w:tcPr>
          <w:p w14:paraId="7F98A11B" w14:textId="45840FA2" w:rsidR="00543241" w:rsidRPr="000D1437" w:rsidRDefault="00543241" w:rsidP="00543241">
            <w:pPr>
              <w:jc w:val="right"/>
              <w:rPr>
                <w:rFonts w:ascii="Times New Roman" w:hAnsi="Times New Roman"/>
                <w:sz w:val="14"/>
                <w:szCs w:val="14"/>
              </w:rPr>
            </w:pPr>
            <w:r w:rsidRPr="000D1437">
              <w:rPr>
                <w:sz w:val="14"/>
                <w:szCs w:val="14"/>
              </w:rPr>
              <w:t>376,64</w:t>
            </w:r>
          </w:p>
        </w:tc>
        <w:tc>
          <w:tcPr>
            <w:tcW w:w="1196" w:type="dxa"/>
            <w:tcBorders>
              <w:top w:val="nil"/>
              <w:left w:val="nil"/>
              <w:bottom w:val="single" w:sz="4" w:space="0" w:color="auto"/>
              <w:right w:val="single" w:sz="4" w:space="0" w:color="auto"/>
            </w:tcBorders>
            <w:shd w:val="clear" w:color="000000" w:fill="FFFFFF"/>
            <w:noWrap/>
            <w:vAlign w:val="bottom"/>
            <w:hideMark/>
          </w:tcPr>
          <w:p w14:paraId="1D697B9A" w14:textId="765893FD" w:rsidR="00543241" w:rsidRPr="000D1437" w:rsidRDefault="00543241" w:rsidP="00543241">
            <w:pPr>
              <w:jc w:val="right"/>
              <w:rPr>
                <w:rFonts w:ascii="Times New Roman" w:hAnsi="Times New Roman"/>
                <w:sz w:val="14"/>
                <w:szCs w:val="14"/>
              </w:rPr>
            </w:pPr>
            <w:r w:rsidRPr="000D1437">
              <w:rPr>
                <w:sz w:val="14"/>
                <w:szCs w:val="14"/>
              </w:rPr>
              <w:t>418,20</w:t>
            </w:r>
          </w:p>
        </w:tc>
        <w:tc>
          <w:tcPr>
            <w:tcW w:w="1182" w:type="dxa"/>
            <w:tcBorders>
              <w:top w:val="nil"/>
              <w:left w:val="nil"/>
              <w:bottom w:val="single" w:sz="4" w:space="0" w:color="auto"/>
              <w:right w:val="single" w:sz="4" w:space="0" w:color="auto"/>
            </w:tcBorders>
            <w:shd w:val="clear" w:color="000000" w:fill="FFFFFF"/>
            <w:noWrap/>
            <w:vAlign w:val="bottom"/>
            <w:hideMark/>
          </w:tcPr>
          <w:p w14:paraId="72B780E9" w14:textId="3F323E75" w:rsidR="00543241" w:rsidRPr="000D1437" w:rsidRDefault="00543241" w:rsidP="00543241">
            <w:pPr>
              <w:jc w:val="right"/>
              <w:rPr>
                <w:rFonts w:ascii="Times New Roman" w:hAnsi="Times New Roman"/>
                <w:sz w:val="14"/>
                <w:szCs w:val="14"/>
              </w:rPr>
            </w:pPr>
            <w:r w:rsidRPr="000D1437">
              <w:rPr>
                <w:sz w:val="14"/>
                <w:szCs w:val="14"/>
              </w:rPr>
              <w:t>256,91</w:t>
            </w:r>
          </w:p>
        </w:tc>
        <w:tc>
          <w:tcPr>
            <w:tcW w:w="1181" w:type="dxa"/>
            <w:tcBorders>
              <w:top w:val="nil"/>
              <w:left w:val="nil"/>
              <w:bottom w:val="single" w:sz="4" w:space="0" w:color="auto"/>
              <w:right w:val="single" w:sz="4" w:space="0" w:color="auto"/>
            </w:tcBorders>
            <w:shd w:val="clear" w:color="000000" w:fill="FFFFFF"/>
            <w:noWrap/>
            <w:vAlign w:val="bottom"/>
            <w:hideMark/>
          </w:tcPr>
          <w:p w14:paraId="04D94CCE" w14:textId="0592D790" w:rsidR="00543241" w:rsidRPr="000D1437" w:rsidRDefault="00543241" w:rsidP="00543241">
            <w:pPr>
              <w:jc w:val="right"/>
              <w:rPr>
                <w:rFonts w:ascii="Times New Roman" w:hAnsi="Times New Roman"/>
                <w:sz w:val="14"/>
                <w:szCs w:val="14"/>
              </w:rPr>
            </w:pPr>
            <w:r w:rsidRPr="000D1437">
              <w:rPr>
                <w:sz w:val="14"/>
                <w:szCs w:val="14"/>
              </w:rPr>
              <w:t>320,73</w:t>
            </w:r>
          </w:p>
        </w:tc>
        <w:tc>
          <w:tcPr>
            <w:tcW w:w="1181" w:type="dxa"/>
            <w:tcBorders>
              <w:top w:val="nil"/>
              <w:left w:val="nil"/>
              <w:bottom w:val="single" w:sz="4" w:space="0" w:color="auto"/>
              <w:right w:val="single" w:sz="4" w:space="0" w:color="auto"/>
            </w:tcBorders>
            <w:shd w:val="clear" w:color="000000" w:fill="FFFFFF"/>
            <w:vAlign w:val="bottom"/>
          </w:tcPr>
          <w:p w14:paraId="1F642C84" w14:textId="6D64669B" w:rsidR="00543241" w:rsidRPr="000D1437" w:rsidRDefault="00543241" w:rsidP="00543241">
            <w:pPr>
              <w:jc w:val="right"/>
              <w:rPr>
                <w:rFonts w:ascii="Times New Roman" w:hAnsi="Times New Roman"/>
                <w:sz w:val="14"/>
                <w:szCs w:val="14"/>
              </w:rPr>
            </w:pPr>
            <w:r w:rsidRPr="000D1437">
              <w:rPr>
                <w:sz w:val="14"/>
                <w:szCs w:val="14"/>
              </w:rPr>
              <w:t>233,99</w:t>
            </w:r>
          </w:p>
        </w:tc>
      </w:tr>
      <w:tr w:rsidR="00543241" w:rsidRPr="00364545" w14:paraId="18A3B039"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8C40C50" w14:textId="54E54FAB"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167" w:type="dxa"/>
            <w:tcBorders>
              <w:top w:val="nil"/>
              <w:left w:val="nil"/>
              <w:bottom w:val="single" w:sz="4" w:space="0" w:color="auto"/>
              <w:right w:val="single" w:sz="4" w:space="0" w:color="auto"/>
            </w:tcBorders>
            <w:shd w:val="clear" w:color="000000" w:fill="FFFFFF"/>
            <w:noWrap/>
            <w:vAlign w:val="bottom"/>
            <w:hideMark/>
          </w:tcPr>
          <w:p w14:paraId="54191E4C" w14:textId="3FC14A76" w:rsidR="00543241" w:rsidRPr="000D1437" w:rsidRDefault="00543241" w:rsidP="00543241">
            <w:pPr>
              <w:jc w:val="right"/>
              <w:rPr>
                <w:rFonts w:ascii="Times New Roman" w:hAnsi="Times New Roman"/>
                <w:sz w:val="14"/>
                <w:szCs w:val="14"/>
              </w:rPr>
            </w:pPr>
            <w:r w:rsidRPr="000D1437">
              <w:rPr>
                <w:sz w:val="14"/>
                <w:szCs w:val="14"/>
              </w:rPr>
              <w:t>9265,81</w:t>
            </w:r>
          </w:p>
        </w:tc>
        <w:tc>
          <w:tcPr>
            <w:tcW w:w="1167" w:type="dxa"/>
            <w:tcBorders>
              <w:top w:val="nil"/>
              <w:left w:val="nil"/>
              <w:bottom w:val="single" w:sz="4" w:space="0" w:color="auto"/>
              <w:right w:val="single" w:sz="4" w:space="0" w:color="auto"/>
            </w:tcBorders>
            <w:shd w:val="clear" w:color="000000" w:fill="FFFFFF"/>
            <w:noWrap/>
            <w:vAlign w:val="bottom"/>
            <w:hideMark/>
          </w:tcPr>
          <w:p w14:paraId="62AC1D27" w14:textId="755257F9" w:rsidR="00543241" w:rsidRPr="000D1437" w:rsidRDefault="00543241" w:rsidP="00543241">
            <w:pPr>
              <w:jc w:val="right"/>
              <w:rPr>
                <w:rFonts w:ascii="Times New Roman" w:hAnsi="Times New Roman"/>
                <w:sz w:val="14"/>
                <w:szCs w:val="14"/>
              </w:rPr>
            </w:pPr>
            <w:r w:rsidRPr="000D1437">
              <w:rPr>
                <w:sz w:val="14"/>
                <w:szCs w:val="14"/>
              </w:rPr>
              <w:t>9031,68</w:t>
            </w:r>
          </w:p>
        </w:tc>
        <w:tc>
          <w:tcPr>
            <w:tcW w:w="1196" w:type="dxa"/>
            <w:tcBorders>
              <w:top w:val="nil"/>
              <w:left w:val="nil"/>
              <w:bottom w:val="single" w:sz="4" w:space="0" w:color="auto"/>
              <w:right w:val="single" w:sz="4" w:space="0" w:color="auto"/>
            </w:tcBorders>
            <w:shd w:val="clear" w:color="000000" w:fill="FFFFFF"/>
            <w:noWrap/>
            <w:vAlign w:val="bottom"/>
            <w:hideMark/>
          </w:tcPr>
          <w:p w14:paraId="7FE74F4F" w14:textId="7305D3C1" w:rsidR="00543241" w:rsidRPr="000D1437" w:rsidRDefault="00543241" w:rsidP="00543241">
            <w:pPr>
              <w:jc w:val="right"/>
              <w:rPr>
                <w:rFonts w:ascii="Times New Roman" w:hAnsi="Times New Roman"/>
                <w:sz w:val="14"/>
                <w:szCs w:val="14"/>
              </w:rPr>
            </w:pPr>
            <w:r w:rsidRPr="000D1437">
              <w:rPr>
                <w:sz w:val="14"/>
                <w:szCs w:val="14"/>
              </w:rPr>
              <w:t>9693,42</w:t>
            </w:r>
          </w:p>
        </w:tc>
        <w:tc>
          <w:tcPr>
            <w:tcW w:w="1182" w:type="dxa"/>
            <w:tcBorders>
              <w:top w:val="nil"/>
              <w:left w:val="nil"/>
              <w:bottom w:val="single" w:sz="4" w:space="0" w:color="auto"/>
              <w:right w:val="single" w:sz="4" w:space="0" w:color="auto"/>
            </w:tcBorders>
            <w:shd w:val="clear" w:color="000000" w:fill="FFFFFF"/>
            <w:noWrap/>
            <w:vAlign w:val="bottom"/>
            <w:hideMark/>
          </w:tcPr>
          <w:p w14:paraId="67DA8A59" w14:textId="41998D52" w:rsidR="00543241" w:rsidRPr="000D1437" w:rsidRDefault="00543241" w:rsidP="00543241">
            <w:pPr>
              <w:jc w:val="right"/>
              <w:rPr>
                <w:rFonts w:ascii="Times New Roman" w:hAnsi="Times New Roman"/>
                <w:sz w:val="14"/>
                <w:szCs w:val="14"/>
              </w:rPr>
            </w:pPr>
            <w:r w:rsidRPr="000D1437">
              <w:rPr>
                <w:sz w:val="14"/>
                <w:szCs w:val="14"/>
              </w:rPr>
              <w:t>9470,58</w:t>
            </w:r>
          </w:p>
        </w:tc>
        <w:tc>
          <w:tcPr>
            <w:tcW w:w="1181" w:type="dxa"/>
            <w:tcBorders>
              <w:top w:val="nil"/>
              <w:left w:val="nil"/>
              <w:bottom w:val="single" w:sz="4" w:space="0" w:color="auto"/>
              <w:right w:val="single" w:sz="4" w:space="0" w:color="auto"/>
            </w:tcBorders>
            <w:shd w:val="clear" w:color="000000" w:fill="FFFFFF"/>
            <w:noWrap/>
            <w:vAlign w:val="bottom"/>
            <w:hideMark/>
          </w:tcPr>
          <w:p w14:paraId="45FA73E4" w14:textId="3ACF6685" w:rsidR="00543241" w:rsidRPr="000D1437" w:rsidRDefault="00543241" w:rsidP="00543241">
            <w:pPr>
              <w:jc w:val="right"/>
              <w:rPr>
                <w:rFonts w:ascii="Times New Roman" w:hAnsi="Times New Roman"/>
                <w:sz w:val="14"/>
                <w:szCs w:val="14"/>
              </w:rPr>
            </w:pPr>
            <w:r w:rsidRPr="000D1437">
              <w:rPr>
                <w:sz w:val="14"/>
                <w:szCs w:val="14"/>
              </w:rPr>
              <w:t>10578,67</w:t>
            </w:r>
          </w:p>
        </w:tc>
        <w:tc>
          <w:tcPr>
            <w:tcW w:w="1181" w:type="dxa"/>
            <w:tcBorders>
              <w:top w:val="nil"/>
              <w:left w:val="nil"/>
              <w:bottom w:val="single" w:sz="4" w:space="0" w:color="auto"/>
              <w:right w:val="single" w:sz="4" w:space="0" w:color="auto"/>
            </w:tcBorders>
            <w:shd w:val="clear" w:color="000000" w:fill="FFFFFF"/>
            <w:vAlign w:val="bottom"/>
          </w:tcPr>
          <w:p w14:paraId="343CB976" w14:textId="419CCD17" w:rsidR="00543241" w:rsidRPr="000D1437" w:rsidRDefault="00543241" w:rsidP="00543241">
            <w:pPr>
              <w:jc w:val="right"/>
              <w:rPr>
                <w:rFonts w:ascii="Times New Roman" w:hAnsi="Times New Roman"/>
                <w:sz w:val="14"/>
                <w:szCs w:val="14"/>
              </w:rPr>
            </w:pPr>
            <w:r w:rsidRPr="000D1437">
              <w:rPr>
                <w:sz w:val="14"/>
                <w:szCs w:val="14"/>
              </w:rPr>
              <w:t>9111,40</w:t>
            </w:r>
          </w:p>
        </w:tc>
      </w:tr>
      <w:tr w:rsidR="00543241" w:rsidRPr="00364545" w14:paraId="2F3E0B6E"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5AAC31B4" w14:textId="7C2E3859"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167" w:type="dxa"/>
            <w:tcBorders>
              <w:top w:val="nil"/>
              <w:left w:val="nil"/>
              <w:bottom w:val="single" w:sz="4" w:space="0" w:color="auto"/>
              <w:right w:val="single" w:sz="4" w:space="0" w:color="auto"/>
            </w:tcBorders>
            <w:shd w:val="clear" w:color="000000" w:fill="FFFFFF"/>
            <w:noWrap/>
            <w:vAlign w:val="bottom"/>
            <w:hideMark/>
          </w:tcPr>
          <w:p w14:paraId="1AFBACAC" w14:textId="3774BDDA" w:rsidR="00543241" w:rsidRPr="000D1437" w:rsidRDefault="00543241" w:rsidP="00543241">
            <w:pPr>
              <w:jc w:val="right"/>
              <w:rPr>
                <w:rFonts w:ascii="Times New Roman" w:hAnsi="Times New Roman"/>
                <w:sz w:val="14"/>
                <w:szCs w:val="14"/>
              </w:rPr>
            </w:pPr>
            <w:r w:rsidRPr="000D1437">
              <w:rPr>
                <w:sz w:val="14"/>
                <w:szCs w:val="14"/>
              </w:rPr>
              <w:t>NO,NA</w:t>
            </w:r>
          </w:p>
        </w:tc>
        <w:tc>
          <w:tcPr>
            <w:tcW w:w="1167" w:type="dxa"/>
            <w:tcBorders>
              <w:top w:val="nil"/>
              <w:left w:val="nil"/>
              <w:bottom w:val="single" w:sz="4" w:space="0" w:color="auto"/>
              <w:right w:val="single" w:sz="4" w:space="0" w:color="auto"/>
            </w:tcBorders>
            <w:shd w:val="clear" w:color="000000" w:fill="FFFFFF"/>
            <w:noWrap/>
            <w:vAlign w:val="bottom"/>
            <w:hideMark/>
          </w:tcPr>
          <w:p w14:paraId="441BF3A3" w14:textId="14A42D83" w:rsidR="00543241" w:rsidRPr="000D1437" w:rsidRDefault="00543241" w:rsidP="00543241">
            <w:pPr>
              <w:jc w:val="right"/>
              <w:rPr>
                <w:rFonts w:ascii="Times New Roman" w:hAnsi="Times New Roman"/>
                <w:sz w:val="14"/>
                <w:szCs w:val="14"/>
              </w:rPr>
            </w:pPr>
            <w:r w:rsidRPr="000D1437">
              <w:rPr>
                <w:sz w:val="14"/>
                <w:szCs w:val="14"/>
              </w:rPr>
              <w:t>NO,NA</w:t>
            </w:r>
          </w:p>
        </w:tc>
        <w:tc>
          <w:tcPr>
            <w:tcW w:w="1196" w:type="dxa"/>
            <w:tcBorders>
              <w:top w:val="nil"/>
              <w:left w:val="nil"/>
              <w:bottom w:val="single" w:sz="4" w:space="0" w:color="auto"/>
              <w:right w:val="single" w:sz="4" w:space="0" w:color="auto"/>
            </w:tcBorders>
            <w:shd w:val="clear" w:color="000000" w:fill="FFFFFF"/>
            <w:noWrap/>
            <w:vAlign w:val="bottom"/>
            <w:hideMark/>
          </w:tcPr>
          <w:p w14:paraId="7F5E940B" w14:textId="7972C1D8" w:rsidR="00543241" w:rsidRPr="000D1437" w:rsidRDefault="00543241" w:rsidP="00543241">
            <w:pPr>
              <w:jc w:val="right"/>
              <w:rPr>
                <w:rFonts w:ascii="Times New Roman" w:hAnsi="Times New Roman"/>
                <w:sz w:val="14"/>
                <w:szCs w:val="14"/>
              </w:rPr>
            </w:pPr>
            <w:r w:rsidRPr="000D1437">
              <w:rPr>
                <w:sz w:val="14"/>
                <w:szCs w:val="14"/>
              </w:rPr>
              <w:t>NO,NA</w:t>
            </w:r>
          </w:p>
        </w:tc>
        <w:tc>
          <w:tcPr>
            <w:tcW w:w="1182" w:type="dxa"/>
            <w:tcBorders>
              <w:top w:val="nil"/>
              <w:left w:val="nil"/>
              <w:bottom w:val="single" w:sz="4" w:space="0" w:color="auto"/>
              <w:right w:val="single" w:sz="4" w:space="0" w:color="auto"/>
            </w:tcBorders>
            <w:shd w:val="clear" w:color="000000" w:fill="FFFFFF"/>
            <w:noWrap/>
            <w:vAlign w:val="bottom"/>
            <w:hideMark/>
          </w:tcPr>
          <w:p w14:paraId="6A627669" w14:textId="428371B5" w:rsidR="00543241" w:rsidRPr="000D1437" w:rsidRDefault="00543241" w:rsidP="00543241">
            <w:pPr>
              <w:jc w:val="right"/>
              <w:rPr>
                <w:rFonts w:ascii="Times New Roman" w:hAnsi="Times New Roman"/>
                <w:sz w:val="14"/>
                <w:szCs w:val="14"/>
              </w:rPr>
            </w:pPr>
            <w:r w:rsidRPr="000D1437">
              <w:rPr>
                <w:sz w:val="14"/>
                <w:szCs w:val="14"/>
              </w:rPr>
              <w:t>NO,NA</w:t>
            </w:r>
          </w:p>
        </w:tc>
        <w:tc>
          <w:tcPr>
            <w:tcW w:w="1181" w:type="dxa"/>
            <w:tcBorders>
              <w:top w:val="nil"/>
              <w:left w:val="nil"/>
              <w:bottom w:val="single" w:sz="4" w:space="0" w:color="auto"/>
              <w:right w:val="single" w:sz="4" w:space="0" w:color="auto"/>
            </w:tcBorders>
            <w:shd w:val="clear" w:color="000000" w:fill="FFFFFF"/>
            <w:noWrap/>
            <w:vAlign w:val="bottom"/>
            <w:hideMark/>
          </w:tcPr>
          <w:p w14:paraId="5E658344" w14:textId="47ADF882" w:rsidR="00543241" w:rsidRPr="000D1437" w:rsidRDefault="00543241" w:rsidP="00543241">
            <w:pPr>
              <w:jc w:val="right"/>
              <w:rPr>
                <w:rFonts w:ascii="Times New Roman" w:hAnsi="Times New Roman"/>
                <w:sz w:val="14"/>
                <w:szCs w:val="14"/>
              </w:rPr>
            </w:pPr>
            <w:r w:rsidRPr="000D1437">
              <w:rPr>
                <w:sz w:val="14"/>
                <w:szCs w:val="14"/>
              </w:rPr>
              <w:t>NO,NA</w:t>
            </w:r>
          </w:p>
        </w:tc>
        <w:tc>
          <w:tcPr>
            <w:tcW w:w="1181" w:type="dxa"/>
            <w:tcBorders>
              <w:top w:val="nil"/>
              <w:left w:val="nil"/>
              <w:bottom w:val="single" w:sz="4" w:space="0" w:color="auto"/>
              <w:right w:val="single" w:sz="4" w:space="0" w:color="auto"/>
            </w:tcBorders>
            <w:shd w:val="clear" w:color="000000" w:fill="FFFFFF"/>
            <w:vAlign w:val="bottom"/>
          </w:tcPr>
          <w:p w14:paraId="7769C1D5" w14:textId="78235F33"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59391543"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A4948F5" w14:textId="1434976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167" w:type="dxa"/>
            <w:tcBorders>
              <w:top w:val="nil"/>
              <w:left w:val="nil"/>
              <w:bottom w:val="single" w:sz="4" w:space="0" w:color="auto"/>
              <w:right w:val="single" w:sz="4" w:space="0" w:color="auto"/>
            </w:tcBorders>
            <w:shd w:val="clear" w:color="000000" w:fill="FFFFFF"/>
            <w:noWrap/>
            <w:vAlign w:val="bottom"/>
            <w:hideMark/>
          </w:tcPr>
          <w:p w14:paraId="6880E293" w14:textId="00082EC7" w:rsidR="00543241" w:rsidRPr="000D1437" w:rsidRDefault="00543241" w:rsidP="00543241">
            <w:pPr>
              <w:jc w:val="right"/>
              <w:rPr>
                <w:rFonts w:ascii="Times New Roman" w:hAnsi="Times New Roman"/>
                <w:sz w:val="14"/>
                <w:szCs w:val="14"/>
              </w:rPr>
            </w:pPr>
            <w:r w:rsidRPr="000D1437">
              <w:rPr>
                <w:sz w:val="14"/>
                <w:szCs w:val="14"/>
              </w:rPr>
              <w:t>-3042,48</w:t>
            </w:r>
          </w:p>
        </w:tc>
        <w:tc>
          <w:tcPr>
            <w:tcW w:w="1167" w:type="dxa"/>
            <w:tcBorders>
              <w:top w:val="nil"/>
              <w:left w:val="nil"/>
              <w:bottom w:val="single" w:sz="4" w:space="0" w:color="auto"/>
              <w:right w:val="single" w:sz="4" w:space="0" w:color="auto"/>
            </w:tcBorders>
            <w:shd w:val="clear" w:color="000000" w:fill="FFFFFF"/>
            <w:noWrap/>
            <w:vAlign w:val="bottom"/>
            <w:hideMark/>
          </w:tcPr>
          <w:p w14:paraId="3381201B" w14:textId="54F73686" w:rsidR="00543241" w:rsidRPr="000D1437" w:rsidRDefault="00543241" w:rsidP="00543241">
            <w:pPr>
              <w:jc w:val="right"/>
              <w:rPr>
                <w:rFonts w:ascii="Times New Roman" w:hAnsi="Times New Roman"/>
                <w:sz w:val="14"/>
                <w:szCs w:val="14"/>
              </w:rPr>
            </w:pPr>
            <w:r w:rsidRPr="000D1437">
              <w:rPr>
                <w:sz w:val="14"/>
                <w:szCs w:val="14"/>
              </w:rPr>
              <w:t>-2538,48</w:t>
            </w:r>
          </w:p>
        </w:tc>
        <w:tc>
          <w:tcPr>
            <w:tcW w:w="1196" w:type="dxa"/>
            <w:tcBorders>
              <w:top w:val="nil"/>
              <w:left w:val="nil"/>
              <w:bottom w:val="single" w:sz="4" w:space="0" w:color="auto"/>
              <w:right w:val="single" w:sz="4" w:space="0" w:color="auto"/>
            </w:tcBorders>
            <w:shd w:val="clear" w:color="000000" w:fill="FFFFFF"/>
            <w:noWrap/>
            <w:vAlign w:val="bottom"/>
            <w:hideMark/>
          </w:tcPr>
          <w:p w14:paraId="7BB98B90" w14:textId="2AF38F4B" w:rsidR="00543241" w:rsidRPr="000D1437" w:rsidRDefault="00543241" w:rsidP="00543241">
            <w:pPr>
              <w:jc w:val="right"/>
              <w:rPr>
                <w:rFonts w:ascii="Times New Roman" w:hAnsi="Times New Roman"/>
                <w:sz w:val="14"/>
                <w:szCs w:val="14"/>
              </w:rPr>
            </w:pPr>
            <w:r w:rsidRPr="000D1437">
              <w:rPr>
                <w:sz w:val="14"/>
                <w:szCs w:val="14"/>
              </w:rPr>
              <w:t>-3155,63</w:t>
            </w:r>
          </w:p>
        </w:tc>
        <w:tc>
          <w:tcPr>
            <w:tcW w:w="1182" w:type="dxa"/>
            <w:tcBorders>
              <w:top w:val="nil"/>
              <w:left w:val="nil"/>
              <w:bottom w:val="single" w:sz="4" w:space="0" w:color="auto"/>
              <w:right w:val="single" w:sz="4" w:space="0" w:color="auto"/>
            </w:tcBorders>
            <w:shd w:val="clear" w:color="000000" w:fill="FFFFFF"/>
            <w:noWrap/>
            <w:vAlign w:val="bottom"/>
            <w:hideMark/>
          </w:tcPr>
          <w:p w14:paraId="182C18C3" w14:textId="5CCD04D7" w:rsidR="00543241" w:rsidRPr="000D1437" w:rsidRDefault="00543241" w:rsidP="00543241">
            <w:pPr>
              <w:jc w:val="right"/>
              <w:rPr>
                <w:rFonts w:ascii="Times New Roman" w:hAnsi="Times New Roman"/>
                <w:sz w:val="14"/>
                <w:szCs w:val="14"/>
              </w:rPr>
            </w:pPr>
            <w:r w:rsidRPr="000D1437">
              <w:rPr>
                <w:sz w:val="14"/>
                <w:szCs w:val="14"/>
              </w:rPr>
              <w:t>-3721,04</w:t>
            </w:r>
          </w:p>
        </w:tc>
        <w:tc>
          <w:tcPr>
            <w:tcW w:w="1181" w:type="dxa"/>
            <w:tcBorders>
              <w:top w:val="nil"/>
              <w:left w:val="nil"/>
              <w:bottom w:val="single" w:sz="4" w:space="0" w:color="auto"/>
              <w:right w:val="single" w:sz="4" w:space="0" w:color="auto"/>
            </w:tcBorders>
            <w:shd w:val="clear" w:color="000000" w:fill="FFFFFF"/>
            <w:noWrap/>
            <w:vAlign w:val="bottom"/>
            <w:hideMark/>
          </w:tcPr>
          <w:p w14:paraId="6EBEB7A5" w14:textId="403F88B8" w:rsidR="00543241" w:rsidRPr="000D1437" w:rsidRDefault="00543241" w:rsidP="00543241">
            <w:pPr>
              <w:jc w:val="right"/>
              <w:rPr>
                <w:rFonts w:ascii="Times New Roman" w:hAnsi="Times New Roman"/>
                <w:sz w:val="14"/>
                <w:szCs w:val="14"/>
              </w:rPr>
            </w:pPr>
            <w:r w:rsidRPr="000D1437">
              <w:rPr>
                <w:sz w:val="14"/>
                <w:szCs w:val="14"/>
              </w:rPr>
              <w:t>-3869,90</w:t>
            </w:r>
          </w:p>
        </w:tc>
        <w:tc>
          <w:tcPr>
            <w:tcW w:w="1181" w:type="dxa"/>
            <w:tcBorders>
              <w:top w:val="nil"/>
              <w:left w:val="nil"/>
              <w:bottom w:val="single" w:sz="4" w:space="0" w:color="auto"/>
              <w:right w:val="single" w:sz="4" w:space="0" w:color="auto"/>
            </w:tcBorders>
            <w:shd w:val="clear" w:color="000000" w:fill="FFFFFF"/>
            <w:vAlign w:val="bottom"/>
          </w:tcPr>
          <w:p w14:paraId="259827BC" w14:textId="606CC1CD" w:rsidR="00543241" w:rsidRPr="000D1437" w:rsidRDefault="00543241" w:rsidP="00543241">
            <w:pPr>
              <w:jc w:val="right"/>
              <w:rPr>
                <w:rFonts w:ascii="Times New Roman" w:hAnsi="Times New Roman"/>
                <w:sz w:val="14"/>
                <w:szCs w:val="14"/>
              </w:rPr>
            </w:pPr>
            <w:r w:rsidRPr="000D1437">
              <w:rPr>
                <w:sz w:val="14"/>
                <w:szCs w:val="14"/>
              </w:rPr>
              <w:t>-5141,18</w:t>
            </w:r>
          </w:p>
        </w:tc>
      </w:tr>
      <w:tr w:rsidR="00543241" w:rsidRPr="00364545" w14:paraId="0011495F"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DF18D7E" w14:textId="45A496E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167" w:type="dxa"/>
            <w:tcBorders>
              <w:top w:val="nil"/>
              <w:left w:val="nil"/>
              <w:bottom w:val="single" w:sz="4" w:space="0" w:color="auto"/>
              <w:right w:val="single" w:sz="4" w:space="0" w:color="auto"/>
            </w:tcBorders>
            <w:shd w:val="clear" w:color="000000" w:fill="FFFFFF"/>
            <w:noWrap/>
            <w:vAlign w:val="bottom"/>
            <w:hideMark/>
          </w:tcPr>
          <w:p w14:paraId="36CE1907" w14:textId="4753AFD6" w:rsidR="00543241" w:rsidRPr="000D1437" w:rsidRDefault="00543241" w:rsidP="00543241">
            <w:pPr>
              <w:jc w:val="right"/>
              <w:rPr>
                <w:rFonts w:ascii="Times New Roman" w:hAnsi="Times New Roman"/>
                <w:sz w:val="14"/>
                <w:szCs w:val="14"/>
              </w:rPr>
            </w:pPr>
            <w:r w:rsidRPr="000D1437">
              <w:rPr>
                <w:sz w:val="14"/>
                <w:szCs w:val="14"/>
              </w:rPr>
              <w:t>1217,43</w:t>
            </w:r>
          </w:p>
        </w:tc>
        <w:tc>
          <w:tcPr>
            <w:tcW w:w="1167" w:type="dxa"/>
            <w:tcBorders>
              <w:top w:val="nil"/>
              <w:left w:val="nil"/>
              <w:bottom w:val="single" w:sz="4" w:space="0" w:color="auto"/>
              <w:right w:val="single" w:sz="4" w:space="0" w:color="auto"/>
            </w:tcBorders>
            <w:shd w:val="clear" w:color="000000" w:fill="FFFFFF"/>
            <w:noWrap/>
            <w:vAlign w:val="bottom"/>
            <w:hideMark/>
          </w:tcPr>
          <w:p w14:paraId="1BA2FDEF" w14:textId="708D80D4" w:rsidR="00543241" w:rsidRPr="000D1437" w:rsidRDefault="00543241" w:rsidP="00543241">
            <w:pPr>
              <w:jc w:val="right"/>
              <w:rPr>
                <w:rFonts w:ascii="Times New Roman" w:hAnsi="Times New Roman"/>
                <w:sz w:val="14"/>
                <w:szCs w:val="14"/>
              </w:rPr>
            </w:pPr>
            <w:r w:rsidRPr="000D1437">
              <w:rPr>
                <w:sz w:val="14"/>
                <w:szCs w:val="14"/>
              </w:rPr>
              <w:t>1061,77</w:t>
            </w:r>
          </w:p>
        </w:tc>
        <w:tc>
          <w:tcPr>
            <w:tcW w:w="1196" w:type="dxa"/>
            <w:tcBorders>
              <w:top w:val="nil"/>
              <w:left w:val="nil"/>
              <w:bottom w:val="single" w:sz="4" w:space="0" w:color="auto"/>
              <w:right w:val="single" w:sz="4" w:space="0" w:color="auto"/>
            </w:tcBorders>
            <w:shd w:val="clear" w:color="000000" w:fill="FFFFFF"/>
            <w:noWrap/>
            <w:vAlign w:val="bottom"/>
            <w:hideMark/>
          </w:tcPr>
          <w:p w14:paraId="56F46BE0" w14:textId="7F9427EB" w:rsidR="00543241" w:rsidRPr="000D1437" w:rsidRDefault="00543241" w:rsidP="00543241">
            <w:pPr>
              <w:jc w:val="right"/>
              <w:rPr>
                <w:rFonts w:ascii="Times New Roman" w:hAnsi="Times New Roman"/>
                <w:sz w:val="14"/>
                <w:szCs w:val="14"/>
              </w:rPr>
            </w:pPr>
            <w:r w:rsidRPr="000D1437">
              <w:rPr>
                <w:sz w:val="14"/>
                <w:szCs w:val="14"/>
              </w:rPr>
              <w:t>926,02</w:t>
            </w:r>
          </w:p>
        </w:tc>
        <w:tc>
          <w:tcPr>
            <w:tcW w:w="1182" w:type="dxa"/>
            <w:tcBorders>
              <w:top w:val="nil"/>
              <w:left w:val="nil"/>
              <w:bottom w:val="single" w:sz="4" w:space="0" w:color="auto"/>
              <w:right w:val="single" w:sz="4" w:space="0" w:color="auto"/>
            </w:tcBorders>
            <w:shd w:val="clear" w:color="000000" w:fill="FFFFFF"/>
            <w:noWrap/>
            <w:vAlign w:val="bottom"/>
            <w:hideMark/>
          </w:tcPr>
          <w:p w14:paraId="79DB5719" w14:textId="71CC5994" w:rsidR="00543241" w:rsidRPr="000D1437" w:rsidRDefault="00543241" w:rsidP="00543241">
            <w:pPr>
              <w:jc w:val="right"/>
              <w:rPr>
                <w:rFonts w:ascii="Times New Roman" w:hAnsi="Times New Roman"/>
                <w:sz w:val="14"/>
                <w:szCs w:val="14"/>
              </w:rPr>
            </w:pPr>
            <w:r w:rsidRPr="000D1437">
              <w:rPr>
                <w:sz w:val="14"/>
                <w:szCs w:val="14"/>
              </w:rPr>
              <w:t>807,62</w:t>
            </w:r>
          </w:p>
        </w:tc>
        <w:tc>
          <w:tcPr>
            <w:tcW w:w="1181" w:type="dxa"/>
            <w:tcBorders>
              <w:top w:val="nil"/>
              <w:left w:val="nil"/>
              <w:bottom w:val="single" w:sz="4" w:space="0" w:color="auto"/>
              <w:right w:val="single" w:sz="4" w:space="0" w:color="auto"/>
            </w:tcBorders>
            <w:shd w:val="clear" w:color="000000" w:fill="FFFFFF"/>
            <w:noWrap/>
            <w:vAlign w:val="bottom"/>
            <w:hideMark/>
          </w:tcPr>
          <w:p w14:paraId="6EA95B68" w14:textId="479582AB" w:rsidR="00543241" w:rsidRPr="000D1437" w:rsidRDefault="00543241" w:rsidP="00543241">
            <w:pPr>
              <w:jc w:val="right"/>
              <w:rPr>
                <w:rFonts w:ascii="Times New Roman" w:hAnsi="Times New Roman"/>
                <w:sz w:val="14"/>
                <w:szCs w:val="14"/>
              </w:rPr>
            </w:pPr>
            <w:r w:rsidRPr="000D1437">
              <w:rPr>
                <w:sz w:val="14"/>
                <w:szCs w:val="14"/>
              </w:rPr>
              <w:t>704,36</w:t>
            </w:r>
          </w:p>
        </w:tc>
        <w:tc>
          <w:tcPr>
            <w:tcW w:w="1181" w:type="dxa"/>
            <w:tcBorders>
              <w:top w:val="nil"/>
              <w:left w:val="nil"/>
              <w:bottom w:val="single" w:sz="4" w:space="0" w:color="auto"/>
              <w:right w:val="single" w:sz="4" w:space="0" w:color="auto"/>
            </w:tcBorders>
            <w:shd w:val="clear" w:color="000000" w:fill="FFFFFF"/>
            <w:vAlign w:val="bottom"/>
          </w:tcPr>
          <w:p w14:paraId="72249266" w14:textId="4DC2B65B" w:rsidR="00543241" w:rsidRPr="000D1437" w:rsidRDefault="00543241" w:rsidP="00543241">
            <w:pPr>
              <w:jc w:val="right"/>
              <w:rPr>
                <w:rFonts w:ascii="Times New Roman" w:hAnsi="Times New Roman"/>
                <w:sz w:val="14"/>
                <w:szCs w:val="14"/>
              </w:rPr>
            </w:pPr>
            <w:r w:rsidRPr="000D1437">
              <w:rPr>
                <w:sz w:val="14"/>
                <w:szCs w:val="14"/>
              </w:rPr>
              <w:t>614,31</w:t>
            </w:r>
          </w:p>
        </w:tc>
      </w:tr>
      <w:tr w:rsidR="00543241" w:rsidRPr="00364545" w14:paraId="2944FB68"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2386DCC" w14:textId="563F127C"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5. Waste</w:t>
            </w:r>
          </w:p>
        </w:tc>
        <w:tc>
          <w:tcPr>
            <w:tcW w:w="1167" w:type="dxa"/>
            <w:tcBorders>
              <w:top w:val="nil"/>
              <w:left w:val="nil"/>
              <w:bottom w:val="single" w:sz="4" w:space="0" w:color="auto"/>
              <w:right w:val="single" w:sz="4" w:space="0" w:color="auto"/>
            </w:tcBorders>
            <w:shd w:val="clear" w:color="000000" w:fill="CCFFFF"/>
            <w:noWrap/>
            <w:vAlign w:val="bottom"/>
            <w:hideMark/>
          </w:tcPr>
          <w:p w14:paraId="39D8EC00" w14:textId="41DAB1E7" w:rsidR="00543241" w:rsidRPr="000D1437" w:rsidRDefault="00543241" w:rsidP="00543241">
            <w:pPr>
              <w:jc w:val="right"/>
              <w:rPr>
                <w:rFonts w:ascii="Times New Roman" w:hAnsi="Times New Roman"/>
                <w:sz w:val="14"/>
                <w:szCs w:val="14"/>
              </w:rPr>
            </w:pPr>
            <w:r w:rsidRPr="000D1437">
              <w:rPr>
                <w:sz w:val="14"/>
                <w:szCs w:val="14"/>
              </w:rPr>
              <w:t>2223,22</w:t>
            </w:r>
          </w:p>
        </w:tc>
        <w:tc>
          <w:tcPr>
            <w:tcW w:w="1167" w:type="dxa"/>
            <w:tcBorders>
              <w:top w:val="nil"/>
              <w:left w:val="nil"/>
              <w:bottom w:val="single" w:sz="4" w:space="0" w:color="auto"/>
              <w:right w:val="single" w:sz="4" w:space="0" w:color="auto"/>
            </w:tcBorders>
            <w:shd w:val="clear" w:color="000000" w:fill="CCFFFF"/>
            <w:noWrap/>
            <w:vAlign w:val="bottom"/>
            <w:hideMark/>
          </w:tcPr>
          <w:p w14:paraId="51E288A7" w14:textId="7DE7B385" w:rsidR="00543241" w:rsidRPr="000D1437" w:rsidRDefault="00543241" w:rsidP="00543241">
            <w:pPr>
              <w:jc w:val="right"/>
              <w:rPr>
                <w:rFonts w:ascii="Times New Roman" w:hAnsi="Times New Roman"/>
                <w:sz w:val="14"/>
                <w:szCs w:val="14"/>
              </w:rPr>
            </w:pPr>
            <w:r w:rsidRPr="000D1437">
              <w:rPr>
                <w:sz w:val="14"/>
                <w:szCs w:val="14"/>
              </w:rPr>
              <w:t>2095,27</w:t>
            </w:r>
          </w:p>
        </w:tc>
        <w:tc>
          <w:tcPr>
            <w:tcW w:w="1196" w:type="dxa"/>
            <w:tcBorders>
              <w:top w:val="nil"/>
              <w:left w:val="nil"/>
              <w:bottom w:val="single" w:sz="4" w:space="0" w:color="auto"/>
              <w:right w:val="single" w:sz="4" w:space="0" w:color="auto"/>
            </w:tcBorders>
            <w:shd w:val="clear" w:color="000000" w:fill="CCFFFF"/>
            <w:noWrap/>
            <w:vAlign w:val="bottom"/>
            <w:hideMark/>
          </w:tcPr>
          <w:p w14:paraId="7AA14189" w14:textId="3CDEF5E5" w:rsidR="00543241" w:rsidRPr="000D1437" w:rsidRDefault="00543241" w:rsidP="00543241">
            <w:pPr>
              <w:jc w:val="right"/>
              <w:rPr>
                <w:rFonts w:ascii="Times New Roman" w:hAnsi="Times New Roman"/>
                <w:sz w:val="14"/>
                <w:szCs w:val="14"/>
              </w:rPr>
            </w:pPr>
            <w:r w:rsidRPr="000D1437">
              <w:rPr>
                <w:sz w:val="14"/>
                <w:szCs w:val="14"/>
              </w:rPr>
              <w:t>1891,33</w:t>
            </w:r>
          </w:p>
        </w:tc>
        <w:tc>
          <w:tcPr>
            <w:tcW w:w="1182" w:type="dxa"/>
            <w:tcBorders>
              <w:top w:val="nil"/>
              <w:left w:val="nil"/>
              <w:bottom w:val="single" w:sz="4" w:space="0" w:color="auto"/>
              <w:right w:val="single" w:sz="4" w:space="0" w:color="auto"/>
            </w:tcBorders>
            <w:shd w:val="clear" w:color="000000" w:fill="CCFFFF"/>
            <w:noWrap/>
            <w:vAlign w:val="bottom"/>
            <w:hideMark/>
          </w:tcPr>
          <w:p w14:paraId="175C20EE" w14:textId="508C2057" w:rsidR="00543241" w:rsidRPr="000D1437" w:rsidRDefault="00543241" w:rsidP="00543241">
            <w:pPr>
              <w:jc w:val="right"/>
              <w:rPr>
                <w:rFonts w:ascii="Times New Roman" w:hAnsi="Times New Roman"/>
                <w:sz w:val="14"/>
                <w:szCs w:val="14"/>
              </w:rPr>
            </w:pPr>
            <w:r w:rsidRPr="000D1437">
              <w:rPr>
                <w:sz w:val="14"/>
                <w:szCs w:val="14"/>
              </w:rPr>
              <w:t>1757,61</w:t>
            </w:r>
          </w:p>
        </w:tc>
        <w:tc>
          <w:tcPr>
            <w:tcW w:w="1181" w:type="dxa"/>
            <w:tcBorders>
              <w:top w:val="nil"/>
              <w:left w:val="nil"/>
              <w:bottom w:val="single" w:sz="4" w:space="0" w:color="auto"/>
              <w:right w:val="single" w:sz="4" w:space="0" w:color="auto"/>
            </w:tcBorders>
            <w:shd w:val="clear" w:color="000000" w:fill="CCFFFF"/>
            <w:noWrap/>
            <w:vAlign w:val="bottom"/>
            <w:hideMark/>
          </w:tcPr>
          <w:p w14:paraId="4467FD30" w14:textId="2AC194C1" w:rsidR="00543241" w:rsidRPr="000D1437" w:rsidRDefault="00543241" w:rsidP="00543241">
            <w:pPr>
              <w:jc w:val="right"/>
              <w:rPr>
                <w:rFonts w:ascii="Times New Roman" w:hAnsi="Times New Roman"/>
                <w:sz w:val="14"/>
                <w:szCs w:val="14"/>
              </w:rPr>
            </w:pPr>
            <w:r w:rsidRPr="000D1437">
              <w:rPr>
                <w:sz w:val="14"/>
                <w:szCs w:val="14"/>
              </w:rPr>
              <w:t>1637,01</w:t>
            </w:r>
          </w:p>
        </w:tc>
        <w:tc>
          <w:tcPr>
            <w:tcW w:w="1181" w:type="dxa"/>
            <w:tcBorders>
              <w:top w:val="nil"/>
              <w:left w:val="nil"/>
              <w:bottom w:val="single" w:sz="4" w:space="0" w:color="auto"/>
              <w:right w:val="single" w:sz="4" w:space="0" w:color="auto"/>
            </w:tcBorders>
            <w:shd w:val="clear" w:color="000000" w:fill="CCFFFF"/>
            <w:vAlign w:val="bottom"/>
          </w:tcPr>
          <w:p w14:paraId="6468F327" w14:textId="5F748036" w:rsidR="00543241" w:rsidRPr="000D1437" w:rsidRDefault="00543241" w:rsidP="00543241">
            <w:pPr>
              <w:jc w:val="right"/>
              <w:rPr>
                <w:rFonts w:ascii="Times New Roman" w:hAnsi="Times New Roman"/>
                <w:sz w:val="14"/>
                <w:szCs w:val="14"/>
              </w:rPr>
            </w:pPr>
            <w:r w:rsidRPr="000D1437">
              <w:rPr>
                <w:sz w:val="14"/>
                <w:szCs w:val="14"/>
              </w:rPr>
              <w:t>1704,04</w:t>
            </w:r>
          </w:p>
        </w:tc>
      </w:tr>
      <w:tr w:rsidR="00543241" w:rsidRPr="00364545" w14:paraId="6FD3C836"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566D8F42" w14:textId="4CB4F9B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167" w:type="dxa"/>
            <w:tcBorders>
              <w:top w:val="nil"/>
              <w:left w:val="nil"/>
              <w:bottom w:val="single" w:sz="4" w:space="0" w:color="auto"/>
              <w:right w:val="single" w:sz="4" w:space="0" w:color="auto"/>
            </w:tcBorders>
            <w:shd w:val="clear" w:color="000000" w:fill="FFFFFF"/>
            <w:noWrap/>
            <w:vAlign w:val="bottom"/>
            <w:hideMark/>
          </w:tcPr>
          <w:p w14:paraId="441DC5F2" w14:textId="13677821" w:rsidR="00543241" w:rsidRPr="000D1437" w:rsidRDefault="00543241" w:rsidP="00543241">
            <w:pPr>
              <w:jc w:val="right"/>
              <w:rPr>
                <w:rFonts w:ascii="Times New Roman" w:hAnsi="Times New Roman"/>
                <w:sz w:val="14"/>
                <w:szCs w:val="14"/>
              </w:rPr>
            </w:pPr>
            <w:r w:rsidRPr="000D1437">
              <w:rPr>
                <w:sz w:val="14"/>
                <w:szCs w:val="14"/>
              </w:rPr>
              <w:t>NA</w:t>
            </w:r>
          </w:p>
        </w:tc>
        <w:tc>
          <w:tcPr>
            <w:tcW w:w="1167" w:type="dxa"/>
            <w:tcBorders>
              <w:top w:val="nil"/>
              <w:left w:val="nil"/>
              <w:bottom w:val="single" w:sz="4" w:space="0" w:color="auto"/>
              <w:right w:val="single" w:sz="4" w:space="0" w:color="auto"/>
            </w:tcBorders>
            <w:shd w:val="clear" w:color="000000" w:fill="FFFFFF"/>
            <w:noWrap/>
            <w:vAlign w:val="bottom"/>
            <w:hideMark/>
          </w:tcPr>
          <w:p w14:paraId="453FAF21" w14:textId="03783BAB" w:rsidR="00543241" w:rsidRPr="000D1437" w:rsidRDefault="00543241" w:rsidP="00543241">
            <w:pPr>
              <w:jc w:val="right"/>
              <w:rPr>
                <w:rFonts w:ascii="Times New Roman" w:hAnsi="Times New Roman"/>
                <w:sz w:val="14"/>
                <w:szCs w:val="14"/>
              </w:rPr>
            </w:pPr>
            <w:r w:rsidRPr="000D1437">
              <w:rPr>
                <w:sz w:val="14"/>
                <w:szCs w:val="14"/>
              </w:rPr>
              <w:t>NA</w:t>
            </w:r>
          </w:p>
        </w:tc>
        <w:tc>
          <w:tcPr>
            <w:tcW w:w="1196" w:type="dxa"/>
            <w:tcBorders>
              <w:top w:val="nil"/>
              <w:left w:val="nil"/>
              <w:bottom w:val="single" w:sz="4" w:space="0" w:color="auto"/>
              <w:right w:val="single" w:sz="4" w:space="0" w:color="auto"/>
            </w:tcBorders>
            <w:shd w:val="clear" w:color="000000" w:fill="FFFFFF"/>
            <w:noWrap/>
            <w:vAlign w:val="bottom"/>
            <w:hideMark/>
          </w:tcPr>
          <w:p w14:paraId="372E5324" w14:textId="3695D302" w:rsidR="00543241" w:rsidRPr="000D1437" w:rsidRDefault="00543241" w:rsidP="00543241">
            <w:pPr>
              <w:jc w:val="right"/>
              <w:rPr>
                <w:rFonts w:ascii="Times New Roman" w:hAnsi="Times New Roman"/>
                <w:sz w:val="14"/>
                <w:szCs w:val="14"/>
              </w:rPr>
            </w:pPr>
            <w:r w:rsidRPr="000D1437">
              <w:rPr>
                <w:sz w:val="14"/>
                <w:szCs w:val="14"/>
              </w:rPr>
              <w:t>NA</w:t>
            </w:r>
          </w:p>
        </w:tc>
        <w:tc>
          <w:tcPr>
            <w:tcW w:w="1182" w:type="dxa"/>
            <w:tcBorders>
              <w:top w:val="nil"/>
              <w:left w:val="nil"/>
              <w:bottom w:val="single" w:sz="4" w:space="0" w:color="auto"/>
              <w:right w:val="single" w:sz="4" w:space="0" w:color="auto"/>
            </w:tcBorders>
            <w:shd w:val="clear" w:color="000000" w:fill="FFFFFF"/>
            <w:noWrap/>
            <w:vAlign w:val="bottom"/>
            <w:hideMark/>
          </w:tcPr>
          <w:p w14:paraId="073850DE" w14:textId="2CCCBCEF" w:rsidR="00543241" w:rsidRPr="000D1437" w:rsidRDefault="00543241" w:rsidP="00543241">
            <w:pPr>
              <w:jc w:val="right"/>
              <w:rPr>
                <w:rFonts w:ascii="Times New Roman" w:hAnsi="Times New Roman"/>
                <w:sz w:val="14"/>
                <w:szCs w:val="14"/>
              </w:rPr>
            </w:pPr>
            <w:r w:rsidRPr="000D1437">
              <w:rPr>
                <w:sz w:val="14"/>
                <w:szCs w:val="14"/>
              </w:rPr>
              <w:t>NA</w:t>
            </w:r>
          </w:p>
        </w:tc>
        <w:tc>
          <w:tcPr>
            <w:tcW w:w="1181" w:type="dxa"/>
            <w:tcBorders>
              <w:top w:val="nil"/>
              <w:left w:val="nil"/>
              <w:bottom w:val="single" w:sz="4" w:space="0" w:color="auto"/>
              <w:right w:val="single" w:sz="4" w:space="0" w:color="auto"/>
            </w:tcBorders>
            <w:shd w:val="clear" w:color="000000" w:fill="FFFFFF"/>
            <w:noWrap/>
            <w:vAlign w:val="bottom"/>
            <w:hideMark/>
          </w:tcPr>
          <w:p w14:paraId="1682FE63" w14:textId="4578E20F" w:rsidR="00543241" w:rsidRPr="000D1437" w:rsidRDefault="00543241" w:rsidP="00543241">
            <w:pPr>
              <w:jc w:val="right"/>
              <w:rPr>
                <w:rFonts w:ascii="Times New Roman" w:hAnsi="Times New Roman"/>
                <w:sz w:val="14"/>
                <w:szCs w:val="14"/>
              </w:rPr>
            </w:pPr>
            <w:r w:rsidRPr="000D1437">
              <w:rPr>
                <w:sz w:val="14"/>
                <w:szCs w:val="14"/>
              </w:rPr>
              <w:t>NA</w:t>
            </w:r>
          </w:p>
        </w:tc>
        <w:tc>
          <w:tcPr>
            <w:tcW w:w="1181" w:type="dxa"/>
            <w:tcBorders>
              <w:top w:val="nil"/>
              <w:left w:val="nil"/>
              <w:bottom w:val="single" w:sz="4" w:space="0" w:color="auto"/>
              <w:right w:val="single" w:sz="4" w:space="0" w:color="auto"/>
            </w:tcBorders>
            <w:shd w:val="clear" w:color="000000" w:fill="FFFFFF"/>
            <w:vAlign w:val="bottom"/>
          </w:tcPr>
          <w:p w14:paraId="3A65D61C" w14:textId="49852CFE" w:rsidR="00543241" w:rsidRPr="000D1437" w:rsidRDefault="00543241" w:rsidP="00543241">
            <w:pPr>
              <w:jc w:val="right"/>
              <w:rPr>
                <w:rFonts w:ascii="Times New Roman" w:hAnsi="Times New Roman"/>
                <w:sz w:val="14"/>
                <w:szCs w:val="14"/>
              </w:rPr>
            </w:pPr>
            <w:r w:rsidRPr="000D1437">
              <w:rPr>
                <w:sz w:val="14"/>
                <w:szCs w:val="14"/>
              </w:rPr>
              <w:t>NA</w:t>
            </w:r>
          </w:p>
        </w:tc>
      </w:tr>
      <w:tr w:rsidR="00543241" w:rsidRPr="00364545" w14:paraId="476FFC36"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AB4A9DE" w14:textId="55DC8CB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167" w:type="dxa"/>
            <w:tcBorders>
              <w:top w:val="nil"/>
              <w:left w:val="nil"/>
              <w:bottom w:val="single" w:sz="4" w:space="0" w:color="auto"/>
              <w:right w:val="single" w:sz="4" w:space="0" w:color="auto"/>
            </w:tcBorders>
            <w:shd w:val="clear" w:color="000000" w:fill="FFFFFF"/>
            <w:noWrap/>
            <w:vAlign w:val="bottom"/>
            <w:hideMark/>
          </w:tcPr>
          <w:p w14:paraId="6FE57300" w14:textId="151BFA6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5079C088" w14:textId="6D62B52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69DC1338" w14:textId="7ECCBB0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3ADA482D" w14:textId="0F2F491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630FB159" w14:textId="2414D47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6C139CB7" w14:textId="4E26FD5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75F843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E2B7477" w14:textId="090F1AE8"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167" w:type="dxa"/>
            <w:tcBorders>
              <w:top w:val="nil"/>
              <w:left w:val="nil"/>
              <w:bottom w:val="single" w:sz="4" w:space="0" w:color="auto"/>
              <w:right w:val="single" w:sz="4" w:space="0" w:color="auto"/>
            </w:tcBorders>
            <w:shd w:val="clear" w:color="000000" w:fill="FFFFFF"/>
            <w:noWrap/>
            <w:vAlign w:val="bottom"/>
            <w:hideMark/>
          </w:tcPr>
          <w:p w14:paraId="541FD2B2" w14:textId="48D2E4D3" w:rsidR="00543241" w:rsidRPr="000D1437" w:rsidRDefault="00543241" w:rsidP="00543241">
            <w:pPr>
              <w:jc w:val="right"/>
              <w:rPr>
                <w:rFonts w:ascii="Times New Roman" w:hAnsi="Times New Roman"/>
                <w:sz w:val="14"/>
                <w:szCs w:val="14"/>
              </w:rPr>
            </w:pPr>
            <w:r w:rsidRPr="000D1437">
              <w:rPr>
                <w:sz w:val="14"/>
                <w:szCs w:val="14"/>
              </w:rPr>
              <w:t>2223,22</w:t>
            </w:r>
          </w:p>
        </w:tc>
        <w:tc>
          <w:tcPr>
            <w:tcW w:w="1167" w:type="dxa"/>
            <w:tcBorders>
              <w:top w:val="nil"/>
              <w:left w:val="nil"/>
              <w:bottom w:val="single" w:sz="4" w:space="0" w:color="auto"/>
              <w:right w:val="single" w:sz="4" w:space="0" w:color="auto"/>
            </w:tcBorders>
            <w:shd w:val="clear" w:color="000000" w:fill="FFFFFF"/>
            <w:noWrap/>
            <w:vAlign w:val="bottom"/>
            <w:hideMark/>
          </w:tcPr>
          <w:p w14:paraId="63E2CBDB" w14:textId="5DA15F26" w:rsidR="00543241" w:rsidRPr="000D1437" w:rsidRDefault="00543241" w:rsidP="00543241">
            <w:pPr>
              <w:jc w:val="right"/>
              <w:rPr>
                <w:rFonts w:ascii="Times New Roman" w:hAnsi="Times New Roman"/>
                <w:sz w:val="14"/>
                <w:szCs w:val="14"/>
              </w:rPr>
            </w:pPr>
            <w:r w:rsidRPr="000D1437">
              <w:rPr>
                <w:sz w:val="14"/>
                <w:szCs w:val="14"/>
              </w:rPr>
              <w:t>2095,27</w:t>
            </w:r>
          </w:p>
        </w:tc>
        <w:tc>
          <w:tcPr>
            <w:tcW w:w="1196" w:type="dxa"/>
            <w:tcBorders>
              <w:top w:val="nil"/>
              <w:left w:val="nil"/>
              <w:bottom w:val="single" w:sz="4" w:space="0" w:color="auto"/>
              <w:right w:val="single" w:sz="4" w:space="0" w:color="auto"/>
            </w:tcBorders>
            <w:shd w:val="clear" w:color="000000" w:fill="FFFFFF"/>
            <w:noWrap/>
            <w:vAlign w:val="bottom"/>
            <w:hideMark/>
          </w:tcPr>
          <w:p w14:paraId="0EB37E8F" w14:textId="12CC0F3F" w:rsidR="00543241" w:rsidRPr="000D1437" w:rsidRDefault="00543241" w:rsidP="00543241">
            <w:pPr>
              <w:jc w:val="right"/>
              <w:rPr>
                <w:rFonts w:ascii="Times New Roman" w:hAnsi="Times New Roman"/>
                <w:sz w:val="14"/>
                <w:szCs w:val="14"/>
              </w:rPr>
            </w:pPr>
            <w:r w:rsidRPr="000D1437">
              <w:rPr>
                <w:sz w:val="14"/>
                <w:szCs w:val="14"/>
              </w:rPr>
              <w:t>1891,33</w:t>
            </w:r>
          </w:p>
        </w:tc>
        <w:tc>
          <w:tcPr>
            <w:tcW w:w="1182" w:type="dxa"/>
            <w:tcBorders>
              <w:top w:val="nil"/>
              <w:left w:val="nil"/>
              <w:bottom w:val="single" w:sz="4" w:space="0" w:color="auto"/>
              <w:right w:val="single" w:sz="4" w:space="0" w:color="auto"/>
            </w:tcBorders>
            <w:shd w:val="clear" w:color="000000" w:fill="FFFFFF"/>
            <w:noWrap/>
            <w:vAlign w:val="bottom"/>
            <w:hideMark/>
          </w:tcPr>
          <w:p w14:paraId="170AD9F1" w14:textId="3971A094" w:rsidR="00543241" w:rsidRPr="000D1437" w:rsidRDefault="00543241" w:rsidP="00543241">
            <w:pPr>
              <w:jc w:val="right"/>
              <w:rPr>
                <w:rFonts w:ascii="Times New Roman" w:hAnsi="Times New Roman"/>
                <w:sz w:val="14"/>
                <w:szCs w:val="14"/>
              </w:rPr>
            </w:pPr>
            <w:r w:rsidRPr="000D1437">
              <w:rPr>
                <w:sz w:val="14"/>
                <w:szCs w:val="14"/>
              </w:rPr>
              <w:t>1757,61</w:t>
            </w:r>
          </w:p>
        </w:tc>
        <w:tc>
          <w:tcPr>
            <w:tcW w:w="1181" w:type="dxa"/>
            <w:tcBorders>
              <w:top w:val="nil"/>
              <w:left w:val="nil"/>
              <w:bottom w:val="single" w:sz="4" w:space="0" w:color="auto"/>
              <w:right w:val="single" w:sz="4" w:space="0" w:color="auto"/>
            </w:tcBorders>
            <w:shd w:val="clear" w:color="000000" w:fill="FFFFFF"/>
            <w:noWrap/>
            <w:vAlign w:val="bottom"/>
            <w:hideMark/>
          </w:tcPr>
          <w:p w14:paraId="1657A98D" w14:textId="572A2C8C" w:rsidR="00543241" w:rsidRPr="000D1437" w:rsidRDefault="00543241" w:rsidP="00543241">
            <w:pPr>
              <w:jc w:val="right"/>
              <w:rPr>
                <w:rFonts w:ascii="Times New Roman" w:hAnsi="Times New Roman"/>
                <w:sz w:val="14"/>
                <w:szCs w:val="14"/>
              </w:rPr>
            </w:pPr>
            <w:r w:rsidRPr="000D1437">
              <w:rPr>
                <w:sz w:val="14"/>
                <w:szCs w:val="14"/>
              </w:rPr>
              <w:t>1637,01</w:t>
            </w:r>
          </w:p>
        </w:tc>
        <w:tc>
          <w:tcPr>
            <w:tcW w:w="1181" w:type="dxa"/>
            <w:tcBorders>
              <w:top w:val="nil"/>
              <w:left w:val="nil"/>
              <w:bottom w:val="single" w:sz="4" w:space="0" w:color="auto"/>
              <w:right w:val="single" w:sz="4" w:space="0" w:color="auto"/>
            </w:tcBorders>
            <w:shd w:val="clear" w:color="000000" w:fill="FFFFFF"/>
            <w:vAlign w:val="bottom"/>
          </w:tcPr>
          <w:p w14:paraId="3C104623" w14:textId="07FBEE73" w:rsidR="00543241" w:rsidRPr="000D1437" w:rsidRDefault="00543241" w:rsidP="00543241">
            <w:pPr>
              <w:jc w:val="right"/>
              <w:rPr>
                <w:rFonts w:ascii="Times New Roman" w:hAnsi="Times New Roman"/>
                <w:sz w:val="14"/>
                <w:szCs w:val="14"/>
              </w:rPr>
            </w:pPr>
            <w:r w:rsidRPr="000D1437">
              <w:rPr>
                <w:sz w:val="14"/>
                <w:szCs w:val="14"/>
              </w:rPr>
              <w:t>1704,04</w:t>
            </w:r>
          </w:p>
        </w:tc>
      </w:tr>
      <w:tr w:rsidR="00543241" w:rsidRPr="00364545" w14:paraId="6F0ACA09"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660AB45" w14:textId="2387E244"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167" w:type="dxa"/>
            <w:tcBorders>
              <w:top w:val="nil"/>
              <w:left w:val="nil"/>
              <w:bottom w:val="single" w:sz="4" w:space="0" w:color="auto"/>
              <w:right w:val="single" w:sz="4" w:space="0" w:color="auto"/>
            </w:tcBorders>
            <w:shd w:val="clear" w:color="000000" w:fill="FFFFFF"/>
            <w:noWrap/>
            <w:vAlign w:val="bottom"/>
            <w:hideMark/>
          </w:tcPr>
          <w:p w14:paraId="459735C1" w14:textId="66F7615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54F61616" w14:textId="3B5EC70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7FBA362F" w14:textId="3E05879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25BDB45E" w14:textId="752FB35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79BD4765" w14:textId="41FF609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6D68F84E" w14:textId="7D28D71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7867B43F"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BF5A54C" w14:textId="2F001615"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167" w:type="dxa"/>
            <w:tcBorders>
              <w:top w:val="nil"/>
              <w:left w:val="nil"/>
              <w:bottom w:val="single" w:sz="4" w:space="0" w:color="auto"/>
              <w:right w:val="single" w:sz="4" w:space="0" w:color="auto"/>
            </w:tcBorders>
            <w:shd w:val="clear" w:color="000000" w:fill="FFFFFF"/>
            <w:noWrap/>
            <w:vAlign w:val="bottom"/>
            <w:hideMark/>
          </w:tcPr>
          <w:p w14:paraId="69D308FB" w14:textId="22D1936F" w:rsidR="00543241" w:rsidRPr="000D1437" w:rsidRDefault="00543241" w:rsidP="00543241">
            <w:pPr>
              <w:jc w:val="right"/>
              <w:rPr>
                <w:rFonts w:ascii="Times New Roman" w:hAnsi="Times New Roman"/>
                <w:sz w:val="14"/>
                <w:szCs w:val="14"/>
              </w:rPr>
            </w:pPr>
            <w:r w:rsidRPr="000D1437">
              <w:rPr>
                <w:sz w:val="14"/>
                <w:szCs w:val="14"/>
              </w:rPr>
              <w:t>NO</w:t>
            </w:r>
          </w:p>
        </w:tc>
        <w:tc>
          <w:tcPr>
            <w:tcW w:w="1167" w:type="dxa"/>
            <w:tcBorders>
              <w:top w:val="nil"/>
              <w:left w:val="nil"/>
              <w:bottom w:val="single" w:sz="4" w:space="0" w:color="auto"/>
              <w:right w:val="single" w:sz="4" w:space="0" w:color="auto"/>
            </w:tcBorders>
            <w:shd w:val="clear" w:color="000000" w:fill="FFFFFF"/>
            <w:noWrap/>
            <w:vAlign w:val="bottom"/>
            <w:hideMark/>
          </w:tcPr>
          <w:p w14:paraId="600C841C" w14:textId="5D11D4C7" w:rsidR="00543241" w:rsidRPr="000D1437" w:rsidRDefault="00543241" w:rsidP="00543241">
            <w:pPr>
              <w:jc w:val="right"/>
              <w:rPr>
                <w:rFonts w:ascii="Times New Roman" w:hAnsi="Times New Roman"/>
                <w:sz w:val="14"/>
                <w:szCs w:val="14"/>
              </w:rPr>
            </w:pPr>
            <w:r w:rsidRPr="000D1437">
              <w:rPr>
                <w:sz w:val="14"/>
                <w:szCs w:val="14"/>
              </w:rPr>
              <w:t>NO</w:t>
            </w:r>
          </w:p>
        </w:tc>
        <w:tc>
          <w:tcPr>
            <w:tcW w:w="1196" w:type="dxa"/>
            <w:tcBorders>
              <w:top w:val="nil"/>
              <w:left w:val="nil"/>
              <w:bottom w:val="single" w:sz="4" w:space="0" w:color="auto"/>
              <w:right w:val="single" w:sz="4" w:space="0" w:color="auto"/>
            </w:tcBorders>
            <w:shd w:val="clear" w:color="000000" w:fill="FFFFFF"/>
            <w:noWrap/>
            <w:vAlign w:val="bottom"/>
            <w:hideMark/>
          </w:tcPr>
          <w:p w14:paraId="5B351AD5" w14:textId="101CACC3" w:rsidR="00543241" w:rsidRPr="000D1437" w:rsidRDefault="00543241" w:rsidP="00543241">
            <w:pPr>
              <w:jc w:val="right"/>
              <w:rPr>
                <w:rFonts w:ascii="Times New Roman" w:hAnsi="Times New Roman"/>
                <w:sz w:val="14"/>
                <w:szCs w:val="14"/>
              </w:rPr>
            </w:pPr>
            <w:r w:rsidRPr="000D1437">
              <w:rPr>
                <w:sz w:val="14"/>
                <w:szCs w:val="14"/>
              </w:rPr>
              <w:t>NO</w:t>
            </w:r>
          </w:p>
        </w:tc>
        <w:tc>
          <w:tcPr>
            <w:tcW w:w="1182" w:type="dxa"/>
            <w:tcBorders>
              <w:top w:val="nil"/>
              <w:left w:val="nil"/>
              <w:bottom w:val="single" w:sz="4" w:space="0" w:color="auto"/>
              <w:right w:val="single" w:sz="4" w:space="0" w:color="auto"/>
            </w:tcBorders>
            <w:shd w:val="clear" w:color="000000" w:fill="FFFFFF"/>
            <w:noWrap/>
            <w:vAlign w:val="bottom"/>
            <w:hideMark/>
          </w:tcPr>
          <w:p w14:paraId="1F535677" w14:textId="371C7FD8" w:rsidR="00543241" w:rsidRPr="000D1437" w:rsidRDefault="00543241" w:rsidP="00543241">
            <w:pPr>
              <w:jc w:val="right"/>
              <w:rPr>
                <w:rFonts w:ascii="Times New Roman" w:hAnsi="Times New Roman"/>
                <w:sz w:val="14"/>
                <w:szCs w:val="14"/>
              </w:rPr>
            </w:pPr>
            <w:r w:rsidRPr="000D1437">
              <w:rPr>
                <w:sz w:val="14"/>
                <w:szCs w:val="14"/>
              </w:rPr>
              <w:t>NO</w:t>
            </w:r>
          </w:p>
        </w:tc>
        <w:tc>
          <w:tcPr>
            <w:tcW w:w="1181" w:type="dxa"/>
            <w:tcBorders>
              <w:top w:val="nil"/>
              <w:left w:val="nil"/>
              <w:bottom w:val="single" w:sz="4" w:space="0" w:color="auto"/>
              <w:right w:val="single" w:sz="4" w:space="0" w:color="auto"/>
            </w:tcBorders>
            <w:shd w:val="clear" w:color="000000" w:fill="FFFFFF"/>
            <w:noWrap/>
            <w:vAlign w:val="bottom"/>
            <w:hideMark/>
          </w:tcPr>
          <w:p w14:paraId="5B28DB16" w14:textId="5B61547D" w:rsidR="00543241" w:rsidRPr="000D1437" w:rsidRDefault="00543241" w:rsidP="00543241">
            <w:pPr>
              <w:jc w:val="right"/>
              <w:rPr>
                <w:rFonts w:ascii="Times New Roman" w:hAnsi="Times New Roman"/>
                <w:sz w:val="14"/>
                <w:szCs w:val="14"/>
              </w:rPr>
            </w:pPr>
            <w:r w:rsidRPr="000D1437">
              <w:rPr>
                <w:sz w:val="14"/>
                <w:szCs w:val="14"/>
              </w:rPr>
              <w:t>NO</w:t>
            </w:r>
          </w:p>
        </w:tc>
        <w:tc>
          <w:tcPr>
            <w:tcW w:w="1181" w:type="dxa"/>
            <w:tcBorders>
              <w:top w:val="nil"/>
              <w:left w:val="nil"/>
              <w:bottom w:val="single" w:sz="4" w:space="0" w:color="auto"/>
              <w:right w:val="single" w:sz="4" w:space="0" w:color="auto"/>
            </w:tcBorders>
            <w:shd w:val="clear" w:color="000000" w:fill="FFFFFF"/>
            <w:vAlign w:val="bottom"/>
          </w:tcPr>
          <w:p w14:paraId="4969BC40" w14:textId="3FF32324"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7A0142BC"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D7ABC4A" w14:textId="315BF321"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167" w:type="dxa"/>
            <w:tcBorders>
              <w:top w:val="nil"/>
              <w:left w:val="nil"/>
              <w:bottom w:val="single" w:sz="4" w:space="0" w:color="auto"/>
              <w:right w:val="single" w:sz="4" w:space="0" w:color="auto"/>
            </w:tcBorders>
            <w:shd w:val="clear" w:color="000000" w:fill="CCFFFF"/>
            <w:noWrap/>
            <w:vAlign w:val="bottom"/>
            <w:hideMark/>
          </w:tcPr>
          <w:p w14:paraId="28962FD6" w14:textId="6D97ECD9" w:rsidR="00543241" w:rsidRPr="000D1437" w:rsidRDefault="00543241" w:rsidP="00543241">
            <w:pPr>
              <w:jc w:val="right"/>
              <w:rPr>
                <w:rFonts w:ascii="Times New Roman" w:hAnsi="Times New Roman"/>
                <w:sz w:val="14"/>
                <w:szCs w:val="14"/>
              </w:rPr>
            </w:pPr>
            <w:r w:rsidRPr="000D1437">
              <w:rPr>
                <w:sz w:val="14"/>
                <w:szCs w:val="14"/>
              </w:rPr>
              <w:t>NO</w:t>
            </w:r>
          </w:p>
        </w:tc>
        <w:tc>
          <w:tcPr>
            <w:tcW w:w="1167" w:type="dxa"/>
            <w:tcBorders>
              <w:top w:val="nil"/>
              <w:left w:val="nil"/>
              <w:bottom w:val="single" w:sz="4" w:space="0" w:color="auto"/>
              <w:right w:val="single" w:sz="4" w:space="0" w:color="auto"/>
            </w:tcBorders>
            <w:shd w:val="clear" w:color="000000" w:fill="CCFFFF"/>
            <w:noWrap/>
            <w:vAlign w:val="bottom"/>
            <w:hideMark/>
          </w:tcPr>
          <w:p w14:paraId="24B5ED20" w14:textId="786639B0" w:rsidR="00543241" w:rsidRPr="000D1437" w:rsidRDefault="00543241" w:rsidP="00543241">
            <w:pPr>
              <w:jc w:val="right"/>
              <w:rPr>
                <w:rFonts w:ascii="Times New Roman" w:hAnsi="Times New Roman"/>
                <w:sz w:val="14"/>
                <w:szCs w:val="14"/>
              </w:rPr>
            </w:pPr>
            <w:r w:rsidRPr="000D1437">
              <w:rPr>
                <w:sz w:val="14"/>
                <w:szCs w:val="14"/>
              </w:rPr>
              <w:t>NO</w:t>
            </w:r>
          </w:p>
        </w:tc>
        <w:tc>
          <w:tcPr>
            <w:tcW w:w="1196" w:type="dxa"/>
            <w:tcBorders>
              <w:top w:val="nil"/>
              <w:left w:val="nil"/>
              <w:bottom w:val="single" w:sz="4" w:space="0" w:color="auto"/>
              <w:right w:val="single" w:sz="4" w:space="0" w:color="auto"/>
            </w:tcBorders>
            <w:shd w:val="clear" w:color="000000" w:fill="CCFFFF"/>
            <w:noWrap/>
            <w:vAlign w:val="bottom"/>
            <w:hideMark/>
          </w:tcPr>
          <w:p w14:paraId="7256A9EE" w14:textId="04C014B2" w:rsidR="00543241" w:rsidRPr="000D1437" w:rsidRDefault="00543241" w:rsidP="00543241">
            <w:pPr>
              <w:jc w:val="right"/>
              <w:rPr>
                <w:rFonts w:ascii="Times New Roman" w:hAnsi="Times New Roman"/>
                <w:sz w:val="14"/>
                <w:szCs w:val="14"/>
              </w:rPr>
            </w:pPr>
            <w:r w:rsidRPr="000D1437">
              <w:rPr>
                <w:sz w:val="14"/>
                <w:szCs w:val="14"/>
              </w:rPr>
              <w:t>NO</w:t>
            </w:r>
          </w:p>
        </w:tc>
        <w:tc>
          <w:tcPr>
            <w:tcW w:w="1182" w:type="dxa"/>
            <w:tcBorders>
              <w:top w:val="nil"/>
              <w:left w:val="nil"/>
              <w:bottom w:val="single" w:sz="4" w:space="0" w:color="auto"/>
              <w:right w:val="single" w:sz="4" w:space="0" w:color="auto"/>
            </w:tcBorders>
            <w:shd w:val="clear" w:color="000000" w:fill="CCFFFF"/>
            <w:noWrap/>
            <w:vAlign w:val="bottom"/>
            <w:hideMark/>
          </w:tcPr>
          <w:p w14:paraId="01C21057" w14:textId="57E6989A" w:rsidR="00543241" w:rsidRPr="000D1437" w:rsidRDefault="00543241" w:rsidP="00543241">
            <w:pPr>
              <w:jc w:val="right"/>
              <w:rPr>
                <w:rFonts w:ascii="Times New Roman" w:hAnsi="Times New Roman"/>
                <w:sz w:val="14"/>
                <w:szCs w:val="14"/>
              </w:rPr>
            </w:pPr>
            <w:r w:rsidRPr="000D1437">
              <w:rPr>
                <w:sz w:val="14"/>
                <w:szCs w:val="14"/>
              </w:rPr>
              <w:t>NO</w:t>
            </w:r>
          </w:p>
        </w:tc>
        <w:tc>
          <w:tcPr>
            <w:tcW w:w="1181" w:type="dxa"/>
            <w:tcBorders>
              <w:top w:val="nil"/>
              <w:left w:val="nil"/>
              <w:bottom w:val="single" w:sz="4" w:space="0" w:color="auto"/>
              <w:right w:val="single" w:sz="4" w:space="0" w:color="auto"/>
            </w:tcBorders>
            <w:shd w:val="clear" w:color="000000" w:fill="CCFFFF"/>
            <w:noWrap/>
            <w:vAlign w:val="bottom"/>
            <w:hideMark/>
          </w:tcPr>
          <w:p w14:paraId="0CF99D45" w14:textId="44791EAB" w:rsidR="00543241" w:rsidRPr="000D1437" w:rsidRDefault="00543241" w:rsidP="00543241">
            <w:pPr>
              <w:jc w:val="right"/>
              <w:rPr>
                <w:rFonts w:ascii="Times New Roman" w:hAnsi="Times New Roman"/>
                <w:sz w:val="14"/>
                <w:szCs w:val="14"/>
              </w:rPr>
            </w:pPr>
            <w:r w:rsidRPr="000D1437">
              <w:rPr>
                <w:sz w:val="14"/>
                <w:szCs w:val="14"/>
              </w:rPr>
              <w:t>NO</w:t>
            </w:r>
          </w:p>
        </w:tc>
        <w:tc>
          <w:tcPr>
            <w:tcW w:w="1181" w:type="dxa"/>
            <w:tcBorders>
              <w:top w:val="nil"/>
              <w:left w:val="nil"/>
              <w:bottom w:val="single" w:sz="4" w:space="0" w:color="auto"/>
              <w:right w:val="single" w:sz="4" w:space="0" w:color="auto"/>
            </w:tcBorders>
            <w:shd w:val="clear" w:color="000000" w:fill="CCFFFF"/>
            <w:vAlign w:val="bottom"/>
          </w:tcPr>
          <w:p w14:paraId="5F13145E" w14:textId="759A4DF9"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114B5780"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D6A2D18"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Memo items:</w:t>
            </w:r>
          </w:p>
        </w:tc>
        <w:tc>
          <w:tcPr>
            <w:tcW w:w="1167" w:type="dxa"/>
            <w:tcBorders>
              <w:top w:val="nil"/>
              <w:left w:val="nil"/>
              <w:bottom w:val="single" w:sz="4" w:space="0" w:color="auto"/>
              <w:right w:val="single" w:sz="4" w:space="0" w:color="auto"/>
            </w:tcBorders>
            <w:shd w:val="clear" w:color="000000" w:fill="969696"/>
            <w:noWrap/>
            <w:vAlign w:val="bottom"/>
            <w:hideMark/>
          </w:tcPr>
          <w:p w14:paraId="0D50C2DF" w14:textId="3BAE511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969696"/>
            <w:noWrap/>
            <w:vAlign w:val="bottom"/>
            <w:hideMark/>
          </w:tcPr>
          <w:p w14:paraId="6E508D9F" w14:textId="29693D6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969696"/>
            <w:noWrap/>
            <w:vAlign w:val="bottom"/>
            <w:hideMark/>
          </w:tcPr>
          <w:p w14:paraId="2355F7D6" w14:textId="4565DA7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969696"/>
            <w:noWrap/>
            <w:vAlign w:val="bottom"/>
            <w:hideMark/>
          </w:tcPr>
          <w:p w14:paraId="341195F3" w14:textId="6F7B8BC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969696"/>
            <w:noWrap/>
            <w:vAlign w:val="bottom"/>
            <w:hideMark/>
          </w:tcPr>
          <w:p w14:paraId="21B25083" w14:textId="71AD5A9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969696"/>
            <w:vAlign w:val="bottom"/>
          </w:tcPr>
          <w:p w14:paraId="50C78522" w14:textId="2279D0F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6471A173"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2687D6E"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International bunkers</w:t>
            </w:r>
          </w:p>
        </w:tc>
        <w:tc>
          <w:tcPr>
            <w:tcW w:w="1167" w:type="dxa"/>
            <w:tcBorders>
              <w:top w:val="nil"/>
              <w:left w:val="nil"/>
              <w:bottom w:val="single" w:sz="4" w:space="0" w:color="auto"/>
              <w:right w:val="single" w:sz="4" w:space="0" w:color="auto"/>
            </w:tcBorders>
            <w:shd w:val="clear" w:color="000000" w:fill="CCFFFF"/>
            <w:noWrap/>
            <w:vAlign w:val="bottom"/>
            <w:hideMark/>
          </w:tcPr>
          <w:p w14:paraId="4DA093B7" w14:textId="36515EEE" w:rsidR="00543241" w:rsidRPr="000D1437" w:rsidRDefault="00543241" w:rsidP="00543241">
            <w:pPr>
              <w:jc w:val="right"/>
              <w:rPr>
                <w:rFonts w:ascii="Times New Roman" w:hAnsi="Times New Roman"/>
                <w:sz w:val="14"/>
                <w:szCs w:val="14"/>
              </w:rPr>
            </w:pPr>
            <w:r w:rsidRPr="000D1437">
              <w:rPr>
                <w:sz w:val="14"/>
                <w:szCs w:val="14"/>
              </w:rPr>
              <w:t>17748,03</w:t>
            </w:r>
          </w:p>
        </w:tc>
        <w:tc>
          <w:tcPr>
            <w:tcW w:w="1167" w:type="dxa"/>
            <w:tcBorders>
              <w:top w:val="nil"/>
              <w:left w:val="nil"/>
              <w:bottom w:val="single" w:sz="4" w:space="0" w:color="auto"/>
              <w:right w:val="single" w:sz="4" w:space="0" w:color="auto"/>
            </w:tcBorders>
            <w:shd w:val="clear" w:color="000000" w:fill="CCFFFF"/>
            <w:noWrap/>
            <w:vAlign w:val="bottom"/>
            <w:hideMark/>
          </w:tcPr>
          <w:p w14:paraId="244FBA82" w14:textId="6AB39ED5" w:rsidR="00543241" w:rsidRPr="000D1437" w:rsidRDefault="00543241" w:rsidP="00543241">
            <w:pPr>
              <w:jc w:val="right"/>
              <w:rPr>
                <w:rFonts w:ascii="Times New Roman" w:hAnsi="Times New Roman"/>
                <w:sz w:val="14"/>
                <w:szCs w:val="14"/>
              </w:rPr>
            </w:pPr>
            <w:r w:rsidRPr="000D1437">
              <w:rPr>
                <w:sz w:val="14"/>
                <w:szCs w:val="14"/>
              </w:rPr>
              <w:t>18750,00</w:t>
            </w:r>
          </w:p>
        </w:tc>
        <w:tc>
          <w:tcPr>
            <w:tcW w:w="1196" w:type="dxa"/>
            <w:tcBorders>
              <w:top w:val="nil"/>
              <w:left w:val="nil"/>
              <w:bottom w:val="single" w:sz="4" w:space="0" w:color="auto"/>
              <w:right w:val="single" w:sz="4" w:space="0" w:color="auto"/>
            </w:tcBorders>
            <w:shd w:val="clear" w:color="000000" w:fill="CCFFFF"/>
            <w:noWrap/>
            <w:vAlign w:val="bottom"/>
            <w:hideMark/>
          </w:tcPr>
          <w:p w14:paraId="21B2DDB4" w14:textId="07E1516F" w:rsidR="00543241" w:rsidRPr="000D1437" w:rsidRDefault="00543241" w:rsidP="00543241">
            <w:pPr>
              <w:jc w:val="right"/>
              <w:rPr>
                <w:rFonts w:ascii="Times New Roman" w:hAnsi="Times New Roman"/>
                <w:sz w:val="14"/>
                <w:szCs w:val="14"/>
              </w:rPr>
            </w:pPr>
            <w:r w:rsidRPr="000D1437">
              <w:rPr>
                <w:sz w:val="14"/>
                <w:szCs w:val="14"/>
              </w:rPr>
              <w:t>19788,81</w:t>
            </w:r>
          </w:p>
        </w:tc>
        <w:tc>
          <w:tcPr>
            <w:tcW w:w="1182" w:type="dxa"/>
            <w:tcBorders>
              <w:top w:val="nil"/>
              <w:left w:val="nil"/>
              <w:bottom w:val="single" w:sz="4" w:space="0" w:color="auto"/>
              <w:right w:val="single" w:sz="4" w:space="0" w:color="auto"/>
            </w:tcBorders>
            <w:shd w:val="clear" w:color="000000" w:fill="CCFFFF"/>
            <w:noWrap/>
            <w:vAlign w:val="bottom"/>
            <w:hideMark/>
          </w:tcPr>
          <w:p w14:paraId="65EFF903" w14:textId="69FDD30F" w:rsidR="00543241" w:rsidRPr="000D1437" w:rsidRDefault="00543241" w:rsidP="00543241">
            <w:pPr>
              <w:jc w:val="right"/>
              <w:rPr>
                <w:rFonts w:ascii="Times New Roman" w:hAnsi="Times New Roman"/>
                <w:sz w:val="14"/>
                <w:szCs w:val="14"/>
              </w:rPr>
            </w:pPr>
            <w:r w:rsidRPr="000D1437">
              <w:rPr>
                <w:sz w:val="14"/>
                <w:szCs w:val="14"/>
              </w:rPr>
              <w:t>21371,55</w:t>
            </w:r>
          </w:p>
        </w:tc>
        <w:tc>
          <w:tcPr>
            <w:tcW w:w="1181" w:type="dxa"/>
            <w:tcBorders>
              <w:top w:val="nil"/>
              <w:left w:val="nil"/>
              <w:bottom w:val="single" w:sz="4" w:space="0" w:color="auto"/>
              <w:right w:val="single" w:sz="4" w:space="0" w:color="auto"/>
            </w:tcBorders>
            <w:shd w:val="clear" w:color="000000" w:fill="CCFFFF"/>
            <w:noWrap/>
            <w:vAlign w:val="bottom"/>
            <w:hideMark/>
          </w:tcPr>
          <w:p w14:paraId="4230D1E4" w14:textId="4996C815" w:rsidR="00543241" w:rsidRPr="000D1437" w:rsidRDefault="00543241" w:rsidP="00543241">
            <w:pPr>
              <w:jc w:val="right"/>
              <w:rPr>
                <w:rFonts w:ascii="Times New Roman" w:hAnsi="Times New Roman"/>
                <w:sz w:val="14"/>
                <w:szCs w:val="14"/>
              </w:rPr>
            </w:pPr>
            <w:r w:rsidRPr="000D1437">
              <w:rPr>
                <w:sz w:val="14"/>
                <w:szCs w:val="14"/>
              </w:rPr>
              <w:t>22795,37</w:t>
            </w:r>
          </w:p>
        </w:tc>
        <w:tc>
          <w:tcPr>
            <w:tcW w:w="1181" w:type="dxa"/>
            <w:tcBorders>
              <w:top w:val="nil"/>
              <w:left w:val="nil"/>
              <w:bottom w:val="single" w:sz="4" w:space="0" w:color="auto"/>
              <w:right w:val="single" w:sz="4" w:space="0" w:color="auto"/>
            </w:tcBorders>
            <w:shd w:val="clear" w:color="000000" w:fill="CCFFFF"/>
            <w:vAlign w:val="bottom"/>
          </w:tcPr>
          <w:p w14:paraId="65F0DD96" w14:textId="38869B1B" w:rsidR="00543241" w:rsidRPr="000D1437" w:rsidRDefault="00543241" w:rsidP="00543241">
            <w:pPr>
              <w:jc w:val="right"/>
              <w:rPr>
                <w:rFonts w:ascii="Times New Roman" w:hAnsi="Times New Roman"/>
                <w:sz w:val="14"/>
                <w:szCs w:val="14"/>
              </w:rPr>
            </w:pPr>
            <w:r w:rsidRPr="000D1437">
              <w:rPr>
                <w:sz w:val="14"/>
                <w:szCs w:val="14"/>
              </w:rPr>
              <w:t>23595,82</w:t>
            </w:r>
          </w:p>
        </w:tc>
      </w:tr>
      <w:tr w:rsidR="00543241" w:rsidRPr="00364545" w14:paraId="36596E2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64BB06F"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Aviation</w:t>
            </w:r>
          </w:p>
        </w:tc>
        <w:tc>
          <w:tcPr>
            <w:tcW w:w="1167" w:type="dxa"/>
            <w:tcBorders>
              <w:top w:val="nil"/>
              <w:left w:val="nil"/>
              <w:bottom w:val="single" w:sz="4" w:space="0" w:color="auto"/>
              <w:right w:val="single" w:sz="4" w:space="0" w:color="auto"/>
            </w:tcBorders>
            <w:shd w:val="clear" w:color="000000" w:fill="FFFFFF"/>
            <w:noWrap/>
            <w:vAlign w:val="bottom"/>
            <w:hideMark/>
          </w:tcPr>
          <w:p w14:paraId="50BC9599" w14:textId="1EF92D9B" w:rsidR="00543241" w:rsidRPr="000D1437" w:rsidRDefault="00543241" w:rsidP="00543241">
            <w:pPr>
              <w:jc w:val="right"/>
              <w:rPr>
                <w:rFonts w:ascii="Times New Roman" w:hAnsi="Times New Roman"/>
                <w:sz w:val="14"/>
                <w:szCs w:val="14"/>
              </w:rPr>
            </w:pPr>
            <w:r w:rsidRPr="000D1437">
              <w:rPr>
                <w:sz w:val="14"/>
                <w:szCs w:val="14"/>
              </w:rPr>
              <w:t>10620,90</w:t>
            </w:r>
          </w:p>
        </w:tc>
        <w:tc>
          <w:tcPr>
            <w:tcW w:w="1167" w:type="dxa"/>
            <w:tcBorders>
              <w:top w:val="nil"/>
              <w:left w:val="nil"/>
              <w:bottom w:val="single" w:sz="4" w:space="0" w:color="auto"/>
              <w:right w:val="single" w:sz="4" w:space="0" w:color="auto"/>
            </w:tcBorders>
            <w:shd w:val="clear" w:color="000000" w:fill="FFFFFF"/>
            <w:noWrap/>
            <w:vAlign w:val="bottom"/>
            <w:hideMark/>
          </w:tcPr>
          <w:p w14:paraId="6DC3F169" w14:textId="58576222" w:rsidR="00543241" w:rsidRPr="000D1437" w:rsidRDefault="00543241" w:rsidP="00543241">
            <w:pPr>
              <w:jc w:val="right"/>
              <w:rPr>
                <w:rFonts w:ascii="Times New Roman" w:hAnsi="Times New Roman"/>
                <w:sz w:val="14"/>
                <w:szCs w:val="14"/>
              </w:rPr>
            </w:pPr>
            <w:r w:rsidRPr="000D1437">
              <w:rPr>
                <w:sz w:val="14"/>
                <w:szCs w:val="14"/>
              </w:rPr>
              <w:t>11265,45</w:t>
            </w:r>
          </w:p>
        </w:tc>
        <w:tc>
          <w:tcPr>
            <w:tcW w:w="1196" w:type="dxa"/>
            <w:tcBorders>
              <w:top w:val="nil"/>
              <w:left w:val="nil"/>
              <w:bottom w:val="single" w:sz="4" w:space="0" w:color="auto"/>
              <w:right w:val="single" w:sz="4" w:space="0" w:color="auto"/>
            </w:tcBorders>
            <w:shd w:val="clear" w:color="000000" w:fill="FFFFFF"/>
            <w:noWrap/>
            <w:vAlign w:val="bottom"/>
            <w:hideMark/>
          </w:tcPr>
          <w:p w14:paraId="11113964" w14:textId="2B5C8F7D" w:rsidR="00543241" w:rsidRPr="000D1437" w:rsidRDefault="00543241" w:rsidP="00543241">
            <w:pPr>
              <w:jc w:val="right"/>
              <w:rPr>
                <w:rFonts w:ascii="Times New Roman" w:hAnsi="Times New Roman"/>
                <w:sz w:val="14"/>
                <w:szCs w:val="14"/>
              </w:rPr>
            </w:pPr>
            <w:r w:rsidRPr="000D1437">
              <w:rPr>
                <w:sz w:val="14"/>
                <w:szCs w:val="14"/>
              </w:rPr>
              <w:t>11577,46</w:t>
            </w:r>
          </w:p>
        </w:tc>
        <w:tc>
          <w:tcPr>
            <w:tcW w:w="1182" w:type="dxa"/>
            <w:tcBorders>
              <w:top w:val="nil"/>
              <w:left w:val="nil"/>
              <w:bottom w:val="single" w:sz="4" w:space="0" w:color="auto"/>
              <w:right w:val="single" w:sz="4" w:space="0" w:color="auto"/>
            </w:tcBorders>
            <w:shd w:val="clear" w:color="000000" w:fill="FFFFFF"/>
            <w:noWrap/>
            <w:vAlign w:val="bottom"/>
            <w:hideMark/>
          </w:tcPr>
          <w:p w14:paraId="5CD368B3" w14:textId="18F97FC9" w:rsidR="00543241" w:rsidRPr="000D1437" w:rsidRDefault="00543241" w:rsidP="00543241">
            <w:pPr>
              <w:jc w:val="right"/>
              <w:rPr>
                <w:rFonts w:ascii="Times New Roman" w:hAnsi="Times New Roman"/>
                <w:sz w:val="14"/>
                <w:szCs w:val="14"/>
              </w:rPr>
            </w:pPr>
            <w:r w:rsidRPr="000D1437">
              <w:rPr>
                <w:sz w:val="14"/>
                <w:szCs w:val="14"/>
              </w:rPr>
              <w:t>12311,63</w:t>
            </w:r>
          </w:p>
        </w:tc>
        <w:tc>
          <w:tcPr>
            <w:tcW w:w="1181" w:type="dxa"/>
            <w:tcBorders>
              <w:top w:val="nil"/>
              <w:left w:val="nil"/>
              <w:bottom w:val="single" w:sz="4" w:space="0" w:color="auto"/>
              <w:right w:val="single" w:sz="4" w:space="0" w:color="auto"/>
            </w:tcBorders>
            <w:shd w:val="clear" w:color="000000" w:fill="FFFFFF"/>
            <w:noWrap/>
            <w:vAlign w:val="bottom"/>
            <w:hideMark/>
          </w:tcPr>
          <w:p w14:paraId="35647DC9" w14:textId="36A7FF89" w:rsidR="00543241" w:rsidRPr="000D1437" w:rsidRDefault="00543241" w:rsidP="00543241">
            <w:pPr>
              <w:jc w:val="right"/>
              <w:rPr>
                <w:rFonts w:ascii="Times New Roman" w:hAnsi="Times New Roman"/>
                <w:sz w:val="14"/>
                <w:szCs w:val="14"/>
              </w:rPr>
            </w:pPr>
            <w:r w:rsidRPr="000D1437">
              <w:rPr>
                <w:sz w:val="14"/>
                <w:szCs w:val="14"/>
              </w:rPr>
              <w:t>13634,20</w:t>
            </w:r>
          </w:p>
        </w:tc>
        <w:tc>
          <w:tcPr>
            <w:tcW w:w="1181" w:type="dxa"/>
            <w:tcBorders>
              <w:top w:val="nil"/>
              <w:left w:val="nil"/>
              <w:bottom w:val="single" w:sz="4" w:space="0" w:color="auto"/>
              <w:right w:val="single" w:sz="4" w:space="0" w:color="auto"/>
            </w:tcBorders>
            <w:shd w:val="clear" w:color="000000" w:fill="FFFFFF"/>
            <w:vAlign w:val="bottom"/>
          </w:tcPr>
          <w:p w14:paraId="6B3A4AEE" w14:textId="6603097A" w:rsidR="00543241" w:rsidRPr="000D1437" w:rsidRDefault="00543241" w:rsidP="00543241">
            <w:pPr>
              <w:jc w:val="right"/>
              <w:rPr>
                <w:rFonts w:ascii="Times New Roman" w:hAnsi="Times New Roman"/>
                <w:sz w:val="14"/>
                <w:szCs w:val="14"/>
              </w:rPr>
            </w:pPr>
            <w:r w:rsidRPr="000D1437">
              <w:rPr>
                <w:sz w:val="14"/>
                <w:szCs w:val="14"/>
              </w:rPr>
              <w:t>14126,81</w:t>
            </w:r>
          </w:p>
        </w:tc>
      </w:tr>
      <w:tr w:rsidR="00543241" w:rsidRPr="00364545" w14:paraId="6C74539F"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FE43C11"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Navigation</w:t>
            </w:r>
          </w:p>
        </w:tc>
        <w:tc>
          <w:tcPr>
            <w:tcW w:w="1167" w:type="dxa"/>
            <w:tcBorders>
              <w:top w:val="nil"/>
              <w:left w:val="nil"/>
              <w:bottom w:val="single" w:sz="4" w:space="0" w:color="auto"/>
              <w:right w:val="single" w:sz="4" w:space="0" w:color="auto"/>
            </w:tcBorders>
            <w:shd w:val="clear" w:color="000000" w:fill="FFFFFF"/>
            <w:noWrap/>
            <w:vAlign w:val="bottom"/>
            <w:hideMark/>
          </w:tcPr>
          <w:p w14:paraId="11E126DB" w14:textId="1D8F7DF1" w:rsidR="00543241" w:rsidRPr="000D1437" w:rsidRDefault="00543241" w:rsidP="00543241">
            <w:pPr>
              <w:jc w:val="right"/>
              <w:rPr>
                <w:rFonts w:ascii="Times New Roman" w:hAnsi="Times New Roman"/>
                <w:sz w:val="14"/>
                <w:szCs w:val="14"/>
              </w:rPr>
            </w:pPr>
            <w:r w:rsidRPr="000D1437">
              <w:rPr>
                <w:sz w:val="14"/>
                <w:szCs w:val="14"/>
              </w:rPr>
              <w:t>7127,13</w:t>
            </w:r>
          </w:p>
        </w:tc>
        <w:tc>
          <w:tcPr>
            <w:tcW w:w="1167" w:type="dxa"/>
            <w:tcBorders>
              <w:top w:val="nil"/>
              <w:left w:val="nil"/>
              <w:bottom w:val="single" w:sz="4" w:space="0" w:color="auto"/>
              <w:right w:val="single" w:sz="4" w:space="0" w:color="auto"/>
            </w:tcBorders>
            <w:shd w:val="clear" w:color="000000" w:fill="FFFFFF"/>
            <w:noWrap/>
            <w:vAlign w:val="bottom"/>
            <w:hideMark/>
          </w:tcPr>
          <w:p w14:paraId="059C4866" w14:textId="24DF3A41" w:rsidR="00543241" w:rsidRPr="000D1437" w:rsidRDefault="00543241" w:rsidP="00543241">
            <w:pPr>
              <w:jc w:val="right"/>
              <w:rPr>
                <w:rFonts w:ascii="Times New Roman" w:hAnsi="Times New Roman"/>
                <w:sz w:val="14"/>
                <w:szCs w:val="14"/>
              </w:rPr>
            </w:pPr>
            <w:r w:rsidRPr="000D1437">
              <w:rPr>
                <w:sz w:val="14"/>
                <w:szCs w:val="14"/>
              </w:rPr>
              <w:t>7484,55</w:t>
            </w:r>
          </w:p>
        </w:tc>
        <w:tc>
          <w:tcPr>
            <w:tcW w:w="1196" w:type="dxa"/>
            <w:tcBorders>
              <w:top w:val="nil"/>
              <w:left w:val="nil"/>
              <w:bottom w:val="single" w:sz="4" w:space="0" w:color="auto"/>
              <w:right w:val="single" w:sz="4" w:space="0" w:color="auto"/>
            </w:tcBorders>
            <w:shd w:val="clear" w:color="000000" w:fill="FFFFFF"/>
            <w:noWrap/>
            <w:vAlign w:val="bottom"/>
            <w:hideMark/>
          </w:tcPr>
          <w:p w14:paraId="5792244E" w14:textId="22CA8FD4" w:rsidR="00543241" w:rsidRPr="000D1437" w:rsidRDefault="00543241" w:rsidP="00543241">
            <w:pPr>
              <w:jc w:val="right"/>
              <w:rPr>
                <w:rFonts w:ascii="Times New Roman" w:hAnsi="Times New Roman"/>
                <w:sz w:val="14"/>
                <w:szCs w:val="14"/>
              </w:rPr>
            </w:pPr>
            <w:r w:rsidRPr="000D1437">
              <w:rPr>
                <w:sz w:val="14"/>
                <w:szCs w:val="14"/>
              </w:rPr>
              <w:t>8211,35</w:t>
            </w:r>
          </w:p>
        </w:tc>
        <w:tc>
          <w:tcPr>
            <w:tcW w:w="1182" w:type="dxa"/>
            <w:tcBorders>
              <w:top w:val="nil"/>
              <w:left w:val="nil"/>
              <w:bottom w:val="single" w:sz="4" w:space="0" w:color="auto"/>
              <w:right w:val="single" w:sz="4" w:space="0" w:color="auto"/>
            </w:tcBorders>
            <w:shd w:val="clear" w:color="000000" w:fill="FFFFFF"/>
            <w:noWrap/>
            <w:vAlign w:val="bottom"/>
            <w:hideMark/>
          </w:tcPr>
          <w:p w14:paraId="1C87A778" w14:textId="4FFC850B" w:rsidR="00543241" w:rsidRPr="000D1437" w:rsidRDefault="00543241" w:rsidP="00543241">
            <w:pPr>
              <w:jc w:val="right"/>
              <w:rPr>
                <w:rFonts w:ascii="Times New Roman" w:hAnsi="Times New Roman"/>
                <w:sz w:val="14"/>
                <w:szCs w:val="14"/>
              </w:rPr>
            </w:pPr>
            <w:r w:rsidRPr="000D1437">
              <w:rPr>
                <w:sz w:val="14"/>
                <w:szCs w:val="14"/>
              </w:rPr>
              <w:t>9059,92</w:t>
            </w:r>
          </w:p>
        </w:tc>
        <w:tc>
          <w:tcPr>
            <w:tcW w:w="1181" w:type="dxa"/>
            <w:tcBorders>
              <w:top w:val="nil"/>
              <w:left w:val="nil"/>
              <w:bottom w:val="single" w:sz="4" w:space="0" w:color="auto"/>
              <w:right w:val="single" w:sz="4" w:space="0" w:color="auto"/>
            </w:tcBorders>
            <w:shd w:val="clear" w:color="000000" w:fill="FFFFFF"/>
            <w:noWrap/>
            <w:vAlign w:val="bottom"/>
            <w:hideMark/>
          </w:tcPr>
          <w:p w14:paraId="1B3065FC" w14:textId="2588C659" w:rsidR="00543241" w:rsidRPr="000D1437" w:rsidRDefault="00543241" w:rsidP="00543241">
            <w:pPr>
              <w:jc w:val="right"/>
              <w:rPr>
                <w:rFonts w:ascii="Times New Roman" w:hAnsi="Times New Roman"/>
                <w:sz w:val="14"/>
                <w:szCs w:val="14"/>
              </w:rPr>
            </w:pPr>
            <w:r w:rsidRPr="000D1437">
              <w:rPr>
                <w:sz w:val="14"/>
                <w:szCs w:val="14"/>
              </w:rPr>
              <w:t>9161,17</w:t>
            </w:r>
          </w:p>
        </w:tc>
        <w:tc>
          <w:tcPr>
            <w:tcW w:w="1181" w:type="dxa"/>
            <w:tcBorders>
              <w:top w:val="nil"/>
              <w:left w:val="nil"/>
              <w:bottom w:val="single" w:sz="4" w:space="0" w:color="auto"/>
              <w:right w:val="single" w:sz="4" w:space="0" w:color="auto"/>
            </w:tcBorders>
            <w:shd w:val="clear" w:color="000000" w:fill="FFFFFF"/>
            <w:vAlign w:val="bottom"/>
          </w:tcPr>
          <w:p w14:paraId="2AC541A6" w14:textId="0B2E0586" w:rsidR="00543241" w:rsidRPr="000D1437" w:rsidRDefault="00543241" w:rsidP="00543241">
            <w:pPr>
              <w:jc w:val="right"/>
              <w:rPr>
                <w:rFonts w:ascii="Times New Roman" w:hAnsi="Times New Roman"/>
                <w:sz w:val="14"/>
                <w:szCs w:val="14"/>
              </w:rPr>
            </w:pPr>
            <w:r w:rsidRPr="000D1437">
              <w:rPr>
                <w:sz w:val="14"/>
                <w:szCs w:val="14"/>
              </w:rPr>
              <w:t>9469,01</w:t>
            </w:r>
          </w:p>
        </w:tc>
      </w:tr>
      <w:tr w:rsidR="00543241" w:rsidRPr="00364545" w14:paraId="15A05A81"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5B8DE31"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Multilateral operations</w:t>
            </w:r>
          </w:p>
        </w:tc>
        <w:tc>
          <w:tcPr>
            <w:tcW w:w="1167" w:type="dxa"/>
            <w:tcBorders>
              <w:top w:val="nil"/>
              <w:left w:val="nil"/>
              <w:bottom w:val="single" w:sz="4" w:space="0" w:color="auto"/>
              <w:right w:val="single" w:sz="4" w:space="0" w:color="auto"/>
            </w:tcBorders>
            <w:shd w:val="clear" w:color="000000" w:fill="FFFFFF"/>
            <w:noWrap/>
            <w:vAlign w:val="bottom"/>
            <w:hideMark/>
          </w:tcPr>
          <w:p w14:paraId="6030D923" w14:textId="7F969A33" w:rsidR="00543241" w:rsidRPr="000D1437" w:rsidRDefault="00543241" w:rsidP="00543241">
            <w:pPr>
              <w:jc w:val="right"/>
              <w:rPr>
                <w:rFonts w:ascii="Times New Roman" w:hAnsi="Times New Roman"/>
                <w:sz w:val="14"/>
                <w:szCs w:val="14"/>
              </w:rPr>
            </w:pPr>
            <w:r w:rsidRPr="000D1437">
              <w:rPr>
                <w:sz w:val="14"/>
                <w:szCs w:val="14"/>
              </w:rPr>
              <w:t>1,33</w:t>
            </w:r>
          </w:p>
        </w:tc>
        <w:tc>
          <w:tcPr>
            <w:tcW w:w="1167" w:type="dxa"/>
            <w:tcBorders>
              <w:top w:val="nil"/>
              <w:left w:val="nil"/>
              <w:bottom w:val="single" w:sz="4" w:space="0" w:color="auto"/>
              <w:right w:val="single" w:sz="4" w:space="0" w:color="auto"/>
            </w:tcBorders>
            <w:shd w:val="clear" w:color="000000" w:fill="FFFFFF"/>
            <w:noWrap/>
            <w:vAlign w:val="bottom"/>
            <w:hideMark/>
          </w:tcPr>
          <w:p w14:paraId="4D06FDAA" w14:textId="4FA6A364" w:rsidR="00543241" w:rsidRPr="000D1437" w:rsidRDefault="00543241" w:rsidP="00543241">
            <w:pPr>
              <w:jc w:val="right"/>
              <w:rPr>
                <w:rFonts w:ascii="Times New Roman" w:hAnsi="Times New Roman"/>
                <w:sz w:val="14"/>
                <w:szCs w:val="14"/>
              </w:rPr>
            </w:pPr>
            <w:r w:rsidRPr="000D1437">
              <w:rPr>
                <w:sz w:val="14"/>
                <w:szCs w:val="14"/>
              </w:rPr>
              <w:t>1,45</w:t>
            </w:r>
          </w:p>
        </w:tc>
        <w:tc>
          <w:tcPr>
            <w:tcW w:w="1196" w:type="dxa"/>
            <w:tcBorders>
              <w:top w:val="nil"/>
              <w:left w:val="nil"/>
              <w:bottom w:val="single" w:sz="4" w:space="0" w:color="auto"/>
              <w:right w:val="single" w:sz="4" w:space="0" w:color="auto"/>
            </w:tcBorders>
            <w:shd w:val="clear" w:color="000000" w:fill="FFFFFF"/>
            <w:noWrap/>
            <w:vAlign w:val="bottom"/>
            <w:hideMark/>
          </w:tcPr>
          <w:p w14:paraId="203E3674" w14:textId="46D71FC0" w:rsidR="00543241" w:rsidRPr="000D1437" w:rsidRDefault="00543241" w:rsidP="00543241">
            <w:pPr>
              <w:jc w:val="right"/>
              <w:rPr>
                <w:rFonts w:ascii="Times New Roman" w:hAnsi="Times New Roman"/>
                <w:sz w:val="14"/>
                <w:szCs w:val="14"/>
              </w:rPr>
            </w:pPr>
            <w:r w:rsidRPr="000D1437">
              <w:rPr>
                <w:sz w:val="14"/>
                <w:szCs w:val="14"/>
              </w:rPr>
              <w:t>1,77</w:t>
            </w:r>
          </w:p>
        </w:tc>
        <w:tc>
          <w:tcPr>
            <w:tcW w:w="1182" w:type="dxa"/>
            <w:tcBorders>
              <w:top w:val="nil"/>
              <w:left w:val="nil"/>
              <w:bottom w:val="single" w:sz="4" w:space="0" w:color="auto"/>
              <w:right w:val="single" w:sz="4" w:space="0" w:color="auto"/>
            </w:tcBorders>
            <w:shd w:val="clear" w:color="000000" w:fill="FFFFFF"/>
            <w:noWrap/>
            <w:vAlign w:val="bottom"/>
            <w:hideMark/>
          </w:tcPr>
          <w:p w14:paraId="0DBBD5DD" w14:textId="45E9DC38" w:rsidR="00543241" w:rsidRPr="000D1437" w:rsidRDefault="00543241" w:rsidP="00543241">
            <w:pPr>
              <w:jc w:val="right"/>
              <w:rPr>
                <w:rFonts w:ascii="Times New Roman" w:hAnsi="Times New Roman"/>
                <w:sz w:val="14"/>
                <w:szCs w:val="14"/>
              </w:rPr>
            </w:pPr>
            <w:r w:rsidRPr="000D1437">
              <w:rPr>
                <w:sz w:val="14"/>
                <w:szCs w:val="14"/>
              </w:rPr>
              <w:t>1,51</w:t>
            </w:r>
          </w:p>
        </w:tc>
        <w:tc>
          <w:tcPr>
            <w:tcW w:w="1181" w:type="dxa"/>
            <w:tcBorders>
              <w:top w:val="nil"/>
              <w:left w:val="nil"/>
              <w:bottom w:val="single" w:sz="4" w:space="0" w:color="auto"/>
              <w:right w:val="single" w:sz="4" w:space="0" w:color="auto"/>
            </w:tcBorders>
            <w:shd w:val="clear" w:color="000000" w:fill="FFFFFF"/>
            <w:noWrap/>
            <w:vAlign w:val="bottom"/>
            <w:hideMark/>
          </w:tcPr>
          <w:p w14:paraId="7A082AF7" w14:textId="37B23785" w:rsidR="00543241" w:rsidRPr="000D1437" w:rsidRDefault="00543241" w:rsidP="00543241">
            <w:pPr>
              <w:jc w:val="right"/>
              <w:rPr>
                <w:rFonts w:ascii="Times New Roman" w:hAnsi="Times New Roman"/>
                <w:sz w:val="14"/>
                <w:szCs w:val="14"/>
              </w:rPr>
            </w:pPr>
            <w:r w:rsidRPr="000D1437">
              <w:rPr>
                <w:sz w:val="14"/>
                <w:szCs w:val="14"/>
              </w:rPr>
              <w:t>1,38</w:t>
            </w:r>
          </w:p>
        </w:tc>
        <w:tc>
          <w:tcPr>
            <w:tcW w:w="1181" w:type="dxa"/>
            <w:tcBorders>
              <w:top w:val="nil"/>
              <w:left w:val="nil"/>
              <w:bottom w:val="single" w:sz="4" w:space="0" w:color="auto"/>
              <w:right w:val="single" w:sz="4" w:space="0" w:color="auto"/>
            </w:tcBorders>
            <w:shd w:val="clear" w:color="000000" w:fill="FFFFFF"/>
            <w:vAlign w:val="bottom"/>
          </w:tcPr>
          <w:p w14:paraId="266541F7" w14:textId="4B08C7BA" w:rsidR="00543241" w:rsidRPr="000D1437" w:rsidRDefault="00543241" w:rsidP="00543241">
            <w:pPr>
              <w:jc w:val="right"/>
              <w:rPr>
                <w:rFonts w:ascii="Times New Roman" w:hAnsi="Times New Roman"/>
                <w:sz w:val="14"/>
                <w:szCs w:val="14"/>
              </w:rPr>
            </w:pPr>
            <w:r w:rsidRPr="000D1437">
              <w:rPr>
                <w:sz w:val="14"/>
                <w:szCs w:val="14"/>
              </w:rPr>
              <w:t>1,95</w:t>
            </w:r>
          </w:p>
        </w:tc>
      </w:tr>
      <w:tr w:rsidR="00543241" w:rsidRPr="00364545" w14:paraId="0221290E"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3BCBC10" w14:textId="00027F34"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167" w:type="dxa"/>
            <w:tcBorders>
              <w:top w:val="nil"/>
              <w:left w:val="nil"/>
              <w:bottom w:val="single" w:sz="4" w:space="0" w:color="auto"/>
              <w:right w:val="single" w:sz="4" w:space="0" w:color="auto"/>
            </w:tcBorders>
            <w:shd w:val="clear" w:color="000000" w:fill="FFFFFF"/>
            <w:noWrap/>
            <w:vAlign w:val="bottom"/>
            <w:hideMark/>
          </w:tcPr>
          <w:p w14:paraId="3A878A4E" w14:textId="2AE2FF51" w:rsidR="00543241" w:rsidRPr="000D1437" w:rsidRDefault="00543241" w:rsidP="00543241">
            <w:pPr>
              <w:jc w:val="right"/>
              <w:rPr>
                <w:rFonts w:ascii="Times New Roman" w:hAnsi="Times New Roman"/>
                <w:sz w:val="14"/>
                <w:szCs w:val="14"/>
              </w:rPr>
            </w:pPr>
            <w:r w:rsidRPr="000D1437">
              <w:rPr>
                <w:sz w:val="14"/>
                <w:szCs w:val="14"/>
              </w:rPr>
              <w:t>45286,30</w:t>
            </w:r>
          </w:p>
        </w:tc>
        <w:tc>
          <w:tcPr>
            <w:tcW w:w="1167" w:type="dxa"/>
            <w:tcBorders>
              <w:top w:val="nil"/>
              <w:left w:val="nil"/>
              <w:bottom w:val="single" w:sz="4" w:space="0" w:color="auto"/>
              <w:right w:val="single" w:sz="4" w:space="0" w:color="auto"/>
            </w:tcBorders>
            <w:shd w:val="clear" w:color="000000" w:fill="FFFFFF"/>
            <w:noWrap/>
            <w:vAlign w:val="bottom"/>
            <w:hideMark/>
          </w:tcPr>
          <w:p w14:paraId="7CD199AA" w14:textId="61698A9C" w:rsidR="00543241" w:rsidRPr="000D1437" w:rsidRDefault="00543241" w:rsidP="00543241">
            <w:pPr>
              <w:jc w:val="right"/>
              <w:rPr>
                <w:rFonts w:ascii="Times New Roman" w:hAnsi="Times New Roman"/>
                <w:sz w:val="14"/>
                <w:szCs w:val="14"/>
              </w:rPr>
            </w:pPr>
            <w:r w:rsidRPr="000D1437">
              <w:rPr>
                <w:sz w:val="14"/>
                <w:szCs w:val="14"/>
              </w:rPr>
              <w:t>48603,33</w:t>
            </w:r>
          </w:p>
        </w:tc>
        <w:tc>
          <w:tcPr>
            <w:tcW w:w="1196" w:type="dxa"/>
            <w:tcBorders>
              <w:top w:val="nil"/>
              <w:left w:val="nil"/>
              <w:bottom w:val="single" w:sz="4" w:space="0" w:color="auto"/>
              <w:right w:val="single" w:sz="4" w:space="0" w:color="auto"/>
            </w:tcBorders>
            <w:shd w:val="clear" w:color="000000" w:fill="FFFFFF"/>
            <w:noWrap/>
            <w:vAlign w:val="bottom"/>
            <w:hideMark/>
          </w:tcPr>
          <w:p w14:paraId="10010BF7" w14:textId="28F767C0" w:rsidR="00543241" w:rsidRPr="000D1437" w:rsidRDefault="00543241" w:rsidP="00543241">
            <w:pPr>
              <w:jc w:val="right"/>
              <w:rPr>
                <w:rFonts w:ascii="Times New Roman" w:hAnsi="Times New Roman"/>
                <w:sz w:val="14"/>
                <w:szCs w:val="14"/>
              </w:rPr>
            </w:pPr>
            <w:r w:rsidRPr="000D1437">
              <w:rPr>
                <w:sz w:val="14"/>
                <w:szCs w:val="14"/>
              </w:rPr>
              <w:t>45213,16</w:t>
            </w:r>
          </w:p>
        </w:tc>
        <w:tc>
          <w:tcPr>
            <w:tcW w:w="1182" w:type="dxa"/>
            <w:tcBorders>
              <w:top w:val="nil"/>
              <w:left w:val="nil"/>
              <w:bottom w:val="single" w:sz="4" w:space="0" w:color="auto"/>
              <w:right w:val="single" w:sz="4" w:space="0" w:color="auto"/>
            </w:tcBorders>
            <w:shd w:val="clear" w:color="000000" w:fill="FFFFFF"/>
            <w:noWrap/>
            <w:vAlign w:val="bottom"/>
            <w:hideMark/>
          </w:tcPr>
          <w:p w14:paraId="1334CA4A" w14:textId="36540BDD" w:rsidR="00543241" w:rsidRPr="000D1437" w:rsidRDefault="00543241" w:rsidP="00543241">
            <w:pPr>
              <w:jc w:val="right"/>
              <w:rPr>
                <w:rFonts w:ascii="Times New Roman" w:hAnsi="Times New Roman"/>
                <w:sz w:val="14"/>
                <w:szCs w:val="14"/>
              </w:rPr>
            </w:pPr>
            <w:r w:rsidRPr="000D1437">
              <w:rPr>
                <w:sz w:val="14"/>
                <w:szCs w:val="14"/>
              </w:rPr>
              <w:t>45099,32</w:t>
            </w:r>
          </w:p>
        </w:tc>
        <w:tc>
          <w:tcPr>
            <w:tcW w:w="1181" w:type="dxa"/>
            <w:tcBorders>
              <w:top w:val="nil"/>
              <w:left w:val="nil"/>
              <w:bottom w:val="single" w:sz="4" w:space="0" w:color="auto"/>
              <w:right w:val="single" w:sz="4" w:space="0" w:color="auto"/>
            </w:tcBorders>
            <w:shd w:val="clear" w:color="000000" w:fill="FFFFFF"/>
            <w:noWrap/>
            <w:vAlign w:val="bottom"/>
            <w:hideMark/>
          </w:tcPr>
          <w:p w14:paraId="6B413E44" w14:textId="5157F254" w:rsidR="00543241" w:rsidRPr="000D1437" w:rsidRDefault="00543241" w:rsidP="00543241">
            <w:pPr>
              <w:jc w:val="right"/>
              <w:rPr>
                <w:rFonts w:ascii="Times New Roman" w:hAnsi="Times New Roman"/>
                <w:sz w:val="14"/>
                <w:szCs w:val="14"/>
              </w:rPr>
            </w:pPr>
            <w:r w:rsidRPr="000D1437">
              <w:rPr>
                <w:sz w:val="14"/>
                <w:szCs w:val="14"/>
              </w:rPr>
              <w:t>43874,35</w:t>
            </w:r>
          </w:p>
        </w:tc>
        <w:tc>
          <w:tcPr>
            <w:tcW w:w="1181" w:type="dxa"/>
            <w:tcBorders>
              <w:top w:val="nil"/>
              <w:left w:val="nil"/>
              <w:bottom w:val="single" w:sz="4" w:space="0" w:color="auto"/>
              <w:right w:val="single" w:sz="4" w:space="0" w:color="auto"/>
            </w:tcBorders>
            <w:shd w:val="clear" w:color="000000" w:fill="FFFFFF"/>
            <w:vAlign w:val="bottom"/>
          </w:tcPr>
          <w:p w14:paraId="40FE982F" w14:textId="35F86093" w:rsidR="00543241" w:rsidRPr="000D1437" w:rsidRDefault="00543241" w:rsidP="00543241">
            <w:pPr>
              <w:jc w:val="right"/>
              <w:rPr>
                <w:rFonts w:ascii="Times New Roman" w:hAnsi="Times New Roman"/>
                <w:sz w:val="14"/>
                <w:szCs w:val="14"/>
              </w:rPr>
            </w:pPr>
            <w:r w:rsidRPr="000D1437">
              <w:rPr>
                <w:sz w:val="14"/>
                <w:szCs w:val="14"/>
              </w:rPr>
              <w:t>42850,91</w:t>
            </w:r>
          </w:p>
        </w:tc>
      </w:tr>
      <w:tr w:rsidR="00543241" w:rsidRPr="00364545" w14:paraId="56090B1D"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D30B9BA" w14:textId="191E6C20"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167" w:type="dxa"/>
            <w:tcBorders>
              <w:top w:val="nil"/>
              <w:left w:val="nil"/>
              <w:bottom w:val="single" w:sz="4" w:space="0" w:color="auto"/>
              <w:right w:val="single" w:sz="4" w:space="0" w:color="auto"/>
            </w:tcBorders>
            <w:shd w:val="clear" w:color="000000" w:fill="FFFFFF"/>
            <w:noWrap/>
            <w:vAlign w:val="bottom"/>
            <w:hideMark/>
          </w:tcPr>
          <w:p w14:paraId="615204E3" w14:textId="149DBC00" w:rsidR="00543241" w:rsidRPr="000D1437" w:rsidRDefault="00543241" w:rsidP="00543241">
            <w:pPr>
              <w:jc w:val="right"/>
              <w:rPr>
                <w:rFonts w:ascii="Times New Roman" w:hAnsi="Times New Roman"/>
                <w:sz w:val="14"/>
                <w:szCs w:val="14"/>
              </w:rPr>
            </w:pPr>
            <w:r w:rsidRPr="000D1437">
              <w:rPr>
                <w:sz w:val="14"/>
                <w:szCs w:val="14"/>
              </w:rPr>
              <w:t>NO,NA</w:t>
            </w:r>
          </w:p>
        </w:tc>
        <w:tc>
          <w:tcPr>
            <w:tcW w:w="1167" w:type="dxa"/>
            <w:tcBorders>
              <w:top w:val="nil"/>
              <w:left w:val="nil"/>
              <w:bottom w:val="single" w:sz="4" w:space="0" w:color="auto"/>
              <w:right w:val="single" w:sz="4" w:space="0" w:color="auto"/>
            </w:tcBorders>
            <w:shd w:val="clear" w:color="000000" w:fill="FFFFFF"/>
            <w:noWrap/>
            <w:vAlign w:val="bottom"/>
            <w:hideMark/>
          </w:tcPr>
          <w:p w14:paraId="22927406" w14:textId="02420241" w:rsidR="00543241" w:rsidRPr="000D1437" w:rsidRDefault="00543241" w:rsidP="00543241">
            <w:pPr>
              <w:jc w:val="right"/>
              <w:rPr>
                <w:rFonts w:ascii="Times New Roman" w:hAnsi="Times New Roman"/>
                <w:sz w:val="14"/>
                <w:szCs w:val="14"/>
              </w:rPr>
            </w:pPr>
            <w:r w:rsidRPr="000D1437">
              <w:rPr>
                <w:sz w:val="14"/>
                <w:szCs w:val="14"/>
              </w:rPr>
              <w:t>NO,NA</w:t>
            </w:r>
          </w:p>
        </w:tc>
        <w:tc>
          <w:tcPr>
            <w:tcW w:w="1196" w:type="dxa"/>
            <w:tcBorders>
              <w:top w:val="nil"/>
              <w:left w:val="nil"/>
              <w:bottom w:val="single" w:sz="4" w:space="0" w:color="auto"/>
              <w:right w:val="single" w:sz="4" w:space="0" w:color="auto"/>
            </w:tcBorders>
            <w:shd w:val="clear" w:color="000000" w:fill="FFFFFF"/>
            <w:noWrap/>
            <w:vAlign w:val="bottom"/>
            <w:hideMark/>
          </w:tcPr>
          <w:p w14:paraId="6779D1CF" w14:textId="395D1835" w:rsidR="00543241" w:rsidRPr="000D1437" w:rsidRDefault="00543241" w:rsidP="00543241">
            <w:pPr>
              <w:jc w:val="right"/>
              <w:rPr>
                <w:rFonts w:ascii="Times New Roman" w:hAnsi="Times New Roman"/>
                <w:sz w:val="14"/>
                <w:szCs w:val="14"/>
              </w:rPr>
            </w:pPr>
            <w:r w:rsidRPr="000D1437">
              <w:rPr>
                <w:sz w:val="14"/>
                <w:szCs w:val="14"/>
              </w:rPr>
              <w:t>NO,NA</w:t>
            </w:r>
          </w:p>
        </w:tc>
        <w:tc>
          <w:tcPr>
            <w:tcW w:w="1182" w:type="dxa"/>
            <w:tcBorders>
              <w:top w:val="nil"/>
              <w:left w:val="nil"/>
              <w:bottom w:val="single" w:sz="4" w:space="0" w:color="auto"/>
              <w:right w:val="single" w:sz="4" w:space="0" w:color="auto"/>
            </w:tcBorders>
            <w:shd w:val="clear" w:color="000000" w:fill="FFFFFF"/>
            <w:noWrap/>
            <w:vAlign w:val="bottom"/>
            <w:hideMark/>
          </w:tcPr>
          <w:p w14:paraId="4772E4EA" w14:textId="4376839F" w:rsidR="00543241" w:rsidRPr="000D1437" w:rsidRDefault="00543241" w:rsidP="00543241">
            <w:pPr>
              <w:jc w:val="right"/>
              <w:rPr>
                <w:rFonts w:ascii="Times New Roman" w:hAnsi="Times New Roman"/>
                <w:sz w:val="14"/>
                <w:szCs w:val="14"/>
              </w:rPr>
            </w:pPr>
            <w:r w:rsidRPr="000D1437">
              <w:rPr>
                <w:sz w:val="14"/>
                <w:szCs w:val="14"/>
              </w:rPr>
              <w:t>NO,NA</w:t>
            </w:r>
          </w:p>
        </w:tc>
        <w:tc>
          <w:tcPr>
            <w:tcW w:w="1181" w:type="dxa"/>
            <w:tcBorders>
              <w:top w:val="nil"/>
              <w:left w:val="nil"/>
              <w:bottom w:val="single" w:sz="4" w:space="0" w:color="auto"/>
              <w:right w:val="single" w:sz="4" w:space="0" w:color="auto"/>
            </w:tcBorders>
            <w:shd w:val="clear" w:color="000000" w:fill="FFFFFF"/>
            <w:noWrap/>
            <w:vAlign w:val="bottom"/>
            <w:hideMark/>
          </w:tcPr>
          <w:p w14:paraId="1DC4C25F" w14:textId="34A4377D" w:rsidR="00543241" w:rsidRPr="000D1437" w:rsidRDefault="00543241" w:rsidP="00543241">
            <w:pPr>
              <w:jc w:val="right"/>
              <w:rPr>
                <w:rFonts w:ascii="Times New Roman" w:hAnsi="Times New Roman"/>
                <w:sz w:val="14"/>
                <w:szCs w:val="14"/>
              </w:rPr>
            </w:pPr>
            <w:r w:rsidRPr="000D1437">
              <w:rPr>
                <w:sz w:val="14"/>
                <w:szCs w:val="14"/>
              </w:rPr>
              <w:t>NO,NA</w:t>
            </w:r>
          </w:p>
        </w:tc>
        <w:tc>
          <w:tcPr>
            <w:tcW w:w="1181" w:type="dxa"/>
            <w:tcBorders>
              <w:top w:val="nil"/>
              <w:left w:val="nil"/>
              <w:bottom w:val="single" w:sz="4" w:space="0" w:color="auto"/>
              <w:right w:val="single" w:sz="4" w:space="0" w:color="auto"/>
            </w:tcBorders>
            <w:shd w:val="clear" w:color="000000" w:fill="FFFFFF"/>
            <w:vAlign w:val="bottom"/>
          </w:tcPr>
          <w:p w14:paraId="2061766E" w14:textId="1AF19040"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7C669B5E"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3FC375F"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167" w:type="dxa"/>
            <w:tcBorders>
              <w:top w:val="nil"/>
              <w:left w:val="nil"/>
              <w:bottom w:val="single" w:sz="4" w:space="0" w:color="auto"/>
              <w:right w:val="single" w:sz="4" w:space="0" w:color="auto"/>
            </w:tcBorders>
            <w:shd w:val="clear" w:color="000000" w:fill="FFFFFF"/>
            <w:noWrap/>
            <w:vAlign w:val="bottom"/>
            <w:hideMark/>
          </w:tcPr>
          <w:p w14:paraId="6DE4F733" w14:textId="4037B8EC" w:rsidR="00543241" w:rsidRPr="000D1437" w:rsidRDefault="00543241" w:rsidP="00543241">
            <w:pPr>
              <w:jc w:val="right"/>
              <w:rPr>
                <w:rFonts w:ascii="Times New Roman" w:hAnsi="Times New Roman"/>
                <w:sz w:val="14"/>
                <w:szCs w:val="14"/>
              </w:rPr>
            </w:pPr>
            <w:r w:rsidRPr="000D1437">
              <w:rPr>
                <w:sz w:val="14"/>
                <w:szCs w:val="14"/>
              </w:rPr>
              <w:t>NE</w:t>
            </w:r>
          </w:p>
        </w:tc>
        <w:tc>
          <w:tcPr>
            <w:tcW w:w="1167" w:type="dxa"/>
            <w:tcBorders>
              <w:top w:val="nil"/>
              <w:left w:val="nil"/>
              <w:bottom w:val="single" w:sz="4" w:space="0" w:color="auto"/>
              <w:right w:val="single" w:sz="4" w:space="0" w:color="auto"/>
            </w:tcBorders>
            <w:shd w:val="clear" w:color="000000" w:fill="FFFFFF"/>
            <w:noWrap/>
            <w:vAlign w:val="bottom"/>
            <w:hideMark/>
          </w:tcPr>
          <w:p w14:paraId="03EC4882" w14:textId="34BE0F20" w:rsidR="00543241" w:rsidRPr="000D1437" w:rsidRDefault="00543241" w:rsidP="00543241">
            <w:pPr>
              <w:jc w:val="right"/>
              <w:rPr>
                <w:rFonts w:ascii="Times New Roman" w:hAnsi="Times New Roman"/>
                <w:sz w:val="14"/>
                <w:szCs w:val="14"/>
              </w:rPr>
            </w:pPr>
            <w:r w:rsidRPr="000D1437">
              <w:rPr>
                <w:sz w:val="14"/>
                <w:szCs w:val="14"/>
              </w:rPr>
              <w:t>NE</w:t>
            </w:r>
          </w:p>
        </w:tc>
        <w:tc>
          <w:tcPr>
            <w:tcW w:w="1196" w:type="dxa"/>
            <w:tcBorders>
              <w:top w:val="nil"/>
              <w:left w:val="nil"/>
              <w:bottom w:val="single" w:sz="4" w:space="0" w:color="auto"/>
              <w:right w:val="single" w:sz="4" w:space="0" w:color="auto"/>
            </w:tcBorders>
            <w:shd w:val="clear" w:color="000000" w:fill="FFFFFF"/>
            <w:noWrap/>
            <w:vAlign w:val="bottom"/>
            <w:hideMark/>
          </w:tcPr>
          <w:p w14:paraId="1AA642C6" w14:textId="7A570CD9" w:rsidR="00543241" w:rsidRPr="000D1437" w:rsidRDefault="00543241" w:rsidP="00543241">
            <w:pPr>
              <w:jc w:val="right"/>
              <w:rPr>
                <w:rFonts w:ascii="Times New Roman" w:hAnsi="Times New Roman"/>
                <w:sz w:val="14"/>
                <w:szCs w:val="14"/>
              </w:rPr>
            </w:pPr>
            <w:r w:rsidRPr="000D1437">
              <w:rPr>
                <w:sz w:val="14"/>
                <w:szCs w:val="14"/>
              </w:rPr>
              <w:t>NE</w:t>
            </w:r>
          </w:p>
        </w:tc>
        <w:tc>
          <w:tcPr>
            <w:tcW w:w="1182" w:type="dxa"/>
            <w:tcBorders>
              <w:top w:val="nil"/>
              <w:left w:val="nil"/>
              <w:bottom w:val="single" w:sz="4" w:space="0" w:color="auto"/>
              <w:right w:val="single" w:sz="4" w:space="0" w:color="auto"/>
            </w:tcBorders>
            <w:shd w:val="clear" w:color="000000" w:fill="FFFFFF"/>
            <w:noWrap/>
            <w:vAlign w:val="bottom"/>
            <w:hideMark/>
          </w:tcPr>
          <w:p w14:paraId="775C6B76" w14:textId="7894D2F2" w:rsidR="00543241" w:rsidRPr="000D1437" w:rsidRDefault="00543241" w:rsidP="00543241">
            <w:pPr>
              <w:jc w:val="right"/>
              <w:rPr>
                <w:rFonts w:ascii="Times New Roman" w:hAnsi="Times New Roman"/>
                <w:sz w:val="14"/>
                <w:szCs w:val="14"/>
              </w:rPr>
            </w:pPr>
            <w:r w:rsidRPr="000D1437">
              <w:rPr>
                <w:sz w:val="14"/>
                <w:szCs w:val="14"/>
              </w:rPr>
              <w:t>NE</w:t>
            </w:r>
          </w:p>
        </w:tc>
        <w:tc>
          <w:tcPr>
            <w:tcW w:w="1181" w:type="dxa"/>
            <w:tcBorders>
              <w:top w:val="nil"/>
              <w:left w:val="nil"/>
              <w:bottom w:val="single" w:sz="4" w:space="0" w:color="auto"/>
              <w:right w:val="single" w:sz="4" w:space="0" w:color="auto"/>
            </w:tcBorders>
            <w:shd w:val="clear" w:color="000000" w:fill="FFFFFF"/>
            <w:noWrap/>
            <w:vAlign w:val="bottom"/>
            <w:hideMark/>
          </w:tcPr>
          <w:p w14:paraId="2F937D49" w14:textId="006D8055" w:rsidR="00543241" w:rsidRPr="000D1437" w:rsidRDefault="00543241" w:rsidP="00543241">
            <w:pPr>
              <w:jc w:val="right"/>
              <w:rPr>
                <w:rFonts w:ascii="Times New Roman" w:hAnsi="Times New Roman"/>
                <w:sz w:val="14"/>
                <w:szCs w:val="14"/>
              </w:rPr>
            </w:pPr>
            <w:r w:rsidRPr="000D1437">
              <w:rPr>
                <w:sz w:val="14"/>
                <w:szCs w:val="14"/>
              </w:rPr>
              <w:t>NE</w:t>
            </w:r>
          </w:p>
        </w:tc>
        <w:tc>
          <w:tcPr>
            <w:tcW w:w="1181" w:type="dxa"/>
            <w:tcBorders>
              <w:top w:val="nil"/>
              <w:left w:val="nil"/>
              <w:bottom w:val="single" w:sz="4" w:space="0" w:color="auto"/>
              <w:right w:val="single" w:sz="4" w:space="0" w:color="auto"/>
            </w:tcBorders>
            <w:shd w:val="clear" w:color="000000" w:fill="FFFFFF"/>
            <w:vAlign w:val="bottom"/>
          </w:tcPr>
          <w:p w14:paraId="483A3741" w14:textId="03E0FE72" w:rsidR="00543241" w:rsidRPr="000D1437" w:rsidRDefault="00543241" w:rsidP="00543241">
            <w:pPr>
              <w:jc w:val="right"/>
              <w:rPr>
                <w:rFonts w:ascii="Times New Roman" w:hAnsi="Times New Roman"/>
                <w:sz w:val="14"/>
                <w:szCs w:val="14"/>
              </w:rPr>
            </w:pPr>
            <w:r w:rsidRPr="000D1437">
              <w:rPr>
                <w:sz w:val="14"/>
                <w:szCs w:val="14"/>
              </w:rPr>
              <w:t>NE</w:t>
            </w:r>
          </w:p>
        </w:tc>
      </w:tr>
      <w:tr w:rsidR="00543241" w:rsidRPr="00364545" w14:paraId="7AB65178"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7634E6D" w14:textId="7A478ED5"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167" w:type="dxa"/>
            <w:tcBorders>
              <w:top w:val="nil"/>
              <w:left w:val="nil"/>
              <w:bottom w:val="single" w:sz="4" w:space="0" w:color="auto"/>
              <w:right w:val="single" w:sz="4" w:space="0" w:color="auto"/>
            </w:tcBorders>
            <w:shd w:val="clear" w:color="000000" w:fill="FFFFFF"/>
            <w:noWrap/>
            <w:vAlign w:val="bottom"/>
            <w:hideMark/>
          </w:tcPr>
          <w:p w14:paraId="07C46705" w14:textId="698E0C6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14B0DFDE" w14:textId="097F424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60891233" w14:textId="721DF9A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058C2478" w14:textId="03004CE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6C5FBF52" w14:textId="3D93C2F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303BA1AE" w14:textId="68AA5CC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2282FF6"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F6070D0" w14:textId="4AED713D"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167" w:type="dxa"/>
            <w:tcBorders>
              <w:top w:val="nil"/>
              <w:left w:val="nil"/>
              <w:bottom w:val="single" w:sz="4" w:space="0" w:color="auto"/>
              <w:right w:val="single" w:sz="4" w:space="0" w:color="auto"/>
            </w:tcBorders>
            <w:shd w:val="clear" w:color="000000" w:fill="FFFFFF"/>
            <w:noWrap/>
            <w:vAlign w:val="bottom"/>
            <w:hideMark/>
          </w:tcPr>
          <w:p w14:paraId="71D4BE17" w14:textId="6AB67591" w:rsidR="00543241" w:rsidRPr="000D1437" w:rsidRDefault="00543241" w:rsidP="00543241">
            <w:pPr>
              <w:jc w:val="right"/>
              <w:rPr>
                <w:rFonts w:ascii="Times New Roman" w:hAnsi="Times New Roman"/>
                <w:sz w:val="14"/>
                <w:szCs w:val="14"/>
              </w:rPr>
            </w:pPr>
            <w:r w:rsidRPr="000D1437">
              <w:rPr>
                <w:sz w:val="14"/>
                <w:szCs w:val="14"/>
              </w:rPr>
              <w:t>NO,IE,NA</w:t>
            </w:r>
          </w:p>
        </w:tc>
        <w:tc>
          <w:tcPr>
            <w:tcW w:w="1167" w:type="dxa"/>
            <w:tcBorders>
              <w:top w:val="nil"/>
              <w:left w:val="nil"/>
              <w:bottom w:val="single" w:sz="4" w:space="0" w:color="auto"/>
              <w:right w:val="single" w:sz="4" w:space="0" w:color="auto"/>
            </w:tcBorders>
            <w:shd w:val="clear" w:color="000000" w:fill="FFFFFF"/>
            <w:noWrap/>
            <w:vAlign w:val="bottom"/>
            <w:hideMark/>
          </w:tcPr>
          <w:p w14:paraId="098D7317" w14:textId="74C920C0" w:rsidR="00543241" w:rsidRPr="000D1437" w:rsidRDefault="00543241" w:rsidP="00543241">
            <w:pPr>
              <w:jc w:val="right"/>
              <w:rPr>
                <w:rFonts w:ascii="Times New Roman" w:hAnsi="Times New Roman"/>
                <w:sz w:val="14"/>
                <w:szCs w:val="14"/>
              </w:rPr>
            </w:pPr>
            <w:r w:rsidRPr="000D1437">
              <w:rPr>
                <w:sz w:val="14"/>
                <w:szCs w:val="14"/>
              </w:rPr>
              <w:t>NO,IE,NA</w:t>
            </w:r>
          </w:p>
        </w:tc>
        <w:tc>
          <w:tcPr>
            <w:tcW w:w="1196" w:type="dxa"/>
            <w:tcBorders>
              <w:top w:val="nil"/>
              <w:left w:val="nil"/>
              <w:bottom w:val="single" w:sz="4" w:space="0" w:color="auto"/>
              <w:right w:val="single" w:sz="4" w:space="0" w:color="auto"/>
            </w:tcBorders>
            <w:shd w:val="clear" w:color="000000" w:fill="FFFFFF"/>
            <w:noWrap/>
            <w:vAlign w:val="bottom"/>
            <w:hideMark/>
          </w:tcPr>
          <w:p w14:paraId="12850137" w14:textId="62FA6739" w:rsidR="00543241" w:rsidRPr="000D1437" w:rsidRDefault="00543241" w:rsidP="00543241">
            <w:pPr>
              <w:jc w:val="right"/>
              <w:rPr>
                <w:rFonts w:ascii="Times New Roman" w:hAnsi="Times New Roman"/>
                <w:sz w:val="14"/>
                <w:szCs w:val="14"/>
              </w:rPr>
            </w:pPr>
            <w:r w:rsidRPr="000D1437">
              <w:rPr>
                <w:sz w:val="14"/>
                <w:szCs w:val="14"/>
              </w:rPr>
              <w:t>NO,IE,NA</w:t>
            </w:r>
          </w:p>
        </w:tc>
        <w:tc>
          <w:tcPr>
            <w:tcW w:w="1182" w:type="dxa"/>
            <w:tcBorders>
              <w:top w:val="nil"/>
              <w:left w:val="nil"/>
              <w:bottom w:val="single" w:sz="4" w:space="0" w:color="auto"/>
              <w:right w:val="single" w:sz="4" w:space="0" w:color="auto"/>
            </w:tcBorders>
            <w:shd w:val="clear" w:color="000000" w:fill="FFFFFF"/>
            <w:noWrap/>
            <w:vAlign w:val="bottom"/>
            <w:hideMark/>
          </w:tcPr>
          <w:p w14:paraId="138C55E1" w14:textId="3B56F11D" w:rsidR="00543241" w:rsidRPr="000D1437" w:rsidRDefault="00543241" w:rsidP="00543241">
            <w:pPr>
              <w:jc w:val="right"/>
              <w:rPr>
                <w:rFonts w:ascii="Times New Roman" w:hAnsi="Times New Roman"/>
                <w:sz w:val="14"/>
                <w:szCs w:val="14"/>
              </w:rPr>
            </w:pPr>
            <w:r w:rsidRPr="000D1437">
              <w:rPr>
                <w:sz w:val="14"/>
                <w:szCs w:val="14"/>
              </w:rPr>
              <w:t>NO,IE,NA</w:t>
            </w:r>
          </w:p>
        </w:tc>
        <w:tc>
          <w:tcPr>
            <w:tcW w:w="1181" w:type="dxa"/>
            <w:tcBorders>
              <w:top w:val="nil"/>
              <w:left w:val="nil"/>
              <w:bottom w:val="single" w:sz="4" w:space="0" w:color="auto"/>
              <w:right w:val="single" w:sz="4" w:space="0" w:color="auto"/>
            </w:tcBorders>
            <w:shd w:val="clear" w:color="000000" w:fill="FFFFFF"/>
            <w:noWrap/>
            <w:vAlign w:val="bottom"/>
            <w:hideMark/>
          </w:tcPr>
          <w:p w14:paraId="09C74360" w14:textId="116CC599" w:rsidR="00543241" w:rsidRPr="000D1437" w:rsidRDefault="00543241" w:rsidP="00543241">
            <w:pPr>
              <w:jc w:val="right"/>
              <w:rPr>
                <w:rFonts w:ascii="Times New Roman" w:hAnsi="Times New Roman"/>
                <w:sz w:val="14"/>
                <w:szCs w:val="14"/>
              </w:rPr>
            </w:pPr>
            <w:r w:rsidRPr="000D1437">
              <w:rPr>
                <w:sz w:val="14"/>
                <w:szCs w:val="14"/>
              </w:rPr>
              <w:t>NO,IE,NA</w:t>
            </w:r>
          </w:p>
        </w:tc>
        <w:tc>
          <w:tcPr>
            <w:tcW w:w="1181" w:type="dxa"/>
            <w:tcBorders>
              <w:top w:val="nil"/>
              <w:left w:val="nil"/>
              <w:bottom w:val="single" w:sz="4" w:space="0" w:color="auto"/>
              <w:right w:val="single" w:sz="4" w:space="0" w:color="auto"/>
            </w:tcBorders>
            <w:shd w:val="clear" w:color="000000" w:fill="FFFFFF"/>
            <w:vAlign w:val="bottom"/>
          </w:tcPr>
          <w:p w14:paraId="3C707AEA" w14:textId="14E52CD1" w:rsidR="00543241" w:rsidRPr="000D1437" w:rsidRDefault="00543241" w:rsidP="00543241">
            <w:pPr>
              <w:jc w:val="right"/>
              <w:rPr>
                <w:rFonts w:ascii="Times New Roman" w:hAnsi="Times New Roman"/>
                <w:sz w:val="14"/>
                <w:szCs w:val="14"/>
              </w:rPr>
            </w:pPr>
            <w:r w:rsidRPr="000D1437">
              <w:rPr>
                <w:sz w:val="14"/>
                <w:szCs w:val="14"/>
              </w:rPr>
              <w:t>NO,IE,NA</w:t>
            </w:r>
          </w:p>
        </w:tc>
      </w:tr>
      <w:tr w:rsidR="00543241" w:rsidRPr="00364545" w14:paraId="0CB99B8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AC4B8C0" w14:textId="26E641AC"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167" w:type="dxa"/>
            <w:tcBorders>
              <w:top w:val="nil"/>
              <w:left w:val="nil"/>
              <w:bottom w:val="single" w:sz="4" w:space="0" w:color="auto"/>
              <w:right w:val="single" w:sz="4" w:space="0" w:color="auto"/>
            </w:tcBorders>
            <w:shd w:val="clear" w:color="000000" w:fill="CCFFFF"/>
            <w:noWrap/>
            <w:vAlign w:val="bottom"/>
            <w:hideMark/>
          </w:tcPr>
          <w:p w14:paraId="07F06310" w14:textId="36F5042D" w:rsidR="00543241" w:rsidRPr="000D1437" w:rsidRDefault="00543241" w:rsidP="00543241">
            <w:pPr>
              <w:jc w:val="right"/>
              <w:rPr>
                <w:rFonts w:ascii="Times New Roman" w:hAnsi="Times New Roman"/>
                <w:sz w:val="14"/>
                <w:szCs w:val="14"/>
              </w:rPr>
            </w:pPr>
            <w:r w:rsidRPr="000D1437">
              <w:rPr>
                <w:sz w:val="14"/>
                <w:szCs w:val="14"/>
              </w:rPr>
              <w:t>392915,77</w:t>
            </w:r>
          </w:p>
        </w:tc>
        <w:tc>
          <w:tcPr>
            <w:tcW w:w="1167" w:type="dxa"/>
            <w:tcBorders>
              <w:top w:val="nil"/>
              <w:left w:val="nil"/>
              <w:bottom w:val="single" w:sz="4" w:space="0" w:color="auto"/>
              <w:right w:val="single" w:sz="4" w:space="0" w:color="auto"/>
            </w:tcBorders>
            <w:shd w:val="clear" w:color="000000" w:fill="CCFFFF"/>
            <w:noWrap/>
            <w:vAlign w:val="bottom"/>
            <w:hideMark/>
          </w:tcPr>
          <w:p w14:paraId="2C1510F7" w14:textId="70ADF94D" w:rsidR="00543241" w:rsidRPr="000D1437" w:rsidRDefault="00543241" w:rsidP="00543241">
            <w:pPr>
              <w:jc w:val="right"/>
              <w:rPr>
                <w:rFonts w:ascii="Times New Roman" w:hAnsi="Times New Roman"/>
                <w:sz w:val="14"/>
                <w:szCs w:val="14"/>
              </w:rPr>
            </w:pPr>
            <w:r w:rsidRPr="000D1437">
              <w:rPr>
                <w:sz w:val="14"/>
                <w:szCs w:val="14"/>
              </w:rPr>
              <w:t>408192,69</w:t>
            </w:r>
          </w:p>
        </w:tc>
        <w:tc>
          <w:tcPr>
            <w:tcW w:w="1196" w:type="dxa"/>
            <w:tcBorders>
              <w:top w:val="nil"/>
              <w:left w:val="nil"/>
              <w:bottom w:val="single" w:sz="4" w:space="0" w:color="auto"/>
              <w:right w:val="single" w:sz="4" w:space="0" w:color="auto"/>
            </w:tcBorders>
            <w:shd w:val="clear" w:color="000000" w:fill="CCFFFF"/>
            <w:noWrap/>
            <w:vAlign w:val="bottom"/>
            <w:hideMark/>
          </w:tcPr>
          <w:p w14:paraId="3F389764" w14:textId="5D41FFB3" w:rsidR="00543241" w:rsidRPr="000D1437" w:rsidRDefault="00543241" w:rsidP="00543241">
            <w:pPr>
              <w:jc w:val="right"/>
              <w:rPr>
                <w:rFonts w:ascii="Times New Roman" w:hAnsi="Times New Roman"/>
                <w:sz w:val="14"/>
                <w:szCs w:val="14"/>
              </w:rPr>
            </w:pPr>
            <w:r w:rsidRPr="000D1437">
              <w:rPr>
                <w:sz w:val="14"/>
                <w:szCs w:val="14"/>
              </w:rPr>
              <w:t>400997,00</w:t>
            </w:r>
          </w:p>
        </w:tc>
        <w:tc>
          <w:tcPr>
            <w:tcW w:w="1182" w:type="dxa"/>
            <w:tcBorders>
              <w:top w:val="nil"/>
              <w:left w:val="nil"/>
              <w:bottom w:val="single" w:sz="4" w:space="0" w:color="auto"/>
              <w:right w:val="single" w:sz="4" w:space="0" w:color="auto"/>
            </w:tcBorders>
            <w:shd w:val="clear" w:color="000000" w:fill="CCFFFF"/>
            <w:noWrap/>
            <w:vAlign w:val="bottom"/>
            <w:hideMark/>
          </w:tcPr>
          <w:p w14:paraId="7914B1FD" w14:textId="47FB5244" w:rsidR="00543241" w:rsidRPr="000D1437" w:rsidRDefault="00543241" w:rsidP="00543241">
            <w:pPr>
              <w:jc w:val="right"/>
              <w:rPr>
                <w:rFonts w:ascii="Times New Roman" w:hAnsi="Times New Roman"/>
                <w:sz w:val="14"/>
                <w:szCs w:val="14"/>
              </w:rPr>
            </w:pPr>
            <w:r w:rsidRPr="000D1437">
              <w:rPr>
                <w:sz w:val="14"/>
                <w:szCs w:val="14"/>
              </w:rPr>
              <w:t>421028,68</w:t>
            </w:r>
          </w:p>
        </w:tc>
        <w:tc>
          <w:tcPr>
            <w:tcW w:w="1181" w:type="dxa"/>
            <w:tcBorders>
              <w:top w:val="nil"/>
              <w:left w:val="nil"/>
              <w:bottom w:val="single" w:sz="4" w:space="0" w:color="auto"/>
              <w:right w:val="single" w:sz="4" w:space="0" w:color="auto"/>
            </w:tcBorders>
            <w:shd w:val="clear" w:color="000000" w:fill="CCFFFF"/>
            <w:noWrap/>
            <w:vAlign w:val="bottom"/>
            <w:hideMark/>
          </w:tcPr>
          <w:p w14:paraId="29FD2EDF" w14:textId="0F8FC52F" w:rsidR="00543241" w:rsidRPr="000D1437" w:rsidRDefault="00543241" w:rsidP="00543241">
            <w:pPr>
              <w:jc w:val="right"/>
              <w:rPr>
                <w:rFonts w:ascii="Times New Roman" w:hAnsi="Times New Roman"/>
                <w:sz w:val="14"/>
                <w:szCs w:val="14"/>
              </w:rPr>
            </w:pPr>
            <w:r w:rsidRPr="000D1437">
              <w:rPr>
                <w:sz w:val="14"/>
                <w:szCs w:val="14"/>
              </w:rPr>
              <w:t>419846,19</w:t>
            </w:r>
          </w:p>
        </w:tc>
        <w:tc>
          <w:tcPr>
            <w:tcW w:w="1181" w:type="dxa"/>
            <w:tcBorders>
              <w:top w:val="nil"/>
              <w:left w:val="nil"/>
              <w:bottom w:val="single" w:sz="4" w:space="0" w:color="auto"/>
              <w:right w:val="single" w:sz="4" w:space="0" w:color="auto"/>
            </w:tcBorders>
            <w:shd w:val="clear" w:color="000000" w:fill="CCFFFF"/>
            <w:vAlign w:val="bottom"/>
          </w:tcPr>
          <w:p w14:paraId="70FBF381" w14:textId="198C64AF" w:rsidR="00543241" w:rsidRPr="000D1437" w:rsidRDefault="00543241" w:rsidP="00543241">
            <w:pPr>
              <w:jc w:val="right"/>
              <w:rPr>
                <w:rFonts w:ascii="Times New Roman" w:hAnsi="Times New Roman"/>
                <w:sz w:val="14"/>
                <w:szCs w:val="14"/>
              </w:rPr>
            </w:pPr>
            <w:r w:rsidRPr="000D1437">
              <w:rPr>
                <w:sz w:val="14"/>
                <w:szCs w:val="14"/>
              </w:rPr>
              <w:t>414788,47</w:t>
            </w:r>
          </w:p>
        </w:tc>
      </w:tr>
      <w:tr w:rsidR="00543241" w:rsidRPr="00364545" w14:paraId="30D2FA9B"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790EAC1" w14:textId="38EFCA1F"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167" w:type="dxa"/>
            <w:tcBorders>
              <w:top w:val="nil"/>
              <w:left w:val="nil"/>
              <w:bottom w:val="single" w:sz="4" w:space="0" w:color="auto"/>
              <w:right w:val="single" w:sz="4" w:space="0" w:color="auto"/>
            </w:tcBorders>
            <w:shd w:val="clear" w:color="000000" w:fill="CCFFFF"/>
            <w:noWrap/>
            <w:vAlign w:val="bottom"/>
            <w:hideMark/>
          </w:tcPr>
          <w:p w14:paraId="1D8ABDFD" w14:textId="39FF416D" w:rsidR="00543241" w:rsidRPr="000D1437" w:rsidRDefault="00543241" w:rsidP="00543241">
            <w:pPr>
              <w:jc w:val="right"/>
              <w:rPr>
                <w:rFonts w:ascii="Times New Roman" w:hAnsi="Times New Roman"/>
                <w:sz w:val="14"/>
                <w:szCs w:val="14"/>
              </w:rPr>
            </w:pPr>
            <w:r w:rsidRPr="000D1437">
              <w:rPr>
                <w:sz w:val="14"/>
                <w:szCs w:val="14"/>
              </w:rPr>
              <w:t>361120,67</w:t>
            </w:r>
          </w:p>
        </w:tc>
        <w:tc>
          <w:tcPr>
            <w:tcW w:w="1167" w:type="dxa"/>
            <w:tcBorders>
              <w:top w:val="nil"/>
              <w:left w:val="nil"/>
              <w:bottom w:val="single" w:sz="4" w:space="0" w:color="auto"/>
              <w:right w:val="single" w:sz="4" w:space="0" w:color="auto"/>
            </w:tcBorders>
            <w:shd w:val="clear" w:color="000000" w:fill="CCFFFF"/>
            <w:noWrap/>
            <w:vAlign w:val="bottom"/>
            <w:hideMark/>
          </w:tcPr>
          <w:p w14:paraId="6EA75E83" w14:textId="107DC0C0" w:rsidR="00543241" w:rsidRPr="000D1437" w:rsidRDefault="00543241" w:rsidP="00543241">
            <w:pPr>
              <w:jc w:val="right"/>
              <w:rPr>
                <w:rFonts w:ascii="Times New Roman" w:hAnsi="Times New Roman"/>
                <w:sz w:val="14"/>
                <w:szCs w:val="14"/>
              </w:rPr>
            </w:pPr>
            <w:r w:rsidRPr="000D1437">
              <w:rPr>
                <w:sz w:val="14"/>
                <w:szCs w:val="14"/>
              </w:rPr>
              <w:t>370782,17</w:t>
            </w:r>
          </w:p>
        </w:tc>
        <w:tc>
          <w:tcPr>
            <w:tcW w:w="1196" w:type="dxa"/>
            <w:tcBorders>
              <w:top w:val="nil"/>
              <w:left w:val="nil"/>
              <w:bottom w:val="single" w:sz="4" w:space="0" w:color="auto"/>
              <w:right w:val="single" w:sz="4" w:space="0" w:color="auto"/>
            </w:tcBorders>
            <w:shd w:val="clear" w:color="000000" w:fill="CCFFFF"/>
            <w:noWrap/>
            <w:vAlign w:val="bottom"/>
            <w:hideMark/>
          </w:tcPr>
          <w:p w14:paraId="25E1ABFF" w14:textId="43584A89" w:rsidR="00543241" w:rsidRPr="000D1437" w:rsidRDefault="00543241" w:rsidP="00543241">
            <w:pPr>
              <w:jc w:val="right"/>
              <w:rPr>
                <w:rFonts w:ascii="Times New Roman" w:hAnsi="Times New Roman"/>
                <w:sz w:val="14"/>
                <w:szCs w:val="14"/>
              </w:rPr>
            </w:pPr>
            <w:r w:rsidRPr="000D1437">
              <w:rPr>
                <w:sz w:val="14"/>
                <w:szCs w:val="14"/>
              </w:rPr>
              <w:t>363788,94</w:t>
            </w:r>
          </w:p>
        </w:tc>
        <w:tc>
          <w:tcPr>
            <w:tcW w:w="1182" w:type="dxa"/>
            <w:tcBorders>
              <w:top w:val="nil"/>
              <w:left w:val="nil"/>
              <w:bottom w:val="single" w:sz="4" w:space="0" w:color="auto"/>
              <w:right w:val="single" w:sz="4" w:space="0" w:color="auto"/>
            </w:tcBorders>
            <w:shd w:val="clear" w:color="000000" w:fill="CCFFFF"/>
            <w:noWrap/>
            <w:vAlign w:val="bottom"/>
            <w:hideMark/>
          </w:tcPr>
          <w:p w14:paraId="5D901865" w14:textId="2D3039DF" w:rsidR="00543241" w:rsidRPr="000D1437" w:rsidRDefault="00543241" w:rsidP="00543241">
            <w:pPr>
              <w:jc w:val="right"/>
              <w:rPr>
                <w:rFonts w:ascii="Times New Roman" w:hAnsi="Times New Roman"/>
                <w:sz w:val="14"/>
                <w:szCs w:val="14"/>
              </w:rPr>
            </w:pPr>
            <w:r w:rsidRPr="000D1437">
              <w:rPr>
                <w:sz w:val="14"/>
                <w:szCs w:val="14"/>
              </w:rPr>
              <w:t>382286,23</w:t>
            </w:r>
          </w:p>
        </w:tc>
        <w:tc>
          <w:tcPr>
            <w:tcW w:w="1181" w:type="dxa"/>
            <w:tcBorders>
              <w:top w:val="nil"/>
              <w:left w:val="nil"/>
              <w:bottom w:val="single" w:sz="4" w:space="0" w:color="auto"/>
              <w:right w:val="single" w:sz="4" w:space="0" w:color="auto"/>
            </w:tcBorders>
            <w:shd w:val="clear" w:color="000000" w:fill="CCFFFF"/>
            <w:noWrap/>
            <w:vAlign w:val="bottom"/>
            <w:hideMark/>
          </w:tcPr>
          <w:p w14:paraId="7C04D4D2" w14:textId="2E28DA28" w:rsidR="00543241" w:rsidRPr="000D1437" w:rsidRDefault="00543241" w:rsidP="00543241">
            <w:pPr>
              <w:jc w:val="right"/>
              <w:rPr>
                <w:rFonts w:ascii="Times New Roman" w:hAnsi="Times New Roman"/>
                <w:sz w:val="14"/>
                <w:szCs w:val="14"/>
              </w:rPr>
            </w:pPr>
            <w:r w:rsidRPr="000D1437">
              <w:rPr>
                <w:sz w:val="14"/>
                <w:szCs w:val="14"/>
              </w:rPr>
              <w:t>378132,88</w:t>
            </w:r>
          </w:p>
        </w:tc>
        <w:tc>
          <w:tcPr>
            <w:tcW w:w="1181" w:type="dxa"/>
            <w:tcBorders>
              <w:top w:val="nil"/>
              <w:left w:val="nil"/>
              <w:bottom w:val="single" w:sz="4" w:space="0" w:color="auto"/>
              <w:right w:val="single" w:sz="4" w:space="0" w:color="auto"/>
            </w:tcBorders>
            <w:shd w:val="clear" w:color="000000" w:fill="CCFFFF"/>
            <w:vAlign w:val="bottom"/>
          </w:tcPr>
          <w:p w14:paraId="60657F56" w14:textId="70460892" w:rsidR="00543241" w:rsidRPr="000D1437" w:rsidRDefault="00543241" w:rsidP="00543241">
            <w:pPr>
              <w:jc w:val="right"/>
              <w:rPr>
                <w:rFonts w:ascii="Times New Roman" w:hAnsi="Times New Roman"/>
                <w:sz w:val="14"/>
                <w:szCs w:val="14"/>
              </w:rPr>
            </w:pPr>
            <w:r w:rsidRPr="000D1437">
              <w:rPr>
                <w:sz w:val="14"/>
                <w:szCs w:val="14"/>
              </w:rPr>
              <w:t>390193,77</w:t>
            </w:r>
          </w:p>
        </w:tc>
      </w:tr>
      <w:tr w:rsidR="00543241" w:rsidRPr="00364545" w14:paraId="3FBFDCCD"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8E4E985" w14:textId="2F8B081D"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167" w:type="dxa"/>
            <w:tcBorders>
              <w:top w:val="nil"/>
              <w:left w:val="nil"/>
              <w:bottom w:val="single" w:sz="4" w:space="0" w:color="auto"/>
              <w:right w:val="single" w:sz="4" w:space="0" w:color="auto"/>
            </w:tcBorders>
            <w:shd w:val="clear" w:color="000000" w:fill="CCFFFF"/>
            <w:noWrap/>
            <w:vAlign w:val="bottom"/>
            <w:hideMark/>
          </w:tcPr>
          <w:p w14:paraId="70DF6BA7" w14:textId="49C3B34A" w:rsidR="00543241" w:rsidRPr="000D1437" w:rsidRDefault="00543241" w:rsidP="00543241">
            <w:pPr>
              <w:jc w:val="right"/>
              <w:rPr>
                <w:rFonts w:ascii="Times New Roman" w:hAnsi="Times New Roman"/>
                <w:sz w:val="14"/>
                <w:szCs w:val="14"/>
              </w:rPr>
            </w:pPr>
            <w:r w:rsidRPr="000D1437">
              <w:rPr>
                <w:sz w:val="14"/>
                <w:szCs w:val="14"/>
              </w:rPr>
              <w:t>NA</w:t>
            </w:r>
          </w:p>
        </w:tc>
        <w:tc>
          <w:tcPr>
            <w:tcW w:w="1167" w:type="dxa"/>
            <w:tcBorders>
              <w:top w:val="nil"/>
              <w:left w:val="nil"/>
              <w:bottom w:val="single" w:sz="4" w:space="0" w:color="auto"/>
              <w:right w:val="single" w:sz="4" w:space="0" w:color="auto"/>
            </w:tcBorders>
            <w:shd w:val="clear" w:color="000000" w:fill="CCFFFF"/>
            <w:noWrap/>
            <w:vAlign w:val="bottom"/>
            <w:hideMark/>
          </w:tcPr>
          <w:p w14:paraId="4631EBCA" w14:textId="73C1E73C" w:rsidR="00543241" w:rsidRPr="000D1437" w:rsidRDefault="00543241" w:rsidP="00543241">
            <w:pPr>
              <w:jc w:val="right"/>
              <w:rPr>
                <w:rFonts w:ascii="Times New Roman" w:hAnsi="Times New Roman"/>
                <w:sz w:val="14"/>
                <w:szCs w:val="14"/>
              </w:rPr>
            </w:pPr>
            <w:r w:rsidRPr="000D1437">
              <w:rPr>
                <w:sz w:val="14"/>
                <w:szCs w:val="14"/>
              </w:rPr>
              <w:t>NA</w:t>
            </w:r>
          </w:p>
        </w:tc>
        <w:tc>
          <w:tcPr>
            <w:tcW w:w="1196" w:type="dxa"/>
            <w:tcBorders>
              <w:top w:val="nil"/>
              <w:left w:val="nil"/>
              <w:bottom w:val="single" w:sz="4" w:space="0" w:color="auto"/>
              <w:right w:val="single" w:sz="4" w:space="0" w:color="auto"/>
            </w:tcBorders>
            <w:shd w:val="clear" w:color="000000" w:fill="CCFFFF"/>
            <w:noWrap/>
            <w:vAlign w:val="bottom"/>
            <w:hideMark/>
          </w:tcPr>
          <w:p w14:paraId="042F839F" w14:textId="70D0E254" w:rsidR="00543241" w:rsidRPr="000D1437" w:rsidRDefault="00543241" w:rsidP="00543241">
            <w:pPr>
              <w:jc w:val="right"/>
              <w:rPr>
                <w:rFonts w:ascii="Times New Roman" w:hAnsi="Times New Roman"/>
                <w:sz w:val="14"/>
                <w:szCs w:val="14"/>
              </w:rPr>
            </w:pPr>
            <w:r w:rsidRPr="000D1437">
              <w:rPr>
                <w:sz w:val="14"/>
                <w:szCs w:val="14"/>
              </w:rPr>
              <w:t>NA</w:t>
            </w:r>
          </w:p>
        </w:tc>
        <w:tc>
          <w:tcPr>
            <w:tcW w:w="1182" w:type="dxa"/>
            <w:tcBorders>
              <w:top w:val="nil"/>
              <w:left w:val="nil"/>
              <w:bottom w:val="single" w:sz="4" w:space="0" w:color="auto"/>
              <w:right w:val="single" w:sz="4" w:space="0" w:color="auto"/>
            </w:tcBorders>
            <w:shd w:val="clear" w:color="000000" w:fill="CCFFFF"/>
            <w:noWrap/>
            <w:vAlign w:val="bottom"/>
            <w:hideMark/>
          </w:tcPr>
          <w:p w14:paraId="2DD91912" w14:textId="1887A256" w:rsidR="00543241" w:rsidRPr="000D1437" w:rsidRDefault="00543241" w:rsidP="00543241">
            <w:pPr>
              <w:jc w:val="right"/>
              <w:rPr>
                <w:rFonts w:ascii="Times New Roman" w:hAnsi="Times New Roman"/>
                <w:sz w:val="14"/>
                <w:szCs w:val="14"/>
              </w:rPr>
            </w:pPr>
            <w:r w:rsidRPr="000D1437">
              <w:rPr>
                <w:sz w:val="14"/>
                <w:szCs w:val="14"/>
              </w:rPr>
              <w:t>NA</w:t>
            </w:r>
          </w:p>
        </w:tc>
        <w:tc>
          <w:tcPr>
            <w:tcW w:w="1181" w:type="dxa"/>
            <w:tcBorders>
              <w:top w:val="nil"/>
              <w:left w:val="nil"/>
              <w:bottom w:val="single" w:sz="4" w:space="0" w:color="auto"/>
              <w:right w:val="single" w:sz="4" w:space="0" w:color="auto"/>
            </w:tcBorders>
            <w:shd w:val="clear" w:color="000000" w:fill="CCFFFF"/>
            <w:noWrap/>
            <w:vAlign w:val="bottom"/>
            <w:hideMark/>
          </w:tcPr>
          <w:p w14:paraId="7CA384C1" w14:textId="266B6D6C" w:rsidR="00543241" w:rsidRPr="000D1437" w:rsidRDefault="00543241" w:rsidP="00543241">
            <w:pPr>
              <w:jc w:val="right"/>
              <w:rPr>
                <w:rFonts w:ascii="Times New Roman" w:hAnsi="Times New Roman"/>
                <w:sz w:val="14"/>
                <w:szCs w:val="14"/>
              </w:rPr>
            </w:pPr>
            <w:r w:rsidRPr="000D1437">
              <w:rPr>
                <w:sz w:val="14"/>
                <w:szCs w:val="14"/>
              </w:rPr>
              <w:t>NA</w:t>
            </w:r>
          </w:p>
        </w:tc>
        <w:tc>
          <w:tcPr>
            <w:tcW w:w="1181" w:type="dxa"/>
            <w:tcBorders>
              <w:top w:val="nil"/>
              <w:left w:val="nil"/>
              <w:bottom w:val="single" w:sz="4" w:space="0" w:color="auto"/>
              <w:right w:val="single" w:sz="4" w:space="0" w:color="auto"/>
            </w:tcBorders>
            <w:shd w:val="clear" w:color="000000" w:fill="CCFFFF"/>
            <w:vAlign w:val="bottom"/>
          </w:tcPr>
          <w:p w14:paraId="2828C950" w14:textId="02519A36" w:rsidR="00543241" w:rsidRPr="000D1437" w:rsidRDefault="00543241" w:rsidP="00543241">
            <w:pPr>
              <w:jc w:val="right"/>
              <w:rPr>
                <w:rFonts w:ascii="Times New Roman" w:hAnsi="Times New Roman"/>
                <w:sz w:val="14"/>
                <w:szCs w:val="14"/>
              </w:rPr>
            </w:pPr>
            <w:r w:rsidRPr="000D1437">
              <w:rPr>
                <w:sz w:val="14"/>
                <w:szCs w:val="14"/>
              </w:rPr>
              <w:t>NA</w:t>
            </w:r>
          </w:p>
        </w:tc>
      </w:tr>
      <w:tr w:rsidR="00543241" w:rsidRPr="00364545" w14:paraId="77E8BE46" w14:textId="77777777" w:rsidTr="00543241">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E867D0A" w14:textId="03C3132F"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167" w:type="dxa"/>
            <w:tcBorders>
              <w:top w:val="nil"/>
              <w:left w:val="nil"/>
              <w:bottom w:val="single" w:sz="4" w:space="0" w:color="auto"/>
              <w:right w:val="single" w:sz="4" w:space="0" w:color="auto"/>
            </w:tcBorders>
            <w:shd w:val="clear" w:color="000000" w:fill="CCFFFF"/>
            <w:noWrap/>
            <w:vAlign w:val="bottom"/>
            <w:hideMark/>
          </w:tcPr>
          <w:p w14:paraId="4877B6EF" w14:textId="0F95B228" w:rsidR="00543241" w:rsidRPr="000D1437" w:rsidRDefault="00543241" w:rsidP="00543241">
            <w:pPr>
              <w:jc w:val="right"/>
              <w:rPr>
                <w:rFonts w:ascii="Times New Roman" w:hAnsi="Times New Roman"/>
                <w:sz w:val="14"/>
                <w:szCs w:val="14"/>
              </w:rPr>
            </w:pPr>
            <w:r w:rsidRPr="000D1437">
              <w:rPr>
                <w:sz w:val="14"/>
                <w:szCs w:val="14"/>
              </w:rPr>
              <w:t>NA</w:t>
            </w:r>
          </w:p>
        </w:tc>
        <w:tc>
          <w:tcPr>
            <w:tcW w:w="1167" w:type="dxa"/>
            <w:tcBorders>
              <w:top w:val="nil"/>
              <w:left w:val="nil"/>
              <w:bottom w:val="single" w:sz="4" w:space="0" w:color="auto"/>
              <w:right w:val="single" w:sz="4" w:space="0" w:color="auto"/>
            </w:tcBorders>
            <w:shd w:val="clear" w:color="000000" w:fill="CCFFFF"/>
            <w:noWrap/>
            <w:vAlign w:val="bottom"/>
            <w:hideMark/>
          </w:tcPr>
          <w:p w14:paraId="33B1C18C" w14:textId="7CE06645" w:rsidR="00543241" w:rsidRPr="000D1437" w:rsidRDefault="00543241" w:rsidP="00543241">
            <w:pPr>
              <w:jc w:val="right"/>
              <w:rPr>
                <w:rFonts w:ascii="Times New Roman" w:hAnsi="Times New Roman"/>
                <w:sz w:val="14"/>
                <w:szCs w:val="14"/>
              </w:rPr>
            </w:pPr>
            <w:r w:rsidRPr="000D1437">
              <w:rPr>
                <w:sz w:val="14"/>
                <w:szCs w:val="14"/>
              </w:rPr>
              <w:t>NA</w:t>
            </w:r>
          </w:p>
        </w:tc>
        <w:tc>
          <w:tcPr>
            <w:tcW w:w="1196" w:type="dxa"/>
            <w:tcBorders>
              <w:top w:val="nil"/>
              <w:left w:val="nil"/>
              <w:bottom w:val="single" w:sz="4" w:space="0" w:color="auto"/>
              <w:right w:val="single" w:sz="4" w:space="0" w:color="auto"/>
            </w:tcBorders>
            <w:shd w:val="clear" w:color="000000" w:fill="CCFFFF"/>
            <w:noWrap/>
            <w:vAlign w:val="bottom"/>
            <w:hideMark/>
          </w:tcPr>
          <w:p w14:paraId="455ADFB7" w14:textId="47C06FAF" w:rsidR="00543241" w:rsidRPr="000D1437" w:rsidRDefault="00543241" w:rsidP="00543241">
            <w:pPr>
              <w:jc w:val="right"/>
              <w:rPr>
                <w:rFonts w:ascii="Times New Roman" w:hAnsi="Times New Roman"/>
                <w:sz w:val="14"/>
                <w:szCs w:val="14"/>
              </w:rPr>
            </w:pPr>
            <w:r w:rsidRPr="000D1437">
              <w:rPr>
                <w:sz w:val="14"/>
                <w:szCs w:val="14"/>
              </w:rPr>
              <w:t>NA</w:t>
            </w:r>
          </w:p>
        </w:tc>
        <w:tc>
          <w:tcPr>
            <w:tcW w:w="1182" w:type="dxa"/>
            <w:tcBorders>
              <w:top w:val="nil"/>
              <w:left w:val="nil"/>
              <w:bottom w:val="single" w:sz="4" w:space="0" w:color="auto"/>
              <w:right w:val="single" w:sz="4" w:space="0" w:color="auto"/>
            </w:tcBorders>
            <w:shd w:val="clear" w:color="000000" w:fill="CCFFFF"/>
            <w:noWrap/>
            <w:vAlign w:val="bottom"/>
            <w:hideMark/>
          </w:tcPr>
          <w:p w14:paraId="4A4550BD" w14:textId="3C8967EA" w:rsidR="00543241" w:rsidRPr="000D1437" w:rsidRDefault="00543241" w:rsidP="00543241">
            <w:pPr>
              <w:jc w:val="right"/>
              <w:rPr>
                <w:rFonts w:ascii="Times New Roman" w:hAnsi="Times New Roman"/>
                <w:sz w:val="14"/>
                <w:szCs w:val="14"/>
              </w:rPr>
            </w:pPr>
            <w:r w:rsidRPr="000D1437">
              <w:rPr>
                <w:sz w:val="14"/>
                <w:szCs w:val="14"/>
              </w:rPr>
              <w:t>NA</w:t>
            </w:r>
          </w:p>
        </w:tc>
        <w:tc>
          <w:tcPr>
            <w:tcW w:w="1181" w:type="dxa"/>
            <w:tcBorders>
              <w:top w:val="nil"/>
              <w:left w:val="nil"/>
              <w:bottom w:val="single" w:sz="4" w:space="0" w:color="auto"/>
              <w:right w:val="single" w:sz="4" w:space="0" w:color="auto"/>
            </w:tcBorders>
            <w:shd w:val="clear" w:color="000000" w:fill="CCFFFF"/>
            <w:noWrap/>
            <w:vAlign w:val="bottom"/>
            <w:hideMark/>
          </w:tcPr>
          <w:p w14:paraId="603733A8" w14:textId="7E643F97" w:rsidR="00543241" w:rsidRPr="000D1437" w:rsidRDefault="00543241" w:rsidP="00543241">
            <w:pPr>
              <w:jc w:val="right"/>
              <w:rPr>
                <w:rFonts w:ascii="Times New Roman" w:hAnsi="Times New Roman"/>
                <w:sz w:val="14"/>
                <w:szCs w:val="14"/>
              </w:rPr>
            </w:pPr>
            <w:r w:rsidRPr="000D1437">
              <w:rPr>
                <w:sz w:val="14"/>
                <w:szCs w:val="14"/>
              </w:rPr>
              <w:t>NA</w:t>
            </w:r>
          </w:p>
        </w:tc>
        <w:tc>
          <w:tcPr>
            <w:tcW w:w="1181" w:type="dxa"/>
            <w:tcBorders>
              <w:top w:val="nil"/>
              <w:left w:val="nil"/>
              <w:bottom w:val="single" w:sz="4" w:space="0" w:color="auto"/>
              <w:right w:val="single" w:sz="4" w:space="0" w:color="auto"/>
            </w:tcBorders>
            <w:shd w:val="clear" w:color="000000" w:fill="CCFFFF"/>
            <w:vAlign w:val="bottom"/>
          </w:tcPr>
          <w:p w14:paraId="40C59B6F" w14:textId="66E87DE9" w:rsidR="00543241" w:rsidRPr="000D1437" w:rsidRDefault="00543241" w:rsidP="00543241">
            <w:pPr>
              <w:jc w:val="right"/>
              <w:rPr>
                <w:rFonts w:ascii="Times New Roman" w:hAnsi="Times New Roman"/>
                <w:sz w:val="14"/>
                <w:szCs w:val="14"/>
              </w:rPr>
            </w:pPr>
            <w:r w:rsidRPr="000D1437">
              <w:rPr>
                <w:sz w:val="14"/>
                <w:szCs w:val="14"/>
              </w:rPr>
              <w:t>NA</w:t>
            </w:r>
          </w:p>
        </w:tc>
      </w:tr>
    </w:tbl>
    <w:p w14:paraId="36D8722D" w14:textId="77777777" w:rsidR="00B56301" w:rsidRPr="00364545" w:rsidRDefault="00B56301" w:rsidP="00B56301">
      <w:pPr>
        <w:rPr>
          <w:rFonts w:cs="Arial"/>
          <w:sz w:val="24"/>
        </w:rPr>
      </w:pPr>
    </w:p>
    <w:tbl>
      <w:tblPr>
        <w:tblW w:w="9940" w:type="dxa"/>
        <w:jc w:val="center"/>
        <w:tblCellMar>
          <w:left w:w="70" w:type="dxa"/>
          <w:right w:w="70" w:type="dxa"/>
        </w:tblCellMar>
        <w:tblLook w:val="04A0" w:firstRow="1" w:lastRow="0" w:firstColumn="1" w:lastColumn="0" w:noHBand="0" w:noVBand="1"/>
      </w:tblPr>
      <w:tblGrid>
        <w:gridCol w:w="2856"/>
        <w:gridCol w:w="1178"/>
        <w:gridCol w:w="1192"/>
        <w:gridCol w:w="1178"/>
        <w:gridCol w:w="1164"/>
        <w:gridCol w:w="1193"/>
        <w:gridCol w:w="1179"/>
      </w:tblGrid>
      <w:tr w:rsidR="00B56301" w:rsidRPr="00364545" w14:paraId="249B6CB2" w14:textId="77777777" w:rsidTr="00543241">
        <w:trPr>
          <w:trHeight w:val="68"/>
          <w:jc w:val="center"/>
        </w:trPr>
        <w:tc>
          <w:tcPr>
            <w:tcW w:w="285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8A0EDCF" w14:textId="77777777" w:rsidR="00B56301" w:rsidRPr="00364545" w:rsidRDefault="00B56301" w:rsidP="00B37B65">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178"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0CFE049"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2001</w:t>
            </w:r>
          </w:p>
        </w:tc>
        <w:tc>
          <w:tcPr>
            <w:tcW w:w="1192" w:type="dxa"/>
            <w:tcBorders>
              <w:top w:val="single" w:sz="4" w:space="0" w:color="auto"/>
              <w:left w:val="nil"/>
              <w:bottom w:val="single" w:sz="4" w:space="0" w:color="auto"/>
              <w:right w:val="single" w:sz="4" w:space="0" w:color="auto"/>
            </w:tcBorders>
            <w:shd w:val="clear" w:color="000000" w:fill="CCFFFF"/>
            <w:noWrap/>
            <w:vAlign w:val="center"/>
            <w:hideMark/>
          </w:tcPr>
          <w:p w14:paraId="01DC324E"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2002</w:t>
            </w:r>
          </w:p>
        </w:tc>
        <w:tc>
          <w:tcPr>
            <w:tcW w:w="1178" w:type="dxa"/>
            <w:tcBorders>
              <w:top w:val="single" w:sz="4" w:space="0" w:color="auto"/>
              <w:left w:val="nil"/>
              <w:bottom w:val="single" w:sz="4" w:space="0" w:color="auto"/>
              <w:right w:val="single" w:sz="4" w:space="0" w:color="auto"/>
            </w:tcBorders>
            <w:shd w:val="clear" w:color="000000" w:fill="CCFFFF"/>
            <w:noWrap/>
            <w:vAlign w:val="center"/>
            <w:hideMark/>
          </w:tcPr>
          <w:p w14:paraId="77828F62"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2003</w:t>
            </w:r>
          </w:p>
        </w:tc>
        <w:tc>
          <w:tcPr>
            <w:tcW w:w="1164" w:type="dxa"/>
            <w:tcBorders>
              <w:top w:val="single" w:sz="4" w:space="0" w:color="auto"/>
              <w:left w:val="nil"/>
              <w:bottom w:val="single" w:sz="4" w:space="0" w:color="auto"/>
              <w:right w:val="single" w:sz="4" w:space="0" w:color="auto"/>
            </w:tcBorders>
            <w:shd w:val="clear" w:color="000000" w:fill="CCFFFF"/>
            <w:noWrap/>
            <w:vAlign w:val="center"/>
            <w:hideMark/>
          </w:tcPr>
          <w:p w14:paraId="66C39385"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2004</w:t>
            </w:r>
          </w:p>
        </w:tc>
        <w:tc>
          <w:tcPr>
            <w:tcW w:w="1193" w:type="dxa"/>
            <w:tcBorders>
              <w:top w:val="single" w:sz="4" w:space="0" w:color="auto"/>
              <w:left w:val="nil"/>
              <w:bottom w:val="single" w:sz="4" w:space="0" w:color="auto"/>
              <w:right w:val="single" w:sz="4" w:space="0" w:color="auto"/>
            </w:tcBorders>
            <w:shd w:val="clear" w:color="000000" w:fill="CCFFFF"/>
            <w:noWrap/>
            <w:vAlign w:val="center"/>
            <w:hideMark/>
          </w:tcPr>
          <w:p w14:paraId="77FF3BE4"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2005</w:t>
            </w:r>
          </w:p>
        </w:tc>
        <w:tc>
          <w:tcPr>
            <w:tcW w:w="1179" w:type="dxa"/>
            <w:tcBorders>
              <w:top w:val="single" w:sz="4" w:space="0" w:color="auto"/>
              <w:left w:val="nil"/>
              <w:bottom w:val="single" w:sz="4" w:space="0" w:color="auto"/>
              <w:right w:val="single" w:sz="4" w:space="0" w:color="auto"/>
            </w:tcBorders>
            <w:shd w:val="clear" w:color="000000" w:fill="CCFFFF"/>
            <w:vAlign w:val="center"/>
          </w:tcPr>
          <w:p w14:paraId="15A98D38" w14:textId="77777777" w:rsidR="00B56301" w:rsidRPr="00364545" w:rsidRDefault="00B56301" w:rsidP="00B37B65">
            <w:pPr>
              <w:jc w:val="center"/>
              <w:rPr>
                <w:rFonts w:ascii="Times New Roman" w:hAnsi="Times New Roman"/>
                <w:b/>
                <w:bCs/>
                <w:sz w:val="16"/>
                <w:szCs w:val="16"/>
              </w:rPr>
            </w:pPr>
            <w:r w:rsidRPr="00364545">
              <w:rPr>
                <w:b/>
                <w:sz w:val="16"/>
              </w:rPr>
              <w:t>2006</w:t>
            </w:r>
          </w:p>
        </w:tc>
      </w:tr>
      <w:tr w:rsidR="00543241" w:rsidRPr="00364545" w14:paraId="364FF832" w14:textId="77777777" w:rsidTr="00543241">
        <w:trPr>
          <w:trHeight w:val="68"/>
          <w:jc w:val="center"/>
        </w:trPr>
        <w:tc>
          <w:tcPr>
            <w:tcW w:w="285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9A5A9D9"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178"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371EB15" w14:textId="00334FCE" w:rsidR="00543241" w:rsidRPr="00364545" w:rsidRDefault="00543241" w:rsidP="00543241">
            <w:pPr>
              <w:jc w:val="right"/>
              <w:rPr>
                <w:rFonts w:ascii="Times New Roman" w:hAnsi="Times New Roman"/>
                <w:sz w:val="16"/>
                <w:szCs w:val="16"/>
              </w:rPr>
            </w:pPr>
            <w:r w:rsidRPr="00CB4B9F">
              <w:rPr>
                <w:sz w:val="14"/>
                <w:szCs w:val="14"/>
              </w:rPr>
              <w:t>383657,73</w:t>
            </w:r>
          </w:p>
        </w:tc>
        <w:tc>
          <w:tcPr>
            <w:tcW w:w="1192" w:type="dxa"/>
            <w:tcBorders>
              <w:top w:val="single" w:sz="4" w:space="0" w:color="auto"/>
              <w:left w:val="nil"/>
              <w:bottom w:val="single" w:sz="4" w:space="0" w:color="auto"/>
              <w:right w:val="single" w:sz="4" w:space="0" w:color="auto"/>
            </w:tcBorders>
            <w:shd w:val="clear" w:color="000000" w:fill="CCFFFF"/>
            <w:noWrap/>
            <w:vAlign w:val="bottom"/>
            <w:hideMark/>
          </w:tcPr>
          <w:p w14:paraId="24546B35" w14:textId="4B89447D" w:rsidR="00543241" w:rsidRPr="00364545" w:rsidRDefault="00543241" w:rsidP="00543241">
            <w:pPr>
              <w:jc w:val="right"/>
              <w:rPr>
                <w:rFonts w:ascii="Times New Roman" w:hAnsi="Times New Roman"/>
                <w:sz w:val="16"/>
                <w:szCs w:val="16"/>
              </w:rPr>
            </w:pPr>
            <w:r w:rsidRPr="00CB4B9F">
              <w:rPr>
                <w:sz w:val="14"/>
                <w:szCs w:val="14"/>
              </w:rPr>
              <w:t>371250,08</w:t>
            </w:r>
          </w:p>
        </w:tc>
        <w:tc>
          <w:tcPr>
            <w:tcW w:w="1178" w:type="dxa"/>
            <w:tcBorders>
              <w:top w:val="single" w:sz="4" w:space="0" w:color="auto"/>
              <w:left w:val="nil"/>
              <w:bottom w:val="single" w:sz="4" w:space="0" w:color="auto"/>
              <w:right w:val="single" w:sz="4" w:space="0" w:color="auto"/>
            </w:tcBorders>
            <w:shd w:val="clear" w:color="000000" w:fill="CCFFFF"/>
            <w:noWrap/>
            <w:vAlign w:val="bottom"/>
            <w:hideMark/>
          </w:tcPr>
          <w:p w14:paraId="55A19D47" w14:textId="6C154128" w:rsidR="00543241" w:rsidRPr="00364545" w:rsidRDefault="00543241" w:rsidP="00543241">
            <w:pPr>
              <w:jc w:val="right"/>
              <w:rPr>
                <w:rFonts w:ascii="Times New Roman" w:hAnsi="Times New Roman"/>
                <w:sz w:val="16"/>
                <w:szCs w:val="16"/>
              </w:rPr>
            </w:pPr>
            <w:r w:rsidRPr="00CB4B9F">
              <w:rPr>
                <w:sz w:val="14"/>
                <w:szCs w:val="14"/>
              </w:rPr>
              <w:t>373223,76</w:t>
            </w:r>
          </w:p>
        </w:tc>
        <w:tc>
          <w:tcPr>
            <w:tcW w:w="1164" w:type="dxa"/>
            <w:tcBorders>
              <w:top w:val="single" w:sz="4" w:space="0" w:color="auto"/>
              <w:left w:val="nil"/>
              <w:bottom w:val="single" w:sz="4" w:space="0" w:color="auto"/>
              <w:right w:val="single" w:sz="4" w:space="0" w:color="auto"/>
            </w:tcBorders>
            <w:shd w:val="clear" w:color="000000" w:fill="CCFFFF"/>
            <w:noWrap/>
            <w:vAlign w:val="bottom"/>
            <w:hideMark/>
          </w:tcPr>
          <w:p w14:paraId="341BA282" w14:textId="06718A47" w:rsidR="00543241" w:rsidRPr="00364545" w:rsidRDefault="00543241" w:rsidP="00543241">
            <w:pPr>
              <w:jc w:val="right"/>
              <w:rPr>
                <w:rFonts w:ascii="Times New Roman" w:hAnsi="Times New Roman"/>
                <w:sz w:val="16"/>
                <w:szCs w:val="16"/>
              </w:rPr>
            </w:pPr>
            <w:r w:rsidRPr="00CB4B9F">
              <w:rPr>
                <w:sz w:val="14"/>
                <w:szCs w:val="14"/>
              </w:rPr>
              <w:t>371943,09</w:t>
            </w:r>
          </w:p>
        </w:tc>
        <w:tc>
          <w:tcPr>
            <w:tcW w:w="1193" w:type="dxa"/>
            <w:tcBorders>
              <w:top w:val="single" w:sz="4" w:space="0" w:color="auto"/>
              <w:left w:val="nil"/>
              <w:bottom w:val="single" w:sz="4" w:space="0" w:color="auto"/>
              <w:right w:val="single" w:sz="4" w:space="0" w:color="auto"/>
            </w:tcBorders>
            <w:shd w:val="clear" w:color="000000" w:fill="CCFFFF"/>
            <w:noWrap/>
            <w:vAlign w:val="bottom"/>
            <w:hideMark/>
          </w:tcPr>
          <w:p w14:paraId="2336166B" w14:textId="4CD28B40" w:rsidR="00543241" w:rsidRPr="00364545" w:rsidRDefault="00543241" w:rsidP="00543241">
            <w:pPr>
              <w:jc w:val="right"/>
              <w:rPr>
                <w:rFonts w:ascii="Times New Roman" w:hAnsi="Times New Roman"/>
                <w:sz w:val="16"/>
                <w:szCs w:val="16"/>
              </w:rPr>
            </w:pPr>
            <w:r w:rsidRPr="00CB4B9F">
              <w:rPr>
                <w:sz w:val="14"/>
                <w:szCs w:val="14"/>
              </w:rPr>
              <w:t>373972,04</w:t>
            </w:r>
          </w:p>
        </w:tc>
        <w:tc>
          <w:tcPr>
            <w:tcW w:w="1179" w:type="dxa"/>
            <w:tcBorders>
              <w:top w:val="single" w:sz="4" w:space="0" w:color="auto"/>
              <w:left w:val="nil"/>
              <w:bottom w:val="single" w:sz="4" w:space="0" w:color="auto"/>
              <w:right w:val="single" w:sz="4" w:space="0" w:color="auto"/>
            </w:tcBorders>
            <w:shd w:val="clear" w:color="000000" w:fill="CCFFFF"/>
            <w:vAlign w:val="bottom"/>
          </w:tcPr>
          <w:p w14:paraId="6D06BB65" w14:textId="4434FEB3" w:rsidR="00543241" w:rsidRPr="00364545" w:rsidRDefault="00543241" w:rsidP="00543241">
            <w:pPr>
              <w:jc w:val="right"/>
              <w:rPr>
                <w:rFonts w:ascii="Times New Roman" w:hAnsi="Times New Roman"/>
                <w:sz w:val="16"/>
                <w:szCs w:val="16"/>
              </w:rPr>
            </w:pPr>
            <w:r w:rsidRPr="00CB4B9F">
              <w:rPr>
                <w:sz w:val="14"/>
                <w:szCs w:val="14"/>
              </w:rPr>
              <w:t>362637,76</w:t>
            </w:r>
          </w:p>
        </w:tc>
      </w:tr>
      <w:tr w:rsidR="00543241" w:rsidRPr="00364545" w14:paraId="62EAC2AD" w14:textId="77777777" w:rsidTr="00543241">
        <w:trPr>
          <w:trHeight w:val="68"/>
          <w:jc w:val="center"/>
        </w:trPr>
        <w:tc>
          <w:tcPr>
            <w:tcW w:w="285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4F15C39"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1. Energy</w:t>
            </w:r>
          </w:p>
        </w:tc>
        <w:tc>
          <w:tcPr>
            <w:tcW w:w="1178" w:type="dxa"/>
            <w:tcBorders>
              <w:top w:val="nil"/>
              <w:left w:val="nil"/>
              <w:bottom w:val="single" w:sz="4" w:space="0" w:color="auto"/>
              <w:right w:val="single" w:sz="4" w:space="0" w:color="auto"/>
            </w:tcBorders>
            <w:shd w:val="clear" w:color="000000" w:fill="CCFFFF"/>
            <w:noWrap/>
            <w:vAlign w:val="bottom"/>
            <w:hideMark/>
          </w:tcPr>
          <w:p w14:paraId="2A6BCA2E" w14:textId="401BFACF" w:rsidR="00543241" w:rsidRPr="000D1437" w:rsidRDefault="00543241" w:rsidP="00543241">
            <w:pPr>
              <w:jc w:val="right"/>
              <w:rPr>
                <w:rFonts w:ascii="Times New Roman" w:hAnsi="Times New Roman"/>
                <w:sz w:val="14"/>
                <w:szCs w:val="14"/>
              </w:rPr>
            </w:pPr>
            <w:r w:rsidRPr="000D1437">
              <w:rPr>
                <w:sz w:val="14"/>
                <w:szCs w:val="14"/>
              </w:rPr>
              <w:t>377152,11</w:t>
            </w:r>
          </w:p>
        </w:tc>
        <w:tc>
          <w:tcPr>
            <w:tcW w:w="1192" w:type="dxa"/>
            <w:tcBorders>
              <w:top w:val="nil"/>
              <w:left w:val="nil"/>
              <w:bottom w:val="single" w:sz="4" w:space="0" w:color="auto"/>
              <w:right w:val="single" w:sz="4" w:space="0" w:color="auto"/>
            </w:tcBorders>
            <w:shd w:val="clear" w:color="000000" w:fill="CCFFFF"/>
            <w:noWrap/>
            <w:vAlign w:val="bottom"/>
            <w:hideMark/>
          </w:tcPr>
          <w:p w14:paraId="04380787" w14:textId="0C71B29D" w:rsidR="00543241" w:rsidRPr="000D1437" w:rsidRDefault="00543241" w:rsidP="00543241">
            <w:pPr>
              <w:jc w:val="right"/>
              <w:rPr>
                <w:rFonts w:ascii="Times New Roman" w:hAnsi="Times New Roman"/>
                <w:sz w:val="14"/>
                <w:szCs w:val="14"/>
              </w:rPr>
            </w:pPr>
            <w:r w:rsidRPr="000D1437">
              <w:rPr>
                <w:sz w:val="14"/>
                <w:szCs w:val="14"/>
              </w:rPr>
              <w:t>372809,76</w:t>
            </w:r>
          </w:p>
        </w:tc>
        <w:tc>
          <w:tcPr>
            <w:tcW w:w="1178" w:type="dxa"/>
            <w:tcBorders>
              <w:top w:val="nil"/>
              <w:left w:val="nil"/>
              <w:bottom w:val="single" w:sz="4" w:space="0" w:color="auto"/>
              <w:right w:val="single" w:sz="4" w:space="0" w:color="auto"/>
            </w:tcBorders>
            <w:shd w:val="clear" w:color="000000" w:fill="CCFFFF"/>
            <w:noWrap/>
            <w:vAlign w:val="bottom"/>
            <w:hideMark/>
          </w:tcPr>
          <w:p w14:paraId="74857E16" w14:textId="00DDFB98" w:rsidR="00543241" w:rsidRPr="000D1437" w:rsidRDefault="00543241" w:rsidP="00543241">
            <w:pPr>
              <w:jc w:val="right"/>
              <w:rPr>
                <w:rFonts w:ascii="Times New Roman" w:hAnsi="Times New Roman"/>
                <w:sz w:val="14"/>
                <w:szCs w:val="14"/>
              </w:rPr>
            </w:pPr>
            <w:r w:rsidRPr="000D1437">
              <w:rPr>
                <w:sz w:val="14"/>
                <w:szCs w:val="14"/>
              </w:rPr>
              <w:t>378767,12</w:t>
            </w:r>
          </w:p>
        </w:tc>
        <w:tc>
          <w:tcPr>
            <w:tcW w:w="1164" w:type="dxa"/>
            <w:tcBorders>
              <w:top w:val="nil"/>
              <w:left w:val="nil"/>
              <w:bottom w:val="single" w:sz="4" w:space="0" w:color="auto"/>
              <w:right w:val="single" w:sz="4" w:space="0" w:color="auto"/>
            </w:tcBorders>
            <w:shd w:val="clear" w:color="000000" w:fill="CCFFFF"/>
            <w:noWrap/>
            <w:vAlign w:val="bottom"/>
            <w:hideMark/>
          </w:tcPr>
          <w:p w14:paraId="40430D1A" w14:textId="5F099F6E" w:rsidR="00543241" w:rsidRPr="000D1437" w:rsidRDefault="00543241" w:rsidP="00543241">
            <w:pPr>
              <w:jc w:val="right"/>
              <w:rPr>
                <w:rFonts w:ascii="Times New Roman" w:hAnsi="Times New Roman"/>
                <w:sz w:val="14"/>
                <w:szCs w:val="14"/>
              </w:rPr>
            </w:pPr>
            <w:r w:rsidRPr="000D1437">
              <w:rPr>
                <w:sz w:val="14"/>
                <w:szCs w:val="14"/>
              </w:rPr>
              <w:t>378645,13</w:t>
            </w:r>
          </w:p>
        </w:tc>
        <w:tc>
          <w:tcPr>
            <w:tcW w:w="1193" w:type="dxa"/>
            <w:tcBorders>
              <w:top w:val="nil"/>
              <w:left w:val="nil"/>
              <w:bottom w:val="single" w:sz="4" w:space="0" w:color="auto"/>
              <w:right w:val="single" w:sz="4" w:space="0" w:color="auto"/>
            </w:tcBorders>
            <w:shd w:val="clear" w:color="000000" w:fill="CCFFFF"/>
            <w:noWrap/>
            <w:vAlign w:val="bottom"/>
            <w:hideMark/>
          </w:tcPr>
          <w:p w14:paraId="675A62B4" w14:textId="0F36150F" w:rsidR="00543241" w:rsidRPr="000D1437" w:rsidRDefault="00543241" w:rsidP="00543241">
            <w:pPr>
              <w:jc w:val="right"/>
              <w:rPr>
                <w:rFonts w:ascii="Times New Roman" w:hAnsi="Times New Roman"/>
                <w:sz w:val="14"/>
                <w:szCs w:val="14"/>
              </w:rPr>
            </w:pPr>
            <w:r w:rsidRPr="000D1437">
              <w:rPr>
                <w:sz w:val="14"/>
                <w:szCs w:val="14"/>
              </w:rPr>
              <w:t>381285,58</w:t>
            </w:r>
          </w:p>
        </w:tc>
        <w:tc>
          <w:tcPr>
            <w:tcW w:w="1179" w:type="dxa"/>
            <w:tcBorders>
              <w:top w:val="nil"/>
              <w:left w:val="nil"/>
              <w:bottom w:val="single" w:sz="4" w:space="0" w:color="auto"/>
              <w:right w:val="single" w:sz="4" w:space="0" w:color="auto"/>
            </w:tcBorders>
            <w:shd w:val="clear" w:color="000000" w:fill="CCFFFF"/>
            <w:vAlign w:val="bottom"/>
          </w:tcPr>
          <w:p w14:paraId="11897F71" w14:textId="28D29414" w:rsidR="00543241" w:rsidRPr="000D1437" w:rsidRDefault="00543241" w:rsidP="00543241">
            <w:pPr>
              <w:jc w:val="right"/>
              <w:rPr>
                <w:rFonts w:ascii="Times New Roman" w:hAnsi="Times New Roman"/>
                <w:sz w:val="14"/>
                <w:szCs w:val="14"/>
              </w:rPr>
            </w:pPr>
            <w:r w:rsidRPr="000D1437">
              <w:rPr>
                <w:sz w:val="14"/>
                <w:szCs w:val="14"/>
              </w:rPr>
              <w:t>370328,06</w:t>
            </w:r>
          </w:p>
        </w:tc>
      </w:tr>
      <w:tr w:rsidR="00543241" w:rsidRPr="00364545" w14:paraId="0B4E4C88"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633B62A1"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178" w:type="dxa"/>
            <w:tcBorders>
              <w:top w:val="nil"/>
              <w:left w:val="nil"/>
              <w:bottom w:val="single" w:sz="4" w:space="0" w:color="auto"/>
              <w:right w:val="single" w:sz="4" w:space="0" w:color="auto"/>
            </w:tcBorders>
            <w:shd w:val="clear" w:color="000000" w:fill="CCFFFF"/>
            <w:noWrap/>
            <w:vAlign w:val="bottom"/>
            <w:hideMark/>
          </w:tcPr>
          <w:p w14:paraId="78439706" w14:textId="31877C83" w:rsidR="00543241" w:rsidRPr="000D1437" w:rsidRDefault="00543241" w:rsidP="00543241">
            <w:pPr>
              <w:jc w:val="right"/>
              <w:rPr>
                <w:rFonts w:ascii="Times New Roman" w:hAnsi="Times New Roman"/>
                <w:sz w:val="14"/>
                <w:szCs w:val="14"/>
              </w:rPr>
            </w:pPr>
            <w:r w:rsidRPr="000D1437">
              <w:rPr>
                <w:sz w:val="14"/>
                <w:szCs w:val="14"/>
              </w:rPr>
              <w:t>372892,09</w:t>
            </w:r>
          </w:p>
        </w:tc>
        <w:tc>
          <w:tcPr>
            <w:tcW w:w="1192" w:type="dxa"/>
            <w:tcBorders>
              <w:top w:val="nil"/>
              <w:left w:val="nil"/>
              <w:bottom w:val="single" w:sz="4" w:space="0" w:color="auto"/>
              <w:right w:val="single" w:sz="4" w:space="0" w:color="auto"/>
            </w:tcBorders>
            <w:shd w:val="clear" w:color="000000" w:fill="CCFFFF"/>
            <w:noWrap/>
            <w:vAlign w:val="bottom"/>
            <w:hideMark/>
          </w:tcPr>
          <w:p w14:paraId="5405A788" w14:textId="35C07EBD" w:rsidR="00543241" w:rsidRPr="000D1437" w:rsidRDefault="00543241" w:rsidP="00543241">
            <w:pPr>
              <w:jc w:val="right"/>
              <w:rPr>
                <w:rFonts w:ascii="Times New Roman" w:hAnsi="Times New Roman"/>
                <w:sz w:val="14"/>
                <w:szCs w:val="14"/>
              </w:rPr>
            </w:pPr>
            <w:r w:rsidRPr="000D1437">
              <w:rPr>
                <w:sz w:val="14"/>
                <w:szCs w:val="14"/>
              </w:rPr>
              <w:t>368797,70</w:t>
            </w:r>
          </w:p>
        </w:tc>
        <w:tc>
          <w:tcPr>
            <w:tcW w:w="1178" w:type="dxa"/>
            <w:tcBorders>
              <w:top w:val="nil"/>
              <w:left w:val="nil"/>
              <w:bottom w:val="single" w:sz="4" w:space="0" w:color="auto"/>
              <w:right w:val="single" w:sz="4" w:space="0" w:color="auto"/>
            </w:tcBorders>
            <w:shd w:val="clear" w:color="000000" w:fill="CCFFFF"/>
            <w:noWrap/>
            <w:vAlign w:val="bottom"/>
            <w:hideMark/>
          </w:tcPr>
          <w:p w14:paraId="77F8EB0A" w14:textId="34CAE7A3" w:rsidR="00543241" w:rsidRPr="000D1437" w:rsidRDefault="00543241" w:rsidP="00543241">
            <w:pPr>
              <w:jc w:val="right"/>
              <w:rPr>
                <w:rFonts w:ascii="Times New Roman" w:hAnsi="Times New Roman"/>
                <w:sz w:val="14"/>
                <w:szCs w:val="14"/>
              </w:rPr>
            </w:pPr>
            <w:r w:rsidRPr="000D1437">
              <w:rPr>
                <w:sz w:val="14"/>
                <w:szCs w:val="14"/>
              </w:rPr>
              <w:t>374794,06</w:t>
            </w:r>
          </w:p>
        </w:tc>
        <w:tc>
          <w:tcPr>
            <w:tcW w:w="1164" w:type="dxa"/>
            <w:tcBorders>
              <w:top w:val="nil"/>
              <w:left w:val="nil"/>
              <w:bottom w:val="single" w:sz="4" w:space="0" w:color="auto"/>
              <w:right w:val="single" w:sz="4" w:space="0" w:color="auto"/>
            </w:tcBorders>
            <w:shd w:val="clear" w:color="000000" w:fill="CCFFFF"/>
            <w:noWrap/>
            <w:vAlign w:val="bottom"/>
            <w:hideMark/>
          </w:tcPr>
          <w:p w14:paraId="235DC849" w14:textId="67251CEC" w:rsidR="00543241" w:rsidRPr="000D1437" w:rsidRDefault="00543241" w:rsidP="00543241">
            <w:pPr>
              <w:jc w:val="right"/>
              <w:rPr>
                <w:rFonts w:ascii="Times New Roman" w:hAnsi="Times New Roman"/>
                <w:sz w:val="14"/>
                <w:szCs w:val="14"/>
              </w:rPr>
            </w:pPr>
            <w:r w:rsidRPr="000D1437">
              <w:rPr>
                <w:sz w:val="14"/>
                <w:szCs w:val="14"/>
              </w:rPr>
              <w:t>374641,27</w:t>
            </w:r>
          </w:p>
        </w:tc>
        <w:tc>
          <w:tcPr>
            <w:tcW w:w="1193" w:type="dxa"/>
            <w:tcBorders>
              <w:top w:val="nil"/>
              <w:left w:val="nil"/>
              <w:bottom w:val="single" w:sz="4" w:space="0" w:color="auto"/>
              <w:right w:val="single" w:sz="4" w:space="0" w:color="auto"/>
            </w:tcBorders>
            <w:shd w:val="clear" w:color="000000" w:fill="CCFFFF"/>
            <w:noWrap/>
            <w:vAlign w:val="bottom"/>
            <w:hideMark/>
          </w:tcPr>
          <w:p w14:paraId="5FD9507D" w14:textId="15D3793B" w:rsidR="00543241" w:rsidRPr="000D1437" w:rsidRDefault="00543241" w:rsidP="00543241">
            <w:pPr>
              <w:jc w:val="right"/>
              <w:rPr>
                <w:rFonts w:ascii="Times New Roman" w:hAnsi="Times New Roman"/>
                <w:sz w:val="14"/>
                <w:szCs w:val="14"/>
              </w:rPr>
            </w:pPr>
            <w:r w:rsidRPr="000D1437">
              <w:rPr>
                <w:sz w:val="14"/>
                <w:szCs w:val="14"/>
              </w:rPr>
              <w:t>377276,34</w:t>
            </w:r>
          </w:p>
        </w:tc>
        <w:tc>
          <w:tcPr>
            <w:tcW w:w="1179" w:type="dxa"/>
            <w:tcBorders>
              <w:top w:val="nil"/>
              <w:left w:val="nil"/>
              <w:bottom w:val="single" w:sz="4" w:space="0" w:color="auto"/>
              <w:right w:val="single" w:sz="4" w:space="0" w:color="auto"/>
            </w:tcBorders>
            <w:shd w:val="clear" w:color="000000" w:fill="CCFFFF"/>
            <w:vAlign w:val="bottom"/>
          </w:tcPr>
          <w:p w14:paraId="2EF1BF8D" w14:textId="6CDE8AB2" w:rsidR="00543241" w:rsidRPr="000D1437" w:rsidRDefault="00543241" w:rsidP="00543241">
            <w:pPr>
              <w:jc w:val="right"/>
              <w:rPr>
                <w:rFonts w:ascii="Times New Roman" w:hAnsi="Times New Roman"/>
                <w:sz w:val="14"/>
                <w:szCs w:val="14"/>
              </w:rPr>
            </w:pPr>
            <w:r w:rsidRPr="000D1437">
              <w:rPr>
                <w:sz w:val="14"/>
                <w:szCs w:val="14"/>
              </w:rPr>
              <w:t>366010,88</w:t>
            </w:r>
          </w:p>
        </w:tc>
      </w:tr>
      <w:tr w:rsidR="00543241" w:rsidRPr="00364545" w14:paraId="08575FCC"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5DABBBF" w14:textId="6DC3B2F6"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178" w:type="dxa"/>
            <w:tcBorders>
              <w:top w:val="nil"/>
              <w:left w:val="nil"/>
              <w:bottom w:val="single" w:sz="4" w:space="0" w:color="auto"/>
              <w:right w:val="single" w:sz="4" w:space="0" w:color="auto"/>
            </w:tcBorders>
            <w:shd w:val="clear" w:color="000000" w:fill="FFFFFF"/>
            <w:noWrap/>
            <w:vAlign w:val="bottom"/>
            <w:hideMark/>
          </w:tcPr>
          <w:p w14:paraId="43616D05" w14:textId="307BCCB2" w:rsidR="00543241" w:rsidRPr="000D1437" w:rsidRDefault="00543241" w:rsidP="00543241">
            <w:pPr>
              <w:jc w:val="right"/>
              <w:rPr>
                <w:rFonts w:ascii="Times New Roman" w:hAnsi="Times New Roman"/>
                <w:sz w:val="14"/>
                <w:szCs w:val="14"/>
              </w:rPr>
            </w:pPr>
            <w:r w:rsidRPr="000D1437">
              <w:rPr>
                <w:sz w:val="14"/>
                <w:szCs w:val="14"/>
              </w:rPr>
              <w:t>55419,72</w:t>
            </w:r>
          </w:p>
        </w:tc>
        <w:tc>
          <w:tcPr>
            <w:tcW w:w="1192" w:type="dxa"/>
            <w:tcBorders>
              <w:top w:val="nil"/>
              <w:left w:val="nil"/>
              <w:bottom w:val="single" w:sz="4" w:space="0" w:color="auto"/>
              <w:right w:val="single" w:sz="4" w:space="0" w:color="auto"/>
            </w:tcBorders>
            <w:shd w:val="clear" w:color="000000" w:fill="FFFFFF"/>
            <w:noWrap/>
            <w:vAlign w:val="bottom"/>
            <w:hideMark/>
          </w:tcPr>
          <w:p w14:paraId="0BA04278" w14:textId="18689039" w:rsidR="00543241" w:rsidRPr="000D1437" w:rsidRDefault="00543241" w:rsidP="00543241">
            <w:pPr>
              <w:jc w:val="right"/>
              <w:rPr>
                <w:rFonts w:ascii="Times New Roman" w:hAnsi="Times New Roman"/>
                <w:sz w:val="14"/>
                <w:szCs w:val="14"/>
              </w:rPr>
            </w:pPr>
            <w:r w:rsidRPr="000D1437">
              <w:rPr>
                <w:sz w:val="14"/>
                <w:szCs w:val="14"/>
              </w:rPr>
              <w:t>58686,54</w:t>
            </w:r>
          </w:p>
        </w:tc>
        <w:tc>
          <w:tcPr>
            <w:tcW w:w="1178" w:type="dxa"/>
            <w:tcBorders>
              <w:top w:val="nil"/>
              <w:left w:val="nil"/>
              <w:bottom w:val="single" w:sz="4" w:space="0" w:color="auto"/>
              <w:right w:val="single" w:sz="4" w:space="0" w:color="auto"/>
            </w:tcBorders>
            <w:shd w:val="clear" w:color="000000" w:fill="FFFFFF"/>
            <w:noWrap/>
            <w:vAlign w:val="bottom"/>
            <w:hideMark/>
          </w:tcPr>
          <w:p w14:paraId="1E22AD6B" w14:textId="7E71A016" w:rsidR="00543241" w:rsidRPr="000D1437" w:rsidRDefault="00543241" w:rsidP="00543241">
            <w:pPr>
              <w:jc w:val="right"/>
              <w:rPr>
                <w:rFonts w:ascii="Times New Roman" w:hAnsi="Times New Roman"/>
                <w:sz w:val="14"/>
                <w:szCs w:val="14"/>
              </w:rPr>
            </w:pPr>
            <w:r w:rsidRPr="000D1437">
              <w:rPr>
                <w:sz w:val="14"/>
                <w:szCs w:val="14"/>
              </w:rPr>
              <w:t>62092,97</w:t>
            </w:r>
          </w:p>
        </w:tc>
        <w:tc>
          <w:tcPr>
            <w:tcW w:w="1164" w:type="dxa"/>
            <w:tcBorders>
              <w:top w:val="nil"/>
              <w:left w:val="nil"/>
              <w:bottom w:val="single" w:sz="4" w:space="0" w:color="auto"/>
              <w:right w:val="single" w:sz="4" w:space="0" w:color="auto"/>
            </w:tcBorders>
            <w:shd w:val="clear" w:color="000000" w:fill="FFFFFF"/>
            <w:noWrap/>
            <w:vAlign w:val="bottom"/>
            <w:hideMark/>
          </w:tcPr>
          <w:p w14:paraId="3363A1B6" w14:textId="681773D6" w:rsidR="00543241" w:rsidRPr="000D1437" w:rsidRDefault="00543241" w:rsidP="00543241">
            <w:pPr>
              <w:jc w:val="right"/>
              <w:rPr>
                <w:rFonts w:ascii="Times New Roman" w:hAnsi="Times New Roman"/>
                <w:sz w:val="14"/>
                <w:szCs w:val="14"/>
              </w:rPr>
            </w:pPr>
            <w:r w:rsidRPr="000D1437">
              <w:rPr>
                <w:sz w:val="14"/>
                <w:szCs w:val="14"/>
              </w:rPr>
              <w:t>60971,42</w:t>
            </w:r>
          </w:p>
        </w:tc>
        <w:tc>
          <w:tcPr>
            <w:tcW w:w="1193" w:type="dxa"/>
            <w:tcBorders>
              <w:top w:val="nil"/>
              <w:left w:val="nil"/>
              <w:bottom w:val="single" w:sz="4" w:space="0" w:color="auto"/>
              <w:right w:val="single" w:sz="4" w:space="0" w:color="auto"/>
            </w:tcBorders>
            <w:shd w:val="clear" w:color="000000" w:fill="FFFFFF"/>
            <w:noWrap/>
            <w:vAlign w:val="bottom"/>
            <w:hideMark/>
          </w:tcPr>
          <w:p w14:paraId="103F93AB" w14:textId="66C3BEB8" w:rsidR="00543241" w:rsidRPr="000D1437" w:rsidRDefault="00543241" w:rsidP="00543241">
            <w:pPr>
              <w:jc w:val="right"/>
              <w:rPr>
                <w:rFonts w:ascii="Times New Roman" w:hAnsi="Times New Roman"/>
                <w:sz w:val="14"/>
                <w:szCs w:val="14"/>
              </w:rPr>
            </w:pPr>
            <w:r w:rsidRPr="000D1437">
              <w:rPr>
                <w:sz w:val="14"/>
                <w:szCs w:val="14"/>
              </w:rPr>
              <w:t>66346,82</w:t>
            </w:r>
          </w:p>
        </w:tc>
        <w:tc>
          <w:tcPr>
            <w:tcW w:w="1179" w:type="dxa"/>
            <w:tcBorders>
              <w:top w:val="nil"/>
              <w:left w:val="nil"/>
              <w:bottom w:val="single" w:sz="4" w:space="0" w:color="auto"/>
              <w:right w:val="single" w:sz="4" w:space="0" w:color="auto"/>
            </w:tcBorders>
            <w:shd w:val="clear" w:color="000000" w:fill="FFFFFF"/>
            <w:vAlign w:val="bottom"/>
          </w:tcPr>
          <w:p w14:paraId="7210C4B6" w14:textId="7E787AD9" w:rsidR="00543241" w:rsidRPr="000D1437" w:rsidRDefault="00543241" w:rsidP="00543241">
            <w:pPr>
              <w:jc w:val="right"/>
              <w:rPr>
                <w:rFonts w:ascii="Times New Roman" w:hAnsi="Times New Roman"/>
                <w:sz w:val="14"/>
                <w:szCs w:val="14"/>
              </w:rPr>
            </w:pPr>
            <w:r w:rsidRPr="000D1437">
              <w:rPr>
                <w:sz w:val="14"/>
                <w:szCs w:val="14"/>
              </w:rPr>
              <w:t>62310,64</w:t>
            </w:r>
          </w:p>
        </w:tc>
      </w:tr>
      <w:tr w:rsidR="00543241" w:rsidRPr="00364545" w14:paraId="0B5FCA7D"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B02DB52" w14:textId="07B56CC0"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178" w:type="dxa"/>
            <w:tcBorders>
              <w:top w:val="nil"/>
              <w:left w:val="nil"/>
              <w:bottom w:val="single" w:sz="4" w:space="0" w:color="auto"/>
              <w:right w:val="single" w:sz="4" w:space="0" w:color="auto"/>
            </w:tcBorders>
            <w:shd w:val="clear" w:color="000000" w:fill="FFFFFF"/>
            <w:noWrap/>
            <w:vAlign w:val="bottom"/>
            <w:hideMark/>
          </w:tcPr>
          <w:p w14:paraId="57A493D5" w14:textId="6F0DC726" w:rsidR="00543241" w:rsidRPr="000D1437" w:rsidRDefault="00543241" w:rsidP="00543241">
            <w:pPr>
              <w:jc w:val="right"/>
              <w:rPr>
                <w:rFonts w:ascii="Times New Roman" w:hAnsi="Times New Roman"/>
                <w:sz w:val="14"/>
                <w:szCs w:val="14"/>
              </w:rPr>
            </w:pPr>
            <w:r w:rsidRPr="000D1437">
              <w:rPr>
                <w:sz w:val="14"/>
                <w:szCs w:val="14"/>
              </w:rPr>
              <w:t>72053,53</w:t>
            </w:r>
          </w:p>
        </w:tc>
        <w:tc>
          <w:tcPr>
            <w:tcW w:w="1192" w:type="dxa"/>
            <w:tcBorders>
              <w:top w:val="nil"/>
              <w:left w:val="nil"/>
              <w:bottom w:val="single" w:sz="4" w:space="0" w:color="auto"/>
              <w:right w:val="single" w:sz="4" w:space="0" w:color="auto"/>
            </w:tcBorders>
            <w:shd w:val="clear" w:color="000000" w:fill="FFFFFF"/>
            <w:noWrap/>
            <w:vAlign w:val="bottom"/>
            <w:hideMark/>
          </w:tcPr>
          <w:p w14:paraId="5FC83150" w14:textId="7E9DE16E" w:rsidR="00543241" w:rsidRPr="000D1437" w:rsidRDefault="00543241" w:rsidP="00543241">
            <w:pPr>
              <w:jc w:val="right"/>
              <w:rPr>
                <w:rFonts w:ascii="Times New Roman" w:hAnsi="Times New Roman"/>
                <w:sz w:val="14"/>
                <w:szCs w:val="14"/>
              </w:rPr>
            </w:pPr>
            <w:r w:rsidRPr="000D1437">
              <w:rPr>
                <w:sz w:val="14"/>
                <w:szCs w:val="14"/>
              </w:rPr>
              <w:t>68001,80</w:t>
            </w:r>
          </w:p>
        </w:tc>
        <w:tc>
          <w:tcPr>
            <w:tcW w:w="1178" w:type="dxa"/>
            <w:tcBorders>
              <w:top w:val="nil"/>
              <w:left w:val="nil"/>
              <w:bottom w:val="single" w:sz="4" w:space="0" w:color="auto"/>
              <w:right w:val="single" w:sz="4" w:space="0" w:color="auto"/>
            </w:tcBorders>
            <w:shd w:val="clear" w:color="000000" w:fill="FFFFFF"/>
            <w:noWrap/>
            <w:vAlign w:val="bottom"/>
            <w:hideMark/>
          </w:tcPr>
          <w:p w14:paraId="1E18A939" w14:textId="09DE3712" w:rsidR="00543241" w:rsidRPr="000D1437" w:rsidRDefault="00543241" w:rsidP="00543241">
            <w:pPr>
              <w:jc w:val="right"/>
              <w:rPr>
                <w:rFonts w:ascii="Times New Roman" w:hAnsi="Times New Roman"/>
                <w:sz w:val="14"/>
                <w:szCs w:val="14"/>
              </w:rPr>
            </w:pPr>
            <w:r w:rsidRPr="000D1437">
              <w:rPr>
                <w:sz w:val="14"/>
                <w:szCs w:val="14"/>
              </w:rPr>
              <w:t>68030,91</w:t>
            </w:r>
          </w:p>
        </w:tc>
        <w:tc>
          <w:tcPr>
            <w:tcW w:w="1164" w:type="dxa"/>
            <w:tcBorders>
              <w:top w:val="nil"/>
              <w:left w:val="nil"/>
              <w:bottom w:val="single" w:sz="4" w:space="0" w:color="auto"/>
              <w:right w:val="single" w:sz="4" w:space="0" w:color="auto"/>
            </w:tcBorders>
            <w:shd w:val="clear" w:color="000000" w:fill="FFFFFF"/>
            <w:noWrap/>
            <w:vAlign w:val="bottom"/>
            <w:hideMark/>
          </w:tcPr>
          <w:p w14:paraId="3320BD69" w14:textId="2CF355A1" w:rsidR="00543241" w:rsidRPr="000D1437" w:rsidRDefault="00543241" w:rsidP="00543241">
            <w:pPr>
              <w:jc w:val="right"/>
              <w:rPr>
                <w:rFonts w:ascii="Times New Roman" w:hAnsi="Times New Roman"/>
                <w:sz w:val="14"/>
                <w:szCs w:val="14"/>
              </w:rPr>
            </w:pPr>
            <w:r w:rsidRPr="000D1437">
              <w:rPr>
                <w:sz w:val="14"/>
                <w:szCs w:val="14"/>
              </w:rPr>
              <w:t>63911,78</w:t>
            </w:r>
          </w:p>
        </w:tc>
        <w:tc>
          <w:tcPr>
            <w:tcW w:w="1193" w:type="dxa"/>
            <w:tcBorders>
              <w:top w:val="nil"/>
              <w:left w:val="nil"/>
              <w:bottom w:val="single" w:sz="4" w:space="0" w:color="auto"/>
              <w:right w:val="single" w:sz="4" w:space="0" w:color="auto"/>
            </w:tcBorders>
            <w:shd w:val="clear" w:color="000000" w:fill="FFFFFF"/>
            <w:noWrap/>
            <w:vAlign w:val="bottom"/>
            <w:hideMark/>
          </w:tcPr>
          <w:p w14:paraId="0A0F267C" w14:textId="0E28BBC9" w:rsidR="00543241" w:rsidRPr="000D1437" w:rsidRDefault="00543241" w:rsidP="00543241">
            <w:pPr>
              <w:jc w:val="right"/>
              <w:rPr>
                <w:rFonts w:ascii="Times New Roman" w:hAnsi="Times New Roman"/>
                <w:sz w:val="14"/>
                <w:szCs w:val="14"/>
              </w:rPr>
            </w:pPr>
            <w:r w:rsidRPr="000D1437">
              <w:rPr>
                <w:sz w:val="14"/>
                <w:szCs w:val="14"/>
              </w:rPr>
              <w:t>65392,98</w:t>
            </w:r>
          </w:p>
        </w:tc>
        <w:tc>
          <w:tcPr>
            <w:tcW w:w="1179" w:type="dxa"/>
            <w:tcBorders>
              <w:top w:val="nil"/>
              <w:left w:val="nil"/>
              <w:bottom w:val="single" w:sz="4" w:space="0" w:color="auto"/>
              <w:right w:val="single" w:sz="4" w:space="0" w:color="auto"/>
            </w:tcBorders>
            <w:shd w:val="clear" w:color="000000" w:fill="FFFFFF"/>
            <w:vAlign w:val="bottom"/>
          </w:tcPr>
          <w:p w14:paraId="02442583" w14:textId="4BB8CDA2" w:rsidR="00543241" w:rsidRPr="000D1437" w:rsidRDefault="00543241" w:rsidP="00543241">
            <w:pPr>
              <w:jc w:val="right"/>
              <w:rPr>
                <w:rFonts w:ascii="Times New Roman" w:hAnsi="Times New Roman"/>
                <w:sz w:val="14"/>
                <w:szCs w:val="14"/>
              </w:rPr>
            </w:pPr>
            <w:r w:rsidRPr="000D1437">
              <w:rPr>
                <w:sz w:val="14"/>
                <w:szCs w:val="14"/>
              </w:rPr>
              <w:t>63958,81</w:t>
            </w:r>
          </w:p>
        </w:tc>
      </w:tr>
      <w:tr w:rsidR="00543241" w:rsidRPr="00364545" w14:paraId="0B173BC7"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4E7E438" w14:textId="5619AC15"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178" w:type="dxa"/>
            <w:tcBorders>
              <w:top w:val="nil"/>
              <w:left w:val="nil"/>
              <w:bottom w:val="single" w:sz="4" w:space="0" w:color="auto"/>
              <w:right w:val="single" w:sz="4" w:space="0" w:color="auto"/>
            </w:tcBorders>
            <w:shd w:val="clear" w:color="000000" w:fill="FFFFFF"/>
            <w:noWrap/>
            <w:vAlign w:val="bottom"/>
            <w:hideMark/>
          </w:tcPr>
          <w:p w14:paraId="7F2B1BC3" w14:textId="0BB5A1DC" w:rsidR="00543241" w:rsidRPr="000D1437" w:rsidRDefault="00543241" w:rsidP="00543241">
            <w:pPr>
              <w:jc w:val="right"/>
              <w:rPr>
                <w:rFonts w:ascii="Times New Roman" w:hAnsi="Times New Roman"/>
                <w:sz w:val="14"/>
                <w:szCs w:val="14"/>
              </w:rPr>
            </w:pPr>
            <w:r w:rsidRPr="000D1437">
              <w:rPr>
                <w:sz w:val="14"/>
                <w:szCs w:val="14"/>
              </w:rPr>
              <w:t>142116,92</w:t>
            </w:r>
          </w:p>
        </w:tc>
        <w:tc>
          <w:tcPr>
            <w:tcW w:w="1192" w:type="dxa"/>
            <w:tcBorders>
              <w:top w:val="nil"/>
              <w:left w:val="nil"/>
              <w:bottom w:val="single" w:sz="4" w:space="0" w:color="auto"/>
              <w:right w:val="single" w:sz="4" w:space="0" w:color="auto"/>
            </w:tcBorders>
            <w:shd w:val="clear" w:color="000000" w:fill="FFFFFF"/>
            <w:noWrap/>
            <w:vAlign w:val="bottom"/>
            <w:hideMark/>
          </w:tcPr>
          <w:p w14:paraId="33D4FA42" w14:textId="520F3EE0" w:rsidR="00543241" w:rsidRPr="000D1437" w:rsidRDefault="00543241" w:rsidP="00543241">
            <w:pPr>
              <w:jc w:val="right"/>
              <w:rPr>
                <w:rFonts w:ascii="Times New Roman" w:hAnsi="Times New Roman"/>
                <w:sz w:val="14"/>
                <w:szCs w:val="14"/>
              </w:rPr>
            </w:pPr>
            <w:r w:rsidRPr="000D1437">
              <w:rPr>
                <w:sz w:val="14"/>
                <w:szCs w:val="14"/>
              </w:rPr>
              <w:t>143759,42</w:t>
            </w:r>
          </w:p>
        </w:tc>
        <w:tc>
          <w:tcPr>
            <w:tcW w:w="1178" w:type="dxa"/>
            <w:tcBorders>
              <w:top w:val="nil"/>
              <w:left w:val="nil"/>
              <w:bottom w:val="single" w:sz="4" w:space="0" w:color="auto"/>
              <w:right w:val="single" w:sz="4" w:space="0" w:color="auto"/>
            </w:tcBorders>
            <w:shd w:val="clear" w:color="000000" w:fill="FFFFFF"/>
            <w:noWrap/>
            <w:vAlign w:val="bottom"/>
            <w:hideMark/>
          </w:tcPr>
          <w:p w14:paraId="0C91778B" w14:textId="2DEBFBEE" w:rsidR="00543241" w:rsidRPr="000D1437" w:rsidRDefault="00543241" w:rsidP="00543241">
            <w:pPr>
              <w:jc w:val="right"/>
              <w:rPr>
                <w:rFonts w:ascii="Times New Roman" w:hAnsi="Times New Roman"/>
                <w:sz w:val="14"/>
                <w:szCs w:val="14"/>
              </w:rPr>
            </w:pPr>
            <w:r w:rsidRPr="000D1437">
              <w:rPr>
                <w:sz w:val="14"/>
                <w:szCs w:val="14"/>
              </w:rPr>
              <w:t>141965,80</w:t>
            </w:r>
          </w:p>
        </w:tc>
        <w:tc>
          <w:tcPr>
            <w:tcW w:w="1164" w:type="dxa"/>
            <w:tcBorders>
              <w:top w:val="nil"/>
              <w:left w:val="nil"/>
              <w:bottom w:val="single" w:sz="4" w:space="0" w:color="auto"/>
              <w:right w:val="single" w:sz="4" w:space="0" w:color="auto"/>
            </w:tcBorders>
            <w:shd w:val="clear" w:color="000000" w:fill="FFFFFF"/>
            <w:noWrap/>
            <w:vAlign w:val="bottom"/>
            <w:hideMark/>
          </w:tcPr>
          <w:p w14:paraId="43A3C080" w14:textId="512CAA28" w:rsidR="00543241" w:rsidRPr="000D1437" w:rsidRDefault="00543241" w:rsidP="00543241">
            <w:pPr>
              <w:jc w:val="right"/>
              <w:rPr>
                <w:rFonts w:ascii="Times New Roman" w:hAnsi="Times New Roman"/>
                <w:sz w:val="14"/>
                <w:szCs w:val="14"/>
              </w:rPr>
            </w:pPr>
            <w:r w:rsidRPr="000D1437">
              <w:rPr>
                <w:sz w:val="14"/>
                <w:szCs w:val="14"/>
              </w:rPr>
              <w:t>142534,91</w:t>
            </w:r>
          </w:p>
        </w:tc>
        <w:tc>
          <w:tcPr>
            <w:tcW w:w="1193" w:type="dxa"/>
            <w:tcBorders>
              <w:top w:val="nil"/>
              <w:left w:val="nil"/>
              <w:bottom w:val="single" w:sz="4" w:space="0" w:color="auto"/>
              <w:right w:val="single" w:sz="4" w:space="0" w:color="auto"/>
            </w:tcBorders>
            <w:shd w:val="clear" w:color="000000" w:fill="FFFFFF"/>
            <w:noWrap/>
            <w:vAlign w:val="bottom"/>
            <w:hideMark/>
          </w:tcPr>
          <w:p w14:paraId="7C1CC065" w14:textId="3988B26C" w:rsidR="00543241" w:rsidRPr="000D1437" w:rsidRDefault="00543241" w:rsidP="00543241">
            <w:pPr>
              <w:jc w:val="right"/>
              <w:rPr>
                <w:rFonts w:ascii="Times New Roman" w:hAnsi="Times New Roman"/>
                <w:sz w:val="14"/>
                <w:szCs w:val="14"/>
              </w:rPr>
            </w:pPr>
            <w:r w:rsidRPr="000D1437">
              <w:rPr>
                <w:sz w:val="14"/>
                <w:szCs w:val="14"/>
              </w:rPr>
              <w:t>140204,35</w:t>
            </w:r>
          </w:p>
        </w:tc>
        <w:tc>
          <w:tcPr>
            <w:tcW w:w="1179" w:type="dxa"/>
            <w:tcBorders>
              <w:top w:val="nil"/>
              <w:left w:val="nil"/>
              <w:bottom w:val="single" w:sz="4" w:space="0" w:color="auto"/>
              <w:right w:val="single" w:sz="4" w:space="0" w:color="auto"/>
            </w:tcBorders>
            <w:shd w:val="clear" w:color="000000" w:fill="FFFFFF"/>
            <w:vAlign w:val="bottom"/>
          </w:tcPr>
          <w:p w14:paraId="760DD0FC" w14:textId="4C31B6AB" w:rsidR="00543241" w:rsidRPr="000D1437" w:rsidRDefault="00543241" w:rsidP="00543241">
            <w:pPr>
              <w:jc w:val="right"/>
              <w:rPr>
                <w:rFonts w:ascii="Times New Roman" w:hAnsi="Times New Roman"/>
                <w:sz w:val="14"/>
                <w:szCs w:val="14"/>
              </w:rPr>
            </w:pPr>
            <w:r w:rsidRPr="000D1437">
              <w:rPr>
                <w:sz w:val="14"/>
                <w:szCs w:val="14"/>
              </w:rPr>
              <w:t>139754,48</w:t>
            </w:r>
          </w:p>
        </w:tc>
      </w:tr>
      <w:tr w:rsidR="00543241" w:rsidRPr="00364545" w14:paraId="4B169D89"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55CE7E2" w14:textId="31EB9385"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178" w:type="dxa"/>
            <w:tcBorders>
              <w:top w:val="nil"/>
              <w:left w:val="nil"/>
              <w:bottom w:val="single" w:sz="4" w:space="0" w:color="auto"/>
              <w:right w:val="single" w:sz="4" w:space="0" w:color="auto"/>
            </w:tcBorders>
            <w:shd w:val="clear" w:color="000000" w:fill="FFFFFF"/>
            <w:noWrap/>
            <w:vAlign w:val="bottom"/>
            <w:hideMark/>
          </w:tcPr>
          <w:p w14:paraId="2838917C" w14:textId="2A39AB5E" w:rsidR="00543241" w:rsidRPr="000D1437" w:rsidRDefault="00543241" w:rsidP="00543241">
            <w:pPr>
              <w:jc w:val="right"/>
              <w:rPr>
                <w:rFonts w:ascii="Times New Roman" w:hAnsi="Times New Roman"/>
                <w:sz w:val="14"/>
                <w:szCs w:val="14"/>
              </w:rPr>
            </w:pPr>
            <w:r w:rsidRPr="000D1437">
              <w:rPr>
                <w:sz w:val="14"/>
                <w:szCs w:val="14"/>
              </w:rPr>
              <w:t>101204,93</w:t>
            </w:r>
          </w:p>
        </w:tc>
        <w:tc>
          <w:tcPr>
            <w:tcW w:w="1192" w:type="dxa"/>
            <w:tcBorders>
              <w:top w:val="nil"/>
              <w:left w:val="nil"/>
              <w:bottom w:val="single" w:sz="4" w:space="0" w:color="auto"/>
              <w:right w:val="single" w:sz="4" w:space="0" w:color="auto"/>
            </w:tcBorders>
            <w:shd w:val="clear" w:color="000000" w:fill="FFFFFF"/>
            <w:noWrap/>
            <w:vAlign w:val="bottom"/>
            <w:hideMark/>
          </w:tcPr>
          <w:p w14:paraId="1D32075C" w14:textId="0170088C" w:rsidR="00543241" w:rsidRPr="000D1437" w:rsidRDefault="00543241" w:rsidP="00543241">
            <w:pPr>
              <w:jc w:val="right"/>
              <w:rPr>
                <w:rFonts w:ascii="Times New Roman" w:hAnsi="Times New Roman"/>
                <w:sz w:val="14"/>
                <w:szCs w:val="14"/>
              </w:rPr>
            </w:pPr>
            <w:r w:rsidRPr="000D1437">
              <w:rPr>
                <w:sz w:val="14"/>
                <w:szCs w:val="14"/>
              </w:rPr>
              <w:t>95684,19</w:t>
            </w:r>
          </w:p>
        </w:tc>
        <w:tc>
          <w:tcPr>
            <w:tcW w:w="1178" w:type="dxa"/>
            <w:tcBorders>
              <w:top w:val="nil"/>
              <w:left w:val="nil"/>
              <w:bottom w:val="single" w:sz="4" w:space="0" w:color="auto"/>
              <w:right w:val="single" w:sz="4" w:space="0" w:color="auto"/>
            </w:tcBorders>
            <w:shd w:val="clear" w:color="000000" w:fill="FFFFFF"/>
            <w:noWrap/>
            <w:vAlign w:val="bottom"/>
            <w:hideMark/>
          </w:tcPr>
          <w:p w14:paraId="23510893" w14:textId="42049CB4" w:rsidR="00543241" w:rsidRPr="000D1437" w:rsidRDefault="00543241" w:rsidP="00543241">
            <w:pPr>
              <w:jc w:val="right"/>
              <w:rPr>
                <w:rFonts w:ascii="Times New Roman" w:hAnsi="Times New Roman"/>
                <w:sz w:val="14"/>
                <w:szCs w:val="14"/>
              </w:rPr>
            </w:pPr>
            <w:r w:rsidRPr="000D1437">
              <w:rPr>
                <w:sz w:val="14"/>
                <w:szCs w:val="14"/>
              </w:rPr>
              <w:t>99829,22</w:t>
            </w:r>
          </w:p>
        </w:tc>
        <w:tc>
          <w:tcPr>
            <w:tcW w:w="1164" w:type="dxa"/>
            <w:tcBorders>
              <w:top w:val="nil"/>
              <w:left w:val="nil"/>
              <w:bottom w:val="single" w:sz="4" w:space="0" w:color="auto"/>
              <w:right w:val="single" w:sz="4" w:space="0" w:color="auto"/>
            </w:tcBorders>
            <w:shd w:val="clear" w:color="000000" w:fill="FFFFFF"/>
            <w:noWrap/>
            <w:vAlign w:val="bottom"/>
            <w:hideMark/>
          </w:tcPr>
          <w:p w14:paraId="76C2B30F" w14:textId="45FC87EC" w:rsidR="00543241" w:rsidRPr="000D1437" w:rsidRDefault="00543241" w:rsidP="00543241">
            <w:pPr>
              <w:jc w:val="right"/>
              <w:rPr>
                <w:rFonts w:ascii="Times New Roman" w:hAnsi="Times New Roman"/>
                <w:sz w:val="14"/>
                <w:szCs w:val="14"/>
              </w:rPr>
            </w:pPr>
            <w:r w:rsidRPr="000D1437">
              <w:rPr>
                <w:sz w:val="14"/>
                <w:szCs w:val="14"/>
              </w:rPr>
              <w:t>104347,99</w:t>
            </w:r>
          </w:p>
        </w:tc>
        <w:tc>
          <w:tcPr>
            <w:tcW w:w="1193" w:type="dxa"/>
            <w:tcBorders>
              <w:top w:val="nil"/>
              <w:left w:val="nil"/>
              <w:bottom w:val="single" w:sz="4" w:space="0" w:color="auto"/>
              <w:right w:val="single" w:sz="4" w:space="0" w:color="auto"/>
            </w:tcBorders>
            <w:shd w:val="clear" w:color="000000" w:fill="FFFFFF"/>
            <w:noWrap/>
            <w:vAlign w:val="bottom"/>
            <w:hideMark/>
          </w:tcPr>
          <w:p w14:paraId="265C477A" w14:textId="03F74892" w:rsidR="00543241" w:rsidRPr="000D1437" w:rsidRDefault="00543241" w:rsidP="00543241">
            <w:pPr>
              <w:jc w:val="right"/>
              <w:rPr>
                <w:rFonts w:ascii="Times New Roman" w:hAnsi="Times New Roman"/>
                <w:sz w:val="14"/>
                <w:szCs w:val="14"/>
              </w:rPr>
            </w:pPr>
            <w:r w:rsidRPr="000D1437">
              <w:rPr>
                <w:sz w:val="14"/>
                <w:szCs w:val="14"/>
              </w:rPr>
              <w:t>102706,24</w:t>
            </w:r>
          </w:p>
        </w:tc>
        <w:tc>
          <w:tcPr>
            <w:tcW w:w="1179" w:type="dxa"/>
            <w:tcBorders>
              <w:top w:val="nil"/>
              <w:left w:val="nil"/>
              <w:bottom w:val="single" w:sz="4" w:space="0" w:color="auto"/>
              <w:right w:val="single" w:sz="4" w:space="0" w:color="auto"/>
            </w:tcBorders>
            <w:shd w:val="clear" w:color="000000" w:fill="FFFFFF"/>
            <w:vAlign w:val="bottom"/>
          </w:tcPr>
          <w:p w14:paraId="3D2EE511" w14:textId="40A7C8BA" w:rsidR="00543241" w:rsidRPr="000D1437" w:rsidRDefault="00543241" w:rsidP="00543241">
            <w:pPr>
              <w:jc w:val="right"/>
              <w:rPr>
                <w:rFonts w:ascii="Times New Roman" w:hAnsi="Times New Roman"/>
                <w:sz w:val="14"/>
                <w:szCs w:val="14"/>
              </w:rPr>
            </w:pPr>
            <w:r w:rsidRPr="000D1437">
              <w:rPr>
                <w:sz w:val="14"/>
                <w:szCs w:val="14"/>
              </w:rPr>
              <w:t>97338,79</w:t>
            </w:r>
          </w:p>
        </w:tc>
      </w:tr>
      <w:tr w:rsidR="00543241" w:rsidRPr="00364545" w14:paraId="7AA13659"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DA65AE0" w14:textId="358732C1"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178" w:type="dxa"/>
            <w:tcBorders>
              <w:top w:val="nil"/>
              <w:left w:val="nil"/>
              <w:bottom w:val="single" w:sz="4" w:space="0" w:color="auto"/>
              <w:right w:val="single" w:sz="4" w:space="0" w:color="auto"/>
            </w:tcBorders>
            <w:shd w:val="clear" w:color="000000" w:fill="FFFFFF"/>
            <w:noWrap/>
            <w:vAlign w:val="bottom"/>
            <w:hideMark/>
          </w:tcPr>
          <w:p w14:paraId="31F90F81" w14:textId="7FCC708B" w:rsidR="00543241" w:rsidRPr="000D1437" w:rsidRDefault="00543241" w:rsidP="00543241">
            <w:pPr>
              <w:jc w:val="right"/>
              <w:rPr>
                <w:rFonts w:ascii="Times New Roman" w:hAnsi="Times New Roman"/>
                <w:sz w:val="14"/>
                <w:szCs w:val="14"/>
              </w:rPr>
            </w:pPr>
            <w:r w:rsidRPr="000D1437">
              <w:rPr>
                <w:sz w:val="14"/>
                <w:szCs w:val="14"/>
              </w:rPr>
              <w:t>2096,99</w:t>
            </w:r>
          </w:p>
        </w:tc>
        <w:tc>
          <w:tcPr>
            <w:tcW w:w="1192" w:type="dxa"/>
            <w:tcBorders>
              <w:top w:val="nil"/>
              <w:left w:val="nil"/>
              <w:bottom w:val="single" w:sz="4" w:space="0" w:color="auto"/>
              <w:right w:val="single" w:sz="4" w:space="0" w:color="auto"/>
            </w:tcBorders>
            <w:shd w:val="clear" w:color="000000" w:fill="FFFFFF"/>
            <w:noWrap/>
            <w:vAlign w:val="bottom"/>
            <w:hideMark/>
          </w:tcPr>
          <w:p w14:paraId="3AD49052" w14:textId="610670B1" w:rsidR="00543241" w:rsidRPr="000D1437" w:rsidRDefault="00543241" w:rsidP="00543241">
            <w:pPr>
              <w:jc w:val="right"/>
              <w:rPr>
                <w:rFonts w:ascii="Times New Roman" w:hAnsi="Times New Roman"/>
                <w:sz w:val="14"/>
                <w:szCs w:val="14"/>
              </w:rPr>
            </w:pPr>
            <w:r w:rsidRPr="000D1437">
              <w:rPr>
                <w:sz w:val="14"/>
                <w:szCs w:val="14"/>
              </w:rPr>
              <w:t>2665,75</w:t>
            </w:r>
          </w:p>
        </w:tc>
        <w:tc>
          <w:tcPr>
            <w:tcW w:w="1178" w:type="dxa"/>
            <w:tcBorders>
              <w:top w:val="nil"/>
              <w:left w:val="nil"/>
              <w:bottom w:val="single" w:sz="4" w:space="0" w:color="auto"/>
              <w:right w:val="single" w:sz="4" w:space="0" w:color="auto"/>
            </w:tcBorders>
            <w:shd w:val="clear" w:color="000000" w:fill="FFFFFF"/>
            <w:noWrap/>
            <w:vAlign w:val="bottom"/>
            <w:hideMark/>
          </w:tcPr>
          <w:p w14:paraId="07B16612" w14:textId="4F1E1B3B" w:rsidR="00543241" w:rsidRPr="000D1437" w:rsidRDefault="00543241" w:rsidP="00543241">
            <w:pPr>
              <w:jc w:val="right"/>
              <w:rPr>
                <w:rFonts w:ascii="Times New Roman" w:hAnsi="Times New Roman"/>
                <w:sz w:val="14"/>
                <w:szCs w:val="14"/>
              </w:rPr>
            </w:pPr>
            <w:r w:rsidRPr="000D1437">
              <w:rPr>
                <w:sz w:val="14"/>
                <w:szCs w:val="14"/>
              </w:rPr>
              <w:t>2875,16</w:t>
            </w:r>
          </w:p>
        </w:tc>
        <w:tc>
          <w:tcPr>
            <w:tcW w:w="1164" w:type="dxa"/>
            <w:tcBorders>
              <w:top w:val="nil"/>
              <w:left w:val="nil"/>
              <w:bottom w:val="single" w:sz="4" w:space="0" w:color="auto"/>
              <w:right w:val="single" w:sz="4" w:space="0" w:color="auto"/>
            </w:tcBorders>
            <w:shd w:val="clear" w:color="000000" w:fill="FFFFFF"/>
            <w:noWrap/>
            <w:vAlign w:val="bottom"/>
            <w:hideMark/>
          </w:tcPr>
          <w:p w14:paraId="3BA57092" w14:textId="5107739C" w:rsidR="00543241" w:rsidRPr="000D1437" w:rsidRDefault="00543241" w:rsidP="00543241">
            <w:pPr>
              <w:jc w:val="right"/>
              <w:rPr>
                <w:rFonts w:ascii="Times New Roman" w:hAnsi="Times New Roman"/>
                <w:sz w:val="14"/>
                <w:szCs w:val="14"/>
              </w:rPr>
            </w:pPr>
            <w:r w:rsidRPr="000D1437">
              <w:rPr>
                <w:sz w:val="14"/>
                <w:szCs w:val="14"/>
              </w:rPr>
              <w:t>2875,18</w:t>
            </w:r>
          </w:p>
        </w:tc>
        <w:tc>
          <w:tcPr>
            <w:tcW w:w="1193" w:type="dxa"/>
            <w:tcBorders>
              <w:top w:val="nil"/>
              <w:left w:val="nil"/>
              <w:bottom w:val="single" w:sz="4" w:space="0" w:color="auto"/>
              <w:right w:val="single" w:sz="4" w:space="0" w:color="auto"/>
            </w:tcBorders>
            <w:shd w:val="clear" w:color="000000" w:fill="FFFFFF"/>
            <w:noWrap/>
            <w:vAlign w:val="bottom"/>
            <w:hideMark/>
          </w:tcPr>
          <w:p w14:paraId="54DC5513" w14:textId="25EB04F6" w:rsidR="00543241" w:rsidRPr="000D1437" w:rsidRDefault="00543241" w:rsidP="00543241">
            <w:pPr>
              <w:jc w:val="right"/>
              <w:rPr>
                <w:rFonts w:ascii="Times New Roman" w:hAnsi="Times New Roman"/>
                <w:sz w:val="14"/>
                <w:szCs w:val="14"/>
              </w:rPr>
            </w:pPr>
            <w:r w:rsidRPr="000D1437">
              <w:rPr>
                <w:sz w:val="14"/>
                <w:szCs w:val="14"/>
              </w:rPr>
              <w:t>2625,95</w:t>
            </w:r>
          </w:p>
        </w:tc>
        <w:tc>
          <w:tcPr>
            <w:tcW w:w="1179" w:type="dxa"/>
            <w:tcBorders>
              <w:top w:val="nil"/>
              <w:left w:val="nil"/>
              <w:bottom w:val="single" w:sz="4" w:space="0" w:color="auto"/>
              <w:right w:val="single" w:sz="4" w:space="0" w:color="auto"/>
            </w:tcBorders>
            <w:shd w:val="clear" w:color="000000" w:fill="FFFFFF"/>
            <w:vAlign w:val="bottom"/>
          </w:tcPr>
          <w:p w14:paraId="23B8910C" w14:textId="442A0A50" w:rsidR="00543241" w:rsidRPr="000D1437" w:rsidRDefault="00543241" w:rsidP="00543241">
            <w:pPr>
              <w:jc w:val="right"/>
              <w:rPr>
                <w:rFonts w:ascii="Times New Roman" w:hAnsi="Times New Roman"/>
                <w:sz w:val="14"/>
                <w:szCs w:val="14"/>
              </w:rPr>
            </w:pPr>
            <w:r w:rsidRPr="000D1437">
              <w:rPr>
                <w:sz w:val="14"/>
                <w:szCs w:val="14"/>
              </w:rPr>
              <w:t>2648,17</w:t>
            </w:r>
          </w:p>
        </w:tc>
      </w:tr>
      <w:tr w:rsidR="00543241" w:rsidRPr="00364545" w14:paraId="1CD0275D"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5AEEEFE"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178" w:type="dxa"/>
            <w:tcBorders>
              <w:top w:val="nil"/>
              <w:left w:val="nil"/>
              <w:bottom w:val="single" w:sz="4" w:space="0" w:color="auto"/>
              <w:right w:val="single" w:sz="4" w:space="0" w:color="auto"/>
            </w:tcBorders>
            <w:shd w:val="clear" w:color="000000" w:fill="CCFFFF"/>
            <w:noWrap/>
            <w:vAlign w:val="bottom"/>
            <w:hideMark/>
          </w:tcPr>
          <w:p w14:paraId="73134715" w14:textId="1BDA7AB4" w:rsidR="00543241" w:rsidRPr="000D1437" w:rsidRDefault="00543241" w:rsidP="00543241">
            <w:pPr>
              <w:jc w:val="right"/>
              <w:rPr>
                <w:rFonts w:ascii="Times New Roman" w:hAnsi="Times New Roman"/>
                <w:sz w:val="14"/>
                <w:szCs w:val="14"/>
              </w:rPr>
            </w:pPr>
            <w:r w:rsidRPr="000D1437">
              <w:rPr>
                <w:sz w:val="14"/>
                <w:szCs w:val="14"/>
              </w:rPr>
              <w:t>4260,02</w:t>
            </w:r>
          </w:p>
        </w:tc>
        <w:tc>
          <w:tcPr>
            <w:tcW w:w="1192" w:type="dxa"/>
            <w:tcBorders>
              <w:top w:val="nil"/>
              <w:left w:val="nil"/>
              <w:bottom w:val="single" w:sz="4" w:space="0" w:color="auto"/>
              <w:right w:val="single" w:sz="4" w:space="0" w:color="auto"/>
            </w:tcBorders>
            <w:shd w:val="clear" w:color="000000" w:fill="CCFFFF"/>
            <w:noWrap/>
            <w:vAlign w:val="bottom"/>
            <w:hideMark/>
          </w:tcPr>
          <w:p w14:paraId="459AF567" w14:textId="27A2047D" w:rsidR="00543241" w:rsidRPr="000D1437" w:rsidRDefault="00543241" w:rsidP="00543241">
            <w:pPr>
              <w:jc w:val="right"/>
              <w:rPr>
                <w:rFonts w:ascii="Times New Roman" w:hAnsi="Times New Roman"/>
                <w:sz w:val="14"/>
                <w:szCs w:val="14"/>
              </w:rPr>
            </w:pPr>
            <w:r w:rsidRPr="000D1437">
              <w:rPr>
                <w:sz w:val="14"/>
                <w:szCs w:val="14"/>
              </w:rPr>
              <w:t>4012,06</w:t>
            </w:r>
          </w:p>
        </w:tc>
        <w:tc>
          <w:tcPr>
            <w:tcW w:w="1178" w:type="dxa"/>
            <w:tcBorders>
              <w:top w:val="nil"/>
              <w:left w:val="nil"/>
              <w:bottom w:val="single" w:sz="4" w:space="0" w:color="auto"/>
              <w:right w:val="single" w:sz="4" w:space="0" w:color="auto"/>
            </w:tcBorders>
            <w:shd w:val="clear" w:color="000000" w:fill="CCFFFF"/>
            <w:noWrap/>
            <w:vAlign w:val="bottom"/>
            <w:hideMark/>
          </w:tcPr>
          <w:p w14:paraId="64C54529" w14:textId="0D92F2A0" w:rsidR="00543241" w:rsidRPr="000D1437" w:rsidRDefault="00543241" w:rsidP="00543241">
            <w:pPr>
              <w:jc w:val="right"/>
              <w:rPr>
                <w:rFonts w:ascii="Times New Roman" w:hAnsi="Times New Roman"/>
                <w:sz w:val="14"/>
                <w:szCs w:val="14"/>
              </w:rPr>
            </w:pPr>
            <w:r w:rsidRPr="000D1437">
              <w:rPr>
                <w:sz w:val="14"/>
                <w:szCs w:val="14"/>
              </w:rPr>
              <w:t>3973,05</w:t>
            </w:r>
          </w:p>
        </w:tc>
        <w:tc>
          <w:tcPr>
            <w:tcW w:w="1164" w:type="dxa"/>
            <w:tcBorders>
              <w:top w:val="nil"/>
              <w:left w:val="nil"/>
              <w:bottom w:val="single" w:sz="4" w:space="0" w:color="auto"/>
              <w:right w:val="single" w:sz="4" w:space="0" w:color="auto"/>
            </w:tcBorders>
            <w:shd w:val="clear" w:color="000000" w:fill="CCFFFF"/>
            <w:noWrap/>
            <w:vAlign w:val="bottom"/>
            <w:hideMark/>
          </w:tcPr>
          <w:p w14:paraId="7EFB2070" w14:textId="597294FA" w:rsidR="00543241" w:rsidRPr="000D1437" w:rsidRDefault="00543241" w:rsidP="00543241">
            <w:pPr>
              <w:jc w:val="right"/>
              <w:rPr>
                <w:rFonts w:ascii="Times New Roman" w:hAnsi="Times New Roman"/>
                <w:sz w:val="14"/>
                <w:szCs w:val="14"/>
              </w:rPr>
            </w:pPr>
            <w:r w:rsidRPr="000D1437">
              <w:rPr>
                <w:sz w:val="14"/>
                <w:szCs w:val="14"/>
              </w:rPr>
              <w:t>4003,86</w:t>
            </w:r>
          </w:p>
        </w:tc>
        <w:tc>
          <w:tcPr>
            <w:tcW w:w="1193" w:type="dxa"/>
            <w:tcBorders>
              <w:top w:val="nil"/>
              <w:left w:val="nil"/>
              <w:bottom w:val="single" w:sz="4" w:space="0" w:color="auto"/>
              <w:right w:val="single" w:sz="4" w:space="0" w:color="auto"/>
            </w:tcBorders>
            <w:shd w:val="clear" w:color="000000" w:fill="CCFFFF"/>
            <w:noWrap/>
            <w:vAlign w:val="bottom"/>
            <w:hideMark/>
          </w:tcPr>
          <w:p w14:paraId="03187422" w14:textId="1BCA2525" w:rsidR="00543241" w:rsidRPr="000D1437" w:rsidRDefault="00543241" w:rsidP="00543241">
            <w:pPr>
              <w:jc w:val="right"/>
              <w:rPr>
                <w:rFonts w:ascii="Times New Roman" w:hAnsi="Times New Roman"/>
                <w:sz w:val="14"/>
                <w:szCs w:val="14"/>
              </w:rPr>
            </w:pPr>
            <w:r w:rsidRPr="000D1437">
              <w:rPr>
                <w:sz w:val="14"/>
                <w:szCs w:val="14"/>
              </w:rPr>
              <w:t>4009,24</w:t>
            </w:r>
          </w:p>
        </w:tc>
        <w:tc>
          <w:tcPr>
            <w:tcW w:w="1179" w:type="dxa"/>
            <w:tcBorders>
              <w:top w:val="nil"/>
              <w:left w:val="nil"/>
              <w:bottom w:val="single" w:sz="4" w:space="0" w:color="auto"/>
              <w:right w:val="single" w:sz="4" w:space="0" w:color="auto"/>
            </w:tcBorders>
            <w:shd w:val="clear" w:color="000000" w:fill="CCFFFF"/>
            <w:vAlign w:val="bottom"/>
          </w:tcPr>
          <w:p w14:paraId="5C2BF12D" w14:textId="34FFCC9E" w:rsidR="00543241" w:rsidRPr="000D1437" w:rsidRDefault="00543241" w:rsidP="00543241">
            <w:pPr>
              <w:jc w:val="right"/>
              <w:rPr>
                <w:rFonts w:ascii="Times New Roman" w:hAnsi="Times New Roman"/>
                <w:sz w:val="14"/>
                <w:szCs w:val="14"/>
              </w:rPr>
            </w:pPr>
            <w:r w:rsidRPr="000D1437">
              <w:rPr>
                <w:sz w:val="14"/>
                <w:szCs w:val="14"/>
              </w:rPr>
              <w:t>4317,18</w:t>
            </w:r>
          </w:p>
        </w:tc>
      </w:tr>
      <w:tr w:rsidR="00543241" w:rsidRPr="00364545" w14:paraId="78C111DC"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882E75C" w14:textId="1EB2DCFF"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178" w:type="dxa"/>
            <w:tcBorders>
              <w:top w:val="nil"/>
              <w:left w:val="nil"/>
              <w:bottom w:val="single" w:sz="4" w:space="0" w:color="auto"/>
              <w:right w:val="single" w:sz="4" w:space="0" w:color="auto"/>
            </w:tcBorders>
            <w:shd w:val="clear" w:color="000000" w:fill="FFFFFF"/>
            <w:noWrap/>
            <w:vAlign w:val="bottom"/>
            <w:hideMark/>
          </w:tcPr>
          <w:p w14:paraId="50F2A6B0" w14:textId="54598A83" w:rsidR="00543241" w:rsidRPr="000D1437" w:rsidRDefault="00543241" w:rsidP="00543241">
            <w:pPr>
              <w:jc w:val="right"/>
              <w:rPr>
                <w:rFonts w:ascii="Times New Roman" w:hAnsi="Times New Roman"/>
                <w:sz w:val="14"/>
                <w:szCs w:val="14"/>
              </w:rPr>
            </w:pPr>
            <w:r w:rsidRPr="000D1437">
              <w:rPr>
                <w:sz w:val="14"/>
                <w:szCs w:val="14"/>
              </w:rPr>
              <w:t>NO,NA</w:t>
            </w:r>
          </w:p>
        </w:tc>
        <w:tc>
          <w:tcPr>
            <w:tcW w:w="1192" w:type="dxa"/>
            <w:tcBorders>
              <w:top w:val="nil"/>
              <w:left w:val="nil"/>
              <w:bottom w:val="single" w:sz="4" w:space="0" w:color="auto"/>
              <w:right w:val="single" w:sz="4" w:space="0" w:color="auto"/>
            </w:tcBorders>
            <w:shd w:val="clear" w:color="000000" w:fill="FFFFFF"/>
            <w:noWrap/>
            <w:vAlign w:val="bottom"/>
            <w:hideMark/>
          </w:tcPr>
          <w:p w14:paraId="07F187EE" w14:textId="0A239783" w:rsidR="00543241" w:rsidRPr="000D1437" w:rsidRDefault="00543241" w:rsidP="00543241">
            <w:pPr>
              <w:jc w:val="right"/>
              <w:rPr>
                <w:rFonts w:ascii="Times New Roman" w:hAnsi="Times New Roman"/>
                <w:sz w:val="14"/>
                <w:szCs w:val="14"/>
              </w:rPr>
            </w:pPr>
            <w:r w:rsidRPr="000D1437">
              <w:rPr>
                <w:sz w:val="14"/>
                <w:szCs w:val="14"/>
              </w:rPr>
              <w:t>NO,NA</w:t>
            </w:r>
          </w:p>
        </w:tc>
        <w:tc>
          <w:tcPr>
            <w:tcW w:w="1178" w:type="dxa"/>
            <w:tcBorders>
              <w:top w:val="nil"/>
              <w:left w:val="nil"/>
              <w:bottom w:val="single" w:sz="4" w:space="0" w:color="auto"/>
              <w:right w:val="single" w:sz="4" w:space="0" w:color="auto"/>
            </w:tcBorders>
            <w:shd w:val="clear" w:color="000000" w:fill="FFFFFF"/>
            <w:noWrap/>
            <w:vAlign w:val="bottom"/>
            <w:hideMark/>
          </w:tcPr>
          <w:p w14:paraId="57F86EB4" w14:textId="127840DA" w:rsidR="00543241" w:rsidRPr="000D1437" w:rsidRDefault="00543241" w:rsidP="00543241">
            <w:pPr>
              <w:jc w:val="right"/>
              <w:rPr>
                <w:rFonts w:ascii="Times New Roman" w:hAnsi="Times New Roman"/>
                <w:sz w:val="14"/>
                <w:szCs w:val="14"/>
              </w:rPr>
            </w:pPr>
            <w:r w:rsidRPr="000D1437">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70BBE6E6" w14:textId="2A5CB0E1"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7395FAE4" w14:textId="40FA7EBB" w:rsidR="00543241" w:rsidRPr="000D1437" w:rsidRDefault="00543241" w:rsidP="00543241">
            <w:pPr>
              <w:jc w:val="right"/>
              <w:rPr>
                <w:rFonts w:ascii="Times New Roman" w:hAnsi="Times New Roman"/>
                <w:sz w:val="14"/>
                <w:szCs w:val="14"/>
              </w:rPr>
            </w:pPr>
            <w:r w:rsidRPr="000D1437">
              <w:rPr>
                <w:sz w:val="14"/>
                <w:szCs w:val="14"/>
              </w:rPr>
              <w:t>NO,NA</w:t>
            </w:r>
          </w:p>
        </w:tc>
        <w:tc>
          <w:tcPr>
            <w:tcW w:w="1179" w:type="dxa"/>
            <w:tcBorders>
              <w:top w:val="nil"/>
              <w:left w:val="nil"/>
              <w:bottom w:val="single" w:sz="4" w:space="0" w:color="auto"/>
              <w:right w:val="single" w:sz="4" w:space="0" w:color="auto"/>
            </w:tcBorders>
            <w:shd w:val="clear" w:color="000000" w:fill="FFFFFF"/>
            <w:vAlign w:val="bottom"/>
          </w:tcPr>
          <w:p w14:paraId="5BC6E80D" w14:textId="64DCA15A"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67FB6292"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1D72EA4" w14:textId="4ED4F608"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178" w:type="dxa"/>
            <w:tcBorders>
              <w:top w:val="nil"/>
              <w:left w:val="nil"/>
              <w:bottom w:val="single" w:sz="4" w:space="0" w:color="auto"/>
              <w:right w:val="single" w:sz="4" w:space="0" w:color="auto"/>
            </w:tcBorders>
            <w:shd w:val="clear" w:color="000000" w:fill="FFFFFF"/>
            <w:noWrap/>
            <w:vAlign w:val="bottom"/>
            <w:hideMark/>
          </w:tcPr>
          <w:p w14:paraId="57251E05" w14:textId="7F26D63A" w:rsidR="00543241" w:rsidRPr="000D1437" w:rsidRDefault="00543241" w:rsidP="00543241">
            <w:pPr>
              <w:jc w:val="right"/>
              <w:rPr>
                <w:rFonts w:ascii="Times New Roman" w:hAnsi="Times New Roman"/>
                <w:sz w:val="14"/>
                <w:szCs w:val="14"/>
              </w:rPr>
            </w:pPr>
            <w:r w:rsidRPr="000D1437">
              <w:rPr>
                <w:sz w:val="14"/>
                <w:szCs w:val="14"/>
              </w:rPr>
              <w:t>4260,02</w:t>
            </w:r>
          </w:p>
        </w:tc>
        <w:tc>
          <w:tcPr>
            <w:tcW w:w="1192" w:type="dxa"/>
            <w:tcBorders>
              <w:top w:val="nil"/>
              <w:left w:val="nil"/>
              <w:bottom w:val="single" w:sz="4" w:space="0" w:color="auto"/>
              <w:right w:val="single" w:sz="4" w:space="0" w:color="auto"/>
            </w:tcBorders>
            <w:shd w:val="clear" w:color="000000" w:fill="FFFFFF"/>
            <w:noWrap/>
            <w:vAlign w:val="bottom"/>
            <w:hideMark/>
          </w:tcPr>
          <w:p w14:paraId="45FD9ADB" w14:textId="0FF57BCA" w:rsidR="00543241" w:rsidRPr="000D1437" w:rsidRDefault="00543241" w:rsidP="00543241">
            <w:pPr>
              <w:jc w:val="right"/>
              <w:rPr>
                <w:rFonts w:ascii="Times New Roman" w:hAnsi="Times New Roman"/>
                <w:sz w:val="14"/>
                <w:szCs w:val="14"/>
              </w:rPr>
            </w:pPr>
            <w:r w:rsidRPr="000D1437">
              <w:rPr>
                <w:sz w:val="14"/>
                <w:szCs w:val="14"/>
              </w:rPr>
              <w:t>4012,06</w:t>
            </w:r>
          </w:p>
        </w:tc>
        <w:tc>
          <w:tcPr>
            <w:tcW w:w="1178" w:type="dxa"/>
            <w:tcBorders>
              <w:top w:val="nil"/>
              <w:left w:val="nil"/>
              <w:bottom w:val="single" w:sz="4" w:space="0" w:color="auto"/>
              <w:right w:val="single" w:sz="4" w:space="0" w:color="auto"/>
            </w:tcBorders>
            <w:shd w:val="clear" w:color="000000" w:fill="FFFFFF"/>
            <w:noWrap/>
            <w:vAlign w:val="bottom"/>
            <w:hideMark/>
          </w:tcPr>
          <w:p w14:paraId="2D2A92C2" w14:textId="579AACA7" w:rsidR="00543241" w:rsidRPr="000D1437" w:rsidRDefault="00543241" w:rsidP="00543241">
            <w:pPr>
              <w:jc w:val="right"/>
              <w:rPr>
                <w:rFonts w:ascii="Times New Roman" w:hAnsi="Times New Roman"/>
                <w:sz w:val="14"/>
                <w:szCs w:val="14"/>
              </w:rPr>
            </w:pPr>
            <w:r w:rsidRPr="000D1437">
              <w:rPr>
                <w:sz w:val="14"/>
                <w:szCs w:val="14"/>
              </w:rPr>
              <w:t>3973,05</w:t>
            </w:r>
          </w:p>
        </w:tc>
        <w:tc>
          <w:tcPr>
            <w:tcW w:w="1164" w:type="dxa"/>
            <w:tcBorders>
              <w:top w:val="nil"/>
              <w:left w:val="nil"/>
              <w:bottom w:val="single" w:sz="4" w:space="0" w:color="auto"/>
              <w:right w:val="single" w:sz="4" w:space="0" w:color="auto"/>
            </w:tcBorders>
            <w:shd w:val="clear" w:color="000000" w:fill="FFFFFF"/>
            <w:noWrap/>
            <w:vAlign w:val="bottom"/>
            <w:hideMark/>
          </w:tcPr>
          <w:p w14:paraId="554CF617" w14:textId="63DE6C51" w:rsidR="00543241" w:rsidRPr="000D1437" w:rsidRDefault="00543241" w:rsidP="00543241">
            <w:pPr>
              <w:jc w:val="right"/>
              <w:rPr>
                <w:rFonts w:ascii="Times New Roman" w:hAnsi="Times New Roman"/>
                <w:sz w:val="14"/>
                <w:szCs w:val="14"/>
              </w:rPr>
            </w:pPr>
            <w:r w:rsidRPr="000D1437">
              <w:rPr>
                <w:sz w:val="14"/>
                <w:szCs w:val="14"/>
              </w:rPr>
              <w:t>4003,86</w:t>
            </w:r>
          </w:p>
        </w:tc>
        <w:tc>
          <w:tcPr>
            <w:tcW w:w="1193" w:type="dxa"/>
            <w:tcBorders>
              <w:top w:val="nil"/>
              <w:left w:val="nil"/>
              <w:bottom w:val="single" w:sz="4" w:space="0" w:color="auto"/>
              <w:right w:val="single" w:sz="4" w:space="0" w:color="auto"/>
            </w:tcBorders>
            <w:shd w:val="clear" w:color="000000" w:fill="FFFFFF"/>
            <w:noWrap/>
            <w:vAlign w:val="bottom"/>
            <w:hideMark/>
          </w:tcPr>
          <w:p w14:paraId="0489B37D" w14:textId="66EE3D9C" w:rsidR="00543241" w:rsidRPr="000D1437" w:rsidRDefault="00543241" w:rsidP="00543241">
            <w:pPr>
              <w:jc w:val="right"/>
              <w:rPr>
                <w:rFonts w:ascii="Times New Roman" w:hAnsi="Times New Roman"/>
                <w:sz w:val="14"/>
                <w:szCs w:val="14"/>
              </w:rPr>
            </w:pPr>
            <w:r w:rsidRPr="000D1437">
              <w:rPr>
                <w:sz w:val="14"/>
                <w:szCs w:val="14"/>
              </w:rPr>
              <w:t>4009,24</w:t>
            </w:r>
          </w:p>
        </w:tc>
        <w:tc>
          <w:tcPr>
            <w:tcW w:w="1179" w:type="dxa"/>
            <w:tcBorders>
              <w:top w:val="nil"/>
              <w:left w:val="nil"/>
              <w:bottom w:val="single" w:sz="4" w:space="0" w:color="auto"/>
              <w:right w:val="single" w:sz="4" w:space="0" w:color="auto"/>
            </w:tcBorders>
            <w:shd w:val="clear" w:color="000000" w:fill="FFFFFF"/>
            <w:vAlign w:val="bottom"/>
          </w:tcPr>
          <w:p w14:paraId="31B781CD" w14:textId="5CBE6FDF" w:rsidR="00543241" w:rsidRPr="000D1437" w:rsidRDefault="00543241" w:rsidP="00543241">
            <w:pPr>
              <w:jc w:val="right"/>
              <w:rPr>
                <w:rFonts w:ascii="Times New Roman" w:hAnsi="Times New Roman"/>
                <w:sz w:val="14"/>
                <w:szCs w:val="14"/>
              </w:rPr>
            </w:pPr>
            <w:r w:rsidRPr="000D1437">
              <w:rPr>
                <w:sz w:val="14"/>
                <w:szCs w:val="14"/>
              </w:rPr>
              <w:t>4317,18</w:t>
            </w:r>
          </w:p>
        </w:tc>
      </w:tr>
      <w:tr w:rsidR="00543241" w:rsidRPr="00364545" w14:paraId="3B785AD8"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20177B9" w14:textId="200D0AB9"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178" w:type="dxa"/>
            <w:tcBorders>
              <w:top w:val="nil"/>
              <w:left w:val="nil"/>
              <w:bottom w:val="single" w:sz="4" w:space="0" w:color="auto"/>
              <w:right w:val="single" w:sz="4" w:space="0" w:color="auto"/>
            </w:tcBorders>
            <w:shd w:val="clear" w:color="000000" w:fill="FFFFFF"/>
            <w:noWrap/>
            <w:vAlign w:val="bottom"/>
            <w:hideMark/>
          </w:tcPr>
          <w:p w14:paraId="7D5AB145" w14:textId="10D6B4ED" w:rsidR="00543241" w:rsidRPr="000D1437" w:rsidRDefault="00543241" w:rsidP="00543241">
            <w:pPr>
              <w:jc w:val="right"/>
              <w:rPr>
                <w:rFonts w:ascii="Times New Roman" w:hAnsi="Times New Roman"/>
                <w:sz w:val="14"/>
                <w:szCs w:val="14"/>
              </w:rPr>
            </w:pPr>
            <w:r w:rsidRPr="000D1437">
              <w:rPr>
                <w:sz w:val="14"/>
                <w:szCs w:val="14"/>
              </w:rPr>
              <w:t>NO</w:t>
            </w:r>
          </w:p>
        </w:tc>
        <w:tc>
          <w:tcPr>
            <w:tcW w:w="1192" w:type="dxa"/>
            <w:tcBorders>
              <w:top w:val="nil"/>
              <w:left w:val="nil"/>
              <w:bottom w:val="single" w:sz="4" w:space="0" w:color="auto"/>
              <w:right w:val="single" w:sz="4" w:space="0" w:color="auto"/>
            </w:tcBorders>
            <w:shd w:val="clear" w:color="000000" w:fill="FFFFFF"/>
            <w:noWrap/>
            <w:vAlign w:val="bottom"/>
            <w:hideMark/>
          </w:tcPr>
          <w:p w14:paraId="1B4FA5B2" w14:textId="17E7A5B1" w:rsidR="00543241" w:rsidRPr="000D1437" w:rsidRDefault="00543241" w:rsidP="00543241">
            <w:pPr>
              <w:jc w:val="right"/>
              <w:rPr>
                <w:rFonts w:ascii="Times New Roman" w:hAnsi="Times New Roman"/>
                <w:sz w:val="14"/>
                <w:szCs w:val="14"/>
              </w:rPr>
            </w:pPr>
            <w:r w:rsidRPr="000D1437">
              <w:rPr>
                <w:sz w:val="14"/>
                <w:szCs w:val="14"/>
              </w:rPr>
              <w:t>NO</w:t>
            </w:r>
          </w:p>
        </w:tc>
        <w:tc>
          <w:tcPr>
            <w:tcW w:w="1178" w:type="dxa"/>
            <w:tcBorders>
              <w:top w:val="nil"/>
              <w:left w:val="nil"/>
              <w:bottom w:val="single" w:sz="4" w:space="0" w:color="auto"/>
              <w:right w:val="single" w:sz="4" w:space="0" w:color="auto"/>
            </w:tcBorders>
            <w:shd w:val="clear" w:color="000000" w:fill="FFFFFF"/>
            <w:noWrap/>
            <w:vAlign w:val="bottom"/>
            <w:hideMark/>
          </w:tcPr>
          <w:p w14:paraId="59945A6E" w14:textId="2CCC369E" w:rsidR="00543241" w:rsidRPr="000D1437" w:rsidRDefault="00543241" w:rsidP="00543241">
            <w:pPr>
              <w:jc w:val="right"/>
              <w:rPr>
                <w:rFonts w:ascii="Times New Roman" w:hAnsi="Times New Roman"/>
                <w:sz w:val="14"/>
                <w:szCs w:val="14"/>
              </w:rPr>
            </w:pPr>
            <w:r w:rsidRPr="000D1437">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2B5E13B7" w14:textId="31581188"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53272095" w14:textId="1AA568D9" w:rsidR="00543241" w:rsidRPr="000D1437" w:rsidRDefault="00543241" w:rsidP="00543241">
            <w:pPr>
              <w:jc w:val="right"/>
              <w:rPr>
                <w:rFonts w:ascii="Times New Roman" w:hAnsi="Times New Roman"/>
                <w:sz w:val="14"/>
                <w:szCs w:val="14"/>
              </w:rPr>
            </w:pPr>
            <w:r w:rsidRPr="000D1437">
              <w:rPr>
                <w:sz w:val="14"/>
                <w:szCs w:val="14"/>
              </w:rPr>
              <w:t>NO</w:t>
            </w:r>
          </w:p>
        </w:tc>
        <w:tc>
          <w:tcPr>
            <w:tcW w:w="1179" w:type="dxa"/>
            <w:tcBorders>
              <w:top w:val="nil"/>
              <w:left w:val="nil"/>
              <w:bottom w:val="single" w:sz="4" w:space="0" w:color="auto"/>
              <w:right w:val="single" w:sz="4" w:space="0" w:color="auto"/>
            </w:tcBorders>
            <w:shd w:val="clear" w:color="000000" w:fill="FFFFFF"/>
            <w:vAlign w:val="bottom"/>
          </w:tcPr>
          <w:p w14:paraId="1F19CA73" w14:textId="56B40986"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26509C6D"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341EBBC" w14:textId="5AEF711D"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2. Industrial Processes</w:t>
            </w:r>
          </w:p>
        </w:tc>
        <w:tc>
          <w:tcPr>
            <w:tcW w:w="1178" w:type="dxa"/>
            <w:tcBorders>
              <w:top w:val="nil"/>
              <w:left w:val="nil"/>
              <w:bottom w:val="single" w:sz="4" w:space="0" w:color="auto"/>
              <w:right w:val="single" w:sz="4" w:space="0" w:color="auto"/>
            </w:tcBorders>
            <w:shd w:val="clear" w:color="000000" w:fill="CCFFFF"/>
            <w:noWrap/>
            <w:vAlign w:val="bottom"/>
            <w:hideMark/>
          </w:tcPr>
          <w:p w14:paraId="62FD47E9" w14:textId="53DE3877" w:rsidR="00543241" w:rsidRPr="000D1437" w:rsidRDefault="00543241" w:rsidP="00543241">
            <w:pPr>
              <w:jc w:val="right"/>
              <w:rPr>
                <w:rFonts w:ascii="Times New Roman" w:hAnsi="Times New Roman"/>
                <w:sz w:val="14"/>
                <w:szCs w:val="14"/>
              </w:rPr>
            </w:pPr>
            <w:r w:rsidRPr="000D1437">
              <w:rPr>
                <w:sz w:val="14"/>
                <w:szCs w:val="14"/>
              </w:rPr>
              <w:t>39133,64</w:t>
            </w:r>
          </w:p>
        </w:tc>
        <w:tc>
          <w:tcPr>
            <w:tcW w:w="1192" w:type="dxa"/>
            <w:tcBorders>
              <w:top w:val="nil"/>
              <w:left w:val="nil"/>
              <w:bottom w:val="single" w:sz="4" w:space="0" w:color="auto"/>
              <w:right w:val="single" w:sz="4" w:space="0" w:color="auto"/>
            </w:tcBorders>
            <w:shd w:val="clear" w:color="000000" w:fill="CCFFFF"/>
            <w:noWrap/>
            <w:vAlign w:val="bottom"/>
            <w:hideMark/>
          </w:tcPr>
          <w:p w14:paraId="29BCB3D3" w14:textId="0F28FE75" w:rsidR="00543241" w:rsidRPr="000D1437" w:rsidRDefault="00543241" w:rsidP="00543241">
            <w:pPr>
              <w:jc w:val="right"/>
              <w:rPr>
                <w:rFonts w:ascii="Times New Roman" w:hAnsi="Times New Roman"/>
                <w:sz w:val="14"/>
                <w:szCs w:val="14"/>
              </w:rPr>
            </w:pPr>
            <w:r w:rsidRPr="000D1437">
              <w:rPr>
                <w:sz w:val="14"/>
                <w:szCs w:val="14"/>
              </w:rPr>
              <w:t>39773,19</w:t>
            </w:r>
          </w:p>
        </w:tc>
        <w:tc>
          <w:tcPr>
            <w:tcW w:w="1178" w:type="dxa"/>
            <w:tcBorders>
              <w:top w:val="nil"/>
              <w:left w:val="nil"/>
              <w:bottom w:val="single" w:sz="4" w:space="0" w:color="auto"/>
              <w:right w:val="single" w:sz="4" w:space="0" w:color="auto"/>
            </w:tcBorders>
            <w:shd w:val="clear" w:color="000000" w:fill="CCFFFF"/>
            <w:noWrap/>
            <w:vAlign w:val="bottom"/>
            <w:hideMark/>
          </w:tcPr>
          <w:p w14:paraId="474B7AFF" w14:textId="32B67E16" w:rsidR="00543241" w:rsidRPr="000D1437" w:rsidRDefault="00543241" w:rsidP="00543241">
            <w:pPr>
              <w:jc w:val="right"/>
              <w:rPr>
                <w:rFonts w:ascii="Times New Roman" w:hAnsi="Times New Roman"/>
                <w:sz w:val="14"/>
                <w:szCs w:val="14"/>
              </w:rPr>
            </w:pPr>
            <w:r w:rsidRPr="000D1437">
              <w:rPr>
                <w:sz w:val="14"/>
                <w:szCs w:val="14"/>
              </w:rPr>
              <w:t>38640,41</w:t>
            </w:r>
          </w:p>
        </w:tc>
        <w:tc>
          <w:tcPr>
            <w:tcW w:w="1164" w:type="dxa"/>
            <w:tcBorders>
              <w:top w:val="nil"/>
              <w:left w:val="nil"/>
              <w:bottom w:val="single" w:sz="4" w:space="0" w:color="auto"/>
              <w:right w:val="single" w:sz="4" w:space="0" w:color="auto"/>
            </w:tcBorders>
            <w:shd w:val="clear" w:color="000000" w:fill="CCFFFF"/>
            <w:noWrap/>
            <w:vAlign w:val="bottom"/>
            <w:hideMark/>
          </w:tcPr>
          <w:p w14:paraId="35BA5E35" w14:textId="1E0FD295" w:rsidR="00543241" w:rsidRPr="000D1437" w:rsidRDefault="00543241" w:rsidP="00543241">
            <w:pPr>
              <w:jc w:val="right"/>
              <w:rPr>
                <w:rFonts w:ascii="Times New Roman" w:hAnsi="Times New Roman"/>
                <w:sz w:val="14"/>
                <w:szCs w:val="14"/>
              </w:rPr>
            </w:pPr>
            <w:r w:rsidRPr="000D1437">
              <w:rPr>
                <w:sz w:val="14"/>
                <w:szCs w:val="14"/>
              </w:rPr>
              <w:t>40597,36</w:t>
            </w:r>
          </w:p>
        </w:tc>
        <w:tc>
          <w:tcPr>
            <w:tcW w:w="1193" w:type="dxa"/>
            <w:tcBorders>
              <w:top w:val="nil"/>
              <w:left w:val="nil"/>
              <w:bottom w:val="single" w:sz="4" w:space="0" w:color="auto"/>
              <w:right w:val="single" w:sz="4" w:space="0" w:color="auto"/>
            </w:tcBorders>
            <w:shd w:val="clear" w:color="000000" w:fill="CCFFFF"/>
            <w:noWrap/>
            <w:vAlign w:val="bottom"/>
            <w:hideMark/>
          </w:tcPr>
          <w:p w14:paraId="49BCDB5D" w14:textId="600E67A2" w:rsidR="00543241" w:rsidRPr="000D1437" w:rsidRDefault="00543241" w:rsidP="00543241">
            <w:pPr>
              <w:jc w:val="right"/>
              <w:rPr>
                <w:rFonts w:ascii="Times New Roman" w:hAnsi="Times New Roman"/>
                <w:sz w:val="14"/>
                <w:szCs w:val="14"/>
              </w:rPr>
            </w:pPr>
            <w:r w:rsidRPr="000D1437">
              <w:rPr>
                <w:sz w:val="14"/>
                <w:szCs w:val="14"/>
              </w:rPr>
              <w:t>40643,84</w:t>
            </w:r>
          </w:p>
        </w:tc>
        <w:tc>
          <w:tcPr>
            <w:tcW w:w="1179" w:type="dxa"/>
            <w:tcBorders>
              <w:top w:val="nil"/>
              <w:left w:val="nil"/>
              <w:bottom w:val="single" w:sz="4" w:space="0" w:color="auto"/>
              <w:right w:val="single" w:sz="4" w:space="0" w:color="auto"/>
            </w:tcBorders>
            <w:shd w:val="clear" w:color="000000" w:fill="CCFFFF"/>
            <w:vAlign w:val="bottom"/>
          </w:tcPr>
          <w:p w14:paraId="6D385CE5" w14:textId="23AA92F6" w:rsidR="00543241" w:rsidRPr="000D1437" w:rsidRDefault="00543241" w:rsidP="00543241">
            <w:pPr>
              <w:jc w:val="right"/>
              <w:rPr>
                <w:rFonts w:ascii="Times New Roman" w:hAnsi="Times New Roman"/>
                <w:sz w:val="14"/>
                <w:szCs w:val="14"/>
              </w:rPr>
            </w:pPr>
            <w:r w:rsidRPr="000D1437">
              <w:rPr>
                <w:sz w:val="14"/>
                <w:szCs w:val="14"/>
              </w:rPr>
              <w:t>41947,51</w:t>
            </w:r>
          </w:p>
        </w:tc>
      </w:tr>
      <w:tr w:rsidR="00543241" w:rsidRPr="00364545" w14:paraId="35ED54A3"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D8DD657" w14:textId="2ED3481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178" w:type="dxa"/>
            <w:tcBorders>
              <w:top w:val="nil"/>
              <w:left w:val="nil"/>
              <w:bottom w:val="single" w:sz="4" w:space="0" w:color="auto"/>
              <w:right w:val="single" w:sz="4" w:space="0" w:color="auto"/>
            </w:tcBorders>
            <w:shd w:val="clear" w:color="000000" w:fill="FFFFFF"/>
            <w:noWrap/>
            <w:vAlign w:val="bottom"/>
            <w:hideMark/>
          </w:tcPr>
          <w:p w14:paraId="4564B227" w14:textId="61D4AA6D" w:rsidR="00543241" w:rsidRPr="000D1437" w:rsidRDefault="00543241" w:rsidP="00543241">
            <w:pPr>
              <w:jc w:val="right"/>
              <w:rPr>
                <w:rFonts w:ascii="Times New Roman" w:hAnsi="Times New Roman"/>
                <w:sz w:val="14"/>
                <w:szCs w:val="14"/>
              </w:rPr>
            </w:pPr>
            <w:r w:rsidRPr="000D1437">
              <w:rPr>
                <w:sz w:val="14"/>
                <w:szCs w:val="14"/>
              </w:rPr>
              <w:t>12311,25</w:t>
            </w:r>
          </w:p>
        </w:tc>
        <w:tc>
          <w:tcPr>
            <w:tcW w:w="1192" w:type="dxa"/>
            <w:tcBorders>
              <w:top w:val="nil"/>
              <w:left w:val="nil"/>
              <w:bottom w:val="single" w:sz="4" w:space="0" w:color="auto"/>
              <w:right w:val="single" w:sz="4" w:space="0" w:color="auto"/>
            </w:tcBorders>
            <w:shd w:val="clear" w:color="000000" w:fill="FFFFFF"/>
            <w:noWrap/>
            <w:vAlign w:val="bottom"/>
            <w:hideMark/>
          </w:tcPr>
          <w:p w14:paraId="43136765" w14:textId="369B073E" w:rsidR="00543241" w:rsidRPr="000D1437" w:rsidRDefault="00543241" w:rsidP="00543241">
            <w:pPr>
              <w:jc w:val="right"/>
              <w:rPr>
                <w:rFonts w:ascii="Times New Roman" w:hAnsi="Times New Roman"/>
                <w:sz w:val="14"/>
                <w:szCs w:val="14"/>
              </w:rPr>
            </w:pPr>
            <w:r w:rsidRPr="000D1437">
              <w:rPr>
                <w:sz w:val="14"/>
                <w:szCs w:val="14"/>
              </w:rPr>
              <w:t>12313,97</w:t>
            </w:r>
          </w:p>
        </w:tc>
        <w:tc>
          <w:tcPr>
            <w:tcW w:w="1178" w:type="dxa"/>
            <w:tcBorders>
              <w:top w:val="nil"/>
              <w:left w:val="nil"/>
              <w:bottom w:val="single" w:sz="4" w:space="0" w:color="auto"/>
              <w:right w:val="single" w:sz="4" w:space="0" w:color="auto"/>
            </w:tcBorders>
            <w:shd w:val="clear" w:color="000000" w:fill="FFFFFF"/>
            <w:noWrap/>
            <w:vAlign w:val="bottom"/>
            <w:hideMark/>
          </w:tcPr>
          <w:p w14:paraId="5A7276BD" w14:textId="7471A1B9" w:rsidR="00543241" w:rsidRPr="000D1437" w:rsidRDefault="00543241" w:rsidP="00543241">
            <w:pPr>
              <w:jc w:val="right"/>
              <w:rPr>
                <w:rFonts w:ascii="Times New Roman" w:hAnsi="Times New Roman"/>
                <w:sz w:val="14"/>
                <w:szCs w:val="14"/>
              </w:rPr>
            </w:pPr>
            <w:r w:rsidRPr="000D1437">
              <w:rPr>
                <w:sz w:val="14"/>
                <w:szCs w:val="14"/>
              </w:rPr>
              <w:t>12172,73</w:t>
            </w:r>
          </w:p>
        </w:tc>
        <w:tc>
          <w:tcPr>
            <w:tcW w:w="1164" w:type="dxa"/>
            <w:tcBorders>
              <w:top w:val="nil"/>
              <w:left w:val="nil"/>
              <w:bottom w:val="single" w:sz="4" w:space="0" w:color="auto"/>
              <w:right w:val="single" w:sz="4" w:space="0" w:color="auto"/>
            </w:tcBorders>
            <w:shd w:val="clear" w:color="000000" w:fill="FFFFFF"/>
            <w:noWrap/>
            <w:vAlign w:val="bottom"/>
            <w:hideMark/>
          </w:tcPr>
          <w:p w14:paraId="744223D2" w14:textId="46562BFF" w:rsidR="00543241" w:rsidRPr="000D1437" w:rsidRDefault="00543241" w:rsidP="00543241">
            <w:pPr>
              <w:jc w:val="right"/>
              <w:rPr>
                <w:rFonts w:ascii="Times New Roman" w:hAnsi="Times New Roman"/>
                <w:sz w:val="14"/>
                <w:szCs w:val="14"/>
              </w:rPr>
            </w:pPr>
            <w:r w:rsidRPr="000D1437">
              <w:rPr>
                <w:sz w:val="14"/>
                <w:szCs w:val="14"/>
              </w:rPr>
              <w:t>12815,19</w:t>
            </w:r>
          </w:p>
        </w:tc>
        <w:tc>
          <w:tcPr>
            <w:tcW w:w="1193" w:type="dxa"/>
            <w:tcBorders>
              <w:top w:val="nil"/>
              <w:left w:val="nil"/>
              <w:bottom w:val="single" w:sz="4" w:space="0" w:color="auto"/>
              <w:right w:val="single" w:sz="4" w:space="0" w:color="auto"/>
            </w:tcBorders>
            <w:shd w:val="clear" w:color="000000" w:fill="FFFFFF"/>
            <w:noWrap/>
            <w:vAlign w:val="bottom"/>
            <w:hideMark/>
          </w:tcPr>
          <w:p w14:paraId="28653676" w14:textId="72E29DCA" w:rsidR="00543241" w:rsidRPr="000D1437" w:rsidRDefault="00543241" w:rsidP="00543241">
            <w:pPr>
              <w:jc w:val="right"/>
              <w:rPr>
                <w:rFonts w:ascii="Times New Roman" w:hAnsi="Times New Roman"/>
                <w:sz w:val="14"/>
                <w:szCs w:val="14"/>
              </w:rPr>
            </w:pPr>
            <w:r w:rsidRPr="000D1437">
              <w:rPr>
                <w:sz w:val="14"/>
                <w:szCs w:val="14"/>
              </w:rPr>
              <w:t>12653,87</w:t>
            </w:r>
          </w:p>
        </w:tc>
        <w:tc>
          <w:tcPr>
            <w:tcW w:w="1179" w:type="dxa"/>
            <w:tcBorders>
              <w:top w:val="nil"/>
              <w:left w:val="nil"/>
              <w:bottom w:val="single" w:sz="4" w:space="0" w:color="auto"/>
              <w:right w:val="single" w:sz="4" w:space="0" w:color="auto"/>
            </w:tcBorders>
            <w:shd w:val="clear" w:color="000000" w:fill="FFFFFF"/>
            <w:vAlign w:val="bottom"/>
          </w:tcPr>
          <w:p w14:paraId="4DE71A6B" w14:textId="7ACC4B83" w:rsidR="00543241" w:rsidRPr="000D1437" w:rsidRDefault="00543241" w:rsidP="00543241">
            <w:pPr>
              <w:jc w:val="right"/>
              <w:rPr>
                <w:rFonts w:ascii="Times New Roman" w:hAnsi="Times New Roman"/>
                <w:sz w:val="14"/>
                <w:szCs w:val="14"/>
              </w:rPr>
            </w:pPr>
            <w:r w:rsidRPr="000D1437">
              <w:rPr>
                <w:sz w:val="14"/>
                <w:szCs w:val="14"/>
              </w:rPr>
              <w:t>13015,05</w:t>
            </w:r>
          </w:p>
        </w:tc>
      </w:tr>
      <w:tr w:rsidR="00543241" w:rsidRPr="00364545" w14:paraId="7CAFB516"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6CD4BBEA" w14:textId="7A80888B"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178" w:type="dxa"/>
            <w:tcBorders>
              <w:top w:val="nil"/>
              <w:left w:val="nil"/>
              <w:bottom w:val="single" w:sz="4" w:space="0" w:color="auto"/>
              <w:right w:val="single" w:sz="4" w:space="0" w:color="auto"/>
            </w:tcBorders>
            <w:shd w:val="clear" w:color="000000" w:fill="FFFFFF"/>
            <w:noWrap/>
            <w:vAlign w:val="bottom"/>
            <w:hideMark/>
          </w:tcPr>
          <w:p w14:paraId="383A03E2" w14:textId="0A79C79F" w:rsidR="00543241" w:rsidRPr="000D1437" w:rsidRDefault="00543241" w:rsidP="00543241">
            <w:pPr>
              <w:jc w:val="right"/>
              <w:rPr>
                <w:rFonts w:ascii="Times New Roman" w:hAnsi="Times New Roman"/>
                <w:sz w:val="14"/>
                <w:szCs w:val="14"/>
              </w:rPr>
            </w:pPr>
            <w:r w:rsidRPr="000D1437">
              <w:rPr>
                <w:sz w:val="14"/>
                <w:szCs w:val="14"/>
              </w:rPr>
              <w:t>8565,73</w:t>
            </w:r>
          </w:p>
        </w:tc>
        <w:tc>
          <w:tcPr>
            <w:tcW w:w="1192" w:type="dxa"/>
            <w:tcBorders>
              <w:top w:val="nil"/>
              <w:left w:val="nil"/>
              <w:bottom w:val="single" w:sz="4" w:space="0" w:color="auto"/>
              <w:right w:val="single" w:sz="4" w:space="0" w:color="auto"/>
            </w:tcBorders>
            <w:shd w:val="clear" w:color="000000" w:fill="FFFFFF"/>
            <w:noWrap/>
            <w:vAlign w:val="bottom"/>
            <w:hideMark/>
          </w:tcPr>
          <w:p w14:paraId="24B3C2F4" w14:textId="7CEBC8F1" w:rsidR="00543241" w:rsidRPr="000D1437" w:rsidRDefault="00543241" w:rsidP="00543241">
            <w:pPr>
              <w:jc w:val="right"/>
              <w:rPr>
                <w:rFonts w:ascii="Times New Roman" w:hAnsi="Times New Roman"/>
                <w:sz w:val="14"/>
                <w:szCs w:val="14"/>
              </w:rPr>
            </w:pPr>
            <w:r w:rsidRPr="000D1437">
              <w:rPr>
                <w:sz w:val="14"/>
                <w:szCs w:val="14"/>
              </w:rPr>
              <w:t>7925,63</w:t>
            </w:r>
          </w:p>
        </w:tc>
        <w:tc>
          <w:tcPr>
            <w:tcW w:w="1178" w:type="dxa"/>
            <w:tcBorders>
              <w:top w:val="nil"/>
              <w:left w:val="nil"/>
              <w:bottom w:val="single" w:sz="4" w:space="0" w:color="auto"/>
              <w:right w:val="single" w:sz="4" w:space="0" w:color="auto"/>
            </w:tcBorders>
            <w:shd w:val="clear" w:color="000000" w:fill="FFFFFF"/>
            <w:noWrap/>
            <w:vAlign w:val="bottom"/>
            <w:hideMark/>
          </w:tcPr>
          <w:p w14:paraId="1F4AD9EB" w14:textId="7C88CFDD" w:rsidR="00543241" w:rsidRPr="000D1437" w:rsidRDefault="00543241" w:rsidP="00543241">
            <w:pPr>
              <w:jc w:val="right"/>
              <w:rPr>
                <w:rFonts w:ascii="Times New Roman" w:hAnsi="Times New Roman"/>
                <w:sz w:val="14"/>
                <w:szCs w:val="14"/>
              </w:rPr>
            </w:pPr>
            <w:r w:rsidRPr="000D1437">
              <w:rPr>
                <w:sz w:val="14"/>
                <w:szCs w:val="14"/>
              </w:rPr>
              <w:t>7709,31</w:t>
            </w:r>
          </w:p>
        </w:tc>
        <w:tc>
          <w:tcPr>
            <w:tcW w:w="1164" w:type="dxa"/>
            <w:tcBorders>
              <w:top w:val="nil"/>
              <w:left w:val="nil"/>
              <w:bottom w:val="single" w:sz="4" w:space="0" w:color="auto"/>
              <w:right w:val="single" w:sz="4" w:space="0" w:color="auto"/>
            </w:tcBorders>
            <w:shd w:val="clear" w:color="000000" w:fill="FFFFFF"/>
            <w:noWrap/>
            <w:vAlign w:val="bottom"/>
            <w:hideMark/>
          </w:tcPr>
          <w:p w14:paraId="1596C698" w14:textId="279B5D7A" w:rsidR="00543241" w:rsidRPr="000D1437" w:rsidRDefault="00543241" w:rsidP="00543241">
            <w:pPr>
              <w:jc w:val="right"/>
              <w:rPr>
                <w:rFonts w:ascii="Times New Roman" w:hAnsi="Times New Roman"/>
                <w:sz w:val="14"/>
                <w:szCs w:val="14"/>
              </w:rPr>
            </w:pPr>
            <w:r w:rsidRPr="000D1437">
              <w:rPr>
                <w:sz w:val="14"/>
                <w:szCs w:val="14"/>
              </w:rPr>
              <w:t>8012,39</w:t>
            </w:r>
          </w:p>
        </w:tc>
        <w:tc>
          <w:tcPr>
            <w:tcW w:w="1193" w:type="dxa"/>
            <w:tcBorders>
              <w:top w:val="nil"/>
              <w:left w:val="nil"/>
              <w:bottom w:val="single" w:sz="4" w:space="0" w:color="auto"/>
              <w:right w:val="single" w:sz="4" w:space="0" w:color="auto"/>
            </w:tcBorders>
            <w:shd w:val="clear" w:color="000000" w:fill="FFFFFF"/>
            <w:noWrap/>
            <w:vAlign w:val="bottom"/>
            <w:hideMark/>
          </w:tcPr>
          <w:p w14:paraId="544D6DDD" w14:textId="0E5DE578" w:rsidR="00543241" w:rsidRPr="000D1437" w:rsidRDefault="00543241" w:rsidP="00543241">
            <w:pPr>
              <w:jc w:val="right"/>
              <w:rPr>
                <w:rFonts w:ascii="Times New Roman" w:hAnsi="Times New Roman"/>
                <w:sz w:val="14"/>
                <w:szCs w:val="14"/>
              </w:rPr>
            </w:pPr>
            <w:r w:rsidRPr="000D1437">
              <w:rPr>
                <w:sz w:val="14"/>
                <w:szCs w:val="14"/>
              </w:rPr>
              <w:t>8188,98</w:t>
            </w:r>
          </w:p>
        </w:tc>
        <w:tc>
          <w:tcPr>
            <w:tcW w:w="1179" w:type="dxa"/>
            <w:tcBorders>
              <w:top w:val="nil"/>
              <w:left w:val="nil"/>
              <w:bottom w:val="single" w:sz="4" w:space="0" w:color="auto"/>
              <w:right w:val="single" w:sz="4" w:space="0" w:color="auto"/>
            </w:tcBorders>
            <w:shd w:val="clear" w:color="000000" w:fill="FFFFFF"/>
            <w:vAlign w:val="bottom"/>
          </w:tcPr>
          <w:p w14:paraId="397C9D6A" w14:textId="4338DF65" w:rsidR="00543241" w:rsidRPr="000D1437" w:rsidRDefault="00543241" w:rsidP="00543241">
            <w:pPr>
              <w:jc w:val="right"/>
              <w:rPr>
                <w:rFonts w:ascii="Times New Roman" w:hAnsi="Times New Roman"/>
                <w:sz w:val="14"/>
                <w:szCs w:val="14"/>
              </w:rPr>
            </w:pPr>
            <w:r w:rsidRPr="000D1437">
              <w:rPr>
                <w:sz w:val="14"/>
                <w:szCs w:val="14"/>
              </w:rPr>
              <w:t>7583,17</w:t>
            </w:r>
          </w:p>
        </w:tc>
      </w:tr>
      <w:tr w:rsidR="00543241" w:rsidRPr="00364545" w14:paraId="6108497D"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BC2F510" w14:textId="30032A9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178" w:type="dxa"/>
            <w:tcBorders>
              <w:top w:val="nil"/>
              <w:left w:val="nil"/>
              <w:bottom w:val="single" w:sz="4" w:space="0" w:color="auto"/>
              <w:right w:val="single" w:sz="4" w:space="0" w:color="auto"/>
            </w:tcBorders>
            <w:shd w:val="clear" w:color="000000" w:fill="FFFFFF"/>
            <w:noWrap/>
            <w:vAlign w:val="bottom"/>
            <w:hideMark/>
          </w:tcPr>
          <w:p w14:paraId="0140728F" w14:textId="77DF055F" w:rsidR="00543241" w:rsidRPr="000D1437" w:rsidRDefault="00543241" w:rsidP="00543241">
            <w:pPr>
              <w:jc w:val="right"/>
              <w:rPr>
                <w:rFonts w:ascii="Times New Roman" w:hAnsi="Times New Roman"/>
                <w:sz w:val="14"/>
                <w:szCs w:val="14"/>
              </w:rPr>
            </w:pPr>
            <w:r w:rsidRPr="000D1437">
              <w:rPr>
                <w:sz w:val="14"/>
                <w:szCs w:val="14"/>
              </w:rPr>
              <w:t>15692,52</w:t>
            </w:r>
          </w:p>
        </w:tc>
        <w:tc>
          <w:tcPr>
            <w:tcW w:w="1192" w:type="dxa"/>
            <w:tcBorders>
              <w:top w:val="nil"/>
              <w:left w:val="nil"/>
              <w:bottom w:val="single" w:sz="4" w:space="0" w:color="auto"/>
              <w:right w:val="single" w:sz="4" w:space="0" w:color="auto"/>
            </w:tcBorders>
            <w:shd w:val="clear" w:color="000000" w:fill="FFFFFF"/>
            <w:noWrap/>
            <w:vAlign w:val="bottom"/>
            <w:hideMark/>
          </w:tcPr>
          <w:p w14:paraId="20778249" w14:textId="41DE0BFE" w:rsidR="00543241" w:rsidRPr="000D1437" w:rsidRDefault="00543241" w:rsidP="00543241">
            <w:pPr>
              <w:jc w:val="right"/>
              <w:rPr>
                <w:rFonts w:ascii="Times New Roman" w:hAnsi="Times New Roman"/>
                <w:sz w:val="14"/>
                <w:szCs w:val="14"/>
              </w:rPr>
            </w:pPr>
            <w:r w:rsidRPr="000D1437">
              <w:rPr>
                <w:sz w:val="14"/>
                <w:szCs w:val="14"/>
              </w:rPr>
              <w:t>17175,33</w:t>
            </w:r>
          </w:p>
        </w:tc>
        <w:tc>
          <w:tcPr>
            <w:tcW w:w="1178" w:type="dxa"/>
            <w:tcBorders>
              <w:top w:val="nil"/>
              <w:left w:val="nil"/>
              <w:bottom w:val="single" w:sz="4" w:space="0" w:color="auto"/>
              <w:right w:val="single" w:sz="4" w:space="0" w:color="auto"/>
            </w:tcBorders>
            <w:shd w:val="clear" w:color="000000" w:fill="FFFFFF"/>
            <w:noWrap/>
            <w:vAlign w:val="bottom"/>
            <w:hideMark/>
          </w:tcPr>
          <w:p w14:paraId="23CDF60D" w14:textId="7E7EDA20" w:rsidR="00543241" w:rsidRPr="000D1437" w:rsidRDefault="00543241" w:rsidP="00543241">
            <w:pPr>
              <w:jc w:val="right"/>
              <w:rPr>
                <w:rFonts w:ascii="Times New Roman" w:hAnsi="Times New Roman"/>
                <w:sz w:val="14"/>
                <w:szCs w:val="14"/>
              </w:rPr>
            </w:pPr>
            <w:r w:rsidRPr="000D1437">
              <w:rPr>
                <w:sz w:val="14"/>
                <w:szCs w:val="14"/>
              </w:rPr>
              <w:t>16495,39</w:t>
            </w:r>
          </w:p>
        </w:tc>
        <w:tc>
          <w:tcPr>
            <w:tcW w:w="1164" w:type="dxa"/>
            <w:tcBorders>
              <w:top w:val="nil"/>
              <w:left w:val="nil"/>
              <w:bottom w:val="single" w:sz="4" w:space="0" w:color="auto"/>
              <w:right w:val="single" w:sz="4" w:space="0" w:color="auto"/>
            </w:tcBorders>
            <w:shd w:val="clear" w:color="000000" w:fill="FFFFFF"/>
            <w:noWrap/>
            <w:vAlign w:val="bottom"/>
            <w:hideMark/>
          </w:tcPr>
          <w:p w14:paraId="2F65134C" w14:textId="6382E912" w:rsidR="00543241" w:rsidRPr="000D1437" w:rsidRDefault="00543241" w:rsidP="00543241">
            <w:pPr>
              <w:jc w:val="right"/>
              <w:rPr>
                <w:rFonts w:ascii="Times New Roman" w:hAnsi="Times New Roman"/>
                <w:sz w:val="14"/>
                <w:szCs w:val="14"/>
              </w:rPr>
            </w:pPr>
            <w:r w:rsidRPr="000D1437">
              <w:rPr>
                <w:sz w:val="14"/>
                <w:szCs w:val="14"/>
              </w:rPr>
              <w:t>17431,60</w:t>
            </w:r>
          </w:p>
        </w:tc>
        <w:tc>
          <w:tcPr>
            <w:tcW w:w="1193" w:type="dxa"/>
            <w:tcBorders>
              <w:top w:val="nil"/>
              <w:left w:val="nil"/>
              <w:bottom w:val="single" w:sz="4" w:space="0" w:color="auto"/>
              <w:right w:val="single" w:sz="4" w:space="0" w:color="auto"/>
            </w:tcBorders>
            <w:shd w:val="clear" w:color="000000" w:fill="FFFFFF"/>
            <w:noWrap/>
            <w:vAlign w:val="bottom"/>
            <w:hideMark/>
          </w:tcPr>
          <w:p w14:paraId="53A22024" w14:textId="303443A9" w:rsidR="00543241" w:rsidRPr="000D1437" w:rsidRDefault="00543241" w:rsidP="00543241">
            <w:pPr>
              <w:jc w:val="right"/>
              <w:rPr>
                <w:rFonts w:ascii="Times New Roman" w:hAnsi="Times New Roman"/>
                <w:sz w:val="14"/>
                <w:szCs w:val="14"/>
              </w:rPr>
            </w:pPr>
            <w:r w:rsidRPr="000D1437">
              <w:rPr>
                <w:sz w:val="14"/>
                <w:szCs w:val="14"/>
              </w:rPr>
              <w:t>17435,85</w:t>
            </w:r>
          </w:p>
        </w:tc>
        <w:tc>
          <w:tcPr>
            <w:tcW w:w="1179" w:type="dxa"/>
            <w:tcBorders>
              <w:top w:val="nil"/>
              <w:left w:val="nil"/>
              <w:bottom w:val="single" w:sz="4" w:space="0" w:color="auto"/>
              <w:right w:val="single" w:sz="4" w:space="0" w:color="auto"/>
            </w:tcBorders>
            <w:shd w:val="clear" w:color="000000" w:fill="FFFFFF"/>
            <w:vAlign w:val="bottom"/>
          </w:tcPr>
          <w:p w14:paraId="0DB7D8E4" w14:textId="6014885A" w:rsidR="00543241" w:rsidRPr="000D1437" w:rsidRDefault="00543241" w:rsidP="00543241">
            <w:pPr>
              <w:jc w:val="right"/>
              <w:rPr>
                <w:rFonts w:ascii="Times New Roman" w:hAnsi="Times New Roman"/>
                <w:sz w:val="14"/>
                <w:szCs w:val="14"/>
              </w:rPr>
            </w:pPr>
            <w:r w:rsidRPr="000D1437">
              <w:rPr>
                <w:sz w:val="14"/>
                <w:szCs w:val="14"/>
              </w:rPr>
              <w:t>19185,00</w:t>
            </w:r>
          </w:p>
        </w:tc>
      </w:tr>
      <w:tr w:rsidR="00543241" w:rsidRPr="00364545" w14:paraId="30CF134B"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vAlign w:val="center"/>
            <w:hideMark/>
          </w:tcPr>
          <w:p w14:paraId="15F83620" w14:textId="0484D01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178" w:type="dxa"/>
            <w:tcBorders>
              <w:top w:val="nil"/>
              <w:left w:val="nil"/>
              <w:bottom w:val="single" w:sz="4" w:space="0" w:color="auto"/>
              <w:right w:val="single" w:sz="4" w:space="0" w:color="auto"/>
            </w:tcBorders>
            <w:shd w:val="clear" w:color="000000" w:fill="FFFFFF"/>
            <w:noWrap/>
            <w:vAlign w:val="bottom"/>
            <w:hideMark/>
          </w:tcPr>
          <w:p w14:paraId="6E412ACF" w14:textId="0EBFDC5C" w:rsidR="00543241" w:rsidRPr="000D1437" w:rsidRDefault="00543241" w:rsidP="00543241">
            <w:pPr>
              <w:jc w:val="right"/>
              <w:rPr>
                <w:rFonts w:ascii="Times New Roman" w:hAnsi="Times New Roman"/>
                <w:sz w:val="14"/>
                <w:szCs w:val="14"/>
              </w:rPr>
            </w:pPr>
            <w:r w:rsidRPr="000D1437">
              <w:rPr>
                <w:sz w:val="14"/>
                <w:szCs w:val="14"/>
              </w:rPr>
              <w:t>1905,68</w:t>
            </w:r>
          </w:p>
        </w:tc>
        <w:tc>
          <w:tcPr>
            <w:tcW w:w="1192" w:type="dxa"/>
            <w:tcBorders>
              <w:top w:val="nil"/>
              <w:left w:val="nil"/>
              <w:bottom w:val="single" w:sz="4" w:space="0" w:color="auto"/>
              <w:right w:val="single" w:sz="4" w:space="0" w:color="auto"/>
            </w:tcBorders>
            <w:shd w:val="clear" w:color="000000" w:fill="FFFFFF"/>
            <w:noWrap/>
            <w:vAlign w:val="bottom"/>
            <w:hideMark/>
          </w:tcPr>
          <w:p w14:paraId="55144873" w14:textId="71756BF8" w:rsidR="00543241" w:rsidRPr="000D1437" w:rsidRDefault="00543241" w:rsidP="00543241">
            <w:pPr>
              <w:jc w:val="right"/>
              <w:rPr>
                <w:rFonts w:ascii="Times New Roman" w:hAnsi="Times New Roman"/>
                <w:sz w:val="14"/>
                <w:szCs w:val="14"/>
              </w:rPr>
            </w:pPr>
            <w:r w:rsidRPr="000D1437">
              <w:rPr>
                <w:sz w:val="14"/>
                <w:szCs w:val="14"/>
              </w:rPr>
              <w:t>1719,89</w:t>
            </w:r>
          </w:p>
        </w:tc>
        <w:tc>
          <w:tcPr>
            <w:tcW w:w="1178" w:type="dxa"/>
            <w:tcBorders>
              <w:top w:val="nil"/>
              <w:left w:val="nil"/>
              <w:bottom w:val="single" w:sz="4" w:space="0" w:color="auto"/>
              <w:right w:val="single" w:sz="4" w:space="0" w:color="auto"/>
            </w:tcBorders>
            <w:shd w:val="clear" w:color="000000" w:fill="FFFFFF"/>
            <w:noWrap/>
            <w:vAlign w:val="bottom"/>
            <w:hideMark/>
          </w:tcPr>
          <w:p w14:paraId="062C4A5C" w14:textId="40BBEBED" w:rsidR="00543241" w:rsidRPr="000D1437" w:rsidRDefault="00543241" w:rsidP="00543241">
            <w:pPr>
              <w:jc w:val="right"/>
              <w:rPr>
                <w:rFonts w:ascii="Times New Roman" w:hAnsi="Times New Roman"/>
                <w:sz w:val="14"/>
                <w:szCs w:val="14"/>
              </w:rPr>
            </w:pPr>
            <w:r w:rsidRPr="000D1437">
              <w:rPr>
                <w:sz w:val="14"/>
                <w:szCs w:val="14"/>
              </w:rPr>
              <w:t>1661,07</w:t>
            </w:r>
          </w:p>
        </w:tc>
        <w:tc>
          <w:tcPr>
            <w:tcW w:w="1164" w:type="dxa"/>
            <w:tcBorders>
              <w:top w:val="nil"/>
              <w:left w:val="nil"/>
              <w:bottom w:val="single" w:sz="4" w:space="0" w:color="auto"/>
              <w:right w:val="single" w:sz="4" w:space="0" w:color="auto"/>
            </w:tcBorders>
            <w:shd w:val="clear" w:color="000000" w:fill="FFFFFF"/>
            <w:noWrap/>
            <w:vAlign w:val="bottom"/>
            <w:hideMark/>
          </w:tcPr>
          <w:p w14:paraId="6C2D5215" w14:textId="0456AD0E" w:rsidR="00543241" w:rsidRPr="000D1437" w:rsidRDefault="00543241" w:rsidP="00543241">
            <w:pPr>
              <w:jc w:val="right"/>
              <w:rPr>
                <w:rFonts w:ascii="Times New Roman" w:hAnsi="Times New Roman"/>
                <w:sz w:val="14"/>
                <w:szCs w:val="14"/>
              </w:rPr>
            </w:pPr>
            <w:r w:rsidRPr="000D1437">
              <w:rPr>
                <w:sz w:val="14"/>
                <w:szCs w:val="14"/>
              </w:rPr>
              <w:t>1784,10</w:t>
            </w:r>
          </w:p>
        </w:tc>
        <w:tc>
          <w:tcPr>
            <w:tcW w:w="1193" w:type="dxa"/>
            <w:tcBorders>
              <w:top w:val="nil"/>
              <w:left w:val="nil"/>
              <w:bottom w:val="single" w:sz="4" w:space="0" w:color="auto"/>
              <w:right w:val="single" w:sz="4" w:space="0" w:color="auto"/>
            </w:tcBorders>
            <w:shd w:val="clear" w:color="000000" w:fill="FFFFFF"/>
            <w:noWrap/>
            <w:vAlign w:val="bottom"/>
            <w:hideMark/>
          </w:tcPr>
          <w:p w14:paraId="21B2E558" w14:textId="0C39B048" w:rsidR="00543241" w:rsidRPr="000D1437" w:rsidRDefault="00543241" w:rsidP="00543241">
            <w:pPr>
              <w:jc w:val="right"/>
              <w:rPr>
                <w:rFonts w:ascii="Times New Roman" w:hAnsi="Times New Roman"/>
                <w:sz w:val="14"/>
                <w:szCs w:val="14"/>
              </w:rPr>
            </w:pPr>
            <w:r w:rsidRPr="000D1437">
              <w:rPr>
                <w:sz w:val="14"/>
                <w:szCs w:val="14"/>
              </w:rPr>
              <w:t>1810,15</w:t>
            </w:r>
          </w:p>
        </w:tc>
        <w:tc>
          <w:tcPr>
            <w:tcW w:w="1179" w:type="dxa"/>
            <w:tcBorders>
              <w:top w:val="nil"/>
              <w:left w:val="nil"/>
              <w:bottom w:val="single" w:sz="4" w:space="0" w:color="auto"/>
              <w:right w:val="single" w:sz="4" w:space="0" w:color="auto"/>
            </w:tcBorders>
            <w:shd w:val="clear" w:color="000000" w:fill="FFFFFF"/>
            <w:vAlign w:val="bottom"/>
          </w:tcPr>
          <w:p w14:paraId="6715223B" w14:textId="1C2C647E" w:rsidR="00543241" w:rsidRPr="000D1437" w:rsidRDefault="00543241" w:rsidP="00543241">
            <w:pPr>
              <w:jc w:val="right"/>
              <w:rPr>
                <w:rFonts w:ascii="Times New Roman" w:hAnsi="Times New Roman"/>
                <w:sz w:val="14"/>
                <w:szCs w:val="14"/>
              </w:rPr>
            </w:pPr>
            <w:r w:rsidRPr="000D1437">
              <w:rPr>
                <w:sz w:val="14"/>
                <w:szCs w:val="14"/>
              </w:rPr>
              <w:t>1602,28</w:t>
            </w:r>
          </w:p>
        </w:tc>
      </w:tr>
      <w:tr w:rsidR="00543241" w:rsidRPr="00364545" w14:paraId="6C869838"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323E044" w14:textId="762F22B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178" w:type="dxa"/>
            <w:tcBorders>
              <w:top w:val="nil"/>
              <w:left w:val="nil"/>
              <w:bottom w:val="single" w:sz="4" w:space="0" w:color="auto"/>
              <w:right w:val="single" w:sz="4" w:space="0" w:color="auto"/>
            </w:tcBorders>
            <w:shd w:val="clear" w:color="000000" w:fill="FFFFFF"/>
            <w:noWrap/>
            <w:vAlign w:val="bottom"/>
            <w:hideMark/>
          </w:tcPr>
          <w:p w14:paraId="625F5722" w14:textId="6E18014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7E9EA9A9" w14:textId="29F6C46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27DFB155" w14:textId="7AD9B71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4BA2C3F3" w14:textId="0D523AD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3E44125A" w14:textId="26A6F37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5480CEB3" w14:textId="6DD5DA2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B9F3CDC"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vAlign w:val="center"/>
            <w:hideMark/>
          </w:tcPr>
          <w:p w14:paraId="028A8B77" w14:textId="0954DBE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178" w:type="dxa"/>
            <w:tcBorders>
              <w:top w:val="nil"/>
              <w:left w:val="nil"/>
              <w:bottom w:val="single" w:sz="4" w:space="0" w:color="auto"/>
              <w:right w:val="single" w:sz="4" w:space="0" w:color="auto"/>
            </w:tcBorders>
            <w:shd w:val="clear" w:color="000000" w:fill="FFFFFF"/>
            <w:noWrap/>
            <w:vAlign w:val="bottom"/>
            <w:hideMark/>
          </w:tcPr>
          <w:p w14:paraId="18151618" w14:textId="401F6C3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7BFD6398" w14:textId="1087C75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42E2BCFF" w14:textId="43F7E98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0F79695E" w14:textId="18C73A2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3FCBEFC0" w14:textId="2E0F075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0DB95FDC" w14:textId="119A7E2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75CC418D"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vAlign w:val="center"/>
            <w:hideMark/>
          </w:tcPr>
          <w:p w14:paraId="46EE97C4" w14:textId="17859AD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178" w:type="dxa"/>
            <w:tcBorders>
              <w:top w:val="nil"/>
              <w:left w:val="nil"/>
              <w:bottom w:val="single" w:sz="4" w:space="0" w:color="auto"/>
              <w:right w:val="single" w:sz="4" w:space="0" w:color="auto"/>
            </w:tcBorders>
            <w:shd w:val="clear" w:color="000000" w:fill="FFFFFF"/>
            <w:noWrap/>
            <w:vAlign w:val="bottom"/>
            <w:hideMark/>
          </w:tcPr>
          <w:p w14:paraId="4A411DDC" w14:textId="6EE5C826" w:rsidR="00543241" w:rsidRPr="000D1437" w:rsidRDefault="00543241" w:rsidP="00543241">
            <w:pPr>
              <w:jc w:val="right"/>
              <w:rPr>
                <w:rFonts w:ascii="Times New Roman" w:hAnsi="Times New Roman"/>
                <w:sz w:val="14"/>
                <w:szCs w:val="14"/>
              </w:rPr>
            </w:pPr>
            <w:r w:rsidRPr="000D1437">
              <w:rPr>
                <w:sz w:val="14"/>
                <w:szCs w:val="14"/>
              </w:rPr>
              <w:t>658,42</w:t>
            </w:r>
          </w:p>
        </w:tc>
        <w:tc>
          <w:tcPr>
            <w:tcW w:w="1192" w:type="dxa"/>
            <w:tcBorders>
              <w:top w:val="nil"/>
              <w:left w:val="nil"/>
              <w:bottom w:val="single" w:sz="4" w:space="0" w:color="auto"/>
              <w:right w:val="single" w:sz="4" w:space="0" w:color="auto"/>
            </w:tcBorders>
            <w:shd w:val="clear" w:color="000000" w:fill="FFFFFF"/>
            <w:noWrap/>
            <w:vAlign w:val="bottom"/>
            <w:hideMark/>
          </w:tcPr>
          <w:p w14:paraId="3F234ABA" w14:textId="003C45EE" w:rsidR="00543241" w:rsidRPr="000D1437" w:rsidRDefault="00543241" w:rsidP="00543241">
            <w:pPr>
              <w:jc w:val="right"/>
              <w:rPr>
                <w:rFonts w:ascii="Times New Roman" w:hAnsi="Times New Roman"/>
                <w:sz w:val="14"/>
                <w:szCs w:val="14"/>
              </w:rPr>
            </w:pPr>
            <w:r w:rsidRPr="000D1437">
              <w:rPr>
                <w:sz w:val="14"/>
                <w:szCs w:val="14"/>
              </w:rPr>
              <w:t>638,34</w:t>
            </w:r>
          </w:p>
        </w:tc>
        <w:tc>
          <w:tcPr>
            <w:tcW w:w="1178" w:type="dxa"/>
            <w:tcBorders>
              <w:top w:val="nil"/>
              <w:left w:val="nil"/>
              <w:bottom w:val="single" w:sz="4" w:space="0" w:color="auto"/>
              <w:right w:val="single" w:sz="4" w:space="0" w:color="auto"/>
            </w:tcBorders>
            <w:shd w:val="clear" w:color="000000" w:fill="FFFFFF"/>
            <w:noWrap/>
            <w:vAlign w:val="bottom"/>
            <w:hideMark/>
          </w:tcPr>
          <w:p w14:paraId="47F69830" w14:textId="23537322" w:rsidR="00543241" w:rsidRPr="000D1437" w:rsidRDefault="00543241" w:rsidP="00543241">
            <w:pPr>
              <w:jc w:val="right"/>
              <w:rPr>
                <w:rFonts w:ascii="Times New Roman" w:hAnsi="Times New Roman"/>
                <w:sz w:val="14"/>
                <w:szCs w:val="14"/>
              </w:rPr>
            </w:pPr>
            <w:r w:rsidRPr="000D1437">
              <w:rPr>
                <w:sz w:val="14"/>
                <w:szCs w:val="14"/>
              </w:rPr>
              <w:t>601,85</w:t>
            </w:r>
          </w:p>
        </w:tc>
        <w:tc>
          <w:tcPr>
            <w:tcW w:w="1164" w:type="dxa"/>
            <w:tcBorders>
              <w:top w:val="nil"/>
              <w:left w:val="nil"/>
              <w:bottom w:val="single" w:sz="4" w:space="0" w:color="auto"/>
              <w:right w:val="single" w:sz="4" w:space="0" w:color="auto"/>
            </w:tcBorders>
            <w:shd w:val="clear" w:color="000000" w:fill="FFFFFF"/>
            <w:noWrap/>
            <w:vAlign w:val="bottom"/>
            <w:hideMark/>
          </w:tcPr>
          <w:p w14:paraId="5A394260" w14:textId="5374B79E" w:rsidR="00543241" w:rsidRPr="000D1437" w:rsidRDefault="00543241" w:rsidP="00543241">
            <w:pPr>
              <w:jc w:val="right"/>
              <w:rPr>
                <w:rFonts w:ascii="Times New Roman" w:hAnsi="Times New Roman"/>
                <w:sz w:val="14"/>
                <w:szCs w:val="14"/>
              </w:rPr>
            </w:pPr>
            <w:r w:rsidRPr="000D1437">
              <w:rPr>
                <w:sz w:val="14"/>
                <w:szCs w:val="14"/>
              </w:rPr>
              <w:t>554,03</w:t>
            </w:r>
          </w:p>
        </w:tc>
        <w:tc>
          <w:tcPr>
            <w:tcW w:w="1193" w:type="dxa"/>
            <w:tcBorders>
              <w:top w:val="nil"/>
              <w:left w:val="nil"/>
              <w:bottom w:val="single" w:sz="4" w:space="0" w:color="auto"/>
              <w:right w:val="single" w:sz="4" w:space="0" w:color="auto"/>
            </w:tcBorders>
            <w:shd w:val="clear" w:color="000000" w:fill="FFFFFF"/>
            <w:noWrap/>
            <w:vAlign w:val="bottom"/>
            <w:hideMark/>
          </w:tcPr>
          <w:p w14:paraId="61B44E04" w14:textId="3FB50F93" w:rsidR="00543241" w:rsidRPr="000D1437" w:rsidRDefault="00543241" w:rsidP="00543241">
            <w:pPr>
              <w:jc w:val="right"/>
              <w:rPr>
                <w:rFonts w:ascii="Times New Roman" w:hAnsi="Times New Roman"/>
                <w:sz w:val="14"/>
                <w:szCs w:val="14"/>
              </w:rPr>
            </w:pPr>
            <w:r w:rsidRPr="000D1437">
              <w:rPr>
                <w:sz w:val="14"/>
                <w:szCs w:val="14"/>
              </w:rPr>
              <w:t>554,96</w:t>
            </w:r>
          </w:p>
        </w:tc>
        <w:tc>
          <w:tcPr>
            <w:tcW w:w="1179" w:type="dxa"/>
            <w:tcBorders>
              <w:top w:val="nil"/>
              <w:left w:val="nil"/>
              <w:bottom w:val="single" w:sz="4" w:space="0" w:color="auto"/>
              <w:right w:val="single" w:sz="4" w:space="0" w:color="auto"/>
            </w:tcBorders>
            <w:shd w:val="clear" w:color="000000" w:fill="FFFFFF"/>
            <w:vAlign w:val="bottom"/>
          </w:tcPr>
          <w:p w14:paraId="5D21D3EE" w14:textId="202358D0" w:rsidR="00543241" w:rsidRPr="000D1437" w:rsidRDefault="00543241" w:rsidP="00543241">
            <w:pPr>
              <w:jc w:val="right"/>
              <w:rPr>
                <w:rFonts w:ascii="Times New Roman" w:hAnsi="Times New Roman"/>
                <w:sz w:val="14"/>
                <w:szCs w:val="14"/>
              </w:rPr>
            </w:pPr>
            <w:r w:rsidRPr="000D1437">
              <w:rPr>
                <w:sz w:val="14"/>
                <w:szCs w:val="14"/>
              </w:rPr>
              <w:t>561,96</w:t>
            </w:r>
          </w:p>
        </w:tc>
      </w:tr>
      <w:tr w:rsidR="00543241" w:rsidRPr="00364545" w14:paraId="679B51F5"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7FBB43C" w14:textId="7B911299"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178" w:type="dxa"/>
            <w:tcBorders>
              <w:top w:val="nil"/>
              <w:left w:val="nil"/>
              <w:bottom w:val="single" w:sz="4" w:space="0" w:color="auto"/>
              <w:right w:val="single" w:sz="4" w:space="0" w:color="auto"/>
            </w:tcBorders>
            <w:shd w:val="clear" w:color="000000" w:fill="FFFFFF"/>
            <w:noWrap/>
            <w:vAlign w:val="bottom"/>
            <w:hideMark/>
          </w:tcPr>
          <w:p w14:paraId="4E3E3EEF" w14:textId="0712F84F" w:rsidR="00543241" w:rsidRPr="000D1437" w:rsidRDefault="00543241" w:rsidP="00543241">
            <w:pPr>
              <w:jc w:val="right"/>
              <w:rPr>
                <w:rFonts w:ascii="Times New Roman" w:hAnsi="Times New Roman"/>
                <w:sz w:val="14"/>
                <w:szCs w:val="14"/>
              </w:rPr>
            </w:pPr>
            <w:r w:rsidRPr="000D1437">
              <w:rPr>
                <w:sz w:val="14"/>
                <w:szCs w:val="14"/>
              </w:rPr>
              <w:t>0,04</w:t>
            </w:r>
          </w:p>
        </w:tc>
        <w:tc>
          <w:tcPr>
            <w:tcW w:w="1192" w:type="dxa"/>
            <w:tcBorders>
              <w:top w:val="nil"/>
              <w:left w:val="nil"/>
              <w:bottom w:val="single" w:sz="4" w:space="0" w:color="auto"/>
              <w:right w:val="single" w:sz="4" w:space="0" w:color="auto"/>
            </w:tcBorders>
            <w:shd w:val="clear" w:color="000000" w:fill="FFFFFF"/>
            <w:noWrap/>
            <w:vAlign w:val="bottom"/>
            <w:hideMark/>
          </w:tcPr>
          <w:p w14:paraId="45012832" w14:textId="7DCCB2E1" w:rsidR="00543241" w:rsidRPr="000D1437" w:rsidRDefault="00543241" w:rsidP="00543241">
            <w:pPr>
              <w:jc w:val="right"/>
              <w:rPr>
                <w:rFonts w:ascii="Times New Roman" w:hAnsi="Times New Roman"/>
                <w:sz w:val="14"/>
                <w:szCs w:val="14"/>
              </w:rPr>
            </w:pPr>
            <w:r w:rsidRPr="000D1437">
              <w:rPr>
                <w:sz w:val="14"/>
                <w:szCs w:val="14"/>
              </w:rPr>
              <w:t>0,04</w:t>
            </w:r>
          </w:p>
        </w:tc>
        <w:tc>
          <w:tcPr>
            <w:tcW w:w="1178" w:type="dxa"/>
            <w:tcBorders>
              <w:top w:val="nil"/>
              <w:left w:val="nil"/>
              <w:bottom w:val="single" w:sz="4" w:space="0" w:color="auto"/>
              <w:right w:val="single" w:sz="4" w:space="0" w:color="auto"/>
            </w:tcBorders>
            <w:shd w:val="clear" w:color="000000" w:fill="FFFFFF"/>
            <w:noWrap/>
            <w:vAlign w:val="bottom"/>
            <w:hideMark/>
          </w:tcPr>
          <w:p w14:paraId="586FEA0B" w14:textId="30F76D2E" w:rsidR="00543241" w:rsidRPr="000D1437" w:rsidRDefault="00543241" w:rsidP="00543241">
            <w:pPr>
              <w:jc w:val="right"/>
              <w:rPr>
                <w:rFonts w:ascii="Times New Roman" w:hAnsi="Times New Roman"/>
                <w:sz w:val="14"/>
                <w:szCs w:val="14"/>
              </w:rPr>
            </w:pPr>
            <w:r w:rsidRPr="000D1437">
              <w:rPr>
                <w:sz w:val="14"/>
                <w:szCs w:val="14"/>
              </w:rPr>
              <w:t>0,04</w:t>
            </w:r>
          </w:p>
        </w:tc>
        <w:tc>
          <w:tcPr>
            <w:tcW w:w="1164" w:type="dxa"/>
            <w:tcBorders>
              <w:top w:val="nil"/>
              <w:left w:val="nil"/>
              <w:bottom w:val="single" w:sz="4" w:space="0" w:color="auto"/>
              <w:right w:val="single" w:sz="4" w:space="0" w:color="auto"/>
            </w:tcBorders>
            <w:shd w:val="clear" w:color="000000" w:fill="FFFFFF"/>
            <w:noWrap/>
            <w:vAlign w:val="bottom"/>
            <w:hideMark/>
          </w:tcPr>
          <w:p w14:paraId="587286B4" w14:textId="1F2458E7" w:rsidR="00543241" w:rsidRPr="000D1437" w:rsidRDefault="00543241" w:rsidP="00543241">
            <w:pPr>
              <w:jc w:val="right"/>
              <w:rPr>
                <w:rFonts w:ascii="Times New Roman" w:hAnsi="Times New Roman"/>
                <w:sz w:val="14"/>
                <w:szCs w:val="14"/>
              </w:rPr>
            </w:pPr>
            <w:r w:rsidRPr="000D1437">
              <w:rPr>
                <w:sz w:val="14"/>
                <w:szCs w:val="14"/>
              </w:rPr>
              <w:t>0,04</w:t>
            </w:r>
          </w:p>
        </w:tc>
        <w:tc>
          <w:tcPr>
            <w:tcW w:w="1193" w:type="dxa"/>
            <w:tcBorders>
              <w:top w:val="nil"/>
              <w:left w:val="nil"/>
              <w:bottom w:val="single" w:sz="4" w:space="0" w:color="auto"/>
              <w:right w:val="single" w:sz="4" w:space="0" w:color="auto"/>
            </w:tcBorders>
            <w:shd w:val="clear" w:color="000000" w:fill="FFFFFF"/>
            <w:noWrap/>
            <w:vAlign w:val="bottom"/>
            <w:hideMark/>
          </w:tcPr>
          <w:p w14:paraId="3CA69802" w14:textId="50734B91" w:rsidR="00543241" w:rsidRPr="000D1437" w:rsidRDefault="00543241" w:rsidP="00543241">
            <w:pPr>
              <w:jc w:val="right"/>
              <w:rPr>
                <w:rFonts w:ascii="Times New Roman" w:hAnsi="Times New Roman"/>
                <w:sz w:val="14"/>
                <w:szCs w:val="14"/>
              </w:rPr>
            </w:pPr>
            <w:r w:rsidRPr="000D1437">
              <w:rPr>
                <w:sz w:val="14"/>
                <w:szCs w:val="14"/>
              </w:rPr>
              <w:t>0,04</w:t>
            </w:r>
          </w:p>
        </w:tc>
        <w:tc>
          <w:tcPr>
            <w:tcW w:w="1179" w:type="dxa"/>
            <w:tcBorders>
              <w:top w:val="nil"/>
              <w:left w:val="nil"/>
              <w:bottom w:val="single" w:sz="4" w:space="0" w:color="auto"/>
              <w:right w:val="single" w:sz="4" w:space="0" w:color="auto"/>
            </w:tcBorders>
            <w:shd w:val="clear" w:color="000000" w:fill="FFFFFF"/>
            <w:vAlign w:val="bottom"/>
          </w:tcPr>
          <w:p w14:paraId="5E225ECA" w14:textId="7226D59C" w:rsidR="00543241" w:rsidRPr="000D1437" w:rsidRDefault="00543241" w:rsidP="00543241">
            <w:pPr>
              <w:jc w:val="right"/>
              <w:rPr>
                <w:rFonts w:ascii="Times New Roman" w:hAnsi="Times New Roman"/>
                <w:sz w:val="14"/>
                <w:szCs w:val="14"/>
              </w:rPr>
            </w:pPr>
            <w:r w:rsidRPr="000D1437">
              <w:rPr>
                <w:sz w:val="14"/>
                <w:szCs w:val="14"/>
              </w:rPr>
              <w:t>0,04</w:t>
            </w:r>
          </w:p>
        </w:tc>
      </w:tr>
      <w:tr w:rsidR="00543241" w:rsidRPr="00364545" w14:paraId="3E9AFEE7"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bottom"/>
            <w:hideMark/>
          </w:tcPr>
          <w:p w14:paraId="4CA41765" w14:textId="07836D26"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3. Agriculture</w:t>
            </w:r>
          </w:p>
        </w:tc>
        <w:tc>
          <w:tcPr>
            <w:tcW w:w="1178" w:type="dxa"/>
            <w:tcBorders>
              <w:top w:val="nil"/>
              <w:left w:val="nil"/>
              <w:bottom w:val="single" w:sz="4" w:space="0" w:color="auto"/>
              <w:right w:val="single" w:sz="4" w:space="0" w:color="auto"/>
            </w:tcBorders>
            <w:shd w:val="clear" w:color="000000" w:fill="CCFFFF"/>
            <w:noWrap/>
            <w:vAlign w:val="bottom"/>
            <w:hideMark/>
          </w:tcPr>
          <w:p w14:paraId="4E224D0A" w14:textId="56DDBD01" w:rsidR="00543241" w:rsidRPr="000D1437" w:rsidRDefault="00543241" w:rsidP="00543241">
            <w:pPr>
              <w:jc w:val="right"/>
              <w:rPr>
                <w:rFonts w:ascii="Times New Roman" w:hAnsi="Times New Roman"/>
                <w:sz w:val="14"/>
                <w:szCs w:val="14"/>
              </w:rPr>
            </w:pPr>
            <w:r w:rsidRPr="000D1437">
              <w:rPr>
                <w:sz w:val="14"/>
                <w:szCs w:val="14"/>
              </w:rPr>
              <w:t>1959,20</w:t>
            </w:r>
          </w:p>
        </w:tc>
        <w:tc>
          <w:tcPr>
            <w:tcW w:w="1192" w:type="dxa"/>
            <w:tcBorders>
              <w:top w:val="nil"/>
              <w:left w:val="nil"/>
              <w:bottom w:val="single" w:sz="4" w:space="0" w:color="auto"/>
              <w:right w:val="single" w:sz="4" w:space="0" w:color="auto"/>
            </w:tcBorders>
            <w:shd w:val="clear" w:color="000000" w:fill="CCFFFF"/>
            <w:noWrap/>
            <w:vAlign w:val="bottom"/>
            <w:hideMark/>
          </w:tcPr>
          <w:p w14:paraId="14F26030" w14:textId="13A8A89B" w:rsidR="00543241" w:rsidRPr="000D1437" w:rsidRDefault="00543241" w:rsidP="00543241">
            <w:pPr>
              <w:jc w:val="right"/>
              <w:rPr>
                <w:rFonts w:ascii="Times New Roman" w:hAnsi="Times New Roman"/>
                <w:sz w:val="14"/>
                <w:szCs w:val="14"/>
              </w:rPr>
            </w:pPr>
            <w:r w:rsidRPr="000D1437">
              <w:rPr>
                <w:sz w:val="14"/>
                <w:szCs w:val="14"/>
              </w:rPr>
              <w:t>1955,80</w:t>
            </w:r>
          </w:p>
        </w:tc>
        <w:tc>
          <w:tcPr>
            <w:tcW w:w="1178" w:type="dxa"/>
            <w:tcBorders>
              <w:top w:val="nil"/>
              <w:left w:val="nil"/>
              <w:bottom w:val="single" w:sz="4" w:space="0" w:color="auto"/>
              <w:right w:val="single" w:sz="4" w:space="0" w:color="auto"/>
            </w:tcBorders>
            <w:shd w:val="clear" w:color="000000" w:fill="CCFFFF"/>
            <w:noWrap/>
            <w:vAlign w:val="bottom"/>
            <w:hideMark/>
          </w:tcPr>
          <w:p w14:paraId="3160C5F7" w14:textId="48590299" w:rsidR="00543241" w:rsidRPr="000D1437" w:rsidRDefault="00543241" w:rsidP="00543241">
            <w:pPr>
              <w:jc w:val="right"/>
              <w:rPr>
                <w:rFonts w:ascii="Times New Roman" w:hAnsi="Times New Roman"/>
                <w:sz w:val="14"/>
                <w:szCs w:val="14"/>
              </w:rPr>
            </w:pPr>
            <w:r w:rsidRPr="000D1437">
              <w:rPr>
                <w:sz w:val="14"/>
                <w:szCs w:val="14"/>
              </w:rPr>
              <w:t>1998,27</w:t>
            </w:r>
          </w:p>
        </w:tc>
        <w:tc>
          <w:tcPr>
            <w:tcW w:w="1164" w:type="dxa"/>
            <w:tcBorders>
              <w:top w:val="nil"/>
              <w:left w:val="nil"/>
              <w:bottom w:val="single" w:sz="4" w:space="0" w:color="auto"/>
              <w:right w:val="single" w:sz="4" w:space="0" w:color="auto"/>
            </w:tcBorders>
            <w:shd w:val="clear" w:color="000000" w:fill="CCFFFF"/>
            <w:noWrap/>
            <w:vAlign w:val="bottom"/>
            <w:hideMark/>
          </w:tcPr>
          <w:p w14:paraId="689754DE" w14:textId="19C57B94" w:rsidR="00543241" w:rsidRPr="000D1437" w:rsidRDefault="00543241" w:rsidP="00543241">
            <w:pPr>
              <w:jc w:val="right"/>
              <w:rPr>
                <w:rFonts w:ascii="Times New Roman" w:hAnsi="Times New Roman"/>
                <w:sz w:val="14"/>
                <w:szCs w:val="14"/>
              </w:rPr>
            </w:pPr>
            <w:r w:rsidRPr="000D1437">
              <w:rPr>
                <w:sz w:val="14"/>
                <w:szCs w:val="14"/>
              </w:rPr>
              <w:t>1986,81</w:t>
            </w:r>
          </w:p>
        </w:tc>
        <w:tc>
          <w:tcPr>
            <w:tcW w:w="1193" w:type="dxa"/>
            <w:tcBorders>
              <w:top w:val="nil"/>
              <w:left w:val="nil"/>
              <w:bottom w:val="single" w:sz="4" w:space="0" w:color="auto"/>
              <w:right w:val="single" w:sz="4" w:space="0" w:color="auto"/>
            </w:tcBorders>
            <w:shd w:val="clear" w:color="000000" w:fill="CCFFFF"/>
            <w:noWrap/>
            <w:vAlign w:val="bottom"/>
            <w:hideMark/>
          </w:tcPr>
          <w:p w14:paraId="109FB513" w14:textId="4822A7FE" w:rsidR="00543241" w:rsidRPr="000D1437" w:rsidRDefault="00543241" w:rsidP="00543241">
            <w:pPr>
              <w:jc w:val="right"/>
              <w:rPr>
                <w:rFonts w:ascii="Times New Roman" w:hAnsi="Times New Roman"/>
                <w:sz w:val="14"/>
                <w:szCs w:val="14"/>
              </w:rPr>
            </w:pPr>
            <w:r w:rsidRPr="000D1437">
              <w:rPr>
                <w:sz w:val="14"/>
                <w:szCs w:val="14"/>
              </w:rPr>
              <w:t>1965,04</w:t>
            </w:r>
          </w:p>
        </w:tc>
        <w:tc>
          <w:tcPr>
            <w:tcW w:w="1179" w:type="dxa"/>
            <w:tcBorders>
              <w:top w:val="nil"/>
              <w:left w:val="nil"/>
              <w:bottom w:val="single" w:sz="4" w:space="0" w:color="auto"/>
              <w:right w:val="single" w:sz="4" w:space="0" w:color="auto"/>
            </w:tcBorders>
            <w:shd w:val="clear" w:color="000000" w:fill="CCFFFF"/>
            <w:vAlign w:val="bottom"/>
          </w:tcPr>
          <w:p w14:paraId="59F24702" w14:textId="7493A332" w:rsidR="00543241" w:rsidRPr="000D1437" w:rsidRDefault="00543241" w:rsidP="00543241">
            <w:pPr>
              <w:jc w:val="right"/>
              <w:rPr>
                <w:rFonts w:ascii="Times New Roman" w:hAnsi="Times New Roman"/>
                <w:sz w:val="14"/>
                <w:szCs w:val="14"/>
              </w:rPr>
            </w:pPr>
            <w:r w:rsidRPr="000D1437">
              <w:rPr>
                <w:sz w:val="14"/>
                <w:szCs w:val="14"/>
              </w:rPr>
              <w:t>1887,79</w:t>
            </w:r>
          </w:p>
        </w:tc>
      </w:tr>
      <w:tr w:rsidR="00543241" w:rsidRPr="00364545" w14:paraId="0452B081"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B31C254" w14:textId="57FEFE2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EF8E543" w14:textId="5EE8B2E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4D7FFF86" w14:textId="2023CD3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27A9CC2" w14:textId="1885730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74DC9996" w14:textId="529AB38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4DFD0AE6" w14:textId="13E60FA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7F97F9AF" w14:textId="7BF3F3D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023C7BE"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349F723" w14:textId="6C68221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779AF558" w14:textId="58DEDF2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0EC32616" w14:textId="7923461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F98C9DE" w14:textId="59459EC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53854C79" w14:textId="5EE9F76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3BD39D7E" w14:textId="50C5684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404DB4F4" w14:textId="403E9D0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6CFA0EEA"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7B261FE" w14:textId="71F0879F"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166404B" w14:textId="3D19D2B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1ABD3838" w14:textId="22B61F9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8226DF2" w14:textId="3FE6743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0BE0C033" w14:textId="0704463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483A0B7D" w14:textId="4A0620E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75D7A5A1" w14:textId="6828A92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7900018"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01B29E8" w14:textId="2F9210B0"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3D238FB5" w14:textId="7AEE7E0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184CF836" w14:textId="2A65E79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5BDAE0D8" w14:textId="2271D72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76F0A544" w14:textId="0458E55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09012A00" w14:textId="6162139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0CB50510" w14:textId="0A96666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88EC422"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A6064ED" w14:textId="1197019D"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2F0C8129" w14:textId="46E3D33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0DC3CA0E" w14:textId="2D29BAB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2B2B2B7E" w14:textId="34EDF0D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3230414A" w14:textId="273DAF4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0045766C" w14:textId="047995E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03DCCC1A" w14:textId="47787C5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6FAFBAD5"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8072787" w14:textId="6925970F"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178" w:type="dxa"/>
            <w:tcBorders>
              <w:top w:val="nil"/>
              <w:left w:val="nil"/>
              <w:bottom w:val="single" w:sz="4" w:space="0" w:color="auto"/>
              <w:right w:val="single" w:sz="4" w:space="0" w:color="auto"/>
            </w:tcBorders>
            <w:shd w:val="clear" w:color="000000" w:fill="FFFFFF"/>
            <w:noWrap/>
            <w:vAlign w:val="bottom"/>
            <w:hideMark/>
          </w:tcPr>
          <w:p w14:paraId="35842B34" w14:textId="7447AD2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2A7A3678" w14:textId="7CCAF2A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2D88657F" w14:textId="10CB0AB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64AA930C" w14:textId="5865FA0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7ED8325C" w14:textId="5B367EB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4710EF0E" w14:textId="54A822F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D6FDCDB"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39F79E9"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178" w:type="dxa"/>
            <w:tcBorders>
              <w:top w:val="nil"/>
              <w:left w:val="nil"/>
              <w:bottom w:val="single" w:sz="4" w:space="0" w:color="auto"/>
              <w:right w:val="single" w:sz="4" w:space="0" w:color="auto"/>
            </w:tcBorders>
            <w:shd w:val="clear" w:color="000000" w:fill="FFFFFF"/>
            <w:noWrap/>
            <w:vAlign w:val="bottom"/>
            <w:hideMark/>
          </w:tcPr>
          <w:p w14:paraId="5814B549" w14:textId="51519067" w:rsidR="00543241" w:rsidRPr="000D1437" w:rsidRDefault="00543241" w:rsidP="00543241">
            <w:pPr>
              <w:jc w:val="right"/>
              <w:rPr>
                <w:rFonts w:ascii="Times New Roman" w:hAnsi="Times New Roman"/>
                <w:sz w:val="14"/>
                <w:szCs w:val="14"/>
              </w:rPr>
            </w:pPr>
            <w:r w:rsidRPr="000D1437">
              <w:rPr>
                <w:sz w:val="14"/>
                <w:szCs w:val="14"/>
              </w:rPr>
              <w:t>928,97</w:t>
            </w:r>
          </w:p>
        </w:tc>
        <w:tc>
          <w:tcPr>
            <w:tcW w:w="1192" w:type="dxa"/>
            <w:tcBorders>
              <w:top w:val="nil"/>
              <w:left w:val="nil"/>
              <w:bottom w:val="single" w:sz="4" w:space="0" w:color="auto"/>
              <w:right w:val="single" w:sz="4" w:space="0" w:color="auto"/>
            </w:tcBorders>
            <w:shd w:val="clear" w:color="000000" w:fill="FFFFFF"/>
            <w:noWrap/>
            <w:vAlign w:val="bottom"/>
            <w:hideMark/>
          </w:tcPr>
          <w:p w14:paraId="2D7BA2F6" w14:textId="411DAE3D" w:rsidR="00543241" w:rsidRPr="000D1437" w:rsidRDefault="00543241" w:rsidP="00543241">
            <w:pPr>
              <w:jc w:val="right"/>
              <w:rPr>
                <w:rFonts w:ascii="Times New Roman" w:hAnsi="Times New Roman"/>
                <w:sz w:val="14"/>
                <w:szCs w:val="14"/>
              </w:rPr>
            </w:pPr>
            <w:r w:rsidRPr="000D1437">
              <w:rPr>
                <w:sz w:val="14"/>
                <w:szCs w:val="14"/>
              </w:rPr>
              <w:t>950,70</w:t>
            </w:r>
          </w:p>
        </w:tc>
        <w:tc>
          <w:tcPr>
            <w:tcW w:w="1178" w:type="dxa"/>
            <w:tcBorders>
              <w:top w:val="nil"/>
              <w:left w:val="nil"/>
              <w:bottom w:val="single" w:sz="4" w:space="0" w:color="auto"/>
              <w:right w:val="single" w:sz="4" w:space="0" w:color="auto"/>
            </w:tcBorders>
            <w:shd w:val="clear" w:color="000000" w:fill="FFFFFF"/>
            <w:noWrap/>
            <w:vAlign w:val="bottom"/>
            <w:hideMark/>
          </w:tcPr>
          <w:p w14:paraId="7B27915A" w14:textId="2AB22670" w:rsidR="00543241" w:rsidRPr="000D1437" w:rsidRDefault="00543241" w:rsidP="00543241">
            <w:pPr>
              <w:jc w:val="right"/>
              <w:rPr>
                <w:rFonts w:ascii="Times New Roman" w:hAnsi="Times New Roman"/>
                <w:sz w:val="14"/>
                <w:szCs w:val="14"/>
              </w:rPr>
            </w:pPr>
            <w:r w:rsidRPr="000D1437">
              <w:rPr>
                <w:sz w:val="14"/>
                <w:szCs w:val="14"/>
              </w:rPr>
              <w:t>987,29</w:t>
            </w:r>
          </w:p>
        </w:tc>
        <w:tc>
          <w:tcPr>
            <w:tcW w:w="1164" w:type="dxa"/>
            <w:tcBorders>
              <w:top w:val="nil"/>
              <w:left w:val="nil"/>
              <w:bottom w:val="single" w:sz="4" w:space="0" w:color="auto"/>
              <w:right w:val="single" w:sz="4" w:space="0" w:color="auto"/>
            </w:tcBorders>
            <w:shd w:val="clear" w:color="000000" w:fill="FFFFFF"/>
            <w:noWrap/>
            <w:vAlign w:val="bottom"/>
            <w:hideMark/>
          </w:tcPr>
          <w:p w14:paraId="38002FAB" w14:textId="0F796D15" w:rsidR="00543241" w:rsidRPr="000D1437" w:rsidRDefault="00543241" w:rsidP="00543241">
            <w:pPr>
              <w:jc w:val="right"/>
              <w:rPr>
                <w:rFonts w:ascii="Times New Roman" w:hAnsi="Times New Roman"/>
                <w:sz w:val="14"/>
                <w:szCs w:val="14"/>
              </w:rPr>
            </w:pPr>
            <w:r w:rsidRPr="000D1437">
              <w:rPr>
                <w:sz w:val="14"/>
                <w:szCs w:val="14"/>
              </w:rPr>
              <w:t>960,86</w:t>
            </w:r>
          </w:p>
        </w:tc>
        <w:tc>
          <w:tcPr>
            <w:tcW w:w="1193" w:type="dxa"/>
            <w:tcBorders>
              <w:top w:val="nil"/>
              <w:left w:val="nil"/>
              <w:bottom w:val="single" w:sz="4" w:space="0" w:color="auto"/>
              <w:right w:val="single" w:sz="4" w:space="0" w:color="auto"/>
            </w:tcBorders>
            <w:shd w:val="clear" w:color="000000" w:fill="FFFFFF"/>
            <w:noWrap/>
            <w:vAlign w:val="bottom"/>
            <w:hideMark/>
          </w:tcPr>
          <w:p w14:paraId="7A318444" w14:textId="405A82AA" w:rsidR="00543241" w:rsidRPr="000D1437" w:rsidRDefault="00543241" w:rsidP="00543241">
            <w:pPr>
              <w:jc w:val="right"/>
              <w:rPr>
                <w:rFonts w:ascii="Times New Roman" w:hAnsi="Times New Roman"/>
                <w:sz w:val="14"/>
                <w:szCs w:val="14"/>
              </w:rPr>
            </w:pPr>
            <w:r w:rsidRPr="000D1437">
              <w:rPr>
                <w:sz w:val="14"/>
                <w:szCs w:val="14"/>
              </w:rPr>
              <w:t>913,99</w:t>
            </w:r>
          </w:p>
        </w:tc>
        <w:tc>
          <w:tcPr>
            <w:tcW w:w="1179" w:type="dxa"/>
            <w:tcBorders>
              <w:top w:val="nil"/>
              <w:left w:val="nil"/>
              <w:bottom w:val="single" w:sz="4" w:space="0" w:color="auto"/>
              <w:right w:val="single" w:sz="4" w:space="0" w:color="auto"/>
            </w:tcBorders>
            <w:shd w:val="clear" w:color="000000" w:fill="FFFFFF"/>
            <w:vAlign w:val="bottom"/>
          </w:tcPr>
          <w:p w14:paraId="58AC1A0A" w14:textId="6B538AE6" w:rsidR="00543241" w:rsidRPr="000D1437" w:rsidRDefault="00543241" w:rsidP="00543241">
            <w:pPr>
              <w:jc w:val="right"/>
              <w:rPr>
                <w:rFonts w:ascii="Times New Roman" w:hAnsi="Times New Roman"/>
                <w:sz w:val="14"/>
                <w:szCs w:val="14"/>
              </w:rPr>
            </w:pPr>
            <w:r w:rsidRPr="000D1437">
              <w:rPr>
                <w:sz w:val="14"/>
                <w:szCs w:val="14"/>
              </w:rPr>
              <w:t>859,65</w:t>
            </w:r>
          </w:p>
        </w:tc>
      </w:tr>
      <w:tr w:rsidR="00543241" w:rsidRPr="00364545" w14:paraId="7D49149D"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77894A1"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178" w:type="dxa"/>
            <w:tcBorders>
              <w:top w:val="nil"/>
              <w:left w:val="nil"/>
              <w:bottom w:val="single" w:sz="4" w:space="0" w:color="auto"/>
              <w:right w:val="single" w:sz="4" w:space="0" w:color="auto"/>
            </w:tcBorders>
            <w:shd w:val="clear" w:color="000000" w:fill="FFFFFF"/>
            <w:noWrap/>
            <w:vAlign w:val="bottom"/>
            <w:hideMark/>
          </w:tcPr>
          <w:p w14:paraId="57EA9A83" w14:textId="7F047CE8" w:rsidR="00543241" w:rsidRPr="000D1437" w:rsidRDefault="00543241" w:rsidP="00543241">
            <w:pPr>
              <w:jc w:val="right"/>
              <w:rPr>
                <w:rFonts w:ascii="Times New Roman" w:hAnsi="Times New Roman"/>
                <w:sz w:val="14"/>
                <w:szCs w:val="14"/>
              </w:rPr>
            </w:pPr>
            <w:r w:rsidRPr="000D1437">
              <w:rPr>
                <w:sz w:val="14"/>
                <w:szCs w:val="14"/>
              </w:rPr>
              <w:t>868,58</w:t>
            </w:r>
          </w:p>
        </w:tc>
        <w:tc>
          <w:tcPr>
            <w:tcW w:w="1192" w:type="dxa"/>
            <w:tcBorders>
              <w:top w:val="nil"/>
              <w:left w:val="nil"/>
              <w:bottom w:val="single" w:sz="4" w:space="0" w:color="auto"/>
              <w:right w:val="single" w:sz="4" w:space="0" w:color="auto"/>
            </w:tcBorders>
            <w:shd w:val="clear" w:color="000000" w:fill="FFFFFF"/>
            <w:noWrap/>
            <w:vAlign w:val="bottom"/>
            <w:hideMark/>
          </w:tcPr>
          <w:p w14:paraId="5E366C01" w14:textId="6A38CB16" w:rsidR="00543241" w:rsidRPr="000D1437" w:rsidRDefault="00543241" w:rsidP="00543241">
            <w:pPr>
              <w:jc w:val="right"/>
              <w:rPr>
                <w:rFonts w:ascii="Times New Roman" w:hAnsi="Times New Roman"/>
                <w:sz w:val="14"/>
                <w:szCs w:val="14"/>
              </w:rPr>
            </w:pPr>
            <w:r w:rsidRPr="000D1437">
              <w:rPr>
                <w:sz w:val="14"/>
                <w:szCs w:val="14"/>
              </w:rPr>
              <w:t>849,82</w:t>
            </w:r>
          </w:p>
        </w:tc>
        <w:tc>
          <w:tcPr>
            <w:tcW w:w="1178" w:type="dxa"/>
            <w:tcBorders>
              <w:top w:val="nil"/>
              <w:left w:val="nil"/>
              <w:bottom w:val="single" w:sz="4" w:space="0" w:color="auto"/>
              <w:right w:val="single" w:sz="4" w:space="0" w:color="auto"/>
            </w:tcBorders>
            <w:shd w:val="clear" w:color="000000" w:fill="FFFFFF"/>
            <w:noWrap/>
            <w:vAlign w:val="bottom"/>
            <w:hideMark/>
          </w:tcPr>
          <w:p w14:paraId="68DA4916" w14:textId="1FD4001B" w:rsidR="00543241" w:rsidRPr="000D1437" w:rsidRDefault="00543241" w:rsidP="00543241">
            <w:pPr>
              <w:jc w:val="right"/>
              <w:rPr>
                <w:rFonts w:ascii="Times New Roman" w:hAnsi="Times New Roman"/>
                <w:sz w:val="14"/>
                <w:szCs w:val="14"/>
              </w:rPr>
            </w:pPr>
            <w:r w:rsidRPr="000D1437">
              <w:rPr>
                <w:sz w:val="14"/>
                <w:szCs w:val="14"/>
              </w:rPr>
              <w:t>864,33</w:t>
            </w:r>
          </w:p>
        </w:tc>
        <w:tc>
          <w:tcPr>
            <w:tcW w:w="1164" w:type="dxa"/>
            <w:tcBorders>
              <w:top w:val="nil"/>
              <w:left w:val="nil"/>
              <w:bottom w:val="single" w:sz="4" w:space="0" w:color="auto"/>
              <w:right w:val="single" w:sz="4" w:space="0" w:color="auto"/>
            </w:tcBorders>
            <w:shd w:val="clear" w:color="000000" w:fill="FFFFFF"/>
            <w:noWrap/>
            <w:vAlign w:val="bottom"/>
            <w:hideMark/>
          </w:tcPr>
          <w:p w14:paraId="1932D252" w14:textId="2314E1FA" w:rsidR="00543241" w:rsidRPr="000D1437" w:rsidRDefault="00543241" w:rsidP="00543241">
            <w:pPr>
              <w:jc w:val="right"/>
              <w:rPr>
                <w:rFonts w:ascii="Times New Roman" w:hAnsi="Times New Roman"/>
                <w:sz w:val="14"/>
                <w:szCs w:val="14"/>
              </w:rPr>
            </w:pPr>
            <w:r w:rsidRPr="000D1437">
              <w:rPr>
                <w:sz w:val="14"/>
                <w:szCs w:val="14"/>
              </w:rPr>
              <w:t>867,16</w:t>
            </w:r>
          </w:p>
        </w:tc>
        <w:tc>
          <w:tcPr>
            <w:tcW w:w="1193" w:type="dxa"/>
            <w:tcBorders>
              <w:top w:val="nil"/>
              <w:left w:val="nil"/>
              <w:bottom w:val="single" w:sz="4" w:space="0" w:color="auto"/>
              <w:right w:val="single" w:sz="4" w:space="0" w:color="auto"/>
            </w:tcBorders>
            <w:shd w:val="clear" w:color="000000" w:fill="FFFFFF"/>
            <w:noWrap/>
            <w:vAlign w:val="bottom"/>
            <w:hideMark/>
          </w:tcPr>
          <w:p w14:paraId="4DBB5AE5" w14:textId="732E0950" w:rsidR="00543241" w:rsidRPr="000D1437" w:rsidRDefault="00543241" w:rsidP="00543241">
            <w:pPr>
              <w:jc w:val="right"/>
              <w:rPr>
                <w:rFonts w:ascii="Times New Roman" w:hAnsi="Times New Roman"/>
                <w:sz w:val="14"/>
                <w:szCs w:val="14"/>
              </w:rPr>
            </w:pPr>
            <w:r w:rsidRPr="000D1437">
              <w:rPr>
                <w:sz w:val="14"/>
                <w:szCs w:val="14"/>
              </w:rPr>
              <w:t>885,62</w:t>
            </w:r>
          </w:p>
        </w:tc>
        <w:tc>
          <w:tcPr>
            <w:tcW w:w="1179" w:type="dxa"/>
            <w:tcBorders>
              <w:top w:val="nil"/>
              <w:left w:val="nil"/>
              <w:bottom w:val="single" w:sz="4" w:space="0" w:color="auto"/>
              <w:right w:val="single" w:sz="4" w:space="0" w:color="auto"/>
            </w:tcBorders>
            <w:shd w:val="clear" w:color="000000" w:fill="FFFFFF"/>
            <w:vAlign w:val="bottom"/>
          </w:tcPr>
          <w:p w14:paraId="279AEB7E" w14:textId="48282591" w:rsidR="00543241" w:rsidRPr="000D1437" w:rsidRDefault="00543241" w:rsidP="00543241">
            <w:pPr>
              <w:jc w:val="right"/>
              <w:rPr>
                <w:rFonts w:ascii="Times New Roman" w:hAnsi="Times New Roman"/>
                <w:sz w:val="14"/>
                <w:szCs w:val="14"/>
              </w:rPr>
            </w:pPr>
            <w:r w:rsidRPr="000D1437">
              <w:rPr>
                <w:sz w:val="14"/>
                <w:szCs w:val="14"/>
              </w:rPr>
              <w:t>872,19</w:t>
            </w:r>
          </w:p>
        </w:tc>
      </w:tr>
      <w:tr w:rsidR="00543241" w:rsidRPr="00364545" w14:paraId="3ADC5671"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7A8D50D" w14:textId="62210F09"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178" w:type="dxa"/>
            <w:tcBorders>
              <w:top w:val="nil"/>
              <w:left w:val="nil"/>
              <w:bottom w:val="single" w:sz="4" w:space="0" w:color="auto"/>
              <w:right w:val="single" w:sz="4" w:space="0" w:color="auto"/>
            </w:tcBorders>
            <w:shd w:val="clear" w:color="000000" w:fill="FFFFFF"/>
            <w:noWrap/>
            <w:vAlign w:val="bottom"/>
            <w:hideMark/>
          </w:tcPr>
          <w:p w14:paraId="2302440B" w14:textId="47360DE8" w:rsidR="00543241" w:rsidRPr="000D1437" w:rsidRDefault="00543241" w:rsidP="00543241">
            <w:pPr>
              <w:jc w:val="right"/>
              <w:rPr>
                <w:rFonts w:ascii="Times New Roman" w:hAnsi="Times New Roman"/>
                <w:sz w:val="14"/>
                <w:szCs w:val="14"/>
              </w:rPr>
            </w:pPr>
            <w:r w:rsidRPr="000D1437">
              <w:rPr>
                <w:sz w:val="14"/>
                <w:szCs w:val="14"/>
              </w:rPr>
              <w:t>161,66</w:t>
            </w:r>
          </w:p>
        </w:tc>
        <w:tc>
          <w:tcPr>
            <w:tcW w:w="1192" w:type="dxa"/>
            <w:tcBorders>
              <w:top w:val="nil"/>
              <w:left w:val="nil"/>
              <w:bottom w:val="single" w:sz="4" w:space="0" w:color="auto"/>
              <w:right w:val="single" w:sz="4" w:space="0" w:color="auto"/>
            </w:tcBorders>
            <w:shd w:val="clear" w:color="000000" w:fill="FFFFFF"/>
            <w:noWrap/>
            <w:vAlign w:val="bottom"/>
            <w:hideMark/>
          </w:tcPr>
          <w:p w14:paraId="28F91843" w14:textId="7FC05C23" w:rsidR="00543241" w:rsidRPr="000D1437" w:rsidRDefault="00543241" w:rsidP="00543241">
            <w:pPr>
              <w:jc w:val="right"/>
              <w:rPr>
                <w:rFonts w:ascii="Times New Roman" w:hAnsi="Times New Roman"/>
                <w:sz w:val="14"/>
                <w:szCs w:val="14"/>
              </w:rPr>
            </w:pPr>
            <w:r w:rsidRPr="000D1437">
              <w:rPr>
                <w:sz w:val="14"/>
                <w:szCs w:val="14"/>
              </w:rPr>
              <w:t>155,28</w:t>
            </w:r>
          </w:p>
        </w:tc>
        <w:tc>
          <w:tcPr>
            <w:tcW w:w="1178" w:type="dxa"/>
            <w:tcBorders>
              <w:top w:val="nil"/>
              <w:left w:val="nil"/>
              <w:bottom w:val="single" w:sz="4" w:space="0" w:color="auto"/>
              <w:right w:val="single" w:sz="4" w:space="0" w:color="auto"/>
            </w:tcBorders>
            <w:shd w:val="clear" w:color="000000" w:fill="FFFFFF"/>
            <w:noWrap/>
            <w:vAlign w:val="bottom"/>
            <w:hideMark/>
          </w:tcPr>
          <w:p w14:paraId="77249A01" w14:textId="119BA946" w:rsidR="00543241" w:rsidRPr="000D1437" w:rsidRDefault="00543241" w:rsidP="00543241">
            <w:pPr>
              <w:jc w:val="right"/>
              <w:rPr>
                <w:rFonts w:ascii="Times New Roman" w:hAnsi="Times New Roman"/>
                <w:sz w:val="14"/>
                <w:szCs w:val="14"/>
              </w:rPr>
            </w:pPr>
            <w:r w:rsidRPr="000D1437">
              <w:rPr>
                <w:sz w:val="14"/>
                <w:szCs w:val="14"/>
              </w:rPr>
              <w:t>146,65</w:t>
            </w:r>
          </w:p>
        </w:tc>
        <w:tc>
          <w:tcPr>
            <w:tcW w:w="1164" w:type="dxa"/>
            <w:tcBorders>
              <w:top w:val="nil"/>
              <w:left w:val="nil"/>
              <w:bottom w:val="single" w:sz="4" w:space="0" w:color="auto"/>
              <w:right w:val="single" w:sz="4" w:space="0" w:color="auto"/>
            </w:tcBorders>
            <w:shd w:val="clear" w:color="000000" w:fill="FFFFFF"/>
            <w:noWrap/>
            <w:vAlign w:val="bottom"/>
            <w:hideMark/>
          </w:tcPr>
          <w:p w14:paraId="52350622" w14:textId="1BB98DF7" w:rsidR="00543241" w:rsidRPr="000D1437" w:rsidRDefault="00543241" w:rsidP="00543241">
            <w:pPr>
              <w:jc w:val="right"/>
              <w:rPr>
                <w:rFonts w:ascii="Times New Roman" w:hAnsi="Times New Roman"/>
                <w:sz w:val="14"/>
                <w:szCs w:val="14"/>
              </w:rPr>
            </w:pPr>
            <w:r w:rsidRPr="000D1437">
              <w:rPr>
                <w:sz w:val="14"/>
                <w:szCs w:val="14"/>
              </w:rPr>
              <w:t>158,78</w:t>
            </w:r>
          </w:p>
        </w:tc>
        <w:tc>
          <w:tcPr>
            <w:tcW w:w="1193" w:type="dxa"/>
            <w:tcBorders>
              <w:top w:val="nil"/>
              <w:left w:val="nil"/>
              <w:bottom w:val="single" w:sz="4" w:space="0" w:color="auto"/>
              <w:right w:val="single" w:sz="4" w:space="0" w:color="auto"/>
            </w:tcBorders>
            <w:shd w:val="clear" w:color="000000" w:fill="FFFFFF"/>
            <w:noWrap/>
            <w:vAlign w:val="bottom"/>
            <w:hideMark/>
          </w:tcPr>
          <w:p w14:paraId="5739243C" w14:textId="388804AA" w:rsidR="00543241" w:rsidRPr="000D1437" w:rsidRDefault="00543241" w:rsidP="00543241">
            <w:pPr>
              <w:jc w:val="right"/>
              <w:rPr>
                <w:rFonts w:ascii="Times New Roman" w:hAnsi="Times New Roman"/>
                <w:sz w:val="14"/>
                <w:szCs w:val="14"/>
              </w:rPr>
            </w:pPr>
            <w:r w:rsidRPr="000D1437">
              <w:rPr>
                <w:sz w:val="14"/>
                <w:szCs w:val="14"/>
              </w:rPr>
              <w:t>165,43</w:t>
            </w:r>
          </w:p>
        </w:tc>
        <w:tc>
          <w:tcPr>
            <w:tcW w:w="1179" w:type="dxa"/>
            <w:tcBorders>
              <w:top w:val="nil"/>
              <w:left w:val="nil"/>
              <w:bottom w:val="single" w:sz="4" w:space="0" w:color="auto"/>
              <w:right w:val="single" w:sz="4" w:space="0" w:color="auto"/>
            </w:tcBorders>
            <w:shd w:val="clear" w:color="000000" w:fill="FFFFFF"/>
            <w:vAlign w:val="bottom"/>
          </w:tcPr>
          <w:p w14:paraId="4630027D" w14:textId="5527AF9E" w:rsidR="00543241" w:rsidRPr="000D1437" w:rsidRDefault="00543241" w:rsidP="00543241">
            <w:pPr>
              <w:jc w:val="right"/>
              <w:rPr>
                <w:rFonts w:ascii="Times New Roman" w:hAnsi="Times New Roman"/>
                <w:sz w:val="14"/>
                <w:szCs w:val="14"/>
              </w:rPr>
            </w:pPr>
            <w:r w:rsidRPr="000D1437">
              <w:rPr>
                <w:sz w:val="14"/>
                <w:szCs w:val="14"/>
              </w:rPr>
              <w:t>155,95</w:t>
            </w:r>
          </w:p>
        </w:tc>
      </w:tr>
      <w:tr w:rsidR="00543241" w:rsidRPr="00364545" w14:paraId="458CC844"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1ED0F82" w14:textId="294ABE6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178" w:type="dxa"/>
            <w:tcBorders>
              <w:top w:val="nil"/>
              <w:left w:val="nil"/>
              <w:bottom w:val="single" w:sz="4" w:space="0" w:color="auto"/>
              <w:right w:val="single" w:sz="4" w:space="0" w:color="auto"/>
            </w:tcBorders>
            <w:shd w:val="clear" w:color="000000" w:fill="FFFFFF"/>
            <w:noWrap/>
            <w:vAlign w:val="bottom"/>
            <w:hideMark/>
          </w:tcPr>
          <w:p w14:paraId="6E78BBA0" w14:textId="6E8933A3" w:rsidR="00543241" w:rsidRPr="000D1437" w:rsidRDefault="00543241" w:rsidP="00543241">
            <w:pPr>
              <w:jc w:val="right"/>
              <w:rPr>
                <w:rFonts w:ascii="Times New Roman" w:hAnsi="Times New Roman"/>
                <w:sz w:val="14"/>
                <w:szCs w:val="14"/>
              </w:rPr>
            </w:pPr>
            <w:r w:rsidRPr="000D1437">
              <w:rPr>
                <w:sz w:val="14"/>
                <w:szCs w:val="14"/>
              </w:rPr>
              <w:t>NO</w:t>
            </w:r>
          </w:p>
        </w:tc>
        <w:tc>
          <w:tcPr>
            <w:tcW w:w="1192" w:type="dxa"/>
            <w:tcBorders>
              <w:top w:val="nil"/>
              <w:left w:val="nil"/>
              <w:bottom w:val="single" w:sz="4" w:space="0" w:color="auto"/>
              <w:right w:val="single" w:sz="4" w:space="0" w:color="auto"/>
            </w:tcBorders>
            <w:shd w:val="clear" w:color="000000" w:fill="FFFFFF"/>
            <w:noWrap/>
            <w:vAlign w:val="bottom"/>
            <w:hideMark/>
          </w:tcPr>
          <w:p w14:paraId="28C2DB51" w14:textId="208EDBFE" w:rsidR="00543241" w:rsidRPr="000D1437" w:rsidRDefault="00543241" w:rsidP="00543241">
            <w:pPr>
              <w:jc w:val="right"/>
              <w:rPr>
                <w:rFonts w:ascii="Times New Roman" w:hAnsi="Times New Roman"/>
                <w:sz w:val="14"/>
                <w:szCs w:val="14"/>
              </w:rPr>
            </w:pPr>
            <w:r w:rsidRPr="000D1437">
              <w:rPr>
                <w:sz w:val="14"/>
                <w:szCs w:val="14"/>
              </w:rPr>
              <w:t>NO</w:t>
            </w:r>
          </w:p>
        </w:tc>
        <w:tc>
          <w:tcPr>
            <w:tcW w:w="1178" w:type="dxa"/>
            <w:tcBorders>
              <w:top w:val="nil"/>
              <w:left w:val="nil"/>
              <w:bottom w:val="single" w:sz="4" w:space="0" w:color="auto"/>
              <w:right w:val="single" w:sz="4" w:space="0" w:color="auto"/>
            </w:tcBorders>
            <w:shd w:val="clear" w:color="000000" w:fill="FFFFFF"/>
            <w:noWrap/>
            <w:vAlign w:val="bottom"/>
            <w:hideMark/>
          </w:tcPr>
          <w:p w14:paraId="5664855F" w14:textId="239A68C8" w:rsidR="00543241" w:rsidRPr="000D1437" w:rsidRDefault="00543241" w:rsidP="00543241">
            <w:pPr>
              <w:jc w:val="right"/>
              <w:rPr>
                <w:rFonts w:ascii="Times New Roman" w:hAnsi="Times New Roman"/>
                <w:sz w:val="14"/>
                <w:szCs w:val="14"/>
              </w:rPr>
            </w:pPr>
            <w:r w:rsidRPr="000D1437">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695D6A45" w14:textId="75B27B66"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3FC2D453" w14:textId="5B34E17A" w:rsidR="00543241" w:rsidRPr="000D1437" w:rsidRDefault="00543241" w:rsidP="00543241">
            <w:pPr>
              <w:jc w:val="right"/>
              <w:rPr>
                <w:rFonts w:ascii="Times New Roman" w:hAnsi="Times New Roman"/>
                <w:sz w:val="14"/>
                <w:szCs w:val="14"/>
              </w:rPr>
            </w:pPr>
            <w:r w:rsidRPr="000D1437">
              <w:rPr>
                <w:sz w:val="14"/>
                <w:szCs w:val="14"/>
              </w:rPr>
              <w:t>NO</w:t>
            </w:r>
          </w:p>
        </w:tc>
        <w:tc>
          <w:tcPr>
            <w:tcW w:w="1179" w:type="dxa"/>
            <w:tcBorders>
              <w:top w:val="nil"/>
              <w:left w:val="nil"/>
              <w:bottom w:val="single" w:sz="4" w:space="0" w:color="auto"/>
              <w:right w:val="single" w:sz="4" w:space="0" w:color="auto"/>
            </w:tcBorders>
            <w:shd w:val="clear" w:color="000000" w:fill="FFFFFF"/>
            <w:vAlign w:val="bottom"/>
          </w:tcPr>
          <w:p w14:paraId="30584646" w14:textId="16BAF50B"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3085F4BC"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bottom"/>
            <w:hideMark/>
          </w:tcPr>
          <w:p w14:paraId="44EBB491"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178" w:type="dxa"/>
            <w:tcBorders>
              <w:top w:val="nil"/>
              <w:left w:val="nil"/>
              <w:bottom w:val="single" w:sz="4" w:space="0" w:color="auto"/>
              <w:right w:val="single" w:sz="4" w:space="0" w:color="auto"/>
            </w:tcBorders>
            <w:shd w:val="clear" w:color="000000" w:fill="CCFFFF"/>
            <w:noWrap/>
            <w:vAlign w:val="bottom"/>
            <w:hideMark/>
          </w:tcPr>
          <w:p w14:paraId="217AECAE" w14:textId="1D5753CE" w:rsidR="00543241" w:rsidRPr="000D1437" w:rsidRDefault="00543241" w:rsidP="00543241">
            <w:pPr>
              <w:jc w:val="right"/>
              <w:rPr>
                <w:rFonts w:ascii="Times New Roman" w:hAnsi="Times New Roman"/>
                <w:sz w:val="14"/>
                <w:szCs w:val="14"/>
              </w:rPr>
            </w:pPr>
            <w:r w:rsidRPr="000D1437">
              <w:rPr>
                <w:sz w:val="14"/>
                <w:szCs w:val="14"/>
              </w:rPr>
              <w:t>-36227,75</w:t>
            </w:r>
          </w:p>
        </w:tc>
        <w:tc>
          <w:tcPr>
            <w:tcW w:w="1192" w:type="dxa"/>
            <w:tcBorders>
              <w:top w:val="nil"/>
              <w:left w:val="nil"/>
              <w:bottom w:val="single" w:sz="4" w:space="0" w:color="auto"/>
              <w:right w:val="single" w:sz="4" w:space="0" w:color="auto"/>
            </w:tcBorders>
            <w:shd w:val="clear" w:color="000000" w:fill="CCFFFF"/>
            <w:noWrap/>
            <w:vAlign w:val="bottom"/>
            <w:hideMark/>
          </w:tcPr>
          <w:p w14:paraId="03D68610" w14:textId="3A36D124" w:rsidR="00543241" w:rsidRPr="000D1437" w:rsidRDefault="00543241" w:rsidP="00543241">
            <w:pPr>
              <w:jc w:val="right"/>
              <w:rPr>
                <w:rFonts w:ascii="Times New Roman" w:hAnsi="Times New Roman"/>
                <w:sz w:val="14"/>
                <w:szCs w:val="14"/>
              </w:rPr>
            </w:pPr>
            <w:r w:rsidRPr="000D1437">
              <w:rPr>
                <w:sz w:val="14"/>
                <w:szCs w:val="14"/>
              </w:rPr>
              <w:t>-44903,18</w:t>
            </w:r>
          </w:p>
        </w:tc>
        <w:tc>
          <w:tcPr>
            <w:tcW w:w="1178" w:type="dxa"/>
            <w:tcBorders>
              <w:top w:val="nil"/>
              <w:left w:val="nil"/>
              <w:bottom w:val="single" w:sz="4" w:space="0" w:color="auto"/>
              <w:right w:val="single" w:sz="4" w:space="0" w:color="auto"/>
            </w:tcBorders>
            <w:shd w:val="clear" w:color="000000" w:fill="CCFFFF"/>
            <w:noWrap/>
            <w:vAlign w:val="bottom"/>
            <w:hideMark/>
          </w:tcPr>
          <w:p w14:paraId="57E1C5CA" w14:textId="64021A9B" w:rsidR="00543241" w:rsidRPr="000D1437" w:rsidRDefault="00543241" w:rsidP="00543241">
            <w:pPr>
              <w:jc w:val="right"/>
              <w:rPr>
                <w:rFonts w:ascii="Times New Roman" w:hAnsi="Times New Roman"/>
                <w:sz w:val="14"/>
                <w:szCs w:val="14"/>
              </w:rPr>
            </w:pPr>
            <w:r w:rsidRPr="000D1437">
              <w:rPr>
                <w:sz w:val="14"/>
                <w:szCs w:val="14"/>
              </w:rPr>
              <w:t>-47798,99</w:t>
            </w:r>
          </w:p>
        </w:tc>
        <w:tc>
          <w:tcPr>
            <w:tcW w:w="1164" w:type="dxa"/>
            <w:tcBorders>
              <w:top w:val="nil"/>
              <w:left w:val="nil"/>
              <w:bottom w:val="single" w:sz="4" w:space="0" w:color="auto"/>
              <w:right w:val="single" w:sz="4" w:space="0" w:color="auto"/>
            </w:tcBorders>
            <w:shd w:val="clear" w:color="000000" w:fill="CCFFFF"/>
            <w:noWrap/>
            <w:vAlign w:val="bottom"/>
            <w:hideMark/>
          </w:tcPr>
          <w:p w14:paraId="0B6DB625" w14:textId="3FC3A5EB" w:rsidR="00543241" w:rsidRPr="000D1437" w:rsidRDefault="00543241" w:rsidP="00543241">
            <w:pPr>
              <w:jc w:val="right"/>
              <w:rPr>
                <w:rFonts w:ascii="Times New Roman" w:hAnsi="Times New Roman"/>
                <w:sz w:val="14"/>
                <w:szCs w:val="14"/>
              </w:rPr>
            </w:pPr>
            <w:r w:rsidRPr="000D1437">
              <w:rPr>
                <w:sz w:val="14"/>
                <w:szCs w:val="14"/>
              </w:rPr>
              <w:t>-50775,43</w:t>
            </w:r>
          </w:p>
        </w:tc>
        <w:tc>
          <w:tcPr>
            <w:tcW w:w="1193" w:type="dxa"/>
            <w:tcBorders>
              <w:top w:val="nil"/>
              <w:left w:val="nil"/>
              <w:bottom w:val="single" w:sz="4" w:space="0" w:color="auto"/>
              <w:right w:val="single" w:sz="4" w:space="0" w:color="auto"/>
            </w:tcBorders>
            <w:shd w:val="clear" w:color="000000" w:fill="CCFFFF"/>
            <w:noWrap/>
            <w:vAlign w:val="bottom"/>
            <w:hideMark/>
          </w:tcPr>
          <w:p w14:paraId="0AF1622A" w14:textId="4FC0FAA4" w:rsidR="00543241" w:rsidRPr="000D1437" w:rsidRDefault="00543241" w:rsidP="00543241">
            <w:pPr>
              <w:jc w:val="right"/>
              <w:rPr>
                <w:rFonts w:ascii="Times New Roman" w:hAnsi="Times New Roman"/>
                <w:sz w:val="14"/>
                <w:szCs w:val="14"/>
              </w:rPr>
            </w:pPr>
            <w:r w:rsidRPr="000D1437">
              <w:rPr>
                <w:sz w:val="14"/>
                <w:szCs w:val="14"/>
              </w:rPr>
              <w:t>-51471,48</w:t>
            </w:r>
          </w:p>
        </w:tc>
        <w:tc>
          <w:tcPr>
            <w:tcW w:w="1179" w:type="dxa"/>
            <w:tcBorders>
              <w:top w:val="nil"/>
              <w:left w:val="nil"/>
              <w:bottom w:val="single" w:sz="4" w:space="0" w:color="auto"/>
              <w:right w:val="single" w:sz="4" w:space="0" w:color="auto"/>
            </w:tcBorders>
            <w:shd w:val="clear" w:color="000000" w:fill="CCFFFF"/>
            <w:vAlign w:val="bottom"/>
          </w:tcPr>
          <w:p w14:paraId="694FABFD" w14:textId="395C505A" w:rsidR="00543241" w:rsidRPr="000D1437" w:rsidRDefault="00543241" w:rsidP="00543241">
            <w:pPr>
              <w:jc w:val="right"/>
              <w:rPr>
                <w:rFonts w:ascii="Times New Roman" w:hAnsi="Times New Roman"/>
                <w:sz w:val="14"/>
                <w:szCs w:val="14"/>
              </w:rPr>
            </w:pPr>
            <w:r w:rsidRPr="000D1437">
              <w:rPr>
                <w:sz w:val="14"/>
                <w:szCs w:val="14"/>
              </w:rPr>
              <w:t>-53137,94</w:t>
            </w:r>
          </w:p>
        </w:tc>
      </w:tr>
      <w:tr w:rsidR="00543241" w:rsidRPr="00364545" w14:paraId="5567CEA7"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E0A9263" w14:textId="3376A7F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178" w:type="dxa"/>
            <w:tcBorders>
              <w:top w:val="nil"/>
              <w:left w:val="nil"/>
              <w:bottom w:val="single" w:sz="4" w:space="0" w:color="auto"/>
              <w:right w:val="single" w:sz="4" w:space="0" w:color="auto"/>
            </w:tcBorders>
            <w:shd w:val="clear" w:color="000000" w:fill="FFFFFF"/>
            <w:noWrap/>
            <w:vAlign w:val="bottom"/>
            <w:hideMark/>
          </w:tcPr>
          <w:p w14:paraId="169E9B63" w14:textId="25836051" w:rsidR="00543241" w:rsidRPr="000D1437" w:rsidRDefault="00543241" w:rsidP="00543241">
            <w:pPr>
              <w:jc w:val="right"/>
              <w:rPr>
                <w:rFonts w:ascii="Times New Roman" w:hAnsi="Times New Roman"/>
                <w:sz w:val="14"/>
                <w:szCs w:val="14"/>
              </w:rPr>
            </w:pPr>
            <w:r w:rsidRPr="000D1437">
              <w:rPr>
                <w:sz w:val="14"/>
                <w:szCs w:val="14"/>
              </w:rPr>
              <w:t>-47189,61</w:t>
            </w:r>
          </w:p>
        </w:tc>
        <w:tc>
          <w:tcPr>
            <w:tcW w:w="1192" w:type="dxa"/>
            <w:tcBorders>
              <w:top w:val="nil"/>
              <w:left w:val="nil"/>
              <w:bottom w:val="single" w:sz="4" w:space="0" w:color="auto"/>
              <w:right w:val="single" w:sz="4" w:space="0" w:color="auto"/>
            </w:tcBorders>
            <w:shd w:val="clear" w:color="000000" w:fill="FFFFFF"/>
            <w:noWrap/>
            <w:vAlign w:val="bottom"/>
            <w:hideMark/>
          </w:tcPr>
          <w:p w14:paraId="5DBBDA03" w14:textId="3C12D22D" w:rsidR="00543241" w:rsidRPr="000D1437" w:rsidRDefault="00543241" w:rsidP="00543241">
            <w:pPr>
              <w:jc w:val="right"/>
              <w:rPr>
                <w:rFonts w:ascii="Times New Roman" w:hAnsi="Times New Roman"/>
                <w:sz w:val="14"/>
                <w:szCs w:val="14"/>
              </w:rPr>
            </w:pPr>
            <w:r w:rsidRPr="000D1437">
              <w:rPr>
                <w:sz w:val="14"/>
                <w:szCs w:val="14"/>
              </w:rPr>
              <w:t>-56777,26</w:t>
            </w:r>
          </w:p>
        </w:tc>
        <w:tc>
          <w:tcPr>
            <w:tcW w:w="1178" w:type="dxa"/>
            <w:tcBorders>
              <w:top w:val="nil"/>
              <w:left w:val="nil"/>
              <w:bottom w:val="single" w:sz="4" w:space="0" w:color="auto"/>
              <w:right w:val="single" w:sz="4" w:space="0" w:color="auto"/>
            </w:tcBorders>
            <w:shd w:val="clear" w:color="000000" w:fill="FFFFFF"/>
            <w:noWrap/>
            <w:vAlign w:val="bottom"/>
            <w:hideMark/>
          </w:tcPr>
          <w:p w14:paraId="0AA79603" w14:textId="3915DE84" w:rsidR="00543241" w:rsidRPr="000D1437" w:rsidRDefault="00543241" w:rsidP="00543241">
            <w:pPr>
              <w:jc w:val="right"/>
              <w:rPr>
                <w:rFonts w:ascii="Times New Roman" w:hAnsi="Times New Roman"/>
                <w:sz w:val="14"/>
                <w:szCs w:val="14"/>
              </w:rPr>
            </w:pPr>
            <w:r w:rsidRPr="000D1437">
              <w:rPr>
                <w:sz w:val="14"/>
                <w:szCs w:val="14"/>
              </w:rPr>
              <w:t>-59057,35</w:t>
            </w:r>
          </w:p>
        </w:tc>
        <w:tc>
          <w:tcPr>
            <w:tcW w:w="1164" w:type="dxa"/>
            <w:tcBorders>
              <w:top w:val="nil"/>
              <w:left w:val="nil"/>
              <w:bottom w:val="single" w:sz="4" w:space="0" w:color="auto"/>
              <w:right w:val="single" w:sz="4" w:space="0" w:color="auto"/>
            </w:tcBorders>
            <w:shd w:val="clear" w:color="000000" w:fill="FFFFFF"/>
            <w:noWrap/>
            <w:vAlign w:val="bottom"/>
            <w:hideMark/>
          </w:tcPr>
          <w:p w14:paraId="5A329A4D" w14:textId="17064373" w:rsidR="00543241" w:rsidRPr="000D1437" w:rsidRDefault="00543241" w:rsidP="00543241">
            <w:pPr>
              <w:jc w:val="right"/>
              <w:rPr>
                <w:rFonts w:ascii="Times New Roman" w:hAnsi="Times New Roman"/>
                <w:sz w:val="14"/>
                <w:szCs w:val="14"/>
              </w:rPr>
            </w:pPr>
            <w:r w:rsidRPr="000D1437">
              <w:rPr>
                <w:sz w:val="14"/>
                <w:szCs w:val="14"/>
              </w:rPr>
              <w:t>-63107,62</w:t>
            </w:r>
          </w:p>
        </w:tc>
        <w:tc>
          <w:tcPr>
            <w:tcW w:w="1193" w:type="dxa"/>
            <w:tcBorders>
              <w:top w:val="nil"/>
              <w:left w:val="nil"/>
              <w:bottom w:val="single" w:sz="4" w:space="0" w:color="auto"/>
              <w:right w:val="single" w:sz="4" w:space="0" w:color="auto"/>
            </w:tcBorders>
            <w:shd w:val="clear" w:color="000000" w:fill="FFFFFF"/>
            <w:noWrap/>
            <w:vAlign w:val="bottom"/>
            <w:hideMark/>
          </w:tcPr>
          <w:p w14:paraId="62565210" w14:textId="66564FEB" w:rsidR="00543241" w:rsidRPr="000D1437" w:rsidRDefault="00543241" w:rsidP="00543241">
            <w:pPr>
              <w:jc w:val="right"/>
              <w:rPr>
                <w:rFonts w:ascii="Times New Roman" w:hAnsi="Times New Roman"/>
                <w:sz w:val="14"/>
                <w:szCs w:val="14"/>
              </w:rPr>
            </w:pPr>
            <w:r w:rsidRPr="000D1437">
              <w:rPr>
                <w:sz w:val="14"/>
                <w:szCs w:val="14"/>
              </w:rPr>
              <w:t>-65562,42</w:t>
            </w:r>
          </w:p>
        </w:tc>
        <w:tc>
          <w:tcPr>
            <w:tcW w:w="1179" w:type="dxa"/>
            <w:tcBorders>
              <w:top w:val="nil"/>
              <w:left w:val="nil"/>
              <w:bottom w:val="single" w:sz="4" w:space="0" w:color="auto"/>
              <w:right w:val="single" w:sz="4" w:space="0" w:color="auto"/>
            </w:tcBorders>
            <w:shd w:val="clear" w:color="000000" w:fill="FFFFFF"/>
            <w:vAlign w:val="bottom"/>
          </w:tcPr>
          <w:p w14:paraId="249724B4" w14:textId="1844CC9B" w:rsidR="00543241" w:rsidRPr="000D1437" w:rsidRDefault="00543241" w:rsidP="00543241">
            <w:pPr>
              <w:jc w:val="right"/>
              <w:rPr>
                <w:rFonts w:ascii="Times New Roman" w:hAnsi="Times New Roman"/>
                <w:sz w:val="14"/>
                <w:szCs w:val="14"/>
              </w:rPr>
            </w:pPr>
            <w:r w:rsidRPr="000D1437">
              <w:rPr>
                <w:sz w:val="14"/>
                <w:szCs w:val="14"/>
              </w:rPr>
              <w:t>-69118,87</w:t>
            </w:r>
          </w:p>
        </w:tc>
      </w:tr>
      <w:tr w:rsidR="00543241" w:rsidRPr="00364545" w14:paraId="20F98AD8"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A6FBE87" w14:textId="6A15A96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178" w:type="dxa"/>
            <w:tcBorders>
              <w:top w:val="nil"/>
              <w:left w:val="nil"/>
              <w:bottom w:val="single" w:sz="4" w:space="0" w:color="auto"/>
              <w:right w:val="single" w:sz="4" w:space="0" w:color="auto"/>
            </w:tcBorders>
            <w:shd w:val="clear" w:color="000000" w:fill="FFFFFF"/>
            <w:noWrap/>
            <w:vAlign w:val="bottom"/>
            <w:hideMark/>
          </w:tcPr>
          <w:p w14:paraId="7BECFD0F" w14:textId="226A0ECF" w:rsidR="00543241" w:rsidRPr="000D1437" w:rsidRDefault="00543241" w:rsidP="00543241">
            <w:pPr>
              <w:jc w:val="right"/>
              <w:rPr>
                <w:rFonts w:ascii="Times New Roman" w:hAnsi="Times New Roman"/>
                <w:sz w:val="14"/>
                <w:szCs w:val="14"/>
              </w:rPr>
            </w:pPr>
            <w:r w:rsidRPr="000D1437">
              <w:rPr>
                <w:sz w:val="14"/>
                <w:szCs w:val="14"/>
              </w:rPr>
              <w:t>18835,02</w:t>
            </w:r>
          </w:p>
        </w:tc>
        <w:tc>
          <w:tcPr>
            <w:tcW w:w="1192" w:type="dxa"/>
            <w:tcBorders>
              <w:top w:val="nil"/>
              <w:left w:val="nil"/>
              <w:bottom w:val="single" w:sz="4" w:space="0" w:color="auto"/>
              <w:right w:val="single" w:sz="4" w:space="0" w:color="auto"/>
            </w:tcBorders>
            <w:shd w:val="clear" w:color="000000" w:fill="FFFFFF"/>
            <w:noWrap/>
            <w:vAlign w:val="bottom"/>
            <w:hideMark/>
          </w:tcPr>
          <w:p w14:paraId="4DB5153F" w14:textId="59C6CD06" w:rsidR="00543241" w:rsidRPr="000D1437" w:rsidRDefault="00543241" w:rsidP="00543241">
            <w:pPr>
              <w:jc w:val="right"/>
              <w:rPr>
                <w:rFonts w:ascii="Times New Roman" w:hAnsi="Times New Roman"/>
                <w:sz w:val="14"/>
                <w:szCs w:val="14"/>
              </w:rPr>
            </w:pPr>
            <w:r w:rsidRPr="000D1437">
              <w:rPr>
                <w:sz w:val="14"/>
                <w:szCs w:val="14"/>
              </w:rPr>
              <w:t>17908,84</w:t>
            </w:r>
          </w:p>
        </w:tc>
        <w:tc>
          <w:tcPr>
            <w:tcW w:w="1178" w:type="dxa"/>
            <w:tcBorders>
              <w:top w:val="nil"/>
              <w:left w:val="nil"/>
              <w:bottom w:val="single" w:sz="4" w:space="0" w:color="auto"/>
              <w:right w:val="single" w:sz="4" w:space="0" w:color="auto"/>
            </w:tcBorders>
            <w:shd w:val="clear" w:color="000000" w:fill="FFFFFF"/>
            <w:noWrap/>
            <w:vAlign w:val="bottom"/>
            <w:hideMark/>
          </w:tcPr>
          <w:p w14:paraId="36FCE1D6" w14:textId="3AB4575E" w:rsidR="00543241" w:rsidRPr="000D1437" w:rsidRDefault="00543241" w:rsidP="00543241">
            <w:pPr>
              <w:jc w:val="right"/>
              <w:rPr>
                <w:rFonts w:ascii="Times New Roman" w:hAnsi="Times New Roman"/>
                <w:sz w:val="14"/>
                <w:szCs w:val="14"/>
              </w:rPr>
            </w:pPr>
            <w:r w:rsidRPr="000D1437">
              <w:rPr>
                <w:sz w:val="14"/>
                <w:szCs w:val="14"/>
              </w:rPr>
              <w:t>17065,53</w:t>
            </w:r>
          </w:p>
        </w:tc>
        <w:tc>
          <w:tcPr>
            <w:tcW w:w="1164" w:type="dxa"/>
            <w:tcBorders>
              <w:top w:val="nil"/>
              <w:left w:val="nil"/>
              <w:bottom w:val="single" w:sz="4" w:space="0" w:color="auto"/>
              <w:right w:val="single" w:sz="4" w:space="0" w:color="auto"/>
            </w:tcBorders>
            <w:shd w:val="clear" w:color="000000" w:fill="FFFFFF"/>
            <w:noWrap/>
            <w:vAlign w:val="bottom"/>
            <w:hideMark/>
          </w:tcPr>
          <w:p w14:paraId="1E70A151" w14:textId="3388721D" w:rsidR="00543241" w:rsidRPr="000D1437" w:rsidRDefault="00543241" w:rsidP="00543241">
            <w:pPr>
              <w:jc w:val="right"/>
              <w:rPr>
                <w:rFonts w:ascii="Times New Roman" w:hAnsi="Times New Roman"/>
                <w:sz w:val="14"/>
                <w:szCs w:val="14"/>
              </w:rPr>
            </w:pPr>
            <w:r w:rsidRPr="000D1437">
              <w:rPr>
                <w:sz w:val="14"/>
                <w:szCs w:val="14"/>
              </w:rPr>
              <w:t>16625,73</w:t>
            </w:r>
          </w:p>
        </w:tc>
        <w:tc>
          <w:tcPr>
            <w:tcW w:w="1193" w:type="dxa"/>
            <w:tcBorders>
              <w:top w:val="nil"/>
              <w:left w:val="nil"/>
              <w:bottom w:val="single" w:sz="4" w:space="0" w:color="auto"/>
              <w:right w:val="single" w:sz="4" w:space="0" w:color="auto"/>
            </w:tcBorders>
            <w:shd w:val="clear" w:color="000000" w:fill="FFFFFF"/>
            <w:noWrap/>
            <w:vAlign w:val="bottom"/>
            <w:hideMark/>
          </w:tcPr>
          <w:p w14:paraId="61E95A58" w14:textId="148E8885" w:rsidR="00543241" w:rsidRPr="000D1437" w:rsidRDefault="00543241" w:rsidP="00543241">
            <w:pPr>
              <w:jc w:val="right"/>
              <w:rPr>
                <w:rFonts w:ascii="Times New Roman" w:hAnsi="Times New Roman"/>
                <w:sz w:val="14"/>
                <w:szCs w:val="14"/>
              </w:rPr>
            </w:pPr>
            <w:r w:rsidRPr="000D1437">
              <w:rPr>
                <w:sz w:val="14"/>
                <w:szCs w:val="14"/>
              </w:rPr>
              <w:t>16537,88</w:t>
            </w:r>
          </w:p>
        </w:tc>
        <w:tc>
          <w:tcPr>
            <w:tcW w:w="1179" w:type="dxa"/>
            <w:tcBorders>
              <w:top w:val="nil"/>
              <w:left w:val="nil"/>
              <w:bottom w:val="single" w:sz="4" w:space="0" w:color="auto"/>
              <w:right w:val="single" w:sz="4" w:space="0" w:color="auto"/>
            </w:tcBorders>
            <w:shd w:val="clear" w:color="000000" w:fill="FFFFFF"/>
            <w:vAlign w:val="bottom"/>
          </w:tcPr>
          <w:p w14:paraId="503BCB78" w14:textId="3B1822D2" w:rsidR="00543241" w:rsidRPr="000D1437" w:rsidRDefault="00543241" w:rsidP="00543241">
            <w:pPr>
              <w:jc w:val="right"/>
              <w:rPr>
                <w:rFonts w:ascii="Times New Roman" w:hAnsi="Times New Roman"/>
                <w:sz w:val="14"/>
                <w:szCs w:val="14"/>
              </w:rPr>
            </w:pPr>
            <w:r w:rsidRPr="000D1437">
              <w:rPr>
                <w:sz w:val="14"/>
                <w:szCs w:val="14"/>
              </w:rPr>
              <w:t>16812,21</w:t>
            </w:r>
          </w:p>
        </w:tc>
      </w:tr>
      <w:tr w:rsidR="00543241" w:rsidRPr="00364545" w14:paraId="1D62E01D"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050488D" w14:textId="5C11DBD8"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178" w:type="dxa"/>
            <w:tcBorders>
              <w:top w:val="nil"/>
              <w:left w:val="nil"/>
              <w:bottom w:val="single" w:sz="4" w:space="0" w:color="auto"/>
              <w:right w:val="single" w:sz="4" w:space="0" w:color="auto"/>
            </w:tcBorders>
            <w:shd w:val="clear" w:color="000000" w:fill="FFFFFF"/>
            <w:noWrap/>
            <w:vAlign w:val="bottom"/>
            <w:hideMark/>
          </w:tcPr>
          <w:p w14:paraId="42FC1905" w14:textId="27FC973A" w:rsidR="00543241" w:rsidRPr="000D1437" w:rsidRDefault="00543241" w:rsidP="00543241">
            <w:pPr>
              <w:jc w:val="right"/>
              <w:rPr>
                <w:rFonts w:ascii="Times New Roman" w:hAnsi="Times New Roman"/>
                <w:sz w:val="14"/>
                <w:szCs w:val="14"/>
              </w:rPr>
            </w:pPr>
            <w:r w:rsidRPr="000D1437">
              <w:rPr>
                <w:sz w:val="14"/>
                <w:szCs w:val="14"/>
              </w:rPr>
              <w:t>-13504,80</w:t>
            </w:r>
          </w:p>
        </w:tc>
        <w:tc>
          <w:tcPr>
            <w:tcW w:w="1192" w:type="dxa"/>
            <w:tcBorders>
              <w:top w:val="nil"/>
              <w:left w:val="nil"/>
              <w:bottom w:val="single" w:sz="4" w:space="0" w:color="auto"/>
              <w:right w:val="single" w:sz="4" w:space="0" w:color="auto"/>
            </w:tcBorders>
            <w:shd w:val="clear" w:color="000000" w:fill="FFFFFF"/>
            <w:noWrap/>
            <w:vAlign w:val="bottom"/>
            <w:hideMark/>
          </w:tcPr>
          <w:p w14:paraId="5C58BFD0" w14:textId="204243BF" w:rsidR="00543241" w:rsidRPr="000D1437" w:rsidRDefault="00543241" w:rsidP="00543241">
            <w:pPr>
              <w:jc w:val="right"/>
              <w:rPr>
                <w:rFonts w:ascii="Times New Roman" w:hAnsi="Times New Roman"/>
                <w:sz w:val="14"/>
                <w:szCs w:val="14"/>
              </w:rPr>
            </w:pPr>
            <w:r w:rsidRPr="000D1437">
              <w:rPr>
                <w:sz w:val="14"/>
                <w:szCs w:val="14"/>
              </w:rPr>
              <w:t>-12890,27</w:t>
            </w:r>
          </w:p>
        </w:tc>
        <w:tc>
          <w:tcPr>
            <w:tcW w:w="1178" w:type="dxa"/>
            <w:tcBorders>
              <w:top w:val="nil"/>
              <w:left w:val="nil"/>
              <w:bottom w:val="single" w:sz="4" w:space="0" w:color="auto"/>
              <w:right w:val="single" w:sz="4" w:space="0" w:color="auto"/>
            </w:tcBorders>
            <w:shd w:val="clear" w:color="000000" w:fill="FFFFFF"/>
            <w:noWrap/>
            <w:vAlign w:val="bottom"/>
            <w:hideMark/>
          </w:tcPr>
          <w:p w14:paraId="53C37716" w14:textId="292DA84A" w:rsidR="00543241" w:rsidRPr="000D1437" w:rsidRDefault="00543241" w:rsidP="00543241">
            <w:pPr>
              <w:jc w:val="right"/>
              <w:rPr>
                <w:rFonts w:ascii="Times New Roman" w:hAnsi="Times New Roman"/>
                <w:sz w:val="14"/>
                <w:szCs w:val="14"/>
              </w:rPr>
            </w:pPr>
            <w:r w:rsidRPr="000D1437">
              <w:rPr>
                <w:sz w:val="14"/>
                <w:szCs w:val="14"/>
              </w:rPr>
              <w:t>-12260,96</w:t>
            </w:r>
          </w:p>
        </w:tc>
        <w:tc>
          <w:tcPr>
            <w:tcW w:w="1164" w:type="dxa"/>
            <w:tcBorders>
              <w:top w:val="nil"/>
              <w:left w:val="nil"/>
              <w:bottom w:val="single" w:sz="4" w:space="0" w:color="auto"/>
              <w:right w:val="single" w:sz="4" w:space="0" w:color="auto"/>
            </w:tcBorders>
            <w:shd w:val="clear" w:color="000000" w:fill="FFFFFF"/>
            <w:noWrap/>
            <w:vAlign w:val="bottom"/>
            <w:hideMark/>
          </w:tcPr>
          <w:p w14:paraId="0CBC6FBF" w14:textId="579DF7AC" w:rsidR="00543241" w:rsidRPr="000D1437" w:rsidRDefault="00543241" w:rsidP="00543241">
            <w:pPr>
              <w:jc w:val="right"/>
              <w:rPr>
                <w:rFonts w:ascii="Times New Roman" w:hAnsi="Times New Roman"/>
                <w:sz w:val="14"/>
                <w:szCs w:val="14"/>
              </w:rPr>
            </w:pPr>
            <w:r w:rsidRPr="000D1437">
              <w:rPr>
                <w:sz w:val="14"/>
                <w:szCs w:val="14"/>
              </w:rPr>
              <w:t>-10792,56</w:t>
            </w:r>
          </w:p>
        </w:tc>
        <w:tc>
          <w:tcPr>
            <w:tcW w:w="1193" w:type="dxa"/>
            <w:tcBorders>
              <w:top w:val="nil"/>
              <w:left w:val="nil"/>
              <w:bottom w:val="single" w:sz="4" w:space="0" w:color="auto"/>
              <w:right w:val="single" w:sz="4" w:space="0" w:color="auto"/>
            </w:tcBorders>
            <w:shd w:val="clear" w:color="000000" w:fill="FFFFFF"/>
            <w:noWrap/>
            <w:vAlign w:val="bottom"/>
            <w:hideMark/>
          </w:tcPr>
          <w:p w14:paraId="3417A351" w14:textId="623364B0" w:rsidR="00543241" w:rsidRPr="000D1437" w:rsidRDefault="00543241" w:rsidP="00543241">
            <w:pPr>
              <w:jc w:val="right"/>
              <w:rPr>
                <w:rFonts w:ascii="Times New Roman" w:hAnsi="Times New Roman"/>
                <w:sz w:val="14"/>
                <w:szCs w:val="14"/>
              </w:rPr>
            </w:pPr>
            <w:r w:rsidRPr="000D1437">
              <w:rPr>
                <w:sz w:val="14"/>
                <w:szCs w:val="14"/>
              </w:rPr>
              <w:t>-9735,05</w:t>
            </w:r>
          </w:p>
        </w:tc>
        <w:tc>
          <w:tcPr>
            <w:tcW w:w="1179" w:type="dxa"/>
            <w:tcBorders>
              <w:top w:val="nil"/>
              <w:left w:val="nil"/>
              <w:bottom w:val="single" w:sz="4" w:space="0" w:color="auto"/>
              <w:right w:val="single" w:sz="4" w:space="0" w:color="auto"/>
            </w:tcBorders>
            <w:shd w:val="clear" w:color="000000" w:fill="FFFFFF"/>
            <w:vAlign w:val="bottom"/>
          </w:tcPr>
          <w:p w14:paraId="09E1255C" w14:textId="68AAA0A8" w:rsidR="00543241" w:rsidRPr="000D1437" w:rsidRDefault="00543241" w:rsidP="00543241">
            <w:pPr>
              <w:jc w:val="right"/>
              <w:rPr>
                <w:rFonts w:ascii="Times New Roman" w:hAnsi="Times New Roman"/>
                <w:sz w:val="14"/>
                <w:szCs w:val="14"/>
              </w:rPr>
            </w:pPr>
            <w:r w:rsidRPr="000D1437">
              <w:rPr>
                <w:sz w:val="14"/>
                <w:szCs w:val="14"/>
              </w:rPr>
              <w:t>-8838,25</w:t>
            </w:r>
          </w:p>
        </w:tc>
      </w:tr>
      <w:tr w:rsidR="00543241" w:rsidRPr="00364545" w14:paraId="36938A2E"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53C7A05" w14:textId="342BC31D"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178" w:type="dxa"/>
            <w:tcBorders>
              <w:top w:val="nil"/>
              <w:left w:val="nil"/>
              <w:bottom w:val="single" w:sz="4" w:space="0" w:color="auto"/>
              <w:right w:val="single" w:sz="4" w:space="0" w:color="auto"/>
            </w:tcBorders>
            <w:shd w:val="clear" w:color="000000" w:fill="FFFFFF"/>
            <w:noWrap/>
            <w:vAlign w:val="bottom"/>
            <w:hideMark/>
          </w:tcPr>
          <w:p w14:paraId="2C220894" w14:textId="74E23C5F" w:rsidR="00543241" w:rsidRPr="000D1437" w:rsidRDefault="00543241" w:rsidP="00543241">
            <w:pPr>
              <w:jc w:val="right"/>
              <w:rPr>
                <w:rFonts w:ascii="Times New Roman" w:hAnsi="Times New Roman"/>
                <w:sz w:val="14"/>
                <w:szCs w:val="14"/>
              </w:rPr>
            </w:pPr>
            <w:r w:rsidRPr="000D1437">
              <w:rPr>
                <w:sz w:val="14"/>
                <w:szCs w:val="14"/>
              </w:rPr>
              <w:t>436,08</w:t>
            </w:r>
          </w:p>
        </w:tc>
        <w:tc>
          <w:tcPr>
            <w:tcW w:w="1192" w:type="dxa"/>
            <w:tcBorders>
              <w:top w:val="nil"/>
              <w:left w:val="nil"/>
              <w:bottom w:val="single" w:sz="4" w:space="0" w:color="auto"/>
              <w:right w:val="single" w:sz="4" w:space="0" w:color="auto"/>
            </w:tcBorders>
            <w:shd w:val="clear" w:color="000000" w:fill="FFFFFF"/>
            <w:noWrap/>
            <w:vAlign w:val="bottom"/>
            <w:hideMark/>
          </w:tcPr>
          <w:p w14:paraId="30AFEBDC" w14:textId="26330592" w:rsidR="00543241" w:rsidRPr="000D1437" w:rsidRDefault="00543241" w:rsidP="00543241">
            <w:pPr>
              <w:jc w:val="right"/>
              <w:rPr>
                <w:rFonts w:ascii="Times New Roman" w:hAnsi="Times New Roman"/>
                <w:sz w:val="14"/>
                <w:szCs w:val="14"/>
              </w:rPr>
            </w:pPr>
            <w:r w:rsidRPr="000D1437">
              <w:rPr>
                <w:sz w:val="14"/>
                <w:szCs w:val="14"/>
              </w:rPr>
              <w:t>220,42</w:t>
            </w:r>
          </w:p>
        </w:tc>
        <w:tc>
          <w:tcPr>
            <w:tcW w:w="1178" w:type="dxa"/>
            <w:tcBorders>
              <w:top w:val="nil"/>
              <w:left w:val="nil"/>
              <w:bottom w:val="single" w:sz="4" w:space="0" w:color="auto"/>
              <w:right w:val="single" w:sz="4" w:space="0" w:color="auto"/>
            </w:tcBorders>
            <w:shd w:val="clear" w:color="000000" w:fill="FFFFFF"/>
            <w:noWrap/>
            <w:vAlign w:val="bottom"/>
            <w:hideMark/>
          </w:tcPr>
          <w:p w14:paraId="67F82572" w14:textId="0E696BAA" w:rsidR="00543241" w:rsidRPr="000D1437" w:rsidRDefault="00543241" w:rsidP="00543241">
            <w:pPr>
              <w:jc w:val="right"/>
              <w:rPr>
                <w:rFonts w:ascii="Times New Roman" w:hAnsi="Times New Roman"/>
                <w:sz w:val="14"/>
                <w:szCs w:val="14"/>
              </w:rPr>
            </w:pPr>
            <w:r w:rsidRPr="000D1437">
              <w:rPr>
                <w:sz w:val="14"/>
                <w:szCs w:val="14"/>
              </w:rPr>
              <w:t>185,19</w:t>
            </w:r>
          </w:p>
        </w:tc>
        <w:tc>
          <w:tcPr>
            <w:tcW w:w="1164" w:type="dxa"/>
            <w:tcBorders>
              <w:top w:val="nil"/>
              <w:left w:val="nil"/>
              <w:bottom w:val="single" w:sz="4" w:space="0" w:color="auto"/>
              <w:right w:val="single" w:sz="4" w:space="0" w:color="auto"/>
            </w:tcBorders>
            <w:shd w:val="clear" w:color="000000" w:fill="FFFFFF"/>
            <w:noWrap/>
            <w:vAlign w:val="bottom"/>
            <w:hideMark/>
          </w:tcPr>
          <w:p w14:paraId="35C16E0A" w14:textId="7D540004" w:rsidR="00543241" w:rsidRPr="000D1437" w:rsidRDefault="00543241" w:rsidP="00543241">
            <w:pPr>
              <w:jc w:val="right"/>
              <w:rPr>
                <w:rFonts w:ascii="Times New Roman" w:hAnsi="Times New Roman"/>
                <w:sz w:val="14"/>
                <w:szCs w:val="14"/>
              </w:rPr>
            </w:pPr>
            <w:r w:rsidRPr="000D1437">
              <w:rPr>
                <w:sz w:val="14"/>
                <w:szCs w:val="14"/>
              </w:rPr>
              <w:t>354,31</w:t>
            </w:r>
          </w:p>
        </w:tc>
        <w:tc>
          <w:tcPr>
            <w:tcW w:w="1193" w:type="dxa"/>
            <w:tcBorders>
              <w:top w:val="nil"/>
              <w:left w:val="nil"/>
              <w:bottom w:val="single" w:sz="4" w:space="0" w:color="auto"/>
              <w:right w:val="single" w:sz="4" w:space="0" w:color="auto"/>
            </w:tcBorders>
            <w:shd w:val="clear" w:color="000000" w:fill="FFFFFF"/>
            <w:noWrap/>
            <w:vAlign w:val="bottom"/>
            <w:hideMark/>
          </w:tcPr>
          <w:p w14:paraId="58A7577D" w14:textId="1A91A08D" w:rsidR="00543241" w:rsidRPr="000D1437" w:rsidRDefault="00543241" w:rsidP="00543241">
            <w:pPr>
              <w:jc w:val="right"/>
              <w:rPr>
                <w:rFonts w:ascii="Times New Roman" w:hAnsi="Times New Roman"/>
                <w:sz w:val="14"/>
                <w:szCs w:val="14"/>
              </w:rPr>
            </w:pPr>
            <w:r w:rsidRPr="000D1437">
              <w:rPr>
                <w:sz w:val="14"/>
                <w:szCs w:val="14"/>
              </w:rPr>
              <w:t>525,72</w:t>
            </w:r>
          </w:p>
        </w:tc>
        <w:tc>
          <w:tcPr>
            <w:tcW w:w="1179" w:type="dxa"/>
            <w:tcBorders>
              <w:top w:val="nil"/>
              <w:left w:val="nil"/>
              <w:bottom w:val="single" w:sz="4" w:space="0" w:color="auto"/>
              <w:right w:val="single" w:sz="4" w:space="0" w:color="auto"/>
            </w:tcBorders>
            <w:shd w:val="clear" w:color="000000" w:fill="FFFFFF"/>
            <w:vAlign w:val="bottom"/>
          </w:tcPr>
          <w:p w14:paraId="26D438CB" w14:textId="5FC907E1" w:rsidR="00543241" w:rsidRPr="000D1437" w:rsidRDefault="00543241" w:rsidP="00543241">
            <w:pPr>
              <w:jc w:val="right"/>
              <w:rPr>
                <w:rFonts w:ascii="Times New Roman" w:hAnsi="Times New Roman"/>
                <w:sz w:val="14"/>
                <w:szCs w:val="14"/>
              </w:rPr>
            </w:pPr>
            <w:r w:rsidRPr="000D1437">
              <w:rPr>
                <w:sz w:val="14"/>
                <w:szCs w:val="14"/>
              </w:rPr>
              <w:t>696,92</w:t>
            </w:r>
          </w:p>
        </w:tc>
      </w:tr>
      <w:tr w:rsidR="00543241" w:rsidRPr="00364545" w14:paraId="09475C04"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528D6A9" w14:textId="0DE8FA9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178" w:type="dxa"/>
            <w:tcBorders>
              <w:top w:val="nil"/>
              <w:left w:val="nil"/>
              <w:bottom w:val="single" w:sz="4" w:space="0" w:color="auto"/>
              <w:right w:val="single" w:sz="4" w:space="0" w:color="auto"/>
            </w:tcBorders>
            <w:shd w:val="clear" w:color="000000" w:fill="FFFFFF"/>
            <w:noWrap/>
            <w:vAlign w:val="bottom"/>
            <w:hideMark/>
          </w:tcPr>
          <w:p w14:paraId="1ABFE3F8" w14:textId="3E402798" w:rsidR="00543241" w:rsidRPr="000D1437" w:rsidRDefault="00543241" w:rsidP="00543241">
            <w:pPr>
              <w:jc w:val="right"/>
              <w:rPr>
                <w:rFonts w:ascii="Times New Roman" w:hAnsi="Times New Roman"/>
                <w:sz w:val="14"/>
                <w:szCs w:val="14"/>
              </w:rPr>
            </w:pPr>
            <w:r w:rsidRPr="000D1437">
              <w:rPr>
                <w:sz w:val="14"/>
                <w:szCs w:val="14"/>
              </w:rPr>
              <w:t>9421,31</w:t>
            </w:r>
          </w:p>
        </w:tc>
        <w:tc>
          <w:tcPr>
            <w:tcW w:w="1192" w:type="dxa"/>
            <w:tcBorders>
              <w:top w:val="nil"/>
              <w:left w:val="nil"/>
              <w:bottom w:val="single" w:sz="4" w:space="0" w:color="auto"/>
              <w:right w:val="single" w:sz="4" w:space="0" w:color="auto"/>
            </w:tcBorders>
            <w:shd w:val="clear" w:color="000000" w:fill="FFFFFF"/>
            <w:noWrap/>
            <w:vAlign w:val="bottom"/>
            <w:hideMark/>
          </w:tcPr>
          <w:p w14:paraId="4E995B03" w14:textId="3E3BB86D" w:rsidR="00543241" w:rsidRPr="000D1437" w:rsidRDefault="00543241" w:rsidP="00543241">
            <w:pPr>
              <w:jc w:val="right"/>
              <w:rPr>
                <w:rFonts w:ascii="Times New Roman" w:hAnsi="Times New Roman"/>
                <w:sz w:val="14"/>
                <w:szCs w:val="14"/>
              </w:rPr>
            </w:pPr>
            <w:r w:rsidRPr="000D1437">
              <w:rPr>
                <w:sz w:val="14"/>
                <w:szCs w:val="14"/>
              </w:rPr>
              <w:t>9767,01</w:t>
            </w:r>
          </w:p>
        </w:tc>
        <w:tc>
          <w:tcPr>
            <w:tcW w:w="1178" w:type="dxa"/>
            <w:tcBorders>
              <w:top w:val="nil"/>
              <w:left w:val="nil"/>
              <w:bottom w:val="single" w:sz="4" w:space="0" w:color="auto"/>
              <w:right w:val="single" w:sz="4" w:space="0" w:color="auto"/>
            </w:tcBorders>
            <w:shd w:val="clear" w:color="000000" w:fill="FFFFFF"/>
            <w:noWrap/>
            <w:vAlign w:val="bottom"/>
            <w:hideMark/>
          </w:tcPr>
          <w:p w14:paraId="6C456B96" w14:textId="141F0F02" w:rsidR="00543241" w:rsidRPr="000D1437" w:rsidRDefault="00543241" w:rsidP="00543241">
            <w:pPr>
              <w:jc w:val="right"/>
              <w:rPr>
                <w:rFonts w:ascii="Times New Roman" w:hAnsi="Times New Roman"/>
                <w:sz w:val="14"/>
                <w:szCs w:val="14"/>
              </w:rPr>
            </w:pPr>
            <w:r w:rsidRPr="000D1437">
              <w:rPr>
                <w:sz w:val="14"/>
                <w:szCs w:val="14"/>
              </w:rPr>
              <w:t>9303,97</w:t>
            </w:r>
          </w:p>
        </w:tc>
        <w:tc>
          <w:tcPr>
            <w:tcW w:w="1164" w:type="dxa"/>
            <w:tcBorders>
              <w:top w:val="nil"/>
              <w:left w:val="nil"/>
              <w:bottom w:val="single" w:sz="4" w:space="0" w:color="auto"/>
              <w:right w:val="single" w:sz="4" w:space="0" w:color="auto"/>
            </w:tcBorders>
            <w:shd w:val="clear" w:color="000000" w:fill="FFFFFF"/>
            <w:noWrap/>
            <w:vAlign w:val="bottom"/>
            <w:hideMark/>
          </w:tcPr>
          <w:p w14:paraId="3E3D501B" w14:textId="068F784D" w:rsidR="00543241" w:rsidRPr="000D1437" w:rsidRDefault="00543241" w:rsidP="00543241">
            <w:pPr>
              <w:jc w:val="right"/>
              <w:rPr>
                <w:rFonts w:ascii="Times New Roman" w:hAnsi="Times New Roman"/>
                <w:sz w:val="14"/>
                <w:szCs w:val="14"/>
              </w:rPr>
            </w:pPr>
            <w:r w:rsidRPr="000D1437">
              <w:rPr>
                <w:sz w:val="14"/>
                <w:szCs w:val="14"/>
              </w:rPr>
              <w:t>9882,79</w:t>
            </w:r>
          </w:p>
        </w:tc>
        <w:tc>
          <w:tcPr>
            <w:tcW w:w="1193" w:type="dxa"/>
            <w:tcBorders>
              <w:top w:val="nil"/>
              <w:left w:val="nil"/>
              <w:bottom w:val="single" w:sz="4" w:space="0" w:color="auto"/>
              <w:right w:val="single" w:sz="4" w:space="0" w:color="auto"/>
            </w:tcBorders>
            <w:shd w:val="clear" w:color="000000" w:fill="FFFFFF"/>
            <w:noWrap/>
            <w:vAlign w:val="bottom"/>
            <w:hideMark/>
          </w:tcPr>
          <w:p w14:paraId="5136E3F7" w14:textId="4906DAC5" w:rsidR="00543241" w:rsidRPr="000D1437" w:rsidRDefault="00543241" w:rsidP="00543241">
            <w:pPr>
              <w:jc w:val="right"/>
              <w:rPr>
                <w:rFonts w:ascii="Times New Roman" w:hAnsi="Times New Roman"/>
                <w:sz w:val="14"/>
                <w:szCs w:val="14"/>
              </w:rPr>
            </w:pPr>
            <w:r w:rsidRPr="000D1437">
              <w:rPr>
                <w:sz w:val="14"/>
                <w:szCs w:val="14"/>
              </w:rPr>
              <w:t>10564,04</w:t>
            </w:r>
          </w:p>
        </w:tc>
        <w:tc>
          <w:tcPr>
            <w:tcW w:w="1179" w:type="dxa"/>
            <w:tcBorders>
              <w:top w:val="nil"/>
              <w:left w:val="nil"/>
              <w:bottom w:val="single" w:sz="4" w:space="0" w:color="auto"/>
              <w:right w:val="single" w:sz="4" w:space="0" w:color="auto"/>
            </w:tcBorders>
            <w:shd w:val="clear" w:color="000000" w:fill="FFFFFF"/>
            <w:vAlign w:val="bottom"/>
          </w:tcPr>
          <w:p w14:paraId="41D4517F" w14:textId="27038545" w:rsidR="00543241" w:rsidRPr="000D1437" w:rsidRDefault="00543241" w:rsidP="00543241">
            <w:pPr>
              <w:jc w:val="right"/>
              <w:rPr>
                <w:rFonts w:ascii="Times New Roman" w:hAnsi="Times New Roman"/>
                <w:sz w:val="14"/>
                <w:szCs w:val="14"/>
              </w:rPr>
            </w:pPr>
            <w:r w:rsidRPr="000D1437">
              <w:rPr>
                <w:sz w:val="14"/>
                <w:szCs w:val="14"/>
              </w:rPr>
              <w:t>11313,17</w:t>
            </w:r>
          </w:p>
        </w:tc>
      </w:tr>
      <w:tr w:rsidR="00543241" w:rsidRPr="00364545" w14:paraId="389490A0"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1A1C7FE" w14:textId="3DE3330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178" w:type="dxa"/>
            <w:tcBorders>
              <w:top w:val="nil"/>
              <w:left w:val="nil"/>
              <w:bottom w:val="single" w:sz="4" w:space="0" w:color="auto"/>
              <w:right w:val="single" w:sz="4" w:space="0" w:color="auto"/>
            </w:tcBorders>
            <w:shd w:val="clear" w:color="000000" w:fill="FFFFFF"/>
            <w:noWrap/>
            <w:vAlign w:val="bottom"/>
            <w:hideMark/>
          </w:tcPr>
          <w:p w14:paraId="06821A24" w14:textId="4D1C6967" w:rsidR="00543241" w:rsidRPr="000D1437" w:rsidRDefault="00543241" w:rsidP="00543241">
            <w:pPr>
              <w:jc w:val="right"/>
              <w:rPr>
                <w:rFonts w:ascii="Times New Roman" w:hAnsi="Times New Roman"/>
                <w:sz w:val="14"/>
                <w:szCs w:val="14"/>
              </w:rPr>
            </w:pPr>
            <w:r w:rsidRPr="000D1437">
              <w:rPr>
                <w:sz w:val="14"/>
                <w:szCs w:val="14"/>
              </w:rPr>
              <w:t>NO,NA</w:t>
            </w:r>
          </w:p>
        </w:tc>
        <w:tc>
          <w:tcPr>
            <w:tcW w:w="1192" w:type="dxa"/>
            <w:tcBorders>
              <w:top w:val="nil"/>
              <w:left w:val="nil"/>
              <w:bottom w:val="single" w:sz="4" w:space="0" w:color="auto"/>
              <w:right w:val="single" w:sz="4" w:space="0" w:color="auto"/>
            </w:tcBorders>
            <w:shd w:val="clear" w:color="000000" w:fill="FFFFFF"/>
            <w:noWrap/>
            <w:vAlign w:val="bottom"/>
            <w:hideMark/>
          </w:tcPr>
          <w:p w14:paraId="483199C4" w14:textId="56047D3E" w:rsidR="00543241" w:rsidRPr="000D1437" w:rsidRDefault="00543241" w:rsidP="00543241">
            <w:pPr>
              <w:jc w:val="right"/>
              <w:rPr>
                <w:rFonts w:ascii="Times New Roman" w:hAnsi="Times New Roman"/>
                <w:sz w:val="14"/>
                <w:szCs w:val="14"/>
              </w:rPr>
            </w:pPr>
            <w:r w:rsidRPr="000D1437">
              <w:rPr>
                <w:sz w:val="14"/>
                <w:szCs w:val="14"/>
              </w:rPr>
              <w:t>NO,NA</w:t>
            </w:r>
          </w:p>
        </w:tc>
        <w:tc>
          <w:tcPr>
            <w:tcW w:w="1178" w:type="dxa"/>
            <w:tcBorders>
              <w:top w:val="nil"/>
              <w:left w:val="nil"/>
              <w:bottom w:val="single" w:sz="4" w:space="0" w:color="auto"/>
              <w:right w:val="single" w:sz="4" w:space="0" w:color="auto"/>
            </w:tcBorders>
            <w:shd w:val="clear" w:color="000000" w:fill="FFFFFF"/>
            <w:noWrap/>
            <w:vAlign w:val="bottom"/>
            <w:hideMark/>
          </w:tcPr>
          <w:p w14:paraId="31E4C101" w14:textId="054591CA" w:rsidR="00543241" w:rsidRPr="000D1437" w:rsidRDefault="00543241" w:rsidP="00543241">
            <w:pPr>
              <w:jc w:val="right"/>
              <w:rPr>
                <w:rFonts w:ascii="Times New Roman" w:hAnsi="Times New Roman"/>
                <w:sz w:val="14"/>
                <w:szCs w:val="14"/>
              </w:rPr>
            </w:pPr>
            <w:r w:rsidRPr="000D1437">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2FCD242C" w14:textId="58F692D3"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6BF17988" w14:textId="066B9B72" w:rsidR="00543241" w:rsidRPr="000D1437" w:rsidRDefault="00543241" w:rsidP="00543241">
            <w:pPr>
              <w:jc w:val="right"/>
              <w:rPr>
                <w:rFonts w:ascii="Times New Roman" w:hAnsi="Times New Roman"/>
                <w:sz w:val="14"/>
                <w:szCs w:val="14"/>
              </w:rPr>
            </w:pPr>
            <w:r w:rsidRPr="000D1437">
              <w:rPr>
                <w:sz w:val="14"/>
                <w:szCs w:val="14"/>
              </w:rPr>
              <w:t>NO,NA</w:t>
            </w:r>
          </w:p>
        </w:tc>
        <w:tc>
          <w:tcPr>
            <w:tcW w:w="1179" w:type="dxa"/>
            <w:tcBorders>
              <w:top w:val="nil"/>
              <w:left w:val="nil"/>
              <w:bottom w:val="single" w:sz="4" w:space="0" w:color="auto"/>
              <w:right w:val="single" w:sz="4" w:space="0" w:color="auto"/>
            </w:tcBorders>
            <w:shd w:val="clear" w:color="000000" w:fill="FFFFFF"/>
            <w:vAlign w:val="bottom"/>
          </w:tcPr>
          <w:p w14:paraId="29D05689" w14:textId="69372261"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42DA1DD7"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67D0F36" w14:textId="50294CC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178" w:type="dxa"/>
            <w:tcBorders>
              <w:top w:val="nil"/>
              <w:left w:val="nil"/>
              <w:bottom w:val="single" w:sz="4" w:space="0" w:color="auto"/>
              <w:right w:val="single" w:sz="4" w:space="0" w:color="auto"/>
            </w:tcBorders>
            <w:shd w:val="clear" w:color="000000" w:fill="FFFFFF"/>
            <w:noWrap/>
            <w:vAlign w:val="bottom"/>
            <w:hideMark/>
          </w:tcPr>
          <w:p w14:paraId="76BD5039" w14:textId="032EC566" w:rsidR="00543241" w:rsidRPr="000D1437" w:rsidRDefault="00543241" w:rsidP="00543241">
            <w:pPr>
              <w:jc w:val="right"/>
              <w:rPr>
                <w:rFonts w:ascii="Times New Roman" w:hAnsi="Times New Roman"/>
                <w:sz w:val="14"/>
                <w:szCs w:val="14"/>
              </w:rPr>
            </w:pPr>
            <w:r w:rsidRPr="000D1437">
              <w:rPr>
                <w:sz w:val="14"/>
                <w:szCs w:val="14"/>
              </w:rPr>
              <w:t>-4761,52</w:t>
            </w:r>
          </w:p>
        </w:tc>
        <w:tc>
          <w:tcPr>
            <w:tcW w:w="1192" w:type="dxa"/>
            <w:tcBorders>
              <w:top w:val="nil"/>
              <w:left w:val="nil"/>
              <w:bottom w:val="single" w:sz="4" w:space="0" w:color="auto"/>
              <w:right w:val="single" w:sz="4" w:space="0" w:color="auto"/>
            </w:tcBorders>
            <w:shd w:val="clear" w:color="000000" w:fill="FFFFFF"/>
            <w:noWrap/>
            <w:vAlign w:val="bottom"/>
            <w:hideMark/>
          </w:tcPr>
          <w:p w14:paraId="57BB9118" w14:textId="34578B95" w:rsidR="00543241" w:rsidRPr="000D1437" w:rsidRDefault="00543241" w:rsidP="00543241">
            <w:pPr>
              <w:jc w:val="right"/>
              <w:rPr>
                <w:rFonts w:ascii="Times New Roman" w:hAnsi="Times New Roman"/>
                <w:sz w:val="14"/>
                <w:szCs w:val="14"/>
              </w:rPr>
            </w:pPr>
            <w:r w:rsidRPr="000D1437">
              <w:rPr>
                <w:sz w:val="14"/>
                <w:szCs w:val="14"/>
              </w:rPr>
              <w:t>-3599,19</w:t>
            </w:r>
          </w:p>
        </w:tc>
        <w:tc>
          <w:tcPr>
            <w:tcW w:w="1178" w:type="dxa"/>
            <w:tcBorders>
              <w:top w:val="nil"/>
              <w:left w:val="nil"/>
              <w:bottom w:val="single" w:sz="4" w:space="0" w:color="auto"/>
              <w:right w:val="single" w:sz="4" w:space="0" w:color="auto"/>
            </w:tcBorders>
            <w:shd w:val="clear" w:color="000000" w:fill="FFFFFF"/>
            <w:noWrap/>
            <w:vAlign w:val="bottom"/>
            <w:hideMark/>
          </w:tcPr>
          <w:p w14:paraId="51BA1F42" w14:textId="1D92AF72" w:rsidR="00543241" w:rsidRPr="000D1437" w:rsidRDefault="00543241" w:rsidP="00543241">
            <w:pPr>
              <w:jc w:val="right"/>
              <w:rPr>
                <w:rFonts w:ascii="Times New Roman" w:hAnsi="Times New Roman"/>
                <w:sz w:val="14"/>
                <w:szCs w:val="14"/>
              </w:rPr>
            </w:pPr>
            <w:r w:rsidRPr="000D1437">
              <w:rPr>
                <w:sz w:val="14"/>
                <w:szCs w:val="14"/>
              </w:rPr>
              <w:t>-3442,90</w:t>
            </w:r>
          </w:p>
        </w:tc>
        <w:tc>
          <w:tcPr>
            <w:tcW w:w="1164" w:type="dxa"/>
            <w:tcBorders>
              <w:top w:val="nil"/>
              <w:left w:val="nil"/>
              <w:bottom w:val="single" w:sz="4" w:space="0" w:color="auto"/>
              <w:right w:val="single" w:sz="4" w:space="0" w:color="auto"/>
            </w:tcBorders>
            <w:shd w:val="clear" w:color="000000" w:fill="FFFFFF"/>
            <w:noWrap/>
            <w:vAlign w:val="bottom"/>
            <w:hideMark/>
          </w:tcPr>
          <w:p w14:paraId="6C4E0323" w14:textId="1F616A81" w:rsidR="00543241" w:rsidRPr="000D1437" w:rsidRDefault="00543241" w:rsidP="00543241">
            <w:pPr>
              <w:jc w:val="right"/>
              <w:rPr>
                <w:rFonts w:ascii="Times New Roman" w:hAnsi="Times New Roman"/>
                <w:sz w:val="14"/>
                <w:szCs w:val="14"/>
              </w:rPr>
            </w:pPr>
            <w:r w:rsidRPr="000D1437">
              <w:rPr>
                <w:sz w:val="14"/>
                <w:szCs w:val="14"/>
              </w:rPr>
              <w:t>-4093,50</w:t>
            </w:r>
          </w:p>
        </w:tc>
        <w:tc>
          <w:tcPr>
            <w:tcW w:w="1193" w:type="dxa"/>
            <w:tcBorders>
              <w:top w:val="nil"/>
              <w:left w:val="nil"/>
              <w:bottom w:val="single" w:sz="4" w:space="0" w:color="auto"/>
              <w:right w:val="single" w:sz="4" w:space="0" w:color="auto"/>
            </w:tcBorders>
            <w:shd w:val="clear" w:color="000000" w:fill="FFFFFF"/>
            <w:noWrap/>
            <w:vAlign w:val="bottom"/>
            <w:hideMark/>
          </w:tcPr>
          <w:p w14:paraId="07DB3F98" w14:textId="773F9247" w:rsidR="00543241" w:rsidRPr="000D1437" w:rsidRDefault="00543241" w:rsidP="00543241">
            <w:pPr>
              <w:jc w:val="right"/>
              <w:rPr>
                <w:rFonts w:ascii="Times New Roman" w:hAnsi="Times New Roman"/>
                <w:sz w:val="14"/>
                <w:szCs w:val="14"/>
              </w:rPr>
            </w:pPr>
            <w:r w:rsidRPr="000D1437">
              <w:rPr>
                <w:sz w:val="14"/>
                <w:szCs w:val="14"/>
              </w:rPr>
              <w:t>-4111,64</w:t>
            </w:r>
          </w:p>
        </w:tc>
        <w:tc>
          <w:tcPr>
            <w:tcW w:w="1179" w:type="dxa"/>
            <w:tcBorders>
              <w:top w:val="nil"/>
              <w:left w:val="nil"/>
              <w:bottom w:val="single" w:sz="4" w:space="0" w:color="auto"/>
              <w:right w:val="single" w:sz="4" w:space="0" w:color="auto"/>
            </w:tcBorders>
            <w:shd w:val="clear" w:color="000000" w:fill="FFFFFF"/>
            <w:vAlign w:val="bottom"/>
          </w:tcPr>
          <w:p w14:paraId="012350A9" w14:textId="5CDBAF91" w:rsidR="00543241" w:rsidRPr="000D1437" w:rsidRDefault="00543241" w:rsidP="00543241">
            <w:pPr>
              <w:jc w:val="right"/>
              <w:rPr>
                <w:rFonts w:ascii="Times New Roman" w:hAnsi="Times New Roman"/>
                <w:sz w:val="14"/>
                <w:szCs w:val="14"/>
              </w:rPr>
            </w:pPr>
            <w:r w:rsidRPr="000D1437">
              <w:rPr>
                <w:sz w:val="14"/>
                <w:szCs w:val="14"/>
              </w:rPr>
              <w:t>-4273,46</w:t>
            </w:r>
          </w:p>
        </w:tc>
      </w:tr>
      <w:tr w:rsidR="00543241" w:rsidRPr="00364545" w14:paraId="5A2CA180"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4B78EA8" w14:textId="071B143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178" w:type="dxa"/>
            <w:tcBorders>
              <w:top w:val="nil"/>
              <w:left w:val="nil"/>
              <w:bottom w:val="single" w:sz="4" w:space="0" w:color="auto"/>
              <w:right w:val="single" w:sz="4" w:space="0" w:color="auto"/>
            </w:tcBorders>
            <w:shd w:val="clear" w:color="000000" w:fill="FFFFFF"/>
            <w:noWrap/>
            <w:vAlign w:val="bottom"/>
            <w:hideMark/>
          </w:tcPr>
          <w:p w14:paraId="50E8A842" w14:textId="72EB3E97" w:rsidR="00543241" w:rsidRPr="000D1437" w:rsidRDefault="00543241" w:rsidP="00543241">
            <w:pPr>
              <w:jc w:val="right"/>
              <w:rPr>
                <w:rFonts w:ascii="Times New Roman" w:hAnsi="Times New Roman"/>
                <w:sz w:val="14"/>
                <w:szCs w:val="14"/>
              </w:rPr>
            </w:pPr>
            <w:r w:rsidRPr="000D1437">
              <w:rPr>
                <w:sz w:val="14"/>
                <w:szCs w:val="14"/>
              </w:rPr>
              <w:t>535,77</w:t>
            </w:r>
          </w:p>
        </w:tc>
        <w:tc>
          <w:tcPr>
            <w:tcW w:w="1192" w:type="dxa"/>
            <w:tcBorders>
              <w:top w:val="nil"/>
              <w:left w:val="nil"/>
              <w:bottom w:val="single" w:sz="4" w:space="0" w:color="auto"/>
              <w:right w:val="single" w:sz="4" w:space="0" w:color="auto"/>
            </w:tcBorders>
            <w:shd w:val="clear" w:color="000000" w:fill="FFFFFF"/>
            <w:noWrap/>
            <w:vAlign w:val="bottom"/>
            <w:hideMark/>
          </w:tcPr>
          <w:p w14:paraId="088BD508" w14:textId="45CD1CCB" w:rsidR="00543241" w:rsidRPr="000D1437" w:rsidRDefault="00543241" w:rsidP="00543241">
            <w:pPr>
              <w:jc w:val="right"/>
              <w:rPr>
                <w:rFonts w:ascii="Times New Roman" w:hAnsi="Times New Roman"/>
                <w:sz w:val="14"/>
                <w:szCs w:val="14"/>
              </w:rPr>
            </w:pPr>
            <w:r w:rsidRPr="000D1437">
              <w:rPr>
                <w:sz w:val="14"/>
                <w:szCs w:val="14"/>
              </w:rPr>
              <w:t>467,27</w:t>
            </w:r>
          </w:p>
        </w:tc>
        <w:tc>
          <w:tcPr>
            <w:tcW w:w="1178" w:type="dxa"/>
            <w:tcBorders>
              <w:top w:val="nil"/>
              <w:left w:val="nil"/>
              <w:bottom w:val="single" w:sz="4" w:space="0" w:color="auto"/>
              <w:right w:val="single" w:sz="4" w:space="0" w:color="auto"/>
            </w:tcBorders>
            <w:shd w:val="clear" w:color="000000" w:fill="FFFFFF"/>
            <w:noWrap/>
            <w:vAlign w:val="bottom"/>
            <w:hideMark/>
          </w:tcPr>
          <w:p w14:paraId="77783A57" w14:textId="68D66DFD" w:rsidR="00543241" w:rsidRPr="000D1437" w:rsidRDefault="00543241" w:rsidP="00543241">
            <w:pPr>
              <w:jc w:val="right"/>
              <w:rPr>
                <w:rFonts w:ascii="Times New Roman" w:hAnsi="Times New Roman"/>
                <w:sz w:val="14"/>
                <w:szCs w:val="14"/>
              </w:rPr>
            </w:pPr>
            <w:r w:rsidRPr="000D1437">
              <w:rPr>
                <w:sz w:val="14"/>
                <w:szCs w:val="14"/>
              </w:rPr>
              <w:t>407,52</w:t>
            </w:r>
          </w:p>
        </w:tc>
        <w:tc>
          <w:tcPr>
            <w:tcW w:w="1164" w:type="dxa"/>
            <w:tcBorders>
              <w:top w:val="nil"/>
              <w:left w:val="nil"/>
              <w:bottom w:val="single" w:sz="4" w:space="0" w:color="auto"/>
              <w:right w:val="single" w:sz="4" w:space="0" w:color="auto"/>
            </w:tcBorders>
            <w:shd w:val="clear" w:color="000000" w:fill="FFFFFF"/>
            <w:noWrap/>
            <w:vAlign w:val="bottom"/>
            <w:hideMark/>
          </w:tcPr>
          <w:p w14:paraId="5A6322C6" w14:textId="05465F60" w:rsidR="00543241" w:rsidRPr="000D1437" w:rsidRDefault="00543241" w:rsidP="00543241">
            <w:pPr>
              <w:jc w:val="right"/>
              <w:rPr>
                <w:rFonts w:ascii="Times New Roman" w:hAnsi="Times New Roman"/>
                <w:sz w:val="14"/>
                <w:szCs w:val="14"/>
              </w:rPr>
            </w:pPr>
            <w:r w:rsidRPr="000D1437">
              <w:rPr>
                <w:sz w:val="14"/>
                <w:szCs w:val="14"/>
              </w:rPr>
              <w:t>355,42</w:t>
            </w:r>
          </w:p>
        </w:tc>
        <w:tc>
          <w:tcPr>
            <w:tcW w:w="1193" w:type="dxa"/>
            <w:tcBorders>
              <w:top w:val="nil"/>
              <w:left w:val="nil"/>
              <w:bottom w:val="single" w:sz="4" w:space="0" w:color="auto"/>
              <w:right w:val="single" w:sz="4" w:space="0" w:color="auto"/>
            </w:tcBorders>
            <w:shd w:val="clear" w:color="000000" w:fill="FFFFFF"/>
            <w:noWrap/>
            <w:vAlign w:val="bottom"/>
            <w:hideMark/>
          </w:tcPr>
          <w:p w14:paraId="2839F9D8" w14:textId="77C59EE4" w:rsidR="00543241" w:rsidRPr="000D1437" w:rsidRDefault="00543241" w:rsidP="00543241">
            <w:pPr>
              <w:jc w:val="right"/>
              <w:rPr>
                <w:rFonts w:ascii="Times New Roman" w:hAnsi="Times New Roman"/>
                <w:sz w:val="14"/>
                <w:szCs w:val="14"/>
              </w:rPr>
            </w:pPr>
            <w:r w:rsidRPr="000D1437">
              <w:rPr>
                <w:sz w:val="14"/>
                <w:szCs w:val="14"/>
              </w:rPr>
              <w:t>309,98</w:t>
            </w:r>
          </w:p>
        </w:tc>
        <w:tc>
          <w:tcPr>
            <w:tcW w:w="1179" w:type="dxa"/>
            <w:tcBorders>
              <w:top w:val="nil"/>
              <w:left w:val="nil"/>
              <w:bottom w:val="single" w:sz="4" w:space="0" w:color="auto"/>
              <w:right w:val="single" w:sz="4" w:space="0" w:color="auto"/>
            </w:tcBorders>
            <w:shd w:val="clear" w:color="000000" w:fill="FFFFFF"/>
            <w:vAlign w:val="bottom"/>
          </w:tcPr>
          <w:p w14:paraId="5332AD3B" w14:textId="736D99CB" w:rsidR="00543241" w:rsidRPr="000D1437" w:rsidRDefault="00543241" w:rsidP="00543241">
            <w:pPr>
              <w:jc w:val="right"/>
              <w:rPr>
                <w:rFonts w:ascii="Times New Roman" w:hAnsi="Times New Roman"/>
                <w:sz w:val="14"/>
                <w:szCs w:val="14"/>
              </w:rPr>
            </w:pPr>
            <w:r w:rsidRPr="000D1437">
              <w:rPr>
                <w:sz w:val="14"/>
                <w:szCs w:val="14"/>
              </w:rPr>
              <w:t>270,34</w:t>
            </w:r>
          </w:p>
        </w:tc>
      </w:tr>
      <w:tr w:rsidR="00543241" w:rsidRPr="00364545" w14:paraId="0DF352AF"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D3C8902" w14:textId="34E28BE5"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5. Waste</w:t>
            </w:r>
          </w:p>
        </w:tc>
        <w:tc>
          <w:tcPr>
            <w:tcW w:w="1178" w:type="dxa"/>
            <w:tcBorders>
              <w:top w:val="nil"/>
              <w:left w:val="nil"/>
              <w:bottom w:val="single" w:sz="4" w:space="0" w:color="auto"/>
              <w:right w:val="single" w:sz="4" w:space="0" w:color="auto"/>
            </w:tcBorders>
            <w:shd w:val="clear" w:color="000000" w:fill="CCFFFF"/>
            <w:noWrap/>
            <w:vAlign w:val="bottom"/>
            <w:hideMark/>
          </w:tcPr>
          <w:p w14:paraId="166105F1" w14:textId="4EB20272" w:rsidR="00543241" w:rsidRPr="000D1437" w:rsidRDefault="00543241" w:rsidP="00543241">
            <w:pPr>
              <w:jc w:val="right"/>
              <w:rPr>
                <w:rFonts w:ascii="Times New Roman" w:hAnsi="Times New Roman"/>
                <w:sz w:val="14"/>
                <w:szCs w:val="14"/>
              </w:rPr>
            </w:pPr>
            <w:r w:rsidRPr="000D1437">
              <w:rPr>
                <w:sz w:val="14"/>
                <w:szCs w:val="14"/>
              </w:rPr>
              <w:t>1640,52</w:t>
            </w:r>
          </w:p>
        </w:tc>
        <w:tc>
          <w:tcPr>
            <w:tcW w:w="1192" w:type="dxa"/>
            <w:tcBorders>
              <w:top w:val="nil"/>
              <w:left w:val="nil"/>
              <w:bottom w:val="single" w:sz="4" w:space="0" w:color="auto"/>
              <w:right w:val="single" w:sz="4" w:space="0" w:color="auto"/>
            </w:tcBorders>
            <w:shd w:val="clear" w:color="000000" w:fill="CCFFFF"/>
            <w:noWrap/>
            <w:vAlign w:val="bottom"/>
            <w:hideMark/>
          </w:tcPr>
          <w:p w14:paraId="232DBDE7" w14:textId="1E14B971" w:rsidR="00543241" w:rsidRPr="000D1437" w:rsidRDefault="00543241" w:rsidP="00543241">
            <w:pPr>
              <w:jc w:val="right"/>
              <w:rPr>
                <w:rFonts w:ascii="Times New Roman" w:hAnsi="Times New Roman"/>
                <w:sz w:val="14"/>
                <w:szCs w:val="14"/>
              </w:rPr>
            </w:pPr>
            <w:r w:rsidRPr="000D1437">
              <w:rPr>
                <w:sz w:val="14"/>
                <w:szCs w:val="14"/>
              </w:rPr>
              <w:t>1614,52</w:t>
            </w:r>
          </w:p>
        </w:tc>
        <w:tc>
          <w:tcPr>
            <w:tcW w:w="1178" w:type="dxa"/>
            <w:tcBorders>
              <w:top w:val="nil"/>
              <w:left w:val="nil"/>
              <w:bottom w:val="single" w:sz="4" w:space="0" w:color="auto"/>
              <w:right w:val="single" w:sz="4" w:space="0" w:color="auto"/>
            </w:tcBorders>
            <w:shd w:val="clear" w:color="000000" w:fill="CCFFFF"/>
            <w:noWrap/>
            <w:vAlign w:val="bottom"/>
            <w:hideMark/>
          </w:tcPr>
          <w:p w14:paraId="2CDB081B" w14:textId="1C1AD85A" w:rsidR="00543241" w:rsidRPr="000D1437" w:rsidRDefault="00543241" w:rsidP="00543241">
            <w:pPr>
              <w:jc w:val="right"/>
              <w:rPr>
                <w:rFonts w:ascii="Times New Roman" w:hAnsi="Times New Roman"/>
                <w:sz w:val="14"/>
                <w:szCs w:val="14"/>
              </w:rPr>
            </w:pPr>
            <w:r w:rsidRPr="000D1437">
              <w:rPr>
                <w:sz w:val="14"/>
                <w:szCs w:val="14"/>
              </w:rPr>
              <w:t>1616,95</w:t>
            </w:r>
          </w:p>
        </w:tc>
        <w:tc>
          <w:tcPr>
            <w:tcW w:w="1164" w:type="dxa"/>
            <w:tcBorders>
              <w:top w:val="nil"/>
              <w:left w:val="nil"/>
              <w:bottom w:val="single" w:sz="4" w:space="0" w:color="auto"/>
              <w:right w:val="single" w:sz="4" w:space="0" w:color="auto"/>
            </w:tcBorders>
            <w:shd w:val="clear" w:color="000000" w:fill="CCFFFF"/>
            <w:noWrap/>
            <w:vAlign w:val="bottom"/>
            <w:hideMark/>
          </w:tcPr>
          <w:p w14:paraId="69D2CEB2" w14:textId="4CEAC64B" w:rsidR="00543241" w:rsidRPr="000D1437" w:rsidRDefault="00543241" w:rsidP="00543241">
            <w:pPr>
              <w:jc w:val="right"/>
              <w:rPr>
                <w:rFonts w:ascii="Times New Roman" w:hAnsi="Times New Roman"/>
                <w:sz w:val="14"/>
                <w:szCs w:val="14"/>
              </w:rPr>
            </w:pPr>
            <w:r w:rsidRPr="000D1437">
              <w:rPr>
                <w:sz w:val="14"/>
                <w:szCs w:val="14"/>
              </w:rPr>
              <w:t>1489,23</w:t>
            </w:r>
          </w:p>
        </w:tc>
        <w:tc>
          <w:tcPr>
            <w:tcW w:w="1193" w:type="dxa"/>
            <w:tcBorders>
              <w:top w:val="nil"/>
              <w:left w:val="nil"/>
              <w:bottom w:val="single" w:sz="4" w:space="0" w:color="auto"/>
              <w:right w:val="single" w:sz="4" w:space="0" w:color="auto"/>
            </w:tcBorders>
            <w:shd w:val="clear" w:color="000000" w:fill="CCFFFF"/>
            <w:noWrap/>
            <w:vAlign w:val="bottom"/>
            <w:hideMark/>
          </w:tcPr>
          <w:p w14:paraId="5750692A" w14:textId="65C5FDAA" w:rsidR="00543241" w:rsidRPr="000D1437" w:rsidRDefault="00543241" w:rsidP="00543241">
            <w:pPr>
              <w:jc w:val="right"/>
              <w:rPr>
                <w:rFonts w:ascii="Times New Roman" w:hAnsi="Times New Roman"/>
                <w:sz w:val="14"/>
                <w:szCs w:val="14"/>
              </w:rPr>
            </w:pPr>
            <w:r w:rsidRPr="000D1437">
              <w:rPr>
                <w:sz w:val="14"/>
                <w:szCs w:val="14"/>
              </w:rPr>
              <w:t>1549,07</w:t>
            </w:r>
          </w:p>
        </w:tc>
        <w:tc>
          <w:tcPr>
            <w:tcW w:w="1179" w:type="dxa"/>
            <w:tcBorders>
              <w:top w:val="nil"/>
              <w:left w:val="nil"/>
              <w:bottom w:val="single" w:sz="4" w:space="0" w:color="auto"/>
              <w:right w:val="single" w:sz="4" w:space="0" w:color="auto"/>
            </w:tcBorders>
            <w:shd w:val="clear" w:color="000000" w:fill="CCFFFF"/>
            <w:vAlign w:val="bottom"/>
          </w:tcPr>
          <w:p w14:paraId="42DF5CAE" w14:textId="77A15B77" w:rsidR="00543241" w:rsidRPr="000D1437" w:rsidRDefault="00543241" w:rsidP="00543241">
            <w:pPr>
              <w:jc w:val="right"/>
              <w:rPr>
                <w:rFonts w:ascii="Times New Roman" w:hAnsi="Times New Roman"/>
                <w:sz w:val="14"/>
                <w:szCs w:val="14"/>
              </w:rPr>
            </w:pPr>
            <w:r w:rsidRPr="000D1437">
              <w:rPr>
                <w:sz w:val="14"/>
                <w:szCs w:val="14"/>
              </w:rPr>
              <w:t>1612,34</w:t>
            </w:r>
          </w:p>
        </w:tc>
      </w:tr>
      <w:tr w:rsidR="00543241" w:rsidRPr="00364545" w14:paraId="78E570C9"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AB7C463" w14:textId="721D9FD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178" w:type="dxa"/>
            <w:tcBorders>
              <w:top w:val="nil"/>
              <w:left w:val="nil"/>
              <w:bottom w:val="single" w:sz="4" w:space="0" w:color="auto"/>
              <w:right w:val="single" w:sz="4" w:space="0" w:color="auto"/>
            </w:tcBorders>
            <w:shd w:val="clear" w:color="000000" w:fill="FFFFFF"/>
            <w:noWrap/>
            <w:vAlign w:val="bottom"/>
            <w:hideMark/>
          </w:tcPr>
          <w:p w14:paraId="06F5E861" w14:textId="043ED5FA" w:rsidR="00543241" w:rsidRPr="000D1437" w:rsidRDefault="00543241" w:rsidP="00543241">
            <w:pPr>
              <w:jc w:val="right"/>
              <w:rPr>
                <w:rFonts w:ascii="Times New Roman" w:hAnsi="Times New Roman"/>
                <w:sz w:val="14"/>
                <w:szCs w:val="14"/>
              </w:rPr>
            </w:pPr>
            <w:r w:rsidRPr="000D1437">
              <w:rPr>
                <w:sz w:val="14"/>
                <w:szCs w:val="14"/>
              </w:rPr>
              <w:t>NA</w:t>
            </w:r>
          </w:p>
        </w:tc>
        <w:tc>
          <w:tcPr>
            <w:tcW w:w="1192" w:type="dxa"/>
            <w:tcBorders>
              <w:top w:val="nil"/>
              <w:left w:val="nil"/>
              <w:bottom w:val="single" w:sz="4" w:space="0" w:color="auto"/>
              <w:right w:val="single" w:sz="4" w:space="0" w:color="auto"/>
            </w:tcBorders>
            <w:shd w:val="clear" w:color="000000" w:fill="FFFFFF"/>
            <w:noWrap/>
            <w:vAlign w:val="bottom"/>
            <w:hideMark/>
          </w:tcPr>
          <w:p w14:paraId="22E07F9F" w14:textId="79A3811A" w:rsidR="00543241" w:rsidRPr="000D1437" w:rsidRDefault="00543241" w:rsidP="00543241">
            <w:pPr>
              <w:jc w:val="right"/>
              <w:rPr>
                <w:rFonts w:ascii="Times New Roman" w:hAnsi="Times New Roman"/>
                <w:sz w:val="14"/>
                <w:szCs w:val="14"/>
              </w:rPr>
            </w:pPr>
            <w:r w:rsidRPr="000D1437">
              <w:rPr>
                <w:sz w:val="14"/>
                <w:szCs w:val="14"/>
              </w:rPr>
              <w:t>NA</w:t>
            </w:r>
          </w:p>
        </w:tc>
        <w:tc>
          <w:tcPr>
            <w:tcW w:w="1178" w:type="dxa"/>
            <w:tcBorders>
              <w:top w:val="nil"/>
              <w:left w:val="nil"/>
              <w:bottom w:val="single" w:sz="4" w:space="0" w:color="auto"/>
              <w:right w:val="single" w:sz="4" w:space="0" w:color="auto"/>
            </w:tcBorders>
            <w:shd w:val="clear" w:color="000000" w:fill="FFFFFF"/>
            <w:noWrap/>
            <w:vAlign w:val="bottom"/>
            <w:hideMark/>
          </w:tcPr>
          <w:p w14:paraId="198CBAF3" w14:textId="109CC5DF" w:rsidR="00543241" w:rsidRPr="000D1437" w:rsidRDefault="00543241" w:rsidP="00543241">
            <w:pPr>
              <w:jc w:val="right"/>
              <w:rPr>
                <w:rFonts w:ascii="Times New Roman" w:hAnsi="Times New Roman"/>
                <w:sz w:val="14"/>
                <w:szCs w:val="14"/>
              </w:rPr>
            </w:pPr>
            <w:r w:rsidRPr="000D1437">
              <w:rPr>
                <w:sz w:val="14"/>
                <w:szCs w:val="14"/>
              </w:rPr>
              <w:t>NA</w:t>
            </w:r>
          </w:p>
        </w:tc>
        <w:tc>
          <w:tcPr>
            <w:tcW w:w="1164" w:type="dxa"/>
            <w:tcBorders>
              <w:top w:val="nil"/>
              <w:left w:val="nil"/>
              <w:bottom w:val="single" w:sz="4" w:space="0" w:color="auto"/>
              <w:right w:val="single" w:sz="4" w:space="0" w:color="auto"/>
            </w:tcBorders>
            <w:shd w:val="clear" w:color="000000" w:fill="FFFFFF"/>
            <w:noWrap/>
            <w:vAlign w:val="bottom"/>
            <w:hideMark/>
          </w:tcPr>
          <w:p w14:paraId="46ECBAFE" w14:textId="695FC690"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FFFFFF"/>
            <w:noWrap/>
            <w:vAlign w:val="bottom"/>
            <w:hideMark/>
          </w:tcPr>
          <w:p w14:paraId="02CE7D64" w14:textId="1A517841" w:rsidR="00543241" w:rsidRPr="000D1437" w:rsidRDefault="00543241" w:rsidP="00543241">
            <w:pPr>
              <w:jc w:val="right"/>
              <w:rPr>
                <w:rFonts w:ascii="Times New Roman" w:hAnsi="Times New Roman"/>
                <w:sz w:val="14"/>
                <w:szCs w:val="14"/>
              </w:rPr>
            </w:pPr>
            <w:r w:rsidRPr="000D1437">
              <w:rPr>
                <w:sz w:val="14"/>
                <w:szCs w:val="14"/>
              </w:rPr>
              <w:t>NA</w:t>
            </w:r>
          </w:p>
        </w:tc>
        <w:tc>
          <w:tcPr>
            <w:tcW w:w="1179" w:type="dxa"/>
            <w:tcBorders>
              <w:top w:val="nil"/>
              <w:left w:val="nil"/>
              <w:bottom w:val="single" w:sz="4" w:space="0" w:color="auto"/>
              <w:right w:val="single" w:sz="4" w:space="0" w:color="auto"/>
            </w:tcBorders>
            <w:shd w:val="clear" w:color="000000" w:fill="FFFFFF"/>
            <w:vAlign w:val="bottom"/>
          </w:tcPr>
          <w:p w14:paraId="46AD1402" w14:textId="427F0558" w:rsidR="00543241" w:rsidRPr="000D1437" w:rsidRDefault="00543241" w:rsidP="00543241">
            <w:pPr>
              <w:jc w:val="right"/>
              <w:rPr>
                <w:rFonts w:ascii="Times New Roman" w:hAnsi="Times New Roman"/>
                <w:sz w:val="14"/>
                <w:szCs w:val="14"/>
              </w:rPr>
            </w:pPr>
            <w:r w:rsidRPr="000D1437">
              <w:rPr>
                <w:sz w:val="14"/>
                <w:szCs w:val="14"/>
              </w:rPr>
              <w:t>NA</w:t>
            </w:r>
          </w:p>
        </w:tc>
      </w:tr>
      <w:tr w:rsidR="00543241" w:rsidRPr="00364545" w14:paraId="0D93E21A"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524BA9F" w14:textId="7589D82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178" w:type="dxa"/>
            <w:tcBorders>
              <w:top w:val="nil"/>
              <w:left w:val="nil"/>
              <w:bottom w:val="single" w:sz="4" w:space="0" w:color="auto"/>
              <w:right w:val="single" w:sz="4" w:space="0" w:color="auto"/>
            </w:tcBorders>
            <w:shd w:val="clear" w:color="000000" w:fill="FFFFFF"/>
            <w:noWrap/>
            <w:vAlign w:val="bottom"/>
            <w:hideMark/>
          </w:tcPr>
          <w:p w14:paraId="3D1812F2" w14:textId="1DFCCF7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5F9B95B2" w14:textId="06B0FC6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6ECAA7F3" w14:textId="4ECFB6E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6F9A10C2" w14:textId="11A8EB0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0481C982" w14:textId="184D31F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021C2A6A" w14:textId="648313C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C241AF2"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D55BEC2" w14:textId="4436B42D"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178" w:type="dxa"/>
            <w:tcBorders>
              <w:top w:val="nil"/>
              <w:left w:val="nil"/>
              <w:bottom w:val="single" w:sz="4" w:space="0" w:color="auto"/>
              <w:right w:val="single" w:sz="4" w:space="0" w:color="auto"/>
            </w:tcBorders>
            <w:shd w:val="clear" w:color="000000" w:fill="FFFFFF"/>
            <w:noWrap/>
            <w:vAlign w:val="bottom"/>
            <w:hideMark/>
          </w:tcPr>
          <w:p w14:paraId="5D841BF9" w14:textId="139A3F24" w:rsidR="00543241" w:rsidRPr="000D1437" w:rsidRDefault="00543241" w:rsidP="00543241">
            <w:pPr>
              <w:jc w:val="right"/>
              <w:rPr>
                <w:rFonts w:ascii="Times New Roman" w:hAnsi="Times New Roman"/>
                <w:sz w:val="14"/>
                <w:szCs w:val="14"/>
              </w:rPr>
            </w:pPr>
            <w:r w:rsidRPr="000D1437">
              <w:rPr>
                <w:sz w:val="14"/>
                <w:szCs w:val="14"/>
              </w:rPr>
              <w:t>1640,52</w:t>
            </w:r>
          </w:p>
        </w:tc>
        <w:tc>
          <w:tcPr>
            <w:tcW w:w="1192" w:type="dxa"/>
            <w:tcBorders>
              <w:top w:val="nil"/>
              <w:left w:val="nil"/>
              <w:bottom w:val="single" w:sz="4" w:space="0" w:color="auto"/>
              <w:right w:val="single" w:sz="4" w:space="0" w:color="auto"/>
            </w:tcBorders>
            <w:shd w:val="clear" w:color="000000" w:fill="FFFFFF"/>
            <w:noWrap/>
            <w:vAlign w:val="bottom"/>
            <w:hideMark/>
          </w:tcPr>
          <w:p w14:paraId="30321745" w14:textId="1F750200" w:rsidR="00543241" w:rsidRPr="000D1437" w:rsidRDefault="00543241" w:rsidP="00543241">
            <w:pPr>
              <w:jc w:val="right"/>
              <w:rPr>
                <w:rFonts w:ascii="Times New Roman" w:hAnsi="Times New Roman"/>
                <w:sz w:val="14"/>
                <w:szCs w:val="14"/>
              </w:rPr>
            </w:pPr>
            <w:r w:rsidRPr="000D1437">
              <w:rPr>
                <w:sz w:val="14"/>
                <w:szCs w:val="14"/>
              </w:rPr>
              <w:t>1614,52</w:t>
            </w:r>
          </w:p>
        </w:tc>
        <w:tc>
          <w:tcPr>
            <w:tcW w:w="1178" w:type="dxa"/>
            <w:tcBorders>
              <w:top w:val="nil"/>
              <w:left w:val="nil"/>
              <w:bottom w:val="single" w:sz="4" w:space="0" w:color="auto"/>
              <w:right w:val="single" w:sz="4" w:space="0" w:color="auto"/>
            </w:tcBorders>
            <w:shd w:val="clear" w:color="000000" w:fill="FFFFFF"/>
            <w:noWrap/>
            <w:vAlign w:val="bottom"/>
            <w:hideMark/>
          </w:tcPr>
          <w:p w14:paraId="0CB3768E" w14:textId="66DA7D22" w:rsidR="00543241" w:rsidRPr="000D1437" w:rsidRDefault="00543241" w:rsidP="00543241">
            <w:pPr>
              <w:jc w:val="right"/>
              <w:rPr>
                <w:rFonts w:ascii="Times New Roman" w:hAnsi="Times New Roman"/>
                <w:sz w:val="14"/>
                <w:szCs w:val="14"/>
              </w:rPr>
            </w:pPr>
            <w:r w:rsidRPr="000D1437">
              <w:rPr>
                <w:sz w:val="14"/>
                <w:szCs w:val="14"/>
              </w:rPr>
              <w:t>1616,95</w:t>
            </w:r>
          </w:p>
        </w:tc>
        <w:tc>
          <w:tcPr>
            <w:tcW w:w="1164" w:type="dxa"/>
            <w:tcBorders>
              <w:top w:val="nil"/>
              <w:left w:val="nil"/>
              <w:bottom w:val="single" w:sz="4" w:space="0" w:color="auto"/>
              <w:right w:val="single" w:sz="4" w:space="0" w:color="auto"/>
            </w:tcBorders>
            <w:shd w:val="clear" w:color="000000" w:fill="FFFFFF"/>
            <w:noWrap/>
            <w:vAlign w:val="bottom"/>
            <w:hideMark/>
          </w:tcPr>
          <w:p w14:paraId="5BD7D9CF" w14:textId="66FF77F6" w:rsidR="00543241" w:rsidRPr="000D1437" w:rsidRDefault="00543241" w:rsidP="00543241">
            <w:pPr>
              <w:jc w:val="right"/>
              <w:rPr>
                <w:rFonts w:ascii="Times New Roman" w:hAnsi="Times New Roman"/>
                <w:sz w:val="14"/>
                <w:szCs w:val="14"/>
              </w:rPr>
            </w:pPr>
            <w:r w:rsidRPr="000D1437">
              <w:rPr>
                <w:sz w:val="14"/>
                <w:szCs w:val="14"/>
              </w:rPr>
              <w:t>1489,23</w:t>
            </w:r>
          </w:p>
        </w:tc>
        <w:tc>
          <w:tcPr>
            <w:tcW w:w="1193" w:type="dxa"/>
            <w:tcBorders>
              <w:top w:val="nil"/>
              <w:left w:val="nil"/>
              <w:bottom w:val="single" w:sz="4" w:space="0" w:color="auto"/>
              <w:right w:val="single" w:sz="4" w:space="0" w:color="auto"/>
            </w:tcBorders>
            <w:shd w:val="clear" w:color="000000" w:fill="FFFFFF"/>
            <w:noWrap/>
            <w:vAlign w:val="bottom"/>
            <w:hideMark/>
          </w:tcPr>
          <w:p w14:paraId="02CBCB32" w14:textId="71AA06CF" w:rsidR="00543241" w:rsidRPr="000D1437" w:rsidRDefault="00543241" w:rsidP="00543241">
            <w:pPr>
              <w:jc w:val="right"/>
              <w:rPr>
                <w:rFonts w:ascii="Times New Roman" w:hAnsi="Times New Roman"/>
                <w:sz w:val="14"/>
                <w:szCs w:val="14"/>
              </w:rPr>
            </w:pPr>
            <w:r w:rsidRPr="000D1437">
              <w:rPr>
                <w:sz w:val="14"/>
                <w:szCs w:val="14"/>
              </w:rPr>
              <w:t>1549,07</w:t>
            </w:r>
          </w:p>
        </w:tc>
        <w:tc>
          <w:tcPr>
            <w:tcW w:w="1179" w:type="dxa"/>
            <w:tcBorders>
              <w:top w:val="nil"/>
              <w:left w:val="nil"/>
              <w:bottom w:val="single" w:sz="4" w:space="0" w:color="auto"/>
              <w:right w:val="single" w:sz="4" w:space="0" w:color="auto"/>
            </w:tcBorders>
            <w:shd w:val="clear" w:color="000000" w:fill="FFFFFF"/>
            <w:vAlign w:val="bottom"/>
          </w:tcPr>
          <w:p w14:paraId="5F3EED57" w14:textId="22D4295D" w:rsidR="00543241" w:rsidRPr="000D1437" w:rsidRDefault="00543241" w:rsidP="00543241">
            <w:pPr>
              <w:jc w:val="right"/>
              <w:rPr>
                <w:rFonts w:ascii="Times New Roman" w:hAnsi="Times New Roman"/>
                <w:sz w:val="14"/>
                <w:szCs w:val="14"/>
              </w:rPr>
            </w:pPr>
            <w:r w:rsidRPr="000D1437">
              <w:rPr>
                <w:sz w:val="14"/>
                <w:szCs w:val="14"/>
              </w:rPr>
              <w:t>1612,34</w:t>
            </w:r>
          </w:p>
        </w:tc>
      </w:tr>
      <w:tr w:rsidR="00543241" w:rsidRPr="00364545" w14:paraId="3ECC6F3B"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602A7574" w14:textId="01AAF200"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178" w:type="dxa"/>
            <w:tcBorders>
              <w:top w:val="nil"/>
              <w:left w:val="nil"/>
              <w:bottom w:val="single" w:sz="4" w:space="0" w:color="auto"/>
              <w:right w:val="single" w:sz="4" w:space="0" w:color="auto"/>
            </w:tcBorders>
            <w:shd w:val="clear" w:color="000000" w:fill="FFFFFF"/>
            <w:noWrap/>
            <w:vAlign w:val="bottom"/>
            <w:hideMark/>
          </w:tcPr>
          <w:p w14:paraId="57E8BE2D" w14:textId="4043997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16D4B8CA" w14:textId="7C64664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79C1DB32" w14:textId="32B4235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1D0307C0" w14:textId="43BC4B9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184D0A86" w14:textId="29ADE12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5E996BE1" w14:textId="0EA2D56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4864924"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3D3F1C4" w14:textId="1612A0B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178" w:type="dxa"/>
            <w:tcBorders>
              <w:top w:val="nil"/>
              <w:left w:val="nil"/>
              <w:bottom w:val="single" w:sz="4" w:space="0" w:color="auto"/>
              <w:right w:val="single" w:sz="4" w:space="0" w:color="auto"/>
            </w:tcBorders>
            <w:shd w:val="clear" w:color="000000" w:fill="FFFFFF"/>
            <w:noWrap/>
            <w:vAlign w:val="bottom"/>
            <w:hideMark/>
          </w:tcPr>
          <w:p w14:paraId="34EEC30C" w14:textId="17E1BA85" w:rsidR="00543241" w:rsidRPr="000D1437" w:rsidRDefault="00543241" w:rsidP="00543241">
            <w:pPr>
              <w:jc w:val="right"/>
              <w:rPr>
                <w:rFonts w:ascii="Times New Roman" w:hAnsi="Times New Roman"/>
                <w:sz w:val="14"/>
                <w:szCs w:val="14"/>
              </w:rPr>
            </w:pPr>
            <w:r w:rsidRPr="000D1437">
              <w:rPr>
                <w:sz w:val="14"/>
                <w:szCs w:val="14"/>
              </w:rPr>
              <w:t>NO</w:t>
            </w:r>
          </w:p>
        </w:tc>
        <w:tc>
          <w:tcPr>
            <w:tcW w:w="1192" w:type="dxa"/>
            <w:tcBorders>
              <w:top w:val="nil"/>
              <w:left w:val="nil"/>
              <w:bottom w:val="single" w:sz="4" w:space="0" w:color="auto"/>
              <w:right w:val="single" w:sz="4" w:space="0" w:color="auto"/>
            </w:tcBorders>
            <w:shd w:val="clear" w:color="000000" w:fill="FFFFFF"/>
            <w:noWrap/>
            <w:vAlign w:val="bottom"/>
            <w:hideMark/>
          </w:tcPr>
          <w:p w14:paraId="46BD6AD7" w14:textId="49BD3B96" w:rsidR="00543241" w:rsidRPr="000D1437" w:rsidRDefault="00543241" w:rsidP="00543241">
            <w:pPr>
              <w:jc w:val="right"/>
              <w:rPr>
                <w:rFonts w:ascii="Times New Roman" w:hAnsi="Times New Roman"/>
                <w:sz w:val="14"/>
                <w:szCs w:val="14"/>
              </w:rPr>
            </w:pPr>
            <w:r w:rsidRPr="000D1437">
              <w:rPr>
                <w:sz w:val="14"/>
                <w:szCs w:val="14"/>
              </w:rPr>
              <w:t>NO</w:t>
            </w:r>
          </w:p>
        </w:tc>
        <w:tc>
          <w:tcPr>
            <w:tcW w:w="1178" w:type="dxa"/>
            <w:tcBorders>
              <w:top w:val="nil"/>
              <w:left w:val="nil"/>
              <w:bottom w:val="single" w:sz="4" w:space="0" w:color="auto"/>
              <w:right w:val="single" w:sz="4" w:space="0" w:color="auto"/>
            </w:tcBorders>
            <w:shd w:val="clear" w:color="000000" w:fill="FFFFFF"/>
            <w:noWrap/>
            <w:vAlign w:val="bottom"/>
            <w:hideMark/>
          </w:tcPr>
          <w:p w14:paraId="6BB89EE2" w14:textId="7BA3B6F7" w:rsidR="00543241" w:rsidRPr="000D1437" w:rsidRDefault="00543241" w:rsidP="00543241">
            <w:pPr>
              <w:jc w:val="right"/>
              <w:rPr>
                <w:rFonts w:ascii="Times New Roman" w:hAnsi="Times New Roman"/>
                <w:sz w:val="14"/>
                <w:szCs w:val="14"/>
              </w:rPr>
            </w:pPr>
            <w:r w:rsidRPr="000D1437">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24B429B5" w14:textId="52AF1AE4"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2EB0C3EB" w14:textId="22A76BBB" w:rsidR="00543241" w:rsidRPr="000D1437" w:rsidRDefault="00543241" w:rsidP="00543241">
            <w:pPr>
              <w:jc w:val="right"/>
              <w:rPr>
                <w:rFonts w:ascii="Times New Roman" w:hAnsi="Times New Roman"/>
                <w:sz w:val="14"/>
                <w:szCs w:val="14"/>
              </w:rPr>
            </w:pPr>
            <w:r w:rsidRPr="000D1437">
              <w:rPr>
                <w:sz w:val="14"/>
                <w:szCs w:val="14"/>
              </w:rPr>
              <w:t>NO</w:t>
            </w:r>
          </w:p>
        </w:tc>
        <w:tc>
          <w:tcPr>
            <w:tcW w:w="1179" w:type="dxa"/>
            <w:tcBorders>
              <w:top w:val="nil"/>
              <w:left w:val="nil"/>
              <w:bottom w:val="single" w:sz="4" w:space="0" w:color="auto"/>
              <w:right w:val="single" w:sz="4" w:space="0" w:color="auto"/>
            </w:tcBorders>
            <w:shd w:val="clear" w:color="000000" w:fill="FFFFFF"/>
            <w:vAlign w:val="bottom"/>
          </w:tcPr>
          <w:p w14:paraId="4E58ECEE" w14:textId="0BDCA2AE"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7DB75BF9"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6EB0CC62" w14:textId="63ABBD6E"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178" w:type="dxa"/>
            <w:tcBorders>
              <w:top w:val="nil"/>
              <w:left w:val="nil"/>
              <w:bottom w:val="single" w:sz="4" w:space="0" w:color="auto"/>
              <w:right w:val="single" w:sz="4" w:space="0" w:color="auto"/>
            </w:tcBorders>
            <w:shd w:val="clear" w:color="000000" w:fill="CCFFFF"/>
            <w:noWrap/>
            <w:vAlign w:val="bottom"/>
            <w:hideMark/>
          </w:tcPr>
          <w:p w14:paraId="0F9DB16F" w14:textId="2A59941A" w:rsidR="00543241" w:rsidRPr="000D1437" w:rsidRDefault="00543241" w:rsidP="00543241">
            <w:pPr>
              <w:jc w:val="right"/>
              <w:rPr>
                <w:rFonts w:ascii="Times New Roman" w:hAnsi="Times New Roman"/>
                <w:sz w:val="14"/>
                <w:szCs w:val="14"/>
              </w:rPr>
            </w:pPr>
            <w:r w:rsidRPr="000D1437">
              <w:rPr>
                <w:sz w:val="14"/>
                <w:szCs w:val="14"/>
              </w:rPr>
              <w:t>NO</w:t>
            </w:r>
          </w:p>
        </w:tc>
        <w:tc>
          <w:tcPr>
            <w:tcW w:w="1192" w:type="dxa"/>
            <w:tcBorders>
              <w:top w:val="nil"/>
              <w:left w:val="nil"/>
              <w:bottom w:val="single" w:sz="4" w:space="0" w:color="auto"/>
              <w:right w:val="single" w:sz="4" w:space="0" w:color="auto"/>
            </w:tcBorders>
            <w:shd w:val="clear" w:color="000000" w:fill="CCFFFF"/>
            <w:noWrap/>
            <w:vAlign w:val="bottom"/>
            <w:hideMark/>
          </w:tcPr>
          <w:p w14:paraId="2FAC9D1B" w14:textId="49936756" w:rsidR="00543241" w:rsidRPr="000D1437" w:rsidRDefault="00543241" w:rsidP="00543241">
            <w:pPr>
              <w:jc w:val="right"/>
              <w:rPr>
                <w:rFonts w:ascii="Times New Roman" w:hAnsi="Times New Roman"/>
                <w:sz w:val="14"/>
                <w:szCs w:val="14"/>
              </w:rPr>
            </w:pPr>
            <w:r w:rsidRPr="000D1437">
              <w:rPr>
                <w:sz w:val="14"/>
                <w:szCs w:val="14"/>
              </w:rPr>
              <w:t>NO</w:t>
            </w:r>
          </w:p>
        </w:tc>
        <w:tc>
          <w:tcPr>
            <w:tcW w:w="1178" w:type="dxa"/>
            <w:tcBorders>
              <w:top w:val="nil"/>
              <w:left w:val="nil"/>
              <w:bottom w:val="single" w:sz="4" w:space="0" w:color="auto"/>
              <w:right w:val="single" w:sz="4" w:space="0" w:color="auto"/>
            </w:tcBorders>
            <w:shd w:val="clear" w:color="000000" w:fill="CCFFFF"/>
            <w:noWrap/>
            <w:vAlign w:val="bottom"/>
            <w:hideMark/>
          </w:tcPr>
          <w:p w14:paraId="0C13EDFA" w14:textId="36F0296E" w:rsidR="00543241" w:rsidRPr="000D1437" w:rsidRDefault="00543241" w:rsidP="00543241">
            <w:pPr>
              <w:jc w:val="right"/>
              <w:rPr>
                <w:rFonts w:ascii="Times New Roman" w:hAnsi="Times New Roman"/>
                <w:sz w:val="14"/>
                <w:szCs w:val="14"/>
              </w:rPr>
            </w:pPr>
            <w:r w:rsidRPr="000D1437">
              <w:rPr>
                <w:sz w:val="14"/>
                <w:szCs w:val="14"/>
              </w:rPr>
              <w:t>NO</w:t>
            </w:r>
          </w:p>
        </w:tc>
        <w:tc>
          <w:tcPr>
            <w:tcW w:w="1164" w:type="dxa"/>
            <w:tcBorders>
              <w:top w:val="nil"/>
              <w:left w:val="nil"/>
              <w:bottom w:val="single" w:sz="4" w:space="0" w:color="auto"/>
              <w:right w:val="single" w:sz="4" w:space="0" w:color="auto"/>
            </w:tcBorders>
            <w:shd w:val="clear" w:color="000000" w:fill="CCFFFF"/>
            <w:noWrap/>
            <w:vAlign w:val="bottom"/>
            <w:hideMark/>
          </w:tcPr>
          <w:p w14:paraId="739D4923" w14:textId="36723CF9"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CCFFFF"/>
            <w:noWrap/>
            <w:vAlign w:val="bottom"/>
            <w:hideMark/>
          </w:tcPr>
          <w:p w14:paraId="740BC231" w14:textId="5799F865" w:rsidR="00543241" w:rsidRPr="000D1437" w:rsidRDefault="00543241" w:rsidP="00543241">
            <w:pPr>
              <w:jc w:val="right"/>
              <w:rPr>
                <w:rFonts w:ascii="Times New Roman" w:hAnsi="Times New Roman"/>
                <w:sz w:val="14"/>
                <w:szCs w:val="14"/>
              </w:rPr>
            </w:pPr>
            <w:r w:rsidRPr="000D1437">
              <w:rPr>
                <w:sz w:val="14"/>
                <w:szCs w:val="14"/>
              </w:rPr>
              <w:t>NO</w:t>
            </w:r>
          </w:p>
        </w:tc>
        <w:tc>
          <w:tcPr>
            <w:tcW w:w="1179" w:type="dxa"/>
            <w:tcBorders>
              <w:top w:val="nil"/>
              <w:left w:val="nil"/>
              <w:bottom w:val="single" w:sz="4" w:space="0" w:color="auto"/>
              <w:right w:val="single" w:sz="4" w:space="0" w:color="auto"/>
            </w:tcBorders>
            <w:shd w:val="clear" w:color="000000" w:fill="CCFFFF"/>
            <w:vAlign w:val="bottom"/>
          </w:tcPr>
          <w:p w14:paraId="0225C306" w14:textId="48DB0FA9"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6114105B"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E505265"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Memo items:</w:t>
            </w:r>
          </w:p>
        </w:tc>
        <w:tc>
          <w:tcPr>
            <w:tcW w:w="1178" w:type="dxa"/>
            <w:tcBorders>
              <w:top w:val="nil"/>
              <w:left w:val="nil"/>
              <w:bottom w:val="single" w:sz="4" w:space="0" w:color="auto"/>
              <w:right w:val="single" w:sz="4" w:space="0" w:color="auto"/>
            </w:tcBorders>
            <w:shd w:val="clear" w:color="000000" w:fill="969696"/>
            <w:noWrap/>
            <w:vAlign w:val="bottom"/>
            <w:hideMark/>
          </w:tcPr>
          <w:p w14:paraId="6A75F608" w14:textId="16F49F7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969696"/>
            <w:noWrap/>
            <w:vAlign w:val="bottom"/>
            <w:hideMark/>
          </w:tcPr>
          <w:p w14:paraId="4A6C8F29" w14:textId="419730C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969696"/>
            <w:noWrap/>
            <w:vAlign w:val="bottom"/>
            <w:hideMark/>
          </w:tcPr>
          <w:p w14:paraId="41BCF435" w14:textId="6036851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969696"/>
            <w:noWrap/>
            <w:vAlign w:val="bottom"/>
            <w:hideMark/>
          </w:tcPr>
          <w:p w14:paraId="08F166B4" w14:textId="269C1AB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969696"/>
            <w:noWrap/>
            <w:vAlign w:val="bottom"/>
            <w:hideMark/>
          </w:tcPr>
          <w:p w14:paraId="2FFDCBE0" w14:textId="4DBAD9F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969696"/>
            <w:vAlign w:val="bottom"/>
          </w:tcPr>
          <w:p w14:paraId="36832AF7" w14:textId="1449BF7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C6D9649"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9C46FF6"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International bunkers</w:t>
            </w:r>
          </w:p>
        </w:tc>
        <w:tc>
          <w:tcPr>
            <w:tcW w:w="1178" w:type="dxa"/>
            <w:tcBorders>
              <w:top w:val="nil"/>
              <w:left w:val="nil"/>
              <w:bottom w:val="single" w:sz="4" w:space="0" w:color="auto"/>
              <w:right w:val="single" w:sz="4" w:space="0" w:color="auto"/>
            </w:tcBorders>
            <w:shd w:val="clear" w:color="000000" w:fill="CCFFFF"/>
            <w:noWrap/>
            <w:vAlign w:val="bottom"/>
            <w:hideMark/>
          </w:tcPr>
          <w:p w14:paraId="600828B3" w14:textId="6C43EC8F" w:rsidR="00543241" w:rsidRPr="000D1437" w:rsidRDefault="00543241" w:rsidP="00543241">
            <w:pPr>
              <w:jc w:val="right"/>
              <w:rPr>
                <w:rFonts w:ascii="Times New Roman" w:hAnsi="Times New Roman"/>
                <w:sz w:val="14"/>
                <w:szCs w:val="14"/>
              </w:rPr>
            </w:pPr>
            <w:r w:rsidRPr="000D1437">
              <w:rPr>
                <w:sz w:val="14"/>
                <w:szCs w:val="14"/>
              </w:rPr>
              <w:t>22259,19</w:t>
            </w:r>
          </w:p>
        </w:tc>
        <w:tc>
          <w:tcPr>
            <w:tcW w:w="1192" w:type="dxa"/>
            <w:tcBorders>
              <w:top w:val="nil"/>
              <w:left w:val="nil"/>
              <w:bottom w:val="single" w:sz="4" w:space="0" w:color="auto"/>
              <w:right w:val="single" w:sz="4" w:space="0" w:color="auto"/>
            </w:tcBorders>
            <w:shd w:val="clear" w:color="000000" w:fill="CCFFFF"/>
            <w:noWrap/>
            <w:vAlign w:val="bottom"/>
            <w:hideMark/>
          </w:tcPr>
          <w:p w14:paraId="340E504B" w14:textId="04D7151A" w:rsidR="00543241" w:rsidRPr="000D1437" w:rsidRDefault="00543241" w:rsidP="00543241">
            <w:pPr>
              <w:jc w:val="right"/>
              <w:rPr>
                <w:rFonts w:ascii="Times New Roman" w:hAnsi="Times New Roman"/>
                <w:sz w:val="14"/>
                <w:szCs w:val="14"/>
              </w:rPr>
            </w:pPr>
            <w:r w:rsidRPr="000D1437">
              <w:rPr>
                <w:sz w:val="14"/>
                <w:szCs w:val="14"/>
              </w:rPr>
              <w:t>22108,29</w:t>
            </w:r>
          </w:p>
        </w:tc>
        <w:tc>
          <w:tcPr>
            <w:tcW w:w="1178" w:type="dxa"/>
            <w:tcBorders>
              <w:top w:val="nil"/>
              <w:left w:val="nil"/>
              <w:bottom w:val="single" w:sz="4" w:space="0" w:color="auto"/>
              <w:right w:val="single" w:sz="4" w:space="0" w:color="auto"/>
            </w:tcBorders>
            <w:shd w:val="clear" w:color="000000" w:fill="CCFFFF"/>
            <w:noWrap/>
            <w:vAlign w:val="bottom"/>
            <w:hideMark/>
          </w:tcPr>
          <w:p w14:paraId="242B0AFD" w14:textId="4A513054" w:rsidR="00543241" w:rsidRPr="000D1437" w:rsidRDefault="00543241" w:rsidP="00543241">
            <w:pPr>
              <w:jc w:val="right"/>
              <w:rPr>
                <w:rFonts w:ascii="Times New Roman" w:hAnsi="Times New Roman"/>
                <w:sz w:val="14"/>
                <w:szCs w:val="14"/>
              </w:rPr>
            </w:pPr>
            <w:r w:rsidRPr="000D1437">
              <w:rPr>
                <w:sz w:val="14"/>
                <w:szCs w:val="14"/>
              </w:rPr>
              <w:t>22910,27</w:t>
            </w:r>
          </w:p>
        </w:tc>
        <w:tc>
          <w:tcPr>
            <w:tcW w:w="1164" w:type="dxa"/>
            <w:tcBorders>
              <w:top w:val="nil"/>
              <w:left w:val="nil"/>
              <w:bottom w:val="single" w:sz="4" w:space="0" w:color="auto"/>
              <w:right w:val="single" w:sz="4" w:space="0" w:color="auto"/>
            </w:tcBorders>
            <w:shd w:val="clear" w:color="000000" w:fill="CCFFFF"/>
            <w:noWrap/>
            <w:vAlign w:val="bottom"/>
            <w:hideMark/>
          </w:tcPr>
          <w:p w14:paraId="2251592A" w14:textId="27B7F4F6" w:rsidR="00543241" w:rsidRPr="000D1437" w:rsidRDefault="00543241" w:rsidP="00543241">
            <w:pPr>
              <w:jc w:val="right"/>
              <w:rPr>
                <w:rFonts w:ascii="Times New Roman" w:hAnsi="Times New Roman"/>
                <w:sz w:val="14"/>
                <w:szCs w:val="14"/>
              </w:rPr>
            </w:pPr>
            <w:r w:rsidRPr="000D1437">
              <w:rPr>
                <w:sz w:val="14"/>
                <w:szCs w:val="14"/>
              </w:rPr>
              <w:t>25098,53</w:t>
            </w:r>
          </w:p>
        </w:tc>
        <w:tc>
          <w:tcPr>
            <w:tcW w:w="1193" w:type="dxa"/>
            <w:tcBorders>
              <w:top w:val="nil"/>
              <w:left w:val="nil"/>
              <w:bottom w:val="single" w:sz="4" w:space="0" w:color="auto"/>
              <w:right w:val="single" w:sz="4" w:space="0" w:color="auto"/>
            </w:tcBorders>
            <w:shd w:val="clear" w:color="000000" w:fill="CCFFFF"/>
            <w:noWrap/>
            <w:vAlign w:val="bottom"/>
            <w:hideMark/>
          </w:tcPr>
          <w:p w14:paraId="25D65E27" w14:textId="573D512A" w:rsidR="00543241" w:rsidRPr="000D1437" w:rsidRDefault="00543241" w:rsidP="00543241">
            <w:pPr>
              <w:jc w:val="right"/>
              <w:rPr>
                <w:rFonts w:ascii="Times New Roman" w:hAnsi="Times New Roman"/>
                <w:sz w:val="14"/>
                <w:szCs w:val="14"/>
              </w:rPr>
            </w:pPr>
            <w:r w:rsidRPr="000D1437">
              <w:rPr>
                <w:sz w:val="14"/>
                <w:szCs w:val="14"/>
              </w:rPr>
              <w:t>24515,56</w:t>
            </w:r>
          </w:p>
        </w:tc>
        <w:tc>
          <w:tcPr>
            <w:tcW w:w="1179" w:type="dxa"/>
            <w:tcBorders>
              <w:top w:val="nil"/>
              <w:left w:val="nil"/>
              <w:bottom w:val="single" w:sz="4" w:space="0" w:color="auto"/>
              <w:right w:val="single" w:sz="4" w:space="0" w:color="auto"/>
            </w:tcBorders>
            <w:shd w:val="clear" w:color="000000" w:fill="CCFFFF"/>
            <w:vAlign w:val="bottom"/>
          </w:tcPr>
          <w:p w14:paraId="2BE6B2FE" w14:textId="665FA341" w:rsidR="00543241" w:rsidRPr="000D1437" w:rsidRDefault="00543241" w:rsidP="00543241">
            <w:pPr>
              <w:jc w:val="right"/>
              <w:rPr>
                <w:rFonts w:ascii="Times New Roman" w:hAnsi="Times New Roman"/>
                <w:sz w:val="14"/>
                <w:szCs w:val="14"/>
              </w:rPr>
            </w:pPr>
            <w:r w:rsidRPr="000D1437">
              <w:rPr>
                <w:sz w:val="14"/>
                <w:szCs w:val="14"/>
              </w:rPr>
              <w:t>25729,51</w:t>
            </w:r>
          </w:p>
        </w:tc>
      </w:tr>
      <w:tr w:rsidR="00543241" w:rsidRPr="00364545" w14:paraId="37886ACD"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32B4A75"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Aviation</w:t>
            </w:r>
          </w:p>
        </w:tc>
        <w:tc>
          <w:tcPr>
            <w:tcW w:w="1178" w:type="dxa"/>
            <w:tcBorders>
              <w:top w:val="nil"/>
              <w:left w:val="nil"/>
              <w:bottom w:val="single" w:sz="4" w:space="0" w:color="auto"/>
              <w:right w:val="single" w:sz="4" w:space="0" w:color="auto"/>
            </w:tcBorders>
            <w:shd w:val="clear" w:color="000000" w:fill="FFFFFF"/>
            <w:noWrap/>
            <w:vAlign w:val="bottom"/>
            <w:hideMark/>
          </w:tcPr>
          <w:p w14:paraId="4ED43F79" w14:textId="7E06DD23" w:rsidR="00543241" w:rsidRPr="000D1437" w:rsidRDefault="00543241" w:rsidP="00543241">
            <w:pPr>
              <w:jc w:val="right"/>
              <w:rPr>
                <w:rFonts w:ascii="Times New Roman" w:hAnsi="Times New Roman"/>
                <w:sz w:val="14"/>
                <w:szCs w:val="14"/>
              </w:rPr>
            </w:pPr>
            <w:r w:rsidRPr="000D1437">
              <w:rPr>
                <w:sz w:val="14"/>
                <w:szCs w:val="14"/>
              </w:rPr>
              <w:t>14234,37</w:t>
            </w:r>
          </w:p>
        </w:tc>
        <w:tc>
          <w:tcPr>
            <w:tcW w:w="1192" w:type="dxa"/>
            <w:tcBorders>
              <w:top w:val="nil"/>
              <w:left w:val="nil"/>
              <w:bottom w:val="single" w:sz="4" w:space="0" w:color="auto"/>
              <w:right w:val="single" w:sz="4" w:space="0" w:color="auto"/>
            </w:tcBorders>
            <w:shd w:val="clear" w:color="000000" w:fill="FFFFFF"/>
            <w:noWrap/>
            <w:vAlign w:val="bottom"/>
            <w:hideMark/>
          </w:tcPr>
          <w:p w14:paraId="3F93DE0C" w14:textId="685E7076" w:rsidR="00543241" w:rsidRPr="000D1437" w:rsidRDefault="00543241" w:rsidP="00543241">
            <w:pPr>
              <w:jc w:val="right"/>
              <w:rPr>
                <w:rFonts w:ascii="Times New Roman" w:hAnsi="Times New Roman"/>
                <w:sz w:val="14"/>
                <w:szCs w:val="14"/>
              </w:rPr>
            </w:pPr>
            <w:r w:rsidRPr="000D1437">
              <w:rPr>
                <w:sz w:val="14"/>
                <w:szCs w:val="14"/>
              </w:rPr>
              <w:t>14336,28</w:t>
            </w:r>
          </w:p>
        </w:tc>
        <w:tc>
          <w:tcPr>
            <w:tcW w:w="1178" w:type="dxa"/>
            <w:tcBorders>
              <w:top w:val="nil"/>
              <w:left w:val="nil"/>
              <w:bottom w:val="single" w:sz="4" w:space="0" w:color="auto"/>
              <w:right w:val="single" w:sz="4" w:space="0" w:color="auto"/>
            </w:tcBorders>
            <w:shd w:val="clear" w:color="000000" w:fill="FFFFFF"/>
            <w:noWrap/>
            <w:vAlign w:val="bottom"/>
            <w:hideMark/>
          </w:tcPr>
          <w:p w14:paraId="26BA4B14" w14:textId="0A0D5CAD" w:rsidR="00543241" w:rsidRPr="000D1437" w:rsidRDefault="00543241" w:rsidP="00543241">
            <w:pPr>
              <w:jc w:val="right"/>
              <w:rPr>
                <w:rFonts w:ascii="Times New Roman" w:hAnsi="Times New Roman"/>
                <w:sz w:val="14"/>
                <w:szCs w:val="14"/>
              </w:rPr>
            </w:pPr>
            <w:r w:rsidRPr="000D1437">
              <w:rPr>
                <w:sz w:val="14"/>
                <w:szCs w:val="14"/>
              </w:rPr>
              <w:t>14491,92</w:t>
            </w:r>
          </w:p>
        </w:tc>
        <w:tc>
          <w:tcPr>
            <w:tcW w:w="1164" w:type="dxa"/>
            <w:tcBorders>
              <w:top w:val="nil"/>
              <w:left w:val="nil"/>
              <w:bottom w:val="single" w:sz="4" w:space="0" w:color="auto"/>
              <w:right w:val="single" w:sz="4" w:space="0" w:color="auto"/>
            </w:tcBorders>
            <w:shd w:val="clear" w:color="000000" w:fill="FFFFFF"/>
            <w:noWrap/>
            <w:vAlign w:val="bottom"/>
            <w:hideMark/>
          </w:tcPr>
          <w:p w14:paraId="53DEF423" w14:textId="3DA90B5A" w:rsidR="00543241" w:rsidRPr="000D1437" w:rsidRDefault="00543241" w:rsidP="00543241">
            <w:pPr>
              <w:jc w:val="right"/>
              <w:rPr>
                <w:rFonts w:ascii="Times New Roman" w:hAnsi="Times New Roman"/>
                <w:sz w:val="14"/>
                <w:szCs w:val="14"/>
              </w:rPr>
            </w:pPr>
            <w:r w:rsidRPr="000D1437">
              <w:rPr>
                <w:sz w:val="14"/>
                <w:szCs w:val="14"/>
              </w:rPr>
              <w:t>15493,77</w:t>
            </w:r>
          </w:p>
        </w:tc>
        <w:tc>
          <w:tcPr>
            <w:tcW w:w="1193" w:type="dxa"/>
            <w:tcBorders>
              <w:top w:val="nil"/>
              <w:left w:val="nil"/>
              <w:bottom w:val="single" w:sz="4" w:space="0" w:color="auto"/>
              <w:right w:val="single" w:sz="4" w:space="0" w:color="auto"/>
            </w:tcBorders>
            <w:shd w:val="clear" w:color="000000" w:fill="FFFFFF"/>
            <w:noWrap/>
            <w:vAlign w:val="bottom"/>
            <w:hideMark/>
          </w:tcPr>
          <w:p w14:paraId="2B48D38F" w14:textId="19253F82" w:rsidR="00543241" w:rsidRPr="000D1437" w:rsidRDefault="00543241" w:rsidP="00543241">
            <w:pPr>
              <w:jc w:val="right"/>
              <w:rPr>
                <w:rFonts w:ascii="Times New Roman" w:hAnsi="Times New Roman"/>
                <w:sz w:val="14"/>
                <w:szCs w:val="14"/>
              </w:rPr>
            </w:pPr>
            <w:r w:rsidRPr="000D1437">
              <w:rPr>
                <w:sz w:val="14"/>
                <w:szCs w:val="14"/>
              </w:rPr>
              <w:t>15732,39</w:t>
            </w:r>
          </w:p>
        </w:tc>
        <w:tc>
          <w:tcPr>
            <w:tcW w:w="1179" w:type="dxa"/>
            <w:tcBorders>
              <w:top w:val="nil"/>
              <w:left w:val="nil"/>
              <w:bottom w:val="single" w:sz="4" w:space="0" w:color="auto"/>
              <w:right w:val="single" w:sz="4" w:space="0" w:color="auto"/>
            </w:tcBorders>
            <w:shd w:val="clear" w:color="000000" w:fill="FFFFFF"/>
            <w:vAlign w:val="bottom"/>
          </w:tcPr>
          <w:p w14:paraId="23E8DD8F" w14:textId="45022077" w:rsidR="00543241" w:rsidRPr="000D1437" w:rsidRDefault="00543241" w:rsidP="00543241">
            <w:pPr>
              <w:jc w:val="right"/>
              <w:rPr>
                <w:rFonts w:ascii="Times New Roman" w:hAnsi="Times New Roman"/>
                <w:sz w:val="14"/>
                <w:szCs w:val="14"/>
              </w:rPr>
            </w:pPr>
            <w:r w:rsidRPr="000D1437">
              <w:rPr>
                <w:sz w:val="14"/>
                <w:szCs w:val="14"/>
              </w:rPr>
              <w:t>16596,22</w:t>
            </w:r>
          </w:p>
        </w:tc>
      </w:tr>
      <w:tr w:rsidR="00543241" w:rsidRPr="00364545" w14:paraId="2157280B"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77608A0"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Navigation</w:t>
            </w:r>
          </w:p>
        </w:tc>
        <w:tc>
          <w:tcPr>
            <w:tcW w:w="1178" w:type="dxa"/>
            <w:tcBorders>
              <w:top w:val="nil"/>
              <w:left w:val="nil"/>
              <w:bottom w:val="single" w:sz="4" w:space="0" w:color="auto"/>
              <w:right w:val="single" w:sz="4" w:space="0" w:color="auto"/>
            </w:tcBorders>
            <w:shd w:val="clear" w:color="000000" w:fill="FFFFFF"/>
            <w:noWrap/>
            <w:vAlign w:val="bottom"/>
            <w:hideMark/>
          </w:tcPr>
          <w:p w14:paraId="5635A6E8" w14:textId="7DA43E95" w:rsidR="00543241" w:rsidRPr="000D1437" w:rsidRDefault="00543241" w:rsidP="00543241">
            <w:pPr>
              <w:jc w:val="right"/>
              <w:rPr>
                <w:rFonts w:ascii="Times New Roman" w:hAnsi="Times New Roman"/>
                <w:sz w:val="14"/>
                <w:szCs w:val="14"/>
              </w:rPr>
            </w:pPr>
            <w:r w:rsidRPr="000D1437">
              <w:rPr>
                <w:sz w:val="14"/>
                <w:szCs w:val="14"/>
              </w:rPr>
              <w:t>8024,81</w:t>
            </w:r>
          </w:p>
        </w:tc>
        <w:tc>
          <w:tcPr>
            <w:tcW w:w="1192" w:type="dxa"/>
            <w:tcBorders>
              <w:top w:val="nil"/>
              <w:left w:val="nil"/>
              <w:bottom w:val="single" w:sz="4" w:space="0" w:color="auto"/>
              <w:right w:val="single" w:sz="4" w:space="0" w:color="auto"/>
            </w:tcBorders>
            <w:shd w:val="clear" w:color="000000" w:fill="FFFFFF"/>
            <w:noWrap/>
            <w:vAlign w:val="bottom"/>
            <w:hideMark/>
          </w:tcPr>
          <w:p w14:paraId="635108BE" w14:textId="2101D3AA" w:rsidR="00543241" w:rsidRPr="000D1437" w:rsidRDefault="00543241" w:rsidP="00543241">
            <w:pPr>
              <w:jc w:val="right"/>
              <w:rPr>
                <w:rFonts w:ascii="Times New Roman" w:hAnsi="Times New Roman"/>
                <w:sz w:val="14"/>
                <w:szCs w:val="14"/>
              </w:rPr>
            </w:pPr>
            <w:r w:rsidRPr="000D1437">
              <w:rPr>
                <w:sz w:val="14"/>
                <w:szCs w:val="14"/>
              </w:rPr>
              <w:t>7772,01</w:t>
            </w:r>
          </w:p>
        </w:tc>
        <w:tc>
          <w:tcPr>
            <w:tcW w:w="1178" w:type="dxa"/>
            <w:tcBorders>
              <w:top w:val="nil"/>
              <w:left w:val="nil"/>
              <w:bottom w:val="single" w:sz="4" w:space="0" w:color="auto"/>
              <w:right w:val="single" w:sz="4" w:space="0" w:color="auto"/>
            </w:tcBorders>
            <w:shd w:val="clear" w:color="000000" w:fill="FFFFFF"/>
            <w:noWrap/>
            <w:vAlign w:val="bottom"/>
            <w:hideMark/>
          </w:tcPr>
          <w:p w14:paraId="36C94188" w14:textId="5E21EC36" w:rsidR="00543241" w:rsidRPr="000D1437" w:rsidRDefault="00543241" w:rsidP="00543241">
            <w:pPr>
              <w:jc w:val="right"/>
              <w:rPr>
                <w:rFonts w:ascii="Times New Roman" w:hAnsi="Times New Roman"/>
                <w:sz w:val="14"/>
                <w:szCs w:val="14"/>
              </w:rPr>
            </w:pPr>
            <w:r w:rsidRPr="000D1437">
              <w:rPr>
                <w:sz w:val="14"/>
                <w:szCs w:val="14"/>
              </w:rPr>
              <w:t>8418,35</w:t>
            </w:r>
          </w:p>
        </w:tc>
        <w:tc>
          <w:tcPr>
            <w:tcW w:w="1164" w:type="dxa"/>
            <w:tcBorders>
              <w:top w:val="nil"/>
              <w:left w:val="nil"/>
              <w:bottom w:val="single" w:sz="4" w:space="0" w:color="auto"/>
              <w:right w:val="single" w:sz="4" w:space="0" w:color="auto"/>
            </w:tcBorders>
            <w:shd w:val="clear" w:color="000000" w:fill="FFFFFF"/>
            <w:noWrap/>
            <w:vAlign w:val="bottom"/>
            <w:hideMark/>
          </w:tcPr>
          <w:p w14:paraId="61E3D672" w14:textId="566FAA15" w:rsidR="00543241" w:rsidRPr="000D1437" w:rsidRDefault="00543241" w:rsidP="00543241">
            <w:pPr>
              <w:jc w:val="right"/>
              <w:rPr>
                <w:rFonts w:ascii="Times New Roman" w:hAnsi="Times New Roman"/>
                <w:sz w:val="14"/>
                <w:szCs w:val="14"/>
              </w:rPr>
            </w:pPr>
            <w:r w:rsidRPr="000D1437">
              <w:rPr>
                <w:sz w:val="14"/>
                <w:szCs w:val="14"/>
              </w:rPr>
              <w:t>9604,76</w:t>
            </w:r>
          </w:p>
        </w:tc>
        <w:tc>
          <w:tcPr>
            <w:tcW w:w="1193" w:type="dxa"/>
            <w:tcBorders>
              <w:top w:val="nil"/>
              <w:left w:val="nil"/>
              <w:bottom w:val="single" w:sz="4" w:space="0" w:color="auto"/>
              <w:right w:val="single" w:sz="4" w:space="0" w:color="auto"/>
            </w:tcBorders>
            <w:shd w:val="clear" w:color="000000" w:fill="FFFFFF"/>
            <w:noWrap/>
            <w:vAlign w:val="bottom"/>
            <w:hideMark/>
          </w:tcPr>
          <w:p w14:paraId="7CA6BDA9" w14:textId="14DCD900" w:rsidR="00543241" w:rsidRPr="000D1437" w:rsidRDefault="00543241" w:rsidP="00543241">
            <w:pPr>
              <w:jc w:val="right"/>
              <w:rPr>
                <w:rFonts w:ascii="Times New Roman" w:hAnsi="Times New Roman"/>
                <w:sz w:val="14"/>
                <w:szCs w:val="14"/>
              </w:rPr>
            </w:pPr>
            <w:r w:rsidRPr="000D1437">
              <w:rPr>
                <w:sz w:val="14"/>
                <w:szCs w:val="14"/>
              </w:rPr>
              <w:t>8783,17</w:t>
            </w:r>
          </w:p>
        </w:tc>
        <w:tc>
          <w:tcPr>
            <w:tcW w:w="1179" w:type="dxa"/>
            <w:tcBorders>
              <w:top w:val="nil"/>
              <w:left w:val="nil"/>
              <w:bottom w:val="single" w:sz="4" w:space="0" w:color="auto"/>
              <w:right w:val="single" w:sz="4" w:space="0" w:color="auto"/>
            </w:tcBorders>
            <w:shd w:val="clear" w:color="000000" w:fill="FFFFFF"/>
            <w:vAlign w:val="bottom"/>
          </w:tcPr>
          <w:p w14:paraId="23C6EBF7" w14:textId="777D81A7" w:rsidR="00543241" w:rsidRPr="000D1437" w:rsidRDefault="00543241" w:rsidP="00543241">
            <w:pPr>
              <w:jc w:val="right"/>
              <w:rPr>
                <w:rFonts w:ascii="Times New Roman" w:hAnsi="Times New Roman"/>
                <w:sz w:val="14"/>
                <w:szCs w:val="14"/>
              </w:rPr>
            </w:pPr>
            <w:r w:rsidRPr="000D1437">
              <w:rPr>
                <w:sz w:val="14"/>
                <w:szCs w:val="14"/>
              </w:rPr>
              <w:t>9133,28</w:t>
            </w:r>
          </w:p>
        </w:tc>
      </w:tr>
      <w:tr w:rsidR="00543241" w:rsidRPr="00364545" w14:paraId="3798C661"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7A7E226"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Multilateral operations</w:t>
            </w:r>
          </w:p>
        </w:tc>
        <w:tc>
          <w:tcPr>
            <w:tcW w:w="1178" w:type="dxa"/>
            <w:tcBorders>
              <w:top w:val="nil"/>
              <w:left w:val="nil"/>
              <w:bottom w:val="single" w:sz="4" w:space="0" w:color="auto"/>
              <w:right w:val="single" w:sz="4" w:space="0" w:color="auto"/>
            </w:tcBorders>
            <w:shd w:val="clear" w:color="000000" w:fill="FFFFFF"/>
            <w:noWrap/>
            <w:vAlign w:val="bottom"/>
            <w:hideMark/>
          </w:tcPr>
          <w:p w14:paraId="6E9B8F76" w14:textId="24E3EDC3" w:rsidR="00543241" w:rsidRPr="000D1437" w:rsidRDefault="00543241" w:rsidP="00543241">
            <w:pPr>
              <w:jc w:val="right"/>
              <w:rPr>
                <w:rFonts w:ascii="Times New Roman" w:hAnsi="Times New Roman"/>
                <w:sz w:val="14"/>
                <w:szCs w:val="14"/>
              </w:rPr>
            </w:pPr>
            <w:r w:rsidRPr="000D1437">
              <w:rPr>
                <w:sz w:val="14"/>
                <w:szCs w:val="14"/>
              </w:rPr>
              <w:t>1,32</w:t>
            </w:r>
          </w:p>
        </w:tc>
        <w:tc>
          <w:tcPr>
            <w:tcW w:w="1192" w:type="dxa"/>
            <w:tcBorders>
              <w:top w:val="nil"/>
              <w:left w:val="nil"/>
              <w:bottom w:val="single" w:sz="4" w:space="0" w:color="auto"/>
              <w:right w:val="single" w:sz="4" w:space="0" w:color="auto"/>
            </w:tcBorders>
            <w:shd w:val="clear" w:color="000000" w:fill="FFFFFF"/>
            <w:noWrap/>
            <w:vAlign w:val="bottom"/>
            <w:hideMark/>
          </w:tcPr>
          <w:p w14:paraId="60DBA2E4" w14:textId="572522B0" w:rsidR="00543241" w:rsidRPr="000D1437" w:rsidRDefault="00543241" w:rsidP="00543241">
            <w:pPr>
              <w:jc w:val="right"/>
              <w:rPr>
                <w:rFonts w:ascii="Times New Roman" w:hAnsi="Times New Roman"/>
                <w:sz w:val="14"/>
                <w:szCs w:val="14"/>
              </w:rPr>
            </w:pPr>
            <w:r w:rsidRPr="000D1437">
              <w:rPr>
                <w:sz w:val="14"/>
                <w:szCs w:val="14"/>
              </w:rPr>
              <w:t>1,90</w:t>
            </w:r>
          </w:p>
        </w:tc>
        <w:tc>
          <w:tcPr>
            <w:tcW w:w="1178" w:type="dxa"/>
            <w:tcBorders>
              <w:top w:val="nil"/>
              <w:left w:val="nil"/>
              <w:bottom w:val="single" w:sz="4" w:space="0" w:color="auto"/>
              <w:right w:val="single" w:sz="4" w:space="0" w:color="auto"/>
            </w:tcBorders>
            <w:shd w:val="clear" w:color="000000" w:fill="FFFFFF"/>
            <w:noWrap/>
            <w:vAlign w:val="bottom"/>
            <w:hideMark/>
          </w:tcPr>
          <w:p w14:paraId="6504FCF0" w14:textId="46B09367" w:rsidR="00543241" w:rsidRPr="000D1437" w:rsidRDefault="00543241" w:rsidP="00543241">
            <w:pPr>
              <w:jc w:val="right"/>
              <w:rPr>
                <w:rFonts w:ascii="Times New Roman" w:hAnsi="Times New Roman"/>
                <w:sz w:val="14"/>
                <w:szCs w:val="14"/>
              </w:rPr>
            </w:pPr>
            <w:r w:rsidRPr="000D1437">
              <w:rPr>
                <w:sz w:val="14"/>
                <w:szCs w:val="14"/>
              </w:rPr>
              <w:t>0,81</w:t>
            </w:r>
          </w:p>
        </w:tc>
        <w:tc>
          <w:tcPr>
            <w:tcW w:w="1164" w:type="dxa"/>
            <w:tcBorders>
              <w:top w:val="nil"/>
              <w:left w:val="nil"/>
              <w:bottom w:val="single" w:sz="4" w:space="0" w:color="auto"/>
              <w:right w:val="single" w:sz="4" w:space="0" w:color="auto"/>
            </w:tcBorders>
            <w:shd w:val="clear" w:color="000000" w:fill="FFFFFF"/>
            <w:noWrap/>
            <w:vAlign w:val="bottom"/>
            <w:hideMark/>
          </w:tcPr>
          <w:p w14:paraId="0B68638C" w14:textId="7F13AB9C" w:rsidR="00543241" w:rsidRPr="000D1437" w:rsidRDefault="00543241" w:rsidP="00543241">
            <w:pPr>
              <w:jc w:val="right"/>
              <w:rPr>
                <w:rFonts w:ascii="Times New Roman" w:hAnsi="Times New Roman"/>
                <w:sz w:val="14"/>
                <w:szCs w:val="14"/>
              </w:rPr>
            </w:pPr>
            <w:r w:rsidRPr="000D1437">
              <w:rPr>
                <w:sz w:val="14"/>
                <w:szCs w:val="14"/>
              </w:rPr>
              <w:t>0,64</w:t>
            </w:r>
          </w:p>
        </w:tc>
        <w:tc>
          <w:tcPr>
            <w:tcW w:w="1193" w:type="dxa"/>
            <w:tcBorders>
              <w:top w:val="nil"/>
              <w:left w:val="nil"/>
              <w:bottom w:val="single" w:sz="4" w:space="0" w:color="auto"/>
              <w:right w:val="single" w:sz="4" w:space="0" w:color="auto"/>
            </w:tcBorders>
            <w:shd w:val="clear" w:color="000000" w:fill="FFFFFF"/>
            <w:noWrap/>
            <w:vAlign w:val="bottom"/>
            <w:hideMark/>
          </w:tcPr>
          <w:p w14:paraId="3EBFBBF7" w14:textId="30AB6DAB" w:rsidR="00543241" w:rsidRPr="000D1437" w:rsidRDefault="00543241" w:rsidP="00543241">
            <w:pPr>
              <w:jc w:val="right"/>
              <w:rPr>
                <w:rFonts w:ascii="Times New Roman" w:hAnsi="Times New Roman"/>
                <w:sz w:val="14"/>
                <w:szCs w:val="14"/>
              </w:rPr>
            </w:pPr>
            <w:r w:rsidRPr="000D1437">
              <w:rPr>
                <w:sz w:val="14"/>
                <w:szCs w:val="14"/>
              </w:rPr>
              <w:t>1,07</w:t>
            </w:r>
          </w:p>
        </w:tc>
        <w:tc>
          <w:tcPr>
            <w:tcW w:w="1179" w:type="dxa"/>
            <w:tcBorders>
              <w:top w:val="nil"/>
              <w:left w:val="nil"/>
              <w:bottom w:val="single" w:sz="4" w:space="0" w:color="auto"/>
              <w:right w:val="single" w:sz="4" w:space="0" w:color="auto"/>
            </w:tcBorders>
            <w:shd w:val="clear" w:color="000000" w:fill="FFFFFF"/>
            <w:vAlign w:val="bottom"/>
          </w:tcPr>
          <w:p w14:paraId="5C9ABEDB" w14:textId="3B9B0579" w:rsidR="00543241" w:rsidRPr="000D1437" w:rsidRDefault="00543241" w:rsidP="00543241">
            <w:pPr>
              <w:jc w:val="right"/>
              <w:rPr>
                <w:rFonts w:ascii="Times New Roman" w:hAnsi="Times New Roman"/>
                <w:sz w:val="14"/>
                <w:szCs w:val="14"/>
              </w:rPr>
            </w:pPr>
            <w:r w:rsidRPr="000D1437">
              <w:rPr>
                <w:sz w:val="14"/>
                <w:szCs w:val="14"/>
              </w:rPr>
              <w:t>1,07</w:t>
            </w:r>
          </w:p>
        </w:tc>
      </w:tr>
      <w:tr w:rsidR="00543241" w:rsidRPr="00364545" w14:paraId="2F37FFDF"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AFF4383" w14:textId="3EB2E53D"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178" w:type="dxa"/>
            <w:tcBorders>
              <w:top w:val="nil"/>
              <w:left w:val="nil"/>
              <w:bottom w:val="single" w:sz="4" w:space="0" w:color="auto"/>
              <w:right w:val="single" w:sz="4" w:space="0" w:color="auto"/>
            </w:tcBorders>
            <w:shd w:val="clear" w:color="000000" w:fill="FFFFFF"/>
            <w:noWrap/>
            <w:vAlign w:val="bottom"/>
            <w:hideMark/>
          </w:tcPr>
          <w:p w14:paraId="2DCDF559" w14:textId="452DD051" w:rsidR="00543241" w:rsidRPr="000D1437" w:rsidRDefault="00543241" w:rsidP="00543241">
            <w:pPr>
              <w:jc w:val="right"/>
              <w:rPr>
                <w:rFonts w:ascii="Times New Roman" w:hAnsi="Times New Roman"/>
                <w:sz w:val="14"/>
                <w:szCs w:val="14"/>
              </w:rPr>
            </w:pPr>
            <w:r w:rsidRPr="000D1437">
              <w:rPr>
                <w:sz w:val="14"/>
                <w:szCs w:val="14"/>
              </w:rPr>
              <w:t>44015,73</w:t>
            </w:r>
          </w:p>
        </w:tc>
        <w:tc>
          <w:tcPr>
            <w:tcW w:w="1192" w:type="dxa"/>
            <w:tcBorders>
              <w:top w:val="nil"/>
              <w:left w:val="nil"/>
              <w:bottom w:val="single" w:sz="4" w:space="0" w:color="auto"/>
              <w:right w:val="single" w:sz="4" w:space="0" w:color="auto"/>
            </w:tcBorders>
            <w:shd w:val="clear" w:color="000000" w:fill="FFFFFF"/>
            <w:noWrap/>
            <w:vAlign w:val="bottom"/>
            <w:hideMark/>
          </w:tcPr>
          <w:p w14:paraId="514A1B71" w14:textId="099D99B5" w:rsidR="00543241" w:rsidRPr="000D1437" w:rsidRDefault="00543241" w:rsidP="00543241">
            <w:pPr>
              <w:jc w:val="right"/>
              <w:rPr>
                <w:rFonts w:ascii="Times New Roman" w:hAnsi="Times New Roman"/>
                <w:sz w:val="14"/>
                <w:szCs w:val="14"/>
              </w:rPr>
            </w:pPr>
            <w:r w:rsidRPr="000D1437">
              <w:rPr>
                <w:sz w:val="14"/>
                <w:szCs w:val="14"/>
              </w:rPr>
              <w:t>42769,69</w:t>
            </w:r>
          </w:p>
        </w:tc>
        <w:tc>
          <w:tcPr>
            <w:tcW w:w="1178" w:type="dxa"/>
            <w:tcBorders>
              <w:top w:val="nil"/>
              <w:left w:val="nil"/>
              <w:bottom w:val="single" w:sz="4" w:space="0" w:color="auto"/>
              <w:right w:val="single" w:sz="4" w:space="0" w:color="auto"/>
            </w:tcBorders>
            <w:shd w:val="clear" w:color="000000" w:fill="FFFFFF"/>
            <w:noWrap/>
            <w:vAlign w:val="bottom"/>
            <w:hideMark/>
          </w:tcPr>
          <w:p w14:paraId="230B9C2A" w14:textId="7E1E65E7" w:rsidR="00543241" w:rsidRPr="000D1437" w:rsidRDefault="00543241" w:rsidP="00543241">
            <w:pPr>
              <w:jc w:val="right"/>
              <w:rPr>
                <w:rFonts w:ascii="Times New Roman" w:hAnsi="Times New Roman"/>
                <w:sz w:val="14"/>
                <w:szCs w:val="14"/>
              </w:rPr>
            </w:pPr>
            <w:r w:rsidRPr="000D1437">
              <w:rPr>
                <w:sz w:val="14"/>
                <w:szCs w:val="14"/>
              </w:rPr>
              <w:t>45301,43</w:t>
            </w:r>
          </w:p>
        </w:tc>
        <w:tc>
          <w:tcPr>
            <w:tcW w:w="1164" w:type="dxa"/>
            <w:tcBorders>
              <w:top w:val="nil"/>
              <w:left w:val="nil"/>
              <w:bottom w:val="single" w:sz="4" w:space="0" w:color="auto"/>
              <w:right w:val="single" w:sz="4" w:space="0" w:color="auto"/>
            </w:tcBorders>
            <w:shd w:val="clear" w:color="000000" w:fill="FFFFFF"/>
            <w:noWrap/>
            <w:vAlign w:val="bottom"/>
            <w:hideMark/>
          </w:tcPr>
          <w:p w14:paraId="0F72B022" w14:textId="6F38551D" w:rsidR="00543241" w:rsidRPr="000D1437" w:rsidRDefault="00543241" w:rsidP="00543241">
            <w:pPr>
              <w:jc w:val="right"/>
              <w:rPr>
                <w:rFonts w:ascii="Times New Roman" w:hAnsi="Times New Roman"/>
                <w:sz w:val="14"/>
                <w:szCs w:val="14"/>
              </w:rPr>
            </w:pPr>
            <w:r w:rsidRPr="000D1437">
              <w:rPr>
                <w:sz w:val="14"/>
                <w:szCs w:val="14"/>
              </w:rPr>
              <w:t>46030,75</w:t>
            </w:r>
          </w:p>
        </w:tc>
        <w:tc>
          <w:tcPr>
            <w:tcW w:w="1193" w:type="dxa"/>
            <w:tcBorders>
              <w:top w:val="nil"/>
              <w:left w:val="nil"/>
              <w:bottom w:val="single" w:sz="4" w:space="0" w:color="auto"/>
              <w:right w:val="single" w:sz="4" w:space="0" w:color="auto"/>
            </w:tcBorders>
            <w:shd w:val="clear" w:color="000000" w:fill="FFFFFF"/>
            <w:noWrap/>
            <w:vAlign w:val="bottom"/>
            <w:hideMark/>
          </w:tcPr>
          <w:p w14:paraId="3DDBB6A8" w14:textId="5F261FA9" w:rsidR="00543241" w:rsidRPr="000D1437" w:rsidRDefault="00543241" w:rsidP="00543241">
            <w:pPr>
              <w:jc w:val="right"/>
              <w:rPr>
                <w:rFonts w:ascii="Times New Roman" w:hAnsi="Times New Roman"/>
                <w:sz w:val="14"/>
                <w:szCs w:val="14"/>
              </w:rPr>
            </w:pPr>
            <w:r w:rsidRPr="000D1437">
              <w:rPr>
                <w:sz w:val="14"/>
                <w:szCs w:val="14"/>
              </w:rPr>
              <w:t>48218,58</w:t>
            </w:r>
          </w:p>
        </w:tc>
        <w:tc>
          <w:tcPr>
            <w:tcW w:w="1179" w:type="dxa"/>
            <w:tcBorders>
              <w:top w:val="nil"/>
              <w:left w:val="nil"/>
              <w:bottom w:val="single" w:sz="4" w:space="0" w:color="auto"/>
              <w:right w:val="single" w:sz="4" w:space="0" w:color="auto"/>
            </w:tcBorders>
            <w:shd w:val="clear" w:color="000000" w:fill="FFFFFF"/>
            <w:vAlign w:val="bottom"/>
          </w:tcPr>
          <w:p w14:paraId="30FB2E9D" w14:textId="54998669" w:rsidR="00543241" w:rsidRPr="000D1437" w:rsidRDefault="00543241" w:rsidP="00543241">
            <w:pPr>
              <w:jc w:val="right"/>
              <w:rPr>
                <w:rFonts w:ascii="Times New Roman" w:hAnsi="Times New Roman"/>
                <w:sz w:val="14"/>
                <w:szCs w:val="14"/>
              </w:rPr>
            </w:pPr>
            <w:r w:rsidRPr="000D1437">
              <w:rPr>
                <w:sz w:val="14"/>
                <w:szCs w:val="14"/>
              </w:rPr>
              <w:t>44592,42</w:t>
            </w:r>
          </w:p>
        </w:tc>
      </w:tr>
      <w:tr w:rsidR="00543241" w:rsidRPr="00364545" w14:paraId="5016935D"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25FE8C1" w14:textId="5F199B1A"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178" w:type="dxa"/>
            <w:tcBorders>
              <w:top w:val="nil"/>
              <w:left w:val="nil"/>
              <w:bottom w:val="single" w:sz="4" w:space="0" w:color="auto"/>
              <w:right w:val="single" w:sz="4" w:space="0" w:color="auto"/>
            </w:tcBorders>
            <w:shd w:val="clear" w:color="000000" w:fill="FFFFFF"/>
            <w:noWrap/>
            <w:vAlign w:val="bottom"/>
            <w:hideMark/>
          </w:tcPr>
          <w:p w14:paraId="0470E652" w14:textId="20C65931" w:rsidR="00543241" w:rsidRPr="000D1437" w:rsidRDefault="00543241" w:rsidP="00543241">
            <w:pPr>
              <w:jc w:val="right"/>
              <w:rPr>
                <w:rFonts w:ascii="Times New Roman" w:hAnsi="Times New Roman"/>
                <w:sz w:val="14"/>
                <w:szCs w:val="14"/>
              </w:rPr>
            </w:pPr>
            <w:r w:rsidRPr="000D1437">
              <w:rPr>
                <w:sz w:val="14"/>
                <w:szCs w:val="14"/>
              </w:rPr>
              <w:t>NO,NA</w:t>
            </w:r>
          </w:p>
        </w:tc>
        <w:tc>
          <w:tcPr>
            <w:tcW w:w="1192" w:type="dxa"/>
            <w:tcBorders>
              <w:top w:val="nil"/>
              <w:left w:val="nil"/>
              <w:bottom w:val="single" w:sz="4" w:space="0" w:color="auto"/>
              <w:right w:val="single" w:sz="4" w:space="0" w:color="auto"/>
            </w:tcBorders>
            <w:shd w:val="clear" w:color="000000" w:fill="FFFFFF"/>
            <w:noWrap/>
            <w:vAlign w:val="bottom"/>
            <w:hideMark/>
          </w:tcPr>
          <w:p w14:paraId="7A407FB9" w14:textId="7458679E" w:rsidR="00543241" w:rsidRPr="000D1437" w:rsidRDefault="00543241" w:rsidP="00543241">
            <w:pPr>
              <w:jc w:val="right"/>
              <w:rPr>
                <w:rFonts w:ascii="Times New Roman" w:hAnsi="Times New Roman"/>
                <w:sz w:val="14"/>
                <w:szCs w:val="14"/>
              </w:rPr>
            </w:pPr>
            <w:r w:rsidRPr="000D1437">
              <w:rPr>
                <w:sz w:val="14"/>
                <w:szCs w:val="14"/>
              </w:rPr>
              <w:t>NO,NA</w:t>
            </w:r>
          </w:p>
        </w:tc>
        <w:tc>
          <w:tcPr>
            <w:tcW w:w="1178" w:type="dxa"/>
            <w:tcBorders>
              <w:top w:val="nil"/>
              <w:left w:val="nil"/>
              <w:bottom w:val="single" w:sz="4" w:space="0" w:color="auto"/>
              <w:right w:val="single" w:sz="4" w:space="0" w:color="auto"/>
            </w:tcBorders>
            <w:shd w:val="clear" w:color="000000" w:fill="FFFFFF"/>
            <w:noWrap/>
            <w:vAlign w:val="bottom"/>
            <w:hideMark/>
          </w:tcPr>
          <w:p w14:paraId="1770D54B" w14:textId="7E8C08CA" w:rsidR="00543241" w:rsidRPr="000D1437" w:rsidRDefault="00543241" w:rsidP="00543241">
            <w:pPr>
              <w:jc w:val="right"/>
              <w:rPr>
                <w:rFonts w:ascii="Times New Roman" w:hAnsi="Times New Roman"/>
                <w:sz w:val="14"/>
                <w:szCs w:val="14"/>
              </w:rPr>
            </w:pPr>
            <w:r w:rsidRPr="000D1437">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5EB3661A" w14:textId="5D3A18E7"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2360D4B4" w14:textId="18DA48F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54CCCE63" w14:textId="092CCBB3"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7D6CF433"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D204A1A"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178" w:type="dxa"/>
            <w:tcBorders>
              <w:top w:val="nil"/>
              <w:left w:val="nil"/>
              <w:bottom w:val="single" w:sz="4" w:space="0" w:color="auto"/>
              <w:right w:val="single" w:sz="4" w:space="0" w:color="auto"/>
            </w:tcBorders>
            <w:shd w:val="clear" w:color="000000" w:fill="FFFFFF"/>
            <w:noWrap/>
            <w:vAlign w:val="bottom"/>
            <w:hideMark/>
          </w:tcPr>
          <w:p w14:paraId="2AC78FD4" w14:textId="168F4176" w:rsidR="00543241" w:rsidRPr="000D1437" w:rsidRDefault="00543241" w:rsidP="00543241">
            <w:pPr>
              <w:jc w:val="right"/>
              <w:rPr>
                <w:rFonts w:ascii="Times New Roman" w:hAnsi="Times New Roman"/>
                <w:sz w:val="14"/>
                <w:szCs w:val="14"/>
              </w:rPr>
            </w:pPr>
            <w:r w:rsidRPr="000D1437">
              <w:rPr>
                <w:sz w:val="14"/>
                <w:szCs w:val="14"/>
              </w:rPr>
              <w:t>NE</w:t>
            </w:r>
          </w:p>
        </w:tc>
        <w:tc>
          <w:tcPr>
            <w:tcW w:w="1192" w:type="dxa"/>
            <w:tcBorders>
              <w:top w:val="nil"/>
              <w:left w:val="nil"/>
              <w:bottom w:val="single" w:sz="4" w:space="0" w:color="auto"/>
              <w:right w:val="single" w:sz="4" w:space="0" w:color="auto"/>
            </w:tcBorders>
            <w:shd w:val="clear" w:color="000000" w:fill="FFFFFF"/>
            <w:noWrap/>
            <w:vAlign w:val="bottom"/>
            <w:hideMark/>
          </w:tcPr>
          <w:p w14:paraId="44E57D53" w14:textId="10CEFE86" w:rsidR="00543241" w:rsidRPr="000D1437" w:rsidRDefault="00543241" w:rsidP="00543241">
            <w:pPr>
              <w:jc w:val="right"/>
              <w:rPr>
                <w:rFonts w:ascii="Times New Roman" w:hAnsi="Times New Roman"/>
                <w:sz w:val="14"/>
                <w:szCs w:val="14"/>
              </w:rPr>
            </w:pPr>
            <w:r w:rsidRPr="000D1437">
              <w:rPr>
                <w:sz w:val="14"/>
                <w:szCs w:val="14"/>
              </w:rPr>
              <w:t>NE</w:t>
            </w:r>
          </w:p>
        </w:tc>
        <w:tc>
          <w:tcPr>
            <w:tcW w:w="1178" w:type="dxa"/>
            <w:tcBorders>
              <w:top w:val="nil"/>
              <w:left w:val="nil"/>
              <w:bottom w:val="single" w:sz="4" w:space="0" w:color="auto"/>
              <w:right w:val="single" w:sz="4" w:space="0" w:color="auto"/>
            </w:tcBorders>
            <w:shd w:val="clear" w:color="000000" w:fill="FFFFFF"/>
            <w:noWrap/>
            <w:vAlign w:val="bottom"/>
            <w:hideMark/>
          </w:tcPr>
          <w:p w14:paraId="3305B3AB" w14:textId="70070610" w:rsidR="00543241" w:rsidRPr="000D1437" w:rsidRDefault="00543241" w:rsidP="00543241">
            <w:pPr>
              <w:jc w:val="right"/>
              <w:rPr>
                <w:rFonts w:ascii="Times New Roman" w:hAnsi="Times New Roman"/>
                <w:sz w:val="14"/>
                <w:szCs w:val="14"/>
              </w:rPr>
            </w:pPr>
            <w:r w:rsidRPr="000D1437">
              <w:rPr>
                <w:sz w:val="14"/>
                <w:szCs w:val="14"/>
              </w:rPr>
              <w:t>NE</w:t>
            </w:r>
          </w:p>
        </w:tc>
        <w:tc>
          <w:tcPr>
            <w:tcW w:w="1164" w:type="dxa"/>
            <w:tcBorders>
              <w:top w:val="nil"/>
              <w:left w:val="nil"/>
              <w:bottom w:val="single" w:sz="4" w:space="0" w:color="auto"/>
              <w:right w:val="single" w:sz="4" w:space="0" w:color="auto"/>
            </w:tcBorders>
            <w:shd w:val="clear" w:color="000000" w:fill="FFFFFF"/>
            <w:noWrap/>
            <w:vAlign w:val="bottom"/>
            <w:hideMark/>
          </w:tcPr>
          <w:p w14:paraId="7CCA6AC7" w14:textId="5880742B" w:rsidR="00543241" w:rsidRPr="000D1437" w:rsidRDefault="00543241" w:rsidP="00543241">
            <w:pPr>
              <w:jc w:val="right"/>
              <w:rPr>
                <w:rFonts w:ascii="Times New Roman" w:hAnsi="Times New Roman"/>
                <w:sz w:val="14"/>
                <w:szCs w:val="14"/>
              </w:rPr>
            </w:pPr>
            <w:r w:rsidRPr="000D1437">
              <w:rPr>
                <w:sz w:val="14"/>
                <w:szCs w:val="14"/>
              </w:rPr>
              <w:t>NE</w:t>
            </w:r>
          </w:p>
        </w:tc>
        <w:tc>
          <w:tcPr>
            <w:tcW w:w="1193" w:type="dxa"/>
            <w:tcBorders>
              <w:top w:val="nil"/>
              <w:left w:val="nil"/>
              <w:bottom w:val="single" w:sz="4" w:space="0" w:color="auto"/>
              <w:right w:val="single" w:sz="4" w:space="0" w:color="auto"/>
            </w:tcBorders>
            <w:shd w:val="clear" w:color="000000" w:fill="FFFFFF"/>
            <w:noWrap/>
            <w:vAlign w:val="bottom"/>
            <w:hideMark/>
          </w:tcPr>
          <w:p w14:paraId="7C6F5551" w14:textId="52F5863D" w:rsidR="00543241" w:rsidRPr="000D1437" w:rsidRDefault="00543241" w:rsidP="00543241">
            <w:pPr>
              <w:jc w:val="right"/>
              <w:rPr>
                <w:rFonts w:ascii="Times New Roman" w:hAnsi="Times New Roman"/>
                <w:sz w:val="14"/>
                <w:szCs w:val="14"/>
              </w:rPr>
            </w:pPr>
            <w:r w:rsidRPr="000D1437">
              <w:rPr>
                <w:sz w:val="14"/>
                <w:szCs w:val="14"/>
              </w:rPr>
              <w:t>NE</w:t>
            </w:r>
          </w:p>
        </w:tc>
        <w:tc>
          <w:tcPr>
            <w:tcW w:w="1179" w:type="dxa"/>
            <w:tcBorders>
              <w:top w:val="nil"/>
              <w:left w:val="nil"/>
              <w:bottom w:val="single" w:sz="4" w:space="0" w:color="auto"/>
              <w:right w:val="single" w:sz="4" w:space="0" w:color="auto"/>
            </w:tcBorders>
            <w:shd w:val="clear" w:color="000000" w:fill="FFFFFF"/>
            <w:vAlign w:val="bottom"/>
          </w:tcPr>
          <w:p w14:paraId="5628FC89" w14:textId="302BAC3A" w:rsidR="00543241" w:rsidRPr="000D1437" w:rsidRDefault="00543241" w:rsidP="00543241">
            <w:pPr>
              <w:jc w:val="right"/>
              <w:rPr>
                <w:rFonts w:ascii="Times New Roman" w:hAnsi="Times New Roman"/>
                <w:sz w:val="14"/>
                <w:szCs w:val="14"/>
              </w:rPr>
            </w:pPr>
            <w:r w:rsidRPr="000D1437">
              <w:rPr>
                <w:sz w:val="14"/>
                <w:szCs w:val="14"/>
              </w:rPr>
              <w:t>NE</w:t>
            </w:r>
          </w:p>
        </w:tc>
      </w:tr>
      <w:tr w:rsidR="00543241" w:rsidRPr="00364545" w14:paraId="1AA0E0AA"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7E13FF6" w14:textId="6A642504"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178" w:type="dxa"/>
            <w:tcBorders>
              <w:top w:val="nil"/>
              <w:left w:val="nil"/>
              <w:bottom w:val="single" w:sz="4" w:space="0" w:color="auto"/>
              <w:right w:val="single" w:sz="4" w:space="0" w:color="auto"/>
            </w:tcBorders>
            <w:shd w:val="clear" w:color="000000" w:fill="FFFFFF"/>
            <w:noWrap/>
            <w:vAlign w:val="bottom"/>
            <w:hideMark/>
          </w:tcPr>
          <w:p w14:paraId="775FAEE2" w14:textId="167AED4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2CC5113C" w14:textId="04EDD68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1F32EB76" w14:textId="334C883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7F7FDE56" w14:textId="1A1240C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67818C97" w14:textId="494CF9B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6FFB66BA" w14:textId="291514B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78D51EB2"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8D78D3C" w14:textId="244A559B"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178" w:type="dxa"/>
            <w:tcBorders>
              <w:top w:val="nil"/>
              <w:left w:val="nil"/>
              <w:bottom w:val="single" w:sz="4" w:space="0" w:color="auto"/>
              <w:right w:val="single" w:sz="4" w:space="0" w:color="auto"/>
            </w:tcBorders>
            <w:shd w:val="clear" w:color="000000" w:fill="FFFFFF"/>
            <w:noWrap/>
            <w:vAlign w:val="bottom"/>
            <w:hideMark/>
          </w:tcPr>
          <w:p w14:paraId="70520877" w14:textId="28C8502D" w:rsidR="00543241" w:rsidRPr="000D1437" w:rsidRDefault="00543241" w:rsidP="00543241">
            <w:pPr>
              <w:jc w:val="right"/>
              <w:rPr>
                <w:rFonts w:ascii="Times New Roman" w:hAnsi="Times New Roman"/>
                <w:sz w:val="14"/>
                <w:szCs w:val="14"/>
              </w:rPr>
            </w:pPr>
            <w:r w:rsidRPr="000D1437">
              <w:rPr>
                <w:sz w:val="14"/>
                <w:szCs w:val="14"/>
              </w:rPr>
              <w:t>NO,IE,NA</w:t>
            </w:r>
          </w:p>
        </w:tc>
        <w:tc>
          <w:tcPr>
            <w:tcW w:w="1192" w:type="dxa"/>
            <w:tcBorders>
              <w:top w:val="nil"/>
              <w:left w:val="nil"/>
              <w:bottom w:val="single" w:sz="4" w:space="0" w:color="auto"/>
              <w:right w:val="single" w:sz="4" w:space="0" w:color="auto"/>
            </w:tcBorders>
            <w:shd w:val="clear" w:color="000000" w:fill="FFFFFF"/>
            <w:noWrap/>
            <w:vAlign w:val="bottom"/>
            <w:hideMark/>
          </w:tcPr>
          <w:p w14:paraId="161BBCFC" w14:textId="27B8A1D2" w:rsidR="00543241" w:rsidRPr="000D1437" w:rsidRDefault="00543241" w:rsidP="00543241">
            <w:pPr>
              <w:jc w:val="right"/>
              <w:rPr>
                <w:rFonts w:ascii="Times New Roman" w:hAnsi="Times New Roman"/>
                <w:sz w:val="14"/>
                <w:szCs w:val="14"/>
              </w:rPr>
            </w:pPr>
            <w:r w:rsidRPr="000D1437">
              <w:rPr>
                <w:sz w:val="14"/>
                <w:szCs w:val="14"/>
              </w:rPr>
              <w:t>NO,IE,NA</w:t>
            </w:r>
          </w:p>
        </w:tc>
        <w:tc>
          <w:tcPr>
            <w:tcW w:w="1178" w:type="dxa"/>
            <w:tcBorders>
              <w:top w:val="nil"/>
              <w:left w:val="nil"/>
              <w:bottom w:val="single" w:sz="4" w:space="0" w:color="auto"/>
              <w:right w:val="single" w:sz="4" w:space="0" w:color="auto"/>
            </w:tcBorders>
            <w:shd w:val="clear" w:color="000000" w:fill="FFFFFF"/>
            <w:noWrap/>
            <w:vAlign w:val="bottom"/>
            <w:hideMark/>
          </w:tcPr>
          <w:p w14:paraId="412DDDD9" w14:textId="7124B619" w:rsidR="00543241" w:rsidRPr="000D1437" w:rsidRDefault="00543241" w:rsidP="00543241">
            <w:pPr>
              <w:jc w:val="right"/>
              <w:rPr>
                <w:rFonts w:ascii="Times New Roman" w:hAnsi="Times New Roman"/>
                <w:sz w:val="14"/>
                <w:szCs w:val="14"/>
              </w:rPr>
            </w:pPr>
            <w:r w:rsidRPr="000D1437">
              <w:rPr>
                <w:sz w:val="14"/>
                <w:szCs w:val="14"/>
              </w:rPr>
              <w:t>NO,IE,NA</w:t>
            </w:r>
          </w:p>
        </w:tc>
        <w:tc>
          <w:tcPr>
            <w:tcW w:w="1164" w:type="dxa"/>
            <w:tcBorders>
              <w:top w:val="nil"/>
              <w:left w:val="nil"/>
              <w:bottom w:val="single" w:sz="4" w:space="0" w:color="auto"/>
              <w:right w:val="single" w:sz="4" w:space="0" w:color="auto"/>
            </w:tcBorders>
            <w:shd w:val="clear" w:color="000000" w:fill="FFFFFF"/>
            <w:noWrap/>
            <w:vAlign w:val="bottom"/>
            <w:hideMark/>
          </w:tcPr>
          <w:p w14:paraId="17A4A08E" w14:textId="286AE1DB" w:rsidR="00543241" w:rsidRPr="000D1437" w:rsidRDefault="00543241" w:rsidP="00543241">
            <w:pPr>
              <w:jc w:val="right"/>
              <w:rPr>
                <w:rFonts w:ascii="Times New Roman" w:hAnsi="Times New Roman"/>
                <w:sz w:val="14"/>
                <w:szCs w:val="14"/>
              </w:rPr>
            </w:pPr>
            <w:r w:rsidRPr="000D1437">
              <w:rPr>
                <w:sz w:val="14"/>
                <w:szCs w:val="14"/>
              </w:rPr>
              <w:t>NO,IE,NA</w:t>
            </w:r>
          </w:p>
        </w:tc>
        <w:tc>
          <w:tcPr>
            <w:tcW w:w="1193" w:type="dxa"/>
            <w:tcBorders>
              <w:top w:val="nil"/>
              <w:left w:val="nil"/>
              <w:bottom w:val="single" w:sz="4" w:space="0" w:color="auto"/>
              <w:right w:val="single" w:sz="4" w:space="0" w:color="auto"/>
            </w:tcBorders>
            <w:shd w:val="clear" w:color="000000" w:fill="FFFFFF"/>
            <w:noWrap/>
            <w:vAlign w:val="bottom"/>
            <w:hideMark/>
          </w:tcPr>
          <w:p w14:paraId="21B02F72" w14:textId="2767634E" w:rsidR="00543241" w:rsidRPr="000D1437" w:rsidRDefault="00543241" w:rsidP="00543241">
            <w:pPr>
              <w:jc w:val="right"/>
              <w:rPr>
                <w:rFonts w:ascii="Times New Roman" w:hAnsi="Times New Roman"/>
                <w:sz w:val="14"/>
                <w:szCs w:val="14"/>
              </w:rPr>
            </w:pPr>
            <w:r w:rsidRPr="000D1437">
              <w:rPr>
                <w:sz w:val="14"/>
                <w:szCs w:val="14"/>
              </w:rPr>
              <w:t>NO,IE,NA</w:t>
            </w:r>
          </w:p>
        </w:tc>
        <w:tc>
          <w:tcPr>
            <w:tcW w:w="1179" w:type="dxa"/>
            <w:tcBorders>
              <w:top w:val="nil"/>
              <w:left w:val="nil"/>
              <w:bottom w:val="single" w:sz="4" w:space="0" w:color="auto"/>
              <w:right w:val="single" w:sz="4" w:space="0" w:color="auto"/>
            </w:tcBorders>
            <w:shd w:val="clear" w:color="000000" w:fill="FFFFFF"/>
            <w:vAlign w:val="bottom"/>
          </w:tcPr>
          <w:p w14:paraId="7F18E34E" w14:textId="44596B85" w:rsidR="00543241" w:rsidRPr="000D1437" w:rsidRDefault="00543241" w:rsidP="00543241">
            <w:pPr>
              <w:jc w:val="right"/>
              <w:rPr>
                <w:rFonts w:ascii="Times New Roman" w:hAnsi="Times New Roman"/>
                <w:sz w:val="14"/>
                <w:szCs w:val="14"/>
              </w:rPr>
            </w:pPr>
            <w:r w:rsidRPr="000D1437">
              <w:rPr>
                <w:sz w:val="14"/>
                <w:szCs w:val="14"/>
              </w:rPr>
              <w:t>NO,IE,NA</w:t>
            </w:r>
          </w:p>
        </w:tc>
      </w:tr>
      <w:tr w:rsidR="00543241" w:rsidRPr="00364545" w14:paraId="45C19326"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3077A24" w14:textId="1B5D8ED3"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178" w:type="dxa"/>
            <w:tcBorders>
              <w:top w:val="nil"/>
              <w:left w:val="nil"/>
              <w:bottom w:val="single" w:sz="4" w:space="0" w:color="auto"/>
              <w:right w:val="single" w:sz="4" w:space="0" w:color="auto"/>
            </w:tcBorders>
            <w:shd w:val="clear" w:color="000000" w:fill="CCFFFF"/>
            <w:noWrap/>
            <w:vAlign w:val="bottom"/>
            <w:hideMark/>
          </w:tcPr>
          <w:p w14:paraId="70E58B12" w14:textId="357EB265" w:rsidR="00543241" w:rsidRPr="000D1437" w:rsidRDefault="00543241" w:rsidP="00543241">
            <w:pPr>
              <w:jc w:val="right"/>
              <w:rPr>
                <w:rFonts w:ascii="Times New Roman" w:hAnsi="Times New Roman"/>
                <w:sz w:val="14"/>
                <w:szCs w:val="14"/>
              </w:rPr>
            </w:pPr>
            <w:r w:rsidRPr="000D1437">
              <w:rPr>
                <w:sz w:val="14"/>
                <w:szCs w:val="14"/>
              </w:rPr>
              <w:t>419885,47</w:t>
            </w:r>
          </w:p>
        </w:tc>
        <w:tc>
          <w:tcPr>
            <w:tcW w:w="1192" w:type="dxa"/>
            <w:tcBorders>
              <w:top w:val="nil"/>
              <w:left w:val="nil"/>
              <w:bottom w:val="single" w:sz="4" w:space="0" w:color="auto"/>
              <w:right w:val="single" w:sz="4" w:space="0" w:color="auto"/>
            </w:tcBorders>
            <w:shd w:val="clear" w:color="000000" w:fill="CCFFFF"/>
            <w:noWrap/>
            <w:vAlign w:val="bottom"/>
            <w:hideMark/>
          </w:tcPr>
          <w:p w14:paraId="31152322" w14:textId="588EA7CE" w:rsidR="00543241" w:rsidRPr="000D1437" w:rsidRDefault="00543241" w:rsidP="00543241">
            <w:pPr>
              <w:jc w:val="right"/>
              <w:rPr>
                <w:rFonts w:ascii="Times New Roman" w:hAnsi="Times New Roman"/>
                <w:sz w:val="14"/>
                <w:szCs w:val="14"/>
              </w:rPr>
            </w:pPr>
            <w:r w:rsidRPr="000D1437">
              <w:rPr>
                <w:sz w:val="14"/>
                <w:szCs w:val="14"/>
              </w:rPr>
              <w:t>416153,26</w:t>
            </w:r>
          </w:p>
        </w:tc>
        <w:tc>
          <w:tcPr>
            <w:tcW w:w="1178" w:type="dxa"/>
            <w:tcBorders>
              <w:top w:val="nil"/>
              <w:left w:val="nil"/>
              <w:bottom w:val="single" w:sz="4" w:space="0" w:color="auto"/>
              <w:right w:val="single" w:sz="4" w:space="0" w:color="auto"/>
            </w:tcBorders>
            <w:shd w:val="clear" w:color="000000" w:fill="CCFFFF"/>
            <w:noWrap/>
            <w:vAlign w:val="bottom"/>
            <w:hideMark/>
          </w:tcPr>
          <w:p w14:paraId="12F190EB" w14:textId="73C85EE0" w:rsidR="00543241" w:rsidRPr="000D1437" w:rsidRDefault="00543241" w:rsidP="00543241">
            <w:pPr>
              <w:jc w:val="right"/>
              <w:rPr>
                <w:rFonts w:ascii="Times New Roman" w:hAnsi="Times New Roman"/>
                <w:sz w:val="14"/>
                <w:szCs w:val="14"/>
              </w:rPr>
            </w:pPr>
            <w:r w:rsidRPr="000D1437">
              <w:rPr>
                <w:sz w:val="14"/>
                <w:szCs w:val="14"/>
              </w:rPr>
              <w:t>421022,75</w:t>
            </w:r>
          </w:p>
        </w:tc>
        <w:tc>
          <w:tcPr>
            <w:tcW w:w="1164" w:type="dxa"/>
            <w:tcBorders>
              <w:top w:val="nil"/>
              <w:left w:val="nil"/>
              <w:bottom w:val="single" w:sz="4" w:space="0" w:color="auto"/>
              <w:right w:val="single" w:sz="4" w:space="0" w:color="auto"/>
            </w:tcBorders>
            <w:shd w:val="clear" w:color="000000" w:fill="CCFFFF"/>
            <w:noWrap/>
            <w:vAlign w:val="bottom"/>
            <w:hideMark/>
          </w:tcPr>
          <w:p w14:paraId="5851385F" w14:textId="68ECBDCB" w:rsidR="00543241" w:rsidRPr="000D1437" w:rsidRDefault="00543241" w:rsidP="00543241">
            <w:pPr>
              <w:jc w:val="right"/>
              <w:rPr>
                <w:rFonts w:ascii="Times New Roman" w:hAnsi="Times New Roman"/>
                <w:sz w:val="14"/>
                <w:szCs w:val="14"/>
              </w:rPr>
            </w:pPr>
            <w:r w:rsidRPr="000D1437">
              <w:rPr>
                <w:sz w:val="14"/>
                <w:szCs w:val="14"/>
              </w:rPr>
              <w:t>422718,52</w:t>
            </w:r>
          </w:p>
        </w:tc>
        <w:tc>
          <w:tcPr>
            <w:tcW w:w="1193" w:type="dxa"/>
            <w:tcBorders>
              <w:top w:val="nil"/>
              <w:left w:val="nil"/>
              <w:bottom w:val="single" w:sz="4" w:space="0" w:color="auto"/>
              <w:right w:val="single" w:sz="4" w:space="0" w:color="auto"/>
            </w:tcBorders>
            <w:shd w:val="clear" w:color="000000" w:fill="CCFFFF"/>
            <w:noWrap/>
            <w:vAlign w:val="bottom"/>
            <w:hideMark/>
          </w:tcPr>
          <w:p w14:paraId="3EEC8CC6" w14:textId="5D3A0FDA" w:rsidR="00543241" w:rsidRPr="000D1437" w:rsidRDefault="00543241" w:rsidP="00543241">
            <w:pPr>
              <w:jc w:val="right"/>
              <w:rPr>
                <w:rFonts w:ascii="Times New Roman" w:hAnsi="Times New Roman"/>
                <w:sz w:val="14"/>
                <w:szCs w:val="14"/>
              </w:rPr>
            </w:pPr>
            <w:r w:rsidRPr="000D1437">
              <w:rPr>
                <w:sz w:val="14"/>
                <w:szCs w:val="14"/>
              </w:rPr>
              <w:t>425443,53</w:t>
            </w:r>
          </w:p>
        </w:tc>
        <w:tc>
          <w:tcPr>
            <w:tcW w:w="1179" w:type="dxa"/>
            <w:tcBorders>
              <w:top w:val="nil"/>
              <w:left w:val="nil"/>
              <w:bottom w:val="single" w:sz="4" w:space="0" w:color="auto"/>
              <w:right w:val="single" w:sz="4" w:space="0" w:color="auto"/>
            </w:tcBorders>
            <w:shd w:val="clear" w:color="000000" w:fill="CCFFFF"/>
            <w:vAlign w:val="bottom"/>
          </w:tcPr>
          <w:p w14:paraId="13E14FDD" w14:textId="177F08BF" w:rsidR="00543241" w:rsidRPr="000D1437" w:rsidRDefault="00543241" w:rsidP="00543241">
            <w:pPr>
              <w:jc w:val="right"/>
              <w:rPr>
                <w:rFonts w:ascii="Times New Roman" w:hAnsi="Times New Roman"/>
                <w:sz w:val="14"/>
                <w:szCs w:val="14"/>
              </w:rPr>
            </w:pPr>
            <w:r w:rsidRPr="000D1437">
              <w:rPr>
                <w:sz w:val="14"/>
                <w:szCs w:val="14"/>
              </w:rPr>
              <w:t>415775,70</w:t>
            </w:r>
          </w:p>
        </w:tc>
      </w:tr>
      <w:tr w:rsidR="00543241" w:rsidRPr="00364545" w14:paraId="22877473"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E36E5AF" w14:textId="11FAA520"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178" w:type="dxa"/>
            <w:tcBorders>
              <w:top w:val="nil"/>
              <w:left w:val="nil"/>
              <w:bottom w:val="single" w:sz="4" w:space="0" w:color="auto"/>
              <w:right w:val="single" w:sz="4" w:space="0" w:color="auto"/>
            </w:tcBorders>
            <w:shd w:val="clear" w:color="000000" w:fill="CCFFFF"/>
            <w:noWrap/>
            <w:vAlign w:val="bottom"/>
            <w:hideMark/>
          </w:tcPr>
          <w:p w14:paraId="0B162BFD" w14:textId="7F7F4619" w:rsidR="00543241" w:rsidRPr="000D1437" w:rsidRDefault="00543241" w:rsidP="00543241">
            <w:pPr>
              <w:jc w:val="right"/>
              <w:rPr>
                <w:rFonts w:ascii="Times New Roman" w:hAnsi="Times New Roman"/>
                <w:sz w:val="14"/>
                <w:szCs w:val="14"/>
              </w:rPr>
            </w:pPr>
            <w:r w:rsidRPr="000D1437">
              <w:rPr>
                <w:sz w:val="14"/>
                <w:szCs w:val="14"/>
              </w:rPr>
              <w:t>383657,73</w:t>
            </w:r>
          </w:p>
        </w:tc>
        <w:tc>
          <w:tcPr>
            <w:tcW w:w="1192" w:type="dxa"/>
            <w:tcBorders>
              <w:top w:val="nil"/>
              <w:left w:val="nil"/>
              <w:bottom w:val="single" w:sz="4" w:space="0" w:color="auto"/>
              <w:right w:val="single" w:sz="4" w:space="0" w:color="auto"/>
            </w:tcBorders>
            <w:shd w:val="clear" w:color="000000" w:fill="CCFFFF"/>
            <w:noWrap/>
            <w:vAlign w:val="bottom"/>
            <w:hideMark/>
          </w:tcPr>
          <w:p w14:paraId="6CA25256" w14:textId="50B12E8F" w:rsidR="00543241" w:rsidRPr="000D1437" w:rsidRDefault="00543241" w:rsidP="00543241">
            <w:pPr>
              <w:jc w:val="right"/>
              <w:rPr>
                <w:rFonts w:ascii="Times New Roman" w:hAnsi="Times New Roman"/>
                <w:sz w:val="14"/>
                <w:szCs w:val="14"/>
              </w:rPr>
            </w:pPr>
            <w:r w:rsidRPr="000D1437">
              <w:rPr>
                <w:sz w:val="14"/>
                <w:szCs w:val="14"/>
              </w:rPr>
              <w:t>371250,08</w:t>
            </w:r>
          </w:p>
        </w:tc>
        <w:tc>
          <w:tcPr>
            <w:tcW w:w="1178" w:type="dxa"/>
            <w:tcBorders>
              <w:top w:val="nil"/>
              <w:left w:val="nil"/>
              <w:bottom w:val="single" w:sz="4" w:space="0" w:color="auto"/>
              <w:right w:val="single" w:sz="4" w:space="0" w:color="auto"/>
            </w:tcBorders>
            <w:shd w:val="clear" w:color="000000" w:fill="CCFFFF"/>
            <w:noWrap/>
            <w:vAlign w:val="bottom"/>
            <w:hideMark/>
          </w:tcPr>
          <w:p w14:paraId="2A3DADBF" w14:textId="3853F8FE" w:rsidR="00543241" w:rsidRPr="000D1437" w:rsidRDefault="00543241" w:rsidP="00543241">
            <w:pPr>
              <w:jc w:val="right"/>
              <w:rPr>
                <w:rFonts w:ascii="Times New Roman" w:hAnsi="Times New Roman"/>
                <w:sz w:val="14"/>
                <w:szCs w:val="14"/>
              </w:rPr>
            </w:pPr>
            <w:r w:rsidRPr="000D1437">
              <w:rPr>
                <w:sz w:val="14"/>
                <w:szCs w:val="14"/>
              </w:rPr>
              <w:t>373223,76</w:t>
            </w:r>
          </w:p>
        </w:tc>
        <w:tc>
          <w:tcPr>
            <w:tcW w:w="1164" w:type="dxa"/>
            <w:tcBorders>
              <w:top w:val="nil"/>
              <w:left w:val="nil"/>
              <w:bottom w:val="single" w:sz="4" w:space="0" w:color="auto"/>
              <w:right w:val="single" w:sz="4" w:space="0" w:color="auto"/>
            </w:tcBorders>
            <w:shd w:val="clear" w:color="000000" w:fill="CCFFFF"/>
            <w:noWrap/>
            <w:vAlign w:val="bottom"/>
            <w:hideMark/>
          </w:tcPr>
          <w:p w14:paraId="1B3F3FA5" w14:textId="08840856" w:rsidR="00543241" w:rsidRPr="000D1437" w:rsidRDefault="00543241" w:rsidP="00543241">
            <w:pPr>
              <w:jc w:val="right"/>
              <w:rPr>
                <w:rFonts w:ascii="Times New Roman" w:hAnsi="Times New Roman"/>
                <w:sz w:val="14"/>
                <w:szCs w:val="14"/>
              </w:rPr>
            </w:pPr>
            <w:r w:rsidRPr="000D1437">
              <w:rPr>
                <w:sz w:val="14"/>
                <w:szCs w:val="14"/>
              </w:rPr>
              <w:t>371943,09</w:t>
            </w:r>
          </w:p>
        </w:tc>
        <w:tc>
          <w:tcPr>
            <w:tcW w:w="1193" w:type="dxa"/>
            <w:tcBorders>
              <w:top w:val="nil"/>
              <w:left w:val="nil"/>
              <w:bottom w:val="single" w:sz="4" w:space="0" w:color="auto"/>
              <w:right w:val="single" w:sz="4" w:space="0" w:color="auto"/>
            </w:tcBorders>
            <w:shd w:val="clear" w:color="000000" w:fill="CCFFFF"/>
            <w:noWrap/>
            <w:vAlign w:val="bottom"/>
            <w:hideMark/>
          </w:tcPr>
          <w:p w14:paraId="64796CD0" w14:textId="4C407979" w:rsidR="00543241" w:rsidRPr="000D1437" w:rsidRDefault="00543241" w:rsidP="00543241">
            <w:pPr>
              <w:jc w:val="right"/>
              <w:rPr>
                <w:rFonts w:ascii="Times New Roman" w:hAnsi="Times New Roman"/>
                <w:sz w:val="14"/>
                <w:szCs w:val="14"/>
              </w:rPr>
            </w:pPr>
            <w:r w:rsidRPr="000D1437">
              <w:rPr>
                <w:sz w:val="14"/>
                <w:szCs w:val="14"/>
              </w:rPr>
              <w:t>373972,04</w:t>
            </w:r>
          </w:p>
        </w:tc>
        <w:tc>
          <w:tcPr>
            <w:tcW w:w="1179" w:type="dxa"/>
            <w:tcBorders>
              <w:top w:val="nil"/>
              <w:left w:val="nil"/>
              <w:bottom w:val="single" w:sz="4" w:space="0" w:color="auto"/>
              <w:right w:val="single" w:sz="4" w:space="0" w:color="auto"/>
            </w:tcBorders>
            <w:shd w:val="clear" w:color="000000" w:fill="CCFFFF"/>
            <w:vAlign w:val="bottom"/>
          </w:tcPr>
          <w:p w14:paraId="21505988" w14:textId="6080F391" w:rsidR="00543241" w:rsidRPr="000D1437" w:rsidRDefault="00543241" w:rsidP="00543241">
            <w:pPr>
              <w:jc w:val="right"/>
              <w:rPr>
                <w:rFonts w:ascii="Times New Roman" w:hAnsi="Times New Roman"/>
                <w:sz w:val="14"/>
                <w:szCs w:val="14"/>
              </w:rPr>
            </w:pPr>
            <w:r w:rsidRPr="000D1437">
              <w:rPr>
                <w:sz w:val="14"/>
                <w:szCs w:val="14"/>
              </w:rPr>
              <w:t>362637,76</w:t>
            </w:r>
          </w:p>
        </w:tc>
      </w:tr>
      <w:tr w:rsidR="00543241" w:rsidRPr="00364545" w14:paraId="7F47AB82"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18B228A" w14:textId="4E8F23F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178" w:type="dxa"/>
            <w:tcBorders>
              <w:top w:val="nil"/>
              <w:left w:val="nil"/>
              <w:bottom w:val="single" w:sz="4" w:space="0" w:color="auto"/>
              <w:right w:val="single" w:sz="4" w:space="0" w:color="auto"/>
            </w:tcBorders>
            <w:shd w:val="clear" w:color="000000" w:fill="CCFFFF"/>
            <w:noWrap/>
            <w:vAlign w:val="bottom"/>
            <w:hideMark/>
          </w:tcPr>
          <w:p w14:paraId="11B8DBE8" w14:textId="4E0CEEFF" w:rsidR="00543241" w:rsidRPr="000D1437" w:rsidRDefault="00543241" w:rsidP="00543241">
            <w:pPr>
              <w:jc w:val="right"/>
              <w:rPr>
                <w:rFonts w:ascii="Times New Roman" w:hAnsi="Times New Roman"/>
                <w:sz w:val="14"/>
                <w:szCs w:val="14"/>
              </w:rPr>
            </w:pPr>
            <w:r w:rsidRPr="000D1437">
              <w:rPr>
                <w:sz w:val="14"/>
                <w:szCs w:val="14"/>
              </w:rPr>
              <w:t>NA</w:t>
            </w:r>
          </w:p>
        </w:tc>
        <w:tc>
          <w:tcPr>
            <w:tcW w:w="1192" w:type="dxa"/>
            <w:tcBorders>
              <w:top w:val="nil"/>
              <w:left w:val="nil"/>
              <w:bottom w:val="single" w:sz="4" w:space="0" w:color="auto"/>
              <w:right w:val="single" w:sz="4" w:space="0" w:color="auto"/>
            </w:tcBorders>
            <w:shd w:val="clear" w:color="000000" w:fill="CCFFFF"/>
            <w:noWrap/>
            <w:vAlign w:val="bottom"/>
            <w:hideMark/>
          </w:tcPr>
          <w:p w14:paraId="7BD9099A" w14:textId="61398700" w:rsidR="00543241" w:rsidRPr="000D1437" w:rsidRDefault="00543241" w:rsidP="00543241">
            <w:pPr>
              <w:jc w:val="right"/>
              <w:rPr>
                <w:rFonts w:ascii="Times New Roman" w:hAnsi="Times New Roman"/>
                <w:sz w:val="14"/>
                <w:szCs w:val="14"/>
              </w:rPr>
            </w:pPr>
            <w:r w:rsidRPr="000D1437">
              <w:rPr>
                <w:sz w:val="14"/>
                <w:szCs w:val="14"/>
              </w:rPr>
              <w:t>NA</w:t>
            </w:r>
          </w:p>
        </w:tc>
        <w:tc>
          <w:tcPr>
            <w:tcW w:w="1178" w:type="dxa"/>
            <w:tcBorders>
              <w:top w:val="nil"/>
              <w:left w:val="nil"/>
              <w:bottom w:val="single" w:sz="4" w:space="0" w:color="auto"/>
              <w:right w:val="single" w:sz="4" w:space="0" w:color="auto"/>
            </w:tcBorders>
            <w:shd w:val="clear" w:color="000000" w:fill="CCFFFF"/>
            <w:noWrap/>
            <w:vAlign w:val="bottom"/>
            <w:hideMark/>
          </w:tcPr>
          <w:p w14:paraId="50524D3C" w14:textId="76FCE715" w:rsidR="00543241" w:rsidRPr="000D1437" w:rsidRDefault="00543241" w:rsidP="00543241">
            <w:pPr>
              <w:jc w:val="right"/>
              <w:rPr>
                <w:rFonts w:ascii="Times New Roman" w:hAnsi="Times New Roman"/>
                <w:sz w:val="14"/>
                <w:szCs w:val="14"/>
              </w:rPr>
            </w:pPr>
            <w:r w:rsidRPr="000D1437">
              <w:rPr>
                <w:sz w:val="14"/>
                <w:szCs w:val="14"/>
              </w:rPr>
              <w:t>NA</w:t>
            </w:r>
          </w:p>
        </w:tc>
        <w:tc>
          <w:tcPr>
            <w:tcW w:w="1164" w:type="dxa"/>
            <w:tcBorders>
              <w:top w:val="nil"/>
              <w:left w:val="nil"/>
              <w:bottom w:val="single" w:sz="4" w:space="0" w:color="auto"/>
              <w:right w:val="single" w:sz="4" w:space="0" w:color="auto"/>
            </w:tcBorders>
            <w:shd w:val="clear" w:color="000000" w:fill="CCFFFF"/>
            <w:noWrap/>
            <w:vAlign w:val="bottom"/>
            <w:hideMark/>
          </w:tcPr>
          <w:p w14:paraId="0069CD0B" w14:textId="5F3A19E5"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75EBD517" w14:textId="53005D67" w:rsidR="00543241" w:rsidRPr="000D1437" w:rsidRDefault="00543241" w:rsidP="00543241">
            <w:pPr>
              <w:jc w:val="right"/>
              <w:rPr>
                <w:rFonts w:ascii="Times New Roman" w:hAnsi="Times New Roman"/>
                <w:sz w:val="14"/>
                <w:szCs w:val="14"/>
              </w:rPr>
            </w:pPr>
            <w:r w:rsidRPr="000D1437">
              <w:rPr>
                <w:sz w:val="14"/>
                <w:szCs w:val="14"/>
              </w:rPr>
              <w:t>NA</w:t>
            </w:r>
          </w:p>
        </w:tc>
        <w:tc>
          <w:tcPr>
            <w:tcW w:w="1179" w:type="dxa"/>
            <w:tcBorders>
              <w:top w:val="nil"/>
              <w:left w:val="nil"/>
              <w:bottom w:val="single" w:sz="4" w:space="0" w:color="auto"/>
              <w:right w:val="single" w:sz="4" w:space="0" w:color="auto"/>
            </w:tcBorders>
            <w:shd w:val="clear" w:color="000000" w:fill="CCFFFF"/>
            <w:vAlign w:val="bottom"/>
          </w:tcPr>
          <w:p w14:paraId="735AD91A" w14:textId="500C11E2" w:rsidR="00543241" w:rsidRPr="000D1437" w:rsidRDefault="00543241" w:rsidP="00543241">
            <w:pPr>
              <w:jc w:val="right"/>
              <w:rPr>
                <w:rFonts w:ascii="Times New Roman" w:hAnsi="Times New Roman"/>
                <w:sz w:val="14"/>
                <w:szCs w:val="14"/>
              </w:rPr>
            </w:pPr>
            <w:r w:rsidRPr="000D1437">
              <w:rPr>
                <w:sz w:val="14"/>
                <w:szCs w:val="14"/>
              </w:rPr>
              <w:t>NA</w:t>
            </w:r>
          </w:p>
        </w:tc>
      </w:tr>
      <w:tr w:rsidR="00543241" w:rsidRPr="00364545" w14:paraId="529693A5" w14:textId="77777777" w:rsidTr="00543241">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B8B9E2C" w14:textId="64638FFF"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178" w:type="dxa"/>
            <w:tcBorders>
              <w:top w:val="nil"/>
              <w:left w:val="nil"/>
              <w:bottom w:val="single" w:sz="4" w:space="0" w:color="auto"/>
              <w:right w:val="single" w:sz="4" w:space="0" w:color="auto"/>
            </w:tcBorders>
            <w:shd w:val="clear" w:color="000000" w:fill="CCFFFF"/>
            <w:noWrap/>
            <w:vAlign w:val="bottom"/>
            <w:hideMark/>
          </w:tcPr>
          <w:p w14:paraId="363FF93E" w14:textId="7A16E04B" w:rsidR="00543241" w:rsidRPr="000D1437" w:rsidRDefault="00543241" w:rsidP="00543241">
            <w:pPr>
              <w:jc w:val="right"/>
              <w:rPr>
                <w:rFonts w:ascii="Times New Roman" w:hAnsi="Times New Roman"/>
                <w:sz w:val="14"/>
                <w:szCs w:val="14"/>
              </w:rPr>
            </w:pPr>
            <w:r w:rsidRPr="000D1437">
              <w:rPr>
                <w:sz w:val="14"/>
                <w:szCs w:val="14"/>
              </w:rPr>
              <w:t>NA</w:t>
            </w:r>
          </w:p>
        </w:tc>
        <w:tc>
          <w:tcPr>
            <w:tcW w:w="1192" w:type="dxa"/>
            <w:tcBorders>
              <w:top w:val="nil"/>
              <w:left w:val="nil"/>
              <w:bottom w:val="single" w:sz="4" w:space="0" w:color="auto"/>
              <w:right w:val="single" w:sz="4" w:space="0" w:color="auto"/>
            </w:tcBorders>
            <w:shd w:val="clear" w:color="000000" w:fill="CCFFFF"/>
            <w:noWrap/>
            <w:vAlign w:val="bottom"/>
            <w:hideMark/>
          </w:tcPr>
          <w:p w14:paraId="4F4991B8" w14:textId="5AA78B3D" w:rsidR="00543241" w:rsidRPr="000D1437" w:rsidRDefault="00543241" w:rsidP="00543241">
            <w:pPr>
              <w:jc w:val="right"/>
              <w:rPr>
                <w:rFonts w:ascii="Times New Roman" w:hAnsi="Times New Roman"/>
                <w:sz w:val="14"/>
                <w:szCs w:val="14"/>
              </w:rPr>
            </w:pPr>
            <w:r w:rsidRPr="000D1437">
              <w:rPr>
                <w:sz w:val="14"/>
                <w:szCs w:val="14"/>
              </w:rPr>
              <w:t>NA</w:t>
            </w:r>
          </w:p>
        </w:tc>
        <w:tc>
          <w:tcPr>
            <w:tcW w:w="1178" w:type="dxa"/>
            <w:tcBorders>
              <w:top w:val="nil"/>
              <w:left w:val="nil"/>
              <w:bottom w:val="single" w:sz="4" w:space="0" w:color="auto"/>
              <w:right w:val="single" w:sz="4" w:space="0" w:color="auto"/>
            </w:tcBorders>
            <w:shd w:val="clear" w:color="000000" w:fill="CCFFFF"/>
            <w:noWrap/>
            <w:vAlign w:val="bottom"/>
            <w:hideMark/>
          </w:tcPr>
          <w:p w14:paraId="546823A6" w14:textId="689595E0" w:rsidR="00543241" w:rsidRPr="000D1437" w:rsidRDefault="00543241" w:rsidP="00543241">
            <w:pPr>
              <w:jc w:val="right"/>
              <w:rPr>
                <w:rFonts w:ascii="Times New Roman" w:hAnsi="Times New Roman"/>
                <w:sz w:val="14"/>
                <w:szCs w:val="14"/>
              </w:rPr>
            </w:pPr>
            <w:r w:rsidRPr="000D1437">
              <w:rPr>
                <w:sz w:val="14"/>
                <w:szCs w:val="14"/>
              </w:rPr>
              <w:t>NA</w:t>
            </w:r>
          </w:p>
        </w:tc>
        <w:tc>
          <w:tcPr>
            <w:tcW w:w="1164" w:type="dxa"/>
            <w:tcBorders>
              <w:top w:val="nil"/>
              <w:left w:val="nil"/>
              <w:bottom w:val="single" w:sz="4" w:space="0" w:color="auto"/>
              <w:right w:val="single" w:sz="4" w:space="0" w:color="auto"/>
            </w:tcBorders>
            <w:shd w:val="clear" w:color="000000" w:fill="CCFFFF"/>
            <w:noWrap/>
            <w:vAlign w:val="bottom"/>
            <w:hideMark/>
          </w:tcPr>
          <w:p w14:paraId="3A2C6F0C" w14:textId="4DA38FBC"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55ACEDBC" w14:textId="16CE0594" w:rsidR="00543241" w:rsidRPr="000D1437" w:rsidRDefault="00543241" w:rsidP="00543241">
            <w:pPr>
              <w:jc w:val="right"/>
              <w:rPr>
                <w:rFonts w:ascii="Times New Roman" w:hAnsi="Times New Roman"/>
                <w:sz w:val="14"/>
                <w:szCs w:val="14"/>
              </w:rPr>
            </w:pPr>
            <w:r w:rsidRPr="000D1437">
              <w:rPr>
                <w:sz w:val="14"/>
                <w:szCs w:val="14"/>
              </w:rPr>
              <w:t>NA</w:t>
            </w:r>
          </w:p>
        </w:tc>
        <w:tc>
          <w:tcPr>
            <w:tcW w:w="1179" w:type="dxa"/>
            <w:tcBorders>
              <w:top w:val="nil"/>
              <w:left w:val="nil"/>
              <w:bottom w:val="single" w:sz="4" w:space="0" w:color="auto"/>
              <w:right w:val="single" w:sz="4" w:space="0" w:color="auto"/>
            </w:tcBorders>
            <w:shd w:val="clear" w:color="000000" w:fill="CCFFFF"/>
            <w:vAlign w:val="bottom"/>
          </w:tcPr>
          <w:p w14:paraId="66291EFC" w14:textId="78B8AFEA" w:rsidR="00543241" w:rsidRPr="000D1437" w:rsidRDefault="00543241" w:rsidP="00543241">
            <w:pPr>
              <w:jc w:val="right"/>
              <w:rPr>
                <w:rFonts w:ascii="Times New Roman" w:hAnsi="Times New Roman"/>
                <w:sz w:val="14"/>
                <w:szCs w:val="14"/>
              </w:rPr>
            </w:pPr>
            <w:r w:rsidRPr="000D1437">
              <w:rPr>
                <w:sz w:val="14"/>
                <w:szCs w:val="14"/>
              </w:rPr>
              <w:t>NA</w:t>
            </w:r>
          </w:p>
        </w:tc>
      </w:tr>
    </w:tbl>
    <w:p w14:paraId="75AB0292" w14:textId="77777777" w:rsidR="00B56301" w:rsidRPr="00364545" w:rsidRDefault="00B56301" w:rsidP="00B56301">
      <w:pPr>
        <w:rPr>
          <w:rFonts w:cs="Arial"/>
          <w:sz w:val="24"/>
        </w:rPr>
      </w:pPr>
    </w:p>
    <w:tbl>
      <w:tblPr>
        <w:tblW w:w="9940" w:type="dxa"/>
        <w:jc w:val="center"/>
        <w:tblCellMar>
          <w:left w:w="70" w:type="dxa"/>
          <w:right w:w="70" w:type="dxa"/>
        </w:tblCellMar>
        <w:tblLook w:val="04A0" w:firstRow="1" w:lastRow="0" w:firstColumn="1" w:lastColumn="0" w:noHBand="0" w:noVBand="1"/>
      </w:tblPr>
      <w:tblGrid>
        <w:gridCol w:w="2302"/>
        <w:gridCol w:w="1264"/>
        <w:gridCol w:w="1278"/>
        <w:gridCol w:w="1278"/>
        <w:gridCol w:w="1278"/>
        <w:gridCol w:w="1278"/>
        <w:gridCol w:w="1262"/>
      </w:tblGrid>
      <w:tr w:rsidR="00B56301" w:rsidRPr="00364545" w14:paraId="759A177C" w14:textId="77777777" w:rsidTr="00543241">
        <w:trPr>
          <w:trHeight w:val="68"/>
          <w:jc w:val="center"/>
        </w:trPr>
        <w:tc>
          <w:tcPr>
            <w:tcW w:w="23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C8E8EE1" w14:textId="77777777" w:rsidR="00B56301" w:rsidRPr="00364545" w:rsidRDefault="00B56301" w:rsidP="00B37B65">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26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40C20AF"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2007</w:t>
            </w:r>
          </w:p>
        </w:tc>
        <w:tc>
          <w:tcPr>
            <w:tcW w:w="1278" w:type="dxa"/>
            <w:tcBorders>
              <w:top w:val="single" w:sz="4" w:space="0" w:color="auto"/>
              <w:left w:val="nil"/>
              <w:bottom w:val="single" w:sz="4" w:space="0" w:color="auto"/>
              <w:right w:val="single" w:sz="4" w:space="0" w:color="auto"/>
            </w:tcBorders>
            <w:shd w:val="clear" w:color="000000" w:fill="CCFFFF"/>
            <w:noWrap/>
            <w:vAlign w:val="center"/>
            <w:hideMark/>
          </w:tcPr>
          <w:p w14:paraId="204EB656"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2008</w:t>
            </w:r>
          </w:p>
        </w:tc>
        <w:tc>
          <w:tcPr>
            <w:tcW w:w="1278" w:type="dxa"/>
            <w:tcBorders>
              <w:top w:val="single" w:sz="4" w:space="0" w:color="auto"/>
              <w:left w:val="nil"/>
              <w:bottom w:val="single" w:sz="4" w:space="0" w:color="auto"/>
              <w:right w:val="single" w:sz="4" w:space="0" w:color="auto"/>
            </w:tcBorders>
            <w:shd w:val="clear" w:color="000000" w:fill="CCFFFF"/>
            <w:noWrap/>
            <w:vAlign w:val="center"/>
            <w:hideMark/>
          </w:tcPr>
          <w:p w14:paraId="06B5D624"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2009</w:t>
            </w:r>
          </w:p>
        </w:tc>
        <w:tc>
          <w:tcPr>
            <w:tcW w:w="1278" w:type="dxa"/>
            <w:tcBorders>
              <w:top w:val="single" w:sz="4" w:space="0" w:color="auto"/>
              <w:left w:val="nil"/>
              <w:bottom w:val="single" w:sz="4" w:space="0" w:color="auto"/>
              <w:right w:val="single" w:sz="4" w:space="0" w:color="auto"/>
            </w:tcBorders>
            <w:shd w:val="clear" w:color="000000" w:fill="CCFFFF"/>
            <w:noWrap/>
            <w:vAlign w:val="center"/>
            <w:hideMark/>
          </w:tcPr>
          <w:p w14:paraId="08E4CED7"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2010</w:t>
            </w:r>
          </w:p>
        </w:tc>
        <w:tc>
          <w:tcPr>
            <w:tcW w:w="1278" w:type="dxa"/>
            <w:tcBorders>
              <w:top w:val="single" w:sz="4" w:space="0" w:color="auto"/>
              <w:left w:val="nil"/>
              <w:bottom w:val="single" w:sz="4" w:space="0" w:color="auto"/>
              <w:right w:val="single" w:sz="4" w:space="0" w:color="auto"/>
            </w:tcBorders>
            <w:shd w:val="clear" w:color="000000" w:fill="CCFFFF"/>
            <w:noWrap/>
            <w:vAlign w:val="center"/>
            <w:hideMark/>
          </w:tcPr>
          <w:p w14:paraId="4CDFC494"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2011</w:t>
            </w:r>
          </w:p>
        </w:tc>
        <w:tc>
          <w:tcPr>
            <w:tcW w:w="1262" w:type="dxa"/>
            <w:tcBorders>
              <w:top w:val="single" w:sz="4" w:space="0" w:color="auto"/>
              <w:left w:val="nil"/>
              <w:bottom w:val="single" w:sz="4" w:space="0" w:color="auto"/>
              <w:right w:val="single" w:sz="4" w:space="0" w:color="auto"/>
            </w:tcBorders>
            <w:shd w:val="clear" w:color="000000" w:fill="CCFFFF"/>
            <w:vAlign w:val="center"/>
          </w:tcPr>
          <w:p w14:paraId="3F853DA1" w14:textId="77777777" w:rsidR="00B56301" w:rsidRPr="00364545" w:rsidRDefault="00B56301" w:rsidP="00B37B65">
            <w:pPr>
              <w:jc w:val="center"/>
              <w:rPr>
                <w:rFonts w:ascii="Times New Roman" w:hAnsi="Times New Roman"/>
                <w:b/>
                <w:bCs/>
                <w:sz w:val="16"/>
                <w:szCs w:val="16"/>
              </w:rPr>
            </w:pPr>
            <w:r w:rsidRPr="00364545">
              <w:rPr>
                <w:b/>
                <w:sz w:val="16"/>
              </w:rPr>
              <w:t>2012</w:t>
            </w:r>
          </w:p>
        </w:tc>
      </w:tr>
      <w:tr w:rsidR="00543241" w:rsidRPr="00364545" w14:paraId="5CA80832" w14:textId="77777777" w:rsidTr="00543241">
        <w:trPr>
          <w:trHeight w:val="68"/>
          <w:jc w:val="center"/>
        </w:trPr>
        <w:tc>
          <w:tcPr>
            <w:tcW w:w="23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383F39F"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264"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825F31A" w14:textId="6041AA34" w:rsidR="00543241" w:rsidRPr="000D1437" w:rsidRDefault="00543241" w:rsidP="00543241">
            <w:pPr>
              <w:jc w:val="right"/>
              <w:rPr>
                <w:rFonts w:ascii="Times New Roman" w:hAnsi="Times New Roman"/>
                <w:sz w:val="14"/>
                <w:szCs w:val="14"/>
              </w:rPr>
            </w:pPr>
            <w:r w:rsidRPr="00CB4B9F">
              <w:rPr>
                <w:sz w:val="14"/>
                <w:szCs w:val="14"/>
              </w:rPr>
              <w:t>353644,62</w:t>
            </w:r>
          </w:p>
        </w:tc>
        <w:tc>
          <w:tcPr>
            <w:tcW w:w="1278" w:type="dxa"/>
            <w:tcBorders>
              <w:top w:val="single" w:sz="4" w:space="0" w:color="auto"/>
              <w:left w:val="nil"/>
              <w:bottom w:val="single" w:sz="4" w:space="0" w:color="auto"/>
              <w:right w:val="single" w:sz="4" w:space="0" w:color="auto"/>
            </w:tcBorders>
            <w:shd w:val="clear" w:color="000000" w:fill="CCFFFF"/>
            <w:noWrap/>
            <w:vAlign w:val="bottom"/>
            <w:hideMark/>
          </w:tcPr>
          <w:p w14:paraId="12EC0C35" w14:textId="522B7304" w:rsidR="00543241" w:rsidRPr="000D1437" w:rsidRDefault="00543241" w:rsidP="00543241">
            <w:pPr>
              <w:jc w:val="right"/>
              <w:rPr>
                <w:rFonts w:ascii="Times New Roman" w:hAnsi="Times New Roman"/>
                <w:sz w:val="14"/>
                <w:szCs w:val="14"/>
              </w:rPr>
            </w:pPr>
            <w:r w:rsidRPr="00CB4B9F">
              <w:rPr>
                <w:sz w:val="14"/>
                <w:szCs w:val="14"/>
              </w:rPr>
              <w:t>348048,72</w:t>
            </w:r>
          </w:p>
        </w:tc>
        <w:tc>
          <w:tcPr>
            <w:tcW w:w="1278" w:type="dxa"/>
            <w:tcBorders>
              <w:top w:val="single" w:sz="4" w:space="0" w:color="auto"/>
              <w:left w:val="nil"/>
              <w:bottom w:val="single" w:sz="4" w:space="0" w:color="auto"/>
              <w:right w:val="single" w:sz="4" w:space="0" w:color="auto"/>
            </w:tcBorders>
            <w:shd w:val="clear" w:color="000000" w:fill="CCFFFF"/>
            <w:noWrap/>
            <w:vAlign w:val="bottom"/>
            <w:hideMark/>
          </w:tcPr>
          <w:p w14:paraId="049D05FB" w14:textId="67E85065" w:rsidR="00543241" w:rsidRPr="000D1437" w:rsidRDefault="00543241" w:rsidP="00543241">
            <w:pPr>
              <w:jc w:val="right"/>
              <w:rPr>
                <w:rFonts w:ascii="Times New Roman" w:hAnsi="Times New Roman"/>
                <w:sz w:val="14"/>
                <w:szCs w:val="14"/>
              </w:rPr>
            </w:pPr>
            <w:r w:rsidRPr="00CB4B9F">
              <w:rPr>
                <w:sz w:val="14"/>
                <w:szCs w:val="14"/>
              </w:rPr>
              <w:t>339132,78</w:t>
            </w:r>
          </w:p>
        </w:tc>
        <w:tc>
          <w:tcPr>
            <w:tcW w:w="1278" w:type="dxa"/>
            <w:tcBorders>
              <w:top w:val="single" w:sz="4" w:space="0" w:color="auto"/>
              <w:left w:val="nil"/>
              <w:bottom w:val="single" w:sz="4" w:space="0" w:color="auto"/>
              <w:right w:val="single" w:sz="4" w:space="0" w:color="auto"/>
            </w:tcBorders>
            <w:shd w:val="clear" w:color="000000" w:fill="CCFFFF"/>
            <w:noWrap/>
            <w:vAlign w:val="bottom"/>
            <w:hideMark/>
          </w:tcPr>
          <w:p w14:paraId="16FB0E8E" w14:textId="56611AC4" w:rsidR="00543241" w:rsidRPr="000D1437" w:rsidRDefault="00543241" w:rsidP="00543241">
            <w:pPr>
              <w:jc w:val="right"/>
              <w:rPr>
                <w:rFonts w:ascii="Times New Roman" w:hAnsi="Times New Roman"/>
                <w:sz w:val="14"/>
                <w:szCs w:val="14"/>
              </w:rPr>
            </w:pPr>
            <w:r w:rsidRPr="00CB4B9F">
              <w:rPr>
                <w:sz w:val="14"/>
                <w:szCs w:val="14"/>
              </w:rPr>
              <w:t>344170,77</w:t>
            </w:r>
          </w:p>
        </w:tc>
        <w:tc>
          <w:tcPr>
            <w:tcW w:w="1278" w:type="dxa"/>
            <w:tcBorders>
              <w:top w:val="single" w:sz="4" w:space="0" w:color="auto"/>
              <w:left w:val="nil"/>
              <w:bottom w:val="single" w:sz="4" w:space="0" w:color="auto"/>
              <w:right w:val="single" w:sz="4" w:space="0" w:color="auto"/>
            </w:tcBorders>
            <w:shd w:val="clear" w:color="000000" w:fill="CCFFFF"/>
            <w:noWrap/>
            <w:vAlign w:val="bottom"/>
            <w:hideMark/>
          </w:tcPr>
          <w:p w14:paraId="386A230C" w14:textId="664CB681" w:rsidR="00543241" w:rsidRPr="000D1437" w:rsidRDefault="00543241" w:rsidP="00543241">
            <w:pPr>
              <w:jc w:val="right"/>
              <w:rPr>
                <w:rFonts w:ascii="Times New Roman" w:hAnsi="Times New Roman"/>
                <w:sz w:val="14"/>
                <w:szCs w:val="14"/>
              </w:rPr>
            </w:pPr>
            <w:r w:rsidRPr="00CB4B9F">
              <w:rPr>
                <w:sz w:val="14"/>
                <w:szCs w:val="14"/>
              </w:rPr>
              <w:t>322088,69</w:t>
            </w:r>
          </w:p>
        </w:tc>
        <w:tc>
          <w:tcPr>
            <w:tcW w:w="1262" w:type="dxa"/>
            <w:tcBorders>
              <w:top w:val="single" w:sz="4" w:space="0" w:color="auto"/>
              <w:left w:val="nil"/>
              <w:bottom w:val="single" w:sz="4" w:space="0" w:color="auto"/>
              <w:right w:val="single" w:sz="4" w:space="0" w:color="auto"/>
            </w:tcBorders>
            <w:shd w:val="clear" w:color="000000" w:fill="CCFFFF"/>
            <w:vAlign w:val="bottom"/>
          </w:tcPr>
          <w:p w14:paraId="5ACF4572" w14:textId="280262E2" w:rsidR="00543241" w:rsidRPr="000D1437" w:rsidRDefault="00543241" w:rsidP="00543241">
            <w:pPr>
              <w:jc w:val="right"/>
              <w:rPr>
                <w:rFonts w:ascii="Times New Roman" w:hAnsi="Times New Roman"/>
                <w:sz w:val="14"/>
                <w:szCs w:val="14"/>
              </w:rPr>
            </w:pPr>
            <w:r w:rsidRPr="00CB4B9F">
              <w:rPr>
                <w:sz w:val="14"/>
                <w:szCs w:val="14"/>
              </w:rPr>
              <w:t>321847,33</w:t>
            </w:r>
          </w:p>
        </w:tc>
      </w:tr>
      <w:tr w:rsidR="00543241" w:rsidRPr="00364545" w14:paraId="7FF9EBDF" w14:textId="77777777" w:rsidTr="00543241">
        <w:trPr>
          <w:trHeight w:val="68"/>
          <w:jc w:val="center"/>
        </w:trPr>
        <w:tc>
          <w:tcPr>
            <w:tcW w:w="23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54F4194"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1. Energy</w:t>
            </w:r>
          </w:p>
        </w:tc>
        <w:tc>
          <w:tcPr>
            <w:tcW w:w="1264" w:type="dxa"/>
            <w:tcBorders>
              <w:top w:val="nil"/>
              <w:left w:val="nil"/>
              <w:bottom w:val="single" w:sz="4" w:space="0" w:color="auto"/>
              <w:right w:val="single" w:sz="4" w:space="0" w:color="auto"/>
            </w:tcBorders>
            <w:shd w:val="clear" w:color="000000" w:fill="CCFFFF"/>
            <w:noWrap/>
            <w:vAlign w:val="bottom"/>
            <w:hideMark/>
          </w:tcPr>
          <w:p w14:paraId="3C939552" w14:textId="7E9840C7" w:rsidR="00543241" w:rsidRPr="000D1437" w:rsidRDefault="00543241" w:rsidP="00543241">
            <w:pPr>
              <w:jc w:val="right"/>
              <w:rPr>
                <w:rFonts w:ascii="Times New Roman" w:hAnsi="Times New Roman"/>
                <w:sz w:val="14"/>
                <w:szCs w:val="14"/>
              </w:rPr>
            </w:pPr>
            <w:r w:rsidRPr="000D1437">
              <w:rPr>
                <w:sz w:val="14"/>
                <w:szCs w:val="14"/>
              </w:rPr>
              <w:t>360239,51</w:t>
            </w:r>
          </w:p>
        </w:tc>
        <w:tc>
          <w:tcPr>
            <w:tcW w:w="1278" w:type="dxa"/>
            <w:tcBorders>
              <w:top w:val="nil"/>
              <w:left w:val="nil"/>
              <w:bottom w:val="single" w:sz="4" w:space="0" w:color="auto"/>
              <w:right w:val="single" w:sz="4" w:space="0" w:color="auto"/>
            </w:tcBorders>
            <w:shd w:val="clear" w:color="000000" w:fill="CCFFFF"/>
            <w:noWrap/>
            <w:vAlign w:val="bottom"/>
            <w:hideMark/>
          </w:tcPr>
          <w:p w14:paraId="04D43A5E" w14:textId="31FA19D7" w:rsidR="00543241" w:rsidRPr="000D1437" w:rsidRDefault="00543241" w:rsidP="00543241">
            <w:pPr>
              <w:jc w:val="right"/>
              <w:rPr>
                <w:rFonts w:ascii="Times New Roman" w:hAnsi="Times New Roman"/>
                <w:sz w:val="14"/>
                <w:szCs w:val="14"/>
              </w:rPr>
            </w:pPr>
            <w:r w:rsidRPr="000D1437">
              <w:rPr>
                <w:sz w:val="14"/>
                <w:szCs w:val="14"/>
              </w:rPr>
              <w:t>358678,25</w:t>
            </w:r>
          </w:p>
        </w:tc>
        <w:tc>
          <w:tcPr>
            <w:tcW w:w="1278" w:type="dxa"/>
            <w:tcBorders>
              <w:top w:val="nil"/>
              <w:left w:val="nil"/>
              <w:bottom w:val="single" w:sz="4" w:space="0" w:color="auto"/>
              <w:right w:val="single" w:sz="4" w:space="0" w:color="auto"/>
            </w:tcBorders>
            <w:shd w:val="clear" w:color="000000" w:fill="CCFFFF"/>
            <w:noWrap/>
            <w:vAlign w:val="bottom"/>
            <w:hideMark/>
          </w:tcPr>
          <w:p w14:paraId="5CCFD7E0" w14:textId="62BE1735" w:rsidR="00543241" w:rsidRPr="000D1437" w:rsidRDefault="00543241" w:rsidP="00543241">
            <w:pPr>
              <w:jc w:val="right"/>
              <w:rPr>
                <w:rFonts w:ascii="Times New Roman" w:hAnsi="Times New Roman"/>
                <w:sz w:val="14"/>
                <w:szCs w:val="14"/>
              </w:rPr>
            </w:pPr>
            <w:r w:rsidRPr="000D1437">
              <w:rPr>
                <w:sz w:val="14"/>
                <w:szCs w:val="14"/>
              </w:rPr>
              <w:t>348440,98</w:t>
            </w:r>
          </w:p>
        </w:tc>
        <w:tc>
          <w:tcPr>
            <w:tcW w:w="1278" w:type="dxa"/>
            <w:tcBorders>
              <w:top w:val="nil"/>
              <w:left w:val="nil"/>
              <w:bottom w:val="single" w:sz="4" w:space="0" w:color="auto"/>
              <w:right w:val="single" w:sz="4" w:space="0" w:color="auto"/>
            </w:tcBorders>
            <w:shd w:val="clear" w:color="000000" w:fill="CCFFFF"/>
            <w:noWrap/>
            <w:vAlign w:val="bottom"/>
            <w:hideMark/>
          </w:tcPr>
          <w:p w14:paraId="2C99A144" w14:textId="318D3EBF" w:rsidR="00543241" w:rsidRPr="000D1437" w:rsidRDefault="00543241" w:rsidP="00543241">
            <w:pPr>
              <w:jc w:val="right"/>
              <w:rPr>
                <w:rFonts w:ascii="Times New Roman" w:hAnsi="Times New Roman"/>
                <w:sz w:val="14"/>
                <w:szCs w:val="14"/>
              </w:rPr>
            </w:pPr>
            <w:r w:rsidRPr="000D1437">
              <w:rPr>
                <w:sz w:val="14"/>
                <w:szCs w:val="14"/>
              </w:rPr>
              <w:t>350369,32</w:t>
            </w:r>
          </w:p>
        </w:tc>
        <w:tc>
          <w:tcPr>
            <w:tcW w:w="1278" w:type="dxa"/>
            <w:tcBorders>
              <w:top w:val="nil"/>
              <w:left w:val="nil"/>
              <w:bottom w:val="single" w:sz="4" w:space="0" w:color="auto"/>
              <w:right w:val="single" w:sz="4" w:space="0" w:color="auto"/>
            </w:tcBorders>
            <w:shd w:val="clear" w:color="000000" w:fill="CCFFFF"/>
            <w:noWrap/>
            <w:vAlign w:val="bottom"/>
            <w:hideMark/>
          </w:tcPr>
          <w:p w14:paraId="1CCC6EF8" w14:textId="12ACEDD8" w:rsidR="00543241" w:rsidRPr="000D1437" w:rsidRDefault="00543241" w:rsidP="00543241">
            <w:pPr>
              <w:jc w:val="right"/>
              <w:rPr>
                <w:rFonts w:ascii="Times New Roman" w:hAnsi="Times New Roman"/>
                <w:sz w:val="14"/>
                <w:szCs w:val="14"/>
              </w:rPr>
            </w:pPr>
            <w:r w:rsidRPr="000D1437">
              <w:rPr>
                <w:sz w:val="14"/>
                <w:szCs w:val="14"/>
              </w:rPr>
              <w:t>328513,22</w:t>
            </w:r>
          </w:p>
        </w:tc>
        <w:tc>
          <w:tcPr>
            <w:tcW w:w="1262" w:type="dxa"/>
            <w:tcBorders>
              <w:top w:val="nil"/>
              <w:left w:val="nil"/>
              <w:bottom w:val="single" w:sz="4" w:space="0" w:color="auto"/>
              <w:right w:val="single" w:sz="4" w:space="0" w:color="auto"/>
            </w:tcBorders>
            <w:shd w:val="clear" w:color="000000" w:fill="CCFFFF"/>
            <w:vAlign w:val="bottom"/>
          </w:tcPr>
          <w:p w14:paraId="69C9DB96" w14:textId="0F2D43C0" w:rsidR="00543241" w:rsidRPr="000D1437" w:rsidRDefault="00543241" w:rsidP="00543241">
            <w:pPr>
              <w:jc w:val="right"/>
              <w:rPr>
                <w:rFonts w:ascii="Times New Roman" w:hAnsi="Times New Roman"/>
                <w:sz w:val="14"/>
                <w:szCs w:val="14"/>
              </w:rPr>
            </w:pPr>
            <w:r w:rsidRPr="000D1437">
              <w:rPr>
                <w:sz w:val="14"/>
                <w:szCs w:val="14"/>
              </w:rPr>
              <w:t>332676,71</w:t>
            </w:r>
          </w:p>
        </w:tc>
      </w:tr>
      <w:tr w:rsidR="00543241" w:rsidRPr="00364545" w14:paraId="6EEDC9D5"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1DAB6CF"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264" w:type="dxa"/>
            <w:tcBorders>
              <w:top w:val="nil"/>
              <w:left w:val="nil"/>
              <w:bottom w:val="single" w:sz="4" w:space="0" w:color="auto"/>
              <w:right w:val="single" w:sz="4" w:space="0" w:color="auto"/>
            </w:tcBorders>
            <w:shd w:val="clear" w:color="000000" w:fill="CCFFFF"/>
            <w:noWrap/>
            <w:vAlign w:val="bottom"/>
            <w:hideMark/>
          </w:tcPr>
          <w:p w14:paraId="2EA3F326" w14:textId="568CCCC7" w:rsidR="00543241" w:rsidRPr="000D1437" w:rsidRDefault="00543241" w:rsidP="00543241">
            <w:pPr>
              <w:jc w:val="right"/>
              <w:rPr>
                <w:rFonts w:ascii="Times New Roman" w:hAnsi="Times New Roman"/>
                <w:sz w:val="14"/>
                <w:szCs w:val="14"/>
              </w:rPr>
            </w:pPr>
            <w:r w:rsidRPr="000D1437">
              <w:rPr>
                <w:sz w:val="14"/>
                <w:szCs w:val="14"/>
              </w:rPr>
              <w:t>355614,20</w:t>
            </w:r>
          </w:p>
        </w:tc>
        <w:tc>
          <w:tcPr>
            <w:tcW w:w="1278" w:type="dxa"/>
            <w:tcBorders>
              <w:top w:val="nil"/>
              <w:left w:val="nil"/>
              <w:bottom w:val="single" w:sz="4" w:space="0" w:color="auto"/>
              <w:right w:val="single" w:sz="4" w:space="0" w:color="auto"/>
            </w:tcBorders>
            <w:shd w:val="clear" w:color="000000" w:fill="CCFFFF"/>
            <w:noWrap/>
            <w:vAlign w:val="bottom"/>
            <w:hideMark/>
          </w:tcPr>
          <w:p w14:paraId="62B3CB60" w14:textId="7298D8B0" w:rsidR="00543241" w:rsidRPr="000D1437" w:rsidRDefault="00543241" w:rsidP="00543241">
            <w:pPr>
              <w:jc w:val="right"/>
              <w:rPr>
                <w:rFonts w:ascii="Times New Roman" w:hAnsi="Times New Roman"/>
                <w:sz w:val="14"/>
                <w:szCs w:val="14"/>
              </w:rPr>
            </w:pPr>
            <w:r w:rsidRPr="000D1437">
              <w:rPr>
                <w:sz w:val="14"/>
                <w:szCs w:val="14"/>
              </w:rPr>
              <w:t>353767,24</w:t>
            </w:r>
          </w:p>
        </w:tc>
        <w:tc>
          <w:tcPr>
            <w:tcW w:w="1278" w:type="dxa"/>
            <w:tcBorders>
              <w:top w:val="nil"/>
              <w:left w:val="nil"/>
              <w:bottom w:val="single" w:sz="4" w:space="0" w:color="auto"/>
              <w:right w:val="single" w:sz="4" w:space="0" w:color="auto"/>
            </w:tcBorders>
            <w:shd w:val="clear" w:color="000000" w:fill="CCFFFF"/>
            <w:noWrap/>
            <w:vAlign w:val="bottom"/>
            <w:hideMark/>
          </w:tcPr>
          <w:p w14:paraId="268E0229" w14:textId="6CBDD571" w:rsidR="00543241" w:rsidRPr="000D1437" w:rsidRDefault="00543241" w:rsidP="00543241">
            <w:pPr>
              <w:jc w:val="right"/>
              <w:rPr>
                <w:rFonts w:ascii="Times New Roman" w:hAnsi="Times New Roman"/>
                <w:sz w:val="14"/>
                <w:szCs w:val="14"/>
              </w:rPr>
            </w:pPr>
            <w:r w:rsidRPr="000D1437">
              <w:rPr>
                <w:sz w:val="14"/>
                <w:szCs w:val="14"/>
              </w:rPr>
              <w:t>343810,81</w:t>
            </w:r>
          </w:p>
        </w:tc>
        <w:tc>
          <w:tcPr>
            <w:tcW w:w="1278" w:type="dxa"/>
            <w:tcBorders>
              <w:top w:val="nil"/>
              <w:left w:val="nil"/>
              <w:bottom w:val="single" w:sz="4" w:space="0" w:color="auto"/>
              <w:right w:val="single" w:sz="4" w:space="0" w:color="auto"/>
            </w:tcBorders>
            <w:shd w:val="clear" w:color="000000" w:fill="CCFFFF"/>
            <w:noWrap/>
            <w:vAlign w:val="bottom"/>
            <w:hideMark/>
          </w:tcPr>
          <w:p w14:paraId="30F5A208" w14:textId="49B2337B" w:rsidR="00543241" w:rsidRPr="000D1437" w:rsidRDefault="00543241" w:rsidP="00543241">
            <w:pPr>
              <w:jc w:val="right"/>
              <w:rPr>
                <w:rFonts w:ascii="Times New Roman" w:hAnsi="Times New Roman"/>
                <w:sz w:val="14"/>
                <w:szCs w:val="14"/>
              </w:rPr>
            </w:pPr>
            <w:r w:rsidRPr="000D1437">
              <w:rPr>
                <w:sz w:val="14"/>
                <w:szCs w:val="14"/>
              </w:rPr>
              <w:t>346147,96</w:t>
            </w:r>
          </w:p>
        </w:tc>
        <w:tc>
          <w:tcPr>
            <w:tcW w:w="1278" w:type="dxa"/>
            <w:tcBorders>
              <w:top w:val="nil"/>
              <w:left w:val="nil"/>
              <w:bottom w:val="single" w:sz="4" w:space="0" w:color="auto"/>
              <w:right w:val="single" w:sz="4" w:space="0" w:color="auto"/>
            </w:tcBorders>
            <w:shd w:val="clear" w:color="000000" w:fill="CCFFFF"/>
            <w:noWrap/>
            <w:vAlign w:val="bottom"/>
            <w:hideMark/>
          </w:tcPr>
          <w:p w14:paraId="5A55DD27" w14:textId="546DD105" w:rsidR="00543241" w:rsidRPr="000D1437" w:rsidRDefault="00543241" w:rsidP="00543241">
            <w:pPr>
              <w:jc w:val="right"/>
              <w:rPr>
                <w:rFonts w:ascii="Times New Roman" w:hAnsi="Times New Roman"/>
                <w:sz w:val="14"/>
                <w:szCs w:val="14"/>
              </w:rPr>
            </w:pPr>
            <w:r w:rsidRPr="000D1437">
              <w:rPr>
                <w:sz w:val="14"/>
                <w:szCs w:val="14"/>
              </w:rPr>
              <w:t>324522,20</w:t>
            </w:r>
          </w:p>
        </w:tc>
        <w:tc>
          <w:tcPr>
            <w:tcW w:w="1262" w:type="dxa"/>
            <w:tcBorders>
              <w:top w:val="nil"/>
              <w:left w:val="nil"/>
              <w:bottom w:val="single" w:sz="4" w:space="0" w:color="auto"/>
              <w:right w:val="single" w:sz="4" w:space="0" w:color="auto"/>
            </w:tcBorders>
            <w:shd w:val="clear" w:color="000000" w:fill="CCFFFF"/>
            <w:vAlign w:val="bottom"/>
          </w:tcPr>
          <w:p w14:paraId="2B120F9D" w14:textId="13F896C5" w:rsidR="00543241" w:rsidRPr="000D1437" w:rsidRDefault="00543241" w:rsidP="00543241">
            <w:pPr>
              <w:jc w:val="right"/>
              <w:rPr>
                <w:rFonts w:ascii="Times New Roman" w:hAnsi="Times New Roman"/>
                <w:sz w:val="14"/>
                <w:szCs w:val="14"/>
              </w:rPr>
            </w:pPr>
            <w:r w:rsidRPr="000D1437">
              <w:rPr>
                <w:sz w:val="14"/>
                <w:szCs w:val="14"/>
              </w:rPr>
              <w:t>329274,43</w:t>
            </w:r>
          </w:p>
        </w:tc>
      </w:tr>
      <w:tr w:rsidR="00543241" w:rsidRPr="00364545" w14:paraId="64A1BB63"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364DB61" w14:textId="5A981E99"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264" w:type="dxa"/>
            <w:tcBorders>
              <w:top w:val="nil"/>
              <w:left w:val="nil"/>
              <w:bottom w:val="single" w:sz="4" w:space="0" w:color="auto"/>
              <w:right w:val="single" w:sz="4" w:space="0" w:color="auto"/>
            </w:tcBorders>
            <w:shd w:val="clear" w:color="000000" w:fill="FFFFFF"/>
            <w:noWrap/>
            <w:vAlign w:val="bottom"/>
            <w:hideMark/>
          </w:tcPr>
          <w:p w14:paraId="3F40DA66" w14:textId="42BCB0E6" w:rsidR="00543241" w:rsidRPr="000D1437" w:rsidRDefault="00543241" w:rsidP="00543241">
            <w:pPr>
              <w:jc w:val="right"/>
              <w:rPr>
                <w:rFonts w:ascii="Times New Roman" w:hAnsi="Times New Roman"/>
                <w:sz w:val="14"/>
                <w:szCs w:val="14"/>
              </w:rPr>
            </w:pPr>
            <w:r w:rsidRPr="000D1437">
              <w:rPr>
                <w:sz w:val="14"/>
                <w:szCs w:val="14"/>
              </w:rPr>
              <w:t>61978,96</w:t>
            </w:r>
          </w:p>
        </w:tc>
        <w:tc>
          <w:tcPr>
            <w:tcW w:w="1278" w:type="dxa"/>
            <w:tcBorders>
              <w:top w:val="nil"/>
              <w:left w:val="nil"/>
              <w:bottom w:val="single" w:sz="4" w:space="0" w:color="auto"/>
              <w:right w:val="single" w:sz="4" w:space="0" w:color="auto"/>
            </w:tcBorders>
            <w:shd w:val="clear" w:color="000000" w:fill="FFFFFF"/>
            <w:noWrap/>
            <w:vAlign w:val="bottom"/>
            <w:hideMark/>
          </w:tcPr>
          <w:p w14:paraId="360763CE" w14:textId="5BDB3D45" w:rsidR="00543241" w:rsidRPr="000D1437" w:rsidRDefault="00543241" w:rsidP="00543241">
            <w:pPr>
              <w:jc w:val="right"/>
              <w:rPr>
                <w:rFonts w:ascii="Times New Roman" w:hAnsi="Times New Roman"/>
                <w:sz w:val="14"/>
                <w:szCs w:val="14"/>
              </w:rPr>
            </w:pPr>
            <w:r w:rsidRPr="000D1437">
              <w:rPr>
                <w:sz w:val="14"/>
                <w:szCs w:val="14"/>
              </w:rPr>
              <w:t>60824,41</w:t>
            </w:r>
          </w:p>
        </w:tc>
        <w:tc>
          <w:tcPr>
            <w:tcW w:w="1278" w:type="dxa"/>
            <w:tcBorders>
              <w:top w:val="nil"/>
              <w:left w:val="nil"/>
              <w:bottom w:val="single" w:sz="4" w:space="0" w:color="auto"/>
              <w:right w:val="single" w:sz="4" w:space="0" w:color="auto"/>
            </w:tcBorders>
            <w:shd w:val="clear" w:color="000000" w:fill="FFFFFF"/>
            <w:noWrap/>
            <w:vAlign w:val="bottom"/>
            <w:hideMark/>
          </w:tcPr>
          <w:p w14:paraId="548CAD20" w14:textId="04CA787B" w:rsidR="00543241" w:rsidRPr="000D1437" w:rsidRDefault="00543241" w:rsidP="00543241">
            <w:pPr>
              <w:jc w:val="right"/>
              <w:rPr>
                <w:rFonts w:ascii="Times New Roman" w:hAnsi="Times New Roman"/>
                <w:sz w:val="14"/>
                <w:szCs w:val="14"/>
              </w:rPr>
            </w:pPr>
            <w:r w:rsidRPr="000D1437">
              <w:rPr>
                <w:sz w:val="14"/>
                <w:szCs w:val="14"/>
              </w:rPr>
              <w:t>59030,96</w:t>
            </w:r>
          </w:p>
        </w:tc>
        <w:tc>
          <w:tcPr>
            <w:tcW w:w="1278" w:type="dxa"/>
            <w:tcBorders>
              <w:top w:val="nil"/>
              <w:left w:val="nil"/>
              <w:bottom w:val="single" w:sz="4" w:space="0" w:color="auto"/>
              <w:right w:val="single" w:sz="4" w:space="0" w:color="auto"/>
            </w:tcBorders>
            <w:shd w:val="clear" w:color="000000" w:fill="FFFFFF"/>
            <w:noWrap/>
            <w:vAlign w:val="bottom"/>
            <w:hideMark/>
          </w:tcPr>
          <w:p w14:paraId="33DA95EB" w14:textId="667CB630" w:rsidR="00543241" w:rsidRPr="000D1437" w:rsidRDefault="00543241" w:rsidP="00543241">
            <w:pPr>
              <w:jc w:val="right"/>
              <w:rPr>
                <w:rFonts w:ascii="Times New Roman" w:hAnsi="Times New Roman"/>
                <w:sz w:val="14"/>
                <w:szCs w:val="14"/>
              </w:rPr>
            </w:pPr>
            <w:r w:rsidRPr="000D1437">
              <w:rPr>
                <w:sz w:val="14"/>
                <w:szCs w:val="14"/>
              </w:rPr>
              <w:t>59651,60</w:t>
            </w:r>
          </w:p>
        </w:tc>
        <w:tc>
          <w:tcPr>
            <w:tcW w:w="1278" w:type="dxa"/>
            <w:tcBorders>
              <w:top w:val="nil"/>
              <w:left w:val="nil"/>
              <w:bottom w:val="single" w:sz="4" w:space="0" w:color="auto"/>
              <w:right w:val="single" w:sz="4" w:space="0" w:color="auto"/>
            </w:tcBorders>
            <w:shd w:val="clear" w:color="000000" w:fill="FFFFFF"/>
            <w:noWrap/>
            <w:vAlign w:val="bottom"/>
            <w:hideMark/>
          </w:tcPr>
          <w:p w14:paraId="63B6246C" w14:textId="59662F6B" w:rsidR="00543241" w:rsidRPr="000D1437" w:rsidRDefault="00543241" w:rsidP="00543241">
            <w:pPr>
              <w:jc w:val="right"/>
              <w:rPr>
                <w:rFonts w:ascii="Times New Roman" w:hAnsi="Times New Roman"/>
                <w:sz w:val="14"/>
                <w:szCs w:val="14"/>
              </w:rPr>
            </w:pPr>
            <w:r w:rsidRPr="000D1437">
              <w:rPr>
                <w:sz w:val="14"/>
                <w:szCs w:val="14"/>
              </w:rPr>
              <w:t>54397,75</w:t>
            </w:r>
          </w:p>
        </w:tc>
        <w:tc>
          <w:tcPr>
            <w:tcW w:w="1262" w:type="dxa"/>
            <w:tcBorders>
              <w:top w:val="nil"/>
              <w:left w:val="nil"/>
              <w:bottom w:val="single" w:sz="4" w:space="0" w:color="auto"/>
              <w:right w:val="single" w:sz="4" w:space="0" w:color="auto"/>
            </w:tcBorders>
            <w:shd w:val="clear" w:color="000000" w:fill="FFFFFF"/>
            <w:vAlign w:val="bottom"/>
          </w:tcPr>
          <w:p w14:paraId="5DA02B15" w14:textId="40360FDC" w:rsidR="00543241" w:rsidRPr="000D1437" w:rsidRDefault="00543241" w:rsidP="00543241">
            <w:pPr>
              <w:jc w:val="right"/>
              <w:rPr>
                <w:rFonts w:ascii="Times New Roman" w:hAnsi="Times New Roman"/>
                <w:sz w:val="14"/>
                <w:szCs w:val="14"/>
              </w:rPr>
            </w:pPr>
            <w:r w:rsidRPr="000D1437">
              <w:rPr>
                <w:sz w:val="14"/>
                <w:szCs w:val="14"/>
              </w:rPr>
              <w:t>56623,09</w:t>
            </w:r>
          </w:p>
        </w:tc>
      </w:tr>
      <w:tr w:rsidR="00543241" w:rsidRPr="00364545" w14:paraId="712F2BDA"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B9EC159" w14:textId="18DAC22E"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264" w:type="dxa"/>
            <w:tcBorders>
              <w:top w:val="nil"/>
              <w:left w:val="nil"/>
              <w:bottom w:val="single" w:sz="4" w:space="0" w:color="auto"/>
              <w:right w:val="single" w:sz="4" w:space="0" w:color="auto"/>
            </w:tcBorders>
            <w:shd w:val="clear" w:color="000000" w:fill="FFFFFF"/>
            <w:noWrap/>
            <w:vAlign w:val="bottom"/>
            <w:hideMark/>
          </w:tcPr>
          <w:p w14:paraId="046C3AE4" w14:textId="750B4BA7" w:rsidR="00543241" w:rsidRPr="000D1437" w:rsidRDefault="00543241" w:rsidP="00543241">
            <w:pPr>
              <w:jc w:val="right"/>
              <w:rPr>
                <w:rFonts w:ascii="Times New Roman" w:hAnsi="Times New Roman"/>
                <w:sz w:val="14"/>
                <w:szCs w:val="14"/>
              </w:rPr>
            </w:pPr>
            <w:r w:rsidRPr="000D1437">
              <w:rPr>
                <w:sz w:val="14"/>
                <w:szCs w:val="14"/>
              </w:rPr>
              <w:t>63097,22</w:t>
            </w:r>
          </w:p>
        </w:tc>
        <w:tc>
          <w:tcPr>
            <w:tcW w:w="1278" w:type="dxa"/>
            <w:tcBorders>
              <w:top w:val="nil"/>
              <w:left w:val="nil"/>
              <w:bottom w:val="single" w:sz="4" w:space="0" w:color="auto"/>
              <w:right w:val="single" w:sz="4" w:space="0" w:color="auto"/>
            </w:tcBorders>
            <w:shd w:val="clear" w:color="000000" w:fill="FFFFFF"/>
            <w:noWrap/>
            <w:vAlign w:val="bottom"/>
            <w:hideMark/>
          </w:tcPr>
          <w:p w14:paraId="471C0236" w14:textId="4D62329D" w:rsidR="00543241" w:rsidRPr="000D1437" w:rsidRDefault="00543241" w:rsidP="00543241">
            <w:pPr>
              <w:jc w:val="right"/>
              <w:rPr>
                <w:rFonts w:ascii="Times New Roman" w:hAnsi="Times New Roman"/>
                <w:sz w:val="14"/>
                <w:szCs w:val="14"/>
              </w:rPr>
            </w:pPr>
            <w:r w:rsidRPr="000D1437">
              <w:rPr>
                <w:sz w:val="14"/>
                <w:szCs w:val="14"/>
              </w:rPr>
              <w:t>61289,79</w:t>
            </w:r>
          </w:p>
        </w:tc>
        <w:tc>
          <w:tcPr>
            <w:tcW w:w="1278" w:type="dxa"/>
            <w:tcBorders>
              <w:top w:val="nil"/>
              <w:left w:val="nil"/>
              <w:bottom w:val="single" w:sz="4" w:space="0" w:color="auto"/>
              <w:right w:val="single" w:sz="4" w:space="0" w:color="auto"/>
            </w:tcBorders>
            <w:shd w:val="clear" w:color="000000" w:fill="FFFFFF"/>
            <w:noWrap/>
            <w:vAlign w:val="bottom"/>
            <w:hideMark/>
          </w:tcPr>
          <w:p w14:paraId="188DB31A" w14:textId="4B3C8F12" w:rsidR="00543241" w:rsidRPr="000D1437" w:rsidRDefault="00543241" w:rsidP="00543241">
            <w:pPr>
              <w:jc w:val="right"/>
              <w:rPr>
                <w:rFonts w:ascii="Times New Roman" w:hAnsi="Times New Roman"/>
                <w:sz w:val="14"/>
                <w:szCs w:val="14"/>
              </w:rPr>
            </w:pPr>
            <w:r w:rsidRPr="000D1437">
              <w:rPr>
                <w:sz w:val="14"/>
                <w:szCs w:val="14"/>
              </w:rPr>
              <w:t>52489,60</w:t>
            </w:r>
          </w:p>
        </w:tc>
        <w:tc>
          <w:tcPr>
            <w:tcW w:w="1278" w:type="dxa"/>
            <w:tcBorders>
              <w:top w:val="nil"/>
              <w:left w:val="nil"/>
              <w:bottom w:val="single" w:sz="4" w:space="0" w:color="auto"/>
              <w:right w:val="single" w:sz="4" w:space="0" w:color="auto"/>
            </w:tcBorders>
            <w:shd w:val="clear" w:color="000000" w:fill="FFFFFF"/>
            <w:noWrap/>
            <w:vAlign w:val="bottom"/>
            <w:hideMark/>
          </w:tcPr>
          <w:p w14:paraId="0F1CABFD" w14:textId="6D497DCD" w:rsidR="00543241" w:rsidRPr="000D1437" w:rsidRDefault="00543241" w:rsidP="00543241">
            <w:pPr>
              <w:jc w:val="right"/>
              <w:rPr>
                <w:rFonts w:ascii="Times New Roman" w:hAnsi="Times New Roman"/>
                <w:sz w:val="14"/>
                <w:szCs w:val="14"/>
              </w:rPr>
            </w:pPr>
            <w:r w:rsidRPr="000D1437">
              <w:rPr>
                <w:sz w:val="14"/>
                <w:szCs w:val="14"/>
              </w:rPr>
              <w:t>55776,16</w:t>
            </w:r>
          </w:p>
        </w:tc>
        <w:tc>
          <w:tcPr>
            <w:tcW w:w="1278" w:type="dxa"/>
            <w:tcBorders>
              <w:top w:val="nil"/>
              <w:left w:val="nil"/>
              <w:bottom w:val="single" w:sz="4" w:space="0" w:color="auto"/>
              <w:right w:val="single" w:sz="4" w:space="0" w:color="auto"/>
            </w:tcBorders>
            <w:shd w:val="clear" w:color="000000" w:fill="FFFFFF"/>
            <w:noWrap/>
            <w:vAlign w:val="bottom"/>
            <w:hideMark/>
          </w:tcPr>
          <w:p w14:paraId="59FEBD95" w14:textId="376C20A0" w:rsidR="00543241" w:rsidRPr="000D1437" w:rsidRDefault="00543241" w:rsidP="00543241">
            <w:pPr>
              <w:jc w:val="right"/>
              <w:rPr>
                <w:rFonts w:ascii="Times New Roman" w:hAnsi="Times New Roman"/>
                <w:sz w:val="14"/>
                <w:szCs w:val="14"/>
              </w:rPr>
            </w:pPr>
            <w:r w:rsidRPr="000D1437">
              <w:rPr>
                <w:sz w:val="14"/>
                <w:szCs w:val="14"/>
              </w:rPr>
              <w:t>52467,89</w:t>
            </w:r>
          </w:p>
        </w:tc>
        <w:tc>
          <w:tcPr>
            <w:tcW w:w="1262" w:type="dxa"/>
            <w:tcBorders>
              <w:top w:val="nil"/>
              <w:left w:val="nil"/>
              <w:bottom w:val="single" w:sz="4" w:space="0" w:color="auto"/>
              <w:right w:val="single" w:sz="4" w:space="0" w:color="auto"/>
            </w:tcBorders>
            <w:shd w:val="clear" w:color="000000" w:fill="FFFFFF"/>
            <w:vAlign w:val="bottom"/>
          </w:tcPr>
          <w:p w14:paraId="1CBBF192" w14:textId="4A2C7D68" w:rsidR="00543241" w:rsidRPr="000D1437" w:rsidRDefault="00543241" w:rsidP="00543241">
            <w:pPr>
              <w:jc w:val="right"/>
              <w:rPr>
                <w:rFonts w:ascii="Times New Roman" w:hAnsi="Times New Roman"/>
                <w:sz w:val="14"/>
                <w:szCs w:val="14"/>
              </w:rPr>
            </w:pPr>
            <w:r w:rsidRPr="000D1437">
              <w:rPr>
                <w:sz w:val="14"/>
                <w:szCs w:val="14"/>
              </w:rPr>
              <w:t>51136,22</w:t>
            </w:r>
          </w:p>
        </w:tc>
      </w:tr>
      <w:tr w:rsidR="00543241" w:rsidRPr="00364545" w14:paraId="293A68D2"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9B244C7" w14:textId="1B581616"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264" w:type="dxa"/>
            <w:tcBorders>
              <w:top w:val="nil"/>
              <w:left w:val="nil"/>
              <w:bottom w:val="single" w:sz="4" w:space="0" w:color="auto"/>
              <w:right w:val="single" w:sz="4" w:space="0" w:color="auto"/>
            </w:tcBorders>
            <w:shd w:val="clear" w:color="000000" w:fill="FFFFFF"/>
            <w:noWrap/>
            <w:vAlign w:val="bottom"/>
            <w:hideMark/>
          </w:tcPr>
          <w:p w14:paraId="0705666E" w14:textId="27D3CC1C" w:rsidR="00543241" w:rsidRPr="000D1437" w:rsidRDefault="00543241" w:rsidP="00543241">
            <w:pPr>
              <w:jc w:val="right"/>
              <w:rPr>
                <w:rFonts w:ascii="Times New Roman" w:hAnsi="Times New Roman"/>
                <w:sz w:val="14"/>
                <w:szCs w:val="14"/>
              </w:rPr>
            </w:pPr>
            <w:r w:rsidRPr="000D1437">
              <w:rPr>
                <w:sz w:val="14"/>
                <w:szCs w:val="14"/>
              </w:rPr>
              <w:t>138589,80</w:t>
            </w:r>
          </w:p>
        </w:tc>
        <w:tc>
          <w:tcPr>
            <w:tcW w:w="1278" w:type="dxa"/>
            <w:tcBorders>
              <w:top w:val="nil"/>
              <w:left w:val="nil"/>
              <w:bottom w:val="single" w:sz="4" w:space="0" w:color="auto"/>
              <w:right w:val="single" w:sz="4" w:space="0" w:color="auto"/>
            </w:tcBorders>
            <w:shd w:val="clear" w:color="000000" w:fill="FFFFFF"/>
            <w:noWrap/>
            <w:vAlign w:val="bottom"/>
            <w:hideMark/>
          </w:tcPr>
          <w:p w14:paraId="75373F28" w14:textId="034A1309" w:rsidR="00543241" w:rsidRPr="000D1437" w:rsidRDefault="00543241" w:rsidP="00543241">
            <w:pPr>
              <w:jc w:val="right"/>
              <w:rPr>
                <w:rFonts w:ascii="Times New Roman" w:hAnsi="Times New Roman"/>
                <w:sz w:val="14"/>
                <w:szCs w:val="14"/>
              </w:rPr>
            </w:pPr>
            <w:r w:rsidRPr="000D1437">
              <w:rPr>
                <w:sz w:val="14"/>
                <w:szCs w:val="14"/>
              </w:rPr>
              <w:t>132915,14</w:t>
            </w:r>
          </w:p>
        </w:tc>
        <w:tc>
          <w:tcPr>
            <w:tcW w:w="1278" w:type="dxa"/>
            <w:tcBorders>
              <w:top w:val="nil"/>
              <w:left w:val="nil"/>
              <w:bottom w:val="single" w:sz="4" w:space="0" w:color="auto"/>
              <w:right w:val="single" w:sz="4" w:space="0" w:color="auto"/>
            </w:tcBorders>
            <w:shd w:val="clear" w:color="000000" w:fill="FFFFFF"/>
            <w:noWrap/>
            <w:vAlign w:val="bottom"/>
            <w:hideMark/>
          </w:tcPr>
          <w:p w14:paraId="637EE062" w14:textId="4BC8F0F9" w:rsidR="00543241" w:rsidRPr="000D1437" w:rsidRDefault="00543241" w:rsidP="00543241">
            <w:pPr>
              <w:jc w:val="right"/>
              <w:rPr>
                <w:rFonts w:ascii="Times New Roman" w:hAnsi="Times New Roman"/>
                <w:sz w:val="14"/>
                <w:szCs w:val="14"/>
              </w:rPr>
            </w:pPr>
            <w:r w:rsidRPr="000D1437">
              <w:rPr>
                <w:sz w:val="14"/>
                <w:szCs w:val="14"/>
              </w:rPr>
              <w:t>131408,96</w:t>
            </w:r>
          </w:p>
        </w:tc>
        <w:tc>
          <w:tcPr>
            <w:tcW w:w="1278" w:type="dxa"/>
            <w:tcBorders>
              <w:top w:val="nil"/>
              <w:left w:val="nil"/>
              <w:bottom w:val="single" w:sz="4" w:space="0" w:color="auto"/>
              <w:right w:val="single" w:sz="4" w:space="0" w:color="auto"/>
            </w:tcBorders>
            <w:shd w:val="clear" w:color="000000" w:fill="FFFFFF"/>
            <w:noWrap/>
            <w:vAlign w:val="bottom"/>
            <w:hideMark/>
          </w:tcPr>
          <w:p w14:paraId="1572FD60" w14:textId="76D15CD8" w:rsidR="00543241" w:rsidRPr="000D1437" w:rsidRDefault="00543241" w:rsidP="00543241">
            <w:pPr>
              <w:jc w:val="right"/>
              <w:rPr>
                <w:rFonts w:ascii="Times New Roman" w:hAnsi="Times New Roman"/>
                <w:sz w:val="14"/>
                <w:szCs w:val="14"/>
              </w:rPr>
            </w:pPr>
            <w:r w:rsidRPr="000D1437">
              <w:rPr>
                <w:sz w:val="14"/>
                <w:szCs w:val="14"/>
              </w:rPr>
              <w:t>132265,79</w:t>
            </w:r>
          </w:p>
        </w:tc>
        <w:tc>
          <w:tcPr>
            <w:tcW w:w="1278" w:type="dxa"/>
            <w:tcBorders>
              <w:top w:val="nil"/>
              <w:left w:val="nil"/>
              <w:bottom w:val="single" w:sz="4" w:space="0" w:color="auto"/>
              <w:right w:val="single" w:sz="4" w:space="0" w:color="auto"/>
            </w:tcBorders>
            <w:shd w:val="clear" w:color="000000" w:fill="FFFFFF"/>
            <w:noWrap/>
            <w:vAlign w:val="bottom"/>
            <w:hideMark/>
          </w:tcPr>
          <w:p w14:paraId="776F0352" w14:textId="58E3B9E3" w:rsidR="00543241" w:rsidRPr="000D1437" w:rsidRDefault="00543241" w:rsidP="00543241">
            <w:pPr>
              <w:jc w:val="right"/>
              <w:rPr>
                <w:rFonts w:ascii="Times New Roman" w:hAnsi="Times New Roman"/>
                <w:sz w:val="14"/>
                <w:szCs w:val="14"/>
              </w:rPr>
            </w:pPr>
            <w:r w:rsidRPr="000D1437">
              <w:rPr>
                <w:sz w:val="14"/>
                <w:szCs w:val="14"/>
              </w:rPr>
              <w:t>133191,86</w:t>
            </w:r>
          </w:p>
        </w:tc>
        <w:tc>
          <w:tcPr>
            <w:tcW w:w="1262" w:type="dxa"/>
            <w:tcBorders>
              <w:top w:val="nil"/>
              <w:left w:val="nil"/>
              <w:bottom w:val="single" w:sz="4" w:space="0" w:color="auto"/>
              <w:right w:val="single" w:sz="4" w:space="0" w:color="auto"/>
            </w:tcBorders>
            <w:shd w:val="clear" w:color="000000" w:fill="FFFFFF"/>
            <w:vAlign w:val="bottom"/>
          </w:tcPr>
          <w:p w14:paraId="78DF4A82" w14:textId="335F1734" w:rsidR="00543241" w:rsidRPr="000D1437" w:rsidRDefault="00543241" w:rsidP="00543241">
            <w:pPr>
              <w:jc w:val="right"/>
              <w:rPr>
                <w:rFonts w:ascii="Times New Roman" w:hAnsi="Times New Roman"/>
                <w:sz w:val="14"/>
                <w:szCs w:val="14"/>
              </w:rPr>
            </w:pPr>
            <w:r w:rsidRPr="000D1437">
              <w:rPr>
                <w:sz w:val="14"/>
                <w:szCs w:val="14"/>
              </w:rPr>
              <w:t>131486,27</w:t>
            </w:r>
          </w:p>
        </w:tc>
      </w:tr>
      <w:tr w:rsidR="00543241" w:rsidRPr="00364545" w14:paraId="1850DEB1"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0D4030D" w14:textId="1D540663"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264" w:type="dxa"/>
            <w:tcBorders>
              <w:top w:val="nil"/>
              <w:left w:val="nil"/>
              <w:bottom w:val="single" w:sz="4" w:space="0" w:color="auto"/>
              <w:right w:val="single" w:sz="4" w:space="0" w:color="auto"/>
            </w:tcBorders>
            <w:shd w:val="clear" w:color="000000" w:fill="FFFFFF"/>
            <w:noWrap/>
            <w:vAlign w:val="bottom"/>
            <w:hideMark/>
          </w:tcPr>
          <w:p w14:paraId="2085DD7F" w14:textId="6209E248" w:rsidR="00543241" w:rsidRPr="000D1437" w:rsidRDefault="00543241" w:rsidP="00543241">
            <w:pPr>
              <w:jc w:val="right"/>
              <w:rPr>
                <w:rFonts w:ascii="Times New Roman" w:hAnsi="Times New Roman"/>
                <w:sz w:val="14"/>
                <w:szCs w:val="14"/>
              </w:rPr>
            </w:pPr>
            <w:r w:rsidRPr="000D1437">
              <w:rPr>
                <w:sz w:val="14"/>
                <w:szCs w:val="14"/>
              </w:rPr>
              <w:t>89429,38</w:t>
            </w:r>
          </w:p>
        </w:tc>
        <w:tc>
          <w:tcPr>
            <w:tcW w:w="1278" w:type="dxa"/>
            <w:tcBorders>
              <w:top w:val="nil"/>
              <w:left w:val="nil"/>
              <w:bottom w:val="single" w:sz="4" w:space="0" w:color="auto"/>
              <w:right w:val="single" w:sz="4" w:space="0" w:color="auto"/>
            </w:tcBorders>
            <w:shd w:val="clear" w:color="000000" w:fill="FFFFFF"/>
            <w:noWrap/>
            <w:vAlign w:val="bottom"/>
            <w:hideMark/>
          </w:tcPr>
          <w:p w14:paraId="4A8F0776" w14:textId="303ACD6F" w:rsidR="00543241" w:rsidRPr="000D1437" w:rsidRDefault="00543241" w:rsidP="00543241">
            <w:pPr>
              <w:jc w:val="right"/>
              <w:rPr>
                <w:rFonts w:ascii="Times New Roman" w:hAnsi="Times New Roman"/>
                <w:sz w:val="14"/>
                <w:szCs w:val="14"/>
              </w:rPr>
            </w:pPr>
            <w:r w:rsidRPr="000D1437">
              <w:rPr>
                <w:sz w:val="14"/>
                <w:szCs w:val="14"/>
              </w:rPr>
              <w:t>96203,55</w:t>
            </w:r>
          </w:p>
        </w:tc>
        <w:tc>
          <w:tcPr>
            <w:tcW w:w="1278" w:type="dxa"/>
            <w:tcBorders>
              <w:top w:val="nil"/>
              <w:left w:val="nil"/>
              <w:bottom w:val="single" w:sz="4" w:space="0" w:color="auto"/>
              <w:right w:val="single" w:sz="4" w:space="0" w:color="auto"/>
            </w:tcBorders>
            <w:shd w:val="clear" w:color="000000" w:fill="FFFFFF"/>
            <w:noWrap/>
            <w:vAlign w:val="bottom"/>
            <w:hideMark/>
          </w:tcPr>
          <w:p w14:paraId="6C1E07CA" w14:textId="5AE7D6AB" w:rsidR="00543241" w:rsidRPr="000D1437" w:rsidRDefault="00543241" w:rsidP="00543241">
            <w:pPr>
              <w:jc w:val="right"/>
              <w:rPr>
                <w:rFonts w:ascii="Times New Roman" w:hAnsi="Times New Roman"/>
                <w:sz w:val="14"/>
                <w:szCs w:val="14"/>
              </w:rPr>
            </w:pPr>
            <w:r w:rsidRPr="000D1437">
              <w:rPr>
                <w:sz w:val="14"/>
                <w:szCs w:val="14"/>
              </w:rPr>
              <w:t>98624,62</w:t>
            </w:r>
          </w:p>
        </w:tc>
        <w:tc>
          <w:tcPr>
            <w:tcW w:w="1278" w:type="dxa"/>
            <w:tcBorders>
              <w:top w:val="nil"/>
              <w:left w:val="nil"/>
              <w:bottom w:val="single" w:sz="4" w:space="0" w:color="auto"/>
              <w:right w:val="single" w:sz="4" w:space="0" w:color="auto"/>
            </w:tcBorders>
            <w:shd w:val="clear" w:color="000000" w:fill="FFFFFF"/>
            <w:noWrap/>
            <w:vAlign w:val="bottom"/>
            <w:hideMark/>
          </w:tcPr>
          <w:p w14:paraId="571DCCFD" w14:textId="0B233292" w:rsidR="00543241" w:rsidRPr="000D1437" w:rsidRDefault="00543241" w:rsidP="00543241">
            <w:pPr>
              <w:jc w:val="right"/>
              <w:rPr>
                <w:rFonts w:ascii="Times New Roman" w:hAnsi="Times New Roman"/>
                <w:sz w:val="14"/>
                <w:szCs w:val="14"/>
              </w:rPr>
            </w:pPr>
            <w:r w:rsidRPr="000D1437">
              <w:rPr>
                <w:sz w:val="14"/>
                <w:szCs w:val="14"/>
              </w:rPr>
              <w:t>96196,18</w:t>
            </w:r>
          </w:p>
        </w:tc>
        <w:tc>
          <w:tcPr>
            <w:tcW w:w="1278" w:type="dxa"/>
            <w:tcBorders>
              <w:top w:val="nil"/>
              <w:left w:val="nil"/>
              <w:bottom w:val="single" w:sz="4" w:space="0" w:color="auto"/>
              <w:right w:val="single" w:sz="4" w:space="0" w:color="auto"/>
            </w:tcBorders>
            <w:shd w:val="clear" w:color="000000" w:fill="FFFFFF"/>
            <w:noWrap/>
            <w:vAlign w:val="bottom"/>
            <w:hideMark/>
          </w:tcPr>
          <w:p w14:paraId="2D4DE273" w14:textId="6057B359" w:rsidR="00543241" w:rsidRPr="000D1437" w:rsidRDefault="00543241" w:rsidP="00543241">
            <w:pPr>
              <w:jc w:val="right"/>
              <w:rPr>
                <w:rFonts w:ascii="Times New Roman" w:hAnsi="Times New Roman"/>
                <w:sz w:val="14"/>
                <w:szCs w:val="14"/>
              </w:rPr>
            </w:pPr>
            <w:r w:rsidRPr="000D1437">
              <w:rPr>
                <w:sz w:val="14"/>
                <w:szCs w:val="14"/>
              </w:rPr>
              <w:t>81814,08</w:t>
            </w:r>
          </w:p>
        </w:tc>
        <w:tc>
          <w:tcPr>
            <w:tcW w:w="1262" w:type="dxa"/>
            <w:tcBorders>
              <w:top w:val="nil"/>
              <w:left w:val="nil"/>
              <w:bottom w:val="single" w:sz="4" w:space="0" w:color="auto"/>
              <w:right w:val="single" w:sz="4" w:space="0" w:color="auto"/>
            </w:tcBorders>
            <w:shd w:val="clear" w:color="000000" w:fill="FFFFFF"/>
            <w:vAlign w:val="bottom"/>
          </w:tcPr>
          <w:p w14:paraId="1FF515C5" w14:textId="1F8852E6" w:rsidR="00543241" w:rsidRPr="000D1437" w:rsidRDefault="00543241" w:rsidP="00543241">
            <w:pPr>
              <w:jc w:val="right"/>
              <w:rPr>
                <w:rFonts w:ascii="Times New Roman" w:hAnsi="Times New Roman"/>
                <w:sz w:val="14"/>
                <w:szCs w:val="14"/>
              </w:rPr>
            </w:pPr>
            <w:r w:rsidRPr="000D1437">
              <w:rPr>
                <w:sz w:val="14"/>
                <w:szCs w:val="14"/>
              </w:rPr>
              <w:t>87745,20</w:t>
            </w:r>
          </w:p>
        </w:tc>
      </w:tr>
      <w:tr w:rsidR="00543241" w:rsidRPr="00364545" w14:paraId="073834C5"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17BE1A6" w14:textId="3B85C6E0"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264" w:type="dxa"/>
            <w:tcBorders>
              <w:top w:val="nil"/>
              <w:left w:val="nil"/>
              <w:bottom w:val="single" w:sz="4" w:space="0" w:color="auto"/>
              <w:right w:val="single" w:sz="4" w:space="0" w:color="auto"/>
            </w:tcBorders>
            <w:shd w:val="clear" w:color="000000" w:fill="FFFFFF"/>
            <w:noWrap/>
            <w:vAlign w:val="bottom"/>
            <w:hideMark/>
          </w:tcPr>
          <w:p w14:paraId="388C83BC" w14:textId="4BE0F4CE" w:rsidR="00543241" w:rsidRPr="000D1437" w:rsidRDefault="00543241" w:rsidP="00543241">
            <w:pPr>
              <w:jc w:val="right"/>
              <w:rPr>
                <w:rFonts w:ascii="Times New Roman" w:hAnsi="Times New Roman"/>
                <w:sz w:val="14"/>
                <w:szCs w:val="14"/>
              </w:rPr>
            </w:pPr>
            <w:r w:rsidRPr="000D1437">
              <w:rPr>
                <w:sz w:val="14"/>
                <w:szCs w:val="14"/>
              </w:rPr>
              <w:t>2518,82</w:t>
            </w:r>
          </w:p>
        </w:tc>
        <w:tc>
          <w:tcPr>
            <w:tcW w:w="1278" w:type="dxa"/>
            <w:tcBorders>
              <w:top w:val="nil"/>
              <w:left w:val="nil"/>
              <w:bottom w:val="single" w:sz="4" w:space="0" w:color="auto"/>
              <w:right w:val="single" w:sz="4" w:space="0" w:color="auto"/>
            </w:tcBorders>
            <w:shd w:val="clear" w:color="000000" w:fill="FFFFFF"/>
            <w:noWrap/>
            <w:vAlign w:val="bottom"/>
            <w:hideMark/>
          </w:tcPr>
          <w:p w14:paraId="01A68277" w14:textId="101C65F8" w:rsidR="00543241" w:rsidRPr="000D1437" w:rsidRDefault="00543241" w:rsidP="00543241">
            <w:pPr>
              <w:jc w:val="right"/>
              <w:rPr>
                <w:rFonts w:ascii="Times New Roman" w:hAnsi="Times New Roman"/>
                <w:sz w:val="14"/>
                <w:szCs w:val="14"/>
              </w:rPr>
            </w:pPr>
            <w:r w:rsidRPr="000D1437">
              <w:rPr>
                <w:sz w:val="14"/>
                <w:szCs w:val="14"/>
              </w:rPr>
              <w:t>2534,36</w:t>
            </w:r>
          </w:p>
        </w:tc>
        <w:tc>
          <w:tcPr>
            <w:tcW w:w="1278" w:type="dxa"/>
            <w:tcBorders>
              <w:top w:val="nil"/>
              <w:left w:val="nil"/>
              <w:bottom w:val="single" w:sz="4" w:space="0" w:color="auto"/>
              <w:right w:val="single" w:sz="4" w:space="0" w:color="auto"/>
            </w:tcBorders>
            <w:shd w:val="clear" w:color="000000" w:fill="FFFFFF"/>
            <w:noWrap/>
            <w:vAlign w:val="bottom"/>
            <w:hideMark/>
          </w:tcPr>
          <w:p w14:paraId="6BE7C76D" w14:textId="2C809A7C" w:rsidR="00543241" w:rsidRPr="000D1437" w:rsidRDefault="00543241" w:rsidP="00543241">
            <w:pPr>
              <w:jc w:val="right"/>
              <w:rPr>
                <w:rFonts w:ascii="Times New Roman" w:hAnsi="Times New Roman"/>
                <w:sz w:val="14"/>
                <w:szCs w:val="14"/>
              </w:rPr>
            </w:pPr>
            <w:r w:rsidRPr="000D1437">
              <w:rPr>
                <w:sz w:val="14"/>
                <w:szCs w:val="14"/>
              </w:rPr>
              <w:t>2256,68</w:t>
            </w:r>
          </w:p>
        </w:tc>
        <w:tc>
          <w:tcPr>
            <w:tcW w:w="1278" w:type="dxa"/>
            <w:tcBorders>
              <w:top w:val="nil"/>
              <w:left w:val="nil"/>
              <w:bottom w:val="single" w:sz="4" w:space="0" w:color="auto"/>
              <w:right w:val="single" w:sz="4" w:space="0" w:color="auto"/>
            </w:tcBorders>
            <w:shd w:val="clear" w:color="000000" w:fill="FFFFFF"/>
            <w:noWrap/>
            <w:vAlign w:val="bottom"/>
            <w:hideMark/>
          </w:tcPr>
          <w:p w14:paraId="35DA8348" w14:textId="5CB35426" w:rsidR="00543241" w:rsidRPr="000D1437" w:rsidRDefault="00543241" w:rsidP="00543241">
            <w:pPr>
              <w:jc w:val="right"/>
              <w:rPr>
                <w:rFonts w:ascii="Times New Roman" w:hAnsi="Times New Roman"/>
                <w:sz w:val="14"/>
                <w:szCs w:val="14"/>
              </w:rPr>
            </w:pPr>
            <w:r w:rsidRPr="000D1437">
              <w:rPr>
                <w:sz w:val="14"/>
                <w:szCs w:val="14"/>
              </w:rPr>
              <w:t>2258,22</w:t>
            </w:r>
          </w:p>
        </w:tc>
        <w:tc>
          <w:tcPr>
            <w:tcW w:w="1278" w:type="dxa"/>
            <w:tcBorders>
              <w:top w:val="nil"/>
              <w:left w:val="nil"/>
              <w:bottom w:val="single" w:sz="4" w:space="0" w:color="auto"/>
              <w:right w:val="single" w:sz="4" w:space="0" w:color="auto"/>
            </w:tcBorders>
            <w:shd w:val="clear" w:color="000000" w:fill="FFFFFF"/>
            <w:noWrap/>
            <w:vAlign w:val="bottom"/>
            <w:hideMark/>
          </w:tcPr>
          <w:p w14:paraId="1AEB28B7" w14:textId="66B00C1F" w:rsidR="00543241" w:rsidRPr="000D1437" w:rsidRDefault="00543241" w:rsidP="00543241">
            <w:pPr>
              <w:jc w:val="right"/>
              <w:rPr>
                <w:rFonts w:ascii="Times New Roman" w:hAnsi="Times New Roman"/>
                <w:sz w:val="14"/>
                <w:szCs w:val="14"/>
              </w:rPr>
            </w:pPr>
            <w:r w:rsidRPr="000D1437">
              <w:rPr>
                <w:sz w:val="14"/>
                <w:szCs w:val="14"/>
              </w:rPr>
              <w:t>2650,62</w:t>
            </w:r>
          </w:p>
        </w:tc>
        <w:tc>
          <w:tcPr>
            <w:tcW w:w="1262" w:type="dxa"/>
            <w:tcBorders>
              <w:top w:val="nil"/>
              <w:left w:val="nil"/>
              <w:bottom w:val="single" w:sz="4" w:space="0" w:color="auto"/>
              <w:right w:val="single" w:sz="4" w:space="0" w:color="auto"/>
            </w:tcBorders>
            <w:shd w:val="clear" w:color="000000" w:fill="FFFFFF"/>
            <w:vAlign w:val="bottom"/>
          </w:tcPr>
          <w:p w14:paraId="4A85B9DD" w14:textId="0ACDE4B2" w:rsidR="00543241" w:rsidRPr="000D1437" w:rsidRDefault="00543241" w:rsidP="00543241">
            <w:pPr>
              <w:jc w:val="right"/>
              <w:rPr>
                <w:rFonts w:ascii="Times New Roman" w:hAnsi="Times New Roman"/>
                <w:sz w:val="14"/>
                <w:szCs w:val="14"/>
              </w:rPr>
            </w:pPr>
            <w:r w:rsidRPr="000D1437">
              <w:rPr>
                <w:sz w:val="14"/>
                <w:szCs w:val="14"/>
              </w:rPr>
              <w:t>2283,65</w:t>
            </w:r>
          </w:p>
        </w:tc>
      </w:tr>
      <w:tr w:rsidR="00543241" w:rsidRPr="00364545" w14:paraId="239894CD"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24D291C"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264" w:type="dxa"/>
            <w:tcBorders>
              <w:top w:val="nil"/>
              <w:left w:val="nil"/>
              <w:bottom w:val="single" w:sz="4" w:space="0" w:color="auto"/>
              <w:right w:val="single" w:sz="4" w:space="0" w:color="auto"/>
            </w:tcBorders>
            <w:shd w:val="clear" w:color="000000" w:fill="CCFFFF"/>
            <w:noWrap/>
            <w:vAlign w:val="bottom"/>
            <w:hideMark/>
          </w:tcPr>
          <w:p w14:paraId="352ECBD9" w14:textId="17CB3591" w:rsidR="00543241" w:rsidRPr="000D1437" w:rsidRDefault="00543241" w:rsidP="00543241">
            <w:pPr>
              <w:jc w:val="right"/>
              <w:rPr>
                <w:rFonts w:ascii="Times New Roman" w:hAnsi="Times New Roman"/>
                <w:sz w:val="14"/>
                <w:szCs w:val="14"/>
              </w:rPr>
            </w:pPr>
            <w:r w:rsidRPr="000D1437">
              <w:rPr>
                <w:sz w:val="14"/>
                <w:szCs w:val="14"/>
              </w:rPr>
              <w:t>4625,31</w:t>
            </w:r>
          </w:p>
        </w:tc>
        <w:tc>
          <w:tcPr>
            <w:tcW w:w="1278" w:type="dxa"/>
            <w:tcBorders>
              <w:top w:val="nil"/>
              <w:left w:val="nil"/>
              <w:bottom w:val="single" w:sz="4" w:space="0" w:color="auto"/>
              <w:right w:val="single" w:sz="4" w:space="0" w:color="auto"/>
            </w:tcBorders>
            <w:shd w:val="clear" w:color="000000" w:fill="CCFFFF"/>
            <w:noWrap/>
            <w:vAlign w:val="bottom"/>
            <w:hideMark/>
          </w:tcPr>
          <w:p w14:paraId="5F4F11E8" w14:textId="69D2B84A" w:rsidR="00543241" w:rsidRPr="000D1437" w:rsidRDefault="00543241" w:rsidP="00543241">
            <w:pPr>
              <w:jc w:val="right"/>
              <w:rPr>
                <w:rFonts w:ascii="Times New Roman" w:hAnsi="Times New Roman"/>
                <w:sz w:val="14"/>
                <w:szCs w:val="14"/>
              </w:rPr>
            </w:pPr>
            <w:r w:rsidRPr="000D1437">
              <w:rPr>
                <w:sz w:val="14"/>
                <w:szCs w:val="14"/>
              </w:rPr>
              <w:t>4911,00</w:t>
            </w:r>
          </w:p>
        </w:tc>
        <w:tc>
          <w:tcPr>
            <w:tcW w:w="1278" w:type="dxa"/>
            <w:tcBorders>
              <w:top w:val="nil"/>
              <w:left w:val="nil"/>
              <w:bottom w:val="single" w:sz="4" w:space="0" w:color="auto"/>
              <w:right w:val="single" w:sz="4" w:space="0" w:color="auto"/>
            </w:tcBorders>
            <w:shd w:val="clear" w:color="000000" w:fill="CCFFFF"/>
            <w:noWrap/>
            <w:vAlign w:val="bottom"/>
            <w:hideMark/>
          </w:tcPr>
          <w:p w14:paraId="776ED575" w14:textId="53F4ED10" w:rsidR="00543241" w:rsidRPr="000D1437" w:rsidRDefault="00543241" w:rsidP="00543241">
            <w:pPr>
              <w:jc w:val="right"/>
              <w:rPr>
                <w:rFonts w:ascii="Times New Roman" w:hAnsi="Times New Roman"/>
                <w:sz w:val="14"/>
                <w:szCs w:val="14"/>
              </w:rPr>
            </w:pPr>
            <w:r w:rsidRPr="000D1437">
              <w:rPr>
                <w:sz w:val="14"/>
                <w:szCs w:val="14"/>
              </w:rPr>
              <w:t>4630,17</w:t>
            </w:r>
          </w:p>
        </w:tc>
        <w:tc>
          <w:tcPr>
            <w:tcW w:w="1278" w:type="dxa"/>
            <w:tcBorders>
              <w:top w:val="nil"/>
              <w:left w:val="nil"/>
              <w:bottom w:val="single" w:sz="4" w:space="0" w:color="auto"/>
              <w:right w:val="single" w:sz="4" w:space="0" w:color="auto"/>
            </w:tcBorders>
            <w:shd w:val="clear" w:color="000000" w:fill="CCFFFF"/>
            <w:noWrap/>
            <w:vAlign w:val="bottom"/>
            <w:hideMark/>
          </w:tcPr>
          <w:p w14:paraId="71FFE415" w14:textId="76375427" w:rsidR="00543241" w:rsidRPr="000D1437" w:rsidRDefault="00543241" w:rsidP="00543241">
            <w:pPr>
              <w:jc w:val="right"/>
              <w:rPr>
                <w:rFonts w:ascii="Times New Roman" w:hAnsi="Times New Roman"/>
                <w:sz w:val="14"/>
                <w:szCs w:val="14"/>
              </w:rPr>
            </w:pPr>
            <w:r w:rsidRPr="000D1437">
              <w:rPr>
                <w:sz w:val="14"/>
                <w:szCs w:val="14"/>
              </w:rPr>
              <w:t>4221,36</w:t>
            </w:r>
          </w:p>
        </w:tc>
        <w:tc>
          <w:tcPr>
            <w:tcW w:w="1278" w:type="dxa"/>
            <w:tcBorders>
              <w:top w:val="nil"/>
              <w:left w:val="nil"/>
              <w:bottom w:val="single" w:sz="4" w:space="0" w:color="auto"/>
              <w:right w:val="single" w:sz="4" w:space="0" w:color="auto"/>
            </w:tcBorders>
            <w:shd w:val="clear" w:color="000000" w:fill="CCFFFF"/>
            <w:noWrap/>
            <w:vAlign w:val="bottom"/>
            <w:hideMark/>
          </w:tcPr>
          <w:p w14:paraId="00DE0021" w14:textId="43A45819" w:rsidR="00543241" w:rsidRPr="000D1437" w:rsidRDefault="00543241" w:rsidP="00543241">
            <w:pPr>
              <w:jc w:val="right"/>
              <w:rPr>
                <w:rFonts w:ascii="Times New Roman" w:hAnsi="Times New Roman"/>
                <w:sz w:val="14"/>
                <w:szCs w:val="14"/>
              </w:rPr>
            </w:pPr>
            <w:r w:rsidRPr="000D1437">
              <w:rPr>
                <w:sz w:val="14"/>
                <w:szCs w:val="14"/>
              </w:rPr>
              <w:t>3991,03</w:t>
            </w:r>
          </w:p>
        </w:tc>
        <w:tc>
          <w:tcPr>
            <w:tcW w:w="1262" w:type="dxa"/>
            <w:tcBorders>
              <w:top w:val="nil"/>
              <w:left w:val="nil"/>
              <w:bottom w:val="single" w:sz="4" w:space="0" w:color="auto"/>
              <w:right w:val="single" w:sz="4" w:space="0" w:color="auto"/>
            </w:tcBorders>
            <w:shd w:val="clear" w:color="000000" w:fill="CCFFFF"/>
            <w:vAlign w:val="bottom"/>
          </w:tcPr>
          <w:p w14:paraId="5FB7A743" w14:textId="12D4A1B5" w:rsidR="00543241" w:rsidRPr="000D1437" w:rsidRDefault="00543241" w:rsidP="00543241">
            <w:pPr>
              <w:jc w:val="right"/>
              <w:rPr>
                <w:rFonts w:ascii="Times New Roman" w:hAnsi="Times New Roman"/>
                <w:sz w:val="14"/>
                <w:szCs w:val="14"/>
              </w:rPr>
            </w:pPr>
            <w:r w:rsidRPr="000D1437">
              <w:rPr>
                <w:sz w:val="14"/>
                <w:szCs w:val="14"/>
              </w:rPr>
              <w:t>3402,28</w:t>
            </w:r>
          </w:p>
        </w:tc>
      </w:tr>
      <w:tr w:rsidR="00543241" w:rsidRPr="00364545" w14:paraId="625F4C6D"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F914B26" w14:textId="162B6116"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264" w:type="dxa"/>
            <w:tcBorders>
              <w:top w:val="nil"/>
              <w:left w:val="nil"/>
              <w:bottom w:val="single" w:sz="4" w:space="0" w:color="auto"/>
              <w:right w:val="single" w:sz="4" w:space="0" w:color="auto"/>
            </w:tcBorders>
            <w:shd w:val="clear" w:color="000000" w:fill="FFFFFF"/>
            <w:noWrap/>
            <w:vAlign w:val="bottom"/>
            <w:hideMark/>
          </w:tcPr>
          <w:p w14:paraId="73FCC000" w14:textId="024C6271"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425EBFFA" w14:textId="476939AE"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47F7BCF3" w14:textId="2AD69DA2"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06189C09" w14:textId="066A1D08"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7926AC01" w14:textId="2FE872D4" w:rsidR="00543241" w:rsidRPr="000D1437" w:rsidRDefault="00543241" w:rsidP="00543241">
            <w:pPr>
              <w:jc w:val="right"/>
              <w:rPr>
                <w:rFonts w:ascii="Times New Roman" w:hAnsi="Times New Roman"/>
                <w:sz w:val="14"/>
                <w:szCs w:val="14"/>
              </w:rPr>
            </w:pPr>
            <w:r w:rsidRPr="000D1437">
              <w:rPr>
                <w:sz w:val="14"/>
                <w:szCs w:val="14"/>
              </w:rPr>
              <w:t>NO,NA</w:t>
            </w:r>
          </w:p>
        </w:tc>
        <w:tc>
          <w:tcPr>
            <w:tcW w:w="1262" w:type="dxa"/>
            <w:tcBorders>
              <w:top w:val="nil"/>
              <w:left w:val="nil"/>
              <w:bottom w:val="single" w:sz="4" w:space="0" w:color="auto"/>
              <w:right w:val="single" w:sz="4" w:space="0" w:color="auto"/>
            </w:tcBorders>
            <w:shd w:val="clear" w:color="000000" w:fill="FFFFFF"/>
            <w:vAlign w:val="bottom"/>
          </w:tcPr>
          <w:p w14:paraId="5BA19F0B" w14:textId="038A0E54"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4997861D"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D03CCDB" w14:textId="19383713"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264" w:type="dxa"/>
            <w:tcBorders>
              <w:top w:val="nil"/>
              <w:left w:val="nil"/>
              <w:bottom w:val="single" w:sz="4" w:space="0" w:color="auto"/>
              <w:right w:val="single" w:sz="4" w:space="0" w:color="auto"/>
            </w:tcBorders>
            <w:shd w:val="clear" w:color="000000" w:fill="FFFFFF"/>
            <w:noWrap/>
            <w:vAlign w:val="bottom"/>
            <w:hideMark/>
          </w:tcPr>
          <w:p w14:paraId="15D6F6E8" w14:textId="625461CA" w:rsidR="00543241" w:rsidRPr="000D1437" w:rsidRDefault="00543241" w:rsidP="00543241">
            <w:pPr>
              <w:jc w:val="right"/>
              <w:rPr>
                <w:rFonts w:ascii="Times New Roman" w:hAnsi="Times New Roman"/>
                <w:sz w:val="14"/>
                <w:szCs w:val="14"/>
              </w:rPr>
            </w:pPr>
            <w:r w:rsidRPr="000D1437">
              <w:rPr>
                <w:sz w:val="14"/>
                <w:szCs w:val="14"/>
              </w:rPr>
              <w:t>4625,31</w:t>
            </w:r>
          </w:p>
        </w:tc>
        <w:tc>
          <w:tcPr>
            <w:tcW w:w="1278" w:type="dxa"/>
            <w:tcBorders>
              <w:top w:val="nil"/>
              <w:left w:val="nil"/>
              <w:bottom w:val="single" w:sz="4" w:space="0" w:color="auto"/>
              <w:right w:val="single" w:sz="4" w:space="0" w:color="auto"/>
            </w:tcBorders>
            <w:shd w:val="clear" w:color="000000" w:fill="FFFFFF"/>
            <w:noWrap/>
            <w:vAlign w:val="bottom"/>
            <w:hideMark/>
          </w:tcPr>
          <w:p w14:paraId="72CAD3CE" w14:textId="5A3861D7" w:rsidR="00543241" w:rsidRPr="000D1437" w:rsidRDefault="00543241" w:rsidP="00543241">
            <w:pPr>
              <w:jc w:val="right"/>
              <w:rPr>
                <w:rFonts w:ascii="Times New Roman" w:hAnsi="Times New Roman"/>
                <w:sz w:val="14"/>
                <w:szCs w:val="14"/>
              </w:rPr>
            </w:pPr>
            <w:r w:rsidRPr="000D1437">
              <w:rPr>
                <w:sz w:val="14"/>
                <w:szCs w:val="14"/>
              </w:rPr>
              <w:t>4911,00</w:t>
            </w:r>
          </w:p>
        </w:tc>
        <w:tc>
          <w:tcPr>
            <w:tcW w:w="1278" w:type="dxa"/>
            <w:tcBorders>
              <w:top w:val="nil"/>
              <w:left w:val="nil"/>
              <w:bottom w:val="single" w:sz="4" w:space="0" w:color="auto"/>
              <w:right w:val="single" w:sz="4" w:space="0" w:color="auto"/>
            </w:tcBorders>
            <w:shd w:val="clear" w:color="000000" w:fill="FFFFFF"/>
            <w:noWrap/>
            <w:vAlign w:val="bottom"/>
            <w:hideMark/>
          </w:tcPr>
          <w:p w14:paraId="6A2C8882" w14:textId="400E5EAE" w:rsidR="00543241" w:rsidRPr="000D1437" w:rsidRDefault="00543241" w:rsidP="00543241">
            <w:pPr>
              <w:jc w:val="right"/>
              <w:rPr>
                <w:rFonts w:ascii="Times New Roman" w:hAnsi="Times New Roman"/>
                <w:sz w:val="14"/>
                <w:szCs w:val="14"/>
              </w:rPr>
            </w:pPr>
            <w:r w:rsidRPr="000D1437">
              <w:rPr>
                <w:sz w:val="14"/>
                <w:szCs w:val="14"/>
              </w:rPr>
              <w:t>4630,17</w:t>
            </w:r>
          </w:p>
        </w:tc>
        <w:tc>
          <w:tcPr>
            <w:tcW w:w="1278" w:type="dxa"/>
            <w:tcBorders>
              <w:top w:val="nil"/>
              <w:left w:val="nil"/>
              <w:bottom w:val="single" w:sz="4" w:space="0" w:color="auto"/>
              <w:right w:val="single" w:sz="4" w:space="0" w:color="auto"/>
            </w:tcBorders>
            <w:shd w:val="clear" w:color="000000" w:fill="FFFFFF"/>
            <w:noWrap/>
            <w:vAlign w:val="bottom"/>
            <w:hideMark/>
          </w:tcPr>
          <w:p w14:paraId="497DDB09" w14:textId="0253106E" w:rsidR="00543241" w:rsidRPr="000D1437" w:rsidRDefault="00543241" w:rsidP="00543241">
            <w:pPr>
              <w:jc w:val="right"/>
              <w:rPr>
                <w:rFonts w:ascii="Times New Roman" w:hAnsi="Times New Roman"/>
                <w:sz w:val="14"/>
                <w:szCs w:val="14"/>
              </w:rPr>
            </w:pPr>
            <w:r w:rsidRPr="000D1437">
              <w:rPr>
                <w:sz w:val="14"/>
                <w:szCs w:val="14"/>
              </w:rPr>
              <w:t>4221,36</w:t>
            </w:r>
          </w:p>
        </w:tc>
        <w:tc>
          <w:tcPr>
            <w:tcW w:w="1278" w:type="dxa"/>
            <w:tcBorders>
              <w:top w:val="nil"/>
              <w:left w:val="nil"/>
              <w:bottom w:val="single" w:sz="4" w:space="0" w:color="auto"/>
              <w:right w:val="single" w:sz="4" w:space="0" w:color="auto"/>
            </w:tcBorders>
            <w:shd w:val="clear" w:color="000000" w:fill="FFFFFF"/>
            <w:noWrap/>
            <w:vAlign w:val="bottom"/>
            <w:hideMark/>
          </w:tcPr>
          <w:p w14:paraId="7C48D31D" w14:textId="47AA0FEC" w:rsidR="00543241" w:rsidRPr="000D1437" w:rsidRDefault="00543241" w:rsidP="00543241">
            <w:pPr>
              <w:jc w:val="right"/>
              <w:rPr>
                <w:rFonts w:ascii="Times New Roman" w:hAnsi="Times New Roman"/>
                <w:sz w:val="14"/>
                <w:szCs w:val="14"/>
              </w:rPr>
            </w:pPr>
            <w:r w:rsidRPr="000D1437">
              <w:rPr>
                <w:sz w:val="14"/>
                <w:szCs w:val="14"/>
              </w:rPr>
              <w:t>3991,03</w:t>
            </w:r>
          </w:p>
        </w:tc>
        <w:tc>
          <w:tcPr>
            <w:tcW w:w="1262" w:type="dxa"/>
            <w:tcBorders>
              <w:top w:val="nil"/>
              <w:left w:val="nil"/>
              <w:bottom w:val="single" w:sz="4" w:space="0" w:color="auto"/>
              <w:right w:val="single" w:sz="4" w:space="0" w:color="auto"/>
            </w:tcBorders>
            <w:shd w:val="clear" w:color="000000" w:fill="FFFFFF"/>
            <w:vAlign w:val="bottom"/>
          </w:tcPr>
          <w:p w14:paraId="10D8007D" w14:textId="6231A0E9" w:rsidR="00543241" w:rsidRPr="000D1437" w:rsidRDefault="00543241" w:rsidP="00543241">
            <w:pPr>
              <w:jc w:val="right"/>
              <w:rPr>
                <w:rFonts w:ascii="Times New Roman" w:hAnsi="Times New Roman"/>
                <w:sz w:val="14"/>
                <w:szCs w:val="14"/>
              </w:rPr>
            </w:pPr>
            <w:r w:rsidRPr="000D1437">
              <w:rPr>
                <w:sz w:val="14"/>
                <w:szCs w:val="14"/>
              </w:rPr>
              <w:t>3402,28</w:t>
            </w:r>
          </w:p>
        </w:tc>
      </w:tr>
      <w:tr w:rsidR="00543241" w:rsidRPr="00364545" w14:paraId="06404EAB"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500E40B" w14:textId="656219E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264" w:type="dxa"/>
            <w:tcBorders>
              <w:top w:val="nil"/>
              <w:left w:val="nil"/>
              <w:bottom w:val="single" w:sz="4" w:space="0" w:color="auto"/>
              <w:right w:val="single" w:sz="4" w:space="0" w:color="auto"/>
            </w:tcBorders>
            <w:shd w:val="clear" w:color="000000" w:fill="FFFFFF"/>
            <w:noWrap/>
            <w:vAlign w:val="bottom"/>
            <w:hideMark/>
          </w:tcPr>
          <w:p w14:paraId="1E396E36" w14:textId="24F6E2C3"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1C45DCE5" w14:textId="2E661DB2"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3F37F769" w14:textId="1E8DFAC0"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611B5627" w14:textId="47D95D5C" w:rsidR="00543241" w:rsidRPr="000D1437" w:rsidRDefault="00543241" w:rsidP="00543241">
            <w:pPr>
              <w:jc w:val="right"/>
              <w:rPr>
                <w:rFonts w:ascii="Times New Roman" w:hAnsi="Times New Roman"/>
                <w:sz w:val="14"/>
                <w:szCs w:val="14"/>
              </w:rPr>
            </w:pPr>
            <w:r w:rsidRPr="000D1437">
              <w:rPr>
                <w:sz w:val="14"/>
                <w:szCs w:val="14"/>
              </w:rPr>
              <w:t>NO,IE</w:t>
            </w:r>
          </w:p>
        </w:tc>
        <w:tc>
          <w:tcPr>
            <w:tcW w:w="1278" w:type="dxa"/>
            <w:tcBorders>
              <w:top w:val="nil"/>
              <w:left w:val="nil"/>
              <w:bottom w:val="single" w:sz="4" w:space="0" w:color="auto"/>
              <w:right w:val="single" w:sz="4" w:space="0" w:color="auto"/>
            </w:tcBorders>
            <w:shd w:val="clear" w:color="000000" w:fill="FFFFFF"/>
            <w:noWrap/>
            <w:vAlign w:val="bottom"/>
            <w:hideMark/>
          </w:tcPr>
          <w:p w14:paraId="70C4FC4B" w14:textId="78DF6271" w:rsidR="00543241" w:rsidRPr="000D1437" w:rsidRDefault="00543241" w:rsidP="00543241">
            <w:pPr>
              <w:jc w:val="right"/>
              <w:rPr>
                <w:rFonts w:ascii="Times New Roman" w:hAnsi="Times New Roman"/>
                <w:sz w:val="14"/>
                <w:szCs w:val="14"/>
              </w:rPr>
            </w:pPr>
            <w:r w:rsidRPr="000D1437">
              <w:rPr>
                <w:sz w:val="14"/>
                <w:szCs w:val="14"/>
              </w:rPr>
              <w:t>NO,IE</w:t>
            </w:r>
          </w:p>
        </w:tc>
        <w:tc>
          <w:tcPr>
            <w:tcW w:w="1262" w:type="dxa"/>
            <w:tcBorders>
              <w:top w:val="nil"/>
              <w:left w:val="nil"/>
              <w:bottom w:val="single" w:sz="4" w:space="0" w:color="auto"/>
              <w:right w:val="single" w:sz="4" w:space="0" w:color="auto"/>
            </w:tcBorders>
            <w:shd w:val="clear" w:color="000000" w:fill="FFFFFF"/>
            <w:vAlign w:val="bottom"/>
          </w:tcPr>
          <w:p w14:paraId="500FB930" w14:textId="2CD088F4" w:rsidR="00543241" w:rsidRPr="000D1437" w:rsidRDefault="00543241" w:rsidP="00543241">
            <w:pPr>
              <w:jc w:val="right"/>
              <w:rPr>
                <w:rFonts w:ascii="Times New Roman" w:hAnsi="Times New Roman"/>
                <w:sz w:val="14"/>
                <w:szCs w:val="14"/>
              </w:rPr>
            </w:pPr>
            <w:r w:rsidRPr="000D1437">
              <w:rPr>
                <w:sz w:val="14"/>
                <w:szCs w:val="14"/>
              </w:rPr>
              <w:t>NO,IE</w:t>
            </w:r>
          </w:p>
        </w:tc>
      </w:tr>
      <w:tr w:rsidR="00543241" w:rsidRPr="00364545" w14:paraId="1270B52B"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C169CA2" w14:textId="1CA5A294"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2. Industrial Processes</w:t>
            </w:r>
          </w:p>
        </w:tc>
        <w:tc>
          <w:tcPr>
            <w:tcW w:w="1264" w:type="dxa"/>
            <w:tcBorders>
              <w:top w:val="nil"/>
              <w:left w:val="nil"/>
              <w:bottom w:val="single" w:sz="4" w:space="0" w:color="auto"/>
              <w:right w:val="single" w:sz="4" w:space="0" w:color="auto"/>
            </w:tcBorders>
            <w:shd w:val="clear" w:color="000000" w:fill="CCFFFF"/>
            <w:noWrap/>
            <w:vAlign w:val="bottom"/>
            <w:hideMark/>
          </w:tcPr>
          <w:p w14:paraId="3A83DAA1" w14:textId="5722D4E0" w:rsidR="00543241" w:rsidRPr="000D1437" w:rsidRDefault="00543241" w:rsidP="00543241">
            <w:pPr>
              <w:jc w:val="right"/>
              <w:rPr>
                <w:rFonts w:ascii="Times New Roman" w:hAnsi="Times New Roman"/>
                <w:sz w:val="14"/>
                <w:szCs w:val="14"/>
              </w:rPr>
            </w:pPr>
            <w:r w:rsidRPr="000D1437">
              <w:rPr>
                <w:sz w:val="14"/>
                <w:szCs w:val="14"/>
              </w:rPr>
              <w:t>42550,18</w:t>
            </w:r>
          </w:p>
        </w:tc>
        <w:tc>
          <w:tcPr>
            <w:tcW w:w="1278" w:type="dxa"/>
            <w:tcBorders>
              <w:top w:val="nil"/>
              <w:left w:val="nil"/>
              <w:bottom w:val="single" w:sz="4" w:space="0" w:color="auto"/>
              <w:right w:val="single" w:sz="4" w:space="0" w:color="auto"/>
            </w:tcBorders>
            <w:shd w:val="clear" w:color="000000" w:fill="CCFFFF"/>
            <w:noWrap/>
            <w:vAlign w:val="bottom"/>
            <w:hideMark/>
          </w:tcPr>
          <w:p w14:paraId="6F671BFE" w14:textId="6E4D8637" w:rsidR="00543241" w:rsidRPr="000D1437" w:rsidRDefault="00543241" w:rsidP="00543241">
            <w:pPr>
              <w:jc w:val="right"/>
              <w:rPr>
                <w:rFonts w:ascii="Times New Roman" w:hAnsi="Times New Roman"/>
                <w:sz w:val="14"/>
                <w:szCs w:val="14"/>
              </w:rPr>
            </w:pPr>
            <w:r w:rsidRPr="000D1437">
              <w:rPr>
                <w:sz w:val="14"/>
                <w:szCs w:val="14"/>
              </w:rPr>
              <w:t>38272,55</w:t>
            </w:r>
          </w:p>
        </w:tc>
        <w:tc>
          <w:tcPr>
            <w:tcW w:w="1278" w:type="dxa"/>
            <w:tcBorders>
              <w:top w:val="nil"/>
              <w:left w:val="nil"/>
              <w:bottom w:val="single" w:sz="4" w:space="0" w:color="auto"/>
              <w:right w:val="single" w:sz="4" w:space="0" w:color="auto"/>
            </w:tcBorders>
            <w:shd w:val="clear" w:color="000000" w:fill="CCFFFF"/>
            <w:noWrap/>
            <w:vAlign w:val="bottom"/>
            <w:hideMark/>
          </w:tcPr>
          <w:p w14:paraId="61A9C061" w14:textId="2F22DAF3" w:rsidR="00543241" w:rsidRPr="000D1437" w:rsidRDefault="00543241" w:rsidP="00543241">
            <w:pPr>
              <w:jc w:val="right"/>
              <w:rPr>
                <w:rFonts w:ascii="Times New Roman" w:hAnsi="Times New Roman"/>
                <w:sz w:val="14"/>
                <w:szCs w:val="14"/>
              </w:rPr>
            </w:pPr>
            <w:r w:rsidRPr="000D1437">
              <w:rPr>
                <w:sz w:val="14"/>
                <w:szCs w:val="14"/>
              </w:rPr>
              <w:t>29050,32</w:t>
            </w:r>
          </w:p>
        </w:tc>
        <w:tc>
          <w:tcPr>
            <w:tcW w:w="1278" w:type="dxa"/>
            <w:tcBorders>
              <w:top w:val="nil"/>
              <w:left w:val="nil"/>
              <w:bottom w:val="single" w:sz="4" w:space="0" w:color="auto"/>
              <w:right w:val="single" w:sz="4" w:space="0" w:color="auto"/>
            </w:tcBorders>
            <w:shd w:val="clear" w:color="000000" w:fill="CCFFFF"/>
            <w:noWrap/>
            <w:vAlign w:val="bottom"/>
            <w:hideMark/>
          </w:tcPr>
          <w:p w14:paraId="484632AA" w14:textId="67367690" w:rsidR="00543241" w:rsidRPr="000D1437" w:rsidRDefault="00543241" w:rsidP="00543241">
            <w:pPr>
              <w:jc w:val="right"/>
              <w:rPr>
                <w:rFonts w:ascii="Times New Roman" w:hAnsi="Times New Roman"/>
                <w:sz w:val="14"/>
                <w:szCs w:val="14"/>
              </w:rPr>
            </w:pPr>
            <w:r w:rsidRPr="000D1437">
              <w:rPr>
                <w:sz w:val="14"/>
                <w:szCs w:val="14"/>
              </w:rPr>
              <w:t>32909,50</w:t>
            </w:r>
          </w:p>
        </w:tc>
        <w:tc>
          <w:tcPr>
            <w:tcW w:w="1278" w:type="dxa"/>
            <w:tcBorders>
              <w:top w:val="nil"/>
              <w:left w:val="nil"/>
              <w:bottom w:val="single" w:sz="4" w:space="0" w:color="auto"/>
              <w:right w:val="single" w:sz="4" w:space="0" w:color="auto"/>
            </w:tcBorders>
            <w:shd w:val="clear" w:color="000000" w:fill="CCFFFF"/>
            <w:noWrap/>
            <w:vAlign w:val="bottom"/>
            <w:hideMark/>
          </w:tcPr>
          <w:p w14:paraId="48126D0A" w14:textId="2F6F6DCC" w:rsidR="00543241" w:rsidRPr="000D1437" w:rsidRDefault="00543241" w:rsidP="00543241">
            <w:pPr>
              <w:jc w:val="right"/>
              <w:rPr>
                <w:rFonts w:ascii="Times New Roman" w:hAnsi="Times New Roman"/>
                <w:sz w:val="14"/>
                <w:szCs w:val="14"/>
              </w:rPr>
            </w:pPr>
            <w:r w:rsidRPr="000D1437">
              <w:rPr>
                <w:sz w:val="14"/>
                <w:szCs w:val="14"/>
              </w:rPr>
              <w:t>32604,23</w:t>
            </w:r>
          </w:p>
        </w:tc>
        <w:tc>
          <w:tcPr>
            <w:tcW w:w="1262" w:type="dxa"/>
            <w:tcBorders>
              <w:top w:val="nil"/>
              <w:left w:val="nil"/>
              <w:bottom w:val="single" w:sz="4" w:space="0" w:color="auto"/>
              <w:right w:val="single" w:sz="4" w:space="0" w:color="auto"/>
            </w:tcBorders>
            <w:shd w:val="clear" w:color="000000" w:fill="CCFFFF"/>
            <w:vAlign w:val="bottom"/>
          </w:tcPr>
          <w:p w14:paraId="05EDE4D7" w14:textId="60D3EBC5" w:rsidR="00543241" w:rsidRPr="000D1437" w:rsidRDefault="00543241" w:rsidP="00543241">
            <w:pPr>
              <w:jc w:val="right"/>
              <w:rPr>
                <w:rFonts w:ascii="Times New Roman" w:hAnsi="Times New Roman"/>
                <w:sz w:val="14"/>
                <w:szCs w:val="14"/>
              </w:rPr>
            </w:pPr>
            <w:r w:rsidRPr="000D1437">
              <w:rPr>
                <w:sz w:val="14"/>
                <w:szCs w:val="14"/>
              </w:rPr>
              <w:t>30655,34</w:t>
            </w:r>
          </w:p>
        </w:tc>
      </w:tr>
      <w:tr w:rsidR="00543241" w:rsidRPr="00364545" w14:paraId="13FAF2FA"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8E2FAC8" w14:textId="195AD6F8"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264" w:type="dxa"/>
            <w:tcBorders>
              <w:top w:val="nil"/>
              <w:left w:val="nil"/>
              <w:bottom w:val="single" w:sz="4" w:space="0" w:color="auto"/>
              <w:right w:val="single" w:sz="4" w:space="0" w:color="auto"/>
            </w:tcBorders>
            <w:shd w:val="clear" w:color="000000" w:fill="FFFFFF"/>
            <w:noWrap/>
            <w:vAlign w:val="bottom"/>
            <w:hideMark/>
          </w:tcPr>
          <w:p w14:paraId="06BB7B10" w14:textId="3D08DB67" w:rsidR="00543241" w:rsidRPr="000D1437" w:rsidRDefault="00543241" w:rsidP="00543241">
            <w:pPr>
              <w:jc w:val="right"/>
              <w:rPr>
                <w:rFonts w:ascii="Times New Roman" w:hAnsi="Times New Roman"/>
                <w:sz w:val="14"/>
                <w:szCs w:val="14"/>
              </w:rPr>
            </w:pPr>
            <w:r w:rsidRPr="000D1437">
              <w:rPr>
                <w:sz w:val="14"/>
                <w:szCs w:val="14"/>
              </w:rPr>
              <w:t>13161,34</w:t>
            </w:r>
          </w:p>
        </w:tc>
        <w:tc>
          <w:tcPr>
            <w:tcW w:w="1278" w:type="dxa"/>
            <w:tcBorders>
              <w:top w:val="nil"/>
              <w:left w:val="nil"/>
              <w:bottom w:val="single" w:sz="4" w:space="0" w:color="auto"/>
              <w:right w:val="single" w:sz="4" w:space="0" w:color="auto"/>
            </w:tcBorders>
            <w:shd w:val="clear" w:color="000000" w:fill="FFFFFF"/>
            <w:noWrap/>
            <w:vAlign w:val="bottom"/>
            <w:hideMark/>
          </w:tcPr>
          <w:p w14:paraId="616CD553" w14:textId="17D5DB68" w:rsidR="00543241" w:rsidRPr="000D1437" w:rsidRDefault="00543241" w:rsidP="00543241">
            <w:pPr>
              <w:jc w:val="right"/>
              <w:rPr>
                <w:rFonts w:ascii="Times New Roman" w:hAnsi="Times New Roman"/>
                <w:sz w:val="14"/>
                <w:szCs w:val="14"/>
              </w:rPr>
            </w:pPr>
            <w:r w:rsidRPr="000D1437">
              <w:rPr>
                <w:sz w:val="14"/>
                <w:szCs w:val="14"/>
              </w:rPr>
              <w:t>12401,25</w:t>
            </w:r>
          </w:p>
        </w:tc>
        <w:tc>
          <w:tcPr>
            <w:tcW w:w="1278" w:type="dxa"/>
            <w:tcBorders>
              <w:top w:val="nil"/>
              <w:left w:val="nil"/>
              <w:bottom w:val="single" w:sz="4" w:space="0" w:color="auto"/>
              <w:right w:val="single" w:sz="4" w:space="0" w:color="auto"/>
            </w:tcBorders>
            <w:shd w:val="clear" w:color="000000" w:fill="FFFFFF"/>
            <w:noWrap/>
            <w:vAlign w:val="bottom"/>
            <w:hideMark/>
          </w:tcPr>
          <w:p w14:paraId="2740BA0E" w14:textId="024EE839" w:rsidR="00543241" w:rsidRPr="000D1437" w:rsidRDefault="00543241" w:rsidP="00543241">
            <w:pPr>
              <w:jc w:val="right"/>
              <w:rPr>
                <w:rFonts w:ascii="Times New Roman" w:hAnsi="Times New Roman"/>
                <w:sz w:val="14"/>
                <w:szCs w:val="14"/>
              </w:rPr>
            </w:pPr>
            <w:r w:rsidRPr="000D1437">
              <w:rPr>
                <w:sz w:val="14"/>
                <w:szCs w:val="14"/>
              </w:rPr>
              <w:t>10588,25</w:t>
            </w:r>
          </w:p>
        </w:tc>
        <w:tc>
          <w:tcPr>
            <w:tcW w:w="1278" w:type="dxa"/>
            <w:tcBorders>
              <w:top w:val="nil"/>
              <w:left w:val="nil"/>
              <w:bottom w:val="single" w:sz="4" w:space="0" w:color="auto"/>
              <w:right w:val="single" w:sz="4" w:space="0" w:color="auto"/>
            </w:tcBorders>
            <w:shd w:val="clear" w:color="000000" w:fill="FFFFFF"/>
            <w:noWrap/>
            <w:vAlign w:val="bottom"/>
            <w:hideMark/>
          </w:tcPr>
          <w:p w14:paraId="792E69F3" w14:textId="282F721B" w:rsidR="00543241" w:rsidRPr="000D1437" w:rsidRDefault="00543241" w:rsidP="00543241">
            <w:pPr>
              <w:jc w:val="right"/>
              <w:rPr>
                <w:rFonts w:ascii="Times New Roman" w:hAnsi="Times New Roman"/>
                <w:sz w:val="14"/>
                <w:szCs w:val="14"/>
              </w:rPr>
            </w:pPr>
            <w:r w:rsidRPr="000D1437">
              <w:rPr>
                <w:sz w:val="14"/>
                <w:szCs w:val="14"/>
              </w:rPr>
              <w:t>11059,08</w:t>
            </w:r>
          </w:p>
        </w:tc>
        <w:tc>
          <w:tcPr>
            <w:tcW w:w="1278" w:type="dxa"/>
            <w:tcBorders>
              <w:top w:val="nil"/>
              <w:left w:val="nil"/>
              <w:bottom w:val="single" w:sz="4" w:space="0" w:color="auto"/>
              <w:right w:val="single" w:sz="4" w:space="0" w:color="auto"/>
            </w:tcBorders>
            <w:shd w:val="clear" w:color="000000" w:fill="FFFFFF"/>
            <w:noWrap/>
            <w:vAlign w:val="bottom"/>
            <w:hideMark/>
          </w:tcPr>
          <w:p w14:paraId="04A37855" w14:textId="3F392D68" w:rsidR="00543241" w:rsidRPr="000D1437" w:rsidRDefault="00543241" w:rsidP="00543241">
            <w:pPr>
              <w:jc w:val="right"/>
              <w:rPr>
                <w:rFonts w:ascii="Times New Roman" w:hAnsi="Times New Roman"/>
                <w:sz w:val="14"/>
                <w:szCs w:val="14"/>
              </w:rPr>
            </w:pPr>
            <w:r w:rsidRPr="000D1437">
              <w:rPr>
                <w:sz w:val="14"/>
                <w:szCs w:val="14"/>
              </w:rPr>
              <w:t>11379,10</w:t>
            </w:r>
          </w:p>
        </w:tc>
        <w:tc>
          <w:tcPr>
            <w:tcW w:w="1262" w:type="dxa"/>
            <w:tcBorders>
              <w:top w:val="nil"/>
              <w:left w:val="nil"/>
              <w:bottom w:val="single" w:sz="4" w:space="0" w:color="auto"/>
              <w:right w:val="single" w:sz="4" w:space="0" w:color="auto"/>
            </w:tcBorders>
            <w:shd w:val="clear" w:color="000000" w:fill="FFFFFF"/>
            <w:vAlign w:val="bottom"/>
          </w:tcPr>
          <w:p w14:paraId="0E4BFB78" w14:textId="0F8FD716" w:rsidR="00543241" w:rsidRPr="000D1437" w:rsidRDefault="00543241" w:rsidP="00543241">
            <w:pPr>
              <w:jc w:val="right"/>
              <w:rPr>
                <w:rFonts w:ascii="Times New Roman" w:hAnsi="Times New Roman"/>
                <w:sz w:val="14"/>
                <w:szCs w:val="14"/>
              </w:rPr>
            </w:pPr>
            <w:r w:rsidRPr="000D1437">
              <w:rPr>
                <w:sz w:val="14"/>
                <w:szCs w:val="14"/>
              </w:rPr>
              <w:t>10635,42</w:t>
            </w:r>
          </w:p>
        </w:tc>
      </w:tr>
      <w:tr w:rsidR="00543241" w:rsidRPr="00364545" w14:paraId="2050F22D"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D482622" w14:textId="4CF59B58"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264" w:type="dxa"/>
            <w:tcBorders>
              <w:top w:val="nil"/>
              <w:left w:val="nil"/>
              <w:bottom w:val="single" w:sz="4" w:space="0" w:color="auto"/>
              <w:right w:val="single" w:sz="4" w:space="0" w:color="auto"/>
            </w:tcBorders>
            <w:shd w:val="clear" w:color="000000" w:fill="FFFFFF"/>
            <w:noWrap/>
            <w:vAlign w:val="bottom"/>
            <w:hideMark/>
          </w:tcPr>
          <w:p w14:paraId="73EB9A80" w14:textId="1C3B147A" w:rsidR="00543241" w:rsidRPr="000D1437" w:rsidRDefault="00543241" w:rsidP="00543241">
            <w:pPr>
              <w:jc w:val="right"/>
              <w:rPr>
                <w:rFonts w:ascii="Times New Roman" w:hAnsi="Times New Roman"/>
                <w:sz w:val="14"/>
                <w:szCs w:val="14"/>
              </w:rPr>
            </w:pPr>
            <w:r w:rsidRPr="000D1437">
              <w:rPr>
                <w:sz w:val="14"/>
                <w:szCs w:val="14"/>
              </w:rPr>
              <w:t>7873,43</w:t>
            </w:r>
          </w:p>
        </w:tc>
        <w:tc>
          <w:tcPr>
            <w:tcW w:w="1278" w:type="dxa"/>
            <w:tcBorders>
              <w:top w:val="nil"/>
              <w:left w:val="nil"/>
              <w:bottom w:val="single" w:sz="4" w:space="0" w:color="auto"/>
              <w:right w:val="single" w:sz="4" w:space="0" w:color="auto"/>
            </w:tcBorders>
            <w:shd w:val="clear" w:color="000000" w:fill="FFFFFF"/>
            <w:noWrap/>
            <w:vAlign w:val="bottom"/>
            <w:hideMark/>
          </w:tcPr>
          <w:p w14:paraId="30930A86" w14:textId="218D499D" w:rsidR="00543241" w:rsidRPr="000D1437" w:rsidRDefault="00543241" w:rsidP="00543241">
            <w:pPr>
              <w:jc w:val="right"/>
              <w:rPr>
                <w:rFonts w:ascii="Times New Roman" w:hAnsi="Times New Roman"/>
                <w:sz w:val="14"/>
                <w:szCs w:val="14"/>
              </w:rPr>
            </w:pPr>
            <w:r w:rsidRPr="000D1437">
              <w:rPr>
                <w:sz w:val="14"/>
                <w:szCs w:val="14"/>
              </w:rPr>
              <w:t>7433,29</w:t>
            </w:r>
          </w:p>
        </w:tc>
        <w:tc>
          <w:tcPr>
            <w:tcW w:w="1278" w:type="dxa"/>
            <w:tcBorders>
              <w:top w:val="nil"/>
              <w:left w:val="nil"/>
              <w:bottom w:val="single" w:sz="4" w:space="0" w:color="auto"/>
              <w:right w:val="single" w:sz="4" w:space="0" w:color="auto"/>
            </w:tcBorders>
            <w:shd w:val="clear" w:color="000000" w:fill="FFFFFF"/>
            <w:noWrap/>
            <w:vAlign w:val="bottom"/>
            <w:hideMark/>
          </w:tcPr>
          <w:p w14:paraId="1407916C" w14:textId="444DD5D7" w:rsidR="00543241" w:rsidRPr="000D1437" w:rsidRDefault="00543241" w:rsidP="00543241">
            <w:pPr>
              <w:jc w:val="right"/>
              <w:rPr>
                <w:rFonts w:ascii="Times New Roman" w:hAnsi="Times New Roman"/>
                <w:sz w:val="14"/>
                <w:szCs w:val="14"/>
              </w:rPr>
            </w:pPr>
            <w:r w:rsidRPr="000D1437">
              <w:rPr>
                <w:sz w:val="14"/>
                <w:szCs w:val="14"/>
              </w:rPr>
              <w:t>6509,07</w:t>
            </w:r>
          </w:p>
        </w:tc>
        <w:tc>
          <w:tcPr>
            <w:tcW w:w="1278" w:type="dxa"/>
            <w:tcBorders>
              <w:top w:val="nil"/>
              <w:left w:val="nil"/>
              <w:bottom w:val="single" w:sz="4" w:space="0" w:color="auto"/>
              <w:right w:val="single" w:sz="4" w:space="0" w:color="auto"/>
            </w:tcBorders>
            <w:shd w:val="clear" w:color="000000" w:fill="FFFFFF"/>
            <w:noWrap/>
            <w:vAlign w:val="bottom"/>
            <w:hideMark/>
          </w:tcPr>
          <w:p w14:paraId="01628E71" w14:textId="79116FB8" w:rsidR="00543241" w:rsidRPr="000D1437" w:rsidRDefault="00543241" w:rsidP="00543241">
            <w:pPr>
              <w:jc w:val="right"/>
              <w:rPr>
                <w:rFonts w:ascii="Times New Roman" w:hAnsi="Times New Roman"/>
                <w:sz w:val="14"/>
                <w:szCs w:val="14"/>
              </w:rPr>
            </w:pPr>
            <w:r w:rsidRPr="000D1437">
              <w:rPr>
                <w:sz w:val="14"/>
                <w:szCs w:val="14"/>
              </w:rPr>
              <w:t>6501,02</w:t>
            </w:r>
          </w:p>
        </w:tc>
        <w:tc>
          <w:tcPr>
            <w:tcW w:w="1278" w:type="dxa"/>
            <w:tcBorders>
              <w:top w:val="nil"/>
              <w:left w:val="nil"/>
              <w:bottom w:val="single" w:sz="4" w:space="0" w:color="auto"/>
              <w:right w:val="single" w:sz="4" w:space="0" w:color="auto"/>
            </w:tcBorders>
            <w:shd w:val="clear" w:color="000000" w:fill="FFFFFF"/>
            <w:noWrap/>
            <w:vAlign w:val="bottom"/>
            <w:hideMark/>
          </w:tcPr>
          <w:p w14:paraId="3CFF2CFD" w14:textId="2CF7E526" w:rsidR="00543241" w:rsidRPr="000D1437" w:rsidRDefault="00543241" w:rsidP="00543241">
            <w:pPr>
              <w:jc w:val="right"/>
              <w:rPr>
                <w:rFonts w:ascii="Times New Roman" w:hAnsi="Times New Roman"/>
                <w:sz w:val="14"/>
                <w:szCs w:val="14"/>
              </w:rPr>
            </w:pPr>
            <w:r w:rsidRPr="000D1437">
              <w:rPr>
                <w:sz w:val="14"/>
                <w:szCs w:val="14"/>
              </w:rPr>
              <w:t>6450,62</w:t>
            </w:r>
          </w:p>
        </w:tc>
        <w:tc>
          <w:tcPr>
            <w:tcW w:w="1262" w:type="dxa"/>
            <w:tcBorders>
              <w:top w:val="nil"/>
              <w:left w:val="nil"/>
              <w:bottom w:val="single" w:sz="4" w:space="0" w:color="auto"/>
              <w:right w:val="single" w:sz="4" w:space="0" w:color="auto"/>
            </w:tcBorders>
            <w:shd w:val="clear" w:color="000000" w:fill="FFFFFF"/>
            <w:vAlign w:val="bottom"/>
          </w:tcPr>
          <w:p w14:paraId="246DB8A2" w14:textId="3D1EADA9" w:rsidR="00543241" w:rsidRPr="000D1437" w:rsidRDefault="00543241" w:rsidP="00543241">
            <w:pPr>
              <w:jc w:val="right"/>
              <w:rPr>
                <w:rFonts w:ascii="Times New Roman" w:hAnsi="Times New Roman"/>
                <w:sz w:val="14"/>
                <w:szCs w:val="14"/>
              </w:rPr>
            </w:pPr>
            <w:r w:rsidRPr="000D1437">
              <w:rPr>
                <w:sz w:val="14"/>
                <w:szCs w:val="14"/>
              </w:rPr>
              <w:t>6386,24</w:t>
            </w:r>
          </w:p>
        </w:tc>
      </w:tr>
      <w:tr w:rsidR="00543241" w:rsidRPr="00364545" w14:paraId="2FC36B55"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C675B39" w14:textId="0555621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264" w:type="dxa"/>
            <w:tcBorders>
              <w:top w:val="nil"/>
              <w:left w:val="nil"/>
              <w:bottom w:val="single" w:sz="4" w:space="0" w:color="auto"/>
              <w:right w:val="single" w:sz="4" w:space="0" w:color="auto"/>
            </w:tcBorders>
            <w:shd w:val="clear" w:color="000000" w:fill="FFFFFF"/>
            <w:noWrap/>
            <w:vAlign w:val="bottom"/>
            <w:hideMark/>
          </w:tcPr>
          <w:p w14:paraId="0423805D" w14:textId="5CF8F17A" w:rsidR="00543241" w:rsidRPr="000D1437" w:rsidRDefault="00543241" w:rsidP="00543241">
            <w:pPr>
              <w:jc w:val="right"/>
              <w:rPr>
                <w:rFonts w:ascii="Times New Roman" w:hAnsi="Times New Roman"/>
                <w:sz w:val="14"/>
                <w:szCs w:val="14"/>
              </w:rPr>
            </w:pPr>
            <w:r w:rsidRPr="000D1437">
              <w:rPr>
                <w:sz w:val="14"/>
                <w:szCs w:val="14"/>
              </w:rPr>
              <w:t>19246,32</w:t>
            </w:r>
          </w:p>
        </w:tc>
        <w:tc>
          <w:tcPr>
            <w:tcW w:w="1278" w:type="dxa"/>
            <w:tcBorders>
              <w:top w:val="nil"/>
              <w:left w:val="nil"/>
              <w:bottom w:val="single" w:sz="4" w:space="0" w:color="auto"/>
              <w:right w:val="single" w:sz="4" w:space="0" w:color="auto"/>
            </w:tcBorders>
            <w:shd w:val="clear" w:color="000000" w:fill="FFFFFF"/>
            <w:noWrap/>
            <w:vAlign w:val="bottom"/>
            <w:hideMark/>
          </w:tcPr>
          <w:p w14:paraId="61001D6A" w14:textId="5554C14A" w:rsidR="00543241" w:rsidRPr="000D1437" w:rsidRDefault="00543241" w:rsidP="00543241">
            <w:pPr>
              <w:jc w:val="right"/>
              <w:rPr>
                <w:rFonts w:ascii="Times New Roman" w:hAnsi="Times New Roman"/>
                <w:sz w:val="14"/>
                <w:szCs w:val="14"/>
              </w:rPr>
            </w:pPr>
            <w:r w:rsidRPr="000D1437">
              <w:rPr>
                <w:sz w:val="14"/>
                <w:szCs w:val="14"/>
              </w:rPr>
              <w:t>16407,02</w:t>
            </w:r>
          </w:p>
        </w:tc>
        <w:tc>
          <w:tcPr>
            <w:tcW w:w="1278" w:type="dxa"/>
            <w:tcBorders>
              <w:top w:val="nil"/>
              <w:left w:val="nil"/>
              <w:bottom w:val="single" w:sz="4" w:space="0" w:color="auto"/>
              <w:right w:val="single" w:sz="4" w:space="0" w:color="auto"/>
            </w:tcBorders>
            <w:shd w:val="clear" w:color="000000" w:fill="FFFFFF"/>
            <w:noWrap/>
            <w:vAlign w:val="bottom"/>
            <w:hideMark/>
          </w:tcPr>
          <w:p w14:paraId="5C755D19" w14:textId="2F882A45" w:rsidR="00543241" w:rsidRPr="000D1437" w:rsidRDefault="00543241" w:rsidP="00543241">
            <w:pPr>
              <w:jc w:val="right"/>
              <w:rPr>
                <w:rFonts w:ascii="Times New Roman" w:hAnsi="Times New Roman"/>
                <w:sz w:val="14"/>
                <w:szCs w:val="14"/>
              </w:rPr>
            </w:pPr>
            <w:r w:rsidRPr="000D1437">
              <w:rPr>
                <w:sz w:val="14"/>
                <w:szCs w:val="14"/>
              </w:rPr>
              <w:t>10127,51</w:t>
            </w:r>
          </w:p>
        </w:tc>
        <w:tc>
          <w:tcPr>
            <w:tcW w:w="1278" w:type="dxa"/>
            <w:tcBorders>
              <w:top w:val="nil"/>
              <w:left w:val="nil"/>
              <w:bottom w:val="single" w:sz="4" w:space="0" w:color="auto"/>
              <w:right w:val="single" w:sz="4" w:space="0" w:color="auto"/>
            </w:tcBorders>
            <w:shd w:val="clear" w:color="000000" w:fill="FFFFFF"/>
            <w:noWrap/>
            <w:vAlign w:val="bottom"/>
            <w:hideMark/>
          </w:tcPr>
          <w:p w14:paraId="1D817003" w14:textId="15CA729C" w:rsidR="00543241" w:rsidRPr="000D1437" w:rsidRDefault="00543241" w:rsidP="00543241">
            <w:pPr>
              <w:jc w:val="right"/>
              <w:rPr>
                <w:rFonts w:ascii="Times New Roman" w:hAnsi="Times New Roman"/>
                <w:sz w:val="14"/>
                <w:szCs w:val="14"/>
              </w:rPr>
            </w:pPr>
            <w:r w:rsidRPr="000D1437">
              <w:rPr>
                <w:sz w:val="14"/>
                <w:szCs w:val="14"/>
              </w:rPr>
              <w:t>13411,08</w:t>
            </w:r>
          </w:p>
        </w:tc>
        <w:tc>
          <w:tcPr>
            <w:tcW w:w="1278" w:type="dxa"/>
            <w:tcBorders>
              <w:top w:val="nil"/>
              <w:left w:val="nil"/>
              <w:bottom w:val="single" w:sz="4" w:space="0" w:color="auto"/>
              <w:right w:val="single" w:sz="4" w:space="0" w:color="auto"/>
            </w:tcBorders>
            <w:shd w:val="clear" w:color="000000" w:fill="FFFFFF"/>
            <w:noWrap/>
            <w:vAlign w:val="bottom"/>
            <w:hideMark/>
          </w:tcPr>
          <w:p w14:paraId="09B2D419" w14:textId="129B8079" w:rsidR="00543241" w:rsidRPr="000D1437" w:rsidRDefault="00543241" w:rsidP="00543241">
            <w:pPr>
              <w:jc w:val="right"/>
              <w:rPr>
                <w:rFonts w:ascii="Times New Roman" w:hAnsi="Times New Roman"/>
                <w:sz w:val="14"/>
                <w:szCs w:val="14"/>
              </w:rPr>
            </w:pPr>
            <w:r w:rsidRPr="000D1437">
              <w:rPr>
                <w:sz w:val="14"/>
                <w:szCs w:val="14"/>
              </w:rPr>
              <w:t>12905,90</w:t>
            </w:r>
          </w:p>
        </w:tc>
        <w:tc>
          <w:tcPr>
            <w:tcW w:w="1262" w:type="dxa"/>
            <w:tcBorders>
              <w:top w:val="nil"/>
              <w:left w:val="nil"/>
              <w:bottom w:val="single" w:sz="4" w:space="0" w:color="auto"/>
              <w:right w:val="single" w:sz="4" w:space="0" w:color="auto"/>
            </w:tcBorders>
            <w:shd w:val="clear" w:color="000000" w:fill="FFFFFF"/>
            <w:vAlign w:val="bottom"/>
          </w:tcPr>
          <w:p w14:paraId="2C7F6E9E" w14:textId="729C6577" w:rsidR="00543241" w:rsidRPr="000D1437" w:rsidRDefault="00543241" w:rsidP="00543241">
            <w:pPr>
              <w:jc w:val="right"/>
              <w:rPr>
                <w:rFonts w:ascii="Times New Roman" w:hAnsi="Times New Roman"/>
                <w:sz w:val="14"/>
                <w:szCs w:val="14"/>
              </w:rPr>
            </w:pPr>
            <w:r w:rsidRPr="000D1437">
              <w:rPr>
                <w:sz w:val="14"/>
                <w:szCs w:val="14"/>
              </w:rPr>
              <w:t>11886,19</w:t>
            </w:r>
          </w:p>
        </w:tc>
      </w:tr>
      <w:tr w:rsidR="00543241" w:rsidRPr="00364545" w14:paraId="2F879C67"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vAlign w:val="center"/>
            <w:hideMark/>
          </w:tcPr>
          <w:p w14:paraId="76F95DBD" w14:textId="37A13ED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264" w:type="dxa"/>
            <w:tcBorders>
              <w:top w:val="nil"/>
              <w:left w:val="nil"/>
              <w:bottom w:val="single" w:sz="4" w:space="0" w:color="auto"/>
              <w:right w:val="single" w:sz="4" w:space="0" w:color="auto"/>
            </w:tcBorders>
            <w:shd w:val="clear" w:color="000000" w:fill="FFFFFF"/>
            <w:noWrap/>
            <w:vAlign w:val="bottom"/>
            <w:hideMark/>
          </w:tcPr>
          <w:p w14:paraId="578E0EE6" w14:textId="74ED7951" w:rsidR="00543241" w:rsidRPr="000D1437" w:rsidRDefault="00543241" w:rsidP="00543241">
            <w:pPr>
              <w:jc w:val="right"/>
              <w:rPr>
                <w:rFonts w:ascii="Times New Roman" w:hAnsi="Times New Roman"/>
                <w:sz w:val="14"/>
                <w:szCs w:val="14"/>
              </w:rPr>
            </w:pPr>
            <w:r w:rsidRPr="000D1437">
              <w:rPr>
                <w:sz w:val="14"/>
                <w:szCs w:val="14"/>
              </w:rPr>
              <w:t>1692,75</w:t>
            </w:r>
          </w:p>
        </w:tc>
        <w:tc>
          <w:tcPr>
            <w:tcW w:w="1278" w:type="dxa"/>
            <w:tcBorders>
              <w:top w:val="nil"/>
              <w:left w:val="nil"/>
              <w:bottom w:val="single" w:sz="4" w:space="0" w:color="auto"/>
              <w:right w:val="single" w:sz="4" w:space="0" w:color="auto"/>
            </w:tcBorders>
            <w:shd w:val="clear" w:color="000000" w:fill="FFFFFF"/>
            <w:noWrap/>
            <w:vAlign w:val="bottom"/>
            <w:hideMark/>
          </w:tcPr>
          <w:p w14:paraId="7FDE757A" w14:textId="555418A1" w:rsidR="00543241" w:rsidRPr="000D1437" w:rsidRDefault="00543241" w:rsidP="00543241">
            <w:pPr>
              <w:jc w:val="right"/>
              <w:rPr>
                <w:rFonts w:ascii="Times New Roman" w:hAnsi="Times New Roman"/>
                <w:sz w:val="14"/>
                <w:szCs w:val="14"/>
              </w:rPr>
            </w:pPr>
            <w:r w:rsidRPr="000D1437">
              <w:rPr>
                <w:sz w:val="14"/>
                <w:szCs w:val="14"/>
              </w:rPr>
              <w:t>1484,65</w:t>
            </w:r>
          </w:p>
        </w:tc>
        <w:tc>
          <w:tcPr>
            <w:tcW w:w="1278" w:type="dxa"/>
            <w:tcBorders>
              <w:top w:val="nil"/>
              <w:left w:val="nil"/>
              <w:bottom w:val="single" w:sz="4" w:space="0" w:color="auto"/>
              <w:right w:val="single" w:sz="4" w:space="0" w:color="auto"/>
            </w:tcBorders>
            <w:shd w:val="clear" w:color="000000" w:fill="FFFFFF"/>
            <w:noWrap/>
            <w:vAlign w:val="bottom"/>
            <w:hideMark/>
          </w:tcPr>
          <w:p w14:paraId="144DC70E" w14:textId="1641AA3D" w:rsidR="00543241" w:rsidRPr="000D1437" w:rsidRDefault="00543241" w:rsidP="00543241">
            <w:pPr>
              <w:jc w:val="right"/>
              <w:rPr>
                <w:rFonts w:ascii="Times New Roman" w:hAnsi="Times New Roman"/>
                <w:sz w:val="14"/>
                <w:szCs w:val="14"/>
              </w:rPr>
            </w:pPr>
            <w:r w:rsidRPr="000D1437">
              <w:rPr>
                <w:sz w:val="14"/>
                <w:szCs w:val="14"/>
              </w:rPr>
              <w:t>1282,11</w:t>
            </w:r>
          </w:p>
        </w:tc>
        <w:tc>
          <w:tcPr>
            <w:tcW w:w="1278" w:type="dxa"/>
            <w:tcBorders>
              <w:top w:val="nil"/>
              <w:left w:val="nil"/>
              <w:bottom w:val="single" w:sz="4" w:space="0" w:color="auto"/>
              <w:right w:val="single" w:sz="4" w:space="0" w:color="auto"/>
            </w:tcBorders>
            <w:shd w:val="clear" w:color="000000" w:fill="FFFFFF"/>
            <w:noWrap/>
            <w:vAlign w:val="bottom"/>
            <w:hideMark/>
          </w:tcPr>
          <w:p w14:paraId="06DA0FC6" w14:textId="702CA027" w:rsidR="00543241" w:rsidRPr="000D1437" w:rsidRDefault="00543241" w:rsidP="00543241">
            <w:pPr>
              <w:jc w:val="right"/>
              <w:rPr>
                <w:rFonts w:ascii="Times New Roman" w:hAnsi="Times New Roman"/>
                <w:sz w:val="14"/>
                <w:szCs w:val="14"/>
              </w:rPr>
            </w:pPr>
            <w:r w:rsidRPr="000D1437">
              <w:rPr>
                <w:sz w:val="14"/>
                <w:szCs w:val="14"/>
              </w:rPr>
              <w:t>1348,78</w:t>
            </w:r>
          </w:p>
        </w:tc>
        <w:tc>
          <w:tcPr>
            <w:tcW w:w="1278" w:type="dxa"/>
            <w:tcBorders>
              <w:top w:val="nil"/>
              <w:left w:val="nil"/>
              <w:bottom w:val="single" w:sz="4" w:space="0" w:color="auto"/>
              <w:right w:val="single" w:sz="4" w:space="0" w:color="auto"/>
            </w:tcBorders>
            <w:shd w:val="clear" w:color="000000" w:fill="FFFFFF"/>
            <w:noWrap/>
            <w:vAlign w:val="bottom"/>
            <w:hideMark/>
          </w:tcPr>
          <w:p w14:paraId="769BCE6E" w14:textId="7B08E8A2" w:rsidR="00543241" w:rsidRPr="000D1437" w:rsidRDefault="00543241" w:rsidP="00543241">
            <w:pPr>
              <w:jc w:val="right"/>
              <w:rPr>
                <w:rFonts w:ascii="Times New Roman" w:hAnsi="Times New Roman"/>
                <w:sz w:val="14"/>
                <w:szCs w:val="14"/>
              </w:rPr>
            </w:pPr>
            <w:r w:rsidRPr="000D1437">
              <w:rPr>
                <w:sz w:val="14"/>
                <w:szCs w:val="14"/>
              </w:rPr>
              <w:t>1338,19</w:t>
            </w:r>
          </w:p>
        </w:tc>
        <w:tc>
          <w:tcPr>
            <w:tcW w:w="1262" w:type="dxa"/>
            <w:tcBorders>
              <w:top w:val="nil"/>
              <w:left w:val="nil"/>
              <w:bottom w:val="single" w:sz="4" w:space="0" w:color="auto"/>
              <w:right w:val="single" w:sz="4" w:space="0" w:color="auto"/>
            </w:tcBorders>
            <w:shd w:val="clear" w:color="000000" w:fill="FFFFFF"/>
            <w:vAlign w:val="bottom"/>
          </w:tcPr>
          <w:p w14:paraId="524B584E" w14:textId="1FD1816B" w:rsidR="00543241" w:rsidRPr="000D1437" w:rsidRDefault="00543241" w:rsidP="00543241">
            <w:pPr>
              <w:jc w:val="right"/>
              <w:rPr>
                <w:rFonts w:ascii="Times New Roman" w:hAnsi="Times New Roman"/>
                <w:sz w:val="14"/>
                <w:szCs w:val="14"/>
              </w:rPr>
            </w:pPr>
            <w:r w:rsidRPr="000D1437">
              <w:rPr>
                <w:sz w:val="14"/>
                <w:szCs w:val="14"/>
              </w:rPr>
              <w:t>1250,43</w:t>
            </w:r>
          </w:p>
        </w:tc>
      </w:tr>
      <w:tr w:rsidR="00543241" w:rsidRPr="00364545" w14:paraId="288256CB"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087DCC2" w14:textId="3FF464D8"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264" w:type="dxa"/>
            <w:tcBorders>
              <w:top w:val="nil"/>
              <w:left w:val="nil"/>
              <w:bottom w:val="single" w:sz="4" w:space="0" w:color="auto"/>
              <w:right w:val="single" w:sz="4" w:space="0" w:color="auto"/>
            </w:tcBorders>
            <w:shd w:val="clear" w:color="000000" w:fill="FFFFFF"/>
            <w:noWrap/>
            <w:vAlign w:val="bottom"/>
            <w:hideMark/>
          </w:tcPr>
          <w:p w14:paraId="772CC0EF" w14:textId="435EB55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0AF29574" w14:textId="2360CCA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175C2F20" w14:textId="53975BD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4688AA01" w14:textId="70ABEE2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03EEB7DE" w14:textId="0EDCF35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78106868" w14:textId="4D71077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02A003E"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vAlign w:val="center"/>
            <w:hideMark/>
          </w:tcPr>
          <w:p w14:paraId="2B486AB6" w14:textId="1DCD88C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264" w:type="dxa"/>
            <w:tcBorders>
              <w:top w:val="nil"/>
              <w:left w:val="nil"/>
              <w:bottom w:val="single" w:sz="4" w:space="0" w:color="auto"/>
              <w:right w:val="single" w:sz="4" w:space="0" w:color="auto"/>
            </w:tcBorders>
            <w:shd w:val="clear" w:color="000000" w:fill="FFFFFF"/>
            <w:noWrap/>
            <w:vAlign w:val="bottom"/>
            <w:hideMark/>
          </w:tcPr>
          <w:p w14:paraId="14328E1A" w14:textId="0438EB9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728247F2" w14:textId="16B243D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0B0EFA37" w14:textId="4FE155F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58A1C7A7" w14:textId="12AC9E4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517529EF" w14:textId="0341F68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16D68E9E" w14:textId="149C150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783EA5EA"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vAlign w:val="center"/>
            <w:hideMark/>
          </w:tcPr>
          <w:p w14:paraId="265810E2" w14:textId="71056A7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264" w:type="dxa"/>
            <w:tcBorders>
              <w:top w:val="nil"/>
              <w:left w:val="nil"/>
              <w:bottom w:val="single" w:sz="4" w:space="0" w:color="auto"/>
              <w:right w:val="single" w:sz="4" w:space="0" w:color="auto"/>
            </w:tcBorders>
            <w:shd w:val="clear" w:color="000000" w:fill="FFFFFF"/>
            <w:noWrap/>
            <w:vAlign w:val="bottom"/>
            <w:hideMark/>
          </w:tcPr>
          <w:p w14:paraId="1B8C7716" w14:textId="42DF81EA" w:rsidR="00543241" w:rsidRPr="000D1437" w:rsidRDefault="00543241" w:rsidP="00543241">
            <w:pPr>
              <w:jc w:val="right"/>
              <w:rPr>
                <w:rFonts w:ascii="Times New Roman" w:hAnsi="Times New Roman"/>
                <w:sz w:val="14"/>
                <w:szCs w:val="14"/>
              </w:rPr>
            </w:pPr>
            <w:r w:rsidRPr="000D1437">
              <w:rPr>
                <w:sz w:val="14"/>
                <w:szCs w:val="14"/>
              </w:rPr>
              <w:t>576,30</w:t>
            </w:r>
          </w:p>
        </w:tc>
        <w:tc>
          <w:tcPr>
            <w:tcW w:w="1278" w:type="dxa"/>
            <w:tcBorders>
              <w:top w:val="nil"/>
              <w:left w:val="nil"/>
              <w:bottom w:val="single" w:sz="4" w:space="0" w:color="auto"/>
              <w:right w:val="single" w:sz="4" w:space="0" w:color="auto"/>
            </w:tcBorders>
            <w:shd w:val="clear" w:color="000000" w:fill="FFFFFF"/>
            <w:noWrap/>
            <w:vAlign w:val="bottom"/>
            <w:hideMark/>
          </w:tcPr>
          <w:p w14:paraId="76C13751" w14:textId="1387CCB8" w:rsidR="00543241" w:rsidRPr="000D1437" w:rsidRDefault="00543241" w:rsidP="00543241">
            <w:pPr>
              <w:jc w:val="right"/>
              <w:rPr>
                <w:rFonts w:ascii="Times New Roman" w:hAnsi="Times New Roman"/>
                <w:sz w:val="14"/>
                <w:szCs w:val="14"/>
              </w:rPr>
            </w:pPr>
            <w:r w:rsidRPr="000D1437">
              <w:rPr>
                <w:sz w:val="14"/>
                <w:szCs w:val="14"/>
              </w:rPr>
              <w:t>546,29</w:t>
            </w:r>
          </w:p>
        </w:tc>
        <w:tc>
          <w:tcPr>
            <w:tcW w:w="1278" w:type="dxa"/>
            <w:tcBorders>
              <w:top w:val="nil"/>
              <w:left w:val="nil"/>
              <w:bottom w:val="single" w:sz="4" w:space="0" w:color="auto"/>
              <w:right w:val="single" w:sz="4" w:space="0" w:color="auto"/>
            </w:tcBorders>
            <w:shd w:val="clear" w:color="000000" w:fill="FFFFFF"/>
            <w:noWrap/>
            <w:vAlign w:val="bottom"/>
            <w:hideMark/>
          </w:tcPr>
          <w:p w14:paraId="6D7424B2" w14:textId="5BC57919" w:rsidR="00543241" w:rsidRPr="000D1437" w:rsidRDefault="00543241" w:rsidP="00543241">
            <w:pPr>
              <w:jc w:val="right"/>
              <w:rPr>
                <w:rFonts w:ascii="Times New Roman" w:hAnsi="Times New Roman"/>
                <w:sz w:val="14"/>
                <w:szCs w:val="14"/>
              </w:rPr>
            </w:pPr>
            <w:r w:rsidRPr="000D1437">
              <w:rPr>
                <w:sz w:val="14"/>
                <w:szCs w:val="14"/>
              </w:rPr>
              <w:t>543,33</w:t>
            </w:r>
          </w:p>
        </w:tc>
        <w:tc>
          <w:tcPr>
            <w:tcW w:w="1278" w:type="dxa"/>
            <w:tcBorders>
              <w:top w:val="nil"/>
              <w:left w:val="nil"/>
              <w:bottom w:val="single" w:sz="4" w:space="0" w:color="auto"/>
              <w:right w:val="single" w:sz="4" w:space="0" w:color="auto"/>
            </w:tcBorders>
            <w:shd w:val="clear" w:color="000000" w:fill="FFFFFF"/>
            <w:noWrap/>
            <w:vAlign w:val="bottom"/>
            <w:hideMark/>
          </w:tcPr>
          <w:p w14:paraId="1BB0ADB0" w14:textId="41C38E25" w:rsidR="00543241" w:rsidRPr="000D1437" w:rsidRDefault="00543241" w:rsidP="00543241">
            <w:pPr>
              <w:jc w:val="right"/>
              <w:rPr>
                <w:rFonts w:ascii="Times New Roman" w:hAnsi="Times New Roman"/>
                <w:sz w:val="14"/>
                <w:szCs w:val="14"/>
              </w:rPr>
            </w:pPr>
            <w:r w:rsidRPr="000D1437">
              <w:rPr>
                <w:sz w:val="14"/>
                <w:szCs w:val="14"/>
              </w:rPr>
              <w:t>589,50</w:t>
            </w:r>
          </w:p>
        </w:tc>
        <w:tc>
          <w:tcPr>
            <w:tcW w:w="1278" w:type="dxa"/>
            <w:tcBorders>
              <w:top w:val="nil"/>
              <w:left w:val="nil"/>
              <w:bottom w:val="single" w:sz="4" w:space="0" w:color="auto"/>
              <w:right w:val="single" w:sz="4" w:space="0" w:color="auto"/>
            </w:tcBorders>
            <w:shd w:val="clear" w:color="000000" w:fill="FFFFFF"/>
            <w:noWrap/>
            <w:vAlign w:val="bottom"/>
            <w:hideMark/>
          </w:tcPr>
          <w:p w14:paraId="6403F780" w14:textId="06310806" w:rsidR="00543241" w:rsidRPr="000D1437" w:rsidRDefault="00543241" w:rsidP="00543241">
            <w:pPr>
              <w:jc w:val="right"/>
              <w:rPr>
                <w:rFonts w:ascii="Times New Roman" w:hAnsi="Times New Roman"/>
                <w:sz w:val="14"/>
                <w:szCs w:val="14"/>
              </w:rPr>
            </w:pPr>
            <w:r w:rsidRPr="000D1437">
              <w:rPr>
                <w:sz w:val="14"/>
                <w:szCs w:val="14"/>
              </w:rPr>
              <w:t>530,39</w:t>
            </w:r>
          </w:p>
        </w:tc>
        <w:tc>
          <w:tcPr>
            <w:tcW w:w="1262" w:type="dxa"/>
            <w:tcBorders>
              <w:top w:val="nil"/>
              <w:left w:val="nil"/>
              <w:bottom w:val="single" w:sz="4" w:space="0" w:color="auto"/>
              <w:right w:val="single" w:sz="4" w:space="0" w:color="auto"/>
            </w:tcBorders>
            <w:shd w:val="clear" w:color="000000" w:fill="FFFFFF"/>
            <w:vAlign w:val="bottom"/>
          </w:tcPr>
          <w:p w14:paraId="073ADD0B" w14:textId="220D74D8" w:rsidR="00543241" w:rsidRPr="000D1437" w:rsidRDefault="00543241" w:rsidP="00543241">
            <w:pPr>
              <w:jc w:val="right"/>
              <w:rPr>
                <w:rFonts w:ascii="Times New Roman" w:hAnsi="Times New Roman"/>
                <w:sz w:val="14"/>
                <w:szCs w:val="14"/>
              </w:rPr>
            </w:pPr>
            <w:r w:rsidRPr="000D1437">
              <w:rPr>
                <w:sz w:val="14"/>
                <w:szCs w:val="14"/>
              </w:rPr>
              <w:t>497,02</w:t>
            </w:r>
          </w:p>
        </w:tc>
      </w:tr>
      <w:tr w:rsidR="00543241" w:rsidRPr="00364545" w14:paraId="6A475538"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67007AF" w14:textId="77D19909"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264" w:type="dxa"/>
            <w:tcBorders>
              <w:top w:val="nil"/>
              <w:left w:val="nil"/>
              <w:bottom w:val="single" w:sz="4" w:space="0" w:color="auto"/>
              <w:right w:val="single" w:sz="4" w:space="0" w:color="auto"/>
            </w:tcBorders>
            <w:shd w:val="clear" w:color="000000" w:fill="FFFFFF"/>
            <w:noWrap/>
            <w:vAlign w:val="bottom"/>
            <w:hideMark/>
          </w:tcPr>
          <w:p w14:paraId="62E379D9" w14:textId="794851D1" w:rsidR="00543241" w:rsidRPr="000D1437" w:rsidRDefault="00543241" w:rsidP="00543241">
            <w:pPr>
              <w:jc w:val="right"/>
              <w:rPr>
                <w:rFonts w:ascii="Times New Roman" w:hAnsi="Times New Roman"/>
                <w:sz w:val="14"/>
                <w:szCs w:val="14"/>
              </w:rPr>
            </w:pPr>
            <w:r w:rsidRPr="000D1437">
              <w:rPr>
                <w:sz w:val="14"/>
                <w:szCs w:val="14"/>
              </w:rPr>
              <w:t>0,04</w:t>
            </w:r>
          </w:p>
        </w:tc>
        <w:tc>
          <w:tcPr>
            <w:tcW w:w="1278" w:type="dxa"/>
            <w:tcBorders>
              <w:top w:val="nil"/>
              <w:left w:val="nil"/>
              <w:bottom w:val="single" w:sz="4" w:space="0" w:color="auto"/>
              <w:right w:val="single" w:sz="4" w:space="0" w:color="auto"/>
            </w:tcBorders>
            <w:shd w:val="clear" w:color="000000" w:fill="FFFFFF"/>
            <w:noWrap/>
            <w:vAlign w:val="bottom"/>
            <w:hideMark/>
          </w:tcPr>
          <w:p w14:paraId="4BC6594A" w14:textId="6677A67A" w:rsidR="00543241" w:rsidRPr="000D1437" w:rsidRDefault="00543241" w:rsidP="00543241">
            <w:pPr>
              <w:jc w:val="right"/>
              <w:rPr>
                <w:rFonts w:ascii="Times New Roman" w:hAnsi="Times New Roman"/>
                <w:sz w:val="14"/>
                <w:szCs w:val="14"/>
              </w:rPr>
            </w:pPr>
            <w:r w:rsidRPr="000D1437">
              <w:rPr>
                <w:sz w:val="14"/>
                <w:szCs w:val="14"/>
              </w:rPr>
              <w:t>0,04</w:t>
            </w:r>
          </w:p>
        </w:tc>
        <w:tc>
          <w:tcPr>
            <w:tcW w:w="1278" w:type="dxa"/>
            <w:tcBorders>
              <w:top w:val="nil"/>
              <w:left w:val="nil"/>
              <w:bottom w:val="single" w:sz="4" w:space="0" w:color="auto"/>
              <w:right w:val="single" w:sz="4" w:space="0" w:color="auto"/>
            </w:tcBorders>
            <w:shd w:val="clear" w:color="000000" w:fill="FFFFFF"/>
            <w:noWrap/>
            <w:vAlign w:val="bottom"/>
            <w:hideMark/>
          </w:tcPr>
          <w:p w14:paraId="135C5576" w14:textId="173A715C" w:rsidR="00543241" w:rsidRPr="000D1437" w:rsidRDefault="00543241" w:rsidP="00543241">
            <w:pPr>
              <w:jc w:val="right"/>
              <w:rPr>
                <w:rFonts w:ascii="Times New Roman" w:hAnsi="Times New Roman"/>
                <w:sz w:val="14"/>
                <w:szCs w:val="14"/>
              </w:rPr>
            </w:pPr>
            <w:r w:rsidRPr="000D1437">
              <w:rPr>
                <w:sz w:val="14"/>
                <w:szCs w:val="14"/>
              </w:rPr>
              <w:t>0,04</w:t>
            </w:r>
          </w:p>
        </w:tc>
        <w:tc>
          <w:tcPr>
            <w:tcW w:w="1278" w:type="dxa"/>
            <w:tcBorders>
              <w:top w:val="nil"/>
              <w:left w:val="nil"/>
              <w:bottom w:val="single" w:sz="4" w:space="0" w:color="auto"/>
              <w:right w:val="single" w:sz="4" w:space="0" w:color="auto"/>
            </w:tcBorders>
            <w:shd w:val="clear" w:color="000000" w:fill="FFFFFF"/>
            <w:noWrap/>
            <w:vAlign w:val="bottom"/>
            <w:hideMark/>
          </w:tcPr>
          <w:p w14:paraId="584740B8" w14:textId="381BA47F" w:rsidR="00543241" w:rsidRPr="000D1437" w:rsidRDefault="00543241" w:rsidP="00543241">
            <w:pPr>
              <w:jc w:val="right"/>
              <w:rPr>
                <w:rFonts w:ascii="Times New Roman" w:hAnsi="Times New Roman"/>
                <w:sz w:val="14"/>
                <w:szCs w:val="14"/>
              </w:rPr>
            </w:pPr>
            <w:r w:rsidRPr="000D1437">
              <w:rPr>
                <w:sz w:val="14"/>
                <w:szCs w:val="14"/>
              </w:rPr>
              <w:t>0,04</w:t>
            </w:r>
          </w:p>
        </w:tc>
        <w:tc>
          <w:tcPr>
            <w:tcW w:w="1278" w:type="dxa"/>
            <w:tcBorders>
              <w:top w:val="nil"/>
              <w:left w:val="nil"/>
              <w:bottom w:val="single" w:sz="4" w:space="0" w:color="auto"/>
              <w:right w:val="single" w:sz="4" w:space="0" w:color="auto"/>
            </w:tcBorders>
            <w:shd w:val="clear" w:color="000000" w:fill="FFFFFF"/>
            <w:noWrap/>
            <w:vAlign w:val="bottom"/>
            <w:hideMark/>
          </w:tcPr>
          <w:p w14:paraId="408ABD2B" w14:textId="17828052" w:rsidR="00543241" w:rsidRPr="000D1437" w:rsidRDefault="00543241" w:rsidP="00543241">
            <w:pPr>
              <w:jc w:val="right"/>
              <w:rPr>
                <w:rFonts w:ascii="Times New Roman" w:hAnsi="Times New Roman"/>
                <w:sz w:val="14"/>
                <w:szCs w:val="14"/>
              </w:rPr>
            </w:pPr>
            <w:r w:rsidRPr="000D1437">
              <w:rPr>
                <w:sz w:val="14"/>
                <w:szCs w:val="14"/>
              </w:rPr>
              <w:t>0,04</w:t>
            </w:r>
          </w:p>
        </w:tc>
        <w:tc>
          <w:tcPr>
            <w:tcW w:w="1262" w:type="dxa"/>
            <w:tcBorders>
              <w:top w:val="nil"/>
              <w:left w:val="nil"/>
              <w:bottom w:val="single" w:sz="4" w:space="0" w:color="auto"/>
              <w:right w:val="single" w:sz="4" w:space="0" w:color="auto"/>
            </w:tcBorders>
            <w:shd w:val="clear" w:color="000000" w:fill="FFFFFF"/>
            <w:vAlign w:val="bottom"/>
          </w:tcPr>
          <w:p w14:paraId="2587EACC" w14:textId="048177A6" w:rsidR="00543241" w:rsidRPr="000D1437" w:rsidRDefault="00543241" w:rsidP="00543241">
            <w:pPr>
              <w:jc w:val="right"/>
              <w:rPr>
                <w:rFonts w:ascii="Times New Roman" w:hAnsi="Times New Roman"/>
                <w:sz w:val="14"/>
                <w:szCs w:val="14"/>
              </w:rPr>
            </w:pPr>
            <w:r w:rsidRPr="000D1437">
              <w:rPr>
                <w:sz w:val="14"/>
                <w:szCs w:val="14"/>
              </w:rPr>
              <w:t>0,04</w:t>
            </w:r>
          </w:p>
        </w:tc>
      </w:tr>
      <w:tr w:rsidR="00543241" w:rsidRPr="00364545" w14:paraId="4BC3092B"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bottom"/>
            <w:hideMark/>
          </w:tcPr>
          <w:p w14:paraId="4D9D3FA0" w14:textId="3EE8F7C3"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3. Agriculture</w:t>
            </w:r>
          </w:p>
        </w:tc>
        <w:tc>
          <w:tcPr>
            <w:tcW w:w="1264" w:type="dxa"/>
            <w:tcBorders>
              <w:top w:val="nil"/>
              <w:left w:val="nil"/>
              <w:bottom w:val="single" w:sz="4" w:space="0" w:color="auto"/>
              <w:right w:val="single" w:sz="4" w:space="0" w:color="auto"/>
            </w:tcBorders>
            <w:shd w:val="clear" w:color="000000" w:fill="CCFFFF"/>
            <w:noWrap/>
            <w:vAlign w:val="bottom"/>
            <w:hideMark/>
          </w:tcPr>
          <w:p w14:paraId="249EC7C0" w14:textId="75D7D512" w:rsidR="00543241" w:rsidRPr="000D1437" w:rsidRDefault="00543241" w:rsidP="00543241">
            <w:pPr>
              <w:jc w:val="right"/>
              <w:rPr>
                <w:rFonts w:ascii="Times New Roman" w:hAnsi="Times New Roman"/>
                <w:sz w:val="14"/>
                <w:szCs w:val="14"/>
              </w:rPr>
            </w:pPr>
            <w:r w:rsidRPr="000D1437">
              <w:rPr>
                <w:sz w:val="14"/>
                <w:szCs w:val="14"/>
              </w:rPr>
              <w:t>1919,31</w:t>
            </w:r>
          </w:p>
        </w:tc>
        <w:tc>
          <w:tcPr>
            <w:tcW w:w="1278" w:type="dxa"/>
            <w:tcBorders>
              <w:top w:val="nil"/>
              <w:left w:val="nil"/>
              <w:bottom w:val="single" w:sz="4" w:space="0" w:color="auto"/>
              <w:right w:val="single" w:sz="4" w:space="0" w:color="auto"/>
            </w:tcBorders>
            <w:shd w:val="clear" w:color="000000" w:fill="CCFFFF"/>
            <w:noWrap/>
            <w:vAlign w:val="bottom"/>
            <w:hideMark/>
          </w:tcPr>
          <w:p w14:paraId="7A61D66E" w14:textId="74161576" w:rsidR="00543241" w:rsidRPr="000D1437" w:rsidRDefault="00543241" w:rsidP="00543241">
            <w:pPr>
              <w:jc w:val="right"/>
              <w:rPr>
                <w:rFonts w:ascii="Times New Roman" w:hAnsi="Times New Roman"/>
                <w:sz w:val="14"/>
                <w:szCs w:val="14"/>
              </w:rPr>
            </w:pPr>
            <w:r w:rsidRPr="000D1437">
              <w:rPr>
                <w:sz w:val="14"/>
                <w:szCs w:val="14"/>
              </w:rPr>
              <w:t>1960,86</w:t>
            </w:r>
          </w:p>
        </w:tc>
        <w:tc>
          <w:tcPr>
            <w:tcW w:w="1278" w:type="dxa"/>
            <w:tcBorders>
              <w:top w:val="nil"/>
              <w:left w:val="nil"/>
              <w:bottom w:val="single" w:sz="4" w:space="0" w:color="auto"/>
              <w:right w:val="single" w:sz="4" w:space="0" w:color="auto"/>
            </w:tcBorders>
            <w:shd w:val="clear" w:color="000000" w:fill="CCFFFF"/>
            <w:noWrap/>
            <w:vAlign w:val="bottom"/>
            <w:hideMark/>
          </w:tcPr>
          <w:p w14:paraId="166C3752" w14:textId="0E424EE0" w:rsidR="00543241" w:rsidRPr="000D1437" w:rsidRDefault="00543241" w:rsidP="00543241">
            <w:pPr>
              <w:jc w:val="right"/>
              <w:rPr>
                <w:rFonts w:ascii="Times New Roman" w:hAnsi="Times New Roman"/>
                <w:sz w:val="14"/>
                <w:szCs w:val="14"/>
              </w:rPr>
            </w:pPr>
            <w:r w:rsidRPr="000D1437">
              <w:rPr>
                <w:sz w:val="14"/>
                <w:szCs w:val="14"/>
              </w:rPr>
              <w:t>2050,36</w:t>
            </w:r>
          </w:p>
        </w:tc>
        <w:tc>
          <w:tcPr>
            <w:tcW w:w="1278" w:type="dxa"/>
            <w:tcBorders>
              <w:top w:val="nil"/>
              <w:left w:val="nil"/>
              <w:bottom w:val="single" w:sz="4" w:space="0" w:color="auto"/>
              <w:right w:val="single" w:sz="4" w:space="0" w:color="auto"/>
            </w:tcBorders>
            <w:shd w:val="clear" w:color="000000" w:fill="CCFFFF"/>
            <w:noWrap/>
            <w:vAlign w:val="bottom"/>
            <w:hideMark/>
          </w:tcPr>
          <w:p w14:paraId="5092F3EB" w14:textId="20D8965B" w:rsidR="00543241" w:rsidRPr="000D1437" w:rsidRDefault="00543241" w:rsidP="00543241">
            <w:pPr>
              <w:jc w:val="right"/>
              <w:rPr>
                <w:rFonts w:ascii="Times New Roman" w:hAnsi="Times New Roman"/>
                <w:sz w:val="14"/>
                <w:szCs w:val="14"/>
              </w:rPr>
            </w:pPr>
            <w:r w:rsidRPr="000D1437">
              <w:rPr>
                <w:sz w:val="14"/>
                <w:szCs w:val="14"/>
              </w:rPr>
              <w:t>1985,69</w:t>
            </w:r>
          </w:p>
        </w:tc>
        <w:tc>
          <w:tcPr>
            <w:tcW w:w="1278" w:type="dxa"/>
            <w:tcBorders>
              <w:top w:val="nil"/>
              <w:left w:val="nil"/>
              <w:bottom w:val="single" w:sz="4" w:space="0" w:color="auto"/>
              <w:right w:val="single" w:sz="4" w:space="0" w:color="auto"/>
            </w:tcBorders>
            <w:shd w:val="clear" w:color="000000" w:fill="CCFFFF"/>
            <w:noWrap/>
            <w:vAlign w:val="bottom"/>
            <w:hideMark/>
          </w:tcPr>
          <w:p w14:paraId="30A461E1" w14:textId="300CF6A1" w:rsidR="00543241" w:rsidRPr="000D1437" w:rsidRDefault="00543241" w:rsidP="00543241">
            <w:pPr>
              <w:jc w:val="right"/>
              <w:rPr>
                <w:rFonts w:ascii="Times New Roman" w:hAnsi="Times New Roman"/>
                <w:sz w:val="14"/>
                <w:szCs w:val="14"/>
              </w:rPr>
            </w:pPr>
            <w:r w:rsidRPr="000D1437">
              <w:rPr>
                <w:sz w:val="14"/>
                <w:szCs w:val="14"/>
              </w:rPr>
              <w:t>2052,86</w:t>
            </w:r>
          </w:p>
        </w:tc>
        <w:tc>
          <w:tcPr>
            <w:tcW w:w="1262" w:type="dxa"/>
            <w:tcBorders>
              <w:top w:val="nil"/>
              <w:left w:val="nil"/>
              <w:bottom w:val="single" w:sz="4" w:space="0" w:color="auto"/>
              <w:right w:val="single" w:sz="4" w:space="0" w:color="auto"/>
            </w:tcBorders>
            <w:shd w:val="clear" w:color="000000" w:fill="CCFFFF"/>
            <w:vAlign w:val="bottom"/>
          </w:tcPr>
          <w:p w14:paraId="2D4BB09C" w14:textId="7C5E4298" w:rsidR="00543241" w:rsidRPr="000D1437" w:rsidRDefault="00543241" w:rsidP="00543241">
            <w:pPr>
              <w:jc w:val="right"/>
              <w:rPr>
                <w:rFonts w:ascii="Times New Roman" w:hAnsi="Times New Roman"/>
                <w:sz w:val="14"/>
                <w:szCs w:val="14"/>
              </w:rPr>
            </w:pPr>
            <w:r w:rsidRPr="000D1437">
              <w:rPr>
                <w:sz w:val="14"/>
                <w:szCs w:val="14"/>
              </w:rPr>
              <w:t>2156,51</w:t>
            </w:r>
          </w:p>
        </w:tc>
      </w:tr>
      <w:tr w:rsidR="00543241" w:rsidRPr="00364545" w14:paraId="11576C26"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4438ED1" w14:textId="0A75D9A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7ECA9361" w14:textId="472DC5B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3C84FDEE" w14:textId="4205F68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550E5985" w14:textId="79CFBA6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228D16CA" w14:textId="31303E4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9B00433" w14:textId="22D19FF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109DD094" w14:textId="5EF31B8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576422B"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1DCB1FD" w14:textId="662C4930"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6AA51BFC" w14:textId="2F73DE7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5B2F9406" w14:textId="0B2B301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B4E7F39" w14:textId="12E08B3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D738DC4" w14:textId="4B48B06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75126CCB" w14:textId="3EA4B5A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5EE4AAB8" w14:textId="4FD913F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B7EFFDA"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4D51FA0" w14:textId="4C00AEFF"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1F2AF2DA" w14:textId="55DFDE3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DB351BD" w14:textId="085BFA7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73539081" w14:textId="4BA5241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7DBA4B0" w14:textId="196747C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7049EFA4" w14:textId="2A3A401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5F7B6282" w14:textId="17B98A2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67435C8"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22A13E0" w14:textId="5146507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534975BB" w14:textId="43F68F5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4365C6D" w14:textId="64E55F1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7484A519" w14:textId="4E7D931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FBEB8AE" w14:textId="42812A8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72BFA3C7" w14:textId="704A68D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3CFB0ED1" w14:textId="71A414F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772C5955"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33FE291" w14:textId="1188D6C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34E3B542" w14:textId="3EC4DEB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EAD83FD" w14:textId="21A1A32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01AD40AE" w14:textId="50FC9BE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E96F66D" w14:textId="05F5E87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30789BAD" w14:textId="45E457F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1DF911CB" w14:textId="640EF7F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9A79D45"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B6C01BE" w14:textId="49A4F81F"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264" w:type="dxa"/>
            <w:tcBorders>
              <w:top w:val="nil"/>
              <w:left w:val="nil"/>
              <w:bottom w:val="single" w:sz="4" w:space="0" w:color="auto"/>
              <w:right w:val="single" w:sz="4" w:space="0" w:color="auto"/>
            </w:tcBorders>
            <w:shd w:val="clear" w:color="000000" w:fill="FFFFFF"/>
            <w:noWrap/>
            <w:vAlign w:val="bottom"/>
            <w:hideMark/>
          </w:tcPr>
          <w:p w14:paraId="798BDD91" w14:textId="2D4CA8A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05BFF426" w14:textId="70EE352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3005FBA5" w14:textId="7D790A8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7093B85D" w14:textId="2794D6B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6E14B64D" w14:textId="13FD50C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2BA2A52E" w14:textId="7811455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5286588"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E492573"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264" w:type="dxa"/>
            <w:tcBorders>
              <w:top w:val="nil"/>
              <w:left w:val="nil"/>
              <w:bottom w:val="single" w:sz="4" w:space="0" w:color="auto"/>
              <w:right w:val="single" w:sz="4" w:space="0" w:color="auto"/>
            </w:tcBorders>
            <w:shd w:val="clear" w:color="000000" w:fill="FFFFFF"/>
            <w:noWrap/>
            <w:vAlign w:val="bottom"/>
            <w:hideMark/>
          </w:tcPr>
          <w:p w14:paraId="672E8E42" w14:textId="499D693A" w:rsidR="00543241" w:rsidRPr="000D1437" w:rsidRDefault="00543241" w:rsidP="00543241">
            <w:pPr>
              <w:jc w:val="right"/>
              <w:rPr>
                <w:rFonts w:ascii="Times New Roman" w:hAnsi="Times New Roman"/>
                <w:sz w:val="14"/>
                <w:szCs w:val="14"/>
              </w:rPr>
            </w:pPr>
            <w:r w:rsidRPr="000D1437">
              <w:rPr>
                <w:sz w:val="14"/>
                <w:szCs w:val="14"/>
              </w:rPr>
              <w:t>843,88</w:t>
            </w:r>
          </w:p>
        </w:tc>
        <w:tc>
          <w:tcPr>
            <w:tcW w:w="1278" w:type="dxa"/>
            <w:tcBorders>
              <w:top w:val="nil"/>
              <w:left w:val="nil"/>
              <w:bottom w:val="single" w:sz="4" w:space="0" w:color="auto"/>
              <w:right w:val="single" w:sz="4" w:space="0" w:color="auto"/>
            </w:tcBorders>
            <w:shd w:val="clear" w:color="000000" w:fill="FFFFFF"/>
            <w:noWrap/>
            <w:vAlign w:val="bottom"/>
            <w:hideMark/>
          </w:tcPr>
          <w:p w14:paraId="00145FE2" w14:textId="36DABB73" w:rsidR="00543241" w:rsidRPr="000D1437" w:rsidRDefault="00543241" w:rsidP="00543241">
            <w:pPr>
              <w:jc w:val="right"/>
              <w:rPr>
                <w:rFonts w:ascii="Times New Roman" w:hAnsi="Times New Roman"/>
                <w:sz w:val="14"/>
                <w:szCs w:val="14"/>
              </w:rPr>
            </w:pPr>
            <w:r w:rsidRPr="000D1437">
              <w:rPr>
                <w:sz w:val="14"/>
                <w:szCs w:val="14"/>
              </w:rPr>
              <w:t>832,97</w:t>
            </w:r>
          </w:p>
        </w:tc>
        <w:tc>
          <w:tcPr>
            <w:tcW w:w="1278" w:type="dxa"/>
            <w:tcBorders>
              <w:top w:val="nil"/>
              <w:left w:val="nil"/>
              <w:bottom w:val="single" w:sz="4" w:space="0" w:color="auto"/>
              <w:right w:val="single" w:sz="4" w:space="0" w:color="auto"/>
            </w:tcBorders>
            <w:shd w:val="clear" w:color="000000" w:fill="FFFFFF"/>
            <w:noWrap/>
            <w:vAlign w:val="bottom"/>
            <w:hideMark/>
          </w:tcPr>
          <w:p w14:paraId="28AF15C7" w14:textId="0055FB68" w:rsidR="00543241" w:rsidRPr="000D1437" w:rsidRDefault="00543241" w:rsidP="00543241">
            <w:pPr>
              <w:jc w:val="right"/>
              <w:rPr>
                <w:rFonts w:ascii="Times New Roman" w:hAnsi="Times New Roman"/>
                <w:sz w:val="14"/>
                <w:szCs w:val="14"/>
              </w:rPr>
            </w:pPr>
            <w:r w:rsidRPr="000D1437">
              <w:rPr>
                <w:sz w:val="14"/>
                <w:szCs w:val="14"/>
              </w:rPr>
              <w:t>919,67</w:t>
            </w:r>
          </w:p>
        </w:tc>
        <w:tc>
          <w:tcPr>
            <w:tcW w:w="1278" w:type="dxa"/>
            <w:tcBorders>
              <w:top w:val="nil"/>
              <w:left w:val="nil"/>
              <w:bottom w:val="single" w:sz="4" w:space="0" w:color="auto"/>
              <w:right w:val="single" w:sz="4" w:space="0" w:color="auto"/>
            </w:tcBorders>
            <w:shd w:val="clear" w:color="000000" w:fill="FFFFFF"/>
            <w:noWrap/>
            <w:vAlign w:val="bottom"/>
            <w:hideMark/>
          </w:tcPr>
          <w:p w14:paraId="5FE3415E" w14:textId="7D9A62F9" w:rsidR="00543241" w:rsidRPr="000D1437" w:rsidRDefault="00543241" w:rsidP="00543241">
            <w:pPr>
              <w:jc w:val="right"/>
              <w:rPr>
                <w:rFonts w:ascii="Times New Roman" w:hAnsi="Times New Roman"/>
                <w:sz w:val="14"/>
                <w:szCs w:val="14"/>
              </w:rPr>
            </w:pPr>
            <w:r w:rsidRPr="000D1437">
              <w:rPr>
                <w:sz w:val="14"/>
                <w:szCs w:val="14"/>
              </w:rPr>
              <w:t>802,45</w:t>
            </w:r>
          </w:p>
        </w:tc>
        <w:tc>
          <w:tcPr>
            <w:tcW w:w="1278" w:type="dxa"/>
            <w:tcBorders>
              <w:top w:val="nil"/>
              <w:left w:val="nil"/>
              <w:bottom w:val="single" w:sz="4" w:space="0" w:color="auto"/>
              <w:right w:val="single" w:sz="4" w:space="0" w:color="auto"/>
            </w:tcBorders>
            <w:shd w:val="clear" w:color="000000" w:fill="FFFFFF"/>
            <w:noWrap/>
            <w:vAlign w:val="bottom"/>
            <w:hideMark/>
          </w:tcPr>
          <w:p w14:paraId="2C4FA4F7" w14:textId="26D3F261" w:rsidR="00543241" w:rsidRPr="000D1437" w:rsidRDefault="00543241" w:rsidP="00543241">
            <w:pPr>
              <w:jc w:val="right"/>
              <w:rPr>
                <w:rFonts w:ascii="Times New Roman" w:hAnsi="Times New Roman"/>
                <w:sz w:val="14"/>
                <w:szCs w:val="14"/>
              </w:rPr>
            </w:pPr>
            <w:r w:rsidRPr="000D1437">
              <w:rPr>
                <w:sz w:val="14"/>
                <w:szCs w:val="14"/>
              </w:rPr>
              <w:t>885,61</w:t>
            </w:r>
          </w:p>
        </w:tc>
        <w:tc>
          <w:tcPr>
            <w:tcW w:w="1262" w:type="dxa"/>
            <w:tcBorders>
              <w:top w:val="nil"/>
              <w:left w:val="nil"/>
              <w:bottom w:val="single" w:sz="4" w:space="0" w:color="auto"/>
              <w:right w:val="single" w:sz="4" w:space="0" w:color="auto"/>
            </w:tcBorders>
            <w:shd w:val="clear" w:color="000000" w:fill="FFFFFF"/>
            <w:vAlign w:val="bottom"/>
          </w:tcPr>
          <w:p w14:paraId="06786E34" w14:textId="2C064822" w:rsidR="00543241" w:rsidRPr="000D1437" w:rsidRDefault="00543241" w:rsidP="00543241">
            <w:pPr>
              <w:jc w:val="right"/>
              <w:rPr>
                <w:rFonts w:ascii="Times New Roman" w:hAnsi="Times New Roman"/>
                <w:sz w:val="14"/>
                <w:szCs w:val="14"/>
              </w:rPr>
            </w:pPr>
            <w:r w:rsidRPr="000D1437">
              <w:rPr>
                <w:sz w:val="14"/>
                <w:szCs w:val="14"/>
              </w:rPr>
              <w:t>971,09</w:t>
            </w:r>
          </w:p>
        </w:tc>
      </w:tr>
      <w:tr w:rsidR="00543241" w:rsidRPr="00364545" w14:paraId="2AC13650"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9CBE56E"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264" w:type="dxa"/>
            <w:tcBorders>
              <w:top w:val="nil"/>
              <w:left w:val="nil"/>
              <w:bottom w:val="single" w:sz="4" w:space="0" w:color="auto"/>
              <w:right w:val="single" w:sz="4" w:space="0" w:color="auto"/>
            </w:tcBorders>
            <w:shd w:val="clear" w:color="000000" w:fill="FFFFFF"/>
            <w:noWrap/>
            <w:vAlign w:val="bottom"/>
            <w:hideMark/>
          </w:tcPr>
          <w:p w14:paraId="6E2D6A53" w14:textId="080A127A" w:rsidR="00543241" w:rsidRPr="000D1437" w:rsidRDefault="00543241" w:rsidP="00543241">
            <w:pPr>
              <w:jc w:val="right"/>
              <w:rPr>
                <w:rFonts w:ascii="Times New Roman" w:hAnsi="Times New Roman"/>
                <w:sz w:val="14"/>
                <w:szCs w:val="14"/>
              </w:rPr>
            </w:pPr>
            <w:r w:rsidRPr="000D1437">
              <w:rPr>
                <w:sz w:val="14"/>
                <w:szCs w:val="14"/>
              </w:rPr>
              <w:t>912,65</w:t>
            </w:r>
          </w:p>
        </w:tc>
        <w:tc>
          <w:tcPr>
            <w:tcW w:w="1278" w:type="dxa"/>
            <w:tcBorders>
              <w:top w:val="nil"/>
              <w:left w:val="nil"/>
              <w:bottom w:val="single" w:sz="4" w:space="0" w:color="auto"/>
              <w:right w:val="single" w:sz="4" w:space="0" w:color="auto"/>
            </w:tcBorders>
            <w:shd w:val="clear" w:color="000000" w:fill="FFFFFF"/>
            <w:noWrap/>
            <w:vAlign w:val="bottom"/>
            <w:hideMark/>
          </w:tcPr>
          <w:p w14:paraId="5F54E949" w14:textId="057388CC" w:rsidR="00543241" w:rsidRPr="000D1437" w:rsidRDefault="00543241" w:rsidP="00543241">
            <w:pPr>
              <w:jc w:val="right"/>
              <w:rPr>
                <w:rFonts w:ascii="Times New Roman" w:hAnsi="Times New Roman"/>
                <w:sz w:val="14"/>
                <w:szCs w:val="14"/>
              </w:rPr>
            </w:pPr>
            <w:r w:rsidRPr="000D1437">
              <w:rPr>
                <w:sz w:val="14"/>
                <w:szCs w:val="14"/>
              </w:rPr>
              <w:t>940,37</w:t>
            </w:r>
          </w:p>
        </w:tc>
        <w:tc>
          <w:tcPr>
            <w:tcW w:w="1278" w:type="dxa"/>
            <w:tcBorders>
              <w:top w:val="nil"/>
              <w:left w:val="nil"/>
              <w:bottom w:val="single" w:sz="4" w:space="0" w:color="auto"/>
              <w:right w:val="single" w:sz="4" w:space="0" w:color="auto"/>
            </w:tcBorders>
            <w:shd w:val="clear" w:color="000000" w:fill="FFFFFF"/>
            <w:noWrap/>
            <w:vAlign w:val="bottom"/>
            <w:hideMark/>
          </w:tcPr>
          <w:p w14:paraId="57868E87" w14:textId="3C53AF9C" w:rsidR="00543241" w:rsidRPr="000D1437" w:rsidRDefault="00543241" w:rsidP="00543241">
            <w:pPr>
              <w:jc w:val="right"/>
              <w:rPr>
                <w:rFonts w:ascii="Times New Roman" w:hAnsi="Times New Roman"/>
                <w:sz w:val="14"/>
                <w:szCs w:val="14"/>
              </w:rPr>
            </w:pPr>
            <w:r w:rsidRPr="000D1437">
              <w:rPr>
                <w:sz w:val="14"/>
                <w:szCs w:val="14"/>
              </w:rPr>
              <w:t>956,25</w:t>
            </w:r>
          </w:p>
        </w:tc>
        <w:tc>
          <w:tcPr>
            <w:tcW w:w="1278" w:type="dxa"/>
            <w:tcBorders>
              <w:top w:val="nil"/>
              <w:left w:val="nil"/>
              <w:bottom w:val="single" w:sz="4" w:space="0" w:color="auto"/>
              <w:right w:val="single" w:sz="4" w:space="0" w:color="auto"/>
            </w:tcBorders>
            <w:shd w:val="clear" w:color="000000" w:fill="FFFFFF"/>
            <w:noWrap/>
            <w:vAlign w:val="bottom"/>
            <w:hideMark/>
          </w:tcPr>
          <w:p w14:paraId="6016B84B" w14:textId="7184C1AB" w:rsidR="00543241" w:rsidRPr="000D1437" w:rsidRDefault="00543241" w:rsidP="00543241">
            <w:pPr>
              <w:jc w:val="right"/>
              <w:rPr>
                <w:rFonts w:ascii="Times New Roman" w:hAnsi="Times New Roman"/>
                <w:sz w:val="14"/>
                <w:szCs w:val="14"/>
              </w:rPr>
            </w:pPr>
            <w:r w:rsidRPr="000D1437">
              <w:rPr>
                <w:sz w:val="14"/>
                <w:szCs w:val="14"/>
              </w:rPr>
              <w:t>1011,00</w:t>
            </w:r>
          </w:p>
        </w:tc>
        <w:tc>
          <w:tcPr>
            <w:tcW w:w="1278" w:type="dxa"/>
            <w:tcBorders>
              <w:top w:val="nil"/>
              <w:left w:val="nil"/>
              <w:bottom w:val="single" w:sz="4" w:space="0" w:color="auto"/>
              <w:right w:val="single" w:sz="4" w:space="0" w:color="auto"/>
            </w:tcBorders>
            <w:shd w:val="clear" w:color="000000" w:fill="FFFFFF"/>
            <w:noWrap/>
            <w:vAlign w:val="bottom"/>
            <w:hideMark/>
          </w:tcPr>
          <w:p w14:paraId="62A8FA9F" w14:textId="0D06C0B3" w:rsidR="00543241" w:rsidRPr="000D1437" w:rsidRDefault="00543241" w:rsidP="00543241">
            <w:pPr>
              <w:jc w:val="right"/>
              <w:rPr>
                <w:rFonts w:ascii="Times New Roman" w:hAnsi="Times New Roman"/>
                <w:sz w:val="14"/>
                <w:szCs w:val="14"/>
              </w:rPr>
            </w:pPr>
            <w:r w:rsidRPr="000D1437">
              <w:rPr>
                <w:sz w:val="14"/>
                <w:szCs w:val="14"/>
              </w:rPr>
              <w:t>981,13</w:t>
            </w:r>
          </w:p>
        </w:tc>
        <w:tc>
          <w:tcPr>
            <w:tcW w:w="1262" w:type="dxa"/>
            <w:tcBorders>
              <w:top w:val="nil"/>
              <w:left w:val="nil"/>
              <w:bottom w:val="single" w:sz="4" w:space="0" w:color="auto"/>
              <w:right w:val="single" w:sz="4" w:space="0" w:color="auto"/>
            </w:tcBorders>
            <w:shd w:val="clear" w:color="000000" w:fill="FFFFFF"/>
            <w:vAlign w:val="bottom"/>
          </w:tcPr>
          <w:p w14:paraId="07A39CC0" w14:textId="571B4501" w:rsidR="00543241" w:rsidRPr="000D1437" w:rsidRDefault="00543241" w:rsidP="00543241">
            <w:pPr>
              <w:jc w:val="right"/>
              <w:rPr>
                <w:rFonts w:ascii="Times New Roman" w:hAnsi="Times New Roman"/>
                <w:sz w:val="14"/>
                <w:szCs w:val="14"/>
              </w:rPr>
            </w:pPr>
            <w:r w:rsidRPr="000D1437">
              <w:rPr>
                <w:sz w:val="14"/>
                <w:szCs w:val="14"/>
              </w:rPr>
              <w:t>1009,66</w:t>
            </w:r>
          </w:p>
        </w:tc>
      </w:tr>
      <w:tr w:rsidR="00543241" w:rsidRPr="00364545" w14:paraId="72D2C7CE"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14D5641" w14:textId="58CF96F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264" w:type="dxa"/>
            <w:tcBorders>
              <w:top w:val="nil"/>
              <w:left w:val="nil"/>
              <w:bottom w:val="single" w:sz="4" w:space="0" w:color="auto"/>
              <w:right w:val="single" w:sz="4" w:space="0" w:color="auto"/>
            </w:tcBorders>
            <w:shd w:val="clear" w:color="000000" w:fill="FFFFFF"/>
            <w:noWrap/>
            <w:vAlign w:val="bottom"/>
            <w:hideMark/>
          </w:tcPr>
          <w:p w14:paraId="1EF2E87D" w14:textId="4C33171F" w:rsidR="00543241" w:rsidRPr="000D1437" w:rsidRDefault="00543241" w:rsidP="00543241">
            <w:pPr>
              <w:jc w:val="right"/>
              <w:rPr>
                <w:rFonts w:ascii="Times New Roman" w:hAnsi="Times New Roman"/>
                <w:sz w:val="14"/>
                <w:szCs w:val="14"/>
              </w:rPr>
            </w:pPr>
            <w:r w:rsidRPr="000D1437">
              <w:rPr>
                <w:sz w:val="14"/>
                <w:szCs w:val="14"/>
              </w:rPr>
              <w:t>162,78</w:t>
            </w:r>
          </w:p>
        </w:tc>
        <w:tc>
          <w:tcPr>
            <w:tcW w:w="1278" w:type="dxa"/>
            <w:tcBorders>
              <w:top w:val="nil"/>
              <w:left w:val="nil"/>
              <w:bottom w:val="single" w:sz="4" w:space="0" w:color="auto"/>
              <w:right w:val="single" w:sz="4" w:space="0" w:color="auto"/>
            </w:tcBorders>
            <w:shd w:val="clear" w:color="000000" w:fill="FFFFFF"/>
            <w:noWrap/>
            <w:vAlign w:val="bottom"/>
            <w:hideMark/>
          </w:tcPr>
          <w:p w14:paraId="67CDB3F6" w14:textId="5F0ADF58" w:rsidR="00543241" w:rsidRPr="000D1437" w:rsidRDefault="00543241" w:rsidP="00543241">
            <w:pPr>
              <w:jc w:val="right"/>
              <w:rPr>
                <w:rFonts w:ascii="Times New Roman" w:hAnsi="Times New Roman"/>
                <w:sz w:val="14"/>
                <w:szCs w:val="14"/>
              </w:rPr>
            </w:pPr>
            <w:r w:rsidRPr="000D1437">
              <w:rPr>
                <w:sz w:val="14"/>
                <w:szCs w:val="14"/>
              </w:rPr>
              <w:t>187,52</w:t>
            </w:r>
          </w:p>
        </w:tc>
        <w:tc>
          <w:tcPr>
            <w:tcW w:w="1278" w:type="dxa"/>
            <w:tcBorders>
              <w:top w:val="nil"/>
              <w:left w:val="nil"/>
              <w:bottom w:val="single" w:sz="4" w:space="0" w:color="auto"/>
              <w:right w:val="single" w:sz="4" w:space="0" w:color="auto"/>
            </w:tcBorders>
            <w:shd w:val="clear" w:color="000000" w:fill="FFFFFF"/>
            <w:noWrap/>
            <w:vAlign w:val="bottom"/>
            <w:hideMark/>
          </w:tcPr>
          <w:p w14:paraId="597DD92E" w14:textId="3F272011" w:rsidR="00543241" w:rsidRPr="000D1437" w:rsidRDefault="00543241" w:rsidP="00543241">
            <w:pPr>
              <w:jc w:val="right"/>
              <w:rPr>
                <w:rFonts w:ascii="Times New Roman" w:hAnsi="Times New Roman"/>
                <w:sz w:val="14"/>
                <w:szCs w:val="14"/>
              </w:rPr>
            </w:pPr>
            <w:r w:rsidRPr="000D1437">
              <w:rPr>
                <w:sz w:val="14"/>
                <w:szCs w:val="14"/>
              </w:rPr>
              <w:t>174,44</w:t>
            </w:r>
          </w:p>
        </w:tc>
        <w:tc>
          <w:tcPr>
            <w:tcW w:w="1278" w:type="dxa"/>
            <w:tcBorders>
              <w:top w:val="nil"/>
              <w:left w:val="nil"/>
              <w:bottom w:val="single" w:sz="4" w:space="0" w:color="auto"/>
              <w:right w:val="single" w:sz="4" w:space="0" w:color="auto"/>
            </w:tcBorders>
            <w:shd w:val="clear" w:color="000000" w:fill="FFFFFF"/>
            <w:noWrap/>
            <w:vAlign w:val="bottom"/>
            <w:hideMark/>
          </w:tcPr>
          <w:p w14:paraId="4C019A5E" w14:textId="5B05F1A2" w:rsidR="00543241" w:rsidRPr="000D1437" w:rsidRDefault="00543241" w:rsidP="00543241">
            <w:pPr>
              <w:jc w:val="right"/>
              <w:rPr>
                <w:rFonts w:ascii="Times New Roman" w:hAnsi="Times New Roman"/>
                <w:sz w:val="14"/>
                <w:szCs w:val="14"/>
              </w:rPr>
            </w:pPr>
            <w:r w:rsidRPr="000D1437">
              <w:rPr>
                <w:sz w:val="14"/>
                <w:szCs w:val="14"/>
              </w:rPr>
              <w:t>172,25</w:t>
            </w:r>
          </w:p>
        </w:tc>
        <w:tc>
          <w:tcPr>
            <w:tcW w:w="1278" w:type="dxa"/>
            <w:tcBorders>
              <w:top w:val="nil"/>
              <w:left w:val="nil"/>
              <w:bottom w:val="single" w:sz="4" w:space="0" w:color="auto"/>
              <w:right w:val="single" w:sz="4" w:space="0" w:color="auto"/>
            </w:tcBorders>
            <w:shd w:val="clear" w:color="000000" w:fill="FFFFFF"/>
            <w:noWrap/>
            <w:vAlign w:val="bottom"/>
            <w:hideMark/>
          </w:tcPr>
          <w:p w14:paraId="748BEE1F" w14:textId="0E13BC4E" w:rsidR="00543241" w:rsidRPr="000D1437" w:rsidRDefault="00543241" w:rsidP="00543241">
            <w:pPr>
              <w:jc w:val="right"/>
              <w:rPr>
                <w:rFonts w:ascii="Times New Roman" w:hAnsi="Times New Roman"/>
                <w:sz w:val="14"/>
                <w:szCs w:val="14"/>
              </w:rPr>
            </w:pPr>
            <w:r w:rsidRPr="000D1437">
              <w:rPr>
                <w:sz w:val="14"/>
                <w:szCs w:val="14"/>
              </w:rPr>
              <w:t>186,13</w:t>
            </w:r>
          </w:p>
        </w:tc>
        <w:tc>
          <w:tcPr>
            <w:tcW w:w="1262" w:type="dxa"/>
            <w:tcBorders>
              <w:top w:val="nil"/>
              <w:left w:val="nil"/>
              <w:bottom w:val="single" w:sz="4" w:space="0" w:color="auto"/>
              <w:right w:val="single" w:sz="4" w:space="0" w:color="auto"/>
            </w:tcBorders>
            <w:shd w:val="clear" w:color="000000" w:fill="FFFFFF"/>
            <w:vAlign w:val="bottom"/>
          </w:tcPr>
          <w:p w14:paraId="373B23A2" w14:textId="262BB7C2" w:rsidR="00543241" w:rsidRPr="000D1437" w:rsidRDefault="00543241" w:rsidP="00543241">
            <w:pPr>
              <w:jc w:val="right"/>
              <w:rPr>
                <w:rFonts w:ascii="Times New Roman" w:hAnsi="Times New Roman"/>
                <w:sz w:val="14"/>
                <w:szCs w:val="14"/>
              </w:rPr>
            </w:pPr>
            <w:r w:rsidRPr="000D1437">
              <w:rPr>
                <w:sz w:val="14"/>
                <w:szCs w:val="14"/>
              </w:rPr>
              <w:t>175,76</w:t>
            </w:r>
          </w:p>
        </w:tc>
      </w:tr>
      <w:tr w:rsidR="00543241" w:rsidRPr="00364545" w14:paraId="3F65F60F"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B480E64" w14:textId="2EDED26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264" w:type="dxa"/>
            <w:tcBorders>
              <w:top w:val="nil"/>
              <w:left w:val="nil"/>
              <w:bottom w:val="single" w:sz="4" w:space="0" w:color="auto"/>
              <w:right w:val="single" w:sz="4" w:space="0" w:color="auto"/>
            </w:tcBorders>
            <w:shd w:val="clear" w:color="000000" w:fill="FFFFFF"/>
            <w:noWrap/>
            <w:vAlign w:val="bottom"/>
            <w:hideMark/>
          </w:tcPr>
          <w:p w14:paraId="365CE32D" w14:textId="76354286"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24840ED0" w14:textId="7445FF98"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793916C1" w14:textId="3C6B603B"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1E2AD81C" w14:textId="7E579491"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6CB17685" w14:textId="00EB766A" w:rsidR="00543241" w:rsidRPr="000D1437" w:rsidRDefault="00543241" w:rsidP="00543241">
            <w:pPr>
              <w:jc w:val="right"/>
              <w:rPr>
                <w:rFonts w:ascii="Times New Roman" w:hAnsi="Times New Roman"/>
                <w:sz w:val="14"/>
                <w:szCs w:val="14"/>
              </w:rPr>
            </w:pPr>
            <w:r w:rsidRPr="000D1437">
              <w:rPr>
                <w:sz w:val="14"/>
                <w:szCs w:val="14"/>
              </w:rPr>
              <w:t>NO</w:t>
            </w:r>
          </w:p>
        </w:tc>
        <w:tc>
          <w:tcPr>
            <w:tcW w:w="1262" w:type="dxa"/>
            <w:tcBorders>
              <w:top w:val="nil"/>
              <w:left w:val="nil"/>
              <w:bottom w:val="single" w:sz="4" w:space="0" w:color="auto"/>
              <w:right w:val="single" w:sz="4" w:space="0" w:color="auto"/>
            </w:tcBorders>
            <w:shd w:val="clear" w:color="000000" w:fill="FFFFFF"/>
            <w:vAlign w:val="bottom"/>
          </w:tcPr>
          <w:p w14:paraId="6F1CD00A" w14:textId="642A7E2C"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64382C8E"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bottom"/>
            <w:hideMark/>
          </w:tcPr>
          <w:p w14:paraId="459D82FA"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264" w:type="dxa"/>
            <w:tcBorders>
              <w:top w:val="nil"/>
              <w:left w:val="nil"/>
              <w:bottom w:val="single" w:sz="4" w:space="0" w:color="auto"/>
              <w:right w:val="single" w:sz="4" w:space="0" w:color="auto"/>
            </w:tcBorders>
            <w:shd w:val="clear" w:color="000000" w:fill="CCFFFF"/>
            <w:noWrap/>
            <w:vAlign w:val="bottom"/>
            <w:hideMark/>
          </w:tcPr>
          <w:p w14:paraId="46B68F61" w14:textId="4D374AA2" w:rsidR="00543241" w:rsidRPr="000D1437" w:rsidRDefault="00543241" w:rsidP="00543241">
            <w:pPr>
              <w:jc w:val="right"/>
              <w:rPr>
                <w:rFonts w:ascii="Times New Roman" w:hAnsi="Times New Roman"/>
                <w:sz w:val="14"/>
                <w:szCs w:val="14"/>
              </w:rPr>
            </w:pPr>
            <w:r w:rsidRPr="000D1437">
              <w:rPr>
                <w:sz w:val="14"/>
                <w:szCs w:val="14"/>
              </w:rPr>
              <w:t>-52555,22</w:t>
            </w:r>
          </w:p>
        </w:tc>
        <w:tc>
          <w:tcPr>
            <w:tcW w:w="1278" w:type="dxa"/>
            <w:tcBorders>
              <w:top w:val="nil"/>
              <w:left w:val="nil"/>
              <w:bottom w:val="single" w:sz="4" w:space="0" w:color="auto"/>
              <w:right w:val="single" w:sz="4" w:space="0" w:color="auto"/>
            </w:tcBorders>
            <w:shd w:val="clear" w:color="000000" w:fill="CCFFFF"/>
            <w:noWrap/>
            <w:vAlign w:val="bottom"/>
            <w:hideMark/>
          </w:tcPr>
          <w:p w14:paraId="64A75EEB" w14:textId="5D36F653" w:rsidR="00543241" w:rsidRPr="000D1437" w:rsidRDefault="00543241" w:rsidP="00543241">
            <w:pPr>
              <w:jc w:val="right"/>
              <w:rPr>
                <w:rFonts w:ascii="Times New Roman" w:hAnsi="Times New Roman"/>
                <w:sz w:val="14"/>
                <w:szCs w:val="14"/>
              </w:rPr>
            </w:pPr>
            <w:r w:rsidRPr="000D1437">
              <w:rPr>
                <w:sz w:val="14"/>
                <w:szCs w:val="14"/>
              </w:rPr>
              <w:t>-52410,04</w:t>
            </w:r>
          </w:p>
        </w:tc>
        <w:tc>
          <w:tcPr>
            <w:tcW w:w="1278" w:type="dxa"/>
            <w:tcBorders>
              <w:top w:val="nil"/>
              <w:left w:val="nil"/>
              <w:bottom w:val="single" w:sz="4" w:space="0" w:color="auto"/>
              <w:right w:val="single" w:sz="4" w:space="0" w:color="auto"/>
            </w:tcBorders>
            <w:shd w:val="clear" w:color="000000" w:fill="CCFFFF"/>
            <w:noWrap/>
            <w:vAlign w:val="bottom"/>
            <w:hideMark/>
          </w:tcPr>
          <w:p w14:paraId="03F13FAE" w14:textId="2094C750" w:rsidR="00543241" w:rsidRPr="000D1437" w:rsidRDefault="00543241" w:rsidP="00543241">
            <w:pPr>
              <w:jc w:val="right"/>
              <w:rPr>
                <w:rFonts w:ascii="Times New Roman" w:hAnsi="Times New Roman"/>
                <w:sz w:val="14"/>
                <w:szCs w:val="14"/>
              </w:rPr>
            </w:pPr>
            <w:r w:rsidRPr="000D1437">
              <w:rPr>
                <w:sz w:val="14"/>
                <w:szCs w:val="14"/>
              </w:rPr>
              <w:t>-41931,76</w:t>
            </w:r>
          </w:p>
        </w:tc>
        <w:tc>
          <w:tcPr>
            <w:tcW w:w="1278" w:type="dxa"/>
            <w:tcBorders>
              <w:top w:val="nil"/>
              <w:left w:val="nil"/>
              <w:bottom w:val="single" w:sz="4" w:space="0" w:color="auto"/>
              <w:right w:val="single" w:sz="4" w:space="0" w:color="auto"/>
            </w:tcBorders>
            <w:shd w:val="clear" w:color="000000" w:fill="CCFFFF"/>
            <w:noWrap/>
            <w:vAlign w:val="bottom"/>
            <w:hideMark/>
          </w:tcPr>
          <w:p w14:paraId="5924B5AD" w14:textId="06AF16E4" w:rsidR="00543241" w:rsidRPr="000D1437" w:rsidRDefault="00543241" w:rsidP="00543241">
            <w:pPr>
              <w:jc w:val="right"/>
              <w:rPr>
                <w:rFonts w:ascii="Times New Roman" w:hAnsi="Times New Roman"/>
                <w:sz w:val="14"/>
                <w:szCs w:val="14"/>
              </w:rPr>
            </w:pPr>
            <w:r w:rsidRPr="000D1437">
              <w:rPr>
                <w:sz w:val="14"/>
                <w:szCs w:val="14"/>
              </w:rPr>
              <w:t>-42701,27</w:t>
            </w:r>
          </w:p>
        </w:tc>
        <w:tc>
          <w:tcPr>
            <w:tcW w:w="1278" w:type="dxa"/>
            <w:tcBorders>
              <w:top w:val="nil"/>
              <w:left w:val="nil"/>
              <w:bottom w:val="single" w:sz="4" w:space="0" w:color="auto"/>
              <w:right w:val="single" w:sz="4" w:space="0" w:color="auto"/>
            </w:tcBorders>
            <w:shd w:val="clear" w:color="000000" w:fill="CCFFFF"/>
            <w:noWrap/>
            <w:vAlign w:val="bottom"/>
            <w:hideMark/>
          </w:tcPr>
          <w:p w14:paraId="705A81EA" w14:textId="060DDF9B" w:rsidR="00543241" w:rsidRPr="000D1437" w:rsidRDefault="00543241" w:rsidP="00543241">
            <w:pPr>
              <w:jc w:val="right"/>
              <w:rPr>
                <w:rFonts w:ascii="Times New Roman" w:hAnsi="Times New Roman"/>
                <w:sz w:val="14"/>
                <w:szCs w:val="14"/>
              </w:rPr>
            </w:pPr>
            <w:r w:rsidRPr="000D1437">
              <w:rPr>
                <w:sz w:val="14"/>
                <w:szCs w:val="14"/>
              </w:rPr>
              <w:t>-42731,74</w:t>
            </w:r>
          </w:p>
        </w:tc>
        <w:tc>
          <w:tcPr>
            <w:tcW w:w="1262" w:type="dxa"/>
            <w:tcBorders>
              <w:top w:val="nil"/>
              <w:left w:val="nil"/>
              <w:bottom w:val="single" w:sz="4" w:space="0" w:color="auto"/>
              <w:right w:val="single" w:sz="4" w:space="0" w:color="auto"/>
            </w:tcBorders>
            <w:shd w:val="clear" w:color="000000" w:fill="CCFFFF"/>
            <w:vAlign w:val="bottom"/>
          </w:tcPr>
          <w:p w14:paraId="5B36E691" w14:textId="5D47E851" w:rsidR="00543241" w:rsidRPr="000D1437" w:rsidRDefault="00543241" w:rsidP="00543241">
            <w:pPr>
              <w:jc w:val="right"/>
              <w:rPr>
                <w:rFonts w:ascii="Times New Roman" w:hAnsi="Times New Roman"/>
                <w:sz w:val="14"/>
                <w:szCs w:val="14"/>
              </w:rPr>
            </w:pPr>
            <w:r w:rsidRPr="000D1437">
              <w:rPr>
                <w:sz w:val="14"/>
                <w:szCs w:val="14"/>
              </w:rPr>
              <w:t>-45183,35</w:t>
            </w:r>
          </w:p>
        </w:tc>
      </w:tr>
      <w:tr w:rsidR="00543241" w:rsidRPr="00364545" w14:paraId="3BB388AC"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A12224B" w14:textId="35398E8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264" w:type="dxa"/>
            <w:tcBorders>
              <w:top w:val="nil"/>
              <w:left w:val="nil"/>
              <w:bottom w:val="single" w:sz="4" w:space="0" w:color="auto"/>
              <w:right w:val="single" w:sz="4" w:space="0" w:color="auto"/>
            </w:tcBorders>
            <w:shd w:val="clear" w:color="000000" w:fill="FFFFFF"/>
            <w:noWrap/>
            <w:vAlign w:val="bottom"/>
            <w:hideMark/>
          </w:tcPr>
          <w:p w14:paraId="04BA87DE" w14:textId="2AA84F4F" w:rsidR="00543241" w:rsidRPr="000D1437" w:rsidRDefault="00543241" w:rsidP="00543241">
            <w:pPr>
              <w:jc w:val="right"/>
              <w:rPr>
                <w:rFonts w:ascii="Times New Roman" w:hAnsi="Times New Roman"/>
                <w:sz w:val="14"/>
                <w:szCs w:val="14"/>
              </w:rPr>
            </w:pPr>
            <w:r w:rsidRPr="000D1437">
              <w:rPr>
                <w:sz w:val="14"/>
                <w:szCs w:val="14"/>
              </w:rPr>
              <w:t>-70503,08</w:t>
            </w:r>
          </w:p>
        </w:tc>
        <w:tc>
          <w:tcPr>
            <w:tcW w:w="1278" w:type="dxa"/>
            <w:tcBorders>
              <w:top w:val="nil"/>
              <w:left w:val="nil"/>
              <w:bottom w:val="single" w:sz="4" w:space="0" w:color="auto"/>
              <w:right w:val="single" w:sz="4" w:space="0" w:color="auto"/>
            </w:tcBorders>
            <w:shd w:val="clear" w:color="000000" w:fill="FFFFFF"/>
            <w:noWrap/>
            <w:vAlign w:val="bottom"/>
            <w:hideMark/>
          </w:tcPr>
          <w:p w14:paraId="02FB035A" w14:textId="15F7420C" w:rsidR="00543241" w:rsidRPr="000D1437" w:rsidRDefault="00543241" w:rsidP="00543241">
            <w:pPr>
              <w:jc w:val="right"/>
              <w:rPr>
                <w:rFonts w:ascii="Times New Roman" w:hAnsi="Times New Roman"/>
                <w:sz w:val="14"/>
                <w:szCs w:val="14"/>
              </w:rPr>
            </w:pPr>
            <w:r w:rsidRPr="000D1437">
              <w:rPr>
                <w:sz w:val="14"/>
                <w:szCs w:val="14"/>
              </w:rPr>
              <w:t>-72711,27</w:t>
            </w:r>
          </w:p>
        </w:tc>
        <w:tc>
          <w:tcPr>
            <w:tcW w:w="1278" w:type="dxa"/>
            <w:tcBorders>
              <w:top w:val="nil"/>
              <w:left w:val="nil"/>
              <w:bottom w:val="single" w:sz="4" w:space="0" w:color="auto"/>
              <w:right w:val="single" w:sz="4" w:space="0" w:color="auto"/>
            </w:tcBorders>
            <w:shd w:val="clear" w:color="000000" w:fill="FFFFFF"/>
            <w:noWrap/>
            <w:vAlign w:val="bottom"/>
            <w:hideMark/>
          </w:tcPr>
          <w:p w14:paraId="72BC53E8" w14:textId="49AD909D" w:rsidR="00543241" w:rsidRPr="000D1437" w:rsidRDefault="00543241" w:rsidP="00543241">
            <w:pPr>
              <w:jc w:val="right"/>
              <w:rPr>
                <w:rFonts w:ascii="Times New Roman" w:hAnsi="Times New Roman"/>
                <w:sz w:val="14"/>
                <w:szCs w:val="14"/>
              </w:rPr>
            </w:pPr>
            <w:r w:rsidRPr="000D1437">
              <w:rPr>
                <w:sz w:val="14"/>
                <w:szCs w:val="14"/>
              </w:rPr>
              <w:t>-62775,53</w:t>
            </w:r>
          </w:p>
        </w:tc>
        <w:tc>
          <w:tcPr>
            <w:tcW w:w="1278" w:type="dxa"/>
            <w:tcBorders>
              <w:top w:val="nil"/>
              <w:left w:val="nil"/>
              <w:bottom w:val="single" w:sz="4" w:space="0" w:color="auto"/>
              <w:right w:val="single" w:sz="4" w:space="0" w:color="auto"/>
            </w:tcBorders>
            <w:shd w:val="clear" w:color="000000" w:fill="FFFFFF"/>
            <w:noWrap/>
            <w:vAlign w:val="bottom"/>
            <w:hideMark/>
          </w:tcPr>
          <w:p w14:paraId="3DEBDEAC" w14:textId="2291B11A" w:rsidR="00543241" w:rsidRPr="000D1437" w:rsidRDefault="00543241" w:rsidP="00543241">
            <w:pPr>
              <w:jc w:val="right"/>
              <w:rPr>
                <w:rFonts w:ascii="Times New Roman" w:hAnsi="Times New Roman"/>
                <w:sz w:val="14"/>
                <w:szCs w:val="14"/>
              </w:rPr>
            </w:pPr>
            <w:r w:rsidRPr="000D1437">
              <w:rPr>
                <w:sz w:val="14"/>
                <w:szCs w:val="14"/>
              </w:rPr>
              <w:t>-59382,82</w:t>
            </w:r>
          </w:p>
        </w:tc>
        <w:tc>
          <w:tcPr>
            <w:tcW w:w="1278" w:type="dxa"/>
            <w:tcBorders>
              <w:top w:val="nil"/>
              <w:left w:val="nil"/>
              <w:bottom w:val="single" w:sz="4" w:space="0" w:color="auto"/>
              <w:right w:val="single" w:sz="4" w:space="0" w:color="auto"/>
            </w:tcBorders>
            <w:shd w:val="clear" w:color="000000" w:fill="FFFFFF"/>
            <w:noWrap/>
            <w:vAlign w:val="bottom"/>
            <w:hideMark/>
          </w:tcPr>
          <w:p w14:paraId="1CCA52EA" w14:textId="4A43F2A9" w:rsidR="00543241" w:rsidRPr="000D1437" w:rsidRDefault="00543241" w:rsidP="00543241">
            <w:pPr>
              <w:jc w:val="right"/>
              <w:rPr>
                <w:rFonts w:ascii="Times New Roman" w:hAnsi="Times New Roman"/>
                <w:sz w:val="14"/>
                <w:szCs w:val="14"/>
              </w:rPr>
            </w:pPr>
            <w:r w:rsidRPr="000D1437">
              <w:rPr>
                <w:sz w:val="14"/>
                <w:szCs w:val="14"/>
              </w:rPr>
              <w:t>-57697,09</w:t>
            </w:r>
          </w:p>
        </w:tc>
        <w:tc>
          <w:tcPr>
            <w:tcW w:w="1262" w:type="dxa"/>
            <w:tcBorders>
              <w:top w:val="nil"/>
              <w:left w:val="nil"/>
              <w:bottom w:val="single" w:sz="4" w:space="0" w:color="auto"/>
              <w:right w:val="single" w:sz="4" w:space="0" w:color="auto"/>
            </w:tcBorders>
            <w:shd w:val="clear" w:color="000000" w:fill="FFFFFF"/>
            <w:vAlign w:val="bottom"/>
          </w:tcPr>
          <w:p w14:paraId="18DB9A1A" w14:textId="2BC10A6C" w:rsidR="00543241" w:rsidRPr="000D1437" w:rsidRDefault="00543241" w:rsidP="00543241">
            <w:pPr>
              <w:jc w:val="right"/>
              <w:rPr>
                <w:rFonts w:ascii="Times New Roman" w:hAnsi="Times New Roman"/>
                <w:sz w:val="14"/>
                <w:szCs w:val="14"/>
              </w:rPr>
            </w:pPr>
            <w:r w:rsidRPr="000D1437">
              <w:rPr>
                <w:sz w:val="14"/>
                <w:szCs w:val="14"/>
              </w:rPr>
              <w:t>-60169,17</w:t>
            </w:r>
          </w:p>
        </w:tc>
      </w:tr>
      <w:tr w:rsidR="00543241" w:rsidRPr="00364545" w14:paraId="4B543839"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18F1549" w14:textId="7C1CDEB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264" w:type="dxa"/>
            <w:tcBorders>
              <w:top w:val="nil"/>
              <w:left w:val="nil"/>
              <w:bottom w:val="single" w:sz="4" w:space="0" w:color="auto"/>
              <w:right w:val="single" w:sz="4" w:space="0" w:color="auto"/>
            </w:tcBorders>
            <w:shd w:val="clear" w:color="000000" w:fill="FFFFFF"/>
            <w:noWrap/>
            <w:vAlign w:val="bottom"/>
            <w:hideMark/>
          </w:tcPr>
          <w:p w14:paraId="19307374" w14:textId="27B9A096" w:rsidR="00543241" w:rsidRPr="000D1437" w:rsidRDefault="00543241" w:rsidP="00543241">
            <w:pPr>
              <w:jc w:val="right"/>
              <w:rPr>
                <w:rFonts w:ascii="Times New Roman" w:hAnsi="Times New Roman"/>
                <w:sz w:val="14"/>
                <w:szCs w:val="14"/>
              </w:rPr>
            </w:pPr>
            <w:r w:rsidRPr="000D1437">
              <w:rPr>
                <w:sz w:val="14"/>
                <w:szCs w:val="14"/>
              </w:rPr>
              <w:t>17413,54</w:t>
            </w:r>
          </w:p>
        </w:tc>
        <w:tc>
          <w:tcPr>
            <w:tcW w:w="1278" w:type="dxa"/>
            <w:tcBorders>
              <w:top w:val="nil"/>
              <w:left w:val="nil"/>
              <w:bottom w:val="single" w:sz="4" w:space="0" w:color="auto"/>
              <w:right w:val="single" w:sz="4" w:space="0" w:color="auto"/>
            </w:tcBorders>
            <w:shd w:val="clear" w:color="000000" w:fill="FFFFFF"/>
            <w:noWrap/>
            <w:vAlign w:val="bottom"/>
            <w:hideMark/>
          </w:tcPr>
          <w:p w14:paraId="72C9EC33" w14:textId="17525BAF" w:rsidR="00543241" w:rsidRPr="000D1437" w:rsidRDefault="00543241" w:rsidP="00543241">
            <w:pPr>
              <w:jc w:val="right"/>
              <w:rPr>
                <w:rFonts w:ascii="Times New Roman" w:hAnsi="Times New Roman"/>
                <w:sz w:val="14"/>
                <w:szCs w:val="14"/>
              </w:rPr>
            </w:pPr>
            <w:r w:rsidRPr="000D1437">
              <w:rPr>
                <w:sz w:val="14"/>
                <w:szCs w:val="14"/>
              </w:rPr>
              <w:t>18705,28</w:t>
            </w:r>
          </w:p>
        </w:tc>
        <w:tc>
          <w:tcPr>
            <w:tcW w:w="1278" w:type="dxa"/>
            <w:tcBorders>
              <w:top w:val="nil"/>
              <w:left w:val="nil"/>
              <w:bottom w:val="single" w:sz="4" w:space="0" w:color="auto"/>
              <w:right w:val="single" w:sz="4" w:space="0" w:color="auto"/>
            </w:tcBorders>
            <w:shd w:val="clear" w:color="000000" w:fill="FFFFFF"/>
            <w:noWrap/>
            <w:vAlign w:val="bottom"/>
            <w:hideMark/>
          </w:tcPr>
          <w:p w14:paraId="4777502C" w14:textId="4D93FD19" w:rsidR="00543241" w:rsidRPr="000D1437" w:rsidRDefault="00543241" w:rsidP="00543241">
            <w:pPr>
              <w:jc w:val="right"/>
              <w:rPr>
                <w:rFonts w:ascii="Times New Roman" w:hAnsi="Times New Roman"/>
                <w:sz w:val="14"/>
                <w:szCs w:val="14"/>
              </w:rPr>
            </w:pPr>
            <w:r w:rsidRPr="000D1437">
              <w:rPr>
                <w:sz w:val="14"/>
                <w:szCs w:val="14"/>
              </w:rPr>
              <w:t>18066,17</w:t>
            </w:r>
          </w:p>
        </w:tc>
        <w:tc>
          <w:tcPr>
            <w:tcW w:w="1278" w:type="dxa"/>
            <w:tcBorders>
              <w:top w:val="nil"/>
              <w:left w:val="nil"/>
              <w:bottom w:val="single" w:sz="4" w:space="0" w:color="auto"/>
              <w:right w:val="single" w:sz="4" w:space="0" w:color="auto"/>
            </w:tcBorders>
            <w:shd w:val="clear" w:color="000000" w:fill="FFFFFF"/>
            <w:noWrap/>
            <w:vAlign w:val="bottom"/>
            <w:hideMark/>
          </w:tcPr>
          <w:p w14:paraId="474B7456" w14:textId="41618E96" w:rsidR="00543241" w:rsidRPr="000D1437" w:rsidRDefault="00543241" w:rsidP="00543241">
            <w:pPr>
              <w:jc w:val="right"/>
              <w:rPr>
                <w:rFonts w:ascii="Times New Roman" w:hAnsi="Times New Roman"/>
                <w:sz w:val="14"/>
                <w:szCs w:val="14"/>
              </w:rPr>
            </w:pPr>
            <w:r w:rsidRPr="000D1437">
              <w:rPr>
                <w:sz w:val="14"/>
                <w:szCs w:val="14"/>
              </w:rPr>
              <w:t>17792,78</w:t>
            </w:r>
          </w:p>
        </w:tc>
        <w:tc>
          <w:tcPr>
            <w:tcW w:w="1278" w:type="dxa"/>
            <w:tcBorders>
              <w:top w:val="nil"/>
              <w:left w:val="nil"/>
              <w:bottom w:val="single" w:sz="4" w:space="0" w:color="auto"/>
              <w:right w:val="single" w:sz="4" w:space="0" w:color="auto"/>
            </w:tcBorders>
            <w:shd w:val="clear" w:color="000000" w:fill="FFFFFF"/>
            <w:noWrap/>
            <w:vAlign w:val="bottom"/>
            <w:hideMark/>
          </w:tcPr>
          <w:p w14:paraId="34BAE49B" w14:textId="56A7D68D" w:rsidR="00543241" w:rsidRPr="000D1437" w:rsidRDefault="00543241" w:rsidP="00543241">
            <w:pPr>
              <w:jc w:val="right"/>
              <w:rPr>
                <w:rFonts w:ascii="Times New Roman" w:hAnsi="Times New Roman"/>
                <w:sz w:val="14"/>
                <w:szCs w:val="14"/>
              </w:rPr>
            </w:pPr>
            <w:r w:rsidRPr="000D1437">
              <w:rPr>
                <w:sz w:val="14"/>
                <w:szCs w:val="14"/>
              </w:rPr>
              <w:t>16807,30</w:t>
            </w:r>
          </w:p>
        </w:tc>
        <w:tc>
          <w:tcPr>
            <w:tcW w:w="1262" w:type="dxa"/>
            <w:tcBorders>
              <w:top w:val="nil"/>
              <w:left w:val="nil"/>
              <w:bottom w:val="single" w:sz="4" w:space="0" w:color="auto"/>
              <w:right w:val="single" w:sz="4" w:space="0" w:color="auto"/>
            </w:tcBorders>
            <w:shd w:val="clear" w:color="000000" w:fill="FFFFFF"/>
            <w:vAlign w:val="bottom"/>
          </w:tcPr>
          <w:p w14:paraId="00E0CE3A" w14:textId="7FDEB2B0" w:rsidR="00543241" w:rsidRPr="000D1437" w:rsidRDefault="00543241" w:rsidP="00543241">
            <w:pPr>
              <w:jc w:val="right"/>
              <w:rPr>
                <w:rFonts w:ascii="Times New Roman" w:hAnsi="Times New Roman"/>
                <w:sz w:val="14"/>
                <w:szCs w:val="14"/>
              </w:rPr>
            </w:pPr>
            <w:r w:rsidRPr="000D1437">
              <w:rPr>
                <w:sz w:val="14"/>
                <w:szCs w:val="14"/>
              </w:rPr>
              <w:t>15437,82</w:t>
            </w:r>
          </w:p>
        </w:tc>
      </w:tr>
      <w:tr w:rsidR="00543241" w:rsidRPr="00364545" w14:paraId="12A2FD48"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8FDC28A" w14:textId="7A98722F"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264" w:type="dxa"/>
            <w:tcBorders>
              <w:top w:val="nil"/>
              <w:left w:val="nil"/>
              <w:bottom w:val="single" w:sz="4" w:space="0" w:color="auto"/>
              <w:right w:val="single" w:sz="4" w:space="0" w:color="auto"/>
            </w:tcBorders>
            <w:shd w:val="clear" w:color="000000" w:fill="FFFFFF"/>
            <w:noWrap/>
            <w:vAlign w:val="bottom"/>
            <w:hideMark/>
          </w:tcPr>
          <w:p w14:paraId="3A1D19A6" w14:textId="1D7A177B" w:rsidR="00543241" w:rsidRPr="000D1437" w:rsidRDefault="00543241" w:rsidP="00543241">
            <w:pPr>
              <w:jc w:val="right"/>
              <w:rPr>
                <w:rFonts w:ascii="Times New Roman" w:hAnsi="Times New Roman"/>
                <w:sz w:val="14"/>
                <w:szCs w:val="14"/>
              </w:rPr>
            </w:pPr>
            <w:r w:rsidRPr="000D1437">
              <w:rPr>
                <w:sz w:val="14"/>
                <w:szCs w:val="14"/>
              </w:rPr>
              <w:t>-8005,80</w:t>
            </w:r>
          </w:p>
        </w:tc>
        <w:tc>
          <w:tcPr>
            <w:tcW w:w="1278" w:type="dxa"/>
            <w:tcBorders>
              <w:top w:val="nil"/>
              <w:left w:val="nil"/>
              <w:bottom w:val="single" w:sz="4" w:space="0" w:color="auto"/>
              <w:right w:val="single" w:sz="4" w:space="0" w:color="auto"/>
            </w:tcBorders>
            <w:shd w:val="clear" w:color="000000" w:fill="FFFFFF"/>
            <w:noWrap/>
            <w:vAlign w:val="bottom"/>
            <w:hideMark/>
          </w:tcPr>
          <w:p w14:paraId="096DD657" w14:textId="6FE381CD" w:rsidR="00543241" w:rsidRPr="000D1437" w:rsidRDefault="00543241" w:rsidP="00543241">
            <w:pPr>
              <w:jc w:val="right"/>
              <w:rPr>
                <w:rFonts w:ascii="Times New Roman" w:hAnsi="Times New Roman"/>
                <w:sz w:val="14"/>
                <w:szCs w:val="14"/>
              </w:rPr>
            </w:pPr>
            <w:r w:rsidRPr="000D1437">
              <w:rPr>
                <w:sz w:val="14"/>
                <w:szCs w:val="14"/>
              </w:rPr>
              <w:t>-8500,09</w:t>
            </w:r>
          </w:p>
        </w:tc>
        <w:tc>
          <w:tcPr>
            <w:tcW w:w="1278" w:type="dxa"/>
            <w:tcBorders>
              <w:top w:val="nil"/>
              <w:left w:val="nil"/>
              <w:bottom w:val="single" w:sz="4" w:space="0" w:color="auto"/>
              <w:right w:val="single" w:sz="4" w:space="0" w:color="auto"/>
            </w:tcBorders>
            <w:shd w:val="clear" w:color="000000" w:fill="FFFFFF"/>
            <w:noWrap/>
            <w:vAlign w:val="bottom"/>
            <w:hideMark/>
          </w:tcPr>
          <w:p w14:paraId="55C483B2" w14:textId="05F7978D" w:rsidR="00543241" w:rsidRPr="000D1437" w:rsidRDefault="00543241" w:rsidP="00543241">
            <w:pPr>
              <w:jc w:val="right"/>
              <w:rPr>
                <w:rFonts w:ascii="Times New Roman" w:hAnsi="Times New Roman"/>
                <w:sz w:val="14"/>
                <w:szCs w:val="14"/>
              </w:rPr>
            </w:pPr>
            <w:r w:rsidRPr="000D1437">
              <w:rPr>
                <w:sz w:val="14"/>
                <w:szCs w:val="14"/>
              </w:rPr>
              <w:t>-9109,44</w:t>
            </w:r>
          </w:p>
        </w:tc>
        <w:tc>
          <w:tcPr>
            <w:tcW w:w="1278" w:type="dxa"/>
            <w:tcBorders>
              <w:top w:val="nil"/>
              <w:left w:val="nil"/>
              <w:bottom w:val="single" w:sz="4" w:space="0" w:color="auto"/>
              <w:right w:val="single" w:sz="4" w:space="0" w:color="auto"/>
            </w:tcBorders>
            <w:shd w:val="clear" w:color="000000" w:fill="FFFFFF"/>
            <w:noWrap/>
            <w:vAlign w:val="bottom"/>
            <w:hideMark/>
          </w:tcPr>
          <w:p w14:paraId="6EFD376D" w14:textId="067DBC4A" w:rsidR="00543241" w:rsidRPr="000D1437" w:rsidRDefault="00543241" w:rsidP="00543241">
            <w:pPr>
              <w:jc w:val="right"/>
              <w:rPr>
                <w:rFonts w:ascii="Times New Roman" w:hAnsi="Times New Roman"/>
                <w:sz w:val="14"/>
                <w:szCs w:val="14"/>
              </w:rPr>
            </w:pPr>
            <w:r w:rsidRPr="000D1437">
              <w:rPr>
                <w:sz w:val="14"/>
                <w:szCs w:val="14"/>
              </w:rPr>
              <w:t>-9993,51</w:t>
            </w:r>
          </w:p>
        </w:tc>
        <w:tc>
          <w:tcPr>
            <w:tcW w:w="1278" w:type="dxa"/>
            <w:tcBorders>
              <w:top w:val="nil"/>
              <w:left w:val="nil"/>
              <w:bottom w:val="single" w:sz="4" w:space="0" w:color="auto"/>
              <w:right w:val="single" w:sz="4" w:space="0" w:color="auto"/>
            </w:tcBorders>
            <w:shd w:val="clear" w:color="000000" w:fill="FFFFFF"/>
            <w:noWrap/>
            <w:vAlign w:val="bottom"/>
            <w:hideMark/>
          </w:tcPr>
          <w:p w14:paraId="034442CB" w14:textId="20AD21FA" w:rsidR="00543241" w:rsidRPr="000D1437" w:rsidRDefault="00543241" w:rsidP="00543241">
            <w:pPr>
              <w:jc w:val="right"/>
              <w:rPr>
                <w:rFonts w:ascii="Times New Roman" w:hAnsi="Times New Roman"/>
                <w:sz w:val="14"/>
                <w:szCs w:val="14"/>
              </w:rPr>
            </w:pPr>
            <w:r w:rsidRPr="000D1437">
              <w:rPr>
                <w:sz w:val="14"/>
                <w:szCs w:val="14"/>
              </w:rPr>
              <w:t>-10617,54</w:t>
            </w:r>
          </w:p>
        </w:tc>
        <w:tc>
          <w:tcPr>
            <w:tcW w:w="1262" w:type="dxa"/>
            <w:tcBorders>
              <w:top w:val="nil"/>
              <w:left w:val="nil"/>
              <w:bottom w:val="single" w:sz="4" w:space="0" w:color="auto"/>
              <w:right w:val="single" w:sz="4" w:space="0" w:color="auto"/>
            </w:tcBorders>
            <w:shd w:val="clear" w:color="000000" w:fill="FFFFFF"/>
            <w:vAlign w:val="bottom"/>
          </w:tcPr>
          <w:p w14:paraId="6CC31253" w14:textId="2CFD250D" w:rsidR="00543241" w:rsidRPr="000D1437" w:rsidRDefault="00543241" w:rsidP="00543241">
            <w:pPr>
              <w:jc w:val="right"/>
              <w:rPr>
                <w:rFonts w:ascii="Times New Roman" w:hAnsi="Times New Roman"/>
                <w:sz w:val="14"/>
                <w:szCs w:val="14"/>
              </w:rPr>
            </w:pPr>
            <w:r w:rsidRPr="000D1437">
              <w:rPr>
                <w:sz w:val="14"/>
                <w:szCs w:val="14"/>
              </w:rPr>
              <w:t>-10239,81</w:t>
            </w:r>
          </w:p>
        </w:tc>
      </w:tr>
      <w:tr w:rsidR="00543241" w:rsidRPr="00364545" w14:paraId="3D6D0E16"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1DB78C5" w14:textId="45616A5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264" w:type="dxa"/>
            <w:tcBorders>
              <w:top w:val="nil"/>
              <w:left w:val="nil"/>
              <w:bottom w:val="single" w:sz="4" w:space="0" w:color="auto"/>
              <w:right w:val="single" w:sz="4" w:space="0" w:color="auto"/>
            </w:tcBorders>
            <w:shd w:val="clear" w:color="000000" w:fill="FFFFFF"/>
            <w:noWrap/>
            <w:vAlign w:val="bottom"/>
            <w:hideMark/>
          </w:tcPr>
          <w:p w14:paraId="2BB4C73A" w14:textId="0683242A" w:rsidR="00543241" w:rsidRPr="000D1437" w:rsidRDefault="00543241" w:rsidP="00543241">
            <w:pPr>
              <w:jc w:val="right"/>
              <w:rPr>
                <w:rFonts w:ascii="Times New Roman" w:hAnsi="Times New Roman"/>
                <w:sz w:val="14"/>
                <w:szCs w:val="14"/>
              </w:rPr>
            </w:pPr>
            <w:r w:rsidRPr="000D1437">
              <w:rPr>
                <w:sz w:val="14"/>
                <w:szCs w:val="14"/>
              </w:rPr>
              <w:t>849,62</w:t>
            </w:r>
          </w:p>
        </w:tc>
        <w:tc>
          <w:tcPr>
            <w:tcW w:w="1278" w:type="dxa"/>
            <w:tcBorders>
              <w:top w:val="nil"/>
              <w:left w:val="nil"/>
              <w:bottom w:val="single" w:sz="4" w:space="0" w:color="auto"/>
              <w:right w:val="single" w:sz="4" w:space="0" w:color="auto"/>
            </w:tcBorders>
            <w:shd w:val="clear" w:color="000000" w:fill="FFFFFF"/>
            <w:noWrap/>
            <w:vAlign w:val="bottom"/>
            <w:hideMark/>
          </w:tcPr>
          <w:p w14:paraId="514BD59C" w14:textId="700F1AD3" w:rsidR="00543241" w:rsidRPr="000D1437" w:rsidRDefault="00543241" w:rsidP="00543241">
            <w:pPr>
              <w:jc w:val="right"/>
              <w:rPr>
                <w:rFonts w:ascii="Times New Roman" w:hAnsi="Times New Roman"/>
                <w:sz w:val="14"/>
                <w:szCs w:val="14"/>
              </w:rPr>
            </w:pPr>
            <w:r w:rsidRPr="000D1437">
              <w:rPr>
                <w:sz w:val="14"/>
                <w:szCs w:val="14"/>
              </w:rPr>
              <w:t>338,45</w:t>
            </w:r>
          </w:p>
        </w:tc>
        <w:tc>
          <w:tcPr>
            <w:tcW w:w="1278" w:type="dxa"/>
            <w:tcBorders>
              <w:top w:val="nil"/>
              <w:left w:val="nil"/>
              <w:bottom w:val="single" w:sz="4" w:space="0" w:color="auto"/>
              <w:right w:val="single" w:sz="4" w:space="0" w:color="auto"/>
            </w:tcBorders>
            <w:shd w:val="clear" w:color="000000" w:fill="FFFFFF"/>
            <w:noWrap/>
            <w:vAlign w:val="bottom"/>
            <w:hideMark/>
          </w:tcPr>
          <w:p w14:paraId="654E9DD5" w14:textId="0E84FA01" w:rsidR="00543241" w:rsidRPr="000D1437" w:rsidRDefault="00543241" w:rsidP="00543241">
            <w:pPr>
              <w:jc w:val="right"/>
              <w:rPr>
                <w:rFonts w:ascii="Times New Roman" w:hAnsi="Times New Roman"/>
                <w:sz w:val="14"/>
                <w:szCs w:val="14"/>
              </w:rPr>
            </w:pPr>
            <w:r w:rsidRPr="000D1437">
              <w:rPr>
                <w:sz w:val="14"/>
                <w:szCs w:val="14"/>
              </w:rPr>
              <w:t>481,59</w:t>
            </w:r>
          </w:p>
        </w:tc>
        <w:tc>
          <w:tcPr>
            <w:tcW w:w="1278" w:type="dxa"/>
            <w:tcBorders>
              <w:top w:val="nil"/>
              <w:left w:val="nil"/>
              <w:bottom w:val="single" w:sz="4" w:space="0" w:color="auto"/>
              <w:right w:val="single" w:sz="4" w:space="0" w:color="auto"/>
            </w:tcBorders>
            <w:shd w:val="clear" w:color="000000" w:fill="FFFFFF"/>
            <w:noWrap/>
            <w:vAlign w:val="bottom"/>
            <w:hideMark/>
          </w:tcPr>
          <w:p w14:paraId="1409DE41" w14:textId="1E77BAD4" w:rsidR="00543241" w:rsidRPr="000D1437" w:rsidRDefault="00543241" w:rsidP="00543241">
            <w:pPr>
              <w:jc w:val="right"/>
              <w:rPr>
                <w:rFonts w:ascii="Times New Roman" w:hAnsi="Times New Roman"/>
                <w:sz w:val="14"/>
                <w:szCs w:val="14"/>
              </w:rPr>
            </w:pPr>
            <w:r w:rsidRPr="000D1437">
              <w:rPr>
                <w:sz w:val="14"/>
                <w:szCs w:val="14"/>
              </w:rPr>
              <w:t>354,55</w:t>
            </w:r>
          </w:p>
        </w:tc>
        <w:tc>
          <w:tcPr>
            <w:tcW w:w="1278" w:type="dxa"/>
            <w:tcBorders>
              <w:top w:val="nil"/>
              <w:left w:val="nil"/>
              <w:bottom w:val="single" w:sz="4" w:space="0" w:color="auto"/>
              <w:right w:val="single" w:sz="4" w:space="0" w:color="auto"/>
            </w:tcBorders>
            <w:shd w:val="clear" w:color="000000" w:fill="FFFFFF"/>
            <w:noWrap/>
            <w:vAlign w:val="bottom"/>
            <w:hideMark/>
          </w:tcPr>
          <w:p w14:paraId="59A03057" w14:textId="72470EE9" w:rsidR="00543241" w:rsidRPr="000D1437" w:rsidRDefault="00543241" w:rsidP="00543241">
            <w:pPr>
              <w:jc w:val="right"/>
              <w:rPr>
                <w:rFonts w:ascii="Times New Roman" w:hAnsi="Times New Roman"/>
                <w:sz w:val="14"/>
                <w:szCs w:val="14"/>
              </w:rPr>
            </w:pPr>
            <w:r w:rsidRPr="000D1437">
              <w:rPr>
                <w:sz w:val="14"/>
                <w:szCs w:val="14"/>
              </w:rPr>
              <w:t>512,11</w:t>
            </w:r>
          </w:p>
        </w:tc>
        <w:tc>
          <w:tcPr>
            <w:tcW w:w="1262" w:type="dxa"/>
            <w:tcBorders>
              <w:top w:val="nil"/>
              <w:left w:val="nil"/>
              <w:bottom w:val="single" w:sz="4" w:space="0" w:color="auto"/>
              <w:right w:val="single" w:sz="4" w:space="0" w:color="auto"/>
            </w:tcBorders>
            <w:shd w:val="clear" w:color="000000" w:fill="FFFFFF"/>
            <w:vAlign w:val="bottom"/>
          </w:tcPr>
          <w:p w14:paraId="716B5371" w14:textId="2B13EDD1" w:rsidR="00543241" w:rsidRPr="000D1437" w:rsidRDefault="00543241" w:rsidP="00543241">
            <w:pPr>
              <w:jc w:val="right"/>
              <w:rPr>
                <w:rFonts w:ascii="Times New Roman" w:hAnsi="Times New Roman"/>
                <w:sz w:val="14"/>
                <w:szCs w:val="14"/>
              </w:rPr>
            </w:pPr>
            <w:r w:rsidRPr="000D1437">
              <w:rPr>
                <w:sz w:val="14"/>
                <w:szCs w:val="14"/>
              </w:rPr>
              <w:t>511,88</w:t>
            </w:r>
          </w:p>
        </w:tc>
      </w:tr>
      <w:tr w:rsidR="00543241" w:rsidRPr="00364545" w14:paraId="6C971D2F"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BC23B89" w14:textId="4539496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264" w:type="dxa"/>
            <w:tcBorders>
              <w:top w:val="nil"/>
              <w:left w:val="nil"/>
              <w:bottom w:val="single" w:sz="4" w:space="0" w:color="auto"/>
              <w:right w:val="single" w:sz="4" w:space="0" w:color="auto"/>
            </w:tcBorders>
            <w:shd w:val="clear" w:color="000000" w:fill="FFFFFF"/>
            <w:noWrap/>
            <w:vAlign w:val="bottom"/>
            <w:hideMark/>
          </w:tcPr>
          <w:p w14:paraId="0572AC92" w14:textId="3697376E" w:rsidR="00543241" w:rsidRPr="000D1437" w:rsidRDefault="00543241" w:rsidP="00543241">
            <w:pPr>
              <w:jc w:val="right"/>
              <w:rPr>
                <w:rFonts w:ascii="Times New Roman" w:hAnsi="Times New Roman"/>
                <w:sz w:val="14"/>
                <w:szCs w:val="14"/>
              </w:rPr>
            </w:pPr>
            <w:r w:rsidRPr="000D1437">
              <w:rPr>
                <w:sz w:val="14"/>
                <w:szCs w:val="14"/>
              </w:rPr>
              <w:t>11927,75</w:t>
            </w:r>
          </w:p>
        </w:tc>
        <w:tc>
          <w:tcPr>
            <w:tcW w:w="1278" w:type="dxa"/>
            <w:tcBorders>
              <w:top w:val="nil"/>
              <w:left w:val="nil"/>
              <w:bottom w:val="single" w:sz="4" w:space="0" w:color="auto"/>
              <w:right w:val="single" w:sz="4" w:space="0" w:color="auto"/>
            </w:tcBorders>
            <w:shd w:val="clear" w:color="000000" w:fill="FFFFFF"/>
            <w:noWrap/>
            <w:vAlign w:val="bottom"/>
            <w:hideMark/>
          </w:tcPr>
          <w:p w14:paraId="1B53208D" w14:textId="62363BE5" w:rsidR="00543241" w:rsidRPr="000D1437" w:rsidRDefault="00543241" w:rsidP="00543241">
            <w:pPr>
              <w:jc w:val="right"/>
              <w:rPr>
                <w:rFonts w:ascii="Times New Roman" w:hAnsi="Times New Roman"/>
                <w:sz w:val="14"/>
                <w:szCs w:val="14"/>
              </w:rPr>
            </w:pPr>
            <w:r w:rsidRPr="000D1437">
              <w:rPr>
                <w:sz w:val="14"/>
                <w:szCs w:val="14"/>
              </w:rPr>
              <w:t>12964,37</w:t>
            </w:r>
          </w:p>
        </w:tc>
        <w:tc>
          <w:tcPr>
            <w:tcW w:w="1278" w:type="dxa"/>
            <w:tcBorders>
              <w:top w:val="nil"/>
              <w:left w:val="nil"/>
              <w:bottom w:val="single" w:sz="4" w:space="0" w:color="auto"/>
              <w:right w:val="single" w:sz="4" w:space="0" w:color="auto"/>
            </w:tcBorders>
            <w:shd w:val="clear" w:color="000000" w:fill="FFFFFF"/>
            <w:noWrap/>
            <w:vAlign w:val="bottom"/>
            <w:hideMark/>
          </w:tcPr>
          <w:p w14:paraId="5F148DF3" w14:textId="55A49E3A" w:rsidR="00543241" w:rsidRPr="000D1437" w:rsidRDefault="00543241" w:rsidP="00543241">
            <w:pPr>
              <w:jc w:val="right"/>
              <w:rPr>
                <w:rFonts w:ascii="Times New Roman" w:hAnsi="Times New Roman"/>
                <w:sz w:val="14"/>
                <w:szCs w:val="14"/>
              </w:rPr>
            </w:pPr>
            <w:r w:rsidRPr="000D1437">
              <w:rPr>
                <w:sz w:val="14"/>
                <w:szCs w:val="14"/>
              </w:rPr>
              <w:t>12560,41</w:t>
            </w:r>
          </w:p>
        </w:tc>
        <w:tc>
          <w:tcPr>
            <w:tcW w:w="1278" w:type="dxa"/>
            <w:tcBorders>
              <w:top w:val="nil"/>
              <w:left w:val="nil"/>
              <w:bottom w:val="single" w:sz="4" w:space="0" w:color="auto"/>
              <w:right w:val="single" w:sz="4" w:space="0" w:color="auto"/>
            </w:tcBorders>
            <w:shd w:val="clear" w:color="000000" w:fill="FFFFFF"/>
            <w:noWrap/>
            <w:vAlign w:val="bottom"/>
            <w:hideMark/>
          </w:tcPr>
          <w:p w14:paraId="32967D1E" w14:textId="2756EF56" w:rsidR="00543241" w:rsidRPr="000D1437" w:rsidRDefault="00543241" w:rsidP="00543241">
            <w:pPr>
              <w:jc w:val="right"/>
              <w:rPr>
                <w:rFonts w:ascii="Times New Roman" w:hAnsi="Times New Roman"/>
                <w:sz w:val="14"/>
                <w:szCs w:val="14"/>
              </w:rPr>
            </w:pPr>
            <w:r w:rsidRPr="000D1437">
              <w:rPr>
                <w:sz w:val="14"/>
                <w:szCs w:val="14"/>
              </w:rPr>
              <w:t>11796,36</w:t>
            </w:r>
          </w:p>
        </w:tc>
        <w:tc>
          <w:tcPr>
            <w:tcW w:w="1278" w:type="dxa"/>
            <w:tcBorders>
              <w:top w:val="nil"/>
              <w:left w:val="nil"/>
              <w:bottom w:val="single" w:sz="4" w:space="0" w:color="auto"/>
              <w:right w:val="single" w:sz="4" w:space="0" w:color="auto"/>
            </w:tcBorders>
            <w:shd w:val="clear" w:color="000000" w:fill="FFFFFF"/>
            <w:noWrap/>
            <w:vAlign w:val="bottom"/>
            <w:hideMark/>
          </w:tcPr>
          <w:p w14:paraId="524AB992" w14:textId="4D288F08" w:rsidR="00543241" w:rsidRPr="000D1437" w:rsidRDefault="00543241" w:rsidP="00543241">
            <w:pPr>
              <w:jc w:val="right"/>
              <w:rPr>
                <w:rFonts w:ascii="Times New Roman" w:hAnsi="Times New Roman"/>
                <w:sz w:val="14"/>
                <w:szCs w:val="14"/>
              </w:rPr>
            </w:pPr>
            <w:r w:rsidRPr="000D1437">
              <w:rPr>
                <w:sz w:val="14"/>
                <w:szCs w:val="14"/>
              </w:rPr>
              <w:t>11576,49</w:t>
            </w:r>
          </w:p>
        </w:tc>
        <w:tc>
          <w:tcPr>
            <w:tcW w:w="1262" w:type="dxa"/>
            <w:tcBorders>
              <w:top w:val="nil"/>
              <w:left w:val="nil"/>
              <w:bottom w:val="single" w:sz="4" w:space="0" w:color="auto"/>
              <w:right w:val="single" w:sz="4" w:space="0" w:color="auto"/>
            </w:tcBorders>
            <w:shd w:val="clear" w:color="000000" w:fill="FFFFFF"/>
            <w:vAlign w:val="bottom"/>
          </w:tcPr>
          <w:p w14:paraId="17BDEF6E" w14:textId="2804091D" w:rsidR="00543241" w:rsidRPr="000D1437" w:rsidRDefault="00543241" w:rsidP="00543241">
            <w:pPr>
              <w:jc w:val="right"/>
              <w:rPr>
                <w:rFonts w:ascii="Times New Roman" w:hAnsi="Times New Roman"/>
                <w:sz w:val="14"/>
                <w:szCs w:val="14"/>
              </w:rPr>
            </w:pPr>
            <w:r w:rsidRPr="000D1437">
              <w:rPr>
                <w:sz w:val="14"/>
                <w:szCs w:val="14"/>
              </w:rPr>
              <w:t>11478,81</w:t>
            </w:r>
          </w:p>
        </w:tc>
      </w:tr>
      <w:tr w:rsidR="00543241" w:rsidRPr="00364545" w14:paraId="490945BF"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C478630" w14:textId="41C28874"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264" w:type="dxa"/>
            <w:tcBorders>
              <w:top w:val="nil"/>
              <w:left w:val="nil"/>
              <w:bottom w:val="single" w:sz="4" w:space="0" w:color="auto"/>
              <w:right w:val="single" w:sz="4" w:space="0" w:color="auto"/>
            </w:tcBorders>
            <w:shd w:val="clear" w:color="000000" w:fill="FFFFFF"/>
            <w:noWrap/>
            <w:vAlign w:val="bottom"/>
            <w:hideMark/>
          </w:tcPr>
          <w:p w14:paraId="5EF3D1DA" w14:textId="3DDE63E5"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4AC6801F" w14:textId="17AB112D"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3C2DFCA1" w14:textId="18BE9BAE"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4B417E62" w14:textId="63671BC1"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2A9A63E6" w14:textId="05A0A823" w:rsidR="00543241" w:rsidRPr="000D1437" w:rsidRDefault="00543241" w:rsidP="00543241">
            <w:pPr>
              <w:jc w:val="right"/>
              <w:rPr>
                <w:rFonts w:ascii="Times New Roman" w:hAnsi="Times New Roman"/>
                <w:sz w:val="14"/>
                <w:szCs w:val="14"/>
              </w:rPr>
            </w:pPr>
            <w:r w:rsidRPr="000D1437">
              <w:rPr>
                <w:sz w:val="14"/>
                <w:szCs w:val="14"/>
              </w:rPr>
              <w:t>NO,NA</w:t>
            </w:r>
          </w:p>
        </w:tc>
        <w:tc>
          <w:tcPr>
            <w:tcW w:w="1262" w:type="dxa"/>
            <w:tcBorders>
              <w:top w:val="nil"/>
              <w:left w:val="nil"/>
              <w:bottom w:val="single" w:sz="4" w:space="0" w:color="auto"/>
              <w:right w:val="single" w:sz="4" w:space="0" w:color="auto"/>
            </w:tcBorders>
            <w:shd w:val="clear" w:color="000000" w:fill="FFFFFF"/>
            <w:vAlign w:val="bottom"/>
          </w:tcPr>
          <w:p w14:paraId="7FF7306A" w14:textId="7F5F0534"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254F67B6"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3C59851" w14:textId="5EF9AA4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264" w:type="dxa"/>
            <w:tcBorders>
              <w:top w:val="nil"/>
              <w:left w:val="nil"/>
              <w:bottom w:val="single" w:sz="4" w:space="0" w:color="auto"/>
              <w:right w:val="single" w:sz="4" w:space="0" w:color="auto"/>
            </w:tcBorders>
            <w:shd w:val="clear" w:color="000000" w:fill="FFFFFF"/>
            <w:noWrap/>
            <w:vAlign w:val="bottom"/>
            <w:hideMark/>
          </w:tcPr>
          <w:p w14:paraId="4E710C6E" w14:textId="7B578875" w:rsidR="00543241" w:rsidRPr="000D1437" w:rsidRDefault="00543241" w:rsidP="00543241">
            <w:pPr>
              <w:jc w:val="right"/>
              <w:rPr>
                <w:rFonts w:ascii="Times New Roman" w:hAnsi="Times New Roman"/>
                <w:sz w:val="14"/>
                <w:szCs w:val="14"/>
              </w:rPr>
            </w:pPr>
            <w:r w:rsidRPr="000D1437">
              <w:rPr>
                <w:sz w:val="14"/>
                <w:szCs w:val="14"/>
              </w:rPr>
              <w:t>-4473,04</w:t>
            </w:r>
          </w:p>
        </w:tc>
        <w:tc>
          <w:tcPr>
            <w:tcW w:w="1278" w:type="dxa"/>
            <w:tcBorders>
              <w:top w:val="nil"/>
              <w:left w:val="nil"/>
              <w:bottom w:val="single" w:sz="4" w:space="0" w:color="auto"/>
              <w:right w:val="single" w:sz="4" w:space="0" w:color="auto"/>
            </w:tcBorders>
            <w:shd w:val="clear" w:color="000000" w:fill="FFFFFF"/>
            <w:noWrap/>
            <w:vAlign w:val="bottom"/>
            <w:hideMark/>
          </w:tcPr>
          <w:p w14:paraId="61F6A9DB" w14:textId="681AF859" w:rsidR="00543241" w:rsidRPr="000D1437" w:rsidRDefault="00543241" w:rsidP="00543241">
            <w:pPr>
              <w:jc w:val="right"/>
              <w:rPr>
                <w:rFonts w:ascii="Times New Roman" w:hAnsi="Times New Roman"/>
                <w:sz w:val="14"/>
                <w:szCs w:val="14"/>
              </w:rPr>
            </w:pPr>
            <w:r w:rsidRPr="000D1437">
              <w:rPr>
                <w:sz w:val="14"/>
                <w:szCs w:val="14"/>
              </w:rPr>
              <w:t>-3412,42</w:t>
            </w:r>
          </w:p>
        </w:tc>
        <w:tc>
          <w:tcPr>
            <w:tcW w:w="1278" w:type="dxa"/>
            <w:tcBorders>
              <w:top w:val="nil"/>
              <w:left w:val="nil"/>
              <w:bottom w:val="single" w:sz="4" w:space="0" w:color="auto"/>
              <w:right w:val="single" w:sz="4" w:space="0" w:color="auto"/>
            </w:tcBorders>
            <w:shd w:val="clear" w:color="000000" w:fill="FFFFFF"/>
            <w:noWrap/>
            <w:vAlign w:val="bottom"/>
            <w:hideMark/>
          </w:tcPr>
          <w:p w14:paraId="4EDF24DA" w14:textId="6DB6544F" w:rsidR="00543241" w:rsidRPr="000D1437" w:rsidRDefault="00543241" w:rsidP="00543241">
            <w:pPr>
              <w:jc w:val="right"/>
              <w:rPr>
                <w:rFonts w:ascii="Times New Roman" w:hAnsi="Times New Roman"/>
                <w:sz w:val="14"/>
                <w:szCs w:val="14"/>
              </w:rPr>
            </w:pPr>
            <w:r w:rsidRPr="000D1437">
              <w:rPr>
                <w:sz w:val="14"/>
                <w:szCs w:val="14"/>
              </w:rPr>
              <w:t>-1334,29</w:t>
            </w:r>
          </w:p>
        </w:tc>
        <w:tc>
          <w:tcPr>
            <w:tcW w:w="1278" w:type="dxa"/>
            <w:tcBorders>
              <w:top w:val="nil"/>
              <w:left w:val="nil"/>
              <w:bottom w:val="single" w:sz="4" w:space="0" w:color="auto"/>
              <w:right w:val="single" w:sz="4" w:space="0" w:color="auto"/>
            </w:tcBorders>
            <w:shd w:val="clear" w:color="000000" w:fill="FFFFFF"/>
            <w:noWrap/>
            <w:vAlign w:val="bottom"/>
            <w:hideMark/>
          </w:tcPr>
          <w:p w14:paraId="6195A76B" w14:textId="06CD3CB6" w:rsidR="00543241" w:rsidRPr="000D1437" w:rsidRDefault="00543241" w:rsidP="00543241">
            <w:pPr>
              <w:jc w:val="right"/>
              <w:rPr>
                <w:rFonts w:ascii="Times New Roman" w:hAnsi="Times New Roman"/>
                <w:sz w:val="14"/>
                <w:szCs w:val="14"/>
              </w:rPr>
            </w:pPr>
            <w:r w:rsidRPr="000D1437">
              <w:rPr>
                <w:sz w:val="14"/>
                <w:szCs w:val="14"/>
              </w:rPr>
              <w:t>-3425,05</w:t>
            </w:r>
          </w:p>
        </w:tc>
        <w:tc>
          <w:tcPr>
            <w:tcW w:w="1278" w:type="dxa"/>
            <w:tcBorders>
              <w:top w:val="nil"/>
              <w:left w:val="nil"/>
              <w:bottom w:val="single" w:sz="4" w:space="0" w:color="auto"/>
              <w:right w:val="single" w:sz="4" w:space="0" w:color="auto"/>
            </w:tcBorders>
            <w:shd w:val="clear" w:color="000000" w:fill="FFFFFF"/>
            <w:noWrap/>
            <w:vAlign w:val="bottom"/>
            <w:hideMark/>
          </w:tcPr>
          <w:p w14:paraId="4544A71C" w14:textId="0A9EB5B6" w:rsidR="00543241" w:rsidRPr="000D1437" w:rsidRDefault="00543241" w:rsidP="00543241">
            <w:pPr>
              <w:jc w:val="right"/>
              <w:rPr>
                <w:rFonts w:ascii="Times New Roman" w:hAnsi="Times New Roman"/>
                <w:sz w:val="14"/>
                <w:szCs w:val="14"/>
              </w:rPr>
            </w:pPr>
            <w:r w:rsidRPr="000D1437">
              <w:rPr>
                <w:sz w:val="14"/>
                <w:szCs w:val="14"/>
              </w:rPr>
              <w:t>-3449,42</w:t>
            </w:r>
          </w:p>
        </w:tc>
        <w:tc>
          <w:tcPr>
            <w:tcW w:w="1262" w:type="dxa"/>
            <w:tcBorders>
              <w:top w:val="nil"/>
              <w:left w:val="nil"/>
              <w:bottom w:val="single" w:sz="4" w:space="0" w:color="auto"/>
              <w:right w:val="single" w:sz="4" w:space="0" w:color="auto"/>
            </w:tcBorders>
            <w:shd w:val="clear" w:color="000000" w:fill="FFFFFF"/>
            <w:vAlign w:val="bottom"/>
          </w:tcPr>
          <w:p w14:paraId="75CBC4F2" w14:textId="05ADC550" w:rsidR="00543241" w:rsidRPr="000D1437" w:rsidRDefault="00543241" w:rsidP="00543241">
            <w:pPr>
              <w:jc w:val="right"/>
              <w:rPr>
                <w:rFonts w:ascii="Times New Roman" w:hAnsi="Times New Roman"/>
                <w:sz w:val="14"/>
                <w:szCs w:val="14"/>
              </w:rPr>
            </w:pPr>
            <w:r w:rsidRPr="000D1437">
              <w:rPr>
                <w:sz w:val="14"/>
                <w:szCs w:val="14"/>
              </w:rPr>
              <w:t>-2321,85</w:t>
            </w:r>
          </w:p>
        </w:tc>
      </w:tr>
      <w:tr w:rsidR="00543241" w:rsidRPr="00364545" w14:paraId="10208F75"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24A64E4" w14:textId="4CC3D69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264" w:type="dxa"/>
            <w:tcBorders>
              <w:top w:val="nil"/>
              <w:left w:val="nil"/>
              <w:bottom w:val="single" w:sz="4" w:space="0" w:color="auto"/>
              <w:right w:val="single" w:sz="4" w:space="0" w:color="auto"/>
            </w:tcBorders>
            <w:shd w:val="clear" w:color="000000" w:fill="FFFFFF"/>
            <w:noWrap/>
            <w:vAlign w:val="bottom"/>
            <w:hideMark/>
          </w:tcPr>
          <w:p w14:paraId="2B0D6C60" w14:textId="76773865" w:rsidR="00543241" w:rsidRPr="000D1437" w:rsidRDefault="00543241" w:rsidP="00543241">
            <w:pPr>
              <w:jc w:val="right"/>
              <w:rPr>
                <w:rFonts w:ascii="Times New Roman" w:hAnsi="Times New Roman"/>
                <w:sz w:val="14"/>
                <w:szCs w:val="14"/>
              </w:rPr>
            </w:pPr>
            <w:r w:rsidRPr="000D1437">
              <w:rPr>
                <w:sz w:val="14"/>
                <w:szCs w:val="14"/>
              </w:rPr>
              <w:t>235,78</w:t>
            </w:r>
          </w:p>
        </w:tc>
        <w:tc>
          <w:tcPr>
            <w:tcW w:w="1278" w:type="dxa"/>
            <w:tcBorders>
              <w:top w:val="nil"/>
              <w:left w:val="nil"/>
              <w:bottom w:val="single" w:sz="4" w:space="0" w:color="auto"/>
              <w:right w:val="single" w:sz="4" w:space="0" w:color="auto"/>
            </w:tcBorders>
            <w:shd w:val="clear" w:color="000000" w:fill="FFFFFF"/>
            <w:noWrap/>
            <w:vAlign w:val="bottom"/>
            <w:hideMark/>
          </w:tcPr>
          <w:p w14:paraId="3D0367EE" w14:textId="56BB6C95" w:rsidR="00543241" w:rsidRPr="000D1437" w:rsidRDefault="00543241" w:rsidP="00543241">
            <w:pPr>
              <w:jc w:val="right"/>
              <w:rPr>
                <w:rFonts w:ascii="Times New Roman" w:hAnsi="Times New Roman"/>
                <w:sz w:val="14"/>
                <w:szCs w:val="14"/>
              </w:rPr>
            </w:pPr>
            <w:r w:rsidRPr="000D1437">
              <w:rPr>
                <w:sz w:val="14"/>
                <w:szCs w:val="14"/>
              </w:rPr>
              <w:t>205,63</w:t>
            </w:r>
          </w:p>
        </w:tc>
        <w:tc>
          <w:tcPr>
            <w:tcW w:w="1278" w:type="dxa"/>
            <w:tcBorders>
              <w:top w:val="nil"/>
              <w:left w:val="nil"/>
              <w:bottom w:val="single" w:sz="4" w:space="0" w:color="auto"/>
              <w:right w:val="single" w:sz="4" w:space="0" w:color="auto"/>
            </w:tcBorders>
            <w:shd w:val="clear" w:color="000000" w:fill="FFFFFF"/>
            <w:noWrap/>
            <w:vAlign w:val="bottom"/>
            <w:hideMark/>
          </w:tcPr>
          <w:p w14:paraId="46B6F31F" w14:textId="6F416D90" w:rsidR="00543241" w:rsidRPr="000D1437" w:rsidRDefault="00543241" w:rsidP="00543241">
            <w:pPr>
              <w:jc w:val="right"/>
              <w:rPr>
                <w:rFonts w:ascii="Times New Roman" w:hAnsi="Times New Roman"/>
                <w:sz w:val="14"/>
                <w:szCs w:val="14"/>
              </w:rPr>
            </w:pPr>
            <w:r w:rsidRPr="000D1437">
              <w:rPr>
                <w:sz w:val="14"/>
                <w:szCs w:val="14"/>
              </w:rPr>
              <w:t>179,34</w:t>
            </w:r>
          </w:p>
        </w:tc>
        <w:tc>
          <w:tcPr>
            <w:tcW w:w="1278" w:type="dxa"/>
            <w:tcBorders>
              <w:top w:val="nil"/>
              <w:left w:val="nil"/>
              <w:bottom w:val="single" w:sz="4" w:space="0" w:color="auto"/>
              <w:right w:val="single" w:sz="4" w:space="0" w:color="auto"/>
            </w:tcBorders>
            <w:shd w:val="clear" w:color="000000" w:fill="FFFFFF"/>
            <w:noWrap/>
            <w:vAlign w:val="bottom"/>
            <w:hideMark/>
          </w:tcPr>
          <w:p w14:paraId="7399C80C" w14:textId="3C151A8F" w:rsidR="00543241" w:rsidRPr="000D1437" w:rsidRDefault="00543241" w:rsidP="00543241">
            <w:pPr>
              <w:jc w:val="right"/>
              <w:rPr>
                <w:rFonts w:ascii="Times New Roman" w:hAnsi="Times New Roman"/>
                <w:sz w:val="14"/>
                <w:szCs w:val="14"/>
              </w:rPr>
            </w:pPr>
            <w:r w:rsidRPr="000D1437">
              <w:rPr>
                <w:sz w:val="14"/>
                <w:szCs w:val="14"/>
              </w:rPr>
              <w:t>156,41</w:t>
            </w:r>
          </w:p>
        </w:tc>
        <w:tc>
          <w:tcPr>
            <w:tcW w:w="1278" w:type="dxa"/>
            <w:tcBorders>
              <w:top w:val="nil"/>
              <w:left w:val="nil"/>
              <w:bottom w:val="single" w:sz="4" w:space="0" w:color="auto"/>
              <w:right w:val="single" w:sz="4" w:space="0" w:color="auto"/>
            </w:tcBorders>
            <w:shd w:val="clear" w:color="000000" w:fill="FFFFFF"/>
            <w:noWrap/>
            <w:vAlign w:val="bottom"/>
            <w:hideMark/>
          </w:tcPr>
          <w:p w14:paraId="6D9C61C1" w14:textId="10A8B37F" w:rsidR="00543241" w:rsidRPr="000D1437" w:rsidRDefault="00543241" w:rsidP="00543241">
            <w:pPr>
              <w:jc w:val="right"/>
              <w:rPr>
                <w:rFonts w:ascii="Times New Roman" w:hAnsi="Times New Roman"/>
                <w:sz w:val="14"/>
                <w:szCs w:val="14"/>
              </w:rPr>
            </w:pPr>
            <w:r w:rsidRPr="000D1437">
              <w:rPr>
                <w:sz w:val="14"/>
                <w:szCs w:val="14"/>
              </w:rPr>
              <w:t>136,41</w:t>
            </w:r>
          </w:p>
        </w:tc>
        <w:tc>
          <w:tcPr>
            <w:tcW w:w="1262" w:type="dxa"/>
            <w:tcBorders>
              <w:top w:val="nil"/>
              <w:left w:val="nil"/>
              <w:bottom w:val="single" w:sz="4" w:space="0" w:color="auto"/>
              <w:right w:val="single" w:sz="4" w:space="0" w:color="auto"/>
            </w:tcBorders>
            <w:shd w:val="clear" w:color="000000" w:fill="FFFFFF"/>
            <w:vAlign w:val="bottom"/>
          </w:tcPr>
          <w:p w14:paraId="235F0A72" w14:textId="32FAD6EB" w:rsidR="00543241" w:rsidRPr="000D1437" w:rsidRDefault="00543241" w:rsidP="00543241">
            <w:pPr>
              <w:jc w:val="right"/>
              <w:rPr>
                <w:rFonts w:ascii="Times New Roman" w:hAnsi="Times New Roman"/>
                <w:sz w:val="14"/>
                <w:szCs w:val="14"/>
              </w:rPr>
            </w:pPr>
            <w:r w:rsidRPr="000D1437">
              <w:rPr>
                <w:sz w:val="14"/>
                <w:szCs w:val="14"/>
              </w:rPr>
              <w:t>118,97</w:t>
            </w:r>
          </w:p>
        </w:tc>
      </w:tr>
      <w:tr w:rsidR="00543241" w:rsidRPr="00364545" w14:paraId="22F86B28"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C2C3F63" w14:textId="100D0C85"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5. Waste</w:t>
            </w:r>
          </w:p>
        </w:tc>
        <w:tc>
          <w:tcPr>
            <w:tcW w:w="1264" w:type="dxa"/>
            <w:tcBorders>
              <w:top w:val="nil"/>
              <w:left w:val="nil"/>
              <w:bottom w:val="single" w:sz="4" w:space="0" w:color="auto"/>
              <w:right w:val="single" w:sz="4" w:space="0" w:color="auto"/>
            </w:tcBorders>
            <w:shd w:val="clear" w:color="000000" w:fill="CCFFFF"/>
            <w:noWrap/>
            <w:vAlign w:val="bottom"/>
            <w:hideMark/>
          </w:tcPr>
          <w:p w14:paraId="5888A888" w14:textId="5C13CFA9" w:rsidR="00543241" w:rsidRPr="000D1437" w:rsidRDefault="00543241" w:rsidP="00543241">
            <w:pPr>
              <w:jc w:val="right"/>
              <w:rPr>
                <w:rFonts w:ascii="Times New Roman" w:hAnsi="Times New Roman"/>
                <w:sz w:val="14"/>
                <w:szCs w:val="14"/>
              </w:rPr>
            </w:pPr>
            <w:r w:rsidRPr="000D1437">
              <w:rPr>
                <w:sz w:val="14"/>
                <w:szCs w:val="14"/>
              </w:rPr>
              <w:t>1490,83</w:t>
            </w:r>
          </w:p>
        </w:tc>
        <w:tc>
          <w:tcPr>
            <w:tcW w:w="1278" w:type="dxa"/>
            <w:tcBorders>
              <w:top w:val="nil"/>
              <w:left w:val="nil"/>
              <w:bottom w:val="single" w:sz="4" w:space="0" w:color="auto"/>
              <w:right w:val="single" w:sz="4" w:space="0" w:color="auto"/>
            </w:tcBorders>
            <w:shd w:val="clear" w:color="000000" w:fill="CCFFFF"/>
            <w:noWrap/>
            <w:vAlign w:val="bottom"/>
            <w:hideMark/>
          </w:tcPr>
          <w:p w14:paraId="0DB65502" w14:textId="7F125B82" w:rsidR="00543241" w:rsidRPr="000D1437" w:rsidRDefault="00543241" w:rsidP="00543241">
            <w:pPr>
              <w:jc w:val="right"/>
              <w:rPr>
                <w:rFonts w:ascii="Times New Roman" w:hAnsi="Times New Roman"/>
                <w:sz w:val="14"/>
                <w:szCs w:val="14"/>
              </w:rPr>
            </w:pPr>
            <w:r w:rsidRPr="000D1437">
              <w:rPr>
                <w:sz w:val="14"/>
                <w:szCs w:val="14"/>
              </w:rPr>
              <w:t>1547,10</w:t>
            </w:r>
          </w:p>
        </w:tc>
        <w:tc>
          <w:tcPr>
            <w:tcW w:w="1278" w:type="dxa"/>
            <w:tcBorders>
              <w:top w:val="nil"/>
              <w:left w:val="nil"/>
              <w:bottom w:val="single" w:sz="4" w:space="0" w:color="auto"/>
              <w:right w:val="single" w:sz="4" w:space="0" w:color="auto"/>
            </w:tcBorders>
            <w:shd w:val="clear" w:color="000000" w:fill="CCFFFF"/>
            <w:noWrap/>
            <w:vAlign w:val="bottom"/>
            <w:hideMark/>
          </w:tcPr>
          <w:p w14:paraId="26E7DAE9" w14:textId="7E4D979D" w:rsidR="00543241" w:rsidRPr="000D1437" w:rsidRDefault="00543241" w:rsidP="00543241">
            <w:pPr>
              <w:jc w:val="right"/>
              <w:rPr>
                <w:rFonts w:ascii="Times New Roman" w:hAnsi="Times New Roman"/>
                <w:sz w:val="14"/>
                <w:szCs w:val="14"/>
              </w:rPr>
            </w:pPr>
            <w:r w:rsidRPr="000D1437">
              <w:rPr>
                <w:sz w:val="14"/>
                <w:szCs w:val="14"/>
              </w:rPr>
              <w:t>1522,89</w:t>
            </w:r>
          </w:p>
        </w:tc>
        <w:tc>
          <w:tcPr>
            <w:tcW w:w="1278" w:type="dxa"/>
            <w:tcBorders>
              <w:top w:val="nil"/>
              <w:left w:val="nil"/>
              <w:bottom w:val="single" w:sz="4" w:space="0" w:color="auto"/>
              <w:right w:val="single" w:sz="4" w:space="0" w:color="auto"/>
            </w:tcBorders>
            <w:shd w:val="clear" w:color="000000" w:fill="CCFFFF"/>
            <w:noWrap/>
            <w:vAlign w:val="bottom"/>
            <w:hideMark/>
          </w:tcPr>
          <w:p w14:paraId="27C5E46D" w14:textId="01BE58F3" w:rsidR="00543241" w:rsidRPr="000D1437" w:rsidRDefault="00543241" w:rsidP="00543241">
            <w:pPr>
              <w:jc w:val="right"/>
              <w:rPr>
                <w:rFonts w:ascii="Times New Roman" w:hAnsi="Times New Roman"/>
                <w:sz w:val="14"/>
                <w:szCs w:val="14"/>
              </w:rPr>
            </w:pPr>
            <w:r w:rsidRPr="000D1437">
              <w:rPr>
                <w:sz w:val="14"/>
                <w:szCs w:val="14"/>
              </w:rPr>
              <w:t>1607,52</w:t>
            </w:r>
          </w:p>
        </w:tc>
        <w:tc>
          <w:tcPr>
            <w:tcW w:w="1278" w:type="dxa"/>
            <w:tcBorders>
              <w:top w:val="nil"/>
              <w:left w:val="nil"/>
              <w:bottom w:val="single" w:sz="4" w:space="0" w:color="auto"/>
              <w:right w:val="single" w:sz="4" w:space="0" w:color="auto"/>
            </w:tcBorders>
            <w:shd w:val="clear" w:color="000000" w:fill="CCFFFF"/>
            <w:noWrap/>
            <w:vAlign w:val="bottom"/>
            <w:hideMark/>
          </w:tcPr>
          <w:p w14:paraId="6DD903E2" w14:textId="7E671FF1" w:rsidR="00543241" w:rsidRPr="000D1437" w:rsidRDefault="00543241" w:rsidP="00543241">
            <w:pPr>
              <w:jc w:val="right"/>
              <w:rPr>
                <w:rFonts w:ascii="Times New Roman" w:hAnsi="Times New Roman"/>
                <w:sz w:val="14"/>
                <w:szCs w:val="14"/>
              </w:rPr>
            </w:pPr>
            <w:r w:rsidRPr="000D1437">
              <w:rPr>
                <w:sz w:val="14"/>
                <w:szCs w:val="14"/>
              </w:rPr>
              <w:t>1650,10</w:t>
            </w:r>
          </w:p>
        </w:tc>
        <w:tc>
          <w:tcPr>
            <w:tcW w:w="1262" w:type="dxa"/>
            <w:tcBorders>
              <w:top w:val="nil"/>
              <w:left w:val="nil"/>
              <w:bottom w:val="single" w:sz="4" w:space="0" w:color="auto"/>
              <w:right w:val="single" w:sz="4" w:space="0" w:color="auto"/>
            </w:tcBorders>
            <w:shd w:val="clear" w:color="000000" w:fill="CCFFFF"/>
            <w:vAlign w:val="bottom"/>
          </w:tcPr>
          <w:p w14:paraId="3976F096" w14:textId="55414D33" w:rsidR="00543241" w:rsidRPr="000D1437" w:rsidRDefault="00543241" w:rsidP="00543241">
            <w:pPr>
              <w:jc w:val="right"/>
              <w:rPr>
                <w:rFonts w:ascii="Times New Roman" w:hAnsi="Times New Roman"/>
                <w:sz w:val="14"/>
                <w:szCs w:val="14"/>
              </w:rPr>
            </w:pPr>
            <w:r w:rsidRPr="000D1437">
              <w:rPr>
                <w:sz w:val="14"/>
                <w:szCs w:val="14"/>
              </w:rPr>
              <w:t>1542,11</w:t>
            </w:r>
          </w:p>
        </w:tc>
      </w:tr>
      <w:tr w:rsidR="00543241" w:rsidRPr="00364545" w14:paraId="6E9D19CF"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F33AE01" w14:textId="5FA608BB"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264" w:type="dxa"/>
            <w:tcBorders>
              <w:top w:val="nil"/>
              <w:left w:val="nil"/>
              <w:bottom w:val="single" w:sz="4" w:space="0" w:color="auto"/>
              <w:right w:val="single" w:sz="4" w:space="0" w:color="auto"/>
            </w:tcBorders>
            <w:shd w:val="clear" w:color="000000" w:fill="FFFFFF"/>
            <w:noWrap/>
            <w:vAlign w:val="bottom"/>
            <w:hideMark/>
          </w:tcPr>
          <w:p w14:paraId="6CA73959" w14:textId="453B769E"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FFFFFF"/>
            <w:noWrap/>
            <w:vAlign w:val="bottom"/>
            <w:hideMark/>
          </w:tcPr>
          <w:p w14:paraId="664FF521" w14:textId="1542641E"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FFFFFF"/>
            <w:noWrap/>
            <w:vAlign w:val="bottom"/>
            <w:hideMark/>
          </w:tcPr>
          <w:p w14:paraId="247BDF1D" w14:textId="2F0788C6"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FFFFFF"/>
            <w:noWrap/>
            <w:vAlign w:val="bottom"/>
            <w:hideMark/>
          </w:tcPr>
          <w:p w14:paraId="3F2B1322" w14:textId="4F16DE68"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FFFFFF"/>
            <w:noWrap/>
            <w:vAlign w:val="bottom"/>
            <w:hideMark/>
          </w:tcPr>
          <w:p w14:paraId="7289D0A5" w14:textId="3B5F2AC0" w:rsidR="00543241" w:rsidRPr="000D1437" w:rsidRDefault="00543241" w:rsidP="00543241">
            <w:pPr>
              <w:jc w:val="right"/>
              <w:rPr>
                <w:rFonts w:ascii="Times New Roman" w:hAnsi="Times New Roman"/>
                <w:sz w:val="14"/>
                <w:szCs w:val="14"/>
              </w:rPr>
            </w:pPr>
            <w:r w:rsidRPr="000D1437">
              <w:rPr>
                <w:sz w:val="14"/>
                <w:szCs w:val="14"/>
              </w:rPr>
              <w:t>NA</w:t>
            </w:r>
          </w:p>
        </w:tc>
        <w:tc>
          <w:tcPr>
            <w:tcW w:w="1262" w:type="dxa"/>
            <w:tcBorders>
              <w:top w:val="nil"/>
              <w:left w:val="nil"/>
              <w:bottom w:val="single" w:sz="4" w:space="0" w:color="auto"/>
              <w:right w:val="single" w:sz="4" w:space="0" w:color="auto"/>
            </w:tcBorders>
            <w:shd w:val="clear" w:color="000000" w:fill="FFFFFF"/>
            <w:vAlign w:val="bottom"/>
          </w:tcPr>
          <w:p w14:paraId="2C164D38" w14:textId="4CF7E1F7" w:rsidR="00543241" w:rsidRPr="000D1437" w:rsidRDefault="00543241" w:rsidP="00543241">
            <w:pPr>
              <w:jc w:val="right"/>
              <w:rPr>
                <w:rFonts w:ascii="Times New Roman" w:hAnsi="Times New Roman"/>
                <w:sz w:val="14"/>
                <w:szCs w:val="14"/>
              </w:rPr>
            </w:pPr>
            <w:r w:rsidRPr="000D1437">
              <w:rPr>
                <w:sz w:val="14"/>
                <w:szCs w:val="14"/>
              </w:rPr>
              <w:t>NA</w:t>
            </w:r>
          </w:p>
        </w:tc>
      </w:tr>
      <w:tr w:rsidR="00543241" w:rsidRPr="00364545" w14:paraId="3E48BF7C"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BF40A72" w14:textId="7FA9D388"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264" w:type="dxa"/>
            <w:tcBorders>
              <w:top w:val="nil"/>
              <w:left w:val="nil"/>
              <w:bottom w:val="single" w:sz="4" w:space="0" w:color="auto"/>
              <w:right w:val="single" w:sz="4" w:space="0" w:color="auto"/>
            </w:tcBorders>
            <w:shd w:val="clear" w:color="000000" w:fill="FFFFFF"/>
            <w:noWrap/>
            <w:vAlign w:val="bottom"/>
            <w:hideMark/>
          </w:tcPr>
          <w:p w14:paraId="7C416EC8" w14:textId="5CA48EE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7543F7C6" w14:textId="300A38E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4B85505A" w14:textId="13352C9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54687C6A" w14:textId="79FB70D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4779C1AE" w14:textId="3E24005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2507FB84" w14:textId="062D80D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39C100CB"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7E6CB4C" w14:textId="3125144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264" w:type="dxa"/>
            <w:tcBorders>
              <w:top w:val="nil"/>
              <w:left w:val="nil"/>
              <w:bottom w:val="single" w:sz="4" w:space="0" w:color="auto"/>
              <w:right w:val="single" w:sz="4" w:space="0" w:color="auto"/>
            </w:tcBorders>
            <w:shd w:val="clear" w:color="000000" w:fill="FFFFFF"/>
            <w:noWrap/>
            <w:vAlign w:val="bottom"/>
            <w:hideMark/>
          </w:tcPr>
          <w:p w14:paraId="3C11CE85" w14:textId="1AB48848" w:rsidR="00543241" w:rsidRPr="000D1437" w:rsidRDefault="00543241" w:rsidP="00543241">
            <w:pPr>
              <w:jc w:val="right"/>
              <w:rPr>
                <w:rFonts w:ascii="Times New Roman" w:hAnsi="Times New Roman"/>
                <w:sz w:val="14"/>
                <w:szCs w:val="14"/>
              </w:rPr>
            </w:pPr>
            <w:r w:rsidRPr="000D1437">
              <w:rPr>
                <w:sz w:val="14"/>
                <w:szCs w:val="14"/>
              </w:rPr>
              <w:t>1490,83</w:t>
            </w:r>
          </w:p>
        </w:tc>
        <w:tc>
          <w:tcPr>
            <w:tcW w:w="1278" w:type="dxa"/>
            <w:tcBorders>
              <w:top w:val="nil"/>
              <w:left w:val="nil"/>
              <w:bottom w:val="single" w:sz="4" w:space="0" w:color="auto"/>
              <w:right w:val="single" w:sz="4" w:space="0" w:color="auto"/>
            </w:tcBorders>
            <w:shd w:val="clear" w:color="000000" w:fill="FFFFFF"/>
            <w:noWrap/>
            <w:vAlign w:val="bottom"/>
            <w:hideMark/>
          </w:tcPr>
          <w:p w14:paraId="122C88BB" w14:textId="1ADCF346" w:rsidR="00543241" w:rsidRPr="000D1437" w:rsidRDefault="00543241" w:rsidP="00543241">
            <w:pPr>
              <w:jc w:val="right"/>
              <w:rPr>
                <w:rFonts w:ascii="Times New Roman" w:hAnsi="Times New Roman"/>
                <w:sz w:val="14"/>
                <w:szCs w:val="14"/>
              </w:rPr>
            </w:pPr>
            <w:r w:rsidRPr="000D1437">
              <w:rPr>
                <w:sz w:val="14"/>
                <w:szCs w:val="14"/>
              </w:rPr>
              <w:t>1547,10</w:t>
            </w:r>
          </w:p>
        </w:tc>
        <w:tc>
          <w:tcPr>
            <w:tcW w:w="1278" w:type="dxa"/>
            <w:tcBorders>
              <w:top w:val="nil"/>
              <w:left w:val="nil"/>
              <w:bottom w:val="single" w:sz="4" w:space="0" w:color="auto"/>
              <w:right w:val="single" w:sz="4" w:space="0" w:color="auto"/>
            </w:tcBorders>
            <w:shd w:val="clear" w:color="000000" w:fill="FFFFFF"/>
            <w:noWrap/>
            <w:vAlign w:val="bottom"/>
            <w:hideMark/>
          </w:tcPr>
          <w:p w14:paraId="51861B31" w14:textId="296D71FD" w:rsidR="00543241" w:rsidRPr="000D1437" w:rsidRDefault="00543241" w:rsidP="00543241">
            <w:pPr>
              <w:jc w:val="right"/>
              <w:rPr>
                <w:rFonts w:ascii="Times New Roman" w:hAnsi="Times New Roman"/>
                <w:sz w:val="14"/>
                <w:szCs w:val="14"/>
              </w:rPr>
            </w:pPr>
            <w:r w:rsidRPr="000D1437">
              <w:rPr>
                <w:sz w:val="14"/>
                <w:szCs w:val="14"/>
              </w:rPr>
              <w:t>1522,89</w:t>
            </w:r>
          </w:p>
        </w:tc>
        <w:tc>
          <w:tcPr>
            <w:tcW w:w="1278" w:type="dxa"/>
            <w:tcBorders>
              <w:top w:val="nil"/>
              <w:left w:val="nil"/>
              <w:bottom w:val="single" w:sz="4" w:space="0" w:color="auto"/>
              <w:right w:val="single" w:sz="4" w:space="0" w:color="auto"/>
            </w:tcBorders>
            <w:shd w:val="clear" w:color="000000" w:fill="FFFFFF"/>
            <w:noWrap/>
            <w:vAlign w:val="bottom"/>
            <w:hideMark/>
          </w:tcPr>
          <w:p w14:paraId="20CDF58D" w14:textId="66BABB2B" w:rsidR="00543241" w:rsidRPr="000D1437" w:rsidRDefault="00543241" w:rsidP="00543241">
            <w:pPr>
              <w:jc w:val="right"/>
              <w:rPr>
                <w:rFonts w:ascii="Times New Roman" w:hAnsi="Times New Roman"/>
                <w:sz w:val="14"/>
                <w:szCs w:val="14"/>
              </w:rPr>
            </w:pPr>
            <w:r w:rsidRPr="000D1437">
              <w:rPr>
                <w:sz w:val="14"/>
                <w:szCs w:val="14"/>
              </w:rPr>
              <w:t>1607,52</w:t>
            </w:r>
          </w:p>
        </w:tc>
        <w:tc>
          <w:tcPr>
            <w:tcW w:w="1278" w:type="dxa"/>
            <w:tcBorders>
              <w:top w:val="nil"/>
              <w:left w:val="nil"/>
              <w:bottom w:val="single" w:sz="4" w:space="0" w:color="auto"/>
              <w:right w:val="single" w:sz="4" w:space="0" w:color="auto"/>
            </w:tcBorders>
            <w:shd w:val="clear" w:color="000000" w:fill="FFFFFF"/>
            <w:noWrap/>
            <w:vAlign w:val="bottom"/>
            <w:hideMark/>
          </w:tcPr>
          <w:p w14:paraId="1851F865" w14:textId="24AB4CAB" w:rsidR="00543241" w:rsidRPr="000D1437" w:rsidRDefault="00543241" w:rsidP="00543241">
            <w:pPr>
              <w:jc w:val="right"/>
              <w:rPr>
                <w:rFonts w:ascii="Times New Roman" w:hAnsi="Times New Roman"/>
                <w:sz w:val="14"/>
                <w:szCs w:val="14"/>
              </w:rPr>
            </w:pPr>
            <w:r w:rsidRPr="000D1437">
              <w:rPr>
                <w:sz w:val="14"/>
                <w:szCs w:val="14"/>
              </w:rPr>
              <w:t>1650,10</w:t>
            </w:r>
          </w:p>
        </w:tc>
        <w:tc>
          <w:tcPr>
            <w:tcW w:w="1262" w:type="dxa"/>
            <w:tcBorders>
              <w:top w:val="nil"/>
              <w:left w:val="nil"/>
              <w:bottom w:val="single" w:sz="4" w:space="0" w:color="auto"/>
              <w:right w:val="single" w:sz="4" w:space="0" w:color="auto"/>
            </w:tcBorders>
            <w:shd w:val="clear" w:color="000000" w:fill="FFFFFF"/>
            <w:vAlign w:val="bottom"/>
          </w:tcPr>
          <w:p w14:paraId="1BB2E9D3" w14:textId="5AA9131D" w:rsidR="00543241" w:rsidRPr="000D1437" w:rsidRDefault="00543241" w:rsidP="00543241">
            <w:pPr>
              <w:jc w:val="right"/>
              <w:rPr>
                <w:rFonts w:ascii="Times New Roman" w:hAnsi="Times New Roman"/>
                <w:sz w:val="14"/>
                <w:szCs w:val="14"/>
              </w:rPr>
            </w:pPr>
            <w:r w:rsidRPr="000D1437">
              <w:rPr>
                <w:sz w:val="14"/>
                <w:szCs w:val="14"/>
              </w:rPr>
              <w:t>1542,11</w:t>
            </w:r>
          </w:p>
        </w:tc>
      </w:tr>
      <w:tr w:rsidR="00543241" w:rsidRPr="00364545" w14:paraId="4132D419"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C484DFA" w14:textId="6E92E22B"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264" w:type="dxa"/>
            <w:tcBorders>
              <w:top w:val="nil"/>
              <w:left w:val="nil"/>
              <w:bottom w:val="single" w:sz="4" w:space="0" w:color="auto"/>
              <w:right w:val="single" w:sz="4" w:space="0" w:color="auto"/>
            </w:tcBorders>
            <w:shd w:val="clear" w:color="000000" w:fill="FFFFFF"/>
            <w:noWrap/>
            <w:vAlign w:val="bottom"/>
            <w:hideMark/>
          </w:tcPr>
          <w:p w14:paraId="3CE44EAE" w14:textId="234F14F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1DAB4167" w14:textId="2BE3B12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4DF8DE3D" w14:textId="5910F1B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5F72B17C" w14:textId="7A153E8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4E0FCE65" w14:textId="1C0C034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4F6DC531" w14:textId="13E7876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76C2B475"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5FFA11E" w14:textId="13FB905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264" w:type="dxa"/>
            <w:tcBorders>
              <w:top w:val="nil"/>
              <w:left w:val="nil"/>
              <w:bottom w:val="single" w:sz="4" w:space="0" w:color="auto"/>
              <w:right w:val="single" w:sz="4" w:space="0" w:color="auto"/>
            </w:tcBorders>
            <w:shd w:val="clear" w:color="000000" w:fill="FFFFFF"/>
            <w:noWrap/>
            <w:vAlign w:val="bottom"/>
            <w:hideMark/>
          </w:tcPr>
          <w:p w14:paraId="4AD4D42A" w14:textId="34423982"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61DC280C" w14:textId="6BA507D1"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55F93790" w14:textId="3529C3BA"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54D57C08" w14:textId="1E469881"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1D042E41" w14:textId="15554FDA" w:rsidR="00543241" w:rsidRPr="000D1437" w:rsidRDefault="00543241" w:rsidP="00543241">
            <w:pPr>
              <w:jc w:val="right"/>
              <w:rPr>
                <w:rFonts w:ascii="Times New Roman" w:hAnsi="Times New Roman"/>
                <w:sz w:val="14"/>
                <w:szCs w:val="14"/>
              </w:rPr>
            </w:pPr>
            <w:r w:rsidRPr="000D1437">
              <w:rPr>
                <w:sz w:val="14"/>
                <w:szCs w:val="14"/>
              </w:rPr>
              <w:t>NO</w:t>
            </w:r>
          </w:p>
        </w:tc>
        <w:tc>
          <w:tcPr>
            <w:tcW w:w="1262" w:type="dxa"/>
            <w:tcBorders>
              <w:top w:val="nil"/>
              <w:left w:val="nil"/>
              <w:bottom w:val="single" w:sz="4" w:space="0" w:color="auto"/>
              <w:right w:val="single" w:sz="4" w:space="0" w:color="auto"/>
            </w:tcBorders>
            <w:shd w:val="clear" w:color="000000" w:fill="FFFFFF"/>
            <w:vAlign w:val="bottom"/>
          </w:tcPr>
          <w:p w14:paraId="446F23F1" w14:textId="04E52083"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4EDC4718"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691D987" w14:textId="34DC67A4"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264" w:type="dxa"/>
            <w:tcBorders>
              <w:top w:val="nil"/>
              <w:left w:val="nil"/>
              <w:bottom w:val="single" w:sz="4" w:space="0" w:color="auto"/>
              <w:right w:val="single" w:sz="4" w:space="0" w:color="auto"/>
            </w:tcBorders>
            <w:shd w:val="clear" w:color="000000" w:fill="CCFFFF"/>
            <w:noWrap/>
            <w:vAlign w:val="bottom"/>
            <w:hideMark/>
          </w:tcPr>
          <w:p w14:paraId="4452CE9C" w14:textId="651CEB8C"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CCFFFF"/>
            <w:noWrap/>
            <w:vAlign w:val="bottom"/>
            <w:hideMark/>
          </w:tcPr>
          <w:p w14:paraId="37CD03D9" w14:textId="21854F46"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CCFFFF"/>
            <w:noWrap/>
            <w:vAlign w:val="bottom"/>
            <w:hideMark/>
          </w:tcPr>
          <w:p w14:paraId="4F19791E" w14:textId="123EFC1C"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CCFFFF"/>
            <w:noWrap/>
            <w:vAlign w:val="bottom"/>
            <w:hideMark/>
          </w:tcPr>
          <w:p w14:paraId="1F485336" w14:textId="155A832F" w:rsidR="00543241" w:rsidRPr="000D1437" w:rsidRDefault="00543241" w:rsidP="00543241">
            <w:pPr>
              <w:jc w:val="right"/>
              <w:rPr>
                <w:rFonts w:ascii="Times New Roman" w:hAnsi="Times New Roman"/>
                <w:sz w:val="14"/>
                <w:szCs w:val="14"/>
              </w:rPr>
            </w:pPr>
            <w:r w:rsidRPr="000D1437">
              <w:rPr>
                <w:sz w:val="14"/>
                <w:szCs w:val="14"/>
              </w:rPr>
              <w:t>NO</w:t>
            </w:r>
          </w:p>
        </w:tc>
        <w:tc>
          <w:tcPr>
            <w:tcW w:w="1278" w:type="dxa"/>
            <w:tcBorders>
              <w:top w:val="nil"/>
              <w:left w:val="nil"/>
              <w:bottom w:val="single" w:sz="4" w:space="0" w:color="auto"/>
              <w:right w:val="single" w:sz="4" w:space="0" w:color="auto"/>
            </w:tcBorders>
            <w:shd w:val="clear" w:color="000000" w:fill="CCFFFF"/>
            <w:noWrap/>
            <w:vAlign w:val="bottom"/>
            <w:hideMark/>
          </w:tcPr>
          <w:p w14:paraId="34ACF3E4" w14:textId="4C6760B7" w:rsidR="00543241" w:rsidRPr="000D1437" w:rsidRDefault="00543241" w:rsidP="00543241">
            <w:pPr>
              <w:jc w:val="right"/>
              <w:rPr>
                <w:rFonts w:ascii="Times New Roman" w:hAnsi="Times New Roman"/>
                <w:sz w:val="14"/>
                <w:szCs w:val="14"/>
              </w:rPr>
            </w:pPr>
            <w:r w:rsidRPr="000D1437">
              <w:rPr>
                <w:sz w:val="14"/>
                <w:szCs w:val="14"/>
              </w:rPr>
              <w:t>NO</w:t>
            </w:r>
          </w:p>
        </w:tc>
        <w:tc>
          <w:tcPr>
            <w:tcW w:w="1262" w:type="dxa"/>
            <w:tcBorders>
              <w:top w:val="nil"/>
              <w:left w:val="nil"/>
              <w:bottom w:val="single" w:sz="4" w:space="0" w:color="auto"/>
              <w:right w:val="single" w:sz="4" w:space="0" w:color="auto"/>
            </w:tcBorders>
            <w:shd w:val="clear" w:color="000000" w:fill="CCFFFF"/>
            <w:vAlign w:val="bottom"/>
          </w:tcPr>
          <w:p w14:paraId="6A155149" w14:textId="34F620A0"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7CD5F9BB"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3A03AEF"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Memo items:</w:t>
            </w:r>
          </w:p>
        </w:tc>
        <w:tc>
          <w:tcPr>
            <w:tcW w:w="1264" w:type="dxa"/>
            <w:tcBorders>
              <w:top w:val="nil"/>
              <w:left w:val="nil"/>
              <w:bottom w:val="single" w:sz="4" w:space="0" w:color="auto"/>
              <w:right w:val="single" w:sz="4" w:space="0" w:color="auto"/>
            </w:tcBorders>
            <w:shd w:val="clear" w:color="000000" w:fill="969696"/>
            <w:noWrap/>
            <w:vAlign w:val="bottom"/>
            <w:hideMark/>
          </w:tcPr>
          <w:p w14:paraId="6501CD25" w14:textId="614E734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969696"/>
            <w:noWrap/>
            <w:vAlign w:val="bottom"/>
            <w:hideMark/>
          </w:tcPr>
          <w:p w14:paraId="1127FB0E" w14:textId="19A9BD9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969696"/>
            <w:noWrap/>
            <w:vAlign w:val="bottom"/>
            <w:hideMark/>
          </w:tcPr>
          <w:p w14:paraId="45D7102B" w14:textId="1FDA3BC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969696"/>
            <w:noWrap/>
            <w:vAlign w:val="bottom"/>
            <w:hideMark/>
          </w:tcPr>
          <w:p w14:paraId="6694116B" w14:textId="1234A59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969696"/>
            <w:noWrap/>
            <w:vAlign w:val="bottom"/>
            <w:hideMark/>
          </w:tcPr>
          <w:p w14:paraId="596D20DE" w14:textId="08C1CA0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969696"/>
            <w:vAlign w:val="bottom"/>
          </w:tcPr>
          <w:p w14:paraId="4A92CD2C" w14:textId="0D705A8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A5BE88C"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7DA7897"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International bunkers</w:t>
            </w:r>
          </w:p>
        </w:tc>
        <w:tc>
          <w:tcPr>
            <w:tcW w:w="1264" w:type="dxa"/>
            <w:tcBorders>
              <w:top w:val="nil"/>
              <w:left w:val="nil"/>
              <w:bottom w:val="single" w:sz="4" w:space="0" w:color="auto"/>
              <w:right w:val="single" w:sz="4" w:space="0" w:color="auto"/>
            </w:tcBorders>
            <w:shd w:val="clear" w:color="000000" w:fill="CCFFFF"/>
            <w:noWrap/>
            <w:vAlign w:val="bottom"/>
            <w:hideMark/>
          </w:tcPr>
          <w:p w14:paraId="535103DC" w14:textId="2A4D49FA" w:rsidR="00543241" w:rsidRPr="000D1437" w:rsidRDefault="00543241" w:rsidP="00543241">
            <w:pPr>
              <w:jc w:val="right"/>
              <w:rPr>
                <w:rFonts w:ascii="Times New Roman" w:hAnsi="Times New Roman"/>
                <w:sz w:val="14"/>
                <w:szCs w:val="14"/>
              </w:rPr>
            </w:pPr>
            <w:r w:rsidRPr="000D1437">
              <w:rPr>
                <w:sz w:val="14"/>
                <w:szCs w:val="14"/>
              </w:rPr>
              <w:t>26600,45</w:t>
            </w:r>
          </w:p>
        </w:tc>
        <w:tc>
          <w:tcPr>
            <w:tcW w:w="1278" w:type="dxa"/>
            <w:tcBorders>
              <w:top w:val="nil"/>
              <w:left w:val="nil"/>
              <w:bottom w:val="single" w:sz="4" w:space="0" w:color="auto"/>
              <w:right w:val="single" w:sz="4" w:space="0" w:color="auto"/>
            </w:tcBorders>
            <w:shd w:val="clear" w:color="000000" w:fill="CCFFFF"/>
            <w:noWrap/>
            <w:vAlign w:val="bottom"/>
            <w:hideMark/>
          </w:tcPr>
          <w:p w14:paraId="660DE1F1" w14:textId="721BD55B" w:rsidR="00543241" w:rsidRPr="000D1437" w:rsidRDefault="00543241" w:rsidP="00543241">
            <w:pPr>
              <w:jc w:val="right"/>
              <w:rPr>
                <w:rFonts w:ascii="Times New Roman" w:hAnsi="Times New Roman"/>
                <w:sz w:val="14"/>
                <w:szCs w:val="14"/>
              </w:rPr>
            </w:pPr>
            <w:r w:rsidRPr="000D1437">
              <w:rPr>
                <w:sz w:val="14"/>
                <w:szCs w:val="14"/>
              </w:rPr>
              <w:t>25601,13</w:t>
            </w:r>
          </w:p>
        </w:tc>
        <w:tc>
          <w:tcPr>
            <w:tcW w:w="1278" w:type="dxa"/>
            <w:tcBorders>
              <w:top w:val="nil"/>
              <w:left w:val="nil"/>
              <w:bottom w:val="single" w:sz="4" w:space="0" w:color="auto"/>
              <w:right w:val="single" w:sz="4" w:space="0" w:color="auto"/>
            </w:tcBorders>
            <w:shd w:val="clear" w:color="000000" w:fill="CCFFFF"/>
            <w:noWrap/>
            <w:vAlign w:val="bottom"/>
            <w:hideMark/>
          </w:tcPr>
          <w:p w14:paraId="3DA1BE48" w14:textId="30D50696" w:rsidR="00543241" w:rsidRPr="000D1437" w:rsidRDefault="00543241" w:rsidP="00543241">
            <w:pPr>
              <w:jc w:val="right"/>
              <w:rPr>
                <w:rFonts w:ascii="Times New Roman" w:hAnsi="Times New Roman"/>
                <w:sz w:val="14"/>
                <w:szCs w:val="14"/>
              </w:rPr>
            </w:pPr>
            <w:r w:rsidRPr="000D1437">
              <w:rPr>
                <w:sz w:val="14"/>
                <w:szCs w:val="14"/>
              </w:rPr>
              <w:t>24174,31</w:t>
            </w:r>
          </w:p>
        </w:tc>
        <w:tc>
          <w:tcPr>
            <w:tcW w:w="1278" w:type="dxa"/>
            <w:tcBorders>
              <w:top w:val="nil"/>
              <w:left w:val="nil"/>
              <w:bottom w:val="single" w:sz="4" w:space="0" w:color="auto"/>
              <w:right w:val="single" w:sz="4" w:space="0" w:color="auto"/>
            </w:tcBorders>
            <w:shd w:val="clear" w:color="000000" w:fill="CCFFFF"/>
            <w:noWrap/>
            <w:vAlign w:val="bottom"/>
            <w:hideMark/>
          </w:tcPr>
          <w:p w14:paraId="010DA0EF" w14:textId="776A6C26" w:rsidR="00543241" w:rsidRPr="000D1437" w:rsidRDefault="00543241" w:rsidP="00543241">
            <w:pPr>
              <w:jc w:val="right"/>
              <w:rPr>
                <w:rFonts w:ascii="Times New Roman" w:hAnsi="Times New Roman"/>
                <w:sz w:val="14"/>
                <w:szCs w:val="14"/>
              </w:rPr>
            </w:pPr>
            <w:r w:rsidRPr="000D1437">
              <w:rPr>
                <w:sz w:val="14"/>
                <w:szCs w:val="14"/>
              </w:rPr>
              <w:t>24015,78</w:t>
            </w:r>
          </w:p>
        </w:tc>
        <w:tc>
          <w:tcPr>
            <w:tcW w:w="1278" w:type="dxa"/>
            <w:tcBorders>
              <w:top w:val="nil"/>
              <w:left w:val="nil"/>
              <w:bottom w:val="single" w:sz="4" w:space="0" w:color="auto"/>
              <w:right w:val="single" w:sz="4" w:space="0" w:color="auto"/>
            </w:tcBorders>
            <w:shd w:val="clear" w:color="000000" w:fill="CCFFFF"/>
            <w:noWrap/>
            <w:vAlign w:val="bottom"/>
            <w:hideMark/>
          </w:tcPr>
          <w:p w14:paraId="02E39CF6" w14:textId="48C3EED5" w:rsidR="00543241" w:rsidRPr="000D1437" w:rsidRDefault="00543241" w:rsidP="00543241">
            <w:pPr>
              <w:jc w:val="right"/>
              <w:rPr>
                <w:rFonts w:ascii="Times New Roman" w:hAnsi="Times New Roman"/>
                <w:sz w:val="14"/>
                <w:szCs w:val="14"/>
              </w:rPr>
            </w:pPr>
            <w:r w:rsidRPr="000D1437">
              <w:rPr>
                <w:sz w:val="14"/>
                <w:szCs w:val="14"/>
              </w:rPr>
              <w:t>25417,86</w:t>
            </w:r>
          </w:p>
        </w:tc>
        <w:tc>
          <w:tcPr>
            <w:tcW w:w="1262" w:type="dxa"/>
            <w:tcBorders>
              <w:top w:val="nil"/>
              <w:left w:val="nil"/>
              <w:bottom w:val="single" w:sz="4" w:space="0" w:color="auto"/>
              <w:right w:val="single" w:sz="4" w:space="0" w:color="auto"/>
            </w:tcBorders>
            <w:shd w:val="clear" w:color="000000" w:fill="CCFFFF"/>
            <w:vAlign w:val="bottom"/>
          </w:tcPr>
          <w:p w14:paraId="71093C51" w14:textId="1FAE3321" w:rsidR="00543241" w:rsidRPr="000D1437" w:rsidRDefault="00543241" w:rsidP="00543241">
            <w:pPr>
              <w:jc w:val="right"/>
              <w:rPr>
                <w:rFonts w:ascii="Times New Roman" w:hAnsi="Times New Roman"/>
                <w:sz w:val="14"/>
                <w:szCs w:val="14"/>
              </w:rPr>
            </w:pPr>
            <w:r w:rsidRPr="000D1437">
              <w:rPr>
                <w:sz w:val="14"/>
                <w:szCs w:val="14"/>
              </w:rPr>
              <w:t>24535,81</w:t>
            </w:r>
          </w:p>
        </w:tc>
      </w:tr>
      <w:tr w:rsidR="00543241" w:rsidRPr="00364545" w14:paraId="2BA48A57"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2F50A6C"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Aviation</w:t>
            </w:r>
          </w:p>
        </w:tc>
        <w:tc>
          <w:tcPr>
            <w:tcW w:w="1264" w:type="dxa"/>
            <w:tcBorders>
              <w:top w:val="nil"/>
              <w:left w:val="nil"/>
              <w:bottom w:val="single" w:sz="4" w:space="0" w:color="auto"/>
              <w:right w:val="single" w:sz="4" w:space="0" w:color="auto"/>
            </w:tcBorders>
            <w:shd w:val="clear" w:color="000000" w:fill="FFFFFF"/>
            <w:noWrap/>
            <w:vAlign w:val="bottom"/>
            <w:hideMark/>
          </w:tcPr>
          <w:p w14:paraId="0D9D7042" w14:textId="78EC32FB" w:rsidR="00543241" w:rsidRPr="000D1437" w:rsidRDefault="00543241" w:rsidP="00543241">
            <w:pPr>
              <w:jc w:val="right"/>
              <w:rPr>
                <w:rFonts w:ascii="Times New Roman" w:hAnsi="Times New Roman"/>
                <w:sz w:val="14"/>
                <w:szCs w:val="14"/>
              </w:rPr>
            </w:pPr>
            <w:r w:rsidRPr="000D1437">
              <w:rPr>
                <w:sz w:val="14"/>
                <w:szCs w:val="14"/>
              </w:rPr>
              <w:t>17226,67</w:t>
            </w:r>
          </w:p>
        </w:tc>
        <w:tc>
          <w:tcPr>
            <w:tcW w:w="1278" w:type="dxa"/>
            <w:tcBorders>
              <w:top w:val="nil"/>
              <w:left w:val="nil"/>
              <w:bottom w:val="single" w:sz="4" w:space="0" w:color="auto"/>
              <w:right w:val="single" w:sz="4" w:space="0" w:color="auto"/>
            </w:tcBorders>
            <w:shd w:val="clear" w:color="000000" w:fill="FFFFFF"/>
            <w:noWrap/>
            <w:vAlign w:val="bottom"/>
            <w:hideMark/>
          </w:tcPr>
          <w:p w14:paraId="6BE84F18" w14:textId="186CB7A7" w:rsidR="00543241" w:rsidRPr="000D1437" w:rsidRDefault="00543241" w:rsidP="00543241">
            <w:pPr>
              <w:jc w:val="right"/>
              <w:rPr>
                <w:rFonts w:ascii="Times New Roman" w:hAnsi="Times New Roman"/>
                <w:sz w:val="14"/>
                <w:szCs w:val="14"/>
              </w:rPr>
            </w:pPr>
            <w:r w:rsidRPr="000D1437">
              <w:rPr>
                <w:sz w:val="14"/>
                <w:szCs w:val="14"/>
              </w:rPr>
              <w:t>17438,77</w:t>
            </w:r>
          </w:p>
        </w:tc>
        <w:tc>
          <w:tcPr>
            <w:tcW w:w="1278" w:type="dxa"/>
            <w:tcBorders>
              <w:top w:val="nil"/>
              <w:left w:val="nil"/>
              <w:bottom w:val="single" w:sz="4" w:space="0" w:color="auto"/>
              <w:right w:val="single" w:sz="4" w:space="0" w:color="auto"/>
            </w:tcBorders>
            <w:shd w:val="clear" w:color="000000" w:fill="FFFFFF"/>
            <w:noWrap/>
            <w:vAlign w:val="bottom"/>
            <w:hideMark/>
          </w:tcPr>
          <w:p w14:paraId="4A2F48A0" w14:textId="1DCE4DDF" w:rsidR="00543241" w:rsidRPr="000D1437" w:rsidRDefault="00543241" w:rsidP="00543241">
            <w:pPr>
              <w:jc w:val="right"/>
              <w:rPr>
                <w:rFonts w:ascii="Times New Roman" w:hAnsi="Times New Roman"/>
                <w:sz w:val="14"/>
                <w:szCs w:val="14"/>
              </w:rPr>
            </w:pPr>
            <w:r w:rsidRPr="000D1437">
              <w:rPr>
                <w:sz w:val="14"/>
                <w:szCs w:val="14"/>
              </w:rPr>
              <w:t>16017,49</w:t>
            </w:r>
          </w:p>
        </w:tc>
        <w:tc>
          <w:tcPr>
            <w:tcW w:w="1278" w:type="dxa"/>
            <w:tcBorders>
              <w:top w:val="nil"/>
              <w:left w:val="nil"/>
              <w:bottom w:val="single" w:sz="4" w:space="0" w:color="auto"/>
              <w:right w:val="single" w:sz="4" w:space="0" w:color="auto"/>
            </w:tcBorders>
            <w:shd w:val="clear" w:color="000000" w:fill="FFFFFF"/>
            <w:noWrap/>
            <w:vAlign w:val="bottom"/>
            <w:hideMark/>
          </w:tcPr>
          <w:p w14:paraId="1301F42D" w14:textId="0E8E3370" w:rsidR="00543241" w:rsidRPr="000D1437" w:rsidRDefault="00543241" w:rsidP="00543241">
            <w:pPr>
              <w:jc w:val="right"/>
              <w:rPr>
                <w:rFonts w:ascii="Times New Roman" w:hAnsi="Times New Roman"/>
                <w:sz w:val="14"/>
                <w:szCs w:val="14"/>
              </w:rPr>
            </w:pPr>
            <w:r w:rsidRPr="000D1437">
              <w:rPr>
                <w:sz w:val="14"/>
                <w:szCs w:val="14"/>
              </w:rPr>
              <w:t>16094,56</w:t>
            </w:r>
          </w:p>
        </w:tc>
        <w:tc>
          <w:tcPr>
            <w:tcW w:w="1278" w:type="dxa"/>
            <w:tcBorders>
              <w:top w:val="nil"/>
              <w:left w:val="nil"/>
              <w:bottom w:val="single" w:sz="4" w:space="0" w:color="auto"/>
              <w:right w:val="single" w:sz="4" w:space="0" w:color="auto"/>
            </w:tcBorders>
            <w:shd w:val="clear" w:color="000000" w:fill="FFFFFF"/>
            <w:noWrap/>
            <w:vAlign w:val="bottom"/>
            <w:hideMark/>
          </w:tcPr>
          <w:p w14:paraId="4D0111DA" w14:textId="005817D9" w:rsidR="00543241" w:rsidRPr="000D1437" w:rsidRDefault="00543241" w:rsidP="00543241">
            <w:pPr>
              <w:jc w:val="right"/>
              <w:rPr>
                <w:rFonts w:ascii="Times New Roman" w:hAnsi="Times New Roman"/>
                <w:sz w:val="14"/>
                <w:szCs w:val="14"/>
              </w:rPr>
            </w:pPr>
            <w:r w:rsidRPr="000D1437">
              <w:rPr>
                <w:sz w:val="14"/>
                <w:szCs w:val="14"/>
              </w:rPr>
              <w:t>16932,38</w:t>
            </w:r>
          </w:p>
        </w:tc>
        <w:tc>
          <w:tcPr>
            <w:tcW w:w="1262" w:type="dxa"/>
            <w:tcBorders>
              <w:top w:val="nil"/>
              <w:left w:val="nil"/>
              <w:bottom w:val="single" w:sz="4" w:space="0" w:color="auto"/>
              <w:right w:val="single" w:sz="4" w:space="0" w:color="auto"/>
            </w:tcBorders>
            <w:shd w:val="clear" w:color="000000" w:fill="FFFFFF"/>
            <w:vAlign w:val="bottom"/>
          </w:tcPr>
          <w:p w14:paraId="3D16B82E" w14:textId="4E97903C" w:rsidR="00543241" w:rsidRPr="000D1437" w:rsidRDefault="00543241" w:rsidP="00543241">
            <w:pPr>
              <w:jc w:val="right"/>
              <w:rPr>
                <w:rFonts w:ascii="Times New Roman" w:hAnsi="Times New Roman"/>
                <w:sz w:val="14"/>
                <w:szCs w:val="14"/>
              </w:rPr>
            </w:pPr>
            <w:r w:rsidRPr="000D1437">
              <w:rPr>
                <w:sz w:val="14"/>
                <w:szCs w:val="14"/>
              </w:rPr>
              <w:t>16517,77</w:t>
            </w:r>
          </w:p>
        </w:tc>
      </w:tr>
      <w:tr w:rsidR="00543241" w:rsidRPr="00364545" w14:paraId="2D13F16D"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25BE5F9"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Navigation</w:t>
            </w:r>
          </w:p>
        </w:tc>
        <w:tc>
          <w:tcPr>
            <w:tcW w:w="1264" w:type="dxa"/>
            <w:tcBorders>
              <w:top w:val="nil"/>
              <w:left w:val="nil"/>
              <w:bottom w:val="single" w:sz="4" w:space="0" w:color="auto"/>
              <w:right w:val="single" w:sz="4" w:space="0" w:color="auto"/>
            </w:tcBorders>
            <w:shd w:val="clear" w:color="000000" w:fill="FFFFFF"/>
            <w:noWrap/>
            <w:vAlign w:val="bottom"/>
            <w:hideMark/>
          </w:tcPr>
          <w:p w14:paraId="7A926E66" w14:textId="278534AD" w:rsidR="00543241" w:rsidRPr="000D1437" w:rsidRDefault="00543241" w:rsidP="00543241">
            <w:pPr>
              <w:jc w:val="right"/>
              <w:rPr>
                <w:rFonts w:ascii="Times New Roman" w:hAnsi="Times New Roman"/>
                <w:sz w:val="14"/>
                <w:szCs w:val="14"/>
              </w:rPr>
            </w:pPr>
            <w:r w:rsidRPr="000D1437">
              <w:rPr>
                <w:sz w:val="14"/>
                <w:szCs w:val="14"/>
              </w:rPr>
              <w:t>9373,78</w:t>
            </w:r>
          </w:p>
        </w:tc>
        <w:tc>
          <w:tcPr>
            <w:tcW w:w="1278" w:type="dxa"/>
            <w:tcBorders>
              <w:top w:val="nil"/>
              <w:left w:val="nil"/>
              <w:bottom w:val="single" w:sz="4" w:space="0" w:color="auto"/>
              <w:right w:val="single" w:sz="4" w:space="0" w:color="auto"/>
            </w:tcBorders>
            <w:shd w:val="clear" w:color="000000" w:fill="FFFFFF"/>
            <w:noWrap/>
            <w:vAlign w:val="bottom"/>
            <w:hideMark/>
          </w:tcPr>
          <w:p w14:paraId="5EA2434D" w14:textId="3C42A1C5" w:rsidR="00543241" w:rsidRPr="000D1437" w:rsidRDefault="00543241" w:rsidP="00543241">
            <w:pPr>
              <w:jc w:val="right"/>
              <w:rPr>
                <w:rFonts w:ascii="Times New Roman" w:hAnsi="Times New Roman"/>
                <w:sz w:val="14"/>
                <w:szCs w:val="14"/>
              </w:rPr>
            </w:pPr>
            <w:r w:rsidRPr="000D1437">
              <w:rPr>
                <w:sz w:val="14"/>
                <w:szCs w:val="14"/>
              </w:rPr>
              <w:t>8162,36</w:t>
            </w:r>
          </w:p>
        </w:tc>
        <w:tc>
          <w:tcPr>
            <w:tcW w:w="1278" w:type="dxa"/>
            <w:tcBorders>
              <w:top w:val="nil"/>
              <w:left w:val="nil"/>
              <w:bottom w:val="single" w:sz="4" w:space="0" w:color="auto"/>
              <w:right w:val="single" w:sz="4" w:space="0" w:color="auto"/>
            </w:tcBorders>
            <w:shd w:val="clear" w:color="000000" w:fill="FFFFFF"/>
            <w:noWrap/>
            <w:vAlign w:val="bottom"/>
            <w:hideMark/>
          </w:tcPr>
          <w:p w14:paraId="11FCD1BE" w14:textId="6344E2FF" w:rsidR="00543241" w:rsidRPr="000D1437" w:rsidRDefault="00543241" w:rsidP="00543241">
            <w:pPr>
              <w:jc w:val="right"/>
              <w:rPr>
                <w:rFonts w:ascii="Times New Roman" w:hAnsi="Times New Roman"/>
                <w:sz w:val="14"/>
                <w:szCs w:val="14"/>
              </w:rPr>
            </w:pPr>
            <w:r w:rsidRPr="000D1437">
              <w:rPr>
                <w:sz w:val="14"/>
                <w:szCs w:val="14"/>
              </w:rPr>
              <w:t>8156,82</w:t>
            </w:r>
          </w:p>
        </w:tc>
        <w:tc>
          <w:tcPr>
            <w:tcW w:w="1278" w:type="dxa"/>
            <w:tcBorders>
              <w:top w:val="nil"/>
              <w:left w:val="nil"/>
              <w:bottom w:val="single" w:sz="4" w:space="0" w:color="auto"/>
              <w:right w:val="single" w:sz="4" w:space="0" w:color="auto"/>
            </w:tcBorders>
            <w:shd w:val="clear" w:color="000000" w:fill="FFFFFF"/>
            <w:noWrap/>
            <w:vAlign w:val="bottom"/>
            <w:hideMark/>
          </w:tcPr>
          <w:p w14:paraId="2B0727AA" w14:textId="64C54812" w:rsidR="00543241" w:rsidRPr="000D1437" w:rsidRDefault="00543241" w:rsidP="00543241">
            <w:pPr>
              <w:jc w:val="right"/>
              <w:rPr>
                <w:rFonts w:ascii="Times New Roman" w:hAnsi="Times New Roman"/>
                <w:sz w:val="14"/>
                <w:szCs w:val="14"/>
              </w:rPr>
            </w:pPr>
            <w:r w:rsidRPr="000D1437">
              <w:rPr>
                <w:sz w:val="14"/>
                <w:szCs w:val="14"/>
              </w:rPr>
              <w:t>7921,23</w:t>
            </w:r>
          </w:p>
        </w:tc>
        <w:tc>
          <w:tcPr>
            <w:tcW w:w="1278" w:type="dxa"/>
            <w:tcBorders>
              <w:top w:val="nil"/>
              <w:left w:val="nil"/>
              <w:bottom w:val="single" w:sz="4" w:space="0" w:color="auto"/>
              <w:right w:val="single" w:sz="4" w:space="0" w:color="auto"/>
            </w:tcBorders>
            <w:shd w:val="clear" w:color="000000" w:fill="FFFFFF"/>
            <w:noWrap/>
            <w:vAlign w:val="bottom"/>
            <w:hideMark/>
          </w:tcPr>
          <w:p w14:paraId="4C895CBB" w14:textId="7F6AC8E8" w:rsidR="00543241" w:rsidRPr="000D1437" w:rsidRDefault="00543241" w:rsidP="00543241">
            <w:pPr>
              <w:jc w:val="right"/>
              <w:rPr>
                <w:rFonts w:ascii="Times New Roman" w:hAnsi="Times New Roman"/>
                <w:sz w:val="14"/>
                <w:szCs w:val="14"/>
              </w:rPr>
            </w:pPr>
            <w:r w:rsidRPr="000D1437">
              <w:rPr>
                <w:sz w:val="14"/>
                <w:szCs w:val="14"/>
              </w:rPr>
              <w:t>8485,47</w:t>
            </w:r>
          </w:p>
        </w:tc>
        <w:tc>
          <w:tcPr>
            <w:tcW w:w="1262" w:type="dxa"/>
            <w:tcBorders>
              <w:top w:val="nil"/>
              <w:left w:val="nil"/>
              <w:bottom w:val="single" w:sz="4" w:space="0" w:color="auto"/>
              <w:right w:val="single" w:sz="4" w:space="0" w:color="auto"/>
            </w:tcBorders>
            <w:shd w:val="clear" w:color="000000" w:fill="FFFFFF"/>
            <w:vAlign w:val="bottom"/>
          </w:tcPr>
          <w:p w14:paraId="4CB73FB5" w14:textId="3EAA5B7A" w:rsidR="00543241" w:rsidRPr="000D1437" w:rsidRDefault="00543241" w:rsidP="00543241">
            <w:pPr>
              <w:jc w:val="right"/>
              <w:rPr>
                <w:rFonts w:ascii="Times New Roman" w:hAnsi="Times New Roman"/>
                <w:sz w:val="14"/>
                <w:szCs w:val="14"/>
              </w:rPr>
            </w:pPr>
            <w:r w:rsidRPr="000D1437">
              <w:rPr>
                <w:sz w:val="14"/>
                <w:szCs w:val="14"/>
              </w:rPr>
              <w:t>8018,04</w:t>
            </w:r>
          </w:p>
        </w:tc>
      </w:tr>
      <w:tr w:rsidR="00543241" w:rsidRPr="00364545" w14:paraId="5FC88EB8"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121A0EF"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Multilateral operations</w:t>
            </w:r>
          </w:p>
        </w:tc>
        <w:tc>
          <w:tcPr>
            <w:tcW w:w="1264" w:type="dxa"/>
            <w:tcBorders>
              <w:top w:val="nil"/>
              <w:left w:val="nil"/>
              <w:bottom w:val="single" w:sz="4" w:space="0" w:color="auto"/>
              <w:right w:val="single" w:sz="4" w:space="0" w:color="auto"/>
            </w:tcBorders>
            <w:shd w:val="clear" w:color="000000" w:fill="FFFFFF"/>
            <w:noWrap/>
            <w:vAlign w:val="bottom"/>
            <w:hideMark/>
          </w:tcPr>
          <w:p w14:paraId="3227F5D3" w14:textId="28842014" w:rsidR="00543241" w:rsidRPr="000D1437" w:rsidRDefault="00543241" w:rsidP="00543241">
            <w:pPr>
              <w:jc w:val="right"/>
              <w:rPr>
                <w:rFonts w:ascii="Times New Roman" w:hAnsi="Times New Roman"/>
                <w:sz w:val="14"/>
                <w:szCs w:val="14"/>
              </w:rPr>
            </w:pPr>
            <w:r w:rsidRPr="000D1437">
              <w:rPr>
                <w:sz w:val="14"/>
                <w:szCs w:val="14"/>
              </w:rPr>
              <w:t>1,28</w:t>
            </w:r>
          </w:p>
        </w:tc>
        <w:tc>
          <w:tcPr>
            <w:tcW w:w="1278" w:type="dxa"/>
            <w:tcBorders>
              <w:top w:val="nil"/>
              <w:left w:val="nil"/>
              <w:bottom w:val="single" w:sz="4" w:space="0" w:color="auto"/>
              <w:right w:val="single" w:sz="4" w:space="0" w:color="auto"/>
            </w:tcBorders>
            <w:shd w:val="clear" w:color="000000" w:fill="FFFFFF"/>
            <w:noWrap/>
            <w:vAlign w:val="bottom"/>
            <w:hideMark/>
          </w:tcPr>
          <w:p w14:paraId="420E6303" w14:textId="6FCF610D" w:rsidR="00543241" w:rsidRPr="000D1437" w:rsidRDefault="00543241" w:rsidP="00543241">
            <w:pPr>
              <w:jc w:val="right"/>
              <w:rPr>
                <w:rFonts w:ascii="Times New Roman" w:hAnsi="Times New Roman"/>
                <w:sz w:val="14"/>
                <w:szCs w:val="14"/>
              </w:rPr>
            </w:pPr>
            <w:r w:rsidRPr="000D1437">
              <w:rPr>
                <w:sz w:val="14"/>
                <w:szCs w:val="14"/>
              </w:rPr>
              <w:t>1,28</w:t>
            </w:r>
          </w:p>
        </w:tc>
        <w:tc>
          <w:tcPr>
            <w:tcW w:w="1278" w:type="dxa"/>
            <w:tcBorders>
              <w:top w:val="nil"/>
              <w:left w:val="nil"/>
              <w:bottom w:val="single" w:sz="4" w:space="0" w:color="auto"/>
              <w:right w:val="single" w:sz="4" w:space="0" w:color="auto"/>
            </w:tcBorders>
            <w:shd w:val="clear" w:color="000000" w:fill="FFFFFF"/>
            <w:noWrap/>
            <w:vAlign w:val="bottom"/>
            <w:hideMark/>
          </w:tcPr>
          <w:p w14:paraId="3CF94F3E" w14:textId="01CB1C00" w:rsidR="00543241" w:rsidRPr="000D1437" w:rsidRDefault="00543241" w:rsidP="00543241">
            <w:pPr>
              <w:jc w:val="right"/>
              <w:rPr>
                <w:rFonts w:ascii="Times New Roman" w:hAnsi="Times New Roman"/>
                <w:sz w:val="14"/>
                <w:szCs w:val="14"/>
              </w:rPr>
            </w:pPr>
            <w:r w:rsidRPr="000D1437">
              <w:rPr>
                <w:sz w:val="14"/>
                <w:szCs w:val="14"/>
              </w:rPr>
              <w:t>1,50</w:t>
            </w:r>
          </w:p>
        </w:tc>
        <w:tc>
          <w:tcPr>
            <w:tcW w:w="1278" w:type="dxa"/>
            <w:tcBorders>
              <w:top w:val="nil"/>
              <w:left w:val="nil"/>
              <w:bottom w:val="single" w:sz="4" w:space="0" w:color="auto"/>
              <w:right w:val="single" w:sz="4" w:space="0" w:color="auto"/>
            </w:tcBorders>
            <w:shd w:val="clear" w:color="000000" w:fill="FFFFFF"/>
            <w:noWrap/>
            <w:vAlign w:val="bottom"/>
            <w:hideMark/>
          </w:tcPr>
          <w:p w14:paraId="4361DF9B" w14:textId="67FDCB3E" w:rsidR="00543241" w:rsidRPr="000D1437" w:rsidRDefault="00543241" w:rsidP="00543241">
            <w:pPr>
              <w:jc w:val="right"/>
              <w:rPr>
                <w:rFonts w:ascii="Times New Roman" w:hAnsi="Times New Roman"/>
                <w:sz w:val="14"/>
                <w:szCs w:val="14"/>
              </w:rPr>
            </w:pPr>
            <w:r w:rsidRPr="000D1437">
              <w:rPr>
                <w:sz w:val="14"/>
                <w:szCs w:val="14"/>
              </w:rPr>
              <w:t>1,28</w:t>
            </w:r>
          </w:p>
        </w:tc>
        <w:tc>
          <w:tcPr>
            <w:tcW w:w="1278" w:type="dxa"/>
            <w:tcBorders>
              <w:top w:val="nil"/>
              <w:left w:val="nil"/>
              <w:bottom w:val="single" w:sz="4" w:space="0" w:color="auto"/>
              <w:right w:val="single" w:sz="4" w:space="0" w:color="auto"/>
            </w:tcBorders>
            <w:shd w:val="clear" w:color="000000" w:fill="FFFFFF"/>
            <w:noWrap/>
            <w:vAlign w:val="bottom"/>
            <w:hideMark/>
          </w:tcPr>
          <w:p w14:paraId="1CCC0E3C" w14:textId="0E6AFFEA" w:rsidR="00543241" w:rsidRPr="000D1437" w:rsidRDefault="00543241" w:rsidP="00543241">
            <w:pPr>
              <w:jc w:val="right"/>
              <w:rPr>
                <w:rFonts w:ascii="Times New Roman" w:hAnsi="Times New Roman"/>
                <w:sz w:val="14"/>
                <w:szCs w:val="14"/>
              </w:rPr>
            </w:pPr>
            <w:r w:rsidRPr="000D1437">
              <w:rPr>
                <w:sz w:val="14"/>
                <w:szCs w:val="14"/>
              </w:rPr>
              <w:t>1,22</w:t>
            </w:r>
          </w:p>
        </w:tc>
        <w:tc>
          <w:tcPr>
            <w:tcW w:w="1262" w:type="dxa"/>
            <w:tcBorders>
              <w:top w:val="nil"/>
              <w:left w:val="nil"/>
              <w:bottom w:val="single" w:sz="4" w:space="0" w:color="auto"/>
              <w:right w:val="single" w:sz="4" w:space="0" w:color="auto"/>
            </w:tcBorders>
            <w:shd w:val="clear" w:color="000000" w:fill="FFFFFF"/>
            <w:vAlign w:val="bottom"/>
          </w:tcPr>
          <w:p w14:paraId="5B4ACDDD" w14:textId="39E87E30" w:rsidR="00543241" w:rsidRPr="000D1437" w:rsidRDefault="00543241" w:rsidP="00543241">
            <w:pPr>
              <w:jc w:val="right"/>
              <w:rPr>
                <w:rFonts w:ascii="Times New Roman" w:hAnsi="Times New Roman"/>
                <w:sz w:val="14"/>
                <w:szCs w:val="14"/>
              </w:rPr>
            </w:pPr>
            <w:r w:rsidRPr="000D1437">
              <w:rPr>
                <w:sz w:val="14"/>
                <w:szCs w:val="14"/>
              </w:rPr>
              <w:t>1,70</w:t>
            </w:r>
          </w:p>
        </w:tc>
      </w:tr>
      <w:tr w:rsidR="00543241" w:rsidRPr="00364545" w14:paraId="16037BB2"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C181737" w14:textId="47DFC194"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264" w:type="dxa"/>
            <w:tcBorders>
              <w:top w:val="nil"/>
              <w:left w:val="nil"/>
              <w:bottom w:val="single" w:sz="4" w:space="0" w:color="auto"/>
              <w:right w:val="single" w:sz="4" w:space="0" w:color="auto"/>
            </w:tcBorders>
            <w:shd w:val="clear" w:color="000000" w:fill="FFFFFF"/>
            <w:noWrap/>
            <w:vAlign w:val="bottom"/>
            <w:hideMark/>
          </w:tcPr>
          <w:p w14:paraId="333F61D0" w14:textId="273DCA89" w:rsidR="00543241" w:rsidRPr="000D1437" w:rsidRDefault="00543241" w:rsidP="00543241">
            <w:pPr>
              <w:jc w:val="right"/>
              <w:rPr>
                <w:rFonts w:ascii="Times New Roman" w:hAnsi="Times New Roman"/>
                <w:sz w:val="14"/>
                <w:szCs w:val="14"/>
              </w:rPr>
            </w:pPr>
            <w:r w:rsidRPr="000D1437">
              <w:rPr>
                <w:sz w:val="14"/>
                <w:szCs w:val="14"/>
              </w:rPr>
              <w:t>47650,78</w:t>
            </w:r>
          </w:p>
        </w:tc>
        <w:tc>
          <w:tcPr>
            <w:tcW w:w="1278" w:type="dxa"/>
            <w:tcBorders>
              <w:top w:val="nil"/>
              <w:left w:val="nil"/>
              <w:bottom w:val="single" w:sz="4" w:space="0" w:color="auto"/>
              <w:right w:val="single" w:sz="4" w:space="0" w:color="auto"/>
            </w:tcBorders>
            <w:shd w:val="clear" w:color="000000" w:fill="FFFFFF"/>
            <w:noWrap/>
            <w:vAlign w:val="bottom"/>
            <w:hideMark/>
          </w:tcPr>
          <w:p w14:paraId="21983152" w14:textId="088FAE1C" w:rsidR="00543241" w:rsidRPr="000D1437" w:rsidRDefault="00543241" w:rsidP="00543241">
            <w:pPr>
              <w:jc w:val="right"/>
              <w:rPr>
                <w:rFonts w:ascii="Times New Roman" w:hAnsi="Times New Roman"/>
                <w:sz w:val="14"/>
                <w:szCs w:val="14"/>
              </w:rPr>
            </w:pPr>
            <w:r w:rsidRPr="000D1437">
              <w:rPr>
                <w:sz w:val="14"/>
                <w:szCs w:val="14"/>
              </w:rPr>
              <w:t>52346,51</w:t>
            </w:r>
          </w:p>
        </w:tc>
        <w:tc>
          <w:tcPr>
            <w:tcW w:w="1278" w:type="dxa"/>
            <w:tcBorders>
              <w:top w:val="nil"/>
              <w:left w:val="nil"/>
              <w:bottom w:val="single" w:sz="4" w:space="0" w:color="auto"/>
              <w:right w:val="single" w:sz="4" w:space="0" w:color="auto"/>
            </w:tcBorders>
            <w:shd w:val="clear" w:color="000000" w:fill="FFFFFF"/>
            <w:noWrap/>
            <w:vAlign w:val="bottom"/>
            <w:hideMark/>
          </w:tcPr>
          <w:p w14:paraId="66A8D893" w14:textId="0B170E77" w:rsidR="00543241" w:rsidRPr="000D1437" w:rsidRDefault="00543241" w:rsidP="00543241">
            <w:pPr>
              <w:jc w:val="right"/>
              <w:rPr>
                <w:rFonts w:ascii="Times New Roman" w:hAnsi="Times New Roman"/>
                <w:sz w:val="14"/>
                <w:szCs w:val="14"/>
              </w:rPr>
            </w:pPr>
            <w:r w:rsidRPr="000D1437">
              <w:rPr>
                <w:sz w:val="14"/>
                <w:szCs w:val="14"/>
              </w:rPr>
              <w:t>54159,76</w:t>
            </w:r>
          </w:p>
        </w:tc>
        <w:tc>
          <w:tcPr>
            <w:tcW w:w="1278" w:type="dxa"/>
            <w:tcBorders>
              <w:top w:val="nil"/>
              <w:left w:val="nil"/>
              <w:bottom w:val="single" w:sz="4" w:space="0" w:color="auto"/>
              <w:right w:val="single" w:sz="4" w:space="0" w:color="auto"/>
            </w:tcBorders>
            <w:shd w:val="clear" w:color="000000" w:fill="FFFFFF"/>
            <w:noWrap/>
            <w:vAlign w:val="bottom"/>
            <w:hideMark/>
          </w:tcPr>
          <w:p w14:paraId="76896BAC" w14:textId="0E9297BE" w:rsidR="00543241" w:rsidRPr="000D1437" w:rsidRDefault="00543241" w:rsidP="00543241">
            <w:pPr>
              <w:jc w:val="right"/>
              <w:rPr>
                <w:rFonts w:ascii="Times New Roman" w:hAnsi="Times New Roman"/>
                <w:sz w:val="14"/>
                <w:szCs w:val="14"/>
              </w:rPr>
            </w:pPr>
            <w:r w:rsidRPr="000D1437">
              <w:rPr>
                <w:sz w:val="14"/>
                <w:szCs w:val="14"/>
              </w:rPr>
              <w:t>59694,00</w:t>
            </w:r>
          </w:p>
        </w:tc>
        <w:tc>
          <w:tcPr>
            <w:tcW w:w="1278" w:type="dxa"/>
            <w:tcBorders>
              <w:top w:val="nil"/>
              <w:left w:val="nil"/>
              <w:bottom w:val="single" w:sz="4" w:space="0" w:color="auto"/>
              <w:right w:val="single" w:sz="4" w:space="0" w:color="auto"/>
            </w:tcBorders>
            <w:shd w:val="clear" w:color="000000" w:fill="FFFFFF"/>
            <w:noWrap/>
            <w:vAlign w:val="bottom"/>
            <w:hideMark/>
          </w:tcPr>
          <w:p w14:paraId="10F49162" w14:textId="28D40374" w:rsidR="00543241" w:rsidRPr="000D1437" w:rsidRDefault="00543241" w:rsidP="00543241">
            <w:pPr>
              <w:jc w:val="right"/>
              <w:rPr>
                <w:rFonts w:ascii="Times New Roman" w:hAnsi="Times New Roman"/>
                <w:sz w:val="14"/>
                <w:szCs w:val="14"/>
              </w:rPr>
            </w:pPr>
            <w:r w:rsidRPr="000D1437">
              <w:rPr>
                <w:sz w:val="14"/>
                <w:szCs w:val="14"/>
              </w:rPr>
              <w:t>52325,52</w:t>
            </w:r>
          </w:p>
        </w:tc>
        <w:tc>
          <w:tcPr>
            <w:tcW w:w="1262" w:type="dxa"/>
            <w:tcBorders>
              <w:top w:val="nil"/>
              <w:left w:val="nil"/>
              <w:bottom w:val="single" w:sz="4" w:space="0" w:color="auto"/>
              <w:right w:val="single" w:sz="4" w:space="0" w:color="auto"/>
            </w:tcBorders>
            <w:shd w:val="clear" w:color="000000" w:fill="FFFFFF"/>
            <w:vAlign w:val="bottom"/>
          </w:tcPr>
          <w:p w14:paraId="117A25A9" w14:textId="68955227" w:rsidR="00543241" w:rsidRPr="000D1437" w:rsidRDefault="00543241" w:rsidP="00543241">
            <w:pPr>
              <w:jc w:val="right"/>
              <w:rPr>
                <w:rFonts w:ascii="Times New Roman" w:hAnsi="Times New Roman"/>
                <w:sz w:val="14"/>
                <w:szCs w:val="14"/>
              </w:rPr>
            </w:pPr>
            <w:r w:rsidRPr="000D1437">
              <w:rPr>
                <w:sz w:val="14"/>
                <w:szCs w:val="14"/>
              </w:rPr>
              <w:t>57825,13</w:t>
            </w:r>
          </w:p>
        </w:tc>
      </w:tr>
      <w:tr w:rsidR="00543241" w:rsidRPr="00364545" w14:paraId="4206EEBB"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EAD1117" w14:textId="49BF9838"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264" w:type="dxa"/>
            <w:tcBorders>
              <w:top w:val="nil"/>
              <w:left w:val="nil"/>
              <w:bottom w:val="single" w:sz="4" w:space="0" w:color="auto"/>
              <w:right w:val="single" w:sz="4" w:space="0" w:color="auto"/>
            </w:tcBorders>
            <w:shd w:val="clear" w:color="000000" w:fill="FFFFFF"/>
            <w:noWrap/>
            <w:vAlign w:val="bottom"/>
            <w:hideMark/>
          </w:tcPr>
          <w:p w14:paraId="70756663" w14:textId="437D9A47"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62E5C54B" w14:textId="44947627"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23CECCA7" w14:textId="0E858047"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4F8DE68D" w14:textId="3296C98F" w:rsidR="00543241" w:rsidRPr="000D1437" w:rsidRDefault="00543241" w:rsidP="00543241">
            <w:pPr>
              <w:jc w:val="right"/>
              <w:rPr>
                <w:rFonts w:ascii="Times New Roman" w:hAnsi="Times New Roman"/>
                <w:sz w:val="14"/>
                <w:szCs w:val="14"/>
              </w:rPr>
            </w:pPr>
            <w:r w:rsidRPr="000D1437">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11D29ECB" w14:textId="5DBF3B67" w:rsidR="00543241" w:rsidRPr="000D1437" w:rsidRDefault="00543241" w:rsidP="00543241">
            <w:pPr>
              <w:jc w:val="right"/>
              <w:rPr>
                <w:rFonts w:ascii="Times New Roman" w:hAnsi="Times New Roman"/>
                <w:sz w:val="14"/>
                <w:szCs w:val="14"/>
              </w:rPr>
            </w:pPr>
            <w:r w:rsidRPr="000D1437">
              <w:rPr>
                <w:sz w:val="14"/>
                <w:szCs w:val="14"/>
              </w:rPr>
              <w:t>NO,NA</w:t>
            </w:r>
          </w:p>
        </w:tc>
        <w:tc>
          <w:tcPr>
            <w:tcW w:w="1262" w:type="dxa"/>
            <w:tcBorders>
              <w:top w:val="nil"/>
              <w:left w:val="nil"/>
              <w:bottom w:val="single" w:sz="4" w:space="0" w:color="auto"/>
              <w:right w:val="single" w:sz="4" w:space="0" w:color="auto"/>
            </w:tcBorders>
            <w:shd w:val="clear" w:color="000000" w:fill="FFFFFF"/>
            <w:vAlign w:val="bottom"/>
          </w:tcPr>
          <w:p w14:paraId="582296FB" w14:textId="0C56D110"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3DC2862E"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F0143B8"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264" w:type="dxa"/>
            <w:tcBorders>
              <w:top w:val="nil"/>
              <w:left w:val="nil"/>
              <w:bottom w:val="single" w:sz="4" w:space="0" w:color="auto"/>
              <w:right w:val="single" w:sz="4" w:space="0" w:color="auto"/>
            </w:tcBorders>
            <w:shd w:val="clear" w:color="000000" w:fill="FFFFFF"/>
            <w:noWrap/>
            <w:vAlign w:val="bottom"/>
            <w:hideMark/>
          </w:tcPr>
          <w:p w14:paraId="0E8F9DC6" w14:textId="799F02D7" w:rsidR="00543241" w:rsidRPr="000D1437" w:rsidRDefault="00543241" w:rsidP="00543241">
            <w:pPr>
              <w:jc w:val="right"/>
              <w:rPr>
                <w:rFonts w:ascii="Times New Roman" w:hAnsi="Times New Roman"/>
                <w:sz w:val="14"/>
                <w:szCs w:val="14"/>
              </w:rPr>
            </w:pPr>
            <w:r w:rsidRPr="000D1437">
              <w:rPr>
                <w:sz w:val="14"/>
                <w:szCs w:val="14"/>
              </w:rPr>
              <w:t>NE</w:t>
            </w:r>
          </w:p>
        </w:tc>
        <w:tc>
          <w:tcPr>
            <w:tcW w:w="1278" w:type="dxa"/>
            <w:tcBorders>
              <w:top w:val="nil"/>
              <w:left w:val="nil"/>
              <w:bottom w:val="single" w:sz="4" w:space="0" w:color="auto"/>
              <w:right w:val="single" w:sz="4" w:space="0" w:color="auto"/>
            </w:tcBorders>
            <w:shd w:val="clear" w:color="000000" w:fill="FFFFFF"/>
            <w:noWrap/>
            <w:vAlign w:val="bottom"/>
            <w:hideMark/>
          </w:tcPr>
          <w:p w14:paraId="36A463B0" w14:textId="643CDC80" w:rsidR="00543241" w:rsidRPr="000D1437" w:rsidRDefault="00543241" w:rsidP="00543241">
            <w:pPr>
              <w:jc w:val="right"/>
              <w:rPr>
                <w:rFonts w:ascii="Times New Roman" w:hAnsi="Times New Roman"/>
                <w:sz w:val="14"/>
                <w:szCs w:val="14"/>
              </w:rPr>
            </w:pPr>
            <w:r w:rsidRPr="000D1437">
              <w:rPr>
                <w:sz w:val="14"/>
                <w:szCs w:val="14"/>
              </w:rPr>
              <w:t>NE</w:t>
            </w:r>
          </w:p>
        </w:tc>
        <w:tc>
          <w:tcPr>
            <w:tcW w:w="1278" w:type="dxa"/>
            <w:tcBorders>
              <w:top w:val="nil"/>
              <w:left w:val="nil"/>
              <w:bottom w:val="single" w:sz="4" w:space="0" w:color="auto"/>
              <w:right w:val="single" w:sz="4" w:space="0" w:color="auto"/>
            </w:tcBorders>
            <w:shd w:val="clear" w:color="000000" w:fill="FFFFFF"/>
            <w:noWrap/>
            <w:vAlign w:val="bottom"/>
            <w:hideMark/>
          </w:tcPr>
          <w:p w14:paraId="5B911799" w14:textId="0DE41802" w:rsidR="00543241" w:rsidRPr="000D1437" w:rsidRDefault="00543241" w:rsidP="00543241">
            <w:pPr>
              <w:jc w:val="right"/>
              <w:rPr>
                <w:rFonts w:ascii="Times New Roman" w:hAnsi="Times New Roman"/>
                <w:sz w:val="14"/>
                <w:szCs w:val="14"/>
              </w:rPr>
            </w:pPr>
            <w:r w:rsidRPr="000D1437">
              <w:rPr>
                <w:sz w:val="14"/>
                <w:szCs w:val="14"/>
              </w:rPr>
              <w:t>NE</w:t>
            </w:r>
          </w:p>
        </w:tc>
        <w:tc>
          <w:tcPr>
            <w:tcW w:w="1278" w:type="dxa"/>
            <w:tcBorders>
              <w:top w:val="nil"/>
              <w:left w:val="nil"/>
              <w:bottom w:val="single" w:sz="4" w:space="0" w:color="auto"/>
              <w:right w:val="single" w:sz="4" w:space="0" w:color="auto"/>
            </w:tcBorders>
            <w:shd w:val="clear" w:color="000000" w:fill="FFFFFF"/>
            <w:noWrap/>
            <w:vAlign w:val="bottom"/>
            <w:hideMark/>
          </w:tcPr>
          <w:p w14:paraId="68433F6B" w14:textId="0279C1B9" w:rsidR="00543241" w:rsidRPr="000D1437" w:rsidRDefault="00543241" w:rsidP="00543241">
            <w:pPr>
              <w:jc w:val="right"/>
              <w:rPr>
                <w:rFonts w:ascii="Times New Roman" w:hAnsi="Times New Roman"/>
                <w:sz w:val="14"/>
                <w:szCs w:val="14"/>
              </w:rPr>
            </w:pPr>
            <w:r w:rsidRPr="000D1437">
              <w:rPr>
                <w:sz w:val="14"/>
                <w:szCs w:val="14"/>
              </w:rPr>
              <w:t>NE</w:t>
            </w:r>
          </w:p>
        </w:tc>
        <w:tc>
          <w:tcPr>
            <w:tcW w:w="1278" w:type="dxa"/>
            <w:tcBorders>
              <w:top w:val="nil"/>
              <w:left w:val="nil"/>
              <w:bottom w:val="single" w:sz="4" w:space="0" w:color="auto"/>
              <w:right w:val="single" w:sz="4" w:space="0" w:color="auto"/>
            </w:tcBorders>
            <w:shd w:val="clear" w:color="000000" w:fill="FFFFFF"/>
            <w:noWrap/>
            <w:vAlign w:val="bottom"/>
            <w:hideMark/>
          </w:tcPr>
          <w:p w14:paraId="76E4C8DB" w14:textId="14098424" w:rsidR="00543241" w:rsidRPr="000D1437" w:rsidRDefault="00543241" w:rsidP="00543241">
            <w:pPr>
              <w:jc w:val="right"/>
              <w:rPr>
                <w:rFonts w:ascii="Times New Roman" w:hAnsi="Times New Roman"/>
                <w:sz w:val="14"/>
                <w:szCs w:val="14"/>
              </w:rPr>
            </w:pPr>
            <w:r w:rsidRPr="000D1437">
              <w:rPr>
                <w:sz w:val="14"/>
                <w:szCs w:val="14"/>
              </w:rPr>
              <w:t>NE</w:t>
            </w:r>
          </w:p>
        </w:tc>
        <w:tc>
          <w:tcPr>
            <w:tcW w:w="1262" w:type="dxa"/>
            <w:tcBorders>
              <w:top w:val="nil"/>
              <w:left w:val="nil"/>
              <w:bottom w:val="single" w:sz="4" w:space="0" w:color="auto"/>
              <w:right w:val="single" w:sz="4" w:space="0" w:color="auto"/>
            </w:tcBorders>
            <w:shd w:val="clear" w:color="000000" w:fill="FFFFFF"/>
            <w:vAlign w:val="bottom"/>
          </w:tcPr>
          <w:p w14:paraId="41FA635C" w14:textId="4C1F19D1" w:rsidR="00543241" w:rsidRPr="000D1437" w:rsidRDefault="00543241" w:rsidP="00543241">
            <w:pPr>
              <w:jc w:val="right"/>
              <w:rPr>
                <w:rFonts w:ascii="Times New Roman" w:hAnsi="Times New Roman"/>
                <w:sz w:val="14"/>
                <w:szCs w:val="14"/>
              </w:rPr>
            </w:pPr>
            <w:r w:rsidRPr="000D1437">
              <w:rPr>
                <w:sz w:val="14"/>
                <w:szCs w:val="14"/>
              </w:rPr>
              <w:t>NE</w:t>
            </w:r>
          </w:p>
        </w:tc>
      </w:tr>
      <w:tr w:rsidR="00543241" w:rsidRPr="00364545" w14:paraId="34A0BEBF"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AA270AB" w14:textId="0409DFE0"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264" w:type="dxa"/>
            <w:tcBorders>
              <w:top w:val="nil"/>
              <w:left w:val="nil"/>
              <w:bottom w:val="single" w:sz="4" w:space="0" w:color="auto"/>
              <w:right w:val="single" w:sz="4" w:space="0" w:color="auto"/>
            </w:tcBorders>
            <w:shd w:val="clear" w:color="000000" w:fill="FFFFFF"/>
            <w:noWrap/>
            <w:vAlign w:val="bottom"/>
            <w:hideMark/>
          </w:tcPr>
          <w:p w14:paraId="74C947C7" w14:textId="602E555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68D3A091" w14:textId="6C8DED4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19C3BD82" w14:textId="1BD5DAB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0549EE1C" w14:textId="7633C73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00405F66" w14:textId="3B6D653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40987A83" w14:textId="6ECFB9E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6608778"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5C26E5F" w14:textId="5ECA9689"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264" w:type="dxa"/>
            <w:tcBorders>
              <w:top w:val="nil"/>
              <w:left w:val="nil"/>
              <w:bottom w:val="single" w:sz="4" w:space="0" w:color="auto"/>
              <w:right w:val="single" w:sz="4" w:space="0" w:color="auto"/>
            </w:tcBorders>
            <w:shd w:val="clear" w:color="000000" w:fill="FFFFFF"/>
            <w:noWrap/>
            <w:vAlign w:val="bottom"/>
            <w:hideMark/>
          </w:tcPr>
          <w:p w14:paraId="5F10E2D7" w14:textId="321AC59B" w:rsidR="00543241" w:rsidRPr="000D1437" w:rsidRDefault="00543241" w:rsidP="00543241">
            <w:pPr>
              <w:jc w:val="right"/>
              <w:rPr>
                <w:rFonts w:ascii="Times New Roman" w:hAnsi="Times New Roman"/>
                <w:sz w:val="14"/>
                <w:szCs w:val="14"/>
              </w:rPr>
            </w:pPr>
            <w:r w:rsidRPr="000D1437">
              <w:rPr>
                <w:sz w:val="14"/>
                <w:szCs w:val="14"/>
              </w:rPr>
              <w:t>NO,IE,NA</w:t>
            </w:r>
          </w:p>
        </w:tc>
        <w:tc>
          <w:tcPr>
            <w:tcW w:w="1278" w:type="dxa"/>
            <w:tcBorders>
              <w:top w:val="nil"/>
              <w:left w:val="nil"/>
              <w:bottom w:val="single" w:sz="4" w:space="0" w:color="auto"/>
              <w:right w:val="single" w:sz="4" w:space="0" w:color="auto"/>
            </w:tcBorders>
            <w:shd w:val="clear" w:color="000000" w:fill="FFFFFF"/>
            <w:noWrap/>
            <w:vAlign w:val="bottom"/>
            <w:hideMark/>
          </w:tcPr>
          <w:p w14:paraId="25DB3204" w14:textId="481B8F45" w:rsidR="00543241" w:rsidRPr="000D1437" w:rsidRDefault="00543241" w:rsidP="00543241">
            <w:pPr>
              <w:jc w:val="right"/>
              <w:rPr>
                <w:rFonts w:ascii="Times New Roman" w:hAnsi="Times New Roman"/>
                <w:sz w:val="14"/>
                <w:szCs w:val="14"/>
              </w:rPr>
            </w:pPr>
            <w:r w:rsidRPr="000D1437">
              <w:rPr>
                <w:sz w:val="14"/>
                <w:szCs w:val="14"/>
              </w:rPr>
              <w:t>NO,IE,NA</w:t>
            </w:r>
          </w:p>
        </w:tc>
        <w:tc>
          <w:tcPr>
            <w:tcW w:w="1278" w:type="dxa"/>
            <w:tcBorders>
              <w:top w:val="nil"/>
              <w:left w:val="nil"/>
              <w:bottom w:val="single" w:sz="4" w:space="0" w:color="auto"/>
              <w:right w:val="single" w:sz="4" w:space="0" w:color="auto"/>
            </w:tcBorders>
            <w:shd w:val="clear" w:color="000000" w:fill="FFFFFF"/>
            <w:noWrap/>
            <w:vAlign w:val="bottom"/>
            <w:hideMark/>
          </w:tcPr>
          <w:p w14:paraId="651A8A1C" w14:textId="64541A3D" w:rsidR="00543241" w:rsidRPr="000D1437" w:rsidRDefault="00543241" w:rsidP="00543241">
            <w:pPr>
              <w:jc w:val="right"/>
              <w:rPr>
                <w:rFonts w:ascii="Times New Roman" w:hAnsi="Times New Roman"/>
                <w:sz w:val="14"/>
                <w:szCs w:val="14"/>
              </w:rPr>
            </w:pPr>
            <w:r w:rsidRPr="000D1437">
              <w:rPr>
                <w:sz w:val="14"/>
                <w:szCs w:val="14"/>
              </w:rPr>
              <w:t>NO,IE,NA</w:t>
            </w:r>
          </w:p>
        </w:tc>
        <w:tc>
          <w:tcPr>
            <w:tcW w:w="1278" w:type="dxa"/>
            <w:tcBorders>
              <w:top w:val="nil"/>
              <w:left w:val="nil"/>
              <w:bottom w:val="single" w:sz="4" w:space="0" w:color="auto"/>
              <w:right w:val="single" w:sz="4" w:space="0" w:color="auto"/>
            </w:tcBorders>
            <w:shd w:val="clear" w:color="000000" w:fill="FFFFFF"/>
            <w:noWrap/>
            <w:vAlign w:val="bottom"/>
            <w:hideMark/>
          </w:tcPr>
          <w:p w14:paraId="46313906" w14:textId="097F7DA4" w:rsidR="00543241" w:rsidRPr="000D1437" w:rsidRDefault="00543241" w:rsidP="00543241">
            <w:pPr>
              <w:jc w:val="right"/>
              <w:rPr>
                <w:rFonts w:ascii="Times New Roman" w:hAnsi="Times New Roman"/>
                <w:sz w:val="14"/>
                <w:szCs w:val="14"/>
              </w:rPr>
            </w:pPr>
            <w:r w:rsidRPr="000D1437">
              <w:rPr>
                <w:sz w:val="14"/>
                <w:szCs w:val="14"/>
              </w:rPr>
              <w:t>NO,IE,NA</w:t>
            </w:r>
          </w:p>
        </w:tc>
        <w:tc>
          <w:tcPr>
            <w:tcW w:w="1278" w:type="dxa"/>
            <w:tcBorders>
              <w:top w:val="nil"/>
              <w:left w:val="nil"/>
              <w:bottom w:val="single" w:sz="4" w:space="0" w:color="auto"/>
              <w:right w:val="single" w:sz="4" w:space="0" w:color="auto"/>
            </w:tcBorders>
            <w:shd w:val="clear" w:color="000000" w:fill="FFFFFF"/>
            <w:noWrap/>
            <w:vAlign w:val="bottom"/>
            <w:hideMark/>
          </w:tcPr>
          <w:p w14:paraId="696587C0" w14:textId="7B03AA22" w:rsidR="00543241" w:rsidRPr="000D1437" w:rsidRDefault="00543241" w:rsidP="00543241">
            <w:pPr>
              <w:jc w:val="right"/>
              <w:rPr>
                <w:rFonts w:ascii="Times New Roman" w:hAnsi="Times New Roman"/>
                <w:sz w:val="14"/>
                <w:szCs w:val="14"/>
              </w:rPr>
            </w:pPr>
            <w:r w:rsidRPr="000D1437">
              <w:rPr>
                <w:sz w:val="14"/>
                <w:szCs w:val="14"/>
              </w:rPr>
              <w:t>NO,IE,NA</w:t>
            </w:r>
          </w:p>
        </w:tc>
        <w:tc>
          <w:tcPr>
            <w:tcW w:w="1262" w:type="dxa"/>
            <w:tcBorders>
              <w:top w:val="nil"/>
              <w:left w:val="nil"/>
              <w:bottom w:val="single" w:sz="4" w:space="0" w:color="auto"/>
              <w:right w:val="single" w:sz="4" w:space="0" w:color="auto"/>
            </w:tcBorders>
            <w:shd w:val="clear" w:color="000000" w:fill="FFFFFF"/>
            <w:vAlign w:val="bottom"/>
          </w:tcPr>
          <w:p w14:paraId="7715B227" w14:textId="56A2C4F9" w:rsidR="00543241" w:rsidRPr="000D1437" w:rsidRDefault="00543241" w:rsidP="00543241">
            <w:pPr>
              <w:jc w:val="right"/>
              <w:rPr>
                <w:rFonts w:ascii="Times New Roman" w:hAnsi="Times New Roman"/>
                <w:sz w:val="14"/>
                <w:szCs w:val="14"/>
              </w:rPr>
            </w:pPr>
            <w:r w:rsidRPr="000D1437">
              <w:rPr>
                <w:sz w:val="14"/>
                <w:szCs w:val="14"/>
              </w:rPr>
              <w:t>NO,IE,NA</w:t>
            </w:r>
          </w:p>
        </w:tc>
      </w:tr>
      <w:tr w:rsidR="00543241" w:rsidRPr="00364545" w14:paraId="06866117"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039BF78" w14:textId="51F3FB4B"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264" w:type="dxa"/>
            <w:tcBorders>
              <w:top w:val="nil"/>
              <w:left w:val="nil"/>
              <w:bottom w:val="single" w:sz="4" w:space="0" w:color="auto"/>
              <w:right w:val="single" w:sz="4" w:space="0" w:color="auto"/>
            </w:tcBorders>
            <w:shd w:val="clear" w:color="000000" w:fill="CCFFFF"/>
            <w:noWrap/>
            <w:vAlign w:val="bottom"/>
            <w:hideMark/>
          </w:tcPr>
          <w:p w14:paraId="12730CE7" w14:textId="3D6B7094" w:rsidR="00543241" w:rsidRPr="000D1437" w:rsidRDefault="00543241" w:rsidP="00543241">
            <w:pPr>
              <w:jc w:val="right"/>
              <w:rPr>
                <w:rFonts w:ascii="Times New Roman" w:hAnsi="Times New Roman"/>
                <w:sz w:val="14"/>
                <w:szCs w:val="14"/>
              </w:rPr>
            </w:pPr>
            <w:r w:rsidRPr="000D1437">
              <w:rPr>
                <w:sz w:val="14"/>
                <w:szCs w:val="14"/>
              </w:rPr>
              <w:t>406199,84</w:t>
            </w:r>
          </w:p>
        </w:tc>
        <w:tc>
          <w:tcPr>
            <w:tcW w:w="1278" w:type="dxa"/>
            <w:tcBorders>
              <w:top w:val="nil"/>
              <w:left w:val="nil"/>
              <w:bottom w:val="single" w:sz="4" w:space="0" w:color="auto"/>
              <w:right w:val="single" w:sz="4" w:space="0" w:color="auto"/>
            </w:tcBorders>
            <w:shd w:val="clear" w:color="000000" w:fill="CCFFFF"/>
            <w:noWrap/>
            <w:vAlign w:val="bottom"/>
            <w:hideMark/>
          </w:tcPr>
          <w:p w14:paraId="62C2B722" w14:textId="5DCABBB9" w:rsidR="00543241" w:rsidRPr="000D1437" w:rsidRDefault="00543241" w:rsidP="00543241">
            <w:pPr>
              <w:jc w:val="right"/>
              <w:rPr>
                <w:rFonts w:ascii="Times New Roman" w:hAnsi="Times New Roman"/>
                <w:sz w:val="14"/>
                <w:szCs w:val="14"/>
              </w:rPr>
            </w:pPr>
            <w:r w:rsidRPr="000D1437">
              <w:rPr>
                <w:sz w:val="14"/>
                <w:szCs w:val="14"/>
              </w:rPr>
              <w:t>400458,76</w:t>
            </w:r>
          </w:p>
        </w:tc>
        <w:tc>
          <w:tcPr>
            <w:tcW w:w="1278" w:type="dxa"/>
            <w:tcBorders>
              <w:top w:val="nil"/>
              <w:left w:val="nil"/>
              <w:bottom w:val="single" w:sz="4" w:space="0" w:color="auto"/>
              <w:right w:val="single" w:sz="4" w:space="0" w:color="auto"/>
            </w:tcBorders>
            <w:shd w:val="clear" w:color="000000" w:fill="CCFFFF"/>
            <w:noWrap/>
            <w:vAlign w:val="bottom"/>
            <w:hideMark/>
          </w:tcPr>
          <w:p w14:paraId="62F87C8D" w14:textId="45909FDE" w:rsidR="00543241" w:rsidRPr="000D1437" w:rsidRDefault="00543241" w:rsidP="00543241">
            <w:pPr>
              <w:jc w:val="right"/>
              <w:rPr>
                <w:rFonts w:ascii="Times New Roman" w:hAnsi="Times New Roman"/>
                <w:sz w:val="14"/>
                <w:szCs w:val="14"/>
              </w:rPr>
            </w:pPr>
            <w:r w:rsidRPr="000D1437">
              <w:rPr>
                <w:sz w:val="14"/>
                <w:szCs w:val="14"/>
              </w:rPr>
              <w:t>381064,55</w:t>
            </w:r>
          </w:p>
        </w:tc>
        <w:tc>
          <w:tcPr>
            <w:tcW w:w="1278" w:type="dxa"/>
            <w:tcBorders>
              <w:top w:val="nil"/>
              <w:left w:val="nil"/>
              <w:bottom w:val="single" w:sz="4" w:space="0" w:color="auto"/>
              <w:right w:val="single" w:sz="4" w:space="0" w:color="auto"/>
            </w:tcBorders>
            <w:shd w:val="clear" w:color="000000" w:fill="CCFFFF"/>
            <w:noWrap/>
            <w:vAlign w:val="bottom"/>
            <w:hideMark/>
          </w:tcPr>
          <w:p w14:paraId="71CF07F5" w14:textId="5851E48F" w:rsidR="00543241" w:rsidRPr="000D1437" w:rsidRDefault="00543241" w:rsidP="00543241">
            <w:pPr>
              <w:jc w:val="right"/>
              <w:rPr>
                <w:rFonts w:ascii="Times New Roman" w:hAnsi="Times New Roman"/>
                <w:sz w:val="14"/>
                <w:szCs w:val="14"/>
              </w:rPr>
            </w:pPr>
            <w:r w:rsidRPr="000D1437">
              <w:rPr>
                <w:sz w:val="14"/>
                <w:szCs w:val="14"/>
              </w:rPr>
              <w:t>386872,04</w:t>
            </w:r>
          </w:p>
        </w:tc>
        <w:tc>
          <w:tcPr>
            <w:tcW w:w="1278" w:type="dxa"/>
            <w:tcBorders>
              <w:top w:val="nil"/>
              <w:left w:val="nil"/>
              <w:bottom w:val="single" w:sz="4" w:space="0" w:color="auto"/>
              <w:right w:val="single" w:sz="4" w:space="0" w:color="auto"/>
            </w:tcBorders>
            <w:shd w:val="clear" w:color="000000" w:fill="CCFFFF"/>
            <w:noWrap/>
            <w:vAlign w:val="bottom"/>
            <w:hideMark/>
          </w:tcPr>
          <w:p w14:paraId="2E7140EF" w14:textId="58BA24C7" w:rsidR="00543241" w:rsidRPr="000D1437" w:rsidRDefault="00543241" w:rsidP="00543241">
            <w:pPr>
              <w:jc w:val="right"/>
              <w:rPr>
                <w:rFonts w:ascii="Times New Roman" w:hAnsi="Times New Roman"/>
                <w:sz w:val="14"/>
                <w:szCs w:val="14"/>
              </w:rPr>
            </w:pPr>
            <w:r w:rsidRPr="000D1437">
              <w:rPr>
                <w:sz w:val="14"/>
                <w:szCs w:val="14"/>
              </w:rPr>
              <w:t>364820,42</w:t>
            </w:r>
          </w:p>
        </w:tc>
        <w:tc>
          <w:tcPr>
            <w:tcW w:w="1262" w:type="dxa"/>
            <w:tcBorders>
              <w:top w:val="nil"/>
              <w:left w:val="nil"/>
              <w:bottom w:val="single" w:sz="4" w:space="0" w:color="auto"/>
              <w:right w:val="single" w:sz="4" w:space="0" w:color="auto"/>
            </w:tcBorders>
            <w:shd w:val="clear" w:color="000000" w:fill="CCFFFF"/>
            <w:vAlign w:val="bottom"/>
          </w:tcPr>
          <w:p w14:paraId="49D4DF46" w14:textId="7821D688" w:rsidR="00543241" w:rsidRPr="000D1437" w:rsidRDefault="00543241" w:rsidP="00543241">
            <w:pPr>
              <w:jc w:val="right"/>
              <w:rPr>
                <w:rFonts w:ascii="Times New Roman" w:hAnsi="Times New Roman"/>
                <w:sz w:val="14"/>
                <w:szCs w:val="14"/>
              </w:rPr>
            </w:pPr>
            <w:r w:rsidRPr="000D1437">
              <w:rPr>
                <w:sz w:val="14"/>
                <w:szCs w:val="14"/>
              </w:rPr>
              <w:t>367030,67</w:t>
            </w:r>
          </w:p>
        </w:tc>
      </w:tr>
      <w:tr w:rsidR="00543241" w:rsidRPr="00364545" w14:paraId="4AB6716C"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C476EF8" w14:textId="43B21052"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264" w:type="dxa"/>
            <w:tcBorders>
              <w:top w:val="nil"/>
              <w:left w:val="nil"/>
              <w:bottom w:val="single" w:sz="4" w:space="0" w:color="auto"/>
              <w:right w:val="single" w:sz="4" w:space="0" w:color="auto"/>
            </w:tcBorders>
            <w:shd w:val="clear" w:color="000000" w:fill="CCFFFF"/>
            <w:noWrap/>
            <w:vAlign w:val="bottom"/>
            <w:hideMark/>
          </w:tcPr>
          <w:p w14:paraId="0B79021A" w14:textId="4530235B" w:rsidR="00543241" w:rsidRPr="000D1437" w:rsidRDefault="00543241" w:rsidP="00543241">
            <w:pPr>
              <w:jc w:val="right"/>
              <w:rPr>
                <w:rFonts w:ascii="Times New Roman" w:hAnsi="Times New Roman"/>
                <w:sz w:val="14"/>
                <w:szCs w:val="14"/>
              </w:rPr>
            </w:pPr>
            <w:r w:rsidRPr="000D1437">
              <w:rPr>
                <w:sz w:val="14"/>
                <w:szCs w:val="14"/>
              </w:rPr>
              <w:t>353644,62</w:t>
            </w:r>
          </w:p>
        </w:tc>
        <w:tc>
          <w:tcPr>
            <w:tcW w:w="1278" w:type="dxa"/>
            <w:tcBorders>
              <w:top w:val="nil"/>
              <w:left w:val="nil"/>
              <w:bottom w:val="single" w:sz="4" w:space="0" w:color="auto"/>
              <w:right w:val="single" w:sz="4" w:space="0" w:color="auto"/>
            </w:tcBorders>
            <w:shd w:val="clear" w:color="000000" w:fill="CCFFFF"/>
            <w:noWrap/>
            <w:vAlign w:val="bottom"/>
            <w:hideMark/>
          </w:tcPr>
          <w:p w14:paraId="3C526966" w14:textId="62C92EF3" w:rsidR="00543241" w:rsidRPr="000D1437" w:rsidRDefault="00543241" w:rsidP="00543241">
            <w:pPr>
              <w:jc w:val="right"/>
              <w:rPr>
                <w:rFonts w:ascii="Times New Roman" w:hAnsi="Times New Roman"/>
                <w:sz w:val="14"/>
                <w:szCs w:val="14"/>
              </w:rPr>
            </w:pPr>
            <w:r w:rsidRPr="000D1437">
              <w:rPr>
                <w:sz w:val="14"/>
                <w:szCs w:val="14"/>
              </w:rPr>
              <w:t>348048,72</w:t>
            </w:r>
          </w:p>
        </w:tc>
        <w:tc>
          <w:tcPr>
            <w:tcW w:w="1278" w:type="dxa"/>
            <w:tcBorders>
              <w:top w:val="nil"/>
              <w:left w:val="nil"/>
              <w:bottom w:val="single" w:sz="4" w:space="0" w:color="auto"/>
              <w:right w:val="single" w:sz="4" w:space="0" w:color="auto"/>
            </w:tcBorders>
            <w:shd w:val="clear" w:color="000000" w:fill="CCFFFF"/>
            <w:noWrap/>
            <w:vAlign w:val="bottom"/>
            <w:hideMark/>
          </w:tcPr>
          <w:p w14:paraId="40A2529C" w14:textId="5B1B18C3" w:rsidR="00543241" w:rsidRPr="000D1437" w:rsidRDefault="00543241" w:rsidP="00543241">
            <w:pPr>
              <w:jc w:val="right"/>
              <w:rPr>
                <w:rFonts w:ascii="Times New Roman" w:hAnsi="Times New Roman"/>
                <w:sz w:val="14"/>
                <w:szCs w:val="14"/>
              </w:rPr>
            </w:pPr>
            <w:r w:rsidRPr="000D1437">
              <w:rPr>
                <w:sz w:val="14"/>
                <w:szCs w:val="14"/>
              </w:rPr>
              <w:t>339132,78</w:t>
            </w:r>
          </w:p>
        </w:tc>
        <w:tc>
          <w:tcPr>
            <w:tcW w:w="1278" w:type="dxa"/>
            <w:tcBorders>
              <w:top w:val="nil"/>
              <w:left w:val="nil"/>
              <w:bottom w:val="single" w:sz="4" w:space="0" w:color="auto"/>
              <w:right w:val="single" w:sz="4" w:space="0" w:color="auto"/>
            </w:tcBorders>
            <w:shd w:val="clear" w:color="000000" w:fill="CCFFFF"/>
            <w:noWrap/>
            <w:vAlign w:val="bottom"/>
            <w:hideMark/>
          </w:tcPr>
          <w:p w14:paraId="2E47FB5F" w14:textId="3991CDAD" w:rsidR="00543241" w:rsidRPr="000D1437" w:rsidRDefault="00543241" w:rsidP="00543241">
            <w:pPr>
              <w:jc w:val="right"/>
              <w:rPr>
                <w:rFonts w:ascii="Times New Roman" w:hAnsi="Times New Roman"/>
                <w:sz w:val="14"/>
                <w:szCs w:val="14"/>
              </w:rPr>
            </w:pPr>
            <w:r w:rsidRPr="000D1437">
              <w:rPr>
                <w:sz w:val="14"/>
                <w:szCs w:val="14"/>
              </w:rPr>
              <w:t>344170,77</w:t>
            </w:r>
          </w:p>
        </w:tc>
        <w:tc>
          <w:tcPr>
            <w:tcW w:w="1278" w:type="dxa"/>
            <w:tcBorders>
              <w:top w:val="nil"/>
              <w:left w:val="nil"/>
              <w:bottom w:val="single" w:sz="4" w:space="0" w:color="auto"/>
              <w:right w:val="single" w:sz="4" w:space="0" w:color="auto"/>
            </w:tcBorders>
            <w:shd w:val="clear" w:color="000000" w:fill="CCFFFF"/>
            <w:noWrap/>
            <w:vAlign w:val="bottom"/>
            <w:hideMark/>
          </w:tcPr>
          <w:p w14:paraId="1A83370B" w14:textId="298C41B6" w:rsidR="00543241" w:rsidRPr="000D1437" w:rsidRDefault="00543241" w:rsidP="00543241">
            <w:pPr>
              <w:jc w:val="right"/>
              <w:rPr>
                <w:rFonts w:ascii="Times New Roman" w:hAnsi="Times New Roman"/>
                <w:sz w:val="14"/>
                <w:szCs w:val="14"/>
              </w:rPr>
            </w:pPr>
            <w:r w:rsidRPr="000D1437">
              <w:rPr>
                <w:sz w:val="14"/>
                <w:szCs w:val="14"/>
              </w:rPr>
              <w:t>322088,69</w:t>
            </w:r>
          </w:p>
        </w:tc>
        <w:tc>
          <w:tcPr>
            <w:tcW w:w="1262" w:type="dxa"/>
            <w:tcBorders>
              <w:top w:val="nil"/>
              <w:left w:val="nil"/>
              <w:bottom w:val="single" w:sz="4" w:space="0" w:color="auto"/>
              <w:right w:val="single" w:sz="4" w:space="0" w:color="auto"/>
            </w:tcBorders>
            <w:shd w:val="clear" w:color="000000" w:fill="CCFFFF"/>
            <w:vAlign w:val="bottom"/>
          </w:tcPr>
          <w:p w14:paraId="36E35812" w14:textId="04C1B11F" w:rsidR="00543241" w:rsidRPr="000D1437" w:rsidRDefault="00543241" w:rsidP="00543241">
            <w:pPr>
              <w:jc w:val="right"/>
              <w:rPr>
                <w:rFonts w:ascii="Times New Roman" w:hAnsi="Times New Roman"/>
                <w:sz w:val="14"/>
                <w:szCs w:val="14"/>
              </w:rPr>
            </w:pPr>
            <w:r w:rsidRPr="000D1437">
              <w:rPr>
                <w:sz w:val="14"/>
                <w:szCs w:val="14"/>
              </w:rPr>
              <w:t>321847,33</w:t>
            </w:r>
          </w:p>
        </w:tc>
      </w:tr>
      <w:tr w:rsidR="00543241" w:rsidRPr="00364545" w14:paraId="221099F3"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42A0FA1" w14:textId="0680CDDB"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264" w:type="dxa"/>
            <w:tcBorders>
              <w:top w:val="nil"/>
              <w:left w:val="nil"/>
              <w:bottom w:val="single" w:sz="4" w:space="0" w:color="auto"/>
              <w:right w:val="single" w:sz="4" w:space="0" w:color="auto"/>
            </w:tcBorders>
            <w:shd w:val="clear" w:color="000000" w:fill="CCFFFF"/>
            <w:noWrap/>
            <w:vAlign w:val="bottom"/>
            <w:hideMark/>
          </w:tcPr>
          <w:p w14:paraId="6CA673B2" w14:textId="15B4A91D"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48B15632" w14:textId="4EC86F83"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5644909B" w14:textId="7A6AD458"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1F6C7F59" w14:textId="6F61396A"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205E4889" w14:textId="7FE484AD" w:rsidR="00543241" w:rsidRPr="000D1437" w:rsidRDefault="00543241" w:rsidP="00543241">
            <w:pPr>
              <w:jc w:val="right"/>
              <w:rPr>
                <w:rFonts w:ascii="Times New Roman" w:hAnsi="Times New Roman"/>
                <w:sz w:val="14"/>
                <w:szCs w:val="14"/>
              </w:rPr>
            </w:pPr>
            <w:r w:rsidRPr="000D1437">
              <w:rPr>
                <w:sz w:val="14"/>
                <w:szCs w:val="14"/>
              </w:rPr>
              <w:t>NA</w:t>
            </w:r>
          </w:p>
        </w:tc>
        <w:tc>
          <w:tcPr>
            <w:tcW w:w="1262" w:type="dxa"/>
            <w:tcBorders>
              <w:top w:val="nil"/>
              <w:left w:val="nil"/>
              <w:bottom w:val="single" w:sz="4" w:space="0" w:color="auto"/>
              <w:right w:val="single" w:sz="4" w:space="0" w:color="auto"/>
            </w:tcBorders>
            <w:shd w:val="clear" w:color="000000" w:fill="CCFFFF"/>
            <w:vAlign w:val="bottom"/>
          </w:tcPr>
          <w:p w14:paraId="5C116305" w14:textId="7CC2D3B6" w:rsidR="00543241" w:rsidRPr="000D1437" w:rsidRDefault="00543241" w:rsidP="00543241">
            <w:pPr>
              <w:jc w:val="right"/>
              <w:rPr>
                <w:rFonts w:ascii="Times New Roman" w:hAnsi="Times New Roman"/>
                <w:sz w:val="14"/>
                <w:szCs w:val="14"/>
              </w:rPr>
            </w:pPr>
            <w:r w:rsidRPr="000D1437">
              <w:rPr>
                <w:sz w:val="14"/>
                <w:szCs w:val="14"/>
              </w:rPr>
              <w:t>NA</w:t>
            </w:r>
          </w:p>
        </w:tc>
      </w:tr>
      <w:tr w:rsidR="00543241" w:rsidRPr="00364545" w14:paraId="12F1E74A" w14:textId="77777777" w:rsidTr="00543241">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1EEBEAA" w14:textId="166604C8"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264" w:type="dxa"/>
            <w:tcBorders>
              <w:top w:val="nil"/>
              <w:left w:val="nil"/>
              <w:bottom w:val="single" w:sz="4" w:space="0" w:color="auto"/>
              <w:right w:val="single" w:sz="4" w:space="0" w:color="auto"/>
            </w:tcBorders>
            <w:shd w:val="clear" w:color="000000" w:fill="CCFFFF"/>
            <w:noWrap/>
            <w:vAlign w:val="bottom"/>
            <w:hideMark/>
          </w:tcPr>
          <w:p w14:paraId="6F157338" w14:textId="5940D87D"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24F2281A" w14:textId="27BE187D"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78F9318D" w14:textId="42BE4E86"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0AEEF2B3" w14:textId="19D73FBA" w:rsidR="00543241" w:rsidRPr="000D1437" w:rsidRDefault="00543241" w:rsidP="00543241">
            <w:pPr>
              <w:jc w:val="right"/>
              <w:rPr>
                <w:rFonts w:ascii="Times New Roman" w:hAnsi="Times New Roman"/>
                <w:sz w:val="14"/>
                <w:szCs w:val="14"/>
              </w:rPr>
            </w:pPr>
            <w:r w:rsidRPr="000D1437">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0BE175E7" w14:textId="71B47C43" w:rsidR="00543241" w:rsidRPr="000D1437" w:rsidRDefault="00543241" w:rsidP="00543241">
            <w:pPr>
              <w:jc w:val="right"/>
              <w:rPr>
                <w:rFonts w:ascii="Times New Roman" w:hAnsi="Times New Roman"/>
                <w:sz w:val="14"/>
                <w:szCs w:val="14"/>
              </w:rPr>
            </w:pPr>
            <w:r w:rsidRPr="000D1437">
              <w:rPr>
                <w:sz w:val="14"/>
                <w:szCs w:val="14"/>
              </w:rPr>
              <w:t>NA</w:t>
            </w:r>
          </w:p>
        </w:tc>
        <w:tc>
          <w:tcPr>
            <w:tcW w:w="1262" w:type="dxa"/>
            <w:tcBorders>
              <w:top w:val="nil"/>
              <w:left w:val="nil"/>
              <w:bottom w:val="single" w:sz="4" w:space="0" w:color="auto"/>
              <w:right w:val="single" w:sz="4" w:space="0" w:color="auto"/>
            </w:tcBorders>
            <w:shd w:val="clear" w:color="000000" w:fill="CCFFFF"/>
            <w:vAlign w:val="bottom"/>
          </w:tcPr>
          <w:p w14:paraId="6374CD39" w14:textId="3410114C" w:rsidR="00543241" w:rsidRPr="000D1437" w:rsidRDefault="00543241" w:rsidP="00543241">
            <w:pPr>
              <w:jc w:val="right"/>
              <w:rPr>
                <w:rFonts w:ascii="Times New Roman" w:hAnsi="Times New Roman"/>
                <w:sz w:val="14"/>
                <w:szCs w:val="14"/>
              </w:rPr>
            </w:pPr>
            <w:r w:rsidRPr="000D1437">
              <w:rPr>
                <w:sz w:val="14"/>
                <w:szCs w:val="14"/>
              </w:rPr>
              <w:t>NA</w:t>
            </w:r>
          </w:p>
        </w:tc>
      </w:tr>
    </w:tbl>
    <w:p w14:paraId="6542C4B8" w14:textId="77777777" w:rsidR="00B56301" w:rsidRPr="00364545" w:rsidRDefault="00B56301" w:rsidP="00B56301">
      <w:pPr>
        <w:ind w:right="27"/>
        <w:jc w:val="center"/>
        <w:rPr>
          <w:rFonts w:cs="Arial"/>
          <w:sz w:val="24"/>
        </w:rPr>
      </w:pPr>
    </w:p>
    <w:tbl>
      <w:tblPr>
        <w:tblW w:w="9940" w:type="dxa"/>
        <w:jc w:val="center"/>
        <w:tblCellMar>
          <w:left w:w="70" w:type="dxa"/>
          <w:right w:w="70" w:type="dxa"/>
        </w:tblCellMar>
        <w:tblLook w:val="04A0" w:firstRow="1" w:lastRow="0" w:firstColumn="1" w:lastColumn="0" w:noHBand="0" w:noVBand="1"/>
      </w:tblPr>
      <w:tblGrid>
        <w:gridCol w:w="2855"/>
        <w:gridCol w:w="1192"/>
        <w:gridCol w:w="1193"/>
        <w:gridCol w:w="1164"/>
        <w:gridCol w:w="1150"/>
        <w:gridCol w:w="1193"/>
        <w:gridCol w:w="1193"/>
      </w:tblGrid>
      <w:tr w:rsidR="00B56301" w:rsidRPr="00364545" w14:paraId="120066DD" w14:textId="77777777" w:rsidTr="00543241">
        <w:trPr>
          <w:trHeight w:val="68"/>
          <w:jc w:val="center"/>
        </w:trPr>
        <w:tc>
          <w:tcPr>
            <w:tcW w:w="28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D81A195" w14:textId="77777777" w:rsidR="00B56301" w:rsidRPr="00364545" w:rsidRDefault="00B56301" w:rsidP="00B37B65">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1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120A9B3"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2013</w:t>
            </w:r>
          </w:p>
        </w:tc>
        <w:tc>
          <w:tcPr>
            <w:tcW w:w="1193" w:type="dxa"/>
            <w:tcBorders>
              <w:top w:val="single" w:sz="4" w:space="0" w:color="auto"/>
              <w:left w:val="nil"/>
              <w:bottom w:val="single" w:sz="4" w:space="0" w:color="auto"/>
              <w:right w:val="single" w:sz="4" w:space="0" w:color="auto"/>
            </w:tcBorders>
            <w:shd w:val="clear" w:color="000000" w:fill="CCFFFF"/>
            <w:noWrap/>
            <w:vAlign w:val="center"/>
            <w:hideMark/>
          </w:tcPr>
          <w:p w14:paraId="5D1ADFF6"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2014</w:t>
            </w:r>
          </w:p>
        </w:tc>
        <w:tc>
          <w:tcPr>
            <w:tcW w:w="1164" w:type="dxa"/>
            <w:tcBorders>
              <w:top w:val="single" w:sz="4" w:space="0" w:color="auto"/>
              <w:left w:val="nil"/>
              <w:bottom w:val="single" w:sz="4" w:space="0" w:color="auto"/>
              <w:right w:val="single" w:sz="4" w:space="0" w:color="auto"/>
            </w:tcBorders>
            <w:shd w:val="clear" w:color="000000" w:fill="CCFFFF"/>
            <w:noWrap/>
            <w:vAlign w:val="center"/>
            <w:hideMark/>
          </w:tcPr>
          <w:p w14:paraId="6B0ED973"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2015</w:t>
            </w:r>
          </w:p>
        </w:tc>
        <w:tc>
          <w:tcPr>
            <w:tcW w:w="1150" w:type="dxa"/>
            <w:tcBorders>
              <w:top w:val="single" w:sz="4" w:space="0" w:color="auto"/>
              <w:left w:val="nil"/>
              <w:bottom w:val="single" w:sz="4" w:space="0" w:color="auto"/>
              <w:right w:val="single" w:sz="4" w:space="0" w:color="auto"/>
            </w:tcBorders>
            <w:shd w:val="clear" w:color="000000" w:fill="CCFFFF"/>
            <w:noWrap/>
            <w:vAlign w:val="center"/>
            <w:hideMark/>
          </w:tcPr>
          <w:p w14:paraId="33B90A76"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2016</w:t>
            </w:r>
          </w:p>
        </w:tc>
        <w:tc>
          <w:tcPr>
            <w:tcW w:w="1193" w:type="dxa"/>
            <w:tcBorders>
              <w:top w:val="single" w:sz="4" w:space="0" w:color="auto"/>
              <w:left w:val="nil"/>
              <w:bottom w:val="single" w:sz="4" w:space="0" w:color="auto"/>
              <w:right w:val="single" w:sz="4" w:space="0" w:color="auto"/>
            </w:tcBorders>
            <w:shd w:val="clear" w:color="000000" w:fill="CCFFFF"/>
            <w:noWrap/>
            <w:vAlign w:val="center"/>
            <w:hideMark/>
          </w:tcPr>
          <w:p w14:paraId="5CD32A1B"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2017</w:t>
            </w:r>
          </w:p>
        </w:tc>
        <w:tc>
          <w:tcPr>
            <w:tcW w:w="1193" w:type="dxa"/>
            <w:tcBorders>
              <w:top w:val="single" w:sz="4" w:space="0" w:color="auto"/>
              <w:left w:val="nil"/>
              <w:bottom w:val="single" w:sz="4" w:space="0" w:color="auto"/>
              <w:right w:val="single" w:sz="4" w:space="0" w:color="auto"/>
            </w:tcBorders>
            <w:shd w:val="clear" w:color="000000" w:fill="CCFFFF"/>
            <w:vAlign w:val="center"/>
          </w:tcPr>
          <w:p w14:paraId="2C033476" w14:textId="77777777" w:rsidR="00B56301" w:rsidRPr="00364545" w:rsidRDefault="00B56301" w:rsidP="00B37B65">
            <w:pPr>
              <w:jc w:val="center"/>
              <w:rPr>
                <w:rFonts w:ascii="Times New Roman" w:hAnsi="Times New Roman"/>
                <w:b/>
                <w:bCs/>
                <w:sz w:val="16"/>
                <w:szCs w:val="16"/>
              </w:rPr>
            </w:pPr>
            <w:r w:rsidRPr="00364545">
              <w:rPr>
                <w:b/>
                <w:sz w:val="16"/>
              </w:rPr>
              <w:t>2018</w:t>
            </w:r>
          </w:p>
        </w:tc>
      </w:tr>
      <w:tr w:rsidR="00543241" w:rsidRPr="00364545" w14:paraId="65A6D62C" w14:textId="77777777" w:rsidTr="00543241">
        <w:trPr>
          <w:trHeight w:val="68"/>
          <w:jc w:val="center"/>
        </w:trPr>
        <w:tc>
          <w:tcPr>
            <w:tcW w:w="28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476F784"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1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53024484" w14:textId="67746D4B" w:rsidR="00543241" w:rsidRPr="00364545" w:rsidRDefault="00543241" w:rsidP="00543241">
            <w:pPr>
              <w:jc w:val="right"/>
              <w:rPr>
                <w:rFonts w:ascii="Times New Roman" w:hAnsi="Times New Roman"/>
                <w:sz w:val="16"/>
                <w:szCs w:val="16"/>
              </w:rPr>
            </w:pPr>
            <w:r w:rsidRPr="00CB4B9F">
              <w:rPr>
                <w:sz w:val="14"/>
                <w:szCs w:val="14"/>
              </w:rPr>
              <w:t>319936,58</w:t>
            </w:r>
          </w:p>
        </w:tc>
        <w:tc>
          <w:tcPr>
            <w:tcW w:w="1193" w:type="dxa"/>
            <w:tcBorders>
              <w:top w:val="single" w:sz="4" w:space="0" w:color="auto"/>
              <w:left w:val="nil"/>
              <w:bottom w:val="single" w:sz="4" w:space="0" w:color="auto"/>
              <w:right w:val="single" w:sz="4" w:space="0" w:color="auto"/>
            </w:tcBorders>
            <w:shd w:val="clear" w:color="000000" w:fill="CCFFFF"/>
            <w:noWrap/>
            <w:vAlign w:val="bottom"/>
            <w:hideMark/>
          </w:tcPr>
          <w:p w14:paraId="190B5352" w14:textId="7891CA88" w:rsidR="00543241" w:rsidRPr="00364545" w:rsidRDefault="00543241" w:rsidP="00543241">
            <w:pPr>
              <w:jc w:val="right"/>
              <w:rPr>
                <w:rFonts w:ascii="Times New Roman" w:hAnsi="Times New Roman"/>
                <w:sz w:val="16"/>
                <w:szCs w:val="16"/>
              </w:rPr>
            </w:pPr>
            <w:r w:rsidRPr="00CB4B9F">
              <w:rPr>
                <w:sz w:val="14"/>
                <w:szCs w:val="14"/>
              </w:rPr>
              <w:t>294542,44</w:t>
            </w:r>
          </w:p>
        </w:tc>
        <w:tc>
          <w:tcPr>
            <w:tcW w:w="1164" w:type="dxa"/>
            <w:tcBorders>
              <w:top w:val="single" w:sz="4" w:space="0" w:color="auto"/>
              <w:left w:val="nil"/>
              <w:bottom w:val="single" w:sz="4" w:space="0" w:color="auto"/>
              <w:right w:val="single" w:sz="4" w:space="0" w:color="auto"/>
            </w:tcBorders>
            <w:shd w:val="clear" w:color="000000" w:fill="CCFFFF"/>
            <w:noWrap/>
            <w:vAlign w:val="bottom"/>
            <w:hideMark/>
          </w:tcPr>
          <w:p w14:paraId="628842AF" w14:textId="0C13C004" w:rsidR="00543241" w:rsidRPr="00364545" w:rsidRDefault="00543241" w:rsidP="00543241">
            <w:pPr>
              <w:jc w:val="right"/>
              <w:rPr>
                <w:rFonts w:ascii="Times New Roman" w:hAnsi="Times New Roman"/>
                <w:sz w:val="16"/>
                <w:szCs w:val="16"/>
              </w:rPr>
            </w:pPr>
            <w:r w:rsidRPr="00CB4B9F">
              <w:rPr>
                <w:sz w:val="14"/>
                <w:szCs w:val="14"/>
              </w:rPr>
              <w:t>303031,73</w:t>
            </w:r>
          </w:p>
        </w:tc>
        <w:tc>
          <w:tcPr>
            <w:tcW w:w="1150" w:type="dxa"/>
            <w:tcBorders>
              <w:top w:val="single" w:sz="4" w:space="0" w:color="auto"/>
              <w:left w:val="nil"/>
              <w:bottom w:val="single" w:sz="4" w:space="0" w:color="auto"/>
              <w:right w:val="single" w:sz="4" w:space="0" w:color="auto"/>
            </w:tcBorders>
            <w:shd w:val="clear" w:color="000000" w:fill="CCFFFF"/>
            <w:noWrap/>
            <w:vAlign w:val="bottom"/>
            <w:hideMark/>
          </w:tcPr>
          <w:p w14:paraId="207321DF" w14:textId="6CBA0FA0" w:rsidR="00543241" w:rsidRPr="00364545" w:rsidRDefault="00543241" w:rsidP="00543241">
            <w:pPr>
              <w:jc w:val="right"/>
              <w:rPr>
                <w:rFonts w:ascii="Times New Roman" w:hAnsi="Times New Roman"/>
                <w:sz w:val="16"/>
                <w:szCs w:val="16"/>
              </w:rPr>
            </w:pPr>
            <w:r w:rsidRPr="00CB4B9F">
              <w:rPr>
                <w:sz w:val="14"/>
                <w:szCs w:val="14"/>
              </w:rPr>
              <w:t>315143,19</w:t>
            </w:r>
          </w:p>
        </w:tc>
        <w:tc>
          <w:tcPr>
            <w:tcW w:w="1193" w:type="dxa"/>
            <w:tcBorders>
              <w:top w:val="single" w:sz="4" w:space="0" w:color="auto"/>
              <w:left w:val="nil"/>
              <w:bottom w:val="single" w:sz="4" w:space="0" w:color="auto"/>
              <w:right w:val="single" w:sz="4" w:space="0" w:color="auto"/>
            </w:tcBorders>
            <w:shd w:val="clear" w:color="000000" w:fill="CCFFFF"/>
            <w:noWrap/>
            <w:vAlign w:val="bottom"/>
            <w:hideMark/>
          </w:tcPr>
          <w:p w14:paraId="7BE729DF" w14:textId="38F6537A" w:rsidR="00543241" w:rsidRPr="00364545" w:rsidRDefault="00543241" w:rsidP="00543241">
            <w:pPr>
              <w:jc w:val="right"/>
              <w:rPr>
                <w:rFonts w:ascii="Times New Roman" w:hAnsi="Times New Roman"/>
                <w:sz w:val="16"/>
                <w:szCs w:val="16"/>
              </w:rPr>
            </w:pPr>
            <w:r w:rsidRPr="00CB4B9F">
              <w:rPr>
                <w:sz w:val="14"/>
                <w:szCs w:val="14"/>
              </w:rPr>
              <w:t>326837,62</w:t>
            </w:r>
          </w:p>
        </w:tc>
        <w:tc>
          <w:tcPr>
            <w:tcW w:w="1193" w:type="dxa"/>
            <w:tcBorders>
              <w:top w:val="single" w:sz="4" w:space="0" w:color="auto"/>
              <w:left w:val="nil"/>
              <w:bottom w:val="single" w:sz="4" w:space="0" w:color="auto"/>
              <w:right w:val="single" w:sz="4" w:space="0" w:color="auto"/>
            </w:tcBorders>
            <w:shd w:val="clear" w:color="000000" w:fill="CCFFFF"/>
            <w:vAlign w:val="bottom"/>
          </w:tcPr>
          <w:p w14:paraId="6E3E4340" w14:textId="5CED4DF4" w:rsidR="00543241" w:rsidRPr="00364545" w:rsidRDefault="00543241" w:rsidP="00543241">
            <w:pPr>
              <w:jc w:val="right"/>
              <w:rPr>
                <w:rFonts w:ascii="Times New Roman" w:hAnsi="Times New Roman"/>
                <w:sz w:val="16"/>
                <w:szCs w:val="16"/>
              </w:rPr>
            </w:pPr>
            <w:r w:rsidRPr="00CB4B9F">
              <w:rPr>
                <w:sz w:val="14"/>
                <w:szCs w:val="14"/>
              </w:rPr>
              <w:t>314544,00</w:t>
            </w:r>
          </w:p>
        </w:tc>
      </w:tr>
      <w:tr w:rsidR="00543241" w:rsidRPr="00364545" w14:paraId="26F69974" w14:textId="77777777" w:rsidTr="00543241">
        <w:trPr>
          <w:trHeight w:val="68"/>
          <w:jc w:val="center"/>
        </w:trPr>
        <w:tc>
          <w:tcPr>
            <w:tcW w:w="28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C7353CA"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1. Energy</w:t>
            </w:r>
          </w:p>
        </w:tc>
        <w:tc>
          <w:tcPr>
            <w:tcW w:w="1192" w:type="dxa"/>
            <w:tcBorders>
              <w:top w:val="nil"/>
              <w:left w:val="nil"/>
              <w:bottom w:val="single" w:sz="4" w:space="0" w:color="auto"/>
              <w:right w:val="single" w:sz="4" w:space="0" w:color="auto"/>
            </w:tcBorders>
            <w:shd w:val="clear" w:color="000000" w:fill="CCFFFF"/>
            <w:noWrap/>
            <w:vAlign w:val="bottom"/>
            <w:hideMark/>
          </w:tcPr>
          <w:p w14:paraId="7F62453F" w14:textId="16D4734B" w:rsidR="00543241" w:rsidRPr="000D1437" w:rsidRDefault="00543241" w:rsidP="00543241">
            <w:pPr>
              <w:jc w:val="right"/>
              <w:rPr>
                <w:rFonts w:ascii="Times New Roman" w:hAnsi="Times New Roman"/>
                <w:sz w:val="14"/>
                <w:szCs w:val="14"/>
              </w:rPr>
            </w:pPr>
            <w:r w:rsidRPr="000D1437">
              <w:rPr>
                <w:sz w:val="14"/>
                <w:szCs w:val="14"/>
              </w:rPr>
              <w:t>332423,94</w:t>
            </w:r>
          </w:p>
        </w:tc>
        <w:tc>
          <w:tcPr>
            <w:tcW w:w="1193" w:type="dxa"/>
            <w:tcBorders>
              <w:top w:val="nil"/>
              <w:left w:val="nil"/>
              <w:bottom w:val="single" w:sz="4" w:space="0" w:color="auto"/>
              <w:right w:val="single" w:sz="4" w:space="0" w:color="auto"/>
            </w:tcBorders>
            <w:shd w:val="clear" w:color="000000" w:fill="CCFFFF"/>
            <w:noWrap/>
            <w:vAlign w:val="bottom"/>
            <w:hideMark/>
          </w:tcPr>
          <w:p w14:paraId="78076C0F" w14:textId="6F57BC11" w:rsidR="00543241" w:rsidRPr="000D1437" w:rsidRDefault="00543241" w:rsidP="00543241">
            <w:pPr>
              <w:jc w:val="right"/>
              <w:rPr>
                <w:rFonts w:ascii="Times New Roman" w:hAnsi="Times New Roman"/>
                <w:sz w:val="14"/>
                <w:szCs w:val="14"/>
              </w:rPr>
            </w:pPr>
            <w:r w:rsidRPr="000D1437">
              <w:rPr>
                <w:sz w:val="14"/>
                <w:szCs w:val="14"/>
              </w:rPr>
              <w:t>300829,02</w:t>
            </w:r>
          </w:p>
        </w:tc>
        <w:tc>
          <w:tcPr>
            <w:tcW w:w="1164" w:type="dxa"/>
            <w:tcBorders>
              <w:top w:val="nil"/>
              <w:left w:val="nil"/>
              <w:bottom w:val="single" w:sz="4" w:space="0" w:color="auto"/>
              <w:right w:val="single" w:sz="4" w:space="0" w:color="auto"/>
            </w:tcBorders>
            <w:shd w:val="clear" w:color="000000" w:fill="CCFFFF"/>
            <w:noWrap/>
            <w:vAlign w:val="bottom"/>
            <w:hideMark/>
          </w:tcPr>
          <w:p w14:paraId="4FC96420" w14:textId="13D6BE62" w:rsidR="00543241" w:rsidRPr="000D1437" w:rsidRDefault="00543241" w:rsidP="00543241">
            <w:pPr>
              <w:jc w:val="right"/>
              <w:rPr>
                <w:rFonts w:ascii="Times New Roman" w:hAnsi="Times New Roman"/>
                <w:sz w:val="14"/>
                <w:szCs w:val="14"/>
              </w:rPr>
            </w:pPr>
            <w:r w:rsidRPr="000D1437">
              <w:rPr>
                <w:sz w:val="14"/>
                <w:szCs w:val="14"/>
              </w:rPr>
              <w:t>307160,02</w:t>
            </w:r>
          </w:p>
        </w:tc>
        <w:tc>
          <w:tcPr>
            <w:tcW w:w="1150" w:type="dxa"/>
            <w:tcBorders>
              <w:top w:val="nil"/>
              <w:left w:val="nil"/>
              <w:bottom w:val="single" w:sz="4" w:space="0" w:color="auto"/>
              <w:right w:val="single" w:sz="4" w:space="0" w:color="auto"/>
            </w:tcBorders>
            <w:shd w:val="clear" w:color="000000" w:fill="CCFFFF"/>
            <w:noWrap/>
            <w:vAlign w:val="bottom"/>
            <w:hideMark/>
          </w:tcPr>
          <w:p w14:paraId="7C12F005" w14:textId="30525FCA" w:rsidR="00543241" w:rsidRPr="000D1437" w:rsidRDefault="00543241" w:rsidP="00543241">
            <w:pPr>
              <w:jc w:val="right"/>
              <w:rPr>
                <w:rFonts w:ascii="Times New Roman" w:hAnsi="Times New Roman"/>
                <w:sz w:val="14"/>
                <w:szCs w:val="14"/>
              </w:rPr>
            </w:pPr>
            <w:r w:rsidRPr="000D1437">
              <w:rPr>
                <w:sz w:val="14"/>
                <w:szCs w:val="14"/>
              </w:rPr>
              <w:t>310070,53</w:t>
            </w:r>
          </w:p>
        </w:tc>
        <w:tc>
          <w:tcPr>
            <w:tcW w:w="1193" w:type="dxa"/>
            <w:tcBorders>
              <w:top w:val="nil"/>
              <w:left w:val="nil"/>
              <w:bottom w:val="single" w:sz="4" w:space="0" w:color="auto"/>
              <w:right w:val="single" w:sz="4" w:space="0" w:color="auto"/>
            </w:tcBorders>
            <w:shd w:val="clear" w:color="000000" w:fill="CCFFFF"/>
            <w:noWrap/>
            <w:vAlign w:val="bottom"/>
            <w:hideMark/>
          </w:tcPr>
          <w:p w14:paraId="7D8EEC32" w14:textId="633185F9" w:rsidR="00543241" w:rsidRPr="000D1437" w:rsidRDefault="00543241" w:rsidP="00543241">
            <w:pPr>
              <w:jc w:val="right"/>
              <w:rPr>
                <w:rFonts w:ascii="Times New Roman" w:hAnsi="Times New Roman"/>
                <w:sz w:val="14"/>
                <w:szCs w:val="14"/>
              </w:rPr>
            </w:pPr>
            <w:r w:rsidRPr="000D1437">
              <w:rPr>
                <w:sz w:val="14"/>
                <w:szCs w:val="14"/>
              </w:rPr>
              <w:t>311643,01</w:t>
            </w:r>
          </w:p>
        </w:tc>
        <w:tc>
          <w:tcPr>
            <w:tcW w:w="1193" w:type="dxa"/>
            <w:tcBorders>
              <w:top w:val="nil"/>
              <w:left w:val="nil"/>
              <w:bottom w:val="single" w:sz="4" w:space="0" w:color="auto"/>
              <w:right w:val="single" w:sz="4" w:space="0" w:color="auto"/>
            </w:tcBorders>
            <w:shd w:val="clear" w:color="000000" w:fill="CCFFFF"/>
            <w:vAlign w:val="bottom"/>
          </w:tcPr>
          <w:p w14:paraId="6F082815" w14:textId="7DED8722" w:rsidR="00543241" w:rsidRPr="000D1437" w:rsidRDefault="00543241" w:rsidP="00543241">
            <w:pPr>
              <w:jc w:val="right"/>
              <w:rPr>
                <w:rFonts w:ascii="Times New Roman" w:hAnsi="Times New Roman"/>
                <w:sz w:val="14"/>
                <w:szCs w:val="14"/>
              </w:rPr>
            </w:pPr>
            <w:r w:rsidRPr="000D1437">
              <w:rPr>
                <w:sz w:val="14"/>
                <w:szCs w:val="14"/>
              </w:rPr>
              <w:t>297060,86</w:t>
            </w:r>
          </w:p>
        </w:tc>
      </w:tr>
      <w:tr w:rsidR="00543241" w:rsidRPr="00364545" w14:paraId="1C5A7C84"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D69B94D"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192" w:type="dxa"/>
            <w:tcBorders>
              <w:top w:val="nil"/>
              <w:left w:val="nil"/>
              <w:bottom w:val="single" w:sz="4" w:space="0" w:color="auto"/>
              <w:right w:val="single" w:sz="4" w:space="0" w:color="auto"/>
            </w:tcBorders>
            <w:shd w:val="clear" w:color="000000" w:fill="CCFFFF"/>
            <w:noWrap/>
            <w:vAlign w:val="bottom"/>
            <w:hideMark/>
          </w:tcPr>
          <w:p w14:paraId="3BF6A7B9" w14:textId="1C660FDA" w:rsidR="00543241" w:rsidRPr="000D1437" w:rsidRDefault="00543241" w:rsidP="00543241">
            <w:pPr>
              <w:jc w:val="right"/>
              <w:rPr>
                <w:rFonts w:ascii="Times New Roman" w:hAnsi="Times New Roman"/>
                <w:sz w:val="14"/>
                <w:szCs w:val="14"/>
              </w:rPr>
            </w:pPr>
            <w:r w:rsidRPr="000D1437">
              <w:rPr>
                <w:sz w:val="14"/>
                <w:szCs w:val="14"/>
              </w:rPr>
              <w:t>329287,37</w:t>
            </w:r>
          </w:p>
        </w:tc>
        <w:tc>
          <w:tcPr>
            <w:tcW w:w="1193" w:type="dxa"/>
            <w:tcBorders>
              <w:top w:val="nil"/>
              <w:left w:val="nil"/>
              <w:bottom w:val="single" w:sz="4" w:space="0" w:color="auto"/>
              <w:right w:val="single" w:sz="4" w:space="0" w:color="auto"/>
            </w:tcBorders>
            <w:shd w:val="clear" w:color="000000" w:fill="CCFFFF"/>
            <w:noWrap/>
            <w:vAlign w:val="bottom"/>
            <w:hideMark/>
          </w:tcPr>
          <w:p w14:paraId="008D3B81" w14:textId="127AD246" w:rsidR="00543241" w:rsidRPr="000D1437" w:rsidRDefault="00543241" w:rsidP="00543241">
            <w:pPr>
              <w:jc w:val="right"/>
              <w:rPr>
                <w:rFonts w:ascii="Times New Roman" w:hAnsi="Times New Roman"/>
                <w:sz w:val="14"/>
                <w:szCs w:val="14"/>
              </w:rPr>
            </w:pPr>
            <w:r w:rsidRPr="000D1437">
              <w:rPr>
                <w:sz w:val="14"/>
                <w:szCs w:val="14"/>
              </w:rPr>
              <w:t>297780,47</w:t>
            </w:r>
          </w:p>
        </w:tc>
        <w:tc>
          <w:tcPr>
            <w:tcW w:w="1164" w:type="dxa"/>
            <w:tcBorders>
              <w:top w:val="nil"/>
              <w:left w:val="nil"/>
              <w:bottom w:val="single" w:sz="4" w:space="0" w:color="auto"/>
              <w:right w:val="single" w:sz="4" w:space="0" w:color="auto"/>
            </w:tcBorders>
            <w:shd w:val="clear" w:color="000000" w:fill="CCFFFF"/>
            <w:noWrap/>
            <w:vAlign w:val="bottom"/>
            <w:hideMark/>
          </w:tcPr>
          <w:p w14:paraId="4530686E" w14:textId="0CE18420" w:rsidR="00543241" w:rsidRPr="000D1437" w:rsidRDefault="00543241" w:rsidP="00543241">
            <w:pPr>
              <w:jc w:val="right"/>
              <w:rPr>
                <w:rFonts w:ascii="Times New Roman" w:hAnsi="Times New Roman"/>
                <w:sz w:val="14"/>
                <w:szCs w:val="14"/>
              </w:rPr>
            </w:pPr>
            <w:r w:rsidRPr="000D1437">
              <w:rPr>
                <w:sz w:val="14"/>
                <w:szCs w:val="14"/>
              </w:rPr>
              <w:t>304214,19</w:t>
            </w:r>
          </w:p>
        </w:tc>
        <w:tc>
          <w:tcPr>
            <w:tcW w:w="1150" w:type="dxa"/>
            <w:tcBorders>
              <w:top w:val="nil"/>
              <w:left w:val="nil"/>
              <w:bottom w:val="single" w:sz="4" w:space="0" w:color="auto"/>
              <w:right w:val="single" w:sz="4" w:space="0" w:color="auto"/>
            </w:tcBorders>
            <w:shd w:val="clear" w:color="000000" w:fill="CCFFFF"/>
            <w:noWrap/>
            <w:vAlign w:val="bottom"/>
            <w:hideMark/>
          </w:tcPr>
          <w:p w14:paraId="6D231003" w14:textId="4296780C" w:rsidR="00543241" w:rsidRPr="000D1437" w:rsidRDefault="00543241" w:rsidP="00543241">
            <w:pPr>
              <w:jc w:val="right"/>
              <w:rPr>
                <w:rFonts w:ascii="Times New Roman" w:hAnsi="Times New Roman"/>
                <w:sz w:val="14"/>
                <w:szCs w:val="14"/>
              </w:rPr>
            </w:pPr>
            <w:r w:rsidRPr="000D1437">
              <w:rPr>
                <w:sz w:val="14"/>
                <w:szCs w:val="14"/>
              </w:rPr>
              <w:t>307112,73</w:t>
            </w:r>
          </w:p>
        </w:tc>
        <w:tc>
          <w:tcPr>
            <w:tcW w:w="1193" w:type="dxa"/>
            <w:tcBorders>
              <w:top w:val="nil"/>
              <w:left w:val="nil"/>
              <w:bottom w:val="single" w:sz="4" w:space="0" w:color="auto"/>
              <w:right w:val="single" w:sz="4" w:space="0" w:color="auto"/>
            </w:tcBorders>
            <w:shd w:val="clear" w:color="000000" w:fill="CCFFFF"/>
            <w:noWrap/>
            <w:vAlign w:val="bottom"/>
            <w:hideMark/>
          </w:tcPr>
          <w:p w14:paraId="752A3667" w14:textId="21883595" w:rsidR="00543241" w:rsidRPr="000D1437" w:rsidRDefault="00543241" w:rsidP="00543241">
            <w:pPr>
              <w:jc w:val="right"/>
              <w:rPr>
                <w:rFonts w:ascii="Times New Roman" w:hAnsi="Times New Roman"/>
                <w:sz w:val="14"/>
                <w:szCs w:val="14"/>
              </w:rPr>
            </w:pPr>
            <w:r w:rsidRPr="000D1437">
              <w:rPr>
                <w:sz w:val="14"/>
                <w:szCs w:val="14"/>
              </w:rPr>
              <w:t>308740,95</w:t>
            </w:r>
          </w:p>
        </w:tc>
        <w:tc>
          <w:tcPr>
            <w:tcW w:w="1193" w:type="dxa"/>
            <w:tcBorders>
              <w:top w:val="nil"/>
              <w:left w:val="nil"/>
              <w:bottom w:val="single" w:sz="4" w:space="0" w:color="auto"/>
              <w:right w:val="single" w:sz="4" w:space="0" w:color="auto"/>
            </w:tcBorders>
            <w:shd w:val="clear" w:color="000000" w:fill="CCFFFF"/>
            <w:vAlign w:val="bottom"/>
          </w:tcPr>
          <w:p w14:paraId="6F75FC3C" w14:textId="017C6B13" w:rsidR="00543241" w:rsidRPr="000D1437" w:rsidRDefault="00543241" w:rsidP="00543241">
            <w:pPr>
              <w:jc w:val="right"/>
              <w:rPr>
                <w:rFonts w:ascii="Times New Roman" w:hAnsi="Times New Roman"/>
                <w:sz w:val="14"/>
                <w:szCs w:val="14"/>
              </w:rPr>
            </w:pPr>
            <w:r w:rsidRPr="000D1437">
              <w:rPr>
                <w:sz w:val="14"/>
                <w:szCs w:val="14"/>
              </w:rPr>
              <w:t>294063,35</w:t>
            </w:r>
          </w:p>
        </w:tc>
      </w:tr>
      <w:tr w:rsidR="00543241" w:rsidRPr="00364545" w14:paraId="4B29A7D0"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6678B06" w14:textId="62D2254D"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192" w:type="dxa"/>
            <w:tcBorders>
              <w:top w:val="nil"/>
              <w:left w:val="nil"/>
              <w:bottom w:val="single" w:sz="4" w:space="0" w:color="auto"/>
              <w:right w:val="single" w:sz="4" w:space="0" w:color="auto"/>
            </w:tcBorders>
            <w:shd w:val="clear" w:color="000000" w:fill="FFFFFF"/>
            <w:noWrap/>
            <w:vAlign w:val="bottom"/>
            <w:hideMark/>
          </w:tcPr>
          <w:p w14:paraId="5D4D526C" w14:textId="1D24787E" w:rsidR="00543241" w:rsidRPr="000D1437" w:rsidRDefault="00543241" w:rsidP="00543241">
            <w:pPr>
              <w:jc w:val="right"/>
              <w:rPr>
                <w:rFonts w:ascii="Times New Roman" w:hAnsi="Times New Roman"/>
                <w:sz w:val="14"/>
                <w:szCs w:val="14"/>
              </w:rPr>
            </w:pPr>
            <w:r w:rsidRPr="000D1437">
              <w:rPr>
                <w:sz w:val="14"/>
                <w:szCs w:val="14"/>
              </w:rPr>
              <w:t>55020,81</w:t>
            </w:r>
          </w:p>
        </w:tc>
        <w:tc>
          <w:tcPr>
            <w:tcW w:w="1193" w:type="dxa"/>
            <w:tcBorders>
              <w:top w:val="nil"/>
              <w:left w:val="nil"/>
              <w:bottom w:val="single" w:sz="4" w:space="0" w:color="auto"/>
              <w:right w:val="single" w:sz="4" w:space="0" w:color="auto"/>
            </w:tcBorders>
            <w:shd w:val="clear" w:color="000000" w:fill="FFFFFF"/>
            <w:noWrap/>
            <w:vAlign w:val="bottom"/>
            <w:hideMark/>
          </w:tcPr>
          <w:p w14:paraId="7A5FF2FD" w14:textId="1B2F4348" w:rsidR="00543241" w:rsidRPr="000D1437" w:rsidRDefault="00543241" w:rsidP="00543241">
            <w:pPr>
              <w:jc w:val="right"/>
              <w:rPr>
                <w:rFonts w:ascii="Times New Roman" w:hAnsi="Times New Roman"/>
                <w:sz w:val="14"/>
                <w:szCs w:val="14"/>
              </w:rPr>
            </w:pPr>
            <w:r w:rsidRPr="000D1437">
              <w:rPr>
                <w:sz w:val="14"/>
                <w:szCs w:val="14"/>
              </w:rPr>
              <w:t>41799,70</w:t>
            </w:r>
          </w:p>
        </w:tc>
        <w:tc>
          <w:tcPr>
            <w:tcW w:w="1164" w:type="dxa"/>
            <w:tcBorders>
              <w:top w:val="nil"/>
              <w:left w:val="nil"/>
              <w:bottom w:val="single" w:sz="4" w:space="0" w:color="auto"/>
              <w:right w:val="single" w:sz="4" w:space="0" w:color="auto"/>
            </w:tcBorders>
            <w:shd w:val="clear" w:color="000000" w:fill="FFFFFF"/>
            <w:noWrap/>
            <w:vAlign w:val="bottom"/>
            <w:hideMark/>
          </w:tcPr>
          <w:p w14:paraId="4DF9DA7B" w14:textId="7F34E766" w:rsidR="00543241" w:rsidRPr="000D1437" w:rsidRDefault="00543241" w:rsidP="00543241">
            <w:pPr>
              <w:jc w:val="right"/>
              <w:rPr>
                <w:rFonts w:ascii="Times New Roman" w:hAnsi="Times New Roman"/>
                <w:sz w:val="14"/>
                <w:szCs w:val="14"/>
              </w:rPr>
            </w:pPr>
            <w:r w:rsidRPr="000D1437">
              <w:rPr>
                <w:sz w:val="14"/>
                <w:szCs w:val="14"/>
              </w:rPr>
              <w:t>44690,74</w:t>
            </w:r>
          </w:p>
        </w:tc>
        <w:tc>
          <w:tcPr>
            <w:tcW w:w="1150" w:type="dxa"/>
            <w:tcBorders>
              <w:top w:val="nil"/>
              <w:left w:val="nil"/>
              <w:bottom w:val="single" w:sz="4" w:space="0" w:color="auto"/>
              <w:right w:val="single" w:sz="4" w:space="0" w:color="auto"/>
            </w:tcBorders>
            <w:shd w:val="clear" w:color="000000" w:fill="FFFFFF"/>
            <w:noWrap/>
            <w:vAlign w:val="bottom"/>
            <w:hideMark/>
          </w:tcPr>
          <w:p w14:paraId="053F8338" w14:textId="2B9E2C21" w:rsidR="00543241" w:rsidRPr="000D1437" w:rsidRDefault="00543241" w:rsidP="00543241">
            <w:pPr>
              <w:jc w:val="right"/>
              <w:rPr>
                <w:rFonts w:ascii="Times New Roman" w:hAnsi="Times New Roman"/>
                <w:sz w:val="14"/>
                <w:szCs w:val="14"/>
              </w:rPr>
            </w:pPr>
            <w:r w:rsidRPr="000D1437">
              <w:rPr>
                <w:sz w:val="14"/>
                <w:szCs w:val="14"/>
              </w:rPr>
              <w:t>48 201,25</w:t>
            </w:r>
          </w:p>
        </w:tc>
        <w:tc>
          <w:tcPr>
            <w:tcW w:w="1193" w:type="dxa"/>
            <w:tcBorders>
              <w:top w:val="nil"/>
              <w:left w:val="nil"/>
              <w:bottom w:val="single" w:sz="4" w:space="0" w:color="auto"/>
              <w:right w:val="single" w:sz="4" w:space="0" w:color="auto"/>
            </w:tcBorders>
            <w:shd w:val="clear" w:color="000000" w:fill="FFFFFF"/>
            <w:noWrap/>
            <w:vAlign w:val="bottom"/>
            <w:hideMark/>
          </w:tcPr>
          <w:p w14:paraId="7099A959" w14:textId="6C0ABD5C" w:rsidR="00543241" w:rsidRPr="000D1437" w:rsidRDefault="00543241" w:rsidP="00543241">
            <w:pPr>
              <w:jc w:val="right"/>
              <w:rPr>
                <w:rFonts w:ascii="Times New Roman" w:hAnsi="Times New Roman"/>
                <w:sz w:val="14"/>
                <w:szCs w:val="14"/>
              </w:rPr>
            </w:pPr>
            <w:r w:rsidRPr="000D1437">
              <w:rPr>
                <w:sz w:val="14"/>
                <w:szCs w:val="14"/>
              </w:rPr>
              <w:t>52 173,58</w:t>
            </w:r>
          </w:p>
        </w:tc>
        <w:tc>
          <w:tcPr>
            <w:tcW w:w="1193" w:type="dxa"/>
            <w:tcBorders>
              <w:top w:val="nil"/>
              <w:left w:val="nil"/>
              <w:bottom w:val="single" w:sz="4" w:space="0" w:color="auto"/>
              <w:right w:val="single" w:sz="4" w:space="0" w:color="auto"/>
            </w:tcBorders>
            <w:shd w:val="clear" w:color="000000" w:fill="FFFFFF"/>
            <w:vAlign w:val="bottom"/>
          </w:tcPr>
          <w:p w14:paraId="5202A967" w14:textId="730F71B9" w:rsidR="00543241" w:rsidRPr="000D1437" w:rsidRDefault="00543241" w:rsidP="00543241">
            <w:pPr>
              <w:jc w:val="right"/>
              <w:rPr>
                <w:rFonts w:ascii="Times New Roman" w:hAnsi="Times New Roman"/>
                <w:sz w:val="14"/>
                <w:szCs w:val="14"/>
              </w:rPr>
            </w:pPr>
            <w:r w:rsidRPr="000D1437">
              <w:rPr>
                <w:sz w:val="14"/>
                <w:szCs w:val="14"/>
              </w:rPr>
              <w:t>42 885,69</w:t>
            </w:r>
          </w:p>
        </w:tc>
      </w:tr>
      <w:tr w:rsidR="00543241" w:rsidRPr="00364545" w14:paraId="45522986"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817B6C6" w14:textId="32EDE11A"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192" w:type="dxa"/>
            <w:tcBorders>
              <w:top w:val="nil"/>
              <w:left w:val="nil"/>
              <w:bottom w:val="single" w:sz="4" w:space="0" w:color="auto"/>
              <w:right w:val="single" w:sz="4" w:space="0" w:color="auto"/>
            </w:tcBorders>
            <w:shd w:val="clear" w:color="000000" w:fill="FFFFFF"/>
            <w:noWrap/>
            <w:vAlign w:val="bottom"/>
            <w:hideMark/>
          </w:tcPr>
          <w:p w14:paraId="60CB8618" w14:textId="328AB76D" w:rsidR="00543241" w:rsidRPr="000D1437" w:rsidRDefault="00543241" w:rsidP="00543241">
            <w:pPr>
              <w:jc w:val="right"/>
              <w:rPr>
                <w:rFonts w:ascii="Times New Roman" w:hAnsi="Times New Roman"/>
                <w:sz w:val="14"/>
                <w:szCs w:val="14"/>
              </w:rPr>
            </w:pPr>
            <w:r w:rsidRPr="000D1437">
              <w:rPr>
                <w:sz w:val="14"/>
                <w:szCs w:val="14"/>
              </w:rPr>
              <w:t>50588,96</w:t>
            </w:r>
          </w:p>
        </w:tc>
        <w:tc>
          <w:tcPr>
            <w:tcW w:w="1193" w:type="dxa"/>
            <w:tcBorders>
              <w:top w:val="nil"/>
              <w:left w:val="nil"/>
              <w:bottom w:val="single" w:sz="4" w:space="0" w:color="auto"/>
              <w:right w:val="single" w:sz="4" w:space="0" w:color="auto"/>
            </w:tcBorders>
            <w:shd w:val="clear" w:color="000000" w:fill="FFFFFF"/>
            <w:noWrap/>
            <w:vAlign w:val="bottom"/>
            <w:hideMark/>
          </w:tcPr>
          <w:p w14:paraId="7AE44173" w14:textId="0EAB95C3" w:rsidR="00543241" w:rsidRPr="000D1437" w:rsidRDefault="00543241" w:rsidP="00543241">
            <w:pPr>
              <w:jc w:val="right"/>
              <w:rPr>
                <w:rFonts w:ascii="Times New Roman" w:hAnsi="Times New Roman"/>
                <w:sz w:val="14"/>
                <w:szCs w:val="14"/>
              </w:rPr>
            </w:pPr>
            <w:r w:rsidRPr="000D1437">
              <w:rPr>
                <w:sz w:val="14"/>
                <w:szCs w:val="14"/>
              </w:rPr>
              <w:t>48036,09</w:t>
            </w:r>
          </w:p>
        </w:tc>
        <w:tc>
          <w:tcPr>
            <w:tcW w:w="1164" w:type="dxa"/>
            <w:tcBorders>
              <w:top w:val="nil"/>
              <w:left w:val="nil"/>
              <w:bottom w:val="single" w:sz="4" w:space="0" w:color="auto"/>
              <w:right w:val="single" w:sz="4" w:space="0" w:color="auto"/>
            </w:tcBorders>
            <w:shd w:val="clear" w:color="000000" w:fill="FFFFFF"/>
            <w:noWrap/>
            <w:vAlign w:val="bottom"/>
            <w:hideMark/>
          </w:tcPr>
          <w:p w14:paraId="21AFC6D9" w14:textId="679D000D" w:rsidR="00543241" w:rsidRPr="000D1437" w:rsidRDefault="00543241" w:rsidP="00543241">
            <w:pPr>
              <w:jc w:val="right"/>
              <w:rPr>
                <w:rFonts w:ascii="Times New Roman" w:hAnsi="Times New Roman"/>
                <w:sz w:val="14"/>
                <w:szCs w:val="14"/>
              </w:rPr>
            </w:pPr>
            <w:r w:rsidRPr="000D1437">
              <w:rPr>
                <w:sz w:val="14"/>
                <w:szCs w:val="14"/>
              </w:rPr>
              <w:t>47164,40</w:t>
            </w:r>
          </w:p>
        </w:tc>
        <w:tc>
          <w:tcPr>
            <w:tcW w:w="1150" w:type="dxa"/>
            <w:tcBorders>
              <w:top w:val="nil"/>
              <w:left w:val="nil"/>
              <w:bottom w:val="single" w:sz="4" w:space="0" w:color="auto"/>
              <w:right w:val="single" w:sz="4" w:space="0" w:color="auto"/>
            </w:tcBorders>
            <w:shd w:val="clear" w:color="000000" w:fill="FFFFFF"/>
            <w:noWrap/>
            <w:vAlign w:val="bottom"/>
            <w:hideMark/>
          </w:tcPr>
          <w:p w14:paraId="6F6C463A" w14:textId="0D17E4FE" w:rsidR="00543241" w:rsidRPr="000D1437" w:rsidRDefault="00543241" w:rsidP="00543241">
            <w:pPr>
              <w:jc w:val="right"/>
              <w:rPr>
                <w:rFonts w:ascii="Times New Roman" w:hAnsi="Times New Roman"/>
                <w:sz w:val="14"/>
                <w:szCs w:val="14"/>
              </w:rPr>
            </w:pPr>
            <w:r w:rsidRPr="000D1437">
              <w:rPr>
                <w:sz w:val="14"/>
                <w:szCs w:val="14"/>
              </w:rPr>
              <w:t>47 039,26</w:t>
            </w:r>
          </w:p>
        </w:tc>
        <w:tc>
          <w:tcPr>
            <w:tcW w:w="1193" w:type="dxa"/>
            <w:tcBorders>
              <w:top w:val="nil"/>
              <w:left w:val="nil"/>
              <w:bottom w:val="single" w:sz="4" w:space="0" w:color="auto"/>
              <w:right w:val="single" w:sz="4" w:space="0" w:color="auto"/>
            </w:tcBorders>
            <w:shd w:val="clear" w:color="000000" w:fill="FFFFFF"/>
            <w:noWrap/>
            <w:vAlign w:val="bottom"/>
            <w:hideMark/>
          </w:tcPr>
          <w:p w14:paraId="27CEFF48" w14:textId="68B897D2" w:rsidR="00543241" w:rsidRPr="000D1437" w:rsidRDefault="00543241" w:rsidP="00543241">
            <w:pPr>
              <w:jc w:val="right"/>
              <w:rPr>
                <w:rFonts w:ascii="Times New Roman" w:hAnsi="Times New Roman"/>
                <w:sz w:val="14"/>
                <w:szCs w:val="14"/>
              </w:rPr>
            </w:pPr>
            <w:r w:rsidRPr="000D1437">
              <w:rPr>
                <w:sz w:val="14"/>
                <w:szCs w:val="14"/>
              </w:rPr>
              <w:t>44 796,54</w:t>
            </w:r>
          </w:p>
        </w:tc>
        <w:tc>
          <w:tcPr>
            <w:tcW w:w="1193" w:type="dxa"/>
            <w:tcBorders>
              <w:top w:val="nil"/>
              <w:left w:val="nil"/>
              <w:bottom w:val="single" w:sz="4" w:space="0" w:color="auto"/>
              <w:right w:val="single" w:sz="4" w:space="0" w:color="auto"/>
            </w:tcBorders>
            <w:shd w:val="clear" w:color="000000" w:fill="FFFFFF"/>
            <w:vAlign w:val="bottom"/>
          </w:tcPr>
          <w:p w14:paraId="4B242953" w14:textId="0CA5524C" w:rsidR="00543241" w:rsidRPr="000D1437" w:rsidRDefault="00543241" w:rsidP="00543241">
            <w:pPr>
              <w:jc w:val="right"/>
              <w:rPr>
                <w:rFonts w:ascii="Times New Roman" w:hAnsi="Times New Roman"/>
                <w:sz w:val="14"/>
                <w:szCs w:val="14"/>
              </w:rPr>
            </w:pPr>
            <w:r w:rsidRPr="000D1437">
              <w:rPr>
                <w:sz w:val="14"/>
                <w:szCs w:val="14"/>
              </w:rPr>
              <w:t>45 887,51</w:t>
            </w:r>
          </w:p>
        </w:tc>
      </w:tr>
      <w:tr w:rsidR="00543241" w:rsidRPr="00364545" w14:paraId="04311B01"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C0FC162" w14:textId="6AE16C06"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192" w:type="dxa"/>
            <w:tcBorders>
              <w:top w:val="nil"/>
              <w:left w:val="nil"/>
              <w:bottom w:val="single" w:sz="4" w:space="0" w:color="auto"/>
              <w:right w:val="single" w:sz="4" w:space="0" w:color="auto"/>
            </w:tcBorders>
            <w:shd w:val="clear" w:color="000000" w:fill="FFFFFF"/>
            <w:noWrap/>
            <w:vAlign w:val="bottom"/>
            <w:hideMark/>
          </w:tcPr>
          <w:p w14:paraId="037AC64A" w14:textId="3D52DC84" w:rsidR="00543241" w:rsidRPr="000D1437" w:rsidRDefault="00543241" w:rsidP="00543241">
            <w:pPr>
              <w:jc w:val="right"/>
              <w:rPr>
                <w:rFonts w:ascii="Times New Roman" w:hAnsi="Times New Roman"/>
                <w:sz w:val="14"/>
                <w:szCs w:val="14"/>
              </w:rPr>
            </w:pPr>
            <w:r w:rsidRPr="000D1437">
              <w:rPr>
                <w:sz w:val="14"/>
                <w:szCs w:val="14"/>
              </w:rPr>
              <w:t>130759,23</w:t>
            </w:r>
          </w:p>
        </w:tc>
        <w:tc>
          <w:tcPr>
            <w:tcW w:w="1193" w:type="dxa"/>
            <w:tcBorders>
              <w:top w:val="nil"/>
              <w:left w:val="nil"/>
              <w:bottom w:val="single" w:sz="4" w:space="0" w:color="auto"/>
              <w:right w:val="single" w:sz="4" w:space="0" w:color="auto"/>
            </w:tcBorders>
            <w:shd w:val="clear" w:color="000000" w:fill="FFFFFF"/>
            <w:noWrap/>
            <w:vAlign w:val="bottom"/>
            <w:hideMark/>
          </w:tcPr>
          <w:p w14:paraId="1815B7C3" w14:textId="2EE2828E" w:rsidR="00543241" w:rsidRPr="000D1437" w:rsidRDefault="00543241" w:rsidP="00543241">
            <w:pPr>
              <w:jc w:val="right"/>
              <w:rPr>
                <w:rFonts w:ascii="Times New Roman" w:hAnsi="Times New Roman"/>
                <w:sz w:val="14"/>
                <w:szCs w:val="14"/>
              </w:rPr>
            </w:pPr>
            <w:r w:rsidRPr="000D1437">
              <w:rPr>
                <w:sz w:val="14"/>
                <w:szCs w:val="14"/>
              </w:rPr>
              <w:t>130692,89</w:t>
            </w:r>
          </w:p>
        </w:tc>
        <w:tc>
          <w:tcPr>
            <w:tcW w:w="1164" w:type="dxa"/>
            <w:tcBorders>
              <w:top w:val="nil"/>
              <w:left w:val="nil"/>
              <w:bottom w:val="single" w:sz="4" w:space="0" w:color="auto"/>
              <w:right w:val="single" w:sz="4" w:space="0" w:color="auto"/>
            </w:tcBorders>
            <w:shd w:val="clear" w:color="000000" w:fill="FFFFFF"/>
            <w:noWrap/>
            <w:vAlign w:val="bottom"/>
            <w:hideMark/>
          </w:tcPr>
          <w:p w14:paraId="14377422" w14:textId="42B749D1" w:rsidR="00543241" w:rsidRPr="000D1437" w:rsidRDefault="00543241" w:rsidP="00543241">
            <w:pPr>
              <w:jc w:val="right"/>
              <w:rPr>
                <w:rFonts w:ascii="Times New Roman" w:hAnsi="Times New Roman"/>
                <w:sz w:val="14"/>
                <w:szCs w:val="14"/>
              </w:rPr>
            </w:pPr>
            <w:r w:rsidRPr="000D1437">
              <w:rPr>
                <w:sz w:val="14"/>
                <w:szCs w:val="14"/>
              </w:rPr>
              <w:t>132149,34</w:t>
            </w:r>
          </w:p>
        </w:tc>
        <w:tc>
          <w:tcPr>
            <w:tcW w:w="1150" w:type="dxa"/>
            <w:tcBorders>
              <w:top w:val="nil"/>
              <w:left w:val="nil"/>
              <w:bottom w:val="single" w:sz="4" w:space="0" w:color="auto"/>
              <w:right w:val="single" w:sz="4" w:space="0" w:color="auto"/>
            </w:tcBorders>
            <w:shd w:val="clear" w:color="000000" w:fill="FFFFFF"/>
            <w:noWrap/>
            <w:vAlign w:val="bottom"/>
            <w:hideMark/>
          </w:tcPr>
          <w:p w14:paraId="2E6EE9FC" w14:textId="0C97B4AA" w:rsidR="00543241" w:rsidRPr="000D1437" w:rsidRDefault="00543241" w:rsidP="00543241">
            <w:pPr>
              <w:jc w:val="right"/>
              <w:rPr>
                <w:rFonts w:ascii="Times New Roman" w:hAnsi="Times New Roman"/>
                <w:sz w:val="14"/>
                <w:szCs w:val="14"/>
              </w:rPr>
            </w:pPr>
            <w:r w:rsidRPr="000D1437">
              <w:rPr>
                <w:sz w:val="14"/>
                <w:szCs w:val="14"/>
              </w:rPr>
              <w:t>132 328,78</w:t>
            </w:r>
          </w:p>
        </w:tc>
        <w:tc>
          <w:tcPr>
            <w:tcW w:w="1193" w:type="dxa"/>
            <w:tcBorders>
              <w:top w:val="nil"/>
              <w:left w:val="nil"/>
              <w:bottom w:val="single" w:sz="4" w:space="0" w:color="auto"/>
              <w:right w:val="single" w:sz="4" w:space="0" w:color="auto"/>
            </w:tcBorders>
            <w:shd w:val="clear" w:color="000000" w:fill="FFFFFF"/>
            <w:noWrap/>
            <w:vAlign w:val="bottom"/>
            <w:hideMark/>
          </w:tcPr>
          <w:p w14:paraId="701333C6" w14:textId="32FA9A27" w:rsidR="00543241" w:rsidRPr="000D1437" w:rsidRDefault="00543241" w:rsidP="00543241">
            <w:pPr>
              <w:jc w:val="right"/>
              <w:rPr>
                <w:rFonts w:ascii="Times New Roman" w:hAnsi="Times New Roman"/>
                <w:sz w:val="14"/>
                <w:szCs w:val="14"/>
              </w:rPr>
            </w:pPr>
            <w:r w:rsidRPr="000D1437">
              <w:rPr>
                <w:sz w:val="14"/>
                <w:szCs w:val="14"/>
              </w:rPr>
              <w:t>132 669,15</w:t>
            </w:r>
          </w:p>
        </w:tc>
        <w:tc>
          <w:tcPr>
            <w:tcW w:w="1193" w:type="dxa"/>
            <w:tcBorders>
              <w:top w:val="nil"/>
              <w:left w:val="nil"/>
              <w:bottom w:val="single" w:sz="4" w:space="0" w:color="auto"/>
              <w:right w:val="single" w:sz="4" w:space="0" w:color="auto"/>
            </w:tcBorders>
            <w:shd w:val="clear" w:color="000000" w:fill="FFFFFF"/>
            <w:vAlign w:val="bottom"/>
          </w:tcPr>
          <w:p w14:paraId="2BB61ADB" w14:textId="52F88D14" w:rsidR="00543241" w:rsidRPr="000D1437" w:rsidRDefault="00543241" w:rsidP="00543241">
            <w:pPr>
              <w:jc w:val="right"/>
              <w:rPr>
                <w:rFonts w:ascii="Times New Roman" w:hAnsi="Times New Roman"/>
                <w:sz w:val="14"/>
                <w:szCs w:val="14"/>
              </w:rPr>
            </w:pPr>
            <w:r w:rsidRPr="000D1437">
              <w:rPr>
                <w:sz w:val="14"/>
                <w:szCs w:val="14"/>
              </w:rPr>
              <w:t>130 090,03</w:t>
            </w:r>
          </w:p>
        </w:tc>
      </w:tr>
      <w:tr w:rsidR="00543241" w:rsidRPr="00364545" w14:paraId="3F4244D7"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AE5A7DD" w14:textId="64FA0A41"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192" w:type="dxa"/>
            <w:tcBorders>
              <w:top w:val="nil"/>
              <w:left w:val="nil"/>
              <w:bottom w:val="single" w:sz="4" w:space="0" w:color="auto"/>
              <w:right w:val="single" w:sz="4" w:space="0" w:color="auto"/>
            </w:tcBorders>
            <w:shd w:val="clear" w:color="000000" w:fill="FFFFFF"/>
            <w:noWrap/>
            <w:vAlign w:val="bottom"/>
            <w:hideMark/>
          </w:tcPr>
          <w:p w14:paraId="0765B376" w14:textId="244919F9" w:rsidR="00543241" w:rsidRPr="000D1437" w:rsidRDefault="00543241" w:rsidP="00543241">
            <w:pPr>
              <w:jc w:val="right"/>
              <w:rPr>
                <w:rFonts w:ascii="Times New Roman" w:hAnsi="Times New Roman"/>
                <w:sz w:val="14"/>
                <w:szCs w:val="14"/>
              </w:rPr>
            </w:pPr>
            <w:r w:rsidRPr="000D1437">
              <w:rPr>
                <w:sz w:val="14"/>
                <w:szCs w:val="14"/>
              </w:rPr>
              <w:t>90685,67</w:t>
            </w:r>
          </w:p>
        </w:tc>
        <w:tc>
          <w:tcPr>
            <w:tcW w:w="1193" w:type="dxa"/>
            <w:tcBorders>
              <w:top w:val="nil"/>
              <w:left w:val="nil"/>
              <w:bottom w:val="single" w:sz="4" w:space="0" w:color="auto"/>
              <w:right w:val="single" w:sz="4" w:space="0" w:color="auto"/>
            </w:tcBorders>
            <w:shd w:val="clear" w:color="000000" w:fill="FFFFFF"/>
            <w:noWrap/>
            <w:vAlign w:val="bottom"/>
            <w:hideMark/>
          </w:tcPr>
          <w:p w14:paraId="63A2782D" w14:textId="237639E7" w:rsidR="00543241" w:rsidRPr="000D1437" w:rsidRDefault="00543241" w:rsidP="00543241">
            <w:pPr>
              <w:jc w:val="right"/>
              <w:rPr>
                <w:rFonts w:ascii="Times New Roman" w:hAnsi="Times New Roman"/>
                <w:sz w:val="14"/>
                <w:szCs w:val="14"/>
              </w:rPr>
            </w:pPr>
            <w:r w:rsidRPr="000D1437">
              <w:rPr>
                <w:sz w:val="14"/>
                <w:szCs w:val="14"/>
              </w:rPr>
              <w:t>75132,89</w:t>
            </w:r>
          </w:p>
        </w:tc>
        <w:tc>
          <w:tcPr>
            <w:tcW w:w="1164" w:type="dxa"/>
            <w:tcBorders>
              <w:top w:val="nil"/>
              <w:left w:val="nil"/>
              <w:bottom w:val="single" w:sz="4" w:space="0" w:color="auto"/>
              <w:right w:val="single" w:sz="4" w:space="0" w:color="auto"/>
            </w:tcBorders>
            <w:shd w:val="clear" w:color="000000" w:fill="FFFFFF"/>
            <w:noWrap/>
            <w:vAlign w:val="bottom"/>
            <w:hideMark/>
          </w:tcPr>
          <w:p w14:paraId="6AE94D08" w14:textId="09982199" w:rsidR="00543241" w:rsidRPr="000D1437" w:rsidRDefault="00543241" w:rsidP="00543241">
            <w:pPr>
              <w:jc w:val="right"/>
              <w:rPr>
                <w:rFonts w:ascii="Times New Roman" w:hAnsi="Times New Roman"/>
                <w:sz w:val="14"/>
                <w:szCs w:val="14"/>
              </w:rPr>
            </w:pPr>
            <w:r w:rsidRPr="000D1437">
              <w:rPr>
                <w:sz w:val="14"/>
                <w:szCs w:val="14"/>
              </w:rPr>
              <w:t>78173,03</w:t>
            </w:r>
          </w:p>
        </w:tc>
        <w:tc>
          <w:tcPr>
            <w:tcW w:w="1150" w:type="dxa"/>
            <w:tcBorders>
              <w:top w:val="nil"/>
              <w:left w:val="nil"/>
              <w:bottom w:val="single" w:sz="4" w:space="0" w:color="auto"/>
              <w:right w:val="single" w:sz="4" w:space="0" w:color="auto"/>
            </w:tcBorders>
            <w:shd w:val="clear" w:color="000000" w:fill="FFFFFF"/>
            <w:noWrap/>
            <w:vAlign w:val="bottom"/>
            <w:hideMark/>
          </w:tcPr>
          <w:p w14:paraId="133D2152" w14:textId="2C4D936B" w:rsidR="00543241" w:rsidRPr="000D1437" w:rsidRDefault="00543241" w:rsidP="00543241">
            <w:pPr>
              <w:jc w:val="right"/>
              <w:rPr>
                <w:rFonts w:ascii="Times New Roman" w:hAnsi="Times New Roman"/>
                <w:sz w:val="14"/>
                <w:szCs w:val="14"/>
              </w:rPr>
            </w:pPr>
            <w:r w:rsidRPr="000D1437">
              <w:rPr>
                <w:sz w:val="14"/>
                <w:szCs w:val="14"/>
              </w:rPr>
              <w:t>78 196,76</w:t>
            </w:r>
          </w:p>
        </w:tc>
        <w:tc>
          <w:tcPr>
            <w:tcW w:w="1193" w:type="dxa"/>
            <w:tcBorders>
              <w:top w:val="nil"/>
              <w:left w:val="nil"/>
              <w:bottom w:val="single" w:sz="4" w:space="0" w:color="auto"/>
              <w:right w:val="single" w:sz="4" w:space="0" w:color="auto"/>
            </w:tcBorders>
            <w:shd w:val="clear" w:color="000000" w:fill="FFFFFF"/>
            <w:noWrap/>
            <w:vAlign w:val="bottom"/>
            <w:hideMark/>
          </w:tcPr>
          <w:p w14:paraId="2B34128B" w14:textId="371D497C" w:rsidR="00543241" w:rsidRPr="000D1437" w:rsidRDefault="00543241" w:rsidP="00543241">
            <w:pPr>
              <w:jc w:val="right"/>
              <w:rPr>
                <w:rFonts w:ascii="Times New Roman" w:hAnsi="Times New Roman"/>
                <w:sz w:val="14"/>
                <w:szCs w:val="14"/>
              </w:rPr>
            </w:pPr>
            <w:r w:rsidRPr="000D1437">
              <w:rPr>
                <w:sz w:val="14"/>
                <w:szCs w:val="14"/>
              </w:rPr>
              <w:t>77 777,66</w:t>
            </w:r>
          </w:p>
        </w:tc>
        <w:tc>
          <w:tcPr>
            <w:tcW w:w="1193" w:type="dxa"/>
            <w:tcBorders>
              <w:top w:val="nil"/>
              <w:left w:val="nil"/>
              <w:bottom w:val="single" w:sz="4" w:space="0" w:color="auto"/>
              <w:right w:val="single" w:sz="4" w:space="0" w:color="auto"/>
            </w:tcBorders>
            <w:shd w:val="clear" w:color="000000" w:fill="FFFFFF"/>
            <w:vAlign w:val="bottom"/>
          </w:tcPr>
          <w:p w14:paraId="07B82A7A" w14:textId="7998FD2C" w:rsidR="00543241" w:rsidRPr="000D1437" w:rsidRDefault="00543241" w:rsidP="00543241">
            <w:pPr>
              <w:jc w:val="right"/>
              <w:rPr>
                <w:rFonts w:ascii="Times New Roman" w:hAnsi="Times New Roman"/>
                <w:sz w:val="14"/>
                <w:szCs w:val="14"/>
              </w:rPr>
            </w:pPr>
            <w:r w:rsidRPr="000D1437">
              <w:rPr>
                <w:sz w:val="14"/>
                <w:szCs w:val="14"/>
              </w:rPr>
              <w:t>73 782,62</w:t>
            </w:r>
          </w:p>
        </w:tc>
      </w:tr>
      <w:tr w:rsidR="00543241" w:rsidRPr="00364545" w14:paraId="0BE73CFF"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C57C09F" w14:textId="676844FD"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192" w:type="dxa"/>
            <w:tcBorders>
              <w:top w:val="nil"/>
              <w:left w:val="nil"/>
              <w:bottom w:val="single" w:sz="4" w:space="0" w:color="auto"/>
              <w:right w:val="single" w:sz="4" w:space="0" w:color="auto"/>
            </w:tcBorders>
            <w:shd w:val="clear" w:color="000000" w:fill="FFFFFF"/>
            <w:noWrap/>
            <w:vAlign w:val="bottom"/>
            <w:hideMark/>
          </w:tcPr>
          <w:p w14:paraId="7D858FC4" w14:textId="7D358D19" w:rsidR="00543241" w:rsidRPr="000D1437" w:rsidRDefault="00543241" w:rsidP="00543241">
            <w:pPr>
              <w:jc w:val="right"/>
              <w:rPr>
                <w:rFonts w:ascii="Times New Roman" w:hAnsi="Times New Roman"/>
                <w:sz w:val="14"/>
                <w:szCs w:val="14"/>
              </w:rPr>
            </w:pPr>
            <w:r w:rsidRPr="000D1437">
              <w:rPr>
                <w:sz w:val="14"/>
                <w:szCs w:val="14"/>
              </w:rPr>
              <w:t>2232,70</w:t>
            </w:r>
          </w:p>
        </w:tc>
        <w:tc>
          <w:tcPr>
            <w:tcW w:w="1193" w:type="dxa"/>
            <w:tcBorders>
              <w:top w:val="nil"/>
              <w:left w:val="nil"/>
              <w:bottom w:val="single" w:sz="4" w:space="0" w:color="auto"/>
              <w:right w:val="single" w:sz="4" w:space="0" w:color="auto"/>
            </w:tcBorders>
            <w:shd w:val="clear" w:color="000000" w:fill="FFFFFF"/>
            <w:noWrap/>
            <w:vAlign w:val="bottom"/>
            <w:hideMark/>
          </w:tcPr>
          <w:p w14:paraId="07E943B9" w14:textId="0A72EBB3" w:rsidR="00543241" w:rsidRPr="000D1437" w:rsidRDefault="00543241" w:rsidP="00543241">
            <w:pPr>
              <w:jc w:val="right"/>
              <w:rPr>
                <w:rFonts w:ascii="Times New Roman" w:hAnsi="Times New Roman"/>
                <w:sz w:val="14"/>
                <w:szCs w:val="14"/>
              </w:rPr>
            </w:pPr>
            <w:r w:rsidRPr="000D1437">
              <w:rPr>
                <w:sz w:val="14"/>
                <w:szCs w:val="14"/>
              </w:rPr>
              <w:t>2118,90</w:t>
            </w:r>
          </w:p>
        </w:tc>
        <w:tc>
          <w:tcPr>
            <w:tcW w:w="1164" w:type="dxa"/>
            <w:tcBorders>
              <w:top w:val="nil"/>
              <w:left w:val="nil"/>
              <w:bottom w:val="single" w:sz="4" w:space="0" w:color="auto"/>
              <w:right w:val="single" w:sz="4" w:space="0" w:color="auto"/>
            </w:tcBorders>
            <w:shd w:val="clear" w:color="000000" w:fill="FFFFFF"/>
            <w:noWrap/>
            <w:vAlign w:val="bottom"/>
            <w:hideMark/>
          </w:tcPr>
          <w:p w14:paraId="1AD7CAE1" w14:textId="75C8EFFD" w:rsidR="00543241" w:rsidRPr="000D1437" w:rsidRDefault="00543241" w:rsidP="00543241">
            <w:pPr>
              <w:jc w:val="right"/>
              <w:rPr>
                <w:rFonts w:ascii="Times New Roman" w:hAnsi="Times New Roman"/>
                <w:sz w:val="14"/>
                <w:szCs w:val="14"/>
              </w:rPr>
            </w:pPr>
            <w:r w:rsidRPr="000D1437">
              <w:rPr>
                <w:sz w:val="14"/>
                <w:szCs w:val="14"/>
              </w:rPr>
              <w:t>2036,68</w:t>
            </w:r>
          </w:p>
        </w:tc>
        <w:tc>
          <w:tcPr>
            <w:tcW w:w="1150" w:type="dxa"/>
            <w:tcBorders>
              <w:top w:val="nil"/>
              <w:left w:val="nil"/>
              <w:bottom w:val="single" w:sz="4" w:space="0" w:color="auto"/>
              <w:right w:val="single" w:sz="4" w:space="0" w:color="auto"/>
            </w:tcBorders>
            <w:shd w:val="clear" w:color="000000" w:fill="FFFFFF"/>
            <w:noWrap/>
            <w:vAlign w:val="bottom"/>
            <w:hideMark/>
          </w:tcPr>
          <w:p w14:paraId="638ED5D4" w14:textId="38ABC56E" w:rsidR="00543241" w:rsidRPr="000D1437" w:rsidRDefault="00543241" w:rsidP="00543241">
            <w:pPr>
              <w:jc w:val="right"/>
              <w:rPr>
                <w:rFonts w:ascii="Times New Roman" w:hAnsi="Times New Roman"/>
                <w:sz w:val="14"/>
                <w:szCs w:val="14"/>
              </w:rPr>
            </w:pPr>
            <w:r w:rsidRPr="000D1437">
              <w:rPr>
                <w:sz w:val="14"/>
                <w:szCs w:val="14"/>
              </w:rPr>
              <w:t>1 346,69</w:t>
            </w:r>
          </w:p>
        </w:tc>
        <w:tc>
          <w:tcPr>
            <w:tcW w:w="1193" w:type="dxa"/>
            <w:tcBorders>
              <w:top w:val="nil"/>
              <w:left w:val="nil"/>
              <w:bottom w:val="single" w:sz="4" w:space="0" w:color="auto"/>
              <w:right w:val="single" w:sz="4" w:space="0" w:color="auto"/>
            </w:tcBorders>
            <w:shd w:val="clear" w:color="000000" w:fill="FFFFFF"/>
            <w:noWrap/>
            <w:vAlign w:val="bottom"/>
            <w:hideMark/>
          </w:tcPr>
          <w:p w14:paraId="79AE19C7" w14:textId="30C1E501" w:rsidR="00543241" w:rsidRPr="000D1437" w:rsidRDefault="00543241" w:rsidP="00543241">
            <w:pPr>
              <w:jc w:val="right"/>
              <w:rPr>
                <w:rFonts w:ascii="Times New Roman" w:hAnsi="Times New Roman"/>
                <w:sz w:val="14"/>
                <w:szCs w:val="14"/>
              </w:rPr>
            </w:pPr>
            <w:r w:rsidRPr="000D1437">
              <w:rPr>
                <w:sz w:val="14"/>
                <w:szCs w:val="14"/>
              </w:rPr>
              <w:t>1 324,02</w:t>
            </w:r>
          </w:p>
        </w:tc>
        <w:tc>
          <w:tcPr>
            <w:tcW w:w="1193" w:type="dxa"/>
            <w:tcBorders>
              <w:top w:val="nil"/>
              <w:left w:val="nil"/>
              <w:bottom w:val="single" w:sz="4" w:space="0" w:color="auto"/>
              <w:right w:val="single" w:sz="4" w:space="0" w:color="auto"/>
            </w:tcBorders>
            <w:shd w:val="clear" w:color="000000" w:fill="FFFFFF"/>
            <w:vAlign w:val="bottom"/>
          </w:tcPr>
          <w:p w14:paraId="271FD97C" w14:textId="197B1B40" w:rsidR="00543241" w:rsidRPr="000D1437" w:rsidRDefault="00543241" w:rsidP="00543241">
            <w:pPr>
              <w:jc w:val="right"/>
              <w:rPr>
                <w:rFonts w:ascii="Times New Roman" w:hAnsi="Times New Roman"/>
                <w:sz w:val="14"/>
                <w:szCs w:val="14"/>
              </w:rPr>
            </w:pPr>
            <w:r w:rsidRPr="000D1437">
              <w:rPr>
                <w:sz w:val="14"/>
                <w:szCs w:val="14"/>
              </w:rPr>
              <w:t>1 417,49</w:t>
            </w:r>
          </w:p>
        </w:tc>
      </w:tr>
      <w:tr w:rsidR="00543241" w:rsidRPr="00364545" w14:paraId="614F48A8"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11BB909"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192" w:type="dxa"/>
            <w:tcBorders>
              <w:top w:val="nil"/>
              <w:left w:val="nil"/>
              <w:bottom w:val="single" w:sz="4" w:space="0" w:color="auto"/>
              <w:right w:val="single" w:sz="4" w:space="0" w:color="auto"/>
            </w:tcBorders>
            <w:shd w:val="clear" w:color="000000" w:fill="CCFFFF"/>
            <w:noWrap/>
            <w:vAlign w:val="bottom"/>
            <w:hideMark/>
          </w:tcPr>
          <w:p w14:paraId="5F966329" w14:textId="22D12F75" w:rsidR="00543241" w:rsidRPr="000D1437" w:rsidRDefault="00543241" w:rsidP="00543241">
            <w:pPr>
              <w:jc w:val="right"/>
              <w:rPr>
                <w:rFonts w:ascii="Times New Roman" w:hAnsi="Times New Roman"/>
                <w:sz w:val="14"/>
                <w:szCs w:val="14"/>
              </w:rPr>
            </w:pPr>
            <w:r w:rsidRPr="000D1437">
              <w:rPr>
                <w:sz w:val="14"/>
                <w:szCs w:val="14"/>
              </w:rPr>
              <w:t>3136,57</w:t>
            </w:r>
          </w:p>
        </w:tc>
        <w:tc>
          <w:tcPr>
            <w:tcW w:w="1193" w:type="dxa"/>
            <w:tcBorders>
              <w:top w:val="nil"/>
              <w:left w:val="nil"/>
              <w:bottom w:val="single" w:sz="4" w:space="0" w:color="auto"/>
              <w:right w:val="single" w:sz="4" w:space="0" w:color="auto"/>
            </w:tcBorders>
            <w:shd w:val="clear" w:color="000000" w:fill="CCFFFF"/>
            <w:noWrap/>
            <w:vAlign w:val="bottom"/>
            <w:hideMark/>
          </w:tcPr>
          <w:p w14:paraId="27671462" w14:textId="4E1660BD" w:rsidR="00543241" w:rsidRPr="000D1437" w:rsidRDefault="00543241" w:rsidP="00543241">
            <w:pPr>
              <w:jc w:val="right"/>
              <w:rPr>
                <w:rFonts w:ascii="Times New Roman" w:hAnsi="Times New Roman"/>
                <w:sz w:val="14"/>
                <w:szCs w:val="14"/>
              </w:rPr>
            </w:pPr>
            <w:r w:rsidRPr="000D1437">
              <w:rPr>
                <w:sz w:val="14"/>
                <w:szCs w:val="14"/>
              </w:rPr>
              <w:t>3048,56</w:t>
            </w:r>
          </w:p>
        </w:tc>
        <w:tc>
          <w:tcPr>
            <w:tcW w:w="1164" w:type="dxa"/>
            <w:tcBorders>
              <w:top w:val="nil"/>
              <w:left w:val="nil"/>
              <w:bottom w:val="single" w:sz="4" w:space="0" w:color="auto"/>
              <w:right w:val="single" w:sz="4" w:space="0" w:color="auto"/>
            </w:tcBorders>
            <w:shd w:val="clear" w:color="000000" w:fill="CCFFFF"/>
            <w:noWrap/>
            <w:vAlign w:val="bottom"/>
            <w:hideMark/>
          </w:tcPr>
          <w:p w14:paraId="3885AA13" w14:textId="4B8A0634" w:rsidR="00543241" w:rsidRPr="000D1437" w:rsidRDefault="00543241" w:rsidP="00543241">
            <w:pPr>
              <w:jc w:val="right"/>
              <w:rPr>
                <w:rFonts w:ascii="Times New Roman" w:hAnsi="Times New Roman"/>
                <w:sz w:val="14"/>
                <w:szCs w:val="14"/>
              </w:rPr>
            </w:pPr>
            <w:r w:rsidRPr="000D1437">
              <w:rPr>
                <w:sz w:val="14"/>
                <w:szCs w:val="14"/>
              </w:rPr>
              <w:t>2945,84</w:t>
            </w:r>
          </w:p>
        </w:tc>
        <w:tc>
          <w:tcPr>
            <w:tcW w:w="1150" w:type="dxa"/>
            <w:tcBorders>
              <w:top w:val="nil"/>
              <w:left w:val="nil"/>
              <w:bottom w:val="single" w:sz="4" w:space="0" w:color="auto"/>
              <w:right w:val="single" w:sz="4" w:space="0" w:color="auto"/>
            </w:tcBorders>
            <w:shd w:val="clear" w:color="000000" w:fill="CCFFFF"/>
            <w:noWrap/>
            <w:vAlign w:val="bottom"/>
            <w:hideMark/>
          </w:tcPr>
          <w:p w14:paraId="7ADA76C3" w14:textId="091CE70A" w:rsidR="00543241" w:rsidRPr="000D1437" w:rsidRDefault="00543241" w:rsidP="00543241">
            <w:pPr>
              <w:jc w:val="right"/>
              <w:rPr>
                <w:rFonts w:ascii="Times New Roman" w:hAnsi="Times New Roman"/>
                <w:sz w:val="14"/>
                <w:szCs w:val="14"/>
              </w:rPr>
            </w:pPr>
            <w:r w:rsidRPr="000D1437">
              <w:rPr>
                <w:sz w:val="14"/>
                <w:szCs w:val="14"/>
              </w:rPr>
              <w:t>2957,80</w:t>
            </w:r>
          </w:p>
        </w:tc>
        <w:tc>
          <w:tcPr>
            <w:tcW w:w="1193" w:type="dxa"/>
            <w:tcBorders>
              <w:top w:val="nil"/>
              <w:left w:val="nil"/>
              <w:bottom w:val="single" w:sz="4" w:space="0" w:color="auto"/>
              <w:right w:val="single" w:sz="4" w:space="0" w:color="auto"/>
            </w:tcBorders>
            <w:shd w:val="clear" w:color="000000" w:fill="CCFFFF"/>
            <w:noWrap/>
            <w:vAlign w:val="bottom"/>
            <w:hideMark/>
          </w:tcPr>
          <w:p w14:paraId="2A0B0B35" w14:textId="34D81E8F" w:rsidR="00543241" w:rsidRPr="000D1437" w:rsidRDefault="00543241" w:rsidP="00543241">
            <w:pPr>
              <w:jc w:val="right"/>
              <w:rPr>
                <w:rFonts w:ascii="Times New Roman" w:hAnsi="Times New Roman"/>
                <w:sz w:val="14"/>
                <w:szCs w:val="14"/>
              </w:rPr>
            </w:pPr>
            <w:r w:rsidRPr="000D1437">
              <w:rPr>
                <w:sz w:val="14"/>
                <w:szCs w:val="14"/>
              </w:rPr>
              <w:t>2902,07</w:t>
            </w:r>
          </w:p>
        </w:tc>
        <w:tc>
          <w:tcPr>
            <w:tcW w:w="1193" w:type="dxa"/>
            <w:tcBorders>
              <w:top w:val="nil"/>
              <w:left w:val="nil"/>
              <w:bottom w:val="single" w:sz="4" w:space="0" w:color="auto"/>
              <w:right w:val="single" w:sz="4" w:space="0" w:color="auto"/>
            </w:tcBorders>
            <w:shd w:val="clear" w:color="000000" w:fill="CCFFFF"/>
            <w:vAlign w:val="bottom"/>
          </w:tcPr>
          <w:p w14:paraId="04B9A72E" w14:textId="62192911" w:rsidR="00543241" w:rsidRPr="000D1437" w:rsidRDefault="00543241" w:rsidP="00543241">
            <w:pPr>
              <w:jc w:val="right"/>
              <w:rPr>
                <w:rFonts w:ascii="Times New Roman" w:hAnsi="Times New Roman"/>
                <w:sz w:val="14"/>
                <w:szCs w:val="14"/>
              </w:rPr>
            </w:pPr>
            <w:r w:rsidRPr="000D1437">
              <w:rPr>
                <w:sz w:val="14"/>
                <w:szCs w:val="14"/>
              </w:rPr>
              <w:t>2997,51</w:t>
            </w:r>
          </w:p>
        </w:tc>
      </w:tr>
      <w:tr w:rsidR="00543241" w:rsidRPr="00364545" w14:paraId="1FC20CDB"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9A330AB" w14:textId="262B94E6"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192" w:type="dxa"/>
            <w:tcBorders>
              <w:top w:val="nil"/>
              <w:left w:val="nil"/>
              <w:bottom w:val="single" w:sz="4" w:space="0" w:color="auto"/>
              <w:right w:val="single" w:sz="4" w:space="0" w:color="auto"/>
            </w:tcBorders>
            <w:shd w:val="clear" w:color="000000" w:fill="FFFFFF"/>
            <w:noWrap/>
            <w:vAlign w:val="bottom"/>
            <w:hideMark/>
          </w:tcPr>
          <w:p w14:paraId="448EEF94" w14:textId="7A495833"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3A89EA57" w14:textId="6AC9935D" w:rsidR="00543241" w:rsidRPr="000D1437" w:rsidRDefault="00543241" w:rsidP="00543241">
            <w:pPr>
              <w:jc w:val="right"/>
              <w:rPr>
                <w:rFonts w:ascii="Times New Roman" w:hAnsi="Times New Roman"/>
                <w:sz w:val="14"/>
                <w:szCs w:val="14"/>
              </w:rPr>
            </w:pPr>
            <w:r w:rsidRPr="000D1437">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57EFE2D2" w14:textId="522733EC" w:rsidR="00543241" w:rsidRPr="000D1437" w:rsidRDefault="00543241" w:rsidP="00543241">
            <w:pPr>
              <w:jc w:val="right"/>
              <w:rPr>
                <w:rFonts w:ascii="Times New Roman" w:hAnsi="Times New Roman"/>
                <w:sz w:val="14"/>
                <w:szCs w:val="14"/>
              </w:rPr>
            </w:pPr>
            <w:r w:rsidRPr="000D1437">
              <w:rPr>
                <w:sz w:val="14"/>
                <w:szCs w:val="14"/>
              </w:rPr>
              <w:t>NO,NA</w:t>
            </w:r>
          </w:p>
        </w:tc>
        <w:tc>
          <w:tcPr>
            <w:tcW w:w="1150" w:type="dxa"/>
            <w:tcBorders>
              <w:top w:val="nil"/>
              <w:left w:val="nil"/>
              <w:bottom w:val="single" w:sz="4" w:space="0" w:color="auto"/>
              <w:right w:val="single" w:sz="4" w:space="0" w:color="auto"/>
            </w:tcBorders>
            <w:shd w:val="clear" w:color="000000" w:fill="FFFFFF"/>
            <w:noWrap/>
            <w:vAlign w:val="bottom"/>
            <w:hideMark/>
          </w:tcPr>
          <w:p w14:paraId="28DD7C9D" w14:textId="44FFB62E"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54026335" w14:textId="20FCED90"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vAlign w:val="bottom"/>
          </w:tcPr>
          <w:p w14:paraId="7AA4CFBA" w14:textId="2232618A"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33E73EBC"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273F1D1" w14:textId="70FC001D"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192" w:type="dxa"/>
            <w:tcBorders>
              <w:top w:val="nil"/>
              <w:left w:val="nil"/>
              <w:bottom w:val="single" w:sz="4" w:space="0" w:color="auto"/>
              <w:right w:val="single" w:sz="4" w:space="0" w:color="auto"/>
            </w:tcBorders>
            <w:shd w:val="clear" w:color="000000" w:fill="FFFFFF"/>
            <w:noWrap/>
            <w:vAlign w:val="bottom"/>
            <w:hideMark/>
          </w:tcPr>
          <w:p w14:paraId="6510CAF8" w14:textId="01D4B5C4" w:rsidR="00543241" w:rsidRPr="000D1437" w:rsidRDefault="00543241" w:rsidP="00543241">
            <w:pPr>
              <w:jc w:val="right"/>
              <w:rPr>
                <w:rFonts w:ascii="Times New Roman" w:hAnsi="Times New Roman"/>
                <w:sz w:val="14"/>
                <w:szCs w:val="14"/>
              </w:rPr>
            </w:pPr>
            <w:r w:rsidRPr="000D1437">
              <w:rPr>
                <w:sz w:val="14"/>
                <w:szCs w:val="14"/>
              </w:rPr>
              <w:t>3136,57</w:t>
            </w:r>
          </w:p>
        </w:tc>
        <w:tc>
          <w:tcPr>
            <w:tcW w:w="1193" w:type="dxa"/>
            <w:tcBorders>
              <w:top w:val="nil"/>
              <w:left w:val="nil"/>
              <w:bottom w:val="single" w:sz="4" w:space="0" w:color="auto"/>
              <w:right w:val="single" w:sz="4" w:space="0" w:color="auto"/>
            </w:tcBorders>
            <w:shd w:val="clear" w:color="000000" w:fill="FFFFFF"/>
            <w:noWrap/>
            <w:vAlign w:val="bottom"/>
            <w:hideMark/>
          </w:tcPr>
          <w:p w14:paraId="50478999" w14:textId="584DD062" w:rsidR="00543241" w:rsidRPr="000D1437" w:rsidRDefault="00543241" w:rsidP="00543241">
            <w:pPr>
              <w:jc w:val="right"/>
              <w:rPr>
                <w:rFonts w:ascii="Times New Roman" w:hAnsi="Times New Roman"/>
                <w:sz w:val="14"/>
                <w:szCs w:val="14"/>
              </w:rPr>
            </w:pPr>
            <w:r w:rsidRPr="000D1437">
              <w:rPr>
                <w:sz w:val="14"/>
                <w:szCs w:val="14"/>
              </w:rPr>
              <w:t>3048,56</w:t>
            </w:r>
          </w:p>
        </w:tc>
        <w:tc>
          <w:tcPr>
            <w:tcW w:w="1164" w:type="dxa"/>
            <w:tcBorders>
              <w:top w:val="nil"/>
              <w:left w:val="nil"/>
              <w:bottom w:val="single" w:sz="4" w:space="0" w:color="auto"/>
              <w:right w:val="single" w:sz="4" w:space="0" w:color="auto"/>
            </w:tcBorders>
            <w:shd w:val="clear" w:color="000000" w:fill="FFFFFF"/>
            <w:noWrap/>
            <w:vAlign w:val="bottom"/>
            <w:hideMark/>
          </w:tcPr>
          <w:p w14:paraId="637695EF" w14:textId="3C401193" w:rsidR="00543241" w:rsidRPr="000D1437" w:rsidRDefault="00543241" w:rsidP="00543241">
            <w:pPr>
              <w:jc w:val="right"/>
              <w:rPr>
                <w:rFonts w:ascii="Times New Roman" w:hAnsi="Times New Roman"/>
                <w:sz w:val="14"/>
                <w:szCs w:val="14"/>
              </w:rPr>
            </w:pPr>
            <w:r w:rsidRPr="000D1437">
              <w:rPr>
                <w:sz w:val="14"/>
                <w:szCs w:val="14"/>
              </w:rPr>
              <w:t>2945,84</w:t>
            </w:r>
          </w:p>
        </w:tc>
        <w:tc>
          <w:tcPr>
            <w:tcW w:w="1150" w:type="dxa"/>
            <w:tcBorders>
              <w:top w:val="nil"/>
              <w:left w:val="nil"/>
              <w:bottom w:val="single" w:sz="4" w:space="0" w:color="auto"/>
              <w:right w:val="single" w:sz="4" w:space="0" w:color="auto"/>
            </w:tcBorders>
            <w:shd w:val="clear" w:color="000000" w:fill="FFFFFF"/>
            <w:noWrap/>
            <w:vAlign w:val="bottom"/>
            <w:hideMark/>
          </w:tcPr>
          <w:p w14:paraId="5762EC7B" w14:textId="00EF1A4F" w:rsidR="00543241" w:rsidRPr="000D1437" w:rsidRDefault="00543241" w:rsidP="00543241">
            <w:pPr>
              <w:jc w:val="right"/>
              <w:rPr>
                <w:rFonts w:ascii="Times New Roman" w:hAnsi="Times New Roman"/>
                <w:sz w:val="14"/>
                <w:szCs w:val="14"/>
              </w:rPr>
            </w:pPr>
            <w:r w:rsidRPr="000D1437">
              <w:rPr>
                <w:sz w:val="14"/>
                <w:szCs w:val="14"/>
              </w:rPr>
              <w:t>2 957,80</w:t>
            </w:r>
          </w:p>
        </w:tc>
        <w:tc>
          <w:tcPr>
            <w:tcW w:w="1193" w:type="dxa"/>
            <w:tcBorders>
              <w:top w:val="nil"/>
              <w:left w:val="nil"/>
              <w:bottom w:val="single" w:sz="4" w:space="0" w:color="auto"/>
              <w:right w:val="single" w:sz="4" w:space="0" w:color="auto"/>
            </w:tcBorders>
            <w:shd w:val="clear" w:color="000000" w:fill="FFFFFF"/>
            <w:noWrap/>
            <w:vAlign w:val="bottom"/>
            <w:hideMark/>
          </w:tcPr>
          <w:p w14:paraId="091711CA" w14:textId="6FD0FD5F" w:rsidR="00543241" w:rsidRPr="000D1437" w:rsidRDefault="00543241" w:rsidP="00543241">
            <w:pPr>
              <w:jc w:val="right"/>
              <w:rPr>
                <w:rFonts w:ascii="Times New Roman" w:hAnsi="Times New Roman"/>
                <w:sz w:val="14"/>
                <w:szCs w:val="14"/>
              </w:rPr>
            </w:pPr>
            <w:r w:rsidRPr="000D1437">
              <w:rPr>
                <w:sz w:val="14"/>
                <w:szCs w:val="14"/>
              </w:rPr>
              <w:t>2 902,07</w:t>
            </w:r>
          </w:p>
        </w:tc>
        <w:tc>
          <w:tcPr>
            <w:tcW w:w="1193" w:type="dxa"/>
            <w:tcBorders>
              <w:top w:val="nil"/>
              <w:left w:val="nil"/>
              <w:bottom w:val="single" w:sz="4" w:space="0" w:color="auto"/>
              <w:right w:val="single" w:sz="4" w:space="0" w:color="auto"/>
            </w:tcBorders>
            <w:shd w:val="clear" w:color="000000" w:fill="FFFFFF"/>
            <w:vAlign w:val="bottom"/>
          </w:tcPr>
          <w:p w14:paraId="55122376" w14:textId="3F9519F4" w:rsidR="00543241" w:rsidRPr="000D1437" w:rsidRDefault="00543241" w:rsidP="00543241">
            <w:pPr>
              <w:jc w:val="right"/>
              <w:rPr>
                <w:rFonts w:ascii="Times New Roman" w:hAnsi="Times New Roman"/>
                <w:sz w:val="14"/>
                <w:szCs w:val="14"/>
              </w:rPr>
            </w:pPr>
            <w:r w:rsidRPr="000D1437">
              <w:rPr>
                <w:sz w:val="14"/>
                <w:szCs w:val="14"/>
              </w:rPr>
              <w:t>2 997,51</w:t>
            </w:r>
          </w:p>
        </w:tc>
      </w:tr>
      <w:tr w:rsidR="00543241" w:rsidRPr="00364545" w14:paraId="72B64BC6"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95E761B" w14:textId="5BEC86D9"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192" w:type="dxa"/>
            <w:tcBorders>
              <w:top w:val="nil"/>
              <w:left w:val="nil"/>
              <w:bottom w:val="single" w:sz="4" w:space="0" w:color="auto"/>
              <w:right w:val="single" w:sz="4" w:space="0" w:color="auto"/>
            </w:tcBorders>
            <w:shd w:val="clear" w:color="000000" w:fill="FFFFFF"/>
            <w:noWrap/>
            <w:vAlign w:val="bottom"/>
            <w:hideMark/>
          </w:tcPr>
          <w:p w14:paraId="47E5D269" w14:textId="56116EFF" w:rsidR="00543241" w:rsidRPr="000D1437" w:rsidRDefault="00543241" w:rsidP="00543241">
            <w:pPr>
              <w:jc w:val="right"/>
              <w:rPr>
                <w:rFonts w:ascii="Times New Roman" w:hAnsi="Times New Roman"/>
                <w:sz w:val="14"/>
                <w:szCs w:val="14"/>
              </w:rPr>
            </w:pPr>
            <w:r w:rsidRPr="000D1437">
              <w:rPr>
                <w:sz w:val="14"/>
                <w:szCs w:val="14"/>
              </w:rPr>
              <w:t>NO,IE</w:t>
            </w:r>
          </w:p>
        </w:tc>
        <w:tc>
          <w:tcPr>
            <w:tcW w:w="1193" w:type="dxa"/>
            <w:tcBorders>
              <w:top w:val="nil"/>
              <w:left w:val="nil"/>
              <w:bottom w:val="single" w:sz="4" w:space="0" w:color="auto"/>
              <w:right w:val="single" w:sz="4" w:space="0" w:color="auto"/>
            </w:tcBorders>
            <w:shd w:val="clear" w:color="000000" w:fill="FFFFFF"/>
            <w:noWrap/>
            <w:vAlign w:val="bottom"/>
            <w:hideMark/>
          </w:tcPr>
          <w:p w14:paraId="56C5CF80" w14:textId="75DBFFCE" w:rsidR="00543241" w:rsidRPr="000D1437" w:rsidRDefault="00543241" w:rsidP="00543241">
            <w:pPr>
              <w:jc w:val="right"/>
              <w:rPr>
                <w:rFonts w:ascii="Times New Roman" w:hAnsi="Times New Roman"/>
                <w:sz w:val="14"/>
                <w:szCs w:val="14"/>
              </w:rPr>
            </w:pPr>
            <w:r w:rsidRPr="000D1437">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7DB634AB" w14:textId="13F17381" w:rsidR="00543241" w:rsidRPr="000D1437" w:rsidRDefault="00543241" w:rsidP="00543241">
            <w:pPr>
              <w:jc w:val="right"/>
              <w:rPr>
                <w:rFonts w:ascii="Times New Roman" w:hAnsi="Times New Roman"/>
                <w:sz w:val="14"/>
                <w:szCs w:val="14"/>
              </w:rPr>
            </w:pPr>
            <w:r w:rsidRPr="000D1437">
              <w:rPr>
                <w:sz w:val="14"/>
                <w:szCs w:val="14"/>
              </w:rPr>
              <w:t>NO,NA</w:t>
            </w:r>
          </w:p>
        </w:tc>
        <w:tc>
          <w:tcPr>
            <w:tcW w:w="1150" w:type="dxa"/>
            <w:tcBorders>
              <w:top w:val="nil"/>
              <w:left w:val="nil"/>
              <w:bottom w:val="single" w:sz="4" w:space="0" w:color="auto"/>
              <w:right w:val="single" w:sz="4" w:space="0" w:color="auto"/>
            </w:tcBorders>
            <w:shd w:val="clear" w:color="000000" w:fill="FFFFFF"/>
            <w:noWrap/>
            <w:vAlign w:val="bottom"/>
            <w:hideMark/>
          </w:tcPr>
          <w:p w14:paraId="520F75C9" w14:textId="30E8E478"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36268EFD" w14:textId="7191A9CE"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vAlign w:val="bottom"/>
          </w:tcPr>
          <w:p w14:paraId="00485A21" w14:textId="7C2C3859"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34DA2355"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685D614" w14:textId="0E9D3A18"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2. Industrial Processes</w:t>
            </w:r>
          </w:p>
        </w:tc>
        <w:tc>
          <w:tcPr>
            <w:tcW w:w="1192" w:type="dxa"/>
            <w:tcBorders>
              <w:top w:val="nil"/>
              <w:left w:val="nil"/>
              <w:bottom w:val="single" w:sz="4" w:space="0" w:color="auto"/>
              <w:right w:val="single" w:sz="4" w:space="0" w:color="auto"/>
            </w:tcBorders>
            <w:shd w:val="clear" w:color="000000" w:fill="CCFFFF"/>
            <w:noWrap/>
            <w:vAlign w:val="bottom"/>
            <w:hideMark/>
          </w:tcPr>
          <w:p w14:paraId="67729BC0" w14:textId="477A998E" w:rsidR="00543241" w:rsidRPr="000D1437" w:rsidRDefault="00543241" w:rsidP="00543241">
            <w:pPr>
              <w:jc w:val="right"/>
              <w:rPr>
                <w:rFonts w:ascii="Times New Roman" w:hAnsi="Times New Roman"/>
                <w:sz w:val="14"/>
                <w:szCs w:val="14"/>
              </w:rPr>
            </w:pPr>
            <w:r w:rsidRPr="000D1437">
              <w:rPr>
                <w:sz w:val="14"/>
                <w:szCs w:val="14"/>
              </w:rPr>
              <w:t>32529,13</w:t>
            </w:r>
          </w:p>
        </w:tc>
        <w:tc>
          <w:tcPr>
            <w:tcW w:w="1193" w:type="dxa"/>
            <w:tcBorders>
              <w:top w:val="nil"/>
              <w:left w:val="nil"/>
              <w:bottom w:val="single" w:sz="4" w:space="0" w:color="auto"/>
              <w:right w:val="single" w:sz="4" w:space="0" w:color="auto"/>
            </w:tcBorders>
            <w:shd w:val="clear" w:color="000000" w:fill="CCFFFF"/>
            <w:noWrap/>
            <w:vAlign w:val="bottom"/>
            <w:hideMark/>
          </w:tcPr>
          <w:p w14:paraId="32CDF077" w14:textId="4561B3BA" w:rsidR="00543241" w:rsidRPr="000D1437" w:rsidRDefault="00543241" w:rsidP="00543241">
            <w:pPr>
              <w:jc w:val="right"/>
              <w:rPr>
                <w:rFonts w:ascii="Times New Roman" w:hAnsi="Times New Roman"/>
                <w:sz w:val="14"/>
                <w:szCs w:val="14"/>
              </w:rPr>
            </w:pPr>
            <w:r w:rsidRPr="000D1437">
              <w:rPr>
                <w:sz w:val="14"/>
                <w:szCs w:val="14"/>
              </w:rPr>
              <w:t>32255,62</w:t>
            </w:r>
          </w:p>
        </w:tc>
        <w:tc>
          <w:tcPr>
            <w:tcW w:w="1164" w:type="dxa"/>
            <w:tcBorders>
              <w:top w:val="nil"/>
              <w:left w:val="nil"/>
              <w:bottom w:val="single" w:sz="4" w:space="0" w:color="auto"/>
              <w:right w:val="single" w:sz="4" w:space="0" w:color="auto"/>
            </w:tcBorders>
            <w:shd w:val="clear" w:color="000000" w:fill="CCFFFF"/>
            <w:noWrap/>
            <w:vAlign w:val="bottom"/>
            <w:hideMark/>
          </w:tcPr>
          <w:p w14:paraId="218EC54C" w14:textId="5038C9ED" w:rsidR="00543241" w:rsidRPr="000D1437" w:rsidRDefault="00543241" w:rsidP="00543241">
            <w:pPr>
              <w:jc w:val="right"/>
              <w:rPr>
                <w:rFonts w:ascii="Times New Roman" w:hAnsi="Times New Roman"/>
                <w:sz w:val="14"/>
                <w:szCs w:val="14"/>
              </w:rPr>
            </w:pPr>
            <w:r w:rsidRPr="000D1437">
              <w:rPr>
                <w:sz w:val="14"/>
                <w:szCs w:val="14"/>
              </w:rPr>
              <w:t>30753,22</w:t>
            </w:r>
          </w:p>
        </w:tc>
        <w:tc>
          <w:tcPr>
            <w:tcW w:w="1150" w:type="dxa"/>
            <w:tcBorders>
              <w:top w:val="nil"/>
              <w:left w:val="nil"/>
              <w:bottom w:val="single" w:sz="4" w:space="0" w:color="auto"/>
              <w:right w:val="single" w:sz="4" w:space="0" w:color="auto"/>
            </w:tcBorders>
            <w:shd w:val="clear" w:color="000000" w:fill="CCFFFF"/>
            <w:noWrap/>
            <w:vAlign w:val="bottom"/>
            <w:hideMark/>
          </w:tcPr>
          <w:p w14:paraId="7D33B3B2" w14:textId="2DA75D65" w:rsidR="00543241" w:rsidRPr="000D1437" w:rsidRDefault="00543241" w:rsidP="00543241">
            <w:pPr>
              <w:jc w:val="right"/>
              <w:rPr>
                <w:rFonts w:ascii="Times New Roman" w:hAnsi="Times New Roman"/>
                <w:sz w:val="14"/>
                <w:szCs w:val="14"/>
              </w:rPr>
            </w:pPr>
            <w:r w:rsidRPr="000D1437">
              <w:rPr>
                <w:sz w:val="14"/>
                <w:szCs w:val="14"/>
              </w:rPr>
              <w:t>30937,29</w:t>
            </w:r>
          </w:p>
        </w:tc>
        <w:tc>
          <w:tcPr>
            <w:tcW w:w="1193" w:type="dxa"/>
            <w:tcBorders>
              <w:top w:val="nil"/>
              <w:left w:val="nil"/>
              <w:bottom w:val="single" w:sz="4" w:space="0" w:color="auto"/>
              <w:right w:val="single" w:sz="4" w:space="0" w:color="auto"/>
            </w:tcBorders>
            <w:shd w:val="clear" w:color="000000" w:fill="CCFFFF"/>
            <w:noWrap/>
            <w:vAlign w:val="bottom"/>
            <w:hideMark/>
          </w:tcPr>
          <w:p w14:paraId="4381B19E" w14:textId="08B6AC6F" w:rsidR="00543241" w:rsidRPr="000D1437" w:rsidRDefault="00543241" w:rsidP="00543241">
            <w:pPr>
              <w:jc w:val="right"/>
              <w:rPr>
                <w:rFonts w:ascii="Times New Roman" w:hAnsi="Times New Roman"/>
                <w:sz w:val="14"/>
                <w:szCs w:val="14"/>
              </w:rPr>
            </w:pPr>
            <w:r w:rsidRPr="000D1437">
              <w:rPr>
                <w:sz w:val="14"/>
                <w:szCs w:val="14"/>
              </w:rPr>
              <w:t>32378,66</w:t>
            </w:r>
          </w:p>
        </w:tc>
        <w:tc>
          <w:tcPr>
            <w:tcW w:w="1193" w:type="dxa"/>
            <w:tcBorders>
              <w:top w:val="nil"/>
              <w:left w:val="nil"/>
              <w:bottom w:val="single" w:sz="4" w:space="0" w:color="auto"/>
              <w:right w:val="single" w:sz="4" w:space="0" w:color="auto"/>
            </w:tcBorders>
            <w:shd w:val="clear" w:color="000000" w:fill="CCFFFF"/>
            <w:vAlign w:val="bottom"/>
          </w:tcPr>
          <w:p w14:paraId="6187E146" w14:textId="6301CF67" w:rsidR="00543241" w:rsidRPr="000D1437" w:rsidRDefault="00543241" w:rsidP="00543241">
            <w:pPr>
              <w:jc w:val="right"/>
              <w:rPr>
                <w:rFonts w:ascii="Times New Roman" w:hAnsi="Times New Roman"/>
                <w:sz w:val="14"/>
                <w:szCs w:val="14"/>
              </w:rPr>
            </w:pPr>
            <w:r w:rsidRPr="000D1437">
              <w:rPr>
                <w:sz w:val="14"/>
                <w:szCs w:val="14"/>
              </w:rPr>
              <w:t>31929,42</w:t>
            </w:r>
          </w:p>
        </w:tc>
      </w:tr>
      <w:tr w:rsidR="00543241" w:rsidRPr="00364545" w14:paraId="3439292F"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F8A32BF" w14:textId="40CA7160"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192" w:type="dxa"/>
            <w:tcBorders>
              <w:top w:val="nil"/>
              <w:left w:val="nil"/>
              <w:bottom w:val="single" w:sz="4" w:space="0" w:color="auto"/>
              <w:right w:val="single" w:sz="4" w:space="0" w:color="auto"/>
            </w:tcBorders>
            <w:shd w:val="clear" w:color="000000" w:fill="FFFFFF"/>
            <w:noWrap/>
            <w:vAlign w:val="bottom"/>
            <w:hideMark/>
          </w:tcPr>
          <w:p w14:paraId="63C98C12" w14:textId="577E7B48" w:rsidR="00543241" w:rsidRPr="000D1437" w:rsidRDefault="00543241" w:rsidP="00543241">
            <w:pPr>
              <w:jc w:val="right"/>
              <w:rPr>
                <w:rFonts w:ascii="Times New Roman" w:hAnsi="Times New Roman"/>
                <w:sz w:val="14"/>
                <w:szCs w:val="14"/>
              </w:rPr>
            </w:pPr>
            <w:r w:rsidRPr="000D1437">
              <w:rPr>
                <w:sz w:val="14"/>
                <w:szCs w:val="14"/>
              </w:rPr>
              <w:t>10663,02</w:t>
            </w:r>
          </w:p>
        </w:tc>
        <w:tc>
          <w:tcPr>
            <w:tcW w:w="1193" w:type="dxa"/>
            <w:tcBorders>
              <w:top w:val="nil"/>
              <w:left w:val="nil"/>
              <w:bottom w:val="single" w:sz="4" w:space="0" w:color="auto"/>
              <w:right w:val="single" w:sz="4" w:space="0" w:color="auto"/>
            </w:tcBorders>
            <w:shd w:val="clear" w:color="000000" w:fill="FFFFFF"/>
            <w:noWrap/>
            <w:vAlign w:val="bottom"/>
            <w:hideMark/>
          </w:tcPr>
          <w:p w14:paraId="460F81B4" w14:textId="2A4C6355" w:rsidR="00543241" w:rsidRPr="000D1437" w:rsidRDefault="00543241" w:rsidP="00543241">
            <w:pPr>
              <w:jc w:val="right"/>
              <w:rPr>
                <w:rFonts w:ascii="Times New Roman" w:hAnsi="Times New Roman"/>
                <w:sz w:val="14"/>
                <w:szCs w:val="14"/>
              </w:rPr>
            </w:pPr>
            <w:r w:rsidRPr="000D1437">
              <w:rPr>
                <w:sz w:val="14"/>
                <w:szCs w:val="14"/>
              </w:rPr>
              <w:t>10281,28</w:t>
            </w:r>
          </w:p>
        </w:tc>
        <w:tc>
          <w:tcPr>
            <w:tcW w:w="1164" w:type="dxa"/>
            <w:tcBorders>
              <w:top w:val="nil"/>
              <w:left w:val="nil"/>
              <w:bottom w:val="single" w:sz="4" w:space="0" w:color="auto"/>
              <w:right w:val="single" w:sz="4" w:space="0" w:color="auto"/>
            </w:tcBorders>
            <w:shd w:val="clear" w:color="000000" w:fill="FFFFFF"/>
            <w:noWrap/>
            <w:vAlign w:val="bottom"/>
            <w:hideMark/>
          </w:tcPr>
          <w:p w14:paraId="5BEFB732" w14:textId="4F8B761D" w:rsidR="00543241" w:rsidRPr="000D1437" w:rsidRDefault="00543241" w:rsidP="00543241">
            <w:pPr>
              <w:jc w:val="right"/>
              <w:rPr>
                <w:rFonts w:ascii="Times New Roman" w:hAnsi="Times New Roman"/>
                <w:sz w:val="14"/>
                <w:szCs w:val="14"/>
              </w:rPr>
            </w:pPr>
            <w:r w:rsidRPr="000D1437">
              <w:rPr>
                <w:sz w:val="14"/>
                <w:szCs w:val="14"/>
              </w:rPr>
              <w:t>9727,61</w:t>
            </w:r>
          </w:p>
        </w:tc>
        <w:tc>
          <w:tcPr>
            <w:tcW w:w="1150" w:type="dxa"/>
            <w:tcBorders>
              <w:top w:val="nil"/>
              <w:left w:val="nil"/>
              <w:bottom w:val="single" w:sz="4" w:space="0" w:color="auto"/>
              <w:right w:val="single" w:sz="4" w:space="0" w:color="auto"/>
            </w:tcBorders>
            <w:shd w:val="clear" w:color="000000" w:fill="FFFFFF"/>
            <w:noWrap/>
            <w:vAlign w:val="bottom"/>
            <w:hideMark/>
          </w:tcPr>
          <w:p w14:paraId="1653ED15" w14:textId="343F2641" w:rsidR="00543241" w:rsidRPr="000D1437" w:rsidRDefault="00543241" w:rsidP="00543241">
            <w:pPr>
              <w:jc w:val="right"/>
              <w:rPr>
                <w:rFonts w:ascii="Times New Roman" w:hAnsi="Times New Roman"/>
                <w:sz w:val="14"/>
                <w:szCs w:val="14"/>
              </w:rPr>
            </w:pPr>
            <w:r w:rsidRPr="000D1437">
              <w:rPr>
                <w:sz w:val="14"/>
                <w:szCs w:val="14"/>
              </w:rPr>
              <w:t>9 636,04</w:t>
            </w:r>
          </w:p>
        </w:tc>
        <w:tc>
          <w:tcPr>
            <w:tcW w:w="1193" w:type="dxa"/>
            <w:tcBorders>
              <w:top w:val="nil"/>
              <w:left w:val="nil"/>
              <w:bottom w:val="single" w:sz="4" w:space="0" w:color="auto"/>
              <w:right w:val="single" w:sz="4" w:space="0" w:color="auto"/>
            </w:tcBorders>
            <w:shd w:val="clear" w:color="000000" w:fill="FFFFFF"/>
            <w:noWrap/>
            <w:vAlign w:val="bottom"/>
            <w:hideMark/>
          </w:tcPr>
          <w:p w14:paraId="2CBAF208" w14:textId="75AB5EC8" w:rsidR="00543241" w:rsidRPr="000D1437" w:rsidRDefault="00543241" w:rsidP="00543241">
            <w:pPr>
              <w:jc w:val="right"/>
              <w:rPr>
                <w:rFonts w:ascii="Times New Roman" w:hAnsi="Times New Roman"/>
                <w:sz w:val="14"/>
                <w:szCs w:val="14"/>
              </w:rPr>
            </w:pPr>
            <w:r w:rsidRPr="000D1437">
              <w:rPr>
                <w:sz w:val="14"/>
                <w:szCs w:val="14"/>
              </w:rPr>
              <w:t>9 557,16</w:t>
            </w:r>
          </w:p>
        </w:tc>
        <w:tc>
          <w:tcPr>
            <w:tcW w:w="1193" w:type="dxa"/>
            <w:tcBorders>
              <w:top w:val="nil"/>
              <w:left w:val="nil"/>
              <w:bottom w:val="single" w:sz="4" w:space="0" w:color="auto"/>
              <w:right w:val="single" w:sz="4" w:space="0" w:color="auto"/>
            </w:tcBorders>
            <w:shd w:val="clear" w:color="000000" w:fill="FFFFFF"/>
            <w:vAlign w:val="bottom"/>
          </w:tcPr>
          <w:p w14:paraId="1AE3E79D" w14:textId="4A601052" w:rsidR="00543241" w:rsidRPr="000D1437" w:rsidRDefault="00543241" w:rsidP="00543241">
            <w:pPr>
              <w:jc w:val="right"/>
              <w:rPr>
                <w:rFonts w:ascii="Times New Roman" w:hAnsi="Times New Roman"/>
                <w:sz w:val="14"/>
                <w:szCs w:val="14"/>
              </w:rPr>
            </w:pPr>
            <w:r w:rsidRPr="000D1437">
              <w:rPr>
                <w:sz w:val="14"/>
                <w:szCs w:val="14"/>
              </w:rPr>
              <w:t>9 982,10</w:t>
            </w:r>
          </w:p>
        </w:tc>
      </w:tr>
      <w:tr w:rsidR="00543241" w:rsidRPr="00364545" w14:paraId="0EF4DFE8"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FEDBDEE" w14:textId="316C54BB"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192" w:type="dxa"/>
            <w:tcBorders>
              <w:top w:val="nil"/>
              <w:left w:val="nil"/>
              <w:bottom w:val="single" w:sz="4" w:space="0" w:color="auto"/>
              <w:right w:val="single" w:sz="4" w:space="0" w:color="auto"/>
            </w:tcBorders>
            <w:shd w:val="clear" w:color="000000" w:fill="FFFFFF"/>
            <w:noWrap/>
            <w:vAlign w:val="bottom"/>
            <w:hideMark/>
          </w:tcPr>
          <w:p w14:paraId="2E9BFC60" w14:textId="625F08C2" w:rsidR="00543241" w:rsidRPr="000D1437" w:rsidRDefault="00543241" w:rsidP="00543241">
            <w:pPr>
              <w:jc w:val="right"/>
              <w:rPr>
                <w:rFonts w:ascii="Times New Roman" w:hAnsi="Times New Roman"/>
                <w:sz w:val="14"/>
                <w:szCs w:val="14"/>
              </w:rPr>
            </w:pPr>
            <w:r w:rsidRPr="000D1437">
              <w:rPr>
                <w:sz w:val="14"/>
                <w:szCs w:val="14"/>
              </w:rPr>
              <w:t>6309,20</w:t>
            </w:r>
          </w:p>
        </w:tc>
        <w:tc>
          <w:tcPr>
            <w:tcW w:w="1193" w:type="dxa"/>
            <w:tcBorders>
              <w:top w:val="nil"/>
              <w:left w:val="nil"/>
              <w:bottom w:val="single" w:sz="4" w:space="0" w:color="auto"/>
              <w:right w:val="single" w:sz="4" w:space="0" w:color="auto"/>
            </w:tcBorders>
            <w:shd w:val="clear" w:color="000000" w:fill="FFFFFF"/>
            <w:noWrap/>
            <w:vAlign w:val="bottom"/>
            <w:hideMark/>
          </w:tcPr>
          <w:p w14:paraId="312DA918" w14:textId="72DFD4B0" w:rsidR="00543241" w:rsidRPr="000D1437" w:rsidRDefault="00543241" w:rsidP="00543241">
            <w:pPr>
              <w:jc w:val="right"/>
              <w:rPr>
                <w:rFonts w:ascii="Times New Roman" w:hAnsi="Times New Roman"/>
                <w:sz w:val="14"/>
                <w:szCs w:val="14"/>
              </w:rPr>
            </w:pPr>
            <w:r w:rsidRPr="000D1437">
              <w:rPr>
                <w:sz w:val="14"/>
                <w:szCs w:val="14"/>
              </w:rPr>
              <w:t>6768,34</w:t>
            </w:r>
          </w:p>
        </w:tc>
        <w:tc>
          <w:tcPr>
            <w:tcW w:w="1164" w:type="dxa"/>
            <w:tcBorders>
              <w:top w:val="nil"/>
              <w:left w:val="nil"/>
              <w:bottom w:val="single" w:sz="4" w:space="0" w:color="auto"/>
              <w:right w:val="single" w:sz="4" w:space="0" w:color="auto"/>
            </w:tcBorders>
            <w:shd w:val="clear" w:color="000000" w:fill="FFFFFF"/>
            <w:noWrap/>
            <w:vAlign w:val="bottom"/>
            <w:hideMark/>
          </w:tcPr>
          <w:p w14:paraId="3FBCDCBA" w14:textId="0FEF5874" w:rsidR="00543241" w:rsidRPr="000D1437" w:rsidRDefault="00543241" w:rsidP="00543241">
            <w:pPr>
              <w:jc w:val="right"/>
              <w:rPr>
                <w:rFonts w:ascii="Times New Roman" w:hAnsi="Times New Roman"/>
                <w:sz w:val="14"/>
                <w:szCs w:val="14"/>
              </w:rPr>
            </w:pPr>
            <w:r w:rsidRPr="000D1437">
              <w:rPr>
                <w:sz w:val="14"/>
                <w:szCs w:val="14"/>
              </w:rPr>
              <w:t>6689,39</w:t>
            </w:r>
          </w:p>
        </w:tc>
        <w:tc>
          <w:tcPr>
            <w:tcW w:w="1150" w:type="dxa"/>
            <w:tcBorders>
              <w:top w:val="nil"/>
              <w:left w:val="nil"/>
              <w:bottom w:val="single" w:sz="4" w:space="0" w:color="auto"/>
              <w:right w:val="single" w:sz="4" w:space="0" w:color="auto"/>
            </w:tcBorders>
            <w:shd w:val="clear" w:color="000000" w:fill="FFFFFF"/>
            <w:noWrap/>
            <w:vAlign w:val="bottom"/>
            <w:hideMark/>
          </w:tcPr>
          <w:p w14:paraId="4B6CB1B2" w14:textId="6C211EFF" w:rsidR="00543241" w:rsidRPr="000D1437" w:rsidRDefault="00543241" w:rsidP="00543241">
            <w:pPr>
              <w:jc w:val="right"/>
              <w:rPr>
                <w:rFonts w:ascii="Times New Roman" w:hAnsi="Times New Roman"/>
                <w:sz w:val="14"/>
                <w:szCs w:val="14"/>
              </w:rPr>
            </w:pPr>
            <w:r w:rsidRPr="000D1437">
              <w:rPr>
                <w:sz w:val="14"/>
                <w:szCs w:val="14"/>
              </w:rPr>
              <w:t>6 526,51</w:t>
            </w:r>
          </w:p>
        </w:tc>
        <w:tc>
          <w:tcPr>
            <w:tcW w:w="1193" w:type="dxa"/>
            <w:tcBorders>
              <w:top w:val="nil"/>
              <w:left w:val="nil"/>
              <w:bottom w:val="single" w:sz="4" w:space="0" w:color="auto"/>
              <w:right w:val="single" w:sz="4" w:space="0" w:color="auto"/>
            </w:tcBorders>
            <w:shd w:val="clear" w:color="000000" w:fill="FFFFFF"/>
            <w:noWrap/>
            <w:vAlign w:val="bottom"/>
            <w:hideMark/>
          </w:tcPr>
          <w:p w14:paraId="23E9E99C" w14:textId="4DAF1A11" w:rsidR="00543241" w:rsidRPr="000D1437" w:rsidRDefault="00543241" w:rsidP="00543241">
            <w:pPr>
              <w:jc w:val="right"/>
              <w:rPr>
                <w:rFonts w:ascii="Times New Roman" w:hAnsi="Times New Roman"/>
                <w:sz w:val="14"/>
                <w:szCs w:val="14"/>
              </w:rPr>
            </w:pPr>
            <w:r w:rsidRPr="000D1437">
              <w:rPr>
                <w:sz w:val="14"/>
                <w:szCs w:val="14"/>
              </w:rPr>
              <w:t>6 849,62</w:t>
            </w:r>
          </w:p>
        </w:tc>
        <w:tc>
          <w:tcPr>
            <w:tcW w:w="1193" w:type="dxa"/>
            <w:tcBorders>
              <w:top w:val="nil"/>
              <w:left w:val="nil"/>
              <w:bottom w:val="single" w:sz="4" w:space="0" w:color="auto"/>
              <w:right w:val="single" w:sz="4" w:space="0" w:color="auto"/>
            </w:tcBorders>
            <w:shd w:val="clear" w:color="000000" w:fill="FFFFFF"/>
            <w:vAlign w:val="bottom"/>
          </w:tcPr>
          <w:p w14:paraId="5FB3C762" w14:textId="5187DAB6" w:rsidR="00543241" w:rsidRPr="000D1437" w:rsidRDefault="00543241" w:rsidP="00543241">
            <w:pPr>
              <w:jc w:val="right"/>
              <w:rPr>
                <w:rFonts w:ascii="Times New Roman" w:hAnsi="Times New Roman"/>
                <w:sz w:val="14"/>
                <w:szCs w:val="14"/>
              </w:rPr>
            </w:pPr>
            <w:r w:rsidRPr="000D1437">
              <w:rPr>
                <w:sz w:val="14"/>
                <w:szCs w:val="14"/>
              </w:rPr>
              <w:t>6 565,66</w:t>
            </w:r>
          </w:p>
        </w:tc>
      </w:tr>
      <w:tr w:rsidR="00543241" w:rsidRPr="00364545" w14:paraId="09B2E615"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33E90EF" w14:textId="23FB5025"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192" w:type="dxa"/>
            <w:tcBorders>
              <w:top w:val="nil"/>
              <w:left w:val="nil"/>
              <w:bottom w:val="single" w:sz="4" w:space="0" w:color="auto"/>
              <w:right w:val="single" w:sz="4" w:space="0" w:color="auto"/>
            </w:tcBorders>
            <w:shd w:val="clear" w:color="000000" w:fill="FFFFFF"/>
            <w:noWrap/>
            <w:vAlign w:val="bottom"/>
            <w:hideMark/>
          </w:tcPr>
          <w:p w14:paraId="724B0FDD" w14:textId="63DE5E78" w:rsidR="00543241" w:rsidRPr="000D1437" w:rsidRDefault="00543241" w:rsidP="00543241">
            <w:pPr>
              <w:jc w:val="right"/>
              <w:rPr>
                <w:rFonts w:ascii="Times New Roman" w:hAnsi="Times New Roman"/>
                <w:sz w:val="14"/>
                <w:szCs w:val="14"/>
              </w:rPr>
            </w:pPr>
            <w:r w:rsidRPr="000D1437">
              <w:rPr>
                <w:sz w:val="14"/>
                <w:szCs w:val="14"/>
              </w:rPr>
              <w:t>13786,49</w:t>
            </w:r>
          </w:p>
        </w:tc>
        <w:tc>
          <w:tcPr>
            <w:tcW w:w="1193" w:type="dxa"/>
            <w:tcBorders>
              <w:top w:val="nil"/>
              <w:left w:val="nil"/>
              <w:bottom w:val="single" w:sz="4" w:space="0" w:color="auto"/>
              <w:right w:val="single" w:sz="4" w:space="0" w:color="auto"/>
            </w:tcBorders>
            <w:shd w:val="clear" w:color="000000" w:fill="FFFFFF"/>
            <w:noWrap/>
            <w:vAlign w:val="bottom"/>
            <w:hideMark/>
          </w:tcPr>
          <w:p w14:paraId="44AC98D5" w14:textId="64DB0014" w:rsidR="00543241" w:rsidRPr="000D1437" w:rsidRDefault="00543241" w:rsidP="00543241">
            <w:pPr>
              <w:jc w:val="right"/>
              <w:rPr>
                <w:rFonts w:ascii="Times New Roman" w:hAnsi="Times New Roman"/>
                <w:sz w:val="14"/>
                <w:szCs w:val="14"/>
              </w:rPr>
            </w:pPr>
            <w:r w:rsidRPr="000D1437">
              <w:rPr>
                <w:sz w:val="14"/>
                <w:szCs w:val="14"/>
              </w:rPr>
              <w:t>13352,29</w:t>
            </w:r>
          </w:p>
        </w:tc>
        <w:tc>
          <w:tcPr>
            <w:tcW w:w="1164" w:type="dxa"/>
            <w:tcBorders>
              <w:top w:val="nil"/>
              <w:left w:val="nil"/>
              <w:bottom w:val="single" w:sz="4" w:space="0" w:color="auto"/>
              <w:right w:val="single" w:sz="4" w:space="0" w:color="auto"/>
            </w:tcBorders>
            <w:shd w:val="clear" w:color="000000" w:fill="FFFFFF"/>
            <w:noWrap/>
            <w:vAlign w:val="bottom"/>
            <w:hideMark/>
          </w:tcPr>
          <w:p w14:paraId="2C6FED7C" w14:textId="409EDAFA" w:rsidR="00543241" w:rsidRPr="000D1437" w:rsidRDefault="00543241" w:rsidP="00543241">
            <w:pPr>
              <w:jc w:val="right"/>
              <w:rPr>
                <w:rFonts w:ascii="Times New Roman" w:hAnsi="Times New Roman"/>
                <w:sz w:val="14"/>
                <w:szCs w:val="14"/>
              </w:rPr>
            </w:pPr>
            <w:r w:rsidRPr="000D1437">
              <w:rPr>
                <w:sz w:val="14"/>
                <w:szCs w:val="14"/>
              </w:rPr>
              <w:t>12689,34</w:t>
            </w:r>
          </w:p>
        </w:tc>
        <w:tc>
          <w:tcPr>
            <w:tcW w:w="1150" w:type="dxa"/>
            <w:tcBorders>
              <w:top w:val="nil"/>
              <w:left w:val="nil"/>
              <w:bottom w:val="single" w:sz="4" w:space="0" w:color="auto"/>
              <w:right w:val="single" w:sz="4" w:space="0" w:color="auto"/>
            </w:tcBorders>
            <w:shd w:val="clear" w:color="000000" w:fill="FFFFFF"/>
            <w:noWrap/>
            <w:vAlign w:val="bottom"/>
            <w:hideMark/>
          </w:tcPr>
          <w:p w14:paraId="5CF67A2C" w14:textId="29438F40" w:rsidR="00543241" w:rsidRPr="000D1437" w:rsidRDefault="00543241" w:rsidP="00543241">
            <w:pPr>
              <w:jc w:val="right"/>
              <w:rPr>
                <w:rFonts w:ascii="Times New Roman" w:hAnsi="Times New Roman"/>
                <w:sz w:val="14"/>
                <w:szCs w:val="14"/>
              </w:rPr>
            </w:pPr>
            <w:r w:rsidRPr="000D1437">
              <w:rPr>
                <w:sz w:val="14"/>
                <w:szCs w:val="14"/>
              </w:rPr>
              <w:t>13 116,26</w:t>
            </w:r>
          </w:p>
        </w:tc>
        <w:tc>
          <w:tcPr>
            <w:tcW w:w="1193" w:type="dxa"/>
            <w:tcBorders>
              <w:top w:val="nil"/>
              <w:left w:val="nil"/>
              <w:bottom w:val="single" w:sz="4" w:space="0" w:color="auto"/>
              <w:right w:val="single" w:sz="4" w:space="0" w:color="auto"/>
            </w:tcBorders>
            <w:shd w:val="clear" w:color="000000" w:fill="FFFFFF"/>
            <w:noWrap/>
            <w:vAlign w:val="bottom"/>
            <w:hideMark/>
          </w:tcPr>
          <w:p w14:paraId="76B9D8CD" w14:textId="1FDB4958" w:rsidR="00543241" w:rsidRPr="000D1437" w:rsidRDefault="00543241" w:rsidP="00543241">
            <w:pPr>
              <w:jc w:val="right"/>
              <w:rPr>
                <w:rFonts w:ascii="Times New Roman" w:hAnsi="Times New Roman"/>
                <w:sz w:val="14"/>
                <w:szCs w:val="14"/>
              </w:rPr>
            </w:pPr>
            <w:r w:rsidRPr="000D1437">
              <w:rPr>
                <w:sz w:val="14"/>
                <w:szCs w:val="14"/>
              </w:rPr>
              <w:t>14 457,01</w:t>
            </w:r>
          </w:p>
        </w:tc>
        <w:tc>
          <w:tcPr>
            <w:tcW w:w="1193" w:type="dxa"/>
            <w:tcBorders>
              <w:top w:val="nil"/>
              <w:left w:val="nil"/>
              <w:bottom w:val="single" w:sz="4" w:space="0" w:color="auto"/>
              <w:right w:val="single" w:sz="4" w:space="0" w:color="auto"/>
            </w:tcBorders>
            <w:shd w:val="clear" w:color="000000" w:fill="FFFFFF"/>
            <w:vAlign w:val="bottom"/>
          </w:tcPr>
          <w:p w14:paraId="52BF231D" w14:textId="3A996633" w:rsidR="00543241" w:rsidRPr="000D1437" w:rsidRDefault="00543241" w:rsidP="00543241">
            <w:pPr>
              <w:jc w:val="right"/>
              <w:rPr>
                <w:rFonts w:ascii="Times New Roman" w:hAnsi="Times New Roman"/>
                <w:sz w:val="14"/>
                <w:szCs w:val="14"/>
              </w:rPr>
            </w:pPr>
            <w:r w:rsidRPr="000D1437">
              <w:rPr>
                <w:sz w:val="14"/>
                <w:szCs w:val="14"/>
              </w:rPr>
              <w:t>13 796,76</w:t>
            </w:r>
          </w:p>
        </w:tc>
      </w:tr>
      <w:tr w:rsidR="00543241" w:rsidRPr="00364545" w14:paraId="0EE10AB3"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vAlign w:val="center"/>
            <w:hideMark/>
          </w:tcPr>
          <w:p w14:paraId="2F315F3D" w14:textId="7B3E567B"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192" w:type="dxa"/>
            <w:tcBorders>
              <w:top w:val="nil"/>
              <w:left w:val="nil"/>
              <w:bottom w:val="single" w:sz="4" w:space="0" w:color="auto"/>
              <w:right w:val="single" w:sz="4" w:space="0" w:color="auto"/>
            </w:tcBorders>
            <w:shd w:val="clear" w:color="000000" w:fill="FFFFFF"/>
            <w:noWrap/>
            <w:vAlign w:val="bottom"/>
            <w:hideMark/>
          </w:tcPr>
          <w:p w14:paraId="141F7610" w14:textId="29F272F8" w:rsidR="00543241" w:rsidRPr="000D1437" w:rsidRDefault="00543241" w:rsidP="00543241">
            <w:pPr>
              <w:jc w:val="right"/>
              <w:rPr>
                <w:rFonts w:ascii="Times New Roman" w:hAnsi="Times New Roman"/>
                <w:sz w:val="14"/>
                <w:szCs w:val="14"/>
              </w:rPr>
            </w:pPr>
            <w:r w:rsidRPr="000D1437">
              <w:rPr>
                <w:sz w:val="14"/>
                <w:szCs w:val="14"/>
              </w:rPr>
              <w:t>1258,68</w:t>
            </w:r>
          </w:p>
        </w:tc>
        <w:tc>
          <w:tcPr>
            <w:tcW w:w="1193" w:type="dxa"/>
            <w:tcBorders>
              <w:top w:val="nil"/>
              <w:left w:val="nil"/>
              <w:bottom w:val="single" w:sz="4" w:space="0" w:color="auto"/>
              <w:right w:val="single" w:sz="4" w:space="0" w:color="auto"/>
            </w:tcBorders>
            <w:shd w:val="clear" w:color="000000" w:fill="FFFFFF"/>
            <w:noWrap/>
            <w:vAlign w:val="bottom"/>
            <w:hideMark/>
          </w:tcPr>
          <w:p w14:paraId="1601018E" w14:textId="55314FA9" w:rsidR="00543241" w:rsidRPr="000D1437" w:rsidRDefault="00543241" w:rsidP="00543241">
            <w:pPr>
              <w:jc w:val="right"/>
              <w:rPr>
                <w:rFonts w:ascii="Times New Roman" w:hAnsi="Times New Roman"/>
                <w:sz w:val="14"/>
                <w:szCs w:val="14"/>
              </w:rPr>
            </w:pPr>
            <w:r w:rsidRPr="000D1437">
              <w:rPr>
                <w:sz w:val="14"/>
                <w:szCs w:val="14"/>
              </w:rPr>
              <w:t>1321,96</w:t>
            </w:r>
          </w:p>
        </w:tc>
        <w:tc>
          <w:tcPr>
            <w:tcW w:w="1164" w:type="dxa"/>
            <w:tcBorders>
              <w:top w:val="nil"/>
              <w:left w:val="nil"/>
              <w:bottom w:val="single" w:sz="4" w:space="0" w:color="auto"/>
              <w:right w:val="single" w:sz="4" w:space="0" w:color="auto"/>
            </w:tcBorders>
            <w:shd w:val="clear" w:color="000000" w:fill="FFFFFF"/>
            <w:noWrap/>
            <w:vAlign w:val="bottom"/>
            <w:hideMark/>
          </w:tcPr>
          <w:p w14:paraId="3FA571D6" w14:textId="5FC9EFBE" w:rsidR="00543241" w:rsidRPr="000D1437" w:rsidRDefault="00543241" w:rsidP="00543241">
            <w:pPr>
              <w:jc w:val="right"/>
              <w:rPr>
                <w:rFonts w:ascii="Times New Roman" w:hAnsi="Times New Roman"/>
                <w:sz w:val="14"/>
                <w:szCs w:val="14"/>
              </w:rPr>
            </w:pPr>
            <w:r w:rsidRPr="000D1437">
              <w:rPr>
                <w:sz w:val="14"/>
                <w:szCs w:val="14"/>
              </w:rPr>
              <w:t>1175,86</w:t>
            </w:r>
          </w:p>
        </w:tc>
        <w:tc>
          <w:tcPr>
            <w:tcW w:w="1150" w:type="dxa"/>
            <w:tcBorders>
              <w:top w:val="nil"/>
              <w:left w:val="nil"/>
              <w:bottom w:val="single" w:sz="4" w:space="0" w:color="auto"/>
              <w:right w:val="single" w:sz="4" w:space="0" w:color="auto"/>
            </w:tcBorders>
            <w:shd w:val="clear" w:color="000000" w:fill="FFFFFF"/>
            <w:noWrap/>
            <w:vAlign w:val="bottom"/>
            <w:hideMark/>
          </w:tcPr>
          <w:p w14:paraId="490D02FF" w14:textId="60FF34B2" w:rsidR="00543241" w:rsidRPr="000D1437" w:rsidRDefault="00543241" w:rsidP="00543241">
            <w:pPr>
              <w:jc w:val="right"/>
              <w:rPr>
                <w:rFonts w:ascii="Times New Roman" w:hAnsi="Times New Roman"/>
                <w:sz w:val="14"/>
                <w:szCs w:val="14"/>
              </w:rPr>
            </w:pPr>
            <w:r w:rsidRPr="000D1437">
              <w:rPr>
                <w:sz w:val="14"/>
                <w:szCs w:val="14"/>
              </w:rPr>
              <w:t>1 190,07</w:t>
            </w:r>
          </w:p>
        </w:tc>
        <w:tc>
          <w:tcPr>
            <w:tcW w:w="1193" w:type="dxa"/>
            <w:tcBorders>
              <w:top w:val="nil"/>
              <w:left w:val="nil"/>
              <w:bottom w:val="single" w:sz="4" w:space="0" w:color="auto"/>
              <w:right w:val="single" w:sz="4" w:space="0" w:color="auto"/>
            </w:tcBorders>
            <w:shd w:val="clear" w:color="000000" w:fill="FFFFFF"/>
            <w:noWrap/>
            <w:vAlign w:val="bottom"/>
            <w:hideMark/>
          </w:tcPr>
          <w:p w14:paraId="1338CBD4" w14:textId="3995875A" w:rsidR="00543241" w:rsidRPr="000D1437" w:rsidRDefault="00543241" w:rsidP="00543241">
            <w:pPr>
              <w:jc w:val="right"/>
              <w:rPr>
                <w:rFonts w:ascii="Times New Roman" w:hAnsi="Times New Roman"/>
                <w:sz w:val="14"/>
                <w:szCs w:val="14"/>
              </w:rPr>
            </w:pPr>
            <w:r w:rsidRPr="000D1437">
              <w:rPr>
                <w:sz w:val="14"/>
                <w:szCs w:val="14"/>
              </w:rPr>
              <w:t>998,31</w:t>
            </w:r>
          </w:p>
        </w:tc>
        <w:tc>
          <w:tcPr>
            <w:tcW w:w="1193" w:type="dxa"/>
            <w:tcBorders>
              <w:top w:val="nil"/>
              <w:left w:val="nil"/>
              <w:bottom w:val="single" w:sz="4" w:space="0" w:color="auto"/>
              <w:right w:val="single" w:sz="4" w:space="0" w:color="auto"/>
            </w:tcBorders>
            <w:shd w:val="clear" w:color="000000" w:fill="FFFFFF"/>
            <w:vAlign w:val="bottom"/>
          </w:tcPr>
          <w:p w14:paraId="04F039AB" w14:textId="387656BF" w:rsidR="00543241" w:rsidRPr="000D1437" w:rsidRDefault="00543241" w:rsidP="00543241">
            <w:pPr>
              <w:jc w:val="right"/>
              <w:rPr>
                <w:rFonts w:ascii="Times New Roman" w:hAnsi="Times New Roman"/>
                <w:sz w:val="14"/>
                <w:szCs w:val="14"/>
              </w:rPr>
            </w:pPr>
            <w:r w:rsidRPr="000D1437">
              <w:rPr>
                <w:sz w:val="14"/>
                <w:szCs w:val="14"/>
              </w:rPr>
              <w:t>1 109,85</w:t>
            </w:r>
          </w:p>
        </w:tc>
      </w:tr>
      <w:tr w:rsidR="00543241" w:rsidRPr="00364545" w14:paraId="572C7DFD"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A6423A1" w14:textId="2188B1F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192" w:type="dxa"/>
            <w:tcBorders>
              <w:top w:val="nil"/>
              <w:left w:val="nil"/>
              <w:bottom w:val="single" w:sz="4" w:space="0" w:color="auto"/>
              <w:right w:val="single" w:sz="4" w:space="0" w:color="auto"/>
            </w:tcBorders>
            <w:shd w:val="clear" w:color="000000" w:fill="FFFFFF"/>
            <w:noWrap/>
            <w:vAlign w:val="bottom"/>
            <w:hideMark/>
          </w:tcPr>
          <w:p w14:paraId="1EB7D6F2" w14:textId="2EEAA91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0DBDB445" w14:textId="7B64B62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41B970F1" w14:textId="61AE0E1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022E9809" w14:textId="6D5EE96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508B3383" w14:textId="6D2D3A4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074402CF" w14:textId="7B22C88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FF7D096"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vAlign w:val="center"/>
            <w:hideMark/>
          </w:tcPr>
          <w:p w14:paraId="60EA34FD" w14:textId="1420C96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192" w:type="dxa"/>
            <w:tcBorders>
              <w:top w:val="nil"/>
              <w:left w:val="nil"/>
              <w:bottom w:val="single" w:sz="4" w:space="0" w:color="auto"/>
              <w:right w:val="single" w:sz="4" w:space="0" w:color="auto"/>
            </w:tcBorders>
            <w:shd w:val="clear" w:color="000000" w:fill="FFFFFF"/>
            <w:noWrap/>
            <w:vAlign w:val="bottom"/>
            <w:hideMark/>
          </w:tcPr>
          <w:p w14:paraId="13FFC533" w14:textId="0073EF8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563CEF99" w14:textId="7AB9246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7AC091A7" w14:textId="2BB7324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48A0A20A" w14:textId="2E10BA8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55752289" w14:textId="52D022E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09BAD7DC" w14:textId="15D9018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D14AF14"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vAlign w:val="center"/>
            <w:hideMark/>
          </w:tcPr>
          <w:p w14:paraId="4109F723" w14:textId="48DBE28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192" w:type="dxa"/>
            <w:tcBorders>
              <w:top w:val="nil"/>
              <w:left w:val="nil"/>
              <w:bottom w:val="single" w:sz="4" w:space="0" w:color="auto"/>
              <w:right w:val="single" w:sz="4" w:space="0" w:color="auto"/>
            </w:tcBorders>
            <w:shd w:val="clear" w:color="000000" w:fill="FFFFFF"/>
            <w:noWrap/>
            <w:vAlign w:val="bottom"/>
            <w:hideMark/>
          </w:tcPr>
          <w:p w14:paraId="365AE217" w14:textId="411C04DD" w:rsidR="00543241" w:rsidRPr="000D1437" w:rsidRDefault="00543241" w:rsidP="00543241">
            <w:pPr>
              <w:jc w:val="right"/>
              <w:rPr>
                <w:rFonts w:ascii="Times New Roman" w:hAnsi="Times New Roman"/>
                <w:sz w:val="14"/>
                <w:szCs w:val="14"/>
              </w:rPr>
            </w:pPr>
            <w:r w:rsidRPr="000D1437">
              <w:rPr>
                <w:sz w:val="14"/>
                <w:szCs w:val="14"/>
              </w:rPr>
              <w:t>511,70</w:t>
            </w:r>
          </w:p>
        </w:tc>
        <w:tc>
          <w:tcPr>
            <w:tcW w:w="1193" w:type="dxa"/>
            <w:tcBorders>
              <w:top w:val="nil"/>
              <w:left w:val="nil"/>
              <w:bottom w:val="single" w:sz="4" w:space="0" w:color="auto"/>
              <w:right w:val="single" w:sz="4" w:space="0" w:color="auto"/>
            </w:tcBorders>
            <w:shd w:val="clear" w:color="000000" w:fill="FFFFFF"/>
            <w:noWrap/>
            <w:vAlign w:val="bottom"/>
            <w:hideMark/>
          </w:tcPr>
          <w:p w14:paraId="57A0672B" w14:textId="6AF358F1" w:rsidR="00543241" w:rsidRPr="000D1437" w:rsidRDefault="00543241" w:rsidP="00543241">
            <w:pPr>
              <w:jc w:val="right"/>
              <w:rPr>
                <w:rFonts w:ascii="Times New Roman" w:hAnsi="Times New Roman"/>
                <w:sz w:val="14"/>
                <w:szCs w:val="14"/>
              </w:rPr>
            </w:pPr>
            <w:r w:rsidRPr="000D1437">
              <w:rPr>
                <w:sz w:val="14"/>
                <w:szCs w:val="14"/>
              </w:rPr>
              <w:t>531,70</w:t>
            </w:r>
          </w:p>
        </w:tc>
        <w:tc>
          <w:tcPr>
            <w:tcW w:w="1164" w:type="dxa"/>
            <w:tcBorders>
              <w:top w:val="nil"/>
              <w:left w:val="nil"/>
              <w:bottom w:val="single" w:sz="4" w:space="0" w:color="auto"/>
              <w:right w:val="single" w:sz="4" w:space="0" w:color="auto"/>
            </w:tcBorders>
            <w:shd w:val="clear" w:color="000000" w:fill="FFFFFF"/>
            <w:noWrap/>
            <w:vAlign w:val="bottom"/>
            <w:hideMark/>
          </w:tcPr>
          <w:p w14:paraId="3FA2BC28" w14:textId="14A7FA68" w:rsidR="00543241" w:rsidRPr="000D1437" w:rsidRDefault="00543241" w:rsidP="00543241">
            <w:pPr>
              <w:jc w:val="right"/>
              <w:rPr>
                <w:rFonts w:ascii="Times New Roman" w:hAnsi="Times New Roman"/>
                <w:sz w:val="14"/>
                <w:szCs w:val="14"/>
              </w:rPr>
            </w:pPr>
            <w:r w:rsidRPr="000D1437">
              <w:rPr>
                <w:sz w:val="14"/>
                <w:szCs w:val="14"/>
              </w:rPr>
              <w:t>470,96</w:t>
            </w:r>
          </w:p>
        </w:tc>
        <w:tc>
          <w:tcPr>
            <w:tcW w:w="1150" w:type="dxa"/>
            <w:tcBorders>
              <w:top w:val="nil"/>
              <w:left w:val="nil"/>
              <w:bottom w:val="single" w:sz="4" w:space="0" w:color="auto"/>
              <w:right w:val="single" w:sz="4" w:space="0" w:color="auto"/>
            </w:tcBorders>
            <w:shd w:val="clear" w:color="000000" w:fill="FFFFFF"/>
            <w:noWrap/>
            <w:vAlign w:val="bottom"/>
            <w:hideMark/>
          </w:tcPr>
          <w:p w14:paraId="611914B5" w14:textId="0B3E2E24" w:rsidR="00543241" w:rsidRPr="000D1437" w:rsidRDefault="00543241" w:rsidP="00543241">
            <w:pPr>
              <w:jc w:val="right"/>
              <w:rPr>
                <w:rFonts w:ascii="Times New Roman" w:hAnsi="Times New Roman"/>
                <w:sz w:val="14"/>
                <w:szCs w:val="14"/>
              </w:rPr>
            </w:pPr>
            <w:r w:rsidRPr="000D1437">
              <w:rPr>
                <w:sz w:val="14"/>
                <w:szCs w:val="14"/>
              </w:rPr>
              <w:t>468,35</w:t>
            </w:r>
          </w:p>
        </w:tc>
        <w:tc>
          <w:tcPr>
            <w:tcW w:w="1193" w:type="dxa"/>
            <w:tcBorders>
              <w:top w:val="nil"/>
              <w:left w:val="nil"/>
              <w:bottom w:val="single" w:sz="4" w:space="0" w:color="auto"/>
              <w:right w:val="single" w:sz="4" w:space="0" w:color="auto"/>
            </w:tcBorders>
            <w:shd w:val="clear" w:color="000000" w:fill="FFFFFF"/>
            <w:noWrap/>
            <w:vAlign w:val="bottom"/>
            <w:hideMark/>
          </w:tcPr>
          <w:p w14:paraId="1A3C5D37" w14:textId="6B7CE40E" w:rsidR="00543241" w:rsidRPr="000D1437" w:rsidRDefault="00543241" w:rsidP="00543241">
            <w:pPr>
              <w:jc w:val="right"/>
              <w:rPr>
                <w:rFonts w:ascii="Times New Roman" w:hAnsi="Times New Roman"/>
                <w:sz w:val="14"/>
                <w:szCs w:val="14"/>
              </w:rPr>
            </w:pPr>
            <w:r w:rsidRPr="000D1437">
              <w:rPr>
                <w:sz w:val="14"/>
                <w:szCs w:val="14"/>
              </w:rPr>
              <w:t>516,50</w:t>
            </w:r>
          </w:p>
        </w:tc>
        <w:tc>
          <w:tcPr>
            <w:tcW w:w="1193" w:type="dxa"/>
            <w:tcBorders>
              <w:top w:val="nil"/>
              <w:left w:val="nil"/>
              <w:bottom w:val="single" w:sz="4" w:space="0" w:color="auto"/>
              <w:right w:val="single" w:sz="4" w:space="0" w:color="auto"/>
            </w:tcBorders>
            <w:shd w:val="clear" w:color="000000" w:fill="FFFFFF"/>
            <w:vAlign w:val="bottom"/>
          </w:tcPr>
          <w:p w14:paraId="18D0CB51" w14:textId="3145EA24" w:rsidR="00543241" w:rsidRPr="000D1437" w:rsidRDefault="00543241" w:rsidP="00543241">
            <w:pPr>
              <w:jc w:val="right"/>
              <w:rPr>
                <w:rFonts w:ascii="Times New Roman" w:hAnsi="Times New Roman"/>
                <w:sz w:val="14"/>
                <w:szCs w:val="14"/>
              </w:rPr>
            </w:pPr>
            <w:r w:rsidRPr="000D1437">
              <w:rPr>
                <w:sz w:val="14"/>
                <w:szCs w:val="14"/>
              </w:rPr>
              <w:t>474,99</w:t>
            </w:r>
          </w:p>
        </w:tc>
      </w:tr>
      <w:tr w:rsidR="00543241" w:rsidRPr="00364545" w14:paraId="26B76EA5"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D8D6523" w14:textId="368EABB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192" w:type="dxa"/>
            <w:tcBorders>
              <w:top w:val="nil"/>
              <w:left w:val="nil"/>
              <w:bottom w:val="single" w:sz="4" w:space="0" w:color="auto"/>
              <w:right w:val="single" w:sz="4" w:space="0" w:color="auto"/>
            </w:tcBorders>
            <w:shd w:val="clear" w:color="000000" w:fill="FFFFFF"/>
            <w:noWrap/>
            <w:vAlign w:val="bottom"/>
            <w:hideMark/>
          </w:tcPr>
          <w:p w14:paraId="746DC581" w14:textId="6234470F" w:rsidR="00543241" w:rsidRPr="000D1437" w:rsidRDefault="00543241" w:rsidP="00543241">
            <w:pPr>
              <w:jc w:val="right"/>
              <w:rPr>
                <w:rFonts w:ascii="Times New Roman" w:hAnsi="Times New Roman"/>
                <w:sz w:val="14"/>
                <w:szCs w:val="14"/>
              </w:rPr>
            </w:pPr>
            <w:r w:rsidRPr="000D1437">
              <w:rPr>
                <w:sz w:val="14"/>
                <w:szCs w:val="14"/>
              </w:rPr>
              <w:t>0,04</w:t>
            </w:r>
          </w:p>
        </w:tc>
        <w:tc>
          <w:tcPr>
            <w:tcW w:w="1193" w:type="dxa"/>
            <w:tcBorders>
              <w:top w:val="nil"/>
              <w:left w:val="nil"/>
              <w:bottom w:val="single" w:sz="4" w:space="0" w:color="auto"/>
              <w:right w:val="single" w:sz="4" w:space="0" w:color="auto"/>
            </w:tcBorders>
            <w:shd w:val="clear" w:color="000000" w:fill="FFFFFF"/>
            <w:noWrap/>
            <w:vAlign w:val="bottom"/>
            <w:hideMark/>
          </w:tcPr>
          <w:p w14:paraId="323EE53E" w14:textId="0A96FE71" w:rsidR="00543241" w:rsidRPr="000D1437" w:rsidRDefault="00543241" w:rsidP="00543241">
            <w:pPr>
              <w:jc w:val="right"/>
              <w:rPr>
                <w:rFonts w:ascii="Times New Roman" w:hAnsi="Times New Roman"/>
                <w:sz w:val="14"/>
                <w:szCs w:val="14"/>
              </w:rPr>
            </w:pPr>
            <w:r w:rsidRPr="000D1437">
              <w:rPr>
                <w:sz w:val="14"/>
                <w:szCs w:val="14"/>
              </w:rPr>
              <w:t>0,04</w:t>
            </w:r>
          </w:p>
        </w:tc>
        <w:tc>
          <w:tcPr>
            <w:tcW w:w="1164" w:type="dxa"/>
            <w:tcBorders>
              <w:top w:val="nil"/>
              <w:left w:val="nil"/>
              <w:bottom w:val="single" w:sz="4" w:space="0" w:color="auto"/>
              <w:right w:val="single" w:sz="4" w:space="0" w:color="auto"/>
            </w:tcBorders>
            <w:shd w:val="clear" w:color="000000" w:fill="FFFFFF"/>
            <w:noWrap/>
            <w:vAlign w:val="bottom"/>
            <w:hideMark/>
          </w:tcPr>
          <w:p w14:paraId="31ED4D45" w14:textId="5DABEF6B" w:rsidR="00543241" w:rsidRPr="000D1437" w:rsidRDefault="00543241" w:rsidP="00543241">
            <w:pPr>
              <w:jc w:val="right"/>
              <w:rPr>
                <w:rFonts w:ascii="Times New Roman" w:hAnsi="Times New Roman"/>
                <w:sz w:val="14"/>
                <w:szCs w:val="14"/>
              </w:rPr>
            </w:pPr>
            <w:r w:rsidRPr="000D1437">
              <w:rPr>
                <w:sz w:val="14"/>
                <w:szCs w:val="14"/>
              </w:rPr>
              <w:t>0,06</w:t>
            </w:r>
          </w:p>
        </w:tc>
        <w:tc>
          <w:tcPr>
            <w:tcW w:w="1150" w:type="dxa"/>
            <w:tcBorders>
              <w:top w:val="nil"/>
              <w:left w:val="nil"/>
              <w:bottom w:val="single" w:sz="4" w:space="0" w:color="auto"/>
              <w:right w:val="single" w:sz="4" w:space="0" w:color="auto"/>
            </w:tcBorders>
            <w:shd w:val="clear" w:color="000000" w:fill="FFFFFF"/>
            <w:noWrap/>
            <w:vAlign w:val="bottom"/>
            <w:hideMark/>
          </w:tcPr>
          <w:p w14:paraId="77BA306C" w14:textId="280CC8D2" w:rsidR="00543241" w:rsidRPr="000D1437" w:rsidRDefault="00543241" w:rsidP="00543241">
            <w:pPr>
              <w:jc w:val="right"/>
              <w:rPr>
                <w:rFonts w:ascii="Times New Roman" w:hAnsi="Times New Roman"/>
                <w:sz w:val="14"/>
                <w:szCs w:val="14"/>
              </w:rPr>
            </w:pPr>
            <w:r w:rsidRPr="000D1437">
              <w:rPr>
                <w:sz w:val="14"/>
                <w:szCs w:val="14"/>
              </w:rPr>
              <w:t>0,07</w:t>
            </w:r>
          </w:p>
        </w:tc>
        <w:tc>
          <w:tcPr>
            <w:tcW w:w="1193" w:type="dxa"/>
            <w:tcBorders>
              <w:top w:val="nil"/>
              <w:left w:val="nil"/>
              <w:bottom w:val="single" w:sz="4" w:space="0" w:color="auto"/>
              <w:right w:val="single" w:sz="4" w:space="0" w:color="auto"/>
            </w:tcBorders>
            <w:shd w:val="clear" w:color="000000" w:fill="FFFFFF"/>
            <w:noWrap/>
            <w:vAlign w:val="bottom"/>
            <w:hideMark/>
          </w:tcPr>
          <w:p w14:paraId="3CE08FB4" w14:textId="0D80D7D0" w:rsidR="00543241" w:rsidRPr="000D1437" w:rsidRDefault="00543241" w:rsidP="00543241">
            <w:pPr>
              <w:jc w:val="right"/>
              <w:rPr>
                <w:rFonts w:ascii="Times New Roman" w:hAnsi="Times New Roman"/>
                <w:sz w:val="14"/>
                <w:szCs w:val="14"/>
              </w:rPr>
            </w:pPr>
            <w:r w:rsidRPr="000D1437">
              <w:rPr>
                <w:sz w:val="14"/>
                <w:szCs w:val="14"/>
              </w:rPr>
              <w:t>0,06</w:t>
            </w:r>
          </w:p>
        </w:tc>
        <w:tc>
          <w:tcPr>
            <w:tcW w:w="1193" w:type="dxa"/>
            <w:tcBorders>
              <w:top w:val="nil"/>
              <w:left w:val="nil"/>
              <w:bottom w:val="single" w:sz="4" w:space="0" w:color="auto"/>
              <w:right w:val="single" w:sz="4" w:space="0" w:color="auto"/>
            </w:tcBorders>
            <w:shd w:val="clear" w:color="000000" w:fill="FFFFFF"/>
            <w:vAlign w:val="bottom"/>
          </w:tcPr>
          <w:p w14:paraId="0DF5B899" w14:textId="22E410E5" w:rsidR="00543241" w:rsidRPr="000D1437" w:rsidRDefault="00543241" w:rsidP="00543241">
            <w:pPr>
              <w:jc w:val="right"/>
              <w:rPr>
                <w:rFonts w:ascii="Times New Roman" w:hAnsi="Times New Roman"/>
                <w:sz w:val="14"/>
                <w:szCs w:val="14"/>
              </w:rPr>
            </w:pPr>
            <w:r w:rsidRPr="000D1437">
              <w:rPr>
                <w:sz w:val="14"/>
                <w:szCs w:val="14"/>
              </w:rPr>
              <w:t>0,06</w:t>
            </w:r>
          </w:p>
        </w:tc>
      </w:tr>
      <w:tr w:rsidR="00543241" w:rsidRPr="00364545" w14:paraId="48F9A07A"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bottom"/>
            <w:hideMark/>
          </w:tcPr>
          <w:p w14:paraId="661C7818" w14:textId="1A5E4E52"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3. Agriculture</w:t>
            </w:r>
          </w:p>
        </w:tc>
        <w:tc>
          <w:tcPr>
            <w:tcW w:w="1192" w:type="dxa"/>
            <w:tcBorders>
              <w:top w:val="nil"/>
              <w:left w:val="nil"/>
              <w:bottom w:val="single" w:sz="4" w:space="0" w:color="auto"/>
              <w:right w:val="single" w:sz="4" w:space="0" w:color="auto"/>
            </w:tcBorders>
            <w:shd w:val="clear" w:color="000000" w:fill="CCFFFF"/>
            <w:noWrap/>
            <w:vAlign w:val="bottom"/>
            <w:hideMark/>
          </w:tcPr>
          <w:p w14:paraId="6D382DD9" w14:textId="2268DBDD" w:rsidR="00543241" w:rsidRPr="000D1437" w:rsidRDefault="00543241" w:rsidP="00543241">
            <w:pPr>
              <w:jc w:val="right"/>
              <w:rPr>
                <w:rFonts w:ascii="Times New Roman" w:hAnsi="Times New Roman"/>
                <w:sz w:val="14"/>
                <w:szCs w:val="14"/>
              </w:rPr>
            </w:pPr>
            <w:r w:rsidRPr="000D1437">
              <w:rPr>
                <w:sz w:val="14"/>
                <w:szCs w:val="14"/>
              </w:rPr>
              <w:t>2061,42</w:t>
            </w:r>
          </w:p>
        </w:tc>
        <w:tc>
          <w:tcPr>
            <w:tcW w:w="1193" w:type="dxa"/>
            <w:tcBorders>
              <w:top w:val="nil"/>
              <w:left w:val="nil"/>
              <w:bottom w:val="single" w:sz="4" w:space="0" w:color="auto"/>
              <w:right w:val="single" w:sz="4" w:space="0" w:color="auto"/>
            </w:tcBorders>
            <w:shd w:val="clear" w:color="000000" w:fill="CCFFFF"/>
            <w:noWrap/>
            <w:vAlign w:val="bottom"/>
            <w:hideMark/>
          </w:tcPr>
          <w:p w14:paraId="1F43C4B6" w14:textId="2BC76961" w:rsidR="00543241" w:rsidRPr="000D1437" w:rsidRDefault="00543241" w:rsidP="00543241">
            <w:pPr>
              <w:jc w:val="right"/>
              <w:rPr>
                <w:rFonts w:ascii="Times New Roman" w:hAnsi="Times New Roman"/>
                <w:sz w:val="14"/>
                <w:szCs w:val="14"/>
              </w:rPr>
            </w:pPr>
            <w:r w:rsidRPr="000D1437">
              <w:rPr>
                <w:sz w:val="14"/>
                <w:szCs w:val="14"/>
              </w:rPr>
              <w:t>2126,66</w:t>
            </w:r>
          </w:p>
        </w:tc>
        <w:tc>
          <w:tcPr>
            <w:tcW w:w="1164" w:type="dxa"/>
            <w:tcBorders>
              <w:top w:val="nil"/>
              <w:left w:val="nil"/>
              <w:bottom w:val="single" w:sz="4" w:space="0" w:color="auto"/>
              <w:right w:val="single" w:sz="4" w:space="0" w:color="auto"/>
            </w:tcBorders>
            <w:shd w:val="clear" w:color="000000" w:fill="CCFFFF"/>
            <w:noWrap/>
            <w:vAlign w:val="bottom"/>
            <w:hideMark/>
          </w:tcPr>
          <w:p w14:paraId="05DE3CBB" w14:textId="1C227BA4" w:rsidR="00543241" w:rsidRPr="000D1437" w:rsidRDefault="00543241" w:rsidP="00543241">
            <w:pPr>
              <w:jc w:val="right"/>
              <w:rPr>
                <w:rFonts w:ascii="Times New Roman" w:hAnsi="Times New Roman"/>
                <w:sz w:val="14"/>
                <w:szCs w:val="14"/>
              </w:rPr>
            </w:pPr>
            <w:r w:rsidRPr="000D1437">
              <w:rPr>
                <w:sz w:val="14"/>
                <w:szCs w:val="14"/>
              </w:rPr>
              <w:t>2175,86</w:t>
            </w:r>
          </w:p>
        </w:tc>
        <w:tc>
          <w:tcPr>
            <w:tcW w:w="1150" w:type="dxa"/>
            <w:tcBorders>
              <w:top w:val="nil"/>
              <w:left w:val="nil"/>
              <w:bottom w:val="single" w:sz="4" w:space="0" w:color="auto"/>
              <w:right w:val="single" w:sz="4" w:space="0" w:color="auto"/>
            </w:tcBorders>
            <w:shd w:val="clear" w:color="000000" w:fill="CCFFFF"/>
            <w:noWrap/>
            <w:vAlign w:val="bottom"/>
            <w:hideMark/>
          </w:tcPr>
          <w:p w14:paraId="39CC97C4" w14:textId="71EE0E67" w:rsidR="00543241" w:rsidRPr="000D1437" w:rsidRDefault="00543241" w:rsidP="00543241">
            <w:pPr>
              <w:jc w:val="right"/>
              <w:rPr>
                <w:rFonts w:ascii="Times New Roman" w:hAnsi="Times New Roman"/>
                <w:sz w:val="14"/>
                <w:szCs w:val="14"/>
              </w:rPr>
            </w:pPr>
            <w:r w:rsidRPr="000D1437">
              <w:rPr>
                <w:sz w:val="14"/>
                <w:szCs w:val="14"/>
              </w:rPr>
              <w:t>2163,62</w:t>
            </w:r>
          </w:p>
        </w:tc>
        <w:tc>
          <w:tcPr>
            <w:tcW w:w="1193" w:type="dxa"/>
            <w:tcBorders>
              <w:top w:val="nil"/>
              <w:left w:val="nil"/>
              <w:bottom w:val="single" w:sz="4" w:space="0" w:color="auto"/>
              <w:right w:val="single" w:sz="4" w:space="0" w:color="auto"/>
            </w:tcBorders>
            <w:shd w:val="clear" w:color="000000" w:fill="CCFFFF"/>
            <w:noWrap/>
            <w:vAlign w:val="bottom"/>
            <w:hideMark/>
          </w:tcPr>
          <w:p w14:paraId="78E71F21" w14:textId="54AB7EBA" w:rsidR="00543241" w:rsidRPr="000D1437" w:rsidRDefault="00543241" w:rsidP="00543241">
            <w:pPr>
              <w:jc w:val="right"/>
              <w:rPr>
                <w:rFonts w:ascii="Times New Roman" w:hAnsi="Times New Roman"/>
                <w:sz w:val="14"/>
                <w:szCs w:val="14"/>
              </w:rPr>
            </w:pPr>
            <w:r w:rsidRPr="000D1437">
              <w:rPr>
                <w:sz w:val="14"/>
                <w:szCs w:val="14"/>
              </w:rPr>
              <w:t>2108,46</w:t>
            </w:r>
          </w:p>
        </w:tc>
        <w:tc>
          <w:tcPr>
            <w:tcW w:w="1193" w:type="dxa"/>
            <w:tcBorders>
              <w:top w:val="nil"/>
              <w:left w:val="nil"/>
              <w:bottom w:val="single" w:sz="4" w:space="0" w:color="auto"/>
              <w:right w:val="single" w:sz="4" w:space="0" w:color="auto"/>
            </w:tcBorders>
            <w:shd w:val="clear" w:color="000000" w:fill="CCFFFF"/>
            <w:vAlign w:val="bottom"/>
          </w:tcPr>
          <w:p w14:paraId="55A22887" w14:textId="52298268" w:rsidR="00543241" w:rsidRPr="000D1437" w:rsidRDefault="00543241" w:rsidP="00543241">
            <w:pPr>
              <w:jc w:val="right"/>
              <w:rPr>
                <w:rFonts w:ascii="Times New Roman" w:hAnsi="Times New Roman"/>
                <w:sz w:val="14"/>
                <w:szCs w:val="14"/>
              </w:rPr>
            </w:pPr>
            <w:r w:rsidRPr="000D1437">
              <w:rPr>
                <w:sz w:val="14"/>
                <w:szCs w:val="14"/>
              </w:rPr>
              <w:t>2184,34</w:t>
            </w:r>
          </w:p>
        </w:tc>
      </w:tr>
      <w:tr w:rsidR="00543241" w:rsidRPr="00364545" w14:paraId="696234DA"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B8E5591" w14:textId="2EEF542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0E756F13" w14:textId="1D7CABA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4A32E5BF" w14:textId="52D1A6F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1DA4B2EB" w14:textId="4FFE48C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5270B5BD" w14:textId="693A392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48F901BB" w14:textId="79B0797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13C43642" w14:textId="0230CFA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772C5ED5"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79275D8" w14:textId="2E7CA7D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48BFD9D4" w14:textId="259C0D0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03146553" w14:textId="6EAC453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407FC352" w14:textId="61E956D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0074F40A" w14:textId="4FB5E8C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21C2E68C" w14:textId="10B0C0C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4D134434" w14:textId="67DFCCD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DC0861F"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C3F1519" w14:textId="7F3F17F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1B196CE0" w14:textId="0FC1F8F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39728C8A" w14:textId="1F792A0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7A8668B0" w14:textId="064DD93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116B30FC" w14:textId="7391B1F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5842EF90" w14:textId="3765656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1AED541C" w14:textId="47EF6F3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01AE321"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DE625D4" w14:textId="3286BE5D"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01463CAA" w14:textId="478977A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7E9208F7" w14:textId="7FC10F9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436EE950" w14:textId="2C81368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10F97191" w14:textId="7416BFB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4C867070" w14:textId="27C609C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5C944B55" w14:textId="7370FA2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12B1B09"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2884E5D" w14:textId="7641BDA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22333CC6" w14:textId="503A214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22AF3C7E" w14:textId="611BA31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37B068F8" w14:textId="7C4CA4A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05B7B89B" w14:textId="2356CD0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7431C2DC" w14:textId="54045E5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340D66BC" w14:textId="46A3C61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E366E7B"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DB8C87C" w14:textId="53151DD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192" w:type="dxa"/>
            <w:tcBorders>
              <w:top w:val="nil"/>
              <w:left w:val="nil"/>
              <w:bottom w:val="single" w:sz="4" w:space="0" w:color="auto"/>
              <w:right w:val="single" w:sz="4" w:space="0" w:color="auto"/>
            </w:tcBorders>
            <w:shd w:val="clear" w:color="000000" w:fill="FFFFFF"/>
            <w:noWrap/>
            <w:vAlign w:val="bottom"/>
            <w:hideMark/>
          </w:tcPr>
          <w:p w14:paraId="64F0414B" w14:textId="13F3005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7005D68D" w14:textId="6C6145A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2B04C62D" w14:textId="6ABAD48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71337600" w14:textId="1C78921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5E42CD0B" w14:textId="588A568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43C10054" w14:textId="4E26336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50A4C4C9"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93947F6"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192" w:type="dxa"/>
            <w:tcBorders>
              <w:top w:val="nil"/>
              <w:left w:val="nil"/>
              <w:bottom w:val="single" w:sz="4" w:space="0" w:color="auto"/>
              <w:right w:val="single" w:sz="4" w:space="0" w:color="auto"/>
            </w:tcBorders>
            <w:shd w:val="clear" w:color="000000" w:fill="FFFFFF"/>
            <w:noWrap/>
            <w:vAlign w:val="bottom"/>
            <w:hideMark/>
          </w:tcPr>
          <w:p w14:paraId="558A9C0E" w14:textId="2A8F3018" w:rsidR="00543241" w:rsidRPr="000D1437" w:rsidRDefault="00543241" w:rsidP="00543241">
            <w:pPr>
              <w:jc w:val="right"/>
              <w:rPr>
                <w:rFonts w:ascii="Times New Roman" w:hAnsi="Times New Roman"/>
                <w:sz w:val="14"/>
                <w:szCs w:val="14"/>
              </w:rPr>
            </w:pPr>
            <w:r w:rsidRPr="000D1437">
              <w:rPr>
                <w:sz w:val="14"/>
                <w:szCs w:val="14"/>
              </w:rPr>
              <w:t>904,79</w:t>
            </w:r>
          </w:p>
        </w:tc>
        <w:tc>
          <w:tcPr>
            <w:tcW w:w="1193" w:type="dxa"/>
            <w:tcBorders>
              <w:top w:val="nil"/>
              <w:left w:val="nil"/>
              <w:bottom w:val="single" w:sz="4" w:space="0" w:color="auto"/>
              <w:right w:val="single" w:sz="4" w:space="0" w:color="auto"/>
            </w:tcBorders>
            <w:shd w:val="clear" w:color="000000" w:fill="FFFFFF"/>
            <w:noWrap/>
            <w:vAlign w:val="bottom"/>
            <w:hideMark/>
          </w:tcPr>
          <w:p w14:paraId="4191B04F" w14:textId="5234C03D" w:rsidR="00543241" w:rsidRPr="000D1437" w:rsidRDefault="00543241" w:rsidP="00543241">
            <w:pPr>
              <w:jc w:val="right"/>
              <w:rPr>
                <w:rFonts w:ascii="Times New Roman" w:hAnsi="Times New Roman"/>
                <w:sz w:val="14"/>
                <w:szCs w:val="14"/>
              </w:rPr>
            </w:pPr>
            <w:r w:rsidRPr="000D1437">
              <w:rPr>
                <w:sz w:val="14"/>
                <w:szCs w:val="14"/>
              </w:rPr>
              <w:t>908,57</w:t>
            </w:r>
          </w:p>
        </w:tc>
        <w:tc>
          <w:tcPr>
            <w:tcW w:w="1164" w:type="dxa"/>
            <w:tcBorders>
              <w:top w:val="nil"/>
              <w:left w:val="nil"/>
              <w:bottom w:val="single" w:sz="4" w:space="0" w:color="auto"/>
              <w:right w:val="single" w:sz="4" w:space="0" w:color="auto"/>
            </w:tcBorders>
            <w:shd w:val="clear" w:color="000000" w:fill="FFFFFF"/>
            <w:noWrap/>
            <w:vAlign w:val="bottom"/>
            <w:hideMark/>
          </w:tcPr>
          <w:p w14:paraId="0D259DC5" w14:textId="4CBFD4DA" w:rsidR="00543241" w:rsidRPr="000D1437" w:rsidRDefault="00543241" w:rsidP="00543241">
            <w:pPr>
              <w:jc w:val="right"/>
              <w:rPr>
                <w:rFonts w:ascii="Times New Roman" w:hAnsi="Times New Roman"/>
                <w:sz w:val="14"/>
                <w:szCs w:val="14"/>
              </w:rPr>
            </w:pPr>
            <w:r w:rsidRPr="000D1437">
              <w:rPr>
                <w:sz w:val="14"/>
                <w:szCs w:val="14"/>
              </w:rPr>
              <w:t>862,72</w:t>
            </w:r>
          </w:p>
        </w:tc>
        <w:tc>
          <w:tcPr>
            <w:tcW w:w="1150" w:type="dxa"/>
            <w:tcBorders>
              <w:top w:val="nil"/>
              <w:left w:val="nil"/>
              <w:bottom w:val="single" w:sz="4" w:space="0" w:color="auto"/>
              <w:right w:val="single" w:sz="4" w:space="0" w:color="auto"/>
            </w:tcBorders>
            <w:shd w:val="clear" w:color="000000" w:fill="FFFFFF"/>
            <w:noWrap/>
            <w:vAlign w:val="bottom"/>
            <w:hideMark/>
          </w:tcPr>
          <w:p w14:paraId="77224496" w14:textId="76559039" w:rsidR="00543241" w:rsidRPr="000D1437" w:rsidRDefault="00543241" w:rsidP="00543241">
            <w:pPr>
              <w:jc w:val="right"/>
              <w:rPr>
                <w:rFonts w:ascii="Times New Roman" w:hAnsi="Times New Roman"/>
                <w:sz w:val="14"/>
                <w:szCs w:val="14"/>
              </w:rPr>
            </w:pPr>
            <w:r w:rsidRPr="000D1437">
              <w:rPr>
                <w:sz w:val="14"/>
                <w:szCs w:val="14"/>
              </w:rPr>
              <w:t>789,05</w:t>
            </w:r>
          </w:p>
        </w:tc>
        <w:tc>
          <w:tcPr>
            <w:tcW w:w="1193" w:type="dxa"/>
            <w:tcBorders>
              <w:top w:val="nil"/>
              <w:left w:val="nil"/>
              <w:bottom w:val="single" w:sz="4" w:space="0" w:color="auto"/>
              <w:right w:val="single" w:sz="4" w:space="0" w:color="auto"/>
            </w:tcBorders>
            <w:shd w:val="clear" w:color="000000" w:fill="FFFFFF"/>
            <w:noWrap/>
            <w:vAlign w:val="bottom"/>
            <w:hideMark/>
          </w:tcPr>
          <w:p w14:paraId="78AE2D45" w14:textId="4B8AE387" w:rsidR="00543241" w:rsidRPr="000D1437" w:rsidRDefault="00543241" w:rsidP="00543241">
            <w:pPr>
              <w:jc w:val="right"/>
              <w:rPr>
                <w:rFonts w:ascii="Times New Roman" w:hAnsi="Times New Roman"/>
                <w:sz w:val="14"/>
                <w:szCs w:val="14"/>
              </w:rPr>
            </w:pPr>
            <w:r w:rsidRPr="000D1437">
              <w:rPr>
                <w:sz w:val="14"/>
                <w:szCs w:val="14"/>
              </w:rPr>
              <w:t>644,88</w:t>
            </w:r>
          </w:p>
        </w:tc>
        <w:tc>
          <w:tcPr>
            <w:tcW w:w="1193" w:type="dxa"/>
            <w:tcBorders>
              <w:top w:val="nil"/>
              <w:left w:val="nil"/>
              <w:bottom w:val="single" w:sz="4" w:space="0" w:color="auto"/>
              <w:right w:val="single" w:sz="4" w:space="0" w:color="auto"/>
            </w:tcBorders>
            <w:shd w:val="clear" w:color="000000" w:fill="FFFFFF"/>
            <w:vAlign w:val="bottom"/>
          </w:tcPr>
          <w:p w14:paraId="4D0B96CB" w14:textId="2A477F98" w:rsidR="00543241" w:rsidRPr="000D1437" w:rsidRDefault="00543241" w:rsidP="00543241">
            <w:pPr>
              <w:jc w:val="right"/>
              <w:rPr>
                <w:rFonts w:ascii="Times New Roman" w:hAnsi="Times New Roman"/>
                <w:sz w:val="14"/>
                <w:szCs w:val="14"/>
              </w:rPr>
            </w:pPr>
            <w:r w:rsidRPr="000D1437">
              <w:rPr>
                <w:sz w:val="14"/>
                <w:szCs w:val="14"/>
              </w:rPr>
              <w:t>731,54</w:t>
            </w:r>
          </w:p>
        </w:tc>
      </w:tr>
      <w:tr w:rsidR="00543241" w:rsidRPr="00364545" w14:paraId="3631864F"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C1E2118"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192" w:type="dxa"/>
            <w:tcBorders>
              <w:top w:val="nil"/>
              <w:left w:val="nil"/>
              <w:bottom w:val="single" w:sz="4" w:space="0" w:color="auto"/>
              <w:right w:val="single" w:sz="4" w:space="0" w:color="auto"/>
            </w:tcBorders>
            <w:shd w:val="clear" w:color="000000" w:fill="FFFFFF"/>
            <w:noWrap/>
            <w:vAlign w:val="bottom"/>
            <w:hideMark/>
          </w:tcPr>
          <w:p w14:paraId="0AE879E7" w14:textId="13F6C3FC" w:rsidR="00543241" w:rsidRPr="000D1437" w:rsidRDefault="00543241" w:rsidP="00543241">
            <w:pPr>
              <w:jc w:val="right"/>
              <w:rPr>
                <w:rFonts w:ascii="Times New Roman" w:hAnsi="Times New Roman"/>
                <w:sz w:val="14"/>
                <w:szCs w:val="14"/>
              </w:rPr>
            </w:pPr>
            <w:r w:rsidRPr="000D1437">
              <w:rPr>
                <w:sz w:val="14"/>
                <w:szCs w:val="14"/>
              </w:rPr>
              <w:t>980,46</w:t>
            </w:r>
          </w:p>
        </w:tc>
        <w:tc>
          <w:tcPr>
            <w:tcW w:w="1193" w:type="dxa"/>
            <w:tcBorders>
              <w:top w:val="nil"/>
              <w:left w:val="nil"/>
              <w:bottom w:val="single" w:sz="4" w:space="0" w:color="auto"/>
              <w:right w:val="single" w:sz="4" w:space="0" w:color="auto"/>
            </w:tcBorders>
            <w:shd w:val="clear" w:color="000000" w:fill="FFFFFF"/>
            <w:noWrap/>
            <w:vAlign w:val="bottom"/>
            <w:hideMark/>
          </w:tcPr>
          <w:p w14:paraId="139940C7" w14:textId="7CC9653F" w:rsidR="00543241" w:rsidRPr="000D1437" w:rsidRDefault="00543241" w:rsidP="00543241">
            <w:pPr>
              <w:jc w:val="right"/>
              <w:rPr>
                <w:rFonts w:ascii="Times New Roman" w:hAnsi="Times New Roman"/>
                <w:sz w:val="14"/>
                <w:szCs w:val="14"/>
              </w:rPr>
            </w:pPr>
            <w:r w:rsidRPr="000D1437">
              <w:rPr>
                <w:sz w:val="14"/>
                <w:szCs w:val="14"/>
              </w:rPr>
              <w:t>1054,33</w:t>
            </w:r>
          </w:p>
        </w:tc>
        <w:tc>
          <w:tcPr>
            <w:tcW w:w="1164" w:type="dxa"/>
            <w:tcBorders>
              <w:top w:val="nil"/>
              <w:left w:val="nil"/>
              <w:bottom w:val="single" w:sz="4" w:space="0" w:color="auto"/>
              <w:right w:val="single" w:sz="4" w:space="0" w:color="auto"/>
            </w:tcBorders>
            <w:shd w:val="clear" w:color="000000" w:fill="FFFFFF"/>
            <w:noWrap/>
            <w:vAlign w:val="bottom"/>
            <w:hideMark/>
          </w:tcPr>
          <w:p w14:paraId="7956CC0F" w14:textId="553E25C2" w:rsidR="00543241" w:rsidRPr="000D1437" w:rsidRDefault="00543241" w:rsidP="00543241">
            <w:pPr>
              <w:jc w:val="right"/>
              <w:rPr>
                <w:rFonts w:ascii="Times New Roman" w:hAnsi="Times New Roman"/>
                <w:sz w:val="14"/>
                <w:szCs w:val="14"/>
              </w:rPr>
            </w:pPr>
            <w:r w:rsidRPr="000D1437">
              <w:rPr>
                <w:sz w:val="14"/>
                <w:szCs w:val="14"/>
              </w:rPr>
              <w:t>1140,30</w:t>
            </w:r>
          </w:p>
        </w:tc>
        <w:tc>
          <w:tcPr>
            <w:tcW w:w="1150" w:type="dxa"/>
            <w:tcBorders>
              <w:top w:val="nil"/>
              <w:left w:val="nil"/>
              <w:bottom w:val="single" w:sz="4" w:space="0" w:color="auto"/>
              <w:right w:val="single" w:sz="4" w:space="0" w:color="auto"/>
            </w:tcBorders>
            <w:shd w:val="clear" w:color="000000" w:fill="FFFFFF"/>
            <w:noWrap/>
            <w:vAlign w:val="bottom"/>
            <w:hideMark/>
          </w:tcPr>
          <w:p w14:paraId="11DF5D61" w14:textId="4C3B77B1" w:rsidR="00543241" w:rsidRPr="000D1437" w:rsidRDefault="00543241" w:rsidP="00543241">
            <w:pPr>
              <w:jc w:val="right"/>
              <w:rPr>
                <w:rFonts w:ascii="Times New Roman" w:hAnsi="Times New Roman"/>
                <w:sz w:val="14"/>
                <w:szCs w:val="14"/>
              </w:rPr>
            </w:pPr>
            <w:r w:rsidRPr="000D1437">
              <w:rPr>
                <w:sz w:val="14"/>
                <w:szCs w:val="14"/>
              </w:rPr>
              <w:t>1 224,78</w:t>
            </w:r>
          </w:p>
        </w:tc>
        <w:tc>
          <w:tcPr>
            <w:tcW w:w="1193" w:type="dxa"/>
            <w:tcBorders>
              <w:top w:val="nil"/>
              <w:left w:val="nil"/>
              <w:bottom w:val="single" w:sz="4" w:space="0" w:color="auto"/>
              <w:right w:val="single" w:sz="4" w:space="0" w:color="auto"/>
            </w:tcBorders>
            <w:shd w:val="clear" w:color="000000" w:fill="FFFFFF"/>
            <w:noWrap/>
            <w:vAlign w:val="bottom"/>
            <w:hideMark/>
          </w:tcPr>
          <w:p w14:paraId="410E0484" w14:textId="206B9094" w:rsidR="00543241" w:rsidRPr="000D1437" w:rsidRDefault="00543241" w:rsidP="00543241">
            <w:pPr>
              <w:jc w:val="right"/>
              <w:rPr>
                <w:rFonts w:ascii="Times New Roman" w:hAnsi="Times New Roman"/>
                <w:sz w:val="14"/>
                <w:szCs w:val="14"/>
              </w:rPr>
            </w:pPr>
            <w:r w:rsidRPr="000D1437">
              <w:rPr>
                <w:sz w:val="14"/>
                <w:szCs w:val="14"/>
              </w:rPr>
              <w:t>1 298,14</w:t>
            </w:r>
          </w:p>
        </w:tc>
        <w:tc>
          <w:tcPr>
            <w:tcW w:w="1193" w:type="dxa"/>
            <w:tcBorders>
              <w:top w:val="nil"/>
              <w:left w:val="nil"/>
              <w:bottom w:val="single" w:sz="4" w:space="0" w:color="auto"/>
              <w:right w:val="single" w:sz="4" w:space="0" w:color="auto"/>
            </w:tcBorders>
            <w:shd w:val="clear" w:color="000000" w:fill="FFFFFF"/>
            <w:vAlign w:val="bottom"/>
          </w:tcPr>
          <w:p w14:paraId="51D01139" w14:textId="599637FC" w:rsidR="00543241" w:rsidRPr="000D1437" w:rsidRDefault="00543241" w:rsidP="00543241">
            <w:pPr>
              <w:jc w:val="right"/>
              <w:rPr>
                <w:rFonts w:ascii="Times New Roman" w:hAnsi="Times New Roman"/>
                <w:sz w:val="14"/>
                <w:szCs w:val="14"/>
              </w:rPr>
            </w:pPr>
            <w:r w:rsidRPr="000D1437">
              <w:rPr>
                <w:sz w:val="14"/>
                <w:szCs w:val="14"/>
              </w:rPr>
              <w:t>1 289,56</w:t>
            </w:r>
          </w:p>
        </w:tc>
      </w:tr>
      <w:tr w:rsidR="00543241" w:rsidRPr="00364545" w14:paraId="1D45A7AC"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4FA4CEF" w14:textId="6C266BE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192" w:type="dxa"/>
            <w:tcBorders>
              <w:top w:val="nil"/>
              <w:left w:val="nil"/>
              <w:bottom w:val="single" w:sz="4" w:space="0" w:color="auto"/>
              <w:right w:val="single" w:sz="4" w:space="0" w:color="auto"/>
            </w:tcBorders>
            <w:shd w:val="clear" w:color="000000" w:fill="FFFFFF"/>
            <w:noWrap/>
            <w:vAlign w:val="bottom"/>
            <w:hideMark/>
          </w:tcPr>
          <w:p w14:paraId="31662433" w14:textId="72EE9D8E" w:rsidR="00543241" w:rsidRPr="000D1437" w:rsidRDefault="00543241" w:rsidP="00543241">
            <w:pPr>
              <w:jc w:val="right"/>
              <w:rPr>
                <w:rFonts w:ascii="Times New Roman" w:hAnsi="Times New Roman"/>
                <w:sz w:val="14"/>
                <w:szCs w:val="14"/>
              </w:rPr>
            </w:pPr>
            <w:r w:rsidRPr="000D1437">
              <w:rPr>
                <w:sz w:val="14"/>
                <w:szCs w:val="14"/>
              </w:rPr>
              <w:t>176,17</w:t>
            </w:r>
          </w:p>
        </w:tc>
        <w:tc>
          <w:tcPr>
            <w:tcW w:w="1193" w:type="dxa"/>
            <w:tcBorders>
              <w:top w:val="nil"/>
              <w:left w:val="nil"/>
              <w:bottom w:val="single" w:sz="4" w:space="0" w:color="auto"/>
              <w:right w:val="single" w:sz="4" w:space="0" w:color="auto"/>
            </w:tcBorders>
            <w:shd w:val="clear" w:color="000000" w:fill="FFFFFF"/>
            <w:noWrap/>
            <w:vAlign w:val="bottom"/>
            <w:hideMark/>
          </w:tcPr>
          <w:p w14:paraId="368774EC" w14:textId="471F36B7" w:rsidR="00543241" w:rsidRPr="000D1437" w:rsidRDefault="00543241" w:rsidP="00543241">
            <w:pPr>
              <w:jc w:val="right"/>
              <w:rPr>
                <w:rFonts w:ascii="Times New Roman" w:hAnsi="Times New Roman"/>
                <w:sz w:val="14"/>
                <w:szCs w:val="14"/>
              </w:rPr>
            </w:pPr>
            <w:r w:rsidRPr="000D1437">
              <w:rPr>
                <w:sz w:val="14"/>
                <w:szCs w:val="14"/>
              </w:rPr>
              <w:t>163,75</w:t>
            </w:r>
          </w:p>
        </w:tc>
        <w:tc>
          <w:tcPr>
            <w:tcW w:w="1164" w:type="dxa"/>
            <w:tcBorders>
              <w:top w:val="nil"/>
              <w:left w:val="nil"/>
              <w:bottom w:val="single" w:sz="4" w:space="0" w:color="auto"/>
              <w:right w:val="single" w:sz="4" w:space="0" w:color="auto"/>
            </w:tcBorders>
            <w:shd w:val="clear" w:color="000000" w:fill="FFFFFF"/>
            <w:noWrap/>
            <w:vAlign w:val="bottom"/>
            <w:hideMark/>
          </w:tcPr>
          <w:p w14:paraId="059D44A6" w14:textId="1382D423" w:rsidR="00543241" w:rsidRPr="000D1437" w:rsidRDefault="00543241" w:rsidP="00543241">
            <w:pPr>
              <w:jc w:val="right"/>
              <w:rPr>
                <w:rFonts w:ascii="Times New Roman" w:hAnsi="Times New Roman"/>
                <w:sz w:val="14"/>
                <w:szCs w:val="14"/>
              </w:rPr>
            </w:pPr>
            <w:r w:rsidRPr="000D1437">
              <w:rPr>
                <w:sz w:val="14"/>
                <w:szCs w:val="14"/>
              </w:rPr>
              <w:t>172,85</w:t>
            </w:r>
          </w:p>
        </w:tc>
        <w:tc>
          <w:tcPr>
            <w:tcW w:w="1150" w:type="dxa"/>
            <w:tcBorders>
              <w:top w:val="nil"/>
              <w:left w:val="nil"/>
              <w:bottom w:val="single" w:sz="4" w:space="0" w:color="auto"/>
              <w:right w:val="single" w:sz="4" w:space="0" w:color="auto"/>
            </w:tcBorders>
            <w:shd w:val="clear" w:color="000000" w:fill="FFFFFF"/>
            <w:noWrap/>
            <w:vAlign w:val="bottom"/>
            <w:hideMark/>
          </w:tcPr>
          <w:p w14:paraId="7D5F4FA5" w14:textId="1D110B66" w:rsidR="00543241" w:rsidRPr="000D1437" w:rsidRDefault="00543241" w:rsidP="00543241">
            <w:pPr>
              <w:jc w:val="right"/>
              <w:rPr>
                <w:rFonts w:ascii="Times New Roman" w:hAnsi="Times New Roman"/>
                <w:sz w:val="14"/>
                <w:szCs w:val="14"/>
              </w:rPr>
            </w:pPr>
            <w:r w:rsidRPr="000D1437">
              <w:rPr>
                <w:sz w:val="14"/>
                <w:szCs w:val="14"/>
              </w:rPr>
              <w:t>149,79</w:t>
            </w:r>
          </w:p>
        </w:tc>
        <w:tc>
          <w:tcPr>
            <w:tcW w:w="1193" w:type="dxa"/>
            <w:tcBorders>
              <w:top w:val="nil"/>
              <w:left w:val="nil"/>
              <w:bottom w:val="single" w:sz="4" w:space="0" w:color="auto"/>
              <w:right w:val="single" w:sz="4" w:space="0" w:color="auto"/>
            </w:tcBorders>
            <w:shd w:val="clear" w:color="000000" w:fill="FFFFFF"/>
            <w:noWrap/>
            <w:vAlign w:val="bottom"/>
            <w:hideMark/>
          </w:tcPr>
          <w:p w14:paraId="4C7F67C0" w14:textId="31EF02E0" w:rsidR="00543241" w:rsidRPr="000D1437" w:rsidRDefault="00543241" w:rsidP="00543241">
            <w:pPr>
              <w:jc w:val="right"/>
              <w:rPr>
                <w:rFonts w:ascii="Times New Roman" w:hAnsi="Times New Roman"/>
                <w:sz w:val="14"/>
                <w:szCs w:val="14"/>
              </w:rPr>
            </w:pPr>
            <w:r w:rsidRPr="000D1437">
              <w:rPr>
                <w:sz w:val="14"/>
                <w:szCs w:val="14"/>
              </w:rPr>
              <w:t>165,44</w:t>
            </w:r>
          </w:p>
        </w:tc>
        <w:tc>
          <w:tcPr>
            <w:tcW w:w="1193" w:type="dxa"/>
            <w:tcBorders>
              <w:top w:val="nil"/>
              <w:left w:val="nil"/>
              <w:bottom w:val="single" w:sz="4" w:space="0" w:color="auto"/>
              <w:right w:val="single" w:sz="4" w:space="0" w:color="auto"/>
            </w:tcBorders>
            <w:shd w:val="clear" w:color="000000" w:fill="FFFFFF"/>
            <w:vAlign w:val="bottom"/>
          </w:tcPr>
          <w:p w14:paraId="4EBBFF80" w14:textId="394E1568" w:rsidR="00543241" w:rsidRPr="000D1437" w:rsidRDefault="00543241" w:rsidP="00543241">
            <w:pPr>
              <w:jc w:val="right"/>
              <w:rPr>
                <w:rFonts w:ascii="Times New Roman" w:hAnsi="Times New Roman"/>
                <w:sz w:val="14"/>
                <w:szCs w:val="14"/>
              </w:rPr>
            </w:pPr>
            <w:r w:rsidRPr="000D1437">
              <w:rPr>
                <w:sz w:val="14"/>
                <w:szCs w:val="14"/>
              </w:rPr>
              <w:t>163,25</w:t>
            </w:r>
          </w:p>
        </w:tc>
      </w:tr>
      <w:tr w:rsidR="00543241" w:rsidRPr="00364545" w14:paraId="2F1B007A"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43E209E" w14:textId="1905D8C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192" w:type="dxa"/>
            <w:tcBorders>
              <w:top w:val="nil"/>
              <w:left w:val="nil"/>
              <w:bottom w:val="single" w:sz="4" w:space="0" w:color="auto"/>
              <w:right w:val="single" w:sz="4" w:space="0" w:color="auto"/>
            </w:tcBorders>
            <w:shd w:val="clear" w:color="000000" w:fill="FFFFFF"/>
            <w:noWrap/>
            <w:vAlign w:val="bottom"/>
            <w:hideMark/>
          </w:tcPr>
          <w:p w14:paraId="2E760A8B" w14:textId="0397FBF2"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017F325E" w14:textId="78A91920" w:rsidR="00543241" w:rsidRPr="000D1437" w:rsidRDefault="00543241" w:rsidP="00543241">
            <w:pPr>
              <w:jc w:val="right"/>
              <w:rPr>
                <w:rFonts w:ascii="Times New Roman" w:hAnsi="Times New Roman"/>
                <w:sz w:val="14"/>
                <w:szCs w:val="14"/>
              </w:rPr>
            </w:pPr>
            <w:r w:rsidRPr="000D1437">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07BBF8A6" w14:textId="0A35D2E5" w:rsidR="00543241" w:rsidRPr="000D1437" w:rsidRDefault="00543241" w:rsidP="00543241">
            <w:pPr>
              <w:jc w:val="right"/>
              <w:rPr>
                <w:rFonts w:ascii="Times New Roman" w:hAnsi="Times New Roman"/>
                <w:sz w:val="14"/>
                <w:szCs w:val="14"/>
              </w:rPr>
            </w:pPr>
            <w:r w:rsidRPr="000D1437">
              <w:rPr>
                <w:sz w:val="14"/>
                <w:szCs w:val="14"/>
              </w:rPr>
              <w:t>NO</w:t>
            </w:r>
          </w:p>
        </w:tc>
        <w:tc>
          <w:tcPr>
            <w:tcW w:w="1150" w:type="dxa"/>
            <w:tcBorders>
              <w:top w:val="nil"/>
              <w:left w:val="nil"/>
              <w:bottom w:val="single" w:sz="4" w:space="0" w:color="auto"/>
              <w:right w:val="single" w:sz="4" w:space="0" w:color="auto"/>
            </w:tcBorders>
            <w:shd w:val="clear" w:color="000000" w:fill="FFFFFF"/>
            <w:noWrap/>
            <w:vAlign w:val="bottom"/>
            <w:hideMark/>
          </w:tcPr>
          <w:p w14:paraId="513EAA22" w14:textId="4DE84ED1"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6C11B7AC" w14:textId="64248788"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FFFFFF"/>
            <w:vAlign w:val="bottom"/>
          </w:tcPr>
          <w:p w14:paraId="7EC0376B" w14:textId="687063EA"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29919850"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bottom"/>
            <w:hideMark/>
          </w:tcPr>
          <w:p w14:paraId="39EE24DC"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192" w:type="dxa"/>
            <w:tcBorders>
              <w:top w:val="nil"/>
              <w:left w:val="nil"/>
              <w:bottom w:val="single" w:sz="4" w:space="0" w:color="auto"/>
              <w:right w:val="single" w:sz="4" w:space="0" w:color="auto"/>
            </w:tcBorders>
            <w:shd w:val="clear" w:color="000000" w:fill="CCFFFF"/>
            <w:noWrap/>
            <w:vAlign w:val="bottom"/>
            <w:hideMark/>
          </w:tcPr>
          <w:p w14:paraId="0008CBEA" w14:textId="3AB5FD59" w:rsidR="00543241" w:rsidRPr="000D1437" w:rsidRDefault="00543241" w:rsidP="00543241">
            <w:pPr>
              <w:jc w:val="right"/>
              <w:rPr>
                <w:rFonts w:ascii="Times New Roman" w:hAnsi="Times New Roman"/>
                <w:sz w:val="14"/>
                <w:szCs w:val="14"/>
              </w:rPr>
            </w:pPr>
            <w:r w:rsidRPr="000D1437">
              <w:rPr>
                <w:sz w:val="14"/>
                <w:szCs w:val="14"/>
              </w:rPr>
              <w:t>-48622,85</w:t>
            </w:r>
          </w:p>
        </w:tc>
        <w:tc>
          <w:tcPr>
            <w:tcW w:w="1193" w:type="dxa"/>
            <w:tcBorders>
              <w:top w:val="nil"/>
              <w:left w:val="nil"/>
              <w:bottom w:val="single" w:sz="4" w:space="0" w:color="auto"/>
              <w:right w:val="single" w:sz="4" w:space="0" w:color="auto"/>
            </w:tcBorders>
            <w:shd w:val="clear" w:color="000000" w:fill="CCFFFF"/>
            <w:noWrap/>
            <w:vAlign w:val="bottom"/>
            <w:hideMark/>
          </w:tcPr>
          <w:p w14:paraId="6C838820" w14:textId="72C5040A" w:rsidR="00543241" w:rsidRPr="000D1437" w:rsidRDefault="00543241" w:rsidP="00543241">
            <w:pPr>
              <w:jc w:val="right"/>
              <w:rPr>
                <w:rFonts w:ascii="Times New Roman" w:hAnsi="Times New Roman"/>
                <w:sz w:val="14"/>
                <w:szCs w:val="14"/>
              </w:rPr>
            </w:pPr>
            <w:r w:rsidRPr="000D1437">
              <w:rPr>
                <w:sz w:val="14"/>
                <w:szCs w:val="14"/>
              </w:rPr>
              <w:t>-42463,47</w:t>
            </w:r>
          </w:p>
        </w:tc>
        <w:tc>
          <w:tcPr>
            <w:tcW w:w="1164" w:type="dxa"/>
            <w:tcBorders>
              <w:top w:val="nil"/>
              <w:left w:val="nil"/>
              <w:bottom w:val="single" w:sz="4" w:space="0" w:color="auto"/>
              <w:right w:val="single" w:sz="4" w:space="0" w:color="auto"/>
            </w:tcBorders>
            <w:shd w:val="clear" w:color="000000" w:fill="CCFFFF"/>
            <w:noWrap/>
            <w:vAlign w:val="bottom"/>
            <w:hideMark/>
          </w:tcPr>
          <w:p w14:paraId="0D0A35B5" w14:textId="0B38E321" w:rsidR="00543241" w:rsidRPr="000D1437" w:rsidRDefault="00543241" w:rsidP="00543241">
            <w:pPr>
              <w:jc w:val="right"/>
              <w:rPr>
                <w:rFonts w:ascii="Times New Roman" w:hAnsi="Times New Roman"/>
                <w:sz w:val="14"/>
                <w:szCs w:val="14"/>
              </w:rPr>
            </w:pPr>
            <w:r w:rsidRPr="000D1437">
              <w:rPr>
                <w:sz w:val="14"/>
                <w:szCs w:val="14"/>
              </w:rPr>
              <w:t>-38599,21</w:t>
            </w:r>
          </w:p>
        </w:tc>
        <w:tc>
          <w:tcPr>
            <w:tcW w:w="1150" w:type="dxa"/>
            <w:tcBorders>
              <w:top w:val="nil"/>
              <w:left w:val="nil"/>
              <w:bottom w:val="single" w:sz="4" w:space="0" w:color="auto"/>
              <w:right w:val="single" w:sz="4" w:space="0" w:color="auto"/>
            </w:tcBorders>
            <w:shd w:val="clear" w:color="000000" w:fill="CCFFFF"/>
            <w:noWrap/>
            <w:vAlign w:val="bottom"/>
            <w:hideMark/>
          </w:tcPr>
          <w:p w14:paraId="5BBB083D" w14:textId="3CE4C048" w:rsidR="00543241" w:rsidRPr="000D1437" w:rsidRDefault="00543241" w:rsidP="00543241">
            <w:pPr>
              <w:jc w:val="right"/>
              <w:rPr>
                <w:rFonts w:ascii="Times New Roman" w:hAnsi="Times New Roman"/>
                <w:sz w:val="14"/>
                <w:szCs w:val="14"/>
              </w:rPr>
            </w:pPr>
            <w:r w:rsidRPr="000D1437">
              <w:rPr>
                <w:sz w:val="14"/>
                <w:szCs w:val="14"/>
              </w:rPr>
              <w:t>-29579,94</w:t>
            </w:r>
          </w:p>
        </w:tc>
        <w:tc>
          <w:tcPr>
            <w:tcW w:w="1193" w:type="dxa"/>
            <w:tcBorders>
              <w:top w:val="nil"/>
              <w:left w:val="nil"/>
              <w:bottom w:val="single" w:sz="4" w:space="0" w:color="auto"/>
              <w:right w:val="single" w:sz="4" w:space="0" w:color="auto"/>
            </w:tcBorders>
            <w:shd w:val="clear" w:color="000000" w:fill="CCFFFF"/>
            <w:noWrap/>
            <w:vAlign w:val="bottom"/>
            <w:hideMark/>
          </w:tcPr>
          <w:p w14:paraId="313801CC" w14:textId="2EB15190" w:rsidR="00543241" w:rsidRPr="000D1437" w:rsidRDefault="00543241" w:rsidP="00543241">
            <w:pPr>
              <w:jc w:val="right"/>
              <w:rPr>
                <w:rFonts w:ascii="Times New Roman" w:hAnsi="Times New Roman"/>
                <w:sz w:val="14"/>
                <w:szCs w:val="14"/>
              </w:rPr>
            </w:pPr>
            <w:r w:rsidRPr="000D1437">
              <w:rPr>
                <w:sz w:val="14"/>
                <w:szCs w:val="14"/>
              </w:rPr>
              <w:t>-20767,34</w:t>
            </w:r>
          </w:p>
        </w:tc>
        <w:tc>
          <w:tcPr>
            <w:tcW w:w="1193" w:type="dxa"/>
            <w:tcBorders>
              <w:top w:val="nil"/>
              <w:left w:val="nil"/>
              <w:bottom w:val="single" w:sz="4" w:space="0" w:color="auto"/>
              <w:right w:val="single" w:sz="4" w:space="0" w:color="auto"/>
            </w:tcBorders>
            <w:shd w:val="clear" w:color="000000" w:fill="CCFFFF"/>
            <w:vAlign w:val="bottom"/>
          </w:tcPr>
          <w:p w14:paraId="4CA9CFB1" w14:textId="6392DF1F" w:rsidR="00543241" w:rsidRPr="000D1437" w:rsidRDefault="00543241" w:rsidP="00543241">
            <w:pPr>
              <w:jc w:val="right"/>
              <w:rPr>
                <w:rFonts w:ascii="Times New Roman" w:hAnsi="Times New Roman"/>
                <w:sz w:val="14"/>
                <w:szCs w:val="14"/>
              </w:rPr>
            </w:pPr>
            <w:r w:rsidRPr="000D1437">
              <w:rPr>
                <w:sz w:val="14"/>
                <w:szCs w:val="14"/>
              </w:rPr>
              <w:t>-18069,39</w:t>
            </w:r>
          </w:p>
        </w:tc>
      </w:tr>
      <w:tr w:rsidR="00543241" w:rsidRPr="00364545" w14:paraId="7B525DDA"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18CF4D3" w14:textId="105B1BB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192" w:type="dxa"/>
            <w:tcBorders>
              <w:top w:val="nil"/>
              <w:left w:val="nil"/>
              <w:bottom w:val="single" w:sz="4" w:space="0" w:color="auto"/>
              <w:right w:val="single" w:sz="4" w:space="0" w:color="auto"/>
            </w:tcBorders>
            <w:shd w:val="clear" w:color="000000" w:fill="FFFFFF"/>
            <w:noWrap/>
            <w:vAlign w:val="bottom"/>
            <w:hideMark/>
          </w:tcPr>
          <w:p w14:paraId="27993299" w14:textId="148691FD" w:rsidR="00543241" w:rsidRPr="000D1437" w:rsidRDefault="00543241" w:rsidP="00543241">
            <w:pPr>
              <w:jc w:val="right"/>
              <w:rPr>
                <w:rFonts w:ascii="Times New Roman" w:hAnsi="Times New Roman"/>
                <w:sz w:val="14"/>
                <w:szCs w:val="14"/>
              </w:rPr>
            </w:pPr>
            <w:r w:rsidRPr="000D1437">
              <w:rPr>
                <w:sz w:val="14"/>
                <w:szCs w:val="14"/>
              </w:rPr>
              <w:t>-63077,92</w:t>
            </w:r>
          </w:p>
        </w:tc>
        <w:tc>
          <w:tcPr>
            <w:tcW w:w="1193" w:type="dxa"/>
            <w:tcBorders>
              <w:top w:val="nil"/>
              <w:left w:val="nil"/>
              <w:bottom w:val="single" w:sz="4" w:space="0" w:color="auto"/>
              <w:right w:val="single" w:sz="4" w:space="0" w:color="auto"/>
            </w:tcBorders>
            <w:shd w:val="clear" w:color="000000" w:fill="FFFFFF"/>
            <w:noWrap/>
            <w:vAlign w:val="bottom"/>
            <w:hideMark/>
          </w:tcPr>
          <w:p w14:paraId="3B36D94B" w14:textId="099B55B4" w:rsidR="00543241" w:rsidRPr="000D1437" w:rsidRDefault="00543241" w:rsidP="00543241">
            <w:pPr>
              <w:jc w:val="right"/>
              <w:rPr>
                <w:rFonts w:ascii="Times New Roman" w:hAnsi="Times New Roman"/>
                <w:sz w:val="14"/>
                <w:szCs w:val="14"/>
              </w:rPr>
            </w:pPr>
            <w:r w:rsidRPr="000D1437">
              <w:rPr>
                <w:sz w:val="14"/>
                <w:szCs w:val="14"/>
              </w:rPr>
              <w:t>-56392,41</w:t>
            </w:r>
          </w:p>
        </w:tc>
        <w:tc>
          <w:tcPr>
            <w:tcW w:w="1164" w:type="dxa"/>
            <w:tcBorders>
              <w:top w:val="nil"/>
              <w:left w:val="nil"/>
              <w:bottom w:val="single" w:sz="4" w:space="0" w:color="auto"/>
              <w:right w:val="single" w:sz="4" w:space="0" w:color="auto"/>
            </w:tcBorders>
            <w:shd w:val="clear" w:color="000000" w:fill="FFFFFF"/>
            <w:noWrap/>
            <w:vAlign w:val="bottom"/>
            <w:hideMark/>
          </w:tcPr>
          <w:p w14:paraId="423AF78D" w14:textId="2733961C" w:rsidR="00543241" w:rsidRPr="000D1437" w:rsidRDefault="00543241" w:rsidP="00543241">
            <w:pPr>
              <w:jc w:val="right"/>
              <w:rPr>
                <w:rFonts w:ascii="Times New Roman" w:hAnsi="Times New Roman"/>
                <w:sz w:val="14"/>
                <w:szCs w:val="14"/>
              </w:rPr>
            </w:pPr>
            <w:r w:rsidRPr="000D1437">
              <w:rPr>
                <w:sz w:val="14"/>
                <w:szCs w:val="14"/>
              </w:rPr>
              <w:t>-52869,52</w:t>
            </w:r>
          </w:p>
        </w:tc>
        <w:tc>
          <w:tcPr>
            <w:tcW w:w="1150" w:type="dxa"/>
            <w:tcBorders>
              <w:top w:val="nil"/>
              <w:left w:val="nil"/>
              <w:bottom w:val="single" w:sz="4" w:space="0" w:color="auto"/>
              <w:right w:val="single" w:sz="4" w:space="0" w:color="auto"/>
            </w:tcBorders>
            <w:shd w:val="clear" w:color="000000" w:fill="FFFFFF"/>
            <w:noWrap/>
            <w:vAlign w:val="bottom"/>
            <w:hideMark/>
          </w:tcPr>
          <w:p w14:paraId="6B37A5E0" w14:textId="01128119" w:rsidR="00543241" w:rsidRPr="000D1437" w:rsidRDefault="00543241" w:rsidP="00543241">
            <w:pPr>
              <w:jc w:val="right"/>
              <w:rPr>
                <w:rFonts w:ascii="Times New Roman" w:hAnsi="Times New Roman"/>
                <w:sz w:val="14"/>
                <w:szCs w:val="14"/>
              </w:rPr>
            </w:pPr>
            <w:r w:rsidRPr="000D1437">
              <w:rPr>
                <w:sz w:val="14"/>
                <w:szCs w:val="14"/>
              </w:rPr>
              <w:t>-43 515,81</w:t>
            </w:r>
          </w:p>
        </w:tc>
        <w:tc>
          <w:tcPr>
            <w:tcW w:w="1193" w:type="dxa"/>
            <w:tcBorders>
              <w:top w:val="nil"/>
              <w:left w:val="nil"/>
              <w:bottom w:val="single" w:sz="4" w:space="0" w:color="auto"/>
              <w:right w:val="single" w:sz="4" w:space="0" w:color="auto"/>
            </w:tcBorders>
            <w:shd w:val="clear" w:color="000000" w:fill="FFFFFF"/>
            <w:noWrap/>
            <w:vAlign w:val="bottom"/>
            <w:hideMark/>
          </w:tcPr>
          <w:p w14:paraId="50E3716B" w14:textId="3DEF5627" w:rsidR="00543241" w:rsidRPr="000D1437" w:rsidRDefault="00543241" w:rsidP="00543241">
            <w:pPr>
              <w:jc w:val="right"/>
              <w:rPr>
                <w:rFonts w:ascii="Times New Roman" w:hAnsi="Times New Roman"/>
                <w:sz w:val="14"/>
                <w:szCs w:val="14"/>
              </w:rPr>
            </w:pPr>
            <w:r w:rsidRPr="000D1437">
              <w:rPr>
                <w:sz w:val="14"/>
                <w:szCs w:val="14"/>
              </w:rPr>
              <w:t>-34 085,32</w:t>
            </w:r>
          </w:p>
        </w:tc>
        <w:tc>
          <w:tcPr>
            <w:tcW w:w="1193" w:type="dxa"/>
            <w:tcBorders>
              <w:top w:val="nil"/>
              <w:left w:val="nil"/>
              <w:bottom w:val="single" w:sz="4" w:space="0" w:color="auto"/>
              <w:right w:val="single" w:sz="4" w:space="0" w:color="auto"/>
            </w:tcBorders>
            <w:shd w:val="clear" w:color="000000" w:fill="FFFFFF"/>
            <w:vAlign w:val="bottom"/>
          </w:tcPr>
          <w:p w14:paraId="4082F734" w14:textId="21C8E73E" w:rsidR="00543241" w:rsidRPr="000D1437" w:rsidRDefault="00543241" w:rsidP="00543241">
            <w:pPr>
              <w:jc w:val="right"/>
              <w:rPr>
                <w:rFonts w:ascii="Times New Roman" w:hAnsi="Times New Roman"/>
                <w:sz w:val="14"/>
                <w:szCs w:val="14"/>
              </w:rPr>
            </w:pPr>
            <w:r w:rsidRPr="000D1437">
              <w:rPr>
                <w:sz w:val="14"/>
                <w:szCs w:val="14"/>
              </w:rPr>
              <w:t>-31 475,46</w:t>
            </w:r>
          </w:p>
        </w:tc>
      </w:tr>
      <w:tr w:rsidR="00543241" w:rsidRPr="00364545" w14:paraId="07F06072"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1E77DD7" w14:textId="124252B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192" w:type="dxa"/>
            <w:tcBorders>
              <w:top w:val="nil"/>
              <w:left w:val="nil"/>
              <w:bottom w:val="single" w:sz="4" w:space="0" w:color="auto"/>
              <w:right w:val="single" w:sz="4" w:space="0" w:color="auto"/>
            </w:tcBorders>
            <w:shd w:val="clear" w:color="000000" w:fill="FFFFFF"/>
            <w:noWrap/>
            <w:vAlign w:val="bottom"/>
            <w:hideMark/>
          </w:tcPr>
          <w:p w14:paraId="48D36E82" w14:textId="335C08FF" w:rsidR="00543241" w:rsidRPr="000D1437" w:rsidRDefault="00543241" w:rsidP="00543241">
            <w:pPr>
              <w:jc w:val="right"/>
              <w:rPr>
                <w:rFonts w:ascii="Times New Roman" w:hAnsi="Times New Roman"/>
                <w:sz w:val="14"/>
                <w:szCs w:val="14"/>
              </w:rPr>
            </w:pPr>
            <w:r w:rsidRPr="000D1437">
              <w:rPr>
                <w:sz w:val="14"/>
                <w:szCs w:val="14"/>
              </w:rPr>
              <w:t>14185,03</w:t>
            </w:r>
          </w:p>
        </w:tc>
        <w:tc>
          <w:tcPr>
            <w:tcW w:w="1193" w:type="dxa"/>
            <w:tcBorders>
              <w:top w:val="nil"/>
              <w:left w:val="nil"/>
              <w:bottom w:val="single" w:sz="4" w:space="0" w:color="auto"/>
              <w:right w:val="single" w:sz="4" w:space="0" w:color="auto"/>
            </w:tcBorders>
            <w:shd w:val="clear" w:color="000000" w:fill="FFFFFF"/>
            <w:noWrap/>
            <w:vAlign w:val="bottom"/>
            <w:hideMark/>
          </w:tcPr>
          <w:p w14:paraId="72433D0D" w14:textId="6CD1DF73" w:rsidR="00543241" w:rsidRPr="000D1437" w:rsidRDefault="00543241" w:rsidP="00543241">
            <w:pPr>
              <w:jc w:val="right"/>
              <w:rPr>
                <w:rFonts w:ascii="Times New Roman" w:hAnsi="Times New Roman"/>
                <w:sz w:val="14"/>
                <w:szCs w:val="14"/>
              </w:rPr>
            </w:pPr>
            <w:r w:rsidRPr="000D1437">
              <w:rPr>
                <w:sz w:val="14"/>
                <w:szCs w:val="14"/>
              </w:rPr>
              <w:t>13420,06</w:t>
            </w:r>
          </w:p>
        </w:tc>
        <w:tc>
          <w:tcPr>
            <w:tcW w:w="1164" w:type="dxa"/>
            <w:tcBorders>
              <w:top w:val="nil"/>
              <w:left w:val="nil"/>
              <w:bottom w:val="single" w:sz="4" w:space="0" w:color="auto"/>
              <w:right w:val="single" w:sz="4" w:space="0" w:color="auto"/>
            </w:tcBorders>
            <w:shd w:val="clear" w:color="000000" w:fill="FFFFFF"/>
            <w:noWrap/>
            <w:vAlign w:val="bottom"/>
            <w:hideMark/>
          </w:tcPr>
          <w:p w14:paraId="188A1509" w14:textId="4A761D30" w:rsidR="00543241" w:rsidRPr="000D1437" w:rsidRDefault="00543241" w:rsidP="00543241">
            <w:pPr>
              <w:jc w:val="right"/>
              <w:rPr>
                <w:rFonts w:ascii="Times New Roman" w:hAnsi="Times New Roman"/>
                <w:sz w:val="14"/>
                <w:szCs w:val="14"/>
              </w:rPr>
            </w:pPr>
            <w:r w:rsidRPr="000D1437">
              <w:rPr>
                <w:sz w:val="14"/>
                <w:szCs w:val="14"/>
              </w:rPr>
              <w:t>12942,66</w:t>
            </w:r>
          </w:p>
        </w:tc>
        <w:tc>
          <w:tcPr>
            <w:tcW w:w="1150" w:type="dxa"/>
            <w:tcBorders>
              <w:top w:val="nil"/>
              <w:left w:val="nil"/>
              <w:bottom w:val="single" w:sz="4" w:space="0" w:color="auto"/>
              <w:right w:val="single" w:sz="4" w:space="0" w:color="auto"/>
            </w:tcBorders>
            <w:shd w:val="clear" w:color="000000" w:fill="FFFFFF"/>
            <w:noWrap/>
            <w:vAlign w:val="bottom"/>
            <w:hideMark/>
          </w:tcPr>
          <w:p w14:paraId="0455B0BF" w14:textId="3763C243" w:rsidR="00543241" w:rsidRPr="000D1437" w:rsidRDefault="00543241" w:rsidP="00543241">
            <w:pPr>
              <w:jc w:val="right"/>
              <w:rPr>
                <w:rFonts w:ascii="Times New Roman" w:hAnsi="Times New Roman"/>
                <w:sz w:val="14"/>
                <w:szCs w:val="14"/>
              </w:rPr>
            </w:pPr>
            <w:r w:rsidRPr="000D1437">
              <w:rPr>
                <w:sz w:val="14"/>
                <w:szCs w:val="14"/>
              </w:rPr>
              <w:t>12 269,60</w:t>
            </w:r>
          </w:p>
        </w:tc>
        <w:tc>
          <w:tcPr>
            <w:tcW w:w="1193" w:type="dxa"/>
            <w:tcBorders>
              <w:top w:val="nil"/>
              <w:left w:val="nil"/>
              <w:bottom w:val="single" w:sz="4" w:space="0" w:color="auto"/>
              <w:right w:val="single" w:sz="4" w:space="0" w:color="auto"/>
            </w:tcBorders>
            <w:shd w:val="clear" w:color="000000" w:fill="FFFFFF"/>
            <w:noWrap/>
            <w:vAlign w:val="bottom"/>
            <w:hideMark/>
          </w:tcPr>
          <w:p w14:paraId="666A44E2" w14:textId="0920430F" w:rsidR="00543241" w:rsidRPr="000D1437" w:rsidRDefault="00543241" w:rsidP="00543241">
            <w:pPr>
              <w:jc w:val="right"/>
              <w:rPr>
                <w:rFonts w:ascii="Times New Roman" w:hAnsi="Times New Roman"/>
                <w:sz w:val="14"/>
                <w:szCs w:val="14"/>
              </w:rPr>
            </w:pPr>
            <w:r w:rsidRPr="000D1437">
              <w:rPr>
                <w:sz w:val="14"/>
                <w:szCs w:val="14"/>
              </w:rPr>
              <w:t>11 765,80</w:t>
            </w:r>
          </w:p>
        </w:tc>
        <w:tc>
          <w:tcPr>
            <w:tcW w:w="1193" w:type="dxa"/>
            <w:tcBorders>
              <w:top w:val="nil"/>
              <w:left w:val="nil"/>
              <w:bottom w:val="single" w:sz="4" w:space="0" w:color="auto"/>
              <w:right w:val="single" w:sz="4" w:space="0" w:color="auto"/>
            </w:tcBorders>
            <w:shd w:val="clear" w:color="000000" w:fill="FFFFFF"/>
            <w:vAlign w:val="bottom"/>
          </w:tcPr>
          <w:p w14:paraId="15E18678" w14:textId="35B94B33" w:rsidR="00543241" w:rsidRPr="000D1437" w:rsidRDefault="00543241" w:rsidP="00543241">
            <w:pPr>
              <w:jc w:val="right"/>
              <w:rPr>
                <w:rFonts w:ascii="Times New Roman" w:hAnsi="Times New Roman"/>
                <w:sz w:val="14"/>
                <w:szCs w:val="14"/>
              </w:rPr>
            </w:pPr>
            <w:r w:rsidRPr="000D1437">
              <w:rPr>
                <w:sz w:val="14"/>
                <w:szCs w:val="14"/>
              </w:rPr>
              <w:t>11 484,82</w:t>
            </w:r>
          </w:p>
        </w:tc>
      </w:tr>
      <w:tr w:rsidR="00543241" w:rsidRPr="00364545" w14:paraId="0C52E1A6"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BB0A765" w14:textId="156CAC5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192" w:type="dxa"/>
            <w:tcBorders>
              <w:top w:val="nil"/>
              <w:left w:val="nil"/>
              <w:bottom w:val="single" w:sz="4" w:space="0" w:color="auto"/>
              <w:right w:val="single" w:sz="4" w:space="0" w:color="auto"/>
            </w:tcBorders>
            <w:shd w:val="clear" w:color="000000" w:fill="FFFFFF"/>
            <w:noWrap/>
            <w:vAlign w:val="bottom"/>
            <w:hideMark/>
          </w:tcPr>
          <w:p w14:paraId="33128716" w14:textId="2086B893" w:rsidR="00543241" w:rsidRPr="000D1437" w:rsidRDefault="00543241" w:rsidP="00543241">
            <w:pPr>
              <w:jc w:val="right"/>
              <w:rPr>
                <w:rFonts w:ascii="Times New Roman" w:hAnsi="Times New Roman"/>
                <w:sz w:val="14"/>
                <w:szCs w:val="14"/>
              </w:rPr>
            </w:pPr>
            <w:r w:rsidRPr="000D1437">
              <w:rPr>
                <w:sz w:val="14"/>
                <w:szCs w:val="14"/>
              </w:rPr>
              <w:t>-9911,51</w:t>
            </w:r>
          </w:p>
        </w:tc>
        <w:tc>
          <w:tcPr>
            <w:tcW w:w="1193" w:type="dxa"/>
            <w:tcBorders>
              <w:top w:val="nil"/>
              <w:left w:val="nil"/>
              <w:bottom w:val="single" w:sz="4" w:space="0" w:color="auto"/>
              <w:right w:val="single" w:sz="4" w:space="0" w:color="auto"/>
            </w:tcBorders>
            <w:shd w:val="clear" w:color="000000" w:fill="FFFFFF"/>
            <w:noWrap/>
            <w:vAlign w:val="bottom"/>
            <w:hideMark/>
          </w:tcPr>
          <w:p w14:paraId="68D53613" w14:textId="6B639918" w:rsidR="00543241" w:rsidRPr="000D1437" w:rsidRDefault="00543241" w:rsidP="00543241">
            <w:pPr>
              <w:jc w:val="right"/>
              <w:rPr>
                <w:rFonts w:ascii="Times New Roman" w:hAnsi="Times New Roman"/>
                <w:sz w:val="14"/>
                <w:szCs w:val="14"/>
              </w:rPr>
            </w:pPr>
            <w:r w:rsidRPr="000D1437">
              <w:rPr>
                <w:sz w:val="14"/>
                <w:szCs w:val="14"/>
              </w:rPr>
              <w:t>-9489,24</w:t>
            </w:r>
          </w:p>
        </w:tc>
        <w:tc>
          <w:tcPr>
            <w:tcW w:w="1164" w:type="dxa"/>
            <w:tcBorders>
              <w:top w:val="nil"/>
              <w:left w:val="nil"/>
              <w:bottom w:val="single" w:sz="4" w:space="0" w:color="auto"/>
              <w:right w:val="single" w:sz="4" w:space="0" w:color="auto"/>
            </w:tcBorders>
            <w:shd w:val="clear" w:color="000000" w:fill="FFFFFF"/>
            <w:noWrap/>
            <w:vAlign w:val="bottom"/>
            <w:hideMark/>
          </w:tcPr>
          <w:p w14:paraId="568863FF" w14:textId="66F528AD" w:rsidR="00543241" w:rsidRPr="000D1437" w:rsidRDefault="00543241" w:rsidP="00543241">
            <w:pPr>
              <w:jc w:val="right"/>
              <w:rPr>
                <w:rFonts w:ascii="Times New Roman" w:hAnsi="Times New Roman"/>
                <w:sz w:val="14"/>
                <w:szCs w:val="14"/>
              </w:rPr>
            </w:pPr>
            <w:r w:rsidRPr="000D1437">
              <w:rPr>
                <w:sz w:val="14"/>
                <w:szCs w:val="14"/>
              </w:rPr>
              <w:t>-9192,91</w:t>
            </w:r>
          </w:p>
        </w:tc>
        <w:tc>
          <w:tcPr>
            <w:tcW w:w="1150" w:type="dxa"/>
            <w:tcBorders>
              <w:top w:val="nil"/>
              <w:left w:val="nil"/>
              <w:bottom w:val="single" w:sz="4" w:space="0" w:color="auto"/>
              <w:right w:val="single" w:sz="4" w:space="0" w:color="auto"/>
            </w:tcBorders>
            <w:shd w:val="clear" w:color="000000" w:fill="FFFFFF"/>
            <w:noWrap/>
            <w:vAlign w:val="bottom"/>
            <w:hideMark/>
          </w:tcPr>
          <w:p w14:paraId="49711975" w14:textId="66265188" w:rsidR="00543241" w:rsidRPr="000D1437" w:rsidRDefault="00543241" w:rsidP="00543241">
            <w:pPr>
              <w:jc w:val="right"/>
              <w:rPr>
                <w:rFonts w:ascii="Times New Roman" w:hAnsi="Times New Roman"/>
                <w:sz w:val="14"/>
                <w:szCs w:val="14"/>
              </w:rPr>
            </w:pPr>
            <w:r w:rsidRPr="000D1437">
              <w:rPr>
                <w:sz w:val="14"/>
                <w:szCs w:val="14"/>
              </w:rPr>
              <w:t>-8 961,85</w:t>
            </w:r>
          </w:p>
        </w:tc>
        <w:tc>
          <w:tcPr>
            <w:tcW w:w="1193" w:type="dxa"/>
            <w:tcBorders>
              <w:top w:val="nil"/>
              <w:left w:val="nil"/>
              <w:bottom w:val="single" w:sz="4" w:space="0" w:color="auto"/>
              <w:right w:val="single" w:sz="4" w:space="0" w:color="auto"/>
            </w:tcBorders>
            <w:shd w:val="clear" w:color="000000" w:fill="FFFFFF"/>
            <w:noWrap/>
            <w:vAlign w:val="bottom"/>
            <w:hideMark/>
          </w:tcPr>
          <w:p w14:paraId="12EA85F5" w14:textId="6712C2B1" w:rsidR="00543241" w:rsidRPr="000D1437" w:rsidRDefault="00543241" w:rsidP="00543241">
            <w:pPr>
              <w:jc w:val="right"/>
              <w:rPr>
                <w:rFonts w:ascii="Times New Roman" w:hAnsi="Times New Roman"/>
                <w:sz w:val="14"/>
                <w:szCs w:val="14"/>
              </w:rPr>
            </w:pPr>
            <w:r w:rsidRPr="000D1437">
              <w:rPr>
                <w:sz w:val="14"/>
                <w:szCs w:val="14"/>
              </w:rPr>
              <w:t>-8 773,74</w:t>
            </w:r>
          </w:p>
        </w:tc>
        <w:tc>
          <w:tcPr>
            <w:tcW w:w="1193" w:type="dxa"/>
            <w:tcBorders>
              <w:top w:val="nil"/>
              <w:left w:val="nil"/>
              <w:bottom w:val="single" w:sz="4" w:space="0" w:color="auto"/>
              <w:right w:val="single" w:sz="4" w:space="0" w:color="auto"/>
            </w:tcBorders>
            <w:shd w:val="clear" w:color="000000" w:fill="FFFFFF"/>
            <w:vAlign w:val="bottom"/>
          </w:tcPr>
          <w:p w14:paraId="4A21C36C" w14:textId="55C3FCE8" w:rsidR="00543241" w:rsidRPr="000D1437" w:rsidRDefault="00543241" w:rsidP="00543241">
            <w:pPr>
              <w:jc w:val="right"/>
              <w:rPr>
                <w:rFonts w:ascii="Times New Roman" w:hAnsi="Times New Roman"/>
                <w:sz w:val="14"/>
                <w:szCs w:val="14"/>
              </w:rPr>
            </w:pPr>
            <w:r w:rsidRPr="000D1437">
              <w:rPr>
                <w:sz w:val="14"/>
                <w:szCs w:val="14"/>
              </w:rPr>
              <w:t>-8 571,13</w:t>
            </w:r>
          </w:p>
        </w:tc>
      </w:tr>
      <w:tr w:rsidR="00543241" w:rsidRPr="00364545" w14:paraId="4E739221"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2A767DB" w14:textId="051B9E35"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192" w:type="dxa"/>
            <w:tcBorders>
              <w:top w:val="nil"/>
              <w:left w:val="nil"/>
              <w:bottom w:val="single" w:sz="4" w:space="0" w:color="auto"/>
              <w:right w:val="single" w:sz="4" w:space="0" w:color="auto"/>
            </w:tcBorders>
            <w:shd w:val="clear" w:color="000000" w:fill="FFFFFF"/>
            <w:noWrap/>
            <w:vAlign w:val="bottom"/>
            <w:hideMark/>
          </w:tcPr>
          <w:p w14:paraId="4B48327F" w14:textId="5ACA2CBE" w:rsidR="00543241" w:rsidRPr="000D1437" w:rsidRDefault="00543241" w:rsidP="00543241">
            <w:pPr>
              <w:jc w:val="right"/>
              <w:rPr>
                <w:rFonts w:ascii="Times New Roman" w:hAnsi="Times New Roman"/>
                <w:sz w:val="14"/>
                <w:szCs w:val="14"/>
              </w:rPr>
            </w:pPr>
            <w:r w:rsidRPr="000D1437">
              <w:rPr>
                <w:sz w:val="14"/>
                <w:szCs w:val="14"/>
              </w:rPr>
              <w:t>511,65</w:t>
            </w:r>
          </w:p>
        </w:tc>
        <w:tc>
          <w:tcPr>
            <w:tcW w:w="1193" w:type="dxa"/>
            <w:tcBorders>
              <w:top w:val="nil"/>
              <w:left w:val="nil"/>
              <w:bottom w:val="single" w:sz="4" w:space="0" w:color="auto"/>
              <w:right w:val="single" w:sz="4" w:space="0" w:color="auto"/>
            </w:tcBorders>
            <w:shd w:val="clear" w:color="000000" w:fill="FFFFFF"/>
            <w:noWrap/>
            <w:vAlign w:val="bottom"/>
            <w:hideMark/>
          </w:tcPr>
          <w:p w14:paraId="2BC6083B" w14:textId="19235469" w:rsidR="00543241" w:rsidRPr="000D1437" w:rsidRDefault="00543241" w:rsidP="00543241">
            <w:pPr>
              <w:jc w:val="right"/>
              <w:rPr>
                <w:rFonts w:ascii="Times New Roman" w:hAnsi="Times New Roman"/>
                <w:sz w:val="14"/>
                <w:szCs w:val="14"/>
              </w:rPr>
            </w:pPr>
            <w:r w:rsidRPr="000D1437">
              <w:rPr>
                <w:sz w:val="14"/>
                <w:szCs w:val="14"/>
              </w:rPr>
              <w:t>511,44</w:t>
            </w:r>
          </w:p>
        </w:tc>
        <w:tc>
          <w:tcPr>
            <w:tcW w:w="1164" w:type="dxa"/>
            <w:tcBorders>
              <w:top w:val="nil"/>
              <w:left w:val="nil"/>
              <w:bottom w:val="single" w:sz="4" w:space="0" w:color="auto"/>
              <w:right w:val="single" w:sz="4" w:space="0" w:color="auto"/>
            </w:tcBorders>
            <w:shd w:val="clear" w:color="000000" w:fill="FFFFFF"/>
            <w:noWrap/>
            <w:vAlign w:val="bottom"/>
            <w:hideMark/>
          </w:tcPr>
          <w:p w14:paraId="67368DF5" w14:textId="7B69FC62" w:rsidR="00543241" w:rsidRPr="000D1437" w:rsidRDefault="00543241" w:rsidP="00543241">
            <w:pPr>
              <w:jc w:val="right"/>
              <w:rPr>
                <w:rFonts w:ascii="Times New Roman" w:hAnsi="Times New Roman"/>
                <w:sz w:val="14"/>
                <w:szCs w:val="14"/>
              </w:rPr>
            </w:pPr>
            <w:r w:rsidRPr="000D1437">
              <w:rPr>
                <w:sz w:val="14"/>
                <w:szCs w:val="14"/>
              </w:rPr>
              <w:t>511,24</w:t>
            </w:r>
          </w:p>
        </w:tc>
        <w:tc>
          <w:tcPr>
            <w:tcW w:w="1150" w:type="dxa"/>
            <w:tcBorders>
              <w:top w:val="nil"/>
              <w:left w:val="nil"/>
              <w:bottom w:val="single" w:sz="4" w:space="0" w:color="auto"/>
              <w:right w:val="single" w:sz="4" w:space="0" w:color="auto"/>
            </w:tcBorders>
            <w:shd w:val="clear" w:color="000000" w:fill="FFFFFF"/>
            <w:noWrap/>
            <w:vAlign w:val="bottom"/>
            <w:hideMark/>
          </w:tcPr>
          <w:p w14:paraId="32F0D7A1" w14:textId="2C043D4E" w:rsidR="00543241" w:rsidRPr="000D1437" w:rsidRDefault="00543241" w:rsidP="00543241">
            <w:pPr>
              <w:jc w:val="right"/>
              <w:rPr>
                <w:rFonts w:ascii="Times New Roman" w:hAnsi="Times New Roman"/>
                <w:sz w:val="14"/>
                <w:szCs w:val="14"/>
              </w:rPr>
            </w:pPr>
            <w:r w:rsidRPr="000D1437">
              <w:rPr>
                <w:sz w:val="14"/>
                <w:szCs w:val="14"/>
              </w:rPr>
              <w:t>495,50</w:t>
            </w:r>
          </w:p>
        </w:tc>
        <w:tc>
          <w:tcPr>
            <w:tcW w:w="1193" w:type="dxa"/>
            <w:tcBorders>
              <w:top w:val="nil"/>
              <w:left w:val="nil"/>
              <w:bottom w:val="single" w:sz="4" w:space="0" w:color="auto"/>
              <w:right w:val="single" w:sz="4" w:space="0" w:color="auto"/>
            </w:tcBorders>
            <w:shd w:val="clear" w:color="000000" w:fill="FFFFFF"/>
            <w:noWrap/>
            <w:vAlign w:val="bottom"/>
            <w:hideMark/>
          </w:tcPr>
          <w:p w14:paraId="5C8D1D58" w14:textId="39B09CFF" w:rsidR="00543241" w:rsidRPr="000D1437" w:rsidRDefault="00543241" w:rsidP="00543241">
            <w:pPr>
              <w:jc w:val="right"/>
              <w:rPr>
                <w:rFonts w:ascii="Times New Roman" w:hAnsi="Times New Roman"/>
                <w:sz w:val="14"/>
                <w:szCs w:val="14"/>
              </w:rPr>
            </w:pPr>
            <w:r w:rsidRPr="000D1437">
              <w:rPr>
                <w:sz w:val="14"/>
                <w:szCs w:val="14"/>
              </w:rPr>
              <w:t>495,32</w:t>
            </w:r>
          </w:p>
        </w:tc>
        <w:tc>
          <w:tcPr>
            <w:tcW w:w="1193" w:type="dxa"/>
            <w:tcBorders>
              <w:top w:val="nil"/>
              <w:left w:val="nil"/>
              <w:bottom w:val="single" w:sz="4" w:space="0" w:color="auto"/>
              <w:right w:val="single" w:sz="4" w:space="0" w:color="auto"/>
            </w:tcBorders>
            <w:shd w:val="clear" w:color="000000" w:fill="FFFFFF"/>
            <w:vAlign w:val="bottom"/>
          </w:tcPr>
          <w:p w14:paraId="2CAB9B5A" w14:textId="24020492" w:rsidR="00543241" w:rsidRPr="000D1437" w:rsidRDefault="00543241" w:rsidP="00543241">
            <w:pPr>
              <w:jc w:val="right"/>
              <w:rPr>
                <w:rFonts w:ascii="Times New Roman" w:hAnsi="Times New Roman"/>
                <w:sz w:val="14"/>
                <w:szCs w:val="14"/>
              </w:rPr>
            </w:pPr>
            <w:r w:rsidRPr="000D1437">
              <w:rPr>
                <w:sz w:val="14"/>
                <w:szCs w:val="14"/>
              </w:rPr>
              <w:t>495,15</w:t>
            </w:r>
          </w:p>
        </w:tc>
      </w:tr>
      <w:tr w:rsidR="00543241" w:rsidRPr="00364545" w14:paraId="5CB9B12F"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2B9CBF0" w14:textId="0F91179F"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192" w:type="dxa"/>
            <w:tcBorders>
              <w:top w:val="nil"/>
              <w:left w:val="nil"/>
              <w:bottom w:val="single" w:sz="4" w:space="0" w:color="auto"/>
              <w:right w:val="single" w:sz="4" w:space="0" w:color="auto"/>
            </w:tcBorders>
            <w:shd w:val="clear" w:color="000000" w:fill="FFFFFF"/>
            <w:noWrap/>
            <w:vAlign w:val="bottom"/>
            <w:hideMark/>
          </w:tcPr>
          <w:p w14:paraId="6CD188C2" w14:textId="7C762775" w:rsidR="00543241" w:rsidRPr="000D1437" w:rsidRDefault="00543241" w:rsidP="00543241">
            <w:pPr>
              <w:jc w:val="right"/>
              <w:rPr>
                <w:rFonts w:ascii="Times New Roman" w:hAnsi="Times New Roman"/>
                <w:sz w:val="14"/>
                <w:szCs w:val="14"/>
              </w:rPr>
            </w:pPr>
            <w:r w:rsidRPr="000D1437">
              <w:rPr>
                <w:sz w:val="14"/>
                <w:szCs w:val="14"/>
              </w:rPr>
              <w:t>11357,57</w:t>
            </w:r>
          </w:p>
        </w:tc>
        <w:tc>
          <w:tcPr>
            <w:tcW w:w="1193" w:type="dxa"/>
            <w:tcBorders>
              <w:top w:val="nil"/>
              <w:left w:val="nil"/>
              <w:bottom w:val="single" w:sz="4" w:space="0" w:color="auto"/>
              <w:right w:val="single" w:sz="4" w:space="0" w:color="auto"/>
            </w:tcBorders>
            <w:shd w:val="clear" w:color="000000" w:fill="FFFFFF"/>
            <w:noWrap/>
            <w:vAlign w:val="bottom"/>
            <w:hideMark/>
          </w:tcPr>
          <w:p w14:paraId="3D785AC3" w14:textId="5BD4AC36" w:rsidR="00543241" w:rsidRPr="000D1437" w:rsidRDefault="00543241" w:rsidP="00543241">
            <w:pPr>
              <w:jc w:val="right"/>
              <w:rPr>
                <w:rFonts w:ascii="Times New Roman" w:hAnsi="Times New Roman"/>
                <w:sz w:val="14"/>
                <w:szCs w:val="14"/>
              </w:rPr>
            </w:pPr>
            <w:r w:rsidRPr="000D1437">
              <w:rPr>
                <w:sz w:val="14"/>
                <w:szCs w:val="14"/>
              </w:rPr>
              <w:t>11168,48</w:t>
            </w:r>
          </w:p>
        </w:tc>
        <w:tc>
          <w:tcPr>
            <w:tcW w:w="1164" w:type="dxa"/>
            <w:tcBorders>
              <w:top w:val="nil"/>
              <w:left w:val="nil"/>
              <w:bottom w:val="single" w:sz="4" w:space="0" w:color="auto"/>
              <w:right w:val="single" w:sz="4" w:space="0" w:color="auto"/>
            </w:tcBorders>
            <w:shd w:val="clear" w:color="000000" w:fill="FFFFFF"/>
            <w:noWrap/>
            <w:vAlign w:val="bottom"/>
            <w:hideMark/>
          </w:tcPr>
          <w:p w14:paraId="4D3EAE0D" w14:textId="08DF8570" w:rsidR="00543241" w:rsidRPr="000D1437" w:rsidRDefault="00543241" w:rsidP="00543241">
            <w:pPr>
              <w:jc w:val="right"/>
              <w:rPr>
                <w:rFonts w:ascii="Times New Roman" w:hAnsi="Times New Roman"/>
                <w:sz w:val="14"/>
                <w:szCs w:val="14"/>
              </w:rPr>
            </w:pPr>
            <w:r w:rsidRPr="000D1437">
              <w:rPr>
                <w:sz w:val="14"/>
                <w:szCs w:val="14"/>
              </w:rPr>
              <w:t>11089,29</w:t>
            </w:r>
          </w:p>
        </w:tc>
        <w:tc>
          <w:tcPr>
            <w:tcW w:w="1150" w:type="dxa"/>
            <w:tcBorders>
              <w:top w:val="nil"/>
              <w:left w:val="nil"/>
              <w:bottom w:val="single" w:sz="4" w:space="0" w:color="auto"/>
              <w:right w:val="single" w:sz="4" w:space="0" w:color="auto"/>
            </w:tcBorders>
            <w:shd w:val="clear" w:color="000000" w:fill="FFFFFF"/>
            <w:noWrap/>
            <w:vAlign w:val="bottom"/>
            <w:hideMark/>
          </w:tcPr>
          <w:p w14:paraId="78A7FFF0" w14:textId="020EC9CC" w:rsidR="00543241" w:rsidRPr="000D1437" w:rsidRDefault="00543241" w:rsidP="00543241">
            <w:pPr>
              <w:jc w:val="right"/>
              <w:rPr>
                <w:rFonts w:ascii="Times New Roman" w:hAnsi="Times New Roman"/>
                <w:sz w:val="14"/>
                <w:szCs w:val="14"/>
              </w:rPr>
            </w:pPr>
            <w:r w:rsidRPr="000D1437">
              <w:rPr>
                <w:sz w:val="14"/>
                <w:szCs w:val="14"/>
              </w:rPr>
              <w:t>10 946,69</w:t>
            </w:r>
          </w:p>
        </w:tc>
        <w:tc>
          <w:tcPr>
            <w:tcW w:w="1193" w:type="dxa"/>
            <w:tcBorders>
              <w:top w:val="nil"/>
              <w:left w:val="nil"/>
              <w:bottom w:val="single" w:sz="4" w:space="0" w:color="auto"/>
              <w:right w:val="single" w:sz="4" w:space="0" w:color="auto"/>
            </w:tcBorders>
            <w:shd w:val="clear" w:color="000000" w:fill="FFFFFF"/>
            <w:noWrap/>
            <w:vAlign w:val="bottom"/>
            <w:hideMark/>
          </w:tcPr>
          <w:p w14:paraId="60128482" w14:textId="0C603BC1" w:rsidR="00543241" w:rsidRPr="000D1437" w:rsidRDefault="00543241" w:rsidP="00543241">
            <w:pPr>
              <w:jc w:val="right"/>
              <w:rPr>
                <w:rFonts w:ascii="Times New Roman" w:hAnsi="Times New Roman"/>
                <w:sz w:val="14"/>
                <w:szCs w:val="14"/>
              </w:rPr>
            </w:pPr>
            <w:r w:rsidRPr="000D1437">
              <w:rPr>
                <w:sz w:val="14"/>
                <w:szCs w:val="14"/>
              </w:rPr>
              <w:t>10 878,47</w:t>
            </w:r>
          </w:p>
        </w:tc>
        <w:tc>
          <w:tcPr>
            <w:tcW w:w="1193" w:type="dxa"/>
            <w:tcBorders>
              <w:top w:val="nil"/>
              <w:left w:val="nil"/>
              <w:bottom w:val="single" w:sz="4" w:space="0" w:color="auto"/>
              <w:right w:val="single" w:sz="4" w:space="0" w:color="auto"/>
            </w:tcBorders>
            <w:shd w:val="clear" w:color="000000" w:fill="FFFFFF"/>
            <w:vAlign w:val="bottom"/>
          </w:tcPr>
          <w:p w14:paraId="417265D7" w14:textId="62E107C5" w:rsidR="00543241" w:rsidRPr="000D1437" w:rsidRDefault="00543241" w:rsidP="00543241">
            <w:pPr>
              <w:jc w:val="right"/>
              <w:rPr>
                <w:rFonts w:ascii="Times New Roman" w:hAnsi="Times New Roman"/>
                <w:sz w:val="14"/>
                <w:szCs w:val="14"/>
              </w:rPr>
            </w:pPr>
            <w:r w:rsidRPr="000D1437">
              <w:rPr>
                <w:sz w:val="14"/>
                <w:szCs w:val="14"/>
              </w:rPr>
              <w:t>10 858,87</w:t>
            </w:r>
          </w:p>
        </w:tc>
      </w:tr>
      <w:tr w:rsidR="00543241" w:rsidRPr="00364545" w14:paraId="6FC23A6C"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ACF4E3C" w14:textId="4C43E35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192" w:type="dxa"/>
            <w:tcBorders>
              <w:top w:val="nil"/>
              <w:left w:val="nil"/>
              <w:bottom w:val="single" w:sz="4" w:space="0" w:color="auto"/>
              <w:right w:val="single" w:sz="4" w:space="0" w:color="auto"/>
            </w:tcBorders>
            <w:shd w:val="clear" w:color="000000" w:fill="FFFFFF"/>
            <w:noWrap/>
            <w:vAlign w:val="bottom"/>
            <w:hideMark/>
          </w:tcPr>
          <w:p w14:paraId="5DF93ECB" w14:textId="6DF40B49"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3DEADA46" w14:textId="4661F4AB" w:rsidR="00543241" w:rsidRPr="000D1437" w:rsidRDefault="00543241" w:rsidP="00543241">
            <w:pPr>
              <w:jc w:val="right"/>
              <w:rPr>
                <w:rFonts w:ascii="Times New Roman" w:hAnsi="Times New Roman"/>
                <w:sz w:val="14"/>
                <w:szCs w:val="14"/>
              </w:rPr>
            </w:pPr>
            <w:r w:rsidRPr="000D1437">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75C471D0" w14:textId="36F4156B" w:rsidR="00543241" w:rsidRPr="000D1437" w:rsidRDefault="00543241" w:rsidP="00543241">
            <w:pPr>
              <w:jc w:val="right"/>
              <w:rPr>
                <w:rFonts w:ascii="Times New Roman" w:hAnsi="Times New Roman"/>
                <w:sz w:val="14"/>
                <w:szCs w:val="14"/>
              </w:rPr>
            </w:pPr>
            <w:r w:rsidRPr="000D1437">
              <w:rPr>
                <w:sz w:val="14"/>
                <w:szCs w:val="14"/>
              </w:rPr>
              <w:t>NO,NA</w:t>
            </w:r>
          </w:p>
        </w:tc>
        <w:tc>
          <w:tcPr>
            <w:tcW w:w="1150" w:type="dxa"/>
            <w:tcBorders>
              <w:top w:val="nil"/>
              <w:left w:val="nil"/>
              <w:bottom w:val="single" w:sz="4" w:space="0" w:color="auto"/>
              <w:right w:val="single" w:sz="4" w:space="0" w:color="auto"/>
            </w:tcBorders>
            <w:shd w:val="clear" w:color="000000" w:fill="FFFFFF"/>
            <w:noWrap/>
            <w:vAlign w:val="bottom"/>
            <w:hideMark/>
          </w:tcPr>
          <w:p w14:paraId="0C4F3639" w14:textId="4CE686C8"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55DFCD59" w14:textId="42CD897D"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vAlign w:val="bottom"/>
          </w:tcPr>
          <w:p w14:paraId="05D5A25B" w14:textId="62204A4A"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0CCFE036"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9483860" w14:textId="63762DE4"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192" w:type="dxa"/>
            <w:tcBorders>
              <w:top w:val="nil"/>
              <w:left w:val="nil"/>
              <w:bottom w:val="single" w:sz="4" w:space="0" w:color="auto"/>
              <w:right w:val="single" w:sz="4" w:space="0" w:color="auto"/>
            </w:tcBorders>
            <w:shd w:val="clear" w:color="000000" w:fill="FFFFFF"/>
            <w:noWrap/>
            <w:vAlign w:val="bottom"/>
            <w:hideMark/>
          </w:tcPr>
          <w:p w14:paraId="32A76729" w14:textId="0BCED679" w:rsidR="00543241" w:rsidRPr="000D1437" w:rsidRDefault="00543241" w:rsidP="00543241">
            <w:pPr>
              <w:jc w:val="right"/>
              <w:rPr>
                <w:rFonts w:ascii="Times New Roman" w:hAnsi="Times New Roman"/>
                <w:sz w:val="14"/>
                <w:szCs w:val="14"/>
              </w:rPr>
            </w:pPr>
            <w:r w:rsidRPr="000D1437">
              <w:rPr>
                <w:sz w:val="14"/>
                <w:szCs w:val="14"/>
              </w:rPr>
              <w:t>-1791,43</w:t>
            </w:r>
          </w:p>
        </w:tc>
        <w:tc>
          <w:tcPr>
            <w:tcW w:w="1193" w:type="dxa"/>
            <w:tcBorders>
              <w:top w:val="nil"/>
              <w:left w:val="nil"/>
              <w:bottom w:val="single" w:sz="4" w:space="0" w:color="auto"/>
              <w:right w:val="single" w:sz="4" w:space="0" w:color="auto"/>
            </w:tcBorders>
            <w:shd w:val="clear" w:color="000000" w:fill="FFFFFF"/>
            <w:noWrap/>
            <w:vAlign w:val="bottom"/>
            <w:hideMark/>
          </w:tcPr>
          <w:p w14:paraId="5B2D50C8" w14:textId="19068E6A" w:rsidR="00543241" w:rsidRPr="000D1437" w:rsidRDefault="00543241" w:rsidP="00543241">
            <w:pPr>
              <w:jc w:val="right"/>
              <w:rPr>
                <w:rFonts w:ascii="Times New Roman" w:hAnsi="Times New Roman"/>
                <w:sz w:val="14"/>
                <w:szCs w:val="14"/>
              </w:rPr>
            </w:pPr>
            <w:r w:rsidRPr="000D1437">
              <w:rPr>
                <w:sz w:val="14"/>
                <w:szCs w:val="14"/>
              </w:rPr>
              <w:t>-1772,30</w:t>
            </w:r>
          </w:p>
        </w:tc>
        <w:tc>
          <w:tcPr>
            <w:tcW w:w="1164" w:type="dxa"/>
            <w:tcBorders>
              <w:top w:val="nil"/>
              <w:left w:val="nil"/>
              <w:bottom w:val="single" w:sz="4" w:space="0" w:color="auto"/>
              <w:right w:val="single" w:sz="4" w:space="0" w:color="auto"/>
            </w:tcBorders>
            <w:shd w:val="clear" w:color="000000" w:fill="FFFFFF"/>
            <w:noWrap/>
            <w:vAlign w:val="bottom"/>
            <w:hideMark/>
          </w:tcPr>
          <w:p w14:paraId="7480EE08" w14:textId="2B9243AA" w:rsidR="00543241" w:rsidRPr="000D1437" w:rsidRDefault="00543241" w:rsidP="00543241">
            <w:pPr>
              <w:jc w:val="right"/>
              <w:rPr>
                <w:rFonts w:ascii="Times New Roman" w:hAnsi="Times New Roman"/>
                <w:sz w:val="14"/>
                <w:szCs w:val="14"/>
              </w:rPr>
            </w:pPr>
            <w:r w:rsidRPr="000D1437">
              <w:rPr>
                <w:sz w:val="14"/>
                <w:szCs w:val="14"/>
              </w:rPr>
              <w:t>-1158,91</w:t>
            </w:r>
          </w:p>
        </w:tc>
        <w:tc>
          <w:tcPr>
            <w:tcW w:w="1150" w:type="dxa"/>
            <w:tcBorders>
              <w:top w:val="nil"/>
              <w:left w:val="nil"/>
              <w:bottom w:val="single" w:sz="4" w:space="0" w:color="auto"/>
              <w:right w:val="single" w:sz="4" w:space="0" w:color="auto"/>
            </w:tcBorders>
            <w:shd w:val="clear" w:color="000000" w:fill="FFFFFF"/>
            <w:noWrap/>
            <w:vAlign w:val="bottom"/>
            <w:hideMark/>
          </w:tcPr>
          <w:p w14:paraId="11389FE5" w14:textId="253A8B5B" w:rsidR="00543241" w:rsidRPr="000D1437" w:rsidRDefault="00543241" w:rsidP="00543241">
            <w:pPr>
              <w:jc w:val="right"/>
              <w:rPr>
                <w:rFonts w:ascii="Times New Roman" w:hAnsi="Times New Roman"/>
                <w:sz w:val="14"/>
                <w:szCs w:val="14"/>
              </w:rPr>
            </w:pPr>
            <w:r w:rsidRPr="000D1437">
              <w:rPr>
                <w:sz w:val="14"/>
                <w:szCs w:val="14"/>
              </w:rPr>
              <w:t>-882,91</w:t>
            </w:r>
          </w:p>
        </w:tc>
        <w:tc>
          <w:tcPr>
            <w:tcW w:w="1193" w:type="dxa"/>
            <w:tcBorders>
              <w:top w:val="nil"/>
              <w:left w:val="nil"/>
              <w:bottom w:val="single" w:sz="4" w:space="0" w:color="auto"/>
              <w:right w:val="single" w:sz="4" w:space="0" w:color="auto"/>
            </w:tcBorders>
            <w:shd w:val="clear" w:color="000000" w:fill="FFFFFF"/>
            <w:noWrap/>
            <w:vAlign w:val="bottom"/>
            <w:hideMark/>
          </w:tcPr>
          <w:p w14:paraId="445AD8C0" w14:textId="5200D72F" w:rsidR="00543241" w:rsidRPr="000D1437" w:rsidRDefault="00543241" w:rsidP="00543241">
            <w:pPr>
              <w:jc w:val="right"/>
              <w:rPr>
                <w:rFonts w:ascii="Times New Roman" w:hAnsi="Times New Roman"/>
                <w:sz w:val="14"/>
                <w:szCs w:val="14"/>
              </w:rPr>
            </w:pPr>
            <w:r w:rsidRPr="000D1437">
              <w:rPr>
                <w:sz w:val="14"/>
                <w:szCs w:val="14"/>
              </w:rPr>
              <w:t>-1 107,90</w:t>
            </w:r>
          </w:p>
        </w:tc>
        <w:tc>
          <w:tcPr>
            <w:tcW w:w="1193" w:type="dxa"/>
            <w:tcBorders>
              <w:top w:val="nil"/>
              <w:left w:val="nil"/>
              <w:bottom w:val="single" w:sz="4" w:space="0" w:color="auto"/>
              <w:right w:val="single" w:sz="4" w:space="0" w:color="auto"/>
            </w:tcBorders>
            <w:shd w:val="clear" w:color="000000" w:fill="FFFFFF"/>
            <w:vAlign w:val="bottom"/>
          </w:tcPr>
          <w:p w14:paraId="6C3A1F4E" w14:textId="054BF79A" w:rsidR="00543241" w:rsidRPr="000D1437" w:rsidRDefault="00543241" w:rsidP="00543241">
            <w:pPr>
              <w:jc w:val="right"/>
              <w:rPr>
                <w:rFonts w:ascii="Times New Roman" w:hAnsi="Times New Roman"/>
                <w:sz w:val="14"/>
                <w:szCs w:val="14"/>
              </w:rPr>
            </w:pPr>
            <w:r w:rsidRPr="000D1437">
              <w:rPr>
                <w:sz w:val="14"/>
                <w:szCs w:val="14"/>
              </w:rPr>
              <w:t>-913,99</w:t>
            </w:r>
          </w:p>
        </w:tc>
      </w:tr>
      <w:tr w:rsidR="00543241" w:rsidRPr="00364545" w14:paraId="10B9734D"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DD92840" w14:textId="52CD1F1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192" w:type="dxa"/>
            <w:tcBorders>
              <w:top w:val="nil"/>
              <w:left w:val="nil"/>
              <w:bottom w:val="single" w:sz="4" w:space="0" w:color="auto"/>
              <w:right w:val="single" w:sz="4" w:space="0" w:color="auto"/>
            </w:tcBorders>
            <w:shd w:val="clear" w:color="000000" w:fill="FFFFFF"/>
            <w:noWrap/>
            <w:vAlign w:val="bottom"/>
            <w:hideMark/>
          </w:tcPr>
          <w:p w14:paraId="2EE9CE4E" w14:textId="4E667409" w:rsidR="00543241" w:rsidRPr="000D1437" w:rsidRDefault="00543241" w:rsidP="00543241">
            <w:pPr>
              <w:jc w:val="right"/>
              <w:rPr>
                <w:rFonts w:ascii="Times New Roman" w:hAnsi="Times New Roman"/>
                <w:sz w:val="14"/>
                <w:szCs w:val="14"/>
              </w:rPr>
            </w:pPr>
            <w:r w:rsidRPr="000D1437">
              <w:rPr>
                <w:sz w:val="14"/>
                <w:szCs w:val="14"/>
              </w:rPr>
              <w:t>103,76</w:t>
            </w:r>
          </w:p>
        </w:tc>
        <w:tc>
          <w:tcPr>
            <w:tcW w:w="1193" w:type="dxa"/>
            <w:tcBorders>
              <w:top w:val="nil"/>
              <w:left w:val="nil"/>
              <w:bottom w:val="single" w:sz="4" w:space="0" w:color="auto"/>
              <w:right w:val="single" w:sz="4" w:space="0" w:color="auto"/>
            </w:tcBorders>
            <w:shd w:val="clear" w:color="000000" w:fill="FFFFFF"/>
            <w:noWrap/>
            <w:vAlign w:val="bottom"/>
            <w:hideMark/>
          </w:tcPr>
          <w:p w14:paraId="5A9C62DF" w14:textId="4B7E53BD" w:rsidR="00543241" w:rsidRPr="000D1437" w:rsidRDefault="00543241" w:rsidP="00543241">
            <w:pPr>
              <w:jc w:val="right"/>
              <w:rPr>
                <w:rFonts w:ascii="Times New Roman" w:hAnsi="Times New Roman"/>
                <w:sz w:val="14"/>
                <w:szCs w:val="14"/>
              </w:rPr>
            </w:pPr>
            <w:r w:rsidRPr="000D1437">
              <w:rPr>
                <w:sz w:val="14"/>
                <w:szCs w:val="14"/>
              </w:rPr>
              <w:t>90,49</w:t>
            </w:r>
          </w:p>
        </w:tc>
        <w:tc>
          <w:tcPr>
            <w:tcW w:w="1164" w:type="dxa"/>
            <w:tcBorders>
              <w:top w:val="nil"/>
              <w:left w:val="nil"/>
              <w:bottom w:val="single" w:sz="4" w:space="0" w:color="auto"/>
              <w:right w:val="single" w:sz="4" w:space="0" w:color="auto"/>
            </w:tcBorders>
            <w:shd w:val="clear" w:color="000000" w:fill="FFFFFF"/>
            <w:noWrap/>
            <w:vAlign w:val="bottom"/>
            <w:hideMark/>
          </w:tcPr>
          <w:p w14:paraId="3C89EB5D" w14:textId="485F44AA" w:rsidR="00543241" w:rsidRPr="000D1437" w:rsidRDefault="00543241" w:rsidP="00543241">
            <w:pPr>
              <w:jc w:val="right"/>
              <w:rPr>
                <w:rFonts w:ascii="Times New Roman" w:hAnsi="Times New Roman"/>
                <w:sz w:val="14"/>
                <w:szCs w:val="14"/>
              </w:rPr>
            </w:pPr>
            <w:r w:rsidRPr="000D1437">
              <w:rPr>
                <w:sz w:val="14"/>
                <w:szCs w:val="14"/>
              </w:rPr>
              <w:t>78,93</w:t>
            </w:r>
          </w:p>
        </w:tc>
        <w:tc>
          <w:tcPr>
            <w:tcW w:w="1150" w:type="dxa"/>
            <w:tcBorders>
              <w:top w:val="nil"/>
              <w:left w:val="nil"/>
              <w:bottom w:val="single" w:sz="4" w:space="0" w:color="auto"/>
              <w:right w:val="single" w:sz="4" w:space="0" w:color="auto"/>
            </w:tcBorders>
            <w:shd w:val="clear" w:color="000000" w:fill="FFFFFF"/>
            <w:noWrap/>
            <w:vAlign w:val="bottom"/>
            <w:hideMark/>
          </w:tcPr>
          <w:p w14:paraId="12172D46" w14:textId="09DA00C8" w:rsidR="00543241" w:rsidRPr="000D1437" w:rsidRDefault="00543241" w:rsidP="00543241">
            <w:pPr>
              <w:jc w:val="right"/>
              <w:rPr>
                <w:rFonts w:ascii="Times New Roman" w:hAnsi="Times New Roman"/>
                <w:sz w:val="14"/>
                <w:szCs w:val="14"/>
              </w:rPr>
            </w:pPr>
            <w:r w:rsidRPr="000D1437">
              <w:rPr>
                <w:sz w:val="14"/>
                <w:szCs w:val="14"/>
              </w:rPr>
              <w:t>68,83</w:t>
            </w:r>
          </w:p>
        </w:tc>
        <w:tc>
          <w:tcPr>
            <w:tcW w:w="1193" w:type="dxa"/>
            <w:tcBorders>
              <w:top w:val="nil"/>
              <w:left w:val="nil"/>
              <w:bottom w:val="single" w:sz="4" w:space="0" w:color="auto"/>
              <w:right w:val="single" w:sz="4" w:space="0" w:color="auto"/>
            </w:tcBorders>
            <w:shd w:val="clear" w:color="000000" w:fill="FFFFFF"/>
            <w:noWrap/>
            <w:vAlign w:val="bottom"/>
            <w:hideMark/>
          </w:tcPr>
          <w:p w14:paraId="1E308BC8" w14:textId="0B5CB607" w:rsidR="00543241" w:rsidRPr="000D1437" w:rsidRDefault="00543241" w:rsidP="00543241">
            <w:pPr>
              <w:jc w:val="right"/>
              <w:rPr>
                <w:rFonts w:ascii="Times New Roman" w:hAnsi="Times New Roman"/>
                <w:sz w:val="14"/>
                <w:szCs w:val="14"/>
              </w:rPr>
            </w:pPr>
            <w:r w:rsidRPr="000D1437">
              <w:rPr>
                <w:sz w:val="14"/>
                <w:szCs w:val="14"/>
              </w:rPr>
              <w:t>60,03</w:t>
            </w:r>
          </w:p>
        </w:tc>
        <w:tc>
          <w:tcPr>
            <w:tcW w:w="1193" w:type="dxa"/>
            <w:tcBorders>
              <w:top w:val="nil"/>
              <w:left w:val="nil"/>
              <w:bottom w:val="single" w:sz="4" w:space="0" w:color="auto"/>
              <w:right w:val="single" w:sz="4" w:space="0" w:color="auto"/>
            </w:tcBorders>
            <w:shd w:val="clear" w:color="000000" w:fill="FFFFFF"/>
            <w:vAlign w:val="bottom"/>
          </w:tcPr>
          <w:p w14:paraId="476F37B8" w14:textId="7EBFD4F3" w:rsidR="00543241" w:rsidRPr="000D1437" w:rsidRDefault="00543241" w:rsidP="00543241">
            <w:pPr>
              <w:jc w:val="right"/>
              <w:rPr>
                <w:rFonts w:ascii="Times New Roman" w:hAnsi="Times New Roman"/>
                <w:sz w:val="14"/>
                <w:szCs w:val="14"/>
              </w:rPr>
            </w:pPr>
            <w:r w:rsidRPr="000D1437">
              <w:rPr>
                <w:sz w:val="14"/>
                <w:szCs w:val="14"/>
              </w:rPr>
              <w:t>52,36</w:t>
            </w:r>
          </w:p>
        </w:tc>
      </w:tr>
      <w:tr w:rsidR="00543241" w:rsidRPr="00364545" w14:paraId="5F36C425"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5890234" w14:textId="222DF286"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5. Waste</w:t>
            </w:r>
          </w:p>
        </w:tc>
        <w:tc>
          <w:tcPr>
            <w:tcW w:w="1192" w:type="dxa"/>
            <w:tcBorders>
              <w:top w:val="nil"/>
              <w:left w:val="nil"/>
              <w:bottom w:val="single" w:sz="4" w:space="0" w:color="auto"/>
              <w:right w:val="single" w:sz="4" w:space="0" w:color="auto"/>
            </w:tcBorders>
            <w:shd w:val="clear" w:color="000000" w:fill="CCFFFF"/>
            <w:noWrap/>
            <w:vAlign w:val="bottom"/>
            <w:hideMark/>
          </w:tcPr>
          <w:p w14:paraId="64264554" w14:textId="20596724" w:rsidR="00543241" w:rsidRPr="000D1437" w:rsidRDefault="00543241" w:rsidP="00543241">
            <w:pPr>
              <w:jc w:val="right"/>
              <w:rPr>
                <w:rFonts w:ascii="Times New Roman" w:hAnsi="Times New Roman"/>
                <w:sz w:val="14"/>
                <w:szCs w:val="14"/>
              </w:rPr>
            </w:pPr>
            <w:r w:rsidRPr="000D1437">
              <w:rPr>
                <w:sz w:val="14"/>
                <w:szCs w:val="14"/>
              </w:rPr>
              <w:t>1544,93</w:t>
            </w:r>
          </w:p>
        </w:tc>
        <w:tc>
          <w:tcPr>
            <w:tcW w:w="1193" w:type="dxa"/>
            <w:tcBorders>
              <w:top w:val="nil"/>
              <w:left w:val="nil"/>
              <w:bottom w:val="single" w:sz="4" w:space="0" w:color="auto"/>
              <w:right w:val="single" w:sz="4" w:space="0" w:color="auto"/>
            </w:tcBorders>
            <w:shd w:val="clear" w:color="000000" w:fill="CCFFFF"/>
            <w:noWrap/>
            <w:vAlign w:val="bottom"/>
            <w:hideMark/>
          </w:tcPr>
          <w:p w14:paraId="2B3E8973" w14:textId="20D6831B" w:rsidR="00543241" w:rsidRPr="000D1437" w:rsidRDefault="00543241" w:rsidP="00543241">
            <w:pPr>
              <w:jc w:val="right"/>
              <w:rPr>
                <w:rFonts w:ascii="Times New Roman" w:hAnsi="Times New Roman"/>
                <w:sz w:val="14"/>
                <w:szCs w:val="14"/>
              </w:rPr>
            </w:pPr>
            <w:r w:rsidRPr="000D1437">
              <w:rPr>
                <w:sz w:val="14"/>
                <w:szCs w:val="14"/>
              </w:rPr>
              <w:t>1794,62</w:t>
            </w:r>
          </w:p>
        </w:tc>
        <w:tc>
          <w:tcPr>
            <w:tcW w:w="1164" w:type="dxa"/>
            <w:tcBorders>
              <w:top w:val="nil"/>
              <w:left w:val="nil"/>
              <w:bottom w:val="single" w:sz="4" w:space="0" w:color="auto"/>
              <w:right w:val="single" w:sz="4" w:space="0" w:color="auto"/>
            </w:tcBorders>
            <w:shd w:val="clear" w:color="000000" w:fill="CCFFFF"/>
            <w:noWrap/>
            <w:vAlign w:val="bottom"/>
            <w:hideMark/>
          </w:tcPr>
          <w:p w14:paraId="192BC3C4" w14:textId="60707108" w:rsidR="00543241" w:rsidRPr="000D1437" w:rsidRDefault="00543241" w:rsidP="00543241">
            <w:pPr>
              <w:jc w:val="right"/>
              <w:rPr>
                <w:rFonts w:ascii="Times New Roman" w:hAnsi="Times New Roman"/>
                <w:sz w:val="14"/>
                <w:szCs w:val="14"/>
              </w:rPr>
            </w:pPr>
            <w:r w:rsidRPr="000D1437">
              <w:rPr>
                <w:sz w:val="14"/>
                <w:szCs w:val="14"/>
              </w:rPr>
              <w:t>1541,84</w:t>
            </w:r>
          </w:p>
        </w:tc>
        <w:tc>
          <w:tcPr>
            <w:tcW w:w="1150" w:type="dxa"/>
            <w:tcBorders>
              <w:top w:val="nil"/>
              <w:left w:val="nil"/>
              <w:bottom w:val="single" w:sz="4" w:space="0" w:color="auto"/>
              <w:right w:val="single" w:sz="4" w:space="0" w:color="auto"/>
            </w:tcBorders>
            <w:shd w:val="clear" w:color="000000" w:fill="CCFFFF"/>
            <w:noWrap/>
            <w:vAlign w:val="bottom"/>
            <w:hideMark/>
          </w:tcPr>
          <w:p w14:paraId="3F01F884" w14:textId="54AD3205" w:rsidR="00543241" w:rsidRPr="000D1437" w:rsidRDefault="00543241" w:rsidP="00543241">
            <w:pPr>
              <w:jc w:val="right"/>
              <w:rPr>
                <w:rFonts w:ascii="Times New Roman" w:hAnsi="Times New Roman"/>
                <w:sz w:val="14"/>
                <w:szCs w:val="14"/>
              </w:rPr>
            </w:pPr>
            <w:r w:rsidRPr="000D1437">
              <w:rPr>
                <w:sz w:val="14"/>
                <w:szCs w:val="14"/>
              </w:rPr>
              <w:t>1551,69</w:t>
            </w:r>
          </w:p>
        </w:tc>
        <w:tc>
          <w:tcPr>
            <w:tcW w:w="1193" w:type="dxa"/>
            <w:tcBorders>
              <w:top w:val="nil"/>
              <w:left w:val="nil"/>
              <w:bottom w:val="single" w:sz="4" w:space="0" w:color="auto"/>
              <w:right w:val="single" w:sz="4" w:space="0" w:color="auto"/>
            </w:tcBorders>
            <w:shd w:val="clear" w:color="000000" w:fill="CCFFFF"/>
            <w:noWrap/>
            <w:vAlign w:val="bottom"/>
            <w:hideMark/>
          </w:tcPr>
          <w:p w14:paraId="49A7B047" w14:textId="1364DC29" w:rsidR="00543241" w:rsidRPr="000D1437" w:rsidRDefault="00543241" w:rsidP="00543241">
            <w:pPr>
              <w:jc w:val="right"/>
              <w:rPr>
                <w:rFonts w:ascii="Times New Roman" w:hAnsi="Times New Roman"/>
                <w:sz w:val="14"/>
                <w:szCs w:val="14"/>
              </w:rPr>
            </w:pPr>
            <w:r w:rsidRPr="000D1437">
              <w:rPr>
                <w:sz w:val="14"/>
                <w:szCs w:val="14"/>
              </w:rPr>
              <w:t>1474,84</w:t>
            </w:r>
          </w:p>
        </w:tc>
        <w:tc>
          <w:tcPr>
            <w:tcW w:w="1193" w:type="dxa"/>
            <w:tcBorders>
              <w:top w:val="nil"/>
              <w:left w:val="nil"/>
              <w:bottom w:val="single" w:sz="4" w:space="0" w:color="auto"/>
              <w:right w:val="single" w:sz="4" w:space="0" w:color="auto"/>
            </w:tcBorders>
            <w:shd w:val="clear" w:color="000000" w:fill="CCFFFF"/>
            <w:vAlign w:val="bottom"/>
          </w:tcPr>
          <w:p w14:paraId="412262D8" w14:textId="1F5ECB6A" w:rsidR="00543241" w:rsidRPr="000D1437" w:rsidRDefault="00543241" w:rsidP="00543241">
            <w:pPr>
              <w:jc w:val="right"/>
              <w:rPr>
                <w:rFonts w:ascii="Times New Roman" w:hAnsi="Times New Roman"/>
                <w:sz w:val="14"/>
                <w:szCs w:val="14"/>
              </w:rPr>
            </w:pPr>
            <w:r w:rsidRPr="000D1437">
              <w:rPr>
                <w:sz w:val="14"/>
                <w:szCs w:val="14"/>
              </w:rPr>
              <w:t>1438,77</w:t>
            </w:r>
          </w:p>
        </w:tc>
      </w:tr>
      <w:tr w:rsidR="00543241" w:rsidRPr="00364545" w14:paraId="42D90852"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30FAAD0" w14:textId="57BDB14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192" w:type="dxa"/>
            <w:tcBorders>
              <w:top w:val="nil"/>
              <w:left w:val="nil"/>
              <w:bottom w:val="single" w:sz="4" w:space="0" w:color="auto"/>
              <w:right w:val="single" w:sz="4" w:space="0" w:color="auto"/>
            </w:tcBorders>
            <w:shd w:val="clear" w:color="000000" w:fill="FFFFFF"/>
            <w:noWrap/>
            <w:vAlign w:val="bottom"/>
            <w:hideMark/>
          </w:tcPr>
          <w:p w14:paraId="1B18D292" w14:textId="12AE7608"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FFFFFF"/>
            <w:noWrap/>
            <w:vAlign w:val="bottom"/>
            <w:hideMark/>
          </w:tcPr>
          <w:p w14:paraId="2252D8D3" w14:textId="49F2C030" w:rsidR="00543241" w:rsidRPr="000D1437" w:rsidRDefault="00543241" w:rsidP="00543241">
            <w:pPr>
              <w:jc w:val="right"/>
              <w:rPr>
                <w:rFonts w:ascii="Times New Roman" w:hAnsi="Times New Roman"/>
                <w:sz w:val="14"/>
                <w:szCs w:val="14"/>
              </w:rPr>
            </w:pPr>
            <w:r w:rsidRPr="000D1437">
              <w:rPr>
                <w:sz w:val="14"/>
                <w:szCs w:val="14"/>
              </w:rPr>
              <w:t>NA</w:t>
            </w:r>
          </w:p>
        </w:tc>
        <w:tc>
          <w:tcPr>
            <w:tcW w:w="1164" w:type="dxa"/>
            <w:tcBorders>
              <w:top w:val="nil"/>
              <w:left w:val="nil"/>
              <w:bottom w:val="single" w:sz="4" w:space="0" w:color="auto"/>
              <w:right w:val="single" w:sz="4" w:space="0" w:color="auto"/>
            </w:tcBorders>
            <w:shd w:val="clear" w:color="000000" w:fill="FFFFFF"/>
            <w:noWrap/>
            <w:vAlign w:val="bottom"/>
            <w:hideMark/>
          </w:tcPr>
          <w:p w14:paraId="5F54C974" w14:textId="00C3BC85" w:rsidR="00543241" w:rsidRPr="000D1437" w:rsidRDefault="00543241" w:rsidP="00543241">
            <w:pPr>
              <w:jc w:val="right"/>
              <w:rPr>
                <w:rFonts w:ascii="Times New Roman" w:hAnsi="Times New Roman"/>
                <w:sz w:val="14"/>
                <w:szCs w:val="14"/>
              </w:rPr>
            </w:pPr>
            <w:r w:rsidRPr="000D1437">
              <w:rPr>
                <w:sz w:val="14"/>
                <w:szCs w:val="14"/>
              </w:rPr>
              <w:t>NA</w:t>
            </w:r>
          </w:p>
        </w:tc>
        <w:tc>
          <w:tcPr>
            <w:tcW w:w="1150" w:type="dxa"/>
            <w:tcBorders>
              <w:top w:val="nil"/>
              <w:left w:val="nil"/>
              <w:bottom w:val="single" w:sz="4" w:space="0" w:color="auto"/>
              <w:right w:val="single" w:sz="4" w:space="0" w:color="auto"/>
            </w:tcBorders>
            <w:shd w:val="clear" w:color="000000" w:fill="FFFFFF"/>
            <w:noWrap/>
            <w:vAlign w:val="bottom"/>
            <w:hideMark/>
          </w:tcPr>
          <w:p w14:paraId="52C146D3" w14:textId="7023EDF0"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FFFFFF"/>
            <w:noWrap/>
            <w:vAlign w:val="bottom"/>
            <w:hideMark/>
          </w:tcPr>
          <w:p w14:paraId="5BC6E4C4" w14:textId="2D6C1629"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FFFFFF"/>
            <w:vAlign w:val="bottom"/>
          </w:tcPr>
          <w:p w14:paraId="7843246B" w14:textId="269AFF95" w:rsidR="00543241" w:rsidRPr="000D1437" w:rsidRDefault="00543241" w:rsidP="00543241">
            <w:pPr>
              <w:jc w:val="right"/>
              <w:rPr>
                <w:rFonts w:ascii="Times New Roman" w:hAnsi="Times New Roman"/>
                <w:sz w:val="14"/>
                <w:szCs w:val="14"/>
              </w:rPr>
            </w:pPr>
            <w:r w:rsidRPr="000D1437">
              <w:rPr>
                <w:sz w:val="14"/>
                <w:szCs w:val="14"/>
              </w:rPr>
              <w:t>NA</w:t>
            </w:r>
          </w:p>
        </w:tc>
      </w:tr>
      <w:tr w:rsidR="00543241" w:rsidRPr="00364545" w14:paraId="4B5988F6"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B20F78D" w14:textId="2345FBC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192" w:type="dxa"/>
            <w:tcBorders>
              <w:top w:val="nil"/>
              <w:left w:val="nil"/>
              <w:bottom w:val="single" w:sz="4" w:space="0" w:color="auto"/>
              <w:right w:val="single" w:sz="4" w:space="0" w:color="auto"/>
            </w:tcBorders>
            <w:shd w:val="clear" w:color="000000" w:fill="FFFFFF"/>
            <w:noWrap/>
            <w:vAlign w:val="bottom"/>
            <w:hideMark/>
          </w:tcPr>
          <w:p w14:paraId="5AC593D1" w14:textId="234BC50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68C4B096" w14:textId="2CD3805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5CB74767" w14:textId="48EEF2F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7E3B1D3F" w14:textId="11EC403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3CDDEA21" w14:textId="2F67ED7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286BD1BA" w14:textId="410EFC7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20B93DEA"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4E82EA4" w14:textId="4ED7FF9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192" w:type="dxa"/>
            <w:tcBorders>
              <w:top w:val="nil"/>
              <w:left w:val="nil"/>
              <w:bottom w:val="single" w:sz="4" w:space="0" w:color="auto"/>
              <w:right w:val="single" w:sz="4" w:space="0" w:color="auto"/>
            </w:tcBorders>
            <w:shd w:val="clear" w:color="000000" w:fill="FFFFFF"/>
            <w:noWrap/>
            <w:vAlign w:val="bottom"/>
            <w:hideMark/>
          </w:tcPr>
          <w:p w14:paraId="1A522B4A" w14:textId="76F897E7" w:rsidR="00543241" w:rsidRPr="000D1437" w:rsidRDefault="00543241" w:rsidP="00543241">
            <w:pPr>
              <w:jc w:val="right"/>
              <w:rPr>
                <w:rFonts w:ascii="Times New Roman" w:hAnsi="Times New Roman"/>
                <w:sz w:val="14"/>
                <w:szCs w:val="14"/>
              </w:rPr>
            </w:pPr>
            <w:r w:rsidRPr="000D1437">
              <w:rPr>
                <w:sz w:val="14"/>
                <w:szCs w:val="14"/>
              </w:rPr>
              <w:t>1544,93</w:t>
            </w:r>
          </w:p>
        </w:tc>
        <w:tc>
          <w:tcPr>
            <w:tcW w:w="1193" w:type="dxa"/>
            <w:tcBorders>
              <w:top w:val="nil"/>
              <w:left w:val="nil"/>
              <w:bottom w:val="single" w:sz="4" w:space="0" w:color="auto"/>
              <w:right w:val="single" w:sz="4" w:space="0" w:color="auto"/>
            </w:tcBorders>
            <w:shd w:val="clear" w:color="000000" w:fill="FFFFFF"/>
            <w:noWrap/>
            <w:vAlign w:val="bottom"/>
            <w:hideMark/>
          </w:tcPr>
          <w:p w14:paraId="5D5363F6" w14:textId="39E872FA" w:rsidR="00543241" w:rsidRPr="000D1437" w:rsidRDefault="00543241" w:rsidP="00543241">
            <w:pPr>
              <w:jc w:val="right"/>
              <w:rPr>
                <w:rFonts w:ascii="Times New Roman" w:hAnsi="Times New Roman"/>
                <w:sz w:val="14"/>
                <w:szCs w:val="14"/>
              </w:rPr>
            </w:pPr>
            <w:r w:rsidRPr="000D1437">
              <w:rPr>
                <w:sz w:val="14"/>
                <w:szCs w:val="14"/>
              </w:rPr>
              <w:t>1794,62</w:t>
            </w:r>
          </w:p>
        </w:tc>
        <w:tc>
          <w:tcPr>
            <w:tcW w:w="1164" w:type="dxa"/>
            <w:tcBorders>
              <w:top w:val="nil"/>
              <w:left w:val="nil"/>
              <w:bottom w:val="single" w:sz="4" w:space="0" w:color="auto"/>
              <w:right w:val="single" w:sz="4" w:space="0" w:color="auto"/>
            </w:tcBorders>
            <w:shd w:val="clear" w:color="000000" w:fill="FFFFFF"/>
            <w:noWrap/>
            <w:vAlign w:val="bottom"/>
            <w:hideMark/>
          </w:tcPr>
          <w:p w14:paraId="632EC967" w14:textId="258FB69D" w:rsidR="00543241" w:rsidRPr="000D1437" w:rsidRDefault="00543241" w:rsidP="00543241">
            <w:pPr>
              <w:jc w:val="right"/>
              <w:rPr>
                <w:rFonts w:ascii="Times New Roman" w:hAnsi="Times New Roman"/>
                <w:sz w:val="14"/>
                <w:szCs w:val="14"/>
              </w:rPr>
            </w:pPr>
            <w:r w:rsidRPr="000D1437">
              <w:rPr>
                <w:sz w:val="14"/>
                <w:szCs w:val="14"/>
              </w:rPr>
              <w:t>1541,84</w:t>
            </w:r>
          </w:p>
        </w:tc>
        <w:tc>
          <w:tcPr>
            <w:tcW w:w="1150" w:type="dxa"/>
            <w:tcBorders>
              <w:top w:val="nil"/>
              <w:left w:val="nil"/>
              <w:bottom w:val="single" w:sz="4" w:space="0" w:color="auto"/>
              <w:right w:val="single" w:sz="4" w:space="0" w:color="auto"/>
            </w:tcBorders>
            <w:shd w:val="clear" w:color="000000" w:fill="FFFFFF"/>
            <w:noWrap/>
            <w:vAlign w:val="bottom"/>
            <w:hideMark/>
          </w:tcPr>
          <w:p w14:paraId="14F169FC" w14:textId="155D7E0E" w:rsidR="00543241" w:rsidRPr="000D1437" w:rsidRDefault="00543241" w:rsidP="00543241">
            <w:pPr>
              <w:jc w:val="right"/>
              <w:rPr>
                <w:rFonts w:ascii="Times New Roman" w:hAnsi="Times New Roman"/>
                <w:sz w:val="14"/>
                <w:szCs w:val="14"/>
              </w:rPr>
            </w:pPr>
            <w:r w:rsidRPr="000D1437">
              <w:rPr>
                <w:sz w:val="14"/>
                <w:szCs w:val="14"/>
              </w:rPr>
              <w:t>1 551,69</w:t>
            </w:r>
          </w:p>
        </w:tc>
        <w:tc>
          <w:tcPr>
            <w:tcW w:w="1193" w:type="dxa"/>
            <w:tcBorders>
              <w:top w:val="nil"/>
              <w:left w:val="nil"/>
              <w:bottom w:val="single" w:sz="4" w:space="0" w:color="auto"/>
              <w:right w:val="single" w:sz="4" w:space="0" w:color="auto"/>
            </w:tcBorders>
            <w:shd w:val="clear" w:color="000000" w:fill="FFFFFF"/>
            <w:noWrap/>
            <w:vAlign w:val="bottom"/>
            <w:hideMark/>
          </w:tcPr>
          <w:p w14:paraId="0C7B9BCD" w14:textId="3EB98A78" w:rsidR="00543241" w:rsidRPr="000D1437" w:rsidRDefault="00543241" w:rsidP="00543241">
            <w:pPr>
              <w:jc w:val="right"/>
              <w:rPr>
                <w:rFonts w:ascii="Times New Roman" w:hAnsi="Times New Roman"/>
                <w:sz w:val="14"/>
                <w:szCs w:val="14"/>
              </w:rPr>
            </w:pPr>
            <w:r w:rsidRPr="000D1437">
              <w:rPr>
                <w:sz w:val="14"/>
                <w:szCs w:val="14"/>
              </w:rPr>
              <w:t>1 474,84</w:t>
            </w:r>
          </w:p>
        </w:tc>
        <w:tc>
          <w:tcPr>
            <w:tcW w:w="1193" w:type="dxa"/>
            <w:tcBorders>
              <w:top w:val="nil"/>
              <w:left w:val="nil"/>
              <w:bottom w:val="single" w:sz="4" w:space="0" w:color="auto"/>
              <w:right w:val="single" w:sz="4" w:space="0" w:color="auto"/>
            </w:tcBorders>
            <w:shd w:val="clear" w:color="000000" w:fill="FFFFFF"/>
            <w:vAlign w:val="bottom"/>
          </w:tcPr>
          <w:p w14:paraId="7D14C43C" w14:textId="6F01FDF3" w:rsidR="00543241" w:rsidRPr="000D1437" w:rsidRDefault="00543241" w:rsidP="00543241">
            <w:pPr>
              <w:jc w:val="right"/>
              <w:rPr>
                <w:rFonts w:ascii="Times New Roman" w:hAnsi="Times New Roman"/>
                <w:sz w:val="14"/>
                <w:szCs w:val="14"/>
              </w:rPr>
            </w:pPr>
            <w:r w:rsidRPr="000D1437">
              <w:rPr>
                <w:sz w:val="14"/>
                <w:szCs w:val="14"/>
              </w:rPr>
              <w:t>1 438,77</w:t>
            </w:r>
          </w:p>
        </w:tc>
      </w:tr>
      <w:tr w:rsidR="00543241" w:rsidRPr="00364545" w14:paraId="6F51CFF0"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D890741" w14:textId="4F7533F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192" w:type="dxa"/>
            <w:tcBorders>
              <w:top w:val="nil"/>
              <w:left w:val="nil"/>
              <w:bottom w:val="single" w:sz="4" w:space="0" w:color="auto"/>
              <w:right w:val="single" w:sz="4" w:space="0" w:color="auto"/>
            </w:tcBorders>
            <w:shd w:val="clear" w:color="000000" w:fill="FFFFFF"/>
            <w:noWrap/>
            <w:vAlign w:val="bottom"/>
            <w:hideMark/>
          </w:tcPr>
          <w:p w14:paraId="0CE8533C" w14:textId="3A7843B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47CDD9C5" w14:textId="32CBC29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3F284484" w14:textId="4DF4EA4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06D94FA7" w14:textId="47CC945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59D16905" w14:textId="0E6297D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51B6DD3A" w14:textId="776786E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E27CED4"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0A30A2C" w14:textId="5E56C0ED"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192" w:type="dxa"/>
            <w:tcBorders>
              <w:top w:val="nil"/>
              <w:left w:val="nil"/>
              <w:bottom w:val="single" w:sz="4" w:space="0" w:color="auto"/>
              <w:right w:val="single" w:sz="4" w:space="0" w:color="auto"/>
            </w:tcBorders>
            <w:shd w:val="clear" w:color="000000" w:fill="FFFFFF"/>
            <w:noWrap/>
            <w:vAlign w:val="bottom"/>
            <w:hideMark/>
          </w:tcPr>
          <w:p w14:paraId="79CA07AF" w14:textId="59AEC1BA"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5695AC46" w14:textId="204AE1CD" w:rsidR="00543241" w:rsidRPr="000D1437" w:rsidRDefault="00543241" w:rsidP="00543241">
            <w:pPr>
              <w:jc w:val="right"/>
              <w:rPr>
                <w:rFonts w:ascii="Times New Roman" w:hAnsi="Times New Roman"/>
                <w:sz w:val="14"/>
                <w:szCs w:val="14"/>
              </w:rPr>
            </w:pPr>
            <w:r w:rsidRPr="000D1437">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46FEE241" w14:textId="73C53828" w:rsidR="00543241" w:rsidRPr="000D1437" w:rsidRDefault="00543241" w:rsidP="00543241">
            <w:pPr>
              <w:jc w:val="right"/>
              <w:rPr>
                <w:rFonts w:ascii="Times New Roman" w:hAnsi="Times New Roman"/>
                <w:sz w:val="14"/>
                <w:szCs w:val="14"/>
              </w:rPr>
            </w:pPr>
            <w:r w:rsidRPr="000D1437">
              <w:rPr>
                <w:sz w:val="14"/>
                <w:szCs w:val="14"/>
              </w:rPr>
              <w:t>NO</w:t>
            </w:r>
          </w:p>
        </w:tc>
        <w:tc>
          <w:tcPr>
            <w:tcW w:w="1150" w:type="dxa"/>
            <w:tcBorders>
              <w:top w:val="nil"/>
              <w:left w:val="nil"/>
              <w:bottom w:val="single" w:sz="4" w:space="0" w:color="auto"/>
              <w:right w:val="single" w:sz="4" w:space="0" w:color="auto"/>
            </w:tcBorders>
            <w:shd w:val="clear" w:color="000000" w:fill="FFFFFF"/>
            <w:noWrap/>
            <w:vAlign w:val="bottom"/>
            <w:hideMark/>
          </w:tcPr>
          <w:p w14:paraId="3B3AB5E0" w14:textId="700849B2"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5660192E" w14:textId="0900128D"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FFFFFF"/>
            <w:vAlign w:val="bottom"/>
          </w:tcPr>
          <w:p w14:paraId="3FB2EC80" w14:textId="62D45974"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1D50269E"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8367D2B" w14:textId="41342129"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192" w:type="dxa"/>
            <w:tcBorders>
              <w:top w:val="nil"/>
              <w:left w:val="nil"/>
              <w:bottom w:val="single" w:sz="4" w:space="0" w:color="auto"/>
              <w:right w:val="single" w:sz="4" w:space="0" w:color="auto"/>
            </w:tcBorders>
            <w:shd w:val="clear" w:color="000000" w:fill="CCFFFF"/>
            <w:noWrap/>
            <w:vAlign w:val="bottom"/>
            <w:hideMark/>
          </w:tcPr>
          <w:p w14:paraId="0D6CD8E1" w14:textId="077893C1"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CCFFFF"/>
            <w:noWrap/>
            <w:vAlign w:val="bottom"/>
            <w:hideMark/>
          </w:tcPr>
          <w:p w14:paraId="23C8E5B0" w14:textId="37C91A12" w:rsidR="00543241" w:rsidRPr="000D1437" w:rsidRDefault="00543241" w:rsidP="00543241">
            <w:pPr>
              <w:jc w:val="right"/>
              <w:rPr>
                <w:rFonts w:ascii="Times New Roman" w:hAnsi="Times New Roman"/>
                <w:sz w:val="14"/>
                <w:szCs w:val="14"/>
              </w:rPr>
            </w:pPr>
            <w:r w:rsidRPr="000D1437">
              <w:rPr>
                <w:sz w:val="14"/>
                <w:szCs w:val="14"/>
              </w:rPr>
              <w:t>NO</w:t>
            </w:r>
          </w:p>
        </w:tc>
        <w:tc>
          <w:tcPr>
            <w:tcW w:w="1164" w:type="dxa"/>
            <w:tcBorders>
              <w:top w:val="nil"/>
              <w:left w:val="nil"/>
              <w:bottom w:val="single" w:sz="4" w:space="0" w:color="auto"/>
              <w:right w:val="single" w:sz="4" w:space="0" w:color="auto"/>
            </w:tcBorders>
            <w:shd w:val="clear" w:color="000000" w:fill="CCFFFF"/>
            <w:noWrap/>
            <w:vAlign w:val="bottom"/>
            <w:hideMark/>
          </w:tcPr>
          <w:p w14:paraId="6D206262" w14:textId="38F9FEE7" w:rsidR="00543241" w:rsidRPr="000D1437" w:rsidRDefault="00543241" w:rsidP="00543241">
            <w:pPr>
              <w:jc w:val="right"/>
              <w:rPr>
                <w:rFonts w:ascii="Times New Roman" w:hAnsi="Times New Roman"/>
                <w:sz w:val="14"/>
                <w:szCs w:val="14"/>
              </w:rPr>
            </w:pPr>
            <w:r w:rsidRPr="000D1437">
              <w:rPr>
                <w:sz w:val="14"/>
                <w:szCs w:val="14"/>
              </w:rPr>
              <w:t>NO</w:t>
            </w:r>
          </w:p>
        </w:tc>
        <w:tc>
          <w:tcPr>
            <w:tcW w:w="1150" w:type="dxa"/>
            <w:tcBorders>
              <w:top w:val="nil"/>
              <w:left w:val="nil"/>
              <w:bottom w:val="single" w:sz="4" w:space="0" w:color="auto"/>
              <w:right w:val="single" w:sz="4" w:space="0" w:color="auto"/>
            </w:tcBorders>
            <w:shd w:val="clear" w:color="000000" w:fill="CCFFFF"/>
            <w:noWrap/>
            <w:vAlign w:val="bottom"/>
            <w:hideMark/>
          </w:tcPr>
          <w:p w14:paraId="0E6B3474" w14:textId="69B4C001"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CCFFFF"/>
            <w:noWrap/>
            <w:vAlign w:val="bottom"/>
            <w:hideMark/>
          </w:tcPr>
          <w:p w14:paraId="41C7FA84" w14:textId="5636C945" w:rsidR="00543241" w:rsidRPr="000D1437" w:rsidRDefault="00543241" w:rsidP="00543241">
            <w:pPr>
              <w:jc w:val="right"/>
              <w:rPr>
                <w:rFonts w:ascii="Times New Roman" w:hAnsi="Times New Roman"/>
                <w:sz w:val="14"/>
                <w:szCs w:val="14"/>
              </w:rPr>
            </w:pPr>
            <w:r w:rsidRPr="000D1437">
              <w:rPr>
                <w:sz w:val="14"/>
                <w:szCs w:val="14"/>
              </w:rPr>
              <w:t>NO</w:t>
            </w:r>
          </w:p>
        </w:tc>
        <w:tc>
          <w:tcPr>
            <w:tcW w:w="1193" w:type="dxa"/>
            <w:tcBorders>
              <w:top w:val="nil"/>
              <w:left w:val="nil"/>
              <w:bottom w:val="single" w:sz="4" w:space="0" w:color="auto"/>
              <w:right w:val="single" w:sz="4" w:space="0" w:color="auto"/>
            </w:tcBorders>
            <w:shd w:val="clear" w:color="000000" w:fill="CCFFFF"/>
            <w:vAlign w:val="bottom"/>
          </w:tcPr>
          <w:p w14:paraId="2FE27285" w14:textId="0ED42CEB" w:rsidR="00543241" w:rsidRPr="000D1437" w:rsidRDefault="00543241" w:rsidP="00543241">
            <w:pPr>
              <w:jc w:val="right"/>
              <w:rPr>
                <w:rFonts w:ascii="Times New Roman" w:hAnsi="Times New Roman"/>
                <w:sz w:val="14"/>
                <w:szCs w:val="14"/>
              </w:rPr>
            </w:pPr>
            <w:r w:rsidRPr="000D1437">
              <w:rPr>
                <w:sz w:val="14"/>
                <w:szCs w:val="14"/>
              </w:rPr>
              <w:t>NO</w:t>
            </w:r>
          </w:p>
        </w:tc>
      </w:tr>
      <w:tr w:rsidR="00543241" w:rsidRPr="00364545" w14:paraId="11A05563"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6E64E1F"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Memo items:</w:t>
            </w:r>
          </w:p>
        </w:tc>
        <w:tc>
          <w:tcPr>
            <w:tcW w:w="1192" w:type="dxa"/>
            <w:tcBorders>
              <w:top w:val="nil"/>
              <w:left w:val="nil"/>
              <w:bottom w:val="single" w:sz="4" w:space="0" w:color="auto"/>
              <w:right w:val="single" w:sz="4" w:space="0" w:color="auto"/>
            </w:tcBorders>
            <w:shd w:val="clear" w:color="000000" w:fill="969696"/>
            <w:noWrap/>
            <w:vAlign w:val="bottom"/>
            <w:hideMark/>
          </w:tcPr>
          <w:p w14:paraId="6C4FC31E" w14:textId="7CCBE67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969696"/>
            <w:noWrap/>
            <w:vAlign w:val="bottom"/>
            <w:hideMark/>
          </w:tcPr>
          <w:p w14:paraId="4AFD3728" w14:textId="3555852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969696"/>
            <w:noWrap/>
            <w:vAlign w:val="bottom"/>
            <w:hideMark/>
          </w:tcPr>
          <w:p w14:paraId="6F39CAAD" w14:textId="2CE1F0E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969696"/>
            <w:noWrap/>
            <w:vAlign w:val="bottom"/>
            <w:hideMark/>
          </w:tcPr>
          <w:p w14:paraId="17214430" w14:textId="72E294B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969696"/>
            <w:noWrap/>
            <w:vAlign w:val="bottom"/>
            <w:hideMark/>
          </w:tcPr>
          <w:p w14:paraId="7241AA4B" w14:textId="796F49E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969696"/>
            <w:vAlign w:val="bottom"/>
          </w:tcPr>
          <w:p w14:paraId="5C2EFCAD" w14:textId="3D7309A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5E675B4"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EF876F4"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International bunkers</w:t>
            </w:r>
          </w:p>
        </w:tc>
        <w:tc>
          <w:tcPr>
            <w:tcW w:w="1192" w:type="dxa"/>
            <w:tcBorders>
              <w:top w:val="nil"/>
              <w:left w:val="nil"/>
              <w:bottom w:val="single" w:sz="4" w:space="0" w:color="auto"/>
              <w:right w:val="single" w:sz="4" w:space="0" w:color="auto"/>
            </w:tcBorders>
            <w:shd w:val="clear" w:color="000000" w:fill="CCFFFF"/>
            <w:noWrap/>
            <w:vAlign w:val="bottom"/>
            <w:hideMark/>
          </w:tcPr>
          <w:p w14:paraId="2CF84D20" w14:textId="0145D9FC" w:rsidR="00543241" w:rsidRPr="000D1437" w:rsidRDefault="00543241" w:rsidP="00543241">
            <w:pPr>
              <w:jc w:val="right"/>
              <w:rPr>
                <w:rFonts w:ascii="Times New Roman" w:hAnsi="Times New Roman"/>
                <w:sz w:val="14"/>
                <w:szCs w:val="14"/>
              </w:rPr>
            </w:pPr>
            <w:r w:rsidRPr="000D1437">
              <w:rPr>
                <w:sz w:val="14"/>
                <w:szCs w:val="14"/>
              </w:rPr>
              <w:t>23733,70</w:t>
            </w:r>
          </w:p>
        </w:tc>
        <w:tc>
          <w:tcPr>
            <w:tcW w:w="1193" w:type="dxa"/>
            <w:tcBorders>
              <w:top w:val="nil"/>
              <w:left w:val="nil"/>
              <w:bottom w:val="single" w:sz="4" w:space="0" w:color="auto"/>
              <w:right w:val="single" w:sz="4" w:space="0" w:color="auto"/>
            </w:tcBorders>
            <w:shd w:val="clear" w:color="000000" w:fill="CCFFFF"/>
            <w:noWrap/>
            <w:vAlign w:val="bottom"/>
            <w:hideMark/>
          </w:tcPr>
          <w:p w14:paraId="4CB3A056" w14:textId="6FC84042" w:rsidR="00543241" w:rsidRPr="000D1437" w:rsidRDefault="00543241" w:rsidP="00543241">
            <w:pPr>
              <w:jc w:val="right"/>
              <w:rPr>
                <w:rFonts w:ascii="Times New Roman" w:hAnsi="Times New Roman"/>
                <w:sz w:val="14"/>
                <w:szCs w:val="14"/>
              </w:rPr>
            </w:pPr>
            <w:r w:rsidRPr="000D1437">
              <w:rPr>
                <w:sz w:val="14"/>
                <w:szCs w:val="14"/>
              </w:rPr>
              <w:t>22840,12</w:t>
            </w:r>
          </w:p>
        </w:tc>
        <w:tc>
          <w:tcPr>
            <w:tcW w:w="1164" w:type="dxa"/>
            <w:tcBorders>
              <w:top w:val="nil"/>
              <w:left w:val="nil"/>
              <w:bottom w:val="single" w:sz="4" w:space="0" w:color="auto"/>
              <w:right w:val="single" w:sz="4" w:space="0" w:color="auto"/>
            </w:tcBorders>
            <w:shd w:val="clear" w:color="000000" w:fill="CCFFFF"/>
            <w:noWrap/>
            <w:vAlign w:val="bottom"/>
            <w:hideMark/>
          </w:tcPr>
          <w:p w14:paraId="221AE9AC" w14:textId="70560827" w:rsidR="00543241" w:rsidRPr="000D1437" w:rsidRDefault="00543241" w:rsidP="00543241">
            <w:pPr>
              <w:jc w:val="right"/>
              <w:rPr>
                <w:rFonts w:ascii="Times New Roman" w:hAnsi="Times New Roman"/>
                <w:sz w:val="14"/>
                <w:szCs w:val="14"/>
              </w:rPr>
            </w:pPr>
            <w:r w:rsidRPr="000D1437">
              <w:rPr>
                <w:sz w:val="14"/>
                <w:szCs w:val="14"/>
              </w:rPr>
              <w:t>23116,45</w:t>
            </w:r>
          </w:p>
        </w:tc>
        <w:tc>
          <w:tcPr>
            <w:tcW w:w="1150" w:type="dxa"/>
            <w:tcBorders>
              <w:top w:val="nil"/>
              <w:left w:val="nil"/>
              <w:bottom w:val="single" w:sz="4" w:space="0" w:color="auto"/>
              <w:right w:val="single" w:sz="4" w:space="0" w:color="auto"/>
            </w:tcBorders>
            <w:shd w:val="clear" w:color="000000" w:fill="CCFFFF"/>
            <w:noWrap/>
            <w:vAlign w:val="bottom"/>
            <w:hideMark/>
          </w:tcPr>
          <w:p w14:paraId="7D832A92" w14:textId="2F83C65E" w:rsidR="00543241" w:rsidRPr="000D1437" w:rsidRDefault="00543241" w:rsidP="00543241">
            <w:pPr>
              <w:jc w:val="right"/>
              <w:rPr>
                <w:rFonts w:ascii="Times New Roman" w:hAnsi="Times New Roman"/>
                <w:sz w:val="14"/>
                <w:szCs w:val="14"/>
              </w:rPr>
            </w:pPr>
            <w:r w:rsidRPr="000D1437">
              <w:rPr>
                <w:sz w:val="14"/>
                <w:szCs w:val="14"/>
              </w:rPr>
              <w:t>22537,21</w:t>
            </w:r>
          </w:p>
        </w:tc>
        <w:tc>
          <w:tcPr>
            <w:tcW w:w="1193" w:type="dxa"/>
            <w:tcBorders>
              <w:top w:val="nil"/>
              <w:left w:val="nil"/>
              <w:bottom w:val="single" w:sz="4" w:space="0" w:color="auto"/>
              <w:right w:val="single" w:sz="4" w:space="0" w:color="auto"/>
            </w:tcBorders>
            <w:shd w:val="clear" w:color="000000" w:fill="CCFFFF"/>
            <w:noWrap/>
            <w:vAlign w:val="bottom"/>
            <w:hideMark/>
          </w:tcPr>
          <w:p w14:paraId="2C0520FF" w14:textId="6D5DC3E9" w:rsidR="00543241" w:rsidRPr="000D1437" w:rsidRDefault="00543241" w:rsidP="00543241">
            <w:pPr>
              <w:jc w:val="right"/>
              <w:rPr>
                <w:rFonts w:ascii="Times New Roman" w:hAnsi="Times New Roman"/>
                <w:sz w:val="14"/>
                <w:szCs w:val="14"/>
              </w:rPr>
            </w:pPr>
            <w:r w:rsidRPr="000D1437">
              <w:rPr>
                <w:sz w:val="14"/>
                <w:szCs w:val="14"/>
              </w:rPr>
              <w:t>23124,45</w:t>
            </w:r>
          </w:p>
        </w:tc>
        <w:tc>
          <w:tcPr>
            <w:tcW w:w="1193" w:type="dxa"/>
            <w:tcBorders>
              <w:top w:val="nil"/>
              <w:left w:val="nil"/>
              <w:bottom w:val="single" w:sz="4" w:space="0" w:color="auto"/>
              <w:right w:val="single" w:sz="4" w:space="0" w:color="auto"/>
            </w:tcBorders>
            <w:shd w:val="clear" w:color="000000" w:fill="CCFFFF"/>
            <w:vAlign w:val="bottom"/>
          </w:tcPr>
          <w:p w14:paraId="5BCF9726" w14:textId="4131B196" w:rsidR="00543241" w:rsidRPr="000D1437" w:rsidRDefault="00543241" w:rsidP="00543241">
            <w:pPr>
              <w:jc w:val="right"/>
              <w:rPr>
                <w:rFonts w:ascii="Times New Roman" w:hAnsi="Times New Roman"/>
                <w:sz w:val="14"/>
                <w:szCs w:val="14"/>
              </w:rPr>
            </w:pPr>
            <w:r w:rsidRPr="000D1437">
              <w:rPr>
                <w:sz w:val="14"/>
                <w:szCs w:val="14"/>
              </w:rPr>
              <w:t>24426,85</w:t>
            </w:r>
          </w:p>
        </w:tc>
      </w:tr>
      <w:tr w:rsidR="00543241" w:rsidRPr="00364545" w14:paraId="15D9F78F"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53E5F9F"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Aviation</w:t>
            </w:r>
          </w:p>
        </w:tc>
        <w:tc>
          <w:tcPr>
            <w:tcW w:w="1192" w:type="dxa"/>
            <w:tcBorders>
              <w:top w:val="nil"/>
              <w:left w:val="nil"/>
              <w:bottom w:val="single" w:sz="4" w:space="0" w:color="auto"/>
              <w:right w:val="single" w:sz="4" w:space="0" w:color="auto"/>
            </w:tcBorders>
            <w:shd w:val="clear" w:color="000000" w:fill="FFFFFF"/>
            <w:noWrap/>
            <w:vAlign w:val="bottom"/>
            <w:hideMark/>
          </w:tcPr>
          <w:p w14:paraId="34E71973" w14:textId="2A76AFB8" w:rsidR="00543241" w:rsidRPr="000D1437" w:rsidRDefault="00543241" w:rsidP="00543241">
            <w:pPr>
              <w:jc w:val="right"/>
              <w:rPr>
                <w:rFonts w:ascii="Times New Roman" w:hAnsi="Times New Roman"/>
                <w:sz w:val="14"/>
                <w:szCs w:val="14"/>
              </w:rPr>
            </w:pPr>
            <w:r w:rsidRPr="000D1437">
              <w:rPr>
                <w:sz w:val="14"/>
                <w:szCs w:val="14"/>
              </w:rPr>
              <w:t>16417,89</w:t>
            </w:r>
          </w:p>
        </w:tc>
        <w:tc>
          <w:tcPr>
            <w:tcW w:w="1193" w:type="dxa"/>
            <w:tcBorders>
              <w:top w:val="nil"/>
              <w:left w:val="nil"/>
              <w:bottom w:val="single" w:sz="4" w:space="0" w:color="auto"/>
              <w:right w:val="single" w:sz="4" w:space="0" w:color="auto"/>
            </w:tcBorders>
            <w:shd w:val="clear" w:color="000000" w:fill="FFFFFF"/>
            <w:noWrap/>
            <w:vAlign w:val="bottom"/>
            <w:hideMark/>
          </w:tcPr>
          <w:p w14:paraId="20C81D95" w14:textId="263FF2B9" w:rsidR="00543241" w:rsidRPr="000D1437" w:rsidRDefault="00543241" w:rsidP="00543241">
            <w:pPr>
              <w:jc w:val="right"/>
              <w:rPr>
                <w:rFonts w:ascii="Times New Roman" w:hAnsi="Times New Roman"/>
                <w:sz w:val="14"/>
                <w:szCs w:val="14"/>
              </w:rPr>
            </w:pPr>
            <w:r w:rsidRPr="000D1437">
              <w:rPr>
                <w:sz w:val="14"/>
                <w:szCs w:val="14"/>
              </w:rPr>
              <w:t>16601,26</w:t>
            </w:r>
          </w:p>
        </w:tc>
        <w:tc>
          <w:tcPr>
            <w:tcW w:w="1164" w:type="dxa"/>
            <w:tcBorders>
              <w:top w:val="nil"/>
              <w:left w:val="nil"/>
              <w:bottom w:val="single" w:sz="4" w:space="0" w:color="auto"/>
              <w:right w:val="single" w:sz="4" w:space="0" w:color="auto"/>
            </w:tcBorders>
            <w:shd w:val="clear" w:color="000000" w:fill="FFFFFF"/>
            <w:noWrap/>
            <w:vAlign w:val="bottom"/>
            <w:hideMark/>
          </w:tcPr>
          <w:p w14:paraId="38239793" w14:textId="7E4F649E" w:rsidR="00543241" w:rsidRPr="000D1437" w:rsidRDefault="00543241" w:rsidP="00543241">
            <w:pPr>
              <w:jc w:val="right"/>
              <w:rPr>
                <w:rFonts w:ascii="Times New Roman" w:hAnsi="Times New Roman"/>
                <w:sz w:val="14"/>
                <w:szCs w:val="14"/>
              </w:rPr>
            </w:pPr>
            <w:r w:rsidRPr="000D1437">
              <w:rPr>
                <w:sz w:val="14"/>
                <w:szCs w:val="14"/>
              </w:rPr>
              <w:t>17561,31</w:t>
            </w:r>
          </w:p>
        </w:tc>
        <w:tc>
          <w:tcPr>
            <w:tcW w:w="1150" w:type="dxa"/>
            <w:tcBorders>
              <w:top w:val="nil"/>
              <w:left w:val="nil"/>
              <w:bottom w:val="single" w:sz="4" w:space="0" w:color="auto"/>
              <w:right w:val="single" w:sz="4" w:space="0" w:color="auto"/>
            </w:tcBorders>
            <w:shd w:val="clear" w:color="000000" w:fill="FFFFFF"/>
            <w:noWrap/>
            <w:vAlign w:val="bottom"/>
            <w:hideMark/>
          </w:tcPr>
          <w:p w14:paraId="487AAFF4" w14:textId="46D3F131" w:rsidR="00543241" w:rsidRPr="000D1437" w:rsidRDefault="00543241" w:rsidP="00543241">
            <w:pPr>
              <w:jc w:val="right"/>
              <w:rPr>
                <w:rFonts w:ascii="Times New Roman" w:hAnsi="Times New Roman"/>
                <w:sz w:val="14"/>
                <w:szCs w:val="14"/>
              </w:rPr>
            </w:pPr>
            <w:r w:rsidRPr="000D1437">
              <w:rPr>
                <w:sz w:val="14"/>
                <w:szCs w:val="14"/>
              </w:rPr>
              <w:t>17 264,34</w:t>
            </w:r>
          </w:p>
        </w:tc>
        <w:tc>
          <w:tcPr>
            <w:tcW w:w="1193" w:type="dxa"/>
            <w:tcBorders>
              <w:top w:val="nil"/>
              <w:left w:val="nil"/>
              <w:bottom w:val="single" w:sz="4" w:space="0" w:color="auto"/>
              <w:right w:val="single" w:sz="4" w:space="0" w:color="auto"/>
            </w:tcBorders>
            <w:shd w:val="clear" w:color="000000" w:fill="FFFFFF"/>
            <w:noWrap/>
            <w:vAlign w:val="bottom"/>
            <w:hideMark/>
          </w:tcPr>
          <w:p w14:paraId="25BCFD68" w14:textId="4BD8BEF0" w:rsidR="00543241" w:rsidRPr="000D1437" w:rsidRDefault="00543241" w:rsidP="00543241">
            <w:pPr>
              <w:jc w:val="right"/>
              <w:rPr>
                <w:rFonts w:ascii="Times New Roman" w:hAnsi="Times New Roman"/>
                <w:sz w:val="14"/>
                <w:szCs w:val="14"/>
              </w:rPr>
            </w:pPr>
            <w:r w:rsidRPr="000D1437">
              <w:rPr>
                <w:sz w:val="14"/>
                <w:szCs w:val="14"/>
              </w:rPr>
              <w:t>17 540,14</w:t>
            </w:r>
          </w:p>
        </w:tc>
        <w:tc>
          <w:tcPr>
            <w:tcW w:w="1193" w:type="dxa"/>
            <w:tcBorders>
              <w:top w:val="nil"/>
              <w:left w:val="nil"/>
              <w:bottom w:val="single" w:sz="4" w:space="0" w:color="auto"/>
              <w:right w:val="single" w:sz="4" w:space="0" w:color="auto"/>
            </w:tcBorders>
            <w:shd w:val="clear" w:color="000000" w:fill="FFFFFF"/>
            <w:vAlign w:val="bottom"/>
          </w:tcPr>
          <w:p w14:paraId="5E52497C" w14:textId="5521EABB" w:rsidR="00543241" w:rsidRPr="000D1437" w:rsidRDefault="00543241" w:rsidP="00543241">
            <w:pPr>
              <w:jc w:val="right"/>
              <w:rPr>
                <w:rFonts w:ascii="Times New Roman" w:hAnsi="Times New Roman"/>
                <w:sz w:val="14"/>
                <w:szCs w:val="14"/>
              </w:rPr>
            </w:pPr>
            <w:r w:rsidRPr="000D1437">
              <w:rPr>
                <w:sz w:val="14"/>
                <w:szCs w:val="14"/>
              </w:rPr>
              <w:t>18 135,67</w:t>
            </w:r>
          </w:p>
        </w:tc>
      </w:tr>
      <w:tr w:rsidR="00543241" w:rsidRPr="00364545" w14:paraId="0297AA49"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5FAF6CC"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Navigation</w:t>
            </w:r>
          </w:p>
        </w:tc>
        <w:tc>
          <w:tcPr>
            <w:tcW w:w="1192" w:type="dxa"/>
            <w:tcBorders>
              <w:top w:val="nil"/>
              <w:left w:val="nil"/>
              <w:bottom w:val="single" w:sz="4" w:space="0" w:color="auto"/>
              <w:right w:val="single" w:sz="4" w:space="0" w:color="auto"/>
            </w:tcBorders>
            <w:shd w:val="clear" w:color="000000" w:fill="FFFFFF"/>
            <w:noWrap/>
            <w:vAlign w:val="bottom"/>
            <w:hideMark/>
          </w:tcPr>
          <w:p w14:paraId="67DAE5BF" w14:textId="1136F735" w:rsidR="00543241" w:rsidRPr="000D1437" w:rsidRDefault="00543241" w:rsidP="00543241">
            <w:pPr>
              <w:jc w:val="right"/>
              <w:rPr>
                <w:rFonts w:ascii="Times New Roman" w:hAnsi="Times New Roman"/>
                <w:sz w:val="14"/>
                <w:szCs w:val="14"/>
              </w:rPr>
            </w:pPr>
            <w:r w:rsidRPr="000D1437">
              <w:rPr>
                <w:sz w:val="14"/>
                <w:szCs w:val="14"/>
              </w:rPr>
              <w:t>7315,81</w:t>
            </w:r>
          </w:p>
        </w:tc>
        <w:tc>
          <w:tcPr>
            <w:tcW w:w="1193" w:type="dxa"/>
            <w:tcBorders>
              <w:top w:val="nil"/>
              <w:left w:val="nil"/>
              <w:bottom w:val="single" w:sz="4" w:space="0" w:color="auto"/>
              <w:right w:val="single" w:sz="4" w:space="0" w:color="auto"/>
            </w:tcBorders>
            <w:shd w:val="clear" w:color="000000" w:fill="FFFFFF"/>
            <w:noWrap/>
            <w:vAlign w:val="bottom"/>
            <w:hideMark/>
          </w:tcPr>
          <w:p w14:paraId="53ACB0F8" w14:textId="04B6559E" w:rsidR="00543241" w:rsidRPr="000D1437" w:rsidRDefault="00543241" w:rsidP="00543241">
            <w:pPr>
              <w:jc w:val="right"/>
              <w:rPr>
                <w:rFonts w:ascii="Times New Roman" w:hAnsi="Times New Roman"/>
                <w:sz w:val="14"/>
                <w:szCs w:val="14"/>
              </w:rPr>
            </w:pPr>
            <w:r w:rsidRPr="000D1437">
              <w:rPr>
                <w:sz w:val="14"/>
                <w:szCs w:val="14"/>
              </w:rPr>
              <w:t>6238,87</w:t>
            </w:r>
          </w:p>
        </w:tc>
        <w:tc>
          <w:tcPr>
            <w:tcW w:w="1164" w:type="dxa"/>
            <w:tcBorders>
              <w:top w:val="nil"/>
              <w:left w:val="nil"/>
              <w:bottom w:val="single" w:sz="4" w:space="0" w:color="auto"/>
              <w:right w:val="single" w:sz="4" w:space="0" w:color="auto"/>
            </w:tcBorders>
            <w:shd w:val="clear" w:color="000000" w:fill="FFFFFF"/>
            <w:noWrap/>
            <w:vAlign w:val="bottom"/>
            <w:hideMark/>
          </w:tcPr>
          <w:p w14:paraId="230DF91B" w14:textId="61FF4C10" w:rsidR="00543241" w:rsidRPr="000D1437" w:rsidRDefault="00543241" w:rsidP="00543241">
            <w:pPr>
              <w:jc w:val="right"/>
              <w:rPr>
                <w:rFonts w:ascii="Times New Roman" w:hAnsi="Times New Roman"/>
                <w:sz w:val="14"/>
                <w:szCs w:val="14"/>
              </w:rPr>
            </w:pPr>
            <w:r w:rsidRPr="000D1437">
              <w:rPr>
                <w:sz w:val="14"/>
                <w:szCs w:val="14"/>
              </w:rPr>
              <w:t>5555,13</w:t>
            </w:r>
          </w:p>
        </w:tc>
        <w:tc>
          <w:tcPr>
            <w:tcW w:w="1150" w:type="dxa"/>
            <w:tcBorders>
              <w:top w:val="nil"/>
              <w:left w:val="nil"/>
              <w:bottom w:val="single" w:sz="4" w:space="0" w:color="auto"/>
              <w:right w:val="single" w:sz="4" w:space="0" w:color="auto"/>
            </w:tcBorders>
            <w:shd w:val="clear" w:color="000000" w:fill="FFFFFF"/>
            <w:noWrap/>
            <w:vAlign w:val="bottom"/>
            <w:hideMark/>
          </w:tcPr>
          <w:p w14:paraId="6A1A4092" w14:textId="1A15EE76" w:rsidR="00543241" w:rsidRPr="000D1437" w:rsidRDefault="00543241" w:rsidP="00543241">
            <w:pPr>
              <w:jc w:val="right"/>
              <w:rPr>
                <w:rFonts w:ascii="Times New Roman" w:hAnsi="Times New Roman"/>
                <w:sz w:val="14"/>
                <w:szCs w:val="14"/>
              </w:rPr>
            </w:pPr>
            <w:r w:rsidRPr="000D1437">
              <w:rPr>
                <w:sz w:val="14"/>
                <w:szCs w:val="14"/>
              </w:rPr>
              <w:t>5 272,88</w:t>
            </w:r>
          </w:p>
        </w:tc>
        <w:tc>
          <w:tcPr>
            <w:tcW w:w="1193" w:type="dxa"/>
            <w:tcBorders>
              <w:top w:val="nil"/>
              <w:left w:val="nil"/>
              <w:bottom w:val="single" w:sz="4" w:space="0" w:color="auto"/>
              <w:right w:val="single" w:sz="4" w:space="0" w:color="auto"/>
            </w:tcBorders>
            <w:shd w:val="clear" w:color="000000" w:fill="FFFFFF"/>
            <w:noWrap/>
            <w:vAlign w:val="bottom"/>
            <w:hideMark/>
          </w:tcPr>
          <w:p w14:paraId="0C2C10FC" w14:textId="5669E6E1" w:rsidR="00543241" w:rsidRPr="000D1437" w:rsidRDefault="00543241" w:rsidP="00543241">
            <w:pPr>
              <w:jc w:val="right"/>
              <w:rPr>
                <w:rFonts w:ascii="Times New Roman" w:hAnsi="Times New Roman"/>
                <w:sz w:val="14"/>
                <w:szCs w:val="14"/>
              </w:rPr>
            </w:pPr>
            <w:r w:rsidRPr="000D1437">
              <w:rPr>
                <w:sz w:val="14"/>
                <w:szCs w:val="14"/>
              </w:rPr>
              <w:t>5 584,31</w:t>
            </w:r>
          </w:p>
        </w:tc>
        <w:tc>
          <w:tcPr>
            <w:tcW w:w="1193" w:type="dxa"/>
            <w:tcBorders>
              <w:top w:val="nil"/>
              <w:left w:val="nil"/>
              <w:bottom w:val="single" w:sz="4" w:space="0" w:color="auto"/>
              <w:right w:val="single" w:sz="4" w:space="0" w:color="auto"/>
            </w:tcBorders>
            <w:shd w:val="clear" w:color="000000" w:fill="FFFFFF"/>
            <w:vAlign w:val="bottom"/>
          </w:tcPr>
          <w:p w14:paraId="11945543" w14:textId="37CB208D" w:rsidR="00543241" w:rsidRPr="000D1437" w:rsidRDefault="00543241" w:rsidP="00543241">
            <w:pPr>
              <w:jc w:val="right"/>
              <w:rPr>
                <w:rFonts w:ascii="Times New Roman" w:hAnsi="Times New Roman"/>
                <w:sz w:val="14"/>
                <w:szCs w:val="14"/>
              </w:rPr>
            </w:pPr>
            <w:r w:rsidRPr="000D1437">
              <w:rPr>
                <w:sz w:val="14"/>
                <w:szCs w:val="14"/>
              </w:rPr>
              <w:t>6 291,18</w:t>
            </w:r>
          </w:p>
        </w:tc>
      </w:tr>
      <w:tr w:rsidR="00543241" w:rsidRPr="00364545" w14:paraId="23A78DA5"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F6C55D0"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Multilateral operations</w:t>
            </w:r>
          </w:p>
        </w:tc>
        <w:tc>
          <w:tcPr>
            <w:tcW w:w="1192" w:type="dxa"/>
            <w:tcBorders>
              <w:top w:val="nil"/>
              <w:left w:val="nil"/>
              <w:bottom w:val="single" w:sz="4" w:space="0" w:color="auto"/>
              <w:right w:val="single" w:sz="4" w:space="0" w:color="auto"/>
            </w:tcBorders>
            <w:shd w:val="clear" w:color="000000" w:fill="FFFFFF"/>
            <w:noWrap/>
            <w:vAlign w:val="bottom"/>
            <w:hideMark/>
          </w:tcPr>
          <w:p w14:paraId="4A24D53F" w14:textId="06ACA0C3" w:rsidR="00543241" w:rsidRPr="000D1437" w:rsidRDefault="00543241" w:rsidP="00543241">
            <w:pPr>
              <w:jc w:val="right"/>
              <w:rPr>
                <w:rFonts w:ascii="Times New Roman" w:hAnsi="Times New Roman"/>
                <w:sz w:val="14"/>
                <w:szCs w:val="14"/>
              </w:rPr>
            </w:pPr>
            <w:r w:rsidRPr="000D1437">
              <w:rPr>
                <w:sz w:val="14"/>
                <w:szCs w:val="14"/>
              </w:rPr>
              <w:t>1,06</w:t>
            </w:r>
          </w:p>
        </w:tc>
        <w:tc>
          <w:tcPr>
            <w:tcW w:w="1193" w:type="dxa"/>
            <w:tcBorders>
              <w:top w:val="nil"/>
              <w:left w:val="nil"/>
              <w:bottom w:val="single" w:sz="4" w:space="0" w:color="auto"/>
              <w:right w:val="single" w:sz="4" w:space="0" w:color="auto"/>
            </w:tcBorders>
            <w:shd w:val="clear" w:color="000000" w:fill="FFFFFF"/>
            <w:noWrap/>
            <w:vAlign w:val="bottom"/>
            <w:hideMark/>
          </w:tcPr>
          <w:p w14:paraId="0215A3B6" w14:textId="279FFCA8" w:rsidR="00543241" w:rsidRPr="000D1437" w:rsidRDefault="00543241" w:rsidP="00543241">
            <w:pPr>
              <w:jc w:val="right"/>
              <w:rPr>
                <w:rFonts w:ascii="Times New Roman" w:hAnsi="Times New Roman"/>
                <w:sz w:val="14"/>
                <w:szCs w:val="14"/>
              </w:rPr>
            </w:pPr>
            <w:r w:rsidRPr="000D1437">
              <w:rPr>
                <w:sz w:val="14"/>
                <w:szCs w:val="14"/>
              </w:rPr>
              <w:t>1,63</w:t>
            </w:r>
          </w:p>
        </w:tc>
        <w:tc>
          <w:tcPr>
            <w:tcW w:w="1164" w:type="dxa"/>
            <w:tcBorders>
              <w:top w:val="nil"/>
              <w:left w:val="nil"/>
              <w:bottom w:val="single" w:sz="4" w:space="0" w:color="auto"/>
              <w:right w:val="single" w:sz="4" w:space="0" w:color="auto"/>
            </w:tcBorders>
            <w:shd w:val="clear" w:color="000000" w:fill="FFFFFF"/>
            <w:noWrap/>
            <w:vAlign w:val="bottom"/>
            <w:hideMark/>
          </w:tcPr>
          <w:p w14:paraId="13363E15" w14:textId="3FAC8C21" w:rsidR="00543241" w:rsidRPr="000D1437" w:rsidRDefault="00543241" w:rsidP="00543241">
            <w:pPr>
              <w:jc w:val="right"/>
              <w:rPr>
                <w:rFonts w:ascii="Times New Roman" w:hAnsi="Times New Roman"/>
                <w:sz w:val="14"/>
                <w:szCs w:val="14"/>
              </w:rPr>
            </w:pPr>
            <w:r w:rsidRPr="000D1437">
              <w:rPr>
                <w:sz w:val="14"/>
                <w:szCs w:val="14"/>
              </w:rPr>
              <w:t>1,67</w:t>
            </w:r>
          </w:p>
        </w:tc>
        <w:tc>
          <w:tcPr>
            <w:tcW w:w="1150" w:type="dxa"/>
            <w:tcBorders>
              <w:top w:val="nil"/>
              <w:left w:val="nil"/>
              <w:bottom w:val="single" w:sz="4" w:space="0" w:color="auto"/>
              <w:right w:val="single" w:sz="4" w:space="0" w:color="auto"/>
            </w:tcBorders>
            <w:shd w:val="clear" w:color="000000" w:fill="FFFFFF"/>
            <w:noWrap/>
            <w:vAlign w:val="bottom"/>
            <w:hideMark/>
          </w:tcPr>
          <w:p w14:paraId="22F8719E" w14:textId="59889252" w:rsidR="00543241" w:rsidRPr="000D1437" w:rsidRDefault="00543241" w:rsidP="00543241">
            <w:pPr>
              <w:jc w:val="right"/>
              <w:rPr>
                <w:rFonts w:ascii="Times New Roman" w:hAnsi="Times New Roman"/>
                <w:sz w:val="14"/>
                <w:szCs w:val="14"/>
              </w:rPr>
            </w:pPr>
            <w:r w:rsidRPr="000D1437">
              <w:rPr>
                <w:sz w:val="14"/>
                <w:szCs w:val="14"/>
              </w:rPr>
              <w:t>1,75</w:t>
            </w:r>
          </w:p>
        </w:tc>
        <w:tc>
          <w:tcPr>
            <w:tcW w:w="1193" w:type="dxa"/>
            <w:tcBorders>
              <w:top w:val="nil"/>
              <w:left w:val="nil"/>
              <w:bottom w:val="single" w:sz="4" w:space="0" w:color="auto"/>
              <w:right w:val="single" w:sz="4" w:space="0" w:color="auto"/>
            </w:tcBorders>
            <w:shd w:val="clear" w:color="000000" w:fill="FFFFFF"/>
            <w:noWrap/>
            <w:vAlign w:val="bottom"/>
            <w:hideMark/>
          </w:tcPr>
          <w:p w14:paraId="302B778B" w14:textId="676246CD" w:rsidR="00543241" w:rsidRPr="000D1437" w:rsidRDefault="00543241" w:rsidP="00543241">
            <w:pPr>
              <w:jc w:val="right"/>
              <w:rPr>
                <w:rFonts w:ascii="Times New Roman" w:hAnsi="Times New Roman"/>
                <w:sz w:val="14"/>
                <w:szCs w:val="14"/>
              </w:rPr>
            </w:pPr>
            <w:r w:rsidRPr="000D1437">
              <w:rPr>
                <w:sz w:val="14"/>
                <w:szCs w:val="14"/>
              </w:rPr>
              <w:t>1,60</w:t>
            </w:r>
          </w:p>
        </w:tc>
        <w:tc>
          <w:tcPr>
            <w:tcW w:w="1193" w:type="dxa"/>
            <w:tcBorders>
              <w:top w:val="nil"/>
              <w:left w:val="nil"/>
              <w:bottom w:val="single" w:sz="4" w:space="0" w:color="auto"/>
              <w:right w:val="single" w:sz="4" w:space="0" w:color="auto"/>
            </w:tcBorders>
            <w:shd w:val="clear" w:color="000000" w:fill="FFFFFF"/>
            <w:vAlign w:val="bottom"/>
          </w:tcPr>
          <w:p w14:paraId="0E95CB5E" w14:textId="40431FB5" w:rsidR="00543241" w:rsidRPr="000D1437" w:rsidRDefault="00543241" w:rsidP="00543241">
            <w:pPr>
              <w:jc w:val="right"/>
              <w:rPr>
                <w:rFonts w:ascii="Times New Roman" w:hAnsi="Times New Roman"/>
                <w:sz w:val="14"/>
                <w:szCs w:val="14"/>
              </w:rPr>
            </w:pPr>
            <w:r w:rsidRPr="000D1437">
              <w:rPr>
                <w:sz w:val="14"/>
                <w:szCs w:val="14"/>
              </w:rPr>
              <w:t>1,61</w:t>
            </w:r>
          </w:p>
        </w:tc>
      </w:tr>
      <w:tr w:rsidR="00543241" w:rsidRPr="00364545" w14:paraId="7C3FACDF"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DF1CB21" w14:textId="7FC54B49"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192" w:type="dxa"/>
            <w:tcBorders>
              <w:top w:val="nil"/>
              <w:left w:val="nil"/>
              <w:bottom w:val="single" w:sz="4" w:space="0" w:color="auto"/>
              <w:right w:val="single" w:sz="4" w:space="0" w:color="auto"/>
            </w:tcBorders>
            <w:shd w:val="clear" w:color="000000" w:fill="FFFFFF"/>
            <w:noWrap/>
            <w:vAlign w:val="bottom"/>
            <w:hideMark/>
          </w:tcPr>
          <w:p w14:paraId="700AA92C" w14:textId="6A24388B" w:rsidR="00543241" w:rsidRPr="000D1437" w:rsidRDefault="00543241" w:rsidP="00543241">
            <w:pPr>
              <w:jc w:val="right"/>
              <w:rPr>
                <w:rFonts w:ascii="Times New Roman" w:hAnsi="Times New Roman"/>
                <w:sz w:val="14"/>
                <w:szCs w:val="14"/>
              </w:rPr>
            </w:pPr>
            <w:r w:rsidRPr="000D1437">
              <w:rPr>
                <w:sz w:val="14"/>
                <w:szCs w:val="14"/>
              </w:rPr>
              <w:t>62094,14</w:t>
            </w:r>
          </w:p>
        </w:tc>
        <w:tc>
          <w:tcPr>
            <w:tcW w:w="1193" w:type="dxa"/>
            <w:tcBorders>
              <w:top w:val="nil"/>
              <w:left w:val="nil"/>
              <w:bottom w:val="single" w:sz="4" w:space="0" w:color="auto"/>
              <w:right w:val="single" w:sz="4" w:space="0" w:color="auto"/>
            </w:tcBorders>
            <w:shd w:val="clear" w:color="000000" w:fill="FFFFFF"/>
            <w:noWrap/>
            <w:vAlign w:val="bottom"/>
            <w:hideMark/>
          </w:tcPr>
          <w:p w14:paraId="6408E44F" w14:textId="0A9A2BE1" w:rsidR="00543241" w:rsidRPr="000D1437" w:rsidRDefault="00543241" w:rsidP="00543241">
            <w:pPr>
              <w:jc w:val="right"/>
              <w:rPr>
                <w:rFonts w:ascii="Times New Roman" w:hAnsi="Times New Roman"/>
                <w:sz w:val="14"/>
                <w:szCs w:val="14"/>
              </w:rPr>
            </w:pPr>
            <w:r w:rsidRPr="000D1437">
              <w:rPr>
                <w:sz w:val="14"/>
                <w:szCs w:val="14"/>
              </w:rPr>
              <w:t>56821,59</w:t>
            </w:r>
          </w:p>
        </w:tc>
        <w:tc>
          <w:tcPr>
            <w:tcW w:w="1164" w:type="dxa"/>
            <w:tcBorders>
              <w:top w:val="nil"/>
              <w:left w:val="nil"/>
              <w:bottom w:val="single" w:sz="4" w:space="0" w:color="auto"/>
              <w:right w:val="single" w:sz="4" w:space="0" w:color="auto"/>
            </w:tcBorders>
            <w:shd w:val="clear" w:color="000000" w:fill="FFFFFF"/>
            <w:noWrap/>
            <w:vAlign w:val="bottom"/>
            <w:hideMark/>
          </w:tcPr>
          <w:p w14:paraId="442B971F" w14:textId="5792021F" w:rsidR="00543241" w:rsidRPr="000D1437" w:rsidRDefault="00543241" w:rsidP="00543241">
            <w:pPr>
              <w:jc w:val="right"/>
              <w:rPr>
                <w:rFonts w:ascii="Times New Roman" w:hAnsi="Times New Roman"/>
                <w:sz w:val="14"/>
                <w:szCs w:val="14"/>
              </w:rPr>
            </w:pPr>
            <w:r w:rsidRPr="000D1437">
              <w:rPr>
                <w:sz w:val="14"/>
                <w:szCs w:val="14"/>
              </w:rPr>
              <w:t>60167,34</w:t>
            </w:r>
          </w:p>
        </w:tc>
        <w:tc>
          <w:tcPr>
            <w:tcW w:w="1150" w:type="dxa"/>
            <w:tcBorders>
              <w:top w:val="nil"/>
              <w:left w:val="nil"/>
              <w:bottom w:val="single" w:sz="4" w:space="0" w:color="auto"/>
              <w:right w:val="single" w:sz="4" w:space="0" w:color="auto"/>
            </w:tcBorders>
            <w:shd w:val="clear" w:color="000000" w:fill="FFFFFF"/>
            <w:noWrap/>
            <w:vAlign w:val="bottom"/>
            <w:hideMark/>
          </w:tcPr>
          <w:p w14:paraId="575153BB" w14:textId="17683F9F" w:rsidR="00543241" w:rsidRPr="000D1437" w:rsidRDefault="00543241" w:rsidP="00543241">
            <w:pPr>
              <w:jc w:val="right"/>
              <w:rPr>
                <w:rFonts w:ascii="Times New Roman" w:hAnsi="Times New Roman"/>
                <w:sz w:val="14"/>
                <w:szCs w:val="14"/>
              </w:rPr>
            </w:pPr>
            <w:r w:rsidRPr="000D1437">
              <w:rPr>
                <w:sz w:val="14"/>
                <w:szCs w:val="14"/>
              </w:rPr>
              <w:t>63 592,12</w:t>
            </w:r>
          </w:p>
        </w:tc>
        <w:tc>
          <w:tcPr>
            <w:tcW w:w="1193" w:type="dxa"/>
            <w:tcBorders>
              <w:top w:val="nil"/>
              <w:left w:val="nil"/>
              <w:bottom w:val="single" w:sz="4" w:space="0" w:color="auto"/>
              <w:right w:val="single" w:sz="4" w:space="0" w:color="auto"/>
            </w:tcBorders>
            <w:shd w:val="clear" w:color="000000" w:fill="FFFFFF"/>
            <w:noWrap/>
            <w:vAlign w:val="bottom"/>
            <w:hideMark/>
          </w:tcPr>
          <w:p w14:paraId="6606141C" w14:textId="155D80DE" w:rsidR="00543241" w:rsidRPr="000D1437" w:rsidRDefault="00543241" w:rsidP="00543241">
            <w:pPr>
              <w:jc w:val="right"/>
              <w:rPr>
                <w:rFonts w:ascii="Times New Roman" w:hAnsi="Times New Roman"/>
                <w:sz w:val="14"/>
                <w:szCs w:val="14"/>
              </w:rPr>
            </w:pPr>
            <w:r w:rsidRPr="000D1437">
              <w:rPr>
                <w:sz w:val="14"/>
                <w:szCs w:val="14"/>
              </w:rPr>
              <w:t>63 050,46</w:t>
            </w:r>
          </w:p>
        </w:tc>
        <w:tc>
          <w:tcPr>
            <w:tcW w:w="1193" w:type="dxa"/>
            <w:tcBorders>
              <w:top w:val="nil"/>
              <w:left w:val="nil"/>
              <w:bottom w:val="single" w:sz="4" w:space="0" w:color="auto"/>
              <w:right w:val="single" w:sz="4" w:space="0" w:color="auto"/>
            </w:tcBorders>
            <w:shd w:val="clear" w:color="000000" w:fill="FFFFFF"/>
            <w:vAlign w:val="bottom"/>
          </w:tcPr>
          <w:p w14:paraId="123E5496" w14:textId="3F2590C7" w:rsidR="00543241" w:rsidRPr="000D1437" w:rsidRDefault="00543241" w:rsidP="00543241">
            <w:pPr>
              <w:jc w:val="right"/>
              <w:rPr>
                <w:rFonts w:ascii="Times New Roman" w:hAnsi="Times New Roman"/>
                <w:sz w:val="14"/>
                <w:szCs w:val="14"/>
              </w:rPr>
            </w:pPr>
            <w:r w:rsidRPr="000D1437">
              <w:rPr>
                <w:sz w:val="14"/>
                <w:szCs w:val="14"/>
              </w:rPr>
              <w:t>63 154,11</w:t>
            </w:r>
          </w:p>
        </w:tc>
      </w:tr>
      <w:tr w:rsidR="00543241" w:rsidRPr="00364545" w14:paraId="3843B7A8"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1D7D190" w14:textId="7000DB1B"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192" w:type="dxa"/>
            <w:tcBorders>
              <w:top w:val="nil"/>
              <w:left w:val="nil"/>
              <w:bottom w:val="single" w:sz="4" w:space="0" w:color="auto"/>
              <w:right w:val="single" w:sz="4" w:space="0" w:color="auto"/>
            </w:tcBorders>
            <w:shd w:val="clear" w:color="000000" w:fill="FFFFFF"/>
            <w:noWrap/>
            <w:vAlign w:val="bottom"/>
            <w:hideMark/>
          </w:tcPr>
          <w:p w14:paraId="3F8F402D" w14:textId="1F2FEAC0"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759DE765" w14:textId="0C4D9408" w:rsidR="00543241" w:rsidRPr="000D1437" w:rsidRDefault="00543241" w:rsidP="00543241">
            <w:pPr>
              <w:jc w:val="right"/>
              <w:rPr>
                <w:rFonts w:ascii="Times New Roman" w:hAnsi="Times New Roman"/>
                <w:sz w:val="14"/>
                <w:szCs w:val="14"/>
              </w:rPr>
            </w:pPr>
            <w:r w:rsidRPr="000D1437">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45C300DB" w14:textId="1734A6F0" w:rsidR="00543241" w:rsidRPr="000D1437" w:rsidRDefault="00543241" w:rsidP="00543241">
            <w:pPr>
              <w:jc w:val="right"/>
              <w:rPr>
                <w:rFonts w:ascii="Times New Roman" w:hAnsi="Times New Roman"/>
                <w:sz w:val="14"/>
                <w:szCs w:val="14"/>
              </w:rPr>
            </w:pPr>
            <w:r w:rsidRPr="000D1437">
              <w:rPr>
                <w:sz w:val="14"/>
                <w:szCs w:val="14"/>
              </w:rPr>
              <w:t>NO,NA</w:t>
            </w:r>
          </w:p>
        </w:tc>
        <w:tc>
          <w:tcPr>
            <w:tcW w:w="1150" w:type="dxa"/>
            <w:tcBorders>
              <w:top w:val="nil"/>
              <w:left w:val="nil"/>
              <w:bottom w:val="single" w:sz="4" w:space="0" w:color="auto"/>
              <w:right w:val="single" w:sz="4" w:space="0" w:color="auto"/>
            </w:tcBorders>
            <w:shd w:val="clear" w:color="000000" w:fill="FFFFFF"/>
            <w:noWrap/>
            <w:vAlign w:val="bottom"/>
            <w:hideMark/>
          </w:tcPr>
          <w:p w14:paraId="6504B270" w14:textId="59F50939"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003E6D93" w14:textId="286FA6DA" w:rsidR="00543241" w:rsidRPr="000D1437" w:rsidRDefault="00543241" w:rsidP="00543241">
            <w:pPr>
              <w:jc w:val="right"/>
              <w:rPr>
                <w:rFonts w:ascii="Times New Roman" w:hAnsi="Times New Roman"/>
                <w:sz w:val="14"/>
                <w:szCs w:val="14"/>
              </w:rPr>
            </w:pPr>
            <w:r w:rsidRPr="000D1437">
              <w:rPr>
                <w:sz w:val="14"/>
                <w:szCs w:val="14"/>
              </w:rPr>
              <w:t>NO,NA</w:t>
            </w:r>
          </w:p>
        </w:tc>
        <w:tc>
          <w:tcPr>
            <w:tcW w:w="1193" w:type="dxa"/>
            <w:tcBorders>
              <w:top w:val="nil"/>
              <w:left w:val="nil"/>
              <w:bottom w:val="single" w:sz="4" w:space="0" w:color="auto"/>
              <w:right w:val="single" w:sz="4" w:space="0" w:color="auto"/>
            </w:tcBorders>
            <w:shd w:val="clear" w:color="000000" w:fill="FFFFFF"/>
            <w:vAlign w:val="bottom"/>
          </w:tcPr>
          <w:p w14:paraId="75FE4FAE" w14:textId="5E60B62F" w:rsidR="00543241" w:rsidRPr="000D1437" w:rsidRDefault="00543241" w:rsidP="00543241">
            <w:pPr>
              <w:jc w:val="right"/>
              <w:rPr>
                <w:rFonts w:ascii="Times New Roman" w:hAnsi="Times New Roman"/>
                <w:sz w:val="14"/>
                <w:szCs w:val="14"/>
              </w:rPr>
            </w:pPr>
            <w:r w:rsidRPr="000D1437">
              <w:rPr>
                <w:sz w:val="14"/>
                <w:szCs w:val="14"/>
              </w:rPr>
              <w:t>NO,NA</w:t>
            </w:r>
          </w:p>
        </w:tc>
      </w:tr>
      <w:tr w:rsidR="00543241" w:rsidRPr="00364545" w14:paraId="5D32D827"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8E96A0C"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192" w:type="dxa"/>
            <w:tcBorders>
              <w:top w:val="nil"/>
              <w:left w:val="nil"/>
              <w:bottom w:val="single" w:sz="4" w:space="0" w:color="auto"/>
              <w:right w:val="single" w:sz="4" w:space="0" w:color="auto"/>
            </w:tcBorders>
            <w:shd w:val="clear" w:color="000000" w:fill="FFFFFF"/>
            <w:noWrap/>
            <w:vAlign w:val="bottom"/>
            <w:hideMark/>
          </w:tcPr>
          <w:p w14:paraId="4D9602CF" w14:textId="3F3A23BB" w:rsidR="00543241" w:rsidRPr="000D1437" w:rsidRDefault="00543241" w:rsidP="00543241">
            <w:pPr>
              <w:jc w:val="right"/>
              <w:rPr>
                <w:rFonts w:ascii="Times New Roman" w:hAnsi="Times New Roman"/>
                <w:sz w:val="14"/>
                <w:szCs w:val="14"/>
              </w:rPr>
            </w:pPr>
            <w:r w:rsidRPr="000D1437">
              <w:rPr>
                <w:sz w:val="14"/>
                <w:szCs w:val="14"/>
              </w:rPr>
              <w:t>NE</w:t>
            </w:r>
          </w:p>
        </w:tc>
        <w:tc>
          <w:tcPr>
            <w:tcW w:w="1193" w:type="dxa"/>
            <w:tcBorders>
              <w:top w:val="nil"/>
              <w:left w:val="nil"/>
              <w:bottom w:val="single" w:sz="4" w:space="0" w:color="auto"/>
              <w:right w:val="single" w:sz="4" w:space="0" w:color="auto"/>
            </w:tcBorders>
            <w:shd w:val="clear" w:color="000000" w:fill="FFFFFF"/>
            <w:noWrap/>
            <w:vAlign w:val="bottom"/>
            <w:hideMark/>
          </w:tcPr>
          <w:p w14:paraId="0EF69EBC" w14:textId="3479A409" w:rsidR="00543241" w:rsidRPr="000D1437" w:rsidRDefault="00543241" w:rsidP="00543241">
            <w:pPr>
              <w:jc w:val="right"/>
              <w:rPr>
                <w:rFonts w:ascii="Times New Roman" w:hAnsi="Times New Roman"/>
                <w:sz w:val="14"/>
                <w:szCs w:val="14"/>
              </w:rPr>
            </w:pPr>
            <w:r w:rsidRPr="000D1437">
              <w:rPr>
                <w:sz w:val="14"/>
                <w:szCs w:val="14"/>
              </w:rPr>
              <w:t>NE</w:t>
            </w:r>
          </w:p>
        </w:tc>
        <w:tc>
          <w:tcPr>
            <w:tcW w:w="1164" w:type="dxa"/>
            <w:tcBorders>
              <w:top w:val="nil"/>
              <w:left w:val="nil"/>
              <w:bottom w:val="single" w:sz="4" w:space="0" w:color="auto"/>
              <w:right w:val="single" w:sz="4" w:space="0" w:color="auto"/>
            </w:tcBorders>
            <w:shd w:val="clear" w:color="000000" w:fill="FFFFFF"/>
            <w:noWrap/>
            <w:vAlign w:val="bottom"/>
            <w:hideMark/>
          </w:tcPr>
          <w:p w14:paraId="26345C7A" w14:textId="3996C4B6" w:rsidR="00543241" w:rsidRPr="000D1437" w:rsidRDefault="00543241" w:rsidP="00543241">
            <w:pPr>
              <w:jc w:val="right"/>
              <w:rPr>
                <w:rFonts w:ascii="Times New Roman" w:hAnsi="Times New Roman"/>
                <w:sz w:val="14"/>
                <w:szCs w:val="14"/>
              </w:rPr>
            </w:pPr>
            <w:r w:rsidRPr="000D1437">
              <w:rPr>
                <w:sz w:val="14"/>
                <w:szCs w:val="14"/>
              </w:rPr>
              <w:t>NE</w:t>
            </w:r>
          </w:p>
        </w:tc>
        <w:tc>
          <w:tcPr>
            <w:tcW w:w="1150" w:type="dxa"/>
            <w:tcBorders>
              <w:top w:val="nil"/>
              <w:left w:val="nil"/>
              <w:bottom w:val="single" w:sz="4" w:space="0" w:color="auto"/>
              <w:right w:val="single" w:sz="4" w:space="0" w:color="auto"/>
            </w:tcBorders>
            <w:shd w:val="clear" w:color="000000" w:fill="FFFFFF"/>
            <w:noWrap/>
            <w:vAlign w:val="bottom"/>
            <w:hideMark/>
          </w:tcPr>
          <w:p w14:paraId="41CC876A" w14:textId="680552FB" w:rsidR="00543241" w:rsidRPr="000D1437" w:rsidRDefault="00543241" w:rsidP="00543241">
            <w:pPr>
              <w:jc w:val="right"/>
              <w:rPr>
                <w:rFonts w:ascii="Times New Roman" w:hAnsi="Times New Roman"/>
                <w:sz w:val="14"/>
                <w:szCs w:val="14"/>
              </w:rPr>
            </w:pPr>
            <w:r w:rsidRPr="000D1437">
              <w:rPr>
                <w:sz w:val="14"/>
                <w:szCs w:val="14"/>
              </w:rPr>
              <w:t>NE</w:t>
            </w:r>
          </w:p>
        </w:tc>
        <w:tc>
          <w:tcPr>
            <w:tcW w:w="1193" w:type="dxa"/>
            <w:tcBorders>
              <w:top w:val="nil"/>
              <w:left w:val="nil"/>
              <w:bottom w:val="single" w:sz="4" w:space="0" w:color="auto"/>
              <w:right w:val="single" w:sz="4" w:space="0" w:color="auto"/>
            </w:tcBorders>
            <w:shd w:val="clear" w:color="000000" w:fill="FFFFFF"/>
            <w:noWrap/>
            <w:vAlign w:val="bottom"/>
            <w:hideMark/>
          </w:tcPr>
          <w:p w14:paraId="5E73D834" w14:textId="2F4D515C" w:rsidR="00543241" w:rsidRPr="000D1437" w:rsidRDefault="00543241" w:rsidP="00543241">
            <w:pPr>
              <w:jc w:val="right"/>
              <w:rPr>
                <w:rFonts w:ascii="Times New Roman" w:hAnsi="Times New Roman"/>
                <w:sz w:val="14"/>
                <w:szCs w:val="14"/>
              </w:rPr>
            </w:pPr>
            <w:r w:rsidRPr="000D1437">
              <w:rPr>
                <w:sz w:val="14"/>
                <w:szCs w:val="14"/>
              </w:rPr>
              <w:t>NE</w:t>
            </w:r>
          </w:p>
        </w:tc>
        <w:tc>
          <w:tcPr>
            <w:tcW w:w="1193" w:type="dxa"/>
            <w:tcBorders>
              <w:top w:val="nil"/>
              <w:left w:val="nil"/>
              <w:bottom w:val="single" w:sz="4" w:space="0" w:color="auto"/>
              <w:right w:val="single" w:sz="4" w:space="0" w:color="auto"/>
            </w:tcBorders>
            <w:shd w:val="clear" w:color="000000" w:fill="FFFFFF"/>
            <w:vAlign w:val="bottom"/>
          </w:tcPr>
          <w:p w14:paraId="1D3A35E8" w14:textId="4436F8A9" w:rsidR="00543241" w:rsidRPr="000D1437" w:rsidRDefault="00543241" w:rsidP="00543241">
            <w:pPr>
              <w:jc w:val="right"/>
              <w:rPr>
                <w:rFonts w:ascii="Times New Roman" w:hAnsi="Times New Roman"/>
                <w:sz w:val="14"/>
                <w:szCs w:val="14"/>
              </w:rPr>
            </w:pPr>
            <w:r w:rsidRPr="000D1437">
              <w:rPr>
                <w:sz w:val="14"/>
                <w:szCs w:val="14"/>
              </w:rPr>
              <w:t>NE</w:t>
            </w:r>
          </w:p>
        </w:tc>
      </w:tr>
      <w:tr w:rsidR="00543241" w:rsidRPr="00364545" w14:paraId="63350A01"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29B25F7" w14:textId="2EC23004"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192" w:type="dxa"/>
            <w:tcBorders>
              <w:top w:val="nil"/>
              <w:left w:val="nil"/>
              <w:bottom w:val="single" w:sz="4" w:space="0" w:color="auto"/>
              <w:right w:val="single" w:sz="4" w:space="0" w:color="auto"/>
            </w:tcBorders>
            <w:shd w:val="clear" w:color="000000" w:fill="FFFFFF"/>
            <w:noWrap/>
            <w:vAlign w:val="bottom"/>
            <w:hideMark/>
          </w:tcPr>
          <w:p w14:paraId="150C2763" w14:textId="0BEE34C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0E4FAC5B" w14:textId="4C6A7CE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2193C9B2" w14:textId="2C47350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3DAD72B4" w14:textId="42CA892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42163058" w14:textId="6EFCE38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68496859" w14:textId="76B09E2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45699BFB"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4CDA2E1" w14:textId="6E450090"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192" w:type="dxa"/>
            <w:tcBorders>
              <w:top w:val="nil"/>
              <w:left w:val="nil"/>
              <w:bottom w:val="single" w:sz="4" w:space="0" w:color="auto"/>
              <w:right w:val="single" w:sz="4" w:space="0" w:color="auto"/>
            </w:tcBorders>
            <w:shd w:val="clear" w:color="000000" w:fill="FFFFFF"/>
            <w:noWrap/>
            <w:vAlign w:val="bottom"/>
            <w:hideMark/>
          </w:tcPr>
          <w:p w14:paraId="5FEE5566" w14:textId="70AF6946" w:rsidR="00543241" w:rsidRPr="000D1437" w:rsidRDefault="00543241" w:rsidP="00543241">
            <w:pPr>
              <w:jc w:val="right"/>
              <w:rPr>
                <w:rFonts w:ascii="Times New Roman" w:hAnsi="Times New Roman"/>
                <w:sz w:val="14"/>
                <w:szCs w:val="14"/>
              </w:rPr>
            </w:pPr>
            <w:r w:rsidRPr="000D1437">
              <w:rPr>
                <w:sz w:val="14"/>
                <w:szCs w:val="14"/>
              </w:rPr>
              <w:t>NO,IE,NA</w:t>
            </w:r>
          </w:p>
        </w:tc>
        <w:tc>
          <w:tcPr>
            <w:tcW w:w="1193" w:type="dxa"/>
            <w:tcBorders>
              <w:top w:val="nil"/>
              <w:left w:val="nil"/>
              <w:bottom w:val="single" w:sz="4" w:space="0" w:color="auto"/>
              <w:right w:val="single" w:sz="4" w:space="0" w:color="auto"/>
            </w:tcBorders>
            <w:shd w:val="clear" w:color="000000" w:fill="FFFFFF"/>
            <w:noWrap/>
            <w:vAlign w:val="bottom"/>
            <w:hideMark/>
          </w:tcPr>
          <w:p w14:paraId="554F04B8" w14:textId="14668410" w:rsidR="00543241" w:rsidRPr="000D1437" w:rsidRDefault="00543241" w:rsidP="00543241">
            <w:pPr>
              <w:jc w:val="right"/>
              <w:rPr>
                <w:rFonts w:ascii="Times New Roman" w:hAnsi="Times New Roman"/>
                <w:sz w:val="14"/>
                <w:szCs w:val="14"/>
              </w:rPr>
            </w:pPr>
            <w:r w:rsidRPr="000D1437">
              <w:rPr>
                <w:sz w:val="14"/>
                <w:szCs w:val="14"/>
              </w:rPr>
              <w:t>NO,IE,NA</w:t>
            </w:r>
          </w:p>
        </w:tc>
        <w:tc>
          <w:tcPr>
            <w:tcW w:w="1164" w:type="dxa"/>
            <w:tcBorders>
              <w:top w:val="nil"/>
              <w:left w:val="nil"/>
              <w:bottom w:val="single" w:sz="4" w:space="0" w:color="auto"/>
              <w:right w:val="single" w:sz="4" w:space="0" w:color="auto"/>
            </w:tcBorders>
            <w:shd w:val="clear" w:color="000000" w:fill="FFFFFF"/>
            <w:noWrap/>
            <w:vAlign w:val="bottom"/>
            <w:hideMark/>
          </w:tcPr>
          <w:p w14:paraId="5374D871" w14:textId="3BE5275D" w:rsidR="00543241" w:rsidRPr="000D1437" w:rsidRDefault="00543241" w:rsidP="00543241">
            <w:pPr>
              <w:jc w:val="right"/>
              <w:rPr>
                <w:rFonts w:ascii="Times New Roman" w:hAnsi="Times New Roman"/>
                <w:sz w:val="14"/>
                <w:szCs w:val="14"/>
              </w:rPr>
            </w:pPr>
            <w:r w:rsidRPr="000D1437">
              <w:rPr>
                <w:sz w:val="14"/>
                <w:szCs w:val="14"/>
              </w:rPr>
              <w:t>NO,IE,NA</w:t>
            </w:r>
          </w:p>
        </w:tc>
        <w:tc>
          <w:tcPr>
            <w:tcW w:w="1150" w:type="dxa"/>
            <w:tcBorders>
              <w:top w:val="nil"/>
              <w:left w:val="nil"/>
              <w:bottom w:val="single" w:sz="4" w:space="0" w:color="auto"/>
              <w:right w:val="single" w:sz="4" w:space="0" w:color="auto"/>
            </w:tcBorders>
            <w:shd w:val="clear" w:color="000000" w:fill="FFFFFF"/>
            <w:noWrap/>
            <w:vAlign w:val="bottom"/>
            <w:hideMark/>
          </w:tcPr>
          <w:p w14:paraId="44A03979" w14:textId="6123F48C" w:rsidR="00543241" w:rsidRPr="000D1437" w:rsidRDefault="00543241" w:rsidP="00543241">
            <w:pPr>
              <w:jc w:val="right"/>
              <w:rPr>
                <w:rFonts w:ascii="Times New Roman" w:hAnsi="Times New Roman"/>
                <w:sz w:val="14"/>
                <w:szCs w:val="14"/>
              </w:rPr>
            </w:pPr>
            <w:r w:rsidRPr="000D1437">
              <w:rPr>
                <w:sz w:val="14"/>
                <w:szCs w:val="14"/>
              </w:rPr>
              <w:t>NO,IE,NA</w:t>
            </w:r>
          </w:p>
        </w:tc>
        <w:tc>
          <w:tcPr>
            <w:tcW w:w="1193" w:type="dxa"/>
            <w:tcBorders>
              <w:top w:val="nil"/>
              <w:left w:val="nil"/>
              <w:bottom w:val="single" w:sz="4" w:space="0" w:color="auto"/>
              <w:right w:val="single" w:sz="4" w:space="0" w:color="auto"/>
            </w:tcBorders>
            <w:shd w:val="clear" w:color="000000" w:fill="FFFFFF"/>
            <w:noWrap/>
            <w:vAlign w:val="bottom"/>
            <w:hideMark/>
          </w:tcPr>
          <w:p w14:paraId="51C9A94D" w14:textId="3B698FED" w:rsidR="00543241" w:rsidRPr="000D1437" w:rsidRDefault="00543241" w:rsidP="00543241">
            <w:pPr>
              <w:jc w:val="right"/>
              <w:rPr>
                <w:rFonts w:ascii="Times New Roman" w:hAnsi="Times New Roman"/>
                <w:sz w:val="14"/>
                <w:szCs w:val="14"/>
              </w:rPr>
            </w:pPr>
            <w:r w:rsidRPr="000D1437">
              <w:rPr>
                <w:sz w:val="14"/>
                <w:szCs w:val="14"/>
              </w:rPr>
              <w:t>NO,IE,NA</w:t>
            </w:r>
          </w:p>
        </w:tc>
        <w:tc>
          <w:tcPr>
            <w:tcW w:w="1193" w:type="dxa"/>
            <w:tcBorders>
              <w:top w:val="nil"/>
              <w:left w:val="nil"/>
              <w:bottom w:val="single" w:sz="4" w:space="0" w:color="auto"/>
              <w:right w:val="single" w:sz="4" w:space="0" w:color="auto"/>
            </w:tcBorders>
            <w:shd w:val="clear" w:color="000000" w:fill="FFFFFF"/>
            <w:vAlign w:val="bottom"/>
          </w:tcPr>
          <w:p w14:paraId="4070E0B7" w14:textId="5BC3549B" w:rsidR="00543241" w:rsidRPr="000D1437" w:rsidRDefault="00543241" w:rsidP="00543241">
            <w:pPr>
              <w:jc w:val="right"/>
              <w:rPr>
                <w:rFonts w:ascii="Times New Roman" w:hAnsi="Times New Roman"/>
                <w:sz w:val="14"/>
                <w:szCs w:val="14"/>
              </w:rPr>
            </w:pPr>
            <w:r w:rsidRPr="000D1437">
              <w:rPr>
                <w:sz w:val="14"/>
                <w:szCs w:val="14"/>
              </w:rPr>
              <w:t>NO,IE,NA</w:t>
            </w:r>
          </w:p>
        </w:tc>
      </w:tr>
      <w:tr w:rsidR="00543241" w:rsidRPr="00364545" w14:paraId="20A5F0CE"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F91BB4E" w14:textId="1BAD7688"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192" w:type="dxa"/>
            <w:tcBorders>
              <w:top w:val="nil"/>
              <w:left w:val="nil"/>
              <w:bottom w:val="single" w:sz="4" w:space="0" w:color="auto"/>
              <w:right w:val="single" w:sz="4" w:space="0" w:color="auto"/>
            </w:tcBorders>
            <w:shd w:val="clear" w:color="000000" w:fill="CCFFFF"/>
            <w:noWrap/>
            <w:vAlign w:val="bottom"/>
            <w:hideMark/>
          </w:tcPr>
          <w:p w14:paraId="14CB9859" w14:textId="6F91B285" w:rsidR="00543241" w:rsidRPr="000D1437" w:rsidRDefault="00543241" w:rsidP="00543241">
            <w:pPr>
              <w:jc w:val="right"/>
              <w:rPr>
                <w:rFonts w:ascii="Times New Roman" w:hAnsi="Times New Roman"/>
                <w:sz w:val="14"/>
                <w:szCs w:val="14"/>
              </w:rPr>
            </w:pPr>
            <w:r w:rsidRPr="000D1437">
              <w:rPr>
                <w:sz w:val="14"/>
                <w:szCs w:val="14"/>
              </w:rPr>
              <w:t>368559,43</w:t>
            </w:r>
          </w:p>
        </w:tc>
        <w:tc>
          <w:tcPr>
            <w:tcW w:w="1193" w:type="dxa"/>
            <w:tcBorders>
              <w:top w:val="nil"/>
              <w:left w:val="nil"/>
              <w:bottom w:val="single" w:sz="4" w:space="0" w:color="auto"/>
              <w:right w:val="single" w:sz="4" w:space="0" w:color="auto"/>
            </w:tcBorders>
            <w:shd w:val="clear" w:color="000000" w:fill="CCFFFF"/>
            <w:noWrap/>
            <w:vAlign w:val="bottom"/>
            <w:hideMark/>
          </w:tcPr>
          <w:p w14:paraId="61A04F4B" w14:textId="437A8DF4" w:rsidR="00543241" w:rsidRPr="000D1437" w:rsidRDefault="00543241" w:rsidP="00543241">
            <w:pPr>
              <w:jc w:val="right"/>
              <w:rPr>
                <w:rFonts w:ascii="Times New Roman" w:hAnsi="Times New Roman"/>
                <w:sz w:val="14"/>
                <w:szCs w:val="14"/>
              </w:rPr>
            </w:pPr>
            <w:r w:rsidRPr="000D1437">
              <w:rPr>
                <w:sz w:val="14"/>
                <w:szCs w:val="14"/>
              </w:rPr>
              <w:t>337005,91</w:t>
            </w:r>
          </w:p>
        </w:tc>
        <w:tc>
          <w:tcPr>
            <w:tcW w:w="1164" w:type="dxa"/>
            <w:tcBorders>
              <w:top w:val="nil"/>
              <w:left w:val="nil"/>
              <w:bottom w:val="single" w:sz="4" w:space="0" w:color="auto"/>
              <w:right w:val="single" w:sz="4" w:space="0" w:color="auto"/>
            </w:tcBorders>
            <w:shd w:val="clear" w:color="000000" w:fill="CCFFFF"/>
            <w:noWrap/>
            <w:vAlign w:val="bottom"/>
            <w:hideMark/>
          </w:tcPr>
          <w:p w14:paraId="5E0EDC97" w14:textId="4FA4AA5F" w:rsidR="00543241" w:rsidRPr="000D1437" w:rsidRDefault="00543241" w:rsidP="00543241">
            <w:pPr>
              <w:jc w:val="right"/>
              <w:rPr>
                <w:rFonts w:ascii="Times New Roman" w:hAnsi="Times New Roman"/>
                <w:sz w:val="14"/>
                <w:szCs w:val="14"/>
              </w:rPr>
            </w:pPr>
            <w:r w:rsidRPr="000D1437">
              <w:rPr>
                <w:sz w:val="14"/>
                <w:szCs w:val="14"/>
              </w:rPr>
              <w:t>341630,94</w:t>
            </w:r>
          </w:p>
        </w:tc>
        <w:tc>
          <w:tcPr>
            <w:tcW w:w="1150" w:type="dxa"/>
            <w:tcBorders>
              <w:top w:val="nil"/>
              <w:left w:val="nil"/>
              <w:bottom w:val="single" w:sz="4" w:space="0" w:color="auto"/>
              <w:right w:val="single" w:sz="4" w:space="0" w:color="auto"/>
            </w:tcBorders>
            <w:shd w:val="clear" w:color="000000" w:fill="CCFFFF"/>
            <w:noWrap/>
            <w:vAlign w:val="bottom"/>
            <w:hideMark/>
          </w:tcPr>
          <w:p w14:paraId="7B317FB8" w14:textId="7B28EB74" w:rsidR="00543241" w:rsidRPr="000D1437" w:rsidRDefault="00543241" w:rsidP="00543241">
            <w:pPr>
              <w:jc w:val="right"/>
              <w:rPr>
                <w:rFonts w:ascii="Times New Roman" w:hAnsi="Times New Roman"/>
                <w:sz w:val="14"/>
                <w:szCs w:val="14"/>
              </w:rPr>
            </w:pPr>
            <w:r w:rsidRPr="000D1437">
              <w:rPr>
                <w:sz w:val="14"/>
                <w:szCs w:val="14"/>
              </w:rPr>
              <w:t>344723,13</w:t>
            </w:r>
          </w:p>
        </w:tc>
        <w:tc>
          <w:tcPr>
            <w:tcW w:w="1193" w:type="dxa"/>
            <w:tcBorders>
              <w:top w:val="nil"/>
              <w:left w:val="nil"/>
              <w:bottom w:val="single" w:sz="4" w:space="0" w:color="auto"/>
              <w:right w:val="single" w:sz="4" w:space="0" w:color="auto"/>
            </w:tcBorders>
            <w:shd w:val="clear" w:color="000000" w:fill="CCFFFF"/>
            <w:noWrap/>
            <w:vAlign w:val="bottom"/>
            <w:hideMark/>
          </w:tcPr>
          <w:p w14:paraId="34FDA124" w14:textId="6BDDC563" w:rsidR="00543241" w:rsidRPr="000D1437" w:rsidRDefault="00543241" w:rsidP="00543241">
            <w:pPr>
              <w:jc w:val="right"/>
              <w:rPr>
                <w:rFonts w:ascii="Times New Roman" w:hAnsi="Times New Roman"/>
                <w:sz w:val="14"/>
                <w:szCs w:val="14"/>
              </w:rPr>
            </w:pPr>
            <w:r w:rsidRPr="000D1437">
              <w:rPr>
                <w:sz w:val="14"/>
                <w:szCs w:val="14"/>
              </w:rPr>
              <w:t>347604,96</w:t>
            </w:r>
          </w:p>
        </w:tc>
        <w:tc>
          <w:tcPr>
            <w:tcW w:w="1193" w:type="dxa"/>
            <w:tcBorders>
              <w:top w:val="nil"/>
              <w:left w:val="nil"/>
              <w:bottom w:val="single" w:sz="4" w:space="0" w:color="auto"/>
              <w:right w:val="single" w:sz="4" w:space="0" w:color="auto"/>
            </w:tcBorders>
            <w:shd w:val="clear" w:color="000000" w:fill="CCFFFF"/>
            <w:vAlign w:val="bottom"/>
          </w:tcPr>
          <w:p w14:paraId="011BC01E" w14:textId="35EA57BC" w:rsidR="00543241" w:rsidRPr="000D1437" w:rsidRDefault="00543241" w:rsidP="00543241">
            <w:pPr>
              <w:jc w:val="right"/>
              <w:rPr>
                <w:rFonts w:ascii="Times New Roman" w:hAnsi="Times New Roman"/>
                <w:sz w:val="14"/>
                <w:szCs w:val="14"/>
              </w:rPr>
            </w:pPr>
            <w:r w:rsidRPr="000D1437">
              <w:rPr>
                <w:sz w:val="14"/>
                <w:szCs w:val="14"/>
              </w:rPr>
              <w:t>332613,39</w:t>
            </w:r>
          </w:p>
        </w:tc>
      </w:tr>
      <w:tr w:rsidR="00543241" w:rsidRPr="00364545" w14:paraId="2B9A20F8"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913C144" w14:textId="390C8523"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192" w:type="dxa"/>
            <w:tcBorders>
              <w:top w:val="nil"/>
              <w:left w:val="nil"/>
              <w:bottom w:val="single" w:sz="4" w:space="0" w:color="auto"/>
              <w:right w:val="single" w:sz="4" w:space="0" w:color="auto"/>
            </w:tcBorders>
            <w:shd w:val="clear" w:color="000000" w:fill="CCFFFF"/>
            <w:noWrap/>
            <w:vAlign w:val="bottom"/>
            <w:hideMark/>
          </w:tcPr>
          <w:p w14:paraId="25EA160C" w14:textId="7A348901" w:rsidR="00543241" w:rsidRPr="000D1437" w:rsidRDefault="00543241" w:rsidP="00543241">
            <w:pPr>
              <w:jc w:val="right"/>
              <w:rPr>
                <w:rFonts w:ascii="Times New Roman" w:hAnsi="Times New Roman"/>
                <w:sz w:val="14"/>
                <w:szCs w:val="14"/>
              </w:rPr>
            </w:pPr>
            <w:r w:rsidRPr="000D1437">
              <w:rPr>
                <w:sz w:val="14"/>
                <w:szCs w:val="14"/>
              </w:rPr>
              <w:t>319936,58</w:t>
            </w:r>
          </w:p>
        </w:tc>
        <w:tc>
          <w:tcPr>
            <w:tcW w:w="1193" w:type="dxa"/>
            <w:tcBorders>
              <w:top w:val="nil"/>
              <w:left w:val="nil"/>
              <w:bottom w:val="single" w:sz="4" w:space="0" w:color="auto"/>
              <w:right w:val="single" w:sz="4" w:space="0" w:color="auto"/>
            </w:tcBorders>
            <w:shd w:val="clear" w:color="000000" w:fill="CCFFFF"/>
            <w:noWrap/>
            <w:vAlign w:val="bottom"/>
            <w:hideMark/>
          </w:tcPr>
          <w:p w14:paraId="205C9F5E" w14:textId="4C78F707" w:rsidR="00543241" w:rsidRPr="000D1437" w:rsidRDefault="00543241" w:rsidP="00543241">
            <w:pPr>
              <w:jc w:val="right"/>
              <w:rPr>
                <w:rFonts w:ascii="Times New Roman" w:hAnsi="Times New Roman"/>
                <w:sz w:val="14"/>
                <w:szCs w:val="14"/>
              </w:rPr>
            </w:pPr>
            <w:r w:rsidRPr="000D1437">
              <w:rPr>
                <w:sz w:val="14"/>
                <w:szCs w:val="14"/>
              </w:rPr>
              <w:t>294542,44</w:t>
            </w:r>
          </w:p>
        </w:tc>
        <w:tc>
          <w:tcPr>
            <w:tcW w:w="1164" w:type="dxa"/>
            <w:tcBorders>
              <w:top w:val="nil"/>
              <w:left w:val="nil"/>
              <w:bottom w:val="single" w:sz="4" w:space="0" w:color="auto"/>
              <w:right w:val="single" w:sz="4" w:space="0" w:color="auto"/>
            </w:tcBorders>
            <w:shd w:val="clear" w:color="000000" w:fill="CCFFFF"/>
            <w:noWrap/>
            <w:vAlign w:val="bottom"/>
            <w:hideMark/>
          </w:tcPr>
          <w:p w14:paraId="1C5AA28B" w14:textId="57A9B78F" w:rsidR="00543241" w:rsidRPr="000D1437" w:rsidRDefault="00543241" w:rsidP="00543241">
            <w:pPr>
              <w:jc w:val="right"/>
              <w:rPr>
                <w:rFonts w:ascii="Times New Roman" w:hAnsi="Times New Roman"/>
                <w:sz w:val="14"/>
                <w:szCs w:val="14"/>
              </w:rPr>
            </w:pPr>
            <w:r w:rsidRPr="000D1437">
              <w:rPr>
                <w:sz w:val="14"/>
                <w:szCs w:val="14"/>
              </w:rPr>
              <w:t>303031,73</w:t>
            </w:r>
          </w:p>
        </w:tc>
        <w:tc>
          <w:tcPr>
            <w:tcW w:w="1150" w:type="dxa"/>
            <w:tcBorders>
              <w:top w:val="nil"/>
              <w:left w:val="nil"/>
              <w:bottom w:val="single" w:sz="4" w:space="0" w:color="auto"/>
              <w:right w:val="single" w:sz="4" w:space="0" w:color="auto"/>
            </w:tcBorders>
            <w:shd w:val="clear" w:color="000000" w:fill="CCFFFF"/>
            <w:noWrap/>
            <w:vAlign w:val="bottom"/>
            <w:hideMark/>
          </w:tcPr>
          <w:p w14:paraId="5C1A71F8" w14:textId="24F3D7FF" w:rsidR="00543241" w:rsidRPr="000D1437" w:rsidRDefault="00543241" w:rsidP="00543241">
            <w:pPr>
              <w:jc w:val="right"/>
              <w:rPr>
                <w:rFonts w:ascii="Times New Roman" w:hAnsi="Times New Roman"/>
                <w:sz w:val="14"/>
                <w:szCs w:val="14"/>
              </w:rPr>
            </w:pPr>
            <w:r w:rsidRPr="000D1437">
              <w:rPr>
                <w:sz w:val="14"/>
                <w:szCs w:val="14"/>
              </w:rPr>
              <w:t>315143,19</w:t>
            </w:r>
          </w:p>
        </w:tc>
        <w:tc>
          <w:tcPr>
            <w:tcW w:w="1193" w:type="dxa"/>
            <w:tcBorders>
              <w:top w:val="nil"/>
              <w:left w:val="nil"/>
              <w:bottom w:val="single" w:sz="4" w:space="0" w:color="auto"/>
              <w:right w:val="single" w:sz="4" w:space="0" w:color="auto"/>
            </w:tcBorders>
            <w:shd w:val="clear" w:color="000000" w:fill="CCFFFF"/>
            <w:noWrap/>
            <w:vAlign w:val="bottom"/>
            <w:hideMark/>
          </w:tcPr>
          <w:p w14:paraId="7D931384" w14:textId="39B20C75" w:rsidR="00543241" w:rsidRPr="000D1437" w:rsidRDefault="00543241" w:rsidP="00543241">
            <w:pPr>
              <w:jc w:val="right"/>
              <w:rPr>
                <w:rFonts w:ascii="Times New Roman" w:hAnsi="Times New Roman"/>
                <w:sz w:val="14"/>
                <w:szCs w:val="14"/>
              </w:rPr>
            </w:pPr>
            <w:r w:rsidRPr="000D1437">
              <w:rPr>
                <w:sz w:val="14"/>
                <w:szCs w:val="14"/>
              </w:rPr>
              <w:t>326837,62</w:t>
            </w:r>
          </w:p>
        </w:tc>
        <w:tc>
          <w:tcPr>
            <w:tcW w:w="1193" w:type="dxa"/>
            <w:tcBorders>
              <w:top w:val="nil"/>
              <w:left w:val="nil"/>
              <w:bottom w:val="single" w:sz="4" w:space="0" w:color="auto"/>
              <w:right w:val="single" w:sz="4" w:space="0" w:color="auto"/>
            </w:tcBorders>
            <w:shd w:val="clear" w:color="000000" w:fill="CCFFFF"/>
            <w:vAlign w:val="bottom"/>
          </w:tcPr>
          <w:p w14:paraId="0E609E00" w14:textId="7E94AE88" w:rsidR="00543241" w:rsidRPr="000D1437" w:rsidRDefault="00543241" w:rsidP="00543241">
            <w:pPr>
              <w:jc w:val="right"/>
              <w:rPr>
                <w:rFonts w:ascii="Times New Roman" w:hAnsi="Times New Roman"/>
                <w:sz w:val="14"/>
                <w:szCs w:val="14"/>
              </w:rPr>
            </w:pPr>
            <w:r w:rsidRPr="000D1437">
              <w:rPr>
                <w:sz w:val="14"/>
                <w:szCs w:val="14"/>
              </w:rPr>
              <w:t>314544,00</w:t>
            </w:r>
          </w:p>
        </w:tc>
      </w:tr>
      <w:tr w:rsidR="00543241" w:rsidRPr="00364545" w14:paraId="052A5DCF"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2EFA20F" w14:textId="07E8EC4D"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192" w:type="dxa"/>
            <w:tcBorders>
              <w:top w:val="nil"/>
              <w:left w:val="nil"/>
              <w:bottom w:val="single" w:sz="4" w:space="0" w:color="auto"/>
              <w:right w:val="single" w:sz="4" w:space="0" w:color="auto"/>
            </w:tcBorders>
            <w:shd w:val="clear" w:color="000000" w:fill="CCFFFF"/>
            <w:noWrap/>
            <w:vAlign w:val="bottom"/>
            <w:hideMark/>
          </w:tcPr>
          <w:p w14:paraId="4E28FCBB" w14:textId="28F882EE"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15745F43" w14:textId="60C3B11C" w:rsidR="00543241" w:rsidRPr="000D1437" w:rsidRDefault="00543241" w:rsidP="00543241">
            <w:pPr>
              <w:jc w:val="right"/>
              <w:rPr>
                <w:rFonts w:ascii="Times New Roman" w:hAnsi="Times New Roman"/>
                <w:sz w:val="14"/>
                <w:szCs w:val="14"/>
              </w:rPr>
            </w:pPr>
            <w:r w:rsidRPr="000D1437">
              <w:rPr>
                <w:sz w:val="14"/>
                <w:szCs w:val="14"/>
              </w:rPr>
              <w:t>NA</w:t>
            </w:r>
          </w:p>
        </w:tc>
        <w:tc>
          <w:tcPr>
            <w:tcW w:w="1164" w:type="dxa"/>
            <w:tcBorders>
              <w:top w:val="nil"/>
              <w:left w:val="nil"/>
              <w:bottom w:val="single" w:sz="4" w:space="0" w:color="auto"/>
              <w:right w:val="single" w:sz="4" w:space="0" w:color="auto"/>
            </w:tcBorders>
            <w:shd w:val="clear" w:color="000000" w:fill="CCFFFF"/>
            <w:noWrap/>
            <w:vAlign w:val="bottom"/>
            <w:hideMark/>
          </w:tcPr>
          <w:p w14:paraId="2C775233" w14:textId="4E6E7868" w:rsidR="00543241" w:rsidRPr="000D1437" w:rsidRDefault="00543241" w:rsidP="00543241">
            <w:pPr>
              <w:jc w:val="right"/>
              <w:rPr>
                <w:rFonts w:ascii="Times New Roman" w:hAnsi="Times New Roman"/>
                <w:sz w:val="14"/>
                <w:szCs w:val="14"/>
              </w:rPr>
            </w:pPr>
            <w:r w:rsidRPr="000D1437">
              <w:rPr>
                <w:sz w:val="14"/>
                <w:szCs w:val="14"/>
              </w:rPr>
              <w:t>NA</w:t>
            </w:r>
          </w:p>
        </w:tc>
        <w:tc>
          <w:tcPr>
            <w:tcW w:w="1150" w:type="dxa"/>
            <w:tcBorders>
              <w:top w:val="nil"/>
              <w:left w:val="nil"/>
              <w:bottom w:val="single" w:sz="4" w:space="0" w:color="auto"/>
              <w:right w:val="single" w:sz="4" w:space="0" w:color="auto"/>
            </w:tcBorders>
            <w:shd w:val="clear" w:color="000000" w:fill="CCFFFF"/>
            <w:noWrap/>
            <w:vAlign w:val="bottom"/>
            <w:hideMark/>
          </w:tcPr>
          <w:p w14:paraId="78994597" w14:textId="7F0E0392"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2B0FB49B" w14:textId="57ABF76B"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CCFFFF"/>
            <w:vAlign w:val="bottom"/>
          </w:tcPr>
          <w:p w14:paraId="149076CD" w14:textId="7B3F959D" w:rsidR="00543241" w:rsidRPr="000D1437" w:rsidRDefault="00543241" w:rsidP="00543241">
            <w:pPr>
              <w:jc w:val="right"/>
              <w:rPr>
                <w:rFonts w:ascii="Times New Roman" w:hAnsi="Times New Roman"/>
                <w:sz w:val="14"/>
                <w:szCs w:val="14"/>
              </w:rPr>
            </w:pPr>
            <w:r w:rsidRPr="000D1437">
              <w:rPr>
                <w:sz w:val="14"/>
                <w:szCs w:val="14"/>
              </w:rPr>
              <w:t>NA</w:t>
            </w:r>
          </w:p>
        </w:tc>
      </w:tr>
      <w:tr w:rsidR="00543241" w:rsidRPr="00364545" w14:paraId="36AD2EAD" w14:textId="77777777" w:rsidTr="00543241">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55D7EAE" w14:textId="0DBE079D"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192" w:type="dxa"/>
            <w:tcBorders>
              <w:top w:val="nil"/>
              <w:left w:val="nil"/>
              <w:bottom w:val="single" w:sz="4" w:space="0" w:color="auto"/>
              <w:right w:val="single" w:sz="4" w:space="0" w:color="auto"/>
            </w:tcBorders>
            <w:shd w:val="clear" w:color="000000" w:fill="CCFFFF"/>
            <w:noWrap/>
            <w:vAlign w:val="bottom"/>
            <w:hideMark/>
          </w:tcPr>
          <w:p w14:paraId="2ED1A0B2" w14:textId="515BAEC1"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3B0E8B14" w14:textId="454C12BB" w:rsidR="00543241" w:rsidRPr="000D1437" w:rsidRDefault="00543241" w:rsidP="00543241">
            <w:pPr>
              <w:jc w:val="right"/>
              <w:rPr>
                <w:rFonts w:ascii="Times New Roman" w:hAnsi="Times New Roman"/>
                <w:sz w:val="14"/>
                <w:szCs w:val="14"/>
              </w:rPr>
            </w:pPr>
            <w:r w:rsidRPr="000D1437">
              <w:rPr>
                <w:sz w:val="14"/>
                <w:szCs w:val="14"/>
              </w:rPr>
              <w:t>NA</w:t>
            </w:r>
          </w:p>
        </w:tc>
        <w:tc>
          <w:tcPr>
            <w:tcW w:w="1164" w:type="dxa"/>
            <w:tcBorders>
              <w:top w:val="nil"/>
              <w:left w:val="nil"/>
              <w:bottom w:val="single" w:sz="4" w:space="0" w:color="auto"/>
              <w:right w:val="single" w:sz="4" w:space="0" w:color="auto"/>
            </w:tcBorders>
            <w:shd w:val="clear" w:color="000000" w:fill="CCFFFF"/>
            <w:noWrap/>
            <w:vAlign w:val="bottom"/>
            <w:hideMark/>
          </w:tcPr>
          <w:p w14:paraId="37FA63DF" w14:textId="12776A00" w:rsidR="00543241" w:rsidRPr="000D1437" w:rsidRDefault="00543241" w:rsidP="00543241">
            <w:pPr>
              <w:jc w:val="right"/>
              <w:rPr>
                <w:rFonts w:ascii="Times New Roman" w:hAnsi="Times New Roman"/>
                <w:sz w:val="14"/>
                <w:szCs w:val="14"/>
              </w:rPr>
            </w:pPr>
            <w:r w:rsidRPr="000D1437">
              <w:rPr>
                <w:sz w:val="14"/>
                <w:szCs w:val="14"/>
              </w:rPr>
              <w:t>NA</w:t>
            </w:r>
          </w:p>
        </w:tc>
        <w:tc>
          <w:tcPr>
            <w:tcW w:w="1150" w:type="dxa"/>
            <w:tcBorders>
              <w:top w:val="nil"/>
              <w:left w:val="nil"/>
              <w:bottom w:val="single" w:sz="4" w:space="0" w:color="auto"/>
              <w:right w:val="single" w:sz="4" w:space="0" w:color="auto"/>
            </w:tcBorders>
            <w:shd w:val="clear" w:color="000000" w:fill="CCFFFF"/>
            <w:noWrap/>
            <w:vAlign w:val="bottom"/>
            <w:hideMark/>
          </w:tcPr>
          <w:p w14:paraId="1BD6212E" w14:textId="0A2A4238"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00C399E9" w14:textId="123B0503" w:rsidR="00543241" w:rsidRPr="000D1437" w:rsidRDefault="00543241" w:rsidP="00543241">
            <w:pPr>
              <w:jc w:val="right"/>
              <w:rPr>
                <w:rFonts w:ascii="Times New Roman" w:hAnsi="Times New Roman"/>
                <w:sz w:val="14"/>
                <w:szCs w:val="14"/>
              </w:rPr>
            </w:pPr>
            <w:r w:rsidRPr="000D1437">
              <w:rPr>
                <w:sz w:val="14"/>
                <w:szCs w:val="14"/>
              </w:rPr>
              <w:t>NA</w:t>
            </w:r>
          </w:p>
        </w:tc>
        <w:tc>
          <w:tcPr>
            <w:tcW w:w="1193" w:type="dxa"/>
            <w:tcBorders>
              <w:top w:val="nil"/>
              <w:left w:val="nil"/>
              <w:bottom w:val="single" w:sz="4" w:space="0" w:color="auto"/>
              <w:right w:val="single" w:sz="4" w:space="0" w:color="auto"/>
            </w:tcBorders>
            <w:shd w:val="clear" w:color="000000" w:fill="CCFFFF"/>
            <w:vAlign w:val="bottom"/>
          </w:tcPr>
          <w:p w14:paraId="6AF43BF6" w14:textId="7D3BED12" w:rsidR="00543241" w:rsidRPr="000D1437" w:rsidRDefault="00543241" w:rsidP="00543241">
            <w:pPr>
              <w:jc w:val="right"/>
              <w:rPr>
                <w:rFonts w:ascii="Times New Roman" w:hAnsi="Times New Roman"/>
                <w:sz w:val="14"/>
                <w:szCs w:val="14"/>
              </w:rPr>
            </w:pPr>
            <w:r w:rsidRPr="000D1437">
              <w:rPr>
                <w:sz w:val="14"/>
                <w:szCs w:val="14"/>
              </w:rPr>
              <w:t>NA</w:t>
            </w:r>
          </w:p>
        </w:tc>
      </w:tr>
    </w:tbl>
    <w:p w14:paraId="2CE46DDA" w14:textId="77777777" w:rsidR="00B56301" w:rsidRPr="00364545" w:rsidRDefault="00B56301" w:rsidP="00B56301">
      <w:pPr>
        <w:rPr>
          <w:rFonts w:cs="Arial"/>
        </w:rPr>
      </w:pPr>
    </w:p>
    <w:tbl>
      <w:tblPr>
        <w:tblW w:w="8894" w:type="dxa"/>
        <w:jc w:val="center"/>
        <w:tblCellMar>
          <w:left w:w="70" w:type="dxa"/>
          <w:right w:w="70" w:type="dxa"/>
        </w:tblCellMar>
        <w:tblLook w:val="04A0" w:firstRow="1" w:lastRow="0" w:firstColumn="1" w:lastColumn="0" w:noHBand="0" w:noVBand="1"/>
      </w:tblPr>
      <w:tblGrid>
        <w:gridCol w:w="3804"/>
        <w:gridCol w:w="1541"/>
        <w:gridCol w:w="1541"/>
        <w:gridCol w:w="2008"/>
      </w:tblGrid>
      <w:tr w:rsidR="00B56301" w:rsidRPr="00364545" w14:paraId="2902A436" w14:textId="77777777" w:rsidTr="00543241">
        <w:trPr>
          <w:trHeight w:val="68"/>
          <w:jc w:val="center"/>
        </w:trPr>
        <w:tc>
          <w:tcPr>
            <w:tcW w:w="380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2571737" w14:textId="77777777" w:rsidR="00B56301" w:rsidRPr="00364545" w:rsidRDefault="00B56301" w:rsidP="00B37B65">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54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2227CB5"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2019</w:t>
            </w:r>
          </w:p>
        </w:tc>
        <w:tc>
          <w:tcPr>
            <w:tcW w:w="1541" w:type="dxa"/>
            <w:tcBorders>
              <w:top w:val="single" w:sz="4" w:space="0" w:color="auto"/>
              <w:left w:val="nil"/>
              <w:bottom w:val="single" w:sz="4" w:space="0" w:color="auto"/>
              <w:right w:val="single" w:sz="4" w:space="0" w:color="auto"/>
            </w:tcBorders>
            <w:shd w:val="clear" w:color="000000" w:fill="CCFFFF"/>
            <w:noWrap/>
            <w:vAlign w:val="center"/>
            <w:hideMark/>
          </w:tcPr>
          <w:p w14:paraId="301722E4" w14:textId="77777777" w:rsidR="00B56301" w:rsidRPr="00364545" w:rsidRDefault="00B56301" w:rsidP="00B37B65">
            <w:pPr>
              <w:jc w:val="center"/>
              <w:rPr>
                <w:rFonts w:ascii="Times New Roman" w:hAnsi="Times New Roman"/>
                <w:b/>
                <w:bCs/>
                <w:sz w:val="16"/>
                <w:szCs w:val="16"/>
              </w:rPr>
            </w:pPr>
            <w:r w:rsidRPr="00364545">
              <w:rPr>
                <w:rFonts w:ascii="Times New Roman" w:hAnsi="Times New Roman"/>
                <w:b/>
                <w:sz w:val="16"/>
              </w:rPr>
              <w:t>2020</w:t>
            </w:r>
          </w:p>
        </w:tc>
        <w:tc>
          <w:tcPr>
            <w:tcW w:w="2008" w:type="dxa"/>
            <w:tcBorders>
              <w:top w:val="single" w:sz="4" w:space="0" w:color="auto"/>
              <w:left w:val="nil"/>
              <w:bottom w:val="single" w:sz="4" w:space="0" w:color="auto"/>
              <w:right w:val="single" w:sz="4" w:space="0" w:color="auto"/>
            </w:tcBorders>
            <w:shd w:val="clear" w:color="000000" w:fill="CCFFFF"/>
            <w:noWrap/>
            <w:vAlign w:val="center"/>
            <w:hideMark/>
          </w:tcPr>
          <w:p w14:paraId="02A2577A" w14:textId="77777777" w:rsidR="00B56301" w:rsidRPr="00364545" w:rsidRDefault="00B56301" w:rsidP="00B37B65">
            <w:pPr>
              <w:jc w:val="center"/>
              <w:rPr>
                <w:rFonts w:ascii="Times New Roman" w:hAnsi="Times New Roman"/>
                <w:b/>
                <w:bCs/>
                <w:sz w:val="18"/>
                <w:szCs w:val="18"/>
              </w:rPr>
            </w:pPr>
            <w:r w:rsidRPr="00364545">
              <w:rPr>
                <w:b/>
                <w:sz w:val="18"/>
              </w:rPr>
              <w:t>Change from base to latest reported year</w:t>
            </w:r>
            <w:r w:rsidRPr="00364545">
              <w:rPr>
                <w:rFonts w:ascii="Times New Roman" w:hAnsi="Times New Roman"/>
                <w:b/>
                <w:sz w:val="18"/>
              </w:rPr>
              <w:t xml:space="preserve"> (%)</w:t>
            </w:r>
          </w:p>
        </w:tc>
      </w:tr>
      <w:tr w:rsidR="00543241" w:rsidRPr="00364545" w14:paraId="1A2C565E" w14:textId="77777777" w:rsidTr="00543241">
        <w:trPr>
          <w:trHeight w:val="68"/>
          <w:jc w:val="center"/>
        </w:trPr>
        <w:tc>
          <w:tcPr>
            <w:tcW w:w="380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5626AA2"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54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BA1B07B" w14:textId="7F02D973" w:rsidR="00543241" w:rsidRPr="00364545" w:rsidRDefault="00543241" w:rsidP="00543241">
            <w:pPr>
              <w:jc w:val="right"/>
              <w:rPr>
                <w:rFonts w:ascii="Times New Roman" w:hAnsi="Times New Roman"/>
                <w:sz w:val="16"/>
                <w:szCs w:val="16"/>
              </w:rPr>
            </w:pPr>
            <w:r w:rsidRPr="00CB4B9F">
              <w:rPr>
                <w:sz w:val="14"/>
                <w:szCs w:val="14"/>
              </w:rPr>
              <w:t>310432,09</w:t>
            </w:r>
          </w:p>
        </w:tc>
        <w:tc>
          <w:tcPr>
            <w:tcW w:w="1541" w:type="dxa"/>
            <w:tcBorders>
              <w:top w:val="single" w:sz="4" w:space="0" w:color="auto"/>
              <w:left w:val="nil"/>
              <w:bottom w:val="single" w:sz="4" w:space="0" w:color="auto"/>
              <w:right w:val="single" w:sz="4" w:space="0" w:color="auto"/>
            </w:tcBorders>
            <w:shd w:val="clear" w:color="000000" w:fill="CCFFFF"/>
            <w:noWrap/>
            <w:vAlign w:val="bottom"/>
            <w:hideMark/>
          </w:tcPr>
          <w:p w14:paraId="54FC1A2D" w14:textId="2B5D122E" w:rsidR="00543241" w:rsidRPr="00364545" w:rsidRDefault="00543241" w:rsidP="00543241">
            <w:pPr>
              <w:jc w:val="right"/>
              <w:rPr>
                <w:rFonts w:ascii="Times New Roman" w:hAnsi="Times New Roman"/>
                <w:sz w:val="16"/>
                <w:szCs w:val="16"/>
              </w:rPr>
            </w:pPr>
            <w:r w:rsidRPr="00CB4B9F">
              <w:rPr>
                <w:sz w:val="14"/>
                <w:szCs w:val="14"/>
              </w:rPr>
              <w:t>271428,23</w:t>
            </w:r>
          </w:p>
        </w:tc>
        <w:tc>
          <w:tcPr>
            <w:tcW w:w="2008" w:type="dxa"/>
            <w:tcBorders>
              <w:top w:val="single" w:sz="4" w:space="0" w:color="auto"/>
              <w:left w:val="nil"/>
              <w:bottom w:val="single" w:sz="4" w:space="0" w:color="auto"/>
              <w:right w:val="single" w:sz="4" w:space="0" w:color="auto"/>
            </w:tcBorders>
            <w:shd w:val="clear" w:color="000000" w:fill="CCFFFF"/>
            <w:noWrap/>
            <w:vAlign w:val="bottom"/>
            <w:hideMark/>
          </w:tcPr>
          <w:p w14:paraId="668512BA" w14:textId="2C8F3CDD" w:rsidR="00543241" w:rsidRPr="00364545" w:rsidRDefault="00543241" w:rsidP="00543241">
            <w:pPr>
              <w:jc w:val="right"/>
              <w:rPr>
                <w:rFonts w:ascii="Times New Roman" w:hAnsi="Times New Roman"/>
                <w:sz w:val="16"/>
                <w:szCs w:val="16"/>
              </w:rPr>
            </w:pPr>
            <w:r w:rsidRPr="00CB4B9F">
              <w:rPr>
                <w:sz w:val="14"/>
                <w:szCs w:val="14"/>
              </w:rPr>
              <w:t>-26,70</w:t>
            </w:r>
          </w:p>
        </w:tc>
      </w:tr>
      <w:tr w:rsidR="00543241" w:rsidRPr="00364545" w14:paraId="2145988B" w14:textId="77777777" w:rsidTr="00543241">
        <w:trPr>
          <w:trHeight w:val="68"/>
          <w:jc w:val="center"/>
        </w:trPr>
        <w:tc>
          <w:tcPr>
            <w:tcW w:w="380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1FA2419"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1. Energy</w:t>
            </w:r>
          </w:p>
        </w:tc>
        <w:tc>
          <w:tcPr>
            <w:tcW w:w="1541" w:type="dxa"/>
            <w:tcBorders>
              <w:top w:val="nil"/>
              <w:left w:val="nil"/>
              <w:bottom w:val="single" w:sz="4" w:space="0" w:color="auto"/>
              <w:right w:val="single" w:sz="4" w:space="0" w:color="auto"/>
            </w:tcBorders>
            <w:shd w:val="clear" w:color="000000" w:fill="CCFFFF"/>
            <w:noWrap/>
            <w:vAlign w:val="bottom"/>
            <w:hideMark/>
          </w:tcPr>
          <w:p w14:paraId="6447A5A7" w14:textId="0E1EAF13" w:rsidR="00543241" w:rsidRPr="000D1437" w:rsidRDefault="00543241" w:rsidP="00543241">
            <w:pPr>
              <w:jc w:val="right"/>
              <w:rPr>
                <w:rFonts w:ascii="Times New Roman" w:hAnsi="Times New Roman"/>
                <w:sz w:val="14"/>
                <w:szCs w:val="14"/>
              </w:rPr>
            </w:pPr>
            <w:r w:rsidRPr="000D1437">
              <w:rPr>
                <w:sz w:val="14"/>
                <w:szCs w:val="14"/>
              </w:rPr>
              <w:t>291378,65</w:t>
            </w:r>
          </w:p>
        </w:tc>
        <w:tc>
          <w:tcPr>
            <w:tcW w:w="1541" w:type="dxa"/>
            <w:tcBorders>
              <w:top w:val="nil"/>
              <w:left w:val="nil"/>
              <w:bottom w:val="single" w:sz="4" w:space="0" w:color="auto"/>
              <w:right w:val="single" w:sz="4" w:space="0" w:color="auto"/>
            </w:tcBorders>
            <w:shd w:val="clear" w:color="000000" w:fill="CCFFFF"/>
            <w:noWrap/>
            <w:vAlign w:val="bottom"/>
            <w:hideMark/>
          </w:tcPr>
          <w:p w14:paraId="2BAAD7F4" w14:textId="4A2F15A3" w:rsidR="00543241" w:rsidRPr="000D1437" w:rsidRDefault="00543241" w:rsidP="00543241">
            <w:pPr>
              <w:jc w:val="right"/>
              <w:rPr>
                <w:rFonts w:ascii="Times New Roman" w:hAnsi="Times New Roman"/>
                <w:sz w:val="14"/>
                <w:szCs w:val="14"/>
              </w:rPr>
            </w:pPr>
            <w:r w:rsidRPr="000D1437">
              <w:rPr>
                <w:sz w:val="14"/>
                <w:szCs w:val="14"/>
              </w:rPr>
              <w:t>259171,93</w:t>
            </w:r>
          </w:p>
        </w:tc>
        <w:tc>
          <w:tcPr>
            <w:tcW w:w="2008" w:type="dxa"/>
            <w:tcBorders>
              <w:top w:val="nil"/>
              <w:left w:val="nil"/>
              <w:bottom w:val="single" w:sz="4" w:space="0" w:color="auto"/>
              <w:right w:val="single" w:sz="4" w:space="0" w:color="auto"/>
            </w:tcBorders>
            <w:shd w:val="clear" w:color="000000" w:fill="CCFFFF"/>
            <w:noWrap/>
            <w:vAlign w:val="bottom"/>
            <w:hideMark/>
          </w:tcPr>
          <w:p w14:paraId="542B6EC7" w14:textId="0B5DEEBA" w:rsidR="00543241" w:rsidRPr="000D1437" w:rsidRDefault="00543241" w:rsidP="00543241">
            <w:pPr>
              <w:jc w:val="right"/>
              <w:rPr>
                <w:rFonts w:ascii="Times New Roman" w:hAnsi="Times New Roman"/>
                <w:sz w:val="14"/>
                <w:szCs w:val="14"/>
              </w:rPr>
            </w:pPr>
            <w:r w:rsidRPr="000D1437">
              <w:rPr>
                <w:sz w:val="14"/>
                <w:szCs w:val="14"/>
              </w:rPr>
              <w:t>-26,25</w:t>
            </w:r>
          </w:p>
        </w:tc>
      </w:tr>
      <w:tr w:rsidR="00543241" w:rsidRPr="00364545" w14:paraId="6FDE9287"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5F9D495"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541" w:type="dxa"/>
            <w:tcBorders>
              <w:top w:val="nil"/>
              <w:left w:val="nil"/>
              <w:bottom w:val="single" w:sz="4" w:space="0" w:color="auto"/>
              <w:right w:val="single" w:sz="4" w:space="0" w:color="auto"/>
            </w:tcBorders>
            <w:shd w:val="clear" w:color="000000" w:fill="CCFFFF"/>
            <w:noWrap/>
            <w:vAlign w:val="bottom"/>
            <w:hideMark/>
          </w:tcPr>
          <w:p w14:paraId="5C5D0190" w14:textId="2D9C0740" w:rsidR="00543241" w:rsidRPr="000D1437" w:rsidRDefault="00543241" w:rsidP="00543241">
            <w:pPr>
              <w:jc w:val="right"/>
              <w:rPr>
                <w:rFonts w:ascii="Times New Roman" w:hAnsi="Times New Roman"/>
                <w:sz w:val="14"/>
                <w:szCs w:val="14"/>
              </w:rPr>
            </w:pPr>
            <w:r w:rsidRPr="000D1437">
              <w:rPr>
                <w:sz w:val="14"/>
                <w:szCs w:val="14"/>
              </w:rPr>
              <w:t>288790,79</w:t>
            </w:r>
          </w:p>
        </w:tc>
        <w:tc>
          <w:tcPr>
            <w:tcW w:w="1541" w:type="dxa"/>
            <w:tcBorders>
              <w:top w:val="nil"/>
              <w:left w:val="nil"/>
              <w:bottom w:val="single" w:sz="4" w:space="0" w:color="auto"/>
              <w:right w:val="single" w:sz="4" w:space="0" w:color="auto"/>
            </w:tcBorders>
            <w:shd w:val="clear" w:color="000000" w:fill="CCFFFF"/>
            <w:noWrap/>
            <w:vAlign w:val="bottom"/>
            <w:hideMark/>
          </w:tcPr>
          <w:p w14:paraId="7711DC4F" w14:textId="55CEE622" w:rsidR="00543241" w:rsidRPr="000D1437" w:rsidRDefault="00543241" w:rsidP="00543241">
            <w:pPr>
              <w:jc w:val="right"/>
              <w:rPr>
                <w:rFonts w:ascii="Times New Roman" w:hAnsi="Times New Roman"/>
                <w:sz w:val="14"/>
                <w:szCs w:val="14"/>
              </w:rPr>
            </w:pPr>
            <w:r w:rsidRPr="000D1437">
              <w:rPr>
                <w:sz w:val="14"/>
                <w:szCs w:val="14"/>
              </w:rPr>
              <w:t>256968,82</w:t>
            </w:r>
          </w:p>
        </w:tc>
        <w:tc>
          <w:tcPr>
            <w:tcW w:w="2008" w:type="dxa"/>
            <w:tcBorders>
              <w:top w:val="nil"/>
              <w:left w:val="nil"/>
              <w:bottom w:val="single" w:sz="4" w:space="0" w:color="auto"/>
              <w:right w:val="single" w:sz="4" w:space="0" w:color="auto"/>
            </w:tcBorders>
            <w:shd w:val="clear" w:color="000000" w:fill="CCFFFF"/>
            <w:noWrap/>
            <w:vAlign w:val="bottom"/>
            <w:hideMark/>
          </w:tcPr>
          <w:p w14:paraId="033DAB3A" w14:textId="7D5F95EB" w:rsidR="00543241" w:rsidRPr="000D1437" w:rsidRDefault="00543241" w:rsidP="00543241">
            <w:pPr>
              <w:jc w:val="right"/>
              <w:rPr>
                <w:rFonts w:ascii="Times New Roman" w:hAnsi="Times New Roman"/>
                <w:sz w:val="14"/>
                <w:szCs w:val="14"/>
              </w:rPr>
            </w:pPr>
            <w:r w:rsidRPr="000D1437">
              <w:rPr>
                <w:sz w:val="14"/>
                <w:szCs w:val="14"/>
              </w:rPr>
              <w:t>-25,96</w:t>
            </w:r>
          </w:p>
        </w:tc>
      </w:tr>
      <w:tr w:rsidR="00543241" w:rsidRPr="00364545" w14:paraId="53D3516E"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8A849AB" w14:textId="4E36CA02"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541" w:type="dxa"/>
            <w:tcBorders>
              <w:top w:val="nil"/>
              <w:left w:val="nil"/>
              <w:bottom w:val="single" w:sz="4" w:space="0" w:color="auto"/>
              <w:right w:val="single" w:sz="4" w:space="0" w:color="auto"/>
            </w:tcBorders>
            <w:shd w:val="clear" w:color="000000" w:fill="FFFFFF"/>
            <w:noWrap/>
            <w:vAlign w:val="bottom"/>
            <w:hideMark/>
          </w:tcPr>
          <w:p w14:paraId="7B1F0301" w14:textId="570743F8" w:rsidR="00543241" w:rsidRPr="000D1437" w:rsidRDefault="00543241" w:rsidP="00543241">
            <w:pPr>
              <w:jc w:val="right"/>
              <w:rPr>
                <w:rFonts w:ascii="Times New Roman" w:hAnsi="Times New Roman"/>
                <w:sz w:val="14"/>
                <w:szCs w:val="14"/>
              </w:rPr>
            </w:pPr>
            <w:r w:rsidRPr="000D1437">
              <w:rPr>
                <w:sz w:val="14"/>
                <w:szCs w:val="14"/>
              </w:rPr>
              <w:t>41 359,39</w:t>
            </w:r>
          </w:p>
        </w:tc>
        <w:tc>
          <w:tcPr>
            <w:tcW w:w="1541" w:type="dxa"/>
            <w:tcBorders>
              <w:top w:val="nil"/>
              <w:left w:val="nil"/>
              <w:bottom w:val="single" w:sz="4" w:space="0" w:color="auto"/>
              <w:right w:val="single" w:sz="4" w:space="0" w:color="auto"/>
            </w:tcBorders>
            <w:shd w:val="clear" w:color="000000" w:fill="FFFFFF"/>
            <w:noWrap/>
            <w:vAlign w:val="bottom"/>
            <w:hideMark/>
          </w:tcPr>
          <w:p w14:paraId="6FC32E0E" w14:textId="4CC754A3" w:rsidR="00543241" w:rsidRPr="000D1437" w:rsidRDefault="00543241" w:rsidP="00543241">
            <w:pPr>
              <w:jc w:val="right"/>
              <w:rPr>
                <w:rFonts w:ascii="Times New Roman" w:hAnsi="Times New Roman"/>
                <w:sz w:val="14"/>
                <w:szCs w:val="14"/>
              </w:rPr>
            </w:pPr>
            <w:r w:rsidRPr="000D1437">
              <w:rPr>
                <w:sz w:val="14"/>
                <w:szCs w:val="14"/>
              </w:rPr>
              <w:t>36 821,76</w:t>
            </w:r>
          </w:p>
        </w:tc>
        <w:tc>
          <w:tcPr>
            <w:tcW w:w="2008" w:type="dxa"/>
            <w:tcBorders>
              <w:top w:val="nil"/>
              <w:left w:val="nil"/>
              <w:bottom w:val="single" w:sz="4" w:space="0" w:color="auto"/>
              <w:right w:val="single" w:sz="4" w:space="0" w:color="auto"/>
            </w:tcBorders>
            <w:shd w:val="clear" w:color="000000" w:fill="FFFFFF"/>
            <w:noWrap/>
            <w:vAlign w:val="bottom"/>
            <w:hideMark/>
          </w:tcPr>
          <w:p w14:paraId="2DCAB01F" w14:textId="1606DF5D" w:rsidR="00543241" w:rsidRPr="000D1437" w:rsidRDefault="00543241" w:rsidP="00543241">
            <w:pPr>
              <w:jc w:val="right"/>
              <w:rPr>
                <w:rFonts w:ascii="Times New Roman" w:hAnsi="Times New Roman"/>
                <w:sz w:val="14"/>
                <w:szCs w:val="14"/>
              </w:rPr>
            </w:pPr>
            <w:r w:rsidRPr="000D1437">
              <w:rPr>
                <w:sz w:val="14"/>
                <w:szCs w:val="14"/>
              </w:rPr>
              <w:t>-44,06</w:t>
            </w:r>
          </w:p>
        </w:tc>
      </w:tr>
      <w:tr w:rsidR="00543241" w:rsidRPr="00364545" w14:paraId="4B73D304"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CE7BD54" w14:textId="26F07C81"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541" w:type="dxa"/>
            <w:tcBorders>
              <w:top w:val="nil"/>
              <w:left w:val="nil"/>
              <w:bottom w:val="single" w:sz="4" w:space="0" w:color="auto"/>
              <w:right w:val="single" w:sz="4" w:space="0" w:color="auto"/>
            </w:tcBorders>
            <w:shd w:val="clear" w:color="000000" w:fill="FFFFFF"/>
            <w:noWrap/>
            <w:vAlign w:val="bottom"/>
            <w:hideMark/>
          </w:tcPr>
          <w:p w14:paraId="11572D97" w14:textId="20B3A6B6" w:rsidR="00543241" w:rsidRPr="000D1437" w:rsidRDefault="00543241" w:rsidP="00543241">
            <w:pPr>
              <w:jc w:val="right"/>
              <w:rPr>
                <w:rFonts w:ascii="Times New Roman" w:hAnsi="Times New Roman"/>
                <w:sz w:val="14"/>
                <w:szCs w:val="14"/>
              </w:rPr>
            </w:pPr>
            <w:r w:rsidRPr="000D1437">
              <w:rPr>
                <w:sz w:val="14"/>
                <w:szCs w:val="14"/>
              </w:rPr>
              <w:t>43 802,47</w:t>
            </w:r>
          </w:p>
        </w:tc>
        <w:tc>
          <w:tcPr>
            <w:tcW w:w="1541" w:type="dxa"/>
            <w:tcBorders>
              <w:top w:val="nil"/>
              <w:left w:val="nil"/>
              <w:bottom w:val="single" w:sz="4" w:space="0" w:color="auto"/>
              <w:right w:val="single" w:sz="4" w:space="0" w:color="auto"/>
            </w:tcBorders>
            <w:shd w:val="clear" w:color="000000" w:fill="FFFFFF"/>
            <w:noWrap/>
            <w:vAlign w:val="bottom"/>
            <w:hideMark/>
          </w:tcPr>
          <w:p w14:paraId="587CA6E3" w14:textId="270F693D" w:rsidR="00543241" w:rsidRPr="000D1437" w:rsidRDefault="00543241" w:rsidP="00543241">
            <w:pPr>
              <w:jc w:val="right"/>
              <w:rPr>
                <w:rFonts w:ascii="Times New Roman" w:hAnsi="Times New Roman"/>
                <w:sz w:val="14"/>
                <w:szCs w:val="14"/>
              </w:rPr>
            </w:pPr>
            <w:r w:rsidRPr="000D1437">
              <w:rPr>
                <w:sz w:val="14"/>
                <w:szCs w:val="14"/>
              </w:rPr>
              <w:t>41 588,56</w:t>
            </w:r>
          </w:p>
        </w:tc>
        <w:tc>
          <w:tcPr>
            <w:tcW w:w="2008" w:type="dxa"/>
            <w:tcBorders>
              <w:top w:val="nil"/>
              <w:left w:val="nil"/>
              <w:bottom w:val="single" w:sz="4" w:space="0" w:color="auto"/>
              <w:right w:val="single" w:sz="4" w:space="0" w:color="auto"/>
            </w:tcBorders>
            <w:shd w:val="clear" w:color="000000" w:fill="FFFFFF"/>
            <w:noWrap/>
            <w:vAlign w:val="bottom"/>
            <w:hideMark/>
          </w:tcPr>
          <w:p w14:paraId="411B32AC" w14:textId="154509D4" w:rsidR="00543241" w:rsidRPr="000D1437" w:rsidRDefault="00543241" w:rsidP="00543241">
            <w:pPr>
              <w:jc w:val="right"/>
              <w:rPr>
                <w:rFonts w:ascii="Times New Roman" w:hAnsi="Times New Roman"/>
                <w:sz w:val="14"/>
                <w:szCs w:val="14"/>
              </w:rPr>
            </w:pPr>
            <w:r w:rsidRPr="000D1437">
              <w:rPr>
                <w:sz w:val="14"/>
                <w:szCs w:val="14"/>
              </w:rPr>
              <w:t>-35,61</w:t>
            </w:r>
          </w:p>
        </w:tc>
      </w:tr>
      <w:tr w:rsidR="00543241" w:rsidRPr="00364545" w14:paraId="25E388FE"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57314D3" w14:textId="72E5292B"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541" w:type="dxa"/>
            <w:tcBorders>
              <w:top w:val="nil"/>
              <w:left w:val="nil"/>
              <w:bottom w:val="single" w:sz="4" w:space="0" w:color="auto"/>
              <w:right w:val="single" w:sz="4" w:space="0" w:color="auto"/>
            </w:tcBorders>
            <w:shd w:val="clear" w:color="000000" w:fill="FFFFFF"/>
            <w:noWrap/>
            <w:vAlign w:val="bottom"/>
            <w:hideMark/>
          </w:tcPr>
          <w:p w14:paraId="1AF2AA5C" w14:textId="1496B421" w:rsidR="00543241" w:rsidRPr="000D1437" w:rsidRDefault="00543241" w:rsidP="00543241">
            <w:pPr>
              <w:jc w:val="right"/>
              <w:rPr>
                <w:rFonts w:ascii="Times New Roman" w:hAnsi="Times New Roman"/>
                <w:sz w:val="14"/>
                <w:szCs w:val="14"/>
              </w:rPr>
            </w:pPr>
            <w:r w:rsidRPr="000D1437">
              <w:rPr>
                <w:sz w:val="14"/>
                <w:szCs w:val="14"/>
              </w:rPr>
              <w:t>130 180,48</w:t>
            </w:r>
          </w:p>
        </w:tc>
        <w:tc>
          <w:tcPr>
            <w:tcW w:w="1541" w:type="dxa"/>
            <w:tcBorders>
              <w:top w:val="nil"/>
              <w:left w:val="nil"/>
              <w:bottom w:val="single" w:sz="4" w:space="0" w:color="auto"/>
              <w:right w:val="single" w:sz="4" w:space="0" w:color="auto"/>
            </w:tcBorders>
            <w:shd w:val="clear" w:color="000000" w:fill="FFFFFF"/>
            <w:noWrap/>
            <w:vAlign w:val="bottom"/>
            <w:hideMark/>
          </w:tcPr>
          <w:p w14:paraId="6A7E5EBD" w14:textId="74890C9C" w:rsidR="00543241" w:rsidRPr="000D1437" w:rsidRDefault="00543241" w:rsidP="00543241">
            <w:pPr>
              <w:jc w:val="right"/>
              <w:rPr>
                <w:rFonts w:ascii="Times New Roman" w:hAnsi="Times New Roman"/>
                <w:sz w:val="14"/>
                <w:szCs w:val="14"/>
              </w:rPr>
            </w:pPr>
            <w:r w:rsidRPr="000D1437">
              <w:rPr>
                <w:sz w:val="14"/>
                <w:szCs w:val="14"/>
              </w:rPr>
              <w:t>108 179,03</w:t>
            </w:r>
          </w:p>
        </w:tc>
        <w:tc>
          <w:tcPr>
            <w:tcW w:w="2008" w:type="dxa"/>
            <w:tcBorders>
              <w:top w:val="nil"/>
              <w:left w:val="nil"/>
              <w:bottom w:val="single" w:sz="4" w:space="0" w:color="auto"/>
              <w:right w:val="single" w:sz="4" w:space="0" w:color="auto"/>
            </w:tcBorders>
            <w:shd w:val="clear" w:color="000000" w:fill="FFFFFF"/>
            <w:noWrap/>
            <w:vAlign w:val="bottom"/>
            <w:hideMark/>
          </w:tcPr>
          <w:p w14:paraId="0D057844" w14:textId="48B5A678" w:rsidR="00543241" w:rsidRPr="000D1437" w:rsidRDefault="00543241" w:rsidP="00543241">
            <w:pPr>
              <w:jc w:val="right"/>
              <w:rPr>
                <w:rFonts w:ascii="Times New Roman" w:hAnsi="Times New Roman"/>
                <w:sz w:val="14"/>
                <w:szCs w:val="14"/>
              </w:rPr>
            </w:pPr>
            <w:r w:rsidRPr="000D1437">
              <w:rPr>
                <w:sz w:val="14"/>
                <w:szCs w:val="14"/>
              </w:rPr>
              <w:t>-10,11</w:t>
            </w:r>
          </w:p>
        </w:tc>
      </w:tr>
      <w:tr w:rsidR="00543241" w:rsidRPr="00364545" w14:paraId="71BA6497"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50B4C45" w14:textId="5C693B53"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541" w:type="dxa"/>
            <w:tcBorders>
              <w:top w:val="nil"/>
              <w:left w:val="nil"/>
              <w:bottom w:val="single" w:sz="4" w:space="0" w:color="auto"/>
              <w:right w:val="single" w:sz="4" w:space="0" w:color="auto"/>
            </w:tcBorders>
            <w:shd w:val="clear" w:color="000000" w:fill="FFFFFF"/>
            <w:noWrap/>
            <w:vAlign w:val="bottom"/>
            <w:hideMark/>
          </w:tcPr>
          <w:p w14:paraId="3D79BE4B" w14:textId="7BC035B6" w:rsidR="00543241" w:rsidRPr="000D1437" w:rsidRDefault="00543241" w:rsidP="00543241">
            <w:pPr>
              <w:jc w:val="right"/>
              <w:rPr>
                <w:rFonts w:ascii="Times New Roman" w:hAnsi="Times New Roman"/>
                <w:sz w:val="14"/>
                <w:szCs w:val="14"/>
              </w:rPr>
            </w:pPr>
            <w:r w:rsidRPr="000D1437">
              <w:rPr>
                <w:sz w:val="14"/>
                <w:szCs w:val="14"/>
              </w:rPr>
              <w:t>71 839,96</w:t>
            </w:r>
          </w:p>
        </w:tc>
        <w:tc>
          <w:tcPr>
            <w:tcW w:w="1541" w:type="dxa"/>
            <w:tcBorders>
              <w:top w:val="nil"/>
              <w:left w:val="nil"/>
              <w:bottom w:val="single" w:sz="4" w:space="0" w:color="auto"/>
              <w:right w:val="single" w:sz="4" w:space="0" w:color="auto"/>
            </w:tcBorders>
            <w:shd w:val="clear" w:color="000000" w:fill="FFFFFF"/>
            <w:noWrap/>
            <w:vAlign w:val="bottom"/>
            <w:hideMark/>
          </w:tcPr>
          <w:p w14:paraId="02862B2D" w14:textId="17D98B71" w:rsidR="00543241" w:rsidRPr="000D1437" w:rsidRDefault="00543241" w:rsidP="00543241">
            <w:pPr>
              <w:jc w:val="right"/>
              <w:rPr>
                <w:rFonts w:ascii="Times New Roman" w:hAnsi="Times New Roman"/>
                <w:sz w:val="14"/>
                <w:szCs w:val="14"/>
              </w:rPr>
            </w:pPr>
            <w:r w:rsidRPr="000D1437">
              <w:rPr>
                <w:sz w:val="14"/>
                <w:szCs w:val="14"/>
              </w:rPr>
              <w:t>68 903,09</w:t>
            </w:r>
          </w:p>
        </w:tc>
        <w:tc>
          <w:tcPr>
            <w:tcW w:w="2008" w:type="dxa"/>
            <w:tcBorders>
              <w:top w:val="nil"/>
              <w:left w:val="nil"/>
              <w:bottom w:val="single" w:sz="4" w:space="0" w:color="auto"/>
              <w:right w:val="single" w:sz="4" w:space="0" w:color="auto"/>
            </w:tcBorders>
            <w:shd w:val="clear" w:color="000000" w:fill="FFFFFF"/>
            <w:noWrap/>
            <w:vAlign w:val="bottom"/>
            <w:hideMark/>
          </w:tcPr>
          <w:p w14:paraId="70330E59" w14:textId="0FC73F80" w:rsidR="00543241" w:rsidRPr="000D1437" w:rsidRDefault="00543241" w:rsidP="00543241">
            <w:pPr>
              <w:jc w:val="right"/>
              <w:rPr>
                <w:rFonts w:ascii="Times New Roman" w:hAnsi="Times New Roman"/>
                <w:sz w:val="14"/>
                <w:szCs w:val="14"/>
              </w:rPr>
            </w:pPr>
            <w:r w:rsidRPr="000D1437">
              <w:rPr>
                <w:sz w:val="14"/>
                <w:szCs w:val="14"/>
              </w:rPr>
              <w:t>-24,99</w:t>
            </w:r>
          </w:p>
        </w:tc>
      </w:tr>
      <w:tr w:rsidR="00543241" w:rsidRPr="00364545" w14:paraId="189BEE51"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16B1FA28" w14:textId="4C15BDC9"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541" w:type="dxa"/>
            <w:tcBorders>
              <w:top w:val="nil"/>
              <w:left w:val="nil"/>
              <w:bottom w:val="single" w:sz="4" w:space="0" w:color="auto"/>
              <w:right w:val="single" w:sz="4" w:space="0" w:color="auto"/>
            </w:tcBorders>
            <w:shd w:val="clear" w:color="000000" w:fill="FFFFFF"/>
            <w:noWrap/>
            <w:vAlign w:val="bottom"/>
            <w:hideMark/>
          </w:tcPr>
          <w:p w14:paraId="44D68967" w14:textId="69DBD5FB" w:rsidR="00543241" w:rsidRPr="000D1437" w:rsidRDefault="00543241" w:rsidP="00543241">
            <w:pPr>
              <w:jc w:val="right"/>
              <w:rPr>
                <w:rFonts w:ascii="Times New Roman" w:hAnsi="Times New Roman"/>
                <w:sz w:val="14"/>
                <w:szCs w:val="14"/>
              </w:rPr>
            </w:pPr>
            <w:r w:rsidRPr="000D1437">
              <w:rPr>
                <w:sz w:val="14"/>
                <w:szCs w:val="14"/>
              </w:rPr>
              <w:t>1 608,48</w:t>
            </w:r>
          </w:p>
        </w:tc>
        <w:tc>
          <w:tcPr>
            <w:tcW w:w="1541" w:type="dxa"/>
            <w:tcBorders>
              <w:top w:val="nil"/>
              <w:left w:val="nil"/>
              <w:bottom w:val="single" w:sz="4" w:space="0" w:color="auto"/>
              <w:right w:val="single" w:sz="4" w:space="0" w:color="auto"/>
            </w:tcBorders>
            <w:shd w:val="clear" w:color="000000" w:fill="FFFFFF"/>
            <w:noWrap/>
            <w:vAlign w:val="bottom"/>
            <w:hideMark/>
          </w:tcPr>
          <w:p w14:paraId="75620916" w14:textId="31ACFF23" w:rsidR="00543241" w:rsidRPr="000D1437" w:rsidRDefault="00543241" w:rsidP="00543241">
            <w:pPr>
              <w:jc w:val="right"/>
              <w:rPr>
                <w:rFonts w:ascii="Times New Roman" w:hAnsi="Times New Roman"/>
                <w:sz w:val="14"/>
                <w:szCs w:val="14"/>
              </w:rPr>
            </w:pPr>
            <w:r w:rsidRPr="000D1437">
              <w:rPr>
                <w:sz w:val="14"/>
                <w:szCs w:val="14"/>
              </w:rPr>
              <w:t>1 476,39</w:t>
            </w:r>
          </w:p>
        </w:tc>
        <w:tc>
          <w:tcPr>
            <w:tcW w:w="2008" w:type="dxa"/>
            <w:tcBorders>
              <w:top w:val="nil"/>
              <w:left w:val="nil"/>
              <w:bottom w:val="single" w:sz="4" w:space="0" w:color="auto"/>
              <w:right w:val="single" w:sz="4" w:space="0" w:color="auto"/>
            </w:tcBorders>
            <w:shd w:val="clear" w:color="000000" w:fill="FFFFFF"/>
            <w:noWrap/>
            <w:vAlign w:val="bottom"/>
            <w:hideMark/>
          </w:tcPr>
          <w:p w14:paraId="4D037492" w14:textId="54C4AC58" w:rsidR="00543241" w:rsidRPr="000D1437" w:rsidRDefault="00543241" w:rsidP="00543241">
            <w:pPr>
              <w:jc w:val="right"/>
              <w:rPr>
                <w:rFonts w:ascii="Times New Roman" w:hAnsi="Times New Roman"/>
                <w:sz w:val="14"/>
                <w:szCs w:val="14"/>
              </w:rPr>
            </w:pPr>
            <w:r w:rsidRPr="000D1437">
              <w:rPr>
                <w:sz w:val="14"/>
                <w:szCs w:val="14"/>
              </w:rPr>
              <w:t>-66,93</w:t>
            </w:r>
          </w:p>
        </w:tc>
      </w:tr>
      <w:tr w:rsidR="00543241" w:rsidRPr="00364545" w14:paraId="7D8E5E1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11254C5"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541" w:type="dxa"/>
            <w:tcBorders>
              <w:top w:val="nil"/>
              <w:left w:val="nil"/>
              <w:bottom w:val="single" w:sz="4" w:space="0" w:color="auto"/>
              <w:right w:val="single" w:sz="4" w:space="0" w:color="auto"/>
            </w:tcBorders>
            <w:shd w:val="clear" w:color="000000" w:fill="CCFFFF"/>
            <w:noWrap/>
            <w:vAlign w:val="bottom"/>
            <w:hideMark/>
          </w:tcPr>
          <w:p w14:paraId="274ADE03" w14:textId="18148284" w:rsidR="00543241" w:rsidRPr="000D1437" w:rsidRDefault="00543241" w:rsidP="00543241">
            <w:pPr>
              <w:jc w:val="right"/>
              <w:rPr>
                <w:rFonts w:ascii="Times New Roman" w:hAnsi="Times New Roman"/>
                <w:sz w:val="14"/>
                <w:szCs w:val="14"/>
              </w:rPr>
            </w:pPr>
            <w:r w:rsidRPr="000D1437">
              <w:rPr>
                <w:sz w:val="14"/>
                <w:szCs w:val="14"/>
              </w:rPr>
              <w:t>2587,86</w:t>
            </w:r>
          </w:p>
        </w:tc>
        <w:tc>
          <w:tcPr>
            <w:tcW w:w="1541" w:type="dxa"/>
            <w:tcBorders>
              <w:top w:val="nil"/>
              <w:left w:val="nil"/>
              <w:bottom w:val="single" w:sz="4" w:space="0" w:color="auto"/>
              <w:right w:val="single" w:sz="4" w:space="0" w:color="auto"/>
            </w:tcBorders>
            <w:shd w:val="clear" w:color="000000" w:fill="CCFFFF"/>
            <w:noWrap/>
            <w:vAlign w:val="bottom"/>
            <w:hideMark/>
          </w:tcPr>
          <w:p w14:paraId="7E33E7C3" w14:textId="65DFAD8F" w:rsidR="00543241" w:rsidRPr="000D1437" w:rsidRDefault="00543241" w:rsidP="00543241">
            <w:pPr>
              <w:jc w:val="right"/>
              <w:rPr>
                <w:rFonts w:ascii="Times New Roman" w:hAnsi="Times New Roman"/>
                <w:sz w:val="14"/>
                <w:szCs w:val="14"/>
              </w:rPr>
            </w:pPr>
            <w:r w:rsidRPr="000D1437">
              <w:rPr>
                <w:sz w:val="14"/>
                <w:szCs w:val="14"/>
              </w:rPr>
              <w:t>2203,10</w:t>
            </w:r>
          </w:p>
        </w:tc>
        <w:tc>
          <w:tcPr>
            <w:tcW w:w="2008" w:type="dxa"/>
            <w:tcBorders>
              <w:top w:val="nil"/>
              <w:left w:val="nil"/>
              <w:bottom w:val="single" w:sz="4" w:space="0" w:color="auto"/>
              <w:right w:val="single" w:sz="4" w:space="0" w:color="auto"/>
            </w:tcBorders>
            <w:shd w:val="clear" w:color="000000" w:fill="CCFFFF"/>
            <w:noWrap/>
            <w:vAlign w:val="bottom"/>
            <w:hideMark/>
          </w:tcPr>
          <w:p w14:paraId="284F1967" w14:textId="51123C36" w:rsidR="00543241" w:rsidRPr="000D1437" w:rsidRDefault="00543241" w:rsidP="00543241">
            <w:pPr>
              <w:jc w:val="right"/>
              <w:rPr>
                <w:rFonts w:ascii="Times New Roman" w:hAnsi="Times New Roman"/>
                <w:sz w:val="14"/>
                <w:szCs w:val="14"/>
              </w:rPr>
            </w:pPr>
            <w:r w:rsidRPr="000D1437">
              <w:rPr>
                <w:sz w:val="14"/>
                <w:szCs w:val="14"/>
              </w:rPr>
              <w:t>-49,49</w:t>
            </w:r>
          </w:p>
        </w:tc>
      </w:tr>
      <w:tr w:rsidR="00543241" w:rsidRPr="00364545" w14:paraId="69712A4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9BD1BE8" w14:textId="791EB1AA"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541" w:type="dxa"/>
            <w:tcBorders>
              <w:top w:val="nil"/>
              <w:left w:val="nil"/>
              <w:bottom w:val="single" w:sz="4" w:space="0" w:color="auto"/>
              <w:right w:val="single" w:sz="4" w:space="0" w:color="auto"/>
            </w:tcBorders>
            <w:shd w:val="clear" w:color="000000" w:fill="FFFFFF"/>
            <w:noWrap/>
            <w:vAlign w:val="bottom"/>
            <w:hideMark/>
          </w:tcPr>
          <w:p w14:paraId="46E474EA" w14:textId="439CC7B9" w:rsidR="00543241" w:rsidRPr="000D1437" w:rsidRDefault="00543241" w:rsidP="00543241">
            <w:pPr>
              <w:jc w:val="right"/>
              <w:rPr>
                <w:rFonts w:ascii="Times New Roman" w:hAnsi="Times New Roman"/>
                <w:sz w:val="14"/>
                <w:szCs w:val="14"/>
              </w:rPr>
            </w:pPr>
            <w:r w:rsidRPr="000D1437">
              <w:rPr>
                <w:sz w:val="14"/>
                <w:szCs w:val="14"/>
              </w:rPr>
              <w:t>NO,NA</w:t>
            </w:r>
          </w:p>
        </w:tc>
        <w:tc>
          <w:tcPr>
            <w:tcW w:w="1541" w:type="dxa"/>
            <w:tcBorders>
              <w:top w:val="nil"/>
              <w:left w:val="nil"/>
              <w:bottom w:val="single" w:sz="4" w:space="0" w:color="auto"/>
              <w:right w:val="single" w:sz="4" w:space="0" w:color="auto"/>
            </w:tcBorders>
            <w:shd w:val="clear" w:color="000000" w:fill="FFFFFF"/>
            <w:noWrap/>
            <w:vAlign w:val="bottom"/>
            <w:hideMark/>
          </w:tcPr>
          <w:p w14:paraId="4566027C" w14:textId="70A6D175" w:rsidR="00543241" w:rsidRPr="000D1437" w:rsidRDefault="00543241" w:rsidP="00543241">
            <w:pPr>
              <w:jc w:val="right"/>
              <w:rPr>
                <w:rFonts w:ascii="Times New Roman" w:hAnsi="Times New Roman"/>
                <w:sz w:val="14"/>
                <w:szCs w:val="14"/>
              </w:rPr>
            </w:pPr>
            <w:r w:rsidRPr="000D1437">
              <w:rPr>
                <w:sz w:val="14"/>
                <w:szCs w:val="14"/>
              </w:rPr>
              <w:t>NO,NA</w:t>
            </w:r>
          </w:p>
        </w:tc>
        <w:tc>
          <w:tcPr>
            <w:tcW w:w="2008" w:type="dxa"/>
            <w:tcBorders>
              <w:top w:val="nil"/>
              <w:left w:val="nil"/>
              <w:bottom w:val="single" w:sz="4" w:space="0" w:color="auto"/>
              <w:right w:val="single" w:sz="4" w:space="0" w:color="auto"/>
            </w:tcBorders>
            <w:shd w:val="clear" w:color="000000" w:fill="FFFFFF"/>
            <w:noWrap/>
            <w:vAlign w:val="bottom"/>
            <w:hideMark/>
          </w:tcPr>
          <w:p w14:paraId="757A21D7" w14:textId="4ABE59C2"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5649E7E5"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5705C62" w14:textId="2992CB4F" w:rsidR="00543241" w:rsidRPr="00364545" w:rsidRDefault="00543241" w:rsidP="00543241">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541" w:type="dxa"/>
            <w:tcBorders>
              <w:top w:val="nil"/>
              <w:left w:val="nil"/>
              <w:bottom w:val="single" w:sz="4" w:space="0" w:color="auto"/>
              <w:right w:val="single" w:sz="4" w:space="0" w:color="auto"/>
            </w:tcBorders>
            <w:shd w:val="clear" w:color="000000" w:fill="FFFFFF"/>
            <w:noWrap/>
            <w:vAlign w:val="bottom"/>
            <w:hideMark/>
          </w:tcPr>
          <w:p w14:paraId="3294ECFA" w14:textId="038642D1" w:rsidR="00543241" w:rsidRPr="000D1437" w:rsidRDefault="00543241" w:rsidP="00543241">
            <w:pPr>
              <w:jc w:val="right"/>
              <w:rPr>
                <w:rFonts w:ascii="Times New Roman" w:hAnsi="Times New Roman"/>
                <w:sz w:val="14"/>
                <w:szCs w:val="14"/>
              </w:rPr>
            </w:pPr>
            <w:r w:rsidRPr="000D1437">
              <w:rPr>
                <w:sz w:val="14"/>
                <w:szCs w:val="14"/>
              </w:rPr>
              <w:t>2 587,86</w:t>
            </w:r>
          </w:p>
        </w:tc>
        <w:tc>
          <w:tcPr>
            <w:tcW w:w="1541" w:type="dxa"/>
            <w:tcBorders>
              <w:top w:val="nil"/>
              <w:left w:val="nil"/>
              <w:bottom w:val="single" w:sz="4" w:space="0" w:color="auto"/>
              <w:right w:val="single" w:sz="4" w:space="0" w:color="auto"/>
            </w:tcBorders>
            <w:shd w:val="clear" w:color="000000" w:fill="FFFFFF"/>
            <w:noWrap/>
            <w:vAlign w:val="bottom"/>
            <w:hideMark/>
          </w:tcPr>
          <w:p w14:paraId="1653F057" w14:textId="50BE0F83" w:rsidR="00543241" w:rsidRPr="000D1437" w:rsidRDefault="00543241" w:rsidP="00543241">
            <w:pPr>
              <w:jc w:val="right"/>
              <w:rPr>
                <w:rFonts w:ascii="Times New Roman" w:hAnsi="Times New Roman"/>
                <w:sz w:val="14"/>
                <w:szCs w:val="14"/>
              </w:rPr>
            </w:pPr>
            <w:r w:rsidRPr="000D1437">
              <w:rPr>
                <w:sz w:val="14"/>
                <w:szCs w:val="14"/>
              </w:rPr>
              <w:t>2 203,10</w:t>
            </w:r>
          </w:p>
        </w:tc>
        <w:tc>
          <w:tcPr>
            <w:tcW w:w="2008" w:type="dxa"/>
            <w:tcBorders>
              <w:top w:val="nil"/>
              <w:left w:val="nil"/>
              <w:bottom w:val="single" w:sz="4" w:space="0" w:color="auto"/>
              <w:right w:val="single" w:sz="4" w:space="0" w:color="auto"/>
            </w:tcBorders>
            <w:shd w:val="clear" w:color="000000" w:fill="FFFFFF"/>
            <w:noWrap/>
            <w:vAlign w:val="bottom"/>
            <w:hideMark/>
          </w:tcPr>
          <w:p w14:paraId="2D37F1F4" w14:textId="2665E849" w:rsidR="00543241" w:rsidRPr="000D1437" w:rsidRDefault="00543241" w:rsidP="00543241">
            <w:pPr>
              <w:jc w:val="right"/>
              <w:rPr>
                <w:rFonts w:ascii="Times New Roman" w:hAnsi="Times New Roman"/>
                <w:sz w:val="14"/>
                <w:szCs w:val="14"/>
              </w:rPr>
            </w:pPr>
            <w:r w:rsidRPr="000D1437">
              <w:rPr>
                <w:sz w:val="14"/>
                <w:szCs w:val="14"/>
              </w:rPr>
              <w:t>-49,49</w:t>
            </w:r>
          </w:p>
        </w:tc>
      </w:tr>
      <w:tr w:rsidR="00543241" w:rsidRPr="00364545" w14:paraId="1D5E733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C521641" w14:textId="2C249C25"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541" w:type="dxa"/>
            <w:tcBorders>
              <w:top w:val="nil"/>
              <w:left w:val="nil"/>
              <w:bottom w:val="single" w:sz="4" w:space="0" w:color="auto"/>
              <w:right w:val="single" w:sz="4" w:space="0" w:color="auto"/>
            </w:tcBorders>
            <w:shd w:val="clear" w:color="000000" w:fill="FFFFFF"/>
            <w:noWrap/>
            <w:vAlign w:val="bottom"/>
            <w:hideMark/>
          </w:tcPr>
          <w:p w14:paraId="242CA231" w14:textId="2E8D0E3D" w:rsidR="00543241" w:rsidRPr="000D1437" w:rsidRDefault="00543241" w:rsidP="00543241">
            <w:pPr>
              <w:jc w:val="right"/>
              <w:rPr>
                <w:rFonts w:ascii="Times New Roman" w:hAnsi="Times New Roman"/>
                <w:sz w:val="14"/>
                <w:szCs w:val="14"/>
              </w:rPr>
            </w:pPr>
            <w:r w:rsidRPr="000D1437">
              <w:rPr>
                <w:sz w:val="14"/>
                <w:szCs w:val="14"/>
              </w:rPr>
              <w:t>NO,NA</w:t>
            </w:r>
          </w:p>
        </w:tc>
        <w:tc>
          <w:tcPr>
            <w:tcW w:w="1541" w:type="dxa"/>
            <w:tcBorders>
              <w:top w:val="nil"/>
              <w:left w:val="nil"/>
              <w:bottom w:val="single" w:sz="4" w:space="0" w:color="auto"/>
              <w:right w:val="single" w:sz="4" w:space="0" w:color="auto"/>
            </w:tcBorders>
            <w:shd w:val="clear" w:color="000000" w:fill="FFFFFF"/>
            <w:noWrap/>
            <w:vAlign w:val="bottom"/>
            <w:hideMark/>
          </w:tcPr>
          <w:p w14:paraId="5F56FEE7" w14:textId="74680C34" w:rsidR="00543241" w:rsidRPr="000D1437" w:rsidRDefault="00543241" w:rsidP="00543241">
            <w:pPr>
              <w:jc w:val="right"/>
              <w:rPr>
                <w:rFonts w:ascii="Times New Roman" w:hAnsi="Times New Roman"/>
                <w:sz w:val="14"/>
                <w:szCs w:val="14"/>
              </w:rPr>
            </w:pPr>
            <w:r w:rsidRPr="000D1437">
              <w:rPr>
                <w:sz w:val="14"/>
                <w:szCs w:val="14"/>
              </w:rPr>
              <w:t>NO,NA</w:t>
            </w:r>
          </w:p>
        </w:tc>
        <w:tc>
          <w:tcPr>
            <w:tcW w:w="2008" w:type="dxa"/>
            <w:tcBorders>
              <w:top w:val="nil"/>
              <w:left w:val="nil"/>
              <w:bottom w:val="single" w:sz="4" w:space="0" w:color="auto"/>
              <w:right w:val="single" w:sz="4" w:space="0" w:color="auto"/>
            </w:tcBorders>
            <w:shd w:val="clear" w:color="000000" w:fill="FFFFFF"/>
            <w:noWrap/>
            <w:vAlign w:val="bottom"/>
            <w:hideMark/>
          </w:tcPr>
          <w:p w14:paraId="277DBA3D" w14:textId="56A9231F"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4642E8EE"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B775355" w14:textId="7F8E559C"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2. Industrial Processes</w:t>
            </w:r>
          </w:p>
        </w:tc>
        <w:tc>
          <w:tcPr>
            <w:tcW w:w="1541" w:type="dxa"/>
            <w:tcBorders>
              <w:top w:val="nil"/>
              <w:left w:val="nil"/>
              <w:bottom w:val="single" w:sz="4" w:space="0" w:color="auto"/>
              <w:right w:val="single" w:sz="4" w:space="0" w:color="auto"/>
            </w:tcBorders>
            <w:shd w:val="clear" w:color="000000" w:fill="CCFFFF"/>
            <w:noWrap/>
            <w:vAlign w:val="bottom"/>
            <w:hideMark/>
          </w:tcPr>
          <w:p w14:paraId="3BC4C6DC" w14:textId="31B53C65" w:rsidR="00543241" w:rsidRPr="000D1437" w:rsidRDefault="00543241" w:rsidP="00543241">
            <w:pPr>
              <w:jc w:val="right"/>
              <w:rPr>
                <w:rFonts w:ascii="Times New Roman" w:hAnsi="Times New Roman"/>
                <w:sz w:val="14"/>
                <w:szCs w:val="14"/>
              </w:rPr>
            </w:pPr>
            <w:r w:rsidRPr="000D1437">
              <w:rPr>
                <w:sz w:val="14"/>
                <w:szCs w:val="14"/>
              </w:rPr>
              <w:t>31576,25</w:t>
            </w:r>
          </w:p>
        </w:tc>
        <w:tc>
          <w:tcPr>
            <w:tcW w:w="1541" w:type="dxa"/>
            <w:tcBorders>
              <w:top w:val="nil"/>
              <w:left w:val="nil"/>
              <w:bottom w:val="single" w:sz="4" w:space="0" w:color="auto"/>
              <w:right w:val="single" w:sz="4" w:space="0" w:color="auto"/>
            </w:tcBorders>
            <w:shd w:val="clear" w:color="000000" w:fill="CCFFFF"/>
            <w:noWrap/>
            <w:vAlign w:val="bottom"/>
            <w:hideMark/>
          </w:tcPr>
          <w:p w14:paraId="070DBDBE" w14:textId="10DACA42" w:rsidR="00543241" w:rsidRPr="000D1437" w:rsidRDefault="00543241" w:rsidP="00543241">
            <w:pPr>
              <w:jc w:val="right"/>
              <w:rPr>
                <w:rFonts w:ascii="Times New Roman" w:hAnsi="Times New Roman"/>
                <w:sz w:val="14"/>
                <w:szCs w:val="14"/>
              </w:rPr>
            </w:pPr>
            <w:r w:rsidRPr="000D1437">
              <w:rPr>
                <w:sz w:val="14"/>
                <w:szCs w:val="14"/>
              </w:rPr>
              <w:t>26755,88</w:t>
            </w:r>
          </w:p>
        </w:tc>
        <w:tc>
          <w:tcPr>
            <w:tcW w:w="2008" w:type="dxa"/>
            <w:tcBorders>
              <w:top w:val="nil"/>
              <w:left w:val="nil"/>
              <w:bottom w:val="single" w:sz="4" w:space="0" w:color="auto"/>
              <w:right w:val="single" w:sz="4" w:space="0" w:color="auto"/>
            </w:tcBorders>
            <w:shd w:val="clear" w:color="000000" w:fill="CCFFFF"/>
            <w:noWrap/>
            <w:vAlign w:val="bottom"/>
            <w:hideMark/>
          </w:tcPr>
          <w:p w14:paraId="3534D101" w14:textId="348DF81B" w:rsidR="00543241" w:rsidRPr="000D1437" w:rsidRDefault="00543241" w:rsidP="00543241">
            <w:pPr>
              <w:jc w:val="right"/>
              <w:rPr>
                <w:rFonts w:ascii="Times New Roman" w:hAnsi="Times New Roman"/>
                <w:sz w:val="14"/>
                <w:szCs w:val="14"/>
              </w:rPr>
            </w:pPr>
            <w:r w:rsidRPr="000D1437">
              <w:rPr>
                <w:sz w:val="14"/>
                <w:szCs w:val="14"/>
              </w:rPr>
              <w:t>-37,63</w:t>
            </w:r>
          </w:p>
        </w:tc>
      </w:tr>
      <w:tr w:rsidR="00543241" w:rsidRPr="00364545" w14:paraId="5E16D87A"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FEEDCF0" w14:textId="12773F8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541" w:type="dxa"/>
            <w:tcBorders>
              <w:top w:val="nil"/>
              <w:left w:val="nil"/>
              <w:bottom w:val="single" w:sz="4" w:space="0" w:color="auto"/>
              <w:right w:val="single" w:sz="4" w:space="0" w:color="auto"/>
            </w:tcBorders>
            <w:shd w:val="clear" w:color="000000" w:fill="FFFFFF"/>
            <w:noWrap/>
            <w:vAlign w:val="bottom"/>
            <w:hideMark/>
          </w:tcPr>
          <w:p w14:paraId="599E9AEF" w14:textId="4573EB24" w:rsidR="00543241" w:rsidRPr="000D1437" w:rsidRDefault="00543241" w:rsidP="00543241">
            <w:pPr>
              <w:jc w:val="right"/>
              <w:rPr>
                <w:rFonts w:ascii="Times New Roman" w:hAnsi="Times New Roman"/>
                <w:sz w:val="14"/>
                <w:szCs w:val="14"/>
              </w:rPr>
            </w:pPr>
            <w:r w:rsidRPr="000D1437">
              <w:rPr>
                <w:sz w:val="14"/>
                <w:szCs w:val="14"/>
              </w:rPr>
              <w:t>10 060,93</w:t>
            </w:r>
          </w:p>
        </w:tc>
        <w:tc>
          <w:tcPr>
            <w:tcW w:w="1541" w:type="dxa"/>
            <w:tcBorders>
              <w:top w:val="nil"/>
              <w:left w:val="nil"/>
              <w:bottom w:val="single" w:sz="4" w:space="0" w:color="auto"/>
              <w:right w:val="single" w:sz="4" w:space="0" w:color="auto"/>
            </w:tcBorders>
            <w:shd w:val="clear" w:color="000000" w:fill="FFFFFF"/>
            <w:noWrap/>
            <w:vAlign w:val="bottom"/>
            <w:hideMark/>
          </w:tcPr>
          <w:p w14:paraId="34AAA20F" w14:textId="0B109AEC" w:rsidR="00543241" w:rsidRPr="000D1437" w:rsidRDefault="00543241" w:rsidP="00543241">
            <w:pPr>
              <w:jc w:val="right"/>
              <w:rPr>
                <w:rFonts w:ascii="Times New Roman" w:hAnsi="Times New Roman"/>
                <w:sz w:val="14"/>
                <w:szCs w:val="14"/>
              </w:rPr>
            </w:pPr>
            <w:r w:rsidRPr="000D1437">
              <w:rPr>
                <w:sz w:val="14"/>
                <w:szCs w:val="14"/>
              </w:rPr>
              <w:t>9 082,96</w:t>
            </w:r>
          </w:p>
        </w:tc>
        <w:tc>
          <w:tcPr>
            <w:tcW w:w="2008" w:type="dxa"/>
            <w:tcBorders>
              <w:top w:val="nil"/>
              <w:left w:val="nil"/>
              <w:bottom w:val="single" w:sz="4" w:space="0" w:color="auto"/>
              <w:right w:val="single" w:sz="4" w:space="0" w:color="auto"/>
            </w:tcBorders>
            <w:shd w:val="clear" w:color="000000" w:fill="FFFFFF"/>
            <w:noWrap/>
            <w:vAlign w:val="bottom"/>
            <w:hideMark/>
          </w:tcPr>
          <w:p w14:paraId="1117EE1F" w14:textId="17141738" w:rsidR="00543241" w:rsidRPr="000D1437" w:rsidRDefault="00543241" w:rsidP="00543241">
            <w:pPr>
              <w:jc w:val="right"/>
              <w:rPr>
                <w:rFonts w:ascii="Times New Roman" w:hAnsi="Times New Roman"/>
                <w:sz w:val="14"/>
                <w:szCs w:val="14"/>
              </w:rPr>
            </w:pPr>
            <w:r w:rsidRPr="000D1437">
              <w:rPr>
                <w:sz w:val="14"/>
                <w:szCs w:val="14"/>
              </w:rPr>
              <w:t>-39,35</w:t>
            </w:r>
          </w:p>
        </w:tc>
      </w:tr>
      <w:tr w:rsidR="00543241" w:rsidRPr="00364545" w14:paraId="7DB5DFA1"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D7BA985" w14:textId="03CDE40F"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541" w:type="dxa"/>
            <w:tcBorders>
              <w:top w:val="nil"/>
              <w:left w:val="nil"/>
              <w:bottom w:val="single" w:sz="4" w:space="0" w:color="auto"/>
              <w:right w:val="single" w:sz="4" w:space="0" w:color="auto"/>
            </w:tcBorders>
            <w:shd w:val="clear" w:color="000000" w:fill="FFFFFF"/>
            <w:noWrap/>
            <w:vAlign w:val="bottom"/>
            <w:hideMark/>
          </w:tcPr>
          <w:p w14:paraId="7C232E0D" w14:textId="78CB7DC2" w:rsidR="00543241" w:rsidRPr="000D1437" w:rsidRDefault="00543241" w:rsidP="00543241">
            <w:pPr>
              <w:jc w:val="right"/>
              <w:rPr>
                <w:rFonts w:ascii="Times New Roman" w:hAnsi="Times New Roman"/>
                <w:sz w:val="14"/>
                <w:szCs w:val="14"/>
              </w:rPr>
            </w:pPr>
            <w:r w:rsidRPr="000D1437">
              <w:rPr>
                <w:sz w:val="14"/>
                <w:szCs w:val="14"/>
              </w:rPr>
              <w:t>6 722,75</w:t>
            </w:r>
          </w:p>
        </w:tc>
        <w:tc>
          <w:tcPr>
            <w:tcW w:w="1541" w:type="dxa"/>
            <w:tcBorders>
              <w:top w:val="nil"/>
              <w:left w:val="nil"/>
              <w:bottom w:val="single" w:sz="4" w:space="0" w:color="auto"/>
              <w:right w:val="single" w:sz="4" w:space="0" w:color="auto"/>
            </w:tcBorders>
            <w:shd w:val="clear" w:color="000000" w:fill="FFFFFF"/>
            <w:noWrap/>
            <w:vAlign w:val="bottom"/>
            <w:hideMark/>
          </w:tcPr>
          <w:p w14:paraId="6CAAA7A6" w14:textId="31A46115" w:rsidR="00543241" w:rsidRPr="000D1437" w:rsidRDefault="00543241" w:rsidP="00543241">
            <w:pPr>
              <w:jc w:val="right"/>
              <w:rPr>
                <w:rFonts w:ascii="Times New Roman" w:hAnsi="Times New Roman"/>
                <w:sz w:val="14"/>
                <w:szCs w:val="14"/>
              </w:rPr>
            </w:pPr>
            <w:r w:rsidRPr="000D1437">
              <w:rPr>
                <w:sz w:val="14"/>
                <w:szCs w:val="14"/>
              </w:rPr>
              <w:t>6 282,91</w:t>
            </w:r>
          </w:p>
        </w:tc>
        <w:tc>
          <w:tcPr>
            <w:tcW w:w="2008" w:type="dxa"/>
            <w:tcBorders>
              <w:top w:val="nil"/>
              <w:left w:val="nil"/>
              <w:bottom w:val="single" w:sz="4" w:space="0" w:color="auto"/>
              <w:right w:val="single" w:sz="4" w:space="0" w:color="auto"/>
            </w:tcBorders>
            <w:shd w:val="clear" w:color="000000" w:fill="FFFFFF"/>
            <w:noWrap/>
            <w:vAlign w:val="bottom"/>
            <w:hideMark/>
          </w:tcPr>
          <w:p w14:paraId="69EE801E" w14:textId="0A2D21CC" w:rsidR="00543241" w:rsidRPr="000D1437" w:rsidRDefault="00543241" w:rsidP="00543241">
            <w:pPr>
              <w:jc w:val="right"/>
              <w:rPr>
                <w:rFonts w:ascii="Times New Roman" w:hAnsi="Times New Roman"/>
                <w:sz w:val="14"/>
                <w:szCs w:val="14"/>
              </w:rPr>
            </w:pPr>
            <w:r w:rsidRPr="000D1437">
              <w:rPr>
                <w:sz w:val="14"/>
                <w:szCs w:val="14"/>
              </w:rPr>
              <w:t>-16,67</w:t>
            </w:r>
          </w:p>
        </w:tc>
      </w:tr>
      <w:tr w:rsidR="00543241" w:rsidRPr="00364545" w14:paraId="22AF13C7"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551106F" w14:textId="0CB2D324"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541" w:type="dxa"/>
            <w:tcBorders>
              <w:top w:val="nil"/>
              <w:left w:val="nil"/>
              <w:bottom w:val="single" w:sz="4" w:space="0" w:color="auto"/>
              <w:right w:val="single" w:sz="4" w:space="0" w:color="auto"/>
            </w:tcBorders>
            <w:shd w:val="clear" w:color="000000" w:fill="FFFFFF"/>
            <w:noWrap/>
            <w:vAlign w:val="bottom"/>
            <w:hideMark/>
          </w:tcPr>
          <w:p w14:paraId="51F0505C" w14:textId="0076474F" w:rsidR="00543241" w:rsidRPr="000D1437" w:rsidRDefault="00543241" w:rsidP="00543241">
            <w:pPr>
              <w:jc w:val="right"/>
              <w:rPr>
                <w:rFonts w:ascii="Times New Roman" w:hAnsi="Times New Roman"/>
                <w:sz w:val="14"/>
                <w:szCs w:val="14"/>
              </w:rPr>
            </w:pPr>
            <w:r w:rsidRPr="000D1437">
              <w:rPr>
                <w:sz w:val="14"/>
                <w:szCs w:val="14"/>
              </w:rPr>
              <w:t>13 332,25</w:t>
            </w:r>
          </w:p>
        </w:tc>
        <w:tc>
          <w:tcPr>
            <w:tcW w:w="1541" w:type="dxa"/>
            <w:tcBorders>
              <w:top w:val="nil"/>
              <w:left w:val="nil"/>
              <w:bottom w:val="single" w:sz="4" w:space="0" w:color="auto"/>
              <w:right w:val="single" w:sz="4" w:space="0" w:color="auto"/>
            </w:tcBorders>
            <w:shd w:val="clear" w:color="000000" w:fill="FFFFFF"/>
            <w:noWrap/>
            <w:vAlign w:val="bottom"/>
            <w:hideMark/>
          </w:tcPr>
          <w:p w14:paraId="0B47B1B1" w14:textId="549A5E04" w:rsidR="00543241" w:rsidRPr="000D1437" w:rsidRDefault="00543241" w:rsidP="00543241">
            <w:pPr>
              <w:jc w:val="right"/>
              <w:rPr>
                <w:rFonts w:ascii="Times New Roman" w:hAnsi="Times New Roman"/>
                <w:sz w:val="14"/>
                <w:szCs w:val="14"/>
              </w:rPr>
            </w:pPr>
            <w:r w:rsidRPr="000D1437">
              <w:rPr>
                <w:sz w:val="14"/>
                <w:szCs w:val="14"/>
              </w:rPr>
              <w:t>9 862,56</w:t>
            </w:r>
          </w:p>
        </w:tc>
        <w:tc>
          <w:tcPr>
            <w:tcW w:w="2008" w:type="dxa"/>
            <w:tcBorders>
              <w:top w:val="nil"/>
              <w:left w:val="nil"/>
              <w:bottom w:val="single" w:sz="4" w:space="0" w:color="auto"/>
              <w:right w:val="single" w:sz="4" w:space="0" w:color="auto"/>
            </w:tcBorders>
            <w:shd w:val="clear" w:color="000000" w:fill="FFFFFF"/>
            <w:noWrap/>
            <w:vAlign w:val="bottom"/>
            <w:hideMark/>
          </w:tcPr>
          <w:p w14:paraId="587885BA" w14:textId="75EB80C4" w:rsidR="00543241" w:rsidRPr="000D1437" w:rsidRDefault="00543241" w:rsidP="00543241">
            <w:pPr>
              <w:jc w:val="right"/>
              <w:rPr>
                <w:rFonts w:ascii="Times New Roman" w:hAnsi="Times New Roman"/>
                <w:sz w:val="14"/>
                <w:szCs w:val="14"/>
              </w:rPr>
            </w:pPr>
            <w:r w:rsidRPr="000D1437">
              <w:rPr>
                <w:sz w:val="14"/>
                <w:szCs w:val="14"/>
              </w:rPr>
              <w:t>-44,21</w:t>
            </w:r>
          </w:p>
        </w:tc>
      </w:tr>
      <w:tr w:rsidR="00543241" w:rsidRPr="00364545" w14:paraId="1B5D3F64"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vAlign w:val="center"/>
            <w:hideMark/>
          </w:tcPr>
          <w:p w14:paraId="31967FA7" w14:textId="435ACEB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541" w:type="dxa"/>
            <w:tcBorders>
              <w:top w:val="nil"/>
              <w:left w:val="nil"/>
              <w:bottom w:val="single" w:sz="4" w:space="0" w:color="auto"/>
              <w:right w:val="single" w:sz="4" w:space="0" w:color="auto"/>
            </w:tcBorders>
            <w:shd w:val="clear" w:color="000000" w:fill="FFFFFF"/>
            <w:noWrap/>
            <w:vAlign w:val="bottom"/>
            <w:hideMark/>
          </w:tcPr>
          <w:p w14:paraId="75ABF2A5" w14:textId="66B7D19E" w:rsidR="00543241" w:rsidRPr="000D1437" w:rsidRDefault="00543241" w:rsidP="00543241">
            <w:pPr>
              <w:jc w:val="right"/>
              <w:rPr>
                <w:rFonts w:ascii="Times New Roman" w:hAnsi="Times New Roman"/>
                <w:sz w:val="14"/>
                <w:szCs w:val="14"/>
              </w:rPr>
            </w:pPr>
            <w:r w:rsidRPr="000D1437">
              <w:rPr>
                <w:sz w:val="14"/>
                <w:szCs w:val="14"/>
              </w:rPr>
              <w:t>1 009,32</w:t>
            </w:r>
          </w:p>
        </w:tc>
        <w:tc>
          <w:tcPr>
            <w:tcW w:w="1541" w:type="dxa"/>
            <w:tcBorders>
              <w:top w:val="nil"/>
              <w:left w:val="nil"/>
              <w:bottom w:val="single" w:sz="4" w:space="0" w:color="auto"/>
              <w:right w:val="single" w:sz="4" w:space="0" w:color="auto"/>
            </w:tcBorders>
            <w:shd w:val="clear" w:color="000000" w:fill="FFFFFF"/>
            <w:noWrap/>
            <w:vAlign w:val="bottom"/>
            <w:hideMark/>
          </w:tcPr>
          <w:p w14:paraId="6088A0FF" w14:textId="34F18253" w:rsidR="00543241" w:rsidRPr="000D1437" w:rsidRDefault="00543241" w:rsidP="00543241">
            <w:pPr>
              <w:jc w:val="right"/>
              <w:rPr>
                <w:rFonts w:ascii="Times New Roman" w:hAnsi="Times New Roman"/>
                <w:sz w:val="14"/>
                <w:szCs w:val="14"/>
              </w:rPr>
            </w:pPr>
            <w:r w:rsidRPr="000D1437">
              <w:rPr>
                <w:sz w:val="14"/>
                <w:szCs w:val="14"/>
              </w:rPr>
              <w:t>1 067,63</w:t>
            </w:r>
          </w:p>
        </w:tc>
        <w:tc>
          <w:tcPr>
            <w:tcW w:w="2008" w:type="dxa"/>
            <w:tcBorders>
              <w:top w:val="nil"/>
              <w:left w:val="nil"/>
              <w:bottom w:val="single" w:sz="4" w:space="0" w:color="auto"/>
              <w:right w:val="single" w:sz="4" w:space="0" w:color="auto"/>
            </w:tcBorders>
            <w:shd w:val="clear" w:color="000000" w:fill="FFFFFF"/>
            <w:noWrap/>
            <w:vAlign w:val="bottom"/>
            <w:hideMark/>
          </w:tcPr>
          <w:p w14:paraId="7495369E" w14:textId="30218185" w:rsidR="00543241" w:rsidRPr="000D1437" w:rsidRDefault="00543241" w:rsidP="00543241">
            <w:pPr>
              <w:jc w:val="right"/>
              <w:rPr>
                <w:rFonts w:ascii="Times New Roman" w:hAnsi="Times New Roman"/>
                <w:sz w:val="14"/>
                <w:szCs w:val="14"/>
              </w:rPr>
            </w:pPr>
            <w:r w:rsidRPr="000D1437">
              <w:rPr>
                <w:sz w:val="14"/>
                <w:szCs w:val="14"/>
              </w:rPr>
              <w:t>-47,87</w:t>
            </w:r>
          </w:p>
        </w:tc>
      </w:tr>
      <w:tr w:rsidR="00543241" w:rsidRPr="00364545" w14:paraId="19CF70D4"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35599B2" w14:textId="0DB8222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541" w:type="dxa"/>
            <w:tcBorders>
              <w:top w:val="nil"/>
              <w:left w:val="nil"/>
              <w:bottom w:val="single" w:sz="4" w:space="0" w:color="auto"/>
              <w:right w:val="single" w:sz="4" w:space="0" w:color="auto"/>
            </w:tcBorders>
            <w:shd w:val="clear" w:color="000000" w:fill="FFFFFF"/>
            <w:noWrap/>
            <w:vAlign w:val="bottom"/>
            <w:hideMark/>
          </w:tcPr>
          <w:p w14:paraId="65F62E9C" w14:textId="10729D3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3066F48F" w14:textId="18060EEA"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78C0DC46" w14:textId="3B76E8D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2F09A65F"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vAlign w:val="center"/>
            <w:hideMark/>
          </w:tcPr>
          <w:p w14:paraId="4628312F" w14:textId="6C02574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541" w:type="dxa"/>
            <w:tcBorders>
              <w:top w:val="nil"/>
              <w:left w:val="nil"/>
              <w:bottom w:val="single" w:sz="4" w:space="0" w:color="auto"/>
              <w:right w:val="single" w:sz="4" w:space="0" w:color="auto"/>
            </w:tcBorders>
            <w:shd w:val="clear" w:color="000000" w:fill="FFFFFF"/>
            <w:noWrap/>
            <w:vAlign w:val="bottom"/>
            <w:hideMark/>
          </w:tcPr>
          <w:p w14:paraId="0EF3AC72" w14:textId="5BD07FE3"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352B591F" w14:textId="68C70F3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5B06CD95" w14:textId="37A086F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3147916C"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vAlign w:val="center"/>
            <w:hideMark/>
          </w:tcPr>
          <w:p w14:paraId="20404ACD" w14:textId="30DB3255"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541" w:type="dxa"/>
            <w:tcBorders>
              <w:top w:val="nil"/>
              <w:left w:val="nil"/>
              <w:bottom w:val="single" w:sz="4" w:space="0" w:color="auto"/>
              <w:right w:val="single" w:sz="4" w:space="0" w:color="auto"/>
            </w:tcBorders>
            <w:shd w:val="clear" w:color="000000" w:fill="FFFFFF"/>
            <w:noWrap/>
            <w:vAlign w:val="bottom"/>
            <w:hideMark/>
          </w:tcPr>
          <w:p w14:paraId="5D826E77" w14:textId="246618C8" w:rsidR="00543241" w:rsidRPr="000D1437" w:rsidRDefault="00543241" w:rsidP="00543241">
            <w:pPr>
              <w:jc w:val="right"/>
              <w:rPr>
                <w:rFonts w:ascii="Times New Roman" w:hAnsi="Times New Roman"/>
                <w:sz w:val="14"/>
                <w:szCs w:val="14"/>
              </w:rPr>
            </w:pPr>
            <w:r w:rsidRPr="000D1437">
              <w:rPr>
                <w:sz w:val="14"/>
                <w:szCs w:val="14"/>
              </w:rPr>
              <w:t>450,93</w:t>
            </w:r>
          </w:p>
        </w:tc>
        <w:tc>
          <w:tcPr>
            <w:tcW w:w="1541" w:type="dxa"/>
            <w:tcBorders>
              <w:top w:val="nil"/>
              <w:left w:val="nil"/>
              <w:bottom w:val="single" w:sz="4" w:space="0" w:color="auto"/>
              <w:right w:val="single" w:sz="4" w:space="0" w:color="auto"/>
            </w:tcBorders>
            <w:shd w:val="clear" w:color="000000" w:fill="FFFFFF"/>
            <w:noWrap/>
            <w:vAlign w:val="bottom"/>
            <w:hideMark/>
          </w:tcPr>
          <w:p w14:paraId="6FD4BCD2" w14:textId="7BD177D6" w:rsidR="00543241" w:rsidRPr="000D1437" w:rsidRDefault="00543241" w:rsidP="00543241">
            <w:pPr>
              <w:jc w:val="right"/>
              <w:rPr>
                <w:rFonts w:ascii="Times New Roman" w:hAnsi="Times New Roman"/>
                <w:sz w:val="14"/>
                <w:szCs w:val="14"/>
              </w:rPr>
            </w:pPr>
            <w:r w:rsidRPr="000D1437">
              <w:rPr>
                <w:sz w:val="14"/>
                <w:szCs w:val="14"/>
              </w:rPr>
              <w:t>459,72</w:t>
            </w:r>
          </w:p>
        </w:tc>
        <w:tc>
          <w:tcPr>
            <w:tcW w:w="2008" w:type="dxa"/>
            <w:tcBorders>
              <w:top w:val="nil"/>
              <w:left w:val="nil"/>
              <w:bottom w:val="single" w:sz="4" w:space="0" w:color="auto"/>
              <w:right w:val="single" w:sz="4" w:space="0" w:color="auto"/>
            </w:tcBorders>
            <w:shd w:val="clear" w:color="000000" w:fill="FFFFFF"/>
            <w:noWrap/>
            <w:vAlign w:val="bottom"/>
            <w:hideMark/>
          </w:tcPr>
          <w:p w14:paraId="4F5CAC37" w14:textId="2DEF3C03" w:rsidR="00543241" w:rsidRPr="000D1437" w:rsidRDefault="00543241" w:rsidP="00543241">
            <w:pPr>
              <w:jc w:val="right"/>
              <w:rPr>
                <w:rFonts w:ascii="Times New Roman" w:hAnsi="Times New Roman"/>
                <w:sz w:val="14"/>
                <w:szCs w:val="14"/>
              </w:rPr>
            </w:pPr>
            <w:r w:rsidRPr="000D1437">
              <w:rPr>
                <w:sz w:val="14"/>
                <w:szCs w:val="14"/>
              </w:rPr>
              <w:t>-30,24</w:t>
            </w:r>
          </w:p>
        </w:tc>
      </w:tr>
      <w:tr w:rsidR="00543241" w:rsidRPr="00364545" w14:paraId="4B21A97D"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1A2B51A" w14:textId="6426C450"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541" w:type="dxa"/>
            <w:tcBorders>
              <w:top w:val="nil"/>
              <w:left w:val="nil"/>
              <w:bottom w:val="single" w:sz="4" w:space="0" w:color="auto"/>
              <w:right w:val="single" w:sz="4" w:space="0" w:color="auto"/>
            </w:tcBorders>
            <w:shd w:val="clear" w:color="000000" w:fill="FFFFFF"/>
            <w:noWrap/>
            <w:vAlign w:val="bottom"/>
            <w:hideMark/>
          </w:tcPr>
          <w:p w14:paraId="7A0A6A41" w14:textId="4DDE0EE3" w:rsidR="00543241" w:rsidRPr="000D1437" w:rsidRDefault="00543241" w:rsidP="00543241">
            <w:pPr>
              <w:jc w:val="right"/>
              <w:rPr>
                <w:rFonts w:ascii="Times New Roman" w:hAnsi="Times New Roman"/>
                <w:sz w:val="14"/>
                <w:szCs w:val="14"/>
              </w:rPr>
            </w:pPr>
            <w:r w:rsidRPr="000D1437">
              <w:rPr>
                <w:sz w:val="14"/>
                <w:szCs w:val="14"/>
              </w:rPr>
              <w:t>0,06</w:t>
            </w:r>
          </w:p>
        </w:tc>
        <w:tc>
          <w:tcPr>
            <w:tcW w:w="1541" w:type="dxa"/>
            <w:tcBorders>
              <w:top w:val="nil"/>
              <w:left w:val="nil"/>
              <w:bottom w:val="single" w:sz="4" w:space="0" w:color="auto"/>
              <w:right w:val="single" w:sz="4" w:space="0" w:color="auto"/>
            </w:tcBorders>
            <w:shd w:val="clear" w:color="000000" w:fill="FFFFFF"/>
            <w:noWrap/>
            <w:vAlign w:val="bottom"/>
            <w:hideMark/>
          </w:tcPr>
          <w:p w14:paraId="7C9B2836" w14:textId="5AEE0576" w:rsidR="00543241" w:rsidRPr="000D1437" w:rsidRDefault="00543241" w:rsidP="00543241">
            <w:pPr>
              <w:jc w:val="right"/>
              <w:rPr>
                <w:rFonts w:ascii="Times New Roman" w:hAnsi="Times New Roman"/>
                <w:sz w:val="14"/>
                <w:szCs w:val="14"/>
              </w:rPr>
            </w:pPr>
            <w:r w:rsidRPr="000D1437">
              <w:rPr>
                <w:sz w:val="14"/>
                <w:szCs w:val="14"/>
              </w:rPr>
              <w:t>0,10</w:t>
            </w:r>
          </w:p>
        </w:tc>
        <w:tc>
          <w:tcPr>
            <w:tcW w:w="2008" w:type="dxa"/>
            <w:tcBorders>
              <w:top w:val="nil"/>
              <w:left w:val="nil"/>
              <w:bottom w:val="single" w:sz="4" w:space="0" w:color="auto"/>
              <w:right w:val="single" w:sz="4" w:space="0" w:color="auto"/>
            </w:tcBorders>
            <w:shd w:val="clear" w:color="000000" w:fill="FFFFFF"/>
            <w:noWrap/>
            <w:vAlign w:val="bottom"/>
            <w:hideMark/>
          </w:tcPr>
          <w:p w14:paraId="67628F55" w14:textId="78546864" w:rsidR="00543241" w:rsidRPr="000D1437" w:rsidRDefault="00543241" w:rsidP="00543241">
            <w:pPr>
              <w:jc w:val="right"/>
              <w:rPr>
                <w:rFonts w:ascii="Times New Roman" w:hAnsi="Times New Roman"/>
                <w:sz w:val="14"/>
                <w:szCs w:val="14"/>
              </w:rPr>
            </w:pPr>
            <w:r w:rsidRPr="000D1437">
              <w:rPr>
                <w:sz w:val="14"/>
                <w:szCs w:val="14"/>
              </w:rPr>
              <w:t>135,02</w:t>
            </w:r>
          </w:p>
        </w:tc>
      </w:tr>
      <w:tr w:rsidR="00543241" w:rsidRPr="00364545" w14:paraId="48FA64AE"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bottom"/>
            <w:hideMark/>
          </w:tcPr>
          <w:p w14:paraId="656FF2AE" w14:textId="3E461E4F"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3. Agriculture</w:t>
            </w:r>
          </w:p>
        </w:tc>
        <w:tc>
          <w:tcPr>
            <w:tcW w:w="1541" w:type="dxa"/>
            <w:tcBorders>
              <w:top w:val="nil"/>
              <w:left w:val="nil"/>
              <w:bottom w:val="single" w:sz="4" w:space="0" w:color="auto"/>
              <w:right w:val="single" w:sz="4" w:space="0" w:color="auto"/>
            </w:tcBorders>
            <w:shd w:val="clear" w:color="000000" w:fill="CCFFFF"/>
            <w:noWrap/>
            <w:vAlign w:val="bottom"/>
            <w:hideMark/>
          </w:tcPr>
          <w:p w14:paraId="12BDE7FD" w14:textId="5935AD14" w:rsidR="00543241" w:rsidRPr="000D1437" w:rsidRDefault="00543241" w:rsidP="00543241">
            <w:pPr>
              <w:jc w:val="right"/>
              <w:rPr>
                <w:rFonts w:ascii="Times New Roman" w:hAnsi="Times New Roman"/>
                <w:sz w:val="14"/>
                <w:szCs w:val="14"/>
              </w:rPr>
            </w:pPr>
            <w:r w:rsidRPr="000D1437">
              <w:rPr>
                <w:sz w:val="14"/>
                <w:szCs w:val="14"/>
              </w:rPr>
              <w:t>2032,25</w:t>
            </w:r>
          </w:p>
        </w:tc>
        <w:tc>
          <w:tcPr>
            <w:tcW w:w="1541" w:type="dxa"/>
            <w:tcBorders>
              <w:top w:val="nil"/>
              <w:left w:val="nil"/>
              <w:bottom w:val="single" w:sz="4" w:space="0" w:color="auto"/>
              <w:right w:val="single" w:sz="4" w:space="0" w:color="auto"/>
            </w:tcBorders>
            <w:shd w:val="clear" w:color="000000" w:fill="CCFFFF"/>
            <w:noWrap/>
            <w:vAlign w:val="bottom"/>
            <w:hideMark/>
          </w:tcPr>
          <w:p w14:paraId="1A79822B" w14:textId="7B3DAFB4" w:rsidR="00543241" w:rsidRPr="000D1437" w:rsidRDefault="00543241" w:rsidP="00543241">
            <w:pPr>
              <w:jc w:val="right"/>
              <w:rPr>
                <w:rFonts w:ascii="Times New Roman" w:hAnsi="Times New Roman"/>
                <w:sz w:val="14"/>
                <w:szCs w:val="14"/>
              </w:rPr>
            </w:pPr>
            <w:r w:rsidRPr="000D1437">
              <w:rPr>
                <w:sz w:val="14"/>
                <w:szCs w:val="14"/>
              </w:rPr>
              <w:t>1858,83</w:t>
            </w:r>
          </w:p>
        </w:tc>
        <w:tc>
          <w:tcPr>
            <w:tcW w:w="2008" w:type="dxa"/>
            <w:tcBorders>
              <w:top w:val="nil"/>
              <w:left w:val="nil"/>
              <w:bottom w:val="single" w:sz="4" w:space="0" w:color="auto"/>
              <w:right w:val="single" w:sz="4" w:space="0" w:color="auto"/>
            </w:tcBorders>
            <w:shd w:val="clear" w:color="000000" w:fill="CCFFFF"/>
            <w:noWrap/>
            <w:vAlign w:val="bottom"/>
            <w:hideMark/>
          </w:tcPr>
          <w:p w14:paraId="42837A5F" w14:textId="088A8B9F" w:rsidR="00543241" w:rsidRPr="000D1437" w:rsidRDefault="00543241" w:rsidP="00543241">
            <w:pPr>
              <w:jc w:val="right"/>
              <w:rPr>
                <w:rFonts w:ascii="Times New Roman" w:hAnsi="Times New Roman"/>
                <w:sz w:val="14"/>
                <w:szCs w:val="14"/>
              </w:rPr>
            </w:pPr>
            <w:r w:rsidRPr="000D1437">
              <w:rPr>
                <w:sz w:val="14"/>
                <w:szCs w:val="14"/>
              </w:rPr>
              <w:t>-1,84</w:t>
            </w:r>
          </w:p>
        </w:tc>
      </w:tr>
      <w:tr w:rsidR="00543241" w:rsidRPr="00364545" w14:paraId="3D69F0FD"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8F53CB4" w14:textId="23059019"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0326A8E6" w14:textId="461B16B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7D2A3B6B" w14:textId="1843876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58367D18" w14:textId="71AD7BB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620A12A2"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44EE9A3" w14:textId="2775C8E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0265CFE3" w14:textId="276FEF6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16E4D763" w14:textId="0C4006A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6427B2FA" w14:textId="0F4D06E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3C5EC186"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779CDAF" w14:textId="6CAA0EA0"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56D47D94" w14:textId="190E5630"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30E269CA" w14:textId="560D1E7E"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790127BF" w14:textId="5057A44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3C7275D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1A330454" w14:textId="53000ADB"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3239CB68" w14:textId="4D47510D"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6E3D13CB" w14:textId="43FD3E3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382D49BC" w14:textId="654852F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4EC3EF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E20341E" w14:textId="43AD61C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047C2969" w14:textId="22A3B429"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2A4D51B3" w14:textId="7D4347F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73440E79" w14:textId="192D662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3C38630"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638E2F3" w14:textId="6D8CF08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541" w:type="dxa"/>
            <w:tcBorders>
              <w:top w:val="nil"/>
              <w:left w:val="nil"/>
              <w:bottom w:val="single" w:sz="4" w:space="0" w:color="auto"/>
              <w:right w:val="single" w:sz="4" w:space="0" w:color="auto"/>
            </w:tcBorders>
            <w:shd w:val="clear" w:color="000000" w:fill="FFFFFF"/>
            <w:noWrap/>
            <w:vAlign w:val="bottom"/>
            <w:hideMark/>
          </w:tcPr>
          <w:p w14:paraId="0F674DDC" w14:textId="7DB43397"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0922B2A3" w14:textId="052C10C2"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132BD628" w14:textId="068BA15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09257B2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EFFA81E"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541" w:type="dxa"/>
            <w:tcBorders>
              <w:top w:val="nil"/>
              <w:left w:val="nil"/>
              <w:bottom w:val="single" w:sz="4" w:space="0" w:color="auto"/>
              <w:right w:val="single" w:sz="4" w:space="0" w:color="auto"/>
            </w:tcBorders>
            <w:shd w:val="clear" w:color="000000" w:fill="FFFFFF"/>
            <w:noWrap/>
            <w:vAlign w:val="bottom"/>
            <w:hideMark/>
          </w:tcPr>
          <w:p w14:paraId="40E16815" w14:textId="35B96FA8" w:rsidR="00543241" w:rsidRPr="000D1437" w:rsidRDefault="00543241" w:rsidP="00543241">
            <w:pPr>
              <w:jc w:val="right"/>
              <w:rPr>
                <w:rFonts w:ascii="Times New Roman" w:hAnsi="Times New Roman"/>
                <w:sz w:val="14"/>
                <w:szCs w:val="14"/>
              </w:rPr>
            </w:pPr>
            <w:r w:rsidRPr="000D1437">
              <w:rPr>
                <w:sz w:val="14"/>
                <w:szCs w:val="14"/>
              </w:rPr>
              <w:t>668,64</w:t>
            </w:r>
          </w:p>
        </w:tc>
        <w:tc>
          <w:tcPr>
            <w:tcW w:w="1541" w:type="dxa"/>
            <w:tcBorders>
              <w:top w:val="nil"/>
              <w:left w:val="nil"/>
              <w:bottom w:val="single" w:sz="4" w:space="0" w:color="auto"/>
              <w:right w:val="single" w:sz="4" w:space="0" w:color="auto"/>
            </w:tcBorders>
            <w:shd w:val="clear" w:color="000000" w:fill="FFFFFF"/>
            <w:noWrap/>
            <w:vAlign w:val="bottom"/>
            <w:hideMark/>
          </w:tcPr>
          <w:p w14:paraId="2262B7A9" w14:textId="25FD4CD6" w:rsidR="00543241" w:rsidRPr="000D1437" w:rsidRDefault="00543241" w:rsidP="00543241">
            <w:pPr>
              <w:jc w:val="right"/>
              <w:rPr>
                <w:rFonts w:ascii="Times New Roman" w:hAnsi="Times New Roman"/>
                <w:sz w:val="14"/>
                <w:szCs w:val="14"/>
              </w:rPr>
            </w:pPr>
            <w:r w:rsidRPr="000D1437">
              <w:rPr>
                <w:sz w:val="14"/>
                <w:szCs w:val="14"/>
              </w:rPr>
              <w:t>640,81</w:t>
            </w:r>
          </w:p>
        </w:tc>
        <w:tc>
          <w:tcPr>
            <w:tcW w:w="2008" w:type="dxa"/>
            <w:tcBorders>
              <w:top w:val="nil"/>
              <w:left w:val="nil"/>
              <w:bottom w:val="single" w:sz="4" w:space="0" w:color="auto"/>
              <w:right w:val="single" w:sz="4" w:space="0" w:color="auto"/>
            </w:tcBorders>
            <w:shd w:val="clear" w:color="000000" w:fill="FFFFFF"/>
            <w:noWrap/>
            <w:vAlign w:val="bottom"/>
            <w:hideMark/>
          </w:tcPr>
          <w:p w14:paraId="402C938E" w14:textId="01796831" w:rsidR="00543241" w:rsidRPr="000D1437" w:rsidRDefault="00543241" w:rsidP="00543241">
            <w:pPr>
              <w:jc w:val="right"/>
              <w:rPr>
                <w:rFonts w:ascii="Times New Roman" w:hAnsi="Times New Roman"/>
                <w:sz w:val="14"/>
                <w:szCs w:val="14"/>
              </w:rPr>
            </w:pPr>
            <w:r w:rsidRPr="000D1437">
              <w:rPr>
                <w:sz w:val="14"/>
                <w:szCs w:val="14"/>
              </w:rPr>
              <w:t>-29,99</w:t>
            </w:r>
          </w:p>
        </w:tc>
      </w:tr>
      <w:tr w:rsidR="00543241" w:rsidRPr="00364545" w14:paraId="3DAD0B7A"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DF2C628" w14:textId="7777777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541" w:type="dxa"/>
            <w:tcBorders>
              <w:top w:val="nil"/>
              <w:left w:val="nil"/>
              <w:bottom w:val="single" w:sz="4" w:space="0" w:color="auto"/>
              <w:right w:val="single" w:sz="4" w:space="0" w:color="auto"/>
            </w:tcBorders>
            <w:shd w:val="clear" w:color="000000" w:fill="FFFFFF"/>
            <w:noWrap/>
            <w:vAlign w:val="bottom"/>
            <w:hideMark/>
          </w:tcPr>
          <w:p w14:paraId="65A8ECCE" w14:textId="299EC6FD" w:rsidR="00543241" w:rsidRPr="000D1437" w:rsidRDefault="00543241" w:rsidP="00543241">
            <w:pPr>
              <w:jc w:val="right"/>
              <w:rPr>
                <w:rFonts w:ascii="Times New Roman" w:hAnsi="Times New Roman"/>
                <w:sz w:val="14"/>
                <w:szCs w:val="14"/>
              </w:rPr>
            </w:pPr>
            <w:r w:rsidRPr="000D1437">
              <w:rPr>
                <w:sz w:val="14"/>
                <w:szCs w:val="14"/>
              </w:rPr>
              <w:t>1 211,16</w:t>
            </w:r>
          </w:p>
        </w:tc>
        <w:tc>
          <w:tcPr>
            <w:tcW w:w="1541" w:type="dxa"/>
            <w:tcBorders>
              <w:top w:val="nil"/>
              <w:left w:val="nil"/>
              <w:bottom w:val="single" w:sz="4" w:space="0" w:color="auto"/>
              <w:right w:val="single" w:sz="4" w:space="0" w:color="auto"/>
            </w:tcBorders>
            <w:shd w:val="clear" w:color="000000" w:fill="FFFFFF"/>
            <w:noWrap/>
            <w:vAlign w:val="bottom"/>
            <w:hideMark/>
          </w:tcPr>
          <w:p w14:paraId="1C9199D8" w14:textId="4B44B1AD" w:rsidR="00543241" w:rsidRPr="000D1437" w:rsidRDefault="00543241" w:rsidP="00543241">
            <w:pPr>
              <w:jc w:val="right"/>
              <w:rPr>
                <w:rFonts w:ascii="Times New Roman" w:hAnsi="Times New Roman"/>
                <w:sz w:val="14"/>
                <w:szCs w:val="14"/>
              </w:rPr>
            </w:pPr>
            <w:r w:rsidRPr="000D1437">
              <w:rPr>
                <w:sz w:val="14"/>
                <w:szCs w:val="14"/>
              </w:rPr>
              <w:t>1 036,18</w:t>
            </w:r>
          </w:p>
        </w:tc>
        <w:tc>
          <w:tcPr>
            <w:tcW w:w="2008" w:type="dxa"/>
            <w:tcBorders>
              <w:top w:val="nil"/>
              <w:left w:val="nil"/>
              <w:bottom w:val="single" w:sz="4" w:space="0" w:color="auto"/>
              <w:right w:val="single" w:sz="4" w:space="0" w:color="auto"/>
            </w:tcBorders>
            <w:shd w:val="clear" w:color="000000" w:fill="FFFFFF"/>
            <w:noWrap/>
            <w:vAlign w:val="bottom"/>
            <w:hideMark/>
          </w:tcPr>
          <w:p w14:paraId="18C7A260" w14:textId="2561100E" w:rsidR="00543241" w:rsidRPr="000D1437" w:rsidRDefault="00543241" w:rsidP="00543241">
            <w:pPr>
              <w:jc w:val="right"/>
              <w:rPr>
                <w:rFonts w:ascii="Times New Roman" w:hAnsi="Times New Roman"/>
                <w:sz w:val="14"/>
                <w:szCs w:val="14"/>
              </w:rPr>
            </w:pPr>
            <w:r w:rsidRPr="000D1437">
              <w:rPr>
                <w:sz w:val="14"/>
                <w:szCs w:val="14"/>
              </w:rPr>
              <w:t>21,88</w:t>
            </w:r>
          </w:p>
        </w:tc>
      </w:tr>
      <w:tr w:rsidR="00543241" w:rsidRPr="00364545" w14:paraId="0EC4EC33"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29E0F8D" w14:textId="52F52238"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541" w:type="dxa"/>
            <w:tcBorders>
              <w:top w:val="nil"/>
              <w:left w:val="nil"/>
              <w:bottom w:val="single" w:sz="4" w:space="0" w:color="auto"/>
              <w:right w:val="single" w:sz="4" w:space="0" w:color="auto"/>
            </w:tcBorders>
            <w:shd w:val="clear" w:color="000000" w:fill="FFFFFF"/>
            <w:noWrap/>
            <w:vAlign w:val="bottom"/>
            <w:hideMark/>
          </w:tcPr>
          <w:p w14:paraId="74C771F4" w14:textId="17B1AEEC" w:rsidR="00543241" w:rsidRPr="000D1437" w:rsidRDefault="00543241" w:rsidP="00543241">
            <w:pPr>
              <w:jc w:val="right"/>
              <w:rPr>
                <w:rFonts w:ascii="Times New Roman" w:hAnsi="Times New Roman"/>
                <w:sz w:val="14"/>
                <w:szCs w:val="14"/>
              </w:rPr>
            </w:pPr>
            <w:r w:rsidRPr="000D1437">
              <w:rPr>
                <w:sz w:val="14"/>
                <w:szCs w:val="14"/>
              </w:rPr>
              <w:t>152,44</w:t>
            </w:r>
          </w:p>
        </w:tc>
        <w:tc>
          <w:tcPr>
            <w:tcW w:w="1541" w:type="dxa"/>
            <w:tcBorders>
              <w:top w:val="nil"/>
              <w:left w:val="nil"/>
              <w:bottom w:val="single" w:sz="4" w:space="0" w:color="auto"/>
              <w:right w:val="single" w:sz="4" w:space="0" w:color="auto"/>
            </w:tcBorders>
            <w:shd w:val="clear" w:color="000000" w:fill="FFFFFF"/>
            <w:noWrap/>
            <w:vAlign w:val="bottom"/>
            <w:hideMark/>
          </w:tcPr>
          <w:p w14:paraId="226BA6C3" w14:textId="1690524D" w:rsidR="00543241" w:rsidRPr="000D1437" w:rsidRDefault="00543241" w:rsidP="00543241">
            <w:pPr>
              <w:jc w:val="right"/>
              <w:rPr>
                <w:rFonts w:ascii="Times New Roman" w:hAnsi="Times New Roman"/>
                <w:sz w:val="14"/>
                <w:szCs w:val="14"/>
              </w:rPr>
            </w:pPr>
            <w:r w:rsidRPr="000D1437">
              <w:rPr>
                <w:sz w:val="14"/>
                <w:szCs w:val="14"/>
              </w:rPr>
              <w:t>181,84</w:t>
            </w:r>
          </w:p>
        </w:tc>
        <w:tc>
          <w:tcPr>
            <w:tcW w:w="2008" w:type="dxa"/>
            <w:tcBorders>
              <w:top w:val="nil"/>
              <w:left w:val="nil"/>
              <w:bottom w:val="single" w:sz="4" w:space="0" w:color="auto"/>
              <w:right w:val="single" w:sz="4" w:space="0" w:color="auto"/>
            </w:tcBorders>
            <w:shd w:val="clear" w:color="000000" w:fill="FFFFFF"/>
            <w:noWrap/>
            <w:vAlign w:val="bottom"/>
            <w:hideMark/>
          </w:tcPr>
          <w:p w14:paraId="16E949E7" w14:textId="39B22126" w:rsidR="00543241" w:rsidRPr="000D1437" w:rsidRDefault="00543241" w:rsidP="00543241">
            <w:pPr>
              <w:jc w:val="right"/>
              <w:rPr>
                <w:rFonts w:ascii="Times New Roman" w:hAnsi="Times New Roman"/>
                <w:sz w:val="14"/>
                <w:szCs w:val="14"/>
              </w:rPr>
            </w:pPr>
            <w:r w:rsidRPr="000D1437">
              <w:rPr>
                <w:sz w:val="14"/>
                <w:szCs w:val="14"/>
              </w:rPr>
              <w:t>41,88</w:t>
            </w:r>
          </w:p>
        </w:tc>
      </w:tr>
      <w:tr w:rsidR="00543241" w:rsidRPr="00364545" w14:paraId="40ECAA48"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3A62CBB" w14:textId="212EA5D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541" w:type="dxa"/>
            <w:tcBorders>
              <w:top w:val="nil"/>
              <w:left w:val="nil"/>
              <w:bottom w:val="single" w:sz="4" w:space="0" w:color="auto"/>
              <w:right w:val="single" w:sz="4" w:space="0" w:color="auto"/>
            </w:tcBorders>
            <w:shd w:val="clear" w:color="000000" w:fill="FFFFFF"/>
            <w:noWrap/>
            <w:vAlign w:val="bottom"/>
            <w:hideMark/>
          </w:tcPr>
          <w:p w14:paraId="090ED15C" w14:textId="01AE8C18" w:rsidR="00543241" w:rsidRPr="000D1437" w:rsidRDefault="00543241" w:rsidP="00543241">
            <w:pPr>
              <w:jc w:val="right"/>
              <w:rPr>
                <w:rFonts w:ascii="Times New Roman" w:hAnsi="Times New Roman"/>
                <w:sz w:val="14"/>
                <w:szCs w:val="14"/>
              </w:rPr>
            </w:pPr>
            <w:r w:rsidRPr="000D1437">
              <w:rPr>
                <w:sz w:val="14"/>
                <w:szCs w:val="14"/>
              </w:rPr>
              <w:t>NO</w:t>
            </w:r>
          </w:p>
        </w:tc>
        <w:tc>
          <w:tcPr>
            <w:tcW w:w="1541" w:type="dxa"/>
            <w:tcBorders>
              <w:top w:val="nil"/>
              <w:left w:val="nil"/>
              <w:bottom w:val="single" w:sz="4" w:space="0" w:color="auto"/>
              <w:right w:val="single" w:sz="4" w:space="0" w:color="auto"/>
            </w:tcBorders>
            <w:shd w:val="clear" w:color="000000" w:fill="FFFFFF"/>
            <w:noWrap/>
            <w:vAlign w:val="bottom"/>
            <w:hideMark/>
          </w:tcPr>
          <w:p w14:paraId="18827E95" w14:textId="20412DAB" w:rsidR="00543241" w:rsidRPr="000D1437" w:rsidRDefault="00543241" w:rsidP="00543241">
            <w:pPr>
              <w:jc w:val="right"/>
              <w:rPr>
                <w:rFonts w:ascii="Times New Roman" w:hAnsi="Times New Roman"/>
                <w:sz w:val="14"/>
                <w:szCs w:val="14"/>
              </w:rPr>
            </w:pPr>
            <w:r w:rsidRPr="000D1437">
              <w:rPr>
                <w:sz w:val="14"/>
                <w:szCs w:val="14"/>
              </w:rPr>
              <w:t>NO</w:t>
            </w:r>
          </w:p>
        </w:tc>
        <w:tc>
          <w:tcPr>
            <w:tcW w:w="2008" w:type="dxa"/>
            <w:tcBorders>
              <w:top w:val="nil"/>
              <w:left w:val="nil"/>
              <w:bottom w:val="single" w:sz="4" w:space="0" w:color="auto"/>
              <w:right w:val="single" w:sz="4" w:space="0" w:color="auto"/>
            </w:tcBorders>
            <w:shd w:val="clear" w:color="000000" w:fill="FFFFFF"/>
            <w:noWrap/>
            <w:vAlign w:val="bottom"/>
            <w:hideMark/>
          </w:tcPr>
          <w:p w14:paraId="613ECA88" w14:textId="7F81AE65"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51375183"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bottom"/>
            <w:hideMark/>
          </w:tcPr>
          <w:p w14:paraId="524D750E"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541" w:type="dxa"/>
            <w:tcBorders>
              <w:top w:val="nil"/>
              <w:left w:val="nil"/>
              <w:bottom w:val="single" w:sz="4" w:space="0" w:color="auto"/>
              <w:right w:val="single" w:sz="4" w:space="0" w:color="auto"/>
            </w:tcBorders>
            <w:shd w:val="clear" w:color="000000" w:fill="CCFFFF"/>
            <w:noWrap/>
            <w:vAlign w:val="bottom"/>
            <w:hideMark/>
          </w:tcPr>
          <w:p w14:paraId="00907F51" w14:textId="2D0C4F28" w:rsidR="00543241" w:rsidRPr="000D1437" w:rsidRDefault="00543241" w:rsidP="00543241">
            <w:pPr>
              <w:jc w:val="right"/>
              <w:rPr>
                <w:rFonts w:ascii="Times New Roman" w:hAnsi="Times New Roman"/>
                <w:sz w:val="14"/>
                <w:szCs w:val="14"/>
              </w:rPr>
            </w:pPr>
            <w:r w:rsidRPr="000D1437">
              <w:rPr>
                <w:sz w:val="14"/>
                <w:szCs w:val="14"/>
              </w:rPr>
              <w:t>-16293,04</w:t>
            </w:r>
          </w:p>
        </w:tc>
        <w:tc>
          <w:tcPr>
            <w:tcW w:w="1541" w:type="dxa"/>
            <w:tcBorders>
              <w:top w:val="nil"/>
              <w:left w:val="nil"/>
              <w:bottom w:val="single" w:sz="4" w:space="0" w:color="auto"/>
              <w:right w:val="single" w:sz="4" w:space="0" w:color="auto"/>
            </w:tcBorders>
            <w:shd w:val="clear" w:color="000000" w:fill="CCFFFF"/>
            <w:noWrap/>
            <w:vAlign w:val="bottom"/>
            <w:hideMark/>
          </w:tcPr>
          <w:p w14:paraId="4271091D" w14:textId="4C456BC0" w:rsidR="00543241" w:rsidRPr="000D1437" w:rsidRDefault="00543241" w:rsidP="00543241">
            <w:pPr>
              <w:jc w:val="right"/>
              <w:rPr>
                <w:rFonts w:ascii="Times New Roman" w:hAnsi="Times New Roman"/>
                <w:sz w:val="14"/>
                <w:szCs w:val="14"/>
              </w:rPr>
            </w:pPr>
            <w:r w:rsidRPr="000D1437">
              <w:rPr>
                <w:sz w:val="14"/>
                <w:szCs w:val="14"/>
              </w:rPr>
              <w:t>-17961,34</w:t>
            </w:r>
          </w:p>
        </w:tc>
        <w:tc>
          <w:tcPr>
            <w:tcW w:w="2008" w:type="dxa"/>
            <w:tcBorders>
              <w:top w:val="nil"/>
              <w:left w:val="nil"/>
              <w:bottom w:val="single" w:sz="4" w:space="0" w:color="auto"/>
              <w:right w:val="single" w:sz="4" w:space="0" w:color="auto"/>
            </w:tcBorders>
            <w:shd w:val="clear" w:color="000000" w:fill="CCFFFF"/>
            <w:noWrap/>
            <w:vAlign w:val="bottom"/>
            <w:hideMark/>
          </w:tcPr>
          <w:p w14:paraId="05776A57" w14:textId="1E4383C3" w:rsidR="00543241" w:rsidRPr="000D1437" w:rsidRDefault="00543241" w:rsidP="00543241">
            <w:pPr>
              <w:jc w:val="right"/>
              <w:rPr>
                <w:rFonts w:ascii="Times New Roman" w:hAnsi="Times New Roman"/>
                <w:sz w:val="14"/>
                <w:szCs w:val="14"/>
              </w:rPr>
            </w:pPr>
            <w:r w:rsidRPr="000D1437">
              <w:rPr>
                <w:sz w:val="14"/>
                <w:szCs w:val="14"/>
              </w:rPr>
              <w:t>-36,18</w:t>
            </w:r>
          </w:p>
        </w:tc>
      </w:tr>
      <w:tr w:rsidR="00543241" w:rsidRPr="00364545" w14:paraId="675F126E"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23EFA7C" w14:textId="159C3D36"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541" w:type="dxa"/>
            <w:tcBorders>
              <w:top w:val="nil"/>
              <w:left w:val="nil"/>
              <w:bottom w:val="single" w:sz="4" w:space="0" w:color="auto"/>
              <w:right w:val="single" w:sz="4" w:space="0" w:color="auto"/>
            </w:tcBorders>
            <w:shd w:val="clear" w:color="000000" w:fill="FFFFFF"/>
            <w:noWrap/>
            <w:vAlign w:val="bottom"/>
            <w:hideMark/>
          </w:tcPr>
          <w:p w14:paraId="551C5677" w14:textId="1F228F9B" w:rsidR="00543241" w:rsidRPr="000D1437" w:rsidRDefault="00543241" w:rsidP="00543241">
            <w:pPr>
              <w:jc w:val="right"/>
              <w:rPr>
                <w:rFonts w:ascii="Times New Roman" w:hAnsi="Times New Roman"/>
                <w:sz w:val="14"/>
                <w:szCs w:val="14"/>
              </w:rPr>
            </w:pPr>
            <w:r w:rsidRPr="000D1437">
              <w:rPr>
                <w:sz w:val="14"/>
                <w:szCs w:val="14"/>
              </w:rPr>
              <w:t>-30 069,05</w:t>
            </w:r>
          </w:p>
        </w:tc>
        <w:tc>
          <w:tcPr>
            <w:tcW w:w="1541" w:type="dxa"/>
            <w:tcBorders>
              <w:top w:val="nil"/>
              <w:left w:val="nil"/>
              <w:bottom w:val="single" w:sz="4" w:space="0" w:color="auto"/>
              <w:right w:val="single" w:sz="4" w:space="0" w:color="auto"/>
            </w:tcBorders>
            <w:shd w:val="clear" w:color="000000" w:fill="FFFFFF"/>
            <w:noWrap/>
            <w:vAlign w:val="bottom"/>
            <w:hideMark/>
          </w:tcPr>
          <w:p w14:paraId="3B2DF0E4" w14:textId="0BEBF6E4" w:rsidR="00543241" w:rsidRPr="000D1437" w:rsidRDefault="00543241" w:rsidP="00543241">
            <w:pPr>
              <w:jc w:val="right"/>
              <w:rPr>
                <w:rFonts w:ascii="Times New Roman" w:hAnsi="Times New Roman"/>
                <w:sz w:val="14"/>
                <w:szCs w:val="14"/>
              </w:rPr>
            </w:pPr>
            <w:r w:rsidRPr="000D1437">
              <w:rPr>
                <w:sz w:val="14"/>
                <w:szCs w:val="14"/>
              </w:rPr>
              <w:t>-31 389,29</w:t>
            </w:r>
          </w:p>
        </w:tc>
        <w:tc>
          <w:tcPr>
            <w:tcW w:w="2008" w:type="dxa"/>
            <w:tcBorders>
              <w:top w:val="nil"/>
              <w:left w:val="nil"/>
              <w:bottom w:val="single" w:sz="4" w:space="0" w:color="auto"/>
              <w:right w:val="single" w:sz="4" w:space="0" w:color="auto"/>
            </w:tcBorders>
            <w:shd w:val="clear" w:color="000000" w:fill="FFFFFF"/>
            <w:noWrap/>
            <w:vAlign w:val="bottom"/>
            <w:hideMark/>
          </w:tcPr>
          <w:p w14:paraId="6C7F369D" w14:textId="766B4A8A" w:rsidR="00543241" w:rsidRPr="000D1437" w:rsidRDefault="00543241" w:rsidP="00543241">
            <w:pPr>
              <w:jc w:val="right"/>
              <w:rPr>
                <w:rFonts w:ascii="Times New Roman" w:hAnsi="Times New Roman"/>
                <w:sz w:val="14"/>
                <w:szCs w:val="14"/>
              </w:rPr>
            </w:pPr>
            <w:r w:rsidRPr="000D1437">
              <w:rPr>
                <w:sz w:val="14"/>
                <w:szCs w:val="14"/>
              </w:rPr>
              <w:t>-20,76</w:t>
            </w:r>
          </w:p>
        </w:tc>
      </w:tr>
      <w:tr w:rsidR="00543241" w:rsidRPr="00364545" w14:paraId="3FFCA0F6"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552E74B" w14:textId="25E504E1"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541" w:type="dxa"/>
            <w:tcBorders>
              <w:top w:val="nil"/>
              <w:left w:val="nil"/>
              <w:bottom w:val="single" w:sz="4" w:space="0" w:color="auto"/>
              <w:right w:val="single" w:sz="4" w:space="0" w:color="auto"/>
            </w:tcBorders>
            <w:shd w:val="clear" w:color="000000" w:fill="FFFFFF"/>
            <w:noWrap/>
            <w:vAlign w:val="bottom"/>
            <w:hideMark/>
          </w:tcPr>
          <w:p w14:paraId="18800037" w14:textId="0D177570" w:rsidR="00543241" w:rsidRPr="000D1437" w:rsidRDefault="00543241" w:rsidP="00543241">
            <w:pPr>
              <w:jc w:val="right"/>
              <w:rPr>
                <w:rFonts w:ascii="Times New Roman" w:hAnsi="Times New Roman"/>
                <w:sz w:val="14"/>
                <w:szCs w:val="14"/>
              </w:rPr>
            </w:pPr>
            <w:r w:rsidRPr="000D1437">
              <w:rPr>
                <w:sz w:val="14"/>
                <w:szCs w:val="14"/>
              </w:rPr>
              <w:t>11 736,41</w:t>
            </w:r>
          </w:p>
        </w:tc>
        <w:tc>
          <w:tcPr>
            <w:tcW w:w="1541" w:type="dxa"/>
            <w:tcBorders>
              <w:top w:val="nil"/>
              <w:left w:val="nil"/>
              <w:bottom w:val="single" w:sz="4" w:space="0" w:color="auto"/>
              <w:right w:val="single" w:sz="4" w:space="0" w:color="auto"/>
            </w:tcBorders>
            <w:shd w:val="clear" w:color="000000" w:fill="FFFFFF"/>
            <w:noWrap/>
            <w:vAlign w:val="bottom"/>
            <w:hideMark/>
          </w:tcPr>
          <w:p w14:paraId="0194FAE7" w14:textId="58011357" w:rsidR="00543241" w:rsidRPr="000D1437" w:rsidRDefault="00543241" w:rsidP="00543241">
            <w:pPr>
              <w:jc w:val="right"/>
              <w:rPr>
                <w:rFonts w:ascii="Times New Roman" w:hAnsi="Times New Roman"/>
                <w:sz w:val="14"/>
                <w:szCs w:val="14"/>
              </w:rPr>
            </w:pPr>
            <w:r w:rsidRPr="000D1437">
              <w:rPr>
                <w:sz w:val="14"/>
                <w:szCs w:val="14"/>
              </w:rPr>
              <w:t>11 507,10</w:t>
            </w:r>
          </w:p>
        </w:tc>
        <w:tc>
          <w:tcPr>
            <w:tcW w:w="2008" w:type="dxa"/>
            <w:tcBorders>
              <w:top w:val="nil"/>
              <w:left w:val="nil"/>
              <w:bottom w:val="single" w:sz="4" w:space="0" w:color="auto"/>
              <w:right w:val="single" w:sz="4" w:space="0" w:color="auto"/>
            </w:tcBorders>
            <w:shd w:val="clear" w:color="000000" w:fill="FFFFFF"/>
            <w:noWrap/>
            <w:vAlign w:val="bottom"/>
            <w:hideMark/>
          </w:tcPr>
          <w:p w14:paraId="4B6A16E1" w14:textId="3C4FDFA6" w:rsidR="00543241" w:rsidRPr="000D1437" w:rsidRDefault="00543241" w:rsidP="00543241">
            <w:pPr>
              <w:jc w:val="right"/>
              <w:rPr>
                <w:rFonts w:ascii="Times New Roman" w:hAnsi="Times New Roman"/>
                <w:sz w:val="14"/>
                <w:szCs w:val="14"/>
              </w:rPr>
            </w:pPr>
            <w:r w:rsidRPr="000D1437">
              <w:rPr>
                <w:sz w:val="14"/>
                <w:szCs w:val="14"/>
              </w:rPr>
              <w:t>-45,57</w:t>
            </w:r>
          </w:p>
        </w:tc>
      </w:tr>
      <w:tr w:rsidR="00543241" w:rsidRPr="00364545" w14:paraId="5105CAA4"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9B7DFE6" w14:textId="5DF8F16C"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541" w:type="dxa"/>
            <w:tcBorders>
              <w:top w:val="nil"/>
              <w:left w:val="nil"/>
              <w:bottom w:val="single" w:sz="4" w:space="0" w:color="auto"/>
              <w:right w:val="single" w:sz="4" w:space="0" w:color="auto"/>
            </w:tcBorders>
            <w:shd w:val="clear" w:color="000000" w:fill="FFFFFF"/>
            <w:noWrap/>
            <w:vAlign w:val="bottom"/>
            <w:hideMark/>
          </w:tcPr>
          <w:p w14:paraId="7E154EEC" w14:textId="5F43C47C" w:rsidR="00543241" w:rsidRPr="000D1437" w:rsidRDefault="00543241" w:rsidP="00543241">
            <w:pPr>
              <w:jc w:val="right"/>
              <w:rPr>
                <w:rFonts w:ascii="Times New Roman" w:hAnsi="Times New Roman"/>
                <w:sz w:val="14"/>
                <w:szCs w:val="14"/>
              </w:rPr>
            </w:pPr>
            <w:r w:rsidRPr="000D1437">
              <w:rPr>
                <w:sz w:val="14"/>
                <w:szCs w:val="14"/>
              </w:rPr>
              <w:t>-8 492,60</w:t>
            </w:r>
          </w:p>
        </w:tc>
        <w:tc>
          <w:tcPr>
            <w:tcW w:w="1541" w:type="dxa"/>
            <w:tcBorders>
              <w:top w:val="nil"/>
              <w:left w:val="nil"/>
              <w:bottom w:val="single" w:sz="4" w:space="0" w:color="auto"/>
              <w:right w:val="single" w:sz="4" w:space="0" w:color="auto"/>
            </w:tcBorders>
            <w:shd w:val="clear" w:color="000000" w:fill="FFFFFF"/>
            <w:noWrap/>
            <w:vAlign w:val="bottom"/>
            <w:hideMark/>
          </w:tcPr>
          <w:p w14:paraId="1281A1CF" w14:textId="45D5B970" w:rsidR="00543241" w:rsidRPr="000D1437" w:rsidRDefault="00543241" w:rsidP="00543241">
            <w:pPr>
              <w:jc w:val="right"/>
              <w:rPr>
                <w:rFonts w:ascii="Times New Roman" w:hAnsi="Times New Roman"/>
                <w:sz w:val="14"/>
                <w:szCs w:val="14"/>
              </w:rPr>
            </w:pPr>
            <w:r w:rsidRPr="000D1437">
              <w:rPr>
                <w:sz w:val="14"/>
                <w:szCs w:val="14"/>
              </w:rPr>
              <w:t>-8 543,35</w:t>
            </w:r>
          </w:p>
        </w:tc>
        <w:tc>
          <w:tcPr>
            <w:tcW w:w="2008" w:type="dxa"/>
            <w:tcBorders>
              <w:top w:val="nil"/>
              <w:left w:val="nil"/>
              <w:bottom w:val="single" w:sz="4" w:space="0" w:color="auto"/>
              <w:right w:val="single" w:sz="4" w:space="0" w:color="auto"/>
            </w:tcBorders>
            <w:shd w:val="clear" w:color="000000" w:fill="FFFFFF"/>
            <w:noWrap/>
            <w:vAlign w:val="bottom"/>
            <w:hideMark/>
          </w:tcPr>
          <w:p w14:paraId="12292F3C" w14:textId="3337E936" w:rsidR="00543241" w:rsidRPr="000D1437" w:rsidRDefault="00543241" w:rsidP="00543241">
            <w:pPr>
              <w:jc w:val="right"/>
              <w:rPr>
                <w:rFonts w:ascii="Times New Roman" w:hAnsi="Times New Roman"/>
                <w:sz w:val="14"/>
                <w:szCs w:val="14"/>
              </w:rPr>
            </w:pPr>
            <w:r w:rsidRPr="000D1437">
              <w:rPr>
                <w:sz w:val="14"/>
                <w:szCs w:val="14"/>
              </w:rPr>
              <w:t>-39,07</w:t>
            </w:r>
          </w:p>
        </w:tc>
      </w:tr>
      <w:tr w:rsidR="00543241" w:rsidRPr="00364545" w14:paraId="535E48D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63BD81B" w14:textId="3252933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541" w:type="dxa"/>
            <w:tcBorders>
              <w:top w:val="nil"/>
              <w:left w:val="nil"/>
              <w:bottom w:val="single" w:sz="4" w:space="0" w:color="auto"/>
              <w:right w:val="single" w:sz="4" w:space="0" w:color="auto"/>
            </w:tcBorders>
            <w:shd w:val="clear" w:color="000000" w:fill="FFFFFF"/>
            <w:noWrap/>
            <w:vAlign w:val="bottom"/>
            <w:hideMark/>
          </w:tcPr>
          <w:p w14:paraId="20DE7E8B" w14:textId="02FA8933" w:rsidR="00543241" w:rsidRPr="000D1437" w:rsidRDefault="00543241" w:rsidP="00543241">
            <w:pPr>
              <w:jc w:val="right"/>
              <w:rPr>
                <w:rFonts w:ascii="Times New Roman" w:hAnsi="Times New Roman"/>
                <w:sz w:val="14"/>
                <w:szCs w:val="14"/>
              </w:rPr>
            </w:pPr>
            <w:r w:rsidRPr="000D1437">
              <w:rPr>
                <w:sz w:val="14"/>
                <w:szCs w:val="14"/>
              </w:rPr>
              <w:t>494,98</w:t>
            </w:r>
          </w:p>
        </w:tc>
        <w:tc>
          <w:tcPr>
            <w:tcW w:w="1541" w:type="dxa"/>
            <w:tcBorders>
              <w:top w:val="nil"/>
              <w:left w:val="nil"/>
              <w:bottom w:val="single" w:sz="4" w:space="0" w:color="auto"/>
              <w:right w:val="single" w:sz="4" w:space="0" w:color="auto"/>
            </w:tcBorders>
            <w:shd w:val="clear" w:color="000000" w:fill="FFFFFF"/>
            <w:noWrap/>
            <w:vAlign w:val="bottom"/>
            <w:hideMark/>
          </w:tcPr>
          <w:p w14:paraId="12A96235" w14:textId="606E0F11" w:rsidR="00543241" w:rsidRPr="000D1437" w:rsidRDefault="00543241" w:rsidP="00543241">
            <w:pPr>
              <w:jc w:val="right"/>
              <w:rPr>
                <w:rFonts w:ascii="Times New Roman" w:hAnsi="Times New Roman"/>
                <w:sz w:val="14"/>
                <w:szCs w:val="14"/>
              </w:rPr>
            </w:pPr>
            <w:r w:rsidRPr="000D1437">
              <w:rPr>
                <w:sz w:val="14"/>
                <w:szCs w:val="14"/>
              </w:rPr>
              <w:t>494,83</w:t>
            </w:r>
          </w:p>
        </w:tc>
        <w:tc>
          <w:tcPr>
            <w:tcW w:w="2008" w:type="dxa"/>
            <w:tcBorders>
              <w:top w:val="nil"/>
              <w:left w:val="nil"/>
              <w:bottom w:val="single" w:sz="4" w:space="0" w:color="auto"/>
              <w:right w:val="single" w:sz="4" w:space="0" w:color="auto"/>
            </w:tcBorders>
            <w:shd w:val="clear" w:color="000000" w:fill="FFFFFF"/>
            <w:noWrap/>
            <w:vAlign w:val="bottom"/>
            <w:hideMark/>
          </w:tcPr>
          <w:p w14:paraId="07293837" w14:textId="7944D917" w:rsidR="00543241" w:rsidRPr="000D1437" w:rsidRDefault="00543241" w:rsidP="00543241">
            <w:pPr>
              <w:jc w:val="right"/>
              <w:rPr>
                <w:rFonts w:ascii="Times New Roman" w:hAnsi="Times New Roman"/>
                <w:sz w:val="14"/>
                <w:szCs w:val="14"/>
              </w:rPr>
            </w:pPr>
            <w:r w:rsidRPr="000D1437">
              <w:rPr>
                <w:sz w:val="14"/>
                <w:szCs w:val="14"/>
              </w:rPr>
              <w:t>38,17</w:t>
            </w:r>
          </w:p>
        </w:tc>
      </w:tr>
      <w:tr w:rsidR="00543241" w:rsidRPr="00364545" w14:paraId="28EBCB12"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31DE035" w14:textId="24E6ED7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541" w:type="dxa"/>
            <w:tcBorders>
              <w:top w:val="nil"/>
              <w:left w:val="nil"/>
              <w:bottom w:val="single" w:sz="4" w:space="0" w:color="auto"/>
              <w:right w:val="single" w:sz="4" w:space="0" w:color="auto"/>
            </w:tcBorders>
            <w:shd w:val="clear" w:color="000000" w:fill="FFFFFF"/>
            <w:noWrap/>
            <w:vAlign w:val="bottom"/>
            <w:hideMark/>
          </w:tcPr>
          <w:p w14:paraId="0C2F4B9E" w14:textId="614936FF" w:rsidR="00543241" w:rsidRPr="000D1437" w:rsidRDefault="00543241" w:rsidP="00543241">
            <w:pPr>
              <w:jc w:val="right"/>
              <w:rPr>
                <w:rFonts w:ascii="Times New Roman" w:hAnsi="Times New Roman"/>
                <w:sz w:val="14"/>
                <w:szCs w:val="14"/>
              </w:rPr>
            </w:pPr>
            <w:r w:rsidRPr="000D1437">
              <w:rPr>
                <w:sz w:val="14"/>
                <w:szCs w:val="14"/>
              </w:rPr>
              <w:t>10 759,41</w:t>
            </w:r>
          </w:p>
        </w:tc>
        <w:tc>
          <w:tcPr>
            <w:tcW w:w="1541" w:type="dxa"/>
            <w:tcBorders>
              <w:top w:val="nil"/>
              <w:left w:val="nil"/>
              <w:bottom w:val="single" w:sz="4" w:space="0" w:color="auto"/>
              <w:right w:val="single" w:sz="4" w:space="0" w:color="auto"/>
            </w:tcBorders>
            <w:shd w:val="clear" w:color="000000" w:fill="FFFFFF"/>
            <w:noWrap/>
            <w:vAlign w:val="bottom"/>
            <w:hideMark/>
          </w:tcPr>
          <w:p w14:paraId="0D749144" w14:textId="50CFC75A" w:rsidR="00543241" w:rsidRPr="000D1437" w:rsidRDefault="00543241" w:rsidP="00543241">
            <w:pPr>
              <w:jc w:val="right"/>
              <w:rPr>
                <w:rFonts w:ascii="Times New Roman" w:hAnsi="Times New Roman"/>
                <w:sz w:val="14"/>
                <w:szCs w:val="14"/>
              </w:rPr>
            </w:pPr>
            <w:r w:rsidRPr="000D1437">
              <w:rPr>
                <w:sz w:val="14"/>
                <w:szCs w:val="14"/>
              </w:rPr>
              <w:t>10 743,98</w:t>
            </w:r>
          </w:p>
        </w:tc>
        <w:tc>
          <w:tcPr>
            <w:tcW w:w="2008" w:type="dxa"/>
            <w:tcBorders>
              <w:top w:val="nil"/>
              <w:left w:val="nil"/>
              <w:bottom w:val="single" w:sz="4" w:space="0" w:color="auto"/>
              <w:right w:val="single" w:sz="4" w:space="0" w:color="auto"/>
            </w:tcBorders>
            <w:shd w:val="clear" w:color="000000" w:fill="FFFFFF"/>
            <w:noWrap/>
            <w:vAlign w:val="bottom"/>
            <w:hideMark/>
          </w:tcPr>
          <w:p w14:paraId="4BF59F44" w14:textId="4E1FA50E" w:rsidR="00543241" w:rsidRPr="000D1437" w:rsidRDefault="00543241" w:rsidP="00543241">
            <w:pPr>
              <w:jc w:val="right"/>
              <w:rPr>
                <w:rFonts w:ascii="Times New Roman" w:hAnsi="Times New Roman"/>
                <w:sz w:val="14"/>
                <w:szCs w:val="14"/>
              </w:rPr>
            </w:pPr>
            <w:r w:rsidRPr="000D1437">
              <w:rPr>
                <w:sz w:val="14"/>
                <w:szCs w:val="14"/>
              </w:rPr>
              <w:t>18,18</w:t>
            </w:r>
          </w:p>
        </w:tc>
      </w:tr>
      <w:tr w:rsidR="00543241" w:rsidRPr="00364545" w14:paraId="14E6B2C7"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8DA436F" w14:textId="4A31B0F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541" w:type="dxa"/>
            <w:tcBorders>
              <w:top w:val="nil"/>
              <w:left w:val="nil"/>
              <w:bottom w:val="single" w:sz="4" w:space="0" w:color="auto"/>
              <w:right w:val="single" w:sz="4" w:space="0" w:color="auto"/>
            </w:tcBorders>
            <w:shd w:val="clear" w:color="000000" w:fill="FFFFFF"/>
            <w:noWrap/>
            <w:vAlign w:val="bottom"/>
            <w:hideMark/>
          </w:tcPr>
          <w:p w14:paraId="6859E79E" w14:textId="2F0BF05D" w:rsidR="00543241" w:rsidRPr="000D1437" w:rsidRDefault="00543241" w:rsidP="00543241">
            <w:pPr>
              <w:jc w:val="right"/>
              <w:rPr>
                <w:rFonts w:ascii="Times New Roman" w:hAnsi="Times New Roman"/>
                <w:sz w:val="14"/>
                <w:szCs w:val="14"/>
              </w:rPr>
            </w:pPr>
            <w:r w:rsidRPr="000D1437">
              <w:rPr>
                <w:sz w:val="14"/>
                <w:szCs w:val="14"/>
              </w:rPr>
              <w:t>NO,NA</w:t>
            </w:r>
          </w:p>
        </w:tc>
        <w:tc>
          <w:tcPr>
            <w:tcW w:w="1541" w:type="dxa"/>
            <w:tcBorders>
              <w:top w:val="nil"/>
              <w:left w:val="nil"/>
              <w:bottom w:val="single" w:sz="4" w:space="0" w:color="auto"/>
              <w:right w:val="single" w:sz="4" w:space="0" w:color="auto"/>
            </w:tcBorders>
            <w:shd w:val="clear" w:color="000000" w:fill="FFFFFF"/>
            <w:noWrap/>
            <w:vAlign w:val="bottom"/>
            <w:hideMark/>
          </w:tcPr>
          <w:p w14:paraId="5C17809F" w14:textId="7810F74C" w:rsidR="00543241" w:rsidRPr="000D1437" w:rsidRDefault="00543241" w:rsidP="00543241">
            <w:pPr>
              <w:jc w:val="right"/>
              <w:rPr>
                <w:rFonts w:ascii="Times New Roman" w:hAnsi="Times New Roman"/>
                <w:sz w:val="14"/>
                <w:szCs w:val="14"/>
              </w:rPr>
            </w:pPr>
            <w:r w:rsidRPr="000D1437">
              <w:rPr>
                <w:sz w:val="14"/>
                <w:szCs w:val="14"/>
              </w:rPr>
              <w:t>NO,NA</w:t>
            </w:r>
          </w:p>
        </w:tc>
        <w:tc>
          <w:tcPr>
            <w:tcW w:w="2008" w:type="dxa"/>
            <w:tcBorders>
              <w:top w:val="nil"/>
              <w:left w:val="nil"/>
              <w:bottom w:val="single" w:sz="4" w:space="0" w:color="auto"/>
              <w:right w:val="single" w:sz="4" w:space="0" w:color="auto"/>
            </w:tcBorders>
            <w:shd w:val="clear" w:color="000000" w:fill="FFFFFF"/>
            <w:noWrap/>
            <w:vAlign w:val="bottom"/>
            <w:hideMark/>
          </w:tcPr>
          <w:p w14:paraId="0CAE4701" w14:textId="3DEC24CE"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41A57A89"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16545B8" w14:textId="6F5E1A4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541" w:type="dxa"/>
            <w:tcBorders>
              <w:top w:val="nil"/>
              <w:left w:val="nil"/>
              <w:bottom w:val="single" w:sz="4" w:space="0" w:color="auto"/>
              <w:right w:val="single" w:sz="4" w:space="0" w:color="auto"/>
            </w:tcBorders>
            <w:shd w:val="clear" w:color="000000" w:fill="FFFFFF"/>
            <w:noWrap/>
            <w:vAlign w:val="bottom"/>
            <w:hideMark/>
          </w:tcPr>
          <w:p w14:paraId="5530A458" w14:textId="274CD8F7" w:rsidR="00543241" w:rsidRPr="000D1437" w:rsidRDefault="00543241" w:rsidP="00543241">
            <w:pPr>
              <w:jc w:val="right"/>
              <w:rPr>
                <w:rFonts w:ascii="Times New Roman" w:hAnsi="Times New Roman"/>
                <w:sz w:val="14"/>
                <w:szCs w:val="14"/>
              </w:rPr>
            </w:pPr>
            <w:r w:rsidRPr="000D1437">
              <w:rPr>
                <w:sz w:val="14"/>
                <w:szCs w:val="14"/>
              </w:rPr>
              <w:t>-767,85</w:t>
            </w:r>
          </w:p>
        </w:tc>
        <w:tc>
          <w:tcPr>
            <w:tcW w:w="1541" w:type="dxa"/>
            <w:tcBorders>
              <w:top w:val="nil"/>
              <w:left w:val="nil"/>
              <w:bottom w:val="single" w:sz="4" w:space="0" w:color="auto"/>
              <w:right w:val="single" w:sz="4" w:space="0" w:color="auto"/>
            </w:tcBorders>
            <w:shd w:val="clear" w:color="000000" w:fill="FFFFFF"/>
            <w:noWrap/>
            <w:vAlign w:val="bottom"/>
            <w:hideMark/>
          </w:tcPr>
          <w:p w14:paraId="461DB197" w14:textId="4A2C454F" w:rsidR="00543241" w:rsidRPr="000D1437" w:rsidRDefault="00543241" w:rsidP="00543241">
            <w:pPr>
              <w:jc w:val="right"/>
              <w:rPr>
                <w:rFonts w:ascii="Times New Roman" w:hAnsi="Times New Roman"/>
                <w:sz w:val="14"/>
                <w:szCs w:val="14"/>
              </w:rPr>
            </w:pPr>
            <w:r w:rsidRPr="000D1437">
              <w:rPr>
                <w:sz w:val="14"/>
                <w:szCs w:val="14"/>
              </w:rPr>
              <w:t>-814,43</w:t>
            </w:r>
          </w:p>
        </w:tc>
        <w:tc>
          <w:tcPr>
            <w:tcW w:w="2008" w:type="dxa"/>
            <w:tcBorders>
              <w:top w:val="nil"/>
              <w:left w:val="nil"/>
              <w:bottom w:val="single" w:sz="4" w:space="0" w:color="auto"/>
              <w:right w:val="single" w:sz="4" w:space="0" w:color="auto"/>
            </w:tcBorders>
            <w:shd w:val="clear" w:color="000000" w:fill="FFFFFF"/>
            <w:noWrap/>
            <w:vAlign w:val="bottom"/>
            <w:hideMark/>
          </w:tcPr>
          <w:p w14:paraId="7C32BDBA" w14:textId="1F6BCFC7" w:rsidR="00543241" w:rsidRPr="000D1437" w:rsidRDefault="00543241" w:rsidP="00543241">
            <w:pPr>
              <w:jc w:val="right"/>
              <w:rPr>
                <w:rFonts w:ascii="Times New Roman" w:hAnsi="Times New Roman"/>
                <w:sz w:val="14"/>
                <w:szCs w:val="14"/>
              </w:rPr>
            </w:pPr>
            <w:r w:rsidRPr="000D1437">
              <w:rPr>
                <w:sz w:val="14"/>
                <w:szCs w:val="14"/>
              </w:rPr>
              <w:t>-84,03</w:t>
            </w:r>
          </w:p>
        </w:tc>
      </w:tr>
      <w:tr w:rsidR="00543241" w:rsidRPr="00364545" w14:paraId="3B5C2B9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45ABE41" w14:textId="557918C7"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541" w:type="dxa"/>
            <w:tcBorders>
              <w:top w:val="nil"/>
              <w:left w:val="nil"/>
              <w:bottom w:val="single" w:sz="4" w:space="0" w:color="auto"/>
              <w:right w:val="single" w:sz="4" w:space="0" w:color="auto"/>
            </w:tcBorders>
            <w:shd w:val="clear" w:color="000000" w:fill="FFFFFF"/>
            <w:noWrap/>
            <w:vAlign w:val="bottom"/>
            <w:hideMark/>
          </w:tcPr>
          <w:p w14:paraId="284166FB" w14:textId="060EC43D" w:rsidR="00543241" w:rsidRPr="000D1437" w:rsidRDefault="00543241" w:rsidP="00543241">
            <w:pPr>
              <w:jc w:val="right"/>
              <w:rPr>
                <w:rFonts w:ascii="Times New Roman" w:hAnsi="Times New Roman"/>
                <w:sz w:val="14"/>
                <w:szCs w:val="14"/>
              </w:rPr>
            </w:pPr>
            <w:r w:rsidRPr="000D1437">
              <w:rPr>
                <w:sz w:val="14"/>
                <w:szCs w:val="14"/>
              </w:rPr>
              <w:t>45,66</w:t>
            </w:r>
          </w:p>
        </w:tc>
        <w:tc>
          <w:tcPr>
            <w:tcW w:w="1541" w:type="dxa"/>
            <w:tcBorders>
              <w:top w:val="nil"/>
              <w:left w:val="nil"/>
              <w:bottom w:val="single" w:sz="4" w:space="0" w:color="auto"/>
              <w:right w:val="single" w:sz="4" w:space="0" w:color="auto"/>
            </w:tcBorders>
            <w:shd w:val="clear" w:color="000000" w:fill="FFFFFF"/>
            <w:noWrap/>
            <w:vAlign w:val="bottom"/>
            <w:hideMark/>
          </w:tcPr>
          <w:p w14:paraId="70187AD4" w14:textId="7F8AFB73" w:rsidR="00543241" w:rsidRPr="000D1437" w:rsidRDefault="00543241" w:rsidP="00543241">
            <w:pPr>
              <w:jc w:val="right"/>
              <w:rPr>
                <w:rFonts w:ascii="Times New Roman" w:hAnsi="Times New Roman"/>
                <w:sz w:val="14"/>
                <w:szCs w:val="14"/>
              </w:rPr>
            </w:pPr>
            <w:r w:rsidRPr="000D1437">
              <w:rPr>
                <w:sz w:val="14"/>
                <w:szCs w:val="14"/>
              </w:rPr>
              <w:t>39,82</w:t>
            </w:r>
          </w:p>
        </w:tc>
        <w:tc>
          <w:tcPr>
            <w:tcW w:w="2008" w:type="dxa"/>
            <w:tcBorders>
              <w:top w:val="nil"/>
              <w:left w:val="nil"/>
              <w:bottom w:val="single" w:sz="4" w:space="0" w:color="auto"/>
              <w:right w:val="single" w:sz="4" w:space="0" w:color="auto"/>
            </w:tcBorders>
            <w:shd w:val="clear" w:color="000000" w:fill="FFFFFF"/>
            <w:noWrap/>
            <w:vAlign w:val="bottom"/>
            <w:hideMark/>
          </w:tcPr>
          <w:p w14:paraId="762D1A70" w14:textId="11DD59D3" w:rsidR="00543241" w:rsidRPr="000D1437" w:rsidRDefault="00543241" w:rsidP="00543241">
            <w:pPr>
              <w:jc w:val="right"/>
              <w:rPr>
                <w:rFonts w:ascii="Times New Roman" w:hAnsi="Times New Roman"/>
                <w:sz w:val="14"/>
                <w:szCs w:val="14"/>
              </w:rPr>
            </w:pPr>
            <w:r w:rsidRPr="000D1437">
              <w:rPr>
                <w:sz w:val="14"/>
                <w:szCs w:val="14"/>
              </w:rPr>
              <w:t>100,00</w:t>
            </w:r>
          </w:p>
        </w:tc>
      </w:tr>
      <w:tr w:rsidR="00543241" w:rsidRPr="00364545" w14:paraId="4D19708A"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A01A8F5" w14:textId="21B86243"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5. Waste</w:t>
            </w:r>
          </w:p>
        </w:tc>
        <w:tc>
          <w:tcPr>
            <w:tcW w:w="1541" w:type="dxa"/>
            <w:tcBorders>
              <w:top w:val="nil"/>
              <w:left w:val="nil"/>
              <w:bottom w:val="single" w:sz="4" w:space="0" w:color="auto"/>
              <w:right w:val="single" w:sz="4" w:space="0" w:color="auto"/>
            </w:tcBorders>
            <w:shd w:val="clear" w:color="000000" w:fill="CCFFFF"/>
            <w:noWrap/>
            <w:vAlign w:val="bottom"/>
            <w:hideMark/>
          </w:tcPr>
          <w:p w14:paraId="0CBB9C11" w14:textId="73CBAE9E" w:rsidR="00543241" w:rsidRPr="000D1437" w:rsidRDefault="00543241" w:rsidP="00543241">
            <w:pPr>
              <w:jc w:val="right"/>
              <w:rPr>
                <w:rFonts w:ascii="Times New Roman" w:hAnsi="Times New Roman"/>
                <w:sz w:val="14"/>
                <w:szCs w:val="14"/>
              </w:rPr>
            </w:pPr>
            <w:r w:rsidRPr="000D1437">
              <w:rPr>
                <w:sz w:val="14"/>
                <w:szCs w:val="14"/>
              </w:rPr>
              <w:t>1737,99</w:t>
            </w:r>
          </w:p>
        </w:tc>
        <w:tc>
          <w:tcPr>
            <w:tcW w:w="1541" w:type="dxa"/>
            <w:tcBorders>
              <w:top w:val="nil"/>
              <w:left w:val="nil"/>
              <w:bottom w:val="single" w:sz="4" w:space="0" w:color="auto"/>
              <w:right w:val="single" w:sz="4" w:space="0" w:color="auto"/>
            </w:tcBorders>
            <w:shd w:val="clear" w:color="000000" w:fill="CCFFFF"/>
            <w:noWrap/>
            <w:vAlign w:val="bottom"/>
            <w:hideMark/>
          </w:tcPr>
          <w:p w14:paraId="145F0295" w14:textId="67F6E1BA" w:rsidR="00543241" w:rsidRPr="000D1437" w:rsidRDefault="00543241" w:rsidP="00543241">
            <w:pPr>
              <w:jc w:val="right"/>
              <w:rPr>
                <w:rFonts w:ascii="Times New Roman" w:hAnsi="Times New Roman"/>
                <w:sz w:val="14"/>
                <w:szCs w:val="14"/>
              </w:rPr>
            </w:pPr>
            <w:r w:rsidRPr="000D1437">
              <w:rPr>
                <w:sz w:val="14"/>
                <w:szCs w:val="14"/>
              </w:rPr>
              <w:t>1602,93</w:t>
            </w:r>
          </w:p>
        </w:tc>
        <w:tc>
          <w:tcPr>
            <w:tcW w:w="2008" w:type="dxa"/>
            <w:tcBorders>
              <w:top w:val="nil"/>
              <w:left w:val="nil"/>
              <w:bottom w:val="single" w:sz="4" w:space="0" w:color="auto"/>
              <w:right w:val="single" w:sz="4" w:space="0" w:color="auto"/>
            </w:tcBorders>
            <w:shd w:val="clear" w:color="000000" w:fill="CCFFFF"/>
            <w:noWrap/>
            <w:vAlign w:val="bottom"/>
            <w:hideMark/>
          </w:tcPr>
          <w:p w14:paraId="1BF2CFC5" w14:textId="053E8001" w:rsidR="00543241" w:rsidRPr="000D1437" w:rsidRDefault="00543241" w:rsidP="00543241">
            <w:pPr>
              <w:jc w:val="right"/>
              <w:rPr>
                <w:rFonts w:ascii="Times New Roman" w:hAnsi="Times New Roman"/>
                <w:sz w:val="14"/>
                <w:szCs w:val="14"/>
              </w:rPr>
            </w:pPr>
            <w:r w:rsidRPr="000D1437">
              <w:rPr>
                <w:sz w:val="14"/>
                <w:szCs w:val="14"/>
              </w:rPr>
              <w:t>-26,95</w:t>
            </w:r>
          </w:p>
        </w:tc>
      </w:tr>
      <w:tr w:rsidR="00543241" w:rsidRPr="00364545" w14:paraId="1BAEBD94"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3FF2BE8" w14:textId="399E614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541" w:type="dxa"/>
            <w:tcBorders>
              <w:top w:val="nil"/>
              <w:left w:val="nil"/>
              <w:bottom w:val="single" w:sz="4" w:space="0" w:color="auto"/>
              <w:right w:val="single" w:sz="4" w:space="0" w:color="auto"/>
            </w:tcBorders>
            <w:shd w:val="clear" w:color="000000" w:fill="FFFFFF"/>
            <w:noWrap/>
            <w:vAlign w:val="bottom"/>
            <w:hideMark/>
          </w:tcPr>
          <w:p w14:paraId="4F4451F3" w14:textId="49C15B43" w:rsidR="00543241" w:rsidRPr="000D1437" w:rsidRDefault="00543241" w:rsidP="00543241">
            <w:pPr>
              <w:jc w:val="right"/>
              <w:rPr>
                <w:rFonts w:ascii="Times New Roman" w:hAnsi="Times New Roman"/>
                <w:sz w:val="14"/>
                <w:szCs w:val="14"/>
              </w:rPr>
            </w:pPr>
            <w:r w:rsidRPr="000D1437">
              <w:rPr>
                <w:sz w:val="14"/>
                <w:szCs w:val="14"/>
              </w:rPr>
              <w:t>NA</w:t>
            </w:r>
          </w:p>
        </w:tc>
        <w:tc>
          <w:tcPr>
            <w:tcW w:w="1541" w:type="dxa"/>
            <w:tcBorders>
              <w:top w:val="nil"/>
              <w:left w:val="nil"/>
              <w:bottom w:val="single" w:sz="4" w:space="0" w:color="auto"/>
              <w:right w:val="single" w:sz="4" w:space="0" w:color="auto"/>
            </w:tcBorders>
            <w:shd w:val="clear" w:color="000000" w:fill="FFFFFF"/>
            <w:noWrap/>
            <w:vAlign w:val="bottom"/>
            <w:hideMark/>
          </w:tcPr>
          <w:p w14:paraId="0B08BBFC" w14:textId="19D6FC53" w:rsidR="00543241" w:rsidRPr="000D1437" w:rsidRDefault="00543241" w:rsidP="00543241">
            <w:pPr>
              <w:jc w:val="right"/>
              <w:rPr>
                <w:rFonts w:ascii="Times New Roman" w:hAnsi="Times New Roman"/>
                <w:sz w:val="14"/>
                <w:szCs w:val="14"/>
              </w:rPr>
            </w:pPr>
            <w:r w:rsidRPr="000D1437">
              <w:rPr>
                <w:sz w:val="14"/>
                <w:szCs w:val="14"/>
              </w:rPr>
              <w:t>NA</w:t>
            </w:r>
          </w:p>
        </w:tc>
        <w:tc>
          <w:tcPr>
            <w:tcW w:w="2008" w:type="dxa"/>
            <w:tcBorders>
              <w:top w:val="nil"/>
              <w:left w:val="nil"/>
              <w:bottom w:val="single" w:sz="4" w:space="0" w:color="auto"/>
              <w:right w:val="single" w:sz="4" w:space="0" w:color="auto"/>
            </w:tcBorders>
            <w:shd w:val="clear" w:color="000000" w:fill="FFFFFF"/>
            <w:noWrap/>
            <w:vAlign w:val="bottom"/>
            <w:hideMark/>
          </w:tcPr>
          <w:p w14:paraId="69206AD1" w14:textId="679AAD9A"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512FE8DE"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19AB8E97" w14:textId="0C05EE4E"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541" w:type="dxa"/>
            <w:tcBorders>
              <w:top w:val="nil"/>
              <w:left w:val="nil"/>
              <w:bottom w:val="single" w:sz="4" w:space="0" w:color="auto"/>
              <w:right w:val="single" w:sz="4" w:space="0" w:color="auto"/>
            </w:tcBorders>
            <w:shd w:val="clear" w:color="000000" w:fill="FFFFFF"/>
            <w:noWrap/>
            <w:vAlign w:val="bottom"/>
            <w:hideMark/>
          </w:tcPr>
          <w:p w14:paraId="6589F6B1" w14:textId="6EA4243C"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78C9DB35" w14:textId="2A0EFC4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72EB8A92" w14:textId="1BF0C141"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355955B5"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60560CB" w14:textId="5A93EB32"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541" w:type="dxa"/>
            <w:tcBorders>
              <w:top w:val="nil"/>
              <w:left w:val="nil"/>
              <w:bottom w:val="single" w:sz="4" w:space="0" w:color="auto"/>
              <w:right w:val="single" w:sz="4" w:space="0" w:color="auto"/>
            </w:tcBorders>
            <w:shd w:val="clear" w:color="000000" w:fill="FFFFFF"/>
            <w:noWrap/>
            <w:vAlign w:val="bottom"/>
            <w:hideMark/>
          </w:tcPr>
          <w:p w14:paraId="075F24EA" w14:textId="7E329A73" w:rsidR="00543241" w:rsidRPr="000D1437" w:rsidRDefault="00543241" w:rsidP="00543241">
            <w:pPr>
              <w:jc w:val="right"/>
              <w:rPr>
                <w:rFonts w:ascii="Times New Roman" w:hAnsi="Times New Roman"/>
                <w:sz w:val="14"/>
                <w:szCs w:val="14"/>
              </w:rPr>
            </w:pPr>
            <w:r w:rsidRPr="000D1437">
              <w:rPr>
                <w:sz w:val="14"/>
                <w:szCs w:val="14"/>
              </w:rPr>
              <w:t>1 737,99</w:t>
            </w:r>
          </w:p>
        </w:tc>
        <w:tc>
          <w:tcPr>
            <w:tcW w:w="1541" w:type="dxa"/>
            <w:tcBorders>
              <w:top w:val="nil"/>
              <w:left w:val="nil"/>
              <w:bottom w:val="single" w:sz="4" w:space="0" w:color="auto"/>
              <w:right w:val="single" w:sz="4" w:space="0" w:color="auto"/>
            </w:tcBorders>
            <w:shd w:val="clear" w:color="000000" w:fill="FFFFFF"/>
            <w:noWrap/>
            <w:vAlign w:val="bottom"/>
            <w:hideMark/>
          </w:tcPr>
          <w:p w14:paraId="6817DE53" w14:textId="765C24B0" w:rsidR="00543241" w:rsidRPr="000D1437" w:rsidRDefault="00543241" w:rsidP="00543241">
            <w:pPr>
              <w:jc w:val="right"/>
              <w:rPr>
                <w:rFonts w:ascii="Times New Roman" w:hAnsi="Times New Roman"/>
                <w:sz w:val="14"/>
                <w:szCs w:val="14"/>
              </w:rPr>
            </w:pPr>
            <w:r w:rsidRPr="000D1437">
              <w:rPr>
                <w:sz w:val="14"/>
                <w:szCs w:val="14"/>
              </w:rPr>
              <w:t>1 602,93</w:t>
            </w:r>
          </w:p>
        </w:tc>
        <w:tc>
          <w:tcPr>
            <w:tcW w:w="2008" w:type="dxa"/>
            <w:tcBorders>
              <w:top w:val="nil"/>
              <w:left w:val="nil"/>
              <w:bottom w:val="single" w:sz="4" w:space="0" w:color="auto"/>
              <w:right w:val="single" w:sz="4" w:space="0" w:color="auto"/>
            </w:tcBorders>
            <w:shd w:val="clear" w:color="000000" w:fill="FFFFFF"/>
            <w:noWrap/>
            <w:vAlign w:val="bottom"/>
            <w:hideMark/>
          </w:tcPr>
          <w:p w14:paraId="76B914A1" w14:textId="47F857F7" w:rsidR="00543241" w:rsidRPr="000D1437" w:rsidRDefault="00543241" w:rsidP="00543241">
            <w:pPr>
              <w:jc w:val="right"/>
              <w:rPr>
                <w:rFonts w:ascii="Times New Roman" w:hAnsi="Times New Roman"/>
                <w:sz w:val="14"/>
                <w:szCs w:val="14"/>
              </w:rPr>
            </w:pPr>
            <w:r w:rsidRPr="000D1437">
              <w:rPr>
                <w:sz w:val="14"/>
                <w:szCs w:val="14"/>
              </w:rPr>
              <w:t>-26,95</w:t>
            </w:r>
          </w:p>
        </w:tc>
      </w:tr>
      <w:tr w:rsidR="00543241" w:rsidRPr="00364545" w14:paraId="3F1ABAF3"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F39C5EA" w14:textId="77B2B43A"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541" w:type="dxa"/>
            <w:tcBorders>
              <w:top w:val="nil"/>
              <w:left w:val="nil"/>
              <w:bottom w:val="single" w:sz="4" w:space="0" w:color="auto"/>
              <w:right w:val="single" w:sz="4" w:space="0" w:color="auto"/>
            </w:tcBorders>
            <w:shd w:val="clear" w:color="000000" w:fill="FFFFFF"/>
            <w:noWrap/>
            <w:vAlign w:val="bottom"/>
            <w:hideMark/>
          </w:tcPr>
          <w:p w14:paraId="266A6E96" w14:textId="1D538B7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5C213C65" w14:textId="2919AA1F"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0216C89C" w14:textId="58A03DF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613C0BEE"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F82D18B" w14:textId="1DB917D3" w:rsidR="00543241" w:rsidRPr="00364545" w:rsidRDefault="00543241" w:rsidP="00543241">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541" w:type="dxa"/>
            <w:tcBorders>
              <w:top w:val="nil"/>
              <w:left w:val="nil"/>
              <w:bottom w:val="single" w:sz="4" w:space="0" w:color="auto"/>
              <w:right w:val="single" w:sz="4" w:space="0" w:color="auto"/>
            </w:tcBorders>
            <w:shd w:val="clear" w:color="000000" w:fill="FFFFFF"/>
            <w:noWrap/>
            <w:vAlign w:val="bottom"/>
            <w:hideMark/>
          </w:tcPr>
          <w:p w14:paraId="58ADCD76" w14:textId="1675998D" w:rsidR="00543241" w:rsidRPr="000D1437" w:rsidRDefault="00543241" w:rsidP="00543241">
            <w:pPr>
              <w:jc w:val="right"/>
              <w:rPr>
                <w:rFonts w:ascii="Times New Roman" w:hAnsi="Times New Roman"/>
                <w:sz w:val="14"/>
                <w:szCs w:val="14"/>
              </w:rPr>
            </w:pPr>
            <w:r w:rsidRPr="000D1437">
              <w:rPr>
                <w:sz w:val="14"/>
                <w:szCs w:val="14"/>
              </w:rPr>
              <w:t>NO</w:t>
            </w:r>
          </w:p>
        </w:tc>
        <w:tc>
          <w:tcPr>
            <w:tcW w:w="1541" w:type="dxa"/>
            <w:tcBorders>
              <w:top w:val="nil"/>
              <w:left w:val="nil"/>
              <w:bottom w:val="single" w:sz="4" w:space="0" w:color="auto"/>
              <w:right w:val="single" w:sz="4" w:space="0" w:color="auto"/>
            </w:tcBorders>
            <w:shd w:val="clear" w:color="000000" w:fill="FFFFFF"/>
            <w:noWrap/>
            <w:vAlign w:val="bottom"/>
            <w:hideMark/>
          </w:tcPr>
          <w:p w14:paraId="1EB00D66" w14:textId="38907CE1" w:rsidR="00543241" w:rsidRPr="000D1437" w:rsidRDefault="00543241" w:rsidP="00543241">
            <w:pPr>
              <w:jc w:val="right"/>
              <w:rPr>
                <w:rFonts w:ascii="Times New Roman" w:hAnsi="Times New Roman"/>
                <w:sz w:val="14"/>
                <w:szCs w:val="14"/>
              </w:rPr>
            </w:pPr>
            <w:r w:rsidRPr="000D1437">
              <w:rPr>
                <w:sz w:val="14"/>
                <w:szCs w:val="14"/>
              </w:rPr>
              <w:t>NO</w:t>
            </w:r>
          </w:p>
        </w:tc>
        <w:tc>
          <w:tcPr>
            <w:tcW w:w="2008" w:type="dxa"/>
            <w:tcBorders>
              <w:top w:val="nil"/>
              <w:left w:val="nil"/>
              <w:bottom w:val="single" w:sz="4" w:space="0" w:color="auto"/>
              <w:right w:val="single" w:sz="4" w:space="0" w:color="auto"/>
            </w:tcBorders>
            <w:shd w:val="clear" w:color="000000" w:fill="FFFFFF"/>
            <w:noWrap/>
            <w:vAlign w:val="bottom"/>
            <w:hideMark/>
          </w:tcPr>
          <w:p w14:paraId="62FEBA40" w14:textId="1A13A898"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43F48C42"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7A28BC4" w14:textId="60D3ABC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541" w:type="dxa"/>
            <w:tcBorders>
              <w:top w:val="nil"/>
              <w:left w:val="nil"/>
              <w:bottom w:val="single" w:sz="4" w:space="0" w:color="auto"/>
              <w:right w:val="single" w:sz="4" w:space="0" w:color="auto"/>
            </w:tcBorders>
            <w:shd w:val="clear" w:color="000000" w:fill="CCFFFF"/>
            <w:noWrap/>
            <w:vAlign w:val="bottom"/>
            <w:hideMark/>
          </w:tcPr>
          <w:p w14:paraId="11D8C409" w14:textId="7F37956C" w:rsidR="00543241" w:rsidRPr="000D1437" w:rsidRDefault="00543241" w:rsidP="00543241">
            <w:pPr>
              <w:jc w:val="right"/>
              <w:rPr>
                <w:rFonts w:ascii="Times New Roman" w:hAnsi="Times New Roman"/>
                <w:sz w:val="14"/>
                <w:szCs w:val="14"/>
              </w:rPr>
            </w:pPr>
            <w:r w:rsidRPr="000D1437">
              <w:rPr>
                <w:sz w:val="14"/>
                <w:szCs w:val="14"/>
              </w:rPr>
              <w:t>NO</w:t>
            </w:r>
          </w:p>
        </w:tc>
        <w:tc>
          <w:tcPr>
            <w:tcW w:w="1541" w:type="dxa"/>
            <w:tcBorders>
              <w:top w:val="nil"/>
              <w:left w:val="nil"/>
              <w:bottom w:val="single" w:sz="4" w:space="0" w:color="auto"/>
              <w:right w:val="single" w:sz="4" w:space="0" w:color="auto"/>
            </w:tcBorders>
            <w:shd w:val="clear" w:color="000000" w:fill="CCFFFF"/>
            <w:noWrap/>
            <w:vAlign w:val="bottom"/>
            <w:hideMark/>
          </w:tcPr>
          <w:p w14:paraId="43E53AFA" w14:textId="126C5802" w:rsidR="00543241" w:rsidRPr="000D1437" w:rsidRDefault="00543241" w:rsidP="00543241">
            <w:pPr>
              <w:jc w:val="right"/>
              <w:rPr>
                <w:rFonts w:ascii="Times New Roman" w:hAnsi="Times New Roman"/>
                <w:sz w:val="14"/>
                <w:szCs w:val="14"/>
              </w:rPr>
            </w:pPr>
            <w:r w:rsidRPr="000D1437">
              <w:rPr>
                <w:sz w:val="14"/>
                <w:szCs w:val="14"/>
              </w:rPr>
              <w:t>NO</w:t>
            </w:r>
          </w:p>
        </w:tc>
        <w:tc>
          <w:tcPr>
            <w:tcW w:w="2008" w:type="dxa"/>
            <w:tcBorders>
              <w:top w:val="nil"/>
              <w:left w:val="nil"/>
              <w:bottom w:val="single" w:sz="4" w:space="0" w:color="auto"/>
              <w:right w:val="single" w:sz="4" w:space="0" w:color="auto"/>
            </w:tcBorders>
            <w:shd w:val="clear" w:color="000000" w:fill="CCFFFF"/>
            <w:noWrap/>
            <w:vAlign w:val="bottom"/>
            <w:hideMark/>
          </w:tcPr>
          <w:p w14:paraId="4C145B04" w14:textId="6178FD4C"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0D826B00"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17B597B8"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Memo items:</w:t>
            </w:r>
          </w:p>
        </w:tc>
        <w:tc>
          <w:tcPr>
            <w:tcW w:w="1541" w:type="dxa"/>
            <w:tcBorders>
              <w:top w:val="nil"/>
              <w:left w:val="nil"/>
              <w:bottom w:val="single" w:sz="4" w:space="0" w:color="auto"/>
              <w:right w:val="single" w:sz="4" w:space="0" w:color="auto"/>
            </w:tcBorders>
            <w:shd w:val="clear" w:color="000000" w:fill="969696"/>
            <w:noWrap/>
            <w:vAlign w:val="bottom"/>
            <w:hideMark/>
          </w:tcPr>
          <w:p w14:paraId="2C8A3C38" w14:textId="799A2BC4"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969696"/>
            <w:noWrap/>
            <w:vAlign w:val="bottom"/>
            <w:hideMark/>
          </w:tcPr>
          <w:p w14:paraId="4E350A08" w14:textId="2A8DF245"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969696"/>
            <w:noWrap/>
            <w:vAlign w:val="bottom"/>
            <w:hideMark/>
          </w:tcPr>
          <w:p w14:paraId="63CEBF01" w14:textId="2294027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2ACF2A6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F4F861C"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International bunkers</w:t>
            </w:r>
          </w:p>
        </w:tc>
        <w:tc>
          <w:tcPr>
            <w:tcW w:w="1541" w:type="dxa"/>
            <w:tcBorders>
              <w:top w:val="nil"/>
              <w:left w:val="nil"/>
              <w:bottom w:val="single" w:sz="4" w:space="0" w:color="auto"/>
              <w:right w:val="single" w:sz="4" w:space="0" w:color="auto"/>
            </w:tcBorders>
            <w:shd w:val="clear" w:color="000000" w:fill="CCFFFF"/>
            <w:noWrap/>
            <w:vAlign w:val="bottom"/>
            <w:hideMark/>
          </w:tcPr>
          <w:p w14:paraId="08D8D956" w14:textId="232FF21E" w:rsidR="00543241" w:rsidRPr="000D1437" w:rsidRDefault="00543241" w:rsidP="00543241">
            <w:pPr>
              <w:jc w:val="right"/>
              <w:rPr>
                <w:rFonts w:ascii="Times New Roman" w:hAnsi="Times New Roman"/>
                <w:sz w:val="14"/>
                <w:szCs w:val="14"/>
              </w:rPr>
            </w:pPr>
            <w:r w:rsidRPr="000D1437">
              <w:rPr>
                <w:sz w:val="14"/>
                <w:szCs w:val="14"/>
              </w:rPr>
              <w:t>24579,81</w:t>
            </w:r>
          </w:p>
        </w:tc>
        <w:tc>
          <w:tcPr>
            <w:tcW w:w="1541" w:type="dxa"/>
            <w:tcBorders>
              <w:top w:val="nil"/>
              <w:left w:val="nil"/>
              <w:bottom w:val="single" w:sz="4" w:space="0" w:color="auto"/>
              <w:right w:val="single" w:sz="4" w:space="0" w:color="auto"/>
            </w:tcBorders>
            <w:shd w:val="clear" w:color="000000" w:fill="CCFFFF"/>
            <w:noWrap/>
            <w:vAlign w:val="bottom"/>
            <w:hideMark/>
          </w:tcPr>
          <w:p w14:paraId="021660B5" w14:textId="01681CAE" w:rsidR="00543241" w:rsidRPr="000D1437" w:rsidRDefault="00543241" w:rsidP="00543241">
            <w:pPr>
              <w:jc w:val="right"/>
              <w:rPr>
                <w:rFonts w:ascii="Times New Roman" w:hAnsi="Times New Roman"/>
                <w:sz w:val="14"/>
                <w:szCs w:val="14"/>
              </w:rPr>
            </w:pPr>
            <w:r w:rsidRPr="000D1437">
              <w:rPr>
                <w:sz w:val="14"/>
                <w:szCs w:val="14"/>
              </w:rPr>
              <w:t>11173,11</w:t>
            </w:r>
          </w:p>
        </w:tc>
        <w:tc>
          <w:tcPr>
            <w:tcW w:w="2008" w:type="dxa"/>
            <w:tcBorders>
              <w:top w:val="nil"/>
              <w:left w:val="nil"/>
              <w:bottom w:val="single" w:sz="4" w:space="0" w:color="auto"/>
              <w:right w:val="single" w:sz="4" w:space="0" w:color="auto"/>
            </w:tcBorders>
            <w:shd w:val="clear" w:color="000000" w:fill="CCFFFF"/>
            <w:noWrap/>
            <w:vAlign w:val="bottom"/>
            <w:hideMark/>
          </w:tcPr>
          <w:p w14:paraId="2F88B687" w14:textId="1220E008" w:rsidR="00543241" w:rsidRPr="000D1437" w:rsidRDefault="00543241" w:rsidP="00543241">
            <w:pPr>
              <w:jc w:val="right"/>
              <w:rPr>
                <w:rFonts w:ascii="Times New Roman" w:hAnsi="Times New Roman"/>
                <w:sz w:val="14"/>
                <w:szCs w:val="14"/>
              </w:rPr>
            </w:pPr>
            <w:r w:rsidRPr="000D1437">
              <w:rPr>
                <w:sz w:val="14"/>
                <w:szCs w:val="14"/>
              </w:rPr>
              <w:t>-33,36</w:t>
            </w:r>
          </w:p>
        </w:tc>
      </w:tr>
      <w:tr w:rsidR="00543241" w:rsidRPr="00364545" w14:paraId="1DE6C616"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89B1F63"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Aviation</w:t>
            </w:r>
          </w:p>
        </w:tc>
        <w:tc>
          <w:tcPr>
            <w:tcW w:w="1541" w:type="dxa"/>
            <w:tcBorders>
              <w:top w:val="nil"/>
              <w:left w:val="nil"/>
              <w:bottom w:val="single" w:sz="4" w:space="0" w:color="auto"/>
              <w:right w:val="single" w:sz="4" w:space="0" w:color="auto"/>
            </w:tcBorders>
            <w:shd w:val="clear" w:color="000000" w:fill="FFFFFF"/>
            <w:noWrap/>
            <w:vAlign w:val="bottom"/>
            <w:hideMark/>
          </w:tcPr>
          <w:p w14:paraId="221014F9" w14:textId="123F5BD1" w:rsidR="00543241" w:rsidRPr="000D1437" w:rsidRDefault="00543241" w:rsidP="00543241">
            <w:pPr>
              <w:jc w:val="right"/>
              <w:rPr>
                <w:rFonts w:ascii="Times New Roman" w:hAnsi="Times New Roman"/>
                <w:sz w:val="14"/>
                <w:szCs w:val="14"/>
              </w:rPr>
            </w:pPr>
            <w:r w:rsidRPr="000D1437">
              <w:rPr>
                <w:sz w:val="14"/>
                <w:szCs w:val="14"/>
              </w:rPr>
              <w:t>19 046,09</w:t>
            </w:r>
          </w:p>
        </w:tc>
        <w:tc>
          <w:tcPr>
            <w:tcW w:w="1541" w:type="dxa"/>
            <w:tcBorders>
              <w:top w:val="nil"/>
              <w:left w:val="nil"/>
              <w:bottom w:val="single" w:sz="4" w:space="0" w:color="auto"/>
              <w:right w:val="single" w:sz="4" w:space="0" w:color="auto"/>
            </w:tcBorders>
            <w:shd w:val="clear" w:color="000000" w:fill="FFFFFF"/>
            <w:noWrap/>
            <w:vAlign w:val="bottom"/>
            <w:hideMark/>
          </w:tcPr>
          <w:p w14:paraId="5E015F89" w14:textId="23B215CA" w:rsidR="00543241" w:rsidRPr="000D1437" w:rsidRDefault="00543241" w:rsidP="00543241">
            <w:pPr>
              <w:jc w:val="right"/>
              <w:rPr>
                <w:rFonts w:ascii="Times New Roman" w:hAnsi="Times New Roman"/>
                <w:sz w:val="14"/>
                <w:szCs w:val="14"/>
              </w:rPr>
            </w:pPr>
            <w:r w:rsidRPr="000D1437">
              <w:rPr>
                <w:sz w:val="14"/>
                <w:szCs w:val="14"/>
              </w:rPr>
              <w:t>8 045,68</w:t>
            </w:r>
          </w:p>
        </w:tc>
        <w:tc>
          <w:tcPr>
            <w:tcW w:w="2008" w:type="dxa"/>
            <w:tcBorders>
              <w:top w:val="nil"/>
              <w:left w:val="nil"/>
              <w:bottom w:val="single" w:sz="4" w:space="0" w:color="auto"/>
              <w:right w:val="single" w:sz="4" w:space="0" w:color="auto"/>
            </w:tcBorders>
            <w:shd w:val="clear" w:color="000000" w:fill="FFFFFF"/>
            <w:noWrap/>
            <w:vAlign w:val="bottom"/>
            <w:hideMark/>
          </w:tcPr>
          <w:p w14:paraId="75BAE4C1" w14:textId="01FAB2B4" w:rsidR="00543241" w:rsidRPr="000D1437" w:rsidRDefault="00543241" w:rsidP="00543241">
            <w:pPr>
              <w:jc w:val="right"/>
              <w:rPr>
                <w:rFonts w:ascii="Times New Roman" w:hAnsi="Times New Roman"/>
                <w:sz w:val="14"/>
                <w:szCs w:val="14"/>
              </w:rPr>
            </w:pPr>
            <w:r w:rsidRPr="000D1437">
              <w:rPr>
                <w:sz w:val="14"/>
                <w:szCs w:val="14"/>
              </w:rPr>
              <w:t>-8,62</w:t>
            </w:r>
          </w:p>
        </w:tc>
      </w:tr>
      <w:tr w:rsidR="00543241" w:rsidRPr="00364545" w14:paraId="10079BC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94A0B24" w14:textId="77777777" w:rsidR="00543241" w:rsidRPr="00364545" w:rsidRDefault="00543241" w:rsidP="00543241">
            <w:pPr>
              <w:jc w:val="left"/>
              <w:rPr>
                <w:rFonts w:asciiTheme="majorHAnsi" w:hAnsiTheme="majorHAnsi"/>
                <w:sz w:val="16"/>
                <w:szCs w:val="16"/>
              </w:rPr>
            </w:pPr>
            <w:r w:rsidRPr="00364545">
              <w:rPr>
                <w:rFonts w:asciiTheme="majorHAnsi" w:hAnsiTheme="majorHAnsi"/>
                <w:sz w:val="16"/>
              </w:rPr>
              <w:t>Navigation</w:t>
            </w:r>
          </w:p>
        </w:tc>
        <w:tc>
          <w:tcPr>
            <w:tcW w:w="1541" w:type="dxa"/>
            <w:tcBorders>
              <w:top w:val="nil"/>
              <w:left w:val="nil"/>
              <w:bottom w:val="single" w:sz="4" w:space="0" w:color="auto"/>
              <w:right w:val="single" w:sz="4" w:space="0" w:color="auto"/>
            </w:tcBorders>
            <w:shd w:val="clear" w:color="000000" w:fill="FFFFFF"/>
            <w:noWrap/>
            <w:vAlign w:val="bottom"/>
            <w:hideMark/>
          </w:tcPr>
          <w:p w14:paraId="689A330D" w14:textId="09A643BA" w:rsidR="00543241" w:rsidRPr="000D1437" w:rsidRDefault="00543241" w:rsidP="00543241">
            <w:pPr>
              <w:jc w:val="right"/>
              <w:rPr>
                <w:rFonts w:ascii="Times New Roman" w:hAnsi="Times New Roman"/>
                <w:sz w:val="14"/>
                <w:szCs w:val="14"/>
              </w:rPr>
            </w:pPr>
            <w:r w:rsidRPr="000D1437">
              <w:rPr>
                <w:sz w:val="14"/>
                <w:szCs w:val="14"/>
              </w:rPr>
              <w:t>5 533,71</w:t>
            </w:r>
          </w:p>
        </w:tc>
        <w:tc>
          <w:tcPr>
            <w:tcW w:w="1541" w:type="dxa"/>
            <w:tcBorders>
              <w:top w:val="nil"/>
              <w:left w:val="nil"/>
              <w:bottom w:val="single" w:sz="4" w:space="0" w:color="auto"/>
              <w:right w:val="single" w:sz="4" w:space="0" w:color="auto"/>
            </w:tcBorders>
            <w:shd w:val="clear" w:color="000000" w:fill="FFFFFF"/>
            <w:noWrap/>
            <w:vAlign w:val="bottom"/>
            <w:hideMark/>
          </w:tcPr>
          <w:p w14:paraId="7EA564CB" w14:textId="4A80E55D" w:rsidR="00543241" w:rsidRPr="000D1437" w:rsidRDefault="00543241" w:rsidP="00543241">
            <w:pPr>
              <w:jc w:val="right"/>
              <w:rPr>
                <w:rFonts w:ascii="Times New Roman" w:hAnsi="Times New Roman"/>
                <w:sz w:val="14"/>
                <w:szCs w:val="14"/>
              </w:rPr>
            </w:pPr>
            <w:r w:rsidRPr="000D1437">
              <w:rPr>
                <w:sz w:val="14"/>
                <w:szCs w:val="14"/>
              </w:rPr>
              <w:t>3 127,43</w:t>
            </w:r>
          </w:p>
        </w:tc>
        <w:tc>
          <w:tcPr>
            <w:tcW w:w="2008" w:type="dxa"/>
            <w:tcBorders>
              <w:top w:val="nil"/>
              <w:left w:val="nil"/>
              <w:bottom w:val="single" w:sz="4" w:space="0" w:color="auto"/>
              <w:right w:val="single" w:sz="4" w:space="0" w:color="auto"/>
            </w:tcBorders>
            <w:shd w:val="clear" w:color="000000" w:fill="FFFFFF"/>
            <w:noWrap/>
            <w:vAlign w:val="bottom"/>
            <w:hideMark/>
          </w:tcPr>
          <w:p w14:paraId="2A18AF3E" w14:textId="4DEC0F1B" w:rsidR="00543241" w:rsidRPr="000D1437" w:rsidRDefault="00543241" w:rsidP="00543241">
            <w:pPr>
              <w:jc w:val="right"/>
              <w:rPr>
                <w:rFonts w:ascii="Times New Roman" w:hAnsi="Times New Roman"/>
                <w:sz w:val="14"/>
                <w:szCs w:val="14"/>
              </w:rPr>
            </w:pPr>
            <w:r w:rsidRPr="000D1437">
              <w:rPr>
                <w:sz w:val="14"/>
                <w:szCs w:val="14"/>
              </w:rPr>
              <w:t>-60,72</w:t>
            </w:r>
          </w:p>
        </w:tc>
      </w:tr>
      <w:tr w:rsidR="00543241" w:rsidRPr="00364545" w14:paraId="0A5ED49C"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EF06C0D"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Multilateral operations</w:t>
            </w:r>
          </w:p>
        </w:tc>
        <w:tc>
          <w:tcPr>
            <w:tcW w:w="1541" w:type="dxa"/>
            <w:tcBorders>
              <w:top w:val="nil"/>
              <w:left w:val="nil"/>
              <w:bottom w:val="single" w:sz="4" w:space="0" w:color="auto"/>
              <w:right w:val="single" w:sz="4" w:space="0" w:color="auto"/>
            </w:tcBorders>
            <w:shd w:val="clear" w:color="000000" w:fill="FFFFFF"/>
            <w:noWrap/>
            <w:vAlign w:val="bottom"/>
            <w:hideMark/>
          </w:tcPr>
          <w:p w14:paraId="386DF621" w14:textId="740C6E73" w:rsidR="00543241" w:rsidRPr="000D1437" w:rsidRDefault="00543241" w:rsidP="00543241">
            <w:pPr>
              <w:jc w:val="right"/>
              <w:rPr>
                <w:rFonts w:ascii="Times New Roman" w:hAnsi="Times New Roman"/>
                <w:sz w:val="14"/>
                <w:szCs w:val="14"/>
              </w:rPr>
            </w:pPr>
            <w:r w:rsidRPr="000D1437">
              <w:rPr>
                <w:sz w:val="14"/>
                <w:szCs w:val="14"/>
              </w:rPr>
              <w:t>1,13</w:t>
            </w:r>
          </w:p>
        </w:tc>
        <w:tc>
          <w:tcPr>
            <w:tcW w:w="1541" w:type="dxa"/>
            <w:tcBorders>
              <w:top w:val="nil"/>
              <w:left w:val="nil"/>
              <w:bottom w:val="single" w:sz="4" w:space="0" w:color="auto"/>
              <w:right w:val="single" w:sz="4" w:space="0" w:color="auto"/>
            </w:tcBorders>
            <w:shd w:val="clear" w:color="000000" w:fill="FFFFFF"/>
            <w:noWrap/>
            <w:vAlign w:val="bottom"/>
            <w:hideMark/>
          </w:tcPr>
          <w:p w14:paraId="6D882DCC" w14:textId="1BF62458" w:rsidR="00543241" w:rsidRPr="000D1437" w:rsidRDefault="00543241" w:rsidP="00543241">
            <w:pPr>
              <w:jc w:val="right"/>
              <w:rPr>
                <w:rFonts w:ascii="Times New Roman" w:hAnsi="Times New Roman"/>
                <w:sz w:val="14"/>
                <w:szCs w:val="14"/>
              </w:rPr>
            </w:pPr>
            <w:r w:rsidRPr="000D1437">
              <w:rPr>
                <w:sz w:val="14"/>
                <w:szCs w:val="14"/>
              </w:rPr>
              <w:t>1,42</w:t>
            </w:r>
          </w:p>
        </w:tc>
        <w:tc>
          <w:tcPr>
            <w:tcW w:w="2008" w:type="dxa"/>
            <w:tcBorders>
              <w:top w:val="nil"/>
              <w:left w:val="nil"/>
              <w:bottom w:val="single" w:sz="4" w:space="0" w:color="auto"/>
              <w:right w:val="single" w:sz="4" w:space="0" w:color="auto"/>
            </w:tcBorders>
            <w:shd w:val="clear" w:color="000000" w:fill="FFFFFF"/>
            <w:noWrap/>
            <w:vAlign w:val="bottom"/>
            <w:hideMark/>
          </w:tcPr>
          <w:p w14:paraId="1C51D4D6" w14:textId="4CDD1378" w:rsidR="00543241" w:rsidRPr="000D1437" w:rsidRDefault="00543241" w:rsidP="00543241">
            <w:pPr>
              <w:jc w:val="right"/>
              <w:rPr>
                <w:rFonts w:ascii="Times New Roman" w:hAnsi="Times New Roman"/>
                <w:sz w:val="14"/>
                <w:szCs w:val="14"/>
              </w:rPr>
            </w:pPr>
            <w:r w:rsidRPr="000D1437">
              <w:rPr>
                <w:sz w:val="14"/>
                <w:szCs w:val="14"/>
              </w:rPr>
              <w:t>112,33</w:t>
            </w:r>
          </w:p>
        </w:tc>
      </w:tr>
      <w:tr w:rsidR="00543241" w:rsidRPr="00364545" w14:paraId="79EF8184"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30F275B" w14:textId="3D618357"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541" w:type="dxa"/>
            <w:tcBorders>
              <w:top w:val="nil"/>
              <w:left w:val="nil"/>
              <w:bottom w:val="single" w:sz="4" w:space="0" w:color="auto"/>
              <w:right w:val="single" w:sz="4" w:space="0" w:color="auto"/>
            </w:tcBorders>
            <w:shd w:val="clear" w:color="000000" w:fill="FFFFFF"/>
            <w:noWrap/>
            <w:vAlign w:val="bottom"/>
            <w:hideMark/>
          </w:tcPr>
          <w:p w14:paraId="2765C13A" w14:textId="5840B1B8" w:rsidR="00543241" w:rsidRPr="000D1437" w:rsidRDefault="00543241" w:rsidP="00543241">
            <w:pPr>
              <w:jc w:val="right"/>
              <w:rPr>
                <w:rFonts w:ascii="Times New Roman" w:hAnsi="Times New Roman"/>
                <w:sz w:val="14"/>
                <w:szCs w:val="14"/>
              </w:rPr>
            </w:pPr>
            <w:r w:rsidRPr="000D1437">
              <w:rPr>
                <w:sz w:val="14"/>
                <w:szCs w:val="14"/>
              </w:rPr>
              <w:t>62 869,92</w:t>
            </w:r>
          </w:p>
        </w:tc>
        <w:tc>
          <w:tcPr>
            <w:tcW w:w="1541" w:type="dxa"/>
            <w:tcBorders>
              <w:top w:val="nil"/>
              <w:left w:val="nil"/>
              <w:bottom w:val="single" w:sz="4" w:space="0" w:color="auto"/>
              <w:right w:val="single" w:sz="4" w:space="0" w:color="auto"/>
            </w:tcBorders>
            <w:shd w:val="clear" w:color="000000" w:fill="FFFFFF"/>
            <w:noWrap/>
            <w:vAlign w:val="bottom"/>
            <w:hideMark/>
          </w:tcPr>
          <w:p w14:paraId="05B28898" w14:textId="44EEB27D" w:rsidR="00543241" w:rsidRPr="000D1437" w:rsidRDefault="00543241" w:rsidP="00543241">
            <w:pPr>
              <w:jc w:val="right"/>
              <w:rPr>
                <w:rFonts w:ascii="Times New Roman" w:hAnsi="Times New Roman"/>
                <w:sz w:val="14"/>
                <w:szCs w:val="14"/>
              </w:rPr>
            </w:pPr>
            <w:r w:rsidRPr="000D1437">
              <w:rPr>
                <w:sz w:val="14"/>
                <w:szCs w:val="14"/>
              </w:rPr>
              <w:t>59 126,82</w:t>
            </w:r>
          </w:p>
        </w:tc>
        <w:tc>
          <w:tcPr>
            <w:tcW w:w="2008" w:type="dxa"/>
            <w:tcBorders>
              <w:top w:val="nil"/>
              <w:left w:val="nil"/>
              <w:bottom w:val="single" w:sz="4" w:space="0" w:color="auto"/>
              <w:right w:val="single" w:sz="4" w:space="0" w:color="auto"/>
            </w:tcBorders>
            <w:shd w:val="clear" w:color="000000" w:fill="FFFFFF"/>
            <w:noWrap/>
            <w:vAlign w:val="bottom"/>
            <w:hideMark/>
          </w:tcPr>
          <w:p w14:paraId="2D2EDD60" w14:textId="14424CAA" w:rsidR="00543241" w:rsidRPr="000D1437" w:rsidRDefault="00543241" w:rsidP="00543241">
            <w:pPr>
              <w:jc w:val="right"/>
              <w:rPr>
                <w:rFonts w:ascii="Times New Roman" w:hAnsi="Times New Roman"/>
                <w:sz w:val="14"/>
                <w:szCs w:val="14"/>
              </w:rPr>
            </w:pPr>
            <w:r w:rsidRPr="000D1437">
              <w:rPr>
                <w:sz w:val="14"/>
                <w:szCs w:val="14"/>
              </w:rPr>
              <w:t>34,44</w:t>
            </w:r>
          </w:p>
        </w:tc>
      </w:tr>
      <w:tr w:rsidR="00543241" w:rsidRPr="00364545" w14:paraId="1E2F8AF6"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4489664" w14:textId="378C9871" w:rsidR="00543241" w:rsidRPr="00364545" w:rsidRDefault="00543241" w:rsidP="00543241">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541" w:type="dxa"/>
            <w:tcBorders>
              <w:top w:val="nil"/>
              <w:left w:val="nil"/>
              <w:bottom w:val="single" w:sz="4" w:space="0" w:color="auto"/>
              <w:right w:val="single" w:sz="4" w:space="0" w:color="auto"/>
            </w:tcBorders>
            <w:shd w:val="clear" w:color="000000" w:fill="FFFFFF"/>
            <w:noWrap/>
            <w:vAlign w:val="bottom"/>
            <w:hideMark/>
          </w:tcPr>
          <w:p w14:paraId="1FBE7AD5" w14:textId="4E83D4C6" w:rsidR="00543241" w:rsidRPr="000D1437" w:rsidRDefault="00543241" w:rsidP="00543241">
            <w:pPr>
              <w:jc w:val="right"/>
              <w:rPr>
                <w:rFonts w:ascii="Times New Roman" w:hAnsi="Times New Roman"/>
                <w:sz w:val="14"/>
                <w:szCs w:val="14"/>
              </w:rPr>
            </w:pPr>
            <w:r w:rsidRPr="000D1437">
              <w:rPr>
                <w:sz w:val="14"/>
                <w:szCs w:val="14"/>
              </w:rPr>
              <w:t>NO,NA</w:t>
            </w:r>
          </w:p>
        </w:tc>
        <w:tc>
          <w:tcPr>
            <w:tcW w:w="1541" w:type="dxa"/>
            <w:tcBorders>
              <w:top w:val="nil"/>
              <w:left w:val="nil"/>
              <w:bottom w:val="single" w:sz="4" w:space="0" w:color="auto"/>
              <w:right w:val="single" w:sz="4" w:space="0" w:color="auto"/>
            </w:tcBorders>
            <w:shd w:val="clear" w:color="000000" w:fill="FFFFFF"/>
            <w:noWrap/>
            <w:vAlign w:val="bottom"/>
            <w:hideMark/>
          </w:tcPr>
          <w:p w14:paraId="697B04A2" w14:textId="3286808E" w:rsidR="00543241" w:rsidRPr="000D1437" w:rsidRDefault="00543241" w:rsidP="00543241">
            <w:pPr>
              <w:jc w:val="right"/>
              <w:rPr>
                <w:rFonts w:ascii="Times New Roman" w:hAnsi="Times New Roman"/>
                <w:sz w:val="14"/>
                <w:szCs w:val="14"/>
              </w:rPr>
            </w:pPr>
            <w:r w:rsidRPr="000D1437">
              <w:rPr>
                <w:sz w:val="14"/>
                <w:szCs w:val="14"/>
              </w:rPr>
              <w:t>NO,NA</w:t>
            </w:r>
          </w:p>
        </w:tc>
        <w:tc>
          <w:tcPr>
            <w:tcW w:w="2008" w:type="dxa"/>
            <w:tcBorders>
              <w:top w:val="nil"/>
              <w:left w:val="nil"/>
              <w:bottom w:val="single" w:sz="4" w:space="0" w:color="auto"/>
              <w:right w:val="single" w:sz="4" w:space="0" w:color="auto"/>
            </w:tcBorders>
            <w:shd w:val="clear" w:color="000000" w:fill="FFFFFF"/>
            <w:noWrap/>
            <w:vAlign w:val="bottom"/>
            <w:hideMark/>
          </w:tcPr>
          <w:p w14:paraId="2F6DB117" w14:textId="6CFE8C25"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5A03D812"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0F2BD69" w14:textId="77777777"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541" w:type="dxa"/>
            <w:tcBorders>
              <w:top w:val="nil"/>
              <w:left w:val="nil"/>
              <w:bottom w:val="single" w:sz="4" w:space="0" w:color="auto"/>
              <w:right w:val="single" w:sz="4" w:space="0" w:color="auto"/>
            </w:tcBorders>
            <w:shd w:val="clear" w:color="000000" w:fill="FFFFFF"/>
            <w:noWrap/>
            <w:vAlign w:val="bottom"/>
            <w:hideMark/>
          </w:tcPr>
          <w:p w14:paraId="1B5927E9" w14:textId="7C5348FF" w:rsidR="00543241" w:rsidRPr="000D1437" w:rsidRDefault="00543241" w:rsidP="00543241">
            <w:pPr>
              <w:jc w:val="right"/>
              <w:rPr>
                <w:rFonts w:ascii="Times New Roman" w:hAnsi="Times New Roman"/>
                <w:sz w:val="14"/>
                <w:szCs w:val="14"/>
              </w:rPr>
            </w:pPr>
            <w:r w:rsidRPr="000D1437">
              <w:rPr>
                <w:sz w:val="14"/>
                <w:szCs w:val="14"/>
              </w:rPr>
              <w:t>NE</w:t>
            </w:r>
          </w:p>
        </w:tc>
        <w:tc>
          <w:tcPr>
            <w:tcW w:w="1541" w:type="dxa"/>
            <w:tcBorders>
              <w:top w:val="nil"/>
              <w:left w:val="nil"/>
              <w:bottom w:val="single" w:sz="4" w:space="0" w:color="auto"/>
              <w:right w:val="single" w:sz="4" w:space="0" w:color="auto"/>
            </w:tcBorders>
            <w:shd w:val="clear" w:color="000000" w:fill="FFFFFF"/>
            <w:noWrap/>
            <w:vAlign w:val="bottom"/>
            <w:hideMark/>
          </w:tcPr>
          <w:p w14:paraId="465CC30D" w14:textId="22244BA9" w:rsidR="00543241" w:rsidRPr="000D1437" w:rsidRDefault="00543241" w:rsidP="00543241">
            <w:pPr>
              <w:jc w:val="right"/>
              <w:rPr>
                <w:rFonts w:ascii="Times New Roman" w:hAnsi="Times New Roman"/>
                <w:sz w:val="14"/>
                <w:szCs w:val="14"/>
              </w:rPr>
            </w:pPr>
            <w:r w:rsidRPr="000D1437">
              <w:rPr>
                <w:sz w:val="14"/>
                <w:szCs w:val="14"/>
              </w:rPr>
              <w:t>NE</w:t>
            </w:r>
          </w:p>
        </w:tc>
        <w:tc>
          <w:tcPr>
            <w:tcW w:w="2008" w:type="dxa"/>
            <w:tcBorders>
              <w:top w:val="nil"/>
              <w:left w:val="nil"/>
              <w:bottom w:val="single" w:sz="4" w:space="0" w:color="auto"/>
              <w:right w:val="single" w:sz="4" w:space="0" w:color="auto"/>
            </w:tcBorders>
            <w:shd w:val="clear" w:color="000000" w:fill="FFFFFF"/>
            <w:noWrap/>
            <w:vAlign w:val="bottom"/>
            <w:hideMark/>
          </w:tcPr>
          <w:p w14:paraId="6FB3A668" w14:textId="657750F5"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0827872E"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08500C8" w14:textId="508D3615"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541" w:type="dxa"/>
            <w:tcBorders>
              <w:top w:val="nil"/>
              <w:left w:val="nil"/>
              <w:bottom w:val="single" w:sz="4" w:space="0" w:color="auto"/>
              <w:right w:val="single" w:sz="4" w:space="0" w:color="auto"/>
            </w:tcBorders>
            <w:shd w:val="clear" w:color="000000" w:fill="FFFFFF"/>
            <w:noWrap/>
            <w:vAlign w:val="bottom"/>
            <w:hideMark/>
          </w:tcPr>
          <w:p w14:paraId="697BD51E" w14:textId="2D69BA8B"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4EABBF48" w14:textId="4C2643C8"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2DD60FC3" w14:textId="73032EF6" w:rsidR="00543241" w:rsidRPr="000D1437" w:rsidRDefault="00543241" w:rsidP="00543241">
            <w:pPr>
              <w:jc w:val="right"/>
              <w:rPr>
                <w:rFonts w:ascii="Times New Roman" w:hAnsi="Times New Roman"/>
                <w:sz w:val="14"/>
                <w:szCs w:val="14"/>
              </w:rPr>
            </w:pPr>
            <w:r w:rsidRPr="000D1437">
              <w:rPr>
                <w:rFonts w:ascii="Calibri" w:hAnsi="Calibri" w:cs="Calibri"/>
                <w:sz w:val="14"/>
                <w:szCs w:val="14"/>
              </w:rPr>
              <w:t> </w:t>
            </w:r>
          </w:p>
        </w:tc>
      </w:tr>
      <w:tr w:rsidR="00543241" w:rsidRPr="00364545" w14:paraId="10A6231D"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F79B34B" w14:textId="2F2440D8"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541" w:type="dxa"/>
            <w:tcBorders>
              <w:top w:val="nil"/>
              <w:left w:val="nil"/>
              <w:bottom w:val="single" w:sz="4" w:space="0" w:color="auto"/>
              <w:right w:val="single" w:sz="4" w:space="0" w:color="auto"/>
            </w:tcBorders>
            <w:shd w:val="clear" w:color="000000" w:fill="FFFFFF"/>
            <w:noWrap/>
            <w:vAlign w:val="bottom"/>
            <w:hideMark/>
          </w:tcPr>
          <w:p w14:paraId="2AE03E4E" w14:textId="5C2D955E" w:rsidR="00543241" w:rsidRPr="000D1437" w:rsidRDefault="00543241" w:rsidP="00543241">
            <w:pPr>
              <w:jc w:val="right"/>
              <w:rPr>
                <w:rFonts w:ascii="Times New Roman" w:hAnsi="Times New Roman"/>
                <w:sz w:val="14"/>
                <w:szCs w:val="14"/>
              </w:rPr>
            </w:pPr>
            <w:r w:rsidRPr="000D1437">
              <w:rPr>
                <w:sz w:val="14"/>
                <w:szCs w:val="14"/>
              </w:rPr>
              <w:t>NO,IE,NA</w:t>
            </w:r>
          </w:p>
        </w:tc>
        <w:tc>
          <w:tcPr>
            <w:tcW w:w="1541" w:type="dxa"/>
            <w:tcBorders>
              <w:top w:val="nil"/>
              <w:left w:val="nil"/>
              <w:bottom w:val="single" w:sz="4" w:space="0" w:color="auto"/>
              <w:right w:val="single" w:sz="4" w:space="0" w:color="auto"/>
            </w:tcBorders>
            <w:shd w:val="clear" w:color="000000" w:fill="FFFFFF"/>
            <w:noWrap/>
            <w:vAlign w:val="bottom"/>
            <w:hideMark/>
          </w:tcPr>
          <w:p w14:paraId="77C30C20" w14:textId="5BC816AE" w:rsidR="00543241" w:rsidRPr="000D1437" w:rsidRDefault="00543241" w:rsidP="00543241">
            <w:pPr>
              <w:jc w:val="right"/>
              <w:rPr>
                <w:rFonts w:ascii="Times New Roman" w:hAnsi="Times New Roman"/>
                <w:sz w:val="14"/>
                <w:szCs w:val="14"/>
              </w:rPr>
            </w:pPr>
            <w:r w:rsidRPr="000D1437">
              <w:rPr>
                <w:sz w:val="14"/>
                <w:szCs w:val="14"/>
              </w:rPr>
              <w:t>NO,IE,NA</w:t>
            </w:r>
          </w:p>
        </w:tc>
        <w:tc>
          <w:tcPr>
            <w:tcW w:w="2008" w:type="dxa"/>
            <w:tcBorders>
              <w:top w:val="nil"/>
              <w:left w:val="nil"/>
              <w:bottom w:val="single" w:sz="4" w:space="0" w:color="auto"/>
              <w:right w:val="single" w:sz="4" w:space="0" w:color="auto"/>
            </w:tcBorders>
            <w:shd w:val="clear" w:color="000000" w:fill="FFFFFF"/>
            <w:noWrap/>
            <w:vAlign w:val="bottom"/>
            <w:hideMark/>
          </w:tcPr>
          <w:p w14:paraId="10B52702" w14:textId="261B01C1"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551FEA40"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09DC987" w14:textId="32CC5714"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541" w:type="dxa"/>
            <w:tcBorders>
              <w:top w:val="nil"/>
              <w:left w:val="nil"/>
              <w:bottom w:val="single" w:sz="4" w:space="0" w:color="auto"/>
              <w:right w:val="single" w:sz="4" w:space="0" w:color="auto"/>
            </w:tcBorders>
            <w:shd w:val="clear" w:color="000000" w:fill="CCFFFF"/>
            <w:noWrap/>
            <w:vAlign w:val="bottom"/>
            <w:hideMark/>
          </w:tcPr>
          <w:p w14:paraId="50493082" w14:textId="751F1C35" w:rsidR="00543241" w:rsidRPr="000D1437" w:rsidRDefault="00543241" w:rsidP="00543241">
            <w:pPr>
              <w:jc w:val="right"/>
              <w:rPr>
                <w:rFonts w:ascii="Times New Roman" w:hAnsi="Times New Roman"/>
                <w:sz w:val="14"/>
                <w:szCs w:val="14"/>
              </w:rPr>
            </w:pPr>
            <w:r w:rsidRPr="000D1437">
              <w:rPr>
                <w:sz w:val="14"/>
                <w:szCs w:val="14"/>
              </w:rPr>
              <w:t>326725,13</w:t>
            </w:r>
          </w:p>
        </w:tc>
        <w:tc>
          <w:tcPr>
            <w:tcW w:w="1541" w:type="dxa"/>
            <w:tcBorders>
              <w:top w:val="nil"/>
              <w:left w:val="nil"/>
              <w:bottom w:val="single" w:sz="4" w:space="0" w:color="auto"/>
              <w:right w:val="single" w:sz="4" w:space="0" w:color="auto"/>
            </w:tcBorders>
            <w:shd w:val="clear" w:color="000000" w:fill="CCFFFF"/>
            <w:noWrap/>
            <w:vAlign w:val="bottom"/>
            <w:hideMark/>
          </w:tcPr>
          <w:p w14:paraId="22D6DDB8" w14:textId="458A07F4" w:rsidR="00543241" w:rsidRPr="000D1437" w:rsidRDefault="00543241" w:rsidP="00543241">
            <w:pPr>
              <w:jc w:val="right"/>
              <w:rPr>
                <w:rFonts w:ascii="Times New Roman" w:hAnsi="Times New Roman"/>
                <w:sz w:val="14"/>
                <w:szCs w:val="14"/>
              </w:rPr>
            </w:pPr>
            <w:r w:rsidRPr="000D1437">
              <w:rPr>
                <w:sz w:val="14"/>
                <w:szCs w:val="14"/>
              </w:rPr>
              <w:t>289389,57</w:t>
            </w:r>
          </w:p>
        </w:tc>
        <w:tc>
          <w:tcPr>
            <w:tcW w:w="2008" w:type="dxa"/>
            <w:tcBorders>
              <w:top w:val="nil"/>
              <w:left w:val="nil"/>
              <w:bottom w:val="single" w:sz="4" w:space="0" w:color="auto"/>
              <w:right w:val="single" w:sz="4" w:space="0" w:color="auto"/>
            </w:tcBorders>
            <w:shd w:val="clear" w:color="000000" w:fill="CCFFFF"/>
            <w:noWrap/>
            <w:vAlign w:val="bottom"/>
            <w:hideMark/>
          </w:tcPr>
          <w:p w14:paraId="2804A44D" w14:textId="5B5FE84A" w:rsidR="00543241" w:rsidRPr="000D1437" w:rsidRDefault="00543241" w:rsidP="00543241">
            <w:pPr>
              <w:jc w:val="right"/>
              <w:rPr>
                <w:rFonts w:ascii="Times New Roman" w:hAnsi="Times New Roman"/>
                <w:sz w:val="14"/>
                <w:szCs w:val="14"/>
              </w:rPr>
            </w:pPr>
            <w:r w:rsidRPr="000D1437">
              <w:rPr>
                <w:sz w:val="14"/>
                <w:szCs w:val="14"/>
              </w:rPr>
              <w:t>-27,37</w:t>
            </w:r>
          </w:p>
        </w:tc>
      </w:tr>
      <w:tr w:rsidR="00543241" w:rsidRPr="00364545" w14:paraId="3503D281"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46A6FA4" w14:textId="6E69C75F"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541" w:type="dxa"/>
            <w:tcBorders>
              <w:top w:val="nil"/>
              <w:left w:val="nil"/>
              <w:bottom w:val="single" w:sz="4" w:space="0" w:color="auto"/>
              <w:right w:val="single" w:sz="4" w:space="0" w:color="auto"/>
            </w:tcBorders>
            <w:shd w:val="clear" w:color="000000" w:fill="CCFFFF"/>
            <w:noWrap/>
            <w:vAlign w:val="bottom"/>
            <w:hideMark/>
          </w:tcPr>
          <w:p w14:paraId="4249D0FA" w14:textId="095F581F" w:rsidR="00543241" w:rsidRPr="000D1437" w:rsidRDefault="00543241" w:rsidP="00543241">
            <w:pPr>
              <w:jc w:val="right"/>
              <w:rPr>
                <w:rFonts w:ascii="Times New Roman" w:hAnsi="Times New Roman"/>
                <w:sz w:val="14"/>
                <w:szCs w:val="14"/>
              </w:rPr>
            </w:pPr>
            <w:r w:rsidRPr="000D1437">
              <w:rPr>
                <w:sz w:val="14"/>
                <w:szCs w:val="14"/>
              </w:rPr>
              <w:t>310432,09</w:t>
            </w:r>
          </w:p>
        </w:tc>
        <w:tc>
          <w:tcPr>
            <w:tcW w:w="1541" w:type="dxa"/>
            <w:tcBorders>
              <w:top w:val="nil"/>
              <w:left w:val="nil"/>
              <w:bottom w:val="single" w:sz="4" w:space="0" w:color="auto"/>
              <w:right w:val="single" w:sz="4" w:space="0" w:color="auto"/>
            </w:tcBorders>
            <w:shd w:val="clear" w:color="000000" w:fill="CCFFFF"/>
            <w:noWrap/>
            <w:vAlign w:val="bottom"/>
            <w:hideMark/>
          </w:tcPr>
          <w:p w14:paraId="24E2DDF7" w14:textId="29C44CB1" w:rsidR="00543241" w:rsidRPr="000D1437" w:rsidRDefault="00543241" w:rsidP="00543241">
            <w:pPr>
              <w:jc w:val="right"/>
              <w:rPr>
                <w:rFonts w:ascii="Times New Roman" w:hAnsi="Times New Roman"/>
                <w:sz w:val="14"/>
                <w:szCs w:val="14"/>
              </w:rPr>
            </w:pPr>
            <w:r w:rsidRPr="000D1437">
              <w:rPr>
                <w:sz w:val="14"/>
                <w:szCs w:val="14"/>
              </w:rPr>
              <w:t>271428,23</w:t>
            </w:r>
          </w:p>
        </w:tc>
        <w:tc>
          <w:tcPr>
            <w:tcW w:w="2008" w:type="dxa"/>
            <w:tcBorders>
              <w:top w:val="nil"/>
              <w:left w:val="nil"/>
              <w:bottom w:val="single" w:sz="4" w:space="0" w:color="auto"/>
              <w:right w:val="single" w:sz="4" w:space="0" w:color="auto"/>
            </w:tcBorders>
            <w:shd w:val="clear" w:color="000000" w:fill="CCFFFF"/>
            <w:noWrap/>
            <w:vAlign w:val="bottom"/>
            <w:hideMark/>
          </w:tcPr>
          <w:p w14:paraId="2E6A09B9" w14:textId="6ABEFB50" w:rsidR="00543241" w:rsidRPr="000D1437" w:rsidRDefault="00543241" w:rsidP="00543241">
            <w:pPr>
              <w:jc w:val="right"/>
              <w:rPr>
                <w:rFonts w:ascii="Times New Roman" w:hAnsi="Times New Roman"/>
                <w:sz w:val="14"/>
                <w:szCs w:val="14"/>
              </w:rPr>
            </w:pPr>
            <w:r w:rsidRPr="000D1437">
              <w:rPr>
                <w:sz w:val="14"/>
                <w:szCs w:val="14"/>
              </w:rPr>
              <w:t>-26,70</w:t>
            </w:r>
          </w:p>
        </w:tc>
      </w:tr>
      <w:tr w:rsidR="00543241" w:rsidRPr="00364545" w14:paraId="2972DAEE"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EAF5F99" w14:textId="3371DEFD"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541" w:type="dxa"/>
            <w:tcBorders>
              <w:top w:val="nil"/>
              <w:left w:val="nil"/>
              <w:bottom w:val="single" w:sz="4" w:space="0" w:color="auto"/>
              <w:right w:val="single" w:sz="4" w:space="0" w:color="auto"/>
            </w:tcBorders>
            <w:shd w:val="clear" w:color="000000" w:fill="CCFFFF"/>
            <w:noWrap/>
            <w:vAlign w:val="bottom"/>
            <w:hideMark/>
          </w:tcPr>
          <w:p w14:paraId="58F36E63" w14:textId="3BBC242C" w:rsidR="00543241" w:rsidRPr="000D1437" w:rsidRDefault="00543241" w:rsidP="00543241">
            <w:pPr>
              <w:jc w:val="right"/>
              <w:rPr>
                <w:rFonts w:ascii="Times New Roman" w:hAnsi="Times New Roman"/>
                <w:sz w:val="14"/>
                <w:szCs w:val="14"/>
              </w:rPr>
            </w:pPr>
            <w:r w:rsidRPr="000D1437">
              <w:rPr>
                <w:sz w:val="14"/>
                <w:szCs w:val="14"/>
              </w:rPr>
              <w:t>NA</w:t>
            </w:r>
          </w:p>
        </w:tc>
        <w:tc>
          <w:tcPr>
            <w:tcW w:w="1541" w:type="dxa"/>
            <w:tcBorders>
              <w:top w:val="nil"/>
              <w:left w:val="nil"/>
              <w:bottom w:val="single" w:sz="4" w:space="0" w:color="auto"/>
              <w:right w:val="single" w:sz="4" w:space="0" w:color="auto"/>
            </w:tcBorders>
            <w:shd w:val="clear" w:color="000000" w:fill="CCFFFF"/>
            <w:noWrap/>
            <w:vAlign w:val="bottom"/>
            <w:hideMark/>
          </w:tcPr>
          <w:p w14:paraId="0DDEA4E8" w14:textId="3BC48C58" w:rsidR="00543241" w:rsidRPr="000D1437" w:rsidRDefault="00543241" w:rsidP="00543241">
            <w:pPr>
              <w:jc w:val="right"/>
              <w:rPr>
                <w:rFonts w:ascii="Times New Roman" w:hAnsi="Times New Roman"/>
                <w:sz w:val="14"/>
                <w:szCs w:val="14"/>
              </w:rPr>
            </w:pPr>
            <w:r w:rsidRPr="000D1437">
              <w:rPr>
                <w:sz w:val="14"/>
                <w:szCs w:val="14"/>
              </w:rPr>
              <w:t>NA</w:t>
            </w:r>
          </w:p>
        </w:tc>
        <w:tc>
          <w:tcPr>
            <w:tcW w:w="2008" w:type="dxa"/>
            <w:tcBorders>
              <w:top w:val="nil"/>
              <w:left w:val="nil"/>
              <w:bottom w:val="single" w:sz="4" w:space="0" w:color="auto"/>
              <w:right w:val="single" w:sz="4" w:space="0" w:color="auto"/>
            </w:tcBorders>
            <w:shd w:val="clear" w:color="000000" w:fill="CCFFFF"/>
            <w:noWrap/>
            <w:vAlign w:val="bottom"/>
            <w:hideMark/>
          </w:tcPr>
          <w:p w14:paraId="31692310" w14:textId="7E48D612" w:rsidR="00543241" w:rsidRPr="000D1437" w:rsidRDefault="00543241" w:rsidP="00543241">
            <w:pPr>
              <w:jc w:val="right"/>
              <w:rPr>
                <w:rFonts w:ascii="Times New Roman" w:hAnsi="Times New Roman"/>
                <w:sz w:val="14"/>
                <w:szCs w:val="14"/>
              </w:rPr>
            </w:pPr>
            <w:r w:rsidRPr="000D1437">
              <w:rPr>
                <w:sz w:val="14"/>
                <w:szCs w:val="14"/>
              </w:rPr>
              <w:t>0,00</w:t>
            </w:r>
          </w:p>
        </w:tc>
      </w:tr>
      <w:tr w:rsidR="00543241" w:rsidRPr="00364545" w14:paraId="12A23E3B" w14:textId="77777777" w:rsidTr="00543241">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645A631" w14:textId="328466C1" w:rsidR="00543241" w:rsidRPr="00364545" w:rsidRDefault="00543241" w:rsidP="00543241">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541" w:type="dxa"/>
            <w:tcBorders>
              <w:top w:val="nil"/>
              <w:left w:val="nil"/>
              <w:bottom w:val="single" w:sz="4" w:space="0" w:color="auto"/>
              <w:right w:val="single" w:sz="4" w:space="0" w:color="auto"/>
            </w:tcBorders>
            <w:shd w:val="clear" w:color="000000" w:fill="CCFFFF"/>
            <w:noWrap/>
            <w:vAlign w:val="bottom"/>
            <w:hideMark/>
          </w:tcPr>
          <w:p w14:paraId="29057574" w14:textId="4B496307" w:rsidR="00543241" w:rsidRPr="000D1437" w:rsidRDefault="00543241" w:rsidP="00543241">
            <w:pPr>
              <w:jc w:val="right"/>
              <w:rPr>
                <w:rFonts w:ascii="Times New Roman" w:hAnsi="Times New Roman"/>
                <w:sz w:val="14"/>
                <w:szCs w:val="14"/>
              </w:rPr>
            </w:pPr>
            <w:r w:rsidRPr="000D1437">
              <w:rPr>
                <w:sz w:val="14"/>
                <w:szCs w:val="14"/>
              </w:rPr>
              <w:t>NA</w:t>
            </w:r>
          </w:p>
        </w:tc>
        <w:tc>
          <w:tcPr>
            <w:tcW w:w="1541" w:type="dxa"/>
            <w:tcBorders>
              <w:top w:val="nil"/>
              <w:left w:val="nil"/>
              <w:bottom w:val="single" w:sz="4" w:space="0" w:color="auto"/>
              <w:right w:val="single" w:sz="4" w:space="0" w:color="auto"/>
            </w:tcBorders>
            <w:shd w:val="clear" w:color="000000" w:fill="CCFFFF"/>
            <w:noWrap/>
            <w:vAlign w:val="bottom"/>
            <w:hideMark/>
          </w:tcPr>
          <w:p w14:paraId="517799D6" w14:textId="5968F25C" w:rsidR="00543241" w:rsidRPr="000D1437" w:rsidRDefault="00543241" w:rsidP="00543241">
            <w:pPr>
              <w:jc w:val="right"/>
              <w:rPr>
                <w:rFonts w:ascii="Times New Roman" w:hAnsi="Times New Roman"/>
                <w:sz w:val="14"/>
                <w:szCs w:val="14"/>
              </w:rPr>
            </w:pPr>
            <w:r w:rsidRPr="000D1437">
              <w:rPr>
                <w:sz w:val="14"/>
                <w:szCs w:val="14"/>
              </w:rPr>
              <w:t>NA</w:t>
            </w:r>
          </w:p>
        </w:tc>
        <w:tc>
          <w:tcPr>
            <w:tcW w:w="2008" w:type="dxa"/>
            <w:tcBorders>
              <w:top w:val="nil"/>
              <w:left w:val="nil"/>
              <w:bottom w:val="single" w:sz="4" w:space="0" w:color="auto"/>
              <w:right w:val="single" w:sz="4" w:space="0" w:color="auto"/>
            </w:tcBorders>
            <w:shd w:val="clear" w:color="000000" w:fill="CCFFFF"/>
            <w:noWrap/>
            <w:vAlign w:val="bottom"/>
            <w:hideMark/>
          </w:tcPr>
          <w:p w14:paraId="74559782" w14:textId="2A26A610" w:rsidR="00543241" w:rsidRPr="000D1437" w:rsidRDefault="00543241" w:rsidP="00543241">
            <w:pPr>
              <w:jc w:val="right"/>
              <w:rPr>
                <w:rFonts w:ascii="Times New Roman" w:hAnsi="Times New Roman"/>
                <w:sz w:val="14"/>
                <w:szCs w:val="14"/>
              </w:rPr>
            </w:pPr>
            <w:r w:rsidRPr="000D1437">
              <w:rPr>
                <w:sz w:val="14"/>
                <w:szCs w:val="14"/>
              </w:rPr>
              <w:t>0,00</w:t>
            </w:r>
          </w:p>
        </w:tc>
      </w:tr>
    </w:tbl>
    <w:p w14:paraId="753A1567" w14:textId="2D1DC900" w:rsidR="00B56301" w:rsidRPr="00364545" w:rsidRDefault="00B56301" w:rsidP="003F57EA">
      <w:pPr>
        <w:pStyle w:val="Titre2Niveau2"/>
        <w:numPr>
          <w:ilvl w:val="0"/>
          <w:numId w:val="62"/>
        </w:numPr>
      </w:pPr>
      <w:bookmarkStart w:id="775" w:name="_Toc122099543"/>
      <w:bookmarkStart w:id="776" w:name="_Toc138341924"/>
      <w:r w:rsidRPr="00364545">
        <w:t>Trend for CH</w:t>
      </w:r>
      <w:r w:rsidRPr="00364545">
        <w:rPr>
          <w:vertAlign w:val="subscript"/>
        </w:rPr>
        <w:t>4</w:t>
      </w:r>
      <w:r w:rsidRPr="00364545">
        <w:t xml:space="preserve"> (“Kyoto” scope - kt)</w:t>
      </w:r>
      <w:bookmarkEnd w:id="775"/>
      <w:bookmarkEnd w:id="776"/>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364545" w14:paraId="69C45B23"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054048E" w14:textId="77777777" w:rsidR="00B56301" w:rsidRPr="00364545" w:rsidRDefault="00B56301" w:rsidP="00B37B65">
            <w:pPr>
              <w:jc w:val="left"/>
              <w:rPr>
                <w:rFonts w:asciiTheme="minorHAnsi" w:hAnsiTheme="minorHAnsi"/>
                <w:b/>
                <w:bCs/>
                <w:sz w:val="16"/>
                <w:szCs w:val="14"/>
              </w:rPr>
            </w:pPr>
            <w:bookmarkStart w:id="777" w:name="RANGE!A5:AH65"/>
            <w:r w:rsidRPr="00364545">
              <w:rPr>
                <w:rFonts w:asciiTheme="minorHAnsi" w:hAnsiTheme="minorHAnsi"/>
                <w:b/>
                <w:sz w:val="16"/>
              </w:rPr>
              <w:t>GREENHOUSE GAS SOURCE AND SINK CATEGORIES</w:t>
            </w:r>
            <w:bookmarkEnd w:id="777"/>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23FAA68"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Base year</w:t>
            </w:r>
            <w:r w:rsidRPr="00364545">
              <w:rPr>
                <w:rFonts w:asciiTheme="minorHAnsi" w:hAnsiTheme="minorHAnsi"/>
                <w:b/>
                <w:sz w:val="16"/>
                <w:vertAlign w:val="superscript"/>
              </w:rPr>
              <w:t>(1)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F792410"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1990</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56929D8"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E770781"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1992</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767B702"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0E484B8"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1994</w:t>
            </w:r>
          </w:p>
        </w:tc>
      </w:tr>
      <w:tr w:rsidR="00B56301" w:rsidRPr="00364545" w14:paraId="671BCD7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E934D1"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99C0D5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496,15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2B9A80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496,15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676F654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516,21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78CA3F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510,95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97A1DE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507,68</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CDA207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481,56</w:t>
            </w:r>
          </w:p>
        </w:tc>
      </w:tr>
      <w:tr w:rsidR="00B56301" w:rsidRPr="00364545" w14:paraId="347B38CD"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0A556F2"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5205552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231,69</w:t>
            </w:r>
          </w:p>
        </w:tc>
        <w:tc>
          <w:tcPr>
            <w:tcW w:w="991" w:type="dxa"/>
            <w:tcBorders>
              <w:top w:val="nil"/>
              <w:left w:val="nil"/>
              <w:bottom w:val="single" w:sz="4" w:space="0" w:color="auto"/>
              <w:right w:val="single" w:sz="4" w:space="0" w:color="auto"/>
            </w:tcBorders>
            <w:shd w:val="clear" w:color="000000" w:fill="CCFFFF"/>
            <w:noWrap/>
            <w:vAlign w:val="bottom"/>
            <w:hideMark/>
          </w:tcPr>
          <w:p w14:paraId="31A0D82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231,69</w:t>
            </w:r>
          </w:p>
        </w:tc>
        <w:tc>
          <w:tcPr>
            <w:tcW w:w="991" w:type="dxa"/>
            <w:tcBorders>
              <w:top w:val="nil"/>
              <w:left w:val="nil"/>
              <w:bottom w:val="single" w:sz="4" w:space="0" w:color="auto"/>
              <w:right w:val="single" w:sz="4" w:space="0" w:color="auto"/>
            </w:tcBorders>
            <w:shd w:val="clear" w:color="000000" w:fill="CCFFFF"/>
            <w:noWrap/>
            <w:vAlign w:val="bottom"/>
            <w:hideMark/>
          </w:tcPr>
          <w:p w14:paraId="0291AE0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265,61</w:t>
            </w:r>
          </w:p>
        </w:tc>
        <w:tc>
          <w:tcPr>
            <w:tcW w:w="991" w:type="dxa"/>
            <w:tcBorders>
              <w:top w:val="nil"/>
              <w:left w:val="nil"/>
              <w:bottom w:val="single" w:sz="4" w:space="0" w:color="auto"/>
              <w:right w:val="single" w:sz="4" w:space="0" w:color="auto"/>
            </w:tcBorders>
            <w:shd w:val="clear" w:color="000000" w:fill="CCFFFF"/>
            <w:noWrap/>
            <w:vAlign w:val="bottom"/>
            <w:hideMark/>
          </w:tcPr>
          <w:p w14:paraId="29CE3C8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254,50</w:t>
            </w:r>
          </w:p>
        </w:tc>
        <w:tc>
          <w:tcPr>
            <w:tcW w:w="991" w:type="dxa"/>
            <w:tcBorders>
              <w:top w:val="nil"/>
              <w:left w:val="nil"/>
              <w:bottom w:val="single" w:sz="4" w:space="0" w:color="auto"/>
              <w:right w:val="single" w:sz="4" w:space="0" w:color="auto"/>
            </w:tcBorders>
            <w:shd w:val="clear" w:color="000000" w:fill="CCFFFF"/>
            <w:noWrap/>
            <w:vAlign w:val="bottom"/>
            <w:hideMark/>
          </w:tcPr>
          <w:p w14:paraId="67F4D5C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244,48</w:t>
            </w:r>
          </w:p>
        </w:tc>
        <w:tc>
          <w:tcPr>
            <w:tcW w:w="991" w:type="dxa"/>
            <w:tcBorders>
              <w:top w:val="nil"/>
              <w:left w:val="nil"/>
              <w:bottom w:val="single" w:sz="4" w:space="0" w:color="auto"/>
              <w:right w:val="single" w:sz="4" w:space="0" w:color="auto"/>
            </w:tcBorders>
            <w:shd w:val="clear" w:color="000000" w:fill="CCFFFF"/>
            <w:noWrap/>
            <w:vAlign w:val="bottom"/>
            <w:hideMark/>
          </w:tcPr>
          <w:p w14:paraId="36BAB9E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215,33</w:t>
            </w:r>
          </w:p>
        </w:tc>
      </w:tr>
      <w:tr w:rsidR="00B56301" w:rsidRPr="00364545" w14:paraId="6D6D547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63ECE6F" w14:textId="16D3D8AE"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628280D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2,65</w:t>
            </w:r>
          </w:p>
        </w:tc>
        <w:tc>
          <w:tcPr>
            <w:tcW w:w="991" w:type="dxa"/>
            <w:tcBorders>
              <w:top w:val="nil"/>
              <w:left w:val="nil"/>
              <w:bottom w:val="single" w:sz="4" w:space="0" w:color="auto"/>
              <w:right w:val="single" w:sz="4" w:space="0" w:color="auto"/>
            </w:tcBorders>
            <w:shd w:val="clear" w:color="000000" w:fill="FFFFFF"/>
            <w:noWrap/>
            <w:vAlign w:val="bottom"/>
            <w:hideMark/>
          </w:tcPr>
          <w:p w14:paraId="4395B68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2,65</w:t>
            </w:r>
          </w:p>
        </w:tc>
        <w:tc>
          <w:tcPr>
            <w:tcW w:w="991" w:type="dxa"/>
            <w:tcBorders>
              <w:top w:val="nil"/>
              <w:left w:val="nil"/>
              <w:bottom w:val="single" w:sz="4" w:space="0" w:color="auto"/>
              <w:right w:val="single" w:sz="4" w:space="0" w:color="auto"/>
            </w:tcBorders>
            <w:shd w:val="clear" w:color="000000" w:fill="FFFFFF"/>
            <w:noWrap/>
            <w:vAlign w:val="bottom"/>
            <w:hideMark/>
          </w:tcPr>
          <w:p w14:paraId="6187837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2,55</w:t>
            </w:r>
          </w:p>
        </w:tc>
        <w:tc>
          <w:tcPr>
            <w:tcW w:w="991" w:type="dxa"/>
            <w:tcBorders>
              <w:top w:val="nil"/>
              <w:left w:val="nil"/>
              <w:bottom w:val="single" w:sz="4" w:space="0" w:color="auto"/>
              <w:right w:val="single" w:sz="4" w:space="0" w:color="auto"/>
            </w:tcBorders>
            <w:shd w:val="clear" w:color="000000" w:fill="FFFFFF"/>
            <w:noWrap/>
            <w:vAlign w:val="bottom"/>
            <w:hideMark/>
          </w:tcPr>
          <w:p w14:paraId="26CBA88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2,38</w:t>
            </w:r>
          </w:p>
        </w:tc>
        <w:tc>
          <w:tcPr>
            <w:tcW w:w="991" w:type="dxa"/>
            <w:tcBorders>
              <w:top w:val="nil"/>
              <w:left w:val="nil"/>
              <w:bottom w:val="single" w:sz="4" w:space="0" w:color="auto"/>
              <w:right w:val="single" w:sz="4" w:space="0" w:color="auto"/>
            </w:tcBorders>
            <w:shd w:val="clear" w:color="000000" w:fill="FFFFFF"/>
            <w:noWrap/>
            <w:vAlign w:val="bottom"/>
            <w:hideMark/>
          </w:tcPr>
          <w:p w14:paraId="6E0D084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05035F5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1,87</w:t>
            </w:r>
          </w:p>
        </w:tc>
      </w:tr>
      <w:tr w:rsidR="00B56301" w:rsidRPr="00364545" w14:paraId="18FC731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64E1421" w14:textId="582C5949"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4C66E0C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3,87</w:t>
            </w:r>
          </w:p>
        </w:tc>
        <w:tc>
          <w:tcPr>
            <w:tcW w:w="991" w:type="dxa"/>
            <w:tcBorders>
              <w:top w:val="nil"/>
              <w:left w:val="nil"/>
              <w:bottom w:val="single" w:sz="4" w:space="0" w:color="auto"/>
              <w:right w:val="single" w:sz="4" w:space="0" w:color="auto"/>
            </w:tcBorders>
            <w:shd w:val="clear" w:color="000000" w:fill="FFFFFF"/>
            <w:noWrap/>
            <w:vAlign w:val="bottom"/>
            <w:hideMark/>
          </w:tcPr>
          <w:p w14:paraId="21C9DAE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3,87</w:t>
            </w:r>
          </w:p>
        </w:tc>
        <w:tc>
          <w:tcPr>
            <w:tcW w:w="991" w:type="dxa"/>
            <w:tcBorders>
              <w:top w:val="nil"/>
              <w:left w:val="nil"/>
              <w:bottom w:val="single" w:sz="4" w:space="0" w:color="auto"/>
              <w:right w:val="single" w:sz="4" w:space="0" w:color="auto"/>
            </w:tcBorders>
            <w:shd w:val="clear" w:color="000000" w:fill="FFFFFF"/>
            <w:noWrap/>
            <w:vAlign w:val="bottom"/>
            <w:hideMark/>
          </w:tcPr>
          <w:p w14:paraId="57DFBAF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4,80</w:t>
            </w:r>
          </w:p>
        </w:tc>
        <w:tc>
          <w:tcPr>
            <w:tcW w:w="991" w:type="dxa"/>
            <w:tcBorders>
              <w:top w:val="nil"/>
              <w:left w:val="nil"/>
              <w:bottom w:val="single" w:sz="4" w:space="0" w:color="auto"/>
              <w:right w:val="single" w:sz="4" w:space="0" w:color="auto"/>
            </w:tcBorders>
            <w:shd w:val="clear" w:color="000000" w:fill="FFFFFF"/>
            <w:noWrap/>
            <w:vAlign w:val="bottom"/>
            <w:hideMark/>
          </w:tcPr>
          <w:p w14:paraId="3D156B6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3,91</w:t>
            </w:r>
          </w:p>
        </w:tc>
        <w:tc>
          <w:tcPr>
            <w:tcW w:w="991" w:type="dxa"/>
            <w:tcBorders>
              <w:top w:val="nil"/>
              <w:left w:val="nil"/>
              <w:bottom w:val="single" w:sz="4" w:space="0" w:color="auto"/>
              <w:right w:val="single" w:sz="4" w:space="0" w:color="auto"/>
            </w:tcBorders>
            <w:shd w:val="clear" w:color="000000" w:fill="FFFFFF"/>
            <w:noWrap/>
            <w:vAlign w:val="bottom"/>
            <w:hideMark/>
          </w:tcPr>
          <w:p w14:paraId="79C633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3,65</w:t>
            </w:r>
          </w:p>
        </w:tc>
        <w:tc>
          <w:tcPr>
            <w:tcW w:w="991" w:type="dxa"/>
            <w:tcBorders>
              <w:top w:val="nil"/>
              <w:left w:val="nil"/>
              <w:bottom w:val="single" w:sz="4" w:space="0" w:color="auto"/>
              <w:right w:val="single" w:sz="4" w:space="0" w:color="auto"/>
            </w:tcBorders>
            <w:shd w:val="clear" w:color="000000" w:fill="FFFFFF"/>
            <w:noWrap/>
            <w:vAlign w:val="bottom"/>
            <w:hideMark/>
          </w:tcPr>
          <w:p w14:paraId="43A12B0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3,88</w:t>
            </w:r>
          </w:p>
        </w:tc>
      </w:tr>
      <w:tr w:rsidR="00B56301" w:rsidRPr="00364545" w14:paraId="3D3E605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D871D5" w14:textId="386A29B3"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3. 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3593B38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39,08</w:t>
            </w:r>
          </w:p>
        </w:tc>
        <w:tc>
          <w:tcPr>
            <w:tcW w:w="991" w:type="dxa"/>
            <w:tcBorders>
              <w:top w:val="nil"/>
              <w:left w:val="nil"/>
              <w:bottom w:val="single" w:sz="4" w:space="0" w:color="auto"/>
              <w:right w:val="single" w:sz="4" w:space="0" w:color="auto"/>
            </w:tcBorders>
            <w:shd w:val="clear" w:color="000000" w:fill="FFFFFF"/>
            <w:noWrap/>
            <w:vAlign w:val="bottom"/>
            <w:hideMark/>
          </w:tcPr>
          <w:p w14:paraId="7E59F50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39,08</w:t>
            </w:r>
          </w:p>
        </w:tc>
        <w:tc>
          <w:tcPr>
            <w:tcW w:w="991" w:type="dxa"/>
            <w:tcBorders>
              <w:top w:val="nil"/>
              <w:left w:val="nil"/>
              <w:bottom w:val="single" w:sz="4" w:space="0" w:color="auto"/>
              <w:right w:val="single" w:sz="4" w:space="0" w:color="auto"/>
            </w:tcBorders>
            <w:shd w:val="clear" w:color="000000" w:fill="FFFFFF"/>
            <w:noWrap/>
            <w:vAlign w:val="bottom"/>
            <w:hideMark/>
          </w:tcPr>
          <w:p w14:paraId="5C1A5BA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39,22</w:t>
            </w:r>
          </w:p>
        </w:tc>
        <w:tc>
          <w:tcPr>
            <w:tcW w:w="991" w:type="dxa"/>
            <w:tcBorders>
              <w:top w:val="nil"/>
              <w:left w:val="nil"/>
              <w:bottom w:val="single" w:sz="4" w:space="0" w:color="auto"/>
              <w:right w:val="single" w:sz="4" w:space="0" w:color="auto"/>
            </w:tcBorders>
            <w:shd w:val="clear" w:color="000000" w:fill="FFFFFF"/>
            <w:noWrap/>
            <w:vAlign w:val="bottom"/>
            <w:hideMark/>
          </w:tcPr>
          <w:p w14:paraId="7A3BA3A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38,65</w:t>
            </w:r>
          </w:p>
        </w:tc>
        <w:tc>
          <w:tcPr>
            <w:tcW w:w="991" w:type="dxa"/>
            <w:tcBorders>
              <w:top w:val="nil"/>
              <w:left w:val="nil"/>
              <w:bottom w:val="single" w:sz="4" w:space="0" w:color="auto"/>
              <w:right w:val="single" w:sz="4" w:space="0" w:color="auto"/>
            </w:tcBorders>
            <w:shd w:val="clear" w:color="000000" w:fill="FFFFFF"/>
            <w:noWrap/>
            <w:vAlign w:val="bottom"/>
            <w:hideMark/>
          </w:tcPr>
          <w:p w14:paraId="5D0168F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37,17</w:t>
            </w:r>
          </w:p>
        </w:tc>
        <w:tc>
          <w:tcPr>
            <w:tcW w:w="991" w:type="dxa"/>
            <w:tcBorders>
              <w:top w:val="nil"/>
              <w:left w:val="nil"/>
              <w:bottom w:val="single" w:sz="4" w:space="0" w:color="auto"/>
              <w:right w:val="single" w:sz="4" w:space="0" w:color="auto"/>
            </w:tcBorders>
            <w:shd w:val="clear" w:color="000000" w:fill="FFFFFF"/>
            <w:noWrap/>
            <w:vAlign w:val="bottom"/>
            <w:hideMark/>
          </w:tcPr>
          <w:p w14:paraId="1A25F54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34,63</w:t>
            </w:r>
          </w:p>
        </w:tc>
      </w:tr>
      <w:tr w:rsidR="00B56301" w:rsidRPr="00364545" w14:paraId="002E1DD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026CAE" w14:textId="5BCE8C3F"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4. 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011013D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185,97</w:t>
            </w:r>
          </w:p>
        </w:tc>
        <w:tc>
          <w:tcPr>
            <w:tcW w:w="991" w:type="dxa"/>
            <w:tcBorders>
              <w:top w:val="nil"/>
              <w:left w:val="nil"/>
              <w:bottom w:val="single" w:sz="4" w:space="0" w:color="auto"/>
              <w:right w:val="single" w:sz="4" w:space="0" w:color="auto"/>
            </w:tcBorders>
            <w:shd w:val="clear" w:color="000000" w:fill="FFFFFF"/>
            <w:noWrap/>
            <w:vAlign w:val="bottom"/>
            <w:hideMark/>
          </w:tcPr>
          <w:p w14:paraId="60D62DF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185,97</w:t>
            </w:r>
          </w:p>
        </w:tc>
        <w:tc>
          <w:tcPr>
            <w:tcW w:w="991" w:type="dxa"/>
            <w:tcBorders>
              <w:top w:val="nil"/>
              <w:left w:val="nil"/>
              <w:bottom w:val="single" w:sz="4" w:space="0" w:color="auto"/>
              <w:right w:val="single" w:sz="4" w:space="0" w:color="auto"/>
            </w:tcBorders>
            <w:shd w:val="clear" w:color="000000" w:fill="FFFFFF"/>
            <w:noWrap/>
            <w:vAlign w:val="bottom"/>
            <w:hideMark/>
          </w:tcPr>
          <w:p w14:paraId="13AF520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218,94</w:t>
            </w:r>
          </w:p>
        </w:tc>
        <w:tc>
          <w:tcPr>
            <w:tcW w:w="991" w:type="dxa"/>
            <w:tcBorders>
              <w:top w:val="nil"/>
              <w:left w:val="nil"/>
              <w:bottom w:val="single" w:sz="4" w:space="0" w:color="auto"/>
              <w:right w:val="single" w:sz="4" w:space="0" w:color="auto"/>
            </w:tcBorders>
            <w:shd w:val="clear" w:color="000000" w:fill="FFFFFF"/>
            <w:noWrap/>
            <w:vAlign w:val="bottom"/>
            <w:hideMark/>
          </w:tcPr>
          <w:p w14:paraId="47EA92E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209,49</w:t>
            </w:r>
          </w:p>
        </w:tc>
        <w:tc>
          <w:tcPr>
            <w:tcW w:w="991" w:type="dxa"/>
            <w:tcBorders>
              <w:top w:val="nil"/>
              <w:left w:val="nil"/>
              <w:bottom w:val="single" w:sz="4" w:space="0" w:color="auto"/>
              <w:right w:val="single" w:sz="4" w:space="0" w:color="auto"/>
            </w:tcBorders>
            <w:shd w:val="clear" w:color="000000" w:fill="FFFFFF"/>
            <w:noWrap/>
            <w:vAlign w:val="bottom"/>
            <w:hideMark/>
          </w:tcPr>
          <w:p w14:paraId="0D13C41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201,51</w:t>
            </w:r>
          </w:p>
        </w:tc>
        <w:tc>
          <w:tcPr>
            <w:tcW w:w="991" w:type="dxa"/>
            <w:tcBorders>
              <w:top w:val="nil"/>
              <w:left w:val="nil"/>
              <w:bottom w:val="single" w:sz="4" w:space="0" w:color="auto"/>
              <w:right w:val="single" w:sz="4" w:space="0" w:color="auto"/>
            </w:tcBorders>
            <w:shd w:val="clear" w:color="000000" w:fill="FFFFFF"/>
            <w:noWrap/>
            <w:vAlign w:val="bottom"/>
            <w:hideMark/>
          </w:tcPr>
          <w:p w14:paraId="4A56D4C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174,91</w:t>
            </w:r>
          </w:p>
        </w:tc>
      </w:tr>
      <w:tr w:rsidR="00B56301" w:rsidRPr="00364545" w14:paraId="6D1D98E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3B1CB2" w14:textId="1DE72D06"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5. Other</w:t>
            </w:r>
          </w:p>
        </w:tc>
        <w:tc>
          <w:tcPr>
            <w:tcW w:w="991" w:type="dxa"/>
            <w:tcBorders>
              <w:top w:val="nil"/>
              <w:left w:val="nil"/>
              <w:bottom w:val="single" w:sz="4" w:space="0" w:color="auto"/>
              <w:right w:val="single" w:sz="4" w:space="0" w:color="auto"/>
            </w:tcBorders>
            <w:shd w:val="clear" w:color="000000" w:fill="FFFFFF"/>
            <w:noWrap/>
            <w:vAlign w:val="bottom"/>
            <w:hideMark/>
          </w:tcPr>
          <w:p w14:paraId="6AC8818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291CF37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56B5C9F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0,11</w:t>
            </w:r>
          </w:p>
        </w:tc>
        <w:tc>
          <w:tcPr>
            <w:tcW w:w="991" w:type="dxa"/>
            <w:tcBorders>
              <w:top w:val="nil"/>
              <w:left w:val="nil"/>
              <w:bottom w:val="single" w:sz="4" w:space="0" w:color="auto"/>
              <w:right w:val="single" w:sz="4" w:space="0" w:color="auto"/>
            </w:tcBorders>
            <w:shd w:val="clear" w:color="000000" w:fill="FFFFFF"/>
            <w:noWrap/>
            <w:vAlign w:val="bottom"/>
            <w:hideMark/>
          </w:tcPr>
          <w:p w14:paraId="1711F47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0,08</w:t>
            </w:r>
          </w:p>
        </w:tc>
        <w:tc>
          <w:tcPr>
            <w:tcW w:w="991" w:type="dxa"/>
            <w:tcBorders>
              <w:top w:val="nil"/>
              <w:left w:val="nil"/>
              <w:bottom w:val="single" w:sz="4" w:space="0" w:color="auto"/>
              <w:right w:val="single" w:sz="4" w:space="0" w:color="auto"/>
            </w:tcBorders>
            <w:shd w:val="clear" w:color="000000" w:fill="FFFFFF"/>
            <w:noWrap/>
            <w:vAlign w:val="bottom"/>
            <w:hideMark/>
          </w:tcPr>
          <w:p w14:paraId="26DCCDC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7FD0175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0,04</w:t>
            </w:r>
          </w:p>
        </w:tc>
      </w:tr>
      <w:tr w:rsidR="00B56301" w:rsidRPr="00364545" w14:paraId="393B605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3801729"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040544C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264,46</w:t>
            </w:r>
          </w:p>
        </w:tc>
        <w:tc>
          <w:tcPr>
            <w:tcW w:w="991" w:type="dxa"/>
            <w:tcBorders>
              <w:top w:val="nil"/>
              <w:left w:val="nil"/>
              <w:bottom w:val="single" w:sz="4" w:space="0" w:color="auto"/>
              <w:right w:val="single" w:sz="4" w:space="0" w:color="auto"/>
            </w:tcBorders>
            <w:shd w:val="clear" w:color="000000" w:fill="CCFFFF"/>
            <w:noWrap/>
            <w:vAlign w:val="bottom"/>
            <w:hideMark/>
          </w:tcPr>
          <w:p w14:paraId="592B772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264,46</w:t>
            </w:r>
          </w:p>
        </w:tc>
        <w:tc>
          <w:tcPr>
            <w:tcW w:w="991" w:type="dxa"/>
            <w:tcBorders>
              <w:top w:val="nil"/>
              <w:left w:val="nil"/>
              <w:bottom w:val="single" w:sz="4" w:space="0" w:color="auto"/>
              <w:right w:val="single" w:sz="4" w:space="0" w:color="auto"/>
            </w:tcBorders>
            <w:shd w:val="clear" w:color="000000" w:fill="CCFFFF"/>
            <w:noWrap/>
            <w:vAlign w:val="bottom"/>
            <w:hideMark/>
          </w:tcPr>
          <w:p w14:paraId="7387FC1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250,61</w:t>
            </w:r>
          </w:p>
        </w:tc>
        <w:tc>
          <w:tcPr>
            <w:tcW w:w="991" w:type="dxa"/>
            <w:tcBorders>
              <w:top w:val="nil"/>
              <w:left w:val="nil"/>
              <w:bottom w:val="single" w:sz="4" w:space="0" w:color="auto"/>
              <w:right w:val="single" w:sz="4" w:space="0" w:color="auto"/>
            </w:tcBorders>
            <w:shd w:val="clear" w:color="000000" w:fill="CCFFFF"/>
            <w:noWrap/>
            <w:vAlign w:val="bottom"/>
            <w:hideMark/>
          </w:tcPr>
          <w:p w14:paraId="42DF237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256,45</w:t>
            </w:r>
          </w:p>
        </w:tc>
        <w:tc>
          <w:tcPr>
            <w:tcW w:w="991" w:type="dxa"/>
            <w:tcBorders>
              <w:top w:val="nil"/>
              <w:left w:val="nil"/>
              <w:bottom w:val="single" w:sz="4" w:space="0" w:color="auto"/>
              <w:right w:val="single" w:sz="4" w:space="0" w:color="auto"/>
            </w:tcBorders>
            <w:shd w:val="clear" w:color="000000" w:fill="CCFFFF"/>
            <w:noWrap/>
            <w:vAlign w:val="bottom"/>
            <w:hideMark/>
          </w:tcPr>
          <w:p w14:paraId="0561A5D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263,19</w:t>
            </w:r>
          </w:p>
        </w:tc>
        <w:tc>
          <w:tcPr>
            <w:tcW w:w="991" w:type="dxa"/>
            <w:tcBorders>
              <w:top w:val="nil"/>
              <w:left w:val="nil"/>
              <w:bottom w:val="single" w:sz="4" w:space="0" w:color="auto"/>
              <w:right w:val="single" w:sz="4" w:space="0" w:color="auto"/>
            </w:tcBorders>
            <w:shd w:val="clear" w:color="000000" w:fill="CCFFFF"/>
            <w:noWrap/>
            <w:vAlign w:val="bottom"/>
            <w:hideMark/>
          </w:tcPr>
          <w:p w14:paraId="0E24EA4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266,22</w:t>
            </w:r>
          </w:p>
        </w:tc>
      </w:tr>
      <w:tr w:rsidR="00B56301" w:rsidRPr="00364545" w14:paraId="16D0249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EC6B5C" w14:textId="48B6F461"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49DF7C4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192,41</w:t>
            </w:r>
          </w:p>
        </w:tc>
        <w:tc>
          <w:tcPr>
            <w:tcW w:w="991" w:type="dxa"/>
            <w:tcBorders>
              <w:top w:val="nil"/>
              <w:left w:val="nil"/>
              <w:bottom w:val="single" w:sz="4" w:space="0" w:color="auto"/>
              <w:right w:val="single" w:sz="4" w:space="0" w:color="auto"/>
            </w:tcBorders>
            <w:shd w:val="clear" w:color="000000" w:fill="FFFFFF"/>
            <w:noWrap/>
            <w:vAlign w:val="bottom"/>
            <w:hideMark/>
          </w:tcPr>
          <w:p w14:paraId="1DAF205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192,41</w:t>
            </w:r>
          </w:p>
        </w:tc>
        <w:tc>
          <w:tcPr>
            <w:tcW w:w="991" w:type="dxa"/>
            <w:tcBorders>
              <w:top w:val="nil"/>
              <w:left w:val="nil"/>
              <w:bottom w:val="single" w:sz="4" w:space="0" w:color="auto"/>
              <w:right w:val="single" w:sz="4" w:space="0" w:color="auto"/>
            </w:tcBorders>
            <w:shd w:val="clear" w:color="000000" w:fill="FFFFFF"/>
            <w:noWrap/>
            <w:vAlign w:val="bottom"/>
            <w:hideMark/>
          </w:tcPr>
          <w:p w14:paraId="6279333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178,60</w:t>
            </w:r>
          </w:p>
        </w:tc>
        <w:tc>
          <w:tcPr>
            <w:tcW w:w="991" w:type="dxa"/>
            <w:tcBorders>
              <w:top w:val="nil"/>
              <w:left w:val="nil"/>
              <w:bottom w:val="single" w:sz="4" w:space="0" w:color="auto"/>
              <w:right w:val="single" w:sz="4" w:space="0" w:color="auto"/>
            </w:tcBorders>
            <w:shd w:val="clear" w:color="000000" w:fill="FFFFFF"/>
            <w:noWrap/>
            <w:vAlign w:val="bottom"/>
            <w:hideMark/>
          </w:tcPr>
          <w:p w14:paraId="5EAF0EB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186,45</w:t>
            </w:r>
          </w:p>
        </w:tc>
        <w:tc>
          <w:tcPr>
            <w:tcW w:w="991" w:type="dxa"/>
            <w:tcBorders>
              <w:top w:val="nil"/>
              <w:left w:val="nil"/>
              <w:bottom w:val="single" w:sz="4" w:space="0" w:color="auto"/>
              <w:right w:val="single" w:sz="4" w:space="0" w:color="auto"/>
            </w:tcBorders>
            <w:shd w:val="clear" w:color="000000" w:fill="FFFFFF"/>
            <w:noWrap/>
            <w:vAlign w:val="bottom"/>
            <w:hideMark/>
          </w:tcPr>
          <w:p w14:paraId="7CD34EE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194,62</w:t>
            </w:r>
          </w:p>
        </w:tc>
        <w:tc>
          <w:tcPr>
            <w:tcW w:w="991" w:type="dxa"/>
            <w:tcBorders>
              <w:top w:val="nil"/>
              <w:left w:val="nil"/>
              <w:bottom w:val="single" w:sz="4" w:space="0" w:color="auto"/>
              <w:right w:val="single" w:sz="4" w:space="0" w:color="auto"/>
            </w:tcBorders>
            <w:shd w:val="clear" w:color="000000" w:fill="FFFFFF"/>
            <w:noWrap/>
            <w:vAlign w:val="bottom"/>
            <w:hideMark/>
          </w:tcPr>
          <w:p w14:paraId="5185D88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198,86</w:t>
            </w:r>
          </w:p>
        </w:tc>
      </w:tr>
      <w:tr w:rsidR="00B56301" w:rsidRPr="00364545" w14:paraId="20CED82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183FCB" w14:textId="2DCA05BB"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1F543C8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72,05</w:t>
            </w:r>
          </w:p>
        </w:tc>
        <w:tc>
          <w:tcPr>
            <w:tcW w:w="991" w:type="dxa"/>
            <w:tcBorders>
              <w:top w:val="nil"/>
              <w:left w:val="nil"/>
              <w:bottom w:val="single" w:sz="4" w:space="0" w:color="auto"/>
              <w:right w:val="single" w:sz="4" w:space="0" w:color="auto"/>
            </w:tcBorders>
            <w:shd w:val="clear" w:color="000000" w:fill="FFFFFF"/>
            <w:noWrap/>
            <w:vAlign w:val="bottom"/>
            <w:hideMark/>
          </w:tcPr>
          <w:p w14:paraId="7DA271C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72,05</w:t>
            </w:r>
          </w:p>
        </w:tc>
        <w:tc>
          <w:tcPr>
            <w:tcW w:w="991" w:type="dxa"/>
            <w:tcBorders>
              <w:top w:val="nil"/>
              <w:left w:val="nil"/>
              <w:bottom w:val="single" w:sz="4" w:space="0" w:color="auto"/>
              <w:right w:val="single" w:sz="4" w:space="0" w:color="auto"/>
            </w:tcBorders>
            <w:shd w:val="clear" w:color="000000" w:fill="FFFFFF"/>
            <w:noWrap/>
            <w:vAlign w:val="bottom"/>
            <w:hideMark/>
          </w:tcPr>
          <w:p w14:paraId="5BF32F9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72,00</w:t>
            </w:r>
          </w:p>
        </w:tc>
        <w:tc>
          <w:tcPr>
            <w:tcW w:w="991" w:type="dxa"/>
            <w:tcBorders>
              <w:top w:val="nil"/>
              <w:left w:val="nil"/>
              <w:bottom w:val="single" w:sz="4" w:space="0" w:color="auto"/>
              <w:right w:val="single" w:sz="4" w:space="0" w:color="auto"/>
            </w:tcBorders>
            <w:shd w:val="clear" w:color="000000" w:fill="FFFFFF"/>
            <w:noWrap/>
            <w:vAlign w:val="bottom"/>
            <w:hideMark/>
          </w:tcPr>
          <w:p w14:paraId="1B748C8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70,00</w:t>
            </w:r>
          </w:p>
        </w:tc>
        <w:tc>
          <w:tcPr>
            <w:tcW w:w="991" w:type="dxa"/>
            <w:tcBorders>
              <w:top w:val="nil"/>
              <w:left w:val="nil"/>
              <w:bottom w:val="single" w:sz="4" w:space="0" w:color="auto"/>
              <w:right w:val="single" w:sz="4" w:space="0" w:color="auto"/>
            </w:tcBorders>
            <w:shd w:val="clear" w:color="000000" w:fill="FFFFFF"/>
            <w:noWrap/>
            <w:vAlign w:val="bottom"/>
            <w:hideMark/>
          </w:tcPr>
          <w:p w14:paraId="6140732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68,58</w:t>
            </w:r>
          </w:p>
        </w:tc>
        <w:tc>
          <w:tcPr>
            <w:tcW w:w="991" w:type="dxa"/>
            <w:tcBorders>
              <w:top w:val="nil"/>
              <w:left w:val="nil"/>
              <w:bottom w:val="single" w:sz="4" w:space="0" w:color="auto"/>
              <w:right w:val="single" w:sz="4" w:space="0" w:color="auto"/>
            </w:tcBorders>
            <w:shd w:val="clear" w:color="000000" w:fill="FFFFFF"/>
            <w:noWrap/>
            <w:vAlign w:val="bottom"/>
            <w:hideMark/>
          </w:tcPr>
          <w:p w14:paraId="008F9EE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67,36</w:t>
            </w:r>
          </w:p>
        </w:tc>
      </w:tr>
      <w:tr w:rsidR="00B56301" w:rsidRPr="00364545" w14:paraId="6CC37FB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A4850A0" w14:textId="2A9BCD0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0349EF6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671A8A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15F893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1F506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15C685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1AD0A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63D60F2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30782A6" w14:textId="3A4A9E44"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2. 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722BD4D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8,81</w:t>
            </w:r>
          </w:p>
        </w:tc>
        <w:tc>
          <w:tcPr>
            <w:tcW w:w="991" w:type="dxa"/>
            <w:tcBorders>
              <w:top w:val="nil"/>
              <w:left w:val="nil"/>
              <w:bottom w:val="single" w:sz="4" w:space="0" w:color="auto"/>
              <w:right w:val="single" w:sz="4" w:space="0" w:color="auto"/>
            </w:tcBorders>
            <w:shd w:val="clear" w:color="000000" w:fill="CCFFFF"/>
            <w:noWrap/>
            <w:vAlign w:val="bottom"/>
            <w:hideMark/>
          </w:tcPr>
          <w:p w14:paraId="1690772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8,81</w:t>
            </w:r>
          </w:p>
        </w:tc>
        <w:tc>
          <w:tcPr>
            <w:tcW w:w="991" w:type="dxa"/>
            <w:tcBorders>
              <w:top w:val="nil"/>
              <w:left w:val="nil"/>
              <w:bottom w:val="single" w:sz="4" w:space="0" w:color="auto"/>
              <w:right w:val="single" w:sz="4" w:space="0" w:color="auto"/>
            </w:tcBorders>
            <w:shd w:val="clear" w:color="000000" w:fill="CCFFFF"/>
            <w:noWrap/>
            <w:vAlign w:val="bottom"/>
            <w:hideMark/>
          </w:tcPr>
          <w:p w14:paraId="3F38A8A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8,75</w:t>
            </w:r>
          </w:p>
        </w:tc>
        <w:tc>
          <w:tcPr>
            <w:tcW w:w="991" w:type="dxa"/>
            <w:tcBorders>
              <w:top w:val="nil"/>
              <w:left w:val="nil"/>
              <w:bottom w:val="single" w:sz="4" w:space="0" w:color="auto"/>
              <w:right w:val="single" w:sz="4" w:space="0" w:color="auto"/>
            </w:tcBorders>
            <w:shd w:val="clear" w:color="000000" w:fill="CCFFFF"/>
            <w:noWrap/>
            <w:vAlign w:val="bottom"/>
            <w:hideMark/>
          </w:tcPr>
          <w:p w14:paraId="7BA9F39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8,79</w:t>
            </w:r>
          </w:p>
        </w:tc>
        <w:tc>
          <w:tcPr>
            <w:tcW w:w="991" w:type="dxa"/>
            <w:tcBorders>
              <w:top w:val="nil"/>
              <w:left w:val="nil"/>
              <w:bottom w:val="single" w:sz="4" w:space="0" w:color="auto"/>
              <w:right w:val="single" w:sz="4" w:space="0" w:color="auto"/>
            </w:tcBorders>
            <w:shd w:val="clear" w:color="000000" w:fill="CCFFFF"/>
            <w:noWrap/>
            <w:vAlign w:val="bottom"/>
            <w:hideMark/>
          </w:tcPr>
          <w:p w14:paraId="41F1DBA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8,42</w:t>
            </w:r>
          </w:p>
        </w:tc>
        <w:tc>
          <w:tcPr>
            <w:tcW w:w="991" w:type="dxa"/>
            <w:tcBorders>
              <w:top w:val="nil"/>
              <w:left w:val="nil"/>
              <w:bottom w:val="single" w:sz="4" w:space="0" w:color="auto"/>
              <w:right w:val="single" w:sz="4" w:space="0" w:color="auto"/>
            </w:tcBorders>
            <w:shd w:val="clear" w:color="000000" w:fill="CCFFFF"/>
            <w:noWrap/>
            <w:vAlign w:val="bottom"/>
            <w:hideMark/>
          </w:tcPr>
          <w:p w14:paraId="7684E87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9,03</w:t>
            </w:r>
          </w:p>
        </w:tc>
      </w:tr>
      <w:tr w:rsidR="00B56301" w:rsidRPr="00364545" w14:paraId="20D71E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10AF7A" w14:textId="5BA66D8B"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6928A06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9E7B6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F07B5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B9053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0AAAF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4D62E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2482531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7B89511" w14:textId="1AC55B5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7F3BA53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3,12</w:t>
            </w:r>
          </w:p>
        </w:tc>
        <w:tc>
          <w:tcPr>
            <w:tcW w:w="991" w:type="dxa"/>
            <w:tcBorders>
              <w:top w:val="nil"/>
              <w:left w:val="nil"/>
              <w:bottom w:val="single" w:sz="4" w:space="0" w:color="auto"/>
              <w:right w:val="single" w:sz="4" w:space="0" w:color="auto"/>
            </w:tcBorders>
            <w:shd w:val="clear" w:color="000000" w:fill="FFFFFF"/>
            <w:noWrap/>
            <w:vAlign w:val="bottom"/>
            <w:hideMark/>
          </w:tcPr>
          <w:p w14:paraId="2E3DE22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3,12</w:t>
            </w:r>
          </w:p>
        </w:tc>
        <w:tc>
          <w:tcPr>
            <w:tcW w:w="991" w:type="dxa"/>
            <w:tcBorders>
              <w:top w:val="nil"/>
              <w:left w:val="nil"/>
              <w:bottom w:val="single" w:sz="4" w:space="0" w:color="auto"/>
              <w:right w:val="single" w:sz="4" w:space="0" w:color="auto"/>
            </w:tcBorders>
            <w:shd w:val="clear" w:color="000000" w:fill="FFFFFF"/>
            <w:noWrap/>
            <w:vAlign w:val="bottom"/>
            <w:hideMark/>
          </w:tcPr>
          <w:p w14:paraId="1719F4C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3,49</w:t>
            </w:r>
          </w:p>
        </w:tc>
        <w:tc>
          <w:tcPr>
            <w:tcW w:w="991" w:type="dxa"/>
            <w:tcBorders>
              <w:top w:val="nil"/>
              <w:left w:val="nil"/>
              <w:bottom w:val="single" w:sz="4" w:space="0" w:color="auto"/>
              <w:right w:val="single" w:sz="4" w:space="0" w:color="auto"/>
            </w:tcBorders>
            <w:shd w:val="clear" w:color="000000" w:fill="FFFFFF"/>
            <w:noWrap/>
            <w:vAlign w:val="bottom"/>
            <w:hideMark/>
          </w:tcPr>
          <w:p w14:paraId="59CFF4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3,74</w:t>
            </w:r>
          </w:p>
        </w:tc>
        <w:tc>
          <w:tcPr>
            <w:tcW w:w="991" w:type="dxa"/>
            <w:tcBorders>
              <w:top w:val="nil"/>
              <w:left w:val="nil"/>
              <w:bottom w:val="single" w:sz="4" w:space="0" w:color="auto"/>
              <w:right w:val="single" w:sz="4" w:space="0" w:color="auto"/>
            </w:tcBorders>
            <w:shd w:val="clear" w:color="000000" w:fill="FFFFFF"/>
            <w:noWrap/>
            <w:vAlign w:val="bottom"/>
            <w:hideMark/>
          </w:tcPr>
          <w:p w14:paraId="19D238F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3,47</w:t>
            </w:r>
          </w:p>
        </w:tc>
        <w:tc>
          <w:tcPr>
            <w:tcW w:w="991" w:type="dxa"/>
            <w:tcBorders>
              <w:top w:val="nil"/>
              <w:left w:val="nil"/>
              <w:bottom w:val="single" w:sz="4" w:space="0" w:color="auto"/>
              <w:right w:val="single" w:sz="4" w:space="0" w:color="auto"/>
            </w:tcBorders>
            <w:shd w:val="clear" w:color="000000" w:fill="FFFFFF"/>
            <w:noWrap/>
            <w:vAlign w:val="bottom"/>
            <w:hideMark/>
          </w:tcPr>
          <w:p w14:paraId="30E035F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3,65</w:t>
            </w:r>
          </w:p>
        </w:tc>
      </w:tr>
      <w:tr w:rsidR="00B56301" w:rsidRPr="00364545" w14:paraId="5B782B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6B977F6" w14:textId="204DFD6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043BE87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5,63</w:t>
            </w:r>
          </w:p>
        </w:tc>
        <w:tc>
          <w:tcPr>
            <w:tcW w:w="991" w:type="dxa"/>
            <w:tcBorders>
              <w:top w:val="nil"/>
              <w:left w:val="nil"/>
              <w:bottom w:val="single" w:sz="4" w:space="0" w:color="auto"/>
              <w:right w:val="single" w:sz="4" w:space="0" w:color="auto"/>
            </w:tcBorders>
            <w:shd w:val="clear" w:color="000000" w:fill="FFFFFF"/>
            <w:noWrap/>
            <w:vAlign w:val="bottom"/>
            <w:hideMark/>
          </w:tcPr>
          <w:p w14:paraId="0951FDB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5,63</w:t>
            </w:r>
          </w:p>
        </w:tc>
        <w:tc>
          <w:tcPr>
            <w:tcW w:w="991" w:type="dxa"/>
            <w:tcBorders>
              <w:top w:val="nil"/>
              <w:left w:val="nil"/>
              <w:bottom w:val="single" w:sz="4" w:space="0" w:color="auto"/>
              <w:right w:val="single" w:sz="4" w:space="0" w:color="auto"/>
            </w:tcBorders>
            <w:shd w:val="clear" w:color="000000" w:fill="FFFFFF"/>
            <w:noWrap/>
            <w:vAlign w:val="bottom"/>
            <w:hideMark/>
          </w:tcPr>
          <w:p w14:paraId="298013B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5,21</w:t>
            </w:r>
          </w:p>
        </w:tc>
        <w:tc>
          <w:tcPr>
            <w:tcW w:w="991" w:type="dxa"/>
            <w:tcBorders>
              <w:top w:val="nil"/>
              <w:left w:val="nil"/>
              <w:bottom w:val="single" w:sz="4" w:space="0" w:color="auto"/>
              <w:right w:val="single" w:sz="4" w:space="0" w:color="auto"/>
            </w:tcBorders>
            <w:shd w:val="clear" w:color="000000" w:fill="FFFFFF"/>
            <w:noWrap/>
            <w:vAlign w:val="bottom"/>
            <w:hideMark/>
          </w:tcPr>
          <w:p w14:paraId="3180A44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4,99</w:t>
            </w:r>
          </w:p>
        </w:tc>
        <w:tc>
          <w:tcPr>
            <w:tcW w:w="991" w:type="dxa"/>
            <w:tcBorders>
              <w:top w:val="nil"/>
              <w:left w:val="nil"/>
              <w:bottom w:val="single" w:sz="4" w:space="0" w:color="auto"/>
              <w:right w:val="single" w:sz="4" w:space="0" w:color="auto"/>
            </w:tcBorders>
            <w:shd w:val="clear" w:color="000000" w:fill="FFFFFF"/>
            <w:noWrap/>
            <w:vAlign w:val="bottom"/>
            <w:hideMark/>
          </w:tcPr>
          <w:p w14:paraId="2F2B010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4,90</w:t>
            </w:r>
          </w:p>
        </w:tc>
        <w:tc>
          <w:tcPr>
            <w:tcW w:w="991" w:type="dxa"/>
            <w:tcBorders>
              <w:top w:val="nil"/>
              <w:left w:val="nil"/>
              <w:bottom w:val="single" w:sz="4" w:space="0" w:color="auto"/>
              <w:right w:val="single" w:sz="4" w:space="0" w:color="auto"/>
            </w:tcBorders>
            <w:shd w:val="clear" w:color="000000" w:fill="FFFFFF"/>
            <w:noWrap/>
            <w:vAlign w:val="bottom"/>
            <w:hideMark/>
          </w:tcPr>
          <w:p w14:paraId="1FD2223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5,33</w:t>
            </w:r>
          </w:p>
        </w:tc>
      </w:tr>
      <w:tr w:rsidR="00B56301" w:rsidRPr="00364545" w14:paraId="61FF6D1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2C2396C0" w14:textId="6AFE7E34"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6C5B1E0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7E9C3AB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4A86BEC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2E51A8D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0DC7241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2BBF392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0,05</w:t>
            </w:r>
          </w:p>
        </w:tc>
      </w:tr>
      <w:tr w:rsidR="00B56301" w:rsidRPr="00364545" w14:paraId="12B194E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F0A18B4" w14:textId="403C766B"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61626E1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25FA6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40485B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C8B2CE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45745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8C840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51DB6D3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1AB0B29" w14:textId="6A97C58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59D7ED2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B2A38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3927A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EB2D37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D672CA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2829E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5D86DF7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9F98D9A" w14:textId="5B80CF8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G. 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25BA36B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3D3032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12C806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46C0D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C61C92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E6E037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37EC3CF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A36C05A" w14:textId="77A5B2C6"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417E0F6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1C2243B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98D17D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4D7F10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4B45E77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3CE99B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r>
      <w:tr w:rsidR="00B56301" w:rsidRPr="00364545" w14:paraId="48C4859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7CEB21F2" w14:textId="2AC83C22"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3. 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638241C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1688,74</w:t>
            </w:r>
          </w:p>
        </w:tc>
        <w:tc>
          <w:tcPr>
            <w:tcW w:w="991" w:type="dxa"/>
            <w:tcBorders>
              <w:top w:val="nil"/>
              <w:left w:val="nil"/>
              <w:bottom w:val="single" w:sz="4" w:space="0" w:color="auto"/>
              <w:right w:val="single" w:sz="4" w:space="0" w:color="auto"/>
            </w:tcBorders>
            <w:shd w:val="clear" w:color="000000" w:fill="CCFFFF"/>
            <w:noWrap/>
            <w:vAlign w:val="bottom"/>
            <w:hideMark/>
          </w:tcPr>
          <w:p w14:paraId="1722CC6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1688,74</w:t>
            </w:r>
          </w:p>
        </w:tc>
        <w:tc>
          <w:tcPr>
            <w:tcW w:w="991" w:type="dxa"/>
            <w:tcBorders>
              <w:top w:val="nil"/>
              <w:left w:val="nil"/>
              <w:bottom w:val="single" w:sz="4" w:space="0" w:color="auto"/>
              <w:right w:val="single" w:sz="4" w:space="0" w:color="auto"/>
            </w:tcBorders>
            <w:shd w:val="clear" w:color="000000" w:fill="CCFFFF"/>
            <w:noWrap/>
            <w:vAlign w:val="bottom"/>
            <w:hideMark/>
          </w:tcPr>
          <w:p w14:paraId="2D088C7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1662,25</w:t>
            </w:r>
          </w:p>
        </w:tc>
        <w:tc>
          <w:tcPr>
            <w:tcW w:w="991" w:type="dxa"/>
            <w:tcBorders>
              <w:top w:val="nil"/>
              <w:left w:val="nil"/>
              <w:bottom w:val="single" w:sz="4" w:space="0" w:color="auto"/>
              <w:right w:val="single" w:sz="4" w:space="0" w:color="auto"/>
            </w:tcBorders>
            <w:shd w:val="clear" w:color="000000" w:fill="CCFFFF"/>
            <w:noWrap/>
            <w:vAlign w:val="bottom"/>
            <w:hideMark/>
          </w:tcPr>
          <w:p w14:paraId="3C00C30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1641,04</w:t>
            </w:r>
          </w:p>
        </w:tc>
        <w:tc>
          <w:tcPr>
            <w:tcW w:w="991" w:type="dxa"/>
            <w:tcBorders>
              <w:top w:val="nil"/>
              <w:left w:val="nil"/>
              <w:bottom w:val="single" w:sz="4" w:space="0" w:color="auto"/>
              <w:right w:val="single" w:sz="4" w:space="0" w:color="auto"/>
            </w:tcBorders>
            <w:shd w:val="clear" w:color="000000" w:fill="CCFFFF"/>
            <w:noWrap/>
            <w:vAlign w:val="bottom"/>
            <w:hideMark/>
          </w:tcPr>
          <w:p w14:paraId="04461C8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1629,42</w:t>
            </w:r>
          </w:p>
        </w:tc>
        <w:tc>
          <w:tcPr>
            <w:tcW w:w="991" w:type="dxa"/>
            <w:tcBorders>
              <w:top w:val="nil"/>
              <w:left w:val="nil"/>
              <w:bottom w:val="single" w:sz="4" w:space="0" w:color="auto"/>
              <w:right w:val="single" w:sz="4" w:space="0" w:color="auto"/>
            </w:tcBorders>
            <w:shd w:val="clear" w:color="000000" w:fill="CCFFFF"/>
            <w:noWrap/>
            <w:vAlign w:val="bottom"/>
            <w:hideMark/>
          </w:tcPr>
          <w:p w14:paraId="10C09FF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1636,84</w:t>
            </w:r>
          </w:p>
        </w:tc>
      </w:tr>
      <w:tr w:rsidR="00B56301" w:rsidRPr="00364545" w14:paraId="7FF785D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644DB2D" w14:textId="5EB7B4E6"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0A991C7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1545,22</w:t>
            </w:r>
          </w:p>
        </w:tc>
        <w:tc>
          <w:tcPr>
            <w:tcW w:w="991" w:type="dxa"/>
            <w:tcBorders>
              <w:top w:val="nil"/>
              <w:left w:val="nil"/>
              <w:bottom w:val="single" w:sz="4" w:space="0" w:color="auto"/>
              <w:right w:val="single" w:sz="4" w:space="0" w:color="auto"/>
            </w:tcBorders>
            <w:shd w:val="clear" w:color="000000" w:fill="FFFFFF"/>
            <w:noWrap/>
            <w:vAlign w:val="bottom"/>
            <w:hideMark/>
          </w:tcPr>
          <w:p w14:paraId="2EE6209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1545,22</w:t>
            </w:r>
          </w:p>
        </w:tc>
        <w:tc>
          <w:tcPr>
            <w:tcW w:w="991" w:type="dxa"/>
            <w:tcBorders>
              <w:top w:val="nil"/>
              <w:left w:val="nil"/>
              <w:bottom w:val="single" w:sz="4" w:space="0" w:color="auto"/>
              <w:right w:val="single" w:sz="4" w:space="0" w:color="auto"/>
            </w:tcBorders>
            <w:shd w:val="clear" w:color="000000" w:fill="FFFFFF"/>
            <w:noWrap/>
            <w:vAlign w:val="bottom"/>
            <w:hideMark/>
          </w:tcPr>
          <w:p w14:paraId="4D7D9B3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1519,99</w:t>
            </w:r>
          </w:p>
        </w:tc>
        <w:tc>
          <w:tcPr>
            <w:tcW w:w="991" w:type="dxa"/>
            <w:tcBorders>
              <w:top w:val="nil"/>
              <w:left w:val="nil"/>
              <w:bottom w:val="single" w:sz="4" w:space="0" w:color="auto"/>
              <w:right w:val="single" w:sz="4" w:space="0" w:color="auto"/>
            </w:tcBorders>
            <w:shd w:val="clear" w:color="000000" w:fill="FFFFFF"/>
            <w:noWrap/>
            <w:vAlign w:val="bottom"/>
            <w:hideMark/>
          </w:tcPr>
          <w:p w14:paraId="66B7B28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1498,07</w:t>
            </w:r>
          </w:p>
        </w:tc>
        <w:tc>
          <w:tcPr>
            <w:tcW w:w="991" w:type="dxa"/>
            <w:tcBorders>
              <w:top w:val="nil"/>
              <w:left w:val="nil"/>
              <w:bottom w:val="single" w:sz="4" w:space="0" w:color="auto"/>
              <w:right w:val="single" w:sz="4" w:space="0" w:color="auto"/>
            </w:tcBorders>
            <w:shd w:val="clear" w:color="000000" w:fill="FFFFFF"/>
            <w:noWrap/>
            <w:vAlign w:val="bottom"/>
            <w:hideMark/>
          </w:tcPr>
          <w:p w14:paraId="30494F1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1485,42</w:t>
            </w:r>
          </w:p>
        </w:tc>
        <w:tc>
          <w:tcPr>
            <w:tcW w:w="991" w:type="dxa"/>
            <w:tcBorders>
              <w:top w:val="nil"/>
              <w:left w:val="nil"/>
              <w:bottom w:val="single" w:sz="4" w:space="0" w:color="auto"/>
              <w:right w:val="single" w:sz="4" w:space="0" w:color="auto"/>
            </w:tcBorders>
            <w:shd w:val="clear" w:color="000000" w:fill="FFFFFF"/>
            <w:noWrap/>
            <w:vAlign w:val="bottom"/>
            <w:hideMark/>
          </w:tcPr>
          <w:p w14:paraId="076D1CD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1490,91</w:t>
            </w:r>
          </w:p>
        </w:tc>
      </w:tr>
      <w:tr w:rsidR="00B56301" w:rsidRPr="00364545" w14:paraId="5C0B248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D69C57" w14:textId="48A3BF8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25388C9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138,42</w:t>
            </w:r>
          </w:p>
        </w:tc>
        <w:tc>
          <w:tcPr>
            <w:tcW w:w="991" w:type="dxa"/>
            <w:tcBorders>
              <w:top w:val="nil"/>
              <w:left w:val="nil"/>
              <w:bottom w:val="single" w:sz="4" w:space="0" w:color="auto"/>
              <w:right w:val="single" w:sz="4" w:space="0" w:color="auto"/>
            </w:tcBorders>
            <w:shd w:val="clear" w:color="000000" w:fill="FFFFFF"/>
            <w:noWrap/>
            <w:vAlign w:val="bottom"/>
            <w:hideMark/>
          </w:tcPr>
          <w:p w14:paraId="05769F0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138,42</w:t>
            </w:r>
          </w:p>
        </w:tc>
        <w:tc>
          <w:tcPr>
            <w:tcW w:w="991" w:type="dxa"/>
            <w:tcBorders>
              <w:top w:val="nil"/>
              <w:left w:val="nil"/>
              <w:bottom w:val="single" w:sz="4" w:space="0" w:color="auto"/>
              <w:right w:val="single" w:sz="4" w:space="0" w:color="auto"/>
            </w:tcBorders>
            <w:shd w:val="clear" w:color="000000" w:fill="FFFFFF"/>
            <w:noWrap/>
            <w:vAlign w:val="bottom"/>
            <w:hideMark/>
          </w:tcPr>
          <w:p w14:paraId="32BE9F8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136,88</w:t>
            </w:r>
          </w:p>
        </w:tc>
        <w:tc>
          <w:tcPr>
            <w:tcW w:w="991" w:type="dxa"/>
            <w:tcBorders>
              <w:top w:val="nil"/>
              <w:left w:val="nil"/>
              <w:bottom w:val="single" w:sz="4" w:space="0" w:color="auto"/>
              <w:right w:val="single" w:sz="4" w:space="0" w:color="auto"/>
            </w:tcBorders>
            <w:shd w:val="clear" w:color="000000" w:fill="FFFFFF"/>
            <w:noWrap/>
            <w:vAlign w:val="bottom"/>
            <w:hideMark/>
          </w:tcPr>
          <w:p w14:paraId="55FB311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137,18</w:t>
            </w:r>
          </w:p>
        </w:tc>
        <w:tc>
          <w:tcPr>
            <w:tcW w:w="991" w:type="dxa"/>
            <w:tcBorders>
              <w:top w:val="nil"/>
              <w:left w:val="nil"/>
              <w:bottom w:val="single" w:sz="4" w:space="0" w:color="auto"/>
              <w:right w:val="single" w:sz="4" w:space="0" w:color="auto"/>
            </w:tcBorders>
            <w:shd w:val="clear" w:color="000000" w:fill="FFFFFF"/>
            <w:noWrap/>
            <w:vAlign w:val="bottom"/>
            <w:hideMark/>
          </w:tcPr>
          <w:p w14:paraId="209850C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138,00</w:t>
            </w:r>
          </w:p>
        </w:tc>
        <w:tc>
          <w:tcPr>
            <w:tcW w:w="991" w:type="dxa"/>
            <w:tcBorders>
              <w:top w:val="nil"/>
              <w:left w:val="nil"/>
              <w:bottom w:val="single" w:sz="4" w:space="0" w:color="auto"/>
              <w:right w:val="single" w:sz="4" w:space="0" w:color="auto"/>
            </w:tcBorders>
            <w:shd w:val="clear" w:color="000000" w:fill="FFFFFF"/>
            <w:noWrap/>
            <w:vAlign w:val="bottom"/>
            <w:hideMark/>
          </w:tcPr>
          <w:p w14:paraId="0E5E8B1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139,67</w:t>
            </w:r>
          </w:p>
        </w:tc>
      </w:tr>
      <w:tr w:rsidR="00B56301" w:rsidRPr="00364545" w14:paraId="0F36BDE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8474AE" w14:textId="4CF6C3E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1E7D0EC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2,33</w:t>
            </w:r>
          </w:p>
        </w:tc>
        <w:tc>
          <w:tcPr>
            <w:tcW w:w="991" w:type="dxa"/>
            <w:tcBorders>
              <w:top w:val="nil"/>
              <w:left w:val="nil"/>
              <w:bottom w:val="single" w:sz="4" w:space="0" w:color="auto"/>
              <w:right w:val="single" w:sz="4" w:space="0" w:color="auto"/>
            </w:tcBorders>
            <w:shd w:val="clear" w:color="000000" w:fill="FFFFFF"/>
            <w:noWrap/>
            <w:vAlign w:val="bottom"/>
            <w:hideMark/>
          </w:tcPr>
          <w:p w14:paraId="3EADB54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2,33</w:t>
            </w:r>
          </w:p>
        </w:tc>
        <w:tc>
          <w:tcPr>
            <w:tcW w:w="991" w:type="dxa"/>
            <w:tcBorders>
              <w:top w:val="nil"/>
              <w:left w:val="nil"/>
              <w:bottom w:val="single" w:sz="4" w:space="0" w:color="auto"/>
              <w:right w:val="single" w:sz="4" w:space="0" w:color="auto"/>
            </w:tcBorders>
            <w:shd w:val="clear" w:color="000000" w:fill="FFFFFF"/>
            <w:noWrap/>
            <w:vAlign w:val="bottom"/>
            <w:hideMark/>
          </w:tcPr>
          <w:p w14:paraId="2910205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2,54</w:t>
            </w:r>
          </w:p>
        </w:tc>
        <w:tc>
          <w:tcPr>
            <w:tcW w:w="991" w:type="dxa"/>
            <w:tcBorders>
              <w:top w:val="nil"/>
              <w:left w:val="nil"/>
              <w:bottom w:val="single" w:sz="4" w:space="0" w:color="auto"/>
              <w:right w:val="single" w:sz="4" w:space="0" w:color="auto"/>
            </w:tcBorders>
            <w:shd w:val="clear" w:color="000000" w:fill="FFFFFF"/>
            <w:noWrap/>
            <w:vAlign w:val="bottom"/>
            <w:hideMark/>
          </w:tcPr>
          <w:p w14:paraId="6AB652C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2,94</w:t>
            </w:r>
          </w:p>
        </w:tc>
        <w:tc>
          <w:tcPr>
            <w:tcW w:w="991" w:type="dxa"/>
            <w:tcBorders>
              <w:top w:val="nil"/>
              <w:left w:val="nil"/>
              <w:bottom w:val="single" w:sz="4" w:space="0" w:color="auto"/>
              <w:right w:val="single" w:sz="4" w:space="0" w:color="auto"/>
            </w:tcBorders>
            <w:shd w:val="clear" w:color="000000" w:fill="FFFFFF"/>
            <w:noWrap/>
            <w:vAlign w:val="bottom"/>
            <w:hideMark/>
          </w:tcPr>
          <w:p w14:paraId="6F92383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3,25</w:t>
            </w:r>
          </w:p>
        </w:tc>
        <w:tc>
          <w:tcPr>
            <w:tcW w:w="991" w:type="dxa"/>
            <w:tcBorders>
              <w:top w:val="nil"/>
              <w:left w:val="nil"/>
              <w:bottom w:val="single" w:sz="4" w:space="0" w:color="auto"/>
              <w:right w:val="single" w:sz="4" w:space="0" w:color="auto"/>
            </w:tcBorders>
            <w:shd w:val="clear" w:color="000000" w:fill="FFFFFF"/>
            <w:noWrap/>
            <w:vAlign w:val="bottom"/>
            <w:hideMark/>
          </w:tcPr>
          <w:p w14:paraId="578472D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3,47</w:t>
            </w:r>
          </w:p>
        </w:tc>
      </w:tr>
      <w:tr w:rsidR="00B56301" w:rsidRPr="00364545" w14:paraId="1C5AD5B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1F52C8" w14:textId="31C6616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46B787A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9DC69C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7D231F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5D469B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0E84AC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A8A729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7B7C20A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3C56C33" w14:textId="2293F9F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27D4CC8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9B61A8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24603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08C208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C7DEB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0B8C57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7C88E29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3FE5A66" w14:textId="21E89BF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2FDED4E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2,77</w:t>
            </w:r>
          </w:p>
        </w:tc>
        <w:tc>
          <w:tcPr>
            <w:tcW w:w="991" w:type="dxa"/>
            <w:tcBorders>
              <w:top w:val="nil"/>
              <w:left w:val="nil"/>
              <w:bottom w:val="single" w:sz="4" w:space="0" w:color="auto"/>
              <w:right w:val="single" w:sz="4" w:space="0" w:color="auto"/>
            </w:tcBorders>
            <w:shd w:val="clear" w:color="000000" w:fill="FFFFFF"/>
            <w:noWrap/>
            <w:vAlign w:val="bottom"/>
            <w:hideMark/>
          </w:tcPr>
          <w:p w14:paraId="129A26D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2,77</w:t>
            </w:r>
          </w:p>
        </w:tc>
        <w:tc>
          <w:tcPr>
            <w:tcW w:w="991" w:type="dxa"/>
            <w:tcBorders>
              <w:top w:val="nil"/>
              <w:left w:val="nil"/>
              <w:bottom w:val="single" w:sz="4" w:space="0" w:color="auto"/>
              <w:right w:val="single" w:sz="4" w:space="0" w:color="auto"/>
            </w:tcBorders>
            <w:shd w:val="clear" w:color="000000" w:fill="FFFFFF"/>
            <w:noWrap/>
            <w:vAlign w:val="bottom"/>
            <w:hideMark/>
          </w:tcPr>
          <w:p w14:paraId="3ED1C5A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2,84</w:t>
            </w:r>
          </w:p>
        </w:tc>
        <w:tc>
          <w:tcPr>
            <w:tcW w:w="991" w:type="dxa"/>
            <w:tcBorders>
              <w:top w:val="nil"/>
              <w:left w:val="nil"/>
              <w:bottom w:val="single" w:sz="4" w:space="0" w:color="auto"/>
              <w:right w:val="single" w:sz="4" w:space="0" w:color="auto"/>
            </w:tcBorders>
            <w:shd w:val="clear" w:color="000000" w:fill="FFFFFF"/>
            <w:noWrap/>
            <w:vAlign w:val="bottom"/>
            <w:hideMark/>
          </w:tcPr>
          <w:p w14:paraId="10994C1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2,85</w:t>
            </w:r>
          </w:p>
        </w:tc>
        <w:tc>
          <w:tcPr>
            <w:tcW w:w="991" w:type="dxa"/>
            <w:tcBorders>
              <w:top w:val="nil"/>
              <w:left w:val="nil"/>
              <w:bottom w:val="single" w:sz="4" w:space="0" w:color="auto"/>
              <w:right w:val="single" w:sz="4" w:space="0" w:color="auto"/>
            </w:tcBorders>
            <w:shd w:val="clear" w:color="000000" w:fill="FFFFFF"/>
            <w:noWrap/>
            <w:vAlign w:val="bottom"/>
            <w:hideMark/>
          </w:tcPr>
          <w:p w14:paraId="640840A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2,75</w:t>
            </w:r>
          </w:p>
        </w:tc>
        <w:tc>
          <w:tcPr>
            <w:tcW w:w="991" w:type="dxa"/>
            <w:tcBorders>
              <w:top w:val="nil"/>
              <w:left w:val="nil"/>
              <w:bottom w:val="single" w:sz="4" w:space="0" w:color="auto"/>
              <w:right w:val="single" w:sz="4" w:space="0" w:color="auto"/>
            </w:tcBorders>
            <w:shd w:val="clear" w:color="000000" w:fill="FFFFFF"/>
            <w:noWrap/>
            <w:vAlign w:val="bottom"/>
            <w:hideMark/>
          </w:tcPr>
          <w:p w14:paraId="2BA5390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2,79</w:t>
            </w:r>
          </w:p>
        </w:tc>
      </w:tr>
      <w:tr w:rsidR="00B56301" w:rsidRPr="00364545" w14:paraId="0FE4939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6A4F31" w14:textId="73B457E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Liming</w:t>
            </w:r>
          </w:p>
        </w:tc>
        <w:tc>
          <w:tcPr>
            <w:tcW w:w="991" w:type="dxa"/>
            <w:tcBorders>
              <w:top w:val="nil"/>
              <w:left w:val="nil"/>
              <w:bottom w:val="single" w:sz="4" w:space="0" w:color="auto"/>
              <w:right w:val="single" w:sz="4" w:space="0" w:color="auto"/>
            </w:tcBorders>
            <w:shd w:val="clear" w:color="000000" w:fill="969696"/>
            <w:noWrap/>
            <w:vAlign w:val="bottom"/>
            <w:hideMark/>
          </w:tcPr>
          <w:p w14:paraId="4B6CE07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AEB407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E15FBC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68477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789D7E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2D6E1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30F210E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EFFB72A" w14:textId="689C23F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H. 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4322AAE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029E2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7945C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E76014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1C373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5802AA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06732A1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18059C5" w14:textId="491C6A4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I. 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4400B63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5AC85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C4E7E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01868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D91A07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C59F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7B95039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234818" w14:textId="62273FA6"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J. Other </w:t>
            </w:r>
          </w:p>
        </w:tc>
        <w:tc>
          <w:tcPr>
            <w:tcW w:w="991" w:type="dxa"/>
            <w:tcBorders>
              <w:top w:val="nil"/>
              <w:left w:val="nil"/>
              <w:bottom w:val="single" w:sz="4" w:space="0" w:color="auto"/>
              <w:right w:val="single" w:sz="4" w:space="0" w:color="auto"/>
            </w:tcBorders>
            <w:shd w:val="clear" w:color="000000" w:fill="FFFFFF"/>
            <w:noWrap/>
            <w:vAlign w:val="bottom"/>
            <w:hideMark/>
          </w:tcPr>
          <w:p w14:paraId="639184F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0A756D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EBC59A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C7BDF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BD0BC2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1CFCA6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4DE73CB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1EB7DC2D"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0E866AD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37,31</w:t>
            </w:r>
          </w:p>
        </w:tc>
        <w:tc>
          <w:tcPr>
            <w:tcW w:w="991" w:type="dxa"/>
            <w:tcBorders>
              <w:top w:val="nil"/>
              <w:left w:val="nil"/>
              <w:bottom w:val="single" w:sz="4" w:space="0" w:color="auto"/>
              <w:right w:val="single" w:sz="4" w:space="0" w:color="auto"/>
            </w:tcBorders>
            <w:shd w:val="clear" w:color="000000" w:fill="CCFFFF"/>
            <w:noWrap/>
            <w:vAlign w:val="bottom"/>
            <w:hideMark/>
          </w:tcPr>
          <w:p w14:paraId="55BE62D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37,31</w:t>
            </w:r>
          </w:p>
        </w:tc>
        <w:tc>
          <w:tcPr>
            <w:tcW w:w="991" w:type="dxa"/>
            <w:tcBorders>
              <w:top w:val="nil"/>
              <w:left w:val="nil"/>
              <w:bottom w:val="single" w:sz="4" w:space="0" w:color="auto"/>
              <w:right w:val="single" w:sz="4" w:space="0" w:color="auto"/>
            </w:tcBorders>
            <w:shd w:val="clear" w:color="000000" w:fill="CCFFFF"/>
            <w:noWrap/>
            <w:vAlign w:val="bottom"/>
            <w:hideMark/>
          </w:tcPr>
          <w:p w14:paraId="03E1F78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39,68</w:t>
            </w:r>
          </w:p>
        </w:tc>
        <w:tc>
          <w:tcPr>
            <w:tcW w:w="991" w:type="dxa"/>
            <w:tcBorders>
              <w:top w:val="nil"/>
              <w:left w:val="nil"/>
              <w:bottom w:val="single" w:sz="4" w:space="0" w:color="auto"/>
              <w:right w:val="single" w:sz="4" w:space="0" w:color="auto"/>
            </w:tcBorders>
            <w:shd w:val="clear" w:color="000000" w:fill="CCFFFF"/>
            <w:noWrap/>
            <w:vAlign w:val="bottom"/>
            <w:hideMark/>
          </w:tcPr>
          <w:p w14:paraId="0EE16C0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41,01</w:t>
            </w:r>
          </w:p>
        </w:tc>
        <w:tc>
          <w:tcPr>
            <w:tcW w:w="991" w:type="dxa"/>
            <w:tcBorders>
              <w:top w:val="nil"/>
              <w:left w:val="nil"/>
              <w:bottom w:val="single" w:sz="4" w:space="0" w:color="auto"/>
              <w:right w:val="single" w:sz="4" w:space="0" w:color="auto"/>
            </w:tcBorders>
            <w:shd w:val="clear" w:color="000000" w:fill="CCFFFF"/>
            <w:noWrap/>
            <w:vAlign w:val="bottom"/>
            <w:hideMark/>
          </w:tcPr>
          <w:p w14:paraId="78F92F2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40,32</w:t>
            </w:r>
          </w:p>
        </w:tc>
        <w:tc>
          <w:tcPr>
            <w:tcW w:w="991" w:type="dxa"/>
            <w:tcBorders>
              <w:top w:val="nil"/>
              <w:left w:val="nil"/>
              <w:bottom w:val="single" w:sz="4" w:space="0" w:color="auto"/>
              <w:right w:val="single" w:sz="4" w:space="0" w:color="auto"/>
            </w:tcBorders>
            <w:shd w:val="clear" w:color="000000" w:fill="CCFFFF"/>
            <w:noWrap/>
            <w:vAlign w:val="bottom"/>
            <w:hideMark/>
          </w:tcPr>
          <w:p w14:paraId="0A933F1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137,86</w:t>
            </w:r>
          </w:p>
        </w:tc>
      </w:tr>
      <w:tr w:rsidR="00B56301" w:rsidRPr="00364545" w14:paraId="54FBD91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118556" w14:textId="16C1B32D"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2A34FEF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24,09</w:t>
            </w:r>
          </w:p>
        </w:tc>
        <w:tc>
          <w:tcPr>
            <w:tcW w:w="991" w:type="dxa"/>
            <w:tcBorders>
              <w:top w:val="nil"/>
              <w:left w:val="nil"/>
              <w:bottom w:val="single" w:sz="4" w:space="0" w:color="auto"/>
              <w:right w:val="single" w:sz="4" w:space="0" w:color="auto"/>
            </w:tcBorders>
            <w:shd w:val="clear" w:color="000000" w:fill="FFFFFF"/>
            <w:noWrap/>
            <w:vAlign w:val="bottom"/>
            <w:hideMark/>
          </w:tcPr>
          <w:p w14:paraId="4E25676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24,09</w:t>
            </w:r>
          </w:p>
        </w:tc>
        <w:tc>
          <w:tcPr>
            <w:tcW w:w="991" w:type="dxa"/>
            <w:tcBorders>
              <w:top w:val="nil"/>
              <w:left w:val="nil"/>
              <w:bottom w:val="single" w:sz="4" w:space="0" w:color="auto"/>
              <w:right w:val="single" w:sz="4" w:space="0" w:color="auto"/>
            </w:tcBorders>
            <w:shd w:val="clear" w:color="000000" w:fill="FFFFFF"/>
            <w:noWrap/>
            <w:vAlign w:val="bottom"/>
            <w:hideMark/>
          </w:tcPr>
          <w:p w14:paraId="0BFD8E7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26,08</w:t>
            </w:r>
          </w:p>
        </w:tc>
        <w:tc>
          <w:tcPr>
            <w:tcW w:w="991" w:type="dxa"/>
            <w:tcBorders>
              <w:top w:val="nil"/>
              <w:left w:val="nil"/>
              <w:bottom w:val="single" w:sz="4" w:space="0" w:color="auto"/>
              <w:right w:val="single" w:sz="4" w:space="0" w:color="auto"/>
            </w:tcBorders>
            <w:shd w:val="clear" w:color="000000" w:fill="FFFFFF"/>
            <w:noWrap/>
            <w:vAlign w:val="bottom"/>
            <w:hideMark/>
          </w:tcPr>
          <w:p w14:paraId="194EA10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27,21</w:t>
            </w:r>
          </w:p>
        </w:tc>
        <w:tc>
          <w:tcPr>
            <w:tcW w:w="991" w:type="dxa"/>
            <w:tcBorders>
              <w:top w:val="nil"/>
              <w:left w:val="nil"/>
              <w:bottom w:val="single" w:sz="4" w:space="0" w:color="auto"/>
              <w:right w:val="single" w:sz="4" w:space="0" w:color="auto"/>
            </w:tcBorders>
            <w:shd w:val="clear" w:color="000000" w:fill="FFFFFF"/>
            <w:noWrap/>
            <w:vAlign w:val="bottom"/>
            <w:hideMark/>
          </w:tcPr>
          <w:p w14:paraId="7885504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26,54</w:t>
            </w:r>
          </w:p>
        </w:tc>
        <w:tc>
          <w:tcPr>
            <w:tcW w:w="991" w:type="dxa"/>
            <w:tcBorders>
              <w:top w:val="nil"/>
              <w:left w:val="nil"/>
              <w:bottom w:val="single" w:sz="4" w:space="0" w:color="auto"/>
              <w:right w:val="single" w:sz="4" w:space="0" w:color="auto"/>
            </w:tcBorders>
            <w:shd w:val="clear" w:color="000000" w:fill="FFFFFF"/>
            <w:noWrap/>
            <w:vAlign w:val="bottom"/>
            <w:hideMark/>
          </w:tcPr>
          <w:p w14:paraId="2D669F5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26,54</w:t>
            </w:r>
          </w:p>
        </w:tc>
      </w:tr>
      <w:tr w:rsidR="00B56301" w:rsidRPr="00364545" w14:paraId="123C45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CC45DA9" w14:textId="2003801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744A047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5,08</w:t>
            </w:r>
          </w:p>
        </w:tc>
        <w:tc>
          <w:tcPr>
            <w:tcW w:w="991" w:type="dxa"/>
            <w:tcBorders>
              <w:top w:val="nil"/>
              <w:left w:val="nil"/>
              <w:bottom w:val="single" w:sz="4" w:space="0" w:color="auto"/>
              <w:right w:val="single" w:sz="4" w:space="0" w:color="auto"/>
            </w:tcBorders>
            <w:shd w:val="clear" w:color="000000" w:fill="FFFFFF"/>
            <w:noWrap/>
            <w:vAlign w:val="bottom"/>
            <w:hideMark/>
          </w:tcPr>
          <w:p w14:paraId="569A54E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5,08</w:t>
            </w:r>
          </w:p>
        </w:tc>
        <w:tc>
          <w:tcPr>
            <w:tcW w:w="991" w:type="dxa"/>
            <w:tcBorders>
              <w:top w:val="nil"/>
              <w:left w:val="nil"/>
              <w:bottom w:val="single" w:sz="4" w:space="0" w:color="auto"/>
              <w:right w:val="single" w:sz="4" w:space="0" w:color="auto"/>
            </w:tcBorders>
            <w:shd w:val="clear" w:color="000000" w:fill="FFFFFF"/>
            <w:noWrap/>
            <w:vAlign w:val="bottom"/>
            <w:hideMark/>
          </w:tcPr>
          <w:p w14:paraId="79B7C53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5,26</w:t>
            </w:r>
          </w:p>
        </w:tc>
        <w:tc>
          <w:tcPr>
            <w:tcW w:w="991" w:type="dxa"/>
            <w:tcBorders>
              <w:top w:val="nil"/>
              <w:left w:val="nil"/>
              <w:bottom w:val="single" w:sz="4" w:space="0" w:color="auto"/>
              <w:right w:val="single" w:sz="4" w:space="0" w:color="auto"/>
            </w:tcBorders>
            <w:shd w:val="clear" w:color="000000" w:fill="FFFFFF"/>
            <w:noWrap/>
            <w:vAlign w:val="bottom"/>
            <w:hideMark/>
          </w:tcPr>
          <w:p w14:paraId="1A15714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5,37</w:t>
            </w:r>
          </w:p>
        </w:tc>
        <w:tc>
          <w:tcPr>
            <w:tcW w:w="991" w:type="dxa"/>
            <w:tcBorders>
              <w:top w:val="nil"/>
              <w:left w:val="nil"/>
              <w:bottom w:val="single" w:sz="4" w:space="0" w:color="auto"/>
              <w:right w:val="single" w:sz="4" w:space="0" w:color="auto"/>
            </w:tcBorders>
            <w:shd w:val="clear" w:color="000000" w:fill="FFFFFF"/>
            <w:noWrap/>
            <w:vAlign w:val="bottom"/>
            <w:hideMark/>
          </w:tcPr>
          <w:p w14:paraId="43A851F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5,39</w:t>
            </w:r>
          </w:p>
        </w:tc>
        <w:tc>
          <w:tcPr>
            <w:tcW w:w="991" w:type="dxa"/>
            <w:tcBorders>
              <w:top w:val="nil"/>
              <w:left w:val="nil"/>
              <w:bottom w:val="single" w:sz="4" w:space="0" w:color="auto"/>
              <w:right w:val="single" w:sz="4" w:space="0" w:color="auto"/>
            </w:tcBorders>
            <w:shd w:val="clear" w:color="000000" w:fill="FFFFFF"/>
            <w:noWrap/>
            <w:vAlign w:val="bottom"/>
            <w:hideMark/>
          </w:tcPr>
          <w:p w14:paraId="2B5C628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5,15</w:t>
            </w:r>
          </w:p>
        </w:tc>
      </w:tr>
      <w:tr w:rsidR="00B56301" w:rsidRPr="00364545" w14:paraId="21ED705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D38DC20" w14:textId="4155DBC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79617C7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5,90</w:t>
            </w:r>
          </w:p>
        </w:tc>
        <w:tc>
          <w:tcPr>
            <w:tcW w:w="991" w:type="dxa"/>
            <w:tcBorders>
              <w:top w:val="nil"/>
              <w:left w:val="nil"/>
              <w:bottom w:val="single" w:sz="4" w:space="0" w:color="auto"/>
              <w:right w:val="single" w:sz="4" w:space="0" w:color="auto"/>
            </w:tcBorders>
            <w:shd w:val="clear" w:color="000000" w:fill="FFFFFF"/>
            <w:noWrap/>
            <w:vAlign w:val="bottom"/>
            <w:hideMark/>
          </w:tcPr>
          <w:p w14:paraId="2BF1781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5,90</w:t>
            </w:r>
          </w:p>
        </w:tc>
        <w:tc>
          <w:tcPr>
            <w:tcW w:w="991" w:type="dxa"/>
            <w:tcBorders>
              <w:top w:val="nil"/>
              <w:left w:val="nil"/>
              <w:bottom w:val="single" w:sz="4" w:space="0" w:color="auto"/>
              <w:right w:val="single" w:sz="4" w:space="0" w:color="auto"/>
            </w:tcBorders>
            <w:shd w:val="clear" w:color="000000" w:fill="FFFFFF"/>
            <w:noWrap/>
            <w:vAlign w:val="bottom"/>
            <w:hideMark/>
          </w:tcPr>
          <w:p w14:paraId="6999CD1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6,16</w:t>
            </w:r>
          </w:p>
        </w:tc>
        <w:tc>
          <w:tcPr>
            <w:tcW w:w="991" w:type="dxa"/>
            <w:tcBorders>
              <w:top w:val="nil"/>
              <w:left w:val="nil"/>
              <w:bottom w:val="single" w:sz="4" w:space="0" w:color="auto"/>
              <w:right w:val="single" w:sz="4" w:space="0" w:color="auto"/>
            </w:tcBorders>
            <w:shd w:val="clear" w:color="000000" w:fill="FFFFFF"/>
            <w:noWrap/>
            <w:vAlign w:val="bottom"/>
            <w:hideMark/>
          </w:tcPr>
          <w:p w14:paraId="4C5D11E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6,32</w:t>
            </w:r>
          </w:p>
        </w:tc>
        <w:tc>
          <w:tcPr>
            <w:tcW w:w="991" w:type="dxa"/>
            <w:tcBorders>
              <w:top w:val="nil"/>
              <w:left w:val="nil"/>
              <w:bottom w:val="single" w:sz="4" w:space="0" w:color="auto"/>
              <w:right w:val="single" w:sz="4" w:space="0" w:color="auto"/>
            </w:tcBorders>
            <w:shd w:val="clear" w:color="000000" w:fill="FFFFFF"/>
            <w:noWrap/>
            <w:vAlign w:val="bottom"/>
            <w:hideMark/>
          </w:tcPr>
          <w:p w14:paraId="2984365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6,36</w:t>
            </w:r>
          </w:p>
        </w:tc>
        <w:tc>
          <w:tcPr>
            <w:tcW w:w="991" w:type="dxa"/>
            <w:tcBorders>
              <w:top w:val="nil"/>
              <w:left w:val="nil"/>
              <w:bottom w:val="single" w:sz="4" w:space="0" w:color="auto"/>
              <w:right w:val="single" w:sz="4" w:space="0" w:color="auto"/>
            </w:tcBorders>
            <w:shd w:val="clear" w:color="000000" w:fill="FFFFFF"/>
            <w:noWrap/>
            <w:vAlign w:val="bottom"/>
            <w:hideMark/>
          </w:tcPr>
          <w:p w14:paraId="502476C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6,33</w:t>
            </w:r>
          </w:p>
        </w:tc>
      </w:tr>
      <w:tr w:rsidR="00B56301" w:rsidRPr="00364545" w14:paraId="1B6B01B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FC3883" w14:textId="15DD50F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6310D12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0,28</w:t>
            </w:r>
          </w:p>
        </w:tc>
        <w:tc>
          <w:tcPr>
            <w:tcW w:w="991" w:type="dxa"/>
            <w:tcBorders>
              <w:top w:val="nil"/>
              <w:left w:val="nil"/>
              <w:bottom w:val="single" w:sz="4" w:space="0" w:color="auto"/>
              <w:right w:val="single" w:sz="4" w:space="0" w:color="auto"/>
            </w:tcBorders>
            <w:shd w:val="clear" w:color="000000" w:fill="FFFFFF"/>
            <w:noWrap/>
            <w:vAlign w:val="bottom"/>
            <w:hideMark/>
          </w:tcPr>
          <w:p w14:paraId="1735B88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0,28</w:t>
            </w:r>
          </w:p>
        </w:tc>
        <w:tc>
          <w:tcPr>
            <w:tcW w:w="991" w:type="dxa"/>
            <w:tcBorders>
              <w:top w:val="nil"/>
              <w:left w:val="nil"/>
              <w:bottom w:val="single" w:sz="4" w:space="0" w:color="auto"/>
              <w:right w:val="single" w:sz="4" w:space="0" w:color="auto"/>
            </w:tcBorders>
            <w:shd w:val="clear" w:color="000000" w:fill="FFFFFF"/>
            <w:noWrap/>
            <w:vAlign w:val="bottom"/>
            <w:hideMark/>
          </w:tcPr>
          <w:p w14:paraId="02F45B8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0,27</w:t>
            </w:r>
          </w:p>
        </w:tc>
        <w:tc>
          <w:tcPr>
            <w:tcW w:w="991" w:type="dxa"/>
            <w:tcBorders>
              <w:top w:val="nil"/>
              <w:left w:val="nil"/>
              <w:bottom w:val="single" w:sz="4" w:space="0" w:color="auto"/>
              <w:right w:val="single" w:sz="4" w:space="0" w:color="auto"/>
            </w:tcBorders>
            <w:shd w:val="clear" w:color="000000" w:fill="FFFFFF"/>
            <w:noWrap/>
            <w:vAlign w:val="bottom"/>
            <w:hideMark/>
          </w:tcPr>
          <w:p w14:paraId="7367E6A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0,26</w:t>
            </w:r>
          </w:p>
        </w:tc>
        <w:tc>
          <w:tcPr>
            <w:tcW w:w="991" w:type="dxa"/>
            <w:tcBorders>
              <w:top w:val="nil"/>
              <w:left w:val="nil"/>
              <w:bottom w:val="single" w:sz="4" w:space="0" w:color="auto"/>
              <w:right w:val="single" w:sz="4" w:space="0" w:color="auto"/>
            </w:tcBorders>
            <w:shd w:val="clear" w:color="000000" w:fill="FFFFFF"/>
            <w:noWrap/>
            <w:vAlign w:val="bottom"/>
            <w:hideMark/>
          </w:tcPr>
          <w:p w14:paraId="7408F06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0,25</w:t>
            </w:r>
          </w:p>
        </w:tc>
        <w:tc>
          <w:tcPr>
            <w:tcW w:w="991" w:type="dxa"/>
            <w:tcBorders>
              <w:top w:val="nil"/>
              <w:left w:val="nil"/>
              <w:bottom w:val="single" w:sz="4" w:space="0" w:color="auto"/>
              <w:right w:val="single" w:sz="4" w:space="0" w:color="auto"/>
            </w:tcBorders>
            <w:shd w:val="clear" w:color="000000" w:fill="FFFFFF"/>
            <w:noWrap/>
            <w:vAlign w:val="bottom"/>
            <w:hideMark/>
          </w:tcPr>
          <w:p w14:paraId="15FCB9A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0,29</w:t>
            </w:r>
          </w:p>
        </w:tc>
      </w:tr>
      <w:tr w:rsidR="00B56301" w:rsidRPr="00364545" w14:paraId="6754437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32E100A" w14:textId="6676D36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E. 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492A36C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1,96</w:t>
            </w:r>
          </w:p>
        </w:tc>
        <w:tc>
          <w:tcPr>
            <w:tcW w:w="991" w:type="dxa"/>
            <w:tcBorders>
              <w:top w:val="nil"/>
              <w:left w:val="nil"/>
              <w:bottom w:val="single" w:sz="4" w:space="0" w:color="auto"/>
              <w:right w:val="single" w:sz="4" w:space="0" w:color="auto"/>
            </w:tcBorders>
            <w:shd w:val="clear" w:color="000000" w:fill="FFFFFF"/>
            <w:noWrap/>
            <w:vAlign w:val="bottom"/>
            <w:hideMark/>
          </w:tcPr>
          <w:p w14:paraId="738581A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1,96</w:t>
            </w:r>
          </w:p>
        </w:tc>
        <w:tc>
          <w:tcPr>
            <w:tcW w:w="991" w:type="dxa"/>
            <w:tcBorders>
              <w:top w:val="nil"/>
              <w:left w:val="nil"/>
              <w:bottom w:val="single" w:sz="4" w:space="0" w:color="auto"/>
              <w:right w:val="single" w:sz="4" w:space="0" w:color="auto"/>
            </w:tcBorders>
            <w:shd w:val="clear" w:color="000000" w:fill="FFFFFF"/>
            <w:noWrap/>
            <w:vAlign w:val="bottom"/>
            <w:hideMark/>
          </w:tcPr>
          <w:p w14:paraId="63CCF24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1,91</w:t>
            </w:r>
          </w:p>
        </w:tc>
        <w:tc>
          <w:tcPr>
            <w:tcW w:w="991" w:type="dxa"/>
            <w:tcBorders>
              <w:top w:val="nil"/>
              <w:left w:val="nil"/>
              <w:bottom w:val="single" w:sz="4" w:space="0" w:color="auto"/>
              <w:right w:val="single" w:sz="4" w:space="0" w:color="auto"/>
            </w:tcBorders>
            <w:shd w:val="clear" w:color="000000" w:fill="FFFFFF"/>
            <w:noWrap/>
            <w:vAlign w:val="bottom"/>
            <w:hideMark/>
          </w:tcPr>
          <w:p w14:paraId="4877C0F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1,85</w:t>
            </w:r>
          </w:p>
        </w:tc>
        <w:tc>
          <w:tcPr>
            <w:tcW w:w="991" w:type="dxa"/>
            <w:tcBorders>
              <w:top w:val="nil"/>
              <w:left w:val="nil"/>
              <w:bottom w:val="single" w:sz="4" w:space="0" w:color="auto"/>
              <w:right w:val="single" w:sz="4" w:space="0" w:color="auto"/>
            </w:tcBorders>
            <w:shd w:val="clear" w:color="000000" w:fill="FFFFFF"/>
            <w:noWrap/>
            <w:vAlign w:val="bottom"/>
            <w:hideMark/>
          </w:tcPr>
          <w:p w14:paraId="3531E95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1,79</w:t>
            </w:r>
          </w:p>
        </w:tc>
        <w:tc>
          <w:tcPr>
            <w:tcW w:w="991" w:type="dxa"/>
            <w:tcBorders>
              <w:top w:val="nil"/>
              <w:left w:val="nil"/>
              <w:bottom w:val="single" w:sz="4" w:space="0" w:color="auto"/>
              <w:right w:val="single" w:sz="4" w:space="0" w:color="auto"/>
            </w:tcBorders>
            <w:shd w:val="clear" w:color="000000" w:fill="FFFFFF"/>
            <w:noWrap/>
            <w:vAlign w:val="bottom"/>
            <w:hideMark/>
          </w:tcPr>
          <w:p w14:paraId="56D292B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1,97</w:t>
            </w:r>
          </w:p>
        </w:tc>
      </w:tr>
      <w:tr w:rsidR="00B56301" w:rsidRPr="00364545" w14:paraId="614455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ACE7CD" w14:textId="779872C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5245667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B787F2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8B3D80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673A05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CDA357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42019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2C508E9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A21F6D" w14:textId="2E771E4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079C4B6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0567B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6995C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1A3BE2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C27CF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40DC4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33D69EC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97B83DC" w14:textId="4373660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027E679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4657D49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28326B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C71B32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0F34D4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0E8F39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97,59</w:t>
            </w:r>
          </w:p>
        </w:tc>
      </w:tr>
      <w:tr w:rsidR="00B56301" w:rsidRPr="00364545" w14:paraId="34C6149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B973DD8" w14:textId="3D1DB358"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5. Waste</w:t>
            </w:r>
          </w:p>
        </w:tc>
        <w:tc>
          <w:tcPr>
            <w:tcW w:w="991" w:type="dxa"/>
            <w:tcBorders>
              <w:top w:val="nil"/>
              <w:left w:val="nil"/>
              <w:bottom w:val="single" w:sz="4" w:space="0" w:color="auto"/>
              <w:right w:val="single" w:sz="4" w:space="0" w:color="auto"/>
            </w:tcBorders>
            <w:shd w:val="clear" w:color="000000" w:fill="CCFFFF"/>
            <w:noWrap/>
            <w:vAlign w:val="bottom"/>
            <w:hideMark/>
          </w:tcPr>
          <w:p w14:paraId="042C6EB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572,73</w:t>
            </w:r>
          </w:p>
        </w:tc>
        <w:tc>
          <w:tcPr>
            <w:tcW w:w="991" w:type="dxa"/>
            <w:tcBorders>
              <w:top w:val="nil"/>
              <w:left w:val="nil"/>
              <w:bottom w:val="single" w:sz="4" w:space="0" w:color="auto"/>
              <w:right w:val="single" w:sz="4" w:space="0" w:color="auto"/>
            </w:tcBorders>
            <w:shd w:val="clear" w:color="000000" w:fill="CCFFFF"/>
            <w:noWrap/>
            <w:vAlign w:val="bottom"/>
            <w:hideMark/>
          </w:tcPr>
          <w:p w14:paraId="37A06E3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572,73</w:t>
            </w:r>
          </w:p>
        </w:tc>
        <w:tc>
          <w:tcPr>
            <w:tcW w:w="991" w:type="dxa"/>
            <w:tcBorders>
              <w:top w:val="nil"/>
              <w:left w:val="nil"/>
              <w:bottom w:val="single" w:sz="4" w:space="0" w:color="auto"/>
              <w:right w:val="single" w:sz="4" w:space="0" w:color="auto"/>
            </w:tcBorders>
            <w:shd w:val="clear" w:color="000000" w:fill="CCFFFF"/>
            <w:noWrap/>
            <w:vAlign w:val="bottom"/>
            <w:hideMark/>
          </w:tcPr>
          <w:p w14:paraId="20B1515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598,18</w:t>
            </w:r>
          </w:p>
        </w:tc>
        <w:tc>
          <w:tcPr>
            <w:tcW w:w="991" w:type="dxa"/>
            <w:tcBorders>
              <w:top w:val="nil"/>
              <w:left w:val="nil"/>
              <w:bottom w:val="single" w:sz="4" w:space="0" w:color="auto"/>
              <w:right w:val="single" w:sz="4" w:space="0" w:color="auto"/>
            </w:tcBorders>
            <w:shd w:val="clear" w:color="000000" w:fill="CCFFFF"/>
            <w:noWrap/>
            <w:vAlign w:val="bottom"/>
            <w:hideMark/>
          </w:tcPr>
          <w:p w14:paraId="4D89EE7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628,23</w:t>
            </w:r>
          </w:p>
        </w:tc>
        <w:tc>
          <w:tcPr>
            <w:tcW w:w="991" w:type="dxa"/>
            <w:tcBorders>
              <w:top w:val="nil"/>
              <w:left w:val="nil"/>
              <w:bottom w:val="single" w:sz="4" w:space="0" w:color="auto"/>
              <w:right w:val="single" w:sz="4" w:space="0" w:color="auto"/>
            </w:tcBorders>
            <w:shd w:val="clear" w:color="000000" w:fill="CCFFFF"/>
            <w:noWrap/>
            <w:vAlign w:val="bottom"/>
            <w:hideMark/>
          </w:tcPr>
          <w:p w14:paraId="3F8D203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659,76</w:t>
            </w:r>
          </w:p>
        </w:tc>
        <w:tc>
          <w:tcPr>
            <w:tcW w:w="991" w:type="dxa"/>
            <w:tcBorders>
              <w:top w:val="nil"/>
              <w:left w:val="nil"/>
              <w:bottom w:val="single" w:sz="4" w:space="0" w:color="auto"/>
              <w:right w:val="single" w:sz="4" w:space="0" w:color="auto"/>
            </w:tcBorders>
            <w:shd w:val="clear" w:color="000000" w:fill="CCFFFF"/>
            <w:noWrap/>
            <w:vAlign w:val="bottom"/>
            <w:hideMark/>
          </w:tcPr>
          <w:p w14:paraId="241AD76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672,90</w:t>
            </w:r>
          </w:p>
        </w:tc>
      </w:tr>
      <w:tr w:rsidR="00B56301" w:rsidRPr="00364545" w14:paraId="393C263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117320" w14:textId="3776158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6E7A4CE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502,51</w:t>
            </w:r>
          </w:p>
        </w:tc>
        <w:tc>
          <w:tcPr>
            <w:tcW w:w="991" w:type="dxa"/>
            <w:tcBorders>
              <w:top w:val="nil"/>
              <w:left w:val="nil"/>
              <w:bottom w:val="single" w:sz="4" w:space="0" w:color="auto"/>
              <w:right w:val="single" w:sz="4" w:space="0" w:color="auto"/>
            </w:tcBorders>
            <w:shd w:val="clear" w:color="000000" w:fill="FFFFFF"/>
            <w:noWrap/>
            <w:vAlign w:val="bottom"/>
            <w:hideMark/>
          </w:tcPr>
          <w:p w14:paraId="64E5B95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502,51</w:t>
            </w:r>
          </w:p>
        </w:tc>
        <w:tc>
          <w:tcPr>
            <w:tcW w:w="991" w:type="dxa"/>
            <w:tcBorders>
              <w:top w:val="nil"/>
              <w:left w:val="nil"/>
              <w:bottom w:val="single" w:sz="4" w:space="0" w:color="auto"/>
              <w:right w:val="single" w:sz="4" w:space="0" w:color="auto"/>
            </w:tcBorders>
            <w:shd w:val="clear" w:color="000000" w:fill="FFFFFF"/>
            <w:noWrap/>
            <w:vAlign w:val="bottom"/>
            <w:hideMark/>
          </w:tcPr>
          <w:p w14:paraId="5C046D6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524,75</w:t>
            </w:r>
          </w:p>
        </w:tc>
        <w:tc>
          <w:tcPr>
            <w:tcW w:w="991" w:type="dxa"/>
            <w:tcBorders>
              <w:top w:val="nil"/>
              <w:left w:val="nil"/>
              <w:bottom w:val="single" w:sz="4" w:space="0" w:color="auto"/>
              <w:right w:val="single" w:sz="4" w:space="0" w:color="auto"/>
            </w:tcBorders>
            <w:shd w:val="clear" w:color="000000" w:fill="FFFFFF"/>
            <w:noWrap/>
            <w:vAlign w:val="bottom"/>
            <w:hideMark/>
          </w:tcPr>
          <w:p w14:paraId="30E64C6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551,54</w:t>
            </w:r>
          </w:p>
        </w:tc>
        <w:tc>
          <w:tcPr>
            <w:tcW w:w="991" w:type="dxa"/>
            <w:tcBorders>
              <w:top w:val="nil"/>
              <w:left w:val="nil"/>
              <w:bottom w:val="single" w:sz="4" w:space="0" w:color="auto"/>
              <w:right w:val="single" w:sz="4" w:space="0" w:color="auto"/>
            </w:tcBorders>
            <w:shd w:val="clear" w:color="000000" w:fill="FFFFFF"/>
            <w:noWrap/>
            <w:vAlign w:val="bottom"/>
            <w:hideMark/>
          </w:tcPr>
          <w:p w14:paraId="0E0EF86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579,81</w:t>
            </w:r>
          </w:p>
        </w:tc>
        <w:tc>
          <w:tcPr>
            <w:tcW w:w="991" w:type="dxa"/>
            <w:tcBorders>
              <w:top w:val="nil"/>
              <w:left w:val="nil"/>
              <w:bottom w:val="single" w:sz="4" w:space="0" w:color="auto"/>
              <w:right w:val="single" w:sz="4" w:space="0" w:color="auto"/>
            </w:tcBorders>
            <w:shd w:val="clear" w:color="000000" w:fill="FFFFFF"/>
            <w:noWrap/>
            <w:vAlign w:val="bottom"/>
            <w:hideMark/>
          </w:tcPr>
          <w:p w14:paraId="6F5C0BC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589,24</w:t>
            </w:r>
          </w:p>
        </w:tc>
      </w:tr>
      <w:tr w:rsidR="00B56301" w:rsidRPr="00364545" w14:paraId="1FFEBE4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92AE86" w14:textId="4824BEB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3D3E1A6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9,81</w:t>
            </w:r>
          </w:p>
        </w:tc>
        <w:tc>
          <w:tcPr>
            <w:tcW w:w="991" w:type="dxa"/>
            <w:tcBorders>
              <w:top w:val="nil"/>
              <w:left w:val="nil"/>
              <w:bottom w:val="single" w:sz="4" w:space="0" w:color="auto"/>
              <w:right w:val="single" w:sz="4" w:space="0" w:color="auto"/>
            </w:tcBorders>
            <w:shd w:val="clear" w:color="000000" w:fill="FFFFFF"/>
            <w:noWrap/>
            <w:vAlign w:val="bottom"/>
            <w:hideMark/>
          </w:tcPr>
          <w:p w14:paraId="1287C57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9,81</w:t>
            </w:r>
          </w:p>
        </w:tc>
        <w:tc>
          <w:tcPr>
            <w:tcW w:w="991" w:type="dxa"/>
            <w:tcBorders>
              <w:top w:val="nil"/>
              <w:left w:val="nil"/>
              <w:bottom w:val="single" w:sz="4" w:space="0" w:color="auto"/>
              <w:right w:val="single" w:sz="4" w:space="0" w:color="auto"/>
            </w:tcBorders>
            <w:shd w:val="clear" w:color="000000" w:fill="FFFFFF"/>
            <w:noWrap/>
            <w:vAlign w:val="bottom"/>
            <w:hideMark/>
          </w:tcPr>
          <w:p w14:paraId="7DAE930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9,99</w:t>
            </w:r>
          </w:p>
        </w:tc>
        <w:tc>
          <w:tcPr>
            <w:tcW w:w="991" w:type="dxa"/>
            <w:tcBorders>
              <w:top w:val="nil"/>
              <w:left w:val="nil"/>
              <w:bottom w:val="single" w:sz="4" w:space="0" w:color="auto"/>
              <w:right w:val="single" w:sz="4" w:space="0" w:color="auto"/>
            </w:tcBorders>
            <w:shd w:val="clear" w:color="000000" w:fill="FFFFFF"/>
            <w:noWrap/>
            <w:vAlign w:val="bottom"/>
            <w:hideMark/>
          </w:tcPr>
          <w:p w14:paraId="2D4C8ED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10,18</w:t>
            </w:r>
          </w:p>
        </w:tc>
        <w:tc>
          <w:tcPr>
            <w:tcW w:w="991" w:type="dxa"/>
            <w:tcBorders>
              <w:top w:val="nil"/>
              <w:left w:val="nil"/>
              <w:bottom w:val="single" w:sz="4" w:space="0" w:color="auto"/>
              <w:right w:val="single" w:sz="4" w:space="0" w:color="auto"/>
            </w:tcBorders>
            <w:shd w:val="clear" w:color="000000" w:fill="FFFFFF"/>
            <w:noWrap/>
            <w:vAlign w:val="bottom"/>
            <w:hideMark/>
          </w:tcPr>
          <w:p w14:paraId="6D100F8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10,37</w:t>
            </w:r>
          </w:p>
        </w:tc>
        <w:tc>
          <w:tcPr>
            <w:tcW w:w="991" w:type="dxa"/>
            <w:tcBorders>
              <w:top w:val="nil"/>
              <w:left w:val="nil"/>
              <w:bottom w:val="single" w:sz="4" w:space="0" w:color="auto"/>
              <w:right w:val="single" w:sz="4" w:space="0" w:color="auto"/>
            </w:tcBorders>
            <w:shd w:val="clear" w:color="000000" w:fill="FFFFFF"/>
            <w:noWrap/>
            <w:vAlign w:val="bottom"/>
            <w:hideMark/>
          </w:tcPr>
          <w:p w14:paraId="1C3107A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11,03</w:t>
            </w:r>
          </w:p>
        </w:tc>
      </w:tr>
      <w:tr w:rsidR="00B56301" w:rsidRPr="00364545" w14:paraId="2AE604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AD656E7" w14:textId="44B5A18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5BD09CB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6D19905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08C354B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0,80</w:t>
            </w:r>
          </w:p>
        </w:tc>
        <w:tc>
          <w:tcPr>
            <w:tcW w:w="991" w:type="dxa"/>
            <w:tcBorders>
              <w:top w:val="nil"/>
              <w:left w:val="nil"/>
              <w:bottom w:val="single" w:sz="4" w:space="0" w:color="auto"/>
              <w:right w:val="single" w:sz="4" w:space="0" w:color="auto"/>
            </w:tcBorders>
            <w:shd w:val="clear" w:color="000000" w:fill="FFFFFF"/>
            <w:noWrap/>
            <w:vAlign w:val="bottom"/>
            <w:hideMark/>
          </w:tcPr>
          <w:p w14:paraId="4895B4B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0,81</w:t>
            </w:r>
          </w:p>
        </w:tc>
        <w:tc>
          <w:tcPr>
            <w:tcW w:w="991" w:type="dxa"/>
            <w:tcBorders>
              <w:top w:val="nil"/>
              <w:left w:val="nil"/>
              <w:bottom w:val="single" w:sz="4" w:space="0" w:color="auto"/>
              <w:right w:val="single" w:sz="4" w:space="0" w:color="auto"/>
            </w:tcBorders>
            <w:shd w:val="clear" w:color="000000" w:fill="FFFFFF"/>
            <w:noWrap/>
            <w:vAlign w:val="bottom"/>
            <w:hideMark/>
          </w:tcPr>
          <w:p w14:paraId="3243A2B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0,82</w:t>
            </w:r>
          </w:p>
        </w:tc>
        <w:tc>
          <w:tcPr>
            <w:tcW w:w="991" w:type="dxa"/>
            <w:tcBorders>
              <w:top w:val="nil"/>
              <w:left w:val="nil"/>
              <w:bottom w:val="single" w:sz="4" w:space="0" w:color="auto"/>
              <w:right w:val="single" w:sz="4" w:space="0" w:color="auto"/>
            </w:tcBorders>
            <w:shd w:val="clear" w:color="000000" w:fill="FFFFFF"/>
            <w:noWrap/>
            <w:vAlign w:val="bottom"/>
            <w:hideMark/>
          </w:tcPr>
          <w:p w14:paraId="67C5D0B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0,83</w:t>
            </w:r>
          </w:p>
        </w:tc>
      </w:tr>
      <w:tr w:rsidR="00B56301" w:rsidRPr="00364545" w14:paraId="282DB36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532F5F" w14:textId="0702046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734D35D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59,63</w:t>
            </w:r>
          </w:p>
        </w:tc>
        <w:tc>
          <w:tcPr>
            <w:tcW w:w="991" w:type="dxa"/>
            <w:tcBorders>
              <w:top w:val="nil"/>
              <w:left w:val="nil"/>
              <w:bottom w:val="single" w:sz="4" w:space="0" w:color="auto"/>
              <w:right w:val="single" w:sz="4" w:space="0" w:color="auto"/>
            </w:tcBorders>
            <w:shd w:val="clear" w:color="000000" w:fill="FFFFFF"/>
            <w:noWrap/>
            <w:vAlign w:val="bottom"/>
            <w:hideMark/>
          </w:tcPr>
          <w:p w14:paraId="74183DC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59,63</w:t>
            </w:r>
          </w:p>
        </w:tc>
        <w:tc>
          <w:tcPr>
            <w:tcW w:w="991" w:type="dxa"/>
            <w:tcBorders>
              <w:top w:val="nil"/>
              <w:left w:val="nil"/>
              <w:bottom w:val="single" w:sz="4" w:space="0" w:color="auto"/>
              <w:right w:val="single" w:sz="4" w:space="0" w:color="auto"/>
            </w:tcBorders>
            <w:shd w:val="clear" w:color="000000" w:fill="FFFFFF"/>
            <w:noWrap/>
            <w:vAlign w:val="bottom"/>
            <w:hideMark/>
          </w:tcPr>
          <w:p w14:paraId="61068A5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62,64</w:t>
            </w:r>
          </w:p>
        </w:tc>
        <w:tc>
          <w:tcPr>
            <w:tcW w:w="991" w:type="dxa"/>
            <w:tcBorders>
              <w:top w:val="nil"/>
              <w:left w:val="nil"/>
              <w:bottom w:val="single" w:sz="4" w:space="0" w:color="auto"/>
              <w:right w:val="single" w:sz="4" w:space="0" w:color="auto"/>
            </w:tcBorders>
            <w:shd w:val="clear" w:color="000000" w:fill="FFFFFF"/>
            <w:noWrap/>
            <w:vAlign w:val="bottom"/>
            <w:hideMark/>
          </w:tcPr>
          <w:p w14:paraId="52F68C2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65,70</w:t>
            </w:r>
          </w:p>
        </w:tc>
        <w:tc>
          <w:tcPr>
            <w:tcW w:w="991" w:type="dxa"/>
            <w:tcBorders>
              <w:top w:val="nil"/>
              <w:left w:val="nil"/>
              <w:bottom w:val="single" w:sz="4" w:space="0" w:color="auto"/>
              <w:right w:val="single" w:sz="4" w:space="0" w:color="auto"/>
            </w:tcBorders>
            <w:shd w:val="clear" w:color="000000" w:fill="FFFFFF"/>
            <w:noWrap/>
            <w:vAlign w:val="bottom"/>
            <w:hideMark/>
          </w:tcPr>
          <w:p w14:paraId="576C0F8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68,76</w:t>
            </w:r>
          </w:p>
        </w:tc>
        <w:tc>
          <w:tcPr>
            <w:tcW w:w="991" w:type="dxa"/>
            <w:tcBorders>
              <w:top w:val="nil"/>
              <w:left w:val="nil"/>
              <w:bottom w:val="single" w:sz="4" w:space="0" w:color="auto"/>
              <w:right w:val="single" w:sz="4" w:space="0" w:color="auto"/>
            </w:tcBorders>
            <w:shd w:val="clear" w:color="000000" w:fill="FFFFFF"/>
            <w:noWrap/>
            <w:vAlign w:val="bottom"/>
            <w:hideMark/>
          </w:tcPr>
          <w:p w14:paraId="679DB4C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71,80</w:t>
            </w:r>
          </w:p>
        </w:tc>
      </w:tr>
      <w:tr w:rsidR="00B56301" w:rsidRPr="00364545" w14:paraId="572C4A8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C484038" w14:textId="737050F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Other</w:t>
            </w:r>
            <w:r w:rsidRPr="00364545">
              <w:rPr>
                <w:rFonts w:asciiTheme="minorHAnsi" w:hAnsiTheme="minorHAnsi"/>
                <w:b/>
                <w:i/>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7AD4A15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3DC61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EE5519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E77397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EE5360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A562DE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6FE32BA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3381FE" w14:textId="36DDFFBF"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280ED78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C6EF8E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84EE1B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7535639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C39C63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6F74D38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5003A22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90E37DF" w14:textId="1E4813E8"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Total </w:t>
            </w:r>
            <w:r w:rsidRPr="00364545">
              <w:t>CH</w:t>
            </w:r>
            <w:r w:rsidRPr="00364545">
              <w:rPr>
                <w:vertAlign w:val="subscript"/>
              </w:rPr>
              <w:t>4</w:t>
            </w:r>
            <w:r w:rsidRPr="00364545">
              <w:t xml:space="preserve"> </w:t>
            </w:r>
            <w:r w:rsidRPr="00364545">
              <w:rPr>
                <w:rFonts w:asciiTheme="minorHAnsi" w:hAnsiTheme="minorHAnsi"/>
                <w:b/>
                <w:sz w:val="16"/>
              </w:rPr>
              <w:t xml:space="preserve">emissions without </w:t>
            </w:r>
            <w:r w:rsidRPr="00364545">
              <w:t>CH</w:t>
            </w:r>
            <w:r w:rsidRPr="00364545">
              <w:rPr>
                <w:vertAlign w:val="subscript"/>
              </w:rPr>
              <w:t>4</w:t>
            </w:r>
            <w:r w:rsidRPr="00364545">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31826B9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2766,44</w:t>
            </w:r>
          </w:p>
        </w:tc>
        <w:tc>
          <w:tcPr>
            <w:tcW w:w="991" w:type="dxa"/>
            <w:tcBorders>
              <w:top w:val="nil"/>
              <w:left w:val="nil"/>
              <w:bottom w:val="single" w:sz="4" w:space="0" w:color="auto"/>
              <w:right w:val="single" w:sz="4" w:space="0" w:color="auto"/>
            </w:tcBorders>
            <w:shd w:val="clear" w:color="000000" w:fill="CCFFFF"/>
            <w:noWrap/>
            <w:vAlign w:val="bottom"/>
            <w:hideMark/>
          </w:tcPr>
          <w:p w14:paraId="7367146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2766,44</w:t>
            </w:r>
          </w:p>
        </w:tc>
        <w:tc>
          <w:tcPr>
            <w:tcW w:w="991" w:type="dxa"/>
            <w:tcBorders>
              <w:top w:val="nil"/>
              <w:left w:val="nil"/>
              <w:bottom w:val="single" w:sz="4" w:space="0" w:color="auto"/>
              <w:right w:val="single" w:sz="4" w:space="0" w:color="auto"/>
            </w:tcBorders>
            <w:shd w:val="clear" w:color="000000" w:fill="CCFFFF"/>
            <w:noWrap/>
            <w:vAlign w:val="bottom"/>
            <w:hideMark/>
          </w:tcPr>
          <w:p w14:paraId="5487110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2785,41</w:t>
            </w:r>
          </w:p>
        </w:tc>
        <w:tc>
          <w:tcPr>
            <w:tcW w:w="991" w:type="dxa"/>
            <w:tcBorders>
              <w:top w:val="nil"/>
              <w:left w:val="nil"/>
              <w:bottom w:val="single" w:sz="4" w:space="0" w:color="auto"/>
              <w:right w:val="single" w:sz="4" w:space="0" w:color="auto"/>
            </w:tcBorders>
            <w:shd w:val="clear" w:color="000000" w:fill="CCFFFF"/>
            <w:noWrap/>
            <w:vAlign w:val="bottom"/>
            <w:hideMark/>
          </w:tcPr>
          <w:p w14:paraId="5CA62B5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2789,00</w:t>
            </w:r>
          </w:p>
        </w:tc>
        <w:tc>
          <w:tcPr>
            <w:tcW w:w="991" w:type="dxa"/>
            <w:tcBorders>
              <w:top w:val="nil"/>
              <w:left w:val="nil"/>
              <w:bottom w:val="single" w:sz="4" w:space="0" w:color="auto"/>
              <w:right w:val="single" w:sz="4" w:space="0" w:color="auto"/>
            </w:tcBorders>
            <w:shd w:val="clear" w:color="000000" w:fill="CCFFFF"/>
            <w:noWrap/>
            <w:vAlign w:val="bottom"/>
            <w:hideMark/>
          </w:tcPr>
          <w:p w14:paraId="6DD8851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2805,28</w:t>
            </w:r>
          </w:p>
        </w:tc>
        <w:tc>
          <w:tcPr>
            <w:tcW w:w="991" w:type="dxa"/>
            <w:tcBorders>
              <w:top w:val="nil"/>
              <w:left w:val="nil"/>
              <w:bottom w:val="single" w:sz="4" w:space="0" w:color="auto"/>
              <w:right w:val="single" w:sz="4" w:space="0" w:color="auto"/>
            </w:tcBorders>
            <w:shd w:val="clear" w:color="000000" w:fill="CCFFFF"/>
            <w:noWrap/>
            <w:vAlign w:val="bottom"/>
            <w:hideMark/>
          </w:tcPr>
          <w:p w14:paraId="2677765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2800,33</w:t>
            </w:r>
          </w:p>
        </w:tc>
      </w:tr>
      <w:tr w:rsidR="00B56301" w:rsidRPr="00364545" w14:paraId="3FD414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66F7A25" w14:textId="09B9E7DD"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Total </w:t>
            </w:r>
            <w:r w:rsidRPr="00364545">
              <w:t>CH</w:t>
            </w:r>
            <w:r w:rsidRPr="00364545">
              <w:rPr>
                <w:vertAlign w:val="subscript"/>
              </w:rPr>
              <w:t>4</w:t>
            </w:r>
            <w:r w:rsidRPr="00364545">
              <w:t xml:space="preserve"> </w:t>
            </w:r>
            <w:r w:rsidRPr="00364545">
              <w:rPr>
                <w:rFonts w:asciiTheme="minorHAnsi" w:hAnsiTheme="minorHAnsi"/>
                <w:b/>
                <w:sz w:val="16"/>
              </w:rPr>
              <w:t xml:space="preserve">emissions with </w:t>
            </w:r>
            <w:r w:rsidRPr="00364545">
              <w:t>CH</w:t>
            </w:r>
            <w:r w:rsidRPr="00364545">
              <w:rPr>
                <w:vertAlign w:val="subscript"/>
              </w:rPr>
              <w:t>4</w:t>
            </w:r>
            <w:r w:rsidRPr="00364545">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6DADB31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2803,74</w:t>
            </w:r>
          </w:p>
        </w:tc>
        <w:tc>
          <w:tcPr>
            <w:tcW w:w="991" w:type="dxa"/>
            <w:tcBorders>
              <w:top w:val="nil"/>
              <w:left w:val="nil"/>
              <w:bottom w:val="single" w:sz="4" w:space="0" w:color="auto"/>
              <w:right w:val="single" w:sz="4" w:space="0" w:color="auto"/>
            </w:tcBorders>
            <w:shd w:val="clear" w:color="000000" w:fill="CCFFFF"/>
            <w:noWrap/>
            <w:vAlign w:val="bottom"/>
            <w:hideMark/>
          </w:tcPr>
          <w:p w14:paraId="3BBC1E1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2803,74</w:t>
            </w:r>
          </w:p>
        </w:tc>
        <w:tc>
          <w:tcPr>
            <w:tcW w:w="991" w:type="dxa"/>
            <w:tcBorders>
              <w:top w:val="nil"/>
              <w:left w:val="nil"/>
              <w:bottom w:val="single" w:sz="4" w:space="0" w:color="auto"/>
              <w:right w:val="single" w:sz="4" w:space="0" w:color="auto"/>
            </w:tcBorders>
            <w:shd w:val="clear" w:color="000000" w:fill="CCFFFF"/>
            <w:noWrap/>
            <w:vAlign w:val="bottom"/>
            <w:hideMark/>
          </w:tcPr>
          <w:p w14:paraId="3ADA72A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2825,08</w:t>
            </w:r>
          </w:p>
        </w:tc>
        <w:tc>
          <w:tcPr>
            <w:tcW w:w="991" w:type="dxa"/>
            <w:tcBorders>
              <w:top w:val="nil"/>
              <w:left w:val="nil"/>
              <w:bottom w:val="single" w:sz="4" w:space="0" w:color="auto"/>
              <w:right w:val="single" w:sz="4" w:space="0" w:color="auto"/>
            </w:tcBorders>
            <w:shd w:val="clear" w:color="000000" w:fill="CCFFFF"/>
            <w:noWrap/>
            <w:vAlign w:val="bottom"/>
            <w:hideMark/>
          </w:tcPr>
          <w:p w14:paraId="696E446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2830,01</w:t>
            </w:r>
          </w:p>
        </w:tc>
        <w:tc>
          <w:tcPr>
            <w:tcW w:w="991" w:type="dxa"/>
            <w:tcBorders>
              <w:top w:val="nil"/>
              <w:left w:val="nil"/>
              <w:bottom w:val="single" w:sz="4" w:space="0" w:color="auto"/>
              <w:right w:val="single" w:sz="4" w:space="0" w:color="auto"/>
            </w:tcBorders>
            <w:shd w:val="clear" w:color="000000" w:fill="CCFFFF"/>
            <w:noWrap/>
            <w:vAlign w:val="bottom"/>
            <w:hideMark/>
          </w:tcPr>
          <w:p w14:paraId="46429F9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2845,60</w:t>
            </w:r>
          </w:p>
        </w:tc>
        <w:tc>
          <w:tcPr>
            <w:tcW w:w="991" w:type="dxa"/>
            <w:tcBorders>
              <w:top w:val="nil"/>
              <w:left w:val="nil"/>
              <w:bottom w:val="single" w:sz="4" w:space="0" w:color="auto"/>
              <w:right w:val="single" w:sz="4" w:space="0" w:color="auto"/>
            </w:tcBorders>
            <w:shd w:val="clear" w:color="000000" w:fill="CCFFFF"/>
            <w:noWrap/>
            <w:vAlign w:val="bottom"/>
            <w:hideMark/>
          </w:tcPr>
          <w:p w14:paraId="04F1804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2938,19</w:t>
            </w:r>
          </w:p>
        </w:tc>
      </w:tr>
      <w:tr w:rsidR="00B56301" w:rsidRPr="00364545" w14:paraId="6C4C472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1E206E"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0CCF045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E6320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1B229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0BF80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368B8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932DA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3B2901B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535074"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28425A8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0,94</w:t>
            </w:r>
          </w:p>
        </w:tc>
        <w:tc>
          <w:tcPr>
            <w:tcW w:w="991" w:type="dxa"/>
            <w:tcBorders>
              <w:top w:val="nil"/>
              <w:left w:val="nil"/>
              <w:bottom w:val="single" w:sz="4" w:space="0" w:color="auto"/>
              <w:right w:val="single" w:sz="4" w:space="0" w:color="auto"/>
            </w:tcBorders>
            <w:shd w:val="clear" w:color="000000" w:fill="CCFFFF"/>
            <w:noWrap/>
            <w:vAlign w:val="bottom"/>
            <w:hideMark/>
          </w:tcPr>
          <w:p w14:paraId="149754C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0,94</w:t>
            </w:r>
          </w:p>
        </w:tc>
        <w:tc>
          <w:tcPr>
            <w:tcW w:w="991" w:type="dxa"/>
            <w:tcBorders>
              <w:top w:val="nil"/>
              <w:left w:val="nil"/>
              <w:bottom w:val="single" w:sz="4" w:space="0" w:color="auto"/>
              <w:right w:val="single" w:sz="4" w:space="0" w:color="auto"/>
            </w:tcBorders>
            <w:shd w:val="clear" w:color="000000" w:fill="CCFFFF"/>
            <w:noWrap/>
            <w:vAlign w:val="bottom"/>
            <w:hideMark/>
          </w:tcPr>
          <w:p w14:paraId="0C9BC2B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0,93</w:t>
            </w:r>
          </w:p>
        </w:tc>
        <w:tc>
          <w:tcPr>
            <w:tcW w:w="991" w:type="dxa"/>
            <w:tcBorders>
              <w:top w:val="nil"/>
              <w:left w:val="nil"/>
              <w:bottom w:val="single" w:sz="4" w:space="0" w:color="auto"/>
              <w:right w:val="single" w:sz="4" w:space="0" w:color="auto"/>
            </w:tcBorders>
            <w:shd w:val="clear" w:color="000000" w:fill="CCFFFF"/>
            <w:noWrap/>
            <w:vAlign w:val="bottom"/>
            <w:hideMark/>
          </w:tcPr>
          <w:p w14:paraId="4E8A96D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0,90</w:t>
            </w:r>
          </w:p>
        </w:tc>
        <w:tc>
          <w:tcPr>
            <w:tcW w:w="991" w:type="dxa"/>
            <w:tcBorders>
              <w:top w:val="nil"/>
              <w:left w:val="nil"/>
              <w:bottom w:val="single" w:sz="4" w:space="0" w:color="auto"/>
              <w:right w:val="single" w:sz="4" w:space="0" w:color="auto"/>
            </w:tcBorders>
            <w:shd w:val="clear" w:color="000000" w:fill="CCFFFF"/>
            <w:noWrap/>
            <w:vAlign w:val="bottom"/>
            <w:hideMark/>
          </w:tcPr>
          <w:p w14:paraId="35C9893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0,85</w:t>
            </w:r>
          </w:p>
        </w:tc>
        <w:tc>
          <w:tcPr>
            <w:tcW w:w="991" w:type="dxa"/>
            <w:tcBorders>
              <w:top w:val="nil"/>
              <w:left w:val="nil"/>
              <w:bottom w:val="single" w:sz="4" w:space="0" w:color="auto"/>
              <w:right w:val="single" w:sz="4" w:space="0" w:color="auto"/>
            </w:tcBorders>
            <w:shd w:val="clear" w:color="000000" w:fill="CCFFFF"/>
            <w:noWrap/>
            <w:vAlign w:val="bottom"/>
            <w:hideMark/>
          </w:tcPr>
          <w:p w14:paraId="0FA1543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0,76</w:t>
            </w:r>
          </w:p>
        </w:tc>
      </w:tr>
      <w:tr w:rsidR="00B56301" w:rsidRPr="00364545" w14:paraId="1E3BDBC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F33E914" w14:textId="77777777" w:rsidR="00B56301" w:rsidRPr="00364545" w:rsidRDefault="00B56301" w:rsidP="00B37B65">
            <w:pPr>
              <w:jc w:val="left"/>
              <w:rPr>
                <w:rFonts w:asciiTheme="minorHAnsi" w:hAnsiTheme="minorHAnsi"/>
                <w:sz w:val="16"/>
                <w:szCs w:val="14"/>
              </w:rPr>
            </w:pPr>
            <w:r w:rsidRPr="00364545">
              <w:rPr>
                <w:rFonts w:asciiTheme="minorHAnsi" w:hAnsiTheme="minorHAnsi"/>
                <w:sz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75817A0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0,17</w:t>
            </w:r>
          </w:p>
        </w:tc>
        <w:tc>
          <w:tcPr>
            <w:tcW w:w="991" w:type="dxa"/>
            <w:tcBorders>
              <w:top w:val="nil"/>
              <w:left w:val="nil"/>
              <w:bottom w:val="single" w:sz="4" w:space="0" w:color="auto"/>
              <w:right w:val="single" w:sz="4" w:space="0" w:color="auto"/>
            </w:tcBorders>
            <w:shd w:val="clear" w:color="000000" w:fill="FFFFFF"/>
            <w:noWrap/>
            <w:vAlign w:val="bottom"/>
            <w:hideMark/>
          </w:tcPr>
          <w:p w14:paraId="03346A7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0,17</w:t>
            </w:r>
          </w:p>
        </w:tc>
        <w:tc>
          <w:tcPr>
            <w:tcW w:w="991" w:type="dxa"/>
            <w:tcBorders>
              <w:top w:val="nil"/>
              <w:left w:val="nil"/>
              <w:bottom w:val="single" w:sz="4" w:space="0" w:color="auto"/>
              <w:right w:val="single" w:sz="4" w:space="0" w:color="auto"/>
            </w:tcBorders>
            <w:shd w:val="clear" w:color="000000" w:fill="FFFFFF"/>
            <w:noWrap/>
            <w:vAlign w:val="bottom"/>
            <w:hideMark/>
          </w:tcPr>
          <w:p w14:paraId="0CE528F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0,13</w:t>
            </w:r>
          </w:p>
        </w:tc>
        <w:tc>
          <w:tcPr>
            <w:tcW w:w="991" w:type="dxa"/>
            <w:tcBorders>
              <w:top w:val="nil"/>
              <w:left w:val="nil"/>
              <w:bottom w:val="single" w:sz="4" w:space="0" w:color="auto"/>
              <w:right w:val="single" w:sz="4" w:space="0" w:color="auto"/>
            </w:tcBorders>
            <w:shd w:val="clear" w:color="000000" w:fill="FFFFFF"/>
            <w:noWrap/>
            <w:vAlign w:val="bottom"/>
            <w:hideMark/>
          </w:tcPr>
          <w:p w14:paraId="4E61DF2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0,13</w:t>
            </w:r>
          </w:p>
        </w:tc>
        <w:tc>
          <w:tcPr>
            <w:tcW w:w="991" w:type="dxa"/>
            <w:tcBorders>
              <w:top w:val="nil"/>
              <w:left w:val="nil"/>
              <w:bottom w:val="single" w:sz="4" w:space="0" w:color="auto"/>
              <w:right w:val="single" w:sz="4" w:space="0" w:color="auto"/>
            </w:tcBorders>
            <w:shd w:val="clear" w:color="000000" w:fill="FFFFFF"/>
            <w:noWrap/>
            <w:vAlign w:val="bottom"/>
            <w:hideMark/>
          </w:tcPr>
          <w:p w14:paraId="1BBBC8D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0,11</w:t>
            </w:r>
          </w:p>
        </w:tc>
        <w:tc>
          <w:tcPr>
            <w:tcW w:w="991" w:type="dxa"/>
            <w:tcBorders>
              <w:top w:val="nil"/>
              <w:left w:val="nil"/>
              <w:bottom w:val="single" w:sz="4" w:space="0" w:color="auto"/>
              <w:right w:val="single" w:sz="4" w:space="0" w:color="auto"/>
            </w:tcBorders>
            <w:shd w:val="clear" w:color="000000" w:fill="FFFFFF"/>
            <w:noWrap/>
            <w:vAlign w:val="bottom"/>
            <w:hideMark/>
          </w:tcPr>
          <w:p w14:paraId="0E13875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0,09</w:t>
            </w:r>
          </w:p>
        </w:tc>
      </w:tr>
      <w:tr w:rsidR="00B56301" w:rsidRPr="00364545" w14:paraId="043266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96B9D49" w14:textId="77777777" w:rsidR="00B56301" w:rsidRPr="00364545" w:rsidRDefault="00B56301" w:rsidP="00B37B65">
            <w:pPr>
              <w:jc w:val="left"/>
              <w:rPr>
                <w:rFonts w:asciiTheme="minorHAnsi" w:hAnsiTheme="minorHAnsi"/>
                <w:sz w:val="16"/>
                <w:szCs w:val="14"/>
              </w:rPr>
            </w:pPr>
            <w:r w:rsidRPr="00364545">
              <w:rPr>
                <w:rFonts w:asciiTheme="minorHAnsi" w:hAnsiTheme="minorHAnsi"/>
                <w:sz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307DEF9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0,76</w:t>
            </w:r>
          </w:p>
        </w:tc>
        <w:tc>
          <w:tcPr>
            <w:tcW w:w="991" w:type="dxa"/>
            <w:tcBorders>
              <w:top w:val="nil"/>
              <w:left w:val="nil"/>
              <w:bottom w:val="single" w:sz="4" w:space="0" w:color="auto"/>
              <w:right w:val="single" w:sz="4" w:space="0" w:color="auto"/>
            </w:tcBorders>
            <w:shd w:val="clear" w:color="000000" w:fill="FFFFFF"/>
            <w:noWrap/>
            <w:vAlign w:val="bottom"/>
            <w:hideMark/>
          </w:tcPr>
          <w:p w14:paraId="6A5DF15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0,76</w:t>
            </w:r>
          </w:p>
        </w:tc>
        <w:tc>
          <w:tcPr>
            <w:tcW w:w="991" w:type="dxa"/>
            <w:tcBorders>
              <w:top w:val="nil"/>
              <w:left w:val="nil"/>
              <w:bottom w:val="single" w:sz="4" w:space="0" w:color="auto"/>
              <w:right w:val="single" w:sz="4" w:space="0" w:color="auto"/>
            </w:tcBorders>
            <w:shd w:val="clear" w:color="000000" w:fill="FFFFFF"/>
            <w:noWrap/>
            <w:vAlign w:val="bottom"/>
            <w:hideMark/>
          </w:tcPr>
          <w:p w14:paraId="31005CE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75F858D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0,77</w:t>
            </w:r>
          </w:p>
        </w:tc>
        <w:tc>
          <w:tcPr>
            <w:tcW w:w="991" w:type="dxa"/>
            <w:tcBorders>
              <w:top w:val="nil"/>
              <w:left w:val="nil"/>
              <w:bottom w:val="single" w:sz="4" w:space="0" w:color="auto"/>
              <w:right w:val="single" w:sz="4" w:space="0" w:color="auto"/>
            </w:tcBorders>
            <w:shd w:val="clear" w:color="000000" w:fill="FFFFFF"/>
            <w:noWrap/>
            <w:vAlign w:val="bottom"/>
            <w:hideMark/>
          </w:tcPr>
          <w:p w14:paraId="53750AE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0,74</w:t>
            </w:r>
          </w:p>
        </w:tc>
        <w:tc>
          <w:tcPr>
            <w:tcW w:w="991" w:type="dxa"/>
            <w:tcBorders>
              <w:top w:val="nil"/>
              <w:left w:val="nil"/>
              <w:bottom w:val="single" w:sz="4" w:space="0" w:color="auto"/>
              <w:right w:val="single" w:sz="4" w:space="0" w:color="auto"/>
            </w:tcBorders>
            <w:shd w:val="clear" w:color="000000" w:fill="FFFFFF"/>
            <w:noWrap/>
            <w:vAlign w:val="bottom"/>
            <w:hideMark/>
          </w:tcPr>
          <w:p w14:paraId="4C30B8E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0,66</w:t>
            </w:r>
          </w:p>
        </w:tc>
      </w:tr>
      <w:tr w:rsidR="00B56301" w:rsidRPr="00364545" w14:paraId="19F93A9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C918FF7"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174CBB1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5B147D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D1D62E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B67746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AE9A0B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FC815C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r>
      <w:tr w:rsidR="00B56301" w:rsidRPr="00364545" w14:paraId="49129C2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492932" w14:textId="6FF5A1DF" w:rsidR="00B56301" w:rsidRPr="00364545" w:rsidRDefault="007F09F7" w:rsidP="00B37B65">
            <w:pPr>
              <w:jc w:val="left"/>
              <w:rPr>
                <w:rFonts w:asciiTheme="minorHAnsi" w:hAnsiTheme="minorHAnsi"/>
                <w:b/>
                <w:bCs/>
                <w:sz w:val="16"/>
                <w:szCs w:val="14"/>
              </w:rPr>
            </w:pPr>
            <w:r w:rsidRPr="00364545">
              <w:t>CO</w:t>
            </w:r>
            <w:r w:rsidRPr="00364545">
              <w:rPr>
                <w:vertAlign w:val="subscript"/>
              </w:rPr>
              <w:t>2</w:t>
            </w:r>
            <w:r w:rsidRPr="00364545">
              <w:rPr>
                <w:rFonts w:asciiTheme="minorHAnsi" w:hAnsiTheme="minorHAnsi"/>
                <w:b/>
                <w:sz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56BE061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FC1FD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5DFDC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9DE8FF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46DA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27988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4495417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9FC5CDA" w14:textId="3A2DFE87" w:rsidR="00B56301" w:rsidRPr="00364545" w:rsidRDefault="007F09F7" w:rsidP="00B37B65">
            <w:pPr>
              <w:jc w:val="left"/>
              <w:rPr>
                <w:rFonts w:asciiTheme="minorHAnsi" w:hAnsiTheme="minorHAnsi"/>
                <w:b/>
                <w:bCs/>
                <w:sz w:val="16"/>
                <w:szCs w:val="14"/>
              </w:rPr>
            </w:pPr>
            <w:r w:rsidRPr="00364545">
              <w:t>CO</w:t>
            </w:r>
            <w:r w:rsidRPr="00364545">
              <w:rPr>
                <w:vertAlign w:val="subscript"/>
              </w:rPr>
              <w:t>2</w:t>
            </w:r>
            <w:r w:rsidRPr="00364545">
              <w:rPr>
                <w:rFonts w:asciiTheme="minorHAnsi" w:hAnsiTheme="minorHAnsi"/>
                <w:b/>
                <w:sz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1183003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AD3DB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2469B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F991F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607DF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CCC45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2212B19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FDD989"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218F2C0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99829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3346C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22F000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22091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C4197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2A4D7BC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33DE53" w14:textId="1BEA1AB9"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Indirect </w:t>
            </w:r>
            <w:r w:rsidRPr="00364545">
              <w:t>N</w:t>
            </w:r>
            <w:r w:rsidRPr="00364545">
              <w:rPr>
                <w:vertAlign w:val="subscript"/>
              </w:rPr>
              <w:t>2</w:t>
            </w:r>
            <w:r w:rsidRPr="00364545">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5AE4E24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C9AC9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8EFCF4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F1067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917A8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F16D74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3328B9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992A276" w14:textId="005529BD"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Indirect </w:t>
            </w:r>
            <w:r w:rsidRPr="00364545">
              <w:t>CO</w:t>
            </w:r>
            <w:r w:rsidRPr="00364545">
              <w:rPr>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096F7DE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3DFCA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61194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691E8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C4BAD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83FD05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bl>
    <w:p w14:paraId="3C6CD4A6" w14:textId="77777777" w:rsidR="00B56301" w:rsidRPr="00364545" w:rsidRDefault="00B56301" w:rsidP="00B56301">
      <w:pPr>
        <w:rPr>
          <w:rFonts w:cs="Arial"/>
          <w:sz w:val="24"/>
        </w:rPr>
      </w:pPr>
    </w:p>
    <w:p w14:paraId="3626C2B7" w14:textId="77777777" w:rsidR="00B56301" w:rsidRPr="00364545" w:rsidRDefault="00B56301" w:rsidP="00B56301">
      <w:pPr>
        <w:spacing w:line="240" w:lineRule="atLeast"/>
        <w:jc w:val="left"/>
        <w:rPr>
          <w:rFonts w:cs="Arial"/>
          <w:sz w:val="24"/>
        </w:rPr>
      </w:pPr>
      <w:r w:rsidRPr="00364545">
        <w:br w:type="page"/>
      </w: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364545" w14:paraId="10D7535D"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0808BB3A"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2036441"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729F6B1"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1996</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4FE9BF6A"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5611A8D"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1998</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9447349"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1999</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20765C1" w14:textId="77777777" w:rsidR="00B56301" w:rsidRPr="00364545" w:rsidRDefault="00B56301" w:rsidP="00B37B65">
            <w:pPr>
              <w:jc w:val="center"/>
              <w:rPr>
                <w:rFonts w:asciiTheme="minorHAnsi" w:hAnsiTheme="minorHAnsi"/>
                <w:b/>
                <w:bCs/>
                <w:sz w:val="16"/>
                <w:szCs w:val="14"/>
              </w:rPr>
            </w:pPr>
            <w:r w:rsidRPr="00364545">
              <w:rPr>
                <w:rFonts w:asciiTheme="minorHAnsi" w:hAnsiTheme="minorHAnsi"/>
                <w:b/>
                <w:sz w:val="16"/>
              </w:rPr>
              <w:t>2000</w:t>
            </w:r>
          </w:p>
        </w:tc>
      </w:tr>
      <w:tr w:rsidR="00B56301" w:rsidRPr="00364545" w14:paraId="72A67BC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FA5DDBE"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9389C6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476,70</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BD45E0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436,69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7D28FBA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384,79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84A205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376,73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EC75CC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355,48</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013F40D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302,70</w:t>
            </w:r>
          </w:p>
        </w:tc>
      </w:tr>
      <w:tr w:rsidR="00B56301" w:rsidRPr="00364545" w14:paraId="574FDE1E"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7E83433"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22276DE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214,73</w:t>
            </w:r>
          </w:p>
        </w:tc>
        <w:tc>
          <w:tcPr>
            <w:tcW w:w="991" w:type="dxa"/>
            <w:tcBorders>
              <w:top w:val="nil"/>
              <w:left w:val="nil"/>
              <w:bottom w:val="single" w:sz="4" w:space="0" w:color="auto"/>
              <w:right w:val="single" w:sz="4" w:space="0" w:color="auto"/>
            </w:tcBorders>
            <w:shd w:val="clear" w:color="000000" w:fill="CCFFFF"/>
            <w:noWrap/>
            <w:vAlign w:val="bottom"/>
            <w:hideMark/>
          </w:tcPr>
          <w:p w14:paraId="5DB02DF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224,66</w:t>
            </w:r>
          </w:p>
        </w:tc>
        <w:tc>
          <w:tcPr>
            <w:tcW w:w="991" w:type="dxa"/>
            <w:tcBorders>
              <w:top w:val="nil"/>
              <w:left w:val="nil"/>
              <w:bottom w:val="single" w:sz="4" w:space="0" w:color="auto"/>
              <w:right w:val="single" w:sz="4" w:space="0" w:color="auto"/>
            </w:tcBorders>
            <w:shd w:val="clear" w:color="000000" w:fill="CCFFFF"/>
            <w:noWrap/>
            <w:vAlign w:val="bottom"/>
            <w:hideMark/>
          </w:tcPr>
          <w:p w14:paraId="4AE0C1B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196,35</w:t>
            </w:r>
          </w:p>
        </w:tc>
        <w:tc>
          <w:tcPr>
            <w:tcW w:w="991" w:type="dxa"/>
            <w:tcBorders>
              <w:top w:val="nil"/>
              <w:left w:val="nil"/>
              <w:bottom w:val="single" w:sz="4" w:space="0" w:color="auto"/>
              <w:right w:val="single" w:sz="4" w:space="0" w:color="auto"/>
            </w:tcBorders>
            <w:shd w:val="clear" w:color="000000" w:fill="CCFFFF"/>
            <w:noWrap/>
            <w:vAlign w:val="bottom"/>
            <w:hideMark/>
          </w:tcPr>
          <w:p w14:paraId="2B74408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191,76</w:t>
            </w:r>
          </w:p>
        </w:tc>
        <w:tc>
          <w:tcPr>
            <w:tcW w:w="991" w:type="dxa"/>
            <w:tcBorders>
              <w:top w:val="nil"/>
              <w:left w:val="nil"/>
              <w:bottom w:val="single" w:sz="4" w:space="0" w:color="auto"/>
              <w:right w:val="single" w:sz="4" w:space="0" w:color="auto"/>
            </w:tcBorders>
            <w:shd w:val="clear" w:color="000000" w:fill="CCFFFF"/>
            <w:noWrap/>
            <w:vAlign w:val="bottom"/>
            <w:hideMark/>
          </w:tcPr>
          <w:p w14:paraId="25DD4E7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177,48</w:t>
            </w:r>
          </w:p>
        </w:tc>
        <w:tc>
          <w:tcPr>
            <w:tcW w:w="991" w:type="dxa"/>
            <w:tcBorders>
              <w:top w:val="nil"/>
              <w:left w:val="nil"/>
              <w:bottom w:val="single" w:sz="4" w:space="0" w:color="auto"/>
              <w:right w:val="single" w:sz="4" w:space="0" w:color="auto"/>
            </w:tcBorders>
            <w:shd w:val="clear" w:color="000000" w:fill="CCFFFF"/>
            <w:noWrap/>
            <w:vAlign w:val="bottom"/>
            <w:hideMark/>
          </w:tcPr>
          <w:p w14:paraId="361824F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161,26</w:t>
            </w:r>
          </w:p>
        </w:tc>
      </w:tr>
      <w:tr w:rsidR="00B56301" w:rsidRPr="00364545" w14:paraId="0DE3C0F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09076E" w14:textId="3C00BDCF"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2B6EDB5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1,83</w:t>
            </w:r>
          </w:p>
        </w:tc>
        <w:tc>
          <w:tcPr>
            <w:tcW w:w="991" w:type="dxa"/>
            <w:tcBorders>
              <w:top w:val="nil"/>
              <w:left w:val="nil"/>
              <w:bottom w:val="single" w:sz="4" w:space="0" w:color="auto"/>
              <w:right w:val="single" w:sz="4" w:space="0" w:color="auto"/>
            </w:tcBorders>
            <w:shd w:val="clear" w:color="000000" w:fill="FFFFFF"/>
            <w:noWrap/>
            <w:vAlign w:val="bottom"/>
            <w:hideMark/>
          </w:tcPr>
          <w:p w14:paraId="56E1139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1,78</w:t>
            </w:r>
          </w:p>
        </w:tc>
        <w:tc>
          <w:tcPr>
            <w:tcW w:w="991" w:type="dxa"/>
            <w:tcBorders>
              <w:top w:val="nil"/>
              <w:left w:val="nil"/>
              <w:bottom w:val="single" w:sz="4" w:space="0" w:color="auto"/>
              <w:right w:val="single" w:sz="4" w:space="0" w:color="auto"/>
            </w:tcBorders>
            <w:shd w:val="clear" w:color="000000" w:fill="FFFFFF"/>
            <w:noWrap/>
            <w:vAlign w:val="bottom"/>
            <w:hideMark/>
          </w:tcPr>
          <w:p w14:paraId="13B934D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1,64</w:t>
            </w:r>
          </w:p>
        </w:tc>
        <w:tc>
          <w:tcPr>
            <w:tcW w:w="991" w:type="dxa"/>
            <w:tcBorders>
              <w:top w:val="nil"/>
              <w:left w:val="nil"/>
              <w:bottom w:val="single" w:sz="4" w:space="0" w:color="auto"/>
              <w:right w:val="single" w:sz="4" w:space="0" w:color="auto"/>
            </w:tcBorders>
            <w:shd w:val="clear" w:color="000000" w:fill="FFFFFF"/>
            <w:noWrap/>
            <w:vAlign w:val="bottom"/>
            <w:hideMark/>
          </w:tcPr>
          <w:p w14:paraId="432BE8C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1,67</w:t>
            </w:r>
          </w:p>
        </w:tc>
        <w:tc>
          <w:tcPr>
            <w:tcW w:w="991" w:type="dxa"/>
            <w:tcBorders>
              <w:top w:val="nil"/>
              <w:left w:val="nil"/>
              <w:bottom w:val="single" w:sz="4" w:space="0" w:color="auto"/>
              <w:right w:val="single" w:sz="4" w:space="0" w:color="auto"/>
            </w:tcBorders>
            <w:shd w:val="clear" w:color="000000" w:fill="FFFFFF"/>
            <w:noWrap/>
            <w:vAlign w:val="bottom"/>
            <w:hideMark/>
          </w:tcPr>
          <w:p w14:paraId="068EE72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1,42</w:t>
            </w:r>
          </w:p>
        </w:tc>
        <w:tc>
          <w:tcPr>
            <w:tcW w:w="991" w:type="dxa"/>
            <w:tcBorders>
              <w:top w:val="nil"/>
              <w:left w:val="nil"/>
              <w:bottom w:val="single" w:sz="4" w:space="0" w:color="auto"/>
              <w:right w:val="single" w:sz="4" w:space="0" w:color="auto"/>
            </w:tcBorders>
            <w:shd w:val="clear" w:color="000000" w:fill="FFFFFF"/>
            <w:noWrap/>
            <w:vAlign w:val="bottom"/>
            <w:hideMark/>
          </w:tcPr>
          <w:p w14:paraId="33458A9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1,27</w:t>
            </w:r>
          </w:p>
        </w:tc>
      </w:tr>
      <w:tr w:rsidR="00B56301" w:rsidRPr="00364545" w14:paraId="360DBF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56F91D5" w14:textId="037E94B5"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543A961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3,98</w:t>
            </w:r>
          </w:p>
        </w:tc>
        <w:tc>
          <w:tcPr>
            <w:tcW w:w="991" w:type="dxa"/>
            <w:tcBorders>
              <w:top w:val="nil"/>
              <w:left w:val="nil"/>
              <w:bottom w:val="single" w:sz="4" w:space="0" w:color="auto"/>
              <w:right w:val="single" w:sz="4" w:space="0" w:color="auto"/>
            </w:tcBorders>
            <w:shd w:val="clear" w:color="000000" w:fill="FFFFFF"/>
            <w:noWrap/>
            <w:vAlign w:val="bottom"/>
            <w:hideMark/>
          </w:tcPr>
          <w:p w14:paraId="669D823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3,87</w:t>
            </w:r>
          </w:p>
        </w:tc>
        <w:tc>
          <w:tcPr>
            <w:tcW w:w="991" w:type="dxa"/>
            <w:tcBorders>
              <w:top w:val="nil"/>
              <w:left w:val="nil"/>
              <w:bottom w:val="single" w:sz="4" w:space="0" w:color="auto"/>
              <w:right w:val="single" w:sz="4" w:space="0" w:color="auto"/>
            </w:tcBorders>
            <w:shd w:val="clear" w:color="000000" w:fill="FFFFFF"/>
            <w:noWrap/>
            <w:vAlign w:val="bottom"/>
            <w:hideMark/>
          </w:tcPr>
          <w:p w14:paraId="4399743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3,73</w:t>
            </w:r>
          </w:p>
        </w:tc>
        <w:tc>
          <w:tcPr>
            <w:tcW w:w="991" w:type="dxa"/>
            <w:tcBorders>
              <w:top w:val="nil"/>
              <w:left w:val="nil"/>
              <w:bottom w:val="single" w:sz="4" w:space="0" w:color="auto"/>
              <w:right w:val="single" w:sz="4" w:space="0" w:color="auto"/>
            </w:tcBorders>
            <w:shd w:val="clear" w:color="000000" w:fill="FFFFFF"/>
            <w:noWrap/>
            <w:vAlign w:val="bottom"/>
            <w:hideMark/>
          </w:tcPr>
          <w:p w14:paraId="710C1B9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3,54</w:t>
            </w:r>
          </w:p>
        </w:tc>
        <w:tc>
          <w:tcPr>
            <w:tcW w:w="991" w:type="dxa"/>
            <w:tcBorders>
              <w:top w:val="nil"/>
              <w:left w:val="nil"/>
              <w:bottom w:val="single" w:sz="4" w:space="0" w:color="auto"/>
              <w:right w:val="single" w:sz="4" w:space="0" w:color="auto"/>
            </w:tcBorders>
            <w:shd w:val="clear" w:color="000000" w:fill="FFFFFF"/>
            <w:noWrap/>
            <w:vAlign w:val="bottom"/>
            <w:hideMark/>
          </w:tcPr>
          <w:p w14:paraId="788BB09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3,44</w:t>
            </w:r>
          </w:p>
        </w:tc>
        <w:tc>
          <w:tcPr>
            <w:tcW w:w="991" w:type="dxa"/>
            <w:tcBorders>
              <w:top w:val="nil"/>
              <w:left w:val="nil"/>
              <w:bottom w:val="single" w:sz="4" w:space="0" w:color="auto"/>
              <w:right w:val="single" w:sz="4" w:space="0" w:color="auto"/>
            </w:tcBorders>
            <w:shd w:val="clear" w:color="000000" w:fill="FFFFFF"/>
            <w:noWrap/>
            <w:vAlign w:val="bottom"/>
            <w:hideMark/>
          </w:tcPr>
          <w:p w14:paraId="2201B1C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3,33</w:t>
            </w:r>
          </w:p>
        </w:tc>
      </w:tr>
      <w:tr w:rsidR="00B56301" w:rsidRPr="00364545" w14:paraId="5B2C9D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87BC258" w14:textId="2A1B8373"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3. 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4EDB968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31,85</w:t>
            </w:r>
          </w:p>
        </w:tc>
        <w:tc>
          <w:tcPr>
            <w:tcW w:w="991" w:type="dxa"/>
            <w:tcBorders>
              <w:top w:val="nil"/>
              <w:left w:val="nil"/>
              <w:bottom w:val="single" w:sz="4" w:space="0" w:color="auto"/>
              <w:right w:val="single" w:sz="4" w:space="0" w:color="auto"/>
            </w:tcBorders>
            <w:shd w:val="clear" w:color="000000" w:fill="FFFFFF"/>
            <w:noWrap/>
            <w:vAlign w:val="bottom"/>
            <w:hideMark/>
          </w:tcPr>
          <w:p w14:paraId="592B0D8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29,41</w:t>
            </w:r>
          </w:p>
        </w:tc>
        <w:tc>
          <w:tcPr>
            <w:tcW w:w="991" w:type="dxa"/>
            <w:tcBorders>
              <w:top w:val="nil"/>
              <w:left w:val="nil"/>
              <w:bottom w:val="single" w:sz="4" w:space="0" w:color="auto"/>
              <w:right w:val="single" w:sz="4" w:space="0" w:color="auto"/>
            </w:tcBorders>
            <w:shd w:val="clear" w:color="000000" w:fill="FFFFFF"/>
            <w:noWrap/>
            <w:vAlign w:val="bottom"/>
            <w:hideMark/>
          </w:tcPr>
          <w:p w14:paraId="63B3461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27,88</w:t>
            </w:r>
          </w:p>
        </w:tc>
        <w:tc>
          <w:tcPr>
            <w:tcW w:w="991" w:type="dxa"/>
            <w:tcBorders>
              <w:top w:val="nil"/>
              <w:left w:val="nil"/>
              <w:bottom w:val="single" w:sz="4" w:space="0" w:color="auto"/>
              <w:right w:val="single" w:sz="4" w:space="0" w:color="auto"/>
            </w:tcBorders>
            <w:shd w:val="clear" w:color="000000" w:fill="FFFFFF"/>
            <w:noWrap/>
            <w:vAlign w:val="bottom"/>
            <w:hideMark/>
          </w:tcPr>
          <w:p w14:paraId="6F93D95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26,89</w:t>
            </w:r>
          </w:p>
        </w:tc>
        <w:tc>
          <w:tcPr>
            <w:tcW w:w="991" w:type="dxa"/>
            <w:tcBorders>
              <w:top w:val="nil"/>
              <w:left w:val="nil"/>
              <w:bottom w:val="single" w:sz="4" w:space="0" w:color="auto"/>
              <w:right w:val="single" w:sz="4" w:space="0" w:color="auto"/>
            </w:tcBorders>
            <w:shd w:val="clear" w:color="000000" w:fill="FFFFFF"/>
            <w:noWrap/>
            <w:vAlign w:val="bottom"/>
            <w:hideMark/>
          </w:tcPr>
          <w:p w14:paraId="160585F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25,97</w:t>
            </w:r>
          </w:p>
        </w:tc>
        <w:tc>
          <w:tcPr>
            <w:tcW w:w="991" w:type="dxa"/>
            <w:tcBorders>
              <w:top w:val="nil"/>
              <w:left w:val="nil"/>
              <w:bottom w:val="single" w:sz="4" w:space="0" w:color="auto"/>
              <w:right w:val="single" w:sz="4" w:space="0" w:color="auto"/>
            </w:tcBorders>
            <w:shd w:val="clear" w:color="000000" w:fill="FFFFFF"/>
            <w:noWrap/>
            <w:vAlign w:val="bottom"/>
            <w:hideMark/>
          </w:tcPr>
          <w:p w14:paraId="6CF0565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23,84</w:t>
            </w:r>
          </w:p>
        </w:tc>
      </w:tr>
      <w:tr w:rsidR="00B56301" w:rsidRPr="00364545" w14:paraId="4A0C754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B4270D" w14:textId="7C8EA63E"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4. 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6F4B0B4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177,04</w:t>
            </w:r>
          </w:p>
        </w:tc>
        <w:tc>
          <w:tcPr>
            <w:tcW w:w="991" w:type="dxa"/>
            <w:tcBorders>
              <w:top w:val="nil"/>
              <w:left w:val="nil"/>
              <w:bottom w:val="single" w:sz="4" w:space="0" w:color="auto"/>
              <w:right w:val="single" w:sz="4" w:space="0" w:color="auto"/>
            </w:tcBorders>
            <w:shd w:val="clear" w:color="000000" w:fill="FFFFFF"/>
            <w:noWrap/>
            <w:vAlign w:val="bottom"/>
            <w:hideMark/>
          </w:tcPr>
          <w:p w14:paraId="2CFC1EF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189,56</w:t>
            </w:r>
          </w:p>
        </w:tc>
        <w:tc>
          <w:tcPr>
            <w:tcW w:w="991" w:type="dxa"/>
            <w:tcBorders>
              <w:top w:val="nil"/>
              <w:left w:val="nil"/>
              <w:bottom w:val="single" w:sz="4" w:space="0" w:color="auto"/>
              <w:right w:val="single" w:sz="4" w:space="0" w:color="auto"/>
            </w:tcBorders>
            <w:shd w:val="clear" w:color="000000" w:fill="FFFFFF"/>
            <w:noWrap/>
            <w:vAlign w:val="bottom"/>
            <w:hideMark/>
          </w:tcPr>
          <w:p w14:paraId="5F3D064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163,07</w:t>
            </w:r>
          </w:p>
        </w:tc>
        <w:tc>
          <w:tcPr>
            <w:tcW w:w="991" w:type="dxa"/>
            <w:tcBorders>
              <w:top w:val="nil"/>
              <w:left w:val="nil"/>
              <w:bottom w:val="single" w:sz="4" w:space="0" w:color="auto"/>
              <w:right w:val="single" w:sz="4" w:space="0" w:color="auto"/>
            </w:tcBorders>
            <w:shd w:val="clear" w:color="000000" w:fill="FFFFFF"/>
            <w:noWrap/>
            <w:vAlign w:val="bottom"/>
            <w:hideMark/>
          </w:tcPr>
          <w:p w14:paraId="4325D69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159,63</w:t>
            </w:r>
          </w:p>
        </w:tc>
        <w:tc>
          <w:tcPr>
            <w:tcW w:w="991" w:type="dxa"/>
            <w:tcBorders>
              <w:top w:val="nil"/>
              <w:left w:val="nil"/>
              <w:bottom w:val="single" w:sz="4" w:space="0" w:color="auto"/>
              <w:right w:val="single" w:sz="4" w:space="0" w:color="auto"/>
            </w:tcBorders>
            <w:shd w:val="clear" w:color="000000" w:fill="FFFFFF"/>
            <w:noWrap/>
            <w:vAlign w:val="bottom"/>
            <w:hideMark/>
          </w:tcPr>
          <w:p w14:paraId="1DA7073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146,61</w:t>
            </w:r>
          </w:p>
        </w:tc>
        <w:tc>
          <w:tcPr>
            <w:tcW w:w="991" w:type="dxa"/>
            <w:tcBorders>
              <w:top w:val="nil"/>
              <w:left w:val="nil"/>
              <w:bottom w:val="single" w:sz="4" w:space="0" w:color="auto"/>
              <w:right w:val="single" w:sz="4" w:space="0" w:color="auto"/>
            </w:tcBorders>
            <w:shd w:val="clear" w:color="000000" w:fill="FFFFFF"/>
            <w:noWrap/>
            <w:vAlign w:val="bottom"/>
            <w:hideMark/>
          </w:tcPr>
          <w:p w14:paraId="2BCBF1E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132,79</w:t>
            </w:r>
          </w:p>
        </w:tc>
      </w:tr>
      <w:tr w:rsidR="00B56301" w:rsidRPr="00364545" w14:paraId="3A1BB6C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AFCD5E6" w14:textId="078CA611"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5. Other</w:t>
            </w:r>
          </w:p>
        </w:tc>
        <w:tc>
          <w:tcPr>
            <w:tcW w:w="991" w:type="dxa"/>
            <w:tcBorders>
              <w:top w:val="nil"/>
              <w:left w:val="nil"/>
              <w:bottom w:val="single" w:sz="4" w:space="0" w:color="auto"/>
              <w:right w:val="single" w:sz="4" w:space="0" w:color="auto"/>
            </w:tcBorders>
            <w:shd w:val="clear" w:color="000000" w:fill="FFFFFF"/>
            <w:noWrap/>
            <w:vAlign w:val="bottom"/>
            <w:hideMark/>
          </w:tcPr>
          <w:p w14:paraId="30A6CAF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09C573F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76FDDB4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03D3621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5F66872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7B5D01D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0,04</w:t>
            </w:r>
          </w:p>
        </w:tc>
      </w:tr>
      <w:tr w:rsidR="00B56301" w:rsidRPr="00364545" w14:paraId="36C3FC8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43F898B"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248C7B8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261,97</w:t>
            </w:r>
          </w:p>
        </w:tc>
        <w:tc>
          <w:tcPr>
            <w:tcW w:w="991" w:type="dxa"/>
            <w:tcBorders>
              <w:top w:val="nil"/>
              <w:left w:val="nil"/>
              <w:bottom w:val="single" w:sz="4" w:space="0" w:color="auto"/>
              <w:right w:val="single" w:sz="4" w:space="0" w:color="auto"/>
            </w:tcBorders>
            <w:shd w:val="clear" w:color="000000" w:fill="CCFFFF"/>
            <w:noWrap/>
            <w:vAlign w:val="bottom"/>
            <w:hideMark/>
          </w:tcPr>
          <w:p w14:paraId="3C6ACDD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212,03</w:t>
            </w:r>
          </w:p>
        </w:tc>
        <w:tc>
          <w:tcPr>
            <w:tcW w:w="991" w:type="dxa"/>
            <w:tcBorders>
              <w:top w:val="nil"/>
              <w:left w:val="nil"/>
              <w:bottom w:val="single" w:sz="4" w:space="0" w:color="auto"/>
              <w:right w:val="single" w:sz="4" w:space="0" w:color="auto"/>
            </w:tcBorders>
            <w:shd w:val="clear" w:color="000000" w:fill="CCFFFF"/>
            <w:noWrap/>
            <w:vAlign w:val="bottom"/>
            <w:hideMark/>
          </w:tcPr>
          <w:p w14:paraId="6866AF7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188,43</w:t>
            </w:r>
          </w:p>
        </w:tc>
        <w:tc>
          <w:tcPr>
            <w:tcW w:w="991" w:type="dxa"/>
            <w:tcBorders>
              <w:top w:val="nil"/>
              <w:left w:val="nil"/>
              <w:bottom w:val="single" w:sz="4" w:space="0" w:color="auto"/>
              <w:right w:val="single" w:sz="4" w:space="0" w:color="auto"/>
            </w:tcBorders>
            <w:shd w:val="clear" w:color="000000" w:fill="CCFFFF"/>
            <w:noWrap/>
            <w:vAlign w:val="bottom"/>
            <w:hideMark/>
          </w:tcPr>
          <w:p w14:paraId="4666D26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184,97</w:t>
            </w:r>
          </w:p>
        </w:tc>
        <w:tc>
          <w:tcPr>
            <w:tcW w:w="991" w:type="dxa"/>
            <w:tcBorders>
              <w:top w:val="nil"/>
              <w:left w:val="nil"/>
              <w:bottom w:val="single" w:sz="4" w:space="0" w:color="auto"/>
              <w:right w:val="single" w:sz="4" w:space="0" w:color="auto"/>
            </w:tcBorders>
            <w:shd w:val="clear" w:color="000000" w:fill="CCFFFF"/>
            <w:noWrap/>
            <w:vAlign w:val="bottom"/>
            <w:hideMark/>
          </w:tcPr>
          <w:p w14:paraId="71A1C52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178,00</w:t>
            </w:r>
          </w:p>
        </w:tc>
        <w:tc>
          <w:tcPr>
            <w:tcW w:w="991" w:type="dxa"/>
            <w:tcBorders>
              <w:top w:val="nil"/>
              <w:left w:val="nil"/>
              <w:bottom w:val="single" w:sz="4" w:space="0" w:color="auto"/>
              <w:right w:val="single" w:sz="4" w:space="0" w:color="auto"/>
            </w:tcBorders>
            <w:shd w:val="clear" w:color="000000" w:fill="CCFFFF"/>
            <w:noWrap/>
            <w:vAlign w:val="bottom"/>
            <w:hideMark/>
          </w:tcPr>
          <w:p w14:paraId="6614606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141,44</w:t>
            </w:r>
          </w:p>
        </w:tc>
      </w:tr>
      <w:tr w:rsidR="00B56301" w:rsidRPr="00364545" w14:paraId="3EDCC4C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7BCADF4" w14:textId="39CB924C"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3C6A1F5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197,10</w:t>
            </w:r>
          </w:p>
        </w:tc>
        <w:tc>
          <w:tcPr>
            <w:tcW w:w="991" w:type="dxa"/>
            <w:tcBorders>
              <w:top w:val="nil"/>
              <w:left w:val="nil"/>
              <w:bottom w:val="single" w:sz="4" w:space="0" w:color="auto"/>
              <w:right w:val="single" w:sz="4" w:space="0" w:color="auto"/>
            </w:tcBorders>
            <w:shd w:val="clear" w:color="000000" w:fill="FFFFFF"/>
            <w:noWrap/>
            <w:vAlign w:val="bottom"/>
            <w:hideMark/>
          </w:tcPr>
          <w:p w14:paraId="4E4215B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150,00</w:t>
            </w:r>
          </w:p>
        </w:tc>
        <w:tc>
          <w:tcPr>
            <w:tcW w:w="991" w:type="dxa"/>
            <w:tcBorders>
              <w:top w:val="nil"/>
              <w:left w:val="nil"/>
              <w:bottom w:val="single" w:sz="4" w:space="0" w:color="auto"/>
              <w:right w:val="single" w:sz="4" w:space="0" w:color="auto"/>
            </w:tcBorders>
            <w:shd w:val="clear" w:color="000000" w:fill="FFFFFF"/>
            <w:noWrap/>
            <w:vAlign w:val="bottom"/>
            <w:hideMark/>
          </w:tcPr>
          <w:p w14:paraId="5846F82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127,77</w:t>
            </w:r>
          </w:p>
        </w:tc>
        <w:tc>
          <w:tcPr>
            <w:tcW w:w="991" w:type="dxa"/>
            <w:tcBorders>
              <w:top w:val="nil"/>
              <w:left w:val="nil"/>
              <w:bottom w:val="single" w:sz="4" w:space="0" w:color="auto"/>
              <w:right w:val="single" w:sz="4" w:space="0" w:color="auto"/>
            </w:tcBorders>
            <w:shd w:val="clear" w:color="000000" w:fill="FFFFFF"/>
            <w:noWrap/>
            <w:vAlign w:val="bottom"/>
            <w:hideMark/>
          </w:tcPr>
          <w:p w14:paraId="35AAA34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124,06</w:t>
            </w:r>
          </w:p>
        </w:tc>
        <w:tc>
          <w:tcPr>
            <w:tcW w:w="991" w:type="dxa"/>
            <w:tcBorders>
              <w:top w:val="nil"/>
              <w:left w:val="nil"/>
              <w:bottom w:val="single" w:sz="4" w:space="0" w:color="auto"/>
              <w:right w:val="single" w:sz="4" w:space="0" w:color="auto"/>
            </w:tcBorders>
            <w:shd w:val="clear" w:color="000000" w:fill="FFFFFF"/>
            <w:noWrap/>
            <w:vAlign w:val="bottom"/>
            <w:hideMark/>
          </w:tcPr>
          <w:p w14:paraId="6E46634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117,84</w:t>
            </w:r>
          </w:p>
        </w:tc>
        <w:tc>
          <w:tcPr>
            <w:tcW w:w="991" w:type="dxa"/>
            <w:tcBorders>
              <w:top w:val="nil"/>
              <w:left w:val="nil"/>
              <w:bottom w:val="single" w:sz="4" w:space="0" w:color="auto"/>
              <w:right w:val="single" w:sz="4" w:space="0" w:color="auto"/>
            </w:tcBorders>
            <w:shd w:val="clear" w:color="000000" w:fill="FFFFFF"/>
            <w:noWrap/>
            <w:vAlign w:val="bottom"/>
            <w:hideMark/>
          </w:tcPr>
          <w:p w14:paraId="1D5AC8F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81,06</w:t>
            </w:r>
          </w:p>
        </w:tc>
      </w:tr>
      <w:tr w:rsidR="00B56301" w:rsidRPr="00364545" w14:paraId="7775929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6771690" w14:textId="51B84952"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11A9523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64,87</w:t>
            </w:r>
          </w:p>
        </w:tc>
        <w:tc>
          <w:tcPr>
            <w:tcW w:w="991" w:type="dxa"/>
            <w:tcBorders>
              <w:top w:val="nil"/>
              <w:left w:val="nil"/>
              <w:bottom w:val="single" w:sz="4" w:space="0" w:color="auto"/>
              <w:right w:val="single" w:sz="4" w:space="0" w:color="auto"/>
            </w:tcBorders>
            <w:shd w:val="clear" w:color="000000" w:fill="FFFFFF"/>
            <w:noWrap/>
            <w:vAlign w:val="bottom"/>
            <w:hideMark/>
          </w:tcPr>
          <w:p w14:paraId="27C4529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62,03</w:t>
            </w:r>
          </w:p>
        </w:tc>
        <w:tc>
          <w:tcPr>
            <w:tcW w:w="991" w:type="dxa"/>
            <w:tcBorders>
              <w:top w:val="nil"/>
              <w:left w:val="nil"/>
              <w:bottom w:val="single" w:sz="4" w:space="0" w:color="auto"/>
              <w:right w:val="single" w:sz="4" w:space="0" w:color="auto"/>
            </w:tcBorders>
            <w:shd w:val="clear" w:color="000000" w:fill="FFFFFF"/>
            <w:noWrap/>
            <w:vAlign w:val="bottom"/>
            <w:hideMark/>
          </w:tcPr>
          <w:p w14:paraId="31A1245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60,67</w:t>
            </w:r>
          </w:p>
        </w:tc>
        <w:tc>
          <w:tcPr>
            <w:tcW w:w="991" w:type="dxa"/>
            <w:tcBorders>
              <w:top w:val="nil"/>
              <w:left w:val="nil"/>
              <w:bottom w:val="single" w:sz="4" w:space="0" w:color="auto"/>
              <w:right w:val="single" w:sz="4" w:space="0" w:color="auto"/>
            </w:tcBorders>
            <w:shd w:val="clear" w:color="000000" w:fill="FFFFFF"/>
            <w:noWrap/>
            <w:vAlign w:val="bottom"/>
            <w:hideMark/>
          </w:tcPr>
          <w:p w14:paraId="0DFB6A3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60,91</w:t>
            </w:r>
          </w:p>
        </w:tc>
        <w:tc>
          <w:tcPr>
            <w:tcW w:w="991" w:type="dxa"/>
            <w:tcBorders>
              <w:top w:val="nil"/>
              <w:left w:val="nil"/>
              <w:bottom w:val="single" w:sz="4" w:space="0" w:color="auto"/>
              <w:right w:val="single" w:sz="4" w:space="0" w:color="auto"/>
            </w:tcBorders>
            <w:shd w:val="clear" w:color="000000" w:fill="FFFFFF"/>
            <w:noWrap/>
            <w:vAlign w:val="bottom"/>
            <w:hideMark/>
          </w:tcPr>
          <w:p w14:paraId="012635D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60,15</w:t>
            </w:r>
          </w:p>
        </w:tc>
        <w:tc>
          <w:tcPr>
            <w:tcW w:w="991" w:type="dxa"/>
            <w:tcBorders>
              <w:top w:val="nil"/>
              <w:left w:val="nil"/>
              <w:bottom w:val="single" w:sz="4" w:space="0" w:color="auto"/>
              <w:right w:val="single" w:sz="4" w:space="0" w:color="auto"/>
            </w:tcBorders>
            <w:shd w:val="clear" w:color="000000" w:fill="FFFFFF"/>
            <w:noWrap/>
            <w:vAlign w:val="bottom"/>
            <w:hideMark/>
          </w:tcPr>
          <w:p w14:paraId="31ED4B7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60,38</w:t>
            </w:r>
          </w:p>
        </w:tc>
      </w:tr>
      <w:tr w:rsidR="00B56301" w:rsidRPr="00364545" w14:paraId="118871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48669B6" w14:textId="4A0AC35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6392571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23DD7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F38BA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41375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CF523A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6695A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6906F35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A6C8913" w14:textId="25E1B538"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2. 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70D370E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8,85</w:t>
            </w:r>
          </w:p>
        </w:tc>
        <w:tc>
          <w:tcPr>
            <w:tcW w:w="991" w:type="dxa"/>
            <w:tcBorders>
              <w:top w:val="nil"/>
              <w:left w:val="nil"/>
              <w:bottom w:val="single" w:sz="4" w:space="0" w:color="auto"/>
              <w:right w:val="single" w:sz="4" w:space="0" w:color="auto"/>
            </w:tcBorders>
            <w:shd w:val="clear" w:color="000000" w:fill="CCFFFF"/>
            <w:noWrap/>
            <w:vAlign w:val="bottom"/>
            <w:hideMark/>
          </w:tcPr>
          <w:p w14:paraId="7A9FF17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8,62</w:t>
            </w:r>
          </w:p>
        </w:tc>
        <w:tc>
          <w:tcPr>
            <w:tcW w:w="991" w:type="dxa"/>
            <w:tcBorders>
              <w:top w:val="nil"/>
              <w:left w:val="nil"/>
              <w:bottom w:val="single" w:sz="4" w:space="0" w:color="auto"/>
              <w:right w:val="single" w:sz="4" w:space="0" w:color="auto"/>
            </w:tcBorders>
            <w:shd w:val="clear" w:color="000000" w:fill="CCFFFF"/>
            <w:noWrap/>
            <w:vAlign w:val="bottom"/>
            <w:hideMark/>
          </w:tcPr>
          <w:p w14:paraId="64FF331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9,56</w:t>
            </w:r>
          </w:p>
        </w:tc>
        <w:tc>
          <w:tcPr>
            <w:tcW w:w="991" w:type="dxa"/>
            <w:tcBorders>
              <w:top w:val="nil"/>
              <w:left w:val="nil"/>
              <w:bottom w:val="single" w:sz="4" w:space="0" w:color="auto"/>
              <w:right w:val="single" w:sz="4" w:space="0" w:color="auto"/>
            </w:tcBorders>
            <w:shd w:val="clear" w:color="000000" w:fill="CCFFFF"/>
            <w:noWrap/>
            <w:vAlign w:val="bottom"/>
            <w:hideMark/>
          </w:tcPr>
          <w:p w14:paraId="2D575FC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9,39</w:t>
            </w:r>
          </w:p>
        </w:tc>
        <w:tc>
          <w:tcPr>
            <w:tcW w:w="991" w:type="dxa"/>
            <w:tcBorders>
              <w:top w:val="nil"/>
              <w:left w:val="nil"/>
              <w:bottom w:val="single" w:sz="4" w:space="0" w:color="auto"/>
              <w:right w:val="single" w:sz="4" w:space="0" w:color="auto"/>
            </w:tcBorders>
            <w:shd w:val="clear" w:color="000000" w:fill="CCFFFF"/>
            <w:noWrap/>
            <w:vAlign w:val="bottom"/>
            <w:hideMark/>
          </w:tcPr>
          <w:p w14:paraId="0C033E0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9,36</w:t>
            </w:r>
          </w:p>
        </w:tc>
        <w:tc>
          <w:tcPr>
            <w:tcW w:w="991" w:type="dxa"/>
            <w:tcBorders>
              <w:top w:val="nil"/>
              <w:left w:val="nil"/>
              <w:bottom w:val="single" w:sz="4" w:space="0" w:color="auto"/>
              <w:right w:val="single" w:sz="4" w:space="0" w:color="auto"/>
            </w:tcBorders>
            <w:shd w:val="clear" w:color="000000" w:fill="CCFFFF"/>
            <w:noWrap/>
            <w:vAlign w:val="bottom"/>
            <w:hideMark/>
          </w:tcPr>
          <w:p w14:paraId="736E498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9,45</w:t>
            </w:r>
          </w:p>
        </w:tc>
      </w:tr>
      <w:tr w:rsidR="00B56301" w:rsidRPr="00364545" w14:paraId="349182B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B14444" w14:textId="5EF1E46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0D94B66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D255A4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04B0E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04663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BD217F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EDF30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7AE954F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50E6F9" w14:textId="00D54DEB"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3B9AA4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3,72</w:t>
            </w:r>
          </w:p>
        </w:tc>
        <w:tc>
          <w:tcPr>
            <w:tcW w:w="991" w:type="dxa"/>
            <w:tcBorders>
              <w:top w:val="nil"/>
              <w:left w:val="nil"/>
              <w:bottom w:val="single" w:sz="4" w:space="0" w:color="auto"/>
              <w:right w:val="single" w:sz="4" w:space="0" w:color="auto"/>
            </w:tcBorders>
            <w:shd w:val="clear" w:color="000000" w:fill="FFFFFF"/>
            <w:noWrap/>
            <w:vAlign w:val="bottom"/>
            <w:hideMark/>
          </w:tcPr>
          <w:p w14:paraId="74C6857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3,89</w:t>
            </w:r>
          </w:p>
        </w:tc>
        <w:tc>
          <w:tcPr>
            <w:tcW w:w="991" w:type="dxa"/>
            <w:tcBorders>
              <w:top w:val="nil"/>
              <w:left w:val="nil"/>
              <w:bottom w:val="single" w:sz="4" w:space="0" w:color="auto"/>
              <w:right w:val="single" w:sz="4" w:space="0" w:color="auto"/>
            </w:tcBorders>
            <w:shd w:val="clear" w:color="000000" w:fill="FFFFFF"/>
            <w:noWrap/>
            <w:vAlign w:val="bottom"/>
            <w:hideMark/>
          </w:tcPr>
          <w:p w14:paraId="7EFB02F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4,18</w:t>
            </w:r>
          </w:p>
        </w:tc>
        <w:tc>
          <w:tcPr>
            <w:tcW w:w="991" w:type="dxa"/>
            <w:tcBorders>
              <w:top w:val="nil"/>
              <w:left w:val="nil"/>
              <w:bottom w:val="single" w:sz="4" w:space="0" w:color="auto"/>
              <w:right w:val="single" w:sz="4" w:space="0" w:color="auto"/>
            </w:tcBorders>
            <w:shd w:val="clear" w:color="000000" w:fill="FFFFFF"/>
            <w:noWrap/>
            <w:vAlign w:val="bottom"/>
            <w:hideMark/>
          </w:tcPr>
          <w:p w14:paraId="7EAE9F5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3,89</w:t>
            </w:r>
          </w:p>
        </w:tc>
        <w:tc>
          <w:tcPr>
            <w:tcW w:w="991" w:type="dxa"/>
            <w:tcBorders>
              <w:top w:val="nil"/>
              <w:left w:val="nil"/>
              <w:bottom w:val="single" w:sz="4" w:space="0" w:color="auto"/>
              <w:right w:val="single" w:sz="4" w:space="0" w:color="auto"/>
            </w:tcBorders>
            <w:shd w:val="clear" w:color="000000" w:fill="FFFFFF"/>
            <w:noWrap/>
            <w:vAlign w:val="bottom"/>
            <w:hideMark/>
          </w:tcPr>
          <w:p w14:paraId="0C22C69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3,98</w:t>
            </w:r>
          </w:p>
        </w:tc>
        <w:tc>
          <w:tcPr>
            <w:tcW w:w="991" w:type="dxa"/>
            <w:tcBorders>
              <w:top w:val="nil"/>
              <w:left w:val="nil"/>
              <w:bottom w:val="single" w:sz="4" w:space="0" w:color="auto"/>
              <w:right w:val="single" w:sz="4" w:space="0" w:color="auto"/>
            </w:tcBorders>
            <w:shd w:val="clear" w:color="000000" w:fill="FFFFFF"/>
            <w:noWrap/>
            <w:vAlign w:val="bottom"/>
            <w:hideMark/>
          </w:tcPr>
          <w:p w14:paraId="2D28379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4,07</w:t>
            </w:r>
          </w:p>
        </w:tc>
      </w:tr>
      <w:tr w:rsidR="00B56301" w:rsidRPr="00364545" w14:paraId="138E73E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46CD7D9" w14:textId="121AF0D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EA19D7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5,08</w:t>
            </w:r>
          </w:p>
        </w:tc>
        <w:tc>
          <w:tcPr>
            <w:tcW w:w="991" w:type="dxa"/>
            <w:tcBorders>
              <w:top w:val="nil"/>
              <w:left w:val="nil"/>
              <w:bottom w:val="single" w:sz="4" w:space="0" w:color="auto"/>
              <w:right w:val="single" w:sz="4" w:space="0" w:color="auto"/>
            </w:tcBorders>
            <w:shd w:val="clear" w:color="000000" w:fill="FFFFFF"/>
            <w:noWrap/>
            <w:vAlign w:val="bottom"/>
            <w:hideMark/>
          </w:tcPr>
          <w:p w14:paraId="59238F5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4,69</w:t>
            </w:r>
          </w:p>
        </w:tc>
        <w:tc>
          <w:tcPr>
            <w:tcW w:w="991" w:type="dxa"/>
            <w:tcBorders>
              <w:top w:val="nil"/>
              <w:left w:val="nil"/>
              <w:bottom w:val="single" w:sz="4" w:space="0" w:color="auto"/>
              <w:right w:val="single" w:sz="4" w:space="0" w:color="auto"/>
            </w:tcBorders>
            <w:shd w:val="clear" w:color="000000" w:fill="FFFFFF"/>
            <w:noWrap/>
            <w:vAlign w:val="bottom"/>
            <w:hideMark/>
          </w:tcPr>
          <w:p w14:paraId="443EC8A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5,34</w:t>
            </w:r>
          </w:p>
        </w:tc>
        <w:tc>
          <w:tcPr>
            <w:tcW w:w="991" w:type="dxa"/>
            <w:tcBorders>
              <w:top w:val="nil"/>
              <w:left w:val="nil"/>
              <w:bottom w:val="single" w:sz="4" w:space="0" w:color="auto"/>
              <w:right w:val="single" w:sz="4" w:space="0" w:color="auto"/>
            </w:tcBorders>
            <w:shd w:val="clear" w:color="000000" w:fill="FFFFFF"/>
            <w:noWrap/>
            <w:vAlign w:val="bottom"/>
            <w:hideMark/>
          </w:tcPr>
          <w:p w14:paraId="37A4BCE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5,47</w:t>
            </w:r>
          </w:p>
        </w:tc>
        <w:tc>
          <w:tcPr>
            <w:tcW w:w="991" w:type="dxa"/>
            <w:tcBorders>
              <w:top w:val="nil"/>
              <w:left w:val="nil"/>
              <w:bottom w:val="single" w:sz="4" w:space="0" w:color="auto"/>
              <w:right w:val="single" w:sz="4" w:space="0" w:color="auto"/>
            </w:tcBorders>
            <w:shd w:val="clear" w:color="000000" w:fill="FFFFFF"/>
            <w:noWrap/>
            <w:vAlign w:val="bottom"/>
            <w:hideMark/>
          </w:tcPr>
          <w:p w14:paraId="45EEFA8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5,34</w:t>
            </w:r>
          </w:p>
        </w:tc>
        <w:tc>
          <w:tcPr>
            <w:tcW w:w="991" w:type="dxa"/>
            <w:tcBorders>
              <w:top w:val="nil"/>
              <w:left w:val="nil"/>
              <w:bottom w:val="single" w:sz="4" w:space="0" w:color="auto"/>
              <w:right w:val="single" w:sz="4" w:space="0" w:color="auto"/>
            </w:tcBorders>
            <w:shd w:val="clear" w:color="000000" w:fill="FFFFFF"/>
            <w:noWrap/>
            <w:vAlign w:val="bottom"/>
            <w:hideMark/>
          </w:tcPr>
          <w:p w14:paraId="7C0CD68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5,34</w:t>
            </w:r>
          </w:p>
        </w:tc>
      </w:tr>
      <w:tr w:rsidR="00B56301" w:rsidRPr="00364545" w14:paraId="0A5149A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B001DD5" w14:textId="2E95172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2E855CD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4D4712C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AA8F78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7F2C9A3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6D25BF5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5C2B75C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0,04</w:t>
            </w:r>
          </w:p>
        </w:tc>
      </w:tr>
      <w:tr w:rsidR="00B56301" w:rsidRPr="00364545" w14:paraId="6B50D7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B834BA8" w14:textId="28A541D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26FA4A8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0985B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5C910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35A76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648BD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55740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23863B7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7685B17" w14:textId="66DBA61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197B322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3F25B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96650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AF647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EADDA5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9CE19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3AE5C2D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FA4ECA5" w14:textId="137EAAE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G. 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251765A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DA3D7A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19480D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91FEF9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937E0E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FBCD93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29974C8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714E76" w14:textId="7D6F8EC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64DBC4D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E1BE4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F0855B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2DCCE72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28CDB53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6AEC3B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NO,NA</w:t>
            </w:r>
          </w:p>
        </w:tc>
      </w:tr>
      <w:tr w:rsidR="00B56301" w:rsidRPr="00364545" w14:paraId="7600968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2C5F9310" w14:textId="3BC6265D"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3. 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6999933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1645,82</w:t>
            </w:r>
          </w:p>
        </w:tc>
        <w:tc>
          <w:tcPr>
            <w:tcW w:w="991" w:type="dxa"/>
            <w:tcBorders>
              <w:top w:val="nil"/>
              <w:left w:val="nil"/>
              <w:bottom w:val="single" w:sz="4" w:space="0" w:color="auto"/>
              <w:right w:val="single" w:sz="4" w:space="0" w:color="auto"/>
            </w:tcBorders>
            <w:shd w:val="clear" w:color="000000" w:fill="CCFFFF"/>
            <w:noWrap/>
            <w:vAlign w:val="bottom"/>
            <w:hideMark/>
          </w:tcPr>
          <w:p w14:paraId="43B2A7D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1641,28</w:t>
            </w:r>
          </w:p>
        </w:tc>
        <w:tc>
          <w:tcPr>
            <w:tcW w:w="991" w:type="dxa"/>
            <w:tcBorders>
              <w:top w:val="nil"/>
              <w:left w:val="nil"/>
              <w:bottom w:val="single" w:sz="4" w:space="0" w:color="auto"/>
              <w:right w:val="single" w:sz="4" w:space="0" w:color="auto"/>
            </w:tcBorders>
            <w:shd w:val="clear" w:color="000000" w:fill="CCFFFF"/>
            <w:noWrap/>
            <w:vAlign w:val="bottom"/>
            <w:hideMark/>
          </w:tcPr>
          <w:p w14:paraId="37DD8F5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1634,11</w:t>
            </w:r>
          </w:p>
        </w:tc>
        <w:tc>
          <w:tcPr>
            <w:tcW w:w="991" w:type="dxa"/>
            <w:tcBorders>
              <w:top w:val="nil"/>
              <w:left w:val="nil"/>
              <w:bottom w:val="single" w:sz="4" w:space="0" w:color="auto"/>
              <w:right w:val="single" w:sz="4" w:space="0" w:color="auto"/>
            </w:tcBorders>
            <w:shd w:val="clear" w:color="000000" w:fill="CCFFFF"/>
            <w:noWrap/>
            <w:vAlign w:val="bottom"/>
            <w:hideMark/>
          </w:tcPr>
          <w:p w14:paraId="49CFD05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1623,79</w:t>
            </w:r>
          </w:p>
        </w:tc>
        <w:tc>
          <w:tcPr>
            <w:tcW w:w="991" w:type="dxa"/>
            <w:tcBorders>
              <w:top w:val="nil"/>
              <w:left w:val="nil"/>
              <w:bottom w:val="single" w:sz="4" w:space="0" w:color="auto"/>
              <w:right w:val="single" w:sz="4" w:space="0" w:color="auto"/>
            </w:tcBorders>
            <w:shd w:val="clear" w:color="000000" w:fill="CCFFFF"/>
            <w:noWrap/>
            <w:vAlign w:val="bottom"/>
            <w:hideMark/>
          </w:tcPr>
          <w:p w14:paraId="4478A97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1631,62</w:t>
            </w:r>
          </w:p>
        </w:tc>
        <w:tc>
          <w:tcPr>
            <w:tcW w:w="991" w:type="dxa"/>
            <w:tcBorders>
              <w:top w:val="nil"/>
              <w:left w:val="nil"/>
              <w:bottom w:val="single" w:sz="4" w:space="0" w:color="auto"/>
              <w:right w:val="single" w:sz="4" w:space="0" w:color="auto"/>
            </w:tcBorders>
            <w:shd w:val="clear" w:color="000000" w:fill="CCFFFF"/>
            <w:noWrap/>
            <w:vAlign w:val="bottom"/>
            <w:hideMark/>
          </w:tcPr>
          <w:p w14:paraId="640A30D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1687,88</w:t>
            </w:r>
          </w:p>
        </w:tc>
      </w:tr>
      <w:tr w:rsidR="00B56301" w:rsidRPr="00364545" w14:paraId="3402482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F9C6F06" w14:textId="3BBA9A2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7F5BFDE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1498,55</w:t>
            </w:r>
          </w:p>
        </w:tc>
        <w:tc>
          <w:tcPr>
            <w:tcW w:w="991" w:type="dxa"/>
            <w:tcBorders>
              <w:top w:val="nil"/>
              <w:left w:val="nil"/>
              <w:bottom w:val="single" w:sz="4" w:space="0" w:color="auto"/>
              <w:right w:val="single" w:sz="4" w:space="0" w:color="auto"/>
            </w:tcBorders>
            <w:shd w:val="clear" w:color="000000" w:fill="FFFFFF"/>
            <w:noWrap/>
            <w:vAlign w:val="bottom"/>
            <w:hideMark/>
          </w:tcPr>
          <w:p w14:paraId="0727DCF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1496,92</w:t>
            </w:r>
          </w:p>
        </w:tc>
        <w:tc>
          <w:tcPr>
            <w:tcW w:w="991" w:type="dxa"/>
            <w:tcBorders>
              <w:top w:val="nil"/>
              <w:left w:val="nil"/>
              <w:bottom w:val="single" w:sz="4" w:space="0" w:color="auto"/>
              <w:right w:val="single" w:sz="4" w:space="0" w:color="auto"/>
            </w:tcBorders>
            <w:shd w:val="clear" w:color="000000" w:fill="FFFFFF"/>
            <w:noWrap/>
            <w:vAlign w:val="bottom"/>
            <w:hideMark/>
          </w:tcPr>
          <w:p w14:paraId="1F5487A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1480,56</w:t>
            </w:r>
          </w:p>
        </w:tc>
        <w:tc>
          <w:tcPr>
            <w:tcW w:w="991" w:type="dxa"/>
            <w:tcBorders>
              <w:top w:val="nil"/>
              <w:left w:val="nil"/>
              <w:bottom w:val="single" w:sz="4" w:space="0" w:color="auto"/>
              <w:right w:val="single" w:sz="4" w:space="0" w:color="auto"/>
            </w:tcBorders>
            <w:shd w:val="clear" w:color="000000" w:fill="FFFFFF"/>
            <w:noWrap/>
            <w:vAlign w:val="bottom"/>
            <w:hideMark/>
          </w:tcPr>
          <w:p w14:paraId="08E4298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1471,44</w:t>
            </w:r>
          </w:p>
        </w:tc>
        <w:tc>
          <w:tcPr>
            <w:tcW w:w="991" w:type="dxa"/>
            <w:tcBorders>
              <w:top w:val="nil"/>
              <w:left w:val="nil"/>
              <w:bottom w:val="single" w:sz="4" w:space="0" w:color="auto"/>
              <w:right w:val="single" w:sz="4" w:space="0" w:color="auto"/>
            </w:tcBorders>
            <w:shd w:val="clear" w:color="000000" w:fill="FFFFFF"/>
            <w:noWrap/>
            <w:vAlign w:val="bottom"/>
            <w:hideMark/>
          </w:tcPr>
          <w:p w14:paraId="34199AB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1470,81</w:t>
            </w:r>
          </w:p>
        </w:tc>
        <w:tc>
          <w:tcPr>
            <w:tcW w:w="991" w:type="dxa"/>
            <w:tcBorders>
              <w:top w:val="nil"/>
              <w:left w:val="nil"/>
              <w:bottom w:val="single" w:sz="4" w:space="0" w:color="auto"/>
              <w:right w:val="single" w:sz="4" w:space="0" w:color="auto"/>
            </w:tcBorders>
            <w:shd w:val="clear" w:color="000000" w:fill="FFFFFF"/>
            <w:noWrap/>
            <w:vAlign w:val="bottom"/>
            <w:hideMark/>
          </w:tcPr>
          <w:p w14:paraId="5551890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1524,17</w:t>
            </w:r>
          </w:p>
        </w:tc>
      </w:tr>
      <w:tr w:rsidR="00B56301" w:rsidRPr="00364545" w14:paraId="56F0C0B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697CB80" w14:textId="00B9626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1866CF9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141,24</w:t>
            </w:r>
          </w:p>
        </w:tc>
        <w:tc>
          <w:tcPr>
            <w:tcW w:w="991" w:type="dxa"/>
            <w:tcBorders>
              <w:top w:val="nil"/>
              <w:left w:val="nil"/>
              <w:bottom w:val="single" w:sz="4" w:space="0" w:color="auto"/>
              <w:right w:val="single" w:sz="4" w:space="0" w:color="auto"/>
            </w:tcBorders>
            <w:shd w:val="clear" w:color="000000" w:fill="FFFFFF"/>
            <w:noWrap/>
            <w:vAlign w:val="bottom"/>
            <w:hideMark/>
          </w:tcPr>
          <w:p w14:paraId="3B36580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138,48</w:t>
            </w:r>
          </w:p>
        </w:tc>
        <w:tc>
          <w:tcPr>
            <w:tcW w:w="991" w:type="dxa"/>
            <w:tcBorders>
              <w:top w:val="nil"/>
              <w:left w:val="nil"/>
              <w:bottom w:val="single" w:sz="4" w:space="0" w:color="auto"/>
              <w:right w:val="single" w:sz="4" w:space="0" w:color="auto"/>
            </w:tcBorders>
            <w:shd w:val="clear" w:color="000000" w:fill="FFFFFF"/>
            <w:noWrap/>
            <w:vAlign w:val="bottom"/>
            <w:hideMark/>
          </w:tcPr>
          <w:p w14:paraId="2EDCCB2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147,79</w:t>
            </w:r>
          </w:p>
        </w:tc>
        <w:tc>
          <w:tcPr>
            <w:tcW w:w="991" w:type="dxa"/>
            <w:tcBorders>
              <w:top w:val="nil"/>
              <w:left w:val="nil"/>
              <w:bottom w:val="single" w:sz="4" w:space="0" w:color="auto"/>
              <w:right w:val="single" w:sz="4" w:space="0" w:color="auto"/>
            </w:tcBorders>
            <w:shd w:val="clear" w:color="000000" w:fill="FFFFFF"/>
            <w:noWrap/>
            <w:vAlign w:val="bottom"/>
            <w:hideMark/>
          </w:tcPr>
          <w:p w14:paraId="676A8E9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146,65</w:t>
            </w:r>
          </w:p>
        </w:tc>
        <w:tc>
          <w:tcPr>
            <w:tcW w:w="991" w:type="dxa"/>
            <w:tcBorders>
              <w:top w:val="nil"/>
              <w:left w:val="nil"/>
              <w:bottom w:val="single" w:sz="4" w:space="0" w:color="auto"/>
              <w:right w:val="single" w:sz="4" w:space="0" w:color="auto"/>
            </w:tcBorders>
            <w:shd w:val="clear" w:color="000000" w:fill="FFFFFF"/>
            <w:noWrap/>
            <w:vAlign w:val="bottom"/>
            <w:hideMark/>
          </w:tcPr>
          <w:p w14:paraId="7DED985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155,29</w:t>
            </w:r>
          </w:p>
        </w:tc>
        <w:tc>
          <w:tcPr>
            <w:tcW w:w="991" w:type="dxa"/>
            <w:tcBorders>
              <w:top w:val="nil"/>
              <w:left w:val="nil"/>
              <w:bottom w:val="single" w:sz="4" w:space="0" w:color="auto"/>
              <w:right w:val="single" w:sz="4" w:space="0" w:color="auto"/>
            </w:tcBorders>
            <w:shd w:val="clear" w:color="000000" w:fill="FFFFFF"/>
            <w:noWrap/>
            <w:vAlign w:val="bottom"/>
            <w:hideMark/>
          </w:tcPr>
          <w:p w14:paraId="1EF9244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157,96</w:t>
            </w:r>
          </w:p>
        </w:tc>
      </w:tr>
      <w:tr w:rsidR="00B56301" w:rsidRPr="00364545" w14:paraId="22D9A9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1EAE15" w14:textId="6300C9C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4D0947E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3,30</w:t>
            </w:r>
          </w:p>
        </w:tc>
        <w:tc>
          <w:tcPr>
            <w:tcW w:w="991" w:type="dxa"/>
            <w:tcBorders>
              <w:top w:val="nil"/>
              <w:left w:val="nil"/>
              <w:bottom w:val="single" w:sz="4" w:space="0" w:color="auto"/>
              <w:right w:val="single" w:sz="4" w:space="0" w:color="auto"/>
            </w:tcBorders>
            <w:shd w:val="clear" w:color="000000" w:fill="FFFFFF"/>
            <w:noWrap/>
            <w:vAlign w:val="bottom"/>
            <w:hideMark/>
          </w:tcPr>
          <w:p w14:paraId="78182E8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2,99</w:t>
            </w:r>
          </w:p>
        </w:tc>
        <w:tc>
          <w:tcPr>
            <w:tcW w:w="991" w:type="dxa"/>
            <w:tcBorders>
              <w:top w:val="nil"/>
              <w:left w:val="nil"/>
              <w:bottom w:val="single" w:sz="4" w:space="0" w:color="auto"/>
              <w:right w:val="single" w:sz="4" w:space="0" w:color="auto"/>
            </w:tcBorders>
            <w:shd w:val="clear" w:color="000000" w:fill="FFFFFF"/>
            <w:noWrap/>
            <w:vAlign w:val="bottom"/>
            <w:hideMark/>
          </w:tcPr>
          <w:p w14:paraId="52BDC11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2,88</w:t>
            </w:r>
          </w:p>
        </w:tc>
        <w:tc>
          <w:tcPr>
            <w:tcW w:w="991" w:type="dxa"/>
            <w:tcBorders>
              <w:top w:val="nil"/>
              <w:left w:val="nil"/>
              <w:bottom w:val="single" w:sz="4" w:space="0" w:color="auto"/>
              <w:right w:val="single" w:sz="4" w:space="0" w:color="auto"/>
            </w:tcBorders>
            <w:shd w:val="clear" w:color="000000" w:fill="FFFFFF"/>
            <w:noWrap/>
            <w:vAlign w:val="bottom"/>
            <w:hideMark/>
          </w:tcPr>
          <w:p w14:paraId="54A482B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2,70</w:t>
            </w:r>
          </w:p>
        </w:tc>
        <w:tc>
          <w:tcPr>
            <w:tcW w:w="991" w:type="dxa"/>
            <w:tcBorders>
              <w:top w:val="nil"/>
              <w:left w:val="nil"/>
              <w:bottom w:val="single" w:sz="4" w:space="0" w:color="auto"/>
              <w:right w:val="single" w:sz="4" w:space="0" w:color="auto"/>
            </w:tcBorders>
            <w:shd w:val="clear" w:color="000000" w:fill="FFFFFF"/>
            <w:noWrap/>
            <w:vAlign w:val="bottom"/>
            <w:hideMark/>
          </w:tcPr>
          <w:p w14:paraId="463782A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2,58</w:t>
            </w:r>
          </w:p>
        </w:tc>
        <w:tc>
          <w:tcPr>
            <w:tcW w:w="991" w:type="dxa"/>
            <w:tcBorders>
              <w:top w:val="nil"/>
              <w:left w:val="nil"/>
              <w:bottom w:val="single" w:sz="4" w:space="0" w:color="auto"/>
              <w:right w:val="single" w:sz="4" w:space="0" w:color="auto"/>
            </w:tcBorders>
            <w:shd w:val="clear" w:color="000000" w:fill="FFFFFF"/>
            <w:noWrap/>
            <w:vAlign w:val="bottom"/>
            <w:hideMark/>
          </w:tcPr>
          <w:p w14:paraId="5A9BB77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2,80</w:t>
            </w:r>
          </w:p>
        </w:tc>
      </w:tr>
      <w:tr w:rsidR="00B56301" w:rsidRPr="00364545" w14:paraId="7009B13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356837E" w14:textId="3049D89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78FF241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F18130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99E751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EFFD2B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742C57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79F298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0F28C6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E10850" w14:textId="1C081E56"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5A08C3D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D4E2D0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B23480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38F1B7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1EA0A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60594C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7A0F9A6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621E2C" w14:textId="7E80832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112C4A9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2,72</w:t>
            </w:r>
          </w:p>
        </w:tc>
        <w:tc>
          <w:tcPr>
            <w:tcW w:w="991" w:type="dxa"/>
            <w:tcBorders>
              <w:top w:val="nil"/>
              <w:left w:val="nil"/>
              <w:bottom w:val="single" w:sz="4" w:space="0" w:color="auto"/>
              <w:right w:val="single" w:sz="4" w:space="0" w:color="auto"/>
            </w:tcBorders>
            <w:shd w:val="clear" w:color="000000" w:fill="FFFFFF"/>
            <w:noWrap/>
            <w:vAlign w:val="bottom"/>
            <w:hideMark/>
          </w:tcPr>
          <w:p w14:paraId="6B35423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2,89</w:t>
            </w:r>
          </w:p>
        </w:tc>
        <w:tc>
          <w:tcPr>
            <w:tcW w:w="991" w:type="dxa"/>
            <w:tcBorders>
              <w:top w:val="nil"/>
              <w:left w:val="nil"/>
              <w:bottom w:val="single" w:sz="4" w:space="0" w:color="auto"/>
              <w:right w:val="single" w:sz="4" w:space="0" w:color="auto"/>
            </w:tcBorders>
            <w:shd w:val="clear" w:color="000000" w:fill="FFFFFF"/>
            <w:noWrap/>
            <w:vAlign w:val="bottom"/>
            <w:hideMark/>
          </w:tcPr>
          <w:p w14:paraId="753A11E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2,87</w:t>
            </w:r>
          </w:p>
        </w:tc>
        <w:tc>
          <w:tcPr>
            <w:tcW w:w="991" w:type="dxa"/>
            <w:tcBorders>
              <w:top w:val="nil"/>
              <w:left w:val="nil"/>
              <w:bottom w:val="single" w:sz="4" w:space="0" w:color="auto"/>
              <w:right w:val="single" w:sz="4" w:space="0" w:color="auto"/>
            </w:tcBorders>
            <w:shd w:val="clear" w:color="000000" w:fill="FFFFFF"/>
            <w:noWrap/>
            <w:vAlign w:val="bottom"/>
            <w:hideMark/>
          </w:tcPr>
          <w:p w14:paraId="4FCD56D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3,00</w:t>
            </w:r>
          </w:p>
        </w:tc>
        <w:tc>
          <w:tcPr>
            <w:tcW w:w="991" w:type="dxa"/>
            <w:tcBorders>
              <w:top w:val="nil"/>
              <w:left w:val="nil"/>
              <w:bottom w:val="single" w:sz="4" w:space="0" w:color="auto"/>
              <w:right w:val="single" w:sz="4" w:space="0" w:color="auto"/>
            </w:tcBorders>
            <w:shd w:val="clear" w:color="000000" w:fill="FFFFFF"/>
            <w:noWrap/>
            <w:vAlign w:val="bottom"/>
            <w:hideMark/>
          </w:tcPr>
          <w:p w14:paraId="1388FEB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2,93</w:t>
            </w:r>
          </w:p>
        </w:tc>
        <w:tc>
          <w:tcPr>
            <w:tcW w:w="991" w:type="dxa"/>
            <w:tcBorders>
              <w:top w:val="nil"/>
              <w:left w:val="nil"/>
              <w:bottom w:val="single" w:sz="4" w:space="0" w:color="auto"/>
              <w:right w:val="single" w:sz="4" w:space="0" w:color="auto"/>
            </w:tcBorders>
            <w:shd w:val="clear" w:color="000000" w:fill="FFFFFF"/>
            <w:noWrap/>
            <w:vAlign w:val="bottom"/>
            <w:hideMark/>
          </w:tcPr>
          <w:p w14:paraId="09A0D4C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2,95</w:t>
            </w:r>
          </w:p>
        </w:tc>
      </w:tr>
      <w:tr w:rsidR="00B56301" w:rsidRPr="00364545" w14:paraId="173031B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3A33F87" w14:textId="2334A56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Liming</w:t>
            </w:r>
          </w:p>
        </w:tc>
        <w:tc>
          <w:tcPr>
            <w:tcW w:w="991" w:type="dxa"/>
            <w:tcBorders>
              <w:top w:val="nil"/>
              <w:left w:val="nil"/>
              <w:bottom w:val="single" w:sz="4" w:space="0" w:color="auto"/>
              <w:right w:val="single" w:sz="4" w:space="0" w:color="auto"/>
            </w:tcBorders>
            <w:shd w:val="clear" w:color="000000" w:fill="969696"/>
            <w:noWrap/>
            <w:vAlign w:val="bottom"/>
            <w:hideMark/>
          </w:tcPr>
          <w:p w14:paraId="68C8FD4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A9617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0CCF7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7F319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9F3A3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8A06B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2D5D794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EFE970" w14:textId="35B9E3F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H. 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44DB2AC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04096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0E88AD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23CB6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3DF73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041F4E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3F126A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60211D2" w14:textId="376A5CA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I. 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4872A99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E1BD7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2F028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280F62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6FC21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7574E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7F5BA63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07F48C3" w14:textId="067082A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J. Other </w:t>
            </w:r>
          </w:p>
        </w:tc>
        <w:tc>
          <w:tcPr>
            <w:tcW w:w="991" w:type="dxa"/>
            <w:tcBorders>
              <w:top w:val="nil"/>
              <w:left w:val="nil"/>
              <w:bottom w:val="single" w:sz="4" w:space="0" w:color="auto"/>
              <w:right w:val="single" w:sz="4" w:space="0" w:color="auto"/>
            </w:tcBorders>
            <w:shd w:val="clear" w:color="000000" w:fill="FFFFFF"/>
            <w:noWrap/>
            <w:vAlign w:val="bottom"/>
            <w:hideMark/>
          </w:tcPr>
          <w:p w14:paraId="6E173E9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CC8702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08397F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3695B4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BDFCBB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97531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5CBCB64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7A049EC3"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1E4B98C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146,80</w:t>
            </w:r>
          </w:p>
        </w:tc>
        <w:tc>
          <w:tcPr>
            <w:tcW w:w="991" w:type="dxa"/>
            <w:tcBorders>
              <w:top w:val="nil"/>
              <w:left w:val="nil"/>
              <w:bottom w:val="single" w:sz="4" w:space="0" w:color="auto"/>
              <w:right w:val="single" w:sz="4" w:space="0" w:color="auto"/>
            </w:tcBorders>
            <w:shd w:val="clear" w:color="000000" w:fill="CCFFFF"/>
            <w:noWrap/>
            <w:vAlign w:val="bottom"/>
            <w:hideMark/>
          </w:tcPr>
          <w:p w14:paraId="552FC59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116,96</w:t>
            </w:r>
          </w:p>
        </w:tc>
        <w:tc>
          <w:tcPr>
            <w:tcW w:w="991" w:type="dxa"/>
            <w:tcBorders>
              <w:top w:val="nil"/>
              <w:left w:val="nil"/>
              <w:bottom w:val="single" w:sz="4" w:space="0" w:color="auto"/>
              <w:right w:val="single" w:sz="4" w:space="0" w:color="auto"/>
            </w:tcBorders>
            <w:shd w:val="clear" w:color="000000" w:fill="CCFFFF"/>
            <w:noWrap/>
            <w:vAlign w:val="bottom"/>
            <w:hideMark/>
          </w:tcPr>
          <w:p w14:paraId="24BCAC9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97,98</w:t>
            </w:r>
          </w:p>
        </w:tc>
        <w:tc>
          <w:tcPr>
            <w:tcW w:w="991" w:type="dxa"/>
            <w:tcBorders>
              <w:top w:val="nil"/>
              <w:left w:val="nil"/>
              <w:bottom w:val="single" w:sz="4" w:space="0" w:color="auto"/>
              <w:right w:val="single" w:sz="4" w:space="0" w:color="auto"/>
            </w:tcBorders>
            <w:shd w:val="clear" w:color="000000" w:fill="CCFFFF"/>
            <w:noWrap/>
            <w:vAlign w:val="bottom"/>
            <w:hideMark/>
          </w:tcPr>
          <w:p w14:paraId="753507A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83,35</w:t>
            </w:r>
          </w:p>
        </w:tc>
        <w:tc>
          <w:tcPr>
            <w:tcW w:w="991" w:type="dxa"/>
            <w:tcBorders>
              <w:top w:val="nil"/>
              <w:left w:val="nil"/>
              <w:bottom w:val="single" w:sz="4" w:space="0" w:color="auto"/>
              <w:right w:val="single" w:sz="4" w:space="0" w:color="auto"/>
            </w:tcBorders>
            <w:shd w:val="clear" w:color="000000" w:fill="CCFFFF"/>
            <w:noWrap/>
            <w:vAlign w:val="bottom"/>
            <w:hideMark/>
          </w:tcPr>
          <w:p w14:paraId="0E7438E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72,41</w:t>
            </w:r>
          </w:p>
        </w:tc>
        <w:tc>
          <w:tcPr>
            <w:tcW w:w="991" w:type="dxa"/>
            <w:tcBorders>
              <w:top w:val="nil"/>
              <w:left w:val="nil"/>
              <w:bottom w:val="single" w:sz="4" w:space="0" w:color="auto"/>
              <w:right w:val="single" w:sz="4" w:space="0" w:color="auto"/>
            </w:tcBorders>
            <w:shd w:val="clear" w:color="000000" w:fill="CCFFFF"/>
            <w:noWrap/>
            <w:vAlign w:val="bottom"/>
            <w:hideMark/>
          </w:tcPr>
          <w:p w14:paraId="1BB7296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67,71</w:t>
            </w:r>
          </w:p>
        </w:tc>
      </w:tr>
      <w:tr w:rsidR="00B56301" w:rsidRPr="00364545" w14:paraId="54FEC6F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EA8A0EC" w14:textId="2551054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3632584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26,25</w:t>
            </w:r>
          </w:p>
        </w:tc>
        <w:tc>
          <w:tcPr>
            <w:tcW w:w="991" w:type="dxa"/>
            <w:tcBorders>
              <w:top w:val="nil"/>
              <w:left w:val="nil"/>
              <w:bottom w:val="single" w:sz="4" w:space="0" w:color="auto"/>
              <w:right w:val="single" w:sz="4" w:space="0" w:color="auto"/>
            </w:tcBorders>
            <w:shd w:val="clear" w:color="000000" w:fill="FFFFFF"/>
            <w:noWrap/>
            <w:vAlign w:val="bottom"/>
            <w:hideMark/>
          </w:tcPr>
          <w:p w14:paraId="447052E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24,23</w:t>
            </w:r>
          </w:p>
        </w:tc>
        <w:tc>
          <w:tcPr>
            <w:tcW w:w="991" w:type="dxa"/>
            <w:tcBorders>
              <w:top w:val="nil"/>
              <w:left w:val="nil"/>
              <w:bottom w:val="single" w:sz="4" w:space="0" w:color="auto"/>
              <w:right w:val="single" w:sz="4" w:space="0" w:color="auto"/>
            </w:tcBorders>
            <w:shd w:val="clear" w:color="000000" w:fill="FFFFFF"/>
            <w:noWrap/>
            <w:vAlign w:val="bottom"/>
            <w:hideMark/>
          </w:tcPr>
          <w:p w14:paraId="24298F4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25,26</w:t>
            </w:r>
          </w:p>
        </w:tc>
        <w:tc>
          <w:tcPr>
            <w:tcW w:w="991" w:type="dxa"/>
            <w:tcBorders>
              <w:top w:val="nil"/>
              <w:left w:val="nil"/>
              <w:bottom w:val="single" w:sz="4" w:space="0" w:color="auto"/>
              <w:right w:val="single" w:sz="4" w:space="0" w:color="auto"/>
            </w:tcBorders>
            <w:shd w:val="clear" w:color="000000" w:fill="FFFFFF"/>
            <w:noWrap/>
            <w:vAlign w:val="bottom"/>
            <w:hideMark/>
          </w:tcPr>
          <w:p w14:paraId="696B9B4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25,41</w:t>
            </w:r>
          </w:p>
        </w:tc>
        <w:tc>
          <w:tcPr>
            <w:tcW w:w="991" w:type="dxa"/>
            <w:tcBorders>
              <w:top w:val="nil"/>
              <w:left w:val="nil"/>
              <w:bottom w:val="single" w:sz="4" w:space="0" w:color="auto"/>
              <w:right w:val="single" w:sz="4" w:space="0" w:color="auto"/>
            </w:tcBorders>
            <w:shd w:val="clear" w:color="000000" w:fill="FFFFFF"/>
            <w:noWrap/>
            <w:vAlign w:val="bottom"/>
            <w:hideMark/>
          </w:tcPr>
          <w:p w14:paraId="6031850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24,02</w:t>
            </w:r>
          </w:p>
        </w:tc>
        <w:tc>
          <w:tcPr>
            <w:tcW w:w="991" w:type="dxa"/>
            <w:tcBorders>
              <w:top w:val="nil"/>
              <w:left w:val="nil"/>
              <w:bottom w:val="single" w:sz="4" w:space="0" w:color="auto"/>
              <w:right w:val="single" w:sz="4" w:space="0" w:color="auto"/>
            </w:tcBorders>
            <w:shd w:val="clear" w:color="000000" w:fill="FFFFFF"/>
            <w:noWrap/>
            <w:vAlign w:val="bottom"/>
            <w:hideMark/>
          </w:tcPr>
          <w:p w14:paraId="66C9564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28,97</w:t>
            </w:r>
          </w:p>
        </w:tc>
      </w:tr>
      <w:tr w:rsidR="00B56301" w:rsidRPr="00364545" w14:paraId="504C43C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24CDC6" w14:textId="3045438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17F6F40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4,85</w:t>
            </w:r>
          </w:p>
        </w:tc>
        <w:tc>
          <w:tcPr>
            <w:tcW w:w="991" w:type="dxa"/>
            <w:tcBorders>
              <w:top w:val="nil"/>
              <w:left w:val="nil"/>
              <w:bottom w:val="single" w:sz="4" w:space="0" w:color="auto"/>
              <w:right w:val="single" w:sz="4" w:space="0" w:color="auto"/>
            </w:tcBorders>
            <w:shd w:val="clear" w:color="000000" w:fill="FFFFFF"/>
            <w:noWrap/>
            <w:vAlign w:val="bottom"/>
            <w:hideMark/>
          </w:tcPr>
          <w:p w14:paraId="77FD8FB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4,99</w:t>
            </w:r>
          </w:p>
        </w:tc>
        <w:tc>
          <w:tcPr>
            <w:tcW w:w="991" w:type="dxa"/>
            <w:tcBorders>
              <w:top w:val="nil"/>
              <w:left w:val="nil"/>
              <w:bottom w:val="single" w:sz="4" w:space="0" w:color="auto"/>
              <w:right w:val="single" w:sz="4" w:space="0" w:color="auto"/>
            </w:tcBorders>
            <w:shd w:val="clear" w:color="000000" w:fill="FFFFFF"/>
            <w:noWrap/>
            <w:vAlign w:val="bottom"/>
            <w:hideMark/>
          </w:tcPr>
          <w:p w14:paraId="557FE02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4,80</w:t>
            </w:r>
          </w:p>
        </w:tc>
        <w:tc>
          <w:tcPr>
            <w:tcW w:w="991" w:type="dxa"/>
            <w:tcBorders>
              <w:top w:val="nil"/>
              <w:left w:val="nil"/>
              <w:bottom w:val="single" w:sz="4" w:space="0" w:color="auto"/>
              <w:right w:val="single" w:sz="4" w:space="0" w:color="auto"/>
            </w:tcBorders>
            <w:shd w:val="clear" w:color="000000" w:fill="FFFFFF"/>
            <w:noWrap/>
            <w:vAlign w:val="bottom"/>
            <w:hideMark/>
          </w:tcPr>
          <w:p w14:paraId="25C8509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4,85</w:t>
            </w:r>
          </w:p>
        </w:tc>
        <w:tc>
          <w:tcPr>
            <w:tcW w:w="991" w:type="dxa"/>
            <w:tcBorders>
              <w:top w:val="nil"/>
              <w:left w:val="nil"/>
              <w:bottom w:val="single" w:sz="4" w:space="0" w:color="auto"/>
              <w:right w:val="single" w:sz="4" w:space="0" w:color="auto"/>
            </w:tcBorders>
            <w:shd w:val="clear" w:color="000000" w:fill="FFFFFF"/>
            <w:noWrap/>
            <w:vAlign w:val="bottom"/>
            <w:hideMark/>
          </w:tcPr>
          <w:p w14:paraId="10C9028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4,88</w:t>
            </w:r>
          </w:p>
        </w:tc>
        <w:tc>
          <w:tcPr>
            <w:tcW w:w="991" w:type="dxa"/>
            <w:tcBorders>
              <w:top w:val="nil"/>
              <w:left w:val="nil"/>
              <w:bottom w:val="single" w:sz="4" w:space="0" w:color="auto"/>
              <w:right w:val="single" w:sz="4" w:space="0" w:color="auto"/>
            </w:tcBorders>
            <w:shd w:val="clear" w:color="000000" w:fill="FFFFFF"/>
            <w:noWrap/>
            <w:vAlign w:val="bottom"/>
            <w:hideMark/>
          </w:tcPr>
          <w:p w14:paraId="0A71F18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4,29</w:t>
            </w:r>
          </w:p>
        </w:tc>
      </w:tr>
      <w:tr w:rsidR="00B56301" w:rsidRPr="00364545" w14:paraId="7A3A7E8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8D1F54E" w14:textId="6C3B47E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49BC5F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5,71</w:t>
            </w:r>
          </w:p>
        </w:tc>
        <w:tc>
          <w:tcPr>
            <w:tcW w:w="991" w:type="dxa"/>
            <w:tcBorders>
              <w:top w:val="nil"/>
              <w:left w:val="nil"/>
              <w:bottom w:val="single" w:sz="4" w:space="0" w:color="auto"/>
              <w:right w:val="single" w:sz="4" w:space="0" w:color="auto"/>
            </w:tcBorders>
            <w:shd w:val="clear" w:color="000000" w:fill="FFFFFF"/>
            <w:noWrap/>
            <w:vAlign w:val="bottom"/>
            <w:hideMark/>
          </w:tcPr>
          <w:p w14:paraId="5A96FB3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5,91</w:t>
            </w:r>
          </w:p>
        </w:tc>
        <w:tc>
          <w:tcPr>
            <w:tcW w:w="991" w:type="dxa"/>
            <w:tcBorders>
              <w:top w:val="nil"/>
              <w:left w:val="nil"/>
              <w:bottom w:val="single" w:sz="4" w:space="0" w:color="auto"/>
              <w:right w:val="single" w:sz="4" w:space="0" w:color="auto"/>
            </w:tcBorders>
            <w:shd w:val="clear" w:color="000000" w:fill="FFFFFF"/>
            <w:noWrap/>
            <w:vAlign w:val="bottom"/>
            <w:hideMark/>
          </w:tcPr>
          <w:p w14:paraId="6D2F6A9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5,87</w:t>
            </w:r>
          </w:p>
        </w:tc>
        <w:tc>
          <w:tcPr>
            <w:tcW w:w="991" w:type="dxa"/>
            <w:tcBorders>
              <w:top w:val="nil"/>
              <w:left w:val="nil"/>
              <w:bottom w:val="single" w:sz="4" w:space="0" w:color="auto"/>
              <w:right w:val="single" w:sz="4" w:space="0" w:color="auto"/>
            </w:tcBorders>
            <w:shd w:val="clear" w:color="000000" w:fill="FFFFFF"/>
            <w:noWrap/>
            <w:vAlign w:val="bottom"/>
            <w:hideMark/>
          </w:tcPr>
          <w:p w14:paraId="4F19940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5,66</w:t>
            </w:r>
          </w:p>
        </w:tc>
        <w:tc>
          <w:tcPr>
            <w:tcW w:w="991" w:type="dxa"/>
            <w:tcBorders>
              <w:top w:val="nil"/>
              <w:left w:val="nil"/>
              <w:bottom w:val="single" w:sz="4" w:space="0" w:color="auto"/>
              <w:right w:val="single" w:sz="4" w:space="0" w:color="auto"/>
            </w:tcBorders>
            <w:shd w:val="clear" w:color="000000" w:fill="FFFFFF"/>
            <w:noWrap/>
            <w:vAlign w:val="bottom"/>
            <w:hideMark/>
          </w:tcPr>
          <w:p w14:paraId="2351852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5,84</w:t>
            </w:r>
          </w:p>
        </w:tc>
        <w:tc>
          <w:tcPr>
            <w:tcW w:w="991" w:type="dxa"/>
            <w:tcBorders>
              <w:top w:val="nil"/>
              <w:left w:val="nil"/>
              <w:bottom w:val="single" w:sz="4" w:space="0" w:color="auto"/>
              <w:right w:val="single" w:sz="4" w:space="0" w:color="auto"/>
            </w:tcBorders>
            <w:shd w:val="clear" w:color="000000" w:fill="FFFFFF"/>
            <w:noWrap/>
            <w:vAlign w:val="bottom"/>
            <w:hideMark/>
          </w:tcPr>
          <w:p w14:paraId="096EC9A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5,00</w:t>
            </w:r>
          </w:p>
        </w:tc>
      </w:tr>
      <w:tr w:rsidR="00B56301" w:rsidRPr="00364545" w14:paraId="44536CF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15EF98" w14:textId="3941A6C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3195642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4B30D08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0,29</w:t>
            </w:r>
          </w:p>
        </w:tc>
        <w:tc>
          <w:tcPr>
            <w:tcW w:w="991" w:type="dxa"/>
            <w:tcBorders>
              <w:top w:val="nil"/>
              <w:left w:val="nil"/>
              <w:bottom w:val="single" w:sz="4" w:space="0" w:color="auto"/>
              <w:right w:val="single" w:sz="4" w:space="0" w:color="auto"/>
            </w:tcBorders>
            <w:shd w:val="clear" w:color="000000" w:fill="FFFFFF"/>
            <w:noWrap/>
            <w:vAlign w:val="bottom"/>
            <w:hideMark/>
          </w:tcPr>
          <w:p w14:paraId="2ABD0ED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0,31</w:t>
            </w:r>
          </w:p>
        </w:tc>
        <w:tc>
          <w:tcPr>
            <w:tcW w:w="991" w:type="dxa"/>
            <w:tcBorders>
              <w:top w:val="nil"/>
              <w:left w:val="nil"/>
              <w:bottom w:val="single" w:sz="4" w:space="0" w:color="auto"/>
              <w:right w:val="single" w:sz="4" w:space="0" w:color="auto"/>
            </w:tcBorders>
            <w:shd w:val="clear" w:color="000000" w:fill="FFFFFF"/>
            <w:noWrap/>
            <w:vAlign w:val="bottom"/>
            <w:hideMark/>
          </w:tcPr>
          <w:p w14:paraId="31EECCE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3137BDB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0,26</w:t>
            </w:r>
          </w:p>
        </w:tc>
        <w:tc>
          <w:tcPr>
            <w:tcW w:w="991" w:type="dxa"/>
            <w:tcBorders>
              <w:top w:val="nil"/>
              <w:left w:val="nil"/>
              <w:bottom w:val="single" w:sz="4" w:space="0" w:color="auto"/>
              <w:right w:val="single" w:sz="4" w:space="0" w:color="auto"/>
            </w:tcBorders>
            <w:shd w:val="clear" w:color="000000" w:fill="FFFFFF"/>
            <w:noWrap/>
            <w:vAlign w:val="bottom"/>
            <w:hideMark/>
          </w:tcPr>
          <w:p w14:paraId="427602B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0,21</w:t>
            </w:r>
          </w:p>
        </w:tc>
      </w:tr>
      <w:tr w:rsidR="00B56301" w:rsidRPr="00364545" w14:paraId="7732BEF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F881FF0" w14:textId="26A72B7B"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E. 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343E1CB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1,87</w:t>
            </w:r>
          </w:p>
        </w:tc>
        <w:tc>
          <w:tcPr>
            <w:tcW w:w="991" w:type="dxa"/>
            <w:tcBorders>
              <w:top w:val="nil"/>
              <w:left w:val="nil"/>
              <w:bottom w:val="single" w:sz="4" w:space="0" w:color="auto"/>
              <w:right w:val="single" w:sz="4" w:space="0" w:color="auto"/>
            </w:tcBorders>
            <w:shd w:val="clear" w:color="000000" w:fill="FFFFFF"/>
            <w:noWrap/>
            <w:vAlign w:val="bottom"/>
            <w:hideMark/>
          </w:tcPr>
          <w:p w14:paraId="4DE0933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1,74</w:t>
            </w:r>
          </w:p>
        </w:tc>
        <w:tc>
          <w:tcPr>
            <w:tcW w:w="991" w:type="dxa"/>
            <w:tcBorders>
              <w:top w:val="nil"/>
              <w:left w:val="nil"/>
              <w:bottom w:val="single" w:sz="4" w:space="0" w:color="auto"/>
              <w:right w:val="single" w:sz="4" w:space="0" w:color="auto"/>
            </w:tcBorders>
            <w:shd w:val="clear" w:color="000000" w:fill="FFFFFF"/>
            <w:noWrap/>
            <w:vAlign w:val="bottom"/>
            <w:hideMark/>
          </w:tcPr>
          <w:p w14:paraId="3B7C6CB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2,07</w:t>
            </w:r>
          </w:p>
        </w:tc>
        <w:tc>
          <w:tcPr>
            <w:tcW w:w="991" w:type="dxa"/>
            <w:tcBorders>
              <w:top w:val="nil"/>
              <w:left w:val="nil"/>
              <w:bottom w:val="single" w:sz="4" w:space="0" w:color="auto"/>
              <w:right w:val="single" w:sz="4" w:space="0" w:color="auto"/>
            </w:tcBorders>
            <w:shd w:val="clear" w:color="000000" w:fill="FFFFFF"/>
            <w:noWrap/>
            <w:vAlign w:val="bottom"/>
            <w:hideMark/>
          </w:tcPr>
          <w:p w14:paraId="2F626F4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1,97</w:t>
            </w:r>
          </w:p>
        </w:tc>
        <w:tc>
          <w:tcPr>
            <w:tcW w:w="991" w:type="dxa"/>
            <w:tcBorders>
              <w:top w:val="nil"/>
              <w:left w:val="nil"/>
              <w:bottom w:val="single" w:sz="4" w:space="0" w:color="auto"/>
              <w:right w:val="single" w:sz="4" w:space="0" w:color="auto"/>
            </w:tcBorders>
            <w:shd w:val="clear" w:color="000000" w:fill="FFFFFF"/>
            <w:noWrap/>
            <w:vAlign w:val="bottom"/>
            <w:hideMark/>
          </w:tcPr>
          <w:p w14:paraId="6E53103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2,52</w:t>
            </w:r>
          </w:p>
        </w:tc>
        <w:tc>
          <w:tcPr>
            <w:tcW w:w="991" w:type="dxa"/>
            <w:tcBorders>
              <w:top w:val="nil"/>
              <w:left w:val="nil"/>
              <w:bottom w:val="single" w:sz="4" w:space="0" w:color="auto"/>
              <w:right w:val="single" w:sz="4" w:space="0" w:color="auto"/>
            </w:tcBorders>
            <w:shd w:val="clear" w:color="000000" w:fill="FFFFFF"/>
            <w:noWrap/>
            <w:vAlign w:val="bottom"/>
            <w:hideMark/>
          </w:tcPr>
          <w:p w14:paraId="03A1F4A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1,77</w:t>
            </w:r>
          </w:p>
        </w:tc>
      </w:tr>
      <w:tr w:rsidR="00B56301" w:rsidRPr="00364545" w14:paraId="0E725A5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0D615CC" w14:textId="763BE0B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600F394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3164B7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959DDC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79F364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1F200B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C12F5F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0659951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FFDCF8" w14:textId="72283D1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19CD067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7EAE9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FBE39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57F04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AA93E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F8441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3C9BB4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B8EEDE" w14:textId="6924A5A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12B082E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107,90</w:t>
            </w:r>
          </w:p>
        </w:tc>
        <w:tc>
          <w:tcPr>
            <w:tcW w:w="991" w:type="dxa"/>
            <w:tcBorders>
              <w:top w:val="nil"/>
              <w:left w:val="nil"/>
              <w:bottom w:val="single" w:sz="4" w:space="0" w:color="auto"/>
              <w:right w:val="single" w:sz="4" w:space="0" w:color="auto"/>
            </w:tcBorders>
            <w:shd w:val="clear" w:color="000000" w:fill="FFFFFF"/>
            <w:noWrap/>
            <w:vAlign w:val="bottom"/>
            <w:hideMark/>
          </w:tcPr>
          <w:p w14:paraId="1899CF7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79,81</w:t>
            </w:r>
          </w:p>
        </w:tc>
        <w:tc>
          <w:tcPr>
            <w:tcW w:w="991" w:type="dxa"/>
            <w:tcBorders>
              <w:top w:val="nil"/>
              <w:left w:val="nil"/>
              <w:bottom w:val="single" w:sz="4" w:space="0" w:color="auto"/>
              <w:right w:val="single" w:sz="4" w:space="0" w:color="auto"/>
            </w:tcBorders>
            <w:shd w:val="clear" w:color="000000" w:fill="FFFFFF"/>
            <w:noWrap/>
            <w:vAlign w:val="bottom"/>
            <w:hideMark/>
          </w:tcPr>
          <w:p w14:paraId="5FB937B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59,67</w:t>
            </w:r>
          </w:p>
        </w:tc>
        <w:tc>
          <w:tcPr>
            <w:tcW w:w="991" w:type="dxa"/>
            <w:tcBorders>
              <w:top w:val="nil"/>
              <w:left w:val="nil"/>
              <w:bottom w:val="single" w:sz="4" w:space="0" w:color="auto"/>
              <w:right w:val="single" w:sz="4" w:space="0" w:color="auto"/>
            </w:tcBorders>
            <w:shd w:val="clear" w:color="000000" w:fill="FFFFFF"/>
            <w:noWrap/>
            <w:vAlign w:val="bottom"/>
            <w:hideMark/>
          </w:tcPr>
          <w:p w14:paraId="5F9B2A6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45,23</w:t>
            </w:r>
          </w:p>
        </w:tc>
        <w:tc>
          <w:tcPr>
            <w:tcW w:w="991" w:type="dxa"/>
            <w:tcBorders>
              <w:top w:val="nil"/>
              <w:left w:val="nil"/>
              <w:bottom w:val="single" w:sz="4" w:space="0" w:color="auto"/>
              <w:right w:val="single" w:sz="4" w:space="0" w:color="auto"/>
            </w:tcBorders>
            <w:shd w:val="clear" w:color="000000" w:fill="FFFFFF"/>
            <w:noWrap/>
            <w:vAlign w:val="bottom"/>
            <w:hideMark/>
          </w:tcPr>
          <w:p w14:paraId="5EB6200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34,89</w:t>
            </w:r>
          </w:p>
        </w:tc>
        <w:tc>
          <w:tcPr>
            <w:tcW w:w="991" w:type="dxa"/>
            <w:tcBorders>
              <w:top w:val="nil"/>
              <w:left w:val="nil"/>
              <w:bottom w:val="single" w:sz="4" w:space="0" w:color="auto"/>
              <w:right w:val="single" w:sz="4" w:space="0" w:color="auto"/>
            </w:tcBorders>
            <w:shd w:val="clear" w:color="000000" w:fill="FFFFFF"/>
            <w:noWrap/>
            <w:vAlign w:val="bottom"/>
            <w:hideMark/>
          </w:tcPr>
          <w:p w14:paraId="0BF7CDB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27,47</w:t>
            </w:r>
          </w:p>
        </w:tc>
      </w:tr>
      <w:tr w:rsidR="00B56301" w:rsidRPr="00364545" w14:paraId="38DB871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C5B31BB" w14:textId="3DF45DD9"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5. Waste</w:t>
            </w:r>
          </w:p>
        </w:tc>
        <w:tc>
          <w:tcPr>
            <w:tcW w:w="991" w:type="dxa"/>
            <w:tcBorders>
              <w:top w:val="nil"/>
              <w:left w:val="nil"/>
              <w:bottom w:val="single" w:sz="4" w:space="0" w:color="auto"/>
              <w:right w:val="single" w:sz="4" w:space="0" w:color="auto"/>
            </w:tcBorders>
            <w:shd w:val="clear" w:color="000000" w:fill="CCFFFF"/>
            <w:noWrap/>
            <w:vAlign w:val="bottom"/>
            <w:hideMark/>
          </w:tcPr>
          <w:p w14:paraId="118FAC8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683,94</w:t>
            </w:r>
          </w:p>
        </w:tc>
        <w:tc>
          <w:tcPr>
            <w:tcW w:w="991" w:type="dxa"/>
            <w:tcBorders>
              <w:top w:val="nil"/>
              <w:left w:val="nil"/>
              <w:bottom w:val="single" w:sz="4" w:space="0" w:color="auto"/>
              <w:right w:val="single" w:sz="4" w:space="0" w:color="auto"/>
            </w:tcBorders>
            <w:shd w:val="clear" w:color="000000" w:fill="CCFFFF"/>
            <w:noWrap/>
            <w:vAlign w:val="bottom"/>
            <w:hideMark/>
          </w:tcPr>
          <w:p w14:paraId="4FDB59F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692,18</w:t>
            </w:r>
          </w:p>
        </w:tc>
        <w:tc>
          <w:tcPr>
            <w:tcW w:w="991" w:type="dxa"/>
            <w:tcBorders>
              <w:top w:val="nil"/>
              <w:left w:val="nil"/>
              <w:bottom w:val="single" w:sz="4" w:space="0" w:color="auto"/>
              <w:right w:val="single" w:sz="4" w:space="0" w:color="auto"/>
            </w:tcBorders>
            <w:shd w:val="clear" w:color="000000" w:fill="CCFFFF"/>
            <w:noWrap/>
            <w:vAlign w:val="bottom"/>
            <w:hideMark/>
          </w:tcPr>
          <w:p w14:paraId="2D1824A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700,63</w:t>
            </w:r>
          </w:p>
        </w:tc>
        <w:tc>
          <w:tcPr>
            <w:tcW w:w="991" w:type="dxa"/>
            <w:tcBorders>
              <w:top w:val="nil"/>
              <w:left w:val="nil"/>
              <w:bottom w:val="single" w:sz="4" w:space="0" w:color="auto"/>
              <w:right w:val="single" w:sz="4" w:space="0" w:color="auto"/>
            </w:tcBorders>
            <w:shd w:val="clear" w:color="000000" w:fill="CCFFFF"/>
            <w:noWrap/>
            <w:vAlign w:val="bottom"/>
            <w:hideMark/>
          </w:tcPr>
          <w:p w14:paraId="12435AD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720,98</w:t>
            </w:r>
          </w:p>
        </w:tc>
        <w:tc>
          <w:tcPr>
            <w:tcW w:w="991" w:type="dxa"/>
            <w:tcBorders>
              <w:top w:val="nil"/>
              <w:left w:val="nil"/>
              <w:bottom w:val="single" w:sz="4" w:space="0" w:color="auto"/>
              <w:right w:val="single" w:sz="4" w:space="0" w:color="auto"/>
            </w:tcBorders>
            <w:shd w:val="clear" w:color="000000" w:fill="CCFFFF"/>
            <w:noWrap/>
            <w:vAlign w:val="bottom"/>
            <w:hideMark/>
          </w:tcPr>
          <w:p w14:paraId="3D01803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732,77</w:t>
            </w:r>
          </w:p>
        </w:tc>
        <w:tc>
          <w:tcPr>
            <w:tcW w:w="991" w:type="dxa"/>
            <w:tcBorders>
              <w:top w:val="nil"/>
              <w:left w:val="nil"/>
              <w:bottom w:val="single" w:sz="4" w:space="0" w:color="auto"/>
              <w:right w:val="single" w:sz="4" w:space="0" w:color="auto"/>
            </w:tcBorders>
            <w:shd w:val="clear" w:color="000000" w:fill="CCFFFF"/>
            <w:noWrap/>
            <w:vAlign w:val="bottom"/>
            <w:hideMark/>
          </w:tcPr>
          <w:p w14:paraId="7DA1879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744,08</w:t>
            </w:r>
          </w:p>
        </w:tc>
      </w:tr>
      <w:tr w:rsidR="00B56301" w:rsidRPr="00364545" w14:paraId="5D6F48B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DB6D07" w14:textId="62C127AB"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74F28B4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596,56</w:t>
            </w:r>
          </w:p>
        </w:tc>
        <w:tc>
          <w:tcPr>
            <w:tcW w:w="991" w:type="dxa"/>
            <w:tcBorders>
              <w:top w:val="nil"/>
              <w:left w:val="nil"/>
              <w:bottom w:val="single" w:sz="4" w:space="0" w:color="auto"/>
              <w:right w:val="single" w:sz="4" w:space="0" w:color="auto"/>
            </w:tcBorders>
            <w:shd w:val="clear" w:color="000000" w:fill="FFFFFF"/>
            <w:noWrap/>
            <w:vAlign w:val="bottom"/>
            <w:hideMark/>
          </w:tcPr>
          <w:p w14:paraId="17D6AFB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601,01</w:t>
            </w:r>
          </w:p>
        </w:tc>
        <w:tc>
          <w:tcPr>
            <w:tcW w:w="991" w:type="dxa"/>
            <w:tcBorders>
              <w:top w:val="nil"/>
              <w:left w:val="nil"/>
              <w:bottom w:val="single" w:sz="4" w:space="0" w:color="auto"/>
              <w:right w:val="single" w:sz="4" w:space="0" w:color="auto"/>
            </w:tcBorders>
            <w:shd w:val="clear" w:color="000000" w:fill="FFFFFF"/>
            <w:noWrap/>
            <w:vAlign w:val="bottom"/>
            <w:hideMark/>
          </w:tcPr>
          <w:p w14:paraId="221FAF8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606,03</w:t>
            </w:r>
          </w:p>
        </w:tc>
        <w:tc>
          <w:tcPr>
            <w:tcW w:w="991" w:type="dxa"/>
            <w:tcBorders>
              <w:top w:val="nil"/>
              <w:left w:val="nil"/>
              <w:bottom w:val="single" w:sz="4" w:space="0" w:color="auto"/>
              <w:right w:val="single" w:sz="4" w:space="0" w:color="auto"/>
            </w:tcBorders>
            <w:shd w:val="clear" w:color="000000" w:fill="FFFFFF"/>
            <w:noWrap/>
            <w:vAlign w:val="bottom"/>
            <w:hideMark/>
          </w:tcPr>
          <w:p w14:paraId="349CF8A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622,34</w:t>
            </w:r>
          </w:p>
        </w:tc>
        <w:tc>
          <w:tcPr>
            <w:tcW w:w="991" w:type="dxa"/>
            <w:tcBorders>
              <w:top w:val="nil"/>
              <w:left w:val="nil"/>
              <w:bottom w:val="single" w:sz="4" w:space="0" w:color="auto"/>
              <w:right w:val="single" w:sz="4" w:space="0" w:color="auto"/>
            </w:tcBorders>
            <w:shd w:val="clear" w:color="000000" w:fill="FFFFFF"/>
            <w:noWrap/>
            <w:vAlign w:val="bottom"/>
            <w:hideMark/>
          </w:tcPr>
          <w:p w14:paraId="04FAE94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630,69</w:t>
            </w:r>
          </w:p>
        </w:tc>
        <w:tc>
          <w:tcPr>
            <w:tcW w:w="991" w:type="dxa"/>
            <w:tcBorders>
              <w:top w:val="nil"/>
              <w:left w:val="nil"/>
              <w:bottom w:val="single" w:sz="4" w:space="0" w:color="auto"/>
              <w:right w:val="single" w:sz="4" w:space="0" w:color="auto"/>
            </w:tcBorders>
            <w:shd w:val="clear" w:color="000000" w:fill="FFFFFF"/>
            <w:noWrap/>
            <w:vAlign w:val="bottom"/>
            <w:hideMark/>
          </w:tcPr>
          <w:p w14:paraId="28D3B90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639,84</w:t>
            </w:r>
          </w:p>
        </w:tc>
      </w:tr>
      <w:tr w:rsidR="00B56301" w:rsidRPr="00364545" w14:paraId="3DF903E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1468821" w14:textId="271BC32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59E10B1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11,70</w:t>
            </w:r>
          </w:p>
        </w:tc>
        <w:tc>
          <w:tcPr>
            <w:tcW w:w="991" w:type="dxa"/>
            <w:tcBorders>
              <w:top w:val="nil"/>
              <w:left w:val="nil"/>
              <w:bottom w:val="single" w:sz="4" w:space="0" w:color="auto"/>
              <w:right w:val="single" w:sz="4" w:space="0" w:color="auto"/>
            </w:tcBorders>
            <w:shd w:val="clear" w:color="000000" w:fill="FFFFFF"/>
            <w:noWrap/>
            <w:vAlign w:val="bottom"/>
            <w:hideMark/>
          </w:tcPr>
          <w:p w14:paraId="297264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12,52</w:t>
            </w:r>
          </w:p>
        </w:tc>
        <w:tc>
          <w:tcPr>
            <w:tcW w:w="991" w:type="dxa"/>
            <w:tcBorders>
              <w:top w:val="nil"/>
              <w:left w:val="nil"/>
              <w:bottom w:val="single" w:sz="4" w:space="0" w:color="auto"/>
              <w:right w:val="single" w:sz="4" w:space="0" w:color="auto"/>
            </w:tcBorders>
            <w:shd w:val="clear" w:color="000000" w:fill="FFFFFF"/>
            <w:noWrap/>
            <w:vAlign w:val="bottom"/>
            <w:hideMark/>
          </w:tcPr>
          <w:p w14:paraId="2474BDC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12,92</w:t>
            </w:r>
          </w:p>
        </w:tc>
        <w:tc>
          <w:tcPr>
            <w:tcW w:w="991" w:type="dxa"/>
            <w:tcBorders>
              <w:top w:val="nil"/>
              <w:left w:val="nil"/>
              <w:bottom w:val="single" w:sz="4" w:space="0" w:color="auto"/>
              <w:right w:val="single" w:sz="4" w:space="0" w:color="auto"/>
            </w:tcBorders>
            <w:shd w:val="clear" w:color="000000" w:fill="FFFFFF"/>
            <w:noWrap/>
            <w:vAlign w:val="bottom"/>
            <w:hideMark/>
          </w:tcPr>
          <w:p w14:paraId="2DA2707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13,87</w:t>
            </w:r>
          </w:p>
        </w:tc>
        <w:tc>
          <w:tcPr>
            <w:tcW w:w="991" w:type="dxa"/>
            <w:tcBorders>
              <w:top w:val="nil"/>
              <w:left w:val="nil"/>
              <w:bottom w:val="single" w:sz="4" w:space="0" w:color="auto"/>
              <w:right w:val="single" w:sz="4" w:space="0" w:color="auto"/>
            </w:tcBorders>
            <w:shd w:val="clear" w:color="000000" w:fill="FFFFFF"/>
            <w:noWrap/>
            <w:vAlign w:val="bottom"/>
            <w:hideMark/>
          </w:tcPr>
          <w:p w14:paraId="4BC042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16,57</w:t>
            </w:r>
          </w:p>
        </w:tc>
        <w:tc>
          <w:tcPr>
            <w:tcW w:w="991" w:type="dxa"/>
            <w:tcBorders>
              <w:top w:val="nil"/>
              <w:left w:val="nil"/>
              <w:bottom w:val="single" w:sz="4" w:space="0" w:color="auto"/>
              <w:right w:val="single" w:sz="4" w:space="0" w:color="auto"/>
            </w:tcBorders>
            <w:shd w:val="clear" w:color="000000" w:fill="FFFFFF"/>
            <w:noWrap/>
            <w:vAlign w:val="bottom"/>
            <w:hideMark/>
          </w:tcPr>
          <w:p w14:paraId="29B2732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17,85</w:t>
            </w:r>
          </w:p>
        </w:tc>
      </w:tr>
      <w:tr w:rsidR="00B56301" w:rsidRPr="00364545" w14:paraId="515544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1863A2" w14:textId="6F1AAEE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63B2EAB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0,84</w:t>
            </w:r>
          </w:p>
        </w:tc>
        <w:tc>
          <w:tcPr>
            <w:tcW w:w="991" w:type="dxa"/>
            <w:tcBorders>
              <w:top w:val="nil"/>
              <w:left w:val="nil"/>
              <w:bottom w:val="single" w:sz="4" w:space="0" w:color="auto"/>
              <w:right w:val="single" w:sz="4" w:space="0" w:color="auto"/>
            </w:tcBorders>
            <w:shd w:val="clear" w:color="000000" w:fill="FFFFFF"/>
            <w:noWrap/>
            <w:vAlign w:val="bottom"/>
            <w:hideMark/>
          </w:tcPr>
          <w:p w14:paraId="61E4009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0,85</w:t>
            </w:r>
          </w:p>
        </w:tc>
        <w:tc>
          <w:tcPr>
            <w:tcW w:w="991" w:type="dxa"/>
            <w:tcBorders>
              <w:top w:val="nil"/>
              <w:left w:val="nil"/>
              <w:bottom w:val="single" w:sz="4" w:space="0" w:color="auto"/>
              <w:right w:val="single" w:sz="4" w:space="0" w:color="auto"/>
            </w:tcBorders>
            <w:shd w:val="clear" w:color="000000" w:fill="FFFFFF"/>
            <w:noWrap/>
            <w:vAlign w:val="bottom"/>
            <w:hideMark/>
          </w:tcPr>
          <w:p w14:paraId="02F6A57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0,86</w:t>
            </w:r>
          </w:p>
        </w:tc>
        <w:tc>
          <w:tcPr>
            <w:tcW w:w="991" w:type="dxa"/>
            <w:tcBorders>
              <w:top w:val="nil"/>
              <w:left w:val="nil"/>
              <w:bottom w:val="single" w:sz="4" w:space="0" w:color="auto"/>
              <w:right w:val="single" w:sz="4" w:space="0" w:color="auto"/>
            </w:tcBorders>
            <w:shd w:val="clear" w:color="000000" w:fill="FFFFFF"/>
            <w:noWrap/>
            <w:vAlign w:val="bottom"/>
            <w:hideMark/>
          </w:tcPr>
          <w:p w14:paraId="4B36006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0,88</w:t>
            </w:r>
          </w:p>
        </w:tc>
        <w:tc>
          <w:tcPr>
            <w:tcW w:w="991" w:type="dxa"/>
            <w:tcBorders>
              <w:top w:val="nil"/>
              <w:left w:val="nil"/>
              <w:bottom w:val="single" w:sz="4" w:space="0" w:color="auto"/>
              <w:right w:val="single" w:sz="4" w:space="0" w:color="auto"/>
            </w:tcBorders>
            <w:shd w:val="clear" w:color="000000" w:fill="FFFFFF"/>
            <w:noWrap/>
            <w:vAlign w:val="bottom"/>
            <w:hideMark/>
          </w:tcPr>
          <w:p w14:paraId="71BA17C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0,89</w:t>
            </w:r>
          </w:p>
        </w:tc>
        <w:tc>
          <w:tcPr>
            <w:tcW w:w="991" w:type="dxa"/>
            <w:tcBorders>
              <w:top w:val="nil"/>
              <w:left w:val="nil"/>
              <w:bottom w:val="single" w:sz="4" w:space="0" w:color="auto"/>
              <w:right w:val="single" w:sz="4" w:space="0" w:color="auto"/>
            </w:tcBorders>
            <w:shd w:val="clear" w:color="000000" w:fill="FFFFFF"/>
            <w:noWrap/>
            <w:vAlign w:val="bottom"/>
            <w:hideMark/>
          </w:tcPr>
          <w:p w14:paraId="0B30270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0,90</w:t>
            </w:r>
          </w:p>
        </w:tc>
      </w:tr>
      <w:tr w:rsidR="00B56301" w:rsidRPr="00364545" w14:paraId="0B56A09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F27505E" w14:textId="6DB561F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3243042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74,85</w:t>
            </w:r>
          </w:p>
        </w:tc>
        <w:tc>
          <w:tcPr>
            <w:tcW w:w="991" w:type="dxa"/>
            <w:tcBorders>
              <w:top w:val="nil"/>
              <w:left w:val="nil"/>
              <w:bottom w:val="single" w:sz="4" w:space="0" w:color="auto"/>
              <w:right w:val="single" w:sz="4" w:space="0" w:color="auto"/>
            </w:tcBorders>
            <w:shd w:val="clear" w:color="000000" w:fill="FFFFFF"/>
            <w:noWrap/>
            <w:vAlign w:val="bottom"/>
            <w:hideMark/>
          </w:tcPr>
          <w:p w14:paraId="5004575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77,80</w:t>
            </w:r>
          </w:p>
        </w:tc>
        <w:tc>
          <w:tcPr>
            <w:tcW w:w="991" w:type="dxa"/>
            <w:tcBorders>
              <w:top w:val="nil"/>
              <w:left w:val="nil"/>
              <w:bottom w:val="single" w:sz="4" w:space="0" w:color="auto"/>
              <w:right w:val="single" w:sz="4" w:space="0" w:color="auto"/>
            </w:tcBorders>
            <w:shd w:val="clear" w:color="000000" w:fill="FFFFFF"/>
            <w:noWrap/>
            <w:vAlign w:val="bottom"/>
            <w:hideMark/>
          </w:tcPr>
          <w:p w14:paraId="51977D6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80,82</w:t>
            </w:r>
          </w:p>
        </w:tc>
        <w:tc>
          <w:tcPr>
            <w:tcW w:w="991" w:type="dxa"/>
            <w:tcBorders>
              <w:top w:val="nil"/>
              <w:left w:val="nil"/>
              <w:bottom w:val="single" w:sz="4" w:space="0" w:color="auto"/>
              <w:right w:val="single" w:sz="4" w:space="0" w:color="auto"/>
            </w:tcBorders>
            <w:shd w:val="clear" w:color="000000" w:fill="FFFFFF"/>
            <w:noWrap/>
            <w:vAlign w:val="bottom"/>
            <w:hideMark/>
          </w:tcPr>
          <w:p w14:paraId="3BB26EE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83,90</w:t>
            </w:r>
          </w:p>
        </w:tc>
        <w:tc>
          <w:tcPr>
            <w:tcW w:w="991" w:type="dxa"/>
            <w:tcBorders>
              <w:top w:val="nil"/>
              <w:left w:val="nil"/>
              <w:bottom w:val="single" w:sz="4" w:space="0" w:color="auto"/>
              <w:right w:val="single" w:sz="4" w:space="0" w:color="auto"/>
            </w:tcBorders>
            <w:shd w:val="clear" w:color="000000" w:fill="FFFFFF"/>
            <w:noWrap/>
            <w:vAlign w:val="bottom"/>
            <w:hideMark/>
          </w:tcPr>
          <w:p w14:paraId="475533E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84,62</w:t>
            </w:r>
          </w:p>
        </w:tc>
        <w:tc>
          <w:tcPr>
            <w:tcW w:w="991" w:type="dxa"/>
            <w:tcBorders>
              <w:top w:val="nil"/>
              <w:left w:val="nil"/>
              <w:bottom w:val="single" w:sz="4" w:space="0" w:color="auto"/>
              <w:right w:val="single" w:sz="4" w:space="0" w:color="auto"/>
            </w:tcBorders>
            <w:shd w:val="clear" w:color="000000" w:fill="FFFFFF"/>
            <w:noWrap/>
            <w:vAlign w:val="bottom"/>
            <w:hideMark/>
          </w:tcPr>
          <w:p w14:paraId="2AB560F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85,48</w:t>
            </w:r>
          </w:p>
        </w:tc>
      </w:tr>
      <w:tr w:rsidR="00B56301" w:rsidRPr="00364545" w14:paraId="58340CA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5C13DB" w14:textId="627BE61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Other</w:t>
            </w:r>
            <w:r w:rsidRPr="00364545">
              <w:rPr>
                <w:rFonts w:asciiTheme="minorHAnsi" w:hAnsiTheme="minorHAnsi"/>
                <w:b/>
                <w:i/>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08727F3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B8745D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F8EE8F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88B93B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DAD7F8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017D6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0290C2B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D6BD75" w14:textId="4637FF50"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4C2F1A5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611E6C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37CF271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11BDCE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4F53B5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EF25AC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NO</w:t>
            </w:r>
          </w:p>
        </w:tc>
      </w:tr>
      <w:tr w:rsidR="00B56301" w:rsidRPr="00364545" w14:paraId="7627A60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068B5C40" w14:textId="5E048AE6"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 xml:space="preserve">emissions without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2B5EAE5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2815,32</w:t>
            </w:r>
          </w:p>
        </w:tc>
        <w:tc>
          <w:tcPr>
            <w:tcW w:w="991" w:type="dxa"/>
            <w:tcBorders>
              <w:top w:val="nil"/>
              <w:left w:val="nil"/>
              <w:bottom w:val="single" w:sz="4" w:space="0" w:color="auto"/>
              <w:right w:val="single" w:sz="4" w:space="0" w:color="auto"/>
            </w:tcBorders>
            <w:shd w:val="clear" w:color="000000" w:fill="CCFFFF"/>
            <w:noWrap/>
            <w:vAlign w:val="bottom"/>
            <w:hideMark/>
          </w:tcPr>
          <w:p w14:paraId="6A52F4B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2778,77</w:t>
            </w:r>
          </w:p>
        </w:tc>
        <w:tc>
          <w:tcPr>
            <w:tcW w:w="991" w:type="dxa"/>
            <w:tcBorders>
              <w:top w:val="nil"/>
              <w:left w:val="nil"/>
              <w:bottom w:val="single" w:sz="4" w:space="0" w:color="auto"/>
              <w:right w:val="single" w:sz="4" w:space="0" w:color="auto"/>
            </w:tcBorders>
            <w:shd w:val="clear" w:color="000000" w:fill="CCFFFF"/>
            <w:noWrap/>
            <w:vAlign w:val="bottom"/>
            <w:hideMark/>
          </w:tcPr>
          <w:p w14:paraId="0B831F7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2729,09</w:t>
            </w:r>
          </w:p>
        </w:tc>
        <w:tc>
          <w:tcPr>
            <w:tcW w:w="991" w:type="dxa"/>
            <w:tcBorders>
              <w:top w:val="nil"/>
              <w:left w:val="nil"/>
              <w:bottom w:val="single" w:sz="4" w:space="0" w:color="auto"/>
              <w:right w:val="single" w:sz="4" w:space="0" w:color="auto"/>
            </w:tcBorders>
            <w:shd w:val="clear" w:color="000000" w:fill="CCFFFF"/>
            <w:noWrap/>
            <w:vAlign w:val="bottom"/>
            <w:hideMark/>
          </w:tcPr>
          <w:p w14:paraId="405B91B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2730,90</w:t>
            </w:r>
          </w:p>
        </w:tc>
        <w:tc>
          <w:tcPr>
            <w:tcW w:w="991" w:type="dxa"/>
            <w:tcBorders>
              <w:top w:val="nil"/>
              <w:left w:val="nil"/>
              <w:bottom w:val="single" w:sz="4" w:space="0" w:color="auto"/>
              <w:right w:val="single" w:sz="4" w:space="0" w:color="auto"/>
            </w:tcBorders>
            <w:shd w:val="clear" w:color="000000" w:fill="CCFFFF"/>
            <w:noWrap/>
            <w:vAlign w:val="bottom"/>
            <w:hideMark/>
          </w:tcPr>
          <w:p w14:paraId="13F2FA9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2729,22</w:t>
            </w:r>
          </w:p>
        </w:tc>
        <w:tc>
          <w:tcPr>
            <w:tcW w:w="991" w:type="dxa"/>
            <w:tcBorders>
              <w:top w:val="nil"/>
              <w:left w:val="nil"/>
              <w:bottom w:val="single" w:sz="4" w:space="0" w:color="auto"/>
              <w:right w:val="single" w:sz="4" w:space="0" w:color="auto"/>
            </w:tcBorders>
            <w:shd w:val="clear" w:color="000000" w:fill="CCFFFF"/>
            <w:noWrap/>
            <w:vAlign w:val="bottom"/>
            <w:hideMark/>
          </w:tcPr>
          <w:p w14:paraId="6B855C0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2744,11</w:t>
            </w:r>
          </w:p>
        </w:tc>
      </w:tr>
      <w:tr w:rsidR="00B56301" w:rsidRPr="00364545" w14:paraId="27B3A98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A19F4CC" w14:textId="5C09C99F"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 xml:space="preserve">emissions with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00D1193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2962,12</w:t>
            </w:r>
          </w:p>
        </w:tc>
        <w:tc>
          <w:tcPr>
            <w:tcW w:w="991" w:type="dxa"/>
            <w:tcBorders>
              <w:top w:val="nil"/>
              <w:left w:val="nil"/>
              <w:bottom w:val="single" w:sz="4" w:space="0" w:color="auto"/>
              <w:right w:val="single" w:sz="4" w:space="0" w:color="auto"/>
            </w:tcBorders>
            <w:shd w:val="clear" w:color="000000" w:fill="CCFFFF"/>
            <w:noWrap/>
            <w:vAlign w:val="bottom"/>
            <w:hideMark/>
          </w:tcPr>
          <w:p w14:paraId="70C21EE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2895,73</w:t>
            </w:r>
          </w:p>
        </w:tc>
        <w:tc>
          <w:tcPr>
            <w:tcW w:w="991" w:type="dxa"/>
            <w:tcBorders>
              <w:top w:val="nil"/>
              <w:left w:val="nil"/>
              <w:bottom w:val="single" w:sz="4" w:space="0" w:color="auto"/>
              <w:right w:val="single" w:sz="4" w:space="0" w:color="auto"/>
            </w:tcBorders>
            <w:shd w:val="clear" w:color="000000" w:fill="CCFFFF"/>
            <w:noWrap/>
            <w:vAlign w:val="bottom"/>
            <w:hideMark/>
          </w:tcPr>
          <w:p w14:paraId="6228C41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2827,07</w:t>
            </w:r>
          </w:p>
        </w:tc>
        <w:tc>
          <w:tcPr>
            <w:tcW w:w="991" w:type="dxa"/>
            <w:tcBorders>
              <w:top w:val="nil"/>
              <w:left w:val="nil"/>
              <w:bottom w:val="single" w:sz="4" w:space="0" w:color="auto"/>
              <w:right w:val="single" w:sz="4" w:space="0" w:color="auto"/>
            </w:tcBorders>
            <w:shd w:val="clear" w:color="000000" w:fill="CCFFFF"/>
            <w:noWrap/>
            <w:vAlign w:val="bottom"/>
            <w:hideMark/>
          </w:tcPr>
          <w:p w14:paraId="50F8481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2814,25</w:t>
            </w:r>
          </w:p>
        </w:tc>
        <w:tc>
          <w:tcPr>
            <w:tcW w:w="991" w:type="dxa"/>
            <w:tcBorders>
              <w:top w:val="nil"/>
              <w:left w:val="nil"/>
              <w:bottom w:val="single" w:sz="4" w:space="0" w:color="auto"/>
              <w:right w:val="single" w:sz="4" w:space="0" w:color="auto"/>
            </w:tcBorders>
            <w:shd w:val="clear" w:color="000000" w:fill="CCFFFF"/>
            <w:noWrap/>
            <w:vAlign w:val="bottom"/>
            <w:hideMark/>
          </w:tcPr>
          <w:p w14:paraId="5FF2F6C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2801,63</w:t>
            </w:r>
          </w:p>
        </w:tc>
        <w:tc>
          <w:tcPr>
            <w:tcW w:w="991" w:type="dxa"/>
            <w:tcBorders>
              <w:top w:val="nil"/>
              <w:left w:val="nil"/>
              <w:bottom w:val="single" w:sz="4" w:space="0" w:color="auto"/>
              <w:right w:val="single" w:sz="4" w:space="0" w:color="auto"/>
            </w:tcBorders>
            <w:shd w:val="clear" w:color="000000" w:fill="CCFFFF"/>
            <w:noWrap/>
            <w:vAlign w:val="bottom"/>
            <w:hideMark/>
          </w:tcPr>
          <w:p w14:paraId="06F2B26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2811,82</w:t>
            </w:r>
          </w:p>
        </w:tc>
      </w:tr>
      <w:tr w:rsidR="00B56301" w:rsidRPr="00364545" w14:paraId="044C426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7CA200"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725FA5A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63C93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2B4E6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6C605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B90B6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F641EE"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203E1D6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C9CDF8E"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29393EE0"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0,77</w:t>
            </w:r>
          </w:p>
        </w:tc>
        <w:tc>
          <w:tcPr>
            <w:tcW w:w="991" w:type="dxa"/>
            <w:tcBorders>
              <w:top w:val="nil"/>
              <w:left w:val="nil"/>
              <w:bottom w:val="single" w:sz="4" w:space="0" w:color="auto"/>
              <w:right w:val="single" w:sz="4" w:space="0" w:color="auto"/>
            </w:tcBorders>
            <w:shd w:val="clear" w:color="000000" w:fill="CCFFFF"/>
            <w:noWrap/>
            <w:vAlign w:val="bottom"/>
            <w:hideMark/>
          </w:tcPr>
          <w:p w14:paraId="142DED9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0,81</w:t>
            </w:r>
          </w:p>
        </w:tc>
        <w:tc>
          <w:tcPr>
            <w:tcW w:w="991" w:type="dxa"/>
            <w:tcBorders>
              <w:top w:val="nil"/>
              <w:left w:val="nil"/>
              <w:bottom w:val="single" w:sz="4" w:space="0" w:color="auto"/>
              <w:right w:val="single" w:sz="4" w:space="0" w:color="auto"/>
            </w:tcBorders>
            <w:shd w:val="clear" w:color="000000" w:fill="CCFFFF"/>
            <w:noWrap/>
            <w:vAlign w:val="bottom"/>
            <w:hideMark/>
          </w:tcPr>
          <w:p w14:paraId="4101A2D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0,88</w:t>
            </w:r>
          </w:p>
        </w:tc>
        <w:tc>
          <w:tcPr>
            <w:tcW w:w="991" w:type="dxa"/>
            <w:tcBorders>
              <w:top w:val="nil"/>
              <w:left w:val="nil"/>
              <w:bottom w:val="single" w:sz="4" w:space="0" w:color="auto"/>
              <w:right w:val="single" w:sz="4" w:space="0" w:color="auto"/>
            </w:tcBorders>
            <w:shd w:val="clear" w:color="000000" w:fill="CCFFFF"/>
            <w:noWrap/>
            <w:vAlign w:val="bottom"/>
            <w:hideMark/>
          </w:tcPr>
          <w:p w14:paraId="76D1B14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0,96</w:t>
            </w:r>
          </w:p>
        </w:tc>
        <w:tc>
          <w:tcPr>
            <w:tcW w:w="991" w:type="dxa"/>
            <w:tcBorders>
              <w:top w:val="nil"/>
              <w:left w:val="nil"/>
              <w:bottom w:val="single" w:sz="4" w:space="0" w:color="auto"/>
              <w:right w:val="single" w:sz="4" w:space="0" w:color="auto"/>
            </w:tcBorders>
            <w:shd w:val="clear" w:color="000000" w:fill="CCFFFF"/>
            <w:noWrap/>
            <w:vAlign w:val="bottom"/>
            <w:hideMark/>
          </w:tcPr>
          <w:p w14:paraId="658BDFF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0,97</w:t>
            </w:r>
          </w:p>
        </w:tc>
        <w:tc>
          <w:tcPr>
            <w:tcW w:w="991" w:type="dxa"/>
            <w:tcBorders>
              <w:top w:val="nil"/>
              <w:left w:val="nil"/>
              <w:bottom w:val="single" w:sz="4" w:space="0" w:color="auto"/>
              <w:right w:val="single" w:sz="4" w:space="0" w:color="auto"/>
            </w:tcBorders>
            <w:shd w:val="clear" w:color="000000" w:fill="CCFFFF"/>
            <w:noWrap/>
            <w:vAlign w:val="bottom"/>
            <w:hideMark/>
          </w:tcPr>
          <w:p w14:paraId="421AFBE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0,98</w:t>
            </w:r>
          </w:p>
        </w:tc>
      </w:tr>
      <w:tr w:rsidR="00B56301" w:rsidRPr="00364545" w14:paraId="186DF10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FB3F35"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06B4839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5629C9B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1C2C6DB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6F79BF19"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2CA5161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544C914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0,08</w:t>
            </w:r>
          </w:p>
        </w:tc>
      </w:tr>
      <w:tr w:rsidR="00B56301" w:rsidRPr="00364545" w14:paraId="008FF9C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C3DDF9"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11278A2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0,68</w:t>
            </w:r>
          </w:p>
        </w:tc>
        <w:tc>
          <w:tcPr>
            <w:tcW w:w="991" w:type="dxa"/>
            <w:tcBorders>
              <w:top w:val="nil"/>
              <w:left w:val="nil"/>
              <w:bottom w:val="single" w:sz="4" w:space="0" w:color="auto"/>
              <w:right w:val="single" w:sz="4" w:space="0" w:color="auto"/>
            </w:tcBorders>
            <w:shd w:val="clear" w:color="000000" w:fill="FFFFFF"/>
            <w:noWrap/>
            <w:vAlign w:val="bottom"/>
            <w:hideMark/>
          </w:tcPr>
          <w:p w14:paraId="34EBB4D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0,72</w:t>
            </w:r>
          </w:p>
        </w:tc>
        <w:tc>
          <w:tcPr>
            <w:tcW w:w="991" w:type="dxa"/>
            <w:tcBorders>
              <w:top w:val="nil"/>
              <w:left w:val="nil"/>
              <w:bottom w:val="single" w:sz="4" w:space="0" w:color="auto"/>
              <w:right w:val="single" w:sz="4" w:space="0" w:color="auto"/>
            </w:tcBorders>
            <w:shd w:val="clear" w:color="000000" w:fill="FFFFFF"/>
            <w:noWrap/>
            <w:vAlign w:val="bottom"/>
            <w:hideMark/>
          </w:tcPr>
          <w:p w14:paraId="5185583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039569E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0,87</w:t>
            </w:r>
          </w:p>
        </w:tc>
        <w:tc>
          <w:tcPr>
            <w:tcW w:w="991" w:type="dxa"/>
            <w:tcBorders>
              <w:top w:val="nil"/>
              <w:left w:val="nil"/>
              <w:bottom w:val="single" w:sz="4" w:space="0" w:color="auto"/>
              <w:right w:val="single" w:sz="4" w:space="0" w:color="auto"/>
            </w:tcBorders>
            <w:shd w:val="clear" w:color="000000" w:fill="FFFFFF"/>
            <w:noWrap/>
            <w:vAlign w:val="bottom"/>
            <w:hideMark/>
          </w:tcPr>
          <w:p w14:paraId="160D9B4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0,88</w:t>
            </w:r>
          </w:p>
        </w:tc>
        <w:tc>
          <w:tcPr>
            <w:tcW w:w="991" w:type="dxa"/>
            <w:tcBorders>
              <w:top w:val="nil"/>
              <w:left w:val="nil"/>
              <w:bottom w:val="single" w:sz="4" w:space="0" w:color="auto"/>
              <w:right w:val="single" w:sz="4" w:space="0" w:color="auto"/>
            </w:tcBorders>
            <w:shd w:val="clear" w:color="000000" w:fill="FFFFFF"/>
            <w:noWrap/>
            <w:vAlign w:val="bottom"/>
            <w:hideMark/>
          </w:tcPr>
          <w:p w14:paraId="230B38D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0,91</w:t>
            </w:r>
          </w:p>
        </w:tc>
      </w:tr>
      <w:tr w:rsidR="00B56301" w:rsidRPr="00364545" w14:paraId="3AC9581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6E1C30"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513C2F8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0CF9694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749001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694714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7C9A5B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DE7A59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NE</w:t>
            </w:r>
          </w:p>
        </w:tc>
      </w:tr>
      <w:tr w:rsidR="00B56301" w:rsidRPr="00364545" w14:paraId="4520876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456576" w14:textId="7B85354F"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56524A6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FDA996"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75FBA9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E86A15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E8D9D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8F9759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17DAF90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F7760E" w14:textId="7EA5CDA2"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2F789F5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84FB6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ACBC5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EC211FF"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394CE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F48686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4515BB9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8FB2A5"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11C5338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556250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4D80BE2"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4CC4B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23F56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8B38F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65550F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CB6C58" w14:textId="1F7CCA23"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N</w:t>
            </w:r>
            <w:r w:rsidRPr="00364545">
              <w:rPr>
                <w:sz w:val="16"/>
                <w:vertAlign w:val="subscript"/>
              </w:rPr>
              <w:t>2</w:t>
            </w:r>
            <w:r w:rsidRPr="00364545">
              <w:rPr>
                <w:sz w:val="16"/>
              </w:rPr>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300864E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13D25A"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7997C5"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FC02893"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E1583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502BE8D"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r w:rsidR="00B56301" w:rsidRPr="00364545" w14:paraId="75A248A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3E7BA8" w14:textId="4C3D4450"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Indirect </w:t>
            </w:r>
            <w:r w:rsidRPr="00364545">
              <w:t>CO</w:t>
            </w:r>
            <w:r w:rsidRPr="00364545">
              <w:rPr>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771A9D71"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16E7D8"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C9239C"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F67DEDB"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DD4077"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8FEE4F4" w14:textId="77777777" w:rsidR="00B56301" w:rsidRPr="00364545" w:rsidRDefault="00B56301" w:rsidP="00B37B65">
            <w:pPr>
              <w:jc w:val="right"/>
              <w:rPr>
                <w:rFonts w:asciiTheme="minorHAnsi" w:hAnsiTheme="minorHAnsi"/>
                <w:sz w:val="16"/>
                <w:szCs w:val="14"/>
              </w:rPr>
            </w:pPr>
            <w:r w:rsidRPr="00364545">
              <w:rPr>
                <w:rFonts w:asciiTheme="minorHAnsi" w:hAnsiTheme="minorHAnsi"/>
                <w:sz w:val="16"/>
              </w:rPr>
              <w:t> </w:t>
            </w:r>
          </w:p>
        </w:tc>
      </w:tr>
    </w:tbl>
    <w:p w14:paraId="6DCAB4C4" w14:textId="77777777" w:rsidR="00B56301" w:rsidRPr="00364545" w:rsidRDefault="00B56301" w:rsidP="00B56301">
      <w:pPr>
        <w:rPr>
          <w:rFonts w:cs="Arial"/>
          <w:sz w:val="24"/>
        </w:rPr>
      </w:pP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364545" w14:paraId="729C2D61"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6719E765" w14:textId="242ED533" w:rsidR="00B56301" w:rsidRPr="00364545" w:rsidRDefault="00B56301" w:rsidP="00B37B65">
            <w:pPr>
              <w:jc w:val="left"/>
              <w:rPr>
                <w:rFonts w:asciiTheme="minorHAnsi" w:hAnsiTheme="minorHAnsi"/>
                <w:b/>
                <w:bCs/>
                <w:sz w:val="16"/>
                <w:szCs w:val="14"/>
              </w:rPr>
            </w:pPr>
            <w:r w:rsidRPr="00364545">
              <w:rPr>
                <w:sz w:val="24"/>
                <w:lang w:val="en-US"/>
              </w:rPr>
              <w:br w:type="page"/>
            </w:r>
            <w:r w:rsidRPr="00364545">
              <w:rPr>
                <w:rFonts w:asciiTheme="minorHAnsi" w:hAnsiTheme="minorHAnsi"/>
                <w:b/>
                <w:sz w:val="16"/>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7CEEBF3" w14:textId="77777777" w:rsidR="00B56301" w:rsidRPr="00364545" w:rsidRDefault="00B56301" w:rsidP="00B37B65">
            <w:pPr>
              <w:jc w:val="center"/>
              <w:rPr>
                <w:rFonts w:asciiTheme="minorHAnsi" w:hAnsiTheme="minorHAnsi"/>
                <w:b/>
                <w:bCs/>
                <w:sz w:val="16"/>
                <w:szCs w:val="14"/>
              </w:rPr>
            </w:pPr>
            <w:r w:rsidRPr="00364545">
              <w:rPr>
                <w:b/>
                <w:sz w:val="16"/>
              </w:rPr>
              <w:t>2001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83EB674" w14:textId="77777777" w:rsidR="00B56301" w:rsidRPr="00364545" w:rsidRDefault="00B56301" w:rsidP="00B37B65">
            <w:pPr>
              <w:jc w:val="center"/>
              <w:rPr>
                <w:rFonts w:asciiTheme="minorHAnsi" w:hAnsiTheme="minorHAnsi"/>
                <w:b/>
                <w:bCs/>
                <w:sz w:val="16"/>
                <w:szCs w:val="14"/>
              </w:rPr>
            </w:pPr>
            <w:r w:rsidRPr="00364545">
              <w:rPr>
                <w:b/>
                <w:sz w:val="16"/>
              </w:rPr>
              <w:t>2002</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8EA2634" w14:textId="77777777" w:rsidR="00B56301" w:rsidRPr="00364545" w:rsidRDefault="00B56301" w:rsidP="00B37B65">
            <w:pPr>
              <w:jc w:val="center"/>
              <w:rPr>
                <w:rFonts w:asciiTheme="minorHAnsi" w:hAnsiTheme="minorHAnsi"/>
                <w:b/>
                <w:bCs/>
                <w:sz w:val="16"/>
                <w:szCs w:val="14"/>
              </w:rPr>
            </w:pPr>
            <w:r w:rsidRPr="00364545">
              <w:rPr>
                <w:b/>
                <w:sz w:val="16"/>
              </w:rPr>
              <w:t>2003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9C87D37" w14:textId="77777777" w:rsidR="00B56301" w:rsidRPr="00364545" w:rsidRDefault="00B56301" w:rsidP="00B37B65">
            <w:pPr>
              <w:jc w:val="center"/>
              <w:rPr>
                <w:rFonts w:asciiTheme="minorHAnsi" w:hAnsiTheme="minorHAnsi"/>
                <w:b/>
                <w:bCs/>
                <w:sz w:val="16"/>
                <w:szCs w:val="14"/>
              </w:rPr>
            </w:pPr>
            <w:r w:rsidRPr="00364545">
              <w:rPr>
                <w:b/>
                <w:sz w:val="16"/>
              </w:rPr>
              <w:t>2004</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B78AF81" w14:textId="77777777" w:rsidR="00B56301" w:rsidRPr="00364545" w:rsidRDefault="00B56301" w:rsidP="00B37B65">
            <w:pPr>
              <w:jc w:val="center"/>
              <w:rPr>
                <w:rFonts w:asciiTheme="minorHAnsi" w:hAnsiTheme="minorHAnsi"/>
                <w:b/>
                <w:bCs/>
                <w:sz w:val="16"/>
                <w:szCs w:val="14"/>
              </w:rPr>
            </w:pPr>
            <w:r w:rsidRPr="00364545">
              <w:rPr>
                <w:b/>
                <w:sz w:val="16"/>
              </w:rPr>
              <w:t>2005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FF1998A" w14:textId="77777777" w:rsidR="00B56301" w:rsidRPr="00364545" w:rsidRDefault="00B56301" w:rsidP="00B37B65">
            <w:pPr>
              <w:jc w:val="center"/>
              <w:rPr>
                <w:rFonts w:asciiTheme="minorHAnsi" w:hAnsiTheme="minorHAnsi"/>
                <w:b/>
                <w:bCs/>
                <w:sz w:val="16"/>
                <w:szCs w:val="14"/>
              </w:rPr>
            </w:pPr>
            <w:r w:rsidRPr="00364545">
              <w:rPr>
                <w:b/>
                <w:sz w:val="16"/>
              </w:rPr>
              <w:t>2006</w:t>
            </w:r>
          </w:p>
        </w:tc>
      </w:tr>
      <w:tr w:rsidR="00B56301" w:rsidRPr="00364545" w14:paraId="254F07A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C85D1F4"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4D4773F" w14:textId="77777777" w:rsidR="00B56301" w:rsidRPr="00364545" w:rsidRDefault="00B56301" w:rsidP="00B37B65">
            <w:pPr>
              <w:jc w:val="right"/>
              <w:rPr>
                <w:rFonts w:asciiTheme="minorHAnsi" w:hAnsiTheme="minorHAnsi"/>
                <w:sz w:val="16"/>
                <w:szCs w:val="14"/>
              </w:rPr>
            </w:pPr>
            <w:r w:rsidRPr="00364545">
              <w:rPr>
                <w:sz w:val="16"/>
              </w:rPr>
              <w:t>288,51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5EFA499" w14:textId="77777777" w:rsidR="00B56301" w:rsidRPr="00364545" w:rsidRDefault="00B56301" w:rsidP="00B37B65">
            <w:pPr>
              <w:jc w:val="right"/>
              <w:rPr>
                <w:rFonts w:asciiTheme="minorHAnsi" w:hAnsiTheme="minorHAnsi"/>
                <w:sz w:val="16"/>
                <w:szCs w:val="14"/>
              </w:rPr>
            </w:pPr>
            <w:r w:rsidRPr="00364545">
              <w:rPr>
                <w:sz w:val="16"/>
              </w:rPr>
              <w:t>248,74</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58A4CF6" w14:textId="77777777" w:rsidR="00B56301" w:rsidRPr="00364545" w:rsidRDefault="00B56301" w:rsidP="00B37B65">
            <w:pPr>
              <w:jc w:val="right"/>
              <w:rPr>
                <w:rFonts w:asciiTheme="minorHAnsi" w:hAnsiTheme="minorHAnsi"/>
                <w:sz w:val="16"/>
                <w:szCs w:val="14"/>
              </w:rPr>
            </w:pPr>
            <w:r w:rsidRPr="00364545">
              <w:rPr>
                <w:sz w:val="16"/>
              </w:rPr>
              <w:t>246,25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75B748DD" w14:textId="77777777" w:rsidR="00B56301" w:rsidRPr="00364545" w:rsidRDefault="00B56301" w:rsidP="00B37B65">
            <w:pPr>
              <w:jc w:val="right"/>
              <w:rPr>
                <w:rFonts w:asciiTheme="minorHAnsi" w:hAnsiTheme="minorHAnsi"/>
                <w:sz w:val="16"/>
                <w:szCs w:val="14"/>
              </w:rPr>
            </w:pPr>
            <w:r w:rsidRPr="00364545">
              <w:rPr>
                <w:sz w:val="16"/>
              </w:rPr>
              <w:t>220,63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3733BC7" w14:textId="77777777" w:rsidR="00B56301" w:rsidRPr="00364545" w:rsidRDefault="00B56301" w:rsidP="00B37B65">
            <w:pPr>
              <w:jc w:val="right"/>
              <w:rPr>
                <w:rFonts w:asciiTheme="minorHAnsi" w:hAnsiTheme="minorHAnsi"/>
                <w:sz w:val="16"/>
                <w:szCs w:val="14"/>
              </w:rPr>
            </w:pPr>
            <w:r w:rsidRPr="00364545">
              <w:rPr>
                <w:sz w:val="16"/>
              </w:rPr>
              <w:t>196,89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6C8ED93" w14:textId="77777777" w:rsidR="00B56301" w:rsidRPr="00364545" w:rsidRDefault="00B56301" w:rsidP="00B37B65">
            <w:pPr>
              <w:jc w:val="right"/>
              <w:rPr>
                <w:rFonts w:asciiTheme="minorHAnsi" w:hAnsiTheme="minorHAnsi"/>
                <w:sz w:val="16"/>
                <w:szCs w:val="14"/>
              </w:rPr>
            </w:pPr>
            <w:r w:rsidRPr="00364545">
              <w:rPr>
                <w:sz w:val="16"/>
              </w:rPr>
              <w:t>173,60</w:t>
            </w:r>
          </w:p>
        </w:tc>
      </w:tr>
      <w:tr w:rsidR="00B56301" w:rsidRPr="00364545" w14:paraId="18FDFA99"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3E5770B"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7514D7FB" w14:textId="77777777" w:rsidR="00B56301" w:rsidRPr="00364545" w:rsidRDefault="00B56301" w:rsidP="00B37B65">
            <w:pPr>
              <w:jc w:val="right"/>
              <w:rPr>
                <w:rFonts w:asciiTheme="minorHAnsi" w:hAnsiTheme="minorHAnsi"/>
                <w:sz w:val="16"/>
                <w:szCs w:val="14"/>
              </w:rPr>
            </w:pPr>
            <w:r w:rsidRPr="00364545">
              <w:rPr>
                <w:sz w:val="16"/>
              </w:rPr>
              <w:t>156,16</w:t>
            </w:r>
          </w:p>
        </w:tc>
        <w:tc>
          <w:tcPr>
            <w:tcW w:w="991" w:type="dxa"/>
            <w:tcBorders>
              <w:top w:val="nil"/>
              <w:left w:val="nil"/>
              <w:bottom w:val="single" w:sz="4" w:space="0" w:color="auto"/>
              <w:right w:val="single" w:sz="4" w:space="0" w:color="auto"/>
            </w:tcBorders>
            <w:shd w:val="clear" w:color="000000" w:fill="CCFFFF"/>
            <w:noWrap/>
            <w:vAlign w:val="bottom"/>
            <w:hideMark/>
          </w:tcPr>
          <w:p w14:paraId="3BAEA31B" w14:textId="77777777" w:rsidR="00B56301" w:rsidRPr="00364545" w:rsidRDefault="00B56301" w:rsidP="00B37B65">
            <w:pPr>
              <w:jc w:val="right"/>
              <w:rPr>
                <w:rFonts w:asciiTheme="minorHAnsi" w:hAnsiTheme="minorHAnsi"/>
                <w:sz w:val="16"/>
                <w:szCs w:val="14"/>
              </w:rPr>
            </w:pPr>
            <w:r w:rsidRPr="00364545">
              <w:rPr>
                <w:sz w:val="16"/>
              </w:rPr>
              <w:t>140,06</w:t>
            </w:r>
          </w:p>
        </w:tc>
        <w:tc>
          <w:tcPr>
            <w:tcW w:w="991" w:type="dxa"/>
            <w:tcBorders>
              <w:top w:val="nil"/>
              <w:left w:val="nil"/>
              <w:bottom w:val="single" w:sz="4" w:space="0" w:color="auto"/>
              <w:right w:val="single" w:sz="4" w:space="0" w:color="auto"/>
            </w:tcBorders>
            <w:shd w:val="clear" w:color="000000" w:fill="CCFFFF"/>
            <w:noWrap/>
            <w:vAlign w:val="bottom"/>
            <w:hideMark/>
          </w:tcPr>
          <w:p w14:paraId="35B42471" w14:textId="77777777" w:rsidR="00B56301" w:rsidRPr="00364545" w:rsidRDefault="00B56301" w:rsidP="00B37B65">
            <w:pPr>
              <w:jc w:val="right"/>
              <w:rPr>
                <w:rFonts w:asciiTheme="minorHAnsi" w:hAnsiTheme="minorHAnsi"/>
                <w:sz w:val="16"/>
                <w:szCs w:val="14"/>
              </w:rPr>
            </w:pPr>
            <w:r w:rsidRPr="00364545">
              <w:rPr>
                <w:sz w:val="16"/>
              </w:rPr>
              <w:t>140,93</w:t>
            </w:r>
          </w:p>
        </w:tc>
        <w:tc>
          <w:tcPr>
            <w:tcW w:w="991" w:type="dxa"/>
            <w:tcBorders>
              <w:top w:val="nil"/>
              <w:left w:val="nil"/>
              <w:bottom w:val="single" w:sz="4" w:space="0" w:color="auto"/>
              <w:right w:val="single" w:sz="4" w:space="0" w:color="auto"/>
            </w:tcBorders>
            <w:shd w:val="clear" w:color="000000" w:fill="CCFFFF"/>
            <w:noWrap/>
            <w:vAlign w:val="bottom"/>
            <w:hideMark/>
          </w:tcPr>
          <w:p w14:paraId="5AE6D086" w14:textId="77777777" w:rsidR="00B56301" w:rsidRPr="00364545" w:rsidRDefault="00B56301" w:rsidP="00B37B65">
            <w:pPr>
              <w:jc w:val="right"/>
              <w:rPr>
                <w:rFonts w:asciiTheme="minorHAnsi" w:hAnsiTheme="minorHAnsi"/>
                <w:sz w:val="16"/>
                <w:szCs w:val="14"/>
              </w:rPr>
            </w:pPr>
            <w:r w:rsidRPr="00364545">
              <w:rPr>
                <w:sz w:val="16"/>
              </w:rPr>
              <w:t>134,76</w:t>
            </w:r>
          </w:p>
        </w:tc>
        <w:tc>
          <w:tcPr>
            <w:tcW w:w="991" w:type="dxa"/>
            <w:tcBorders>
              <w:top w:val="nil"/>
              <w:left w:val="nil"/>
              <w:bottom w:val="single" w:sz="4" w:space="0" w:color="auto"/>
              <w:right w:val="single" w:sz="4" w:space="0" w:color="auto"/>
            </w:tcBorders>
            <w:shd w:val="clear" w:color="000000" w:fill="CCFFFF"/>
            <w:noWrap/>
            <w:vAlign w:val="bottom"/>
            <w:hideMark/>
          </w:tcPr>
          <w:p w14:paraId="63DA9DD6" w14:textId="77777777" w:rsidR="00B56301" w:rsidRPr="00364545" w:rsidRDefault="00B56301" w:rsidP="00B37B65">
            <w:pPr>
              <w:jc w:val="right"/>
              <w:rPr>
                <w:rFonts w:asciiTheme="minorHAnsi" w:hAnsiTheme="minorHAnsi"/>
                <w:sz w:val="16"/>
                <w:szCs w:val="14"/>
              </w:rPr>
            </w:pPr>
            <w:r w:rsidRPr="00364545">
              <w:rPr>
                <w:sz w:val="16"/>
              </w:rPr>
              <w:t>124,46</w:t>
            </w:r>
          </w:p>
        </w:tc>
        <w:tc>
          <w:tcPr>
            <w:tcW w:w="991" w:type="dxa"/>
            <w:tcBorders>
              <w:top w:val="nil"/>
              <w:left w:val="nil"/>
              <w:bottom w:val="single" w:sz="4" w:space="0" w:color="auto"/>
              <w:right w:val="single" w:sz="4" w:space="0" w:color="auto"/>
            </w:tcBorders>
            <w:shd w:val="clear" w:color="000000" w:fill="CCFFFF"/>
            <w:noWrap/>
            <w:vAlign w:val="bottom"/>
            <w:hideMark/>
          </w:tcPr>
          <w:p w14:paraId="54E60FEE" w14:textId="77777777" w:rsidR="00B56301" w:rsidRPr="00364545" w:rsidRDefault="00B56301" w:rsidP="00B37B65">
            <w:pPr>
              <w:jc w:val="right"/>
              <w:rPr>
                <w:rFonts w:asciiTheme="minorHAnsi" w:hAnsiTheme="minorHAnsi"/>
                <w:sz w:val="16"/>
                <w:szCs w:val="14"/>
              </w:rPr>
            </w:pPr>
            <w:r w:rsidRPr="00364545">
              <w:rPr>
                <w:sz w:val="16"/>
              </w:rPr>
              <w:t>105,30</w:t>
            </w:r>
          </w:p>
        </w:tc>
      </w:tr>
      <w:tr w:rsidR="00B56301" w:rsidRPr="00364545" w14:paraId="6B28C2F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28390F4" w14:textId="7E88C6D4"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6C5CC485" w14:textId="77777777" w:rsidR="00B56301" w:rsidRPr="00364545" w:rsidRDefault="00B56301" w:rsidP="00B37B65">
            <w:pPr>
              <w:jc w:val="right"/>
              <w:rPr>
                <w:rFonts w:asciiTheme="minorHAnsi" w:hAnsiTheme="minorHAnsi"/>
                <w:sz w:val="16"/>
                <w:szCs w:val="14"/>
              </w:rPr>
            </w:pPr>
            <w:r w:rsidRPr="00364545">
              <w:rPr>
                <w:sz w:val="16"/>
              </w:rPr>
              <w:t>1,24</w:t>
            </w:r>
          </w:p>
        </w:tc>
        <w:tc>
          <w:tcPr>
            <w:tcW w:w="991" w:type="dxa"/>
            <w:tcBorders>
              <w:top w:val="nil"/>
              <w:left w:val="nil"/>
              <w:bottom w:val="single" w:sz="4" w:space="0" w:color="auto"/>
              <w:right w:val="single" w:sz="4" w:space="0" w:color="auto"/>
            </w:tcBorders>
            <w:shd w:val="clear" w:color="000000" w:fill="FFFFFF"/>
            <w:noWrap/>
            <w:vAlign w:val="bottom"/>
            <w:hideMark/>
          </w:tcPr>
          <w:p w14:paraId="3DEC0107" w14:textId="77777777" w:rsidR="00B56301" w:rsidRPr="00364545" w:rsidRDefault="00B56301" w:rsidP="00B37B65">
            <w:pPr>
              <w:jc w:val="right"/>
              <w:rPr>
                <w:rFonts w:asciiTheme="minorHAnsi" w:hAnsiTheme="minorHAnsi"/>
                <w:sz w:val="16"/>
                <w:szCs w:val="14"/>
              </w:rPr>
            </w:pPr>
            <w:r w:rsidRPr="00364545">
              <w:rPr>
                <w:sz w:val="16"/>
              </w:rPr>
              <w:t>1,23</w:t>
            </w:r>
          </w:p>
        </w:tc>
        <w:tc>
          <w:tcPr>
            <w:tcW w:w="991" w:type="dxa"/>
            <w:tcBorders>
              <w:top w:val="nil"/>
              <w:left w:val="nil"/>
              <w:bottom w:val="single" w:sz="4" w:space="0" w:color="auto"/>
              <w:right w:val="single" w:sz="4" w:space="0" w:color="auto"/>
            </w:tcBorders>
            <w:shd w:val="clear" w:color="000000" w:fill="FFFFFF"/>
            <w:noWrap/>
            <w:vAlign w:val="bottom"/>
            <w:hideMark/>
          </w:tcPr>
          <w:p w14:paraId="21F033CD" w14:textId="77777777" w:rsidR="00B56301" w:rsidRPr="00364545" w:rsidRDefault="00B56301" w:rsidP="00B37B65">
            <w:pPr>
              <w:jc w:val="right"/>
              <w:rPr>
                <w:rFonts w:asciiTheme="minorHAnsi" w:hAnsiTheme="minorHAnsi"/>
                <w:sz w:val="16"/>
                <w:szCs w:val="14"/>
              </w:rPr>
            </w:pPr>
            <w:r w:rsidRPr="00364545">
              <w:rPr>
                <w:sz w:val="16"/>
              </w:rPr>
              <w:t>1,29</w:t>
            </w:r>
          </w:p>
        </w:tc>
        <w:tc>
          <w:tcPr>
            <w:tcW w:w="991" w:type="dxa"/>
            <w:tcBorders>
              <w:top w:val="nil"/>
              <w:left w:val="nil"/>
              <w:bottom w:val="single" w:sz="4" w:space="0" w:color="auto"/>
              <w:right w:val="single" w:sz="4" w:space="0" w:color="auto"/>
            </w:tcBorders>
            <w:shd w:val="clear" w:color="000000" w:fill="FFFFFF"/>
            <w:noWrap/>
            <w:vAlign w:val="bottom"/>
            <w:hideMark/>
          </w:tcPr>
          <w:p w14:paraId="16FFF32D" w14:textId="77777777" w:rsidR="00B56301" w:rsidRPr="00364545" w:rsidRDefault="00B56301" w:rsidP="00B37B65">
            <w:pPr>
              <w:jc w:val="right"/>
              <w:rPr>
                <w:rFonts w:asciiTheme="minorHAnsi" w:hAnsiTheme="minorHAnsi"/>
                <w:sz w:val="16"/>
                <w:szCs w:val="14"/>
              </w:rPr>
            </w:pPr>
            <w:r w:rsidRPr="00364545">
              <w:rPr>
                <w:sz w:val="16"/>
              </w:rPr>
              <w:t>1,34</w:t>
            </w:r>
          </w:p>
        </w:tc>
        <w:tc>
          <w:tcPr>
            <w:tcW w:w="991" w:type="dxa"/>
            <w:tcBorders>
              <w:top w:val="nil"/>
              <w:left w:val="nil"/>
              <w:bottom w:val="single" w:sz="4" w:space="0" w:color="auto"/>
              <w:right w:val="single" w:sz="4" w:space="0" w:color="auto"/>
            </w:tcBorders>
            <w:shd w:val="clear" w:color="000000" w:fill="FFFFFF"/>
            <w:noWrap/>
            <w:vAlign w:val="bottom"/>
            <w:hideMark/>
          </w:tcPr>
          <w:p w14:paraId="7420C58F" w14:textId="77777777" w:rsidR="00B56301" w:rsidRPr="00364545" w:rsidRDefault="00B56301" w:rsidP="00B37B65">
            <w:pPr>
              <w:jc w:val="right"/>
              <w:rPr>
                <w:rFonts w:asciiTheme="minorHAnsi" w:hAnsiTheme="minorHAnsi"/>
                <w:sz w:val="16"/>
                <w:szCs w:val="14"/>
              </w:rPr>
            </w:pPr>
            <w:r w:rsidRPr="00364545">
              <w:rPr>
                <w:sz w:val="16"/>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2847F257" w14:textId="77777777" w:rsidR="00B56301" w:rsidRPr="00364545" w:rsidRDefault="00B56301" w:rsidP="00B37B65">
            <w:pPr>
              <w:jc w:val="right"/>
              <w:rPr>
                <w:rFonts w:asciiTheme="minorHAnsi" w:hAnsiTheme="minorHAnsi"/>
                <w:sz w:val="16"/>
                <w:szCs w:val="14"/>
              </w:rPr>
            </w:pPr>
            <w:r w:rsidRPr="00364545">
              <w:rPr>
                <w:sz w:val="16"/>
              </w:rPr>
              <w:t>1,39</w:t>
            </w:r>
          </w:p>
        </w:tc>
      </w:tr>
      <w:tr w:rsidR="00B56301" w:rsidRPr="00364545" w14:paraId="1E09FDB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CBF232" w14:textId="6040ACB3"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4C171CD7" w14:textId="77777777" w:rsidR="00B56301" w:rsidRPr="00364545" w:rsidRDefault="00B56301" w:rsidP="00B37B65">
            <w:pPr>
              <w:jc w:val="right"/>
              <w:rPr>
                <w:rFonts w:asciiTheme="minorHAnsi" w:hAnsiTheme="minorHAnsi"/>
                <w:sz w:val="16"/>
                <w:szCs w:val="14"/>
              </w:rPr>
            </w:pPr>
            <w:r w:rsidRPr="00364545">
              <w:rPr>
                <w:sz w:val="16"/>
              </w:rPr>
              <w:t>3,45</w:t>
            </w:r>
          </w:p>
        </w:tc>
        <w:tc>
          <w:tcPr>
            <w:tcW w:w="991" w:type="dxa"/>
            <w:tcBorders>
              <w:top w:val="nil"/>
              <w:left w:val="nil"/>
              <w:bottom w:val="single" w:sz="4" w:space="0" w:color="auto"/>
              <w:right w:val="single" w:sz="4" w:space="0" w:color="auto"/>
            </w:tcBorders>
            <w:shd w:val="clear" w:color="000000" w:fill="FFFFFF"/>
            <w:noWrap/>
            <w:vAlign w:val="bottom"/>
            <w:hideMark/>
          </w:tcPr>
          <w:p w14:paraId="2DBA322F" w14:textId="77777777" w:rsidR="00B56301" w:rsidRPr="00364545" w:rsidRDefault="00B56301" w:rsidP="00B37B65">
            <w:pPr>
              <w:jc w:val="right"/>
              <w:rPr>
                <w:rFonts w:asciiTheme="minorHAnsi" w:hAnsiTheme="minorHAnsi"/>
                <w:sz w:val="16"/>
                <w:szCs w:val="14"/>
              </w:rPr>
            </w:pPr>
            <w:r w:rsidRPr="00364545">
              <w:rPr>
                <w:sz w:val="16"/>
              </w:rPr>
              <w:t>3,18</w:t>
            </w:r>
          </w:p>
        </w:tc>
        <w:tc>
          <w:tcPr>
            <w:tcW w:w="991" w:type="dxa"/>
            <w:tcBorders>
              <w:top w:val="nil"/>
              <w:left w:val="nil"/>
              <w:bottom w:val="single" w:sz="4" w:space="0" w:color="auto"/>
              <w:right w:val="single" w:sz="4" w:space="0" w:color="auto"/>
            </w:tcBorders>
            <w:shd w:val="clear" w:color="000000" w:fill="FFFFFF"/>
            <w:noWrap/>
            <w:vAlign w:val="bottom"/>
            <w:hideMark/>
          </w:tcPr>
          <w:p w14:paraId="5B23F2E4" w14:textId="77777777" w:rsidR="00B56301" w:rsidRPr="00364545" w:rsidRDefault="00B56301" w:rsidP="00B37B65">
            <w:pPr>
              <w:jc w:val="right"/>
              <w:rPr>
                <w:rFonts w:asciiTheme="minorHAnsi" w:hAnsiTheme="minorHAnsi"/>
                <w:sz w:val="16"/>
                <w:szCs w:val="14"/>
              </w:rPr>
            </w:pPr>
            <w:r w:rsidRPr="00364545">
              <w:rPr>
                <w:sz w:val="16"/>
              </w:rPr>
              <w:t>3,19</w:t>
            </w:r>
          </w:p>
        </w:tc>
        <w:tc>
          <w:tcPr>
            <w:tcW w:w="991" w:type="dxa"/>
            <w:tcBorders>
              <w:top w:val="nil"/>
              <w:left w:val="nil"/>
              <w:bottom w:val="single" w:sz="4" w:space="0" w:color="auto"/>
              <w:right w:val="single" w:sz="4" w:space="0" w:color="auto"/>
            </w:tcBorders>
            <w:shd w:val="clear" w:color="000000" w:fill="FFFFFF"/>
            <w:noWrap/>
            <w:vAlign w:val="bottom"/>
            <w:hideMark/>
          </w:tcPr>
          <w:p w14:paraId="0D29E90D" w14:textId="77777777" w:rsidR="00B56301" w:rsidRPr="00364545" w:rsidRDefault="00B56301" w:rsidP="00B37B65">
            <w:pPr>
              <w:jc w:val="right"/>
              <w:rPr>
                <w:rFonts w:asciiTheme="minorHAnsi" w:hAnsiTheme="minorHAnsi"/>
                <w:sz w:val="16"/>
                <w:szCs w:val="14"/>
              </w:rPr>
            </w:pPr>
            <w:r w:rsidRPr="00364545">
              <w:rPr>
                <w:sz w:val="16"/>
              </w:rPr>
              <w:t>3,15</w:t>
            </w:r>
          </w:p>
        </w:tc>
        <w:tc>
          <w:tcPr>
            <w:tcW w:w="991" w:type="dxa"/>
            <w:tcBorders>
              <w:top w:val="nil"/>
              <w:left w:val="nil"/>
              <w:bottom w:val="single" w:sz="4" w:space="0" w:color="auto"/>
              <w:right w:val="single" w:sz="4" w:space="0" w:color="auto"/>
            </w:tcBorders>
            <w:shd w:val="clear" w:color="000000" w:fill="FFFFFF"/>
            <w:noWrap/>
            <w:vAlign w:val="bottom"/>
            <w:hideMark/>
          </w:tcPr>
          <w:p w14:paraId="1BDE517F" w14:textId="77777777" w:rsidR="00B56301" w:rsidRPr="00364545" w:rsidRDefault="00B56301" w:rsidP="00B37B65">
            <w:pPr>
              <w:jc w:val="right"/>
              <w:rPr>
                <w:rFonts w:asciiTheme="minorHAnsi" w:hAnsiTheme="minorHAnsi"/>
                <w:sz w:val="16"/>
                <w:szCs w:val="14"/>
              </w:rPr>
            </w:pPr>
            <w:r w:rsidRPr="00364545">
              <w:rPr>
                <w:sz w:val="16"/>
              </w:rPr>
              <w:t>4,04</w:t>
            </w:r>
          </w:p>
        </w:tc>
        <w:tc>
          <w:tcPr>
            <w:tcW w:w="991" w:type="dxa"/>
            <w:tcBorders>
              <w:top w:val="nil"/>
              <w:left w:val="nil"/>
              <w:bottom w:val="single" w:sz="4" w:space="0" w:color="auto"/>
              <w:right w:val="single" w:sz="4" w:space="0" w:color="auto"/>
            </w:tcBorders>
            <w:shd w:val="clear" w:color="000000" w:fill="FFFFFF"/>
            <w:noWrap/>
            <w:vAlign w:val="bottom"/>
            <w:hideMark/>
          </w:tcPr>
          <w:p w14:paraId="3AE92A56" w14:textId="77777777" w:rsidR="00B56301" w:rsidRPr="00364545" w:rsidRDefault="00B56301" w:rsidP="00B37B65">
            <w:pPr>
              <w:jc w:val="right"/>
              <w:rPr>
                <w:rFonts w:asciiTheme="minorHAnsi" w:hAnsiTheme="minorHAnsi"/>
                <w:sz w:val="16"/>
                <w:szCs w:val="14"/>
              </w:rPr>
            </w:pPr>
            <w:r w:rsidRPr="00364545">
              <w:rPr>
                <w:sz w:val="16"/>
              </w:rPr>
              <w:t>3,49</w:t>
            </w:r>
          </w:p>
        </w:tc>
      </w:tr>
      <w:tr w:rsidR="00B56301" w:rsidRPr="00364545" w14:paraId="3CF4471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057DCA2" w14:textId="2C2E2845"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3. 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45B7E355" w14:textId="77777777" w:rsidR="00B56301" w:rsidRPr="00364545" w:rsidRDefault="00B56301" w:rsidP="00B37B65">
            <w:pPr>
              <w:jc w:val="right"/>
              <w:rPr>
                <w:rFonts w:asciiTheme="minorHAnsi" w:hAnsiTheme="minorHAnsi"/>
                <w:sz w:val="16"/>
                <w:szCs w:val="14"/>
              </w:rPr>
            </w:pPr>
            <w:r w:rsidRPr="00364545">
              <w:rPr>
                <w:sz w:val="16"/>
              </w:rPr>
              <w:t>22,77</w:t>
            </w:r>
          </w:p>
        </w:tc>
        <w:tc>
          <w:tcPr>
            <w:tcW w:w="991" w:type="dxa"/>
            <w:tcBorders>
              <w:top w:val="nil"/>
              <w:left w:val="nil"/>
              <w:bottom w:val="single" w:sz="4" w:space="0" w:color="auto"/>
              <w:right w:val="single" w:sz="4" w:space="0" w:color="auto"/>
            </w:tcBorders>
            <w:shd w:val="clear" w:color="000000" w:fill="FFFFFF"/>
            <w:noWrap/>
            <w:vAlign w:val="bottom"/>
            <w:hideMark/>
          </w:tcPr>
          <w:p w14:paraId="3A98FB5D" w14:textId="77777777" w:rsidR="00B56301" w:rsidRPr="00364545" w:rsidRDefault="00B56301" w:rsidP="00B37B65">
            <w:pPr>
              <w:jc w:val="right"/>
              <w:rPr>
                <w:rFonts w:asciiTheme="minorHAnsi" w:hAnsiTheme="minorHAnsi"/>
                <w:sz w:val="16"/>
                <w:szCs w:val="14"/>
              </w:rPr>
            </w:pPr>
            <w:r w:rsidRPr="00364545">
              <w:rPr>
                <w:sz w:val="16"/>
              </w:rPr>
              <w:t>21,29</w:t>
            </w:r>
          </w:p>
        </w:tc>
        <w:tc>
          <w:tcPr>
            <w:tcW w:w="991" w:type="dxa"/>
            <w:tcBorders>
              <w:top w:val="nil"/>
              <w:left w:val="nil"/>
              <w:bottom w:val="single" w:sz="4" w:space="0" w:color="auto"/>
              <w:right w:val="single" w:sz="4" w:space="0" w:color="auto"/>
            </w:tcBorders>
            <w:shd w:val="clear" w:color="000000" w:fill="FFFFFF"/>
            <w:noWrap/>
            <w:vAlign w:val="bottom"/>
            <w:hideMark/>
          </w:tcPr>
          <w:p w14:paraId="19EFEB97" w14:textId="77777777" w:rsidR="00B56301" w:rsidRPr="00364545" w:rsidRDefault="00B56301" w:rsidP="00B37B65">
            <w:pPr>
              <w:jc w:val="right"/>
              <w:rPr>
                <w:rFonts w:asciiTheme="minorHAnsi" w:hAnsiTheme="minorHAnsi"/>
                <w:sz w:val="16"/>
                <w:szCs w:val="14"/>
              </w:rPr>
            </w:pPr>
            <w:r w:rsidRPr="00364545">
              <w:rPr>
                <w:sz w:val="16"/>
              </w:rPr>
              <w:t>19,34</w:t>
            </w:r>
          </w:p>
        </w:tc>
        <w:tc>
          <w:tcPr>
            <w:tcW w:w="991" w:type="dxa"/>
            <w:tcBorders>
              <w:top w:val="nil"/>
              <w:left w:val="nil"/>
              <w:bottom w:val="single" w:sz="4" w:space="0" w:color="auto"/>
              <w:right w:val="single" w:sz="4" w:space="0" w:color="auto"/>
            </w:tcBorders>
            <w:shd w:val="clear" w:color="000000" w:fill="FFFFFF"/>
            <w:noWrap/>
            <w:vAlign w:val="bottom"/>
            <w:hideMark/>
          </w:tcPr>
          <w:p w14:paraId="242DBA4D" w14:textId="77777777" w:rsidR="00B56301" w:rsidRPr="00364545" w:rsidRDefault="00B56301" w:rsidP="00B37B65">
            <w:pPr>
              <w:jc w:val="right"/>
              <w:rPr>
                <w:rFonts w:asciiTheme="minorHAnsi" w:hAnsiTheme="minorHAnsi"/>
                <w:sz w:val="16"/>
                <w:szCs w:val="14"/>
              </w:rPr>
            </w:pPr>
            <w:r w:rsidRPr="00364545">
              <w:rPr>
                <w:sz w:val="16"/>
              </w:rPr>
              <w:t>17,92</w:t>
            </w:r>
          </w:p>
        </w:tc>
        <w:tc>
          <w:tcPr>
            <w:tcW w:w="991" w:type="dxa"/>
            <w:tcBorders>
              <w:top w:val="nil"/>
              <w:left w:val="nil"/>
              <w:bottom w:val="single" w:sz="4" w:space="0" w:color="auto"/>
              <w:right w:val="single" w:sz="4" w:space="0" w:color="auto"/>
            </w:tcBorders>
            <w:shd w:val="clear" w:color="000000" w:fill="FFFFFF"/>
            <w:noWrap/>
            <w:vAlign w:val="bottom"/>
            <w:hideMark/>
          </w:tcPr>
          <w:p w14:paraId="0950E987" w14:textId="77777777" w:rsidR="00B56301" w:rsidRPr="00364545" w:rsidRDefault="00B56301" w:rsidP="00B37B65">
            <w:pPr>
              <w:jc w:val="right"/>
              <w:rPr>
                <w:rFonts w:asciiTheme="minorHAnsi" w:hAnsiTheme="minorHAnsi"/>
                <w:sz w:val="16"/>
                <w:szCs w:val="14"/>
              </w:rPr>
            </w:pPr>
            <w:r w:rsidRPr="00364545">
              <w:rPr>
                <w:sz w:val="16"/>
              </w:rPr>
              <w:t>16,43</w:t>
            </w:r>
          </w:p>
        </w:tc>
        <w:tc>
          <w:tcPr>
            <w:tcW w:w="991" w:type="dxa"/>
            <w:tcBorders>
              <w:top w:val="nil"/>
              <w:left w:val="nil"/>
              <w:bottom w:val="single" w:sz="4" w:space="0" w:color="auto"/>
              <w:right w:val="single" w:sz="4" w:space="0" w:color="auto"/>
            </w:tcBorders>
            <w:shd w:val="clear" w:color="000000" w:fill="FFFFFF"/>
            <w:noWrap/>
            <w:vAlign w:val="bottom"/>
            <w:hideMark/>
          </w:tcPr>
          <w:p w14:paraId="001B9373" w14:textId="77777777" w:rsidR="00B56301" w:rsidRPr="00364545" w:rsidRDefault="00B56301" w:rsidP="00B37B65">
            <w:pPr>
              <w:jc w:val="right"/>
              <w:rPr>
                <w:rFonts w:asciiTheme="minorHAnsi" w:hAnsiTheme="minorHAnsi"/>
                <w:sz w:val="16"/>
                <w:szCs w:val="14"/>
              </w:rPr>
            </w:pPr>
            <w:r w:rsidRPr="00364545">
              <w:rPr>
                <w:sz w:val="16"/>
              </w:rPr>
              <w:t>14,46</w:t>
            </w:r>
          </w:p>
        </w:tc>
      </w:tr>
      <w:tr w:rsidR="00B56301" w:rsidRPr="00364545" w14:paraId="5139EC1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59276A" w14:textId="01CB9F5C"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4. 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3149C362" w14:textId="77777777" w:rsidR="00B56301" w:rsidRPr="00364545" w:rsidRDefault="00B56301" w:rsidP="00B37B65">
            <w:pPr>
              <w:jc w:val="right"/>
              <w:rPr>
                <w:rFonts w:asciiTheme="minorHAnsi" w:hAnsiTheme="minorHAnsi"/>
                <w:sz w:val="16"/>
                <w:szCs w:val="14"/>
              </w:rPr>
            </w:pPr>
            <w:r w:rsidRPr="00364545">
              <w:rPr>
                <w:sz w:val="16"/>
              </w:rPr>
              <w:t>128,64</w:t>
            </w:r>
          </w:p>
        </w:tc>
        <w:tc>
          <w:tcPr>
            <w:tcW w:w="991" w:type="dxa"/>
            <w:tcBorders>
              <w:top w:val="nil"/>
              <w:left w:val="nil"/>
              <w:bottom w:val="single" w:sz="4" w:space="0" w:color="auto"/>
              <w:right w:val="single" w:sz="4" w:space="0" w:color="auto"/>
            </w:tcBorders>
            <w:shd w:val="clear" w:color="000000" w:fill="FFFFFF"/>
            <w:noWrap/>
            <w:vAlign w:val="bottom"/>
            <w:hideMark/>
          </w:tcPr>
          <w:p w14:paraId="75D95114" w14:textId="77777777" w:rsidR="00B56301" w:rsidRPr="00364545" w:rsidRDefault="00B56301" w:rsidP="00B37B65">
            <w:pPr>
              <w:jc w:val="right"/>
              <w:rPr>
                <w:rFonts w:asciiTheme="minorHAnsi" w:hAnsiTheme="minorHAnsi"/>
                <w:sz w:val="16"/>
                <w:szCs w:val="14"/>
              </w:rPr>
            </w:pPr>
            <w:r w:rsidRPr="00364545">
              <w:rPr>
                <w:sz w:val="16"/>
              </w:rPr>
              <w:t>114,19</w:t>
            </w:r>
          </w:p>
        </w:tc>
        <w:tc>
          <w:tcPr>
            <w:tcW w:w="991" w:type="dxa"/>
            <w:tcBorders>
              <w:top w:val="nil"/>
              <w:left w:val="nil"/>
              <w:bottom w:val="single" w:sz="4" w:space="0" w:color="auto"/>
              <w:right w:val="single" w:sz="4" w:space="0" w:color="auto"/>
            </w:tcBorders>
            <w:shd w:val="clear" w:color="000000" w:fill="FFFFFF"/>
            <w:noWrap/>
            <w:vAlign w:val="bottom"/>
            <w:hideMark/>
          </w:tcPr>
          <w:p w14:paraId="2D08723D" w14:textId="77777777" w:rsidR="00B56301" w:rsidRPr="00364545" w:rsidRDefault="00B56301" w:rsidP="00B37B65">
            <w:pPr>
              <w:jc w:val="right"/>
              <w:rPr>
                <w:rFonts w:asciiTheme="minorHAnsi" w:hAnsiTheme="minorHAnsi"/>
                <w:sz w:val="16"/>
                <w:szCs w:val="14"/>
              </w:rPr>
            </w:pPr>
            <w:r w:rsidRPr="00364545">
              <w:rPr>
                <w:sz w:val="16"/>
              </w:rPr>
              <w:t>116,94</w:t>
            </w:r>
          </w:p>
        </w:tc>
        <w:tc>
          <w:tcPr>
            <w:tcW w:w="991" w:type="dxa"/>
            <w:tcBorders>
              <w:top w:val="nil"/>
              <w:left w:val="nil"/>
              <w:bottom w:val="single" w:sz="4" w:space="0" w:color="auto"/>
              <w:right w:val="single" w:sz="4" w:space="0" w:color="auto"/>
            </w:tcBorders>
            <w:shd w:val="clear" w:color="000000" w:fill="FFFFFF"/>
            <w:noWrap/>
            <w:vAlign w:val="bottom"/>
            <w:hideMark/>
          </w:tcPr>
          <w:p w14:paraId="38135F4F" w14:textId="77777777" w:rsidR="00B56301" w:rsidRPr="00364545" w:rsidRDefault="00B56301" w:rsidP="00B37B65">
            <w:pPr>
              <w:jc w:val="right"/>
              <w:rPr>
                <w:rFonts w:asciiTheme="minorHAnsi" w:hAnsiTheme="minorHAnsi"/>
                <w:sz w:val="16"/>
                <w:szCs w:val="14"/>
              </w:rPr>
            </w:pPr>
            <w:r w:rsidRPr="00364545">
              <w:rPr>
                <w:sz w:val="16"/>
              </w:rPr>
              <w:t>112,17</w:t>
            </w:r>
          </w:p>
        </w:tc>
        <w:tc>
          <w:tcPr>
            <w:tcW w:w="991" w:type="dxa"/>
            <w:tcBorders>
              <w:top w:val="nil"/>
              <w:left w:val="nil"/>
              <w:bottom w:val="single" w:sz="4" w:space="0" w:color="auto"/>
              <w:right w:val="single" w:sz="4" w:space="0" w:color="auto"/>
            </w:tcBorders>
            <w:shd w:val="clear" w:color="000000" w:fill="FFFFFF"/>
            <w:noWrap/>
            <w:vAlign w:val="bottom"/>
            <w:hideMark/>
          </w:tcPr>
          <w:p w14:paraId="5A3C28AC" w14:textId="77777777" w:rsidR="00B56301" w:rsidRPr="00364545" w:rsidRDefault="00B56301" w:rsidP="00B37B65">
            <w:pPr>
              <w:jc w:val="right"/>
              <w:rPr>
                <w:rFonts w:asciiTheme="minorHAnsi" w:hAnsiTheme="minorHAnsi"/>
                <w:sz w:val="16"/>
                <w:szCs w:val="14"/>
              </w:rPr>
            </w:pPr>
            <w:r w:rsidRPr="00364545">
              <w:rPr>
                <w:sz w:val="16"/>
              </w:rPr>
              <w:t>102,43</w:t>
            </w:r>
          </w:p>
        </w:tc>
        <w:tc>
          <w:tcPr>
            <w:tcW w:w="991" w:type="dxa"/>
            <w:tcBorders>
              <w:top w:val="nil"/>
              <w:left w:val="nil"/>
              <w:bottom w:val="single" w:sz="4" w:space="0" w:color="auto"/>
              <w:right w:val="single" w:sz="4" w:space="0" w:color="auto"/>
            </w:tcBorders>
            <w:shd w:val="clear" w:color="000000" w:fill="FFFFFF"/>
            <w:noWrap/>
            <w:vAlign w:val="bottom"/>
            <w:hideMark/>
          </w:tcPr>
          <w:p w14:paraId="50F1398E" w14:textId="77777777" w:rsidR="00B56301" w:rsidRPr="00364545" w:rsidRDefault="00B56301" w:rsidP="00B37B65">
            <w:pPr>
              <w:jc w:val="right"/>
              <w:rPr>
                <w:rFonts w:asciiTheme="minorHAnsi" w:hAnsiTheme="minorHAnsi"/>
                <w:sz w:val="16"/>
                <w:szCs w:val="14"/>
              </w:rPr>
            </w:pPr>
            <w:r w:rsidRPr="00364545">
              <w:rPr>
                <w:sz w:val="16"/>
              </w:rPr>
              <w:t>85,80</w:t>
            </w:r>
          </w:p>
        </w:tc>
      </w:tr>
      <w:tr w:rsidR="00B56301" w:rsidRPr="00364545" w14:paraId="7E616C6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6229FE5" w14:textId="7BAD3A0D"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5. Other</w:t>
            </w:r>
          </w:p>
        </w:tc>
        <w:tc>
          <w:tcPr>
            <w:tcW w:w="991" w:type="dxa"/>
            <w:tcBorders>
              <w:top w:val="nil"/>
              <w:left w:val="nil"/>
              <w:bottom w:val="single" w:sz="4" w:space="0" w:color="auto"/>
              <w:right w:val="single" w:sz="4" w:space="0" w:color="auto"/>
            </w:tcBorders>
            <w:shd w:val="clear" w:color="000000" w:fill="FFFFFF"/>
            <w:noWrap/>
            <w:vAlign w:val="bottom"/>
            <w:hideMark/>
          </w:tcPr>
          <w:p w14:paraId="695CEBDB"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2CD11E54" w14:textId="77777777" w:rsidR="00B56301" w:rsidRPr="00364545" w:rsidRDefault="00B56301" w:rsidP="00B37B65">
            <w:pPr>
              <w:jc w:val="right"/>
              <w:rPr>
                <w:rFonts w:asciiTheme="minorHAnsi" w:hAnsiTheme="minorHAnsi"/>
                <w:sz w:val="16"/>
                <w:szCs w:val="14"/>
              </w:rPr>
            </w:pPr>
            <w:r w:rsidRPr="00364545">
              <w:rPr>
                <w:sz w:val="16"/>
              </w:rPr>
              <w:t>0,17</w:t>
            </w:r>
          </w:p>
        </w:tc>
        <w:tc>
          <w:tcPr>
            <w:tcW w:w="991" w:type="dxa"/>
            <w:tcBorders>
              <w:top w:val="nil"/>
              <w:left w:val="nil"/>
              <w:bottom w:val="single" w:sz="4" w:space="0" w:color="auto"/>
              <w:right w:val="single" w:sz="4" w:space="0" w:color="auto"/>
            </w:tcBorders>
            <w:shd w:val="clear" w:color="000000" w:fill="FFFFFF"/>
            <w:noWrap/>
            <w:vAlign w:val="bottom"/>
            <w:hideMark/>
          </w:tcPr>
          <w:p w14:paraId="6D855A53" w14:textId="77777777" w:rsidR="00B56301" w:rsidRPr="00364545" w:rsidRDefault="00B56301" w:rsidP="00B37B65">
            <w:pPr>
              <w:jc w:val="right"/>
              <w:rPr>
                <w:rFonts w:asciiTheme="minorHAnsi" w:hAnsiTheme="minorHAnsi"/>
                <w:sz w:val="16"/>
                <w:szCs w:val="14"/>
              </w:rPr>
            </w:pPr>
            <w:r w:rsidRPr="00364545">
              <w:rPr>
                <w:sz w:val="16"/>
              </w:rPr>
              <w:t>0,17</w:t>
            </w:r>
          </w:p>
        </w:tc>
        <w:tc>
          <w:tcPr>
            <w:tcW w:w="991" w:type="dxa"/>
            <w:tcBorders>
              <w:top w:val="nil"/>
              <w:left w:val="nil"/>
              <w:bottom w:val="single" w:sz="4" w:space="0" w:color="auto"/>
              <w:right w:val="single" w:sz="4" w:space="0" w:color="auto"/>
            </w:tcBorders>
            <w:shd w:val="clear" w:color="000000" w:fill="FFFFFF"/>
            <w:noWrap/>
            <w:vAlign w:val="bottom"/>
            <w:hideMark/>
          </w:tcPr>
          <w:p w14:paraId="2FE70BE1" w14:textId="77777777" w:rsidR="00B56301" w:rsidRPr="00364545" w:rsidRDefault="00B56301" w:rsidP="00B37B65">
            <w:pPr>
              <w:jc w:val="right"/>
              <w:rPr>
                <w:rFonts w:asciiTheme="minorHAnsi" w:hAnsiTheme="minorHAnsi"/>
                <w:sz w:val="16"/>
                <w:szCs w:val="14"/>
              </w:rPr>
            </w:pPr>
            <w:r w:rsidRPr="00364545">
              <w:rPr>
                <w:sz w:val="16"/>
              </w:rPr>
              <w:t>0,18</w:t>
            </w:r>
          </w:p>
        </w:tc>
        <w:tc>
          <w:tcPr>
            <w:tcW w:w="991" w:type="dxa"/>
            <w:tcBorders>
              <w:top w:val="nil"/>
              <w:left w:val="nil"/>
              <w:bottom w:val="single" w:sz="4" w:space="0" w:color="auto"/>
              <w:right w:val="single" w:sz="4" w:space="0" w:color="auto"/>
            </w:tcBorders>
            <w:shd w:val="clear" w:color="000000" w:fill="FFFFFF"/>
            <w:noWrap/>
            <w:vAlign w:val="bottom"/>
            <w:hideMark/>
          </w:tcPr>
          <w:p w14:paraId="4DBF759A" w14:textId="77777777" w:rsidR="00B56301" w:rsidRPr="00364545" w:rsidRDefault="00B56301" w:rsidP="00B37B65">
            <w:pPr>
              <w:jc w:val="right"/>
              <w:rPr>
                <w:rFonts w:asciiTheme="minorHAnsi" w:hAnsiTheme="minorHAnsi"/>
                <w:sz w:val="16"/>
                <w:szCs w:val="14"/>
              </w:rPr>
            </w:pPr>
            <w:r w:rsidRPr="00364545">
              <w:rPr>
                <w:sz w:val="16"/>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450F7DFF" w14:textId="77777777" w:rsidR="00B56301" w:rsidRPr="00364545" w:rsidRDefault="00B56301" w:rsidP="00B37B65">
            <w:pPr>
              <w:jc w:val="right"/>
              <w:rPr>
                <w:rFonts w:asciiTheme="minorHAnsi" w:hAnsiTheme="minorHAnsi"/>
                <w:sz w:val="16"/>
                <w:szCs w:val="14"/>
              </w:rPr>
            </w:pPr>
            <w:r w:rsidRPr="00364545">
              <w:rPr>
                <w:sz w:val="16"/>
              </w:rPr>
              <w:t>0,16</w:t>
            </w:r>
          </w:p>
        </w:tc>
      </w:tr>
      <w:tr w:rsidR="00B56301" w:rsidRPr="00364545" w14:paraId="62832C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A89E57E"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173606B1" w14:textId="77777777" w:rsidR="00B56301" w:rsidRPr="00364545" w:rsidRDefault="00B56301" w:rsidP="00B37B65">
            <w:pPr>
              <w:jc w:val="right"/>
              <w:rPr>
                <w:rFonts w:asciiTheme="minorHAnsi" w:hAnsiTheme="minorHAnsi"/>
                <w:sz w:val="16"/>
                <w:szCs w:val="14"/>
              </w:rPr>
            </w:pPr>
            <w:r w:rsidRPr="00364545">
              <w:rPr>
                <w:sz w:val="16"/>
              </w:rPr>
              <w:t>132,35</w:t>
            </w:r>
          </w:p>
        </w:tc>
        <w:tc>
          <w:tcPr>
            <w:tcW w:w="991" w:type="dxa"/>
            <w:tcBorders>
              <w:top w:val="nil"/>
              <w:left w:val="nil"/>
              <w:bottom w:val="single" w:sz="4" w:space="0" w:color="auto"/>
              <w:right w:val="single" w:sz="4" w:space="0" w:color="auto"/>
            </w:tcBorders>
            <w:shd w:val="clear" w:color="000000" w:fill="CCFFFF"/>
            <w:noWrap/>
            <w:vAlign w:val="bottom"/>
            <w:hideMark/>
          </w:tcPr>
          <w:p w14:paraId="0EAB67C8" w14:textId="77777777" w:rsidR="00B56301" w:rsidRPr="00364545" w:rsidRDefault="00B56301" w:rsidP="00B37B65">
            <w:pPr>
              <w:jc w:val="right"/>
              <w:rPr>
                <w:rFonts w:asciiTheme="minorHAnsi" w:hAnsiTheme="minorHAnsi"/>
                <w:sz w:val="16"/>
                <w:szCs w:val="14"/>
              </w:rPr>
            </w:pPr>
            <w:r w:rsidRPr="00364545">
              <w:rPr>
                <w:sz w:val="16"/>
              </w:rPr>
              <w:t>108,68</w:t>
            </w:r>
          </w:p>
        </w:tc>
        <w:tc>
          <w:tcPr>
            <w:tcW w:w="991" w:type="dxa"/>
            <w:tcBorders>
              <w:top w:val="nil"/>
              <w:left w:val="nil"/>
              <w:bottom w:val="single" w:sz="4" w:space="0" w:color="auto"/>
              <w:right w:val="single" w:sz="4" w:space="0" w:color="auto"/>
            </w:tcBorders>
            <w:shd w:val="clear" w:color="000000" w:fill="CCFFFF"/>
            <w:noWrap/>
            <w:vAlign w:val="bottom"/>
            <w:hideMark/>
          </w:tcPr>
          <w:p w14:paraId="60B90EF7" w14:textId="77777777" w:rsidR="00B56301" w:rsidRPr="00364545" w:rsidRDefault="00B56301" w:rsidP="00B37B65">
            <w:pPr>
              <w:jc w:val="right"/>
              <w:rPr>
                <w:rFonts w:asciiTheme="minorHAnsi" w:hAnsiTheme="minorHAnsi"/>
                <w:sz w:val="16"/>
                <w:szCs w:val="14"/>
              </w:rPr>
            </w:pPr>
            <w:r w:rsidRPr="00364545">
              <w:rPr>
                <w:sz w:val="16"/>
              </w:rPr>
              <w:t>105,32</w:t>
            </w:r>
          </w:p>
        </w:tc>
        <w:tc>
          <w:tcPr>
            <w:tcW w:w="991" w:type="dxa"/>
            <w:tcBorders>
              <w:top w:val="nil"/>
              <w:left w:val="nil"/>
              <w:bottom w:val="single" w:sz="4" w:space="0" w:color="auto"/>
              <w:right w:val="single" w:sz="4" w:space="0" w:color="auto"/>
            </w:tcBorders>
            <w:shd w:val="clear" w:color="000000" w:fill="CCFFFF"/>
            <w:noWrap/>
            <w:vAlign w:val="bottom"/>
            <w:hideMark/>
          </w:tcPr>
          <w:p w14:paraId="367FF31F" w14:textId="77777777" w:rsidR="00B56301" w:rsidRPr="00364545" w:rsidRDefault="00B56301" w:rsidP="00B37B65">
            <w:pPr>
              <w:jc w:val="right"/>
              <w:rPr>
                <w:rFonts w:asciiTheme="minorHAnsi" w:hAnsiTheme="minorHAnsi"/>
                <w:sz w:val="16"/>
                <w:szCs w:val="14"/>
              </w:rPr>
            </w:pPr>
            <w:r w:rsidRPr="00364545">
              <w:rPr>
                <w:sz w:val="16"/>
              </w:rPr>
              <w:t>85,87</w:t>
            </w:r>
          </w:p>
        </w:tc>
        <w:tc>
          <w:tcPr>
            <w:tcW w:w="991" w:type="dxa"/>
            <w:tcBorders>
              <w:top w:val="nil"/>
              <w:left w:val="nil"/>
              <w:bottom w:val="single" w:sz="4" w:space="0" w:color="auto"/>
              <w:right w:val="single" w:sz="4" w:space="0" w:color="auto"/>
            </w:tcBorders>
            <w:shd w:val="clear" w:color="000000" w:fill="CCFFFF"/>
            <w:noWrap/>
            <w:vAlign w:val="bottom"/>
            <w:hideMark/>
          </w:tcPr>
          <w:p w14:paraId="659EBA7C" w14:textId="77777777" w:rsidR="00B56301" w:rsidRPr="00364545" w:rsidRDefault="00B56301" w:rsidP="00B37B65">
            <w:pPr>
              <w:jc w:val="right"/>
              <w:rPr>
                <w:rFonts w:asciiTheme="minorHAnsi" w:hAnsiTheme="minorHAnsi"/>
                <w:sz w:val="16"/>
                <w:szCs w:val="14"/>
              </w:rPr>
            </w:pPr>
            <w:r w:rsidRPr="00364545">
              <w:rPr>
                <w:sz w:val="16"/>
              </w:rPr>
              <w:t>72,43</w:t>
            </w:r>
          </w:p>
        </w:tc>
        <w:tc>
          <w:tcPr>
            <w:tcW w:w="991" w:type="dxa"/>
            <w:tcBorders>
              <w:top w:val="nil"/>
              <w:left w:val="nil"/>
              <w:bottom w:val="single" w:sz="4" w:space="0" w:color="auto"/>
              <w:right w:val="single" w:sz="4" w:space="0" w:color="auto"/>
            </w:tcBorders>
            <w:shd w:val="clear" w:color="000000" w:fill="CCFFFF"/>
            <w:noWrap/>
            <w:vAlign w:val="bottom"/>
            <w:hideMark/>
          </w:tcPr>
          <w:p w14:paraId="1565192A" w14:textId="77777777" w:rsidR="00B56301" w:rsidRPr="00364545" w:rsidRDefault="00B56301" w:rsidP="00B37B65">
            <w:pPr>
              <w:jc w:val="right"/>
              <w:rPr>
                <w:rFonts w:asciiTheme="minorHAnsi" w:hAnsiTheme="minorHAnsi"/>
                <w:sz w:val="16"/>
                <w:szCs w:val="14"/>
              </w:rPr>
            </w:pPr>
            <w:r w:rsidRPr="00364545">
              <w:rPr>
                <w:sz w:val="16"/>
              </w:rPr>
              <w:t>68,31</w:t>
            </w:r>
          </w:p>
        </w:tc>
      </w:tr>
      <w:tr w:rsidR="00B56301" w:rsidRPr="00364545" w14:paraId="40C4B5B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D44DAAD" w14:textId="3F98F651"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358619BB" w14:textId="77777777" w:rsidR="00B56301" w:rsidRPr="00364545" w:rsidRDefault="00B56301" w:rsidP="00B37B65">
            <w:pPr>
              <w:jc w:val="right"/>
              <w:rPr>
                <w:rFonts w:asciiTheme="minorHAnsi" w:hAnsiTheme="minorHAnsi"/>
                <w:sz w:val="16"/>
                <w:szCs w:val="14"/>
              </w:rPr>
            </w:pPr>
            <w:r w:rsidRPr="00364545">
              <w:rPr>
                <w:sz w:val="16"/>
              </w:rPr>
              <w:t>72,96</w:t>
            </w:r>
          </w:p>
        </w:tc>
        <w:tc>
          <w:tcPr>
            <w:tcW w:w="991" w:type="dxa"/>
            <w:tcBorders>
              <w:top w:val="nil"/>
              <w:left w:val="nil"/>
              <w:bottom w:val="single" w:sz="4" w:space="0" w:color="auto"/>
              <w:right w:val="single" w:sz="4" w:space="0" w:color="auto"/>
            </w:tcBorders>
            <w:shd w:val="clear" w:color="000000" w:fill="FFFFFF"/>
            <w:noWrap/>
            <w:vAlign w:val="bottom"/>
            <w:hideMark/>
          </w:tcPr>
          <w:p w14:paraId="7495F093" w14:textId="77777777" w:rsidR="00B56301" w:rsidRPr="00364545" w:rsidRDefault="00B56301" w:rsidP="00B37B65">
            <w:pPr>
              <w:jc w:val="right"/>
              <w:rPr>
                <w:rFonts w:asciiTheme="minorHAnsi" w:hAnsiTheme="minorHAnsi"/>
                <w:sz w:val="16"/>
                <w:szCs w:val="14"/>
              </w:rPr>
            </w:pPr>
            <w:r w:rsidRPr="00364545">
              <w:rPr>
                <w:sz w:val="16"/>
              </w:rPr>
              <w:t>48,71</w:t>
            </w:r>
          </w:p>
        </w:tc>
        <w:tc>
          <w:tcPr>
            <w:tcW w:w="991" w:type="dxa"/>
            <w:tcBorders>
              <w:top w:val="nil"/>
              <w:left w:val="nil"/>
              <w:bottom w:val="single" w:sz="4" w:space="0" w:color="auto"/>
              <w:right w:val="single" w:sz="4" w:space="0" w:color="auto"/>
            </w:tcBorders>
            <w:shd w:val="clear" w:color="000000" w:fill="FFFFFF"/>
            <w:noWrap/>
            <w:vAlign w:val="bottom"/>
            <w:hideMark/>
          </w:tcPr>
          <w:p w14:paraId="373B28D8" w14:textId="77777777" w:rsidR="00B56301" w:rsidRPr="00364545" w:rsidRDefault="00B56301" w:rsidP="00B37B65">
            <w:pPr>
              <w:jc w:val="right"/>
              <w:rPr>
                <w:rFonts w:asciiTheme="minorHAnsi" w:hAnsiTheme="minorHAnsi"/>
                <w:sz w:val="16"/>
                <w:szCs w:val="14"/>
              </w:rPr>
            </w:pPr>
            <w:r w:rsidRPr="00364545">
              <w:rPr>
                <w:sz w:val="16"/>
              </w:rPr>
              <w:t>46,53</w:t>
            </w:r>
          </w:p>
        </w:tc>
        <w:tc>
          <w:tcPr>
            <w:tcW w:w="991" w:type="dxa"/>
            <w:tcBorders>
              <w:top w:val="nil"/>
              <w:left w:val="nil"/>
              <w:bottom w:val="single" w:sz="4" w:space="0" w:color="auto"/>
              <w:right w:val="single" w:sz="4" w:space="0" w:color="auto"/>
            </w:tcBorders>
            <w:shd w:val="clear" w:color="000000" w:fill="FFFFFF"/>
            <w:noWrap/>
            <w:vAlign w:val="bottom"/>
            <w:hideMark/>
          </w:tcPr>
          <w:p w14:paraId="739AC09B" w14:textId="77777777" w:rsidR="00B56301" w:rsidRPr="00364545" w:rsidRDefault="00B56301" w:rsidP="00B37B65">
            <w:pPr>
              <w:jc w:val="right"/>
              <w:rPr>
                <w:rFonts w:asciiTheme="minorHAnsi" w:hAnsiTheme="minorHAnsi"/>
                <w:sz w:val="16"/>
                <w:szCs w:val="14"/>
              </w:rPr>
            </w:pPr>
            <w:r w:rsidRPr="00364545">
              <w:rPr>
                <w:sz w:val="16"/>
              </w:rPr>
              <w:t>27,44</w:t>
            </w:r>
          </w:p>
        </w:tc>
        <w:tc>
          <w:tcPr>
            <w:tcW w:w="991" w:type="dxa"/>
            <w:tcBorders>
              <w:top w:val="nil"/>
              <w:left w:val="nil"/>
              <w:bottom w:val="single" w:sz="4" w:space="0" w:color="auto"/>
              <w:right w:val="single" w:sz="4" w:space="0" w:color="auto"/>
            </w:tcBorders>
            <w:shd w:val="clear" w:color="000000" w:fill="FFFFFF"/>
            <w:noWrap/>
            <w:vAlign w:val="bottom"/>
            <w:hideMark/>
          </w:tcPr>
          <w:p w14:paraId="12DBE7DB" w14:textId="77777777" w:rsidR="00B56301" w:rsidRPr="00364545" w:rsidRDefault="00B56301" w:rsidP="00B37B65">
            <w:pPr>
              <w:jc w:val="right"/>
              <w:rPr>
                <w:rFonts w:asciiTheme="minorHAnsi" w:hAnsiTheme="minorHAnsi"/>
                <w:sz w:val="16"/>
                <w:szCs w:val="14"/>
              </w:rPr>
            </w:pPr>
            <w:r w:rsidRPr="00364545">
              <w:rPr>
                <w:sz w:val="16"/>
              </w:rPr>
              <w:t>15,57</w:t>
            </w:r>
          </w:p>
        </w:tc>
        <w:tc>
          <w:tcPr>
            <w:tcW w:w="991" w:type="dxa"/>
            <w:tcBorders>
              <w:top w:val="nil"/>
              <w:left w:val="nil"/>
              <w:bottom w:val="single" w:sz="4" w:space="0" w:color="auto"/>
              <w:right w:val="single" w:sz="4" w:space="0" w:color="auto"/>
            </w:tcBorders>
            <w:shd w:val="clear" w:color="000000" w:fill="FFFFFF"/>
            <w:noWrap/>
            <w:vAlign w:val="bottom"/>
            <w:hideMark/>
          </w:tcPr>
          <w:p w14:paraId="195A859E" w14:textId="77777777" w:rsidR="00B56301" w:rsidRPr="00364545" w:rsidRDefault="00B56301" w:rsidP="00B37B65">
            <w:pPr>
              <w:jc w:val="right"/>
              <w:rPr>
                <w:rFonts w:asciiTheme="minorHAnsi" w:hAnsiTheme="minorHAnsi"/>
                <w:sz w:val="16"/>
                <w:szCs w:val="14"/>
              </w:rPr>
            </w:pPr>
            <w:r w:rsidRPr="00364545">
              <w:rPr>
                <w:sz w:val="16"/>
              </w:rPr>
              <w:t>10,19</w:t>
            </w:r>
          </w:p>
        </w:tc>
      </w:tr>
      <w:tr w:rsidR="00B56301" w:rsidRPr="00364545" w14:paraId="77D921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7B4973" w14:textId="6A2E5A10"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75BDAE2B" w14:textId="77777777" w:rsidR="00B56301" w:rsidRPr="00364545" w:rsidRDefault="00B56301" w:rsidP="00B37B65">
            <w:pPr>
              <w:jc w:val="right"/>
              <w:rPr>
                <w:rFonts w:asciiTheme="minorHAnsi" w:hAnsiTheme="minorHAnsi"/>
                <w:sz w:val="16"/>
                <w:szCs w:val="14"/>
              </w:rPr>
            </w:pPr>
            <w:r w:rsidRPr="00364545">
              <w:rPr>
                <w:sz w:val="16"/>
              </w:rPr>
              <w:t>59,39</w:t>
            </w:r>
          </w:p>
        </w:tc>
        <w:tc>
          <w:tcPr>
            <w:tcW w:w="991" w:type="dxa"/>
            <w:tcBorders>
              <w:top w:val="nil"/>
              <w:left w:val="nil"/>
              <w:bottom w:val="single" w:sz="4" w:space="0" w:color="auto"/>
              <w:right w:val="single" w:sz="4" w:space="0" w:color="auto"/>
            </w:tcBorders>
            <w:shd w:val="clear" w:color="000000" w:fill="FFFFFF"/>
            <w:noWrap/>
            <w:vAlign w:val="bottom"/>
            <w:hideMark/>
          </w:tcPr>
          <w:p w14:paraId="08CFAF52" w14:textId="77777777" w:rsidR="00B56301" w:rsidRPr="00364545" w:rsidRDefault="00B56301" w:rsidP="00B37B65">
            <w:pPr>
              <w:jc w:val="right"/>
              <w:rPr>
                <w:rFonts w:asciiTheme="minorHAnsi" w:hAnsiTheme="minorHAnsi"/>
                <w:sz w:val="16"/>
                <w:szCs w:val="14"/>
              </w:rPr>
            </w:pPr>
            <w:r w:rsidRPr="00364545">
              <w:rPr>
                <w:sz w:val="16"/>
              </w:rPr>
              <w:t>59,96</w:t>
            </w:r>
          </w:p>
        </w:tc>
        <w:tc>
          <w:tcPr>
            <w:tcW w:w="991" w:type="dxa"/>
            <w:tcBorders>
              <w:top w:val="nil"/>
              <w:left w:val="nil"/>
              <w:bottom w:val="single" w:sz="4" w:space="0" w:color="auto"/>
              <w:right w:val="single" w:sz="4" w:space="0" w:color="auto"/>
            </w:tcBorders>
            <w:shd w:val="clear" w:color="000000" w:fill="FFFFFF"/>
            <w:noWrap/>
            <w:vAlign w:val="bottom"/>
            <w:hideMark/>
          </w:tcPr>
          <w:p w14:paraId="22858E78" w14:textId="77777777" w:rsidR="00B56301" w:rsidRPr="00364545" w:rsidRDefault="00B56301" w:rsidP="00B37B65">
            <w:pPr>
              <w:jc w:val="right"/>
              <w:rPr>
                <w:rFonts w:asciiTheme="minorHAnsi" w:hAnsiTheme="minorHAnsi"/>
                <w:sz w:val="16"/>
                <w:szCs w:val="14"/>
              </w:rPr>
            </w:pPr>
            <w:r w:rsidRPr="00364545">
              <w:rPr>
                <w:sz w:val="16"/>
              </w:rPr>
              <w:t>58,79</w:t>
            </w:r>
          </w:p>
        </w:tc>
        <w:tc>
          <w:tcPr>
            <w:tcW w:w="991" w:type="dxa"/>
            <w:tcBorders>
              <w:top w:val="nil"/>
              <w:left w:val="nil"/>
              <w:bottom w:val="single" w:sz="4" w:space="0" w:color="auto"/>
              <w:right w:val="single" w:sz="4" w:space="0" w:color="auto"/>
            </w:tcBorders>
            <w:shd w:val="clear" w:color="000000" w:fill="FFFFFF"/>
            <w:noWrap/>
            <w:vAlign w:val="bottom"/>
            <w:hideMark/>
          </w:tcPr>
          <w:p w14:paraId="78B7557A" w14:textId="77777777" w:rsidR="00B56301" w:rsidRPr="00364545" w:rsidRDefault="00B56301" w:rsidP="00B37B65">
            <w:pPr>
              <w:jc w:val="right"/>
              <w:rPr>
                <w:rFonts w:asciiTheme="minorHAnsi" w:hAnsiTheme="minorHAnsi"/>
                <w:sz w:val="16"/>
                <w:szCs w:val="14"/>
              </w:rPr>
            </w:pPr>
            <w:r w:rsidRPr="00364545">
              <w:rPr>
                <w:sz w:val="16"/>
              </w:rPr>
              <w:t>58,43</w:t>
            </w:r>
          </w:p>
        </w:tc>
        <w:tc>
          <w:tcPr>
            <w:tcW w:w="991" w:type="dxa"/>
            <w:tcBorders>
              <w:top w:val="nil"/>
              <w:left w:val="nil"/>
              <w:bottom w:val="single" w:sz="4" w:space="0" w:color="auto"/>
              <w:right w:val="single" w:sz="4" w:space="0" w:color="auto"/>
            </w:tcBorders>
            <w:shd w:val="clear" w:color="000000" w:fill="FFFFFF"/>
            <w:noWrap/>
            <w:vAlign w:val="bottom"/>
            <w:hideMark/>
          </w:tcPr>
          <w:p w14:paraId="2C5718E4" w14:textId="77777777" w:rsidR="00B56301" w:rsidRPr="00364545" w:rsidRDefault="00B56301" w:rsidP="00B37B65">
            <w:pPr>
              <w:jc w:val="right"/>
              <w:rPr>
                <w:rFonts w:asciiTheme="minorHAnsi" w:hAnsiTheme="minorHAnsi"/>
                <w:sz w:val="16"/>
                <w:szCs w:val="14"/>
              </w:rPr>
            </w:pPr>
            <w:r w:rsidRPr="00364545">
              <w:rPr>
                <w:sz w:val="16"/>
              </w:rPr>
              <w:t>56,86</w:t>
            </w:r>
          </w:p>
        </w:tc>
        <w:tc>
          <w:tcPr>
            <w:tcW w:w="991" w:type="dxa"/>
            <w:tcBorders>
              <w:top w:val="nil"/>
              <w:left w:val="nil"/>
              <w:bottom w:val="single" w:sz="4" w:space="0" w:color="auto"/>
              <w:right w:val="single" w:sz="4" w:space="0" w:color="auto"/>
            </w:tcBorders>
            <w:shd w:val="clear" w:color="000000" w:fill="FFFFFF"/>
            <w:noWrap/>
            <w:vAlign w:val="bottom"/>
            <w:hideMark/>
          </w:tcPr>
          <w:p w14:paraId="2462A824" w14:textId="77777777" w:rsidR="00B56301" w:rsidRPr="00364545" w:rsidRDefault="00B56301" w:rsidP="00B37B65">
            <w:pPr>
              <w:jc w:val="right"/>
              <w:rPr>
                <w:rFonts w:asciiTheme="minorHAnsi" w:hAnsiTheme="minorHAnsi"/>
                <w:sz w:val="16"/>
                <w:szCs w:val="14"/>
              </w:rPr>
            </w:pPr>
            <w:r w:rsidRPr="00364545">
              <w:rPr>
                <w:sz w:val="16"/>
              </w:rPr>
              <w:t>58,11</w:t>
            </w:r>
          </w:p>
        </w:tc>
      </w:tr>
      <w:tr w:rsidR="00B56301" w:rsidRPr="00364545" w14:paraId="5AC6F91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DC9818" w14:textId="758CB9F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2CC3AB7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95801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5F00D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B00AD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9C2ED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0BF0246"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1A95F3B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E4DDF83" w14:textId="0F421373"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2. 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2C84725E" w14:textId="77777777" w:rsidR="00B56301" w:rsidRPr="00364545" w:rsidRDefault="00B56301" w:rsidP="00B37B65">
            <w:pPr>
              <w:jc w:val="right"/>
              <w:rPr>
                <w:rFonts w:asciiTheme="minorHAnsi" w:hAnsiTheme="minorHAnsi"/>
                <w:sz w:val="16"/>
                <w:szCs w:val="14"/>
              </w:rPr>
            </w:pPr>
            <w:r w:rsidRPr="00364545">
              <w:rPr>
                <w:sz w:val="16"/>
              </w:rPr>
              <w:t>9,02</w:t>
            </w:r>
          </w:p>
        </w:tc>
        <w:tc>
          <w:tcPr>
            <w:tcW w:w="991" w:type="dxa"/>
            <w:tcBorders>
              <w:top w:val="nil"/>
              <w:left w:val="nil"/>
              <w:bottom w:val="single" w:sz="4" w:space="0" w:color="auto"/>
              <w:right w:val="single" w:sz="4" w:space="0" w:color="auto"/>
            </w:tcBorders>
            <w:shd w:val="clear" w:color="000000" w:fill="CCFFFF"/>
            <w:noWrap/>
            <w:vAlign w:val="bottom"/>
            <w:hideMark/>
          </w:tcPr>
          <w:p w14:paraId="70244874" w14:textId="77777777" w:rsidR="00B56301" w:rsidRPr="00364545" w:rsidRDefault="00B56301" w:rsidP="00B37B65">
            <w:pPr>
              <w:jc w:val="right"/>
              <w:rPr>
                <w:rFonts w:asciiTheme="minorHAnsi" w:hAnsiTheme="minorHAnsi"/>
                <w:sz w:val="16"/>
                <w:szCs w:val="14"/>
              </w:rPr>
            </w:pPr>
            <w:r w:rsidRPr="00364545">
              <w:rPr>
                <w:sz w:val="16"/>
              </w:rPr>
              <w:t>9,36</w:t>
            </w:r>
          </w:p>
        </w:tc>
        <w:tc>
          <w:tcPr>
            <w:tcW w:w="991" w:type="dxa"/>
            <w:tcBorders>
              <w:top w:val="nil"/>
              <w:left w:val="nil"/>
              <w:bottom w:val="single" w:sz="4" w:space="0" w:color="auto"/>
              <w:right w:val="single" w:sz="4" w:space="0" w:color="auto"/>
            </w:tcBorders>
            <w:shd w:val="clear" w:color="000000" w:fill="CCFFFF"/>
            <w:noWrap/>
            <w:vAlign w:val="bottom"/>
            <w:hideMark/>
          </w:tcPr>
          <w:p w14:paraId="3AFC6ED8" w14:textId="77777777" w:rsidR="00B56301" w:rsidRPr="00364545" w:rsidRDefault="00B56301" w:rsidP="00B37B65">
            <w:pPr>
              <w:jc w:val="right"/>
              <w:rPr>
                <w:rFonts w:asciiTheme="minorHAnsi" w:hAnsiTheme="minorHAnsi"/>
                <w:sz w:val="16"/>
                <w:szCs w:val="14"/>
              </w:rPr>
            </w:pPr>
            <w:r w:rsidRPr="00364545">
              <w:rPr>
                <w:sz w:val="16"/>
              </w:rPr>
              <w:t>8,96</w:t>
            </w:r>
          </w:p>
        </w:tc>
        <w:tc>
          <w:tcPr>
            <w:tcW w:w="991" w:type="dxa"/>
            <w:tcBorders>
              <w:top w:val="nil"/>
              <w:left w:val="nil"/>
              <w:bottom w:val="single" w:sz="4" w:space="0" w:color="auto"/>
              <w:right w:val="single" w:sz="4" w:space="0" w:color="auto"/>
            </w:tcBorders>
            <w:shd w:val="clear" w:color="000000" w:fill="CCFFFF"/>
            <w:noWrap/>
            <w:vAlign w:val="bottom"/>
            <w:hideMark/>
          </w:tcPr>
          <w:p w14:paraId="0135331B" w14:textId="77777777" w:rsidR="00B56301" w:rsidRPr="00364545" w:rsidRDefault="00B56301" w:rsidP="00B37B65">
            <w:pPr>
              <w:jc w:val="right"/>
              <w:rPr>
                <w:rFonts w:asciiTheme="minorHAnsi" w:hAnsiTheme="minorHAnsi"/>
                <w:sz w:val="16"/>
                <w:szCs w:val="14"/>
              </w:rPr>
            </w:pPr>
            <w:r w:rsidRPr="00364545">
              <w:rPr>
                <w:sz w:val="16"/>
              </w:rPr>
              <w:t>10,75</w:t>
            </w:r>
          </w:p>
        </w:tc>
        <w:tc>
          <w:tcPr>
            <w:tcW w:w="991" w:type="dxa"/>
            <w:tcBorders>
              <w:top w:val="nil"/>
              <w:left w:val="nil"/>
              <w:bottom w:val="single" w:sz="4" w:space="0" w:color="auto"/>
              <w:right w:val="single" w:sz="4" w:space="0" w:color="auto"/>
            </w:tcBorders>
            <w:shd w:val="clear" w:color="000000" w:fill="CCFFFF"/>
            <w:noWrap/>
            <w:vAlign w:val="bottom"/>
            <w:hideMark/>
          </w:tcPr>
          <w:p w14:paraId="70F65617" w14:textId="77777777" w:rsidR="00B56301" w:rsidRPr="00364545" w:rsidRDefault="00B56301" w:rsidP="00B37B65">
            <w:pPr>
              <w:jc w:val="right"/>
              <w:rPr>
                <w:rFonts w:asciiTheme="minorHAnsi" w:hAnsiTheme="minorHAnsi"/>
                <w:sz w:val="16"/>
                <w:szCs w:val="14"/>
              </w:rPr>
            </w:pPr>
            <w:r w:rsidRPr="00364545">
              <w:rPr>
                <w:sz w:val="16"/>
              </w:rPr>
              <w:t>8,29</w:t>
            </w:r>
          </w:p>
        </w:tc>
        <w:tc>
          <w:tcPr>
            <w:tcW w:w="991" w:type="dxa"/>
            <w:tcBorders>
              <w:top w:val="nil"/>
              <w:left w:val="nil"/>
              <w:bottom w:val="single" w:sz="4" w:space="0" w:color="auto"/>
              <w:right w:val="single" w:sz="4" w:space="0" w:color="auto"/>
            </w:tcBorders>
            <w:shd w:val="clear" w:color="000000" w:fill="CCFFFF"/>
            <w:noWrap/>
            <w:vAlign w:val="bottom"/>
            <w:hideMark/>
          </w:tcPr>
          <w:p w14:paraId="3551B4E8" w14:textId="77777777" w:rsidR="00B56301" w:rsidRPr="00364545" w:rsidRDefault="00B56301" w:rsidP="00B37B65">
            <w:pPr>
              <w:jc w:val="right"/>
              <w:rPr>
                <w:rFonts w:asciiTheme="minorHAnsi" w:hAnsiTheme="minorHAnsi"/>
                <w:sz w:val="16"/>
                <w:szCs w:val="14"/>
              </w:rPr>
            </w:pPr>
            <w:r w:rsidRPr="00364545">
              <w:rPr>
                <w:sz w:val="16"/>
              </w:rPr>
              <w:t>6,46</w:t>
            </w:r>
          </w:p>
        </w:tc>
      </w:tr>
      <w:tr w:rsidR="00B56301" w:rsidRPr="00364545" w14:paraId="4CD3BC8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5B449C5" w14:textId="74F0CB0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707EAF3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714574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264FC2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2A81AB"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BD4FC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DA9F975"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390C5A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1F40AF0" w14:textId="54A920A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A54841C" w14:textId="77777777" w:rsidR="00B56301" w:rsidRPr="00364545" w:rsidRDefault="00B56301" w:rsidP="00B37B65">
            <w:pPr>
              <w:jc w:val="right"/>
              <w:rPr>
                <w:rFonts w:asciiTheme="minorHAnsi" w:hAnsiTheme="minorHAnsi"/>
                <w:sz w:val="16"/>
                <w:szCs w:val="14"/>
              </w:rPr>
            </w:pPr>
            <w:r w:rsidRPr="00364545">
              <w:rPr>
                <w:sz w:val="16"/>
              </w:rPr>
              <w:t>4,24</w:t>
            </w:r>
          </w:p>
        </w:tc>
        <w:tc>
          <w:tcPr>
            <w:tcW w:w="991" w:type="dxa"/>
            <w:tcBorders>
              <w:top w:val="nil"/>
              <w:left w:val="nil"/>
              <w:bottom w:val="single" w:sz="4" w:space="0" w:color="auto"/>
              <w:right w:val="single" w:sz="4" w:space="0" w:color="auto"/>
            </w:tcBorders>
            <w:shd w:val="clear" w:color="000000" w:fill="FFFFFF"/>
            <w:noWrap/>
            <w:vAlign w:val="bottom"/>
            <w:hideMark/>
          </w:tcPr>
          <w:p w14:paraId="575D07CD" w14:textId="77777777" w:rsidR="00B56301" w:rsidRPr="00364545" w:rsidRDefault="00B56301" w:rsidP="00B37B65">
            <w:pPr>
              <w:jc w:val="right"/>
              <w:rPr>
                <w:rFonts w:asciiTheme="minorHAnsi" w:hAnsiTheme="minorHAnsi"/>
                <w:sz w:val="16"/>
                <w:szCs w:val="14"/>
              </w:rPr>
            </w:pPr>
            <w:r w:rsidRPr="00364545">
              <w:rPr>
                <w:sz w:val="16"/>
              </w:rPr>
              <w:t>4,07</w:t>
            </w:r>
          </w:p>
        </w:tc>
        <w:tc>
          <w:tcPr>
            <w:tcW w:w="991" w:type="dxa"/>
            <w:tcBorders>
              <w:top w:val="nil"/>
              <w:left w:val="nil"/>
              <w:bottom w:val="single" w:sz="4" w:space="0" w:color="auto"/>
              <w:right w:val="single" w:sz="4" w:space="0" w:color="auto"/>
            </w:tcBorders>
            <w:shd w:val="clear" w:color="000000" w:fill="FFFFFF"/>
            <w:noWrap/>
            <w:vAlign w:val="bottom"/>
            <w:hideMark/>
          </w:tcPr>
          <w:p w14:paraId="27013750" w14:textId="77777777" w:rsidR="00B56301" w:rsidRPr="00364545" w:rsidRDefault="00B56301" w:rsidP="00B37B65">
            <w:pPr>
              <w:jc w:val="right"/>
              <w:rPr>
                <w:rFonts w:asciiTheme="minorHAnsi" w:hAnsiTheme="minorHAnsi"/>
                <w:sz w:val="16"/>
                <w:szCs w:val="14"/>
              </w:rPr>
            </w:pPr>
            <w:r w:rsidRPr="00364545">
              <w:rPr>
                <w:sz w:val="16"/>
              </w:rPr>
              <w:t>4,58</w:t>
            </w:r>
          </w:p>
        </w:tc>
        <w:tc>
          <w:tcPr>
            <w:tcW w:w="991" w:type="dxa"/>
            <w:tcBorders>
              <w:top w:val="nil"/>
              <w:left w:val="nil"/>
              <w:bottom w:val="single" w:sz="4" w:space="0" w:color="auto"/>
              <w:right w:val="single" w:sz="4" w:space="0" w:color="auto"/>
            </w:tcBorders>
            <w:shd w:val="clear" w:color="000000" w:fill="FFFFFF"/>
            <w:noWrap/>
            <w:vAlign w:val="bottom"/>
            <w:hideMark/>
          </w:tcPr>
          <w:p w14:paraId="74B3CADB" w14:textId="77777777" w:rsidR="00B56301" w:rsidRPr="00364545" w:rsidRDefault="00B56301" w:rsidP="00B37B65">
            <w:pPr>
              <w:jc w:val="right"/>
              <w:rPr>
                <w:rFonts w:asciiTheme="minorHAnsi" w:hAnsiTheme="minorHAnsi"/>
                <w:sz w:val="16"/>
                <w:szCs w:val="14"/>
              </w:rPr>
            </w:pPr>
            <w:r w:rsidRPr="00364545">
              <w:rPr>
                <w:sz w:val="16"/>
              </w:rPr>
              <w:t>4,73</w:t>
            </w:r>
          </w:p>
        </w:tc>
        <w:tc>
          <w:tcPr>
            <w:tcW w:w="991" w:type="dxa"/>
            <w:tcBorders>
              <w:top w:val="nil"/>
              <w:left w:val="nil"/>
              <w:bottom w:val="single" w:sz="4" w:space="0" w:color="auto"/>
              <w:right w:val="single" w:sz="4" w:space="0" w:color="auto"/>
            </w:tcBorders>
            <w:shd w:val="clear" w:color="000000" w:fill="FFFFFF"/>
            <w:noWrap/>
            <w:vAlign w:val="bottom"/>
            <w:hideMark/>
          </w:tcPr>
          <w:p w14:paraId="307A28BF" w14:textId="77777777" w:rsidR="00B56301" w:rsidRPr="00364545" w:rsidRDefault="00B56301" w:rsidP="00B37B65">
            <w:pPr>
              <w:jc w:val="right"/>
              <w:rPr>
                <w:rFonts w:asciiTheme="minorHAnsi" w:hAnsiTheme="minorHAnsi"/>
                <w:sz w:val="16"/>
                <w:szCs w:val="14"/>
              </w:rPr>
            </w:pPr>
            <w:r w:rsidRPr="00364545">
              <w:rPr>
                <w:sz w:val="16"/>
              </w:rPr>
              <w:t>3,78</w:t>
            </w:r>
          </w:p>
        </w:tc>
        <w:tc>
          <w:tcPr>
            <w:tcW w:w="991" w:type="dxa"/>
            <w:tcBorders>
              <w:top w:val="nil"/>
              <w:left w:val="nil"/>
              <w:bottom w:val="single" w:sz="4" w:space="0" w:color="auto"/>
              <w:right w:val="single" w:sz="4" w:space="0" w:color="auto"/>
            </w:tcBorders>
            <w:shd w:val="clear" w:color="000000" w:fill="FFFFFF"/>
            <w:noWrap/>
            <w:vAlign w:val="bottom"/>
            <w:hideMark/>
          </w:tcPr>
          <w:p w14:paraId="597A0485" w14:textId="77777777" w:rsidR="00B56301" w:rsidRPr="00364545" w:rsidRDefault="00B56301" w:rsidP="00B37B65">
            <w:pPr>
              <w:jc w:val="right"/>
              <w:rPr>
                <w:rFonts w:asciiTheme="minorHAnsi" w:hAnsiTheme="minorHAnsi"/>
                <w:sz w:val="16"/>
                <w:szCs w:val="14"/>
              </w:rPr>
            </w:pPr>
            <w:r w:rsidRPr="00364545">
              <w:rPr>
                <w:sz w:val="16"/>
              </w:rPr>
              <w:t>3,55</w:t>
            </w:r>
          </w:p>
        </w:tc>
      </w:tr>
      <w:tr w:rsidR="00B56301" w:rsidRPr="00364545" w14:paraId="5C3082E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9E7889B" w14:textId="7757B74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2705AA8" w14:textId="77777777" w:rsidR="00B56301" w:rsidRPr="00364545" w:rsidRDefault="00B56301" w:rsidP="00B37B65">
            <w:pPr>
              <w:jc w:val="right"/>
              <w:rPr>
                <w:rFonts w:asciiTheme="minorHAnsi" w:hAnsiTheme="minorHAnsi"/>
                <w:sz w:val="16"/>
                <w:szCs w:val="14"/>
              </w:rPr>
            </w:pPr>
            <w:r w:rsidRPr="00364545">
              <w:rPr>
                <w:sz w:val="16"/>
              </w:rPr>
              <w:t>4,74</w:t>
            </w:r>
          </w:p>
        </w:tc>
        <w:tc>
          <w:tcPr>
            <w:tcW w:w="991" w:type="dxa"/>
            <w:tcBorders>
              <w:top w:val="nil"/>
              <w:left w:val="nil"/>
              <w:bottom w:val="single" w:sz="4" w:space="0" w:color="auto"/>
              <w:right w:val="single" w:sz="4" w:space="0" w:color="auto"/>
            </w:tcBorders>
            <w:shd w:val="clear" w:color="000000" w:fill="FFFFFF"/>
            <w:noWrap/>
            <w:vAlign w:val="bottom"/>
            <w:hideMark/>
          </w:tcPr>
          <w:p w14:paraId="1B52A94A" w14:textId="77777777" w:rsidR="00B56301" w:rsidRPr="00364545" w:rsidRDefault="00B56301" w:rsidP="00B37B65">
            <w:pPr>
              <w:jc w:val="right"/>
              <w:rPr>
                <w:rFonts w:asciiTheme="minorHAnsi" w:hAnsiTheme="minorHAnsi"/>
                <w:sz w:val="16"/>
                <w:szCs w:val="14"/>
              </w:rPr>
            </w:pPr>
            <w:r w:rsidRPr="00364545">
              <w:rPr>
                <w:sz w:val="16"/>
              </w:rPr>
              <w:t>5,26</w:t>
            </w:r>
          </w:p>
        </w:tc>
        <w:tc>
          <w:tcPr>
            <w:tcW w:w="991" w:type="dxa"/>
            <w:tcBorders>
              <w:top w:val="nil"/>
              <w:left w:val="nil"/>
              <w:bottom w:val="single" w:sz="4" w:space="0" w:color="auto"/>
              <w:right w:val="single" w:sz="4" w:space="0" w:color="auto"/>
            </w:tcBorders>
            <w:shd w:val="clear" w:color="000000" w:fill="FFFFFF"/>
            <w:noWrap/>
            <w:vAlign w:val="bottom"/>
            <w:hideMark/>
          </w:tcPr>
          <w:p w14:paraId="4D352F95" w14:textId="77777777" w:rsidR="00B56301" w:rsidRPr="00364545" w:rsidRDefault="00B56301" w:rsidP="00B37B65">
            <w:pPr>
              <w:jc w:val="right"/>
              <w:rPr>
                <w:rFonts w:asciiTheme="minorHAnsi" w:hAnsiTheme="minorHAnsi"/>
                <w:sz w:val="16"/>
                <w:szCs w:val="14"/>
              </w:rPr>
            </w:pPr>
            <w:r w:rsidRPr="00364545">
              <w:rPr>
                <w:sz w:val="16"/>
              </w:rPr>
              <w:t>4,35</w:t>
            </w:r>
          </w:p>
        </w:tc>
        <w:tc>
          <w:tcPr>
            <w:tcW w:w="991" w:type="dxa"/>
            <w:tcBorders>
              <w:top w:val="nil"/>
              <w:left w:val="nil"/>
              <w:bottom w:val="single" w:sz="4" w:space="0" w:color="auto"/>
              <w:right w:val="single" w:sz="4" w:space="0" w:color="auto"/>
            </w:tcBorders>
            <w:shd w:val="clear" w:color="000000" w:fill="FFFFFF"/>
            <w:noWrap/>
            <w:vAlign w:val="bottom"/>
            <w:hideMark/>
          </w:tcPr>
          <w:p w14:paraId="0C6F4DB6" w14:textId="77777777" w:rsidR="00B56301" w:rsidRPr="00364545" w:rsidRDefault="00B56301" w:rsidP="00B37B65">
            <w:pPr>
              <w:jc w:val="right"/>
              <w:rPr>
                <w:rFonts w:asciiTheme="minorHAnsi" w:hAnsiTheme="minorHAnsi"/>
                <w:sz w:val="16"/>
                <w:szCs w:val="14"/>
              </w:rPr>
            </w:pPr>
            <w:r w:rsidRPr="00364545">
              <w:rPr>
                <w:sz w:val="16"/>
              </w:rPr>
              <w:t>6,00</w:t>
            </w:r>
          </w:p>
        </w:tc>
        <w:tc>
          <w:tcPr>
            <w:tcW w:w="991" w:type="dxa"/>
            <w:tcBorders>
              <w:top w:val="nil"/>
              <w:left w:val="nil"/>
              <w:bottom w:val="single" w:sz="4" w:space="0" w:color="auto"/>
              <w:right w:val="single" w:sz="4" w:space="0" w:color="auto"/>
            </w:tcBorders>
            <w:shd w:val="clear" w:color="000000" w:fill="FFFFFF"/>
            <w:noWrap/>
            <w:vAlign w:val="bottom"/>
            <w:hideMark/>
          </w:tcPr>
          <w:p w14:paraId="2504E5C8" w14:textId="77777777" w:rsidR="00B56301" w:rsidRPr="00364545" w:rsidRDefault="00B56301" w:rsidP="00B37B65">
            <w:pPr>
              <w:jc w:val="right"/>
              <w:rPr>
                <w:rFonts w:asciiTheme="minorHAnsi" w:hAnsiTheme="minorHAnsi"/>
                <w:sz w:val="16"/>
                <w:szCs w:val="14"/>
              </w:rPr>
            </w:pPr>
            <w:r w:rsidRPr="00364545">
              <w:rPr>
                <w:sz w:val="16"/>
              </w:rPr>
              <w:t>4,48</w:t>
            </w:r>
          </w:p>
        </w:tc>
        <w:tc>
          <w:tcPr>
            <w:tcW w:w="991" w:type="dxa"/>
            <w:tcBorders>
              <w:top w:val="nil"/>
              <w:left w:val="nil"/>
              <w:bottom w:val="single" w:sz="4" w:space="0" w:color="auto"/>
              <w:right w:val="single" w:sz="4" w:space="0" w:color="auto"/>
            </w:tcBorders>
            <w:shd w:val="clear" w:color="000000" w:fill="FFFFFF"/>
            <w:noWrap/>
            <w:vAlign w:val="bottom"/>
            <w:hideMark/>
          </w:tcPr>
          <w:p w14:paraId="47EFF901" w14:textId="77777777" w:rsidR="00B56301" w:rsidRPr="00364545" w:rsidRDefault="00B56301" w:rsidP="00B37B65">
            <w:pPr>
              <w:jc w:val="right"/>
              <w:rPr>
                <w:rFonts w:asciiTheme="minorHAnsi" w:hAnsiTheme="minorHAnsi"/>
                <w:sz w:val="16"/>
                <w:szCs w:val="14"/>
              </w:rPr>
            </w:pPr>
            <w:r w:rsidRPr="00364545">
              <w:rPr>
                <w:sz w:val="16"/>
              </w:rPr>
              <w:t>2,88</w:t>
            </w:r>
          </w:p>
        </w:tc>
      </w:tr>
      <w:tr w:rsidR="00B56301" w:rsidRPr="00364545" w14:paraId="40E49F2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C1B25E5" w14:textId="7B203474"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4889A8B1" w14:textId="77777777" w:rsidR="00B56301" w:rsidRPr="00364545" w:rsidRDefault="00B56301" w:rsidP="00B37B65">
            <w:pPr>
              <w:jc w:val="right"/>
              <w:rPr>
                <w:rFonts w:asciiTheme="minorHAnsi" w:hAnsiTheme="minorHAnsi"/>
                <w:sz w:val="16"/>
                <w:szCs w:val="14"/>
              </w:rPr>
            </w:pPr>
            <w:r w:rsidRPr="00364545">
              <w:rPr>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64197AB8" w14:textId="77777777" w:rsidR="00B56301" w:rsidRPr="00364545" w:rsidRDefault="00B56301" w:rsidP="00B37B65">
            <w:pPr>
              <w:jc w:val="right"/>
              <w:rPr>
                <w:rFonts w:asciiTheme="minorHAnsi" w:hAnsiTheme="minorHAnsi"/>
                <w:sz w:val="16"/>
                <w:szCs w:val="14"/>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4085DEAD" w14:textId="77777777" w:rsidR="00B56301" w:rsidRPr="00364545" w:rsidRDefault="00B56301" w:rsidP="00B37B65">
            <w:pPr>
              <w:jc w:val="right"/>
              <w:rPr>
                <w:rFonts w:asciiTheme="minorHAnsi" w:hAnsiTheme="minorHAnsi"/>
                <w:sz w:val="16"/>
                <w:szCs w:val="14"/>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6ABC7A06" w14:textId="77777777" w:rsidR="00B56301" w:rsidRPr="00364545" w:rsidRDefault="00B56301" w:rsidP="00B37B65">
            <w:pPr>
              <w:jc w:val="right"/>
              <w:rPr>
                <w:rFonts w:asciiTheme="minorHAnsi" w:hAnsiTheme="minorHAnsi"/>
                <w:sz w:val="16"/>
                <w:szCs w:val="14"/>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5BA21697" w14:textId="77777777" w:rsidR="00B56301" w:rsidRPr="00364545" w:rsidRDefault="00B56301" w:rsidP="00B37B65">
            <w:pPr>
              <w:jc w:val="right"/>
              <w:rPr>
                <w:rFonts w:asciiTheme="minorHAnsi" w:hAnsiTheme="minorHAnsi"/>
                <w:sz w:val="16"/>
                <w:szCs w:val="14"/>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74497399" w14:textId="77777777" w:rsidR="00B56301" w:rsidRPr="00364545" w:rsidRDefault="00B56301" w:rsidP="00B37B65">
            <w:pPr>
              <w:jc w:val="right"/>
              <w:rPr>
                <w:rFonts w:asciiTheme="minorHAnsi" w:hAnsiTheme="minorHAnsi"/>
                <w:sz w:val="16"/>
                <w:szCs w:val="14"/>
              </w:rPr>
            </w:pPr>
            <w:r w:rsidRPr="00364545">
              <w:rPr>
                <w:sz w:val="16"/>
              </w:rPr>
              <w:t>0,02</w:t>
            </w:r>
          </w:p>
        </w:tc>
      </w:tr>
      <w:tr w:rsidR="00B56301" w:rsidRPr="00364545" w14:paraId="04E510A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B99A38" w14:textId="1D892F9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745E190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8F314B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6E44A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4BF5B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1F02F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C0AE22"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622986B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2BD1A14" w14:textId="32F2970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0B9E66A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D5ECE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EDABD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E615B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DD148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8697E92"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776E513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E223F52" w14:textId="1F98E114"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G. 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32E41E02"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45FF7E2"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0B58C0B"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FCA4E0C"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F210A3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1918A2A"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3F44DBD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2E6A71" w14:textId="46FF879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35B66B8F"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249261D"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B480638"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5236A75"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4AB7FBB8"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0F40AD4B" w14:textId="77777777" w:rsidR="00B56301" w:rsidRPr="00364545" w:rsidRDefault="00B56301" w:rsidP="00B37B65">
            <w:pPr>
              <w:jc w:val="right"/>
              <w:rPr>
                <w:rFonts w:asciiTheme="minorHAnsi" w:hAnsiTheme="minorHAnsi"/>
                <w:sz w:val="16"/>
                <w:szCs w:val="14"/>
              </w:rPr>
            </w:pPr>
            <w:r w:rsidRPr="00364545">
              <w:rPr>
                <w:sz w:val="16"/>
              </w:rPr>
              <w:t>NO,NA</w:t>
            </w:r>
          </w:p>
        </w:tc>
      </w:tr>
      <w:tr w:rsidR="00B56301" w:rsidRPr="00364545" w14:paraId="52A6D4B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4FB33095" w14:textId="5400B492"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3. 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285B9DAC" w14:textId="77777777" w:rsidR="00B56301" w:rsidRPr="00364545" w:rsidRDefault="00B56301" w:rsidP="00B37B65">
            <w:pPr>
              <w:jc w:val="right"/>
              <w:rPr>
                <w:rFonts w:asciiTheme="minorHAnsi" w:hAnsiTheme="minorHAnsi"/>
                <w:sz w:val="16"/>
                <w:szCs w:val="14"/>
              </w:rPr>
            </w:pPr>
            <w:r w:rsidRPr="00364545">
              <w:rPr>
                <w:sz w:val="16"/>
              </w:rPr>
              <w:t>1686,85</w:t>
            </w:r>
          </w:p>
        </w:tc>
        <w:tc>
          <w:tcPr>
            <w:tcW w:w="991" w:type="dxa"/>
            <w:tcBorders>
              <w:top w:val="nil"/>
              <w:left w:val="nil"/>
              <w:bottom w:val="single" w:sz="4" w:space="0" w:color="auto"/>
              <w:right w:val="single" w:sz="4" w:space="0" w:color="auto"/>
            </w:tcBorders>
            <w:shd w:val="clear" w:color="000000" w:fill="CCFFFF"/>
            <w:noWrap/>
            <w:vAlign w:val="bottom"/>
            <w:hideMark/>
          </w:tcPr>
          <w:p w14:paraId="5DBC8548" w14:textId="77777777" w:rsidR="00B56301" w:rsidRPr="00364545" w:rsidRDefault="00B56301" w:rsidP="00B37B65">
            <w:pPr>
              <w:jc w:val="right"/>
              <w:rPr>
                <w:rFonts w:asciiTheme="minorHAnsi" w:hAnsiTheme="minorHAnsi"/>
                <w:sz w:val="16"/>
                <w:szCs w:val="14"/>
              </w:rPr>
            </w:pPr>
            <w:r w:rsidRPr="00364545">
              <w:rPr>
                <w:sz w:val="16"/>
              </w:rPr>
              <w:t>1653,78</w:t>
            </w:r>
          </w:p>
        </w:tc>
        <w:tc>
          <w:tcPr>
            <w:tcW w:w="991" w:type="dxa"/>
            <w:tcBorders>
              <w:top w:val="nil"/>
              <w:left w:val="nil"/>
              <w:bottom w:val="single" w:sz="4" w:space="0" w:color="auto"/>
              <w:right w:val="single" w:sz="4" w:space="0" w:color="auto"/>
            </w:tcBorders>
            <w:shd w:val="clear" w:color="000000" w:fill="CCFFFF"/>
            <w:noWrap/>
            <w:vAlign w:val="bottom"/>
            <w:hideMark/>
          </w:tcPr>
          <w:p w14:paraId="24520508" w14:textId="77777777" w:rsidR="00B56301" w:rsidRPr="00364545" w:rsidRDefault="00B56301" w:rsidP="00B37B65">
            <w:pPr>
              <w:jc w:val="right"/>
              <w:rPr>
                <w:rFonts w:asciiTheme="minorHAnsi" w:hAnsiTheme="minorHAnsi"/>
                <w:sz w:val="16"/>
                <w:szCs w:val="14"/>
              </w:rPr>
            </w:pPr>
            <w:r w:rsidRPr="00364545">
              <w:rPr>
                <w:sz w:val="16"/>
              </w:rPr>
              <w:t>1612,16</w:t>
            </w:r>
          </w:p>
        </w:tc>
        <w:tc>
          <w:tcPr>
            <w:tcW w:w="991" w:type="dxa"/>
            <w:tcBorders>
              <w:top w:val="nil"/>
              <w:left w:val="nil"/>
              <w:bottom w:val="single" w:sz="4" w:space="0" w:color="auto"/>
              <w:right w:val="single" w:sz="4" w:space="0" w:color="auto"/>
            </w:tcBorders>
            <w:shd w:val="clear" w:color="000000" w:fill="CCFFFF"/>
            <w:noWrap/>
            <w:vAlign w:val="bottom"/>
            <w:hideMark/>
          </w:tcPr>
          <w:p w14:paraId="7997D0A1" w14:textId="77777777" w:rsidR="00B56301" w:rsidRPr="00364545" w:rsidRDefault="00B56301" w:rsidP="00B37B65">
            <w:pPr>
              <w:jc w:val="right"/>
              <w:rPr>
                <w:rFonts w:asciiTheme="minorHAnsi" w:hAnsiTheme="minorHAnsi"/>
                <w:sz w:val="16"/>
                <w:szCs w:val="14"/>
              </w:rPr>
            </w:pPr>
            <w:r w:rsidRPr="00364545">
              <w:rPr>
                <w:sz w:val="16"/>
              </w:rPr>
              <w:t>1581,66</w:t>
            </w:r>
          </w:p>
        </w:tc>
        <w:tc>
          <w:tcPr>
            <w:tcW w:w="991" w:type="dxa"/>
            <w:tcBorders>
              <w:top w:val="nil"/>
              <w:left w:val="nil"/>
              <w:bottom w:val="single" w:sz="4" w:space="0" w:color="auto"/>
              <w:right w:val="single" w:sz="4" w:space="0" w:color="auto"/>
            </w:tcBorders>
            <w:shd w:val="clear" w:color="000000" w:fill="CCFFFF"/>
            <w:noWrap/>
            <w:vAlign w:val="bottom"/>
            <w:hideMark/>
          </w:tcPr>
          <w:p w14:paraId="502BB0B1" w14:textId="77777777" w:rsidR="00B56301" w:rsidRPr="00364545" w:rsidRDefault="00B56301" w:rsidP="00B37B65">
            <w:pPr>
              <w:jc w:val="right"/>
              <w:rPr>
                <w:rFonts w:asciiTheme="minorHAnsi" w:hAnsiTheme="minorHAnsi"/>
                <w:sz w:val="16"/>
                <w:szCs w:val="14"/>
              </w:rPr>
            </w:pPr>
            <w:r w:rsidRPr="00364545">
              <w:rPr>
                <w:sz w:val="16"/>
              </w:rPr>
              <w:t>1574,92</w:t>
            </w:r>
          </w:p>
        </w:tc>
        <w:tc>
          <w:tcPr>
            <w:tcW w:w="991" w:type="dxa"/>
            <w:tcBorders>
              <w:top w:val="nil"/>
              <w:left w:val="nil"/>
              <w:bottom w:val="single" w:sz="4" w:space="0" w:color="auto"/>
              <w:right w:val="single" w:sz="4" w:space="0" w:color="auto"/>
            </w:tcBorders>
            <w:shd w:val="clear" w:color="000000" w:fill="CCFFFF"/>
            <w:noWrap/>
            <w:vAlign w:val="bottom"/>
            <w:hideMark/>
          </w:tcPr>
          <w:p w14:paraId="3726480C" w14:textId="77777777" w:rsidR="00B56301" w:rsidRPr="00364545" w:rsidRDefault="00B56301" w:rsidP="00B37B65">
            <w:pPr>
              <w:jc w:val="right"/>
              <w:rPr>
                <w:rFonts w:asciiTheme="minorHAnsi" w:hAnsiTheme="minorHAnsi"/>
                <w:sz w:val="16"/>
                <w:szCs w:val="14"/>
              </w:rPr>
            </w:pPr>
            <w:r w:rsidRPr="00364545">
              <w:rPr>
                <w:sz w:val="16"/>
              </w:rPr>
              <w:t>1581,00</w:t>
            </w:r>
          </w:p>
        </w:tc>
      </w:tr>
      <w:tr w:rsidR="00B56301" w:rsidRPr="00364545" w14:paraId="4B3A92E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3B60F2" w14:textId="3A1C184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32031668" w14:textId="77777777" w:rsidR="00B56301" w:rsidRPr="00364545" w:rsidRDefault="00B56301" w:rsidP="00B37B65">
            <w:pPr>
              <w:jc w:val="right"/>
              <w:rPr>
                <w:rFonts w:asciiTheme="minorHAnsi" w:hAnsiTheme="minorHAnsi"/>
                <w:sz w:val="16"/>
                <w:szCs w:val="14"/>
              </w:rPr>
            </w:pPr>
            <w:r w:rsidRPr="00364545">
              <w:rPr>
                <w:sz w:val="16"/>
              </w:rPr>
              <w:t>1524,46</w:t>
            </w:r>
          </w:p>
        </w:tc>
        <w:tc>
          <w:tcPr>
            <w:tcW w:w="991" w:type="dxa"/>
            <w:tcBorders>
              <w:top w:val="nil"/>
              <w:left w:val="nil"/>
              <w:bottom w:val="single" w:sz="4" w:space="0" w:color="auto"/>
              <w:right w:val="single" w:sz="4" w:space="0" w:color="auto"/>
            </w:tcBorders>
            <w:shd w:val="clear" w:color="000000" w:fill="FFFFFF"/>
            <w:noWrap/>
            <w:vAlign w:val="bottom"/>
            <w:hideMark/>
          </w:tcPr>
          <w:p w14:paraId="3B7F5C3D" w14:textId="77777777" w:rsidR="00B56301" w:rsidRPr="00364545" w:rsidRDefault="00B56301" w:rsidP="00B37B65">
            <w:pPr>
              <w:jc w:val="right"/>
              <w:rPr>
                <w:rFonts w:asciiTheme="minorHAnsi" w:hAnsiTheme="minorHAnsi"/>
                <w:sz w:val="16"/>
                <w:szCs w:val="14"/>
              </w:rPr>
            </w:pPr>
            <w:r w:rsidRPr="00364545">
              <w:rPr>
                <w:sz w:val="16"/>
              </w:rPr>
              <w:t>1488,09</w:t>
            </w:r>
          </w:p>
        </w:tc>
        <w:tc>
          <w:tcPr>
            <w:tcW w:w="991" w:type="dxa"/>
            <w:tcBorders>
              <w:top w:val="nil"/>
              <w:left w:val="nil"/>
              <w:bottom w:val="single" w:sz="4" w:space="0" w:color="auto"/>
              <w:right w:val="single" w:sz="4" w:space="0" w:color="auto"/>
            </w:tcBorders>
            <w:shd w:val="clear" w:color="000000" w:fill="FFFFFF"/>
            <w:noWrap/>
            <w:vAlign w:val="bottom"/>
            <w:hideMark/>
          </w:tcPr>
          <w:p w14:paraId="20025C70" w14:textId="77777777" w:rsidR="00B56301" w:rsidRPr="00364545" w:rsidRDefault="00B56301" w:rsidP="00B37B65">
            <w:pPr>
              <w:jc w:val="right"/>
              <w:rPr>
                <w:rFonts w:asciiTheme="minorHAnsi" w:hAnsiTheme="minorHAnsi"/>
                <w:sz w:val="16"/>
                <w:szCs w:val="14"/>
              </w:rPr>
            </w:pPr>
            <w:r w:rsidRPr="00364545">
              <w:rPr>
                <w:sz w:val="16"/>
              </w:rPr>
              <w:t>1444,13</w:t>
            </w:r>
          </w:p>
        </w:tc>
        <w:tc>
          <w:tcPr>
            <w:tcW w:w="991" w:type="dxa"/>
            <w:tcBorders>
              <w:top w:val="nil"/>
              <w:left w:val="nil"/>
              <w:bottom w:val="single" w:sz="4" w:space="0" w:color="auto"/>
              <w:right w:val="single" w:sz="4" w:space="0" w:color="auto"/>
            </w:tcBorders>
            <w:shd w:val="clear" w:color="000000" w:fill="FFFFFF"/>
            <w:noWrap/>
            <w:vAlign w:val="bottom"/>
            <w:hideMark/>
          </w:tcPr>
          <w:p w14:paraId="15A10B15" w14:textId="77777777" w:rsidR="00B56301" w:rsidRPr="00364545" w:rsidRDefault="00B56301" w:rsidP="00B37B65">
            <w:pPr>
              <w:jc w:val="right"/>
              <w:rPr>
                <w:rFonts w:asciiTheme="minorHAnsi" w:hAnsiTheme="minorHAnsi"/>
                <w:sz w:val="16"/>
                <w:szCs w:val="14"/>
              </w:rPr>
            </w:pPr>
            <w:r w:rsidRPr="00364545">
              <w:rPr>
                <w:sz w:val="16"/>
              </w:rPr>
              <w:t>1423,60</w:t>
            </w:r>
          </w:p>
        </w:tc>
        <w:tc>
          <w:tcPr>
            <w:tcW w:w="991" w:type="dxa"/>
            <w:tcBorders>
              <w:top w:val="nil"/>
              <w:left w:val="nil"/>
              <w:bottom w:val="single" w:sz="4" w:space="0" w:color="auto"/>
              <w:right w:val="single" w:sz="4" w:space="0" w:color="auto"/>
            </w:tcBorders>
            <w:shd w:val="clear" w:color="000000" w:fill="FFFFFF"/>
            <w:noWrap/>
            <w:vAlign w:val="bottom"/>
            <w:hideMark/>
          </w:tcPr>
          <w:p w14:paraId="5E32E8AA" w14:textId="77777777" w:rsidR="00B56301" w:rsidRPr="00364545" w:rsidRDefault="00B56301" w:rsidP="00B37B65">
            <w:pPr>
              <w:jc w:val="right"/>
              <w:rPr>
                <w:rFonts w:asciiTheme="minorHAnsi" w:hAnsiTheme="minorHAnsi"/>
                <w:sz w:val="16"/>
                <w:szCs w:val="14"/>
              </w:rPr>
            </w:pPr>
            <w:r w:rsidRPr="00364545">
              <w:rPr>
                <w:sz w:val="16"/>
              </w:rPr>
              <w:t>1417,09</w:t>
            </w:r>
          </w:p>
        </w:tc>
        <w:tc>
          <w:tcPr>
            <w:tcW w:w="991" w:type="dxa"/>
            <w:tcBorders>
              <w:top w:val="nil"/>
              <w:left w:val="nil"/>
              <w:bottom w:val="single" w:sz="4" w:space="0" w:color="auto"/>
              <w:right w:val="single" w:sz="4" w:space="0" w:color="auto"/>
            </w:tcBorders>
            <w:shd w:val="clear" w:color="000000" w:fill="FFFFFF"/>
            <w:noWrap/>
            <w:vAlign w:val="bottom"/>
            <w:hideMark/>
          </w:tcPr>
          <w:p w14:paraId="621498E6" w14:textId="77777777" w:rsidR="00B56301" w:rsidRPr="00364545" w:rsidRDefault="00B56301" w:rsidP="00B37B65">
            <w:pPr>
              <w:jc w:val="right"/>
              <w:rPr>
                <w:rFonts w:asciiTheme="minorHAnsi" w:hAnsiTheme="minorHAnsi"/>
                <w:sz w:val="16"/>
                <w:szCs w:val="14"/>
              </w:rPr>
            </w:pPr>
            <w:r w:rsidRPr="00364545">
              <w:rPr>
                <w:sz w:val="16"/>
              </w:rPr>
              <w:t>1418,83</w:t>
            </w:r>
          </w:p>
        </w:tc>
      </w:tr>
      <w:tr w:rsidR="00B56301" w:rsidRPr="00364545" w14:paraId="36FB654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122C8F1" w14:textId="62DC7AC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4E83864A" w14:textId="77777777" w:rsidR="00B56301" w:rsidRPr="00364545" w:rsidRDefault="00B56301" w:rsidP="00B37B65">
            <w:pPr>
              <w:jc w:val="right"/>
              <w:rPr>
                <w:rFonts w:asciiTheme="minorHAnsi" w:hAnsiTheme="minorHAnsi"/>
                <w:sz w:val="16"/>
                <w:szCs w:val="14"/>
              </w:rPr>
            </w:pPr>
            <w:r w:rsidRPr="00364545">
              <w:rPr>
                <w:sz w:val="16"/>
              </w:rPr>
              <w:t>157,13</w:t>
            </w:r>
          </w:p>
        </w:tc>
        <w:tc>
          <w:tcPr>
            <w:tcW w:w="991" w:type="dxa"/>
            <w:tcBorders>
              <w:top w:val="nil"/>
              <w:left w:val="nil"/>
              <w:bottom w:val="single" w:sz="4" w:space="0" w:color="auto"/>
              <w:right w:val="single" w:sz="4" w:space="0" w:color="auto"/>
            </w:tcBorders>
            <w:shd w:val="clear" w:color="000000" w:fill="FFFFFF"/>
            <w:noWrap/>
            <w:vAlign w:val="bottom"/>
            <w:hideMark/>
          </w:tcPr>
          <w:p w14:paraId="26C39C53" w14:textId="77777777" w:rsidR="00B56301" w:rsidRPr="00364545" w:rsidRDefault="00B56301" w:rsidP="00B37B65">
            <w:pPr>
              <w:jc w:val="right"/>
              <w:rPr>
                <w:rFonts w:asciiTheme="minorHAnsi" w:hAnsiTheme="minorHAnsi"/>
                <w:sz w:val="16"/>
                <w:szCs w:val="14"/>
              </w:rPr>
            </w:pPr>
            <w:r w:rsidRPr="00364545">
              <w:rPr>
                <w:sz w:val="16"/>
              </w:rPr>
              <w:t>160,56</w:t>
            </w:r>
          </w:p>
        </w:tc>
        <w:tc>
          <w:tcPr>
            <w:tcW w:w="991" w:type="dxa"/>
            <w:tcBorders>
              <w:top w:val="nil"/>
              <w:left w:val="nil"/>
              <w:bottom w:val="single" w:sz="4" w:space="0" w:color="auto"/>
              <w:right w:val="single" w:sz="4" w:space="0" w:color="auto"/>
            </w:tcBorders>
            <w:shd w:val="clear" w:color="000000" w:fill="FFFFFF"/>
            <w:noWrap/>
            <w:vAlign w:val="bottom"/>
            <w:hideMark/>
          </w:tcPr>
          <w:p w14:paraId="3950F505" w14:textId="77777777" w:rsidR="00B56301" w:rsidRPr="00364545" w:rsidRDefault="00B56301" w:rsidP="00B37B65">
            <w:pPr>
              <w:jc w:val="right"/>
              <w:rPr>
                <w:rFonts w:asciiTheme="minorHAnsi" w:hAnsiTheme="minorHAnsi"/>
                <w:sz w:val="16"/>
                <w:szCs w:val="14"/>
              </w:rPr>
            </w:pPr>
            <w:r w:rsidRPr="00364545">
              <w:rPr>
                <w:sz w:val="16"/>
              </w:rPr>
              <w:t>163,42</w:t>
            </w:r>
          </w:p>
        </w:tc>
        <w:tc>
          <w:tcPr>
            <w:tcW w:w="991" w:type="dxa"/>
            <w:tcBorders>
              <w:top w:val="nil"/>
              <w:left w:val="nil"/>
              <w:bottom w:val="single" w:sz="4" w:space="0" w:color="auto"/>
              <w:right w:val="single" w:sz="4" w:space="0" w:color="auto"/>
            </w:tcBorders>
            <w:shd w:val="clear" w:color="000000" w:fill="FFFFFF"/>
            <w:noWrap/>
            <w:vAlign w:val="bottom"/>
            <w:hideMark/>
          </w:tcPr>
          <w:p w14:paraId="71D484A0" w14:textId="77777777" w:rsidR="00B56301" w:rsidRPr="00364545" w:rsidRDefault="00B56301" w:rsidP="00B37B65">
            <w:pPr>
              <w:jc w:val="right"/>
              <w:rPr>
                <w:rFonts w:asciiTheme="minorHAnsi" w:hAnsiTheme="minorHAnsi"/>
                <w:sz w:val="16"/>
                <w:szCs w:val="14"/>
              </w:rPr>
            </w:pPr>
            <w:r w:rsidRPr="00364545">
              <w:rPr>
                <w:sz w:val="16"/>
              </w:rPr>
              <w:t>153,07</w:t>
            </w:r>
          </w:p>
        </w:tc>
        <w:tc>
          <w:tcPr>
            <w:tcW w:w="991" w:type="dxa"/>
            <w:tcBorders>
              <w:top w:val="nil"/>
              <w:left w:val="nil"/>
              <w:bottom w:val="single" w:sz="4" w:space="0" w:color="auto"/>
              <w:right w:val="single" w:sz="4" w:space="0" w:color="auto"/>
            </w:tcBorders>
            <w:shd w:val="clear" w:color="000000" w:fill="FFFFFF"/>
            <w:noWrap/>
            <w:vAlign w:val="bottom"/>
            <w:hideMark/>
          </w:tcPr>
          <w:p w14:paraId="00F0D6BB" w14:textId="77777777" w:rsidR="00B56301" w:rsidRPr="00364545" w:rsidRDefault="00B56301" w:rsidP="00B37B65">
            <w:pPr>
              <w:jc w:val="right"/>
              <w:rPr>
                <w:rFonts w:asciiTheme="minorHAnsi" w:hAnsiTheme="minorHAnsi"/>
                <w:sz w:val="16"/>
                <w:szCs w:val="14"/>
              </w:rPr>
            </w:pPr>
            <w:r w:rsidRPr="00364545">
              <w:rPr>
                <w:sz w:val="16"/>
              </w:rPr>
              <w:t>153,45</w:t>
            </w:r>
          </w:p>
        </w:tc>
        <w:tc>
          <w:tcPr>
            <w:tcW w:w="991" w:type="dxa"/>
            <w:tcBorders>
              <w:top w:val="nil"/>
              <w:left w:val="nil"/>
              <w:bottom w:val="single" w:sz="4" w:space="0" w:color="auto"/>
              <w:right w:val="single" w:sz="4" w:space="0" w:color="auto"/>
            </w:tcBorders>
            <w:shd w:val="clear" w:color="000000" w:fill="FFFFFF"/>
            <w:noWrap/>
            <w:vAlign w:val="bottom"/>
            <w:hideMark/>
          </w:tcPr>
          <w:p w14:paraId="326A66ED" w14:textId="77777777" w:rsidR="00B56301" w:rsidRPr="00364545" w:rsidRDefault="00B56301" w:rsidP="00B37B65">
            <w:pPr>
              <w:jc w:val="right"/>
              <w:rPr>
                <w:rFonts w:asciiTheme="minorHAnsi" w:hAnsiTheme="minorHAnsi"/>
                <w:sz w:val="16"/>
                <w:szCs w:val="14"/>
              </w:rPr>
            </w:pPr>
            <w:r w:rsidRPr="00364545">
              <w:rPr>
                <w:sz w:val="16"/>
              </w:rPr>
              <w:t>158,13</w:t>
            </w:r>
          </w:p>
        </w:tc>
      </w:tr>
      <w:tr w:rsidR="00B56301" w:rsidRPr="00364545" w14:paraId="3D910EA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68DEDE" w14:textId="3F5F822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033AE83B" w14:textId="77777777" w:rsidR="00B56301" w:rsidRPr="00364545" w:rsidRDefault="00B56301" w:rsidP="00B37B65">
            <w:pPr>
              <w:jc w:val="right"/>
              <w:rPr>
                <w:rFonts w:asciiTheme="minorHAnsi" w:hAnsiTheme="minorHAnsi"/>
                <w:sz w:val="16"/>
                <w:szCs w:val="14"/>
              </w:rPr>
            </w:pPr>
            <w:r w:rsidRPr="00364545">
              <w:rPr>
                <w:sz w:val="16"/>
              </w:rPr>
              <w:t>2,72</w:t>
            </w:r>
          </w:p>
        </w:tc>
        <w:tc>
          <w:tcPr>
            <w:tcW w:w="991" w:type="dxa"/>
            <w:tcBorders>
              <w:top w:val="nil"/>
              <w:left w:val="nil"/>
              <w:bottom w:val="single" w:sz="4" w:space="0" w:color="auto"/>
              <w:right w:val="single" w:sz="4" w:space="0" w:color="auto"/>
            </w:tcBorders>
            <w:shd w:val="clear" w:color="000000" w:fill="FFFFFF"/>
            <w:noWrap/>
            <w:vAlign w:val="bottom"/>
            <w:hideMark/>
          </w:tcPr>
          <w:p w14:paraId="05EBE366" w14:textId="77777777" w:rsidR="00B56301" w:rsidRPr="00364545" w:rsidRDefault="00B56301" w:rsidP="00B37B65">
            <w:pPr>
              <w:jc w:val="right"/>
              <w:rPr>
                <w:rFonts w:asciiTheme="minorHAnsi" w:hAnsiTheme="minorHAnsi"/>
                <w:sz w:val="16"/>
                <w:szCs w:val="14"/>
              </w:rPr>
            </w:pPr>
            <w:r w:rsidRPr="00364545">
              <w:rPr>
                <w:sz w:val="16"/>
              </w:rPr>
              <w:t>2,57</w:t>
            </w:r>
          </w:p>
        </w:tc>
        <w:tc>
          <w:tcPr>
            <w:tcW w:w="991" w:type="dxa"/>
            <w:tcBorders>
              <w:top w:val="nil"/>
              <w:left w:val="nil"/>
              <w:bottom w:val="single" w:sz="4" w:space="0" w:color="auto"/>
              <w:right w:val="single" w:sz="4" w:space="0" w:color="auto"/>
            </w:tcBorders>
            <w:shd w:val="clear" w:color="000000" w:fill="FFFFFF"/>
            <w:noWrap/>
            <w:vAlign w:val="bottom"/>
            <w:hideMark/>
          </w:tcPr>
          <w:p w14:paraId="457F69DE" w14:textId="77777777" w:rsidR="00B56301" w:rsidRPr="00364545" w:rsidRDefault="00B56301" w:rsidP="00B37B65">
            <w:pPr>
              <w:jc w:val="right"/>
              <w:rPr>
                <w:rFonts w:asciiTheme="minorHAnsi" w:hAnsiTheme="minorHAnsi"/>
                <w:sz w:val="16"/>
                <w:szCs w:val="14"/>
              </w:rPr>
            </w:pPr>
            <w:r w:rsidRPr="00364545">
              <w:rPr>
                <w:sz w:val="16"/>
              </w:rPr>
              <w:t>2,52</w:t>
            </w:r>
          </w:p>
        </w:tc>
        <w:tc>
          <w:tcPr>
            <w:tcW w:w="991" w:type="dxa"/>
            <w:tcBorders>
              <w:top w:val="nil"/>
              <w:left w:val="nil"/>
              <w:bottom w:val="single" w:sz="4" w:space="0" w:color="auto"/>
              <w:right w:val="single" w:sz="4" w:space="0" w:color="auto"/>
            </w:tcBorders>
            <w:shd w:val="clear" w:color="000000" w:fill="FFFFFF"/>
            <w:noWrap/>
            <w:vAlign w:val="bottom"/>
            <w:hideMark/>
          </w:tcPr>
          <w:p w14:paraId="440D41C1" w14:textId="77777777" w:rsidR="00B56301" w:rsidRPr="00364545" w:rsidRDefault="00B56301" w:rsidP="00B37B65">
            <w:pPr>
              <w:jc w:val="right"/>
              <w:rPr>
                <w:rFonts w:asciiTheme="minorHAnsi" w:hAnsiTheme="minorHAnsi"/>
                <w:sz w:val="16"/>
                <w:szCs w:val="14"/>
              </w:rPr>
            </w:pPr>
            <w:r w:rsidRPr="00364545">
              <w:rPr>
                <w:sz w:val="16"/>
              </w:rPr>
              <w:t>2,84</w:t>
            </w:r>
          </w:p>
        </w:tc>
        <w:tc>
          <w:tcPr>
            <w:tcW w:w="991" w:type="dxa"/>
            <w:tcBorders>
              <w:top w:val="nil"/>
              <w:left w:val="nil"/>
              <w:bottom w:val="single" w:sz="4" w:space="0" w:color="auto"/>
              <w:right w:val="single" w:sz="4" w:space="0" w:color="auto"/>
            </w:tcBorders>
            <w:shd w:val="clear" w:color="000000" w:fill="FFFFFF"/>
            <w:noWrap/>
            <w:vAlign w:val="bottom"/>
            <w:hideMark/>
          </w:tcPr>
          <w:p w14:paraId="4BA06B0B" w14:textId="77777777" w:rsidR="00B56301" w:rsidRPr="00364545" w:rsidRDefault="00B56301" w:rsidP="00B37B65">
            <w:pPr>
              <w:jc w:val="right"/>
              <w:rPr>
                <w:rFonts w:asciiTheme="minorHAnsi" w:hAnsiTheme="minorHAnsi"/>
                <w:sz w:val="16"/>
                <w:szCs w:val="14"/>
              </w:rPr>
            </w:pPr>
            <w:r w:rsidRPr="00364545">
              <w:rPr>
                <w:sz w:val="16"/>
              </w:rPr>
              <w:t>2,53</w:t>
            </w:r>
          </w:p>
        </w:tc>
        <w:tc>
          <w:tcPr>
            <w:tcW w:w="991" w:type="dxa"/>
            <w:tcBorders>
              <w:top w:val="nil"/>
              <w:left w:val="nil"/>
              <w:bottom w:val="single" w:sz="4" w:space="0" w:color="auto"/>
              <w:right w:val="single" w:sz="4" w:space="0" w:color="auto"/>
            </w:tcBorders>
            <w:shd w:val="clear" w:color="000000" w:fill="FFFFFF"/>
            <w:noWrap/>
            <w:vAlign w:val="bottom"/>
            <w:hideMark/>
          </w:tcPr>
          <w:p w14:paraId="64376E58" w14:textId="77777777" w:rsidR="00B56301" w:rsidRPr="00364545" w:rsidRDefault="00B56301" w:rsidP="00B37B65">
            <w:pPr>
              <w:jc w:val="right"/>
              <w:rPr>
                <w:rFonts w:asciiTheme="minorHAnsi" w:hAnsiTheme="minorHAnsi"/>
                <w:sz w:val="16"/>
                <w:szCs w:val="14"/>
              </w:rPr>
            </w:pPr>
            <w:r w:rsidRPr="00364545">
              <w:rPr>
                <w:sz w:val="16"/>
              </w:rPr>
              <w:t>2,24</w:t>
            </w:r>
          </w:p>
        </w:tc>
      </w:tr>
      <w:tr w:rsidR="00B56301" w:rsidRPr="00364545" w14:paraId="4C03C11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0EBA045" w14:textId="4E110C2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6A701FC0"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7EFACA"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4680E39"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6F65754"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3811B50"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B01B82F"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3B76484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7142770" w14:textId="7F0C02E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6B39CC7A"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664787"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5D2CC67"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2F8546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BCAA3C0"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7F8B64C"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0F04D3B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3BF3D8F" w14:textId="0AD8C78B"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1AA95D29" w14:textId="77777777" w:rsidR="00B56301" w:rsidRPr="00364545" w:rsidRDefault="00B56301" w:rsidP="00B37B65">
            <w:pPr>
              <w:jc w:val="right"/>
              <w:rPr>
                <w:rFonts w:asciiTheme="minorHAnsi" w:hAnsiTheme="minorHAnsi"/>
                <w:sz w:val="16"/>
                <w:szCs w:val="14"/>
              </w:rPr>
            </w:pPr>
            <w:r w:rsidRPr="00364545">
              <w:rPr>
                <w:sz w:val="16"/>
              </w:rPr>
              <w:t>2,54</w:t>
            </w:r>
          </w:p>
        </w:tc>
        <w:tc>
          <w:tcPr>
            <w:tcW w:w="991" w:type="dxa"/>
            <w:tcBorders>
              <w:top w:val="nil"/>
              <w:left w:val="nil"/>
              <w:bottom w:val="single" w:sz="4" w:space="0" w:color="auto"/>
              <w:right w:val="single" w:sz="4" w:space="0" w:color="auto"/>
            </w:tcBorders>
            <w:shd w:val="clear" w:color="000000" w:fill="FFFFFF"/>
            <w:noWrap/>
            <w:vAlign w:val="bottom"/>
            <w:hideMark/>
          </w:tcPr>
          <w:p w14:paraId="6E67A8EF" w14:textId="77777777" w:rsidR="00B56301" w:rsidRPr="00364545" w:rsidRDefault="00B56301" w:rsidP="00B37B65">
            <w:pPr>
              <w:jc w:val="right"/>
              <w:rPr>
                <w:rFonts w:asciiTheme="minorHAnsi" w:hAnsiTheme="minorHAnsi"/>
                <w:sz w:val="16"/>
                <w:szCs w:val="14"/>
              </w:rPr>
            </w:pPr>
            <w:r w:rsidRPr="00364545">
              <w:rPr>
                <w:sz w:val="16"/>
              </w:rPr>
              <w:t>2,56</w:t>
            </w:r>
          </w:p>
        </w:tc>
        <w:tc>
          <w:tcPr>
            <w:tcW w:w="991" w:type="dxa"/>
            <w:tcBorders>
              <w:top w:val="nil"/>
              <w:left w:val="nil"/>
              <w:bottom w:val="single" w:sz="4" w:space="0" w:color="auto"/>
              <w:right w:val="single" w:sz="4" w:space="0" w:color="auto"/>
            </w:tcBorders>
            <w:shd w:val="clear" w:color="000000" w:fill="FFFFFF"/>
            <w:noWrap/>
            <w:vAlign w:val="bottom"/>
            <w:hideMark/>
          </w:tcPr>
          <w:p w14:paraId="19C8DE20" w14:textId="77777777" w:rsidR="00B56301" w:rsidRPr="00364545" w:rsidRDefault="00B56301" w:rsidP="00B37B65">
            <w:pPr>
              <w:jc w:val="right"/>
              <w:rPr>
                <w:rFonts w:asciiTheme="minorHAnsi" w:hAnsiTheme="minorHAnsi"/>
                <w:sz w:val="16"/>
                <w:szCs w:val="14"/>
              </w:rPr>
            </w:pPr>
            <w:r w:rsidRPr="00364545">
              <w:rPr>
                <w:sz w:val="16"/>
              </w:rPr>
              <w:t>2,09</w:t>
            </w:r>
          </w:p>
        </w:tc>
        <w:tc>
          <w:tcPr>
            <w:tcW w:w="991" w:type="dxa"/>
            <w:tcBorders>
              <w:top w:val="nil"/>
              <w:left w:val="nil"/>
              <w:bottom w:val="single" w:sz="4" w:space="0" w:color="auto"/>
              <w:right w:val="single" w:sz="4" w:space="0" w:color="auto"/>
            </w:tcBorders>
            <w:shd w:val="clear" w:color="000000" w:fill="FFFFFF"/>
            <w:noWrap/>
            <w:vAlign w:val="bottom"/>
            <w:hideMark/>
          </w:tcPr>
          <w:p w14:paraId="49FE2A7F" w14:textId="77777777" w:rsidR="00B56301" w:rsidRPr="00364545" w:rsidRDefault="00B56301" w:rsidP="00B37B65">
            <w:pPr>
              <w:jc w:val="right"/>
              <w:rPr>
                <w:rFonts w:asciiTheme="minorHAnsi" w:hAnsiTheme="minorHAnsi"/>
                <w:sz w:val="16"/>
                <w:szCs w:val="14"/>
              </w:rPr>
            </w:pPr>
            <w:r w:rsidRPr="00364545">
              <w:rPr>
                <w:sz w:val="16"/>
              </w:rPr>
              <w:t>2,15</w:t>
            </w:r>
          </w:p>
        </w:tc>
        <w:tc>
          <w:tcPr>
            <w:tcW w:w="991" w:type="dxa"/>
            <w:tcBorders>
              <w:top w:val="nil"/>
              <w:left w:val="nil"/>
              <w:bottom w:val="single" w:sz="4" w:space="0" w:color="auto"/>
              <w:right w:val="single" w:sz="4" w:space="0" w:color="auto"/>
            </w:tcBorders>
            <w:shd w:val="clear" w:color="000000" w:fill="FFFFFF"/>
            <w:noWrap/>
            <w:vAlign w:val="bottom"/>
            <w:hideMark/>
          </w:tcPr>
          <w:p w14:paraId="36B11ECE" w14:textId="77777777" w:rsidR="00B56301" w:rsidRPr="00364545" w:rsidRDefault="00B56301" w:rsidP="00B37B65">
            <w:pPr>
              <w:jc w:val="right"/>
              <w:rPr>
                <w:rFonts w:asciiTheme="minorHAnsi" w:hAnsiTheme="minorHAnsi"/>
                <w:sz w:val="16"/>
                <w:szCs w:val="14"/>
              </w:rPr>
            </w:pPr>
            <w:r w:rsidRPr="00364545">
              <w:rPr>
                <w:sz w:val="16"/>
              </w:rPr>
              <w:t>1,85</w:t>
            </w:r>
          </w:p>
        </w:tc>
        <w:tc>
          <w:tcPr>
            <w:tcW w:w="991" w:type="dxa"/>
            <w:tcBorders>
              <w:top w:val="nil"/>
              <w:left w:val="nil"/>
              <w:bottom w:val="single" w:sz="4" w:space="0" w:color="auto"/>
              <w:right w:val="single" w:sz="4" w:space="0" w:color="auto"/>
            </w:tcBorders>
            <w:shd w:val="clear" w:color="000000" w:fill="FFFFFF"/>
            <w:noWrap/>
            <w:vAlign w:val="bottom"/>
            <w:hideMark/>
          </w:tcPr>
          <w:p w14:paraId="43F7A86A" w14:textId="77777777" w:rsidR="00B56301" w:rsidRPr="00364545" w:rsidRDefault="00B56301" w:rsidP="00B37B65">
            <w:pPr>
              <w:jc w:val="right"/>
              <w:rPr>
                <w:rFonts w:asciiTheme="minorHAnsi" w:hAnsiTheme="minorHAnsi"/>
                <w:sz w:val="16"/>
                <w:szCs w:val="14"/>
              </w:rPr>
            </w:pPr>
            <w:r w:rsidRPr="00364545">
              <w:rPr>
                <w:sz w:val="16"/>
              </w:rPr>
              <w:t>1,81</w:t>
            </w:r>
          </w:p>
        </w:tc>
      </w:tr>
      <w:tr w:rsidR="00B56301" w:rsidRPr="00364545" w14:paraId="26D9C7F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73AA17E" w14:textId="396BCEC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Liming</w:t>
            </w:r>
          </w:p>
        </w:tc>
        <w:tc>
          <w:tcPr>
            <w:tcW w:w="991" w:type="dxa"/>
            <w:tcBorders>
              <w:top w:val="nil"/>
              <w:left w:val="nil"/>
              <w:bottom w:val="single" w:sz="4" w:space="0" w:color="auto"/>
              <w:right w:val="single" w:sz="4" w:space="0" w:color="auto"/>
            </w:tcBorders>
            <w:shd w:val="clear" w:color="000000" w:fill="969696"/>
            <w:noWrap/>
            <w:vAlign w:val="bottom"/>
            <w:hideMark/>
          </w:tcPr>
          <w:p w14:paraId="2F52375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21D2E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CA4E10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58AB3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AD72F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21201D"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3304A4B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D8FC07" w14:textId="77E8735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H. 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1E49579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B2498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BAD5E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AD071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F4CC3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4B97A1"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2AC53B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42F3D1E" w14:textId="2B9EDD8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I. 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33489CCA"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B3B2A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D945C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57857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A8F93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6D3633"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613771A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B86FE26" w14:textId="08A4573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J. Other </w:t>
            </w:r>
          </w:p>
        </w:tc>
        <w:tc>
          <w:tcPr>
            <w:tcW w:w="991" w:type="dxa"/>
            <w:tcBorders>
              <w:top w:val="nil"/>
              <w:left w:val="nil"/>
              <w:bottom w:val="single" w:sz="4" w:space="0" w:color="auto"/>
              <w:right w:val="single" w:sz="4" w:space="0" w:color="auto"/>
            </w:tcBorders>
            <w:shd w:val="clear" w:color="000000" w:fill="FFFFFF"/>
            <w:noWrap/>
            <w:vAlign w:val="bottom"/>
            <w:hideMark/>
          </w:tcPr>
          <w:p w14:paraId="34D0E14E"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C603D95"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276B93"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A56B634"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B98AD87"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B45D635"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356745C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270F77DF"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177670F1" w14:textId="77777777" w:rsidR="00B56301" w:rsidRPr="00364545" w:rsidRDefault="00B56301" w:rsidP="00B37B65">
            <w:pPr>
              <w:jc w:val="right"/>
              <w:rPr>
                <w:rFonts w:asciiTheme="minorHAnsi" w:hAnsiTheme="minorHAnsi"/>
                <w:sz w:val="16"/>
                <w:szCs w:val="14"/>
              </w:rPr>
            </w:pPr>
            <w:r w:rsidRPr="00364545">
              <w:rPr>
                <w:sz w:val="16"/>
              </w:rPr>
              <w:t>58,81</w:t>
            </w:r>
          </w:p>
        </w:tc>
        <w:tc>
          <w:tcPr>
            <w:tcW w:w="991" w:type="dxa"/>
            <w:tcBorders>
              <w:top w:val="nil"/>
              <w:left w:val="nil"/>
              <w:bottom w:val="single" w:sz="4" w:space="0" w:color="auto"/>
              <w:right w:val="single" w:sz="4" w:space="0" w:color="auto"/>
            </w:tcBorders>
            <w:shd w:val="clear" w:color="000000" w:fill="CCFFFF"/>
            <w:noWrap/>
            <w:vAlign w:val="bottom"/>
            <w:hideMark/>
          </w:tcPr>
          <w:p w14:paraId="35D7999B" w14:textId="77777777" w:rsidR="00B56301" w:rsidRPr="00364545" w:rsidRDefault="00B56301" w:rsidP="00B37B65">
            <w:pPr>
              <w:jc w:val="right"/>
              <w:rPr>
                <w:rFonts w:asciiTheme="minorHAnsi" w:hAnsiTheme="minorHAnsi"/>
                <w:sz w:val="16"/>
                <w:szCs w:val="14"/>
              </w:rPr>
            </w:pPr>
            <w:r w:rsidRPr="00364545">
              <w:rPr>
                <w:sz w:val="16"/>
              </w:rPr>
              <w:t>53,13</w:t>
            </w:r>
          </w:p>
        </w:tc>
        <w:tc>
          <w:tcPr>
            <w:tcW w:w="991" w:type="dxa"/>
            <w:tcBorders>
              <w:top w:val="nil"/>
              <w:left w:val="nil"/>
              <w:bottom w:val="single" w:sz="4" w:space="0" w:color="auto"/>
              <w:right w:val="single" w:sz="4" w:space="0" w:color="auto"/>
            </w:tcBorders>
            <w:shd w:val="clear" w:color="000000" w:fill="CCFFFF"/>
            <w:noWrap/>
            <w:vAlign w:val="bottom"/>
            <w:hideMark/>
          </w:tcPr>
          <w:p w14:paraId="2B2C90CC" w14:textId="77777777" w:rsidR="00B56301" w:rsidRPr="00364545" w:rsidRDefault="00B56301" w:rsidP="00B37B65">
            <w:pPr>
              <w:jc w:val="right"/>
              <w:rPr>
                <w:rFonts w:asciiTheme="minorHAnsi" w:hAnsiTheme="minorHAnsi"/>
                <w:sz w:val="16"/>
                <w:szCs w:val="14"/>
              </w:rPr>
            </w:pPr>
            <w:r w:rsidRPr="00364545">
              <w:rPr>
                <w:sz w:val="16"/>
              </w:rPr>
              <w:t>53,61</w:t>
            </w:r>
          </w:p>
        </w:tc>
        <w:tc>
          <w:tcPr>
            <w:tcW w:w="991" w:type="dxa"/>
            <w:tcBorders>
              <w:top w:val="nil"/>
              <w:left w:val="nil"/>
              <w:bottom w:val="single" w:sz="4" w:space="0" w:color="auto"/>
              <w:right w:val="single" w:sz="4" w:space="0" w:color="auto"/>
            </w:tcBorders>
            <w:shd w:val="clear" w:color="000000" w:fill="CCFFFF"/>
            <w:noWrap/>
            <w:vAlign w:val="bottom"/>
            <w:hideMark/>
          </w:tcPr>
          <w:p w14:paraId="67BBB281" w14:textId="77777777" w:rsidR="00B56301" w:rsidRPr="00364545" w:rsidRDefault="00B56301" w:rsidP="00B37B65">
            <w:pPr>
              <w:jc w:val="right"/>
              <w:rPr>
                <w:rFonts w:asciiTheme="minorHAnsi" w:hAnsiTheme="minorHAnsi"/>
                <w:sz w:val="16"/>
                <w:szCs w:val="14"/>
              </w:rPr>
            </w:pPr>
            <w:r w:rsidRPr="00364545">
              <w:rPr>
                <w:sz w:val="16"/>
              </w:rPr>
              <w:t>47,72</w:t>
            </w:r>
          </w:p>
        </w:tc>
        <w:tc>
          <w:tcPr>
            <w:tcW w:w="991" w:type="dxa"/>
            <w:tcBorders>
              <w:top w:val="nil"/>
              <w:left w:val="nil"/>
              <w:bottom w:val="single" w:sz="4" w:space="0" w:color="auto"/>
              <w:right w:val="single" w:sz="4" w:space="0" w:color="auto"/>
            </w:tcBorders>
            <w:shd w:val="clear" w:color="000000" w:fill="CCFFFF"/>
            <w:noWrap/>
            <w:vAlign w:val="bottom"/>
            <w:hideMark/>
          </w:tcPr>
          <w:p w14:paraId="26BBFB3F" w14:textId="77777777" w:rsidR="00B56301" w:rsidRPr="00364545" w:rsidRDefault="00B56301" w:rsidP="00B37B65">
            <w:pPr>
              <w:jc w:val="right"/>
              <w:rPr>
                <w:rFonts w:asciiTheme="minorHAnsi" w:hAnsiTheme="minorHAnsi"/>
                <w:sz w:val="16"/>
                <w:szCs w:val="14"/>
              </w:rPr>
            </w:pPr>
            <w:r w:rsidRPr="00364545">
              <w:rPr>
                <w:sz w:val="16"/>
              </w:rPr>
              <w:t>47,55</w:t>
            </w:r>
          </w:p>
        </w:tc>
        <w:tc>
          <w:tcPr>
            <w:tcW w:w="991" w:type="dxa"/>
            <w:tcBorders>
              <w:top w:val="nil"/>
              <w:left w:val="nil"/>
              <w:bottom w:val="single" w:sz="4" w:space="0" w:color="auto"/>
              <w:right w:val="single" w:sz="4" w:space="0" w:color="auto"/>
            </w:tcBorders>
            <w:shd w:val="clear" w:color="000000" w:fill="CCFFFF"/>
            <w:noWrap/>
            <w:vAlign w:val="bottom"/>
            <w:hideMark/>
          </w:tcPr>
          <w:p w14:paraId="14A26772" w14:textId="77777777" w:rsidR="00B56301" w:rsidRPr="00364545" w:rsidRDefault="00B56301" w:rsidP="00B37B65">
            <w:pPr>
              <w:jc w:val="right"/>
              <w:rPr>
                <w:rFonts w:asciiTheme="minorHAnsi" w:hAnsiTheme="minorHAnsi"/>
                <w:sz w:val="16"/>
                <w:szCs w:val="14"/>
              </w:rPr>
            </w:pPr>
            <w:r w:rsidRPr="00364545">
              <w:rPr>
                <w:sz w:val="16"/>
              </w:rPr>
              <w:t>45,69</w:t>
            </w:r>
          </w:p>
        </w:tc>
      </w:tr>
      <w:tr w:rsidR="00B56301" w:rsidRPr="00364545" w14:paraId="7CB9507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ED8497" w14:textId="23B17E3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14047AC3" w14:textId="77777777" w:rsidR="00B56301" w:rsidRPr="00364545" w:rsidRDefault="00B56301" w:rsidP="00B37B65">
            <w:pPr>
              <w:jc w:val="right"/>
              <w:rPr>
                <w:rFonts w:asciiTheme="minorHAnsi" w:hAnsiTheme="minorHAnsi"/>
                <w:sz w:val="16"/>
                <w:szCs w:val="14"/>
              </w:rPr>
            </w:pPr>
            <w:r w:rsidRPr="00364545">
              <w:rPr>
                <w:sz w:val="16"/>
              </w:rPr>
              <w:t>24,72</w:t>
            </w:r>
          </w:p>
        </w:tc>
        <w:tc>
          <w:tcPr>
            <w:tcW w:w="991" w:type="dxa"/>
            <w:tcBorders>
              <w:top w:val="nil"/>
              <w:left w:val="nil"/>
              <w:bottom w:val="single" w:sz="4" w:space="0" w:color="auto"/>
              <w:right w:val="single" w:sz="4" w:space="0" w:color="auto"/>
            </w:tcBorders>
            <w:shd w:val="clear" w:color="000000" w:fill="FFFFFF"/>
            <w:noWrap/>
            <w:vAlign w:val="bottom"/>
            <w:hideMark/>
          </w:tcPr>
          <w:p w14:paraId="0AE63F85" w14:textId="77777777" w:rsidR="00B56301" w:rsidRPr="00364545" w:rsidRDefault="00B56301" w:rsidP="00B37B65">
            <w:pPr>
              <w:jc w:val="right"/>
              <w:rPr>
                <w:rFonts w:asciiTheme="minorHAnsi" w:hAnsiTheme="minorHAnsi"/>
                <w:sz w:val="16"/>
                <w:szCs w:val="14"/>
              </w:rPr>
            </w:pPr>
            <w:r w:rsidRPr="00364545">
              <w:rPr>
                <w:sz w:val="16"/>
              </w:rPr>
              <w:t>23,02</w:t>
            </w:r>
          </w:p>
        </w:tc>
        <w:tc>
          <w:tcPr>
            <w:tcW w:w="991" w:type="dxa"/>
            <w:tcBorders>
              <w:top w:val="nil"/>
              <w:left w:val="nil"/>
              <w:bottom w:val="single" w:sz="4" w:space="0" w:color="auto"/>
              <w:right w:val="single" w:sz="4" w:space="0" w:color="auto"/>
            </w:tcBorders>
            <w:shd w:val="clear" w:color="000000" w:fill="FFFFFF"/>
            <w:noWrap/>
            <w:vAlign w:val="bottom"/>
            <w:hideMark/>
          </w:tcPr>
          <w:p w14:paraId="3E1F7907" w14:textId="77777777" w:rsidR="00B56301" w:rsidRPr="00364545" w:rsidRDefault="00B56301" w:rsidP="00B37B65">
            <w:pPr>
              <w:jc w:val="right"/>
              <w:rPr>
                <w:rFonts w:asciiTheme="minorHAnsi" w:hAnsiTheme="minorHAnsi"/>
                <w:sz w:val="16"/>
                <w:szCs w:val="14"/>
              </w:rPr>
            </w:pPr>
            <w:r w:rsidRPr="00364545">
              <w:rPr>
                <w:sz w:val="16"/>
              </w:rPr>
              <w:t>26,56</w:t>
            </w:r>
          </w:p>
        </w:tc>
        <w:tc>
          <w:tcPr>
            <w:tcW w:w="991" w:type="dxa"/>
            <w:tcBorders>
              <w:top w:val="nil"/>
              <w:left w:val="nil"/>
              <w:bottom w:val="single" w:sz="4" w:space="0" w:color="auto"/>
              <w:right w:val="single" w:sz="4" w:space="0" w:color="auto"/>
            </w:tcBorders>
            <w:shd w:val="clear" w:color="000000" w:fill="FFFFFF"/>
            <w:noWrap/>
            <w:vAlign w:val="bottom"/>
            <w:hideMark/>
          </w:tcPr>
          <w:p w14:paraId="5872E5B9" w14:textId="77777777" w:rsidR="00B56301" w:rsidRPr="00364545" w:rsidRDefault="00B56301" w:rsidP="00B37B65">
            <w:pPr>
              <w:jc w:val="right"/>
              <w:rPr>
                <w:rFonts w:asciiTheme="minorHAnsi" w:hAnsiTheme="minorHAnsi"/>
                <w:sz w:val="16"/>
                <w:szCs w:val="14"/>
              </w:rPr>
            </w:pPr>
            <w:r w:rsidRPr="00364545">
              <w:rPr>
                <w:sz w:val="16"/>
              </w:rPr>
              <w:t>21,53</w:t>
            </w:r>
          </w:p>
        </w:tc>
        <w:tc>
          <w:tcPr>
            <w:tcW w:w="991" w:type="dxa"/>
            <w:tcBorders>
              <w:top w:val="nil"/>
              <w:left w:val="nil"/>
              <w:bottom w:val="single" w:sz="4" w:space="0" w:color="auto"/>
              <w:right w:val="single" w:sz="4" w:space="0" w:color="auto"/>
            </w:tcBorders>
            <w:shd w:val="clear" w:color="000000" w:fill="FFFFFF"/>
            <w:noWrap/>
            <w:vAlign w:val="bottom"/>
            <w:hideMark/>
          </w:tcPr>
          <w:p w14:paraId="4AE3BE6D" w14:textId="77777777" w:rsidR="00B56301" w:rsidRPr="00364545" w:rsidRDefault="00B56301" w:rsidP="00B37B65">
            <w:pPr>
              <w:jc w:val="right"/>
              <w:rPr>
                <w:rFonts w:asciiTheme="minorHAnsi" w:hAnsiTheme="minorHAnsi"/>
                <w:sz w:val="16"/>
                <w:szCs w:val="14"/>
              </w:rPr>
            </w:pPr>
            <w:r w:rsidRPr="00364545">
              <w:rPr>
                <w:sz w:val="16"/>
              </w:rPr>
              <w:t>21,56</w:t>
            </w:r>
          </w:p>
        </w:tc>
        <w:tc>
          <w:tcPr>
            <w:tcW w:w="991" w:type="dxa"/>
            <w:tcBorders>
              <w:top w:val="nil"/>
              <w:left w:val="nil"/>
              <w:bottom w:val="single" w:sz="4" w:space="0" w:color="auto"/>
              <w:right w:val="single" w:sz="4" w:space="0" w:color="auto"/>
            </w:tcBorders>
            <w:shd w:val="clear" w:color="000000" w:fill="FFFFFF"/>
            <w:noWrap/>
            <w:vAlign w:val="bottom"/>
            <w:hideMark/>
          </w:tcPr>
          <w:p w14:paraId="1E0D3BBC" w14:textId="77777777" w:rsidR="00B56301" w:rsidRPr="00364545" w:rsidRDefault="00B56301" w:rsidP="00B37B65">
            <w:pPr>
              <w:jc w:val="right"/>
              <w:rPr>
                <w:rFonts w:asciiTheme="minorHAnsi" w:hAnsiTheme="minorHAnsi"/>
                <w:sz w:val="16"/>
                <w:szCs w:val="14"/>
              </w:rPr>
            </w:pPr>
            <w:r w:rsidRPr="00364545">
              <w:rPr>
                <w:sz w:val="16"/>
              </w:rPr>
              <w:t>19,86</w:t>
            </w:r>
          </w:p>
        </w:tc>
      </w:tr>
      <w:tr w:rsidR="00B56301" w:rsidRPr="00364545" w14:paraId="09B6075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C51F0A0" w14:textId="6B42E8A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1E8917E6" w14:textId="77777777" w:rsidR="00B56301" w:rsidRPr="00364545" w:rsidRDefault="00B56301" w:rsidP="00B37B65">
            <w:pPr>
              <w:jc w:val="right"/>
              <w:rPr>
                <w:rFonts w:asciiTheme="minorHAnsi" w:hAnsiTheme="minorHAnsi"/>
                <w:sz w:val="16"/>
                <w:szCs w:val="14"/>
              </w:rPr>
            </w:pPr>
            <w:r w:rsidRPr="00364545">
              <w:rPr>
                <w:sz w:val="16"/>
              </w:rPr>
              <w:t>4,46</w:t>
            </w:r>
          </w:p>
        </w:tc>
        <w:tc>
          <w:tcPr>
            <w:tcW w:w="991" w:type="dxa"/>
            <w:tcBorders>
              <w:top w:val="nil"/>
              <w:left w:val="nil"/>
              <w:bottom w:val="single" w:sz="4" w:space="0" w:color="auto"/>
              <w:right w:val="single" w:sz="4" w:space="0" w:color="auto"/>
            </w:tcBorders>
            <w:shd w:val="clear" w:color="000000" w:fill="FFFFFF"/>
            <w:noWrap/>
            <w:vAlign w:val="bottom"/>
            <w:hideMark/>
          </w:tcPr>
          <w:p w14:paraId="0C668A14" w14:textId="77777777" w:rsidR="00B56301" w:rsidRPr="00364545" w:rsidRDefault="00B56301" w:rsidP="00B37B65">
            <w:pPr>
              <w:jc w:val="right"/>
              <w:rPr>
                <w:rFonts w:asciiTheme="minorHAnsi" w:hAnsiTheme="minorHAnsi"/>
                <w:sz w:val="16"/>
                <w:szCs w:val="14"/>
              </w:rPr>
            </w:pPr>
            <w:r w:rsidRPr="00364545">
              <w:rPr>
                <w:sz w:val="16"/>
              </w:rPr>
              <w:t>4,20</w:t>
            </w:r>
          </w:p>
        </w:tc>
        <w:tc>
          <w:tcPr>
            <w:tcW w:w="991" w:type="dxa"/>
            <w:tcBorders>
              <w:top w:val="nil"/>
              <w:left w:val="nil"/>
              <w:bottom w:val="single" w:sz="4" w:space="0" w:color="auto"/>
              <w:right w:val="single" w:sz="4" w:space="0" w:color="auto"/>
            </w:tcBorders>
            <w:shd w:val="clear" w:color="000000" w:fill="FFFFFF"/>
            <w:noWrap/>
            <w:vAlign w:val="bottom"/>
            <w:hideMark/>
          </w:tcPr>
          <w:p w14:paraId="54CBEB98" w14:textId="77777777" w:rsidR="00B56301" w:rsidRPr="00364545" w:rsidRDefault="00B56301" w:rsidP="00B37B65">
            <w:pPr>
              <w:jc w:val="right"/>
              <w:rPr>
                <w:rFonts w:asciiTheme="minorHAnsi" w:hAnsiTheme="minorHAnsi"/>
                <w:sz w:val="16"/>
                <w:szCs w:val="14"/>
              </w:rPr>
            </w:pPr>
            <w:r w:rsidRPr="00364545">
              <w:rPr>
                <w:sz w:val="16"/>
              </w:rPr>
              <w:t>4,20</w:t>
            </w:r>
          </w:p>
        </w:tc>
        <w:tc>
          <w:tcPr>
            <w:tcW w:w="991" w:type="dxa"/>
            <w:tcBorders>
              <w:top w:val="nil"/>
              <w:left w:val="nil"/>
              <w:bottom w:val="single" w:sz="4" w:space="0" w:color="auto"/>
              <w:right w:val="single" w:sz="4" w:space="0" w:color="auto"/>
            </w:tcBorders>
            <w:shd w:val="clear" w:color="000000" w:fill="FFFFFF"/>
            <w:noWrap/>
            <w:vAlign w:val="bottom"/>
            <w:hideMark/>
          </w:tcPr>
          <w:p w14:paraId="2E1A0741" w14:textId="77777777" w:rsidR="00B56301" w:rsidRPr="00364545" w:rsidRDefault="00B56301" w:rsidP="00B37B65">
            <w:pPr>
              <w:jc w:val="right"/>
              <w:rPr>
                <w:rFonts w:asciiTheme="minorHAnsi" w:hAnsiTheme="minorHAnsi"/>
                <w:sz w:val="16"/>
                <w:szCs w:val="14"/>
              </w:rPr>
            </w:pPr>
            <w:r w:rsidRPr="00364545">
              <w:rPr>
                <w:sz w:val="16"/>
              </w:rPr>
              <w:t>4,39</w:t>
            </w:r>
          </w:p>
        </w:tc>
        <w:tc>
          <w:tcPr>
            <w:tcW w:w="991" w:type="dxa"/>
            <w:tcBorders>
              <w:top w:val="nil"/>
              <w:left w:val="nil"/>
              <w:bottom w:val="single" w:sz="4" w:space="0" w:color="auto"/>
              <w:right w:val="single" w:sz="4" w:space="0" w:color="auto"/>
            </w:tcBorders>
            <w:shd w:val="clear" w:color="000000" w:fill="FFFFFF"/>
            <w:noWrap/>
            <w:vAlign w:val="bottom"/>
            <w:hideMark/>
          </w:tcPr>
          <w:p w14:paraId="379504B5" w14:textId="77777777" w:rsidR="00B56301" w:rsidRPr="00364545" w:rsidRDefault="00B56301" w:rsidP="00B37B65">
            <w:pPr>
              <w:jc w:val="right"/>
              <w:rPr>
                <w:rFonts w:asciiTheme="minorHAnsi" w:hAnsiTheme="minorHAnsi"/>
                <w:sz w:val="16"/>
                <w:szCs w:val="14"/>
              </w:rPr>
            </w:pPr>
            <w:r w:rsidRPr="00364545">
              <w:rPr>
                <w:sz w:val="16"/>
              </w:rPr>
              <w:t>4,62</w:t>
            </w:r>
          </w:p>
        </w:tc>
        <w:tc>
          <w:tcPr>
            <w:tcW w:w="991" w:type="dxa"/>
            <w:tcBorders>
              <w:top w:val="nil"/>
              <w:left w:val="nil"/>
              <w:bottom w:val="single" w:sz="4" w:space="0" w:color="auto"/>
              <w:right w:val="single" w:sz="4" w:space="0" w:color="auto"/>
            </w:tcBorders>
            <w:shd w:val="clear" w:color="000000" w:fill="FFFFFF"/>
            <w:noWrap/>
            <w:vAlign w:val="bottom"/>
            <w:hideMark/>
          </w:tcPr>
          <w:p w14:paraId="6AE26127" w14:textId="77777777" w:rsidR="00B56301" w:rsidRPr="00364545" w:rsidRDefault="00B56301" w:rsidP="00B37B65">
            <w:pPr>
              <w:jc w:val="right"/>
              <w:rPr>
                <w:rFonts w:asciiTheme="minorHAnsi" w:hAnsiTheme="minorHAnsi"/>
                <w:sz w:val="16"/>
                <w:szCs w:val="14"/>
              </w:rPr>
            </w:pPr>
            <w:r w:rsidRPr="00364545">
              <w:rPr>
                <w:sz w:val="16"/>
              </w:rPr>
              <w:t>4,73</w:t>
            </w:r>
          </w:p>
        </w:tc>
      </w:tr>
      <w:tr w:rsidR="00B56301" w:rsidRPr="00364545" w14:paraId="4EC181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45275F" w14:textId="00E43A1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23041DE9" w14:textId="77777777" w:rsidR="00B56301" w:rsidRPr="00364545" w:rsidRDefault="00B56301" w:rsidP="00B37B65">
            <w:pPr>
              <w:jc w:val="right"/>
              <w:rPr>
                <w:rFonts w:asciiTheme="minorHAnsi" w:hAnsiTheme="minorHAnsi"/>
                <w:sz w:val="16"/>
                <w:szCs w:val="14"/>
              </w:rPr>
            </w:pPr>
            <w:r w:rsidRPr="00364545">
              <w:rPr>
                <w:sz w:val="16"/>
              </w:rPr>
              <w:t>5,25</w:t>
            </w:r>
          </w:p>
        </w:tc>
        <w:tc>
          <w:tcPr>
            <w:tcW w:w="991" w:type="dxa"/>
            <w:tcBorders>
              <w:top w:val="nil"/>
              <w:left w:val="nil"/>
              <w:bottom w:val="single" w:sz="4" w:space="0" w:color="auto"/>
              <w:right w:val="single" w:sz="4" w:space="0" w:color="auto"/>
            </w:tcBorders>
            <w:shd w:val="clear" w:color="000000" w:fill="FFFFFF"/>
            <w:noWrap/>
            <w:vAlign w:val="bottom"/>
            <w:hideMark/>
          </w:tcPr>
          <w:p w14:paraId="6FFC4889" w14:textId="77777777" w:rsidR="00B56301" w:rsidRPr="00364545" w:rsidRDefault="00B56301" w:rsidP="00B37B65">
            <w:pPr>
              <w:jc w:val="right"/>
              <w:rPr>
                <w:rFonts w:asciiTheme="minorHAnsi" w:hAnsiTheme="minorHAnsi"/>
                <w:sz w:val="16"/>
                <w:szCs w:val="14"/>
              </w:rPr>
            </w:pPr>
            <w:r w:rsidRPr="00364545">
              <w:rPr>
                <w:sz w:val="16"/>
              </w:rPr>
              <w:t>5,26</w:t>
            </w:r>
          </w:p>
        </w:tc>
        <w:tc>
          <w:tcPr>
            <w:tcW w:w="991" w:type="dxa"/>
            <w:tcBorders>
              <w:top w:val="nil"/>
              <w:left w:val="nil"/>
              <w:bottom w:val="single" w:sz="4" w:space="0" w:color="auto"/>
              <w:right w:val="single" w:sz="4" w:space="0" w:color="auto"/>
            </w:tcBorders>
            <w:shd w:val="clear" w:color="000000" w:fill="FFFFFF"/>
            <w:noWrap/>
            <w:vAlign w:val="bottom"/>
            <w:hideMark/>
          </w:tcPr>
          <w:p w14:paraId="3C77A841" w14:textId="77777777" w:rsidR="00B56301" w:rsidRPr="00364545" w:rsidRDefault="00B56301" w:rsidP="00B37B65">
            <w:pPr>
              <w:jc w:val="right"/>
              <w:rPr>
                <w:rFonts w:asciiTheme="minorHAnsi" w:hAnsiTheme="minorHAnsi"/>
                <w:sz w:val="16"/>
                <w:szCs w:val="14"/>
              </w:rPr>
            </w:pPr>
            <w:r w:rsidRPr="00364545">
              <w:rPr>
                <w:sz w:val="16"/>
              </w:rPr>
              <w:t>5,17</w:t>
            </w:r>
          </w:p>
        </w:tc>
        <w:tc>
          <w:tcPr>
            <w:tcW w:w="991" w:type="dxa"/>
            <w:tcBorders>
              <w:top w:val="nil"/>
              <w:left w:val="nil"/>
              <w:bottom w:val="single" w:sz="4" w:space="0" w:color="auto"/>
              <w:right w:val="single" w:sz="4" w:space="0" w:color="auto"/>
            </w:tcBorders>
            <w:shd w:val="clear" w:color="000000" w:fill="FFFFFF"/>
            <w:noWrap/>
            <w:vAlign w:val="bottom"/>
            <w:hideMark/>
          </w:tcPr>
          <w:p w14:paraId="557EA273" w14:textId="77777777" w:rsidR="00B56301" w:rsidRPr="00364545" w:rsidRDefault="00B56301" w:rsidP="00B37B65">
            <w:pPr>
              <w:jc w:val="right"/>
              <w:rPr>
                <w:rFonts w:asciiTheme="minorHAnsi" w:hAnsiTheme="minorHAnsi"/>
                <w:sz w:val="16"/>
                <w:szCs w:val="14"/>
              </w:rPr>
            </w:pPr>
            <w:r w:rsidRPr="00364545">
              <w:rPr>
                <w:sz w:val="16"/>
              </w:rPr>
              <w:t>5,65</w:t>
            </w:r>
          </w:p>
        </w:tc>
        <w:tc>
          <w:tcPr>
            <w:tcW w:w="991" w:type="dxa"/>
            <w:tcBorders>
              <w:top w:val="nil"/>
              <w:left w:val="nil"/>
              <w:bottom w:val="single" w:sz="4" w:space="0" w:color="auto"/>
              <w:right w:val="single" w:sz="4" w:space="0" w:color="auto"/>
            </w:tcBorders>
            <w:shd w:val="clear" w:color="000000" w:fill="FFFFFF"/>
            <w:noWrap/>
            <w:vAlign w:val="bottom"/>
            <w:hideMark/>
          </w:tcPr>
          <w:p w14:paraId="762AF1A3" w14:textId="77777777" w:rsidR="00B56301" w:rsidRPr="00364545" w:rsidRDefault="00B56301" w:rsidP="00B37B65">
            <w:pPr>
              <w:jc w:val="right"/>
              <w:rPr>
                <w:rFonts w:asciiTheme="minorHAnsi" w:hAnsiTheme="minorHAnsi"/>
                <w:sz w:val="16"/>
                <w:szCs w:val="14"/>
              </w:rPr>
            </w:pPr>
            <w:r w:rsidRPr="00364545">
              <w:rPr>
                <w:sz w:val="16"/>
              </w:rPr>
              <w:t>6,22</w:t>
            </w:r>
          </w:p>
        </w:tc>
        <w:tc>
          <w:tcPr>
            <w:tcW w:w="991" w:type="dxa"/>
            <w:tcBorders>
              <w:top w:val="nil"/>
              <w:left w:val="nil"/>
              <w:bottom w:val="single" w:sz="4" w:space="0" w:color="auto"/>
              <w:right w:val="single" w:sz="4" w:space="0" w:color="auto"/>
            </w:tcBorders>
            <w:shd w:val="clear" w:color="000000" w:fill="FFFFFF"/>
            <w:noWrap/>
            <w:vAlign w:val="bottom"/>
            <w:hideMark/>
          </w:tcPr>
          <w:p w14:paraId="6884EE94" w14:textId="77777777" w:rsidR="00B56301" w:rsidRPr="00364545" w:rsidRDefault="00B56301" w:rsidP="00B37B65">
            <w:pPr>
              <w:jc w:val="right"/>
              <w:rPr>
                <w:rFonts w:asciiTheme="minorHAnsi" w:hAnsiTheme="minorHAnsi"/>
                <w:sz w:val="16"/>
                <w:szCs w:val="14"/>
              </w:rPr>
            </w:pPr>
            <w:r w:rsidRPr="00364545">
              <w:rPr>
                <w:sz w:val="16"/>
              </w:rPr>
              <w:t>6,61</w:t>
            </w:r>
          </w:p>
        </w:tc>
      </w:tr>
      <w:tr w:rsidR="00B56301" w:rsidRPr="00364545" w14:paraId="458F22F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080AF07" w14:textId="4E9656A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13C7A18C" w14:textId="77777777" w:rsidR="00B56301" w:rsidRPr="00364545" w:rsidRDefault="00B56301" w:rsidP="00B37B65">
            <w:pPr>
              <w:jc w:val="right"/>
              <w:rPr>
                <w:rFonts w:asciiTheme="minorHAnsi" w:hAnsiTheme="minorHAnsi"/>
                <w:sz w:val="16"/>
                <w:szCs w:val="14"/>
              </w:rPr>
            </w:pPr>
            <w:r w:rsidRPr="00364545">
              <w:rPr>
                <w:sz w:val="16"/>
              </w:rPr>
              <w:t>0,32</w:t>
            </w:r>
          </w:p>
        </w:tc>
        <w:tc>
          <w:tcPr>
            <w:tcW w:w="991" w:type="dxa"/>
            <w:tcBorders>
              <w:top w:val="nil"/>
              <w:left w:val="nil"/>
              <w:bottom w:val="single" w:sz="4" w:space="0" w:color="auto"/>
              <w:right w:val="single" w:sz="4" w:space="0" w:color="auto"/>
            </w:tcBorders>
            <w:shd w:val="clear" w:color="000000" w:fill="FFFFFF"/>
            <w:noWrap/>
            <w:vAlign w:val="bottom"/>
            <w:hideMark/>
          </w:tcPr>
          <w:p w14:paraId="6C8D3107" w14:textId="77777777" w:rsidR="00B56301" w:rsidRPr="00364545" w:rsidRDefault="00B56301" w:rsidP="00B37B65">
            <w:pPr>
              <w:jc w:val="right"/>
              <w:rPr>
                <w:rFonts w:asciiTheme="minorHAnsi" w:hAnsiTheme="minorHAnsi"/>
                <w:sz w:val="16"/>
                <w:szCs w:val="14"/>
              </w:rPr>
            </w:pPr>
            <w:r w:rsidRPr="00364545">
              <w:rPr>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7F9ECA15" w14:textId="77777777" w:rsidR="00B56301" w:rsidRPr="00364545" w:rsidRDefault="00B56301" w:rsidP="00B37B65">
            <w:pPr>
              <w:jc w:val="right"/>
              <w:rPr>
                <w:rFonts w:asciiTheme="minorHAnsi" w:hAnsiTheme="minorHAnsi"/>
                <w:sz w:val="16"/>
                <w:szCs w:val="14"/>
              </w:rPr>
            </w:pPr>
            <w:r w:rsidRPr="00364545">
              <w:rPr>
                <w:sz w:val="16"/>
              </w:rPr>
              <w:t>0,19</w:t>
            </w:r>
          </w:p>
        </w:tc>
        <w:tc>
          <w:tcPr>
            <w:tcW w:w="991" w:type="dxa"/>
            <w:tcBorders>
              <w:top w:val="nil"/>
              <w:left w:val="nil"/>
              <w:bottom w:val="single" w:sz="4" w:space="0" w:color="auto"/>
              <w:right w:val="single" w:sz="4" w:space="0" w:color="auto"/>
            </w:tcBorders>
            <w:shd w:val="clear" w:color="000000" w:fill="FFFFFF"/>
            <w:noWrap/>
            <w:vAlign w:val="bottom"/>
            <w:hideMark/>
          </w:tcPr>
          <w:p w14:paraId="09BB813E" w14:textId="77777777" w:rsidR="00B56301" w:rsidRPr="00364545" w:rsidRDefault="00B56301" w:rsidP="00B37B65">
            <w:pPr>
              <w:jc w:val="right"/>
              <w:rPr>
                <w:rFonts w:asciiTheme="minorHAnsi" w:hAnsiTheme="minorHAnsi"/>
                <w:sz w:val="16"/>
                <w:szCs w:val="14"/>
              </w:rPr>
            </w:pPr>
            <w:r w:rsidRPr="00364545">
              <w:rPr>
                <w:sz w:val="16"/>
              </w:rPr>
              <w:t>0,28</w:t>
            </w:r>
          </w:p>
        </w:tc>
        <w:tc>
          <w:tcPr>
            <w:tcW w:w="991" w:type="dxa"/>
            <w:tcBorders>
              <w:top w:val="nil"/>
              <w:left w:val="nil"/>
              <w:bottom w:val="single" w:sz="4" w:space="0" w:color="auto"/>
              <w:right w:val="single" w:sz="4" w:space="0" w:color="auto"/>
            </w:tcBorders>
            <w:shd w:val="clear" w:color="000000" w:fill="FFFFFF"/>
            <w:noWrap/>
            <w:vAlign w:val="bottom"/>
            <w:hideMark/>
          </w:tcPr>
          <w:p w14:paraId="7959D381" w14:textId="77777777" w:rsidR="00B56301" w:rsidRPr="00364545" w:rsidRDefault="00B56301" w:rsidP="00B37B65">
            <w:pPr>
              <w:jc w:val="right"/>
              <w:rPr>
                <w:rFonts w:asciiTheme="minorHAnsi" w:hAnsiTheme="minorHAnsi"/>
                <w:sz w:val="16"/>
                <w:szCs w:val="14"/>
              </w:rPr>
            </w:pPr>
            <w:r w:rsidRPr="00364545">
              <w:rPr>
                <w:sz w:val="16"/>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0613ED9C" w14:textId="77777777" w:rsidR="00B56301" w:rsidRPr="00364545" w:rsidRDefault="00B56301" w:rsidP="00B37B65">
            <w:pPr>
              <w:jc w:val="right"/>
              <w:rPr>
                <w:rFonts w:asciiTheme="minorHAnsi" w:hAnsiTheme="minorHAnsi"/>
                <w:sz w:val="16"/>
                <w:szCs w:val="14"/>
              </w:rPr>
            </w:pPr>
            <w:r w:rsidRPr="00364545">
              <w:rPr>
                <w:sz w:val="16"/>
              </w:rPr>
              <w:t>0,46</w:t>
            </w:r>
          </w:p>
        </w:tc>
      </w:tr>
      <w:tr w:rsidR="00B56301" w:rsidRPr="00364545" w14:paraId="560A24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F3CEE11" w14:textId="788748FD"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E. 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7F85CC93" w14:textId="77777777" w:rsidR="00B56301" w:rsidRPr="00364545" w:rsidRDefault="00B56301" w:rsidP="00B37B65">
            <w:pPr>
              <w:jc w:val="right"/>
              <w:rPr>
                <w:rFonts w:asciiTheme="minorHAnsi" w:hAnsiTheme="minorHAnsi"/>
                <w:sz w:val="16"/>
                <w:szCs w:val="14"/>
              </w:rPr>
            </w:pPr>
            <w:r w:rsidRPr="00364545">
              <w:rPr>
                <w:sz w:val="16"/>
              </w:rPr>
              <w:t>1,91</w:t>
            </w:r>
          </w:p>
        </w:tc>
        <w:tc>
          <w:tcPr>
            <w:tcW w:w="991" w:type="dxa"/>
            <w:tcBorders>
              <w:top w:val="nil"/>
              <w:left w:val="nil"/>
              <w:bottom w:val="single" w:sz="4" w:space="0" w:color="auto"/>
              <w:right w:val="single" w:sz="4" w:space="0" w:color="auto"/>
            </w:tcBorders>
            <w:shd w:val="clear" w:color="000000" w:fill="FFFFFF"/>
            <w:noWrap/>
            <w:vAlign w:val="bottom"/>
            <w:hideMark/>
          </w:tcPr>
          <w:p w14:paraId="4B0631C4" w14:textId="77777777" w:rsidR="00B56301" w:rsidRPr="00364545" w:rsidRDefault="00B56301" w:rsidP="00B37B65">
            <w:pPr>
              <w:jc w:val="right"/>
              <w:rPr>
                <w:rFonts w:asciiTheme="minorHAnsi" w:hAnsiTheme="minorHAnsi"/>
                <w:sz w:val="16"/>
                <w:szCs w:val="14"/>
              </w:rPr>
            </w:pPr>
            <w:r w:rsidRPr="00364545">
              <w:rPr>
                <w:sz w:val="16"/>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47B00A8A" w14:textId="77777777" w:rsidR="00B56301" w:rsidRPr="00364545" w:rsidRDefault="00B56301" w:rsidP="00B37B65">
            <w:pPr>
              <w:jc w:val="right"/>
              <w:rPr>
                <w:rFonts w:asciiTheme="minorHAnsi" w:hAnsiTheme="minorHAnsi"/>
                <w:sz w:val="16"/>
                <w:szCs w:val="14"/>
              </w:rPr>
            </w:pPr>
            <w:r w:rsidRPr="00364545">
              <w:rPr>
                <w:sz w:val="16"/>
              </w:rPr>
              <w:t>1,88</w:t>
            </w:r>
          </w:p>
        </w:tc>
        <w:tc>
          <w:tcPr>
            <w:tcW w:w="991" w:type="dxa"/>
            <w:tcBorders>
              <w:top w:val="nil"/>
              <w:left w:val="nil"/>
              <w:bottom w:val="single" w:sz="4" w:space="0" w:color="auto"/>
              <w:right w:val="single" w:sz="4" w:space="0" w:color="auto"/>
            </w:tcBorders>
            <w:shd w:val="clear" w:color="000000" w:fill="FFFFFF"/>
            <w:noWrap/>
            <w:vAlign w:val="bottom"/>
            <w:hideMark/>
          </w:tcPr>
          <w:p w14:paraId="47911DE9" w14:textId="77777777" w:rsidR="00B56301" w:rsidRPr="00364545" w:rsidRDefault="00B56301" w:rsidP="00B37B65">
            <w:pPr>
              <w:jc w:val="right"/>
              <w:rPr>
                <w:rFonts w:asciiTheme="minorHAnsi" w:hAnsiTheme="minorHAnsi"/>
                <w:sz w:val="16"/>
                <w:szCs w:val="14"/>
              </w:rPr>
            </w:pPr>
            <w:r w:rsidRPr="00364545">
              <w:rPr>
                <w:sz w:val="16"/>
              </w:rPr>
              <w:t>2,22</w:t>
            </w:r>
          </w:p>
        </w:tc>
        <w:tc>
          <w:tcPr>
            <w:tcW w:w="991" w:type="dxa"/>
            <w:tcBorders>
              <w:top w:val="nil"/>
              <w:left w:val="nil"/>
              <w:bottom w:val="single" w:sz="4" w:space="0" w:color="auto"/>
              <w:right w:val="single" w:sz="4" w:space="0" w:color="auto"/>
            </w:tcBorders>
            <w:shd w:val="clear" w:color="000000" w:fill="FFFFFF"/>
            <w:noWrap/>
            <w:vAlign w:val="bottom"/>
            <w:hideMark/>
          </w:tcPr>
          <w:p w14:paraId="25353BF4" w14:textId="77777777" w:rsidR="00B56301" w:rsidRPr="00364545" w:rsidRDefault="00B56301" w:rsidP="00B37B65">
            <w:pPr>
              <w:jc w:val="right"/>
              <w:rPr>
                <w:rFonts w:asciiTheme="minorHAnsi" w:hAnsiTheme="minorHAnsi"/>
                <w:sz w:val="16"/>
                <w:szCs w:val="14"/>
              </w:rPr>
            </w:pPr>
            <w:r w:rsidRPr="00364545">
              <w:rPr>
                <w:sz w:val="16"/>
              </w:rPr>
              <w:t>2,54</w:t>
            </w:r>
          </w:p>
        </w:tc>
        <w:tc>
          <w:tcPr>
            <w:tcW w:w="991" w:type="dxa"/>
            <w:tcBorders>
              <w:top w:val="nil"/>
              <w:left w:val="nil"/>
              <w:bottom w:val="single" w:sz="4" w:space="0" w:color="auto"/>
              <w:right w:val="single" w:sz="4" w:space="0" w:color="auto"/>
            </w:tcBorders>
            <w:shd w:val="clear" w:color="000000" w:fill="FFFFFF"/>
            <w:noWrap/>
            <w:vAlign w:val="bottom"/>
            <w:hideMark/>
          </w:tcPr>
          <w:p w14:paraId="0649BDFC" w14:textId="77777777" w:rsidR="00B56301" w:rsidRPr="00364545" w:rsidRDefault="00B56301" w:rsidP="00B37B65">
            <w:pPr>
              <w:jc w:val="right"/>
              <w:rPr>
                <w:rFonts w:asciiTheme="minorHAnsi" w:hAnsiTheme="minorHAnsi"/>
                <w:sz w:val="16"/>
                <w:szCs w:val="14"/>
              </w:rPr>
            </w:pPr>
            <w:r w:rsidRPr="00364545">
              <w:rPr>
                <w:sz w:val="16"/>
              </w:rPr>
              <w:t>2,78</w:t>
            </w:r>
          </w:p>
        </w:tc>
      </w:tr>
      <w:tr w:rsidR="00B56301" w:rsidRPr="00364545" w14:paraId="0C09BB8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334F93" w14:textId="7908150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7180989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D6A98B1"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D70B537"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7E4BCA5"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D25F29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3D84CDE"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53C435C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C6C5D45" w14:textId="461BCF5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14430C7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42EAF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3C80CA"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925797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B1608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D2383D"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4C4F6BF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9500749" w14:textId="1BFA3626"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7E3435E3" w14:textId="77777777" w:rsidR="00B56301" w:rsidRPr="00364545" w:rsidRDefault="00B56301" w:rsidP="00B37B65">
            <w:pPr>
              <w:jc w:val="right"/>
              <w:rPr>
                <w:rFonts w:asciiTheme="minorHAnsi" w:hAnsiTheme="minorHAnsi"/>
                <w:sz w:val="16"/>
                <w:szCs w:val="14"/>
              </w:rPr>
            </w:pPr>
            <w:r w:rsidRPr="00364545">
              <w:rPr>
                <w:sz w:val="16"/>
              </w:rPr>
              <w:t>22,15</w:t>
            </w:r>
          </w:p>
        </w:tc>
        <w:tc>
          <w:tcPr>
            <w:tcW w:w="991" w:type="dxa"/>
            <w:tcBorders>
              <w:top w:val="nil"/>
              <w:left w:val="nil"/>
              <w:bottom w:val="single" w:sz="4" w:space="0" w:color="auto"/>
              <w:right w:val="single" w:sz="4" w:space="0" w:color="auto"/>
            </w:tcBorders>
            <w:shd w:val="clear" w:color="000000" w:fill="FFFFFF"/>
            <w:noWrap/>
            <w:vAlign w:val="bottom"/>
            <w:hideMark/>
          </w:tcPr>
          <w:p w14:paraId="34043269" w14:textId="77777777" w:rsidR="00B56301" w:rsidRPr="00364545" w:rsidRDefault="00B56301" w:rsidP="00B37B65">
            <w:pPr>
              <w:jc w:val="right"/>
              <w:rPr>
                <w:rFonts w:asciiTheme="minorHAnsi" w:hAnsiTheme="minorHAnsi"/>
                <w:sz w:val="16"/>
                <w:szCs w:val="14"/>
              </w:rPr>
            </w:pPr>
            <w:r w:rsidRPr="00364545">
              <w:rPr>
                <w:sz w:val="16"/>
              </w:rPr>
              <w:t>18,35</w:t>
            </w:r>
          </w:p>
        </w:tc>
        <w:tc>
          <w:tcPr>
            <w:tcW w:w="991" w:type="dxa"/>
            <w:tcBorders>
              <w:top w:val="nil"/>
              <w:left w:val="nil"/>
              <w:bottom w:val="single" w:sz="4" w:space="0" w:color="auto"/>
              <w:right w:val="single" w:sz="4" w:space="0" w:color="auto"/>
            </w:tcBorders>
            <w:shd w:val="clear" w:color="000000" w:fill="FFFFFF"/>
            <w:noWrap/>
            <w:vAlign w:val="bottom"/>
            <w:hideMark/>
          </w:tcPr>
          <w:p w14:paraId="200EC42F" w14:textId="77777777" w:rsidR="00B56301" w:rsidRPr="00364545" w:rsidRDefault="00B56301" w:rsidP="00B37B65">
            <w:pPr>
              <w:jc w:val="right"/>
              <w:rPr>
                <w:rFonts w:asciiTheme="minorHAnsi" w:hAnsiTheme="minorHAnsi"/>
                <w:sz w:val="16"/>
                <w:szCs w:val="14"/>
              </w:rPr>
            </w:pPr>
            <w:r w:rsidRPr="00364545">
              <w:rPr>
                <w:sz w:val="16"/>
              </w:rPr>
              <w:t>15,61</w:t>
            </w:r>
          </w:p>
        </w:tc>
        <w:tc>
          <w:tcPr>
            <w:tcW w:w="991" w:type="dxa"/>
            <w:tcBorders>
              <w:top w:val="nil"/>
              <w:left w:val="nil"/>
              <w:bottom w:val="single" w:sz="4" w:space="0" w:color="auto"/>
              <w:right w:val="single" w:sz="4" w:space="0" w:color="auto"/>
            </w:tcBorders>
            <w:shd w:val="clear" w:color="000000" w:fill="FFFFFF"/>
            <w:noWrap/>
            <w:vAlign w:val="bottom"/>
            <w:hideMark/>
          </w:tcPr>
          <w:p w14:paraId="7188F0F9" w14:textId="77777777" w:rsidR="00B56301" w:rsidRPr="00364545" w:rsidRDefault="00B56301" w:rsidP="00B37B65">
            <w:pPr>
              <w:jc w:val="right"/>
              <w:rPr>
                <w:rFonts w:asciiTheme="minorHAnsi" w:hAnsiTheme="minorHAnsi"/>
                <w:sz w:val="16"/>
                <w:szCs w:val="14"/>
              </w:rPr>
            </w:pPr>
            <w:r w:rsidRPr="00364545">
              <w:rPr>
                <w:sz w:val="16"/>
              </w:rPr>
              <w:t>13,66</w:t>
            </w:r>
          </w:p>
        </w:tc>
        <w:tc>
          <w:tcPr>
            <w:tcW w:w="991" w:type="dxa"/>
            <w:tcBorders>
              <w:top w:val="nil"/>
              <w:left w:val="nil"/>
              <w:bottom w:val="single" w:sz="4" w:space="0" w:color="auto"/>
              <w:right w:val="single" w:sz="4" w:space="0" w:color="auto"/>
            </w:tcBorders>
            <w:shd w:val="clear" w:color="000000" w:fill="FFFFFF"/>
            <w:noWrap/>
            <w:vAlign w:val="bottom"/>
            <w:hideMark/>
          </w:tcPr>
          <w:p w14:paraId="2D917F9D" w14:textId="77777777" w:rsidR="00B56301" w:rsidRPr="00364545" w:rsidRDefault="00B56301" w:rsidP="00B37B65">
            <w:pPr>
              <w:jc w:val="right"/>
              <w:rPr>
                <w:rFonts w:asciiTheme="minorHAnsi" w:hAnsiTheme="minorHAnsi"/>
                <w:sz w:val="16"/>
                <w:szCs w:val="14"/>
              </w:rPr>
            </w:pPr>
            <w:r w:rsidRPr="00364545">
              <w:rPr>
                <w:sz w:val="16"/>
              </w:rPr>
              <w:t>12,25</w:t>
            </w:r>
          </w:p>
        </w:tc>
        <w:tc>
          <w:tcPr>
            <w:tcW w:w="991" w:type="dxa"/>
            <w:tcBorders>
              <w:top w:val="nil"/>
              <w:left w:val="nil"/>
              <w:bottom w:val="single" w:sz="4" w:space="0" w:color="auto"/>
              <w:right w:val="single" w:sz="4" w:space="0" w:color="auto"/>
            </w:tcBorders>
            <w:shd w:val="clear" w:color="000000" w:fill="FFFFFF"/>
            <w:noWrap/>
            <w:vAlign w:val="bottom"/>
            <w:hideMark/>
          </w:tcPr>
          <w:p w14:paraId="41D966F4" w14:textId="77777777" w:rsidR="00B56301" w:rsidRPr="00364545" w:rsidRDefault="00B56301" w:rsidP="00B37B65">
            <w:pPr>
              <w:jc w:val="right"/>
              <w:rPr>
                <w:rFonts w:asciiTheme="minorHAnsi" w:hAnsiTheme="minorHAnsi"/>
                <w:sz w:val="16"/>
                <w:szCs w:val="14"/>
              </w:rPr>
            </w:pPr>
            <w:r w:rsidRPr="00364545">
              <w:rPr>
                <w:sz w:val="16"/>
              </w:rPr>
              <w:t>11,25</w:t>
            </w:r>
          </w:p>
        </w:tc>
      </w:tr>
      <w:tr w:rsidR="00B56301" w:rsidRPr="00364545" w14:paraId="5CD6698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EDCDF5" w14:textId="68FC0048"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5. Waste</w:t>
            </w:r>
          </w:p>
        </w:tc>
        <w:tc>
          <w:tcPr>
            <w:tcW w:w="991" w:type="dxa"/>
            <w:tcBorders>
              <w:top w:val="nil"/>
              <w:left w:val="nil"/>
              <w:bottom w:val="single" w:sz="4" w:space="0" w:color="auto"/>
              <w:right w:val="single" w:sz="4" w:space="0" w:color="auto"/>
            </w:tcBorders>
            <w:shd w:val="clear" w:color="000000" w:fill="CCFFFF"/>
            <w:noWrap/>
            <w:vAlign w:val="bottom"/>
            <w:hideMark/>
          </w:tcPr>
          <w:p w14:paraId="4702E0B5" w14:textId="77777777" w:rsidR="00B56301" w:rsidRPr="00364545" w:rsidRDefault="00B56301" w:rsidP="00B37B65">
            <w:pPr>
              <w:jc w:val="right"/>
              <w:rPr>
                <w:rFonts w:asciiTheme="minorHAnsi" w:hAnsiTheme="minorHAnsi"/>
                <w:sz w:val="16"/>
                <w:szCs w:val="14"/>
              </w:rPr>
            </w:pPr>
            <w:r w:rsidRPr="00364545">
              <w:rPr>
                <w:sz w:val="16"/>
              </w:rPr>
              <w:t>754,39</w:t>
            </w:r>
          </w:p>
        </w:tc>
        <w:tc>
          <w:tcPr>
            <w:tcW w:w="991" w:type="dxa"/>
            <w:tcBorders>
              <w:top w:val="nil"/>
              <w:left w:val="nil"/>
              <w:bottom w:val="single" w:sz="4" w:space="0" w:color="auto"/>
              <w:right w:val="single" w:sz="4" w:space="0" w:color="auto"/>
            </w:tcBorders>
            <w:shd w:val="clear" w:color="000000" w:fill="CCFFFF"/>
            <w:noWrap/>
            <w:vAlign w:val="bottom"/>
            <w:hideMark/>
          </w:tcPr>
          <w:p w14:paraId="54735C24" w14:textId="77777777" w:rsidR="00B56301" w:rsidRPr="00364545" w:rsidRDefault="00B56301" w:rsidP="00B37B65">
            <w:pPr>
              <w:jc w:val="right"/>
              <w:rPr>
                <w:rFonts w:asciiTheme="minorHAnsi" w:hAnsiTheme="minorHAnsi"/>
                <w:sz w:val="16"/>
                <w:szCs w:val="14"/>
              </w:rPr>
            </w:pPr>
            <w:r w:rsidRPr="00364545">
              <w:rPr>
                <w:sz w:val="16"/>
              </w:rPr>
              <w:t>763,59</w:t>
            </w:r>
          </w:p>
        </w:tc>
        <w:tc>
          <w:tcPr>
            <w:tcW w:w="991" w:type="dxa"/>
            <w:tcBorders>
              <w:top w:val="nil"/>
              <w:left w:val="nil"/>
              <w:bottom w:val="single" w:sz="4" w:space="0" w:color="auto"/>
              <w:right w:val="single" w:sz="4" w:space="0" w:color="auto"/>
            </w:tcBorders>
            <w:shd w:val="clear" w:color="000000" w:fill="CCFFFF"/>
            <w:noWrap/>
            <w:vAlign w:val="bottom"/>
            <w:hideMark/>
          </w:tcPr>
          <w:p w14:paraId="68A2A97E" w14:textId="77777777" w:rsidR="00B56301" w:rsidRPr="00364545" w:rsidRDefault="00B56301" w:rsidP="00B37B65">
            <w:pPr>
              <w:jc w:val="right"/>
              <w:rPr>
                <w:rFonts w:asciiTheme="minorHAnsi" w:hAnsiTheme="minorHAnsi"/>
                <w:sz w:val="16"/>
                <w:szCs w:val="14"/>
              </w:rPr>
            </w:pPr>
            <w:r w:rsidRPr="00364545">
              <w:rPr>
                <w:sz w:val="16"/>
              </w:rPr>
              <w:t>769,26</w:t>
            </w:r>
          </w:p>
        </w:tc>
        <w:tc>
          <w:tcPr>
            <w:tcW w:w="991" w:type="dxa"/>
            <w:tcBorders>
              <w:top w:val="nil"/>
              <w:left w:val="nil"/>
              <w:bottom w:val="single" w:sz="4" w:space="0" w:color="auto"/>
              <w:right w:val="single" w:sz="4" w:space="0" w:color="auto"/>
            </w:tcBorders>
            <w:shd w:val="clear" w:color="000000" w:fill="CCFFFF"/>
            <w:noWrap/>
            <w:vAlign w:val="bottom"/>
            <w:hideMark/>
          </w:tcPr>
          <w:p w14:paraId="434D2D80" w14:textId="77777777" w:rsidR="00B56301" w:rsidRPr="00364545" w:rsidRDefault="00B56301" w:rsidP="00B37B65">
            <w:pPr>
              <w:jc w:val="right"/>
              <w:rPr>
                <w:rFonts w:asciiTheme="minorHAnsi" w:hAnsiTheme="minorHAnsi"/>
                <w:sz w:val="16"/>
                <w:szCs w:val="14"/>
              </w:rPr>
            </w:pPr>
            <w:r w:rsidRPr="00364545">
              <w:rPr>
                <w:sz w:val="16"/>
              </w:rPr>
              <w:t>768,88</w:t>
            </w:r>
          </w:p>
        </w:tc>
        <w:tc>
          <w:tcPr>
            <w:tcW w:w="991" w:type="dxa"/>
            <w:tcBorders>
              <w:top w:val="nil"/>
              <w:left w:val="nil"/>
              <w:bottom w:val="single" w:sz="4" w:space="0" w:color="auto"/>
              <w:right w:val="single" w:sz="4" w:space="0" w:color="auto"/>
            </w:tcBorders>
            <w:shd w:val="clear" w:color="000000" w:fill="CCFFFF"/>
            <w:noWrap/>
            <w:vAlign w:val="bottom"/>
            <w:hideMark/>
          </w:tcPr>
          <w:p w14:paraId="02D76278" w14:textId="77777777" w:rsidR="00B56301" w:rsidRPr="00364545" w:rsidRDefault="00B56301" w:rsidP="00B37B65">
            <w:pPr>
              <w:jc w:val="right"/>
              <w:rPr>
                <w:rFonts w:asciiTheme="minorHAnsi" w:hAnsiTheme="minorHAnsi"/>
                <w:sz w:val="16"/>
                <w:szCs w:val="14"/>
              </w:rPr>
            </w:pPr>
            <w:r w:rsidRPr="00364545">
              <w:rPr>
                <w:sz w:val="16"/>
              </w:rPr>
              <w:t>765,16</w:t>
            </w:r>
          </w:p>
        </w:tc>
        <w:tc>
          <w:tcPr>
            <w:tcW w:w="991" w:type="dxa"/>
            <w:tcBorders>
              <w:top w:val="nil"/>
              <w:left w:val="nil"/>
              <w:bottom w:val="single" w:sz="4" w:space="0" w:color="auto"/>
              <w:right w:val="single" w:sz="4" w:space="0" w:color="auto"/>
            </w:tcBorders>
            <w:shd w:val="clear" w:color="000000" w:fill="CCFFFF"/>
            <w:noWrap/>
            <w:vAlign w:val="bottom"/>
            <w:hideMark/>
          </w:tcPr>
          <w:p w14:paraId="1BE93657" w14:textId="77777777" w:rsidR="00B56301" w:rsidRPr="00364545" w:rsidRDefault="00B56301" w:rsidP="00B37B65">
            <w:pPr>
              <w:jc w:val="right"/>
              <w:rPr>
                <w:rFonts w:asciiTheme="minorHAnsi" w:hAnsiTheme="minorHAnsi"/>
                <w:sz w:val="16"/>
                <w:szCs w:val="14"/>
              </w:rPr>
            </w:pPr>
            <w:r w:rsidRPr="00364545">
              <w:rPr>
                <w:sz w:val="16"/>
              </w:rPr>
              <w:t>763,62</w:t>
            </w:r>
          </w:p>
        </w:tc>
      </w:tr>
      <w:tr w:rsidR="00B56301" w:rsidRPr="00364545" w14:paraId="4848DB4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89BE458" w14:textId="26A3B80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7F93DE8E" w14:textId="77777777" w:rsidR="00B56301" w:rsidRPr="00364545" w:rsidRDefault="00B56301" w:rsidP="00B37B65">
            <w:pPr>
              <w:jc w:val="right"/>
              <w:rPr>
                <w:rFonts w:asciiTheme="minorHAnsi" w:hAnsiTheme="minorHAnsi"/>
                <w:sz w:val="16"/>
                <w:szCs w:val="14"/>
              </w:rPr>
            </w:pPr>
            <w:r w:rsidRPr="00364545">
              <w:rPr>
                <w:sz w:val="16"/>
              </w:rPr>
              <w:t>648,64</w:t>
            </w:r>
          </w:p>
        </w:tc>
        <w:tc>
          <w:tcPr>
            <w:tcW w:w="991" w:type="dxa"/>
            <w:tcBorders>
              <w:top w:val="nil"/>
              <w:left w:val="nil"/>
              <w:bottom w:val="single" w:sz="4" w:space="0" w:color="auto"/>
              <w:right w:val="single" w:sz="4" w:space="0" w:color="auto"/>
            </w:tcBorders>
            <w:shd w:val="clear" w:color="000000" w:fill="FFFFFF"/>
            <w:noWrap/>
            <w:vAlign w:val="bottom"/>
            <w:hideMark/>
          </w:tcPr>
          <w:p w14:paraId="66CDDE93" w14:textId="77777777" w:rsidR="00B56301" w:rsidRPr="00364545" w:rsidRDefault="00B56301" w:rsidP="00B37B65">
            <w:pPr>
              <w:jc w:val="right"/>
              <w:rPr>
                <w:rFonts w:asciiTheme="minorHAnsi" w:hAnsiTheme="minorHAnsi"/>
                <w:sz w:val="16"/>
                <w:szCs w:val="14"/>
              </w:rPr>
            </w:pPr>
            <w:r w:rsidRPr="00364545">
              <w:rPr>
                <w:sz w:val="16"/>
              </w:rPr>
              <w:t>657,77</w:t>
            </w:r>
          </w:p>
        </w:tc>
        <w:tc>
          <w:tcPr>
            <w:tcW w:w="991" w:type="dxa"/>
            <w:tcBorders>
              <w:top w:val="nil"/>
              <w:left w:val="nil"/>
              <w:bottom w:val="single" w:sz="4" w:space="0" w:color="auto"/>
              <w:right w:val="single" w:sz="4" w:space="0" w:color="auto"/>
            </w:tcBorders>
            <w:shd w:val="clear" w:color="000000" w:fill="FFFFFF"/>
            <w:noWrap/>
            <w:vAlign w:val="bottom"/>
            <w:hideMark/>
          </w:tcPr>
          <w:p w14:paraId="02E0AA50" w14:textId="77777777" w:rsidR="00B56301" w:rsidRPr="00364545" w:rsidRDefault="00B56301" w:rsidP="00B37B65">
            <w:pPr>
              <w:jc w:val="right"/>
              <w:rPr>
                <w:rFonts w:asciiTheme="minorHAnsi" w:hAnsiTheme="minorHAnsi"/>
                <w:sz w:val="16"/>
                <w:szCs w:val="14"/>
              </w:rPr>
            </w:pPr>
            <w:r w:rsidRPr="00364545">
              <w:rPr>
                <w:sz w:val="16"/>
              </w:rPr>
              <w:t>662,94</w:t>
            </w:r>
          </w:p>
        </w:tc>
        <w:tc>
          <w:tcPr>
            <w:tcW w:w="991" w:type="dxa"/>
            <w:tcBorders>
              <w:top w:val="nil"/>
              <w:left w:val="nil"/>
              <w:bottom w:val="single" w:sz="4" w:space="0" w:color="auto"/>
              <w:right w:val="single" w:sz="4" w:space="0" w:color="auto"/>
            </w:tcBorders>
            <w:shd w:val="clear" w:color="000000" w:fill="FFFFFF"/>
            <w:noWrap/>
            <w:vAlign w:val="bottom"/>
            <w:hideMark/>
          </w:tcPr>
          <w:p w14:paraId="7FF26AAB" w14:textId="77777777" w:rsidR="00B56301" w:rsidRPr="00364545" w:rsidRDefault="00B56301" w:rsidP="00B37B65">
            <w:pPr>
              <w:jc w:val="right"/>
              <w:rPr>
                <w:rFonts w:asciiTheme="minorHAnsi" w:hAnsiTheme="minorHAnsi"/>
                <w:sz w:val="16"/>
                <w:szCs w:val="14"/>
              </w:rPr>
            </w:pPr>
            <w:r w:rsidRPr="00364545">
              <w:rPr>
                <w:sz w:val="16"/>
              </w:rPr>
              <w:t>662,40</w:t>
            </w:r>
          </w:p>
        </w:tc>
        <w:tc>
          <w:tcPr>
            <w:tcW w:w="991" w:type="dxa"/>
            <w:tcBorders>
              <w:top w:val="nil"/>
              <w:left w:val="nil"/>
              <w:bottom w:val="single" w:sz="4" w:space="0" w:color="auto"/>
              <w:right w:val="single" w:sz="4" w:space="0" w:color="auto"/>
            </w:tcBorders>
            <w:shd w:val="clear" w:color="000000" w:fill="FFFFFF"/>
            <w:noWrap/>
            <w:vAlign w:val="bottom"/>
            <w:hideMark/>
          </w:tcPr>
          <w:p w14:paraId="11F31764" w14:textId="77777777" w:rsidR="00B56301" w:rsidRPr="00364545" w:rsidRDefault="00B56301" w:rsidP="00B37B65">
            <w:pPr>
              <w:jc w:val="right"/>
              <w:rPr>
                <w:rFonts w:asciiTheme="minorHAnsi" w:hAnsiTheme="minorHAnsi"/>
                <w:sz w:val="16"/>
                <w:szCs w:val="14"/>
              </w:rPr>
            </w:pPr>
            <w:r w:rsidRPr="00364545">
              <w:rPr>
                <w:sz w:val="16"/>
              </w:rPr>
              <w:t>656,98</w:t>
            </w:r>
          </w:p>
        </w:tc>
        <w:tc>
          <w:tcPr>
            <w:tcW w:w="991" w:type="dxa"/>
            <w:tcBorders>
              <w:top w:val="nil"/>
              <w:left w:val="nil"/>
              <w:bottom w:val="single" w:sz="4" w:space="0" w:color="auto"/>
              <w:right w:val="single" w:sz="4" w:space="0" w:color="auto"/>
            </w:tcBorders>
            <w:shd w:val="clear" w:color="000000" w:fill="FFFFFF"/>
            <w:noWrap/>
            <w:vAlign w:val="bottom"/>
            <w:hideMark/>
          </w:tcPr>
          <w:p w14:paraId="35D505B6" w14:textId="77777777" w:rsidR="00B56301" w:rsidRPr="00364545" w:rsidRDefault="00B56301" w:rsidP="00B37B65">
            <w:pPr>
              <w:jc w:val="right"/>
              <w:rPr>
                <w:rFonts w:asciiTheme="minorHAnsi" w:hAnsiTheme="minorHAnsi"/>
                <w:sz w:val="16"/>
                <w:szCs w:val="14"/>
              </w:rPr>
            </w:pPr>
            <w:r w:rsidRPr="00364545">
              <w:rPr>
                <w:sz w:val="16"/>
              </w:rPr>
              <w:t>653,83</w:t>
            </w:r>
          </w:p>
        </w:tc>
      </w:tr>
      <w:tr w:rsidR="00B56301" w:rsidRPr="00364545" w14:paraId="530AC95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11FE0D" w14:textId="71D6BCC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034C13D7" w14:textId="77777777" w:rsidR="00B56301" w:rsidRPr="00364545" w:rsidRDefault="00B56301" w:rsidP="00B37B65">
            <w:pPr>
              <w:jc w:val="right"/>
              <w:rPr>
                <w:rFonts w:asciiTheme="minorHAnsi" w:hAnsiTheme="minorHAnsi"/>
                <w:sz w:val="16"/>
                <w:szCs w:val="14"/>
              </w:rPr>
            </w:pPr>
            <w:r w:rsidRPr="00364545">
              <w:rPr>
                <w:sz w:val="16"/>
              </w:rPr>
              <w:t>18,53</w:t>
            </w:r>
          </w:p>
        </w:tc>
        <w:tc>
          <w:tcPr>
            <w:tcW w:w="991" w:type="dxa"/>
            <w:tcBorders>
              <w:top w:val="nil"/>
              <w:left w:val="nil"/>
              <w:bottom w:val="single" w:sz="4" w:space="0" w:color="auto"/>
              <w:right w:val="single" w:sz="4" w:space="0" w:color="auto"/>
            </w:tcBorders>
            <w:shd w:val="clear" w:color="000000" w:fill="FFFFFF"/>
            <w:noWrap/>
            <w:vAlign w:val="bottom"/>
            <w:hideMark/>
          </w:tcPr>
          <w:p w14:paraId="18A1CDCA" w14:textId="77777777" w:rsidR="00B56301" w:rsidRPr="00364545" w:rsidRDefault="00B56301" w:rsidP="00B37B65">
            <w:pPr>
              <w:jc w:val="right"/>
              <w:rPr>
                <w:rFonts w:asciiTheme="minorHAnsi" w:hAnsiTheme="minorHAnsi"/>
                <w:sz w:val="16"/>
                <w:szCs w:val="14"/>
              </w:rPr>
            </w:pPr>
            <w:r w:rsidRPr="00364545">
              <w:rPr>
                <w:sz w:val="16"/>
              </w:rPr>
              <w:t>19,54</w:t>
            </w:r>
          </w:p>
        </w:tc>
        <w:tc>
          <w:tcPr>
            <w:tcW w:w="991" w:type="dxa"/>
            <w:tcBorders>
              <w:top w:val="nil"/>
              <w:left w:val="nil"/>
              <w:bottom w:val="single" w:sz="4" w:space="0" w:color="auto"/>
              <w:right w:val="single" w:sz="4" w:space="0" w:color="auto"/>
            </w:tcBorders>
            <w:shd w:val="clear" w:color="000000" w:fill="FFFFFF"/>
            <w:noWrap/>
            <w:vAlign w:val="bottom"/>
            <w:hideMark/>
          </w:tcPr>
          <w:p w14:paraId="12607815" w14:textId="77777777" w:rsidR="00B56301" w:rsidRPr="00364545" w:rsidRDefault="00B56301" w:rsidP="00B37B65">
            <w:pPr>
              <w:jc w:val="right"/>
              <w:rPr>
                <w:rFonts w:asciiTheme="minorHAnsi" w:hAnsiTheme="minorHAnsi"/>
                <w:sz w:val="16"/>
                <w:szCs w:val="14"/>
              </w:rPr>
            </w:pPr>
            <w:r w:rsidRPr="00364545">
              <w:rPr>
                <w:sz w:val="16"/>
              </w:rPr>
              <w:t>21,03</w:t>
            </w:r>
          </w:p>
        </w:tc>
        <w:tc>
          <w:tcPr>
            <w:tcW w:w="991" w:type="dxa"/>
            <w:tcBorders>
              <w:top w:val="nil"/>
              <w:left w:val="nil"/>
              <w:bottom w:val="single" w:sz="4" w:space="0" w:color="auto"/>
              <w:right w:val="single" w:sz="4" w:space="0" w:color="auto"/>
            </w:tcBorders>
            <w:shd w:val="clear" w:color="000000" w:fill="FFFFFF"/>
            <w:noWrap/>
            <w:vAlign w:val="bottom"/>
            <w:hideMark/>
          </w:tcPr>
          <w:p w14:paraId="19EB82DE" w14:textId="77777777" w:rsidR="00B56301" w:rsidRPr="00364545" w:rsidRDefault="00B56301" w:rsidP="00B37B65">
            <w:pPr>
              <w:jc w:val="right"/>
              <w:rPr>
                <w:rFonts w:asciiTheme="minorHAnsi" w:hAnsiTheme="minorHAnsi"/>
                <w:sz w:val="16"/>
                <w:szCs w:val="14"/>
              </w:rPr>
            </w:pPr>
            <w:r w:rsidRPr="00364545">
              <w:rPr>
                <w:sz w:val="16"/>
              </w:rPr>
              <w:t>22,14</w:t>
            </w:r>
          </w:p>
        </w:tc>
        <w:tc>
          <w:tcPr>
            <w:tcW w:w="991" w:type="dxa"/>
            <w:tcBorders>
              <w:top w:val="nil"/>
              <w:left w:val="nil"/>
              <w:bottom w:val="single" w:sz="4" w:space="0" w:color="auto"/>
              <w:right w:val="single" w:sz="4" w:space="0" w:color="auto"/>
            </w:tcBorders>
            <w:shd w:val="clear" w:color="000000" w:fill="FFFFFF"/>
            <w:noWrap/>
            <w:vAlign w:val="bottom"/>
            <w:hideMark/>
          </w:tcPr>
          <w:p w14:paraId="7B082BD4" w14:textId="77777777" w:rsidR="00B56301" w:rsidRPr="00364545" w:rsidRDefault="00B56301" w:rsidP="00B37B65">
            <w:pPr>
              <w:jc w:val="right"/>
              <w:rPr>
                <w:rFonts w:asciiTheme="minorHAnsi" w:hAnsiTheme="minorHAnsi"/>
                <w:sz w:val="16"/>
                <w:szCs w:val="14"/>
              </w:rPr>
            </w:pPr>
            <w:r w:rsidRPr="00364545">
              <w:rPr>
                <w:sz w:val="16"/>
              </w:rPr>
              <w:t>23,08</w:t>
            </w:r>
          </w:p>
        </w:tc>
        <w:tc>
          <w:tcPr>
            <w:tcW w:w="991" w:type="dxa"/>
            <w:tcBorders>
              <w:top w:val="nil"/>
              <w:left w:val="nil"/>
              <w:bottom w:val="single" w:sz="4" w:space="0" w:color="auto"/>
              <w:right w:val="single" w:sz="4" w:space="0" w:color="auto"/>
            </w:tcBorders>
            <w:shd w:val="clear" w:color="000000" w:fill="FFFFFF"/>
            <w:noWrap/>
            <w:vAlign w:val="bottom"/>
            <w:hideMark/>
          </w:tcPr>
          <w:p w14:paraId="0386522A" w14:textId="77777777" w:rsidR="00B56301" w:rsidRPr="00364545" w:rsidRDefault="00B56301" w:rsidP="00B37B65">
            <w:pPr>
              <w:jc w:val="right"/>
              <w:rPr>
                <w:rFonts w:asciiTheme="minorHAnsi" w:hAnsiTheme="minorHAnsi"/>
                <w:sz w:val="16"/>
                <w:szCs w:val="14"/>
              </w:rPr>
            </w:pPr>
            <w:r w:rsidRPr="00364545">
              <w:rPr>
                <w:sz w:val="16"/>
              </w:rPr>
              <w:t>23,95</w:t>
            </w:r>
          </w:p>
        </w:tc>
      </w:tr>
      <w:tr w:rsidR="00B56301" w:rsidRPr="00364545" w14:paraId="1174D10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DAA4EF" w14:textId="561503E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61F6439B" w14:textId="77777777" w:rsidR="00B56301" w:rsidRPr="00364545" w:rsidRDefault="00B56301" w:rsidP="00B37B65">
            <w:pPr>
              <w:jc w:val="right"/>
              <w:rPr>
                <w:rFonts w:asciiTheme="minorHAnsi" w:hAnsiTheme="minorHAnsi"/>
                <w:sz w:val="16"/>
                <w:szCs w:val="14"/>
              </w:rPr>
            </w:pPr>
            <w:r w:rsidRPr="00364545">
              <w:rPr>
                <w:sz w:val="16"/>
              </w:rPr>
              <w:t>0,91</w:t>
            </w:r>
          </w:p>
        </w:tc>
        <w:tc>
          <w:tcPr>
            <w:tcW w:w="991" w:type="dxa"/>
            <w:tcBorders>
              <w:top w:val="nil"/>
              <w:left w:val="nil"/>
              <w:bottom w:val="single" w:sz="4" w:space="0" w:color="auto"/>
              <w:right w:val="single" w:sz="4" w:space="0" w:color="auto"/>
            </w:tcBorders>
            <w:shd w:val="clear" w:color="000000" w:fill="FFFFFF"/>
            <w:noWrap/>
            <w:vAlign w:val="bottom"/>
            <w:hideMark/>
          </w:tcPr>
          <w:p w14:paraId="3F8C88E5" w14:textId="77777777" w:rsidR="00B56301" w:rsidRPr="00364545" w:rsidRDefault="00B56301" w:rsidP="00B37B65">
            <w:pPr>
              <w:jc w:val="right"/>
              <w:rPr>
                <w:rFonts w:asciiTheme="minorHAnsi" w:hAnsiTheme="minorHAnsi"/>
                <w:sz w:val="16"/>
                <w:szCs w:val="14"/>
              </w:rPr>
            </w:pPr>
            <w:r w:rsidRPr="00364545">
              <w:rPr>
                <w:sz w:val="16"/>
              </w:rPr>
              <w:t>0,93</w:t>
            </w:r>
          </w:p>
        </w:tc>
        <w:tc>
          <w:tcPr>
            <w:tcW w:w="991" w:type="dxa"/>
            <w:tcBorders>
              <w:top w:val="nil"/>
              <w:left w:val="nil"/>
              <w:bottom w:val="single" w:sz="4" w:space="0" w:color="auto"/>
              <w:right w:val="single" w:sz="4" w:space="0" w:color="auto"/>
            </w:tcBorders>
            <w:shd w:val="clear" w:color="000000" w:fill="FFFFFF"/>
            <w:noWrap/>
            <w:vAlign w:val="bottom"/>
            <w:hideMark/>
          </w:tcPr>
          <w:p w14:paraId="0D6C8F23" w14:textId="77777777" w:rsidR="00B56301" w:rsidRPr="00364545" w:rsidRDefault="00B56301" w:rsidP="00B37B65">
            <w:pPr>
              <w:jc w:val="right"/>
              <w:rPr>
                <w:rFonts w:asciiTheme="minorHAnsi" w:hAnsiTheme="minorHAnsi"/>
                <w:sz w:val="16"/>
                <w:szCs w:val="14"/>
              </w:rPr>
            </w:pPr>
            <w:r w:rsidRPr="00364545">
              <w:rPr>
                <w:sz w:val="16"/>
              </w:rPr>
              <w:t>0,94</w:t>
            </w:r>
          </w:p>
        </w:tc>
        <w:tc>
          <w:tcPr>
            <w:tcW w:w="991" w:type="dxa"/>
            <w:tcBorders>
              <w:top w:val="nil"/>
              <w:left w:val="nil"/>
              <w:bottom w:val="single" w:sz="4" w:space="0" w:color="auto"/>
              <w:right w:val="single" w:sz="4" w:space="0" w:color="auto"/>
            </w:tcBorders>
            <w:shd w:val="clear" w:color="000000" w:fill="FFFFFF"/>
            <w:noWrap/>
            <w:vAlign w:val="bottom"/>
            <w:hideMark/>
          </w:tcPr>
          <w:p w14:paraId="18BBF24E" w14:textId="77777777" w:rsidR="00B56301" w:rsidRPr="00364545" w:rsidRDefault="00B56301" w:rsidP="00B37B65">
            <w:pPr>
              <w:jc w:val="right"/>
              <w:rPr>
                <w:rFonts w:asciiTheme="minorHAnsi" w:hAnsiTheme="minorHAnsi"/>
                <w:sz w:val="16"/>
                <w:szCs w:val="14"/>
              </w:rPr>
            </w:pPr>
            <w:r w:rsidRPr="00364545">
              <w:rPr>
                <w:sz w:val="16"/>
              </w:rPr>
              <w:t>0,96</w:t>
            </w:r>
          </w:p>
        </w:tc>
        <w:tc>
          <w:tcPr>
            <w:tcW w:w="991" w:type="dxa"/>
            <w:tcBorders>
              <w:top w:val="nil"/>
              <w:left w:val="nil"/>
              <w:bottom w:val="single" w:sz="4" w:space="0" w:color="auto"/>
              <w:right w:val="single" w:sz="4" w:space="0" w:color="auto"/>
            </w:tcBorders>
            <w:shd w:val="clear" w:color="000000" w:fill="FFFFFF"/>
            <w:noWrap/>
            <w:vAlign w:val="bottom"/>
            <w:hideMark/>
          </w:tcPr>
          <w:p w14:paraId="7D4B63D6" w14:textId="77777777" w:rsidR="00B56301" w:rsidRPr="00364545" w:rsidRDefault="00B56301" w:rsidP="00B37B65">
            <w:pPr>
              <w:jc w:val="right"/>
              <w:rPr>
                <w:rFonts w:asciiTheme="minorHAnsi" w:hAnsiTheme="minorHAnsi"/>
                <w:sz w:val="16"/>
                <w:szCs w:val="14"/>
              </w:rPr>
            </w:pPr>
            <w:r w:rsidRPr="00364545">
              <w:rPr>
                <w:sz w:val="16"/>
              </w:rPr>
              <w:t>0,97</w:t>
            </w:r>
          </w:p>
        </w:tc>
        <w:tc>
          <w:tcPr>
            <w:tcW w:w="991" w:type="dxa"/>
            <w:tcBorders>
              <w:top w:val="nil"/>
              <w:left w:val="nil"/>
              <w:bottom w:val="single" w:sz="4" w:space="0" w:color="auto"/>
              <w:right w:val="single" w:sz="4" w:space="0" w:color="auto"/>
            </w:tcBorders>
            <w:shd w:val="clear" w:color="000000" w:fill="FFFFFF"/>
            <w:noWrap/>
            <w:vAlign w:val="bottom"/>
            <w:hideMark/>
          </w:tcPr>
          <w:p w14:paraId="50421036" w14:textId="77777777" w:rsidR="00B56301" w:rsidRPr="00364545" w:rsidRDefault="00B56301" w:rsidP="00B37B65">
            <w:pPr>
              <w:jc w:val="right"/>
              <w:rPr>
                <w:rFonts w:asciiTheme="minorHAnsi" w:hAnsiTheme="minorHAnsi"/>
                <w:sz w:val="16"/>
                <w:szCs w:val="14"/>
              </w:rPr>
            </w:pPr>
            <w:r w:rsidRPr="00364545">
              <w:rPr>
                <w:sz w:val="16"/>
              </w:rPr>
              <w:t>0,98</w:t>
            </w:r>
          </w:p>
        </w:tc>
      </w:tr>
      <w:tr w:rsidR="00B56301" w:rsidRPr="00364545" w14:paraId="624BD97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9845C47" w14:textId="7F434DB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75D4DBFE" w14:textId="77777777" w:rsidR="00B56301" w:rsidRPr="00364545" w:rsidRDefault="00B56301" w:rsidP="00B37B65">
            <w:pPr>
              <w:jc w:val="right"/>
              <w:rPr>
                <w:rFonts w:asciiTheme="minorHAnsi" w:hAnsiTheme="minorHAnsi"/>
                <w:sz w:val="16"/>
                <w:szCs w:val="14"/>
              </w:rPr>
            </w:pPr>
            <w:r w:rsidRPr="00364545">
              <w:rPr>
                <w:sz w:val="16"/>
              </w:rPr>
              <w:t>86,31</w:t>
            </w:r>
          </w:p>
        </w:tc>
        <w:tc>
          <w:tcPr>
            <w:tcW w:w="991" w:type="dxa"/>
            <w:tcBorders>
              <w:top w:val="nil"/>
              <w:left w:val="nil"/>
              <w:bottom w:val="single" w:sz="4" w:space="0" w:color="auto"/>
              <w:right w:val="single" w:sz="4" w:space="0" w:color="auto"/>
            </w:tcBorders>
            <w:shd w:val="clear" w:color="000000" w:fill="FFFFFF"/>
            <w:noWrap/>
            <w:vAlign w:val="bottom"/>
            <w:hideMark/>
          </w:tcPr>
          <w:p w14:paraId="02089511" w14:textId="77777777" w:rsidR="00B56301" w:rsidRPr="00364545" w:rsidRDefault="00B56301" w:rsidP="00B37B65">
            <w:pPr>
              <w:jc w:val="right"/>
              <w:rPr>
                <w:rFonts w:asciiTheme="minorHAnsi" w:hAnsiTheme="minorHAnsi"/>
                <w:sz w:val="16"/>
                <w:szCs w:val="14"/>
              </w:rPr>
            </w:pPr>
            <w:r w:rsidRPr="00364545">
              <w:rPr>
                <w:sz w:val="16"/>
              </w:rPr>
              <w:t>85,36</w:t>
            </w:r>
          </w:p>
        </w:tc>
        <w:tc>
          <w:tcPr>
            <w:tcW w:w="991" w:type="dxa"/>
            <w:tcBorders>
              <w:top w:val="nil"/>
              <w:left w:val="nil"/>
              <w:bottom w:val="single" w:sz="4" w:space="0" w:color="auto"/>
              <w:right w:val="single" w:sz="4" w:space="0" w:color="auto"/>
            </w:tcBorders>
            <w:shd w:val="clear" w:color="000000" w:fill="FFFFFF"/>
            <w:noWrap/>
            <w:vAlign w:val="bottom"/>
            <w:hideMark/>
          </w:tcPr>
          <w:p w14:paraId="1E4B4EF9" w14:textId="77777777" w:rsidR="00B56301" w:rsidRPr="00364545" w:rsidRDefault="00B56301" w:rsidP="00B37B65">
            <w:pPr>
              <w:jc w:val="right"/>
              <w:rPr>
                <w:rFonts w:asciiTheme="minorHAnsi" w:hAnsiTheme="minorHAnsi"/>
                <w:sz w:val="16"/>
                <w:szCs w:val="14"/>
              </w:rPr>
            </w:pPr>
            <w:r w:rsidRPr="00364545">
              <w:rPr>
                <w:sz w:val="16"/>
              </w:rPr>
              <w:t>84,34</w:t>
            </w:r>
          </w:p>
        </w:tc>
        <w:tc>
          <w:tcPr>
            <w:tcW w:w="991" w:type="dxa"/>
            <w:tcBorders>
              <w:top w:val="nil"/>
              <w:left w:val="nil"/>
              <w:bottom w:val="single" w:sz="4" w:space="0" w:color="auto"/>
              <w:right w:val="single" w:sz="4" w:space="0" w:color="auto"/>
            </w:tcBorders>
            <w:shd w:val="clear" w:color="000000" w:fill="FFFFFF"/>
            <w:noWrap/>
            <w:vAlign w:val="bottom"/>
            <w:hideMark/>
          </w:tcPr>
          <w:p w14:paraId="4A2156DD" w14:textId="77777777" w:rsidR="00B56301" w:rsidRPr="00364545" w:rsidRDefault="00B56301" w:rsidP="00B37B65">
            <w:pPr>
              <w:jc w:val="right"/>
              <w:rPr>
                <w:rFonts w:asciiTheme="minorHAnsi" w:hAnsiTheme="minorHAnsi"/>
                <w:sz w:val="16"/>
                <w:szCs w:val="14"/>
              </w:rPr>
            </w:pPr>
            <w:r w:rsidRPr="00364545">
              <w:rPr>
                <w:sz w:val="16"/>
              </w:rPr>
              <w:t>83,38</w:t>
            </w:r>
          </w:p>
        </w:tc>
        <w:tc>
          <w:tcPr>
            <w:tcW w:w="991" w:type="dxa"/>
            <w:tcBorders>
              <w:top w:val="nil"/>
              <w:left w:val="nil"/>
              <w:bottom w:val="single" w:sz="4" w:space="0" w:color="auto"/>
              <w:right w:val="single" w:sz="4" w:space="0" w:color="auto"/>
            </w:tcBorders>
            <w:shd w:val="clear" w:color="000000" w:fill="FFFFFF"/>
            <w:noWrap/>
            <w:vAlign w:val="bottom"/>
            <w:hideMark/>
          </w:tcPr>
          <w:p w14:paraId="7C0E33CC" w14:textId="77777777" w:rsidR="00B56301" w:rsidRPr="00364545" w:rsidRDefault="00B56301" w:rsidP="00B37B65">
            <w:pPr>
              <w:jc w:val="right"/>
              <w:rPr>
                <w:rFonts w:asciiTheme="minorHAnsi" w:hAnsiTheme="minorHAnsi"/>
                <w:sz w:val="16"/>
                <w:szCs w:val="14"/>
              </w:rPr>
            </w:pPr>
            <w:r w:rsidRPr="00364545">
              <w:rPr>
                <w:sz w:val="16"/>
              </w:rPr>
              <w:t>84,13</w:t>
            </w:r>
          </w:p>
        </w:tc>
        <w:tc>
          <w:tcPr>
            <w:tcW w:w="991" w:type="dxa"/>
            <w:tcBorders>
              <w:top w:val="nil"/>
              <w:left w:val="nil"/>
              <w:bottom w:val="single" w:sz="4" w:space="0" w:color="auto"/>
              <w:right w:val="single" w:sz="4" w:space="0" w:color="auto"/>
            </w:tcBorders>
            <w:shd w:val="clear" w:color="000000" w:fill="FFFFFF"/>
            <w:noWrap/>
            <w:vAlign w:val="bottom"/>
            <w:hideMark/>
          </w:tcPr>
          <w:p w14:paraId="47E61F4E" w14:textId="77777777" w:rsidR="00B56301" w:rsidRPr="00364545" w:rsidRDefault="00B56301" w:rsidP="00B37B65">
            <w:pPr>
              <w:jc w:val="right"/>
              <w:rPr>
                <w:rFonts w:asciiTheme="minorHAnsi" w:hAnsiTheme="minorHAnsi"/>
                <w:sz w:val="16"/>
                <w:szCs w:val="14"/>
              </w:rPr>
            </w:pPr>
            <w:r w:rsidRPr="00364545">
              <w:rPr>
                <w:sz w:val="16"/>
              </w:rPr>
              <w:t>84,86</w:t>
            </w:r>
          </w:p>
        </w:tc>
      </w:tr>
      <w:tr w:rsidR="00B56301" w:rsidRPr="00364545" w14:paraId="17FCFC9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2E273D0" w14:textId="54096A6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Other</w:t>
            </w:r>
            <w:r w:rsidRPr="00364545">
              <w:rPr>
                <w:rFonts w:asciiTheme="minorHAnsi" w:hAnsiTheme="minorHAnsi"/>
                <w:b/>
                <w:i/>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1481B447"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EEDC6BB"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2EDE3F4"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B4ED052"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99ABAF9"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003AC7D"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05D8DD7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72399D" w14:textId="0843D441"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3C192E4D"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D1219E3"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A77F21B"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68FCB13"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656E8CDD"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D1EE8E1"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5EB96AF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BB54DB6" w14:textId="7B19C1DC"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 xml:space="preserve">emissions without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25732865" w14:textId="77777777" w:rsidR="00B56301" w:rsidRPr="00364545" w:rsidRDefault="00B56301" w:rsidP="00B37B65">
            <w:pPr>
              <w:jc w:val="right"/>
              <w:rPr>
                <w:rFonts w:asciiTheme="minorHAnsi" w:hAnsiTheme="minorHAnsi"/>
                <w:sz w:val="16"/>
                <w:szCs w:val="14"/>
              </w:rPr>
            </w:pPr>
            <w:r w:rsidRPr="00364545">
              <w:rPr>
                <w:sz w:val="16"/>
              </w:rPr>
              <w:t>2738,76</w:t>
            </w:r>
          </w:p>
        </w:tc>
        <w:tc>
          <w:tcPr>
            <w:tcW w:w="991" w:type="dxa"/>
            <w:tcBorders>
              <w:top w:val="nil"/>
              <w:left w:val="nil"/>
              <w:bottom w:val="single" w:sz="4" w:space="0" w:color="auto"/>
              <w:right w:val="single" w:sz="4" w:space="0" w:color="auto"/>
            </w:tcBorders>
            <w:shd w:val="clear" w:color="000000" w:fill="CCFFFF"/>
            <w:noWrap/>
            <w:vAlign w:val="bottom"/>
            <w:hideMark/>
          </w:tcPr>
          <w:p w14:paraId="4DE1661C" w14:textId="77777777" w:rsidR="00B56301" w:rsidRPr="00364545" w:rsidRDefault="00B56301" w:rsidP="00B37B65">
            <w:pPr>
              <w:jc w:val="right"/>
              <w:rPr>
                <w:rFonts w:asciiTheme="minorHAnsi" w:hAnsiTheme="minorHAnsi"/>
                <w:sz w:val="16"/>
                <w:szCs w:val="14"/>
              </w:rPr>
            </w:pPr>
            <w:r w:rsidRPr="00364545">
              <w:rPr>
                <w:sz w:val="16"/>
              </w:rPr>
              <w:t>2675,47</w:t>
            </w:r>
          </w:p>
        </w:tc>
        <w:tc>
          <w:tcPr>
            <w:tcW w:w="991" w:type="dxa"/>
            <w:tcBorders>
              <w:top w:val="nil"/>
              <w:left w:val="nil"/>
              <w:bottom w:val="single" w:sz="4" w:space="0" w:color="auto"/>
              <w:right w:val="single" w:sz="4" w:space="0" w:color="auto"/>
            </w:tcBorders>
            <w:shd w:val="clear" w:color="000000" w:fill="CCFFFF"/>
            <w:noWrap/>
            <w:vAlign w:val="bottom"/>
            <w:hideMark/>
          </w:tcPr>
          <w:p w14:paraId="5B171B95" w14:textId="77777777" w:rsidR="00B56301" w:rsidRPr="00364545" w:rsidRDefault="00B56301" w:rsidP="00B37B65">
            <w:pPr>
              <w:jc w:val="right"/>
              <w:rPr>
                <w:rFonts w:asciiTheme="minorHAnsi" w:hAnsiTheme="minorHAnsi"/>
                <w:sz w:val="16"/>
                <w:szCs w:val="14"/>
              </w:rPr>
            </w:pPr>
            <w:r w:rsidRPr="00364545">
              <w:rPr>
                <w:sz w:val="16"/>
              </w:rPr>
              <w:t>2636,62</w:t>
            </w:r>
          </w:p>
        </w:tc>
        <w:tc>
          <w:tcPr>
            <w:tcW w:w="991" w:type="dxa"/>
            <w:tcBorders>
              <w:top w:val="nil"/>
              <w:left w:val="nil"/>
              <w:bottom w:val="single" w:sz="4" w:space="0" w:color="auto"/>
              <w:right w:val="single" w:sz="4" w:space="0" w:color="auto"/>
            </w:tcBorders>
            <w:shd w:val="clear" w:color="000000" w:fill="CCFFFF"/>
            <w:noWrap/>
            <w:vAlign w:val="bottom"/>
            <w:hideMark/>
          </w:tcPr>
          <w:p w14:paraId="208A140C" w14:textId="77777777" w:rsidR="00B56301" w:rsidRPr="00364545" w:rsidRDefault="00B56301" w:rsidP="00B37B65">
            <w:pPr>
              <w:jc w:val="right"/>
              <w:rPr>
                <w:rFonts w:asciiTheme="minorHAnsi" w:hAnsiTheme="minorHAnsi"/>
                <w:sz w:val="16"/>
                <w:szCs w:val="14"/>
              </w:rPr>
            </w:pPr>
            <w:r w:rsidRPr="00364545">
              <w:rPr>
                <w:sz w:val="16"/>
              </w:rPr>
              <w:t>2581,92</w:t>
            </w:r>
          </w:p>
        </w:tc>
        <w:tc>
          <w:tcPr>
            <w:tcW w:w="991" w:type="dxa"/>
            <w:tcBorders>
              <w:top w:val="nil"/>
              <w:left w:val="nil"/>
              <w:bottom w:val="single" w:sz="4" w:space="0" w:color="auto"/>
              <w:right w:val="single" w:sz="4" w:space="0" w:color="auto"/>
            </w:tcBorders>
            <w:shd w:val="clear" w:color="000000" w:fill="CCFFFF"/>
            <w:noWrap/>
            <w:vAlign w:val="bottom"/>
            <w:hideMark/>
          </w:tcPr>
          <w:p w14:paraId="6C2FDFEE" w14:textId="77777777" w:rsidR="00B56301" w:rsidRPr="00364545" w:rsidRDefault="00B56301" w:rsidP="00B37B65">
            <w:pPr>
              <w:jc w:val="right"/>
              <w:rPr>
                <w:rFonts w:asciiTheme="minorHAnsi" w:hAnsiTheme="minorHAnsi"/>
                <w:sz w:val="16"/>
                <w:szCs w:val="14"/>
              </w:rPr>
            </w:pPr>
            <w:r w:rsidRPr="00364545">
              <w:rPr>
                <w:sz w:val="16"/>
              </w:rPr>
              <w:t>2545,26</w:t>
            </w:r>
          </w:p>
        </w:tc>
        <w:tc>
          <w:tcPr>
            <w:tcW w:w="991" w:type="dxa"/>
            <w:tcBorders>
              <w:top w:val="nil"/>
              <w:left w:val="nil"/>
              <w:bottom w:val="single" w:sz="4" w:space="0" w:color="auto"/>
              <w:right w:val="single" w:sz="4" w:space="0" w:color="auto"/>
            </w:tcBorders>
            <w:shd w:val="clear" w:color="000000" w:fill="CCFFFF"/>
            <w:noWrap/>
            <w:vAlign w:val="bottom"/>
            <w:hideMark/>
          </w:tcPr>
          <w:p w14:paraId="03AEA9EC" w14:textId="77777777" w:rsidR="00B56301" w:rsidRPr="00364545" w:rsidRDefault="00B56301" w:rsidP="00B37B65">
            <w:pPr>
              <w:jc w:val="right"/>
              <w:rPr>
                <w:rFonts w:asciiTheme="minorHAnsi" w:hAnsiTheme="minorHAnsi"/>
                <w:sz w:val="16"/>
                <w:szCs w:val="14"/>
              </w:rPr>
            </w:pPr>
            <w:r w:rsidRPr="00364545">
              <w:rPr>
                <w:sz w:val="16"/>
              </w:rPr>
              <w:t>2524,69</w:t>
            </w:r>
          </w:p>
        </w:tc>
      </w:tr>
      <w:tr w:rsidR="00B56301" w:rsidRPr="00364545" w14:paraId="58C306D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0A499AB1" w14:textId="59104CBE"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 xml:space="preserve">emissions with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44C02FAC" w14:textId="77777777" w:rsidR="00B56301" w:rsidRPr="00364545" w:rsidRDefault="00B56301" w:rsidP="00B37B65">
            <w:pPr>
              <w:jc w:val="right"/>
              <w:rPr>
                <w:rFonts w:asciiTheme="minorHAnsi" w:hAnsiTheme="minorHAnsi"/>
                <w:sz w:val="16"/>
                <w:szCs w:val="14"/>
              </w:rPr>
            </w:pPr>
            <w:r w:rsidRPr="00364545">
              <w:rPr>
                <w:sz w:val="16"/>
              </w:rPr>
              <w:t>2797,58</w:t>
            </w:r>
          </w:p>
        </w:tc>
        <w:tc>
          <w:tcPr>
            <w:tcW w:w="991" w:type="dxa"/>
            <w:tcBorders>
              <w:top w:val="nil"/>
              <w:left w:val="nil"/>
              <w:bottom w:val="single" w:sz="4" w:space="0" w:color="auto"/>
              <w:right w:val="single" w:sz="4" w:space="0" w:color="auto"/>
            </w:tcBorders>
            <w:shd w:val="clear" w:color="000000" w:fill="CCFFFF"/>
            <w:noWrap/>
            <w:vAlign w:val="bottom"/>
            <w:hideMark/>
          </w:tcPr>
          <w:p w14:paraId="1BF1BC3E" w14:textId="77777777" w:rsidR="00B56301" w:rsidRPr="00364545" w:rsidRDefault="00B56301" w:rsidP="00B37B65">
            <w:pPr>
              <w:jc w:val="right"/>
              <w:rPr>
                <w:rFonts w:asciiTheme="minorHAnsi" w:hAnsiTheme="minorHAnsi"/>
                <w:sz w:val="16"/>
                <w:szCs w:val="14"/>
              </w:rPr>
            </w:pPr>
            <w:r w:rsidRPr="00364545">
              <w:rPr>
                <w:sz w:val="16"/>
              </w:rPr>
              <w:t>2728,60</w:t>
            </w:r>
          </w:p>
        </w:tc>
        <w:tc>
          <w:tcPr>
            <w:tcW w:w="991" w:type="dxa"/>
            <w:tcBorders>
              <w:top w:val="nil"/>
              <w:left w:val="nil"/>
              <w:bottom w:val="single" w:sz="4" w:space="0" w:color="auto"/>
              <w:right w:val="single" w:sz="4" w:space="0" w:color="auto"/>
            </w:tcBorders>
            <w:shd w:val="clear" w:color="000000" w:fill="CCFFFF"/>
            <w:noWrap/>
            <w:vAlign w:val="bottom"/>
            <w:hideMark/>
          </w:tcPr>
          <w:p w14:paraId="23CF5970" w14:textId="77777777" w:rsidR="00B56301" w:rsidRPr="00364545" w:rsidRDefault="00B56301" w:rsidP="00B37B65">
            <w:pPr>
              <w:jc w:val="right"/>
              <w:rPr>
                <w:rFonts w:asciiTheme="minorHAnsi" w:hAnsiTheme="minorHAnsi"/>
                <w:sz w:val="16"/>
                <w:szCs w:val="14"/>
              </w:rPr>
            </w:pPr>
            <w:r w:rsidRPr="00364545">
              <w:rPr>
                <w:sz w:val="16"/>
              </w:rPr>
              <w:t>2690,23</w:t>
            </w:r>
          </w:p>
        </w:tc>
        <w:tc>
          <w:tcPr>
            <w:tcW w:w="991" w:type="dxa"/>
            <w:tcBorders>
              <w:top w:val="nil"/>
              <w:left w:val="nil"/>
              <w:bottom w:val="single" w:sz="4" w:space="0" w:color="auto"/>
              <w:right w:val="single" w:sz="4" w:space="0" w:color="auto"/>
            </w:tcBorders>
            <w:shd w:val="clear" w:color="000000" w:fill="CCFFFF"/>
            <w:noWrap/>
            <w:vAlign w:val="bottom"/>
            <w:hideMark/>
          </w:tcPr>
          <w:p w14:paraId="64A6D907" w14:textId="77777777" w:rsidR="00B56301" w:rsidRPr="00364545" w:rsidRDefault="00B56301" w:rsidP="00B37B65">
            <w:pPr>
              <w:jc w:val="right"/>
              <w:rPr>
                <w:rFonts w:asciiTheme="minorHAnsi" w:hAnsiTheme="minorHAnsi"/>
                <w:sz w:val="16"/>
                <w:szCs w:val="14"/>
              </w:rPr>
            </w:pPr>
            <w:r w:rsidRPr="00364545">
              <w:rPr>
                <w:sz w:val="16"/>
              </w:rPr>
              <w:t>2629,64</w:t>
            </w:r>
          </w:p>
        </w:tc>
        <w:tc>
          <w:tcPr>
            <w:tcW w:w="991" w:type="dxa"/>
            <w:tcBorders>
              <w:top w:val="nil"/>
              <w:left w:val="nil"/>
              <w:bottom w:val="single" w:sz="4" w:space="0" w:color="auto"/>
              <w:right w:val="single" w:sz="4" w:space="0" w:color="auto"/>
            </w:tcBorders>
            <w:shd w:val="clear" w:color="000000" w:fill="CCFFFF"/>
            <w:noWrap/>
            <w:vAlign w:val="bottom"/>
            <w:hideMark/>
          </w:tcPr>
          <w:p w14:paraId="6FE0DC59" w14:textId="77777777" w:rsidR="00B56301" w:rsidRPr="00364545" w:rsidRDefault="00B56301" w:rsidP="00B37B65">
            <w:pPr>
              <w:jc w:val="right"/>
              <w:rPr>
                <w:rFonts w:asciiTheme="minorHAnsi" w:hAnsiTheme="minorHAnsi"/>
                <w:sz w:val="16"/>
                <w:szCs w:val="14"/>
              </w:rPr>
            </w:pPr>
            <w:r w:rsidRPr="00364545">
              <w:rPr>
                <w:sz w:val="16"/>
              </w:rPr>
              <w:t>2592,82</w:t>
            </w:r>
          </w:p>
        </w:tc>
        <w:tc>
          <w:tcPr>
            <w:tcW w:w="991" w:type="dxa"/>
            <w:tcBorders>
              <w:top w:val="nil"/>
              <w:left w:val="nil"/>
              <w:bottom w:val="single" w:sz="4" w:space="0" w:color="auto"/>
              <w:right w:val="single" w:sz="4" w:space="0" w:color="auto"/>
            </w:tcBorders>
            <w:shd w:val="clear" w:color="000000" w:fill="CCFFFF"/>
            <w:noWrap/>
            <w:vAlign w:val="bottom"/>
            <w:hideMark/>
          </w:tcPr>
          <w:p w14:paraId="2072375F" w14:textId="77777777" w:rsidR="00B56301" w:rsidRPr="00364545" w:rsidRDefault="00B56301" w:rsidP="00B37B65">
            <w:pPr>
              <w:jc w:val="right"/>
              <w:rPr>
                <w:rFonts w:asciiTheme="minorHAnsi" w:hAnsiTheme="minorHAnsi"/>
                <w:sz w:val="16"/>
                <w:szCs w:val="14"/>
              </w:rPr>
            </w:pPr>
            <w:r w:rsidRPr="00364545">
              <w:rPr>
                <w:sz w:val="16"/>
              </w:rPr>
              <w:t>2570,38</w:t>
            </w:r>
          </w:p>
        </w:tc>
      </w:tr>
      <w:tr w:rsidR="00B56301" w:rsidRPr="00364545" w14:paraId="72D8F25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EB0D79"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7070B5D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EFD05F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DAE78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7F0866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61C46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B8CE8D"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6EA3CE2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7D56B11"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21792A0B" w14:textId="77777777" w:rsidR="00B56301" w:rsidRPr="00364545" w:rsidRDefault="00B56301" w:rsidP="00B37B65">
            <w:pPr>
              <w:jc w:val="right"/>
              <w:rPr>
                <w:rFonts w:asciiTheme="minorHAnsi" w:hAnsiTheme="minorHAnsi"/>
                <w:sz w:val="16"/>
                <w:szCs w:val="14"/>
              </w:rPr>
            </w:pPr>
            <w:r w:rsidRPr="00364545">
              <w:rPr>
                <w:sz w:val="16"/>
              </w:rPr>
              <w:t>0,84</w:t>
            </w:r>
          </w:p>
        </w:tc>
        <w:tc>
          <w:tcPr>
            <w:tcW w:w="991" w:type="dxa"/>
            <w:tcBorders>
              <w:top w:val="nil"/>
              <w:left w:val="nil"/>
              <w:bottom w:val="single" w:sz="4" w:space="0" w:color="auto"/>
              <w:right w:val="single" w:sz="4" w:space="0" w:color="auto"/>
            </w:tcBorders>
            <w:shd w:val="clear" w:color="000000" w:fill="CCFFFF"/>
            <w:noWrap/>
            <w:vAlign w:val="bottom"/>
            <w:hideMark/>
          </w:tcPr>
          <w:p w14:paraId="404EAAAF" w14:textId="77777777" w:rsidR="00B56301" w:rsidRPr="00364545" w:rsidRDefault="00B56301" w:rsidP="00B37B65">
            <w:pPr>
              <w:jc w:val="right"/>
              <w:rPr>
                <w:rFonts w:asciiTheme="minorHAnsi" w:hAnsiTheme="minorHAnsi"/>
                <w:sz w:val="16"/>
                <w:szCs w:val="14"/>
              </w:rPr>
            </w:pPr>
            <w:r w:rsidRPr="00364545">
              <w:rPr>
                <w:sz w:val="16"/>
              </w:rPr>
              <w:t>0,81</w:t>
            </w:r>
          </w:p>
        </w:tc>
        <w:tc>
          <w:tcPr>
            <w:tcW w:w="991" w:type="dxa"/>
            <w:tcBorders>
              <w:top w:val="nil"/>
              <w:left w:val="nil"/>
              <w:bottom w:val="single" w:sz="4" w:space="0" w:color="auto"/>
              <w:right w:val="single" w:sz="4" w:space="0" w:color="auto"/>
            </w:tcBorders>
            <w:shd w:val="clear" w:color="000000" w:fill="CCFFFF"/>
            <w:noWrap/>
            <w:vAlign w:val="bottom"/>
            <w:hideMark/>
          </w:tcPr>
          <w:p w14:paraId="24F6C861" w14:textId="77777777" w:rsidR="00B56301" w:rsidRPr="00364545" w:rsidRDefault="00B56301" w:rsidP="00B37B65">
            <w:pPr>
              <w:jc w:val="right"/>
              <w:rPr>
                <w:rFonts w:asciiTheme="minorHAnsi" w:hAnsiTheme="minorHAnsi"/>
                <w:sz w:val="16"/>
                <w:szCs w:val="14"/>
              </w:rPr>
            </w:pPr>
            <w:r w:rsidRPr="00364545">
              <w:rPr>
                <w:sz w:val="16"/>
              </w:rPr>
              <w:t>0,87</w:t>
            </w:r>
          </w:p>
        </w:tc>
        <w:tc>
          <w:tcPr>
            <w:tcW w:w="991" w:type="dxa"/>
            <w:tcBorders>
              <w:top w:val="nil"/>
              <w:left w:val="nil"/>
              <w:bottom w:val="single" w:sz="4" w:space="0" w:color="auto"/>
              <w:right w:val="single" w:sz="4" w:space="0" w:color="auto"/>
            </w:tcBorders>
            <w:shd w:val="clear" w:color="000000" w:fill="CCFFFF"/>
            <w:noWrap/>
            <w:vAlign w:val="bottom"/>
            <w:hideMark/>
          </w:tcPr>
          <w:p w14:paraId="2A71EBAF" w14:textId="77777777" w:rsidR="00B56301" w:rsidRPr="00364545" w:rsidRDefault="00B56301" w:rsidP="00B37B65">
            <w:pPr>
              <w:jc w:val="right"/>
              <w:rPr>
                <w:rFonts w:asciiTheme="minorHAnsi" w:hAnsiTheme="minorHAnsi"/>
                <w:sz w:val="16"/>
                <w:szCs w:val="14"/>
              </w:rPr>
            </w:pPr>
            <w:r w:rsidRPr="00364545">
              <w:rPr>
                <w:sz w:val="16"/>
              </w:rPr>
              <w:t>0,99</w:t>
            </w:r>
          </w:p>
        </w:tc>
        <w:tc>
          <w:tcPr>
            <w:tcW w:w="991" w:type="dxa"/>
            <w:tcBorders>
              <w:top w:val="nil"/>
              <w:left w:val="nil"/>
              <w:bottom w:val="single" w:sz="4" w:space="0" w:color="auto"/>
              <w:right w:val="single" w:sz="4" w:space="0" w:color="auto"/>
            </w:tcBorders>
            <w:shd w:val="clear" w:color="000000" w:fill="CCFFFF"/>
            <w:noWrap/>
            <w:vAlign w:val="bottom"/>
            <w:hideMark/>
          </w:tcPr>
          <w:p w14:paraId="6F6B661F" w14:textId="77777777" w:rsidR="00B56301" w:rsidRPr="00364545" w:rsidRDefault="00B56301" w:rsidP="00B37B65">
            <w:pPr>
              <w:jc w:val="right"/>
              <w:rPr>
                <w:rFonts w:asciiTheme="minorHAnsi" w:hAnsiTheme="minorHAnsi"/>
                <w:sz w:val="16"/>
                <w:szCs w:val="14"/>
              </w:rPr>
            </w:pPr>
            <w:r w:rsidRPr="00364545">
              <w:rPr>
                <w:sz w:val="16"/>
              </w:rPr>
              <w:t>0,91</w:t>
            </w:r>
          </w:p>
        </w:tc>
        <w:tc>
          <w:tcPr>
            <w:tcW w:w="991" w:type="dxa"/>
            <w:tcBorders>
              <w:top w:val="nil"/>
              <w:left w:val="nil"/>
              <w:bottom w:val="single" w:sz="4" w:space="0" w:color="auto"/>
              <w:right w:val="single" w:sz="4" w:space="0" w:color="auto"/>
            </w:tcBorders>
            <w:shd w:val="clear" w:color="000000" w:fill="CCFFFF"/>
            <w:noWrap/>
            <w:vAlign w:val="bottom"/>
            <w:hideMark/>
          </w:tcPr>
          <w:p w14:paraId="0639B365" w14:textId="77777777" w:rsidR="00B56301" w:rsidRPr="00364545" w:rsidRDefault="00B56301" w:rsidP="00B37B65">
            <w:pPr>
              <w:jc w:val="right"/>
              <w:rPr>
                <w:rFonts w:asciiTheme="minorHAnsi" w:hAnsiTheme="minorHAnsi"/>
                <w:sz w:val="16"/>
                <w:szCs w:val="14"/>
              </w:rPr>
            </w:pPr>
            <w:r w:rsidRPr="00364545">
              <w:rPr>
                <w:sz w:val="16"/>
              </w:rPr>
              <w:t>0,94</w:t>
            </w:r>
          </w:p>
        </w:tc>
      </w:tr>
      <w:tr w:rsidR="00B56301" w:rsidRPr="00364545" w14:paraId="4C3E1D3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29A629"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61D838A7"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3F023CA1" w14:textId="77777777" w:rsidR="00B56301" w:rsidRPr="00364545" w:rsidRDefault="00B56301" w:rsidP="00B37B65">
            <w:pPr>
              <w:jc w:val="right"/>
              <w:rPr>
                <w:rFonts w:asciiTheme="minorHAnsi" w:hAnsiTheme="minorHAnsi"/>
                <w:sz w:val="16"/>
                <w:szCs w:val="14"/>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53DCBDC9" w14:textId="77777777" w:rsidR="00B56301" w:rsidRPr="00364545" w:rsidRDefault="00B56301" w:rsidP="00B37B65">
            <w:pPr>
              <w:jc w:val="right"/>
              <w:rPr>
                <w:rFonts w:asciiTheme="minorHAnsi" w:hAnsiTheme="minorHAnsi"/>
                <w:sz w:val="16"/>
                <w:szCs w:val="14"/>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5669A4EE" w14:textId="77777777" w:rsidR="00B56301" w:rsidRPr="00364545" w:rsidRDefault="00B56301" w:rsidP="00B37B65">
            <w:pPr>
              <w:jc w:val="right"/>
              <w:rPr>
                <w:rFonts w:asciiTheme="minorHAnsi" w:hAnsiTheme="minorHAnsi"/>
                <w:sz w:val="16"/>
                <w:szCs w:val="14"/>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2DE9214B"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63AF0420" w14:textId="77777777" w:rsidR="00B56301" w:rsidRPr="00364545" w:rsidRDefault="00B56301" w:rsidP="00B37B65">
            <w:pPr>
              <w:jc w:val="right"/>
              <w:rPr>
                <w:rFonts w:asciiTheme="minorHAnsi" w:hAnsiTheme="minorHAnsi"/>
                <w:sz w:val="16"/>
                <w:szCs w:val="14"/>
              </w:rPr>
            </w:pPr>
            <w:r w:rsidRPr="00364545">
              <w:rPr>
                <w:sz w:val="16"/>
              </w:rPr>
              <w:t>0,07</w:t>
            </w:r>
          </w:p>
        </w:tc>
      </w:tr>
      <w:tr w:rsidR="00B56301" w:rsidRPr="00364545" w14:paraId="4C1912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5F37571"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67ED14D7" w14:textId="77777777" w:rsidR="00B56301" w:rsidRPr="00364545" w:rsidRDefault="00B56301" w:rsidP="00B37B65">
            <w:pPr>
              <w:jc w:val="right"/>
              <w:rPr>
                <w:rFonts w:asciiTheme="minorHAnsi" w:hAnsiTheme="minorHAnsi"/>
                <w:sz w:val="16"/>
                <w:szCs w:val="14"/>
              </w:rPr>
            </w:pPr>
            <w:r w:rsidRPr="00364545">
              <w:rPr>
                <w:sz w:val="16"/>
              </w:rPr>
              <w:t>0,77</w:t>
            </w:r>
          </w:p>
        </w:tc>
        <w:tc>
          <w:tcPr>
            <w:tcW w:w="991" w:type="dxa"/>
            <w:tcBorders>
              <w:top w:val="nil"/>
              <w:left w:val="nil"/>
              <w:bottom w:val="single" w:sz="4" w:space="0" w:color="auto"/>
              <w:right w:val="single" w:sz="4" w:space="0" w:color="auto"/>
            </w:tcBorders>
            <w:shd w:val="clear" w:color="000000" w:fill="FFFFFF"/>
            <w:noWrap/>
            <w:vAlign w:val="bottom"/>
            <w:hideMark/>
          </w:tcPr>
          <w:p w14:paraId="0D455D11" w14:textId="77777777" w:rsidR="00B56301" w:rsidRPr="00364545" w:rsidRDefault="00B56301" w:rsidP="00B37B65">
            <w:pPr>
              <w:jc w:val="right"/>
              <w:rPr>
                <w:rFonts w:asciiTheme="minorHAnsi" w:hAnsiTheme="minorHAnsi"/>
                <w:sz w:val="16"/>
                <w:szCs w:val="14"/>
              </w:rPr>
            </w:pPr>
            <w:r w:rsidRPr="00364545">
              <w:rPr>
                <w:sz w:val="16"/>
              </w:rPr>
              <w:t>0,75</w:t>
            </w:r>
          </w:p>
        </w:tc>
        <w:tc>
          <w:tcPr>
            <w:tcW w:w="991" w:type="dxa"/>
            <w:tcBorders>
              <w:top w:val="nil"/>
              <w:left w:val="nil"/>
              <w:bottom w:val="single" w:sz="4" w:space="0" w:color="auto"/>
              <w:right w:val="single" w:sz="4" w:space="0" w:color="auto"/>
            </w:tcBorders>
            <w:shd w:val="clear" w:color="000000" w:fill="FFFFFF"/>
            <w:noWrap/>
            <w:vAlign w:val="bottom"/>
            <w:hideMark/>
          </w:tcPr>
          <w:p w14:paraId="39100A4D" w14:textId="77777777" w:rsidR="00B56301" w:rsidRPr="00364545" w:rsidRDefault="00B56301" w:rsidP="00B37B65">
            <w:pPr>
              <w:jc w:val="right"/>
              <w:rPr>
                <w:rFonts w:asciiTheme="minorHAnsi" w:hAnsiTheme="minorHAnsi"/>
                <w:sz w:val="16"/>
                <w:szCs w:val="14"/>
              </w:rPr>
            </w:pPr>
            <w:r w:rsidRPr="00364545">
              <w:rPr>
                <w:sz w:val="16"/>
              </w:rPr>
              <w:t>0,81</w:t>
            </w:r>
          </w:p>
        </w:tc>
        <w:tc>
          <w:tcPr>
            <w:tcW w:w="991" w:type="dxa"/>
            <w:tcBorders>
              <w:top w:val="nil"/>
              <w:left w:val="nil"/>
              <w:bottom w:val="single" w:sz="4" w:space="0" w:color="auto"/>
              <w:right w:val="single" w:sz="4" w:space="0" w:color="auto"/>
            </w:tcBorders>
            <w:shd w:val="clear" w:color="000000" w:fill="FFFFFF"/>
            <w:noWrap/>
            <w:vAlign w:val="bottom"/>
            <w:hideMark/>
          </w:tcPr>
          <w:p w14:paraId="3767FD7F" w14:textId="77777777" w:rsidR="00B56301" w:rsidRPr="00364545" w:rsidRDefault="00B56301" w:rsidP="00B37B65">
            <w:pPr>
              <w:jc w:val="right"/>
              <w:rPr>
                <w:rFonts w:asciiTheme="minorHAnsi" w:hAnsiTheme="minorHAnsi"/>
                <w:sz w:val="16"/>
                <w:szCs w:val="14"/>
              </w:rPr>
            </w:pPr>
            <w:r w:rsidRPr="00364545">
              <w:rPr>
                <w:sz w:val="16"/>
              </w:rPr>
              <w:t>0,92</w:t>
            </w:r>
          </w:p>
        </w:tc>
        <w:tc>
          <w:tcPr>
            <w:tcW w:w="991" w:type="dxa"/>
            <w:tcBorders>
              <w:top w:val="nil"/>
              <w:left w:val="nil"/>
              <w:bottom w:val="single" w:sz="4" w:space="0" w:color="auto"/>
              <w:right w:val="single" w:sz="4" w:space="0" w:color="auto"/>
            </w:tcBorders>
            <w:shd w:val="clear" w:color="000000" w:fill="FFFFFF"/>
            <w:noWrap/>
            <w:vAlign w:val="bottom"/>
            <w:hideMark/>
          </w:tcPr>
          <w:p w14:paraId="2B74BC97" w14:textId="77777777" w:rsidR="00B56301" w:rsidRPr="00364545" w:rsidRDefault="00B56301" w:rsidP="00B37B65">
            <w:pPr>
              <w:jc w:val="right"/>
              <w:rPr>
                <w:rFonts w:asciiTheme="minorHAnsi" w:hAnsiTheme="minorHAnsi"/>
                <w:sz w:val="16"/>
                <w:szCs w:val="14"/>
              </w:rPr>
            </w:pPr>
            <w:r w:rsidRPr="00364545">
              <w:rPr>
                <w:sz w:val="16"/>
              </w:rPr>
              <w:t>0,84</w:t>
            </w:r>
          </w:p>
        </w:tc>
        <w:tc>
          <w:tcPr>
            <w:tcW w:w="991" w:type="dxa"/>
            <w:tcBorders>
              <w:top w:val="nil"/>
              <w:left w:val="nil"/>
              <w:bottom w:val="single" w:sz="4" w:space="0" w:color="auto"/>
              <w:right w:val="single" w:sz="4" w:space="0" w:color="auto"/>
            </w:tcBorders>
            <w:shd w:val="clear" w:color="000000" w:fill="FFFFFF"/>
            <w:noWrap/>
            <w:vAlign w:val="bottom"/>
            <w:hideMark/>
          </w:tcPr>
          <w:p w14:paraId="3873C353" w14:textId="77777777" w:rsidR="00B56301" w:rsidRPr="00364545" w:rsidRDefault="00B56301" w:rsidP="00B37B65">
            <w:pPr>
              <w:jc w:val="right"/>
              <w:rPr>
                <w:rFonts w:asciiTheme="minorHAnsi" w:hAnsiTheme="minorHAnsi"/>
                <w:sz w:val="16"/>
                <w:szCs w:val="14"/>
              </w:rPr>
            </w:pPr>
            <w:r w:rsidRPr="00364545">
              <w:rPr>
                <w:sz w:val="16"/>
              </w:rPr>
              <w:t>0,88</w:t>
            </w:r>
          </w:p>
        </w:tc>
      </w:tr>
      <w:tr w:rsidR="00B56301" w:rsidRPr="00364545" w14:paraId="4E62B0A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DA5B8C"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6BF713F3"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00C5487E"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B7ABCF3"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EAF9271"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091C810"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03B4E931" w14:textId="77777777" w:rsidR="00B56301" w:rsidRPr="00364545" w:rsidRDefault="00B56301" w:rsidP="00B37B65">
            <w:pPr>
              <w:jc w:val="right"/>
              <w:rPr>
                <w:rFonts w:asciiTheme="minorHAnsi" w:hAnsiTheme="minorHAnsi"/>
                <w:sz w:val="16"/>
                <w:szCs w:val="14"/>
              </w:rPr>
            </w:pPr>
            <w:r w:rsidRPr="00364545">
              <w:rPr>
                <w:sz w:val="16"/>
              </w:rPr>
              <w:t>NE</w:t>
            </w:r>
          </w:p>
        </w:tc>
      </w:tr>
      <w:tr w:rsidR="00B56301" w:rsidRPr="00364545" w14:paraId="5A57061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1FC4D2" w14:textId="47F30CEF"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4CCE711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D4B60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56FE82"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96E994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FAAFF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3CECD9"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2B5A900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7908DB8" w14:textId="147333F2"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5F99B9F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80F93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E4EEA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A416F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11F89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479AFCF"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6058B61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538793"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3B84ECF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58496E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9DF27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6B6AEB"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F168F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54193B"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4A6AF25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4E5909" w14:textId="2B1A680B"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N</w:t>
            </w:r>
            <w:r w:rsidRPr="00364545">
              <w:rPr>
                <w:sz w:val="16"/>
                <w:vertAlign w:val="subscript"/>
              </w:rPr>
              <w:t>2</w:t>
            </w:r>
            <w:r w:rsidRPr="00364545">
              <w:rPr>
                <w:sz w:val="16"/>
              </w:rPr>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46BA8F7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1E1F2B"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49EA02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472781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76039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748DA7"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6F5406E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3DF058A" w14:textId="68B7F35A"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Indirect </w:t>
            </w:r>
            <w:r w:rsidRPr="00364545">
              <w:t>CO</w:t>
            </w:r>
            <w:r w:rsidRPr="00364545">
              <w:rPr>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1DE4392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770711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AF71D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8AF5A4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27952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921C4A" w14:textId="77777777" w:rsidR="00B56301" w:rsidRPr="00364545" w:rsidRDefault="00B56301" w:rsidP="00B37B65">
            <w:pPr>
              <w:jc w:val="right"/>
              <w:rPr>
                <w:rFonts w:asciiTheme="minorHAnsi" w:hAnsiTheme="minorHAnsi"/>
                <w:sz w:val="16"/>
                <w:szCs w:val="14"/>
              </w:rPr>
            </w:pPr>
            <w:r w:rsidRPr="00364545">
              <w:rPr>
                <w:sz w:val="16"/>
              </w:rPr>
              <w:t> </w:t>
            </w:r>
          </w:p>
        </w:tc>
      </w:tr>
    </w:tbl>
    <w:p w14:paraId="059A3C84" w14:textId="77777777" w:rsidR="00B56301" w:rsidRPr="00364545" w:rsidRDefault="00B56301" w:rsidP="00B56301">
      <w:pPr>
        <w:ind w:right="27"/>
        <w:rPr>
          <w:rFonts w:cs="Arial"/>
          <w:sz w:val="24"/>
        </w:rPr>
      </w:pP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364545" w14:paraId="333D66BA"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2010814" w14:textId="54853299" w:rsidR="00B56301" w:rsidRPr="00364545" w:rsidRDefault="00B56301" w:rsidP="00B37B65">
            <w:pPr>
              <w:jc w:val="left"/>
              <w:rPr>
                <w:rFonts w:asciiTheme="minorHAnsi" w:hAnsiTheme="minorHAnsi"/>
                <w:b/>
                <w:bCs/>
                <w:sz w:val="16"/>
                <w:szCs w:val="14"/>
              </w:rPr>
            </w:pPr>
            <w:r w:rsidRPr="00364545">
              <w:rPr>
                <w:sz w:val="24"/>
                <w:lang w:val="en-US"/>
              </w:rPr>
              <w:br w:type="page"/>
            </w:r>
            <w:r w:rsidRPr="00364545">
              <w:rPr>
                <w:rFonts w:asciiTheme="minorHAnsi" w:hAnsiTheme="minorHAnsi"/>
                <w:b/>
                <w:sz w:val="16"/>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C9FCA40" w14:textId="77777777" w:rsidR="00B56301" w:rsidRPr="00364545" w:rsidRDefault="00B56301" w:rsidP="00B37B65">
            <w:pPr>
              <w:jc w:val="center"/>
              <w:rPr>
                <w:rFonts w:asciiTheme="minorHAnsi" w:hAnsiTheme="minorHAnsi"/>
                <w:b/>
                <w:bCs/>
                <w:sz w:val="16"/>
                <w:szCs w:val="14"/>
              </w:rPr>
            </w:pPr>
            <w:r w:rsidRPr="00364545">
              <w:rPr>
                <w:b/>
                <w:sz w:val="16"/>
              </w:rPr>
              <w:t>2007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91EAAB3" w14:textId="77777777" w:rsidR="00B56301" w:rsidRPr="00364545" w:rsidRDefault="00B56301" w:rsidP="00B37B65">
            <w:pPr>
              <w:jc w:val="center"/>
              <w:rPr>
                <w:rFonts w:asciiTheme="minorHAnsi" w:hAnsiTheme="minorHAnsi"/>
                <w:b/>
                <w:bCs/>
                <w:sz w:val="16"/>
                <w:szCs w:val="14"/>
              </w:rPr>
            </w:pPr>
            <w:r w:rsidRPr="00364545">
              <w:rPr>
                <w:b/>
                <w:sz w:val="16"/>
              </w:rPr>
              <w:t>2008</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88790BC" w14:textId="77777777" w:rsidR="00B56301" w:rsidRPr="00364545" w:rsidRDefault="00B56301" w:rsidP="00B37B65">
            <w:pPr>
              <w:jc w:val="center"/>
              <w:rPr>
                <w:rFonts w:asciiTheme="minorHAnsi" w:hAnsiTheme="minorHAnsi"/>
                <w:b/>
                <w:bCs/>
                <w:sz w:val="16"/>
                <w:szCs w:val="14"/>
              </w:rPr>
            </w:pPr>
            <w:r w:rsidRPr="00364545">
              <w:rPr>
                <w:b/>
                <w:sz w:val="16"/>
              </w:rPr>
              <w:t>2009</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3C851DD" w14:textId="77777777" w:rsidR="00B56301" w:rsidRPr="00364545" w:rsidRDefault="00B56301" w:rsidP="00B37B65">
            <w:pPr>
              <w:jc w:val="center"/>
              <w:rPr>
                <w:rFonts w:asciiTheme="minorHAnsi" w:hAnsiTheme="minorHAnsi"/>
                <w:b/>
                <w:bCs/>
                <w:sz w:val="16"/>
                <w:szCs w:val="14"/>
              </w:rPr>
            </w:pPr>
            <w:r w:rsidRPr="00364545">
              <w:rPr>
                <w:b/>
                <w:sz w:val="16"/>
              </w:rPr>
              <w:t>2010</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6F975C3" w14:textId="77777777" w:rsidR="00B56301" w:rsidRPr="00364545" w:rsidRDefault="00B56301" w:rsidP="00B37B65">
            <w:pPr>
              <w:jc w:val="center"/>
              <w:rPr>
                <w:rFonts w:asciiTheme="minorHAnsi" w:hAnsiTheme="minorHAnsi"/>
                <w:b/>
                <w:bCs/>
                <w:sz w:val="16"/>
                <w:szCs w:val="14"/>
              </w:rPr>
            </w:pPr>
            <w:r w:rsidRPr="00364545">
              <w:rPr>
                <w:b/>
                <w:sz w:val="16"/>
              </w:rPr>
              <w:t>2011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B277195" w14:textId="77777777" w:rsidR="00B56301" w:rsidRPr="00364545" w:rsidRDefault="00B56301" w:rsidP="00B37B65">
            <w:pPr>
              <w:jc w:val="center"/>
              <w:rPr>
                <w:rFonts w:asciiTheme="minorHAnsi" w:hAnsiTheme="minorHAnsi"/>
                <w:b/>
                <w:bCs/>
                <w:sz w:val="16"/>
                <w:szCs w:val="14"/>
              </w:rPr>
            </w:pPr>
            <w:r w:rsidRPr="00364545">
              <w:rPr>
                <w:b/>
                <w:sz w:val="16"/>
              </w:rPr>
              <w:t>2012</w:t>
            </w:r>
          </w:p>
        </w:tc>
      </w:tr>
      <w:tr w:rsidR="00B56301" w:rsidRPr="00364545" w14:paraId="38820CB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9AC250"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D1D619D" w14:textId="77777777" w:rsidR="00B56301" w:rsidRPr="00364545" w:rsidRDefault="00B56301" w:rsidP="00B37B65">
            <w:pPr>
              <w:jc w:val="right"/>
              <w:rPr>
                <w:rFonts w:asciiTheme="minorHAnsi" w:hAnsiTheme="minorHAnsi"/>
                <w:sz w:val="16"/>
                <w:szCs w:val="14"/>
              </w:rPr>
            </w:pPr>
            <w:r w:rsidRPr="00364545">
              <w:rPr>
                <w:sz w:val="16"/>
              </w:rPr>
              <w:t>152,82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B3682C0" w14:textId="77777777" w:rsidR="00B56301" w:rsidRPr="00364545" w:rsidRDefault="00B56301" w:rsidP="00B37B65">
            <w:pPr>
              <w:jc w:val="right"/>
              <w:rPr>
                <w:rFonts w:asciiTheme="minorHAnsi" w:hAnsiTheme="minorHAnsi"/>
                <w:sz w:val="16"/>
                <w:szCs w:val="14"/>
              </w:rPr>
            </w:pPr>
            <w:r w:rsidRPr="00364545">
              <w:rPr>
                <w:sz w:val="16"/>
              </w:rPr>
              <w:t>149,75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542DADD" w14:textId="77777777" w:rsidR="00B56301" w:rsidRPr="00364545" w:rsidRDefault="00B56301" w:rsidP="00B37B65">
            <w:pPr>
              <w:jc w:val="right"/>
              <w:rPr>
                <w:rFonts w:asciiTheme="minorHAnsi" w:hAnsiTheme="minorHAnsi"/>
                <w:sz w:val="16"/>
                <w:szCs w:val="14"/>
              </w:rPr>
            </w:pPr>
            <w:r w:rsidRPr="00364545">
              <w:rPr>
                <w:sz w:val="16"/>
              </w:rPr>
              <w:t>143,92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00D32555" w14:textId="77777777" w:rsidR="00B56301" w:rsidRPr="00364545" w:rsidRDefault="00B56301" w:rsidP="00B37B65">
            <w:pPr>
              <w:jc w:val="right"/>
              <w:rPr>
                <w:rFonts w:asciiTheme="minorHAnsi" w:hAnsiTheme="minorHAnsi"/>
                <w:sz w:val="16"/>
                <w:szCs w:val="14"/>
              </w:rPr>
            </w:pPr>
            <w:r w:rsidRPr="00364545">
              <w:rPr>
                <w:sz w:val="16"/>
              </w:rPr>
              <w:t>148,15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F4BE793" w14:textId="77777777" w:rsidR="00B56301" w:rsidRPr="00364545" w:rsidRDefault="00B56301" w:rsidP="00B37B65">
            <w:pPr>
              <w:jc w:val="right"/>
              <w:rPr>
                <w:rFonts w:asciiTheme="minorHAnsi" w:hAnsiTheme="minorHAnsi"/>
                <w:sz w:val="16"/>
                <w:szCs w:val="14"/>
              </w:rPr>
            </w:pPr>
            <w:r w:rsidRPr="00364545">
              <w:rPr>
                <w:sz w:val="16"/>
              </w:rPr>
              <w:t>127,03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DFFC6FF" w14:textId="77777777" w:rsidR="00B56301" w:rsidRPr="00364545" w:rsidRDefault="00B56301" w:rsidP="00B37B65">
            <w:pPr>
              <w:jc w:val="right"/>
              <w:rPr>
                <w:rFonts w:asciiTheme="minorHAnsi" w:hAnsiTheme="minorHAnsi"/>
                <w:sz w:val="16"/>
                <w:szCs w:val="14"/>
              </w:rPr>
            </w:pPr>
            <w:r w:rsidRPr="00364545">
              <w:rPr>
                <w:sz w:val="16"/>
              </w:rPr>
              <w:t>130,53</w:t>
            </w:r>
          </w:p>
        </w:tc>
      </w:tr>
      <w:tr w:rsidR="00B56301" w:rsidRPr="00364545" w14:paraId="308BF989"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02E876B"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440E03E4" w14:textId="77777777" w:rsidR="00B56301" w:rsidRPr="00364545" w:rsidRDefault="00B56301" w:rsidP="00B37B65">
            <w:pPr>
              <w:jc w:val="right"/>
              <w:rPr>
                <w:rFonts w:asciiTheme="minorHAnsi" w:hAnsiTheme="minorHAnsi"/>
                <w:sz w:val="16"/>
                <w:szCs w:val="14"/>
              </w:rPr>
            </w:pPr>
            <w:r w:rsidRPr="00364545">
              <w:rPr>
                <w:sz w:val="16"/>
              </w:rPr>
              <w:t>93,75</w:t>
            </w:r>
          </w:p>
        </w:tc>
        <w:tc>
          <w:tcPr>
            <w:tcW w:w="991" w:type="dxa"/>
            <w:tcBorders>
              <w:top w:val="nil"/>
              <w:left w:val="nil"/>
              <w:bottom w:val="single" w:sz="4" w:space="0" w:color="auto"/>
              <w:right w:val="single" w:sz="4" w:space="0" w:color="auto"/>
            </w:tcBorders>
            <w:shd w:val="clear" w:color="000000" w:fill="CCFFFF"/>
            <w:noWrap/>
            <w:vAlign w:val="bottom"/>
            <w:hideMark/>
          </w:tcPr>
          <w:p w14:paraId="68B80A95" w14:textId="77777777" w:rsidR="00B56301" w:rsidRPr="00364545" w:rsidRDefault="00B56301" w:rsidP="00B37B65">
            <w:pPr>
              <w:jc w:val="right"/>
              <w:rPr>
                <w:rFonts w:asciiTheme="minorHAnsi" w:hAnsiTheme="minorHAnsi"/>
                <w:sz w:val="16"/>
                <w:szCs w:val="14"/>
              </w:rPr>
            </w:pPr>
            <w:r w:rsidRPr="00364545">
              <w:rPr>
                <w:sz w:val="16"/>
              </w:rPr>
              <w:t>90,79</w:t>
            </w:r>
          </w:p>
        </w:tc>
        <w:tc>
          <w:tcPr>
            <w:tcW w:w="991" w:type="dxa"/>
            <w:tcBorders>
              <w:top w:val="nil"/>
              <w:left w:val="nil"/>
              <w:bottom w:val="single" w:sz="4" w:space="0" w:color="auto"/>
              <w:right w:val="single" w:sz="4" w:space="0" w:color="auto"/>
            </w:tcBorders>
            <w:shd w:val="clear" w:color="000000" w:fill="CCFFFF"/>
            <w:noWrap/>
            <w:vAlign w:val="bottom"/>
            <w:hideMark/>
          </w:tcPr>
          <w:p w14:paraId="777ADE47" w14:textId="77777777" w:rsidR="00B56301" w:rsidRPr="00364545" w:rsidRDefault="00B56301" w:rsidP="00B37B65">
            <w:pPr>
              <w:jc w:val="right"/>
              <w:rPr>
                <w:rFonts w:asciiTheme="minorHAnsi" w:hAnsiTheme="minorHAnsi"/>
                <w:sz w:val="16"/>
                <w:szCs w:val="14"/>
              </w:rPr>
            </w:pPr>
            <w:r w:rsidRPr="00364545">
              <w:rPr>
                <w:sz w:val="16"/>
              </w:rPr>
              <w:t>85,23</w:t>
            </w:r>
          </w:p>
        </w:tc>
        <w:tc>
          <w:tcPr>
            <w:tcW w:w="991" w:type="dxa"/>
            <w:tcBorders>
              <w:top w:val="nil"/>
              <w:left w:val="nil"/>
              <w:bottom w:val="single" w:sz="4" w:space="0" w:color="auto"/>
              <w:right w:val="single" w:sz="4" w:space="0" w:color="auto"/>
            </w:tcBorders>
            <w:shd w:val="clear" w:color="000000" w:fill="CCFFFF"/>
            <w:noWrap/>
            <w:vAlign w:val="bottom"/>
            <w:hideMark/>
          </w:tcPr>
          <w:p w14:paraId="3FAE3611" w14:textId="77777777" w:rsidR="00B56301" w:rsidRPr="00364545" w:rsidRDefault="00B56301" w:rsidP="00B37B65">
            <w:pPr>
              <w:jc w:val="right"/>
              <w:rPr>
                <w:rFonts w:asciiTheme="minorHAnsi" w:hAnsiTheme="minorHAnsi"/>
                <w:sz w:val="16"/>
                <w:szCs w:val="14"/>
              </w:rPr>
            </w:pPr>
            <w:r w:rsidRPr="00364545">
              <w:rPr>
                <w:sz w:val="16"/>
              </w:rPr>
              <w:t>86,72</w:t>
            </w:r>
          </w:p>
        </w:tc>
        <w:tc>
          <w:tcPr>
            <w:tcW w:w="991" w:type="dxa"/>
            <w:tcBorders>
              <w:top w:val="nil"/>
              <w:left w:val="nil"/>
              <w:bottom w:val="single" w:sz="4" w:space="0" w:color="auto"/>
              <w:right w:val="single" w:sz="4" w:space="0" w:color="auto"/>
            </w:tcBorders>
            <w:shd w:val="clear" w:color="000000" w:fill="CCFFFF"/>
            <w:noWrap/>
            <w:vAlign w:val="bottom"/>
            <w:hideMark/>
          </w:tcPr>
          <w:p w14:paraId="195CEFC9" w14:textId="77777777" w:rsidR="00B56301" w:rsidRPr="00364545" w:rsidRDefault="00B56301" w:rsidP="00B37B65">
            <w:pPr>
              <w:jc w:val="right"/>
              <w:rPr>
                <w:rFonts w:asciiTheme="minorHAnsi" w:hAnsiTheme="minorHAnsi"/>
                <w:sz w:val="16"/>
                <w:szCs w:val="14"/>
              </w:rPr>
            </w:pPr>
            <w:r w:rsidRPr="00364545">
              <w:rPr>
                <w:sz w:val="16"/>
              </w:rPr>
              <w:t>68,60</w:t>
            </w:r>
          </w:p>
        </w:tc>
        <w:tc>
          <w:tcPr>
            <w:tcW w:w="991" w:type="dxa"/>
            <w:tcBorders>
              <w:top w:val="nil"/>
              <w:left w:val="nil"/>
              <w:bottom w:val="single" w:sz="4" w:space="0" w:color="auto"/>
              <w:right w:val="single" w:sz="4" w:space="0" w:color="auto"/>
            </w:tcBorders>
            <w:shd w:val="clear" w:color="000000" w:fill="CCFFFF"/>
            <w:noWrap/>
            <w:vAlign w:val="bottom"/>
            <w:hideMark/>
          </w:tcPr>
          <w:p w14:paraId="1D67C20C" w14:textId="77777777" w:rsidR="00B56301" w:rsidRPr="00364545" w:rsidRDefault="00B56301" w:rsidP="00B37B65">
            <w:pPr>
              <w:jc w:val="right"/>
              <w:rPr>
                <w:rFonts w:asciiTheme="minorHAnsi" w:hAnsiTheme="minorHAnsi"/>
                <w:sz w:val="16"/>
                <w:szCs w:val="14"/>
              </w:rPr>
            </w:pPr>
            <w:r w:rsidRPr="00364545">
              <w:rPr>
                <w:sz w:val="16"/>
              </w:rPr>
              <w:t>73,44</w:t>
            </w:r>
          </w:p>
        </w:tc>
      </w:tr>
      <w:tr w:rsidR="00B56301" w:rsidRPr="00364545" w14:paraId="74D1DC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F0D8EF" w14:textId="615CE844"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26BF0C56" w14:textId="77777777" w:rsidR="00B56301" w:rsidRPr="00364545" w:rsidRDefault="00B56301" w:rsidP="00B37B65">
            <w:pPr>
              <w:jc w:val="right"/>
              <w:rPr>
                <w:rFonts w:asciiTheme="minorHAnsi" w:hAnsiTheme="minorHAnsi"/>
                <w:sz w:val="16"/>
                <w:szCs w:val="14"/>
              </w:rPr>
            </w:pPr>
            <w:r w:rsidRPr="00364545">
              <w:rPr>
                <w:sz w:val="16"/>
              </w:rPr>
              <w:t>1,43</w:t>
            </w:r>
          </w:p>
        </w:tc>
        <w:tc>
          <w:tcPr>
            <w:tcW w:w="991" w:type="dxa"/>
            <w:tcBorders>
              <w:top w:val="nil"/>
              <w:left w:val="nil"/>
              <w:bottom w:val="single" w:sz="4" w:space="0" w:color="auto"/>
              <w:right w:val="single" w:sz="4" w:space="0" w:color="auto"/>
            </w:tcBorders>
            <w:shd w:val="clear" w:color="000000" w:fill="FFFFFF"/>
            <w:noWrap/>
            <w:vAlign w:val="bottom"/>
            <w:hideMark/>
          </w:tcPr>
          <w:p w14:paraId="0A490BF9" w14:textId="77777777" w:rsidR="00B56301" w:rsidRPr="00364545" w:rsidRDefault="00B56301" w:rsidP="00B37B65">
            <w:pPr>
              <w:jc w:val="right"/>
              <w:rPr>
                <w:rFonts w:asciiTheme="minorHAnsi" w:hAnsiTheme="minorHAnsi"/>
                <w:sz w:val="16"/>
                <w:szCs w:val="14"/>
              </w:rPr>
            </w:pPr>
            <w:r w:rsidRPr="00364545">
              <w:rPr>
                <w:sz w:val="16"/>
              </w:rPr>
              <w:t>1,26</w:t>
            </w:r>
          </w:p>
        </w:tc>
        <w:tc>
          <w:tcPr>
            <w:tcW w:w="991" w:type="dxa"/>
            <w:tcBorders>
              <w:top w:val="nil"/>
              <w:left w:val="nil"/>
              <w:bottom w:val="single" w:sz="4" w:space="0" w:color="auto"/>
              <w:right w:val="single" w:sz="4" w:space="0" w:color="auto"/>
            </w:tcBorders>
            <w:shd w:val="clear" w:color="000000" w:fill="FFFFFF"/>
            <w:noWrap/>
            <w:vAlign w:val="bottom"/>
            <w:hideMark/>
          </w:tcPr>
          <w:p w14:paraId="2F5D02EF" w14:textId="77777777" w:rsidR="00B56301" w:rsidRPr="00364545" w:rsidRDefault="00B56301" w:rsidP="00B37B65">
            <w:pPr>
              <w:jc w:val="right"/>
              <w:rPr>
                <w:rFonts w:asciiTheme="minorHAnsi" w:hAnsiTheme="minorHAnsi"/>
                <w:sz w:val="16"/>
                <w:szCs w:val="14"/>
              </w:rPr>
            </w:pPr>
            <w:r w:rsidRPr="00364545">
              <w:rPr>
                <w:sz w:val="16"/>
              </w:rPr>
              <w:t>1,42</w:t>
            </w:r>
          </w:p>
        </w:tc>
        <w:tc>
          <w:tcPr>
            <w:tcW w:w="991" w:type="dxa"/>
            <w:tcBorders>
              <w:top w:val="nil"/>
              <w:left w:val="nil"/>
              <w:bottom w:val="single" w:sz="4" w:space="0" w:color="auto"/>
              <w:right w:val="single" w:sz="4" w:space="0" w:color="auto"/>
            </w:tcBorders>
            <w:shd w:val="clear" w:color="000000" w:fill="FFFFFF"/>
            <w:noWrap/>
            <w:vAlign w:val="bottom"/>
            <w:hideMark/>
          </w:tcPr>
          <w:p w14:paraId="1E465C80" w14:textId="77777777" w:rsidR="00B56301" w:rsidRPr="00364545" w:rsidRDefault="00B56301" w:rsidP="00B37B65">
            <w:pPr>
              <w:jc w:val="right"/>
              <w:rPr>
                <w:rFonts w:asciiTheme="minorHAnsi" w:hAnsiTheme="minorHAnsi"/>
                <w:sz w:val="16"/>
                <w:szCs w:val="14"/>
              </w:rPr>
            </w:pPr>
            <w:r w:rsidRPr="00364545">
              <w:rPr>
                <w:sz w:val="16"/>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0C574D88" w14:textId="77777777" w:rsidR="00B56301" w:rsidRPr="00364545" w:rsidRDefault="00B56301" w:rsidP="00B37B65">
            <w:pPr>
              <w:jc w:val="right"/>
              <w:rPr>
                <w:rFonts w:asciiTheme="minorHAnsi" w:hAnsiTheme="minorHAnsi"/>
                <w:sz w:val="16"/>
                <w:szCs w:val="14"/>
              </w:rPr>
            </w:pPr>
            <w:r w:rsidRPr="00364545">
              <w:rPr>
                <w:sz w:val="16"/>
              </w:rPr>
              <w:t>1,43</w:t>
            </w:r>
          </w:p>
        </w:tc>
        <w:tc>
          <w:tcPr>
            <w:tcW w:w="991" w:type="dxa"/>
            <w:tcBorders>
              <w:top w:val="nil"/>
              <w:left w:val="nil"/>
              <w:bottom w:val="single" w:sz="4" w:space="0" w:color="auto"/>
              <w:right w:val="single" w:sz="4" w:space="0" w:color="auto"/>
            </w:tcBorders>
            <w:shd w:val="clear" w:color="000000" w:fill="FFFFFF"/>
            <w:noWrap/>
            <w:vAlign w:val="bottom"/>
            <w:hideMark/>
          </w:tcPr>
          <w:p w14:paraId="0C460246" w14:textId="77777777" w:rsidR="00B56301" w:rsidRPr="00364545" w:rsidRDefault="00B56301" w:rsidP="00B37B65">
            <w:pPr>
              <w:jc w:val="right"/>
              <w:rPr>
                <w:rFonts w:asciiTheme="minorHAnsi" w:hAnsiTheme="minorHAnsi"/>
                <w:sz w:val="16"/>
                <w:szCs w:val="14"/>
              </w:rPr>
            </w:pPr>
            <w:r w:rsidRPr="00364545">
              <w:rPr>
                <w:sz w:val="16"/>
              </w:rPr>
              <w:t>1,35</w:t>
            </w:r>
          </w:p>
        </w:tc>
      </w:tr>
      <w:tr w:rsidR="00B56301" w:rsidRPr="00364545" w14:paraId="58DBFEA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113044" w14:textId="44477156"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587581BC" w14:textId="77777777" w:rsidR="00B56301" w:rsidRPr="00364545" w:rsidRDefault="00B56301" w:rsidP="00B37B65">
            <w:pPr>
              <w:jc w:val="right"/>
              <w:rPr>
                <w:rFonts w:asciiTheme="minorHAnsi" w:hAnsiTheme="minorHAnsi"/>
                <w:sz w:val="16"/>
                <w:szCs w:val="14"/>
              </w:rPr>
            </w:pPr>
            <w:r w:rsidRPr="00364545">
              <w:rPr>
                <w:sz w:val="16"/>
              </w:rPr>
              <w:t>4,16</w:t>
            </w:r>
          </w:p>
        </w:tc>
        <w:tc>
          <w:tcPr>
            <w:tcW w:w="991" w:type="dxa"/>
            <w:tcBorders>
              <w:top w:val="nil"/>
              <w:left w:val="nil"/>
              <w:bottom w:val="single" w:sz="4" w:space="0" w:color="auto"/>
              <w:right w:val="single" w:sz="4" w:space="0" w:color="auto"/>
            </w:tcBorders>
            <w:shd w:val="clear" w:color="000000" w:fill="FFFFFF"/>
            <w:noWrap/>
            <w:vAlign w:val="bottom"/>
            <w:hideMark/>
          </w:tcPr>
          <w:p w14:paraId="2EFEEBC1" w14:textId="77777777" w:rsidR="00B56301" w:rsidRPr="00364545" w:rsidRDefault="00B56301" w:rsidP="00B37B65">
            <w:pPr>
              <w:jc w:val="right"/>
              <w:rPr>
                <w:rFonts w:asciiTheme="minorHAnsi" w:hAnsiTheme="minorHAnsi"/>
                <w:sz w:val="16"/>
                <w:szCs w:val="14"/>
              </w:rPr>
            </w:pPr>
            <w:r w:rsidRPr="00364545">
              <w:rPr>
                <w:sz w:val="16"/>
              </w:rPr>
              <w:t>4,22</w:t>
            </w:r>
          </w:p>
        </w:tc>
        <w:tc>
          <w:tcPr>
            <w:tcW w:w="991" w:type="dxa"/>
            <w:tcBorders>
              <w:top w:val="nil"/>
              <w:left w:val="nil"/>
              <w:bottom w:val="single" w:sz="4" w:space="0" w:color="auto"/>
              <w:right w:val="single" w:sz="4" w:space="0" w:color="auto"/>
            </w:tcBorders>
            <w:shd w:val="clear" w:color="000000" w:fill="FFFFFF"/>
            <w:noWrap/>
            <w:vAlign w:val="bottom"/>
            <w:hideMark/>
          </w:tcPr>
          <w:p w14:paraId="04A71885" w14:textId="77777777" w:rsidR="00B56301" w:rsidRPr="00364545" w:rsidRDefault="00B56301" w:rsidP="00B37B65">
            <w:pPr>
              <w:jc w:val="right"/>
              <w:rPr>
                <w:rFonts w:asciiTheme="minorHAnsi" w:hAnsiTheme="minorHAnsi"/>
                <w:sz w:val="16"/>
                <w:szCs w:val="14"/>
              </w:rPr>
            </w:pPr>
            <w:r w:rsidRPr="00364545">
              <w:rPr>
                <w:sz w:val="16"/>
              </w:rPr>
              <w:t>4,02</w:t>
            </w:r>
          </w:p>
        </w:tc>
        <w:tc>
          <w:tcPr>
            <w:tcW w:w="991" w:type="dxa"/>
            <w:tcBorders>
              <w:top w:val="nil"/>
              <w:left w:val="nil"/>
              <w:bottom w:val="single" w:sz="4" w:space="0" w:color="auto"/>
              <w:right w:val="single" w:sz="4" w:space="0" w:color="auto"/>
            </w:tcBorders>
            <w:shd w:val="clear" w:color="000000" w:fill="FFFFFF"/>
            <w:noWrap/>
            <w:vAlign w:val="bottom"/>
            <w:hideMark/>
          </w:tcPr>
          <w:p w14:paraId="19644BC9" w14:textId="77777777" w:rsidR="00B56301" w:rsidRPr="00364545" w:rsidRDefault="00B56301" w:rsidP="00B37B65">
            <w:pPr>
              <w:jc w:val="right"/>
              <w:rPr>
                <w:rFonts w:asciiTheme="minorHAnsi" w:hAnsiTheme="minorHAnsi"/>
                <w:sz w:val="16"/>
                <w:szCs w:val="14"/>
              </w:rPr>
            </w:pPr>
            <w:r w:rsidRPr="00364545">
              <w:rPr>
                <w:sz w:val="16"/>
              </w:rPr>
              <w:t>4,68</w:t>
            </w:r>
          </w:p>
        </w:tc>
        <w:tc>
          <w:tcPr>
            <w:tcW w:w="991" w:type="dxa"/>
            <w:tcBorders>
              <w:top w:val="nil"/>
              <w:left w:val="nil"/>
              <w:bottom w:val="single" w:sz="4" w:space="0" w:color="auto"/>
              <w:right w:val="single" w:sz="4" w:space="0" w:color="auto"/>
            </w:tcBorders>
            <w:shd w:val="clear" w:color="000000" w:fill="FFFFFF"/>
            <w:noWrap/>
            <w:vAlign w:val="bottom"/>
            <w:hideMark/>
          </w:tcPr>
          <w:p w14:paraId="37BC0A9A" w14:textId="77777777" w:rsidR="00B56301" w:rsidRPr="00364545" w:rsidRDefault="00B56301" w:rsidP="00B37B65">
            <w:pPr>
              <w:jc w:val="right"/>
              <w:rPr>
                <w:rFonts w:asciiTheme="minorHAnsi" w:hAnsiTheme="minorHAnsi"/>
                <w:sz w:val="16"/>
                <w:szCs w:val="14"/>
              </w:rPr>
            </w:pPr>
            <w:r w:rsidRPr="00364545">
              <w:rPr>
                <w:sz w:val="16"/>
              </w:rPr>
              <w:t>3,78</w:t>
            </w:r>
          </w:p>
        </w:tc>
        <w:tc>
          <w:tcPr>
            <w:tcW w:w="991" w:type="dxa"/>
            <w:tcBorders>
              <w:top w:val="nil"/>
              <w:left w:val="nil"/>
              <w:bottom w:val="single" w:sz="4" w:space="0" w:color="auto"/>
              <w:right w:val="single" w:sz="4" w:space="0" w:color="auto"/>
            </w:tcBorders>
            <w:shd w:val="clear" w:color="000000" w:fill="FFFFFF"/>
            <w:noWrap/>
            <w:vAlign w:val="bottom"/>
            <w:hideMark/>
          </w:tcPr>
          <w:p w14:paraId="43EF92B5" w14:textId="77777777" w:rsidR="00B56301" w:rsidRPr="00364545" w:rsidRDefault="00B56301" w:rsidP="00B37B65">
            <w:pPr>
              <w:jc w:val="right"/>
              <w:rPr>
                <w:rFonts w:asciiTheme="minorHAnsi" w:hAnsiTheme="minorHAnsi"/>
                <w:sz w:val="16"/>
                <w:szCs w:val="14"/>
              </w:rPr>
            </w:pPr>
            <w:r w:rsidRPr="00364545">
              <w:rPr>
                <w:sz w:val="16"/>
              </w:rPr>
              <w:t>3,79</w:t>
            </w:r>
          </w:p>
        </w:tc>
      </w:tr>
      <w:tr w:rsidR="00B56301" w:rsidRPr="00364545" w14:paraId="5356085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AC4F86E" w14:textId="03D3DB05"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3. 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417B4A6F" w14:textId="77777777" w:rsidR="00B56301" w:rsidRPr="00364545" w:rsidRDefault="00B56301" w:rsidP="00B37B65">
            <w:pPr>
              <w:jc w:val="right"/>
              <w:rPr>
                <w:rFonts w:asciiTheme="minorHAnsi" w:hAnsiTheme="minorHAnsi"/>
                <w:sz w:val="16"/>
                <w:szCs w:val="14"/>
              </w:rPr>
            </w:pPr>
            <w:r w:rsidRPr="00364545">
              <w:rPr>
                <w:sz w:val="16"/>
              </w:rPr>
              <w:t>12,95</w:t>
            </w:r>
          </w:p>
        </w:tc>
        <w:tc>
          <w:tcPr>
            <w:tcW w:w="991" w:type="dxa"/>
            <w:tcBorders>
              <w:top w:val="nil"/>
              <w:left w:val="nil"/>
              <w:bottom w:val="single" w:sz="4" w:space="0" w:color="auto"/>
              <w:right w:val="single" w:sz="4" w:space="0" w:color="auto"/>
            </w:tcBorders>
            <w:shd w:val="clear" w:color="000000" w:fill="FFFFFF"/>
            <w:noWrap/>
            <w:vAlign w:val="bottom"/>
            <w:hideMark/>
          </w:tcPr>
          <w:p w14:paraId="31E36030" w14:textId="77777777" w:rsidR="00B56301" w:rsidRPr="00364545" w:rsidRDefault="00B56301" w:rsidP="00B37B65">
            <w:pPr>
              <w:jc w:val="right"/>
              <w:rPr>
                <w:rFonts w:asciiTheme="minorHAnsi" w:hAnsiTheme="minorHAnsi"/>
                <w:sz w:val="16"/>
                <w:szCs w:val="14"/>
              </w:rPr>
            </w:pPr>
            <w:r w:rsidRPr="00364545">
              <w:rPr>
                <w:sz w:val="16"/>
              </w:rPr>
              <w:t>11,22</w:t>
            </w:r>
          </w:p>
        </w:tc>
        <w:tc>
          <w:tcPr>
            <w:tcW w:w="991" w:type="dxa"/>
            <w:tcBorders>
              <w:top w:val="nil"/>
              <w:left w:val="nil"/>
              <w:bottom w:val="single" w:sz="4" w:space="0" w:color="auto"/>
              <w:right w:val="single" w:sz="4" w:space="0" w:color="auto"/>
            </w:tcBorders>
            <w:shd w:val="clear" w:color="000000" w:fill="FFFFFF"/>
            <w:noWrap/>
            <w:vAlign w:val="bottom"/>
            <w:hideMark/>
          </w:tcPr>
          <w:p w14:paraId="7AEDDF6F" w14:textId="77777777" w:rsidR="00B56301" w:rsidRPr="00364545" w:rsidRDefault="00B56301" w:rsidP="00B37B65">
            <w:pPr>
              <w:jc w:val="right"/>
              <w:rPr>
                <w:rFonts w:asciiTheme="minorHAnsi" w:hAnsiTheme="minorHAnsi"/>
                <w:sz w:val="16"/>
                <w:szCs w:val="14"/>
              </w:rPr>
            </w:pPr>
            <w:r w:rsidRPr="00364545">
              <w:rPr>
                <w:sz w:val="16"/>
              </w:rPr>
              <w:t>10,18</w:t>
            </w:r>
          </w:p>
        </w:tc>
        <w:tc>
          <w:tcPr>
            <w:tcW w:w="991" w:type="dxa"/>
            <w:tcBorders>
              <w:top w:val="nil"/>
              <w:left w:val="nil"/>
              <w:bottom w:val="single" w:sz="4" w:space="0" w:color="auto"/>
              <w:right w:val="single" w:sz="4" w:space="0" w:color="auto"/>
            </w:tcBorders>
            <w:shd w:val="clear" w:color="000000" w:fill="FFFFFF"/>
            <w:noWrap/>
            <w:vAlign w:val="bottom"/>
            <w:hideMark/>
          </w:tcPr>
          <w:p w14:paraId="12A1A8E7" w14:textId="77777777" w:rsidR="00B56301" w:rsidRPr="00364545" w:rsidRDefault="00B56301" w:rsidP="00B37B65">
            <w:pPr>
              <w:jc w:val="right"/>
              <w:rPr>
                <w:rFonts w:asciiTheme="minorHAnsi" w:hAnsiTheme="minorHAnsi"/>
                <w:sz w:val="16"/>
                <w:szCs w:val="14"/>
              </w:rPr>
            </w:pPr>
            <w:r w:rsidRPr="00364545">
              <w:rPr>
                <w:sz w:val="16"/>
              </w:rPr>
              <w:t>9,29</w:t>
            </w:r>
          </w:p>
        </w:tc>
        <w:tc>
          <w:tcPr>
            <w:tcW w:w="991" w:type="dxa"/>
            <w:tcBorders>
              <w:top w:val="nil"/>
              <w:left w:val="nil"/>
              <w:bottom w:val="single" w:sz="4" w:space="0" w:color="auto"/>
              <w:right w:val="single" w:sz="4" w:space="0" w:color="auto"/>
            </w:tcBorders>
            <w:shd w:val="clear" w:color="000000" w:fill="FFFFFF"/>
            <w:noWrap/>
            <w:vAlign w:val="bottom"/>
            <w:hideMark/>
          </w:tcPr>
          <w:p w14:paraId="5ED957E5" w14:textId="77777777" w:rsidR="00B56301" w:rsidRPr="00364545" w:rsidRDefault="00B56301" w:rsidP="00B37B65">
            <w:pPr>
              <w:jc w:val="right"/>
              <w:rPr>
                <w:rFonts w:asciiTheme="minorHAnsi" w:hAnsiTheme="minorHAnsi"/>
                <w:sz w:val="16"/>
                <w:szCs w:val="14"/>
              </w:rPr>
            </w:pPr>
            <w:r w:rsidRPr="00364545">
              <w:rPr>
                <w:sz w:val="16"/>
              </w:rPr>
              <w:t>8,53</w:t>
            </w:r>
          </w:p>
        </w:tc>
        <w:tc>
          <w:tcPr>
            <w:tcW w:w="991" w:type="dxa"/>
            <w:tcBorders>
              <w:top w:val="nil"/>
              <w:left w:val="nil"/>
              <w:bottom w:val="single" w:sz="4" w:space="0" w:color="auto"/>
              <w:right w:val="single" w:sz="4" w:space="0" w:color="auto"/>
            </w:tcBorders>
            <w:shd w:val="clear" w:color="000000" w:fill="FFFFFF"/>
            <w:noWrap/>
            <w:vAlign w:val="bottom"/>
            <w:hideMark/>
          </w:tcPr>
          <w:p w14:paraId="530DCBF3" w14:textId="77777777" w:rsidR="00B56301" w:rsidRPr="00364545" w:rsidRDefault="00B56301" w:rsidP="00B37B65">
            <w:pPr>
              <w:jc w:val="right"/>
              <w:rPr>
                <w:rFonts w:asciiTheme="minorHAnsi" w:hAnsiTheme="minorHAnsi"/>
                <w:sz w:val="16"/>
                <w:szCs w:val="14"/>
              </w:rPr>
            </w:pPr>
            <w:r w:rsidRPr="00364545">
              <w:rPr>
                <w:sz w:val="16"/>
              </w:rPr>
              <w:t>7,88</w:t>
            </w:r>
          </w:p>
        </w:tc>
      </w:tr>
      <w:tr w:rsidR="00B56301" w:rsidRPr="00364545" w14:paraId="4A98E02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8B9E85" w14:textId="7185FC12"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4. 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554D19C6" w14:textId="77777777" w:rsidR="00B56301" w:rsidRPr="00364545" w:rsidRDefault="00B56301" w:rsidP="00B37B65">
            <w:pPr>
              <w:jc w:val="right"/>
              <w:rPr>
                <w:rFonts w:asciiTheme="minorHAnsi" w:hAnsiTheme="minorHAnsi"/>
                <w:sz w:val="16"/>
                <w:szCs w:val="14"/>
              </w:rPr>
            </w:pPr>
            <w:r w:rsidRPr="00364545">
              <w:rPr>
                <w:sz w:val="16"/>
              </w:rPr>
              <w:t>75,07</w:t>
            </w:r>
          </w:p>
        </w:tc>
        <w:tc>
          <w:tcPr>
            <w:tcW w:w="991" w:type="dxa"/>
            <w:tcBorders>
              <w:top w:val="nil"/>
              <w:left w:val="nil"/>
              <w:bottom w:val="single" w:sz="4" w:space="0" w:color="auto"/>
              <w:right w:val="single" w:sz="4" w:space="0" w:color="auto"/>
            </w:tcBorders>
            <w:shd w:val="clear" w:color="000000" w:fill="FFFFFF"/>
            <w:noWrap/>
            <w:vAlign w:val="bottom"/>
            <w:hideMark/>
          </w:tcPr>
          <w:p w14:paraId="09E2A962" w14:textId="77777777" w:rsidR="00B56301" w:rsidRPr="00364545" w:rsidRDefault="00B56301" w:rsidP="00B37B65">
            <w:pPr>
              <w:jc w:val="right"/>
              <w:rPr>
                <w:rFonts w:asciiTheme="minorHAnsi" w:hAnsiTheme="minorHAnsi"/>
                <w:sz w:val="16"/>
                <w:szCs w:val="14"/>
              </w:rPr>
            </w:pPr>
            <w:r w:rsidRPr="00364545">
              <w:rPr>
                <w:sz w:val="16"/>
              </w:rPr>
              <w:t>73,94</w:t>
            </w:r>
          </w:p>
        </w:tc>
        <w:tc>
          <w:tcPr>
            <w:tcW w:w="991" w:type="dxa"/>
            <w:tcBorders>
              <w:top w:val="nil"/>
              <w:left w:val="nil"/>
              <w:bottom w:val="single" w:sz="4" w:space="0" w:color="auto"/>
              <w:right w:val="single" w:sz="4" w:space="0" w:color="auto"/>
            </w:tcBorders>
            <w:shd w:val="clear" w:color="000000" w:fill="FFFFFF"/>
            <w:noWrap/>
            <w:vAlign w:val="bottom"/>
            <w:hideMark/>
          </w:tcPr>
          <w:p w14:paraId="5788D005" w14:textId="77777777" w:rsidR="00B56301" w:rsidRPr="00364545" w:rsidRDefault="00B56301" w:rsidP="00B37B65">
            <w:pPr>
              <w:jc w:val="right"/>
              <w:rPr>
                <w:rFonts w:asciiTheme="minorHAnsi" w:hAnsiTheme="minorHAnsi"/>
                <w:sz w:val="16"/>
                <w:szCs w:val="14"/>
              </w:rPr>
            </w:pPr>
            <w:r w:rsidRPr="00364545">
              <w:rPr>
                <w:sz w:val="16"/>
              </w:rPr>
              <w:t>69,48</w:t>
            </w:r>
          </w:p>
        </w:tc>
        <w:tc>
          <w:tcPr>
            <w:tcW w:w="991" w:type="dxa"/>
            <w:tcBorders>
              <w:top w:val="nil"/>
              <w:left w:val="nil"/>
              <w:bottom w:val="single" w:sz="4" w:space="0" w:color="auto"/>
              <w:right w:val="single" w:sz="4" w:space="0" w:color="auto"/>
            </w:tcBorders>
            <w:shd w:val="clear" w:color="000000" w:fill="FFFFFF"/>
            <w:noWrap/>
            <w:vAlign w:val="bottom"/>
            <w:hideMark/>
          </w:tcPr>
          <w:p w14:paraId="36A12B3B" w14:textId="77777777" w:rsidR="00B56301" w:rsidRPr="00364545" w:rsidRDefault="00B56301" w:rsidP="00B37B65">
            <w:pPr>
              <w:jc w:val="right"/>
              <w:rPr>
                <w:rFonts w:asciiTheme="minorHAnsi" w:hAnsiTheme="minorHAnsi"/>
                <w:sz w:val="16"/>
                <w:szCs w:val="14"/>
              </w:rPr>
            </w:pPr>
            <w:r w:rsidRPr="00364545">
              <w:rPr>
                <w:sz w:val="16"/>
              </w:rPr>
              <w:t>71,14</w:t>
            </w:r>
          </w:p>
        </w:tc>
        <w:tc>
          <w:tcPr>
            <w:tcW w:w="991" w:type="dxa"/>
            <w:tcBorders>
              <w:top w:val="nil"/>
              <w:left w:val="nil"/>
              <w:bottom w:val="single" w:sz="4" w:space="0" w:color="auto"/>
              <w:right w:val="single" w:sz="4" w:space="0" w:color="auto"/>
            </w:tcBorders>
            <w:shd w:val="clear" w:color="000000" w:fill="FFFFFF"/>
            <w:noWrap/>
            <w:vAlign w:val="bottom"/>
            <w:hideMark/>
          </w:tcPr>
          <w:p w14:paraId="600440FC" w14:textId="77777777" w:rsidR="00B56301" w:rsidRPr="00364545" w:rsidRDefault="00B56301" w:rsidP="00B37B65">
            <w:pPr>
              <w:jc w:val="right"/>
              <w:rPr>
                <w:rFonts w:asciiTheme="minorHAnsi" w:hAnsiTheme="minorHAnsi"/>
                <w:sz w:val="16"/>
                <w:szCs w:val="14"/>
              </w:rPr>
            </w:pPr>
            <w:r w:rsidRPr="00364545">
              <w:rPr>
                <w:sz w:val="16"/>
              </w:rPr>
              <w:t>54,72</w:t>
            </w:r>
          </w:p>
        </w:tc>
        <w:tc>
          <w:tcPr>
            <w:tcW w:w="991" w:type="dxa"/>
            <w:tcBorders>
              <w:top w:val="nil"/>
              <w:left w:val="nil"/>
              <w:bottom w:val="single" w:sz="4" w:space="0" w:color="auto"/>
              <w:right w:val="single" w:sz="4" w:space="0" w:color="auto"/>
            </w:tcBorders>
            <w:shd w:val="clear" w:color="000000" w:fill="FFFFFF"/>
            <w:noWrap/>
            <w:vAlign w:val="bottom"/>
            <w:hideMark/>
          </w:tcPr>
          <w:p w14:paraId="1E3DF97D" w14:textId="77777777" w:rsidR="00B56301" w:rsidRPr="00364545" w:rsidRDefault="00B56301" w:rsidP="00B37B65">
            <w:pPr>
              <w:jc w:val="right"/>
              <w:rPr>
                <w:rFonts w:asciiTheme="minorHAnsi" w:hAnsiTheme="minorHAnsi"/>
                <w:sz w:val="16"/>
                <w:szCs w:val="14"/>
              </w:rPr>
            </w:pPr>
            <w:r w:rsidRPr="00364545">
              <w:rPr>
                <w:sz w:val="16"/>
              </w:rPr>
              <w:t>60,30</w:t>
            </w:r>
          </w:p>
        </w:tc>
      </w:tr>
      <w:tr w:rsidR="00B56301" w:rsidRPr="00364545" w14:paraId="4D3FBC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DB939A" w14:textId="3C2433A7"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5. Other</w:t>
            </w:r>
          </w:p>
        </w:tc>
        <w:tc>
          <w:tcPr>
            <w:tcW w:w="991" w:type="dxa"/>
            <w:tcBorders>
              <w:top w:val="nil"/>
              <w:left w:val="nil"/>
              <w:bottom w:val="single" w:sz="4" w:space="0" w:color="auto"/>
              <w:right w:val="single" w:sz="4" w:space="0" w:color="auto"/>
            </w:tcBorders>
            <w:shd w:val="clear" w:color="000000" w:fill="FFFFFF"/>
            <w:noWrap/>
            <w:vAlign w:val="bottom"/>
            <w:hideMark/>
          </w:tcPr>
          <w:p w14:paraId="33BA6292" w14:textId="77777777" w:rsidR="00B56301" w:rsidRPr="00364545" w:rsidRDefault="00B56301" w:rsidP="00B37B65">
            <w:pPr>
              <w:jc w:val="right"/>
              <w:rPr>
                <w:rFonts w:asciiTheme="minorHAnsi" w:hAnsiTheme="minorHAnsi"/>
                <w:sz w:val="16"/>
                <w:szCs w:val="14"/>
              </w:rPr>
            </w:pPr>
            <w:r w:rsidRPr="00364545">
              <w:rPr>
                <w:sz w:val="16"/>
              </w:rPr>
              <w:t>0,15</w:t>
            </w:r>
          </w:p>
        </w:tc>
        <w:tc>
          <w:tcPr>
            <w:tcW w:w="991" w:type="dxa"/>
            <w:tcBorders>
              <w:top w:val="nil"/>
              <w:left w:val="nil"/>
              <w:bottom w:val="single" w:sz="4" w:space="0" w:color="auto"/>
              <w:right w:val="single" w:sz="4" w:space="0" w:color="auto"/>
            </w:tcBorders>
            <w:shd w:val="clear" w:color="000000" w:fill="FFFFFF"/>
            <w:noWrap/>
            <w:vAlign w:val="bottom"/>
            <w:hideMark/>
          </w:tcPr>
          <w:p w14:paraId="10645CE6" w14:textId="77777777" w:rsidR="00B56301" w:rsidRPr="00364545" w:rsidRDefault="00B56301" w:rsidP="00B37B65">
            <w:pPr>
              <w:jc w:val="right"/>
              <w:rPr>
                <w:rFonts w:asciiTheme="minorHAnsi" w:hAnsiTheme="minorHAnsi"/>
                <w:sz w:val="16"/>
                <w:szCs w:val="14"/>
              </w:rPr>
            </w:pPr>
            <w:r w:rsidRPr="00364545">
              <w:rPr>
                <w:sz w:val="16"/>
              </w:rPr>
              <w:t>0,15</w:t>
            </w:r>
          </w:p>
        </w:tc>
        <w:tc>
          <w:tcPr>
            <w:tcW w:w="991" w:type="dxa"/>
            <w:tcBorders>
              <w:top w:val="nil"/>
              <w:left w:val="nil"/>
              <w:bottom w:val="single" w:sz="4" w:space="0" w:color="auto"/>
              <w:right w:val="single" w:sz="4" w:space="0" w:color="auto"/>
            </w:tcBorders>
            <w:shd w:val="clear" w:color="000000" w:fill="FFFFFF"/>
            <w:noWrap/>
            <w:vAlign w:val="bottom"/>
            <w:hideMark/>
          </w:tcPr>
          <w:p w14:paraId="754C9F92" w14:textId="77777777" w:rsidR="00B56301" w:rsidRPr="00364545" w:rsidRDefault="00B56301" w:rsidP="00B37B65">
            <w:pPr>
              <w:jc w:val="right"/>
              <w:rPr>
                <w:rFonts w:asciiTheme="minorHAnsi" w:hAnsiTheme="minorHAnsi"/>
                <w:sz w:val="16"/>
                <w:szCs w:val="14"/>
              </w:rPr>
            </w:pPr>
            <w:r w:rsidRPr="00364545">
              <w:rPr>
                <w:sz w:val="16"/>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179290D6" w14:textId="77777777" w:rsidR="00B56301" w:rsidRPr="00364545" w:rsidRDefault="00B56301" w:rsidP="00B37B65">
            <w:pPr>
              <w:jc w:val="right"/>
              <w:rPr>
                <w:rFonts w:asciiTheme="minorHAnsi" w:hAnsiTheme="minorHAnsi"/>
                <w:sz w:val="16"/>
                <w:szCs w:val="14"/>
              </w:rPr>
            </w:pPr>
            <w:r w:rsidRPr="00364545">
              <w:rPr>
                <w:sz w:val="16"/>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6CCB31B0" w14:textId="77777777" w:rsidR="00B56301" w:rsidRPr="00364545" w:rsidRDefault="00B56301" w:rsidP="00B37B65">
            <w:pPr>
              <w:jc w:val="right"/>
              <w:rPr>
                <w:rFonts w:asciiTheme="minorHAnsi" w:hAnsiTheme="minorHAnsi"/>
                <w:sz w:val="16"/>
                <w:szCs w:val="14"/>
              </w:rPr>
            </w:pPr>
            <w:r w:rsidRPr="00364545">
              <w:rPr>
                <w:sz w:val="16"/>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4A3E25DF" w14:textId="77777777" w:rsidR="00B56301" w:rsidRPr="00364545" w:rsidRDefault="00B56301" w:rsidP="00B37B65">
            <w:pPr>
              <w:jc w:val="right"/>
              <w:rPr>
                <w:rFonts w:asciiTheme="minorHAnsi" w:hAnsiTheme="minorHAnsi"/>
                <w:sz w:val="16"/>
                <w:szCs w:val="14"/>
              </w:rPr>
            </w:pPr>
            <w:r w:rsidRPr="00364545">
              <w:rPr>
                <w:sz w:val="16"/>
              </w:rPr>
              <w:t>0,12</w:t>
            </w:r>
          </w:p>
        </w:tc>
      </w:tr>
      <w:tr w:rsidR="00B56301" w:rsidRPr="00364545" w14:paraId="434527D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12D327D"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5DF6AD6A" w14:textId="77777777" w:rsidR="00B56301" w:rsidRPr="00364545" w:rsidRDefault="00B56301" w:rsidP="00B37B65">
            <w:pPr>
              <w:jc w:val="right"/>
              <w:rPr>
                <w:rFonts w:asciiTheme="minorHAnsi" w:hAnsiTheme="minorHAnsi"/>
                <w:sz w:val="16"/>
                <w:szCs w:val="14"/>
              </w:rPr>
            </w:pPr>
            <w:r w:rsidRPr="00364545">
              <w:rPr>
                <w:sz w:val="16"/>
              </w:rPr>
              <w:t>59,07</w:t>
            </w:r>
          </w:p>
        </w:tc>
        <w:tc>
          <w:tcPr>
            <w:tcW w:w="991" w:type="dxa"/>
            <w:tcBorders>
              <w:top w:val="nil"/>
              <w:left w:val="nil"/>
              <w:bottom w:val="single" w:sz="4" w:space="0" w:color="auto"/>
              <w:right w:val="single" w:sz="4" w:space="0" w:color="auto"/>
            </w:tcBorders>
            <w:shd w:val="clear" w:color="000000" w:fill="CCFFFF"/>
            <w:noWrap/>
            <w:vAlign w:val="bottom"/>
            <w:hideMark/>
          </w:tcPr>
          <w:p w14:paraId="5B67AAB3" w14:textId="77777777" w:rsidR="00B56301" w:rsidRPr="00364545" w:rsidRDefault="00B56301" w:rsidP="00B37B65">
            <w:pPr>
              <w:jc w:val="right"/>
              <w:rPr>
                <w:rFonts w:asciiTheme="minorHAnsi" w:hAnsiTheme="minorHAnsi"/>
                <w:sz w:val="16"/>
                <w:szCs w:val="14"/>
              </w:rPr>
            </w:pPr>
            <w:r w:rsidRPr="00364545">
              <w:rPr>
                <w:sz w:val="16"/>
              </w:rPr>
              <w:t>58,95</w:t>
            </w:r>
          </w:p>
        </w:tc>
        <w:tc>
          <w:tcPr>
            <w:tcW w:w="991" w:type="dxa"/>
            <w:tcBorders>
              <w:top w:val="nil"/>
              <w:left w:val="nil"/>
              <w:bottom w:val="single" w:sz="4" w:space="0" w:color="auto"/>
              <w:right w:val="single" w:sz="4" w:space="0" w:color="auto"/>
            </w:tcBorders>
            <w:shd w:val="clear" w:color="000000" w:fill="CCFFFF"/>
            <w:noWrap/>
            <w:vAlign w:val="bottom"/>
            <w:hideMark/>
          </w:tcPr>
          <w:p w14:paraId="330C8426" w14:textId="77777777" w:rsidR="00B56301" w:rsidRPr="00364545" w:rsidRDefault="00B56301" w:rsidP="00B37B65">
            <w:pPr>
              <w:jc w:val="right"/>
              <w:rPr>
                <w:rFonts w:asciiTheme="minorHAnsi" w:hAnsiTheme="minorHAnsi"/>
                <w:sz w:val="16"/>
                <w:szCs w:val="14"/>
              </w:rPr>
            </w:pPr>
            <w:r w:rsidRPr="00364545">
              <w:rPr>
                <w:sz w:val="16"/>
              </w:rPr>
              <w:t>58,69</w:t>
            </w:r>
          </w:p>
        </w:tc>
        <w:tc>
          <w:tcPr>
            <w:tcW w:w="991" w:type="dxa"/>
            <w:tcBorders>
              <w:top w:val="nil"/>
              <w:left w:val="nil"/>
              <w:bottom w:val="single" w:sz="4" w:space="0" w:color="auto"/>
              <w:right w:val="single" w:sz="4" w:space="0" w:color="auto"/>
            </w:tcBorders>
            <w:shd w:val="clear" w:color="000000" w:fill="CCFFFF"/>
            <w:noWrap/>
            <w:vAlign w:val="bottom"/>
            <w:hideMark/>
          </w:tcPr>
          <w:p w14:paraId="02366799" w14:textId="77777777" w:rsidR="00B56301" w:rsidRPr="00364545" w:rsidRDefault="00B56301" w:rsidP="00B37B65">
            <w:pPr>
              <w:jc w:val="right"/>
              <w:rPr>
                <w:rFonts w:asciiTheme="minorHAnsi" w:hAnsiTheme="minorHAnsi"/>
                <w:sz w:val="16"/>
                <w:szCs w:val="14"/>
              </w:rPr>
            </w:pPr>
            <w:r w:rsidRPr="00364545">
              <w:rPr>
                <w:sz w:val="16"/>
              </w:rPr>
              <w:t>61,43</w:t>
            </w:r>
          </w:p>
        </w:tc>
        <w:tc>
          <w:tcPr>
            <w:tcW w:w="991" w:type="dxa"/>
            <w:tcBorders>
              <w:top w:val="nil"/>
              <w:left w:val="nil"/>
              <w:bottom w:val="single" w:sz="4" w:space="0" w:color="auto"/>
              <w:right w:val="single" w:sz="4" w:space="0" w:color="auto"/>
            </w:tcBorders>
            <w:shd w:val="clear" w:color="000000" w:fill="CCFFFF"/>
            <w:noWrap/>
            <w:vAlign w:val="bottom"/>
            <w:hideMark/>
          </w:tcPr>
          <w:p w14:paraId="7C30F820" w14:textId="77777777" w:rsidR="00B56301" w:rsidRPr="00364545" w:rsidRDefault="00B56301" w:rsidP="00B37B65">
            <w:pPr>
              <w:jc w:val="right"/>
              <w:rPr>
                <w:rFonts w:asciiTheme="minorHAnsi" w:hAnsiTheme="minorHAnsi"/>
                <w:sz w:val="16"/>
                <w:szCs w:val="14"/>
              </w:rPr>
            </w:pPr>
            <w:r w:rsidRPr="00364545">
              <w:rPr>
                <w:sz w:val="16"/>
              </w:rPr>
              <w:t>58,43</w:t>
            </w:r>
          </w:p>
        </w:tc>
        <w:tc>
          <w:tcPr>
            <w:tcW w:w="991" w:type="dxa"/>
            <w:tcBorders>
              <w:top w:val="nil"/>
              <w:left w:val="nil"/>
              <w:bottom w:val="single" w:sz="4" w:space="0" w:color="auto"/>
              <w:right w:val="single" w:sz="4" w:space="0" w:color="auto"/>
            </w:tcBorders>
            <w:shd w:val="clear" w:color="000000" w:fill="CCFFFF"/>
            <w:noWrap/>
            <w:vAlign w:val="bottom"/>
            <w:hideMark/>
          </w:tcPr>
          <w:p w14:paraId="7DABCF85" w14:textId="77777777" w:rsidR="00B56301" w:rsidRPr="00364545" w:rsidRDefault="00B56301" w:rsidP="00B37B65">
            <w:pPr>
              <w:jc w:val="right"/>
              <w:rPr>
                <w:rFonts w:asciiTheme="minorHAnsi" w:hAnsiTheme="minorHAnsi"/>
                <w:sz w:val="16"/>
                <w:szCs w:val="14"/>
              </w:rPr>
            </w:pPr>
            <w:r w:rsidRPr="00364545">
              <w:rPr>
                <w:sz w:val="16"/>
              </w:rPr>
              <w:t>57,08</w:t>
            </w:r>
          </w:p>
        </w:tc>
      </w:tr>
      <w:tr w:rsidR="00B56301" w:rsidRPr="00364545" w14:paraId="2335FC6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F153233" w14:textId="53DE63E9"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7B33ADFC" w14:textId="77777777" w:rsidR="00B56301" w:rsidRPr="00364545" w:rsidRDefault="00B56301" w:rsidP="00B37B65">
            <w:pPr>
              <w:jc w:val="right"/>
              <w:rPr>
                <w:rFonts w:asciiTheme="minorHAnsi" w:hAnsiTheme="minorHAnsi"/>
                <w:sz w:val="16"/>
                <w:szCs w:val="14"/>
              </w:rPr>
            </w:pPr>
            <w:r w:rsidRPr="00364545">
              <w:rPr>
                <w:sz w:val="16"/>
              </w:rPr>
              <w:t>2,18</w:t>
            </w:r>
          </w:p>
        </w:tc>
        <w:tc>
          <w:tcPr>
            <w:tcW w:w="991" w:type="dxa"/>
            <w:tcBorders>
              <w:top w:val="nil"/>
              <w:left w:val="nil"/>
              <w:bottom w:val="single" w:sz="4" w:space="0" w:color="auto"/>
              <w:right w:val="single" w:sz="4" w:space="0" w:color="auto"/>
            </w:tcBorders>
            <w:shd w:val="clear" w:color="000000" w:fill="FFFFFF"/>
            <w:noWrap/>
            <w:vAlign w:val="bottom"/>
            <w:hideMark/>
          </w:tcPr>
          <w:p w14:paraId="08A68620" w14:textId="77777777" w:rsidR="00B56301" w:rsidRPr="00364545" w:rsidRDefault="00B56301" w:rsidP="00B37B65">
            <w:pPr>
              <w:jc w:val="right"/>
              <w:rPr>
                <w:rFonts w:asciiTheme="minorHAnsi" w:hAnsiTheme="minorHAnsi"/>
                <w:sz w:val="16"/>
                <w:szCs w:val="14"/>
              </w:rPr>
            </w:pPr>
            <w:r w:rsidRPr="00364545">
              <w:rPr>
                <w:sz w:val="16"/>
              </w:rPr>
              <w:t>2,02</w:t>
            </w:r>
          </w:p>
        </w:tc>
        <w:tc>
          <w:tcPr>
            <w:tcW w:w="991" w:type="dxa"/>
            <w:tcBorders>
              <w:top w:val="nil"/>
              <w:left w:val="nil"/>
              <w:bottom w:val="single" w:sz="4" w:space="0" w:color="auto"/>
              <w:right w:val="single" w:sz="4" w:space="0" w:color="auto"/>
            </w:tcBorders>
            <w:shd w:val="clear" w:color="000000" w:fill="FFFFFF"/>
            <w:noWrap/>
            <w:vAlign w:val="bottom"/>
            <w:hideMark/>
          </w:tcPr>
          <w:p w14:paraId="77742A8D" w14:textId="77777777" w:rsidR="00B56301" w:rsidRPr="00364545" w:rsidRDefault="00B56301" w:rsidP="00B37B65">
            <w:pPr>
              <w:jc w:val="right"/>
              <w:rPr>
                <w:rFonts w:asciiTheme="minorHAnsi" w:hAnsiTheme="minorHAnsi"/>
                <w:sz w:val="16"/>
                <w:szCs w:val="14"/>
              </w:rPr>
            </w:pPr>
            <w:r w:rsidRPr="00364545">
              <w:rPr>
                <w:sz w:val="16"/>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3E915484" w14:textId="77777777" w:rsidR="00B56301" w:rsidRPr="00364545" w:rsidRDefault="00B56301" w:rsidP="00B37B65">
            <w:pPr>
              <w:jc w:val="right"/>
              <w:rPr>
                <w:rFonts w:asciiTheme="minorHAnsi" w:hAnsiTheme="minorHAnsi"/>
                <w:sz w:val="16"/>
                <w:szCs w:val="14"/>
              </w:rPr>
            </w:pPr>
            <w:r w:rsidRPr="00364545">
              <w:rPr>
                <w:sz w:val="16"/>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68641801" w14:textId="77777777" w:rsidR="00B56301" w:rsidRPr="00364545" w:rsidRDefault="00B56301" w:rsidP="00B37B65">
            <w:pPr>
              <w:jc w:val="right"/>
              <w:rPr>
                <w:rFonts w:asciiTheme="minorHAnsi" w:hAnsiTheme="minorHAnsi"/>
                <w:sz w:val="16"/>
                <w:szCs w:val="14"/>
              </w:rPr>
            </w:pPr>
            <w:r w:rsidRPr="00364545">
              <w:rPr>
                <w:sz w:val="16"/>
              </w:rPr>
              <w:t>1,29</w:t>
            </w:r>
          </w:p>
        </w:tc>
        <w:tc>
          <w:tcPr>
            <w:tcW w:w="991" w:type="dxa"/>
            <w:tcBorders>
              <w:top w:val="nil"/>
              <w:left w:val="nil"/>
              <w:bottom w:val="single" w:sz="4" w:space="0" w:color="auto"/>
              <w:right w:val="single" w:sz="4" w:space="0" w:color="auto"/>
            </w:tcBorders>
            <w:shd w:val="clear" w:color="000000" w:fill="FFFFFF"/>
            <w:noWrap/>
            <w:vAlign w:val="bottom"/>
            <w:hideMark/>
          </w:tcPr>
          <w:p w14:paraId="62F9C636" w14:textId="77777777" w:rsidR="00B56301" w:rsidRPr="00364545" w:rsidRDefault="00B56301" w:rsidP="00B37B65">
            <w:pPr>
              <w:jc w:val="right"/>
              <w:rPr>
                <w:rFonts w:asciiTheme="minorHAnsi" w:hAnsiTheme="minorHAnsi"/>
                <w:sz w:val="16"/>
                <w:szCs w:val="14"/>
              </w:rPr>
            </w:pPr>
            <w:r w:rsidRPr="00364545">
              <w:rPr>
                <w:sz w:val="16"/>
              </w:rPr>
              <w:t>0,64</w:t>
            </w:r>
          </w:p>
        </w:tc>
      </w:tr>
      <w:tr w:rsidR="00B56301" w:rsidRPr="00364545" w14:paraId="1E3682F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91FEB41" w14:textId="15ABBE1C"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08910A89" w14:textId="77777777" w:rsidR="00B56301" w:rsidRPr="00364545" w:rsidRDefault="00B56301" w:rsidP="00B37B65">
            <w:pPr>
              <w:jc w:val="right"/>
              <w:rPr>
                <w:rFonts w:asciiTheme="minorHAnsi" w:hAnsiTheme="minorHAnsi"/>
                <w:sz w:val="16"/>
                <w:szCs w:val="14"/>
              </w:rPr>
            </w:pPr>
            <w:r w:rsidRPr="00364545">
              <w:rPr>
                <w:sz w:val="16"/>
              </w:rPr>
              <w:t>56,89</w:t>
            </w:r>
          </w:p>
        </w:tc>
        <w:tc>
          <w:tcPr>
            <w:tcW w:w="991" w:type="dxa"/>
            <w:tcBorders>
              <w:top w:val="nil"/>
              <w:left w:val="nil"/>
              <w:bottom w:val="single" w:sz="4" w:space="0" w:color="auto"/>
              <w:right w:val="single" w:sz="4" w:space="0" w:color="auto"/>
            </w:tcBorders>
            <w:shd w:val="clear" w:color="000000" w:fill="FFFFFF"/>
            <w:noWrap/>
            <w:vAlign w:val="bottom"/>
            <w:hideMark/>
          </w:tcPr>
          <w:p w14:paraId="3F4DEF27" w14:textId="77777777" w:rsidR="00B56301" w:rsidRPr="00364545" w:rsidRDefault="00B56301" w:rsidP="00B37B65">
            <w:pPr>
              <w:jc w:val="right"/>
              <w:rPr>
                <w:rFonts w:asciiTheme="minorHAnsi" w:hAnsiTheme="minorHAnsi"/>
                <w:sz w:val="16"/>
                <w:szCs w:val="14"/>
              </w:rPr>
            </w:pPr>
            <w:r w:rsidRPr="00364545">
              <w:rPr>
                <w:sz w:val="16"/>
              </w:rPr>
              <w:t>56,93</w:t>
            </w:r>
          </w:p>
        </w:tc>
        <w:tc>
          <w:tcPr>
            <w:tcW w:w="991" w:type="dxa"/>
            <w:tcBorders>
              <w:top w:val="nil"/>
              <w:left w:val="nil"/>
              <w:bottom w:val="single" w:sz="4" w:space="0" w:color="auto"/>
              <w:right w:val="single" w:sz="4" w:space="0" w:color="auto"/>
            </w:tcBorders>
            <w:shd w:val="clear" w:color="000000" w:fill="FFFFFF"/>
            <w:noWrap/>
            <w:vAlign w:val="bottom"/>
            <w:hideMark/>
          </w:tcPr>
          <w:p w14:paraId="2BDC8CA7" w14:textId="77777777" w:rsidR="00B56301" w:rsidRPr="00364545" w:rsidRDefault="00B56301" w:rsidP="00B37B65">
            <w:pPr>
              <w:jc w:val="right"/>
              <w:rPr>
                <w:rFonts w:asciiTheme="minorHAnsi" w:hAnsiTheme="minorHAnsi"/>
                <w:sz w:val="16"/>
                <w:szCs w:val="14"/>
              </w:rPr>
            </w:pPr>
            <w:r w:rsidRPr="00364545">
              <w:rPr>
                <w:sz w:val="16"/>
              </w:rPr>
              <w:t>56,60</w:t>
            </w:r>
          </w:p>
        </w:tc>
        <w:tc>
          <w:tcPr>
            <w:tcW w:w="991" w:type="dxa"/>
            <w:tcBorders>
              <w:top w:val="nil"/>
              <w:left w:val="nil"/>
              <w:bottom w:val="single" w:sz="4" w:space="0" w:color="auto"/>
              <w:right w:val="single" w:sz="4" w:space="0" w:color="auto"/>
            </w:tcBorders>
            <w:shd w:val="clear" w:color="000000" w:fill="FFFFFF"/>
            <w:noWrap/>
            <w:vAlign w:val="bottom"/>
            <w:hideMark/>
          </w:tcPr>
          <w:p w14:paraId="470CA235" w14:textId="77777777" w:rsidR="00B56301" w:rsidRPr="00364545" w:rsidRDefault="00B56301" w:rsidP="00B37B65">
            <w:pPr>
              <w:jc w:val="right"/>
              <w:rPr>
                <w:rFonts w:asciiTheme="minorHAnsi" w:hAnsiTheme="minorHAnsi"/>
                <w:sz w:val="16"/>
                <w:szCs w:val="14"/>
              </w:rPr>
            </w:pPr>
            <w:r w:rsidRPr="00364545">
              <w:rPr>
                <w:sz w:val="16"/>
              </w:rPr>
              <w:t>59,33</w:t>
            </w:r>
          </w:p>
        </w:tc>
        <w:tc>
          <w:tcPr>
            <w:tcW w:w="991" w:type="dxa"/>
            <w:tcBorders>
              <w:top w:val="nil"/>
              <w:left w:val="nil"/>
              <w:bottom w:val="single" w:sz="4" w:space="0" w:color="auto"/>
              <w:right w:val="single" w:sz="4" w:space="0" w:color="auto"/>
            </w:tcBorders>
            <w:shd w:val="clear" w:color="000000" w:fill="FFFFFF"/>
            <w:noWrap/>
            <w:vAlign w:val="bottom"/>
            <w:hideMark/>
          </w:tcPr>
          <w:p w14:paraId="4AB7A64B" w14:textId="77777777" w:rsidR="00B56301" w:rsidRPr="00364545" w:rsidRDefault="00B56301" w:rsidP="00B37B65">
            <w:pPr>
              <w:jc w:val="right"/>
              <w:rPr>
                <w:rFonts w:asciiTheme="minorHAnsi" w:hAnsiTheme="minorHAnsi"/>
                <w:sz w:val="16"/>
                <w:szCs w:val="14"/>
              </w:rPr>
            </w:pPr>
            <w:r w:rsidRPr="00364545">
              <w:rPr>
                <w:sz w:val="16"/>
              </w:rPr>
              <w:t>57,14</w:t>
            </w:r>
          </w:p>
        </w:tc>
        <w:tc>
          <w:tcPr>
            <w:tcW w:w="991" w:type="dxa"/>
            <w:tcBorders>
              <w:top w:val="nil"/>
              <w:left w:val="nil"/>
              <w:bottom w:val="single" w:sz="4" w:space="0" w:color="auto"/>
              <w:right w:val="single" w:sz="4" w:space="0" w:color="auto"/>
            </w:tcBorders>
            <w:shd w:val="clear" w:color="000000" w:fill="FFFFFF"/>
            <w:noWrap/>
            <w:vAlign w:val="bottom"/>
            <w:hideMark/>
          </w:tcPr>
          <w:p w14:paraId="02735953" w14:textId="77777777" w:rsidR="00B56301" w:rsidRPr="00364545" w:rsidRDefault="00B56301" w:rsidP="00B37B65">
            <w:pPr>
              <w:jc w:val="right"/>
              <w:rPr>
                <w:rFonts w:asciiTheme="minorHAnsi" w:hAnsiTheme="minorHAnsi"/>
                <w:sz w:val="16"/>
                <w:szCs w:val="14"/>
              </w:rPr>
            </w:pPr>
            <w:r w:rsidRPr="00364545">
              <w:rPr>
                <w:sz w:val="16"/>
              </w:rPr>
              <w:t>56,44</w:t>
            </w:r>
          </w:p>
        </w:tc>
      </w:tr>
      <w:tr w:rsidR="00B56301" w:rsidRPr="00364545" w14:paraId="1276417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4B3851" w14:textId="32E3649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5CBC4C32"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C4130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1AA68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721D6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DE7B92"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6374C49"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58511FC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DBB68B8" w14:textId="78A8F130"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2. 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79AD54E6" w14:textId="77777777" w:rsidR="00B56301" w:rsidRPr="00364545" w:rsidRDefault="00B56301" w:rsidP="00B37B65">
            <w:pPr>
              <w:jc w:val="right"/>
              <w:rPr>
                <w:rFonts w:asciiTheme="minorHAnsi" w:hAnsiTheme="minorHAnsi"/>
                <w:sz w:val="16"/>
                <w:szCs w:val="14"/>
              </w:rPr>
            </w:pPr>
            <w:r w:rsidRPr="00364545">
              <w:rPr>
                <w:sz w:val="16"/>
              </w:rPr>
              <w:t>8,13</w:t>
            </w:r>
          </w:p>
        </w:tc>
        <w:tc>
          <w:tcPr>
            <w:tcW w:w="991" w:type="dxa"/>
            <w:tcBorders>
              <w:top w:val="nil"/>
              <w:left w:val="nil"/>
              <w:bottom w:val="single" w:sz="4" w:space="0" w:color="auto"/>
              <w:right w:val="single" w:sz="4" w:space="0" w:color="auto"/>
            </w:tcBorders>
            <w:shd w:val="clear" w:color="000000" w:fill="CCFFFF"/>
            <w:noWrap/>
            <w:vAlign w:val="bottom"/>
            <w:hideMark/>
          </w:tcPr>
          <w:p w14:paraId="099EF7A4" w14:textId="77777777" w:rsidR="00B56301" w:rsidRPr="00364545" w:rsidRDefault="00B56301" w:rsidP="00B37B65">
            <w:pPr>
              <w:jc w:val="right"/>
              <w:rPr>
                <w:rFonts w:asciiTheme="minorHAnsi" w:hAnsiTheme="minorHAnsi"/>
                <w:sz w:val="16"/>
                <w:szCs w:val="14"/>
              </w:rPr>
            </w:pPr>
            <w:r w:rsidRPr="00364545">
              <w:rPr>
                <w:sz w:val="16"/>
              </w:rPr>
              <w:t>6,25</w:t>
            </w:r>
          </w:p>
        </w:tc>
        <w:tc>
          <w:tcPr>
            <w:tcW w:w="991" w:type="dxa"/>
            <w:tcBorders>
              <w:top w:val="nil"/>
              <w:left w:val="nil"/>
              <w:bottom w:val="single" w:sz="4" w:space="0" w:color="auto"/>
              <w:right w:val="single" w:sz="4" w:space="0" w:color="auto"/>
            </w:tcBorders>
            <w:shd w:val="clear" w:color="000000" w:fill="CCFFFF"/>
            <w:noWrap/>
            <w:vAlign w:val="bottom"/>
            <w:hideMark/>
          </w:tcPr>
          <w:p w14:paraId="328EFA43" w14:textId="77777777" w:rsidR="00B56301" w:rsidRPr="00364545" w:rsidRDefault="00B56301" w:rsidP="00B37B65">
            <w:pPr>
              <w:jc w:val="right"/>
              <w:rPr>
                <w:rFonts w:asciiTheme="minorHAnsi" w:hAnsiTheme="minorHAnsi"/>
                <w:sz w:val="16"/>
                <w:szCs w:val="14"/>
              </w:rPr>
            </w:pPr>
            <w:r w:rsidRPr="00364545">
              <w:rPr>
                <w:sz w:val="16"/>
              </w:rPr>
              <w:t>4,08</w:t>
            </w:r>
          </w:p>
        </w:tc>
        <w:tc>
          <w:tcPr>
            <w:tcW w:w="991" w:type="dxa"/>
            <w:tcBorders>
              <w:top w:val="nil"/>
              <w:left w:val="nil"/>
              <w:bottom w:val="single" w:sz="4" w:space="0" w:color="auto"/>
              <w:right w:val="single" w:sz="4" w:space="0" w:color="auto"/>
            </w:tcBorders>
            <w:shd w:val="clear" w:color="000000" w:fill="CCFFFF"/>
            <w:noWrap/>
            <w:vAlign w:val="bottom"/>
            <w:hideMark/>
          </w:tcPr>
          <w:p w14:paraId="3223B235" w14:textId="77777777" w:rsidR="00B56301" w:rsidRPr="00364545" w:rsidRDefault="00B56301" w:rsidP="00B37B65">
            <w:pPr>
              <w:jc w:val="right"/>
              <w:rPr>
                <w:rFonts w:asciiTheme="minorHAnsi" w:hAnsiTheme="minorHAnsi"/>
                <w:sz w:val="16"/>
                <w:szCs w:val="14"/>
              </w:rPr>
            </w:pPr>
            <w:r w:rsidRPr="00364545">
              <w:rPr>
                <w:sz w:val="16"/>
              </w:rPr>
              <w:t>5,88</w:t>
            </w:r>
          </w:p>
        </w:tc>
        <w:tc>
          <w:tcPr>
            <w:tcW w:w="991" w:type="dxa"/>
            <w:tcBorders>
              <w:top w:val="nil"/>
              <w:left w:val="nil"/>
              <w:bottom w:val="single" w:sz="4" w:space="0" w:color="auto"/>
              <w:right w:val="single" w:sz="4" w:space="0" w:color="auto"/>
            </w:tcBorders>
            <w:shd w:val="clear" w:color="000000" w:fill="CCFFFF"/>
            <w:noWrap/>
            <w:vAlign w:val="bottom"/>
            <w:hideMark/>
          </w:tcPr>
          <w:p w14:paraId="1E787B3D" w14:textId="77777777" w:rsidR="00B56301" w:rsidRPr="00364545" w:rsidRDefault="00B56301" w:rsidP="00B37B65">
            <w:pPr>
              <w:jc w:val="right"/>
              <w:rPr>
                <w:rFonts w:asciiTheme="minorHAnsi" w:hAnsiTheme="minorHAnsi"/>
                <w:sz w:val="16"/>
                <w:szCs w:val="14"/>
              </w:rPr>
            </w:pPr>
            <w:r w:rsidRPr="00364545">
              <w:rPr>
                <w:sz w:val="16"/>
              </w:rPr>
              <w:t>5,03</w:t>
            </w:r>
          </w:p>
        </w:tc>
        <w:tc>
          <w:tcPr>
            <w:tcW w:w="991" w:type="dxa"/>
            <w:tcBorders>
              <w:top w:val="nil"/>
              <w:left w:val="nil"/>
              <w:bottom w:val="single" w:sz="4" w:space="0" w:color="auto"/>
              <w:right w:val="single" w:sz="4" w:space="0" w:color="auto"/>
            </w:tcBorders>
            <w:shd w:val="clear" w:color="000000" w:fill="CCFFFF"/>
            <w:noWrap/>
            <w:vAlign w:val="bottom"/>
            <w:hideMark/>
          </w:tcPr>
          <w:p w14:paraId="0F1CA0CA" w14:textId="77777777" w:rsidR="00B56301" w:rsidRPr="00364545" w:rsidRDefault="00B56301" w:rsidP="00B37B65">
            <w:pPr>
              <w:jc w:val="right"/>
              <w:rPr>
                <w:rFonts w:asciiTheme="minorHAnsi" w:hAnsiTheme="minorHAnsi"/>
                <w:sz w:val="16"/>
                <w:szCs w:val="14"/>
              </w:rPr>
            </w:pPr>
            <w:r w:rsidRPr="00364545">
              <w:rPr>
                <w:sz w:val="16"/>
              </w:rPr>
              <w:t>4,05</w:t>
            </w:r>
          </w:p>
        </w:tc>
      </w:tr>
      <w:tr w:rsidR="00B56301" w:rsidRPr="00364545" w14:paraId="6FE67C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3BF5B2" w14:textId="0439C76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064D8B8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EF6A8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6D7844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F9941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B243F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E54074"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21B56E2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31FDB9" w14:textId="37A3BC1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0DF9DEA" w14:textId="77777777" w:rsidR="00B56301" w:rsidRPr="00364545" w:rsidRDefault="00B56301" w:rsidP="00B37B65">
            <w:pPr>
              <w:jc w:val="right"/>
              <w:rPr>
                <w:rFonts w:asciiTheme="minorHAnsi" w:hAnsiTheme="minorHAnsi"/>
                <w:sz w:val="16"/>
                <w:szCs w:val="14"/>
              </w:rPr>
            </w:pPr>
            <w:r w:rsidRPr="00364545">
              <w:rPr>
                <w:sz w:val="16"/>
              </w:rPr>
              <w:t>3,34</w:t>
            </w:r>
          </w:p>
        </w:tc>
        <w:tc>
          <w:tcPr>
            <w:tcW w:w="991" w:type="dxa"/>
            <w:tcBorders>
              <w:top w:val="nil"/>
              <w:left w:val="nil"/>
              <w:bottom w:val="single" w:sz="4" w:space="0" w:color="auto"/>
              <w:right w:val="single" w:sz="4" w:space="0" w:color="auto"/>
            </w:tcBorders>
            <w:shd w:val="clear" w:color="000000" w:fill="FFFFFF"/>
            <w:noWrap/>
            <w:vAlign w:val="bottom"/>
            <w:hideMark/>
          </w:tcPr>
          <w:p w14:paraId="0DB9EFA7" w14:textId="77777777" w:rsidR="00B56301" w:rsidRPr="00364545" w:rsidRDefault="00B56301" w:rsidP="00B37B65">
            <w:pPr>
              <w:jc w:val="right"/>
              <w:rPr>
                <w:rFonts w:asciiTheme="minorHAnsi" w:hAnsiTheme="minorHAnsi"/>
                <w:sz w:val="16"/>
                <w:szCs w:val="14"/>
              </w:rPr>
            </w:pPr>
            <w:r w:rsidRPr="00364545">
              <w:rPr>
                <w:sz w:val="16"/>
              </w:rPr>
              <w:t>2,94</w:t>
            </w:r>
          </w:p>
        </w:tc>
        <w:tc>
          <w:tcPr>
            <w:tcW w:w="991" w:type="dxa"/>
            <w:tcBorders>
              <w:top w:val="nil"/>
              <w:left w:val="nil"/>
              <w:bottom w:val="single" w:sz="4" w:space="0" w:color="auto"/>
              <w:right w:val="single" w:sz="4" w:space="0" w:color="auto"/>
            </w:tcBorders>
            <w:shd w:val="clear" w:color="000000" w:fill="FFFFFF"/>
            <w:noWrap/>
            <w:vAlign w:val="bottom"/>
            <w:hideMark/>
          </w:tcPr>
          <w:p w14:paraId="312BA4BF" w14:textId="77777777" w:rsidR="00B56301" w:rsidRPr="00364545" w:rsidRDefault="00B56301" w:rsidP="00B37B65">
            <w:pPr>
              <w:jc w:val="right"/>
              <w:rPr>
                <w:rFonts w:asciiTheme="minorHAnsi" w:hAnsiTheme="minorHAnsi"/>
                <w:sz w:val="16"/>
                <w:szCs w:val="14"/>
              </w:rPr>
            </w:pPr>
            <w:r w:rsidRPr="00364545">
              <w:rPr>
                <w:sz w:val="16"/>
              </w:rPr>
              <w:t>2,60</w:t>
            </w:r>
          </w:p>
        </w:tc>
        <w:tc>
          <w:tcPr>
            <w:tcW w:w="991" w:type="dxa"/>
            <w:tcBorders>
              <w:top w:val="nil"/>
              <w:left w:val="nil"/>
              <w:bottom w:val="single" w:sz="4" w:space="0" w:color="auto"/>
              <w:right w:val="single" w:sz="4" w:space="0" w:color="auto"/>
            </w:tcBorders>
            <w:shd w:val="clear" w:color="000000" w:fill="FFFFFF"/>
            <w:noWrap/>
            <w:vAlign w:val="bottom"/>
            <w:hideMark/>
          </w:tcPr>
          <w:p w14:paraId="725C0D5F" w14:textId="77777777" w:rsidR="00B56301" w:rsidRPr="00364545" w:rsidRDefault="00B56301" w:rsidP="00B37B65">
            <w:pPr>
              <w:jc w:val="right"/>
              <w:rPr>
                <w:rFonts w:asciiTheme="minorHAnsi" w:hAnsiTheme="minorHAnsi"/>
                <w:sz w:val="16"/>
                <w:szCs w:val="14"/>
              </w:rPr>
            </w:pPr>
            <w:r w:rsidRPr="00364545">
              <w:rPr>
                <w:sz w:val="16"/>
              </w:rPr>
              <w:t>3,17</w:t>
            </w:r>
          </w:p>
        </w:tc>
        <w:tc>
          <w:tcPr>
            <w:tcW w:w="991" w:type="dxa"/>
            <w:tcBorders>
              <w:top w:val="nil"/>
              <w:left w:val="nil"/>
              <w:bottom w:val="single" w:sz="4" w:space="0" w:color="auto"/>
              <w:right w:val="single" w:sz="4" w:space="0" w:color="auto"/>
            </w:tcBorders>
            <w:shd w:val="clear" w:color="000000" w:fill="FFFFFF"/>
            <w:noWrap/>
            <w:vAlign w:val="bottom"/>
            <w:hideMark/>
          </w:tcPr>
          <w:p w14:paraId="5079FB7C" w14:textId="77777777" w:rsidR="00B56301" w:rsidRPr="00364545" w:rsidRDefault="00B56301" w:rsidP="00B37B65">
            <w:pPr>
              <w:jc w:val="right"/>
              <w:rPr>
                <w:rFonts w:asciiTheme="minorHAnsi" w:hAnsiTheme="minorHAnsi"/>
                <w:sz w:val="16"/>
                <w:szCs w:val="14"/>
              </w:rPr>
            </w:pPr>
            <w:r w:rsidRPr="00364545">
              <w:rPr>
                <w:sz w:val="16"/>
              </w:rPr>
              <w:t>2,06</w:t>
            </w:r>
          </w:p>
        </w:tc>
        <w:tc>
          <w:tcPr>
            <w:tcW w:w="991" w:type="dxa"/>
            <w:tcBorders>
              <w:top w:val="nil"/>
              <w:left w:val="nil"/>
              <w:bottom w:val="single" w:sz="4" w:space="0" w:color="auto"/>
              <w:right w:val="single" w:sz="4" w:space="0" w:color="auto"/>
            </w:tcBorders>
            <w:shd w:val="clear" w:color="000000" w:fill="FFFFFF"/>
            <w:noWrap/>
            <w:vAlign w:val="bottom"/>
            <w:hideMark/>
          </w:tcPr>
          <w:p w14:paraId="72B19531" w14:textId="77777777" w:rsidR="00B56301" w:rsidRPr="00364545" w:rsidRDefault="00B56301" w:rsidP="00B37B65">
            <w:pPr>
              <w:jc w:val="right"/>
              <w:rPr>
                <w:rFonts w:asciiTheme="minorHAnsi" w:hAnsiTheme="minorHAnsi"/>
                <w:sz w:val="16"/>
                <w:szCs w:val="14"/>
              </w:rPr>
            </w:pPr>
            <w:r w:rsidRPr="00364545">
              <w:rPr>
                <w:sz w:val="16"/>
              </w:rPr>
              <w:t>1,74</w:t>
            </w:r>
          </w:p>
        </w:tc>
      </w:tr>
      <w:tr w:rsidR="00B56301" w:rsidRPr="00364545" w14:paraId="391EE74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84F1FF0" w14:textId="1F74B4D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1E891142" w14:textId="77777777" w:rsidR="00B56301" w:rsidRPr="00364545" w:rsidRDefault="00B56301" w:rsidP="00B37B65">
            <w:pPr>
              <w:jc w:val="right"/>
              <w:rPr>
                <w:rFonts w:asciiTheme="minorHAnsi" w:hAnsiTheme="minorHAnsi"/>
                <w:sz w:val="16"/>
                <w:szCs w:val="14"/>
              </w:rPr>
            </w:pPr>
            <w:r w:rsidRPr="00364545">
              <w:rPr>
                <w:sz w:val="16"/>
              </w:rPr>
              <w:t>4,76</w:t>
            </w:r>
          </w:p>
        </w:tc>
        <w:tc>
          <w:tcPr>
            <w:tcW w:w="991" w:type="dxa"/>
            <w:tcBorders>
              <w:top w:val="nil"/>
              <w:left w:val="nil"/>
              <w:bottom w:val="single" w:sz="4" w:space="0" w:color="auto"/>
              <w:right w:val="single" w:sz="4" w:space="0" w:color="auto"/>
            </w:tcBorders>
            <w:shd w:val="clear" w:color="000000" w:fill="FFFFFF"/>
            <w:noWrap/>
            <w:vAlign w:val="bottom"/>
            <w:hideMark/>
          </w:tcPr>
          <w:p w14:paraId="0B67C701" w14:textId="77777777" w:rsidR="00B56301" w:rsidRPr="00364545" w:rsidRDefault="00B56301" w:rsidP="00B37B65">
            <w:pPr>
              <w:jc w:val="right"/>
              <w:rPr>
                <w:rFonts w:asciiTheme="minorHAnsi" w:hAnsiTheme="minorHAnsi"/>
                <w:sz w:val="16"/>
                <w:szCs w:val="14"/>
              </w:rPr>
            </w:pPr>
            <w:r w:rsidRPr="00364545">
              <w:rPr>
                <w:sz w:val="16"/>
              </w:rPr>
              <w:t>3,30</w:t>
            </w:r>
          </w:p>
        </w:tc>
        <w:tc>
          <w:tcPr>
            <w:tcW w:w="991" w:type="dxa"/>
            <w:tcBorders>
              <w:top w:val="nil"/>
              <w:left w:val="nil"/>
              <w:bottom w:val="single" w:sz="4" w:space="0" w:color="auto"/>
              <w:right w:val="single" w:sz="4" w:space="0" w:color="auto"/>
            </w:tcBorders>
            <w:shd w:val="clear" w:color="000000" w:fill="FFFFFF"/>
            <w:noWrap/>
            <w:vAlign w:val="bottom"/>
            <w:hideMark/>
          </w:tcPr>
          <w:p w14:paraId="274A236B" w14:textId="77777777" w:rsidR="00B56301" w:rsidRPr="00364545" w:rsidRDefault="00B56301" w:rsidP="00B37B65">
            <w:pPr>
              <w:jc w:val="right"/>
              <w:rPr>
                <w:rFonts w:asciiTheme="minorHAnsi" w:hAnsiTheme="minorHAnsi"/>
                <w:sz w:val="16"/>
                <w:szCs w:val="14"/>
              </w:rPr>
            </w:pPr>
            <w:r w:rsidRPr="00364545">
              <w:rPr>
                <w:sz w:val="16"/>
              </w:rPr>
              <w:t>1,46</w:t>
            </w:r>
          </w:p>
        </w:tc>
        <w:tc>
          <w:tcPr>
            <w:tcW w:w="991" w:type="dxa"/>
            <w:tcBorders>
              <w:top w:val="nil"/>
              <w:left w:val="nil"/>
              <w:bottom w:val="single" w:sz="4" w:space="0" w:color="auto"/>
              <w:right w:val="single" w:sz="4" w:space="0" w:color="auto"/>
            </w:tcBorders>
            <w:shd w:val="clear" w:color="000000" w:fill="FFFFFF"/>
            <w:noWrap/>
            <w:vAlign w:val="bottom"/>
            <w:hideMark/>
          </w:tcPr>
          <w:p w14:paraId="623D803C" w14:textId="77777777" w:rsidR="00B56301" w:rsidRPr="00364545" w:rsidRDefault="00B56301" w:rsidP="00B37B65">
            <w:pPr>
              <w:jc w:val="right"/>
              <w:rPr>
                <w:rFonts w:asciiTheme="minorHAnsi" w:hAnsiTheme="minorHAnsi"/>
                <w:sz w:val="16"/>
                <w:szCs w:val="14"/>
              </w:rPr>
            </w:pPr>
            <w:r w:rsidRPr="00364545">
              <w:rPr>
                <w:sz w:val="16"/>
              </w:rPr>
              <w:t>2,69</w:t>
            </w:r>
          </w:p>
        </w:tc>
        <w:tc>
          <w:tcPr>
            <w:tcW w:w="991" w:type="dxa"/>
            <w:tcBorders>
              <w:top w:val="nil"/>
              <w:left w:val="nil"/>
              <w:bottom w:val="single" w:sz="4" w:space="0" w:color="auto"/>
              <w:right w:val="single" w:sz="4" w:space="0" w:color="auto"/>
            </w:tcBorders>
            <w:shd w:val="clear" w:color="000000" w:fill="FFFFFF"/>
            <w:noWrap/>
            <w:vAlign w:val="bottom"/>
            <w:hideMark/>
          </w:tcPr>
          <w:p w14:paraId="6C6D58C2" w14:textId="77777777" w:rsidR="00B56301" w:rsidRPr="00364545" w:rsidRDefault="00B56301" w:rsidP="00B37B65">
            <w:pPr>
              <w:jc w:val="right"/>
              <w:rPr>
                <w:rFonts w:asciiTheme="minorHAnsi" w:hAnsiTheme="minorHAnsi"/>
                <w:sz w:val="16"/>
                <w:szCs w:val="14"/>
              </w:rPr>
            </w:pPr>
            <w:r w:rsidRPr="00364545">
              <w:rPr>
                <w:sz w:val="16"/>
              </w:rPr>
              <w:t>2,96</w:t>
            </w:r>
          </w:p>
        </w:tc>
        <w:tc>
          <w:tcPr>
            <w:tcW w:w="991" w:type="dxa"/>
            <w:tcBorders>
              <w:top w:val="nil"/>
              <w:left w:val="nil"/>
              <w:bottom w:val="single" w:sz="4" w:space="0" w:color="auto"/>
              <w:right w:val="single" w:sz="4" w:space="0" w:color="auto"/>
            </w:tcBorders>
            <w:shd w:val="clear" w:color="000000" w:fill="FFFFFF"/>
            <w:noWrap/>
            <w:vAlign w:val="bottom"/>
            <w:hideMark/>
          </w:tcPr>
          <w:p w14:paraId="39F2F7F3" w14:textId="77777777" w:rsidR="00B56301" w:rsidRPr="00364545" w:rsidRDefault="00B56301" w:rsidP="00B37B65">
            <w:pPr>
              <w:jc w:val="right"/>
              <w:rPr>
                <w:rFonts w:asciiTheme="minorHAnsi" w:hAnsiTheme="minorHAnsi"/>
                <w:sz w:val="16"/>
                <w:szCs w:val="14"/>
              </w:rPr>
            </w:pPr>
            <w:r w:rsidRPr="00364545">
              <w:rPr>
                <w:sz w:val="16"/>
              </w:rPr>
              <w:t>2,30</w:t>
            </w:r>
          </w:p>
        </w:tc>
      </w:tr>
      <w:tr w:rsidR="00B56301" w:rsidRPr="00364545" w14:paraId="5A39557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19BDCB1" w14:textId="5B4ABC8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036E7834" w14:textId="77777777" w:rsidR="00B56301" w:rsidRPr="00364545" w:rsidRDefault="00B56301" w:rsidP="00B37B65">
            <w:pPr>
              <w:jc w:val="right"/>
              <w:rPr>
                <w:rFonts w:asciiTheme="minorHAnsi" w:hAnsiTheme="minorHAnsi"/>
                <w:sz w:val="16"/>
                <w:szCs w:val="14"/>
              </w:rPr>
            </w:pPr>
            <w:r w:rsidRPr="00364545">
              <w:rPr>
                <w:sz w:val="16"/>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400606C8" w14:textId="77777777" w:rsidR="00B56301" w:rsidRPr="00364545" w:rsidRDefault="00B56301" w:rsidP="00B37B65">
            <w:pPr>
              <w:jc w:val="right"/>
              <w:rPr>
                <w:rFonts w:asciiTheme="minorHAnsi" w:hAnsiTheme="minorHAnsi"/>
                <w:sz w:val="16"/>
                <w:szCs w:val="14"/>
              </w:rPr>
            </w:pPr>
            <w:r w:rsidRPr="00364545">
              <w:rPr>
                <w:sz w:val="16"/>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423F00B8" w14:textId="77777777" w:rsidR="00B56301" w:rsidRPr="00364545" w:rsidRDefault="00B56301" w:rsidP="00B37B65">
            <w:pPr>
              <w:jc w:val="right"/>
              <w:rPr>
                <w:rFonts w:asciiTheme="minorHAnsi" w:hAnsiTheme="minorHAnsi"/>
                <w:sz w:val="16"/>
                <w:szCs w:val="14"/>
              </w:rPr>
            </w:pPr>
            <w:r w:rsidRPr="00364545">
              <w:rPr>
                <w:sz w:val="16"/>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060B796D" w14:textId="77777777" w:rsidR="00B56301" w:rsidRPr="00364545" w:rsidRDefault="00B56301" w:rsidP="00B37B65">
            <w:pPr>
              <w:jc w:val="right"/>
              <w:rPr>
                <w:rFonts w:asciiTheme="minorHAnsi" w:hAnsiTheme="minorHAnsi"/>
                <w:sz w:val="16"/>
                <w:szCs w:val="14"/>
              </w:rPr>
            </w:pPr>
            <w:r w:rsidRPr="00364545">
              <w:rPr>
                <w:sz w:val="16"/>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013DF144" w14:textId="77777777" w:rsidR="00B56301" w:rsidRPr="00364545" w:rsidRDefault="00B56301" w:rsidP="00B37B65">
            <w:pPr>
              <w:jc w:val="right"/>
              <w:rPr>
                <w:rFonts w:asciiTheme="minorHAnsi" w:hAnsiTheme="minorHAnsi"/>
                <w:sz w:val="16"/>
                <w:szCs w:val="14"/>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05D66B0" w14:textId="77777777" w:rsidR="00B56301" w:rsidRPr="00364545" w:rsidRDefault="00B56301" w:rsidP="00B37B65">
            <w:pPr>
              <w:jc w:val="right"/>
              <w:rPr>
                <w:rFonts w:asciiTheme="minorHAnsi" w:hAnsiTheme="minorHAnsi"/>
                <w:sz w:val="16"/>
                <w:szCs w:val="14"/>
              </w:rPr>
            </w:pPr>
            <w:r w:rsidRPr="00364545">
              <w:rPr>
                <w:sz w:val="16"/>
              </w:rPr>
              <w:t>0,01</w:t>
            </w:r>
          </w:p>
        </w:tc>
      </w:tr>
      <w:tr w:rsidR="00B56301" w:rsidRPr="00364545" w14:paraId="54994EA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49182C3" w14:textId="5D2F5CC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3D52515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A06B8D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EEEDCB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96179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1313A2"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E4EE5D"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0FB0F5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86C74CE" w14:textId="7D0676E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13C9C58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AB727B"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53B97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0FFE452"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E71DEB"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738B39"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15FB232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2B9C54B" w14:textId="7C0BB854"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G. 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7BD285D7"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66580C4"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F09BC31"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385673E"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FD654EB"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C849955"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4F7E2E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815242" w14:textId="68AB750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223D90CF"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2EE91F14"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405A1FDA"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C84C303"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C3A3B9B"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110D8A45" w14:textId="77777777" w:rsidR="00B56301" w:rsidRPr="00364545" w:rsidRDefault="00B56301" w:rsidP="00B37B65">
            <w:pPr>
              <w:jc w:val="right"/>
              <w:rPr>
                <w:rFonts w:asciiTheme="minorHAnsi" w:hAnsiTheme="minorHAnsi"/>
                <w:sz w:val="16"/>
                <w:szCs w:val="14"/>
              </w:rPr>
            </w:pPr>
            <w:r w:rsidRPr="00364545">
              <w:rPr>
                <w:sz w:val="16"/>
              </w:rPr>
              <w:t>NO,NA</w:t>
            </w:r>
          </w:p>
        </w:tc>
      </w:tr>
      <w:tr w:rsidR="00B56301" w:rsidRPr="00364545" w14:paraId="30D4E5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36C49F11" w14:textId="14B4CFBB"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3. 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30171263" w14:textId="77777777" w:rsidR="00B56301" w:rsidRPr="00364545" w:rsidRDefault="00B56301" w:rsidP="00B37B65">
            <w:pPr>
              <w:jc w:val="right"/>
              <w:rPr>
                <w:rFonts w:asciiTheme="minorHAnsi" w:hAnsiTheme="minorHAnsi"/>
                <w:sz w:val="16"/>
                <w:szCs w:val="14"/>
              </w:rPr>
            </w:pPr>
            <w:r w:rsidRPr="00364545">
              <w:rPr>
                <w:sz w:val="16"/>
              </w:rPr>
              <w:t>1587,50</w:t>
            </w:r>
          </w:p>
        </w:tc>
        <w:tc>
          <w:tcPr>
            <w:tcW w:w="991" w:type="dxa"/>
            <w:tcBorders>
              <w:top w:val="nil"/>
              <w:left w:val="nil"/>
              <w:bottom w:val="single" w:sz="4" w:space="0" w:color="auto"/>
              <w:right w:val="single" w:sz="4" w:space="0" w:color="auto"/>
            </w:tcBorders>
            <w:shd w:val="clear" w:color="000000" w:fill="CCFFFF"/>
            <w:noWrap/>
            <w:vAlign w:val="bottom"/>
            <w:hideMark/>
          </w:tcPr>
          <w:p w14:paraId="00293730" w14:textId="77777777" w:rsidR="00B56301" w:rsidRPr="00364545" w:rsidRDefault="00B56301" w:rsidP="00B37B65">
            <w:pPr>
              <w:jc w:val="right"/>
              <w:rPr>
                <w:rFonts w:asciiTheme="minorHAnsi" w:hAnsiTheme="minorHAnsi"/>
                <w:sz w:val="16"/>
                <w:szCs w:val="14"/>
              </w:rPr>
            </w:pPr>
            <w:r w:rsidRPr="00364545">
              <w:rPr>
                <w:sz w:val="16"/>
              </w:rPr>
              <w:t>1604,55</w:t>
            </w:r>
          </w:p>
        </w:tc>
        <w:tc>
          <w:tcPr>
            <w:tcW w:w="991" w:type="dxa"/>
            <w:tcBorders>
              <w:top w:val="nil"/>
              <w:left w:val="nil"/>
              <w:bottom w:val="single" w:sz="4" w:space="0" w:color="auto"/>
              <w:right w:val="single" w:sz="4" w:space="0" w:color="auto"/>
            </w:tcBorders>
            <w:shd w:val="clear" w:color="000000" w:fill="CCFFFF"/>
            <w:noWrap/>
            <w:vAlign w:val="bottom"/>
            <w:hideMark/>
          </w:tcPr>
          <w:p w14:paraId="4836CA09" w14:textId="77777777" w:rsidR="00B56301" w:rsidRPr="00364545" w:rsidRDefault="00B56301" w:rsidP="00B37B65">
            <w:pPr>
              <w:jc w:val="right"/>
              <w:rPr>
                <w:rFonts w:asciiTheme="minorHAnsi" w:hAnsiTheme="minorHAnsi"/>
                <w:sz w:val="16"/>
                <w:szCs w:val="14"/>
              </w:rPr>
            </w:pPr>
            <w:r w:rsidRPr="00364545">
              <w:rPr>
                <w:sz w:val="16"/>
              </w:rPr>
              <w:t>1591,46</w:t>
            </w:r>
          </w:p>
        </w:tc>
        <w:tc>
          <w:tcPr>
            <w:tcW w:w="991" w:type="dxa"/>
            <w:tcBorders>
              <w:top w:val="nil"/>
              <w:left w:val="nil"/>
              <w:bottom w:val="single" w:sz="4" w:space="0" w:color="auto"/>
              <w:right w:val="single" w:sz="4" w:space="0" w:color="auto"/>
            </w:tcBorders>
            <w:shd w:val="clear" w:color="000000" w:fill="CCFFFF"/>
            <w:noWrap/>
            <w:vAlign w:val="bottom"/>
            <w:hideMark/>
          </w:tcPr>
          <w:p w14:paraId="78F18B71" w14:textId="77777777" w:rsidR="00B56301" w:rsidRPr="00364545" w:rsidRDefault="00B56301" w:rsidP="00B37B65">
            <w:pPr>
              <w:jc w:val="right"/>
              <w:rPr>
                <w:rFonts w:asciiTheme="minorHAnsi" w:hAnsiTheme="minorHAnsi"/>
                <w:sz w:val="16"/>
                <w:szCs w:val="14"/>
              </w:rPr>
            </w:pPr>
            <w:r w:rsidRPr="00364545">
              <w:rPr>
                <w:sz w:val="16"/>
              </w:rPr>
              <w:t>1573,01</w:t>
            </w:r>
          </w:p>
        </w:tc>
        <w:tc>
          <w:tcPr>
            <w:tcW w:w="991" w:type="dxa"/>
            <w:tcBorders>
              <w:top w:val="nil"/>
              <w:left w:val="nil"/>
              <w:bottom w:val="single" w:sz="4" w:space="0" w:color="auto"/>
              <w:right w:val="single" w:sz="4" w:space="0" w:color="auto"/>
            </w:tcBorders>
            <w:shd w:val="clear" w:color="000000" w:fill="CCFFFF"/>
            <w:noWrap/>
            <w:vAlign w:val="bottom"/>
            <w:hideMark/>
          </w:tcPr>
          <w:p w14:paraId="657F63E9" w14:textId="77777777" w:rsidR="00B56301" w:rsidRPr="00364545" w:rsidRDefault="00B56301" w:rsidP="00B37B65">
            <w:pPr>
              <w:jc w:val="right"/>
              <w:rPr>
                <w:rFonts w:asciiTheme="minorHAnsi" w:hAnsiTheme="minorHAnsi"/>
                <w:sz w:val="16"/>
                <w:szCs w:val="14"/>
              </w:rPr>
            </w:pPr>
            <w:r w:rsidRPr="00364545">
              <w:rPr>
                <w:sz w:val="16"/>
              </w:rPr>
              <w:t>1565,38</w:t>
            </w:r>
          </w:p>
        </w:tc>
        <w:tc>
          <w:tcPr>
            <w:tcW w:w="991" w:type="dxa"/>
            <w:tcBorders>
              <w:top w:val="nil"/>
              <w:left w:val="nil"/>
              <w:bottom w:val="single" w:sz="4" w:space="0" w:color="auto"/>
              <w:right w:val="single" w:sz="4" w:space="0" w:color="auto"/>
            </w:tcBorders>
            <w:shd w:val="clear" w:color="000000" w:fill="CCFFFF"/>
            <w:noWrap/>
            <w:vAlign w:val="bottom"/>
            <w:hideMark/>
          </w:tcPr>
          <w:p w14:paraId="6328D735" w14:textId="77777777" w:rsidR="00B56301" w:rsidRPr="00364545" w:rsidRDefault="00B56301" w:rsidP="00B37B65">
            <w:pPr>
              <w:jc w:val="right"/>
              <w:rPr>
                <w:rFonts w:asciiTheme="minorHAnsi" w:hAnsiTheme="minorHAnsi"/>
                <w:sz w:val="16"/>
                <w:szCs w:val="14"/>
              </w:rPr>
            </w:pPr>
            <w:r w:rsidRPr="00364545">
              <w:rPr>
                <w:sz w:val="16"/>
              </w:rPr>
              <w:t>1537,48</w:t>
            </w:r>
          </w:p>
        </w:tc>
      </w:tr>
      <w:tr w:rsidR="00B56301" w:rsidRPr="00364545" w14:paraId="74218DE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28358C7" w14:textId="7791F20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33F1B00C" w14:textId="77777777" w:rsidR="00B56301" w:rsidRPr="00364545" w:rsidRDefault="00B56301" w:rsidP="00B37B65">
            <w:pPr>
              <w:jc w:val="right"/>
              <w:rPr>
                <w:rFonts w:asciiTheme="minorHAnsi" w:hAnsiTheme="minorHAnsi"/>
                <w:sz w:val="16"/>
                <w:szCs w:val="14"/>
              </w:rPr>
            </w:pPr>
            <w:r w:rsidRPr="00364545">
              <w:rPr>
                <w:sz w:val="16"/>
              </w:rPr>
              <w:t>1427,40</w:t>
            </w:r>
          </w:p>
        </w:tc>
        <w:tc>
          <w:tcPr>
            <w:tcW w:w="991" w:type="dxa"/>
            <w:tcBorders>
              <w:top w:val="nil"/>
              <w:left w:val="nil"/>
              <w:bottom w:val="single" w:sz="4" w:space="0" w:color="auto"/>
              <w:right w:val="single" w:sz="4" w:space="0" w:color="auto"/>
            </w:tcBorders>
            <w:shd w:val="clear" w:color="000000" w:fill="FFFFFF"/>
            <w:noWrap/>
            <w:vAlign w:val="bottom"/>
            <w:hideMark/>
          </w:tcPr>
          <w:p w14:paraId="59FB899C" w14:textId="77777777" w:rsidR="00B56301" w:rsidRPr="00364545" w:rsidRDefault="00B56301" w:rsidP="00B37B65">
            <w:pPr>
              <w:jc w:val="right"/>
              <w:rPr>
                <w:rFonts w:asciiTheme="minorHAnsi" w:hAnsiTheme="minorHAnsi"/>
                <w:sz w:val="16"/>
                <w:szCs w:val="14"/>
              </w:rPr>
            </w:pPr>
            <w:r w:rsidRPr="00364545">
              <w:rPr>
                <w:sz w:val="16"/>
              </w:rPr>
              <w:t>1443,86</w:t>
            </w:r>
          </w:p>
        </w:tc>
        <w:tc>
          <w:tcPr>
            <w:tcW w:w="991" w:type="dxa"/>
            <w:tcBorders>
              <w:top w:val="nil"/>
              <w:left w:val="nil"/>
              <w:bottom w:val="single" w:sz="4" w:space="0" w:color="auto"/>
              <w:right w:val="single" w:sz="4" w:space="0" w:color="auto"/>
            </w:tcBorders>
            <w:shd w:val="clear" w:color="000000" w:fill="FFFFFF"/>
            <w:noWrap/>
            <w:vAlign w:val="bottom"/>
            <w:hideMark/>
          </w:tcPr>
          <w:p w14:paraId="21DB09EE" w14:textId="77777777" w:rsidR="00B56301" w:rsidRPr="00364545" w:rsidRDefault="00B56301" w:rsidP="00B37B65">
            <w:pPr>
              <w:jc w:val="right"/>
              <w:rPr>
                <w:rFonts w:asciiTheme="minorHAnsi" w:hAnsiTheme="minorHAnsi"/>
                <w:sz w:val="16"/>
                <w:szCs w:val="14"/>
              </w:rPr>
            </w:pPr>
            <w:r w:rsidRPr="00364545">
              <w:rPr>
                <w:sz w:val="16"/>
              </w:rPr>
              <w:t>1429,99</w:t>
            </w:r>
          </w:p>
        </w:tc>
        <w:tc>
          <w:tcPr>
            <w:tcW w:w="991" w:type="dxa"/>
            <w:tcBorders>
              <w:top w:val="nil"/>
              <w:left w:val="nil"/>
              <w:bottom w:val="single" w:sz="4" w:space="0" w:color="auto"/>
              <w:right w:val="single" w:sz="4" w:space="0" w:color="auto"/>
            </w:tcBorders>
            <w:shd w:val="clear" w:color="000000" w:fill="FFFFFF"/>
            <w:noWrap/>
            <w:vAlign w:val="bottom"/>
            <w:hideMark/>
          </w:tcPr>
          <w:p w14:paraId="6B18A448" w14:textId="77777777" w:rsidR="00B56301" w:rsidRPr="00364545" w:rsidRDefault="00B56301" w:rsidP="00B37B65">
            <w:pPr>
              <w:jc w:val="right"/>
              <w:rPr>
                <w:rFonts w:asciiTheme="minorHAnsi" w:hAnsiTheme="minorHAnsi"/>
                <w:sz w:val="16"/>
                <w:szCs w:val="14"/>
              </w:rPr>
            </w:pPr>
            <w:r w:rsidRPr="00364545">
              <w:rPr>
                <w:sz w:val="16"/>
              </w:rPr>
              <w:t>1423,77</w:t>
            </w:r>
          </w:p>
        </w:tc>
        <w:tc>
          <w:tcPr>
            <w:tcW w:w="991" w:type="dxa"/>
            <w:tcBorders>
              <w:top w:val="nil"/>
              <w:left w:val="nil"/>
              <w:bottom w:val="single" w:sz="4" w:space="0" w:color="auto"/>
              <w:right w:val="single" w:sz="4" w:space="0" w:color="auto"/>
            </w:tcBorders>
            <w:shd w:val="clear" w:color="000000" w:fill="FFFFFF"/>
            <w:noWrap/>
            <w:vAlign w:val="bottom"/>
            <w:hideMark/>
          </w:tcPr>
          <w:p w14:paraId="2B636088" w14:textId="77777777" w:rsidR="00B56301" w:rsidRPr="00364545" w:rsidRDefault="00B56301" w:rsidP="00B37B65">
            <w:pPr>
              <w:jc w:val="right"/>
              <w:rPr>
                <w:rFonts w:asciiTheme="minorHAnsi" w:hAnsiTheme="minorHAnsi"/>
                <w:sz w:val="16"/>
                <w:szCs w:val="14"/>
              </w:rPr>
            </w:pPr>
            <w:r w:rsidRPr="00364545">
              <w:rPr>
                <w:sz w:val="16"/>
              </w:rPr>
              <w:t>1400,15</w:t>
            </w:r>
          </w:p>
        </w:tc>
        <w:tc>
          <w:tcPr>
            <w:tcW w:w="991" w:type="dxa"/>
            <w:tcBorders>
              <w:top w:val="nil"/>
              <w:left w:val="nil"/>
              <w:bottom w:val="single" w:sz="4" w:space="0" w:color="auto"/>
              <w:right w:val="single" w:sz="4" w:space="0" w:color="auto"/>
            </w:tcBorders>
            <w:shd w:val="clear" w:color="000000" w:fill="FFFFFF"/>
            <w:noWrap/>
            <w:vAlign w:val="bottom"/>
            <w:hideMark/>
          </w:tcPr>
          <w:p w14:paraId="1E7B1D58" w14:textId="77777777" w:rsidR="00B56301" w:rsidRPr="00364545" w:rsidRDefault="00B56301" w:rsidP="00B37B65">
            <w:pPr>
              <w:jc w:val="right"/>
              <w:rPr>
                <w:rFonts w:asciiTheme="minorHAnsi" w:hAnsiTheme="minorHAnsi"/>
                <w:sz w:val="16"/>
                <w:szCs w:val="14"/>
              </w:rPr>
            </w:pPr>
            <w:r w:rsidRPr="00364545">
              <w:rPr>
                <w:sz w:val="16"/>
              </w:rPr>
              <w:t>1385,77</w:t>
            </w:r>
          </w:p>
        </w:tc>
      </w:tr>
      <w:tr w:rsidR="00B56301" w:rsidRPr="00364545" w14:paraId="317C33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4F0947" w14:textId="34FEE01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6123C195" w14:textId="77777777" w:rsidR="00B56301" w:rsidRPr="00364545" w:rsidRDefault="00B56301" w:rsidP="00B37B65">
            <w:pPr>
              <w:jc w:val="right"/>
              <w:rPr>
                <w:rFonts w:asciiTheme="minorHAnsi" w:hAnsiTheme="minorHAnsi"/>
                <w:sz w:val="16"/>
                <w:szCs w:val="14"/>
              </w:rPr>
            </w:pPr>
            <w:r w:rsidRPr="00364545">
              <w:rPr>
                <w:sz w:val="16"/>
              </w:rPr>
              <w:t>156,35</w:t>
            </w:r>
          </w:p>
        </w:tc>
        <w:tc>
          <w:tcPr>
            <w:tcW w:w="991" w:type="dxa"/>
            <w:tcBorders>
              <w:top w:val="nil"/>
              <w:left w:val="nil"/>
              <w:bottom w:val="single" w:sz="4" w:space="0" w:color="auto"/>
              <w:right w:val="single" w:sz="4" w:space="0" w:color="auto"/>
            </w:tcBorders>
            <w:shd w:val="clear" w:color="000000" w:fill="FFFFFF"/>
            <w:noWrap/>
            <w:vAlign w:val="bottom"/>
            <w:hideMark/>
          </w:tcPr>
          <w:p w14:paraId="33C65456" w14:textId="77777777" w:rsidR="00B56301" w:rsidRPr="00364545" w:rsidRDefault="00B56301" w:rsidP="00B37B65">
            <w:pPr>
              <w:jc w:val="right"/>
              <w:rPr>
                <w:rFonts w:asciiTheme="minorHAnsi" w:hAnsiTheme="minorHAnsi"/>
                <w:sz w:val="16"/>
                <w:szCs w:val="14"/>
              </w:rPr>
            </w:pPr>
            <w:r w:rsidRPr="00364545">
              <w:rPr>
                <w:sz w:val="16"/>
              </w:rPr>
              <w:t>156,93</w:t>
            </w:r>
          </w:p>
        </w:tc>
        <w:tc>
          <w:tcPr>
            <w:tcW w:w="991" w:type="dxa"/>
            <w:tcBorders>
              <w:top w:val="nil"/>
              <w:left w:val="nil"/>
              <w:bottom w:val="single" w:sz="4" w:space="0" w:color="auto"/>
              <w:right w:val="single" w:sz="4" w:space="0" w:color="auto"/>
            </w:tcBorders>
            <w:shd w:val="clear" w:color="000000" w:fill="FFFFFF"/>
            <w:noWrap/>
            <w:vAlign w:val="bottom"/>
            <w:hideMark/>
          </w:tcPr>
          <w:p w14:paraId="5A9E2D99" w14:textId="77777777" w:rsidR="00B56301" w:rsidRPr="00364545" w:rsidRDefault="00B56301" w:rsidP="00B37B65">
            <w:pPr>
              <w:jc w:val="right"/>
              <w:rPr>
                <w:rFonts w:asciiTheme="minorHAnsi" w:hAnsiTheme="minorHAnsi"/>
                <w:sz w:val="16"/>
                <w:szCs w:val="14"/>
              </w:rPr>
            </w:pPr>
            <w:r w:rsidRPr="00364545">
              <w:rPr>
                <w:sz w:val="16"/>
              </w:rPr>
              <w:t>157,29</w:t>
            </w:r>
          </w:p>
        </w:tc>
        <w:tc>
          <w:tcPr>
            <w:tcW w:w="991" w:type="dxa"/>
            <w:tcBorders>
              <w:top w:val="nil"/>
              <w:left w:val="nil"/>
              <w:bottom w:val="single" w:sz="4" w:space="0" w:color="auto"/>
              <w:right w:val="single" w:sz="4" w:space="0" w:color="auto"/>
            </w:tcBorders>
            <w:shd w:val="clear" w:color="000000" w:fill="FFFFFF"/>
            <w:noWrap/>
            <w:vAlign w:val="bottom"/>
            <w:hideMark/>
          </w:tcPr>
          <w:p w14:paraId="014835EE" w14:textId="77777777" w:rsidR="00B56301" w:rsidRPr="00364545" w:rsidRDefault="00B56301" w:rsidP="00B37B65">
            <w:pPr>
              <w:jc w:val="right"/>
              <w:rPr>
                <w:rFonts w:asciiTheme="minorHAnsi" w:hAnsiTheme="minorHAnsi"/>
                <w:sz w:val="16"/>
                <w:szCs w:val="14"/>
              </w:rPr>
            </w:pPr>
            <w:r w:rsidRPr="00364545">
              <w:rPr>
                <w:sz w:val="16"/>
              </w:rPr>
              <w:t>145,18</w:t>
            </w:r>
          </w:p>
        </w:tc>
        <w:tc>
          <w:tcPr>
            <w:tcW w:w="991" w:type="dxa"/>
            <w:tcBorders>
              <w:top w:val="nil"/>
              <w:left w:val="nil"/>
              <w:bottom w:val="single" w:sz="4" w:space="0" w:color="auto"/>
              <w:right w:val="single" w:sz="4" w:space="0" w:color="auto"/>
            </w:tcBorders>
            <w:shd w:val="clear" w:color="000000" w:fill="FFFFFF"/>
            <w:noWrap/>
            <w:vAlign w:val="bottom"/>
            <w:hideMark/>
          </w:tcPr>
          <w:p w14:paraId="4A499BCA" w14:textId="77777777" w:rsidR="00B56301" w:rsidRPr="00364545" w:rsidRDefault="00B56301" w:rsidP="00B37B65">
            <w:pPr>
              <w:jc w:val="right"/>
              <w:rPr>
                <w:rFonts w:asciiTheme="minorHAnsi" w:hAnsiTheme="minorHAnsi"/>
                <w:sz w:val="16"/>
                <w:szCs w:val="14"/>
              </w:rPr>
            </w:pPr>
            <w:r w:rsidRPr="00364545">
              <w:rPr>
                <w:sz w:val="16"/>
              </w:rPr>
              <w:t>161,22</w:t>
            </w:r>
          </w:p>
        </w:tc>
        <w:tc>
          <w:tcPr>
            <w:tcW w:w="991" w:type="dxa"/>
            <w:tcBorders>
              <w:top w:val="nil"/>
              <w:left w:val="nil"/>
              <w:bottom w:val="single" w:sz="4" w:space="0" w:color="auto"/>
              <w:right w:val="single" w:sz="4" w:space="0" w:color="auto"/>
            </w:tcBorders>
            <w:shd w:val="clear" w:color="000000" w:fill="FFFFFF"/>
            <w:noWrap/>
            <w:vAlign w:val="bottom"/>
            <w:hideMark/>
          </w:tcPr>
          <w:p w14:paraId="04EA744C" w14:textId="77777777" w:rsidR="00B56301" w:rsidRPr="00364545" w:rsidRDefault="00B56301" w:rsidP="00B37B65">
            <w:pPr>
              <w:jc w:val="right"/>
              <w:rPr>
                <w:rFonts w:asciiTheme="minorHAnsi" w:hAnsiTheme="minorHAnsi"/>
                <w:sz w:val="16"/>
                <w:szCs w:val="14"/>
              </w:rPr>
            </w:pPr>
            <w:r w:rsidRPr="00364545">
              <w:rPr>
                <w:sz w:val="16"/>
              </w:rPr>
              <w:t>147,87</w:t>
            </w:r>
          </w:p>
        </w:tc>
      </w:tr>
      <w:tr w:rsidR="00B56301" w:rsidRPr="00364545" w14:paraId="464C081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CB79FD" w14:textId="30E8B63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0D13946A" w14:textId="77777777" w:rsidR="00B56301" w:rsidRPr="00364545" w:rsidRDefault="00B56301" w:rsidP="00B37B65">
            <w:pPr>
              <w:jc w:val="right"/>
              <w:rPr>
                <w:rFonts w:asciiTheme="minorHAnsi" w:hAnsiTheme="minorHAnsi"/>
                <w:sz w:val="16"/>
                <w:szCs w:val="14"/>
              </w:rPr>
            </w:pPr>
            <w:r w:rsidRPr="00364545">
              <w:rPr>
                <w:sz w:val="16"/>
              </w:rPr>
              <w:t>2,05</w:t>
            </w:r>
          </w:p>
        </w:tc>
        <w:tc>
          <w:tcPr>
            <w:tcW w:w="991" w:type="dxa"/>
            <w:tcBorders>
              <w:top w:val="nil"/>
              <w:left w:val="nil"/>
              <w:bottom w:val="single" w:sz="4" w:space="0" w:color="auto"/>
              <w:right w:val="single" w:sz="4" w:space="0" w:color="auto"/>
            </w:tcBorders>
            <w:shd w:val="clear" w:color="000000" w:fill="FFFFFF"/>
            <w:noWrap/>
            <w:vAlign w:val="bottom"/>
            <w:hideMark/>
          </w:tcPr>
          <w:p w14:paraId="43314E25" w14:textId="77777777" w:rsidR="00B56301" w:rsidRPr="00364545" w:rsidRDefault="00B56301" w:rsidP="00B37B65">
            <w:pPr>
              <w:jc w:val="right"/>
              <w:rPr>
                <w:rFonts w:asciiTheme="minorHAnsi" w:hAnsiTheme="minorHAnsi"/>
                <w:sz w:val="16"/>
                <w:szCs w:val="14"/>
              </w:rPr>
            </w:pPr>
            <w:r w:rsidRPr="00364545">
              <w:rPr>
                <w:sz w:val="16"/>
              </w:rPr>
              <w:t>1,93</w:t>
            </w:r>
          </w:p>
        </w:tc>
        <w:tc>
          <w:tcPr>
            <w:tcW w:w="991" w:type="dxa"/>
            <w:tcBorders>
              <w:top w:val="nil"/>
              <w:left w:val="nil"/>
              <w:bottom w:val="single" w:sz="4" w:space="0" w:color="auto"/>
              <w:right w:val="single" w:sz="4" w:space="0" w:color="auto"/>
            </w:tcBorders>
            <w:shd w:val="clear" w:color="000000" w:fill="FFFFFF"/>
            <w:noWrap/>
            <w:vAlign w:val="bottom"/>
            <w:hideMark/>
          </w:tcPr>
          <w:p w14:paraId="558FBEA7" w14:textId="77777777" w:rsidR="00B56301" w:rsidRPr="00364545" w:rsidRDefault="00B56301" w:rsidP="00B37B65">
            <w:pPr>
              <w:jc w:val="right"/>
              <w:rPr>
                <w:rFonts w:asciiTheme="minorHAnsi" w:hAnsiTheme="minorHAnsi"/>
                <w:sz w:val="16"/>
                <w:szCs w:val="14"/>
              </w:rPr>
            </w:pPr>
            <w:r w:rsidRPr="00364545">
              <w:rPr>
                <w:sz w:val="16"/>
              </w:rPr>
              <w:t>2,36</w:t>
            </w:r>
          </w:p>
        </w:tc>
        <w:tc>
          <w:tcPr>
            <w:tcW w:w="991" w:type="dxa"/>
            <w:tcBorders>
              <w:top w:val="nil"/>
              <w:left w:val="nil"/>
              <w:bottom w:val="single" w:sz="4" w:space="0" w:color="auto"/>
              <w:right w:val="single" w:sz="4" w:space="0" w:color="auto"/>
            </w:tcBorders>
            <w:shd w:val="clear" w:color="000000" w:fill="FFFFFF"/>
            <w:noWrap/>
            <w:vAlign w:val="bottom"/>
            <w:hideMark/>
          </w:tcPr>
          <w:p w14:paraId="0691E503" w14:textId="77777777" w:rsidR="00B56301" w:rsidRPr="00364545" w:rsidRDefault="00B56301" w:rsidP="00B37B65">
            <w:pPr>
              <w:jc w:val="right"/>
              <w:rPr>
                <w:rFonts w:asciiTheme="minorHAnsi" w:hAnsiTheme="minorHAnsi"/>
                <w:sz w:val="16"/>
                <w:szCs w:val="14"/>
              </w:rPr>
            </w:pPr>
            <w:r w:rsidRPr="00364545">
              <w:rPr>
                <w:sz w:val="16"/>
              </w:rPr>
              <w:t>2,35</w:t>
            </w:r>
          </w:p>
        </w:tc>
        <w:tc>
          <w:tcPr>
            <w:tcW w:w="991" w:type="dxa"/>
            <w:tcBorders>
              <w:top w:val="nil"/>
              <w:left w:val="nil"/>
              <w:bottom w:val="single" w:sz="4" w:space="0" w:color="auto"/>
              <w:right w:val="single" w:sz="4" w:space="0" w:color="auto"/>
            </w:tcBorders>
            <w:shd w:val="clear" w:color="000000" w:fill="FFFFFF"/>
            <w:noWrap/>
            <w:vAlign w:val="bottom"/>
            <w:hideMark/>
          </w:tcPr>
          <w:p w14:paraId="260B5D7D" w14:textId="77777777" w:rsidR="00B56301" w:rsidRPr="00364545" w:rsidRDefault="00B56301" w:rsidP="00B37B65">
            <w:pPr>
              <w:jc w:val="right"/>
              <w:rPr>
                <w:rFonts w:asciiTheme="minorHAnsi" w:hAnsiTheme="minorHAnsi"/>
                <w:sz w:val="16"/>
                <w:szCs w:val="14"/>
              </w:rPr>
            </w:pPr>
            <w:r w:rsidRPr="00364545">
              <w:rPr>
                <w:sz w:val="16"/>
              </w:rPr>
              <w:t>2,38</w:t>
            </w:r>
          </w:p>
        </w:tc>
        <w:tc>
          <w:tcPr>
            <w:tcW w:w="991" w:type="dxa"/>
            <w:tcBorders>
              <w:top w:val="nil"/>
              <w:left w:val="nil"/>
              <w:bottom w:val="single" w:sz="4" w:space="0" w:color="auto"/>
              <w:right w:val="single" w:sz="4" w:space="0" w:color="auto"/>
            </w:tcBorders>
            <w:shd w:val="clear" w:color="000000" w:fill="FFFFFF"/>
            <w:noWrap/>
            <w:vAlign w:val="bottom"/>
            <w:hideMark/>
          </w:tcPr>
          <w:p w14:paraId="1D0E3D22" w14:textId="77777777" w:rsidR="00B56301" w:rsidRPr="00364545" w:rsidRDefault="00B56301" w:rsidP="00B37B65">
            <w:pPr>
              <w:jc w:val="right"/>
              <w:rPr>
                <w:rFonts w:asciiTheme="minorHAnsi" w:hAnsiTheme="minorHAnsi"/>
                <w:sz w:val="16"/>
                <w:szCs w:val="14"/>
              </w:rPr>
            </w:pPr>
            <w:r w:rsidRPr="00364545">
              <w:rPr>
                <w:sz w:val="16"/>
              </w:rPr>
              <w:t>2,28</w:t>
            </w:r>
          </w:p>
        </w:tc>
      </w:tr>
      <w:tr w:rsidR="00B56301" w:rsidRPr="00364545" w14:paraId="0A25E1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DEF973" w14:textId="6AA240B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1E14993B"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7472801"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FD6715A"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0C74C03"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8BBB90C"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B6F6C6"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1633B65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3E12A2" w14:textId="6D9A11F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6A5DC344"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A18EF8E"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9AAEAFD"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D059B90"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B2DD13B"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7C0B02E"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2AE12E4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E71B72" w14:textId="4AB0D866"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3514B736" w14:textId="77777777" w:rsidR="00B56301" w:rsidRPr="00364545" w:rsidRDefault="00B56301" w:rsidP="00B37B65">
            <w:pPr>
              <w:jc w:val="right"/>
              <w:rPr>
                <w:rFonts w:asciiTheme="minorHAnsi" w:hAnsiTheme="minorHAnsi"/>
                <w:sz w:val="16"/>
                <w:szCs w:val="14"/>
              </w:rPr>
            </w:pPr>
            <w:r w:rsidRPr="00364545">
              <w:rPr>
                <w:sz w:val="16"/>
              </w:rPr>
              <w:t>1,71</w:t>
            </w:r>
          </w:p>
        </w:tc>
        <w:tc>
          <w:tcPr>
            <w:tcW w:w="991" w:type="dxa"/>
            <w:tcBorders>
              <w:top w:val="nil"/>
              <w:left w:val="nil"/>
              <w:bottom w:val="single" w:sz="4" w:space="0" w:color="auto"/>
              <w:right w:val="single" w:sz="4" w:space="0" w:color="auto"/>
            </w:tcBorders>
            <w:shd w:val="clear" w:color="000000" w:fill="FFFFFF"/>
            <w:noWrap/>
            <w:vAlign w:val="bottom"/>
            <w:hideMark/>
          </w:tcPr>
          <w:p w14:paraId="76C56170" w14:textId="77777777" w:rsidR="00B56301" w:rsidRPr="00364545" w:rsidRDefault="00B56301" w:rsidP="00B37B65">
            <w:pPr>
              <w:jc w:val="right"/>
              <w:rPr>
                <w:rFonts w:asciiTheme="minorHAnsi" w:hAnsiTheme="minorHAnsi"/>
                <w:sz w:val="16"/>
                <w:szCs w:val="14"/>
              </w:rPr>
            </w:pPr>
            <w:r w:rsidRPr="00364545">
              <w:rPr>
                <w:sz w:val="16"/>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0D380931" w14:textId="77777777" w:rsidR="00B56301" w:rsidRPr="00364545" w:rsidRDefault="00B56301" w:rsidP="00B37B65">
            <w:pPr>
              <w:jc w:val="right"/>
              <w:rPr>
                <w:rFonts w:asciiTheme="minorHAnsi" w:hAnsiTheme="minorHAnsi"/>
                <w:sz w:val="16"/>
                <w:szCs w:val="14"/>
              </w:rPr>
            </w:pPr>
            <w:r w:rsidRPr="00364545">
              <w:rPr>
                <w:sz w:val="16"/>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39C547E3" w14:textId="77777777" w:rsidR="00B56301" w:rsidRPr="00364545" w:rsidRDefault="00B56301" w:rsidP="00B37B65">
            <w:pPr>
              <w:jc w:val="right"/>
              <w:rPr>
                <w:rFonts w:asciiTheme="minorHAnsi" w:hAnsiTheme="minorHAnsi"/>
                <w:sz w:val="16"/>
                <w:szCs w:val="14"/>
              </w:rPr>
            </w:pPr>
            <w:r w:rsidRPr="00364545">
              <w:rPr>
                <w:sz w:val="16"/>
              </w:rPr>
              <w:t>1,72</w:t>
            </w:r>
          </w:p>
        </w:tc>
        <w:tc>
          <w:tcPr>
            <w:tcW w:w="991" w:type="dxa"/>
            <w:tcBorders>
              <w:top w:val="nil"/>
              <w:left w:val="nil"/>
              <w:bottom w:val="single" w:sz="4" w:space="0" w:color="auto"/>
              <w:right w:val="single" w:sz="4" w:space="0" w:color="auto"/>
            </w:tcBorders>
            <w:shd w:val="clear" w:color="000000" w:fill="FFFFFF"/>
            <w:noWrap/>
            <w:vAlign w:val="bottom"/>
            <w:hideMark/>
          </w:tcPr>
          <w:p w14:paraId="606393F3" w14:textId="77777777" w:rsidR="00B56301" w:rsidRPr="00364545" w:rsidRDefault="00B56301" w:rsidP="00B37B65">
            <w:pPr>
              <w:jc w:val="right"/>
              <w:rPr>
                <w:rFonts w:asciiTheme="minorHAnsi" w:hAnsiTheme="minorHAnsi"/>
                <w:sz w:val="16"/>
                <w:szCs w:val="14"/>
              </w:rPr>
            </w:pPr>
            <w:r w:rsidRPr="00364545">
              <w:rPr>
                <w:sz w:val="16"/>
              </w:rPr>
              <w:t>1,63</w:t>
            </w:r>
          </w:p>
        </w:tc>
        <w:tc>
          <w:tcPr>
            <w:tcW w:w="991" w:type="dxa"/>
            <w:tcBorders>
              <w:top w:val="nil"/>
              <w:left w:val="nil"/>
              <w:bottom w:val="single" w:sz="4" w:space="0" w:color="auto"/>
              <w:right w:val="single" w:sz="4" w:space="0" w:color="auto"/>
            </w:tcBorders>
            <w:shd w:val="clear" w:color="000000" w:fill="FFFFFF"/>
            <w:noWrap/>
            <w:vAlign w:val="bottom"/>
            <w:hideMark/>
          </w:tcPr>
          <w:p w14:paraId="672FABDD" w14:textId="77777777" w:rsidR="00B56301" w:rsidRPr="00364545" w:rsidRDefault="00B56301" w:rsidP="00B37B65">
            <w:pPr>
              <w:jc w:val="right"/>
              <w:rPr>
                <w:rFonts w:asciiTheme="minorHAnsi" w:hAnsiTheme="minorHAnsi"/>
                <w:sz w:val="16"/>
                <w:szCs w:val="14"/>
              </w:rPr>
            </w:pPr>
            <w:r w:rsidRPr="00364545">
              <w:rPr>
                <w:sz w:val="16"/>
              </w:rPr>
              <w:t>1,57</w:t>
            </w:r>
          </w:p>
        </w:tc>
      </w:tr>
      <w:tr w:rsidR="00B56301" w:rsidRPr="00364545" w14:paraId="235EAF1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B93056" w14:textId="7D6A919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Liming</w:t>
            </w:r>
          </w:p>
        </w:tc>
        <w:tc>
          <w:tcPr>
            <w:tcW w:w="991" w:type="dxa"/>
            <w:tcBorders>
              <w:top w:val="nil"/>
              <w:left w:val="nil"/>
              <w:bottom w:val="single" w:sz="4" w:space="0" w:color="auto"/>
              <w:right w:val="single" w:sz="4" w:space="0" w:color="auto"/>
            </w:tcBorders>
            <w:shd w:val="clear" w:color="000000" w:fill="969696"/>
            <w:noWrap/>
            <w:vAlign w:val="bottom"/>
            <w:hideMark/>
          </w:tcPr>
          <w:p w14:paraId="2A80253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1207DE2"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8A04D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7E89FB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443A1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E75AC46"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2678D7C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6F6E35" w14:textId="7C60A4E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H. 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07E395D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F8F20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9694CC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7B4185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174AA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96C7BA"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018A1F6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F9CEE6" w14:textId="22A2F16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I. 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7E83017A"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DCA0C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11BF7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EC61F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B77817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ADD326"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034AB84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E2F6DA" w14:textId="601310B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J. Other </w:t>
            </w:r>
          </w:p>
        </w:tc>
        <w:tc>
          <w:tcPr>
            <w:tcW w:w="991" w:type="dxa"/>
            <w:tcBorders>
              <w:top w:val="nil"/>
              <w:left w:val="nil"/>
              <w:bottom w:val="single" w:sz="4" w:space="0" w:color="auto"/>
              <w:right w:val="single" w:sz="4" w:space="0" w:color="auto"/>
            </w:tcBorders>
            <w:shd w:val="clear" w:color="000000" w:fill="FFFFFF"/>
            <w:noWrap/>
            <w:vAlign w:val="bottom"/>
            <w:hideMark/>
          </w:tcPr>
          <w:p w14:paraId="6024D38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FD3A83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5E910C2"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934C71C"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8C72E8D"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C51A59A"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65B9286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648C192A"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6DAE41E4" w14:textId="77777777" w:rsidR="00B56301" w:rsidRPr="00364545" w:rsidRDefault="00B56301" w:rsidP="00B37B65">
            <w:pPr>
              <w:jc w:val="right"/>
              <w:rPr>
                <w:rFonts w:asciiTheme="minorHAnsi" w:hAnsiTheme="minorHAnsi"/>
                <w:sz w:val="16"/>
                <w:szCs w:val="14"/>
              </w:rPr>
            </w:pPr>
            <w:r w:rsidRPr="00364545">
              <w:rPr>
                <w:sz w:val="16"/>
              </w:rPr>
              <w:t>45,41</w:t>
            </w:r>
          </w:p>
        </w:tc>
        <w:tc>
          <w:tcPr>
            <w:tcW w:w="991" w:type="dxa"/>
            <w:tcBorders>
              <w:top w:val="nil"/>
              <w:left w:val="nil"/>
              <w:bottom w:val="single" w:sz="4" w:space="0" w:color="auto"/>
              <w:right w:val="single" w:sz="4" w:space="0" w:color="auto"/>
            </w:tcBorders>
            <w:shd w:val="clear" w:color="000000" w:fill="CCFFFF"/>
            <w:noWrap/>
            <w:vAlign w:val="bottom"/>
            <w:hideMark/>
          </w:tcPr>
          <w:p w14:paraId="5122AC4E" w14:textId="77777777" w:rsidR="00B56301" w:rsidRPr="00364545" w:rsidRDefault="00B56301" w:rsidP="00B37B65">
            <w:pPr>
              <w:jc w:val="right"/>
              <w:rPr>
                <w:rFonts w:asciiTheme="minorHAnsi" w:hAnsiTheme="minorHAnsi"/>
                <w:sz w:val="16"/>
                <w:szCs w:val="14"/>
              </w:rPr>
            </w:pPr>
            <w:r w:rsidRPr="00364545">
              <w:rPr>
                <w:sz w:val="16"/>
              </w:rPr>
              <w:t>43,99</w:t>
            </w:r>
          </w:p>
        </w:tc>
        <w:tc>
          <w:tcPr>
            <w:tcW w:w="991" w:type="dxa"/>
            <w:tcBorders>
              <w:top w:val="nil"/>
              <w:left w:val="nil"/>
              <w:bottom w:val="single" w:sz="4" w:space="0" w:color="auto"/>
              <w:right w:val="single" w:sz="4" w:space="0" w:color="auto"/>
            </w:tcBorders>
            <w:shd w:val="clear" w:color="000000" w:fill="CCFFFF"/>
            <w:noWrap/>
            <w:vAlign w:val="bottom"/>
            <w:hideMark/>
          </w:tcPr>
          <w:p w14:paraId="3A391C81" w14:textId="77777777" w:rsidR="00B56301" w:rsidRPr="00364545" w:rsidRDefault="00B56301" w:rsidP="00B37B65">
            <w:pPr>
              <w:jc w:val="right"/>
              <w:rPr>
                <w:rFonts w:asciiTheme="minorHAnsi" w:hAnsiTheme="minorHAnsi"/>
                <w:sz w:val="16"/>
                <w:szCs w:val="14"/>
              </w:rPr>
            </w:pPr>
            <w:r w:rsidRPr="00364545">
              <w:rPr>
                <w:sz w:val="16"/>
              </w:rPr>
              <w:t>44,73</w:t>
            </w:r>
          </w:p>
        </w:tc>
        <w:tc>
          <w:tcPr>
            <w:tcW w:w="991" w:type="dxa"/>
            <w:tcBorders>
              <w:top w:val="nil"/>
              <w:left w:val="nil"/>
              <w:bottom w:val="single" w:sz="4" w:space="0" w:color="auto"/>
              <w:right w:val="single" w:sz="4" w:space="0" w:color="auto"/>
            </w:tcBorders>
            <w:shd w:val="clear" w:color="000000" w:fill="CCFFFF"/>
            <w:noWrap/>
            <w:vAlign w:val="bottom"/>
            <w:hideMark/>
          </w:tcPr>
          <w:p w14:paraId="3C07577B" w14:textId="77777777" w:rsidR="00B56301" w:rsidRPr="00364545" w:rsidRDefault="00B56301" w:rsidP="00B37B65">
            <w:pPr>
              <w:jc w:val="right"/>
              <w:rPr>
                <w:rFonts w:asciiTheme="minorHAnsi" w:hAnsiTheme="minorHAnsi"/>
                <w:sz w:val="16"/>
                <w:szCs w:val="14"/>
              </w:rPr>
            </w:pPr>
            <w:r w:rsidRPr="00364545">
              <w:rPr>
                <w:sz w:val="16"/>
              </w:rPr>
              <w:t>45,19</w:t>
            </w:r>
          </w:p>
        </w:tc>
        <w:tc>
          <w:tcPr>
            <w:tcW w:w="991" w:type="dxa"/>
            <w:tcBorders>
              <w:top w:val="nil"/>
              <w:left w:val="nil"/>
              <w:bottom w:val="single" w:sz="4" w:space="0" w:color="auto"/>
              <w:right w:val="single" w:sz="4" w:space="0" w:color="auto"/>
            </w:tcBorders>
            <w:shd w:val="clear" w:color="000000" w:fill="CCFFFF"/>
            <w:noWrap/>
            <w:vAlign w:val="bottom"/>
            <w:hideMark/>
          </w:tcPr>
          <w:p w14:paraId="00B3E2A1" w14:textId="77777777" w:rsidR="00B56301" w:rsidRPr="00364545" w:rsidRDefault="00B56301" w:rsidP="00B37B65">
            <w:pPr>
              <w:jc w:val="right"/>
              <w:rPr>
                <w:rFonts w:asciiTheme="minorHAnsi" w:hAnsiTheme="minorHAnsi"/>
                <w:sz w:val="16"/>
                <w:szCs w:val="14"/>
              </w:rPr>
            </w:pPr>
            <w:r w:rsidRPr="00364545">
              <w:rPr>
                <w:sz w:val="16"/>
              </w:rPr>
              <w:t>44,28</w:t>
            </w:r>
          </w:p>
        </w:tc>
        <w:tc>
          <w:tcPr>
            <w:tcW w:w="991" w:type="dxa"/>
            <w:tcBorders>
              <w:top w:val="nil"/>
              <w:left w:val="nil"/>
              <w:bottom w:val="single" w:sz="4" w:space="0" w:color="auto"/>
              <w:right w:val="single" w:sz="4" w:space="0" w:color="auto"/>
            </w:tcBorders>
            <w:shd w:val="clear" w:color="000000" w:fill="CCFFFF"/>
            <w:noWrap/>
            <w:vAlign w:val="bottom"/>
            <w:hideMark/>
          </w:tcPr>
          <w:p w14:paraId="1009DEE8" w14:textId="77777777" w:rsidR="00B56301" w:rsidRPr="00364545" w:rsidRDefault="00B56301" w:rsidP="00B37B65">
            <w:pPr>
              <w:jc w:val="right"/>
              <w:rPr>
                <w:rFonts w:asciiTheme="minorHAnsi" w:hAnsiTheme="minorHAnsi"/>
                <w:sz w:val="16"/>
                <w:szCs w:val="14"/>
              </w:rPr>
            </w:pPr>
            <w:r w:rsidRPr="00364545">
              <w:rPr>
                <w:sz w:val="16"/>
              </w:rPr>
              <w:t>43,58</w:t>
            </w:r>
          </w:p>
        </w:tc>
      </w:tr>
      <w:tr w:rsidR="00B56301" w:rsidRPr="00364545" w14:paraId="76E772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4FA64A" w14:textId="5676488D"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09AB1CC8" w14:textId="77777777" w:rsidR="00B56301" w:rsidRPr="00364545" w:rsidRDefault="00B56301" w:rsidP="00B37B65">
            <w:pPr>
              <w:jc w:val="right"/>
              <w:rPr>
                <w:rFonts w:asciiTheme="minorHAnsi" w:hAnsiTheme="minorHAnsi"/>
                <w:sz w:val="16"/>
                <w:szCs w:val="14"/>
              </w:rPr>
            </w:pPr>
            <w:r w:rsidRPr="00364545">
              <w:rPr>
                <w:sz w:val="16"/>
              </w:rPr>
              <w:t>19,69</w:t>
            </w:r>
          </w:p>
        </w:tc>
        <w:tc>
          <w:tcPr>
            <w:tcW w:w="991" w:type="dxa"/>
            <w:tcBorders>
              <w:top w:val="nil"/>
              <w:left w:val="nil"/>
              <w:bottom w:val="single" w:sz="4" w:space="0" w:color="auto"/>
              <w:right w:val="single" w:sz="4" w:space="0" w:color="auto"/>
            </w:tcBorders>
            <w:shd w:val="clear" w:color="000000" w:fill="FFFFFF"/>
            <w:noWrap/>
            <w:vAlign w:val="bottom"/>
            <w:hideMark/>
          </w:tcPr>
          <w:p w14:paraId="047BEB78" w14:textId="77777777" w:rsidR="00B56301" w:rsidRPr="00364545" w:rsidRDefault="00B56301" w:rsidP="00B37B65">
            <w:pPr>
              <w:jc w:val="right"/>
              <w:rPr>
                <w:rFonts w:asciiTheme="minorHAnsi" w:hAnsiTheme="minorHAnsi"/>
                <w:sz w:val="16"/>
                <w:szCs w:val="14"/>
              </w:rPr>
            </w:pPr>
            <w:r w:rsidRPr="00364545">
              <w:rPr>
                <w:sz w:val="16"/>
              </w:rPr>
              <w:t>18,94</w:t>
            </w:r>
          </w:p>
        </w:tc>
        <w:tc>
          <w:tcPr>
            <w:tcW w:w="991" w:type="dxa"/>
            <w:tcBorders>
              <w:top w:val="nil"/>
              <w:left w:val="nil"/>
              <w:bottom w:val="single" w:sz="4" w:space="0" w:color="auto"/>
              <w:right w:val="single" w:sz="4" w:space="0" w:color="auto"/>
            </w:tcBorders>
            <w:shd w:val="clear" w:color="000000" w:fill="FFFFFF"/>
            <w:noWrap/>
            <w:vAlign w:val="bottom"/>
            <w:hideMark/>
          </w:tcPr>
          <w:p w14:paraId="210500A9" w14:textId="77777777" w:rsidR="00B56301" w:rsidRPr="00364545" w:rsidRDefault="00B56301" w:rsidP="00B37B65">
            <w:pPr>
              <w:jc w:val="right"/>
              <w:rPr>
                <w:rFonts w:asciiTheme="minorHAnsi" w:hAnsiTheme="minorHAnsi"/>
                <w:sz w:val="16"/>
                <w:szCs w:val="14"/>
              </w:rPr>
            </w:pPr>
            <w:r w:rsidRPr="00364545">
              <w:rPr>
                <w:sz w:val="16"/>
              </w:rPr>
              <w:t>20,88</w:t>
            </w:r>
          </w:p>
        </w:tc>
        <w:tc>
          <w:tcPr>
            <w:tcW w:w="991" w:type="dxa"/>
            <w:tcBorders>
              <w:top w:val="nil"/>
              <w:left w:val="nil"/>
              <w:bottom w:val="single" w:sz="4" w:space="0" w:color="auto"/>
              <w:right w:val="single" w:sz="4" w:space="0" w:color="auto"/>
            </w:tcBorders>
            <w:shd w:val="clear" w:color="000000" w:fill="FFFFFF"/>
            <w:noWrap/>
            <w:vAlign w:val="bottom"/>
            <w:hideMark/>
          </w:tcPr>
          <w:p w14:paraId="57F7115C" w14:textId="77777777" w:rsidR="00B56301" w:rsidRPr="00364545" w:rsidRDefault="00B56301" w:rsidP="00B37B65">
            <w:pPr>
              <w:jc w:val="right"/>
              <w:rPr>
                <w:rFonts w:asciiTheme="minorHAnsi" w:hAnsiTheme="minorHAnsi"/>
                <w:sz w:val="16"/>
                <w:szCs w:val="14"/>
              </w:rPr>
            </w:pPr>
            <w:r w:rsidRPr="00364545">
              <w:rPr>
                <w:sz w:val="16"/>
              </w:rPr>
              <w:t>22,40</w:t>
            </w:r>
          </w:p>
        </w:tc>
        <w:tc>
          <w:tcPr>
            <w:tcW w:w="991" w:type="dxa"/>
            <w:tcBorders>
              <w:top w:val="nil"/>
              <w:left w:val="nil"/>
              <w:bottom w:val="single" w:sz="4" w:space="0" w:color="auto"/>
              <w:right w:val="single" w:sz="4" w:space="0" w:color="auto"/>
            </w:tcBorders>
            <w:shd w:val="clear" w:color="000000" w:fill="FFFFFF"/>
            <w:noWrap/>
            <w:vAlign w:val="bottom"/>
            <w:hideMark/>
          </w:tcPr>
          <w:p w14:paraId="3C61D894" w14:textId="77777777" w:rsidR="00B56301" w:rsidRPr="00364545" w:rsidRDefault="00B56301" w:rsidP="00B37B65">
            <w:pPr>
              <w:jc w:val="right"/>
              <w:rPr>
                <w:rFonts w:asciiTheme="minorHAnsi" w:hAnsiTheme="minorHAnsi"/>
                <w:sz w:val="16"/>
                <w:szCs w:val="14"/>
              </w:rPr>
            </w:pPr>
            <w:r w:rsidRPr="00364545">
              <w:rPr>
                <w:sz w:val="16"/>
              </w:rPr>
              <w:t>22,53</w:t>
            </w:r>
          </w:p>
        </w:tc>
        <w:tc>
          <w:tcPr>
            <w:tcW w:w="991" w:type="dxa"/>
            <w:tcBorders>
              <w:top w:val="nil"/>
              <w:left w:val="nil"/>
              <w:bottom w:val="single" w:sz="4" w:space="0" w:color="auto"/>
              <w:right w:val="single" w:sz="4" w:space="0" w:color="auto"/>
            </w:tcBorders>
            <w:shd w:val="clear" w:color="000000" w:fill="FFFFFF"/>
            <w:noWrap/>
            <w:vAlign w:val="bottom"/>
            <w:hideMark/>
          </w:tcPr>
          <w:p w14:paraId="10BE7DA9" w14:textId="77777777" w:rsidR="00B56301" w:rsidRPr="00364545" w:rsidRDefault="00B56301" w:rsidP="00B37B65">
            <w:pPr>
              <w:jc w:val="right"/>
              <w:rPr>
                <w:rFonts w:asciiTheme="minorHAnsi" w:hAnsiTheme="minorHAnsi"/>
                <w:sz w:val="16"/>
                <w:szCs w:val="14"/>
              </w:rPr>
            </w:pPr>
            <w:r w:rsidRPr="00364545">
              <w:rPr>
                <w:sz w:val="16"/>
              </w:rPr>
              <w:t>21,83</w:t>
            </w:r>
          </w:p>
        </w:tc>
      </w:tr>
      <w:tr w:rsidR="00B56301" w:rsidRPr="00364545" w14:paraId="0091A7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81A6B6B" w14:textId="12CA28E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1897AC6F" w14:textId="77777777" w:rsidR="00B56301" w:rsidRPr="00364545" w:rsidRDefault="00B56301" w:rsidP="00B37B65">
            <w:pPr>
              <w:jc w:val="right"/>
              <w:rPr>
                <w:rFonts w:asciiTheme="minorHAnsi" w:hAnsiTheme="minorHAnsi"/>
                <w:sz w:val="16"/>
                <w:szCs w:val="14"/>
              </w:rPr>
            </w:pPr>
            <w:r w:rsidRPr="00364545">
              <w:rPr>
                <w:sz w:val="16"/>
              </w:rPr>
              <w:t>4,78</w:t>
            </w:r>
          </w:p>
        </w:tc>
        <w:tc>
          <w:tcPr>
            <w:tcW w:w="991" w:type="dxa"/>
            <w:tcBorders>
              <w:top w:val="nil"/>
              <w:left w:val="nil"/>
              <w:bottom w:val="single" w:sz="4" w:space="0" w:color="auto"/>
              <w:right w:val="single" w:sz="4" w:space="0" w:color="auto"/>
            </w:tcBorders>
            <w:shd w:val="clear" w:color="000000" w:fill="FFFFFF"/>
            <w:noWrap/>
            <w:vAlign w:val="bottom"/>
            <w:hideMark/>
          </w:tcPr>
          <w:p w14:paraId="0DBED985" w14:textId="77777777" w:rsidR="00B56301" w:rsidRPr="00364545" w:rsidRDefault="00B56301" w:rsidP="00B37B65">
            <w:pPr>
              <w:jc w:val="right"/>
              <w:rPr>
                <w:rFonts w:asciiTheme="minorHAnsi" w:hAnsiTheme="minorHAnsi"/>
                <w:sz w:val="16"/>
                <w:szCs w:val="14"/>
              </w:rPr>
            </w:pPr>
            <w:r w:rsidRPr="00364545">
              <w:rPr>
                <w:sz w:val="16"/>
              </w:rPr>
              <w:t>5,01</w:t>
            </w:r>
          </w:p>
        </w:tc>
        <w:tc>
          <w:tcPr>
            <w:tcW w:w="991" w:type="dxa"/>
            <w:tcBorders>
              <w:top w:val="nil"/>
              <w:left w:val="nil"/>
              <w:bottom w:val="single" w:sz="4" w:space="0" w:color="auto"/>
              <w:right w:val="single" w:sz="4" w:space="0" w:color="auto"/>
            </w:tcBorders>
            <w:shd w:val="clear" w:color="000000" w:fill="FFFFFF"/>
            <w:noWrap/>
            <w:vAlign w:val="bottom"/>
            <w:hideMark/>
          </w:tcPr>
          <w:p w14:paraId="6DAB89D2" w14:textId="77777777" w:rsidR="00B56301" w:rsidRPr="00364545" w:rsidRDefault="00B56301" w:rsidP="00B37B65">
            <w:pPr>
              <w:jc w:val="right"/>
              <w:rPr>
                <w:rFonts w:asciiTheme="minorHAnsi" w:hAnsiTheme="minorHAnsi"/>
                <w:sz w:val="16"/>
                <w:szCs w:val="14"/>
              </w:rPr>
            </w:pPr>
            <w:r w:rsidRPr="00364545">
              <w:rPr>
                <w:sz w:val="16"/>
              </w:rPr>
              <w:t>4,82</w:t>
            </w:r>
          </w:p>
        </w:tc>
        <w:tc>
          <w:tcPr>
            <w:tcW w:w="991" w:type="dxa"/>
            <w:tcBorders>
              <w:top w:val="nil"/>
              <w:left w:val="nil"/>
              <w:bottom w:val="single" w:sz="4" w:space="0" w:color="auto"/>
              <w:right w:val="single" w:sz="4" w:space="0" w:color="auto"/>
            </w:tcBorders>
            <w:shd w:val="clear" w:color="000000" w:fill="FFFFFF"/>
            <w:noWrap/>
            <w:vAlign w:val="bottom"/>
            <w:hideMark/>
          </w:tcPr>
          <w:p w14:paraId="68D33A91" w14:textId="77777777" w:rsidR="00B56301" w:rsidRPr="00364545" w:rsidRDefault="00B56301" w:rsidP="00B37B65">
            <w:pPr>
              <w:jc w:val="right"/>
              <w:rPr>
                <w:rFonts w:asciiTheme="minorHAnsi" w:hAnsiTheme="minorHAnsi"/>
                <w:sz w:val="16"/>
                <w:szCs w:val="14"/>
              </w:rPr>
            </w:pPr>
            <w:r w:rsidRPr="00364545">
              <w:rPr>
                <w:sz w:val="16"/>
              </w:rPr>
              <w:t>4,93</w:t>
            </w:r>
          </w:p>
        </w:tc>
        <w:tc>
          <w:tcPr>
            <w:tcW w:w="991" w:type="dxa"/>
            <w:tcBorders>
              <w:top w:val="nil"/>
              <w:left w:val="nil"/>
              <w:bottom w:val="single" w:sz="4" w:space="0" w:color="auto"/>
              <w:right w:val="single" w:sz="4" w:space="0" w:color="auto"/>
            </w:tcBorders>
            <w:shd w:val="clear" w:color="000000" w:fill="FFFFFF"/>
            <w:noWrap/>
            <w:vAlign w:val="bottom"/>
            <w:hideMark/>
          </w:tcPr>
          <w:p w14:paraId="0A7AC17E" w14:textId="77777777" w:rsidR="00B56301" w:rsidRPr="00364545" w:rsidRDefault="00B56301" w:rsidP="00B37B65">
            <w:pPr>
              <w:jc w:val="right"/>
              <w:rPr>
                <w:rFonts w:asciiTheme="minorHAnsi" w:hAnsiTheme="minorHAnsi"/>
                <w:sz w:val="16"/>
                <w:szCs w:val="14"/>
              </w:rPr>
            </w:pPr>
            <w:r w:rsidRPr="00364545">
              <w:rPr>
                <w:sz w:val="16"/>
              </w:rPr>
              <w:t>4,57</w:t>
            </w:r>
          </w:p>
        </w:tc>
        <w:tc>
          <w:tcPr>
            <w:tcW w:w="991" w:type="dxa"/>
            <w:tcBorders>
              <w:top w:val="nil"/>
              <w:left w:val="nil"/>
              <w:bottom w:val="single" w:sz="4" w:space="0" w:color="auto"/>
              <w:right w:val="single" w:sz="4" w:space="0" w:color="auto"/>
            </w:tcBorders>
            <w:shd w:val="clear" w:color="000000" w:fill="FFFFFF"/>
            <w:noWrap/>
            <w:vAlign w:val="bottom"/>
            <w:hideMark/>
          </w:tcPr>
          <w:p w14:paraId="225DB912" w14:textId="77777777" w:rsidR="00B56301" w:rsidRPr="00364545" w:rsidRDefault="00B56301" w:rsidP="00B37B65">
            <w:pPr>
              <w:jc w:val="right"/>
              <w:rPr>
                <w:rFonts w:asciiTheme="minorHAnsi" w:hAnsiTheme="minorHAnsi"/>
                <w:sz w:val="16"/>
                <w:szCs w:val="14"/>
              </w:rPr>
            </w:pPr>
            <w:r w:rsidRPr="00364545">
              <w:rPr>
                <w:sz w:val="16"/>
              </w:rPr>
              <w:t>4,62</w:t>
            </w:r>
          </w:p>
        </w:tc>
      </w:tr>
      <w:tr w:rsidR="00B56301" w:rsidRPr="00364545" w14:paraId="45808FB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EC6652C" w14:textId="7090246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4C24394D" w14:textId="77777777" w:rsidR="00B56301" w:rsidRPr="00364545" w:rsidRDefault="00B56301" w:rsidP="00B37B65">
            <w:pPr>
              <w:jc w:val="right"/>
              <w:rPr>
                <w:rFonts w:asciiTheme="minorHAnsi" w:hAnsiTheme="minorHAnsi"/>
                <w:sz w:val="16"/>
                <w:szCs w:val="14"/>
              </w:rPr>
            </w:pPr>
            <w:r w:rsidRPr="00364545">
              <w:rPr>
                <w:sz w:val="16"/>
              </w:rPr>
              <w:t>6,94</w:t>
            </w:r>
          </w:p>
        </w:tc>
        <w:tc>
          <w:tcPr>
            <w:tcW w:w="991" w:type="dxa"/>
            <w:tcBorders>
              <w:top w:val="nil"/>
              <w:left w:val="nil"/>
              <w:bottom w:val="single" w:sz="4" w:space="0" w:color="auto"/>
              <w:right w:val="single" w:sz="4" w:space="0" w:color="auto"/>
            </w:tcBorders>
            <w:shd w:val="clear" w:color="000000" w:fill="FFFFFF"/>
            <w:noWrap/>
            <w:vAlign w:val="bottom"/>
            <w:hideMark/>
          </w:tcPr>
          <w:p w14:paraId="24B72F24" w14:textId="77777777" w:rsidR="00B56301" w:rsidRPr="00364545" w:rsidRDefault="00B56301" w:rsidP="00B37B65">
            <w:pPr>
              <w:jc w:val="right"/>
              <w:rPr>
                <w:rFonts w:asciiTheme="minorHAnsi" w:hAnsiTheme="minorHAnsi"/>
                <w:sz w:val="16"/>
                <w:szCs w:val="14"/>
              </w:rPr>
            </w:pPr>
            <w:r w:rsidRPr="00364545">
              <w:rPr>
                <w:sz w:val="16"/>
              </w:rPr>
              <w:t>6,48</w:t>
            </w:r>
          </w:p>
        </w:tc>
        <w:tc>
          <w:tcPr>
            <w:tcW w:w="991" w:type="dxa"/>
            <w:tcBorders>
              <w:top w:val="nil"/>
              <w:left w:val="nil"/>
              <w:bottom w:val="single" w:sz="4" w:space="0" w:color="auto"/>
              <w:right w:val="single" w:sz="4" w:space="0" w:color="auto"/>
            </w:tcBorders>
            <w:shd w:val="clear" w:color="000000" w:fill="FFFFFF"/>
            <w:noWrap/>
            <w:vAlign w:val="bottom"/>
            <w:hideMark/>
          </w:tcPr>
          <w:p w14:paraId="22984EB3" w14:textId="77777777" w:rsidR="00B56301" w:rsidRPr="00364545" w:rsidRDefault="00B56301" w:rsidP="00B37B65">
            <w:pPr>
              <w:jc w:val="right"/>
              <w:rPr>
                <w:rFonts w:asciiTheme="minorHAnsi" w:hAnsiTheme="minorHAnsi"/>
                <w:sz w:val="16"/>
                <w:szCs w:val="14"/>
              </w:rPr>
            </w:pPr>
            <w:r w:rsidRPr="00364545">
              <w:rPr>
                <w:sz w:val="16"/>
              </w:rPr>
              <w:t>6,12</w:t>
            </w:r>
          </w:p>
        </w:tc>
        <w:tc>
          <w:tcPr>
            <w:tcW w:w="991" w:type="dxa"/>
            <w:tcBorders>
              <w:top w:val="nil"/>
              <w:left w:val="nil"/>
              <w:bottom w:val="single" w:sz="4" w:space="0" w:color="auto"/>
              <w:right w:val="single" w:sz="4" w:space="0" w:color="auto"/>
            </w:tcBorders>
            <w:shd w:val="clear" w:color="000000" w:fill="FFFFFF"/>
            <w:noWrap/>
            <w:vAlign w:val="bottom"/>
            <w:hideMark/>
          </w:tcPr>
          <w:p w14:paraId="480FDB9B" w14:textId="77777777" w:rsidR="00B56301" w:rsidRPr="00364545" w:rsidRDefault="00B56301" w:rsidP="00B37B65">
            <w:pPr>
              <w:jc w:val="right"/>
              <w:rPr>
                <w:rFonts w:asciiTheme="minorHAnsi" w:hAnsiTheme="minorHAnsi"/>
                <w:sz w:val="16"/>
                <w:szCs w:val="14"/>
              </w:rPr>
            </w:pPr>
            <w:r w:rsidRPr="00364545">
              <w:rPr>
                <w:sz w:val="16"/>
              </w:rPr>
              <w:t>5,71</w:t>
            </w:r>
          </w:p>
        </w:tc>
        <w:tc>
          <w:tcPr>
            <w:tcW w:w="991" w:type="dxa"/>
            <w:tcBorders>
              <w:top w:val="nil"/>
              <w:left w:val="nil"/>
              <w:bottom w:val="single" w:sz="4" w:space="0" w:color="auto"/>
              <w:right w:val="single" w:sz="4" w:space="0" w:color="auto"/>
            </w:tcBorders>
            <w:shd w:val="clear" w:color="000000" w:fill="FFFFFF"/>
            <w:noWrap/>
            <w:vAlign w:val="bottom"/>
            <w:hideMark/>
          </w:tcPr>
          <w:p w14:paraId="23689417" w14:textId="77777777" w:rsidR="00B56301" w:rsidRPr="00364545" w:rsidRDefault="00B56301" w:rsidP="00B37B65">
            <w:pPr>
              <w:jc w:val="right"/>
              <w:rPr>
                <w:rFonts w:asciiTheme="minorHAnsi" w:hAnsiTheme="minorHAnsi"/>
                <w:sz w:val="16"/>
                <w:szCs w:val="14"/>
              </w:rPr>
            </w:pPr>
            <w:r w:rsidRPr="00364545">
              <w:rPr>
                <w:sz w:val="16"/>
              </w:rPr>
              <w:t>5,20</w:t>
            </w:r>
          </w:p>
        </w:tc>
        <w:tc>
          <w:tcPr>
            <w:tcW w:w="991" w:type="dxa"/>
            <w:tcBorders>
              <w:top w:val="nil"/>
              <w:left w:val="nil"/>
              <w:bottom w:val="single" w:sz="4" w:space="0" w:color="auto"/>
              <w:right w:val="single" w:sz="4" w:space="0" w:color="auto"/>
            </w:tcBorders>
            <w:shd w:val="clear" w:color="000000" w:fill="FFFFFF"/>
            <w:noWrap/>
            <w:vAlign w:val="bottom"/>
            <w:hideMark/>
          </w:tcPr>
          <w:p w14:paraId="7E05F478" w14:textId="77777777" w:rsidR="00B56301" w:rsidRPr="00364545" w:rsidRDefault="00B56301" w:rsidP="00B37B65">
            <w:pPr>
              <w:jc w:val="right"/>
              <w:rPr>
                <w:rFonts w:asciiTheme="minorHAnsi" w:hAnsiTheme="minorHAnsi"/>
                <w:sz w:val="16"/>
                <w:szCs w:val="14"/>
              </w:rPr>
            </w:pPr>
            <w:r w:rsidRPr="00364545">
              <w:rPr>
                <w:sz w:val="16"/>
              </w:rPr>
              <w:t>5,28</w:t>
            </w:r>
          </w:p>
        </w:tc>
      </w:tr>
      <w:tr w:rsidR="00B56301" w:rsidRPr="00364545" w14:paraId="0E17C26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0152295" w14:textId="64D127E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75DCB18D" w14:textId="77777777" w:rsidR="00B56301" w:rsidRPr="00364545" w:rsidRDefault="00B56301" w:rsidP="00B37B65">
            <w:pPr>
              <w:jc w:val="right"/>
              <w:rPr>
                <w:rFonts w:asciiTheme="minorHAnsi" w:hAnsiTheme="minorHAnsi"/>
                <w:sz w:val="16"/>
                <w:szCs w:val="14"/>
              </w:rPr>
            </w:pPr>
            <w:r w:rsidRPr="00364545">
              <w:rPr>
                <w:sz w:val="16"/>
              </w:rPr>
              <w:t>0,54</w:t>
            </w:r>
          </w:p>
        </w:tc>
        <w:tc>
          <w:tcPr>
            <w:tcW w:w="991" w:type="dxa"/>
            <w:tcBorders>
              <w:top w:val="nil"/>
              <w:left w:val="nil"/>
              <w:bottom w:val="single" w:sz="4" w:space="0" w:color="auto"/>
              <w:right w:val="single" w:sz="4" w:space="0" w:color="auto"/>
            </w:tcBorders>
            <w:shd w:val="clear" w:color="000000" w:fill="FFFFFF"/>
            <w:noWrap/>
            <w:vAlign w:val="bottom"/>
            <w:hideMark/>
          </w:tcPr>
          <w:p w14:paraId="2E945F24" w14:textId="77777777" w:rsidR="00B56301" w:rsidRPr="00364545" w:rsidRDefault="00B56301" w:rsidP="00B37B65">
            <w:pPr>
              <w:jc w:val="right"/>
              <w:rPr>
                <w:rFonts w:asciiTheme="minorHAnsi" w:hAnsiTheme="minorHAnsi"/>
                <w:sz w:val="16"/>
                <w:szCs w:val="14"/>
              </w:rPr>
            </w:pPr>
            <w:r w:rsidRPr="00364545">
              <w:rPr>
                <w:sz w:val="16"/>
              </w:rPr>
              <w:t>0,27</w:t>
            </w:r>
          </w:p>
        </w:tc>
        <w:tc>
          <w:tcPr>
            <w:tcW w:w="991" w:type="dxa"/>
            <w:tcBorders>
              <w:top w:val="nil"/>
              <w:left w:val="nil"/>
              <w:bottom w:val="single" w:sz="4" w:space="0" w:color="auto"/>
              <w:right w:val="single" w:sz="4" w:space="0" w:color="auto"/>
            </w:tcBorders>
            <w:shd w:val="clear" w:color="000000" w:fill="FFFFFF"/>
            <w:noWrap/>
            <w:vAlign w:val="bottom"/>
            <w:hideMark/>
          </w:tcPr>
          <w:p w14:paraId="0D12B7BB" w14:textId="77777777" w:rsidR="00B56301" w:rsidRPr="00364545" w:rsidRDefault="00B56301" w:rsidP="00B37B65">
            <w:pPr>
              <w:jc w:val="right"/>
              <w:rPr>
                <w:rFonts w:asciiTheme="minorHAnsi" w:hAnsiTheme="minorHAnsi"/>
                <w:sz w:val="16"/>
                <w:szCs w:val="14"/>
              </w:rPr>
            </w:pPr>
            <w:r w:rsidRPr="00364545">
              <w:rPr>
                <w:sz w:val="16"/>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221F37A2" w14:textId="77777777" w:rsidR="00B56301" w:rsidRPr="00364545" w:rsidRDefault="00B56301" w:rsidP="00B37B65">
            <w:pPr>
              <w:jc w:val="right"/>
              <w:rPr>
                <w:rFonts w:asciiTheme="minorHAnsi" w:hAnsiTheme="minorHAnsi"/>
                <w:sz w:val="16"/>
                <w:szCs w:val="14"/>
              </w:rPr>
            </w:pPr>
            <w:r w:rsidRPr="00364545">
              <w:rPr>
                <w:sz w:val="16"/>
              </w:rPr>
              <w:t>0,29</w:t>
            </w:r>
          </w:p>
        </w:tc>
        <w:tc>
          <w:tcPr>
            <w:tcW w:w="991" w:type="dxa"/>
            <w:tcBorders>
              <w:top w:val="nil"/>
              <w:left w:val="nil"/>
              <w:bottom w:val="single" w:sz="4" w:space="0" w:color="auto"/>
              <w:right w:val="single" w:sz="4" w:space="0" w:color="auto"/>
            </w:tcBorders>
            <w:shd w:val="clear" w:color="000000" w:fill="FFFFFF"/>
            <w:noWrap/>
            <w:vAlign w:val="bottom"/>
            <w:hideMark/>
          </w:tcPr>
          <w:p w14:paraId="22A60C42" w14:textId="77777777" w:rsidR="00B56301" w:rsidRPr="00364545" w:rsidRDefault="00B56301" w:rsidP="00B37B65">
            <w:pPr>
              <w:jc w:val="right"/>
              <w:rPr>
                <w:rFonts w:asciiTheme="minorHAnsi" w:hAnsiTheme="minorHAnsi"/>
                <w:sz w:val="16"/>
                <w:szCs w:val="14"/>
              </w:rPr>
            </w:pPr>
            <w:r w:rsidRPr="00364545">
              <w:rPr>
                <w:sz w:val="16"/>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5731019D" w14:textId="77777777" w:rsidR="00B56301" w:rsidRPr="00364545" w:rsidRDefault="00B56301" w:rsidP="00B37B65">
            <w:pPr>
              <w:jc w:val="right"/>
              <w:rPr>
                <w:rFonts w:asciiTheme="minorHAnsi" w:hAnsiTheme="minorHAnsi"/>
                <w:sz w:val="16"/>
                <w:szCs w:val="14"/>
              </w:rPr>
            </w:pPr>
            <w:r w:rsidRPr="00364545">
              <w:rPr>
                <w:sz w:val="16"/>
              </w:rPr>
              <w:t>0,37</w:t>
            </w:r>
          </w:p>
        </w:tc>
      </w:tr>
      <w:tr w:rsidR="00B56301" w:rsidRPr="00364545" w14:paraId="2F205A6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088844A" w14:textId="46F4DAC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E. 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5047D330" w14:textId="77777777" w:rsidR="00B56301" w:rsidRPr="00364545" w:rsidRDefault="00B56301" w:rsidP="00B37B65">
            <w:pPr>
              <w:jc w:val="right"/>
              <w:rPr>
                <w:rFonts w:asciiTheme="minorHAnsi" w:hAnsiTheme="minorHAnsi"/>
                <w:sz w:val="16"/>
                <w:szCs w:val="14"/>
              </w:rPr>
            </w:pPr>
            <w:r w:rsidRPr="00364545">
              <w:rPr>
                <w:sz w:val="16"/>
              </w:rPr>
              <w:t>2,93</w:t>
            </w:r>
          </w:p>
        </w:tc>
        <w:tc>
          <w:tcPr>
            <w:tcW w:w="991" w:type="dxa"/>
            <w:tcBorders>
              <w:top w:val="nil"/>
              <w:left w:val="nil"/>
              <w:bottom w:val="single" w:sz="4" w:space="0" w:color="auto"/>
              <w:right w:val="single" w:sz="4" w:space="0" w:color="auto"/>
            </w:tcBorders>
            <w:shd w:val="clear" w:color="000000" w:fill="FFFFFF"/>
            <w:noWrap/>
            <w:vAlign w:val="bottom"/>
            <w:hideMark/>
          </w:tcPr>
          <w:p w14:paraId="6E7DBD23" w14:textId="77777777" w:rsidR="00B56301" w:rsidRPr="00364545" w:rsidRDefault="00B56301" w:rsidP="00B37B65">
            <w:pPr>
              <w:jc w:val="right"/>
              <w:rPr>
                <w:rFonts w:asciiTheme="minorHAnsi" w:hAnsiTheme="minorHAnsi"/>
                <w:sz w:val="16"/>
                <w:szCs w:val="14"/>
              </w:rPr>
            </w:pPr>
            <w:r w:rsidRPr="00364545">
              <w:rPr>
                <w:sz w:val="16"/>
              </w:rPr>
              <w:t>3,28</w:t>
            </w:r>
          </w:p>
        </w:tc>
        <w:tc>
          <w:tcPr>
            <w:tcW w:w="991" w:type="dxa"/>
            <w:tcBorders>
              <w:top w:val="nil"/>
              <w:left w:val="nil"/>
              <w:bottom w:val="single" w:sz="4" w:space="0" w:color="auto"/>
              <w:right w:val="single" w:sz="4" w:space="0" w:color="auto"/>
            </w:tcBorders>
            <w:shd w:val="clear" w:color="000000" w:fill="FFFFFF"/>
            <w:noWrap/>
            <w:vAlign w:val="bottom"/>
            <w:hideMark/>
          </w:tcPr>
          <w:p w14:paraId="68CDECB6" w14:textId="77777777" w:rsidR="00B56301" w:rsidRPr="00364545" w:rsidRDefault="00B56301" w:rsidP="00B37B65">
            <w:pPr>
              <w:jc w:val="right"/>
              <w:rPr>
                <w:rFonts w:asciiTheme="minorHAnsi" w:hAnsiTheme="minorHAnsi"/>
                <w:sz w:val="16"/>
                <w:szCs w:val="14"/>
              </w:rPr>
            </w:pPr>
            <w:r w:rsidRPr="00364545">
              <w:rPr>
                <w:sz w:val="16"/>
              </w:rPr>
              <w:t>2,91</w:t>
            </w:r>
          </w:p>
        </w:tc>
        <w:tc>
          <w:tcPr>
            <w:tcW w:w="991" w:type="dxa"/>
            <w:tcBorders>
              <w:top w:val="nil"/>
              <w:left w:val="nil"/>
              <w:bottom w:val="single" w:sz="4" w:space="0" w:color="auto"/>
              <w:right w:val="single" w:sz="4" w:space="0" w:color="auto"/>
            </w:tcBorders>
            <w:shd w:val="clear" w:color="000000" w:fill="FFFFFF"/>
            <w:noWrap/>
            <w:vAlign w:val="bottom"/>
            <w:hideMark/>
          </w:tcPr>
          <w:p w14:paraId="3EFEEBD7" w14:textId="77777777" w:rsidR="00B56301" w:rsidRPr="00364545" w:rsidRDefault="00B56301" w:rsidP="00B37B65">
            <w:pPr>
              <w:jc w:val="right"/>
              <w:rPr>
                <w:rFonts w:asciiTheme="minorHAnsi" w:hAnsiTheme="minorHAnsi"/>
                <w:sz w:val="16"/>
                <w:szCs w:val="14"/>
              </w:rPr>
            </w:pPr>
            <w:r w:rsidRPr="00364545">
              <w:rPr>
                <w:sz w:val="16"/>
              </w:rPr>
              <w:t>2,49</w:t>
            </w:r>
          </w:p>
        </w:tc>
        <w:tc>
          <w:tcPr>
            <w:tcW w:w="991" w:type="dxa"/>
            <w:tcBorders>
              <w:top w:val="nil"/>
              <w:left w:val="nil"/>
              <w:bottom w:val="single" w:sz="4" w:space="0" w:color="auto"/>
              <w:right w:val="single" w:sz="4" w:space="0" w:color="auto"/>
            </w:tcBorders>
            <w:shd w:val="clear" w:color="000000" w:fill="FFFFFF"/>
            <w:noWrap/>
            <w:vAlign w:val="bottom"/>
            <w:hideMark/>
          </w:tcPr>
          <w:p w14:paraId="54AA7C42" w14:textId="77777777" w:rsidR="00B56301" w:rsidRPr="00364545" w:rsidRDefault="00B56301" w:rsidP="00B37B65">
            <w:pPr>
              <w:jc w:val="right"/>
              <w:rPr>
                <w:rFonts w:asciiTheme="minorHAnsi" w:hAnsiTheme="minorHAnsi"/>
                <w:sz w:val="16"/>
                <w:szCs w:val="14"/>
              </w:rPr>
            </w:pPr>
            <w:r w:rsidRPr="00364545">
              <w:rPr>
                <w:sz w:val="16"/>
              </w:rPr>
              <w:t>2,41</w:t>
            </w:r>
          </w:p>
        </w:tc>
        <w:tc>
          <w:tcPr>
            <w:tcW w:w="991" w:type="dxa"/>
            <w:tcBorders>
              <w:top w:val="nil"/>
              <w:left w:val="nil"/>
              <w:bottom w:val="single" w:sz="4" w:space="0" w:color="auto"/>
              <w:right w:val="single" w:sz="4" w:space="0" w:color="auto"/>
            </w:tcBorders>
            <w:shd w:val="clear" w:color="000000" w:fill="FFFFFF"/>
            <w:noWrap/>
            <w:vAlign w:val="bottom"/>
            <w:hideMark/>
          </w:tcPr>
          <w:p w14:paraId="2B6DD20F" w14:textId="77777777" w:rsidR="00B56301" w:rsidRPr="00364545" w:rsidRDefault="00B56301" w:rsidP="00B37B65">
            <w:pPr>
              <w:jc w:val="right"/>
              <w:rPr>
                <w:rFonts w:asciiTheme="minorHAnsi" w:hAnsiTheme="minorHAnsi"/>
                <w:sz w:val="16"/>
                <w:szCs w:val="14"/>
              </w:rPr>
            </w:pPr>
            <w:r w:rsidRPr="00364545">
              <w:rPr>
                <w:sz w:val="16"/>
              </w:rPr>
              <w:t>2,41</w:t>
            </w:r>
          </w:p>
        </w:tc>
      </w:tr>
      <w:tr w:rsidR="00B56301" w:rsidRPr="00364545" w14:paraId="013F024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737CEF3" w14:textId="3A7ADD6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030AEAFE"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E5B3EA"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B340735"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60535A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0E80063"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F63C310"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6D4DBF2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946F984" w14:textId="168CF76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62DF1EB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AAF92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E25F5E2"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56C45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B6B39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4138E7A"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1163699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AAA228A" w14:textId="256000B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4BFBE1F9" w14:textId="77777777" w:rsidR="00B56301" w:rsidRPr="00364545" w:rsidRDefault="00B56301" w:rsidP="00B37B65">
            <w:pPr>
              <w:jc w:val="right"/>
              <w:rPr>
                <w:rFonts w:asciiTheme="minorHAnsi" w:hAnsiTheme="minorHAnsi"/>
                <w:sz w:val="16"/>
                <w:szCs w:val="14"/>
              </w:rPr>
            </w:pPr>
            <w:r w:rsidRPr="00364545">
              <w:rPr>
                <w:sz w:val="16"/>
              </w:rPr>
              <w:t>10,53</w:t>
            </w:r>
          </w:p>
        </w:tc>
        <w:tc>
          <w:tcPr>
            <w:tcW w:w="991" w:type="dxa"/>
            <w:tcBorders>
              <w:top w:val="nil"/>
              <w:left w:val="nil"/>
              <w:bottom w:val="single" w:sz="4" w:space="0" w:color="auto"/>
              <w:right w:val="single" w:sz="4" w:space="0" w:color="auto"/>
            </w:tcBorders>
            <w:shd w:val="clear" w:color="000000" w:fill="FFFFFF"/>
            <w:noWrap/>
            <w:vAlign w:val="bottom"/>
            <w:hideMark/>
          </w:tcPr>
          <w:p w14:paraId="1918DF22" w14:textId="77777777" w:rsidR="00B56301" w:rsidRPr="00364545" w:rsidRDefault="00B56301" w:rsidP="00B37B65">
            <w:pPr>
              <w:jc w:val="right"/>
              <w:rPr>
                <w:rFonts w:asciiTheme="minorHAnsi" w:hAnsiTheme="minorHAnsi"/>
                <w:sz w:val="16"/>
                <w:szCs w:val="14"/>
              </w:rPr>
            </w:pPr>
            <w:r w:rsidRPr="00364545">
              <w:rPr>
                <w:sz w:val="16"/>
              </w:rPr>
              <w:t>10,01</w:t>
            </w:r>
          </w:p>
        </w:tc>
        <w:tc>
          <w:tcPr>
            <w:tcW w:w="991" w:type="dxa"/>
            <w:tcBorders>
              <w:top w:val="nil"/>
              <w:left w:val="nil"/>
              <w:bottom w:val="single" w:sz="4" w:space="0" w:color="auto"/>
              <w:right w:val="single" w:sz="4" w:space="0" w:color="auto"/>
            </w:tcBorders>
            <w:shd w:val="clear" w:color="000000" w:fill="FFFFFF"/>
            <w:noWrap/>
            <w:vAlign w:val="bottom"/>
            <w:hideMark/>
          </w:tcPr>
          <w:p w14:paraId="6A34CE60" w14:textId="77777777" w:rsidR="00B56301" w:rsidRPr="00364545" w:rsidRDefault="00B56301" w:rsidP="00B37B65">
            <w:pPr>
              <w:jc w:val="right"/>
              <w:rPr>
                <w:rFonts w:asciiTheme="minorHAnsi" w:hAnsiTheme="minorHAnsi"/>
                <w:sz w:val="16"/>
                <w:szCs w:val="14"/>
              </w:rPr>
            </w:pPr>
            <w:r w:rsidRPr="00364545">
              <w:rPr>
                <w:sz w:val="16"/>
              </w:rPr>
              <w:t>9,64</w:t>
            </w:r>
          </w:p>
        </w:tc>
        <w:tc>
          <w:tcPr>
            <w:tcW w:w="991" w:type="dxa"/>
            <w:tcBorders>
              <w:top w:val="nil"/>
              <w:left w:val="nil"/>
              <w:bottom w:val="single" w:sz="4" w:space="0" w:color="auto"/>
              <w:right w:val="single" w:sz="4" w:space="0" w:color="auto"/>
            </w:tcBorders>
            <w:shd w:val="clear" w:color="000000" w:fill="FFFFFF"/>
            <w:noWrap/>
            <w:vAlign w:val="bottom"/>
            <w:hideMark/>
          </w:tcPr>
          <w:p w14:paraId="06DE2D78" w14:textId="77777777" w:rsidR="00B56301" w:rsidRPr="00364545" w:rsidRDefault="00B56301" w:rsidP="00B37B65">
            <w:pPr>
              <w:jc w:val="right"/>
              <w:rPr>
                <w:rFonts w:asciiTheme="minorHAnsi" w:hAnsiTheme="minorHAnsi"/>
                <w:sz w:val="16"/>
                <w:szCs w:val="14"/>
              </w:rPr>
            </w:pPr>
            <w:r w:rsidRPr="00364545">
              <w:rPr>
                <w:sz w:val="16"/>
              </w:rPr>
              <w:t>9,37</w:t>
            </w:r>
          </w:p>
        </w:tc>
        <w:tc>
          <w:tcPr>
            <w:tcW w:w="991" w:type="dxa"/>
            <w:tcBorders>
              <w:top w:val="nil"/>
              <w:left w:val="nil"/>
              <w:bottom w:val="single" w:sz="4" w:space="0" w:color="auto"/>
              <w:right w:val="single" w:sz="4" w:space="0" w:color="auto"/>
            </w:tcBorders>
            <w:shd w:val="clear" w:color="000000" w:fill="FFFFFF"/>
            <w:noWrap/>
            <w:vAlign w:val="bottom"/>
            <w:hideMark/>
          </w:tcPr>
          <w:p w14:paraId="1482F9FC" w14:textId="77777777" w:rsidR="00B56301" w:rsidRPr="00364545" w:rsidRDefault="00B56301" w:rsidP="00B37B65">
            <w:pPr>
              <w:jc w:val="right"/>
              <w:rPr>
                <w:rFonts w:asciiTheme="minorHAnsi" w:hAnsiTheme="minorHAnsi"/>
                <w:sz w:val="16"/>
                <w:szCs w:val="14"/>
              </w:rPr>
            </w:pPr>
            <w:r w:rsidRPr="00364545">
              <w:rPr>
                <w:sz w:val="16"/>
              </w:rPr>
              <w:t>9,18</w:t>
            </w:r>
          </w:p>
        </w:tc>
        <w:tc>
          <w:tcPr>
            <w:tcW w:w="991" w:type="dxa"/>
            <w:tcBorders>
              <w:top w:val="nil"/>
              <w:left w:val="nil"/>
              <w:bottom w:val="single" w:sz="4" w:space="0" w:color="auto"/>
              <w:right w:val="single" w:sz="4" w:space="0" w:color="auto"/>
            </w:tcBorders>
            <w:shd w:val="clear" w:color="000000" w:fill="FFFFFF"/>
            <w:noWrap/>
            <w:vAlign w:val="bottom"/>
            <w:hideMark/>
          </w:tcPr>
          <w:p w14:paraId="7FBD0485" w14:textId="77777777" w:rsidR="00B56301" w:rsidRPr="00364545" w:rsidRDefault="00B56301" w:rsidP="00B37B65">
            <w:pPr>
              <w:jc w:val="right"/>
              <w:rPr>
                <w:rFonts w:asciiTheme="minorHAnsi" w:hAnsiTheme="minorHAnsi"/>
                <w:sz w:val="16"/>
                <w:szCs w:val="14"/>
              </w:rPr>
            </w:pPr>
            <w:r w:rsidRPr="00364545">
              <w:rPr>
                <w:sz w:val="16"/>
              </w:rPr>
              <w:t>9,05</w:t>
            </w:r>
          </w:p>
        </w:tc>
      </w:tr>
      <w:tr w:rsidR="00B56301" w:rsidRPr="00364545" w14:paraId="57B5D75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DD58DE8" w14:textId="6F08A7CC"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5. Waste</w:t>
            </w:r>
          </w:p>
        </w:tc>
        <w:tc>
          <w:tcPr>
            <w:tcW w:w="991" w:type="dxa"/>
            <w:tcBorders>
              <w:top w:val="nil"/>
              <w:left w:val="nil"/>
              <w:bottom w:val="single" w:sz="4" w:space="0" w:color="auto"/>
              <w:right w:val="single" w:sz="4" w:space="0" w:color="auto"/>
            </w:tcBorders>
            <w:shd w:val="clear" w:color="000000" w:fill="CCFFFF"/>
            <w:noWrap/>
            <w:vAlign w:val="bottom"/>
            <w:hideMark/>
          </w:tcPr>
          <w:p w14:paraId="74B1D9E4" w14:textId="77777777" w:rsidR="00B56301" w:rsidRPr="00364545" w:rsidRDefault="00B56301" w:rsidP="00B37B65">
            <w:pPr>
              <w:jc w:val="right"/>
              <w:rPr>
                <w:rFonts w:asciiTheme="minorHAnsi" w:hAnsiTheme="minorHAnsi"/>
                <w:sz w:val="16"/>
                <w:szCs w:val="14"/>
              </w:rPr>
            </w:pPr>
            <w:r w:rsidRPr="00364545">
              <w:rPr>
                <w:sz w:val="16"/>
              </w:rPr>
              <w:t>764,74</w:t>
            </w:r>
          </w:p>
        </w:tc>
        <w:tc>
          <w:tcPr>
            <w:tcW w:w="991" w:type="dxa"/>
            <w:tcBorders>
              <w:top w:val="nil"/>
              <w:left w:val="nil"/>
              <w:bottom w:val="single" w:sz="4" w:space="0" w:color="auto"/>
              <w:right w:val="single" w:sz="4" w:space="0" w:color="auto"/>
            </w:tcBorders>
            <w:shd w:val="clear" w:color="000000" w:fill="CCFFFF"/>
            <w:noWrap/>
            <w:vAlign w:val="bottom"/>
            <w:hideMark/>
          </w:tcPr>
          <w:p w14:paraId="6600ED26" w14:textId="77777777" w:rsidR="00B56301" w:rsidRPr="00364545" w:rsidRDefault="00B56301" w:rsidP="00B37B65">
            <w:pPr>
              <w:jc w:val="right"/>
              <w:rPr>
                <w:rFonts w:asciiTheme="minorHAnsi" w:hAnsiTheme="minorHAnsi"/>
                <w:sz w:val="16"/>
                <w:szCs w:val="14"/>
              </w:rPr>
            </w:pPr>
            <w:r w:rsidRPr="00364545">
              <w:rPr>
                <w:sz w:val="16"/>
              </w:rPr>
              <w:t>763,43</w:t>
            </w:r>
          </w:p>
        </w:tc>
        <w:tc>
          <w:tcPr>
            <w:tcW w:w="991" w:type="dxa"/>
            <w:tcBorders>
              <w:top w:val="nil"/>
              <w:left w:val="nil"/>
              <w:bottom w:val="single" w:sz="4" w:space="0" w:color="auto"/>
              <w:right w:val="single" w:sz="4" w:space="0" w:color="auto"/>
            </w:tcBorders>
            <w:shd w:val="clear" w:color="000000" w:fill="CCFFFF"/>
            <w:noWrap/>
            <w:vAlign w:val="bottom"/>
            <w:hideMark/>
          </w:tcPr>
          <w:p w14:paraId="4C96A53E" w14:textId="77777777" w:rsidR="00B56301" w:rsidRPr="00364545" w:rsidRDefault="00B56301" w:rsidP="00B37B65">
            <w:pPr>
              <w:jc w:val="right"/>
              <w:rPr>
                <w:rFonts w:asciiTheme="minorHAnsi" w:hAnsiTheme="minorHAnsi"/>
                <w:sz w:val="16"/>
                <w:szCs w:val="14"/>
              </w:rPr>
            </w:pPr>
            <w:r w:rsidRPr="00364545">
              <w:rPr>
                <w:sz w:val="16"/>
              </w:rPr>
              <w:t>739,49</w:t>
            </w:r>
          </w:p>
        </w:tc>
        <w:tc>
          <w:tcPr>
            <w:tcW w:w="991" w:type="dxa"/>
            <w:tcBorders>
              <w:top w:val="nil"/>
              <w:left w:val="nil"/>
              <w:bottom w:val="single" w:sz="4" w:space="0" w:color="auto"/>
              <w:right w:val="single" w:sz="4" w:space="0" w:color="auto"/>
            </w:tcBorders>
            <w:shd w:val="clear" w:color="000000" w:fill="CCFFFF"/>
            <w:noWrap/>
            <w:vAlign w:val="bottom"/>
            <w:hideMark/>
          </w:tcPr>
          <w:p w14:paraId="4A4E1E94" w14:textId="77777777" w:rsidR="00B56301" w:rsidRPr="00364545" w:rsidRDefault="00B56301" w:rsidP="00B37B65">
            <w:pPr>
              <w:jc w:val="right"/>
              <w:rPr>
                <w:rFonts w:asciiTheme="minorHAnsi" w:hAnsiTheme="minorHAnsi"/>
                <w:sz w:val="16"/>
                <w:szCs w:val="14"/>
              </w:rPr>
            </w:pPr>
            <w:r w:rsidRPr="00364545">
              <w:rPr>
                <w:sz w:val="16"/>
              </w:rPr>
              <w:t>739,49</w:t>
            </w:r>
          </w:p>
        </w:tc>
        <w:tc>
          <w:tcPr>
            <w:tcW w:w="991" w:type="dxa"/>
            <w:tcBorders>
              <w:top w:val="nil"/>
              <w:left w:val="nil"/>
              <w:bottom w:val="single" w:sz="4" w:space="0" w:color="auto"/>
              <w:right w:val="single" w:sz="4" w:space="0" w:color="auto"/>
            </w:tcBorders>
            <w:shd w:val="clear" w:color="000000" w:fill="CCFFFF"/>
            <w:noWrap/>
            <w:vAlign w:val="bottom"/>
            <w:hideMark/>
          </w:tcPr>
          <w:p w14:paraId="31F7F28D" w14:textId="77777777" w:rsidR="00B56301" w:rsidRPr="00364545" w:rsidRDefault="00B56301" w:rsidP="00B37B65">
            <w:pPr>
              <w:jc w:val="right"/>
              <w:rPr>
                <w:rFonts w:asciiTheme="minorHAnsi" w:hAnsiTheme="minorHAnsi"/>
                <w:sz w:val="16"/>
                <w:szCs w:val="14"/>
              </w:rPr>
            </w:pPr>
            <w:r w:rsidRPr="00364545">
              <w:rPr>
                <w:sz w:val="16"/>
              </w:rPr>
              <w:t>721,73</w:t>
            </w:r>
          </w:p>
        </w:tc>
        <w:tc>
          <w:tcPr>
            <w:tcW w:w="991" w:type="dxa"/>
            <w:tcBorders>
              <w:top w:val="nil"/>
              <w:left w:val="nil"/>
              <w:bottom w:val="single" w:sz="4" w:space="0" w:color="auto"/>
              <w:right w:val="single" w:sz="4" w:space="0" w:color="auto"/>
            </w:tcBorders>
            <w:shd w:val="clear" w:color="000000" w:fill="CCFFFF"/>
            <w:noWrap/>
            <w:vAlign w:val="bottom"/>
            <w:hideMark/>
          </w:tcPr>
          <w:p w14:paraId="1020DC73" w14:textId="77777777" w:rsidR="00B56301" w:rsidRPr="00364545" w:rsidRDefault="00B56301" w:rsidP="00B37B65">
            <w:pPr>
              <w:jc w:val="right"/>
              <w:rPr>
                <w:rFonts w:asciiTheme="minorHAnsi" w:hAnsiTheme="minorHAnsi"/>
                <w:sz w:val="16"/>
                <w:szCs w:val="14"/>
              </w:rPr>
            </w:pPr>
            <w:r w:rsidRPr="00364545">
              <w:rPr>
                <w:sz w:val="16"/>
              </w:rPr>
              <w:t>697,67</w:t>
            </w:r>
          </w:p>
        </w:tc>
      </w:tr>
      <w:tr w:rsidR="00B56301" w:rsidRPr="00364545" w14:paraId="768915B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613A502" w14:textId="3A1A413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6AAE2D98" w14:textId="77777777" w:rsidR="00B56301" w:rsidRPr="00364545" w:rsidRDefault="00B56301" w:rsidP="00B37B65">
            <w:pPr>
              <w:jc w:val="right"/>
              <w:rPr>
                <w:rFonts w:asciiTheme="minorHAnsi" w:hAnsiTheme="minorHAnsi"/>
                <w:sz w:val="16"/>
                <w:szCs w:val="14"/>
              </w:rPr>
            </w:pPr>
            <w:r w:rsidRPr="00364545">
              <w:rPr>
                <w:sz w:val="16"/>
              </w:rPr>
              <w:t>653,64</w:t>
            </w:r>
          </w:p>
        </w:tc>
        <w:tc>
          <w:tcPr>
            <w:tcW w:w="991" w:type="dxa"/>
            <w:tcBorders>
              <w:top w:val="nil"/>
              <w:left w:val="nil"/>
              <w:bottom w:val="single" w:sz="4" w:space="0" w:color="auto"/>
              <w:right w:val="single" w:sz="4" w:space="0" w:color="auto"/>
            </w:tcBorders>
            <w:shd w:val="clear" w:color="000000" w:fill="FFFFFF"/>
            <w:noWrap/>
            <w:vAlign w:val="bottom"/>
            <w:hideMark/>
          </w:tcPr>
          <w:p w14:paraId="37180167" w14:textId="77777777" w:rsidR="00B56301" w:rsidRPr="00364545" w:rsidRDefault="00B56301" w:rsidP="00B37B65">
            <w:pPr>
              <w:jc w:val="right"/>
              <w:rPr>
                <w:rFonts w:asciiTheme="minorHAnsi" w:hAnsiTheme="minorHAnsi"/>
                <w:sz w:val="16"/>
                <w:szCs w:val="14"/>
              </w:rPr>
            </w:pPr>
            <w:r w:rsidRPr="00364545">
              <w:rPr>
                <w:sz w:val="16"/>
              </w:rPr>
              <w:t>651,07</w:t>
            </w:r>
          </w:p>
        </w:tc>
        <w:tc>
          <w:tcPr>
            <w:tcW w:w="991" w:type="dxa"/>
            <w:tcBorders>
              <w:top w:val="nil"/>
              <w:left w:val="nil"/>
              <w:bottom w:val="single" w:sz="4" w:space="0" w:color="auto"/>
              <w:right w:val="single" w:sz="4" w:space="0" w:color="auto"/>
            </w:tcBorders>
            <w:shd w:val="clear" w:color="000000" w:fill="FFFFFF"/>
            <w:noWrap/>
            <w:vAlign w:val="bottom"/>
            <w:hideMark/>
          </w:tcPr>
          <w:p w14:paraId="2EFA9673" w14:textId="77777777" w:rsidR="00B56301" w:rsidRPr="00364545" w:rsidRDefault="00B56301" w:rsidP="00B37B65">
            <w:pPr>
              <w:jc w:val="right"/>
              <w:rPr>
                <w:rFonts w:asciiTheme="minorHAnsi" w:hAnsiTheme="minorHAnsi"/>
                <w:sz w:val="16"/>
                <w:szCs w:val="14"/>
              </w:rPr>
            </w:pPr>
            <w:r w:rsidRPr="00364545">
              <w:rPr>
                <w:sz w:val="16"/>
              </w:rPr>
              <w:t>625,46</w:t>
            </w:r>
          </w:p>
        </w:tc>
        <w:tc>
          <w:tcPr>
            <w:tcW w:w="991" w:type="dxa"/>
            <w:tcBorders>
              <w:top w:val="nil"/>
              <w:left w:val="nil"/>
              <w:bottom w:val="single" w:sz="4" w:space="0" w:color="auto"/>
              <w:right w:val="single" w:sz="4" w:space="0" w:color="auto"/>
            </w:tcBorders>
            <w:shd w:val="clear" w:color="000000" w:fill="FFFFFF"/>
            <w:noWrap/>
            <w:vAlign w:val="bottom"/>
            <w:hideMark/>
          </w:tcPr>
          <w:p w14:paraId="5E6A7EEF" w14:textId="77777777" w:rsidR="00B56301" w:rsidRPr="00364545" w:rsidRDefault="00B56301" w:rsidP="00B37B65">
            <w:pPr>
              <w:jc w:val="right"/>
              <w:rPr>
                <w:rFonts w:asciiTheme="minorHAnsi" w:hAnsiTheme="minorHAnsi"/>
                <w:sz w:val="16"/>
                <w:szCs w:val="14"/>
              </w:rPr>
            </w:pPr>
            <w:r w:rsidRPr="00364545">
              <w:rPr>
                <w:sz w:val="16"/>
              </w:rPr>
              <w:t>623,50</w:t>
            </w:r>
          </w:p>
        </w:tc>
        <w:tc>
          <w:tcPr>
            <w:tcW w:w="991" w:type="dxa"/>
            <w:tcBorders>
              <w:top w:val="nil"/>
              <w:left w:val="nil"/>
              <w:bottom w:val="single" w:sz="4" w:space="0" w:color="auto"/>
              <w:right w:val="single" w:sz="4" w:space="0" w:color="auto"/>
            </w:tcBorders>
            <w:shd w:val="clear" w:color="000000" w:fill="FFFFFF"/>
            <w:noWrap/>
            <w:vAlign w:val="bottom"/>
            <w:hideMark/>
          </w:tcPr>
          <w:p w14:paraId="369489C4" w14:textId="77777777" w:rsidR="00B56301" w:rsidRPr="00364545" w:rsidRDefault="00B56301" w:rsidP="00B37B65">
            <w:pPr>
              <w:jc w:val="right"/>
              <w:rPr>
                <w:rFonts w:asciiTheme="minorHAnsi" w:hAnsiTheme="minorHAnsi"/>
                <w:sz w:val="16"/>
                <w:szCs w:val="14"/>
              </w:rPr>
            </w:pPr>
            <w:r w:rsidRPr="00364545">
              <w:rPr>
                <w:sz w:val="16"/>
              </w:rPr>
              <w:t>601,04</w:t>
            </w:r>
          </w:p>
        </w:tc>
        <w:tc>
          <w:tcPr>
            <w:tcW w:w="991" w:type="dxa"/>
            <w:tcBorders>
              <w:top w:val="nil"/>
              <w:left w:val="nil"/>
              <w:bottom w:val="single" w:sz="4" w:space="0" w:color="auto"/>
              <w:right w:val="single" w:sz="4" w:space="0" w:color="auto"/>
            </w:tcBorders>
            <w:shd w:val="clear" w:color="000000" w:fill="FFFFFF"/>
            <w:noWrap/>
            <w:vAlign w:val="bottom"/>
            <w:hideMark/>
          </w:tcPr>
          <w:p w14:paraId="7B75F01A" w14:textId="77777777" w:rsidR="00B56301" w:rsidRPr="00364545" w:rsidRDefault="00B56301" w:rsidP="00B37B65">
            <w:pPr>
              <w:jc w:val="right"/>
              <w:rPr>
                <w:rFonts w:asciiTheme="minorHAnsi" w:hAnsiTheme="minorHAnsi"/>
                <w:sz w:val="16"/>
                <w:szCs w:val="14"/>
              </w:rPr>
            </w:pPr>
            <w:r w:rsidRPr="00364545">
              <w:rPr>
                <w:sz w:val="16"/>
              </w:rPr>
              <w:t>572,06</w:t>
            </w:r>
          </w:p>
        </w:tc>
      </w:tr>
      <w:tr w:rsidR="00B56301" w:rsidRPr="00364545" w14:paraId="65F1A66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1332DA" w14:textId="1C447116"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6F92842C" w14:textId="77777777" w:rsidR="00B56301" w:rsidRPr="00364545" w:rsidRDefault="00B56301" w:rsidP="00B37B65">
            <w:pPr>
              <w:jc w:val="right"/>
              <w:rPr>
                <w:rFonts w:asciiTheme="minorHAnsi" w:hAnsiTheme="minorHAnsi"/>
                <w:sz w:val="16"/>
                <w:szCs w:val="14"/>
              </w:rPr>
            </w:pPr>
            <w:r w:rsidRPr="00364545">
              <w:rPr>
                <w:sz w:val="16"/>
              </w:rPr>
              <w:t>24,64</w:t>
            </w:r>
          </w:p>
        </w:tc>
        <w:tc>
          <w:tcPr>
            <w:tcW w:w="991" w:type="dxa"/>
            <w:tcBorders>
              <w:top w:val="nil"/>
              <w:left w:val="nil"/>
              <w:bottom w:val="single" w:sz="4" w:space="0" w:color="auto"/>
              <w:right w:val="single" w:sz="4" w:space="0" w:color="auto"/>
            </w:tcBorders>
            <w:shd w:val="clear" w:color="000000" w:fill="FFFFFF"/>
            <w:noWrap/>
            <w:vAlign w:val="bottom"/>
            <w:hideMark/>
          </w:tcPr>
          <w:p w14:paraId="62E587EA" w14:textId="77777777" w:rsidR="00B56301" w:rsidRPr="00364545" w:rsidRDefault="00B56301" w:rsidP="00B37B65">
            <w:pPr>
              <w:jc w:val="right"/>
              <w:rPr>
                <w:rFonts w:asciiTheme="minorHAnsi" w:hAnsiTheme="minorHAnsi"/>
                <w:sz w:val="16"/>
                <w:szCs w:val="14"/>
              </w:rPr>
            </w:pPr>
            <w:r w:rsidRPr="00364545">
              <w:rPr>
                <w:sz w:val="16"/>
              </w:rPr>
              <w:t>25,38</w:t>
            </w:r>
          </w:p>
        </w:tc>
        <w:tc>
          <w:tcPr>
            <w:tcW w:w="991" w:type="dxa"/>
            <w:tcBorders>
              <w:top w:val="nil"/>
              <w:left w:val="nil"/>
              <w:bottom w:val="single" w:sz="4" w:space="0" w:color="auto"/>
              <w:right w:val="single" w:sz="4" w:space="0" w:color="auto"/>
            </w:tcBorders>
            <w:shd w:val="clear" w:color="000000" w:fill="FFFFFF"/>
            <w:noWrap/>
            <w:vAlign w:val="bottom"/>
            <w:hideMark/>
          </w:tcPr>
          <w:p w14:paraId="1A9C06A2" w14:textId="77777777" w:rsidR="00B56301" w:rsidRPr="00364545" w:rsidRDefault="00B56301" w:rsidP="00B37B65">
            <w:pPr>
              <w:jc w:val="right"/>
              <w:rPr>
                <w:rFonts w:asciiTheme="minorHAnsi" w:hAnsiTheme="minorHAnsi"/>
                <w:sz w:val="16"/>
                <w:szCs w:val="14"/>
              </w:rPr>
            </w:pPr>
            <w:r w:rsidRPr="00364545">
              <w:rPr>
                <w:sz w:val="16"/>
              </w:rPr>
              <w:t>26,61</w:t>
            </w:r>
          </w:p>
        </w:tc>
        <w:tc>
          <w:tcPr>
            <w:tcW w:w="991" w:type="dxa"/>
            <w:tcBorders>
              <w:top w:val="nil"/>
              <w:left w:val="nil"/>
              <w:bottom w:val="single" w:sz="4" w:space="0" w:color="auto"/>
              <w:right w:val="single" w:sz="4" w:space="0" w:color="auto"/>
            </w:tcBorders>
            <w:shd w:val="clear" w:color="000000" w:fill="FFFFFF"/>
            <w:noWrap/>
            <w:vAlign w:val="bottom"/>
            <w:hideMark/>
          </w:tcPr>
          <w:p w14:paraId="6EB73A88" w14:textId="77777777" w:rsidR="00B56301" w:rsidRPr="00364545" w:rsidRDefault="00B56301" w:rsidP="00B37B65">
            <w:pPr>
              <w:jc w:val="right"/>
              <w:rPr>
                <w:rFonts w:asciiTheme="minorHAnsi" w:hAnsiTheme="minorHAnsi"/>
                <w:sz w:val="16"/>
                <w:szCs w:val="14"/>
              </w:rPr>
            </w:pPr>
            <w:r w:rsidRPr="00364545">
              <w:rPr>
                <w:sz w:val="16"/>
              </w:rPr>
              <w:t>27,72</w:t>
            </w:r>
          </w:p>
        </w:tc>
        <w:tc>
          <w:tcPr>
            <w:tcW w:w="991" w:type="dxa"/>
            <w:tcBorders>
              <w:top w:val="nil"/>
              <w:left w:val="nil"/>
              <w:bottom w:val="single" w:sz="4" w:space="0" w:color="auto"/>
              <w:right w:val="single" w:sz="4" w:space="0" w:color="auto"/>
            </w:tcBorders>
            <w:shd w:val="clear" w:color="000000" w:fill="FFFFFF"/>
            <w:noWrap/>
            <w:vAlign w:val="bottom"/>
            <w:hideMark/>
          </w:tcPr>
          <w:p w14:paraId="064D70C4" w14:textId="77777777" w:rsidR="00B56301" w:rsidRPr="00364545" w:rsidRDefault="00B56301" w:rsidP="00B37B65">
            <w:pPr>
              <w:jc w:val="right"/>
              <w:rPr>
                <w:rFonts w:asciiTheme="minorHAnsi" w:hAnsiTheme="minorHAnsi"/>
                <w:sz w:val="16"/>
                <w:szCs w:val="14"/>
              </w:rPr>
            </w:pPr>
            <w:r w:rsidRPr="00364545">
              <w:rPr>
                <w:sz w:val="16"/>
              </w:rPr>
              <w:t>32,03</w:t>
            </w:r>
          </w:p>
        </w:tc>
        <w:tc>
          <w:tcPr>
            <w:tcW w:w="991" w:type="dxa"/>
            <w:tcBorders>
              <w:top w:val="nil"/>
              <w:left w:val="nil"/>
              <w:bottom w:val="single" w:sz="4" w:space="0" w:color="auto"/>
              <w:right w:val="single" w:sz="4" w:space="0" w:color="auto"/>
            </w:tcBorders>
            <w:shd w:val="clear" w:color="000000" w:fill="FFFFFF"/>
            <w:noWrap/>
            <w:vAlign w:val="bottom"/>
            <w:hideMark/>
          </w:tcPr>
          <w:p w14:paraId="63EBBE55" w14:textId="77777777" w:rsidR="00B56301" w:rsidRPr="00364545" w:rsidRDefault="00B56301" w:rsidP="00B37B65">
            <w:pPr>
              <w:jc w:val="right"/>
              <w:rPr>
                <w:rFonts w:asciiTheme="minorHAnsi" w:hAnsiTheme="minorHAnsi"/>
                <w:sz w:val="16"/>
                <w:szCs w:val="14"/>
              </w:rPr>
            </w:pPr>
            <w:r w:rsidRPr="00364545">
              <w:rPr>
                <w:sz w:val="16"/>
              </w:rPr>
              <w:t>36,35</w:t>
            </w:r>
          </w:p>
        </w:tc>
      </w:tr>
      <w:tr w:rsidR="00B56301" w:rsidRPr="00364545" w14:paraId="64E3A65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88DFD6" w14:textId="08B322E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57FFCD3D" w14:textId="77777777" w:rsidR="00B56301" w:rsidRPr="00364545" w:rsidRDefault="00B56301" w:rsidP="00B37B65">
            <w:pPr>
              <w:jc w:val="right"/>
              <w:rPr>
                <w:rFonts w:asciiTheme="minorHAnsi" w:hAnsiTheme="minorHAnsi"/>
                <w:sz w:val="16"/>
                <w:szCs w:val="14"/>
              </w:rPr>
            </w:pPr>
            <w:r w:rsidRPr="00364545">
              <w:rPr>
                <w:sz w:val="16"/>
              </w:rPr>
              <w:t>1,00</w:t>
            </w:r>
          </w:p>
        </w:tc>
        <w:tc>
          <w:tcPr>
            <w:tcW w:w="991" w:type="dxa"/>
            <w:tcBorders>
              <w:top w:val="nil"/>
              <w:left w:val="nil"/>
              <w:bottom w:val="single" w:sz="4" w:space="0" w:color="auto"/>
              <w:right w:val="single" w:sz="4" w:space="0" w:color="auto"/>
            </w:tcBorders>
            <w:shd w:val="clear" w:color="000000" w:fill="FFFFFF"/>
            <w:noWrap/>
            <w:vAlign w:val="bottom"/>
            <w:hideMark/>
          </w:tcPr>
          <w:p w14:paraId="0B71755B" w14:textId="77777777" w:rsidR="00B56301" w:rsidRPr="00364545" w:rsidRDefault="00B56301" w:rsidP="00B37B65">
            <w:pPr>
              <w:jc w:val="right"/>
              <w:rPr>
                <w:rFonts w:asciiTheme="minorHAnsi" w:hAnsiTheme="minorHAnsi"/>
                <w:sz w:val="16"/>
                <w:szCs w:val="14"/>
              </w:rPr>
            </w:pPr>
            <w:r w:rsidRPr="00364545">
              <w:rPr>
                <w:sz w:val="16"/>
              </w:rPr>
              <w:t>1,01</w:t>
            </w:r>
          </w:p>
        </w:tc>
        <w:tc>
          <w:tcPr>
            <w:tcW w:w="991" w:type="dxa"/>
            <w:tcBorders>
              <w:top w:val="nil"/>
              <w:left w:val="nil"/>
              <w:bottom w:val="single" w:sz="4" w:space="0" w:color="auto"/>
              <w:right w:val="single" w:sz="4" w:space="0" w:color="auto"/>
            </w:tcBorders>
            <w:shd w:val="clear" w:color="000000" w:fill="FFFFFF"/>
            <w:noWrap/>
            <w:vAlign w:val="bottom"/>
            <w:hideMark/>
          </w:tcPr>
          <w:p w14:paraId="1AAFE686" w14:textId="77777777" w:rsidR="00B56301" w:rsidRPr="00364545" w:rsidRDefault="00B56301" w:rsidP="00B37B65">
            <w:pPr>
              <w:jc w:val="right"/>
              <w:rPr>
                <w:rFonts w:asciiTheme="minorHAnsi" w:hAnsiTheme="minorHAnsi"/>
                <w:sz w:val="16"/>
                <w:szCs w:val="14"/>
              </w:rPr>
            </w:pPr>
            <w:r w:rsidRPr="00364545">
              <w:rPr>
                <w:sz w:val="16"/>
              </w:rPr>
              <w:t>1,01</w:t>
            </w:r>
          </w:p>
        </w:tc>
        <w:tc>
          <w:tcPr>
            <w:tcW w:w="991" w:type="dxa"/>
            <w:tcBorders>
              <w:top w:val="nil"/>
              <w:left w:val="nil"/>
              <w:bottom w:val="single" w:sz="4" w:space="0" w:color="auto"/>
              <w:right w:val="single" w:sz="4" w:space="0" w:color="auto"/>
            </w:tcBorders>
            <w:shd w:val="clear" w:color="000000" w:fill="FFFFFF"/>
            <w:noWrap/>
            <w:vAlign w:val="bottom"/>
            <w:hideMark/>
          </w:tcPr>
          <w:p w14:paraId="692B5A93" w14:textId="77777777" w:rsidR="00B56301" w:rsidRPr="00364545" w:rsidRDefault="00B56301" w:rsidP="00B37B65">
            <w:pPr>
              <w:jc w:val="right"/>
              <w:rPr>
                <w:rFonts w:asciiTheme="minorHAnsi" w:hAnsiTheme="minorHAnsi"/>
                <w:sz w:val="16"/>
                <w:szCs w:val="14"/>
              </w:rPr>
            </w:pPr>
            <w:r w:rsidRPr="00364545">
              <w:rPr>
                <w:sz w:val="16"/>
              </w:rPr>
              <w:t>1,00</w:t>
            </w:r>
          </w:p>
        </w:tc>
        <w:tc>
          <w:tcPr>
            <w:tcW w:w="991" w:type="dxa"/>
            <w:tcBorders>
              <w:top w:val="nil"/>
              <w:left w:val="nil"/>
              <w:bottom w:val="single" w:sz="4" w:space="0" w:color="auto"/>
              <w:right w:val="single" w:sz="4" w:space="0" w:color="auto"/>
            </w:tcBorders>
            <w:shd w:val="clear" w:color="000000" w:fill="FFFFFF"/>
            <w:noWrap/>
            <w:vAlign w:val="bottom"/>
            <w:hideMark/>
          </w:tcPr>
          <w:p w14:paraId="3F3EA693" w14:textId="77777777" w:rsidR="00B56301" w:rsidRPr="00364545" w:rsidRDefault="00B56301" w:rsidP="00B37B65">
            <w:pPr>
              <w:jc w:val="right"/>
              <w:rPr>
                <w:rFonts w:asciiTheme="minorHAnsi" w:hAnsiTheme="minorHAnsi"/>
                <w:sz w:val="16"/>
                <w:szCs w:val="14"/>
              </w:rPr>
            </w:pPr>
            <w:r w:rsidRPr="00364545">
              <w:rPr>
                <w:sz w:val="16"/>
              </w:rPr>
              <w:t>0,99</w:t>
            </w:r>
          </w:p>
        </w:tc>
        <w:tc>
          <w:tcPr>
            <w:tcW w:w="991" w:type="dxa"/>
            <w:tcBorders>
              <w:top w:val="nil"/>
              <w:left w:val="nil"/>
              <w:bottom w:val="single" w:sz="4" w:space="0" w:color="auto"/>
              <w:right w:val="single" w:sz="4" w:space="0" w:color="auto"/>
            </w:tcBorders>
            <w:shd w:val="clear" w:color="000000" w:fill="FFFFFF"/>
            <w:noWrap/>
            <w:vAlign w:val="bottom"/>
            <w:hideMark/>
          </w:tcPr>
          <w:p w14:paraId="618921D4" w14:textId="77777777" w:rsidR="00B56301" w:rsidRPr="00364545" w:rsidRDefault="00B56301" w:rsidP="00B37B65">
            <w:pPr>
              <w:jc w:val="right"/>
              <w:rPr>
                <w:rFonts w:asciiTheme="minorHAnsi" w:hAnsiTheme="minorHAnsi"/>
                <w:sz w:val="16"/>
                <w:szCs w:val="14"/>
              </w:rPr>
            </w:pPr>
            <w:r w:rsidRPr="00364545">
              <w:rPr>
                <w:sz w:val="16"/>
              </w:rPr>
              <w:t>1,07</w:t>
            </w:r>
          </w:p>
        </w:tc>
      </w:tr>
      <w:tr w:rsidR="00B56301" w:rsidRPr="00364545" w14:paraId="73A13CD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C716021" w14:textId="5B4DA29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74818383" w14:textId="77777777" w:rsidR="00B56301" w:rsidRPr="00364545" w:rsidRDefault="00B56301" w:rsidP="00B37B65">
            <w:pPr>
              <w:jc w:val="right"/>
              <w:rPr>
                <w:rFonts w:asciiTheme="minorHAnsi" w:hAnsiTheme="minorHAnsi"/>
                <w:sz w:val="16"/>
                <w:szCs w:val="14"/>
              </w:rPr>
            </w:pPr>
            <w:r w:rsidRPr="00364545">
              <w:rPr>
                <w:sz w:val="16"/>
              </w:rPr>
              <w:t>85,46</w:t>
            </w:r>
          </w:p>
        </w:tc>
        <w:tc>
          <w:tcPr>
            <w:tcW w:w="991" w:type="dxa"/>
            <w:tcBorders>
              <w:top w:val="nil"/>
              <w:left w:val="nil"/>
              <w:bottom w:val="single" w:sz="4" w:space="0" w:color="auto"/>
              <w:right w:val="single" w:sz="4" w:space="0" w:color="auto"/>
            </w:tcBorders>
            <w:shd w:val="clear" w:color="000000" w:fill="FFFFFF"/>
            <w:noWrap/>
            <w:vAlign w:val="bottom"/>
            <w:hideMark/>
          </w:tcPr>
          <w:p w14:paraId="279F3B44" w14:textId="77777777" w:rsidR="00B56301" w:rsidRPr="00364545" w:rsidRDefault="00B56301" w:rsidP="00B37B65">
            <w:pPr>
              <w:jc w:val="right"/>
              <w:rPr>
                <w:rFonts w:asciiTheme="minorHAnsi" w:hAnsiTheme="minorHAnsi"/>
                <w:sz w:val="16"/>
                <w:szCs w:val="14"/>
              </w:rPr>
            </w:pPr>
            <w:r w:rsidRPr="00364545">
              <w:rPr>
                <w:sz w:val="16"/>
              </w:rPr>
              <w:t>85,97</w:t>
            </w:r>
          </w:p>
        </w:tc>
        <w:tc>
          <w:tcPr>
            <w:tcW w:w="991" w:type="dxa"/>
            <w:tcBorders>
              <w:top w:val="nil"/>
              <w:left w:val="nil"/>
              <w:bottom w:val="single" w:sz="4" w:space="0" w:color="auto"/>
              <w:right w:val="single" w:sz="4" w:space="0" w:color="auto"/>
            </w:tcBorders>
            <w:shd w:val="clear" w:color="000000" w:fill="FFFFFF"/>
            <w:noWrap/>
            <w:vAlign w:val="bottom"/>
            <w:hideMark/>
          </w:tcPr>
          <w:p w14:paraId="22B17127" w14:textId="77777777" w:rsidR="00B56301" w:rsidRPr="00364545" w:rsidRDefault="00B56301" w:rsidP="00B37B65">
            <w:pPr>
              <w:jc w:val="right"/>
              <w:rPr>
                <w:rFonts w:asciiTheme="minorHAnsi" w:hAnsiTheme="minorHAnsi"/>
                <w:sz w:val="16"/>
                <w:szCs w:val="14"/>
              </w:rPr>
            </w:pPr>
            <w:r w:rsidRPr="00364545">
              <w:rPr>
                <w:sz w:val="16"/>
              </w:rPr>
              <w:t>86,41</w:t>
            </w:r>
          </w:p>
        </w:tc>
        <w:tc>
          <w:tcPr>
            <w:tcW w:w="991" w:type="dxa"/>
            <w:tcBorders>
              <w:top w:val="nil"/>
              <w:left w:val="nil"/>
              <w:bottom w:val="single" w:sz="4" w:space="0" w:color="auto"/>
              <w:right w:val="single" w:sz="4" w:space="0" w:color="auto"/>
            </w:tcBorders>
            <w:shd w:val="clear" w:color="000000" w:fill="FFFFFF"/>
            <w:noWrap/>
            <w:vAlign w:val="bottom"/>
            <w:hideMark/>
          </w:tcPr>
          <w:p w14:paraId="0C4EA9A8" w14:textId="77777777" w:rsidR="00B56301" w:rsidRPr="00364545" w:rsidRDefault="00B56301" w:rsidP="00B37B65">
            <w:pPr>
              <w:jc w:val="right"/>
              <w:rPr>
                <w:rFonts w:asciiTheme="minorHAnsi" w:hAnsiTheme="minorHAnsi"/>
                <w:sz w:val="16"/>
                <w:szCs w:val="14"/>
              </w:rPr>
            </w:pPr>
            <w:r w:rsidRPr="00364545">
              <w:rPr>
                <w:sz w:val="16"/>
              </w:rPr>
              <w:t>87,27</w:t>
            </w:r>
          </w:p>
        </w:tc>
        <w:tc>
          <w:tcPr>
            <w:tcW w:w="991" w:type="dxa"/>
            <w:tcBorders>
              <w:top w:val="nil"/>
              <w:left w:val="nil"/>
              <w:bottom w:val="single" w:sz="4" w:space="0" w:color="auto"/>
              <w:right w:val="single" w:sz="4" w:space="0" w:color="auto"/>
            </w:tcBorders>
            <w:shd w:val="clear" w:color="000000" w:fill="FFFFFF"/>
            <w:noWrap/>
            <w:vAlign w:val="bottom"/>
            <w:hideMark/>
          </w:tcPr>
          <w:p w14:paraId="40CF4642" w14:textId="77777777" w:rsidR="00B56301" w:rsidRPr="00364545" w:rsidRDefault="00B56301" w:rsidP="00B37B65">
            <w:pPr>
              <w:jc w:val="right"/>
              <w:rPr>
                <w:rFonts w:asciiTheme="minorHAnsi" w:hAnsiTheme="minorHAnsi"/>
                <w:sz w:val="16"/>
                <w:szCs w:val="14"/>
              </w:rPr>
            </w:pPr>
            <w:r w:rsidRPr="00364545">
              <w:rPr>
                <w:sz w:val="16"/>
              </w:rPr>
              <w:t>87,67</w:t>
            </w:r>
          </w:p>
        </w:tc>
        <w:tc>
          <w:tcPr>
            <w:tcW w:w="991" w:type="dxa"/>
            <w:tcBorders>
              <w:top w:val="nil"/>
              <w:left w:val="nil"/>
              <w:bottom w:val="single" w:sz="4" w:space="0" w:color="auto"/>
              <w:right w:val="single" w:sz="4" w:space="0" w:color="auto"/>
            </w:tcBorders>
            <w:shd w:val="clear" w:color="000000" w:fill="FFFFFF"/>
            <w:noWrap/>
            <w:vAlign w:val="bottom"/>
            <w:hideMark/>
          </w:tcPr>
          <w:p w14:paraId="6AC71C9A" w14:textId="77777777" w:rsidR="00B56301" w:rsidRPr="00364545" w:rsidRDefault="00B56301" w:rsidP="00B37B65">
            <w:pPr>
              <w:jc w:val="right"/>
              <w:rPr>
                <w:rFonts w:asciiTheme="minorHAnsi" w:hAnsiTheme="minorHAnsi"/>
                <w:sz w:val="16"/>
                <w:szCs w:val="14"/>
              </w:rPr>
            </w:pPr>
            <w:r w:rsidRPr="00364545">
              <w:rPr>
                <w:sz w:val="16"/>
              </w:rPr>
              <w:t>88,19</w:t>
            </w:r>
          </w:p>
        </w:tc>
      </w:tr>
      <w:tr w:rsidR="00B56301" w:rsidRPr="00364545" w14:paraId="31F71A4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A8493F" w14:textId="4C639C6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Other</w:t>
            </w:r>
            <w:r w:rsidRPr="00364545">
              <w:rPr>
                <w:rFonts w:asciiTheme="minorHAnsi" w:hAnsiTheme="minorHAnsi"/>
                <w:b/>
                <w:i/>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520EA577"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6EEAD2F"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D76AD94"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CEDE7E0"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DE53F70"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EBF74F8"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3110E5B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FB8A508" w14:textId="2473E693"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19A0126E"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CEFB671"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336D489"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69844A2F"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31ED2AF"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0853361"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1F7D0DA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04A1A70" w14:textId="70C83341"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 xml:space="preserve">emissions without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65E51CEB" w14:textId="77777777" w:rsidR="00B56301" w:rsidRPr="00364545" w:rsidRDefault="00B56301" w:rsidP="00B37B65">
            <w:pPr>
              <w:jc w:val="right"/>
              <w:rPr>
                <w:rFonts w:asciiTheme="minorHAnsi" w:hAnsiTheme="minorHAnsi"/>
                <w:sz w:val="16"/>
                <w:szCs w:val="14"/>
              </w:rPr>
            </w:pPr>
            <w:r w:rsidRPr="00364545">
              <w:rPr>
                <w:sz w:val="16"/>
              </w:rPr>
              <w:t>2513,19</w:t>
            </w:r>
          </w:p>
        </w:tc>
        <w:tc>
          <w:tcPr>
            <w:tcW w:w="991" w:type="dxa"/>
            <w:tcBorders>
              <w:top w:val="nil"/>
              <w:left w:val="nil"/>
              <w:bottom w:val="single" w:sz="4" w:space="0" w:color="auto"/>
              <w:right w:val="single" w:sz="4" w:space="0" w:color="auto"/>
            </w:tcBorders>
            <w:shd w:val="clear" w:color="000000" w:fill="CCFFFF"/>
            <w:noWrap/>
            <w:vAlign w:val="bottom"/>
            <w:hideMark/>
          </w:tcPr>
          <w:p w14:paraId="2193424F" w14:textId="77777777" w:rsidR="00B56301" w:rsidRPr="00364545" w:rsidRDefault="00B56301" w:rsidP="00B37B65">
            <w:pPr>
              <w:jc w:val="right"/>
              <w:rPr>
                <w:rFonts w:asciiTheme="minorHAnsi" w:hAnsiTheme="minorHAnsi"/>
                <w:sz w:val="16"/>
                <w:szCs w:val="14"/>
              </w:rPr>
            </w:pPr>
            <w:r w:rsidRPr="00364545">
              <w:rPr>
                <w:sz w:val="16"/>
              </w:rPr>
              <w:t>2523,98</w:t>
            </w:r>
          </w:p>
        </w:tc>
        <w:tc>
          <w:tcPr>
            <w:tcW w:w="991" w:type="dxa"/>
            <w:tcBorders>
              <w:top w:val="nil"/>
              <w:left w:val="nil"/>
              <w:bottom w:val="single" w:sz="4" w:space="0" w:color="auto"/>
              <w:right w:val="single" w:sz="4" w:space="0" w:color="auto"/>
            </w:tcBorders>
            <w:shd w:val="clear" w:color="000000" w:fill="CCFFFF"/>
            <w:noWrap/>
            <w:vAlign w:val="bottom"/>
            <w:hideMark/>
          </w:tcPr>
          <w:p w14:paraId="2963897F" w14:textId="77777777" w:rsidR="00B56301" w:rsidRPr="00364545" w:rsidRDefault="00B56301" w:rsidP="00B37B65">
            <w:pPr>
              <w:jc w:val="right"/>
              <w:rPr>
                <w:rFonts w:asciiTheme="minorHAnsi" w:hAnsiTheme="minorHAnsi"/>
                <w:sz w:val="16"/>
                <w:szCs w:val="14"/>
              </w:rPr>
            </w:pPr>
            <w:r w:rsidRPr="00364545">
              <w:rPr>
                <w:sz w:val="16"/>
              </w:rPr>
              <w:t>2478,95</w:t>
            </w:r>
          </w:p>
        </w:tc>
        <w:tc>
          <w:tcPr>
            <w:tcW w:w="991" w:type="dxa"/>
            <w:tcBorders>
              <w:top w:val="nil"/>
              <w:left w:val="nil"/>
              <w:bottom w:val="single" w:sz="4" w:space="0" w:color="auto"/>
              <w:right w:val="single" w:sz="4" w:space="0" w:color="auto"/>
            </w:tcBorders>
            <w:shd w:val="clear" w:color="000000" w:fill="CCFFFF"/>
            <w:noWrap/>
            <w:vAlign w:val="bottom"/>
            <w:hideMark/>
          </w:tcPr>
          <w:p w14:paraId="6A9E9AD6" w14:textId="77777777" w:rsidR="00B56301" w:rsidRPr="00364545" w:rsidRDefault="00B56301" w:rsidP="00B37B65">
            <w:pPr>
              <w:jc w:val="right"/>
              <w:rPr>
                <w:rFonts w:asciiTheme="minorHAnsi" w:hAnsiTheme="minorHAnsi"/>
                <w:sz w:val="16"/>
                <w:szCs w:val="14"/>
              </w:rPr>
            </w:pPr>
            <w:r w:rsidRPr="00364545">
              <w:rPr>
                <w:sz w:val="16"/>
              </w:rPr>
              <w:t>2466,53</w:t>
            </w:r>
          </w:p>
        </w:tc>
        <w:tc>
          <w:tcPr>
            <w:tcW w:w="991" w:type="dxa"/>
            <w:tcBorders>
              <w:top w:val="nil"/>
              <w:left w:val="nil"/>
              <w:bottom w:val="single" w:sz="4" w:space="0" w:color="auto"/>
              <w:right w:val="single" w:sz="4" w:space="0" w:color="auto"/>
            </w:tcBorders>
            <w:shd w:val="clear" w:color="000000" w:fill="CCFFFF"/>
            <w:noWrap/>
            <w:vAlign w:val="bottom"/>
            <w:hideMark/>
          </w:tcPr>
          <w:p w14:paraId="61A6EB71" w14:textId="77777777" w:rsidR="00B56301" w:rsidRPr="00364545" w:rsidRDefault="00B56301" w:rsidP="00B37B65">
            <w:pPr>
              <w:jc w:val="right"/>
              <w:rPr>
                <w:rFonts w:asciiTheme="minorHAnsi" w:hAnsiTheme="minorHAnsi"/>
                <w:sz w:val="16"/>
                <w:szCs w:val="14"/>
              </w:rPr>
            </w:pPr>
            <w:r w:rsidRPr="00364545">
              <w:rPr>
                <w:sz w:val="16"/>
              </w:rPr>
              <w:t>2419,17</w:t>
            </w:r>
          </w:p>
        </w:tc>
        <w:tc>
          <w:tcPr>
            <w:tcW w:w="991" w:type="dxa"/>
            <w:tcBorders>
              <w:top w:val="nil"/>
              <w:left w:val="nil"/>
              <w:bottom w:val="single" w:sz="4" w:space="0" w:color="auto"/>
              <w:right w:val="single" w:sz="4" w:space="0" w:color="auto"/>
            </w:tcBorders>
            <w:shd w:val="clear" w:color="000000" w:fill="CCFFFF"/>
            <w:noWrap/>
            <w:vAlign w:val="bottom"/>
            <w:hideMark/>
          </w:tcPr>
          <w:p w14:paraId="5BA336E0" w14:textId="77777777" w:rsidR="00B56301" w:rsidRPr="00364545" w:rsidRDefault="00B56301" w:rsidP="00B37B65">
            <w:pPr>
              <w:jc w:val="right"/>
              <w:rPr>
                <w:rFonts w:asciiTheme="minorHAnsi" w:hAnsiTheme="minorHAnsi"/>
                <w:sz w:val="16"/>
                <w:szCs w:val="14"/>
              </w:rPr>
            </w:pPr>
            <w:r w:rsidRPr="00364545">
              <w:rPr>
                <w:sz w:val="16"/>
              </w:rPr>
              <w:t>2369,73</w:t>
            </w:r>
          </w:p>
        </w:tc>
      </w:tr>
      <w:tr w:rsidR="00B56301" w:rsidRPr="00364545" w14:paraId="35FBEE1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B80ED06" w14:textId="2946965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 xml:space="preserve">emissions with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3C11CB9B" w14:textId="77777777" w:rsidR="00B56301" w:rsidRPr="00364545" w:rsidRDefault="00B56301" w:rsidP="00B37B65">
            <w:pPr>
              <w:jc w:val="right"/>
              <w:rPr>
                <w:rFonts w:asciiTheme="minorHAnsi" w:hAnsiTheme="minorHAnsi"/>
                <w:sz w:val="16"/>
                <w:szCs w:val="14"/>
              </w:rPr>
            </w:pPr>
            <w:r w:rsidRPr="00364545">
              <w:rPr>
                <w:sz w:val="16"/>
              </w:rPr>
              <w:t>2558,60</w:t>
            </w:r>
          </w:p>
        </w:tc>
        <w:tc>
          <w:tcPr>
            <w:tcW w:w="991" w:type="dxa"/>
            <w:tcBorders>
              <w:top w:val="nil"/>
              <w:left w:val="nil"/>
              <w:bottom w:val="single" w:sz="4" w:space="0" w:color="auto"/>
              <w:right w:val="single" w:sz="4" w:space="0" w:color="auto"/>
            </w:tcBorders>
            <w:shd w:val="clear" w:color="000000" w:fill="CCFFFF"/>
            <w:noWrap/>
            <w:vAlign w:val="bottom"/>
            <w:hideMark/>
          </w:tcPr>
          <w:p w14:paraId="11BCDDA4" w14:textId="77777777" w:rsidR="00B56301" w:rsidRPr="00364545" w:rsidRDefault="00B56301" w:rsidP="00B37B65">
            <w:pPr>
              <w:jc w:val="right"/>
              <w:rPr>
                <w:rFonts w:asciiTheme="minorHAnsi" w:hAnsiTheme="minorHAnsi"/>
                <w:sz w:val="16"/>
                <w:szCs w:val="14"/>
              </w:rPr>
            </w:pPr>
            <w:r w:rsidRPr="00364545">
              <w:rPr>
                <w:sz w:val="16"/>
              </w:rPr>
              <w:t>2567,97</w:t>
            </w:r>
          </w:p>
        </w:tc>
        <w:tc>
          <w:tcPr>
            <w:tcW w:w="991" w:type="dxa"/>
            <w:tcBorders>
              <w:top w:val="nil"/>
              <w:left w:val="nil"/>
              <w:bottom w:val="single" w:sz="4" w:space="0" w:color="auto"/>
              <w:right w:val="single" w:sz="4" w:space="0" w:color="auto"/>
            </w:tcBorders>
            <w:shd w:val="clear" w:color="000000" w:fill="CCFFFF"/>
            <w:noWrap/>
            <w:vAlign w:val="bottom"/>
            <w:hideMark/>
          </w:tcPr>
          <w:p w14:paraId="158F9860" w14:textId="77777777" w:rsidR="00B56301" w:rsidRPr="00364545" w:rsidRDefault="00B56301" w:rsidP="00B37B65">
            <w:pPr>
              <w:jc w:val="right"/>
              <w:rPr>
                <w:rFonts w:asciiTheme="minorHAnsi" w:hAnsiTheme="minorHAnsi"/>
                <w:sz w:val="16"/>
                <w:szCs w:val="14"/>
              </w:rPr>
            </w:pPr>
            <w:r w:rsidRPr="00364545">
              <w:rPr>
                <w:sz w:val="16"/>
              </w:rPr>
              <w:t>2523,69</w:t>
            </w:r>
          </w:p>
        </w:tc>
        <w:tc>
          <w:tcPr>
            <w:tcW w:w="991" w:type="dxa"/>
            <w:tcBorders>
              <w:top w:val="nil"/>
              <w:left w:val="nil"/>
              <w:bottom w:val="single" w:sz="4" w:space="0" w:color="auto"/>
              <w:right w:val="single" w:sz="4" w:space="0" w:color="auto"/>
            </w:tcBorders>
            <w:shd w:val="clear" w:color="000000" w:fill="CCFFFF"/>
            <w:noWrap/>
            <w:vAlign w:val="bottom"/>
            <w:hideMark/>
          </w:tcPr>
          <w:p w14:paraId="40D54C67" w14:textId="77777777" w:rsidR="00B56301" w:rsidRPr="00364545" w:rsidRDefault="00B56301" w:rsidP="00B37B65">
            <w:pPr>
              <w:jc w:val="right"/>
              <w:rPr>
                <w:rFonts w:asciiTheme="minorHAnsi" w:hAnsiTheme="minorHAnsi"/>
                <w:sz w:val="16"/>
                <w:szCs w:val="14"/>
              </w:rPr>
            </w:pPr>
            <w:r w:rsidRPr="00364545">
              <w:rPr>
                <w:sz w:val="16"/>
              </w:rPr>
              <w:t>2511,73</w:t>
            </w:r>
          </w:p>
        </w:tc>
        <w:tc>
          <w:tcPr>
            <w:tcW w:w="991" w:type="dxa"/>
            <w:tcBorders>
              <w:top w:val="nil"/>
              <w:left w:val="nil"/>
              <w:bottom w:val="single" w:sz="4" w:space="0" w:color="auto"/>
              <w:right w:val="single" w:sz="4" w:space="0" w:color="auto"/>
            </w:tcBorders>
            <w:shd w:val="clear" w:color="000000" w:fill="CCFFFF"/>
            <w:noWrap/>
            <w:vAlign w:val="bottom"/>
            <w:hideMark/>
          </w:tcPr>
          <w:p w14:paraId="51E0E7BB" w14:textId="77777777" w:rsidR="00B56301" w:rsidRPr="00364545" w:rsidRDefault="00B56301" w:rsidP="00B37B65">
            <w:pPr>
              <w:jc w:val="right"/>
              <w:rPr>
                <w:rFonts w:asciiTheme="minorHAnsi" w:hAnsiTheme="minorHAnsi"/>
                <w:sz w:val="16"/>
                <w:szCs w:val="14"/>
              </w:rPr>
            </w:pPr>
            <w:r w:rsidRPr="00364545">
              <w:rPr>
                <w:sz w:val="16"/>
              </w:rPr>
              <w:t>2463,45</w:t>
            </w:r>
          </w:p>
        </w:tc>
        <w:tc>
          <w:tcPr>
            <w:tcW w:w="991" w:type="dxa"/>
            <w:tcBorders>
              <w:top w:val="nil"/>
              <w:left w:val="nil"/>
              <w:bottom w:val="single" w:sz="4" w:space="0" w:color="auto"/>
              <w:right w:val="single" w:sz="4" w:space="0" w:color="auto"/>
            </w:tcBorders>
            <w:shd w:val="clear" w:color="000000" w:fill="CCFFFF"/>
            <w:noWrap/>
            <w:vAlign w:val="bottom"/>
            <w:hideMark/>
          </w:tcPr>
          <w:p w14:paraId="3C26C262" w14:textId="77777777" w:rsidR="00B56301" w:rsidRPr="00364545" w:rsidRDefault="00B56301" w:rsidP="00B37B65">
            <w:pPr>
              <w:jc w:val="right"/>
              <w:rPr>
                <w:rFonts w:asciiTheme="minorHAnsi" w:hAnsiTheme="minorHAnsi"/>
                <w:sz w:val="16"/>
                <w:szCs w:val="14"/>
              </w:rPr>
            </w:pPr>
            <w:r w:rsidRPr="00364545">
              <w:rPr>
                <w:sz w:val="16"/>
              </w:rPr>
              <w:t>2413,31</w:t>
            </w:r>
          </w:p>
        </w:tc>
      </w:tr>
      <w:tr w:rsidR="00B56301" w:rsidRPr="00364545" w14:paraId="3493DC0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CE99C95"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4928CAC2"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CF74B0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605D0C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827A44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D6425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BBB176"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70BD4A4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6BC790"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6CD3B7CD" w14:textId="77777777" w:rsidR="00B56301" w:rsidRPr="00364545" w:rsidRDefault="00B56301" w:rsidP="00B37B65">
            <w:pPr>
              <w:jc w:val="right"/>
              <w:rPr>
                <w:rFonts w:asciiTheme="minorHAnsi" w:hAnsiTheme="minorHAnsi"/>
                <w:sz w:val="16"/>
                <w:szCs w:val="14"/>
              </w:rPr>
            </w:pPr>
            <w:r w:rsidRPr="00364545">
              <w:rPr>
                <w:sz w:val="16"/>
              </w:rPr>
              <w:t>0,97</w:t>
            </w:r>
          </w:p>
        </w:tc>
        <w:tc>
          <w:tcPr>
            <w:tcW w:w="991" w:type="dxa"/>
            <w:tcBorders>
              <w:top w:val="nil"/>
              <w:left w:val="nil"/>
              <w:bottom w:val="single" w:sz="4" w:space="0" w:color="auto"/>
              <w:right w:val="single" w:sz="4" w:space="0" w:color="auto"/>
            </w:tcBorders>
            <w:shd w:val="clear" w:color="000000" w:fill="CCFFFF"/>
            <w:noWrap/>
            <w:vAlign w:val="bottom"/>
            <w:hideMark/>
          </w:tcPr>
          <w:p w14:paraId="113F212C" w14:textId="77777777" w:rsidR="00B56301" w:rsidRPr="00364545" w:rsidRDefault="00B56301" w:rsidP="00B37B65">
            <w:pPr>
              <w:jc w:val="right"/>
              <w:rPr>
                <w:rFonts w:asciiTheme="minorHAnsi" w:hAnsiTheme="minorHAnsi"/>
                <w:sz w:val="16"/>
                <w:szCs w:val="14"/>
              </w:rPr>
            </w:pPr>
            <w:r w:rsidRPr="00364545">
              <w:rPr>
                <w:sz w:val="16"/>
              </w:rPr>
              <w:t>0,86</w:t>
            </w:r>
          </w:p>
        </w:tc>
        <w:tc>
          <w:tcPr>
            <w:tcW w:w="991" w:type="dxa"/>
            <w:tcBorders>
              <w:top w:val="nil"/>
              <w:left w:val="nil"/>
              <w:bottom w:val="single" w:sz="4" w:space="0" w:color="auto"/>
              <w:right w:val="single" w:sz="4" w:space="0" w:color="auto"/>
            </w:tcBorders>
            <w:shd w:val="clear" w:color="000000" w:fill="CCFFFF"/>
            <w:noWrap/>
            <w:vAlign w:val="bottom"/>
            <w:hideMark/>
          </w:tcPr>
          <w:p w14:paraId="3DE84577" w14:textId="77777777" w:rsidR="00B56301" w:rsidRPr="00364545" w:rsidRDefault="00B56301" w:rsidP="00B37B65">
            <w:pPr>
              <w:jc w:val="right"/>
              <w:rPr>
                <w:rFonts w:asciiTheme="minorHAnsi" w:hAnsiTheme="minorHAnsi"/>
                <w:sz w:val="16"/>
                <w:szCs w:val="14"/>
              </w:rPr>
            </w:pPr>
            <w:r w:rsidRPr="00364545">
              <w:rPr>
                <w:sz w:val="16"/>
              </w:rPr>
              <w:t>0,85</w:t>
            </w:r>
          </w:p>
        </w:tc>
        <w:tc>
          <w:tcPr>
            <w:tcW w:w="991" w:type="dxa"/>
            <w:tcBorders>
              <w:top w:val="nil"/>
              <w:left w:val="nil"/>
              <w:bottom w:val="single" w:sz="4" w:space="0" w:color="auto"/>
              <w:right w:val="single" w:sz="4" w:space="0" w:color="auto"/>
            </w:tcBorders>
            <w:shd w:val="clear" w:color="000000" w:fill="CCFFFF"/>
            <w:noWrap/>
            <w:vAlign w:val="bottom"/>
            <w:hideMark/>
          </w:tcPr>
          <w:p w14:paraId="12BDADB7" w14:textId="77777777" w:rsidR="00B56301" w:rsidRPr="00364545" w:rsidRDefault="00B56301" w:rsidP="00B37B65">
            <w:pPr>
              <w:jc w:val="right"/>
              <w:rPr>
                <w:rFonts w:asciiTheme="minorHAnsi" w:hAnsiTheme="minorHAnsi"/>
                <w:sz w:val="16"/>
                <w:szCs w:val="14"/>
              </w:rPr>
            </w:pPr>
            <w:r w:rsidRPr="00364545">
              <w:rPr>
                <w:sz w:val="16"/>
              </w:rPr>
              <w:t>0,83</w:t>
            </w:r>
          </w:p>
        </w:tc>
        <w:tc>
          <w:tcPr>
            <w:tcW w:w="991" w:type="dxa"/>
            <w:tcBorders>
              <w:top w:val="nil"/>
              <w:left w:val="nil"/>
              <w:bottom w:val="single" w:sz="4" w:space="0" w:color="auto"/>
              <w:right w:val="single" w:sz="4" w:space="0" w:color="auto"/>
            </w:tcBorders>
            <w:shd w:val="clear" w:color="000000" w:fill="CCFFFF"/>
            <w:noWrap/>
            <w:vAlign w:val="bottom"/>
            <w:hideMark/>
          </w:tcPr>
          <w:p w14:paraId="11BE03E6" w14:textId="77777777" w:rsidR="00B56301" w:rsidRPr="00364545" w:rsidRDefault="00B56301" w:rsidP="00B37B65">
            <w:pPr>
              <w:jc w:val="right"/>
              <w:rPr>
                <w:rFonts w:asciiTheme="minorHAnsi" w:hAnsiTheme="minorHAnsi"/>
                <w:sz w:val="16"/>
                <w:szCs w:val="14"/>
              </w:rPr>
            </w:pPr>
            <w:r w:rsidRPr="00364545">
              <w:rPr>
                <w:sz w:val="16"/>
              </w:rPr>
              <w:t>0,88</w:t>
            </w:r>
          </w:p>
        </w:tc>
        <w:tc>
          <w:tcPr>
            <w:tcW w:w="991" w:type="dxa"/>
            <w:tcBorders>
              <w:top w:val="nil"/>
              <w:left w:val="nil"/>
              <w:bottom w:val="single" w:sz="4" w:space="0" w:color="auto"/>
              <w:right w:val="single" w:sz="4" w:space="0" w:color="auto"/>
            </w:tcBorders>
            <w:shd w:val="clear" w:color="000000" w:fill="CCFFFF"/>
            <w:noWrap/>
            <w:vAlign w:val="bottom"/>
            <w:hideMark/>
          </w:tcPr>
          <w:p w14:paraId="41A84DCB" w14:textId="77777777" w:rsidR="00B56301" w:rsidRPr="00364545" w:rsidRDefault="00B56301" w:rsidP="00B37B65">
            <w:pPr>
              <w:jc w:val="right"/>
              <w:rPr>
                <w:rFonts w:asciiTheme="minorHAnsi" w:hAnsiTheme="minorHAnsi"/>
                <w:sz w:val="16"/>
                <w:szCs w:val="14"/>
              </w:rPr>
            </w:pPr>
            <w:r w:rsidRPr="00364545">
              <w:rPr>
                <w:sz w:val="16"/>
              </w:rPr>
              <w:t>0,84</w:t>
            </w:r>
          </w:p>
        </w:tc>
      </w:tr>
      <w:tr w:rsidR="00B56301" w:rsidRPr="00364545" w14:paraId="7B3FF5B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8D73DFE"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6471F5BD"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02ED43E8"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6352D280"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7B6273AE"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0AFCE2BC"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2292F7FA" w14:textId="77777777" w:rsidR="00B56301" w:rsidRPr="00364545" w:rsidRDefault="00B56301" w:rsidP="00B37B65">
            <w:pPr>
              <w:jc w:val="right"/>
              <w:rPr>
                <w:rFonts w:asciiTheme="minorHAnsi" w:hAnsiTheme="minorHAnsi"/>
                <w:sz w:val="16"/>
                <w:szCs w:val="14"/>
              </w:rPr>
            </w:pPr>
            <w:r w:rsidRPr="00364545">
              <w:rPr>
                <w:sz w:val="16"/>
              </w:rPr>
              <w:t>0,07</w:t>
            </w:r>
          </w:p>
        </w:tc>
      </w:tr>
      <w:tr w:rsidR="00B56301" w:rsidRPr="00364545" w14:paraId="753B22C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C1E9F5"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2D3947AD" w14:textId="77777777" w:rsidR="00B56301" w:rsidRPr="00364545" w:rsidRDefault="00B56301" w:rsidP="00B37B65">
            <w:pPr>
              <w:jc w:val="right"/>
              <w:rPr>
                <w:rFonts w:asciiTheme="minorHAnsi" w:hAnsiTheme="minorHAnsi"/>
                <w:sz w:val="16"/>
                <w:szCs w:val="14"/>
              </w:rPr>
            </w:pPr>
            <w:r w:rsidRPr="00364545">
              <w:rPr>
                <w:sz w:val="16"/>
              </w:rPr>
              <w:t>0,90</w:t>
            </w:r>
          </w:p>
        </w:tc>
        <w:tc>
          <w:tcPr>
            <w:tcW w:w="991" w:type="dxa"/>
            <w:tcBorders>
              <w:top w:val="nil"/>
              <w:left w:val="nil"/>
              <w:bottom w:val="single" w:sz="4" w:space="0" w:color="auto"/>
              <w:right w:val="single" w:sz="4" w:space="0" w:color="auto"/>
            </w:tcBorders>
            <w:shd w:val="clear" w:color="000000" w:fill="FFFFFF"/>
            <w:noWrap/>
            <w:vAlign w:val="bottom"/>
            <w:hideMark/>
          </w:tcPr>
          <w:p w14:paraId="097F925D" w14:textId="77777777" w:rsidR="00B56301" w:rsidRPr="00364545" w:rsidRDefault="00B56301" w:rsidP="00B37B65">
            <w:pPr>
              <w:jc w:val="right"/>
              <w:rPr>
                <w:rFonts w:asciiTheme="minorHAnsi" w:hAnsiTheme="minorHAnsi"/>
                <w:sz w:val="16"/>
                <w:szCs w:val="14"/>
              </w:rPr>
            </w:pPr>
            <w:r w:rsidRPr="00364545">
              <w:rPr>
                <w:sz w:val="16"/>
              </w:rPr>
              <w:t>0,78</w:t>
            </w:r>
          </w:p>
        </w:tc>
        <w:tc>
          <w:tcPr>
            <w:tcW w:w="991" w:type="dxa"/>
            <w:tcBorders>
              <w:top w:val="nil"/>
              <w:left w:val="nil"/>
              <w:bottom w:val="single" w:sz="4" w:space="0" w:color="auto"/>
              <w:right w:val="single" w:sz="4" w:space="0" w:color="auto"/>
            </w:tcBorders>
            <w:shd w:val="clear" w:color="000000" w:fill="FFFFFF"/>
            <w:noWrap/>
            <w:vAlign w:val="bottom"/>
            <w:hideMark/>
          </w:tcPr>
          <w:p w14:paraId="7E1EBD71" w14:textId="77777777" w:rsidR="00B56301" w:rsidRPr="00364545" w:rsidRDefault="00B56301" w:rsidP="00B37B65">
            <w:pPr>
              <w:jc w:val="right"/>
              <w:rPr>
                <w:rFonts w:asciiTheme="minorHAnsi" w:hAnsiTheme="minorHAnsi"/>
                <w:sz w:val="16"/>
                <w:szCs w:val="14"/>
              </w:rPr>
            </w:pPr>
            <w:r w:rsidRPr="00364545">
              <w:rPr>
                <w:sz w:val="16"/>
              </w:rPr>
              <w:t>0,78</w:t>
            </w:r>
          </w:p>
        </w:tc>
        <w:tc>
          <w:tcPr>
            <w:tcW w:w="991" w:type="dxa"/>
            <w:tcBorders>
              <w:top w:val="nil"/>
              <w:left w:val="nil"/>
              <w:bottom w:val="single" w:sz="4" w:space="0" w:color="auto"/>
              <w:right w:val="single" w:sz="4" w:space="0" w:color="auto"/>
            </w:tcBorders>
            <w:shd w:val="clear" w:color="000000" w:fill="FFFFFF"/>
            <w:noWrap/>
            <w:vAlign w:val="bottom"/>
            <w:hideMark/>
          </w:tcPr>
          <w:p w14:paraId="7C569913" w14:textId="77777777" w:rsidR="00B56301" w:rsidRPr="00364545" w:rsidRDefault="00B56301" w:rsidP="00B37B65">
            <w:pPr>
              <w:jc w:val="right"/>
              <w:rPr>
                <w:rFonts w:asciiTheme="minorHAnsi" w:hAnsiTheme="minorHAnsi"/>
                <w:sz w:val="16"/>
                <w:szCs w:val="14"/>
              </w:rPr>
            </w:pPr>
            <w:r w:rsidRPr="00364545">
              <w:rPr>
                <w:sz w:val="16"/>
              </w:rPr>
              <w:t>0,76</w:t>
            </w:r>
          </w:p>
        </w:tc>
        <w:tc>
          <w:tcPr>
            <w:tcW w:w="991" w:type="dxa"/>
            <w:tcBorders>
              <w:top w:val="nil"/>
              <w:left w:val="nil"/>
              <w:bottom w:val="single" w:sz="4" w:space="0" w:color="auto"/>
              <w:right w:val="single" w:sz="4" w:space="0" w:color="auto"/>
            </w:tcBorders>
            <w:shd w:val="clear" w:color="000000" w:fill="FFFFFF"/>
            <w:noWrap/>
            <w:vAlign w:val="bottom"/>
            <w:hideMark/>
          </w:tcPr>
          <w:p w14:paraId="213B6604" w14:textId="77777777" w:rsidR="00B56301" w:rsidRPr="00364545" w:rsidRDefault="00B56301" w:rsidP="00B37B65">
            <w:pPr>
              <w:jc w:val="right"/>
              <w:rPr>
                <w:rFonts w:asciiTheme="minorHAnsi" w:hAnsiTheme="minorHAnsi"/>
                <w:sz w:val="16"/>
                <w:szCs w:val="14"/>
              </w:rPr>
            </w:pPr>
            <w:r w:rsidRPr="00364545">
              <w:rPr>
                <w:sz w:val="16"/>
              </w:rPr>
              <w:t>0,82</w:t>
            </w:r>
          </w:p>
        </w:tc>
        <w:tc>
          <w:tcPr>
            <w:tcW w:w="991" w:type="dxa"/>
            <w:tcBorders>
              <w:top w:val="nil"/>
              <w:left w:val="nil"/>
              <w:bottom w:val="single" w:sz="4" w:space="0" w:color="auto"/>
              <w:right w:val="single" w:sz="4" w:space="0" w:color="auto"/>
            </w:tcBorders>
            <w:shd w:val="clear" w:color="000000" w:fill="FFFFFF"/>
            <w:noWrap/>
            <w:vAlign w:val="bottom"/>
            <w:hideMark/>
          </w:tcPr>
          <w:p w14:paraId="7EC56185" w14:textId="77777777" w:rsidR="00B56301" w:rsidRPr="00364545" w:rsidRDefault="00B56301" w:rsidP="00B37B65">
            <w:pPr>
              <w:jc w:val="right"/>
              <w:rPr>
                <w:rFonts w:asciiTheme="minorHAnsi" w:hAnsiTheme="minorHAnsi"/>
                <w:sz w:val="16"/>
                <w:szCs w:val="14"/>
              </w:rPr>
            </w:pPr>
            <w:r w:rsidRPr="00364545">
              <w:rPr>
                <w:sz w:val="16"/>
              </w:rPr>
              <w:t>0,77</w:t>
            </w:r>
          </w:p>
        </w:tc>
      </w:tr>
      <w:tr w:rsidR="00B56301" w:rsidRPr="00364545" w14:paraId="085BB1A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B10E44"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3B7D43E9"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FA30933"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3CA4D546"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A96BFEA"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44D338D"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0BF5CE6" w14:textId="77777777" w:rsidR="00B56301" w:rsidRPr="00364545" w:rsidRDefault="00B56301" w:rsidP="00B37B65">
            <w:pPr>
              <w:jc w:val="right"/>
              <w:rPr>
                <w:rFonts w:asciiTheme="minorHAnsi" w:hAnsiTheme="minorHAnsi"/>
                <w:sz w:val="16"/>
                <w:szCs w:val="14"/>
              </w:rPr>
            </w:pPr>
            <w:r w:rsidRPr="00364545">
              <w:rPr>
                <w:sz w:val="16"/>
              </w:rPr>
              <w:t>NE</w:t>
            </w:r>
          </w:p>
        </w:tc>
      </w:tr>
      <w:tr w:rsidR="00B56301" w:rsidRPr="00364545" w14:paraId="404C8A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0BA51AB" w14:textId="0B0895FD"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46DBE15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60A6B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E97C3A"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24F6F5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6F7E9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58A8B3"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0777144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79C2BE" w14:textId="2C62186E"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0130D26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04C26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A22B4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641E6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EE87A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D689F2"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0A2B96F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51E24C"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26637D2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C4878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90EBE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B732A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1DC3AB"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E86305"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3661F0A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4AC3D7" w14:textId="01CC5114"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N</w:t>
            </w:r>
            <w:r w:rsidRPr="00364545">
              <w:rPr>
                <w:sz w:val="16"/>
                <w:vertAlign w:val="subscript"/>
              </w:rPr>
              <w:t>2</w:t>
            </w:r>
            <w:r w:rsidRPr="00364545">
              <w:rPr>
                <w:sz w:val="16"/>
              </w:rPr>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6047E79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8C9FEA"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DFAAD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AA34A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B3B59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4BA0BA"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491409C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6597ACC" w14:textId="7890ACC9"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Indirect </w:t>
            </w:r>
            <w:r w:rsidRPr="00364545">
              <w:t>CO</w:t>
            </w:r>
            <w:r w:rsidRPr="00364545">
              <w:rPr>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11C8DF4B"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22B0B6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861290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26F339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1A864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9E9055" w14:textId="77777777" w:rsidR="00B56301" w:rsidRPr="00364545" w:rsidRDefault="00B56301" w:rsidP="00B37B65">
            <w:pPr>
              <w:jc w:val="right"/>
              <w:rPr>
                <w:rFonts w:asciiTheme="minorHAnsi" w:hAnsiTheme="minorHAnsi"/>
                <w:sz w:val="16"/>
                <w:szCs w:val="14"/>
              </w:rPr>
            </w:pPr>
            <w:r w:rsidRPr="00364545">
              <w:rPr>
                <w:sz w:val="16"/>
              </w:rPr>
              <w:t> </w:t>
            </w:r>
          </w:p>
        </w:tc>
      </w:tr>
    </w:tbl>
    <w:p w14:paraId="20C835FE" w14:textId="77777777" w:rsidR="00B56301" w:rsidRPr="00364545" w:rsidRDefault="00B56301" w:rsidP="00B56301">
      <w:pPr>
        <w:ind w:right="27"/>
        <w:rPr>
          <w:rFonts w:cs="Arial"/>
          <w:sz w:val="24"/>
        </w:rPr>
      </w:pP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364545" w14:paraId="68EC4B2D"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20FB1C17" w14:textId="090B4B55" w:rsidR="00B56301" w:rsidRPr="00364545" w:rsidRDefault="00B56301" w:rsidP="00B37B65">
            <w:pPr>
              <w:jc w:val="left"/>
              <w:rPr>
                <w:rFonts w:asciiTheme="minorHAnsi" w:hAnsiTheme="minorHAnsi"/>
                <w:b/>
                <w:bCs/>
                <w:sz w:val="16"/>
                <w:szCs w:val="14"/>
              </w:rPr>
            </w:pPr>
            <w:r w:rsidRPr="00364545">
              <w:rPr>
                <w:sz w:val="24"/>
                <w:lang w:val="en-US"/>
              </w:rPr>
              <w:br w:type="page"/>
            </w:r>
            <w:r w:rsidRPr="00364545">
              <w:rPr>
                <w:rFonts w:asciiTheme="minorHAnsi" w:hAnsiTheme="minorHAnsi"/>
                <w:b/>
                <w:sz w:val="16"/>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C716B9B" w14:textId="77777777" w:rsidR="00B56301" w:rsidRPr="00364545" w:rsidRDefault="00B56301" w:rsidP="00B37B65">
            <w:pPr>
              <w:jc w:val="center"/>
              <w:rPr>
                <w:rFonts w:asciiTheme="minorHAnsi" w:hAnsiTheme="minorHAnsi"/>
                <w:b/>
                <w:bCs/>
                <w:sz w:val="16"/>
                <w:szCs w:val="14"/>
              </w:rPr>
            </w:pPr>
            <w:r w:rsidRPr="00364545">
              <w:rPr>
                <w:b/>
                <w:sz w:val="16"/>
              </w:rPr>
              <w:t>2013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639FD91" w14:textId="77777777" w:rsidR="00B56301" w:rsidRPr="00364545" w:rsidRDefault="00B56301" w:rsidP="00B37B65">
            <w:pPr>
              <w:jc w:val="center"/>
              <w:rPr>
                <w:rFonts w:asciiTheme="minorHAnsi" w:hAnsiTheme="minorHAnsi"/>
                <w:b/>
                <w:bCs/>
                <w:sz w:val="16"/>
                <w:szCs w:val="14"/>
              </w:rPr>
            </w:pPr>
            <w:r w:rsidRPr="00364545">
              <w:rPr>
                <w:b/>
                <w:sz w:val="16"/>
              </w:rPr>
              <w:t>2014</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9C1587F" w14:textId="77777777" w:rsidR="00B56301" w:rsidRPr="00364545" w:rsidRDefault="00B56301" w:rsidP="00B37B65">
            <w:pPr>
              <w:jc w:val="center"/>
              <w:rPr>
                <w:rFonts w:asciiTheme="minorHAnsi" w:hAnsiTheme="minorHAnsi"/>
                <w:b/>
                <w:bCs/>
                <w:sz w:val="16"/>
                <w:szCs w:val="14"/>
              </w:rPr>
            </w:pPr>
            <w:r w:rsidRPr="00364545">
              <w:rPr>
                <w:b/>
                <w:sz w:val="16"/>
              </w:rPr>
              <w:t>2015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96D0284" w14:textId="77777777" w:rsidR="00B56301" w:rsidRPr="00364545" w:rsidRDefault="00B56301" w:rsidP="00B37B65">
            <w:pPr>
              <w:jc w:val="center"/>
              <w:rPr>
                <w:rFonts w:asciiTheme="minorHAnsi" w:hAnsiTheme="minorHAnsi"/>
                <w:b/>
                <w:bCs/>
                <w:sz w:val="16"/>
                <w:szCs w:val="14"/>
              </w:rPr>
            </w:pPr>
            <w:r w:rsidRPr="00364545">
              <w:rPr>
                <w:b/>
                <w:sz w:val="16"/>
              </w:rPr>
              <w:t>2016</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36063787" w14:textId="77777777" w:rsidR="00B56301" w:rsidRPr="00364545" w:rsidRDefault="00B56301" w:rsidP="00B37B65">
            <w:pPr>
              <w:jc w:val="center"/>
              <w:rPr>
                <w:rFonts w:asciiTheme="minorHAnsi" w:hAnsiTheme="minorHAnsi"/>
                <w:b/>
                <w:bCs/>
                <w:sz w:val="16"/>
                <w:szCs w:val="14"/>
              </w:rPr>
            </w:pPr>
            <w:r w:rsidRPr="00364545">
              <w:rPr>
                <w:b/>
                <w:sz w:val="16"/>
              </w:rPr>
              <w:t>2017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78D0B03" w14:textId="77777777" w:rsidR="00B56301" w:rsidRPr="00364545" w:rsidRDefault="00B56301" w:rsidP="00B37B65">
            <w:pPr>
              <w:jc w:val="center"/>
              <w:rPr>
                <w:rFonts w:asciiTheme="minorHAnsi" w:hAnsiTheme="minorHAnsi"/>
                <w:b/>
                <w:bCs/>
                <w:sz w:val="16"/>
                <w:szCs w:val="14"/>
              </w:rPr>
            </w:pPr>
            <w:r w:rsidRPr="00364545">
              <w:rPr>
                <w:b/>
                <w:sz w:val="16"/>
              </w:rPr>
              <w:t>2018</w:t>
            </w:r>
          </w:p>
        </w:tc>
      </w:tr>
      <w:tr w:rsidR="00B56301" w:rsidRPr="00364545" w14:paraId="0ED45B2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0CFC6D"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93CBDD6" w14:textId="77777777" w:rsidR="00B56301" w:rsidRPr="00364545" w:rsidRDefault="00B56301" w:rsidP="00B37B65">
            <w:pPr>
              <w:jc w:val="right"/>
              <w:rPr>
                <w:rFonts w:asciiTheme="minorHAnsi" w:hAnsiTheme="minorHAnsi"/>
                <w:sz w:val="16"/>
                <w:szCs w:val="14"/>
              </w:rPr>
            </w:pPr>
            <w:r w:rsidRPr="00364545">
              <w:rPr>
                <w:sz w:val="16"/>
              </w:rPr>
              <w:t>130,10</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A4B8539" w14:textId="77777777" w:rsidR="00B56301" w:rsidRPr="00364545" w:rsidRDefault="00B56301" w:rsidP="00B37B65">
            <w:pPr>
              <w:jc w:val="right"/>
              <w:rPr>
                <w:rFonts w:asciiTheme="minorHAnsi" w:hAnsiTheme="minorHAnsi"/>
                <w:sz w:val="16"/>
                <w:szCs w:val="14"/>
              </w:rPr>
            </w:pPr>
            <w:r w:rsidRPr="00364545">
              <w:rPr>
                <w:sz w:val="16"/>
              </w:rPr>
              <w:t>109,60</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E42A450" w14:textId="77777777" w:rsidR="00B56301" w:rsidRPr="00364545" w:rsidRDefault="00B56301" w:rsidP="00B37B65">
            <w:pPr>
              <w:jc w:val="right"/>
              <w:rPr>
                <w:rFonts w:asciiTheme="minorHAnsi" w:hAnsiTheme="minorHAnsi"/>
                <w:sz w:val="16"/>
                <w:szCs w:val="14"/>
              </w:rPr>
            </w:pPr>
            <w:r w:rsidRPr="00364545">
              <w:rPr>
                <w:sz w:val="16"/>
              </w:rPr>
              <w:t>109,73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DA66B47" w14:textId="77777777" w:rsidR="00B56301" w:rsidRPr="00364545" w:rsidRDefault="00B56301" w:rsidP="00B37B65">
            <w:pPr>
              <w:jc w:val="right"/>
              <w:rPr>
                <w:rFonts w:asciiTheme="minorHAnsi" w:hAnsiTheme="minorHAnsi"/>
                <w:sz w:val="16"/>
                <w:szCs w:val="14"/>
              </w:rPr>
            </w:pPr>
            <w:r w:rsidRPr="00364545">
              <w:rPr>
                <w:sz w:val="16"/>
              </w:rPr>
              <w:t>111,89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46E50F2" w14:textId="77777777" w:rsidR="00B56301" w:rsidRPr="00364545" w:rsidRDefault="00B56301" w:rsidP="00B37B65">
            <w:pPr>
              <w:jc w:val="right"/>
              <w:rPr>
                <w:rFonts w:asciiTheme="minorHAnsi" w:hAnsiTheme="minorHAnsi"/>
                <w:sz w:val="16"/>
                <w:szCs w:val="14"/>
              </w:rPr>
            </w:pPr>
            <w:r w:rsidRPr="00364545">
              <w:rPr>
                <w:sz w:val="16"/>
              </w:rPr>
              <w:t>104,76</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072418B4" w14:textId="77777777" w:rsidR="00B56301" w:rsidRPr="00364545" w:rsidRDefault="00B56301" w:rsidP="00B37B65">
            <w:pPr>
              <w:jc w:val="right"/>
              <w:rPr>
                <w:rFonts w:asciiTheme="minorHAnsi" w:hAnsiTheme="minorHAnsi"/>
                <w:sz w:val="16"/>
                <w:szCs w:val="14"/>
              </w:rPr>
            </w:pPr>
            <w:r w:rsidRPr="00364545">
              <w:rPr>
                <w:sz w:val="16"/>
              </w:rPr>
              <w:t>99,31</w:t>
            </w:r>
          </w:p>
        </w:tc>
      </w:tr>
      <w:tr w:rsidR="00B56301" w:rsidRPr="00364545" w14:paraId="0E07229B"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3B8BB23"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60EFDF64" w14:textId="77777777" w:rsidR="00B56301" w:rsidRPr="00364545" w:rsidRDefault="00B56301" w:rsidP="00B37B65">
            <w:pPr>
              <w:jc w:val="right"/>
              <w:rPr>
                <w:rFonts w:asciiTheme="minorHAnsi" w:hAnsiTheme="minorHAnsi"/>
                <w:sz w:val="16"/>
                <w:szCs w:val="14"/>
              </w:rPr>
            </w:pPr>
            <w:r w:rsidRPr="00364545">
              <w:rPr>
                <w:sz w:val="16"/>
              </w:rPr>
              <w:t>75,03</w:t>
            </w:r>
          </w:p>
        </w:tc>
        <w:tc>
          <w:tcPr>
            <w:tcW w:w="991" w:type="dxa"/>
            <w:tcBorders>
              <w:top w:val="nil"/>
              <w:left w:val="nil"/>
              <w:bottom w:val="single" w:sz="4" w:space="0" w:color="auto"/>
              <w:right w:val="single" w:sz="4" w:space="0" w:color="auto"/>
            </w:tcBorders>
            <w:shd w:val="clear" w:color="000000" w:fill="CCFFFF"/>
            <w:noWrap/>
            <w:vAlign w:val="bottom"/>
            <w:hideMark/>
          </w:tcPr>
          <w:p w14:paraId="6D59E993" w14:textId="77777777" w:rsidR="00B56301" w:rsidRPr="00364545" w:rsidRDefault="00B56301" w:rsidP="00B37B65">
            <w:pPr>
              <w:jc w:val="right"/>
              <w:rPr>
                <w:rFonts w:asciiTheme="minorHAnsi" w:hAnsiTheme="minorHAnsi"/>
                <w:sz w:val="16"/>
                <w:szCs w:val="14"/>
              </w:rPr>
            </w:pPr>
            <w:r w:rsidRPr="00364545">
              <w:rPr>
                <w:sz w:val="16"/>
              </w:rPr>
              <w:t>60,41</w:t>
            </w:r>
          </w:p>
        </w:tc>
        <w:tc>
          <w:tcPr>
            <w:tcW w:w="991" w:type="dxa"/>
            <w:tcBorders>
              <w:top w:val="nil"/>
              <w:left w:val="nil"/>
              <w:bottom w:val="single" w:sz="4" w:space="0" w:color="auto"/>
              <w:right w:val="single" w:sz="4" w:space="0" w:color="auto"/>
            </w:tcBorders>
            <w:shd w:val="clear" w:color="000000" w:fill="CCFFFF"/>
            <w:noWrap/>
            <w:vAlign w:val="bottom"/>
            <w:hideMark/>
          </w:tcPr>
          <w:p w14:paraId="2D629BF9" w14:textId="77777777" w:rsidR="00B56301" w:rsidRPr="00364545" w:rsidRDefault="00B56301" w:rsidP="00B37B65">
            <w:pPr>
              <w:jc w:val="right"/>
              <w:rPr>
                <w:rFonts w:asciiTheme="minorHAnsi" w:hAnsiTheme="minorHAnsi"/>
                <w:sz w:val="16"/>
                <w:szCs w:val="14"/>
              </w:rPr>
            </w:pPr>
            <w:r w:rsidRPr="00364545">
              <w:rPr>
                <w:sz w:val="16"/>
              </w:rPr>
              <w:t>61,38</w:t>
            </w:r>
          </w:p>
        </w:tc>
        <w:tc>
          <w:tcPr>
            <w:tcW w:w="991" w:type="dxa"/>
            <w:tcBorders>
              <w:top w:val="nil"/>
              <w:left w:val="nil"/>
              <w:bottom w:val="single" w:sz="4" w:space="0" w:color="auto"/>
              <w:right w:val="single" w:sz="4" w:space="0" w:color="auto"/>
            </w:tcBorders>
            <w:shd w:val="clear" w:color="000000" w:fill="CCFFFF"/>
            <w:noWrap/>
            <w:vAlign w:val="bottom"/>
            <w:hideMark/>
          </w:tcPr>
          <w:p w14:paraId="3B0664C4" w14:textId="77777777" w:rsidR="00B56301" w:rsidRPr="00364545" w:rsidRDefault="00B56301" w:rsidP="00B37B65">
            <w:pPr>
              <w:jc w:val="right"/>
              <w:rPr>
                <w:rFonts w:asciiTheme="minorHAnsi" w:hAnsiTheme="minorHAnsi"/>
                <w:sz w:val="16"/>
                <w:szCs w:val="14"/>
              </w:rPr>
            </w:pPr>
            <w:r w:rsidRPr="00364545">
              <w:rPr>
                <w:sz w:val="16"/>
              </w:rPr>
              <w:t>62,61</w:t>
            </w:r>
          </w:p>
        </w:tc>
        <w:tc>
          <w:tcPr>
            <w:tcW w:w="991" w:type="dxa"/>
            <w:tcBorders>
              <w:top w:val="nil"/>
              <w:left w:val="nil"/>
              <w:bottom w:val="single" w:sz="4" w:space="0" w:color="auto"/>
              <w:right w:val="single" w:sz="4" w:space="0" w:color="auto"/>
            </w:tcBorders>
            <w:shd w:val="clear" w:color="000000" w:fill="CCFFFF"/>
            <w:noWrap/>
            <w:vAlign w:val="bottom"/>
            <w:hideMark/>
          </w:tcPr>
          <w:p w14:paraId="7F548DB7" w14:textId="77777777" w:rsidR="00B56301" w:rsidRPr="00364545" w:rsidRDefault="00B56301" w:rsidP="00B37B65">
            <w:pPr>
              <w:jc w:val="right"/>
              <w:rPr>
                <w:rFonts w:asciiTheme="minorHAnsi" w:hAnsiTheme="minorHAnsi"/>
                <w:sz w:val="16"/>
                <w:szCs w:val="14"/>
              </w:rPr>
            </w:pPr>
            <w:r w:rsidRPr="00364545">
              <w:rPr>
                <w:sz w:val="16"/>
              </w:rPr>
              <w:t>59,24</w:t>
            </w:r>
          </w:p>
        </w:tc>
        <w:tc>
          <w:tcPr>
            <w:tcW w:w="991" w:type="dxa"/>
            <w:tcBorders>
              <w:top w:val="nil"/>
              <w:left w:val="nil"/>
              <w:bottom w:val="single" w:sz="4" w:space="0" w:color="auto"/>
              <w:right w:val="single" w:sz="4" w:space="0" w:color="auto"/>
            </w:tcBorders>
            <w:shd w:val="clear" w:color="000000" w:fill="CCFFFF"/>
            <w:noWrap/>
            <w:vAlign w:val="bottom"/>
            <w:hideMark/>
          </w:tcPr>
          <w:p w14:paraId="69CD8F80" w14:textId="77777777" w:rsidR="00B56301" w:rsidRPr="00364545" w:rsidRDefault="00B56301" w:rsidP="00B37B65">
            <w:pPr>
              <w:jc w:val="right"/>
              <w:rPr>
                <w:rFonts w:asciiTheme="minorHAnsi" w:hAnsiTheme="minorHAnsi"/>
                <w:sz w:val="16"/>
                <w:szCs w:val="14"/>
              </w:rPr>
            </w:pPr>
            <w:r w:rsidRPr="00364545">
              <w:rPr>
                <w:sz w:val="16"/>
              </w:rPr>
              <w:t>55,91</w:t>
            </w:r>
          </w:p>
        </w:tc>
      </w:tr>
      <w:tr w:rsidR="00B56301" w:rsidRPr="00364545" w14:paraId="6CE59C3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C74683" w14:textId="14025921"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71E8DDE3" w14:textId="77777777" w:rsidR="00B56301" w:rsidRPr="00364545" w:rsidRDefault="00B56301" w:rsidP="00B37B65">
            <w:pPr>
              <w:jc w:val="right"/>
              <w:rPr>
                <w:rFonts w:asciiTheme="minorHAnsi" w:hAnsiTheme="minorHAnsi"/>
                <w:sz w:val="16"/>
                <w:szCs w:val="14"/>
              </w:rPr>
            </w:pPr>
            <w:r w:rsidRPr="00364545">
              <w:rPr>
                <w:sz w:val="16"/>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0D95468D" w14:textId="77777777" w:rsidR="00B56301" w:rsidRPr="00364545" w:rsidRDefault="00B56301" w:rsidP="00B37B65">
            <w:pPr>
              <w:jc w:val="right"/>
              <w:rPr>
                <w:rFonts w:asciiTheme="minorHAnsi" w:hAnsiTheme="minorHAnsi"/>
                <w:sz w:val="16"/>
                <w:szCs w:val="14"/>
              </w:rPr>
            </w:pPr>
            <w:r w:rsidRPr="00364545">
              <w:rPr>
                <w:sz w:val="16"/>
              </w:rPr>
              <w:t>1,15</w:t>
            </w:r>
          </w:p>
        </w:tc>
        <w:tc>
          <w:tcPr>
            <w:tcW w:w="991" w:type="dxa"/>
            <w:tcBorders>
              <w:top w:val="nil"/>
              <w:left w:val="nil"/>
              <w:bottom w:val="single" w:sz="4" w:space="0" w:color="auto"/>
              <w:right w:val="single" w:sz="4" w:space="0" w:color="auto"/>
            </w:tcBorders>
            <w:shd w:val="clear" w:color="000000" w:fill="FFFFFF"/>
            <w:noWrap/>
            <w:vAlign w:val="bottom"/>
            <w:hideMark/>
          </w:tcPr>
          <w:p w14:paraId="32C05714" w14:textId="77777777" w:rsidR="00B56301" w:rsidRPr="00364545" w:rsidRDefault="00B56301" w:rsidP="00B37B65">
            <w:pPr>
              <w:jc w:val="right"/>
              <w:rPr>
                <w:rFonts w:asciiTheme="minorHAnsi" w:hAnsiTheme="minorHAnsi"/>
                <w:sz w:val="16"/>
                <w:szCs w:val="14"/>
              </w:rPr>
            </w:pPr>
            <w:r w:rsidRPr="00364545">
              <w:rPr>
                <w:sz w:val="16"/>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17D97B86" w14:textId="77777777" w:rsidR="00B56301" w:rsidRPr="00364545" w:rsidRDefault="00B56301" w:rsidP="00B37B65">
            <w:pPr>
              <w:jc w:val="right"/>
              <w:rPr>
                <w:rFonts w:asciiTheme="minorHAnsi" w:hAnsiTheme="minorHAnsi"/>
                <w:sz w:val="16"/>
                <w:szCs w:val="14"/>
              </w:rPr>
            </w:pPr>
            <w:r w:rsidRPr="00364545">
              <w:rPr>
                <w:sz w:val="16"/>
              </w:rPr>
              <w:t>1,85</w:t>
            </w:r>
          </w:p>
        </w:tc>
        <w:tc>
          <w:tcPr>
            <w:tcW w:w="991" w:type="dxa"/>
            <w:tcBorders>
              <w:top w:val="nil"/>
              <w:left w:val="nil"/>
              <w:bottom w:val="single" w:sz="4" w:space="0" w:color="auto"/>
              <w:right w:val="single" w:sz="4" w:space="0" w:color="auto"/>
            </w:tcBorders>
            <w:shd w:val="clear" w:color="000000" w:fill="FFFFFF"/>
            <w:noWrap/>
            <w:vAlign w:val="bottom"/>
            <w:hideMark/>
          </w:tcPr>
          <w:p w14:paraId="0D6494AE" w14:textId="77777777" w:rsidR="00B56301" w:rsidRPr="00364545" w:rsidRDefault="00B56301" w:rsidP="00B37B65">
            <w:pPr>
              <w:jc w:val="right"/>
              <w:rPr>
                <w:rFonts w:asciiTheme="minorHAnsi" w:hAnsiTheme="minorHAnsi"/>
                <w:sz w:val="16"/>
                <w:szCs w:val="14"/>
              </w:rPr>
            </w:pPr>
            <w:r w:rsidRPr="00364545">
              <w:rPr>
                <w:sz w:val="16"/>
              </w:rPr>
              <w:t>2,06</w:t>
            </w:r>
          </w:p>
        </w:tc>
        <w:tc>
          <w:tcPr>
            <w:tcW w:w="991" w:type="dxa"/>
            <w:tcBorders>
              <w:top w:val="nil"/>
              <w:left w:val="nil"/>
              <w:bottom w:val="single" w:sz="4" w:space="0" w:color="auto"/>
              <w:right w:val="single" w:sz="4" w:space="0" w:color="auto"/>
            </w:tcBorders>
            <w:shd w:val="clear" w:color="000000" w:fill="FFFFFF"/>
            <w:noWrap/>
            <w:vAlign w:val="bottom"/>
            <w:hideMark/>
          </w:tcPr>
          <w:p w14:paraId="66A8983F" w14:textId="77777777" w:rsidR="00B56301" w:rsidRPr="00364545" w:rsidRDefault="00B56301" w:rsidP="00B37B65">
            <w:pPr>
              <w:jc w:val="right"/>
              <w:rPr>
                <w:rFonts w:asciiTheme="minorHAnsi" w:hAnsiTheme="minorHAnsi"/>
                <w:sz w:val="16"/>
                <w:szCs w:val="14"/>
              </w:rPr>
            </w:pPr>
            <w:r w:rsidRPr="00364545">
              <w:rPr>
                <w:sz w:val="16"/>
              </w:rPr>
              <w:t>1,73</w:t>
            </w:r>
          </w:p>
        </w:tc>
      </w:tr>
      <w:tr w:rsidR="00B56301" w:rsidRPr="00364545" w14:paraId="5AE67EE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FA63F46" w14:textId="39221271"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67D625E3" w14:textId="77777777" w:rsidR="00B56301" w:rsidRPr="00364545" w:rsidRDefault="00B56301" w:rsidP="00B37B65">
            <w:pPr>
              <w:jc w:val="right"/>
              <w:rPr>
                <w:rFonts w:asciiTheme="minorHAnsi" w:hAnsiTheme="minorHAnsi"/>
                <w:sz w:val="16"/>
                <w:szCs w:val="14"/>
              </w:rPr>
            </w:pPr>
            <w:r w:rsidRPr="00364545">
              <w:rPr>
                <w:sz w:val="16"/>
              </w:rPr>
              <w:t>3,96</w:t>
            </w:r>
          </w:p>
        </w:tc>
        <w:tc>
          <w:tcPr>
            <w:tcW w:w="991" w:type="dxa"/>
            <w:tcBorders>
              <w:top w:val="nil"/>
              <w:left w:val="nil"/>
              <w:bottom w:val="single" w:sz="4" w:space="0" w:color="auto"/>
              <w:right w:val="single" w:sz="4" w:space="0" w:color="auto"/>
            </w:tcBorders>
            <w:shd w:val="clear" w:color="000000" w:fill="FFFFFF"/>
            <w:noWrap/>
            <w:vAlign w:val="bottom"/>
            <w:hideMark/>
          </w:tcPr>
          <w:p w14:paraId="1D785DEB" w14:textId="77777777" w:rsidR="00B56301" w:rsidRPr="00364545" w:rsidRDefault="00B56301" w:rsidP="00B37B65">
            <w:pPr>
              <w:jc w:val="right"/>
              <w:rPr>
                <w:rFonts w:asciiTheme="minorHAnsi" w:hAnsiTheme="minorHAnsi"/>
                <w:sz w:val="16"/>
                <w:szCs w:val="14"/>
              </w:rPr>
            </w:pPr>
            <w:r w:rsidRPr="00364545">
              <w:rPr>
                <w:sz w:val="16"/>
              </w:rPr>
              <w:t>3,65</w:t>
            </w:r>
          </w:p>
        </w:tc>
        <w:tc>
          <w:tcPr>
            <w:tcW w:w="991" w:type="dxa"/>
            <w:tcBorders>
              <w:top w:val="nil"/>
              <w:left w:val="nil"/>
              <w:bottom w:val="single" w:sz="4" w:space="0" w:color="auto"/>
              <w:right w:val="single" w:sz="4" w:space="0" w:color="auto"/>
            </w:tcBorders>
            <w:shd w:val="clear" w:color="000000" w:fill="FFFFFF"/>
            <w:noWrap/>
            <w:vAlign w:val="bottom"/>
            <w:hideMark/>
          </w:tcPr>
          <w:p w14:paraId="2DB7BBCA" w14:textId="77777777" w:rsidR="00B56301" w:rsidRPr="00364545" w:rsidRDefault="00B56301" w:rsidP="00B37B65">
            <w:pPr>
              <w:jc w:val="right"/>
              <w:rPr>
                <w:rFonts w:asciiTheme="minorHAnsi" w:hAnsiTheme="minorHAnsi"/>
                <w:sz w:val="16"/>
                <w:szCs w:val="14"/>
              </w:rPr>
            </w:pPr>
            <w:r w:rsidRPr="00364545">
              <w:rPr>
                <w:sz w:val="16"/>
              </w:rPr>
              <w:t>3,95</w:t>
            </w:r>
          </w:p>
        </w:tc>
        <w:tc>
          <w:tcPr>
            <w:tcW w:w="991" w:type="dxa"/>
            <w:tcBorders>
              <w:top w:val="nil"/>
              <w:left w:val="nil"/>
              <w:bottom w:val="single" w:sz="4" w:space="0" w:color="auto"/>
              <w:right w:val="single" w:sz="4" w:space="0" w:color="auto"/>
            </w:tcBorders>
            <w:shd w:val="clear" w:color="000000" w:fill="FFFFFF"/>
            <w:noWrap/>
            <w:vAlign w:val="bottom"/>
            <w:hideMark/>
          </w:tcPr>
          <w:p w14:paraId="7CAC0FCB" w14:textId="77777777" w:rsidR="00B56301" w:rsidRPr="00364545" w:rsidRDefault="00B56301" w:rsidP="00B37B65">
            <w:pPr>
              <w:jc w:val="right"/>
              <w:rPr>
                <w:rFonts w:asciiTheme="minorHAnsi" w:hAnsiTheme="minorHAnsi"/>
                <w:sz w:val="16"/>
                <w:szCs w:val="14"/>
              </w:rPr>
            </w:pPr>
            <w:r w:rsidRPr="00364545">
              <w:rPr>
                <w:sz w:val="16"/>
              </w:rPr>
              <w:t>4,18</w:t>
            </w:r>
          </w:p>
        </w:tc>
        <w:tc>
          <w:tcPr>
            <w:tcW w:w="991" w:type="dxa"/>
            <w:tcBorders>
              <w:top w:val="nil"/>
              <w:left w:val="nil"/>
              <w:bottom w:val="single" w:sz="4" w:space="0" w:color="auto"/>
              <w:right w:val="single" w:sz="4" w:space="0" w:color="auto"/>
            </w:tcBorders>
            <w:shd w:val="clear" w:color="000000" w:fill="FFFFFF"/>
            <w:noWrap/>
            <w:vAlign w:val="bottom"/>
            <w:hideMark/>
          </w:tcPr>
          <w:p w14:paraId="6FE6CFA9" w14:textId="77777777" w:rsidR="00B56301" w:rsidRPr="00364545" w:rsidRDefault="00B56301" w:rsidP="00B37B65">
            <w:pPr>
              <w:jc w:val="right"/>
              <w:rPr>
                <w:rFonts w:asciiTheme="minorHAnsi" w:hAnsiTheme="minorHAnsi"/>
                <w:sz w:val="16"/>
                <w:szCs w:val="14"/>
              </w:rPr>
            </w:pPr>
            <w:r w:rsidRPr="00364545">
              <w:rPr>
                <w:sz w:val="16"/>
              </w:rPr>
              <w:t>3,96</w:t>
            </w:r>
          </w:p>
        </w:tc>
        <w:tc>
          <w:tcPr>
            <w:tcW w:w="991" w:type="dxa"/>
            <w:tcBorders>
              <w:top w:val="nil"/>
              <w:left w:val="nil"/>
              <w:bottom w:val="single" w:sz="4" w:space="0" w:color="auto"/>
              <w:right w:val="single" w:sz="4" w:space="0" w:color="auto"/>
            </w:tcBorders>
            <w:shd w:val="clear" w:color="000000" w:fill="FFFFFF"/>
            <w:noWrap/>
            <w:vAlign w:val="bottom"/>
            <w:hideMark/>
          </w:tcPr>
          <w:p w14:paraId="04B97C69" w14:textId="77777777" w:rsidR="00B56301" w:rsidRPr="00364545" w:rsidRDefault="00B56301" w:rsidP="00B37B65">
            <w:pPr>
              <w:jc w:val="right"/>
              <w:rPr>
                <w:rFonts w:asciiTheme="minorHAnsi" w:hAnsiTheme="minorHAnsi"/>
                <w:sz w:val="16"/>
                <w:szCs w:val="14"/>
              </w:rPr>
            </w:pPr>
            <w:r w:rsidRPr="00364545">
              <w:rPr>
                <w:sz w:val="16"/>
              </w:rPr>
              <w:t>4,19</w:t>
            </w:r>
          </w:p>
        </w:tc>
      </w:tr>
      <w:tr w:rsidR="00B56301" w:rsidRPr="00364545" w14:paraId="7C8B2A8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79FCEBE" w14:textId="6B2A4F84"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3. 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28CB32E8" w14:textId="77777777" w:rsidR="00B56301" w:rsidRPr="00364545" w:rsidRDefault="00B56301" w:rsidP="00B37B65">
            <w:pPr>
              <w:jc w:val="right"/>
              <w:rPr>
                <w:rFonts w:asciiTheme="minorHAnsi" w:hAnsiTheme="minorHAnsi"/>
                <w:sz w:val="16"/>
                <w:szCs w:val="14"/>
              </w:rPr>
            </w:pPr>
            <w:r w:rsidRPr="00364545">
              <w:rPr>
                <w:sz w:val="16"/>
              </w:rPr>
              <w:t>7,26</w:t>
            </w:r>
          </w:p>
        </w:tc>
        <w:tc>
          <w:tcPr>
            <w:tcW w:w="991" w:type="dxa"/>
            <w:tcBorders>
              <w:top w:val="nil"/>
              <w:left w:val="nil"/>
              <w:bottom w:val="single" w:sz="4" w:space="0" w:color="auto"/>
              <w:right w:val="single" w:sz="4" w:space="0" w:color="auto"/>
            </w:tcBorders>
            <w:shd w:val="clear" w:color="000000" w:fill="FFFFFF"/>
            <w:noWrap/>
            <w:vAlign w:val="bottom"/>
            <w:hideMark/>
          </w:tcPr>
          <w:p w14:paraId="166CA6A1" w14:textId="77777777" w:rsidR="00B56301" w:rsidRPr="00364545" w:rsidRDefault="00B56301" w:rsidP="00B37B65">
            <w:pPr>
              <w:jc w:val="right"/>
              <w:rPr>
                <w:rFonts w:asciiTheme="minorHAnsi" w:hAnsiTheme="minorHAnsi"/>
                <w:sz w:val="16"/>
                <w:szCs w:val="14"/>
              </w:rPr>
            </w:pPr>
            <w:r w:rsidRPr="00364545">
              <w:rPr>
                <w:sz w:val="16"/>
              </w:rPr>
              <w:t>6,74</w:t>
            </w:r>
          </w:p>
        </w:tc>
        <w:tc>
          <w:tcPr>
            <w:tcW w:w="991" w:type="dxa"/>
            <w:tcBorders>
              <w:top w:val="nil"/>
              <w:left w:val="nil"/>
              <w:bottom w:val="single" w:sz="4" w:space="0" w:color="auto"/>
              <w:right w:val="single" w:sz="4" w:space="0" w:color="auto"/>
            </w:tcBorders>
            <w:shd w:val="clear" w:color="000000" w:fill="FFFFFF"/>
            <w:noWrap/>
            <w:vAlign w:val="bottom"/>
            <w:hideMark/>
          </w:tcPr>
          <w:p w14:paraId="614138BE" w14:textId="77777777" w:rsidR="00B56301" w:rsidRPr="00364545" w:rsidRDefault="00B56301" w:rsidP="00B37B65">
            <w:pPr>
              <w:jc w:val="right"/>
              <w:rPr>
                <w:rFonts w:asciiTheme="minorHAnsi" w:hAnsiTheme="minorHAnsi"/>
                <w:sz w:val="16"/>
                <w:szCs w:val="14"/>
              </w:rPr>
            </w:pPr>
            <w:r w:rsidRPr="00364545">
              <w:rPr>
                <w:sz w:val="16"/>
              </w:rPr>
              <w:t>6,58</w:t>
            </w:r>
          </w:p>
        </w:tc>
        <w:tc>
          <w:tcPr>
            <w:tcW w:w="991" w:type="dxa"/>
            <w:tcBorders>
              <w:top w:val="nil"/>
              <w:left w:val="nil"/>
              <w:bottom w:val="single" w:sz="4" w:space="0" w:color="auto"/>
              <w:right w:val="single" w:sz="4" w:space="0" w:color="auto"/>
            </w:tcBorders>
            <w:shd w:val="clear" w:color="000000" w:fill="FFFFFF"/>
            <w:noWrap/>
            <w:vAlign w:val="bottom"/>
            <w:hideMark/>
          </w:tcPr>
          <w:p w14:paraId="1E2AAB17" w14:textId="77777777" w:rsidR="00B56301" w:rsidRPr="00364545" w:rsidRDefault="00B56301" w:rsidP="00B37B65">
            <w:pPr>
              <w:jc w:val="right"/>
              <w:rPr>
                <w:rFonts w:asciiTheme="minorHAnsi" w:hAnsiTheme="minorHAnsi"/>
                <w:sz w:val="16"/>
                <w:szCs w:val="14"/>
              </w:rPr>
            </w:pPr>
            <w:r w:rsidRPr="00364545">
              <w:rPr>
                <w:sz w:val="16"/>
              </w:rPr>
              <w:t>6,42</w:t>
            </w:r>
          </w:p>
        </w:tc>
        <w:tc>
          <w:tcPr>
            <w:tcW w:w="991" w:type="dxa"/>
            <w:tcBorders>
              <w:top w:val="nil"/>
              <w:left w:val="nil"/>
              <w:bottom w:val="single" w:sz="4" w:space="0" w:color="auto"/>
              <w:right w:val="single" w:sz="4" w:space="0" w:color="auto"/>
            </w:tcBorders>
            <w:shd w:val="clear" w:color="000000" w:fill="FFFFFF"/>
            <w:noWrap/>
            <w:vAlign w:val="bottom"/>
            <w:hideMark/>
          </w:tcPr>
          <w:p w14:paraId="65F25191" w14:textId="77777777" w:rsidR="00B56301" w:rsidRPr="00364545" w:rsidRDefault="00B56301" w:rsidP="00B37B65">
            <w:pPr>
              <w:jc w:val="right"/>
              <w:rPr>
                <w:rFonts w:asciiTheme="minorHAnsi" w:hAnsiTheme="minorHAnsi"/>
                <w:sz w:val="16"/>
                <w:szCs w:val="14"/>
              </w:rPr>
            </w:pPr>
            <w:r w:rsidRPr="00364545">
              <w:rPr>
                <w:sz w:val="16"/>
              </w:rPr>
              <w:t>6,39</w:t>
            </w:r>
          </w:p>
        </w:tc>
        <w:tc>
          <w:tcPr>
            <w:tcW w:w="991" w:type="dxa"/>
            <w:tcBorders>
              <w:top w:val="nil"/>
              <w:left w:val="nil"/>
              <w:bottom w:val="single" w:sz="4" w:space="0" w:color="auto"/>
              <w:right w:val="single" w:sz="4" w:space="0" w:color="auto"/>
            </w:tcBorders>
            <w:shd w:val="clear" w:color="000000" w:fill="FFFFFF"/>
            <w:noWrap/>
            <w:vAlign w:val="bottom"/>
            <w:hideMark/>
          </w:tcPr>
          <w:p w14:paraId="1C301B11" w14:textId="77777777" w:rsidR="00B56301" w:rsidRPr="00364545" w:rsidRDefault="00B56301" w:rsidP="00B37B65">
            <w:pPr>
              <w:jc w:val="right"/>
              <w:rPr>
                <w:rFonts w:asciiTheme="minorHAnsi" w:hAnsiTheme="minorHAnsi"/>
                <w:sz w:val="16"/>
                <w:szCs w:val="14"/>
              </w:rPr>
            </w:pPr>
            <w:r w:rsidRPr="00364545">
              <w:rPr>
                <w:sz w:val="16"/>
              </w:rPr>
              <w:t>6,45</w:t>
            </w:r>
          </w:p>
        </w:tc>
      </w:tr>
      <w:tr w:rsidR="00B56301" w:rsidRPr="00364545" w14:paraId="36F496D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1EB3E3C" w14:textId="51396C52"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4. 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38BF3879" w14:textId="77777777" w:rsidR="00B56301" w:rsidRPr="00364545" w:rsidRDefault="00B56301" w:rsidP="00B37B65">
            <w:pPr>
              <w:jc w:val="right"/>
              <w:rPr>
                <w:rFonts w:asciiTheme="minorHAnsi" w:hAnsiTheme="minorHAnsi"/>
                <w:sz w:val="16"/>
                <w:szCs w:val="14"/>
              </w:rPr>
            </w:pPr>
            <w:r w:rsidRPr="00364545">
              <w:rPr>
                <w:sz w:val="16"/>
              </w:rPr>
              <w:t>62,36</w:t>
            </w:r>
          </w:p>
        </w:tc>
        <w:tc>
          <w:tcPr>
            <w:tcW w:w="991" w:type="dxa"/>
            <w:tcBorders>
              <w:top w:val="nil"/>
              <w:left w:val="nil"/>
              <w:bottom w:val="single" w:sz="4" w:space="0" w:color="auto"/>
              <w:right w:val="single" w:sz="4" w:space="0" w:color="auto"/>
            </w:tcBorders>
            <w:shd w:val="clear" w:color="000000" w:fill="FFFFFF"/>
            <w:noWrap/>
            <w:vAlign w:val="bottom"/>
            <w:hideMark/>
          </w:tcPr>
          <w:p w14:paraId="1AE6480A" w14:textId="77777777" w:rsidR="00B56301" w:rsidRPr="00364545" w:rsidRDefault="00B56301" w:rsidP="00B37B65">
            <w:pPr>
              <w:jc w:val="right"/>
              <w:rPr>
                <w:rFonts w:asciiTheme="minorHAnsi" w:hAnsiTheme="minorHAnsi"/>
                <w:sz w:val="16"/>
                <w:szCs w:val="14"/>
              </w:rPr>
            </w:pPr>
            <w:r w:rsidRPr="00364545">
              <w:rPr>
                <w:sz w:val="16"/>
              </w:rPr>
              <w:t>48,77</w:t>
            </w:r>
          </w:p>
        </w:tc>
        <w:tc>
          <w:tcPr>
            <w:tcW w:w="991" w:type="dxa"/>
            <w:tcBorders>
              <w:top w:val="nil"/>
              <w:left w:val="nil"/>
              <w:bottom w:val="single" w:sz="4" w:space="0" w:color="auto"/>
              <w:right w:val="single" w:sz="4" w:space="0" w:color="auto"/>
            </w:tcBorders>
            <w:shd w:val="clear" w:color="000000" w:fill="FFFFFF"/>
            <w:noWrap/>
            <w:vAlign w:val="bottom"/>
            <w:hideMark/>
          </w:tcPr>
          <w:p w14:paraId="0F665617" w14:textId="77777777" w:rsidR="00B56301" w:rsidRPr="00364545" w:rsidRDefault="00B56301" w:rsidP="00B37B65">
            <w:pPr>
              <w:jc w:val="right"/>
              <w:rPr>
                <w:rFonts w:asciiTheme="minorHAnsi" w:hAnsiTheme="minorHAnsi"/>
                <w:sz w:val="16"/>
                <w:szCs w:val="14"/>
              </w:rPr>
            </w:pPr>
            <w:r w:rsidRPr="00364545">
              <w:rPr>
                <w:sz w:val="16"/>
              </w:rPr>
              <w:t>49,35</w:t>
            </w:r>
          </w:p>
        </w:tc>
        <w:tc>
          <w:tcPr>
            <w:tcW w:w="991" w:type="dxa"/>
            <w:tcBorders>
              <w:top w:val="nil"/>
              <w:left w:val="nil"/>
              <w:bottom w:val="single" w:sz="4" w:space="0" w:color="auto"/>
              <w:right w:val="single" w:sz="4" w:space="0" w:color="auto"/>
            </w:tcBorders>
            <w:shd w:val="clear" w:color="000000" w:fill="FFFFFF"/>
            <w:noWrap/>
            <w:vAlign w:val="bottom"/>
            <w:hideMark/>
          </w:tcPr>
          <w:p w14:paraId="64017B82" w14:textId="77777777" w:rsidR="00B56301" w:rsidRPr="00364545" w:rsidRDefault="00B56301" w:rsidP="00B37B65">
            <w:pPr>
              <w:jc w:val="right"/>
              <w:rPr>
                <w:rFonts w:asciiTheme="minorHAnsi" w:hAnsiTheme="minorHAnsi"/>
                <w:sz w:val="16"/>
                <w:szCs w:val="14"/>
              </w:rPr>
            </w:pPr>
            <w:r w:rsidRPr="00364545">
              <w:rPr>
                <w:sz w:val="16"/>
              </w:rPr>
              <w:t>50,10</w:t>
            </w:r>
          </w:p>
        </w:tc>
        <w:tc>
          <w:tcPr>
            <w:tcW w:w="991" w:type="dxa"/>
            <w:tcBorders>
              <w:top w:val="nil"/>
              <w:left w:val="nil"/>
              <w:bottom w:val="single" w:sz="4" w:space="0" w:color="auto"/>
              <w:right w:val="single" w:sz="4" w:space="0" w:color="auto"/>
            </w:tcBorders>
            <w:shd w:val="clear" w:color="000000" w:fill="FFFFFF"/>
            <w:noWrap/>
            <w:vAlign w:val="bottom"/>
            <w:hideMark/>
          </w:tcPr>
          <w:p w14:paraId="27EC0B30" w14:textId="77777777" w:rsidR="00B56301" w:rsidRPr="00364545" w:rsidRDefault="00B56301" w:rsidP="00B37B65">
            <w:pPr>
              <w:jc w:val="right"/>
              <w:rPr>
                <w:rFonts w:asciiTheme="minorHAnsi" w:hAnsiTheme="minorHAnsi"/>
                <w:sz w:val="16"/>
                <w:szCs w:val="14"/>
              </w:rPr>
            </w:pPr>
            <w:r w:rsidRPr="00364545">
              <w:rPr>
                <w:sz w:val="16"/>
              </w:rPr>
              <w:t>46,77</w:t>
            </w:r>
          </w:p>
        </w:tc>
        <w:tc>
          <w:tcPr>
            <w:tcW w:w="991" w:type="dxa"/>
            <w:tcBorders>
              <w:top w:val="nil"/>
              <w:left w:val="nil"/>
              <w:bottom w:val="single" w:sz="4" w:space="0" w:color="auto"/>
              <w:right w:val="single" w:sz="4" w:space="0" w:color="auto"/>
            </w:tcBorders>
            <w:shd w:val="clear" w:color="000000" w:fill="FFFFFF"/>
            <w:noWrap/>
            <w:vAlign w:val="bottom"/>
            <w:hideMark/>
          </w:tcPr>
          <w:p w14:paraId="2575E590" w14:textId="77777777" w:rsidR="00B56301" w:rsidRPr="00364545" w:rsidRDefault="00B56301" w:rsidP="00B37B65">
            <w:pPr>
              <w:jc w:val="right"/>
              <w:rPr>
                <w:rFonts w:asciiTheme="minorHAnsi" w:hAnsiTheme="minorHAnsi"/>
                <w:sz w:val="16"/>
                <w:szCs w:val="14"/>
              </w:rPr>
            </w:pPr>
            <w:r w:rsidRPr="00364545">
              <w:rPr>
                <w:sz w:val="16"/>
              </w:rPr>
              <w:t>43,48</w:t>
            </w:r>
          </w:p>
        </w:tc>
      </w:tr>
      <w:tr w:rsidR="00B56301" w:rsidRPr="00364545" w14:paraId="6173206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04B5B31" w14:textId="22FD58E3"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5. Other</w:t>
            </w:r>
          </w:p>
        </w:tc>
        <w:tc>
          <w:tcPr>
            <w:tcW w:w="991" w:type="dxa"/>
            <w:tcBorders>
              <w:top w:val="nil"/>
              <w:left w:val="nil"/>
              <w:bottom w:val="single" w:sz="4" w:space="0" w:color="auto"/>
              <w:right w:val="single" w:sz="4" w:space="0" w:color="auto"/>
            </w:tcBorders>
            <w:shd w:val="clear" w:color="000000" w:fill="FFFFFF"/>
            <w:noWrap/>
            <w:vAlign w:val="bottom"/>
            <w:hideMark/>
          </w:tcPr>
          <w:p w14:paraId="45F663A2" w14:textId="77777777" w:rsidR="00B56301" w:rsidRPr="00364545" w:rsidRDefault="00B56301" w:rsidP="00B37B65">
            <w:pPr>
              <w:jc w:val="right"/>
              <w:rPr>
                <w:rFonts w:asciiTheme="minorHAnsi" w:hAnsiTheme="minorHAnsi"/>
                <w:sz w:val="16"/>
                <w:szCs w:val="14"/>
              </w:rPr>
            </w:pPr>
            <w:r w:rsidRPr="00364545">
              <w:rPr>
                <w:sz w:val="16"/>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185908DC" w14:textId="77777777" w:rsidR="00B56301" w:rsidRPr="00364545" w:rsidRDefault="00B56301" w:rsidP="00B37B65">
            <w:pPr>
              <w:jc w:val="right"/>
              <w:rPr>
                <w:rFonts w:asciiTheme="minorHAnsi" w:hAnsiTheme="minorHAnsi"/>
                <w:sz w:val="16"/>
                <w:szCs w:val="14"/>
              </w:rPr>
            </w:pPr>
            <w:r w:rsidRPr="00364545">
              <w:rPr>
                <w:sz w:val="16"/>
              </w:rPr>
              <w:t>0,11</w:t>
            </w:r>
          </w:p>
        </w:tc>
        <w:tc>
          <w:tcPr>
            <w:tcW w:w="991" w:type="dxa"/>
            <w:tcBorders>
              <w:top w:val="nil"/>
              <w:left w:val="nil"/>
              <w:bottom w:val="single" w:sz="4" w:space="0" w:color="auto"/>
              <w:right w:val="single" w:sz="4" w:space="0" w:color="auto"/>
            </w:tcBorders>
            <w:shd w:val="clear" w:color="000000" w:fill="FFFFFF"/>
            <w:noWrap/>
            <w:vAlign w:val="bottom"/>
            <w:hideMark/>
          </w:tcPr>
          <w:p w14:paraId="2AB58C95" w14:textId="77777777" w:rsidR="00B56301" w:rsidRPr="00364545" w:rsidRDefault="00B56301" w:rsidP="00B37B65">
            <w:pPr>
              <w:jc w:val="right"/>
              <w:rPr>
                <w:rFonts w:asciiTheme="minorHAnsi" w:hAnsiTheme="minorHAnsi"/>
                <w:sz w:val="16"/>
                <w:szCs w:val="14"/>
              </w:rPr>
            </w:pPr>
            <w:r w:rsidRPr="00364545">
              <w:rPr>
                <w:sz w:val="16"/>
              </w:rPr>
              <w:t>0,11</w:t>
            </w:r>
          </w:p>
        </w:tc>
        <w:tc>
          <w:tcPr>
            <w:tcW w:w="991" w:type="dxa"/>
            <w:tcBorders>
              <w:top w:val="nil"/>
              <w:left w:val="nil"/>
              <w:bottom w:val="single" w:sz="4" w:space="0" w:color="auto"/>
              <w:right w:val="single" w:sz="4" w:space="0" w:color="auto"/>
            </w:tcBorders>
            <w:shd w:val="clear" w:color="000000" w:fill="FFFFFF"/>
            <w:noWrap/>
            <w:vAlign w:val="bottom"/>
            <w:hideMark/>
          </w:tcPr>
          <w:p w14:paraId="11DEED80"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3049F1E9" w14:textId="77777777" w:rsidR="00B56301" w:rsidRPr="00364545" w:rsidRDefault="00B56301" w:rsidP="00B37B65">
            <w:pPr>
              <w:jc w:val="right"/>
              <w:rPr>
                <w:rFonts w:asciiTheme="minorHAnsi" w:hAnsiTheme="minorHAnsi"/>
                <w:sz w:val="16"/>
                <w:szCs w:val="14"/>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1FD24A25" w14:textId="77777777" w:rsidR="00B56301" w:rsidRPr="00364545" w:rsidRDefault="00B56301" w:rsidP="00B37B65">
            <w:pPr>
              <w:jc w:val="right"/>
              <w:rPr>
                <w:rFonts w:asciiTheme="minorHAnsi" w:hAnsiTheme="minorHAnsi"/>
                <w:sz w:val="16"/>
                <w:szCs w:val="14"/>
              </w:rPr>
            </w:pPr>
            <w:r w:rsidRPr="00364545">
              <w:rPr>
                <w:sz w:val="16"/>
              </w:rPr>
              <w:t>0,07</w:t>
            </w:r>
          </w:p>
        </w:tc>
      </w:tr>
      <w:tr w:rsidR="00B56301" w:rsidRPr="00364545" w14:paraId="1E024F0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8AE89F3"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7AEEFF26" w14:textId="77777777" w:rsidR="00B56301" w:rsidRPr="00364545" w:rsidRDefault="00B56301" w:rsidP="00B37B65">
            <w:pPr>
              <w:jc w:val="right"/>
              <w:rPr>
                <w:rFonts w:asciiTheme="minorHAnsi" w:hAnsiTheme="minorHAnsi"/>
                <w:sz w:val="16"/>
                <w:szCs w:val="14"/>
              </w:rPr>
            </w:pPr>
            <w:r w:rsidRPr="00364545">
              <w:rPr>
                <w:sz w:val="16"/>
              </w:rPr>
              <w:t>55,07</w:t>
            </w:r>
          </w:p>
        </w:tc>
        <w:tc>
          <w:tcPr>
            <w:tcW w:w="991" w:type="dxa"/>
            <w:tcBorders>
              <w:top w:val="nil"/>
              <w:left w:val="nil"/>
              <w:bottom w:val="single" w:sz="4" w:space="0" w:color="auto"/>
              <w:right w:val="single" w:sz="4" w:space="0" w:color="auto"/>
            </w:tcBorders>
            <w:shd w:val="clear" w:color="000000" w:fill="CCFFFF"/>
            <w:noWrap/>
            <w:vAlign w:val="bottom"/>
            <w:hideMark/>
          </w:tcPr>
          <w:p w14:paraId="3DBF46C5" w14:textId="77777777" w:rsidR="00B56301" w:rsidRPr="00364545" w:rsidRDefault="00B56301" w:rsidP="00B37B65">
            <w:pPr>
              <w:jc w:val="right"/>
              <w:rPr>
                <w:rFonts w:asciiTheme="minorHAnsi" w:hAnsiTheme="minorHAnsi"/>
                <w:sz w:val="16"/>
                <w:szCs w:val="14"/>
              </w:rPr>
            </w:pPr>
            <w:r w:rsidRPr="00364545">
              <w:rPr>
                <w:sz w:val="16"/>
              </w:rPr>
              <w:t>49,18</w:t>
            </w:r>
          </w:p>
        </w:tc>
        <w:tc>
          <w:tcPr>
            <w:tcW w:w="991" w:type="dxa"/>
            <w:tcBorders>
              <w:top w:val="nil"/>
              <w:left w:val="nil"/>
              <w:bottom w:val="single" w:sz="4" w:space="0" w:color="auto"/>
              <w:right w:val="single" w:sz="4" w:space="0" w:color="auto"/>
            </w:tcBorders>
            <w:shd w:val="clear" w:color="000000" w:fill="CCFFFF"/>
            <w:noWrap/>
            <w:vAlign w:val="bottom"/>
            <w:hideMark/>
          </w:tcPr>
          <w:p w14:paraId="6E0AD80B" w14:textId="77777777" w:rsidR="00B56301" w:rsidRPr="00364545" w:rsidRDefault="00B56301" w:rsidP="00B37B65">
            <w:pPr>
              <w:jc w:val="right"/>
              <w:rPr>
                <w:rFonts w:asciiTheme="minorHAnsi" w:hAnsiTheme="minorHAnsi"/>
                <w:sz w:val="16"/>
                <w:szCs w:val="14"/>
              </w:rPr>
            </w:pPr>
            <w:r w:rsidRPr="00364545">
              <w:rPr>
                <w:sz w:val="16"/>
              </w:rPr>
              <w:t>48,35</w:t>
            </w:r>
          </w:p>
        </w:tc>
        <w:tc>
          <w:tcPr>
            <w:tcW w:w="991" w:type="dxa"/>
            <w:tcBorders>
              <w:top w:val="nil"/>
              <w:left w:val="nil"/>
              <w:bottom w:val="single" w:sz="4" w:space="0" w:color="auto"/>
              <w:right w:val="single" w:sz="4" w:space="0" w:color="auto"/>
            </w:tcBorders>
            <w:shd w:val="clear" w:color="000000" w:fill="CCFFFF"/>
            <w:noWrap/>
            <w:vAlign w:val="bottom"/>
            <w:hideMark/>
          </w:tcPr>
          <w:p w14:paraId="310F0E17" w14:textId="77777777" w:rsidR="00B56301" w:rsidRPr="00364545" w:rsidRDefault="00B56301" w:rsidP="00B37B65">
            <w:pPr>
              <w:jc w:val="right"/>
              <w:rPr>
                <w:rFonts w:asciiTheme="minorHAnsi" w:hAnsiTheme="minorHAnsi"/>
                <w:sz w:val="16"/>
                <w:szCs w:val="14"/>
              </w:rPr>
            </w:pPr>
            <w:r w:rsidRPr="00364545">
              <w:rPr>
                <w:sz w:val="16"/>
              </w:rPr>
              <w:t>49,29</w:t>
            </w:r>
          </w:p>
        </w:tc>
        <w:tc>
          <w:tcPr>
            <w:tcW w:w="991" w:type="dxa"/>
            <w:tcBorders>
              <w:top w:val="nil"/>
              <w:left w:val="nil"/>
              <w:bottom w:val="single" w:sz="4" w:space="0" w:color="auto"/>
              <w:right w:val="single" w:sz="4" w:space="0" w:color="auto"/>
            </w:tcBorders>
            <w:shd w:val="clear" w:color="000000" w:fill="CCFFFF"/>
            <w:noWrap/>
            <w:vAlign w:val="bottom"/>
            <w:hideMark/>
          </w:tcPr>
          <w:p w14:paraId="299C5802" w14:textId="77777777" w:rsidR="00B56301" w:rsidRPr="00364545" w:rsidRDefault="00B56301" w:rsidP="00B37B65">
            <w:pPr>
              <w:jc w:val="right"/>
              <w:rPr>
                <w:rFonts w:asciiTheme="minorHAnsi" w:hAnsiTheme="minorHAnsi"/>
                <w:sz w:val="16"/>
                <w:szCs w:val="14"/>
              </w:rPr>
            </w:pPr>
            <w:r w:rsidRPr="00364545">
              <w:rPr>
                <w:sz w:val="16"/>
              </w:rPr>
              <w:t>45,52</w:t>
            </w:r>
          </w:p>
        </w:tc>
        <w:tc>
          <w:tcPr>
            <w:tcW w:w="991" w:type="dxa"/>
            <w:tcBorders>
              <w:top w:val="nil"/>
              <w:left w:val="nil"/>
              <w:bottom w:val="single" w:sz="4" w:space="0" w:color="auto"/>
              <w:right w:val="single" w:sz="4" w:space="0" w:color="auto"/>
            </w:tcBorders>
            <w:shd w:val="clear" w:color="000000" w:fill="CCFFFF"/>
            <w:noWrap/>
            <w:vAlign w:val="bottom"/>
            <w:hideMark/>
          </w:tcPr>
          <w:p w14:paraId="6DE8FB6C" w14:textId="77777777" w:rsidR="00B56301" w:rsidRPr="00364545" w:rsidRDefault="00B56301" w:rsidP="00B37B65">
            <w:pPr>
              <w:jc w:val="right"/>
              <w:rPr>
                <w:rFonts w:asciiTheme="minorHAnsi" w:hAnsiTheme="minorHAnsi"/>
                <w:sz w:val="16"/>
                <w:szCs w:val="14"/>
              </w:rPr>
            </w:pPr>
            <w:r w:rsidRPr="00364545">
              <w:rPr>
                <w:sz w:val="16"/>
              </w:rPr>
              <w:t>43,40</w:t>
            </w:r>
          </w:p>
        </w:tc>
      </w:tr>
      <w:tr w:rsidR="00B56301" w:rsidRPr="00364545" w14:paraId="62756B6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9D9B13" w14:textId="6C47C0CC"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0E530D35" w14:textId="77777777" w:rsidR="00B56301" w:rsidRPr="00364545" w:rsidRDefault="00B56301" w:rsidP="00B37B65">
            <w:pPr>
              <w:jc w:val="right"/>
              <w:rPr>
                <w:rFonts w:asciiTheme="minorHAnsi" w:hAnsiTheme="minorHAnsi"/>
                <w:sz w:val="16"/>
                <w:szCs w:val="14"/>
              </w:rPr>
            </w:pPr>
            <w:r w:rsidRPr="00364545">
              <w:rPr>
                <w:sz w:val="16"/>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232E73E9" w14:textId="77777777" w:rsidR="00B56301" w:rsidRPr="00364545" w:rsidRDefault="00B56301" w:rsidP="00B37B65">
            <w:pPr>
              <w:jc w:val="right"/>
              <w:rPr>
                <w:rFonts w:asciiTheme="minorHAnsi" w:hAnsiTheme="minorHAnsi"/>
                <w:sz w:val="16"/>
                <w:szCs w:val="14"/>
              </w:rPr>
            </w:pPr>
            <w:r w:rsidRPr="00364545">
              <w:rPr>
                <w:sz w:val="16"/>
              </w:rPr>
              <w:t>0,55</w:t>
            </w:r>
          </w:p>
        </w:tc>
        <w:tc>
          <w:tcPr>
            <w:tcW w:w="991" w:type="dxa"/>
            <w:tcBorders>
              <w:top w:val="nil"/>
              <w:left w:val="nil"/>
              <w:bottom w:val="single" w:sz="4" w:space="0" w:color="auto"/>
              <w:right w:val="single" w:sz="4" w:space="0" w:color="auto"/>
            </w:tcBorders>
            <w:shd w:val="clear" w:color="000000" w:fill="FFFFFF"/>
            <w:noWrap/>
            <w:vAlign w:val="bottom"/>
            <w:hideMark/>
          </w:tcPr>
          <w:p w14:paraId="48217A53" w14:textId="77777777" w:rsidR="00B56301" w:rsidRPr="00364545" w:rsidRDefault="00B56301" w:rsidP="00B37B65">
            <w:pPr>
              <w:jc w:val="right"/>
              <w:rPr>
                <w:rFonts w:asciiTheme="minorHAnsi" w:hAnsiTheme="minorHAnsi"/>
                <w:sz w:val="16"/>
                <w:szCs w:val="14"/>
              </w:rPr>
            </w:pPr>
            <w:r w:rsidRPr="00364545">
              <w:rPr>
                <w:sz w:val="16"/>
              </w:rPr>
              <w:t>0,60</w:t>
            </w:r>
          </w:p>
        </w:tc>
        <w:tc>
          <w:tcPr>
            <w:tcW w:w="991" w:type="dxa"/>
            <w:tcBorders>
              <w:top w:val="nil"/>
              <w:left w:val="nil"/>
              <w:bottom w:val="single" w:sz="4" w:space="0" w:color="auto"/>
              <w:right w:val="single" w:sz="4" w:space="0" w:color="auto"/>
            </w:tcBorders>
            <w:shd w:val="clear" w:color="000000" w:fill="FFFFFF"/>
            <w:noWrap/>
            <w:vAlign w:val="bottom"/>
            <w:hideMark/>
          </w:tcPr>
          <w:p w14:paraId="475EA356" w14:textId="77777777" w:rsidR="00B56301" w:rsidRPr="00364545" w:rsidRDefault="00B56301" w:rsidP="00B37B65">
            <w:pPr>
              <w:jc w:val="right"/>
              <w:rPr>
                <w:rFonts w:asciiTheme="minorHAnsi" w:hAnsiTheme="minorHAnsi"/>
                <w:sz w:val="16"/>
                <w:szCs w:val="14"/>
              </w:rPr>
            </w:pPr>
            <w:r w:rsidRPr="00364545">
              <w:rPr>
                <w:sz w:val="16"/>
              </w:rPr>
              <w:t>0,65</w:t>
            </w:r>
          </w:p>
        </w:tc>
        <w:tc>
          <w:tcPr>
            <w:tcW w:w="991" w:type="dxa"/>
            <w:tcBorders>
              <w:top w:val="nil"/>
              <w:left w:val="nil"/>
              <w:bottom w:val="single" w:sz="4" w:space="0" w:color="auto"/>
              <w:right w:val="single" w:sz="4" w:space="0" w:color="auto"/>
            </w:tcBorders>
            <w:shd w:val="clear" w:color="000000" w:fill="FFFFFF"/>
            <w:noWrap/>
            <w:vAlign w:val="bottom"/>
            <w:hideMark/>
          </w:tcPr>
          <w:p w14:paraId="14ACE446" w14:textId="77777777" w:rsidR="00B56301" w:rsidRPr="00364545" w:rsidRDefault="00B56301" w:rsidP="00B37B65">
            <w:pPr>
              <w:jc w:val="right"/>
              <w:rPr>
                <w:rFonts w:asciiTheme="minorHAnsi" w:hAnsiTheme="minorHAnsi"/>
                <w:sz w:val="16"/>
                <w:szCs w:val="14"/>
              </w:rPr>
            </w:pPr>
            <w:r w:rsidRPr="00364545">
              <w:rPr>
                <w:sz w:val="16"/>
              </w:rPr>
              <w:t>0,67</w:t>
            </w:r>
          </w:p>
        </w:tc>
        <w:tc>
          <w:tcPr>
            <w:tcW w:w="991" w:type="dxa"/>
            <w:tcBorders>
              <w:top w:val="nil"/>
              <w:left w:val="nil"/>
              <w:bottom w:val="single" w:sz="4" w:space="0" w:color="auto"/>
              <w:right w:val="single" w:sz="4" w:space="0" w:color="auto"/>
            </w:tcBorders>
            <w:shd w:val="clear" w:color="000000" w:fill="FFFFFF"/>
            <w:noWrap/>
            <w:vAlign w:val="bottom"/>
            <w:hideMark/>
          </w:tcPr>
          <w:p w14:paraId="47BE1697" w14:textId="77777777" w:rsidR="00B56301" w:rsidRPr="00364545" w:rsidRDefault="00B56301" w:rsidP="00B37B65">
            <w:pPr>
              <w:jc w:val="right"/>
              <w:rPr>
                <w:rFonts w:asciiTheme="minorHAnsi" w:hAnsiTheme="minorHAnsi"/>
                <w:sz w:val="16"/>
                <w:szCs w:val="14"/>
              </w:rPr>
            </w:pPr>
            <w:r w:rsidRPr="00364545">
              <w:rPr>
                <w:sz w:val="16"/>
              </w:rPr>
              <w:t>0,71</w:t>
            </w:r>
          </w:p>
        </w:tc>
      </w:tr>
      <w:tr w:rsidR="00B56301" w:rsidRPr="00364545" w14:paraId="2368FA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A74D3A" w14:textId="17BC4521"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264A83FC" w14:textId="77777777" w:rsidR="00B56301" w:rsidRPr="00364545" w:rsidRDefault="00B56301" w:rsidP="00B37B65">
            <w:pPr>
              <w:jc w:val="right"/>
              <w:rPr>
                <w:rFonts w:asciiTheme="minorHAnsi" w:hAnsiTheme="minorHAnsi"/>
                <w:sz w:val="16"/>
                <w:szCs w:val="14"/>
              </w:rPr>
            </w:pPr>
            <w:r w:rsidRPr="00364545">
              <w:rPr>
                <w:sz w:val="16"/>
              </w:rPr>
              <w:t>54,28</w:t>
            </w:r>
          </w:p>
        </w:tc>
        <w:tc>
          <w:tcPr>
            <w:tcW w:w="991" w:type="dxa"/>
            <w:tcBorders>
              <w:top w:val="nil"/>
              <w:left w:val="nil"/>
              <w:bottom w:val="single" w:sz="4" w:space="0" w:color="auto"/>
              <w:right w:val="single" w:sz="4" w:space="0" w:color="auto"/>
            </w:tcBorders>
            <w:shd w:val="clear" w:color="000000" w:fill="FFFFFF"/>
            <w:noWrap/>
            <w:vAlign w:val="bottom"/>
            <w:hideMark/>
          </w:tcPr>
          <w:p w14:paraId="13B63331" w14:textId="77777777" w:rsidR="00B56301" w:rsidRPr="00364545" w:rsidRDefault="00B56301" w:rsidP="00B37B65">
            <w:pPr>
              <w:jc w:val="right"/>
              <w:rPr>
                <w:rFonts w:asciiTheme="minorHAnsi" w:hAnsiTheme="minorHAnsi"/>
                <w:sz w:val="16"/>
                <w:szCs w:val="14"/>
              </w:rPr>
            </w:pPr>
            <w:r w:rsidRPr="00364545">
              <w:rPr>
                <w:sz w:val="16"/>
              </w:rPr>
              <w:t>48,63</w:t>
            </w:r>
          </w:p>
        </w:tc>
        <w:tc>
          <w:tcPr>
            <w:tcW w:w="991" w:type="dxa"/>
            <w:tcBorders>
              <w:top w:val="nil"/>
              <w:left w:val="nil"/>
              <w:bottom w:val="single" w:sz="4" w:space="0" w:color="auto"/>
              <w:right w:val="single" w:sz="4" w:space="0" w:color="auto"/>
            </w:tcBorders>
            <w:shd w:val="clear" w:color="000000" w:fill="FFFFFF"/>
            <w:noWrap/>
            <w:vAlign w:val="bottom"/>
            <w:hideMark/>
          </w:tcPr>
          <w:p w14:paraId="4FD68DB5" w14:textId="77777777" w:rsidR="00B56301" w:rsidRPr="00364545" w:rsidRDefault="00B56301" w:rsidP="00B37B65">
            <w:pPr>
              <w:jc w:val="right"/>
              <w:rPr>
                <w:rFonts w:asciiTheme="minorHAnsi" w:hAnsiTheme="minorHAnsi"/>
                <w:sz w:val="16"/>
                <w:szCs w:val="14"/>
              </w:rPr>
            </w:pPr>
            <w:r w:rsidRPr="00364545">
              <w:rPr>
                <w:sz w:val="16"/>
              </w:rPr>
              <w:t>47,75</w:t>
            </w:r>
          </w:p>
        </w:tc>
        <w:tc>
          <w:tcPr>
            <w:tcW w:w="991" w:type="dxa"/>
            <w:tcBorders>
              <w:top w:val="nil"/>
              <w:left w:val="nil"/>
              <w:bottom w:val="single" w:sz="4" w:space="0" w:color="auto"/>
              <w:right w:val="single" w:sz="4" w:space="0" w:color="auto"/>
            </w:tcBorders>
            <w:shd w:val="clear" w:color="000000" w:fill="FFFFFF"/>
            <w:noWrap/>
            <w:vAlign w:val="bottom"/>
            <w:hideMark/>
          </w:tcPr>
          <w:p w14:paraId="7507275A" w14:textId="77777777" w:rsidR="00B56301" w:rsidRPr="00364545" w:rsidRDefault="00B56301" w:rsidP="00B37B65">
            <w:pPr>
              <w:jc w:val="right"/>
              <w:rPr>
                <w:rFonts w:asciiTheme="minorHAnsi" w:hAnsiTheme="minorHAnsi"/>
                <w:sz w:val="16"/>
                <w:szCs w:val="14"/>
              </w:rPr>
            </w:pPr>
            <w:r w:rsidRPr="00364545">
              <w:rPr>
                <w:sz w:val="16"/>
              </w:rPr>
              <w:t>48,64</w:t>
            </w:r>
          </w:p>
        </w:tc>
        <w:tc>
          <w:tcPr>
            <w:tcW w:w="991" w:type="dxa"/>
            <w:tcBorders>
              <w:top w:val="nil"/>
              <w:left w:val="nil"/>
              <w:bottom w:val="single" w:sz="4" w:space="0" w:color="auto"/>
              <w:right w:val="single" w:sz="4" w:space="0" w:color="auto"/>
            </w:tcBorders>
            <w:shd w:val="clear" w:color="000000" w:fill="FFFFFF"/>
            <w:noWrap/>
            <w:vAlign w:val="bottom"/>
            <w:hideMark/>
          </w:tcPr>
          <w:p w14:paraId="2E7D964A" w14:textId="77777777" w:rsidR="00B56301" w:rsidRPr="00364545" w:rsidRDefault="00B56301" w:rsidP="00B37B65">
            <w:pPr>
              <w:jc w:val="right"/>
              <w:rPr>
                <w:rFonts w:asciiTheme="minorHAnsi" w:hAnsiTheme="minorHAnsi"/>
                <w:sz w:val="16"/>
                <w:szCs w:val="14"/>
              </w:rPr>
            </w:pPr>
            <w:r w:rsidRPr="00364545">
              <w:rPr>
                <w:sz w:val="16"/>
              </w:rPr>
              <w:t>44,85</w:t>
            </w:r>
          </w:p>
        </w:tc>
        <w:tc>
          <w:tcPr>
            <w:tcW w:w="991" w:type="dxa"/>
            <w:tcBorders>
              <w:top w:val="nil"/>
              <w:left w:val="nil"/>
              <w:bottom w:val="single" w:sz="4" w:space="0" w:color="auto"/>
              <w:right w:val="single" w:sz="4" w:space="0" w:color="auto"/>
            </w:tcBorders>
            <w:shd w:val="clear" w:color="000000" w:fill="FFFFFF"/>
            <w:noWrap/>
            <w:vAlign w:val="bottom"/>
            <w:hideMark/>
          </w:tcPr>
          <w:p w14:paraId="22FB729F" w14:textId="77777777" w:rsidR="00B56301" w:rsidRPr="00364545" w:rsidRDefault="00B56301" w:rsidP="00B37B65">
            <w:pPr>
              <w:jc w:val="right"/>
              <w:rPr>
                <w:rFonts w:asciiTheme="minorHAnsi" w:hAnsiTheme="minorHAnsi"/>
                <w:sz w:val="16"/>
                <w:szCs w:val="14"/>
              </w:rPr>
            </w:pPr>
            <w:r w:rsidRPr="00364545">
              <w:rPr>
                <w:sz w:val="16"/>
              </w:rPr>
              <w:t>42,69</w:t>
            </w:r>
          </w:p>
        </w:tc>
      </w:tr>
      <w:tr w:rsidR="00B56301" w:rsidRPr="00364545" w14:paraId="52F9C5B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D519372" w14:textId="2A7FC764"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0D9237C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71E1E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F4E96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AB305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6A799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C72C42"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7261CC4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23642F" w14:textId="2CB4AF92"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2. 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0FC74355" w14:textId="77777777" w:rsidR="00B56301" w:rsidRPr="00364545" w:rsidRDefault="00B56301" w:rsidP="00B37B65">
            <w:pPr>
              <w:jc w:val="right"/>
              <w:rPr>
                <w:rFonts w:asciiTheme="minorHAnsi" w:hAnsiTheme="minorHAnsi"/>
                <w:sz w:val="16"/>
                <w:szCs w:val="14"/>
              </w:rPr>
            </w:pPr>
            <w:r w:rsidRPr="00364545">
              <w:rPr>
                <w:sz w:val="16"/>
              </w:rPr>
              <w:t>3,58</w:t>
            </w:r>
          </w:p>
        </w:tc>
        <w:tc>
          <w:tcPr>
            <w:tcW w:w="991" w:type="dxa"/>
            <w:tcBorders>
              <w:top w:val="nil"/>
              <w:left w:val="nil"/>
              <w:bottom w:val="single" w:sz="4" w:space="0" w:color="auto"/>
              <w:right w:val="single" w:sz="4" w:space="0" w:color="auto"/>
            </w:tcBorders>
            <w:shd w:val="clear" w:color="000000" w:fill="CCFFFF"/>
            <w:noWrap/>
            <w:vAlign w:val="bottom"/>
            <w:hideMark/>
          </w:tcPr>
          <w:p w14:paraId="6A6EC8B3" w14:textId="77777777" w:rsidR="00B56301" w:rsidRPr="00364545" w:rsidRDefault="00B56301" w:rsidP="00B37B65">
            <w:pPr>
              <w:jc w:val="right"/>
              <w:rPr>
                <w:rFonts w:asciiTheme="minorHAnsi" w:hAnsiTheme="minorHAnsi"/>
                <w:sz w:val="16"/>
                <w:szCs w:val="14"/>
              </w:rPr>
            </w:pPr>
            <w:r w:rsidRPr="00364545">
              <w:rPr>
                <w:sz w:val="16"/>
              </w:rPr>
              <w:t>3,75</w:t>
            </w:r>
          </w:p>
        </w:tc>
        <w:tc>
          <w:tcPr>
            <w:tcW w:w="991" w:type="dxa"/>
            <w:tcBorders>
              <w:top w:val="nil"/>
              <w:left w:val="nil"/>
              <w:bottom w:val="single" w:sz="4" w:space="0" w:color="auto"/>
              <w:right w:val="single" w:sz="4" w:space="0" w:color="auto"/>
            </w:tcBorders>
            <w:shd w:val="clear" w:color="000000" w:fill="CCFFFF"/>
            <w:noWrap/>
            <w:vAlign w:val="bottom"/>
            <w:hideMark/>
          </w:tcPr>
          <w:p w14:paraId="37167D67" w14:textId="77777777" w:rsidR="00B56301" w:rsidRPr="00364545" w:rsidRDefault="00B56301" w:rsidP="00B37B65">
            <w:pPr>
              <w:jc w:val="right"/>
              <w:rPr>
                <w:rFonts w:asciiTheme="minorHAnsi" w:hAnsiTheme="minorHAnsi"/>
                <w:sz w:val="16"/>
                <w:szCs w:val="14"/>
              </w:rPr>
            </w:pPr>
            <w:r w:rsidRPr="00364545">
              <w:rPr>
                <w:sz w:val="16"/>
              </w:rPr>
              <w:t>3,39</w:t>
            </w:r>
          </w:p>
        </w:tc>
        <w:tc>
          <w:tcPr>
            <w:tcW w:w="991" w:type="dxa"/>
            <w:tcBorders>
              <w:top w:val="nil"/>
              <w:left w:val="nil"/>
              <w:bottom w:val="single" w:sz="4" w:space="0" w:color="auto"/>
              <w:right w:val="single" w:sz="4" w:space="0" w:color="auto"/>
            </w:tcBorders>
            <w:shd w:val="clear" w:color="000000" w:fill="CCFFFF"/>
            <w:noWrap/>
            <w:vAlign w:val="bottom"/>
            <w:hideMark/>
          </w:tcPr>
          <w:p w14:paraId="74D5B45A" w14:textId="77777777" w:rsidR="00B56301" w:rsidRPr="00364545" w:rsidRDefault="00B56301" w:rsidP="00B37B65">
            <w:pPr>
              <w:jc w:val="right"/>
              <w:rPr>
                <w:rFonts w:asciiTheme="minorHAnsi" w:hAnsiTheme="minorHAnsi"/>
                <w:sz w:val="16"/>
                <w:szCs w:val="14"/>
              </w:rPr>
            </w:pPr>
            <w:r w:rsidRPr="00364545">
              <w:rPr>
                <w:sz w:val="16"/>
              </w:rPr>
              <w:t>3,46</w:t>
            </w:r>
          </w:p>
        </w:tc>
        <w:tc>
          <w:tcPr>
            <w:tcW w:w="991" w:type="dxa"/>
            <w:tcBorders>
              <w:top w:val="nil"/>
              <w:left w:val="nil"/>
              <w:bottom w:val="single" w:sz="4" w:space="0" w:color="auto"/>
              <w:right w:val="single" w:sz="4" w:space="0" w:color="auto"/>
            </w:tcBorders>
            <w:shd w:val="clear" w:color="000000" w:fill="CCFFFF"/>
            <w:noWrap/>
            <w:vAlign w:val="bottom"/>
            <w:hideMark/>
          </w:tcPr>
          <w:p w14:paraId="4574DC07" w14:textId="77777777" w:rsidR="00B56301" w:rsidRPr="00364545" w:rsidRDefault="00B56301" w:rsidP="00B37B65">
            <w:pPr>
              <w:jc w:val="right"/>
              <w:rPr>
                <w:rFonts w:asciiTheme="minorHAnsi" w:hAnsiTheme="minorHAnsi"/>
                <w:sz w:val="16"/>
                <w:szCs w:val="14"/>
              </w:rPr>
            </w:pPr>
            <w:r w:rsidRPr="00364545">
              <w:rPr>
                <w:sz w:val="16"/>
              </w:rPr>
              <w:t>3,09</w:t>
            </w:r>
          </w:p>
        </w:tc>
        <w:tc>
          <w:tcPr>
            <w:tcW w:w="991" w:type="dxa"/>
            <w:tcBorders>
              <w:top w:val="nil"/>
              <w:left w:val="nil"/>
              <w:bottom w:val="single" w:sz="4" w:space="0" w:color="auto"/>
              <w:right w:val="single" w:sz="4" w:space="0" w:color="auto"/>
            </w:tcBorders>
            <w:shd w:val="clear" w:color="000000" w:fill="CCFFFF"/>
            <w:noWrap/>
            <w:vAlign w:val="bottom"/>
            <w:hideMark/>
          </w:tcPr>
          <w:p w14:paraId="2F29D1C9" w14:textId="77777777" w:rsidR="00B56301" w:rsidRPr="00364545" w:rsidRDefault="00B56301" w:rsidP="00B37B65">
            <w:pPr>
              <w:jc w:val="right"/>
              <w:rPr>
                <w:rFonts w:asciiTheme="minorHAnsi" w:hAnsiTheme="minorHAnsi"/>
                <w:sz w:val="16"/>
                <w:szCs w:val="14"/>
              </w:rPr>
            </w:pPr>
            <w:r w:rsidRPr="00364545">
              <w:rPr>
                <w:sz w:val="16"/>
              </w:rPr>
              <w:t>2,81</w:t>
            </w:r>
          </w:p>
        </w:tc>
      </w:tr>
      <w:tr w:rsidR="00B56301" w:rsidRPr="00364545" w14:paraId="0FACEB1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E7C6B2" w14:textId="2AC050CD"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52BE65F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5AA39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44045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6882DB"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70FD4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B24278"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5609A2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7C35746" w14:textId="2EE89D5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1BF7FFAF" w14:textId="77777777" w:rsidR="00B56301" w:rsidRPr="00364545" w:rsidRDefault="00B56301" w:rsidP="00B37B65">
            <w:pPr>
              <w:jc w:val="right"/>
              <w:rPr>
                <w:rFonts w:asciiTheme="minorHAnsi" w:hAnsiTheme="minorHAnsi"/>
                <w:sz w:val="16"/>
                <w:szCs w:val="14"/>
              </w:rPr>
            </w:pPr>
            <w:r w:rsidRPr="00364545">
              <w:rPr>
                <w:sz w:val="16"/>
              </w:rPr>
              <w:t>1,76</w:t>
            </w:r>
          </w:p>
        </w:tc>
        <w:tc>
          <w:tcPr>
            <w:tcW w:w="991" w:type="dxa"/>
            <w:tcBorders>
              <w:top w:val="nil"/>
              <w:left w:val="nil"/>
              <w:bottom w:val="single" w:sz="4" w:space="0" w:color="auto"/>
              <w:right w:val="single" w:sz="4" w:space="0" w:color="auto"/>
            </w:tcBorders>
            <w:shd w:val="clear" w:color="000000" w:fill="FFFFFF"/>
            <w:noWrap/>
            <w:vAlign w:val="bottom"/>
            <w:hideMark/>
          </w:tcPr>
          <w:p w14:paraId="14189BBE" w14:textId="77777777" w:rsidR="00B56301" w:rsidRPr="00364545" w:rsidRDefault="00B56301" w:rsidP="00B37B65">
            <w:pPr>
              <w:jc w:val="right"/>
              <w:rPr>
                <w:rFonts w:asciiTheme="minorHAnsi" w:hAnsiTheme="minorHAnsi"/>
                <w:sz w:val="16"/>
                <w:szCs w:val="14"/>
              </w:rPr>
            </w:pPr>
            <w:r w:rsidRPr="00364545">
              <w:rPr>
                <w:sz w:val="16"/>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0F1B8039" w14:textId="77777777" w:rsidR="00B56301" w:rsidRPr="00364545" w:rsidRDefault="00B56301" w:rsidP="00B37B65">
            <w:pPr>
              <w:jc w:val="right"/>
              <w:rPr>
                <w:rFonts w:asciiTheme="minorHAnsi" w:hAnsiTheme="minorHAnsi"/>
                <w:sz w:val="16"/>
                <w:szCs w:val="14"/>
              </w:rPr>
            </w:pPr>
            <w:r w:rsidRPr="00364545">
              <w:rPr>
                <w:sz w:val="16"/>
              </w:rPr>
              <w:t>1,89</w:t>
            </w:r>
          </w:p>
        </w:tc>
        <w:tc>
          <w:tcPr>
            <w:tcW w:w="991" w:type="dxa"/>
            <w:tcBorders>
              <w:top w:val="nil"/>
              <w:left w:val="nil"/>
              <w:bottom w:val="single" w:sz="4" w:space="0" w:color="auto"/>
              <w:right w:val="single" w:sz="4" w:space="0" w:color="auto"/>
            </w:tcBorders>
            <w:shd w:val="clear" w:color="000000" w:fill="FFFFFF"/>
            <w:noWrap/>
            <w:vAlign w:val="bottom"/>
            <w:hideMark/>
          </w:tcPr>
          <w:p w14:paraId="2D12C707" w14:textId="77777777" w:rsidR="00B56301" w:rsidRPr="00364545" w:rsidRDefault="00B56301" w:rsidP="00B37B65">
            <w:pPr>
              <w:jc w:val="right"/>
              <w:rPr>
                <w:rFonts w:asciiTheme="minorHAnsi" w:hAnsiTheme="minorHAnsi"/>
                <w:sz w:val="16"/>
                <w:szCs w:val="14"/>
              </w:rPr>
            </w:pPr>
            <w:r w:rsidRPr="00364545">
              <w:rPr>
                <w:sz w:val="16"/>
              </w:rPr>
              <w:t>1,73</w:t>
            </w:r>
          </w:p>
        </w:tc>
        <w:tc>
          <w:tcPr>
            <w:tcW w:w="991" w:type="dxa"/>
            <w:tcBorders>
              <w:top w:val="nil"/>
              <w:left w:val="nil"/>
              <w:bottom w:val="single" w:sz="4" w:space="0" w:color="auto"/>
              <w:right w:val="single" w:sz="4" w:space="0" w:color="auto"/>
            </w:tcBorders>
            <w:shd w:val="clear" w:color="000000" w:fill="FFFFFF"/>
            <w:noWrap/>
            <w:vAlign w:val="bottom"/>
            <w:hideMark/>
          </w:tcPr>
          <w:p w14:paraId="446A137C" w14:textId="77777777" w:rsidR="00B56301" w:rsidRPr="00364545" w:rsidRDefault="00B56301" w:rsidP="00B37B65">
            <w:pPr>
              <w:jc w:val="right"/>
              <w:rPr>
                <w:rFonts w:asciiTheme="minorHAnsi" w:hAnsiTheme="minorHAnsi"/>
                <w:sz w:val="16"/>
                <w:szCs w:val="14"/>
              </w:rPr>
            </w:pPr>
            <w:r w:rsidRPr="00364545">
              <w:rPr>
                <w:sz w:val="16"/>
              </w:rPr>
              <w:t>1,66</w:t>
            </w:r>
          </w:p>
        </w:tc>
        <w:tc>
          <w:tcPr>
            <w:tcW w:w="991" w:type="dxa"/>
            <w:tcBorders>
              <w:top w:val="nil"/>
              <w:left w:val="nil"/>
              <w:bottom w:val="single" w:sz="4" w:space="0" w:color="auto"/>
              <w:right w:val="single" w:sz="4" w:space="0" w:color="auto"/>
            </w:tcBorders>
            <w:shd w:val="clear" w:color="000000" w:fill="FFFFFF"/>
            <w:noWrap/>
            <w:vAlign w:val="bottom"/>
            <w:hideMark/>
          </w:tcPr>
          <w:p w14:paraId="347A61E0" w14:textId="77777777" w:rsidR="00B56301" w:rsidRPr="00364545" w:rsidRDefault="00B56301" w:rsidP="00B37B65">
            <w:pPr>
              <w:jc w:val="right"/>
              <w:rPr>
                <w:rFonts w:asciiTheme="minorHAnsi" w:hAnsiTheme="minorHAnsi"/>
                <w:sz w:val="16"/>
                <w:szCs w:val="14"/>
              </w:rPr>
            </w:pPr>
            <w:r w:rsidRPr="00364545">
              <w:rPr>
                <w:sz w:val="16"/>
              </w:rPr>
              <w:t>1,47</w:t>
            </w:r>
          </w:p>
        </w:tc>
      </w:tr>
      <w:tr w:rsidR="00B56301" w:rsidRPr="00364545" w14:paraId="06DAAFF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A9C19C" w14:textId="2CE9F14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6D756179" w14:textId="77777777" w:rsidR="00B56301" w:rsidRPr="00364545" w:rsidRDefault="00B56301" w:rsidP="00B37B65">
            <w:pPr>
              <w:jc w:val="right"/>
              <w:rPr>
                <w:rFonts w:asciiTheme="minorHAnsi" w:hAnsiTheme="minorHAnsi"/>
                <w:sz w:val="16"/>
                <w:szCs w:val="14"/>
              </w:rPr>
            </w:pPr>
            <w:r w:rsidRPr="00364545">
              <w:rPr>
                <w:sz w:val="16"/>
              </w:rPr>
              <w:t>1,81</w:t>
            </w:r>
          </w:p>
        </w:tc>
        <w:tc>
          <w:tcPr>
            <w:tcW w:w="991" w:type="dxa"/>
            <w:tcBorders>
              <w:top w:val="nil"/>
              <w:left w:val="nil"/>
              <w:bottom w:val="single" w:sz="4" w:space="0" w:color="auto"/>
              <w:right w:val="single" w:sz="4" w:space="0" w:color="auto"/>
            </w:tcBorders>
            <w:shd w:val="clear" w:color="000000" w:fill="FFFFFF"/>
            <w:noWrap/>
            <w:vAlign w:val="bottom"/>
            <w:hideMark/>
          </w:tcPr>
          <w:p w14:paraId="4B295D10" w14:textId="77777777" w:rsidR="00B56301" w:rsidRPr="00364545" w:rsidRDefault="00B56301" w:rsidP="00B37B65">
            <w:pPr>
              <w:jc w:val="right"/>
              <w:rPr>
                <w:rFonts w:asciiTheme="minorHAnsi" w:hAnsiTheme="minorHAnsi"/>
                <w:sz w:val="16"/>
                <w:szCs w:val="14"/>
              </w:rPr>
            </w:pPr>
            <w:r w:rsidRPr="00364545">
              <w:rPr>
                <w:sz w:val="16"/>
              </w:rPr>
              <w:t>1,64</w:t>
            </w:r>
          </w:p>
        </w:tc>
        <w:tc>
          <w:tcPr>
            <w:tcW w:w="991" w:type="dxa"/>
            <w:tcBorders>
              <w:top w:val="nil"/>
              <w:left w:val="nil"/>
              <w:bottom w:val="single" w:sz="4" w:space="0" w:color="auto"/>
              <w:right w:val="single" w:sz="4" w:space="0" w:color="auto"/>
            </w:tcBorders>
            <w:shd w:val="clear" w:color="000000" w:fill="FFFFFF"/>
            <w:noWrap/>
            <w:vAlign w:val="bottom"/>
            <w:hideMark/>
          </w:tcPr>
          <w:p w14:paraId="0CE3FD44" w14:textId="77777777" w:rsidR="00B56301" w:rsidRPr="00364545" w:rsidRDefault="00B56301" w:rsidP="00B37B65">
            <w:pPr>
              <w:jc w:val="right"/>
              <w:rPr>
                <w:rFonts w:asciiTheme="minorHAnsi" w:hAnsiTheme="minorHAnsi"/>
                <w:sz w:val="16"/>
                <w:szCs w:val="14"/>
              </w:rPr>
            </w:pPr>
            <w:r w:rsidRPr="00364545">
              <w:rPr>
                <w:sz w:val="16"/>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2177D400" w14:textId="77777777" w:rsidR="00B56301" w:rsidRPr="00364545" w:rsidRDefault="00B56301" w:rsidP="00B37B65">
            <w:pPr>
              <w:jc w:val="right"/>
              <w:rPr>
                <w:rFonts w:asciiTheme="minorHAnsi" w:hAnsiTheme="minorHAnsi"/>
                <w:sz w:val="16"/>
                <w:szCs w:val="14"/>
              </w:rPr>
            </w:pPr>
            <w:r w:rsidRPr="00364545">
              <w:rPr>
                <w:sz w:val="16"/>
              </w:rPr>
              <w:t>1,72</w:t>
            </w:r>
          </w:p>
        </w:tc>
        <w:tc>
          <w:tcPr>
            <w:tcW w:w="991" w:type="dxa"/>
            <w:tcBorders>
              <w:top w:val="nil"/>
              <w:left w:val="nil"/>
              <w:bottom w:val="single" w:sz="4" w:space="0" w:color="auto"/>
              <w:right w:val="single" w:sz="4" w:space="0" w:color="auto"/>
            </w:tcBorders>
            <w:shd w:val="clear" w:color="000000" w:fill="FFFFFF"/>
            <w:noWrap/>
            <w:vAlign w:val="bottom"/>
            <w:hideMark/>
          </w:tcPr>
          <w:p w14:paraId="0D0CC39E" w14:textId="77777777" w:rsidR="00B56301" w:rsidRPr="00364545" w:rsidRDefault="00B56301" w:rsidP="00B37B65">
            <w:pPr>
              <w:jc w:val="right"/>
              <w:rPr>
                <w:rFonts w:asciiTheme="minorHAnsi" w:hAnsiTheme="minorHAnsi"/>
                <w:sz w:val="16"/>
                <w:szCs w:val="14"/>
              </w:rPr>
            </w:pPr>
            <w:r w:rsidRPr="00364545">
              <w:rPr>
                <w:sz w:val="16"/>
              </w:rPr>
              <w:t>1,42</w:t>
            </w:r>
          </w:p>
        </w:tc>
        <w:tc>
          <w:tcPr>
            <w:tcW w:w="991" w:type="dxa"/>
            <w:tcBorders>
              <w:top w:val="nil"/>
              <w:left w:val="nil"/>
              <w:bottom w:val="single" w:sz="4" w:space="0" w:color="auto"/>
              <w:right w:val="single" w:sz="4" w:space="0" w:color="auto"/>
            </w:tcBorders>
            <w:shd w:val="clear" w:color="000000" w:fill="FFFFFF"/>
            <w:noWrap/>
            <w:vAlign w:val="bottom"/>
            <w:hideMark/>
          </w:tcPr>
          <w:p w14:paraId="3DB9400B" w14:textId="77777777" w:rsidR="00B56301" w:rsidRPr="00364545" w:rsidRDefault="00B56301" w:rsidP="00B37B65">
            <w:pPr>
              <w:jc w:val="right"/>
              <w:rPr>
                <w:rFonts w:asciiTheme="minorHAnsi" w:hAnsiTheme="minorHAnsi"/>
                <w:sz w:val="16"/>
                <w:szCs w:val="14"/>
              </w:rPr>
            </w:pPr>
            <w:r w:rsidRPr="00364545">
              <w:rPr>
                <w:sz w:val="16"/>
              </w:rPr>
              <w:t>1,33</w:t>
            </w:r>
          </w:p>
        </w:tc>
      </w:tr>
      <w:tr w:rsidR="00B56301" w:rsidRPr="00364545" w14:paraId="3DF1AC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0E9CE1D6" w14:textId="25D9C0E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33907914" w14:textId="77777777" w:rsidR="00B56301" w:rsidRPr="00364545" w:rsidRDefault="00B56301" w:rsidP="00B37B65">
            <w:pPr>
              <w:jc w:val="right"/>
              <w:rPr>
                <w:rFonts w:asciiTheme="minorHAnsi" w:hAnsiTheme="minorHAnsi"/>
                <w:sz w:val="16"/>
                <w:szCs w:val="14"/>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881BFCB" w14:textId="77777777" w:rsidR="00B56301" w:rsidRPr="00364545" w:rsidRDefault="00B56301" w:rsidP="00B37B65">
            <w:pPr>
              <w:jc w:val="right"/>
              <w:rPr>
                <w:rFonts w:asciiTheme="minorHAnsi" w:hAnsiTheme="minorHAnsi"/>
                <w:sz w:val="16"/>
                <w:szCs w:val="14"/>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34A7AC2F" w14:textId="77777777" w:rsidR="00B56301" w:rsidRPr="00364545" w:rsidRDefault="00B56301" w:rsidP="00B37B65">
            <w:pPr>
              <w:jc w:val="right"/>
              <w:rPr>
                <w:rFonts w:asciiTheme="minorHAnsi" w:hAnsiTheme="minorHAnsi"/>
                <w:sz w:val="16"/>
                <w:szCs w:val="14"/>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F854DF5" w14:textId="77777777" w:rsidR="00B56301" w:rsidRPr="00364545" w:rsidRDefault="00B56301" w:rsidP="00B37B65">
            <w:pPr>
              <w:jc w:val="right"/>
              <w:rPr>
                <w:rFonts w:asciiTheme="minorHAnsi" w:hAnsiTheme="minorHAnsi"/>
                <w:sz w:val="16"/>
                <w:szCs w:val="14"/>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580C8366" w14:textId="77777777" w:rsidR="00B56301" w:rsidRPr="00364545" w:rsidRDefault="00B56301" w:rsidP="00B37B65">
            <w:pPr>
              <w:jc w:val="right"/>
              <w:rPr>
                <w:rFonts w:asciiTheme="minorHAnsi" w:hAnsiTheme="minorHAnsi"/>
                <w:sz w:val="16"/>
                <w:szCs w:val="14"/>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7319C043" w14:textId="77777777" w:rsidR="00B56301" w:rsidRPr="00364545" w:rsidRDefault="00B56301" w:rsidP="00B37B65">
            <w:pPr>
              <w:jc w:val="right"/>
              <w:rPr>
                <w:rFonts w:asciiTheme="minorHAnsi" w:hAnsiTheme="minorHAnsi"/>
                <w:sz w:val="16"/>
                <w:szCs w:val="14"/>
              </w:rPr>
            </w:pPr>
            <w:r w:rsidRPr="00364545">
              <w:rPr>
                <w:sz w:val="16"/>
              </w:rPr>
              <w:t>0,01</w:t>
            </w:r>
          </w:p>
        </w:tc>
      </w:tr>
      <w:tr w:rsidR="00B56301" w:rsidRPr="00364545" w14:paraId="517C28A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B81BB74" w14:textId="2DCA39C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3B01462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EE221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9D810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6AB7E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1D65F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DDA128"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030E8F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232FDC65" w14:textId="42177BA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7E26D23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25AE19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8E443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DCA9D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6C29C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78B38CC"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10C1EA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0A3ED7A" w14:textId="19EFB93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G. 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0BDA4235"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F2AB06A"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3BE9F1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2E9DAE5"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07F5D1B"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123AD73"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59F2E2A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A3C9CF5" w14:textId="1CA257D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025E519A"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76D3850"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4165E2F"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9280B10"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03D446B" w14:textId="77777777" w:rsidR="00B56301" w:rsidRPr="00364545" w:rsidRDefault="00B56301" w:rsidP="00B37B65">
            <w:pPr>
              <w:jc w:val="right"/>
              <w:rPr>
                <w:rFonts w:asciiTheme="minorHAnsi" w:hAnsiTheme="minorHAnsi"/>
                <w:sz w:val="16"/>
                <w:szCs w:val="14"/>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976B461" w14:textId="77777777" w:rsidR="00B56301" w:rsidRPr="00364545" w:rsidRDefault="00B56301" w:rsidP="00B37B65">
            <w:pPr>
              <w:jc w:val="right"/>
              <w:rPr>
                <w:rFonts w:asciiTheme="minorHAnsi" w:hAnsiTheme="minorHAnsi"/>
                <w:sz w:val="16"/>
                <w:szCs w:val="14"/>
              </w:rPr>
            </w:pPr>
            <w:r w:rsidRPr="00364545">
              <w:rPr>
                <w:sz w:val="16"/>
              </w:rPr>
              <w:t>NO,NA</w:t>
            </w:r>
          </w:p>
        </w:tc>
      </w:tr>
      <w:tr w:rsidR="00B56301" w:rsidRPr="00364545" w14:paraId="4A40DA8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55EDEC6B" w14:textId="1B11990C"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3. 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2393B737" w14:textId="77777777" w:rsidR="00B56301" w:rsidRPr="00364545" w:rsidRDefault="00B56301" w:rsidP="00B37B65">
            <w:pPr>
              <w:jc w:val="right"/>
              <w:rPr>
                <w:rFonts w:asciiTheme="minorHAnsi" w:hAnsiTheme="minorHAnsi"/>
                <w:sz w:val="16"/>
                <w:szCs w:val="14"/>
              </w:rPr>
            </w:pPr>
            <w:r w:rsidRPr="00364545">
              <w:rPr>
                <w:sz w:val="16"/>
              </w:rPr>
              <w:t>1535,77</w:t>
            </w:r>
          </w:p>
        </w:tc>
        <w:tc>
          <w:tcPr>
            <w:tcW w:w="991" w:type="dxa"/>
            <w:tcBorders>
              <w:top w:val="nil"/>
              <w:left w:val="nil"/>
              <w:bottom w:val="single" w:sz="4" w:space="0" w:color="auto"/>
              <w:right w:val="single" w:sz="4" w:space="0" w:color="auto"/>
            </w:tcBorders>
            <w:shd w:val="clear" w:color="000000" w:fill="CCFFFF"/>
            <w:noWrap/>
            <w:vAlign w:val="bottom"/>
            <w:hideMark/>
          </w:tcPr>
          <w:p w14:paraId="74E8737F" w14:textId="77777777" w:rsidR="00B56301" w:rsidRPr="00364545" w:rsidRDefault="00B56301" w:rsidP="00B37B65">
            <w:pPr>
              <w:jc w:val="right"/>
              <w:rPr>
                <w:rFonts w:asciiTheme="minorHAnsi" w:hAnsiTheme="minorHAnsi"/>
                <w:sz w:val="16"/>
                <w:szCs w:val="14"/>
              </w:rPr>
            </w:pPr>
            <w:r w:rsidRPr="00364545">
              <w:rPr>
                <w:sz w:val="16"/>
              </w:rPr>
              <w:t>1566,96</w:t>
            </w:r>
          </w:p>
        </w:tc>
        <w:tc>
          <w:tcPr>
            <w:tcW w:w="991" w:type="dxa"/>
            <w:tcBorders>
              <w:top w:val="nil"/>
              <w:left w:val="nil"/>
              <w:bottom w:val="single" w:sz="4" w:space="0" w:color="auto"/>
              <w:right w:val="single" w:sz="4" w:space="0" w:color="auto"/>
            </w:tcBorders>
            <w:shd w:val="clear" w:color="000000" w:fill="CCFFFF"/>
            <w:noWrap/>
            <w:vAlign w:val="bottom"/>
            <w:hideMark/>
          </w:tcPr>
          <w:p w14:paraId="14A3CA06" w14:textId="77777777" w:rsidR="00B56301" w:rsidRPr="00364545" w:rsidRDefault="00B56301" w:rsidP="00B37B65">
            <w:pPr>
              <w:jc w:val="right"/>
              <w:rPr>
                <w:rFonts w:asciiTheme="minorHAnsi" w:hAnsiTheme="minorHAnsi"/>
                <w:sz w:val="16"/>
                <w:szCs w:val="14"/>
              </w:rPr>
            </w:pPr>
            <w:r w:rsidRPr="00364545">
              <w:rPr>
                <w:sz w:val="16"/>
              </w:rPr>
              <w:t>1571,24</w:t>
            </w:r>
          </w:p>
        </w:tc>
        <w:tc>
          <w:tcPr>
            <w:tcW w:w="991" w:type="dxa"/>
            <w:tcBorders>
              <w:top w:val="nil"/>
              <w:left w:val="nil"/>
              <w:bottom w:val="single" w:sz="4" w:space="0" w:color="auto"/>
              <w:right w:val="single" w:sz="4" w:space="0" w:color="auto"/>
            </w:tcBorders>
            <w:shd w:val="clear" w:color="000000" w:fill="CCFFFF"/>
            <w:noWrap/>
            <w:vAlign w:val="bottom"/>
            <w:hideMark/>
          </w:tcPr>
          <w:p w14:paraId="6A89F775" w14:textId="77777777" w:rsidR="00B56301" w:rsidRPr="00364545" w:rsidRDefault="00B56301" w:rsidP="00B37B65">
            <w:pPr>
              <w:jc w:val="right"/>
              <w:rPr>
                <w:rFonts w:asciiTheme="minorHAnsi" w:hAnsiTheme="minorHAnsi"/>
                <w:sz w:val="16"/>
                <w:szCs w:val="14"/>
              </w:rPr>
            </w:pPr>
            <w:r w:rsidRPr="00364545">
              <w:rPr>
                <w:sz w:val="16"/>
              </w:rPr>
              <w:t>1555,19</w:t>
            </w:r>
          </w:p>
        </w:tc>
        <w:tc>
          <w:tcPr>
            <w:tcW w:w="991" w:type="dxa"/>
            <w:tcBorders>
              <w:top w:val="nil"/>
              <w:left w:val="nil"/>
              <w:bottom w:val="single" w:sz="4" w:space="0" w:color="auto"/>
              <w:right w:val="single" w:sz="4" w:space="0" w:color="auto"/>
            </w:tcBorders>
            <w:shd w:val="clear" w:color="000000" w:fill="CCFFFF"/>
            <w:noWrap/>
            <w:vAlign w:val="bottom"/>
            <w:hideMark/>
          </w:tcPr>
          <w:p w14:paraId="49E734F2" w14:textId="77777777" w:rsidR="00B56301" w:rsidRPr="00364545" w:rsidRDefault="00B56301" w:rsidP="00B37B65">
            <w:pPr>
              <w:jc w:val="right"/>
              <w:rPr>
                <w:rFonts w:asciiTheme="minorHAnsi" w:hAnsiTheme="minorHAnsi"/>
                <w:sz w:val="16"/>
                <w:szCs w:val="14"/>
              </w:rPr>
            </w:pPr>
            <w:r w:rsidRPr="00364545">
              <w:rPr>
                <w:sz w:val="16"/>
              </w:rPr>
              <w:t>1541,08</w:t>
            </w:r>
          </w:p>
        </w:tc>
        <w:tc>
          <w:tcPr>
            <w:tcW w:w="991" w:type="dxa"/>
            <w:tcBorders>
              <w:top w:val="nil"/>
              <w:left w:val="nil"/>
              <w:bottom w:val="single" w:sz="4" w:space="0" w:color="auto"/>
              <w:right w:val="single" w:sz="4" w:space="0" w:color="auto"/>
            </w:tcBorders>
            <w:shd w:val="clear" w:color="000000" w:fill="CCFFFF"/>
            <w:noWrap/>
            <w:vAlign w:val="bottom"/>
            <w:hideMark/>
          </w:tcPr>
          <w:p w14:paraId="45E701E7" w14:textId="77777777" w:rsidR="00B56301" w:rsidRPr="00364545" w:rsidRDefault="00B56301" w:rsidP="00B37B65">
            <w:pPr>
              <w:jc w:val="right"/>
              <w:rPr>
                <w:rFonts w:asciiTheme="minorHAnsi" w:hAnsiTheme="minorHAnsi"/>
                <w:sz w:val="16"/>
                <w:szCs w:val="14"/>
              </w:rPr>
            </w:pPr>
            <w:r w:rsidRPr="00364545">
              <w:rPr>
                <w:sz w:val="16"/>
              </w:rPr>
              <w:t>1523,98</w:t>
            </w:r>
          </w:p>
        </w:tc>
      </w:tr>
      <w:tr w:rsidR="00B56301" w:rsidRPr="00364545" w14:paraId="0BFDCAC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0C3E31" w14:textId="0D291A15"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31BAACC7" w14:textId="77777777" w:rsidR="00B56301" w:rsidRPr="00364545" w:rsidRDefault="00B56301" w:rsidP="00B37B65">
            <w:pPr>
              <w:jc w:val="right"/>
              <w:rPr>
                <w:rFonts w:asciiTheme="minorHAnsi" w:hAnsiTheme="minorHAnsi"/>
                <w:sz w:val="16"/>
                <w:szCs w:val="14"/>
              </w:rPr>
            </w:pPr>
            <w:r w:rsidRPr="00364545">
              <w:rPr>
                <w:sz w:val="16"/>
              </w:rPr>
              <w:t>1388,32</w:t>
            </w:r>
          </w:p>
        </w:tc>
        <w:tc>
          <w:tcPr>
            <w:tcW w:w="991" w:type="dxa"/>
            <w:tcBorders>
              <w:top w:val="nil"/>
              <w:left w:val="nil"/>
              <w:bottom w:val="single" w:sz="4" w:space="0" w:color="auto"/>
              <w:right w:val="single" w:sz="4" w:space="0" w:color="auto"/>
            </w:tcBorders>
            <w:shd w:val="clear" w:color="000000" w:fill="FFFFFF"/>
            <w:noWrap/>
            <w:vAlign w:val="bottom"/>
            <w:hideMark/>
          </w:tcPr>
          <w:p w14:paraId="61831300" w14:textId="77777777" w:rsidR="00B56301" w:rsidRPr="00364545" w:rsidRDefault="00B56301" w:rsidP="00B37B65">
            <w:pPr>
              <w:jc w:val="right"/>
              <w:rPr>
                <w:rFonts w:asciiTheme="minorHAnsi" w:hAnsiTheme="minorHAnsi"/>
                <w:sz w:val="16"/>
                <w:szCs w:val="14"/>
              </w:rPr>
            </w:pPr>
            <w:r w:rsidRPr="00364545">
              <w:rPr>
                <w:sz w:val="16"/>
              </w:rPr>
              <w:t>1407,52</w:t>
            </w:r>
          </w:p>
        </w:tc>
        <w:tc>
          <w:tcPr>
            <w:tcW w:w="991" w:type="dxa"/>
            <w:tcBorders>
              <w:top w:val="nil"/>
              <w:left w:val="nil"/>
              <w:bottom w:val="single" w:sz="4" w:space="0" w:color="auto"/>
              <w:right w:val="single" w:sz="4" w:space="0" w:color="auto"/>
            </w:tcBorders>
            <w:shd w:val="clear" w:color="000000" w:fill="FFFFFF"/>
            <w:noWrap/>
            <w:vAlign w:val="bottom"/>
            <w:hideMark/>
          </w:tcPr>
          <w:p w14:paraId="7C7CD67D" w14:textId="77777777" w:rsidR="00B56301" w:rsidRPr="00364545" w:rsidRDefault="00B56301" w:rsidP="00B37B65">
            <w:pPr>
              <w:jc w:val="right"/>
              <w:rPr>
                <w:rFonts w:asciiTheme="minorHAnsi" w:hAnsiTheme="minorHAnsi"/>
                <w:sz w:val="16"/>
                <w:szCs w:val="14"/>
              </w:rPr>
            </w:pPr>
            <w:r w:rsidRPr="00364545">
              <w:rPr>
                <w:sz w:val="16"/>
              </w:rPr>
              <w:t>1413,35</w:t>
            </w:r>
          </w:p>
        </w:tc>
        <w:tc>
          <w:tcPr>
            <w:tcW w:w="991" w:type="dxa"/>
            <w:tcBorders>
              <w:top w:val="nil"/>
              <w:left w:val="nil"/>
              <w:bottom w:val="single" w:sz="4" w:space="0" w:color="auto"/>
              <w:right w:val="single" w:sz="4" w:space="0" w:color="auto"/>
            </w:tcBorders>
            <w:shd w:val="clear" w:color="000000" w:fill="FFFFFF"/>
            <w:noWrap/>
            <w:vAlign w:val="bottom"/>
            <w:hideMark/>
          </w:tcPr>
          <w:p w14:paraId="5C3D8467" w14:textId="77777777" w:rsidR="00B56301" w:rsidRPr="00364545" w:rsidRDefault="00B56301" w:rsidP="00B37B65">
            <w:pPr>
              <w:jc w:val="right"/>
              <w:rPr>
                <w:rFonts w:asciiTheme="minorHAnsi" w:hAnsiTheme="minorHAnsi"/>
                <w:sz w:val="16"/>
                <w:szCs w:val="14"/>
              </w:rPr>
            </w:pPr>
            <w:r w:rsidRPr="00364545">
              <w:rPr>
                <w:sz w:val="16"/>
              </w:rPr>
              <w:t>1 405,24</w:t>
            </w:r>
          </w:p>
        </w:tc>
        <w:tc>
          <w:tcPr>
            <w:tcW w:w="991" w:type="dxa"/>
            <w:tcBorders>
              <w:top w:val="nil"/>
              <w:left w:val="nil"/>
              <w:bottom w:val="single" w:sz="4" w:space="0" w:color="auto"/>
              <w:right w:val="single" w:sz="4" w:space="0" w:color="auto"/>
            </w:tcBorders>
            <w:shd w:val="clear" w:color="000000" w:fill="FFFFFF"/>
            <w:noWrap/>
            <w:vAlign w:val="bottom"/>
            <w:hideMark/>
          </w:tcPr>
          <w:p w14:paraId="3F0D3B29" w14:textId="77777777" w:rsidR="00B56301" w:rsidRPr="00364545" w:rsidRDefault="00B56301" w:rsidP="00B37B65">
            <w:pPr>
              <w:jc w:val="right"/>
              <w:rPr>
                <w:rFonts w:asciiTheme="minorHAnsi" w:hAnsiTheme="minorHAnsi"/>
                <w:sz w:val="16"/>
                <w:szCs w:val="14"/>
              </w:rPr>
            </w:pPr>
            <w:r w:rsidRPr="00364545">
              <w:rPr>
                <w:sz w:val="16"/>
              </w:rPr>
              <w:t>1 390,02</w:t>
            </w:r>
          </w:p>
        </w:tc>
        <w:tc>
          <w:tcPr>
            <w:tcW w:w="991" w:type="dxa"/>
            <w:tcBorders>
              <w:top w:val="nil"/>
              <w:left w:val="nil"/>
              <w:bottom w:val="single" w:sz="4" w:space="0" w:color="auto"/>
              <w:right w:val="single" w:sz="4" w:space="0" w:color="auto"/>
            </w:tcBorders>
            <w:shd w:val="clear" w:color="000000" w:fill="FFFFFF"/>
            <w:noWrap/>
            <w:vAlign w:val="bottom"/>
            <w:hideMark/>
          </w:tcPr>
          <w:p w14:paraId="79A36244" w14:textId="77777777" w:rsidR="00B56301" w:rsidRPr="00364545" w:rsidRDefault="00B56301" w:rsidP="00B37B65">
            <w:pPr>
              <w:jc w:val="right"/>
              <w:rPr>
                <w:rFonts w:asciiTheme="minorHAnsi" w:hAnsiTheme="minorHAnsi"/>
                <w:sz w:val="16"/>
                <w:szCs w:val="14"/>
              </w:rPr>
            </w:pPr>
            <w:r w:rsidRPr="00364545">
              <w:rPr>
                <w:sz w:val="16"/>
              </w:rPr>
              <w:t>1 368,81</w:t>
            </w:r>
          </w:p>
        </w:tc>
      </w:tr>
      <w:tr w:rsidR="00B56301" w:rsidRPr="00364545" w14:paraId="58D901A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258384A" w14:textId="7CDA5E5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2D74311F" w14:textId="77777777" w:rsidR="00B56301" w:rsidRPr="00364545" w:rsidRDefault="00B56301" w:rsidP="00B37B65">
            <w:pPr>
              <w:jc w:val="right"/>
              <w:rPr>
                <w:rFonts w:asciiTheme="minorHAnsi" w:hAnsiTheme="minorHAnsi"/>
                <w:sz w:val="16"/>
                <w:szCs w:val="14"/>
              </w:rPr>
            </w:pPr>
            <w:r w:rsidRPr="00364545">
              <w:rPr>
                <w:sz w:val="16"/>
              </w:rPr>
              <w:t>143,99</w:t>
            </w:r>
          </w:p>
        </w:tc>
        <w:tc>
          <w:tcPr>
            <w:tcW w:w="991" w:type="dxa"/>
            <w:tcBorders>
              <w:top w:val="nil"/>
              <w:left w:val="nil"/>
              <w:bottom w:val="single" w:sz="4" w:space="0" w:color="auto"/>
              <w:right w:val="single" w:sz="4" w:space="0" w:color="auto"/>
            </w:tcBorders>
            <w:shd w:val="clear" w:color="000000" w:fill="FFFFFF"/>
            <w:noWrap/>
            <w:vAlign w:val="bottom"/>
            <w:hideMark/>
          </w:tcPr>
          <w:p w14:paraId="5D8D3B9D" w14:textId="77777777" w:rsidR="00B56301" w:rsidRPr="00364545" w:rsidRDefault="00B56301" w:rsidP="00B37B65">
            <w:pPr>
              <w:jc w:val="right"/>
              <w:rPr>
                <w:rFonts w:asciiTheme="minorHAnsi" w:hAnsiTheme="minorHAnsi"/>
                <w:sz w:val="16"/>
                <w:szCs w:val="14"/>
              </w:rPr>
            </w:pPr>
            <w:r w:rsidRPr="00364545">
              <w:rPr>
                <w:sz w:val="16"/>
              </w:rPr>
              <w:t>156,42</w:t>
            </w:r>
          </w:p>
        </w:tc>
        <w:tc>
          <w:tcPr>
            <w:tcW w:w="991" w:type="dxa"/>
            <w:tcBorders>
              <w:top w:val="nil"/>
              <w:left w:val="nil"/>
              <w:bottom w:val="single" w:sz="4" w:space="0" w:color="auto"/>
              <w:right w:val="single" w:sz="4" w:space="0" w:color="auto"/>
            </w:tcBorders>
            <w:shd w:val="clear" w:color="000000" w:fill="FFFFFF"/>
            <w:noWrap/>
            <w:vAlign w:val="bottom"/>
            <w:hideMark/>
          </w:tcPr>
          <w:p w14:paraId="0E34EF92" w14:textId="77777777" w:rsidR="00B56301" w:rsidRPr="00364545" w:rsidRDefault="00B56301" w:rsidP="00B37B65">
            <w:pPr>
              <w:jc w:val="right"/>
              <w:rPr>
                <w:rFonts w:asciiTheme="minorHAnsi" w:hAnsiTheme="minorHAnsi"/>
                <w:sz w:val="16"/>
                <w:szCs w:val="14"/>
              </w:rPr>
            </w:pPr>
            <w:r w:rsidRPr="00364545">
              <w:rPr>
                <w:sz w:val="16"/>
              </w:rPr>
              <w:t>154,95</w:t>
            </w:r>
          </w:p>
        </w:tc>
        <w:tc>
          <w:tcPr>
            <w:tcW w:w="991" w:type="dxa"/>
            <w:tcBorders>
              <w:top w:val="nil"/>
              <w:left w:val="nil"/>
              <w:bottom w:val="single" w:sz="4" w:space="0" w:color="auto"/>
              <w:right w:val="single" w:sz="4" w:space="0" w:color="auto"/>
            </w:tcBorders>
            <w:shd w:val="clear" w:color="000000" w:fill="FFFFFF"/>
            <w:noWrap/>
            <w:vAlign w:val="bottom"/>
            <w:hideMark/>
          </w:tcPr>
          <w:p w14:paraId="1FD77F58" w14:textId="77777777" w:rsidR="00B56301" w:rsidRPr="00364545" w:rsidRDefault="00B56301" w:rsidP="00B37B65">
            <w:pPr>
              <w:jc w:val="right"/>
              <w:rPr>
                <w:rFonts w:asciiTheme="minorHAnsi" w:hAnsiTheme="minorHAnsi"/>
                <w:sz w:val="16"/>
                <w:szCs w:val="14"/>
              </w:rPr>
            </w:pPr>
            <w:r w:rsidRPr="00364545">
              <w:rPr>
                <w:sz w:val="16"/>
              </w:rPr>
              <w:t>147,15</w:t>
            </w:r>
          </w:p>
        </w:tc>
        <w:tc>
          <w:tcPr>
            <w:tcW w:w="991" w:type="dxa"/>
            <w:tcBorders>
              <w:top w:val="nil"/>
              <w:left w:val="nil"/>
              <w:bottom w:val="single" w:sz="4" w:space="0" w:color="auto"/>
              <w:right w:val="single" w:sz="4" w:space="0" w:color="auto"/>
            </w:tcBorders>
            <w:shd w:val="clear" w:color="000000" w:fill="FFFFFF"/>
            <w:noWrap/>
            <w:vAlign w:val="bottom"/>
            <w:hideMark/>
          </w:tcPr>
          <w:p w14:paraId="293D1B80" w14:textId="77777777" w:rsidR="00B56301" w:rsidRPr="00364545" w:rsidRDefault="00B56301" w:rsidP="00B37B65">
            <w:pPr>
              <w:jc w:val="right"/>
              <w:rPr>
                <w:rFonts w:asciiTheme="minorHAnsi" w:hAnsiTheme="minorHAnsi"/>
                <w:sz w:val="16"/>
                <w:szCs w:val="14"/>
              </w:rPr>
            </w:pPr>
            <w:r w:rsidRPr="00364545">
              <w:rPr>
                <w:sz w:val="16"/>
              </w:rPr>
              <w:t>148,10</w:t>
            </w:r>
          </w:p>
        </w:tc>
        <w:tc>
          <w:tcPr>
            <w:tcW w:w="991" w:type="dxa"/>
            <w:tcBorders>
              <w:top w:val="nil"/>
              <w:left w:val="nil"/>
              <w:bottom w:val="single" w:sz="4" w:space="0" w:color="auto"/>
              <w:right w:val="single" w:sz="4" w:space="0" w:color="auto"/>
            </w:tcBorders>
            <w:shd w:val="clear" w:color="000000" w:fill="FFFFFF"/>
            <w:noWrap/>
            <w:vAlign w:val="bottom"/>
            <w:hideMark/>
          </w:tcPr>
          <w:p w14:paraId="2854D0BF" w14:textId="77777777" w:rsidR="00B56301" w:rsidRPr="00364545" w:rsidRDefault="00B56301" w:rsidP="00B37B65">
            <w:pPr>
              <w:jc w:val="right"/>
              <w:rPr>
                <w:rFonts w:asciiTheme="minorHAnsi" w:hAnsiTheme="minorHAnsi"/>
                <w:sz w:val="16"/>
                <w:szCs w:val="14"/>
              </w:rPr>
            </w:pPr>
            <w:r w:rsidRPr="00364545">
              <w:rPr>
                <w:sz w:val="16"/>
              </w:rPr>
              <w:t>152,63</w:t>
            </w:r>
          </w:p>
        </w:tc>
      </w:tr>
      <w:tr w:rsidR="00B56301" w:rsidRPr="00364545" w14:paraId="0CD5D85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82174CF" w14:textId="6062DB3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568AD674" w14:textId="77777777" w:rsidR="00B56301" w:rsidRPr="00364545" w:rsidRDefault="00B56301" w:rsidP="00B37B65">
            <w:pPr>
              <w:jc w:val="right"/>
              <w:rPr>
                <w:rFonts w:asciiTheme="minorHAnsi" w:hAnsiTheme="minorHAnsi"/>
                <w:sz w:val="16"/>
                <w:szCs w:val="14"/>
              </w:rPr>
            </w:pPr>
            <w:r w:rsidRPr="00364545">
              <w:rPr>
                <w:sz w:val="16"/>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27521541" w14:textId="77777777" w:rsidR="00B56301" w:rsidRPr="00364545" w:rsidRDefault="00B56301" w:rsidP="00B37B65">
            <w:pPr>
              <w:jc w:val="right"/>
              <w:rPr>
                <w:rFonts w:asciiTheme="minorHAnsi" w:hAnsiTheme="minorHAnsi"/>
                <w:sz w:val="16"/>
                <w:szCs w:val="14"/>
              </w:rPr>
            </w:pPr>
            <w:r w:rsidRPr="00364545">
              <w:rPr>
                <w:sz w:val="16"/>
              </w:rPr>
              <w:t>1,68</w:t>
            </w:r>
          </w:p>
        </w:tc>
        <w:tc>
          <w:tcPr>
            <w:tcW w:w="991" w:type="dxa"/>
            <w:tcBorders>
              <w:top w:val="nil"/>
              <w:left w:val="nil"/>
              <w:bottom w:val="single" w:sz="4" w:space="0" w:color="auto"/>
              <w:right w:val="single" w:sz="4" w:space="0" w:color="auto"/>
            </w:tcBorders>
            <w:shd w:val="clear" w:color="000000" w:fill="FFFFFF"/>
            <w:noWrap/>
            <w:vAlign w:val="bottom"/>
            <w:hideMark/>
          </w:tcPr>
          <w:p w14:paraId="130634C9" w14:textId="77777777" w:rsidR="00B56301" w:rsidRPr="00364545" w:rsidRDefault="00B56301" w:rsidP="00B37B65">
            <w:pPr>
              <w:jc w:val="right"/>
              <w:rPr>
                <w:rFonts w:asciiTheme="minorHAnsi" w:hAnsiTheme="minorHAnsi"/>
                <w:sz w:val="16"/>
                <w:szCs w:val="14"/>
              </w:rPr>
            </w:pPr>
            <w:r w:rsidRPr="00364545">
              <w:rPr>
                <w:sz w:val="16"/>
              </w:rPr>
              <w:t>1,63</w:t>
            </w:r>
          </w:p>
        </w:tc>
        <w:tc>
          <w:tcPr>
            <w:tcW w:w="991" w:type="dxa"/>
            <w:tcBorders>
              <w:top w:val="nil"/>
              <w:left w:val="nil"/>
              <w:bottom w:val="single" w:sz="4" w:space="0" w:color="auto"/>
              <w:right w:val="single" w:sz="4" w:space="0" w:color="auto"/>
            </w:tcBorders>
            <w:shd w:val="clear" w:color="000000" w:fill="FFFFFF"/>
            <w:noWrap/>
            <w:vAlign w:val="bottom"/>
            <w:hideMark/>
          </w:tcPr>
          <w:p w14:paraId="7023B226" w14:textId="77777777" w:rsidR="00B56301" w:rsidRPr="00364545" w:rsidRDefault="00B56301" w:rsidP="00B37B65">
            <w:pPr>
              <w:jc w:val="right"/>
              <w:rPr>
                <w:rFonts w:asciiTheme="minorHAnsi" w:hAnsiTheme="minorHAnsi"/>
                <w:sz w:val="16"/>
                <w:szCs w:val="14"/>
              </w:rPr>
            </w:pPr>
            <w:r w:rsidRPr="00364545">
              <w:rPr>
                <w:sz w:val="16"/>
              </w:rPr>
              <w:t>1,68</w:t>
            </w:r>
          </w:p>
        </w:tc>
        <w:tc>
          <w:tcPr>
            <w:tcW w:w="991" w:type="dxa"/>
            <w:tcBorders>
              <w:top w:val="nil"/>
              <w:left w:val="nil"/>
              <w:bottom w:val="single" w:sz="4" w:space="0" w:color="auto"/>
              <w:right w:val="single" w:sz="4" w:space="0" w:color="auto"/>
            </w:tcBorders>
            <w:shd w:val="clear" w:color="000000" w:fill="FFFFFF"/>
            <w:noWrap/>
            <w:vAlign w:val="bottom"/>
            <w:hideMark/>
          </w:tcPr>
          <w:p w14:paraId="24763F50" w14:textId="77777777" w:rsidR="00B56301" w:rsidRPr="00364545" w:rsidRDefault="00B56301" w:rsidP="00B37B65">
            <w:pPr>
              <w:jc w:val="right"/>
              <w:rPr>
                <w:rFonts w:asciiTheme="minorHAnsi" w:hAnsiTheme="minorHAnsi"/>
                <w:sz w:val="16"/>
                <w:szCs w:val="14"/>
              </w:rPr>
            </w:pPr>
            <w:r w:rsidRPr="00364545">
              <w:rPr>
                <w:sz w:val="16"/>
              </w:rPr>
              <w:t>1,72</w:t>
            </w:r>
          </w:p>
        </w:tc>
        <w:tc>
          <w:tcPr>
            <w:tcW w:w="991" w:type="dxa"/>
            <w:tcBorders>
              <w:top w:val="nil"/>
              <w:left w:val="nil"/>
              <w:bottom w:val="single" w:sz="4" w:space="0" w:color="auto"/>
              <w:right w:val="single" w:sz="4" w:space="0" w:color="auto"/>
            </w:tcBorders>
            <w:shd w:val="clear" w:color="000000" w:fill="FFFFFF"/>
            <w:noWrap/>
            <w:vAlign w:val="bottom"/>
            <w:hideMark/>
          </w:tcPr>
          <w:p w14:paraId="67679BEE" w14:textId="77777777" w:rsidR="00B56301" w:rsidRPr="00364545" w:rsidRDefault="00B56301" w:rsidP="00B37B65">
            <w:pPr>
              <w:jc w:val="right"/>
              <w:rPr>
                <w:rFonts w:asciiTheme="minorHAnsi" w:hAnsiTheme="minorHAnsi"/>
                <w:sz w:val="16"/>
                <w:szCs w:val="14"/>
              </w:rPr>
            </w:pPr>
            <w:r w:rsidRPr="00364545">
              <w:rPr>
                <w:sz w:val="16"/>
              </w:rPr>
              <w:t>1,37</w:t>
            </w:r>
          </w:p>
        </w:tc>
      </w:tr>
      <w:tr w:rsidR="00B56301" w:rsidRPr="00364545" w14:paraId="06C50A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D899FC" w14:textId="4B81C20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4A980401"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4DE81B1"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722404A"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8091A51"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043818C"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8CDB5D1"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15EAD38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033F97A" w14:textId="4BFE2F1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74F6A71E"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5761605"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E379BDB"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662D277"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830D1A9"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E7FD3D"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42BAEAE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CC15E4B" w14:textId="71621C76"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514B604D" w14:textId="77777777" w:rsidR="00B56301" w:rsidRPr="00364545" w:rsidRDefault="00B56301" w:rsidP="00B37B65">
            <w:pPr>
              <w:jc w:val="right"/>
              <w:rPr>
                <w:rFonts w:asciiTheme="minorHAnsi" w:hAnsiTheme="minorHAnsi"/>
                <w:sz w:val="16"/>
                <w:szCs w:val="14"/>
              </w:rPr>
            </w:pPr>
            <w:r w:rsidRPr="00364545">
              <w:rPr>
                <w:sz w:val="16"/>
              </w:rPr>
              <w:t>1,37</w:t>
            </w:r>
          </w:p>
        </w:tc>
        <w:tc>
          <w:tcPr>
            <w:tcW w:w="991" w:type="dxa"/>
            <w:tcBorders>
              <w:top w:val="nil"/>
              <w:left w:val="nil"/>
              <w:bottom w:val="single" w:sz="4" w:space="0" w:color="auto"/>
              <w:right w:val="single" w:sz="4" w:space="0" w:color="auto"/>
            </w:tcBorders>
            <w:shd w:val="clear" w:color="000000" w:fill="FFFFFF"/>
            <w:noWrap/>
            <w:vAlign w:val="bottom"/>
            <w:hideMark/>
          </w:tcPr>
          <w:p w14:paraId="53BA49F4" w14:textId="77777777" w:rsidR="00B56301" w:rsidRPr="00364545" w:rsidRDefault="00B56301" w:rsidP="00B37B65">
            <w:pPr>
              <w:jc w:val="right"/>
              <w:rPr>
                <w:rFonts w:asciiTheme="minorHAnsi" w:hAnsiTheme="minorHAnsi"/>
                <w:sz w:val="16"/>
                <w:szCs w:val="14"/>
              </w:rPr>
            </w:pPr>
            <w:r w:rsidRPr="00364545">
              <w:rPr>
                <w:sz w:val="16"/>
              </w:rPr>
              <w:t>1,34</w:t>
            </w:r>
          </w:p>
        </w:tc>
        <w:tc>
          <w:tcPr>
            <w:tcW w:w="991" w:type="dxa"/>
            <w:tcBorders>
              <w:top w:val="nil"/>
              <w:left w:val="nil"/>
              <w:bottom w:val="single" w:sz="4" w:space="0" w:color="auto"/>
              <w:right w:val="single" w:sz="4" w:space="0" w:color="auto"/>
            </w:tcBorders>
            <w:shd w:val="clear" w:color="000000" w:fill="FFFFFF"/>
            <w:noWrap/>
            <w:vAlign w:val="bottom"/>
            <w:hideMark/>
          </w:tcPr>
          <w:p w14:paraId="2CB409A2" w14:textId="77777777" w:rsidR="00B56301" w:rsidRPr="00364545" w:rsidRDefault="00B56301" w:rsidP="00B37B65">
            <w:pPr>
              <w:jc w:val="right"/>
              <w:rPr>
                <w:rFonts w:asciiTheme="minorHAnsi" w:hAnsiTheme="minorHAnsi"/>
                <w:sz w:val="16"/>
                <w:szCs w:val="14"/>
              </w:rPr>
            </w:pPr>
            <w:r w:rsidRPr="00364545">
              <w:rPr>
                <w:sz w:val="16"/>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11E24639" w14:textId="77777777" w:rsidR="00B56301" w:rsidRPr="00364545" w:rsidRDefault="00B56301" w:rsidP="00B37B65">
            <w:pPr>
              <w:jc w:val="right"/>
              <w:rPr>
                <w:rFonts w:asciiTheme="minorHAnsi" w:hAnsiTheme="minorHAnsi"/>
                <w:sz w:val="16"/>
                <w:szCs w:val="14"/>
              </w:rPr>
            </w:pPr>
            <w:r w:rsidRPr="00364545">
              <w:rPr>
                <w:sz w:val="16"/>
              </w:rPr>
              <w:t>1,11</w:t>
            </w:r>
          </w:p>
        </w:tc>
        <w:tc>
          <w:tcPr>
            <w:tcW w:w="991" w:type="dxa"/>
            <w:tcBorders>
              <w:top w:val="nil"/>
              <w:left w:val="nil"/>
              <w:bottom w:val="single" w:sz="4" w:space="0" w:color="auto"/>
              <w:right w:val="single" w:sz="4" w:space="0" w:color="auto"/>
            </w:tcBorders>
            <w:shd w:val="clear" w:color="000000" w:fill="FFFFFF"/>
            <w:noWrap/>
            <w:vAlign w:val="bottom"/>
            <w:hideMark/>
          </w:tcPr>
          <w:p w14:paraId="30ACBF4A" w14:textId="77777777" w:rsidR="00B56301" w:rsidRPr="00364545" w:rsidRDefault="00B56301" w:rsidP="00B37B65">
            <w:pPr>
              <w:jc w:val="right"/>
              <w:rPr>
                <w:rFonts w:asciiTheme="minorHAnsi" w:hAnsiTheme="minorHAnsi"/>
                <w:sz w:val="16"/>
                <w:szCs w:val="14"/>
              </w:rPr>
            </w:pPr>
            <w:r w:rsidRPr="00364545">
              <w:rPr>
                <w:sz w:val="16"/>
              </w:rPr>
              <w:t>1,25</w:t>
            </w:r>
          </w:p>
        </w:tc>
        <w:tc>
          <w:tcPr>
            <w:tcW w:w="991" w:type="dxa"/>
            <w:tcBorders>
              <w:top w:val="nil"/>
              <w:left w:val="nil"/>
              <w:bottom w:val="single" w:sz="4" w:space="0" w:color="auto"/>
              <w:right w:val="single" w:sz="4" w:space="0" w:color="auto"/>
            </w:tcBorders>
            <w:shd w:val="clear" w:color="000000" w:fill="FFFFFF"/>
            <w:noWrap/>
            <w:vAlign w:val="bottom"/>
            <w:hideMark/>
          </w:tcPr>
          <w:p w14:paraId="6E3357C4" w14:textId="77777777" w:rsidR="00B56301" w:rsidRPr="00364545" w:rsidRDefault="00B56301" w:rsidP="00B37B65">
            <w:pPr>
              <w:jc w:val="right"/>
              <w:rPr>
                <w:rFonts w:asciiTheme="minorHAnsi" w:hAnsiTheme="minorHAnsi"/>
                <w:sz w:val="16"/>
                <w:szCs w:val="14"/>
              </w:rPr>
            </w:pPr>
            <w:r w:rsidRPr="00364545">
              <w:rPr>
                <w:sz w:val="16"/>
              </w:rPr>
              <w:t>1,17</w:t>
            </w:r>
          </w:p>
        </w:tc>
      </w:tr>
      <w:tr w:rsidR="00B56301" w:rsidRPr="00364545" w14:paraId="2295073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7D2343A" w14:textId="5BEACC2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Liming</w:t>
            </w:r>
          </w:p>
        </w:tc>
        <w:tc>
          <w:tcPr>
            <w:tcW w:w="991" w:type="dxa"/>
            <w:tcBorders>
              <w:top w:val="nil"/>
              <w:left w:val="nil"/>
              <w:bottom w:val="single" w:sz="4" w:space="0" w:color="auto"/>
              <w:right w:val="single" w:sz="4" w:space="0" w:color="auto"/>
            </w:tcBorders>
            <w:shd w:val="clear" w:color="000000" w:fill="969696"/>
            <w:noWrap/>
            <w:vAlign w:val="bottom"/>
            <w:hideMark/>
          </w:tcPr>
          <w:p w14:paraId="762A512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07885A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AC704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45CED8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110651"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42C4D0F"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313EDAE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4205B2" w14:textId="59A70CF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H. 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61E1532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C40090A"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A7808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F98D5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B0DA9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BF8ADB"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47A275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5FFC72" w14:textId="78A887C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I. 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2464944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99531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215776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920F9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6D130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7F1702"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4E5FB06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715EF2" w14:textId="746D3A9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J. Other </w:t>
            </w:r>
          </w:p>
        </w:tc>
        <w:tc>
          <w:tcPr>
            <w:tcW w:w="991" w:type="dxa"/>
            <w:tcBorders>
              <w:top w:val="nil"/>
              <w:left w:val="nil"/>
              <w:bottom w:val="single" w:sz="4" w:space="0" w:color="auto"/>
              <w:right w:val="single" w:sz="4" w:space="0" w:color="auto"/>
            </w:tcBorders>
            <w:shd w:val="clear" w:color="000000" w:fill="FFFFFF"/>
            <w:noWrap/>
            <w:vAlign w:val="bottom"/>
            <w:hideMark/>
          </w:tcPr>
          <w:p w14:paraId="1E5440FC"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14DB993"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DD4EE74"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CCCBEDE"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5C3259D"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86BF24"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014D3C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47FE4D15"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01E0024A" w14:textId="77777777" w:rsidR="00B56301" w:rsidRPr="00364545" w:rsidRDefault="00B56301" w:rsidP="00B37B65">
            <w:pPr>
              <w:jc w:val="right"/>
              <w:rPr>
                <w:rFonts w:asciiTheme="minorHAnsi" w:hAnsiTheme="minorHAnsi"/>
                <w:sz w:val="16"/>
                <w:szCs w:val="14"/>
              </w:rPr>
            </w:pPr>
            <w:r w:rsidRPr="00364545">
              <w:rPr>
                <w:sz w:val="16"/>
              </w:rPr>
              <w:t>41,37</w:t>
            </w:r>
          </w:p>
        </w:tc>
        <w:tc>
          <w:tcPr>
            <w:tcW w:w="991" w:type="dxa"/>
            <w:tcBorders>
              <w:top w:val="nil"/>
              <w:left w:val="nil"/>
              <w:bottom w:val="single" w:sz="4" w:space="0" w:color="auto"/>
              <w:right w:val="single" w:sz="4" w:space="0" w:color="auto"/>
            </w:tcBorders>
            <w:shd w:val="clear" w:color="000000" w:fill="CCFFFF"/>
            <w:noWrap/>
            <w:vAlign w:val="bottom"/>
            <w:hideMark/>
          </w:tcPr>
          <w:p w14:paraId="09C47454" w14:textId="77777777" w:rsidR="00B56301" w:rsidRPr="00364545" w:rsidRDefault="00B56301" w:rsidP="00B37B65">
            <w:pPr>
              <w:jc w:val="right"/>
              <w:rPr>
                <w:rFonts w:asciiTheme="minorHAnsi" w:hAnsiTheme="minorHAnsi"/>
                <w:sz w:val="16"/>
                <w:szCs w:val="14"/>
              </w:rPr>
            </w:pPr>
            <w:r w:rsidRPr="00364545">
              <w:rPr>
                <w:sz w:val="16"/>
              </w:rPr>
              <w:t>43,11</w:t>
            </w:r>
          </w:p>
        </w:tc>
        <w:tc>
          <w:tcPr>
            <w:tcW w:w="991" w:type="dxa"/>
            <w:tcBorders>
              <w:top w:val="nil"/>
              <w:left w:val="nil"/>
              <w:bottom w:val="single" w:sz="4" w:space="0" w:color="auto"/>
              <w:right w:val="single" w:sz="4" w:space="0" w:color="auto"/>
            </w:tcBorders>
            <w:shd w:val="clear" w:color="000000" w:fill="CCFFFF"/>
            <w:noWrap/>
            <w:vAlign w:val="bottom"/>
            <w:hideMark/>
          </w:tcPr>
          <w:p w14:paraId="50AF6AC5" w14:textId="77777777" w:rsidR="00B56301" w:rsidRPr="00364545" w:rsidRDefault="00B56301" w:rsidP="00B37B65">
            <w:pPr>
              <w:jc w:val="right"/>
              <w:rPr>
                <w:rFonts w:asciiTheme="minorHAnsi" w:hAnsiTheme="minorHAnsi"/>
                <w:sz w:val="16"/>
                <w:szCs w:val="14"/>
              </w:rPr>
            </w:pPr>
            <w:r w:rsidRPr="00364545">
              <w:rPr>
                <w:sz w:val="16"/>
              </w:rPr>
              <w:t>43,11</w:t>
            </w:r>
          </w:p>
        </w:tc>
        <w:tc>
          <w:tcPr>
            <w:tcW w:w="991" w:type="dxa"/>
            <w:tcBorders>
              <w:top w:val="nil"/>
              <w:left w:val="nil"/>
              <w:bottom w:val="single" w:sz="4" w:space="0" w:color="auto"/>
              <w:right w:val="single" w:sz="4" w:space="0" w:color="auto"/>
            </w:tcBorders>
            <w:shd w:val="clear" w:color="000000" w:fill="CCFFFF"/>
            <w:noWrap/>
            <w:vAlign w:val="bottom"/>
            <w:hideMark/>
          </w:tcPr>
          <w:p w14:paraId="749FF77F" w14:textId="77777777" w:rsidR="00B56301" w:rsidRPr="00364545" w:rsidRDefault="00B56301" w:rsidP="00B37B65">
            <w:pPr>
              <w:jc w:val="right"/>
              <w:rPr>
                <w:rFonts w:asciiTheme="minorHAnsi" w:hAnsiTheme="minorHAnsi"/>
                <w:sz w:val="16"/>
                <w:szCs w:val="14"/>
              </w:rPr>
            </w:pPr>
            <w:r w:rsidRPr="00364545">
              <w:rPr>
                <w:sz w:val="16"/>
              </w:rPr>
              <w:t>44,01</w:t>
            </w:r>
          </w:p>
        </w:tc>
        <w:tc>
          <w:tcPr>
            <w:tcW w:w="991" w:type="dxa"/>
            <w:tcBorders>
              <w:top w:val="nil"/>
              <w:left w:val="nil"/>
              <w:bottom w:val="single" w:sz="4" w:space="0" w:color="auto"/>
              <w:right w:val="single" w:sz="4" w:space="0" w:color="auto"/>
            </w:tcBorders>
            <w:shd w:val="clear" w:color="000000" w:fill="CCFFFF"/>
            <w:noWrap/>
            <w:vAlign w:val="bottom"/>
            <w:hideMark/>
          </w:tcPr>
          <w:p w14:paraId="37E6C24A" w14:textId="77777777" w:rsidR="00B56301" w:rsidRPr="00364545" w:rsidRDefault="00B56301" w:rsidP="00B37B65">
            <w:pPr>
              <w:jc w:val="right"/>
              <w:rPr>
                <w:rFonts w:asciiTheme="minorHAnsi" w:hAnsiTheme="minorHAnsi"/>
                <w:sz w:val="16"/>
                <w:szCs w:val="14"/>
              </w:rPr>
            </w:pPr>
            <w:r w:rsidRPr="00364545">
              <w:rPr>
                <w:sz w:val="16"/>
              </w:rPr>
              <w:t>45,02</w:t>
            </w:r>
          </w:p>
        </w:tc>
        <w:tc>
          <w:tcPr>
            <w:tcW w:w="991" w:type="dxa"/>
            <w:tcBorders>
              <w:top w:val="nil"/>
              <w:left w:val="nil"/>
              <w:bottom w:val="single" w:sz="4" w:space="0" w:color="auto"/>
              <w:right w:val="single" w:sz="4" w:space="0" w:color="auto"/>
            </w:tcBorders>
            <w:shd w:val="clear" w:color="000000" w:fill="CCFFFF"/>
            <w:noWrap/>
            <w:vAlign w:val="bottom"/>
            <w:hideMark/>
          </w:tcPr>
          <w:p w14:paraId="2AB8742A" w14:textId="77777777" w:rsidR="00B56301" w:rsidRPr="00364545" w:rsidRDefault="00B56301" w:rsidP="00B37B65">
            <w:pPr>
              <w:jc w:val="right"/>
              <w:rPr>
                <w:rFonts w:asciiTheme="minorHAnsi" w:hAnsiTheme="minorHAnsi"/>
                <w:sz w:val="16"/>
                <w:szCs w:val="14"/>
              </w:rPr>
            </w:pPr>
            <w:r w:rsidRPr="00364545">
              <w:rPr>
                <w:sz w:val="16"/>
              </w:rPr>
              <w:t>44,61</w:t>
            </w:r>
          </w:p>
        </w:tc>
      </w:tr>
      <w:tr w:rsidR="00B56301" w:rsidRPr="00364545" w14:paraId="54D28FC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1A0B5B" w14:textId="1D6DFC0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013252C4" w14:textId="77777777" w:rsidR="00B56301" w:rsidRPr="00364545" w:rsidRDefault="00B56301" w:rsidP="00B37B65">
            <w:pPr>
              <w:jc w:val="right"/>
              <w:rPr>
                <w:rFonts w:asciiTheme="minorHAnsi" w:hAnsiTheme="minorHAnsi"/>
                <w:sz w:val="16"/>
                <w:szCs w:val="14"/>
              </w:rPr>
            </w:pPr>
            <w:r w:rsidRPr="00364545">
              <w:rPr>
                <w:sz w:val="16"/>
              </w:rPr>
              <w:t>20,05</w:t>
            </w:r>
          </w:p>
        </w:tc>
        <w:tc>
          <w:tcPr>
            <w:tcW w:w="991" w:type="dxa"/>
            <w:tcBorders>
              <w:top w:val="nil"/>
              <w:left w:val="nil"/>
              <w:bottom w:val="single" w:sz="4" w:space="0" w:color="auto"/>
              <w:right w:val="single" w:sz="4" w:space="0" w:color="auto"/>
            </w:tcBorders>
            <w:shd w:val="clear" w:color="000000" w:fill="FFFFFF"/>
            <w:noWrap/>
            <w:vAlign w:val="bottom"/>
            <w:hideMark/>
          </w:tcPr>
          <w:p w14:paraId="029DEABB" w14:textId="77777777" w:rsidR="00B56301" w:rsidRPr="00364545" w:rsidRDefault="00B56301" w:rsidP="00B37B65">
            <w:pPr>
              <w:jc w:val="right"/>
              <w:rPr>
                <w:rFonts w:asciiTheme="minorHAnsi" w:hAnsiTheme="minorHAnsi"/>
                <w:sz w:val="16"/>
                <w:szCs w:val="14"/>
              </w:rPr>
            </w:pPr>
            <w:r w:rsidRPr="00364545">
              <w:rPr>
                <w:sz w:val="16"/>
              </w:rPr>
              <w:t>21,80</w:t>
            </w:r>
          </w:p>
        </w:tc>
        <w:tc>
          <w:tcPr>
            <w:tcW w:w="991" w:type="dxa"/>
            <w:tcBorders>
              <w:top w:val="nil"/>
              <w:left w:val="nil"/>
              <w:bottom w:val="single" w:sz="4" w:space="0" w:color="auto"/>
              <w:right w:val="single" w:sz="4" w:space="0" w:color="auto"/>
            </w:tcBorders>
            <w:shd w:val="clear" w:color="000000" w:fill="FFFFFF"/>
            <w:noWrap/>
            <w:vAlign w:val="bottom"/>
            <w:hideMark/>
          </w:tcPr>
          <w:p w14:paraId="7F42C8A2" w14:textId="77777777" w:rsidR="00B56301" w:rsidRPr="00364545" w:rsidRDefault="00B56301" w:rsidP="00B37B65">
            <w:pPr>
              <w:jc w:val="right"/>
              <w:rPr>
                <w:rFonts w:asciiTheme="minorHAnsi" w:hAnsiTheme="minorHAnsi"/>
                <w:sz w:val="16"/>
                <w:szCs w:val="14"/>
              </w:rPr>
            </w:pPr>
            <w:r w:rsidRPr="00364545">
              <w:rPr>
                <w:sz w:val="16"/>
              </w:rPr>
              <w:t>21,96</w:t>
            </w:r>
          </w:p>
        </w:tc>
        <w:tc>
          <w:tcPr>
            <w:tcW w:w="991" w:type="dxa"/>
            <w:tcBorders>
              <w:top w:val="nil"/>
              <w:left w:val="nil"/>
              <w:bottom w:val="single" w:sz="4" w:space="0" w:color="auto"/>
              <w:right w:val="single" w:sz="4" w:space="0" w:color="auto"/>
            </w:tcBorders>
            <w:shd w:val="clear" w:color="000000" w:fill="FFFFFF"/>
            <w:noWrap/>
            <w:vAlign w:val="bottom"/>
            <w:hideMark/>
          </w:tcPr>
          <w:p w14:paraId="4017E17D" w14:textId="77777777" w:rsidR="00B56301" w:rsidRPr="00364545" w:rsidRDefault="00B56301" w:rsidP="00B37B65">
            <w:pPr>
              <w:jc w:val="right"/>
              <w:rPr>
                <w:rFonts w:asciiTheme="minorHAnsi" w:hAnsiTheme="minorHAnsi"/>
                <w:sz w:val="16"/>
                <w:szCs w:val="14"/>
              </w:rPr>
            </w:pPr>
            <w:r w:rsidRPr="00364545">
              <w:rPr>
                <w:sz w:val="16"/>
              </w:rPr>
              <w:t>22,88</w:t>
            </w:r>
          </w:p>
        </w:tc>
        <w:tc>
          <w:tcPr>
            <w:tcW w:w="991" w:type="dxa"/>
            <w:tcBorders>
              <w:top w:val="nil"/>
              <w:left w:val="nil"/>
              <w:bottom w:val="single" w:sz="4" w:space="0" w:color="auto"/>
              <w:right w:val="single" w:sz="4" w:space="0" w:color="auto"/>
            </w:tcBorders>
            <w:shd w:val="clear" w:color="000000" w:fill="FFFFFF"/>
            <w:noWrap/>
            <w:vAlign w:val="bottom"/>
            <w:hideMark/>
          </w:tcPr>
          <w:p w14:paraId="6F325E3C" w14:textId="77777777" w:rsidR="00B56301" w:rsidRPr="00364545" w:rsidRDefault="00B56301" w:rsidP="00B37B65">
            <w:pPr>
              <w:jc w:val="right"/>
              <w:rPr>
                <w:rFonts w:asciiTheme="minorHAnsi" w:hAnsiTheme="minorHAnsi"/>
                <w:sz w:val="16"/>
                <w:szCs w:val="14"/>
              </w:rPr>
            </w:pPr>
            <w:r w:rsidRPr="00364545">
              <w:rPr>
                <w:sz w:val="16"/>
              </w:rPr>
              <w:t>23,76</w:t>
            </w:r>
          </w:p>
        </w:tc>
        <w:tc>
          <w:tcPr>
            <w:tcW w:w="991" w:type="dxa"/>
            <w:tcBorders>
              <w:top w:val="nil"/>
              <w:left w:val="nil"/>
              <w:bottom w:val="single" w:sz="4" w:space="0" w:color="auto"/>
              <w:right w:val="single" w:sz="4" w:space="0" w:color="auto"/>
            </w:tcBorders>
            <w:shd w:val="clear" w:color="000000" w:fill="FFFFFF"/>
            <w:noWrap/>
            <w:vAlign w:val="bottom"/>
            <w:hideMark/>
          </w:tcPr>
          <w:p w14:paraId="7A561E3A" w14:textId="77777777" w:rsidR="00B56301" w:rsidRPr="00364545" w:rsidRDefault="00B56301" w:rsidP="00B37B65">
            <w:pPr>
              <w:jc w:val="right"/>
              <w:rPr>
                <w:rFonts w:asciiTheme="minorHAnsi" w:hAnsiTheme="minorHAnsi"/>
                <w:sz w:val="16"/>
                <w:szCs w:val="14"/>
              </w:rPr>
            </w:pPr>
            <w:r w:rsidRPr="00364545">
              <w:rPr>
                <w:sz w:val="16"/>
              </w:rPr>
              <w:t>23,38</w:t>
            </w:r>
          </w:p>
        </w:tc>
      </w:tr>
      <w:tr w:rsidR="00B56301" w:rsidRPr="00364545" w14:paraId="4E3AE09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E2B71C" w14:textId="1F6ADA3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109783A4" w14:textId="77777777" w:rsidR="00B56301" w:rsidRPr="00364545" w:rsidRDefault="00B56301" w:rsidP="00B37B65">
            <w:pPr>
              <w:jc w:val="right"/>
              <w:rPr>
                <w:rFonts w:asciiTheme="minorHAnsi" w:hAnsiTheme="minorHAnsi"/>
                <w:sz w:val="16"/>
                <w:szCs w:val="14"/>
              </w:rPr>
            </w:pPr>
            <w:r w:rsidRPr="00364545">
              <w:rPr>
                <w:sz w:val="16"/>
              </w:rPr>
              <w:t>4,48</w:t>
            </w:r>
          </w:p>
        </w:tc>
        <w:tc>
          <w:tcPr>
            <w:tcW w:w="991" w:type="dxa"/>
            <w:tcBorders>
              <w:top w:val="nil"/>
              <w:left w:val="nil"/>
              <w:bottom w:val="single" w:sz="4" w:space="0" w:color="auto"/>
              <w:right w:val="single" w:sz="4" w:space="0" w:color="auto"/>
            </w:tcBorders>
            <w:shd w:val="clear" w:color="000000" w:fill="FFFFFF"/>
            <w:noWrap/>
            <w:vAlign w:val="bottom"/>
            <w:hideMark/>
          </w:tcPr>
          <w:p w14:paraId="1FA1F595" w14:textId="77777777" w:rsidR="00B56301" w:rsidRPr="00364545" w:rsidRDefault="00B56301" w:rsidP="00B37B65">
            <w:pPr>
              <w:jc w:val="right"/>
              <w:rPr>
                <w:rFonts w:asciiTheme="minorHAnsi" w:hAnsiTheme="minorHAnsi"/>
                <w:sz w:val="16"/>
                <w:szCs w:val="14"/>
              </w:rPr>
            </w:pPr>
            <w:r w:rsidRPr="00364545">
              <w:rPr>
                <w:sz w:val="16"/>
              </w:rPr>
              <w:t>4,51</w:t>
            </w:r>
          </w:p>
        </w:tc>
        <w:tc>
          <w:tcPr>
            <w:tcW w:w="991" w:type="dxa"/>
            <w:tcBorders>
              <w:top w:val="nil"/>
              <w:left w:val="nil"/>
              <w:bottom w:val="single" w:sz="4" w:space="0" w:color="auto"/>
              <w:right w:val="single" w:sz="4" w:space="0" w:color="auto"/>
            </w:tcBorders>
            <w:shd w:val="clear" w:color="000000" w:fill="FFFFFF"/>
            <w:noWrap/>
            <w:vAlign w:val="bottom"/>
            <w:hideMark/>
          </w:tcPr>
          <w:p w14:paraId="23572827" w14:textId="77777777" w:rsidR="00B56301" w:rsidRPr="00364545" w:rsidRDefault="00B56301" w:rsidP="00B37B65">
            <w:pPr>
              <w:jc w:val="right"/>
              <w:rPr>
                <w:rFonts w:asciiTheme="minorHAnsi" w:hAnsiTheme="minorHAnsi"/>
                <w:sz w:val="16"/>
                <w:szCs w:val="14"/>
              </w:rPr>
            </w:pPr>
            <w:r w:rsidRPr="00364545">
              <w:rPr>
                <w:sz w:val="16"/>
              </w:rPr>
              <w:t>4,46</w:t>
            </w:r>
          </w:p>
        </w:tc>
        <w:tc>
          <w:tcPr>
            <w:tcW w:w="991" w:type="dxa"/>
            <w:tcBorders>
              <w:top w:val="nil"/>
              <w:left w:val="nil"/>
              <w:bottom w:val="single" w:sz="4" w:space="0" w:color="auto"/>
              <w:right w:val="single" w:sz="4" w:space="0" w:color="auto"/>
            </w:tcBorders>
            <w:shd w:val="clear" w:color="000000" w:fill="FFFFFF"/>
            <w:noWrap/>
            <w:vAlign w:val="bottom"/>
            <w:hideMark/>
          </w:tcPr>
          <w:p w14:paraId="61AC1D88" w14:textId="77777777" w:rsidR="00B56301" w:rsidRPr="00364545" w:rsidRDefault="00B56301" w:rsidP="00B37B65">
            <w:pPr>
              <w:jc w:val="right"/>
              <w:rPr>
                <w:rFonts w:asciiTheme="minorHAnsi" w:hAnsiTheme="minorHAnsi"/>
                <w:sz w:val="16"/>
                <w:szCs w:val="14"/>
              </w:rPr>
            </w:pPr>
            <w:r w:rsidRPr="00364545">
              <w:rPr>
                <w:sz w:val="16"/>
              </w:rPr>
              <w:t>4,45</w:t>
            </w:r>
          </w:p>
        </w:tc>
        <w:tc>
          <w:tcPr>
            <w:tcW w:w="991" w:type="dxa"/>
            <w:tcBorders>
              <w:top w:val="nil"/>
              <w:left w:val="nil"/>
              <w:bottom w:val="single" w:sz="4" w:space="0" w:color="auto"/>
              <w:right w:val="single" w:sz="4" w:space="0" w:color="auto"/>
            </w:tcBorders>
            <w:shd w:val="clear" w:color="000000" w:fill="FFFFFF"/>
            <w:noWrap/>
            <w:vAlign w:val="bottom"/>
            <w:hideMark/>
          </w:tcPr>
          <w:p w14:paraId="22F5E18B" w14:textId="77777777" w:rsidR="00B56301" w:rsidRPr="00364545" w:rsidRDefault="00B56301" w:rsidP="00B37B65">
            <w:pPr>
              <w:jc w:val="right"/>
              <w:rPr>
                <w:rFonts w:asciiTheme="minorHAnsi" w:hAnsiTheme="minorHAnsi"/>
                <w:sz w:val="16"/>
                <w:szCs w:val="14"/>
              </w:rPr>
            </w:pPr>
            <w:r w:rsidRPr="00364545">
              <w:rPr>
                <w:sz w:val="16"/>
              </w:rPr>
              <w:t>4,51</w:t>
            </w:r>
          </w:p>
        </w:tc>
        <w:tc>
          <w:tcPr>
            <w:tcW w:w="991" w:type="dxa"/>
            <w:tcBorders>
              <w:top w:val="nil"/>
              <w:left w:val="nil"/>
              <w:bottom w:val="single" w:sz="4" w:space="0" w:color="auto"/>
              <w:right w:val="single" w:sz="4" w:space="0" w:color="auto"/>
            </w:tcBorders>
            <w:shd w:val="clear" w:color="000000" w:fill="FFFFFF"/>
            <w:noWrap/>
            <w:vAlign w:val="bottom"/>
            <w:hideMark/>
          </w:tcPr>
          <w:p w14:paraId="4DDA63FE" w14:textId="77777777" w:rsidR="00B56301" w:rsidRPr="00364545" w:rsidRDefault="00B56301" w:rsidP="00B37B65">
            <w:pPr>
              <w:jc w:val="right"/>
              <w:rPr>
                <w:rFonts w:asciiTheme="minorHAnsi" w:hAnsiTheme="minorHAnsi"/>
                <w:sz w:val="16"/>
                <w:szCs w:val="14"/>
              </w:rPr>
            </w:pPr>
            <w:r w:rsidRPr="00364545">
              <w:rPr>
                <w:sz w:val="16"/>
              </w:rPr>
              <w:t>4,51</w:t>
            </w:r>
          </w:p>
        </w:tc>
      </w:tr>
      <w:tr w:rsidR="00B56301" w:rsidRPr="00364545" w14:paraId="6A9346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3C6C81D" w14:textId="6142F80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3BF7D069" w14:textId="77777777" w:rsidR="00B56301" w:rsidRPr="00364545" w:rsidRDefault="00B56301" w:rsidP="00B37B65">
            <w:pPr>
              <w:jc w:val="right"/>
              <w:rPr>
                <w:rFonts w:asciiTheme="minorHAnsi" w:hAnsiTheme="minorHAnsi"/>
                <w:sz w:val="16"/>
                <w:szCs w:val="14"/>
              </w:rPr>
            </w:pPr>
            <w:r w:rsidRPr="00364545">
              <w:rPr>
                <w:sz w:val="16"/>
              </w:rPr>
              <w:t>5,10</w:t>
            </w:r>
          </w:p>
        </w:tc>
        <w:tc>
          <w:tcPr>
            <w:tcW w:w="991" w:type="dxa"/>
            <w:tcBorders>
              <w:top w:val="nil"/>
              <w:left w:val="nil"/>
              <w:bottom w:val="single" w:sz="4" w:space="0" w:color="auto"/>
              <w:right w:val="single" w:sz="4" w:space="0" w:color="auto"/>
            </w:tcBorders>
            <w:shd w:val="clear" w:color="000000" w:fill="FFFFFF"/>
            <w:noWrap/>
            <w:vAlign w:val="bottom"/>
            <w:hideMark/>
          </w:tcPr>
          <w:p w14:paraId="2D0317C0" w14:textId="77777777" w:rsidR="00B56301" w:rsidRPr="00364545" w:rsidRDefault="00B56301" w:rsidP="00B37B65">
            <w:pPr>
              <w:jc w:val="right"/>
              <w:rPr>
                <w:rFonts w:asciiTheme="minorHAnsi" w:hAnsiTheme="minorHAnsi"/>
                <w:sz w:val="16"/>
                <w:szCs w:val="14"/>
              </w:rPr>
            </w:pPr>
            <w:r w:rsidRPr="00364545">
              <w:rPr>
                <w:sz w:val="16"/>
              </w:rPr>
              <w:t>5,13</w:t>
            </w:r>
          </w:p>
        </w:tc>
        <w:tc>
          <w:tcPr>
            <w:tcW w:w="991" w:type="dxa"/>
            <w:tcBorders>
              <w:top w:val="nil"/>
              <w:left w:val="nil"/>
              <w:bottom w:val="single" w:sz="4" w:space="0" w:color="auto"/>
              <w:right w:val="single" w:sz="4" w:space="0" w:color="auto"/>
            </w:tcBorders>
            <w:shd w:val="clear" w:color="000000" w:fill="FFFFFF"/>
            <w:noWrap/>
            <w:vAlign w:val="bottom"/>
            <w:hideMark/>
          </w:tcPr>
          <w:p w14:paraId="6AB2DECA" w14:textId="77777777" w:rsidR="00B56301" w:rsidRPr="00364545" w:rsidRDefault="00B56301" w:rsidP="00B37B65">
            <w:pPr>
              <w:jc w:val="right"/>
              <w:rPr>
                <w:rFonts w:asciiTheme="minorHAnsi" w:hAnsiTheme="minorHAnsi"/>
                <w:sz w:val="16"/>
                <w:szCs w:val="14"/>
              </w:rPr>
            </w:pPr>
            <w:r w:rsidRPr="00364545">
              <w:rPr>
                <w:sz w:val="16"/>
              </w:rPr>
              <w:t>5,08</w:t>
            </w:r>
          </w:p>
        </w:tc>
        <w:tc>
          <w:tcPr>
            <w:tcW w:w="991" w:type="dxa"/>
            <w:tcBorders>
              <w:top w:val="nil"/>
              <w:left w:val="nil"/>
              <w:bottom w:val="single" w:sz="4" w:space="0" w:color="auto"/>
              <w:right w:val="single" w:sz="4" w:space="0" w:color="auto"/>
            </w:tcBorders>
            <w:shd w:val="clear" w:color="000000" w:fill="FFFFFF"/>
            <w:noWrap/>
            <w:vAlign w:val="bottom"/>
            <w:hideMark/>
          </w:tcPr>
          <w:p w14:paraId="6B19D481" w14:textId="77777777" w:rsidR="00B56301" w:rsidRPr="00364545" w:rsidRDefault="00B56301" w:rsidP="00B37B65">
            <w:pPr>
              <w:jc w:val="right"/>
              <w:rPr>
                <w:rFonts w:asciiTheme="minorHAnsi" w:hAnsiTheme="minorHAnsi"/>
                <w:sz w:val="16"/>
                <w:szCs w:val="14"/>
              </w:rPr>
            </w:pPr>
            <w:r w:rsidRPr="00364545">
              <w:rPr>
                <w:sz w:val="16"/>
              </w:rPr>
              <w:t>5,19</w:t>
            </w:r>
          </w:p>
        </w:tc>
        <w:tc>
          <w:tcPr>
            <w:tcW w:w="991" w:type="dxa"/>
            <w:tcBorders>
              <w:top w:val="nil"/>
              <w:left w:val="nil"/>
              <w:bottom w:val="single" w:sz="4" w:space="0" w:color="auto"/>
              <w:right w:val="single" w:sz="4" w:space="0" w:color="auto"/>
            </w:tcBorders>
            <w:shd w:val="clear" w:color="000000" w:fill="FFFFFF"/>
            <w:noWrap/>
            <w:vAlign w:val="bottom"/>
            <w:hideMark/>
          </w:tcPr>
          <w:p w14:paraId="58FA52FF" w14:textId="77777777" w:rsidR="00B56301" w:rsidRPr="00364545" w:rsidRDefault="00B56301" w:rsidP="00B37B65">
            <w:pPr>
              <w:jc w:val="right"/>
              <w:rPr>
                <w:rFonts w:asciiTheme="minorHAnsi" w:hAnsiTheme="minorHAnsi"/>
                <w:sz w:val="16"/>
                <w:szCs w:val="14"/>
              </w:rPr>
            </w:pPr>
            <w:r w:rsidRPr="00364545">
              <w:rPr>
                <w:sz w:val="16"/>
              </w:rPr>
              <w:t>5,28</w:t>
            </w:r>
          </w:p>
        </w:tc>
        <w:tc>
          <w:tcPr>
            <w:tcW w:w="991" w:type="dxa"/>
            <w:tcBorders>
              <w:top w:val="nil"/>
              <w:left w:val="nil"/>
              <w:bottom w:val="single" w:sz="4" w:space="0" w:color="auto"/>
              <w:right w:val="single" w:sz="4" w:space="0" w:color="auto"/>
            </w:tcBorders>
            <w:shd w:val="clear" w:color="000000" w:fill="FFFFFF"/>
            <w:noWrap/>
            <w:vAlign w:val="bottom"/>
            <w:hideMark/>
          </w:tcPr>
          <w:p w14:paraId="164EDD7A" w14:textId="77777777" w:rsidR="00B56301" w:rsidRPr="00364545" w:rsidRDefault="00B56301" w:rsidP="00B37B65">
            <w:pPr>
              <w:jc w:val="right"/>
              <w:rPr>
                <w:rFonts w:asciiTheme="minorHAnsi" w:hAnsiTheme="minorHAnsi"/>
                <w:sz w:val="16"/>
                <w:szCs w:val="14"/>
              </w:rPr>
            </w:pPr>
            <w:r w:rsidRPr="00364545">
              <w:rPr>
                <w:sz w:val="16"/>
              </w:rPr>
              <w:t>5,28</w:t>
            </w:r>
          </w:p>
        </w:tc>
      </w:tr>
      <w:tr w:rsidR="00B56301" w:rsidRPr="00364545" w14:paraId="676D654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F10B44A" w14:textId="6132024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2EE15818" w14:textId="77777777" w:rsidR="00B56301" w:rsidRPr="00364545" w:rsidRDefault="00B56301" w:rsidP="00B37B65">
            <w:pPr>
              <w:jc w:val="right"/>
              <w:rPr>
                <w:rFonts w:asciiTheme="minorHAnsi" w:hAnsiTheme="minorHAnsi"/>
                <w:sz w:val="16"/>
                <w:szCs w:val="14"/>
              </w:rPr>
            </w:pPr>
            <w:r w:rsidRPr="00364545">
              <w:rPr>
                <w:sz w:val="16"/>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15FD6910" w14:textId="77777777" w:rsidR="00B56301" w:rsidRPr="00364545" w:rsidRDefault="00B56301" w:rsidP="00B37B65">
            <w:pPr>
              <w:jc w:val="right"/>
              <w:rPr>
                <w:rFonts w:asciiTheme="minorHAnsi" w:hAnsiTheme="minorHAnsi"/>
                <w:sz w:val="16"/>
                <w:szCs w:val="14"/>
              </w:rPr>
            </w:pPr>
            <w:r w:rsidRPr="00364545">
              <w:rPr>
                <w:sz w:val="16"/>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35B44435" w14:textId="77777777" w:rsidR="00B56301" w:rsidRPr="00364545" w:rsidRDefault="00B56301" w:rsidP="00B37B65">
            <w:pPr>
              <w:jc w:val="right"/>
              <w:rPr>
                <w:rFonts w:asciiTheme="minorHAnsi" w:hAnsiTheme="minorHAnsi"/>
                <w:sz w:val="16"/>
                <w:szCs w:val="14"/>
              </w:rPr>
            </w:pPr>
            <w:r w:rsidRPr="00364545">
              <w:rPr>
                <w:sz w:val="16"/>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5FA98456" w14:textId="77777777" w:rsidR="00B56301" w:rsidRPr="00364545" w:rsidRDefault="00B56301" w:rsidP="00B37B65">
            <w:pPr>
              <w:jc w:val="right"/>
              <w:rPr>
                <w:rFonts w:asciiTheme="minorHAnsi" w:hAnsiTheme="minorHAnsi"/>
                <w:sz w:val="16"/>
                <w:szCs w:val="14"/>
              </w:rPr>
            </w:pPr>
            <w:r w:rsidRPr="00364545">
              <w:rPr>
                <w:sz w:val="16"/>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0546C457" w14:textId="77777777" w:rsidR="00B56301" w:rsidRPr="00364545" w:rsidRDefault="00B56301" w:rsidP="00B37B65">
            <w:pPr>
              <w:jc w:val="right"/>
              <w:rPr>
                <w:rFonts w:asciiTheme="minorHAnsi" w:hAnsiTheme="minorHAnsi"/>
                <w:sz w:val="16"/>
                <w:szCs w:val="14"/>
              </w:rPr>
            </w:pPr>
            <w:r w:rsidRPr="00364545">
              <w:rPr>
                <w:sz w:val="16"/>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06E70311" w14:textId="77777777" w:rsidR="00B56301" w:rsidRPr="00364545" w:rsidRDefault="00B56301" w:rsidP="00B37B65">
            <w:pPr>
              <w:jc w:val="right"/>
              <w:rPr>
                <w:rFonts w:asciiTheme="minorHAnsi" w:hAnsiTheme="minorHAnsi"/>
                <w:sz w:val="16"/>
                <w:szCs w:val="14"/>
              </w:rPr>
            </w:pPr>
            <w:r w:rsidRPr="00364545">
              <w:rPr>
                <w:sz w:val="16"/>
              </w:rPr>
              <w:t>0,36</w:t>
            </w:r>
          </w:p>
        </w:tc>
      </w:tr>
      <w:tr w:rsidR="00B56301" w:rsidRPr="00364545" w14:paraId="11039FE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D29D1E" w14:textId="568E408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E. 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2CE289AD" w14:textId="77777777" w:rsidR="00B56301" w:rsidRPr="00364545" w:rsidRDefault="00B56301" w:rsidP="00B37B65">
            <w:pPr>
              <w:jc w:val="right"/>
              <w:rPr>
                <w:rFonts w:asciiTheme="minorHAnsi" w:hAnsiTheme="minorHAnsi"/>
                <w:sz w:val="16"/>
                <w:szCs w:val="14"/>
              </w:rPr>
            </w:pPr>
            <w:r w:rsidRPr="00364545">
              <w:rPr>
                <w:sz w:val="16"/>
              </w:rPr>
              <w:t>2,41</w:t>
            </w:r>
          </w:p>
        </w:tc>
        <w:tc>
          <w:tcPr>
            <w:tcW w:w="991" w:type="dxa"/>
            <w:tcBorders>
              <w:top w:val="nil"/>
              <w:left w:val="nil"/>
              <w:bottom w:val="single" w:sz="4" w:space="0" w:color="auto"/>
              <w:right w:val="single" w:sz="4" w:space="0" w:color="auto"/>
            </w:tcBorders>
            <w:shd w:val="clear" w:color="000000" w:fill="FFFFFF"/>
            <w:noWrap/>
            <w:vAlign w:val="bottom"/>
            <w:hideMark/>
          </w:tcPr>
          <w:p w14:paraId="09C87C68" w14:textId="77777777" w:rsidR="00B56301" w:rsidRPr="00364545" w:rsidRDefault="00B56301" w:rsidP="00B37B65">
            <w:pPr>
              <w:jc w:val="right"/>
              <w:rPr>
                <w:rFonts w:asciiTheme="minorHAnsi" w:hAnsiTheme="minorHAnsi"/>
                <w:sz w:val="16"/>
                <w:szCs w:val="14"/>
              </w:rPr>
            </w:pPr>
            <w:r w:rsidRPr="00364545">
              <w:rPr>
                <w:sz w:val="16"/>
              </w:rPr>
              <w:t>2,41</w:t>
            </w:r>
          </w:p>
        </w:tc>
        <w:tc>
          <w:tcPr>
            <w:tcW w:w="991" w:type="dxa"/>
            <w:tcBorders>
              <w:top w:val="nil"/>
              <w:left w:val="nil"/>
              <w:bottom w:val="single" w:sz="4" w:space="0" w:color="auto"/>
              <w:right w:val="single" w:sz="4" w:space="0" w:color="auto"/>
            </w:tcBorders>
            <w:shd w:val="clear" w:color="000000" w:fill="FFFFFF"/>
            <w:noWrap/>
            <w:vAlign w:val="bottom"/>
            <w:hideMark/>
          </w:tcPr>
          <w:p w14:paraId="6B594AFD" w14:textId="77777777" w:rsidR="00B56301" w:rsidRPr="00364545" w:rsidRDefault="00B56301" w:rsidP="00B37B65">
            <w:pPr>
              <w:jc w:val="right"/>
              <w:rPr>
                <w:rFonts w:asciiTheme="minorHAnsi" w:hAnsiTheme="minorHAnsi"/>
                <w:sz w:val="16"/>
                <w:szCs w:val="14"/>
              </w:rPr>
            </w:pPr>
            <w:r w:rsidRPr="00364545">
              <w:rPr>
                <w:sz w:val="16"/>
              </w:rPr>
              <w:t>2,41</w:t>
            </w:r>
          </w:p>
        </w:tc>
        <w:tc>
          <w:tcPr>
            <w:tcW w:w="991" w:type="dxa"/>
            <w:tcBorders>
              <w:top w:val="nil"/>
              <w:left w:val="nil"/>
              <w:bottom w:val="single" w:sz="4" w:space="0" w:color="auto"/>
              <w:right w:val="single" w:sz="4" w:space="0" w:color="auto"/>
            </w:tcBorders>
            <w:shd w:val="clear" w:color="000000" w:fill="FFFFFF"/>
            <w:noWrap/>
            <w:vAlign w:val="bottom"/>
            <w:hideMark/>
          </w:tcPr>
          <w:p w14:paraId="5B9EC85D" w14:textId="77777777" w:rsidR="00B56301" w:rsidRPr="00364545" w:rsidRDefault="00B56301" w:rsidP="00B37B65">
            <w:pPr>
              <w:jc w:val="right"/>
              <w:rPr>
                <w:rFonts w:asciiTheme="minorHAnsi" w:hAnsiTheme="minorHAnsi"/>
                <w:sz w:val="16"/>
                <w:szCs w:val="14"/>
              </w:rPr>
            </w:pPr>
            <w:r w:rsidRPr="00364545">
              <w:rPr>
                <w:sz w:val="16"/>
              </w:rPr>
              <w:t>2,34</w:t>
            </w:r>
          </w:p>
        </w:tc>
        <w:tc>
          <w:tcPr>
            <w:tcW w:w="991" w:type="dxa"/>
            <w:tcBorders>
              <w:top w:val="nil"/>
              <w:left w:val="nil"/>
              <w:bottom w:val="single" w:sz="4" w:space="0" w:color="auto"/>
              <w:right w:val="single" w:sz="4" w:space="0" w:color="auto"/>
            </w:tcBorders>
            <w:shd w:val="clear" w:color="000000" w:fill="FFFFFF"/>
            <w:noWrap/>
            <w:vAlign w:val="bottom"/>
            <w:hideMark/>
          </w:tcPr>
          <w:p w14:paraId="75798CBF" w14:textId="77777777" w:rsidR="00B56301" w:rsidRPr="00364545" w:rsidRDefault="00B56301" w:rsidP="00B37B65">
            <w:pPr>
              <w:jc w:val="right"/>
              <w:rPr>
                <w:rFonts w:asciiTheme="minorHAnsi" w:hAnsiTheme="minorHAnsi"/>
                <w:sz w:val="16"/>
                <w:szCs w:val="14"/>
              </w:rPr>
            </w:pPr>
            <w:r w:rsidRPr="00364545">
              <w:rPr>
                <w:sz w:val="16"/>
              </w:rPr>
              <w:t>2,34</w:t>
            </w:r>
          </w:p>
        </w:tc>
        <w:tc>
          <w:tcPr>
            <w:tcW w:w="991" w:type="dxa"/>
            <w:tcBorders>
              <w:top w:val="nil"/>
              <w:left w:val="nil"/>
              <w:bottom w:val="single" w:sz="4" w:space="0" w:color="auto"/>
              <w:right w:val="single" w:sz="4" w:space="0" w:color="auto"/>
            </w:tcBorders>
            <w:shd w:val="clear" w:color="000000" w:fill="FFFFFF"/>
            <w:noWrap/>
            <w:vAlign w:val="bottom"/>
            <w:hideMark/>
          </w:tcPr>
          <w:p w14:paraId="531969FB" w14:textId="77777777" w:rsidR="00B56301" w:rsidRPr="00364545" w:rsidRDefault="00B56301" w:rsidP="00B37B65">
            <w:pPr>
              <w:jc w:val="right"/>
              <w:rPr>
                <w:rFonts w:asciiTheme="minorHAnsi" w:hAnsiTheme="minorHAnsi"/>
                <w:sz w:val="16"/>
                <w:szCs w:val="14"/>
              </w:rPr>
            </w:pPr>
            <w:r w:rsidRPr="00364545">
              <w:rPr>
                <w:sz w:val="16"/>
              </w:rPr>
              <w:t>2,34</w:t>
            </w:r>
          </w:p>
        </w:tc>
      </w:tr>
      <w:tr w:rsidR="00B56301" w:rsidRPr="00364545" w14:paraId="17E9A1B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1ADD20" w14:textId="2A4F242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48A1FDE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9964244"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478D8C8"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B2165B3"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B472CDE"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490F3E7"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5C0B65C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EC9C53" w14:textId="392A0E0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28360F9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01F6CB"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658DC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FD08C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7475D78"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D97287"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1D558A5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C4C8119" w14:textId="62B9697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5E0174F2" w14:textId="77777777" w:rsidR="00B56301" w:rsidRPr="00364545" w:rsidRDefault="00B56301" w:rsidP="00B37B65">
            <w:pPr>
              <w:jc w:val="right"/>
              <w:rPr>
                <w:rFonts w:asciiTheme="minorHAnsi" w:hAnsiTheme="minorHAnsi"/>
                <w:sz w:val="16"/>
                <w:szCs w:val="14"/>
              </w:rPr>
            </w:pPr>
            <w:r w:rsidRPr="00364545">
              <w:rPr>
                <w:sz w:val="16"/>
              </w:rPr>
              <w:t>8,95</w:t>
            </w:r>
          </w:p>
        </w:tc>
        <w:tc>
          <w:tcPr>
            <w:tcW w:w="991" w:type="dxa"/>
            <w:tcBorders>
              <w:top w:val="nil"/>
              <w:left w:val="nil"/>
              <w:bottom w:val="single" w:sz="4" w:space="0" w:color="auto"/>
              <w:right w:val="single" w:sz="4" w:space="0" w:color="auto"/>
            </w:tcBorders>
            <w:shd w:val="clear" w:color="000000" w:fill="FFFFFF"/>
            <w:noWrap/>
            <w:vAlign w:val="bottom"/>
            <w:hideMark/>
          </w:tcPr>
          <w:p w14:paraId="78F05216" w14:textId="77777777" w:rsidR="00B56301" w:rsidRPr="00364545" w:rsidRDefault="00B56301" w:rsidP="00B37B65">
            <w:pPr>
              <w:jc w:val="right"/>
              <w:rPr>
                <w:rFonts w:asciiTheme="minorHAnsi" w:hAnsiTheme="minorHAnsi"/>
                <w:sz w:val="16"/>
                <w:szCs w:val="14"/>
              </w:rPr>
            </w:pPr>
            <w:r w:rsidRPr="00364545">
              <w:rPr>
                <w:sz w:val="16"/>
              </w:rPr>
              <w:t>8,88</w:t>
            </w:r>
          </w:p>
        </w:tc>
        <w:tc>
          <w:tcPr>
            <w:tcW w:w="991" w:type="dxa"/>
            <w:tcBorders>
              <w:top w:val="nil"/>
              <w:left w:val="nil"/>
              <w:bottom w:val="single" w:sz="4" w:space="0" w:color="auto"/>
              <w:right w:val="single" w:sz="4" w:space="0" w:color="auto"/>
            </w:tcBorders>
            <w:shd w:val="clear" w:color="000000" w:fill="FFFFFF"/>
            <w:noWrap/>
            <w:vAlign w:val="bottom"/>
            <w:hideMark/>
          </w:tcPr>
          <w:p w14:paraId="3689FE98" w14:textId="77777777" w:rsidR="00B56301" w:rsidRPr="00364545" w:rsidRDefault="00B56301" w:rsidP="00B37B65">
            <w:pPr>
              <w:jc w:val="right"/>
              <w:rPr>
                <w:rFonts w:asciiTheme="minorHAnsi" w:hAnsiTheme="minorHAnsi"/>
                <w:sz w:val="16"/>
                <w:szCs w:val="14"/>
              </w:rPr>
            </w:pPr>
            <w:r w:rsidRPr="00364545">
              <w:rPr>
                <w:sz w:val="16"/>
              </w:rPr>
              <w:t>8,83</w:t>
            </w:r>
          </w:p>
        </w:tc>
        <w:tc>
          <w:tcPr>
            <w:tcW w:w="991" w:type="dxa"/>
            <w:tcBorders>
              <w:top w:val="nil"/>
              <w:left w:val="nil"/>
              <w:bottom w:val="single" w:sz="4" w:space="0" w:color="auto"/>
              <w:right w:val="single" w:sz="4" w:space="0" w:color="auto"/>
            </w:tcBorders>
            <w:shd w:val="clear" w:color="000000" w:fill="FFFFFF"/>
            <w:noWrap/>
            <w:vAlign w:val="bottom"/>
            <w:hideMark/>
          </w:tcPr>
          <w:p w14:paraId="66F8D692" w14:textId="77777777" w:rsidR="00B56301" w:rsidRPr="00364545" w:rsidRDefault="00B56301" w:rsidP="00B37B65">
            <w:pPr>
              <w:jc w:val="right"/>
              <w:rPr>
                <w:rFonts w:asciiTheme="minorHAnsi" w:hAnsiTheme="minorHAnsi"/>
                <w:sz w:val="16"/>
                <w:szCs w:val="14"/>
              </w:rPr>
            </w:pPr>
            <w:r w:rsidRPr="00364545">
              <w:rPr>
                <w:sz w:val="16"/>
              </w:rPr>
              <w:t>8,79</w:t>
            </w:r>
          </w:p>
        </w:tc>
        <w:tc>
          <w:tcPr>
            <w:tcW w:w="991" w:type="dxa"/>
            <w:tcBorders>
              <w:top w:val="nil"/>
              <w:left w:val="nil"/>
              <w:bottom w:val="single" w:sz="4" w:space="0" w:color="auto"/>
              <w:right w:val="single" w:sz="4" w:space="0" w:color="auto"/>
            </w:tcBorders>
            <w:shd w:val="clear" w:color="000000" w:fill="FFFFFF"/>
            <w:noWrap/>
            <w:vAlign w:val="bottom"/>
            <w:hideMark/>
          </w:tcPr>
          <w:p w14:paraId="734C9892" w14:textId="77777777" w:rsidR="00B56301" w:rsidRPr="00364545" w:rsidRDefault="00B56301" w:rsidP="00B37B65">
            <w:pPr>
              <w:jc w:val="right"/>
              <w:rPr>
                <w:rFonts w:asciiTheme="minorHAnsi" w:hAnsiTheme="minorHAnsi"/>
                <w:sz w:val="16"/>
                <w:szCs w:val="14"/>
              </w:rPr>
            </w:pPr>
            <w:r w:rsidRPr="00364545">
              <w:rPr>
                <w:sz w:val="16"/>
              </w:rPr>
              <w:t>8,77</w:t>
            </w:r>
          </w:p>
        </w:tc>
        <w:tc>
          <w:tcPr>
            <w:tcW w:w="991" w:type="dxa"/>
            <w:tcBorders>
              <w:top w:val="nil"/>
              <w:left w:val="nil"/>
              <w:bottom w:val="single" w:sz="4" w:space="0" w:color="auto"/>
              <w:right w:val="single" w:sz="4" w:space="0" w:color="auto"/>
            </w:tcBorders>
            <w:shd w:val="clear" w:color="000000" w:fill="FFFFFF"/>
            <w:noWrap/>
            <w:vAlign w:val="bottom"/>
            <w:hideMark/>
          </w:tcPr>
          <w:p w14:paraId="5C860AB4" w14:textId="77777777" w:rsidR="00B56301" w:rsidRPr="00364545" w:rsidRDefault="00B56301" w:rsidP="00B37B65">
            <w:pPr>
              <w:jc w:val="right"/>
              <w:rPr>
                <w:rFonts w:asciiTheme="minorHAnsi" w:hAnsiTheme="minorHAnsi"/>
                <w:sz w:val="16"/>
                <w:szCs w:val="14"/>
              </w:rPr>
            </w:pPr>
            <w:r w:rsidRPr="00364545">
              <w:rPr>
                <w:sz w:val="16"/>
              </w:rPr>
              <w:t>8,75</w:t>
            </w:r>
          </w:p>
        </w:tc>
      </w:tr>
      <w:tr w:rsidR="00B56301" w:rsidRPr="00364545" w14:paraId="00F1AC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5A9C5A2" w14:textId="7E0F1D8A"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5. Waste</w:t>
            </w:r>
          </w:p>
        </w:tc>
        <w:tc>
          <w:tcPr>
            <w:tcW w:w="991" w:type="dxa"/>
            <w:tcBorders>
              <w:top w:val="nil"/>
              <w:left w:val="nil"/>
              <w:bottom w:val="single" w:sz="4" w:space="0" w:color="auto"/>
              <w:right w:val="single" w:sz="4" w:space="0" w:color="auto"/>
            </w:tcBorders>
            <w:shd w:val="clear" w:color="000000" w:fill="CCFFFF"/>
            <w:noWrap/>
            <w:vAlign w:val="bottom"/>
            <w:hideMark/>
          </w:tcPr>
          <w:p w14:paraId="0D0FCC5E" w14:textId="77777777" w:rsidR="00B56301" w:rsidRPr="00364545" w:rsidRDefault="00B56301" w:rsidP="00B37B65">
            <w:pPr>
              <w:jc w:val="right"/>
              <w:rPr>
                <w:rFonts w:asciiTheme="minorHAnsi" w:hAnsiTheme="minorHAnsi"/>
                <w:sz w:val="16"/>
                <w:szCs w:val="14"/>
              </w:rPr>
            </w:pPr>
            <w:r w:rsidRPr="00364545">
              <w:rPr>
                <w:sz w:val="16"/>
              </w:rPr>
              <w:t>693,73</w:t>
            </w:r>
          </w:p>
        </w:tc>
        <w:tc>
          <w:tcPr>
            <w:tcW w:w="991" w:type="dxa"/>
            <w:tcBorders>
              <w:top w:val="nil"/>
              <w:left w:val="nil"/>
              <w:bottom w:val="single" w:sz="4" w:space="0" w:color="auto"/>
              <w:right w:val="single" w:sz="4" w:space="0" w:color="auto"/>
            </w:tcBorders>
            <w:shd w:val="clear" w:color="000000" w:fill="CCFFFF"/>
            <w:noWrap/>
            <w:vAlign w:val="bottom"/>
            <w:hideMark/>
          </w:tcPr>
          <w:p w14:paraId="321FF702" w14:textId="77777777" w:rsidR="00B56301" w:rsidRPr="00364545" w:rsidRDefault="00B56301" w:rsidP="00B37B65">
            <w:pPr>
              <w:jc w:val="right"/>
              <w:rPr>
                <w:rFonts w:asciiTheme="minorHAnsi" w:hAnsiTheme="minorHAnsi"/>
                <w:sz w:val="16"/>
                <w:szCs w:val="14"/>
              </w:rPr>
            </w:pPr>
            <w:r w:rsidRPr="00364545">
              <w:rPr>
                <w:sz w:val="16"/>
              </w:rPr>
              <w:t>671,15</w:t>
            </w:r>
          </w:p>
        </w:tc>
        <w:tc>
          <w:tcPr>
            <w:tcW w:w="991" w:type="dxa"/>
            <w:tcBorders>
              <w:top w:val="nil"/>
              <w:left w:val="nil"/>
              <w:bottom w:val="single" w:sz="4" w:space="0" w:color="auto"/>
              <w:right w:val="single" w:sz="4" w:space="0" w:color="auto"/>
            </w:tcBorders>
            <w:shd w:val="clear" w:color="000000" w:fill="CCFFFF"/>
            <w:noWrap/>
            <w:vAlign w:val="bottom"/>
            <w:hideMark/>
          </w:tcPr>
          <w:p w14:paraId="0F53DECC" w14:textId="77777777" w:rsidR="00B56301" w:rsidRPr="00364545" w:rsidRDefault="00B56301" w:rsidP="00B37B65">
            <w:pPr>
              <w:jc w:val="right"/>
              <w:rPr>
                <w:rFonts w:asciiTheme="minorHAnsi" w:hAnsiTheme="minorHAnsi"/>
                <w:sz w:val="16"/>
                <w:szCs w:val="14"/>
              </w:rPr>
            </w:pPr>
            <w:r w:rsidRPr="00364545">
              <w:rPr>
                <w:sz w:val="16"/>
              </w:rPr>
              <w:t>630,12</w:t>
            </w:r>
          </w:p>
        </w:tc>
        <w:tc>
          <w:tcPr>
            <w:tcW w:w="991" w:type="dxa"/>
            <w:tcBorders>
              <w:top w:val="nil"/>
              <w:left w:val="nil"/>
              <w:bottom w:val="single" w:sz="4" w:space="0" w:color="auto"/>
              <w:right w:val="single" w:sz="4" w:space="0" w:color="auto"/>
            </w:tcBorders>
            <w:shd w:val="clear" w:color="000000" w:fill="CCFFFF"/>
            <w:noWrap/>
            <w:vAlign w:val="bottom"/>
            <w:hideMark/>
          </w:tcPr>
          <w:p w14:paraId="1F96EE23" w14:textId="77777777" w:rsidR="00B56301" w:rsidRPr="00364545" w:rsidRDefault="00B56301" w:rsidP="00B37B65">
            <w:pPr>
              <w:jc w:val="right"/>
              <w:rPr>
                <w:rFonts w:asciiTheme="minorHAnsi" w:hAnsiTheme="minorHAnsi"/>
                <w:sz w:val="16"/>
                <w:szCs w:val="14"/>
              </w:rPr>
            </w:pPr>
            <w:r w:rsidRPr="00364545">
              <w:rPr>
                <w:sz w:val="16"/>
              </w:rPr>
              <w:t>626,74</w:t>
            </w:r>
          </w:p>
        </w:tc>
        <w:tc>
          <w:tcPr>
            <w:tcW w:w="991" w:type="dxa"/>
            <w:tcBorders>
              <w:top w:val="nil"/>
              <w:left w:val="nil"/>
              <w:bottom w:val="single" w:sz="4" w:space="0" w:color="auto"/>
              <w:right w:val="single" w:sz="4" w:space="0" w:color="auto"/>
            </w:tcBorders>
            <w:shd w:val="clear" w:color="000000" w:fill="CCFFFF"/>
            <w:noWrap/>
            <w:vAlign w:val="bottom"/>
            <w:hideMark/>
          </w:tcPr>
          <w:p w14:paraId="7C3A66C3" w14:textId="77777777" w:rsidR="00B56301" w:rsidRPr="00364545" w:rsidRDefault="00B56301" w:rsidP="00B37B65">
            <w:pPr>
              <w:jc w:val="right"/>
              <w:rPr>
                <w:rFonts w:asciiTheme="minorHAnsi" w:hAnsiTheme="minorHAnsi"/>
                <w:sz w:val="16"/>
                <w:szCs w:val="14"/>
              </w:rPr>
            </w:pPr>
            <w:r w:rsidRPr="00364545">
              <w:rPr>
                <w:sz w:val="16"/>
              </w:rPr>
              <w:t>631,49</w:t>
            </w:r>
          </w:p>
        </w:tc>
        <w:tc>
          <w:tcPr>
            <w:tcW w:w="991" w:type="dxa"/>
            <w:tcBorders>
              <w:top w:val="nil"/>
              <w:left w:val="nil"/>
              <w:bottom w:val="single" w:sz="4" w:space="0" w:color="auto"/>
              <w:right w:val="single" w:sz="4" w:space="0" w:color="auto"/>
            </w:tcBorders>
            <w:shd w:val="clear" w:color="000000" w:fill="CCFFFF"/>
            <w:noWrap/>
            <w:vAlign w:val="bottom"/>
            <w:hideMark/>
          </w:tcPr>
          <w:p w14:paraId="678553ED" w14:textId="77777777" w:rsidR="00B56301" w:rsidRPr="00364545" w:rsidRDefault="00B56301" w:rsidP="00B37B65">
            <w:pPr>
              <w:jc w:val="right"/>
              <w:rPr>
                <w:rFonts w:asciiTheme="minorHAnsi" w:hAnsiTheme="minorHAnsi"/>
                <w:sz w:val="16"/>
                <w:szCs w:val="14"/>
              </w:rPr>
            </w:pPr>
            <w:r w:rsidRPr="00364545">
              <w:rPr>
                <w:sz w:val="16"/>
              </w:rPr>
              <w:t>623,46</w:t>
            </w:r>
          </w:p>
        </w:tc>
      </w:tr>
      <w:tr w:rsidR="00B56301" w:rsidRPr="00364545" w14:paraId="1A41D14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737893" w14:textId="24ED434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32E58395" w14:textId="77777777" w:rsidR="00B56301" w:rsidRPr="00364545" w:rsidRDefault="00B56301" w:rsidP="00B37B65">
            <w:pPr>
              <w:jc w:val="right"/>
              <w:rPr>
                <w:rFonts w:asciiTheme="minorHAnsi" w:hAnsiTheme="minorHAnsi"/>
                <w:sz w:val="16"/>
                <w:szCs w:val="14"/>
              </w:rPr>
            </w:pPr>
            <w:r w:rsidRPr="00364545">
              <w:rPr>
                <w:sz w:val="16"/>
              </w:rPr>
              <w:t>565,57</w:t>
            </w:r>
          </w:p>
        </w:tc>
        <w:tc>
          <w:tcPr>
            <w:tcW w:w="991" w:type="dxa"/>
            <w:tcBorders>
              <w:top w:val="nil"/>
              <w:left w:val="nil"/>
              <w:bottom w:val="single" w:sz="4" w:space="0" w:color="auto"/>
              <w:right w:val="single" w:sz="4" w:space="0" w:color="auto"/>
            </w:tcBorders>
            <w:shd w:val="clear" w:color="000000" w:fill="FFFFFF"/>
            <w:noWrap/>
            <w:vAlign w:val="bottom"/>
            <w:hideMark/>
          </w:tcPr>
          <w:p w14:paraId="29F5CAD0" w14:textId="77777777" w:rsidR="00B56301" w:rsidRPr="00364545" w:rsidRDefault="00B56301" w:rsidP="00B37B65">
            <w:pPr>
              <w:jc w:val="right"/>
              <w:rPr>
                <w:rFonts w:asciiTheme="minorHAnsi" w:hAnsiTheme="minorHAnsi"/>
                <w:sz w:val="16"/>
                <w:szCs w:val="14"/>
              </w:rPr>
            </w:pPr>
            <w:r w:rsidRPr="00364545">
              <w:rPr>
                <w:sz w:val="16"/>
              </w:rPr>
              <w:t>540,03</w:t>
            </w:r>
          </w:p>
        </w:tc>
        <w:tc>
          <w:tcPr>
            <w:tcW w:w="991" w:type="dxa"/>
            <w:tcBorders>
              <w:top w:val="nil"/>
              <w:left w:val="nil"/>
              <w:bottom w:val="single" w:sz="4" w:space="0" w:color="auto"/>
              <w:right w:val="single" w:sz="4" w:space="0" w:color="auto"/>
            </w:tcBorders>
            <w:shd w:val="clear" w:color="000000" w:fill="FFFFFF"/>
            <w:noWrap/>
            <w:vAlign w:val="bottom"/>
            <w:hideMark/>
          </w:tcPr>
          <w:p w14:paraId="557265AD" w14:textId="77777777" w:rsidR="00B56301" w:rsidRPr="00364545" w:rsidRDefault="00B56301" w:rsidP="00B37B65">
            <w:pPr>
              <w:jc w:val="right"/>
              <w:rPr>
                <w:rFonts w:asciiTheme="minorHAnsi" w:hAnsiTheme="minorHAnsi"/>
                <w:sz w:val="16"/>
                <w:szCs w:val="14"/>
              </w:rPr>
            </w:pPr>
            <w:r w:rsidRPr="00364545">
              <w:rPr>
                <w:sz w:val="16"/>
              </w:rPr>
              <w:t>497,72</w:t>
            </w:r>
          </w:p>
        </w:tc>
        <w:tc>
          <w:tcPr>
            <w:tcW w:w="991" w:type="dxa"/>
            <w:tcBorders>
              <w:top w:val="nil"/>
              <w:left w:val="nil"/>
              <w:bottom w:val="single" w:sz="4" w:space="0" w:color="auto"/>
              <w:right w:val="single" w:sz="4" w:space="0" w:color="auto"/>
            </w:tcBorders>
            <w:shd w:val="clear" w:color="000000" w:fill="FFFFFF"/>
            <w:noWrap/>
            <w:vAlign w:val="bottom"/>
            <w:hideMark/>
          </w:tcPr>
          <w:p w14:paraId="20B38F11" w14:textId="77777777" w:rsidR="00B56301" w:rsidRPr="00364545" w:rsidRDefault="00B56301" w:rsidP="00B37B65">
            <w:pPr>
              <w:jc w:val="right"/>
              <w:rPr>
                <w:rFonts w:asciiTheme="minorHAnsi" w:hAnsiTheme="minorHAnsi"/>
                <w:sz w:val="16"/>
                <w:szCs w:val="14"/>
              </w:rPr>
            </w:pPr>
            <w:r w:rsidRPr="00364545">
              <w:rPr>
                <w:sz w:val="16"/>
              </w:rPr>
              <w:t>494,52</w:t>
            </w:r>
          </w:p>
        </w:tc>
        <w:tc>
          <w:tcPr>
            <w:tcW w:w="991" w:type="dxa"/>
            <w:tcBorders>
              <w:top w:val="nil"/>
              <w:left w:val="nil"/>
              <w:bottom w:val="single" w:sz="4" w:space="0" w:color="auto"/>
              <w:right w:val="single" w:sz="4" w:space="0" w:color="auto"/>
            </w:tcBorders>
            <w:shd w:val="clear" w:color="000000" w:fill="FFFFFF"/>
            <w:noWrap/>
            <w:vAlign w:val="bottom"/>
            <w:hideMark/>
          </w:tcPr>
          <w:p w14:paraId="23844443" w14:textId="77777777" w:rsidR="00B56301" w:rsidRPr="00364545" w:rsidRDefault="00B56301" w:rsidP="00B37B65">
            <w:pPr>
              <w:jc w:val="right"/>
              <w:rPr>
                <w:rFonts w:asciiTheme="minorHAnsi" w:hAnsiTheme="minorHAnsi"/>
                <w:sz w:val="16"/>
                <w:szCs w:val="14"/>
              </w:rPr>
            </w:pPr>
            <w:r w:rsidRPr="00364545">
              <w:rPr>
                <w:sz w:val="16"/>
              </w:rPr>
              <w:t>497,25</w:t>
            </w:r>
          </w:p>
        </w:tc>
        <w:tc>
          <w:tcPr>
            <w:tcW w:w="991" w:type="dxa"/>
            <w:tcBorders>
              <w:top w:val="nil"/>
              <w:left w:val="nil"/>
              <w:bottom w:val="single" w:sz="4" w:space="0" w:color="auto"/>
              <w:right w:val="single" w:sz="4" w:space="0" w:color="auto"/>
            </w:tcBorders>
            <w:shd w:val="clear" w:color="000000" w:fill="FFFFFF"/>
            <w:noWrap/>
            <w:vAlign w:val="bottom"/>
            <w:hideMark/>
          </w:tcPr>
          <w:p w14:paraId="243B83F3" w14:textId="77777777" w:rsidR="00B56301" w:rsidRPr="00364545" w:rsidRDefault="00B56301" w:rsidP="00B37B65">
            <w:pPr>
              <w:jc w:val="right"/>
              <w:rPr>
                <w:rFonts w:asciiTheme="minorHAnsi" w:hAnsiTheme="minorHAnsi"/>
                <w:sz w:val="16"/>
                <w:szCs w:val="14"/>
              </w:rPr>
            </w:pPr>
            <w:r w:rsidRPr="00364545">
              <w:rPr>
                <w:sz w:val="16"/>
              </w:rPr>
              <w:t>486,19</w:t>
            </w:r>
          </w:p>
        </w:tc>
      </w:tr>
      <w:tr w:rsidR="00B56301" w:rsidRPr="00364545" w14:paraId="4881B4A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075082" w14:textId="3D39BB8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35A88DC1" w14:textId="77777777" w:rsidR="00B56301" w:rsidRPr="00364545" w:rsidRDefault="00B56301" w:rsidP="00B37B65">
            <w:pPr>
              <w:jc w:val="right"/>
              <w:rPr>
                <w:rFonts w:asciiTheme="minorHAnsi" w:hAnsiTheme="minorHAnsi"/>
                <w:sz w:val="16"/>
                <w:szCs w:val="14"/>
              </w:rPr>
            </w:pPr>
            <w:r w:rsidRPr="00364545">
              <w:rPr>
                <w:sz w:val="16"/>
              </w:rPr>
              <w:t>38,81</w:t>
            </w:r>
          </w:p>
        </w:tc>
        <w:tc>
          <w:tcPr>
            <w:tcW w:w="991" w:type="dxa"/>
            <w:tcBorders>
              <w:top w:val="nil"/>
              <w:left w:val="nil"/>
              <w:bottom w:val="single" w:sz="4" w:space="0" w:color="auto"/>
              <w:right w:val="single" w:sz="4" w:space="0" w:color="auto"/>
            </w:tcBorders>
            <w:shd w:val="clear" w:color="000000" w:fill="FFFFFF"/>
            <w:noWrap/>
            <w:vAlign w:val="bottom"/>
            <w:hideMark/>
          </w:tcPr>
          <w:p w14:paraId="1E52E8A0" w14:textId="77777777" w:rsidR="00B56301" w:rsidRPr="00364545" w:rsidRDefault="00B56301" w:rsidP="00B37B65">
            <w:pPr>
              <w:jc w:val="right"/>
              <w:rPr>
                <w:rFonts w:asciiTheme="minorHAnsi" w:hAnsiTheme="minorHAnsi"/>
                <w:sz w:val="16"/>
                <w:szCs w:val="14"/>
              </w:rPr>
            </w:pPr>
            <w:r w:rsidRPr="00364545">
              <w:rPr>
                <w:sz w:val="16"/>
              </w:rPr>
              <w:t>40,95</w:t>
            </w:r>
          </w:p>
        </w:tc>
        <w:tc>
          <w:tcPr>
            <w:tcW w:w="991" w:type="dxa"/>
            <w:tcBorders>
              <w:top w:val="nil"/>
              <w:left w:val="nil"/>
              <w:bottom w:val="single" w:sz="4" w:space="0" w:color="auto"/>
              <w:right w:val="single" w:sz="4" w:space="0" w:color="auto"/>
            </w:tcBorders>
            <w:shd w:val="clear" w:color="000000" w:fill="FFFFFF"/>
            <w:noWrap/>
            <w:vAlign w:val="bottom"/>
            <w:hideMark/>
          </w:tcPr>
          <w:p w14:paraId="6DB30ED9" w14:textId="77777777" w:rsidR="00B56301" w:rsidRPr="00364545" w:rsidRDefault="00B56301" w:rsidP="00B37B65">
            <w:pPr>
              <w:jc w:val="right"/>
              <w:rPr>
                <w:rFonts w:asciiTheme="minorHAnsi" w:hAnsiTheme="minorHAnsi"/>
                <w:sz w:val="16"/>
                <w:szCs w:val="14"/>
              </w:rPr>
            </w:pPr>
            <w:r w:rsidRPr="00364545">
              <w:rPr>
                <w:sz w:val="16"/>
              </w:rPr>
              <w:t>41,13</w:t>
            </w:r>
          </w:p>
        </w:tc>
        <w:tc>
          <w:tcPr>
            <w:tcW w:w="991" w:type="dxa"/>
            <w:tcBorders>
              <w:top w:val="nil"/>
              <w:left w:val="nil"/>
              <w:bottom w:val="single" w:sz="4" w:space="0" w:color="auto"/>
              <w:right w:val="single" w:sz="4" w:space="0" w:color="auto"/>
            </w:tcBorders>
            <w:shd w:val="clear" w:color="000000" w:fill="FFFFFF"/>
            <w:noWrap/>
            <w:vAlign w:val="bottom"/>
            <w:hideMark/>
          </w:tcPr>
          <w:p w14:paraId="094D9B0A" w14:textId="77777777" w:rsidR="00B56301" w:rsidRPr="00364545" w:rsidRDefault="00B56301" w:rsidP="00B37B65">
            <w:pPr>
              <w:jc w:val="right"/>
              <w:rPr>
                <w:rFonts w:asciiTheme="minorHAnsi" w:hAnsiTheme="minorHAnsi"/>
                <w:sz w:val="16"/>
                <w:szCs w:val="14"/>
              </w:rPr>
            </w:pPr>
            <w:r w:rsidRPr="00364545">
              <w:rPr>
                <w:sz w:val="16"/>
              </w:rPr>
              <w:t>41,30</w:t>
            </w:r>
          </w:p>
        </w:tc>
        <w:tc>
          <w:tcPr>
            <w:tcW w:w="991" w:type="dxa"/>
            <w:tcBorders>
              <w:top w:val="nil"/>
              <w:left w:val="nil"/>
              <w:bottom w:val="single" w:sz="4" w:space="0" w:color="auto"/>
              <w:right w:val="single" w:sz="4" w:space="0" w:color="auto"/>
            </w:tcBorders>
            <w:shd w:val="clear" w:color="000000" w:fill="FFFFFF"/>
            <w:noWrap/>
            <w:vAlign w:val="bottom"/>
            <w:hideMark/>
          </w:tcPr>
          <w:p w14:paraId="01417A05" w14:textId="77777777" w:rsidR="00B56301" w:rsidRPr="00364545" w:rsidRDefault="00B56301" w:rsidP="00B37B65">
            <w:pPr>
              <w:jc w:val="right"/>
              <w:rPr>
                <w:rFonts w:asciiTheme="minorHAnsi" w:hAnsiTheme="minorHAnsi"/>
                <w:sz w:val="16"/>
                <w:szCs w:val="14"/>
              </w:rPr>
            </w:pPr>
            <w:r w:rsidRPr="00364545">
              <w:rPr>
                <w:sz w:val="16"/>
              </w:rPr>
              <w:t>42,73</w:t>
            </w:r>
          </w:p>
        </w:tc>
        <w:tc>
          <w:tcPr>
            <w:tcW w:w="991" w:type="dxa"/>
            <w:tcBorders>
              <w:top w:val="nil"/>
              <w:left w:val="nil"/>
              <w:bottom w:val="single" w:sz="4" w:space="0" w:color="auto"/>
              <w:right w:val="single" w:sz="4" w:space="0" w:color="auto"/>
            </w:tcBorders>
            <w:shd w:val="clear" w:color="000000" w:fill="FFFFFF"/>
            <w:noWrap/>
            <w:vAlign w:val="bottom"/>
            <w:hideMark/>
          </w:tcPr>
          <w:p w14:paraId="47F2CBD0" w14:textId="77777777" w:rsidR="00B56301" w:rsidRPr="00364545" w:rsidRDefault="00B56301" w:rsidP="00B37B65">
            <w:pPr>
              <w:jc w:val="right"/>
              <w:rPr>
                <w:rFonts w:asciiTheme="minorHAnsi" w:hAnsiTheme="minorHAnsi"/>
                <w:sz w:val="16"/>
                <w:szCs w:val="14"/>
              </w:rPr>
            </w:pPr>
            <w:r w:rsidRPr="00364545">
              <w:rPr>
                <w:sz w:val="16"/>
              </w:rPr>
              <w:t>44,15</w:t>
            </w:r>
          </w:p>
        </w:tc>
      </w:tr>
      <w:tr w:rsidR="00B56301" w:rsidRPr="00364545" w14:paraId="149D7E4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FCDBB7" w14:textId="6ADB01C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2985BBEC" w14:textId="77777777" w:rsidR="00B56301" w:rsidRPr="00364545" w:rsidRDefault="00B56301" w:rsidP="00B37B65">
            <w:pPr>
              <w:jc w:val="right"/>
              <w:rPr>
                <w:rFonts w:asciiTheme="minorHAnsi" w:hAnsiTheme="minorHAnsi"/>
                <w:sz w:val="16"/>
                <w:szCs w:val="14"/>
              </w:rPr>
            </w:pPr>
            <w:r w:rsidRPr="00364545">
              <w:rPr>
                <w:sz w:val="16"/>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0A87084E" w14:textId="77777777" w:rsidR="00B56301" w:rsidRPr="00364545" w:rsidRDefault="00B56301" w:rsidP="00B37B65">
            <w:pPr>
              <w:jc w:val="right"/>
              <w:rPr>
                <w:rFonts w:asciiTheme="minorHAnsi" w:hAnsiTheme="minorHAnsi"/>
                <w:sz w:val="16"/>
                <w:szCs w:val="14"/>
              </w:rPr>
            </w:pPr>
            <w:r w:rsidRPr="00364545">
              <w:rPr>
                <w:sz w:val="16"/>
              </w:rPr>
              <w:t>1,18</w:t>
            </w:r>
          </w:p>
        </w:tc>
        <w:tc>
          <w:tcPr>
            <w:tcW w:w="991" w:type="dxa"/>
            <w:tcBorders>
              <w:top w:val="nil"/>
              <w:left w:val="nil"/>
              <w:bottom w:val="single" w:sz="4" w:space="0" w:color="auto"/>
              <w:right w:val="single" w:sz="4" w:space="0" w:color="auto"/>
            </w:tcBorders>
            <w:shd w:val="clear" w:color="000000" w:fill="FFFFFF"/>
            <w:noWrap/>
            <w:vAlign w:val="bottom"/>
            <w:hideMark/>
          </w:tcPr>
          <w:p w14:paraId="79565B52" w14:textId="77777777" w:rsidR="00B56301" w:rsidRPr="00364545" w:rsidRDefault="00B56301" w:rsidP="00B37B65">
            <w:pPr>
              <w:jc w:val="right"/>
              <w:rPr>
                <w:rFonts w:asciiTheme="minorHAnsi" w:hAnsiTheme="minorHAnsi"/>
                <w:sz w:val="16"/>
                <w:szCs w:val="14"/>
              </w:rPr>
            </w:pPr>
            <w:r w:rsidRPr="00364545">
              <w:rPr>
                <w:sz w:val="16"/>
              </w:rPr>
              <w:t>1,23</w:t>
            </w:r>
          </w:p>
        </w:tc>
        <w:tc>
          <w:tcPr>
            <w:tcW w:w="991" w:type="dxa"/>
            <w:tcBorders>
              <w:top w:val="nil"/>
              <w:left w:val="nil"/>
              <w:bottom w:val="single" w:sz="4" w:space="0" w:color="auto"/>
              <w:right w:val="single" w:sz="4" w:space="0" w:color="auto"/>
            </w:tcBorders>
            <w:shd w:val="clear" w:color="000000" w:fill="FFFFFF"/>
            <w:noWrap/>
            <w:vAlign w:val="bottom"/>
            <w:hideMark/>
          </w:tcPr>
          <w:p w14:paraId="00FA4178" w14:textId="77777777" w:rsidR="00B56301" w:rsidRPr="00364545" w:rsidRDefault="00B56301" w:rsidP="00B37B65">
            <w:pPr>
              <w:jc w:val="right"/>
              <w:rPr>
                <w:rFonts w:asciiTheme="minorHAnsi" w:hAnsiTheme="minorHAnsi"/>
                <w:sz w:val="16"/>
                <w:szCs w:val="14"/>
              </w:rPr>
            </w:pPr>
            <w:r w:rsidRPr="00364545">
              <w:rPr>
                <w:sz w:val="16"/>
              </w:rPr>
              <w:t>1,25</w:t>
            </w:r>
          </w:p>
        </w:tc>
        <w:tc>
          <w:tcPr>
            <w:tcW w:w="991" w:type="dxa"/>
            <w:tcBorders>
              <w:top w:val="nil"/>
              <w:left w:val="nil"/>
              <w:bottom w:val="single" w:sz="4" w:space="0" w:color="auto"/>
              <w:right w:val="single" w:sz="4" w:space="0" w:color="auto"/>
            </w:tcBorders>
            <w:shd w:val="clear" w:color="000000" w:fill="FFFFFF"/>
            <w:noWrap/>
            <w:vAlign w:val="bottom"/>
            <w:hideMark/>
          </w:tcPr>
          <w:p w14:paraId="1BAE42A2" w14:textId="77777777" w:rsidR="00B56301" w:rsidRPr="00364545" w:rsidRDefault="00B56301" w:rsidP="00B37B65">
            <w:pPr>
              <w:jc w:val="right"/>
              <w:rPr>
                <w:rFonts w:asciiTheme="minorHAnsi" w:hAnsiTheme="minorHAnsi"/>
                <w:sz w:val="16"/>
                <w:szCs w:val="14"/>
              </w:rPr>
            </w:pPr>
            <w:r w:rsidRPr="00364545">
              <w:rPr>
                <w:sz w:val="16"/>
              </w:rPr>
              <w:t>1,27</w:t>
            </w:r>
          </w:p>
        </w:tc>
        <w:tc>
          <w:tcPr>
            <w:tcW w:w="991" w:type="dxa"/>
            <w:tcBorders>
              <w:top w:val="nil"/>
              <w:left w:val="nil"/>
              <w:bottom w:val="single" w:sz="4" w:space="0" w:color="auto"/>
              <w:right w:val="single" w:sz="4" w:space="0" w:color="auto"/>
            </w:tcBorders>
            <w:shd w:val="clear" w:color="000000" w:fill="FFFFFF"/>
            <w:noWrap/>
            <w:vAlign w:val="bottom"/>
            <w:hideMark/>
          </w:tcPr>
          <w:p w14:paraId="073EF083" w14:textId="77777777" w:rsidR="00B56301" w:rsidRPr="00364545" w:rsidRDefault="00B56301" w:rsidP="00B37B65">
            <w:pPr>
              <w:jc w:val="right"/>
              <w:rPr>
                <w:rFonts w:asciiTheme="minorHAnsi" w:hAnsiTheme="minorHAnsi"/>
                <w:sz w:val="16"/>
                <w:szCs w:val="14"/>
              </w:rPr>
            </w:pPr>
            <w:r w:rsidRPr="00364545">
              <w:rPr>
                <w:sz w:val="16"/>
              </w:rPr>
              <w:t>1,37</w:t>
            </w:r>
          </w:p>
        </w:tc>
      </w:tr>
      <w:tr w:rsidR="00B56301" w:rsidRPr="00364545" w14:paraId="75B0AB0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9028A8C" w14:textId="6EDF244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718A251D" w14:textId="77777777" w:rsidR="00B56301" w:rsidRPr="00364545" w:rsidRDefault="00B56301" w:rsidP="00B37B65">
            <w:pPr>
              <w:jc w:val="right"/>
              <w:rPr>
                <w:rFonts w:asciiTheme="minorHAnsi" w:hAnsiTheme="minorHAnsi"/>
                <w:sz w:val="16"/>
                <w:szCs w:val="14"/>
              </w:rPr>
            </w:pPr>
            <w:r w:rsidRPr="00364545">
              <w:rPr>
                <w:sz w:val="16"/>
              </w:rPr>
              <w:t>88,21</w:t>
            </w:r>
          </w:p>
        </w:tc>
        <w:tc>
          <w:tcPr>
            <w:tcW w:w="991" w:type="dxa"/>
            <w:tcBorders>
              <w:top w:val="nil"/>
              <w:left w:val="nil"/>
              <w:bottom w:val="single" w:sz="4" w:space="0" w:color="auto"/>
              <w:right w:val="single" w:sz="4" w:space="0" w:color="auto"/>
            </w:tcBorders>
            <w:shd w:val="clear" w:color="000000" w:fill="FFFFFF"/>
            <w:noWrap/>
            <w:vAlign w:val="bottom"/>
            <w:hideMark/>
          </w:tcPr>
          <w:p w14:paraId="5BBEC2B1" w14:textId="77777777" w:rsidR="00B56301" w:rsidRPr="00364545" w:rsidRDefault="00B56301" w:rsidP="00B37B65">
            <w:pPr>
              <w:jc w:val="right"/>
              <w:rPr>
                <w:rFonts w:asciiTheme="minorHAnsi" w:hAnsiTheme="minorHAnsi"/>
                <w:sz w:val="16"/>
                <w:szCs w:val="14"/>
              </w:rPr>
            </w:pPr>
            <w:r w:rsidRPr="00364545">
              <w:rPr>
                <w:sz w:val="16"/>
              </w:rPr>
              <w:t>88,98</w:t>
            </w:r>
          </w:p>
        </w:tc>
        <w:tc>
          <w:tcPr>
            <w:tcW w:w="991" w:type="dxa"/>
            <w:tcBorders>
              <w:top w:val="nil"/>
              <w:left w:val="nil"/>
              <w:bottom w:val="single" w:sz="4" w:space="0" w:color="auto"/>
              <w:right w:val="single" w:sz="4" w:space="0" w:color="auto"/>
            </w:tcBorders>
            <w:shd w:val="clear" w:color="000000" w:fill="FFFFFF"/>
            <w:noWrap/>
            <w:vAlign w:val="bottom"/>
            <w:hideMark/>
          </w:tcPr>
          <w:p w14:paraId="403FF590" w14:textId="77777777" w:rsidR="00B56301" w:rsidRPr="00364545" w:rsidRDefault="00B56301" w:rsidP="00B37B65">
            <w:pPr>
              <w:jc w:val="right"/>
              <w:rPr>
                <w:rFonts w:asciiTheme="minorHAnsi" w:hAnsiTheme="minorHAnsi"/>
                <w:sz w:val="16"/>
                <w:szCs w:val="14"/>
              </w:rPr>
            </w:pPr>
            <w:r w:rsidRPr="00364545">
              <w:rPr>
                <w:sz w:val="16"/>
              </w:rPr>
              <w:t>90,04</w:t>
            </w:r>
          </w:p>
        </w:tc>
        <w:tc>
          <w:tcPr>
            <w:tcW w:w="991" w:type="dxa"/>
            <w:tcBorders>
              <w:top w:val="nil"/>
              <w:left w:val="nil"/>
              <w:bottom w:val="single" w:sz="4" w:space="0" w:color="auto"/>
              <w:right w:val="single" w:sz="4" w:space="0" w:color="auto"/>
            </w:tcBorders>
            <w:shd w:val="clear" w:color="000000" w:fill="FFFFFF"/>
            <w:noWrap/>
            <w:vAlign w:val="bottom"/>
            <w:hideMark/>
          </w:tcPr>
          <w:p w14:paraId="70BC796A" w14:textId="77777777" w:rsidR="00B56301" w:rsidRPr="00364545" w:rsidRDefault="00B56301" w:rsidP="00B37B65">
            <w:pPr>
              <w:jc w:val="right"/>
              <w:rPr>
                <w:rFonts w:asciiTheme="minorHAnsi" w:hAnsiTheme="minorHAnsi"/>
                <w:sz w:val="16"/>
                <w:szCs w:val="14"/>
              </w:rPr>
            </w:pPr>
            <w:r w:rsidRPr="00364545">
              <w:rPr>
                <w:sz w:val="16"/>
              </w:rPr>
              <w:t>89,68</w:t>
            </w:r>
          </w:p>
        </w:tc>
        <w:tc>
          <w:tcPr>
            <w:tcW w:w="991" w:type="dxa"/>
            <w:tcBorders>
              <w:top w:val="nil"/>
              <w:left w:val="nil"/>
              <w:bottom w:val="single" w:sz="4" w:space="0" w:color="auto"/>
              <w:right w:val="single" w:sz="4" w:space="0" w:color="auto"/>
            </w:tcBorders>
            <w:shd w:val="clear" w:color="000000" w:fill="FFFFFF"/>
            <w:noWrap/>
            <w:vAlign w:val="bottom"/>
            <w:hideMark/>
          </w:tcPr>
          <w:p w14:paraId="098ACB20" w14:textId="77777777" w:rsidR="00B56301" w:rsidRPr="00364545" w:rsidRDefault="00B56301" w:rsidP="00B37B65">
            <w:pPr>
              <w:jc w:val="right"/>
              <w:rPr>
                <w:rFonts w:asciiTheme="minorHAnsi" w:hAnsiTheme="minorHAnsi"/>
                <w:sz w:val="16"/>
                <w:szCs w:val="14"/>
              </w:rPr>
            </w:pPr>
            <w:r w:rsidRPr="00364545">
              <w:rPr>
                <w:sz w:val="16"/>
              </w:rPr>
              <w:t>90,25</w:t>
            </w:r>
          </w:p>
        </w:tc>
        <w:tc>
          <w:tcPr>
            <w:tcW w:w="991" w:type="dxa"/>
            <w:tcBorders>
              <w:top w:val="nil"/>
              <w:left w:val="nil"/>
              <w:bottom w:val="single" w:sz="4" w:space="0" w:color="auto"/>
              <w:right w:val="single" w:sz="4" w:space="0" w:color="auto"/>
            </w:tcBorders>
            <w:shd w:val="clear" w:color="000000" w:fill="FFFFFF"/>
            <w:noWrap/>
            <w:vAlign w:val="bottom"/>
            <w:hideMark/>
          </w:tcPr>
          <w:p w14:paraId="2C9F4898" w14:textId="77777777" w:rsidR="00B56301" w:rsidRPr="00364545" w:rsidRDefault="00B56301" w:rsidP="00B37B65">
            <w:pPr>
              <w:jc w:val="right"/>
              <w:rPr>
                <w:rFonts w:asciiTheme="minorHAnsi" w:hAnsiTheme="minorHAnsi"/>
                <w:sz w:val="16"/>
                <w:szCs w:val="14"/>
              </w:rPr>
            </w:pPr>
            <w:r w:rsidRPr="00364545">
              <w:rPr>
                <w:sz w:val="16"/>
              </w:rPr>
              <w:t>91,74</w:t>
            </w:r>
          </w:p>
        </w:tc>
      </w:tr>
      <w:tr w:rsidR="00B56301" w:rsidRPr="00364545" w14:paraId="7B015D6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9D69FC" w14:textId="01807A10"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Other</w:t>
            </w:r>
            <w:r w:rsidRPr="00364545">
              <w:rPr>
                <w:rFonts w:asciiTheme="minorHAnsi" w:hAnsiTheme="minorHAnsi"/>
                <w:b/>
                <w:i/>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52F79E92"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08B1F75"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4428BDD"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7FC9E9D"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15DBFAE"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48F5D77"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50E8AAE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68CA3F" w14:textId="38D7746E"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1523DC15"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BBEDB9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3FAC7B0"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6CB554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19329F6" w14:textId="77777777" w:rsidR="00B56301" w:rsidRPr="00364545" w:rsidRDefault="00B56301" w:rsidP="00B37B65">
            <w:pPr>
              <w:jc w:val="right"/>
              <w:rPr>
                <w:rFonts w:asciiTheme="minorHAnsi" w:hAnsiTheme="minorHAnsi"/>
                <w:sz w:val="16"/>
                <w:szCs w:val="14"/>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5BD7972" w14:textId="77777777" w:rsidR="00B56301" w:rsidRPr="00364545" w:rsidRDefault="00B56301" w:rsidP="00B37B65">
            <w:pPr>
              <w:jc w:val="right"/>
              <w:rPr>
                <w:rFonts w:asciiTheme="minorHAnsi" w:hAnsiTheme="minorHAnsi"/>
                <w:sz w:val="16"/>
                <w:szCs w:val="14"/>
              </w:rPr>
            </w:pPr>
            <w:r w:rsidRPr="00364545">
              <w:rPr>
                <w:sz w:val="16"/>
              </w:rPr>
              <w:t>NO</w:t>
            </w:r>
          </w:p>
        </w:tc>
      </w:tr>
      <w:tr w:rsidR="00B56301" w:rsidRPr="00364545" w14:paraId="08C326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08F271B8" w14:textId="4359986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 xml:space="preserve">emissions without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580160BB" w14:textId="77777777" w:rsidR="00B56301" w:rsidRPr="00364545" w:rsidRDefault="00B56301" w:rsidP="00B37B65">
            <w:pPr>
              <w:jc w:val="right"/>
              <w:rPr>
                <w:rFonts w:asciiTheme="minorHAnsi" w:hAnsiTheme="minorHAnsi"/>
                <w:sz w:val="16"/>
                <w:szCs w:val="14"/>
              </w:rPr>
            </w:pPr>
            <w:r w:rsidRPr="00364545">
              <w:rPr>
                <w:sz w:val="16"/>
              </w:rPr>
              <w:t>2363,17</w:t>
            </w:r>
          </w:p>
        </w:tc>
        <w:tc>
          <w:tcPr>
            <w:tcW w:w="991" w:type="dxa"/>
            <w:tcBorders>
              <w:top w:val="nil"/>
              <w:left w:val="nil"/>
              <w:bottom w:val="single" w:sz="4" w:space="0" w:color="auto"/>
              <w:right w:val="single" w:sz="4" w:space="0" w:color="auto"/>
            </w:tcBorders>
            <w:shd w:val="clear" w:color="000000" w:fill="CCFFFF"/>
            <w:noWrap/>
            <w:vAlign w:val="bottom"/>
            <w:hideMark/>
          </w:tcPr>
          <w:p w14:paraId="47E8CB50" w14:textId="77777777" w:rsidR="00B56301" w:rsidRPr="00364545" w:rsidRDefault="00B56301" w:rsidP="00B37B65">
            <w:pPr>
              <w:jc w:val="right"/>
              <w:rPr>
                <w:rFonts w:asciiTheme="minorHAnsi" w:hAnsiTheme="minorHAnsi"/>
                <w:sz w:val="16"/>
                <w:szCs w:val="14"/>
              </w:rPr>
            </w:pPr>
            <w:r w:rsidRPr="00364545">
              <w:rPr>
                <w:sz w:val="16"/>
              </w:rPr>
              <w:t>2351,46</w:t>
            </w:r>
          </w:p>
        </w:tc>
        <w:tc>
          <w:tcPr>
            <w:tcW w:w="991" w:type="dxa"/>
            <w:tcBorders>
              <w:top w:val="nil"/>
              <w:left w:val="nil"/>
              <w:bottom w:val="single" w:sz="4" w:space="0" w:color="auto"/>
              <w:right w:val="single" w:sz="4" w:space="0" w:color="auto"/>
            </w:tcBorders>
            <w:shd w:val="clear" w:color="000000" w:fill="CCFFFF"/>
            <w:noWrap/>
            <w:vAlign w:val="bottom"/>
            <w:hideMark/>
          </w:tcPr>
          <w:p w14:paraId="48CC8CAF" w14:textId="77777777" w:rsidR="00B56301" w:rsidRPr="00364545" w:rsidRDefault="00B56301" w:rsidP="00B37B65">
            <w:pPr>
              <w:jc w:val="right"/>
              <w:rPr>
                <w:rFonts w:asciiTheme="minorHAnsi" w:hAnsiTheme="minorHAnsi"/>
                <w:sz w:val="16"/>
                <w:szCs w:val="14"/>
              </w:rPr>
            </w:pPr>
            <w:r w:rsidRPr="00364545">
              <w:rPr>
                <w:sz w:val="16"/>
              </w:rPr>
              <w:t>2314,48</w:t>
            </w:r>
          </w:p>
        </w:tc>
        <w:tc>
          <w:tcPr>
            <w:tcW w:w="991" w:type="dxa"/>
            <w:tcBorders>
              <w:top w:val="nil"/>
              <w:left w:val="nil"/>
              <w:bottom w:val="single" w:sz="4" w:space="0" w:color="auto"/>
              <w:right w:val="single" w:sz="4" w:space="0" w:color="auto"/>
            </w:tcBorders>
            <w:shd w:val="clear" w:color="000000" w:fill="CCFFFF"/>
            <w:noWrap/>
            <w:vAlign w:val="bottom"/>
            <w:hideMark/>
          </w:tcPr>
          <w:p w14:paraId="6A3E007F" w14:textId="77777777" w:rsidR="00B56301" w:rsidRPr="00364545" w:rsidRDefault="00B56301" w:rsidP="00B37B65">
            <w:pPr>
              <w:jc w:val="right"/>
              <w:rPr>
                <w:rFonts w:asciiTheme="minorHAnsi" w:hAnsiTheme="minorHAnsi"/>
                <w:sz w:val="16"/>
                <w:szCs w:val="14"/>
              </w:rPr>
            </w:pPr>
            <w:r w:rsidRPr="00364545">
              <w:rPr>
                <w:sz w:val="16"/>
              </w:rPr>
              <w:t>2297,29</w:t>
            </w:r>
          </w:p>
        </w:tc>
        <w:tc>
          <w:tcPr>
            <w:tcW w:w="991" w:type="dxa"/>
            <w:tcBorders>
              <w:top w:val="nil"/>
              <w:left w:val="nil"/>
              <w:bottom w:val="single" w:sz="4" w:space="0" w:color="auto"/>
              <w:right w:val="single" w:sz="4" w:space="0" w:color="auto"/>
            </w:tcBorders>
            <w:shd w:val="clear" w:color="000000" w:fill="CCFFFF"/>
            <w:noWrap/>
            <w:vAlign w:val="bottom"/>
            <w:hideMark/>
          </w:tcPr>
          <w:p w14:paraId="67A5E9B1" w14:textId="77777777" w:rsidR="00B56301" w:rsidRPr="00364545" w:rsidRDefault="00B56301" w:rsidP="00B37B65">
            <w:pPr>
              <w:jc w:val="right"/>
              <w:rPr>
                <w:rFonts w:asciiTheme="minorHAnsi" w:hAnsiTheme="minorHAnsi"/>
                <w:sz w:val="16"/>
                <w:szCs w:val="14"/>
              </w:rPr>
            </w:pPr>
            <w:r w:rsidRPr="00364545">
              <w:rPr>
                <w:sz w:val="16"/>
              </w:rPr>
              <w:t>2280,43</w:t>
            </w:r>
          </w:p>
        </w:tc>
        <w:tc>
          <w:tcPr>
            <w:tcW w:w="991" w:type="dxa"/>
            <w:tcBorders>
              <w:top w:val="nil"/>
              <w:left w:val="nil"/>
              <w:bottom w:val="single" w:sz="4" w:space="0" w:color="auto"/>
              <w:right w:val="single" w:sz="4" w:space="0" w:color="auto"/>
            </w:tcBorders>
            <w:shd w:val="clear" w:color="000000" w:fill="CCFFFF"/>
            <w:noWrap/>
            <w:vAlign w:val="bottom"/>
            <w:hideMark/>
          </w:tcPr>
          <w:p w14:paraId="6303182B" w14:textId="77777777" w:rsidR="00B56301" w:rsidRPr="00364545" w:rsidRDefault="00B56301" w:rsidP="00B37B65">
            <w:pPr>
              <w:jc w:val="right"/>
              <w:rPr>
                <w:rFonts w:asciiTheme="minorHAnsi" w:hAnsiTheme="minorHAnsi"/>
                <w:sz w:val="16"/>
                <w:szCs w:val="14"/>
              </w:rPr>
            </w:pPr>
            <w:r w:rsidRPr="00364545">
              <w:rPr>
                <w:sz w:val="16"/>
              </w:rPr>
              <w:t>2249,55</w:t>
            </w:r>
          </w:p>
        </w:tc>
      </w:tr>
      <w:tr w:rsidR="00B56301" w:rsidRPr="00364545" w14:paraId="7D46180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1B83A5E" w14:textId="5E7208EE"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 xml:space="preserve">emissions with </w:t>
            </w:r>
            <w:r w:rsidRPr="00364545">
              <w:rPr>
                <w:sz w:val="16"/>
              </w:rPr>
              <w:t>CH</w:t>
            </w:r>
            <w:r w:rsidRPr="00364545">
              <w:rPr>
                <w:sz w:val="16"/>
                <w:vertAlign w:val="subscript"/>
              </w:rPr>
              <w:t>4</w:t>
            </w:r>
            <w:r w:rsidRPr="00364545">
              <w:rPr>
                <w:sz w:val="16"/>
              </w:rPr>
              <w:t xml:space="preserve">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53A408CE" w14:textId="77777777" w:rsidR="00B56301" w:rsidRPr="00364545" w:rsidRDefault="00B56301" w:rsidP="00B37B65">
            <w:pPr>
              <w:jc w:val="right"/>
              <w:rPr>
                <w:rFonts w:asciiTheme="minorHAnsi" w:hAnsiTheme="minorHAnsi"/>
                <w:sz w:val="16"/>
                <w:szCs w:val="14"/>
              </w:rPr>
            </w:pPr>
            <w:r w:rsidRPr="00364545">
              <w:rPr>
                <w:sz w:val="16"/>
              </w:rPr>
              <w:t>2404,54</w:t>
            </w:r>
          </w:p>
        </w:tc>
        <w:tc>
          <w:tcPr>
            <w:tcW w:w="991" w:type="dxa"/>
            <w:tcBorders>
              <w:top w:val="nil"/>
              <w:left w:val="nil"/>
              <w:bottom w:val="single" w:sz="4" w:space="0" w:color="auto"/>
              <w:right w:val="single" w:sz="4" w:space="0" w:color="auto"/>
            </w:tcBorders>
            <w:shd w:val="clear" w:color="000000" w:fill="CCFFFF"/>
            <w:noWrap/>
            <w:vAlign w:val="bottom"/>
            <w:hideMark/>
          </w:tcPr>
          <w:p w14:paraId="56F2ACD0" w14:textId="77777777" w:rsidR="00B56301" w:rsidRPr="00364545" w:rsidRDefault="00B56301" w:rsidP="00B37B65">
            <w:pPr>
              <w:jc w:val="right"/>
              <w:rPr>
                <w:rFonts w:asciiTheme="minorHAnsi" w:hAnsiTheme="minorHAnsi"/>
                <w:sz w:val="16"/>
                <w:szCs w:val="14"/>
              </w:rPr>
            </w:pPr>
            <w:r w:rsidRPr="00364545">
              <w:rPr>
                <w:sz w:val="16"/>
              </w:rPr>
              <w:t>2394,57</w:t>
            </w:r>
          </w:p>
        </w:tc>
        <w:tc>
          <w:tcPr>
            <w:tcW w:w="991" w:type="dxa"/>
            <w:tcBorders>
              <w:top w:val="nil"/>
              <w:left w:val="nil"/>
              <w:bottom w:val="single" w:sz="4" w:space="0" w:color="auto"/>
              <w:right w:val="single" w:sz="4" w:space="0" w:color="auto"/>
            </w:tcBorders>
            <w:shd w:val="clear" w:color="000000" w:fill="CCFFFF"/>
            <w:noWrap/>
            <w:vAlign w:val="bottom"/>
            <w:hideMark/>
          </w:tcPr>
          <w:p w14:paraId="36DC8992" w14:textId="77777777" w:rsidR="00B56301" w:rsidRPr="00364545" w:rsidRDefault="00B56301" w:rsidP="00B37B65">
            <w:pPr>
              <w:jc w:val="right"/>
              <w:rPr>
                <w:rFonts w:asciiTheme="minorHAnsi" w:hAnsiTheme="minorHAnsi"/>
                <w:sz w:val="16"/>
                <w:szCs w:val="14"/>
              </w:rPr>
            </w:pPr>
            <w:r w:rsidRPr="00364545">
              <w:rPr>
                <w:sz w:val="16"/>
              </w:rPr>
              <w:t>2357,59</w:t>
            </w:r>
          </w:p>
        </w:tc>
        <w:tc>
          <w:tcPr>
            <w:tcW w:w="991" w:type="dxa"/>
            <w:tcBorders>
              <w:top w:val="nil"/>
              <w:left w:val="nil"/>
              <w:bottom w:val="single" w:sz="4" w:space="0" w:color="auto"/>
              <w:right w:val="single" w:sz="4" w:space="0" w:color="auto"/>
            </w:tcBorders>
            <w:shd w:val="clear" w:color="000000" w:fill="CCFFFF"/>
            <w:noWrap/>
            <w:vAlign w:val="bottom"/>
            <w:hideMark/>
          </w:tcPr>
          <w:p w14:paraId="45966FFE" w14:textId="77777777" w:rsidR="00B56301" w:rsidRPr="00364545" w:rsidRDefault="00B56301" w:rsidP="00B37B65">
            <w:pPr>
              <w:jc w:val="right"/>
              <w:rPr>
                <w:rFonts w:asciiTheme="minorHAnsi" w:hAnsiTheme="minorHAnsi"/>
                <w:sz w:val="16"/>
                <w:szCs w:val="14"/>
              </w:rPr>
            </w:pPr>
            <w:r w:rsidRPr="00364545">
              <w:rPr>
                <w:sz w:val="16"/>
              </w:rPr>
              <w:t>2341,30</w:t>
            </w:r>
          </w:p>
        </w:tc>
        <w:tc>
          <w:tcPr>
            <w:tcW w:w="991" w:type="dxa"/>
            <w:tcBorders>
              <w:top w:val="nil"/>
              <w:left w:val="nil"/>
              <w:bottom w:val="single" w:sz="4" w:space="0" w:color="auto"/>
              <w:right w:val="single" w:sz="4" w:space="0" w:color="auto"/>
            </w:tcBorders>
            <w:shd w:val="clear" w:color="000000" w:fill="CCFFFF"/>
            <w:noWrap/>
            <w:vAlign w:val="bottom"/>
            <w:hideMark/>
          </w:tcPr>
          <w:p w14:paraId="375347D4" w14:textId="77777777" w:rsidR="00B56301" w:rsidRPr="00364545" w:rsidRDefault="00B56301" w:rsidP="00B37B65">
            <w:pPr>
              <w:jc w:val="right"/>
              <w:rPr>
                <w:rFonts w:asciiTheme="minorHAnsi" w:hAnsiTheme="minorHAnsi"/>
                <w:sz w:val="16"/>
                <w:szCs w:val="14"/>
              </w:rPr>
            </w:pPr>
            <w:r w:rsidRPr="00364545">
              <w:rPr>
                <w:sz w:val="16"/>
              </w:rPr>
              <w:t>2325,44</w:t>
            </w:r>
          </w:p>
        </w:tc>
        <w:tc>
          <w:tcPr>
            <w:tcW w:w="991" w:type="dxa"/>
            <w:tcBorders>
              <w:top w:val="nil"/>
              <w:left w:val="nil"/>
              <w:bottom w:val="single" w:sz="4" w:space="0" w:color="auto"/>
              <w:right w:val="single" w:sz="4" w:space="0" w:color="auto"/>
            </w:tcBorders>
            <w:shd w:val="clear" w:color="000000" w:fill="CCFFFF"/>
            <w:noWrap/>
            <w:vAlign w:val="bottom"/>
            <w:hideMark/>
          </w:tcPr>
          <w:p w14:paraId="10F760B7" w14:textId="77777777" w:rsidR="00B56301" w:rsidRPr="00364545" w:rsidRDefault="00B56301" w:rsidP="00B37B65">
            <w:pPr>
              <w:jc w:val="right"/>
              <w:rPr>
                <w:rFonts w:asciiTheme="minorHAnsi" w:hAnsiTheme="minorHAnsi"/>
                <w:sz w:val="16"/>
                <w:szCs w:val="14"/>
              </w:rPr>
            </w:pPr>
            <w:r w:rsidRPr="00364545">
              <w:rPr>
                <w:sz w:val="16"/>
              </w:rPr>
              <w:t>2294,16</w:t>
            </w:r>
          </w:p>
        </w:tc>
      </w:tr>
      <w:tr w:rsidR="00B56301" w:rsidRPr="00364545" w14:paraId="75C55AC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513E22B"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66D82C3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E25145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8A500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2E0BF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98EE01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938DEBA"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03ADB62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F37D8D6"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0C865619" w14:textId="77777777" w:rsidR="00B56301" w:rsidRPr="00364545" w:rsidRDefault="00B56301" w:rsidP="00B37B65">
            <w:pPr>
              <w:jc w:val="right"/>
              <w:rPr>
                <w:rFonts w:asciiTheme="minorHAnsi" w:hAnsiTheme="minorHAnsi"/>
                <w:sz w:val="16"/>
                <w:szCs w:val="14"/>
              </w:rPr>
            </w:pPr>
            <w:r w:rsidRPr="00364545">
              <w:rPr>
                <w:sz w:val="16"/>
              </w:rPr>
              <w:t>0,77</w:t>
            </w:r>
          </w:p>
        </w:tc>
        <w:tc>
          <w:tcPr>
            <w:tcW w:w="991" w:type="dxa"/>
            <w:tcBorders>
              <w:top w:val="nil"/>
              <w:left w:val="nil"/>
              <w:bottom w:val="single" w:sz="4" w:space="0" w:color="auto"/>
              <w:right w:val="single" w:sz="4" w:space="0" w:color="auto"/>
            </w:tcBorders>
            <w:shd w:val="clear" w:color="000000" w:fill="CCFFFF"/>
            <w:noWrap/>
            <w:vAlign w:val="bottom"/>
            <w:hideMark/>
          </w:tcPr>
          <w:p w14:paraId="18A1B415" w14:textId="77777777" w:rsidR="00B56301" w:rsidRPr="00364545" w:rsidRDefault="00B56301" w:rsidP="00B37B65">
            <w:pPr>
              <w:jc w:val="right"/>
              <w:rPr>
                <w:rFonts w:asciiTheme="minorHAnsi" w:hAnsiTheme="minorHAnsi"/>
                <w:sz w:val="16"/>
                <w:szCs w:val="14"/>
              </w:rPr>
            </w:pPr>
            <w:r w:rsidRPr="00364545">
              <w:rPr>
                <w:sz w:val="16"/>
              </w:rPr>
              <w:t>0,66</w:t>
            </w:r>
          </w:p>
        </w:tc>
        <w:tc>
          <w:tcPr>
            <w:tcW w:w="991" w:type="dxa"/>
            <w:tcBorders>
              <w:top w:val="nil"/>
              <w:left w:val="nil"/>
              <w:bottom w:val="single" w:sz="4" w:space="0" w:color="auto"/>
              <w:right w:val="single" w:sz="4" w:space="0" w:color="auto"/>
            </w:tcBorders>
            <w:shd w:val="clear" w:color="000000" w:fill="CCFFFF"/>
            <w:noWrap/>
            <w:vAlign w:val="bottom"/>
            <w:hideMark/>
          </w:tcPr>
          <w:p w14:paraId="0E86498C" w14:textId="77777777" w:rsidR="00B56301" w:rsidRPr="00364545" w:rsidRDefault="00B56301" w:rsidP="00B37B65">
            <w:pPr>
              <w:jc w:val="right"/>
              <w:rPr>
                <w:rFonts w:asciiTheme="minorHAnsi" w:hAnsiTheme="minorHAnsi"/>
                <w:sz w:val="16"/>
                <w:szCs w:val="14"/>
              </w:rPr>
            </w:pPr>
            <w:r w:rsidRPr="00364545">
              <w:rPr>
                <w:sz w:val="16"/>
              </w:rPr>
              <w:t>0,60</w:t>
            </w:r>
          </w:p>
        </w:tc>
        <w:tc>
          <w:tcPr>
            <w:tcW w:w="991" w:type="dxa"/>
            <w:tcBorders>
              <w:top w:val="nil"/>
              <w:left w:val="nil"/>
              <w:bottom w:val="single" w:sz="4" w:space="0" w:color="auto"/>
              <w:right w:val="single" w:sz="4" w:space="0" w:color="auto"/>
            </w:tcBorders>
            <w:shd w:val="clear" w:color="000000" w:fill="CCFFFF"/>
            <w:noWrap/>
            <w:vAlign w:val="bottom"/>
            <w:hideMark/>
          </w:tcPr>
          <w:p w14:paraId="50C03103" w14:textId="77777777" w:rsidR="00B56301" w:rsidRPr="00364545" w:rsidRDefault="00B56301" w:rsidP="00B37B65">
            <w:pPr>
              <w:jc w:val="right"/>
              <w:rPr>
                <w:rFonts w:asciiTheme="minorHAnsi" w:hAnsiTheme="minorHAnsi"/>
                <w:sz w:val="16"/>
                <w:szCs w:val="14"/>
              </w:rPr>
            </w:pPr>
            <w:r w:rsidRPr="00364545">
              <w:rPr>
                <w:sz w:val="16"/>
              </w:rPr>
              <w:t>0,57</w:t>
            </w:r>
          </w:p>
        </w:tc>
        <w:tc>
          <w:tcPr>
            <w:tcW w:w="991" w:type="dxa"/>
            <w:tcBorders>
              <w:top w:val="nil"/>
              <w:left w:val="nil"/>
              <w:bottom w:val="single" w:sz="4" w:space="0" w:color="auto"/>
              <w:right w:val="single" w:sz="4" w:space="0" w:color="auto"/>
            </w:tcBorders>
            <w:shd w:val="clear" w:color="000000" w:fill="CCFFFF"/>
            <w:noWrap/>
            <w:vAlign w:val="bottom"/>
            <w:hideMark/>
          </w:tcPr>
          <w:p w14:paraId="78251FEC" w14:textId="77777777" w:rsidR="00B56301" w:rsidRPr="00364545" w:rsidRDefault="00B56301" w:rsidP="00B37B65">
            <w:pPr>
              <w:jc w:val="right"/>
              <w:rPr>
                <w:rFonts w:asciiTheme="minorHAnsi" w:hAnsiTheme="minorHAnsi"/>
                <w:sz w:val="16"/>
                <w:szCs w:val="14"/>
              </w:rPr>
            </w:pPr>
            <w:r w:rsidRPr="00364545">
              <w:rPr>
                <w:sz w:val="16"/>
              </w:rPr>
              <w:t>0,60</w:t>
            </w:r>
          </w:p>
        </w:tc>
        <w:tc>
          <w:tcPr>
            <w:tcW w:w="991" w:type="dxa"/>
            <w:tcBorders>
              <w:top w:val="nil"/>
              <w:left w:val="nil"/>
              <w:bottom w:val="single" w:sz="4" w:space="0" w:color="auto"/>
              <w:right w:val="single" w:sz="4" w:space="0" w:color="auto"/>
            </w:tcBorders>
            <w:shd w:val="clear" w:color="000000" w:fill="CCFFFF"/>
            <w:noWrap/>
            <w:vAlign w:val="bottom"/>
            <w:hideMark/>
          </w:tcPr>
          <w:p w14:paraId="434686C9" w14:textId="77777777" w:rsidR="00B56301" w:rsidRPr="00364545" w:rsidRDefault="00B56301" w:rsidP="00B37B65">
            <w:pPr>
              <w:jc w:val="right"/>
              <w:rPr>
                <w:rFonts w:asciiTheme="minorHAnsi" w:hAnsiTheme="minorHAnsi"/>
                <w:sz w:val="16"/>
                <w:szCs w:val="14"/>
              </w:rPr>
            </w:pPr>
            <w:r w:rsidRPr="00364545">
              <w:rPr>
                <w:sz w:val="16"/>
              </w:rPr>
              <w:t>0,67</w:t>
            </w:r>
          </w:p>
        </w:tc>
      </w:tr>
      <w:tr w:rsidR="00B56301" w:rsidRPr="00364545" w14:paraId="538D738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A317D36"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179D5D4E" w14:textId="77777777" w:rsidR="00B56301" w:rsidRPr="00364545" w:rsidRDefault="00B56301" w:rsidP="00B37B65">
            <w:pPr>
              <w:jc w:val="right"/>
              <w:rPr>
                <w:rFonts w:asciiTheme="minorHAnsi" w:hAnsiTheme="minorHAnsi"/>
                <w:sz w:val="16"/>
                <w:szCs w:val="14"/>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0B114744" w14:textId="77777777" w:rsidR="00B56301" w:rsidRPr="00364545" w:rsidRDefault="00B56301" w:rsidP="00B37B65">
            <w:pPr>
              <w:jc w:val="right"/>
              <w:rPr>
                <w:rFonts w:asciiTheme="minorHAnsi" w:hAnsiTheme="minorHAnsi"/>
                <w:sz w:val="16"/>
                <w:szCs w:val="14"/>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30E7AB95" w14:textId="77777777" w:rsidR="00B56301" w:rsidRPr="00364545" w:rsidRDefault="00B56301" w:rsidP="00B37B65">
            <w:pPr>
              <w:jc w:val="right"/>
              <w:rPr>
                <w:rFonts w:asciiTheme="minorHAnsi" w:hAnsiTheme="minorHAnsi"/>
                <w:sz w:val="16"/>
                <w:szCs w:val="14"/>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42AE4F97"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3430333D" w14:textId="77777777" w:rsidR="00B56301" w:rsidRPr="00364545" w:rsidRDefault="00B56301" w:rsidP="00B37B65">
            <w:pPr>
              <w:jc w:val="right"/>
              <w:rPr>
                <w:rFonts w:asciiTheme="minorHAnsi" w:hAnsiTheme="minorHAnsi"/>
                <w:sz w:val="16"/>
                <w:szCs w:val="14"/>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382A8DC4" w14:textId="77777777" w:rsidR="00B56301" w:rsidRPr="00364545" w:rsidRDefault="00B56301" w:rsidP="00B37B65">
            <w:pPr>
              <w:jc w:val="right"/>
              <w:rPr>
                <w:rFonts w:asciiTheme="minorHAnsi" w:hAnsiTheme="minorHAnsi"/>
                <w:sz w:val="16"/>
                <w:szCs w:val="14"/>
              </w:rPr>
            </w:pPr>
            <w:r w:rsidRPr="00364545">
              <w:rPr>
                <w:sz w:val="16"/>
              </w:rPr>
              <w:t>0,06</w:t>
            </w:r>
          </w:p>
        </w:tc>
      </w:tr>
      <w:tr w:rsidR="00B56301" w:rsidRPr="00364545" w14:paraId="7CB9BBF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4965F14"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47CA7C53" w14:textId="77777777" w:rsidR="00B56301" w:rsidRPr="00364545" w:rsidRDefault="00B56301" w:rsidP="00B37B65">
            <w:pPr>
              <w:jc w:val="right"/>
              <w:rPr>
                <w:rFonts w:asciiTheme="minorHAnsi" w:hAnsiTheme="minorHAnsi"/>
                <w:sz w:val="16"/>
                <w:szCs w:val="14"/>
              </w:rPr>
            </w:pPr>
            <w:r w:rsidRPr="00364545">
              <w:rPr>
                <w:sz w:val="16"/>
              </w:rPr>
              <w:t>0,70</w:t>
            </w:r>
          </w:p>
        </w:tc>
        <w:tc>
          <w:tcPr>
            <w:tcW w:w="991" w:type="dxa"/>
            <w:tcBorders>
              <w:top w:val="nil"/>
              <w:left w:val="nil"/>
              <w:bottom w:val="single" w:sz="4" w:space="0" w:color="auto"/>
              <w:right w:val="single" w:sz="4" w:space="0" w:color="auto"/>
            </w:tcBorders>
            <w:shd w:val="clear" w:color="000000" w:fill="FFFFFF"/>
            <w:noWrap/>
            <w:vAlign w:val="bottom"/>
            <w:hideMark/>
          </w:tcPr>
          <w:p w14:paraId="3E1051F2" w14:textId="77777777" w:rsidR="00B56301" w:rsidRPr="00364545" w:rsidRDefault="00B56301" w:rsidP="00B37B65">
            <w:pPr>
              <w:jc w:val="right"/>
              <w:rPr>
                <w:rFonts w:asciiTheme="minorHAnsi" w:hAnsiTheme="minorHAnsi"/>
                <w:sz w:val="16"/>
                <w:szCs w:val="14"/>
              </w:rPr>
            </w:pPr>
            <w:r w:rsidRPr="00364545">
              <w:rPr>
                <w:sz w:val="16"/>
              </w:rPr>
              <w:t>0,60</w:t>
            </w:r>
          </w:p>
        </w:tc>
        <w:tc>
          <w:tcPr>
            <w:tcW w:w="991" w:type="dxa"/>
            <w:tcBorders>
              <w:top w:val="nil"/>
              <w:left w:val="nil"/>
              <w:bottom w:val="single" w:sz="4" w:space="0" w:color="auto"/>
              <w:right w:val="single" w:sz="4" w:space="0" w:color="auto"/>
            </w:tcBorders>
            <w:shd w:val="clear" w:color="000000" w:fill="FFFFFF"/>
            <w:noWrap/>
            <w:vAlign w:val="bottom"/>
            <w:hideMark/>
          </w:tcPr>
          <w:p w14:paraId="132489EF" w14:textId="77777777" w:rsidR="00B56301" w:rsidRPr="00364545" w:rsidRDefault="00B56301" w:rsidP="00B37B65">
            <w:pPr>
              <w:jc w:val="right"/>
              <w:rPr>
                <w:rFonts w:asciiTheme="minorHAnsi" w:hAnsiTheme="minorHAnsi"/>
                <w:sz w:val="16"/>
                <w:szCs w:val="14"/>
              </w:rPr>
            </w:pPr>
            <w:r w:rsidRPr="00364545">
              <w:rPr>
                <w:sz w:val="16"/>
              </w:rPr>
              <w:t>0,53</w:t>
            </w:r>
          </w:p>
        </w:tc>
        <w:tc>
          <w:tcPr>
            <w:tcW w:w="991" w:type="dxa"/>
            <w:tcBorders>
              <w:top w:val="nil"/>
              <w:left w:val="nil"/>
              <w:bottom w:val="single" w:sz="4" w:space="0" w:color="auto"/>
              <w:right w:val="single" w:sz="4" w:space="0" w:color="auto"/>
            </w:tcBorders>
            <w:shd w:val="clear" w:color="000000" w:fill="FFFFFF"/>
            <w:noWrap/>
            <w:vAlign w:val="bottom"/>
            <w:hideMark/>
          </w:tcPr>
          <w:p w14:paraId="7BCC4134" w14:textId="77777777" w:rsidR="00B56301" w:rsidRPr="00364545" w:rsidRDefault="00B56301" w:rsidP="00B37B65">
            <w:pPr>
              <w:jc w:val="right"/>
              <w:rPr>
                <w:rFonts w:asciiTheme="minorHAnsi" w:hAnsiTheme="minorHAnsi"/>
                <w:sz w:val="16"/>
                <w:szCs w:val="14"/>
              </w:rPr>
            </w:pPr>
            <w:r w:rsidRPr="00364545">
              <w:rPr>
                <w:sz w:val="16"/>
              </w:rPr>
              <w:t>0,51</w:t>
            </w:r>
          </w:p>
        </w:tc>
        <w:tc>
          <w:tcPr>
            <w:tcW w:w="991" w:type="dxa"/>
            <w:tcBorders>
              <w:top w:val="nil"/>
              <w:left w:val="nil"/>
              <w:bottom w:val="single" w:sz="4" w:space="0" w:color="auto"/>
              <w:right w:val="single" w:sz="4" w:space="0" w:color="auto"/>
            </w:tcBorders>
            <w:shd w:val="clear" w:color="000000" w:fill="FFFFFF"/>
            <w:noWrap/>
            <w:vAlign w:val="bottom"/>
            <w:hideMark/>
          </w:tcPr>
          <w:p w14:paraId="65EE6E9C" w14:textId="77777777" w:rsidR="00B56301" w:rsidRPr="00364545" w:rsidRDefault="00B56301" w:rsidP="00B37B65">
            <w:pPr>
              <w:jc w:val="right"/>
              <w:rPr>
                <w:rFonts w:asciiTheme="minorHAnsi" w:hAnsiTheme="minorHAnsi"/>
                <w:sz w:val="16"/>
                <w:szCs w:val="14"/>
              </w:rPr>
            </w:pPr>
            <w:r w:rsidRPr="00364545">
              <w:rPr>
                <w:sz w:val="16"/>
              </w:rPr>
              <w:t>0,54</w:t>
            </w:r>
          </w:p>
        </w:tc>
        <w:tc>
          <w:tcPr>
            <w:tcW w:w="991" w:type="dxa"/>
            <w:tcBorders>
              <w:top w:val="nil"/>
              <w:left w:val="nil"/>
              <w:bottom w:val="single" w:sz="4" w:space="0" w:color="auto"/>
              <w:right w:val="single" w:sz="4" w:space="0" w:color="auto"/>
            </w:tcBorders>
            <w:shd w:val="clear" w:color="000000" w:fill="FFFFFF"/>
            <w:noWrap/>
            <w:vAlign w:val="bottom"/>
            <w:hideMark/>
          </w:tcPr>
          <w:p w14:paraId="0716474B" w14:textId="77777777" w:rsidR="00B56301" w:rsidRPr="00364545" w:rsidRDefault="00B56301" w:rsidP="00B37B65">
            <w:pPr>
              <w:jc w:val="right"/>
              <w:rPr>
                <w:rFonts w:asciiTheme="minorHAnsi" w:hAnsiTheme="minorHAnsi"/>
                <w:sz w:val="16"/>
                <w:szCs w:val="14"/>
              </w:rPr>
            </w:pPr>
            <w:r w:rsidRPr="00364545">
              <w:rPr>
                <w:sz w:val="16"/>
              </w:rPr>
              <w:t>0,60</w:t>
            </w:r>
          </w:p>
        </w:tc>
      </w:tr>
      <w:tr w:rsidR="00B56301" w:rsidRPr="00364545" w14:paraId="4C20A0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C6C197D"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5A1AC3E0"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FD93EC4"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C49CF9A"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6AE1E17"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30C51559" w14:textId="77777777" w:rsidR="00B56301" w:rsidRPr="00364545" w:rsidRDefault="00B56301" w:rsidP="00B37B65">
            <w:pPr>
              <w:jc w:val="right"/>
              <w:rPr>
                <w:rFonts w:asciiTheme="minorHAnsi" w:hAnsiTheme="minorHAnsi"/>
                <w:sz w:val="16"/>
                <w:szCs w:val="14"/>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3D0CBA1" w14:textId="77777777" w:rsidR="00B56301" w:rsidRPr="00364545" w:rsidRDefault="00B56301" w:rsidP="00B37B65">
            <w:pPr>
              <w:jc w:val="right"/>
              <w:rPr>
                <w:rFonts w:asciiTheme="minorHAnsi" w:hAnsiTheme="minorHAnsi"/>
                <w:sz w:val="16"/>
                <w:szCs w:val="14"/>
              </w:rPr>
            </w:pPr>
            <w:r w:rsidRPr="00364545">
              <w:rPr>
                <w:sz w:val="16"/>
              </w:rPr>
              <w:t>NE</w:t>
            </w:r>
          </w:p>
        </w:tc>
      </w:tr>
      <w:tr w:rsidR="00B56301" w:rsidRPr="00364545" w14:paraId="11EAC5B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AAFA884" w14:textId="3F9789CF"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5FE08274"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F9865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A293A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07AA1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15EDC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4FE401"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13BE01B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6B0D985" w14:textId="7F2CFF5A"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7995B8C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FDF897A"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AA1B0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DB082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D46D4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70FD9C"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27E8080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B54C496"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7E06990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29F9DC"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B63560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E8DE2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9E74A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EEDED9"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070739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896657" w14:textId="7339DC70"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N</w:t>
            </w:r>
            <w:r w:rsidRPr="00364545">
              <w:rPr>
                <w:sz w:val="16"/>
                <w:vertAlign w:val="subscript"/>
              </w:rPr>
              <w:t>2</w:t>
            </w:r>
            <w:r w:rsidRPr="00364545">
              <w:rPr>
                <w:sz w:val="16"/>
              </w:rPr>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3127D100"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89CC15"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4672EB9"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785B07"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4903FE"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2B090E"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030F2C2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35AE0E" w14:textId="3504555B"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Indirect </w:t>
            </w:r>
            <w:r w:rsidRPr="00364545">
              <w:t>CO</w:t>
            </w:r>
            <w:r w:rsidRPr="00364545">
              <w:rPr>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15631EAA"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9C0F7D"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0AFCEF"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964473"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CCD1B6" w14:textId="77777777" w:rsidR="00B56301" w:rsidRPr="00364545" w:rsidRDefault="00B56301" w:rsidP="00B37B65">
            <w:pPr>
              <w:jc w:val="right"/>
              <w:rPr>
                <w:rFonts w:asciiTheme="minorHAnsi" w:hAnsiTheme="minorHAnsi"/>
                <w:sz w:val="16"/>
                <w:szCs w:val="14"/>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95F61B" w14:textId="77777777" w:rsidR="00B56301" w:rsidRPr="00364545" w:rsidRDefault="00B56301" w:rsidP="00B37B65">
            <w:pPr>
              <w:jc w:val="right"/>
              <w:rPr>
                <w:rFonts w:asciiTheme="minorHAnsi" w:hAnsiTheme="minorHAnsi"/>
                <w:sz w:val="16"/>
                <w:szCs w:val="14"/>
              </w:rPr>
            </w:pPr>
            <w:r w:rsidRPr="00364545">
              <w:rPr>
                <w:sz w:val="16"/>
              </w:rPr>
              <w:t> </w:t>
            </w:r>
          </w:p>
        </w:tc>
      </w:tr>
    </w:tbl>
    <w:p w14:paraId="781C7195" w14:textId="77777777" w:rsidR="00B56301" w:rsidRPr="00364545" w:rsidRDefault="00B56301" w:rsidP="00B56301">
      <w:pPr>
        <w:ind w:right="27"/>
        <w:rPr>
          <w:rFonts w:cs="Arial"/>
          <w:sz w:val="24"/>
        </w:rPr>
      </w:pPr>
    </w:p>
    <w:p w14:paraId="763E568A" w14:textId="77777777" w:rsidR="00B56301" w:rsidRPr="00364545" w:rsidRDefault="00B56301" w:rsidP="00B56301">
      <w:pPr>
        <w:spacing w:line="240" w:lineRule="atLeast"/>
        <w:jc w:val="left"/>
        <w:rPr>
          <w:rFonts w:cs="Arial"/>
          <w:sz w:val="24"/>
        </w:rPr>
      </w:pPr>
      <w:r w:rsidRPr="00364545">
        <w:br w:type="page"/>
      </w:r>
    </w:p>
    <w:tbl>
      <w:tblPr>
        <w:tblW w:w="6774" w:type="dxa"/>
        <w:jc w:val="center"/>
        <w:tblLayout w:type="fixed"/>
        <w:tblCellMar>
          <w:left w:w="70" w:type="dxa"/>
          <w:right w:w="70" w:type="dxa"/>
        </w:tblCellMar>
        <w:tblLook w:val="04A0" w:firstRow="1" w:lastRow="0" w:firstColumn="1" w:lastColumn="0" w:noHBand="0" w:noVBand="1"/>
      </w:tblPr>
      <w:tblGrid>
        <w:gridCol w:w="3166"/>
        <w:gridCol w:w="961"/>
        <w:gridCol w:w="961"/>
        <w:gridCol w:w="1686"/>
      </w:tblGrid>
      <w:tr w:rsidR="00B56301" w:rsidRPr="00364545" w14:paraId="1E0570BB" w14:textId="77777777" w:rsidTr="00B37B65">
        <w:trPr>
          <w:trHeight w:val="68"/>
          <w:jc w:val="center"/>
        </w:trPr>
        <w:tc>
          <w:tcPr>
            <w:tcW w:w="3283"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08AF52D"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DECA1BA" w14:textId="77777777" w:rsidR="00B56301" w:rsidRPr="00364545" w:rsidRDefault="00B56301" w:rsidP="00B37B65">
            <w:pPr>
              <w:jc w:val="center"/>
              <w:rPr>
                <w:rFonts w:asciiTheme="minorHAnsi" w:hAnsiTheme="minorHAnsi"/>
                <w:b/>
                <w:bCs/>
                <w:sz w:val="16"/>
                <w:szCs w:val="14"/>
              </w:rPr>
            </w:pPr>
            <w:r w:rsidRPr="00364545">
              <w:rPr>
                <w:b/>
                <w:sz w:val="18"/>
              </w:rPr>
              <w:t>2019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A05495D" w14:textId="77777777" w:rsidR="00B56301" w:rsidRPr="00364545" w:rsidRDefault="00B56301" w:rsidP="00B37B65">
            <w:pPr>
              <w:jc w:val="center"/>
              <w:rPr>
                <w:rFonts w:asciiTheme="minorHAnsi" w:hAnsiTheme="minorHAnsi"/>
                <w:b/>
                <w:bCs/>
                <w:sz w:val="16"/>
                <w:szCs w:val="14"/>
              </w:rPr>
            </w:pPr>
            <w:r w:rsidRPr="00364545">
              <w:rPr>
                <w:b/>
                <w:sz w:val="18"/>
              </w:rPr>
              <w:t>2020</w:t>
            </w:r>
          </w:p>
        </w:tc>
        <w:tc>
          <w:tcPr>
            <w:tcW w:w="1745" w:type="dxa"/>
            <w:tcBorders>
              <w:top w:val="single" w:sz="4" w:space="0" w:color="auto"/>
              <w:left w:val="nil"/>
              <w:bottom w:val="single" w:sz="4" w:space="0" w:color="auto"/>
              <w:right w:val="single" w:sz="4" w:space="0" w:color="auto"/>
            </w:tcBorders>
            <w:shd w:val="clear" w:color="000000" w:fill="CCFFFF"/>
            <w:noWrap/>
            <w:vAlign w:val="center"/>
            <w:hideMark/>
          </w:tcPr>
          <w:p w14:paraId="37DC6B19" w14:textId="77777777" w:rsidR="00B56301" w:rsidRPr="00364545" w:rsidRDefault="00B56301" w:rsidP="00B37B65">
            <w:pPr>
              <w:jc w:val="center"/>
              <w:rPr>
                <w:rFonts w:asciiTheme="minorHAnsi" w:hAnsiTheme="minorHAnsi"/>
                <w:b/>
                <w:bCs/>
                <w:sz w:val="16"/>
                <w:szCs w:val="14"/>
              </w:rPr>
            </w:pPr>
            <w:r w:rsidRPr="00364545">
              <w:rPr>
                <w:b/>
                <w:sz w:val="18"/>
              </w:rPr>
              <w:t>Change from base to latest reported year (%)</w:t>
            </w:r>
          </w:p>
        </w:tc>
      </w:tr>
      <w:tr w:rsidR="00B56301" w:rsidRPr="00364545" w14:paraId="748C337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1C276D2"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1. Energy</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C553BAB" w14:textId="77777777" w:rsidR="00B56301" w:rsidRPr="00364545" w:rsidRDefault="00B56301" w:rsidP="00B37B65">
            <w:pPr>
              <w:jc w:val="right"/>
              <w:rPr>
                <w:rFonts w:asciiTheme="minorHAnsi" w:hAnsiTheme="minorHAnsi"/>
                <w:sz w:val="16"/>
                <w:szCs w:val="14"/>
              </w:rPr>
            </w:pPr>
            <w:r w:rsidRPr="00364545">
              <w:rPr>
                <w:sz w:val="16"/>
              </w:rPr>
              <w:t>95,92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CDEDFBE" w14:textId="77777777" w:rsidR="00B56301" w:rsidRPr="00364545" w:rsidRDefault="00B56301" w:rsidP="00B37B65">
            <w:pPr>
              <w:jc w:val="right"/>
              <w:rPr>
                <w:rFonts w:asciiTheme="minorHAnsi" w:hAnsiTheme="minorHAnsi"/>
                <w:sz w:val="16"/>
                <w:szCs w:val="14"/>
              </w:rPr>
            </w:pPr>
            <w:r w:rsidRPr="00364545">
              <w:rPr>
                <w:sz w:val="16"/>
              </w:rPr>
              <w:t>85,10</w:t>
            </w:r>
          </w:p>
        </w:tc>
        <w:tc>
          <w:tcPr>
            <w:tcW w:w="1745" w:type="dxa"/>
            <w:tcBorders>
              <w:top w:val="single" w:sz="4" w:space="0" w:color="auto"/>
              <w:left w:val="nil"/>
              <w:bottom w:val="single" w:sz="4" w:space="0" w:color="auto"/>
              <w:right w:val="single" w:sz="4" w:space="0" w:color="auto"/>
            </w:tcBorders>
            <w:shd w:val="clear" w:color="000000" w:fill="CCFFFF"/>
            <w:noWrap/>
            <w:vAlign w:val="bottom"/>
            <w:hideMark/>
          </w:tcPr>
          <w:p w14:paraId="6D3A66F2" w14:textId="77777777" w:rsidR="00B56301" w:rsidRPr="00364545" w:rsidRDefault="00B56301" w:rsidP="00B37B65">
            <w:pPr>
              <w:jc w:val="right"/>
              <w:rPr>
                <w:rFonts w:asciiTheme="minorHAnsi" w:hAnsiTheme="minorHAnsi"/>
                <w:sz w:val="16"/>
                <w:szCs w:val="14"/>
              </w:rPr>
            </w:pPr>
            <w:r w:rsidRPr="00364545">
              <w:rPr>
                <w:sz w:val="16"/>
              </w:rPr>
              <w:t>-82,85</w:t>
            </w:r>
          </w:p>
        </w:tc>
      </w:tr>
      <w:tr w:rsidR="00B56301" w:rsidRPr="00364545" w14:paraId="23231D10" w14:textId="77777777" w:rsidTr="00B37B65">
        <w:trPr>
          <w:trHeight w:val="68"/>
          <w:jc w:val="center"/>
        </w:trPr>
        <w:tc>
          <w:tcPr>
            <w:tcW w:w="328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19F6F9D"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Fuel combustion (sectoral approach)</w:t>
            </w:r>
          </w:p>
        </w:tc>
        <w:tc>
          <w:tcPr>
            <w:tcW w:w="992" w:type="dxa"/>
            <w:tcBorders>
              <w:top w:val="nil"/>
              <w:left w:val="nil"/>
              <w:bottom w:val="single" w:sz="4" w:space="0" w:color="auto"/>
              <w:right w:val="single" w:sz="4" w:space="0" w:color="auto"/>
            </w:tcBorders>
            <w:shd w:val="clear" w:color="000000" w:fill="CCFFFF"/>
            <w:noWrap/>
            <w:vAlign w:val="bottom"/>
            <w:hideMark/>
          </w:tcPr>
          <w:p w14:paraId="1C89BEF7" w14:textId="77777777" w:rsidR="00B56301" w:rsidRPr="00364545" w:rsidRDefault="00B56301" w:rsidP="00B37B65">
            <w:pPr>
              <w:jc w:val="right"/>
              <w:rPr>
                <w:rFonts w:asciiTheme="minorHAnsi" w:hAnsiTheme="minorHAnsi"/>
                <w:sz w:val="16"/>
                <w:szCs w:val="14"/>
              </w:rPr>
            </w:pPr>
            <w:r w:rsidRPr="00364545">
              <w:rPr>
                <w:sz w:val="16"/>
              </w:rPr>
              <w:t>55,61</w:t>
            </w:r>
          </w:p>
        </w:tc>
        <w:tc>
          <w:tcPr>
            <w:tcW w:w="992" w:type="dxa"/>
            <w:tcBorders>
              <w:top w:val="nil"/>
              <w:left w:val="nil"/>
              <w:bottom w:val="single" w:sz="4" w:space="0" w:color="auto"/>
              <w:right w:val="single" w:sz="4" w:space="0" w:color="auto"/>
            </w:tcBorders>
            <w:shd w:val="clear" w:color="000000" w:fill="CCFFFF"/>
            <w:noWrap/>
            <w:vAlign w:val="bottom"/>
            <w:hideMark/>
          </w:tcPr>
          <w:p w14:paraId="6B6FD6E7" w14:textId="77777777" w:rsidR="00B56301" w:rsidRPr="00364545" w:rsidRDefault="00B56301" w:rsidP="00B37B65">
            <w:pPr>
              <w:jc w:val="right"/>
              <w:rPr>
                <w:rFonts w:asciiTheme="minorHAnsi" w:hAnsiTheme="minorHAnsi"/>
                <w:sz w:val="16"/>
                <w:szCs w:val="14"/>
              </w:rPr>
            </w:pPr>
            <w:r w:rsidRPr="00364545">
              <w:rPr>
                <w:sz w:val="16"/>
              </w:rPr>
              <w:t>51,05</w:t>
            </w:r>
          </w:p>
        </w:tc>
        <w:tc>
          <w:tcPr>
            <w:tcW w:w="1745" w:type="dxa"/>
            <w:tcBorders>
              <w:top w:val="nil"/>
              <w:left w:val="nil"/>
              <w:bottom w:val="single" w:sz="4" w:space="0" w:color="auto"/>
              <w:right w:val="single" w:sz="4" w:space="0" w:color="auto"/>
            </w:tcBorders>
            <w:shd w:val="clear" w:color="000000" w:fill="CCFFFF"/>
            <w:noWrap/>
            <w:vAlign w:val="bottom"/>
            <w:hideMark/>
          </w:tcPr>
          <w:p w14:paraId="3C945F91" w14:textId="77777777" w:rsidR="00B56301" w:rsidRPr="00364545" w:rsidRDefault="00B56301" w:rsidP="00B37B65">
            <w:pPr>
              <w:jc w:val="right"/>
              <w:rPr>
                <w:rFonts w:asciiTheme="minorHAnsi" w:hAnsiTheme="minorHAnsi"/>
                <w:sz w:val="16"/>
                <w:szCs w:val="14"/>
              </w:rPr>
            </w:pPr>
            <w:r w:rsidRPr="00364545">
              <w:rPr>
                <w:sz w:val="16"/>
              </w:rPr>
              <w:t>-77,96</w:t>
            </w:r>
          </w:p>
        </w:tc>
      </w:tr>
      <w:tr w:rsidR="00B56301" w:rsidRPr="00364545" w14:paraId="1765015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51EAB0F" w14:textId="57CD730B"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Energy industries</w:t>
            </w:r>
          </w:p>
        </w:tc>
        <w:tc>
          <w:tcPr>
            <w:tcW w:w="992" w:type="dxa"/>
            <w:tcBorders>
              <w:top w:val="nil"/>
              <w:left w:val="nil"/>
              <w:bottom w:val="single" w:sz="4" w:space="0" w:color="auto"/>
              <w:right w:val="single" w:sz="4" w:space="0" w:color="auto"/>
            </w:tcBorders>
            <w:shd w:val="clear" w:color="000000" w:fill="FFFFFF"/>
            <w:noWrap/>
            <w:vAlign w:val="bottom"/>
            <w:hideMark/>
          </w:tcPr>
          <w:p w14:paraId="5495136C" w14:textId="77777777" w:rsidR="00B56301" w:rsidRPr="00364545" w:rsidRDefault="00B56301" w:rsidP="00B37B65">
            <w:pPr>
              <w:jc w:val="right"/>
              <w:rPr>
                <w:rFonts w:asciiTheme="minorHAnsi" w:hAnsiTheme="minorHAnsi"/>
                <w:sz w:val="16"/>
                <w:szCs w:val="14"/>
              </w:rPr>
            </w:pPr>
            <w:r w:rsidRPr="00364545">
              <w:rPr>
                <w:sz w:val="16"/>
              </w:rPr>
              <w:t>1,97</w:t>
            </w:r>
          </w:p>
        </w:tc>
        <w:tc>
          <w:tcPr>
            <w:tcW w:w="992" w:type="dxa"/>
            <w:tcBorders>
              <w:top w:val="nil"/>
              <w:left w:val="nil"/>
              <w:bottom w:val="single" w:sz="4" w:space="0" w:color="auto"/>
              <w:right w:val="single" w:sz="4" w:space="0" w:color="auto"/>
            </w:tcBorders>
            <w:shd w:val="clear" w:color="000000" w:fill="FFFFFF"/>
            <w:noWrap/>
            <w:vAlign w:val="bottom"/>
            <w:hideMark/>
          </w:tcPr>
          <w:p w14:paraId="7617002E" w14:textId="77777777" w:rsidR="00B56301" w:rsidRPr="00364545" w:rsidRDefault="00B56301" w:rsidP="00B37B65">
            <w:pPr>
              <w:jc w:val="right"/>
              <w:rPr>
                <w:rFonts w:asciiTheme="minorHAnsi" w:hAnsiTheme="minorHAnsi"/>
                <w:sz w:val="16"/>
                <w:szCs w:val="14"/>
              </w:rPr>
            </w:pPr>
            <w:r w:rsidRPr="00364545">
              <w:rPr>
                <w:sz w:val="16"/>
              </w:rPr>
              <w:t>1,80</w:t>
            </w:r>
          </w:p>
        </w:tc>
        <w:tc>
          <w:tcPr>
            <w:tcW w:w="1745" w:type="dxa"/>
            <w:tcBorders>
              <w:top w:val="nil"/>
              <w:left w:val="nil"/>
              <w:bottom w:val="single" w:sz="4" w:space="0" w:color="auto"/>
              <w:right w:val="single" w:sz="4" w:space="0" w:color="auto"/>
            </w:tcBorders>
            <w:shd w:val="clear" w:color="000000" w:fill="FFFFFF"/>
            <w:noWrap/>
            <w:vAlign w:val="bottom"/>
            <w:hideMark/>
          </w:tcPr>
          <w:p w14:paraId="6B6EDEC4" w14:textId="77777777" w:rsidR="00B56301" w:rsidRPr="00364545" w:rsidRDefault="00B56301" w:rsidP="00B37B65">
            <w:pPr>
              <w:jc w:val="right"/>
              <w:rPr>
                <w:rFonts w:asciiTheme="minorHAnsi" w:hAnsiTheme="minorHAnsi"/>
                <w:sz w:val="16"/>
                <w:szCs w:val="14"/>
              </w:rPr>
            </w:pPr>
            <w:r w:rsidRPr="00364545">
              <w:rPr>
                <w:sz w:val="16"/>
              </w:rPr>
              <w:t>-31,86</w:t>
            </w:r>
          </w:p>
        </w:tc>
      </w:tr>
      <w:tr w:rsidR="00B56301" w:rsidRPr="00364545" w14:paraId="0B9910B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8F1FF84" w14:textId="7FC34C00"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Manufacturing industries and construction</w:t>
            </w:r>
          </w:p>
        </w:tc>
        <w:tc>
          <w:tcPr>
            <w:tcW w:w="992" w:type="dxa"/>
            <w:tcBorders>
              <w:top w:val="nil"/>
              <w:left w:val="nil"/>
              <w:bottom w:val="single" w:sz="4" w:space="0" w:color="auto"/>
              <w:right w:val="single" w:sz="4" w:space="0" w:color="auto"/>
            </w:tcBorders>
            <w:shd w:val="clear" w:color="000000" w:fill="FFFFFF"/>
            <w:noWrap/>
            <w:vAlign w:val="bottom"/>
            <w:hideMark/>
          </w:tcPr>
          <w:p w14:paraId="16E41D4F" w14:textId="77777777" w:rsidR="00B56301" w:rsidRPr="00364545" w:rsidRDefault="00B56301" w:rsidP="00B37B65">
            <w:pPr>
              <w:jc w:val="right"/>
              <w:rPr>
                <w:rFonts w:asciiTheme="minorHAnsi" w:hAnsiTheme="minorHAnsi"/>
                <w:sz w:val="16"/>
                <w:szCs w:val="14"/>
              </w:rPr>
            </w:pPr>
            <w:r w:rsidRPr="00364545">
              <w:rPr>
                <w:sz w:val="16"/>
              </w:rPr>
              <w:t>3,95</w:t>
            </w:r>
          </w:p>
        </w:tc>
        <w:tc>
          <w:tcPr>
            <w:tcW w:w="992" w:type="dxa"/>
            <w:tcBorders>
              <w:top w:val="nil"/>
              <w:left w:val="nil"/>
              <w:bottom w:val="single" w:sz="4" w:space="0" w:color="auto"/>
              <w:right w:val="single" w:sz="4" w:space="0" w:color="auto"/>
            </w:tcBorders>
            <w:shd w:val="clear" w:color="000000" w:fill="FFFFFF"/>
            <w:noWrap/>
            <w:vAlign w:val="bottom"/>
            <w:hideMark/>
          </w:tcPr>
          <w:p w14:paraId="48451593" w14:textId="77777777" w:rsidR="00B56301" w:rsidRPr="00364545" w:rsidRDefault="00B56301" w:rsidP="00B37B65">
            <w:pPr>
              <w:jc w:val="right"/>
              <w:rPr>
                <w:rFonts w:asciiTheme="minorHAnsi" w:hAnsiTheme="minorHAnsi"/>
                <w:sz w:val="16"/>
                <w:szCs w:val="14"/>
              </w:rPr>
            </w:pPr>
            <w:r w:rsidRPr="00364545">
              <w:rPr>
                <w:sz w:val="16"/>
              </w:rPr>
              <w:t>3,83</w:t>
            </w:r>
          </w:p>
        </w:tc>
        <w:tc>
          <w:tcPr>
            <w:tcW w:w="1745" w:type="dxa"/>
            <w:tcBorders>
              <w:top w:val="nil"/>
              <w:left w:val="nil"/>
              <w:bottom w:val="single" w:sz="4" w:space="0" w:color="auto"/>
              <w:right w:val="single" w:sz="4" w:space="0" w:color="auto"/>
            </w:tcBorders>
            <w:shd w:val="clear" w:color="000000" w:fill="FFFFFF"/>
            <w:noWrap/>
            <w:vAlign w:val="bottom"/>
            <w:hideMark/>
          </w:tcPr>
          <w:p w14:paraId="1D5972E2" w14:textId="77777777" w:rsidR="00B56301" w:rsidRPr="00364545" w:rsidRDefault="00B56301" w:rsidP="00B37B65">
            <w:pPr>
              <w:jc w:val="right"/>
              <w:rPr>
                <w:rFonts w:asciiTheme="minorHAnsi" w:hAnsiTheme="minorHAnsi"/>
                <w:sz w:val="16"/>
                <w:szCs w:val="14"/>
              </w:rPr>
            </w:pPr>
            <w:r w:rsidRPr="00364545">
              <w:rPr>
                <w:sz w:val="16"/>
              </w:rPr>
              <w:t>-1,24</w:t>
            </w:r>
          </w:p>
        </w:tc>
      </w:tr>
      <w:tr w:rsidR="00B56301" w:rsidRPr="00364545" w14:paraId="4601006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A22C9F9" w14:textId="0247A87F"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3. Transport</w:t>
            </w:r>
          </w:p>
        </w:tc>
        <w:tc>
          <w:tcPr>
            <w:tcW w:w="992" w:type="dxa"/>
            <w:tcBorders>
              <w:top w:val="nil"/>
              <w:left w:val="nil"/>
              <w:bottom w:val="single" w:sz="4" w:space="0" w:color="auto"/>
              <w:right w:val="single" w:sz="4" w:space="0" w:color="auto"/>
            </w:tcBorders>
            <w:shd w:val="clear" w:color="000000" w:fill="FFFFFF"/>
            <w:noWrap/>
            <w:vAlign w:val="bottom"/>
            <w:hideMark/>
          </w:tcPr>
          <w:p w14:paraId="73AAFD3E" w14:textId="77777777" w:rsidR="00B56301" w:rsidRPr="00364545" w:rsidRDefault="00B56301" w:rsidP="00B37B65">
            <w:pPr>
              <w:jc w:val="right"/>
              <w:rPr>
                <w:rFonts w:asciiTheme="minorHAnsi" w:hAnsiTheme="minorHAnsi"/>
                <w:sz w:val="16"/>
                <w:szCs w:val="14"/>
              </w:rPr>
            </w:pPr>
            <w:r w:rsidRPr="00364545">
              <w:rPr>
                <w:sz w:val="16"/>
              </w:rPr>
              <w:t>6,62</w:t>
            </w:r>
          </w:p>
        </w:tc>
        <w:tc>
          <w:tcPr>
            <w:tcW w:w="992" w:type="dxa"/>
            <w:tcBorders>
              <w:top w:val="nil"/>
              <w:left w:val="nil"/>
              <w:bottom w:val="single" w:sz="4" w:space="0" w:color="auto"/>
              <w:right w:val="single" w:sz="4" w:space="0" w:color="auto"/>
            </w:tcBorders>
            <w:shd w:val="clear" w:color="000000" w:fill="FFFFFF"/>
            <w:noWrap/>
            <w:vAlign w:val="bottom"/>
            <w:hideMark/>
          </w:tcPr>
          <w:p w14:paraId="01C21EAD" w14:textId="77777777" w:rsidR="00B56301" w:rsidRPr="00364545" w:rsidRDefault="00B56301" w:rsidP="00B37B65">
            <w:pPr>
              <w:jc w:val="right"/>
              <w:rPr>
                <w:rFonts w:asciiTheme="minorHAnsi" w:hAnsiTheme="minorHAnsi"/>
                <w:sz w:val="16"/>
                <w:szCs w:val="14"/>
              </w:rPr>
            </w:pPr>
            <w:r w:rsidRPr="00364545">
              <w:rPr>
                <w:sz w:val="16"/>
              </w:rPr>
              <w:t>5,73</w:t>
            </w:r>
          </w:p>
        </w:tc>
        <w:tc>
          <w:tcPr>
            <w:tcW w:w="1745" w:type="dxa"/>
            <w:tcBorders>
              <w:top w:val="nil"/>
              <w:left w:val="nil"/>
              <w:bottom w:val="single" w:sz="4" w:space="0" w:color="auto"/>
              <w:right w:val="single" w:sz="4" w:space="0" w:color="auto"/>
            </w:tcBorders>
            <w:shd w:val="clear" w:color="000000" w:fill="FFFFFF"/>
            <w:noWrap/>
            <w:vAlign w:val="bottom"/>
            <w:hideMark/>
          </w:tcPr>
          <w:p w14:paraId="0F1F7CBC" w14:textId="77777777" w:rsidR="00B56301" w:rsidRPr="00364545" w:rsidRDefault="00B56301" w:rsidP="00B37B65">
            <w:pPr>
              <w:jc w:val="right"/>
              <w:rPr>
                <w:rFonts w:asciiTheme="minorHAnsi" w:hAnsiTheme="minorHAnsi"/>
                <w:sz w:val="16"/>
                <w:szCs w:val="14"/>
              </w:rPr>
            </w:pPr>
            <w:r w:rsidRPr="00364545">
              <w:rPr>
                <w:sz w:val="16"/>
              </w:rPr>
              <w:t>-85,34</w:t>
            </w:r>
          </w:p>
        </w:tc>
      </w:tr>
      <w:tr w:rsidR="00B56301" w:rsidRPr="00364545" w14:paraId="18ABC8D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F78700B" w14:textId="1217B36E"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4. Other sectors</w:t>
            </w:r>
          </w:p>
        </w:tc>
        <w:tc>
          <w:tcPr>
            <w:tcW w:w="992" w:type="dxa"/>
            <w:tcBorders>
              <w:top w:val="nil"/>
              <w:left w:val="nil"/>
              <w:bottom w:val="single" w:sz="4" w:space="0" w:color="auto"/>
              <w:right w:val="single" w:sz="4" w:space="0" w:color="auto"/>
            </w:tcBorders>
            <w:shd w:val="clear" w:color="000000" w:fill="FFFFFF"/>
            <w:noWrap/>
            <w:vAlign w:val="bottom"/>
            <w:hideMark/>
          </w:tcPr>
          <w:p w14:paraId="3A6F1191" w14:textId="77777777" w:rsidR="00B56301" w:rsidRPr="00364545" w:rsidRDefault="00B56301" w:rsidP="00B37B65">
            <w:pPr>
              <w:jc w:val="right"/>
              <w:rPr>
                <w:rFonts w:asciiTheme="minorHAnsi" w:hAnsiTheme="minorHAnsi"/>
                <w:sz w:val="16"/>
                <w:szCs w:val="14"/>
              </w:rPr>
            </w:pPr>
            <w:r w:rsidRPr="00364545">
              <w:rPr>
                <w:sz w:val="16"/>
              </w:rPr>
              <w:t>42,98</w:t>
            </w:r>
          </w:p>
        </w:tc>
        <w:tc>
          <w:tcPr>
            <w:tcW w:w="992" w:type="dxa"/>
            <w:tcBorders>
              <w:top w:val="nil"/>
              <w:left w:val="nil"/>
              <w:bottom w:val="single" w:sz="4" w:space="0" w:color="auto"/>
              <w:right w:val="single" w:sz="4" w:space="0" w:color="auto"/>
            </w:tcBorders>
            <w:shd w:val="clear" w:color="000000" w:fill="FFFFFF"/>
            <w:noWrap/>
            <w:vAlign w:val="bottom"/>
            <w:hideMark/>
          </w:tcPr>
          <w:p w14:paraId="5201AAA9" w14:textId="77777777" w:rsidR="00B56301" w:rsidRPr="00364545" w:rsidRDefault="00B56301" w:rsidP="00B37B65">
            <w:pPr>
              <w:jc w:val="right"/>
              <w:rPr>
                <w:rFonts w:asciiTheme="minorHAnsi" w:hAnsiTheme="minorHAnsi"/>
                <w:sz w:val="16"/>
                <w:szCs w:val="14"/>
              </w:rPr>
            </w:pPr>
            <w:r w:rsidRPr="00364545">
              <w:rPr>
                <w:sz w:val="16"/>
              </w:rPr>
              <w:t>39,61</w:t>
            </w:r>
          </w:p>
        </w:tc>
        <w:tc>
          <w:tcPr>
            <w:tcW w:w="1745" w:type="dxa"/>
            <w:tcBorders>
              <w:top w:val="nil"/>
              <w:left w:val="nil"/>
              <w:bottom w:val="single" w:sz="4" w:space="0" w:color="auto"/>
              <w:right w:val="single" w:sz="4" w:space="0" w:color="auto"/>
            </w:tcBorders>
            <w:shd w:val="clear" w:color="000000" w:fill="FFFFFF"/>
            <w:noWrap/>
            <w:vAlign w:val="bottom"/>
            <w:hideMark/>
          </w:tcPr>
          <w:p w14:paraId="24FCFE12" w14:textId="77777777" w:rsidR="00B56301" w:rsidRPr="00364545" w:rsidRDefault="00B56301" w:rsidP="00B37B65">
            <w:pPr>
              <w:jc w:val="right"/>
              <w:rPr>
                <w:rFonts w:asciiTheme="minorHAnsi" w:hAnsiTheme="minorHAnsi"/>
                <w:sz w:val="16"/>
                <w:szCs w:val="14"/>
              </w:rPr>
            </w:pPr>
            <w:r w:rsidRPr="00364545">
              <w:rPr>
                <w:sz w:val="16"/>
              </w:rPr>
              <w:t>-78,70</w:t>
            </w:r>
          </w:p>
        </w:tc>
      </w:tr>
      <w:tr w:rsidR="00B56301" w:rsidRPr="00364545" w14:paraId="171FC3B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1459556" w14:textId="324B4BA5"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5. Other</w:t>
            </w:r>
          </w:p>
        </w:tc>
        <w:tc>
          <w:tcPr>
            <w:tcW w:w="992" w:type="dxa"/>
            <w:tcBorders>
              <w:top w:val="nil"/>
              <w:left w:val="nil"/>
              <w:bottom w:val="single" w:sz="4" w:space="0" w:color="auto"/>
              <w:right w:val="single" w:sz="4" w:space="0" w:color="auto"/>
            </w:tcBorders>
            <w:shd w:val="clear" w:color="000000" w:fill="FFFFFF"/>
            <w:noWrap/>
            <w:vAlign w:val="bottom"/>
            <w:hideMark/>
          </w:tcPr>
          <w:p w14:paraId="357ECFEC" w14:textId="77777777" w:rsidR="00B56301" w:rsidRPr="00364545" w:rsidRDefault="00B56301" w:rsidP="00B37B65">
            <w:pPr>
              <w:jc w:val="right"/>
              <w:rPr>
                <w:rFonts w:asciiTheme="minorHAnsi" w:hAnsiTheme="minorHAnsi"/>
                <w:sz w:val="16"/>
                <w:szCs w:val="14"/>
              </w:rPr>
            </w:pPr>
            <w:r w:rsidRPr="00364545">
              <w:rPr>
                <w:sz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5CFB55BE" w14:textId="77777777" w:rsidR="00B56301" w:rsidRPr="00364545" w:rsidRDefault="00B56301" w:rsidP="00B37B65">
            <w:pPr>
              <w:jc w:val="right"/>
              <w:rPr>
                <w:rFonts w:asciiTheme="minorHAnsi" w:hAnsiTheme="minorHAnsi"/>
                <w:sz w:val="16"/>
                <w:szCs w:val="14"/>
              </w:rPr>
            </w:pPr>
            <w:r w:rsidRPr="00364545">
              <w:rPr>
                <w:sz w:val="16"/>
              </w:rPr>
              <w:t>0,08</w:t>
            </w:r>
          </w:p>
        </w:tc>
        <w:tc>
          <w:tcPr>
            <w:tcW w:w="1745" w:type="dxa"/>
            <w:tcBorders>
              <w:top w:val="nil"/>
              <w:left w:val="nil"/>
              <w:bottom w:val="single" w:sz="4" w:space="0" w:color="auto"/>
              <w:right w:val="single" w:sz="4" w:space="0" w:color="auto"/>
            </w:tcBorders>
            <w:shd w:val="clear" w:color="000000" w:fill="FFFFFF"/>
            <w:noWrap/>
            <w:vAlign w:val="bottom"/>
            <w:hideMark/>
          </w:tcPr>
          <w:p w14:paraId="31153F07" w14:textId="77777777" w:rsidR="00B56301" w:rsidRPr="00364545" w:rsidRDefault="00B56301" w:rsidP="00B37B65">
            <w:pPr>
              <w:jc w:val="right"/>
              <w:rPr>
                <w:rFonts w:asciiTheme="minorHAnsi" w:hAnsiTheme="minorHAnsi"/>
                <w:sz w:val="16"/>
                <w:szCs w:val="14"/>
              </w:rPr>
            </w:pPr>
            <w:r w:rsidRPr="00364545">
              <w:rPr>
                <w:sz w:val="16"/>
              </w:rPr>
              <w:t>-32,28</w:t>
            </w:r>
          </w:p>
        </w:tc>
      </w:tr>
      <w:tr w:rsidR="00B56301" w:rsidRPr="00364545" w14:paraId="61ED7FD7"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8A3101A" w14:textId="7777777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Fugitive emissions from fuels</w:t>
            </w:r>
          </w:p>
        </w:tc>
        <w:tc>
          <w:tcPr>
            <w:tcW w:w="992" w:type="dxa"/>
            <w:tcBorders>
              <w:top w:val="nil"/>
              <w:left w:val="nil"/>
              <w:bottom w:val="single" w:sz="4" w:space="0" w:color="auto"/>
              <w:right w:val="single" w:sz="4" w:space="0" w:color="auto"/>
            </w:tcBorders>
            <w:shd w:val="clear" w:color="000000" w:fill="CCFFFF"/>
            <w:noWrap/>
            <w:vAlign w:val="bottom"/>
            <w:hideMark/>
          </w:tcPr>
          <w:p w14:paraId="62AD9520" w14:textId="77777777" w:rsidR="00B56301" w:rsidRPr="00364545" w:rsidRDefault="00B56301" w:rsidP="00B37B65">
            <w:pPr>
              <w:jc w:val="right"/>
              <w:rPr>
                <w:rFonts w:asciiTheme="minorHAnsi" w:hAnsiTheme="minorHAnsi"/>
                <w:sz w:val="16"/>
                <w:szCs w:val="14"/>
              </w:rPr>
            </w:pPr>
            <w:r w:rsidRPr="00364545">
              <w:rPr>
                <w:sz w:val="16"/>
              </w:rPr>
              <w:t>40,30</w:t>
            </w:r>
          </w:p>
        </w:tc>
        <w:tc>
          <w:tcPr>
            <w:tcW w:w="992" w:type="dxa"/>
            <w:tcBorders>
              <w:top w:val="nil"/>
              <w:left w:val="nil"/>
              <w:bottom w:val="single" w:sz="4" w:space="0" w:color="auto"/>
              <w:right w:val="single" w:sz="4" w:space="0" w:color="auto"/>
            </w:tcBorders>
            <w:shd w:val="clear" w:color="000000" w:fill="CCFFFF"/>
            <w:noWrap/>
            <w:vAlign w:val="bottom"/>
            <w:hideMark/>
          </w:tcPr>
          <w:p w14:paraId="383EEB1B" w14:textId="77777777" w:rsidR="00B56301" w:rsidRPr="00364545" w:rsidRDefault="00B56301" w:rsidP="00B37B65">
            <w:pPr>
              <w:jc w:val="right"/>
              <w:rPr>
                <w:rFonts w:asciiTheme="minorHAnsi" w:hAnsiTheme="minorHAnsi"/>
                <w:sz w:val="16"/>
                <w:szCs w:val="14"/>
              </w:rPr>
            </w:pPr>
            <w:r w:rsidRPr="00364545">
              <w:rPr>
                <w:sz w:val="16"/>
              </w:rPr>
              <w:t>34,05</w:t>
            </w:r>
          </w:p>
        </w:tc>
        <w:tc>
          <w:tcPr>
            <w:tcW w:w="1745" w:type="dxa"/>
            <w:tcBorders>
              <w:top w:val="nil"/>
              <w:left w:val="nil"/>
              <w:bottom w:val="single" w:sz="4" w:space="0" w:color="auto"/>
              <w:right w:val="single" w:sz="4" w:space="0" w:color="auto"/>
            </w:tcBorders>
            <w:shd w:val="clear" w:color="000000" w:fill="CCFFFF"/>
            <w:noWrap/>
            <w:vAlign w:val="bottom"/>
            <w:hideMark/>
          </w:tcPr>
          <w:p w14:paraId="60CE35A9" w14:textId="77777777" w:rsidR="00B56301" w:rsidRPr="00364545" w:rsidRDefault="00B56301" w:rsidP="00B37B65">
            <w:pPr>
              <w:jc w:val="right"/>
              <w:rPr>
                <w:rFonts w:asciiTheme="minorHAnsi" w:hAnsiTheme="minorHAnsi"/>
                <w:sz w:val="16"/>
                <w:szCs w:val="14"/>
              </w:rPr>
            </w:pPr>
            <w:r w:rsidRPr="00364545">
              <w:rPr>
                <w:sz w:val="16"/>
              </w:rPr>
              <w:t>-87,13</w:t>
            </w:r>
          </w:p>
        </w:tc>
      </w:tr>
      <w:tr w:rsidR="00B56301" w:rsidRPr="00364545" w14:paraId="01C67DB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6F4E4713" w14:textId="0DA1CAC4"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1. Solid fuels</w:t>
            </w:r>
          </w:p>
        </w:tc>
        <w:tc>
          <w:tcPr>
            <w:tcW w:w="992" w:type="dxa"/>
            <w:tcBorders>
              <w:top w:val="nil"/>
              <w:left w:val="nil"/>
              <w:bottom w:val="single" w:sz="4" w:space="0" w:color="auto"/>
              <w:right w:val="single" w:sz="4" w:space="0" w:color="auto"/>
            </w:tcBorders>
            <w:shd w:val="clear" w:color="000000" w:fill="FFFFFF"/>
            <w:noWrap/>
            <w:vAlign w:val="bottom"/>
            <w:hideMark/>
          </w:tcPr>
          <w:p w14:paraId="29099A4A" w14:textId="77777777" w:rsidR="00B56301" w:rsidRPr="00364545" w:rsidRDefault="00B56301" w:rsidP="00B37B65">
            <w:pPr>
              <w:jc w:val="right"/>
              <w:rPr>
                <w:rFonts w:asciiTheme="minorHAnsi" w:hAnsiTheme="minorHAnsi"/>
                <w:sz w:val="16"/>
                <w:szCs w:val="14"/>
              </w:rPr>
            </w:pPr>
            <w:r w:rsidRPr="00364545">
              <w:rPr>
                <w:sz w:val="16"/>
              </w:rPr>
              <w:t>0,58</w:t>
            </w:r>
          </w:p>
        </w:tc>
        <w:tc>
          <w:tcPr>
            <w:tcW w:w="992" w:type="dxa"/>
            <w:tcBorders>
              <w:top w:val="nil"/>
              <w:left w:val="nil"/>
              <w:bottom w:val="single" w:sz="4" w:space="0" w:color="auto"/>
              <w:right w:val="single" w:sz="4" w:space="0" w:color="auto"/>
            </w:tcBorders>
            <w:shd w:val="clear" w:color="000000" w:fill="FFFFFF"/>
            <w:noWrap/>
            <w:vAlign w:val="bottom"/>
            <w:hideMark/>
          </w:tcPr>
          <w:p w14:paraId="7070E26B" w14:textId="77777777" w:rsidR="00B56301" w:rsidRPr="00364545" w:rsidRDefault="00B56301" w:rsidP="00B37B65">
            <w:pPr>
              <w:jc w:val="right"/>
              <w:rPr>
                <w:rFonts w:asciiTheme="minorHAnsi" w:hAnsiTheme="minorHAnsi"/>
                <w:sz w:val="16"/>
                <w:szCs w:val="14"/>
              </w:rPr>
            </w:pPr>
            <w:r w:rsidRPr="00364545">
              <w:rPr>
                <w:sz w:val="16"/>
              </w:rPr>
              <w:t>1,02</w:t>
            </w:r>
          </w:p>
        </w:tc>
        <w:tc>
          <w:tcPr>
            <w:tcW w:w="1745" w:type="dxa"/>
            <w:tcBorders>
              <w:top w:val="nil"/>
              <w:left w:val="nil"/>
              <w:bottom w:val="single" w:sz="4" w:space="0" w:color="auto"/>
              <w:right w:val="single" w:sz="4" w:space="0" w:color="auto"/>
            </w:tcBorders>
            <w:shd w:val="clear" w:color="000000" w:fill="FFFFFF"/>
            <w:noWrap/>
            <w:vAlign w:val="bottom"/>
            <w:hideMark/>
          </w:tcPr>
          <w:p w14:paraId="35AB2566" w14:textId="77777777" w:rsidR="00B56301" w:rsidRPr="00364545" w:rsidRDefault="00B56301" w:rsidP="00B37B65">
            <w:pPr>
              <w:jc w:val="right"/>
              <w:rPr>
                <w:rFonts w:asciiTheme="minorHAnsi" w:hAnsiTheme="minorHAnsi"/>
                <w:sz w:val="16"/>
                <w:szCs w:val="14"/>
              </w:rPr>
            </w:pPr>
            <w:r w:rsidRPr="00364545">
              <w:rPr>
                <w:sz w:val="16"/>
              </w:rPr>
              <w:t>-99,47</w:t>
            </w:r>
          </w:p>
        </w:tc>
      </w:tr>
      <w:tr w:rsidR="00B56301" w:rsidRPr="00364545" w14:paraId="09A8AC2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6D1B025" w14:textId="12EC822B" w:rsidR="00B56301" w:rsidRPr="00364545" w:rsidRDefault="00B56301" w:rsidP="00B37B65">
            <w:pPr>
              <w:ind w:firstLineChars="500" w:firstLine="800"/>
              <w:jc w:val="left"/>
              <w:rPr>
                <w:rFonts w:asciiTheme="minorHAnsi" w:hAnsiTheme="minorHAnsi"/>
                <w:sz w:val="16"/>
                <w:szCs w:val="14"/>
              </w:rPr>
            </w:pPr>
            <w:r w:rsidRPr="00364545">
              <w:rPr>
                <w:rFonts w:asciiTheme="minorHAnsi" w:hAnsiTheme="minorHAnsi"/>
                <w:sz w:val="16"/>
              </w:rPr>
              <w:t>2. Oil and natural gas and other emissions from energy production</w:t>
            </w:r>
          </w:p>
        </w:tc>
        <w:tc>
          <w:tcPr>
            <w:tcW w:w="992" w:type="dxa"/>
            <w:tcBorders>
              <w:top w:val="nil"/>
              <w:left w:val="nil"/>
              <w:bottom w:val="single" w:sz="4" w:space="0" w:color="auto"/>
              <w:right w:val="single" w:sz="4" w:space="0" w:color="auto"/>
            </w:tcBorders>
            <w:shd w:val="clear" w:color="000000" w:fill="FFFFFF"/>
            <w:noWrap/>
            <w:vAlign w:val="bottom"/>
            <w:hideMark/>
          </w:tcPr>
          <w:p w14:paraId="255F4D0B" w14:textId="77777777" w:rsidR="00B56301" w:rsidRPr="00364545" w:rsidRDefault="00B56301" w:rsidP="00B37B65">
            <w:pPr>
              <w:jc w:val="right"/>
              <w:rPr>
                <w:rFonts w:asciiTheme="minorHAnsi" w:hAnsiTheme="minorHAnsi"/>
                <w:sz w:val="16"/>
                <w:szCs w:val="14"/>
              </w:rPr>
            </w:pPr>
            <w:r w:rsidRPr="00364545">
              <w:rPr>
                <w:sz w:val="16"/>
              </w:rPr>
              <w:t>39,72</w:t>
            </w:r>
          </w:p>
        </w:tc>
        <w:tc>
          <w:tcPr>
            <w:tcW w:w="992" w:type="dxa"/>
            <w:tcBorders>
              <w:top w:val="nil"/>
              <w:left w:val="nil"/>
              <w:bottom w:val="single" w:sz="4" w:space="0" w:color="auto"/>
              <w:right w:val="single" w:sz="4" w:space="0" w:color="auto"/>
            </w:tcBorders>
            <w:shd w:val="clear" w:color="000000" w:fill="FFFFFF"/>
            <w:noWrap/>
            <w:vAlign w:val="bottom"/>
            <w:hideMark/>
          </w:tcPr>
          <w:p w14:paraId="541B620E" w14:textId="77777777" w:rsidR="00B56301" w:rsidRPr="00364545" w:rsidRDefault="00B56301" w:rsidP="00B37B65">
            <w:pPr>
              <w:jc w:val="right"/>
              <w:rPr>
                <w:rFonts w:asciiTheme="minorHAnsi" w:hAnsiTheme="minorHAnsi"/>
                <w:sz w:val="16"/>
                <w:szCs w:val="14"/>
              </w:rPr>
            </w:pPr>
            <w:r w:rsidRPr="00364545">
              <w:rPr>
                <w:sz w:val="16"/>
              </w:rPr>
              <w:t>33,03</w:t>
            </w:r>
          </w:p>
        </w:tc>
        <w:tc>
          <w:tcPr>
            <w:tcW w:w="1745" w:type="dxa"/>
            <w:tcBorders>
              <w:top w:val="nil"/>
              <w:left w:val="nil"/>
              <w:bottom w:val="single" w:sz="4" w:space="0" w:color="auto"/>
              <w:right w:val="single" w:sz="4" w:space="0" w:color="auto"/>
            </w:tcBorders>
            <w:shd w:val="clear" w:color="000000" w:fill="FFFFFF"/>
            <w:noWrap/>
            <w:vAlign w:val="bottom"/>
            <w:hideMark/>
          </w:tcPr>
          <w:p w14:paraId="398DA2BB" w14:textId="77777777" w:rsidR="00B56301" w:rsidRPr="00364545" w:rsidRDefault="00B56301" w:rsidP="00B37B65">
            <w:pPr>
              <w:jc w:val="right"/>
              <w:rPr>
                <w:rFonts w:asciiTheme="minorHAnsi" w:hAnsiTheme="minorHAnsi"/>
                <w:sz w:val="16"/>
                <w:szCs w:val="14"/>
              </w:rPr>
            </w:pPr>
            <w:r w:rsidRPr="00364545">
              <w:rPr>
                <w:sz w:val="16"/>
              </w:rPr>
              <w:t>-54,16</w:t>
            </w:r>
          </w:p>
        </w:tc>
      </w:tr>
      <w:tr w:rsidR="00B56301" w:rsidRPr="00364545" w14:paraId="48DDC85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6E08A24" w14:textId="1E97E6A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2" w:type="dxa"/>
            <w:tcBorders>
              <w:top w:val="nil"/>
              <w:left w:val="nil"/>
              <w:bottom w:val="single" w:sz="4" w:space="0" w:color="auto"/>
              <w:right w:val="single" w:sz="4" w:space="0" w:color="auto"/>
            </w:tcBorders>
            <w:shd w:val="clear" w:color="000000" w:fill="969696"/>
            <w:noWrap/>
            <w:vAlign w:val="bottom"/>
            <w:hideMark/>
          </w:tcPr>
          <w:p w14:paraId="0F204F3D"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58C8790"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5B398630"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50CCDB95"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F5B7077" w14:textId="164A719B"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2. Industrial processes</w:t>
            </w:r>
          </w:p>
        </w:tc>
        <w:tc>
          <w:tcPr>
            <w:tcW w:w="992" w:type="dxa"/>
            <w:tcBorders>
              <w:top w:val="nil"/>
              <w:left w:val="nil"/>
              <w:bottom w:val="single" w:sz="4" w:space="0" w:color="auto"/>
              <w:right w:val="single" w:sz="4" w:space="0" w:color="auto"/>
            </w:tcBorders>
            <w:shd w:val="clear" w:color="000000" w:fill="CCFFFF"/>
            <w:noWrap/>
            <w:vAlign w:val="bottom"/>
            <w:hideMark/>
          </w:tcPr>
          <w:p w14:paraId="71F694A4" w14:textId="77777777" w:rsidR="00B56301" w:rsidRPr="00364545" w:rsidRDefault="00B56301" w:rsidP="00B37B65">
            <w:pPr>
              <w:jc w:val="right"/>
              <w:rPr>
                <w:rFonts w:asciiTheme="minorHAnsi" w:hAnsiTheme="minorHAnsi"/>
                <w:sz w:val="16"/>
                <w:szCs w:val="14"/>
              </w:rPr>
            </w:pPr>
            <w:r w:rsidRPr="00364545">
              <w:rPr>
                <w:sz w:val="16"/>
              </w:rPr>
              <w:t>2,65</w:t>
            </w:r>
          </w:p>
        </w:tc>
        <w:tc>
          <w:tcPr>
            <w:tcW w:w="992" w:type="dxa"/>
            <w:tcBorders>
              <w:top w:val="nil"/>
              <w:left w:val="nil"/>
              <w:bottom w:val="single" w:sz="4" w:space="0" w:color="auto"/>
              <w:right w:val="single" w:sz="4" w:space="0" w:color="auto"/>
            </w:tcBorders>
            <w:shd w:val="clear" w:color="000000" w:fill="CCFFFF"/>
            <w:noWrap/>
            <w:vAlign w:val="bottom"/>
            <w:hideMark/>
          </w:tcPr>
          <w:p w14:paraId="1BB14AE5" w14:textId="77777777" w:rsidR="00B56301" w:rsidRPr="00364545" w:rsidRDefault="00B56301" w:rsidP="00B37B65">
            <w:pPr>
              <w:jc w:val="right"/>
              <w:rPr>
                <w:rFonts w:asciiTheme="minorHAnsi" w:hAnsiTheme="minorHAnsi"/>
                <w:sz w:val="16"/>
                <w:szCs w:val="14"/>
              </w:rPr>
            </w:pPr>
            <w:r w:rsidRPr="00364545">
              <w:rPr>
                <w:sz w:val="16"/>
              </w:rPr>
              <w:t>2,28</w:t>
            </w:r>
          </w:p>
        </w:tc>
        <w:tc>
          <w:tcPr>
            <w:tcW w:w="1745" w:type="dxa"/>
            <w:tcBorders>
              <w:top w:val="nil"/>
              <w:left w:val="nil"/>
              <w:bottom w:val="single" w:sz="4" w:space="0" w:color="auto"/>
              <w:right w:val="single" w:sz="4" w:space="0" w:color="auto"/>
            </w:tcBorders>
            <w:shd w:val="clear" w:color="000000" w:fill="CCFFFF"/>
            <w:noWrap/>
            <w:vAlign w:val="bottom"/>
            <w:hideMark/>
          </w:tcPr>
          <w:p w14:paraId="7B92FBA5" w14:textId="77777777" w:rsidR="00B56301" w:rsidRPr="00364545" w:rsidRDefault="00B56301" w:rsidP="00B37B65">
            <w:pPr>
              <w:jc w:val="right"/>
              <w:rPr>
                <w:rFonts w:asciiTheme="minorHAnsi" w:hAnsiTheme="minorHAnsi"/>
                <w:sz w:val="16"/>
                <w:szCs w:val="14"/>
              </w:rPr>
            </w:pPr>
            <w:r w:rsidRPr="00364545">
              <w:rPr>
                <w:sz w:val="16"/>
              </w:rPr>
              <w:t>-74,08</w:t>
            </w:r>
          </w:p>
        </w:tc>
      </w:tr>
      <w:tr w:rsidR="00B56301" w:rsidRPr="00364545" w14:paraId="5F6158EE"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E10B9AB" w14:textId="40F513D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Mineral industry</w:t>
            </w:r>
          </w:p>
        </w:tc>
        <w:tc>
          <w:tcPr>
            <w:tcW w:w="992" w:type="dxa"/>
            <w:tcBorders>
              <w:top w:val="nil"/>
              <w:left w:val="nil"/>
              <w:bottom w:val="single" w:sz="4" w:space="0" w:color="auto"/>
              <w:right w:val="single" w:sz="4" w:space="0" w:color="auto"/>
            </w:tcBorders>
            <w:shd w:val="clear" w:color="000000" w:fill="969696"/>
            <w:noWrap/>
            <w:vAlign w:val="bottom"/>
            <w:hideMark/>
          </w:tcPr>
          <w:p w14:paraId="42AFCD75"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D69D067"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0F6CE387"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735EB4D9"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49D86B7" w14:textId="1505D780"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Chemical industry</w:t>
            </w:r>
          </w:p>
        </w:tc>
        <w:tc>
          <w:tcPr>
            <w:tcW w:w="992" w:type="dxa"/>
            <w:tcBorders>
              <w:top w:val="nil"/>
              <w:left w:val="nil"/>
              <w:bottom w:val="single" w:sz="4" w:space="0" w:color="auto"/>
              <w:right w:val="single" w:sz="4" w:space="0" w:color="auto"/>
            </w:tcBorders>
            <w:shd w:val="clear" w:color="000000" w:fill="FFFFFF"/>
            <w:noWrap/>
            <w:vAlign w:val="bottom"/>
            <w:hideMark/>
          </w:tcPr>
          <w:p w14:paraId="1A45F5AC" w14:textId="77777777" w:rsidR="00B56301" w:rsidRPr="00364545" w:rsidRDefault="00B56301" w:rsidP="00B37B65">
            <w:pPr>
              <w:jc w:val="right"/>
              <w:rPr>
                <w:rFonts w:asciiTheme="minorHAnsi" w:hAnsiTheme="minorHAnsi"/>
                <w:sz w:val="16"/>
                <w:szCs w:val="14"/>
              </w:rPr>
            </w:pPr>
            <w:r w:rsidRPr="00364545">
              <w:rPr>
                <w:sz w:val="16"/>
              </w:rPr>
              <w:t>1,36</w:t>
            </w:r>
          </w:p>
        </w:tc>
        <w:tc>
          <w:tcPr>
            <w:tcW w:w="992" w:type="dxa"/>
            <w:tcBorders>
              <w:top w:val="nil"/>
              <w:left w:val="nil"/>
              <w:bottom w:val="single" w:sz="4" w:space="0" w:color="auto"/>
              <w:right w:val="single" w:sz="4" w:space="0" w:color="auto"/>
            </w:tcBorders>
            <w:shd w:val="clear" w:color="000000" w:fill="FFFFFF"/>
            <w:noWrap/>
            <w:vAlign w:val="bottom"/>
            <w:hideMark/>
          </w:tcPr>
          <w:p w14:paraId="08EE7D23" w14:textId="77777777" w:rsidR="00B56301" w:rsidRPr="00364545" w:rsidRDefault="00B56301" w:rsidP="00B37B65">
            <w:pPr>
              <w:jc w:val="right"/>
              <w:rPr>
                <w:rFonts w:asciiTheme="minorHAnsi" w:hAnsiTheme="minorHAnsi"/>
                <w:sz w:val="16"/>
                <w:szCs w:val="14"/>
              </w:rPr>
            </w:pPr>
            <w:r w:rsidRPr="00364545">
              <w:rPr>
                <w:sz w:val="16"/>
              </w:rPr>
              <w:t>1,25</w:t>
            </w:r>
          </w:p>
        </w:tc>
        <w:tc>
          <w:tcPr>
            <w:tcW w:w="1745" w:type="dxa"/>
            <w:tcBorders>
              <w:top w:val="nil"/>
              <w:left w:val="nil"/>
              <w:bottom w:val="single" w:sz="4" w:space="0" w:color="auto"/>
              <w:right w:val="single" w:sz="4" w:space="0" w:color="auto"/>
            </w:tcBorders>
            <w:shd w:val="clear" w:color="000000" w:fill="FFFFFF"/>
            <w:noWrap/>
            <w:vAlign w:val="bottom"/>
            <w:hideMark/>
          </w:tcPr>
          <w:p w14:paraId="40435D4A" w14:textId="77777777" w:rsidR="00B56301" w:rsidRPr="00364545" w:rsidRDefault="00B56301" w:rsidP="00B37B65">
            <w:pPr>
              <w:jc w:val="right"/>
              <w:rPr>
                <w:rFonts w:asciiTheme="minorHAnsi" w:hAnsiTheme="minorHAnsi"/>
                <w:sz w:val="16"/>
                <w:szCs w:val="14"/>
              </w:rPr>
            </w:pPr>
            <w:r w:rsidRPr="00364545">
              <w:rPr>
                <w:sz w:val="16"/>
              </w:rPr>
              <w:t>-59,96</w:t>
            </w:r>
          </w:p>
        </w:tc>
      </w:tr>
      <w:tr w:rsidR="00B56301" w:rsidRPr="00364545" w14:paraId="12851490"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34CE84A" w14:textId="1C29012D"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Metal industry</w:t>
            </w:r>
          </w:p>
        </w:tc>
        <w:tc>
          <w:tcPr>
            <w:tcW w:w="992" w:type="dxa"/>
            <w:tcBorders>
              <w:top w:val="nil"/>
              <w:left w:val="nil"/>
              <w:bottom w:val="single" w:sz="4" w:space="0" w:color="auto"/>
              <w:right w:val="single" w:sz="4" w:space="0" w:color="auto"/>
            </w:tcBorders>
            <w:shd w:val="clear" w:color="000000" w:fill="FFFFFF"/>
            <w:noWrap/>
            <w:vAlign w:val="bottom"/>
            <w:hideMark/>
          </w:tcPr>
          <w:p w14:paraId="08781150" w14:textId="77777777" w:rsidR="00B56301" w:rsidRPr="00364545" w:rsidRDefault="00B56301" w:rsidP="00B37B65">
            <w:pPr>
              <w:jc w:val="right"/>
              <w:rPr>
                <w:rFonts w:asciiTheme="minorHAnsi" w:hAnsiTheme="minorHAnsi"/>
                <w:sz w:val="16"/>
                <w:szCs w:val="14"/>
              </w:rPr>
            </w:pPr>
            <w:r w:rsidRPr="00364545">
              <w:rPr>
                <w:sz w:val="16"/>
              </w:rPr>
              <w:t>1,28</w:t>
            </w:r>
          </w:p>
        </w:tc>
        <w:tc>
          <w:tcPr>
            <w:tcW w:w="992" w:type="dxa"/>
            <w:tcBorders>
              <w:top w:val="nil"/>
              <w:left w:val="nil"/>
              <w:bottom w:val="single" w:sz="4" w:space="0" w:color="auto"/>
              <w:right w:val="single" w:sz="4" w:space="0" w:color="auto"/>
            </w:tcBorders>
            <w:shd w:val="clear" w:color="000000" w:fill="FFFFFF"/>
            <w:noWrap/>
            <w:vAlign w:val="bottom"/>
            <w:hideMark/>
          </w:tcPr>
          <w:p w14:paraId="013CE6E9" w14:textId="77777777" w:rsidR="00B56301" w:rsidRPr="00364545" w:rsidRDefault="00B56301" w:rsidP="00B37B65">
            <w:pPr>
              <w:jc w:val="right"/>
              <w:rPr>
                <w:rFonts w:asciiTheme="minorHAnsi" w:hAnsiTheme="minorHAnsi"/>
                <w:sz w:val="16"/>
                <w:szCs w:val="14"/>
              </w:rPr>
            </w:pPr>
            <w:r w:rsidRPr="00364545">
              <w:rPr>
                <w:sz w:val="16"/>
              </w:rPr>
              <w:t>1,03</w:t>
            </w:r>
          </w:p>
        </w:tc>
        <w:tc>
          <w:tcPr>
            <w:tcW w:w="1745" w:type="dxa"/>
            <w:tcBorders>
              <w:top w:val="nil"/>
              <w:left w:val="nil"/>
              <w:bottom w:val="single" w:sz="4" w:space="0" w:color="auto"/>
              <w:right w:val="single" w:sz="4" w:space="0" w:color="auto"/>
            </w:tcBorders>
            <w:shd w:val="clear" w:color="000000" w:fill="FFFFFF"/>
            <w:noWrap/>
            <w:vAlign w:val="bottom"/>
            <w:hideMark/>
          </w:tcPr>
          <w:p w14:paraId="187318A4" w14:textId="77777777" w:rsidR="00B56301" w:rsidRPr="00364545" w:rsidRDefault="00B56301" w:rsidP="00B37B65">
            <w:pPr>
              <w:jc w:val="right"/>
              <w:rPr>
                <w:rFonts w:asciiTheme="minorHAnsi" w:hAnsiTheme="minorHAnsi"/>
                <w:sz w:val="16"/>
                <w:szCs w:val="14"/>
              </w:rPr>
            </w:pPr>
            <w:r w:rsidRPr="00364545">
              <w:rPr>
                <w:sz w:val="16"/>
              </w:rPr>
              <w:t>-81,80</w:t>
            </w:r>
          </w:p>
        </w:tc>
      </w:tr>
      <w:tr w:rsidR="00B56301" w:rsidRPr="00364545" w14:paraId="3B65F23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16729425" w14:textId="6C1ECD3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Non-energy products from fuels and solvent use</w:t>
            </w:r>
          </w:p>
        </w:tc>
        <w:tc>
          <w:tcPr>
            <w:tcW w:w="992" w:type="dxa"/>
            <w:tcBorders>
              <w:top w:val="nil"/>
              <w:left w:val="nil"/>
              <w:bottom w:val="single" w:sz="4" w:space="0" w:color="auto"/>
              <w:right w:val="single" w:sz="4" w:space="0" w:color="auto"/>
            </w:tcBorders>
            <w:shd w:val="clear" w:color="000000" w:fill="FFFFFF"/>
            <w:noWrap/>
            <w:vAlign w:val="bottom"/>
            <w:hideMark/>
          </w:tcPr>
          <w:p w14:paraId="44AA17A3" w14:textId="77777777" w:rsidR="00B56301" w:rsidRPr="00364545" w:rsidRDefault="00B56301" w:rsidP="00B37B65">
            <w:pPr>
              <w:jc w:val="right"/>
              <w:rPr>
                <w:rFonts w:asciiTheme="minorHAnsi" w:hAnsiTheme="minorHAnsi"/>
                <w:sz w:val="16"/>
                <w:szCs w:val="14"/>
              </w:rPr>
            </w:pPr>
            <w:r w:rsidRPr="00364545">
              <w:rPr>
                <w:sz w:val="16"/>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4C598F49" w14:textId="77777777" w:rsidR="00B56301" w:rsidRPr="00364545" w:rsidRDefault="00B56301" w:rsidP="00B37B65">
            <w:pPr>
              <w:jc w:val="right"/>
              <w:rPr>
                <w:rFonts w:asciiTheme="minorHAnsi" w:hAnsiTheme="minorHAnsi"/>
                <w:sz w:val="16"/>
                <w:szCs w:val="14"/>
              </w:rPr>
            </w:pPr>
            <w:r w:rsidRPr="00364545">
              <w:rPr>
                <w:sz w:val="16"/>
              </w:rPr>
              <w:t>0,01</w:t>
            </w:r>
          </w:p>
        </w:tc>
        <w:tc>
          <w:tcPr>
            <w:tcW w:w="1745" w:type="dxa"/>
            <w:tcBorders>
              <w:top w:val="nil"/>
              <w:left w:val="nil"/>
              <w:bottom w:val="single" w:sz="4" w:space="0" w:color="auto"/>
              <w:right w:val="single" w:sz="4" w:space="0" w:color="auto"/>
            </w:tcBorders>
            <w:shd w:val="clear" w:color="000000" w:fill="FFFFFF"/>
            <w:noWrap/>
            <w:vAlign w:val="bottom"/>
            <w:hideMark/>
          </w:tcPr>
          <w:p w14:paraId="22DAB532" w14:textId="77777777" w:rsidR="00B56301" w:rsidRPr="00364545" w:rsidRDefault="00B56301" w:rsidP="00B37B65">
            <w:pPr>
              <w:jc w:val="right"/>
              <w:rPr>
                <w:rFonts w:asciiTheme="minorHAnsi" w:hAnsiTheme="minorHAnsi"/>
                <w:sz w:val="16"/>
                <w:szCs w:val="14"/>
              </w:rPr>
            </w:pPr>
            <w:r w:rsidRPr="00364545">
              <w:rPr>
                <w:sz w:val="16"/>
              </w:rPr>
              <w:t>-83,45</w:t>
            </w:r>
          </w:p>
        </w:tc>
      </w:tr>
      <w:tr w:rsidR="00B56301" w:rsidRPr="00364545" w14:paraId="1600756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1091006" w14:textId="74B4E90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Electronic industry</w:t>
            </w:r>
          </w:p>
        </w:tc>
        <w:tc>
          <w:tcPr>
            <w:tcW w:w="992" w:type="dxa"/>
            <w:tcBorders>
              <w:top w:val="nil"/>
              <w:left w:val="nil"/>
              <w:bottom w:val="single" w:sz="4" w:space="0" w:color="auto"/>
              <w:right w:val="single" w:sz="4" w:space="0" w:color="auto"/>
            </w:tcBorders>
            <w:shd w:val="clear" w:color="000000" w:fill="969696"/>
            <w:noWrap/>
            <w:vAlign w:val="bottom"/>
            <w:hideMark/>
          </w:tcPr>
          <w:p w14:paraId="63B8A84B"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E1D3796"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01EA5661"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5575AB5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2AA47957" w14:textId="5B5D07E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Product uses as ODS substitutes</w:t>
            </w:r>
          </w:p>
        </w:tc>
        <w:tc>
          <w:tcPr>
            <w:tcW w:w="992" w:type="dxa"/>
            <w:tcBorders>
              <w:top w:val="nil"/>
              <w:left w:val="nil"/>
              <w:bottom w:val="single" w:sz="4" w:space="0" w:color="auto"/>
              <w:right w:val="single" w:sz="4" w:space="0" w:color="auto"/>
            </w:tcBorders>
            <w:shd w:val="clear" w:color="000000" w:fill="969696"/>
            <w:noWrap/>
            <w:vAlign w:val="bottom"/>
            <w:hideMark/>
          </w:tcPr>
          <w:p w14:paraId="02CFBA54"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62BD312"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0A4D6057"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2FC575A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1E3A27BB" w14:textId="1B05696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G. Other product manufacture and use </w:t>
            </w:r>
          </w:p>
        </w:tc>
        <w:tc>
          <w:tcPr>
            <w:tcW w:w="992" w:type="dxa"/>
            <w:tcBorders>
              <w:top w:val="nil"/>
              <w:left w:val="nil"/>
              <w:bottom w:val="single" w:sz="4" w:space="0" w:color="auto"/>
              <w:right w:val="single" w:sz="4" w:space="0" w:color="auto"/>
            </w:tcBorders>
            <w:shd w:val="clear" w:color="000000" w:fill="FFFFFF"/>
            <w:noWrap/>
            <w:vAlign w:val="bottom"/>
            <w:hideMark/>
          </w:tcPr>
          <w:p w14:paraId="3812FA97" w14:textId="77777777" w:rsidR="00B56301" w:rsidRPr="00364545" w:rsidRDefault="00B56301" w:rsidP="00B37B65">
            <w:pPr>
              <w:jc w:val="right"/>
              <w:rPr>
                <w:rFonts w:asciiTheme="minorHAnsi" w:hAnsiTheme="minorHAnsi"/>
                <w:sz w:val="16"/>
                <w:szCs w:val="14"/>
              </w:rPr>
            </w:pPr>
            <w:r w:rsidRPr="00364545">
              <w:rPr>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4B243B89" w14:textId="77777777" w:rsidR="00B56301" w:rsidRPr="00364545" w:rsidRDefault="00B56301" w:rsidP="00B37B65">
            <w:pPr>
              <w:jc w:val="right"/>
              <w:rPr>
                <w:rFonts w:asciiTheme="minorHAnsi" w:hAnsiTheme="minorHAnsi"/>
                <w:sz w:val="16"/>
                <w:szCs w:val="14"/>
              </w:rPr>
            </w:pPr>
            <w:r w:rsidRPr="00364545">
              <w:rPr>
                <w:sz w:val="16"/>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480CD7F4" w14:textId="77777777" w:rsidR="00B56301" w:rsidRPr="00364545" w:rsidRDefault="00B56301" w:rsidP="00B37B65">
            <w:pPr>
              <w:jc w:val="right"/>
              <w:rPr>
                <w:rFonts w:asciiTheme="minorHAnsi" w:hAnsiTheme="minorHAnsi"/>
                <w:sz w:val="16"/>
                <w:szCs w:val="14"/>
              </w:rPr>
            </w:pPr>
            <w:r w:rsidRPr="00364545">
              <w:rPr>
                <w:sz w:val="16"/>
              </w:rPr>
              <w:t>0,00</w:t>
            </w:r>
          </w:p>
        </w:tc>
      </w:tr>
      <w:tr w:rsidR="00B56301" w:rsidRPr="00364545" w14:paraId="6D8FB69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45400CA5" w14:textId="39A9ACF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2" w:type="dxa"/>
            <w:tcBorders>
              <w:top w:val="nil"/>
              <w:left w:val="nil"/>
              <w:bottom w:val="single" w:sz="4" w:space="0" w:color="auto"/>
              <w:right w:val="single" w:sz="4" w:space="0" w:color="auto"/>
            </w:tcBorders>
            <w:shd w:val="clear" w:color="000000" w:fill="FFFFFF"/>
            <w:noWrap/>
            <w:vAlign w:val="bottom"/>
            <w:hideMark/>
          </w:tcPr>
          <w:p w14:paraId="4531E285" w14:textId="77777777" w:rsidR="00B56301" w:rsidRPr="00364545" w:rsidRDefault="00B56301" w:rsidP="00B37B65">
            <w:pPr>
              <w:jc w:val="right"/>
              <w:rPr>
                <w:rFonts w:asciiTheme="minorHAnsi" w:hAnsiTheme="minorHAnsi"/>
                <w:sz w:val="16"/>
                <w:szCs w:val="14"/>
              </w:rPr>
            </w:pPr>
            <w:r w:rsidRPr="00364545">
              <w:rPr>
                <w:sz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5CBD438" w14:textId="77777777" w:rsidR="00B56301" w:rsidRPr="00364545" w:rsidRDefault="00B56301" w:rsidP="00B37B65">
            <w:pPr>
              <w:jc w:val="right"/>
              <w:rPr>
                <w:rFonts w:asciiTheme="minorHAnsi" w:hAnsiTheme="minorHAnsi"/>
                <w:sz w:val="16"/>
                <w:szCs w:val="14"/>
              </w:rPr>
            </w:pPr>
            <w:r w:rsidRPr="00364545">
              <w:rPr>
                <w:sz w:val="16"/>
              </w:rPr>
              <w:t>NO,NA</w:t>
            </w:r>
          </w:p>
        </w:tc>
        <w:tc>
          <w:tcPr>
            <w:tcW w:w="1745" w:type="dxa"/>
            <w:tcBorders>
              <w:top w:val="nil"/>
              <w:left w:val="nil"/>
              <w:bottom w:val="single" w:sz="4" w:space="0" w:color="auto"/>
              <w:right w:val="single" w:sz="4" w:space="0" w:color="auto"/>
            </w:tcBorders>
            <w:shd w:val="clear" w:color="000000" w:fill="FFFFFF"/>
            <w:noWrap/>
            <w:vAlign w:val="bottom"/>
            <w:hideMark/>
          </w:tcPr>
          <w:p w14:paraId="17994243" w14:textId="77777777" w:rsidR="00B56301" w:rsidRPr="00364545" w:rsidRDefault="00B56301" w:rsidP="00B37B65">
            <w:pPr>
              <w:jc w:val="right"/>
              <w:rPr>
                <w:rFonts w:asciiTheme="minorHAnsi" w:hAnsiTheme="minorHAnsi"/>
                <w:sz w:val="16"/>
                <w:szCs w:val="14"/>
              </w:rPr>
            </w:pPr>
            <w:r w:rsidRPr="00364545">
              <w:rPr>
                <w:sz w:val="16"/>
              </w:rPr>
              <w:t>0,00</w:t>
            </w:r>
          </w:p>
        </w:tc>
      </w:tr>
      <w:tr w:rsidR="00B56301" w:rsidRPr="00364545" w14:paraId="57A90F65"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bottom"/>
            <w:hideMark/>
          </w:tcPr>
          <w:p w14:paraId="3D5DA0AB" w14:textId="3D5D9F6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3. Agriculture</w:t>
            </w:r>
          </w:p>
        </w:tc>
        <w:tc>
          <w:tcPr>
            <w:tcW w:w="992" w:type="dxa"/>
            <w:tcBorders>
              <w:top w:val="nil"/>
              <w:left w:val="nil"/>
              <w:bottom w:val="single" w:sz="4" w:space="0" w:color="auto"/>
              <w:right w:val="single" w:sz="4" w:space="0" w:color="auto"/>
            </w:tcBorders>
            <w:shd w:val="clear" w:color="000000" w:fill="CCFFFF"/>
            <w:noWrap/>
            <w:vAlign w:val="bottom"/>
            <w:hideMark/>
          </w:tcPr>
          <w:p w14:paraId="4BE98EDF" w14:textId="77777777" w:rsidR="00B56301" w:rsidRPr="00364545" w:rsidRDefault="00B56301" w:rsidP="00B37B65">
            <w:pPr>
              <w:jc w:val="right"/>
              <w:rPr>
                <w:rFonts w:asciiTheme="minorHAnsi" w:hAnsiTheme="minorHAnsi"/>
                <w:sz w:val="16"/>
                <w:szCs w:val="14"/>
              </w:rPr>
            </w:pPr>
            <w:r w:rsidRPr="00364545">
              <w:rPr>
                <w:sz w:val="16"/>
              </w:rPr>
              <w:t>1497,81</w:t>
            </w:r>
          </w:p>
        </w:tc>
        <w:tc>
          <w:tcPr>
            <w:tcW w:w="992" w:type="dxa"/>
            <w:tcBorders>
              <w:top w:val="nil"/>
              <w:left w:val="nil"/>
              <w:bottom w:val="single" w:sz="4" w:space="0" w:color="auto"/>
              <w:right w:val="single" w:sz="4" w:space="0" w:color="auto"/>
            </w:tcBorders>
            <w:shd w:val="clear" w:color="000000" w:fill="CCFFFF"/>
            <w:noWrap/>
            <w:vAlign w:val="bottom"/>
            <w:hideMark/>
          </w:tcPr>
          <w:p w14:paraId="5A1AD72E" w14:textId="77777777" w:rsidR="00B56301" w:rsidRPr="00364545" w:rsidRDefault="00B56301" w:rsidP="00B37B65">
            <w:pPr>
              <w:jc w:val="right"/>
              <w:rPr>
                <w:rFonts w:asciiTheme="minorHAnsi" w:hAnsiTheme="minorHAnsi"/>
                <w:sz w:val="16"/>
                <w:szCs w:val="14"/>
              </w:rPr>
            </w:pPr>
            <w:r w:rsidRPr="00364545">
              <w:rPr>
                <w:sz w:val="16"/>
              </w:rPr>
              <w:t>1479,95</w:t>
            </w:r>
          </w:p>
        </w:tc>
        <w:tc>
          <w:tcPr>
            <w:tcW w:w="1745" w:type="dxa"/>
            <w:tcBorders>
              <w:top w:val="nil"/>
              <w:left w:val="nil"/>
              <w:bottom w:val="single" w:sz="4" w:space="0" w:color="auto"/>
              <w:right w:val="single" w:sz="4" w:space="0" w:color="auto"/>
            </w:tcBorders>
            <w:shd w:val="clear" w:color="000000" w:fill="CCFFFF"/>
            <w:noWrap/>
            <w:vAlign w:val="bottom"/>
            <w:hideMark/>
          </w:tcPr>
          <w:p w14:paraId="52BDD534" w14:textId="77777777" w:rsidR="00B56301" w:rsidRPr="00364545" w:rsidRDefault="00B56301" w:rsidP="00B37B65">
            <w:pPr>
              <w:jc w:val="right"/>
              <w:rPr>
                <w:rFonts w:asciiTheme="minorHAnsi" w:hAnsiTheme="minorHAnsi"/>
                <w:sz w:val="16"/>
                <w:szCs w:val="14"/>
              </w:rPr>
            </w:pPr>
            <w:r w:rsidRPr="00364545">
              <w:rPr>
                <w:sz w:val="16"/>
              </w:rPr>
              <w:t>-12,36</w:t>
            </w:r>
          </w:p>
        </w:tc>
      </w:tr>
      <w:tr w:rsidR="00B56301" w:rsidRPr="00364545" w14:paraId="00B02DEE"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BC077ED" w14:textId="4BB90F2E"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Enteric fermentation</w:t>
            </w:r>
          </w:p>
        </w:tc>
        <w:tc>
          <w:tcPr>
            <w:tcW w:w="992" w:type="dxa"/>
            <w:tcBorders>
              <w:top w:val="nil"/>
              <w:left w:val="nil"/>
              <w:bottom w:val="single" w:sz="4" w:space="0" w:color="auto"/>
              <w:right w:val="single" w:sz="4" w:space="0" w:color="auto"/>
            </w:tcBorders>
            <w:shd w:val="clear" w:color="000000" w:fill="FFFFFF"/>
            <w:noWrap/>
            <w:vAlign w:val="bottom"/>
            <w:hideMark/>
          </w:tcPr>
          <w:p w14:paraId="71C57797" w14:textId="77777777" w:rsidR="00B56301" w:rsidRPr="00364545" w:rsidRDefault="00B56301" w:rsidP="00B37B65">
            <w:pPr>
              <w:jc w:val="right"/>
              <w:rPr>
                <w:rFonts w:asciiTheme="minorHAnsi" w:hAnsiTheme="minorHAnsi"/>
                <w:sz w:val="16"/>
                <w:szCs w:val="14"/>
              </w:rPr>
            </w:pPr>
            <w:r w:rsidRPr="00364545">
              <w:rPr>
                <w:sz w:val="16"/>
              </w:rPr>
              <w:t>1 345,75</w:t>
            </w:r>
          </w:p>
        </w:tc>
        <w:tc>
          <w:tcPr>
            <w:tcW w:w="992" w:type="dxa"/>
            <w:tcBorders>
              <w:top w:val="nil"/>
              <w:left w:val="nil"/>
              <w:bottom w:val="single" w:sz="4" w:space="0" w:color="auto"/>
              <w:right w:val="single" w:sz="4" w:space="0" w:color="auto"/>
            </w:tcBorders>
            <w:shd w:val="clear" w:color="000000" w:fill="FFFFFF"/>
            <w:noWrap/>
            <w:vAlign w:val="bottom"/>
            <w:hideMark/>
          </w:tcPr>
          <w:p w14:paraId="3F89DA69" w14:textId="77777777" w:rsidR="00B56301" w:rsidRPr="00364545" w:rsidRDefault="00B56301" w:rsidP="00B37B65">
            <w:pPr>
              <w:jc w:val="right"/>
              <w:rPr>
                <w:rFonts w:asciiTheme="minorHAnsi" w:hAnsiTheme="minorHAnsi"/>
                <w:sz w:val="16"/>
                <w:szCs w:val="14"/>
              </w:rPr>
            </w:pPr>
            <w:r w:rsidRPr="00364545">
              <w:rPr>
                <w:sz w:val="16"/>
              </w:rPr>
              <w:t>1 325,46</w:t>
            </w:r>
          </w:p>
        </w:tc>
        <w:tc>
          <w:tcPr>
            <w:tcW w:w="1745" w:type="dxa"/>
            <w:tcBorders>
              <w:top w:val="nil"/>
              <w:left w:val="nil"/>
              <w:bottom w:val="single" w:sz="4" w:space="0" w:color="auto"/>
              <w:right w:val="single" w:sz="4" w:space="0" w:color="auto"/>
            </w:tcBorders>
            <w:shd w:val="clear" w:color="000000" w:fill="FFFFFF"/>
            <w:noWrap/>
            <w:vAlign w:val="bottom"/>
            <w:hideMark/>
          </w:tcPr>
          <w:p w14:paraId="268CC00B" w14:textId="77777777" w:rsidR="00B56301" w:rsidRPr="00364545" w:rsidRDefault="00B56301" w:rsidP="00B37B65">
            <w:pPr>
              <w:jc w:val="right"/>
              <w:rPr>
                <w:rFonts w:asciiTheme="minorHAnsi" w:hAnsiTheme="minorHAnsi"/>
                <w:sz w:val="16"/>
                <w:szCs w:val="14"/>
              </w:rPr>
            </w:pPr>
            <w:r w:rsidRPr="00364545">
              <w:rPr>
                <w:sz w:val="16"/>
              </w:rPr>
              <w:t>-14,22</w:t>
            </w:r>
          </w:p>
        </w:tc>
      </w:tr>
      <w:tr w:rsidR="00B56301" w:rsidRPr="00364545" w14:paraId="2D2B3557"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1DEC554" w14:textId="15882C9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Manure management</w:t>
            </w:r>
          </w:p>
        </w:tc>
        <w:tc>
          <w:tcPr>
            <w:tcW w:w="992" w:type="dxa"/>
            <w:tcBorders>
              <w:top w:val="nil"/>
              <w:left w:val="nil"/>
              <w:bottom w:val="single" w:sz="4" w:space="0" w:color="auto"/>
              <w:right w:val="single" w:sz="4" w:space="0" w:color="auto"/>
            </w:tcBorders>
            <w:shd w:val="clear" w:color="000000" w:fill="FFFFFF"/>
            <w:noWrap/>
            <w:vAlign w:val="bottom"/>
            <w:hideMark/>
          </w:tcPr>
          <w:p w14:paraId="5A44CE07" w14:textId="77777777" w:rsidR="00B56301" w:rsidRPr="00364545" w:rsidRDefault="00B56301" w:rsidP="00B37B65">
            <w:pPr>
              <w:jc w:val="right"/>
              <w:rPr>
                <w:rFonts w:asciiTheme="minorHAnsi" w:hAnsiTheme="minorHAnsi"/>
                <w:sz w:val="16"/>
                <w:szCs w:val="14"/>
              </w:rPr>
            </w:pPr>
            <w:r w:rsidRPr="00364545">
              <w:rPr>
                <w:sz w:val="16"/>
              </w:rPr>
              <w:t>149,24</w:t>
            </w:r>
          </w:p>
        </w:tc>
        <w:tc>
          <w:tcPr>
            <w:tcW w:w="992" w:type="dxa"/>
            <w:tcBorders>
              <w:top w:val="nil"/>
              <w:left w:val="nil"/>
              <w:bottom w:val="single" w:sz="4" w:space="0" w:color="auto"/>
              <w:right w:val="single" w:sz="4" w:space="0" w:color="auto"/>
            </w:tcBorders>
            <w:shd w:val="clear" w:color="000000" w:fill="FFFFFF"/>
            <w:noWrap/>
            <w:vAlign w:val="bottom"/>
            <w:hideMark/>
          </w:tcPr>
          <w:p w14:paraId="1CA0D5D2" w14:textId="77777777" w:rsidR="00B56301" w:rsidRPr="00364545" w:rsidRDefault="00B56301" w:rsidP="00B37B65">
            <w:pPr>
              <w:jc w:val="right"/>
              <w:rPr>
                <w:rFonts w:asciiTheme="minorHAnsi" w:hAnsiTheme="minorHAnsi"/>
                <w:sz w:val="16"/>
                <w:szCs w:val="14"/>
              </w:rPr>
            </w:pPr>
            <w:r w:rsidRPr="00364545">
              <w:rPr>
                <w:sz w:val="16"/>
              </w:rPr>
              <w:t>151,83</w:t>
            </w:r>
          </w:p>
        </w:tc>
        <w:tc>
          <w:tcPr>
            <w:tcW w:w="1745" w:type="dxa"/>
            <w:tcBorders>
              <w:top w:val="nil"/>
              <w:left w:val="nil"/>
              <w:bottom w:val="single" w:sz="4" w:space="0" w:color="auto"/>
              <w:right w:val="single" w:sz="4" w:space="0" w:color="auto"/>
            </w:tcBorders>
            <w:shd w:val="clear" w:color="000000" w:fill="FFFFFF"/>
            <w:noWrap/>
            <w:vAlign w:val="bottom"/>
            <w:hideMark/>
          </w:tcPr>
          <w:p w14:paraId="61379A66" w14:textId="77777777" w:rsidR="00B56301" w:rsidRPr="00364545" w:rsidRDefault="00B56301" w:rsidP="00B37B65">
            <w:pPr>
              <w:jc w:val="right"/>
              <w:rPr>
                <w:rFonts w:asciiTheme="minorHAnsi" w:hAnsiTheme="minorHAnsi"/>
                <w:sz w:val="16"/>
                <w:szCs w:val="14"/>
              </w:rPr>
            </w:pPr>
            <w:r w:rsidRPr="00364545">
              <w:rPr>
                <w:sz w:val="16"/>
              </w:rPr>
              <w:t>9,69</w:t>
            </w:r>
          </w:p>
        </w:tc>
      </w:tr>
      <w:tr w:rsidR="00B56301" w:rsidRPr="00364545" w14:paraId="7BC0774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6DAA0EDD" w14:textId="2424086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Rice cultivation</w:t>
            </w:r>
          </w:p>
        </w:tc>
        <w:tc>
          <w:tcPr>
            <w:tcW w:w="992" w:type="dxa"/>
            <w:tcBorders>
              <w:top w:val="nil"/>
              <w:left w:val="nil"/>
              <w:bottom w:val="single" w:sz="4" w:space="0" w:color="auto"/>
              <w:right w:val="single" w:sz="4" w:space="0" w:color="auto"/>
            </w:tcBorders>
            <w:shd w:val="clear" w:color="000000" w:fill="FFFFFF"/>
            <w:noWrap/>
            <w:vAlign w:val="bottom"/>
            <w:hideMark/>
          </w:tcPr>
          <w:p w14:paraId="30092055" w14:textId="77777777" w:rsidR="00B56301" w:rsidRPr="00364545" w:rsidRDefault="00B56301" w:rsidP="00B37B65">
            <w:pPr>
              <w:jc w:val="right"/>
              <w:rPr>
                <w:rFonts w:asciiTheme="minorHAnsi" w:hAnsiTheme="minorHAnsi"/>
                <w:sz w:val="16"/>
                <w:szCs w:val="14"/>
              </w:rPr>
            </w:pPr>
            <w:r w:rsidRPr="00364545">
              <w:rPr>
                <w:sz w:val="16"/>
              </w:rPr>
              <w:t>1,56</w:t>
            </w:r>
          </w:p>
        </w:tc>
        <w:tc>
          <w:tcPr>
            <w:tcW w:w="992" w:type="dxa"/>
            <w:tcBorders>
              <w:top w:val="nil"/>
              <w:left w:val="nil"/>
              <w:bottom w:val="single" w:sz="4" w:space="0" w:color="auto"/>
              <w:right w:val="single" w:sz="4" w:space="0" w:color="auto"/>
            </w:tcBorders>
            <w:shd w:val="clear" w:color="000000" w:fill="FFFFFF"/>
            <w:noWrap/>
            <w:vAlign w:val="bottom"/>
            <w:hideMark/>
          </w:tcPr>
          <w:p w14:paraId="692A3405" w14:textId="77777777" w:rsidR="00B56301" w:rsidRPr="00364545" w:rsidRDefault="00B56301" w:rsidP="00B37B65">
            <w:pPr>
              <w:jc w:val="right"/>
              <w:rPr>
                <w:rFonts w:asciiTheme="minorHAnsi" w:hAnsiTheme="minorHAnsi"/>
                <w:sz w:val="16"/>
                <w:szCs w:val="14"/>
              </w:rPr>
            </w:pPr>
            <w:r w:rsidRPr="00364545">
              <w:rPr>
                <w:sz w:val="16"/>
              </w:rPr>
              <w:t>1,53</w:t>
            </w:r>
          </w:p>
        </w:tc>
        <w:tc>
          <w:tcPr>
            <w:tcW w:w="1745" w:type="dxa"/>
            <w:tcBorders>
              <w:top w:val="nil"/>
              <w:left w:val="nil"/>
              <w:bottom w:val="single" w:sz="4" w:space="0" w:color="auto"/>
              <w:right w:val="single" w:sz="4" w:space="0" w:color="auto"/>
            </w:tcBorders>
            <w:shd w:val="clear" w:color="000000" w:fill="FFFFFF"/>
            <w:noWrap/>
            <w:vAlign w:val="bottom"/>
            <w:hideMark/>
          </w:tcPr>
          <w:p w14:paraId="131A872D" w14:textId="77777777" w:rsidR="00B56301" w:rsidRPr="00364545" w:rsidRDefault="00B56301" w:rsidP="00B37B65">
            <w:pPr>
              <w:jc w:val="right"/>
              <w:rPr>
                <w:rFonts w:asciiTheme="minorHAnsi" w:hAnsiTheme="minorHAnsi"/>
                <w:sz w:val="16"/>
                <w:szCs w:val="14"/>
              </w:rPr>
            </w:pPr>
            <w:r w:rsidRPr="00364545">
              <w:rPr>
                <w:sz w:val="16"/>
              </w:rPr>
              <w:t>-34,35</w:t>
            </w:r>
          </w:p>
        </w:tc>
      </w:tr>
      <w:tr w:rsidR="00B56301" w:rsidRPr="00364545" w14:paraId="471AE11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1ACC5E5" w14:textId="156440CD"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Agricultural soils</w:t>
            </w:r>
          </w:p>
        </w:tc>
        <w:tc>
          <w:tcPr>
            <w:tcW w:w="992" w:type="dxa"/>
            <w:tcBorders>
              <w:top w:val="nil"/>
              <w:left w:val="nil"/>
              <w:bottom w:val="single" w:sz="4" w:space="0" w:color="auto"/>
              <w:right w:val="single" w:sz="4" w:space="0" w:color="auto"/>
            </w:tcBorders>
            <w:shd w:val="clear" w:color="000000" w:fill="FFFFFF"/>
            <w:noWrap/>
            <w:vAlign w:val="bottom"/>
            <w:hideMark/>
          </w:tcPr>
          <w:p w14:paraId="7C30B9A1" w14:textId="77777777" w:rsidR="00B56301" w:rsidRPr="00364545" w:rsidRDefault="00B56301" w:rsidP="00B37B65">
            <w:pPr>
              <w:jc w:val="right"/>
              <w:rPr>
                <w:rFonts w:asciiTheme="minorHAnsi" w:hAnsiTheme="minorHAnsi"/>
                <w:sz w:val="16"/>
                <w:szCs w:val="14"/>
              </w:rPr>
            </w:pPr>
            <w:r w:rsidRPr="00364545">
              <w:rPr>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44E54B7" w14:textId="77777777" w:rsidR="00B56301" w:rsidRPr="00364545" w:rsidRDefault="00B56301" w:rsidP="00B37B65">
            <w:pPr>
              <w:jc w:val="right"/>
              <w:rPr>
                <w:rFonts w:asciiTheme="minorHAnsi" w:hAnsiTheme="minorHAnsi"/>
                <w:sz w:val="16"/>
                <w:szCs w:val="14"/>
              </w:rPr>
            </w:pPr>
            <w:r w:rsidRPr="00364545">
              <w:rPr>
                <w:sz w:val="16"/>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7C14DACD" w14:textId="77777777" w:rsidR="00B56301" w:rsidRPr="00364545" w:rsidRDefault="00B56301" w:rsidP="00B37B65">
            <w:pPr>
              <w:jc w:val="right"/>
              <w:rPr>
                <w:rFonts w:asciiTheme="minorHAnsi" w:hAnsiTheme="minorHAnsi"/>
                <w:sz w:val="16"/>
                <w:szCs w:val="14"/>
              </w:rPr>
            </w:pPr>
            <w:r w:rsidRPr="00364545">
              <w:rPr>
                <w:sz w:val="16"/>
              </w:rPr>
              <w:t>0,00</w:t>
            </w:r>
          </w:p>
        </w:tc>
      </w:tr>
      <w:tr w:rsidR="00B56301" w:rsidRPr="00364545" w14:paraId="14407A4B"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6D39D125" w14:textId="4216ADF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Prescribed burning of savannas</w:t>
            </w:r>
          </w:p>
        </w:tc>
        <w:tc>
          <w:tcPr>
            <w:tcW w:w="992" w:type="dxa"/>
            <w:tcBorders>
              <w:top w:val="nil"/>
              <w:left w:val="nil"/>
              <w:bottom w:val="single" w:sz="4" w:space="0" w:color="auto"/>
              <w:right w:val="single" w:sz="4" w:space="0" w:color="auto"/>
            </w:tcBorders>
            <w:shd w:val="clear" w:color="000000" w:fill="FFFFFF"/>
            <w:noWrap/>
            <w:vAlign w:val="bottom"/>
            <w:hideMark/>
          </w:tcPr>
          <w:p w14:paraId="5E197592" w14:textId="77777777" w:rsidR="00B56301" w:rsidRPr="00364545" w:rsidRDefault="00B56301" w:rsidP="00B37B65">
            <w:pPr>
              <w:jc w:val="right"/>
              <w:rPr>
                <w:rFonts w:asciiTheme="minorHAnsi" w:hAnsiTheme="minorHAnsi"/>
                <w:sz w:val="16"/>
                <w:szCs w:val="14"/>
              </w:rPr>
            </w:pPr>
            <w:r w:rsidRPr="00364545">
              <w:rPr>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11C04912" w14:textId="77777777" w:rsidR="00B56301" w:rsidRPr="00364545" w:rsidRDefault="00B56301" w:rsidP="00B37B65">
            <w:pPr>
              <w:jc w:val="right"/>
              <w:rPr>
                <w:rFonts w:asciiTheme="minorHAnsi" w:hAnsiTheme="minorHAnsi"/>
                <w:sz w:val="16"/>
                <w:szCs w:val="14"/>
              </w:rPr>
            </w:pPr>
            <w:r w:rsidRPr="00364545">
              <w:rPr>
                <w:sz w:val="16"/>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18BFE1A7" w14:textId="77777777" w:rsidR="00B56301" w:rsidRPr="00364545" w:rsidRDefault="00B56301" w:rsidP="00B37B65">
            <w:pPr>
              <w:jc w:val="right"/>
              <w:rPr>
                <w:rFonts w:asciiTheme="minorHAnsi" w:hAnsiTheme="minorHAnsi"/>
                <w:sz w:val="16"/>
                <w:szCs w:val="14"/>
              </w:rPr>
            </w:pPr>
            <w:r w:rsidRPr="00364545">
              <w:rPr>
                <w:sz w:val="16"/>
              </w:rPr>
              <w:t>0,00</w:t>
            </w:r>
          </w:p>
        </w:tc>
      </w:tr>
      <w:tr w:rsidR="00B56301" w:rsidRPr="00364545" w14:paraId="3576685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8A052AF" w14:textId="7B1CF774"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Field burning of agricultural residues</w:t>
            </w:r>
          </w:p>
        </w:tc>
        <w:tc>
          <w:tcPr>
            <w:tcW w:w="992" w:type="dxa"/>
            <w:tcBorders>
              <w:top w:val="nil"/>
              <w:left w:val="nil"/>
              <w:bottom w:val="single" w:sz="4" w:space="0" w:color="auto"/>
              <w:right w:val="single" w:sz="4" w:space="0" w:color="auto"/>
            </w:tcBorders>
            <w:shd w:val="clear" w:color="000000" w:fill="FFFFFF"/>
            <w:noWrap/>
            <w:vAlign w:val="bottom"/>
            <w:hideMark/>
          </w:tcPr>
          <w:p w14:paraId="0990C956" w14:textId="77777777" w:rsidR="00B56301" w:rsidRPr="00364545" w:rsidRDefault="00B56301" w:rsidP="00B37B65">
            <w:pPr>
              <w:jc w:val="right"/>
              <w:rPr>
                <w:rFonts w:asciiTheme="minorHAnsi" w:hAnsiTheme="minorHAnsi"/>
                <w:sz w:val="16"/>
                <w:szCs w:val="14"/>
              </w:rPr>
            </w:pPr>
            <w:r w:rsidRPr="00364545">
              <w:rPr>
                <w:sz w:val="16"/>
              </w:rPr>
              <w:t>1,26</w:t>
            </w:r>
          </w:p>
        </w:tc>
        <w:tc>
          <w:tcPr>
            <w:tcW w:w="992" w:type="dxa"/>
            <w:tcBorders>
              <w:top w:val="nil"/>
              <w:left w:val="nil"/>
              <w:bottom w:val="single" w:sz="4" w:space="0" w:color="auto"/>
              <w:right w:val="single" w:sz="4" w:space="0" w:color="auto"/>
            </w:tcBorders>
            <w:shd w:val="clear" w:color="000000" w:fill="FFFFFF"/>
            <w:noWrap/>
            <w:vAlign w:val="bottom"/>
            <w:hideMark/>
          </w:tcPr>
          <w:p w14:paraId="12889FD8" w14:textId="77777777" w:rsidR="00B56301" w:rsidRPr="00364545" w:rsidRDefault="00B56301" w:rsidP="00B37B65">
            <w:pPr>
              <w:jc w:val="right"/>
              <w:rPr>
                <w:rFonts w:asciiTheme="minorHAnsi" w:hAnsiTheme="minorHAnsi"/>
                <w:sz w:val="16"/>
                <w:szCs w:val="14"/>
              </w:rPr>
            </w:pPr>
            <w:r w:rsidRPr="00364545">
              <w:rPr>
                <w:sz w:val="16"/>
              </w:rPr>
              <w:t>1,13</w:t>
            </w:r>
          </w:p>
        </w:tc>
        <w:tc>
          <w:tcPr>
            <w:tcW w:w="1745" w:type="dxa"/>
            <w:tcBorders>
              <w:top w:val="nil"/>
              <w:left w:val="nil"/>
              <w:bottom w:val="single" w:sz="4" w:space="0" w:color="auto"/>
              <w:right w:val="single" w:sz="4" w:space="0" w:color="auto"/>
            </w:tcBorders>
            <w:shd w:val="clear" w:color="000000" w:fill="FFFFFF"/>
            <w:noWrap/>
            <w:vAlign w:val="bottom"/>
            <w:hideMark/>
          </w:tcPr>
          <w:p w14:paraId="1E68CC68" w14:textId="77777777" w:rsidR="00B56301" w:rsidRPr="00364545" w:rsidRDefault="00B56301" w:rsidP="00B37B65">
            <w:pPr>
              <w:jc w:val="right"/>
              <w:rPr>
                <w:rFonts w:asciiTheme="minorHAnsi" w:hAnsiTheme="minorHAnsi"/>
                <w:sz w:val="16"/>
                <w:szCs w:val="14"/>
              </w:rPr>
            </w:pPr>
            <w:r w:rsidRPr="00364545">
              <w:rPr>
                <w:sz w:val="16"/>
              </w:rPr>
              <w:t>-59,16</w:t>
            </w:r>
          </w:p>
        </w:tc>
      </w:tr>
      <w:tr w:rsidR="00B56301" w:rsidRPr="00364545" w14:paraId="7B90E24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A8D4159" w14:textId="214E20B8"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Liming</w:t>
            </w:r>
          </w:p>
        </w:tc>
        <w:tc>
          <w:tcPr>
            <w:tcW w:w="992" w:type="dxa"/>
            <w:tcBorders>
              <w:top w:val="nil"/>
              <w:left w:val="nil"/>
              <w:bottom w:val="single" w:sz="4" w:space="0" w:color="auto"/>
              <w:right w:val="single" w:sz="4" w:space="0" w:color="auto"/>
            </w:tcBorders>
            <w:shd w:val="clear" w:color="000000" w:fill="969696"/>
            <w:noWrap/>
            <w:vAlign w:val="bottom"/>
            <w:hideMark/>
          </w:tcPr>
          <w:p w14:paraId="3810BD36"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5379E33"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71BD05B5"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4CCEC8F9"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045521A" w14:textId="4D49E4D2"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H. Urea application</w:t>
            </w:r>
          </w:p>
        </w:tc>
        <w:tc>
          <w:tcPr>
            <w:tcW w:w="992" w:type="dxa"/>
            <w:tcBorders>
              <w:top w:val="nil"/>
              <w:left w:val="nil"/>
              <w:bottom w:val="single" w:sz="4" w:space="0" w:color="auto"/>
              <w:right w:val="single" w:sz="4" w:space="0" w:color="auto"/>
            </w:tcBorders>
            <w:shd w:val="clear" w:color="000000" w:fill="969696"/>
            <w:noWrap/>
            <w:vAlign w:val="bottom"/>
            <w:hideMark/>
          </w:tcPr>
          <w:p w14:paraId="7E6B6B9C"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A0C3A67"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42297DE0"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25259C09"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400E70D" w14:textId="26DC2C0D"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I. Other carbon-containing fertilizers</w:t>
            </w:r>
          </w:p>
        </w:tc>
        <w:tc>
          <w:tcPr>
            <w:tcW w:w="992" w:type="dxa"/>
            <w:tcBorders>
              <w:top w:val="nil"/>
              <w:left w:val="nil"/>
              <w:bottom w:val="single" w:sz="4" w:space="0" w:color="auto"/>
              <w:right w:val="single" w:sz="4" w:space="0" w:color="auto"/>
            </w:tcBorders>
            <w:shd w:val="clear" w:color="000000" w:fill="969696"/>
            <w:noWrap/>
            <w:vAlign w:val="bottom"/>
            <w:hideMark/>
          </w:tcPr>
          <w:p w14:paraId="21ACBB76"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AA05A42"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74B37F3F"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59817DC0"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EDFBA65" w14:textId="6792A77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J. Other </w:t>
            </w:r>
          </w:p>
        </w:tc>
        <w:tc>
          <w:tcPr>
            <w:tcW w:w="992" w:type="dxa"/>
            <w:tcBorders>
              <w:top w:val="nil"/>
              <w:left w:val="nil"/>
              <w:bottom w:val="single" w:sz="4" w:space="0" w:color="auto"/>
              <w:right w:val="single" w:sz="4" w:space="0" w:color="auto"/>
            </w:tcBorders>
            <w:shd w:val="clear" w:color="000000" w:fill="FFFFFF"/>
            <w:noWrap/>
            <w:vAlign w:val="bottom"/>
            <w:hideMark/>
          </w:tcPr>
          <w:p w14:paraId="57FE8636" w14:textId="77777777" w:rsidR="00B56301" w:rsidRPr="00364545" w:rsidRDefault="00B56301" w:rsidP="00B37B65">
            <w:pPr>
              <w:jc w:val="right"/>
              <w:rPr>
                <w:rFonts w:asciiTheme="minorHAnsi" w:hAnsiTheme="minorHAnsi"/>
                <w:sz w:val="16"/>
                <w:szCs w:val="14"/>
              </w:rPr>
            </w:pPr>
            <w:r w:rsidRPr="00364545">
              <w:rPr>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A6FB76F" w14:textId="77777777" w:rsidR="00B56301" w:rsidRPr="00364545" w:rsidRDefault="00B56301" w:rsidP="00B37B65">
            <w:pPr>
              <w:jc w:val="right"/>
              <w:rPr>
                <w:rFonts w:asciiTheme="minorHAnsi" w:hAnsiTheme="minorHAnsi"/>
                <w:sz w:val="16"/>
                <w:szCs w:val="14"/>
              </w:rPr>
            </w:pPr>
            <w:r w:rsidRPr="00364545">
              <w:rPr>
                <w:sz w:val="16"/>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0ADCF3CC" w14:textId="77777777" w:rsidR="00B56301" w:rsidRPr="00364545" w:rsidRDefault="00B56301" w:rsidP="00B37B65">
            <w:pPr>
              <w:jc w:val="right"/>
              <w:rPr>
                <w:rFonts w:asciiTheme="minorHAnsi" w:hAnsiTheme="minorHAnsi"/>
                <w:sz w:val="16"/>
                <w:szCs w:val="14"/>
              </w:rPr>
            </w:pPr>
            <w:r w:rsidRPr="00364545">
              <w:rPr>
                <w:sz w:val="16"/>
              </w:rPr>
              <w:t>0,00</w:t>
            </w:r>
          </w:p>
        </w:tc>
      </w:tr>
      <w:tr w:rsidR="00B56301" w:rsidRPr="00364545" w14:paraId="02658467"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bottom"/>
            <w:hideMark/>
          </w:tcPr>
          <w:p w14:paraId="57C201C5"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4. Land use, land-use change and forestry</w:t>
            </w:r>
          </w:p>
        </w:tc>
        <w:tc>
          <w:tcPr>
            <w:tcW w:w="992" w:type="dxa"/>
            <w:tcBorders>
              <w:top w:val="nil"/>
              <w:left w:val="nil"/>
              <w:bottom w:val="single" w:sz="4" w:space="0" w:color="auto"/>
              <w:right w:val="single" w:sz="4" w:space="0" w:color="auto"/>
            </w:tcBorders>
            <w:shd w:val="clear" w:color="000000" w:fill="CCFFFF"/>
            <w:noWrap/>
            <w:vAlign w:val="bottom"/>
            <w:hideMark/>
          </w:tcPr>
          <w:p w14:paraId="48CAC64C" w14:textId="77777777" w:rsidR="00B56301" w:rsidRPr="00364545" w:rsidRDefault="00B56301" w:rsidP="00B37B65">
            <w:pPr>
              <w:jc w:val="right"/>
              <w:rPr>
                <w:rFonts w:asciiTheme="minorHAnsi" w:hAnsiTheme="minorHAnsi"/>
                <w:sz w:val="16"/>
                <w:szCs w:val="14"/>
              </w:rPr>
            </w:pPr>
            <w:r w:rsidRPr="00364545">
              <w:rPr>
                <w:sz w:val="16"/>
              </w:rPr>
              <w:t>45,50</w:t>
            </w:r>
          </w:p>
        </w:tc>
        <w:tc>
          <w:tcPr>
            <w:tcW w:w="992" w:type="dxa"/>
            <w:tcBorders>
              <w:top w:val="nil"/>
              <w:left w:val="nil"/>
              <w:bottom w:val="single" w:sz="4" w:space="0" w:color="auto"/>
              <w:right w:val="single" w:sz="4" w:space="0" w:color="auto"/>
            </w:tcBorders>
            <w:shd w:val="clear" w:color="000000" w:fill="CCFFFF"/>
            <w:noWrap/>
            <w:vAlign w:val="bottom"/>
            <w:hideMark/>
          </w:tcPr>
          <w:p w14:paraId="26262262" w14:textId="77777777" w:rsidR="00B56301" w:rsidRPr="00364545" w:rsidRDefault="00B56301" w:rsidP="00B37B65">
            <w:pPr>
              <w:jc w:val="right"/>
              <w:rPr>
                <w:rFonts w:asciiTheme="minorHAnsi" w:hAnsiTheme="minorHAnsi"/>
                <w:sz w:val="16"/>
                <w:szCs w:val="14"/>
              </w:rPr>
            </w:pPr>
            <w:r w:rsidRPr="00364545">
              <w:rPr>
                <w:sz w:val="16"/>
              </w:rPr>
              <w:t>44,23</w:t>
            </w:r>
          </w:p>
        </w:tc>
        <w:tc>
          <w:tcPr>
            <w:tcW w:w="1745" w:type="dxa"/>
            <w:tcBorders>
              <w:top w:val="nil"/>
              <w:left w:val="nil"/>
              <w:bottom w:val="single" w:sz="4" w:space="0" w:color="auto"/>
              <w:right w:val="single" w:sz="4" w:space="0" w:color="auto"/>
            </w:tcBorders>
            <w:shd w:val="clear" w:color="000000" w:fill="CCFFFF"/>
            <w:noWrap/>
            <w:vAlign w:val="bottom"/>
            <w:hideMark/>
          </w:tcPr>
          <w:p w14:paraId="2001DC1A" w14:textId="77777777" w:rsidR="00B56301" w:rsidRPr="00364545" w:rsidRDefault="00B56301" w:rsidP="00B37B65">
            <w:pPr>
              <w:jc w:val="right"/>
              <w:rPr>
                <w:rFonts w:asciiTheme="minorHAnsi" w:hAnsiTheme="minorHAnsi"/>
                <w:sz w:val="16"/>
                <w:szCs w:val="14"/>
              </w:rPr>
            </w:pPr>
            <w:r w:rsidRPr="00364545">
              <w:rPr>
                <w:sz w:val="16"/>
              </w:rPr>
              <w:t>18,56</w:t>
            </w:r>
          </w:p>
        </w:tc>
      </w:tr>
      <w:tr w:rsidR="00B56301" w:rsidRPr="00364545" w14:paraId="1D3E5A22"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B950451" w14:textId="002E8727"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Forest land</w:t>
            </w:r>
          </w:p>
        </w:tc>
        <w:tc>
          <w:tcPr>
            <w:tcW w:w="992" w:type="dxa"/>
            <w:tcBorders>
              <w:top w:val="nil"/>
              <w:left w:val="nil"/>
              <w:bottom w:val="single" w:sz="4" w:space="0" w:color="auto"/>
              <w:right w:val="single" w:sz="4" w:space="0" w:color="auto"/>
            </w:tcBorders>
            <w:shd w:val="clear" w:color="000000" w:fill="FFFFFF"/>
            <w:noWrap/>
            <w:vAlign w:val="bottom"/>
            <w:hideMark/>
          </w:tcPr>
          <w:p w14:paraId="6ED340F0" w14:textId="77777777" w:rsidR="00B56301" w:rsidRPr="00364545" w:rsidRDefault="00B56301" w:rsidP="00B37B65">
            <w:pPr>
              <w:jc w:val="right"/>
              <w:rPr>
                <w:rFonts w:asciiTheme="minorHAnsi" w:hAnsiTheme="minorHAnsi"/>
                <w:sz w:val="16"/>
                <w:szCs w:val="14"/>
              </w:rPr>
            </w:pPr>
            <w:r w:rsidRPr="00364545">
              <w:rPr>
                <w:sz w:val="16"/>
              </w:rPr>
              <w:t>24,39</w:t>
            </w:r>
          </w:p>
        </w:tc>
        <w:tc>
          <w:tcPr>
            <w:tcW w:w="992" w:type="dxa"/>
            <w:tcBorders>
              <w:top w:val="nil"/>
              <w:left w:val="nil"/>
              <w:bottom w:val="single" w:sz="4" w:space="0" w:color="auto"/>
              <w:right w:val="single" w:sz="4" w:space="0" w:color="auto"/>
            </w:tcBorders>
            <w:shd w:val="clear" w:color="000000" w:fill="FFFFFF"/>
            <w:noWrap/>
            <w:vAlign w:val="bottom"/>
            <w:hideMark/>
          </w:tcPr>
          <w:p w14:paraId="396F19C9" w14:textId="77777777" w:rsidR="00B56301" w:rsidRPr="00364545" w:rsidRDefault="00B56301" w:rsidP="00B37B65">
            <w:pPr>
              <w:jc w:val="right"/>
              <w:rPr>
                <w:rFonts w:asciiTheme="minorHAnsi" w:hAnsiTheme="minorHAnsi"/>
                <w:sz w:val="16"/>
                <w:szCs w:val="14"/>
              </w:rPr>
            </w:pPr>
            <w:r w:rsidRPr="00364545">
              <w:rPr>
                <w:sz w:val="16"/>
              </w:rPr>
              <w:t>23,47</w:t>
            </w:r>
          </w:p>
        </w:tc>
        <w:tc>
          <w:tcPr>
            <w:tcW w:w="1745" w:type="dxa"/>
            <w:tcBorders>
              <w:top w:val="nil"/>
              <w:left w:val="nil"/>
              <w:bottom w:val="single" w:sz="4" w:space="0" w:color="auto"/>
              <w:right w:val="single" w:sz="4" w:space="0" w:color="auto"/>
            </w:tcBorders>
            <w:shd w:val="clear" w:color="000000" w:fill="FFFFFF"/>
            <w:noWrap/>
            <w:vAlign w:val="bottom"/>
            <w:hideMark/>
          </w:tcPr>
          <w:p w14:paraId="763D0038" w14:textId="77777777" w:rsidR="00B56301" w:rsidRPr="00364545" w:rsidRDefault="00B56301" w:rsidP="00B37B65">
            <w:pPr>
              <w:jc w:val="right"/>
              <w:rPr>
                <w:rFonts w:asciiTheme="minorHAnsi" w:hAnsiTheme="minorHAnsi"/>
                <w:sz w:val="16"/>
                <w:szCs w:val="14"/>
              </w:rPr>
            </w:pPr>
            <w:r w:rsidRPr="00364545">
              <w:rPr>
                <w:sz w:val="16"/>
              </w:rPr>
              <w:t>-2,54</w:t>
            </w:r>
          </w:p>
        </w:tc>
      </w:tr>
      <w:tr w:rsidR="00B56301" w:rsidRPr="00364545" w14:paraId="32245A67"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C149281" w14:textId="14038244"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Cropland</w:t>
            </w:r>
          </w:p>
        </w:tc>
        <w:tc>
          <w:tcPr>
            <w:tcW w:w="992" w:type="dxa"/>
            <w:tcBorders>
              <w:top w:val="nil"/>
              <w:left w:val="nil"/>
              <w:bottom w:val="single" w:sz="4" w:space="0" w:color="auto"/>
              <w:right w:val="single" w:sz="4" w:space="0" w:color="auto"/>
            </w:tcBorders>
            <w:shd w:val="clear" w:color="000000" w:fill="FFFFFF"/>
            <w:noWrap/>
            <w:vAlign w:val="bottom"/>
            <w:hideMark/>
          </w:tcPr>
          <w:p w14:paraId="3C455BFE" w14:textId="77777777" w:rsidR="00B56301" w:rsidRPr="00364545" w:rsidRDefault="00B56301" w:rsidP="00B37B65">
            <w:pPr>
              <w:jc w:val="right"/>
              <w:rPr>
                <w:rFonts w:asciiTheme="minorHAnsi" w:hAnsiTheme="minorHAnsi"/>
                <w:sz w:val="16"/>
                <w:szCs w:val="14"/>
              </w:rPr>
            </w:pPr>
            <w:r w:rsidRPr="00364545">
              <w:rPr>
                <w:sz w:val="16"/>
              </w:rPr>
              <w:t>4,46</w:t>
            </w:r>
          </w:p>
        </w:tc>
        <w:tc>
          <w:tcPr>
            <w:tcW w:w="992" w:type="dxa"/>
            <w:tcBorders>
              <w:top w:val="nil"/>
              <w:left w:val="nil"/>
              <w:bottom w:val="single" w:sz="4" w:space="0" w:color="auto"/>
              <w:right w:val="single" w:sz="4" w:space="0" w:color="auto"/>
            </w:tcBorders>
            <w:shd w:val="clear" w:color="000000" w:fill="FFFFFF"/>
            <w:noWrap/>
            <w:vAlign w:val="bottom"/>
            <w:hideMark/>
          </w:tcPr>
          <w:p w14:paraId="4BE7064D" w14:textId="77777777" w:rsidR="00B56301" w:rsidRPr="00364545" w:rsidRDefault="00B56301" w:rsidP="00B37B65">
            <w:pPr>
              <w:jc w:val="right"/>
              <w:rPr>
                <w:rFonts w:asciiTheme="minorHAnsi" w:hAnsiTheme="minorHAnsi"/>
                <w:sz w:val="16"/>
                <w:szCs w:val="14"/>
              </w:rPr>
            </w:pPr>
            <w:r w:rsidRPr="00364545">
              <w:rPr>
                <w:sz w:val="16"/>
              </w:rPr>
              <w:t>4,38</w:t>
            </w:r>
          </w:p>
        </w:tc>
        <w:tc>
          <w:tcPr>
            <w:tcW w:w="1745" w:type="dxa"/>
            <w:tcBorders>
              <w:top w:val="nil"/>
              <w:left w:val="nil"/>
              <w:bottom w:val="single" w:sz="4" w:space="0" w:color="auto"/>
              <w:right w:val="single" w:sz="4" w:space="0" w:color="auto"/>
            </w:tcBorders>
            <w:shd w:val="clear" w:color="000000" w:fill="FFFFFF"/>
            <w:noWrap/>
            <w:vAlign w:val="bottom"/>
            <w:hideMark/>
          </w:tcPr>
          <w:p w14:paraId="78E98871" w14:textId="77777777" w:rsidR="00B56301" w:rsidRPr="00364545" w:rsidRDefault="00B56301" w:rsidP="00B37B65">
            <w:pPr>
              <w:jc w:val="right"/>
              <w:rPr>
                <w:rFonts w:asciiTheme="minorHAnsi" w:hAnsiTheme="minorHAnsi"/>
                <w:sz w:val="16"/>
                <w:szCs w:val="14"/>
              </w:rPr>
            </w:pPr>
            <w:r w:rsidRPr="00364545">
              <w:rPr>
                <w:sz w:val="16"/>
              </w:rPr>
              <w:t>-13,71</w:t>
            </w:r>
          </w:p>
        </w:tc>
      </w:tr>
      <w:tr w:rsidR="00B56301" w:rsidRPr="00364545" w14:paraId="2FAD297E"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7ACE4EE" w14:textId="65A92CC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Grassland</w:t>
            </w:r>
          </w:p>
        </w:tc>
        <w:tc>
          <w:tcPr>
            <w:tcW w:w="992" w:type="dxa"/>
            <w:tcBorders>
              <w:top w:val="nil"/>
              <w:left w:val="nil"/>
              <w:bottom w:val="single" w:sz="4" w:space="0" w:color="auto"/>
              <w:right w:val="single" w:sz="4" w:space="0" w:color="auto"/>
            </w:tcBorders>
            <w:shd w:val="clear" w:color="000000" w:fill="FFFFFF"/>
            <w:noWrap/>
            <w:vAlign w:val="bottom"/>
            <w:hideMark/>
          </w:tcPr>
          <w:p w14:paraId="7ED74B2F" w14:textId="77777777" w:rsidR="00B56301" w:rsidRPr="00364545" w:rsidRDefault="00B56301" w:rsidP="00B37B65">
            <w:pPr>
              <w:jc w:val="right"/>
              <w:rPr>
                <w:rFonts w:asciiTheme="minorHAnsi" w:hAnsiTheme="minorHAnsi"/>
                <w:sz w:val="16"/>
                <w:szCs w:val="14"/>
              </w:rPr>
            </w:pPr>
            <w:r w:rsidRPr="00364545">
              <w:rPr>
                <w:sz w:val="16"/>
              </w:rPr>
              <w:t>5,23</w:t>
            </w:r>
          </w:p>
        </w:tc>
        <w:tc>
          <w:tcPr>
            <w:tcW w:w="992" w:type="dxa"/>
            <w:tcBorders>
              <w:top w:val="nil"/>
              <w:left w:val="nil"/>
              <w:bottom w:val="single" w:sz="4" w:space="0" w:color="auto"/>
              <w:right w:val="single" w:sz="4" w:space="0" w:color="auto"/>
            </w:tcBorders>
            <w:shd w:val="clear" w:color="000000" w:fill="FFFFFF"/>
            <w:noWrap/>
            <w:vAlign w:val="bottom"/>
            <w:hideMark/>
          </w:tcPr>
          <w:p w14:paraId="246C4A47" w14:textId="77777777" w:rsidR="00B56301" w:rsidRPr="00364545" w:rsidRDefault="00B56301" w:rsidP="00B37B65">
            <w:pPr>
              <w:jc w:val="right"/>
              <w:rPr>
                <w:rFonts w:asciiTheme="minorHAnsi" w:hAnsiTheme="minorHAnsi"/>
                <w:sz w:val="16"/>
                <w:szCs w:val="14"/>
              </w:rPr>
            </w:pPr>
            <w:r w:rsidRPr="00364545">
              <w:rPr>
                <w:sz w:val="16"/>
              </w:rPr>
              <w:t>4,95</w:t>
            </w:r>
          </w:p>
        </w:tc>
        <w:tc>
          <w:tcPr>
            <w:tcW w:w="1745" w:type="dxa"/>
            <w:tcBorders>
              <w:top w:val="nil"/>
              <w:left w:val="nil"/>
              <w:bottom w:val="single" w:sz="4" w:space="0" w:color="auto"/>
              <w:right w:val="single" w:sz="4" w:space="0" w:color="auto"/>
            </w:tcBorders>
            <w:shd w:val="clear" w:color="000000" w:fill="FFFFFF"/>
            <w:noWrap/>
            <w:vAlign w:val="bottom"/>
            <w:hideMark/>
          </w:tcPr>
          <w:p w14:paraId="696A578A" w14:textId="77777777" w:rsidR="00B56301" w:rsidRPr="00364545" w:rsidRDefault="00B56301" w:rsidP="00B37B65">
            <w:pPr>
              <w:jc w:val="right"/>
              <w:rPr>
                <w:rFonts w:asciiTheme="minorHAnsi" w:hAnsiTheme="minorHAnsi"/>
                <w:sz w:val="16"/>
                <w:szCs w:val="14"/>
              </w:rPr>
            </w:pPr>
            <w:r w:rsidRPr="00364545">
              <w:rPr>
                <w:sz w:val="16"/>
              </w:rPr>
              <w:t>-16,08</w:t>
            </w:r>
          </w:p>
        </w:tc>
      </w:tr>
      <w:tr w:rsidR="00B56301" w:rsidRPr="00364545" w14:paraId="3F52EE63"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11D90E1" w14:textId="26283189"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Wetlands</w:t>
            </w:r>
          </w:p>
        </w:tc>
        <w:tc>
          <w:tcPr>
            <w:tcW w:w="992" w:type="dxa"/>
            <w:tcBorders>
              <w:top w:val="nil"/>
              <w:left w:val="nil"/>
              <w:bottom w:val="single" w:sz="4" w:space="0" w:color="auto"/>
              <w:right w:val="single" w:sz="4" w:space="0" w:color="auto"/>
            </w:tcBorders>
            <w:shd w:val="clear" w:color="000000" w:fill="FFFFFF"/>
            <w:noWrap/>
            <w:vAlign w:val="bottom"/>
            <w:hideMark/>
          </w:tcPr>
          <w:p w14:paraId="064BD3DF" w14:textId="77777777" w:rsidR="00B56301" w:rsidRPr="00364545" w:rsidRDefault="00B56301" w:rsidP="00B37B65">
            <w:pPr>
              <w:jc w:val="right"/>
              <w:rPr>
                <w:rFonts w:asciiTheme="minorHAnsi" w:hAnsiTheme="minorHAnsi"/>
                <w:sz w:val="16"/>
                <w:szCs w:val="14"/>
              </w:rPr>
            </w:pPr>
            <w:r w:rsidRPr="00364545">
              <w:rPr>
                <w:sz w:val="16"/>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260BB41B" w14:textId="77777777" w:rsidR="00B56301" w:rsidRPr="00364545" w:rsidRDefault="00B56301" w:rsidP="00B37B65">
            <w:pPr>
              <w:jc w:val="right"/>
              <w:rPr>
                <w:rFonts w:asciiTheme="minorHAnsi" w:hAnsiTheme="minorHAnsi"/>
                <w:sz w:val="16"/>
                <w:szCs w:val="14"/>
              </w:rPr>
            </w:pPr>
            <w:r w:rsidRPr="00364545">
              <w:rPr>
                <w:sz w:val="16"/>
              </w:rPr>
              <w:t>0,36</w:t>
            </w:r>
          </w:p>
        </w:tc>
        <w:tc>
          <w:tcPr>
            <w:tcW w:w="1745" w:type="dxa"/>
            <w:tcBorders>
              <w:top w:val="nil"/>
              <w:left w:val="nil"/>
              <w:bottom w:val="single" w:sz="4" w:space="0" w:color="auto"/>
              <w:right w:val="single" w:sz="4" w:space="0" w:color="auto"/>
            </w:tcBorders>
            <w:shd w:val="clear" w:color="000000" w:fill="FFFFFF"/>
            <w:noWrap/>
            <w:vAlign w:val="bottom"/>
            <w:hideMark/>
          </w:tcPr>
          <w:p w14:paraId="2A093C16" w14:textId="77777777" w:rsidR="00B56301" w:rsidRPr="00364545" w:rsidRDefault="00B56301" w:rsidP="00B37B65">
            <w:pPr>
              <w:jc w:val="right"/>
              <w:rPr>
                <w:rFonts w:asciiTheme="minorHAnsi" w:hAnsiTheme="minorHAnsi"/>
                <w:sz w:val="16"/>
                <w:szCs w:val="14"/>
              </w:rPr>
            </w:pPr>
            <w:r w:rsidRPr="00364545">
              <w:rPr>
                <w:sz w:val="16"/>
              </w:rPr>
              <w:t>29,50</w:t>
            </w:r>
          </w:p>
        </w:tc>
      </w:tr>
      <w:tr w:rsidR="00B56301" w:rsidRPr="00364545" w14:paraId="466AA76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6B900FFF" w14:textId="6F010CE3"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E. Settlements </w:t>
            </w:r>
          </w:p>
        </w:tc>
        <w:tc>
          <w:tcPr>
            <w:tcW w:w="992" w:type="dxa"/>
            <w:tcBorders>
              <w:top w:val="nil"/>
              <w:left w:val="nil"/>
              <w:bottom w:val="single" w:sz="4" w:space="0" w:color="auto"/>
              <w:right w:val="single" w:sz="4" w:space="0" w:color="auto"/>
            </w:tcBorders>
            <w:shd w:val="clear" w:color="000000" w:fill="FFFFFF"/>
            <w:noWrap/>
            <w:vAlign w:val="bottom"/>
            <w:hideMark/>
          </w:tcPr>
          <w:p w14:paraId="10C2A725" w14:textId="77777777" w:rsidR="00B56301" w:rsidRPr="00364545" w:rsidRDefault="00B56301" w:rsidP="00B37B65">
            <w:pPr>
              <w:jc w:val="right"/>
              <w:rPr>
                <w:rFonts w:asciiTheme="minorHAnsi" w:hAnsiTheme="minorHAnsi"/>
                <w:sz w:val="16"/>
                <w:szCs w:val="14"/>
              </w:rPr>
            </w:pPr>
            <w:r w:rsidRPr="00364545">
              <w:rPr>
                <w:sz w:val="16"/>
              </w:rPr>
              <w:t>2,34</w:t>
            </w:r>
          </w:p>
        </w:tc>
        <w:tc>
          <w:tcPr>
            <w:tcW w:w="992" w:type="dxa"/>
            <w:tcBorders>
              <w:top w:val="nil"/>
              <w:left w:val="nil"/>
              <w:bottom w:val="single" w:sz="4" w:space="0" w:color="auto"/>
              <w:right w:val="single" w:sz="4" w:space="0" w:color="auto"/>
            </w:tcBorders>
            <w:shd w:val="clear" w:color="000000" w:fill="FFFFFF"/>
            <w:noWrap/>
            <w:vAlign w:val="bottom"/>
            <w:hideMark/>
          </w:tcPr>
          <w:p w14:paraId="1692F383" w14:textId="77777777" w:rsidR="00B56301" w:rsidRPr="00364545" w:rsidRDefault="00B56301" w:rsidP="00B37B65">
            <w:pPr>
              <w:jc w:val="right"/>
              <w:rPr>
                <w:rFonts w:asciiTheme="minorHAnsi" w:hAnsiTheme="minorHAnsi"/>
                <w:sz w:val="16"/>
                <w:szCs w:val="14"/>
              </w:rPr>
            </w:pPr>
            <w:r w:rsidRPr="00364545">
              <w:rPr>
                <w:sz w:val="16"/>
              </w:rPr>
              <w:t>2,34</w:t>
            </w:r>
          </w:p>
        </w:tc>
        <w:tc>
          <w:tcPr>
            <w:tcW w:w="1745" w:type="dxa"/>
            <w:tcBorders>
              <w:top w:val="nil"/>
              <w:left w:val="nil"/>
              <w:bottom w:val="single" w:sz="4" w:space="0" w:color="auto"/>
              <w:right w:val="single" w:sz="4" w:space="0" w:color="auto"/>
            </w:tcBorders>
            <w:shd w:val="clear" w:color="000000" w:fill="FFFFFF"/>
            <w:noWrap/>
            <w:vAlign w:val="bottom"/>
            <w:hideMark/>
          </w:tcPr>
          <w:p w14:paraId="1E949D7E" w14:textId="77777777" w:rsidR="00B56301" w:rsidRPr="00364545" w:rsidRDefault="00B56301" w:rsidP="00B37B65">
            <w:pPr>
              <w:jc w:val="right"/>
              <w:rPr>
                <w:rFonts w:asciiTheme="minorHAnsi" w:hAnsiTheme="minorHAnsi"/>
                <w:sz w:val="16"/>
                <w:szCs w:val="14"/>
              </w:rPr>
            </w:pPr>
            <w:r w:rsidRPr="00364545">
              <w:rPr>
                <w:sz w:val="16"/>
              </w:rPr>
              <w:t>18,91</w:t>
            </w:r>
          </w:p>
        </w:tc>
      </w:tr>
      <w:tr w:rsidR="00B56301" w:rsidRPr="00364545" w14:paraId="2A8358D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4A47F26" w14:textId="1658628B"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F. Other land</w:t>
            </w:r>
          </w:p>
        </w:tc>
        <w:tc>
          <w:tcPr>
            <w:tcW w:w="992" w:type="dxa"/>
            <w:tcBorders>
              <w:top w:val="nil"/>
              <w:left w:val="nil"/>
              <w:bottom w:val="single" w:sz="4" w:space="0" w:color="auto"/>
              <w:right w:val="single" w:sz="4" w:space="0" w:color="auto"/>
            </w:tcBorders>
            <w:shd w:val="clear" w:color="000000" w:fill="FFFFFF"/>
            <w:noWrap/>
            <w:vAlign w:val="bottom"/>
            <w:hideMark/>
          </w:tcPr>
          <w:p w14:paraId="35AE83C9" w14:textId="77777777" w:rsidR="00B56301" w:rsidRPr="00364545" w:rsidRDefault="00B56301" w:rsidP="00B37B65">
            <w:pPr>
              <w:jc w:val="right"/>
              <w:rPr>
                <w:rFonts w:asciiTheme="minorHAnsi" w:hAnsiTheme="minorHAnsi"/>
                <w:sz w:val="16"/>
                <w:szCs w:val="14"/>
              </w:rPr>
            </w:pPr>
            <w:r w:rsidRPr="00364545">
              <w:rPr>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03028B97" w14:textId="77777777" w:rsidR="00B56301" w:rsidRPr="00364545" w:rsidRDefault="00B56301" w:rsidP="00B37B65">
            <w:pPr>
              <w:jc w:val="right"/>
              <w:rPr>
                <w:rFonts w:asciiTheme="minorHAnsi" w:hAnsiTheme="minorHAnsi"/>
                <w:sz w:val="16"/>
                <w:szCs w:val="14"/>
              </w:rPr>
            </w:pPr>
            <w:r w:rsidRPr="00364545">
              <w:rPr>
                <w:sz w:val="16"/>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13B1E3F8" w14:textId="77777777" w:rsidR="00B56301" w:rsidRPr="00364545" w:rsidRDefault="00B56301" w:rsidP="00B37B65">
            <w:pPr>
              <w:jc w:val="right"/>
              <w:rPr>
                <w:rFonts w:asciiTheme="minorHAnsi" w:hAnsiTheme="minorHAnsi"/>
                <w:sz w:val="16"/>
                <w:szCs w:val="14"/>
              </w:rPr>
            </w:pPr>
            <w:r w:rsidRPr="00364545">
              <w:rPr>
                <w:sz w:val="16"/>
              </w:rPr>
              <w:t>0,00</w:t>
            </w:r>
          </w:p>
        </w:tc>
      </w:tr>
      <w:tr w:rsidR="00B56301" w:rsidRPr="00364545" w14:paraId="49EFA41E"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BF42659" w14:textId="57C92E8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G. Harvested wood products</w:t>
            </w:r>
          </w:p>
        </w:tc>
        <w:tc>
          <w:tcPr>
            <w:tcW w:w="992" w:type="dxa"/>
            <w:tcBorders>
              <w:top w:val="nil"/>
              <w:left w:val="nil"/>
              <w:bottom w:val="single" w:sz="4" w:space="0" w:color="auto"/>
              <w:right w:val="single" w:sz="4" w:space="0" w:color="auto"/>
            </w:tcBorders>
            <w:shd w:val="clear" w:color="000000" w:fill="969696"/>
            <w:noWrap/>
            <w:vAlign w:val="bottom"/>
            <w:hideMark/>
          </w:tcPr>
          <w:p w14:paraId="306FC993"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B94CA71"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26273A2D"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457C982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977EF97" w14:textId="25618FF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 xml:space="preserve">H. Other   </w:t>
            </w:r>
          </w:p>
        </w:tc>
        <w:tc>
          <w:tcPr>
            <w:tcW w:w="992" w:type="dxa"/>
            <w:tcBorders>
              <w:top w:val="nil"/>
              <w:left w:val="nil"/>
              <w:bottom w:val="single" w:sz="4" w:space="0" w:color="auto"/>
              <w:right w:val="single" w:sz="4" w:space="0" w:color="auto"/>
            </w:tcBorders>
            <w:shd w:val="clear" w:color="000000" w:fill="FFFFFF"/>
            <w:noWrap/>
            <w:vAlign w:val="bottom"/>
            <w:hideMark/>
          </w:tcPr>
          <w:p w14:paraId="592F1B6B" w14:textId="77777777" w:rsidR="00B56301" w:rsidRPr="00364545" w:rsidRDefault="00B56301" w:rsidP="00B37B65">
            <w:pPr>
              <w:jc w:val="right"/>
              <w:rPr>
                <w:rFonts w:asciiTheme="minorHAnsi" w:hAnsiTheme="minorHAnsi"/>
                <w:sz w:val="16"/>
                <w:szCs w:val="14"/>
              </w:rPr>
            </w:pPr>
            <w:r w:rsidRPr="00364545">
              <w:rPr>
                <w:sz w:val="16"/>
              </w:rPr>
              <w:t>8,74</w:t>
            </w:r>
          </w:p>
        </w:tc>
        <w:tc>
          <w:tcPr>
            <w:tcW w:w="992" w:type="dxa"/>
            <w:tcBorders>
              <w:top w:val="nil"/>
              <w:left w:val="nil"/>
              <w:bottom w:val="single" w:sz="4" w:space="0" w:color="auto"/>
              <w:right w:val="single" w:sz="4" w:space="0" w:color="auto"/>
            </w:tcBorders>
            <w:shd w:val="clear" w:color="000000" w:fill="FFFFFF"/>
            <w:noWrap/>
            <w:vAlign w:val="bottom"/>
            <w:hideMark/>
          </w:tcPr>
          <w:p w14:paraId="7F3BAE1C" w14:textId="77777777" w:rsidR="00B56301" w:rsidRPr="00364545" w:rsidRDefault="00B56301" w:rsidP="00B37B65">
            <w:pPr>
              <w:jc w:val="right"/>
              <w:rPr>
                <w:rFonts w:asciiTheme="minorHAnsi" w:hAnsiTheme="minorHAnsi"/>
                <w:sz w:val="16"/>
                <w:szCs w:val="14"/>
              </w:rPr>
            </w:pPr>
            <w:r w:rsidRPr="00364545">
              <w:rPr>
                <w:sz w:val="16"/>
              </w:rPr>
              <w:t>8,73</w:t>
            </w:r>
          </w:p>
        </w:tc>
        <w:tc>
          <w:tcPr>
            <w:tcW w:w="1745" w:type="dxa"/>
            <w:tcBorders>
              <w:top w:val="nil"/>
              <w:left w:val="nil"/>
              <w:bottom w:val="single" w:sz="4" w:space="0" w:color="auto"/>
              <w:right w:val="single" w:sz="4" w:space="0" w:color="auto"/>
            </w:tcBorders>
            <w:shd w:val="clear" w:color="000000" w:fill="FFFFFF"/>
            <w:noWrap/>
            <w:vAlign w:val="bottom"/>
            <w:hideMark/>
          </w:tcPr>
          <w:p w14:paraId="2F936AFF" w14:textId="77777777" w:rsidR="00B56301" w:rsidRPr="00364545" w:rsidRDefault="00B56301" w:rsidP="00B37B65">
            <w:pPr>
              <w:jc w:val="right"/>
              <w:rPr>
                <w:rFonts w:asciiTheme="minorHAnsi" w:hAnsiTheme="minorHAnsi"/>
                <w:sz w:val="16"/>
                <w:szCs w:val="14"/>
              </w:rPr>
            </w:pPr>
            <w:r w:rsidRPr="00364545">
              <w:rPr>
                <w:sz w:val="16"/>
              </w:rPr>
              <w:t>100,00</w:t>
            </w:r>
          </w:p>
        </w:tc>
      </w:tr>
      <w:tr w:rsidR="00B56301" w:rsidRPr="00364545" w14:paraId="348904EA"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7E69A2A" w14:textId="2ADD2CCF"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5. Waste</w:t>
            </w:r>
          </w:p>
        </w:tc>
        <w:tc>
          <w:tcPr>
            <w:tcW w:w="992" w:type="dxa"/>
            <w:tcBorders>
              <w:top w:val="nil"/>
              <w:left w:val="nil"/>
              <w:bottom w:val="single" w:sz="4" w:space="0" w:color="auto"/>
              <w:right w:val="single" w:sz="4" w:space="0" w:color="auto"/>
            </w:tcBorders>
            <w:shd w:val="clear" w:color="000000" w:fill="CCFFFF"/>
            <w:noWrap/>
            <w:vAlign w:val="bottom"/>
            <w:hideMark/>
          </w:tcPr>
          <w:p w14:paraId="44B5105A" w14:textId="77777777" w:rsidR="00B56301" w:rsidRPr="00364545" w:rsidRDefault="00B56301" w:rsidP="00B37B65">
            <w:pPr>
              <w:jc w:val="right"/>
              <w:rPr>
                <w:rFonts w:asciiTheme="minorHAnsi" w:hAnsiTheme="minorHAnsi"/>
                <w:sz w:val="16"/>
                <w:szCs w:val="14"/>
              </w:rPr>
            </w:pPr>
            <w:r w:rsidRPr="00364545">
              <w:rPr>
                <w:sz w:val="16"/>
              </w:rPr>
              <w:t>633,21</w:t>
            </w:r>
          </w:p>
        </w:tc>
        <w:tc>
          <w:tcPr>
            <w:tcW w:w="992" w:type="dxa"/>
            <w:tcBorders>
              <w:top w:val="nil"/>
              <w:left w:val="nil"/>
              <w:bottom w:val="single" w:sz="4" w:space="0" w:color="auto"/>
              <w:right w:val="single" w:sz="4" w:space="0" w:color="auto"/>
            </w:tcBorders>
            <w:shd w:val="clear" w:color="000000" w:fill="CCFFFF"/>
            <w:noWrap/>
            <w:vAlign w:val="bottom"/>
            <w:hideMark/>
          </w:tcPr>
          <w:p w14:paraId="71413764" w14:textId="77777777" w:rsidR="00B56301" w:rsidRPr="00364545" w:rsidRDefault="00B56301" w:rsidP="00B37B65">
            <w:pPr>
              <w:jc w:val="right"/>
              <w:rPr>
                <w:rFonts w:asciiTheme="minorHAnsi" w:hAnsiTheme="minorHAnsi"/>
                <w:sz w:val="16"/>
                <w:szCs w:val="14"/>
              </w:rPr>
            </w:pPr>
            <w:r w:rsidRPr="00364545">
              <w:rPr>
                <w:sz w:val="16"/>
              </w:rPr>
              <w:t>618,33</w:t>
            </w:r>
          </w:p>
        </w:tc>
        <w:tc>
          <w:tcPr>
            <w:tcW w:w="1745" w:type="dxa"/>
            <w:tcBorders>
              <w:top w:val="nil"/>
              <w:left w:val="nil"/>
              <w:bottom w:val="single" w:sz="4" w:space="0" w:color="auto"/>
              <w:right w:val="single" w:sz="4" w:space="0" w:color="auto"/>
            </w:tcBorders>
            <w:shd w:val="clear" w:color="000000" w:fill="CCFFFF"/>
            <w:noWrap/>
            <w:vAlign w:val="bottom"/>
            <w:hideMark/>
          </w:tcPr>
          <w:p w14:paraId="6DF6EA57" w14:textId="77777777" w:rsidR="00B56301" w:rsidRPr="00364545" w:rsidRDefault="00B56301" w:rsidP="00B37B65">
            <w:pPr>
              <w:jc w:val="right"/>
              <w:rPr>
                <w:rFonts w:asciiTheme="minorHAnsi" w:hAnsiTheme="minorHAnsi"/>
                <w:sz w:val="16"/>
                <w:szCs w:val="14"/>
              </w:rPr>
            </w:pPr>
            <w:r w:rsidRPr="00364545">
              <w:rPr>
                <w:sz w:val="16"/>
              </w:rPr>
              <w:t>7,96</w:t>
            </w:r>
          </w:p>
        </w:tc>
      </w:tr>
      <w:tr w:rsidR="00B56301" w:rsidRPr="00364545" w14:paraId="3C7D937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78E61D9" w14:textId="020CC384"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2" w:type="dxa"/>
            <w:tcBorders>
              <w:top w:val="nil"/>
              <w:left w:val="nil"/>
              <w:bottom w:val="single" w:sz="4" w:space="0" w:color="auto"/>
              <w:right w:val="single" w:sz="4" w:space="0" w:color="auto"/>
            </w:tcBorders>
            <w:shd w:val="clear" w:color="000000" w:fill="FFFFFF"/>
            <w:noWrap/>
            <w:vAlign w:val="bottom"/>
            <w:hideMark/>
          </w:tcPr>
          <w:p w14:paraId="7C4C7754" w14:textId="77777777" w:rsidR="00B56301" w:rsidRPr="00364545" w:rsidRDefault="00B56301" w:rsidP="00B37B65">
            <w:pPr>
              <w:jc w:val="right"/>
              <w:rPr>
                <w:rFonts w:asciiTheme="minorHAnsi" w:hAnsiTheme="minorHAnsi"/>
                <w:sz w:val="16"/>
                <w:szCs w:val="14"/>
              </w:rPr>
            </w:pPr>
            <w:r w:rsidRPr="00364545">
              <w:rPr>
                <w:sz w:val="16"/>
              </w:rPr>
              <w:t>494,89</w:t>
            </w:r>
          </w:p>
        </w:tc>
        <w:tc>
          <w:tcPr>
            <w:tcW w:w="992" w:type="dxa"/>
            <w:tcBorders>
              <w:top w:val="nil"/>
              <w:left w:val="nil"/>
              <w:bottom w:val="single" w:sz="4" w:space="0" w:color="auto"/>
              <w:right w:val="single" w:sz="4" w:space="0" w:color="auto"/>
            </w:tcBorders>
            <w:shd w:val="clear" w:color="000000" w:fill="FFFFFF"/>
            <w:noWrap/>
            <w:vAlign w:val="bottom"/>
            <w:hideMark/>
          </w:tcPr>
          <w:p w14:paraId="1C8AC5E2" w14:textId="77777777" w:rsidR="00B56301" w:rsidRPr="00364545" w:rsidRDefault="00B56301" w:rsidP="00B37B65">
            <w:pPr>
              <w:jc w:val="right"/>
              <w:rPr>
                <w:rFonts w:asciiTheme="minorHAnsi" w:hAnsiTheme="minorHAnsi"/>
                <w:sz w:val="16"/>
                <w:szCs w:val="14"/>
              </w:rPr>
            </w:pPr>
            <w:r w:rsidRPr="00364545">
              <w:rPr>
                <w:sz w:val="16"/>
              </w:rPr>
              <w:t>478,60</w:t>
            </w:r>
          </w:p>
        </w:tc>
        <w:tc>
          <w:tcPr>
            <w:tcW w:w="1745" w:type="dxa"/>
            <w:tcBorders>
              <w:top w:val="nil"/>
              <w:left w:val="nil"/>
              <w:bottom w:val="single" w:sz="4" w:space="0" w:color="auto"/>
              <w:right w:val="single" w:sz="4" w:space="0" w:color="auto"/>
            </w:tcBorders>
            <w:shd w:val="clear" w:color="000000" w:fill="FFFFFF"/>
            <w:noWrap/>
            <w:vAlign w:val="bottom"/>
            <w:hideMark/>
          </w:tcPr>
          <w:p w14:paraId="12D62607" w14:textId="77777777" w:rsidR="00B56301" w:rsidRPr="00364545" w:rsidRDefault="00B56301" w:rsidP="00B37B65">
            <w:pPr>
              <w:jc w:val="right"/>
              <w:rPr>
                <w:rFonts w:asciiTheme="minorHAnsi" w:hAnsiTheme="minorHAnsi"/>
                <w:sz w:val="16"/>
                <w:szCs w:val="14"/>
              </w:rPr>
            </w:pPr>
            <w:r w:rsidRPr="00364545">
              <w:rPr>
                <w:sz w:val="16"/>
              </w:rPr>
              <w:t>-4,76</w:t>
            </w:r>
          </w:p>
        </w:tc>
      </w:tr>
      <w:tr w:rsidR="00B56301" w:rsidRPr="00364545" w14:paraId="03732FCF"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88FFE0C" w14:textId="3EB548EA"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B. Biological treatment of solid waste</w:t>
            </w:r>
          </w:p>
        </w:tc>
        <w:tc>
          <w:tcPr>
            <w:tcW w:w="992" w:type="dxa"/>
            <w:tcBorders>
              <w:top w:val="nil"/>
              <w:left w:val="nil"/>
              <w:bottom w:val="single" w:sz="4" w:space="0" w:color="auto"/>
              <w:right w:val="single" w:sz="4" w:space="0" w:color="auto"/>
            </w:tcBorders>
            <w:shd w:val="clear" w:color="000000" w:fill="FFFFFF"/>
            <w:noWrap/>
            <w:vAlign w:val="bottom"/>
            <w:hideMark/>
          </w:tcPr>
          <w:p w14:paraId="0711F1D2" w14:textId="77777777" w:rsidR="00B56301" w:rsidRPr="00364545" w:rsidRDefault="00B56301" w:rsidP="00B37B65">
            <w:pPr>
              <w:jc w:val="right"/>
              <w:rPr>
                <w:rFonts w:asciiTheme="minorHAnsi" w:hAnsiTheme="minorHAnsi"/>
                <w:sz w:val="16"/>
                <w:szCs w:val="14"/>
              </w:rPr>
            </w:pPr>
            <w:r w:rsidRPr="00364545">
              <w:rPr>
                <w:sz w:val="16"/>
              </w:rPr>
              <w:t>44,58</w:t>
            </w:r>
          </w:p>
        </w:tc>
        <w:tc>
          <w:tcPr>
            <w:tcW w:w="992" w:type="dxa"/>
            <w:tcBorders>
              <w:top w:val="nil"/>
              <w:left w:val="nil"/>
              <w:bottom w:val="single" w:sz="4" w:space="0" w:color="auto"/>
              <w:right w:val="single" w:sz="4" w:space="0" w:color="auto"/>
            </w:tcBorders>
            <w:shd w:val="clear" w:color="000000" w:fill="FFFFFF"/>
            <w:noWrap/>
            <w:vAlign w:val="bottom"/>
            <w:hideMark/>
          </w:tcPr>
          <w:p w14:paraId="5676C880" w14:textId="77777777" w:rsidR="00B56301" w:rsidRPr="00364545" w:rsidRDefault="00B56301" w:rsidP="00B37B65">
            <w:pPr>
              <w:jc w:val="right"/>
              <w:rPr>
                <w:rFonts w:asciiTheme="minorHAnsi" w:hAnsiTheme="minorHAnsi"/>
                <w:sz w:val="16"/>
                <w:szCs w:val="14"/>
              </w:rPr>
            </w:pPr>
            <w:r w:rsidRPr="00364545">
              <w:rPr>
                <w:sz w:val="16"/>
              </w:rPr>
              <w:t>45,01</w:t>
            </w:r>
          </w:p>
        </w:tc>
        <w:tc>
          <w:tcPr>
            <w:tcW w:w="1745" w:type="dxa"/>
            <w:tcBorders>
              <w:top w:val="nil"/>
              <w:left w:val="nil"/>
              <w:bottom w:val="single" w:sz="4" w:space="0" w:color="auto"/>
              <w:right w:val="single" w:sz="4" w:space="0" w:color="auto"/>
            </w:tcBorders>
            <w:shd w:val="clear" w:color="000000" w:fill="FFFFFF"/>
            <w:noWrap/>
            <w:vAlign w:val="bottom"/>
            <w:hideMark/>
          </w:tcPr>
          <w:p w14:paraId="25F6ADB8" w14:textId="77777777" w:rsidR="00B56301" w:rsidRPr="00364545" w:rsidRDefault="00B56301" w:rsidP="00B37B65">
            <w:pPr>
              <w:jc w:val="right"/>
              <w:rPr>
                <w:rFonts w:asciiTheme="minorHAnsi" w:hAnsiTheme="minorHAnsi"/>
                <w:sz w:val="16"/>
                <w:szCs w:val="14"/>
              </w:rPr>
            </w:pPr>
            <w:r w:rsidRPr="00364545">
              <w:rPr>
                <w:sz w:val="16"/>
              </w:rPr>
              <w:t>358,87</w:t>
            </w:r>
          </w:p>
        </w:tc>
      </w:tr>
      <w:tr w:rsidR="00B56301" w:rsidRPr="00364545" w14:paraId="5BD4153A"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4FDC202" w14:textId="4BBB080F"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C. Incineration and open burning of waste</w:t>
            </w:r>
          </w:p>
        </w:tc>
        <w:tc>
          <w:tcPr>
            <w:tcW w:w="992" w:type="dxa"/>
            <w:tcBorders>
              <w:top w:val="nil"/>
              <w:left w:val="nil"/>
              <w:bottom w:val="single" w:sz="4" w:space="0" w:color="auto"/>
              <w:right w:val="single" w:sz="4" w:space="0" w:color="auto"/>
            </w:tcBorders>
            <w:shd w:val="clear" w:color="000000" w:fill="FFFFFF"/>
            <w:noWrap/>
            <w:vAlign w:val="bottom"/>
            <w:hideMark/>
          </w:tcPr>
          <w:p w14:paraId="4608AE34" w14:textId="77777777" w:rsidR="00B56301" w:rsidRPr="00364545" w:rsidRDefault="00B56301" w:rsidP="00B37B65">
            <w:pPr>
              <w:jc w:val="right"/>
              <w:rPr>
                <w:rFonts w:asciiTheme="minorHAnsi" w:hAnsiTheme="minorHAnsi"/>
                <w:sz w:val="16"/>
                <w:szCs w:val="14"/>
              </w:rPr>
            </w:pPr>
            <w:r w:rsidRPr="00364545">
              <w:rPr>
                <w:sz w:val="16"/>
              </w:rPr>
              <w:t>1,48</w:t>
            </w:r>
          </w:p>
        </w:tc>
        <w:tc>
          <w:tcPr>
            <w:tcW w:w="992" w:type="dxa"/>
            <w:tcBorders>
              <w:top w:val="nil"/>
              <w:left w:val="nil"/>
              <w:bottom w:val="single" w:sz="4" w:space="0" w:color="auto"/>
              <w:right w:val="single" w:sz="4" w:space="0" w:color="auto"/>
            </w:tcBorders>
            <w:shd w:val="clear" w:color="000000" w:fill="FFFFFF"/>
            <w:noWrap/>
            <w:vAlign w:val="bottom"/>
            <w:hideMark/>
          </w:tcPr>
          <w:p w14:paraId="560FD4E2" w14:textId="77777777" w:rsidR="00B56301" w:rsidRPr="00364545" w:rsidRDefault="00B56301" w:rsidP="00B37B65">
            <w:pPr>
              <w:jc w:val="right"/>
              <w:rPr>
                <w:rFonts w:asciiTheme="minorHAnsi" w:hAnsiTheme="minorHAnsi"/>
                <w:sz w:val="16"/>
                <w:szCs w:val="14"/>
              </w:rPr>
            </w:pPr>
            <w:r w:rsidRPr="00364545">
              <w:rPr>
                <w:sz w:val="16"/>
              </w:rPr>
              <w:t>1,52</w:t>
            </w:r>
          </w:p>
        </w:tc>
        <w:tc>
          <w:tcPr>
            <w:tcW w:w="1745" w:type="dxa"/>
            <w:tcBorders>
              <w:top w:val="nil"/>
              <w:left w:val="nil"/>
              <w:bottom w:val="single" w:sz="4" w:space="0" w:color="auto"/>
              <w:right w:val="single" w:sz="4" w:space="0" w:color="auto"/>
            </w:tcBorders>
            <w:shd w:val="clear" w:color="000000" w:fill="FFFFFF"/>
            <w:noWrap/>
            <w:vAlign w:val="bottom"/>
            <w:hideMark/>
          </w:tcPr>
          <w:p w14:paraId="3866D3B2" w14:textId="77777777" w:rsidR="00B56301" w:rsidRPr="00364545" w:rsidRDefault="00B56301" w:rsidP="00B37B65">
            <w:pPr>
              <w:jc w:val="right"/>
              <w:rPr>
                <w:rFonts w:asciiTheme="minorHAnsi" w:hAnsiTheme="minorHAnsi"/>
                <w:sz w:val="16"/>
                <w:szCs w:val="14"/>
              </w:rPr>
            </w:pPr>
            <w:r w:rsidRPr="00364545">
              <w:rPr>
                <w:sz w:val="16"/>
              </w:rPr>
              <w:t>93,29</w:t>
            </w:r>
          </w:p>
        </w:tc>
      </w:tr>
      <w:tr w:rsidR="00B56301" w:rsidRPr="00364545" w14:paraId="2DBF6D82"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23F296F" w14:textId="61310A21"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D. Waste water treatment and discharge</w:t>
            </w:r>
          </w:p>
        </w:tc>
        <w:tc>
          <w:tcPr>
            <w:tcW w:w="992" w:type="dxa"/>
            <w:tcBorders>
              <w:top w:val="nil"/>
              <w:left w:val="nil"/>
              <w:bottom w:val="single" w:sz="4" w:space="0" w:color="auto"/>
              <w:right w:val="single" w:sz="4" w:space="0" w:color="auto"/>
            </w:tcBorders>
            <w:shd w:val="clear" w:color="000000" w:fill="FFFFFF"/>
            <w:noWrap/>
            <w:vAlign w:val="bottom"/>
            <w:hideMark/>
          </w:tcPr>
          <w:p w14:paraId="7C257F95" w14:textId="77777777" w:rsidR="00B56301" w:rsidRPr="00364545" w:rsidRDefault="00B56301" w:rsidP="00B37B65">
            <w:pPr>
              <w:jc w:val="right"/>
              <w:rPr>
                <w:rFonts w:asciiTheme="minorHAnsi" w:hAnsiTheme="minorHAnsi"/>
                <w:sz w:val="16"/>
                <w:szCs w:val="14"/>
              </w:rPr>
            </w:pPr>
            <w:r w:rsidRPr="00364545">
              <w:rPr>
                <w:sz w:val="16"/>
              </w:rPr>
              <w:t>92,26</w:t>
            </w:r>
          </w:p>
        </w:tc>
        <w:tc>
          <w:tcPr>
            <w:tcW w:w="992" w:type="dxa"/>
            <w:tcBorders>
              <w:top w:val="nil"/>
              <w:left w:val="nil"/>
              <w:bottom w:val="single" w:sz="4" w:space="0" w:color="auto"/>
              <w:right w:val="single" w:sz="4" w:space="0" w:color="auto"/>
            </w:tcBorders>
            <w:shd w:val="clear" w:color="000000" w:fill="FFFFFF"/>
            <w:noWrap/>
            <w:vAlign w:val="bottom"/>
            <w:hideMark/>
          </w:tcPr>
          <w:p w14:paraId="459C6580" w14:textId="77777777" w:rsidR="00B56301" w:rsidRPr="00364545" w:rsidRDefault="00B56301" w:rsidP="00B37B65">
            <w:pPr>
              <w:jc w:val="right"/>
              <w:rPr>
                <w:rFonts w:asciiTheme="minorHAnsi" w:hAnsiTheme="minorHAnsi"/>
                <w:sz w:val="16"/>
                <w:szCs w:val="14"/>
              </w:rPr>
            </w:pPr>
            <w:r w:rsidRPr="00364545">
              <w:rPr>
                <w:sz w:val="16"/>
              </w:rPr>
              <w:t>93,20</w:t>
            </w:r>
          </w:p>
        </w:tc>
        <w:tc>
          <w:tcPr>
            <w:tcW w:w="1745" w:type="dxa"/>
            <w:tcBorders>
              <w:top w:val="nil"/>
              <w:left w:val="nil"/>
              <w:bottom w:val="single" w:sz="4" w:space="0" w:color="auto"/>
              <w:right w:val="single" w:sz="4" w:space="0" w:color="auto"/>
            </w:tcBorders>
            <w:shd w:val="clear" w:color="000000" w:fill="FFFFFF"/>
            <w:noWrap/>
            <w:vAlign w:val="bottom"/>
            <w:hideMark/>
          </w:tcPr>
          <w:p w14:paraId="1BEEA868" w14:textId="77777777" w:rsidR="00B56301" w:rsidRPr="00364545" w:rsidRDefault="00B56301" w:rsidP="00B37B65">
            <w:pPr>
              <w:jc w:val="right"/>
              <w:rPr>
                <w:rFonts w:asciiTheme="minorHAnsi" w:hAnsiTheme="minorHAnsi"/>
                <w:sz w:val="16"/>
                <w:szCs w:val="14"/>
              </w:rPr>
            </w:pPr>
            <w:r w:rsidRPr="00364545">
              <w:rPr>
                <w:sz w:val="16"/>
              </w:rPr>
              <w:t>56,31</w:t>
            </w:r>
          </w:p>
        </w:tc>
      </w:tr>
      <w:tr w:rsidR="00B56301" w:rsidRPr="00364545" w14:paraId="529B2ED5"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3D8D1E5" w14:textId="315E764C" w:rsidR="00B56301" w:rsidRPr="00364545" w:rsidRDefault="00B56301" w:rsidP="00B37B65">
            <w:pPr>
              <w:ind w:firstLineChars="200" w:firstLine="320"/>
              <w:jc w:val="left"/>
              <w:rPr>
                <w:rFonts w:asciiTheme="minorHAnsi" w:hAnsiTheme="minorHAnsi"/>
                <w:sz w:val="16"/>
                <w:szCs w:val="14"/>
              </w:rPr>
            </w:pPr>
            <w:r w:rsidRPr="00364545">
              <w:rPr>
                <w:rFonts w:asciiTheme="minorHAnsi" w:hAnsiTheme="minorHAnsi"/>
                <w:sz w:val="16"/>
              </w:rPr>
              <w:t>E. Other</w:t>
            </w:r>
            <w:r w:rsidRPr="00364545">
              <w:rPr>
                <w:rFonts w:asciiTheme="minorHAnsi" w:hAnsiTheme="minorHAnsi"/>
                <w:b/>
                <w:i/>
                <w:sz w:val="16"/>
              </w:rPr>
              <w:t xml:space="preserve"> </w:t>
            </w:r>
          </w:p>
        </w:tc>
        <w:tc>
          <w:tcPr>
            <w:tcW w:w="992" w:type="dxa"/>
            <w:tcBorders>
              <w:top w:val="nil"/>
              <w:left w:val="nil"/>
              <w:bottom w:val="single" w:sz="4" w:space="0" w:color="auto"/>
              <w:right w:val="single" w:sz="4" w:space="0" w:color="auto"/>
            </w:tcBorders>
            <w:shd w:val="clear" w:color="000000" w:fill="FFFFFF"/>
            <w:noWrap/>
            <w:vAlign w:val="bottom"/>
            <w:hideMark/>
          </w:tcPr>
          <w:p w14:paraId="4FF90479" w14:textId="77777777" w:rsidR="00B56301" w:rsidRPr="00364545" w:rsidRDefault="00B56301" w:rsidP="00B37B65">
            <w:pPr>
              <w:jc w:val="right"/>
              <w:rPr>
                <w:rFonts w:asciiTheme="minorHAnsi" w:hAnsiTheme="minorHAnsi"/>
                <w:sz w:val="16"/>
                <w:szCs w:val="14"/>
              </w:rPr>
            </w:pPr>
            <w:r w:rsidRPr="00364545">
              <w:rPr>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1F2D7E56" w14:textId="77777777" w:rsidR="00B56301" w:rsidRPr="00364545" w:rsidRDefault="00B56301" w:rsidP="00B37B65">
            <w:pPr>
              <w:jc w:val="right"/>
              <w:rPr>
                <w:rFonts w:asciiTheme="minorHAnsi" w:hAnsiTheme="minorHAnsi"/>
                <w:sz w:val="16"/>
                <w:szCs w:val="14"/>
              </w:rPr>
            </w:pPr>
            <w:r w:rsidRPr="00364545">
              <w:rPr>
                <w:sz w:val="16"/>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2F545DB1" w14:textId="77777777" w:rsidR="00B56301" w:rsidRPr="00364545" w:rsidRDefault="00B56301" w:rsidP="00B37B65">
            <w:pPr>
              <w:jc w:val="right"/>
              <w:rPr>
                <w:rFonts w:asciiTheme="minorHAnsi" w:hAnsiTheme="minorHAnsi"/>
                <w:sz w:val="16"/>
                <w:szCs w:val="14"/>
              </w:rPr>
            </w:pPr>
            <w:r w:rsidRPr="00364545">
              <w:rPr>
                <w:sz w:val="16"/>
              </w:rPr>
              <w:t>0,00</w:t>
            </w:r>
          </w:p>
        </w:tc>
      </w:tr>
      <w:tr w:rsidR="00B56301" w:rsidRPr="00364545" w14:paraId="620B583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66091EC" w14:textId="0FED0114"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2" w:type="dxa"/>
            <w:tcBorders>
              <w:top w:val="nil"/>
              <w:left w:val="nil"/>
              <w:bottom w:val="single" w:sz="4" w:space="0" w:color="auto"/>
              <w:right w:val="single" w:sz="4" w:space="0" w:color="auto"/>
            </w:tcBorders>
            <w:shd w:val="clear" w:color="000000" w:fill="CCFFFF"/>
            <w:noWrap/>
            <w:vAlign w:val="bottom"/>
            <w:hideMark/>
          </w:tcPr>
          <w:p w14:paraId="61CADDD4" w14:textId="77777777" w:rsidR="00B56301" w:rsidRPr="00364545" w:rsidRDefault="00B56301" w:rsidP="00B37B65">
            <w:pPr>
              <w:jc w:val="right"/>
              <w:rPr>
                <w:rFonts w:asciiTheme="minorHAnsi" w:hAnsiTheme="minorHAnsi"/>
                <w:sz w:val="16"/>
                <w:szCs w:val="14"/>
              </w:rPr>
            </w:pPr>
            <w:r w:rsidRPr="00364545">
              <w:rPr>
                <w:sz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3EACF8B7" w14:textId="77777777" w:rsidR="00B56301" w:rsidRPr="00364545" w:rsidRDefault="00B56301" w:rsidP="00B37B65">
            <w:pPr>
              <w:jc w:val="right"/>
              <w:rPr>
                <w:rFonts w:asciiTheme="minorHAnsi" w:hAnsiTheme="minorHAnsi"/>
                <w:sz w:val="16"/>
                <w:szCs w:val="14"/>
              </w:rPr>
            </w:pPr>
            <w:r w:rsidRPr="00364545">
              <w:rPr>
                <w:sz w:val="16"/>
              </w:rPr>
              <w:t>NO</w:t>
            </w:r>
          </w:p>
        </w:tc>
        <w:tc>
          <w:tcPr>
            <w:tcW w:w="1745" w:type="dxa"/>
            <w:tcBorders>
              <w:top w:val="nil"/>
              <w:left w:val="nil"/>
              <w:bottom w:val="single" w:sz="4" w:space="0" w:color="auto"/>
              <w:right w:val="single" w:sz="4" w:space="0" w:color="auto"/>
            </w:tcBorders>
            <w:shd w:val="clear" w:color="000000" w:fill="CCFFFF"/>
            <w:noWrap/>
            <w:vAlign w:val="bottom"/>
            <w:hideMark/>
          </w:tcPr>
          <w:p w14:paraId="0CCE5123" w14:textId="77777777" w:rsidR="00B56301" w:rsidRPr="00364545" w:rsidRDefault="00B56301" w:rsidP="00B37B65">
            <w:pPr>
              <w:jc w:val="right"/>
              <w:rPr>
                <w:rFonts w:asciiTheme="minorHAnsi" w:hAnsiTheme="minorHAnsi"/>
                <w:sz w:val="16"/>
                <w:szCs w:val="14"/>
              </w:rPr>
            </w:pPr>
            <w:r w:rsidRPr="00364545">
              <w:rPr>
                <w:sz w:val="16"/>
              </w:rPr>
              <w:t>0,00</w:t>
            </w:r>
          </w:p>
        </w:tc>
      </w:tr>
      <w:tr w:rsidR="00B56301" w:rsidRPr="00364545" w14:paraId="52F2C31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6844587F" w14:textId="59AADAB2"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Total </w:t>
            </w:r>
            <w:r w:rsidRPr="00364545">
              <w:t>CH</w:t>
            </w:r>
            <w:r w:rsidRPr="00364545">
              <w:rPr>
                <w:vertAlign w:val="subscript"/>
              </w:rPr>
              <w:t>4</w:t>
            </w:r>
            <w:r w:rsidRPr="00364545">
              <w:t xml:space="preserve"> </w:t>
            </w:r>
            <w:r w:rsidRPr="00364545">
              <w:rPr>
                <w:rFonts w:asciiTheme="minorHAnsi" w:hAnsiTheme="minorHAnsi"/>
                <w:b/>
                <w:sz w:val="16"/>
              </w:rPr>
              <w:t xml:space="preserve">emissions without </w:t>
            </w:r>
            <w:r w:rsidRPr="00364545">
              <w:t>CH</w:t>
            </w:r>
            <w:r w:rsidRPr="00364545">
              <w:rPr>
                <w:vertAlign w:val="subscript"/>
              </w:rPr>
              <w:t>4</w:t>
            </w:r>
            <w:r w:rsidRPr="00364545">
              <w:t xml:space="preserve"> </w:t>
            </w:r>
            <w:r w:rsidRPr="00364545">
              <w:rPr>
                <w:rFonts w:asciiTheme="minorHAnsi" w:hAnsiTheme="minorHAnsi"/>
                <w:b/>
                <w:sz w:val="16"/>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103FF84" w14:textId="77777777" w:rsidR="00B56301" w:rsidRPr="00364545" w:rsidRDefault="00B56301" w:rsidP="00B37B65">
            <w:pPr>
              <w:jc w:val="right"/>
              <w:rPr>
                <w:rFonts w:asciiTheme="minorHAnsi" w:hAnsiTheme="minorHAnsi"/>
                <w:sz w:val="16"/>
                <w:szCs w:val="14"/>
              </w:rPr>
            </w:pPr>
            <w:r w:rsidRPr="00364545">
              <w:rPr>
                <w:sz w:val="16"/>
              </w:rPr>
              <w:t>2229,59</w:t>
            </w:r>
          </w:p>
        </w:tc>
        <w:tc>
          <w:tcPr>
            <w:tcW w:w="992" w:type="dxa"/>
            <w:tcBorders>
              <w:top w:val="nil"/>
              <w:left w:val="nil"/>
              <w:bottom w:val="single" w:sz="4" w:space="0" w:color="auto"/>
              <w:right w:val="single" w:sz="4" w:space="0" w:color="auto"/>
            </w:tcBorders>
            <w:shd w:val="clear" w:color="000000" w:fill="CCFFFF"/>
            <w:noWrap/>
            <w:vAlign w:val="bottom"/>
            <w:hideMark/>
          </w:tcPr>
          <w:p w14:paraId="316E3CB3" w14:textId="77777777" w:rsidR="00B56301" w:rsidRPr="00364545" w:rsidRDefault="00B56301" w:rsidP="00B37B65">
            <w:pPr>
              <w:jc w:val="right"/>
              <w:rPr>
                <w:rFonts w:asciiTheme="minorHAnsi" w:hAnsiTheme="minorHAnsi"/>
                <w:sz w:val="16"/>
                <w:szCs w:val="14"/>
              </w:rPr>
            </w:pPr>
            <w:r w:rsidRPr="00364545">
              <w:rPr>
                <w:sz w:val="16"/>
              </w:rPr>
              <w:t>2185,67</w:t>
            </w:r>
          </w:p>
        </w:tc>
        <w:tc>
          <w:tcPr>
            <w:tcW w:w="1745" w:type="dxa"/>
            <w:tcBorders>
              <w:top w:val="nil"/>
              <w:left w:val="nil"/>
              <w:bottom w:val="single" w:sz="4" w:space="0" w:color="auto"/>
              <w:right w:val="single" w:sz="4" w:space="0" w:color="auto"/>
            </w:tcBorders>
            <w:shd w:val="clear" w:color="000000" w:fill="CCFFFF"/>
            <w:noWrap/>
            <w:vAlign w:val="bottom"/>
            <w:hideMark/>
          </w:tcPr>
          <w:p w14:paraId="6D1B7F62" w14:textId="77777777" w:rsidR="00B56301" w:rsidRPr="00364545" w:rsidRDefault="00B56301" w:rsidP="00B37B65">
            <w:pPr>
              <w:jc w:val="right"/>
              <w:rPr>
                <w:rFonts w:asciiTheme="minorHAnsi" w:hAnsiTheme="minorHAnsi"/>
                <w:sz w:val="16"/>
                <w:szCs w:val="14"/>
              </w:rPr>
            </w:pPr>
            <w:r w:rsidRPr="00364545">
              <w:rPr>
                <w:sz w:val="16"/>
              </w:rPr>
              <w:t>-20,99</w:t>
            </w:r>
          </w:p>
        </w:tc>
      </w:tr>
      <w:tr w:rsidR="00B56301" w:rsidRPr="00364545" w14:paraId="33BA5AB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463255BE" w14:textId="799116E9"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Total </w:t>
            </w:r>
            <w:r w:rsidRPr="00364545">
              <w:t>CH</w:t>
            </w:r>
            <w:r w:rsidRPr="00364545">
              <w:rPr>
                <w:vertAlign w:val="subscript"/>
              </w:rPr>
              <w:t>4</w:t>
            </w:r>
            <w:r w:rsidRPr="00364545">
              <w:t xml:space="preserve"> </w:t>
            </w:r>
            <w:r w:rsidRPr="00364545">
              <w:rPr>
                <w:rFonts w:asciiTheme="minorHAnsi" w:hAnsiTheme="minorHAnsi"/>
                <w:b/>
                <w:sz w:val="16"/>
              </w:rPr>
              <w:t xml:space="preserve">emissions with </w:t>
            </w:r>
            <w:r w:rsidRPr="00364545">
              <w:t>CH</w:t>
            </w:r>
            <w:r w:rsidRPr="00364545">
              <w:rPr>
                <w:vertAlign w:val="subscript"/>
              </w:rPr>
              <w:t>4</w:t>
            </w:r>
            <w:r w:rsidRPr="00364545">
              <w:t xml:space="preserve"> </w:t>
            </w:r>
            <w:r w:rsidRPr="00364545">
              <w:rPr>
                <w:rFonts w:asciiTheme="minorHAnsi" w:hAnsiTheme="minorHAnsi"/>
                <w:b/>
                <w:sz w:val="16"/>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4102973" w14:textId="77777777" w:rsidR="00B56301" w:rsidRPr="00364545" w:rsidRDefault="00B56301" w:rsidP="00B37B65">
            <w:pPr>
              <w:jc w:val="right"/>
              <w:rPr>
                <w:rFonts w:asciiTheme="minorHAnsi" w:hAnsiTheme="minorHAnsi"/>
                <w:sz w:val="16"/>
                <w:szCs w:val="14"/>
              </w:rPr>
            </w:pPr>
            <w:r w:rsidRPr="00364545">
              <w:rPr>
                <w:sz w:val="16"/>
              </w:rPr>
              <w:t>2275,09</w:t>
            </w:r>
          </w:p>
        </w:tc>
        <w:tc>
          <w:tcPr>
            <w:tcW w:w="992" w:type="dxa"/>
            <w:tcBorders>
              <w:top w:val="nil"/>
              <w:left w:val="nil"/>
              <w:bottom w:val="single" w:sz="4" w:space="0" w:color="auto"/>
              <w:right w:val="single" w:sz="4" w:space="0" w:color="auto"/>
            </w:tcBorders>
            <w:shd w:val="clear" w:color="000000" w:fill="CCFFFF"/>
            <w:noWrap/>
            <w:vAlign w:val="bottom"/>
            <w:hideMark/>
          </w:tcPr>
          <w:p w14:paraId="4B12E8EF" w14:textId="77777777" w:rsidR="00B56301" w:rsidRPr="00364545" w:rsidRDefault="00B56301" w:rsidP="00B37B65">
            <w:pPr>
              <w:jc w:val="right"/>
              <w:rPr>
                <w:rFonts w:asciiTheme="minorHAnsi" w:hAnsiTheme="minorHAnsi"/>
                <w:sz w:val="16"/>
                <w:szCs w:val="14"/>
              </w:rPr>
            </w:pPr>
            <w:r w:rsidRPr="00364545">
              <w:rPr>
                <w:sz w:val="16"/>
              </w:rPr>
              <w:t>2229,90</w:t>
            </w:r>
          </w:p>
        </w:tc>
        <w:tc>
          <w:tcPr>
            <w:tcW w:w="1745" w:type="dxa"/>
            <w:tcBorders>
              <w:top w:val="nil"/>
              <w:left w:val="nil"/>
              <w:bottom w:val="single" w:sz="4" w:space="0" w:color="auto"/>
              <w:right w:val="single" w:sz="4" w:space="0" w:color="auto"/>
            </w:tcBorders>
            <w:shd w:val="clear" w:color="000000" w:fill="CCFFFF"/>
            <w:noWrap/>
            <w:vAlign w:val="bottom"/>
            <w:hideMark/>
          </w:tcPr>
          <w:p w14:paraId="2F7EEF98" w14:textId="77777777" w:rsidR="00B56301" w:rsidRPr="00364545" w:rsidRDefault="00B56301" w:rsidP="00B37B65">
            <w:pPr>
              <w:jc w:val="right"/>
              <w:rPr>
                <w:rFonts w:asciiTheme="minorHAnsi" w:hAnsiTheme="minorHAnsi"/>
                <w:sz w:val="16"/>
                <w:szCs w:val="14"/>
              </w:rPr>
            </w:pPr>
            <w:r w:rsidRPr="00364545">
              <w:rPr>
                <w:sz w:val="16"/>
              </w:rPr>
              <w:t>-20,47</w:t>
            </w:r>
          </w:p>
        </w:tc>
      </w:tr>
      <w:tr w:rsidR="00B56301" w:rsidRPr="00364545" w14:paraId="4862148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F37A0D6"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Memo items:</w:t>
            </w:r>
          </w:p>
        </w:tc>
        <w:tc>
          <w:tcPr>
            <w:tcW w:w="992" w:type="dxa"/>
            <w:tcBorders>
              <w:top w:val="nil"/>
              <w:left w:val="nil"/>
              <w:bottom w:val="single" w:sz="4" w:space="0" w:color="auto"/>
              <w:right w:val="single" w:sz="4" w:space="0" w:color="auto"/>
            </w:tcBorders>
            <w:shd w:val="clear" w:color="000000" w:fill="969696"/>
            <w:noWrap/>
            <w:vAlign w:val="bottom"/>
            <w:hideMark/>
          </w:tcPr>
          <w:p w14:paraId="6421F09B"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518535D"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1142BD3A"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4CF3519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5B9D980"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International bunkers</w:t>
            </w:r>
          </w:p>
        </w:tc>
        <w:tc>
          <w:tcPr>
            <w:tcW w:w="992" w:type="dxa"/>
            <w:tcBorders>
              <w:top w:val="nil"/>
              <w:left w:val="nil"/>
              <w:bottom w:val="single" w:sz="4" w:space="0" w:color="auto"/>
              <w:right w:val="single" w:sz="4" w:space="0" w:color="auto"/>
            </w:tcBorders>
            <w:shd w:val="clear" w:color="000000" w:fill="CCFFFF"/>
            <w:noWrap/>
            <w:vAlign w:val="bottom"/>
            <w:hideMark/>
          </w:tcPr>
          <w:p w14:paraId="75DA03A0" w14:textId="77777777" w:rsidR="00B56301" w:rsidRPr="00364545" w:rsidRDefault="00B56301" w:rsidP="00B37B65">
            <w:pPr>
              <w:jc w:val="right"/>
              <w:rPr>
                <w:rFonts w:asciiTheme="minorHAnsi" w:hAnsiTheme="minorHAnsi"/>
                <w:sz w:val="16"/>
                <w:szCs w:val="14"/>
              </w:rPr>
            </w:pPr>
            <w:r w:rsidRPr="00364545">
              <w:rPr>
                <w:sz w:val="16"/>
              </w:rPr>
              <w:t>0,60</w:t>
            </w:r>
          </w:p>
        </w:tc>
        <w:tc>
          <w:tcPr>
            <w:tcW w:w="992" w:type="dxa"/>
            <w:tcBorders>
              <w:top w:val="nil"/>
              <w:left w:val="nil"/>
              <w:bottom w:val="single" w:sz="4" w:space="0" w:color="auto"/>
              <w:right w:val="single" w:sz="4" w:space="0" w:color="auto"/>
            </w:tcBorders>
            <w:shd w:val="clear" w:color="000000" w:fill="CCFFFF"/>
            <w:noWrap/>
            <w:vAlign w:val="bottom"/>
            <w:hideMark/>
          </w:tcPr>
          <w:p w14:paraId="47CA0257" w14:textId="77777777" w:rsidR="00B56301" w:rsidRPr="00364545" w:rsidRDefault="00B56301" w:rsidP="00B37B65">
            <w:pPr>
              <w:jc w:val="right"/>
              <w:rPr>
                <w:rFonts w:asciiTheme="minorHAnsi" w:hAnsiTheme="minorHAnsi"/>
                <w:sz w:val="16"/>
                <w:szCs w:val="14"/>
              </w:rPr>
            </w:pPr>
            <w:r w:rsidRPr="00364545">
              <w:rPr>
                <w:sz w:val="16"/>
              </w:rPr>
              <w:t>0,33</w:t>
            </w:r>
          </w:p>
        </w:tc>
        <w:tc>
          <w:tcPr>
            <w:tcW w:w="1745" w:type="dxa"/>
            <w:tcBorders>
              <w:top w:val="nil"/>
              <w:left w:val="nil"/>
              <w:bottom w:val="single" w:sz="4" w:space="0" w:color="auto"/>
              <w:right w:val="single" w:sz="4" w:space="0" w:color="auto"/>
            </w:tcBorders>
            <w:shd w:val="clear" w:color="000000" w:fill="CCFFFF"/>
            <w:noWrap/>
            <w:vAlign w:val="bottom"/>
            <w:hideMark/>
          </w:tcPr>
          <w:p w14:paraId="2BC8AF21" w14:textId="77777777" w:rsidR="00B56301" w:rsidRPr="00364545" w:rsidRDefault="00B56301" w:rsidP="00B37B65">
            <w:pPr>
              <w:jc w:val="right"/>
              <w:rPr>
                <w:rFonts w:asciiTheme="minorHAnsi" w:hAnsiTheme="minorHAnsi"/>
                <w:sz w:val="16"/>
                <w:szCs w:val="14"/>
              </w:rPr>
            </w:pPr>
            <w:r w:rsidRPr="00364545">
              <w:rPr>
                <w:sz w:val="16"/>
              </w:rPr>
              <w:t>-64,97</w:t>
            </w:r>
          </w:p>
        </w:tc>
      </w:tr>
      <w:tr w:rsidR="00B56301" w:rsidRPr="00364545" w14:paraId="0DB22CD5"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D8CF394" w14:textId="77777777" w:rsidR="00B56301" w:rsidRPr="00364545" w:rsidRDefault="00B56301" w:rsidP="00B37B65">
            <w:pPr>
              <w:jc w:val="left"/>
              <w:rPr>
                <w:rFonts w:asciiTheme="minorHAnsi" w:hAnsiTheme="minorHAnsi"/>
                <w:sz w:val="16"/>
                <w:szCs w:val="14"/>
              </w:rPr>
            </w:pPr>
            <w:r w:rsidRPr="00364545">
              <w:rPr>
                <w:rFonts w:asciiTheme="minorHAnsi" w:hAnsiTheme="minorHAnsi"/>
                <w:sz w:val="16"/>
              </w:rPr>
              <w:t>Aviation</w:t>
            </w:r>
          </w:p>
        </w:tc>
        <w:tc>
          <w:tcPr>
            <w:tcW w:w="992" w:type="dxa"/>
            <w:tcBorders>
              <w:top w:val="nil"/>
              <w:left w:val="nil"/>
              <w:bottom w:val="single" w:sz="4" w:space="0" w:color="auto"/>
              <w:right w:val="single" w:sz="4" w:space="0" w:color="auto"/>
            </w:tcBorders>
            <w:shd w:val="clear" w:color="000000" w:fill="FFFFFF"/>
            <w:noWrap/>
            <w:vAlign w:val="bottom"/>
            <w:hideMark/>
          </w:tcPr>
          <w:p w14:paraId="13694EAF" w14:textId="77777777" w:rsidR="00B56301" w:rsidRPr="00364545" w:rsidRDefault="00B56301" w:rsidP="00B37B65">
            <w:pPr>
              <w:jc w:val="right"/>
              <w:rPr>
                <w:rFonts w:asciiTheme="minorHAnsi" w:hAnsiTheme="minorHAnsi"/>
                <w:sz w:val="16"/>
                <w:szCs w:val="14"/>
              </w:rPr>
            </w:pPr>
            <w:r w:rsidRPr="00364545">
              <w:rPr>
                <w:sz w:val="16"/>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49FC41DA" w14:textId="77777777" w:rsidR="00B56301" w:rsidRPr="00364545" w:rsidRDefault="00B56301" w:rsidP="00B37B65">
            <w:pPr>
              <w:jc w:val="right"/>
              <w:rPr>
                <w:rFonts w:asciiTheme="minorHAnsi" w:hAnsiTheme="minorHAnsi"/>
                <w:sz w:val="16"/>
                <w:szCs w:val="14"/>
              </w:rPr>
            </w:pPr>
            <w:r w:rsidRPr="00364545">
              <w:rPr>
                <w:sz w:val="16"/>
              </w:rPr>
              <w:t>0,03</w:t>
            </w:r>
          </w:p>
        </w:tc>
        <w:tc>
          <w:tcPr>
            <w:tcW w:w="1745" w:type="dxa"/>
            <w:tcBorders>
              <w:top w:val="nil"/>
              <w:left w:val="nil"/>
              <w:bottom w:val="single" w:sz="4" w:space="0" w:color="auto"/>
              <w:right w:val="single" w:sz="4" w:space="0" w:color="auto"/>
            </w:tcBorders>
            <w:shd w:val="clear" w:color="000000" w:fill="FFFFFF"/>
            <w:noWrap/>
            <w:vAlign w:val="bottom"/>
            <w:hideMark/>
          </w:tcPr>
          <w:p w14:paraId="6D771D76" w14:textId="77777777" w:rsidR="00B56301" w:rsidRPr="00364545" w:rsidRDefault="00B56301" w:rsidP="00B37B65">
            <w:pPr>
              <w:jc w:val="right"/>
              <w:rPr>
                <w:rFonts w:asciiTheme="minorHAnsi" w:hAnsiTheme="minorHAnsi"/>
                <w:sz w:val="16"/>
                <w:szCs w:val="14"/>
              </w:rPr>
            </w:pPr>
            <w:r w:rsidRPr="00364545">
              <w:rPr>
                <w:sz w:val="16"/>
              </w:rPr>
              <w:t>-83,89</w:t>
            </w:r>
          </w:p>
        </w:tc>
      </w:tr>
      <w:tr w:rsidR="00B56301" w:rsidRPr="00364545" w14:paraId="3578B913"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76EAFB0" w14:textId="77777777" w:rsidR="00B56301" w:rsidRPr="00364545" w:rsidRDefault="00B56301" w:rsidP="00B37B65">
            <w:pPr>
              <w:jc w:val="left"/>
              <w:rPr>
                <w:rFonts w:asciiTheme="minorHAnsi" w:hAnsiTheme="minorHAnsi"/>
                <w:sz w:val="16"/>
                <w:szCs w:val="14"/>
              </w:rPr>
            </w:pPr>
            <w:r w:rsidRPr="00364545">
              <w:rPr>
                <w:rFonts w:asciiTheme="minorHAnsi" w:hAnsiTheme="minorHAnsi"/>
                <w:sz w:val="16"/>
              </w:rPr>
              <w:t>Navigation</w:t>
            </w:r>
          </w:p>
        </w:tc>
        <w:tc>
          <w:tcPr>
            <w:tcW w:w="992" w:type="dxa"/>
            <w:tcBorders>
              <w:top w:val="nil"/>
              <w:left w:val="nil"/>
              <w:bottom w:val="single" w:sz="4" w:space="0" w:color="auto"/>
              <w:right w:val="single" w:sz="4" w:space="0" w:color="auto"/>
            </w:tcBorders>
            <w:shd w:val="clear" w:color="000000" w:fill="FFFFFF"/>
            <w:noWrap/>
            <w:vAlign w:val="bottom"/>
            <w:hideMark/>
          </w:tcPr>
          <w:p w14:paraId="3C56B147" w14:textId="77777777" w:rsidR="00B56301" w:rsidRPr="00364545" w:rsidRDefault="00B56301" w:rsidP="00B37B65">
            <w:pPr>
              <w:jc w:val="right"/>
              <w:rPr>
                <w:rFonts w:asciiTheme="minorHAnsi" w:hAnsiTheme="minorHAnsi"/>
                <w:sz w:val="16"/>
                <w:szCs w:val="14"/>
              </w:rPr>
            </w:pPr>
            <w:r w:rsidRPr="00364545">
              <w:rPr>
                <w:sz w:val="16"/>
              </w:rPr>
              <w:t>0,53</w:t>
            </w:r>
          </w:p>
        </w:tc>
        <w:tc>
          <w:tcPr>
            <w:tcW w:w="992" w:type="dxa"/>
            <w:tcBorders>
              <w:top w:val="nil"/>
              <w:left w:val="nil"/>
              <w:bottom w:val="single" w:sz="4" w:space="0" w:color="auto"/>
              <w:right w:val="single" w:sz="4" w:space="0" w:color="auto"/>
            </w:tcBorders>
            <w:shd w:val="clear" w:color="000000" w:fill="FFFFFF"/>
            <w:noWrap/>
            <w:vAlign w:val="bottom"/>
            <w:hideMark/>
          </w:tcPr>
          <w:p w14:paraId="64DBCF6D" w14:textId="77777777" w:rsidR="00B56301" w:rsidRPr="00364545" w:rsidRDefault="00B56301" w:rsidP="00B37B65">
            <w:pPr>
              <w:jc w:val="right"/>
              <w:rPr>
                <w:rFonts w:asciiTheme="minorHAnsi" w:hAnsiTheme="minorHAnsi"/>
                <w:sz w:val="16"/>
                <w:szCs w:val="14"/>
              </w:rPr>
            </w:pPr>
            <w:r w:rsidRPr="00364545">
              <w:rPr>
                <w:sz w:val="16"/>
              </w:rPr>
              <w:t>0,30</w:t>
            </w:r>
          </w:p>
        </w:tc>
        <w:tc>
          <w:tcPr>
            <w:tcW w:w="1745" w:type="dxa"/>
            <w:tcBorders>
              <w:top w:val="nil"/>
              <w:left w:val="nil"/>
              <w:bottom w:val="single" w:sz="4" w:space="0" w:color="auto"/>
              <w:right w:val="single" w:sz="4" w:space="0" w:color="auto"/>
            </w:tcBorders>
            <w:shd w:val="clear" w:color="000000" w:fill="FFFFFF"/>
            <w:noWrap/>
            <w:vAlign w:val="bottom"/>
            <w:hideMark/>
          </w:tcPr>
          <w:p w14:paraId="5FB1723F" w14:textId="77777777" w:rsidR="00B56301" w:rsidRPr="00364545" w:rsidRDefault="00B56301" w:rsidP="00B37B65">
            <w:pPr>
              <w:jc w:val="right"/>
              <w:rPr>
                <w:rFonts w:asciiTheme="minorHAnsi" w:hAnsiTheme="minorHAnsi"/>
                <w:sz w:val="16"/>
                <w:szCs w:val="14"/>
              </w:rPr>
            </w:pPr>
            <w:r w:rsidRPr="00364545">
              <w:rPr>
                <w:sz w:val="16"/>
              </w:rPr>
              <w:t>-60,68</w:t>
            </w:r>
          </w:p>
        </w:tc>
      </w:tr>
      <w:tr w:rsidR="00B56301" w:rsidRPr="00364545" w14:paraId="68B16FA9"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360CDBD"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Multilateral operations</w:t>
            </w:r>
          </w:p>
        </w:tc>
        <w:tc>
          <w:tcPr>
            <w:tcW w:w="992" w:type="dxa"/>
            <w:tcBorders>
              <w:top w:val="nil"/>
              <w:left w:val="nil"/>
              <w:bottom w:val="single" w:sz="4" w:space="0" w:color="auto"/>
              <w:right w:val="single" w:sz="4" w:space="0" w:color="auto"/>
            </w:tcBorders>
            <w:shd w:val="clear" w:color="000000" w:fill="FFFFFF"/>
            <w:noWrap/>
            <w:vAlign w:val="bottom"/>
            <w:hideMark/>
          </w:tcPr>
          <w:p w14:paraId="63C1C292" w14:textId="77777777" w:rsidR="00B56301" w:rsidRPr="00364545" w:rsidRDefault="00B56301" w:rsidP="00B37B65">
            <w:pPr>
              <w:jc w:val="right"/>
              <w:rPr>
                <w:rFonts w:asciiTheme="minorHAnsi" w:hAnsiTheme="minorHAnsi"/>
                <w:sz w:val="16"/>
                <w:szCs w:val="14"/>
              </w:rPr>
            </w:pPr>
            <w:r w:rsidRPr="00364545">
              <w:rPr>
                <w:sz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1B523F12" w14:textId="77777777" w:rsidR="00B56301" w:rsidRPr="00364545" w:rsidRDefault="00B56301" w:rsidP="00B37B65">
            <w:pPr>
              <w:jc w:val="right"/>
              <w:rPr>
                <w:rFonts w:asciiTheme="minorHAnsi" w:hAnsiTheme="minorHAnsi"/>
                <w:sz w:val="16"/>
                <w:szCs w:val="14"/>
              </w:rPr>
            </w:pPr>
            <w:r w:rsidRPr="00364545">
              <w:rPr>
                <w:sz w:val="16"/>
              </w:rPr>
              <w:t>NE</w:t>
            </w:r>
          </w:p>
        </w:tc>
        <w:tc>
          <w:tcPr>
            <w:tcW w:w="1745" w:type="dxa"/>
            <w:tcBorders>
              <w:top w:val="nil"/>
              <w:left w:val="nil"/>
              <w:bottom w:val="single" w:sz="4" w:space="0" w:color="auto"/>
              <w:right w:val="single" w:sz="4" w:space="0" w:color="auto"/>
            </w:tcBorders>
            <w:shd w:val="clear" w:color="000000" w:fill="FFFFFF"/>
            <w:noWrap/>
            <w:vAlign w:val="bottom"/>
            <w:hideMark/>
          </w:tcPr>
          <w:p w14:paraId="3D4A5BD3" w14:textId="77777777" w:rsidR="00B56301" w:rsidRPr="00364545" w:rsidRDefault="00B56301" w:rsidP="00B37B65">
            <w:pPr>
              <w:jc w:val="right"/>
              <w:rPr>
                <w:rFonts w:asciiTheme="minorHAnsi" w:hAnsiTheme="minorHAnsi"/>
                <w:sz w:val="16"/>
                <w:szCs w:val="14"/>
              </w:rPr>
            </w:pPr>
            <w:r w:rsidRPr="00364545">
              <w:rPr>
                <w:sz w:val="16"/>
              </w:rPr>
              <w:t>0,00</w:t>
            </w:r>
          </w:p>
        </w:tc>
      </w:tr>
      <w:tr w:rsidR="00B56301" w:rsidRPr="00364545" w14:paraId="3E1A3A4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A15A791" w14:textId="667A580E" w:rsidR="00B56301" w:rsidRPr="00364545" w:rsidRDefault="007F09F7" w:rsidP="00B37B65">
            <w:pPr>
              <w:jc w:val="left"/>
              <w:rPr>
                <w:rFonts w:asciiTheme="minorHAnsi" w:hAnsiTheme="minorHAnsi"/>
                <w:b/>
                <w:bCs/>
                <w:sz w:val="16"/>
                <w:szCs w:val="14"/>
              </w:rPr>
            </w:pPr>
            <w:r w:rsidRPr="00364545">
              <w:t>CO</w:t>
            </w:r>
            <w:r w:rsidRPr="00364545">
              <w:rPr>
                <w:vertAlign w:val="subscript"/>
              </w:rPr>
              <w:t>2</w:t>
            </w:r>
            <w:r w:rsidRPr="00364545">
              <w:rPr>
                <w:rFonts w:asciiTheme="minorHAnsi" w:hAnsiTheme="minorHAnsi"/>
                <w:b/>
                <w:sz w:val="16"/>
              </w:rPr>
              <w:t xml:space="preserve"> emissions from biomass</w:t>
            </w:r>
          </w:p>
        </w:tc>
        <w:tc>
          <w:tcPr>
            <w:tcW w:w="992" w:type="dxa"/>
            <w:tcBorders>
              <w:top w:val="nil"/>
              <w:left w:val="nil"/>
              <w:bottom w:val="single" w:sz="4" w:space="0" w:color="auto"/>
              <w:right w:val="single" w:sz="4" w:space="0" w:color="auto"/>
            </w:tcBorders>
            <w:shd w:val="clear" w:color="000000" w:fill="969696"/>
            <w:noWrap/>
            <w:vAlign w:val="bottom"/>
            <w:hideMark/>
          </w:tcPr>
          <w:p w14:paraId="2BCA6B93"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F8DB0A9"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49BEF718"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6F2D544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F3B42A4" w14:textId="1DBE7C27" w:rsidR="00B56301" w:rsidRPr="00364545" w:rsidRDefault="007F09F7" w:rsidP="00B37B65">
            <w:pPr>
              <w:jc w:val="left"/>
              <w:rPr>
                <w:rFonts w:asciiTheme="minorHAnsi" w:hAnsiTheme="minorHAnsi"/>
                <w:b/>
                <w:bCs/>
                <w:sz w:val="16"/>
                <w:szCs w:val="14"/>
              </w:rPr>
            </w:pPr>
            <w:r w:rsidRPr="00364545">
              <w:t>CO</w:t>
            </w:r>
            <w:r w:rsidRPr="00364545">
              <w:rPr>
                <w:vertAlign w:val="subscript"/>
              </w:rPr>
              <w:t>2</w:t>
            </w:r>
            <w:r w:rsidRPr="00364545">
              <w:rPr>
                <w:rFonts w:asciiTheme="minorHAnsi" w:hAnsiTheme="minorHAnsi"/>
                <w:b/>
                <w:sz w:val="16"/>
              </w:rPr>
              <w:t xml:space="preserve"> captured</w:t>
            </w:r>
          </w:p>
        </w:tc>
        <w:tc>
          <w:tcPr>
            <w:tcW w:w="992" w:type="dxa"/>
            <w:tcBorders>
              <w:top w:val="nil"/>
              <w:left w:val="nil"/>
              <w:bottom w:val="single" w:sz="4" w:space="0" w:color="auto"/>
              <w:right w:val="single" w:sz="4" w:space="0" w:color="auto"/>
            </w:tcBorders>
            <w:shd w:val="clear" w:color="000000" w:fill="969696"/>
            <w:noWrap/>
            <w:vAlign w:val="bottom"/>
            <w:hideMark/>
          </w:tcPr>
          <w:p w14:paraId="6F783690"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1D219DC"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24370E53"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41C84D2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907F91F" w14:textId="77777777"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Long-term storage of C in waste disposal sites</w:t>
            </w:r>
          </w:p>
        </w:tc>
        <w:tc>
          <w:tcPr>
            <w:tcW w:w="992" w:type="dxa"/>
            <w:tcBorders>
              <w:top w:val="nil"/>
              <w:left w:val="nil"/>
              <w:bottom w:val="single" w:sz="4" w:space="0" w:color="auto"/>
              <w:right w:val="single" w:sz="4" w:space="0" w:color="auto"/>
            </w:tcBorders>
            <w:shd w:val="clear" w:color="000000" w:fill="969696"/>
            <w:noWrap/>
            <w:vAlign w:val="bottom"/>
            <w:hideMark/>
          </w:tcPr>
          <w:p w14:paraId="01ECEA84"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8ED6BAB"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47487549"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393F8EEF"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C44D6FE" w14:textId="33960BA5"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Indirect </w:t>
            </w:r>
            <w:r w:rsidRPr="00364545">
              <w:t>N</w:t>
            </w:r>
            <w:r w:rsidRPr="00364545">
              <w:rPr>
                <w:vertAlign w:val="subscript"/>
              </w:rPr>
              <w:t>2</w:t>
            </w:r>
            <w:r w:rsidRPr="00364545">
              <w:t xml:space="preserve">O </w:t>
            </w:r>
          </w:p>
        </w:tc>
        <w:tc>
          <w:tcPr>
            <w:tcW w:w="992" w:type="dxa"/>
            <w:tcBorders>
              <w:top w:val="nil"/>
              <w:left w:val="nil"/>
              <w:bottom w:val="single" w:sz="4" w:space="0" w:color="auto"/>
              <w:right w:val="single" w:sz="4" w:space="0" w:color="auto"/>
            </w:tcBorders>
            <w:shd w:val="clear" w:color="000000" w:fill="969696"/>
            <w:noWrap/>
            <w:vAlign w:val="bottom"/>
            <w:hideMark/>
          </w:tcPr>
          <w:p w14:paraId="37F8917C"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5F21943"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43C009AA" w14:textId="77777777" w:rsidR="00B56301" w:rsidRPr="00364545" w:rsidRDefault="00B56301" w:rsidP="00B37B65">
            <w:pPr>
              <w:jc w:val="right"/>
              <w:rPr>
                <w:rFonts w:asciiTheme="minorHAnsi" w:hAnsiTheme="minorHAnsi"/>
                <w:sz w:val="16"/>
                <w:szCs w:val="14"/>
              </w:rPr>
            </w:pPr>
            <w:r w:rsidRPr="00364545">
              <w:rPr>
                <w:sz w:val="16"/>
              </w:rPr>
              <w:t> </w:t>
            </w:r>
          </w:p>
        </w:tc>
      </w:tr>
      <w:tr w:rsidR="00B56301" w:rsidRPr="00364545" w14:paraId="26C2F6C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65B27F0" w14:textId="34514793" w:rsidR="00B56301" w:rsidRPr="00364545" w:rsidRDefault="00B56301" w:rsidP="00B37B65">
            <w:pPr>
              <w:jc w:val="left"/>
              <w:rPr>
                <w:rFonts w:asciiTheme="minorHAnsi" w:hAnsiTheme="minorHAnsi"/>
                <w:b/>
                <w:bCs/>
                <w:sz w:val="16"/>
                <w:szCs w:val="14"/>
              </w:rPr>
            </w:pPr>
            <w:r w:rsidRPr="00364545">
              <w:rPr>
                <w:rFonts w:asciiTheme="minorHAnsi" w:hAnsiTheme="minorHAnsi"/>
                <w:b/>
                <w:sz w:val="16"/>
              </w:rPr>
              <w:t xml:space="preserve">Indirect </w:t>
            </w:r>
            <w:r w:rsidRPr="00364545">
              <w:t>CO</w:t>
            </w:r>
            <w:r w:rsidRPr="00364545">
              <w:rPr>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2" w:type="dxa"/>
            <w:tcBorders>
              <w:top w:val="nil"/>
              <w:left w:val="nil"/>
              <w:bottom w:val="single" w:sz="4" w:space="0" w:color="auto"/>
              <w:right w:val="single" w:sz="4" w:space="0" w:color="auto"/>
            </w:tcBorders>
            <w:shd w:val="clear" w:color="000000" w:fill="969696"/>
            <w:noWrap/>
            <w:vAlign w:val="bottom"/>
            <w:hideMark/>
          </w:tcPr>
          <w:p w14:paraId="0217F61C" w14:textId="77777777" w:rsidR="00B56301" w:rsidRPr="00364545" w:rsidRDefault="00B56301" w:rsidP="00B37B65">
            <w:pPr>
              <w:jc w:val="right"/>
              <w:rPr>
                <w:rFonts w:asciiTheme="minorHAnsi" w:hAnsiTheme="minorHAnsi"/>
                <w:sz w:val="16"/>
                <w:szCs w:val="14"/>
              </w:rPr>
            </w:pPr>
            <w:r w:rsidRPr="00364545">
              <w:rPr>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C49546E" w14:textId="77777777" w:rsidR="00B56301" w:rsidRPr="00364545" w:rsidRDefault="00B56301" w:rsidP="00B37B65">
            <w:pPr>
              <w:jc w:val="right"/>
              <w:rPr>
                <w:rFonts w:asciiTheme="minorHAnsi" w:hAnsiTheme="minorHAnsi"/>
                <w:sz w:val="16"/>
                <w:szCs w:val="14"/>
              </w:rPr>
            </w:pPr>
            <w:r w:rsidRPr="00364545">
              <w:rPr>
                <w:sz w:val="16"/>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5438EC02" w14:textId="77777777" w:rsidR="00B56301" w:rsidRPr="00364545" w:rsidRDefault="00B56301" w:rsidP="00B37B65">
            <w:pPr>
              <w:jc w:val="right"/>
              <w:rPr>
                <w:rFonts w:asciiTheme="minorHAnsi" w:hAnsiTheme="minorHAnsi"/>
                <w:sz w:val="16"/>
                <w:szCs w:val="14"/>
              </w:rPr>
            </w:pPr>
            <w:r w:rsidRPr="00364545">
              <w:rPr>
                <w:sz w:val="16"/>
              </w:rPr>
              <w:t> </w:t>
            </w:r>
          </w:p>
        </w:tc>
      </w:tr>
    </w:tbl>
    <w:p w14:paraId="2082C36F" w14:textId="77777777" w:rsidR="00B56301" w:rsidRPr="00364545" w:rsidRDefault="00B56301" w:rsidP="00B56301">
      <w:pPr>
        <w:spacing w:line="240" w:lineRule="atLeast"/>
        <w:jc w:val="left"/>
        <w:rPr>
          <w:rFonts w:cs="Arial"/>
          <w:sz w:val="24"/>
        </w:rPr>
      </w:pPr>
      <w:r w:rsidRPr="00364545">
        <w:br w:type="page"/>
      </w:r>
    </w:p>
    <w:p w14:paraId="5CFC872D" w14:textId="39D3577E" w:rsidR="00B56301" w:rsidRPr="00364545" w:rsidRDefault="00B56301" w:rsidP="003F57EA">
      <w:pPr>
        <w:pStyle w:val="Titre2Niveau2"/>
        <w:numPr>
          <w:ilvl w:val="0"/>
          <w:numId w:val="62"/>
        </w:numPr>
      </w:pPr>
      <w:bookmarkStart w:id="778" w:name="_Toc122099544"/>
      <w:bookmarkStart w:id="779" w:name="_Toc138341925"/>
      <w:r w:rsidRPr="00364545">
        <w:t>Trend for N</w:t>
      </w:r>
      <w:r w:rsidRPr="00364545">
        <w:rPr>
          <w:vertAlign w:val="subscript"/>
        </w:rPr>
        <w:t>2</w:t>
      </w:r>
      <w:r w:rsidRPr="00364545">
        <w:t>O (“Kyoto” scope - kt)</w:t>
      </w:r>
      <w:bookmarkEnd w:id="778"/>
      <w:bookmarkEnd w:id="779"/>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364545" w14:paraId="22CE88F9" w14:textId="77777777" w:rsidTr="00B37B65">
        <w:trPr>
          <w:trHeight w:val="68"/>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EDAC3B4"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992C1FC"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Base year</w:t>
            </w:r>
            <w:r w:rsidRPr="00364545">
              <w:rPr>
                <w:rFonts w:asciiTheme="minorHAnsi" w:hAnsiTheme="minorHAnsi"/>
                <w:b/>
                <w:sz w:val="16"/>
                <w:vertAlign w:val="superscript"/>
              </w:rPr>
              <w:t>(1)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E28A21C"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1990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7DFE38A"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1991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328F708"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1992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599B5D7"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1993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4E1BAF8"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1994</w:t>
            </w:r>
          </w:p>
        </w:tc>
      </w:tr>
      <w:tr w:rsidR="00B56301" w:rsidRPr="00364545" w14:paraId="4166CCD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86979DE" w14:textId="77777777"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1. Energy</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175297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11,52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6C3AE3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11,52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BFE54F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12,12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70F109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12,05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7FCC19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12,33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69C333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12,42</w:t>
            </w:r>
          </w:p>
        </w:tc>
      </w:tr>
      <w:tr w:rsidR="00B56301" w:rsidRPr="00364545" w14:paraId="10BD418C"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FCDC6A7" w14:textId="77777777"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A. Fuel combustion (sectoral approach)</w:t>
            </w:r>
          </w:p>
        </w:tc>
        <w:tc>
          <w:tcPr>
            <w:tcW w:w="992" w:type="dxa"/>
            <w:tcBorders>
              <w:top w:val="nil"/>
              <w:left w:val="nil"/>
              <w:bottom w:val="single" w:sz="4" w:space="0" w:color="auto"/>
              <w:right w:val="single" w:sz="4" w:space="0" w:color="auto"/>
            </w:tcBorders>
            <w:shd w:val="clear" w:color="000000" w:fill="CCFFFF"/>
            <w:noWrap/>
            <w:vAlign w:val="bottom"/>
            <w:hideMark/>
          </w:tcPr>
          <w:p w14:paraId="344AA70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11,43</w:t>
            </w:r>
          </w:p>
        </w:tc>
        <w:tc>
          <w:tcPr>
            <w:tcW w:w="992" w:type="dxa"/>
            <w:tcBorders>
              <w:top w:val="nil"/>
              <w:left w:val="nil"/>
              <w:bottom w:val="single" w:sz="4" w:space="0" w:color="auto"/>
              <w:right w:val="single" w:sz="4" w:space="0" w:color="auto"/>
            </w:tcBorders>
            <w:shd w:val="clear" w:color="000000" w:fill="CCFFFF"/>
            <w:noWrap/>
            <w:vAlign w:val="bottom"/>
            <w:hideMark/>
          </w:tcPr>
          <w:p w14:paraId="2EF6470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11,43</w:t>
            </w:r>
          </w:p>
        </w:tc>
        <w:tc>
          <w:tcPr>
            <w:tcW w:w="992" w:type="dxa"/>
            <w:tcBorders>
              <w:top w:val="nil"/>
              <w:left w:val="nil"/>
              <w:bottom w:val="single" w:sz="4" w:space="0" w:color="auto"/>
              <w:right w:val="single" w:sz="4" w:space="0" w:color="auto"/>
            </w:tcBorders>
            <w:shd w:val="clear" w:color="000000" w:fill="CCFFFF"/>
            <w:noWrap/>
            <w:vAlign w:val="bottom"/>
            <w:hideMark/>
          </w:tcPr>
          <w:p w14:paraId="3910AE9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12,03</w:t>
            </w:r>
          </w:p>
        </w:tc>
        <w:tc>
          <w:tcPr>
            <w:tcW w:w="992" w:type="dxa"/>
            <w:tcBorders>
              <w:top w:val="nil"/>
              <w:left w:val="nil"/>
              <w:bottom w:val="single" w:sz="4" w:space="0" w:color="auto"/>
              <w:right w:val="single" w:sz="4" w:space="0" w:color="auto"/>
            </w:tcBorders>
            <w:shd w:val="clear" w:color="000000" w:fill="CCFFFF"/>
            <w:noWrap/>
            <w:vAlign w:val="bottom"/>
            <w:hideMark/>
          </w:tcPr>
          <w:p w14:paraId="5005B94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11,96</w:t>
            </w:r>
          </w:p>
        </w:tc>
        <w:tc>
          <w:tcPr>
            <w:tcW w:w="992" w:type="dxa"/>
            <w:tcBorders>
              <w:top w:val="nil"/>
              <w:left w:val="nil"/>
              <w:bottom w:val="single" w:sz="4" w:space="0" w:color="auto"/>
              <w:right w:val="single" w:sz="4" w:space="0" w:color="auto"/>
            </w:tcBorders>
            <w:shd w:val="clear" w:color="000000" w:fill="CCFFFF"/>
            <w:noWrap/>
            <w:vAlign w:val="bottom"/>
            <w:hideMark/>
          </w:tcPr>
          <w:p w14:paraId="06A1D96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12,24</w:t>
            </w:r>
          </w:p>
        </w:tc>
        <w:tc>
          <w:tcPr>
            <w:tcW w:w="992" w:type="dxa"/>
            <w:tcBorders>
              <w:top w:val="nil"/>
              <w:left w:val="nil"/>
              <w:bottom w:val="single" w:sz="4" w:space="0" w:color="auto"/>
              <w:right w:val="single" w:sz="4" w:space="0" w:color="auto"/>
            </w:tcBorders>
            <w:shd w:val="clear" w:color="000000" w:fill="CCFFFF"/>
            <w:noWrap/>
            <w:vAlign w:val="bottom"/>
            <w:hideMark/>
          </w:tcPr>
          <w:p w14:paraId="0A1CDFA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12,33</w:t>
            </w:r>
          </w:p>
        </w:tc>
      </w:tr>
      <w:tr w:rsidR="00B56301" w:rsidRPr="00364545" w14:paraId="58D9120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7884198" w14:textId="4E28DC7C" w:rsidR="00B56301" w:rsidRPr="00364545" w:rsidRDefault="00B56301" w:rsidP="00B37B65">
            <w:pPr>
              <w:ind w:firstLineChars="500" w:firstLine="700"/>
              <w:jc w:val="left"/>
              <w:rPr>
                <w:rFonts w:asciiTheme="minorHAnsi" w:hAnsiTheme="minorHAnsi"/>
                <w:sz w:val="14"/>
                <w:szCs w:val="16"/>
              </w:rPr>
            </w:pPr>
            <w:r w:rsidRPr="00364545">
              <w:rPr>
                <w:rFonts w:asciiTheme="minorHAnsi" w:hAnsiTheme="minorHAnsi"/>
                <w:sz w:val="14"/>
              </w:rPr>
              <w:t>1. Energy industries</w:t>
            </w:r>
          </w:p>
        </w:tc>
        <w:tc>
          <w:tcPr>
            <w:tcW w:w="992" w:type="dxa"/>
            <w:tcBorders>
              <w:top w:val="nil"/>
              <w:left w:val="nil"/>
              <w:bottom w:val="single" w:sz="4" w:space="0" w:color="auto"/>
              <w:right w:val="single" w:sz="4" w:space="0" w:color="auto"/>
            </w:tcBorders>
            <w:shd w:val="clear" w:color="000000" w:fill="FFFFFF"/>
            <w:noWrap/>
            <w:vAlign w:val="bottom"/>
            <w:hideMark/>
          </w:tcPr>
          <w:p w14:paraId="514944B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1,50</w:t>
            </w:r>
          </w:p>
        </w:tc>
        <w:tc>
          <w:tcPr>
            <w:tcW w:w="992" w:type="dxa"/>
            <w:tcBorders>
              <w:top w:val="nil"/>
              <w:left w:val="nil"/>
              <w:bottom w:val="single" w:sz="4" w:space="0" w:color="auto"/>
              <w:right w:val="single" w:sz="4" w:space="0" w:color="auto"/>
            </w:tcBorders>
            <w:shd w:val="clear" w:color="000000" w:fill="FFFFFF"/>
            <w:noWrap/>
            <w:vAlign w:val="bottom"/>
            <w:hideMark/>
          </w:tcPr>
          <w:p w14:paraId="02DE6B9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1,50</w:t>
            </w:r>
          </w:p>
        </w:tc>
        <w:tc>
          <w:tcPr>
            <w:tcW w:w="992" w:type="dxa"/>
            <w:tcBorders>
              <w:top w:val="nil"/>
              <w:left w:val="nil"/>
              <w:bottom w:val="single" w:sz="4" w:space="0" w:color="auto"/>
              <w:right w:val="single" w:sz="4" w:space="0" w:color="auto"/>
            </w:tcBorders>
            <w:shd w:val="clear" w:color="000000" w:fill="FFFFFF"/>
            <w:noWrap/>
            <w:vAlign w:val="bottom"/>
            <w:hideMark/>
          </w:tcPr>
          <w:p w14:paraId="29D329E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1,58</w:t>
            </w:r>
          </w:p>
        </w:tc>
        <w:tc>
          <w:tcPr>
            <w:tcW w:w="992" w:type="dxa"/>
            <w:tcBorders>
              <w:top w:val="nil"/>
              <w:left w:val="nil"/>
              <w:bottom w:val="single" w:sz="4" w:space="0" w:color="auto"/>
              <w:right w:val="single" w:sz="4" w:space="0" w:color="auto"/>
            </w:tcBorders>
            <w:shd w:val="clear" w:color="000000" w:fill="FFFFFF"/>
            <w:noWrap/>
            <w:vAlign w:val="bottom"/>
            <w:hideMark/>
          </w:tcPr>
          <w:p w14:paraId="24FC0BF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1,64</w:t>
            </w:r>
          </w:p>
        </w:tc>
        <w:tc>
          <w:tcPr>
            <w:tcW w:w="992" w:type="dxa"/>
            <w:tcBorders>
              <w:top w:val="nil"/>
              <w:left w:val="nil"/>
              <w:bottom w:val="single" w:sz="4" w:space="0" w:color="auto"/>
              <w:right w:val="single" w:sz="4" w:space="0" w:color="auto"/>
            </w:tcBorders>
            <w:shd w:val="clear" w:color="000000" w:fill="FFFFFF"/>
            <w:noWrap/>
            <w:vAlign w:val="bottom"/>
            <w:hideMark/>
          </w:tcPr>
          <w:p w14:paraId="7462F8C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1,62</w:t>
            </w:r>
          </w:p>
        </w:tc>
        <w:tc>
          <w:tcPr>
            <w:tcW w:w="992" w:type="dxa"/>
            <w:tcBorders>
              <w:top w:val="nil"/>
              <w:left w:val="nil"/>
              <w:bottom w:val="single" w:sz="4" w:space="0" w:color="auto"/>
              <w:right w:val="single" w:sz="4" w:space="0" w:color="auto"/>
            </w:tcBorders>
            <w:shd w:val="clear" w:color="000000" w:fill="FFFFFF"/>
            <w:noWrap/>
            <w:vAlign w:val="bottom"/>
            <w:hideMark/>
          </w:tcPr>
          <w:p w14:paraId="13EF27D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1,43</w:t>
            </w:r>
          </w:p>
        </w:tc>
      </w:tr>
      <w:tr w:rsidR="00B56301" w:rsidRPr="00364545" w14:paraId="67A031A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A95F1C9" w14:textId="109F53FF" w:rsidR="00B56301" w:rsidRPr="00364545" w:rsidRDefault="00B56301" w:rsidP="00B37B65">
            <w:pPr>
              <w:ind w:firstLineChars="500" w:firstLine="700"/>
              <w:jc w:val="left"/>
              <w:rPr>
                <w:rFonts w:asciiTheme="minorHAnsi" w:hAnsiTheme="minorHAnsi"/>
                <w:sz w:val="14"/>
                <w:szCs w:val="16"/>
              </w:rPr>
            </w:pPr>
            <w:r w:rsidRPr="00364545">
              <w:rPr>
                <w:rFonts w:asciiTheme="minorHAnsi" w:hAnsiTheme="minorHAnsi"/>
                <w:sz w:val="14"/>
              </w:rPr>
              <w:t>2. Manufacturing industries and construction</w:t>
            </w:r>
          </w:p>
        </w:tc>
        <w:tc>
          <w:tcPr>
            <w:tcW w:w="992" w:type="dxa"/>
            <w:tcBorders>
              <w:top w:val="nil"/>
              <w:left w:val="nil"/>
              <w:bottom w:val="single" w:sz="4" w:space="0" w:color="auto"/>
              <w:right w:val="single" w:sz="4" w:space="0" w:color="auto"/>
            </w:tcBorders>
            <w:shd w:val="clear" w:color="000000" w:fill="FFFFFF"/>
            <w:noWrap/>
            <w:vAlign w:val="bottom"/>
            <w:hideMark/>
          </w:tcPr>
          <w:p w14:paraId="056971E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1,60</w:t>
            </w:r>
          </w:p>
        </w:tc>
        <w:tc>
          <w:tcPr>
            <w:tcW w:w="992" w:type="dxa"/>
            <w:tcBorders>
              <w:top w:val="nil"/>
              <w:left w:val="nil"/>
              <w:bottom w:val="single" w:sz="4" w:space="0" w:color="auto"/>
              <w:right w:val="single" w:sz="4" w:space="0" w:color="auto"/>
            </w:tcBorders>
            <w:shd w:val="clear" w:color="000000" w:fill="FFFFFF"/>
            <w:noWrap/>
            <w:vAlign w:val="bottom"/>
            <w:hideMark/>
          </w:tcPr>
          <w:p w14:paraId="39447CF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1,60</w:t>
            </w:r>
          </w:p>
        </w:tc>
        <w:tc>
          <w:tcPr>
            <w:tcW w:w="992" w:type="dxa"/>
            <w:tcBorders>
              <w:top w:val="nil"/>
              <w:left w:val="nil"/>
              <w:bottom w:val="single" w:sz="4" w:space="0" w:color="auto"/>
              <w:right w:val="single" w:sz="4" w:space="0" w:color="auto"/>
            </w:tcBorders>
            <w:shd w:val="clear" w:color="000000" w:fill="FFFFFF"/>
            <w:noWrap/>
            <w:vAlign w:val="bottom"/>
            <w:hideMark/>
          </w:tcPr>
          <w:p w14:paraId="137C0BB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1,74</w:t>
            </w:r>
          </w:p>
        </w:tc>
        <w:tc>
          <w:tcPr>
            <w:tcW w:w="992" w:type="dxa"/>
            <w:tcBorders>
              <w:top w:val="nil"/>
              <w:left w:val="nil"/>
              <w:bottom w:val="single" w:sz="4" w:space="0" w:color="auto"/>
              <w:right w:val="single" w:sz="4" w:space="0" w:color="auto"/>
            </w:tcBorders>
            <w:shd w:val="clear" w:color="000000" w:fill="FFFFFF"/>
            <w:noWrap/>
            <w:vAlign w:val="bottom"/>
            <w:hideMark/>
          </w:tcPr>
          <w:p w14:paraId="18D962F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1,57</w:t>
            </w:r>
          </w:p>
        </w:tc>
        <w:tc>
          <w:tcPr>
            <w:tcW w:w="992" w:type="dxa"/>
            <w:tcBorders>
              <w:top w:val="nil"/>
              <w:left w:val="nil"/>
              <w:bottom w:val="single" w:sz="4" w:space="0" w:color="auto"/>
              <w:right w:val="single" w:sz="4" w:space="0" w:color="auto"/>
            </w:tcBorders>
            <w:shd w:val="clear" w:color="000000" w:fill="FFFFFF"/>
            <w:noWrap/>
            <w:vAlign w:val="bottom"/>
            <w:hideMark/>
          </w:tcPr>
          <w:p w14:paraId="66B6532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1,57</w:t>
            </w:r>
          </w:p>
        </w:tc>
        <w:tc>
          <w:tcPr>
            <w:tcW w:w="992" w:type="dxa"/>
            <w:tcBorders>
              <w:top w:val="nil"/>
              <w:left w:val="nil"/>
              <w:bottom w:val="single" w:sz="4" w:space="0" w:color="auto"/>
              <w:right w:val="single" w:sz="4" w:space="0" w:color="auto"/>
            </w:tcBorders>
            <w:shd w:val="clear" w:color="000000" w:fill="FFFFFF"/>
            <w:noWrap/>
            <w:vAlign w:val="bottom"/>
            <w:hideMark/>
          </w:tcPr>
          <w:p w14:paraId="7BA0EC8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1,32</w:t>
            </w:r>
          </w:p>
        </w:tc>
      </w:tr>
      <w:tr w:rsidR="00B56301" w:rsidRPr="00364545" w14:paraId="6D3E9FA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79D5EFC" w14:textId="4B661409" w:rsidR="00B56301" w:rsidRPr="00364545" w:rsidRDefault="00B56301" w:rsidP="00B37B65">
            <w:pPr>
              <w:ind w:firstLineChars="500" w:firstLine="700"/>
              <w:jc w:val="left"/>
              <w:rPr>
                <w:rFonts w:asciiTheme="minorHAnsi" w:hAnsiTheme="minorHAnsi"/>
                <w:sz w:val="14"/>
                <w:szCs w:val="16"/>
              </w:rPr>
            </w:pPr>
            <w:r w:rsidRPr="00364545">
              <w:rPr>
                <w:rFonts w:asciiTheme="minorHAnsi" w:hAnsiTheme="minorHAnsi"/>
                <w:sz w:val="14"/>
              </w:rPr>
              <w:t>3. Transport</w:t>
            </w:r>
          </w:p>
        </w:tc>
        <w:tc>
          <w:tcPr>
            <w:tcW w:w="992" w:type="dxa"/>
            <w:tcBorders>
              <w:top w:val="nil"/>
              <w:left w:val="nil"/>
              <w:bottom w:val="single" w:sz="4" w:space="0" w:color="auto"/>
              <w:right w:val="single" w:sz="4" w:space="0" w:color="auto"/>
            </w:tcBorders>
            <w:shd w:val="clear" w:color="000000" w:fill="FFFFFF"/>
            <w:noWrap/>
            <w:vAlign w:val="bottom"/>
            <w:hideMark/>
          </w:tcPr>
          <w:p w14:paraId="3B51AD6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3,27</w:t>
            </w:r>
          </w:p>
        </w:tc>
        <w:tc>
          <w:tcPr>
            <w:tcW w:w="992" w:type="dxa"/>
            <w:tcBorders>
              <w:top w:val="nil"/>
              <w:left w:val="nil"/>
              <w:bottom w:val="single" w:sz="4" w:space="0" w:color="auto"/>
              <w:right w:val="single" w:sz="4" w:space="0" w:color="auto"/>
            </w:tcBorders>
            <w:shd w:val="clear" w:color="000000" w:fill="FFFFFF"/>
            <w:noWrap/>
            <w:vAlign w:val="bottom"/>
            <w:hideMark/>
          </w:tcPr>
          <w:p w14:paraId="4777448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3,27</w:t>
            </w:r>
          </w:p>
        </w:tc>
        <w:tc>
          <w:tcPr>
            <w:tcW w:w="992" w:type="dxa"/>
            <w:tcBorders>
              <w:top w:val="nil"/>
              <w:left w:val="nil"/>
              <w:bottom w:val="single" w:sz="4" w:space="0" w:color="auto"/>
              <w:right w:val="single" w:sz="4" w:space="0" w:color="auto"/>
            </w:tcBorders>
            <w:shd w:val="clear" w:color="000000" w:fill="FFFFFF"/>
            <w:noWrap/>
            <w:vAlign w:val="bottom"/>
            <w:hideMark/>
          </w:tcPr>
          <w:p w14:paraId="458CDAA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3,35</w:t>
            </w:r>
          </w:p>
        </w:tc>
        <w:tc>
          <w:tcPr>
            <w:tcW w:w="992" w:type="dxa"/>
            <w:tcBorders>
              <w:top w:val="nil"/>
              <w:left w:val="nil"/>
              <w:bottom w:val="single" w:sz="4" w:space="0" w:color="auto"/>
              <w:right w:val="single" w:sz="4" w:space="0" w:color="auto"/>
            </w:tcBorders>
            <w:shd w:val="clear" w:color="000000" w:fill="FFFFFF"/>
            <w:noWrap/>
            <w:vAlign w:val="bottom"/>
            <w:hideMark/>
          </w:tcPr>
          <w:p w14:paraId="47AC991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3,49</w:t>
            </w:r>
          </w:p>
        </w:tc>
        <w:tc>
          <w:tcPr>
            <w:tcW w:w="992" w:type="dxa"/>
            <w:tcBorders>
              <w:top w:val="nil"/>
              <w:left w:val="nil"/>
              <w:bottom w:val="single" w:sz="4" w:space="0" w:color="auto"/>
              <w:right w:val="single" w:sz="4" w:space="0" w:color="auto"/>
            </w:tcBorders>
            <w:shd w:val="clear" w:color="000000" w:fill="FFFFFF"/>
            <w:noWrap/>
            <w:vAlign w:val="bottom"/>
            <w:hideMark/>
          </w:tcPr>
          <w:p w14:paraId="437B286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3,86</w:t>
            </w:r>
          </w:p>
        </w:tc>
        <w:tc>
          <w:tcPr>
            <w:tcW w:w="992" w:type="dxa"/>
            <w:tcBorders>
              <w:top w:val="nil"/>
              <w:left w:val="nil"/>
              <w:bottom w:val="single" w:sz="4" w:space="0" w:color="auto"/>
              <w:right w:val="single" w:sz="4" w:space="0" w:color="auto"/>
            </w:tcBorders>
            <w:shd w:val="clear" w:color="000000" w:fill="FFFFFF"/>
            <w:noWrap/>
            <w:vAlign w:val="bottom"/>
            <w:hideMark/>
          </w:tcPr>
          <w:p w14:paraId="66C9F81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4,65</w:t>
            </w:r>
          </w:p>
        </w:tc>
      </w:tr>
      <w:tr w:rsidR="00B56301" w:rsidRPr="00364545" w14:paraId="5E13305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67FD70F" w14:textId="261B722A" w:rsidR="00B56301" w:rsidRPr="00364545" w:rsidRDefault="00B56301" w:rsidP="00B37B65">
            <w:pPr>
              <w:ind w:firstLineChars="500" w:firstLine="700"/>
              <w:jc w:val="left"/>
              <w:rPr>
                <w:rFonts w:asciiTheme="minorHAnsi" w:hAnsiTheme="minorHAnsi"/>
                <w:sz w:val="14"/>
                <w:szCs w:val="16"/>
              </w:rPr>
            </w:pPr>
            <w:r w:rsidRPr="00364545">
              <w:rPr>
                <w:rFonts w:asciiTheme="minorHAnsi" w:hAnsiTheme="minorHAnsi"/>
                <w:sz w:val="14"/>
              </w:rPr>
              <w:t>4. Other sectors</w:t>
            </w:r>
          </w:p>
        </w:tc>
        <w:tc>
          <w:tcPr>
            <w:tcW w:w="992" w:type="dxa"/>
            <w:tcBorders>
              <w:top w:val="nil"/>
              <w:left w:val="nil"/>
              <w:bottom w:val="single" w:sz="4" w:space="0" w:color="auto"/>
              <w:right w:val="single" w:sz="4" w:space="0" w:color="auto"/>
            </w:tcBorders>
            <w:shd w:val="clear" w:color="000000" w:fill="FFFFFF"/>
            <w:noWrap/>
            <w:vAlign w:val="bottom"/>
            <w:hideMark/>
          </w:tcPr>
          <w:p w14:paraId="416A2AF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4,93</w:t>
            </w:r>
          </w:p>
        </w:tc>
        <w:tc>
          <w:tcPr>
            <w:tcW w:w="992" w:type="dxa"/>
            <w:tcBorders>
              <w:top w:val="nil"/>
              <w:left w:val="nil"/>
              <w:bottom w:val="single" w:sz="4" w:space="0" w:color="auto"/>
              <w:right w:val="single" w:sz="4" w:space="0" w:color="auto"/>
            </w:tcBorders>
            <w:shd w:val="clear" w:color="000000" w:fill="FFFFFF"/>
            <w:noWrap/>
            <w:vAlign w:val="bottom"/>
            <w:hideMark/>
          </w:tcPr>
          <w:p w14:paraId="21005C9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4,93</w:t>
            </w:r>
          </w:p>
        </w:tc>
        <w:tc>
          <w:tcPr>
            <w:tcW w:w="992" w:type="dxa"/>
            <w:tcBorders>
              <w:top w:val="nil"/>
              <w:left w:val="nil"/>
              <w:bottom w:val="single" w:sz="4" w:space="0" w:color="auto"/>
              <w:right w:val="single" w:sz="4" w:space="0" w:color="auto"/>
            </w:tcBorders>
            <w:shd w:val="clear" w:color="000000" w:fill="FFFFFF"/>
            <w:noWrap/>
            <w:vAlign w:val="bottom"/>
            <w:hideMark/>
          </w:tcPr>
          <w:p w14:paraId="25ECF28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5,25</w:t>
            </w:r>
          </w:p>
        </w:tc>
        <w:tc>
          <w:tcPr>
            <w:tcW w:w="992" w:type="dxa"/>
            <w:tcBorders>
              <w:top w:val="nil"/>
              <w:left w:val="nil"/>
              <w:bottom w:val="single" w:sz="4" w:space="0" w:color="auto"/>
              <w:right w:val="single" w:sz="4" w:space="0" w:color="auto"/>
            </w:tcBorders>
            <w:shd w:val="clear" w:color="000000" w:fill="FFFFFF"/>
            <w:noWrap/>
            <w:vAlign w:val="bottom"/>
            <w:hideMark/>
          </w:tcPr>
          <w:p w14:paraId="0E2137E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5,19</w:t>
            </w:r>
          </w:p>
        </w:tc>
        <w:tc>
          <w:tcPr>
            <w:tcW w:w="992" w:type="dxa"/>
            <w:tcBorders>
              <w:top w:val="nil"/>
              <w:left w:val="nil"/>
              <w:bottom w:val="single" w:sz="4" w:space="0" w:color="auto"/>
              <w:right w:val="single" w:sz="4" w:space="0" w:color="auto"/>
            </w:tcBorders>
            <w:shd w:val="clear" w:color="000000" w:fill="FFFFFF"/>
            <w:noWrap/>
            <w:vAlign w:val="bottom"/>
            <w:hideMark/>
          </w:tcPr>
          <w:p w14:paraId="2B6A735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5,13</w:t>
            </w:r>
          </w:p>
        </w:tc>
        <w:tc>
          <w:tcPr>
            <w:tcW w:w="992" w:type="dxa"/>
            <w:tcBorders>
              <w:top w:val="nil"/>
              <w:left w:val="nil"/>
              <w:bottom w:val="single" w:sz="4" w:space="0" w:color="auto"/>
              <w:right w:val="single" w:sz="4" w:space="0" w:color="auto"/>
            </w:tcBorders>
            <w:shd w:val="clear" w:color="000000" w:fill="FFFFFF"/>
            <w:noWrap/>
            <w:vAlign w:val="bottom"/>
            <w:hideMark/>
          </w:tcPr>
          <w:p w14:paraId="2DD84D1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4,91</w:t>
            </w:r>
          </w:p>
        </w:tc>
      </w:tr>
      <w:tr w:rsidR="00B56301" w:rsidRPr="00364545" w14:paraId="41054A75"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1318B03" w14:textId="05F78762" w:rsidR="00B56301" w:rsidRPr="00364545" w:rsidRDefault="00B56301" w:rsidP="00B37B65">
            <w:pPr>
              <w:ind w:firstLineChars="500" w:firstLine="700"/>
              <w:jc w:val="left"/>
              <w:rPr>
                <w:rFonts w:asciiTheme="minorHAnsi" w:hAnsiTheme="minorHAnsi"/>
                <w:sz w:val="14"/>
                <w:szCs w:val="16"/>
              </w:rPr>
            </w:pPr>
            <w:r w:rsidRPr="00364545">
              <w:rPr>
                <w:rFonts w:asciiTheme="minorHAnsi" w:hAnsiTheme="minorHAnsi"/>
                <w:sz w:val="14"/>
              </w:rPr>
              <w:t>5. Other</w:t>
            </w:r>
          </w:p>
        </w:tc>
        <w:tc>
          <w:tcPr>
            <w:tcW w:w="992" w:type="dxa"/>
            <w:tcBorders>
              <w:top w:val="nil"/>
              <w:left w:val="nil"/>
              <w:bottom w:val="single" w:sz="4" w:space="0" w:color="auto"/>
              <w:right w:val="single" w:sz="4" w:space="0" w:color="auto"/>
            </w:tcBorders>
            <w:shd w:val="clear" w:color="000000" w:fill="FFFFFF"/>
            <w:noWrap/>
            <w:vAlign w:val="bottom"/>
            <w:hideMark/>
          </w:tcPr>
          <w:p w14:paraId="04AEC80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0,12</w:t>
            </w:r>
          </w:p>
        </w:tc>
        <w:tc>
          <w:tcPr>
            <w:tcW w:w="992" w:type="dxa"/>
            <w:tcBorders>
              <w:top w:val="nil"/>
              <w:left w:val="nil"/>
              <w:bottom w:val="single" w:sz="4" w:space="0" w:color="auto"/>
              <w:right w:val="single" w:sz="4" w:space="0" w:color="auto"/>
            </w:tcBorders>
            <w:shd w:val="clear" w:color="000000" w:fill="FFFFFF"/>
            <w:noWrap/>
            <w:vAlign w:val="bottom"/>
            <w:hideMark/>
          </w:tcPr>
          <w:p w14:paraId="403CC1D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0,12</w:t>
            </w:r>
          </w:p>
        </w:tc>
        <w:tc>
          <w:tcPr>
            <w:tcW w:w="992" w:type="dxa"/>
            <w:tcBorders>
              <w:top w:val="nil"/>
              <w:left w:val="nil"/>
              <w:bottom w:val="single" w:sz="4" w:space="0" w:color="auto"/>
              <w:right w:val="single" w:sz="4" w:space="0" w:color="auto"/>
            </w:tcBorders>
            <w:shd w:val="clear" w:color="000000" w:fill="FFFFFF"/>
            <w:noWrap/>
            <w:vAlign w:val="bottom"/>
            <w:hideMark/>
          </w:tcPr>
          <w:p w14:paraId="75E5DE6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0E92DCB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3329CED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65EFF13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0,03</w:t>
            </w:r>
          </w:p>
        </w:tc>
      </w:tr>
      <w:tr w:rsidR="00B56301" w:rsidRPr="00364545" w14:paraId="6C339C6E"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30639EF" w14:textId="77777777"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B. Fugitive emissions from fuels</w:t>
            </w:r>
          </w:p>
        </w:tc>
        <w:tc>
          <w:tcPr>
            <w:tcW w:w="992" w:type="dxa"/>
            <w:tcBorders>
              <w:top w:val="nil"/>
              <w:left w:val="nil"/>
              <w:bottom w:val="single" w:sz="4" w:space="0" w:color="auto"/>
              <w:right w:val="single" w:sz="4" w:space="0" w:color="auto"/>
            </w:tcBorders>
            <w:shd w:val="clear" w:color="000000" w:fill="CCFFFF"/>
            <w:noWrap/>
            <w:vAlign w:val="bottom"/>
            <w:hideMark/>
          </w:tcPr>
          <w:p w14:paraId="20E9279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2BA1AF2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74C9DC2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7F0F0A8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7F1482F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50F1ED9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r>
      <w:tr w:rsidR="00B56301" w:rsidRPr="00364545" w14:paraId="2745FAC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305101D" w14:textId="04117114" w:rsidR="00B56301" w:rsidRPr="00364545" w:rsidRDefault="00B56301" w:rsidP="00B37B65">
            <w:pPr>
              <w:ind w:firstLineChars="500" w:firstLine="700"/>
              <w:jc w:val="left"/>
              <w:rPr>
                <w:rFonts w:asciiTheme="minorHAnsi" w:hAnsiTheme="minorHAnsi"/>
                <w:sz w:val="14"/>
                <w:szCs w:val="16"/>
              </w:rPr>
            </w:pPr>
            <w:r w:rsidRPr="00364545">
              <w:rPr>
                <w:rFonts w:asciiTheme="minorHAnsi" w:hAnsiTheme="minorHAnsi"/>
                <w:sz w:val="14"/>
              </w:rPr>
              <w:t>1. Solid fuels</w:t>
            </w:r>
          </w:p>
        </w:tc>
        <w:tc>
          <w:tcPr>
            <w:tcW w:w="992" w:type="dxa"/>
            <w:tcBorders>
              <w:top w:val="nil"/>
              <w:left w:val="nil"/>
              <w:bottom w:val="single" w:sz="4" w:space="0" w:color="auto"/>
              <w:right w:val="single" w:sz="4" w:space="0" w:color="auto"/>
            </w:tcBorders>
            <w:shd w:val="clear" w:color="000000" w:fill="FFFFFF"/>
            <w:noWrap/>
            <w:vAlign w:val="bottom"/>
            <w:hideMark/>
          </w:tcPr>
          <w:p w14:paraId="4447EE9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169910B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0922171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7BDD91F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7E34C5A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98FA8A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r>
      <w:tr w:rsidR="00B56301" w:rsidRPr="00364545" w14:paraId="68ECB4D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2B2F558" w14:textId="2C2BC1C4" w:rsidR="00B56301" w:rsidRPr="00364545" w:rsidRDefault="00B56301" w:rsidP="00B37B65">
            <w:pPr>
              <w:ind w:firstLineChars="500" w:firstLine="700"/>
              <w:jc w:val="left"/>
              <w:rPr>
                <w:rFonts w:asciiTheme="minorHAnsi" w:hAnsiTheme="minorHAnsi"/>
                <w:sz w:val="14"/>
                <w:szCs w:val="16"/>
              </w:rPr>
            </w:pPr>
            <w:r w:rsidRPr="00364545">
              <w:rPr>
                <w:rFonts w:asciiTheme="minorHAnsi" w:hAnsiTheme="minorHAnsi"/>
                <w:sz w:val="14"/>
              </w:rPr>
              <w:t>2. Oil and natural gas and other emissions from energy production</w:t>
            </w:r>
          </w:p>
        </w:tc>
        <w:tc>
          <w:tcPr>
            <w:tcW w:w="992" w:type="dxa"/>
            <w:tcBorders>
              <w:top w:val="nil"/>
              <w:left w:val="nil"/>
              <w:bottom w:val="single" w:sz="4" w:space="0" w:color="auto"/>
              <w:right w:val="single" w:sz="4" w:space="0" w:color="auto"/>
            </w:tcBorders>
            <w:shd w:val="clear" w:color="000000" w:fill="FFFFFF"/>
            <w:noWrap/>
            <w:vAlign w:val="bottom"/>
            <w:hideMark/>
          </w:tcPr>
          <w:p w14:paraId="667B024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1812C79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2380B4D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1BA7728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01E182A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435D2F4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0,09</w:t>
            </w:r>
          </w:p>
        </w:tc>
      </w:tr>
      <w:tr w:rsidR="00B56301" w:rsidRPr="00364545" w14:paraId="3D949D4F"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BE30727" w14:textId="33944A7D"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 xml:space="preserve">C. </w:t>
            </w:r>
            <w:r w:rsidRPr="00364545">
              <w:t>CO</w:t>
            </w:r>
            <w:r w:rsidRPr="00364545">
              <w:rPr>
                <w:vertAlign w:val="subscript"/>
              </w:rPr>
              <w:t>2</w:t>
            </w:r>
            <w:r w:rsidRPr="00364545">
              <w:rPr>
                <w:rFonts w:asciiTheme="minorHAnsi" w:hAnsiTheme="minorHAnsi"/>
                <w:sz w:val="14"/>
              </w:rPr>
              <w:t xml:space="preserve"> transport and storage</w:t>
            </w:r>
          </w:p>
        </w:tc>
        <w:tc>
          <w:tcPr>
            <w:tcW w:w="992" w:type="dxa"/>
            <w:tcBorders>
              <w:top w:val="nil"/>
              <w:left w:val="nil"/>
              <w:bottom w:val="single" w:sz="4" w:space="0" w:color="auto"/>
              <w:right w:val="single" w:sz="4" w:space="0" w:color="auto"/>
            </w:tcBorders>
            <w:shd w:val="clear" w:color="000000" w:fill="969696"/>
            <w:noWrap/>
            <w:vAlign w:val="bottom"/>
            <w:hideMark/>
          </w:tcPr>
          <w:p w14:paraId="2F965BF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65271F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3EBC24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689606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F435EB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695D83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1128DB0D"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963A5B0" w14:textId="25B54A35"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2. Industrial processes</w:t>
            </w:r>
          </w:p>
        </w:tc>
        <w:tc>
          <w:tcPr>
            <w:tcW w:w="992" w:type="dxa"/>
            <w:tcBorders>
              <w:top w:val="nil"/>
              <w:left w:val="nil"/>
              <w:bottom w:val="single" w:sz="4" w:space="0" w:color="auto"/>
              <w:right w:val="single" w:sz="4" w:space="0" w:color="auto"/>
            </w:tcBorders>
            <w:shd w:val="clear" w:color="000000" w:fill="CCFFFF"/>
            <w:noWrap/>
            <w:vAlign w:val="bottom"/>
            <w:hideMark/>
          </w:tcPr>
          <w:p w14:paraId="4ED7F71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79,97</w:t>
            </w:r>
          </w:p>
        </w:tc>
        <w:tc>
          <w:tcPr>
            <w:tcW w:w="992" w:type="dxa"/>
            <w:tcBorders>
              <w:top w:val="nil"/>
              <w:left w:val="nil"/>
              <w:bottom w:val="single" w:sz="4" w:space="0" w:color="auto"/>
              <w:right w:val="single" w:sz="4" w:space="0" w:color="auto"/>
            </w:tcBorders>
            <w:shd w:val="clear" w:color="000000" w:fill="CCFFFF"/>
            <w:noWrap/>
            <w:vAlign w:val="bottom"/>
            <w:hideMark/>
          </w:tcPr>
          <w:p w14:paraId="4E2E7F3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79,97</w:t>
            </w:r>
          </w:p>
        </w:tc>
        <w:tc>
          <w:tcPr>
            <w:tcW w:w="992" w:type="dxa"/>
            <w:tcBorders>
              <w:top w:val="nil"/>
              <w:left w:val="nil"/>
              <w:bottom w:val="single" w:sz="4" w:space="0" w:color="auto"/>
              <w:right w:val="single" w:sz="4" w:space="0" w:color="auto"/>
            </w:tcBorders>
            <w:shd w:val="clear" w:color="000000" w:fill="CCFFFF"/>
            <w:noWrap/>
            <w:vAlign w:val="bottom"/>
            <w:hideMark/>
          </w:tcPr>
          <w:p w14:paraId="68D2A58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80,55</w:t>
            </w:r>
          </w:p>
        </w:tc>
        <w:tc>
          <w:tcPr>
            <w:tcW w:w="992" w:type="dxa"/>
            <w:tcBorders>
              <w:top w:val="nil"/>
              <w:left w:val="nil"/>
              <w:bottom w:val="single" w:sz="4" w:space="0" w:color="auto"/>
              <w:right w:val="single" w:sz="4" w:space="0" w:color="auto"/>
            </w:tcBorders>
            <w:shd w:val="clear" w:color="000000" w:fill="CCFFFF"/>
            <w:noWrap/>
            <w:vAlign w:val="bottom"/>
            <w:hideMark/>
          </w:tcPr>
          <w:p w14:paraId="74265D9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82,08</w:t>
            </w:r>
          </w:p>
        </w:tc>
        <w:tc>
          <w:tcPr>
            <w:tcW w:w="992" w:type="dxa"/>
            <w:tcBorders>
              <w:top w:val="nil"/>
              <w:left w:val="nil"/>
              <w:bottom w:val="single" w:sz="4" w:space="0" w:color="auto"/>
              <w:right w:val="single" w:sz="4" w:space="0" w:color="auto"/>
            </w:tcBorders>
            <w:shd w:val="clear" w:color="000000" w:fill="CCFFFF"/>
            <w:noWrap/>
            <w:vAlign w:val="bottom"/>
            <w:hideMark/>
          </w:tcPr>
          <w:p w14:paraId="7EE0CF8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82,09</w:t>
            </w:r>
          </w:p>
        </w:tc>
        <w:tc>
          <w:tcPr>
            <w:tcW w:w="992" w:type="dxa"/>
            <w:tcBorders>
              <w:top w:val="nil"/>
              <w:left w:val="nil"/>
              <w:bottom w:val="single" w:sz="4" w:space="0" w:color="auto"/>
              <w:right w:val="single" w:sz="4" w:space="0" w:color="auto"/>
            </w:tcBorders>
            <w:shd w:val="clear" w:color="000000" w:fill="CCFFFF"/>
            <w:noWrap/>
            <w:vAlign w:val="bottom"/>
            <w:hideMark/>
          </w:tcPr>
          <w:p w14:paraId="11875DD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84,27</w:t>
            </w:r>
          </w:p>
        </w:tc>
      </w:tr>
      <w:tr w:rsidR="00B56301" w:rsidRPr="00364545" w14:paraId="0D50AF7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7684D8C" w14:textId="36EC8A1A"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A. Mineral industry</w:t>
            </w:r>
          </w:p>
        </w:tc>
        <w:tc>
          <w:tcPr>
            <w:tcW w:w="992" w:type="dxa"/>
            <w:tcBorders>
              <w:top w:val="nil"/>
              <w:left w:val="nil"/>
              <w:bottom w:val="single" w:sz="4" w:space="0" w:color="auto"/>
              <w:right w:val="single" w:sz="4" w:space="0" w:color="auto"/>
            </w:tcBorders>
            <w:shd w:val="clear" w:color="000000" w:fill="969696"/>
            <w:noWrap/>
            <w:vAlign w:val="bottom"/>
            <w:hideMark/>
          </w:tcPr>
          <w:p w14:paraId="2773ED2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55E676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1B0EF7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BE0AD4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56399D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9109C7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188A1DF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B6867D5" w14:textId="2B7ADFCA"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B. Chemical industry</w:t>
            </w:r>
          </w:p>
        </w:tc>
        <w:tc>
          <w:tcPr>
            <w:tcW w:w="992" w:type="dxa"/>
            <w:tcBorders>
              <w:top w:val="nil"/>
              <w:left w:val="nil"/>
              <w:bottom w:val="single" w:sz="4" w:space="0" w:color="auto"/>
              <w:right w:val="single" w:sz="4" w:space="0" w:color="auto"/>
            </w:tcBorders>
            <w:shd w:val="clear" w:color="000000" w:fill="FFFFFF"/>
            <w:noWrap/>
            <w:vAlign w:val="bottom"/>
            <w:hideMark/>
          </w:tcPr>
          <w:p w14:paraId="1F643D0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79,56</w:t>
            </w:r>
          </w:p>
        </w:tc>
        <w:tc>
          <w:tcPr>
            <w:tcW w:w="992" w:type="dxa"/>
            <w:tcBorders>
              <w:top w:val="nil"/>
              <w:left w:val="nil"/>
              <w:bottom w:val="single" w:sz="4" w:space="0" w:color="auto"/>
              <w:right w:val="single" w:sz="4" w:space="0" w:color="auto"/>
            </w:tcBorders>
            <w:shd w:val="clear" w:color="000000" w:fill="FFFFFF"/>
            <w:noWrap/>
            <w:vAlign w:val="bottom"/>
            <w:hideMark/>
          </w:tcPr>
          <w:p w14:paraId="6386300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79,56</w:t>
            </w:r>
          </w:p>
        </w:tc>
        <w:tc>
          <w:tcPr>
            <w:tcW w:w="992" w:type="dxa"/>
            <w:tcBorders>
              <w:top w:val="nil"/>
              <w:left w:val="nil"/>
              <w:bottom w:val="single" w:sz="4" w:space="0" w:color="auto"/>
              <w:right w:val="single" w:sz="4" w:space="0" w:color="auto"/>
            </w:tcBorders>
            <w:shd w:val="clear" w:color="000000" w:fill="FFFFFF"/>
            <w:noWrap/>
            <w:vAlign w:val="bottom"/>
            <w:hideMark/>
          </w:tcPr>
          <w:p w14:paraId="2DEE3BE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80,13</w:t>
            </w:r>
          </w:p>
        </w:tc>
        <w:tc>
          <w:tcPr>
            <w:tcW w:w="992" w:type="dxa"/>
            <w:tcBorders>
              <w:top w:val="nil"/>
              <w:left w:val="nil"/>
              <w:bottom w:val="single" w:sz="4" w:space="0" w:color="auto"/>
              <w:right w:val="single" w:sz="4" w:space="0" w:color="auto"/>
            </w:tcBorders>
            <w:shd w:val="clear" w:color="000000" w:fill="FFFFFF"/>
            <w:noWrap/>
            <w:vAlign w:val="bottom"/>
            <w:hideMark/>
          </w:tcPr>
          <w:p w14:paraId="277C532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81,66</w:t>
            </w:r>
          </w:p>
        </w:tc>
        <w:tc>
          <w:tcPr>
            <w:tcW w:w="992" w:type="dxa"/>
            <w:tcBorders>
              <w:top w:val="nil"/>
              <w:left w:val="nil"/>
              <w:bottom w:val="single" w:sz="4" w:space="0" w:color="auto"/>
              <w:right w:val="single" w:sz="4" w:space="0" w:color="auto"/>
            </w:tcBorders>
            <w:shd w:val="clear" w:color="000000" w:fill="FFFFFF"/>
            <w:noWrap/>
            <w:vAlign w:val="bottom"/>
            <w:hideMark/>
          </w:tcPr>
          <w:p w14:paraId="678EB0E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81,67</w:t>
            </w:r>
          </w:p>
        </w:tc>
        <w:tc>
          <w:tcPr>
            <w:tcW w:w="992" w:type="dxa"/>
            <w:tcBorders>
              <w:top w:val="nil"/>
              <w:left w:val="nil"/>
              <w:bottom w:val="single" w:sz="4" w:space="0" w:color="auto"/>
              <w:right w:val="single" w:sz="4" w:space="0" w:color="auto"/>
            </w:tcBorders>
            <w:shd w:val="clear" w:color="000000" w:fill="FFFFFF"/>
            <w:noWrap/>
            <w:vAlign w:val="bottom"/>
            <w:hideMark/>
          </w:tcPr>
          <w:p w14:paraId="6826189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83,85</w:t>
            </w:r>
          </w:p>
        </w:tc>
      </w:tr>
      <w:tr w:rsidR="00B56301" w:rsidRPr="00364545" w14:paraId="375E9A4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5AB6C2A" w14:textId="23E801C8"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C. Metal industry</w:t>
            </w:r>
          </w:p>
        </w:tc>
        <w:tc>
          <w:tcPr>
            <w:tcW w:w="992" w:type="dxa"/>
            <w:tcBorders>
              <w:top w:val="nil"/>
              <w:left w:val="nil"/>
              <w:bottom w:val="single" w:sz="4" w:space="0" w:color="auto"/>
              <w:right w:val="single" w:sz="4" w:space="0" w:color="auto"/>
            </w:tcBorders>
            <w:shd w:val="clear" w:color="000000" w:fill="FFFFFF"/>
            <w:noWrap/>
            <w:vAlign w:val="bottom"/>
            <w:hideMark/>
          </w:tcPr>
          <w:p w14:paraId="1C6130E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79E80E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6C446C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2DD36B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B88B0E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25F8082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r>
      <w:tr w:rsidR="00B56301" w:rsidRPr="00364545" w14:paraId="5827180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350D61B" w14:textId="16990E61"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D. Non-energy products from fuels and solvent use</w:t>
            </w:r>
          </w:p>
        </w:tc>
        <w:tc>
          <w:tcPr>
            <w:tcW w:w="992" w:type="dxa"/>
            <w:tcBorders>
              <w:top w:val="nil"/>
              <w:left w:val="nil"/>
              <w:bottom w:val="single" w:sz="4" w:space="0" w:color="auto"/>
              <w:right w:val="single" w:sz="4" w:space="0" w:color="auto"/>
            </w:tcBorders>
            <w:shd w:val="clear" w:color="000000" w:fill="FFFFFF"/>
            <w:noWrap/>
            <w:vAlign w:val="bottom"/>
            <w:hideMark/>
          </w:tcPr>
          <w:p w14:paraId="0F32948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278431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AB30A4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19ED4E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559C2D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F94525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0,01</w:t>
            </w:r>
          </w:p>
        </w:tc>
      </w:tr>
      <w:tr w:rsidR="00B56301" w:rsidRPr="00364545" w14:paraId="78C96327"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ED201F6" w14:textId="08C965F9"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E. Electronic industry</w:t>
            </w:r>
          </w:p>
        </w:tc>
        <w:tc>
          <w:tcPr>
            <w:tcW w:w="992" w:type="dxa"/>
            <w:tcBorders>
              <w:top w:val="nil"/>
              <w:left w:val="nil"/>
              <w:bottom w:val="single" w:sz="4" w:space="0" w:color="auto"/>
              <w:right w:val="single" w:sz="4" w:space="0" w:color="auto"/>
            </w:tcBorders>
            <w:shd w:val="clear" w:color="000000" w:fill="969696"/>
            <w:noWrap/>
            <w:vAlign w:val="bottom"/>
            <w:hideMark/>
          </w:tcPr>
          <w:p w14:paraId="09A21B6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B01FA9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5F720D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4B485F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C85349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D3F847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3690A14C"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0EDC986" w14:textId="3159C6EB"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F. Product uses as ODS substitutes</w:t>
            </w:r>
          </w:p>
        </w:tc>
        <w:tc>
          <w:tcPr>
            <w:tcW w:w="992" w:type="dxa"/>
            <w:tcBorders>
              <w:top w:val="nil"/>
              <w:left w:val="nil"/>
              <w:bottom w:val="single" w:sz="4" w:space="0" w:color="auto"/>
              <w:right w:val="single" w:sz="4" w:space="0" w:color="auto"/>
            </w:tcBorders>
            <w:shd w:val="clear" w:color="000000" w:fill="969696"/>
            <w:noWrap/>
            <w:vAlign w:val="bottom"/>
            <w:hideMark/>
          </w:tcPr>
          <w:p w14:paraId="1D590B5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C151DD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1277A8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29485C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6DC087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23E996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37791EF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588AB03" w14:textId="5C30E775"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 xml:space="preserve">G. Other product manufacture and use </w:t>
            </w:r>
          </w:p>
        </w:tc>
        <w:tc>
          <w:tcPr>
            <w:tcW w:w="992" w:type="dxa"/>
            <w:tcBorders>
              <w:top w:val="nil"/>
              <w:left w:val="nil"/>
              <w:bottom w:val="single" w:sz="4" w:space="0" w:color="auto"/>
              <w:right w:val="single" w:sz="4" w:space="0" w:color="auto"/>
            </w:tcBorders>
            <w:shd w:val="clear" w:color="000000" w:fill="FFFFFF"/>
            <w:noWrap/>
            <w:vAlign w:val="bottom"/>
            <w:hideMark/>
          </w:tcPr>
          <w:p w14:paraId="4715911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216C1AF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4B542A8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76EFABD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639F750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77594A0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0,41</w:t>
            </w:r>
          </w:p>
        </w:tc>
      </w:tr>
      <w:tr w:rsidR="00B56301" w:rsidRPr="00364545" w14:paraId="046C3F0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CA5EDD4" w14:textId="5B2C5549"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 xml:space="preserve">H. Other </w:t>
            </w:r>
          </w:p>
        </w:tc>
        <w:tc>
          <w:tcPr>
            <w:tcW w:w="992" w:type="dxa"/>
            <w:tcBorders>
              <w:top w:val="nil"/>
              <w:left w:val="nil"/>
              <w:bottom w:val="single" w:sz="4" w:space="0" w:color="auto"/>
              <w:right w:val="single" w:sz="4" w:space="0" w:color="auto"/>
            </w:tcBorders>
            <w:shd w:val="clear" w:color="000000" w:fill="FFFFFF"/>
            <w:noWrap/>
            <w:vAlign w:val="bottom"/>
            <w:hideMark/>
          </w:tcPr>
          <w:p w14:paraId="44A1C0C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C6D2ED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3AACFD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AF3330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EF8A26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37B189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NO,NA</w:t>
            </w:r>
          </w:p>
        </w:tc>
      </w:tr>
      <w:tr w:rsidR="00B56301" w:rsidRPr="00364545" w14:paraId="0FDEBA4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bottom"/>
            <w:hideMark/>
          </w:tcPr>
          <w:p w14:paraId="47BA3938" w14:textId="4ED0ACEE"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3. Agriculture</w:t>
            </w:r>
          </w:p>
        </w:tc>
        <w:tc>
          <w:tcPr>
            <w:tcW w:w="992" w:type="dxa"/>
            <w:tcBorders>
              <w:top w:val="nil"/>
              <w:left w:val="nil"/>
              <w:bottom w:val="single" w:sz="4" w:space="0" w:color="auto"/>
              <w:right w:val="single" w:sz="4" w:space="0" w:color="auto"/>
            </w:tcBorders>
            <w:shd w:val="clear" w:color="000000" w:fill="CCFFFF"/>
            <w:noWrap/>
            <w:vAlign w:val="bottom"/>
            <w:hideMark/>
          </w:tcPr>
          <w:p w14:paraId="4E31FF1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123,12</w:t>
            </w:r>
          </w:p>
        </w:tc>
        <w:tc>
          <w:tcPr>
            <w:tcW w:w="992" w:type="dxa"/>
            <w:tcBorders>
              <w:top w:val="nil"/>
              <w:left w:val="nil"/>
              <w:bottom w:val="single" w:sz="4" w:space="0" w:color="auto"/>
              <w:right w:val="single" w:sz="4" w:space="0" w:color="auto"/>
            </w:tcBorders>
            <w:shd w:val="clear" w:color="000000" w:fill="CCFFFF"/>
            <w:noWrap/>
            <w:vAlign w:val="bottom"/>
            <w:hideMark/>
          </w:tcPr>
          <w:p w14:paraId="6F142F2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123,12</w:t>
            </w:r>
          </w:p>
        </w:tc>
        <w:tc>
          <w:tcPr>
            <w:tcW w:w="992" w:type="dxa"/>
            <w:tcBorders>
              <w:top w:val="nil"/>
              <w:left w:val="nil"/>
              <w:bottom w:val="single" w:sz="4" w:space="0" w:color="auto"/>
              <w:right w:val="single" w:sz="4" w:space="0" w:color="auto"/>
            </w:tcBorders>
            <w:shd w:val="clear" w:color="000000" w:fill="CCFFFF"/>
            <w:noWrap/>
            <w:vAlign w:val="bottom"/>
            <w:hideMark/>
          </w:tcPr>
          <w:p w14:paraId="7462F46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123,86</w:t>
            </w:r>
          </w:p>
        </w:tc>
        <w:tc>
          <w:tcPr>
            <w:tcW w:w="992" w:type="dxa"/>
            <w:tcBorders>
              <w:top w:val="nil"/>
              <w:left w:val="nil"/>
              <w:bottom w:val="single" w:sz="4" w:space="0" w:color="auto"/>
              <w:right w:val="single" w:sz="4" w:space="0" w:color="auto"/>
            </w:tcBorders>
            <w:shd w:val="clear" w:color="000000" w:fill="CCFFFF"/>
            <w:noWrap/>
            <w:vAlign w:val="bottom"/>
            <w:hideMark/>
          </w:tcPr>
          <w:p w14:paraId="134683C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121,39</w:t>
            </w:r>
          </w:p>
        </w:tc>
        <w:tc>
          <w:tcPr>
            <w:tcW w:w="992" w:type="dxa"/>
            <w:tcBorders>
              <w:top w:val="nil"/>
              <w:left w:val="nil"/>
              <w:bottom w:val="single" w:sz="4" w:space="0" w:color="auto"/>
              <w:right w:val="single" w:sz="4" w:space="0" w:color="auto"/>
            </w:tcBorders>
            <w:shd w:val="clear" w:color="000000" w:fill="CCFFFF"/>
            <w:noWrap/>
            <w:vAlign w:val="bottom"/>
            <w:hideMark/>
          </w:tcPr>
          <w:p w14:paraId="133984D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118,60</w:t>
            </w:r>
          </w:p>
        </w:tc>
        <w:tc>
          <w:tcPr>
            <w:tcW w:w="992" w:type="dxa"/>
            <w:tcBorders>
              <w:top w:val="nil"/>
              <w:left w:val="nil"/>
              <w:bottom w:val="single" w:sz="4" w:space="0" w:color="auto"/>
              <w:right w:val="single" w:sz="4" w:space="0" w:color="auto"/>
            </w:tcBorders>
            <w:shd w:val="clear" w:color="000000" w:fill="CCFFFF"/>
            <w:noWrap/>
            <w:vAlign w:val="bottom"/>
            <w:hideMark/>
          </w:tcPr>
          <w:p w14:paraId="20A9098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116,73</w:t>
            </w:r>
          </w:p>
        </w:tc>
      </w:tr>
      <w:tr w:rsidR="00B56301" w:rsidRPr="00364545" w14:paraId="0E61412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E9D583C" w14:textId="36871761"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A. Enteric fermentation</w:t>
            </w:r>
          </w:p>
        </w:tc>
        <w:tc>
          <w:tcPr>
            <w:tcW w:w="992" w:type="dxa"/>
            <w:tcBorders>
              <w:top w:val="nil"/>
              <w:left w:val="nil"/>
              <w:bottom w:val="single" w:sz="4" w:space="0" w:color="auto"/>
              <w:right w:val="single" w:sz="4" w:space="0" w:color="auto"/>
            </w:tcBorders>
            <w:shd w:val="clear" w:color="000000" w:fill="969696"/>
            <w:noWrap/>
            <w:vAlign w:val="bottom"/>
            <w:hideMark/>
          </w:tcPr>
          <w:p w14:paraId="254EEE3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0153D3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9D98E1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A2DDE6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CB9F68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5335C1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7F90861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40DBB6E" w14:textId="7798B3CF"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B. Manure management</w:t>
            </w:r>
          </w:p>
        </w:tc>
        <w:tc>
          <w:tcPr>
            <w:tcW w:w="992" w:type="dxa"/>
            <w:tcBorders>
              <w:top w:val="nil"/>
              <w:left w:val="nil"/>
              <w:bottom w:val="single" w:sz="4" w:space="0" w:color="auto"/>
              <w:right w:val="single" w:sz="4" w:space="0" w:color="auto"/>
            </w:tcBorders>
            <w:shd w:val="clear" w:color="000000" w:fill="FFFFFF"/>
            <w:noWrap/>
            <w:vAlign w:val="bottom"/>
            <w:hideMark/>
          </w:tcPr>
          <w:p w14:paraId="5DDC364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9,46</w:t>
            </w:r>
          </w:p>
        </w:tc>
        <w:tc>
          <w:tcPr>
            <w:tcW w:w="992" w:type="dxa"/>
            <w:tcBorders>
              <w:top w:val="nil"/>
              <w:left w:val="nil"/>
              <w:bottom w:val="single" w:sz="4" w:space="0" w:color="auto"/>
              <w:right w:val="single" w:sz="4" w:space="0" w:color="auto"/>
            </w:tcBorders>
            <w:shd w:val="clear" w:color="000000" w:fill="FFFFFF"/>
            <w:noWrap/>
            <w:vAlign w:val="bottom"/>
            <w:hideMark/>
          </w:tcPr>
          <w:p w14:paraId="641A973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9,46</w:t>
            </w:r>
          </w:p>
        </w:tc>
        <w:tc>
          <w:tcPr>
            <w:tcW w:w="992" w:type="dxa"/>
            <w:tcBorders>
              <w:top w:val="nil"/>
              <w:left w:val="nil"/>
              <w:bottom w:val="single" w:sz="4" w:space="0" w:color="auto"/>
              <w:right w:val="single" w:sz="4" w:space="0" w:color="auto"/>
            </w:tcBorders>
            <w:shd w:val="clear" w:color="000000" w:fill="FFFFFF"/>
            <w:noWrap/>
            <w:vAlign w:val="bottom"/>
            <w:hideMark/>
          </w:tcPr>
          <w:p w14:paraId="6B28AC0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9,32</w:t>
            </w:r>
          </w:p>
        </w:tc>
        <w:tc>
          <w:tcPr>
            <w:tcW w:w="992" w:type="dxa"/>
            <w:tcBorders>
              <w:top w:val="nil"/>
              <w:left w:val="nil"/>
              <w:bottom w:val="single" w:sz="4" w:space="0" w:color="auto"/>
              <w:right w:val="single" w:sz="4" w:space="0" w:color="auto"/>
            </w:tcBorders>
            <w:shd w:val="clear" w:color="000000" w:fill="FFFFFF"/>
            <w:noWrap/>
            <w:vAlign w:val="bottom"/>
            <w:hideMark/>
          </w:tcPr>
          <w:p w14:paraId="125CF44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9,17</w:t>
            </w:r>
          </w:p>
        </w:tc>
        <w:tc>
          <w:tcPr>
            <w:tcW w:w="992" w:type="dxa"/>
            <w:tcBorders>
              <w:top w:val="nil"/>
              <w:left w:val="nil"/>
              <w:bottom w:val="single" w:sz="4" w:space="0" w:color="auto"/>
              <w:right w:val="single" w:sz="4" w:space="0" w:color="auto"/>
            </w:tcBorders>
            <w:shd w:val="clear" w:color="000000" w:fill="FFFFFF"/>
            <w:noWrap/>
            <w:vAlign w:val="bottom"/>
            <w:hideMark/>
          </w:tcPr>
          <w:p w14:paraId="1313BFA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9,11</w:t>
            </w:r>
          </w:p>
        </w:tc>
        <w:tc>
          <w:tcPr>
            <w:tcW w:w="992" w:type="dxa"/>
            <w:tcBorders>
              <w:top w:val="nil"/>
              <w:left w:val="nil"/>
              <w:bottom w:val="single" w:sz="4" w:space="0" w:color="auto"/>
              <w:right w:val="single" w:sz="4" w:space="0" w:color="auto"/>
            </w:tcBorders>
            <w:shd w:val="clear" w:color="000000" w:fill="FFFFFF"/>
            <w:noWrap/>
            <w:vAlign w:val="bottom"/>
            <w:hideMark/>
          </w:tcPr>
          <w:p w14:paraId="77AB3EA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9,15</w:t>
            </w:r>
          </w:p>
        </w:tc>
      </w:tr>
      <w:tr w:rsidR="00B56301" w:rsidRPr="00364545" w14:paraId="0DCB855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674AA9E" w14:textId="383708A8"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C. Rice cultivation</w:t>
            </w:r>
          </w:p>
        </w:tc>
        <w:tc>
          <w:tcPr>
            <w:tcW w:w="992" w:type="dxa"/>
            <w:tcBorders>
              <w:top w:val="nil"/>
              <w:left w:val="nil"/>
              <w:bottom w:val="single" w:sz="4" w:space="0" w:color="auto"/>
              <w:right w:val="single" w:sz="4" w:space="0" w:color="auto"/>
            </w:tcBorders>
            <w:shd w:val="clear" w:color="000000" w:fill="969696"/>
            <w:noWrap/>
            <w:vAlign w:val="bottom"/>
            <w:hideMark/>
          </w:tcPr>
          <w:p w14:paraId="24C26B4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199801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8D4E12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9CD8DD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DC7960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CD3360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78BC091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3C6AD7F" w14:textId="3253E3A2"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D. Agricultural soils</w:t>
            </w:r>
          </w:p>
        </w:tc>
        <w:tc>
          <w:tcPr>
            <w:tcW w:w="992" w:type="dxa"/>
            <w:tcBorders>
              <w:top w:val="nil"/>
              <w:left w:val="nil"/>
              <w:bottom w:val="single" w:sz="4" w:space="0" w:color="auto"/>
              <w:right w:val="single" w:sz="4" w:space="0" w:color="auto"/>
            </w:tcBorders>
            <w:shd w:val="clear" w:color="000000" w:fill="FFFFFF"/>
            <w:noWrap/>
            <w:vAlign w:val="bottom"/>
            <w:hideMark/>
          </w:tcPr>
          <w:p w14:paraId="07FAD40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113,59</w:t>
            </w:r>
          </w:p>
        </w:tc>
        <w:tc>
          <w:tcPr>
            <w:tcW w:w="992" w:type="dxa"/>
            <w:tcBorders>
              <w:top w:val="nil"/>
              <w:left w:val="nil"/>
              <w:bottom w:val="single" w:sz="4" w:space="0" w:color="auto"/>
              <w:right w:val="single" w:sz="4" w:space="0" w:color="auto"/>
            </w:tcBorders>
            <w:shd w:val="clear" w:color="000000" w:fill="FFFFFF"/>
            <w:noWrap/>
            <w:vAlign w:val="bottom"/>
            <w:hideMark/>
          </w:tcPr>
          <w:p w14:paraId="3CA3EF4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113,59</w:t>
            </w:r>
          </w:p>
        </w:tc>
        <w:tc>
          <w:tcPr>
            <w:tcW w:w="992" w:type="dxa"/>
            <w:tcBorders>
              <w:top w:val="nil"/>
              <w:left w:val="nil"/>
              <w:bottom w:val="single" w:sz="4" w:space="0" w:color="auto"/>
              <w:right w:val="single" w:sz="4" w:space="0" w:color="auto"/>
            </w:tcBorders>
            <w:shd w:val="clear" w:color="000000" w:fill="FFFFFF"/>
            <w:noWrap/>
            <w:vAlign w:val="bottom"/>
            <w:hideMark/>
          </w:tcPr>
          <w:p w14:paraId="782014A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114,47</w:t>
            </w:r>
          </w:p>
        </w:tc>
        <w:tc>
          <w:tcPr>
            <w:tcW w:w="992" w:type="dxa"/>
            <w:tcBorders>
              <w:top w:val="nil"/>
              <w:left w:val="nil"/>
              <w:bottom w:val="single" w:sz="4" w:space="0" w:color="auto"/>
              <w:right w:val="single" w:sz="4" w:space="0" w:color="auto"/>
            </w:tcBorders>
            <w:shd w:val="clear" w:color="000000" w:fill="FFFFFF"/>
            <w:noWrap/>
            <w:vAlign w:val="bottom"/>
            <w:hideMark/>
          </w:tcPr>
          <w:p w14:paraId="01C4D63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112,15</w:t>
            </w:r>
          </w:p>
        </w:tc>
        <w:tc>
          <w:tcPr>
            <w:tcW w:w="992" w:type="dxa"/>
            <w:tcBorders>
              <w:top w:val="nil"/>
              <w:left w:val="nil"/>
              <w:bottom w:val="single" w:sz="4" w:space="0" w:color="auto"/>
              <w:right w:val="single" w:sz="4" w:space="0" w:color="auto"/>
            </w:tcBorders>
            <w:shd w:val="clear" w:color="000000" w:fill="FFFFFF"/>
            <w:noWrap/>
            <w:vAlign w:val="bottom"/>
            <w:hideMark/>
          </w:tcPr>
          <w:p w14:paraId="775A883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109,42</w:t>
            </w:r>
          </w:p>
        </w:tc>
        <w:tc>
          <w:tcPr>
            <w:tcW w:w="992" w:type="dxa"/>
            <w:tcBorders>
              <w:top w:val="nil"/>
              <w:left w:val="nil"/>
              <w:bottom w:val="single" w:sz="4" w:space="0" w:color="auto"/>
              <w:right w:val="single" w:sz="4" w:space="0" w:color="auto"/>
            </w:tcBorders>
            <w:shd w:val="clear" w:color="000000" w:fill="FFFFFF"/>
            <w:noWrap/>
            <w:vAlign w:val="bottom"/>
            <w:hideMark/>
          </w:tcPr>
          <w:p w14:paraId="6727B0F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107,51</w:t>
            </w:r>
          </w:p>
        </w:tc>
      </w:tr>
      <w:tr w:rsidR="00B56301" w:rsidRPr="00364545" w14:paraId="48839B56"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0B63ECD" w14:textId="57508615"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E. Prescribed burning of savannas</w:t>
            </w:r>
          </w:p>
        </w:tc>
        <w:tc>
          <w:tcPr>
            <w:tcW w:w="992" w:type="dxa"/>
            <w:tcBorders>
              <w:top w:val="nil"/>
              <w:left w:val="nil"/>
              <w:bottom w:val="single" w:sz="4" w:space="0" w:color="auto"/>
              <w:right w:val="single" w:sz="4" w:space="0" w:color="auto"/>
            </w:tcBorders>
            <w:shd w:val="clear" w:color="000000" w:fill="FFFFFF"/>
            <w:noWrap/>
            <w:vAlign w:val="bottom"/>
            <w:hideMark/>
          </w:tcPr>
          <w:p w14:paraId="4A94313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322FDBC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110076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0EF8387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39BA68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54FFC0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r>
      <w:tr w:rsidR="00B56301" w:rsidRPr="00364545" w14:paraId="011FD117"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BEB1E6F" w14:textId="4734B15D"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F. Field burning of agricultural residues</w:t>
            </w:r>
          </w:p>
        </w:tc>
        <w:tc>
          <w:tcPr>
            <w:tcW w:w="992" w:type="dxa"/>
            <w:tcBorders>
              <w:top w:val="nil"/>
              <w:left w:val="nil"/>
              <w:bottom w:val="single" w:sz="4" w:space="0" w:color="auto"/>
              <w:right w:val="single" w:sz="4" w:space="0" w:color="auto"/>
            </w:tcBorders>
            <w:shd w:val="clear" w:color="000000" w:fill="FFFFFF"/>
            <w:noWrap/>
            <w:vAlign w:val="bottom"/>
            <w:hideMark/>
          </w:tcPr>
          <w:p w14:paraId="05FB939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1F5AE1A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7C8F818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86A262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0B45E8C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1400E36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0,07</w:t>
            </w:r>
          </w:p>
        </w:tc>
      </w:tr>
      <w:tr w:rsidR="00B56301" w:rsidRPr="00364545" w14:paraId="07E079D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CA51275" w14:textId="4B851F8A"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G. Liming</w:t>
            </w:r>
          </w:p>
        </w:tc>
        <w:tc>
          <w:tcPr>
            <w:tcW w:w="992" w:type="dxa"/>
            <w:tcBorders>
              <w:top w:val="nil"/>
              <w:left w:val="nil"/>
              <w:bottom w:val="single" w:sz="4" w:space="0" w:color="auto"/>
              <w:right w:val="single" w:sz="4" w:space="0" w:color="auto"/>
            </w:tcBorders>
            <w:shd w:val="clear" w:color="000000" w:fill="969696"/>
            <w:noWrap/>
            <w:vAlign w:val="bottom"/>
            <w:hideMark/>
          </w:tcPr>
          <w:p w14:paraId="23C1E7B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0E2911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EE63CF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1BD760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C6570C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AA3C59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736E2A6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9AEFF3A" w14:textId="4D17DA68"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H. Urea application</w:t>
            </w:r>
          </w:p>
        </w:tc>
        <w:tc>
          <w:tcPr>
            <w:tcW w:w="992" w:type="dxa"/>
            <w:tcBorders>
              <w:top w:val="nil"/>
              <w:left w:val="nil"/>
              <w:bottom w:val="single" w:sz="4" w:space="0" w:color="auto"/>
              <w:right w:val="single" w:sz="4" w:space="0" w:color="auto"/>
            </w:tcBorders>
            <w:shd w:val="clear" w:color="000000" w:fill="969696"/>
            <w:noWrap/>
            <w:vAlign w:val="bottom"/>
            <w:hideMark/>
          </w:tcPr>
          <w:p w14:paraId="598230E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29B102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1C7297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08DB15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6D90F8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0366FD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0E8AD7E7"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45CB4F6" w14:textId="2722A97D"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I. Other carbon containing fertlizers</w:t>
            </w:r>
          </w:p>
        </w:tc>
        <w:tc>
          <w:tcPr>
            <w:tcW w:w="992" w:type="dxa"/>
            <w:tcBorders>
              <w:top w:val="nil"/>
              <w:left w:val="nil"/>
              <w:bottom w:val="single" w:sz="4" w:space="0" w:color="auto"/>
              <w:right w:val="single" w:sz="4" w:space="0" w:color="auto"/>
            </w:tcBorders>
            <w:shd w:val="clear" w:color="000000" w:fill="969696"/>
            <w:noWrap/>
            <w:vAlign w:val="bottom"/>
            <w:hideMark/>
          </w:tcPr>
          <w:p w14:paraId="5397269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8B07E4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5E8E9D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360CA7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343B80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7F8CAD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3E8F98D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F897010" w14:textId="77CCF4DA"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 xml:space="preserve">J. Other </w:t>
            </w:r>
          </w:p>
        </w:tc>
        <w:tc>
          <w:tcPr>
            <w:tcW w:w="992" w:type="dxa"/>
            <w:tcBorders>
              <w:top w:val="nil"/>
              <w:left w:val="nil"/>
              <w:bottom w:val="single" w:sz="4" w:space="0" w:color="auto"/>
              <w:right w:val="single" w:sz="4" w:space="0" w:color="auto"/>
            </w:tcBorders>
            <w:shd w:val="clear" w:color="000000" w:fill="FFFFFF"/>
            <w:noWrap/>
            <w:vAlign w:val="bottom"/>
            <w:hideMark/>
          </w:tcPr>
          <w:p w14:paraId="569D0A0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1967DE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5687B6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452132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0BB4992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2A634D0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r>
      <w:tr w:rsidR="00B56301" w:rsidRPr="00364545" w14:paraId="63939EC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bottom"/>
            <w:hideMark/>
          </w:tcPr>
          <w:p w14:paraId="25E6E432" w14:textId="77777777"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4. Land use, land-use change and forestry</w:t>
            </w:r>
          </w:p>
        </w:tc>
        <w:tc>
          <w:tcPr>
            <w:tcW w:w="992" w:type="dxa"/>
            <w:tcBorders>
              <w:top w:val="nil"/>
              <w:left w:val="nil"/>
              <w:bottom w:val="single" w:sz="4" w:space="0" w:color="auto"/>
              <w:right w:val="single" w:sz="4" w:space="0" w:color="auto"/>
            </w:tcBorders>
            <w:shd w:val="clear" w:color="000000" w:fill="CCFFFF"/>
            <w:noWrap/>
            <w:vAlign w:val="bottom"/>
            <w:hideMark/>
          </w:tcPr>
          <w:p w14:paraId="25CD0A3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10,83</w:t>
            </w:r>
          </w:p>
        </w:tc>
        <w:tc>
          <w:tcPr>
            <w:tcW w:w="992" w:type="dxa"/>
            <w:tcBorders>
              <w:top w:val="nil"/>
              <w:left w:val="nil"/>
              <w:bottom w:val="single" w:sz="4" w:space="0" w:color="auto"/>
              <w:right w:val="single" w:sz="4" w:space="0" w:color="auto"/>
            </w:tcBorders>
            <w:shd w:val="clear" w:color="000000" w:fill="CCFFFF"/>
            <w:noWrap/>
            <w:vAlign w:val="bottom"/>
            <w:hideMark/>
          </w:tcPr>
          <w:p w14:paraId="460D8E5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10,83</w:t>
            </w:r>
          </w:p>
        </w:tc>
        <w:tc>
          <w:tcPr>
            <w:tcW w:w="992" w:type="dxa"/>
            <w:tcBorders>
              <w:top w:val="nil"/>
              <w:left w:val="nil"/>
              <w:bottom w:val="single" w:sz="4" w:space="0" w:color="auto"/>
              <w:right w:val="single" w:sz="4" w:space="0" w:color="auto"/>
            </w:tcBorders>
            <w:shd w:val="clear" w:color="000000" w:fill="CCFFFF"/>
            <w:noWrap/>
            <w:vAlign w:val="bottom"/>
            <w:hideMark/>
          </w:tcPr>
          <w:p w14:paraId="111B49F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10,75</w:t>
            </w:r>
          </w:p>
        </w:tc>
        <w:tc>
          <w:tcPr>
            <w:tcW w:w="992" w:type="dxa"/>
            <w:tcBorders>
              <w:top w:val="nil"/>
              <w:left w:val="nil"/>
              <w:bottom w:val="single" w:sz="4" w:space="0" w:color="auto"/>
              <w:right w:val="single" w:sz="4" w:space="0" w:color="auto"/>
            </w:tcBorders>
            <w:shd w:val="clear" w:color="000000" w:fill="CCFFFF"/>
            <w:noWrap/>
            <w:vAlign w:val="bottom"/>
            <w:hideMark/>
          </w:tcPr>
          <w:p w14:paraId="5EF1942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10,91</w:t>
            </w:r>
          </w:p>
        </w:tc>
        <w:tc>
          <w:tcPr>
            <w:tcW w:w="992" w:type="dxa"/>
            <w:tcBorders>
              <w:top w:val="nil"/>
              <w:left w:val="nil"/>
              <w:bottom w:val="single" w:sz="4" w:space="0" w:color="auto"/>
              <w:right w:val="single" w:sz="4" w:space="0" w:color="auto"/>
            </w:tcBorders>
            <w:shd w:val="clear" w:color="000000" w:fill="CCFFFF"/>
            <w:noWrap/>
            <w:vAlign w:val="bottom"/>
            <w:hideMark/>
          </w:tcPr>
          <w:p w14:paraId="74CE371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11,00</w:t>
            </w:r>
          </w:p>
        </w:tc>
        <w:tc>
          <w:tcPr>
            <w:tcW w:w="992" w:type="dxa"/>
            <w:tcBorders>
              <w:top w:val="nil"/>
              <w:left w:val="nil"/>
              <w:bottom w:val="single" w:sz="4" w:space="0" w:color="auto"/>
              <w:right w:val="single" w:sz="4" w:space="0" w:color="auto"/>
            </w:tcBorders>
            <w:shd w:val="clear" w:color="000000" w:fill="CCFFFF"/>
            <w:noWrap/>
            <w:vAlign w:val="bottom"/>
            <w:hideMark/>
          </w:tcPr>
          <w:p w14:paraId="26248F2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10,99</w:t>
            </w:r>
          </w:p>
        </w:tc>
      </w:tr>
      <w:tr w:rsidR="00B56301" w:rsidRPr="00364545" w14:paraId="5BE94A1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13E540A" w14:textId="0CDA443D"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A. Forest land</w:t>
            </w:r>
          </w:p>
        </w:tc>
        <w:tc>
          <w:tcPr>
            <w:tcW w:w="992" w:type="dxa"/>
            <w:tcBorders>
              <w:top w:val="nil"/>
              <w:left w:val="nil"/>
              <w:bottom w:val="single" w:sz="4" w:space="0" w:color="auto"/>
              <w:right w:val="single" w:sz="4" w:space="0" w:color="auto"/>
            </w:tcBorders>
            <w:shd w:val="clear" w:color="000000" w:fill="FFFFFF"/>
            <w:noWrap/>
            <w:vAlign w:val="bottom"/>
            <w:hideMark/>
          </w:tcPr>
          <w:p w14:paraId="3F2ADC2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1,49</w:t>
            </w:r>
          </w:p>
        </w:tc>
        <w:tc>
          <w:tcPr>
            <w:tcW w:w="992" w:type="dxa"/>
            <w:tcBorders>
              <w:top w:val="nil"/>
              <w:left w:val="nil"/>
              <w:bottom w:val="single" w:sz="4" w:space="0" w:color="auto"/>
              <w:right w:val="single" w:sz="4" w:space="0" w:color="auto"/>
            </w:tcBorders>
            <w:shd w:val="clear" w:color="000000" w:fill="FFFFFF"/>
            <w:noWrap/>
            <w:vAlign w:val="bottom"/>
            <w:hideMark/>
          </w:tcPr>
          <w:p w14:paraId="6A4B7EF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1,49</w:t>
            </w:r>
          </w:p>
        </w:tc>
        <w:tc>
          <w:tcPr>
            <w:tcW w:w="992" w:type="dxa"/>
            <w:tcBorders>
              <w:top w:val="nil"/>
              <w:left w:val="nil"/>
              <w:bottom w:val="single" w:sz="4" w:space="0" w:color="auto"/>
              <w:right w:val="single" w:sz="4" w:space="0" w:color="auto"/>
            </w:tcBorders>
            <w:shd w:val="clear" w:color="000000" w:fill="FFFFFF"/>
            <w:noWrap/>
            <w:vAlign w:val="bottom"/>
            <w:hideMark/>
          </w:tcPr>
          <w:p w14:paraId="6D5253D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1,33</w:t>
            </w:r>
          </w:p>
        </w:tc>
        <w:tc>
          <w:tcPr>
            <w:tcW w:w="992" w:type="dxa"/>
            <w:tcBorders>
              <w:top w:val="nil"/>
              <w:left w:val="nil"/>
              <w:bottom w:val="single" w:sz="4" w:space="0" w:color="auto"/>
              <w:right w:val="single" w:sz="4" w:space="0" w:color="auto"/>
            </w:tcBorders>
            <w:shd w:val="clear" w:color="000000" w:fill="FFFFFF"/>
            <w:noWrap/>
            <w:vAlign w:val="bottom"/>
            <w:hideMark/>
          </w:tcPr>
          <w:p w14:paraId="0A67735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1,39</w:t>
            </w:r>
          </w:p>
        </w:tc>
        <w:tc>
          <w:tcPr>
            <w:tcW w:w="992" w:type="dxa"/>
            <w:tcBorders>
              <w:top w:val="nil"/>
              <w:left w:val="nil"/>
              <w:bottom w:val="single" w:sz="4" w:space="0" w:color="auto"/>
              <w:right w:val="single" w:sz="4" w:space="0" w:color="auto"/>
            </w:tcBorders>
            <w:shd w:val="clear" w:color="000000" w:fill="FFFFFF"/>
            <w:noWrap/>
            <w:vAlign w:val="bottom"/>
            <w:hideMark/>
          </w:tcPr>
          <w:p w14:paraId="3DBFA8F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1,37</w:t>
            </w:r>
          </w:p>
        </w:tc>
        <w:tc>
          <w:tcPr>
            <w:tcW w:w="992" w:type="dxa"/>
            <w:tcBorders>
              <w:top w:val="nil"/>
              <w:left w:val="nil"/>
              <w:bottom w:val="single" w:sz="4" w:space="0" w:color="auto"/>
              <w:right w:val="single" w:sz="4" w:space="0" w:color="auto"/>
            </w:tcBorders>
            <w:shd w:val="clear" w:color="000000" w:fill="FFFFFF"/>
            <w:noWrap/>
            <w:vAlign w:val="bottom"/>
            <w:hideMark/>
          </w:tcPr>
          <w:p w14:paraId="7CC2E57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1,38</w:t>
            </w:r>
          </w:p>
        </w:tc>
      </w:tr>
      <w:tr w:rsidR="00B56301" w:rsidRPr="00364545" w14:paraId="287571D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FCB2733" w14:textId="2C788126"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B. Cropland</w:t>
            </w:r>
          </w:p>
        </w:tc>
        <w:tc>
          <w:tcPr>
            <w:tcW w:w="992" w:type="dxa"/>
            <w:tcBorders>
              <w:top w:val="nil"/>
              <w:left w:val="nil"/>
              <w:bottom w:val="single" w:sz="4" w:space="0" w:color="auto"/>
              <w:right w:val="single" w:sz="4" w:space="0" w:color="auto"/>
            </w:tcBorders>
            <w:shd w:val="clear" w:color="000000" w:fill="FFFFFF"/>
            <w:noWrap/>
            <w:vAlign w:val="bottom"/>
            <w:hideMark/>
          </w:tcPr>
          <w:p w14:paraId="4FAB8BC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5,21</w:t>
            </w:r>
          </w:p>
        </w:tc>
        <w:tc>
          <w:tcPr>
            <w:tcW w:w="992" w:type="dxa"/>
            <w:tcBorders>
              <w:top w:val="nil"/>
              <w:left w:val="nil"/>
              <w:bottom w:val="single" w:sz="4" w:space="0" w:color="auto"/>
              <w:right w:val="single" w:sz="4" w:space="0" w:color="auto"/>
            </w:tcBorders>
            <w:shd w:val="clear" w:color="000000" w:fill="FFFFFF"/>
            <w:noWrap/>
            <w:vAlign w:val="bottom"/>
            <w:hideMark/>
          </w:tcPr>
          <w:p w14:paraId="031DDFE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5,21</w:t>
            </w:r>
          </w:p>
        </w:tc>
        <w:tc>
          <w:tcPr>
            <w:tcW w:w="992" w:type="dxa"/>
            <w:tcBorders>
              <w:top w:val="nil"/>
              <w:left w:val="nil"/>
              <w:bottom w:val="single" w:sz="4" w:space="0" w:color="auto"/>
              <w:right w:val="single" w:sz="4" w:space="0" w:color="auto"/>
            </w:tcBorders>
            <w:shd w:val="clear" w:color="000000" w:fill="FFFFFF"/>
            <w:noWrap/>
            <w:vAlign w:val="bottom"/>
            <w:hideMark/>
          </w:tcPr>
          <w:p w14:paraId="2C238AD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5,25</w:t>
            </w:r>
          </w:p>
        </w:tc>
        <w:tc>
          <w:tcPr>
            <w:tcW w:w="992" w:type="dxa"/>
            <w:tcBorders>
              <w:top w:val="nil"/>
              <w:left w:val="nil"/>
              <w:bottom w:val="single" w:sz="4" w:space="0" w:color="auto"/>
              <w:right w:val="single" w:sz="4" w:space="0" w:color="auto"/>
            </w:tcBorders>
            <w:shd w:val="clear" w:color="000000" w:fill="FFFFFF"/>
            <w:noWrap/>
            <w:vAlign w:val="bottom"/>
            <w:hideMark/>
          </w:tcPr>
          <w:p w14:paraId="6A933A5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5,30</w:t>
            </w:r>
          </w:p>
        </w:tc>
        <w:tc>
          <w:tcPr>
            <w:tcW w:w="992" w:type="dxa"/>
            <w:tcBorders>
              <w:top w:val="nil"/>
              <w:left w:val="nil"/>
              <w:bottom w:val="single" w:sz="4" w:space="0" w:color="auto"/>
              <w:right w:val="single" w:sz="4" w:space="0" w:color="auto"/>
            </w:tcBorders>
            <w:shd w:val="clear" w:color="000000" w:fill="FFFFFF"/>
            <w:noWrap/>
            <w:vAlign w:val="bottom"/>
            <w:hideMark/>
          </w:tcPr>
          <w:p w14:paraId="2D322EB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5,37</w:t>
            </w:r>
          </w:p>
        </w:tc>
        <w:tc>
          <w:tcPr>
            <w:tcW w:w="992" w:type="dxa"/>
            <w:tcBorders>
              <w:top w:val="nil"/>
              <w:left w:val="nil"/>
              <w:bottom w:val="single" w:sz="4" w:space="0" w:color="auto"/>
              <w:right w:val="single" w:sz="4" w:space="0" w:color="auto"/>
            </w:tcBorders>
            <w:shd w:val="clear" w:color="000000" w:fill="FFFFFF"/>
            <w:noWrap/>
            <w:vAlign w:val="bottom"/>
            <w:hideMark/>
          </w:tcPr>
          <w:p w14:paraId="7936054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5,34</w:t>
            </w:r>
          </w:p>
        </w:tc>
      </w:tr>
      <w:tr w:rsidR="00B56301" w:rsidRPr="00364545" w14:paraId="5ABD317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C9D71D1" w14:textId="25FF4FFF"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C. Grassland</w:t>
            </w:r>
          </w:p>
        </w:tc>
        <w:tc>
          <w:tcPr>
            <w:tcW w:w="992" w:type="dxa"/>
            <w:tcBorders>
              <w:top w:val="nil"/>
              <w:left w:val="nil"/>
              <w:bottom w:val="single" w:sz="4" w:space="0" w:color="auto"/>
              <w:right w:val="single" w:sz="4" w:space="0" w:color="auto"/>
            </w:tcBorders>
            <w:shd w:val="clear" w:color="000000" w:fill="FFFFFF"/>
            <w:noWrap/>
            <w:vAlign w:val="bottom"/>
            <w:hideMark/>
          </w:tcPr>
          <w:p w14:paraId="7F242C8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0,47</w:t>
            </w:r>
          </w:p>
        </w:tc>
        <w:tc>
          <w:tcPr>
            <w:tcW w:w="992" w:type="dxa"/>
            <w:tcBorders>
              <w:top w:val="nil"/>
              <w:left w:val="nil"/>
              <w:bottom w:val="single" w:sz="4" w:space="0" w:color="auto"/>
              <w:right w:val="single" w:sz="4" w:space="0" w:color="auto"/>
            </w:tcBorders>
            <w:shd w:val="clear" w:color="000000" w:fill="FFFFFF"/>
            <w:noWrap/>
            <w:vAlign w:val="bottom"/>
            <w:hideMark/>
          </w:tcPr>
          <w:p w14:paraId="29CDFDF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0,47</w:t>
            </w:r>
          </w:p>
        </w:tc>
        <w:tc>
          <w:tcPr>
            <w:tcW w:w="992" w:type="dxa"/>
            <w:tcBorders>
              <w:top w:val="nil"/>
              <w:left w:val="nil"/>
              <w:bottom w:val="single" w:sz="4" w:space="0" w:color="auto"/>
              <w:right w:val="single" w:sz="4" w:space="0" w:color="auto"/>
            </w:tcBorders>
            <w:shd w:val="clear" w:color="000000" w:fill="FFFFFF"/>
            <w:noWrap/>
            <w:vAlign w:val="bottom"/>
            <w:hideMark/>
          </w:tcPr>
          <w:p w14:paraId="5E9466A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0,49</w:t>
            </w:r>
          </w:p>
        </w:tc>
        <w:tc>
          <w:tcPr>
            <w:tcW w:w="992" w:type="dxa"/>
            <w:tcBorders>
              <w:top w:val="nil"/>
              <w:left w:val="nil"/>
              <w:bottom w:val="single" w:sz="4" w:space="0" w:color="auto"/>
              <w:right w:val="single" w:sz="4" w:space="0" w:color="auto"/>
            </w:tcBorders>
            <w:shd w:val="clear" w:color="000000" w:fill="FFFFFF"/>
            <w:noWrap/>
            <w:vAlign w:val="bottom"/>
            <w:hideMark/>
          </w:tcPr>
          <w:p w14:paraId="7E33463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101ACB7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0,52</w:t>
            </w:r>
          </w:p>
        </w:tc>
        <w:tc>
          <w:tcPr>
            <w:tcW w:w="992" w:type="dxa"/>
            <w:tcBorders>
              <w:top w:val="nil"/>
              <w:left w:val="nil"/>
              <w:bottom w:val="single" w:sz="4" w:space="0" w:color="auto"/>
              <w:right w:val="single" w:sz="4" w:space="0" w:color="auto"/>
            </w:tcBorders>
            <w:shd w:val="clear" w:color="000000" w:fill="FFFFFF"/>
            <w:noWrap/>
            <w:vAlign w:val="bottom"/>
            <w:hideMark/>
          </w:tcPr>
          <w:p w14:paraId="6EFC28F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0,51</w:t>
            </w:r>
          </w:p>
        </w:tc>
      </w:tr>
      <w:tr w:rsidR="00B56301" w:rsidRPr="00364545" w14:paraId="65625536"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71EE3D1" w14:textId="4EAC9E29"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D. Wetlands</w:t>
            </w:r>
          </w:p>
        </w:tc>
        <w:tc>
          <w:tcPr>
            <w:tcW w:w="992" w:type="dxa"/>
            <w:tcBorders>
              <w:top w:val="nil"/>
              <w:left w:val="nil"/>
              <w:bottom w:val="single" w:sz="4" w:space="0" w:color="auto"/>
              <w:right w:val="single" w:sz="4" w:space="0" w:color="auto"/>
            </w:tcBorders>
            <w:shd w:val="clear" w:color="000000" w:fill="FFFFFF"/>
            <w:noWrap/>
            <w:vAlign w:val="bottom"/>
            <w:hideMark/>
          </w:tcPr>
          <w:p w14:paraId="6716970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8ABBF2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FD21BE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A86599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F27F7C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B598C2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0,00</w:t>
            </w:r>
          </w:p>
        </w:tc>
      </w:tr>
      <w:tr w:rsidR="00B56301" w:rsidRPr="00364545" w14:paraId="1D8905D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86BD682" w14:textId="4F3C7165"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 xml:space="preserve">E. Settlements </w:t>
            </w:r>
          </w:p>
        </w:tc>
        <w:tc>
          <w:tcPr>
            <w:tcW w:w="992" w:type="dxa"/>
            <w:tcBorders>
              <w:top w:val="nil"/>
              <w:left w:val="nil"/>
              <w:bottom w:val="single" w:sz="4" w:space="0" w:color="auto"/>
              <w:right w:val="single" w:sz="4" w:space="0" w:color="auto"/>
            </w:tcBorders>
            <w:shd w:val="clear" w:color="000000" w:fill="FFFFFF"/>
            <w:noWrap/>
            <w:vAlign w:val="bottom"/>
            <w:hideMark/>
          </w:tcPr>
          <w:p w14:paraId="2C10DD3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1,99</w:t>
            </w:r>
          </w:p>
        </w:tc>
        <w:tc>
          <w:tcPr>
            <w:tcW w:w="992" w:type="dxa"/>
            <w:tcBorders>
              <w:top w:val="nil"/>
              <w:left w:val="nil"/>
              <w:bottom w:val="single" w:sz="4" w:space="0" w:color="auto"/>
              <w:right w:val="single" w:sz="4" w:space="0" w:color="auto"/>
            </w:tcBorders>
            <w:shd w:val="clear" w:color="000000" w:fill="FFFFFF"/>
            <w:noWrap/>
            <w:vAlign w:val="bottom"/>
            <w:hideMark/>
          </w:tcPr>
          <w:p w14:paraId="1E0281D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1,99</w:t>
            </w:r>
          </w:p>
        </w:tc>
        <w:tc>
          <w:tcPr>
            <w:tcW w:w="992" w:type="dxa"/>
            <w:tcBorders>
              <w:top w:val="nil"/>
              <w:left w:val="nil"/>
              <w:bottom w:val="single" w:sz="4" w:space="0" w:color="auto"/>
              <w:right w:val="single" w:sz="4" w:space="0" w:color="auto"/>
            </w:tcBorders>
            <w:shd w:val="clear" w:color="000000" w:fill="FFFFFF"/>
            <w:noWrap/>
            <w:vAlign w:val="bottom"/>
            <w:hideMark/>
          </w:tcPr>
          <w:p w14:paraId="613BAAD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1,99</w:t>
            </w:r>
          </w:p>
        </w:tc>
        <w:tc>
          <w:tcPr>
            <w:tcW w:w="992" w:type="dxa"/>
            <w:tcBorders>
              <w:top w:val="nil"/>
              <w:left w:val="nil"/>
              <w:bottom w:val="single" w:sz="4" w:space="0" w:color="auto"/>
              <w:right w:val="single" w:sz="4" w:space="0" w:color="auto"/>
            </w:tcBorders>
            <w:shd w:val="clear" w:color="000000" w:fill="FFFFFF"/>
            <w:noWrap/>
            <w:vAlign w:val="bottom"/>
            <w:hideMark/>
          </w:tcPr>
          <w:p w14:paraId="4915A12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2,00</w:t>
            </w:r>
          </w:p>
        </w:tc>
        <w:tc>
          <w:tcPr>
            <w:tcW w:w="992" w:type="dxa"/>
            <w:tcBorders>
              <w:top w:val="nil"/>
              <w:left w:val="nil"/>
              <w:bottom w:val="single" w:sz="4" w:space="0" w:color="auto"/>
              <w:right w:val="single" w:sz="4" w:space="0" w:color="auto"/>
            </w:tcBorders>
            <w:shd w:val="clear" w:color="000000" w:fill="FFFFFF"/>
            <w:noWrap/>
            <w:vAlign w:val="bottom"/>
            <w:hideMark/>
          </w:tcPr>
          <w:p w14:paraId="5DD3D44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2,02</w:t>
            </w:r>
          </w:p>
        </w:tc>
        <w:tc>
          <w:tcPr>
            <w:tcW w:w="992" w:type="dxa"/>
            <w:tcBorders>
              <w:top w:val="nil"/>
              <w:left w:val="nil"/>
              <w:bottom w:val="single" w:sz="4" w:space="0" w:color="auto"/>
              <w:right w:val="single" w:sz="4" w:space="0" w:color="auto"/>
            </w:tcBorders>
            <w:shd w:val="clear" w:color="000000" w:fill="FFFFFF"/>
            <w:noWrap/>
            <w:vAlign w:val="bottom"/>
            <w:hideMark/>
          </w:tcPr>
          <w:p w14:paraId="22832E0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2,04</w:t>
            </w:r>
          </w:p>
        </w:tc>
      </w:tr>
      <w:tr w:rsidR="00B56301" w:rsidRPr="00364545" w14:paraId="28936E3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CB25117" w14:textId="5CD71C1C"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F. Other land</w:t>
            </w:r>
          </w:p>
        </w:tc>
        <w:tc>
          <w:tcPr>
            <w:tcW w:w="992" w:type="dxa"/>
            <w:tcBorders>
              <w:top w:val="nil"/>
              <w:left w:val="nil"/>
              <w:bottom w:val="single" w:sz="4" w:space="0" w:color="auto"/>
              <w:right w:val="single" w:sz="4" w:space="0" w:color="auto"/>
            </w:tcBorders>
            <w:shd w:val="clear" w:color="000000" w:fill="FFFFFF"/>
            <w:noWrap/>
            <w:vAlign w:val="bottom"/>
            <w:hideMark/>
          </w:tcPr>
          <w:p w14:paraId="4FDDB17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06EE722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049E446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6B2A4B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E64F78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127834E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r>
      <w:tr w:rsidR="00B56301" w:rsidRPr="00364545" w14:paraId="6D303EF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AF8396E" w14:textId="435E5801"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G. Harvested wood products</w:t>
            </w:r>
          </w:p>
        </w:tc>
        <w:tc>
          <w:tcPr>
            <w:tcW w:w="992" w:type="dxa"/>
            <w:tcBorders>
              <w:top w:val="nil"/>
              <w:left w:val="nil"/>
              <w:bottom w:val="single" w:sz="4" w:space="0" w:color="auto"/>
              <w:right w:val="single" w:sz="4" w:space="0" w:color="auto"/>
            </w:tcBorders>
            <w:shd w:val="clear" w:color="000000" w:fill="969696"/>
            <w:noWrap/>
            <w:vAlign w:val="bottom"/>
            <w:hideMark/>
          </w:tcPr>
          <w:p w14:paraId="5FBFF7B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28E2D1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365E6B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750B5E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E5F13F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08DDBA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171FD2F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EEBF3B3" w14:textId="60F078B5"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 xml:space="preserve">H. Other   </w:t>
            </w:r>
          </w:p>
        </w:tc>
        <w:tc>
          <w:tcPr>
            <w:tcW w:w="992" w:type="dxa"/>
            <w:tcBorders>
              <w:top w:val="nil"/>
              <w:left w:val="nil"/>
              <w:bottom w:val="single" w:sz="4" w:space="0" w:color="auto"/>
              <w:right w:val="single" w:sz="4" w:space="0" w:color="auto"/>
            </w:tcBorders>
            <w:shd w:val="clear" w:color="000000" w:fill="FFFFFF"/>
            <w:noWrap/>
            <w:vAlign w:val="bottom"/>
            <w:hideMark/>
          </w:tcPr>
          <w:p w14:paraId="6CF10AF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763DB58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386B327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037B373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2902708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5DA4D22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NA</w:t>
            </w:r>
          </w:p>
        </w:tc>
      </w:tr>
      <w:tr w:rsidR="00B56301" w:rsidRPr="00364545" w14:paraId="6F3CB5B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AED975D" w14:textId="04539CD6"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5. Waste</w:t>
            </w:r>
          </w:p>
        </w:tc>
        <w:tc>
          <w:tcPr>
            <w:tcW w:w="992" w:type="dxa"/>
            <w:tcBorders>
              <w:top w:val="nil"/>
              <w:left w:val="nil"/>
              <w:bottom w:val="single" w:sz="4" w:space="0" w:color="auto"/>
              <w:right w:val="single" w:sz="4" w:space="0" w:color="auto"/>
            </w:tcBorders>
            <w:shd w:val="clear" w:color="000000" w:fill="CCFFFF"/>
            <w:noWrap/>
            <w:vAlign w:val="bottom"/>
            <w:hideMark/>
          </w:tcPr>
          <w:p w14:paraId="47D49CC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2,59</w:t>
            </w:r>
          </w:p>
        </w:tc>
        <w:tc>
          <w:tcPr>
            <w:tcW w:w="992" w:type="dxa"/>
            <w:tcBorders>
              <w:top w:val="nil"/>
              <w:left w:val="nil"/>
              <w:bottom w:val="single" w:sz="4" w:space="0" w:color="auto"/>
              <w:right w:val="single" w:sz="4" w:space="0" w:color="auto"/>
            </w:tcBorders>
            <w:shd w:val="clear" w:color="000000" w:fill="CCFFFF"/>
            <w:noWrap/>
            <w:vAlign w:val="bottom"/>
            <w:hideMark/>
          </w:tcPr>
          <w:p w14:paraId="428E8D6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2,59</w:t>
            </w:r>
          </w:p>
        </w:tc>
        <w:tc>
          <w:tcPr>
            <w:tcW w:w="992" w:type="dxa"/>
            <w:tcBorders>
              <w:top w:val="nil"/>
              <w:left w:val="nil"/>
              <w:bottom w:val="single" w:sz="4" w:space="0" w:color="auto"/>
              <w:right w:val="single" w:sz="4" w:space="0" w:color="auto"/>
            </w:tcBorders>
            <w:shd w:val="clear" w:color="000000" w:fill="CCFFFF"/>
            <w:noWrap/>
            <w:vAlign w:val="bottom"/>
            <w:hideMark/>
          </w:tcPr>
          <w:p w14:paraId="71D27FF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2,65</w:t>
            </w:r>
          </w:p>
        </w:tc>
        <w:tc>
          <w:tcPr>
            <w:tcW w:w="992" w:type="dxa"/>
            <w:tcBorders>
              <w:top w:val="nil"/>
              <w:left w:val="nil"/>
              <w:bottom w:val="single" w:sz="4" w:space="0" w:color="auto"/>
              <w:right w:val="single" w:sz="4" w:space="0" w:color="auto"/>
            </w:tcBorders>
            <w:shd w:val="clear" w:color="000000" w:fill="CCFFFF"/>
            <w:noWrap/>
            <w:vAlign w:val="bottom"/>
            <w:hideMark/>
          </w:tcPr>
          <w:p w14:paraId="33848D7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2,63</w:t>
            </w:r>
          </w:p>
        </w:tc>
        <w:tc>
          <w:tcPr>
            <w:tcW w:w="992" w:type="dxa"/>
            <w:tcBorders>
              <w:top w:val="nil"/>
              <w:left w:val="nil"/>
              <w:bottom w:val="single" w:sz="4" w:space="0" w:color="auto"/>
              <w:right w:val="single" w:sz="4" w:space="0" w:color="auto"/>
            </w:tcBorders>
            <w:shd w:val="clear" w:color="000000" w:fill="CCFFFF"/>
            <w:noWrap/>
            <w:vAlign w:val="bottom"/>
            <w:hideMark/>
          </w:tcPr>
          <w:p w14:paraId="7F32BFA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2,63</w:t>
            </w:r>
          </w:p>
        </w:tc>
        <w:tc>
          <w:tcPr>
            <w:tcW w:w="992" w:type="dxa"/>
            <w:tcBorders>
              <w:top w:val="nil"/>
              <w:left w:val="nil"/>
              <w:bottom w:val="single" w:sz="4" w:space="0" w:color="auto"/>
              <w:right w:val="single" w:sz="4" w:space="0" w:color="auto"/>
            </w:tcBorders>
            <w:shd w:val="clear" w:color="000000" w:fill="CCFFFF"/>
            <w:noWrap/>
            <w:vAlign w:val="bottom"/>
            <w:hideMark/>
          </w:tcPr>
          <w:p w14:paraId="58EF4BD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2,64</w:t>
            </w:r>
          </w:p>
        </w:tc>
      </w:tr>
      <w:tr w:rsidR="00B56301" w:rsidRPr="00364545" w14:paraId="584E6FD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713318E" w14:textId="16B4727F"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A. Solid waste disposal</w:t>
            </w:r>
            <w:r w:rsidRPr="00364545">
              <w:rPr>
                <w:rFonts w:asciiTheme="minorHAnsi" w:hAnsiTheme="minorHAnsi"/>
                <w:b/>
                <w:sz w:val="14"/>
              </w:rPr>
              <w:t xml:space="preserve"> </w:t>
            </w:r>
          </w:p>
        </w:tc>
        <w:tc>
          <w:tcPr>
            <w:tcW w:w="992" w:type="dxa"/>
            <w:tcBorders>
              <w:top w:val="nil"/>
              <w:left w:val="nil"/>
              <w:bottom w:val="single" w:sz="4" w:space="0" w:color="auto"/>
              <w:right w:val="single" w:sz="4" w:space="0" w:color="auto"/>
            </w:tcBorders>
            <w:shd w:val="clear" w:color="000000" w:fill="969696"/>
            <w:noWrap/>
            <w:vAlign w:val="bottom"/>
            <w:hideMark/>
          </w:tcPr>
          <w:p w14:paraId="0660B79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76F7BF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AF2717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1F8B74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D9CFE9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ADF6C6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520588C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424EBA2" w14:textId="239920D2"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B. Biological treatment of solid waste</w:t>
            </w:r>
          </w:p>
        </w:tc>
        <w:tc>
          <w:tcPr>
            <w:tcW w:w="992" w:type="dxa"/>
            <w:tcBorders>
              <w:top w:val="nil"/>
              <w:left w:val="nil"/>
              <w:bottom w:val="single" w:sz="4" w:space="0" w:color="auto"/>
              <w:right w:val="single" w:sz="4" w:space="0" w:color="auto"/>
            </w:tcBorders>
            <w:shd w:val="clear" w:color="000000" w:fill="FFFFFF"/>
            <w:noWrap/>
            <w:vAlign w:val="bottom"/>
            <w:hideMark/>
          </w:tcPr>
          <w:p w14:paraId="27709AF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25F5CBE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619C0C0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3A870BD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69DEFF8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2AFD49D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0,19</w:t>
            </w:r>
          </w:p>
        </w:tc>
      </w:tr>
      <w:tr w:rsidR="00B56301" w:rsidRPr="00364545" w14:paraId="2F20F7A7"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95C25F0" w14:textId="448CD1FC"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C. Incineration and open burning of waste</w:t>
            </w:r>
          </w:p>
        </w:tc>
        <w:tc>
          <w:tcPr>
            <w:tcW w:w="992" w:type="dxa"/>
            <w:tcBorders>
              <w:top w:val="nil"/>
              <w:left w:val="nil"/>
              <w:bottom w:val="single" w:sz="4" w:space="0" w:color="auto"/>
              <w:right w:val="single" w:sz="4" w:space="0" w:color="auto"/>
            </w:tcBorders>
            <w:shd w:val="clear" w:color="000000" w:fill="FFFFFF"/>
            <w:noWrap/>
            <w:vAlign w:val="bottom"/>
            <w:hideMark/>
          </w:tcPr>
          <w:p w14:paraId="1F28292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0,50</w:t>
            </w:r>
          </w:p>
        </w:tc>
        <w:tc>
          <w:tcPr>
            <w:tcW w:w="992" w:type="dxa"/>
            <w:tcBorders>
              <w:top w:val="nil"/>
              <w:left w:val="nil"/>
              <w:bottom w:val="single" w:sz="4" w:space="0" w:color="auto"/>
              <w:right w:val="single" w:sz="4" w:space="0" w:color="auto"/>
            </w:tcBorders>
            <w:shd w:val="clear" w:color="000000" w:fill="FFFFFF"/>
            <w:noWrap/>
            <w:vAlign w:val="bottom"/>
            <w:hideMark/>
          </w:tcPr>
          <w:p w14:paraId="62BF832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0,50</w:t>
            </w:r>
          </w:p>
        </w:tc>
        <w:tc>
          <w:tcPr>
            <w:tcW w:w="992" w:type="dxa"/>
            <w:tcBorders>
              <w:top w:val="nil"/>
              <w:left w:val="nil"/>
              <w:bottom w:val="single" w:sz="4" w:space="0" w:color="auto"/>
              <w:right w:val="single" w:sz="4" w:space="0" w:color="auto"/>
            </w:tcBorders>
            <w:shd w:val="clear" w:color="000000" w:fill="FFFFFF"/>
            <w:noWrap/>
            <w:vAlign w:val="bottom"/>
            <w:hideMark/>
          </w:tcPr>
          <w:p w14:paraId="68173BA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5E58FA6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0,52</w:t>
            </w:r>
          </w:p>
        </w:tc>
        <w:tc>
          <w:tcPr>
            <w:tcW w:w="992" w:type="dxa"/>
            <w:tcBorders>
              <w:top w:val="nil"/>
              <w:left w:val="nil"/>
              <w:bottom w:val="single" w:sz="4" w:space="0" w:color="auto"/>
              <w:right w:val="single" w:sz="4" w:space="0" w:color="auto"/>
            </w:tcBorders>
            <w:shd w:val="clear" w:color="000000" w:fill="FFFFFF"/>
            <w:noWrap/>
            <w:vAlign w:val="bottom"/>
            <w:hideMark/>
          </w:tcPr>
          <w:p w14:paraId="168BB8E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0,52</w:t>
            </w:r>
          </w:p>
        </w:tc>
        <w:tc>
          <w:tcPr>
            <w:tcW w:w="992" w:type="dxa"/>
            <w:tcBorders>
              <w:top w:val="nil"/>
              <w:left w:val="nil"/>
              <w:bottom w:val="single" w:sz="4" w:space="0" w:color="auto"/>
              <w:right w:val="single" w:sz="4" w:space="0" w:color="auto"/>
            </w:tcBorders>
            <w:shd w:val="clear" w:color="000000" w:fill="FFFFFF"/>
            <w:noWrap/>
            <w:vAlign w:val="bottom"/>
            <w:hideMark/>
          </w:tcPr>
          <w:p w14:paraId="0941748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0,52</w:t>
            </w:r>
          </w:p>
        </w:tc>
      </w:tr>
      <w:tr w:rsidR="00B56301" w:rsidRPr="00364545" w14:paraId="31C4A3D5"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EC97E83" w14:textId="69608524"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D. Waste water treatment and discharge</w:t>
            </w:r>
          </w:p>
        </w:tc>
        <w:tc>
          <w:tcPr>
            <w:tcW w:w="992" w:type="dxa"/>
            <w:tcBorders>
              <w:top w:val="nil"/>
              <w:left w:val="nil"/>
              <w:bottom w:val="single" w:sz="4" w:space="0" w:color="auto"/>
              <w:right w:val="single" w:sz="4" w:space="0" w:color="auto"/>
            </w:tcBorders>
            <w:shd w:val="clear" w:color="000000" w:fill="FFFFFF"/>
            <w:noWrap/>
            <w:vAlign w:val="bottom"/>
            <w:hideMark/>
          </w:tcPr>
          <w:p w14:paraId="33072DF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1,92</w:t>
            </w:r>
          </w:p>
        </w:tc>
        <w:tc>
          <w:tcPr>
            <w:tcW w:w="992" w:type="dxa"/>
            <w:tcBorders>
              <w:top w:val="nil"/>
              <w:left w:val="nil"/>
              <w:bottom w:val="single" w:sz="4" w:space="0" w:color="auto"/>
              <w:right w:val="single" w:sz="4" w:space="0" w:color="auto"/>
            </w:tcBorders>
            <w:shd w:val="clear" w:color="000000" w:fill="FFFFFF"/>
            <w:noWrap/>
            <w:vAlign w:val="bottom"/>
            <w:hideMark/>
          </w:tcPr>
          <w:p w14:paraId="357A8C4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1,92</w:t>
            </w:r>
          </w:p>
        </w:tc>
        <w:tc>
          <w:tcPr>
            <w:tcW w:w="992" w:type="dxa"/>
            <w:tcBorders>
              <w:top w:val="nil"/>
              <w:left w:val="nil"/>
              <w:bottom w:val="single" w:sz="4" w:space="0" w:color="auto"/>
              <w:right w:val="single" w:sz="4" w:space="0" w:color="auto"/>
            </w:tcBorders>
            <w:shd w:val="clear" w:color="000000" w:fill="FFFFFF"/>
            <w:noWrap/>
            <w:vAlign w:val="bottom"/>
            <w:hideMark/>
          </w:tcPr>
          <w:p w14:paraId="396396A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1,97</w:t>
            </w:r>
          </w:p>
        </w:tc>
        <w:tc>
          <w:tcPr>
            <w:tcW w:w="992" w:type="dxa"/>
            <w:tcBorders>
              <w:top w:val="nil"/>
              <w:left w:val="nil"/>
              <w:bottom w:val="single" w:sz="4" w:space="0" w:color="auto"/>
              <w:right w:val="single" w:sz="4" w:space="0" w:color="auto"/>
            </w:tcBorders>
            <w:shd w:val="clear" w:color="000000" w:fill="FFFFFF"/>
            <w:noWrap/>
            <w:vAlign w:val="bottom"/>
            <w:hideMark/>
          </w:tcPr>
          <w:p w14:paraId="3C97FE0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1,94</w:t>
            </w:r>
          </w:p>
        </w:tc>
        <w:tc>
          <w:tcPr>
            <w:tcW w:w="992" w:type="dxa"/>
            <w:tcBorders>
              <w:top w:val="nil"/>
              <w:left w:val="nil"/>
              <w:bottom w:val="single" w:sz="4" w:space="0" w:color="auto"/>
              <w:right w:val="single" w:sz="4" w:space="0" w:color="auto"/>
            </w:tcBorders>
            <w:shd w:val="clear" w:color="000000" w:fill="FFFFFF"/>
            <w:noWrap/>
            <w:vAlign w:val="bottom"/>
            <w:hideMark/>
          </w:tcPr>
          <w:p w14:paraId="2DF93F9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1,93</w:t>
            </w:r>
          </w:p>
        </w:tc>
        <w:tc>
          <w:tcPr>
            <w:tcW w:w="992" w:type="dxa"/>
            <w:tcBorders>
              <w:top w:val="nil"/>
              <w:left w:val="nil"/>
              <w:bottom w:val="single" w:sz="4" w:space="0" w:color="auto"/>
              <w:right w:val="single" w:sz="4" w:space="0" w:color="auto"/>
            </w:tcBorders>
            <w:shd w:val="clear" w:color="000000" w:fill="FFFFFF"/>
            <w:noWrap/>
            <w:vAlign w:val="bottom"/>
            <w:hideMark/>
          </w:tcPr>
          <w:p w14:paraId="4E085C2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1,92</w:t>
            </w:r>
          </w:p>
        </w:tc>
      </w:tr>
      <w:tr w:rsidR="00B56301" w:rsidRPr="00364545" w14:paraId="65C51536"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FCDDD6C" w14:textId="36E092B1" w:rsidR="00B56301" w:rsidRPr="00364545" w:rsidRDefault="00B56301" w:rsidP="00B37B65">
            <w:pPr>
              <w:ind w:firstLineChars="200" w:firstLine="280"/>
              <w:jc w:val="left"/>
              <w:rPr>
                <w:rFonts w:asciiTheme="minorHAnsi" w:hAnsiTheme="minorHAnsi"/>
                <w:sz w:val="14"/>
                <w:szCs w:val="16"/>
              </w:rPr>
            </w:pPr>
            <w:r w:rsidRPr="00364545">
              <w:rPr>
                <w:rFonts w:asciiTheme="minorHAnsi" w:hAnsiTheme="minorHAnsi"/>
                <w:sz w:val="14"/>
              </w:rPr>
              <w:t>E. Other</w:t>
            </w:r>
            <w:r w:rsidRPr="00364545">
              <w:rPr>
                <w:rFonts w:asciiTheme="minorHAnsi" w:hAnsiTheme="minorHAnsi"/>
                <w:b/>
                <w:i/>
                <w:sz w:val="14"/>
              </w:rPr>
              <w:t xml:space="preserve"> </w:t>
            </w:r>
          </w:p>
        </w:tc>
        <w:tc>
          <w:tcPr>
            <w:tcW w:w="992" w:type="dxa"/>
            <w:tcBorders>
              <w:top w:val="nil"/>
              <w:left w:val="nil"/>
              <w:bottom w:val="single" w:sz="4" w:space="0" w:color="auto"/>
              <w:right w:val="single" w:sz="4" w:space="0" w:color="auto"/>
            </w:tcBorders>
            <w:shd w:val="clear" w:color="000000" w:fill="FFFFFF"/>
            <w:noWrap/>
            <w:vAlign w:val="bottom"/>
            <w:hideMark/>
          </w:tcPr>
          <w:p w14:paraId="77B4572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C80EBC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8E2258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6C5BB7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1AB6FE1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93E4AB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r>
      <w:tr w:rsidR="00B56301" w:rsidRPr="00364545" w14:paraId="770D295D"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4CBA470" w14:textId="60685742"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 xml:space="preserve">6. Other </w:t>
            </w:r>
            <w:r w:rsidRPr="00364545">
              <w:rPr>
                <w:rFonts w:asciiTheme="minorHAnsi" w:hAnsiTheme="minorHAnsi"/>
                <w:b/>
                <w:i/>
                <w:sz w:val="14"/>
              </w:rPr>
              <w:t>(as specified in summary 1.A)</w:t>
            </w:r>
          </w:p>
        </w:tc>
        <w:tc>
          <w:tcPr>
            <w:tcW w:w="992" w:type="dxa"/>
            <w:tcBorders>
              <w:top w:val="nil"/>
              <w:left w:val="nil"/>
              <w:bottom w:val="single" w:sz="4" w:space="0" w:color="auto"/>
              <w:right w:val="single" w:sz="4" w:space="0" w:color="auto"/>
            </w:tcBorders>
            <w:shd w:val="clear" w:color="000000" w:fill="CCFFFF"/>
            <w:noWrap/>
            <w:vAlign w:val="bottom"/>
            <w:hideMark/>
          </w:tcPr>
          <w:p w14:paraId="2370452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2519318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528CB08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7A5DDBC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7DC530D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10F08AE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w:t>
            </w:r>
          </w:p>
        </w:tc>
      </w:tr>
      <w:tr w:rsidR="00B56301" w:rsidRPr="00364545" w14:paraId="6F9D2EFF"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EF8BB23" w14:textId="066DF08D"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 xml:space="preserve">Total direct </w:t>
            </w:r>
            <w:r w:rsidRPr="00364545">
              <w:t>N</w:t>
            </w:r>
            <w:r w:rsidRPr="00364545">
              <w:rPr>
                <w:vertAlign w:val="subscript"/>
              </w:rPr>
              <w:t>2</w:t>
            </w:r>
            <w:r w:rsidRPr="00364545">
              <w:t xml:space="preserve">O </w:t>
            </w:r>
            <w:r w:rsidRPr="00364545">
              <w:rPr>
                <w:rFonts w:asciiTheme="minorHAnsi" w:hAnsiTheme="minorHAnsi"/>
                <w:b/>
                <w:sz w:val="14"/>
              </w:rPr>
              <w:t xml:space="preserve">emissions without </w:t>
            </w:r>
            <w:r w:rsidRPr="00364545">
              <w:t>N</w:t>
            </w:r>
            <w:r w:rsidRPr="00364545">
              <w:rPr>
                <w:vertAlign w:val="subscript"/>
              </w:rPr>
              <w:t>2</w:t>
            </w:r>
            <w:r w:rsidRPr="00364545">
              <w:t xml:space="preserve">O </w:t>
            </w:r>
            <w:r w:rsidRPr="00364545">
              <w:rPr>
                <w:rFonts w:asciiTheme="minorHAnsi" w:hAnsiTheme="minorHAnsi"/>
                <w:b/>
                <w:sz w:val="14"/>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7300C5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217,20</w:t>
            </w:r>
          </w:p>
        </w:tc>
        <w:tc>
          <w:tcPr>
            <w:tcW w:w="992" w:type="dxa"/>
            <w:tcBorders>
              <w:top w:val="nil"/>
              <w:left w:val="nil"/>
              <w:bottom w:val="single" w:sz="4" w:space="0" w:color="auto"/>
              <w:right w:val="single" w:sz="4" w:space="0" w:color="auto"/>
            </w:tcBorders>
            <w:shd w:val="clear" w:color="000000" w:fill="CCFFFF"/>
            <w:noWrap/>
            <w:vAlign w:val="bottom"/>
            <w:hideMark/>
          </w:tcPr>
          <w:p w14:paraId="49569BF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217,20</w:t>
            </w:r>
          </w:p>
        </w:tc>
        <w:tc>
          <w:tcPr>
            <w:tcW w:w="992" w:type="dxa"/>
            <w:tcBorders>
              <w:top w:val="nil"/>
              <w:left w:val="nil"/>
              <w:bottom w:val="single" w:sz="4" w:space="0" w:color="auto"/>
              <w:right w:val="single" w:sz="4" w:space="0" w:color="auto"/>
            </w:tcBorders>
            <w:shd w:val="clear" w:color="000000" w:fill="CCFFFF"/>
            <w:noWrap/>
            <w:vAlign w:val="bottom"/>
            <w:hideMark/>
          </w:tcPr>
          <w:p w14:paraId="1AAACA5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219,18</w:t>
            </w:r>
          </w:p>
        </w:tc>
        <w:tc>
          <w:tcPr>
            <w:tcW w:w="992" w:type="dxa"/>
            <w:tcBorders>
              <w:top w:val="nil"/>
              <w:left w:val="nil"/>
              <w:bottom w:val="single" w:sz="4" w:space="0" w:color="auto"/>
              <w:right w:val="single" w:sz="4" w:space="0" w:color="auto"/>
            </w:tcBorders>
            <w:shd w:val="clear" w:color="000000" w:fill="CCFFFF"/>
            <w:noWrap/>
            <w:vAlign w:val="bottom"/>
            <w:hideMark/>
          </w:tcPr>
          <w:p w14:paraId="25225E5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218,14</w:t>
            </w:r>
          </w:p>
        </w:tc>
        <w:tc>
          <w:tcPr>
            <w:tcW w:w="992" w:type="dxa"/>
            <w:tcBorders>
              <w:top w:val="nil"/>
              <w:left w:val="nil"/>
              <w:bottom w:val="single" w:sz="4" w:space="0" w:color="auto"/>
              <w:right w:val="single" w:sz="4" w:space="0" w:color="auto"/>
            </w:tcBorders>
            <w:shd w:val="clear" w:color="000000" w:fill="CCFFFF"/>
            <w:noWrap/>
            <w:vAlign w:val="bottom"/>
            <w:hideMark/>
          </w:tcPr>
          <w:p w14:paraId="328A733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215,65</w:t>
            </w:r>
          </w:p>
        </w:tc>
        <w:tc>
          <w:tcPr>
            <w:tcW w:w="992" w:type="dxa"/>
            <w:tcBorders>
              <w:top w:val="nil"/>
              <w:left w:val="nil"/>
              <w:bottom w:val="single" w:sz="4" w:space="0" w:color="auto"/>
              <w:right w:val="single" w:sz="4" w:space="0" w:color="auto"/>
            </w:tcBorders>
            <w:shd w:val="clear" w:color="000000" w:fill="CCFFFF"/>
            <w:noWrap/>
            <w:vAlign w:val="bottom"/>
            <w:hideMark/>
          </w:tcPr>
          <w:p w14:paraId="0473F57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216,06</w:t>
            </w:r>
          </w:p>
        </w:tc>
      </w:tr>
      <w:tr w:rsidR="00B56301" w:rsidRPr="00364545" w14:paraId="3785902C" w14:textId="77777777" w:rsidTr="00B37B65">
        <w:trPr>
          <w:trHeight w:val="68"/>
          <w:jc w:val="center"/>
        </w:trPr>
        <w:tc>
          <w:tcPr>
            <w:tcW w:w="3805" w:type="dxa"/>
            <w:tcBorders>
              <w:top w:val="single" w:sz="4" w:space="0" w:color="auto"/>
              <w:left w:val="single" w:sz="4" w:space="0" w:color="auto"/>
              <w:bottom w:val="nil"/>
              <w:right w:val="single" w:sz="4" w:space="0" w:color="auto"/>
            </w:tcBorders>
            <w:shd w:val="clear" w:color="000000" w:fill="CCFFFF"/>
            <w:vAlign w:val="center"/>
            <w:hideMark/>
          </w:tcPr>
          <w:p w14:paraId="7C20D921" w14:textId="29CB337C" w:rsidR="00B56301" w:rsidRPr="00364545" w:rsidRDefault="00B56301" w:rsidP="00B37B65">
            <w:pPr>
              <w:jc w:val="left"/>
              <w:rPr>
                <w:rFonts w:asciiTheme="minorHAnsi" w:hAnsiTheme="minorHAnsi"/>
                <w:b/>
                <w:bCs/>
                <w:sz w:val="14"/>
                <w:szCs w:val="16"/>
              </w:rPr>
            </w:pPr>
            <w:r w:rsidRPr="00364545">
              <w:rPr>
                <w:rFonts w:asciiTheme="minorHAnsi" w:hAnsiTheme="minorHAnsi"/>
                <w:b/>
                <w:sz w:val="14"/>
                <w:lang w:val="pt-BR"/>
              </w:rPr>
              <w:t xml:space="preserve">Total direct </w:t>
            </w:r>
            <w:r w:rsidRPr="00364545">
              <w:rPr>
                <w:lang w:val="pt-BR"/>
              </w:rPr>
              <w:t>N</w:t>
            </w:r>
            <w:r w:rsidRPr="00364545">
              <w:rPr>
                <w:vertAlign w:val="subscript"/>
                <w:lang w:val="pt-BR"/>
              </w:rPr>
              <w:t>2</w:t>
            </w:r>
            <w:r w:rsidRPr="00364545">
              <w:rPr>
                <w:lang w:val="pt-BR"/>
              </w:rPr>
              <w:t xml:space="preserve">O </w:t>
            </w:r>
            <w:r w:rsidRPr="00364545">
              <w:rPr>
                <w:rFonts w:asciiTheme="minorHAnsi" w:hAnsiTheme="minorHAnsi"/>
                <w:b/>
                <w:sz w:val="14"/>
                <w:lang w:val="pt-BR"/>
              </w:rPr>
              <w:t xml:space="preserve">emissions with </w:t>
            </w:r>
            <w:r w:rsidRPr="00364545">
              <w:rPr>
                <w:lang w:val="pt-BR"/>
              </w:rPr>
              <w:t>N</w:t>
            </w:r>
            <w:r w:rsidRPr="00364545">
              <w:rPr>
                <w:vertAlign w:val="subscript"/>
                <w:lang w:val="pt-BR"/>
              </w:rPr>
              <w:t>2</w:t>
            </w:r>
            <w:r w:rsidRPr="00364545">
              <w:rPr>
                <w:lang w:val="pt-BR"/>
              </w:rPr>
              <w:t xml:space="preserve">O </w:t>
            </w:r>
            <w:r w:rsidRPr="00364545">
              <w:rPr>
                <w:rFonts w:asciiTheme="minorHAnsi" w:hAnsiTheme="minorHAnsi"/>
                <w:b/>
                <w:sz w:val="14"/>
                <w:lang w:val="pt-BR"/>
              </w:rPr>
              <w:t>from LULUCF</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1336C7C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228,02</w:t>
            </w:r>
          </w:p>
        </w:tc>
        <w:tc>
          <w:tcPr>
            <w:tcW w:w="992" w:type="dxa"/>
            <w:tcBorders>
              <w:top w:val="nil"/>
              <w:left w:val="nil"/>
              <w:bottom w:val="single" w:sz="4" w:space="0" w:color="auto"/>
              <w:right w:val="single" w:sz="4" w:space="0" w:color="auto"/>
            </w:tcBorders>
            <w:shd w:val="clear" w:color="000000" w:fill="CCFFFF"/>
            <w:noWrap/>
            <w:vAlign w:val="bottom"/>
            <w:hideMark/>
          </w:tcPr>
          <w:p w14:paraId="379B7384"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228,02</w:t>
            </w:r>
          </w:p>
        </w:tc>
        <w:tc>
          <w:tcPr>
            <w:tcW w:w="992" w:type="dxa"/>
            <w:tcBorders>
              <w:top w:val="nil"/>
              <w:left w:val="nil"/>
              <w:bottom w:val="single" w:sz="4" w:space="0" w:color="auto"/>
              <w:right w:val="single" w:sz="4" w:space="0" w:color="auto"/>
            </w:tcBorders>
            <w:shd w:val="clear" w:color="000000" w:fill="CCFFFF"/>
            <w:noWrap/>
            <w:vAlign w:val="bottom"/>
            <w:hideMark/>
          </w:tcPr>
          <w:p w14:paraId="61AB4E5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229,92</w:t>
            </w:r>
          </w:p>
        </w:tc>
        <w:tc>
          <w:tcPr>
            <w:tcW w:w="992" w:type="dxa"/>
            <w:tcBorders>
              <w:top w:val="nil"/>
              <w:left w:val="nil"/>
              <w:bottom w:val="single" w:sz="4" w:space="0" w:color="auto"/>
              <w:right w:val="single" w:sz="4" w:space="0" w:color="auto"/>
            </w:tcBorders>
            <w:shd w:val="clear" w:color="000000" w:fill="CCFFFF"/>
            <w:noWrap/>
            <w:vAlign w:val="bottom"/>
            <w:hideMark/>
          </w:tcPr>
          <w:p w14:paraId="03E9531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229,05</w:t>
            </w:r>
          </w:p>
        </w:tc>
        <w:tc>
          <w:tcPr>
            <w:tcW w:w="992" w:type="dxa"/>
            <w:tcBorders>
              <w:top w:val="nil"/>
              <w:left w:val="nil"/>
              <w:bottom w:val="single" w:sz="4" w:space="0" w:color="auto"/>
              <w:right w:val="single" w:sz="4" w:space="0" w:color="auto"/>
            </w:tcBorders>
            <w:shd w:val="clear" w:color="000000" w:fill="CCFFFF"/>
            <w:noWrap/>
            <w:vAlign w:val="bottom"/>
            <w:hideMark/>
          </w:tcPr>
          <w:p w14:paraId="2924AFD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226,65</w:t>
            </w:r>
          </w:p>
        </w:tc>
        <w:tc>
          <w:tcPr>
            <w:tcW w:w="992" w:type="dxa"/>
            <w:tcBorders>
              <w:top w:val="nil"/>
              <w:left w:val="nil"/>
              <w:bottom w:val="single" w:sz="4" w:space="0" w:color="auto"/>
              <w:right w:val="single" w:sz="4" w:space="0" w:color="auto"/>
            </w:tcBorders>
            <w:shd w:val="clear" w:color="000000" w:fill="CCFFFF"/>
            <w:noWrap/>
            <w:vAlign w:val="bottom"/>
            <w:hideMark/>
          </w:tcPr>
          <w:p w14:paraId="7F7B47FC"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227,04</w:t>
            </w:r>
          </w:p>
        </w:tc>
      </w:tr>
      <w:tr w:rsidR="00B56301" w:rsidRPr="00364545" w14:paraId="55E0CA8C"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9F8CB1E" w14:textId="77777777"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Memo items:</w:t>
            </w:r>
            <w:r w:rsidRPr="00364545">
              <w:rPr>
                <w:rFonts w:asciiTheme="minorHAnsi" w:hAnsiTheme="minorHAnsi"/>
                <w:b/>
                <w:sz w:val="14"/>
                <w:vertAlign w:val="superscript"/>
              </w:rPr>
              <w:t xml:space="preserve"> </w:t>
            </w:r>
          </w:p>
        </w:tc>
        <w:tc>
          <w:tcPr>
            <w:tcW w:w="992" w:type="dxa"/>
            <w:tcBorders>
              <w:top w:val="nil"/>
              <w:left w:val="nil"/>
              <w:bottom w:val="single" w:sz="4" w:space="0" w:color="auto"/>
              <w:right w:val="single" w:sz="4" w:space="0" w:color="auto"/>
            </w:tcBorders>
            <w:shd w:val="clear" w:color="000000" w:fill="969696"/>
            <w:noWrap/>
            <w:vAlign w:val="bottom"/>
            <w:hideMark/>
          </w:tcPr>
          <w:p w14:paraId="7894FD4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6C5CCF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D55B5F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C31A29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7372BA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A91C93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557F767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BC743F6" w14:textId="77777777"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International bunkers</w:t>
            </w:r>
          </w:p>
        </w:tc>
        <w:tc>
          <w:tcPr>
            <w:tcW w:w="992" w:type="dxa"/>
            <w:tcBorders>
              <w:top w:val="nil"/>
              <w:left w:val="nil"/>
              <w:bottom w:val="single" w:sz="4" w:space="0" w:color="auto"/>
              <w:right w:val="single" w:sz="4" w:space="0" w:color="auto"/>
            </w:tcBorders>
            <w:shd w:val="clear" w:color="000000" w:fill="CCFFFF"/>
            <w:noWrap/>
            <w:vAlign w:val="bottom"/>
            <w:hideMark/>
          </w:tcPr>
          <w:p w14:paraId="16870BD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0,44</w:t>
            </w:r>
          </w:p>
        </w:tc>
        <w:tc>
          <w:tcPr>
            <w:tcW w:w="992" w:type="dxa"/>
            <w:tcBorders>
              <w:top w:val="nil"/>
              <w:left w:val="nil"/>
              <w:bottom w:val="single" w:sz="4" w:space="0" w:color="auto"/>
              <w:right w:val="single" w:sz="4" w:space="0" w:color="auto"/>
            </w:tcBorders>
            <w:shd w:val="clear" w:color="000000" w:fill="CCFFFF"/>
            <w:noWrap/>
            <w:vAlign w:val="bottom"/>
            <w:hideMark/>
          </w:tcPr>
          <w:p w14:paraId="55DCDD1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0,44</w:t>
            </w:r>
          </w:p>
        </w:tc>
        <w:tc>
          <w:tcPr>
            <w:tcW w:w="992" w:type="dxa"/>
            <w:tcBorders>
              <w:top w:val="nil"/>
              <w:left w:val="nil"/>
              <w:bottom w:val="single" w:sz="4" w:space="0" w:color="auto"/>
              <w:right w:val="single" w:sz="4" w:space="0" w:color="auto"/>
            </w:tcBorders>
            <w:shd w:val="clear" w:color="000000" w:fill="CCFFFF"/>
            <w:noWrap/>
            <w:vAlign w:val="bottom"/>
            <w:hideMark/>
          </w:tcPr>
          <w:p w14:paraId="151998F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0,44</w:t>
            </w:r>
          </w:p>
        </w:tc>
        <w:tc>
          <w:tcPr>
            <w:tcW w:w="992" w:type="dxa"/>
            <w:tcBorders>
              <w:top w:val="nil"/>
              <w:left w:val="nil"/>
              <w:bottom w:val="single" w:sz="4" w:space="0" w:color="auto"/>
              <w:right w:val="single" w:sz="4" w:space="0" w:color="auto"/>
            </w:tcBorders>
            <w:shd w:val="clear" w:color="000000" w:fill="CCFFFF"/>
            <w:noWrap/>
            <w:vAlign w:val="bottom"/>
            <w:hideMark/>
          </w:tcPr>
          <w:p w14:paraId="120EE42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0,47</w:t>
            </w:r>
          </w:p>
        </w:tc>
        <w:tc>
          <w:tcPr>
            <w:tcW w:w="992" w:type="dxa"/>
            <w:tcBorders>
              <w:top w:val="nil"/>
              <w:left w:val="nil"/>
              <w:bottom w:val="single" w:sz="4" w:space="0" w:color="auto"/>
              <w:right w:val="single" w:sz="4" w:space="0" w:color="auto"/>
            </w:tcBorders>
            <w:shd w:val="clear" w:color="000000" w:fill="CCFFFF"/>
            <w:noWrap/>
            <w:vAlign w:val="bottom"/>
            <w:hideMark/>
          </w:tcPr>
          <w:p w14:paraId="60534F2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0,48</w:t>
            </w:r>
          </w:p>
        </w:tc>
        <w:tc>
          <w:tcPr>
            <w:tcW w:w="992" w:type="dxa"/>
            <w:tcBorders>
              <w:top w:val="nil"/>
              <w:left w:val="nil"/>
              <w:bottom w:val="single" w:sz="4" w:space="0" w:color="auto"/>
              <w:right w:val="single" w:sz="4" w:space="0" w:color="auto"/>
            </w:tcBorders>
            <w:shd w:val="clear" w:color="000000" w:fill="CCFFFF"/>
            <w:noWrap/>
            <w:vAlign w:val="bottom"/>
            <w:hideMark/>
          </w:tcPr>
          <w:p w14:paraId="7710AB1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0,47</w:t>
            </w:r>
          </w:p>
        </w:tc>
      </w:tr>
      <w:tr w:rsidR="00B56301" w:rsidRPr="00364545" w14:paraId="5A86542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5F1154B" w14:textId="77777777" w:rsidR="00B56301" w:rsidRPr="00364545" w:rsidRDefault="00B56301" w:rsidP="00B37B65">
            <w:pPr>
              <w:jc w:val="left"/>
              <w:rPr>
                <w:rFonts w:asciiTheme="minorHAnsi" w:hAnsiTheme="minorHAnsi"/>
                <w:sz w:val="14"/>
                <w:szCs w:val="16"/>
              </w:rPr>
            </w:pPr>
            <w:r w:rsidRPr="00364545">
              <w:rPr>
                <w:rFonts w:asciiTheme="minorHAnsi" w:hAnsiTheme="minorHAnsi"/>
                <w:sz w:val="14"/>
              </w:rPr>
              <w:t>Aviation</w:t>
            </w:r>
          </w:p>
        </w:tc>
        <w:tc>
          <w:tcPr>
            <w:tcW w:w="992" w:type="dxa"/>
            <w:tcBorders>
              <w:top w:val="nil"/>
              <w:left w:val="nil"/>
              <w:bottom w:val="single" w:sz="4" w:space="0" w:color="auto"/>
              <w:right w:val="single" w:sz="4" w:space="0" w:color="auto"/>
            </w:tcBorders>
            <w:shd w:val="clear" w:color="000000" w:fill="FFFFFF"/>
            <w:noWrap/>
            <w:vAlign w:val="bottom"/>
            <w:hideMark/>
          </w:tcPr>
          <w:p w14:paraId="5CCA921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0,24</w:t>
            </w:r>
          </w:p>
        </w:tc>
        <w:tc>
          <w:tcPr>
            <w:tcW w:w="992" w:type="dxa"/>
            <w:tcBorders>
              <w:top w:val="nil"/>
              <w:left w:val="nil"/>
              <w:bottom w:val="single" w:sz="4" w:space="0" w:color="auto"/>
              <w:right w:val="single" w:sz="4" w:space="0" w:color="auto"/>
            </w:tcBorders>
            <w:shd w:val="clear" w:color="000000" w:fill="FFFFFF"/>
            <w:noWrap/>
            <w:vAlign w:val="bottom"/>
            <w:hideMark/>
          </w:tcPr>
          <w:p w14:paraId="6253973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0,24</w:t>
            </w:r>
          </w:p>
        </w:tc>
        <w:tc>
          <w:tcPr>
            <w:tcW w:w="992" w:type="dxa"/>
            <w:tcBorders>
              <w:top w:val="nil"/>
              <w:left w:val="nil"/>
              <w:bottom w:val="single" w:sz="4" w:space="0" w:color="auto"/>
              <w:right w:val="single" w:sz="4" w:space="0" w:color="auto"/>
            </w:tcBorders>
            <w:shd w:val="clear" w:color="000000" w:fill="FFFFFF"/>
            <w:noWrap/>
            <w:vAlign w:val="bottom"/>
            <w:hideMark/>
          </w:tcPr>
          <w:p w14:paraId="3BDD9D9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0,23</w:t>
            </w:r>
          </w:p>
        </w:tc>
        <w:tc>
          <w:tcPr>
            <w:tcW w:w="992" w:type="dxa"/>
            <w:tcBorders>
              <w:top w:val="nil"/>
              <w:left w:val="nil"/>
              <w:bottom w:val="single" w:sz="4" w:space="0" w:color="auto"/>
              <w:right w:val="single" w:sz="4" w:space="0" w:color="auto"/>
            </w:tcBorders>
            <w:shd w:val="clear" w:color="000000" w:fill="FFFFFF"/>
            <w:noWrap/>
            <w:vAlign w:val="bottom"/>
            <w:hideMark/>
          </w:tcPr>
          <w:p w14:paraId="3FF32D3A"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0,27</w:t>
            </w:r>
          </w:p>
        </w:tc>
        <w:tc>
          <w:tcPr>
            <w:tcW w:w="992" w:type="dxa"/>
            <w:tcBorders>
              <w:top w:val="nil"/>
              <w:left w:val="nil"/>
              <w:bottom w:val="single" w:sz="4" w:space="0" w:color="auto"/>
              <w:right w:val="single" w:sz="4" w:space="0" w:color="auto"/>
            </w:tcBorders>
            <w:shd w:val="clear" w:color="000000" w:fill="FFFFFF"/>
            <w:noWrap/>
            <w:vAlign w:val="bottom"/>
            <w:hideMark/>
          </w:tcPr>
          <w:p w14:paraId="6F1AEA9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0,28</w:t>
            </w:r>
          </w:p>
        </w:tc>
        <w:tc>
          <w:tcPr>
            <w:tcW w:w="992" w:type="dxa"/>
            <w:tcBorders>
              <w:top w:val="nil"/>
              <w:left w:val="nil"/>
              <w:bottom w:val="single" w:sz="4" w:space="0" w:color="auto"/>
              <w:right w:val="single" w:sz="4" w:space="0" w:color="auto"/>
            </w:tcBorders>
            <w:shd w:val="clear" w:color="000000" w:fill="FFFFFF"/>
            <w:noWrap/>
            <w:vAlign w:val="bottom"/>
            <w:hideMark/>
          </w:tcPr>
          <w:p w14:paraId="76A607C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0,29</w:t>
            </w:r>
          </w:p>
        </w:tc>
      </w:tr>
      <w:tr w:rsidR="00B56301" w:rsidRPr="00364545" w14:paraId="6B6BFA7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E577924" w14:textId="77777777" w:rsidR="00B56301" w:rsidRPr="00364545" w:rsidRDefault="00B56301" w:rsidP="00B37B65">
            <w:pPr>
              <w:jc w:val="left"/>
              <w:rPr>
                <w:rFonts w:asciiTheme="minorHAnsi" w:hAnsiTheme="minorHAnsi"/>
                <w:sz w:val="14"/>
                <w:szCs w:val="16"/>
              </w:rPr>
            </w:pPr>
            <w:r w:rsidRPr="00364545">
              <w:rPr>
                <w:rFonts w:asciiTheme="minorHAnsi" w:hAnsiTheme="minorHAnsi"/>
                <w:sz w:val="14"/>
              </w:rPr>
              <w:t>Navigation</w:t>
            </w:r>
          </w:p>
        </w:tc>
        <w:tc>
          <w:tcPr>
            <w:tcW w:w="992" w:type="dxa"/>
            <w:tcBorders>
              <w:top w:val="nil"/>
              <w:left w:val="nil"/>
              <w:bottom w:val="single" w:sz="4" w:space="0" w:color="auto"/>
              <w:right w:val="single" w:sz="4" w:space="0" w:color="auto"/>
            </w:tcBorders>
            <w:shd w:val="clear" w:color="000000" w:fill="FFFFFF"/>
            <w:noWrap/>
            <w:vAlign w:val="bottom"/>
            <w:hideMark/>
          </w:tcPr>
          <w:p w14:paraId="2CCF4886"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271E0CA1"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46D74F0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0,21</w:t>
            </w:r>
          </w:p>
        </w:tc>
        <w:tc>
          <w:tcPr>
            <w:tcW w:w="992" w:type="dxa"/>
            <w:tcBorders>
              <w:top w:val="nil"/>
              <w:left w:val="nil"/>
              <w:bottom w:val="single" w:sz="4" w:space="0" w:color="auto"/>
              <w:right w:val="single" w:sz="4" w:space="0" w:color="auto"/>
            </w:tcBorders>
            <w:shd w:val="clear" w:color="000000" w:fill="FFFFFF"/>
            <w:noWrap/>
            <w:vAlign w:val="bottom"/>
            <w:hideMark/>
          </w:tcPr>
          <w:p w14:paraId="4D00D2B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33A1396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4B25279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0,18</w:t>
            </w:r>
          </w:p>
        </w:tc>
      </w:tr>
      <w:tr w:rsidR="00B56301" w:rsidRPr="00364545" w14:paraId="57F4C97C"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87536D9" w14:textId="77777777"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Multilateral operations</w:t>
            </w:r>
          </w:p>
        </w:tc>
        <w:tc>
          <w:tcPr>
            <w:tcW w:w="992" w:type="dxa"/>
            <w:tcBorders>
              <w:top w:val="nil"/>
              <w:left w:val="nil"/>
              <w:bottom w:val="single" w:sz="4" w:space="0" w:color="auto"/>
              <w:right w:val="single" w:sz="4" w:space="0" w:color="auto"/>
            </w:tcBorders>
            <w:shd w:val="clear" w:color="000000" w:fill="FFFFFF"/>
            <w:noWrap/>
            <w:vAlign w:val="bottom"/>
            <w:hideMark/>
          </w:tcPr>
          <w:p w14:paraId="33C5E78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4A5088A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0E9646C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362531C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4BF38D1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59777C9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NE</w:t>
            </w:r>
          </w:p>
        </w:tc>
      </w:tr>
      <w:tr w:rsidR="00B56301" w:rsidRPr="00364545" w14:paraId="1505BB6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4E27F33" w14:textId="53733E4E" w:rsidR="00B56301" w:rsidRPr="00364545" w:rsidRDefault="007F09F7" w:rsidP="00B37B65">
            <w:pPr>
              <w:jc w:val="left"/>
              <w:rPr>
                <w:rFonts w:asciiTheme="minorHAnsi" w:hAnsiTheme="minorHAnsi"/>
                <w:b/>
                <w:bCs/>
                <w:sz w:val="14"/>
                <w:szCs w:val="16"/>
              </w:rPr>
            </w:pPr>
            <w:r w:rsidRPr="00364545">
              <w:t>CO</w:t>
            </w:r>
            <w:r w:rsidRPr="00364545">
              <w:rPr>
                <w:vertAlign w:val="subscript"/>
              </w:rPr>
              <w:t>2</w:t>
            </w:r>
            <w:r w:rsidRPr="00364545">
              <w:rPr>
                <w:rFonts w:asciiTheme="minorHAnsi" w:hAnsiTheme="minorHAnsi"/>
                <w:b/>
                <w:sz w:val="14"/>
              </w:rPr>
              <w:t xml:space="preserve"> emissions from biomass</w:t>
            </w:r>
          </w:p>
        </w:tc>
        <w:tc>
          <w:tcPr>
            <w:tcW w:w="992" w:type="dxa"/>
            <w:tcBorders>
              <w:top w:val="nil"/>
              <w:left w:val="nil"/>
              <w:bottom w:val="single" w:sz="4" w:space="0" w:color="auto"/>
              <w:right w:val="single" w:sz="4" w:space="0" w:color="auto"/>
            </w:tcBorders>
            <w:shd w:val="clear" w:color="000000" w:fill="969696"/>
            <w:noWrap/>
            <w:vAlign w:val="bottom"/>
            <w:hideMark/>
          </w:tcPr>
          <w:p w14:paraId="6036A99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C159699"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33F25A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89448B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BB7690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64520B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70FFB70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7F3B9A9" w14:textId="732BA67C" w:rsidR="00B56301" w:rsidRPr="00364545" w:rsidRDefault="007F09F7" w:rsidP="00B37B65">
            <w:pPr>
              <w:jc w:val="left"/>
              <w:rPr>
                <w:rFonts w:asciiTheme="minorHAnsi" w:hAnsiTheme="minorHAnsi"/>
                <w:b/>
                <w:bCs/>
                <w:sz w:val="14"/>
                <w:szCs w:val="16"/>
              </w:rPr>
            </w:pPr>
            <w:r w:rsidRPr="00364545">
              <w:t>CO</w:t>
            </w:r>
            <w:r w:rsidRPr="00364545">
              <w:rPr>
                <w:vertAlign w:val="subscript"/>
              </w:rPr>
              <w:t>2</w:t>
            </w:r>
            <w:r w:rsidRPr="00364545">
              <w:rPr>
                <w:rFonts w:asciiTheme="minorHAnsi" w:hAnsiTheme="minorHAnsi"/>
                <w:b/>
                <w:sz w:val="14"/>
              </w:rPr>
              <w:t xml:space="preserve"> captured</w:t>
            </w:r>
          </w:p>
        </w:tc>
        <w:tc>
          <w:tcPr>
            <w:tcW w:w="992" w:type="dxa"/>
            <w:tcBorders>
              <w:top w:val="nil"/>
              <w:left w:val="nil"/>
              <w:bottom w:val="single" w:sz="4" w:space="0" w:color="auto"/>
              <w:right w:val="single" w:sz="4" w:space="0" w:color="auto"/>
            </w:tcBorders>
            <w:shd w:val="clear" w:color="000000" w:fill="969696"/>
            <w:noWrap/>
            <w:vAlign w:val="bottom"/>
            <w:hideMark/>
          </w:tcPr>
          <w:p w14:paraId="7C264E4D"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496CBD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817F31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9D4B0D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F90DD88"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38F7170"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2196032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D1D12C9" w14:textId="77777777"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Long-term storage of C in waste disposal sites</w:t>
            </w:r>
          </w:p>
        </w:tc>
        <w:tc>
          <w:tcPr>
            <w:tcW w:w="992" w:type="dxa"/>
            <w:tcBorders>
              <w:top w:val="nil"/>
              <w:left w:val="nil"/>
              <w:bottom w:val="single" w:sz="4" w:space="0" w:color="auto"/>
              <w:right w:val="single" w:sz="4" w:space="0" w:color="auto"/>
            </w:tcBorders>
            <w:shd w:val="clear" w:color="000000" w:fill="969696"/>
            <w:noWrap/>
            <w:vAlign w:val="bottom"/>
            <w:hideMark/>
          </w:tcPr>
          <w:p w14:paraId="7F66661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667354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072E1B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24B1BC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6756E6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218EF0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r w:rsidR="00B56301" w:rsidRPr="00364545" w14:paraId="18CAF6BE" w14:textId="77777777" w:rsidTr="00B37B65">
        <w:trPr>
          <w:trHeight w:val="68"/>
          <w:jc w:val="center"/>
        </w:trPr>
        <w:tc>
          <w:tcPr>
            <w:tcW w:w="3805" w:type="dxa"/>
            <w:tcBorders>
              <w:top w:val="single" w:sz="4" w:space="0" w:color="auto"/>
              <w:left w:val="single" w:sz="4" w:space="0" w:color="auto"/>
              <w:bottom w:val="nil"/>
              <w:right w:val="single" w:sz="4" w:space="0" w:color="auto"/>
            </w:tcBorders>
            <w:shd w:val="clear" w:color="000000" w:fill="CCFFFF"/>
            <w:noWrap/>
            <w:vAlign w:val="center"/>
            <w:hideMark/>
          </w:tcPr>
          <w:p w14:paraId="1303F0CC" w14:textId="3A6895B5"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 xml:space="preserve">Indirect </w:t>
            </w:r>
            <w:r w:rsidRPr="00364545">
              <w:t>N</w:t>
            </w:r>
            <w:r w:rsidRPr="00364545">
              <w:rPr>
                <w:vertAlign w:val="subscript"/>
              </w:rPr>
              <w:t>2</w:t>
            </w:r>
            <w:r w:rsidRPr="00364545">
              <w:t xml:space="preserve">O </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19397EB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DBF7D63"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63A144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3D29F04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0CF34B2E"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6C97DB75"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NO,NE</w:t>
            </w:r>
          </w:p>
        </w:tc>
      </w:tr>
      <w:tr w:rsidR="00B56301" w:rsidRPr="00364545" w14:paraId="7CB7F280"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D688568" w14:textId="22D20A6B" w:rsidR="00B56301" w:rsidRPr="00364545" w:rsidRDefault="00B56301" w:rsidP="00B37B65">
            <w:pPr>
              <w:jc w:val="left"/>
              <w:rPr>
                <w:rFonts w:asciiTheme="minorHAnsi" w:hAnsiTheme="minorHAnsi"/>
                <w:b/>
                <w:bCs/>
                <w:sz w:val="14"/>
                <w:szCs w:val="16"/>
              </w:rPr>
            </w:pPr>
            <w:r w:rsidRPr="00364545">
              <w:rPr>
                <w:rFonts w:asciiTheme="minorHAnsi" w:hAnsiTheme="minorHAnsi"/>
                <w:b/>
                <w:sz w:val="14"/>
              </w:rPr>
              <w:t xml:space="preserve">Indirect </w:t>
            </w:r>
            <w:r w:rsidRPr="00364545">
              <w:t>CO</w:t>
            </w:r>
            <w:r w:rsidRPr="00364545">
              <w:rPr>
                <w:vertAlign w:val="subscript"/>
              </w:rPr>
              <w:t>2</w:t>
            </w:r>
            <w:r w:rsidRPr="00364545">
              <w:rPr>
                <w:rFonts w:asciiTheme="minorHAnsi" w:hAnsiTheme="minorHAnsi"/>
                <w:b/>
                <w:sz w:val="14"/>
                <w:vertAlign w:val="subscript"/>
              </w:rPr>
              <w:t xml:space="preserve"> </w:t>
            </w:r>
            <w:r w:rsidRPr="00364545">
              <w:rPr>
                <w:rFonts w:asciiTheme="minorHAnsi" w:hAnsiTheme="minorHAnsi"/>
                <w:b/>
                <w:sz w:val="14"/>
                <w:vertAlign w:val="superscript"/>
              </w:rPr>
              <w:t>(3)</w:t>
            </w:r>
          </w:p>
        </w:tc>
        <w:tc>
          <w:tcPr>
            <w:tcW w:w="992" w:type="dxa"/>
            <w:tcBorders>
              <w:top w:val="nil"/>
              <w:left w:val="nil"/>
              <w:bottom w:val="single" w:sz="4" w:space="0" w:color="auto"/>
              <w:right w:val="single" w:sz="4" w:space="0" w:color="auto"/>
            </w:tcBorders>
            <w:shd w:val="clear" w:color="000000" w:fill="969696"/>
            <w:noWrap/>
            <w:vAlign w:val="bottom"/>
            <w:hideMark/>
          </w:tcPr>
          <w:p w14:paraId="6DD2AAF7"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5F5AACF"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CA6A26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FB08BFB"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2F6D1C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1D9D472" w14:textId="77777777" w:rsidR="00B56301" w:rsidRPr="00364545" w:rsidRDefault="00B56301" w:rsidP="00B37B65">
            <w:pPr>
              <w:jc w:val="right"/>
              <w:rPr>
                <w:rFonts w:asciiTheme="minorHAnsi" w:hAnsiTheme="minorHAnsi"/>
                <w:sz w:val="16"/>
                <w:szCs w:val="16"/>
              </w:rPr>
            </w:pPr>
            <w:r w:rsidRPr="00364545">
              <w:rPr>
                <w:rFonts w:asciiTheme="minorHAnsi" w:hAnsiTheme="minorHAnsi"/>
                <w:sz w:val="16"/>
              </w:rPr>
              <w:t> </w:t>
            </w:r>
          </w:p>
        </w:tc>
      </w:tr>
    </w:tbl>
    <w:p w14:paraId="37DF1794" w14:textId="77777777" w:rsidR="00B56301" w:rsidRPr="00364545" w:rsidRDefault="00B56301" w:rsidP="00B56301">
      <w:pPr>
        <w:rPr>
          <w:rFonts w:cs="Arial"/>
        </w:rPr>
      </w:pP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364545" w14:paraId="319A20B4"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04986502"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567A1D7" w14:textId="77777777" w:rsidR="00B56301" w:rsidRPr="00364545" w:rsidRDefault="00B56301" w:rsidP="00B37B65">
            <w:pPr>
              <w:jc w:val="center"/>
              <w:rPr>
                <w:rFonts w:asciiTheme="minorHAnsi" w:hAnsiTheme="minorHAnsi"/>
                <w:b/>
                <w:bCs/>
                <w:sz w:val="16"/>
                <w:szCs w:val="16"/>
              </w:rPr>
            </w:pPr>
            <w:r w:rsidRPr="00364545">
              <w:rPr>
                <w:b/>
                <w:sz w:val="16"/>
              </w:rPr>
              <w:t>1995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3B8A413" w14:textId="77777777" w:rsidR="00B56301" w:rsidRPr="00364545" w:rsidRDefault="00B56301" w:rsidP="00B37B65">
            <w:pPr>
              <w:jc w:val="center"/>
              <w:rPr>
                <w:rFonts w:asciiTheme="minorHAnsi" w:hAnsiTheme="minorHAnsi"/>
                <w:b/>
                <w:bCs/>
                <w:sz w:val="16"/>
                <w:szCs w:val="16"/>
              </w:rPr>
            </w:pPr>
            <w:r w:rsidRPr="00364545">
              <w:rPr>
                <w:b/>
                <w:sz w:val="16"/>
              </w:rPr>
              <w:t>1996</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D7B471D" w14:textId="77777777" w:rsidR="00B56301" w:rsidRPr="00364545" w:rsidRDefault="00B56301" w:rsidP="00B37B65">
            <w:pPr>
              <w:jc w:val="center"/>
              <w:rPr>
                <w:rFonts w:asciiTheme="minorHAnsi" w:hAnsiTheme="minorHAnsi"/>
                <w:b/>
                <w:bCs/>
                <w:sz w:val="16"/>
                <w:szCs w:val="16"/>
              </w:rPr>
            </w:pPr>
            <w:r w:rsidRPr="00364545">
              <w:rPr>
                <w:b/>
                <w:sz w:val="16"/>
              </w:rPr>
              <w:t>1997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D64180D" w14:textId="77777777" w:rsidR="00B56301" w:rsidRPr="00364545" w:rsidRDefault="00B56301" w:rsidP="00B37B65">
            <w:pPr>
              <w:jc w:val="center"/>
              <w:rPr>
                <w:rFonts w:asciiTheme="minorHAnsi" w:hAnsiTheme="minorHAnsi"/>
                <w:b/>
                <w:bCs/>
                <w:sz w:val="16"/>
                <w:szCs w:val="16"/>
              </w:rPr>
            </w:pPr>
            <w:r w:rsidRPr="00364545">
              <w:rPr>
                <w:b/>
                <w:sz w:val="16"/>
              </w:rPr>
              <w:t>1998</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3FB6F94" w14:textId="77777777" w:rsidR="00B56301" w:rsidRPr="00364545" w:rsidRDefault="00B56301" w:rsidP="00B37B65">
            <w:pPr>
              <w:jc w:val="center"/>
              <w:rPr>
                <w:rFonts w:asciiTheme="minorHAnsi" w:hAnsiTheme="minorHAnsi"/>
                <w:b/>
                <w:bCs/>
                <w:sz w:val="16"/>
                <w:szCs w:val="16"/>
              </w:rPr>
            </w:pPr>
            <w:r w:rsidRPr="00364545">
              <w:rPr>
                <w:b/>
                <w:sz w:val="16"/>
              </w:rPr>
              <w:t>1999</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FF47E33" w14:textId="77777777" w:rsidR="00B56301" w:rsidRPr="00364545" w:rsidRDefault="00B56301" w:rsidP="00B37B65">
            <w:pPr>
              <w:jc w:val="center"/>
              <w:rPr>
                <w:rFonts w:asciiTheme="minorHAnsi" w:hAnsiTheme="minorHAnsi"/>
                <w:b/>
                <w:bCs/>
                <w:sz w:val="16"/>
                <w:szCs w:val="16"/>
              </w:rPr>
            </w:pPr>
            <w:r w:rsidRPr="00364545">
              <w:rPr>
                <w:b/>
                <w:sz w:val="16"/>
              </w:rPr>
              <w:t>2000</w:t>
            </w:r>
          </w:p>
        </w:tc>
      </w:tr>
      <w:tr w:rsidR="00B56301" w:rsidRPr="00364545" w14:paraId="23BFAA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0E55962"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79A2BCB8" w14:textId="77777777" w:rsidR="00B56301" w:rsidRPr="00364545" w:rsidRDefault="00B56301" w:rsidP="00B37B65">
            <w:pPr>
              <w:jc w:val="right"/>
              <w:rPr>
                <w:rFonts w:asciiTheme="minorHAnsi" w:hAnsiTheme="minorHAnsi"/>
                <w:sz w:val="16"/>
                <w:szCs w:val="16"/>
              </w:rPr>
            </w:pPr>
            <w:r w:rsidRPr="00364545">
              <w:rPr>
                <w:sz w:val="16"/>
              </w:rPr>
              <w:t>13,58</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732EE0EB" w14:textId="77777777" w:rsidR="00B56301" w:rsidRPr="00364545" w:rsidRDefault="00B56301" w:rsidP="00B37B65">
            <w:pPr>
              <w:jc w:val="right"/>
              <w:rPr>
                <w:rFonts w:asciiTheme="minorHAnsi" w:hAnsiTheme="minorHAnsi"/>
                <w:sz w:val="16"/>
                <w:szCs w:val="16"/>
              </w:rPr>
            </w:pPr>
            <w:r w:rsidRPr="00364545">
              <w:rPr>
                <w:sz w:val="16"/>
              </w:rPr>
              <w:t>15,07</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68778956" w14:textId="77777777" w:rsidR="00B56301" w:rsidRPr="00364545" w:rsidRDefault="00B56301" w:rsidP="00B37B65">
            <w:pPr>
              <w:jc w:val="right"/>
              <w:rPr>
                <w:rFonts w:asciiTheme="minorHAnsi" w:hAnsiTheme="minorHAnsi"/>
                <w:sz w:val="16"/>
                <w:szCs w:val="16"/>
              </w:rPr>
            </w:pPr>
            <w:r w:rsidRPr="00364545">
              <w:rPr>
                <w:sz w:val="16"/>
              </w:rPr>
              <w:t>15,75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CDC8CB8" w14:textId="77777777" w:rsidR="00B56301" w:rsidRPr="00364545" w:rsidRDefault="00B56301" w:rsidP="00B37B65">
            <w:pPr>
              <w:jc w:val="right"/>
              <w:rPr>
                <w:rFonts w:asciiTheme="minorHAnsi" w:hAnsiTheme="minorHAnsi"/>
                <w:sz w:val="16"/>
                <w:szCs w:val="16"/>
              </w:rPr>
            </w:pPr>
            <w:r w:rsidRPr="00364545">
              <w:rPr>
                <w:sz w:val="16"/>
              </w:rPr>
              <w:t>17,06</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40F5EF0" w14:textId="77777777" w:rsidR="00B56301" w:rsidRPr="00364545" w:rsidRDefault="00B56301" w:rsidP="00B37B65">
            <w:pPr>
              <w:jc w:val="right"/>
              <w:rPr>
                <w:rFonts w:asciiTheme="minorHAnsi" w:hAnsiTheme="minorHAnsi"/>
                <w:sz w:val="16"/>
                <w:szCs w:val="16"/>
              </w:rPr>
            </w:pPr>
            <w:r w:rsidRPr="00364545">
              <w:rPr>
                <w:sz w:val="16"/>
              </w:rPr>
              <w:t>13,41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CB9ECD7" w14:textId="77777777" w:rsidR="00B56301" w:rsidRPr="00364545" w:rsidRDefault="00B56301" w:rsidP="00B37B65">
            <w:pPr>
              <w:jc w:val="right"/>
              <w:rPr>
                <w:rFonts w:asciiTheme="minorHAnsi" w:hAnsiTheme="minorHAnsi"/>
                <w:sz w:val="16"/>
                <w:szCs w:val="16"/>
              </w:rPr>
            </w:pPr>
            <w:r w:rsidRPr="00364545">
              <w:rPr>
                <w:sz w:val="16"/>
              </w:rPr>
              <w:t>13,09</w:t>
            </w:r>
          </w:p>
        </w:tc>
      </w:tr>
      <w:tr w:rsidR="00B56301" w:rsidRPr="00364545" w14:paraId="0AF91AD9"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B086B3E"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5D06EB29" w14:textId="77777777" w:rsidR="00B56301" w:rsidRPr="00364545" w:rsidRDefault="00B56301" w:rsidP="00B37B65">
            <w:pPr>
              <w:jc w:val="right"/>
              <w:rPr>
                <w:rFonts w:asciiTheme="minorHAnsi" w:hAnsiTheme="minorHAnsi"/>
                <w:sz w:val="16"/>
                <w:szCs w:val="16"/>
              </w:rPr>
            </w:pPr>
            <w:r w:rsidRPr="00364545">
              <w:rPr>
                <w:sz w:val="16"/>
              </w:rPr>
              <w:t>13,49</w:t>
            </w:r>
          </w:p>
        </w:tc>
        <w:tc>
          <w:tcPr>
            <w:tcW w:w="991" w:type="dxa"/>
            <w:tcBorders>
              <w:top w:val="nil"/>
              <w:left w:val="nil"/>
              <w:bottom w:val="single" w:sz="4" w:space="0" w:color="auto"/>
              <w:right w:val="single" w:sz="4" w:space="0" w:color="auto"/>
            </w:tcBorders>
            <w:shd w:val="clear" w:color="000000" w:fill="CCFFFF"/>
            <w:noWrap/>
            <w:vAlign w:val="bottom"/>
            <w:hideMark/>
          </w:tcPr>
          <w:p w14:paraId="6D78623A" w14:textId="77777777" w:rsidR="00B56301" w:rsidRPr="00364545" w:rsidRDefault="00B56301" w:rsidP="00B37B65">
            <w:pPr>
              <w:jc w:val="right"/>
              <w:rPr>
                <w:rFonts w:asciiTheme="minorHAnsi" w:hAnsiTheme="minorHAnsi"/>
                <w:sz w:val="16"/>
                <w:szCs w:val="16"/>
              </w:rPr>
            </w:pPr>
            <w:r w:rsidRPr="00364545">
              <w:rPr>
                <w:sz w:val="16"/>
              </w:rPr>
              <w:t>14,97</w:t>
            </w:r>
          </w:p>
        </w:tc>
        <w:tc>
          <w:tcPr>
            <w:tcW w:w="991" w:type="dxa"/>
            <w:tcBorders>
              <w:top w:val="nil"/>
              <w:left w:val="nil"/>
              <w:bottom w:val="single" w:sz="4" w:space="0" w:color="auto"/>
              <w:right w:val="single" w:sz="4" w:space="0" w:color="auto"/>
            </w:tcBorders>
            <w:shd w:val="clear" w:color="000000" w:fill="CCFFFF"/>
            <w:noWrap/>
            <w:vAlign w:val="bottom"/>
            <w:hideMark/>
          </w:tcPr>
          <w:p w14:paraId="3E5D3F36" w14:textId="77777777" w:rsidR="00B56301" w:rsidRPr="00364545" w:rsidRDefault="00B56301" w:rsidP="00B37B65">
            <w:pPr>
              <w:jc w:val="right"/>
              <w:rPr>
                <w:rFonts w:asciiTheme="minorHAnsi" w:hAnsiTheme="minorHAnsi"/>
                <w:sz w:val="16"/>
                <w:szCs w:val="16"/>
              </w:rPr>
            </w:pPr>
            <w:r w:rsidRPr="00364545">
              <w:rPr>
                <w:sz w:val="16"/>
              </w:rPr>
              <w:t>15,65</w:t>
            </w:r>
          </w:p>
        </w:tc>
        <w:tc>
          <w:tcPr>
            <w:tcW w:w="991" w:type="dxa"/>
            <w:tcBorders>
              <w:top w:val="nil"/>
              <w:left w:val="nil"/>
              <w:bottom w:val="single" w:sz="4" w:space="0" w:color="auto"/>
              <w:right w:val="single" w:sz="4" w:space="0" w:color="auto"/>
            </w:tcBorders>
            <w:shd w:val="clear" w:color="000000" w:fill="CCFFFF"/>
            <w:noWrap/>
            <w:vAlign w:val="bottom"/>
            <w:hideMark/>
          </w:tcPr>
          <w:p w14:paraId="1A4EC313" w14:textId="77777777" w:rsidR="00B56301" w:rsidRPr="00364545" w:rsidRDefault="00B56301" w:rsidP="00B37B65">
            <w:pPr>
              <w:jc w:val="right"/>
              <w:rPr>
                <w:rFonts w:asciiTheme="minorHAnsi" w:hAnsiTheme="minorHAnsi"/>
                <w:sz w:val="16"/>
                <w:szCs w:val="16"/>
              </w:rPr>
            </w:pPr>
            <w:r w:rsidRPr="00364545">
              <w:rPr>
                <w:sz w:val="16"/>
              </w:rPr>
              <w:t>16,96</w:t>
            </w:r>
          </w:p>
        </w:tc>
        <w:tc>
          <w:tcPr>
            <w:tcW w:w="991" w:type="dxa"/>
            <w:tcBorders>
              <w:top w:val="nil"/>
              <w:left w:val="nil"/>
              <w:bottom w:val="single" w:sz="4" w:space="0" w:color="auto"/>
              <w:right w:val="single" w:sz="4" w:space="0" w:color="auto"/>
            </w:tcBorders>
            <w:shd w:val="clear" w:color="000000" w:fill="CCFFFF"/>
            <w:noWrap/>
            <w:vAlign w:val="bottom"/>
            <w:hideMark/>
          </w:tcPr>
          <w:p w14:paraId="5A9E7C2E" w14:textId="77777777" w:rsidR="00B56301" w:rsidRPr="00364545" w:rsidRDefault="00B56301" w:rsidP="00B37B65">
            <w:pPr>
              <w:jc w:val="right"/>
              <w:rPr>
                <w:rFonts w:asciiTheme="minorHAnsi" w:hAnsiTheme="minorHAnsi"/>
                <w:sz w:val="16"/>
                <w:szCs w:val="16"/>
              </w:rPr>
            </w:pPr>
            <w:r w:rsidRPr="00364545">
              <w:rPr>
                <w:sz w:val="16"/>
              </w:rPr>
              <w:t>13,32</w:t>
            </w:r>
          </w:p>
        </w:tc>
        <w:tc>
          <w:tcPr>
            <w:tcW w:w="991" w:type="dxa"/>
            <w:tcBorders>
              <w:top w:val="nil"/>
              <w:left w:val="nil"/>
              <w:bottom w:val="single" w:sz="4" w:space="0" w:color="auto"/>
              <w:right w:val="single" w:sz="4" w:space="0" w:color="auto"/>
            </w:tcBorders>
            <w:shd w:val="clear" w:color="000000" w:fill="CCFFFF"/>
            <w:noWrap/>
            <w:vAlign w:val="bottom"/>
            <w:hideMark/>
          </w:tcPr>
          <w:p w14:paraId="0D0EC71B" w14:textId="77777777" w:rsidR="00B56301" w:rsidRPr="00364545" w:rsidRDefault="00B56301" w:rsidP="00B37B65">
            <w:pPr>
              <w:jc w:val="right"/>
              <w:rPr>
                <w:rFonts w:asciiTheme="minorHAnsi" w:hAnsiTheme="minorHAnsi"/>
                <w:sz w:val="16"/>
                <w:szCs w:val="16"/>
              </w:rPr>
            </w:pPr>
            <w:r w:rsidRPr="00364545">
              <w:rPr>
                <w:sz w:val="16"/>
              </w:rPr>
              <w:t>12,99</w:t>
            </w:r>
          </w:p>
        </w:tc>
      </w:tr>
      <w:tr w:rsidR="00B56301" w:rsidRPr="00364545" w14:paraId="67F0F56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187A79D" w14:textId="1DE85958"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1C35EF08" w14:textId="77777777" w:rsidR="00B56301" w:rsidRPr="00364545" w:rsidRDefault="00B56301" w:rsidP="00B37B65">
            <w:pPr>
              <w:jc w:val="right"/>
              <w:rPr>
                <w:rFonts w:asciiTheme="minorHAnsi" w:hAnsiTheme="minorHAnsi"/>
                <w:sz w:val="16"/>
                <w:szCs w:val="16"/>
              </w:rPr>
            </w:pPr>
            <w:r w:rsidRPr="00364545">
              <w:rPr>
                <w:sz w:val="16"/>
              </w:rPr>
              <w:t>1,43</w:t>
            </w:r>
          </w:p>
        </w:tc>
        <w:tc>
          <w:tcPr>
            <w:tcW w:w="991" w:type="dxa"/>
            <w:tcBorders>
              <w:top w:val="nil"/>
              <w:left w:val="nil"/>
              <w:bottom w:val="single" w:sz="4" w:space="0" w:color="auto"/>
              <w:right w:val="single" w:sz="4" w:space="0" w:color="auto"/>
            </w:tcBorders>
            <w:shd w:val="clear" w:color="000000" w:fill="FFFFFF"/>
            <w:noWrap/>
            <w:vAlign w:val="bottom"/>
            <w:hideMark/>
          </w:tcPr>
          <w:p w14:paraId="5C1FB3D6" w14:textId="77777777" w:rsidR="00B56301" w:rsidRPr="00364545" w:rsidRDefault="00B56301" w:rsidP="00B37B65">
            <w:pPr>
              <w:jc w:val="right"/>
              <w:rPr>
                <w:rFonts w:asciiTheme="minorHAnsi" w:hAnsiTheme="minorHAnsi"/>
                <w:sz w:val="16"/>
                <w:szCs w:val="16"/>
              </w:rPr>
            </w:pPr>
            <w:r w:rsidRPr="00364545">
              <w:rPr>
                <w:sz w:val="16"/>
              </w:rPr>
              <w:t>1,62</w:t>
            </w:r>
          </w:p>
        </w:tc>
        <w:tc>
          <w:tcPr>
            <w:tcW w:w="991" w:type="dxa"/>
            <w:tcBorders>
              <w:top w:val="nil"/>
              <w:left w:val="nil"/>
              <w:bottom w:val="single" w:sz="4" w:space="0" w:color="auto"/>
              <w:right w:val="single" w:sz="4" w:space="0" w:color="auto"/>
            </w:tcBorders>
            <w:shd w:val="clear" w:color="000000" w:fill="FFFFFF"/>
            <w:noWrap/>
            <w:vAlign w:val="bottom"/>
            <w:hideMark/>
          </w:tcPr>
          <w:p w14:paraId="4742FFD8" w14:textId="77777777" w:rsidR="00B56301" w:rsidRPr="00364545" w:rsidRDefault="00B56301" w:rsidP="00B37B65">
            <w:pPr>
              <w:jc w:val="right"/>
              <w:rPr>
                <w:rFonts w:asciiTheme="minorHAnsi" w:hAnsiTheme="minorHAnsi"/>
                <w:sz w:val="16"/>
                <w:szCs w:val="16"/>
              </w:rPr>
            </w:pPr>
            <w:r w:rsidRPr="00364545">
              <w:rPr>
                <w:sz w:val="16"/>
              </w:rPr>
              <w:t>1,65</w:t>
            </w:r>
          </w:p>
        </w:tc>
        <w:tc>
          <w:tcPr>
            <w:tcW w:w="991" w:type="dxa"/>
            <w:tcBorders>
              <w:top w:val="nil"/>
              <w:left w:val="nil"/>
              <w:bottom w:val="single" w:sz="4" w:space="0" w:color="auto"/>
              <w:right w:val="single" w:sz="4" w:space="0" w:color="auto"/>
            </w:tcBorders>
            <w:shd w:val="clear" w:color="000000" w:fill="FFFFFF"/>
            <w:noWrap/>
            <w:vAlign w:val="bottom"/>
            <w:hideMark/>
          </w:tcPr>
          <w:p w14:paraId="705DD8E8" w14:textId="77777777" w:rsidR="00B56301" w:rsidRPr="00364545" w:rsidRDefault="00B56301" w:rsidP="00B37B65">
            <w:pPr>
              <w:jc w:val="right"/>
              <w:rPr>
                <w:rFonts w:asciiTheme="minorHAnsi" w:hAnsiTheme="minorHAnsi"/>
                <w:sz w:val="16"/>
                <w:szCs w:val="16"/>
              </w:rPr>
            </w:pPr>
            <w:r w:rsidRPr="00364545">
              <w:rPr>
                <w:sz w:val="16"/>
              </w:rPr>
              <w:t>1,81</w:t>
            </w:r>
          </w:p>
        </w:tc>
        <w:tc>
          <w:tcPr>
            <w:tcW w:w="991" w:type="dxa"/>
            <w:tcBorders>
              <w:top w:val="nil"/>
              <w:left w:val="nil"/>
              <w:bottom w:val="single" w:sz="4" w:space="0" w:color="auto"/>
              <w:right w:val="single" w:sz="4" w:space="0" w:color="auto"/>
            </w:tcBorders>
            <w:shd w:val="clear" w:color="000000" w:fill="FFFFFF"/>
            <w:noWrap/>
            <w:vAlign w:val="bottom"/>
            <w:hideMark/>
          </w:tcPr>
          <w:p w14:paraId="5B573B82" w14:textId="77777777" w:rsidR="00B56301" w:rsidRPr="00364545" w:rsidRDefault="00B56301" w:rsidP="00B37B65">
            <w:pPr>
              <w:jc w:val="right"/>
              <w:rPr>
                <w:rFonts w:asciiTheme="minorHAnsi" w:hAnsiTheme="minorHAnsi"/>
                <w:sz w:val="16"/>
                <w:szCs w:val="16"/>
              </w:rPr>
            </w:pPr>
            <w:r w:rsidRPr="00364545">
              <w:rPr>
                <w:sz w:val="16"/>
              </w:rPr>
              <w:t>1,72</w:t>
            </w:r>
          </w:p>
        </w:tc>
        <w:tc>
          <w:tcPr>
            <w:tcW w:w="991" w:type="dxa"/>
            <w:tcBorders>
              <w:top w:val="nil"/>
              <w:left w:val="nil"/>
              <w:bottom w:val="single" w:sz="4" w:space="0" w:color="auto"/>
              <w:right w:val="single" w:sz="4" w:space="0" w:color="auto"/>
            </w:tcBorders>
            <w:shd w:val="clear" w:color="000000" w:fill="FFFFFF"/>
            <w:noWrap/>
            <w:vAlign w:val="bottom"/>
            <w:hideMark/>
          </w:tcPr>
          <w:p w14:paraId="3C92D48D" w14:textId="77777777" w:rsidR="00B56301" w:rsidRPr="00364545" w:rsidRDefault="00B56301" w:rsidP="00B37B65">
            <w:pPr>
              <w:jc w:val="right"/>
              <w:rPr>
                <w:rFonts w:asciiTheme="minorHAnsi" w:hAnsiTheme="minorHAnsi"/>
                <w:sz w:val="16"/>
                <w:szCs w:val="16"/>
              </w:rPr>
            </w:pPr>
            <w:r w:rsidRPr="00364545">
              <w:rPr>
                <w:sz w:val="16"/>
              </w:rPr>
              <w:t>1,81</w:t>
            </w:r>
          </w:p>
        </w:tc>
      </w:tr>
      <w:tr w:rsidR="00B56301" w:rsidRPr="00364545" w14:paraId="002981F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2030B2B" w14:textId="75B83AB0"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69D0448A" w14:textId="77777777" w:rsidR="00B56301" w:rsidRPr="00364545" w:rsidRDefault="00B56301" w:rsidP="00B37B65">
            <w:pPr>
              <w:jc w:val="right"/>
              <w:rPr>
                <w:rFonts w:asciiTheme="minorHAnsi" w:hAnsiTheme="minorHAnsi"/>
                <w:sz w:val="16"/>
                <w:szCs w:val="16"/>
              </w:rPr>
            </w:pPr>
            <w:r w:rsidRPr="00364545">
              <w:rPr>
                <w:sz w:val="16"/>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75E24CC1" w14:textId="77777777" w:rsidR="00B56301" w:rsidRPr="00364545" w:rsidRDefault="00B56301" w:rsidP="00B37B65">
            <w:pPr>
              <w:jc w:val="right"/>
              <w:rPr>
                <w:rFonts w:asciiTheme="minorHAnsi" w:hAnsiTheme="minorHAnsi"/>
                <w:sz w:val="16"/>
                <w:szCs w:val="16"/>
              </w:rPr>
            </w:pPr>
            <w:r w:rsidRPr="00364545">
              <w:rPr>
                <w:sz w:val="16"/>
              </w:rPr>
              <w:t>1,51</w:t>
            </w:r>
          </w:p>
        </w:tc>
        <w:tc>
          <w:tcPr>
            <w:tcW w:w="991" w:type="dxa"/>
            <w:tcBorders>
              <w:top w:val="nil"/>
              <w:left w:val="nil"/>
              <w:bottom w:val="single" w:sz="4" w:space="0" w:color="auto"/>
              <w:right w:val="single" w:sz="4" w:space="0" w:color="auto"/>
            </w:tcBorders>
            <w:shd w:val="clear" w:color="000000" w:fill="FFFFFF"/>
            <w:noWrap/>
            <w:vAlign w:val="bottom"/>
            <w:hideMark/>
          </w:tcPr>
          <w:p w14:paraId="05A7742A" w14:textId="77777777" w:rsidR="00B56301" w:rsidRPr="00364545" w:rsidRDefault="00B56301" w:rsidP="00B37B65">
            <w:pPr>
              <w:jc w:val="right"/>
              <w:rPr>
                <w:rFonts w:asciiTheme="minorHAnsi" w:hAnsiTheme="minorHAnsi"/>
                <w:sz w:val="16"/>
                <w:szCs w:val="16"/>
              </w:rPr>
            </w:pPr>
            <w:r w:rsidRPr="00364545">
              <w:rPr>
                <w:sz w:val="16"/>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0420200A" w14:textId="77777777" w:rsidR="00B56301" w:rsidRPr="00364545" w:rsidRDefault="00B56301" w:rsidP="00B37B65">
            <w:pPr>
              <w:jc w:val="right"/>
              <w:rPr>
                <w:rFonts w:asciiTheme="minorHAnsi" w:hAnsiTheme="minorHAnsi"/>
                <w:sz w:val="16"/>
                <w:szCs w:val="16"/>
              </w:rPr>
            </w:pPr>
            <w:r w:rsidRPr="00364545">
              <w:rPr>
                <w:sz w:val="16"/>
              </w:rPr>
              <w:t>1,99</w:t>
            </w:r>
          </w:p>
        </w:tc>
        <w:tc>
          <w:tcPr>
            <w:tcW w:w="991" w:type="dxa"/>
            <w:tcBorders>
              <w:top w:val="nil"/>
              <w:left w:val="nil"/>
              <w:bottom w:val="single" w:sz="4" w:space="0" w:color="auto"/>
              <w:right w:val="single" w:sz="4" w:space="0" w:color="auto"/>
            </w:tcBorders>
            <w:shd w:val="clear" w:color="000000" w:fill="FFFFFF"/>
            <w:noWrap/>
            <w:vAlign w:val="bottom"/>
            <w:hideMark/>
          </w:tcPr>
          <w:p w14:paraId="5F79DC9F" w14:textId="77777777" w:rsidR="00B56301" w:rsidRPr="00364545" w:rsidRDefault="00B56301" w:rsidP="00B37B65">
            <w:pPr>
              <w:jc w:val="right"/>
              <w:rPr>
                <w:rFonts w:asciiTheme="minorHAnsi" w:hAnsiTheme="minorHAnsi"/>
                <w:sz w:val="16"/>
                <w:szCs w:val="16"/>
              </w:rPr>
            </w:pPr>
            <w:r w:rsidRPr="00364545">
              <w:rPr>
                <w:sz w:val="16"/>
              </w:rPr>
              <w:t>1,80</w:t>
            </w:r>
          </w:p>
        </w:tc>
        <w:tc>
          <w:tcPr>
            <w:tcW w:w="991" w:type="dxa"/>
            <w:tcBorders>
              <w:top w:val="nil"/>
              <w:left w:val="nil"/>
              <w:bottom w:val="single" w:sz="4" w:space="0" w:color="auto"/>
              <w:right w:val="single" w:sz="4" w:space="0" w:color="auto"/>
            </w:tcBorders>
            <w:shd w:val="clear" w:color="000000" w:fill="FFFFFF"/>
            <w:noWrap/>
            <w:vAlign w:val="bottom"/>
            <w:hideMark/>
          </w:tcPr>
          <w:p w14:paraId="6111BA6B" w14:textId="77777777" w:rsidR="00B56301" w:rsidRPr="00364545" w:rsidRDefault="00B56301" w:rsidP="00B37B65">
            <w:pPr>
              <w:jc w:val="right"/>
              <w:rPr>
                <w:rFonts w:asciiTheme="minorHAnsi" w:hAnsiTheme="minorHAnsi"/>
                <w:sz w:val="16"/>
                <w:szCs w:val="16"/>
              </w:rPr>
            </w:pPr>
            <w:r w:rsidRPr="00364545">
              <w:rPr>
                <w:sz w:val="16"/>
              </w:rPr>
              <w:t>1,60</w:t>
            </w:r>
          </w:p>
        </w:tc>
      </w:tr>
      <w:tr w:rsidR="00B56301" w:rsidRPr="00364545" w14:paraId="4B6AA28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6C04E6" w14:textId="37B07B35"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3. 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7204C46B" w14:textId="77777777" w:rsidR="00B56301" w:rsidRPr="00364545" w:rsidRDefault="00B56301" w:rsidP="00B37B65">
            <w:pPr>
              <w:jc w:val="right"/>
              <w:rPr>
                <w:rFonts w:asciiTheme="minorHAnsi" w:hAnsiTheme="minorHAnsi"/>
                <w:sz w:val="16"/>
                <w:szCs w:val="16"/>
              </w:rPr>
            </w:pPr>
            <w:r w:rsidRPr="00364545">
              <w:rPr>
                <w:sz w:val="16"/>
              </w:rPr>
              <w:t>5,61</w:t>
            </w:r>
          </w:p>
        </w:tc>
        <w:tc>
          <w:tcPr>
            <w:tcW w:w="991" w:type="dxa"/>
            <w:tcBorders>
              <w:top w:val="nil"/>
              <w:left w:val="nil"/>
              <w:bottom w:val="single" w:sz="4" w:space="0" w:color="auto"/>
              <w:right w:val="single" w:sz="4" w:space="0" w:color="auto"/>
            </w:tcBorders>
            <w:shd w:val="clear" w:color="000000" w:fill="FFFFFF"/>
            <w:noWrap/>
            <w:vAlign w:val="bottom"/>
            <w:hideMark/>
          </w:tcPr>
          <w:p w14:paraId="3BF0356E" w14:textId="77777777" w:rsidR="00B56301" w:rsidRPr="00364545" w:rsidRDefault="00B56301" w:rsidP="00B37B65">
            <w:pPr>
              <w:jc w:val="right"/>
              <w:rPr>
                <w:rFonts w:asciiTheme="minorHAnsi" w:hAnsiTheme="minorHAnsi"/>
                <w:sz w:val="16"/>
                <w:szCs w:val="16"/>
              </w:rPr>
            </w:pPr>
            <w:r w:rsidRPr="00364545">
              <w:rPr>
                <w:sz w:val="16"/>
              </w:rPr>
              <w:t>6,70</w:t>
            </w:r>
          </w:p>
        </w:tc>
        <w:tc>
          <w:tcPr>
            <w:tcW w:w="991" w:type="dxa"/>
            <w:tcBorders>
              <w:top w:val="nil"/>
              <w:left w:val="nil"/>
              <w:bottom w:val="single" w:sz="4" w:space="0" w:color="auto"/>
              <w:right w:val="single" w:sz="4" w:space="0" w:color="auto"/>
            </w:tcBorders>
            <w:shd w:val="clear" w:color="000000" w:fill="FFFFFF"/>
            <w:noWrap/>
            <w:vAlign w:val="bottom"/>
            <w:hideMark/>
          </w:tcPr>
          <w:p w14:paraId="093EA0D8" w14:textId="77777777" w:rsidR="00B56301" w:rsidRPr="00364545" w:rsidRDefault="00B56301" w:rsidP="00B37B65">
            <w:pPr>
              <w:jc w:val="right"/>
              <w:rPr>
                <w:rFonts w:asciiTheme="minorHAnsi" w:hAnsiTheme="minorHAnsi"/>
                <w:sz w:val="16"/>
                <w:szCs w:val="16"/>
              </w:rPr>
            </w:pPr>
            <w:r w:rsidRPr="00364545">
              <w:rPr>
                <w:sz w:val="16"/>
              </w:rPr>
              <w:t>7,64</w:t>
            </w:r>
          </w:p>
        </w:tc>
        <w:tc>
          <w:tcPr>
            <w:tcW w:w="991" w:type="dxa"/>
            <w:tcBorders>
              <w:top w:val="nil"/>
              <w:left w:val="nil"/>
              <w:bottom w:val="single" w:sz="4" w:space="0" w:color="auto"/>
              <w:right w:val="single" w:sz="4" w:space="0" w:color="auto"/>
            </w:tcBorders>
            <w:shd w:val="clear" w:color="000000" w:fill="FFFFFF"/>
            <w:noWrap/>
            <w:vAlign w:val="bottom"/>
            <w:hideMark/>
          </w:tcPr>
          <w:p w14:paraId="42AD36D1" w14:textId="77777777" w:rsidR="00B56301" w:rsidRPr="00364545" w:rsidRDefault="00B56301" w:rsidP="00B37B65">
            <w:pPr>
              <w:jc w:val="right"/>
              <w:rPr>
                <w:rFonts w:asciiTheme="minorHAnsi" w:hAnsiTheme="minorHAnsi"/>
                <w:sz w:val="16"/>
                <w:szCs w:val="16"/>
              </w:rPr>
            </w:pPr>
            <w:r w:rsidRPr="00364545">
              <w:rPr>
                <w:sz w:val="16"/>
              </w:rPr>
              <w:t>8,13</w:t>
            </w:r>
          </w:p>
        </w:tc>
        <w:tc>
          <w:tcPr>
            <w:tcW w:w="991" w:type="dxa"/>
            <w:tcBorders>
              <w:top w:val="nil"/>
              <w:left w:val="nil"/>
              <w:bottom w:val="single" w:sz="4" w:space="0" w:color="auto"/>
              <w:right w:val="single" w:sz="4" w:space="0" w:color="auto"/>
            </w:tcBorders>
            <w:shd w:val="clear" w:color="000000" w:fill="FFFFFF"/>
            <w:noWrap/>
            <w:vAlign w:val="bottom"/>
            <w:hideMark/>
          </w:tcPr>
          <w:p w14:paraId="0A1CBA2F" w14:textId="77777777" w:rsidR="00B56301" w:rsidRPr="00364545" w:rsidRDefault="00B56301" w:rsidP="00B37B65">
            <w:pPr>
              <w:jc w:val="right"/>
              <w:rPr>
                <w:rFonts w:asciiTheme="minorHAnsi" w:hAnsiTheme="minorHAnsi"/>
                <w:sz w:val="16"/>
                <w:szCs w:val="16"/>
              </w:rPr>
            </w:pPr>
            <w:r w:rsidRPr="00364545">
              <w:rPr>
                <w:sz w:val="16"/>
              </w:rPr>
              <w:t>4,81</w:t>
            </w:r>
          </w:p>
        </w:tc>
        <w:tc>
          <w:tcPr>
            <w:tcW w:w="991" w:type="dxa"/>
            <w:tcBorders>
              <w:top w:val="nil"/>
              <w:left w:val="nil"/>
              <w:bottom w:val="single" w:sz="4" w:space="0" w:color="auto"/>
              <w:right w:val="single" w:sz="4" w:space="0" w:color="auto"/>
            </w:tcBorders>
            <w:shd w:val="clear" w:color="000000" w:fill="FFFFFF"/>
            <w:noWrap/>
            <w:vAlign w:val="bottom"/>
            <w:hideMark/>
          </w:tcPr>
          <w:p w14:paraId="0B1F50C7" w14:textId="77777777" w:rsidR="00B56301" w:rsidRPr="00364545" w:rsidRDefault="00B56301" w:rsidP="00B37B65">
            <w:pPr>
              <w:jc w:val="right"/>
              <w:rPr>
                <w:rFonts w:asciiTheme="minorHAnsi" w:hAnsiTheme="minorHAnsi"/>
                <w:sz w:val="16"/>
                <w:szCs w:val="16"/>
              </w:rPr>
            </w:pPr>
            <w:r w:rsidRPr="00364545">
              <w:rPr>
                <w:sz w:val="16"/>
              </w:rPr>
              <w:t>4,67</w:t>
            </w:r>
          </w:p>
        </w:tc>
      </w:tr>
      <w:tr w:rsidR="00B56301" w:rsidRPr="00364545" w14:paraId="67EB172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4E92240" w14:textId="0873711B"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4. 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0ED3E6F7" w14:textId="77777777" w:rsidR="00B56301" w:rsidRPr="00364545" w:rsidRDefault="00B56301" w:rsidP="00B37B65">
            <w:pPr>
              <w:jc w:val="right"/>
              <w:rPr>
                <w:rFonts w:asciiTheme="minorHAnsi" w:hAnsiTheme="minorHAnsi"/>
                <w:sz w:val="16"/>
                <w:szCs w:val="16"/>
              </w:rPr>
            </w:pPr>
            <w:r w:rsidRPr="00364545">
              <w:rPr>
                <w:sz w:val="16"/>
              </w:rPr>
              <w:t>4,95</w:t>
            </w:r>
          </w:p>
        </w:tc>
        <w:tc>
          <w:tcPr>
            <w:tcW w:w="991" w:type="dxa"/>
            <w:tcBorders>
              <w:top w:val="nil"/>
              <w:left w:val="nil"/>
              <w:bottom w:val="single" w:sz="4" w:space="0" w:color="auto"/>
              <w:right w:val="single" w:sz="4" w:space="0" w:color="auto"/>
            </w:tcBorders>
            <w:shd w:val="clear" w:color="000000" w:fill="FFFFFF"/>
            <w:noWrap/>
            <w:vAlign w:val="bottom"/>
            <w:hideMark/>
          </w:tcPr>
          <w:p w14:paraId="725052EA" w14:textId="77777777" w:rsidR="00B56301" w:rsidRPr="00364545" w:rsidRDefault="00B56301" w:rsidP="00B37B65">
            <w:pPr>
              <w:jc w:val="right"/>
              <w:rPr>
                <w:rFonts w:asciiTheme="minorHAnsi" w:hAnsiTheme="minorHAnsi"/>
                <w:sz w:val="16"/>
                <w:szCs w:val="16"/>
              </w:rPr>
            </w:pPr>
            <w:r w:rsidRPr="00364545">
              <w:rPr>
                <w:sz w:val="16"/>
              </w:rPr>
              <w:t>5,12</w:t>
            </w:r>
          </w:p>
        </w:tc>
        <w:tc>
          <w:tcPr>
            <w:tcW w:w="991" w:type="dxa"/>
            <w:tcBorders>
              <w:top w:val="nil"/>
              <w:left w:val="nil"/>
              <w:bottom w:val="single" w:sz="4" w:space="0" w:color="auto"/>
              <w:right w:val="single" w:sz="4" w:space="0" w:color="auto"/>
            </w:tcBorders>
            <w:shd w:val="clear" w:color="000000" w:fill="FFFFFF"/>
            <w:noWrap/>
            <w:vAlign w:val="bottom"/>
            <w:hideMark/>
          </w:tcPr>
          <w:p w14:paraId="0E89DC43" w14:textId="77777777" w:rsidR="00B56301" w:rsidRPr="00364545" w:rsidRDefault="00B56301" w:rsidP="00B37B65">
            <w:pPr>
              <w:jc w:val="right"/>
              <w:rPr>
                <w:rFonts w:asciiTheme="minorHAnsi" w:hAnsiTheme="minorHAnsi"/>
                <w:sz w:val="16"/>
                <w:szCs w:val="16"/>
              </w:rPr>
            </w:pPr>
            <w:r w:rsidRPr="00364545">
              <w:rPr>
                <w:sz w:val="16"/>
              </w:rPr>
              <w:t>4,93</w:t>
            </w:r>
          </w:p>
        </w:tc>
        <w:tc>
          <w:tcPr>
            <w:tcW w:w="991" w:type="dxa"/>
            <w:tcBorders>
              <w:top w:val="nil"/>
              <w:left w:val="nil"/>
              <w:bottom w:val="single" w:sz="4" w:space="0" w:color="auto"/>
              <w:right w:val="single" w:sz="4" w:space="0" w:color="auto"/>
            </w:tcBorders>
            <w:shd w:val="clear" w:color="000000" w:fill="FFFFFF"/>
            <w:noWrap/>
            <w:vAlign w:val="bottom"/>
            <w:hideMark/>
          </w:tcPr>
          <w:p w14:paraId="59D3B68D" w14:textId="77777777" w:rsidR="00B56301" w:rsidRPr="00364545" w:rsidRDefault="00B56301" w:rsidP="00B37B65">
            <w:pPr>
              <w:jc w:val="right"/>
              <w:rPr>
                <w:rFonts w:asciiTheme="minorHAnsi" w:hAnsiTheme="minorHAnsi"/>
                <w:sz w:val="16"/>
                <w:szCs w:val="16"/>
              </w:rPr>
            </w:pPr>
            <w:r w:rsidRPr="00364545">
              <w:rPr>
                <w:sz w:val="16"/>
              </w:rPr>
              <w:t>4,97</w:t>
            </w:r>
          </w:p>
        </w:tc>
        <w:tc>
          <w:tcPr>
            <w:tcW w:w="991" w:type="dxa"/>
            <w:tcBorders>
              <w:top w:val="nil"/>
              <w:left w:val="nil"/>
              <w:bottom w:val="single" w:sz="4" w:space="0" w:color="auto"/>
              <w:right w:val="single" w:sz="4" w:space="0" w:color="auto"/>
            </w:tcBorders>
            <w:shd w:val="clear" w:color="000000" w:fill="FFFFFF"/>
            <w:noWrap/>
            <w:vAlign w:val="bottom"/>
            <w:hideMark/>
          </w:tcPr>
          <w:p w14:paraId="2A0F329D" w14:textId="77777777" w:rsidR="00B56301" w:rsidRPr="00364545" w:rsidRDefault="00B56301" w:rsidP="00B37B65">
            <w:pPr>
              <w:jc w:val="right"/>
              <w:rPr>
                <w:rFonts w:asciiTheme="minorHAnsi" w:hAnsiTheme="minorHAnsi"/>
                <w:sz w:val="16"/>
                <w:szCs w:val="16"/>
              </w:rPr>
            </w:pPr>
            <w:r w:rsidRPr="00364545">
              <w:rPr>
                <w:sz w:val="16"/>
              </w:rPr>
              <w:t>4,93</w:t>
            </w:r>
          </w:p>
        </w:tc>
        <w:tc>
          <w:tcPr>
            <w:tcW w:w="991" w:type="dxa"/>
            <w:tcBorders>
              <w:top w:val="nil"/>
              <w:left w:val="nil"/>
              <w:bottom w:val="single" w:sz="4" w:space="0" w:color="auto"/>
              <w:right w:val="single" w:sz="4" w:space="0" w:color="auto"/>
            </w:tcBorders>
            <w:shd w:val="clear" w:color="000000" w:fill="FFFFFF"/>
            <w:noWrap/>
            <w:vAlign w:val="bottom"/>
            <w:hideMark/>
          </w:tcPr>
          <w:p w14:paraId="24158063" w14:textId="77777777" w:rsidR="00B56301" w:rsidRPr="00364545" w:rsidRDefault="00B56301" w:rsidP="00B37B65">
            <w:pPr>
              <w:jc w:val="right"/>
              <w:rPr>
                <w:rFonts w:asciiTheme="minorHAnsi" w:hAnsiTheme="minorHAnsi"/>
                <w:sz w:val="16"/>
                <w:szCs w:val="16"/>
              </w:rPr>
            </w:pPr>
            <w:r w:rsidRPr="00364545">
              <w:rPr>
                <w:sz w:val="16"/>
              </w:rPr>
              <w:t>4,85</w:t>
            </w:r>
          </w:p>
        </w:tc>
      </w:tr>
      <w:tr w:rsidR="00B56301" w:rsidRPr="00364545" w14:paraId="011CF1E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0E40E0E" w14:textId="4FC6CBE9"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5. Other</w:t>
            </w:r>
          </w:p>
        </w:tc>
        <w:tc>
          <w:tcPr>
            <w:tcW w:w="991" w:type="dxa"/>
            <w:tcBorders>
              <w:top w:val="nil"/>
              <w:left w:val="nil"/>
              <w:bottom w:val="single" w:sz="4" w:space="0" w:color="auto"/>
              <w:right w:val="single" w:sz="4" w:space="0" w:color="auto"/>
            </w:tcBorders>
            <w:shd w:val="clear" w:color="000000" w:fill="FFFFFF"/>
            <w:noWrap/>
            <w:vAlign w:val="bottom"/>
            <w:hideMark/>
          </w:tcPr>
          <w:p w14:paraId="07FC1597"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6CD507E9" w14:textId="77777777" w:rsidR="00B56301" w:rsidRPr="00364545" w:rsidRDefault="00B56301" w:rsidP="00B37B65">
            <w:pPr>
              <w:jc w:val="right"/>
              <w:rPr>
                <w:rFonts w:asciiTheme="minorHAnsi" w:hAnsiTheme="minorHAnsi"/>
                <w:sz w:val="16"/>
                <w:szCs w:val="16"/>
              </w:rPr>
            </w:pPr>
            <w:r w:rsidRPr="00364545">
              <w:rPr>
                <w:sz w:val="16"/>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439D6F7A" w14:textId="77777777" w:rsidR="00B56301" w:rsidRPr="00364545" w:rsidRDefault="00B56301" w:rsidP="00B37B65">
            <w:pPr>
              <w:jc w:val="right"/>
              <w:rPr>
                <w:rFonts w:asciiTheme="minorHAnsi" w:hAnsiTheme="minorHAnsi"/>
                <w:sz w:val="16"/>
                <w:szCs w:val="16"/>
              </w:rPr>
            </w:pPr>
            <w:r w:rsidRPr="00364545">
              <w:rPr>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09CA82A6"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902E04A"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E634363" w14:textId="77777777" w:rsidR="00B56301" w:rsidRPr="00364545" w:rsidRDefault="00B56301" w:rsidP="00B37B65">
            <w:pPr>
              <w:jc w:val="right"/>
              <w:rPr>
                <w:rFonts w:asciiTheme="minorHAnsi" w:hAnsiTheme="minorHAnsi"/>
                <w:sz w:val="16"/>
                <w:szCs w:val="16"/>
              </w:rPr>
            </w:pPr>
            <w:r w:rsidRPr="00364545">
              <w:rPr>
                <w:sz w:val="16"/>
              </w:rPr>
              <w:t>0,05</w:t>
            </w:r>
          </w:p>
        </w:tc>
      </w:tr>
      <w:tr w:rsidR="00B56301" w:rsidRPr="00364545" w14:paraId="2687671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E78E297"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0E999320" w14:textId="77777777" w:rsidR="00B56301" w:rsidRPr="00364545" w:rsidRDefault="00B56301" w:rsidP="00B37B65">
            <w:pPr>
              <w:jc w:val="right"/>
              <w:rPr>
                <w:rFonts w:asciiTheme="minorHAnsi" w:hAnsiTheme="minorHAnsi"/>
                <w:sz w:val="16"/>
                <w:szCs w:val="16"/>
              </w:rPr>
            </w:pPr>
            <w:r w:rsidRPr="00364545">
              <w:rPr>
                <w:sz w:val="16"/>
              </w:rPr>
              <w:t>0,09</w:t>
            </w:r>
          </w:p>
        </w:tc>
        <w:tc>
          <w:tcPr>
            <w:tcW w:w="991" w:type="dxa"/>
            <w:tcBorders>
              <w:top w:val="nil"/>
              <w:left w:val="nil"/>
              <w:bottom w:val="single" w:sz="4" w:space="0" w:color="auto"/>
              <w:right w:val="single" w:sz="4" w:space="0" w:color="auto"/>
            </w:tcBorders>
            <w:shd w:val="clear" w:color="000000" w:fill="CCFFFF"/>
            <w:noWrap/>
            <w:vAlign w:val="bottom"/>
            <w:hideMark/>
          </w:tcPr>
          <w:p w14:paraId="34ADF084"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0FF0D325"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24E0E818"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6334964A" w14:textId="77777777" w:rsidR="00B56301" w:rsidRPr="00364545" w:rsidRDefault="00B56301" w:rsidP="00B37B65">
            <w:pPr>
              <w:jc w:val="right"/>
              <w:rPr>
                <w:rFonts w:asciiTheme="minorHAnsi" w:hAnsiTheme="minorHAnsi"/>
                <w:sz w:val="16"/>
                <w:szCs w:val="16"/>
              </w:rPr>
            </w:pPr>
            <w:r w:rsidRPr="00364545">
              <w:rPr>
                <w:sz w:val="16"/>
              </w:rPr>
              <w:t>0,09</w:t>
            </w:r>
          </w:p>
        </w:tc>
        <w:tc>
          <w:tcPr>
            <w:tcW w:w="991" w:type="dxa"/>
            <w:tcBorders>
              <w:top w:val="nil"/>
              <w:left w:val="nil"/>
              <w:bottom w:val="single" w:sz="4" w:space="0" w:color="auto"/>
              <w:right w:val="single" w:sz="4" w:space="0" w:color="auto"/>
            </w:tcBorders>
            <w:shd w:val="clear" w:color="000000" w:fill="CCFFFF"/>
            <w:noWrap/>
            <w:vAlign w:val="bottom"/>
            <w:hideMark/>
          </w:tcPr>
          <w:p w14:paraId="73769036" w14:textId="77777777" w:rsidR="00B56301" w:rsidRPr="00364545" w:rsidRDefault="00B56301" w:rsidP="00B37B65">
            <w:pPr>
              <w:jc w:val="right"/>
              <w:rPr>
                <w:rFonts w:asciiTheme="minorHAnsi" w:hAnsiTheme="minorHAnsi"/>
                <w:sz w:val="16"/>
                <w:szCs w:val="16"/>
              </w:rPr>
            </w:pPr>
            <w:r w:rsidRPr="00364545">
              <w:rPr>
                <w:sz w:val="16"/>
              </w:rPr>
              <w:t>0,10</w:t>
            </w:r>
          </w:p>
        </w:tc>
      </w:tr>
      <w:tr w:rsidR="00B56301" w:rsidRPr="00364545" w14:paraId="463CF27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389F655" w14:textId="18897ED7"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4EBBD7B8"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74F9A91"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3E975A7"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E5384BA"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5178D1E"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38D7E8E"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22D93C4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B2D9F43" w14:textId="6DD3C5BC"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10438863" w14:textId="77777777" w:rsidR="00B56301" w:rsidRPr="00364545" w:rsidRDefault="00B56301" w:rsidP="00B37B65">
            <w:pPr>
              <w:jc w:val="right"/>
              <w:rPr>
                <w:rFonts w:asciiTheme="minorHAnsi" w:hAnsiTheme="minorHAnsi"/>
                <w:sz w:val="16"/>
                <w:szCs w:val="16"/>
              </w:rPr>
            </w:pPr>
            <w:r w:rsidRPr="00364545">
              <w:rPr>
                <w:sz w:val="16"/>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09D3F68A"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23A5C4EE"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2980AC2A"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48598898" w14:textId="77777777" w:rsidR="00B56301" w:rsidRPr="00364545" w:rsidRDefault="00B56301" w:rsidP="00B37B65">
            <w:pPr>
              <w:jc w:val="right"/>
              <w:rPr>
                <w:rFonts w:asciiTheme="minorHAnsi" w:hAnsiTheme="minorHAnsi"/>
                <w:sz w:val="16"/>
                <w:szCs w:val="16"/>
              </w:rPr>
            </w:pPr>
            <w:r w:rsidRPr="00364545">
              <w:rPr>
                <w:sz w:val="16"/>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2DDA180B" w14:textId="77777777" w:rsidR="00B56301" w:rsidRPr="00364545" w:rsidRDefault="00B56301" w:rsidP="00B37B65">
            <w:pPr>
              <w:jc w:val="right"/>
              <w:rPr>
                <w:rFonts w:asciiTheme="minorHAnsi" w:hAnsiTheme="minorHAnsi"/>
                <w:sz w:val="16"/>
                <w:szCs w:val="16"/>
              </w:rPr>
            </w:pPr>
            <w:r w:rsidRPr="00364545">
              <w:rPr>
                <w:sz w:val="16"/>
              </w:rPr>
              <w:t>0,10</w:t>
            </w:r>
          </w:p>
        </w:tc>
      </w:tr>
      <w:tr w:rsidR="00B56301" w:rsidRPr="00364545" w14:paraId="0374AE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E976CA" w14:textId="1914331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517EC97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802FEC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5F3B82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EDB1E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CEA1B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1DD4A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3876D8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52047F" w14:textId="7055B002"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2. 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1B834665" w14:textId="77777777" w:rsidR="00B56301" w:rsidRPr="00364545" w:rsidRDefault="00B56301" w:rsidP="00B37B65">
            <w:pPr>
              <w:jc w:val="right"/>
              <w:rPr>
                <w:rFonts w:asciiTheme="minorHAnsi" w:hAnsiTheme="minorHAnsi"/>
                <w:sz w:val="16"/>
                <w:szCs w:val="16"/>
              </w:rPr>
            </w:pPr>
            <w:r w:rsidRPr="00364545">
              <w:rPr>
                <w:sz w:val="16"/>
              </w:rPr>
              <w:t>87,02</w:t>
            </w:r>
          </w:p>
        </w:tc>
        <w:tc>
          <w:tcPr>
            <w:tcW w:w="991" w:type="dxa"/>
            <w:tcBorders>
              <w:top w:val="nil"/>
              <w:left w:val="nil"/>
              <w:bottom w:val="single" w:sz="4" w:space="0" w:color="auto"/>
              <w:right w:val="single" w:sz="4" w:space="0" w:color="auto"/>
            </w:tcBorders>
            <w:shd w:val="clear" w:color="000000" w:fill="CCFFFF"/>
            <w:noWrap/>
            <w:vAlign w:val="bottom"/>
            <w:hideMark/>
          </w:tcPr>
          <w:p w14:paraId="16304465" w14:textId="77777777" w:rsidR="00B56301" w:rsidRPr="00364545" w:rsidRDefault="00B56301" w:rsidP="00B37B65">
            <w:pPr>
              <w:jc w:val="right"/>
              <w:rPr>
                <w:rFonts w:asciiTheme="minorHAnsi" w:hAnsiTheme="minorHAnsi"/>
                <w:sz w:val="16"/>
                <w:szCs w:val="16"/>
              </w:rPr>
            </w:pPr>
            <w:r w:rsidRPr="00364545">
              <w:rPr>
                <w:sz w:val="16"/>
              </w:rPr>
              <w:t>88,65</w:t>
            </w:r>
          </w:p>
        </w:tc>
        <w:tc>
          <w:tcPr>
            <w:tcW w:w="991" w:type="dxa"/>
            <w:tcBorders>
              <w:top w:val="nil"/>
              <w:left w:val="nil"/>
              <w:bottom w:val="single" w:sz="4" w:space="0" w:color="auto"/>
              <w:right w:val="single" w:sz="4" w:space="0" w:color="auto"/>
            </w:tcBorders>
            <w:shd w:val="clear" w:color="000000" w:fill="CCFFFF"/>
            <w:noWrap/>
            <w:vAlign w:val="bottom"/>
            <w:hideMark/>
          </w:tcPr>
          <w:p w14:paraId="54BC96E7" w14:textId="77777777" w:rsidR="00B56301" w:rsidRPr="00364545" w:rsidRDefault="00B56301" w:rsidP="00B37B65">
            <w:pPr>
              <w:jc w:val="right"/>
              <w:rPr>
                <w:rFonts w:asciiTheme="minorHAnsi" w:hAnsiTheme="minorHAnsi"/>
                <w:sz w:val="16"/>
                <w:szCs w:val="16"/>
              </w:rPr>
            </w:pPr>
            <w:r w:rsidRPr="00364545">
              <w:rPr>
                <w:sz w:val="16"/>
              </w:rPr>
              <w:t>86,69</w:t>
            </w:r>
          </w:p>
        </w:tc>
        <w:tc>
          <w:tcPr>
            <w:tcW w:w="991" w:type="dxa"/>
            <w:tcBorders>
              <w:top w:val="nil"/>
              <w:left w:val="nil"/>
              <w:bottom w:val="single" w:sz="4" w:space="0" w:color="auto"/>
              <w:right w:val="single" w:sz="4" w:space="0" w:color="auto"/>
            </w:tcBorders>
            <w:shd w:val="clear" w:color="000000" w:fill="CCFFFF"/>
            <w:noWrap/>
            <w:vAlign w:val="bottom"/>
            <w:hideMark/>
          </w:tcPr>
          <w:p w14:paraId="61F60F4E" w14:textId="77777777" w:rsidR="00B56301" w:rsidRPr="00364545" w:rsidRDefault="00B56301" w:rsidP="00B37B65">
            <w:pPr>
              <w:jc w:val="right"/>
              <w:rPr>
                <w:rFonts w:asciiTheme="minorHAnsi" w:hAnsiTheme="minorHAnsi"/>
                <w:sz w:val="16"/>
                <w:szCs w:val="16"/>
              </w:rPr>
            </w:pPr>
            <w:r w:rsidRPr="00364545">
              <w:rPr>
                <w:sz w:val="16"/>
              </w:rPr>
              <w:t>62,51</w:t>
            </w:r>
          </w:p>
        </w:tc>
        <w:tc>
          <w:tcPr>
            <w:tcW w:w="991" w:type="dxa"/>
            <w:tcBorders>
              <w:top w:val="nil"/>
              <w:left w:val="nil"/>
              <w:bottom w:val="single" w:sz="4" w:space="0" w:color="auto"/>
              <w:right w:val="single" w:sz="4" w:space="0" w:color="auto"/>
            </w:tcBorders>
            <w:shd w:val="clear" w:color="000000" w:fill="CCFFFF"/>
            <w:noWrap/>
            <w:vAlign w:val="bottom"/>
            <w:hideMark/>
          </w:tcPr>
          <w:p w14:paraId="37B6190D" w14:textId="77777777" w:rsidR="00B56301" w:rsidRPr="00364545" w:rsidRDefault="00B56301" w:rsidP="00B37B65">
            <w:pPr>
              <w:jc w:val="right"/>
              <w:rPr>
                <w:rFonts w:asciiTheme="minorHAnsi" w:hAnsiTheme="minorHAnsi"/>
                <w:sz w:val="16"/>
                <w:szCs w:val="16"/>
              </w:rPr>
            </w:pPr>
            <w:r w:rsidRPr="00364545">
              <w:rPr>
                <w:sz w:val="16"/>
              </w:rPr>
              <w:t>44,95</w:t>
            </w:r>
          </w:p>
        </w:tc>
        <w:tc>
          <w:tcPr>
            <w:tcW w:w="991" w:type="dxa"/>
            <w:tcBorders>
              <w:top w:val="nil"/>
              <w:left w:val="nil"/>
              <w:bottom w:val="single" w:sz="4" w:space="0" w:color="auto"/>
              <w:right w:val="single" w:sz="4" w:space="0" w:color="auto"/>
            </w:tcBorders>
            <w:shd w:val="clear" w:color="000000" w:fill="CCFFFF"/>
            <w:noWrap/>
            <w:vAlign w:val="bottom"/>
            <w:hideMark/>
          </w:tcPr>
          <w:p w14:paraId="5FEBC8E9" w14:textId="77777777" w:rsidR="00B56301" w:rsidRPr="00364545" w:rsidRDefault="00B56301" w:rsidP="00B37B65">
            <w:pPr>
              <w:jc w:val="right"/>
              <w:rPr>
                <w:rFonts w:asciiTheme="minorHAnsi" w:hAnsiTheme="minorHAnsi"/>
                <w:sz w:val="16"/>
                <w:szCs w:val="16"/>
              </w:rPr>
            </w:pPr>
            <w:r w:rsidRPr="00364545">
              <w:rPr>
                <w:sz w:val="16"/>
              </w:rPr>
              <w:t>40,01</w:t>
            </w:r>
          </w:p>
        </w:tc>
      </w:tr>
      <w:tr w:rsidR="00B56301" w:rsidRPr="00364545" w14:paraId="69F20F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D81E0E9" w14:textId="224E408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6A9E10B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F39CD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D58B1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3461C7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BFE28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61CC93"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23F684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64785C6" w14:textId="2F0E4200"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00E3ABFD" w14:textId="77777777" w:rsidR="00B56301" w:rsidRPr="00364545" w:rsidRDefault="00B56301" w:rsidP="00B37B65">
            <w:pPr>
              <w:jc w:val="right"/>
              <w:rPr>
                <w:rFonts w:asciiTheme="minorHAnsi" w:hAnsiTheme="minorHAnsi"/>
                <w:sz w:val="16"/>
                <w:szCs w:val="16"/>
              </w:rPr>
            </w:pPr>
            <w:r w:rsidRPr="00364545">
              <w:rPr>
                <w:sz w:val="16"/>
              </w:rPr>
              <w:t>86,60</w:t>
            </w:r>
          </w:p>
        </w:tc>
        <w:tc>
          <w:tcPr>
            <w:tcW w:w="991" w:type="dxa"/>
            <w:tcBorders>
              <w:top w:val="nil"/>
              <w:left w:val="nil"/>
              <w:bottom w:val="single" w:sz="4" w:space="0" w:color="auto"/>
              <w:right w:val="single" w:sz="4" w:space="0" w:color="auto"/>
            </w:tcBorders>
            <w:shd w:val="clear" w:color="000000" w:fill="FFFFFF"/>
            <w:noWrap/>
            <w:vAlign w:val="bottom"/>
            <w:hideMark/>
          </w:tcPr>
          <w:p w14:paraId="3949BF16" w14:textId="77777777" w:rsidR="00B56301" w:rsidRPr="00364545" w:rsidRDefault="00B56301" w:rsidP="00B37B65">
            <w:pPr>
              <w:jc w:val="right"/>
              <w:rPr>
                <w:rFonts w:asciiTheme="minorHAnsi" w:hAnsiTheme="minorHAnsi"/>
                <w:sz w:val="16"/>
                <w:szCs w:val="16"/>
              </w:rPr>
            </w:pPr>
            <w:r w:rsidRPr="00364545">
              <w:rPr>
                <w:sz w:val="16"/>
              </w:rPr>
              <w:t>88,23</w:t>
            </w:r>
          </w:p>
        </w:tc>
        <w:tc>
          <w:tcPr>
            <w:tcW w:w="991" w:type="dxa"/>
            <w:tcBorders>
              <w:top w:val="nil"/>
              <w:left w:val="nil"/>
              <w:bottom w:val="single" w:sz="4" w:space="0" w:color="auto"/>
              <w:right w:val="single" w:sz="4" w:space="0" w:color="auto"/>
            </w:tcBorders>
            <w:shd w:val="clear" w:color="000000" w:fill="FFFFFF"/>
            <w:noWrap/>
            <w:vAlign w:val="bottom"/>
            <w:hideMark/>
          </w:tcPr>
          <w:p w14:paraId="5D346EFB" w14:textId="77777777" w:rsidR="00B56301" w:rsidRPr="00364545" w:rsidRDefault="00B56301" w:rsidP="00B37B65">
            <w:pPr>
              <w:jc w:val="right"/>
              <w:rPr>
                <w:rFonts w:asciiTheme="minorHAnsi" w:hAnsiTheme="minorHAnsi"/>
                <w:sz w:val="16"/>
                <w:szCs w:val="16"/>
              </w:rPr>
            </w:pPr>
            <w:r w:rsidRPr="00364545">
              <w:rPr>
                <w:sz w:val="16"/>
              </w:rPr>
              <w:t>86,26</w:t>
            </w:r>
          </w:p>
        </w:tc>
        <w:tc>
          <w:tcPr>
            <w:tcW w:w="991" w:type="dxa"/>
            <w:tcBorders>
              <w:top w:val="nil"/>
              <w:left w:val="nil"/>
              <w:bottom w:val="single" w:sz="4" w:space="0" w:color="auto"/>
              <w:right w:val="single" w:sz="4" w:space="0" w:color="auto"/>
            </w:tcBorders>
            <w:shd w:val="clear" w:color="000000" w:fill="FFFFFF"/>
            <w:noWrap/>
            <w:vAlign w:val="bottom"/>
            <w:hideMark/>
          </w:tcPr>
          <w:p w14:paraId="3F927D22" w14:textId="77777777" w:rsidR="00B56301" w:rsidRPr="00364545" w:rsidRDefault="00B56301" w:rsidP="00B37B65">
            <w:pPr>
              <w:jc w:val="right"/>
              <w:rPr>
                <w:rFonts w:asciiTheme="minorHAnsi" w:hAnsiTheme="minorHAnsi"/>
                <w:sz w:val="16"/>
                <w:szCs w:val="16"/>
              </w:rPr>
            </w:pPr>
            <w:r w:rsidRPr="00364545">
              <w:rPr>
                <w:sz w:val="16"/>
              </w:rPr>
              <w:t>62,08</w:t>
            </w:r>
          </w:p>
        </w:tc>
        <w:tc>
          <w:tcPr>
            <w:tcW w:w="991" w:type="dxa"/>
            <w:tcBorders>
              <w:top w:val="nil"/>
              <w:left w:val="nil"/>
              <w:bottom w:val="single" w:sz="4" w:space="0" w:color="auto"/>
              <w:right w:val="single" w:sz="4" w:space="0" w:color="auto"/>
            </w:tcBorders>
            <w:shd w:val="clear" w:color="000000" w:fill="FFFFFF"/>
            <w:noWrap/>
            <w:vAlign w:val="bottom"/>
            <w:hideMark/>
          </w:tcPr>
          <w:p w14:paraId="71D7550B" w14:textId="77777777" w:rsidR="00B56301" w:rsidRPr="00364545" w:rsidRDefault="00B56301" w:rsidP="00B37B65">
            <w:pPr>
              <w:jc w:val="right"/>
              <w:rPr>
                <w:rFonts w:asciiTheme="minorHAnsi" w:hAnsiTheme="minorHAnsi"/>
                <w:sz w:val="16"/>
                <w:szCs w:val="16"/>
              </w:rPr>
            </w:pPr>
            <w:r w:rsidRPr="00364545">
              <w:rPr>
                <w:sz w:val="16"/>
              </w:rPr>
              <w:t>44,53</w:t>
            </w:r>
          </w:p>
        </w:tc>
        <w:tc>
          <w:tcPr>
            <w:tcW w:w="991" w:type="dxa"/>
            <w:tcBorders>
              <w:top w:val="nil"/>
              <w:left w:val="nil"/>
              <w:bottom w:val="single" w:sz="4" w:space="0" w:color="auto"/>
              <w:right w:val="single" w:sz="4" w:space="0" w:color="auto"/>
            </w:tcBorders>
            <w:shd w:val="clear" w:color="000000" w:fill="FFFFFF"/>
            <w:noWrap/>
            <w:vAlign w:val="bottom"/>
            <w:hideMark/>
          </w:tcPr>
          <w:p w14:paraId="6CE68313" w14:textId="77777777" w:rsidR="00B56301" w:rsidRPr="00364545" w:rsidRDefault="00B56301" w:rsidP="00B37B65">
            <w:pPr>
              <w:jc w:val="right"/>
              <w:rPr>
                <w:rFonts w:asciiTheme="minorHAnsi" w:hAnsiTheme="minorHAnsi"/>
                <w:sz w:val="16"/>
                <w:szCs w:val="16"/>
              </w:rPr>
            </w:pPr>
            <w:r w:rsidRPr="00364545">
              <w:rPr>
                <w:sz w:val="16"/>
              </w:rPr>
              <w:t>39,59</w:t>
            </w:r>
          </w:p>
        </w:tc>
      </w:tr>
      <w:tr w:rsidR="00B56301" w:rsidRPr="00364545" w14:paraId="623C5F5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919B02" w14:textId="5106D45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2DF45C51"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28658EF"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70E8391"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2DA3B1A"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91A1DB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9F334C5"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1BF492C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122EE37" w14:textId="0E0DCFE0"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74198ABF"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2ECA844"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BFFFB51"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6591842"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630480E7"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3ED21175" w14:textId="77777777" w:rsidR="00B56301" w:rsidRPr="00364545" w:rsidRDefault="00B56301" w:rsidP="00B37B65">
            <w:pPr>
              <w:jc w:val="right"/>
              <w:rPr>
                <w:rFonts w:asciiTheme="minorHAnsi" w:hAnsiTheme="minorHAnsi"/>
                <w:sz w:val="16"/>
                <w:szCs w:val="16"/>
              </w:rPr>
            </w:pPr>
            <w:r w:rsidRPr="00364545">
              <w:rPr>
                <w:sz w:val="16"/>
              </w:rPr>
              <w:t>0,01</w:t>
            </w:r>
          </w:p>
        </w:tc>
      </w:tr>
      <w:tr w:rsidR="00B56301" w:rsidRPr="00364545" w14:paraId="3A1475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0B02EB2" w14:textId="42EC80E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51FC17F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2F31A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090708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0394F2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9F0EF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0D2A16"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294289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DEB5084" w14:textId="061A883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077C9C3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81AFA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3CE3C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FA122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A97D82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E4C5CE2"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FD15E7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8E5DE34" w14:textId="42E8A5C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G. 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558A5751" w14:textId="77777777" w:rsidR="00B56301" w:rsidRPr="00364545" w:rsidRDefault="00B56301" w:rsidP="00B37B65">
            <w:pPr>
              <w:jc w:val="right"/>
              <w:rPr>
                <w:rFonts w:asciiTheme="minorHAnsi" w:hAnsiTheme="minorHAnsi"/>
                <w:sz w:val="16"/>
                <w:szCs w:val="16"/>
              </w:rPr>
            </w:pPr>
            <w:r w:rsidRPr="00364545">
              <w:rPr>
                <w:sz w:val="16"/>
              </w:rPr>
              <w:t>0,41</w:t>
            </w:r>
          </w:p>
        </w:tc>
        <w:tc>
          <w:tcPr>
            <w:tcW w:w="991" w:type="dxa"/>
            <w:tcBorders>
              <w:top w:val="nil"/>
              <w:left w:val="nil"/>
              <w:bottom w:val="single" w:sz="4" w:space="0" w:color="auto"/>
              <w:right w:val="single" w:sz="4" w:space="0" w:color="auto"/>
            </w:tcBorders>
            <w:shd w:val="clear" w:color="000000" w:fill="FFFFFF"/>
            <w:noWrap/>
            <w:vAlign w:val="bottom"/>
            <w:hideMark/>
          </w:tcPr>
          <w:p w14:paraId="3744A3E1" w14:textId="77777777" w:rsidR="00B56301" w:rsidRPr="00364545" w:rsidRDefault="00B56301" w:rsidP="00B37B65">
            <w:pPr>
              <w:jc w:val="right"/>
              <w:rPr>
                <w:rFonts w:asciiTheme="minorHAnsi" w:hAnsiTheme="minorHAnsi"/>
                <w:sz w:val="16"/>
                <w:szCs w:val="16"/>
              </w:rPr>
            </w:pPr>
            <w:r w:rsidRPr="00364545">
              <w:rPr>
                <w:sz w:val="16"/>
              </w:rPr>
              <w:t>0,41</w:t>
            </w:r>
          </w:p>
        </w:tc>
        <w:tc>
          <w:tcPr>
            <w:tcW w:w="991" w:type="dxa"/>
            <w:tcBorders>
              <w:top w:val="nil"/>
              <w:left w:val="nil"/>
              <w:bottom w:val="single" w:sz="4" w:space="0" w:color="auto"/>
              <w:right w:val="single" w:sz="4" w:space="0" w:color="auto"/>
            </w:tcBorders>
            <w:shd w:val="clear" w:color="000000" w:fill="FFFFFF"/>
            <w:noWrap/>
            <w:vAlign w:val="bottom"/>
            <w:hideMark/>
          </w:tcPr>
          <w:p w14:paraId="5F4FC654" w14:textId="77777777" w:rsidR="00B56301" w:rsidRPr="00364545" w:rsidRDefault="00B56301" w:rsidP="00B37B65">
            <w:pPr>
              <w:jc w:val="right"/>
              <w:rPr>
                <w:rFonts w:asciiTheme="minorHAnsi" w:hAnsiTheme="minorHAnsi"/>
                <w:sz w:val="16"/>
                <w:szCs w:val="16"/>
              </w:rPr>
            </w:pPr>
            <w:r w:rsidRPr="00364545">
              <w:rPr>
                <w:sz w:val="16"/>
              </w:rPr>
              <w:t>0,41</w:t>
            </w:r>
          </w:p>
        </w:tc>
        <w:tc>
          <w:tcPr>
            <w:tcW w:w="991" w:type="dxa"/>
            <w:tcBorders>
              <w:top w:val="nil"/>
              <w:left w:val="nil"/>
              <w:bottom w:val="single" w:sz="4" w:space="0" w:color="auto"/>
              <w:right w:val="single" w:sz="4" w:space="0" w:color="auto"/>
            </w:tcBorders>
            <w:shd w:val="clear" w:color="000000" w:fill="FFFFFF"/>
            <w:noWrap/>
            <w:vAlign w:val="bottom"/>
            <w:hideMark/>
          </w:tcPr>
          <w:p w14:paraId="12786B52" w14:textId="77777777" w:rsidR="00B56301" w:rsidRPr="00364545" w:rsidRDefault="00B56301" w:rsidP="00B37B65">
            <w:pPr>
              <w:jc w:val="right"/>
              <w:rPr>
                <w:rFonts w:asciiTheme="minorHAnsi" w:hAnsiTheme="minorHAnsi"/>
                <w:sz w:val="16"/>
                <w:szCs w:val="16"/>
              </w:rPr>
            </w:pPr>
            <w:r w:rsidRPr="00364545">
              <w:rPr>
                <w:sz w:val="16"/>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30B9E45C" w14:textId="77777777" w:rsidR="00B56301" w:rsidRPr="00364545" w:rsidRDefault="00B56301" w:rsidP="00B37B65">
            <w:pPr>
              <w:jc w:val="right"/>
              <w:rPr>
                <w:rFonts w:asciiTheme="minorHAnsi" w:hAnsiTheme="minorHAnsi"/>
                <w:sz w:val="16"/>
                <w:szCs w:val="16"/>
              </w:rPr>
            </w:pPr>
            <w:r w:rsidRPr="00364545">
              <w:rPr>
                <w:sz w:val="16"/>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667A6068" w14:textId="77777777" w:rsidR="00B56301" w:rsidRPr="00364545" w:rsidRDefault="00B56301" w:rsidP="00B37B65">
            <w:pPr>
              <w:jc w:val="right"/>
              <w:rPr>
                <w:rFonts w:asciiTheme="minorHAnsi" w:hAnsiTheme="minorHAnsi"/>
                <w:sz w:val="16"/>
                <w:szCs w:val="16"/>
              </w:rPr>
            </w:pPr>
            <w:r w:rsidRPr="00364545">
              <w:rPr>
                <w:sz w:val="16"/>
              </w:rPr>
              <w:t>0,42</w:t>
            </w:r>
          </w:p>
        </w:tc>
      </w:tr>
      <w:tr w:rsidR="00B56301" w:rsidRPr="00364545" w14:paraId="248F757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E217ED4" w14:textId="722DCB6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060B5A12"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C8B09DA"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D05DB90"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4C52EC1"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B9F7D4C"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096CEFC" w14:textId="77777777" w:rsidR="00B56301" w:rsidRPr="00364545" w:rsidRDefault="00B56301" w:rsidP="00B37B65">
            <w:pPr>
              <w:jc w:val="right"/>
              <w:rPr>
                <w:rFonts w:asciiTheme="minorHAnsi" w:hAnsiTheme="minorHAnsi"/>
                <w:sz w:val="16"/>
                <w:szCs w:val="16"/>
              </w:rPr>
            </w:pPr>
            <w:r w:rsidRPr="00364545">
              <w:rPr>
                <w:sz w:val="16"/>
              </w:rPr>
              <w:t>NO,NA</w:t>
            </w:r>
          </w:p>
        </w:tc>
      </w:tr>
      <w:tr w:rsidR="00B56301" w:rsidRPr="00364545" w14:paraId="3A32000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2E9AEB04" w14:textId="61E0A952"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3. 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0836D18C" w14:textId="77777777" w:rsidR="00B56301" w:rsidRPr="00364545" w:rsidRDefault="00B56301" w:rsidP="00B37B65">
            <w:pPr>
              <w:jc w:val="right"/>
              <w:rPr>
                <w:rFonts w:asciiTheme="minorHAnsi" w:hAnsiTheme="minorHAnsi"/>
                <w:sz w:val="16"/>
                <w:szCs w:val="16"/>
              </w:rPr>
            </w:pPr>
            <w:r w:rsidRPr="00364545">
              <w:rPr>
                <w:sz w:val="16"/>
              </w:rPr>
              <w:t>117,99</w:t>
            </w:r>
          </w:p>
        </w:tc>
        <w:tc>
          <w:tcPr>
            <w:tcW w:w="991" w:type="dxa"/>
            <w:tcBorders>
              <w:top w:val="nil"/>
              <w:left w:val="nil"/>
              <w:bottom w:val="single" w:sz="4" w:space="0" w:color="auto"/>
              <w:right w:val="single" w:sz="4" w:space="0" w:color="auto"/>
            </w:tcBorders>
            <w:shd w:val="clear" w:color="000000" w:fill="CCFFFF"/>
            <w:noWrap/>
            <w:vAlign w:val="bottom"/>
            <w:hideMark/>
          </w:tcPr>
          <w:p w14:paraId="3A119A36" w14:textId="77777777" w:rsidR="00B56301" w:rsidRPr="00364545" w:rsidRDefault="00B56301" w:rsidP="00B37B65">
            <w:pPr>
              <w:jc w:val="right"/>
              <w:rPr>
                <w:rFonts w:asciiTheme="minorHAnsi" w:hAnsiTheme="minorHAnsi"/>
                <w:sz w:val="16"/>
                <w:szCs w:val="16"/>
              </w:rPr>
            </w:pPr>
            <w:r w:rsidRPr="00364545">
              <w:rPr>
                <w:sz w:val="16"/>
              </w:rPr>
              <w:t>120,02</w:t>
            </w:r>
          </w:p>
        </w:tc>
        <w:tc>
          <w:tcPr>
            <w:tcW w:w="991" w:type="dxa"/>
            <w:tcBorders>
              <w:top w:val="nil"/>
              <w:left w:val="nil"/>
              <w:bottom w:val="single" w:sz="4" w:space="0" w:color="auto"/>
              <w:right w:val="single" w:sz="4" w:space="0" w:color="auto"/>
            </w:tcBorders>
            <w:shd w:val="clear" w:color="000000" w:fill="CCFFFF"/>
            <w:noWrap/>
            <w:vAlign w:val="bottom"/>
            <w:hideMark/>
          </w:tcPr>
          <w:p w14:paraId="5055E5DA" w14:textId="77777777" w:rsidR="00B56301" w:rsidRPr="00364545" w:rsidRDefault="00B56301" w:rsidP="00B37B65">
            <w:pPr>
              <w:jc w:val="right"/>
              <w:rPr>
                <w:rFonts w:asciiTheme="minorHAnsi" w:hAnsiTheme="minorHAnsi"/>
                <w:sz w:val="16"/>
                <w:szCs w:val="16"/>
              </w:rPr>
            </w:pPr>
            <w:r w:rsidRPr="00364545">
              <w:rPr>
                <w:sz w:val="16"/>
              </w:rPr>
              <w:t>121,15</w:t>
            </w:r>
          </w:p>
        </w:tc>
        <w:tc>
          <w:tcPr>
            <w:tcW w:w="991" w:type="dxa"/>
            <w:tcBorders>
              <w:top w:val="nil"/>
              <w:left w:val="nil"/>
              <w:bottom w:val="single" w:sz="4" w:space="0" w:color="auto"/>
              <w:right w:val="single" w:sz="4" w:space="0" w:color="auto"/>
            </w:tcBorders>
            <w:shd w:val="clear" w:color="000000" w:fill="CCFFFF"/>
            <w:noWrap/>
            <w:vAlign w:val="bottom"/>
            <w:hideMark/>
          </w:tcPr>
          <w:p w14:paraId="0A5FCD0A" w14:textId="77777777" w:rsidR="00B56301" w:rsidRPr="00364545" w:rsidRDefault="00B56301" w:rsidP="00B37B65">
            <w:pPr>
              <w:jc w:val="right"/>
              <w:rPr>
                <w:rFonts w:asciiTheme="minorHAnsi" w:hAnsiTheme="minorHAnsi"/>
                <w:sz w:val="16"/>
                <w:szCs w:val="16"/>
              </w:rPr>
            </w:pPr>
            <w:r w:rsidRPr="00364545">
              <w:rPr>
                <w:sz w:val="16"/>
              </w:rPr>
              <w:t>121,85</w:t>
            </w:r>
          </w:p>
        </w:tc>
        <w:tc>
          <w:tcPr>
            <w:tcW w:w="991" w:type="dxa"/>
            <w:tcBorders>
              <w:top w:val="nil"/>
              <w:left w:val="nil"/>
              <w:bottom w:val="single" w:sz="4" w:space="0" w:color="auto"/>
              <w:right w:val="single" w:sz="4" w:space="0" w:color="auto"/>
            </w:tcBorders>
            <w:shd w:val="clear" w:color="000000" w:fill="CCFFFF"/>
            <w:noWrap/>
            <w:vAlign w:val="bottom"/>
            <w:hideMark/>
          </w:tcPr>
          <w:p w14:paraId="1849C13E" w14:textId="77777777" w:rsidR="00B56301" w:rsidRPr="00364545" w:rsidRDefault="00B56301" w:rsidP="00B37B65">
            <w:pPr>
              <w:jc w:val="right"/>
              <w:rPr>
                <w:rFonts w:asciiTheme="minorHAnsi" w:hAnsiTheme="minorHAnsi"/>
                <w:sz w:val="16"/>
                <w:szCs w:val="16"/>
              </w:rPr>
            </w:pPr>
            <w:r w:rsidRPr="00364545">
              <w:rPr>
                <w:sz w:val="16"/>
              </w:rPr>
              <w:t>122,76</w:t>
            </w:r>
          </w:p>
        </w:tc>
        <w:tc>
          <w:tcPr>
            <w:tcW w:w="991" w:type="dxa"/>
            <w:tcBorders>
              <w:top w:val="nil"/>
              <w:left w:val="nil"/>
              <w:bottom w:val="single" w:sz="4" w:space="0" w:color="auto"/>
              <w:right w:val="single" w:sz="4" w:space="0" w:color="auto"/>
            </w:tcBorders>
            <w:shd w:val="clear" w:color="000000" w:fill="CCFFFF"/>
            <w:noWrap/>
            <w:vAlign w:val="bottom"/>
            <w:hideMark/>
          </w:tcPr>
          <w:p w14:paraId="60871B5F" w14:textId="77777777" w:rsidR="00B56301" w:rsidRPr="00364545" w:rsidRDefault="00B56301" w:rsidP="00B37B65">
            <w:pPr>
              <w:jc w:val="right"/>
              <w:rPr>
                <w:rFonts w:asciiTheme="minorHAnsi" w:hAnsiTheme="minorHAnsi"/>
                <w:sz w:val="16"/>
                <w:szCs w:val="16"/>
              </w:rPr>
            </w:pPr>
            <w:r w:rsidRPr="00364545">
              <w:rPr>
                <w:sz w:val="16"/>
              </w:rPr>
              <w:t>124,52</w:t>
            </w:r>
          </w:p>
        </w:tc>
      </w:tr>
      <w:tr w:rsidR="00B56301" w:rsidRPr="00364545" w14:paraId="2469820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B37D154" w14:textId="02CCA18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Enteric fermentation</w:t>
            </w:r>
          </w:p>
        </w:tc>
        <w:tc>
          <w:tcPr>
            <w:tcW w:w="991" w:type="dxa"/>
            <w:tcBorders>
              <w:top w:val="nil"/>
              <w:left w:val="nil"/>
              <w:bottom w:val="single" w:sz="4" w:space="0" w:color="auto"/>
              <w:right w:val="single" w:sz="4" w:space="0" w:color="auto"/>
            </w:tcBorders>
            <w:shd w:val="clear" w:color="000000" w:fill="969696"/>
            <w:noWrap/>
            <w:vAlign w:val="bottom"/>
            <w:hideMark/>
          </w:tcPr>
          <w:p w14:paraId="1766539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A28E8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43428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5C6C0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A8C50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9B3C69"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AC6681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AF1AF0" w14:textId="7F5CAF3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1EA970CF" w14:textId="77777777" w:rsidR="00B56301" w:rsidRPr="00364545" w:rsidRDefault="00B56301" w:rsidP="00B37B65">
            <w:pPr>
              <w:jc w:val="right"/>
              <w:rPr>
                <w:rFonts w:asciiTheme="minorHAnsi" w:hAnsiTheme="minorHAnsi"/>
                <w:sz w:val="16"/>
                <w:szCs w:val="16"/>
              </w:rPr>
            </w:pPr>
            <w:r w:rsidRPr="00364545">
              <w:rPr>
                <w:sz w:val="16"/>
              </w:rPr>
              <w:t>9,17</w:t>
            </w:r>
          </w:p>
        </w:tc>
        <w:tc>
          <w:tcPr>
            <w:tcW w:w="991" w:type="dxa"/>
            <w:tcBorders>
              <w:top w:val="nil"/>
              <w:left w:val="nil"/>
              <w:bottom w:val="single" w:sz="4" w:space="0" w:color="auto"/>
              <w:right w:val="single" w:sz="4" w:space="0" w:color="auto"/>
            </w:tcBorders>
            <w:shd w:val="clear" w:color="000000" w:fill="FFFFFF"/>
            <w:noWrap/>
            <w:vAlign w:val="bottom"/>
            <w:hideMark/>
          </w:tcPr>
          <w:p w14:paraId="65598658" w14:textId="77777777" w:rsidR="00B56301" w:rsidRPr="00364545" w:rsidRDefault="00B56301" w:rsidP="00B37B65">
            <w:pPr>
              <w:jc w:val="right"/>
              <w:rPr>
                <w:rFonts w:asciiTheme="minorHAnsi" w:hAnsiTheme="minorHAnsi"/>
                <w:sz w:val="16"/>
                <w:szCs w:val="16"/>
              </w:rPr>
            </w:pPr>
            <w:r w:rsidRPr="00364545">
              <w:rPr>
                <w:sz w:val="16"/>
              </w:rPr>
              <w:t>9,16</w:t>
            </w:r>
          </w:p>
        </w:tc>
        <w:tc>
          <w:tcPr>
            <w:tcW w:w="991" w:type="dxa"/>
            <w:tcBorders>
              <w:top w:val="nil"/>
              <w:left w:val="nil"/>
              <w:bottom w:val="single" w:sz="4" w:space="0" w:color="auto"/>
              <w:right w:val="single" w:sz="4" w:space="0" w:color="auto"/>
            </w:tcBorders>
            <w:shd w:val="clear" w:color="000000" w:fill="FFFFFF"/>
            <w:noWrap/>
            <w:vAlign w:val="bottom"/>
            <w:hideMark/>
          </w:tcPr>
          <w:p w14:paraId="3683D34F" w14:textId="77777777" w:rsidR="00B56301" w:rsidRPr="00364545" w:rsidRDefault="00B56301" w:rsidP="00B37B65">
            <w:pPr>
              <w:jc w:val="right"/>
              <w:rPr>
                <w:rFonts w:asciiTheme="minorHAnsi" w:hAnsiTheme="minorHAnsi"/>
                <w:sz w:val="16"/>
                <w:szCs w:val="16"/>
              </w:rPr>
            </w:pPr>
            <w:r w:rsidRPr="00364545">
              <w:rPr>
                <w:sz w:val="16"/>
              </w:rPr>
              <w:t>9,06</w:t>
            </w:r>
          </w:p>
        </w:tc>
        <w:tc>
          <w:tcPr>
            <w:tcW w:w="991" w:type="dxa"/>
            <w:tcBorders>
              <w:top w:val="nil"/>
              <w:left w:val="nil"/>
              <w:bottom w:val="single" w:sz="4" w:space="0" w:color="auto"/>
              <w:right w:val="single" w:sz="4" w:space="0" w:color="auto"/>
            </w:tcBorders>
            <w:shd w:val="clear" w:color="000000" w:fill="FFFFFF"/>
            <w:noWrap/>
            <w:vAlign w:val="bottom"/>
            <w:hideMark/>
          </w:tcPr>
          <w:p w14:paraId="7A4E4268" w14:textId="77777777" w:rsidR="00B56301" w:rsidRPr="00364545" w:rsidRDefault="00B56301" w:rsidP="00B37B65">
            <w:pPr>
              <w:jc w:val="right"/>
              <w:rPr>
                <w:rFonts w:asciiTheme="minorHAnsi" w:hAnsiTheme="minorHAnsi"/>
                <w:sz w:val="16"/>
                <w:szCs w:val="16"/>
              </w:rPr>
            </w:pPr>
            <w:r w:rsidRPr="00364545">
              <w:rPr>
                <w:sz w:val="16"/>
              </w:rPr>
              <w:t>9,01</w:t>
            </w:r>
          </w:p>
        </w:tc>
        <w:tc>
          <w:tcPr>
            <w:tcW w:w="991" w:type="dxa"/>
            <w:tcBorders>
              <w:top w:val="nil"/>
              <w:left w:val="nil"/>
              <w:bottom w:val="single" w:sz="4" w:space="0" w:color="auto"/>
              <w:right w:val="single" w:sz="4" w:space="0" w:color="auto"/>
            </w:tcBorders>
            <w:shd w:val="clear" w:color="000000" w:fill="FFFFFF"/>
            <w:noWrap/>
            <w:vAlign w:val="bottom"/>
            <w:hideMark/>
          </w:tcPr>
          <w:p w14:paraId="27567F47" w14:textId="77777777" w:rsidR="00B56301" w:rsidRPr="00364545" w:rsidRDefault="00B56301" w:rsidP="00B37B65">
            <w:pPr>
              <w:jc w:val="right"/>
              <w:rPr>
                <w:rFonts w:asciiTheme="minorHAnsi" w:hAnsiTheme="minorHAnsi"/>
                <w:sz w:val="16"/>
                <w:szCs w:val="16"/>
              </w:rPr>
            </w:pPr>
            <w:r w:rsidRPr="00364545">
              <w:rPr>
                <w:sz w:val="16"/>
              </w:rPr>
              <w:t>8,96</w:t>
            </w:r>
          </w:p>
        </w:tc>
        <w:tc>
          <w:tcPr>
            <w:tcW w:w="991" w:type="dxa"/>
            <w:tcBorders>
              <w:top w:val="nil"/>
              <w:left w:val="nil"/>
              <w:bottom w:val="single" w:sz="4" w:space="0" w:color="auto"/>
              <w:right w:val="single" w:sz="4" w:space="0" w:color="auto"/>
            </w:tcBorders>
            <w:shd w:val="clear" w:color="000000" w:fill="FFFFFF"/>
            <w:noWrap/>
            <w:vAlign w:val="bottom"/>
            <w:hideMark/>
          </w:tcPr>
          <w:p w14:paraId="3C5D850F" w14:textId="77777777" w:rsidR="00B56301" w:rsidRPr="00364545" w:rsidRDefault="00B56301" w:rsidP="00B37B65">
            <w:pPr>
              <w:jc w:val="right"/>
              <w:rPr>
                <w:rFonts w:asciiTheme="minorHAnsi" w:hAnsiTheme="minorHAnsi"/>
                <w:sz w:val="16"/>
                <w:szCs w:val="16"/>
              </w:rPr>
            </w:pPr>
            <w:r w:rsidRPr="00364545">
              <w:rPr>
                <w:sz w:val="16"/>
              </w:rPr>
              <w:t>9,24</w:t>
            </w:r>
          </w:p>
        </w:tc>
      </w:tr>
      <w:tr w:rsidR="00B56301" w:rsidRPr="00364545" w14:paraId="20CAC4F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950E4E" w14:textId="21BB03F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Rice cultivation</w:t>
            </w:r>
          </w:p>
        </w:tc>
        <w:tc>
          <w:tcPr>
            <w:tcW w:w="991" w:type="dxa"/>
            <w:tcBorders>
              <w:top w:val="nil"/>
              <w:left w:val="nil"/>
              <w:bottom w:val="single" w:sz="4" w:space="0" w:color="auto"/>
              <w:right w:val="single" w:sz="4" w:space="0" w:color="auto"/>
            </w:tcBorders>
            <w:shd w:val="clear" w:color="000000" w:fill="969696"/>
            <w:noWrap/>
            <w:vAlign w:val="bottom"/>
            <w:hideMark/>
          </w:tcPr>
          <w:p w14:paraId="6952A43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72E90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62DF4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1D6F6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489C5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DA3679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91766E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F3ADF2" w14:textId="1E94C91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2864F1CF" w14:textId="77777777" w:rsidR="00B56301" w:rsidRPr="00364545" w:rsidRDefault="00B56301" w:rsidP="00B37B65">
            <w:pPr>
              <w:jc w:val="right"/>
              <w:rPr>
                <w:rFonts w:asciiTheme="minorHAnsi" w:hAnsiTheme="minorHAnsi"/>
                <w:sz w:val="16"/>
                <w:szCs w:val="16"/>
              </w:rPr>
            </w:pPr>
            <w:r w:rsidRPr="00364545">
              <w:rPr>
                <w:sz w:val="16"/>
              </w:rPr>
              <w:t>108,76</w:t>
            </w:r>
          </w:p>
        </w:tc>
        <w:tc>
          <w:tcPr>
            <w:tcW w:w="991" w:type="dxa"/>
            <w:tcBorders>
              <w:top w:val="nil"/>
              <w:left w:val="nil"/>
              <w:bottom w:val="single" w:sz="4" w:space="0" w:color="auto"/>
              <w:right w:val="single" w:sz="4" w:space="0" w:color="auto"/>
            </w:tcBorders>
            <w:shd w:val="clear" w:color="000000" w:fill="FFFFFF"/>
            <w:noWrap/>
            <w:vAlign w:val="bottom"/>
            <w:hideMark/>
          </w:tcPr>
          <w:p w14:paraId="439D6452" w14:textId="77777777" w:rsidR="00B56301" w:rsidRPr="00364545" w:rsidRDefault="00B56301" w:rsidP="00B37B65">
            <w:pPr>
              <w:jc w:val="right"/>
              <w:rPr>
                <w:rFonts w:asciiTheme="minorHAnsi" w:hAnsiTheme="minorHAnsi"/>
                <w:sz w:val="16"/>
                <w:szCs w:val="16"/>
              </w:rPr>
            </w:pPr>
            <w:r w:rsidRPr="00364545">
              <w:rPr>
                <w:sz w:val="16"/>
              </w:rPr>
              <w:t>110,78</w:t>
            </w:r>
          </w:p>
        </w:tc>
        <w:tc>
          <w:tcPr>
            <w:tcW w:w="991" w:type="dxa"/>
            <w:tcBorders>
              <w:top w:val="nil"/>
              <w:left w:val="nil"/>
              <w:bottom w:val="single" w:sz="4" w:space="0" w:color="auto"/>
              <w:right w:val="single" w:sz="4" w:space="0" w:color="auto"/>
            </w:tcBorders>
            <w:shd w:val="clear" w:color="000000" w:fill="FFFFFF"/>
            <w:noWrap/>
            <w:vAlign w:val="bottom"/>
            <w:hideMark/>
          </w:tcPr>
          <w:p w14:paraId="081E7AA1" w14:textId="77777777" w:rsidR="00B56301" w:rsidRPr="00364545" w:rsidRDefault="00B56301" w:rsidP="00B37B65">
            <w:pPr>
              <w:jc w:val="right"/>
              <w:rPr>
                <w:rFonts w:asciiTheme="minorHAnsi" w:hAnsiTheme="minorHAnsi"/>
                <w:sz w:val="16"/>
                <w:szCs w:val="16"/>
              </w:rPr>
            </w:pPr>
            <w:r w:rsidRPr="00364545">
              <w:rPr>
                <w:sz w:val="16"/>
              </w:rPr>
              <w:t>112,02</w:t>
            </w:r>
          </w:p>
        </w:tc>
        <w:tc>
          <w:tcPr>
            <w:tcW w:w="991" w:type="dxa"/>
            <w:tcBorders>
              <w:top w:val="nil"/>
              <w:left w:val="nil"/>
              <w:bottom w:val="single" w:sz="4" w:space="0" w:color="auto"/>
              <w:right w:val="single" w:sz="4" w:space="0" w:color="auto"/>
            </w:tcBorders>
            <w:shd w:val="clear" w:color="000000" w:fill="FFFFFF"/>
            <w:noWrap/>
            <w:vAlign w:val="bottom"/>
            <w:hideMark/>
          </w:tcPr>
          <w:p w14:paraId="145327FD" w14:textId="77777777" w:rsidR="00B56301" w:rsidRPr="00364545" w:rsidRDefault="00B56301" w:rsidP="00B37B65">
            <w:pPr>
              <w:jc w:val="right"/>
              <w:rPr>
                <w:rFonts w:asciiTheme="minorHAnsi" w:hAnsiTheme="minorHAnsi"/>
                <w:sz w:val="16"/>
                <w:szCs w:val="16"/>
              </w:rPr>
            </w:pPr>
            <w:r w:rsidRPr="00364545">
              <w:rPr>
                <w:sz w:val="16"/>
              </w:rPr>
              <w:t>112,76</w:t>
            </w:r>
          </w:p>
        </w:tc>
        <w:tc>
          <w:tcPr>
            <w:tcW w:w="991" w:type="dxa"/>
            <w:tcBorders>
              <w:top w:val="nil"/>
              <w:left w:val="nil"/>
              <w:bottom w:val="single" w:sz="4" w:space="0" w:color="auto"/>
              <w:right w:val="single" w:sz="4" w:space="0" w:color="auto"/>
            </w:tcBorders>
            <w:shd w:val="clear" w:color="000000" w:fill="FFFFFF"/>
            <w:noWrap/>
            <w:vAlign w:val="bottom"/>
            <w:hideMark/>
          </w:tcPr>
          <w:p w14:paraId="5531E2E9" w14:textId="77777777" w:rsidR="00B56301" w:rsidRPr="00364545" w:rsidRDefault="00B56301" w:rsidP="00B37B65">
            <w:pPr>
              <w:jc w:val="right"/>
              <w:rPr>
                <w:rFonts w:asciiTheme="minorHAnsi" w:hAnsiTheme="minorHAnsi"/>
                <w:sz w:val="16"/>
                <w:szCs w:val="16"/>
              </w:rPr>
            </w:pPr>
            <w:r w:rsidRPr="00364545">
              <w:rPr>
                <w:sz w:val="16"/>
              </w:rPr>
              <w:t>113,72</w:t>
            </w:r>
          </w:p>
        </w:tc>
        <w:tc>
          <w:tcPr>
            <w:tcW w:w="991" w:type="dxa"/>
            <w:tcBorders>
              <w:top w:val="nil"/>
              <w:left w:val="nil"/>
              <w:bottom w:val="single" w:sz="4" w:space="0" w:color="auto"/>
              <w:right w:val="single" w:sz="4" w:space="0" w:color="auto"/>
            </w:tcBorders>
            <w:shd w:val="clear" w:color="000000" w:fill="FFFFFF"/>
            <w:noWrap/>
            <w:vAlign w:val="bottom"/>
            <w:hideMark/>
          </w:tcPr>
          <w:p w14:paraId="75DAE1DA" w14:textId="77777777" w:rsidR="00B56301" w:rsidRPr="00364545" w:rsidRDefault="00B56301" w:rsidP="00B37B65">
            <w:pPr>
              <w:jc w:val="right"/>
              <w:rPr>
                <w:rFonts w:asciiTheme="minorHAnsi" w:hAnsiTheme="minorHAnsi"/>
                <w:sz w:val="16"/>
                <w:szCs w:val="16"/>
              </w:rPr>
            </w:pPr>
            <w:r w:rsidRPr="00364545">
              <w:rPr>
                <w:sz w:val="16"/>
              </w:rPr>
              <w:t>115,20</w:t>
            </w:r>
          </w:p>
        </w:tc>
      </w:tr>
      <w:tr w:rsidR="00B56301" w:rsidRPr="00364545" w14:paraId="4F1D358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1D36563" w14:textId="4CF267F1"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65E56D04"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D941B6E"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5ED10CC"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2AA20AD"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B45A0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8EE7577"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26BA76B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9BCAC6" w14:textId="7BE1917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29BEC707" w14:textId="77777777" w:rsidR="00B56301" w:rsidRPr="00364545" w:rsidRDefault="00B56301" w:rsidP="00B37B65">
            <w:pPr>
              <w:jc w:val="right"/>
              <w:rPr>
                <w:rFonts w:asciiTheme="minorHAnsi" w:hAnsiTheme="minorHAnsi"/>
                <w:sz w:val="16"/>
                <w:szCs w:val="16"/>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16E61AC2" w14:textId="77777777" w:rsidR="00B56301" w:rsidRPr="00364545" w:rsidRDefault="00B56301" w:rsidP="00B37B65">
            <w:pPr>
              <w:jc w:val="right"/>
              <w:rPr>
                <w:rFonts w:asciiTheme="minorHAnsi" w:hAnsiTheme="minorHAnsi"/>
                <w:sz w:val="16"/>
                <w:szCs w:val="16"/>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149D3555" w14:textId="77777777" w:rsidR="00B56301" w:rsidRPr="00364545" w:rsidRDefault="00B56301" w:rsidP="00B37B65">
            <w:pPr>
              <w:jc w:val="right"/>
              <w:rPr>
                <w:rFonts w:asciiTheme="minorHAnsi" w:hAnsiTheme="minorHAnsi"/>
                <w:sz w:val="16"/>
                <w:szCs w:val="16"/>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6E13C1D6" w14:textId="77777777" w:rsidR="00B56301" w:rsidRPr="00364545" w:rsidRDefault="00B56301" w:rsidP="00B37B65">
            <w:pPr>
              <w:jc w:val="right"/>
              <w:rPr>
                <w:rFonts w:asciiTheme="minorHAnsi" w:hAnsiTheme="minorHAnsi"/>
                <w:sz w:val="16"/>
                <w:szCs w:val="16"/>
              </w:rPr>
            </w:pPr>
            <w:r w:rsidRPr="00364545">
              <w:rPr>
                <w:sz w:val="16"/>
              </w:rPr>
              <w:t>0,08</w:t>
            </w:r>
          </w:p>
        </w:tc>
        <w:tc>
          <w:tcPr>
            <w:tcW w:w="991" w:type="dxa"/>
            <w:tcBorders>
              <w:top w:val="nil"/>
              <w:left w:val="nil"/>
              <w:bottom w:val="single" w:sz="4" w:space="0" w:color="auto"/>
              <w:right w:val="single" w:sz="4" w:space="0" w:color="auto"/>
            </w:tcBorders>
            <w:shd w:val="clear" w:color="000000" w:fill="FFFFFF"/>
            <w:noWrap/>
            <w:vAlign w:val="bottom"/>
            <w:hideMark/>
          </w:tcPr>
          <w:p w14:paraId="07002548" w14:textId="77777777" w:rsidR="00B56301" w:rsidRPr="00364545" w:rsidRDefault="00B56301" w:rsidP="00B37B65">
            <w:pPr>
              <w:jc w:val="right"/>
              <w:rPr>
                <w:rFonts w:asciiTheme="minorHAnsi" w:hAnsiTheme="minorHAnsi"/>
                <w:sz w:val="16"/>
                <w:szCs w:val="16"/>
              </w:rPr>
            </w:pPr>
            <w:r w:rsidRPr="00364545">
              <w:rPr>
                <w:sz w:val="16"/>
              </w:rPr>
              <w:t>0,08</w:t>
            </w:r>
          </w:p>
        </w:tc>
        <w:tc>
          <w:tcPr>
            <w:tcW w:w="991" w:type="dxa"/>
            <w:tcBorders>
              <w:top w:val="nil"/>
              <w:left w:val="nil"/>
              <w:bottom w:val="single" w:sz="4" w:space="0" w:color="auto"/>
              <w:right w:val="single" w:sz="4" w:space="0" w:color="auto"/>
            </w:tcBorders>
            <w:shd w:val="clear" w:color="000000" w:fill="FFFFFF"/>
            <w:noWrap/>
            <w:vAlign w:val="bottom"/>
            <w:hideMark/>
          </w:tcPr>
          <w:p w14:paraId="2BA2FC6C" w14:textId="77777777" w:rsidR="00B56301" w:rsidRPr="00364545" w:rsidRDefault="00B56301" w:rsidP="00B37B65">
            <w:pPr>
              <w:jc w:val="right"/>
              <w:rPr>
                <w:rFonts w:asciiTheme="minorHAnsi" w:hAnsiTheme="minorHAnsi"/>
                <w:sz w:val="16"/>
                <w:szCs w:val="16"/>
              </w:rPr>
            </w:pPr>
            <w:r w:rsidRPr="00364545">
              <w:rPr>
                <w:sz w:val="16"/>
              </w:rPr>
              <w:t>0,08</w:t>
            </w:r>
          </w:p>
        </w:tc>
      </w:tr>
      <w:tr w:rsidR="00B56301" w:rsidRPr="00364545" w14:paraId="4CCE015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A699FF3" w14:textId="17979A5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Liming</w:t>
            </w:r>
          </w:p>
        </w:tc>
        <w:tc>
          <w:tcPr>
            <w:tcW w:w="991" w:type="dxa"/>
            <w:tcBorders>
              <w:top w:val="nil"/>
              <w:left w:val="nil"/>
              <w:bottom w:val="single" w:sz="4" w:space="0" w:color="auto"/>
              <w:right w:val="single" w:sz="4" w:space="0" w:color="auto"/>
            </w:tcBorders>
            <w:shd w:val="clear" w:color="000000" w:fill="969696"/>
            <w:noWrap/>
            <w:vAlign w:val="bottom"/>
            <w:hideMark/>
          </w:tcPr>
          <w:p w14:paraId="212A1A1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371AD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80DEFC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9B4127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36088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F2B31B"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A2615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615CA5C" w14:textId="2E09CAE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H. 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5D00F2E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8736CB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1DCE4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7EEC3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3971F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D6FFF5"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0F66BFB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24CABE" w14:textId="48BA206A"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I. Other carbon containing fertlizers</w:t>
            </w:r>
          </w:p>
        </w:tc>
        <w:tc>
          <w:tcPr>
            <w:tcW w:w="991" w:type="dxa"/>
            <w:tcBorders>
              <w:top w:val="nil"/>
              <w:left w:val="nil"/>
              <w:bottom w:val="single" w:sz="4" w:space="0" w:color="auto"/>
              <w:right w:val="single" w:sz="4" w:space="0" w:color="auto"/>
            </w:tcBorders>
            <w:shd w:val="clear" w:color="000000" w:fill="969696"/>
            <w:noWrap/>
            <w:vAlign w:val="bottom"/>
            <w:hideMark/>
          </w:tcPr>
          <w:p w14:paraId="6882AF1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83FDE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B0DDC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E3A4C4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8E1AC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A671C0"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3DD3E3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3D4ED8C" w14:textId="277A5F3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J. Other </w:t>
            </w:r>
          </w:p>
        </w:tc>
        <w:tc>
          <w:tcPr>
            <w:tcW w:w="991" w:type="dxa"/>
            <w:tcBorders>
              <w:top w:val="nil"/>
              <w:left w:val="nil"/>
              <w:bottom w:val="single" w:sz="4" w:space="0" w:color="auto"/>
              <w:right w:val="single" w:sz="4" w:space="0" w:color="auto"/>
            </w:tcBorders>
            <w:shd w:val="clear" w:color="000000" w:fill="FFFFFF"/>
            <w:noWrap/>
            <w:vAlign w:val="bottom"/>
            <w:hideMark/>
          </w:tcPr>
          <w:p w14:paraId="4AAA048D"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77D7640"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2E7E12"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9A7461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138BA1F"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84901F7"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0A21C66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69A99E5F"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2B2D9827" w14:textId="77777777" w:rsidR="00B56301" w:rsidRPr="00364545" w:rsidRDefault="00B56301" w:rsidP="00B37B65">
            <w:pPr>
              <w:jc w:val="right"/>
              <w:rPr>
                <w:rFonts w:asciiTheme="minorHAnsi" w:hAnsiTheme="minorHAnsi"/>
                <w:sz w:val="16"/>
                <w:szCs w:val="16"/>
              </w:rPr>
            </w:pPr>
            <w:r w:rsidRPr="00364545">
              <w:rPr>
                <w:sz w:val="16"/>
              </w:rPr>
              <w:t>10,89</w:t>
            </w:r>
          </w:p>
        </w:tc>
        <w:tc>
          <w:tcPr>
            <w:tcW w:w="991" w:type="dxa"/>
            <w:tcBorders>
              <w:top w:val="nil"/>
              <w:left w:val="nil"/>
              <w:bottom w:val="single" w:sz="4" w:space="0" w:color="auto"/>
              <w:right w:val="single" w:sz="4" w:space="0" w:color="auto"/>
            </w:tcBorders>
            <w:shd w:val="clear" w:color="000000" w:fill="CCFFFF"/>
            <w:noWrap/>
            <w:vAlign w:val="bottom"/>
            <w:hideMark/>
          </w:tcPr>
          <w:p w14:paraId="0F32CA64" w14:textId="77777777" w:rsidR="00B56301" w:rsidRPr="00364545" w:rsidRDefault="00B56301" w:rsidP="00B37B65">
            <w:pPr>
              <w:jc w:val="right"/>
              <w:rPr>
                <w:rFonts w:asciiTheme="minorHAnsi" w:hAnsiTheme="minorHAnsi"/>
                <w:sz w:val="16"/>
                <w:szCs w:val="16"/>
              </w:rPr>
            </w:pPr>
            <w:r w:rsidRPr="00364545">
              <w:rPr>
                <w:sz w:val="16"/>
              </w:rPr>
              <w:t>10,80</w:t>
            </w:r>
          </w:p>
        </w:tc>
        <w:tc>
          <w:tcPr>
            <w:tcW w:w="991" w:type="dxa"/>
            <w:tcBorders>
              <w:top w:val="nil"/>
              <w:left w:val="nil"/>
              <w:bottom w:val="single" w:sz="4" w:space="0" w:color="auto"/>
              <w:right w:val="single" w:sz="4" w:space="0" w:color="auto"/>
            </w:tcBorders>
            <w:shd w:val="clear" w:color="000000" w:fill="CCFFFF"/>
            <w:noWrap/>
            <w:vAlign w:val="bottom"/>
            <w:hideMark/>
          </w:tcPr>
          <w:p w14:paraId="2A8B16FA" w14:textId="77777777" w:rsidR="00B56301" w:rsidRPr="00364545" w:rsidRDefault="00B56301" w:rsidP="00B37B65">
            <w:pPr>
              <w:jc w:val="right"/>
              <w:rPr>
                <w:rFonts w:asciiTheme="minorHAnsi" w:hAnsiTheme="minorHAnsi"/>
                <w:sz w:val="16"/>
                <w:szCs w:val="16"/>
              </w:rPr>
            </w:pPr>
            <w:r w:rsidRPr="00364545">
              <w:rPr>
                <w:sz w:val="16"/>
              </w:rPr>
              <w:t>10,84</w:t>
            </w:r>
          </w:p>
        </w:tc>
        <w:tc>
          <w:tcPr>
            <w:tcW w:w="991" w:type="dxa"/>
            <w:tcBorders>
              <w:top w:val="nil"/>
              <w:left w:val="nil"/>
              <w:bottom w:val="single" w:sz="4" w:space="0" w:color="auto"/>
              <w:right w:val="single" w:sz="4" w:space="0" w:color="auto"/>
            </w:tcBorders>
            <w:shd w:val="clear" w:color="000000" w:fill="CCFFFF"/>
            <w:noWrap/>
            <w:vAlign w:val="bottom"/>
            <w:hideMark/>
          </w:tcPr>
          <w:p w14:paraId="34FD3496" w14:textId="77777777" w:rsidR="00B56301" w:rsidRPr="00364545" w:rsidRDefault="00B56301" w:rsidP="00B37B65">
            <w:pPr>
              <w:jc w:val="right"/>
              <w:rPr>
                <w:rFonts w:asciiTheme="minorHAnsi" w:hAnsiTheme="minorHAnsi"/>
                <w:sz w:val="16"/>
                <w:szCs w:val="16"/>
              </w:rPr>
            </w:pPr>
            <w:r w:rsidRPr="00364545">
              <w:rPr>
                <w:sz w:val="16"/>
              </w:rPr>
              <w:t>10,80</w:t>
            </w:r>
          </w:p>
        </w:tc>
        <w:tc>
          <w:tcPr>
            <w:tcW w:w="991" w:type="dxa"/>
            <w:tcBorders>
              <w:top w:val="nil"/>
              <w:left w:val="nil"/>
              <w:bottom w:val="single" w:sz="4" w:space="0" w:color="auto"/>
              <w:right w:val="single" w:sz="4" w:space="0" w:color="auto"/>
            </w:tcBorders>
            <w:shd w:val="clear" w:color="000000" w:fill="CCFFFF"/>
            <w:noWrap/>
            <w:vAlign w:val="bottom"/>
            <w:hideMark/>
          </w:tcPr>
          <w:p w14:paraId="70D72812" w14:textId="77777777" w:rsidR="00B56301" w:rsidRPr="00364545" w:rsidRDefault="00B56301" w:rsidP="00B37B65">
            <w:pPr>
              <w:jc w:val="right"/>
              <w:rPr>
                <w:rFonts w:asciiTheme="minorHAnsi" w:hAnsiTheme="minorHAnsi"/>
                <w:sz w:val="16"/>
                <w:szCs w:val="16"/>
              </w:rPr>
            </w:pPr>
            <w:r w:rsidRPr="00364545">
              <w:rPr>
                <w:sz w:val="16"/>
              </w:rPr>
              <w:t>10,64</w:t>
            </w:r>
          </w:p>
        </w:tc>
        <w:tc>
          <w:tcPr>
            <w:tcW w:w="991" w:type="dxa"/>
            <w:tcBorders>
              <w:top w:val="nil"/>
              <w:left w:val="nil"/>
              <w:bottom w:val="single" w:sz="4" w:space="0" w:color="auto"/>
              <w:right w:val="single" w:sz="4" w:space="0" w:color="auto"/>
            </w:tcBorders>
            <w:shd w:val="clear" w:color="000000" w:fill="CCFFFF"/>
            <w:noWrap/>
            <w:vAlign w:val="bottom"/>
            <w:hideMark/>
          </w:tcPr>
          <w:p w14:paraId="0929229E" w14:textId="77777777" w:rsidR="00B56301" w:rsidRPr="00364545" w:rsidRDefault="00B56301" w:rsidP="00B37B65">
            <w:pPr>
              <w:jc w:val="right"/>
              <w:rPr>
                <w:rFonts w:asciiTheme="minorHAnsi" w:hAnsiTheme="minorHAnsi"/>
                <w:sz w:val="16"/>
                <w:szCs w:val="16"/>
              </w:rPr>
            </w:pPr>
            <w:r w:rsidRPr="00364545">
              <w:rPr>
                <w:sz w:val="16"/>
              </w:rPr>
              <w:t>10,71</w:t>
            </w:r>
          </w:p>
        </w:tc>
      </w:tr>
      <w:tr w:rsidR="00B56301" w:rsidRPr="00364545" w14:paraId="02B3680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C5A121" w14:textId="1CA2CF1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54C359E9" w14:textId="77777777" w:rsidR="00B56301" w:rsidRPr="00364545" w:rsidRDefault="00B56301" w:rsidP="00B37B65">
            <w:pPr>
              <w:jc w:val="right"/>
              <w:rPr>
                <w:rFonts w:asciiTheme="minorHAnsi" w:hAnsiTheme="minorHAnsi"/>
                <w:sz w:val="16"/>
                <w:szCs w:val="16"/>
              </w:rPr>
            </w:pPr>
            <w:r w:rsidRPr="00364545">
              <w:rPr>
                <w:sz w:val="16"/>
              </w:rPr>
              <w:t>1,36</w:t>
            </w:r>
          </w:p>
        </w:tc>
        <w:tc>
          <w:tcPr>
            <w:tcW w:w="991" w:type="dxa"/>
            <w:tcBorders>
              <w:top w:val="nil"/>
              <w:left w:val="nil"/>
              <w:bottom w:val="single" w:sz="4" w:space="0" w:color="auto"/>
              <w:right w:val="single" w:sz="4" w:space="0" w:color="auto"/>
            </w:tcBorders>
            <w:shd w:val="clear" w:color="000000" w:fill="FFFFFF"/>
            <w:noWrap/>
            <w:vAlign w:val="bottom"/>
            <w:hideMark/>
          </w:tcPr>
          <w:p w14:paraId="655D2133" w14:textId="77777777" w:rsidR="00B56301" w:rsidRPr="00364545" w:rsidRDefault="00B56301" w:rsidP="00B37B65">
            <w:pPr>
              <w:jc w:val="right"/>
              <w:rPr>
                <w:rFonts w:asciiTheme="minorHAnsi" w:hAnsiTheme="minorHAnsi"/>
                <w:sz w:val="16"/>
                <w:szCs w:val="16"/>
              </w:rPr>
            </w:pPr>
            <w:r w:rsidRPr="00364545">
              <w:rPr>
                <w:sz w:val="16"/>
              </w:rPr>
              <w:t>1,26</w:t>
            </w:r>
          </w:p>
        </w:tc>
        <w:tc>
          <w:tcPr>
            <w:tcW w:w="991" w:type="dxa"/>
            <w:tcBorders>
              <w:top w:val="nil"/>
              <w:left w:val="nil"/>
              <w:bottom w:val="single" w:sz="4" w:space="0" w:color="auto"/>
              <w:right w:val="single" w:sz="4" w:space="0" w:color="auto"/>
            </w:tcBorders>
            <w:shd w:val="clear" w:color="000000" w:fill="FFFFFF"/>
            <w:noWrap/>
            <w:vAlign w:val="bottom"/>
            <w:hideMark/>
          </w:tcPr>
          <w:p w14:paraId="40CF8E66" w14:textId="77777777" w:rsidR="00B56301" w:rsidRPr="00364545" w:rsidRDefault="00B56301" w:rsidP="00B37B65">
            <w:pPr>
              <w:jc w:val="right"/>
              <w:rPr>
                <w:rFonts w:asciiTheme="minorHAnsi" w:hAnsiTheme="minorHAnsi"/>
                <w:sz w:val="16"/>
                <w:szCs w:val="16"/>
              </w:rPr>
            </w:pPr>
            <w:r w:rsidRPr="00364545">
              <w:rPr>
                <w:sz w:val="16"/>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7596B5F8" w14:textId="77777777" w:rsidR="00B56301" w:rsidRPr="00364545" w:rsidRDefault="00B56301" w:rsidP="00B37B65">
            <w:pPr>
              <w:jc w:val="right"/>
              <w:rPr>
                <w:rFonts w:asciiTheme="minorHAnsi" w:hAnsiTheme="minorHAnsi"/>
                <w:sz w:val="16"/>
                <w:szCs w:val="16"/>
              </w:rPr>
            </w:pPr>
            <w:r w:rsidRPr="00364545">
              <w:rPr>
                <w:sz w:val="16"/>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31CFDFE8" w14:textId="77777777" w:rsidR="00B56301" w:rsidRPr="00364545" w:rsidRDefault="00B56301" w:rsidP="00B37B65">
            <w:pPr>
              <w:jc w:val="right"/>
              <w:rPr>
                <w:rFonts w:asciiTheme="minorHAnsi" w:hAnsiTheme="minorHAnsi"/>
                <w:sz w:val="16"/>
                <w:szCs w:val="16"/>
              </w:rPr>
            </w:pPr>
            <w:r w:rsidRPr="00364545">
              <w:rPr>
                <w:sz w:val="16"/>
              </w:rPr>
              <w:t>1,26</w:t>
            </w:r>
          </w:p>
        </w:tc>
        <w:tc>
          <w:tcPr>
            <w:tcW w:w="991" w:type="dxa"/>
            <w:tcBorders>
              <w:top w:val="nil"/>
              <w:left w:val="nil"/>
              <w:bottom w:val="single" w:sz="4" w:space="0" w:color="auto"/>
              <w:right w:val="single" w:sz="4" w:space="0" w:color="auto"/>
            </w:tcBorders>
            <w:shd w:val="clear" w:color="000000" w:fill="FFFFFF"/>
            <w:noWrap/>
            <w:vAlign w:val="bottom"/>
            <w:hideMark/>
          </w:tcPr>
          <w:p w14:paraId="0ECDA804" w14:textId="77777777" w:rsidR="00B56301" w:rsidRPr="00364545" w:rsidRDefault="00B56301" w:rsidP="00B37B65">
            <w:pPr>
              <w:jc w:val="right"/>
              <w:rPr>
                <w:rFonts w:asciiTheme="minorHAnsi" w:hAnsiTheme="minorHAnsi"/>
                <w:sz w:val="16"/>
                <w:szCs w:val="16"/>
              </w:rPr>
            </w:pPr>
            <w:r w:rsidRPr="00364545">
              <w:rPr>
                <w:sz w:val="16"/>
              </w:rPr>
              <w:t>1,47</w:t>
            </w:r>
          </w:p>
        </w:tc>
      </w:tr>
      <w:tr w:rsidR="00B56301" w:rsidRPr="00364545" w14:paraId="51F7DAE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7AAFF28" w14:textId="2CEF7B9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360B6BDD" w14:textId="77777777" w:rsidR="00B56301" w:rsidRPr="00364545" w:rsidRDefault="00B56301" w:rsidP="00B37B65">
            <w:pPr>
              <w:jc w:val="right"/>
              <w:rPr>
                <w:rFonts w:asciiTheme="minorHAnsi" w:hAnsiTheme="minorHAnsi"/>
                <w:sz w:val="16"/>
                <w:szCs w:val="16"/>
              </w:rPr>
            </w:pPr>
            <w:r w:rsidRPr="00364545">
              <w:rPr>
                <w:sz w:val="16"/>
              </w:rPr>
              <w:t>5,29</w:t>
            </w:r>
          </w:p>
        </w:tc>
        <w:tc>
          <w:tcPr>
            <w:tcW w:w="991" w:type="dxa"/>
            <w:tcBorders>
              <w:top w:val="nil"/>
              <w:left w:val="nil"/>
              <w:bottom w:val="single" w:sz="4" w:space="0" w:color="auto"/>
              <w:right w:val="single" w:sz="4" w:space="0" w:color="auto"/>
            </w:tcBorders>
            <w:shd w:val="clear" w:color="000000" w:fill="FFFFFF"/>
            <w:noWrap/>
            <w:vAlign w:val="bottom"/>
            <w:hideMark/>
          </w:tcPr>
          <w:p w14:paraId="6F35CEF4" w14:textId="77777777" w:rsidR="00B56301" w:rsidRPr="00364545" w:rsidRDefault="00B56301" w:rsidP="00B37B65">
            <w:pPr>
              <w:jc w:val="right"/>
              <w:rPr>
                <w:rFonts w:asciiTheme="minorHAnsi" w:hAnsiTheme="minorHAnsi"/>
                <w:sz w:val="16"/>
                <w:szCs w:val="16"/>
              </w:rPr>
            </w:pPr>
            <w:r w:rsidRPr="00364545">
              <w:rPr>
                <w:sz w:val="16"/>
              </w:rPr>
              <w:t>5,30</w:t>
            </w:r>
          </w:p>
        </w:tc>
        <w:tc>
          <w:tcPr>
            <w:tcW w:w="991" w:type="dxa"/>
            <w:tcBorders>
              <w:top w:val="nil"/>
              <w:left w:val="nil"/>
              <w:bottom w:val="single" w:sz="4" w:space="0" w:color="auto"/>
              <w:right w:val="single" w:sz="4" w:space="0" w:color="auto"/>
            </w:tcBorders>
            <w:shd w:val="clear" w:color="000000" w:fill="FFFFFF"/>
            <w:noWrap/>
            <w:vAlign w:val="bottom"/>
            <w:hideMark/>
          </w:tcPr>
          <w:p w14:paraId="7E516664" w14:textId="77777777" w:rsidR="00B56301" w:rsidRPr="00364545" w:rsidRDefault="00B56301" w:rsidP="00B37B65">
            <w:pPr>
              <w:jc w:val="right"/>
              <w:rPr>
                <w:rFonts w:asciiTheme="minorHAnsi" w:hAnsiTheme="minorHAnsi"/>
                <w:sz w:val="16"/>
                <w:szCs w:val="16"/>
              </w:rPr>
            </w:pPr>
            <w:r w:rsidRPr="00364545">
              <w:rPr>
                <w:sz w:val="16"/>
              </w:rPr>
              <w:t>5,28</w:t>
            </w:r>
          </w:p>
        </w:tc>
        <w:tc>
          <w:tcPr>
            <w:tcW w:w="991" w:type="dxa"/>
            <w:tcBorders>
              <w:top w:val="nil"/>
              <w:left w:val="nil"/>
              <w:bottom w:val="single" w:sz="4" w:space="0" w:color="auto"/>
              <w:right w:val="single" w:sz="4" w:space="0" w:color="auto"/>
            </w:tcBorders>
            <w:shd w:val="clear" w:color="000000" w:fill="FFFFFF"/>
            <w:noWrap/>
            <w:vAlign w:val="bottom"/>
            <w:hideMark/>
          </w:tcPr>
          <w:p w14:paraId="13D1FEFF" w14:textId="77777777" w:rsidR="00B56301" w:rsidRPr="00364545" w:rsidRDefault="00B56301" w:rsidP="00B37B65">
            <w:pPr>
              <w:jc w:val="right"/>
              <w:rPr>
                <w:rFonts w:asciiTheme="minorHAnsi" w:hAnsiTheme="minorHAnsi"/>
                <w:sz w:val="16"/>
                <w:szCs w:val="16"/>
              </w:rPr>
            </w:pPr>
            <w:r w:rsidRPr="00364545">
              <w:rPr>
                <w:sz w:val="16"/>
              </w:rPr>
              <w:t>5,26</w:t>
            </w:r>
          </w:p>
        </w:tc>
        <w:tc>
          <w:tcPr>
            <w:tcW w:w="991" w:type="dxa"/>
            <w:tcBorders>
              <w:top w:val="nil"/>
              <w:left w:val="nil"/>
              <w:bottom w:val="single" w:sz="4" w:space="0" w:color="auto"/>
              <w:right w:val="single" w:sz="4" w:space="0" w:color="auto"/>
            </w:tcBorders>
            <w:shd w:val="clear" w:color="000000" w:fill="FFFFFF"/>
            <w:noWrap/>
            <w:vAlign w:val="bottom"/>
            <w:hideMark/>
          </w:tcPr>
          <w:p w14:paraId="7A302911" w14:textId="77777777" w:rsidR="00B56301" w:rsidRPr="00364545" w:rsidRDefault="00B56301" w:rsidP="00B37B65">
            <w:pPr>
              <w:jc w:val="right"/>
              <w:rPr>
                <w:rFonts w:asciiTheme="minorHAnsi" w:hAnsiTheme="minorHAnsi"/>
                <w:sz w:val="16"/>
                <w:szCs w:val="16"/>
              </w:rPr>
            </w:pPr>
            <w:r w:rsidRPr="00364545">
              <w:rPr>
                <w:sz w:val="16"/>
              </w:rPr>
              <w:t>5,18</w:t>
            </w:r>
          </w:p>
        </w:tc>
        <w:tc>
          <w:tcPr>
            <w:tcW w:w="991" w:type="dxa"/>
            <w:tcBorders>
              <w:top w:val="nil"/>
              <w:left w:val="nil"/>
              <w:bottom w:val="single" w:sz="4" w:space="0" w:color="auto"/>
              <w:right w:val="single" w:sz="4" w:space="0" w:color="auto"/>
            </w:tcBorders>
            <w:shd w:val="clear" w:color="000000" w:fill="FFFFFF"/>
            <w:noWrap/>
            <w:vAlign w:val="bottom"/>
            <w:hideMark/>
          </w:tcPr>
          <w:p w14:paraId="24A4665E" w14:textId="77777777" w:rsidR="00B56301" w:rsidRPr="00364545" w:rsidRDefault="00B56301" w:rsidP="00B37B65">
            <w:pPr>
              <w:jc w:val="right"/>
              <w:rPr>
                <w:rFonts w:asciiTheme="minorHAnsi" w:hAnsiTheme="minorHAnsi"/>
                <w:sz w:val="16"/>
                <w:szCs w:val="16"/>
              </w:rPr>
            </w:pPr>
            <w:r w:rsidRPr="00364545">
              <w:rPr>
                <w:sz w:val="16"/>
              </w:rPr>
              <w:t>5,09</w:t>
            </w:r>
          </w:p>
        </w:tc>
      </w:tr>
      <w:tr w:rsidR="00B56301" w:rsidRPr="00364545" w14:paraId="1F6FDF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96611C" w14:textId="7A65790A"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20182CB1" w14:textId="77777777" w:rsidR="00B56301" w:rsidRPr="00364545" w:rsidRDefault="00B56301" w:rsidP="00B37B65">
            <w:pPr>
              <w:jc w:val="right"/>
              <w:rPr>
                <w:rFonts w:asciiTheme="minorHAnsi" w:hAnsiTheme="minorHAnsi"/>
                <w:sz w:val="16"/>
                <w:szCs w:val="16"/>
              </w:rPr>
            </w:pPr>
            <w:r w:rsidRPr="00364545">
              <w:rPr>
                <w:sz w:val="16"/>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5A773AA5" w14:textId="77777777" w:rsidR="00B56301" w:rsidRPr="00364545" w:rsidRDefault="00B56301" w:rsidP="00B37B65">
            <w:pPr>
              <w:jc w:val="right"/>
              <w:rPr>
                <w:rFonts w:asciiTheme="minorHAnsi" w:hAnsiTheme="minorHAnsi"/>
                <w:sz w:val="16"/>
                <w:szCs w:val="16"/>
              </w:rPr>
            </w:pPr>
            <w:r w:rsidRPr="00364545">
              <w:rPr>
                <w:sz w:val="16"/>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2B11BC8F" w14:textId="77777777" w:rsidR="00B56301" w:rsidRPr="00364545" w:rsidRDefault="00B56301" w:rsidP="00B37B65">
            <w:pPr>
              <w:jc w:val="right"/>
              <w:rPr>
                <w:rFonts w:asciiTheme="minorHAnsi" w:hAnsiTheme="minorHAnsi"/>
                <w:sz w:val="16"/>
                <w:szCs w:val="16"/>
              </w:rPr>
            </w:pPr>
            <w:r w:rsidRPr="00364545">
              <w:rPr>
                <w:sz w:val="16"/>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627B9403" w14:textId="77777777" w:rsidR="00B56301" w:rsidRPr="00364545" w:rsidRDefault="00B56301" w:rsidP="00B37B65">
            <w:pPr>
              <w:jc w:val="right"/>
              <w:rPr>
                <w:rFonts w:asciiTheme="minorHAnsi" w:hAnsiTheme="minorHAnsi"/>
                <w:sz w:val="16"/>
                <w:szCs w:val="16"/>
              </w:rPr>
            </w:pPr>
            <w:r w:rsidRPr="00364545">
              <w:rPr>
                <w:sz w:val="16"/>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39EA1DAB" w14:textId="77777777" w:rsidR="00B56301" w:rsidRPr="00364545" w:rsidRDefault="00B56301" w:rsidP="00B37B65">
            <w:pPr>
              <w:jc w:val="right"/>
              <w:rPr>
                <w:rFonts w:asciiTheme="minorHAnsi" w:hAnsiTheme="minorHAnsi"/>
                <w:sz w:val="16"/>
                <w:szCs w:val="16"/>
              </w:rPr>
            </w:pPr>
            <w:r w:rsidRPr="00364545">
              <w:rPr>
                <w:sz w:val="16"/>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6580F625" w14:textId="77777777" w:rsidR="00B56301" w:rsidRPr="00364545" w:rsidRDefault="00B56301" w:rsidP="00B37B65">
            <w:pPr>
              <w:jc w:val="right"/>
              <w:rPr>
                <w:rFonts w:asciiTheme="minorHAnsi" w:hAnsiTheme="minorHAnsi"/>
                <w:sz w:val="16"/>
                <w:szCs w:val="16"/>
              </w:rPr>
            </w:pPr>
            <w:r w:rsidRPr="00364545">
              <w:rPr>
                <w:sz w:val="16"/>
              </w:rPr>
              <w:t>0,47</w:t>
            </w:r>
          </w:p>
        </w:tc>
      </w:tr>
      <w:tr w:rsidR="00B56301" w:rsidRPr="00364545" w14:paraId="031F418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1D0C2B9" w14:textId="21E17A6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60CAE7BB"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6328D76F"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30DDA9BF"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42C5D7DB"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3AF6D3BC"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A25B1B5"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15139C1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1208FAF" w14:textId="6220BDE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E. 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393511A8" w14:textId="77777777" w:rsidR="00B56301" w:rsidRPr="00364545" w:rsidRDefault="00B56301" w:rsidP="00B37B65">
            <w:pPr>
              <w:jc w:val="right"/>
              <w:rPr>
                <w:rFonts w:asciiTheme="minorHAnsi" w:hAnsiTheme="minorHAnsi"/>
                <w:sz w:val="16"/>
                <w:szCs w:val="16"/>
              </w:rPr>
            </w:pPr>
            <w:r w:rsidRPr="00364545">
              <w:rPr>
                <w:sz w:val="16"/>
              </w:rPr>
              <w:t>2,03</w:t>
            </w:r>
          </w:p>
        </w:tc>
        <w:tc>
          <w:tcPr>
            <w:tcW w:w="991" w:type="dxa"/>
            <w:tcBorders>
              <w:top w:val="nil"/>
              <w:left w:val="nil"/>
              <w:bottom w:val="single" w:sz="4" w:space="0" w:color="auto"/>
              <w:right w:val="single" w:sz="4" w:space="0" w:color="auto"/>
            </w:tcBorders>
            <w:shd w:val="clear" w:color="000000" w:fill="FFFFFF"/>
            <w:noWrap/>
            <w:vAlign w:val="bottom"/>
            <w:hideMark/>
          </w:tcPr>
          <w:p w14:paraId="43F325C9" w14:textId="77777777" w:rsidR="00B56301" w:rsidRPr="00364545" w:rsidRDefault="00B56301" w:rsidP="00B37B65">
            <w:pPr>
              <w:jc w:val="right"/>
              <w:rPr>
                <w:rFonts w:asciiTheme="minorHAnsi" w:hAnsiTheme="minorHAnsi"/>
                <w:sz w:val="16"/>
                <w:szCs w:val="16"/>
              </w:rPr>
            </w:pPr>
            <w:r w:rsidRPr="00364545">
              <w:rPr>
                <w:sz w:val="16"/>
              </w:rPr>
              <w:t>2,04</w:t>
            </w:r>
          </w:p>
        </w:tc>
        <w:tc>
          <w:tcPr>
            <w:tcW w:w="991" w:type="dxa"/>
            <w:tcBorders>
              <w:top w:val="nil"/>
              <w:left w:val="nil"/>
              <w:bottom w:val="single" w:sz="4" w:space="0" w:color="auto"/>
              <w:right w:val="single" w:sz="4" w:space="0" w:color="auto"/>
            </w:tcBorders>
            <w:shd w:val="clear" w:color="000000" w:fill="FFFFFF"/>
            <w:noWrap/>
            <w:vAlign w:val="bottom"/>
            <w:hideMark/>
          </w:tcPr>
          <w:p w14:paraId="61FD5BFF" w14:textId="77777777" w:rsidR="00B56301" w:rsidRPr="00364545" w:rsidRDefault="00B56301" w:rsidP="00B37B65">
            <w:pPr>
              <w:jc w:val="right"/>
              <w:rPr>
                <w:rFonts w:asciiTheme="minorHAnsi" w:hAnsiTheme="minorHAnsi"/>
                <w:sz w:val="16"/>
                <w:szCs w:val="16"/>
              </w:rPr>
            </w:pPr>
            <w:r w:rsidRPr="00364545">
              <w:rPr>
                <w:sz w:val="16"/>
              </w:rPr>
              <w:t>2,04</w:t>
            </w:r>
          </w:p>
        </w:tc>
        <w:tc>
          <w:tcPr>
            <w:tcW w:w="991" w:type="dxa"/>
            <w:tcBorders>
              <w:top w:val="nil"/>
              <w:left w:val="nil"/>
              <w:bottom w:val="single" w:sz="4" w:space="0" w:color="auto"/>
              <w:right w:val="single" w:sz="4" w:space="0" w:color="auto"/>
            </w:tcBorders>
            <w:shd w:val="clear" w:color="000000" w:fill="FFFFFF"/>
            <w:noWrap/>
            <w:vAlign w:val="bottom"/>
            <w:hideMark/>
          </w:tcPr>
          <w:p w14:paraId="4FBF2685" w14:textId="77777777" w:rsidR="00B56301" w:rsidRPr="00364545" w:rsidRDefault="00B56301" w:rsidP="00B37B65">
            <w:pPr>
              <w:jc w:val="right"/>
              <w:rPr>
                <w:rFonts w:asciiTheme="minorHAnsi" w:hAnsiTheme="minorHAnsi"/>
                <w:sz w:val="16"/>
                <w:szCs w:val="16"/>
              </w:rPr>
            </w:pPr>
            <w:r w:rsidRPr="00364545">
              <w:rPr>
                <w:sz w:val="16"/>
              </w:rPr>
              <w:t>2,03</w:t>
            </w:r>
          </w:p>
        </w:tc>
        <w:tc>
          <w:tcPr>
            <w:tcW w:w="991" w:type="dxa"/>
            <w:tcBorders>
              <w:top w:val="nil"/>
              <w:left w:val="nil"/>
              <w:bottom w:val="single" w:sz="4" w:space="0" w:color="auto"/>
              <w:right w:val="single" w:sz="4" w:space="0" w:color="auto"/>
            </w:tcBorders>
            <w:shd w:val="clear" w:color="000000" w:fill="FFFFFF"/>
            <w:noWrap/>
            <w:vAlign w:val="bottom"/>
            <w:hideMark/>
          </w:tcPr>
          <w:p w14:paraId="733590D5" w14:textId="77777777" w:rsidR="00B56301" w:rsidRPr="00364545" w:rsidRDefault="00B56301" w:rsidP="00B37B65">
            <w:pPr>
              <w:jc w:val="right"/>
              <w:rPr>
                <w:rFonts w:asciiTheme="minorHAnsi" w:hAnsiTheme="minorHAnsi"/>
                <w:sz w:val="16"/>
                <w:szCs w:val="16"/>
              </w:rPr>
            </w:pPr>
            <w:r w:rsidRPr="00364545">
              <w:rPr>
                <w:sz w:val="16"/>
              </w:rPr>
              <w:t>2,04</w:t>
            </w:r>
          </w:p>
        </w:tc>
        <w:tc>
          <w:tcPr>
            <w:tcW w:w="991" w:type="dxa"/>
            <w:tcBorders>
              <w:top w:val="nil"/>
              <w:left w:val="nil"/>
              <w:bottom w:val="single" w:sz="4" w:space="0" w:color="auto"/>
              <w:right w:val="single" w:sz="4" w:space="0" w:color="auto"/>
            </w:tcBorders>
            <w:shd w:val="clear" w:color="000000" w:fill="FFFFFF"/>
            <w:noWrap/>
            <w:vAlign w:val="bottom"/>
            <w:hideMark/>
          </w:tcPr>
          <w:p w14:paraId="69023762" w14:textId="77777777" w:rsidR="00B56301" w:rsidRPr="00364545" w:rsidRDefault="00B56301" w:rsidP="00B37B65">
            <w:pPr>
              <w:jc w:val="right"/>
              <w:rPr>
                <w:rFonts w:asciiTheme="minorHAnsi" w:hAnsiTheme="minorHAnsi"/>
                <w:sz w:val="16"/>
                <w:szCs w:val="16"/>
              </w:rPr>
            </w:pPr>
            <w:r w:rsidRPr="00364545">
              <w:rPr>
                <w:sz w:val="16"/>
              </w:rPr>
              <w:t>2,02</w:t>
            </w:r>
          </w:p>
        </w:tc>
      </w:tr>
      <w:tr w:rsidR="00B56301" w:rsidRPr="00364545" w14:paraId="74050F9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590BDB" w14:textId="1D22C2A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6F28AC0B"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65D19E3"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CB6BE8E"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9B9240E"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EA8F816"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3425D61"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43D5799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1347E16" w14:textId="59934CA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55D5BE4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F16AB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96860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CA18FB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12538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1ABD1A"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3B734DA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FA68C51" w14:textId="1319A06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6361DFEE"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3CD8ABDE"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5F462788"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1677BFA"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1A0BEB0F"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56454BA1" w14:textId="77777777" w:rsidR="00B56301" w:rsidRPr="00364545" w:rsidRDefault="00B56301" w:rsidP="00B37B65">
            <w:pPr>
              <w:jc w:val="right"/>
              <w:rPr>
                <w:rFonts w:asciiTheme="minorHAnsi" w:hAnsiTheme="minorHAnsi"/>
                <w:sz w:val="16"/>
                <w:szCs w:val="16"/>
              </w:rPr>
            </w:pPr>
            <w:r w:rsidRPr="00364545">
              <w:rPr>
                <w:sz w:val="16"/>
              </w:rPr>
              <w:t>NA</w:t>
            </w:r>
          </w:p>
        </w:tc>
      </w:tr>
      <w:tr w:rsidR="00B56301" w:rsidRPr="00364545" w14:paraId="6E6BF57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1761A24" w14:textId="592C27CC"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5. Waste</w:t>
            </w:r>
          </w:p>
        </w:tc>
        <w:tc>
          <w:tcPr>
            <w:tcW w:w="991" w:type="dxa"/>
            <w:tcBorders>
              <w:top w:val="nil"/>
              <w:left w:val="nil"/>
              <w:bottom w:val="single" w:sz="4" w:space="0" w:color="auto"/>
              <w:right w:val="single" w:sz="4" w:space="0" w:color="auto"/>
            </w:tcBorders>
            <w:shd w:val="clear" w:color="000000" w:fill="CCFFFF"/>
            <w:noWrap/>
            <w:vAlign w:val="bottom"/>
            <w:hideMark/>
          </w:tcPr>
          <w:p w14:paraId="3AD5AC33" w14:textId="77777777" w:rsidR="00B56301" w:rsidRPr="00364545" w:rsidRDefault="00B56301" w:rsidP="00B37B65">
            <w:pPr>
              <w:jc w:val="right"/>
              <w:rPr>
                <w:rFonts w:asciiTheme="minorHAnsi" w:hAnsiTheme="minorHAnsi"/>
                <w:sz w:val="16"/>
                <w:szCs w:val="16"/>
              </w:rPr>
            </w:pPr>
            <w:r w:rsidRPr="00364545">
              <w:rPr>
                <w:sz w:val="16"/>
              </w:rPr>
              <w:t>2,67</w:t>
            </w:r>
          </w:p>
        </w:tc>
        <w:tc>
          <w:tcPr>
            <w:tcW w:w="991" w:type="dxa"/>
            <w:tcBorders>
              <w:top w:val="nil"/>
              <w:left w:val="nil"/>
              <w:bottom w:val="single" w:sz="4" w:space="0" w:color="auto"/>
              <w:right w:val="single" w:sz="4" w:space="0" w:color="auto"/>
            </w:tcBorders>
            <w:shd w:val="clear" w:color="000000" w:fill="CCFFFF"/>
            <w:noWrap/>
            <w:vAlign w:val="bottom"/>
            <w:hideMark/>
          </w:tcPr>
          <w:p w14:paraId="323BE131" w14:textId="77777777" w:rsidR="00B56301" w:rsidRPr="00364545" w:rsidRDefault="00B56301" w:rsidP="00B37B65">
            <w:pPr>
              <w:jc w:val="right"/>
              <w:rPr>
                <w:rFonts w:asciiTheme="minorHAnsi" w:hAnsiTheme="minorHAnsi"/>
                <w:sz w:val="16"/>
                <w:szCs w:val="16"/>
              </w:rPr>
            </w:pPr>
            <w:r w:rsidRPr="00364545">
              <w:rPr>
                <w:sz w:val="16"/>
              </w:rPr>
              <w:t>2,64</w:t>
            </w:r>
          </w:p>
        </w:tc>
        <w:tc>
          <w:tcPr>
            <w:tcW w:w="991" w:type="dxa"/>
            <w:tcBorders>
              <w:top w:val="nil"/>
              <w:left w:val="nil"/>
              <w:bottom w:val="single" w:sz="4" w:space="0" w:color="auto"/>
              <w:right w:val="single" w:sz="4" w:space="0" w:color="auto"/>
            </w:tcBorders>
            <w:shd w:val="clear" w:color="000000" w:fill="CCFFFF"/>
            <w:noWrap/>
            <w:vAlign w:val="bottom"/>
            <w:hideMark/>
          </w:tcPr>
          <w:p w14:paraId="3E3AE546" w14:textId="77777777" w:rsidR="00B56301" w:rsidRPr="00364545" w:rsidRDefault="00B56301" w:rsidP="00B37B65">
            <w:pPr>
              <w:jc w:val="right"/>
              <w:rPr>
                <w:rFonts w:asciiTheme="minorHAnsi" w:hAnsiTheme="minorHAnsi"/>
                <w:sz w:val="16"/>
                <w:szCs w:val="16"/>
              </w:rPr>
            </w:pPr>
            <w:r w:rsidRPr="00364545">
              <w:rPr>
                <w:sz w:val="16"/>
              </w:rPr>
              <w:t>2,56</w:t>
            </w:r>
          </w:p>
        </w:tc>
        <w:tc>
          <w:tcPr>
            <w:tcW w:w="991" w:type="dxa"/>
            <w:tcBorders>
              <w:top w:val="nil"/>
              <w:left w:val="nil"/>
              <w:bottom w:val="single" w:sz="4" w:space="0" w:color="auto"/>
              <w:right w:val="single" w:sz="4" w:space="0" w:color="auto"/>
            </w:tcBorders>
            <w:shd w:val="clear" w:color="000000" w:fill="CCFFFF"/>
            <w:noWrap/>
            <w:vAlign w:val="bottom"/>
            <w:hideMark/>
          </w:tcPr>
          <w:p w14:paraId="747A8B6A" w14:textId="77777777" w:rsidR="00B56301" w:rsidRPr="00364545" w:rsidRDefault="00B56301" w:rsidP="00B37B65">
            <w:pPr>
              <w:jc w:val="right"/>
              <w:rPr>
                <w:rFonts w:asciiTheme="minorHAnsi" w:hAnsiTheme="minorHAnsi"/>
                <w:sz w:val="16"/>
                <w:szCs w:val="16"/>
              </w:rPr>
            </w:pPr>
            <w:r w:rsidRPr="00364545">
              <w:rPr>
                <w:sz w:val="16"/>
              </w:rPr>
              <w:t>2,52</w:t>
            </w:r>
          </w:p>
        </w:tc>
        <w:tc>
          <w:tcPr>
            <w:tcW w:w="991" w:type="dxa"/>
            <w:tcBorders>
              <w:top w:val="nil"/>
              <w:left w:val="nil"/>
              <w:bottom w:val="single" w:sz="4" w:space="0" w:color="auto"/>
              <w:right w:val="single" w:sz="4" w:space="0" w:color="auto"/>
            </w:tcBorders>
            <w:shd w:val="clear" w:color="000000" w:fill="CCFFFF"/>
            <w:noWrap/>
            <w:vAlign w:val="bottom"/>
            <w:hideMark/>
          </w:tcPr>
          <w:p w14:paraId="1C434B4F" w14:textId="77777777" w:rsidR="00B56301" w:rsidRPr="00364545" w:rsidRDefault="00B56301" w:rsidP="00B37B65">
            <w:pPr>
              <w:jc w:val="right"/>
              <w:rPr>
                <w:rFonts w:asciiTheme="minorHAnsi" w:hAnsiTheme="minorHAnsi"/>
                <w:sz w:val="16"/>
                <w:szCs w:val="16"/>
              </w:rPr>
            </w:pPr>
            <w:r w:rsidRPr="00364545">
              <w:rPr>
                <w:sz w:val="16"/>
              </w:rPr>
              <w:t>2,49</w:t>
            </w:r>
          </w:p>
        </w:tc>
        <w:tc>
          <w:tcPr>
            <w:tcW w:w="991" w:type="dxa"/>
            <w:tcBorders>
              <w:top w:val="nil"/>
              <w:left w:val="nil"/>
              <w:bottom w:val="single" w:sz="4" w:space="0" w:color="auto"/>
              <w:right w:val="single" w:sz="4" w:space="0" w:color="auto"/>
            </w:tcBorders>
            <w:shd w:val="clear" w:color="000000" w:fill="CCFFFF"/>
            <w:noWrap/>
            <w:vAlign w:val="bottom"/>
            <w:hideMark/>
          </w:tcPr>
          <w:p w14:paraId="5CACDB75" w14:textId="77777777" w:rsidR="00B56301" w:rsidRPr="00364545" w:rsidRDefault="00B56301" w:rsidP="00B37B65">
            <w:pPr>
              <w:jc w:val="right"/>
              <w:rPr>
                <w:rFonts w:asciiTheme="minorHAnsi" w:hAnsiTheme="minorHAnsi"/>
                <w:sz w:val="16"/>
                <w:szCs w:val="16"/>
              </w:rPr>
            </w:pPr>
            <w:r w:rsidRPr="00364545">
              <w:rPr>
                <w:sz w:val="16"/>
              </w:rPr>
              <w:t>2,52</w:t>
            </w:r>
          </w:p>
        </w:tc>
      </w:tr>
      <w:tr w:rsidR="00B56301" w:rsidRPr="00364545" w14:paraId="3A31EB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B4A787" w14:textId="0DFFB1C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338BC30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C5CD5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636EB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9BB38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4339B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098B4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4A5A0F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83007B8" w14:textId="2553CBA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55A4D511" w14:textId="77777777" w:rsidR="00B56301" w:rsidRPr="00364545" w:rsidRDefault="00B56301" w:rsidP="00B37B65">
            <w:pPr>
              <w:jc w:val="right"/>
              <w:rPr>
                <w:rFonts w:asciiTheme="minorHAnsi" w:hAnsiTheme="minorHAnsi"/>
                <w:sz w:val="16"/>
                <w:szCs w:val="16"/>
              </w:rPr>
            </w:pPr>
            <w:r w:rsidRPr="00364545">
              <w:rPr>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2F8EC1FF" w14:textId="77777777" w:rsidR="00B56301" w:rsidRPr="00364545" w:rsidRDefault="00B56301" w:rsidP="00B37B65">
            <w:pPr>
              <w:jc w:val="right"/>
              <w:rPr>
                <w:rFonts w:asciiTheme="minorHAnsi" w:hAnsiTheme="minorHAnsi"/>
                <w:sz w:val="16"/>
                <w:szCs w:val="16"/>
              </w:rPr>
            </w:pPr>
            <w:r w:rsidRPr="00364545">
              <w:rPr>
                <w:sz w:val="16"/>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12B51ECB" w14:textId="77777777" w:rsidR="00B56301" w:rsidRPr="00364545" w:rsidRDefault="00B56301" w:rsidP="00B37B65">
            <w:pPr>
              <w:jc w:val="right"/>
              <w:rPr>
                <w:rFonts w:asciiTheme="minorHAnsi" w:hAnsiTheme="minorHAnsi"/>
                <w:sz w:val="16"/>
                <w:szCs w:val="16"/>
              </w:rPr>
            </w:pPr>
            <w:r w:rsidRPr="00364545">
              <w:rPr>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496B0C57" w14:textId="77777777" w:rsidR="00B56301" w:rsidRPr="00364545" w:rsidRDefault="00B56301" w:rsidP="00B37B65">
            <w:pPr>
              <w:jc w:val="right"/>
              <w:rPr>
                <w:rFonts w:asciiTheme="minorHAnsi" w:hAnsiTheme="minorHAnsi"/>
                <w:sz w:val="16"/>
                <w:szCs w:val="16"/>
              </w:rPr>
            </w:pPr>
            <w:r w:rsidRPr="00364545">
              <w:rPr>
                <w:sz w:val="16"/>
              </w:rPr>
              <w:t>0,23</w:t>
            </w:r>
          </w:p>
        </w:tc>
        <w:tc>
          <w:tcPr>
            <w:tcW w:w="991" w:type="dxa"/>
            <w:tcBorders>
              <w:top w:val="nil"/>
              <w:left w:val="nil"/>
              <w:bottom w:val="single" w:sz="4" w:space="0" w:color="auto"/>
              <w:right w:val="single" w:sz="4" w:space="0" w:color="auto"/>
            </w:tcBorders>
            <w:shd w:val="clear" w:color="000000" w:fill="FFFFFF"/>
            <w:noWrap/>
            <w:vAlign w:val="bottom"/>
            <w:hideMark/>
          </w:tcPr>
          <w:p w14:paraId="2AC54118" w14:textId="77777777" w:rsidR="00B56301" w:rsidRPr="00364545" w:rsidRDefault="00B56301" w:rsidP="00B37B65">
            <w:pPr>
              <w:jc w:val="right"/>
              <w:rPr>
                <w:rFonts w:asciiTheme="minorHAnsi" w:hAnsiTheme="minorHAnsi"/>
                <w:sz w:val="16"/>
                <w:szCs w:val="16"/>
              </w:rPr>
            </w:pPr>
            <w:r w:rsidRPr="00364545">
              <w:rPr>
                <w:sz w:val="16"/>
              </w:rPr>
              <w:t>0,28</w:t>
            </w:r>
          </w:p>
        </w:tc>
        <w:tc>
          <w:tcPr>
            <w:tcW w:w="991" w:type="dxa"/>
            <w:tcBorders>
              <w:top w:val="nil"/>
              <w:left w:val="nil"/>
              <w:bottom w:val="single" w:sz="4" w:space="0" w:color="auto"/>
              <w:right w:val="single" w:sz="4" w:space="0" w:color="auto"/>
            </w:tcBorders>
            <w:shd w:val="clear" w:color="000000" w:fill="FFFFFF"/>
            <w:noWrap/>
            <w:vAlign w:val="bottom"/>
            <w:hideMark/>
          </w:tcPr>
          <w:p w14:paraId="6C5F073D" w14:textId="77777777" w:rsidR="00B56301" w:rsidRPr="00364545" w:rsidRDefault="00B56301" w:rsidP="00B37B65">
            <w:pPr>
              <w:jc w:val="right"/>
              <w:rPr>
                <w:rFonts w:asciiTheme="minorHAnsi" w:hAnsiTheme="minorHAnsi"/>
                <w:sz w:val="16"/>
                <w:szCs w:val="16"/>
              </w:rPr>
            </w:pPr>
            <w:r w:rsidRPr="00364545">
              <w:rPr>
                <w:sz w:val="16"/>
              </w:rPr>
              <w:t>0,30</w:t>
            </w:r>
          </w:p>
        </w:tc>
      </w:tr>
      <w:tr w:rsidR="00B56301" w:rsidRPr="00364545" w14:paraId="795F51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1D6D5D" w14:textId="1AB88D8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50F95AC2" w14:textId="77777777" w:rsidR="00B56301" w:rsidRPr="00364545" w:rsidRDefault="00B56301" w:rsidP="00B37B65">
            <w:pPr>
              <w:jc w:val="right"/>
              <w:rPr>
                <w:rFonts w:asciiTheme="minorHAnsi" w:hAnsiTheme="minorHAnsi"/>
                <w:sz w:val="16"/>
                <w:szCs w:val="16"/>
              </w:rPr>
            </w:pPr>
            <w:r w:rsidRPr="00364545">
              <w:rPr>
                <w:sz w:val="16"/>
              </w:rPr>
              <w:t>0,51</w:t>
            </w:r>
          </w:p>
        </w:tc>
        <w:tc>
          <w:tcPr>
            <w:tcW w:w="991" w:type="dxa"/>
            <w:tcBorders>
              <w:top w:val="nil"/>
              <w:left w:val="nil"/>
              <w:bottom w:val="single" w:sz="4" w:space="0" w:color="auto"/>
              <w:right w:val="single" w:sz="4" w:space="0" w:color="auto"/>
            </w:tcBorders>
            <w:shd w:val="clear" w:color="000000" w:fill="FFFFFF"/>
            <w:noWrap/>
            <w:vAlign w:val="bottom"/>
            <w:hideMark/>
          </w:tcPr>
          <w:p w14:paraId="091B9361" w14:textId="77777777" w:rsidR="00B56301" w:rsidRPr="00364545" w:rsidRDefault="00B56301" w:rsidP="00B37B65">
            <w:pPr>
              <w:jc w:val="right"/>
              <w:rPr>
                <w:rFonts w:asciiTheme="minorHAnsi" w:hAnsiTheme="minorHAnsi"/>
                <w:sz w:val="16"/>
                <w:szCs w:val="16"/>
              </w:rPr>
            </w:pPr>
            <w:r w:rsidRPr="00364545">
              <w:rPr>
                <w:sz w:val="16"/>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01F1ADFC" w14:textId="77777777" w:rsidR="00B56301" w:rsidRPr="00364545" w:rsidRDefault="00B56301" w:rsidP="00B37B65">
            <w:pPr>
              <w:jc w:val="right"/>
              <w:rPr>
                <w:rFonts w:asciiTheme="minorHAnsi" w:hAnsiTheme="minorHAnsi"/>
                <w:sz w:val="16"/>
                <w:szCs w:val="16"/>
              </w:rPr>
            </w:pPr>
            <w:r w:rsidRPr="00364545">
              <w:rPr>
                <w:sz w:val="16"/>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2FAC4370" w14:textId="77777777" w:rsidR="00B56301" w:rsidRPr="00364545" w:rsidRDefault="00B56301" w:rsidP="00B37B65">
            <w:pPr>
              <w:jc w:val="right"/>
              <w:rPr>
                <w:rFonts w:asciiTheme="minorHAnsi" w:hAnsiTheme="minorHAnsi"/>
                <w:sz w:val="16"/>
                <w:szCs w:val="16"/>
              </w:rPr>
            </w:pPr>
            <w:r w:rsidRPr="00364545">
              <w:rPr>
                <w:sz w:val="16"/>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7EA3DD94" w14:textId="77777777" w:rsidR="00B56301" w:rsidRPr="00364545" w:rsidRDefault="00B56301" w:rsidP="00B37B65">
            <w:pPr>
              <w:jc w:val="right"/>
              <w:rPr>
                <w:rFonts w:asciiTheme="minorHAnsi" w:hAnsiTheme="minorHAnsi"/>
                <w:sz w:val="16"/>
                <w:szCs w:val="16"/>
              </w:rPr>
            </w:pPr>
            <w:r w:rsidRPr="00364545">
              <w:rPr>
                <w:sz w:val="16"/>
              </w:rPr>
              <w:t>0,38</w:t>
            </w:r>
          </w:p>
        </w:tc>
        <w:tc>
          <w:tcPr>
            <w:tcW w:w="991" w:type="dxa"/>
            <w:tcBorders>
              <w:top w:val="nil"/>
              <w:left w:val="nil"/>
              <w:bottom w:val="single" w:sz="4" w:space="0" w:color="auto"/>
              <w:right w:val="single" w:sz="4" w:space="0" w:color="auto"/>
            </w:tcBorders>
            <w:shd w:val="clear" w:color="000000" w:fill="FFFFFF"/>
            <w:noWrap/>
            <w:vAlign w:val="bottom"/>
            <w:hideMark/>
          </w:tcPr>
          <w:p w14:paraId="6F7868F4" w14:textId="77777777" w:rsidR="00B56301" w:rsidRPr="00364545" w:rsidRDefault="00B56301" w:rsidP="00B37B65">
            <w:pPr>
              <w:jc w:val="right"/>
              <w:rPr>
                <w:rFonts w:asciiTheme="minorHAnsi" w:hAnsiTheme="minorHAnsi"/>
                <w:sz w:val="16"/>
                <w:szCs w:val="16"/>
              </w:rPr>
            </w:pPr>
            <w:r w:rsidRPr="00364545">
              <w:rPr>
                <w:sz w:val="16"/>
              </w:rPr>
              <w:t>0,40</w:t>
            </w:r>
          </w:p>
        </w:tc>
      </w:tr>
      <w:tr w:rsidR="00B56301" w:rsidRPr="00364545" w14:paraId="45D49B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D7B41D" w14:textId="351A2EF0"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66259878" w14:textId="77777777" w:rsidR="00B56301" w:rsidRPr="00364545" w:rsidRDefault="00B56301" w:rsidP="00B37B65">
            <w:pPr>
              <w:jc w:val="right"/>
              <w:rPr>
                <w:rFonts w:asciiTheme="minorHAnsi" w:hAnsiTheme="minorHAnsi"/>
                <w:sz w:val="16"/>
                <w:szCs w:val="16"/>
              </w:rPr>
            </w:pPr>
            <w:r w:rsidRPr="00364545">
              <w:rPr>
                <w:sz w:val="16"/>
              </w:rPr>
              <w:t>1,96</w:t>
            </w:r>
          </w:p>
        </w:tc>
        <w:tc>
          <w:tcPr>
            <w:tcW w:w="991" w:type="dxa"/>
            <w:tcBorders>
              <w:top w:val="nil"/>
              <w:left w:val="nil"/>
              <w:bottom w:val="single" w:sz="4" w:space="0" w:color="auto"/>
              <w:right w:val="single" w:sz="4" w:space="0" w:color="auto"/>
            </w:tcBorders>
            <w:shd w:val="clear" w:color="000000" w:fill="FFFFFF"/>
            <w:noWrap/>
            <w:vAlign w:val="bottom"/>
            <w:hideMark/>
          </w:tcPr>
          <w:p w14:paraId="4B572EED" w14:textId="77777777" w:rsidR="00B56301" w:rsidRPr="00364545" w:rsidRDefault="00B56301" w:rsidP="00B37B65">
            <w:pPr>
              <w:jc w:val="right"/>
              <w:rPr>
                <w:rFonts w:asciiTheme="minorHAnsi" w:hAnsiTheme="minorHAnsi"/>
                <w:sz w:val="16"/>
                <w:szCs w:val="16"/>
              </w:rPr>
            </w:pPr>
            <w:r w:rsidRPr="00364545">
              <w:rPr>
                <w:sz w:val="16"/>
              </w:rPr>
              <w:t>1,93</w:t>
            </w:r>
          </w:p>
        </w:tc>
        <w:tc>
          <w:tcPr>
            <w:tcW w:w="991" w:type="dxa"/>
            <w:tcBorders>
              <w:top w:val="nil"/>
              <w:left w:val="nil"/>
              <w:bottom w:val="single" w:sz="4" w:space="0" w:color="auto"/>
              <w:right w:val="single" w:sz="4" w:space="0" w:color="auto"/>
            </w:tcBorders>
            <w:shd w:val="clear" w:color="000000" w:fill="FFFFFF"/>
            <w:noWrap/>
            <w:vAlign w:val="bottom"/>
            <w:hideMark/>
          </w:tcPr>
          <w:p w14:paraId="6AB0132F" w14:textId="77777777" w:rsidR="00B56301" w:rsidRPr="00364545" w:rsidRDefault="00B56301" w:rsidP="00B37B65">
            <w:pPr>
              <w:jc w:val="right"/>
              <w:rPr>
                <w:rFonts w:asciiTheme="minorHAnsi" w:hAnsiTheme="minorHAnsi"/>
                <w:sz w:val="16"/>
                <w:szCs w:val="16"/>
              </w:rPr>
            </w:pPr>
            <w:r w:rsidRPr="00364545">
              <w:rPr>
                <w:sz w:val="16"/>
              </w:rPr>
              <w:t>1,90</w:t>
            </w:r>
          </w:p>
        </w:tc>
        <w:tc>
          <w:tcPr>
            <w:tcW w:w="991" w:type="dxa"/>
            <w:tcBorders>
              <w:top w:val="nil"/>
              <w:left w:val="nil"/>
              <w:bottom w:val="single" w:sz="4" w:space="0" w:color="auto"/>
              <w:right w:val="single" w:sz="4" w:space="0" w:color="auto"/>
            </w:tcBorders>
            <w:shd w:val="clear" w:color="000000" w:fill="FFFFFF"/>
            <w:noWrap/>
            <w:vAlign w:val="bottom"/>
            <w:hideMark/>
          </w:tcPr>
          <w:p w14:paraId="7FDCF126" w14:textId="77777777" w:rsidR="00B56301" w:rsidRPr="00364545" w:rsidRDefault="00B56301" w:rsidP="00B37B65">
            <w:pPr>
              <w:jc w:val="right"/>
              <w:rPr>
                <w:rFonts w:asciiTheme="minorHAnsi" w:hAnsiTheme="minorHAnsi"/>
                <w:sz w:val="16"/>
                <w:szCs w:val="16"/>
              </w:rPr>
            </w:pPr>
            <w:r w:rsidRPr="00364545">
              <w:rPr>
                <w:sz w:val="16"/>
              </w:rPr>
              <w:t>1,88</w:t>
            </w:r>
          </w:p>
        </w:tc>
        <w:tc>
          <w:tcPr>
            <w:tcW w:w="991" w:type="dxa"/>
            <w:tcBorders>
              <w:top w:val="nil"/>
              <w:left w:val="nil"/>
              <w:bottom w:val="single" w:sz="4" w:space="0" w:color="auto"/>
              <w:right w:val="single" w:sz="4" w:space="0" w:color="auto"/>
            </w:tcBorders>
            <w:shd w:val="clear" w:color="000000" w:fill="FFFFFF"/>
            <w:noWrap/>
            <w:vAlign w:val="bottom"/>
            <w:hideMark/>
          </w:tcPr>
          <w:p w14:paraId="5A1C4167" w14:textId="77777777" w:rsidR="00B56301" w:rsidRPr="00364545" w:rsidRDefault="00B56301" w:rsidP="00B37B65">
            <w:pPr>
              <w:jc w:val="right"/>
              <w:rPr>
                <w:rFonts w:asciiTheme="minorHAnsi" w:hAnsiTheme="minorHAnsi"/>
                <w:sz w:val="16"/>
                <w:szCs w:val="16"/>
              </w:rPr>
            </w:pPr>
            <w:r w:rsidRPr="00364545">
              <w:rPr>
                <w:sz w:val="16"/>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0905FD57" w14:textId="77777777" w:rsidR="00B56301" w:rsidRPr="00364545" w:rsidRDefault="00B56301" w:rsidP="00B37B65">
            <w:pPr>
              <w:jc w:val="right"/>
              <w:rPr>
                <w:rFonts w:asciiTheme="minorHAnsi" w:hAnsiTheme="minorHAnsi"/>
                <w:sz w:val="16"/>
                <w:szCs w:val="16"/>
              </w:rPr>
            </w:pPr>
            <w:r w:rsidRPr="00364545">
              <w:rPr>
                <w:sz w:val="16"/>
              </w:rPr>
              <w:t>1,82</w:t>
            </w:r>
          </w:p>
        </w:tc>
      </w:tr>
      <w:tr w:rsidR="00B56301" w:rsidRPr="00364545" w14:paraId="7BB286C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86A7706" w14:textId="48877E2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Other</w:t>
            </w:r>
            <w:r w:rsidRPr="00364545">
              <w:rPr>
                <w:rFonts w:asciiTheme="minorHAnsi" w:hAnsiTheme="minorHAnsi"/>
                <w:b/>
                <w:i/>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7764C95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08CF63B"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CF175D"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5C03436"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99FC4F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15457A0"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072A495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AE9E248" w14:textId="1100B87A"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499A910A"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9BAFEE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5D1CEB1"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7CF32FEB"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8823F7D"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7CA4E4A"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6233ABD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C4C9459" w14:textId="75D3681D"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direct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 xml:space="preserve">emissions without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20E4234E" w14:textId="77777777" w:rsidR="00B56301" w:rsidRPr="00364545" w:rsidRDefault="00B56301" w:rsidP="00B37B65">
            <w:pPr>
              <w:jc w:val="right"/>
              <w:rPr>
                <w:rFonts w:asciiTheme="minorHAnsi" w:hAnsiTheme="minorHAnsi"/>
                <w:sz w:val="16"/>
                <w:szCs w:val="16"/>
              </w:rPr>
            </w:pPr>
            <w:r w:rsidRPr="00364545">
              <w:rPr>
                <w:sz w:val="16"/>
              </w:rPr>
              <w:t>221,27</w:t>
            </w:r>
          </w:p>
        </w:tc>
        <w:tc>
          <w:tcPr>
            <w:tcW w:w="991" w:type="dxa"/>
            <w:tcBorders>
              <w:top w:val="nil"/>
              <w:left w:val="nil"/>
              <w:bottom w:val="single" w:sz="4" w:space="0" w:color="auto"/>
              <w:right w:val="single" w:sz="4" w:space="0" w:color="auto"/>
            </w:tcBorders>
            <w:shd w:val="clear" w:color="000000" w:fill="CCFFFF"/>
            <w:noWrap/>
            <w:vAlign w:val="bottom"/>
            <w:hideMark/>
          </w:tcPr>
          <w:p w14:paraId="6B2B1C4F" w14:textId="77777777" w:rsidR="00B56301" w:rsidRPr="00364545" w:rsidRDefault="00B56301" w:rsidP="00B37B65">
            <w:pPr>
              <w:jc w:val="right"/>
              <w:rPr>
                <w:rFonts w:asciiTheme="minorHAnsi" w:hAnsiTheme="minorHAnsi"/>
                <w:sz w:val="16"/>
                <w:szCs w:val="16"/>
              </w:rPr>
            </w:pPr>
            <w:r w:rsidRPr="00364545">
              <w:rPr>
                <w:sz w:val="16"/>
              </w:rPr>
              <w:t>226,38</w:t>
            </w:r>
          </w:p>
        </w:tc>
        <w:tc>
          <w:tcPr>
            <w:tcW w:w="991" w:type="dxa"/>
            <w:tcBorders>
              <w:top w:val="nil"/>
              <w:left w:val="nil"/>
              <w:bottom w:val="single" w:sz="4" w:space="0" w:color="auto"/>
              <w:right w:val="single" w:sz="4" w:space="0" w:color="auto"/>
            </w:tcBorders>
            <w:shd w:val="clear" w:color="000000" w:fill="CCFFFF"/>
            <w:noWrap/>
            <w:vAlign w:val="bottom"/>
            <w:hideMark/>
          </w:tcPr>
          <w:p w14:paraId="6FE9ECA5" w14:textId="77777777" w:rsidR="00B56301" w:rsidRPr="00364545" w:rsidRDefault="00B56301" w:rsidP="00B37B65">
            <w:pPr>
              <w:jc w:val="right"/>
              <w:rPr>
                <w:rFonts w:asciiTheme="minorHAnsi" w:hAnsiTheme="minorHAnsi"/>
                <w:sz w:val="16"/>
                <w:szCs w:val="16"/>
              </w:rPr>
            </w:pPr>
            <w:r w:rsidRPr="00364545">
              <w:rPr>
                <w:sz w:val="16"/>
              </w:rPr>
              <w:t>226,15</w:t>
            </w:r>
          </w:p>
        </w:tc>
        <w:tc>
          <w:tcPr>
            <w:tcW w:w="991" w:type="dxa"/>
            <w:tcBorders>
              <w:top w:val="nil"/>
              <w:left w:val="nil"/>
              <w:bottom w:val="single" w:sz="4" w:space="0" w:color="auto"/>
              <w:right w:val="single" w:sz="4" w:space="0" w:color="auto"/>
            </w:tcBorders>
            <w:shd w:val="clear" w:color="000000" w:fill="CCFFFF"/>
            <w:noWrap/>
            <w:vAlign w:val="bottom"/>
            <w:hideMark/>
          </w:tcPr>
          <w:p w14:paraId="7C287025" w14:textId="77777777" w:rsidR="00B56301" w:rsidRPr="00364545" w:rsidRDefault="00B56301" w:rsidP="00B37B65">
            <w:pPr>
              <w:jc w:val="right"/>
              <w:rPr>
                <w:rFonts w:asciiTheme="minorHAnsi" w:hAnsiTheme="minorHAnsi"/>
                <w:sz w:val="16"/>
                <w:szCs w:val="16"/>
              </w:rPr>
            </w:pPr>
            <w:r w:rsidRPr="00364545">
              <w:rPr>
                <w:sz w:val="16"/>
              </w:rPr>
              <w:t>203,94</w:t>
            </w:r>
          </w:p>
        </w:tc>
        <w:tc>
          <w:tcPr>
            <w:tcW w:w="991" w:type="dxa"/>
            <w:tcBorders>
              <w:top w:val="nil"/>
              <w:left w:val="nil"/>
              <w:bottom w:val="single" w:sz="4" w:space="0" w:color="auto"/>
              <w:right w:val="single" w:sz="4" w:space="0" w:color="auto"/>
            </w:tcBorders>
            <w:shd w:val="clear" w:color="000000" w:fill="CCFFFF"/>
            <w:noWrap/>
            <w:vAlign w:val="bottom"/>
            <w:hideMark/>
          </w:tcPr>
          <w:p w14:paraId="36634589" w14:textId="77777777" w:rsidR="00B56301" w:rsidRPr="00364545" w:rsidRDefault="00B56301" w:rsidP="00B37B65">
            <w:pPr>
              <w:jc w:val="right"/>
              <w:rPr>
                <w:rFonts w:asciiTheme="minorHAnsi" w:hAnsiTheme="minorHAnsi"/>
                <w:sz w:val="16"/>
                <w:szCs w:val="16"/>
              </w:rPr>
            </w:pPr>
            <w:r w:rsidRPr="00364545">
              <w:rPr>
                <w:sz w:val="16"/>
              </w:rPr>
              <w:t>183,61</w:t>
            </w:r>
          </w:p>
        </w:tc>
        <w:tc>
          <w:tcPr>
            <w:tcW w:w="991" w:type="dxa"/>
            <w:tcBorders>
              <w:top w:val="nil"/>
              <w:left w:val="nil"/>
              <w:bottom w:val="single" w:sz="4" w:space="0" w:color="auto"/>
              <w:right w:val="single" w:sz="4" w:space="0" w:color="auto"/>
            </w:tcBorders>
            <w:shd w:val="clear" w:color="000000" w:fill="CCFFFF"/>
            <w:noWrap/>
            <w:vAlign w:val="bottom"/>
            <w:hideMark/>
          </w:tcPr>
          <w:p w14:paraId="196F699F" w14:textId="77777777" w:rsidR="00B56301" w:rsidRPr="00364545" w:rsidRDefault="00B56301" w:rsidP="00B37B65">
            <w:pPr>
              <w:jc w:val="right"/>
              <w:rPr>
                <w:rFonts w:asciiTheme="minorHAnsi" w:hAnsiTheme="minorHAnsi"/>
                <w:sz w:val="16"/>
                <w:szCs w:val="16"/>
              </w:rPr>
            </w:pPr>
            <w:r w:rsidRPr="00364545">
              <w:rPr>
                <w:sz w:val="16"/>
              </w:rPr>
              <w:t>180,14</w:t>
            </w:r>
          </w:p>
        </w:tc>
      </w:tr>
      <w:tr w:rsidR="00B56301" w:rsidRPr="00364545" w14:paraId="144211E0"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7355127A" w14:textId="4BEFDD9A" w:rsidR="00B56301" w:rsidRPr="00364545" w:rsidRDefault="00B56301" w:rsidP="00B37B65">
            <w:pPr>
              <w:jc w:val="left"/>
              <w:rPr>
                <w:rFonts w:asciiTheme="minorHAnsi" w:hAnsiTheme="minorHAnsi"/>
                <w:b/>
                <w:bCs/>
                <w:sz w:val="16"/>
                <w:szCs w:val="16"/>
              </w:rPr>
            </w:pPr>
            <w:r w:rsidRPr="00364545">
              <w:rPr>
                <w:rFonts w:asciiTheme="minorHAnsi" w:hAnsiTheme="minorHAnsi"/>
                <w:b/>
                <w:sz w:val="16"/>
                <w:lang w:val="pt-BR"/>
              </w:rPr>
              <w:t xml:space="preserve">Total direct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 xml:space="preserve">emissions with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from LULUCF</w:t>
            </w:r>
          </w:p>
        </w:tc>
        <w:tc>
          <w:tcPr>
            <w:tcW w:w="991" w:type="dxa"/>
            <w:tcBorders>
              <w:top w:val="nil"/>
              <w:left w:val="single" w:sz="4" w:space="0" w:color="auto"/>
              <w:bottom w:val="single" w:sz="4" w:space="0" w:color="auto"/>
              <w:right w:val="single" w:sz="4" w:space="0" w:color="auto"/>
            </w:tcBorders>
            <w:shd w:val="clear" w:color="000000" w:fill="CCFFFF"/>
            <w:noWrap/>
            <w:vAlign w:val="bottom"/>
            <w:hideMark/>
          </w:tcPr>
          <w:p w14:paraId="21B2C051" w14:textId="77777777" w:rsidR="00B56301" w:rsidRPr="00364545" w:rsidRDefault="00B56301" w:rsidP="00B37B65">
            <w:pPr>
              <w:jc w:val="right"/>
              <w:rPr>
                <w:rFonts w:asciiTheme="minorHAnsi" w:hAnsiTheme="minorHAnsi"/>
                <w:sz w:val="16"/>
                <w:szCs w:val="16"/>
              </w:rPr>
            </w:pPr>
            <w:r w:rsidRPr="00364545">
              <w:rPr>
                <w:sz w:val="16"/>
              </w:rPr>
              <w:t>232,16</w:t>
            </w:r>
          </w:p>
        </w:tc>
        <w:tc>
          <w:tcPr>
            <w:tcW w:w="991" w:type="dxa"/>
            <w:tcBorders>
              <w:top w:val="nil"/>
              <w:left w:val="nil"/>
              <w:bottom w:val="single" w:sz="4" w:space="0" w:color="auto"/>
              <w:right w:val="single" w:sz="4" w:space="0" w:color="auto"/>
            </w:tcBorders>
            <w:shd w:val="clear" w:color="000000" w:fill="CCFFFF"/>
            <w:noWrap/>
            <w:vAlign w:val="bottom"/>
            <w:hideMark/>
          </w:tcPr>
          <w:p w14:paraId="6188AFC7" w14:textId="77777777" w:rsidR="00B56301" w:rsidRPr="00364545" w:rsidRDefault="00B56301" w:rsidP="00B37B65">
            <w:pPr>
              <w:jc w:val="right"/>
              <w:rPr>
                <w:rFonts w:asciiTheme="minorHAnsi" w:hAnsiTheme="minorHAnsi"/>
                <w:sz w:val="16"/>
                <w:szCs w:val="16"/>
              </w:rPr>
            </w:pPr>
            <w:r w:rsidRPr="00364545">
              <w:rPr>
                <w:sz w:val="16"/>
              </w:rPr>
              <w:t>237,18</w:t>
            </w:r>
          </w:p>
        </w:tc>
        <w:tc>
          <w:tcPr>
            <w:tcW w:w="991" w:type="dxa"/>
            <w:tcBorders>
              <w:top w:val="nil"/>
              <w:left w:val="nil"/>
              <w:bottom w:val="single" w:sz="4" w:space="0" w:color="auto"/>
              <w:right w:val="single" w:sz="4" w:space="0" w:color="auto"/>
            </w:tcBorders>
            <w:shd w:val="clear" w:color="000000" w:fill="CCFFFF"/>
            <w:noWrap/>
            <w:vAlign w:val="bottom"/>
            <w:hideMark/>
          </w:tcPr>
          <w:p w14:paraId="53CC42A7" w14:textId="77777777" w:rsidR="00B56301" w:rsidRPr="00364545" w:rsidRDefault="00B56301" w:rsidP="00B37B65">
            <w:pPr>
              <w:jc w:val="right"/>
              <w:rPr>
                <w:rFonts w:asciiTheme="minorHAnsi" w:hAnsiTheme="minorHAnsi"/>
                <w:sz w:val="16"/>
                <w:szCs w:val="16"/>
              </w:rPr>
            </w:pPr>
            <w:r w:rsidRPr="00364545">
              <w:rPr>
                <w:sz w:val="16"/>
              </w:rPr>
              <w:t>236,98</w:t>
            </w:r>
          </w:p>
        </w:tc>
        <w:tc>
          <w:tcPr>
            <w:tcW w:w="991" w:type="dxa"/>
            <w:tcBorders>
              <w:top w:val="nil"/>
              <w:left w:val="nil"/>
              <w:bottom w:val="single" w:sz="4" w:space="0" w:color="auto"/>
              <w:right w:val="single" w:sz="4" w:space="0" w:color="auto"/>
            </w:tcBorders>
            <w:shd w:val="clear" w:color="000000" w:fill="CCFFFF"/>
            <w:noWrap/>
            <w:vAlign w:val="bottom"/>
            <w:hideMark/>
          </w:tcPr>
          <w:p w14:paraId="5E25E6F2" w14:textId="77777777" w:rsidR="00B56301" w:rsidRPr="00364545" w:rsidRDefault="00B56301" w:rsidP="00B37B65">
            <w:pPr>
              <w:jc w:val="right"/>
              <w:rPr>
                <w:rFonts w:asciiTheme="minorHAnsi" w:hAnsiTheme="minorHAnsi"/>
                <w:sz w:val="16"/>
                <w:szCs w:val="16"/>
              </w:rPr>
            </w:pPr>
            <w:r w:rsidRPr="00364545">
              <w:rPr>
                <w:sz w:val="16"/>
              </w:rPr>
              <w:t>214,74</w:t>
            </w:r>
          </w:p>
        </w:tc>
        <w:tc>
          <w:tcPr>
            <w:tcW w:w="991" w:type="dxa"/>
            <w:tcBorders>
              <w:top w:val="nil"/>
              <w:left w:val="nil"/>
              <w:bottom w:val="single" w:sz="4" w:space="0" w:color="auto"/>
              <w:right w:val="single" w:sz="4" w:space="0" w:color="auto"/>
            </w:tcBorders>
            <w:shd w:val="clear" w:color="000000" w:fill="CCFFFF"/>
            <w:noWrap/>
            <w:vAlign w:val="bottom"/>
            <w:hideMark/>
          </w:tcPr>
          <w:p w14:paraId="6F19A96E" w14:textId="77777777" w:rsidR="00B56301" w:rsidRPr="00364545" w:rsidRDefault="00B56301" w:rsidP="00B37B65">
            <w:pPr>
              <w:jc w:val="right"/>
              <w:rPr>
                <w:rFonts w:asciiTheme="minorHAnsi" w:hAnsiTheme="minorHAnsi"/>
                <w:sz w:val="16"/>
                <w:szCs w:val="16"/>
              </w:rPr>
            </w:pPr>
            <w:r w:rsidRPr="00364545">
              <w:rPr>
                <w:sz w:val="16"/>
              </w:rPr>
              <w:t>194,25</w:t>
            </w:r>
          </w:p>
        </w:tc>
        <w:tc>
          <w:tcPr>
            <w:tcW w:w="991" w:type="dxa"/>
            <w:tcBorders>
              <w:top w:val="nil"/>
              <w:left w:val="nil"/>
              <w:bottom w:val="single" w:sz="4" w:space="0" w:color="auto"/>
              <w:right w:val="single" w:sz="4" w:space="0" w:color="auto"/>
            </w:tcBorders>
            <w:shd w:val="clear" w:color="000000" w:fill="CCFFFF"/>
            <w:noWrap/>
            <w:vAlign w:val="bottom"/>
            <w:hideMark/>
          </w:tcPr>
          <w:p w14:paraId="4685C0CB" w14:textId="77777777" w:rsidR="00B56301" w:rsidRPr="00364545" w:rsidRDefault="00B56301" w:rsidP="00B37B65">
            <w:pPr>
              <w:jc w:val="right"/>
              <w:rPr>
                <w:rFonts w:asciiTheme="minorHAnsi" w:hAnsiTheme="minorHAnsi"/>
                <w:sz w:val="16"/>
                <w:szCs w:val="16"/>
              </w:rPr>
            </w:pPr>
            <w:r w:rsidRPr="00364545">
              <w:rPr>
                <w:sz w:val="16"/>
              </w:rPr>
              <w:t>190,85</w:t>
            </w:r>
          </w:p>
        </w:tc>
      </w:tr>
      <w:tr w:rsidR="00B56301" w:rsidRPr="00364545" w14:paraId="16F00E9B"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5B487F4"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Memo items:</w:t>
            </w:r>
            <w:r w:rsidRPr="00364545">
              <w:rPr>
                <w:rFonts w:asciiTheme="minorHAnsi" w:hAnsiTheme="minorHAnsi"/>
                <w:b/>
                <w:sz w:val="16"/>
                <w:vertAlign w:val="superscript"/>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39D083B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59E8C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74430A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0C258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088D3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1EB419"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00FCD2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26D1CE3"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7EF9FC5D" w14:textId="77777777" w:rsidR="00B56301" w:rsidRPr="00364545" w:rsidRDefault="00B56301" w:rsidP="00B37B65">
            <w:pPr>
              <w:jc w:val="right"/>
              <w:rPr>
                <w:rFonts w:asciiTheme="minorHAnsi" w:hAnsiTheme="minorHAnsi"/>
                <w:sz w:val="16"/>
                <w:szCs w:val="16"/>
              </w:rPr>
            </w:pPr>
            <w:r w:rsidRPr="00364545">
              <w:rPr>
                <w:sz w:val="16"/>
              </w:rPr>
              <w:t>0,47</w:t>
            </w:r>
          </w:p>
        </w:tc>
        <w:tc>
          <w:tcPr>
            <w:tcW w:w="991" w:type="dxa"/>
            <w:tcBorders>
              <w:top w:val="nil"/>
              <w:left w:val="nil"/>
              <w:bottom w:val="single" w:sz="4" w:space="0" w:color="auto"/>
              <w:right w:val="single" w:sz="4" w:space="0" w:color="auto"/>
            </w:tcBorders>
            <w:shd w:val="clear" w:color="000000" w:fill="CCFFFF"/>
            <w:noWrap/>
            <w:vAlign w:val="bottom"/>
            <w:hideMark/>
          </w:tcPr>
          <w:p w14:paraId="57537C10" w14:textId="77777777" w:rsidR="00B56301" w:rsidRPr="00364545" w:rsidRDefault="00B56301" w:rsidP="00B37B65">
            <w:pPr>
              <w:jc w:val="right"/>
              <w:rPr>
                <w:rFonts w:asciiTheme="minorHAnsi" w:hAnsiTheme="minorHAnsi"/>
                <w:sz w:val="16"/>
                <w:szCs w:val="16"/>
              </w:rPr>
            </w:pPr>
            <w:r w:rsidRPr="00364545">
              <w:rPr>
                <w:sz w:val="16"/>
              </w:rPr>
              <w:t>0,50</w:t>
            </w:r>
          </w:p>
        </w:tc>
        <w:tc>
          <w:tcPr>
            <w:tcW w:w="991" w:type="dxa"/>
            <w:tcBorders>
              <w:top w:val="nil"/>
              <w:left w:val="nil"/>
              <w:bottom w:val="single" w:sz="4" w:space="0" w:color="auto"/>
              <w:right w:val="single" w:sz="4" w:space="0" w:color="auto"/>
            </w:tcBorders>
            <w:shd w:val="clear" w:color="000000" w:fill="CCFFFF"/>
            <w:noWrap/>
            <w:vAlign w:val="bottom"/>
            <w:hideMark/>
          </w:tcPr>
          <w:p w14:paraId="38CB4A74" w14:textId="77777777" w:rsidR="00B56301" w:rsidRPr="00364545" w:rsidRDefault="00B56301" w:rsidP="00B37B65">
            <w:pPr>
              <w:jc w:val="right"/>
              <w:rPr>
                <w:rFonts w:asciiTheme="minorHAnsi" w:hAnsiTheme="minorHAnsi"/>
                <w:sz w:val="16"/>
                <w:szCs w:val="16"/>
              </w:rPr>
            </w:pPr>
            <w:r w:rsidRPr="00364545">
              <w:rPr>
                <w:sz w:val="16"/>
              </w:rPr>
              <w:t>0,53</w:t>
            </w:r>
          </w:p>
        </w:tc>
        <w:tc>
          <w:tcPr>
            <w:tcW w:w="991" w:type="dxa"/>
            <w:tcBorders>
              <w:top w:val="nil"/>
              <w:left w:val="nil"/>
              <w:bottom w:val="single" w:sz="4" w:space="0" w:color="auto"/>
              <w:right w:val="single" w:sz="4" w:space="0" w:color="auto"/>
            </w:tcBorders>
            <w:shd w:val="clear" w:color="000000" w:fill="CCFFFF"/>
            <w:noWrap/>
            <w:vAlign w:val="bottom"/>
            <w:hideMark/>
          </w:tcPr>
          <w:p w14:paraId="69F41968" w14:textId="77777777" w:rsidR="00B56301" w:rsidRPr="00364545" w:rsidRDefault="00B56301" w:rsidP="00B37B65">
            <w:pPr>
              <w:jc w:val="right"/>
              <w:rPr>
                <w:rFonts w:asciiTheme="minorHAnsi" w:hAnsiTheme="minorHAnsi"/>
                <w:sz w:val="16"/>
                <w:szCs w:val="16"/>
              </w:rPr>
            </w:pPr>
            <w:r w:rsidRPr="00364545">
              <w:rPr>
                <w:sz w:val="16"/>
              </w:rPr>
              <w:t>0,57</w:t>
            </w:r>
          </w:p>
        </w:tc>
        <w:tc>
          <w:tcPr>
            <w:tcW w:w="991" w:type="dxa"/>
            <w:tcBorders>
              <w:top w:val="nil"/>
              <w:left w:val="nil"/>
              <w:bottom w:val="single" w:sz="4" w:space="0" w:color="auto"/>
              <w:right w:val="single" w:sz="4" w:space="0" w:color="auto"/>
            </w:tcBorders>
            <w:shd w:val="clear" w:color="000000" w:fill="CCFFFF"/>
            <w:noWrap/>
            <w:vAlign w:val="bottom"/>
            <w:hideMark/>
          </w:tcPr>
          <w:p w14:paraId="547F9FBE" w14:textId="77777777" w:rsidR="00B56301" w:rsidRPr="00364545" w:rsidRDefault="00B56301" w:rsidP="00B37B65">
            <w:pPr>
              <w:jc w:val="right"/>
              <w:rPr>
                <w:rFonts w:asciiTheme="minorHAnsi" w:hAnsiTheme="minorHAnsi"/>
                <w:sz w:val="16"/>
                <w:szCs w:val="16"/>
              </w:rPr>
            </w:pPr>
            <w:r w:rsidRPr="00364545">
              <w:rPr>
                <w:sz w:val="16"/>
              </w:rPr>
              <w:t>0,61</w:t>
            </w:r>
          </w:p>
        </w:tc>
        <w:tc>
          <w:tcPr>
            <w:tcW w:w="991" w:type="dxa"/>
            <w:tcBorders>
              <w:top w:val="nil"/>
              <w:left w:val="nil"/>
              <w:bottom w:val="single" w:sz="4" w:space="0" w:color="auto"/>
              <w:right w:val="single" w:sz="4" w:space="0" w:color="auto"/>
            </w:tcBorders>
            <w:shd w:val="clear" w:color="000000" w:fill="CCFFFF"/>
            <w:noWrap/>
            <w:vAlign w:val="bottom"/>
            <w:hideMark/>
          </w:tcPr>
          <w:p w14:paraId="3F202A9E" w14:textId="77777777" w:rsidR="00B56301" w:rsidRPr="00364545" w:rsidRDefault="00B56301" w:rsidP="00B37B65">
            <w:pPr>
              <w:jc w:val="right"/>
              <w:rPr>
                <w:rFonts w:asciiTheme="minorHAnsi" w:hAnsiTheme="minorHAnsi"/>
                <w:sz w:val="16"/>
                <w:szCs w:val="16"/>
              </w:rPr>
            </w:pPr>
            <w:r w:rsidRPr="00364545">
              <w:rPr>
                <w:sz w:val="16"/>
              </w:rPr>
              <w:t>0,63</w:t>
            </w:r>
          </w:p>
        </w:tc>
      </w:tr>
      <w:tr w:rsidR="00B56301" w:rsidRPr="00364545" w14:paraId="65D7794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3D741C"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159C1916" w14:textId="77777777" w:rsidR="00B56301" w:rsidRPr="00364545" w:rsidRDefault="00B56301" w:rsidP="00B37B65">
            <w:pPr>
              <w:jc w:val="right"/>
              <w:rPr>
                <w:rFonts w:asciiTheme="minorHAnsi" w:hAnsiTheme="minorHAnsi"/>
                <w:sz w:val="16"/>
                <w:szCs w:val="16"/>
              </w:rPr>
            </w:pPr>
            <w:r w:rsidRPr="00364545">
              <w:rPr>
                <w:sz w:val="16"/>
              </w:rPr>
              <w:t>0,29</w:t>
            </w:r>
          </w:p>
        </w:tc>
        <w:tc>
          <w:tcPr>
            <w:tcW w:w="991" w:type="dxa"/>
            <w:tcBorders>
              <w:top w:val="nil"/>
              <w:left w:val="nil"/>
              <w:bottom w:val="single" w:sz="4" w:space="0" w:color="auto"/>
              <w:right w:val="single" w:sz="4" w:space="0" w:color="auto"/>
            </w:tcBorders>
            <w:shd w:val="clear" w:color="000000" w:fill="FFFFFF"/>
            <w:noWrap/>
            <w:vAlign w:val="bottom"/>
            <w:hideMark/>
          </w:tcPr>
          <w:p w14:paraId="207B1C56" w14:textId="77777777" w:rsidR="00B56301" w:rsidRPr="00364545" w:rsidRDefault="00B56301" w:rsidP="00B37B65">
            <w:pPr>
              <w:jc w:val="right"/>
              <w:rPr>
                <w:rFonts w:asciiTheme="minorHAnsi" w:hAnsiTheme="minorHAnsi"/>
                <w:sz w:val="16"/>
                <w:szCs w:val="16"/>
              </w:rPr>
            </w:pPr>
            <w:r w:rsidRPr="00364545">
              <w:rPr>
                <w:sz w:val="16"/>
              </w:rPr>
              <w:t>0,31</w:t>
            </w:r>
          </w:p>
        </w:tc>
        <w:tc>
          <w:tcPr>
            <w:tcW w:w="991" w:type="dxa"/>
            <w:tcBorders>
              <w:top w:val="nil"/>
              <w:left w:val="nil"/>
              <w:bottom w:val="single" w:sz="4" w:space="0" w:color="auto"/>
              <w:right w:val="single" w:sz="4" w:space="0" w:color="auto"/>
            </w:tcBorders>
            <w:shd w:val="clear" w:color="000000" w:fill="FFFFFF"/>
            <w:noWrap/>
            <w:vAlign w:val="bottom"/>
            <w:hideMark/>
          </w:tcPr>
          <w:p w14:paraId="2DFAE3B0" w14:textId="77777777" w:rsidR="00B56301" w:rsidRPr="00364545" w:rsidRDefault="00B56301" w:rsidP="00B37B65">
            <w:pPr>
              <w:jc w:val="right"/>
              <w:rPr>
                <w:rFonts w:asciiTheme="minorHAnsi" w:hAnsiTheme="minorHAnsi"/>
                <w:sz w:val="16"/>
                <w:szCs w:val="16"/>
              </w:rPr>
            </w:pPr>
            <w:r w:rsidRPr="00364545">
              <w:rPr>
                <w:sz w:val="16"/>
              </w:rPr>
              <w:t>0,32</w:t>
            </w:r>
          </w:p>
        </w:tc>
        <w:tc>
          <w:tcPr>
            <w:tcW w:w="991" w:type="dxa"/>
            <w:tcBorders>
              <w:top w:val="nil"/>
              <w:left w:val="nil"/>
              <w:bottom w:val="single" w:sz="4" w:space="0" w:color="auto"/>
              <w:right w:val="single" w:sz="4" w:space="0" w:color="auto"/>
            </w:tcBorders>
            <w:shd w:val="clear" w:color="000000" w:fill="FFFFFF"/>
            <w:noWrap/>
            <w:vAlign w:val="bottom"/>
            <w:hideMark/>
          </w:tcPr>
          <w:p w14:paraId="0CFDA59E" w14:textId="77777777" w:rsidR="00B56301" w:rsidRPr="00364545" w:rsidRDefault="00B56301" w:rsidP="00B37B65">
            <w:pPr>
              <w:jc w:val="right"/>
              <w:rPr>
                <w:rFonts w:asciiTheme="minorHAnsi" w:hAnsiTheme="minorHAnsi"/>
                <w:sz w:val="16"/>
                <w:szCs w:val="16"/>
              </w:rPr>
            </w:pPr>
            <w:r w:rsidRPr="00364545">
              <w:rPr>
                <w:sz w:val="16"/>
              </w:rPr>
              <w:t>0,34</w:t>
            </w:r>
          </w:p>
        </w:tc>
        <w:tc>
          <w:tcPr>
            <w:tcW w:w="991" w:type="dxa"/>
            <w:tcBorders>
              <w:top w:val="nil"/>
              <w:left w:val="nil"/>
              <w:bottom w:val="single" w:sz="4" w:space="0" w:color="auto"/>
              <w:right w:val="single" w:sz="4" w:space="0" w:color="auto"/>
            </w:tcBorders>
            <w:shd w:val="clear" w:color="000000" w:fill="FFFFFF"/>
            <w:noWrap/>
            <w:vAlign w:val="bottom"/>
            <w:hideMark/>
          </w:tcPr>
          <w:p w14:paraId="79C7473B" w14:textId="77777777" w:rsidR="00B56301" w:rsidRPr="00364545" w:rsidRDefault="00B56301" w:rsidP="00B37B65">
            <w:pPr>
              <w:jc w:val="right"/>
              <w:rPr>
                <w:rFonts w:asciiTheme="minorHAnsi" w:hAnsiTheme="minorHAnsi"/>
                <w:sz w:val="16"/>
                <w:szCs w:val="16"/>
              </w:rPr>
            </w:pPr>
            <w:r w:rsidRPr="00364545">
              <w:rPr>
                <w:sz w:val="16"/>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6D04A269" w14:textId="77777777" w:rsidR="00B56301" w:rsidRPr="00364545" w:rsidRDefault="00B56301" w:rsidP="00B37B65">
            <w:pPr>
              <w:jc w:val="right"/>
              <w:rPr>
                <w:rFonts w:asciiTheme="minorHAnsi" w:hAnsiTheme="minorHAnsi"/>
                <w:sz w:val="16"/>
                <w:szCs w:val="16"/>
              </w:rPr>
            </w:pPr>
            <w:r w:rsidRPr="00364545">
              <w:rPr>
                <w:sz w:val="16"/>
              </w:rPr>
              <w:t>0,38</w:t>
            </w:r>
          </w:p>
        </w:tc>
      </w:tr>
      <w:tr w:rsidR="00B56301" w:rsidRPr="00364545" w14:paraId="4BAFCDC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6545843"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3CCAB00C" w14:textId="77777777" w:rsidR="00B56301" w:rsidRPr="00364545" w:rsidRDefault="00B56301" w:rsidP="00B37B65">
            <w:pPr>
              <w:jc w:val="right"/>
              <w:rPr>
                <w:rFonts w:asciiTheme="minorHAnsi" w:hAnsiTheme="minorHAnsi"/>
                <w:sz w:val="16"/>
                <w:szCs w:val="16"/>
              </w:rPr>
            </w:pPr>
            <w:r w:rsidRPr="00364545">
              <w:rPr>
                <w:sz w:val="16"/>
              </w:rPr>
              <w:t>0,18</w:t>
            </w:r>
          </w:p>
        </w:tc>
        <w:tc>
          <w:tcPr>
            <w:tcW w:w="991" w:type="dxa"/>
            <w:tcBorders>
              <w:top w:val="nil"/>
              <w:left w:val="nil"/>
              <w:bottom w:val="single" w:sz="4" w:space="0" w:color="auto"/>
              <w:right w:val="single" w:sz="4" w:space="0" w:color="auto"/>
            </w:tcBorders>
            <w:shd w:val="clear" w:color="000000" w:fill="FFFFFF"/>
            <w:noWrap/>
            <w:vAlign w:val="bottom"/>
            <w:hideMark/>
          </w:tcPr>
          <w:p w14:paraId="46D08E8E" w14:textId="77777777" w:rsidR="00B56301" w:rsidRPr="00364545" w:rsidRDefault="00B56301" w:rsidP="00B37B65">
            <w:pPr>
              <w:jc w:val="right"/>
              <w:rPr>
                <w:rFonts w:asciiTheme="minorHAnsi" w:hAnsiTheme="minorHAnsi"/>
                <w:sz w:val="16"/>
                <w:szCs w:val="16"/>
              </w:rPr>
            </w:pPr>
            <w:r w:rsidRPr="00364545">
              <w:rPr>
                <w:sz w:val="16"/>
              </w:rPr>
              <w:t>0,19</w:t>
            </w:r>
          </w:p>
        </w:tc>
        <w:tc>
          <w:tcPr>
            <w:tcW w:w="991" w:type="dxa"/>
            <w:tcBorders>
              <w:top w:val="nil"/>
              <w:left w:val="nil"/>
              <w:bottom w:val="single" w:sz="4" w:space="0" w:color="auto"/>
              <w:right w:val="single" w:sz="4" w:space="0" w:color="auto"/>
            </w:tcBorders>
            <w:shd w:val="clear" w:color="000000" w:fill="FFFFFF"/>
            <w:noWrap/>
            <w:vAlign w:val="bottom"/>
            <w:hideMark/>
          </w:tcPr>
          <w:p w14:paraId="49F9C164" w14:textId="77777777" w:rsidR="00B56301" w:rsidRPr="00364545" w:rsidRDefault="00B56301" w:rsidP="00B37B65">
            <w:pPr>
              <w:jc w:val="right"/>
              <w:rPr>
                <w:rFonts w:asciiTheme="minorHAnsi" w:hAnsiTheme="minorHAnsi"/>
                <w:sz w:val="16"/>
                <w:szCs w:val="16"/>
              </w:rPr>
            </w:pPr>
            <w:r w:rsidRPr="00364545">
              <w:rPr>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0D7CF113" w14:textId="77777777" w:rsidR="00B56301" w:rsidRPr="00364545" w:rsidRDefault="00B56301" w:rsidP="00B37B65">
            <w:pPr>
              <w:jc w:val="right"/>
              <w:rPr>
                <w:rFonts w:asciiTheme="minorHAnsi" w:hAnsiTheme="minorHAnsi"/>
                <w:sz w:val="16"/>
                <w:szCs w:val="16"/>
              </w:rPr>
            </w:pPr>
            <w:r w:rsidRPr="00364545">
              <w:rPr>
                <w:sz w:val="16"/>
              </w:rPr>
              <w:t>0,23</w:t>
            </w:r>
          </w:p>
        </w:tc>
        <w:tc>
          <w:tcPr>
            <w:tcW w:w="991" w:type="dxa"/>
            <w:tcBorders>
              <w:top w:val="nil"/>
              <w:left w:val="nil"/>
              <w:bottom w:val="single" w:sz="4" w:space="0" w:color="auto"/>
              <w:right w:val="single" w:sz="4" w:space="0" w:color="auto"/>
            </w:tcBorders>
            <w:shd w:val="clear" w:color="000000" w:fill="FFFFFF"/>
            <w:noWrap/>
            <w:vAlign w:val="bottom"/>
            <w:hideMark/>
          </w:tcPr>
          <w:p w14:paraId="0D390DEB" w14:textId="77777777" w:rsidR="00B56301" w:rsidRPr="00364545" w:rsidRDefault="00B56301" w:rsidP="00B37B65">
            <w:pPr>
              <w:jc w:val="right"/>
              <w:rPr>
                <w:rFonts w:asciiTheme="minorHAnsi" w:hAnsiTheme="minorHAnsi"/>
                <w:sz w:val="16"/>
                <w:szCs w:val="16"/>
              </w:rPr>
            </w:pPr>
            <w:r w:rsidRPr="00364545">
              <w:rPr>
                <w:sz w:val="16"/>
              </w:rPr>
              <w:t>0,23</w:t>
            </w:r>
          </w:p>
        </w:tc>
        <w:tc>
          <w:tcPr>
            <w:tcW w:w="991" w:type="dxa"/>
            <w:tcBorders>
              <w:top w:val="nil"/>
              <w:left w:val="nil"/>
              <w:bottom w:val="single" w:sz="4" w:space="0" w:color="auto"/>
              <w:right w:val="single" w:sz="4" w:space="0" w:color="auto"/>
            </w:tcBorders>
            <w:shd w:val="clear" w:color="000000" w:fill="FFFFFF"/>
            <w:noWrap/>
            <w:vAlign w:val="bottom"/>
            <w:hideMark/>
          </w:tcPr>
          <w:p w14:paraId="60D7A3B2" w14:textId="77777777" w:rsidR="00B56301" w:rsidRPr="00364545" w:rsidRDefault="00B56301" w:rsidP="00B37B65">
            <w:pPr>
              <w:jc w:val="right"/>
              <w:rPr>
                <w:rFonts w:asciiTheme="minorHAnsi" w:hAnsiTheme="minorHAnsi"/>
                <w:sz w:val="16"/>
                <w:szCs w:val="16"/>
              </w:rPr>
            </w:pPr>
            <w:r w:rsidRPr="00364545">
              <w:rPr>
                <w:sz w:val="16"/>
              </w:rPr>
              <w:t>0,24</w:t>
            </w:r>
          </w:p>
        </w:tc>
      </w:tr>
      <w:tr w:rsidR="00B56301" w:rsidRPr="00364545" w14:paraId="7713547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759379"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63A7566E"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5ABB31F"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7037B16"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6B95D820"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6E913B5C"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49F1C73" w14:textId="77777777" w:rsidR="00B56301" w:rsidRPr="00364545" w:rsidRDefault="00B56301" w:rsidP="00B37B65">
            <w:pPr>
              <w:jc w:val="right"/>
              <w:rPr>
                <w:rFonts w:asciiTheme="minorHAnsi" w:hAnsiTheme="minorHAnsi"/>
                <w:sz w:val="16"/>
                <w:szCs w:val="16"/>
              </w:rPr>
            </w:pPr>
            <w:r w:rsidRPr="00364545">
              <w:rPr>
                <w:sz w:val="16"/>
              </w:rPr>
              <w:t>NE</w:t>
            </w:r>
          </w:p>
        </w:tc>
      </w:tr>
      <w:tr w:rsidR="00B56301" w:rsidRPr="00364545" w14:paraId="775A5E5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9D7B7B" w14:textId="17C48542"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2396F48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2FA68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14477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06392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CC863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4579B2"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AEBE4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0E2A7D7" w14:textId="4917A658"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724DDAC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FCE6E1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D63315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69AD0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E1FC32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8D9DCF"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20F896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B5FEDE"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2EFF556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7D1B1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E8497F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C7E14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1A8A9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434089"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389785BA"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noWrap/>
            <w:vAlign w:val="center"/>
            <w:hideMark/>
          </w:tcPr>
          <w:p w14:paraId="5917391D" w14:textId="7092CA4E"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N</w:t>
            </w:r>
            <w:r w:rsidRPr="00364545">
              <w:rPr>
                <w:sz w:val="16"/>
                <w:vertAlign w:val="subscript"/>
              </w:rPr>
              <w:t>2</w:t>
            </w:r>
            <w:r w:rsidRPr="00364545">
              <w:rPr>
                <w:sz w:val="16"/>
              </w:rPr>
              <w:t xml:space="preserve">O </w:t>
            </w:r>
          </w:p>
        </w:tc>
        <w:tc>
          <w:tcPr>
            <w:tcW w:w="991" w:type="dxa"/>
            <w:tcBorders>
              <w:top w:val="nil"/>
              <w:left w:val="single" w:sz="4" w:space="0" w:color="auto"/>
              <w:bottom w:val="single" w:sz="4" w:space="0" w:color="auto"/>
              <w:right w:val="single" w:sz="4" w:space="0" w:color="auto"/>
            </w:tcBorders>
            <w:shd w:val="clear" w:color="000000" w:fill="FFFFFF"/>
            <w:noWrap/>
            <w:vAlign w:val="bottom"/>
            <w:hideMark/>
          </w:tcPr>
          <w:p w14:paraId="6AF701BF"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210AF207"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BF3B0EA"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ED6C798"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0B3C9BD"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C4F485A"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5AA189D7"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7F2131A" w14:textId="04FC678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CO</w:t>
            </w:r>
            <w:r w:rsidRPr="00364545">
              <w:rPr>
                <w:sz w:val="16"/>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0CD3A0D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CD39A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28CF2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A0A43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C9055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DF6E92" w14:textId="77777777" w:rsidR="00B56301" w:rsidRPr="00364545" w:rsidRDefault="00B56301" w:rsidP="00B37B65">
            <w:pPr>
              <w:jc w:val="right"/>
              <w:rPr>
                <w:rFonts w:asciiTheme="minorHAnsi" w:hAnsiTheme="minorHAnsi"/>
                <w:sz w:val="16"/>
                <w:szCs w:val="16"/>
              </w:rPr>
            </w:pPr>
            <w:r w:rsidRPr="00364545">
              <w:rPr>
                <w:sz w:val="16"/>
              </w:rPr>
              <w:t> </w:t>
            </w:r>
          </w:p>
        </w:tc>
      </w:tr>
    </w:tbl>
    <w:p w14:paraId="0231DCCB" w14:textId="77777777" w:rsidR="00B56301" w:rsidRPr="00364545" w:rsidRDefault="00B56301" w:rsidP="00B56301">
      <w:pPr>
        <w:rPr>
          <w:rFonts w:cs="Arial"/>
        </w:rPr>
      </w:pPr>
    </w:p>
    <w:p w14:paraId="4DF0097F" w14:textId="77777777" w:rsidR="00B56301" w:rsidRPr="00364545" w:rsidRDefault="00B56301" w:rsidP="00B56301">
      <w:pPr>
        <w:spacing w:line="240" w:lineRule="atLeast"/>
        <w:jc w:val="left"/>
        <w:rPr>
          <w:rFonts w:cs="Arial"/>
        </w:rPr>
      </w:pPr>
      <w:r w:rsidRPr="00364545">
        <w:br w:type="page"/>
      </w: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364545" w14:paraId="253DA7F8"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3CA0525"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8343F5A" w14:textId="77777777" w:rsidR="00B56301" w:rsidRPr="00364545" w:rsidRDefault="00B56301" w:rsidP="00B37B65">
            <w:pPr>
              <w:jc w:val="center"/>
              <w:rPr>
                <w:rFonts w:asciiTheme="minorHAnsi" w:hAnsiTheme="minorHAnsi"/>
                <w:b/>
                <w:bCs/>
                <w:sz w:val="16"/>
                <w:szCs w:val="16"/>
              </w:rPr>
            </w:pPr>
            <w:r w:rsidRPr="00364545">
              <w:rPr>
                <w:b/>
                <w:sz w:val="16"/>
              </w:rPr>
              <w:t>2001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76F0A2E" w14:textId="77777777" w:rsidR="00B56301" w:rsidRPr="00364545" w:rsidRDefault="00B56301" w:rsidP="00B37B65">
            <w:pPr>
              <w:jc w:val="center"/>
              <w:rPr>
                <w:rFonts w:asciiTheme="minorHAnsi" w:hAnsiTheme="minorHAnsi"/>
                <w:b/>
                <w:bCs/>
                <w:sz w:val="16"/>
                <w:szCs w:val="16"/>
              </w:rPr>
            </w:pPr>
            <w:r w:rsidRPr="00364545">
              <w:rPr>
                <w:b/>
                <w:sz w:val="16"/>
              </w:rPr>
              <w:t>2002</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9E6602D" w14:textId="77777777" w:rsidR="00B56301" w:rsidRPr="00364545" w:rsidRDefault="00B56301" w:rsidP="00B37B65">
            <w:pPr>
              <w:jc w:val="center"/>
              <w:rPr>
                <w:rFonts w:asciiTheme="minorHAnsi" w:hAnsiTheme="minorHAnsi"/>
                <w:b/>
                <w:bCs/>
                <w:sz w:val="16"/>
                <w:szCs w:val="16"/>
              </w:rPr>
            </w:pPr>
            <w:r w:rsidRPr="00364545">
              <w:rPr>
                <w:b/>
                <w:sz w:val="16"/>
              </w:rPr>
              <w:t>2003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604738A" w14:textId="77777777" w:rsidR="00B56301" w:rsidRPr="00364545" w:rsidRDefault="00B56301" w:rsidP="00B37B65">
            <w:pPr>
              <w:jc w:val="center"/>
              <w:rPr>
                <w:rFonts w:asciiTheme="minorHAnsi" w:hAnsiTheme="minorHAnsi"/>
                <w:b/>
                <w:bCs/>
                <w:sz w:val="16"/>
                <w:szCs w:val="16"/>
              </w:rPr>
            </w:pPr>
            <w:r w:rsidRPr="00364545">
              <w:rPr>
                <w:b/>
                <w:sz w:val="16"/>
              </w:rPr>
              <w:t>2004</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3D16321" w14:textId="77777777" w:rsidR="00B56301" w:rsidRPr="00364545" w:rsidRDefault="00B56301" w:rsidP="00B37B65">
            <w:pPr>
              <w:jc w:val="center"/>
              <w:rPr>
                <w:rFonts w:asciiTheme="minorHAnsi" w:hAnsiTheme="minorHAnsi"/>
                <w:b/>
                <w:bCs/>
                <w:sz w:val="16"/>
                <w:szCs w:val="16"/>
              </w:rPr>
            </w:pPr>
            <w:r w:rsidRPr="00364545">
              <w:rPr>
                <w:b/>
                <w:sz w:val="16"/>
              </w:rPr>
              <w:t>2005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32D4B557" w14:textId="77777777" w:rsidR="00B56301" w:rsidRPr="00364545" w:rsidRDefault="00B56301" w:rsidP="00B37B65">
            <w:pPr>
              <w:jc w:val="center"/>
              <w:rPr>
                <w:rFonts w:asciiTheme="minorHAnsi" w:hAnsiTheme="minorHAnsi"/>
                <w:b/>
                <w:bCs/>
                <w:sz w:val="16"/>
                <w:szCs w:val="16"/>
              </w:rPr>
            </w:pPr>
            <w:r w:rsidRPr="00364545">
              <w:rPr>
                <w:b/>
                <w:sz w:val="16"/>
              </w:rPr>
              <w:t>2006</w:t>
            </w:r>
          </w:p>
        </w:tc>
      </w:tr>
      <w:tr w:rsidR="00B56301" w:rsidRPr="00364545" w14:paraId="4F3F909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9619502"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F9E453E" w14:textId="77777777" w:rsidR="00B56301" w:rsidRPr="00364545" w:rsidRDefault="00B56301" w:rsidP="00B37B65">
            <w:pPr>
              <w:jc w:val="right"/>
              <w:rPr>
                <w:rFonts w:asciiTheme="minorHAnsi" w:hAnsiTheme="minorHAnsi"/>
                <w:sz w:val="16"/>
                <w:szCs w:val="16"/>
              </w:rPr>
            </w:pPr>
            <w:r w:rsidRPr="00364545">
              <w:rPr>
                <w:sz w:val="16"/>
              </w:rPr>
              <w:t>13,55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5D33B5C" w14:textId="77777777" w:rsidR="00B56301" w:rsidRPr="00364545" w:rsidRDefault="00B56301" w:rsidP="00B37B65">
            <w:pPr>
              <w:jc w:val="right"/>
              <w:rPr>
                <w:rFonts w:asciiTheme="minorHAnsi" w:hAnsiTheme="minorHAnsi"/>
                <w:sz w:val="16"/>
                <w:szCs w:val="16"/>
              </w:rPr>
            </w:pPr>
            <w:r w:rsidRPr="00364545">
              <w:rPr>
                <w:sz w:val="16"/>
              </w:rPr>
              <w:t>14,01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0398F81D" w14:textId="77777777" w:rsidR="00B56301" w:rsidRPr="00364545" w:rsidRDefault="00B56301" w:rsidP="00B37B65">
            <w:pPr>
              <w:jc w:val="right"/>
              <w:rPr>
                <w:rFonts w:asciiTheme="minorHAnsi" w:hAnsiTheme="minorHAnsi"/>
                <w:sz w:val="16"/>
                <w:szCs w:val="16"/>
              </w:rPr>
            </w:pPr>
            <w:r w:rsidRPr="00364545">
              <w:rPr>
                <w:sz w:val="16"/>
              </w:rPr>
              <w:t>14,23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E733326" w14:textId="77777777" w:rsidR="00B56301" w:rsidRPr="00364545" w:rsidRDefault="00B56301" w:rsidP="00B37B65">
            <w:pPr>
              <w:jc w:val="right"/>
              <w:rPr>
                <w:rFonts w:asciiTheme="minorHAnsi" w:hAnsiTheme="minorHAnsi"/>
                <w:sz w:val="16"/>
                <w:szCs w:val="16"/>
              </w:rPr>
            </w:pPr>
            <w:r w:rsidRPr="00364545">
              <w:rPr>
                <w:sz w:val="16"/>
              </w:rPr>
              <w:t>14,32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47DFEA3" w14:textId="77777777" w:rsidR="00B56301" w:rsidRPr="00364545" w:rsidRDefault="00B56301" w:rsidP="00B37B65">
            <w:pPr>
              <w:jc w:val="right"/>
              <w:rPr>
                <w:rFonts w:asciiTheme="minorHAnsi" w:hAnsiTheme="minorHAnsi"/>
                <w:sz w:val="16"/>
                <w:szCs w:val="16"/>
              </w:rPr>
            </w:pPr>
            <w:r w:rsidRPr="00364545">
              <w:rPr>
                <w:sz w:val="16"/>
              </w:rPr>
              <w:t>14,04</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09E9825" w14:textId="77777777" w:rsidR="00B56301" w:rsidRPr="00364545" w:rsidRDefault="00B56301" w:rsidP="00B37B65">
            <w:pPr>
              <w:jc w:val="right"/>
              <w:rPr>
                <w:rFonts w:asciiTheme="minorHAnsi" w:hAnsiTheme="minorHAnsi"/>
                <w:sz w:val="16"/>
                <w:szCs w:val="16"/>
              </w:rPr>
            </w:pPr>
            <w:r w:rsidRPr="00364545">
              <w:rPr>
                <w:sz w:val="16"/>
              </w:rPr>
              <w:t>13,23</w:t>
            </w:r>
          </w:p>
        </w:tc>
      </w:tr>
      <w:tr w:rsidR="00B56301" w:rsidRPr="00364545" w14:paraId="4916923E"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49BDAAF"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7A214AE1" w14:textId="77777777" w:rsidR="00B56301" w:rsidRPr="00364545" w:rsidRDefault="00B56301" w:rsidP="00B37B65">
            <w:pPr>
              <w:jc w:val="right"/>
              <w:rPr>
                <w:rFonts w:asciiTheme="minorHAnsi" w:hAnsiTheme="minorHAnsi"/>
                <w:sz w:val="16"/>
                <w:szCs w:val="16"/>
              </w:rPr>
            </w:pPr>
            <w:r w:rsidRPr="00364545">
              <w:rPr>
                <w:sz w:val="16"/>
              </w:rPr>
              <w:t>13,45</w:t>
            </w:r>
          </w:p>
        </w:tc>
        <w:tc>
          <w:tcPr>
            <w:tcW w:w="991" w:type="dxa"/>
            <w:tcBorders>
              <w:top w:val="nil"/>
              <w:left w:val="nil"/>
              <w:bottom w:val="single" w:sz="4" w:space="0" w:color="auto"/>
              <w:right w:val="single" w:sz="4" w:space="0" w:color="auto"/>
            </w:tcBorders>
            <w:shd w:val="clear" w:color="000000" w:fill="CCFFFF"/>
            <w:noWrap/>
            <w:vAlign w:val="bottom"/>
            <w:hideMark/>
          </w:tcPr>
          <w:p w14:paraId="6A429BBD" w14:textId="77777777" w:rsidR="00B56301" w:rsidRPr="00364545" w:rsidRDefault="00B56301" w:rsidP="00B37B65">
            <w:pPr>
              <w:jc w:val="right"/>
              <w:rPr>
                <w:rFonts w:asciiTheme="minorHAnsi" w:hAnsiTheme="minorHAnsi"/>
                <w:sz w:val="16"/>
                <w:szCs w:val="16"/>
              </w:rPr>
            </w:pPr>
            <w:r w:rsidRPr="00364545">
              <w:rPr>
                <w:sz w:val="16"/>
              </w:rPr>
              <w:t>13,91</w:t>
            </w:r>
          </w:p>
        </w:tc>
        <w:tc>
          <w:tcPr>
            <w:tcW w:w="991" w:type="dxa"/>
            <w:tcBorders>
              <w:top w:val="nil"/>
              <w:left w:val="nil"/>
              <w:bottom w:val="single" w:sz="4" w:space="0" w:color="auto"/>
              <w:right w:val="single" w:sz="4" w:space="0" w:color="auto"/>
            </w:tcBorders>
            <w:shd w:val="clear" w:color="000000" w:fill="CCFFFF"/>
            <w:noWrap/>
            <w:vAlign w:val="bottom"/>
            <w:hideMark/>
          </w:tcPr>
          <w:p w14:paraId="185D8132" w14:textId="77777777" w:rsidR="00B56301" w:rsidRPr="00364545" w:rsidRDefault="00B56301" w:rsidP="00B37B65">
            <w:pPr>
              <w:jc w:val="right"/>
              <w:rPr>
                <w:rFonts w:asciiTheme="minorHAnsi" w:hAnsiTheme="minorHAnsi"/>
                <w:sz w:val="16"/>
                <w:szCs w:val="16"/>
              </w:rPr>
            </w:pPr>
            <w:r w:rsidRPr="00364545">
              <w:rPr>
                <w:sz w:val="16"/>
              </w:rPr>
              <w:t>14,13</w:t>
            </w:r>
          </w:p>
        </w:tc>
        <w:tc>
          <w:tcPr>
            <w:tcW w:w="991" w:type="dxa"/>
            <w:tcBorders>
              <w:top w:val="nil"/>
              <w:left w:val="nil"/>
              <w:bottom w:val="single" w:sz="4" w:space="0" w:color="auto"/>
              <w:right w:val="single" w:sz="4" w:space="0" w:color="auto"/>
            </w:tcBorders>
            <w:shd w:val="clear" w:color="000000" w:fill="CCFFFF"/>
            <w:noWrap/>
            <w:vAlign w:val="bottom"/>
            <w:hideMark/>
          </w:tcPr>
          <w:p w14:paraId="56322558" w14:textId="77777777" w:rsidR="00B56301" w:rsidRPr="00364545" w:rsidRDefault="00B56301" w:rsidP="00B37B65">
            <w:pPr>
              <w:jc w:val="right"/>
              <w:rPr>
                <w:rFonts w:asciiTheme="minorHAnsi" w:hAnsiTheme="minorHAnsi"/>
                <w:sz w:val="16"/>
                <w:szCs w:val="16"/>
              </w:rPr>
            </w:pPr>
            <w:r w:rsidRPr="00364545">
              <w:rPr>
                <w:sz w:val="16"/>
              </w:rPr>
              <w:t>14,22</w:t>
            </w:r>
          </w:p>
        </w:tc>
        <w:tc>
          <w:tcPr>
            <w:tcW w:w="991" w:type="dxa"/>
            <w:tcBorders>
              <w:top w:val="nil"/>
              <w:left w:val="nil"/>
              <w:bottom w:val="single" w:sz="4" w:space="0" w:color="auto"/>
              <w:right w:val="single" w:sz="4" w:space="0" w:color="auto"/>
            </w:tcBorders>
            <w:shd w:val="clear" w:color="000000" w:fill="CCFFFF"/>
            <w:noWrap/>
            <w:vAlign w:val="bottom"/>
            <w:hideMark/>
          </w:tcPr>
          <w:p w14:paraId="5CCF7410" w14:textId="77777777" w:rsidR="00B56301" w:rsidRPr="00364545" w:rsidRDefault="00B56301" w:rsidP="00B37B65">
            <w:pPr>
              <w:jc w:val="right"/>
              <w:rPr>
                <w:rFonts w:asciiTheme="minorHAnsi" w:hAnsiTheme="minorHAnsi"/>
                <w:sz w:val="16"/>
                <w:szCs w:val="16"/>
              </w:rPr>
            </w:pPr>
            <w:r w:rsidRPr="00364545">
              <w:rPr>
                <w:sz w:val="16"/>
              </w:rPr>
              <w:t>13,90</w:t>
            </w:r>
          </w:p>
        </w:tc>
        <w:tc>
          <w:tcPr>
            <w:tcW w:w="991" w:type="dxa"/>
            <w:tcBorders>
              <w:top w:val="nil"/>
              <w:left w:val="nil"/>
              <w:bottom w:val="single" w:sz="4" w:space="0" w:color="auto"/>
              <w:right w:val="single" w:sz="4" w:space="0" w:color="auto"/>
            </w:tcBorders>
            <w:shd w:val="clear" w:color="000000" w:fill="CCFFFF"/>
            <w:noWrap/>
            <w:vAlign w:val="bottom"/>
            <w:hideMark/>
          </w:tcPr>
          <w:p w14:paraId="1DA47483" w14:textId="77777777" w:rsidR="00B56301" w:rsidRPr="00364545" w:rsidRDefault="00B56301" w:rsidP="00B37B65">
            <w:pPr>
              <w:jc w:val="right"/>
              <w:rPr>
                <w:rFonts w:asciiTheme="minorHAnsi" w:hAnsiTheme="minorHAnsi"/>
                <w:sz w:val="16"/>
                <w:szCs w:val="16"/>
              </w:rPr>
            </w:pPr>
            <w:r w:rsidRPr="00364545">
              <w:rPr>
                <w:sz w:val="16"/>
              </w:rPr>
              <w:t>13,09</w:t>
            </w:r>
          </w:p>
        </w:tc>
      </w:tr>
      <w:tr w:rsidR="00B56301" w:rsidRPr="00364545" w14:paraId="6E0C22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1F52766" w14:textId="63B1ED45"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34F5237C" w14:textId="77777777" w:rsidR="00B56301" w:rsidRPr="00364545" w:rsidRDefault="00B56301" w:rsidP="00B37B65">
            <w:pPr>
              <w:jc w:val="right"/>
              <w:rPr>
                <w:rFonts w:asciiTheme="minorHAnsi" w:hAnsiTheme="minorHAnsi"/>
                <w:sz w:val="16"/>
                <w:szCs w:val="16"/>
              </w:rPr>
            </w:pPr>
            <w:r w:rsidRPr="00364545">
              <w:rPr>
                <w:sz w:val="16"/>
              </w:rPr>
              <w:t>1,77</w:t>
            </w:r>
          </w:p>
        </w:tc>
        <w:tc>
          <w:tcPr>
            <w:tcW w:w="991" w:type="dxa"/>
            <w:tcBorders>
              <w:top w:val="nil"/>
              <w:left w:val="nil"/>
              <w:bottom w:val="single" w:sz="4" w:space="0" w:color="auto"/>
              <w:right w:val="single" w:sz="4" w:space="0" w:color="auto"/>
            </w:tcBorders>
            <w:shd w:val="clear" w:color="000000" w:fill="FFFFFF"/>
            <w:noWrap/>
            <w:vAlign w:val="bottom"/>
            <w:hideMark/>
          </w:tcPr>
          <w:p w14:paraId="3B5F2511" w14:textId="77777777" w:rsidR="00B56301" w:rsidRPr="00364545" w:rsidRDefault="00B56301" w:rsidP="00B37B65">
            <w:pPr>
              <w:jc w:val="right"/>
              <w:rPr>
                <w:rFonts w:asciiTheme="minorHAnsi" w:hAnsiTheme="minorHAnsi"/>
                <w:sz w:val="16"/>
                <w:szCs w:val="16"/>
              </w:rPr>
            </w:pPr>
            <w:r w:rsidRPr="00364545">
              <w:rPr>
                <w:sz w:val="16"/>
              </w:rPr>
              <w:t>1,81</w:t>
            </w:r>
          </w:p>
        </w:tc>
        <w:tc>
          <w:tcPr>
            <w:tcW w:w="991" w:type="dxa"/>
            <w:tcBorders>
              <w:top w:val="nil"/>
              <w:left w:val="nil"/>
              <w:bottom w:val="single" w:sz="4" w:space="0" w:color="auto"/>
              <w:right w:val="single" w:sz="4" w:space="0" w:color="auto"/>
            </w:tcBorders>
            <w:shd w:val="clear" w:color="000000" w:fill="FFFFFF"/>
            <w:noWrap/>
            <w:vAlign w:val="bottom"/>
            <w:hideMark/>
          </w:tcPr>
          <w:p w14:paraId="4C1DBF90" w14:textId="77777777" w:rsidR="00B56301" w:rsidRPr="00364545" w:rsidRDefault="00B56301" w:rsidP="00B37B65">
            <w:pPr>
              <w:jc w:val="right"/>
              <w:rPr>
                <w:rFonts w:asciiTheme="minorHAnsi" w:hAnsiTheme="minorHAnsi"/>
                <w:sz w:val="16"/>
                <w:szCs w:val="16"/>
              </w:rPr>
            </w:pPr>
            <w:r w:rsidRPr="00364545">
              <w:rPr>
                <w:sz w:val="16"/>
              </w:rPr>
              <w:t>1,97</w:t>
            </w:r>
          </w:p>
        </w:tc>
        <w:tc>
          <w:tcPr>
            <w:tcW w:w="991" w:type="dxa"/>
            <w:tcBorders>
              <w:top w:val="nil"/>
              <w:left w:val="nil"/>
              <w:bottom w:val="single" w:sz="4" w:space="0" w:color="auto"/>
              <w:right w:val="single" w:sz="4" w:space="0" w:color="auto"/>
            </w:tcBorders>
            <w:shd w:val="clear" w:color="000000" w:fill="FFFFFF"/>
            <w:noWrap/>
            <w:vAlign w:val="bottom"/>
            <w:hideMark/>
          </w:tcPr>
          <w:p w14:paraId="2C4ACE9B" w14:textId="77777777" w:rsidR="00B56301" w:rsidRPr="00364545" w:rsidRDefault="00B56301" w:rsidP="00B37B65">
            <w:pPr>
              <w:jc w:val="right"/>
              <w:rPr>
                <w:rFonts w:asciiTheme="minorHAnsi" w:hAnsiTheme="minorHAnsi"/>
                <w:sz w:val="16"/>
                <w:szCs w:val="16"/>
              </w:rPr>
            </w:pPr>
            <w:r w:rsidRPr="00364545">
              <w:rPr>
                <w:sz w:val="16"/>
              </w:rPr>
              <w:t>2,02</w:t>
            </w:r>
          </w:p>
        </w:tc>
        <w:tc>
          <w:tcPr>
            <w:tcW w:w="991" w:type="dxa"/>
            <w:tcBorders>
              <w:top w:val="nil"/>
              <w:left w:val="nil"/>
              <w:bottom w:val="single" w:sz="4" w:space="0" w:color="auto"/>
              <w:right w:val="single" w:sz="4" w:space="0" w:color="auto"/>
            </w:tcBorders>
            <w:shd w:val="clear" w:color="000000" w:fill="FFFFFF"/>
            <w:noWrap/>
            <w:vAlign w:val="bottom"/>
            <w:hideMark/>
          </w:tcPr>
          <w:p w14:paraId="4CE4DB3D" w14:textId="77777777" w:rsidR="00B56301" w:rsidRPr="00364545" w:rsidRDefault="00B56301" w:rsidP="00B37B65">
            <w:pPr>
              <w:jc w:val="right"/>
              <w:rPr>
                <w:rFonts w:asciiTheme="minorHAnsi" w:hAnsiTheme="minorHAnsi"/>
                <w:sz w:val="16"/>
                <w:szCs w:val="16"/>
              </w:rPr>
            </w:pPr>
            <w:r w:rsidRPr="00364545">
              <w:rPr>
                <w:sz w:val="16"/>
              </w:rPr>
              <w:t>1,98</w:t>
            </w:r>
          </w:p>
        </w:tc>
        <w:tc>
          <w:tcPr>
            <w:tcW w:w="991" w:type="dxa"/>
            <w:tcBorders>
              <w:top w:val="nil"/>
              <w:left w:val="nil"/>
              <w:bottom w:val="single" w:sz="4" w:space="0" w:color="auto"/>
              <w:right w:val="single" w:sz="4" w:space="0" w:color="auto"/>
            </w:tcBorders>
            <w:shd w:val="clear" w:color="000000" w:fill="FFFFFF"/>
            <w:noWrap/>
            <w:vAlign w:val="bottom"/>
            <w:hideMark/>
          </w:tcPr>
          <w:p w14:paraId="02BB7F37" w14:textId="77777777" w:rsidR="00B56301" w:rsidRPr="00364545" w:rsidRDefault="00B56301" w:rsidP="00B37B65">
            <w:pPr>
              <w:jc w:val="right"/>
              <w:rPr>
                <w:rFonts w:asciiTheme="minorHAnsi" w:hAnsiTheme="minorHAnsi"/>
                <w:sz w:val="16"/>
                <w:szCs w:val="16"/>
              </w:rPr>
            </w:pPr>
            <w:r w:rsidRPr="00364545">
              <w:rPr>
                <w:sz w:val="16"/>
              </w:rPr>
              <w:t>1,55</w:t>
            </w:r>
          </w:p>
        </w:tc>
      </w:tr>
      <w:tr w:rsidR="00B56301" w:rsidRPr="00364545" w14:paraId="0251A5C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29325FE" w14:textId="3BE85ED0"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42256E4B" w14:textId="77777777" w:rsidR="00B56301" w:rsidRPr="00364545" w:rsidRDefault="00B56301" w:rsidP="00B37B65">
            <w:pPr>
              <w:jc w:val="right"/>
              <w:rPr>
                <w:rFonts w:asciiTheme="minorHAnsi" w:hAnsiTheme="minorHAnsi"/>
                <w:sz w:val="16"/>
                <w:szCs w:val="16"/>
              </w:rPr>
            </w:pPr>
            <w:r w:rsidRPr="00364545">
              <w:rPr>
                <w:sz w:val="16"/>
              </w:rPr>
              <w:t>1,89</w:t>
            </w:r>
          </w:p>
        </w:tc>
        <w:tc>
          <w:tcPr>
            <w:tcW w:w="991" w:type="dxa"/>
            <w:tcBorders>
              <w:top w:val="nil"/>
              <w:left w:val="nil"/>
              <w:bottom w:val="single" w:sz="4" w:space="0" w:color="auto"/>
              <w:right w:val="single" w:sz="4" w:space="0" w:color="auto"/>
            </w:tcBorders>
            <w:shd w:val="clear" w:color="000000" w:fill="FFFFFF"/>
            <w:noWrap/>
            <w:vAlign w:val="bottom"/>
            <w:hideMark/>
          </w:tcPr>
          <w:p w14:paraId="3105181A" w14:textId="77777777" w:rsidR="00B56301" w:rsidRPr="00364545" w:rsidRDefault="00B56301" w:rsidP="00B37B65">
            <w:pPr>
              <w:jc w:val="right"/>
              <w:rPr>
                <w:rFonts w:asciiTheme="minorHAnsi" w:hAnsiTheme="minorHAnsi"/>
                <w:sz w:val="16"/>
                <w:szCs w:val="16"/>
              </w:rPr>
            </w:pPr>
            <w:r w:rsidRPr="00364545">
              <w:rPr>
                <w:sz w:val="16"/>
              </w:rPr>
              <w:t>2,35</w:t>
            </w:r>
          </w:p>
        </w:tc>
        <w:tc>
          <w:tcPr>
            <w:tcW w:w="991" w:type="dxa"/>
            <w:tcBorders>
              <w:top w:val="nil"/>
              <w:left w:val="nil"/>
              <w:bottom w:val="single" w:sz="4" w:space="0" w:color="auto"/>
              <w:right w:val="single" w:sz="4" w:space="0" w:color="auto"/>
            </w:tcBorders>
            <w:shd w:val="clear" w:color="000000" w:fill="FFFFFF"/>
            <w:noWrap/>
            <w:vAlign w:val="bottom"/>
            <w:hideMark/>
          </w:tcPr>
          <w:p w14:paraId="2B7A63A8" w14:textId="77777777" w:rsidR="00B56301" w:rsidRPr="00364545" w:rsidRDefault="00B56301" w:rsidP="00B37B65">
            <w:pPr>
              <w:jc w:val="right"/>
              <w:rPr>
                <w:rFonts w:asciiTheme="minorHAnsi" w:hAnsiTheme="minorHAnsi"/>
                <w:sz w:val="16"/>
                <w:szCs w:val="16"/>
              </w:rPr>
            </w:pPr>
            <w:r w:rsidRPr="00364545">
              <w:rPr>
                <w:sz w:val="16"/>
              </w:rPr>
              <w:t>2,29</w:t>
            </w:r>
          </w:p>
        </w:tc>
        <w:tc>
          <w:tcPr>
            <w:tcW w:w="991" w:type="dxa"/>
            <w:tcBorders>
              <w:top w:val="nil"/>
              <w:left w:val="nil"/>
              <w:bottom w:val="single" w:sz="4" w:space="0" w:color="auto"/>
              <w:right w:val="single" w:sz="4" w:space="0" w:color="auto"/>
            </w:tcBorders>
            <w:shd w:val="clear" w:color="000000" w:fill="FFFFFF"/>
            <w:noWrap/>
            <w:vAlign w:val="bottom"/>
            <w:hideMark/>
          </w:tcPr>
          <w:p w14:paraId="114DDF14" w14:textId="77777777" w:rsidR="00B56301" w:rsidRPr="00364545" w:rsidRDefault="00B56301" w:rsidP="00B37B65">
            <w:pPr>
              <w:jc w:val="right"/>
              <w:rPr>
                <w:rFonts w:asciiTheme="minorHAnsi" w:hAnsiTheme="minorHAnsi"/>
                <w:sz w:val="16"/>
                <w:szCs w:val="16"/>
              </w:rPr>
            </w:pPr>
            <w:r w:rsidRPr="00364545">
              <w:rPr>
                <w:sz w:val="16"/>
              </w:rPr>
              <w:t>2,16</w:t>
            </w:r>
          </w:p>
        </w:tc>
        <w:tc>
          <w:tcPr>
            <w:tcW w:w="991" w:type="dxa"/>
            <w:tcBorders>
              <w:top w:val="nil"/>
              <w:left w:val="nil"/>
              <w:bottom w:val="single" w:sz="4" w:space="0" w:color="auto"/>
              <w:right w:val="single" w:sz="4" w:space="0" w:color="auto"/>
            </w:tcBorders>
            <w:shd w:val="clear" w:color="000000" w:fill="FFFFFF"/>
            <w:noWrap/>
            <w:vAlign w:val="bottom"/>
            <w:hideMark/>
          </w:tcPr>
          <w:p w14:paraId="7373BAD5" w14:textId="77777777" w:rsidR="00B56301" w:rsidRPr="00364545" w:rsidRDefault="00B56301" w:rsidP="00B37B65">
            <w:pPr>
              <w:jc w:val="right"/>
              <w:rPr>
                <w:rFonts w:asciiTheme="minorHAnsi" w:hAnsiTheme="minorHAnsi"/>
                <w:sz w:val="16"/>
                <w:szCs w:val="16"/>
              </w:rPr>
            </w:pPr>
            <w:r w:rsidRPr="00364545">
              <w:rPr>
                <w:sz w:val="16"/>
              </w:rPr>
              <w:t>2,13</w:t>
            </w:r>
          </w:p>
        </w:tc>
        <w:tc>
          <w:tcPr>
            <w:tcW w:w="991" w:type="dxa"/>
            <w:tcBorders>
              <w:top w:val="nil"/>
              <w:left w:val="nil"/>
              <w:bottom w:val="single" w:sz="4" w:space="0" w:color="auto"/>
              <w:right w:val="single" w:sz="4" w:space="0" w:color="auto"/>
            </w:tcBorders>
            <w:shd w:val="clear" w:color="000000" w:fill="FFFFFF"/>
            <w:noWrap/>
            <w:vAlign w:val="bottom"/>
            <w:hideMark/>
          </w:tcPr>
          <w:p w14:paraId="39D382E7" w14:textId="77777777" w:rsidR="00B56301" w:rsidRPr="00364545" w:rsidRDefault="00B56301" w:rsidP="00B37B65">
            <w:pPr>
              <w:jc w:val="right"/>
              <w:rPr>
                <w:rFonts w:asciiTheme="minorHAnsi" w:hAnsiTheme="minorHAnsi"/>
                <w:sz w:val="16"/>
                <w:szCs w:val="16"/>
              </w:rPr>
            </w:pPr>
            <w:r w:rsidRPr="00364545">
              <w:rPr>
                <w:sz w:val="16"/>
              </w:rPr>
              <w:t>1,99</w:t>
            </w:r>
          </w:p>
        </w:tc>
      </w:tr>
      <w:tr w:rsidR="00B56301" w:rsidRPr="00364545" w14:paraId="3B0CB36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15145D8" w14:textId="5C8A16DF"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3. 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75F129B0" w14:textId="77777777" w:rsidR="00B56301" w:rsidRPr="00364545" w:rsidRDefault="00B56301" w:rsidP="00B37B65">
            <w:pPr>
              <w:jc w:val="right"/>
              <w:rPr>
                <w:rFonts w:asciiTheme="minorHAnsi" w:hAnsiTheme="minorHAnsi"/>
                <w:sz w:val="16"/>
                <w:szCs w:val="16"/>
              </w:rPr>
            </w:pPr>
            <w:r w:rsidRPr="00364545">
              <w:rPr>
                <w:sz w:val="16"/>
              </w:rPr>
              <w:t>4,82</w:t>
            </w:r>
          </w:p>
        </w:tc>
        <w:tc>
          <w:tcPr>
            <w:tcW w:w="991" w:type="dxa"/>
            <w:tcBorders>
              <w:top w:val="nil"/>
              <w:left w:val="nil"/>
              <w:bottom w:val="single" w:sz="4" w:space="0" w:color="auto"/>
              <w:right w:val="single" w:sz="4" w:space="0" w:color="auto"/>
            </w:tcBorders>
            <w:shd w:val="clear" w:color="000000" w:fill="FFFFFF"/>
            <w:noWrap/>
            <w:vAlign w:val="bottom"/>
            <w:hideMark/>
          </w:tcPr>
          <w:p w14:paraId="3FD93AF3" w14:textId="77777777" w:rsidR="00B56301" w:rsidRPr="00364545" w:rsidRDefault="00B56301" w:rsidP="00B37B65">
            <w:pPr>
              <w:jc w:val="right"/>
              <w:rPr>
                <w:rFonts w:asciiTheme="minorHAnsi" w:hAnsiTheme="minorHAnsi"/>
                <w:sz w:val="16"/>
                <w:szCs w:val="16"/>
              </w:rPr>
            </w:pPr>
            <w:r w:rsidRPr="00364545">
              <w:rPr>
                <w:sz w:val="16"/>
              </w:rPr>
              <w:t>4,90</w:t>
            </w:r>
          </w:p>
        </w:tc>
        <w:tc>
          <w:tcPr>
            <w:tcW w:w="991" w:type="dxa"/>
            <w:tcBorders>
              <w:top w:val="nil"/>
              <w:left w:val="nil"/>
              <w:bottom w:val="single" w:sz="4" w:space="0" w:color="auto"/>
              <w:right w:val="single" w:sz="4" w:space="0" w:color="auto"/>
            </w:tcBorders>
            <w:shd w:val="clear" w:color="000000" w:fill="FFFFFF"/>
            <w:noWrap/>
            <w:vAlign w:val="bottom"/>
            <w:hideMark/>
          </w:tcPr>
          <w:p w14:paraId="0BB7596B" w14:textId="77777777" w:rsidR="00B56301" w:rsidRPr="00364545" w:rsidRDefault="00B56301" w:rsidP="00B37B65">
            <w:pPr>
              <w:jc w:val="right"/>
              <w:rPr>
                <w:rFonts w:asciiTheme="minorHAnsi" w:hAnsiTheme="minorHAnsi"/>
                <w:sz w:val="16"/>
                <w:szCs w:val="16"/>
              </w:rPr>
            </w:pPr>
            <w:r w:rsidRPr="00364545">
              <w:rPr>
                <w:sz w:val="16"/>
              </w:rPr>
              <w:t>4,88</w:t>
            </w:r>
          </w:p>
        </w:tc>
        <w:tc>
          <w:tcPr>
            <w:tcW w:w="991" w:type="dxa"/>
            <w:tcBorders>
              <w:top w:val="nil"/>
              <w:left w:val="nil"/>
              <w:bottom w:val="single" w:sz="4" w:space="0" w:color="auto"/>
              <w:right w:val="single" w:sz="4" w:space="0" w:color="auto"/>
            </w:tcBorders>
            <w:shd w:val="clear" w:color="000000" w:fill="FFFFFF"/>
            <w:noWrap/>
            <w:vAlign w:val="bottom"/>
            <w:hideMark/>
          </w:tcPr>
          <w:p w14:paraId="13EE08E2" w14:textId="77777777" w:rsidR="00B56301" w:rsidRPr="00364545" w:rsidRDefault="00B56301" w:rsidP="00B37B65">
            <w:pPr>
              <w:jc w:val="right"/>
              <w:rPr>
                <w:rFonts w:asciiTheme="minorHAnsi" w:hAnsiTheme="minorHAnsi"/>
                <w:sz w:val="16"/>
                <w:szCs w:val="16"/>
              </w:rPr>
            </w:pPr>
            <w:r w:rsidRPr="00364545">
              <w:rPr>
                <w:sz w:val="16"/>
              </w:rPr>
              <w:t>4,89</w:t>
            </w:r>
          </w:p>
        </w:tc>
        <w:tc>
          <w:tcPr>
            <w:tcW w:w="991" w:type="dxa"/>
            <w:tcBorders>
              <w:top w:val="nil"/>
              <w:left w:val="nil"/>
              <w:bottom w:val="single" w:sz="4" w:space="0" w:color="auto"/>
              <w:right w:val="single" w:sz="4" w:space="0" w:color="auto"/>
            </w:tcBorders>
            <w:shd w:val="clear" w:color="000000" w:fill="FFFFFF"/>
            <w:noWrap/>
            <w:vAlign w:val="bottom"/>
            <w:hideMark/>
          </w:tcPr>
          <w:p w14:paraId="2DD7839E" w14:textId="77777777" w:rsidR="00B56301" w:rsidRPr="00364545" w:rsidRDefault="00B56301" w:rsidP="00B37B65">
            <w:pPr>
              <w:jc w:val="right"/>
              <w:rPr>
                <w:rFonts w:asciiTheme="minorHAnsi" w:hAnsiTheme="minorHAnsi"/>
                <w:sz w:val="16"/>
                <w:szCs w:val="16"/>
              </w:rPr>
            </w:pPr>
            <w:r w:rsidRPr="00364545">
              <w:rPr>
                <w:sz w:val="16"/>
              </w:rPr>
              <w:t>4,78</w:t>
            </w:r>
          </w:p>
        </w:tc>
        <w:tc>
          <w:tcPr>
            <w:tcW w:w="991" w:type="dxa"/>
            <w:tcBorders>
              <w:top w:val="nil"/>
              <w:left w:val="nil"/>
              <w:bottom w:val="single" w:sz="4" w:space="0" w:color="auto"/>
              <w:right w:val="single" w:sz="4" w:space="0" w:color="auto"/>
            </w:tcBorders>
            <w:shd w:val="clear" w:color="000000" w:fill="FFFFFF"/>
            <w:noWrap/>
            <w:vAlign w:val="bottom"/>
            <w:hideMark/>
          </w:tcPr>
          <w:p w14:paraId="3FE1231C" w14:textId="77777777" w:rsidR="00B56301" w:rsidRPr="00364545" w:rsidRDefault="00B56301" w:rsidP="00B37B65">
            <w:pPr>
              <w:jc w:val="right"/>
              <w:rPr>
                <w:rFonts w:asciiTheme="minorHAnsi" w:hAnsiTheme="minorHAnsi"/>
                <w:sz w:val="16"/>
                <w:szCs w:val="16"/>
              </w:rPr>
            </w:pPr>
            <w:r w:rsidRPr="00364545">
              <w:rPr>
                <w:sz w:val="16"/>
              </w:rPr>
              <w:t>4,74</w:t>
            </w:r>
          </w:p>
        </w:tc>
      </w:tr>
      <w:tr w:rsidR="00B56301" w:rsidRPr="00364545" w14:paraId="7B927E4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14C36A9" w14:textId="389C4387"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4. 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13D9D7F9" w14:textId="77777777" w:rsidR="00B56301" w:rsidRPr="00364545" w:rsidRDefault="00B56301" w:rsidP="00B37B65">
            <w:pPr>
              <w:jc w:val="right"/>
              <w:rPr>
                <w:rFonts w:asciiTheme="minorHAnsi" w:hAnsiTheme="minorHAnsi"/>
                <w:sz w:val="16"/>
                <w:szCs w:val="16"/>
              </w:rPr>
            </w:pPr>
            <w:r w:rsidRPr="00364545">
              <w:rPr>
                <w:sz w:val="16"/>
              </w:rPr>
              <w:t>4,92</w:t>
            </w:r>
          </w:p>
        </w:tc>
        <w:tc>
          <w:tcPr>
            <w:tcW w:w="991" w:type="dxa"/>
            <w:tcBorders>
              <w:top w:val="nil"/>
              <w:left w:val="nil"/>
              <w:bottom w:val="single" w:sz="4" w:space="0" w:color="auto"/>
              <w:right w:val="single" w:sz="4" w:space="0" w:color="auto"/>
            </w:tcBorders>
            <w:shd w:val="clear" w:color="000000" w:fill="FFFFFF"/>
            <w:noWrap/>
            <w:vAlign w:val="bottom"/>
            <w:hideMark/>
          </w:tcPr>
          <w:p w14:paraId="273F388F" w14:textId="77777777" w:rsidR="00B56301" w:rsidRPr="00364545" w:rsidRDefault="00B56301" w:rsidP="00B37B65">
            <w:pPr>
              <w:jc w:val="right"/>
              <w:rPr>
                <w:rFonts w:asciiTheme="minorHAnsi" w:hAnsiTheme="minorHAnsi"/>
                <w:sz w:val="16"/>
                <w:szCs w:val="16"/>
              </w:rPr>
            </w:pPr>
            <w:r w:rsidRPr="00364545">
              <w:rPr>
                <w:sz w:val="16"/>
              </w:rPr>
              <w:t>4,81</w:t>
            </w:r>
          </w:p>
        </w:tc>
        <w:tc>
          <w:tcPr>
            <w:tcW w:w="991" w:type="dxa"/>
            <w:tcBorders>
              <w:top w:val="nil"/>
              <w:left w:val="nil"/>
              <w:bottom w:val="single" w:sz="4" w:space="0" w:color="auto"/>
              <w:right w:val="single" w:sz="4" w:space="0" w:color="auto"/>
            </w:tcBorders>
            <w:shd w:val="clear" w:color="000000" w:fill="FFFFFF"/>
            <w:noWrap/>
            <w:vAlign w:val="bottom"/>
            <w:hideMark/>
          </w:tcPr>
          <w:p w14:paraId="3F699C44" w14:textId="77777777" w:rsidR="00B56301" w:rsidRPr="00364545" w:rsidRDefault="00B56301" w:rsidP="00B37B65">
            <w:pPr>
              <w:jc w:val="right"/>
              <w:rPr>
                <w:rFonts w:asciiTheme="minorHAnsi" w:hAnsiTheme="minorHAnsi"/>
                <w:sz w:val="16"/>
                <w:szCs w:val="16"/>
              </w:rPr>
            </w:pPr>
            <w:r w:rsidRPr="00364545">
              <w:rPr>
                <w:sz w:val="16"/>
              </w:rPr>
              <w:t>4,93</w:t>
            </w:r>
          </w:p>
        </w:tc>
        <w:tc>
          <w:tcPr>
            <w:tcW w:w="991" w:type="dxa"/>
            <w:tcBorders>
              <w:top w:val="nil"/>
              <w:left w:val="nil"/>
              <w:bottom w:val="single" w:sz="4" w:space="0" w:color="auto"/>
              <w:right w:val="single" w:sz="4" w:space="0" w:color="auto"/>
            </w:tcBorders>
            <w:shd w:val="clear" w:color="000000" w:fill="FFFFFF"/>
            <w:noWrap/>
            <w:vAlign w:val="bottom"/>
            <w:hideMark/>
          </w:tcPr>
          <w:p w14:paraId="519CC022" w14:textId="77777777" w:rsidR="00B56301" w:rsidRPr="00364545" w:rsidRDefault="00B56301" w:rsidP="00B37B65">
            <w:pPr>
              <w:jc w:val="right"/>
              <w:rPr>
                <w:rFonts w:asciiTheme="minorHAnsi" w:hAnsiTheme="minorHAnsi"/>
                <w:sz w:val="16"/>
                <w:szCs w:val="16"/>
              </w:rPr>
            </w:pPr>
            <w:r w:rsidRPr="00364545">
              <w:rPr>
                <w:sz w:val="16"/>
              </w:rPr>
              <w:t>5,09</w:t>
            </w:r>
          </w:p>
        </w:tc>
        <w:tc>
          <w:tcPr>
            <w:tcW w:w="991" w:type="dxa"/>
            <w:tcBorders>
              <w:top w:val="nil"/>
              <w:left w:val="nil"/>
              <w:bottom w:val="single" w:sz="4" w:space="0" w:color="auto"/>
              <w:right w:val="single" w:sz="4" w:space="0" w:color="auto"/>
            </w:tcBorders>
            <w:shd w:val="clear" w:color="000000" w:fill="FFFFFF"/>
            <w:noWrap/>
            <w:vAlign w:val="bottom"/>
            <w:hideMark/>
          </w:tcPr>
          <w:p w14:paraId="0583B39E" w14:textId="77777777" w:rsidR="00B56301" w:rsidRPr="00364545" w:rsidRDefault="00B56301" w:rsidP="00B37B65">
            <w:pPr>
              <w:jc w:val="right"/>
              <w:rPr>
                <w:rFonts w:asciiTheme="minorHAnsi" w:hAnsiTheme="minorHAnsi"/>
                <w:sz w:val="16"/>
                <w:szCs w:val="16"/>
              </w:rPr>
            </w:pPr>
            <w:r w:rsidRPr="00364545">
              <w:rPr>
                <w:sz w:val="16"/>
              </w:rPr>
              <w:t>4,95</w:t>
            </w:r>
          </w:p>
        </w:tc>
        <w:tc>
          <w:tcPr>
            <w:tcW w:w="991" w:type="dxa"/>
            <w:tcBorders>
              <w:top w:val="nil"/>
              <w:left w:val="nil"/>
              <w:bottom w:val="single" w:sz="4" w:space="0" w:color="auto"/>
              <w:right w:val="single" w:sz="4" w:space="0" w:color="auto"/>
            </w:tcBorders>
            <w:shd w:val="clear" w:color="000000" w:fill="FFFFFF"/>
            <w:noWrap/>
            <w:vAlign w:val="bottom"/>
            <w:hideMark/>
          </w:tcPr>
          <w:p w14:paraId="288E7104" w14:textId="77777777" w:rsidR="00B56301" w:rsidRPr="00364545" w:rsidRDefault="00B56301" w:rsidP="00B37B65">
            <w:pPr>
              <w:jc w:val="right"/>
              <w:rPr>
                <w:rFonts w:asciiTheme="minorHAnsi" w:hAnsiTheme="minorHAnsi"/>
                <w:sz w:val="16"/>
                <w:szCs w:val="16"/>
              </w:rPr>
            </w:pPr>
            <w:r w:rsidRPr="00364545">
              <w:rPr>
                <w:sz w:val="16"/>
              </w:rPr>
              <w:t>4,75</w:t>
            </w:r>
          </w:p>
        </w:tc>
      </w:tr>
      <w:tr w:rsidR="00B56301" w:rsidRPr="00364545" w14:paraId="59CB1F1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02F269" w14:textId="5DD755B4"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5. Other</w:t>
            </w:r>
          </w:p>
        </w:tc>
        <w:tc>
          <w:tcPr>
            <w:tcW w:w="991" w:type="dxa"/>
            <w:tcBorders>
              <w:top w:val="nil"/>
              <w:left w:val="nil"/>
              <w:bottom w:val="single" w:sz="4" w:space="0" w:color="auto"/>
              <w:right w:val="single" w:sz="4" w:space="0" w:color="auto"/>
            </w:tcBorders>
            <w:shd w:val="clear" w:color="000000" w:fill="FFFFFF"/>
            <w:noWrap/>
            <w:vAlign w:val="bottom"/>
            <w:hideMark/>
          </w:tcPr>
          <w:p w14:paraId="121A7BCA"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1D0BBF77"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66BCEBDB" w14:textId="77777777" w:rsidR="00B56301" w:rsidRPr="00364545" w:rsidRDefault="00B56301" w:rsidP="00B37B65">
            <w:pPr>
              <w:jc w:val="right"/>
              <w:rPr>
                <w:rFonts w:asciiTheme="minorHAnsi" w:hAnsiTheme="minorHAnsi"/>
                <w:sz w:val="16"/>
                <w:szCs w:val="16"/>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78B1102A" w14:textId="77777777" w:rsidR="00B56301" w:rsidRPr="00364545" w:rsidRDefault="00B56301" w:rsidP="00B37B65">
            <w:pPr>
              <w:jc w:val="right"/>
              <w:rPr>
                <w:rFonts w:asciiTheme="minorHAnsi" w:hAnsiTheme="minorHAnsi"/>
                <w:sz w:val="16"/>
                <w:szCs w:val="16"/>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3BC612C5"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8CADE9E" w14:textId="77777777" w:rsidR="00B56301" w:rsidRPr="00364545" w:rsidRDefault="00B56301" w:rsidP="00B37B65">
            <w:pPr>
              <w:jc w:val="right"/>
              <w:rPr>
                <w:rFonts w:asciiTheme="minorHAnsi" w:hAnsiTheme="minorHAnsi"/>
                <w:sz w:val="16"/>
                <w:szCs w:val="16"/>
              </w:rPr>
            </w:pPr>
            <w:r w:rsidRPr="00364545">
              <w:rPr>
                <w:sz w:val="16"/>
              </w:rPr>
              <w:t>0,05</w:t>
            </w:r>
          </w:p>
        </w:tc>
      </w:tr>
      <w:tr w:rsidR="00B56301" w:rsidRPr="00364545" w14:paraId="759D07F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0740746"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5E47ED6E"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086C8F79"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47C8C7C2"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7CA43D28"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43CB2603" w14:textId="77777777" w:rsidR="00B56301" w:rsidRPr="00364545" w:rsidRDefault="00B56301" w:rsidP="00B37B65">
            <w:pPr>
              <w:jc w:val="right"/>
              <w:rPr>
                <w:rFonts w:asciiTheme="minorHAnsi" w:hAnsiTheme="minorHAnsi"/>
                <w:sz w:val="16"/>
                <w:szCs w:val="16"/>
              </w:rPr>
            </w:pPr>
            <w:r w:rsidRPr="00364545">
              <w:rPr>
                <w:sz w:val="16"/>
              </w:rPr>
              <w:t>0,14</w:t>
            </w:r>
          </w:p>
        </w:tc>
        <w:tc>
          <w:tcPr>
            <w:tcW w:w="991" w:type="dxa"/>
            <w:tcBorders>
              <w:top w:val="nil"/>
              <w:left w:val="nil"/>
              <w:bottom w:val="single" w:sz="4" w:space="0" w:color="auto"/>
              <w:right w:val="single" w:sz="4" w:space="0" w:color="auto"/>
            </w:tcBorders>
            <w:shd w:val="clear" w:color="000000" w:fill="CCFFFF"/>
            <w:noWrap/>
            <w:vAlign w:val="bottom"/>
            <w:hideMark/>
          </w:tcPr>
          <w:p w14:paraId="637E0BF1" w14:textId="77777777" w:rsidR="00B56301" w:rsidRPr="00364545" w:rsidRDefault="00B56301" w:rsidP="00B37B65">
            <w:pPr>
              <w:jc w:val="right"/>
              <w:rPr>
                <w:rFonts w:asciiTheme="minorHAnsi" w:hAnsiTheme="minorHAnsi"/>
                <w:sz w:val="16"/>
                <w:szCs w:val="16"/>
              </w:rPr>
            </w:pPr>
            <w:r w:rsidRPr="00364545">
              <w:rPr>
                <w:sz w:val="16"/>
              </w:rPr>
              <w:t>0,14</w:t>
            </w:r>
          </w:p>
        </w:tc>
      </w:tr>
      <w:tr w:rsidR="00B56301" w:rsidRPr="00364545" w14:paraId="72C5CBF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448AD9C" w14:textId="28FFB50E"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133909C6"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E38AB14"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2F07CFF2"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9C13ACC"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4F993AD"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5A33F72"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02639F5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92E6426" w14:textId="74D1ABAE"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73C4E03E"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62DB8D94"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1BD345B4"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1325C330" w14:textId="77777777" w:rsidR="00B56301" w:rsidRPr="00364545" w:rsidRDefault="00B56301" w:rsidP="00B37B65">
            <w:pPr>
              <w:jc w:val="right"/>
              <w:rPr>
                <w:rFonts w:asciiTheme="minorHAnsi" w:hAnsiTheme="minorHAnsi"/>
                <w:sz w:val="16"/>
                <w:szCs w:val="16"/>
              </w:rPr>
            </w:pPr>
            <w:r w:rsidRPr="00364545">
              <w:rPr>
                <w:sz w:val="16"/>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2ABDD624" w14:textId="77777777" w:rsidR="00B56301" w:rsidRPr="00364545" w:rsidRDefault="00B56301" w:rsidP="00B37B65">
            <w:pPr>
              <w:jc w:val="right"/>
              <w:rPr>
                <w:rFonts w:asciiTheme="minorHAnsi" w:hAnsiTheme="minorHAnsi"/>
                <w:sz w:val="16"/>
                <w:szCs w:val="16"/>
              </w:rPr>
            </w:pPr>
            <w:r w:rsidRPr="00364545">
              <w:rPr>
                <w:sz w:val="16"/>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4FCCE46A" w14:textId="77777777" w:rsidR="00B56301" w:rsidRPr="00364545" w:rsidRDefault="00B56301" w:rsidP="00B37B65">
            <w:pPr>
              <w:jc w:val="right"/>
              <w:rPr>
                <w:rFonts w:asciiTheme="minorHAnsi" w:hAnsiTheme="minorHAnsi"/>
                <w:sz w:val="16"/>
                <w:szCs w:val="16"/>
              </w:rPr>
            </w:pPr>
            <w:r w:rsidRPr="00364545">
              <w:rPr>
                <w:sz w:val="16"/>
              </w:rPr>
              <w:t>0,14</w:t>
            </w:r>
          </w:p>
        </w:tc>
      </w:tr>
      <w:tr w:rsidR="00B56301" w:rsidRPr="00364545" w14:paraId="419A683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E45E24" w14:textId="76E7BAD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4DFC51E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DE54E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6BB07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5D351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CBBE1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47DA9C"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3D9CA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B9DD6A2" w14:textId="2AB42AFF"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2. 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513FE2F6" w14:textId="77777777" w:rsidR="00B56301" w:rsidRPr="00364545" w:rsidRDefault="00B56301" w:rsidP="00B37B65">
            <w:pPr>
              <w:jc w:val="right"/>
              <w:rPr>
                <w:rFonts w:asciiTheme="minorHAnsi" w:hAnsiTheme="minorHAnsi"/>
                <w:sz w:val="16"/>
                <w:szCs w:val="16"/>
              </w:rPr>
            </w:pPr>
            <w:r w:rsidRPr="00364545">
              <w:rPr>
                <w:sz w:val="16"/>
              </w:rPr>
              <w:t>40,02</w:t>
            </w:r>
          </w:p>
        </w:tc>
        <w:tc>
          <w:tcPr>
            <w:tcW w:w="991" w:type="dxa"/>
            <w:tcBorders>
              <w:top w:val="nil"/>
              <w:left w:val="nil"/>
              <w:bottom w:val="single" w:sz="4" w:space="0" w:color="auto"/>
              <w:right w:val="single" w:sz="4" w:space="0" w:color="auto"/>
            </w:tcBorders>
            <w:shd w:val="clear" w:color="000000" w:fill="CCFFFF"/>
            <w:noWrap/>
            <w:vAlign w:val="bottom"/>
            <w:hideMark/>
          </w:tcPr>
          <w:p w14:paraId="1AF2D69B" w14:textId="77777777" w:rsidR="00B56301" w:rsidRPr="00364545" w:rsidRDefault="00B56301" w:rsidP="00B37B65">
            <w:pPr>
              <w:jc w:val="right"/>
              <w:rPr>
                <w:rFonts w:asciiTheme="minorHAnsi" w:hAnsiTheme="minorHAnsi"/>
                <w:sz w:val="16"/>
                <w:szCs w:val="16"/>
              </w:rPr>
            </w:pPr>
            <w:r w:rsidRPr="00364545">
              <w:rPr>
                <w:sz w:val="16"/>
              </w:rPr>
              <w:t>32,25</w:t>
            </w:r>
          </w:p>
        </w:tc>
        <w:tc>
          <w:tcPr>
            <w:tcW w:w="991" w:type="dxa"/>
            <w:tcBorders>
              <w:top w:val="nil"/>
              <w:left w:val="nil"/>
              <w:bottom w:val="single" w:sz="4" w:space="0" w:color="auto"/>
              <w:right w:val="single" w:sz="4" w:space="0" w:color="auto"/>
            </w:tcBorders>
            <w:shd w:val="clear" w:color="000000" w:fill="CCFFFF"/>
            <w:noWrap/>
            <w:vAlign w:val="bottom"/>
            <w:hideMark/>
          </w:tcPr>
          <w:p w14:paraId="711FA69D" w14:textId="77777777" w:rsidR="00B56301" w:rsidRPr="00364545" w:rsidRDefault="00B56301" w:rsidP="00B37B65">
            <w:pPr>
              <w:jc w:val="right"/>
              <w:rPr>
                <w:rFonts w:asciiTheme="minorHAnsi" w:hAnsiTheme="minorHAnsi"/>
                <w:sz w:val="16"/>
                <w:szCs w:val="16"/>
              </w:rPr>
            </w:pPr>
            <w:r w:rsidRPr="00364545">
              <w:rPr>
                <w:sz w:val="16"/>
              </w:rPr>
              <w:t>31,78</w:t>
            </w:r>
          </w:p>
        </w:tc>
        <w:tc>
          <w:tcPr>
            <w:tcW w:w="991" w:type="dxa"/>
            <w:tcBorders>
              <w:top w:val="nil"/>
              <w:left w:val="nil"/>
              <w:bottom w:val="single" w:sz="4" w:space="0" w:color="auto"/>
              <w:right w:val="single" w:sz="4" w:space="0" w:color="auto"/>
            </w:tcBorders>
            <w:shd w:val="clear" w:color="000000" w:fill="CCFFFF"/>
            <w:noWrap/>
            <w:vAlign w:val="bottom"/>
            <w:hideMark/>
          </w:tcPr>
          <w:p w14:paraId="6647B89D" w14:textId="77777777" w:rsidR="00B56301" w:rsidRPr="00364545" w:rsidRDefault="00B56301" w:rsidP="00B37B65">
            <w:pPr>
              <w:jc w:val="right"/>
              <w:rPr>
                <w:rFonts w:asciiTheme="minorHAnsi" w:hAnsiTheme="minorHAnsi"/>
                <w:sz w:val="16"/>
                <w:szCs w:val="16"/>
              </w:rPr>
            </w:pPr>
            <w:r w:rsidRPr="00364545">
              <w:rPr>
                <w:sz w:val="16"/>
              </w:rPr>
              <w:t>22,50</w:t>
            </w:r>
          </w:p>
        </w:tc>
        <w:tc>
          <w:tcPr>
            <w:tcW w:w="991" w:type="dxa"/>
            <w:tcBorders>
              <w:top w:val="nil"/>
              <w:left w:val="nil"/>
              <w:bottom w:val="single" w:sz="4" w:space="0" w:color="auto"/>
              <w:right w:val="single" w:sz="4" w:space="0" w:color="auto"/>
            </w:tcBorders>
            <w:shd w:val="clear" w:color="000000" w:fill="CCFFFF"/>
            <w:noWrap/>
            <w:vAlign w:val="bottom"/>
            <w:hideMark/>
          </w:tcPr>
          <w:p w14:paraId="6882484F" w14:textId="77777777" w:rsidR="00B56301" w:rsidRPr="00364545" w:rsidRDefault="00B56301" w:rsidP="00B37B65">
            <w:pPr>
              <w:jc w:val="right"/>
              <w:rPr>
                <w:rFonts w:asciiTheme="minorHAnsi" w:hAnsiTheme="minorHAnsi"/>
                <w:sz w:val="16"/>
                <w:szCs w:val="16"/>
              </w:rPr>
            </w:pPr>
            <w:r w:rsidRPr="00364545">
              <w:rPr>
                <w:sz w:val="16"/>
              </w:rPr>
              <w:t>22,69</w:t>
            </w:r>
          </w:p>
        </w:tc>
        <w:tc>
          <w:tcPr>
            <w:tcW w:w="991" w:type="dxa"/>
            <w:tcBorders>
              <w:top w:val="nil"/>
              <w:left w:val="nil"/>
              <w:bottom w:val="single" w:sz="4" w:space="0" w:color="auto"/>
              <w:right w:val="single" w:sz="4" w:space="0" w:color="auto"/>
            </w:tcBorders>
            <w:shd w:val="clear" w:color="000000" w:fill="CCFFFF"/>
            <w:noWrap/>
            <w:vAlign w:val="bottom"/>
            <w:hideMark/>
          </w:tcPr>
          <w:p w14:paraId="691CE067" w14:textId="77777777" w:rsidR="00B56301" w:rsidRPr="00364545" w:rsidRDefault="00B56301" w:rsidP="00B37B65">
            <w:pPr>
              <w:jc w:val="right"/>
              <w:rPr>
                <w:rFonts w:asciiTheme="minorHAnsi" w:hAnsiTheme="minorHAnsi"/>
                <w:sz w:val="16"/>
                <w:szCs w:val="16"/>
              </w:rPr>
            </w:pPr>
            <w:r w:rsidRPr="00364545">
              <w:rPr>
                <w:sz w:val="16"/>
              </w:rPr>
              <w:t>20,31</w:t>
            </w:r>
          </w:p>
        </w:tc>
      </w:tr>
      <w:tr w:rsidR="00B56301" w:rsidRPr="00364545" w14:paraId="465ADDF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52FE1BF" w14:textId="5CE24AF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38F42B9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38F31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D335F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C91DF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88E73A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BF7A3FC"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2EC898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029B16" w14:textId="706370E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2A04579C" w14:textId="77777777" w:rsidR="00B56301" w:rsidRPr="00364545" w:rsidRDefault="00B56301" w:rsidP="00B37B65">
            <w:pPr>
              <w:jc w:val="right"/>
              <w:rPr>
                <w:rFonts w:asciiTheme="minorHAnsi" w:hAnsiTheme="minorHAnsi"/>
                <w:sz w:val="16"/>
                <w:szCs w:val="16"/>
              </w:rPr>
            </w:pPr>
            <w:r w:rsidRPr="00364545">
              <w:rPr>
                <w:sz w:val="16"/>
              </w:rPr>
              <w:t>39,59</w:t>
            </w:r>
          </w:p>
        </w:tc>
        <w:tc>
          <w:tcPr>
            <w:tcW w:w="991" w:type="dxa"/>
            <w:tcBorders>
              <w:top w:val="nil"/>
              <w:left w:val="nil"/>
              <w:bottom w:val="single" w:sz="4" w:space="0" w:color="auto"/>
              <w:right w:val="single" w:sz="4" w:space="0" w:color="auto"/>
            </w:tcBorders>
            <w:shd w:val="clear" w:color="000000" w:fill="FFFFFF"/>
            <w:noWrap/>
            <w:vAlign w:val="bottom"/>
            <w:hideMark/>
          </w:tcPr>
          <w:p w14:paraId="03A1D37E" w14:textId="77777777" w:rsidR="00B56301" w:rsidRPr="00364545" w:rsidRDefault="00B56301" w:rsidP="00B37B65">
            <w:pPr>
              <w:jc w:val="right"/>
              <w:rPr>
                <w:rFonts w:asciiTheme="minorHAnsi" w:hAnsiTheme="minorHAnsi"/>
                <w:sz w:val="16"/>
                <w:szCs w:val="16"/>
              </w:rPr>
            </w:pPr>
            <w:r w:rsidRPr="00364545">
              <w:rPr>
                <w:sz w:val="16"/>
              </w:rPr>
              <w:t>31,82</w:t>
            </w:r>
          </w:p>
        </w:tc>
        <w:tc>
          <w:tcPr>
            <w:tcW w:w="991" w:type="dxa"/>
            <w:tcBorders>
              <w:top w:val="nil"/>
              <w:left w:val="nil"/>
              <w:bottom w:val="single" w:sz="4" w:space="0" w:color="auto"/>
              <w:right w:val="single" w:sz="4" w:space="0" w:color="auto"/>
            </w:tcBorders>
            <w:shd w:val="clear" w:color="000000" w:fill="FFFFFF"/>
            <w:noWrap/>
            <w:vAlign w:val="bottom"/>
            <w:hideMark/>
          </w:tcPr>
          <w:p w14:paraId="723B37C0" w14:textId="77777777" w:rsidR="00B56301" w:rsidRPr="00364545" w:rsidRDefault="00B56301" w:rsidP="00B37B65">
            <w:pPr>
              <w:jc w:val="right"/>
              <w:rPr>
                <w:rFonts w:asciiTheme="minorHAnsi" w:hAnsiTheme="minorHAnsi"/>
                <w:sz w:val="16"/>
                <w:szCs w:val="16"/>
              </w:rPr>
            </w:pPr>
            <w:r w:rsidRPr="00364545">
              <w:rPr>
                <w:sz w:val="16"/>
              </w:rPr>
              <w:t>31,34</w:t>
            </w:r>
          </w:p>
        </w:tc>
        <w:tc>
          <w:tcPr>
            <w:tcW w:w="991" w:type="dxa"/>
            <w:tcBorders>
              <w:top w:val="nil"/>
              <w:left w:val="nil"/>
              <w:bottom w:val="single" w:sz="4" w:space="0" w:color="auto"/>
              <w:right w:val="single" w:sz="4" w:space="0" w:color="auto"/>
            </w:tcBorders>
            <w:shd w:val="clear" w:color="000000" w:fill="FFFFFF"/>
            <w:noWrap/>
            <w:vAlign w:val="bottom"/>
            <w:hideMark/>
          </w:tcPr>
          <w:p w14:paraId="64D6BCAE" w14:textId="77777777" w:rsidR="00B56301" w:rsidRPr="00364545" w:rsidRDefault="00B56301" w:rsidP="00B37B65">
            <w:pPr>
              <w:jc w:val="right"/>
              <w:rPr>
                <w:rFonts w:asciiTheme="minorHAnsi" w:hAnsiTheme="minorHAnsi"/>
                <w:sz w:val="16"/>
                <w:szCs w:val="16"/>
              </w:rPr>
            </w:pPr>
            <w:r w:rsidRPr="00364545">
              <w:rPr>
                <w:sz w:val="16"/>
              </w:rPr>
              <w:t>22,07</w:t>
            </w:r>
          </w:p>
        </w:tc>
        <w:tc>
          <w:tcPr>
            <w:tcW w:w="991" w:type="dxa"/>
            <w:tcBorders>
              <w:top w:val="nil"/>
              <w:left w:val="nil"/>
              <w:bottom w:val="single" w:sz="4" w:space="0" w:color="auto"/>
              <w:right w:val="single" w:sz="4" w:space="0" w:color="auto"/>
            </w:tcBorders>
            <w:shd w:val="clear" w:color="000000" w:fill="FFFFFF"/>
            <w:noWrap/>
            <w:vAlign w:val="bottom"/>
            <w:hideMark/>
          </w:tcPr>
          <w:p w14:paraId="1D1149D6" w14:textId="77777777" w:rsidR="00B56301" w:rsidRPr="00364545" w:rsidRDefault="00B56301" w:rsidP="00B37B65">
            <w:pPr>
              <w:jc w:val="right"/>
              <w:rPr>
                <w:rFonts w:asciiTheme="minorHAnsi" w:hAnsiTheme="minorHAnsi"/>
                <w:sz w:val="16"/>
                <w:szCs w:val="16"/>
              </w:rPr>
            </w:pPr>
            <w:r w:rsidRPr="00364545">
              <w:rPr>
                <w:sz w:val="16"/>
              </w:rPr>
              <w:t>22,25</w:t>
            </w:r>
          </w:p>
        </w:tc>
        <w:tc>
          <w:tcPr>
            <w:tcW w:w="991" w:type="dxa"/>
            <w:tcBorders>
              <w:top w:val="nil"/>
              <w:left w:val="nil"/>
              <w:bottom w:val="single" w:sz="4" w:space="0" w:color="auto"/>
              <w:right w:val="single" w:sz="4" w:space="0" w:color="auto"/>
            </w:tcBorders>
            <w:shd w:val="clear" w:color="000000" w:fill="FFFFFF"/>
            <w:noWrap/>
            <w:vAlign w:val="bottom"/>
            <w:hideMark/>
          </w:tcPr>
          <w:p w14:paraId="3B4A5C6D" w14:textId="77777777" w:rsidR="00B56301" w:rsidRPr="00364545" w:rsidRDefault="00B56301" w:rsidP="00B37B65">
            <w:pPr>
              <w:jc w:val="right"/>
              <w:rPr>
                <w:rFonts w:asciiTheme="minorHAnsi" w:hAnsiTheme="minorHAnsi"/>
                <w:sz w:val="16"/>
                <w:szCs w:val="16"/>
              </w:rPr>
            </w:pPr>
            <w:r w:rsidRPr="00364545">
              <w:rPr>
                <w:sz w:val="16"/>
              </w:rPr>
              <w:t>19,87</w:t>
            </w:r>
          </w:p>
        </w:tc>
      </w:tr>
      <w:tr w:rsidR="00B56301" w:rsidRPr="00364545" w14:paraId="26C2984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092AE46" w14:textId="31F0039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76348FF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983DD15"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2C54D44"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631ECFD"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5D8418"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2A172EC"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32E21A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258E61D" w14:textId="5FC6D3C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7780A5D9"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D676255"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22340AF5"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19515B2"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0F6E2C74"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0AC0901" w14:textId="77777777" w:rsidR="00B56301" w:rsidRPr="00364545" w:rsidRDefault="00B56301" w:rsidP="00B37B65">
            <w:pPr>
              <w:jc w:val="right"/>
              <w:rPr>
                <w:rFonts w:asciiTheme="minorHAnsi" w:hAnsiTheme="minorHAnsi"/>
                <w:sz w:val="16"/>
                <w:szCs w:val="16"/>
              </w:rPr>
            </w:pPr>
            <w:r w:rsidRPr="00364545">
              <w:rPr>
                <w:sz w:val="16"/>
              </w:rPr>
              <w:t>0,01</w:t>
            </w:r>
          </w:p>
        </w:tc>
      </w:tr>
      <w:tr w:rsidR="00B56301" w:rsidRPr="00364545" w14:paraId="0725E4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307681" w14:textId="69B7794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093EFC5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064834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0C3E0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B4CEE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72B33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51EE0A"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01917B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3AE82EF" w14:textId="3EB42F3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68E1F1B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0248E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5B4915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B38063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F52C5B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76F81C"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AC4BB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DAFEDF9" w14:textId="218376E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G. 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2149342A" w14:textId="77777777" w:rsidR="00B56301" w:rsidRPr="00364545" w:rsidRDefault="00B56301" w:rsidP="00B37B65">
            <w:pPr>
              <w:jc w:val="right"/>
              <w:rPr>
                <w:rFonts w:asciiTheme="minorHAnsi" w:hAnsiTheme="minorHAnsi"/>
                <w:sz w:val="16"/>
                <w:szCs w:val="16"/>
              </w:rPr>
            </w:pPr>
            <w:r w:rsidRPr="00364545">
              <w:rPr>
                <w:sz w:val="16"/>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1062E669" w14:textId="77777777" w:rsidR="00B56301" w:rsidRPr="00364545" w:rsidRDefault="00B56301" w:rsidP="00B37B65">
            <w:pPr>
              <w:jc w:val="right"/>
              <w:rPr>
                <w:rFonts w:asciiTheme="minorHAnsi" w:hAnsiTheme="minorHAnsi"/>
                <w:sz w:val="16"/>
                <w:szCs w:val="16"/>
              </w:rPr>
            </w:pPr>
            <w:r w:rsidRPr="00364545">
              <w:rPr>
                <w:sz w:val="16"/>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3D2DF1A2" w14:textId="77777777" w:rsidR="00B56301" w:rsidRPr="00364545" w:rsidRDefault="00B56301" w:rsidP="00B37B65">
            <w:pPr>
              <w:jc w:val="right"/>
              <w:rPr>
                <w:rFonts w:asciiTheme="minorHAnsi" w:hAnsiTheme="minorHAnsi"/>
                <w:sz w:val="16"/>
                <w:szCs w:val="16"/>
              </w:rPr>
            </w:pPr>
            <w:r w:rsidRPr="00364545">
              <w:rPr>
                <w:sz w:val="16"/>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269BA321" w14:textId="77777777" w:rsidR="00B56301" w:rsidRPr="00364545" w:rsidRDefault="00B56301" w:rsidP="00B37B65">
            <w:pPr>
              <w:jc w:val="right"/>
              <w:rPr>
                <w:rFonts w:asciiTheme="minorHAnsi" w:hAnsiTheme="minorHAnsi"/>
                <w:sz w:val="16"/>
                <w:szCs w:val="16"/>
              </w:rPr>
            </w:pPr>
            <w:r w:rsidRPr="00364545">
              <w:rPr>
                <w:sz w:val="16"/>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3BCDE335" w14:textId="77777777" w:rsidR="00B56301" w:rsidRPr="00364545" w:rsidRDefault="00B56301" w:rsidP="00B37B65">
            <w:pPr>
              <w:jc w:val="right"/>
              <w:rPr>
                <w:rFonts w:asciiTheme="minorHAnsi" w:hAnsiTheme="minorHAnsi"/>
                <w:sz w:val="16"/>
                <w:szCs w:val="16"/>
              </w:rPr>
            </w:pPr>
            <w:r w:rsidRPr="00364545">
              <w:rPr>
                <w:sz w:val="16"/>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64924743" w14:textId="77777777" w:rsidR="00B56301" w:rsidRPr="00364545" w:rsidRDefault="00B56301" w:rsidP="00B37B65">
            <w:pPr>
              <w:jc w:val="right"/>
              <w:rPr>
                <w:rFonts w:asciiTheme="minorHAnsi" w:hAnsiTheme="minorHAnsi"/>
                <w:sz w:val="16"/>
                <w:szCs w:val="16"/>
              </w:rPr>
            </w:pPr>
            <w:r w:rsidRPr="00364545">
              <w:rPr>
                <w:sz w:val="16"/>
              </w:rPr>
              <w:t>0,43</w:t>
            </w:r>
          </w:p>
        </w:tc>
      </w:tr>
      <w:tr w:rsidR="00B56301" w:rsidRPr="00364545" w14:paraId="0F5F072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858B42C" w14:textId="4B75E27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0E04E410"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CADF8C0"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92CCDC4"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6DEC752"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B917CF0"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772EF9B" w14:textId="77777777" w:rsidR="00B56301" w:rsidRPr="00364545" w:rsidRDefault="00B56301" w:rsidP="00B37B65">
            <w:pPr>
              <w:jc w:val="right"/>
              <w:rPr>
                <w:rFonts w:asciiTheme="minorHAnsi" w:hAnsiTheme="minorHAnsi"/>
                <w:sz w:val="16"/>
                <w:szCs w:val="16"/>
              </w:rPr>
            </w:pPr>
            <w:r w:rsidRPr="00364545">
              <w:rPr>
                <w:sz w:val="16"/>
              </w:rPr>
              <w:t>NO,NA</w:t>
            </w:r>
          </w:p>
        </w:tc>
      </w:tr>
      <w:tr w:rsidR="00B56301" w:rsidRPr="00364545" w14:paraId="495142B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4BA1D767" w14:textId="047E124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3. 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1AD176C4" w14:textId="77777777" w:rsidR="00B56301" w:rsidRPr="00364545" w:rsidRDefault="00B56301" w:rsidP="00B37B65">
            <w:pPr>
              <w:jc w:val="right"/>
              <w:rPr>
                <w:rFonts w:asciiTheme="minorHAnsi" w:hAnsiTheme="minorHAnsi"/>
                <w:sz w:val="16"/>
                <w:szCs w:val="16"/>
              </w:rPr>
            </w:pPr>
            <w:r w:rsidRPr="00364545">
              <w:rPr>
                <w:sz w:val="16"/>
              </w:rPr>
              <w:t>123,07</w:t>
            </w:r>
          </w:p>
        </w:tc>
        <w:tc>
          <w:tcPr>
            <w:tcW w:w="991" w:type="dxa"/>
            <w:tcBorders>
              <w:top w:val="nil"/>
              <w:left w:val="nil"/>
              <w:bottom w:val="single" w:sz="4" w:space="0" w:color="auto"/>
              <w:right w:val="single" w:sz="4" w:space="0" w:color="auto"/>
            </w:tcBorders>
            <w:shd w:val="clear" w:color="000000" w:fill="CCFFFF"/>
            <w:noWrap/>
            <w:vAlign w:val="bottom"/>
            <w:hideMark/>
          </w:tcPr>
          <w:p w14:paraId="70C609B4" w14:textId="77777777" w:rsidR="00B56301" w:rsidRPr="00364545" w:rsidRDefault="00B56301" w:rsidP="00B37B65">
            <w:pPr>
              <w:jc w:val="right"/>
              <w:rPr>
                <w:rFonts w:asciiTheme="minorHAnsi" w:hAnsiTheme="minorHAnsi"/>
                <w:sz w:val="16"/>
                <w:szCs w:val="16"/>
              </w:rPr>
            </w:pPr>
            <w:r w:rsidRPr="00364545">
              <w:rPr>
                <w:sz w:val="16"/>
              </w:rPr>
              <w:t>121,28</w:t>
            </w:r>
          </w:p>
        </w:tc>
        <w:tc>
          <w:tcPr>
            <w:tcW w:w="991" w:type="dxa"/>
            <w:tcBorders>
              <w:top w:val="nil"/>
              <w:left w:val="nil"/>
              <w:bottom w:val="single" w:sz="4" w:space="0" w:color="auto"/>
              <w:right w:val="single" w:sz="4" w:space="0" w:color="auto"/>
            </w:tcBorders>
            <w:shd w:val="clear" w:color="000000" w:fill="CCFFFF"/>
            <w:noWrap/>
            <w:vAlign w:val="bottom"/>
            <w:hideMark/>
          </w:tcPr>
          <w:p w14:paraId="786F29AF" w14:textId="77777777" w:rsidR="00B56301" w:rsidRPr="00364545" w:rsidRDefault="00B56301" w:rsidP="00B37B65">
            <w:pPr>
              <w:jc w:val="right"/>
              <w:rPr>
                <w:rFonts w:asciiTheme="minorHAnsi" w:hAnsiTheme="minorHAnsi"/>
                <w:sz w:val="16"/>
                <w:szCs w:val="16"/>
              </w:rPr>
            </w:pPr>
            <w:r w:rsidRPr="00364545">
              <w:rPr>
                <w:sz w:val="16"/>
              </w:rPr>
              <w:t>115,60</w:t>
            </w:r>
          </w:p>
        </w:tc>
        <w:tc>
          <w:tcPr>
            <w:tcW w:w="991" w:type="dxa"/>
            <w:tcBorders>
              <w:top w:val="nil"/>
              <w:left w:val="nil"/>
              <w:bottom w:val="single" w:sz="4" w:space="0" w:color="auto"/>
              <w:right w:val="single" w:sz="4" w:space="0" w:color="auto"/>
            </w:tcBorders>
            <w:shd w:val="clear" w:color="000000" w:fill="CCFFFF"/>
            <w:noWrap/>
            <w:vAlign w:val="bottom"/>
            <w:hideMark/>
          </w:tcPr>
          <w:p w14:paraId="5B9F22F9" w14:textId="77777777" w:rsidR="00B56301" w:rsidRPr="00364545" w:rsidRDefault="00B56301" w:rsidP="00B37B65">
            <w:pPr>
              <w:jc w:val="right"/>
              <w:rPr>
                <w:rFonts w:asciiTheme="minorHAnsi" w:hAnsiTheme="minorHAnsi"/>
                <w:sz w:val="16"/>
                <w:szCs w:val="16"/>
              </w:rPr>
            </w:pPr>
            <w:r w:rsidRPr="00364545">
              <w:rPr>
                <w:sz w:val="16"/>
              </w:rPr>
              <w:t>119,25</w:t>
            </w:r>
          </w:p>
        </w:tc>
        <w:tc>
          <w:tcPr>
            <w:tcW w:w="991" w:type="dxa"/>
            <w:tcBorders>
              <w:top w:val="nil"/>
              <w:left w:val="nil"/>
              <w:bottom w:val="single" w:sz="4" w:space="0" w:color="auto"/>
              <w:right w:val="single" w:sz="4" w:space="0" w:color="auto"/>
            </w:tcBorders>
            <w:shd w:val="clear" w:color="000000" w:fill="CCFFFF"/>
            <w:noWrap/>
            <w:vAlign w:val="bottom"/>
            <w:hideMark/>
          </w:tcPr>
          <w:p w14:paraId="030D82CD" w14:textId="77777777" w:rsidR="00B56301" w:rsidRPr="00364545" w:rsidRDefault="00B56301" w:rsidP="00B37B65">
            <w:pPr>
              <w:jc w:val="right"/>
              <w:rPr>
                <w:rFonts w:asciiTheme="minorHAnsi" w:hAnsiTheme="minorHAnsi"/>
                <w:sz w:val="16"/>
                <w:szCs w:val="16"/>
              </w:rPr>
            </w:pPr>
            <w:r w:rsidRPr="00364545">
              <w:rPr>
                <w:sz w:val="16"/>
              </w:rPr>
              <w:t>116,38</w:t>
            </w:r>
          </w:p>
        </w:tc>
        <w:tc>
          <w:tcPr>
            <w:tcW w:w="991" w:type="dxa"/>
            <w:tcBorders>
              <w:top w:val="nil"/>
              <w:left w:val="nil"/>
              <w:bottom w:val="single" w:sz="4" w:space="0" w:color="auto"/>
              <w:right w:val="single" w:sz="4" w:space="0" w:color="auto"/>
            </w:tcBorders>
            <w:shd w:val="clear" w:color="000000" w:fill="CCFFFF"/>
            <w:noWrap/>
            <w:vAlign w:val="bottom"/>
            <w:hideMark/>
          </w:tcPr>
          <w:p w14:paraId="385FABDE" w14:textId="77777777" w:rsidR="00B56301" w:rsidRPr="00364545" w:rsidRDefault="00B56301" w:rsidP="00B37B65">
            <w:pPr>
              <w:jc w:val="right"/>
              <w:rPr>
                <w:rFonts w:asciiTheme="minorHAnsi" w:hAnsiTheme="minorHAnsi"/>
                <w:sz w:val="16"/>
                <w:szCs w:val="16"/>
              </w:rPr>
            </w:pPr>
            <w:r w:rsidRPr="00364545">
              <w:rPr>
                <w:sz w:val="16"/>
              </w:rPr>
              <w:t>114,89</w:t>
            </w:r>
          </w:p>
        </w:tc>
      </w:tr>
      <w:tr w:rsidR="00B56301" w:rsidRPr="00364545" w14:paraId="46AC1D4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7A0408" w14:textId="738FEAD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Enteric fermentation</w:t>
            </w:r>
          </w:p>
        </w:tc>
        <w:tc>
          <w:tcPr>
            <w:tcW w:w="991" w:type="dxa"/>
            <w:tcBorders>
              <w:top w:val="nil"/>
              <w:left w:val="nil"/>
              <w:bottom w:val="single" w:sz="4" w:space="0" w:color="auto"/>
              <w:right w:val="single" w:sz="4" w:space="0" w:color="auto"/>
            </w:tcBorders>
            <w:shd w:val="clear" w:color="000000" w:fill="969696"/>
            <w:noWrap/>
            <w:vAlign w:val="bottom"/>
            <w:hideMark/>
          </w:tcPr>
          <w:p w14:paraId="5CF989A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2301A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03DED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883F7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F7608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3F83B2"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19904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EC0FEC" w14:textId="7331D52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222BB67D" w14:textId="77777777" w:rsidR="00B56301" w:rsidRPr="00364545" w:rsidRDefault="00B56301" w:rsidP="00B37B65">
            <w:pPr>
              <w:jc w:val="right"/>
              <w:rPr>
                <w:rFonts w:asciiTheme="minorHAnsi" w:hAnsiTheme="minorHAnsi"/>
                <w:sz w:val="16"/>
                <w:szCs w:val="16"/>
              </w:rPr>
            </w:pPr>
            <w:r w:rsidRPr="00364545">
              <w:rPr>
                <w:sz w:val="16"/>
              </w:rPr>
              <w:t>9,17</w:t>
            </w:r>
          </w:p>
        </w:tc>
        <w:tc>
          <w:tcPr>
            <w:tcW w:w="991" w:type="dxa"/>
            <w:tcBorders>
              <w:top w:val="nil"/>
              <w:left w:val="nil"/>
              <w:bottom w:val="single" w:sz="4" w:space="0" w:color="auto"/>
              <w:right w:val="single" w:sz="4" w:space="0" w:color="auto"/>
            </w:tcBorders>
            <w:shd w:val="clear" w:color="000000" w:fill="FFFFFF"/>
            <w:noWrap/>
            <w:vAlign w:val="bottom"/>
            <w:hideMark/>
          </w:tcPr>
          <w:p w14:paraId="0204A684" w14:textId="77777777" w:rsidR="00B56301" w:rsidRPr="00364545" w:rsidRDefault="00B56301" w:rsidP="00B37B65">
            <w:pPr>
              <w:jc w:val="right"/>
              <w:rPr>
                <w:rFonts w:asciiTheme="minorHAnsi" w:hAnsiTheme="minorHAnsi"/>
                <w:sz w:val="16"/>
                <w:szCs w:val="16"/>
              </w:rPr>
            </w:pPr>
            <w:r w:rsidRPr="00364545">
              <w:rPr>
                <w:sz w:val="16"/>
              </w:rPr>
              <w:t>9,00</w:t>
            </w:r>
          </w:p>
        </w:tc>
        <w:tc>
          <w:tcPr>
            <w:tcW w:w="991" w:type="dxa"/>
            <w:tcBorders>
              <w:top w:val="nil"/>
              <w:left w:val="nil"/>
              <w:bottom w:val="single" w:sz="4" w:space="0" w:color="auto"/>
              <w:right w:val="single" w:sz="4" w:space="0" w:color="auto"/>
            </w:tcBorders>
            <w:shd w:val="clear" w:color="000000" w:fill="FFFFFF"/>
            <w:noWrap/>
            <w:vAlign w:val="bottom"/>
            <w:hideMark/>
          </w:tcPr>
          <w:p w14:paraId="0774C5E9" w14:textId="77777777" w:rsidR="00B56301" w:rsidRPr="00364545" w:rsidRDefault="00B56301" w:rsidP="00B37B65">
            <w:pPr>
              <w:jc w:val="right"/>
              <w:rPr>
                <w:rFonts w:asciiTheme="minorHAnsi" w:hAnsiTheme="minorHAnsi"/>
                <w:sz w:val="16"/>
                <w:szCs w:val="16"/>
              </w:rPr>
            </w:pPr>
            <w:r w:rsidRPr="00364545">
              <w:rPr>
                <w:sz w:val="16"/>
              </w:rPr>
              <w:t>8,76</w:t>
            </w:r>
          </w:p>
        </w:tc>
        <w:tc>
          <w:tcPr>
            <w:tcW w:w="991" w:type="dxa"/>
            <w:tcBorders>
              <w:top w:val="nil"/>
              <w:left w:val="nil"/>
              <w:bottom w:val="single" w:sz="4" w:space="0" w:color="auto"/>
              <w:right w:val="single" w:sz="4" w:space="0" w:color="auto"/>
            </w:tcBorders>
            <w:shd w:val="clear" w:color="000000" w:fill="FFFFFF"/>
            <w:noWrap/>
            <w:vAlign w:val="bottom"/>
            <w:hideMark/>
          </w:tcPr>
          <w:p w14:paraId="25D938B7" w14:textId="77777777" w:rsidR="00B56301" w:rsidRPr="00364545" w:rsidRDefault="00B56301" w:rsidP="00B37B65">
            <w:pPr>
              <w:jc w:val="right"/>
              <w:rPr>
                <w:rFonts w:asciiTheme="minorHAnsi" w:hAnsiTheme="minorHAnsi"/>
                <w:sz w:val="16"/>
                <w:szCs w:val="16"/>
              </w:rPr>
            </w:pPr>
            <w:r w:rsidRPr="00364545">
              <w:rPr>
                <w:sz w:val="16"/>
              </w:rPr>
              <w:t>8,64</w:t>
            </w:r>
          </w:p>
        </w:tc>
        <w:tc>
          <w:tcPr>
            <w:tcW w:w="991" w:type="dxa"/>
            <w:tcBorders>
              <w:top w:val="nil"/>
              <w:left w:val="nil"/>
              <w:bottom w:val="single" w:sz="4" w:space="0" w:color="auto"/>
              <w:right w:val="single" w:sz="4" w:space="0" w:color="auto"/>
            </w:tcBorders>
            <w:shd w:val="clear" w:color="000000" w:fill="FFFFFF"/>
            <w:noWrap/>
            <w:vAlign w:val="bottom"/>
            <w:hideMark/>
          </w:tcPr>
          <w:p w14:paraId="19619060" w14:textId="77777777" w:rsidR="00B56301" w:rsidRPr="00364545" w:rsidRDefault="00B56301" w:rsidP="00B37B65">
            <w:pPr>
              <w:jc w:val="right"/>
              <w:rPr>
                <w:rFonts w:asciiTheme="minorHAnsi" w:hAnsiTheme="minorHAnsi"/>
                <w:sz w:val="16"/>
                <w:szCs w:val="16"/>
              </w:rPr>
            </w:pPr>
            <w:r w:rsidRPr="00364545">
              <w:rPr>
                <w:sz w:val="16"/>
              </w:rPr>
              <w:t>8,61</w:t>
            </w:r>
          </w:p>
        </w:tc>
        <w:tc>
          <w:tcPr>
            <w:tcW w:w="991" w:type="dxa"/>
            <w:tcBorders>
              <w:top w:val="nil"/>
              <w:left w:val="nil"/>
              <w:bottom w:val="single" w:sz="4" w:space="0" w:color="auto"/>
              <w:right w:val="single" w:sz="4" w:space="0" w:color="auto"/>
            </w:tcBorders>
            <w:shd w:val="clear" w:color="000000" w:fill="FFFFFF"/>
            <w:noWrap/>
            <w:vAlign w:val="bottom"/>
            <w:hideMark/>
          </w:tcPr>
          <w:p w14:paraId="4EEC7D8A" w14:textId="77777777" w:rsidR="00B56301" w:rsidRPr="00364545" w:rsidRDefault="00B56301" w:rsidP="00B37B65">
            <w:pPr>
              <w:jc w:val="right"/>
              <w:rPr>
                <w:rFonts w:asciiTheme="minorHAnsi" w:hAnsiTheme="minorHAnsi"/>
                <w:sz w:val="16"/>
                <w:szCs w:val="16"/>
              </w:rPr>
            </w:pPr>
            <w:r w:rsidRPr="00364545">
              <w:rPr>
                <w:sz w:val="16"/>
              </w:rPr>
              <w:t>8,61</w:t>
            </w:r>
          </w:p>
        </w:tc>
      </w:tr>
      <w:tr w:rsidR="00B56301" w:rsidRPr="00364545" w14:paraId="7C639D4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4860A9" w14:textId="59CC4F3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Rice cultivation</w:t>
            </w:r>
          </w:p>
        </w:tc>
        <w:tc>
          <w:tcPr>
            <w:tcW w:w="991" w:type="dxa"/>
            <w:tcBorders>
              <w:top w:val="nil"/>
              <w:left w:val="nil"/>
              <w:bottom w:val="single" w:sz="4" w:space="0" w:color="auto"/>
              <w:right w:val="single" w:sz="4" w:space="0" w:color="auto"/>
            </w:tcBorders>
            <w:shd w:val="clear" w:color="000000" w:fill="969696"/>
            <w:noWrap/>
            <w:vAlign w:val="bottom"/>
            <w:hideMark/>
          </w:tcPr>
          <w:p w14:paraId="61B1122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1133FE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8889C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1A0B2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2AC70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228561"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77C82C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4965C41" w14:textId="0E0763B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675DF5F7" w14:textId="77777777" w:rsidR="00B56301" w:rsidRPr="00364545" w:rsidRDefault="00B56301" w:rsidP="00B37B65">
            <w:pPr>
              <w:jc w:val="right"/>
              <w:rPr>
                <w:rFonts w:asciiTheme="minorHAnsi" w:hAnsiTheme="minorHAnsi"/>
                <w:sz w:val="16"/>
                <w:szCs w:val="16"/>
              </w:rPr>
            </w:pPr>
            <w:r w:rsidRPr="00364545">
              <w:rPr>
                <w:sz w:val="16"/>
              </w:rPr>
              <w:t>113,84</w:t>
            </w:r>
          </w:p>
        </w:tc>
        <w:tc>
          <w:tcPr>
            <w:tcW w:w="991" w:type="dxa"/>
            <w:tcBorders>
              <w:top w:val="nil"/>
              <w:left w:val="nil"/>
              <w:bottom w:val="single" w:sz="4" w:space="0" w:color="auto"/>
              <w:right w:val="single" w:sz="4" w:space="0" w:color="auto"/>
            </w:tcBorders>
            <w:shd w:val="clear" w:color="000000" w:fill="FFFFFF"/>
            <w:noWrap/>
            <w:vAlign w:val="bottom"/>
            <w:hideMark/>
          </w:tcPr>
          <w:p w14:paraId="1AB1E218" w14:textId="77777777" w:rsidR="00B56301" w:rsidRPr="00364545" w:rsidRDefault="00B56301" w:rsidP="00B37B65">
            <w:pPr>
              <w:jc w:val="right"/>
              <w:rPr>
                <w:rFonts w:asciiTheme="minorHAnsi" w:hAnsiTheme="minorHAnsi"/>
                <w:sz w:val="16"/>
                <w:szCs w:val="16"/>
              </w:rPr>
            </w:pPr>
            <w:r w:rsidRPr="00364545">
              <w:rPr>
                <w:sz w:val="16"/>
              </w:rPr>
              <w:t>112,22</w:t>
            </w:r>
          </w:p>
        </w:tc>
        <w:tc>
          <w:tcPr>
            <w:tcW w:w="991" w:type="dxa"/>
            <w:tcBorders>
              <w:top w:val="nil"/>
              <w:left w:val="nil"/>
              <w:bottom w:val="single" w:sz="4" w:space="0" w:color="auto"/>
              <w:right w:val="single" w:sz="4" w:space="0" w:color="auto"/>
            </w:tcBorders>
            <w:shd w:val="clear" w:color="000000" w:fill="FFFFFF"/>
            <w:noWrap/>
            <w:vAlign w:val="bottom"/>
            <w:hideMark/>
          </w:tcPr>
          <w:p w14:paraId="353B72A2" w14:textId="77777777" w:rsidR="00B56301" w:rsidRPr="00364545" w:rsidRDefault="00B56301" w:rsidP="00B37B65">
            <w:pPr>
              <w:jc w:val="right"/>
              <w:rPr>
                <w:rFonts w:asciiTheme="minorHAnsi" w:hAnsiTheme="minorHAnsi"/>
                <w:sz w:val="16"/>
                <w:szCs w:val="16"/>
              </w:rPr>
            </w:pPr>
            <w:r w:rsidRPr="00364545">
              <w:rPr>
                <w:sz w:val="16"/>
              </w:rPr>
              <w:t>106,78</w:t>
            </w:r>
          </w:p>
        </w:tc>
        <w:tc>
          <w:tcPr>
            <w:tcW w:w="991" w:type="dxa"/>
            <w:tcBorders>
              <w:top w:val="nil"/>
              <w:left w:val="nil"/>
              <w:bottom w:val="single" w:sz="4" w:space="0" w:color="auto"/>
              <w:right w:val="single" w:sz="4" w:space="0" w:color="auto"/>
            </w:tcBorders>
            <w:shd w:val="clear" w:color="000000" w:fill="FFFFFF"/>
            <w:noWrap/>
            <w:vAlign w:val="bottom"/>
            <w:hideMark/>
          </w:tcPr>
          <w:p w14:paraId="44A9885E" w14:textId="77777777" w:rsidR="00B56301" w:rsidRPr="00364545" w:rsidRDefault="00B56301" w:rsidP="00B37B65">
            <w:pPr>
              <w:jc w:val="right"/>
              <w:rPr>
                <w:rFonts w:asciiTheme="minorHAnsi" w:hAnsiTheme="minorHAnsi"/>
                <w:sz w:val="16"/>
                <w:szCs w:val="16"/>
              </w:rPr>
            </w:pPr>
            <w:r w:rsidRPr="00364545">
              <w:rPr>
                <w:sz w:val="16"/>
              </w:rPr>
              <w:t>110,56</w:t>
            </w:r>
          </w:p>
        </w:tc>
        <w:tc>
          <w:tcPr>
            <w:tcW w:w="991" w:type="dxa"/>
            <w:tcBorders>
              <w:top w:val="nil"/>
              <w:left w:val="nil"/>
              <w:bottom w:val="single" w:sz="4" w:space="0" w:color="auto"/>
              <w:right w:val="single" w:sz="4" w:space="0" w:color="auto"/>
            </w:tcBorders>
            <w:shd w:val="clear" w:color="000000" w:fill="FFFFFF"/>
            <w:noWrap/>
            <w:vAlign w:val="bottom"/>
            <w:hideMark/>
          </w:tcPr>
          <w:p w14:paraId="36E15DFC" w14:textId="77777777" w:rsidR="00B56301" w:rsidRPr="00364545" w:rsidRDefault="00B56301" w:rsidP="00B37B65">
            <w:pPr>
              <w:jc w:val="right"/>
              <w:rPr>
                <w:rFonts w:asciiTheme="minorHAnsi" w:hAnsiTheme="minorHAnsi"/>
                <w:sz w:val="16"/>
                <w:szCs w:val="16"/>
              </w:rPr>
            </w:pPr>
            <w:r w:rsidRPr="00364545">
              <w:rPr>
                <w:sz w:val="16"/>
              </w:rPr>
              <w:t>107,72</w:t>
            </w:r>
          </w:p>
        </w:tc>
        <w:tc>
          <w:tcPr>
            <w:tcW w:w="991" w:type="dxa"/>
            <w:tcBorders>
              <w:top w:val="nil"/>
              <w:left w:val="nil"/>
              <w:bottom w:val="single" w:sz="4" w:space="0" w:color="auto"/>
              <w:right w:val="single" w:sz="4" w:space="0" w:color="auto"/>
            </w:tcBorders>
            <w:shd w:val="clear" w:color="000000" w:fill="FFFFFF"/>
            <w:noWrap/>
            <w:vAlign w:val="bottom"/>
            <w:hideMark/>
          </w:tcPr>
          <w:p w14:paraId="7EDF4C3B" w14:textId="77777777" w:rsidR="00B56301" w:rsidRPr="00364545" w:rsidRDefault="00B56301" w:rsidP="00B37B65">
            <w:pPr>
              <w:jc w:val="right"/>
              <w:rPr>
                <w:rFonts w:asciiTheme="minorHAnsi" w:hAnsiTheme="minorHAnsi"/>
                <w:sz w:val="16"/>
                <w:szCs w:val="16"/>
              </w:rPr>
            </w:pPr>
            <w:r w:rsidRPr="00364545">
              <w:rPr>
                <w:sz w:val="16"/>
              </w:rPr>
              <w:t>106,23</w:t>
            </w:r>
          </w:p>
        </w:tc>
      </w:tr>
      <w:tr w:rsidR="00B56301" w:rsidRPr="00364545" w14:paraId="582F6FE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B1ABD6" w14:textId="4C895DEA"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611A1CA3"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1C988A2"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B8B8C82"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39A5960"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363A55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0CB0946"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67FFDB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E5214D" w14:textId="4CE4AC3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273B50C7" w14:textId="77777777" w:rsidR="00B56301" w:rsidRPr="00364545" w:rsidRDefault="00B56301" w:rsidP="00B37B65">
            <w:pPr>
              <w:jc w:val="right"/>
              <w:rPr>
                <w:rFonts w:asciiTheme="minorHAnsi" w:hAnsiTheme="minorHAnsi"/>
                <w:sz w:val="16"/>
                <w:szCs w:val="16"/>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2996B8E9" w14:textId="77777777" w:rsidR="00B56301" w:rsidRPr="00364545" w:rsidRDefault="00B56301" w:rsidP="00B37B65">
            <w:pPr>
              <w:jc w:val="right"/>
              <w:rPr>
                <w:rFonts w:asciiTheme="minorHAnsi" w:hAnsiTheme="minorHAnsi"/>
                <w:sz w:val="16"/>
                <w:szCs w:val="16"/>
              </w:rPr>
            </w:pPr>
            <w:r w:rsidRPr="00364545">
              <w:rPr>
                <w:sz w:val="16"/>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16409B96"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479D9445" w14:textId="77777777" w:rsidR="00B56301" w:rsidRPr="00364545" w:rsidRDefault="00B56301" w:rsidP="00B37B65">
            <w:pPr>
              <w:jc w:val="right"/>
              <w:rPr>
                <w:rFonts w:asciiTheme="minorHAnsi" w:hAnsiTheme="minorHAnsi"/>
                <w:sz w:val="16"/>
                <w:szCs w:val="16"/>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034DFF8D"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62516796" w14:textId="77777777" w:rsidR="00B56301" w:rsidRPr="00364545" w:rsidRDefault="00B56301" w:rsidP="00B37B65">
            <w:pPr>
              <w:jc w:val="right"/>
              <w:rPr>
                <w:rFonts w:asciiTheme="minorHAnsi" w:hAnsiTheme="minorHAnsi"/>
                <w:sz w:val="16"/>
                <w:szCs w:val="16"/>
              </w:rPr>
            </w:pPr>
            <w:r w:rsidRPr="00364545">
              <w:rPr>
                <w:sz w:val="16"/>
              </w:rPr>
              <w:t>0,05</w:t>
            </w:r>
          </w:p>
        </w:tc>
      </w:tr>
      <w:tr w:rsidR="00B56301" w:rsidRPr="00364545" w14:paraId="41B554A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D94D7ED" w14:textId="7BAF2AB1"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Liming</w:t>
            </w:r>
          </w:p>
        </w:tc>
        <w:tc>
          <w:tcPr>
            <w:tcW w:w="991" w:type="dxa"/>
            <w:tcBorders>
              <w:top w:val="nil"/>
              <w:left w:val="nil"/>
              <w:bottom w:val="single" w:sz="4" w:space="0" w:color="auto"/>
              <w:right w:val="single" w:sz="4" w:space="0" w:color="auto"/>
            </w:tcBorders>
            <w:shd w:val="clear" w:color="000000" w:fill="969696"/>
            <w:noWrap/>
            <w:vAlign w:val="bottom"/>
            <w:hideMark/>
          </w:tcPr>
          <w:p w14:paraId="322C86C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3C28E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BFB371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7D0DF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B8CFDA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EB58AA"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A386F1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47DCE9B" w14:textId="0A05C66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H. 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496BE9C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F4261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067614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0AED5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33F8CF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0F3385"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BE11F8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20A0C2F" w14:textId="1A99523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I. Other carbon containing fertlizers</w:t>
            </w:r>
          </w:p>
        </w:tc>
        <w:tc>
          <w:tcPr>
            <w:tcW w:w="991" w:type="dxa"/>
            <w:tcBorders>
              <w:top w:val="nil"/>
              <w:left w:val="nil"/>
              <w:bottom w:val="single" w:sz="4" w:space="0" w:color="auto"/>
              <w:right w:val="single" w:sz="4" w:space="0" w:color="auto"/>
            </w:tcBorders>
            <w:shd w:val="clear" w:color="000000" w:fill="969696"/>
            <w:noWrap/>
            <w:vAlign w:val="bottom"/>
            <w:hideMark/>
          </w:tcPr>
          <w:p w14:paraId="368250A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5CC78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5F23A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E71AC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FA1F3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88CC7F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C78A4F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6839075" w14:textId="06F4821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J. Other </w:t>
            </w:r>
          </w:p>
        </w:tc>
        <w:tc>
          <w:tcPr>
            <w:tcW w:w="991" w:type="dxa"/>
            <w:tcBorders>
              <w:top w:val="nil"/>
              <w:left w:val="nil"/>
              <w:bottom w:val="single" w:sz="4" w:space="0" w:color="auto"/>
              <w:right w:val="single" w:sz="4" w:space="0" w:color="auto"/>
            </w:tcBorders>
            <w:shd w:val="clear" w:color="000000" w:fill="FFFFFF"/>
            <w:noWrap/>
            <w:vAlign w:val="bottom"/>
            <w:hideMark/>
          </w:tcPr>
          <w:p w14:paraId="0049894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0247283"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149DFE3"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A1ED696"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C1B3181"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A46E2D4"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02E8EDC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1B5EBD81"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1C98C2CD" w14:textId="77777777" w:rsidR="00B56301" w:rsidRPr="00364545" w:rsidRDefault="00B56301" w:rsidP="00B37B65">
            <w:pPr>
              <w:jc w:val="right"/>
              <w:rPr>
                <w:rFonts w:asciiTheme="minorHAnsi" w:hAnsiTheme="minorHAnsi"/>
                <w:sz w:val="16"/>
                <w:szCs w:val="16"/>
              </w:rPr>
            </w:pPr>
            <w:r w:rsidRPr="00364545">
              <w:rPr>
                <w:sz w:val="16"/>
              </w:rPr>
              <w:t>10,40</w:t>
            </w:r>
          </w:p>
        </w:tc>
        <w:tc>
          <w:tcPr>
            <w:tcW w:w="991" w:type="dxa"/>
            <w:tcBorders>
              <w:top w:val="nil"/>
              <w:left w:val="nil"/>
              <w:bottom w:val="single" w:sz="4" w:space="0" w:color="auto"/>
              <w:right w:val="single" w:sz="4" w:space="0" w:color="auto"/>
            </w:tcBorders>
            <w:shd w:val="clear" w:color="000000" w:fill="CCFFFF"/>
            <w:noWrap/>
            <w:vAlign w:val="bottom"/>
            <w:hideMark/>
          </w:tcPr>
          <w:p w14:paraId="2B75EA25" w14:textId="77777777" w:rsidR="00B56301" w:rsidRPr="00364545" w:rsidRDefault="00B56301" w:rsidP="00B37B65">
            <w:pPr>
              <w:jc w:val="right"/>
              <w:rPr>
                <w:rFonts w:asciiTheme="minorHAnsi" w:hAnsiTheme="minorHAnsi"/>
                <w:sz w:val="16"/>
                <w:szCs w:val="16"/>
              </w:rPr>
            </w:pPr>
            <w:r w:rsidRPr="00364545">
              <w:rPr>
                <w:sz w:val="16"/>
              </w:rPr>
              <w:t>10,23</w:t>
            </w:r>
          </w:p>
        </w:tc>
        <w:tc>
          <w:tcPr>
            <w:tcW w:w="991" w:type="dxa"/>
            <w:tcBorders>
              <w:top w:val="nil"/>
              <w:left w:val="nil"/>
              <w:bottom w:val="single" w:sz="4" w:space="0" w:color="auto"/>
              <w:right w:val="single" w:sz="4" w:space="0" w:color="auto"/>
            </w:tcBorders>
            <w:shd w:val="clear" w:color="000000" w:fill="CCFFFF"/>
            <w:noWrap/>
            <w:vAlign w:val="bottom"/>
            <w:hideMark/>
          </w:tcPr>
          <w:p w14:paraId="65A465B4" w14:textId="77777777" w:rsidR="00B56301" w:rsidRPr="00364545" w:rsidRDefault="00B56301" w:rsidP="00B37B65">
            <w:pPr>
              <w:jc w:val="right"/>
              <w:rPr>
                <w:rFonts w:asciiTheme="minorHAnsi" w:hAnsiTheme="minorHAnsi"/>
                <w:sz w:val="16"/>
                <w:szCs w:val="16"/>
              </w:rPr>
            </w:pPr>
            <w:r w:rsidRPr="00364545">
              <w:rPr>
                <w:sz w:val="16"/>
              </w:rPr>
              <w:t>10,31</w:t>
            </w:r>
          </w:p>
        </w:tc>
        <w:tc>
          <w:tcPr>
            <w:tcW w:w="991" w:type="dxa"/>
            <w:tcBorders>
              <w:top w:val="nil"/>
              <w:left w:val="nil"/>
              <w:bottom w:val="single" w:sz="4" w:space="0" w:color="auto"/>
              <w:right w:val="single" w:sz="4" w:space="0" w:color="auto"/>
            </w:tcBorders>
            <w:shd w:val="clear" w:color="000000" w:fill="CCFFFF"/>
            <w:noWrap/>
            <w:vAlign w:val="bottom"/>
            <w:hideMark/>
          </w:tcPr>
          <w:p w14:paraId="6EDEA98B" w14:textId="77777777" w:rsidR="00B56301" w:rsidRPr="00364545" w:rsidRDefault="00B56301" w:rsidP="00B37B65">
            <w:pPr>
              <w:jc w:val="right"/>
              <w:rPr>
                <w:rFonts w:asciiTheme="minorHAnsi" w:hAnsiTheme="minorHAnsi"/>
                <w:sz w:val="16"/>
                <w:szCs w:val="16"/>
              </w:rPr>
            </w:pPr>
            <w:r w:rsidRPr="00364545">
              <w:rPr>
                <w:sz w:val="16"/>
              </w:rPr>
              <w:t>9,91</w:t>
            </w:r>
          </w:p>
        </w:tc>
        <w:tc>
          <w:tcPr>
            <w:tcW w:w="991" w:type="dxa"/>
            <w:tcBorders>
              <w:top w:val="nil"/>
              <w:left w:val="nil"/>
              <w:bottom w:val="single" w:sz="4" w:space="0" w:color="auto"/>
              <w:right w:val="single" w:sz="4" w:space="0" w:color="auto"/>
            </w:tcBorders>
            <w:shd w:val="clear" w:color="000000" w:fill="CCFFFF"/>
            <w:noWrap/>
            <w:vAlign w:val="bottom"/>
            <w:hideMark/>
          </w:tcPr>
          <w:p w14:paraId="6F1B1CB3" w14:textId="77777777" w:rsidR="00B56301" w:rsidRPr="00364545" w:rsidRDefault="00B56301" w:rsidP="00B37B65">
            <w:pPr>
              <w:jc w:val="right"/>
              <w:rPr>
                <w:rFonts w:asciiTheme="minorHAnsi" w:hAnsiTheme="minorHAnsi"/>
                <w:sz w:val="16"/>
                <w:szCs w:val="16"/>
              </w:rPr>
            </w:pPr>
            <w:r w:rsidRPr="00364545">
              <w:rPr>
                <w:sz w:val="16"/>
              </w:rPr>
              <w:t>9,97</w:t>
            </w:r>
          </w:p>
        </w:tc>
        <w:tc>
          <w:tcPr>
            <w:tcW w:w="991" w:type="dxa"/>
            <w:tcBorders>
              <w:top w:val="nil"/>
              <w:left w:val="nil"/>
              <w:bottom w:val="single" w:sz="4" w:space="0" w:color="auto"/>
              <w:right w:val="single" w:sz="4" w:space="0" w:color="auto"/>
            </w:tcBorders>
            <w:shd w:val="clear" w:color="000000" w:fill="CCFFFF"/>
            <w:noWrap/>
            <w:vAlign w:val="bottom"/>
            <w:hideMark/>
          </w:tcPr>
          <w:p w14:paraId="7E28EBBF" w14:textId="77777777" w:rsidR="00B56301" w:rsidRPr="00364545" w:rsidRDefault="00B56301" w:rsidP="00B37B65">
            <w:pPr>
              <w:jc w:val="right"/>
              <w:rPr>
                <w:rFonts w:asciiTheme="minorHAnsi" w:hAnsiTheme="minorHAnsi"/>
                <w:sz w:val="16"/>
                <w:szCs w:val="16"/>
              </w:rPr>
            </w:pPr>
            <w:r w:rsidRPr="00364545">
              <w:rPr>
                <w:sz w:val="16"/>
              </w:rPr>
              <w:t>10,05</w:t>
            </w:r>
          </w:p>
        </w:tc>
      </w:tr>
      <w:tr w:rsidR="00B56301" w:rsidRPr="00364545" w14:paraId="714CFFB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CF7D592" w14:textId="6D2F925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0AC924CD" w14:textId="77777777" w:rsidR="00B56301" w:rsidRPr="00364545" w:rsidRDefault="00B56301" w:rsidP="00B37B65">
            <w:pPr>
              <w:jc w:val="right"/>
              <w:rPr>
                <w:rFonts w:asciiTheme="minorHAnsi" w:hAnsiTheme="minorHAnsi"/>
                <w:sz w:val="16"/>
                <w:szCs w:val="16"/>
              </w:rPr>
            </w:pPr>
            <w:r w:rsidRPr="00364545">
              <w:rPr>
                <w:sz w:val="16"/>
              </w:rPr>
              <w:t>1,27</w:t>
            </w:r>
          </w:p>
        </w:tc>
        <w:tc>
          <w:tcPr>
            <w:tcW w:w="991" w:type="dxa"/>
            <w:tcBorders>
              <w:top w:val="nil"/>
              <w:left w:val="nil"/>
              <w:bottom w:val="single" w:sz="4" w:space="0" w:color="auto"/>
              <w:right w:val="single" w:sz="4" w:space="0" w:color="auto"/>
            </w:tcBorders>
            <w:shd w:val="clear" w:color="000000" w:fill="FFFFFF"/>
            <w:noWrap/>
            <w:vAlign w:val="bottom"/>
            <w:hideMark/>
          </w:tcPr>
          <w:p w14:paraId="61958006" w14:textId="77777777" w:rsidR="00B56301" w:rsidRPr="00364545" w:rsidRDefault="00B56301" w:rsidP="00B37B65">
            <w:pPr>
              <w:jc w:val="right"/>
              <w:rPr>
                <w:rFonts w:asciiTheme="minorHAnsi" w:hAnsiTheme="minorHAnsi"/>
                <w:sz w:val="16"/>
                <w:szCs w:val="16"/>
              </w:rPr>
            </w:pPr>
            <w:r w:rsidRPr="00364545">
              <w:rPr>
                <w:sz w:val="16"/>
              </w:rPr>
              <w:t>1,20</w:t>
            </w:r>
          </w:p>
        </w:tc>
        <w:tc>
          <w:tcPr>
            <w:tcW w:w="991" w:type="dxa"/>
            <w:tcBorders>
              <w:top w:val="nil"/>
              <w:left w:val="nil"/>
              <w:bottom w:val="single" w:sz="4" w:space="0" w:color="auto"/>
              <w:right w:val="single" w:sz="4" w:space="0" w:color="auto"/>
            </w:tcBorders>
            <w:shd w:val="clear" w:color="000000" w:fill="FFFFFF"/>
            <w:noWrap/>
            <w:vAlign w:val="bottom"/>
            <w:hideMark/>
          </w:tcPr>
          <w:p w14:paraId="3F5D3ED2" w14:textId="77777777" w:rsidR="00B56301" w:rsidRPr="00364545" w:rsidRDefault="00B56301" w:rsidP="00B37B65">
            <w:pPr>
              <w:jc w:val="right"/>
              <w:rPr>
                <w:rFonts w:asciiTheme="minorHAnsi" w:hAnsiTheme="minorHAnsi"/>
                <w:sz w:val="16"/>
                <w:szCs w:val="16"/>
              </w:rPr>
            </w:pPr>
            <w:r w:rsidRPr="00364545">
              <w:rPr>
                <w:sz w:val="16"/>
              </w:rPr>
              <w:t>1,41</w:t>
            </w:r>
          </w:p>
        </w:tc>
        <w:tc>
          <w:tcPr>
            <w:tcW w:w="991" w:type="dxa"/>
            <w:tcBorders>
              <w:top w:val="nil"/>
              <w:left w:val="nil"/>
              <w:bottom w:val="single" w:sz="4" w:space="0" w:color="auto"/>
              <w:right w:val="single" w:sz="4" w:space="0" w:color="auto"/>
            </w:tcBorders>
            <w:shd w:val="clear" w:color="000000" w:fill="FFFFFF"/>
            <w:noWrap/>
            <w:vAlign w:val="bottom"/>
            <w:hideMark/>
          </w:tcPr>
          <w:p w14:paraId="773FD38E" w14:textId="77777777" w:rsidR="00B56301" w:rsidRPr="00364545" w:rsidRDefault="00B56301" w:rsidP="00B37B65">
            <w:pPr>
              <w:jc w:val="right"/>
              <w:rPr>
                <w:rFonts w:asciiTheme="minorHAnsi" w:hAnsiTheme="minorHAnsi"/>
                <w:sz w:val="16"/>
                <w:szCs w:val="16"/>
              </w:rPr>
            </w:pPr>
            <w:r w:rsidRPr="00364545">
              <w:rPr>
                <w:sz w:val="16"/>
              </w:rPr>
              <w:t>1,13</w:t>
            </w:r>
          </w:p>
        </w:tc>
        <w:tc>
          <w:tcPr>
            <w:tcW w:w="991" w:type="dxa"/>
            <w:tcBorders>
              <w:top w:val="nil"/>
              <w:left w:val="nil"/>
              <w:bottom w:val="single" w:sz="4" w:space="0" w:color="auto"/>
              <w:right w:val="single" w:sz="4" w:space="0" w:color="auto"/>
            </w:tcBorders>
            <w:shd w:val="clear" w:color="000000" w:fill="FFFFFF"/>
            <w:noWrap/>
            <w:vAlign w:val="bottom"/>
            <w:hideMark/>
          </w:tcPr>
          <w:p w14:paraId="66A3E38C" w14:textId="77777777" w:rsidR="00B56301" w:rsidRPr="00364545" w:rsidRDefault="00B56301" w:rsidP="00B37B65">
            <w:pPr>
              <w:jc w:val="right"/>
              <w:rPr>
                <w:rFonts w:asciiTheme="minorHAnsi" w:hAnsiTheme="minorHAnsi"/>
                <w:sz w:val="16"/>
                <w:szCs w:val="16"/>
              </w:rPr>
            </w:pPr>
            <w:r w:rsidRPr="00364545">
              <w:rPr>
                <w:sz w:val="16"/>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385D6087" w14:textId="77777777" w:rsidR="00B56301" w:rsidRPr="00364545" w:rsidRDefault="00B56301" w:rsidP="00B37B65">
            <w:pPr>
              <w:jc w:val="right"/>
              <w:rPr>
                <w:rFonts w:asciiTheme="minorHAnsi" w:hAnsiTheme="minorHAnsi"/>
                <w:sz w:val="16"/>
                <w:szCs w:val="16"/>
              </w:rPr>
            </w:pPr>
            <w:r w:rsidRPr="00364545">
              <w:rPr>
                <w:sz w:val="16"/>
              </w:rPr>
              <w:t>1,06</w:t>
            </w:r>
          </w:p>
        </w:tc>
      </w:tr>
      <w:tr w:rsidR="00B56301" w:rsidRPr="00364545" w14:paraId="6D1327E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FC2106" w14:textId="550DA8E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308BA68B" w14:textId="77777777" w:rsidR="00B56301" w:rsidRPr="00364545" w:rsidRDefault="00B56301" w:rsidP="00B37B65">
            <w:pPr>
              <w:jc w:val="right"/>
              <w:rPr>
                <w:rFonts w:asciiTheme="minorHAnsi" w:hAnsiTheme="minorHAnsi"/>
                <w:sz w:val="16"/>
                <w:szCs w:val="16"/>
              </w:rPr>
            </w:pPr>
            <w:r w:rsidRPr="00364545">
              <w:rPr>
                <w:sz w:val="16"/>
              </w:rPr>
              <w:t>5,00</w:t>
            </w:r>
          </w:p>
        </w:tc>
        <w:tc>
          <w:tcPr>
            <w:tcW w:w="991" w:type="dxa"/>
            <w:tcBorders>
              <w:top w:val="nil"/>
              <w:left w:val="nil"/>
              <w:bottom w:val="single" w:sz="4" w:space="0" w:color="auto"/>
              <w:right w:val="single" w:sz="4" w:space="0" w:color="auto"/>
            </w:tcBorders>
            <w:shd w:val="clear" w:color="000000" w:fill="FFFFFF"/>
            <w:noWrap/>
            <w:vAlign w:val="bottom"/>
            <w:hideMark/>
          </w:tcPr>
          <w:p w14:paraId="7880E148" w14:textId="77777777" w:rsidR="00B56301" w:rsidRPr="00364545" w:rsidRDefault="00B56301" w:rsidP="00B37B65">
            <w:pPr>
              <w:jc w:val="right"/>
              <w:rPr>
                <w:rFonts w:asciiTheme="minorHAnsi" w:hAnsiTheme="minorHAnsi"/>
                <w:sz w:val="16"/>
                <w:szCs w:val="16"/>
              </w:rPr>
            </w:pPr>
            <w:r w:rsidRPr="00364545">
              <w:rPr>
                <w:sz w:val="16"/>
              </w:rPr>
              <w:t>4,92</w:t>
            </w:r>
          </w:p>
        </w:tc>
        <w:tc>
          <w:tcPr>
            <w:tcW w:w="991" w:type="dxa"/>
            <w:tcBorders>
              <w:top w:val="nil"/>
              <w:left w:val="nil"/>
              <w:bottom w:val="single" w:sz="4" w:space="0" w:color="auto"/>
              <w:right w:val="single" w:sz="4" w:space="0" w:color="auto"/>
            </w:tcBorders>
            <w:shd w:val="clear" w:color="000000" w:fill="FFFFFF"/>
            <w:noWrap/>
            <w:vAlign w:val="bottom"/>
            <w:hideMark/>
          </w:tcPr>
          <w:p w14:paraId="034F8F9B" w14:textId="77777777" w:rsidR="00B56301" w:rsidRPr="00364545" w:rsidRDefault="00B56301" w:rsidP="00B37B65">
            <w:pPr>
              <w:jc w:val="right"/>
              <w:rPr>
                <w:rFonts w:asciiTheme="minorHAnsi" w:hAnsiTheme="minorHAnsi"/>
                <w:sz w:val="16"/>
                <w:szCs w:val="16"/>
              </w:rPr>
            </w:pPr>
            <w:r w:rsidRPr="00364545">
              <w:rPr>
                <w:sz w:val="16"/>
              </w:rPr>
              <w:t>4,83</w:t>
            </w:r>
          </w:p>
        </w:tc>
        <w:tc>
          <w:tcPr>
            <w:tcW w:w="991" w:type="dxa"/>
            <w:tcBorders>
              <w:top w:val="nil"/>
              <w:left w:val="nil"/>
              <w:bottom w:val="single" w:sz="4" w:space="0" w:color="auto"/>
              <w:right w:val="single" w:sz="4" w:space="0" w:color="auto"/>
            </w:tcBorders>
            <w:shd w:val="clear" w:color="000000" w:fill="FFFFFF"/>
            <w:noWrap/>
            <w:vAlign w:val="bottom"/>
            <w:hideMark/>
          </w:tcPr>
          <w:p w14:paraId="1E44D7F2" w14:textId="77777777" w:rsidR="00B56301" w:rsidRPr="00364545" w:rsidRDefault="00B56301" w:rsidP="00B37B65">
            <w:pPr>
              <w:jc w:val="right"/>
              <w:rPr>
                <w:rFonts w:asciiTheme="minorHAnsi" w:hAnsiTheme="minorHAnsi"/>
                <w:sz w:val="16"/>
                <w:szCs w:val="16"/>
              </w:rPr>
            </w:pPr>
            <w:r w:rsidRPr="00364545">
              <w:rPr>
                <w:sz w:val="16"/>
              </w:rPr>
              <w:t>4,74</w:t>
            </w:r>
          </w:p>
        </w:tc>
        <w:tc>
          <w:tcPr>
            <w:tcW w:w="991" w:type="dxa"/>
            <w:tcBorders>
              <w:top w:val="nil"/>
              <w:left w:val="nil"/>
              <w:bottom w:val="single" w:sz="4" w:space="0" w:color="auto"/>
              <w:right w:val="single" w:sz="4" w:space="0" w:color="auto"/>
            </w:tcBorders>
            <w:shd w:val="clear" w:color="000000" w:fill="FFFFFF"/>
            <w:noWrap/>
            <w:vAlign w:val="bottom"/>
            <w:hideMark/>
          </w:tcPr>
          <w:p w14:paraId="521D1FF4" w14:textId="77777777" w:rsidR="00B56301" w:rsidRPr="00364545" w:rsidRDefault="00B56301" w:rsidP="00B37B65">
            <w:pPr>
              <w:jc w:val="right"/>
              <w:rPr>
                <w:rFonts w:asciiTheme="minorHAnsi" w:hAnsiTheme="minorHAnsi"/>
                <w:sz w:val="16"/>
                <w:szCs w:val="16"/>
              </w:rPr>
            </w:pPr>
            <w:r w:rsidRPr="00364545">
              <w:rPr>
                <w:sz w:val="16"/>
              </w:rPr>
              <w:t>4,76</w:t>
            </w:r>
          </w:p>
        </w:tc>
        <w:tc>
          <w:tcPr>
            <w:tcW w:w="991" w:type="dxa"/>
            <w:tcBorders>
              <w:top w:val="nil"/>
              <w:left w:val="nil"/>
              <w:bottom w:val="single" w:sz="4" w:space="0" w:color="auto"/>
              <w:right w:val="single" w:sz="4" w:space="0" w:color="auto"/>
            </w:tcBorders>
            <w:shd w:val="clear" w:color="000000" w:fill="FFFFFF"/>
            <w:noWrap/>
            <w:vAlign w:val="bottom"/>
            <w:hideMark/>
          </w:tcPr>
          <w:p w14:paraId="425FB798" w14:textId="77777777" w:rsidR="00B56301" w:rsidRPr="00364545" w:rsidRDefault="00B56301" w:rsidP="00B37B65">
            <w:pPr>
              <w:jc w:val="right"/>
              <w:rPr>
                <w:rFonts w:asciiTheme="minorHAnsi" w:hAnsiTheme="minorHAnsi"/>
                <w:sz w:val="16"/>
                <w:szCs w:val="16"/>
              </w:rPr>
            </w:pPr>
            <w:r w:rsidRPr="00364545">
              <w:rPr>
                <w:sz w:val="16"/>
              </w:rPr>
              <w:t>4,81</w:t>
            </w:r>
          </w:p>
        </w:tc>
      </w:tr>
      <w:tr w:rsidR="00B56301" w:rsidRPr="00364545" w14:paraId="424BC5C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2EE68B1" w14:textId="0814D66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5F330260" w14:textId="77777777" w:rsidR="00B56301" w:rsidRPr="00364545" w:rsidRDefault="00B56301" w:rsidP="00B37B65">
            <w:pPr>
              <w:jc w:val="right"/>
              <w:rPr>
                <w:rFonts w:asciiTheme="minorHAnsi" w:hAnsiTheme="minorHAnsi"/>
                <w:sz w:val="16"/>
                <w:szCs w:val="16"/>
              </w:rPr>
            </w:pPr>
            <w:r w:rsidRPr="00364545">
              <w:rPr>
                <w:sz w:val="16"/>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42EEFFEE" w14:textId="77777777" w:rsidR="00B56301" w:rsidRPr="00364545" w:rsidRDefault="00B56301" w:rsidP="00B37B65">
            <w:pPr>
              <w:jc w:val="right"/>
              <w:rPr>
                <w:rFonts w:asciiTheme="minorHAnsi" w:hAnsiTheme="minorHAnsi"/>
                <w:sz w:val="16"/>
                <w:szCs w:val="16"/>
              </w:rPr>
            </w:pPr>
            <w:r w:rsidRPr="00364545">
              <w:rPr>
                <w:sz w:val="16"/>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65DD2C3E" w14:textId="77777777" w:rsidR="00B56301" w:rsidRPr="00364545" w:rsidRDefault="00B56301" w:rsidP="00B37B65">
            <w:pPr>
              <w:jc w:val="right"/>
              <w:rPr>
                <w:rFonts w:asciiTheme="minorHAnsi" w:hAnsiTheme="minorHAnsi"/>
                <w:sz w:val="16"/>
                <w:szCs w:val="16"/>
              </w:rPr>
            </w:pPr>
            <w:r w:rsidRPr="00364545">
              <w:rPr>
                <w:sz w:val="16"/>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70F73E1B" w14:textId="77777777" w:rsidR="00B56301" w:rsidRPr="00364545" w:rsidRDefault="00B56301" w:rsidP="00B37B65">
            <w:pPr>
              <w:jc w:val="right"/>
              <w:rPr>
                <w:rFonts w:asciiTheme="minorHAnsi" w:hAnsiTheme="minorHAnsi"/>
                <w:sz w:val="16"/>
                <w:szCs w:val="16"/>
              </w:rPr>
            </w:pPr>
            <w:r w:rsidRPr="00364545">
              <w:rPr>
                <w:sz w:val="16"/>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58168E1D" w14:textId="77777777" w:rsidR="00B56301" w:rsidRPr="00364545" w:rsidRDefault="00B56301" w:rsidP="00B37B65">
            <w:pPr>
              <w:jc w:val="right"/>
              <w:rPr>
                <w:rFonts w:asciiTheme="minorHAnsi" w:hAnsiTheme="minorHAnsi"/>
                <w:sz w:val="16"/>
                <w:szCs w:val="16"/>
              </w:rPr>
            </w:pPr>
            <w:r w:rsidRPr="00364545">
              <w:rPr>
                <w:sz w:val="16"/>
              </w:rPr>
              <w:t>0,51</w:t>
            </w:r>
          </w:p>
        </w:tc>
        <w:tc>
          <w:tcPr>
            <w:tcW w:w="991" w:type="dxa"/>
            <w:tcBorders>
              <w:top w:val="nil"/>
              <w:left w:val="nil"/>
              <w:bottom w:val="single" w:sz="4" w:space="0" w:color="auto"/>
              <w:right w:val="single" w:sz="4" w:space="0" w:color="auto"/>
            </w:tcBorders>
            <w:shd w:val="clear" w:color="000000" w:fill="FFFFFF"/>
            <w:noWrap/>
            <w:vAlign w:val="bottom"/>
            <w:hideMark/>
          </w:tcPr>
          <w:p w14:paraId="7456D58F" w14:textId="77777777" w:rsidR="00B56301" w:rsidRPr="00364545" w:rsidRDefault="00B56301" w:rsidP="00B37B65">
            <w:pPr>
              <w:jc w:val="right"/>
              <w:rPr>
                <w:rFonts w:asciiTheme="minorHAnsi" w:hAnsiTheme="minorHAnsi"/>
                <w:sz w:val="16"/>
                <w:szCs w:val="16"/>
              </w:rPr>
            </w:pPr>
            <w:r w:rsidRPr="00364545">
              <w:rPr>
                <w:sz w:val="16"/>
              </w:rPr>
              <w:t>0,52</w:t>
            </w:r>
          </w:p>
        </w:tc>
      </w:tr>
      <w:tr w:rsidR="00B56301" w:rsidRPr="00364545" w14:paraId="159F9EF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FEF8D27" w14:textId="2272AB6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540708E7"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CED69F3"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B065590"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D0D3753"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6F1045F6"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5E58F443"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7A951BE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A1F712" w14:textId="2427454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E. 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0B902DC2" w14:textId="77777777" w:rsidR="00B56301" w:rsidRPr="00364545" w:rsidRDefault="00B56301" w:rsidP="00B37B65">
            <w:pPr>
              <w:jc w:val="right"/>
              <w:rPr>
                <w:rFonts w:asciiTheme="minorHAnsi" w:hAnsiTheme="minorHAnsi"/>
                <w:sz w:val="16"/>
                <w:szCs w:val="16"/>
              </w:rPr>
            </w:pPr>
            <w:r w:rsidRPr="00364545">
              <w:rPr>
                <w:sz w:val="16"/>
              </w:rPr>
              <w:t>2,01</w:t>
            </w:r>
          </w:p>
        </w:tc>
        <w:tc>
          <w:tcPr>
            <w:tcW w:w="991" w:type="dxa"/>
            <w:tcBorders>
              <w:top w:val="nil"/>
              <w:left w:val="nil"/>
              <w:bottom w:val="single" w:sz="4" w:space="0" w:color="auto"/>
              <w:right w:val="single" w:sz="4" w:space="0" w:color="auto"/>
            </w:tcBorders>
            <w:shd w:val="clear" w:color="000000" w:fill="FFFFFF"/>
            <w:noWrap/>
            <w:vAlign w:val="bottom"/>
            <w:hideMark/>
          </w:tcPr>
          <w:p w14:paraId="35381224" w14:textId="77777777" w:rsidR="00B56301" w:rsidRPr="00364545" w:rsidRDefault="00B56301" w:rsidP="00B37B65">
            <w:pPr>
              <w:jc w:val="right"/>
              <w:rPr>
                <w:rFonts w:asciiTheme="minorHAnsi" w:hAnsiTheme="minorHAnsi"/>
                <w:sz w:val="16"/>
                <w:szCs w:val="16"/>
              </w:rPr>
            </w:pPr>
            <w:r w:rsidRPr="00364545">
              <w:rPr>
                <w:sz w:val="16"/>
              </w:rPr>
              <w:t>2,00</w:t>
            </w:r>
          </w:p>
        </w:tc>
        <w:tc>
          <w:tcPr>
            <w:tcW w:w="991" w:type="dxa"/>
            <w:tcBorders>
              <w:top w:val="nil"/>
              <w:left w:val="nil"/>
              <w:bottom w:val="single" w:sz="4" w:space="0" w:color="auto"/>
              <w:right w:val="single" w:sz="4" w:space="0" w:color="auto"/>
            </w:tcBorders>
            <w:shd w:val="clear" w:color="000000" w:fill="FFFFFF"/>
            <w:noWrap/>
            <w:vAlign w:val="bottom"/>
            <w:hideMark/>
          </w:tcPr>
          <w:p w14:paraId="431CBE6D" w14:textId="77777777" w:rsidR="00B56301" w:rsidRPr="00364545" w:rsidRDefault="00B56301" w:rsidP="00B37B65">
            <w:pPr>
              <w:jc w:val="right"/>
              <w:rPr>
                <w:rFonts w:asciiTheme="minorHAnsi" w:hAnsiTheme="minorHAnsi"/>
                <w:sz w:val="16"/>
                <w:szCs w:val="16"/>
              </w:rPr>
            </w:pPr>
            <w:r w:rsidRPr="00364545">
              <w:rPr>
                <w:sz w:val="16"/>
              </w:rPr>
              <w:t>1,98</w:t>
            </w:r>
          </w:p>
        </w:tc>
        <w:tc>
          <w:tcPr>
            <w:tcW w:w="991" w:type="dxa"/>
            <w:tcBorders>
              <w:top w:val="nil"/>
              <w:left w:val="nil"/>
              <w:bottom w:val="single" w:sz="4" w:space="0" w:color="auto"/>
              <w:right w:val="single" w:sz="4" w:space="0" w:color="auto"/>
            </w:tcBorders>
            <w:shd w:val="clear" w:color="000000" w:fill="FFFFFF"/>
            <w:noWrap/>
            <w:vAlign w:val="bottom"/>
            <w:hideMark/>
          </w:tcPr>
          <w:p w14:paraId="40C24326" w14:textId="77777777" w:rsidR="00B56301" w:rsidRPr="00364545" w:rsidRDefault="00B56301" w:rsidP="00B37B65">
            <w:pPr>
              <w:jc w:val="right"/>
              <w:rPr>
                <w:rFonts w:asciiTheme="minorHAnsi" w:hAnsiTheme="minorHAnsi"/>
                <w:sz w:val="16"/>
                <w:szCs w:val="16"/>
              </w:rPr>
            </w:pPr>
            <w:r w:rsidRPr="00364545">
              <w:rPr>
                <w:sz w:val="16"/>
              </w:rPr>
              <w:t>1,96</w:t>
            </w:r>
          </w:p>
        </w:tc>
        <w:tc>
          <w:tcPr>
            <w:tcW w:w="991" w:type="dxa"/>
            <w:tcBorders>
              <w:top w:val="nil"/>
              <w:left w:val="nil"/>
              <w:bottom w:val="single" w:sz="4" w:space="0" w:color="auto"/>
              <w:right w:val="single" w:sz="4" w:space="0" w:color="auto"/>
            </w:tcBorders>
            <w:shd w:val="clear" w:color="000000" w:fill="FFFFFF"/>
            <w:noWrap/>
            <w:vAlign w:val="bottom"/>
            <w:hideMark/>
          </w:tcPr>
          <w:p w14:paraId="7796E3B1" w14:textId="77777777" w:rsidR="00B56301" w:rsidRPr="00364545" w:rsidRDefault="00B56301" w:rsidP="00B37B65">
            <w:pPr>
              <w:jc w:val="right"/>
              <w:rPr>
                <w:rFonts w:asciiTheme="minorHAnsi" w:hAnsiTheme="minorHAnsi"/>
                <w:sz w:val="16"/>
                <w:szCs w:val="16"/>
              </w:rPr>
            </w:pPr>
            <w:r w:rsidRPr="00364545">
              <w:rPr>
                <w:sz w:val="16"/>
              </w:rPr>
              <w:t>1,97</w:t>
            </w:r>
          </w:p>
        </w:tc>
        <w:tc>
          <w:tcPr>
            <w:tcW w:w="991" w:type="dxa"/>
            <w:tcBorders>
              <w:top w:val="nil"/>
              <w:left w:val="nil"/>
              <w:bottom w:val="single" w:sz="4" w:space="0" w:color="auto"/>
              <w:right w:val="single" w:sz="4" w:space="0" w:color="auto"/>
            </w:tcBorders>
            <w:shd w:val="clear" w:color="000000" w:fill="FFFFFF"/>
            <w:noWrap/>
            <w:vAlign w:val="bottom"/>
            <w:hideMark/>
          </w:tcPr>
          <w:p w14:paraId="72A9E3CD" w14:textId="77777777" w:rsidR="00B56301" w:rsidRPr="00364545" w:rsidRDefault="00B56301" w:rsidP="00B37B65">
            <w:pPr>
              <w:jc w:val="right"/>
              <w:rPr>
                <w:rFonts w:asciiTheme="minorHAnsi" w:hAnsiTheme="minorHAnsi"/>
                <w:sz w:val="16"/>
                <w:szCs w:val="16"/>
              </w:rPr>
            </w:pPr>
            <w:r w:rsidRPr="00364545">
              <w:rPr>
                <w:sz w:val="16"/>
              </w:rPr>
              <w:t>2,04</w:t>
            </w:r>
          </w:p>
        </w:tc>
      </w:tr>
      <w:tr w:rsidR="00B56301" w:rsidRPr="00364545" w14:paraId="1FD5D96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5BF3BD" w14:textId="119A402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73A26183"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783E636"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A2376C3"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D900C2E"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A30056C"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F4CC95D"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472C72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028F2C" w14:textId="659B5C26"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7F3B78C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9461E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7D847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4F61A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624C1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A0EDC77"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40D1A4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F2739B2" w14:textId="7BB11E56"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6EDD2998"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35919472"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CF8A65E"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5A132C87"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CA022B7"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1660A0FF" w14:textId="77777777" w:rsidR="00B56301" w:rsidRPr="00364545" w:rsidRDefault="00B56301" w:rsidP="00B37B65">
            <w:pPr>
              <w:jc w:val="right"/>
              <w:rPr>
                <w:rFonts w:asciiTheme="minorHAnsi" w:hAnsiTheme="minorHAnsi"/>
                <w:sz w:val="16"/>
                <w:szCs w:val="16"/>
              </w:rPr>
            </w:pPr>
            <w:r w:rsidRPr="00364545">
              <w:rPr>
                <w:sz w:val="16"/>
              </w:rPr>
              <w:t>NA</w:t>
            </w:r>
          </w:p>
        </w:tc>
      </w:tr>
      <w:tr w:rsidR="00B56301" w:rsidRPr="00364545" w14:paraId="203D7CF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B6B046" w14:textId="54E5C40C"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5. Waste</w:t>
            </w:r>
          </w:p>
        </w:tc>
        <w:tc>
          <w:tcPr>
            <w:tcW w:w="991" w:type="dxa"/>
            <w:tcBorders>
              <w:top w:val="nil"/>
              <w:left w:val="nil"/>
              <w:bottom w:val="single" w:sz="4" w:space="0" w:color="auto"/>
              <w:right w:val="single" w:sz="4" w:space="0" w:color="auto"/>
            </w:tcBorders>
            <w:shd w:val="clear" w:color="000000" w:fill="CCFFFF"/>
            <w:noWrap/>
            <w:vAlign w:val="bottom"/>
            <w:hideMark/>
          </w:tcPr>
          <w:p w14:paraId="5C953F06" w14:textId="77777777" w:rsidR="00B56301" w:rsidRPr="00364545" w:rsidRDefault="00B56301" w:rsidP="00B37B65">
            <w:pPr>
              <w:jc w:val="right"/>
              <w:rPr>
                <w:rFonts w:asciiTheme="minorHAnsi" w:hAnsiTheme="minorHAnsi"/>
                <w:sz w:val="16"/>
                <w:szCs w:val="16"/>
              </w:rPr>
            </w:pPr>
            <w:r w:rsidRPr="00364545">
              <w:rPr>
                <w:sz w:val="16"/>
              </w:rPr>
              <w:t>2,46</w:t>
            </w:r>
          </w:p>
        </w:tc>
        <w:tc>
          <w:tcPr>
            <w:tcW w:w="991" w:type="dxa"/>
            <w:tcBorders>
              <w:top w:val="nil"/>
              <w:left w:val="nil"/>
              <w:bottom w:val="single" w:sz="4" w:space="0" w:color="auto"/>
              <w:right w:val="single" w:sz="4" w:space="0" w:color="auto"/>
            </w:tcBorders>
            <w:shd w:val="clear" w:color="000000" w:fill="CCFFFF"/>
            <w:noWrap/>
            <w:vAlign w:val="bottom"/>
            <w:hideMark/>
          </w:tcPr>
          <w:p w14:paraId="649FC1F6" w14:textId="77777777" w:rsidR="00B56301" w:rsidRPr="00364545" w:rsidRDefault="00B56301" w:rsidP="00B37B65">
            <w:pPr>
              <w:jc w:val="right"/>
              <w:rPr>
                <w:rFonts w:asciiTheme="minorHAnsi" w:hAnsiTheme="minorHAnsi"/>
                <w:sz w:val="16"/>
                <w:szCs w:val="16"/>
              </w:rPr>
            </w:pPr>
            <w:r w:rsidRPr="00364545">
              <w:rPr>
                <w:sz w:val="16"/>
              </w:rPr>
              <w:t>2,40</w:t>
            </w:r>
          </w:p>
        </w:tc>
        <w:tc>
          <w:tcPr>
            <w:tcW w:w="991" w:type="dxa"/>
            <w:tcBorders>
              <w:top w:val="nil"/>
              <w:left w:val="nil"/>
              <w:bottom w:val="single" w:sz="4" w:space="0" w:color="auto"/>
              <w:right w:val="single" w:sz="4" w:space="0" w:color="auto"/>
            </w:tcBorders>
            <w:shd w:val="clear" w:color="000000" w:fill="CCFFFF"/>
            <w:noWrap/>
            <w:vAlign w:val="bottom"/>
            <w:hideMark/>
          </w:tcPr>
          <w:p w14:paraId="5FE0F313" w14:textId="77777777" w:rsidR="00B56301" w:rsidRPr="00364545" w:rsidRDefault="00B56301" w:rsidP="00B37B65">
            <w:pPr>
              <w:jc w:val="right"/>
              <w:rPr>
                <w:rFonts w:asciiTheme="minorHAnsi" w:hAnsiTheme="minorHAnsi"/>
                <w:sz w:val="16"/>
                <w:szCs w:val="16"/>
              </w:rPr>
            </w:pPr>
            <w:r w:rsidRPr="00364545">
              <w:rPr>
                <w:sz w:val="16"/>
              </w:rPr>
              <w:t>2,36</w:t>
            </w:r>
          </w:p>
        </w:tc>
        <w:tc>
          <w:tcPr>
            <w:tcW w:w="991" w:type="dxa"/>
            <w:tcBorders>
              <w:top w:val="nil"/>
              <w:left w:val="nil"/>
              <w:bottom w:val="single" w:sz="4" w:space="0" w:color="auto"/>
              <w:right w:val="single" w:sz="4" w:space="0" w:color="auto"/>
            </w:tcBorders>
            <w:shd w:val="clear" w:color="000000" w:fill="CCFFFF"/>
            <w:noWrap/>
            <w:vAlign w:val="bottom"/>
            <w:hideMark/>
          </w:tcPr>
          <w:p w14:paraId="53DA11A5" w14:textId="77777777" w:rsidR="00B56301" w:rsidRPr="00364545" w:rsidRDefault="00B56301" w:rsidP="00B37B65">
            <w:pPr>
              <w:jc w:val="right"/>
              <w:rPr>
                <w:rFonts w:asciiTheme="minorHAnsi" w:hAnsiTheme="minorHAnsi"/>
                <w:sz w:val="16"/>
                <w:szCs w:val="16"/>
              </w:rPr>
            </w:pPr>
            <w:r w:rsidRPr="00364545">
              <w:rPr>
                <w:sz w:val="16"/>
              </w:rPr>
              <w:t>2,32</w:t>
            </w:r>
          </w:p>
        </w:tc>
        <w:tc>
          <w:tcPr>
            <w:tcW w:w="991" w:type="dxa"/>
            <w:tcBorders>
              <w:top w:val="nil"/>
              <w:left w:val="nil"/>
              <w:bottom w:val="single" w:sz="4" w:space="0" w:color="auto"/>
              <w:right w:val="single" w:sz="4" w:space="0" w:color="auto"/>
            </w:tcBorders>
            <w:shd w:val="clear" w:color="000000" w:fill="CCFFFF"/>
            <w:noWrap/>
            <w:vAlign w:val="bottom"/>
            <w:hideMark/>
          </w:tcPr>
          <w:p w14:paraId="6FE3B670" w14:textId="77777777" w:rsidR="00B56301" w:rsidRPr="00364545" w:rsidRDefault="00B56301" w:rsidP="00B37B65">
            <w:pPr>
              <w:jc w:val="right"/>
              <w:rPr>
                <w:rFonts w:asciiTheme="minorHAnsi" w:hAnsiTheme="minorHAnsi"/>
                <w:sz w:val="16"/>
                <w:szCs w:val="16"/>
              </w:rPr>
            </w:pPr>
            <w:r w:rsidRPr="00364545">
              <w:rPr>
                <w:sz w:val="16"/>
              </w:rPr>
              <w:t>2,29</w:t>
            </w:r>
          </w:p>
        </w:tc>
        <w:tc>
          <w:tcPr>
            <w:tcW w:w="991" w:type="dxa"/>
            <w:tcBorders>
              <w:top w:val="nil"/>
              <w:left w:val="nil"/>
              <w:bottom w:val="single" w:sz="4" w:space="0" w:color="auto"/>
              <w:right w:val="single" w:sz="4" w:space="0" w:color="auto"/>
            </w:tcBorders>
            <w:shd w:val="clear" w:color="000000" w:fill="CCFFFF"/>
            <w:noWrap/>
            <w:vAlign w:val="bottom"/>
            <w:hideMark/>
          </w:tcPr>
          <w:p w14:paraId="0DDADC2E" w14:textId="77777777" w:rsidR="00B56301" w:rsidRPr="00364545" w:rsidRDefault="00B56301" w:rsidP="00B37B65">
            <w:pPr>
              <w:jc w:val="right"/>
              <w:rPr>
                <w:rFonts w:asciiTheme="minorHAnsi" w:hAnsiTheme="minorHAnsi"/>
                <w:sz w:val="16"/>
                <w:szCs w:val="16"/>
              </w:rPr>
            </w:pPr>
            <w:r w:rsidRPr="00364545">
              <w:rPr>
                <w:sz w:val="16"/>
              </w:rPr>
              <w:t>2,30</w:t>
            </w:r>
          </w:p>
        </w:tc>
      </w:tr>
      <w:tr w:rsidR="00B56301" w:rsidRPr="00364545" w14:paraId="06837CE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1F10386" w14:textId="0D9EF57A"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4621110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983D2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6EA65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EFE85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B0325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86D419"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231CCEF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D5C72A0" w14:textId="263BF920"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5EA65EDB" w14:textId="77777777" w:rsidR="00B56301" w:rsidRPr="00364545" w:rsidRDefault="00B56301" w:rsidP="00B37B65">
            <w:pPr>
              <w:jc w:val="right"/>
              <w:rPr>
                <w:rFonts w:asciiTheme="minorHAnsi" w:hAnsiTheme="minorHAnsi"/>
                <w:sz w:val="16"/>
                <w:szCs w:val="16"/>
              </w:rPr>
            </w:pPr>
            <w:r w:rsidRPr="00364545">
              <w:rPr>
                <w:sz w:val="16"/>
              </w:rPr>
              <w:t>0,31</w:t>
            </w:r>
          </w:p>
        </w:tc>
        <w:tc>
          <w:tcPr>
            <w:tcW w:w="991" w:type="dxa"/>
            <w:tcBorders>
              <w:top w:val="nil"/>
              <w:left w:val="nil"/>
              <w:bottom w:val="single" w:sz="4" w:space="0" w:color="auto"/>
              <w:right w:val="single" w:sz="4" w:space="0" w:color="auto"/>
            </w:tcBorders>
            <w:shd w:val="clear" w:color="000000" w:fill="FFFFFF"/>
            <w:noWrap/>
            <w:vAlign w:val="bottom"/>
            <w:hideMark/>
          </w:tcPr>
          <w:p w14:paraId="2F91E5C8" w14:textId="77777777" w:rsidR="00B56301" w:rsidRPr="00364545" w:rsidRDefault="00B56301" w:rsidP="00B37B65">
            <w:pPr>
              <w:jc w:val="right"/>
              <w:rPr>
                <w:rFonts w:asciiTheme="minorHAnsi" w:hAnsiTheme="minorHAnsi"/>
                <w:sz w:val="16"/>
                <w:szCs w:val="16"/>
              </w:rPr>
            </w:pPr>
            <w:r w:rsidRPr="00364545">
              <w:rPr>
                <w:sz w:val="16"/>
              </w:rPr>
              <w:t>0,33</w:t>
            </w:r>
          </w:p>
        </w:tc>
        <w:tc>
          <w:tcPr>
            <w:tcW w:w="991" w:type="dxa"/>
            <w:tcBorders>
              <w:top w:val="nil"/>
              <w:left w:val="nil"/>
              <w:bottom w:val="single" w:sz="4" w:space="0" w:color="auto"/>
              <w:right w:val="single" w:sz="4" w:space="0" w:color="auto"/>
            </w:tcBorders>
            <w:shd w:val="clear" w:color="000000" w:fill="FFFFFF"/>
            <w:noWrap/>
            <w:vAlign w:val="bottom"/>
            <w:hideMark/>
          </w:tcPr>
          <w:p w14:paraId="0B28E48E" w14:textId="77777777" w:rsidR="00B56301" w:rsidRPr="00364545" w:rsidRDefault="00B56301" w:rsidP="00B37B65">
            <w:pPr>
              <w:jc w:val="right"/>
              <w:rPr>
                <w:rFonts w:asciiTheme="minorHAnsi" w:hAnsiTheme="minorHAnsi"/>
                <w:sz w:val="16"/>
                <w:szCs w:val="16"/>
              </w:rPr>
            </w:pPr>
            <w:r w:rsidRPr="00364545">
              <w:rPr>
                <w:sz w:val="16"/>
              </w:rPr>
              <w:t>0,35</w:t>
            </w:r>
          </w:p>
        </w:tc>
        <w:tc>
          <w:tcPr>
            <w:tcW w:w="991" w:type="dxa"/>
            <w:tcBorders>
              <w:top w:val="nil"/>
              <w:left w:val="nil"/>
              <w:bottom w:val="single" w:sz="4" w:space="0" w:color="auto"/>
              <w:right w:val="single" w:sz="4" w:space="0" w:color="auto"/>
            </w:tcBorders>
            <w:shd w:val="clear" w:color="000000" w:fill="FFFFFF"/>
            <w:noWrap/>
            <w:vAlign w:val="bottom"/>
            <w:hideMark/>
          </w:tcPr>
          <w:p w14:paraId="3AD4C639" w14:textId="77777777" w:rsidR="00B56301" w:rsidRPr="00364545" w:rsidRDefault="00B56301" w:rsidP="00B37B65">
            <w:pPr>
              <w:jc w:val="right"/>
              <w:rPr>
                <w:rFonts w:asciiTheme="minorHAnsi" w:hAnsiTheme="minorHAnsi"/>
                <w:sz w:val="16"/>
                <w:szCs w:val="16"/>
              </w:rPr>
            </w:pPr>
            <w:r w:rsidRPr="00364545">
              <w:rPr>
                <w:sz w:val="16"/>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0FC539C0" w14:textId="77777777" w:rsidR="00B56301" w:rsidRPr="00364545" w:rsidRDefault="00B56301" w:rsidP="00B37B65">
            <w:pPr>
              <w:jc w:val="right"/>
              <w:rPr>
                <w:rFonts w:asciiTheme="minorHAnsi" w:hAnsiTheme="minorHAnsi"/>
                <w:sz w:val="16"/>
                <w:szCs w:val="16"/>
              </w:rPr>
            </w:pPr>
            <w:r w:rsidRPr="00364545">
              <w:rPr>
                <w:sz w:val="16"/>
              </w:rPr>
              <w:t>0,38</w:t>
            </w:r>
          </w:p>
        </w:tc>
        <w:tc>
          <w:tcPr>
            <w:tcW w:w="991" w:type="dxa"/>
            <w:tcBorders>
              <w:top w:val="nil"/>
              <w:left w:val="nil"/>
              <w:bottom w:val="single" w:sz="4" w:space="0" w:color="auto"/>
              <w:right w:val="single" w:sz="4" w:space="0" w:color="auto"/>
            </w:tcBorders>
            <w:shd w:val="clear" w:color="000000" w:fill="FFFFFF"/>
            <w:noWrap/>
            <w:vAlign w:val="bottom"/>
            <w:hideMark/>
          </w:tcPr>
          <w:p w14:paraId="1C452157" w14:textId="77777777" w:rsidR="00B56301" w:rsidRPr="00364545" w:rsidRDefault="00B56301" w:rsidP="00B37B65">
            <w:pPr>
              <w:jc w:val="right"/>
              <w:rPr>
                <w:rFonts w:asciiTheme="minorHAnsi" w:hAnsiTheme="minorHAnsi"/>
                <w:sz w:val="16"/>
                <w:szCs w:val="16"/>
              </w:rPr>
            </w:pPr>
            <w:r w:rsidRPr="00364545">
              <w:rPr>
                <w:sz w:val="16"/>
              </w:rPr>
              <w:t>0,39</w:t>
            </w:r>
          </w:p>
        </w:tc>
      </w:tr>
      <w:tr w:rsidR="00B56301" w:rsidRPr="00364545" w14:paraId="09A8F54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33D8539" w14:textId="65D1161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0A2C8FDC" w14:textId="77777777" w:rsidR="00B56301" w:rsidRPr="00364545" w:rsidRDefault="00B56301" w:rsidP="00B37B65">
            <w:pPr>
              <w:jc w:val="right"/>
              <w:rPr>
                <w:rFonts w:asciiTheme="minorHAnsi" w:hAnsiTheme="minorHAnsi"/>
                <w:sz w:val="16"/>
                <w:szCs w:val="16"/>
              </w:rPr>
            </w:pPr>
            <w:r w:rsidRPr="00364545">
              <w:rPr>
                <w:sz w:val="16"/>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6A97AE94" w14:textId="77777777" w:rsidR="00B56301" w:rsidRPr="00364545" w:rsidRDefault="00B56301" w:rsidP="00B37B65">
            <w:pPr>
              <w:jc w:val="right"/>
              <w:rPr>
                <w:rFonts w:asciiTheme="minorHAnsi" w:hAnsiTheme="minorHAnsi"/>
                <w:sz w:val="16"/>
                <w:szCs w:val="16"/>
              </w:rPr>
            </w:pPr>
            <w:r w:rsidRPr="00364545">
              <w:rPr>
                <w:sz w:val="16"/>
              </w:rPr>
              <w:t>0,34</w:t>
            </w:r>
          </w:p>
        </w:tc>
        <w:tc>
          <w:tcPr>
            <w:tcW w:w="991" w:type="dxa"/>
            <w:tcBorders>
              <w:top w:val="nil"/>
              <w:left w:val="nil"/>
              <w:bottom w:val="single" w:sz="4" w:space="0" w:color="auto"/>
              <w:right w:val="single" w:sz="4" w:space="0" w:color="auto"/>
            </w:tcBorders>
            <w:shd w:val="clear" w:color="000000" w:fill="FFFFFF"/>
            <w:noWrap/>
            <w:vAlign w:val="bottom"/>
            <w:hideMark/>
          </w:tcPr>
          <w:p w14:paraId="581164CA" w14:textId="77777777" w:rsidR="00B56301" w:rsidRPr="00364545" w:rsidRDefault="00B56301" w:rsidP="00B37B65">
            <w:pPr>
              <w:jc w:val="right"/>
              <w:rPr>
                <w:rFonts w:asciiTheme="minorHAnsi" w:hAnsiTheme="minorHAnsi"/>
                <w:sz w:val="16"/>
                <w:szCs w:val="16"/>
              </w:rPr>
            </w:pPr>
            <w:r w:rsidRPr="00364545">
              <w:rPr>
                <w:sz w:val="16"/>
              </w:rPr>
              <w:t>0,35</w:t>
            </w:r>
          </w:p>
        </w:tc>
        <w:tc>
          <w:tcPr>
            <w:tcW w:w="991" w:type="dxa"/>
            <w:tcBorders>
              <w:top w:val="nil"/>
              <w:left w:val="nil"/>
              <w:bottom w:val="single" w:sz="4" w:space="0" w:color="auto"/>
              <w:right w:val="single" w:sz="4" w:space="0" w:color="auto"/>
            </w:tcBorders>
            <w:shd w:val="clear" w:color="000000" w:fill="FFFFFF"/>
            <w:noWrap/>
            <w:vAlign w:val="bottom"/>
            <w:hideMark/>
          </w:tcPr>
          <w:p w14:paraId="2E549158" w14:textId="77777777" w:rsidR="00B56301" w:rsidRPr="00364545" w:rsidRDefault="00B56301" w:rsidP="00B37B65">
            <w:pPr>
              <w:jc w:val="right"/>
              <w:rPr>
                <w:rFonts w:asciiTheme="minorHAnsi" w:hAnsiTheme="minorHAnsi"/>
                <w:sz w:val="16"/>
                <w:szCs w:val="16"/>
              </w:rPr>
            </w:pPr>
            <w:r w:rsidRPr="00364545">
              <w:rPr>
                <w:sz w:val="16"/>
              </w:rPr>
              <w:t>0,34</w:t>
            </w:r>
          </w:p>
        </w:tc>
        <w:tc>
          <w:tcPr>
            <w:tcW w:w="991" w:type="dxa"/>
            <w:tcBorders>
              <w:top w:val="nil"/>
              <w:left w:val="nil"/>
              <w:bottom w:val="single" w:sz="4" w:space="0" w:color="auto"/>
              <w:right w:val="single" w:sz="4" w:space="0" w:color="auto"/>
            </w:tcBorders>
            <w:shd w:val="clear" w:color="000000" w:fill="FFFFFF"/>
            <w:noWrap/>
            <w:vAlign w:val="bottom"/>
            <w:hideMark/>
          </w:tcPr>
          <w:p w14:paraId="7D58AF63" w14:textId="77777777" w:rsidR="00B56301" w:rsidRPr="00364545" w:rsidRDefault="00B56301" w:rsidP="00B37B65">
            <w:pPr>
              <w:jc w:val="right"/>
              <w:rPr>
                <w:rFonts w:asciiTheme="minorHAnsi" w:hAnsiTheme="minorHAnsi"/>
                <w:sz w:val="16"/>
                <w:szCs w:val="16"/>
              </w:rPr>
            </w:pPr>
            <w:r w:rsidRPr="00364545">
              <w:rPr>
                <w:sz w:val="16"/>
              </w:rPr>
              <w:t>0,34</w:t>
            </w:r>
          </w:p>
        </w:tc>
        <w:tc>
          <w:tcPr>
            <w:tcW w:w="991" w:type="dxa"/>
            <w:tcBorders>
              <w:top w:val="nil"/>
              <w:left w:val="nil"/>
              <w:bottom w:val="single" w:sz="4" w:space="0" w:color="auto"/>
              <w:right w:val="single" w:sz="4" w:space="0" w:color="auto"/>
            </w:tcBorders>
            <w:shd w:val="clear" w:color="000000" w:fill="FFFFFF"/>
            <w:noWrap/>
            <w:vAlign w:val="bottom"/>
            <w:hideMark/>
          </w:tcPr>
          <w:p w14:paraId="4E4D61AC" w14:textId="77777777" w:rsidR="00B56301" w:rsidRPr="00364545" w:rsidRDefault="00B56301" w:rsidP="00B37B65">
            <w:pPr>
              <w:jc w:val="right"/>
              <w:rPr>
                <w:rFonts w:asciiTheme="minorHAnsi" w:hAnsiTheme="minorHAnsi"/>
                <w:sz w:val="16"/>
                <w:szCs w:val="16"/>
              </w:rPr>
            </w:pPr>
            <w:r w:rsidRPr="00364545">
              <w:rPr>
                <w:sz w:val="16"/>
              </w:rPr>
              <w:t>0,32</w:t>
            </w:r>
          </w:p>
        </w:tc>
      </w:tr>
      <w:tr w:rsidR="00B56301" w:rsidRPr="00364545" w14:paraId="6EF63CE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D76171" w14:textId="214A606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2EC1F70E" w14:textId="77777777" w:rsidR="00B56301" w:rsidRPr="00364545" w:rsidRDefault="00B56301" w:rsidP="00B37B65">
            <w:pPr>
              <w:jc w:val="right"/>
              <w:rPr>
                <w:rFonts w:asciiTheme="minorHAnsi" w:hAnsiTheme="minorHAnsi"/>
                <w:sz w:val="16"/>
                <w:szCs w:val="16"/>
              </w:rPr>
            </w:pPr>
            <w:r w:rsidRPr="00364545">
              <w:rPr>
                <w:sz w:val="16"/>
              </w:rPr>
              <w:t>1,78</w:t>
            </w:r>
          </w:p>
        </w:tc>
        <w:tc>
          <w:tcPr>
            <w:tcW w:w="991" w:type="dxa"/>
            <w:tcBorders>
              <w:top w:val="nil"/>
              <w:left w:val="nil"/>
              <w:bottom w:val="single" w:sz="4" w:space="0" w:color="auto"/>
              <w:right w:val="single" w:sz="4" w:space="0" w:color="auto"/>
            </w:tcBorders>
            <w:shd w:val="clear" w:color="000000" w:fill="FFFFFF"/>
            <w:noWrap/>
            <w:vAlign w:val="bottom"/>
            <w:hideMark/>
          </w:tcPr>
          <w:p w14:paraId="622FA71B" w14:textId="77777777" w:rsidR="00B56301" w:rsidRPr="00364545" w:rsidRDefault="00B56301" w:rsidP="00B37B65">
            <w:pPr>
              <w:jc w:val="right"/>
              <w:rPr>
                <w:rFonts w:asciiTheme="minorHAnsi" w:hAnsiTheme="minorHAnsi"/>
                <w:sz w:val="16"/>
                <w:szCs w:val="16"/>
              </w:rPr>
            </w:pPr>
            <w:r w:rsidRPr="00364545">
              <w:rPr>
                <w:sz w:val="16"/>
              </w:rPr>
              <w:t>1,73</w:t>
            </w:r>
          </w:p>
        </w:tc>
        <w:tc>
          <w:tcPr>
            <w:tcW w:w="991" w:type="dxa"/>
            <w:tcBorders>
              <w:top w:val="nil"/>
              <w:left w:val="nil"/>
              <w:bottom w:val="single" w:sz="4" w:space="0" w:color="auto"/>
              <w:right w:val="single" w:sz="4" w:space="0" w:color="auto"/>
            </w:tcBorders>
            <w:shd w:val="clear" w:color="000000" w:fill="FFFFFF"/>
            <w:noWrap/>
            <w:vAlign w:val="bottom"/>
            <w:hideMark/>
          </w:tcPr>
          <w:p w14:paraId="592A9A89" w14:textId="77777777" w:rsidR="00B56301" w:rsidRPr="00364545" w:rsidRDefault="00B56301" w:rsidP="00B37B65">
            <w:pPr>
              <w:jc w:val="right"/>
              <w:rPr>
                <w:rFonts w:asciiTheme="minorHAnsi" w:hAnsiTheme="minorHAnsi"/>
                <w:sz w:val="16"/>
                <w:szCs w:val="16"/>
              </w:rPr>
            </w:pPr>
            <w:r w:rsidRPr="00364545">
              <w:rPr>
                <w:sz w:val="16"/>
              </w:rPr>
              <w:t>1,67</w:t>
            </w:r>
          </w:p>
        </w:tc>
        <w:tc>
          <w:tcPr>
            <w:tcW w:w="991" w:type="dxa"/>
            <w:tcBorders>
              <w:top w:val="nil"/>
              <w:left w:val="nil"/>
              <w:bottom w:val="single" w:sz="4" w:space="0" w:color="auto"/>
              <w:right w:val="single" w:sz="4" w:space="0" w:color="auto"/>
            </w:tcBorders>
            <w:shd w:val="clear" w:color="000000" w:fill="FFFFFF"/>
            <w:noWrap/>
            <w:vAlign w:val="bottom"/>
            <w:hideMark/>
          </w:tcPr>
          <w:p w14:paraId="527770E8" w14:textId="77777777" w:rsidR="00B56301" w:rsidRPr="00364545" w:rsidRDefault="00B56301" w:rsidP="00B37B65">
            <w:pPr>
              <w:jc w:val="right"/>
              <w:rPr>
                <w:rFonts w:asciiTheme="minorHAnsi" w:hAnsiTheme="minorHAnsi"/>
                <w:sz w:val="16"/>
                <w:szCs w:val="16"/>
              </w:rPr>
            </w:pPr>
            <w:r w:rsidRPr="00364545">
              <w:rPr>
                <w:sz w:val="16"/>
              </w:rPr>
              <w:t>1,62</w:t>
            </w:r>
          </w:p>
        </w:tc>
        <w:tc>
          <w:tcPr>
            <w:tcW w:w="991" w:type="dxa"/>
            <w:tcBorders>
              <w:top w:val="nil"/>
              <w:left w:val="nil"/>
              <w:bottom w:val="single" w:sz="4" w:space="0" w:color="auto"/>
              <w:right w:val="single" w:sz="4" w:space="0" w:color="auto"/>
            </w:tcBorders>
            <w:shd w:val="clear" w:color="000000" w:fill="FFFFFF"/>
            <w:noWrap/>
            <w:vAlign w:val="bottom"/>
            <w:hideMark/>
          </w:tcPr>
          <w:p w14:paraId="4B3346C7" w14:textId="77777777" w:rsidR="00B56301" w:rsidRPr="00364545" w:rsidRDefault="00B56301" w:rsidP="00B37B65">
            <w:pPr>
              <w:jc w:val="right"/>
              <w:rPr>
                <w:rFonts w:asciiTheme="minorHAnsi" w:hAnsiTheme="minorHAnsi"/>
                <w:sz w:val="16"/>
                <w:szCs w:val="16"/>
              </w:rPr>
            </w:pPr>
            <w:r w:rsidRPr="00364545">
              <w:rPr>
                <w:sz w:val="16"/>
              </w:rPr>
              <w:t>1,58</w:t>
            </w:r>
          </w:p>
        </w:tc>
        <w:tc>
          <w:tcPr>
            <w:tcW w:w="991" w:type="dxa"/>
            <w:tcBorders>
              <w:top w:val="nil"/>
              <w:left w:val="nil"/>
              <w:bottom w:val="single" w:sz="4" w:space="0" w:color="auto"/>
              <w:right w:val="single" w:sz="4" w:space="0" w:color="auto"/>
            </w:tcBorders>
            <w:shd w:val="clear" w:color="000000" w:fill="FFFFFF"/>
            <w:noWrap/>
            <w:vAlign w:val="bottom"/>
            <w:hideMark/>
          </w:tcPr>
          <w:p w14:paraId="092F199C" w14:textId="77777777" w:rsidR="00B56301" w:rsidRPr="00364545" w:rsidRDefault="00B56301" w:rsidP="00B37B65">
            <w:pPr>
              <w:jc w:val="right"/>
              <w:rPr>
                <w:rFonts w:asciiTheme="minorHAnsi" w:hAnsiTheme="minorHAnsi"/>
                <w:sz w:val="16"/>
                <w:szCs w:val="16"/>
              </w:rPr>
            </w:pPr>
            <w:r w:rsidRPr="00364545">
              <w:rPr>
                <w:sz w:val="16"/>
              </w:rPr>
              <w:t>1,59</w:t>
            </w:r>
          </w:p>
        </w:tc>
      </w:tr>
      <w:tr w:rsidR="00B56301" w:rsidRPr="00364545" w14:paraId="3025732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78C4655" w14:textId="3D6131A6"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Other</w:t>
            </w:r>
            <w:r w:rsidRPr="00364545">
              <w:rPr>
                <w:rFonts w:asciiTheme="minorHAnsi" w:hAnsiTheme="minorHAnsi"/>
                <w:b/>
                <w:i/>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5B731CFE"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2C2EB0"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C07FDCA"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99FFEC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9FE14AD"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36BF868"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4C49289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BFF3BE" w14:textId="54BA8C2A"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09F67F91"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088925A"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26354C6"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7B7EDBF"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6288C9B"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CA6F672"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72793F2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2DA7E787" w14:textId="460608B0"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direct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 xml:space="preserve">emissions without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1D69ED61" w14:textId="77777777" w:rsidR="00B56301" w:rsidRPr="00364545" w:rsidRDefault="00B56301" w:rsidP="00B37B65">
            <w:pPr>
              <w:jc w:val="right"/>
              <w:rPr>
                <w:rFonts w:asciiTheme="minorHAnsi" w:hAnsiTheme="minorHAnsi"/>
                <w:sz w:val="16"/>
                <w:szCs w:val="16"/>
              </w:rPr>
            </w:pPr>
            <w:r w:rsidRPr="00364545">
              <w:rPr>
                <w:sz w:val="16"/>
              </w:rPr>
              <w:t>179,10</w:t>
            </w:r>
          </w:p>
        </w:tc>
        <w:tc>
          <w:tcPr>
            <w:tcW w:w="991" w:type="dxa"/>
            <w:tcBorders>
              <w:top w:val="nil"/>
              <w:left w:val="nil"/>
              <w:bottom w:val="single" w:sz="4" w:space="0" w:color="auto"/>
              <w:right w:val="single" w:sz="4" w:space="0" w:color="auto"/>
            </w:tcBorders>
            <w:shd w:val="clear" w:color="000000" w:fill="CCFFFF"/>
            <w:noWrap/>
            <w:vAlign w:val="bottom"/>
            <w:hideMark/>
          </w:tcPr>
          <w:p w14:paraId="03C452B9" w14:textId="77777777" w:rsidR="00B56301" w:rsidRPr="00364545" w:rsidRDefault="00B56301" w:rsidP="00B37B65">
            <w:pPr>
              <w:jc w:val="right"/>
              <w:rPr>
                <w:rFonts w:asciiTheme="minorHAnsi" w:hAnsiTheme="minorHAnsi"/>
                <w:sz w:val="16"/>
                <w:szCs w:val="16"/>
              </w:rPr>
            </w:pPr>
            <w:r w:rsidRPr="00364545">
              <w:rPr>
                <w:sz w:val="16"/>
              </w:rPr>
              <w:t>169,93</w:t>
            </w:r>
          </w:p>
        </w:tc>
        <w:tc>
          <w:tcPr>
            <w:tcW w:w="991" w:type="dxa"/>
            <w:tcBorders>
              <w:top w:val="nil"/>
              <w:left w:val="nil"/>
              <w:bottom w:val="single" w:sz="4" w:space="0" w:color="auto"/>
              <w:right w:val="single" w:sz="4" w:space="0" w:color="auto"/>
            </w:tcBorders>
            <w:shd w:val="clear" w:color="000000" w:fill="CCFFFF"/>
            <w:noWrap/>
            <w:vAlign w:val="bottom"/>
            <w:hideMark/>
          </w:tcPr>
          <w:p w14:paraId="1DA62454" w14:textId="77777777" w:rsidR="00B56301" w:rsidRPr="00364545" w:rsidRDefault="00B56301" w:rsidP="00B37B65">
            <w:pPr>
              <w:jc w:val="right"/>
              <w:rPr>
                <w:rFonts w:asciiTheme="minorHAnsi" w:hAnsiTheme="minorHAnsi"/>
                <w:sz w:val="16"/>
                <w:szCs w:val="16"/>
              </w:rPr>
            </w:pPr>
            <w:r w:rsidRPr="00364545">
              <w:rPr>
                <w:sz w:val="16"/>
              </w:rPr>
              <w:t>163,96</w:t>
            </w:r>
          </w:p>
        </w:tc>
        <w:tc>
          <w:tcPr>
            <w:tcW w:w="991" w:type="dxa"/>
            <w:tcBorders>
              <w:top w:val="nil"/>
              <w:left w:val="nil"/>
              <w:bottom w:val="single" w:sz="4" w:space="0" w:color="auto"/>
              <w:right w:val="single" w:sz="4" w:space="0" w:color="auto"/>
            </w:tcBorders>
            <w:shd w:val="clear" w:color="000000" w:fill="CCFFFF"/>
            <w:noWrap/>
            <w:vAlign w:val="bottom"/>
            <w:hideMark/>
          </w:tcPr>
          <w:p w14:paraId="09CC68EF" w14:textId="77777777" w:rsidR="00B56301" w:rsidRPr="00364545" w:rsidRDefault="00B56301" w:rsidP="00B37B65">
            <w:pPr>
              <w:jc w:val="right"/>
              <w:rPr>
                <w:rFonts w:asciiTheme="minorHAnsi" w:hAnsiTheme="minorHAnsi"/>
                <w:sz w:val="16"/>
                <w:szCs w:val="16"/>
              </w:rPr>
            </w:pPr>
            <w:r w:rsidRPr="00364545">
              <w:rPr>
                <w:sz w:val="16"/>
              </w:rPr>
              <w:t>158,39</w:t>
            </w:r>
          </w:p>
        </w:tc>
        <w:tc>
          <w:tcPr>
            <w:tcW w:w="991" w:type="dxa"/>
            <w:tcBorders>
              <w:top w:val="nil"/>
              <w:left w:val="nil"/>
              <w:bottom w:val="single" w:sz="4" w:space="0" w:color="auto"/>
              <w:right w:val="single" w:sz="4" w:space="0" w:color="auto"/>
            </w:tcBorders>
            <w:shd w:val="clear" w:color="000000" w:fill="CCFFFF"/>
            <w:noWrap/>
            <w:vAlign w:val="bottom"/>
            <w:hideMark/>
          </w:tcPr>
          <w:p w14:paraId="01E25811" w14:textId="77777777" w:rsidR="00B56301" w:rsidRPr="00364545" w:rsidRDefault="00B56301" w:rsidP="00B37B65">
            <w:pPr>
              <w:jc w:val="right"/>
              <w:rPr>
                <w:rFonts w:asciiTheme="minorHAnsi" w:hAnsiTheme="minorHAnsi"/>
                <w:sz w:val="16"/>
                <w:szCs w:val="16"/>
              </w:rPr>
            </w:pPr>
            <w:r w:rsidRPr="00364545">
              <w:rPr>
                <w:sz w:val="16"/>
              </w:rPr>
              <w:t>155,39</w:t>
            </w:r>
          </w:p>
        </w:tc>
        <w:tc>
          <w:tcPr>
            <w:tcW w:w="991" w:type="dxa"/>
            <w:tcBorders>
              <w:top w:val="nil"/>
              <w:left w:val="nil"/>
              <w:bottom w:val="single" w:sz="4" w:space="0" w:color="auto"/>
              <w:right w:val="single" w:sz="4" w:space="0" w:color="auto"/>
            </w:tcBorders>
            <w:shd w:val="clear" w:color="000000" w:fill="CCFFFF"/>
            <w:noWrap/>
            <w:vAlign w:val="bottom"/>
            <w:hideMark/>
          </w:tcPr>
          <w:p w14:paraId="63594357" w14:textId="77777777" w:rsidR="00B56301" w:rsidRPr="00364545" w:rsidRDefault="00B56301" w:rsidP="00B37B65">
            <w:pPr>
              <w:jc w:val="right"/>
              <w:rPr>
                <w:rFonts w:asciiTheme="minorHAnsi" w:hAnsiTheme="minorHAnsi"/>
                <w:sz w:val="16"/>
                <w:szCs w:val="16"/>
              </w:rPr>
            </w:pPr>
            <w:r w:rsidRPr="00364545">
              <w:rPr>
                <w:sz w:val="16"/>
              </w:rPr>
              <w:t>150,73</w:t>
            </w:r>
          </w:p>
        </w:tc>
      </w:tr>
      <w:tr w:rsidR="00B56301" w:rsidRPr="00364545" w14:paraId="57E3A2C6"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307927F1" w14:textId="135C3168" w:rsidR="00B56301" w:rsidRPr="00364545" w:rsidRDefault="00B56301" w:rsidP="00B37B65">
            <w:pPr>
              <w:jc w:val="left"/>
              <w:rPr>
                <w:rFonts w:asciiTheme="minorHAnsi" w:hAnsiTheme="minorHAnsi"/>
                <w:b/>
                <w:bCs/>
                <w:sz w:val="16"/>
                <w:szCs w:val="16"/>
              </w:rPr>
            </w:pPr>
            <w:r w:rsidRPr="00364545">
              <w:rPr>
                <w:rFonts w:asciiTheme="minorHAnsi" w:hAnsiTheme="minorHAnsi"/>
                <w:b/>
                <w:sz w:val="16"/>
                <w:lang w:val="pt-BR"/>
              </w:rPr>
              <w:t xml:space="preserve">Total direct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 xml:space="preserve">emissions with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from LULUCF</w:t>
            </w:r>
          </w:p>
        </w:tc>
        <w:tc>
          <w:tcPr>
            <w:tcW w:w="991" w:type="dxa"/>
            <w:tcBorders>
              <w:top w:val="nil"/>
              <w:left w:val="single" w:sz="4" w:space="0" w:color="auto"/>
              <w:bottom w:val="single" w:sz="4" w:space="0" w:color="auto"/>
              <w:right w:val="single" w:sz="4" w:space="0" w:color="auto"/>
            </w:tcBorders>
            <w:shd w:val="clear" w:color="000000" w:fill="CCFFFF"/>
            <w:noWrap/>
            <w:vAlign w:val="bottom"/>
            <w:hideMark/>
          </w:tcPr>
          <w:p w14:paraId="32FE21CB" w14:textId="77777777" w:rsidR="00B56301" w:rsidRPr="00364545" w:rsidRDefault="00B56301" w:rsidP="00B37B65">
            <w:pPr>
              <w:jc w:val="right"/>
              <w:rPr>
                <w:rFonts w:asciiTheme="minorHAnsi" w:hAnsiTheme="minorHAnsi"/>
                <w:sz w:val="16"/>
                <w:szCs w:val="16"/>
              </w:rPr>
            </w:pPr>
            <w:r w:rsidRPr="00364545">
              <w:rPr>
                <w:sz w:val="16"/>
              </w:rPr>
              <w:t>189,50</w:t>
            </w:r>
          </w:p>
        </w:tc>
        <w:tc>
          <w:tcPr>
            <w:tcW w:w="991" w:type="dxa"/>
            <w:tcBorders>
              <w:top w:val="nil"/>
              <w:left w:val="nil"/>
              <w:bottom w:val="single" w:sz="4" w:space="0" w:color="auto"/>
              <w:right w:val="single" w:sz="4" w:space="0" w:color="auto"/>
            </w:tcBorders>
            <w:shd w:val="clear" w:color="000000" w:fill="CCFFFF"/>
            <w:noWrap/>
            <w:vAlign w:val="bottom"/>
            <w:hideMark/>
          </w:tcPr>
          <w:p w14:paraId="5A632909" w14:textId="77777777" w:rsidR="00B56301" w:rsidRPr="00364545" w:rsidRDefault="00B56301" w:rsidP="00B37B65">
            <w:pPr>
              <w:jc w:val="right"/>
              <w:rPr>
                <w:rFonts w:asciiTheme="minorHAnsi" w:hAnsiTheme="minorHAnsi"/>
                <w:sz w:val="16"/>
                <w:szCs w:val="16"/>
              </w:rPr>
            </w:pPr>
            <w:r w:rsidRPr="00364545">
              <w:rPr>
                <w:sz w:val="16"/>
              </w:rPr>
              <w:t>180,16</w:t>
            </w:r>
          </w:p>
        </w:tc>
        <w:tc>
          <w:tcPr>
            <w:tcW w:w="991" w:type="dxa"/>
            <w:tcBorders>
              <w:top w:val="nil"/>
              <w:left w:val="nil"/>
              <w:bottom w:val="single" w:sz="4" w:space="0" w:color="auto"/>
              <w:right w:val="single" w:sz="4" w:space="0" w:color="auto"/>
            </w:tcBorders>
            <w:shd w:val="clear" w:color="000000" w:fill="CCFFFF"/>
            <w:noWrap/>
            <w:vAlign w:val="bottom"/>
            <w:hideMark/>
          </w:tcPr>
          <w:p w14:paraId="292A1244" w14:textId="77777777" w:rsidR="00B56301" w:rsidRPr="00364545" w:rsidRDefault="00B56301" w:rsidP="00B37B65">
            <w:pPr>
              <w:jc w:val="right"/>
              <w:rPr>
                <w:rFonts w:asciiTheme="minorHAnsi" w:hAnsiTheme="minorHAnsi"/>
                <w:sz w:val="16"/>
                <w:szCs w:val="16"/>
              </w:rPr>
            </w:pPr>
            <w:r w:rsidRPr="00364545">
              <w:rPr>
                <w:sz w:val="16"/>
              </w:rPr>
              <w:t>174,27</w:t>
            </w:r>
          </w:p>
        </w:tc>
        <w:tc>
          <w:tcPr>
            <w:tcW w:w="991" w:type="dxa"/>
            <w:tcBorders>
              <w:top w:val="nil"/>
              <w:left w:val="nil"/>
              <w:bottom w:val="single" w:sz="4" w:space="0" w:color="auto"/>
              <w:right w:val="single" w:sz="4" w:space="0" w:color="auto"/>
            </w:tcBorders>
            <w:shd w:val="clear" w:color="000000" w:fill="CCFFFF"/>
            <w:noWrap/>
            <w:vAlign w:val="bottom"/>
            <w:hideMark/>
          </w:tcPr>
          <w:p w14:paraId="4E0B85EE" w14:textId="77777777" w:rsidR="00B56301" w:rsidRPr="00364545" w:rsidRDefault="00B56301" w:rsidP="00B37B65">
            <w:pPr>
              <w:jc w:val="right"/>
              <w:rPr>
                <w:rFonts w:asciiTheme="minorHAnsi" w:hAnsiTheme="minorHAnsi"/>
                <w:sz w:val="16"/>
                <w:szCs w:val="16"/>
              </w:rPr>
            </w:pPr>
            <w:r w:rsidRPr="00364545">
              <w:rPr>
                <w:sz w:val="16"/>
              </w:rPr>
              <w:t>168,30</w:t>
            </w:r>
          </w:p>
        </w:tc>
        <w:tc>
          <w:tcPr>
            <w:tcW w:w="991" w:type="dxa"/>
            <w:tcBorders>
              <w:top w:val="nil"/>
              <w:left w:val="nil"/>
              <w:bottom w:val="single" w:sz="4" w:space="0" w:color="auto"/>
              <w:right w:val="single" w:sz="4" w:space="0" w:color="auto"/>
            </w:tcBorders>
            <w:shd w:val="clear" w:color="000000" w:fill="CCFFFF"/>
            <w:noWrap/>
            <w:vAlign w:val="bottom"/>
            <w:hideMark/>
          </w:tcPr>
          <w:p w14:paraId="2B1DE363" w14:textId="77777777" w:rsidR="00B56301" w:rsidRPr="00364545" w:rsidRDefault="00B56301" w:rsidP="00B37B65">
            <w:pPr>
              <w:jc w:val="right"/>
              <w:rPr>
                <w:rFonts w:asciiTheme="minorHAnsi" w:hAnsiTheme="minorHAnsi"/>
                <w:sz w:val="16"/>
                <w:szCs w:val="16"/>
              </w:rPr>
            </w:pPr>
            <w:r w:rsidRPr="00364545">
              <w:rPr>
                <w:sz w:val="16"/>
              </w:rPr>
              <w:t>165,37</w:t>
            </w:r>
          </w:p>
        </w:tc>
        <w:tc>
          <w:tcPr>
            <w:tcW w:w="991" w:type="dxa"/>
            <w:tcBorders>
              <w:top w:val="nil"/>
              <w:left w:val="nil"/>
              <w:bottom w:val="single" w:sz="4" w:space="0" w:color="auto"/>
              <w:right w:val="single" w:sz="4" w:space="0" w:color="auto"/>
            </w:tcBorders>
            <w:shd w:val="clear" w:color="000000" w:fill="CCFFFF"/>
            <w:noWrap/>
            <w:vAlign w:val="bottom"/>
            <w:hideMark/>
          </w:tcPr>
          <w:p w14:paraId="34A92455" w14:textId="77777777" w:rsidR="00B56301" w:rsidRPr="00364545" w:rsidRDefault="00B56301" w:rsidP="00B37B65">
            <w:pPr>
              <w:jc w:val="right"/>
              <w:rPr>
                <w:rFonts w:asciiTheme="minorHAnsi" w:hAnsiTheme="minorHAnsi"/>
                <w:sz w:val="16"/>
                <w:szCs w:val="16"/>
              </w:rPr>
            </w:pPr>
            <w:r w:rsidRPr="00364545">
              <w:rPr>
                <w:sz w:val="16"/>
              </w:rPr>
              <w:t>160,78</w:t>
            </w:r>
          </w:p>
        </w:tc>
      </w:tr>
      <w:tr w:rsidR="00B56301" w:rsidRPr="00364545" w14:paraId="57C53B92"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2E87439"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Memo items:</w:t>
            </w:r>
            <w:r w:rsidRPr="00364545">
              <w:rPr>
                <w:rFonts w:asciiTheme="minorHAnsi" w:hAnsiTheme="minorHAnsi"/>
                <w:b/>
                <w:sz w:val="16"/>
                <w:vertAlign w:val="superscript"/>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3ABF96E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0E1BB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F4989C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386D4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C4A3D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0CE5CA7"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229041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48B4620"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2E0E1DA8" w14:textId="77777777" w:rsidR="00B56301" w:rsidRPr="00364545" w:rsidRDefault="00B56301" w:rsidP="00B37B65">
            <w:pPr>
              <w:jc w:val="right"/>
              <w:rPr>
                <w:rFonts w:asciiTheme="minorHAnsi" w:hAnsiTheme="minorHAnsi"/>
                <w:sz w:val="16"/>
                <w:szCs w:val="16"/>
              </w:rPr>
            </w:pPr>
            <w:r w:rsidRPr="00364545">
              <w:rPr>
                <w:sz w:val="16"/>
              </w:rPr>
              <w:t>0,59</w:t>
            </w:r>
          </w:p>
        </w:tc>
        <w:tc>
          <w:tcPr>
            <w:tcW w:w="991" w:type="dxa"/>
            <w:tcBorders>
              <w:top w:val="nil"/>
              <w:left w:val="nil"/>
              <w:bottom w:val="single" w:sz="4" w:space="0" w:color="auto"/>
              <w:right w:val="single" w:sz="4" w:space="0" w:color="auto"/>
            </w:tcBorders>
            <w:shd w:val="clear" w:color="000000" w:fill="CCFFFF"/>
            <w:noWrap/>
            <w:vAlign w:val="bottom"/>
            <w:hideMark/>
          </w:tcPr>
          <w:p w14:paraId="6E947C50" w14:textId="77777777" w:rsidR="00B56301" w:rsidRPr="00364545" w:rsidRDefault="00B56301" w:rsidP="00B37B65">
            <w:pPr>
              <w:jc w:val="right"/>
              <w:rPr>
                <w:rFonts w:asciiTheme="minorHAnsi" w:hAnsiTheme="minorHAnsi"/>
                <w:sz w:val="16"/>
                <w:szCs w:val="16"/>
              </w:rPr>
            </w:pPr>
            <w:r w:rsidRPr="00364545">
              <w:rPr>
                <w:sz w:val="16"/>
              </w:rPr>
              <w:t>0,59</w:t>
            </w:r>
          </w:p>
        </w:tc>
        <w:tc>
          <w:tcPr>
            <w:tcW w:w="991" w:type="dxa"/>
            <w:tcBorders>
              <w:top w:val="nil"/>
              <w:left w:val="nil"/>
              <w:bottom w:val="single" w:sz="4" w:space="0" w:color="auto"/>
              <w:right w:val="single" w:sz="4" w:space="0" w:color="auto"/>
            </w:tcBorders>
            <w:shd w:val="clear" w:color="000000" w:fill="CCFFFF"/>
            <w:noWrap/>
            <w:vAlign w:val="bottom"/>
            <w:hideMark/>
          </w:tcPr>
          <w:p w14:paraId="5171F170" w14:textId="77777777" w:rsidR="00B56301" w:rsidRPr="00364545" w:rsidRDefault="00B56301" w:rsidP="00B37B65">
            <w:pPr>
              <w:jc w:val="right"/>
              <w:rPr>
                <w:rFonts w:asciiTheme="minorHAnsi" w:hAnsiTheme="minorHAnsi"/>
                <w:sz w:val="16"/>
                <w:szCs w:val="16"/>
              </w:rPr>
            </w:pPr>
            <w:r w:rsidRPr="00364545">
              <w:rPr>
                <w:sz w:val="16"/>
              </w:rPr>
              <w:t>0,61</w:t>
            </w:r>
          </w:p>
        </w:tc>
        <w:tc>
          <w:tcPr>
            <w:tcW w:w="991" w:type="dxa"/>
            <w:tcBorders>
              <w:top w:val="nil"/>
              <w:left w:val="nil"/>
              <w:bottom w:val="single" w:sz="4" w:space="0" w:color="auto"/>
              <w:right w:val="single" w:sz="4" w:space="0" w:color="auto"/>
            </w:tcBorders>
            <w:shd w:val="clear" w:color="000000" w:fill="CCFFFF"/>
            <w:noWrap/>
            <w:vAlign w:val="bottom"/>
            <w:hideMark/>
          </w:tcPr>
          <w:p w14:paraId="1B483094" w14:textId="77777777" w:rsidR="00B56301" w:rsidRPr="00364545" w:rsidRDefault="00B56301" w:rsidP="00B37B65">
            <w:pPr>
              <w:jc w:val="right"/>
              <w:rPr>
                <w:rFonts w:asciiTheme="minorHAnsi" w:hAnsiTheme="minorHAnsi"/>
                <w:sz w:val="16"/>
                <w:szCs w:val="16"/>
              </w:rPr>
            </w:pPr>
            <w:r w:rsidRPr="00364545">
              <w:rPr>
                <w:sz w:val="16"/>
              </w:rPr>
              <w:t>0,67</w:t>
            </w:r>
          </w:p>
        </w:tc>
        <w:tc>
          <w:tcPr>
            <w:tcW w:w="991" w:type="dxa"/>
            <w:tcBorders>
              <w:top w:val="nil"/>
              <w:left w:val="nil"/>
              <w:bottom w:val="single" w:sz="4" w:space="0" w:color="auto"/>
              <w:right w:val="single" w:sz="4" w:space="0" w:color="auto"/>
            </w:tcBorders>
            <w:shd w:val="clear" w:color="000000" w:fill="CCFFFF"/>
            <w:noWrap/>
            <w:vAlign w:val="bottom"/>
            <w:hideMark/>
          </w:tcPr>
          <w:p w14:paraId="3B7C5DE8" w14:textId="77777777" w:rsidR="00B56301" w:rsidRPr="00364545" w:rsidRDefault="00B56301" w:rsidP="00B37B65">
            <w:pPr>
              <w:jc w:val="right"/>
              <w:rPr>
                <w:rFonts w:asciiTheme="minorHAnsi" w:hAnsiTheme="minorHAnsi"/>
                <w:sz w:val="16"/>
                <w:szCs w:val="16"/>
              </w:rPr>
            </w:pPr>
            <w:r w:rsidRPr="00364545">
              <w:rPr>
                <w:sz w:val="16"/>
              </w:rPr>
              <w:t>0,65</w:t>
            </w:r>
          </w:p>
        </w:tc>
        <w:tc>
          <w:tcPr>
            <w:tcW w:w="991" w:type="dxa"/>
            <w:tcBorders>
              <w:top w:val="nil"/>
              <w:left w:val="nil"/>
              <w:bottom w:val="single" w:sz="4" w:space="0" w:color="auto"/>
              <w:right w:val="single" w:sz="4" w:space="0" w:color="auto"/>
            </w:tcBorders>
            <w:shd w:val="clear" w:color="000000" w:fill="CCFFFF"/>
            <w:noWrap/>
            <w:vAlign w:val="bottom"/>
            <w:hideMark/>
          </w:tcPr>
          <w:p w14:paraId="2D2B5357" w14:textId="77777777" w:rsidR="00B56301" w:rsidRPr="00364545" w:rsidRDefault="00B56301" w:rsidP="00B37B65">
            <w:pPr>
              <w:jc w:val="right"/>
              <w:rPr>
                <w:rFonts w:asciiTheme="minorHAnsi" w:hAnsiTheme="minorHAnsi"/>
                <w:sz w:val="16"/>
                <w:szCs w:val="16"/>
              </w:rPr>
            </w:pPr>
            <w:r w:rsidRPr="00364545">
              <w:rPr>
                <w:sz w:val="16"/>
              </w:rPr>
              <w:t>0,69</w:t>
            </w:r>
          </w:p>
        </w:tc>
      </w:tr>
      <w:tr w:rsidR="00B56301" w:rsidRPr="00364545" w14:paraId="31D549A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8E3415"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2C70C1C0" w14:textId="77777777" w:rsidR="00B56301" w:rsidRPr="00364545" w:rsidRDefault="00B56301" w:rsidP="00B37B65">
            <w:pPr>
              <w:jc w:val="right"/>
              <w:rPr>
                <w:rFonts w:asciiTheme="minorHAnsi" w:hAnsiTheme="minorHAnsi"/>
                <w:sz w:val="16"/>
                <w:szCs w:val="16"/>
              </w:rPr>
            </w:pPr>
            <w:r w:rsidRPr="00364545">
              <w:rPr>
                <w:sz w:val="16"/>
              </w:rPr>
              <w:t>0,39</w:t>
            </w:r>
          </w:p>
        </w:tc>
        <w:tc>
          <w:tcPr>
            <w:tcW w:w="991" w:type="dxa"/>
            <w:tcBorders>
              <w:top w:val="nil"/>
              <w:left w:val="nil"/>
              <w:bottom w:val="single" w:sz="4" w:space="0" w:color="auto"/>
              <w:right w:val="single" w:sz="4" w:space="0" w:color="auto"/>
            </w:tcBorders>
            <w:shd w:val="clear" w:color="000000" w:fill="FFFFFF"/>
            <w:noWrap/>
            <w:vAlign w:val="bottom"/>
            <w:hideMark/>
          </w:tcPr>
          <w:p w14:paraId="7CC5BE75" w14:textId="77777777" w:rsidR="00B56301" w:rsidRPr="00364545" w:rsidRDefault="00B56301" w:rsidP="00B37B65">
            <w:pPr>
              <w:jc w:val="right"/>
              <w:rPr>
                <w:rFonts w:asciiTheme="minorHAnsi" w:hAnsiTheme="minorHAnsi"/>
                <w:sz w:val="16"/>
                <w:szCs w:val="16"/>
              </w:rPr>
            </w:pPr>
            <w:r w:rsidRPr="00364545">
              <w:rPr>
                <w:sz w:val="16"/>
              </w:rPr>
              <w:t>0,39</w:t>
            </w:r>
          </w:p>
        </w:tc>
        <w:tc>
          <w:tcPr>
            <w:tcW w:w="991" w:type="dxa"/>
            <w:tcBorders>
              <w:top w:val="nil"/>
              <w:left w:val="nil"/>
              <w:bottom w:val="single" w:sz="4" w:space="0" w:color="auto"/>
              <w:right w:val="single" w:sz="4" w:space="0" w:color="auto"/>
            </w:tcBorders>
            <w:shd w:val="clear" w:color="000000" w:fill="FFFFFF"/>
            <w:noWrap/>
            <w:vAlign w:val="bottom"/>
            <w:hideMark/>
          </w:tcPr>
          <w:p w14:paraId="49289B4B" w14:textId="77777777" w:rsidR="00B56301" w:rsidRPr="00364545" w:rsidRDefault="00B56301" w:rsidP="00B37B65">
            <w:pPr>
              <w:jc w:val="right"/>
              <w:rPr>
                <w:rFonts w:asciiTheme="minorHAnsi" w:hAnsiTheme="minorHAnsi"/>
                <w:sz w:val="16"/>
                <w:szCs w:val="16"/>
              </w:rPr>
            </w:pPr>
            <w:r w:rsidRPr="00364545">
              <w:rPr>
                <w:sz w:val="16"/>
              </w:rPr>
              <w:t>0,39</w:t>
            </w:r>
          </w:p>
        </w:tc>
        <w:tc>
          <w:tcPr>
            <w:tcW w:w="991" w:type="dxa"/>
            <w:tcBorders>
              <w:top w:val="nil"/>
              <w:left w:val="nil"/>
              <w:bottom w:val="single" w:sz="4" w:space="0" w:color="auto"/>
              <w:right w:val="single" w:sz="4" w:space="0" w:color="auto"/>
            </w:tcBorders>
            <w:shd w:val="clear" w:color="000000" w:fill="FFFFFF"/>
            <w:noWrap/>
            <w:vAlign w:val="bottom"/>
            <w:hideMark/>
          </w:tcPr>
          <w:p w14:paraId="35DA71C6" w14:textId="77777777" w:rsidR="00B56301" w:rsidRPr="00364545" w:rsidRDefault="00B56301" w:rsidP="00B37B65">
            <w:pPr>
              <w:jc w:val="right"/>
              <w:rPr>
                <w:rFonts w:asciiTheme="minorHAnsi" w:hAnsiTheme="minorHAnsi"/>
                <w:sz w:val="16"/>
                <w:szCs w:val="16"/>
              </w:rPr>
            </w:pPr>
            <w:r w:rsidRPr="00364545">
              <w:rPr>
                <w:sz w:val="16"/>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184B977E" w14:textId="77777777" w:rsidR="00B56301" w:rsidRPr="00364545" w:rsidRDefault="00B56301" w:rsidP="00B37B65">
            <w:pPr>
              <w:jc w:val="right"/>
              <w:rPr>
                <w:rFonts w:asciiTheme="minorHAnsi" w:hAnsiTheme="minorHAnsi"/>
                <w:sz w:val="16"/>
                <w:szCs w:val="16"/>
              </w:rPr>
            </w:pPr>
            <w:r w:rsidRPr="00364545">
              <w:rPr>
                <w:sz w:val="16"/>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26FF7918" w14:textId="77777777" w:rsidR="00B56301" w:rsidRPr="00364545" w:rsidRDefault="00B56301" w:rsidP="00B37B65">
            <w:pPr>
              <w:jc w:val="right"/>
              <w:rPr>
                <w:rFonts w:asciiTheme="minorHAnsi" w:hAnsiTheme="minorHAnsi"/>
                <w:sz w:val="16"/>
                <w:szCs w:val="16"/>
              </w:rPr>
            </w:pPr>
            <w:r w:rsidRPr="00364545">
              <w:rPr>
                <w:sz w:val="16"/>
              </w:rPr>
              <w:t>0,45</w:t>
            </w:r>
          </w:p>
        </w:tc>
      </w:tr>
      <w:tr w:rsidR="00B56301" w:rsidRPr="00364545" w14:paraId="1BD4CDE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77BE38"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32C964C7" w14:textId="77777777" w:rsidR="00B56301" w:rsidRPr="00364545" w:rsidRDefault="00B56301" w:rsidP="00B37B65">
            <w:pPr>
              <w:jc w:val="right"/>
              <w:rPr>
                <w:rFonts w:asciiTheme="minorHAnsi" w:hAnsiTheme="minorHAnsi"/>
                <w:sz w:val="16"/>
                <w:szCs w:val="16"/>
              </w:rPr>
            </w:pPr>
            <w:r w:rsidRPr="00364545">
              <w:rPr>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732BF87D" w14:textId="77777777" w:rsidR="00B56301" w:rsidRPr="00364545" w:rsidRDefault="00B56301" w:rsidP="00B37B65">
            <w:pPr>
              <w:jc w:val="right"/>
              <w:rPr>
                <w:rFonts w:asciiTheme="minorHAnsi" w:hAnsiTheme="minorHAnsi"/>
                <w:sz w:val="16"/>
                <w:szCs w:val="16"/>
              </w:rPr>
            </w:pPr>
            <w:r w:rsidRPr="00364545">
              <w:rPr>
                <w:sz w:val="16"/>
              </w:rPr>
              <w:t>0,20</w:t>
            </w:r>
          </w:p>
        </w:tc>
        <w:tc>
          <w:tcPr>
            <w:tcW w:w="991" w:type="dxa"/>
            <w:tcBorders>
              <w:top w:val="nil"/>
              <w:left w:val="nil"/>
              <w:bottom w:val="single" w:sz="4" w:space="0" w:color="auto"/>
              <w:right w:val="single" w:sz="4" w:space="0" w:color="auto"/>
            </w:tcBorders>
            <w:shd w:val="clear" w:color="000000" w:fill="FFFFFF"/>
            <w:noWrap/>
            <w:vAlign w:val="bottom"/>
            <w:hideMark/>
          </w:tcPr>
          <w:p w14:paraId="78E8B736" w14:textId="77777777" w:rsidR="00B56301" w:rsidRPr="00364545" w:rsidRDefault="00B56301" w:rsidP="00B37B65">
            <w:pPr>
              <w:jc w:val="right"/>
              <w:rPr>
                <w:rFonts w:asciiTheme="minorHAnsi" w:hAnsiTheme="minorHAnsi"/>
                <w:sz w:val="16"/>
                <w:szCs w:val="16"/>
              </w:rPr>
            </w:pPr>
            <w:r w:rsidRPr="00364545">
              <w:rPr>
                <w:sz w:val="16"/>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12C990B9" w14:textId="77777777" w:rsidR="00B56301" w:rsidRPr="00364545" w:rsidRDefault="00B56301" w:rsidP="00B37B65">
            <w:pPr>
              <w:jc w:val="right"/>
              <w:rPr>
                <w:rFonts w:asciiTheme="minorHAnsi" w:hAnsiTheme="minorHAnsi"/>
                <w:sz w:val="16"/>
                <w:szCs w:val="16"/>
              </w:rPr>
            </w:pPr>
            <w:r w:rsidRPr="00364545">
              <w:rPr>
                <w:sz w:val="16"/>
              </w:rPr>
              <w:t>0,25</w:t>
            </w:r>
          </w:p>
        </w:tc>
        <w:tc>
          <w:tcPr>
            <w:tcW w:w="991" w:type="dxa"/>
            <w:tcBorders>
              <w:top w:val="nil"/>
              <w:left w:val="nil"/>
              <w:bottom w:val="single" w:sz="4" w:space="0" w:color="auto"/>
              <w:right w:val="single" w:sz="4" w:space="0" w:color="auto"/>
            </w:tcBorders>
            <w:shd w:val="clear" w:color="000000" w:fill="FFFFFF"/>
            <w:noWrap/>
            <w:vAlign w:val="bottom"/>
            <w:hideMark/>
          </w:tcPr>
          <w:p w14:paraId="59C1D7A8" w14:textId="77777777" w:rsidR="00B56301" w:rsidRPr="00364545" w:rsidRDefault="00B56301" w:rsidP="00B37B65">
            <w:pPr>
              <w:jc w:val="right"/>
              <w:rPr>
                <w:rFonts w:asciiTheme="minorHAnsi" w:hAnsiTheme="minorHAnsi"/>
                <w:sz w:val="16"/>
                <w:szCs w:val="16"/>
              </w:rPr>
            </w:pPr>
            <w:r w:rsidRPr="00364545">
              <w:rPr>
                <w:sz w:val="16"/>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7C7B28AF" w14:textId="77777777" w:rsidR="00B56301" w:rsidRPr="00364545" w:rsidRDefault="00B56301" w:rsidP="00B37B65">
            <w:pPr>
              <w:jc w:val="right"/>
              <w:rPr>
                <w:rFonts w:asciiTheme="minorHAnsi" w:hAnsiTheme="minorHAnsi"/>
                <w:sz w:val="16"/>
                <w:szCs w:val="16"/>
              </w:rPr>
            </w:pPr>
            <w:r w:rsidRPr="00364545">
              <w:rPr>
                <w:sz w:val="16"/>
              </w:rPr>
              <w:t>0,23</w:t>
            </w:r>
          </w:p>
        </w:tc>
      </w:tr>
      <w:tr w:rsidR="00B56301" w:rsidRPr="00364545" w14:paraId="13E7B0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EC6C17"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01FB7F48"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84EA73A"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6C722D25"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33AC373"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3068F8E8"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621A5F0" w14:textId="77777777" w:rsidR="00B56301" w:rsidRPr="00364545" w:rsidRDefault="00B56301" w:rsidP="00B37B65">
            <w:pPr>
              <w:jc w:val="right"/>
              <w:rPr>
                <w:rFonts w:asciiTheme="minorHAnsi" w:hAnsiTheme="minorHAnsi"/>
                <w:sz w:val="16"/>
                <w:szCs w:val="16"/>
              </w:rPr>
            </w:pPr>
            <w:r w:rsidRPr="00364545">
              <w:rPr>
                <w:sz w:val="16"/>
              </w:rPr>
              <w:t>NE</w:t>
            </w:r>
          </w:p>
        </w:tc>
      </w:tr>
      <w:tr w:rsidR="00B56301" w:rsidRPr="00364545" w14:paraId="00D7232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A7915D5" w14:textId="05812C3C"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5247566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CABF4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E19DFE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1AFDFE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2DC78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4D9196"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6D5803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6B5160" w14:textId="2FB5B620"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281DA60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77D4F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31702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7A7738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07340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646077"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E7932C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A550D2"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0C1A45A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6EF0EC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17C75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46E13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3A026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D7BB91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093FA1BA"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noWrap/>
            <w:vAlign w:val="center"/>
            <w:hideMark/>
          </w:tcPr>
          <w:p w14:paraId="6A9DBA55" w14:textId="3FB83D8A"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N</w:t>
            </w:r>
            <w:r w:rsidRPr="00364545">
              <w:rPr>
                <w:sz w:val="16"/>
                <w:vertAlign w:val="subscript"/>
              </w:rPr>
              <w:t>2</w:t>
            </w:r>
            <w:r w:rsidRPr="00364545">
              <w:rPr>
                <w:sz w:val="16"/>
              </w:rPr>
              <w:t xml:space="preserve">O </w:t>
            </w:r>
          </w:p>
        </w:tc>
        <w:tc>
          <w:tcPr>
            <w:tcW w:w="991" w:type="dxa"/>
            <w:tcBorders>
              <w:top w:val="nil"/>
              <w:left w:val="single" w:sz="4" w:space="0" w:color="auto"/>
              <w:bottom w:val="single" w:sz="4" w:space="0" w:color="auto"/>
              <w:right w:val="single" w:sz="4" w:space="0" w:color="auto"/>
            </w:tcBorders>
            <w:shd w:val="clear" w:color="000000" w:fill="FFFFFF"/>
            <w:noWrap/>
            <w:vAlign w:val="bottom"/>
            <w:hideMark/>
          </w:tcPr>
          <w:p w14:paraId="40023801"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02B5222"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8FABF0B"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67FB090"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BA53431"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BD01843"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53AB3A64"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92C18CF" w14:textId="7662DA26"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CO</w:t>
            </w:r>
            <w:r w:rsidRPr="00364545">
              <w:rPr>
                <w:sz w:val="16"/>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5BC0BEE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68678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C57939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6C4AAA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D4342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4E22B7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3C9E2E43"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888F18D" w14:textId="0B13B51A" w:rsidR="00B56301" w:rsidRPr="00364545" w:rsidRDefault="00B56301" w:rsidP="00B37B65">
            <w:pPr>
              <w:jc w:val="center"/>
              <w:rPr>
                <w:rFonts w:asciiTheme="minorHAnsi" w:hAnsiTheme="minorHAnsi"/>
                <w:b/>
                <w:bCs/>
                <w:sz w:val="16"/>
                <w:szCs w:val="16"/>
              </w:rPr>
            </w:pPr>
            <w:r w:rsidRPr="00364545">
              <w:rPr>
                <w:lang w:val="en-US"/>
              </w:rPr>
              <w:br w:type="page"/>
            </w:r>
            <w:r w:rsidRPr="00364545">
              <w:rPr>
                <w:rFonts w:asciiTheme="minorHAnsi" w:hAnsiTheme="minorHAnsi"/>
                <w:b/>
                <w:sz w:val="16"/>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8A79327" w14:textId="77777777" w:rsidR="00B56301" w:rsidRPr="00364545" w:rsidRDefault="00B56301" w:rsidP="00B37B65">
            <w:pPr>
              <w:jc w:val="center"/>
              <w:rPr>
                <w:rFonts w:asciiTheme="minorHAnsi" w:hAnsiTheme="minorHAnsi"/>
                <w:b/>
                <w:bCs/>
                <w:sz w:val="16"/>
                <w:szCs w:val="16"/>
              </w:rPr>
            </w:pPr>
            <w:r w:rsidRPr="00364545">
              <w:rPr>
                <w:b/>
                <w:sz w:val="16"/>
              </w:rPr>
              <w:t>2007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FC50C57" w14:textId="77777777" w:rsidR="00B56301" w:rsidRPr="00364545" w:rsidRDefault="00B56301" w:rsidP="00B37B65">
            <w:pPr>
              <w:jc w:val="center"/>
              <w:rPr>
                <w:rFonts w:asciiTheme="minorHAnsi" w:hAnsiTheme="minorHAnsi"/>
                <w:b/>
                <w:bCs/>
                <w:sz w:val="16"/>
                <w:szCs w:val="16"/>
              </w:rPr>
            </w:pPr>
            <w:r w:rsidRPr="00364545">
              <w:rPr>
                <w:b/>
                <w:sz w:val="16"/>
              </w:rPr>
              <w:t>2008</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5776940" w14:textId="77777777" w:rsidR="00B56301" w:rsidRPr="00364545" w:rsidRDefault="00B56301" w:rsidP="00B37B65">
            <w:pPr>
              <w:jc w:val="center"/>
              <w:rPr>
                <w:rFonts w:asciiTheme="minorHAnsi" w:hAnsiTheme="minorHAnsi"/>
                <w:b/>
                <w:bCs/>
                <w:sz w:val="16"/>
                <w:szCs w:val="16"/>
              </w:rPr>
            </w:pPr>
            <w:r w:rsidRPr="00364545">
              <w:rPr>
                <w:b/>
                <w:sz w:val="16"/>
              </w:rPr>
              <w:t>2009</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10DC200" w14:textId="77777777" w:rsidR="00B56301" w:rsidRPr="00364545" w:rsidRDefault="00B56301" w:rsidP="00B37B65">
            <w:pPr>
              <w:jc w:val="center"/>
              <w:rPr>
                <w:rFonts w:asciiTheme="minorHAnsi" w:hAnsiTheme="minorHAnsi"/>
                <w:b/>
                <w:bCs/>
                <w:sz w:val="16"/>
                <w:szCs w:val="16"/>
              </w:rPr>
            </w:pPr>
            <w:r w:rsidRPr="00364545">
              <w:rPr>
                <w:b/>
                <w:sz w:val="16"/>
              </w:rPr>
              <w:t>2010</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7D83652" w14:textId="77777777" w:rsidR="00B56301" w:rsidRPr="00364545" w:rsidRDefault="00B56301" w:rsidP="00B37B65">
            <w:pPr>
              <w:jc w:val="center"/>
              <w:rPr>
                <w:rFonts w:asciiTheme="minorHAnsi" w:hAnsiTheme="minorHAnsi"/>
                <w:b/>
                <w:bCs/>
                <w:sz w:val="16"/>
                <w:szCs w:val="16"/>
              </w:rPr>
            </w:pPr>
            <w:r w:rsidRPr="00364545">
              <w:rPr>
                <w:b/>
                <w:sz w:val="16"/>
              </w:rPr>
              <w:t>2011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CA8A3BD" w14:textId="77777777" w:rsidR="00B56301" w:rsidRPr="00364545" w:rsidRDefault="00B56301" w:rsidP="00B37B65">
            <w:pPr>
              <w:jc w:val="center"/>
              <w:rPr>
                <w:rFonts w:asciiTheme="minorHAnsi" w:hAnsiTheme="minorHAnsi"/>
                <w:b/>
                <w:bCs/>
                <w:sz w:val="16"/>
                <w:szCs w:val="16"/>
              </w:rPr>
            </w:pPr>
            <w:r w:rsidRPr="00364545">
              <w:rPr>
                <w:b/>
                <w:sz w:val="16"/>
              </w:rPr>
              <w:t>2012</w:t>
            </w:r>
          </w:p>
        </w:tc>
      </w:tr>
      <w:tr w:rsidR="00B56301" w:rsidRPr="00364545" w14:paraId="5C039A6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61A30F"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BB94906" w14:textId="77777777" w:rsidR="00B56301" w:rsidRPr="00364545" w:rsidRDefault="00B56301" w:rsidP="00B37B65">
            <w:pPr>
              <w:jc w:val="right"/>
              <w:rPr>
                <w:rFonts w:asciiTheme="minorHAnsi" w:hAnsiTheme="minorHAnsi"/>
                <w:sz w:val="16"/>
                <w:szCs w:val="16"/>
              </w:rPr>
            </w:pPr>
            <w:r w:rsidRPr="00364545">
              <w:rPr>
                <w:sz w:val="16"/>
              </w:rPr>
              <w:t>12,72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E332519" w14:textId="77777777" w:rsidR="00B56301" w:rsidRPr="00364545" w:rsidRDefault="00B56301" w:rsidP="00B37B65">
            <w:pPr>
              <w:jc w:val="right"/>
              <w:rPr>
                <w:rFonts w:asciiTheme="minorHAnsi" w:hAnsiTheme="minorHAnsi"/>
                <w:sz w:val="16"/>
                <w:szCs w:val="16"/>
              </w:rPr>
            </w:pPr>
            <w:r w:rsidRPr="00364545">
              <w:rPr>
                <w:sz w:val="16"/>
              </w:rPr>
              <w:t>12,70</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6B231994" w14:textId="77777777" w:rsidR="00B56301" w:rsidRPr="00364545" w:rsidRDefault="00B56301" w:rsidP="00B37B65">
            <w:pPr>
              <w:jc w:val="right"/>
              <w:rPr>
                <w:rFonts w:asciiTheme="minorHAnsi" w:hAnsiTheme="minorHAnsi"/>
                <w:sz w:val="16"/>
                <w:szCs w:val="16"/>
              </w:rPr>
            </w:pPr>
            <w:r w:rsidRPr="00364545">
              <w:rPr>
                <w:sz w:val="16"/>
              </w:rPr>
              <w:t>11,89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C993961" w14:textId="77777777" w:rsidR="00B56301" w:rsidRPr="00364545" w:rsidRDefault="00B56301" w:rsidP="00B37B65">
            <w:pPr>
              <w:jc w:val="right"/>
              <w:rPr>
                <w:rFonts w:asciiTheme="minorHAnsi" w:hAnsiTheme="minorHAnsi"/>
                <w:sz w:val="16"/>
                <w:szCs w:val="16"/>
              </w:rPr>
            </w:pPr>
            <w:r w:rsidRPr="00364545">
              <w:rPr>
                <w:sz w:val="16"/>
              </w:rPr>
              <w:t>12,21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D3B0665" w14:textId="77777777" w:rsidR="00B56301" w:rsidRPr="00364545" w:rsidRDefault="00B56301" w:rsidP="00B37B65">
            <w:pPr>
              <w:jc w:val="right"/>
              <w:rPr>
                <w:rFonts w:asciiTheme="minorHAnsi" w:hAnsiTheme="minorHAnsi"/>
                <w:sz w:val="16"/>
                <w:szCs w:val="16"/>
              </w:rPr>
            </w:pPr>
            <w:r w:rsidRPr="00364545">
              <w:rPr>
                <w:sz w:val="16"/>
              </w:rPr>
              <w:t>12,01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C712775" w14:textId="77777777" w:rsidR="00B56301" w:rsidRPr="00364545" w:rsidRDefault="00B56301" w:rsidP="00B37B65">
            <w:pPr>
              <w:jc w:val="right"/>
              <w:rPr>
                <w:rFonts w:asciiTheme="minorHAnsi" w:hAnsiTheme="minorHAnsi"/>
                <w:sz w:val="16"/>
                <w:szCs w:val="16"/>
              </w:rPr>
            </w:pPr>
            <w:r w:rsidRPr="00364545">
              <w:rPr>
                <w:sz w:val="16"/>
              </w:rPr>
              <w:t>12,33</w:t>
            </w:r>
          </w:p>
        </w:tc>
      </w:tr>
      <w:tr w:rsidR="00B56301" w:rsidRPr="00364545" w14:paraId="26451998"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1466424"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547C77F1" w14:textId="77777777" w:rsidR="00B56301" w:rsidRPr="00364545" w:rsidRDefault="00B56301" w:rsidP="00B37B65">
            <w:pPr>
              <w:jc w:val="right"/>
              <w:rPr>
                <w:rFonts w:asciiTheme="minorHAnsi" w:hAnsiTheme="minorHAnsi"/>
                <w:sz w:val="16"/>
                <w:szCs w:val="16"/>
              </w:rPr>
            </w:pPr>
            <w:r w:rsidRPr="00364545">
              <w:rPr>
                <w:sz w:val="16"/>
              </w:rPr>
              <w:t>12,54</w:t>
            </w:r>
          </w:p>
        </w:tc>
        <w:tc>
          <w:tcPr>
            <w:tcW w:w="991" w:type="dxa"/>
            <w:tcBorders>
              <w:top w:val="nil"/>
              <w:left w:val="nil"/>
              <w:bottom w:val="single" w:sz="4" w:space="0" w:color="auto"/>
              <w:right w:val="single" w:sz="4" w:space="0" w:color="auto"/>
            </w:tcBorders>
            <w:shd w:val="clear" w:color="000000" w:fill="CCFFFF"/>
            <w:noWrap/>
            <w:vAlign w:val="bottom"/>
            <w:hideMark/>
          </w:tcPr>
          <w:p w14:paraId="4612419A" w14:textId="77777777" w:rsidR="00B56301" w:rsidRPr="00364545" w:rsidRDefault="00B56301" w:rsidP="00B37B65">
            <w:pPr>
              <w:jc w:val="right"/>
              <w:rPr>
                <w:rFonts w:asciiTheme="minorHAnsi" w:hAnsiTheme="minorHAnsi"/>
                <w:sz w:val="16"/>
                <w:szCs w:val="16"/>
              </w:rPr>
            </w:pPr>
            <w:r w:rsidRPr="00364545">
              <w:rPr>
                <w:sz w:val="16"/>
              </w:rPr>
              <w:t>12,55</w:t>
            </w:r>
          </w:p>
        </w:tc>
        <w:tc>
          <w:tcPr>
            <w:tcW w:w="991" w:type="dxa"/>
            <w:tcBorders>
              <w:top w:val="nil"/>
              <w:left w:val="nil"/>
              <w:bottom w:val="single" w:sz="4" w:space="0" w:color="auto"/>
              <w:right w:val="single" w:sz="4" w:space="0" w:color="auto"/>
            </w:tcBorders>
            <w:shd w:val="clear" w:color="000000" w:fill="CCFFFF"/>
            <w:noWrap/>
            <w:vAlign w:val="bottom"/>
            <w:hideMark/>
          </w:tcPr>
          <w:p w14:paraId="456B7DBF" w14:textId="77777777" w:rsidR="00B56301" w:rsidRPr="00364545" w:rsidRDefault="00B56301" w:rsidP="00B37B65">
            <w:pPr>
              <w:jc w:val="right"/>
              <w:rPr>
                <w:rFonts w:asciiTheme="minorHAnsi" w:hAnsiTheme="minorHAnsi"/>
                <w:sz w:val="16"/>
                <w:szCs w:val="16"/>
              </w:rPr>
            </w:pPr>
            <w:r w:rsidRPr="00364545">
              <w:rPr>
                <w:sz w:val="16"/>
              </w:rPr>
              <w:t>11,73</w:t>
            </w:r>
          </w:p>
        </w:tc>
        <w:tc>
          <w:tcPr>
            <w:tcW w:w="991" w:type="dxa"/>
            <w:tcBorders>
              <w:top w:val="nil"/>
              <w:left w:val="nil"/>
              <w:bottom w:val="single" w:sz="4" w:space="0" w:color="auto"/>
              <w:right w:val="single" w:sz="4" w:space="0" w:color="auto"/>
            </w:tcBorders>
            <w:shd w:val="clear" w:color="000000" w:fill="CCFFFF"/>
            <w:noWrap/>
            <w:vAlign w:val="bottom"/>
            <w:hideMark/>
          </w:tcPr>
          <w:p w14:paraId="47C3E932" w14:textId="77777777" w:rsidR="00B56301" w:rsidRPr="00364545" w:rsidRDefault="00B56301" w:rsidP="00B37B65">
            <w:pPr>
              <w:jc w:val="right"/>
              <w:rPr>
                <w:rFonts w:asciiTheme="minorHAnsi" w:hAnsiTheme="minorHAnsi"/>
                <w:sz w:val="16"/>
                <w:szCs w:val="16"/>
              </w:rPr>
            </w:pPr>
            <w:r w:rsidRPr="00364545">
              <w:rPr>
                <w:sz w:val="16"/>
              </w:rPr>
              <w:t>12,08</w:t>
            </w:r>
          </w:p>
        </w:tc>
        <w:tc>
          <w:tcPr>
            <w:tcW w:w="991" w:type="dxa"/>
            <w:tcBorders>
              <w:top w:val="nil"/>
              <w:left w:val="nil"/>
              <w:bottom w:val="single" w:sz="4" w:space="0" w:color="auto"/>
              <w:right w:val="single" w:sz="4" w:space="0" w:color="auto"/>
            </w:tcBorders>
            <w:shd w:val="clear" w:color="000000" w:fill="CCFFFF"/>
            <w:noWrap/>
            <w:vAlign w:val="bottom"/>
            <w:hideMark/>
          </w:tcPr>
          <w:p w14:paraId="41D5F0B7" w14:textId="77777777" w:rsidR="00B56301" w:rsidRPr="00364545" w:rsidRDefault="00B56301" w:rsidP="00B37B65">
            <w:pPr>
              <w:jc w:val="right"/>
              <w:rPr>
                <w:rFonts w:asciiTheme="minorHAnsi" w:hAnsiTheme="minorHAnsi"/>
                <w:sz w:val="16"/>
                <w:szCs w:val="16"/>
              </w:rPr>
            </w:pPr>
            <w:r w:rsidRPr="00364545">
              <w:rPr>
                <w:sz w:val="16"/>
              </w:rPr>
              <w:t>11,94</w:t>
            </w:r>
          </w:p>
        </w:tc>
        <w:tc>
          <w:tcPr>
            <w:tcW w:w="991" w:type="dxa"/>
            <w:tcBorders>
              <w:top w:val="nil"/>
              <w:left w:val="nil"/>
              <w:bottom w:val="single" w:sz="4" w:space="0" w:color="auto"/>
              <w:right w:val="single" w:sz="4" w:space="0" w:color="auto"/>
            </w:tcBorders>
            <w:shd w:val="clear" w:color="000000" w:fill="CCFFFF"/>
            <w:noWrap/>
            <w:vAlign w:val="bottom"/>
            <w:hideMark/>
          </w:tcPr>
          <w:p w14:paraId="4780763F" w14:textId="77777777" w:rsidR="00B56301" w:rsidRPr="00364545" w:rsidRDefault="00B56301" w:rsidP="00B37B65">
            <w:pPr>
              <w:jc w:val="right"/>
              <w:rPr>
                <w:rFonts w:asciiTheme="minorHAnsi" w:hAnsiTheme="minorHAnsi"/>
                <w:sz w:val="16"/>
                <w:szCs w:val="16"/>
              </w:rPr>
            </w:pPr>
            <w:r w:rsidRPr="00364545">
              <w:rPr>
                <w:sz w:val="16"/>
              </w:rPr>
              <w:t>12,28</w:t>
            </w:r>
          </w:p>
        </w:tc>
      </w:tr>
      <w:tr w:rsidR="00B56301" w:rsidRPr="00364545" w14:paraId="5C84ACF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3F3935E" w14:textId="139FFF74"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72694AFF" w14:textId="77777777" w:rsidR="00B56301" w:rsidRPr="00364545" w:rsidRDefault="00B56301" w:rsidP="00B37B65">
            <w:pPr>
              <w:jc w:val="right"/>
              <w:rPr>
                <w:rFonts w:asciiTheme="minorHAnsi" w:hAnsiTheme="minorHAnsi"/>
                <w:sz w:val="16"/>
                <w:szCs w:val="16"/>
              </w:rPr>
            </w:pPr>
            <w:r w:rsidRPr="00364545">
              <w:rPr>
                <w:sz w:val="16"/>
              </w:rPr>
              <w:t>1,29</w:t>
            </w:r>
          </w:p>
        </w:tc>
        <w:tc>
          <w:tcPr>
            <w:tcW w:w="991" w:type="dxa"/>
            <w:tcBorders>
              <w:top w:val="nil"/>
              <w:left w:val="nil"/>
              <w:bottom w:val="single" w:sz="4" w:space="0" w:color="auto"/>
              <w:right w:val="single" w:sz="4" w:space="0" w:color="auto"/>
            </w:tcBorders>
            <w:shd w:val="clear" w:color="000000" w:fill="FFFFFF"/>
            <w:noWrap/>
            <w:vAlign w:val="bottom"/>
            <w:hideMark/>
          </w:tcPr>
          <w:p w14:paraId="4C6F0E46" w14:textId="77777777" w:rsidR="00B56301" w:rsidRPr="00364545" w:rsidRDefault="00B56301" w:rsidP="00B37B65">
            <w:pPr>
              <w:jc w:val="right"/>
              <w:rPr>
                <w:rFonts w:asciiTheme="minorHAnsi" w:hAnsiTheme="minorHAnsi"/>
                <w:sz w:val="16"/>
                <w:szCs w:val="16"/>
              </w:rPr>
            </w:pPr>
            <w:r w:rsidRPr="00364545">
              <w:rPr>
                <w:sz w:val="16"/>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5B837429" w14:textId="77777777" w:rsidR="00B56301" w:rsidRPr="00364545" w:rsidRDefault="00B56301" w:rsidP="00B37B65">
            <w:pPr>
              <w:jc w:val="right"/>
              <w:rPr>
                <w:rFonts w:asciiTheme="minorHAnsi" w:hAnsiTheme="minorHAnsi"/>
                <w:sz w:val="16"/>
                <w:szCs w:val="16"/>
              </w:rPr>
            </w:pPr>
            <w:r w:rsidRPr="00364545">
              <w:rPr>
                <w:sz w:val="16"/>
              </w:rPr>
              <w:t>1,25</w:t>
            </w:r>
          </w:p>
        </w:tc>
        <w:tc>
          <w:tcPr>
            <w:tcW w:w="991" w:type="dxa"/>
            <w:tcBorders>
              <w:top w:val="nil"/>
              <w:left w:val="nil"/>
              <w:bottom w:val="single" w:sz="4" w:space="0" w:color="auto"/>
              <w:right w:val="single" w:sz="4" w:space="0" w:color="auto"/>
            </w:tcBorders>
            <w:shd w:val="clear" w:color="000000" w:fill="FFFFFF"/>
            <w:noWrap/>
            <w:vAlign w:val="bottom"/>
            <w:hideMark/>
          </w:tcPr>
          <w:p w14:paraId="5D0C35D7" w14:textId="77777777" w:rsidR="00B56301" w:rsidRPr="00364545" w:rsidRDefault="00B56301" w:rsidP="00B37B65">
            <w:pPr>
              <w:jc w:val="right"/>
              <w:rPr>
                <w:rFonts w:asciiTheme="minorHAnsi" w:hAnsiTheme="minorHAnsi"/>
                <w:sz w:val="16"/>
                <w:szCs w:val="16"/>
              </w:rPr>
            </w:pPr>
            <w:r w:rsidRPr="00364545">
              <w:rPr>
                <w:sz w:val="16"/>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387A56FE" w14:textId="77777777" w:rsidR="00B56301" w:rsidRPr="00364545" w:rsidRDefault="00B56301" w:rsidP="00B37B65">
            <w:pPr>
              <w:jc w:val="right"/>
              <w:rPr>
                <w:rFonts w:asciiTheme="minorHAnsi" w:hAnsiTheme="minorHAnsi"/>
                <w:sz w:val="16"/>
                <w:szCs w:val="16"/>
              </w:rPr>
            </w:pPr>
            <w:r w:rsidRPr="00364545">
              <w:rPr>
                <w:sz w:val="16"/>
              </w:rPr>
              <w:t>1,10</w:t>
            </w:r>
          </w:p>
        </w:tc>
        <w:tc>
          <w:tcPr>
            <w:tcW w:w="991" w:type="dxa"/>
            <w:tcBorders>
              <w:top w:val="nil"/>
              <w:left w:val="nil"/>
              <w:bottom w:val="single" w:sz="4" w:space="0" w:color="auto"/>
              <w:right w:val="single" w:sz="4" w:space="0" w:color="auto"/>
            </w:tcBorders>
            <w:shd w:val="clear" w:color="000000" w:fill="FFFFFF"/>
            <w:noWrap/>
            <w:vAlign w:val="bottom"/>
            <w:hideMark/>
          </w:tcPr>
          <w:p w14:paraId="4868189A" w14:textId="77777777" w:rsidR="00B56301" w:rsidRPr="00364545" w:rsidRDefault="00B56301" w:rsidP="00B37B65">
            <w:pPr>
              <w:jc w:val="right"/>
              <w:rPr>
                <w:rFonts w:asciiTheme="minorHAnsi" w:hAnsiTheme="minorHAnsi"/>
                <w:sz w:val="16"/>
                <w:szCs w:val="16"/>
              </w:rPr>
            </w:pPr>
            <w:r w:rsidRPr="00364545">
              <w:rPr>
                <w:sz w:val="16"/>
              </w:rPr>
              <w:t>1,23</w:t>
            </w:r>
          </w:p>
        </w:tc>
      </w:tr>
      <w:tr w:rsidR="00B56301" w:rsidRPr="00364545" w14:paraId="029CA05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8ECD546" w14:textId="7C17B098"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60BED231" w14:textId="77777777" w:rsidR="00B56301" w:rsidRPr="00364545" w:rsidRDefault="00B56301" w:rsidP="00B37B65">
            <w:pPr>
              <w:jc w:val="right"/>
              <w:rPr>
                <w:rFonts w:asciiTheme="minorHAnsi" w:hAnsiTheme="minorHAnsi"/>
                <w:sz w:val="16"/>
                <w:szCs w:val="16"/>
              </w:rPr>
            </w:pPr>
            <w:r w:rsidRPr="00364545">
              <w:rPr>
                <w:sz w:val="16"/>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139293FF" w14:textId="77777777" w:rsidR="00B56301" w:rsidRPr="00364545" w:rsidRDefault="00B56301" w:rsidP="00B37B65">
            <w:pPr>
              <w:jc w:val="right"/>
              <w:rPr>
                <w:rFonts w:asciiTheme="minorHAnsi" w:hAnsiTheme="minorHAnsi"/>
                <w:sz w:val="16"/>
                <w:szCs w:val="16"/>
              </w:rPr>
            </w:pPr>
            <w:r w:rsidRPr="00364545">
              <w:rPr>
                <w:sz w:val="16"/>
              </w:rPr>
              <w:t>1,66</w:t>
            </w:r>
          </w:p>
        </w:tc>
        <w:tc>
          <w:tcPr>
            <w:tcW w:w="991" w:type="dxa"/>
            <w:tcBorders>
              <w:top w:val="nil"/>
              <w:left w:val="nil"/>
              <w:bottom w:val="single" w:sz="4" w:space="0" w:color="auto"/>
              <w:right w:val="single" w:sz="4" w:space="0" w:color="auto"/>
            </w:tcBorders>
            <w:shd w:val="clear" w:color="000000" w:fill="FFFFFF"/>
            <w:noWrap/>
            <w:vAlign w:val="bottom"/>
            <w:hideMark/>
          </w:tcPr>
          <w:p w14:paraId="79444A37" w14:textId="77777777" w:rsidR="00B56301" w:rsidRPr="00364545" w:rsidRDefault="00B56301" w:rsidP="00B37B65">
            <w:pPr>
              <w:jc w:val="right"/>
              <w:rPr>
                <w:rFonts w:asciiTheme="minorHAnsi" w:hAnsiTheme="minorHAnsi"/>
                <w:sz w:val="16"/>
                <w:szCs w:val="16"/>
              </w:rPr>
            </w:pPr>
            <w:r w:rsidRPr="00364545">
              <w:rPr>
                <w:sz w:val="16"/>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4BE0231B" w14:textId="77777777" w:rsidR="00B56301" w:rsidRPr="00364545" w:rsidRDefault="00B56301" w:rsidP="00B37B65">
            <w:pPr>
              <w:jc w:val="right"/>
              <w:rPr>
                <w:rFonts w:asciiTheme="minorHAnsi" w:hAnsiTheme="minorHAnsi"/>
                <w:sz w:val="16"/>
                <w:szCs w:val="16"/>
              </w:rPr>
            </w:pPr>
            <w:r w:rsidRPr="00364545">
              <w:rPr>
                <w:sz w:val="16"/>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70AF97D9" w14:textId="77777777" w:rsidR="00B56301" w:rsidRPr="00364545" w:rsidRDefault="00B56301" w:rsidP="00B37B65">
            <w:pPr>
              <w:jc w:val="right"/>
              <w:rPr>
                <w:rFonts w:asciiTheme="minorHAnsi" w:hAnsiTheme="minorHAnsi"/>
                <w:sz w:val="16"/>
                <w:szCs w:val="16"/>
              </w:rPr>
            </w:pPr>
            <w:r w:rsidRPr="00364545">
              <w:rPr>
                <w:sz w:val="16"/>
              </w:rPr>
              <w:t>1,76</w:t>
            </w:r>
          </w:p>
        </w:tc>
        <w:tc>
          <w:tcPr>
            <w:tcW w:w="991" w:type="dxa"/>
            <w:tcBorders>
              <w:top w:val="nil"/>
              <w:left w:val="nil"/>
              <w:bottom w:val="single" w:sz="4" w:space="0" w:color="auto"/>
              <w:right w:val="single" w:sz="4" w:space="0" w:color="auto"/>
            </w:tcBorders>
            <w:shd w:val="clear" w:color="000000" w:fill="FFFFFF"/>
            <w:noWrap/>
            <w:vAlign w:val="bottom"/>
            <w:hideMark/>
          </w:tcPr>
          <w:p w14:paraId="1B616642" w14:textId="77777777" w:rsidR="00B56301" w:rsidRPr="00364545" w:rsidRDefault="00B56301" w:rsidP="00B37B65">
            <w:pPr>
              <w:jc w:val="right"/>
              <w:rPr>
                <w:rFonts w:asciiTheme="minorHAnsi" w:hAnsiTheme="minorHAnsi"/>
                <w:sz w:val="16"/>
                <w:szCs w:val="16"/>
              </w:rPr>
            </w:pPr>
            <w:r w:rsidRPr="00364545">
              <w:rPr>
                <w:sz w:val="16"/>
              </w:rPr>
              <w:t>1,76</w:t>
            </w:r>
          </w:p>
        </w:tc>
      </w:tr>
      <w:tr w:rsidR="00B56301" w:rsidRPr="00364545" w14:paraId="3012BBC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C0AD9B" w14:textId="33DEC4E9"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3. 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73D0F863" w14:textId="77777777" w:rsidR="00B56301" w:rsidRPr="00364545" w:rsidRDefault="00B56301" w:rsidP="00B37B65">
            <w:pPr>
              <w:jc w:val="right"/>
              <w:rPr>
                <w:rFonts w:asciiTheme="minorHAnsi" w:hAnsiTheme="minorHAnsi"/>
                <w:sz w:val="16"/>
                <w:szCs w:val="16"/>
              </w:rPr>
            </w:pPr>
            <w:r w:rsidRPr="00364545">
              <w:rPr>
                <w:sz w:val="16"/>
              </w:rPr>
              <w:t>4,73</w:t>
            </w:r>
          </w:p>
        </w:tc>
        <w:tc>
          <w:tcPr>
            <w:tcW w:w="991" w:type="dxa"/>
            <w:tcBorders>
              <w:top w:val="nil"/>
              <w:left w:val="nil"/>
              <w:bottom w:val="single" w:sz="4" w:space="0" w:color="auto"/>
              <w:right w:val="single" w:sz="4" w:space="0" w:color="auto"/>
            </w:tcBorders>
            <w:shd w:val="clear" w:color="000000" w:fill="FFFFFF"/>
            <w:noWrap/>
            <w:vAlign w:val="bottom"/>
            <w:hideMark/>
          </w:tcPr>
          <w:p w14:paraId="32D5E015" w14:textId="77777777" w:rsidR="00B56301" w:rsidRPr="00364545" w:rsidRDefault="00B56301" w:rsidP="00B37B65">
            <w:pPr>
              <w:jc w:val="right"/>
              <w:rPr>
                <w:rFonts w:asciiTheme="minorHAnsi" w:hAnsiTheme="minorHAnsi"/>
                <w:sz w:val="16"/>
                <w:szCs w:val="16"/>
              </w:rPr>
            </w:pPr>
            <w:r w:rsidRPr="00364545">
              <w:rPr>
                <w:sz w:val="16"/>
              </w:rPr>
              <w:t>4,62</w:t>
            </w:r>
          </w:p>
        </w:tc>
        <w:tc>
          <w:tcPr>
            <w:tcW w:w="991" w:type="dxa"/>
            <w:tcBorders>
              <w:top w:val="nil"/>
              <w:left w:val="nil"/>
              <w:bottom w:val="single" w:sz="4" w:space="0" w:color="auto"/>
              <w:right w:val="single" w:sz="4" w:space="0" w:color="auto"/>
            </w:tcBorders>
            <w:shd w:val="clear" w:color="000000" w:fill="FFFFFF"/>
            <w:noWrap/>
            <w:vAlign w:val="bottom"/>
            <w:hideMark/>
          </w:tcPr>
          <w:p w14:paraId="520251AE" w14:textId="77777777" w:rsidR="00B56301" w:rsidRPr="00364545" w:rsidRDefault="00B56301" w:rsidP="00B37B65">
            <w:pPr>
              <w:jc w:val="right"/>
              <w:rPr>
                <w:rFonts w:asciiTheme="minorHAnsi" w:hAnsiTheme="minorHAnsi"/>
                <w:sz w:val="16"/>
                <w:szCs w:val="16"/>
              </w:rPr>
            </w:pPr>
            <w:r w:rsidRPr="00364545">
              <w:rPr>
                <w:sz w:val="16"/>
              </w:rPr>
              <w:t>4,05</w:t>
            </w:r>
          </w:p>
        </w:tc>
        <w:tc>
          <w:tcPr>
            <w:tcW w:w="991" w:type="dxa"/>
            <w:tcBorders>
              <w:top w:val="nil"/>
              <w:left w:val="nil"/>
              <w:bottom w:val="single" w:sz="4" w:space="0" w:color="auto"/>
              <w:right w:val="single" w:sz="4" w:space="0" w:color="auto"/>
            </w:tcBorders>
            <w:shd w:val="clear" w:color="000000" w:fill="FFFFFF"/>
            <w:noWrap/>
            <w:vAlign w:val="bottom"/>
            <w:hideMark/>
          </w:tcPr>
          <w:p w14:paraId="3E046810" w14:textId="77777777" w:rsidR="00B56301" w:rsidRPr="00364545" w:rsidRDefault="00B56301" w:rsidP="00B37B65">
            <w:pPr>
              <w:jc w:val="right"/>
              <w:rPr>
                <w:rFonts w:asciiTheme="minorHAnsi" w:hAnsiTheme="minorHAnsi"/>
                <w:sz w:val="16"/>
                <w:szCs w:val="16"/>
              </w:rPr>
            </w:pPr>
            <w:r w:rsidRPr="00364545">
              <w:rPr>
                <w:sz w:val="16"/>
              </w:rPr>
              <w:t>4,20</w:t>
            </w:r>
          </w:p>
        </w:tc>
        <w:tc>
          <w:tcPr>
            <w:tcW w:w="991" w:type="dxa"/>
            <w:tcBorders>
              <w:top w:val="nil"/>
              <w:left w:val="nil"/>
              <w:bottom w:val="single" w:sz="4" w:space="0" w:color="auto"/>
              <w:right w:val="single" w:sz="4" w:space="0" w:color="auto"/>
            </w:tcBorders>
            <w:shd w:val="clear" w:color="000000" w:fill="FFFFFF"/>
            <w:noWrap/>
            <w:vAlign w:val="bottom"/>
            <w:hideMark/>
          </w:tcPr>
          <w:p w14:paraId="4A18FE36" w14:textId="77777777" w:rsidR="00B56301" w:rsidRPr="00364545" w:rsidRDefault="00B56301" w:rsidP="00B37B65">
            <w:pPr>
              <w:jc w:val="right"/>
              <w:rPr>
                <w:rFonts w:asciiTheme="minorHAnsi" w:hAnsiTheme="minorHAnsi"/>
                <w:sz w:val="16"/>
                <w:szCs w:val="16"/>
              </w:rPr>
            </w:pPr>
            <w:r w:rsidRPr="00364545">
              <w:rPr>
                <w:sz w:val="16"/>
              </w:rPr>
              <w:t>4,33</w:t>
            </w:r>
          </w:p>
        </w:tc>
        <w:tc>
          <w:tcPr>
            <w:tcW w:w="991" w:type="dxa"/>
            <w:tcBorders>
              <w:top w:val="nil"/>
              <w:left w:val="nil"/>
              <w:bottom w:val="single" w:sz="4" w:space="0" w:color="auto"/>
              <w:right w:val="single" w:sz="4" w:space="0" w:color="auto"/>
            </w:tcBorders>
            <w:shd w:val="clear" w:color="000000" w:fill="FFFFFF"/>
            <w:noWrap/>
            <w:vAlign w:val="bottom"/>
            <w:hideMark/>
          </w:tcPr>
          <w:p w14:paraId="3BDD33A3" w14:textId="77777777" w:rsidR="00B56301" w:rsidRPr="00364545" w:rsidRDefault="00B56301" w:rsidP="00B37B65">
            <w:pPr>
              <w:jc w:val="right"/>
              <w:rPr>
                <w:rFonts w:asciiTheme="minorHAnsi" w:hAnsiTheme="minorHAnsi"/>
                <w:sz w:val="16"/>
                <w:szCs w:val="16"/>
              </w:rPr>
            </w:pPr>
            <w:r w:rsidRPr="00364545">
              <w:rPr>
                <w:sz w:val="16"/>
              </w:rPr>
              <w:t>4,48</w:t>
            </w:r>
          </w:p>
        </w:tc>
      </w:tr>
      <w:tr w:rsidR="00B56301" w:rsidRPr="00364545" w14:paraId="240D249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BA6050" w14:textId="0434E4B5"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4. 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5E0DBE8B" w14:textId="77777777" w:rsidR="00B56301" w:rsidRPr="00364545" w:rsidRDefault="00B56301" w:rsidP="00B37B65">
            <w:pPr>
              <w:jc w:val="right"/>
              <w:rPr>
                <w:rFonts w:asciiTheme="minorHAnsi" w:hAnsiTheme="minorHAnsi"/>
                <w:sz w:val="16"/>
                <w:szCs w:val="16"/>
              </w:rPr>
            </w:pPr>
            <w:r w:rsidRPr="00364545">
              <w:rPr>
                <w:sz w:val="16"/>
              </w:rPr>
              <w:t>4,65</w:t>
            </w:r>
          </w:p>
        </w:tc>
        <w:tc>
          <w:tcPr>
            <w:tcW w:w="991" w:type="dxa"/>
            <w:tcBorders>
              <w:top w:val="nil"/>
              <w:left w:val="nil"/>
              <w:bottom w:val="single" w:sz="4" w:space="0" w:color="auto"/>
              <w:right w:val="single" w:sz="4" w:space="0" w:color="auto"/>
            </w:tcBorders>
            <w:shd w:val="clear" w:color="000000" w:fill="FFFFFF"/>
            <w:noWrap/>
            <w:vAlign w:val="bottom"/>
            <w:hideMark/>
          </w:tcPr>
          <w:p w14:paraId="5053C066" w14:textId="77777777" w:rsidR="00B56301" w:rsidRPr="00364545" w:rsidRDefault="00B56301" w:rsidP="00B37B65">
            <w:pPr>
              <w:jc w:val="right"/>
              <w:rPr>
                <w:rFonts w:asciiTheme="minorHAnsi" w:hAnsiTheme="minorHAnsi"/>
                <w:sz w:val="16"/>
                <w:szCs w:val="16"/>
              </w:rPr>
            </w:pPr>
            <w:r w:rsidRPr="00364545">
              <w:rPr>
                <w:sz w:val="16"/>
              </w:rPr>
              <w:t>4,90</w:t>
            </w:r>
          </w:p>
        </w:tc>
        <w:tc>
          <w:tcPr>
            <w:tcW w:w="991" w:type="dxa"/>
            <w:tcBorders>
              <w:top w:val="nil"/>
              <w:left w:val="nil"/>
              <w:bottom w:val="single" w:sz="4" w:space="0" w:color="auto"/>
              <w:right w:val="single" w:sz="4" w:space="0" w:color="auto"/>
            </w:tcBorders>
            <w:shd w:val="clear" w:color="000000" w:fill="FFFFFF"/>
            <w:noWrap/>
            <w:vAlign w:val="bottom"/>
            <w:hideMark/>
          </w:tcPr>
          <w:p w14:paraId="3808E418" w14:textId="77777777" w:rsidR="00B56301" w:rsidRPr="00364545" w:rsidRDefault="00B56301" w:rsidP="00B37B65">
            <w:pPr>
              <w:jc w:val="right"/>
              <w:rPr>
                <w:rFonts w:asciiTheme="minorHAnsi" w:hAnsiTheme="minorHAnsi"/>
                <w:sz w:val="16"/>
                <w:szCs w:val="16"/>
              </w:rPr>
            </w:pPr>
            <w:r w:rsidRPr="00364545">
              <w:rPr>
                <w:sz w:val="16"/>
              </w:rPr>
              <w:t>4,99</w:t>
            </w:r>
          </w:p>
        </w:tc>
        <w:tc>
          <w:tcPr>
            <w:tcW w:w="991" w:type="dxa"/>
            <w:tcBorders>
              <w:top w:val="nil"/>
              <w:left w:val="nil"/>
              <w:bottom w:val="single" w:sz="4" w:space="0" w:color="auto"/>
              <w:right w:val="single" w:sz="4" w:space="0" w:color="auto"/>
            </w:tcBorders>
            <w:shd w:val="clear" w:color="000000" w:fill="FFFFFF"/>
            <w:noWrap/>
            <w:vAlign w:val="bottom"/>
            <w:hideMark/>
          </w:tcPr>
          <w:p w14:paraId="48233ACB" w14:textId="77777777" w:rsidR="00B56301" w:rsidRPr="00364545" w:rsidRDefault="00B56301" w:rsidP="00B37B65">
            <w:pPr>
              <w:jc w:val="right"/>
              <w:rPr>
                <w:rFonts w:asciiTheme="minorHAnsi" w:hAnsiTheme="minorHAnsi"/>
                <w:sz w:val="16"/>
                <w:szCs w:val="16"/>
              </w:rPr>
            </w:pPr>
            <w:r w:rsidRPr="00364545">
              <w:rPr>
                <w:sz w:val="16"/>
              </w:rPr>
              <w:t>4,94</w:t>
            </w:r>
          </w:p>
        </w:tc>
        <w:tc>
          <w:tcPr>
            <w:tcW w:w="991" w:type="dxa"/>
            <w:tcBorders>
              <w:top w:val="nil"/>
              <w:left w:val="nil"/>
              <w:bottom w:val="single" w:sz="4" w:space="0" w:color="auto"/>
              <w:right w:val="single" w:sz="4" w:space="0" w:color="auto"/>
            </w:tcBorders>
            <w:shd w:val="clear" w:color="000000" w:fill="FFFFFF"/>
            <w:noWrap/>
            <w:vAlign w:val="bottom"/>
            <w:hideMark/>
          </w:tcPr>
          <w:p w14:paraId="0A9361EE" w14:textId="77777777" w:rsidR="00B56301" w:rsidRPr="00364545" w:rsidRDefault="00B56301" w:rsidP="00B37B65">
            <w:pPr>
              <w:jc w:val="right"/>
              <w:rPr>
                <w:rFonts w:asciiTheme="minorHAnsi" w:hAnsiTheme="minorHAnsi"/>
                <w:sz w:val="16"/>
                <w:szCs w:val="16"/>
              </w:rPr>
            </w:pPr>
            <w:r w:rsidRPr="00364545">
              <w:rPr>
                <w:sz w:val="16"/>
              </w:rPr>
              <w:t>4,69</w:t>
            </w:r>
          </w:p>
        </w:tc>
        <w:tc>
          <w:tcPr>
            <w:tcW w:w="991" w:type="dxa"/>
            <w:tcBorders>
              <w:top w:val="nil"/>
              <w:left w:val="nil"/>
              <w:bottom w:val="single" w:sz="4" w:space="0" w:color="auto"/>
              <w:right w:val="single" w:sz="4" w:space="0" w:color="auto"/>
            </w:tcBorders>
            <w:shd w:val="clear" w:color="000000" w:fill="FFFFFF"/>
            <w:noWrap/>
            <w:vAlign w:val="bottom"/>
            <w:hideMark/>
          </w:tcPr>
          <w:p w14:paraId="53209551" w14:textId="77777777" w:rsidR="00B56301" w:rsidRPr="00364545" w:rsidRDefault="00B56301" w:rsidP="00B37B65">
            <w:pPr>
              <w:jc w:val="right"/>
              <w:rPr>
                <w:rFonts w:asciiTheme="minorHAnsi" w:hAnsiTheme="minorHAnsi"/>
                <w:sz w:val="16"/>
                <w:szCs w:val="16"/>
              </w:rPr>
            </w:pPr>
            <w:r w:rsidRPr="00364545">
              <w:rPr>
                <w:sz w:val="16"/>
              </w:rPr>
              <w:t>4,76</w:t>
            </w:r>
          </w:p>
        </w:tc>
      </w:tr>
      <w:tr w:rsidR="00B56301" w:rsidRPr="00364545" w14:paraId="540E9D3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405D83" w14:textId="7C36A0DB"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5. Other</w:t>
            </w:r>
          </w:p>
        </w:tc>
        <w:tc>
          <w:tcPr>
            <w:tcW w:w="991" w:type="dxa"/>
            <w:tcBorders>
              <w:top w:val="nil"/>
              <w:left w:val="nil"/>
              <w:bottom w:val="single" w:sz="4" w:space="0" w:color="auto"/>
              <w:right w:val="single" w:sz="4" w:space="0" w:color="auto"/>
            </w:tcBorders>
            <w:shd w:val="clear" w:color="000000" w:fill="FFFFFF"/>
            <w:noWrap/>
            <w:vAlign w:val="bottom"/>
            <w:hideMark/>
          </w:tcPr>
          <w:p w14:paraId="6B504314"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012A43F7"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4D7E0B35"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7780DE19"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25D55554"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04372EE4" w14:textId="77777777" w:rsidR="00B56301" w:rsidRPr="00364545" w:rsidRDefault="00B56301" w:rsidP="00B37B65">
            <w:pPr>
              <w:jc w:val="right"/>
              <w:rPr>
                <w:rFonts w:asciiTheme="minorHAnsi" w:hAnsiTheme="minorHAnsi"/>
                <w:sz w:val="16"/>
                <w:szCs w:val="16"/>
              </w:rPr>
            </w:pPr>
            <w:r w:rsidRPr="00364545">
              <w:rPr>
                <w:sz w:val="16"/>
              </w:rPr>
              <w:t>0,05</w:t>
            </w:r>
          </w:p>
        </w:tc>
      </w:tr>
      <w:tr w:rsidR="00B56301" w:rsidRPr="00364545" w14:paraId="6CA4AB6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FB2569E"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07B1CD1C" w14:textId="77777777" w:rsidR="00B56301" w:rsidRPr="00364545" w:rsidRDefault="00B56301" w:rsidP="00B37B65">
            <w:pPr>
              <w:jc w:val="right"/>
              <w:rPr>
                <w:rFonts w:asciiTheme="minorHAnsi" w:hAnsiTheme="minorHAnsi"/>
                <w:sz w:val="16"/>
                <w:szCs w:val="16"/>
              </w:rPr>
            </w:pPr>
            <w:r w:rsidRPr="00364545">
              <w:rPr>
                <w:sz w:val="16"/>
              </w:rPr>
              <w:t>0,18</w:t>
            </w:r>
          </w:p>
        </w:tc>
        <w:tc>
          <w:tcPr>
            <w:tcW w:w="991" w:type="dxa"/>
            <w:tcBorders>
              <w:top w:val="nil"/>
              <w:left w:val="nil"/>
              <w:bottom w:val="single" w:sz="4" w:space="0" w:color="auto"/>
              <w:right w:val="single" w:sz="4" w:space="0" w:color="auto"/>
            </w:tcBorders>
            <w:shd w:val="clear" w:color="000000" w:fill="CCFFFF"/>
            <w:noWrap/>
            <w:vAlign w:val="bottom"/>
            <w:hideMark/>
          </w:tcPr>
          <w:p w14:paraId="4B165941" w14:textId="77777777" w:rsidR="00B56301" w:rsidRPr="00364545" w:rsidRDefault="00B56301" w:rsidP="00B37B65">
            <w:pPr>
              <w:jc w:val="right"/>
              <w:rPr>
                <w:rFonts w:asciiTheme="minorHAnsi" w:hAnsiTheme="minorHAnsi"/>
                <w:sz w:val="16"/>
                <w:szCs w:val="16"/>
              </w:rPr>
            </w:pPr>
            <w:r w:rsidRPr="00364545">
              <w:rPr>
                <w:sz w:val="16"/>
              </w:rPr>
              <w:t>0,15</w:t>
            </w:r>
          </w:p>
        </w:tc>
        <w:tc>
          <w:tcPr>
            <w:tcW w:w="991" w:type="dxa"/>
            <w:tcBorders>
              <w:top w:val="nil"/>
              <w:left w:val="nil"/>
              <w:bottom w:val="single" w:sz="4" w:space="0" w:color="auto"/>
              <w:right w:val="single" w:sz="4" w:space="0" w:color="auto"/>
            </w:tcBorders>
            <w:shd w:val="clear" w:color="000000" w:fill="CCFFFF"/>
            <w:noWrap/>
            <w:vAlign w:val="bottom"/>
            <w:hideMark/>
          </w:tcPr>
          <w:p w14:paraId="336AE14A" w14:textId="77777777" w:rsidR="00B56301" w:rsidRPr="00364545" w:rsidRDefault="00B56301" w:rsidP="00B37B65">
            <w:pPr>
              <w:jc w:val="right"/>
              <w:rPr>
                <w:rFonts w:asciiTheme="minorHAnsi" w:hAnsiTheme="minorHAnsi"/>
                <w:sz w:val="16"/>
                <w:szCs w:val="16"/>
              </w:rPr>
            </w:pPr>
            <w:r w:rsidRPr="00364545">
              <w:rPr>
                <w:sz w:val="16"/>
              </w:rPr>
              <w:t>0,16</w:t>
            </w:r>
          </w:p>
        </w:tc>
        <w:tc>
          <w:tcPr>
            <w:tcW w:w="991" w:type="dxa"/>
            <w:tcBorders>
              <w:top w:val="nil"/>
              <w:left w:val="nil"/>
              <w:bottom w:val="single" w:sz="4" w:space="0" w:color="auto"/>
              <w:right w:val="single" w:sz="4" w:space="0" w:color="auto"/>
            </w:tcBorders>
            <w:shd w:val="clear" w:color="000000" w:fill="CCFFFF"/>
            <w:noWrap/>
            <w:vAlign w:val="bottom"/>
            <w:hideMark/>
          </w:tcPr>
          <w:p w14:paraId="2651A315" w14:textId="77777777" w:rsidR="00B56301" w:rsidRPr="00364545" w:rsidRDefault="00B56301" w:rsidP="00B37B65">
            <w:pPr>
              <w:jc w:val="right"/>
              <w:rPr>
                <w:rFonts w:asciiTheme="minorHAnsi" w:hAnsiTheme="minorHAnsi"/>
                <w:sz w:val="16"/>
                <w:szCs w:val="16"/>
              </w:rPr>
            </w:pPr>
            <w:r w:rsidRPr="00364545">
              <w:rPr>
                <w:sz w:val="16"/>
              </w:rPr>
              <w:t>0,13</w:t>
            </w:r>
          </w:p>
        </w:tc>
        <w:tc>
          <w:tcPr>
            <w:tcW w:w="991" w:type="dxa"/>
            <w:tcBorders>
              <w:top w:val="nil"/>
              <w:left w:val="nil"/>
              <w:bottom w:val="single" w:sz="4" w:space="0" w:color="auto"/>
              <w:right w:val="single" w:sz="4" w:space="0" w:color="auto"/>
            </w:tcBorders>
            <w:shd w:val="clear" w:color="000000" w:fill="CCFFFF"/>
            <w:noWrap/>
            <w:vAlign w:val="bottom"/>
            <w:hideMark/>
          </w:tcPr>
          <w:p w14:paraId="24EA363F" w14:textId="77777777" w:rsidR="00B56301" w:rsidRPr="00364545" w:rsidRDefault="00B56301" w:rsidP="00B37B65">
            <w:pPr>
              <w:jc w:val="right"/>
              <w:rPr>
                <w:rFonts w:asciiTheme="minorHAnsi" w:hAnsiTheme="minorHAnsi"/>
                <w:sz w:val="16"/>
                <w:szCs w:val="16"/>
              </w:rPr>
            </w:pPr>
            <w:r w:rsidRPr="00364545">
              <w:rPr>
                <w:sz w:val="16"/>
              </w:rPr>
              <w:t>0,06</w:t>
            </w:r>
          </w:p>
        </w:tc>
        <w:tc>
          <w:tcPr>
            <w:tcW w:w="991" w:type="dxa"/>
            <w:tcBorders>
              <w:top w:val="nil"/>
              <w:left w:val="nil"/>
              <w:bottom w:val="single" w:sz="4" w:space="0" w:color="auto"/>
              <w:right w:val="single" w:sz="4" w:space="0" w:color="auto"/>
            </w:tcBorders>
            <w:shd w:val="clear" w:color="000000" w:fill="CCFFFF"/>
            <w:noWrap/>
            <w:vAlign w:val="bottom"/>
            <w:hideMark/>
          </w:tcPr>
          <w:p w14:paraId="482FCBA7" w14:textId="77777777" w:rsidR="00B56301" w:rsidRPr="00364545" w:rsidRDefault="00B56301" w:rsidP="00B37B65">
            <w:pPr>
              <w:jc w:val="right"/>
              <w:rPr>
                <w:rFonts w:asciiTheme="minorHAnsi" w:hAnsiTheme="minorHAnsi"/>
                <w:sz w:val="16"/>
                <w:szCs w:val="16"/>
              </w:rPr>
            </w:pPr>
            <w:r w:rsidRPr="00364545">
              <w:rPr>
                <w:sz w:val="16"/>
              </w:rPr>
              <w:t>0,05</w:t>
            </w:r>
          </w:p>
        </w:tc>
      </w:tr>
      <w:tr w:rsidR="00B56301" w:rsidRPr="00364545" w14:paraId="53AF131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511B57" w14:textId="56C5FF19"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369288A3"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2E909940"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7C540363"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E12F6AF"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788E6C04"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AD2CA7F"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160E3F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7D73CF" w14:textId="04D84092"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2DD0CD74" w14:textId="77777777" w:rsidR="00B56301" w:rsidRPr="00364545" w:rsidRDefault="00B56301" w:rsidP="00B37B65">
            <w:pPr>
              <w:jc w:val="right"/>
              <w:rPr>
                <w:rFonts w:asciiTheme="minorHAnsi" w:hAnsiTheme="minorHAnsi"/>
                <w:sz w:val="16"/>
                <w:szCs w:val="16"/>
              </w:rPr>
            </w:pPr>
            <w:r w:rsidRPr="00364545">
              <w:rPr>
                <w:sz w:val="16"/>
              </w:rPr>
              <w:t>0,18</w:t>
            </w:r>
          </w:p>
        </w:tc>
        <w:tc>
          <w:tcPr>
            <w:tcW w:w="991" w:type="dxa"/>
            <w:tcBorders>
              <w:top w:val="nil"/>
              <w:left w:val="nil"/>
              <w:bottom w:val="single" w:sz="4" w:space="0" w:color="auto"/>
              <w:right w:val="single" w:sz="4" w:space="0" w:color="auto"/>
            </w:tcBorders>
            <w:shd w:val="clear" w:color="000000" w:fill="FFFFFF"/>
            <w:noWrap/>
            <w:vAlign w:val="bottom"/>
            <w:hideMark/>
          </w:tcPr>
          <w:p w14:paraId="3E669B5B" w14:textId="77777777" w:rsidR="00B56301" w:rsidRPr="00364545" w:rsidRDefault="00B56301" w:rsidP="00B37B65">
            <w:pPr>
              <w:jc w:val="right"/>
              <w:rPr>
                <w:rFonts w:asciiTheme="minorHAnsi" w:hAnsiTheme="minorHAnsi"/>
                <w:sz w:val="16"/>
                <w:szCs w:val="16"/>
              </w:rPr>
            </w:pPr>
            <w:r w:rsidRPr="00364545">
              <w:rPr>
                <w:sz w:val="16"/>
              </w:rPr>
              <w:t>0,15</w:t>
            </w:r>
          </w:p>
        </w:tc>
        <w:tc>
          <w:tcPr>
            <w:tcW w:w="991" w:type="dxa"/>
            <w:tcBorders>
              <w:top w:val="nil"/>
              <w:left w:val="nil"/>
              <w:bottom w:val="single" w:sz="4" w:space="0" w:color="auto"/>
              <w:right w:val="single" w:sz="4" w:space="0" w:color="auto"/>
            </w:tcBorders>
            <w:shd w:val="clear" w:color="000000" w:fill="FFFFFF"/>
            <w:noWrap/>
            <w:vAlign w:val="bottom"/>
            <w:hideMark/>
          </w:tcPr>
          <w:p w14:paraId="0162BF17" w14:textId="77777777" w:rsidR="00B56301" w:rsidRPr="00364545" w:rsidRDefault="00B56301" w:rsidP="00B37B65">
            <w:pPr>
              <w:jc w:val="right"/>
              <w:rPr>
                <w:rFonts w:asciiTheme="minorHAnsi" w:hAnsiTheme="minorHAnsi"/>
                <w:sz w:val="16"/>
                <w:szCs w:val="16"/>
              </w:rPr>
            </w:pPr>
            <w:r w:rsidRPr="00364545">
              <w:rPr>
                <w:sz w:val="16"/>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44497E57" w14:textId="77777777" w:rsidR="00B56301" w:rsidRPr="00364545" w:rsidRDefault="00B56301" w:rsidP="00B37B65">
            <w:pPr>
              <w:jc w:val="right"/>
              <w:rPr>
                <w:rFonts w:asciiTheme="minorHAnsi" w:hAnsiTheme="minorHAnsi"/>
                <w:sz w:val="16"/>
                <w:szCs w:val="16"/>
              </w:rPr>
            </w:pPr>
            <w:r w:rsidRPr="00364545">
              <w:rPr>
                <w:sz w:val="16"/>
              </w:rPr>
              <w:t>0,13</w:t>
            </w:r>
          </w:p>
        </w:tc>
        <w:tc>
          <w:tcPr>
            <w:tcW w:w="991" w:type="dxa"/>
            <w:tcBorders>
              <w:top w:val="nil"/>
              <w:left w:val="nil"/>
              <w:bottom w:val="single" w:sz="4" w:space="0" w:color="auto"/>
              <w:right w:val="single" w:sz="4" w:space="0" w:color="auto"/>
            </w:tcBorders>
            <w:shd w:val="clear" w:color="000000" w:fill="FFFFFF"/>
            <w:noWrap/>
            <w:vAlign w:val="bottom"/>
            <w:hideMark/>
          </w:tcPr>
          <w:p w14:paraId="5280B728" w14:textId="77777777" w:rsidR="00B56301" w:rsidRPr="00364545" w:rsidRDefault="00B56301" w:rsidP="00B37B65">
            <w:pPr>
              <w:jc w:val="right"/>
              <w:rPr>
                <w:rFonts w:asciiTheme="minorHAnsi" w:hAnsiTheme="minorHAnsi"/>
                <w:sz w:val="16"/>
                <w:szCs w:val="16"/>
              </w:rPr>
            </w:pPr>
            <w:r w:rsidRPr="00364545">
              <w:rPr>
                <w:sz w:val="16"/>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2EFF5FE2" w14:textId="77777777" w:rsidR="00B56301" w:rsidRPr="00364545" w:rsidRDefault="00B56301" w:rsidP="00B37B65">
            <w:pPr>
              <w:jc w:val="right"/>
              <w:rPr>
                <w:rFonts w:asciiTheme="minorHAnsi" w:hAnsiTheme="minorHAnsi"/>
                <w:sz w:val="16"/>
                <w:szCs w:val="16"/>
              </w:rPr>
            </w:pPr>
            <w:r w:rsidRPr="00364545">
              <w:rPr>
                <w:sz w:val="16"/>
              </w:rPr>
              <w:t>0,05</w:t>
            </w:r>
          </w:p>
        </w:tc>
      </w:tr>
      <w:tr w:rsidR="00B56301" w:rsidRPr="00364545" w14:paraId="6201D57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AA3934" w14:textId="4B181AF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0C61665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9F16E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3D8D5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563B65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D56235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974368"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F45D54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B66B9D3" w14:textId="7731D663"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2. 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2EF3C911" w14:textId="77777777" w:rsidR="00B56301" w:rsidRPr="00364545" w:rsidRDefault="00B56301" w:rsidP="00B37B65">
            <w:pPr>
              <w:jc w:val="right"/>
              <w:rPr>
                <w:rFonts w:asciiTheme="minorHAnsi" w:hAnsiTheme="minorHAnsi"/>
                <w:sz w:val="16"/>
                <w:szCs w:val="16"/>
              </w:rPr>
            </w:pPr>
            <w:r w:rsidRPr="00364545">
              <w:rPr>
                <w:sz w:val="16"/>
              </w:rPr>
              <w:t>18,90</w:t>
            </w:r>
          </w:p>
        </w:tc>
        <w:tc>
          <w:tcPr>
            <w:tcW w:w="991" w:type="dxa"/>
            <w:tcBorders>
              <w:top w:val="nil"/>
              <w:left w:val="nil"/>
              <w:bottom w:val="single" w:sz="4" w:space="0" w:color="auto"/>
              <w:right w:val="single" w:sz="4" w:space="0" w:color="auto"/>
            </w:tcBorders>
            <w:shd w:val="clear" w:color="000000" w:fill="CCFFFF"/>
            <w:noWrap/>
            <w:vAlign w:val="bottom"/>
            <w:hideMark/>
          </w:tcPr>
          <w:p w14:paraId="59755CED" w14:textId="77777777" w:rsidR="00B56301" w:rsidRPr="00364545" w:rsidRDefault="00B56301" w:rsidP="00B37B65">
            <w:pPr>
              <w:jc w:val="right"/>
              <w:rPr>
                <w:rFonts w:asciiTheme="minorHAnsi" w:hAnsiTheme="minorHAnsi"/>
                <w:sz w:val="16"/>
                <w:szCs w:val="16"/>
              </w:rPr>
            </w:pPr>
            <w:r w:rsidRPr="00364545">
              <w:rPr>
                <w:sz w:val="16"/>
              </w:rPr>
              <w:t>15,57</w:t>
            </w:r>
          </w:p>
        </w:tc>
        <w:tc>
          <w:tcPr>
            <w:tcW w:w="991" w:type="dxa"/>
            <w:tcBorders>
              <w:top w:val="nil"/>
              <w:left w:val="nil"/>
              <w:bottom w:val="single" w:sz="4" w:space="0" w:color="auto"/>
              <w:right w:val="single" w:sz="4" w:space="0" w:color="auto"/>
            </w:tcBorders>
            <w:shd w:val="clear" w:color="000000" w:fill="CCFFFF"/>
            <w:noWrap/>
            <w:vAlign w:val="bottom"/>
            <w:hideMark/>
          </w:tcPr>
          <w:p w14:paraId="067AE271" w14:textId="77777777" w:rsidR="00B56301" w:rsidRPr="00364545" w:rsidRDefault="00B56301" w:rsidP="00B37B65">
            <w:pPr>
              <w:jc w:val="right"/>
              <w:rPr>
                <w:rFonts w:asciiTheme="minorHAnsi" w:hAnsiTheme="minorHAnsi"/>
                <w:sz w:val="16"/>
                <w:szCs w:val="16"/>
              </w:rPr>
            </w:pPr>
            <w:r w:rsidRPr="00364545">
              <w:rPr>
                <w:sz w:val="16"/>
              </w:rPr>
              <w:t>13,17</w:t>
            </w:r>
          </w:p>
        </w:tc>
        <w:tc>
          <w:tcPr>
            <w:tcW w:w="991" w:type="dxa"/>
            <w:tcBorders>
              <w:top w:val="nil"/>
              <w:left w:val="nil"/>
              <w:bottom w:val="single" w:sz="4" w:space="0" w:color="auto"/>
              <w:right w:val="single" w:sz="4" w:space="0" w:color="auto"/>
            </w:tcBorders>
            <w:shd w:val="clear" w:color="000000" w:fill="CCFFFF"/>
            <w:noWrap/>
            <w:vAlign w:val="bottom"/>
            <w:hideMark/>
          </w:tcPr>
          <w:p w14:paraId="334DC392" w14:textId="77777777" w:rsidR="00B56301" w:rsidRPr="00364545" w:rsidRDefault="00B56301" w:rsidP="00B37B65">
            <w:pPr>
              <w:jc w:val="right"/>
              <w:rPr>
                <w:rFonts w:asciiTheme="minorHAnsi" w:hAnsiTheme="minorHAnsi"/>
                <w:sz w:val="16"/>
                <w:szCs w:val="16"/>
              </w:rPr>
            </w:pPr>
            <w:r w:rsidRPr="00364545">
              <w:rPr>
                <w:sz w:val="16"/>
              </w:rPr>
              <w:t>7,67</w:t>
            </w:r>
          </w:p>
        </w:tc>
        <w:tc>
          <w:tcPr>
            <w:tcW w:w="991" w:type="dxa"/>
            <w:tcBorders>
              <w:top w:val="nil"/>
              <w:left w:val="nil"/>
              <w:bottom w:val="single" w:sz="4" w:space="0" w:color="auto"/>
              <w:right w:val="single" w:sz="4" w:space="0" w:color="auto"/>
            </w:tcBorders>
            <w:shd w:val="clear" w:color="000000" w:fill="CCFFFF"/>
            <w:noWrap/>
            <w:vAlign w:val="bottom"/>
            <w:hideMark/>
          </w:tcPr>
          <w:p w14:paraId="49548C8F" w14:textId="77777777" w:rsidR="00B56301" w:rsidRPr="00364545" w:rsidRDefault="00B56301" w:rsidP="00B37B65">
            <w:pPr>
              <w:jc w:val="right"/>
              <w:rPr>
                <w:rFonts w:asciiTheme="minorHAnsi" w:hAnsiTheme="minorHAnsi"/>
                <w:sz w:val="16"/>
                <w:szCs w:val="16"/>
              </w:rPr>
            </w:pPr>
            <w:r w:rsidRPr="00364545">
              <w:rPr>
                <w:sz w:val="16"/>
              </w:rPr>
              <w:t>4,65</w:t>
            </w:r>
          </w:p>
        </w:tc>
        <w:tc>
          <w:tcPr>
            <w:tcW w:w="991" w:type="dxa"/>
            <w:tcBorders>
              <w:top w:val="nil"/>
              <w:left w:val="nil"/>
              <w:bottom w:val="single" w:sz="4" w:space="0" w:color="auto"/>
              <w:right w:val="single" w:sz="4" w:space="0" w:color="auto"/>
            </w:tcBorders>
            <w:shd w:val="clear" w:color="000000" w:fill="CCFFFF"/>
            <w:noWrap/>
            <w:vAlign w:val="bottom"/>
            <w:hideMark/>
          </w:tcPr>
          <w:p w14:paraId="4BA11F98" w14:textId="77777777" w:rsidR="00B56301" w:rsidRPr="00364545" w:rsidRDefault="00B56301" w:rsidP="00B37B65">
            <w:pPr>
              <w:jc w:val="right"/>
              <w:rPr>
                <w:rFonts w:asciiTheme="minorHAnsi" w:hAnsiTheme="minorHAnsi"/>
                <w:sz w:val="16"/>
                <w:szCs w:val="16"/>
              </w:rPr>
            </w:pPr>
            <w:r w:rsidRPr="00364545">
              <w:rPr>
                <w:sz w:val="16"/>
              </w:rPr>
              <w:t>3,43</w:t>
            </w:r>
          </w:p>
        </w:tc>
      </w:tr>
      <w:tr w:rsidR="00B56301" w:rsidRPr="00364545" w14:paraId="23C797A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149E99" w14:textId="4DFA7A6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7315334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5C8FD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06362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57EE8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6676C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E8746F"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310AE32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108BAC" w14:textId="1D3633D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04CB2852" w14:textId="77777777" w:rsidR="00B56301" w:rsidRPr="00364545" w:rsidRDefault="00B56301" w:rsidP="00B37B65">
            <w:pPr>
              <w:jc w:val="right"/>
              <w:rPr>
                <w:rFonts w:asciiTheme="minorHAnsi" w:hAnsiTheme="minorHAnsi"/>
                <w:sz w:val="16"/>
                <w:szCs w:val="16"/>
              </w:rPr>
            </w:pPr>
            <w:r w:rsidRPr="00364545">
              <w:rPr>
                <w:sz w:val="16"/>
              </w:rPr>
              <w:t>18,46</w:t>
            </w:r>
          </w:p>
        </w:tc>
        <w:tc>
          <w:tcPr>
            <w:tcW w:w="991" w:type="dxa"/>
            <w:tcBorders>
              <w:top w:val="nil"/>
              <w:left w:val="nil"/>
              <w:bottom w:val="single" w:sz="4" w:space="0" w:color="auto"/>
              <w:right w:val="single" w:sz="4" w:space="0" w:color="auto"/>
            </w:tcBorders>
            <w:shd w:val="clear" w:color="000000" w:fill="FFFFFF"/>
            <w:noWrap/>
            <w:vAlign w:val="bottom"/>
            <w:hideMark/>
          </w:tcPr>
          <w:p w14:paraId="00D6754F" w14:textId="77777777" w:rsidR="00B56301" w:rsidRPr="00364545" w:rsidRDefault="00B56301" w:rsidP="00B37B65">
            <w:pPr>
              <w:jc w:val="right"/>
              <w:rPr>
                <w:rFonts w:asciiTheme="minorHAnsi" w:hAnsiTheme="minorHAnsi"/>
                <w:sz w:val="16"/>
                <w:szCs w:val="16"/>
              </w:rPr>
            </w:pPr>
            <w:r w:rsidRPr="00364545">
              <w:rPr>
                <w:sz w:val="16"/>
              </w:rPr>
              <w:t>15,13</w:t>
            </w:r>
          </w:p>
        </w:tc>
        <w:tc>
          <w:tcPr>
            <w:tcW w:w="991" w:type="dxa"/>
            <w:tcBorders>
              <w:top w:val="nil"/>
              <w:left w:val="nil"/>
              <w:bottom w:val="single" w:sz="4" w:space="0" w:color="auto"/>
              <w:right w:val="single" w:sz="4" w:space="0" w:color="auto"/>
            </w:tcBorders>
            <w:shd w:val="clear" w:color="000000" w:fill="FFFFFF"/>
            <w:noWrap/>
            <w:vAlign w:val="bottom"/>
            <w:hideMark/>
          </w:tcPr>
          <w:p w14:paraId="3E5F0EEC" w14:textId="77777777" w:rsidR="00B56301" w:rsidRPr="00364545" w:rsidRDefault="00B56301" w:rsidP="00B37B65">
            <w:pPr>
              <w:jc w:val="right"/>
              <w:rPr>
                <w:rFonts w:asciiTheme="minorHAnsi" w:hAnsiTheme="minorHAnsi"/>
                <w:sz w:val="16"/>
                <w:szCs w:val="16"/>
              </w:rPr>
            </w:pPr>
            <w:r w:rsidRPr="00364545">
              <w:rPr>
                <w:sz w:val="16"/>
              </w:rPr>
              <w:t>12,73</w:t>
            </w:r>
          </w:p>
        </w:tc>
        <w:tc>
          <w:tcPr>
            <w:tcW w:w="991" w:type="dxa"/>
            <w:tcBorders>
              <w:top w:val="nil"/>
              <w:left w:val="nil"/>
              <w:bottom w:val="single" w:sz="4" w:space="0" w:color="auto"/>
              <w:right w:val="single" w:sz="4" w:space="0" w:color="auto"/>
            </w:tcBorders>
            <w:shd w:val="clear" w:color="000000" w:fill="FFFFFF"/>
            <w:noWrap/>
            <w:vAlign w:val="bottom"/>
            <w:hideMark/>
          </w:tcPr>
          <w:p w14:paraId="5FCC488E" w14:textId="77777777" w:rsidR="00B56301" w:rsidRPr="00364545" w:rsidRDefault="00B56301" w:rsidP="00B37B65">
            <w:pPr>
              <w:jc w:val="right"/>
              <w:rPr>
                <w:rFonts w:asciiTheme="minorHAnsi" w:hAnsiTheme="minorHAnsi"/>
                <w:sz w:val="16"/>
                <w:szCs w:val="16"/>
              </w:rPr>
            </w:pPr>
            <w:r w:rsidRPr="00364545">
              <w:rPr>
                <w:sz w:val="16"/>
              </w:rPr>
              <w:t>7,23</w:t>
            </w:r>
          </w:p>
        </w:tc>
        <w:tc>
          <w:tcPr>
            <w:tcW w:w="991" w:type="dxa"/>
            <w:tcBorders>
              <w:top w:val="nil"/>
              <w:left w:val="nil"/>
              <w:bottom w:val="single" w:sz="4" w:space="0" w:color="auto"/>
              <w:right w:val="single" w:sz="4" w:space="0" w:color="auto"/>
            </w:tcBorders>
            <w:shd w:val="clear" w:color="000000" w:fill="FFFFFF"/>
            <w:noWrap/>
            <w:vAlign w:val="bottom"/>
            <w:hideMark/>
          </w:tcPr>
          <w:p w14:paraId="3B084634" w14:textId="77777777" w:rsidR="00B56301" w:rsidRPr="00364545" w:rsidRDefault="00B56301" w:rsidP="00B37B65">
            <w:pPr>
              <w:jc w:val="right"/>
              <w:rPr>
                <w:rFonts w:asciiTheme="minorHAnsi" w:hAnsiTheme="minorHAnsi"/>
                <w:sz w:val="16"/>
                <w:szCs w:val="16"/>
              </w:rPr>
            </w:pPr>
            <w:r w:rsidRPr="00364545">
              <w:rPr>
                <w:sz w:val="16"/>
              </w:rPr>
              <w:t>4,21</w:t>
            </w:r>
          </w:p>
        </w:tc>
        <w:tc>
          <w:tcPr>
            <w:tcW w:w="991" w:type="dxa"/>
            <w:tcBorders>
              <w:top w:val="nil"/>
              <w:left w:val="nil"/>
              <w:bottom w:val="single" w:sz="4" w:space="0" w:color="auto"/>
              <w:right w:val="single" w:sz="4" w:space="0" w:color="auto"/>
            </w:tcBorders>
            <w:shd w:val="clear" w:color="000000" w:fill="FFFFFF"/>
            <w:noWrap/>
            <w:vAlign w:val="bottom"/>
            <w:hideMark/>
          </w:tcPr>
          <w:p w14:paraId="477A11D5" w14:textId="77777777" w:rsidR="00B56301" w:rsidRPr="00364545" w:rsidRDefault="00B56301" w:rsidP="00B37B65">
            <w:pPr>
              <w:jc w:val="right"/>
              <w:rPr>
                <w:rFonts w:asciiTheme="minorHAnsi" w:hAnsiTheme="minorHAnsi"/>
                <w:sz w:val="16"/>
                <w:szCs w:val="16"/>
              </w:rPr>
            </w:pPr>
            <w:r w:rsidRPr="00364545">
              <w:rPr>
                <w:sz w:val="16"/>
              </w:rPr>
              <w:t>2,98</w:t>
            </w:r>
          </w:p>
        </w:tc>
      </w:tr>
      <w:tr w:rsidR="00B56301" w:rsidRPr="00364545" w14:paraId="608BB87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B95A04" w14:textId="4370371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26BEEED2"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5DCBDF1"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06F7D41"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024CAA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E7F50AC"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54699EB"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4DD8E5B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B3197BB" w14:textId="42FF5C9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6896D898"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7E001C34"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6546E0B0"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6B26AC0F"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5A39969"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30412298" w14:textId="77777777" w:rsidR="00B56301" w:rsidRPr="00364545" w:rsidRDefault="00B56301" w:rsidP="00B37B65">
            <w:pPr>
              <w:jc w:val="right"/>
              <w:rPr>
                <w:rFonts w:asciiTheme="minorHAnsi" w:hAnsiTheme="minorHAnsi"/>
                <w:sz w:val="16"/>
                <w:szCs w:val="16"/>
              </w:rPr>
            </w:pPr>
            <w:r w:rsidRPr="00364545">
              <w:rPr>
                <w:sz w:val="16"/>
              </w:rPr>
              <w:t>0,01</w:t>
            </w:r>
          </w:p>
        </w:tc>
      </w:tr>
      <w:tr w:rsidR="00B56301" w:rsidRPr="00364545" w14:paraId="544E27A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4F104FB" w14:textId="598F7C1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7D58DBC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F5911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CC8AD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0F7C96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F73AB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94F380"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DF5D3D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55312D2" w14:textId="7097A45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6F05D92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E67B4D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91344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9087E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B979D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982E772"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53AC6F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ACB8C67" w14:textId="04897E3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G. 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6DD6544F" w14:textId="77777777" w:rsidR="00B56301" w:rsidRPr="00364545" w:rsidRDefault="00B56301" w:rsidP="00B37B65">
            <w:pPr>
              <w:jc w:val="right"/>
              <w:rPr>
                <w:rFonts w:asciiTheme="minorHAnsi" w:hAnsiTheme="minorHAnsi"/>
                <w:sz w:val="16"/>
                <w:szCs w:val="16"/>
              </w:rPr>
            </w:pPr>
            <w:r w:rsidRPr="00364545">
              <w:rPr>
                <w:sz w:val="16"/>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526D5582" w14:textId="77777777" w:rsidR="00B56301" w:rsidRPr="00364545" w:rsidRDefault="00B56301" w:rsidP="00B37B65">
            <w:pPr>
              <w:jc w:val="right"/>
              <w:rPr>
                <w:rFonts w:asciiTheme="minorHAnsi" w:hAnsiTheme="minorHAnsi"/>
                <w:sz w:val="16"/>
                <w:szCs w:val="16"/>
              </w:rPr>
            </w:pPr>
            <w:r w:rsidRPr="00364545">
              <w:rPr>
                <w:sz w:val="16"/>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47762AFA" w14:textId="77777777" w:rsidR="00B56301" w:rsidRPr="00364545" w:rsidRDefault="00B56301" w:rsidP="00B37B65">
            <w:pPr>
              <w:jc w:val="right"/>
              <w:rPr>
                <w:rFonts w:asciiTheme="minorHAnsi" w:hAnsiTheme="minorHAnsi"/>
                <w:sz w:val="16"/>
                <w:szCs w:val="16"/>
              </w:rPr>
            </w:pPr>
            <w:r w:rsidRPr="00364545">
              <w:rPr>
                <w:sz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1B5B8EFE" w14:textId="77777777" w:rsidR="00B56301" w:rsidRPr="00364545" w:rsidRDefault="00B56301" w:rsidP="00B37B65">
            <w:pPr>
              <w:jc w:val="right"/>
              <w:rPr>
                <w:rFonts w:asciiTheme="minorHAnsi" w:hAnsiTheme="minorHAnsi"/>
                <w:sz w:val="16"/>
                <w:szCs w:val="16"/>
              </w:rPr>
            </w:pPr>
            <w:r w:rsidRPr="00364545">
              <w:rPr>
                <w:sz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22895568" w14:textId="77777777" w:rsidR="00B56301" w:rsidRPr="00364545" w:rsidRDefault="00B56301" w:rsidP="00B37B65">
            <w:pPr>
              <w:jc w:val="right"/>
              <w:rPr>
                <w:rFonts w:asciiTheme="minorHAnsi" w:hAnsiTheme="minorHAnsi"/>
                <w:sz w:val="16"/>
                <w:szCs w:val="16"/>
              </w:rPr>
            </w:pPr>
            <w:r w:rsidRPr="00364545">
              <w:rPr>
                <w:sz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099E33ED" w14:textId="77777777" w:rsidR="00B56301" w:rsidRPr="00364545" w:rsidRDefault="00B56301" w:rsidP="00B37B65">
            <w:pPr>
              <w:jc w:val="right"/>
              <w:rPr>
                <w:rFonts w:asciiTheme="minorHAnsi" w:hAnsiTheme="minorHAnsi"/>
                <w:sz w:val="16"/>
                <w:szCs w:val="16"/>
              </w:rPr>
            </w:pPr>
            <w:r w:rsidRPr="00364545">
              <w:rPr>
                <w:sz w:val="16"/>
              </w:rPr>
              <w:t>0,44</w:t>
            </w:r>
          </w:p>
        </w:tc>
      </w:tr>
      <w:tr w:rsidR="00B56301" w:rsidRPr="00364545" w14:paraId="0F8830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AEFD098" w14:textId="29BBFCB1"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2D22090C"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0DC1E32F"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2354309"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0599C9E"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8DA25E6"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3ECD3DA" w14:textId="77777777" w:rsidR="00B56301" w:rsidRPr="00364545" w:rsidRDefault="00B56301" w:rsidP="00B37B65">
            <w:pPr>
              <w:jc w:val="right"/>
              <w:rPr>
                <w:rFonts w:asciiTheme="minorHAnsi" w:hAnsiTheme="minorHAnsi"/>
                <w:sz w:val="16"/>
                <w:szCs w:val="16"/>
              </w:rPr>
            </w:pPr>
            <w:r w:rsidRPr="00364545">
              <w:rPr>
                <w:sz w:val="16"/>
              </w:rPr>
              <w:t>NO,NA</w:t>
            </w:r>
          </w:p>
        </w:tc>
      </w:tr>
      <w:tr w:rsidR="00B56301" w:rsidRPr="00364545" w14:paraId="1AAF95A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76AF1FB2" w14:textId="2BD9DDAE"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3. 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375FEED1" w14:textId="77777777" w:rsidR="00B56301" w:rsidRPr="00364545" w:rsidRDefault="00B56301" w:rsidP="00B37B65">
            <w:pPr>
              <w:jc w:val="right"/>
              <w:rPr>
                <w:rFonts w:asciiTheme="minorHAnsi" w:hAnsiTheme="minorHAnsi"/>
                <w:sz w:val="16"/>
                <w:szCs w:val="16"/>
              </w:rPr>
            </w:pPr>
            <w:r w:rsidRPr="00364545">
              <w:rPr>
                <w:sz w:val="16"/>
              </w:rPr>
              <w:t>117,16</w:t>
            </w:r>
          </w:p>
        </w:tc>
        <w:tc>
          <w:tcPr>
            <w:tcW w:w="991" w:type="dxa"/>
            <w:tcBorders>
              <w:top w:val="nil"/>
              <w:left w:val="nil"/>
              <w:bottom w:val="single" w:sz="4" w:space="0" w:color="auto"/>
              <w:right w:val="single" w:sz="4" w:space="0" w:color="auto"/>
            </w:tcBorders>
            <w:shd w:val="clear" w:color="000000" w:fill="CCFFFF"/>
            <w:noWrap/>
            <w:vAlign w:val="bottom"/>
            <w:hideMark/>
          </w:tcPr>
          <w:p w14:paraId="7659AB34" w14:textId="77777777" w:rsidR="00B56301" w:rsidRPr="00364545" w:rsidRDefault="00B56301" w:rsidP="00B37B65">
            <w:pPr>
              <w:jc w:val="right"/>
              <w:rPr>
                <w:rFonts w:asciiTheme="minorHAnsi" w:hAnsiTheme="minorHAnsi"/>
                <w:sz w:val="16"/>
                <w:szCs w:val="16"/>
              </w:rPr>
            </w:pPr>
            <w:r w:rsidRPr="00364545">
              <w:rPr>
                <w:sz w:val="16"/>
              </w:rPr>
              <w:t>118,04</w:t>
            </w:r>
          </w:p>
        </w:tc>
        <w:tc>
          <w:tcPr>
            <w:tcW w:w="991" w:type="dxa"/>
            <w:tcBorders>
              <w:top w:val="nil"/>
              <w:left w:val="nil"/>
              <w:bottom w:val="single" w:sz="4" w:space="0" w:color="auto"/>
              <w:right w:val="single" w:sz="4" w:space="0" w:color="auto"/>
            </w:tcBorders>
            <w:shd w:val="clear" w:color="000000" w:fill="CCFFFF"/>
            <w:noWrap/>
            <w:vAlign w:val="bottom"/>
            <w:hideMark/>
          </w:tcPr>
          <w:p w14:paraId="6909DD94" w14:textId="77777777" w:rsidR="00B56301" w:rsidRPr="00364545" w:rsidRDefault="00B56301" w:rsidP="00B37B65">
            <w:pPr>
              <w:jc w:val="right"/>
              <w:rPr>
                <w:rFonts w:asciiTheme="minorHAnsi" w:hAnsiTheme="minorHAnsi"/>
                <w:sz w:val="16"/>
                <w:szCs w:val="16"/>
              </w:rPr>
            </w:pPr>
            <w:r w:rsidRPr="00364545">
              <w:rPr>
                <w:sz w:val="16"/>
              </w:rPr>
              <w:t>115,94</w:t>
            </w:r>
          </w:p>
        </w:tc>
        <w:tc>
          <w:tcPr>
            <w:tcW w:w="991" w:type="dxa"/>
            <w:tcBorders>
              <w:top w:val="nil"/>
              <w:left w:val="nil"/>
              <w:bottom w:val="single" w:sz="4" w:space="0" w:color="auto"/>
              <w:right w:val="single" w:sz="4" w:space="0" w:color="auto"/>
            </w:tcBorders>
            <w:shd w:val="clear" w:color="000000" w:fill="CCFFFF"/>
            <w:noWrap/>
            <w:vAlign w:val="bottom"/>
            <w:hideMark/>
          </w:tcPr>
          <w:p w14:paraId="3A8661FD" w14:textId="77777777" w:rsidR="00B56301" w:rsidRPr="00364545" w:rsidRDefault="00B56301" w:rsidP="00B37B65">
            <w:pPr>
              <w:jc w:val="right"/>
              <w:rPr>
                <w:rFonts w:asciiTheme="minorHAnsi" w:hAnsiTheme="minorHAnsi"/>
                <w:sz w:val="16"/>
                <w:szCs w:val="16"/>
              </w:rPr>
            </w:pPr>
            <w:r w:rsidRPr="00364545">
              <w:rPr>
                <w:sz w:val="16"/>
              </w:rPr>
              <w:t>113,73</w:t>
            </w:r>
          </w:p>
        </w:tc>
        <w:tc>
          <w:tcPr>
            <w:tcW w:w="991" w:type="dxa"/>
            <w:tcBorders>
              <w:top w:val="nil"/>
              <w:left w:val="nil"/>
              <w:bottom w:val="single" w:sz="4" w:space="0" w:color="auto"/>
              <w:right w:val="single" w:sz="4" w:space="0" w:color="auto"/>
            </w:tcBorders>
            <w:shd w:val="clear" w:color="000000" w:fill="CCFFFF"/>
            <w:noWrap/>
            <w:vAlign w:val="bottom"/>
            <w:hideMark/>
          </w:tcPr>
          <w:p w14:paraId="5069FDFA" w14:textId="77777777" w:rsidR="00B56301" w:rsidRPr="00364545" w:rsidRDefault="00B56301" w:rsidP="00B37B65">
            <w:pPr>
              <w:jc w:val="right"/>
              <w:rPr>
                <w:rFonts w:asciiTheme="minorHAnsi" w:hAnsiTheme="minorHAnsi"/>
                <w:sz w:val="16"/>
                <w:szCs w:val="16"/>
              </w:rPr>
            </w:pPr>
            <w:r w:rsidRPr="00364545">
              <w:rPr>
                <w:sz w:val="16"/>
              </w:rPr>
              <w:t>111,73</w:t>
            </w:r>
          </w:p>
        </w:tc>
        <w:tc>
          <w:tcPr>
            <w:tcW w:w="991" w:type="dxa"/>
            <w:tcBorders>
              <w:top w:val="nil"/>
              <w:left w:val="nil"/>
              <w:bottom w:val="single" w:sz="4" w:space="0" w:color="auto"/>
              <w:right w:val="single" w:sz="4" w:space="0" w:color="auto"/>
            </w:tcBorders>
            <w:shd w:val="clear" w:color="000000" w:fill="CCFFFF"/>
            <w:noWrap/>
            <w:vAlign w:val="bottom"/>
            <w:hideMark/>
          </w:tcPr>
          <w:p w14:paraId="0D413C36" w14:textId="77777777" w:rsidR="00B56301" w:rsidRPr="00364545" w:rsidRDefault="00B56301" w:rsidP="00B37B65">
            <w:pPr>
              <w:jc w:val="right"/>
              <w:rPr>
                <w:rFonts w:asciiTheme="minorHAnsi" w:hAnsiTheme="minorHAnsi"/>
                <w:sz w:val="16"/>
                <w:szCs w:val="16"/>
              </w:rPr>
            </w:pPr>
            <w:r w:rsidRPr="00364545">
              <w:rPr>
                <w:sz w:val="16"/>
              </w:rPr>
              <w:t>113,51</w:t>
            </w:r>
          </w:p>
        </w:tc>
      </w:tr>
      <w:tr w:rsidR="00B56301" w:rsidRPr="00364545" w14:paraId="085523E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D0DA7D9" w14:textId="601A2BB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Enteric fermentation</w:t>
            </w:r>
          </w:p>
        </w:tc>
        <w:tc>
          <w:tcPr>
            <w:tcW w:w="991" w:type="dxa"/>
            <w:tcBorders>
              <w:top w:val="nil"/>
              <w:left w:val="nil"/>
              <w:bottom w:val="single" w:sz="4" w:space="0" w:color="auto"/>
              <w:right w:val="single" w:sz="4" w:space="0" w:color="auto"/>
            </w:tcBorders>
            <w:shd w:val="clear" w:color="000000" w:fill="969696"/>
            <w:noWrap/>
            <w:vAlign w:val="bottom"/>
            <w:hideMark/>
          </w:tcPr>
          <w:p w14:paraId="6FED0AC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3C3FB3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89555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9C5EF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F3506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60DEE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0E5D23A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5048C9" w14:textId="670BB43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3405335E" w14:textId="77777777" w:rsidR="00B56301" w:rsidRPr="00364545" w:rsidRDefault="00B56301" w:rsidP="00B37B65">
            <w:pPr>
              <w:jc w:val="right"/>
              <w:rPr>
                <w:rFonts w:asciiTheme="minorHAnsi" w:hAnsiTheme="minorHAnsi"/>
                <w:sz w:val="16"/>
                <w:szCs w:val="16"/>
              </w:rPr>
            </w:pPr>
            <w:r w:rsidRPr="00364545">
              <w:rPr>
                <w:sz w:val="16"/>
              </w:rPr>
              <w:t>8,69</w:t>
            </w:r>
          </w:p>
        </w:tc>
        <w:tc>
          <w:tcPr>
            <w:tcW w:w="991" w:type="dxa"/>
            <w:tcBorders>
              <w:top w:val="nil"/>
              <w:left w:val="nil"/>
              <w:bottom w:val="single" w:sz="4" w:space="0" w:color="auto"/>
              <w:right w:val="single" w:sz="4" w:space="0" w:color="auto"/>
            </w:tcBorders>
            <w:shd w:val="clear" w:color="000000" w:fill="FFFFFF"/>
            <w:noWrap/>
            <w:vAlign w:val="bottom"/>
            <w:hideMark/>
          </w:tcPr>
          <w:p w14:paraId="469069A6" w14:textId="77777777" w:rsidR="00B56301" w:rsidRPr="00364545" w:rsidRDefault="00B56301" w:rsidP="00B37B65">
            <w:pPr>
              <w:jc w:val="right"/>
              <w:rPr>
                <w:rFonts w:asciiTheme="minorHAnsi" w:hAnsiTheme="minorHAnsi"/>
                <w:sz w:val="16"/>
                <w:szCs w:val="16"/>
              </w:rPr>
            </w:pPr>
            <w:r w:rsidRPr="00364545">
              <w:rPr>
                <w:sz w:val="16"/>
              </w:rPr>
              <w:t>8,81</w:t>
            </w:r>
          </w:p>
        </w:tc>
        <w:tc>
          <w:tcPr>
            <w:tcW w:w="991" w:type="dxa"/>
            <w:tcBorders>
              <w:top w:val="nil"/>
              <w:left w:val="nil"/>
              <w:bottom w:val="single" w:sz="4" w:space="0" w:color="auto"/>
              <w:right w:val="single" w:sz="4" w:space="0" w:color="auto"/>
            </w:tcBorders>
            <w:shd w:val="clear" w:color="000000" w:fill="FFFFFF"/>
            <w:noWrap/>
            <w:vAlign w:val="bottom"/>
            <w:hideMark/>
          </w:tcPr>
          <w:p w14:paraId="2D31F09A" w14:textId="77777777" w:rsidR="00B56301" w:rsidRPr="00364545" w:rsidRDefault="00B56301" w:rsidP="00B37B65">
            <w:pPr>
              <w:jc w:val="right"/>
              <w:rPr>
                <w:rFonts w:asciiTheme="minorHAnsi" w:hAnsiTheme="minorHAnsi"/>
                <w:sz w:val="16"/>
                <w:szCs w:val="16"/>
              </w:rPr>
            </w:pPr>
            <w:r w:rsidRPr="00364545">
              <w:rPr>
                <w:sz w:val="16"/>
              </w:rPr>
              <w:t>8,68</w:t>
            </w:r>
          </w:p>
        </w:tc>
        <w:tc>
          <w:tcPr>
            <w:tcW w:w="991" w:type="dxa"/>
            <w:tcBorders>
              <w:top w:val="nil"/>
              <w:left w:val="nil"/>
              <w:bottom w:val="single" w:sz="4" w:space="0" w:color="auto"/>
              <w:right w:val="single" w:sz="4" w:space="0" w:color="auto"/>
            </w:tcBorders>
            <w:shd w:val="clear" w:color="000000" w:fill="FFFFFF"/>
            <w:noWrap/>
            <w:vAlign w:val="bottom"/>
            <w:hideMark/>
          </w:tcPr>
          <w:p w14:paraId="6FE821FA" w14:textId="77777777" w:rsidR="00B56301" w:rsidRPr="00364545" w:rsidRDefault="00B56301" w:rsidP="00B37B65">
            <w:pPr>
              <w:jc w:val="right"/>
              <w:rPr>
                <w:rFonts w:asciiTheme="minorHAnsi" w:hAnsiTheme="minorHAnsi"/>
                <w:sz w:val="16"/>
                <w:szCs w:val="16"/>
              </w:rPr>
            </w:pPr>
            <w:r w:rsidRPr="00364545">
              <w:rPr>
                <w:sz w:val="16"/>
              </w:rPr>
              <w:t>8,63</w:t>
            </w:r>
          </w:p>
        </w:tc>
        <w:tc>
          <w:tcPr>
            <w:tcW w:w="991" w:type="dxa"/>
            <w:tcBorders>
              <w:top w:val="nil"/>
              <w:left w:val="nil"/>
              <w:bottom w:val="single" w:sz="4" w:space="0" w:color="auto"/>
              <w:right w:val="single" w:sz="4" w:space="0" w:color="auto"/>
            </w:tcBorders>
            <w:shd w:val="clear" w:color="000000" w:fill="FFFFFF"/>
            <w:noWrap/>
            <w:vAlign w:val="bottom"/>
            <w:hideMark/>
          </w:tcPr>
          <w:p w14:paraId="376C7273" w14:textId="77777777" w:rsidR="00B56301" w:rsidRPr="00364545" w:rsidRDefault="00B56301" w:rsidP="00B37B65">
            <w:pPr>
              <w:jc w:val="right"/>
              <w:rPr>
                <w:rFonts w:asciiTheme="minorHAnsi" w:hAnsiTheme="minorHAnsi"/>
                <w:sz w:val="16"/>
                <w:szCs w:val="16"/>
              </w:rPr>
            </w:pPr>
            <w:r w:rsidRPr="00364545">
              <w:rPr>
                <w:sz w:val="16"/>
              </w:rPr>
              <w:t>8,59</w:t>
            </w:r>
          </w:p>
        </w:tc>
        <w:tc>
          <w:tcPr>
            <w:tcW w:w="991" w:type="dxa"/>
            <w:tcBorders>
              <w:top w:val="nil"/>
              <w:left w:val="nil"/>
              <w:bottom w:val="single" w:sz="4" w:space="0" w:color="auto"/>
              <w:right w:val="single" w:sz="4" w:space="0" w:color="auto"/>
            </w:tcBorders>
            <w:shd w:val="clear" w:color="000000" w:fill="FFFFFF"/>
            <w:noWrap/>
            <w:vAlign w:val="bottom"/>
            <w:hideMark/>
          </w:tcPr>
          <w:p w14:paraId="566F7EB7" w14:textId="77777777" w:rsidR="00B56301" w:rsidRPr="00364545" w:rsidRDefault="00B56301" w:rsidP="00B37B65">
            <w:pPr>
              <w:jc w:val="right"/>
              <w:rPr>
                <w:rFonts w:asciiTheme="minorHAnsi" w:hAnsiTheme="minorHAnsi"/>
                <w:sz w:val="16"/>
                <w:szCs w:val="16"/>
              </w:rPr>
            </w:pPr>
            <w:r w:rsidRPr="00364545">
              <w:rPr>
                <w:sz w:val="16"/>
              </w:rPr>
              <w:t>8,50</w:t>
            </w:r>
          </w:p>
        </w:tc>
      </w:tr>
      <w:tr w:rsidR="00B56301" w:rsidRPr="00364545" w14:paraId="4851DF3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2C6F3E" w14:textId="470E812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Rice cultivation</w:t>
            </w:r>
          </w:p>
        </w:tc>
        <w:tc>
          <w:tcPr>
            <w:tcW w:w="991" w:type="dxa"/>
            <w:tcBorders>
              <w:top w:val="nil"/>
              <w:left w:val="nil"/>
              <w:bottom w:val="single" w:sz="4" w:space="0" w:color="auto"/>
              <w:right w:val="single" w:sz="4" w:space="0" w:color="auto"/>
            </w:tcBorders>
            <w:shd w:val="clear" w:color="000000" w:fill="969696"/>
            <w:noWrap/>
            <w:vAlign w:val="bottom"/>
            <w:hideMark/>
          </w:tcPr>
          <w:p w14:paraId="11B4674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0E9F84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E5FF6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83DCD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BB4C4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6A9138"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4246CC5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7EC5071" w14:textId="127E35E0"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0FD6B946" w14:textId="77777777" w:rsidR="00B56301" w:rsidRPr="00364545" w:rsidRDefault="00B56301" w:rsidP="00B37B65">
            <w:pPr>
              <w:jc w:val="right"/>
              <w:rPr>
                <w:rFonts w:asciiTheme="minorHAnsi" w:hAnsiTheme="minorHAnsi"/>
                <w:sz w:val="16"/>
                <w:szCs w:val="16"/>
              </w:rPr>
            </w:pPr>
            <w:r w:rsidRPr="00364545">
              <w:rPr>
                <w:sz w:val="16"/>
              </w:rPr>
              <w:t>108,43</w:t>
            </w:r>
          </w:p>
        </w:tc>
        <w:tc>
          <w:tcPr>
            <w:tcW w:w="991" w:type="dxa"/>
            <w:tcBorders>
              <w:top w:val="nil"/>
              <w:left w:val="nil"/>
              <w:bottom w:val="single" w:sz="4" w:space="0" w:color="auto"/>
              <w:right w:val="single" w:sz="4" w:space="0" w:color="auto"/>
            </w:tcBorders>
            <w:shd w:val="clear" w:color="000000" w:fill="FFFFFF"/>
            <w:noWrap/>
            <w:vAlign w:val="bottom"/>
            <w:hideMark/>
          </w:tcPr>
          <w:p w14:paraId="3B8E6B13" w14:textId="77777777" w:rsidR="00B56301" w:rsidRPr="00364545" w:rsidRDefault="00B56301" w:rsidP="00B37B65">
            <w:pPr>
              <w:jc w:val="right"/>
              <w:rPr>
                <w:rFonts w:asciiTheme="minorHAnsi" w:hAnsiTheme="minorHAnsi"/>
                <w:sz w:val="16"/>
                <w:szCs w:val="16"/>
              </w:rPr>
            </w:pPr>
            <w:r w:rsidRPr="00364545">
              <w:rPr>
                <w:sz w:val="16"/>
              </w:rPr>
              <w:t>109,18</w:t>
            </w:r>
          </w:p>
        </w:tc>
        <w:tc>
          <w:tcPr>
            <w:tcW w:w="991" w:type="dxa"/>
            <w:tcBorders>
              <w:top w:val="nil"/>
              <w:left w:val="nil"/>
              <w:bottom w:val="single" w:sz="4" w:space="0" w:color="auto"/>
              <w:right w:val="single" w:sz="4" w:space="0" w:color="auto"/>
            </w:tcBorders>
            <w:shd w:val="clear" w:color="000000" w:fill="FFFFFF"/>
            <w:noWrap/>
            <w:vAlign w:val="bottom"/>
            <w:hideMark/>
          </w:tcPr>
          <w:p w14:paraId="61AE9E07" w14:textId="77777777" w:rsidR="00B56301" w:rsidRPr="00364545" w:rsidRDefault="00B56301" w:rsidP="00B37B65">
            <w:pPr>
              <w:jc w:val="right"/>
              <w:rPr>
                <w:rFonts w:asciiTheme="minorHAnsi" w:hAnsiTheme="minorHAnsi"/>
                <w:sz w:val="16"/>
                <w:szCs w:val="16"/>
              </w:rPr>
            </w:pPr>
            <w:r w:rsidRPr="00364545">
              <w:rPr>
                <w:sz w:val="16"/>
              </w:rPr>
              <w:t>107,22</w:t>
            </w:r>
          </w:p>
        </w:tc>
        <w:tc>
          <w:tcPr>
            <w:tcW w:w="991" w:type="dxa"/>
            <w:tcBorders>
              <w:top w:val="nil"/>
              <w:left w:val="nil"/>
              <w:bottom w:val="single" w:sz="4" w:space="0" w:color="auto"/>
              <w:right w:val="single" w:sz="4" w:space="0" w:color="auto"/>
            </w:tcBorders>
            <w:shd w:val="clear" w:color="000000" w:fill="FFFFFF"/>
            <w:noWrap/>
            <w:vAlign w:val="bottom"/>
            <w:hideMark/>
          </w:tcPr>
          <w:p w14:paraId="02F1627D" w14:textId="77777777" w:rsidR="00B56301" w:rsidRPr="00364545" w:rsidRDefault="00B56301" w:rsidP="00B37B65">
            <w:pPr>
              <w:jc w:val="right"/>
              <w:rPr>
                <w:rFonts w:asciiTheme="minorHAnsi" w:hAnsiTheme="minorHAnsi"/>
                <w:sz w:val="16"/>
                <w:szCs w:val="16"/>
              </w:rPr>
            </w:pPr>
            <w:r w:rsidRPr="00364545">
              <w:rPr>
                <w:sz w:val="16"/>
              </w:rPr>
              <w:t>105,06</w:t>
            </w:r>
          </w:p>
        </w:tc>
        <w:tc>
          <w:tcPr>
            <w:tcW w:w="991" w:type="dxa"/>
            <w:tcBorders>
              <w:top w:val="nil"/>
              <w:left w:val="nil"/>
              <w:bottom w:val="single" w:sz="4" w:space="0" w:color="auto"/>
              <w:right w:val="single" w:sz="4" w:space="0" w:color="auto"/>
            </w:tcBorders>
            <w:shd w:val="clear" w:color="000000" w:fill="FFFFFF"/>
            <w:noWrap/>
            <w:vAlign w:val="bottom"/>
            <w:hideMark/>
          </w:tcPr>
          <w:p w14:paraId="015C1720" w14:textId="77777777" w:rsidR="00B56301" w:rsidRPr="00364545" w:rsidRDefault="00B56301" w:rsidP="00B37B65">
            <w:pPr>
              <w:jc w:val="right"/>
              <w:rPr>
                <w:rFonts w:asciiTheme="minorHAnsi" w:hAnsiTheme="minorHAnsi"/>
                <w:sz w:val="16"/>
                <w:szCs w:val="16"/>
              </w:rPr>
            </w:pPr>
            <w:r w:rsidRPr="00364545">
              <w:rPr>
                <w:sz w:val="16"/>
              </w:rPr>
              <w:t>103,10</w:t>
            </w:r>
          </w:p>
        </w:tc>
        <w:tc>
          <w:tcPr>
            <w:tcW w:w="991" w:type="dxa"/>
            <w:tcBorders>
              <w:top w:val="nil"/>
              <w:left w:val="nil"/>
              <w:bottom w:val="single" w:sz="4" w:space="0" w:color="auto"/>
              <w:right w:val="single" w:sz="4" w:space="0" w:color="auto"/>
            </w:tcBorders>
            <w:shd w:val="clear" w:color="000000" w:fill="FFFFFF"/>
            <w:noWrap/>
            <w:vAlign w:val="bottom"/>
            <w:hideMark/>
          </w:tcPr>
          <w:p w14:paraId="44EFE591" w14:textId="77777777" w:rsidR="00B56301" w:rsidRPr="00364545" w:rsidRDefault="00B56301" w:rsidP="00B37B65">
            <w:pPr>
              <w:jc w:val="right"/>
              <w:rPr>
                <w:rFonts w:asciiTheme="minorHAnsi" w:hAnsiTheme="minorHAnsi"/>
                <w:sz w:val="16"/>
                <w:szCs w:val="16"/>
              </w:rPr>
            </w:pPr>
            <w:r w:rsidRPr="00364545">
              <w:rPr>
                <w:sz w:val="16"/>
              </w:rPr>
              <w:t>104,97</w:t>
            </w:r>
          </w:p>
        </w:tc>
      </w:tr>
      <w:tr w:rsidR="00B56301" w:rsidRPr="00364545" w14:paraId="40DEC0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198563" w14:textId="0EE5916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3B1EFCC2"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ED3777E"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19BEE86"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61A44AC"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8C96AF4"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218EA3B"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6579DE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C819FBB" w14:textId="180779F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53D98BEB" w14:textId="77777777" w:rsidR="00B56301" w:rsidRPr="00364545" w:rsidRDefault="00B56301" w:rsidP="00B37B65">
            <w:pPr>
              <w:jc w:val="right"/>
              <w:rPr>
                <w:rFonts w:asciiTheme="minorHAnsi" w:hAnsiTheme="minorHAnsi"/>
                <w:sz w:val="16"/>
                <w:szCs w:val="16"/>
              </w:rPr>
            </w:pPr>
            <w:r w:rsidRPr="00364545">
              <w:rPr>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5BD99F0B"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46B75FAF"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03DE8BA1" w14:textId="77777777" w:rsidR="00B56301" w:rsidRPr="00364545" w:rsidRDefault="00B56301" w:rsidP="00B37B65">
            <w:pPr>
              <w:jc w:val="right"/>
              <w:rPr>
                <w:rFonts w:asciiTheme="minorHAnsi" w:hAnsiTheme="minorHAnsi"/>
                <w:sz w:val="16"/>
                <w:szCs w:val="16"/>
              </w:rPr>
            </w:pPr>
            <w:r w:rsidRPr="00364545">
              <w:rPr>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0B9F44CE" w14:textId="77777777" w:rsidR="00B56301" w:rsidRPr="00364545" w:rsidRDefault="00B56301" w:rsidP="00B37B65">
            <w:pPr>
              <w:jc w:val="right"/>
              <w:rPr>
                <w:rFonts w:asciiTheme="minorHAnsi" w:hAnsiTheme="minorHAnsi"/>
                <w:sz w:val="16"/>
                <w:szCs w:val="16"/>
              </w:rPr>
            </w:pPr>
            <w:r w:rsidRPr="00364545">
              <w:rPr>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781F57D8" w14:textId="77777777" w:rsidR="00B56301" w:rsidRPr="00364545" w:rsidRDefault="00B56301" w:rsidP="00B37B65">
            <w:pPr>
              <w:jc w:val="right"/>
              <w:rPr>
                <w:rFonts w:asciiTheme="minorHAnsi" w:hAnsiTheme="minorHAnsi"/>
                <w:sz w:val="16"/>
                <w:szCs w:val="16"/>
              </w:rPr>
            </w:pPr>
            <w:r w:rsidRPr="00364545">
              <w:rPr>
                <w:sz w:val="16"/>
              </w:rPr>
              <w:t>0,04</w:t>
            </w:r>
          </w:p>
        </w:tc>
      </w:tr>
      <w:tr w:rsidR="00B56301" w:rsidRPr="00364545" w14:paraId="3F7C110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F589C1B" w14:textId="71DE4A33"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Liming</w:t>
            </w:r>
          </w:p>
        </w:tc>
        <w:tc>
          <w:tcPr>
            <w:tcW w:w="991" w:type="dxa"/>
            <w:tcBorders>
              <w:top w:val="nil"/>
              <w:left w:val="nil"/>
              <w:bottom w:val="single" w:sz="4" w:space="0" w:color="auto"/>
              <w:right w:val="single" w:sz="4" w:space="0" w:color="auto"/>
            </w:tcBorders>
            <w:shd w:val="clear" w:color="000000" w:fill="969696"/>
            <w:noWrap/>
            <w:vAlign w:val="bottom"/>
            <w:hideMark/>
          </w:tcPr>
          <w:p w14:paraId="55696A9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82BC25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CBF52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898A3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87B1F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3C3896E"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6CCE5C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A74CF6" w14:textId="77D1681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H. 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4E402B0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EC02F3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E14D1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75756F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AFA22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EDD337"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2946A4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D980CCA" w14:textId="3792DAA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I. Other carbon containing fertlizers</w:t>
            </w:r>
          </w:p>
        </w:tc>
        <w:tc>
          <w:tcPr>
            <w:tcW w:w="991" w:type="dxa"/>
            <w:tcBorders>
              <w:top w:val="nil"/>
              <w:left w:val="nil"/>
              <w:bottom w:val="single" w:sz="4" w:space="0" w:color="auto"/>
              <w:right w:val="single" w:sz="4" w:space="0" w:color="auto"/>
            </w:tcBorders>
            <w:shd w:val="clear" w:color="000000" w:fill="969696"/>
            <w:noWrap/>
            <w:vAlign w:val="bottom"/>
            <w:hideMark/>
          </w:tcPr>
          <w:p w14:paraId="1D2F60C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A0590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845E3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1F942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682DDF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8AA2C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56AFD9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2BE6E3A" w14:textId="17DAF73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J. Other </w:t>
            </w:r>
          </w:p>
        </w:tc>
        <w:tc>
          <w:tcPr>
            <w:tcW w:w="991" w:type="dxa"/>
            <w:tcBorders>
              <w:top w:val="nil"/>
              <w:left w:val="nil"/>
              <w:bottom w:val="single" w:sz="4" w:space="0" w:color="auto"/>
              <w:right w:val="single" w:sz="4" w:space="0" w:color="auto"/>
            </w:tcBorders>
            <w:shd w:val="clear" w:color="000000" w:fill="FFFFFF"/>
            <w:noWrap/>
            <w:vAlign w:val="bottom"/>
            <w:hideMark/>
          </w:tcPr>
          <w:p w14:paraId="7E977CA3"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49563B1"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21E351F"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BE8CC7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CF8C1C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E2ED33E"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5CF212C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548E69E2"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7680E481" w14:textId="77777777" w:rsidR="00B56301" w:rsidRPr="00364545" w:rsidRDefault="00B56301" w:rsidP="00B37B65">
            <w:pPr>
              <w:jc w:val="right"/>
              <w:rPr>
                <w:rFonts w:asciiTheme="minorHAnsi" w:hAnsiTheme="minorHAnsi"/>
                <w:sz w:val="16"/>
                <w:szCs w:val="16"/>
              </w:rPr>
            </w:pPr>
            <w:r w:rsidRPr="00364545">
              <w:rPr>
                <w:sz w:val="16"/>
              </w:rPr>
              <w:t>10,26</w:t>
            </w:r>
          </w:p>
        </w:tc>
        <w:tc>
          <w:tcPr>
            <w:tcW w:w="991" w:type="dxa"/>
            <w:tcBorders>
              <w:top w:val="nil"/>
              <w:left w:val="nil"/>
              <w:bottom w:val="single" w:sz="4" w:space="0" w:color="auto"/>
              <w:right w:val="single" w:sz="4" w:space="0" w:color="auto"/>
            </w:tcBorders>
            <w:shd w:val="clear" w:color="000000" w:fill="CCFFFF"/>
            <w:noWrap/>
            <w:vAlign w:val="bottom"/>
            <w:hideMark/>
          </w:tcPr>
          <w:p w14:paraId="49CB2E29" w14:textId="77777777" w:rsidR="00B56301" w:rsidRPr="00364545" w:rsidRDefault="00B56301" w:rsidP="00B37B65">
            <w:pPr>
              <w:jc w:val="right"/>
              <w:rPr>
                <w:rFonts w:asciiTheme="minorHAnsi" w:hAnsiTheme="minorHAnsi"/>
                <w:sz w:val="16"/>
                <w:szCs w:val="16"/>
              </w:rPr>
            </w:pPr>
            <w:r w:rsidRPr="00364545">
              <w:rPr>
                <w:sz w:val="16"/>
              </w:rPr>
              <w:t>10,59</w:t>
            </w:r>
          </w:p>
        </w:tc>
        <w:tc>
          <w:tcPr>
            <w:tcW w:w="991" w:type="dxa"/>
            <w:tcBorders>
              <w:top w:val="nil"/>
              <w:left w:val="nil"/>
              <w:bottom w:val="single" w:sz="4" w:space="0" w:color="auto"/>
              <w:right w:val="single" w:sz="4" w:space="0" w:color="auto"/>
            </w:tcBorders>
            <w:shd w:val="clear" w:color="000000" w:fill="CCFFFF"/>
            <w:noWrap/>
            <w:vAlign w:val="bottom"/>
            <w:hideMark/>
          </w:tcPr>
          <w:p w14:paraId="12B6BA22" w14:textId="77777777" w:rsidR="00B56301" w:rsidRPr="00364545" w:rsidRDefault="00B56301" w:rsidP="00B37B65">
            <w:pPr>
              <w:jc w:val="right"/>
              <w:rPr>
                <w:rFonts w:asciiTheme="minorHAnsi" w:hAnsiTheme="minorHAnsi"/>
                <w:sz w:val="16"/>
                <w:szCs w:val="16"/>
              </w:rPr>
            </w:pPr>
            <w:r w:rsidRPr="00364545">
              <w:rPr>
                <w:sz w:val="16"/>
              </w:rPr>
              <w:t>10,76</w:t>
            </w:r>
          </w:p>
        </w:tc>
        <w:tc>
          <w:tcPr>
            <w:tcW w:w="991" w:type="dxa"/>
            <w:tcBorders>
              <w:top w:val="nil"/>
              <w:left w:val="nil"/>
              <w:bottom w:val="single" w:sz="4" w:space="0" w:color="auto"/>
              <w:right w:val="single" w:sz="4" w:space="0" w:color="auto"/>
            </w:tcBorders>
            <w:shd w:val="clear" w:color="000000" w:fill="CCFFFF"/>
            <w:noWrap/>
            <w:vAlign w:val="bottom"/>
            <w:hideMark/>
          </w:tcPr>
          <w:p w14:paraId="070F58A9" w14:textId="77777777" w:rsidR="00B56301" w:rsidRPr="00364545" w:rsidRDefault="00B56301" w:rsidP="00B37B65">
            <w:pPr>
              <w:jc w:val="right"/>
              <w:rPr>
                <w:rFonts w:asciiTheme="minorHAnsi" w:hAnsiTheme="minorHAnsi"/>
                <w:sz w:val="16"/>
                <w:szCs w:val="16"/>
              </w:rPr>
            </w:pPr>
            <w:r w:rsidRPr="00364545">
              <w:rPr>
                <w:sz w:val="16"/>
              </w:rPr>
              <w:t>10,79</w:t>
            </w:r>
          </w:p>
        </w:tc>
        <w:tc>
          <w:tcPr>
            <w:tcW w:w="991" w:type="dxa"/>
            <w:tcBorders>
              <w:top w:val="nil"/>
              <w:left w:val="nil"/>
              <w:bottom w:val="single" w:sz="4" w:space="0" w:color="auto"/>
              <w:right w:val="single" w:sz="4" w:space="0" w:color="auto"/>
            </w:tcBorders>
            <w:shd w:val="clear" w:color="000000" w:fill="CCFFFF"/>
            <w:noWrap/>
            <w:vAlign w:val="bottom"/>
            <w:hideMark/>
          </w:tcPr>
          <w:p w14:paraId="72C9089C" w14:textId="77777777" w:rsidR="00B56301" w:rsidRPr="00364545" w:rsidRDefault="00B56301" w:rsidP="00B37B65">
            <w:pPr>
              <w:jc w:val="right"/>
              <w:rPr>
                <w:rFonts w:asciiTheme="minorHAnsi" w:hAnsiTheme="minorHAnsi"/>
                <w:sz w:val="16"/>
                <w:szCs w:val="16"/>
              </w:rPr>
            </w:pPr>
            <w:r w:rsidRPr="00364545">
              <w:rPr>
                <w:sz w:val="16"/>
              </w:rPr>
              <w:t>10,63</w:t>
            </w:r>
          </w:p>
        </w:tc>
        <w:tc>
          <w:tcPr>
            <w:tcW w:w="991" w:type="dxa"/>
            <w:tcBorders>
              <w:top w:val="nil"/>
              <w:left w:val="nil"/>
              <w:bottom w:val="single" w:sz="4" w:space="0" w:color="auto"/>
              <w:right w:val="single" w:sz="4" w:space="0" w:color="auto"/>
            </w:tcBorders>
            <w:shd w:val="clear" w:color="000000" w:fill="CCFFFF"/>
            <w:noWrap/>
            <w:vAlign w:val="bottom"/>
            <w:hideMark/>
          </w:tcPr>
          <w:p w14:paraId="255C31E0" w14:textId="77777777" w:rsidR="00B56301" w:rsidRPr="00364545" w:rsidRDefault="00B56301" w:rsidP="00B37B65">
            <w:pPr>
              <w:jc w:val="right"/>
              <w:rPr>
                <w:rFonts w:asciiTheme="minorHAnsi" w:hAnsiTheme="minorHAnsi"/>
                <w:sz w:val="16"/>
                <w:szCs w:val="16"/>
              </w:rPr>
            </w:pPr>
            <w:r w:rsidRPr="00364545">
              <w:rPr>
                <w:sz w:val="16"/>
              </w:rPr>
              <w:t>10,40</w:t>
            </w:r>
          </w:p>
        </w:tc>
      </w:tr>
      <w:tr w:rsidR="00B56301" w:rsidRPr="00364545" w14:paraId="607CB41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C62851" w14:textId="464B85F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460579BA" w14:textId="77777777" w:rsidR="00B56301" w:rsidRPr="00364545" w:rsidRDefault="00B56301" w:rsidP="00B37B65">
            <w:pPr>
              <w:jc w:val="right"/>
              <w:rPr>
                <w:rFonts w:asciiTheme="minorHAnsi" w:hAnsiTheme="minorHAnsi"/>
                <w:sz w:val="16"/>
                <w:szCs w:val="16"/>
              </w:rPr>
            </w:pPr>
            <w:r w:rsidRPr="00364545">
              <w:rPr>
                <w:sz w:val="16"/>
              </w:rPr>
              <w:t>1,06</w:t>
            </w:r>
          </w:p>
        </w:tc>
        <w:tc>
          <w:tcPr>
            <w:tcW w:w="991" w:type="dxa"/>
            <w:tcBorders>
              <w:top w:val="nil"/>
              <w:left w:val="nil"/>
              <w:bottom w:val="single" w:sz="4" w:space="0" w:color="auto"/>
              <w:right w:val="single" w:sz="4" w:space="0" w:color="auto"/>
            </w:tcBorders>
            <w:shd w:val="clear" w:color="000000" w:fill="FFFFFF"/>
            <w:noWrap/>
            <w:vAlign w:val="bottom"/>
            <w:hideMark/>
          </w:tcPr>
          <w:p w14:paraId="5B1BA74A" w14:textId="77777777" w:rsidR="00B56301" w:rsidRPr="00364545" w:rsidRDefault="00B56301" w:rsidP="00B37B65">
            <w:pPr>
              <w:jc w:val="right"/>
              <w:rPr>
                <w:rFonts w:asciiTheme="minorHAnsi" w:hAnsiTheme="minorHAnsi"/>
                <w:sz w:val="16"/>
                <w:szCs w:val="16"/>
              </w:rPr>
            </w:pPr>
            <w:r w:rsidRPr="00364545">
              <w:rPr>
                <w:sz w:val="16"/>
              </w:rPr>
              <w:t>1,04</w:t>
            </w:r>
          </w:p>
        </w:tc>
        <w:tc>
          <w:tcPr>
            <w:tcW w:w="991" w:type="dxa"/>
            <w:tcBorders>
              <w:top w:val="nil"/>
              <w:left w:val="nil"/>
              <w:bottom w:val="single" w:sz="4" w:space="0" w:color="auto"/>
              <w:right w:val="single" w:sz="4" w:space="0" w:color="auto"/>
            </w:tcBorders>
            <w:shd w:val="clear" w:color="000000" w:fill="FFFFFF"/>
            <w:noWrap/>
            <w:vAlign w:val="bottom"/>
            <w:hideMark/>
          </w:tcPr>
          <w:p w14:paraId="4EEDB01A" w14:textId="77777777" w:rsidR="00B56301" w:rsidRPr="00364545" w:rsidRDefault="00B56301" w:rsidP="00B37B65">
            <w:pPr>
              <w:jc w:val="right"/>
              <w:rPr>
                <w:rFonts w:asciiTheme="minorHAnsi" w:hAnsiTheme="minorHAnsi"/>
                <w:sz w:val="16"/>
                <w:szCs w:val="16"/>
              </w:rPr>
            </w:pPr>
            <w:r w:rsidRPr="00364545">
              <w:rPr>
                <w:sz w:val="16"/>
              </w:rPr>
              <w:t>1,10</w:t>
            </w:r>
          </w:p>
        </w:tc>
        <w:tc>
          <w:tcPr>
            <w:tcW w:w="991" w:type="dxa"/>
            <w:tcBorders>
              <w:top w:val="nil"/>
              <w:left w:val="nil"/>
              <w:bottom w:val="single" w:sz="4" w:space="0" w:color="auto"/>
              <w:right w:val="single" w:sz="4" w:space="0" w:color="auto"/>
            </w:tcBorders>
            <w:shd w:val="clear" w:color="000000" w:fill="FFFFFF"/>
            <w:noWrap/>
            <w:vAlign w:val="bottom"/>
            <w:hideMark/>
          </w:tcPr>
          <w:p w14:paraId="0F89B6B5" w14:textId="77777777" w:rsidR="00B56301" w:rsidRPr="00364545" w:rsidRDefault="00B56301" w:rsidP="00B37B65">
            <w:pPr>
              <w:jc w:val="right"/>
              <w:rPr>
                <w:rFonts w:asciiTheme="minorHAnsi" w:hAnsiTheme="minorHAnsi"/>
                <w:sz w:val="16"/>
                <w:szCs w:val="16"/>
              </w:rPr>
            </w:pPr>
            <w:r w:rsidRPr="00364545">
              <w:rPr>
                <w:sz w:val="16"/>
              </w:rPr>
              <w:t>1,16</w:t>
            </w:r>
          </w:p>
        </w:tc>
        <w:tc>
          <w:tcPr>
            <w:tcW w:w="991" w:type="dxa"/>
            <w:tcBorders>
              <w:top w:val="nil"/>
              <w:left w:val="nil"/>
              <w:bottom w:val="single" w:sz="4" w:space="0" w:color="auto"/>
              <w:right w:val="single" w:sz="4" w:space="0" w:color="auto"/>
            </w:tcBorders>
            <w:shd w:val="clear" w:color="000000" w:fill="FFFFFF"/>
            <w:noWrap/>
            <w:vAlign w:val="bottom"/>
            <w:hideMark/>
          </w:tcPr>
          <w:p w14:paraId="3132E864" w14:textId="77777777" w:rsidR="00B56301" w:rsidRPr="00364545" w:rsidRDefault="00B56301" w:rsidP="00B37B65">
            <w:pPr>
              <w:jc w:val="right"/>
              <w:rPr>
                <w:rFonts w:asciiTheme="minorHAnsi" w:hAnsiTheme="minorHAnsi"/>
                <w:sz w:val="16"/>
                <w:szCs w:val="16"/>
              </w:rPr>
            </w:pPr>
            <w:r w:rsidRPr="00364545">
              <w:rPr>
                <w:sz w:val="16"/>
              </w:rPr>
              <w:t>1,17</w:t>
            </w:r>
          </w:p>
        </w:tc>
        <w:tc>
          <w:tcPr>
            <w:tcW w:w="991" w:type="dxa"/>
            <w:tcBorders>
              <w:top w:val="nil"/>
              <w:left w:val="nil"/>
              <w:bottom w:val="single" w:sz="4" w:space="0" w:color="auto"/>
              <w:right w:val="single" w:sz="4" w:space="0" w:color="auto"/>
            </w:tcBorders>
            <w:shd w:val="clear" w:color="000000" w:fill="FFFFFF"/>
            <w:noWrap/>
            <w:vAlign w:val="bottom"/>
            <w:hideMark/>
          </w:tcPr>
          <w:p w14:paraId="090A055F" w14:textId="77777777" w:rsidR="00B56301" w:rsidRPr="00364545" w:rsidRDefault="00B56301" w:rsidP="00B37B65">
            <w:pPr>
              <w:jc w:val="right"/>
              <w:rPr>
                <w:rFonts w:asciiTheme="minorHAnsi" w:hAnsiTheme="minorHAnsi"/>
                <w:sz w:val="16"/>
                <w:szCs w:val="16"/>
              </w:rPr>
            </w:pPr>
            <w:r w:rsidRPr="00364545">
              <w:rPr>
                <w:sz w:val="16"/>
              </w:rPr>
              <w:t>1,15</w:t>
            </w:r>
          </w:p>
        </w:tc>
      </w:tr>
      <w:tr w:rsidR="00B56301" w:rsidRPr="00364545" w14:paraId="186D0A1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B1611D4" w14:textId="5A5F7EB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08B6B754" w14:textId="77777777" w:rsidR="00B56301" w:rsidRPr="00364545" w:rsidRDefault="00B56301" w:rsidP="00B37B65">
            <w:pPr>
              <w:jc w:val="right"/>
              <w:rPr>
                <w:rFonts w:asciiTheme="minorHAnsi" w:hAnsiTheme="minorHAnsi"/>
                <w:sz w:val="16"/>
                <w:szCs w:val="16"/>
              </w:rPr>
            </w:pPr>
            <w:r w:rsidRPr="00364545">
              <w:rPr>
                <w:sz w:val="16"/>
              </w:rPr>
              <w:t>4,91</w:t>
            </w:r>
          </w:p>
        </w:tc>
        <w:tc>
          <w:tcPr>
            <w:tcW w:w="991" w:type="dxa"/>
            <w:tcBorders>
              <w:top w:val="nil"/>
              <w:left w:val="nil"/>
              <w:bottom w:val="single" w:sz="4" w:space="0" w:color="auto"/>
              <w:right w:val="single" w:sz="4" w:space="0" w:color="auto"/>
            </w:tcBorders>
            <w:shd w:val="clear" w:color="000000" w:fill="FFFFFF"/>
            <w:noWrap/>
            <w:vAlign w:val="bottom"/>
            <w:hideMark/>
          </w:tcPr>
          <w:p w14:paraId="64A3C5AA" w14:textId="77777777" w:rsidR="00B56301" w:rsidRPr="00364545" w:rsidRDefault="00B56301" w:rsidP="00B37B65">
            <w:pPr>
              <w:jc w:val="right"/>
              <w:rPr>
                <w:rFonts w:asciiTheme="minorHAnsi" w:hAnsiTheme="minorHAnsi"/>
                <w:sz w:val="16"/>
                <w:szCs w:val="16"/>
              </w:rPr>
            </w:pPr>
            <w:r w:rsidRPr="00364545">
              <w:rPr>
                <w:sz w:val="16"/>
              </w:rPr>
              <w:t>5,11</w:t>
            </w:r>
          </w:p>
        </w:tc>
        <w:tc>
          <w:tcPr>
            <w:tcW w:w="991" w:type="dxa"/>
            <w:tcBorders>
              <w:top w:val="nil"/>
              <w:left w:val="nil"/>
              <w:bottom w:val="single" w:sz="4" w:space="0" w:color="auto"/>
              <w:right w:val="single" w:sz="4" w:space="0" w:color="auto"/>
            </w:tcBorders>
            <w:shd w:val="clear" w:color="000000" w:fill="FFFFFF"/>
            <w:noWrap/>
            <w:vAlign w:val="bottom"/>
            <w:hideMark/>
          </w:tcPr>
          <w:p w14:paraId="79E2F4C7" w14:textId="77777777" w:rsidR="00B56301" w:rsidRPr="00364545" w:rsidRDefault="00B56301" w:rsidP="00B37B65">
            <w:pPr>
              <w:jc w:val="right"/>
              <w:rPr>
                <w:rFonts w:asciiTheme="minorHAnsi" w:hAnsiTheme="minorHAnsi"/>
                <w:sz w:val="16"/>
                <w:szCs w:val="16"/>
              </w:rPr>
            </w:pPr>
            <w:r w:rsidRPr="00364545">
              <w:rPr>
                <w:sz w:val="16"/>
              </w:rPr>
              <w:t>5,17</w:t>
            </w:r>
          </w:p>
        </w:tc>
        <w:tc>
          <w:tcPr>
            <w:tcW w:w="991" w:type="dxa"/>
            <w:tcBorders>
              <w:top w:val="nil"/>
              <w:left w:val="nil"/>
              <w:bottom w:val="single" w:sz="4" w:space="0" w:color="auto"/>
              <w:right w:val="single" w:sz="4" w:space="0" w:color="auto"/>
            </w:tcBorders>
            <w:shd w:val="clear" w:color="000000" w:fill="FFFFFF"/>
            <w:noWrap/>
            <w:vAlign w:val="bottom"/>
            <w:hideMark/>
          </w:tcPr>
          <w:p w14:paraId="12D57753" w14:textId="77777777" w:rsidR="00B56301" w:rsidRPr="00364545" w:rsidRDefault="00B56301" w:rsidP="00B37B65">
            <w:pPr>
              <w:jc w:val="right"/>
              <w:rPr>
                <w:rFonts w:asciiTheme="minorHAnsi" w:hAnsiTheme="minorHAnsi"/>
                <w:sz w:val="16"/>
                <w:szCs w:val="16"/>
              </w:rPr>
            </w:pPr>
            <w:r w:rsidRPr="00364545">
              <w:rPr>
                <w:sz w:val="16"/>
              </w:rPr>
              <w:t>5,15</w:t>
            </w:r>
          </w:p>
        </w:tc>
        <w:tc>
          <w:tcPr>
            <w:tcW w:w="991" w:type="dxa"/>
            <w:tcBorders>
              <w:top w:val="nil"/>
              <w:left w:val="nil"/>
              <w:bottom w:val="single" w:sz="4" w:space="0" w:color="auto"/>
              <w:right w:val="single" w:sz="4" w:space="0" w:color="auto"/>
            </w:tcBorders>
            <w:shd w:val="clear" w:color="000000" w:fill="FFFFFF"/>
            <w:noWrap/>
            <w:vAlign w:val="bottom"/>
            <w:hideMark/>
          </w:tcPr>
          <w:p w14:paraId="224F568A" w14:textId="77777777" w:rsidR="00B56301" w:rsidRPr="00364545" w:rsidRDefault="00B56301" w:rsidP="00B37B65">
            <w:pPr>
              <w:jc w:val="right"/>
              <w:rPr>
                <w:rFonts w:asciiTheme="minorHAnsi" w:hAnsiTheme="minorHAnsi"/>
                <w:sz w:val="16"/>
                <w:szCs w:val="16"/>
              </w:rPr>
            </w:pPr>
            <w:r w:rsidRPr="00364545">
              <w:rPr>
                <w:sz w:val="16"/>
              </w:rPr>
              <w:t>5,04</w:t>
            </w:r>
          </w:p>
        </w:tc>
        <w:tc>
          <w:tcPr>
            <w:tcW w:w="991" w:type="dxa"/>
            <w:tcBorders>
              <w:top w:val="nil"/>
              <w:left w:val="nil"/>
              <w:bottom w:val="single" w:sz="4" w:space="0" w:color="auto"/>
              <w:right w:val="single" w:sz="4" w:space="0" w:color="auto"/>
            </w:tcBorders>
            <w:shd w:val="clear" w:color="000000" w:fill="FFFFFF"/>
            <w:noWrap/>
            <w:vAlign w:val="bottom"/>
            <w:hideMark/>
          </w:tcPr>
          <w:p w14:paraId="58B7A620" w14:textId="77777777" w:rsidR="00B56301" w:rsidRPr="00364545" w:rsidRDefault="00B56301" w:rsidP="00B37B65">
            <w:pPr>
              <w:jc w:val="right"/>
              <w:rPr>
                <w:rFonts w:asciiTheme="minorHAnsi" w:hAnsiTheme="minorHAnsi"/>
                <w:sz w:val="16"/>
                <w:szCs w:val="16"/>
              </w:rPr>
            </w:pPr>
            <w:r w:rsidRPr="00364545">
              <w:rPr>
                <w:sz w:val="16"/>
              </w:rPr>
              <w:t>4,93</w:t>
            </w:r>
          </w:p>
        </w:tc>
      </w:tr>
      <w:tr w:rsidR="00B56301" w:rsidRPr="00364545" w14:paraId="77768F7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2906D9" w14:textId="1C8E1E56"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02F87B4B" w14:textId="77777777" w:rsidR="00B56301" w:rsidRPr="00364545" w:rsidRDefault="00B56301" w:rsidP="00B37B65">
            <w:pPr>
              <w:jc w:val="right"/>
              <w:rPr>
                <w:rFonts w:asciiTheme="minorHAnsi" w:hAnsiTheme="minorHAnsi"/>
                <w:sz w:val="16"/>
                <w:szCs w:val="16"/>
              </w:rPr>
            </w:pPr>
            <w:r w:rsidRPr="00364545">
              <w:rPr>
                <w:sz w:val="16"/>
              </w:rPr>
              <w:t>0,52</w:t>
            </w:r>
          </w:p>
        </w:tc>
        <w:tc>
          <w:tcPr>
            <w:tcW w:w="991" w:type="dxa"/>
            <w:tcBorders>
              <w:top w:val="nil"/>
              <w:left w:val="nil"/>
              <w:bottom w:val="single" w:sz="4" w:space="0" w:color="auto"/>
              <w:right w:val="single" w:sz="4" w:space="0" w:color="auto"/>
            </w:tcBorders>
            <w:shd w:val="clear" w:color="000000" w:fill="FFFFFF"/>
            <w:noWrap/>
            <w:vAlign w:val="bottom"/>
            <w:hideMark/>
          </w:tcPr>
          <w:p w14:paraId="119E922A" w14:textId="77777777" w:rsidR="00B56301" w:rsidRPr="00364545" w:rsidRDefault="00B56301" w:rsidP="00B37B65">
            <w:pPr>
              <w:jc w:val="right"/>
              <w:rPr>
                <w:rFonts w:asciiTheme="minorHAnsi" w:hAnsiTheme="minorHAnsi"/>
                <w:sz w:val="16"/>
                <w:szCs w:val="16"/>
              </w:rPr>
            </w:pPr>
            <w:r w:rsidRPr="00364545">
              <w:rPr>
                <w:sz w:val="16"/>
              </w:rPr>
              <w:t>0,50</w:t>
            </w:r>
          </w:p>
        </w:tc>
        <w:tc>
          <w:tcPr>
            <w:tcW w:w="991" w:type="dxa"/>
            <w:tcBorders>
              <w:top w:val="nil"/>
              <w:left w:val="nil"/>
              <w:bottom w:val="single" w:sz="4" w:space="0" w:color="auto"/>
              <w:right w:val="single" w:sz="4" w:space="0" w:color="auto"/>
            </w:tcBorders>
            <w:shd w:val="clear" w:color="000000" w:fill="FFFFFF"/>
            <w:noWrap/>
            <w:vAlign w:val="bottom"/>
            <w:hideMark/>
          </w:tcPr>
          <w:p w14:paraId="0B5A054B" w14:textId="77777777" w:rsidR="00B56301" w:rsidRPr="00364545" w:rsidRDefault="00B56301" w:rsidP="00B37B65">
            <w:pPr>
              <w:jc w:val="right"/>
              <w:rPr>
                <w:rFonts w:asciiTheme="minorHAnsi" w:hAnsiTheme="minorHAnsi"/>
                <w:sz w:val="16"/>
                <w:szCs w:val="16"/>
              </w:rPr>
            </w:pPr>
            <w:r w:rsidRPr="00364545">
              <w:rPr>
                <w:sz w:val="16"/>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1789C2EC" w14:textId="77777777" w:rsidR="00B56301" w:rsidRPr="00364545" w:rsidRDefault="00B56301" w:rsidP="00B37B65">
            <w:pPr>
              <w:jc w:val="right"/>
              <w:rPr>
                <w:rFonts w:asciiTheme="minorHAnsi" w:hAnsiTheme="minorHAnsi"/>
                <w:sz w:val="16"/>
                <w:szCs w:val="16"/>
              </w:rPr>
            </w:pPr>
            <w:r w:rsidRPr="00364545">
              <w:rPr>
                <w:sz w:val="16"/>
              </w:rPr>
              <w:t>0,50</w:t>
            </w:r>
          </w:p>
        </w:tc>
        <w:tc>
          <w:tcPr>
            <w:tcW w:w="991" w:type="dxa"/>
            <w:tcBorders>
              <w:top w:val="nil"/>
              <w:left w:val="nil"/>
              <w:bottom w:val="single" w:sz="4" w:space="0" w:color="auto"/>
              <w:right w:val="single" w:sz="4" w:space="0" w:color="auto"/>
            </w:tcBorders>
            <w:shd w:val="clear" w:color="000000" w:fill="FFFFFF"/>
            <w:noWrap/>
            <w:vAlign w:val="bottom"/>
            <w:hideMark/>
          </w:tcPr>
          <w:p w14:paraId="1B07A5D0" w14:textId="77777777" w:rsidR="00B56301" w:rsidRPr="00364545" w:rsidRDefault="00B56301" w:rsidP="00B37B65">
            <w:pPr>
              <w:jc w:val="right"/>
              <w:rPr>
                <w:rFonts w:asciiTheme="minorHAnsi" w:hAnsiTheme="minorHAnsi"/>
                <w:sz w:val="16"/>
                <w:szCs w:val="16"/>
              </w:rPr>
            </w:pPr>
            <w:r w:rsidRPr="00364545">
              <w:rPr>
                <w:sz w:val="16"/>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0F70DA62" w14:textId="77777777" w:rsidR="00B56301" w:rsidRPr="00364545" w:rsidRDefault="00B56301" w:rsidP="00B37B65">
            <w:pPr>
              <w:jc w:val="right"/>
              <w:rPr>
                <w:rFonts w:asciiTheme="minorHAnsi" w:hAnsiTheme="minorHAnsi"/>
                <w:sz w:val="16"/>
                <w:szCs w:val="16"/>
              </w:rPr>
            </w:pPr>
            <w:r w:rsidRPr="00364545">
              <w:rPr>
                <w:sz w:val="16"/>
              </w:rPr>
              <w:t>0,46</w:t>
            </w:r>
          </w:p>
        </w:tc>
      </w:tr>
      <w:tr w:rsidR="00B56301" w:rsidRPr="00364545" w14:paraId="427A820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A6A5BA4" w14:textId="132E7E8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7D4A57D9"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81925A8"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67C66164"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40931E7B"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670536C3"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4E12CE20"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12F3137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0DC4A85" w14:textId="79B86D6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E. 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4E23BEAF" w14:textId="77777777" w:rsidR="00B56301" w:rsidRPr="00364545" w:rsidRDefault="00B56301" w:rsidP="00B37B65">
            <w:pPr>
              <w:jc w:val="right"/>
              <w:rPr>
                <w:rFonts w:asciiTheme="minorHAnsi" w:hAnsiTheme="minorHAnsi"/>
                <w:sz w:val="16"/>
                <w:szCs w:val="16"/>
              </w:rPr>
            </w:pPr>
            <w:r w:rsidRPr="00364545">
              <w:rPr>
                <w:sz w:val="16"/>
              </w:rPr>
              <w:t>2,11</w:t>
            </w:r>
          </w:p>
        </w:tc>
        <w:tc>
          <w:tcPr>
            <w:tcW w:w="991" w:type="dxa"/>
            <w:tcBorders>
              <w:top w:val="nil"/>
              <w:left w:val="nil"/>
              <w:bottom w:val="single" w:sz="4" w:space="0" w:color="auto"/>
              <w:right w:val="single" w:sz="4" w:space="0" w:color="auto"/>
            </w:tcBorders>
            <w:shd w:val="clear" w:color="000000" w:fill="FFFFFF"/>
            <w:noWrap/>
            <w:vAlign w:val="bottom"/>
            <w:hideMark/>
          </w:tcPr>
          <w:p w14:paraId="4C572ED8" w14:textId="77777777" w:rsidR="00B56301" w:rsidRPr="00364545" w:rsidRDefault="00B56301" w:rsidP="00B37B65">
            <w:pPr>
              <w:jc w:val="right"/>
              <w:rPr>
                <w:rFonts w:asciiTheme="minorHAnsi" w:hAnsiTheme="minorHAnsi"/>
                <w:sz w:val="16"/>
                <w:szCs w:val="16"/>
              </w:rPr>
            </w:pPr>
            <w:r w:rsidRPr="00364545">
              <w:rPr>
                <w:sz w:val="16"/>
              </w:rPr>
              <w:t>2,22</w:t>
            </w:r>
          </w:p>
        </w:tc>
        <w:tc>
          <w:tcPr>
            <w:tcW w:w="991" w:type="dxa"/>
            <w:tcBorders>
              <w:top w:val="nil"/>
              <w:left w:val="nil"/>
              <w:bottom w:val="single" w:sz="4" w:space="0" w:color="auto"/>
              <w:right w:val="single" w:sz="4" w:space="0" w:color="auto"/>
            </w:tcBorders>
            <w:shd w:val="clear" w:color="000000" w:fill="FFFFFF"/>
            <w:noWrap/>
            <w:vAlign w:val="bottom"/>
            <w:hideMark/>
          </w:tcPr>
          <w:p w14:paraId="47ACE431" w14:textId="77777777" w:rsidR="00B56301" w:rsidRPr="00364545" w:rsidRDefault="00B56301" w:rsidP="00B37B65">
            <w:pPr>
              <w:jc w:val="right"/>
              <w:rPr>
                <w:rFonts w:asciiTheme="minorHAnsi" w:hAnsiTheme="minorHAnsi"/>
                <w:sz w:val="16"/>
                <w:szCs w:val="16"/>
              </w:rPr>
            </w:pPr>
            <w:r w:rsidRPr="00364545">
              <w:rPr>
                <w:sz w:val="16"/>
              </w:rPr>
              <w:t>2,25</w:t>
            </w:r>
          </w:p>
        </w:tc>
        <w:tc>
          <w:tcPr>
            <w:tcW w:w="991" w:type="dxa"/>
            <w:tcBorders>
              <w:top w:val="nil"/>
              <w:left w:val="nil"/>
              <w:bottom w:val="single" w:sz="4" w:space="0" w:color="auto"/>
              <w:right w:val="single" w:sz="4" w:space="0" w:color="auto"/>
            </w:tcBorders>
            <w:shd w:val="clear" w:color="000000" w:fill="FFFFFF"/>
            <w:noWrap/>
            <w:vAlign w:val="bottom"/>
            <w:hideMark/>
          </w:tcPr>
          <w:p w14:paraId="4EBB0FD4" w14:textId="77777777" w:rsidR="00B56301" w:rsidRPr="00364545" w:rsidRDefault="00B56301" w:rsidP="00B37B65">
            <w:pPr>
              <w:jc w:val="right"/>
              <w:rPr>
                <w:rFonts w:asciiTheme="minorHAnsi" w:hAnsiTheme="minorHAnsi"/>
                <w:sz w:val="16"/>
                <w:szCs w:val="16"/>
              </w:rPr>
            </w:pPr>
            <w:r w:rsidRPr="00364545">
              <w:rPr>
                <w:sz w:val="16"/>
              </w:rPr>
              <w:t>2,25</w:t>
            </w:r>
          </w:p>
        </w:tc>
        <w:tc>
          <w:tcPr>
            <w:tcW w:w="991" w:type="dxa"/>
            <w:tcBorders>
              <w:top w:val="nil"/>
              <w:left w:val="nil"/>
              <w:bottom w:val="single" w:sz="4" w:space="0" w:color="auto"/>
              <w:right w:val="single" w:sz="4" w:space="0" w:color="auto"/>
            </w:tcBorders>
            <w:shd w:val="clear" w:color="000000" w:fill="FFFFFF"/>
            <w:noWrap/>
            <w:vAlign w:val="bottom"/>
            <w:hideMark/>
          </w:tcPr>
          <w:p w14:paraId="795B24A9" w14:textId="77777777" w:rsidR="00B56301" w:rsidRPr="00364545" w:rsidRDefault="00B56301" w:rsidP="00B37B65">
            <w:pPr>
              <w:jc w:val="right"/>
              <w:rPr>
                <w:rFonts w:asciiTheme="minorHAnsi" w:hAnsiTheme="minorHAnsi"/>
                <w:sz w:val="16"/>
                <w:szCs w:val="16"/>
              </w:rPr>
            </w:pPr>
            <w:r w:rsidRPr="00364545">
              <w:rPr>
                <w:sz w:val="16"/>
              </w:rPr>
              <w:t>2,22</w:t>
            </w:r>
          </w:p>
        </w:tc>
        <w:tc>
          <w:tcPr>
            <w:tcW w:w="991" w:type="dxa"/>
            <w:tcBorders>
              <w:top w:val="nil"/>
              <w:left w:val="nil"/>
              <w:bottom w:val="single" w:sz="4" w:space="0" w:color="auto"/>
              <w:right w:val="single" w:sz="4" w:space="0" w:color="auto"/>
            </w:tcBorders>
            <w:shd w:val="clear" w:color="000000" w:fill="FFFFFF"/>
            <w:noWrap/>
            <w:vAlign w:val="bottom"/>
            <w:hideMark/>
          </w:tcPr>
          <w:p w14:paraId="389A4FC5" w14:textId="77777777" w:rsidR="00B56301" w:rsidRPr="00364545" w:rsidRDefault="00B56301" w:rsidP="00B37B65">
            <w:pPr>
              <w:jc w:val="right"/>
              <w:rPr>
                <w:rFonts w:asciiTheme="minorHAnsi" w:hAnsiTheme="minorHAnsi"/>
                <w:sz w:val="16"/>
                <w:szCs w:val="16"/>
              </w:rPr>
            </w:pPr>
            <w:r w:rsidRPr="00364545">
              <w:rPr>
                <w:sz w:val="16"/>
              </w:rPr>
              <w:t>2,19</w:t>
            </w:r>
          </w:p>
        </w:tc>
      </w:tr>
      <w:tr w:rsidR="00B56301" w:rsidRPr="00364545" w14:paraId="5461D00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23E2FA5" w14:textId="334A3EB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76B692FF"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5323A78"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2F9F4ED"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A35C7B8"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C3BAA5A"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802F444"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02522A2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776C25C" w14:textId="4254F023"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320B1C2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4346F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05C92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001730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A6489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03C3F38"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28363F1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528CA3B" w14:textId="29563E2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28E2F0A9"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53748DB"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54F2BBA5"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7F158AB8"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7877B69E"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3A5BC51" w14:textId="77777777" w:rsidR="00B56301" w:rsidRPr="00364545" w:rsidRDefault="00B56301" w:rsidP="00B37B65">
            <w:pPr>
              <w:jc w:val="right"/>
              <w:rPr>
                <w:rFonts w:asciiTheme="minorHAnsi" w:hAnsiTheme="minorHAnsi"/>
                <w:sz w:val="16"/>
                <w:szCs w:val="16"/>
              </w:rPr>
            </w:pPr>
            <w:r w:rsidRPr="00364545">
              <w:rPr>
                <w:sz w:val="16"/>
              </w:rPr>
              <w:t>NA</w:t>
            </w:r>
          </w:p>
        </w:tc>
      </w:tr>
      <w:tr w:rsidR="00B56301" w:rsidRPr="00364545" w14:paraId="25D6F7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41E98F7" w14:textId="6C9C01F0"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5. Waste</w:t>
            </w:r>
          </w:p>
        </w:tc>
        <w:tc>
          <w:tcPr>
            <w:tcW w:w="991" w:type="dxa"/>
            <w:tcBorders>
              <w:top w:val="nil"/>
              <w:left w:val="nil"/>
              <w:bottom w:val="single" w:sz="4" w:space="0" w:color="auto"/>
              <w:right w:val="single" w:sz="4" w:space="0" w:color="auto"/>
            </w:tcBorders>
            <w:shd w:val="clear" w:color="000000" w:fill="CCFFFF"/>
            <w:noWrap/>
            <w:vAlign w:val="bottom"/>
            <w:hideMark/>
          </w:tcPr>
          <w:p w14:paraId="64DF0622" w14:textId="77777777" w:rsidR="00B56301" w:rsidRPr="00364545" w:rsidRDefault="00B56301" w:rsidP="00B37B65">
            <w:pPr>
              <w:jc w:val="right"/>
              <w:rPr>
                <w:rFonts w:asciiTheme="minorHAnsi" w:hAnsiTheme="minorHAnsi"/>
                <w:sz w:val="16"/>
                <w:szCs w:val="16"/>
              </w:rPr>
            </w:pPr>
            <w:r w:rsidRPr="00364545">
              <w:rPr>
                <w:sz w:val="16"/>
              </w:rPr>
              <w:t>2,14</w:t>
            </w:r>
          </w:p>
        </w:tc>
        <w:tc>
          <w:tcPr>
            <w:tcW w:w="991" w:type="dxa"/>
            <w:tcBorders>
              <w:top w:val="nil"/>
              <w:left w:val="nil"/>
              <w:bottom w:val="single" w:sz="4" w:space="0" w:color="auto"/>
              <w:right w:val="single" w:sz="4" w:space="0" w:color="auto"/>
            </w:tcBorders>
            <w:shd w:val="clear" w:color="000000" w:fill="CCFFFF"/>
            <w:noWrap/>
            <w:vAlign w:val="bottom"/>
            <w:hideMark/>
          </w:tcPr>
          <w:p w14:paraId="5AFB2E5A" w14:textId="77777777" w:rsidR="00B56301" w:rsidRPr="00364545" w:rsidRDefault="00B56301" w:rsidP="00B37B65">
            <w:pPr>
              <w:jc w:val="right"/>
              <w:rPr>
                <w:rFonts w:asciiTheme="minorHAnsi" w:hAnsiTheme="minorHAnsi"/>
                <w:sz w:val="16"/>
                <w:szCs w:val="16"/>
              </w:rPr>
            </w:pPr>
            <w:r w:rsidRPr="00364545">
              <w:rPr>
                <w:sz w:val="16"/>
              </w:rPr>
              <w:t>2,13</w:t>
            </w:r>
          </w:p>
        </w:tc>
        <w:tc>
          <w:tcPr>
            <w:tcW w:w="991" w:type="dxa"/>
            <w:tcBorders>
              <w:top w:val="nil"/>
              <w:left w:val="nil"/>
              <w:bottom w:val="single" w:sz="4" w:space="0" w:color="auto"/>
              <w:right w:val="single" w:sz="4" w:space="0" w:color="auto"/>
            </w:tcBorders>
            <w:shd w:val="clear" w:color="000000" w:fill="CCFFFF"/>
            <w:noWrap/>
            <w:vAlign w:val="bottom"/>
            <w:hideMark/>
          </w:tcPr>
          <w:p w14:paraId="712E1107" w14:textId="77777777" w:rsidR="00B56301" w:rsidRPr="00364545" w:rsidRDefault="00B56301" w:rsidP="00B37B65">
            <w:pPr>
              <w:jc w:val="right"/>
              <w:rPr>
                <w:rFonts w:asciiTheme="minorHAnsi" w:hAnsiTheme="minorHAnsi"/>
                <w:sz w:val="16"/>
                <w:szCs w:val="16"/>
              </w:rPr>
            </w:pPr>
            <w:r w:rsidRPr="00364545">
              <w:rPr>
                <w:sz w:val="16"/>
              </w:rPr>
              <w:t>2,13</w:t>
            </w:r>
          </w:p>
        </w:tc>
        <w:tc>
          <w:tcPr>
            <w:tcW w:w="991" w:type="dxa"/>
            <w:tcBorders>
              <w:top w:val="nil"/>
              <w:left w:val="nil"/>
              <w:bottom w:val="single" w:sz="4" w:space="0" w:color="auto"/>
              <w:right w:val="single" w:sz="4" w:space="0" w:color="auto"/>
            </w:tcBorders>
            <w:shd w:val="clear" w:color="000000" w:fill="CCFFFF"/>
            <w:noWrap/>
            <w:vAlign w:val="bottom"/>
            <w:hideMark/>
          </w:tcPr>
          <w:p w14:paraId="0F502DAF" w14:textId="77777777" w:rsidR="00B56301" w:rsidRPr="00364545" w:rsidRDefault="00B56301" w:rsidP="00B37B65">
            <w:pPr>
              <w:jc w:val="right"/>
              <w:rPr>
                <w:rFonts w:asciiTheme="minorHAnsi" w:hAnsiTheme="minorHAnsi"/>
                <w:sz w:val="16"/>
                <w:szCs w:val="16"/>
              </w:rPr>
            </w:pPr>
            <w:r w:rsidRPr="00364545">
              <w:rPr>
                <w:sz w:val="16"/>
              </w:rPr>
              <w:t>2,22</w:t>
            </w:r>
          </w:p>
        </w:tc>
        <w:tc>
          <w:tcPr>
            <w:tcW w:w="991" w:type="dxa"/>
            <w:tcBorders>
              <w:top w:val="nil"/>
              <w:left w:val="nil"/>
              <w:bottom w:val="single" w:sz="4" w:space="0" w:color="auto"/>
              <w:right w:val="single" w:sz="4" w:space="0" w:color="auto"/>
            </w:tcBorders>
            <w:shd w:val="clear" w:color="000000" w:fill="CCFFFF"/>
            <w:noWrap/>
            <w:vAlign w:val="bottom"/>
            <w:hideMark/>
          </w:tcPr>
          <w:p w14:paraId="11F55B08" w14:textId="77777777" w:rsidR="00B56301" w:rsidRPr="00364545" w:rsidRDefault="00B56301" w:rsidP="00B37B65">
            <w:pPr>
              <w:jc w:val="right"/>
              <w:rPr>
                <w:rFonts w:asciiTheme="minorHAnsi" w:hAnsiTheme="minorHAnsi"/>
                <w:sz w:val="16"/>
                <w:szCs w:val="16"/>
              </w:rPr>
            </w:pPr>
            <w:r w:rsidRPr="00364545">
              <w:rPr>
                <w:sz w:val="16"/>
              </w:rPr>
              <w:t>2,08</w:t>
            </w:r>
          </w:p>
        </w:tc>
        <w:tc>
          <w:tcPr>
            <w:tcW w:w="991" w:type="dxa"/>
            <w:tcBorders>
              <w:top w:val="nil"/>
              <w:left w:val="nil"/>
              <w:bottom w:val="single" w:sz="4" w:space="0" w:color="auto"/>
              <w:right w:val="single" w:sz="4" w:space="0" w:color="auto"/>
            </w:tcBorders>
            <w:shd w:val="clear" w:color="000000" w:fill="CCFFFF"/>
            <w:noWrap/>
            <w:vAlign w:val="bottom"/>
            <w:hideMark/>
          </w:tcPr>
          <w:p w14:paraId="0CB20E30" w14:textId="77777777" w:rsidR="00B56301" w:rsidRPr="00364545" w:rsidRDefault="00B56301" w:rsidP="00B37B65">
            <w:pPr>
              <w:jc w:val="right"/>
              <w:rPr>
                <w:rFonts w:asciiTheme="minorHAnsi" w:hAnsiTheme="minorHAnsi"/>
                <w:sz w:val="16"/>
                <w:szCs w:val="16"/>
              </w:rPr>
            </w:pPr>
            <w:r w:rsidRPr="00364545">
              <w:rPr>
                <w:sz w:val="16"/>
              </w:rPr>
              <w:t>2,15</w:t>
            </w:r>
          </w:p>
        </w:tc>
      </w:tr>
      <w:tr w:rsidR="00B56301" w:rsidRPr="00364545" w14:paraId="4E9CB6E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E07AA1" w14:textId="380339D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38CD49A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8E88D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249AC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5211F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8721F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2FE624"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328FE6F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210B10" w14:textId="6ECFBFD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27B25488" w14:textId="77777777" w:rsidR="00B56301" w:rsidRPr="00364545" w:rsidRDefault="00B56301" w:rsidP="00B37B65">
            <w:pPr>
              <w:jc w:val="right"/>
              <w:rPr>
                <w:rFonts w:asciiTheme="minorHAnsi" w:hAnsiTheme="minorHAnsi"/>
                <w:sz w:val="16"/>
                <w:szCs w:val="16"/>
              </w:rPr>
            </w:pPr>
            <w:r w:rsidRPr="00364545">
              <w:rPr>
                <w:sz w:val="16"/>
              </w:rPr>
              <w:t>0,40</w:t>
            </w:r>
          </w:p>
        </w:tc>
        <w:tc>
          <w:tcPr>
            <w:tcW w:w="991" w:type="dxa"/>
            <w:tcBorders>
              <w:top w:val="nil"/>
              <w:left w:val="nil"/>
              <w:bottom w:val="single" w:sz="4" w:space="0" w:color="auto"/>
              <w:right w:val="single" w:sz="4" w:space="0" w:color="auto"/>
            </w:tcBorders>
            <w:shd w:val="clear" w:color="000000" w:fill="FFFFFF"/>
            <w:noWrap/>
            <w:vAlign w:val="bottom"/>
            <w:hideMark/>
          </w:tcPr>
          <w:p w14:paraId="7F61B8A6" w14:textId="77777777" w:rsidR="00B56301" w:rsidRPr="00364545" w:rsidRDefault="00B56301" w:rsidP="00B37B65">
            <w:pPr>
              <w:jc w:val="right"/>
              <w:rPr>
                <w:rFonts w:asciiTheme="minorHAnsi" w:hAnsiTheme="minorHAnsi"/>
                <w:sz w:val="16"/>
                <w:szCs w:val="16"/>
              </w:rPr>
            </w:pPr>
            <w:r w:rsidRPr="00364545">
              <w:rPr>
                <w:sz w:val="16"/>
              </w:rPr>
              <w:t>0,41</w:t>
            </w:r>
          </w:p>
        </w:tc>
        <w:tc>
          <w:tcPr>
            <w:tcW w:w="991" w:type="dxa"/>
            <w:tcBorders>
              <w:top w:val="nil"/>
              <w:left w:val="nil"/>
              <w:bottom w:val="single" w:sz="4" w:space="0" w:color="auto"/>
              <w:right w:val="single" w:sz="4" w:space="0" w:color="auto"/>
            </w:tcBorders>
            <w:shd w:val="clear" w:color="000000" w:fill="FFFFFF"/>
            <w:noWrap/>
            <w:vAlign w:val="bottom"/>
            <w:hideMark/>
          </w:tcPr>
          <w:p w14:paraId="62F5B0F0" w14:textId="77777777" w:rsidR="00B56301" w:rsidRPr="00364545" w:rsidRDefault="00B56301" w:rsidP="00B37B65">
            <w:pPr>
              <w:jc w:val="right"/>
              <w:rPr>
                <w:rFonts w:asciiTheme="minorHAnsi" w:hAnsiTheme="minorHAnsi"/>
                <w:sz w:val="16"/>
                <w:szCs w:val="16"/>
              </w:rPr>
            </w:pPr>
            <w:r w:rsidRPr="00364545">
              <w:rPr>
                <w:sz w:val="16"/>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0691D21D" w14:textId="77777777" w:rsidR="00B56301" w:rsidRPr="00364545" w:rsidRDefault="00B56301" w:rsidP="00B37B65">
            <w:pPr>
              <w:jc w:val="right"/>
              <w:rPr>
                <w:rFonts w:asciiTheme="minorHAnsi" w:hAnsiTheme="minorHAnsi"/>
                <w:sz w:val="16"/>
                <w:szCs w:val="16"/>
              </w:rPr>
            </w:pPr>
            <w:r w:rsidRPr="00364545">
              <w:rPr>
                <w:sz w:val="16"/>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23365DBB" w14:textId="77777777" w:rsidR="00B56301" w:rsidRPr="00364545" w:rsidRDefault="00B56301" w:rsidP="00B37B65">
            <w:pPr>
              <w:jc w:val="right"/>
              <w:rPr>
                <w:rFonts w:asciiTheme="minorHAnsi" w:hAnsiTheme="minorHAnsi"/>
                <w:sz w:val="16"/>
                <w:szCs w:val="16"/>
              </w:rPr>
            </w:pPr>
            <w:r w:rsidRPr="00364545">
              <w:rPr>
                <w:sz w:val="16"/>
              </w:rPr>
              <w:t>0,52</w:t>
            </w:r>
          </w:p>
        </w:tc>
        <w:tc>
          <w:tcPr>
            <w:tcW w:w="991" w:type="dxa"/>
            <w:tcBorders>
              <w:top w:val="nil"/>
              <w:left w:val="nil"/>
              <w:bottom w:val="single" w:sz="4" w:space="0" w:color="auto"/>
              <w:right w:val="single" w:sz="4" w:space="0" w:color="auto"/>
            </w:tcBorders>
            <w:shd w:val="clear" w:color="000000" w:fill="FFFFFF"/>
            <w:noWrap/>
            <w:vAlign w:val="bottom"/>
            <w:hideMark/>
          </w:tcPr>
          <w:p w14:paraId="77B69570" w14:textId="77777777" w:rsidR="00B56301" w:rsidRPr="00364545" w:rsidRDefault="00B56301" w:rsidP="00B37B65">
            <w:pPr>
              <w:jc w:val="right"/>
              <w:rPr>
                <w:rFonts w:asciiTheme="minorHAnsi" w:hAnsiTheme="minorHAnsi"/>
                <w:sz w:val="16"/>
                <w:szCs w:val="16"/>
              </w:rPr>
            </w:pPr>
            <w:r w:rsidRPr="00364545">
              <w:rPr>
                <w:sz w:val="16"/>
              </w:rPr>
              <w:t>0,59</w:t>
            </w:r>
          </w:p>
        </w:tc>
      </w:tr>
      <w:tr w:rsidR="00B56301" w:rsidRPr="00364545" w14:paraId="64A3123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9C868B" w14:textId="330015F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70E26327" w14:textId="77777777" w:rsidR="00B56301" w:rsidRPr="00364545" w:rsidRDefault="00B56301" w:rsidP="00B37B65">
            <w:pPr>
              <w:jc w:val="right"/>
              <w:rPr>
                <w:rFonts w:asciiTheme="minorHAnsi" w:hAnsiTheme="minorHAnsi"/>
                <w:sz w:val="16"/>
                <w:szCs w:val="16"/>
              </w:rPr>
            </w:pPr>
            <w:r w:rsidRPr="00364545">
              <w:rPr>
                <w:sz w:val="16"/>
              </w:rPr>
              <w:t>0,27</w:t>
            </w:r>
          </w:p>
        </w:tc>
        <w:tc>
          <w:tcPr>
            <w:tcW w:w="991" w:type="dxa"/>
            <w:tcBorders>
              <w:top w:val="nil"/>
              <w:left w:val="nil"/>
              <w:bottom w:val="single" w:sz="4" w:space="0" w:color="auto"/>
              <w:right w:val="single" w:sz="4" w:space="0" w:color="auto"/>
            </w:tcBorders>
            <w:shd w:val="clear" w:color="000000" w:fill="FFFFFF"/>
            <w:noWrap/>
            <w:vAlign w:val="bottom"/>
            <w:hideMark/>
          </w:tcPr>
          <w:p w14:paraId="3802B525" w14:textId="77777777" w:rsidR="00B56301" w:rsidRPr="00364545" w:rsidRDefault="00B56301" w:rsidP="00B37B65">
            <w:pPr>
              <w:jc w:val="right"/>
              <w:rPr>
                <w:rFonts w:asciiTheme="minorHAnsi" w:hAnsiTheme="minorHAnsi"/>
                <w:sz w:val="16"/>
                <w:szCs w:val="16"/>
              </w:rPr>
            </w:pPr>
            <w:r w:rsidRPr="00364545">
              <w:rPr>
                <w:sz w:val="16"/>
              </w:rPr>
              <w:t>0,24</w:t>
            </w:r>
          </w:p>
        </w:tc>
        <w:tc>
          <w:tcPr>
            <w:tcW w:w="991" w:type="dxa"/>
            <w:tcBorders>
              <w:top w:val="nil"/>
              <w:left w:val="nil"/>
              <w:bottom w:val="single" w:sz="4" w:space="0" w:color="auto"/>
              <w:right w:val="single" w:sz="4" w:space="0" w:color="auto"/>
            </w:tcBorders>
            <w:shd w:val="clear" w:color="000000" w:fill="FFFFFF"/>
            <w:noWrap/>
            <w:vAlign w:val="bottom"/>
            <w:hideMark/>
          </w:tcPr>
          <w:p w14:paraId="5AEC2E85" w14:textId="77777777" w:rsidR="00B56301" w:rsidRPr="00364545" w:rsidRDefault="00B56301" w:rsidP="00B37B65">
            <w:pPr>
              <w:jc w:val="right"/>
              <w:rPr>
                <w:rFonts w:asciiTheme="minorHAnsi" w:hAnsiTheme="minorHAnsi"/>
                <w:sz w:val="16"/>
                <w:szCs w:val="16"/>
              </w:rPr>
            </w:pPr>
            <w:r w:rsidRPr="00364545">
              <w:rPr>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31C19B9A" w14:textId="77777777" w:rsidR="00B56301" w:rsidRPr="00364545" w:rsidRDefault="00B56301" w:rsidP="00B37B65">
            <w:pPr>
              <w:jc w:val="right"/>
              <w:rPr>
                <w:rFonts w:asciiTheme="minorHAnsi" w:hAnsiTheme="minorHAnsi"/>
                <w:sz w:val="16"/>
                <w:szCs w:val="16"/>
              </w:rPr>
            </w:pPr>
            <w:r w:rsidRPr="00364545">
              <w:rPr>
                <w:sz w:val="16"/>
              </w:rPr>
              <w:t>0,26</w:t>
            </w:r>
          </w:p>
        </w:tc>
        <w:tc>
          <w:tcPr>
            <w:tcW w:w="991" w:type="dxa"/>
            <w:tcBorders>
              <w:top w:val="nil"/>
              <w:left w:val="nil"/>
              <w:bottom w:val="single" w:sz="4" w:space="0" w:color="auto"/>
              <w:right w:val="single" w:sz="4" w:space="0" w:color="auto"/>
            </w:tcBorders>
            <w:shd w:val="clear" w:color="000000" w:fill="FFFFFF"/>
            <w:noWrap/>
            <w:vAlign w:val="bottom"/>
            <w:hideMark/>
          </w:tcPr>
          <w:p w14:paraId="6B7B4360" w14:textId="77777777" w:rsidR="00B56301" w:rsidRPr="00364545" w:rsidRDefault="00B56301" w:rsidP="00B37B65">
            <w:pPr>
              <w:jc w:val="right"/>
              <w:rPr>
                <w:rFonts w:asciiTheme="minorHAnsi" w:hAnsiTheme="minorHAnsi"/>
                <w:sz w:val="16"/>
                <w:szCs w:val="16"/>
              </w:rPr>
            </w:pPr>
            <w:r w:rsidRPr="00364545">
              <w:rPr>
                <w:sz w:val="16"/>
              </w:rPr>
              <w:t>0,23</w:t>
            </w:r>
          </w:p>
        </w:tc>
        <w:tc>
          <w:tcPr>
            <w:tcW w:w="991" w:type="dxa"/>
            <w:tcBorders>
              <w:top w:val="nil"/>
              <w:left w:val="nil"/>
              <w:bottom w:val="single" w:sz="4" w:space="0" w:color="auto"/>
              <w:right w:val="single" w:sz="4" w:space="0" w:color="auto"/>
            </w:tcBorders>
            <w:shd w:val="clear" w:color="000000" w:fill="FFFFFF"/>
            <w:noWrap/>
            <w:vAlign w:val="bottom"/>
            <w:hideMark/>
          </w:tcPr>
          <w:p w14:paraId="72D4B14F" w14:textId="77777777" w:rsidR="00B56301" w:rsidRPr="00364545" w:rsidRDefault="00B56301" w:rsidP="00B37B65">
            <w:pPr>
              <w:jc w:val="right"/>
              <w:rPr>
                <w:rFonts w:asciiTheme="minorHAnsi" w:hAnsiTheme="minorHAnsi"/>
                <w:sz w:val="16"/>
                <w:szCs w:val="16"/>
              </w:rPr>
            </w:pPr>
            <w:r w:rsidRPr="00364545">
              <w:rPr>
                <w:sz w:val="16"/>
              </w:rPr>
              <w:t>0,23</w:t>
            </w:r>
          </w:p>
        </w:tc>
      </w:tr>
      <w:tr w:rsidR="00B56301" w:rsidRPr="00364545" w14:paraId="2F4AECB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FEC52F" w14:textId="255783A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6EDF89EB" w14:textId="77777777" w:rsidR="00B56301" w:rsidRPr="00364545" w:rsidRDefault="00B56301" w:rsidP="00B37B65">
            <w:pPr>
              <w:jc w:val="right"/>
              <w:rPr>
                <w:rFonts w:asciiTheme="minorHAnsi" w:hAnsiTheme="minorHAnsi"/>
                <w:sz w:val="16"/>
                <w:szCs w:val="16"/>
              </w:rPr>
            </w:pPr>
            <w:r w:rsidRPr="00364545">
              <w:rPr>
                <w:sz w:val="16"/>
              </w:rPr>
              <w:t>1,47</w:t>
            </w:r>
          </w:p>
        </w:tc>
        <w:tc>
          <w:tcPr>
            <w:tcW w:w="991" w:type="dxa"/>
            <w:tcBorders>
              <w:top w:val="nil"/>
              <w:left w:val="nil"/>
              <w:bottom w:val="single" w:sz="4" w:space="0" w:color="auto"/>
              <w:right w:val="single" w:sz="4" w:space="0" w:color="auto"/>
            </w:tcBorders>
            <w:shd w:val="clear" w:color="000000" w:fill="FFFFFF"/>
            <w:noWrap/>
            <w:vAlign w:val="bottom"/>
            <w:hideMark/>
          </w:tcPr>
          <w:p w14:paraId="10BAE127" w14:textId="77777777" w:rsidR="00B56301" w:rsidRPr="00364545" w:rsidRDefault="00B56301" w:rsidP="00B37B65">
            <w:pPr>
              <w:jc w:val="right"/>
              <w:rPr>
                <w:rFonts w:asciiTheme="minorHAnsi" w:hAnsiTheme="minorHAnsi"/>
                <w:sz w:val="16"/>
                <w:szCs w:val="16"/>
              </w:rPr>
            </w:pPr>
            <w:r w:rsidRPr="00364545">
              <w:rPr>
                <w:sz w:val="16"/>
              </w:rPr>
              <w:t>1,48</w:t>
            </w:r>
          </w:p>
        </w:tc>
        <w:tc>
          <w:tcPr>
            <w:tcW w:w="991" w:type="dxa"/>
            <w:tcBorders>
              <w:top w:val="nil"/>
              <w:left w:val="nil"/>
              <w:bottom w:val="single" w:sz="4" w:space="0" w:color="auto"/>
              <w:right w:val="single" w:sz="4" w:space="0" w:color="auto"/>
            </w:tcBorders>
            <w:shd w:val="clear" w:color="000000" w:fill="FFFFFF"/>
            <w:noWrap/>
            <w:vAlign w:val="bottom"/>
            <w:hideMark/>
          </w:tcPr>
          <w:p w14:paraId="6C5C547B" w14:textId="77777777" w:rsidR="00B56301" w:rsidRPr="00364545" w:rsidRDefault="00B56301" w:rsidP="00B37B65">
            <w:pPr>
              <w:jc w:val="right"/>
              <w:rPr>
                <w:rFonts w:asciiTheme="minorHAnsi" w:hAnsiTheme="minorHAnsi"/>
                <w:sz w:val="16"/>
                <w:szCs w:val="16"/>
              </w:rPr>
            </w:pPr>
            <w:r w:rsidRPr="00364545">
              <w:rPr>
                <w:sz w:val="16"/>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2D21DF2E" w14:textId="77777777" w:rsidR="00B56301" w:rsidRPr="00364545" w:rsidRDefault="00B56301" w:rsidP="00B37B65">
            <w:pPr>
              <w:jc w:val="right"/>
              <w:rPr>
                <w:rFonts w:asciiTheme="minorHAnsi" w:hAnsiTheme="minorHAnsi"/>
                <w:sz w:val="16"/>
                <w:szCs w:val="16"/>
              </w:rPr>
            </w:pPr>
            <w:r w:rsidRPr="00364545">
              <w:rPr>
                <w:sz w:val="16"/>
              </w:rPr>
              <w:t>1,51</w:t>
            </w:r>
          </w:p>
        </w:tc>
        <w:tc>
          <w:tcPr>
            <w:tcW w:w="991" w:type="dxa"/>
            <w:tcBorders>
              <w:top w:val="nil"/>
              <w:left w:val="nil"/>
              <w:bottom w:val="single" w:sz="4" w:space="0" w:color="auto"/>
              <w:right w:val="single" w:sz="4" w:space="0" w:color="auto"/>
            </w:tcBorders>
            <w:shd w:val="clear" w:color="000000" w:fill="FFFFFF"/>
            <w:noWrap/>
            <w:vAlign w:val="bottom"/>
            <w:hideMark/>
          </w:tcPr>
          <w:p w14:paraId="077BC227" w14:textId="77777777" w:rsidR="00B56301" w:rsidRPr="00364545" w:rsidRDefault="00B56301" w:rsidP="00B37B65">
            <w:pPr>
              <w:jc w:val="right"/>
              <w:rPr>
                <w:rFonts w:asciiTheme="minorHAnsi" w:hAnsiTheme="minorHAnsi"/>
                <w:sz w:val="16"/>
                <w:szCs w:val="16"/>
              </w:rPr>
            </w:pPr>
            <w:r w:rsidRPr="00364545">
              <w:rPr>
                <w:sz w:val="16"/>
              </w:rPr>
              <w:t>1,33</w:t>
            </w:r>
          </w:p>
        </w:tc>
        <w:tc>
          <w:tcPr>
            <w:tcW w:w="991" w:type="dxa"/>
            <w:tcBorders>
              <w:top w:val="nil"/>
              <w:left w:val="nil"/>
              <w:bottom w:val="single" w:sz="4" w:space="0" w:color="auto"/>
              <w:right w:val="single" w:sz="4" w:space="0" w:color="auto"/>
            </w:tcBorders>
            <w:shd w:val="clear" w:color="000000" w:fill="FFFFFF"/>
            <w:noWrap/>
            <w:vAlign w:val="bottom"/>
            <w:hideMark/>
          </w:tcPr>
          <w:p w14:paraId="31D40EDC" w14:textId="77777777" w:rsidR="00B56301" w:rsidRPr="00364545" w:rsidRDefault="00B56301" w:rsidP="00B37B65">
            <w:pPr>
              <w:jc w:val="right"/>
              <w:rPr>
                <w:rFonts w:asciiTheme="minorHAnsi" w:hAnsiTheme="minorHAnsi"/>
                <w:sz w:val="16"/>
                <w:szCs w:val="16"/>
              </w:rPr>
            </w:pPr>
            <w:r w:rsidRPr="00364545">
              <w:rPr>
                <w:sz w:val="16"/>
              </w:rPr>
              <w:t>1,32</w:t>
            </w:r>
          </w:p>
        </w:tc>
      </w:tr>
      <w:tr w:rsidR="00B56301" w:rsidRPr="00364545" w14:paraId="64B2FB7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867ACF9" w14:textId="2962EFE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Other</w:t>
            </w:r>
            <w:r w:rsidRPr="00364545">
              <w:rPr>
                <w:rFonts w:asciiTheme="minorHAnsi" w:hAnsiTheme="minorHAnsi"/>
                <w:b/>
                <w:i/>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6C63C8C3"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B19C7CA"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712806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BD4B81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AA77845"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5BD92BB"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6D48B2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1658415" w14:textId="539AD812"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6E88E58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4DA6C53"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A7A5E6F"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6385773A"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23BE10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E34DE81"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1762ADA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8EA8A8E" w14:textId="26ACDAA1"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direct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 xml:space="preserve">emissions without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78D22CA5" w14:textId="77777777" w:rsidR="00B56301" w:rsidRPr="00364545" w:rsidRDefault="00B56301" w:rsidP="00B37B65">
            <w:pPr>
              <w:jc w:val="right"/>
              <w:rPr>
                <w:rFonts w:asciiTheme="minorHAnsi" w:hAnsiTheme="minorHAnsi"/>
                <w:sz w:val="16"/>
                <w:szCs w:val="16"/>
              </w:rPr>
            </w:pPr>
            <w:r w:rsidRPr="00364545">
              <w:rPr>
                <w:sz w:val="16"/>
              </w:rPr>
              <w:t>150,92</w:t>
            </w:r>
          </w:p>
        </w:tc>
        <w:tc>
          <w:tcPr>
            <w:tcW w:w="991" w:type="dxa"/>
            <w:tcBorders>
              <w:top w:val="nil"/>
              <w:left w:val="nil"/>
              <w:bottom w:val="single" w:sz="4" w:space="0" w:color="auto"/>
              <w:right w:val="single" w:sz="4" w:space="0" w:color="auto"/>
            </w:tcBorders>
            <w:shd w:val="clear" w:color="000000" w:fill="CCFFFF"/>
            <w:noWrap/>
            <w:vAlign w:val="bottom"/>
            <w:hideMark/>
          </w:tcPr>
          <w:p w14:paraId="3207A596" w14:textId="77777777" w:rsidR="00B56301" w:rsidRPr="00364545" w:rsidRDefault="00B56301" w:rsidP="00B37B65">
            <w:pPr>
              <w:jc w:val="right"/>
              <w:rPr>
                <w:rFonts w:asciiTheme="minorHAnsi" w:hAnsiTheme="minorHAnsi"/>
                <w:sz w:val="16"/>
                <w:szCs w:val="16"/>
              </w:rPr>
            </w:pPr>
            <w:r w:rsidRPr="00364545">
              <w:rPr>
                <w:sz w:val="16"/>
              </w:rPr>
              <w:t>148,44</w:t>
            </w:r>
          </w:p>
        </w:tc>
        <w:tc>
          <w:tcPr>
            <w:tcW w:w="991" w:type="dxa"/>
            <w:tcBorders>
              <w:top w:val="nil"/>
              <w:left w:val="nil"/>
              <w:bottom w:val="single" w:sz="4" w:space="0" w:color="auto"/>
              <w:right w:val="single" w:sz="4" w:space="0" w:color="auto"/>
            </w:tcBorders>
            <w:shd w:val="clear" w:color="000000" w:fill="CCFFFF"/>
            <w:noWrap/>
            <w:vAlign w:val="bottom"/>
            <w:hideMark/>
          </w:tcPr>
          <w:p w14:paraId="6A6837D8" w14:textId="77777777" w:rsidR="00B56301" w:rsidRPr="00364545" w:rsidRDefault="00B56301" w:rsidP="00B37B65">
            <w:pPr>
              <w:jc w:val="right"/>
              <w:rPr>
                <w:rFonts w:asciiTheme="minorHAnsi" w:hAnsiTheme="minorHAnsi"/>
                <w:sz w:val="16"/>
                <w:szCs w:val="16"/>
              </w:rPr>
            </w:pPr>
            <w:r w:rsidRPr="00364545">
              <w:rPr>
                <w:sz w:val="16"/>
              </w:rPr>
              <w:t>143,14</w:t>
            </w:r>
          </w:p>
        </w:tc>
        <w:tc>
          <w:tcPr>
            <w:tcW w:w="991" w:type="dxa"/>
            <w:tcBorders>
              <w:top w:val="nil"/>
              <w:left w:val="nil"/>
              <w:bottom w:val="single" w:sz="4" w:space="0" w:color="auto"/>
              <w:right w:val="single" w:sz="4" w:space="0" w:color="auto"/>
            </w:tcBorders>
            <w:shd w:val="clear" w:color="000000" w:fill="CCFFFF"/>
            <w:noWrap/>
            <w:vAlign w:val="bottom"/>
            <w:hideMark/>
          </w:tcPr>
          <w:p w14:paraId="3B3336D4" w14:textId="77777777" w:rsidR="00B56301" w:rsidRPr="00364545" w:rsidRDefault="00B56301" w:rsidP="00B37B65">
            <w:pPr>
              <w:jc w:val="right"/>
              <w:rPr>
                <w:rFonts w:asciiTheme="minorHAnsi" w:hAnsiTheme="minorHAnsi"/>
                <w:sz w:val="16"/>
                <w:szCs w:val="16"/>
              </w:rPr>
            </w:pPr>
            <w:r w:rsidRPr="00364545">
              <w:rPr>
                <w:sz w:val="16"/>
              </w:rPr>
              <w:t>135,83</w:t>
            </w:r>
          </w:p>
        </w:tc>
        <w:tc>
          <w:tcPr>
            <w:tcW w:w="991" w:type="dxa"/>
            <w:tcBorders>
              <w:top w:val="nil"/>
              <w:left w:val="nil"/>
              <w:bottom w:val="single" w:sz="4" w:space="0" w:color="auto"/>
              <w:right w:val="single" w:sz="4" w:space="0" w:color="auto"/>
            </w:tcBorders>
            <w:shd w:val="clear" w:color="000000" w:fill="CCFFFF"/>
            <w:noWrap/>
            <w:vAlign w:val="bottom"/>
            <w:hideMark/>
          </w:tcPr>
          <w:p w14:paraId="36CB494B" w14:textId="77777777" w:rsidR="00B56301" w:rsidRPr="00364545" w:rsidRDefault="00B56301" w:rsidP="00B37B65">
            <w:pPr>
              <w:jc w:val="right"/>
              <w:rPr>
                <w:rFonts w:asciiTheme="minorHAnsi" w:hAnsiTheme="minorHAnsi"/>
                <w:sz w:val="16"/>
                <w:szCs w:val="16"/>
              </w:rPr>
            </w:pPr>
            <w:r w:rsidRPr="00364545">
              <w:rPr>
                <w:sz w:val="16"/>
              </w:rPr>
              <w:t>130,47</w:t>
            </w:r>
          </w:p>
        </w:tc>
        <w:tc>
          <w:tcPr>
            <w:tcW w:w="991" w:type="dxa"/>
            <w:tcBorders>
              <w:top w:val="nil"/>
              <w:left w:val="nil"/>
              <w:bottom w:val="single" w:sz="4" w:space="0" w:color="auto"/>
              <w:right w:val="single" w:sz="4" w:space="0" w:color="auto"/>
            </w:tcBorders>
            <w:shd w:val="clear" w:color="000000" w:fill="CCFFFF"/>
            <w:noWrap/>
            <w:vAlign w:val="bottom"/>
            <w:hideMark/>
          </w:tcPr>
          <w:p w14:paraId="2FC799C3" w14:textId="77777777" w:rsidR="00B56301" w:rsidRPr="00364545" w:rsidRDefault="00B56301" w:rsidP="00B37B65">
            <w:pPr>
              <w:jc w:val="right"/>
              <w:rPr>
                <w:rFonts w:asciiTheme="minorHAnsi" w:hAnsiTheme="minorHAnsi"/>
                <w:sz w:val="16"/>
                <w:szCs w:val="16"/>
              </w:rPr>
            </w:pPr>
            <w:r w:rsidRPr="00364545">
              <w:rPr>
                <w:sz w:val="16"/>
              </w:rPr>
              <w:t>131,42</w:t>
            </w:r>
          </w:p>
        </w:tc>
      </w:tr>
      <w:tr w:rsidR="00B56301" w:rsidRPr="00364545" w14:paraId="5B16D8AE"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3FAD8589" w14:textId="4FF06904" w:rsidR="00B56301" w:rsidRPr="00364545" w:rsidRDefault="00B56301" w:rsidP="00B37B65">
            <w:pPr>
              <w:jc w:val="left"/>
              <w:rPr>
                <w:rFonts w:asciiTheme="minorHAnsi" w:hAnsiTheme="minorHAnsi"/>
                <w:b/>
                <w:bCs/>
                <w:sz w:val="16"/>
                <w:szCs w:val="16"/>
              </w:rPr>
            </w:pPr>
            <w:r w:rsidRPr="00364545">
              <w:rPr>
                <w:rFonts w:asciiTheme="minorHAnsi" w:hAnsiTheme="minorHAnsi"/>
                <w:b/>
                <w:sz w:val="16"/>
                <w:lang w:val="pt-BR"/>
              </w:rPr>
              <w:t xml:space="preserve">Total direct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 xml:space="preserve">emissions with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from LULUCF</w:t>
            </w:r>
          </w:p>
        </w:tc>
        <w:tc>
          <w:tcPr>
            <w:tcW w:w="991" w:type="dxa"/>
            <w:tcBorders>
              <w:top w:val="nil"/>
              <w:left w:val="single" w:sz="4" w:space="0" w:color="auto"/>
              <w:bottom w:val="single" w:sz="4" w:space="0" w:color="auto"/>
              <w:right w:val="single" w:sz="4" w:space="0" w:color="auto"/>
            </w:tcBorders>
            <w:shd w:val="clear" w:color="000000" w:fill="CCFFFF"/>
            <w:noWrap/>
            <w:vAlign w:val="bottom"/>
            <w:hideMark/>
          </w:tcPr>
          <w:p w14:paraId="7EE8C1BE" w14:textId="77777777" w:rsidR="00B56301" w:rsidRPr="00364545" w:rsidRDefault="00B56301" w:rsidP="00B37B65">
            <w:pPr>
              <w:jc w:val="right"/>
              <w:rPr>
                <w:rFonts w:asciiTheme="minorHAnsi" w:hAnsiTheme="minorHAnsi"/>
                <w:sz w:val="16"/>
                <w:szCs w:val="16"/>
              </w:rPr>
            </w:pPr>
            <w:r w:rsidRPr="00364545">
              <w:rPr>
                <w:sz w:val="16"/>
              </w:rPr>
              <w:t>161,18</w:t>
            </w:r>
          </w:p>
        </w:tc>
        <w:tc>
          <w:tcPr>
            <w:tcW w:w="991" w:type="dxa"/>
            <w:tcBorders>
              <w:top w:val="nil"/>
              <w:left w:val="nil"/>
              <w:bottom w:val="single" w:sz="4" w:space="0" w:color="auto"/>
              <w:right w:val="single" w:sz="4" w:space="0" w:color="auto"/>
            </w:tcBorders>
            <w:shd w:val="clear" w:color="000000" w:fill="CCFFFF"/>
            <w:noWrap/>
            <w:vAlign w:val="bottom"/>
            <w:hideMark/>
          </w:tcPr>
          <w:p w14:paraId="425D8238" w14:textId="77777777" w:rsidR="00B56301" w:rsidRPr="00364545" w:rsidRDefault="00B56301" w:rsidP="00B37B65">
            <w:pPr>
              <w:jc w:val="right"/>
              <w:rPr>
                <w:rFonts w:asciiTheme="minorHAnsi" w:hAnsiTheme="minorHAnsi"/>
                <w:sz w:val="16"/>
                <w:szCs w:val="16"/>
              </w:rPr>
            </w:pPr>
            <w:r w:rsidRPr="00364545">
              <w:rPr>
                <w:sz w:val="16"/>
              </w:rPr>
              <w:t>159,03</w:t>
            </w:r>
          </w:p>
        </w:tc>
        <w:tc>
          <w:tcPr>
            <w:tcW w:w="991" w:type="dxa"/>
            <w:tcBorders>
              <w:top w:val="nil"/>
              <w:left w:val="nil"/>
              <w:bottom w:val="single" w:sz="4" w:space="0" w:color="auto"/>
              <w:right w:val="single" w:sz="4" w:space="0" w:color="auto"/>
            </w:tcBorders>
            <w:shd w:val="clear" w:color="000000" w:fill="CCFFFF"/>
            <w:noWrap/>
            <w:vAlign w:val="bottom"/>
            <w:hideMark/>
          </w:tcPr>
          <w:p w14:paraId="18598346" w14:textId="77777777" w:rsidR="00B56301" w:rsidRPr="00364545" w:rsidRDefault="00B56301" w:rsidP="00B37B65">
            <w:pPr>
              <w:jc w:val="right"/>
              <w:rPr>
                <w:rFonts w:asciiTheme="minorHAnsi" w:hAnsiTheme="minorHAnsi"/>
                <w:sz w:val="16"/>
                <w:szCs w:val="16"/>
              </w:rPr>
            </w:pPr>
            <w:r w:rsidRPr="00364545">
              <w:rPr>
                <w:sz w:val="16"/>
              </w:rPr>
              <w:t>153,89</w:t>
            </w:r>
          </w:p>
        </w:tc>
        <w:tc>
          <w:tcPr>
            <w:tcW w:w="991" w:type="dxa"/>
            <w:tcBorders>
              <w:top w:val="nil"/>
              <w:left w:val="nil"/>
              <w:bottom w:val="single" w:sz="4" w:space="0" w:color="auto"/>
              <w:right w:val="single" w:sz="4" w:space="0" w:color="auto"/>
            </w:tcBorders>
            <w:shd w:val="clear" w:color="000000" w:fill="CCFFFF"/>
            <w:noWrap/>
            <w:vAlign w:val="bottom"/>
            <w:hideMark/>
          </w:tcPr>
          <w:p w14:paraId="3D0DE19B" w14:textId="77777777" w:rsidR="00B56301" w:rsidRPr="00364545" w:rsidRDefault="00B56301" w:rsidP="00B37B65">
            <w:pPr>
              <w:jc w:val="right"/>
              <w:rPr>
                <w:rFonts w:asciiTheme="minorHAnsi" w:hAnsiTheme="minorHAnsi"/>
                <w:sz w:val="16"/>
                <w:szCs w:val="16"/>
              </w:rPr>
            </w:pPr>
            <w:r w:rsidRPr="00364545">
              <w:rPr>
                <w:sz w:val="16"/>
              </w:rPr>
              <w:t>146,63</w:t>
            </w:r>
          </w:p>
        </w:tc>
        <w:tc>
          <w:tcPr>
            <w:tcW w:w="991" w:type="dxa"/>
            <w:tcBorders>
              <w:top w:val="nil"/>
              <w:left w:val="nil"/>
              <w:bottom w:val="single" w:sz="4" w:space="0" w:color="auto"/>
              <w:right w:val="single" w:sz="4" w:space="0" w:color="auto"/>
            </w:tcBorders>
            <w:shd w:val="clear" w:color="000000" w:fill="CCFFFF"/>
            <w:noWrap/>
            <w:vAlign w:val="bottom"/>
            <w:hideMark/>
          </w:tcPr>
          <w:p w14:paraId="5894D498" w14:textId="77777777" w:rsidR="00B56301" w:rsidRPr="00364545" w:rsidRDefault="00B56301" w:rsidP="00B37B65">
            <w:pPr>
              <w:jc w:val="right"/>
              <w:rPr>
                <w:rFonts w:asciiTheme="minorHAnsi" w:hAnsiTheme="minorHAnsi"/>
                <w:sz w:val="16"/>
                <w:szCs w:val="16"/>
              </w:rPr>
            </w:pPr>
            <w:r w:rsidRPr="00364545">
              <w:rPr>
                <w:sz w:val="16"/>
              </w:rPr>
              <w:t>141,10</w:t>
            </w:r>
          </w:p>
        </w:tc>
        <w:tc>
          <w:tcPr>
            <w:tcW w:w="991" w:type="dxa"/>
            <w:tcBorders>
              <w:top w:val="nil"/>
              <w:left w:val="nil"/>
              <w:bottom w:val="single" w:sz="4" w:space="0" w:color="auto"/>
              <w:right w:val="single" w:sz="4" w:space="0" w:color="auto"/>
            </w:tcBorders>
            <w:shd w:val="clear" w:color="000000" w:fill="CCFFFF"/>
            <w:noWrap/>
            <w:vAlign w:val="bottom"/>
            <w:hideMark/>
          </w:tcPr>
          <w:p w14:paraId="60ACAA87" w14:textId="77777777" w:rsidR="00B56301" w:rsidRPr="00364545" w:rsidRDefault="00B56301" w:rsidP="00B37B65">
            <w:pPr>
              <w:jc w:val="right"/>
              <w:rPr>
                <w:rFonts w:asciiTheme="minorHAnsi" w:hAnsiTheme="minorHAnsi"/>
                <w:sz w:val="16"/>
                <w:szCs w:val="16"/>
              </w:rPr>
            </w:pPr>
            <w:r w:rsidRPr="00364545">
              <w:rPr>
                <w:sz w:val="16"/>
              </w:rPr>
              <w:t>141,82</w:t>
            </w:r>
          </w:p>
        </w:tc>
      </w:tr>
      <w:tr w:rsidR="00B56301" w:rsidRPr="00364545" w14:paraId="5B4A73E8"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6836AAC"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Memo items:</w:t>
            </w:r>
            <w:r w:rsidRPr="00364545">
              <w:rPr>
                <w:rFonts w:asciiTheme="minorHAnsi" w:hAnsiTheme="minorHAnsi"/>
                <w:b/>
                <w:sz w:val="16"/>
                <w:vertAlign w:val="superscript"/>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4AA00BB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ED82E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C2DC1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81221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0487E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DE2BF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EF91C6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4D73CE"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00608E97" w14:textId="77777777" w:rsidR="00B56301" w:rsidRPr="00364545" w:rsidRDefault="00B56301" w:rsidP="00B37B65">
            <w:pPr>
              <w:jc w:val="right"/>
              <w:rPr>
                <w:rFonts w:asciiTheme="minorHAnsi" w:hAnsiTheme="minorHAnsi"/>
                <w:sz w:val="16"/>
                <w:szCs w:val="16"/>
              </w:rPr>
            </w:pPr>
            <w:r w:rsidRPr="00364545">
              <w:rPr>
                <w:sz w:val="16"/>
              </w:rPr>
              <w:t>0,71</w:t>
            </w:r>
          </w:p>
        </w:tc>
        <w:tc>
          <w:tcPr>
            <w:tcW w:w="991" w:type="dxa"/>
            <w:tcBorders>
              <w:top w:val="nil"/>
              <w:left w:val="nil"/>
              <w:bottom w:val="single" w:sz="4" w:space="0" w:color="auto"/>
              <w:right w:val="single" w:sz="4" w:space="0" w:color="auto"/>
            </w:tcBorders>
            <w:shd w:val="clear" w:color="000000" w:fill="CCFFFF"/>
            <w:noWrap/>
            <w:vAlign w:val="bottom"/>
            <w:hideMark/>
          </w:tcPr>
          <w:p w14:paraId="134AE7C9" w14:textId="77777777" w:rsidR="00B56301" w:rsidRPr="00364545" w:rsidRDefault="00B56301" w:rsidP="00B37B65">
            <w:pPr>
              <w:jc w:val="right"/>
              <w:rPr>
                <w:rFonts w:asciiTheme="minorHAnsi" w:hAnsiTheme="minorHAnsi"/>
                <w:sz w:val="16"/>
                <w:szCs w:val="16"/>
              </w:rPr>
            </w:pPr>
            <w:r w:rsidRPr="00364545">
              <w:rPr>
                <w:sz w:val="16"/>
              </w:rPr>
              <w:t>0,68</w:t>
            </w:r>
          </w:p>
        </w:tc>
        <w:tc>
          <w:tcPr>
            <w:tcW w:w="991" w:type="dxa"/>
            <w:tcBorders>
              <w:top w:val="nil"/>
              <w:left w:val="nil"/>
              <w:bottom w:val="single" w:sz="4" w:space="0" w:color="auto"/>
              <w:right w:val="single" w:sz="4" w:space="0" w:color="auto"/>
            </w:tcBorders>
            <w:shd w:val="clear" w:color="000000" w:fill="CCFFFF"/>
            <w:noWrap/>
            <w:vAlign w:val="bottom"/>
            <w:hideMark/>
          </w:tcPr>
          <w:p w14:paraId="3BAAD4F3" w14:textId="77777777" w:rsidR="00B56301" w:rsidRPr="00364545" w:rsidRDefault="00B56301" w:rsidP="00B37B65">
            <w:pPr>
              <w:jc w:val="right"/>
              <w:rPr>
                <w:rFonts w:asciiTheme="minorHAnsi" w:hAnsiTheme="minorHAnsi"/>
                <w:sz w:val="16"/>
                <w:szCs w:val="16"/>
              </w:rPr>
            </w:pPr>
            <w:r w:rsidRPr="00364545">
              <w:rPr>
                <w:sz w:val="16"/>
              </w:rPr>
              <w:t>0,64</w:t>
            </w:r>
          </w:p>
        </w:tc>
        <w:tc>
          <w:tcPr>
            <w:tcW w:w="991" w:type="dxa"/>
            <w:tcBorders>
              <w:top w:val="nil"/>
              <w:left w:val="nil"/>
              <w:bottom w:val="single" w:sz="4" w:space="0" w:color="auto"/>
              <w:right w:val="single" w:sz="4" w:space="0" w:color="auto"/>
            </w:tcBorders>
            <w:shd w:val="clear" w:color="000000" w:fill="CCFFFF"/>
            <w:noWrap/>
            <w:vAlign w:val="bottom"/>
            <w:hideMark/>
          </w:tcPr>
          <w:p w14:paraId="23B848B3" w14:textId="77777777" w:rsidR="00B56301" w:rsidRPr="00364545" w:rsidRDefault="00B56301" w:rsidP="00B37B65">
            <w:pPr>
              <w:jc w:val="right"/>
              <w:rPr>
                <w:rFonts w:asciiTheme="minorHAnsi" w:hAnsiTheme="minorHAnsi"/>
                <w:sz w:val="16"/>
                <w:szCs w:val="16"/>
              </w:rPr>
            </w:pPr>
            <w:r w:rsidRPr="00364545">
              <w:rPr>
                <w:sz w:val="16"/>
              </w:rPr>
              <w:t>0,64</w:t>
            </w:r>
          </w:p>
        </w:tc>
        <w:tc>
          <w:tcPr>
            <w:tcW w:w="991" w:type="dxa"/>
            <w:tcBorders>
              <w:top w:val="nil"/>
              <w:left w:val="nil"/>
              <w:bottom w:val="single" w:sz="4" w:space="0" w:color="auto"/>
              <w:right w:val="single" w:sz="4" w:space="0" w:color="auto"/>
            </w:tcBorders>
            <w:shd w:val="clear" w:color="000000" w:fill="CCFFFF"/>
            <w:noWrap/>
            <w:vAlign w:val="bottom"/>
            <w:hideMark/>
          </w:tcPr>
          <w:p w14:paraId="6FC9BF96" w14:textId="77777777" w:rsidR="00B56301" w:rsidRPr="00364545" w:rsidRDefault="00B56301" w:rsidP="00B37B65">
            <w:pPr>
              <w:jc w:val="right"/>
              <w:rPr>
                <w:rFonts w:asciiTheme="minorHAnsi" w:hAnsiTheme="minorHAnsi"/>
                <w:sz w:val="16"/>
                <w:szCs w:val="16"/>
              </w:rPr>
            </w:pPr>
            <w:r w:rsidRPr="00364545">
              <w:rPr>
                <w:sz w:val="16"/>
              </w:rPr>
              <w:t>0,68</w:t>
            </w:r>
          </w:p>
        </w:tc>
        <w:tc>
          <w:tcPr>
            <w:tcW w:w="991" w:type="dxa"/>
            <w:tcBorders>
              <w:top w:val="nil"/>
              <w:left w:val="nil"/>
              <w:bottom w:val="single" w:sz="4" w:space="0" w:color="auto"/>
              <w:right w:val="single" w:sz="4" w:space="0" w:color="auto"/>
            </w:tcBorders>
            <w:shd w:val="clear" w:color="000000" w:fill="CCFFFF"/>
            <w:noWrap/>
            <w:vAlign w:val="bottom"/>
            <w:hideMark/>
          </w:tcPr>
          <w:p w14:paraId="29C7BF0D" w14:textId="77777777" w:rsidR="00B56301" w:rsidRPr="00364545" w:rsidRDefault="00B56301" w:rsidP="00B37B65">
            <w:pPr>
              <w:jc w:val="right"/>
              <w:rPr>
                <w:rFonts w:asciiTheme="minorHAnsi" w:hAnsiTheme="minorHAnsi"/>
                <w:sz w:val="16"/>
                <w:szCs w:val="16"/>
              </w:rPr>
            </w:pPr>
            <w:r w:rsidRPr="00364545">
              <w:rPr>
                <w:sz w:val="16"/>
              </w:rPr>
              <w:t>0,66</w:t>
            </w:r>
          </w:p>
        </w:tc>
      </w:tr>
      <w:tr w:rsidR="00B56301" w:rsidRPr="00364545" w14:paraId="7505649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C29A17"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759E5113" w14:textId="77777777" w:rsidR="00B56301" w:rsidRPr="00364545" w:rsidRDefault="00B56301" w:rsidP="00B37B65">
            <w:pPr>
              <w:jc w:val="right"/>
              <w:rPr>
                <w:rFonts w:asciiTheme="minorHAnsi" w:hAnsiTheme="minorHAnsi"/>
                <w:sz w:val="16"/>
                <w:szCs w:val="16"/>
              </w:rPr>
            </w:pPr>
            <w:r w:rsidRPr="00364545">
              <w:rPr>
                <w:sz w:val="16"/>
              </w:rPr>
              <w:t>0,47</w:t>
            </w:r>
          </w:p>
        </w:tc>
        <w:tc>
          <w:tcPr>
            <w:tcW w:w="991" w:type="dxa"/>
            <w:tcBorders>
              <w:top w:val="nil"/>
              <w:left w:val="nil"/>
              <w:bottom w:val="single" w:sz="4" w:space="0" w:color="auto"/>
              <w:right w:val="single" w:sz="4" w:space="0" w:color="auto"/>
            </w:tcBorders>
            <w:shd w:val="clear" w:color="000000" w:fill="FFFFFF"/>
            <w:noWrap/>
            <w:vAlign w:val="bottom"/>
            <w:hideMark/>
          </w:tcPr>
          <w:p w14:paraId="5599353F" w14:textId="77777777" w:rsidR="00B56301" w:rsidRPr="00364545" w:rsidRDefault="00B56301" w:rsidP="00B37B65">
            <w:pPr>
              <w:jc w:val="right"/>
              <w:rPr>
                <w:rFonts w:asciiTheme="minorHAnsi" w:hAnsiTheme="minorHAnsi"/>
                <w:sz w:val="16"/>
                <w:szCs w:val="16"/>
              </w:rPr>
            </w:pPr>
            <w:r w:rsidRPr="00364545">
              <w:rPr>
                <w:sz w:val="16"/>
              </w:rPr>
              <w:t>0,47</w:t>
            </w:r>
          </w:p>
        </w:tc>
        <w:tc>
          <w:tcPr>
            <w:tcW w:w="991" w:type="dxa"/>
            <w:tcBorders>
              <w:top w:val="nil"/>
              <w:left w:val="nil"/>
              <w:bottom w:val="single" w:sz="4" w:space="0" w:color="auto"/>
              <w:right w:val="single" w:sz="4" w:space="0" w:color="auto"/>
            </w:tcBorders>
            <w:shd w:val="clear" w:color="000000" w:fill="FFFFFF"/>
            <w:noWrap/>
            <w:vAlign w:val="bottom"/>
            <w:hideMark/>
          </w:tcPr>
          <w:p w14:paraId="719C88BA" w14:textId="77777777" w:rsidR="00B56301" w:rsidRPr="00364545" w:rsidRDefault="00B56301" w:rsidP="00B37B65">
            <w:pPr>
              <w:jc w:val="right"/>
              <w:rPr>
                <w:rFonts w:asciiTheme="minorHAnsi" w:hAnsiTheme="minorHAnsi"/>
                <w:sz w:val="16"/>
                <w:szCs w:val="16"/>
              </w:rPr>
            </w:pPr>
            <w:r w:rsidRPr="00364545">
              <w:rPr>
                <w:sz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1D36356B" w14:textId="77777777" w:rsidR="00B56301" w:rsidRPr="00364545" w:rsidRDefault="00B56301" w:rsidP="00B37B65">
            <w:pPr>
              <w:jc w:val="right"/>
              <w:rPr>
                <w:rFonts w:asciiTheme="minorHAnsi" w:hAnsiTheme="minorHAnsi"/>
                <w:sz w:val="16"/>
                <w:szCs w:val="16"/>
              </w:rPr>
            </w:pPr>
            <w:r w:rsidRPr="00364545">
              <w:rPr>
                <w:sz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43AC0870" w14:textId="77777777" w:rsidR="00B56301" w:rsidRPr="00364545" w:rsidRDefault="00B56301" w:rsidP="00B37B65">
            <w:pPr>
              <w:jc w:val="right"/>
              <w:rPr>
                <w:rFonts w:asciiTheme="minorHAnsi" w:hAnsiTheme="minorHAnsi"/>
                <w:sz w:val="16"/>
                <w:szCs w:val="16"/>
              </w:rPr>
            </w:pPr>
            <w:r w:rsidRPr="00364545">
              <w:rPr>
                <w:sz w:val="16"/>
              </w:rPr>
              <w:t>0,46</w:t>
            </w:r>
          </w:p>
        </w:tc>
        <w:tc>
          <w:tcPr>
            <w:tcW w:w="991" w:type="dxa"/>
            <w:tcBorders>
              <w:top w:val="nil"/>
              <w:left w:val="nil"/>
              <w:bottom w:val="single" w:sz="4" w:space="0" w:color="auto"/>
              <w:right w:val="single" w:sz="4" w:space="0" w:color="auto"/>
            </w:tcBorders>
            <w:shd w:val="clear" w:color="000000" w:fill="FFFFFF"/>
            <w:noWrap/>
            <w:vAlign w:val="bottom"/>
            <w:hideMark/>
          </w:tcPr>
          <w:p w14:paraId="39CC7DDD" w14:textId="77777777" w:rsidR="00B56301" w:rsidRPr="00364545" w:rsidRDefault="00B56301" w:rsidP="00B37B65">
            <w:pPr>
              <w:jc w:val="right"/>
              <w:rPr>
                <w:rFonts w:asciiTheme="minorHAnsi" w:hAnsiTheme="minorHAnsi"/>
                <w:sz w:val="16"/>
                <w:szCs w:val="16"/>
              </w:rPr>
            </w:pPr>
            <w:r w:rsidRPr="00364545">
              <w:rPr>
                <w:sz w:val="16"/>
              </w:rPr>
              <w:t>0,45</w:t>
            </w:r>
          </w:p>
        </w:tc>
      </w:tr>
      <w:tr w:rsidR="00B56301" w:rsidRPr="00364545" w14:paraId="6430078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F01458"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174975F9" w14:textId="77777777" w:rsidR="00B56301" w:rsidRPr="00364545" w:rsidRDefault="00B56301" w:rsidP="00B37B65">
            <w:pPr>
              <w:jc w:val="right"/>
              <w:rPr>
                <w:rFonts w:asciiTheme="minorHAnsi" w:hAnsiTheme="minorHAnsi"/>
                <w:sz w:val="16"/>
                <w:szCs w:val="16"/>
              </w:rPr>
            </w:pPr>
            <w:r w:rsidRPr="00364545">
              <w:rPr>
                <w:sz w:val="16"/>
              </w:rPr>
              <w:t>0,24</w:t>
            </w:r>
          </w:p>
        </w:tc>
        <w:tc>
          <w:tcPr>
            <w:tcW w:w="991" w:type="dxa"/>
            <w:tcBorders>
              <w:top w:val="nil"/>
              <w:left w:val="nil"/>
              <w:bottom w:val="single" w:sz="4" w:space="0" w:color="auto"/>
              <w:right w:val="single" w:sz="4" w:space="0" w:color="auto"/>
            </w:tcBorders>
            <w:shd w:val="clear" w:color="000000" w:fill="FFFFFF"/>
            <w:noWrap/>
            <w:vAlign w:val="bottom"/>
            <w:hideMark/>
          </w:tcPr>
          <w:p w14:paraId="783F8AA0" w14:textId="77777777" w:rsidR="00B56301" w:rsidRPr="00364545" w:rsidRDefault="00B56301" w:rsidP="00B37B65">
            <w:pPr>
              <w:jc w:val="right"/>
              <w:rPr>
                <w:rFonts w:asciiTheme="minorHAnsi" w:hAnsiTheme="minorHAnsi"/>
                <w:sz w:val="16"/>
                <w:szCs w:val="16"/>
              </w:rPr>
            </w:pPr>
            <w:r w:rsidRPr="00364545">
              <w:rPr>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38B60CAB" w14:textId="77777777" w:rsidR="00B56301" w:rsidRPr="00364545" w:rsidRDefault="00B56301" w:rsidP="00B37B65">
            <w:pPr>
              <w:jc w:val="right"/>
              <w:rPr>
                <w:rFonts w:asciiTheme="minorHAnsi" w:hAnsiTheme="minorHAnsi"/>
                <w:sz w:val="16"/>
                <w:szCs w:val="16"/>
              </w:rPr>
            </w:pPr>
            <w:r w:rsidRPr="00364545">
              <w:rPr>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3B10CF5E" w14:textId="77777777" w:rsidR="00B56301" w:rsidRPr="00364545" w:rsidRDefault="00B56301" w:rsidP="00B37B65">
            <w:pPr>
              <w:jc w:val="right"/>
              <w:rPr>
                <w:rFonts w:asciiTheme="minorHAnsi" w:hAnsiTheme="minorHAnsi"/>
                <w:sz w:val="16"/>
                <w:szCs w:val="16"/>
              </w:rPr>
            </w:pPr>
            <w:r w:rsidRPr="00364545">
              <w:rPr>
                <w:sz w:val="16"/>
              </w:rPr>
              <w:t>0,20</w:t>
            </w:r>
          </w:p>
        </w:tc>
        <w:tc>
          <w:tcPr>
            <w:tcW w:w="991" w:type="dxa"/>
            <w:tcBorders>
              <w:top w:val="nil"/>
              <w:left w:val="nil"/>
              <w:bottom w:val="single" w:sz="4" w:space="0" w:color="auto"/>
              <w:right w:val="single" w:sz="4" w:space="0" w:color="auto"/>
            </w:tcBorders>
            <w:shd w:val="clear" w:color="000000" w:fill="FFFFFF"/>
            <w:noWrap/>
            <w:vAlign w:val="bottom"/>
            <w:hideMark/>
          </w:tcPr>
          <w:p w14:paraId="0EF01B6C" w14:textId="77777777" w:rsidR="00B56301" w:rsidRPr="00364545" w:rsidRDefault="00B56301" w:rsidP="00B37B65">
            <w:pPr>
              <w:jc w:val="right"/>
              <w:rPr>
                <w:rFonts w:asciiTheme="minorHAnsi" w:hAnsiTheme="minorHAnsi"/>
                <w:sz w:val="16"/>
                <w:szCs w:val="16"/>
              </w:rPr>
            </w:pPr>
            <w:r w:rsidRPr="00364545">
              <w:rPr>
                <w:sz w:val="16"/>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2C58C2A5" w14:textId="77777777" w:rsidR="00B56301" w:rsidRPr="00364545" w:rsidRDefault="00B56301" w:rsidP="00B37B65">
            <w:pPr>
              <w:jc w:val="right"/>
              <w:rPr>
                <w:rFonts w:asciiTheme="minorHAnsi" w:hAnsiTheme="minorHAnsi"/>
                <w:sz w:val="16"/>
                <w:szCs w:val="16"/>
              </w:rPr>
            </w:pPr>
            <w:r w:rsidRPr="00364545">
              <w:rPr>
                <w:sz w:val="16"/>
              </w:rPr>
              <w:t>0,21</w:t>
            </w:r>
          </w:p>
        </w:tc>
      </w:tr>
      <w:tr w:rsidR="00B56301" w:rsidRPr="00364545" w14:paraId="069417E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19EEE10"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691FB1FA"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FFBBFAC"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7F53359"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4BFE5EE"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0E49409"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C0FD610" w14:textId="77777777" w:rsidR="00B56301" w:rsidRPr="00364545" w:rsidRDefault="00B56301" w:rsidP="00B37B65">
            <w:pPr>
              <w:jc w:val="right"/>
              <w:rPr>
                <w:rFonts w:asciiTheme="minorHAnsi" w:hAnsiTheme="minorHAnsi"/>
                <w:sz w:val="16"/>
                <w:szCs w:val="16"/>
              </w:rPr>
            </w:pPr>
            <w:r w:rsidRPr="00364545">
              <w:rPr>
                <w:sz w:val="16"/>
              </w:rPr>
              <w:t>NE</w:t>
            </w:r>
          </w:p>
        </w:tc>
      </w:tr>
      <w:tr w:rsidR="00B56301" w:rsidRPr="00364545" w14:paraId="71430CB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A64D426" w14:textId="7AD8B63D"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092BA59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7CB8B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C7586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396BD3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E6768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C5DB059"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07833CF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44AAB48" w14:textId="75D5149E"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2F99C00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67877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6C55E7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C5BA7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8F732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404AD2"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4217000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0C6D866"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7768A6E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4D7002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72E6A5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B20A4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40557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E1BF871"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B2F78D8"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noWrap/>
            <w:vAlign w:val="center"/>
            <w:hideMark/>
          </w:tcPr>
          <w:p w14:paraId="076A26C7" w14:textId="4B8B123C"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N</w:t>
            </w:r>
            <w:r w:rsidRPr="00364545">
              <w:rPr>
                <w:sz w:val="16"/>
                <w:vertAlign w:val="subscript"/>
              </w:rPr>
              <w:t>2</w:t>
            </w:r>
            <w:r w:rsidRPr="00364545">
              <w:rPr>
                <w:sz w:val="16"/>
              </w:rPr>
              <w:t xml:space="preserve">O </w:t>
            </w:r>
          </w:p>
        </w:tc>
        <w:tc>
          <w:tcPr>
            <w:tcW w:w="991" w:type="dxa"/>
            <w:tcBorders>
              <w:top w:val="nil"/>
              <w:left w:val="single" w:sz="4" w:space="0" w:color="auto"/>
              <w:bottom w:val="single" w:sz="4" w:space="0" w:color="auto"/>
              <w:right w:val="single" w:sz="4" w:space="0" w:color="auto"/>
            </w:tcBorders>
            <w:shd w:val="clear" w:color="000000" w:fill="FFFFFF"/>
            <w:noWrap/>
            <w:vAlign w:val="bottom"/>
            <w:hideMark/>
          </w:tcPr>
          <w:p w14:paraId="0E5E6648"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6867E4B"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0A7EE8C"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5772888"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75AC1AD"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FC4C7BD"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1EC7BAB1"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73BF8D8" w14:textId="2943D1F9"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CO</w:t>
            </w:r>
            <w:r w:rsidRPr="00364545">
              <w:rPr>
                <w:sz w:val="16"/>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02C6526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D5434C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27882D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4061D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4F552E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799EA3"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FF4ED82"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121191DB" w14:textId="0FB043D8" w:rsidR="00B56301" w:rsidRPr="00364545" w:rsidRDefault="00B56301" w:rsidP="00B37B65">
            <w:pPr>
              <w:jc w:val="center"/>
              <w:rPr>
                <w:rFonts w:asciiTheme="minorHAnsi" w:hAnsiTheme="minorHAnsi"/>
                <w:b/>
                <w:bCs/>
                <w:sz w:val="16"/>
                <w:szCs w:val="16"/>
              </w:rPr>
            </w:pPr>
            <w:r w:rsidRPr="00364545">
              <w:rPr>
                <w:lang w:val="en-US"/>
              </w:rPr>
              <w:br w:type="page"/>
            </w:r>
            <w:r w:rsidRPr="00364545">
              <w:rPr>
                <w:rFonts w:asciiTheme="minorHAnsi" w:hAnsiTheme="minorHAnsi"/>
                <w:b/>
                <w:sz w:val="16"/>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7153628" w14:textId="77777777" w:rsidR="00B56301" w:rsidRPr="00364545" w:rsidRDefault="00B56301" w:rsidP="00B37B65">
            <w:pPr>
              <w:jc w:val="center"/>
              <w:rPr>
                <w:rFonts w:asciiTheme="minorHAnsi" w:hAnsiTheme="minorHAnsi"/>
                <w:b/>
                <w:bCs/>
                <w:sz w:val="16"/>
                <w:szCs w:val="16"/>
              </w:rPr>
            </w:pPr>
            <w:r w:rsidRPr="00364545">
              <w:rPr>
                <w:b/>
                <w:sz w:val="16"/>
              </w:rPr>
              <w:t>2013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3CB6DD5" w14:textId="77777777" w:rsidR="00B56301" w:rsidRPr="00364545" w:rsidRDefault="00B56301" w:rsidP="00B37B65">
            <w:pPr>
              <w:jc w:val="center"/>
              <w:rPr>
                <w:rFonts w:asciiTheme="minorHAnsi" w:hAnsiTheme="minorHAnsi"/>
                <w:b/>
                <w:bCs/>
                <w:sz w:val="16"/>
                <w:szCs w:val="16"/>
              </w:rPr>
            </w:pPr>
            <w:r w:rsidRPr="00364545">
              <w:rPr>
                <w:b/>
                <w:sz w:val="16"/>
              </w:rPr>
              <w:t>2014</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E413AEC" w14:textId="77777777" w:rsidR="00B56301" w:rsidRPr="00364545" w:rsidRDefault="00B56301" w:rsidP="00B37B65">
            <w:pPr>
              <w:jc w:val="center"/>
              <w:rPr>
                <w:rFonts w:asciiTheme="minorHAnsi" w:hAnsiTheme="minorHAnsi"/>
                <w:b/>
                <w:bCs/>
                <w:sz w:val="16"/>
                <w:szCs w:val="16"/>
              </w:rPr>
            </w:pPr>
            <w:r w:rsidRPr="00364545">
              <w:rPr>
                <w:b/>
                <w:sz w:val="16"/>
              </w:rPr>
              <w:t>2015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77E78EE" w14:textId="77777777" w:rsidR="00B56301" w:rsidRPr="00364545" w:rsidRDefault="00B56301" w:rsidP="00B37B65">
            <w:pPr>
              <w:jc w:val="center"/>
              <w:rPr>
                <w:rFonts w:asciiTheme="minorHAnsi" w:hAnsiTheme="minorHAnsi"/>
                <w:b/>
                <w:bCs/>
                <w:sz w:val="16"/>
                <w:szCs w:val="16"/>
              </w:rPr>
            </w:pPr>
            <w:r w:rsidRPr="00364545">
              <w:rPr>
                <w:b/>
                <w:sz w:val="16"/>
              </w:rPr>
              <w:t>2016</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39F20C6A" w14:textId="77777777" w:rsidR="00B56301" w:rsidRPr="00364545" w:rsidRDefault="00B56301" w:rsidP="00B37B65">
            <w:pPr>
              <w:jc w:val="center"/>
              <w:rPr>
                <w:rFonts w:asciiTheme="minorHAnsi" w:hAnsiTheme="minorHAnsi"/>
                <w:b/>
                <w:bCs/>
                <w:sz w:val="16"/>
                <w:szCs w:val="16"/>
              </w:rPr>
            </w:pPr>
            <w:r w:rsidRPr="00364545">
              <w:rPr>
                <w:b/>
                <w:sz w:val="16"/>
              </w:rPr>
              <w:t>2017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5D32311" w14:textId="77777777" w:rsidR="00B56301" w:rsidRPr="00364545" w:rsidRDefault="00B56301" w:rsidP="00B37B65">
            <w:pPr>
              <w:jc w:val="center"/>
              <w:rPr>
                <w:rFonts w:asciiTheme="minorHAnsi" w:hAnsiTheme="minorHAnsi"/>
                <w:b/>
                <w:bCs/>
                <w:sz w:val="16"/>
                <w:szCs w:val="16"/>
              </w:rPr>
            </w:pPr>
            <w:r w:rsidRPr="00364545">
              <w:rPr>
                <w:b/>
                <w:sz w:val="16"/>
              </w:rPr>
              <w:t>2018</w:t>
            </w:r>
          </w:p>
        </w:tc>
      </w:tr>
      <w:tr w:rsidR="00B56301" w:rsidRPr="00364545" w14:paraId="5400481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48861E"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434E0A56" w14:textId="77777777" w:rsidR="00B56301" w:rsidRPr="00364545" w:rsidRDefault="00B56301" w:rsidP="00B37B65">
            <w:pPr>
              <w:jc w:val="right"/>
              <w:rPr>
                <w:rFonts w:asciiTheme="minorHAnsi" w:hAnsiTheme="minorHAnsi"/>
                <w:sz w:val="16"/>
                <w:szCs w:val="16"/>
              </w:rPr>
            </w:pPr>
            <w:r w:rsidRPr="00364545">
              <w:rPr>
                <w:sz w:val="16"/>
              </w:rPr>
              <w:t>12,76</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3EF4C20" w14:textId="77777777" w:rsidR="00B56301" w:rsidRPr="00364545" w:rsidRDefault="00B56301" w:rsidP="00B37B65">
            <w:pPr>
              <w:jc w:val="right"/>
              <w:rPr>
                <w:rFonts w:asciiTheme="minorHAnsi" w:hAnsiTheme="minorHAnsi"/>
                <w:sz w:val="16"/>
                <w:szCs w:val="16"/>
              </w:rPr>
            </w:pPr>
            <w:r w:rsidRPr="00364545">
              <w:rPr>
                <w:sz w:val="16"/>
              </w:rPr>
              <w:t>12,32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E483B06" w14:textId="77777777" w:rsidR="00B56301" w:rsidRPr="00364545" w:rsidRDefault="00B56301" w:rsidP="00B37B65">
            <w:pPr>
              <w:jc w:val="right"/>
              <w:rPr>
                <w:rFonts w:asciiTheme="minorHAnsi" w:hAnsiTheme="minorHAnsi"/>
                <w:sz w:val="16"/>
                <w:szCs w:val="16"/>
              </w:rPr>
            </w:pPr>
            <w:r w:rsidRPr="00364545">
              <w:rPr>
                <w:sz w:val="16"/>
              </w:rPr>
              <w:t>12,52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40D0F07" w14:textId="77777777" w:rsidR="00B56301" w:rsidRPr="00364545" w:rsidRDefault="00B56301" w:rsidP="00B37B65">
            <w:pPr>
              <w:jc w:val="right"/>
              <w:rPr>
                <w:rFonts w:asciiTheme="minorHAnsi" w:hAnsiTheme="minorHAnsi"/>
                <w:sz w:val="16"/>
                <w:szCs w:val="16"/>
              </w:rPr>
            </w:pPr>
            <w:r w:rsidRPr="00364545">
              <w:rPr>
                <w:sz w:val="16"/>
              </w:rPr>
              <w:t>12,52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4063BB6" w14:textId="77777777" w:rsidR="00B56301" w:rsidRPr="00364545" w:rsidRDefault="00B56301" w:rsidP="00B37B65">
            <w:pPr>
              <w:jc w:val="right"/>
              <w:rPr>
                <w:rFonts w:asciiTheme="minorHAnsi" w:hAnsiTheme="minorHAnsi"/>
                <w:sz w:val="16"/>
                <w:szCs w:val="16"/>
              </w:rPr>
            </w:pPr>
            <w:r w:rsidRPr="00364545">
              <w:rPr>
                <w:sz w:val="16"/>
              </w:rPr>
              <w:t>12,43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E2D897D" w14:textId="77777777" w:rsidR="00B56301" w:rsidRPr="00364545" w:rsidRDefault="00B56301" w:rsidP="00B37B65">
            <w:pPr>
              <w:jc w:val="right"/>
              <w:rPr>
                <w:rFonts w:asciiTheme="minorHAnsi" w:hAnsiTheme="minorHAnsi"/>
                <w:sz w:val="16"/>
                <w:szCs w:val="16"/>
              </w:rPr>
            </w:pPr>
            <w:r w:rsidRPr="00364545">
              <w:rPr>
                <w:sz w:val="16"/>
              </w:rPr>
              <w:t>11,99</w:t>
            </w:r>
          </w:p>
        </w:tc>
      </w:tr>
      <w:tr w:rsidR="00B56301" w:rsidRPr="00364545" w14:paraId="26D84B9A"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9DB7A38"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63EC8F95" w14:textId="77777777" w:rsidR="00B56301" w:rsidRPr="00364545" w:rsidRDefault="00B56301" w:rsidP="00B37B65">
            <w:pPr>
              <w:jc w:val="right"/>
              <w:rPr>
                <w:rFonts w:asciiTheme="minorHAnsi" w:hAnsiTheme="minorHAnsi"/>
                <w:sz w:val="16"/>
                <w:szCs w:val="16"/>
              </w:rPr>
            </w:pPr>
            <w:r w:rsidRPr="00364545">
              <w:rPr>
                <w:sz w:val="16"/>
              </w:rPr>
              <w:t>12,71</w:t>
            </w:r>
          </w:p>
        </w:tc>
        <w:tc>
          <w:tcPr>
            <w:tcW w:w="991" w:type="dxa"/>
            <w:tcBorders>
              <w:top w:val="nil"/>
              <w:left w:val="nil"/>
              <w:bottom w:val="single" w:sz="4" w:space="0" w:color="auto"/>
              <w:right w:val="single" w:sz="4" w:space="0" w:color="auto"/>
            </w:tcBorders>
            <w:shd w:val="clear" w:color="000000" w:fill="CCFFFF"/>
            <w:noWrap/>
            <w:vAlign w:val="bottom"/>
            <w:hideMark/>
          </w:tcPr>
          <w:p w14:paraId="054D2DC9" w14:textId="77777777" w:rsidR="00B56301" w:rsidRPr="00364545" w:rsidRDefault="00B56301" w:rsidP="00B37B65">
            <w:pPr>
              <w:jc w:val="right"/>
              <w:rPr>
                <w:rFonts w:asciiTheme="minorHAnsi" w:hAnsiTheme="minorHAnsi"/>
                <w:sz w:val="16"/>
                <w:szCs w:val="16"/>
              </w:rPr>
            </w:pPr>
            <w:r w:rsidRPr="00364545">
              <w:rPr>
                <w:sz w:val="16"/>
              </w:rPr>
              <w:t>12,27</w:t>
            </w:r>
          </w:p>
        </w:tc>
        <w:tc>
          <w:tcPr>
            <w:tcW w:w="991" w:type="dxa"/>
            <w:tcBorders>
              <w:top w:val="nil"/>
              <w:left w:val="nil"/>
              <w:bottom w:val="single" w:sz="4" w:space="0" w:color="auto"/>
              <w:right w:val="single" w:sz="4" w:space="0" w:color="auto"/>
            </w:tcBorders>
            <w:shd w:val="clear" w:color="000000" w:fill="CCFFFF"/>
            <w:noWrap/>
            <w:vAlign w:val="bottom"/>
            <w:hideMark/>
          </w:tcPr>
          <w:p w14:paraId="7CE225A6" w14:textId="77777777" w:rsidR="00B56301" w:rsidRPr="00364545" w:rsidRDefault="00B56301" w:rsidP="00B37B65">
            <w:pPr>
              <w:jc w:val="right"/>
              <w:rPr>
                <w:rFonts w:asciiTheme="minorHAnsi" w:hAnsiTheme="minorHAnsi"/>
                <w:sz w:val="16"/>
                <w:szCs w:val="16"/>
              </w:rPr>
            </w:pPr>
            <w:r w:rsidRPr="00364545">
              <w:rPr>
                <w:sz w:val="16"/>
              </w:rPr>
              <w:t>12,47</w:t>
            </w:r>
          </w:p>
        </w:tc>
        <w:tc>
          <w:tcPr>
            <w:tcW w:w="991" w:type="dxa"/>
            <w:tcBorders>
              <w:top w:val="nil"/>
              <w:left w:val="nil"/>
              <w:bottom w:val="single" w:sz="4" w:space="0" w:color="auto"/>
              <w:right w:val="single" w:sz="4" w:space="0" w:color="auto"/>
            </w:tcBorders>
            <w:shd w:val="clear" w:color="000000" w:fill="CCFFFF"/>
            <w:noWrap/>
            <w:vAlign w:val="bottom"/>
            <w:hideMark/>
          </w:tcPr>
          <w:p w14:paraId="0ACB42E6" w14:textId="77777777" w:rsidR="00B56301" w:rsidRPr="00364545" w:rsidRDefault="00B56301" w:rsidP="00B37B65">
            <w:pPr>
              <w:jc w:val="right"/>
              <w:rPr>
                <w:rFonts w:asciiTheme="minorHAnsi" w:hAnsiTheme="minorHAnsi"/>
                <w:sz w:val="16"/>
                <w:szCs w:val="16"/>
              </w:rPr>
            </w:pPr>
            <w:r w:rsidRPr="00364545">
              <w:rPr>
                <w:sz w:val="16"/>
              </w:rPr>
              <w:t>12,48</w:t>
            </w:r>
          </w:p>
        </w:tc>
        <w:tc>
          <w:tcPr>
            <w:tcW w:w="991" w:type="dxa"/>
            <w:tcBorders>
              <w:top w:val="nil"/>
              <w:left w:val="nil"/>
              <w:bottom w:val="single" w:sz="4" w:space="0" w:color="auto"/>
              <w:right w:val="single" w:sz="4" w:space="0" w:color="auto"/>
            </w:tcBorders>
            <w:shd w:val="clear" w:color="000000" w:fill="CCFFFF"/>
            <w:noWrap/>
            <w:vAlign w:val="bottom"/>
            <w:hideMark/>
          </w:tcPr>
          <w:p w14:paraId="32D2331E" w14:textId="77777777" w:rsidR="00B56301" w:rsidRPr="00364545" w:rsidRDefault="00B56301" w:rsidP="00B37B65">
            <w:pPr>
              <w:jc w:val="right"/>
              <w:rPr>
                <w:rFonts w:asciiTheme="minorHAnsi" w:hAnsiTheme="minorHAnsi"/>
                <w:sz w:val="16"/>
                <w:szCs w:val="16"/>
              </w:rPr>
            </w:pPr>
            <w:r w:rsidRPr="00364545">
              <w:rPr>
                <w:sz w:val="16"/>
              </w:rPr>
              <w:t>12,39</w:t>
            </w:r>
          </w:p>
        </w:tc>
        <w:tc>
          <w:tcPr>
            <w:tcW w:w="991" w:type="dxa"/>
            <w:tcBorders>
              <w:top w:val="nil"/>
              <w:left w:val="nil"/>
              <w:bottom w:val="single" w:sz="4" w:space="0" w:color="auto"/>
              <w:right w:val="single" w:sz="4" w:space="0" w:color="auto"/>
            </w:tcBorders>
            <w:shd w:val="clear" w:color="000000" w:fill="CCFFFF"/>
            <w:noWrap/>
            <w:vAlign w:val="bottom"/>
            <w:hideMark/>
          </w:tcPr>
          <w:p w14:paraId="44FFDD44" w14:textId="77777777" w:rsidR="00B56301" w:rsidRPr="00364545" w:rsidRDefault="00B56301" w:rsidP="00B37B65">
            <w:pPr>
              <w:jc w:val="right"/>
              <w:rPr>
                <w:rFonts w:asciiTheme="minorHAnsi" w:hAnsiTheme="minorHAnsi"/>
                <w:sz w:val="16"/>
                <w:szCs w:val="16"/>
              </w:rPr>
            </w:pPr>
            <w:r w:rsidRPr="00364545">
              <w:rPr>
                <w:sz w:val="16"/>
              </w:rPr>
              <w:t>11,94</w:t>
            </w:r>
          </w:p>
        </w:tc>
      </w:tr>
      <w:tr w:rsidR="00B56301" w:rsidRPr="00364545" w14:paraId="39B21F0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D91AE0" w14:textId="7660123D"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6DE8EB99" w14:textId="77777777" w:rsidR="00B56301" w:rsidRPr="00364545" w:rsidRDefault="00B56301" w:rsidP="00B37B65">
            <w:pPr>
              <w:jc w:val="right"/>
              <w:rPr>
                <w:rFonts w:asciiTheme="minorHAnsi" w:hAnsiTheme="minorHAnsi"/>
                <w:sz w:val="16"/>
                <w:szCs w:val="16"/>
              </w:rPr>
            </w:pPr>
            <w:r w:rsidRPr="00364545">
              <w:rPr>
                <w:sz w:val="16"/>
              </w:rPr>
              <w:t>1,12</w:t>
            </w:r>
          </w:p>
        </w:tc>
        <w:tc>
          <w:tcPr>
            <w:tcW w:w="991" w:type="dxa"/>
            <w:tcBorders>
              <w:top w:val="nil"/>
              <w:left w:val="nil"/>
              <w:bottom w:val="single" w:sz="4" w:space="0" w:color="auto"/>
              <w:right w:val="single" w:sz="4" w:space="0" w:color="auto"/>
            </w:tcBorders>
            <w:shd w:val="clear" w:color="000000" w:fill="FFFFFF"/>
            <w:noWrap/>
            <w:vAlign w:val="bottom"/>
            <w:hideMark/>
          </w:tcPr>
          <w:p w14:paraId="1BA33FD3" w14:textId="77777777" w:rsidR="00B56301" w:rsidRPr="00364545" w:rsidRDefault="00B56301" w:rsidP="00B37B65">
            <w:pPr>
              <w:jc w:val="right"/>
              <w:rPr>
                <w:rFonts w:asciiTheme="minorHAnsi" w:hAnsiTheme="minorHAnsi"/>
                <w:sz w:val="16"/>
                <w:szCs w:val="16"/>
              </w:rPr>
            </w:pPr>
            <w:r w:rsidRPr="00364545">
              <w:rPr>
                <w:sz w:val="16"/>
              </w:rPr>
              <w:t>0,86</w:t>
            </w:r>
          </w:p>
        </w:tc>
        <w:tc>
          <w:tcPr>
            <w:tcW w:w="991" w:type="dxa"/>
            <w:tcBorders>
              <w:top w:val="nil"/>
              <w:left w:val="nil"/>
              <w:bottom w:val="single" w:sz="4" w:space="0" w:color="auto"/>
              <w:right w:val="single" w:sz="4" w:space="0" w:color="auto"/>
            </w:tcBorders>
            <w:shd w:val="clear" w:color="000000" w:fill="FFFFFF"/>
            <w:noWrap/>
            <w:vAlign w:val="bottom"/>
            <w:hideMark/>
          </w:tcPr>
          <w:p w14:paraId="60D44337" w14:textId="77777777" w:rsidR="00B56301" w:rsidRPr="00364545" w:rsidRDefault="00B56301" w:rsidP="00B37B65">
            <w:pPr>
              <w:jc w:val="right"/>
              <w:rPr>
                <w:rFonts w:asciiTheme="minorHAnsi" w:hAnsiTheme="minorHAnsi"/>
                <w:sz w:val="16"/>
                <w:szCs w:val="16"/>
              </w:rPr>
            </w:pPr>
            <w:r w:rsidRPr="00364545">
              <w:rPr>
                <w:sz w:val="16"/>
              </w:rPr>
              <w:t>0,88</w:t>
            </w:r>
          </w:p>
        </w:tc>
        <w:tc>
          <w:tcPr>
            <w:tcW w:w="991" w:type="dxa"/>
            <w:tcBorders>
              <w:top w:val="nil"/>
              <w:left w:val="nil"/>
              <w:bottom w:val="single" w:sz="4" w:space="0" w:color="auto"/>
              <w:right w:val="single" w:sz="4" w:space="0" w:color="auto"/>
            </w:tcBorders>
            <w:shd w:val="clear" w:color="000000" w:fill="FFFFFF"/>
            <w:noWrap/>
            <w:vAlign w:val="bottom"/>
            <w:hideMark/>
          </w:tcPr>
          <w:p w14:paraId="4A236C59" w14:textId="77777777" w:rsidR="00B56301" w:rsidRPr="00364545" w:rsidRDefault="00B56301" w:rsidP="00B37B65">
            <w:pPr>
              <w:jc w:val="right"/>
              <w:rPr>
                <w:rFonts w:asciiTheme="minorHAnsi" w:hAnsiTheme="minorHAnsi"/>
                <w:sz w:val="16"/>
                <w:szCs w:val="16"/>
              </w:rPr>
            </w:pPr>
            <w:r w:rsidRPr="00364545">
              <w:rPr>
                <w:sz w:val="16"/>
              </w:rPr>
              <w:t>1,01</w:t>
            </w:r>
          </w:p>
        </w:tc>
        <w:tc>
          <w:tcPr>
            <w:tcW w:w="991" w:type="dxa"/>
            <w:tcBorders>
              <w:top w:val="nil"/>
              <w:left w:val="nil"/>
              <w:bottom w:val="single" w:sz="4" w:space="0" w:color="auto"/>
              <w:right w:val="single" w:sz="4" w:space="0" w:color="auto"/>
            </w:tcBorders>
            <w:shd w:val="clear" w:color="000000" w:fill="FFFFFF"/>
            <w:noWrap/>
            <w:vAlign w:val="bottom"/>
            <w:hideMark/>
          </w:tcPr>
          <w:p w14:paraId="4C00643A" w14:textId="77777777" w:rsidR="00B56301" w:rsidRPr="00364545" w:rsidRDefault="00B56301" w:rsidP="00B37B65">
            <w:pPr>
              <w:jc w:val="right"/>
              <w:rPr>
                <w:rFonts w:asciiTheme="minorHAnsi" w:hAnsiTheme="minorHAnsi"/>
                <w:sz w:val="16"/>
                <w:szCs w:val="16"/>
              </w:rPr>
            </w:pPr>
            <w:r w:rsidRPr="00364545">
              <w:rPr>
                <w:sz w:val="16"/>
              </w:rPr>
              <w:t>1,11</w:t>
            </w:r>
          </w:p>
        </w:tc>
        <w:tc>
          <w:tcPr>
            <w:tcW w:w="991" w:type="dxa"/>
            <w:tcBorders>
              <w:top w:val="nil"/>
              <w:left w:val="nil"/>
              <w:bottom w:val="single" w:sz="4" w:space="0" w:color="auto"/>
              <w:right w:val="single" w:sz="4" w:space="0" w:color="auto"/>
            </w:tcBorders>
            <w:shd w:val="clear" w:color="000000" w:fill="FFFFFF"/>
            <w:noWrap/>
            <w:vAlign w:val="bottom"/>
            <w:hideMark/>
          </w:tcPr>
          <w:p w14:paraId="4611F35D" w14:textId="77777777" w:rsidR="00B56301" w:rsidRPr="00364545" w:rsidRDefault="00B56301" w:rsidP="00B37B65">
            <w:pPr>
              <w:jc w:val="right"/>
              <w:rPr>
                <w:rFonts w:asciiTheme="minorHAnsi" w:hAnsiTheme="minorHAnsi"/>
                <w:sz w:val="16"/>
                <w:szCs w:val="16"/>
              </w:rPr>
            </w:pPr>
            <w:r w:rsidRPr="00364545">
              <w:rPr>
                <w:sz w:val="16"/>
              </w:rPr>
              <w:t>0,87</w:t>
            </w:r>
          </w:p>
        </w:tc>
      </w:tr>
      <w:tr w:rsidR="00B56301" w:rsidRPr="00364545" w14:paraId="587B49B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15C82F8" w14:textId="5EA896FC"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55192581" w14:textId="77777777" w:rsidR="00B56301" w:rsidRPr="00364545" w:rsidRDefault="00B56301" w:rsidP="00B37B65">
            <w:pPr>
              <w:jc w:val="right"/>
              <w:rPr>
                <w:rFonts w:asciiTheme="minorHAnsi" w:hAnsiTheme="minorHAnsi"/>
                <w:sz w:val="16"/>
                <w:szCs w:val="16"/>
              </w:rPr>
            </w:pPr>
            <w:r w:rsidRPr="00364545">
              <w:rPr>
                <w:sz w:val="16"/>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40C0B5A8" w14:textId="77777777" w:rsidR="00B56301" w:rsidRPr="00364545" w:rsidRDefault="00B56301" w:rsidP="00B37B65">
            <w:pPr>
              <w:jc w:val="right"/>
              <w:rPr>
                <w:rFonts w:asciiTheme="minorHAnsi" w:hAnsiTheme="minorHAnsi"/>
                <w:sz w:val="16"/>
                <w:szCs w:val="16"/>
              </w:rPr>
            </w:pPr>
            <w:r w:rsidRPr="00364545">
              <w:rPr>
                <w:sz w:val="16"/>
              </w:rPr>
              <w:t>1,76</w:t>
            </w:r>
          </w:p>
        </w:tc>
        <w:tc>
          <w:tcPr>
            <w:tcW w:w="991" w:type="dxa"/>
            <w:tcBorders>
              <w:top w:val="nil"/>
              <w:left w:val="nil"/>
              <w:bottom w:val="single" w:sz="4" w:space="0" w:color="auto"/>
              <w:right w:val="single" w:sz="4" w:space="0" w:color="auto"/>
            </w:tcBorders>
            <w:shd w:val="clear" w:color="000000" w:fill="FFFFFF"/>
            <w:noWrap/>
            <w:vAlign w:val="bottom"/>
            <w:hideMark/>
          </w:tcPr>
          <w:p w14:paraId="3C05D3A2" w14:textId="77777777" w:rsidR="00B56301" w:rsidRPr="00364545" w:rsidRDefault="00B56301" w:rsidP="00B37B65">
            <w:pPr>
              <w:jc w:val="right"/>
              <w:rPr>
                <w:rFonts w:asciiTheme="minorHAnsi" w:hAnsiTheme="minorHAnsi"/>
                <w:sz w:val="16"/>
                <w:szCs w:val="16"/>
              </w:rPr>
            </w:pPr>
            <w:r w:rsidRPr="00364545">
              <w:rPr>
                <w:sz w:val="16"/>
              </w:rPr>
              <w:t>1,78</w:t>
            </w:r>
          </w:p>
        </w:tc>
        <w:tc>
          <w:tcPr>
            <w:tcW w:w="991" w:type="dxa"/>
            <w:tcBorders>
              <w:top w:val="nil"/>
              <w:left w:val="nil"/>
              <w:bottom w:val="single" w:sz="4" w:space="0" w:color="auto"/>
              <w:right w:val="single" w:sz="4" w:space="0" w:color="auto"/>
            </w:tcBorders>
            <w:shd w:val="clear" w:color="000000" w:fill="FFFFFF"/>
            <w:noWrap/>
            <w:vAlign w:val="bottom"/>
            <w:hideMark/>
          </w:tcPr>
          <w:p w14:paraId="4694D361" w14:textId="77777777" w:rsidR="00B56301" w:rsidRPr="00364545" w:rsidRDefault="00B56301" w:rsidP="00B37B65">
            <w:pPr>
              <w:jc w:val="right"/>
              <w:rPr>
                <w:rFonts w:asciiTheme="minorHAnsi" w:hAnsiTheme="minorHAnsi"/>
                <w:sz w:val="16"/>
                <w:szCs w:val="16"/>
              </w:rPr>
            </w:pPr>
            <w:r w:rsidRPr="00364545">
              <w:rPr>
                <w:sz w:val="16"/>
              </w:rPr>
              <w:t>1,79</w:t>
            </w:r>
          </w:p>
        </w:tc>
        <w:tc>
          <w:tcPr>
            <w:tcW w:w="991" w:type="dxa"/>
            <w:tcBorders>
              <w:top w:val="nil"/>
              <w:left w:val="nil"/>
              <w:bottom w:val="single" w:sz="4" w:space="0" w:color="auto"/>
              <w:right w:val="single" w:sz="4" w:space="0" w:color="auto"/>
            </w:tcBorders>
            <w:shd w:val="clear" w:color="000000" w:fill="FFFFFF"/>
            <w:noWrap/>
            <w:vAlign w:val="bottom"/>
            <w:hideMark/>
          </w:tcPr>
          <w:p w14:paraId="567E0ECC" w14:textId="77777777" w:rsidR="00B56301" w:rsidRPr="00364545" w:rsidRDefault="00B56301" w:rsidP="00B37B65">
            <w:pPr>
              <w:jc w:val="right"/>
              <w:rPr>
                <w:rFonts w:asciiTheme="minorHAnsi" w:hAnsiTheme="minorHAnsi"/>
                <w:sz w:val="16"/>
                <w:szCs w:val="16"/>
              </w:rPr>
            </w:pPr>
            <w:r w:rsidRPr="00364545">
              <w:rPr>
                <w:sz w:val="16"/>
              </w:rPr>
              <w:t>1,75</w:t>
            </w:r>
          </w:p>
        </w:tc>
        <w:tc>
          <w:tcPr>
            <w:tcW w:w="991" w:type="dxa"/>
            <w:tcBorders>
              <w:top w:val="nil"/>
              <w:left w:val="nil"/>
              <w:bottom w:val="single" w:sz="4" w:space="0" w:color="auto"/>
              <w:right w:val="single" w:sz="4" w:space="0" w:color="auto"/>
            </w:tcBorders>
            <w:shd w:val="clear" w:color="000000" w:fill="FFFFFF"/>
            <w:noWrap/>
            <w:vAlign w:val="bottom"/>
            <w:hideMark/>
          </w:tcPr>
          <w:p w14:paraId="3D0A8ACA" w14:textId="77777777" w:rsidR="00B56301" w:rsidRPr="00364545" w:rsidRDefault="00B56301" w:rsidP="00B37B65">
            <w:pPr>
              <w:jc w:val="right"/>
              <w:rPr>
                <w:rFonts w:asciiTheme="minorHAnsi" w:hAnsiTheme="minorHAnsi"/>
                <w:sz w:val="16"/>
                <w:szCs w:val="16"/>
              </w:rPr>
            </w:pPr>
            <w:r w:rsidRPr="00364545">
              <w:rPr>
                <w:sz w:val="16"/>
              </w:rPr>
              <w:t>1,76</w:t>
            </w:r>
          </w:p>
        </w:tc>
      </w:tr>
      <w:tr w:rsidR="00B56301" w:rsidRPr="00364545" w14:paraId="55AFBA5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CC6CAC5" w14:textId="04B51FE3"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3. 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415D9546" w14:textId="77777777" w:rsidR="00B56301" w:rsidRPr="00364545" w:rsidRDefault="00B56301" w:rsidP="00B37B65">
            <w:pPr>
              <w:jc w:val="right"/>
              <w:rPr>
                <w:rFonts w:asciiTheme="minorHAnsi" w:hAnsiTheme="minorHAnsi"/>
                <w:sz w:val="16"/>
                <w:szCs w:val="16"/>
              </w:rPr>
            </w:pPr>
            <w:r w:rsidRPr="00364545">
              <w:rPr>
                <w:sz w:val="16"/>
              </w:rPr>
              <w:t>4,59</w:t>
            </w:r>
          </w:p>
        </w:tc>
        <w:tc>
          <w:tcPr>
            <w:tcW w:w="991" w:type="dxa"/>
            <w:tcBorders>
              <w:top w:val="nil"/>
              <w:left w:val="nil"/>
              <w:bottom w:val="single" w:sz="4" w:space="0" w:color="auto"/>
              <w:right w:val="single" w:sz="4" w:space="0" w:color="auto"/>
            </w:tcBorders>
            <w:shd w:val="clear" w:color="000000" w:fill="FFFFFF"/>
            <w:noWrap/>
            <w:vAlign w:val="bottom"/>
            <w:hideMark/>
          </w:tcPr>
          <w:p w14:paraId="3E3470A0" w14:textId="77777777" w:rsidR="00B56301" w:rsidRPr="00364545" w:rsidRDefault="00B56301" w:rsidP="00B37B65">
            <w:pPr>
              <w:jc w:val="right"/>
              <w:rPr>
                <w:rFonts w:asciiTheme="minorHAnsi" w:hAnsiTheme="minorHAnsi"/>
                <w:sz w:val="16"/>
                <w:szCs w:val="16"/>
              </w:rPr>
            </w:pPr>
            <w:r w:rsidRPr="00364545">
              <w:rPr>
                <w:sz w:val="16"/>
              </w:rPr>
              <w:t>4,70</w:t>
            </w:r>
          </w:p>
        </w:tc>
        <w:tc>
          <w:tcPr>
            <w:tcW w:w="991" w:type="dxa"/>
            <w:tcBorders>
              <w:top w:val="nil"/>
              <w:left w:val="nil"/>
              <w:bottom w:val="single" w:sz="4" w:space="0" w:color="auto"/>
              <w:right w:val="single" w:sz="4" w:space="0" w:color="auto"/>
            </w:tcBorders>
            <w:shd w:val="clear" w:color="000000" w:fill="FFFFFF"/>
            <w:noWrap/>
            <w:vAlign w:val="bottom"/>
            <w:hideMark/>
          </w:tcPr>
          <w:p w14:paraId="7CD18DED" w14:textId="77777777" w:rsidR="00B56301" w:rsidRPr="00364545" w:rsidRDefault="00B56301" w:rsidP="00B37B65">
            <w:pPr>
              <w:jc w:val="right"/>
              <w:rPr>
                <w:rFonts w:asciiTheme="minorHAnsi" w:hAnsiTheme="minorHAnsi"/>
                <w:sz w:val="16"/>
                <w:szCs w:val="16"/>
              </w:rPr>
            </w:pPr>
            <w:r w:rsidRPr="00364545">
              <w:rPr>
                <w:sz w:val="16"/>
              </w:rPr>
              <w:t>4,80</w:t>
            </w:r>
          </w:p>
        </w:tc>
        <w:tc>
          <w:tcPr>
            <w:tcW w:w="991" w:type="dxa"/>
            <w:tcBorders>
              <w:top w:val="nil"/>
              <w:left w:val="nil"/>
              <w:bottom w:val="single" w:sz="4" w:space="0" w:color="auto"/>
              <w:right w:val="single" w:sz="4" w:space="0" w:color="auto"/>
            </w:tcBorders>
            <w:shd w:val="clear" w:color="000000" w:fill="FFFFFF"/>
            <w:noWrap/>
            <w:vAlign w:val="bottom"/>
            <w:hideMark/>
          </w:tcPr>
          <w:p w14:paraId="0E3EBB35" w14:textId="77777777" w:rsidR="00B56301" w:rsidRPr="00364545" w:rsidRDefault="00B56301" w:rsidP="00B37B65">
            <w:pPr>
              <w:jc w:val="right"/>
              <w:rPr>
                <w:rFonts w:asciiTheme="minorHAnsi" w:hAnsiTheme="minorHAnsi"/>
                <w:sz w:val="16"/>
                <w:szCs w:val="16"/>
              </w:rPr>
            </w:pPr>
            <w:r w:rsidRPr="00364545">
              <w:rPr>
                <w:sz w:val="16"/>
              </w:rPr>
              <w:t>4,86</w:t>
            </w:r>
          </w:p>
        </w:tc>
        <w:tc>
          <w:tcPr>
            <w:tcW w:w="991" w:type="dxa"/>
            <w:tcBorders>
              <w:top w:val="nil"/>
              <w:left w:val="nil"/>
              <w:bottom w:val="single" w:sz="4" w:space="0" w:color="auto"/>
              <w:right w:val="single" w:sz="4" w:space="0" w:color="auto"/>
            </w:tcBorders>
            <w:shd w:val="clear" w:color="000000" w:fill="FFFFFF"/>
            <w:noWrap/>
            <w:vAlign w:val="bottom"/>
            <w:hideMark/>
          </w:tcPr>
          <w:p w14:paraId="17A08858" w14:textId="77777777" w:rsidR="00B56301" w:rsidRPr="00364545" w:rsidRDefault="00B56301" w:rsidP="00B37B65">
            <w:pPr>
              <w:jc w:val="right"/>
              <w:rPr>
                <w:rFonts w:asciiTheme="minorHAnsi" w:hAnsiTheme="minorHAnsi"/>
                <w:sz w:val="16"/>
                <w:szCs w:val="16"/>
              </w:rPr>
            </w:pPr>
            <w:r w:rsidRPr="00364545">
              <w:rPr>
                <w:sz w:val="16"/>
              </w:rPr>
              <w:t>4,87</w:t>
            </w:r>
          </w:p>
        </w:tc>
        <w:tc>
          <w:tcPr>
            <w:tcW w:w="991" w:type="dxa"/>
            <w:tcBorders>
              <w:top w:val="nil"/>
              <w:left w:val="nil"/>
              <w:bottom w:val="single" w:sz="4" w:space="0" w:color="auto"/>
              <w:right w:val="single" w:sz="4" w:space="0" w:color="auto"/>
            </w:tcBorders>
            <w:shd w:val="clear" w:color="000000" w:fill="FFFFFF"/>
            <w:noWrap/>
            <w:vAlign w:val="bottom"/>
            <w:hideMark/>
          </w:tcPr>
          <w:p w14:paraId="049B5244" w14:textId="77777777" w:rsidR="00B56301" w:rsidRPr="00364545" w:rsidRDefault="00B56301" w:rsidP="00B37B65">
            <w:pPr>
              <w:jc w:val="right"/>
              <w:rPr>
                <w:rFonts w:asciiTheme="minorHAnsi" w:hAnsiTheme="minorHAnsi"/>
                <w:sz w:val="16"/>
                <w:szCs w:val="16"/>
              </w:rPr>
            </w:pPr>
            <w:r w:rsidRPr="00364545">
              <w:rPr>
                <w:sz w:val="16"/>
              </w:rPr>
              <w:t>4,70</w:t>
            </w:r>
          </w:p>
        </w:tc>
      </w:tr>
      <w:tr w:rsidR="00B56301" w:rsidRPr="00364545" w14:paraId="2487395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18B976E" w14:textId="3394EEE1"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4. 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733D4747" w14:textId="77777777" w:rsidR="00B56301" w:rsidRPr="00364545" w:rsidRDefault="00B56301" w:rsidP="00B37B65">
            <w:pPr>
              <w:jc w:val="right"/>
              <w:rPr>
                <w:rFonts w:asciiTheme="minorHAnsi" w:hAnsiTheme="minorHAnsi"/>
                <w:sz w:val="16"/>
                <w:szCs w:val="16"/>
              </w:rPr>
            </w:pPr>
            <w:r w:rsidRPr="00364545">
              <w:rPr>
                <w:sz w:val="16"/>
              </w:rPr>
              <w:t>5,14</w:t>
            </w:r>
          </w:p>
        </w:tc>
        <w:tc>
          <w:tcPr>
            <w:tcW w:w="991" w:type="dxa"/>
            <w:tcBorders>
              <w:top w:val="nil"/>
              <w:left w:val="nil"/>
              <w:bottom w:val="single" w:sz="4" w:space="0" w:color="auto"/>
              <w:right w:val="single" w:sz="4" w:space="0" w:color="auto"/>
            </w:tcBorders>
            <w:shd w:val="clear" w:color="000000" w:fill="FFFFFF"/>
            <w:noWrap/>
            <w:vAlign w:val="bottom"/>
            <w:hideMark/>
          </w:tcPr>
          <w:p w14:paraId="10E4535A" w14:textId="77777777" w:rsidR="00B56301" w:rsidRPr="00364545" w:rsidRDefault="00B56301" w:rsidP="00B37B65">
            <w:pPr>
              <w:jc w:val="right"/>
              <w:rPr>
                <w:rFonts w:asciiTheme="minorHAnsi" w:hAnsiTheme="minorHAnsi"/>
                <w:sz w:val="16"/>
                <w:szCs w:val="16"/>
              </w:rPr>
            </w:pPr>
            <w:r w:rsidRPr="00364545">
              <w:rPr>
                <w:sz w:val="16"/>
              </w:rPr>
              <w:t>4,91</w:t>
            </w:r>
          </w:p>
        </w:tc>
        <w:tc>
          <w:tcPr>
            <w:tcW w:w="991" w:type="dxa"/>
            <w:tcBorders>
              <w:top w:val="nil"/>
              <w:left w:val="nil"/>
              <w:bottom w:val="single" w:sz="4" w:space="0" w:color="auto"/>
              <w:right w:val="single" w:sz="4" w:space="0" w:color="auto"/>
            </w:tcBorders>
            <w:shd w:val="clear" w:color="000000" w:fill="FFFFFF"/>
            <w:noWrap/>
            <w:vAlign w:val="bottom"/>
            <w:hideMark/>
          </w:tcPr>
          <w:p w14:paraId="225E4E2F" w14:textId="77777777" w:rsidR="00B56301" w:rsidRPr="00364545" w:rsidRDefault="00B56301" w:rsidP="00B37B65">
            <w:pPr>
              <w:jc w:val="right"/>
              <w:rPr>
                <w:rFonts w:asciiTheme="minorHAnsi" w:hAnsiTheme="minorHAnsi"/>
                <w:sz w:val="16"/>
                <w:szCs w:val="16"/>
              </w:rPr>
            </w:pPr>
            <w:r w:rsidRPr="00364545">
              <w:rPr>
                <w:sz w:val="16"/>
              </w:rPr>
              <w:t>4,97</w:t>
            </w:r>
          </w:p>
        </w:tc>
        <w:tc>
          <w:tcPr>
            <w:tcW w:w="991" w:type="dxa"/>
            <w:tcBorders>
              <w:top w:val="nil"/>
              <w:left w:val="nil"/>
              <w:bottom w:val="single" w:sz="4" w:space="0" w:color="auto"/>
              <w:right w:val="single" w:sz="4" w:space="0" w:color="auto"/>
            </w:tcBorders>
            <w:shd w:val="clear" w:color="000000" w:fill="FFFFFF"/>
            <w:noWrap/>
            <w:vAlign w:val="bottom"/>
            <w:hideMark/>
          </w:tcPr>
          <w:p w14:paraId="16EA142E" w14:textId="77777777" w:rsidR="00B56301" w:rsidRPr="00364545" w:rsidRDefault="00B56301" w:rsidP="00B37B65">
            <w:pPr>
              <w:jc w:val="right"/>
              <w:rPr>
                <w:rFonts w:asciiTheme="minorHAnsi" w:hAnsiTheme="minorHAnsi"/>
                <w:sz w:val="16"/>
                <w:szCs w:val="16"/>
              </w:rPr>
            </w:pPr>
            <w:r w:rsidRPr="00364545">
              <w:rPr>
                <w:sz w:val="16"/>
              </w:rPr>
              <w:t>4,79</w:t>
            </w:r>
          </w:p>
        </w:tc>
        <w:tc>
          <w:tcPr>
            <w:tcW w:w="991" w:type="dxa"/>
            <w:tcBorders>
              <w:top w:val="nil"/>
              <w:left w:val="nil"/>
              <w:bottom w:val="single" w:sz="4" w:space="0" w:color="auto"/>
              <w:right w:val="single" w:sz="4" w:space="0" w:color="auto"/>
            </w:tcBorders>
            <w:shd w:val="clear" w:color="000000" w:fill="FFFFFF"/>
            <w:noWrap/>
            <w:vAlign w:val="bottom"/>
            <w:hideMark/>
          </w:tcPr>
          <w:p w14:paraId="2D14D78B" w14:textId="77777777" w:rsidR="00B56301" w:rsidRPr="00364545" w:rsidRDefault="00B56301" w:rsidP="00B37B65">
            <w:pPr>
              <w:jc w:val="right"/>
              <w:rPr>
                <w:rFonts w:asciiTheme="minorHAnsi" w:hAnsiTheme="minorHAnsi"/>
                <w:sz w:val="16"/>
                <w:szCs w:val="16"/>
              </w:rPr>
            </w:pPr>
            <w:r w:rsidRPr="00364545">
              <w:rPr>
                <w:sz w:val="16"/>
              </w:rPr>
              <w:t>4,63</w:t>
            </w:r>
          </w:p>
        </w:tc>
        <w:tc>
          <w:tcPr>
            <w:tcW w:w="991" w:type="dxa"/>
            <w:tcBorders>
              <w:top w:val="nil"/>
              <w:left w:val="nil"/>
              <w:bottom w:val="single" w:sz="4" w:space="0" w:color="auto"/>
              <w:right w:val="single" w:sz="4" w:space="0" w:color="auto"/>
            </w:tcBorders>
            <w:shd w:val="clear" w:color="000000" w:fill="FFFFFF"/>
            <w:noWrap/>
            <w:vAlign w:val="bottom"/>
            <w:hideMark/>
          </w:tcPr>
          <w:p w14:paraId="139DB721" w14:textId="77777777" w:rsidR="00B56301" w:rsidRPr="00364545" w:rsidRDefault="00B56301" w:rsidP="00B37B65">
            <w:pPr>
              <w:jc w:val="right"/>
              <w:rPr>
                <w:rFonts w:asciiTheme="minorHAnsi" w:hAnsiTheme="minorHAnsi"/>
                <w:sz w:val="16"/>
                <w:szCs w:val="16"/>
              </w:rPr>
            </w:pPr>
            <w:r w:rsidRPr="00364545">
              <w:rPr>
                <w:sz w:val="16"/>
              </w:rPr>
              <w:t>4,58</w:t>
            </w:r>
          </w:p>
        </w:tc>
      </w:tr>
      <w:tr w:rsidR="00B56301" w:rsidRPr="00364545" w14:paraId="7DA9DF0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2AF9BF7" w14:textId="739CF60B"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5. Other</w:t>
            </w:r>
          </w:p>
        </w:tc>
        <w:tc>
          <w:tcPr>
            <w:tcW w:w="991" w:type="dxa"/>
            <w:tcBorders>
              <w:top w:val="nil"/>
              <w:left w:val="nil"/>
              <w:bottom w:val="single" w:sz="4" w:space="0" w:color="auto"/>
              <w:right w:val="single" w:sz="4" w:space="0" w:color="auto"/>
            </w:tcBorders>
            <w:shd w:val="clear" w:color="000000" w:fill="FFFFFF"/>
            <w:noWrap/>
            <w:vAlign w:val="bottom"/>
            <w:hideMark/>
          </w:tcPr>
          <w:p w14:paraId="55FF3902"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B3AD951" w14:textId="77777777" w:rsidR="00B56301" w:rsidRPr="00364545" w:rsidRDefault="00B56301" w:rsidP="00B37B65">
            <w:pPr>
              <w:jc w:val="right"/>
              <w:rPr>
                <w:rFonts w:asciiTheme="minorHAnsi" w:hAnsiTheme="minorHAnsi"/>
                <w:sz w:val="16"/>
                <w:szCs w:val="16"/>
              </w:rPr>
            </w:pPr>
            <w:r w:rsidRPr="00364545">
              <w:rPr>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5BAFDF3A" w14:textId="77777777" w:rsidR="00B56301" w:rsidRPr="00364545" w:rsidRDefault="00B56301" w:rsidP="00B37B65">
            <w:pPr>
              <w:jc w:val="right"/>
              <w:rPr>
                <w:rFonts w:asciiTheme="minorHAnsi" w:hAnsiTheme="minorHAnsi"/>
                <w:sz w:val="16"/>
                <w:szCs w:val="16"/>
              </w:rPr>
            </w:pPr>
            <w:r w:rsidRPr="00364545">
              <w:rPr>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05139601" w14:textId="77777777" w:rsidR="00B56301" w:rsidRPr="00364545" w:rsidRDefault="00B56301" w:rsidP="00B37B65">
            <w:pPr>
              <w:jc w:val="right"/>
              <w:rPr>
                <w:rFonts w:asciiTheme="minorHAnsi" w:hAnsiTheme="minorHAnsi"/>
                <w:sz w:val="16"/>
                <w:szCs w:val="16"/>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5B6E6759" w14:textId="77777777" w:rsidR="00B56301" w:rsidRPr="00364545" w:rsidRDefault="00B56301" w:rsidP="00B37B65">
            <w:pPr>
              <w:jc w:val="right"/>
              <w:rPr>
                <w:rFonts w:asciiTheme="minorHAnsi" w:hAnsiTheme="minorHAnsi"/>
                <w:sz w:val="16"/>
                <w:szCs w:val="16"/>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357FAA02" w14:textId="77777777" w:rsidR="00B56301" w:rsidRPr="00364545" w:rsidRDefault="00B56301" w:rsidP="00B37B65">
            <w:pPr>
              <w:jc w:val="right"/>
              <w:rPr>
                <w:rFonts w:asciiTheme="minorHAnsi" w:hAnsiTheme="minorHAnsi"/>
                <w:sz w:val="16"/>
                <w:szCs w:val="16"/>
              </w:rPr>
            </w:pPr>
            <w:r w:rsidRPr="00364545">
              <w:rPr>
                <w:sz w:val="16"/>
              </w:rPr>
              <w:t>0,03</w:t>
            </w:r>
          </w:p>
        </w:tc>
      </w:tr>
      <w:tr w:rsidR="00B56301" w:rsidRPr="00364545" w14:paraId="68EE625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DEC4C5"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152FABAF"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CCFFFF"/>
            <w:noWrap/>
            <w:vAlign w:val="bottom"/>
            <w:hideMark/>
          </w:tcPr>
          <w:p w14:paraId="60DA24A0"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CCFFFF"/>
            <w:noWrap/>
            <w:vAlign w:val="bottom"/>
            <w:hideMark/>
          </w:tcPr>
          <w:p w14:paraId="2BBBF5FA"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CCFFFF"/>
            <w:noWrap/>
            <w:vAlign w:val="bottom"/>
            <w:hideMark/>
          </w:tcPr>
          <w:p w14:paraId="64D84837"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CCFFFF"/>
            <w:noWrap/>
            <w:vAlign w:val="bottom"/>
            <w:hideMark/>
          </w:tcPr>
          <w:p w14:paraId="5857625C" w14:textId="77777777" w:rsidR="00B56301" w:rsidRPr="00364545" w:rsidRDefault="00B56301" w:rsidP="00B37B65">
            <w:pPr>
              <w:jc w:val="right"/>
              <w:rPr>
                <w:rFonts w:asciiTheme="minorHAnsi" w:hAnsiTheme="minorHAnsi"/>
                <w:sz w:val="16"/>
                <w:szCs w:val="16"/>
              </w:rPr>
            </w:pPr>
            <w:r w:rsidRPr="00364545">
              <w:rPr>
                <w:sz w:val="16"/>
              </w:rPr>
              <w:t>0,04</w:t>
            </w:r>
          </w:p>
        </w:tc>
        <w:tc>
          <w:tcPr>
            <w:tcW w:w="991" w:type="dxa"/>
            <w:tcBorders>
              <w:top w:val="nil"/>
              <w:left w:val="nil"/>
              <w:bottom w:val="single" w:sz="4" w:space="0" w:color="auto"/>
              <w:right w:val="single" w:sz="4" w:space="0" w:color="auto"/>
            </w:tcBorders>
            <w:shd w:val="clear" w:color="000000" w:fill="CCFFFF"/>
            <w:noWrap/>
            <w:vAlign w:val="bottom"/>
            <w:hideMark/>
          </w:tcPr>
          <w:p w14:paraId="2B655158" w14:textId="77777777" w:rsidR="00B56301" w:rsidRPr="00364545" w:rsidRDefault="00B56301" w:rsidP="00B37B65">
            <w:pPr>
              <w:jc w:val="right"/>
              <w:rPr>
                <w:rFonts w:asciiTheme="minorHAnsi" w:hAnsiTheme="minorHAnsi"/>
                <w:sz w:val="16"/>
                <w:szCs w:val="16"/>
              </w:rPr>
            </w:pPr>
            <w:r w:rsidRPr="00364545">
              <w:rPr>
                <w:sz w:val="16"/>
              </w:rPr>
              <w:t>0,05</w:t>
            </w:r>
          </w:p>
        </w:tc>
      </w:tr>
      <w:tr w:rsidR="00B56301" w:rsidRPr="00364545" w14:paraId="042815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C3FF82E" w14:textId="6797E8B3"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5D20BC40"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BE2BE4A"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4AAEAF5"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C049D2F"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80EE84C"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EF26562"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388EBE3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0D931F7" w14:textId="49C6F9A9"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775E980F"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02FC74A9"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2A141897"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60001E3D" w14:textId="77777777" w:rsidR="00B56301" w:rsidRPr="00364545" w:rsidRDefault="00B56301" w:rsidP="00B37B65">
            <w:pPr>
              <w:jc w:val="right"/>
              <w:rPr>
                <w:rFonts w:asciiTheme="minorHAnsi" w:hAnsiTheme="minorHAnsi"/>
                <w:sz w:val="16"/>
                <w:szCs w:val="16"/>
              </w:rPr>
            </w:pPr>
            <w:r w:rsidRPr="00364545">
              <w:rPr>
                <w:sz w:val="16"/>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7F9502A4" w14:textId="77777777" w:rsidR="00B56301" w:rsidRPr="00364545" w:rsidRDefault="00B56301" w:rsidP="00B37B65">
            <w:pPr>
              <w:jc w:val="right"/>
              <w:rPr>
                <w:rFonts w:asciiTheme="minorHAnsi" w:hAnsiTheme="minorHAnsi"/>
                <w:sz w:val="16"/>
                <w:szCs w:val="16"/>
              </w:rPr>
            </w:pPr>
            <w:r w:rsidRPr="00364545">
              <w:rPr>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129350C8" w14:textId="77777777" w:rsidR="00B56301" w:rsidRPr="00364545" w:rsidRDefault="00B56301" w:rsidP="00B37B65">
            <w:pPr>
              <w:jc w:val="right"/>
              <w:rPr>
                <w:rFonts w:asciiTheme="minorHAnsi" w:hAnsiTheme="minorHAnsi"/>
                <w:sz w:val="16"/>
                <w:szCs w:val="16"/>
              </w:rPr>
            </w:pPr>
            <w:r w:rsidRPr="00364545">
              <w:rPr>
                <w:sz w:val="16"/>
              </w:rPr>
              <w:t>0,05</w:t>
            </w:r>
          </w:p>
        </w:tc>
      </w:tr>
      <w:tr w:rsidR="00B56301" w:rsidRPr="00364545" w14:paraId="21D8F82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724B267" w14:textId="51F1D49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35DCF28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503DF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6522C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7F469E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690EBC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B16E15"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262B59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B5499D" w14:textId="7164B20A"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2. 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14D5C429" w14:textId="77777777" w:rsidR="00B56301" w:rsidRPr="00364545" w:rsidRDefault="00B56301" w:rsidP="00B37B65">
            <w:pPr>
              <w:jc w:val="right"/>
              <w:rPr>
                <w:rFonts w:asciiTheme="minorHAnsi" w:hAnsiTheme="minorHAnsi"/>
                <w:sz w:val="16"/>
                <w:szCs w:val="16"/>
              </w:rPr>
            </w:pPr>
            <w:r w:rsidRPr="00364545">
              <w:rPr>
                <w:sz w:val="16"/>
              </w:rPr>
              <w:t>3,36</w:t>
            </w:r>
          </w:p>
        </w:tc>
        <w:tc>
          <w:tcPr>
            <w:tcW w:w="991" w:type="dxa"/>
            <w:tcBorders>
              <w:top w:val="nil"/>
              <w:left w:val="nil"/>
              <w:bottom w:val="single" w:sz="4" w:space="0" w:color="auto"/>
              <w:right w:val="single" w:sz="4" w:space="0" w:color="auto"/>
            </w:tcBorders>
            <w:shd w:val="clear" w:color="000000" w:fill="CCFFFF"/>
            <w:noWrap/>
            <w:vAlign w:val="bottom"/>
            <w:hideMark/>
          </w:tcPr>
          <w:p w14:paraId="67D30E3E" w14:textId="77777777" w:rsidR="00B56301" w:rsidRPr="00364545" w:rsidRDefault="00B56301" w:rsidP="00B37B65">
            <w:pPr>
              <w:jc w:val="right"/>
              <w:rPr>
                <w:rFonts w:asciiTheme="minorHAnsi" w:hAnsiTheme="minorHAnsi"/>
                <w:sz w:val="16"/>
                <w:szCs w:val="16"/>
              </w:rPr>
            </w:pPr>
            <w:r w:rsidRPr="00364545">
              <w:rPr>
                <w:sz w:val="16"/>
              </w:rPr>
              <w:t>3,97</w:t>
            </w:r>
          </w:p>
        </w:tc>
        <w:tc>
          <w:tcPr>
            <w:tcW w:w="991" w:type="dxa"/>
            <w:tcBorders>
              <w:top w:val="nil"/>
              <w:left w:val="nil"/>
              <w:bottom w:val="single" w:sz="4" w:space="0" w:color="auto"/>
              <w:right w:val="single" w:sz="4" w:space="0" w:color="auto"/>
            </w:tcBorders>
            <w:shd w:val="clear" w:color="000000" w:fill="CCFFFF"/>
            <w:noWrap/>
            <w:vAlign w:val="bottom"/>
            <w:hideMark/>
          </w:tcPr>
          <w:p w14:paraId="26D646F4" w14:textId="77777777" w:rsidR="00B56301" w:rsidRPr="00364545" w:rsidRDefault="00B56301" w:rsidP="00B37B65">
            <w:pPr>
              <w:jc w:val="right"/>
              <w:rPr>
                <w:rFonts w:asciiTheme="minorHAnsi" w:hAnsiTheme="minorHAnsi"/>
                <w:sz w:val="16"/>
                <w:szCs w:val="16"/>
              </w:rPr>
            </w:pPr>
            <w:r w:rsidRPr="00364545">
              <w:rPr>
                <w:sz w:val="16"/>
              </w:rPr>
              <w:t>4,33</w:t>
            </w:r>
          </w:p>
        </w:tc>
        <w:tc>
          <w:tcPr>
            <w:tcW w:w="991" w:type="dxa"/>
            <w:tcBorders>
              <w:top w:val="nil"/>
              <w:left w:val="nil"/>
              <w:bottom w:val="single" w:sz="4" w:space="0" w:color="auto"/>
              <w:right w:val="single" w:sz="4" w:space="0" w:color="auto"/>
            </w:tcBorders>
            <w:shd w:val="clear" w:color="000000" w:fill="CCFFFF"/>
            <w:noWrap/>
            <w:vAlign w:val="bottom"/>
            <w:hideMark/>
          </w:tcPr>
          <w:p w14:paraId="056CBDBC" w14:textId="77777777" w:rsidR="00B56301" w:rsidRPr="00364545" w:rsidRDefault="00B56301" w:rsidP="00B37B65">
            <w:pPr>
              <w:jc w:val="right"/>
              <w:rPr>
                <w:rFonts w:asciiTheme="minorHAnsi" w:hAnsiTheme="minorHAnsi"/>
                <w:sz w:val="16"/>
                <w:szCs w:val="16"/>
              </w:rPr>
            </w:pPr>
            <w:r w:rsidRPr="00364545">
              <w:rPr>
                <w:sz w:val="16"/>
              </w:rPr>
              <w:t>3,45</w:t>
            </w:r>
          </w:p>
        </w:tc>
        <w:tc>
          <w:tcPr>
            <w:tcW w:w="991" w:type="dxa"/>
            <w:tcBorders>
              <w:top w:val="nil"/>
              <w:left w:val="nil"/>
              <w:bottom w:val="single" w:sz="4" w:space="0" w:color="auto"/>
              <w:right w:val="single" w:sz="4" w:space="0" w:color="auto"/>
            </w:tcBorders>
            <w:shd w:val="clear" w:color="000000" w:fill="CCFFFF"/>
            <w:noWrap/>
            <w:vAlign w:val="bottom"/>
            <w:hideMark/>
          </w:tcPr>
          <w:p w14:paraId="37B78687" w14:textId="77777777" w:rsidR="00B56301" w:rsidRPr="00364545" w:rsidRDefault="00B56301" w:rsidP="00B37B65">
            <w:pPr>
              <w:jc w:val="right"/>
              <w:rPr>
                <w:rFonts w:asciiTheme="minorHAnsi" w:hAnsiTheme="minorHAnsi"/>
                <w:sz w:val="16"/>
                <w:szCs w:val="16"/>
              </w:rPr>
            </w:pPr>
            <w:r w:rsidRPr="00364545">
              <w:rPr>
                <w:sz w:val="16"/>
              </w:rPr>
              <w:t>5,57</w:t>
            </w:r>
          </w:p>
        </w:tc>
        <w:tc>
          <w:tcPr>
            <w:tcW w:w="991" w:type="dxa"/>
            <w:tcBorders>
              <w:top w:val="nil"/>
              <w:left w:val="nil"/>
              <w:bottom w:val="single" w:sz="4" w:space="0" w:color="auto"/>
              <w:right w:val="single" w:sz="4" w:space="0" w:color="auto"/>
            </w:tcBorders>
            <w:shd w:val="clear" w:color="000000" w:fill="CCFFFF"/>
            <w:noWrap/>
            <w:vAlign w:val="bottom"/>
            <w:hideMark/>
          </w:tcPr>
          <w:p w14:paraId="16B0A97C" w14:textId="77777777" w:rsidR="00B56301" w:rsidRPr="00364545" w:rsidRDefault="00B56301" w:rsidP="00B37B65">
            <w:pPr>
              <w:jc w:val="right"/>
              <w:rPr>
                <w:rFonts w:asciiTheme="minorHAnsi" w:hAnsiTheme="minorHAnsi"/>
                <w:sz w:val="16"/>
                <w:szCs w:val="16"/>
              </w:rPr>
            </w:pPr>
            <w:r w:rsidRPr="00364545">
              <w:rPr>
                <w:sz w:val="16"/>
              </w:rPr>
              <w:t>3,66</w:t>
            </w:r>
          </w:p>
        </w:tc>
      </w:tr>
      <w:tr w:rsidR="00B56301" w:rsidRPr="00364545" w14:paraId="5DB02AC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FDE3162" w14:textId="3F0F2E2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3A19654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4F253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529ED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A3A5D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1E3B3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D28E76"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61DCB11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65B99B" w14:textId="446B80F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B8E5AAE" w14:textId="77777777" w:rsidR="00B56301" w:rsidRPr="00364545" w:rsidRDefault="00B56301" w:rsidP="00B37B65">
            <w:pPr>
              <w:jc w:val="right"/>
              <w:rPr>
                <w:rFonts w:asciiTheme="minorHAnsi" w:hAnsiTheme="minorHAnsi"/>
                <w:sz w:val="16"/>
                <w:szCs w:val="16"/>
              </w:rPr>
            </w:pPr>
            <w:r w:rsidRPr="00364545">
              <w:rPr>
                <w:sz w:val="16"/>
              </w:rPr>
              <w:t>2,91</w:t>
            </w:r>
          </w:p>
        </w:tc>
        <w:tc>
          <w:tcPr>
            <w:tcW w:w="991" w:type="dxa"/>
            <w:tcBorders>
              <w:top w:val="nil"/>
              <w:left w:val="nil"/>
              <w:bottom w:val="single" w:sz="4" w:space="0" w:color="auto"/>
              <w:right w:val="single" w:sz="4" w:space="0" w:color="auto"/>
            </w:tcBorders>
            <w:shd w:val="clear" w:color="000000" w:fill="FFFFFF"/>
            <w:noWrap/>
            <w:vAlign w:val="bottom"/>
            <w:hideMark/>
          </w:tcPr>
          <w:p w14:paraId="5F39AA36" w14:textId="77777777" w:rsidR="00B56301" w:rsidRPr="00364545" w:rsidRDefault="00B56301" w:rsidP="00B37B65">
            <w:pPr>
              <w:jc w:val="right"/>
              <w:rPr>
                <w:rFonts w:asciiTheme="minorHAnsi" w:hAnsiTheme="minorHAnsi"/>
                <w:sz w:val="16"/>
                <w:szCs w:val="16"/>
              </w:rPr>
            </w:pPr>
            <w:r w:rsidRPr="00364545">
              <w:rPr>
                <w:sz w:val="16"/>
              </w:rPr>
              <w:t>3,52</w:t>
            </w:r>
          </w:p>
        </w:tc>
        <w:tc>
          <w:tcPr>
            <w:tcW w:w="991" w:type="dxa"/>
            <w:tcBorders>
              <w:top w:val="nil"/>
              <w:left w:val="nil"/>
              <w:bottom w:val="single" w:sz="4" w:space="0" w:color="auto"/>
              <w:right w:val="single" w:sz="4" w:space="0" w:color="auto"/>
            </w:tcBorders>
            <w:shd w:val="clear" w:color="000000" w:fill="FFFFFF"/>
            <w:noWrap/>
            <w:vAlign w:val="bottom"/>
            <w:hideMark/>
          </w:tcPr>
          <w:p w14:paraId="4243D420" w14:textId="77777777" w:rsidR="00B56301" w:rsidRPr="00364545" w:rsidRDefault="00B56301" w:rsidP="00B37B65">
            <w:pPr>
              <w:jc w:val="right"/>
              <w:rPr>
                <w:rFonts w:asciiTheme="minorHAnsi" w:hAnsiTheme="minorHAnsi"/>
                <w:sz w:val="16"/>
                <w:szCs w:val="16"/>
              </w:rPr>
            </w:pPr>
            <w:r w:rsidRPr="00364545">
              <w:rPr>
                <w:sz w:val="16"/>
              </w:rPr>
              <w:t>3,88</w:t>
            </w:r>
          </w:p>
        </w:tc>
        <w:tc>
          <w:tcPr>
            <w:tcW w:w="991" w:type="dxa"/>
            <w:tcBorders>
              <w:top w:val="nil"/>
              <w:left w:val="nil"/>
              <w:bottom w:val="single" w:sz="4" w:space="0" w:color="auto"/>
              <w:right w:val="single" w:sz="4" w:space="0" w:color="auto"/>
            </w:tcBorders>
            <w:shd w:val="clear" w:color="000000" w:fill="FFFFFF"/>
            <w:noWrap/>
            <w:vAlign w:val="bottom"/>
            <w:hideMark/>
          </w:tcPr>
          <w:p w14:paraId="3F2DA8CA" w14:textId="77777777" w:rsidR="00B56301" w:rsidRPr="00364545" w:rsidRDefault="00B56301" w:rsidP="00B37B65">
            <w:pPr>
              <w:jc w:val="right"/>
              <w:rPr>
                <w:rFonts w:asciiTheme="minorHAnsi" w:hAnsiTheme="minorHAnsi"/>
                <w:sz w:val="16"/>
                <w:szCs w:val="16"/>
              </w:rPr>
            </w:pPr>
            <w:r w:rsidRPr="00364545">
              <w:rPr>
                <w:sz w:val="16"/>
              </w:rPr>
              <w:t>2,99</w:t>
            </w:r>
          </w:p>
        </w:tc>
        <w:tc>
          <w:tcPr>
            <w:tcW w:w="991" w:type="dxa"/>
            <w:tcBorders>
              <w:top w:val="nil"/>
              <w:left w:val="nil"/>
              <w:bottom w:val="single" w:sz="4" w:space="0" w:color="auto"/>
              <w:right w:val="single" w:sz="4" w:space="0" w:color="auto"/>
            </w:tcBorders>
            <w:shd w:val="clear" w:color="000000" w:fill="FFFFFF"/>
            <w:noWrap/>
            <w:vAlign w:val="bottom"/>
            <w:hideMark/>
          </w:tcPr>
          <w:p w14:paraId="55B12D11" w14:textId="77777777" w:rsidR="00B56301" w:rsidRPr="00364545" w:rsidRDefault="00B56301" w:rsidP="00B37B65">
            <w:pPr>
              <w:jc w:val="right"/>
              <w:rPr>
                <w:rFonts w:asciiTheme="minorHAnsi" w:hAnsiTheme="minorHAnsi"/>
                <w:sz w:val="16"/>
                <w:szCs w:val="16"/>
              </w:rPr>
            </w:pPr>
            <w:r w:rsidRPr="00364545">
              <w:rPr>
                <w:sz w:val="16"/>
              </w:rPr>
              <w:t>5,11</w:t>
            </w:r>
          </w:p>
        </w:tc>
        <w:tc>
          <w:tcPr>
            <w:tcW w:w="991" w:type="dxa"/>
            <w:tcBorders>
              <w:top w:val="nil"/>
              <w:left w:val="nil"/>
              <w:bottom w:val="single" w:sz="4" w:space="0" w:color="auto"/>
              <w:right w:val="single" w:sz="4" w:space="0" w:color="auto"/>
            </w:tcBorders>
            <w:shd w:val="clear" w:color="000000" w:fill="FFFFFF"/>
            <w:noWrap/>
            <w:vAlign w:val="bottom"/>
            <w:hideMark/>
          </w:tcPr>
          <w:p w14:paraId="091ABD4C" w14:textId="77777777" w:rsidR="00B56301" w:rsidRPr="00364545" w:rsidRDefault="00B56301" w:rsidP="00B37B65">
            <w:pPr>
              <w:jc w:val="right"/>
              <w:rPr>
                <w:rFonts w:asciiTheme="minorHAnsi" w:hAnsiTheme="minorHAnsi"/>
                <w:sz w:val="16"/>
                <w:szCs w:val="16"/>
              </w:rPr>
            </w:pPr>
            <w:r w:rsidRPr="00364545">
              <w:rPr>
                <w:sz w:val="16"/>
              </w:rPr>
              <w:t>3,20</w:t>
            </w:r>
          </w:p>
        </w:tc>
      </w:tr>
      <w:tr w:rsidR="00B56301" w:rsidRPr="00364545" w14:paraId="2850EAE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82F787" w14:textId="6B40416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D5EE204"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C11837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6EDB8DC"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8D9AC2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1AE6B60"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B5A0A7B"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5522F74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35047B4" w14:textId="1B1AD26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79DBAF89"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7BEA113A"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5DA3E504"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7395A989"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F95D9DD" w14:textId="77777777" w:rsidR="00B56301" w:rsidRPr="00364545" w:rsidRDefault="00B56301" w:rsidP="00B37B65">
            <w:pPr>
              <w:jc w:val="right"/>
              <w:rPr>
                <w:rFonts w:asciiTheme="minorHAnsi" w:hAnsiTheme="minorHAnsi"/>
                <w:sz w:val="16"/>
                <w:szCs w:val="16"/>
              </w:rPr>
            </w:pPr>
            <w:r w:rsidRPr="00364545">
              <w:rPr>
                <w:sz w:val="16"/>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2D3DF1B" w14:textId="77777777" w:rsidR="00B56301" w:rsidRPr="00364545" w:rsidRDefault="00B56301" w:rsidP="00B37B65">
            <w:pPr>
              <w:jc w:val="right"/>
              <w:rPr>
                <w:rFonts w:asciiTheme="minorHAnsi" w:hAnsiTheme="minorHAnsi"/>
                <w:sz w:val="16"/>
                <w:szCs w:val="16"/>
              </w:rPr>
            </w:pPr>
            <w:r w:rsidRPr="00364545">
              <w:rPr>
                <w:sz w:val="16"/>
              </w:rPr>
              <w:t>0,01</w:t>
            </w:r>
          </w:p>
        </w:tc>
      </w:tr>
      <w:tr w:rsidR="00B56301" w:rsidRPr="00364545" w14:paraId="77C42F6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97480C2" w14:textId="6F07AC16"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457C6DE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908E6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B3152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40357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4EFE9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893508"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A9D059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C5B3E70" w14:textId="1461B7F0"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1377153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74F61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11521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86A9E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431A8B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223020"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0C8AC2C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4EBE351" w14:textId="03DA340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G. 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187C91A4" w14:textId="77777777" w:rsidR="00B56301" w:rsidRPr="00364545" w:rsidRDefault="00B56301" w:rsidP="00B37B65">
            <w:pPr>
              <w:jc w:val="right"/>
              <w:rPr>
                <w:rFonts w:asciiTheme="minorHAnsi" w:hAnsiTheme="minorHAnsi"/>
                <w:sz w:val="16"/>
                <w:szCs w:val="16"/>
              </w:rPr>
            </w:pPr>
            <w:r w:rsidRPr="00364545">
              <w:rPr>
                <w:sz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7DEBF3C0" w14:textId="77777777" w:rsidR="00B56301" w:rsidRPr="00364545" w:rsidRDefault="00B56301" w:rsidP="00B37B65">
            <w:pPr>
              <w:jc w:val="right"/>
              <w:rPr>
                <w:rFonts w:asciiTheme="minorHAnsi" w:hAnsiTheme="minorHAnsi"/>
                <w:sz w:val="16"/>
                <w:szCs w:val="16"/>
              </w:rPr>
            </w:pPr>
            <w:r w:rsidRPr="00364545">
              <w:rPr>
                <w:sz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5FF30F46" w14:textId="77777777" w:rsidR="00B56301" w:rsidRPr="00364545" w:rsidRDefault="00B56301" w:rsidP="00B37B65">
            <w:pPr>
              <w:jc w:val="right"/>
              <w:rPr>
                <w:rFonts w:asciiTheme="minorHAnsi" w:hAnsiTheme="minorHAnsi"/>
                <w:sz w:val="16"/>
                <w:szCs w:val="16"/>
              </w:rPr>
            </w:pPr>
            <w:r w:rsidRPr="00364545">
              <w:rPr>
                <w:sz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0A9DDA75" w14:textId="77777777" w:rsidR="00B56301" w:rsidRPr="00364545" w:rsidRDefault="00B56301" w:rsidP="00B37B65">
            <w:pPr>
              <w:jc w:val="right"/>
              <w:rPr>
                <w:rFonts w:asciiTheme="minorHAnsi" w:hAnsiTheme="minorHAnsi"/>
                <w:sz w:val="16"/>
                <w:szCs w:val="16"/>
              </w:rPr>
            </w:pPr>
            <w:r w:rsidRPr="00364545">
              <w:rPr>
                <w:sz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64D26ECD" w14:textId="77777777" w:rsidR="00B56301" w:rsidRPr="00364545" w:rsidRDefault="00B56301" w:rsidP="00B37B65">
            <w:pPr>
              <w:jc w:val="right"/>
              <w:rPr>
                <w:rFonts w:asciiTheme="minorHAnsi" w:hAnsiTheme="minorHAnsi"/>
                <w:sz w:val="16"/>
                <w:szCs w:val="16"/>
              </w:rPr>
            </w:pPr>
            <w:r w:rsidRPr="00364545">
              <w:rPr>
                <w:sz w:val="16"/>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77F1A66E" w14:textId="77777777" w:rsidR="00B56301" w:rsidRPr="00364545" w:rsidRDefault="00B56301" w:rsidP="00B37B65">
            <w:pPr>
              <w:jc w:val="right"/>
              <w:rPr>
                <w:rFonts w:asciiTheme="minorHAnsi" w:hAnsiTheme="minorHAnsi"/>
                <w:sz w:val="16"/>
                <w:szCs w:val="16"/>
              </w:rPr>
            </w:pPr>
            <w:r w:rsidRPr="00364545">
              <w:rPr>
                <w:sz w:val="16"/>
              </w:rPr>
              <w:t>0,45</w:t>
            </w:r>
          </w:p>
        </w:tc>
      </w:tr>
      <w:tr w:rsidR="00B56301" w:rsidRPr="00364545" w14:paraId="4CDDC49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5DEBBC" w14:textId="650BA39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282956AD"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4EEFA58"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F06F774"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9501626"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106E9722" w14:textId="77777777" w:rsidR="00B56301" w:rsidRPr="00364545" w:rsidRDefault="00B56301" w:rsidP="00B37B65">
            <w:pPr>
              <w:jc w:val="right"/>
              <w:rPr>
                <w:rFonts w:asciiTheme="minorHAnsi" w:hAnsiTheme="minorHAnsi"/>
                <w:sz w:val="16"/>
                <w:szCs w:val="16"/>
              </w:rPr>
            </w:pPr>
            <w:r w:rsidRPr="00364545">
              <w:rPr>
                <w:sz w:val="16"/>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DA8B968" w14:textId="77777777" w:rsidR="00B56301" w:rsidRPr="00364545" w:rsidRDefault="00B56301" w:rsidP="00B37B65">
            <w:pPr>
              <w:jc w:val="right"/>
              <w:rPr>
                <w:rFonts w:asciiTheme="minorHAnsi" w:hAnsiTheme="minorHAnsi"/>
                <w:sz w:val="16"/>
                <w:szCs w:val="16"/>
              </w:rPr>
            </w:pPr>
            <w:r w:rsidRPr="00364545">
              <w:rPr>
                <w:sz w:val="16"/>
              </w:rPr>
              <w:t>NO,NA</w:t>
            </w:r>
          </w:p>
        </w:tc>
      </w:tr>
      <w:tr w:rsidR="00B56301" w:rsidRPr="00364545" w14:paraId="035AAA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72CCA25C" w14:textId="0A900C5C"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3. 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2F7D8FC5" w14:textId="77777777" w:rsidR="00B56301" w:rsidRPr="00364545" w:rsidRDefault="00B56301" w:rsidP="00B37B65">
            <w:pPr>
              <w:jc w:val="right"/>
              <w:rPr>
                <w:rFonts w:asciiTheme="minorHAnsi" w:hAnsiTheme="minorHAnsi"/>
                <w:sz w:val="16"/>
                <w:szCs w:val="16"/>
              </w:rPr>
            </w:pPr>
            <w:r w:rsidRPr="00364545">
              <w:rPr>
                <w:sz w:val="16"/>
              </w:rPr>
              <w:t>112,41</w:t>
            </w:r>
          </w:p>
        </w:tc>
        <w:tc>
          <w:tcPr>
            <w:tcW w:w="991" w:type="dxa"/>
            <w:tcBorders>
              <w:top w:val="nil"/>
              <w:left w:val="nil"/>
              <w:bottom w:val="single" w:sz="4" w:space="0" w:color="auto"/>
              <w:right w:val="single" w:sz="4" w:space="0" w:color="auto"/>
            </w:tcBorders>
            <w:shd w:val="clear" w:color="000000" w:fill="CCFFFF"/>
            <w:noWrap/>
            <w:vAlign w:val="bottom"/>
            <w:hideMark/>
          </w:tcPr>
          <w:p w14:paraId="7F014537" w14:textId="77777777" w:rsidR="00B56301" w:rsidRPr="00364545" w:rsidRDefault="00B56301" w:rsidP="00B37B65">
            <w:pPr>
              <w:jc w:val="right"/>
              <w:rPr>
                <w:rFonts w:asciiTheme="minorHAnsi" w:hAnsiTheme="minorHAnsi"/>
                <w:sz w:val="16"/>
                <w:szCs w:val="16"/>
              </w:rPr>
            </w:pPr>
            <w:r w:rsidRPr="00364545">
              <w:rPr>
                <w:sz w:val="16"/>
              </w:rPr>
              <w:t>116,13</w:t>
            </w:r>
          </w:p>
        </w:tc>
        <w:tc>
          <w:tcPr>
            <w:tcW w:w="991" w:type="dxa"/>
            <w:tcBorders>
              <w:top w:val="nil"/>
              <w:left w:val="nil"/>
              <w:bottom w:val="single" w:sz="4" w:space="0" w:color="auto"/>
              <w:right w:val="single" w:sz="4" w:space="0" w:color="auto"/>
            </w:tcBorders>
            <w:shd w:val="clear" w:color="000000" w:fill="CCFFFF"/>
            <w:noWrap/>
            <w:vAlign w:val="bottom"/>
            <w:hideMark/>
          </w:tcPr>
          <w:p w14:paraId="6EC94836" w14:textId="77777777" w:rsidR="00B56301" w:rsidRPr="00364545" w:rsidRDefault="00B56301" w:rsidP="00B37B65">
            <w:pPr>
              <w:jc w:val="right"/>
              <w:rPr>
                <w:rFonts w:asciiTheme="minorHAnsi" w:hAnsiTheme="minorHAnsi"/>
                <w:sz w:val="16"/>
                <w:szCs w:val="16"/>
              </w:rPr>
            </w:pPr>
            <w:r w:rsidRPr="00364545">
              <w:rPr>
                <w:sz w:val="16"/>
              </w:rPr>
              <w:t>114,98</w:t>
            </w:r>
          </w:p>
        </w:tc>
        <w:tc>
          <w:tcPr>
            <w:tcW w:w="991" w:type="dxa"/>
            <w:tcBorders>
              <w:top w:val="nil"/>
              <w:left w:val="nil"/>
              <w:bottom w:val="single" w:sz="4" w:space="0" w:color="auto"/>
              <w:right w:val="single" w:sz="4" w:space="0" w:color="auto"/>
            </w:tcBorders>
            <w:shd w:val="clear" w:color="000000" w:fill="CCFFFF"/>
            <w:noWrap/>
            <w:vAlign w:val="bottom"/>
            <w:hideMark/>
          </w:tcPr>
          <w:p w14:paraId="3AE43BED" w14:textId="77777777" w:rsidR="00B56301" w:rsidRPr="00364545" w:rsidRDefault="00B56301" w:rsidP="00B37B65">
            <w:pPr>
              <w:jc w:val="right"/>
              <w:rPr>
                <w:rFonts w:asciiTheme="minorHAnsi" w:hAnsiTheme="minorHAnsi"/>
                <w:sz w:val="16"/>
                <w:szCs w:val="16"/>
              </w:rPr>
            </w:pPr>
            <w:r w:rsidRPr="00364545">
              <w:rPr>
                <w:sz w:val="16"/>
              </w:rPr>
              <w:t>112,23</w:t>
            </w:r>
          </w:p>
        </w:tc>
        <w:tc>
          <w:tcPr>
            <w:tcW w:w="991" w:type="dxa"/>
            <w:tcBorders>
              <w:top w:val="nil"/>
              <w:left w:val="nil"/>
              <w:bottom w:val="single" w:sz="4" w:space="0" w:color="auto"/>
              <w:right w:val="single" w:sz="4" w:space="0" w:color="auto"/>
            </w:tcBorders>
            <w:shd w:val="clear" w:color="000000" w:fill="CCFFFF"/>
            <w:noWrap/>
            <w:vAlign w:val="bottom"/>
            <w:hideMark/>
          </w:tcPr>
          <w:p w14:paraId="60DBB3C2" w14:textId="77777777" w:rsidR="00B56301" w:rsidRPr="00364545" w:rsidRDefault="00B56301" w:rsidP="00B37B65">
            <w:pPr>
              <w:jc w:val="right"/>
              <w:rPr>
                <w:rFonts w:asciiTheme="minorHAnsi" w:hAnsiTheme="minorHAnsi"/>
                <w:sz w:val="16"/>
                <w:szCs w:val="16"/>
              </w:rPr>
            </w:pPr>
            <w:r w:rsidRPr="00364545">
              <w:rPr>
                <w:sz w:val="16"/>
              </w:rPr>
              <w:t>114,77</w:t>
            </w:r>
          </w:p>
        </w:tc>
        <w:tc>
          <w:tcPr>
            <w:tcW w:w="991" w:type="dxa"/>
            <w:tcBorders>
              <w:top w:val="nil"/>
              <w:left w:val="nil"/>
              <w:bottom w:val="single" w:sz="4" w:space="0" w:color="auto"/>
              <w:right w:val="single" w:sz="4" w:space="0" w:color="auto"/>
            </w:tcBorders>
            <w:shd w:val="clear" w:color="000000" w:fill="CCFFFF"/>
            <w:noWrap/>
            <w:vAlign w:val="bottom"/>
            <w:hideMark/>
          </w:tcPr>
          <w:p w14:paraId="678C1050" w14:textId="77777777" w:rsidR="00B56301" w:rsidRPr="00364545" w:rsidRDefault="00B56301" w:rsidP="00B37B65">
            <w:pPr>
              <w:jc w:val="right"/>
              <w:rPr>
                <w:rFonts w:asciiTheme="minorHAnsi" w:hAnsiTheme="minorHAnsi"/>
                <w:sz w:val="16"/>
                <w:szCs w:val="16"/>
              </w:rPr>
            </w:pPr>
            <w:r w:rsidRPr="00364545">
              <w:rPr>
                <w:sz w:val="16"/>
              </w:rPr>
              <w:t>111,63</w:t>
            </w:r>
          </w:p>
        </w:tc>
      </w:tr>
      <w:tr w:rsidR="00B56301" w:rsidRPr="00364545" w14:paraId="056D573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83A7828" w14:textId="5336EEDA"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Enteric fermentation</w:t>
            </w:r>
          </w:p>
        </w:tc>
        <w:tc>
          <w:tcPr>
            <w:tcW w:w="991" w:type="dxa"/>
            <w:tcBorders>
              <w:top w:val="nil"/>
              <w:left w:val="nil"/>
              <w:bottom w:val="single" w:sz="4" w:space="0" w:color="auto"/>
              <w:right w:val="single" w:sz="4" w:space="0" w:color="auto"/>
            </w:tcBorders>
            <w:shd w:val="clear" w:color="000000" w:fill="969696"/>
            <w:noWrap/>
            <w:vAlign w:val="bottom"/>
            <w:hideMark/>
          </w:tcPr>
          <w:p w14:paraId="062082A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8411EA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40D7C9"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A316E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B38B4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F38620"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2FE3AE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EB7876F" w14:textId="7D75FB5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71D39ED6" w14:textId="77777777" w:rsidR="00B56301" w:rsidRPr="00364545" w:rsidRDefault="00B56301" w:rsidP="00B37B65">
            <w:pPr>
              <w:jc w:val="right"/>
              <w:rPr>
                <w:rFonts w:asciiTheme="minorHAnsi" w:hAnsiTheme="minorHAnsi"/>
                <w:sz w:val="16"/>
                <w:szCs w:val="16"/>
              </w:rPr>
            </w:pPr>
            <w:r w:rsidRPr="00364545">
              <w:rPr>
                <w:sz w:val="16"/>
              </w:rPr>
              <w:t>8,47</w:t>
            </w:r>
          </w:p>
        </w:tc>
        <w:tc>
          <w:tcPr>
            <w:tcW w:w="991" w:type="dxa"/>
            <w:tcBorders>
              <w:top w:val="nil"/>
              <w:left w:val="nil"/>
              <w:bottom w:val="single" w:sz="4" w:space="0" w:color="auto"/>
              <w:right w:val="single" w:sz="4" w:space="0" w:color="auto"/>
            </w:tcBorders>
            <w:shd w:val="clear" w:color="000000" w:fill="FFFFFF"/>
            <w:noWrap/>
            <w:vAlign w:val="bottom"/>
            <w:hideMark/>
          </w:tcPr>
          <w:p w14:paraId="5E817F10" w14:textId="77777777" w:rsidR="00B56301" w:rsidRPr="00364545" w:rsidRDefault="00B56301" w:rsidP="00B37B65">
            <w:pPr>
              <w:jc w:val="right"/>
              <w:rPr>
                <w:rFonts w:asciiTheme="minorHAnsi" w:hAnsiTheme="minorHAnsi"/>
                <w:sz w:val="16"/>
                <w:szCs w:val="16"/>
              </w:rPr>
            </w:pPr>
            <w:r w:rsidRPr="00364545">
              <w:rPr>
                <w:sz w:val="16"/>
              </w:rPr>
              <w:t>8,53</w:t>
            </w:r>
          </w:p>
        </w:tc>
        <w:tc>
          <w:tcPr>
            <w:tcW w:w="991" w:type="dxa"/>
            <w:tcBorders>
              <w:top w:val="nil"/>
              <w:left w:val="nil"/>
              <w:bottom w:val="single" w:sz="4" w:space="0" w:color="auto"/>
              <w:right w:val="single" w:sz="4" w:space="0" w:color="auto"/>
            </w:tcBorders>
            <w:shd w:val="clear" w:color="000000" w:fill="FFFFFF"/>
            <w:noWrap/>
            <w:vAlign w:val="bottom"/>
            <w:hideMark/>
          </w:tcPr>
          <w:p w14:paraId="28F46474" w14:textId="77777777" w:rsidR="00B56301" w:rsidRPr="00364545" w:rsidRDefault="00B56301" w:rsidP="00B37B65">
            <w:pPr>
              <w:jc w:val="right"/>
              <w:rPr>
                <w:rFonts w:asciiTheme="minorHAnsi" w:hAnsiTheme="minorHAnsi"/>
                <w:sz w:val="16"/>
                <w:szCs w:val="16"/>
              </w:rPr>
            </w:pPr>
            <w:r w:rsidRPr="00364545">
              <w:rPr>
                <w:sz w:val="16"/>
              </w:rPr>
              <w:t>8,54</w:t>
            </w:r>
          </w:p>
        </w:tc>
        <w:tc>
          <w:tcPr>
            <w:tcW w:w="991" w:type="dxa"/>
            <w:tcBorders>
              <w:top w:val="nil"/>
              <w:left w:val="nil"/>
              <w:bottom w:val="single" w:sz="4" w:space="0" w:color="auto"/>
              <w:right w:val="single" w:sz="4" w:space="0" w:color="auto"/>
            </w:tcBorders>
            <w:shd w:val="clear" w:color="000000" w:fill="FFFFFF"/>
            <w:noWrap/>
            <w:vAlign w:val="bottom"/>
            <w:hideMark/>
          </w:tcPr>
          <w:p w14:paraId="42BE6F3C" w14:textId="77777777" w:rsidR="00B56301" w:rsidRPr="00364545" w:rsidRDefault="00B56301" w:rsidP="00B37B65">
            <w:pPr>
              <w:jc w:val="right"/>
              <w:rPr>
                <w:rFonts w:asciiTheme="minorHAnsi" w:hAnsiTheme="minorHAnsi"/>
                <w:sz w:val="16"/>
                <w:szCs w:val="16"/>
              </w:rPr>
            </w:pPr>
            <w:r w:rsidRPr="00364545">
              <w:rPr>
                <w:sz w:val="16"/>
              </w:rPr>
              <w:t>8,45</w:t>
            </w:r>
          </w:p>
        </w:tc>
        <w:tc>
          <w:tcPr>
            <w:tcW w:w="991" w:type="dxa"/>
            <w:tcBorders>
              <w:top w:val="nil"/>
              <w:left w:val="nil"/>
              <w:bottom w:val="single" w:sz="4" w:space="0" w:color="auto"/>
              <w:right w:val="single" w:sz="4" w:space="0" w:color="auto"/>
            </w:tcBorders>
            <w:shd w:val="clear" w:color="000000" w:fill="FFFFFF"/>
            <w:noWrap/>
            <w:vAlign w:val="bottom"/>
            <w:hideMark/>
          </w:tcPr>
          <w:p w14:paraId="1EBE3A60" w14:textId="77777777" w:rsidR="00B56301" w:rsidRPr="00364545" w:rsidRDefault="00B56301" w:rsidP="00B37B65">
            <w:pPr>
              <w:jc w:val="right"/>
              <w:rPr>
                <w:rFonts w:asciiTheme="minorHAnsi" w:hAnsiTheme="minorHAnsi"/>
                <w:sz w:val="16"/>
                <w:szCs w:val="16"/>
              </w:rPr>
            </w:pPr>
            <w:r w:rsidRPr="00364545">
              <w:rPr>
                <w:sz w:val="16"/>
              </w:rPr>
              <w:t>8,29</w:t>
            </w:r>
          </w:p>
        </w:tc>
        <w:tc>
          <w:tcPr>
            <w:tcW w:w="991" w:type="dxa"/>
            <w:tcBorders>
              <w:top w:val="nil"/>
              <w:left w:val="nil"/>
              <w:bottom w:val="single" w:sz="4" w:space="0" w:color="auto"/>
              <w:right w:val="single" w:sz="4" w:space="0" w:color="auto"/>
            </w:tcBorders>
            <w:shd w:val="clear" w:color="000000" w:fill="FFFFFF"/>
            <w:noWrap/>
            <w:vAlign w:val="bottom"/>
            <w:hideMark/>
          </w:tcPr>
          <w:p w14:paraId="02D225BB" w14:textId="77777777" w:rsidR="00B56301" w:rsidRPr="00364545" w:rsidRDefault="00B56301" w:rsidP="00B37B65">
            <w:pPr>
              <w:jc w:val="right"/>
              <w:rPr>
                <w:rFonts w:asciiTheme="minorHAnsi" w:hAnsiTheme="minorHAnsi"/>
                <w:sz w:val="16"/>
                <w:szCs w:val="16"/>
              </w:rPr>
            </w:pPr>
            <w:r w:rsidRPr="00364545">
              <w:rPr>
                <w:sz w:val="16"/>
              </w:rPr>
              <w:t>8,20</w:t>
            </w:r>
          </w:p>
        </w:tc>
      </w:tr>
      <w:tr w:rsidR="00B56301" w:rsidRPr="00364545" w14:paraId="012B744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26335D" w14:textId="3237D96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Rice cultivation</w:t>
            </w:r>
          </w:p>
        </w:tc>
        <w:tc>
          <w:tcPr>
            <w:tcW w:w="991" w:type="dxa"/>
            <w:tcBorders>
              <w:top w:val="nil"/>
              <w:left w:val="nil"/>
              <w:bottom w:val="single" w:sz="4" w:space="0" w:color="auto"/>
              <w:right w:val="single" w:sz="4" w:space="0" w:color="auto"/>
            </w:tcBorders>
            <w:shd w:val="clear" w:color="000000" w:fill="969696"/>
            <w:noWrap/>
            <w:vAlign w:val="bottom"/>
            <w:hideMark/>
          </w:tcPr>
          <w:p w14:paraId="1A8D754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D87C8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2F3F0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9201E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5EE4D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7DC640"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B28060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B194293" w14:textId="239CF3A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131BFFBC" w14:textId="77777777" w:rsidR="00B56301" w:rsidRPr="00364545" w:rsidRDefault="00B56301" w:rsidP="00B37B65">
            <w:pPr>
              <w:jc w:val="right"/>
              <w:rPr>
                <w:rFonts w:asciiTheme="minorHAnsi" w:hAnsiTheme="minorHAnsi"/>
                <w:sz w:val="16"/>
                <w:szCs w:val="16"/>
              </w:rPr>
            </w:pPr>
            <w:r w:rsidRPr="00364545">
              <w:rPr>
                <w:sz w:val="16"/>
              </w:rPr>
              <w:t>103,90</w:t>
            </w:r>
          </w:p>
        </w:tc>
        <w:tc>
          <w:tcPr>
            <w:tcW w:w="991" w:type="dxa"/>
            <w:tcBorders>
              <w:top w:val="nil"/>
              <w:left w:val="nil"/>
              <w:bottom w:val="single" w:sz="4" w:space="0" w:color="auto"/>
              <w:right w:val="single" w:sz="4" w:space="0" w:color="auto"/>
            </w:tcBorders>
            <w:shd w:val="clear" w:color="000000" w:fill="FFFFFF"/>
            <w:noWrap/>
            <w:vAlign w:val="bottom"/>
            <w:hideMark/>
          </w:tcPr>
          <w:p w14:paraId="342E97C1" w14:textId="77777777" w:rsidR="00B56301" w:rsidRPr="00364545" w:rsidRDefault="00B56301" w:rsidP="00B37B65">
            <w:pPr>
              <w:jc w:val="right"/>
              <w:rPr>
                <w:rFonts w:asciiTheme="minorHAnsi" w:hAnsiTheme="minorHAnsi"/>
                <w:sz w:val="16"/>
                <w:szCs w:val="16"/>
              </w:rPr>
            </w:pPr>
            <w:r w:rsidRPr="00364545">
              <w:rPr>
                <w:sz w:val="16"/>
              </w:rPr>
              <w:t>107,57</w:t>
            </w:r>
          </w:p>
        </w:tc>
        <w:tc>
          <w:tcPr>
            <w:tcW w:w="991" w:type="dxa"/>
            <w:tcBorders>
              <w:top w:val="nil"/>
              <w:left w:val="nil"/>
              <w:bottom w:val="single" w:sz="4" w:space="0" w:color="auto"/>
              <w:right w:val="single" w:sz="4" w:space="0" w:color="auto"/>
            </w:tcBorders>
            <w:shd w:val="clear" w:color="000000" w:fill="FFFFFF"/>
            <w:noWrap/>
            <w:vAlign w:val="bottom"/>
            <w:hideMark/>
          </w:tcPr>
          <w:p w14:paraId="7A809363" w14:textId="77777777" w:rsidR="00B56301" w:rsidRPr="00364545" w:rsidRDefault="00B56301" w:rsidP="00B37B65">
            <w:pPr>
              <w:jc w:val="right"/>
              <w:rPr>
                <w:rFonts w:asciiTheme="minorHAnsi" w:hAnsiTheme="minorHAnsi"/>
                <w:sz w:val="16"/>
                <w:szCs w:val="16"/>
              </w:rPr>
            </w:pPr>
            <w:r w:rsidRPr="00364545">
              <w:rPr>
                <w:sz w:val="16"/>
              </w:rPr>
              <w:t>106,41</w:t>
            </w:r>
          </w:p>
        </w:tc>
        <w:tc>
          <w:tcPr>
            <w:tcW w:w="991" w:type="dxa"/>
            <w:tcBorders>
              <w:top w:val="nil"/>
              <w:left w:val="nil"/>
              <w:bottom w:val="single" w:sz="4" w:space="0" w:color="auto"/>
              <w:right w:val="single" w:sz="4" w:space="0" w:color="auto"/>
            </w:tcBorders>
            <w:shd w:val="clear" w:color="000000" w:fill="FFFFFF"/>
            <w:noWrap/>
            <w:vAlign w:val="bottom"/>
            <w:hideMark/>
          </w:tcPr>
          <w:p w14:paraId="31A339B9" w14:textId="77777777" w:rsidR="00B56301" w:rsidRPr="00364545" w:rsidRDefault="00B56301" w:rsidP="00B37B65">
            <w:pPr>
              <w:jc w:val="right"/>
              <w:rPr>
                <w:rFonts w:asciiTheme="minorHAnsi" w:hAnsiTheme="minorHAnsi"/>
                <w:sz w:val="16"/>
                <w:szCs w:val="16"/>
              </w:rPr>
            </w:pPr>
            <w:r w:rsidRPr="00364545">
              <w:rPr>
                <w:sz w:val="16"/>
              </w:rPr>
              <w:t>103,75</w:t>
            </w:r>
          </w:p>
        </w:tc>
        <w:tc>
          <w:tcPr>
            <w:tcW w:w="991" w:type="dxa"/>
            <w:tcBorders>
              <w:top w:val="nil"/>
              <w:left w:val="nil"/>
              <w:bottom w:val="single" w:sz="4" w:space="0" w:color="auto"/>
              <w:right w:val="single" w:sz="4" w:space="0" w:color="auto"/>
            </w:tcBorders>
            <w:shd w:val="clear" w:color="000000" w:fill="FFFFFF"/>
            <w:noWrap/>
            <w:vAlign w:val="bottom"/>
            <w:hideMark/>
          </w:tcPr>
          <w:p w14:paraId="5DEA3251" w14:textId="77777777" w:rsidR="00B56301" w:rsidRPr="00364545" w:rsidRDefault="00B56301" w:rsidP="00B37B65">
            <w:pPr>
              <w:jc w:val="right"/>
              <w:rPr>
                <w:rFonts w:asciiTheme="minorHAnsi" w:hAnsiTheme="minorHAnsi"/>
                <w:sz w:val="16"/>
                <w:szCs w:val="16"/>
              </w:rPr>
            </w:pPr>
            <w:r w:rsidRPr="00364545">
              <w:rPr>
                <w:sz w:val="16"/>
              </w:rPr>
              <w:t>106,44</w:t>
            </w:r>
          </w:p>
        </w:tc>
        <w:tc>
          <w:tcPr>
            <w:tcW w:w="991" w:type="dxa"/>
            <w:tcBorders>
              <w:top w:val="nil"/>
              <w:left w:val="nil"/>
              <w:bottom w:val="single" w:sz="4" w:space="0" w:color="auto"/>
              <w:right w:val="single" w:sz="4" w:space="0" w:color="auto"/>
            </w:tcBorders>
            <w:shd w:val="clear" w:color="000000" w:fill="FFFFFF"/>
            <w:noWrap/>
            <w:vAlign w:val="bottom"/>
            <w:hideMark/>
          </w:tcPr>
          <w:p w14:paraId="7C992B88" w14:textId="77777777" w:rsidR="00B56301" w:rsidRPr="00364545" w:rsidRDefault="00B56301" w:rsidP="00B37B65">
            <w:pPr>
              <w:jc w:val="right"/>
              <w:rPr>
                <w:rFonts w:asciiTheme="minorHAnsi" w:hAnsiTheme="minorHAnsi"/>
                <w:sz w:val="16"/>
                <w:szCs w:val="16"/>
              </w:rPr>
            </w:pPr>
            <w:r w:rsidRPr="00364545">
              <w:rPr>
                <w:sz w:val="16"/>
              </w:rPr>
              <w:t>103,40</w:t>
            </w:r>
          </w:p>
        </w:tc>
      </w:tr>
      <w:tr w:rsidR="00B56301" w:rsidRPr="00364545" w14:paraId="022314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97B291B" w14:textId="573C2B5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34E4DB5C"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C01723"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64474D4"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B42BE0F"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A822582"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DE5C0D2"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01ED8CF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6E5A8E1" w14:textId="3A57114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038C73BF" w14:textId="77777777" w:rsidR="00B56301" w:rsidRPr="00364545" w:rsidRDefault="00B56301" w:rsidP="00B37B65">
            <w:pPr>
              <w:jc w:val="right"/>
              <w:rPr>
                <w:rFonts w:asciiTheme="minorHAnsi" w:hAnsiTheme="minorHAnsi"/>
                <w:sz w:val="16"/>
                <w:szCs w:val="16"/>
              </w:rPr>
            </w:pPr>
            <w:r w:rsidRPr="00364545">
              <w:rPr>
                <w:sz w:val="16"/>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3E410CC0" w14:textId="77777777" w:rsidR="00B56301" w:rsidRPr="00364545" w:rsidRDefault="00B56301" w:rsidP="00B37B65">
            <w:pPr>
              <w:jc w:val="right"/>
              <w:rPr>
                <w:rFonts w:asciiTheme="minorHAnsi" w:hAnsiTheme="minorHAnsi"/>
                <w:sz w:val="16"/>
                <w:szCs w:val="16"/>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6092FB96" w14:textId="77777777" w:rsidR="00B56301" w:rsidRPr="00364545" w:rsidRDefault="00B56301" w:rsidP="00B37B65">
            <w:pPr>
              <w:jc w:val="right"/>
              <w:rPr>
                <w:rFonts w:asciiTheme="minorHAnsi" w:hAnsiTheme="minorHAnsi"/>
                <w:sz w:val="16"/>
                <w:szCs w:val="16"/>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01CAA188" w14:textId="77777777" w:rsidR="00B56301" w:rsidRPr="00364545" w:rsidRDefault="00B56301" w:rsidP="00B37B65">
            <w:pPr>
              <w:jc w:val="right"/>
              <w:rPr>
                <w:rFonts w:asciiTheme="minorHAnsi" w:hAnsiTheme="minorHAnsi"/>
                <w:sz w:val="16"/>
                <w:szCs w:val="16"/>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55A3916E" w14:textId="77777777" w:rsidR="00B56301" w:rsidRPr="00364545" w:rsidRDefault="00B56301" w:rsidP="00B37B65">
            <w:pPr>
              <w:jc w:val="right"/>
              <w:rPr>
                <w:rFonts w:asciiTheme="minorHAnsi" w:hAnsiTheme="minorHAnsi"/>
                <w:sz w:val="16"/>
                <w:szCs w:val="16"/>
              </w:rPr>
            </w:pPr>
            <w:r w:rsidRPr="00364545">
              <w:rPr>
                <w:sz w:val="16"/>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7F0F1D8C" w14:textId="77777777" w:rsidR="00B56301" w:rsidRPr="00364545" w:rsidRDefault="00B56301" w:rsidP="00B37B65">
            <w:pPr>
              <w:jc w:val="right"/>
              <w:rPr>
                <w:rFonts w:asciiTheme="minorHAnsi" w:hAnsiTheme="minorHAnsi"/>
                <w:sz w:val="16"/>
                <w:szCs w:val="16"/>
              </w:rPr>
            </w:pPr>
            <w:r w:rsidRPr="00364545">
              <w:rPr>
                <w:sz w:val="16"/>
              </w:rPr>
              <w:t>0,03</w:t>
            </w:r>
          </w:p>
        </w:tc>
      </w:tr>
      <w:tr w:rsidR="00B56301" w:rsidRPr="00364545" w14:paraId="12EB74C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1463C3F" w14:textId="393FA45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Liming</w:t>
            </w:r>
          </w:p>
        </w:tc>
        <w:tc>
          <w:tcPr>
            <w:tcW w:w="991" w:type="dxa"/>
            <w:tcBorders>
              <w:top w:val="nil"/>
              <w:left w:val="nil"/>
              <w:bottom w:val="single" w:sz="4" w:space="0" w:color="auto"/>
              <w:right w:val="single" w:sz="4" w:space="0" w:color="auto"/>
            </w:tcBorders>
            <w:shd w:val="clear" w:color="000000" w:fill="969696"/>
            <w:noWrap/>
            <w:vAlign w:val="bottom"/>
            <w:hideMark/>
          </w:tcPr>
          <w:p w14:paraId="4E82062B"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3382D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2EC55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956BCE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9AD43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CB64EC"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2D68752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EC7F63" w14:textId="59918B7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H. 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24DFEB8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5B8FE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AC866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AD166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8423AE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DB5C15"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3131D0D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627B96" w14:textId="3FA0C5A6"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I. Other carbon containing fertlizers</w:t>
            </w:r>
          </w:p>
        </w:tc>
        <w:tc>
          <w:tcPr>
            <w:tcW w:w="991" w:type="dxa"/>
            <w:tcBorders>
              <w:top w:val="nil"/>
              <w:left w:val="nil"/>
              <w:bottom w:val="single" w:sz="4" w:space="0" w:color="auto"/>
              <w:right w:val="single" w:sz="4" w:space="0" w:color="auto"/>
            </w:tcBorders>
            <w:shd w:val="clear" w:color="000000" w:fill="969696"/>
            <w:noWrap/>
            <w:vAlign w:val="bottom"/>
            <w:hideMark/>
          </w:tcPr>
          <w:p w14:paraId="2C2BE1F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A897F1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7DDDA4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0B4A08"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23DAF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940934"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4D79D65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26278A" w14:textId="15CB5496"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J. Other </w:t>
            </w:r>
          </w:p>
        </w:tc>
        <w:tc>
          <w:tcPr>
            <w:tcW w:w="991" w:type="dxa"/>
            <w:tcBorders>
              <w:top w:val="nil"/>
              <w:left w:val="nil"/>
              <w:bottom w:val="single" w:sz="4" w:space="0" w:color="auto"/>
              <w:right w:val="single" w:sz="4" w:space="0" w:color="auto"/>
            </w:tcBorders>
            <w:shd w:val="clear" w:color="000000" w:fill="FFFFFF"/>
            <w:noWrap/>
            <w:vAlign w:val="bottom"/>
            <w:hideMark/>
          </w:tcPr>
          <w:p w14:paraId="55C7CBFF"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CE9E0EE"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3670EDB"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3B1E644"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ADB7819"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09B362B"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342F413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56212684"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50CF7E67" w14:textId="77777777" w:rsidR="00B56301" w:rsidRPr="00364545" w:rsidRDefault="00B56301" w:rsidP="00B37B65">
            <w:pPr>
              <w:jc w:val="right"/>
              <w:rPr>
                <w:rFonts w:asciiTheme="minorHAnsi" w:hAnsiTheme="minorHAnsi"/>
                <w:sz w:val="16"/>
                <w:szCs w:val="16"/>
              </w:rPr>
            </w:pPr>
            <w:r w:rsidRPr="00364545">
              <w:rPr>
                <w:sz w:val="16"/>
              </w:rPr>
              <w:t>10,06</w:t>
            </w:r>
          </w:p>
        </w:tc>
        <w:tc>
          <w:tcPr>
            <w:tcW w:w="991" w:type="dxa"/>
            <w:tcBorders>
              <w:top w:val="nil"/>
              <w:left w:val="nil"/>
              <w:bottom w:val="single" w:sz="4" w:space="0" w:color="auto"/>
              <w:right w:val="single" w:sz="4" w:space="0" w:color="auto"/>
            </w:tcBorders>
            <w:shd w:val="clear" w:color="000000" w:fill="CCFFFF"/>
            <w:noWrap/>
            <w:vAlign w:val="bottom"/>
            <w:hideMark/>
          </w:tcPr>
          <w:p w14:paraId="43311733" w14:textId="77777777" w:rsidR="00B56301" w:rsidRPr="00364545" w:rsidRDefault="00B56301" w:rsidP="00B37B65">
            <w:pPr>
              <w:jc w:val="right"/>
              <w:rPr>
                <w:rFonts w:asciiTheme="minorHAnsi" w:hAnsiTheme="minorHAnsi"/>
                <w:sz w:val="16"/>
                <w:szCs w:val="16"/>
              </w:rPr>
            </w:pPr>
            <w:r w:rsidRPr="00364545">
              <w:rPr>
                <w:sz w:val="16"/>
              </w:rPr>
              <w:t>9,97</w:t>
            </w:r>
          </w:p>
        </w:tc>
        <w:tc>
          <w:tcPr>
            <w:tcW w:w="991" w:type="dxa"/>
            <w:tcBorders>
              <w:top w:val="nil"/>
              <w:left w:val="nil"/>
              <w:bottom w:val="single" w:sz="4" w:space="0" w:color="auto"/>
              <w:right w:val="single" w:sz="4" w:space="0" w:color="auto"/>
            </w:tcBorders>
            <w:shd w:val="clear" w:color="000000" w:fill="CCFFFF"/>
            <w:noWrap/>
            <w:vAlign w:val="bottom"/>
            <w:hideMark/>
          </w:tcPr>
          <w:p w14:paraId="4D53DAF0" w14:textId="77777777" w:rsidR="00B56301" w:rsidRPr="00364545" w:rsidRDefault="00B56301" w:rsidP="00B37B65">
            <w:pPr>
              <w:jc w:val="right"/>
              <w:rPr>
                <w:rFonts w:asciiTheme="minorHAnsi" w:hAnsiTheme="minorHAnsi"/>
                <w:sz w:val="16"/>
                <w:szCs w:val="16"/>
              </w:rPr>
            </w:pPr>
            <w:r w:rsidRPr="00364545">
              <w:rPr>
                <w:sz w:val="16"/>
              </w:rPr>
              <w:t>9,88</w:t>
            </w:r>
          </w:p>
        </w:tc>
        <w:tc>
          <w:tcPr>
            <w:tcW w:w="991" w:type="dxa"/>
            <w:tcBorders>
              <w:top w:val="nil"/>
              <w:left w:val="nil"/>
              <w:bottom w:val="single" w:sz="4" w:space="0" w:color="auto"/>
              <w:right w:val="single" w:sz="4" w:space="0" w:color="auto"/>
            </w:tcBorders>
            <w:shd w:val="clear" w:color="000000" w:fill="CCFFFF"/>
            <w:noWrap/>
            <w:vAlign w:val="bottom"/>
            <w:hideMark/>
          </w:tcPr>
          <w:p w14:paraId="25031A1B" w14:textId="77777777" w:rsidR="00B56301" w:rsidRPr="00364545" w:rsidRDefault="00B56301" w:rsidP="00B37B65">
            <w:pPr>
              <w:jc w:val="right"/>
              <w:rPr>
                <w:rFonts w:asciiTheme="minorHAnsi" w:hAnsiTheme="minorHAnsi"/>
                <w:sz w:val="16"/>
                <w:szCs w:val="16"/>
              </w:rPr>
            </w:pPr>
            <w:r w:rsidRPr="00364545">
              <w:rPr>
                <w:sz w:val="16"/>
              </w:rPr>
              <w:t>9,78</w:t>
            </w:r>
          </w:p>
        </w:tc>
        <w:tc>
          <w:tcPr>
            <w:tcW w:w="991" w:type="dxa"/>
            <w:tcBorders>
              <w:top w:val="nil"/>
              <w:left w:val="nil"/>
              <w:bottom w:val="single" w:sz="4" w:space="0" w:color="auto"/>
              <w:right w:val="single" w:sz="4" w:space="0" w:color="auto"/>
            </w:tcBorders>
            <w:shd w:val="clear" w:color="000000" w:fill="CCFFFF"/>
            <w:noWrap/>
            <w:vAlign w:val="bottom"/>
            <w:hideMark/>
          </w:tcPr>
          <w:p w14:paraId="030D4D63" w14:textId="77777777" w:rsidR="00B56301" w:rsidRPr="00364545" w:rsidRDefault="00B56301" w:rsidP="00B37B65">
            <w:pPr>
              <w:jc w:val="right"/>
              <w:rPr>
                <w:rFonts w:asciiTheme="minorHAnsi" w:hAnsiTheme="minorHAnsi"/>
                <w:sz w:val="16"/>
                <w:szCs w:val="16"/>
              </w:rPr>
            </w:pPr>
            <w:r w:rsidRPr="00364545">
              <w:rPr>
                <w:sz w:val="16"/>
              </w:rPr>
              <w:t>9,73</w:t>
            </w:r>
          </w:p>
        </w:tc>
        <w:tc>
          <w:tcPr>
            <w:tcW w:w="991" w:type="dxa"/>
            <w:tcBorders>
              <w:top w:val="nil"/>
              <w:left w:val="nil"/>
              <w:bottom w:val="single" w:sz="4" w:space="0" w:color="auto"/>
              <w:right w:val="single" w:sz="4" w:space="0" w:color="auto"/>
            </w:tcBorders>
            <w:shd w:val="clear" w:color="000000" w:fill="CCFFFF"/>
            <w:noWrap/>
            <w:vAlign w:val="bottom"/>
            <w:hideMark/>
          </w:tcPr>
          <w:p w14:paraId="305E7EB2" w14:textId="77777777" w:rsidR="00B56301" w:rsidRPr="00364545" w:rsidRDefault="00B56301" w:rsidP="00B37B65">
            <w:pPr>
              <w:jc w:val="right"/>
              <w:rPr>
                <w:rFonts w:asciiTheme="minorHAnsi" w:hAnsiTheme="minorHAnsi"/>
                <w:sz w:val="16"/>
                <w:szCs w:val="16"/>
              </w:rPr>
            </w:pPr>
            <w:r w:rsidRPr="00364545">
              <w:rPr>
                <w:sz w:val="16"/>
              </w:rPr>
              <w:t>9,61</w:t>
            </w:r>
          </w:p>
        </w:tc>
      </w:tr>
      <w:tr w:rsidR="00B56301" w:rsidRPr="00364545" w14:paraId="05308D7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3E4CD12" w14:textId="3478CBD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4B9BDDF7" w14:textId="77777777" w:rsidR="00B56301" w:rsidRPr="00364545" w:rsidRDefault="00B56301" w:rsidP="00B37B65">
            <w:pPr>
              <w:jc w:val="right"/>
              <w:rPr>
                <w:rFonts w:asciiTheme="minorHAnsi" w:hAnsiTheme="minorHAnsi"/>
                <w:sz w:val="16"/>
                <w:szCs w:val="16"/>
              </w:rPr>
            </w:pPr>
            <w:r w:rsidRPr="00364545">
              <w:rPr>
                <w:sz w:val="16"/>
              </w:rPr>
              <w:t>1,07</w:t>
            </w:r>
          </w:p>
        </w:tc>
        <w:tc>
          <w:tcPr>
            <w:tcW w:w="991" w:type="dxa"/>
            <w:tcBorders>
              <w:top w:val="nil"/>
              <w:left w:val="nil"/>
              <w:bottom w:val="single" w:sz="4" w:space="0" w:color="auto"/>
              <w:right w:val="single" w:sz="4" w:space="0" w:color="auto"/>
            </w:tcBorders>
            <w:shd w:val="clear" w:color="000000" w:fill="FFFFFF"/>
            <w:noWrap/>
            <w:vAlign w:val="bottom"/>
            <w:hideMark/>
          </w:tcPr>
          <w:p w14:paraId="359F2FF0" w14:textId="77777777" w:rsidR="00B56301" w:rsidRPr="00364545" w:rsidRDefault="00B56301" w:rsidP="00B37B65">
            <w:pPr>
              <w:jc w:val="right"/>
              <w:rPr>
                <w:rFonts w:asciiTheme="minorHAnsi" w:hAnsiTheme="minorHAnsi"/>
                <w:sz w:val="16"/>
                <w:szCs w:val="16"/>
              </w:rPr>
            </w:pPr>
            <w:r w:rsidRPr="00364545">
              <w:rPr>
                <w:sz w:val="16"/>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36FED08C" w14:textId="77777777" w:rsidR="00B56301" w:rsidRPr="00364545" w:rsidRDefault="00B56301" w:rsidP="00B37B65">
            <w:pPr>
              <w:jc w:val="right"/>
              <w:rPr>
                <w:rFonts w:asciiTheme="minorHAnsi" w:hAnsiTheme="minorHAnsi"/>
                <w:sz w:val="16"/>
                <w:szCs w:val="16"/>
              </w:rPr>
            </w:pPr>
            <w:r w:rsidRPr="00364545">
              <w:rPr>
                <w:sz w:val="16"/>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689353D6" w14:textId="77777777" w:rsidR="00B56301" w:rsidRPr="00364545" w:rsidRDefault="00B56301" w:rsidP="00B37B65">
            <w:pPr>
              <w:jc w:val="right"/>
              <w:rPr>
                <w:rFonts w:asciiTheme="minorHAnsi" w:hAnsiTheme="minorHAnsi"/>
                <w:sz w:val="16"/>
                <w:szCs w:val="16"/>
              </w:rPr>
            </w:pPr>
            <w:r w:rsidRPr="00364545">
              <w:rPr>
                <w:sz w:val="16"/>
              </w:rPr>
              <w:t>1,19</w:t>
            </w:r>
          </w:p>
        </w:tc>
        <w:tc>
          <w:tcPr>
            <w:tcW w:w="991" w:type="dxa"/>
            <w:tcBorders>
              <w:top w:val="nil"/>
              <w:left w:val="nil"/>
              <w:bottom w:val="single" w:sz="4" w:space="0" w:color="auto"/>
              <w:right w:val="single" w:sz="4" w:space="0" w:color="auto"/>
            </w:tcBorders>
            <w:shd w:val="clear" w:color="000000" w:fill="FFFFFF"/>
            <w:noWrap/>
            <w:vAlign w:val="bottom"/>
            <w:hideMark/>
          </w:tcPr>
          <w:p w14:paraId="770435CB" w14:textId="77777777" w:rsidR="00B56301" w:rsidRPr="00364545" w:rsidRDefault="00B56301" w:rsidP="00B37B65">
            <w:pPr>
              <w:jc w:val="right"/>
              <w:rPr>
                <w:rFonts w:asciiTheme="minorHAnsi" w:hAnsiTheme="minorHAnsi"/>
                <w:sz w:val="16"/>
                <w:szCs w:val="16"/>
              </w:rPr>
            </w:pPr>
            <w:r w:rsidRPr="00364545">
              <w:rPr>
                <w:sz w:val="16"/>
              </w:rPr>
              <w:t>1,24</w:t>
            </w:r>
          </w:p>
        </w:tc>
        <w:tc>
          <w:tcPr>
            <w:tcW w:w="991" w:type="dxa"/>
            <w:tcBorders>
              <w:top w:val="nil"/>
              <w:left w:val="nil"/>
              <w:bottom w:val="single" w:sz="4" w:space="0" w:color="auto"/>
              <w:right w:val="single" w:sz="4" w:space="0" w:color="auto"/>
            </w:tcBorders>
            <w:shd w:val="clear" w:color="000000" w:fill="FFFFFF"/>
            <w:noWrap/>
            <w:vAlign w:val="bottom"/>
            <w:hideMark/>
          </w:tcPr>
          <w:p w14:paraId="7790B304" w14:textId="77777777" w:rsidR="00B56301" w:rsidRPr="00364545" w:rsidRDefault="00B56301" w:rsidP="00B37B65">
            <w:pPr>
              <w:jc w:val="right"/>
              <w:rPr>
                <w:rFonts w:asciiTheme="minorHAnsi" w:hAnsiTheme="minorHAnsi"/>
                <w:sz w:val="16"/>
                <w:szCs w:val="16"/>
              </w:rPr>
            </w:pPr>
            <w:r w:rsidRPr="00364545">
              <w:rPr>
                <w:sz w:val="16"/>
              </w:rPr>
              <w:t>1,21</w:t>
            </w:r>
          </w:p>
        </w:tc>
      </w:tr>
      <w:tr w:rsidR="00B56301" w:rsidRPr="00364545" w14:paraId="4805D8A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B03FE3" w14:textId="192FFC2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2E8FB4A4" w14:textId="77777777" w:rsidR="00B56301" w:rsidRPr="00364545" w:rsidRDefault="00B56301" w:rsidP="00B37B65">
            <w:pPr>
              <w:jc w:val="right"/>
              <w:rPr>
                <w:rFonts w:asciiTheme="minorHAnsi" w:hAnsiTheme="minorHAnsi"/>
                <w:sz w:val="16"/>
                <w:szCs w:val="16"/>
              </w:rPr>
            </w:pPr>
            <w:r w:rsidRPr="00364545">
              <w:rPr>
                <w:sz w:val="16"/>
              </w:rPr>
              <w:t>4,79</w:t>
            </w:r>
          </w:p>
        </w:tc>
        <w:tc>
          <w:tcPr>
            <w:tcW w:w="991" w:type="dxa"/>
            <w:tcBorders>
              <w:top w:val="nil"/>
              <w:left w:val="nil"/>
              <w:bottom w:val="single" w:sz="4" w:space="0" w:color="auto"/>
              <w:right w:val="single" w:sz="4" w:space="0" w:color="auto"/>
            </w:tcBorders>
            <w:shd w:val="clear" w:color="000000" w:fill="FFFFFF"/>
            <w:noWrap/>
            <w:vAlign w:val="bottom"/>
            <w:hideMark/>
          </w:tcPr>
          <w:p w14:paraId="5A11D4DD" w14:textId="77777777" w:rsidR="00B56301" w:rsidRPr="00364545" w:rsidRDefault="00B56301" w:rsidP="00B37B65">
            <w:pPr>
              <w:jc w:val="right"/>
              <w:rPr>
                <w:rFonts w:asciiTheme="minorHAnsi" w:hAnsiTheme="minorHAnsi"/>
                <w:sz w:val="16"/>
                <w:szCs w:val="16"/>
              </w:rPr>
            </w:pPr>
            <w:r w:rsidRPr="00364545">
              <w:rPr>
                <w:sz w:val="16"/>
              </w:rPr>
              <w:t>4,73</w:t>
            </w:r>
          </w:p>
        </w:tc>
        <w:tc>
          <w:tcPr>
            <w:tcW w:w="991" w:type="dxa"/>
            <w:tcBorders>
              <w:top w:val="nil"/>
              <w:left w:val="nil"/>
              <w:bottom w:val="single" w:sz="4" w:space="0" w:color="auto"/>
              <w:right w:val="single" w:sz="4" w:space="0" w:color="auto"/>
            </w:tcBorders>
            <w:shd w:val="clear" w:color="000000" w:fill="FFFFFF"/>
            <w:noWrap/>
            <w:vAlign w:val="bottom"/>
            <w:hideMark/>
          </w:tcPr>
          <w:p w14:paraId="79200197" w14:textId="77777777" w:rsidR="00B56301" w:rsidRPr="00364545" w:rsidRDefault="00B56301" w:rsidP="00B37B65">
            <w:pPr>
              <w:jc w:val="right"/>
              <w:rPr>
                <w:rFonts w:asciiTheme="minorHAnsi" w:hAnsiTheme="minorHAnsi"/>
                <w:sz w:val="16"/>
                <w:szCs w:val="16"/>
              </w:rPr>
            </w:pPr>
            <w:r w:rsidRPr="00364545">
              <w:rPr>
                <w:sz w:val="16"/>
              </w:rPr>
              <w:t>4,70</w:t>
            </w:r>
          </w:p>
        </w:tc>
        <w:tc>
          <w:tcPr>
            <w:tcW w:w="991" w:type="dxa"/>
            <w:tcBorders>
              <w:top w:val="nil"/>
              <w:left w:val="nil"/>
              <w:bottom w:val="single" w:sz="4" w:space="0" w:color="auto"/>
              <w:right w:val="single" w:sz="4" w:space="0" w:color="auto"/>
            </w:tcBorders>
            <w:shd w:val="clear" w:color="000000" w:fill="FFFFFF"/>
            <w:noWrap/>
            <w:vAlign w:val="bottom"/>
            <w:hideMark/>
          </w:tcPr>
          <w:p w14:paraId="5BE9FFDB" w14:textId="77777777" w:rsidR="00B56301" w:rsidRPr="00364545" w:rsidRDefault="00B56301" w:rsidP="00B37B65">
            <w:pPr>
              <w:jc w:val="right"/>
              <w:rPr>
                <w:rFonts w:asciiTheme="minorHAnsi" w:hAnsiTheme="minorHAnsi"/>
                <w:sz w:val="16"/>
                <w:szCs w:val="16"/>
              </w:rPr>
            </w:pPr>
            <w:r w:rsidRPr="00364545">
              <w:rPr>
                <w:sz w:val="16"/>
              </w:rPr>
              <w:t>4,62</w:t>
            </w:r>
          </w:p>
        </w:tc>
        <w:tc>
          <w:tcPr>
            <w:tcW w:w="991" w:type="dxa"/>
            <w:tcBorders>
              <w:top w:val="nil"/>
              <w:left w:val="nil"/>
              <w:bottom w:val="single" w:sz="4" w:space="0" w:color="auto"/>
              <w:right w:val="single" w:sz="4" w:space="0" w:color="auto"/>
            </w:tcBorders>
            <w:shd w:val="clear" w:color="000000" w:fill="FFFFFF"/>
            <w:noWrap/>
            <w:vAlign w:val="bottom"/>
            <w:hideMark/>
          </w:tcPr>
          <w:p w14:paraId="3B095418" w14:textId="77777777" w:rsidR="00B56301" w:rsidRPr="00364545" w:rsidRDefault="00B56301" w:rsidP="00B37B65">
            <w:pPr>
              <w:jc w:val="right"/>
              <w:rPr>
                <w:rFonts w:asciiTheme="minorHAnsi" w:hAnsiTheme="minorHAnsi"/>
                <w:sz w:val="16"/>
                <w:szCs w:val="16"/>
              </w:rPr>
            </w:pPr>
            <w:r w:rsidRPr="00364545">
              <w:rPr>
                <w:sz w:val="16"/>
              </w:rPr>
              <w:t>4,57</w:t>
            </w:r>
          </w:p>
        </w:tc>
        <w:tc>
          <w:tcPr>
            <w:tcW w:w="991" w:type="dxa"/>
            <w:tcBorders>
              <w:top w:val="nil"/>
              <w:left w:val="nil"/>
              <w:bottom w:val="single" w:sz="4" w:space="0" w:color="auto"/>
              <w:right w:val="single" w:sz="4" w:space="0" w:color="auto"/>
            </w:tcBorders>
            <w:shd w:val="clear" w:color="000000" w:fill="FFFFFF"/>
            <w:noWrap/>
            <w:vAlign w:val="bottom"/>
            <w:hideMark/>
          </w:tcPr>
          <w:p w14:paraId="6FEBE6E5" w14:textId="77777777" w:rsidR="00B56301" w:rsidRPr="00364545" w:rsidRDefault="00B56301" w:rsidP="00B37B65">
            <w:pPr>
              <w:jc w:val="right"/>
              <w:rPr>
                <w:rFonts w:asciiTheme="minorHAnsi" w:hAnsiTheme="minorHAnsi"/>
                <w:sz w:val="16"/>
                <w:szCs w:val="16"/>
              </w:rPr>
            </w:pPr>
            <w:r w:rsidRPr="00364545">
              <w:rPr>
                <w:sz w:val="16"/>
              </w:rPr>
              <w:t>4,51</w:t>
            </w:r>
          </w:p>
        </w:tc>
      </w:tr>
      <w:tr w:rsidR="00B56301" w:rsidRPr="00364545" w14:paraId="5455FE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3554314" w14:textId="60E914D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18FB29E3" w14:textId="77777777" w:rsidR="00B56301" w:rsidRPr="00364545" w:rsidRDefault="00B56301" w:rsidP="00B37B65">
            <w:pPr>
              <w:jc w:val="right"/>
              <w:rPr>
                <w:rFonts w:asciiTheme="minorHAnsi" w:hAnsiTheme="minorHAnsi"/>
                <w:sz w:val="16"/>
                <w:szCs w:val="16"/>
              </w:rPr>
            </w:pPr>
            <w:r w:rsidRPr="00364545">
              <w:rPr>
                <w:sz w:val="16"/>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7682B836" w14:textId="77777777" w:rsidR="00B56301" w:rsidRPr="00364545" w:rsidRDefault="00B56301" w:rsidP="00B37B65">
            <w:pPr>
              <w:jc w:val="right"/>
              <w:rPr>
                <w:rFonts w:asciiTheme="minorHAnsi" w:hAnsiTheme="minorHAnsi"/>
                <w:sz w:val="16"/>
                <w:szCs w:val="16"/>
              </w:rPr>
            </w:pPr>
            <w:r w:rsidRPr="00364545">
              <w:rPr>
                <w:sz w:val="16"/>
              </w:rPr>
              <w:t>0,40</w:t>
            </w:r>
          </w:p>
        </w:tc>
        <w:tc>
          <w:tcPr>
            <w:tcW w:w="991" w:type="dxa"/>
            <w:tcBorders>
              <w:top w:val="nil"/>
              <w:left w:val="nil"/>
              <w:bottom w:val="single" w:sz="4" w:space="0" w:color="auto"/>
              <w:right w:val="single" w:sz="4" w:space="0" w:color="auto"/>
            </w:tcBorders>
            <w:shd w:val="clear" w:color="000000" w:fill="FFFFFF"/>
            <w:noWrap/>
            <w:vAlign w:val="bottom"/>
            <w:hideMark/>
          </w:tcPr>
          <w:p w14:paraId="0FE1EC27" w14:textId="77777777" w:rsidR="00B56301" w:rsidRPr="00364545" w:rsidRDefault="00B56301" w:rsidP="00B37B65">
            <w:pPr>
              <w:jc w:val="right"/>
              <w:rPr>
                <w:rFonts w:asciiTheme="minorHAnsi" w:hAnsiTheme="minorHAnsi"/>
                <w:sz w:val="16"/>
                <w:szCs w:val="16"/>
              </w:rPr>
            </w:pPr>
            <w:r w:rsidRPr="00364545">
              <w:rPr>
                <w:sz w:val="16"/>
              </w:rPr>
              <w:t>0,38</w:t>
            </w:r>
          </w:p>
        </w:tc>
        <w:tc>
          <w:tcPr>
            <w:tcW w:w="991" w:type="dxa"/>
            <w:tcBorders>
              <w:top w:val="nil"/>
              <w:left w:val="nil"/>
              <w:bottom w:val="single" w:sz="4" w:space="0" w:color="auto"/>
              <w:right w:val="single" w:sz="4" w:space="0" w:color="auto"/>
            </w:tcBorders>
            <w:shd w:val="clear" w:color="000000" w:fill="FFFFFF"/>
            <w:noWrap/>
            <w:vAlign w:val="bottom"/>
            <w:hideMark/>
          </w:tcPr>
          <w:p w14:paraId="692D4372" w14:textId="77777777" w:rsidR="00B56301" w:rsidRPr="00364545" w:rsidRDefault="00B56301" w:rsidP="00B37B65">
            <w:pPr>
              <w:jc w:val="right"/>
              <w:rPr>
                <w:rFonts w:asciiTheme="minorHAnsi" w:hAnsiTheme="minorHAnsi"/>
                <w:sz w:val="16"/>
                <w:szCs w:val="16"/>
              </w:rPr>
            </w:pPr>
            <w:r w:rsidRPr="00364545">
              <w:rPr>
                <w:sz w:val="16"/>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08815DDC" w14:textId="77777777" w:rsidR="00B56301" w:rsidRPr="00364545" w:rsidRDefault="00B56301" w:rsidP="00B37B65">
            <w:pPr>
              <w:jc w:val="right"/>
              <w:rPr>
                <w:rFonts w:asciiTheme="minorHAnsi" w:hAnsiTheme="minorHAnsi"/>
                <w:sz w:val="16"/>
                <w:szCs w:val="16"/>
              </w:rPr>
            </w:pPr>
            <w:r w:rsidRPr="00364545">
              <w:rPr>
                <w:sz w:val="16"/>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65FA748C" w14:textId="77777777" w:rsidR="00B56301" w:rsidRPr="00364545" w:rsidRDefault="00B56301" w:rsidP="00B37B65">
            <w:pPr>
              <w:jc w:val="right"/>
              <w:rPr>
                <w:rFonts w:asciiTheme="minorHAnsi" w:hAnsiTheme="minorHAnsi"/>
                <w:sz w:val="16"/>
                <w:szCs w:val="16"/>
              </w:rPr>
            </w:pPr>
            <w:r w:rsidRPr="00364545">
              <w:rPr>
                <w:sz w:val="16"/>
              </w:rPr>
              <w:t>0,36</w:t>
            </w:r>
          </w:p>
        </w:tc>
      </w:tr>
      <w:tr w:rsidR="00B56301" w:rsidRPr="00364545" w14:paraId="6C0199B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1012BF" w14:textId="68D28B6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3DABD200"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03A40EB7"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47D53C40"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5A753ED0"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5EF78A0D" w14:textId="77777777" w:rsidR="00B56301" w:rsidRPr="00364545" w:rsidRDefault="00B56301" w:rsidP="00B37B65">
            <w:pPr>
              <w:jc w:val="right"/>
              <w:rPr>
                <w:rFonts w:asciiTheme="minorHAnsi" w:hAnsiTheme="minorHAnsi"/>
                <w:sz w:val="16"/>
                <w:szCs w:val="16"/>
              </w:rPr>
            </w:pPr>
            <w:r w:rsidRPr="00364545">
              <w:rPr>
                <w:sz w:val="16"/>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5978026B"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64365B2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472C8F7" w14:textId="703AA07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E. 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12946A4C" w14:textId="77777777" w:rsidR="00B56301" w:rsidRPr="00364545" w:rsidRDefault="00B56301" w:rsidP="00B37B65">
            <w:pPr>
              <w:jc w:val="right"/>
              <w:rPr>
                <w:rFonts w:asciiTheme="minorHAnsi" w:hAnsiTheme="minorHAnsi"/>
                <w:sz w:val="16"/>
                <w:szCs w:val="16"/>
              </w:rPr>
            </w:pPr>
            <w:r w:rsidRPr="00364545">
              <w:rPr>
                <w:sz w:val="16"/>
              </w:rPr>
              <w:t>2,15</w:t>
            </w:r>
          </w:p>
        </w:tc>
        <w:tc>
          <w:tcPr>
            <w:tcW w:w="991" w:type="dxa"/>
            <w:tcBorders>
              <w:top w:val="nil"/>
              <w:left w:val="nil"/>
              <w:bottom w:val="single" w:sz="4" w:space="0" w:color="auto"/>
              <w:right w:val="single" w:sz="4" w:space="0" w:color="auto"/>
            </w:tcBorders>
            <w:shd w:val="clear" w:color="000000" w:fill="FFFFFF"/>
            <w:noWrap/>
            <w:vAlign w:val="bottom"/>
            <w:hideMark/>
          </w:tcPr>
          <w:p w14:paraId="62BEB2C9" w14:textId="77777777" w:rsidR="00B56301" w:rsidRPr="00364545" w:rsidRDefault="00B56301" w:rsidP="00B37B65">
            <w:pPr>
              <w:jc w:val="right"/>
              <w:rPr>
                <w:rFonts w:asciiTheme="minorHAnsi" w:hAnsiTheme="minorHAnsi"/>
                <w:sz w:val="16"/>
                <w:szCs w:val="16"/>
              </w:rPr>
            </w:pPr>
            <w:r w:rsidRPr="00364545">
              <w:rPr>
                <w:sz w:val="16"/>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48DDA64E" w14:textId="77777777" w:rsidR="00B56301" w:rsidRPr="00364545" w:rsidRDefault="00B56301" w:rsidP="00B37B65">
            <w:pPr>
              <w:jc w:val="right"/>
              <w:rPr>
                <w:rFonts w:asciiTheme="minorHAnsi" w:hAnsiTheme="minorHAnsi"/>
                <w:sz w:val="16"/>
                <w:szCs w:val="16"/>
              </w:rPr>
            </w:pPr>
            <w:r w:rsidRPr="00364545">
              <w:rPr>
                <w:sz w:val="16"/>
              </w:rPr>
              <w:t>2,09</w:t>
            </w:r>
          </w:p>
        </w:tc>
        <w:tc>
          <w:tcPr>
            <w:tcW w:w="991" w:type="dxa"/>
            <w:tcBorders>
              <w:top w:val="nil"/>
              <w:left w:val="nil"/>
              <w:bottom w:val="single" w:sz="4" w:space="0" w:color="auto"/>
              <w:right w:val="single" w:sz="4" w:space="0" w:color="auto"/>
            </w:tcBorders>
            <w:shd w:val="clear" w:color="000000" w:fill="FFFFFF"/>
            <w:noWrap/>
            <w:vAlign w:val="bottom"/>
            <w:hideMark/>
          </w:tcPr>
          <w:p w14:paraId="7A41DDA4" w14:textId="77777777" w:rsidR="00B56301" w:rsidRPr="00364545" w:rsidRDefault="00B56301" w:rsidP="00B37B65">
            <w:pPr>
              <w:jc w:val="right"/>
              <w:rPr>
                <w:rFonts w:asciiTheme="minorHAnsi" w:hAnsiTheme="minorHAnsi"/>
                <w:sz w:val="16"/>
                <w:szCs w:val="16"/>
              </w:rPr>
            </w:pPr>
            <w:r w:rsidRPr="00364545">
              <w:rPr>
                <w:sz w:val="16"/>
              </w:rPr>
              <w:t>2,06</w:t>
            </w:r>
          </w:p>
        </w:tc>
        <w:tc>
          <w:tcPr>
            <w:tcW w:w="991" w:type="dxa"/>
            <w:tcBorders>
              <w:top w:val="nil"/>
              <w:left w:val="nil"/>
              <w:bottom w:val="single" w:sz="4" w:space="0" w:color="auto"/>
              <w:right w:val="single" w:sz="4" w:space="0" w:color="auto"/>
            </w:tcBorders>
            <w:shd w:val="clear" w:color="000000" w:fill="FFFFFF"/>
            <w:noWrap/>
            <w:vAlign w:val="bottom"/>
            <w:hideMark/>
          </w:tcPr>
          <w:p w14:paraId="4BE0DE94" w14:textId="77777777" w:rsidR="00B56301" w:rsidRPr="00364545" w:rsidRDefault="00B56301" w:rsidP="00B37B65">
            <w:pPr>
              <w:jc w:val="right"/>
              <w:rPr>
                <w:rFonts w:asciiTheme="minorHAnsi" w:hAnsiTheme="minorHAnsi"/>
                <w:sz w:val="16"/>
                <w:szCs w:val="16"/>
              </w:rPr>
            </w:pPr>
            <w:r w:rsidRPr="00364545">
              <w:rPr>
                <w:sz w:val="16"/>
              </w:rPr>
              <w:t>2,04</w:t>
            </w:r>
          </w:p>
        </w:tc>
        <w:tc>
          <w:tcPr>
            <w:tcW w:w="991" w:type="dxa"/>
            <w:tcBorders>
              <w:top w:val="nil"/>
              <w:left w:val="nil"/>
              <w:bottom w:val="single" w:sz="4" w:space="0" w:color="auto"/>
              <w:right w:val="single" w:sz="4" w:space="0" w:color="auto"/>
            </w:tcBorders>
            <w:shd w:val="clear" w:color="000000" w:fill="FFFFFF"/>
            <w:noWrap/>
            <w:vAlign w:val="bottom"/>
            <w:hideMark/>
          </w:tcPr>
          <w:p w14:paraId="0CC7B34D" w14:textId="77777777" w:rsidR="00B56301" w:rsidRPr="00364545" w:rsidRDefault="00B56301" w:rsidP="00B37B65">
            <w:pPr>
              <w:jc w:val="right"/>
              <w:rPr>
                <w:rFonts w:asciiTheme="minorHAnsi" w:hAnsiTheme="minorHAnsi"/>
                <w:sz w:val="16"/>
                <w:szCs w:val="16"/>
              </w:rPr>
            </w:pPr>
            <w:r w:rsidRPr="00364545">
              <w:rPr>
                <w:sz w:val="16"/>
              </w:rPr>
              <w:t>2,02</w:t>
            </w:r>
          </w:p>
        </w:tc>
      </w:tr>
      <w:tr w:rsidR="00B56301" w:rsidRPr="00364545" w14:paraId="537CACD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453BA44" w14:textId="142B0253"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6B1D8709"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6D25748"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2E6B5E77"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813D7FD"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C52002A"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0DD43BE"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06833B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1004FC8" w14:textId="5104DED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3401A00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64BD1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B76DC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FA60C1"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5E853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292BD4"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05018E0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38430C1" w14:textId="41267C0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1" w:type="dxa"/>
            <w:tcBorders>
              <w:top w:val="nil"/>
              <w:left w:val="nil"/>
              <w:bottom w:val="single" w:sz="4" w:space="0" w:color="auto"/>
              <w:right w:val="single" w:sz="4" w:space="0" w:color="auto"/>
            </w:tcBorders>
            <w:shd w:val="clear" w:color="000000" w:fill="FFFFFF"/>
            <w:noWrap/>
            <w:vAlign w:val="bottom"/>
            <w:hideMark/>
          </w:tcPr>
          <w:p w14:paraId="314F52A7"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4B2291EE"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08453952"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62B4BACE"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4A6F5DA2" w14:textId="77777777" w:rsidR="00B56301" w:rsidRPr="00364545" w:rsidRDefault="00B56301" w:rsidP="00B37B65">
            <w:pPr>
              <w:jc w:val="right"/>
              <w:rPr>
                <w:rFonts w:asciiTheme="minorHAnsi" w:hAnsiTheme="minorHAnsi"/>
                <w:sz w:val="16"/>
                <w:szCs w:val="16"/>
              </w:rPr>
            </w:pPr>
            <w:r w:rsidRPr="00364545">
              <w:rPr>
                <w:sz w:val="16"/>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D67DFCD" w14:textId="77777777" w:rsidR="00B56301" w:rsidRPr="00364545" w:rsidRDefault="00B56301" w:rsidP="00B37B65">
            <w:pPr>
              <w:jc w:val="right"/>
              <w:rPr>
                <w:rFonts w:asciiTheme="minorHAnsi" w:hAnsiTheme="minorHAnsi"/>
                <w:sz w:val="16"/>
                <w:szCs w:val="16"/>
              </w:rPr>
            </w:pPr>
            <w:r w:rsidRPr="00364545">
              <w:rPr>
                <w:sz w:val="16"/>
              </w:rPr>
              <w:t>NA</w:t>
            </w:r>
          </w:p>
        </w:tc>
      </w:tr>
      <w:tr w:rsidR="00B56301" w:rsidRPr="00364545" w14:paraId="47A2195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B31C48" w14:textId="7C718D8E"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5. Waste</w:t>
            </w:r>
          </w:p>
        </w:tc>
        <w:tc>
          <w:tcPr>
            <w:tcW w:w="991" w:type="dxa"/>
            <w:tcBorders>
              <w:top w:val="nil"/>
              <w:left w:val="nil"/>
              <w:bottom w:val="single" w:sz="4" w:space="0" w:color="auto"/>
              <w:right w:val="single" w:sz="4" w:space="0" w:color="auto"/>
            </w:tcBorders>
            <w:shd w:val="clear" w:color="000000" w:fill="CCFFFF"/>
            <w:noWrap/>
            <w:vAlign w:val="bottom"/>
            <w:hideMark/>
          </w:tcPr>
          <w:p w14:paraId="1D50B94B" w14:textId="77777777" w:rsidR="00B56301" w:rsidRPr="00364545" w:rsidRDefault="00B56301" w:rsidP="00B37B65">
            <w:pPr>
              <w:jc w:val="right"/>
              <w:rPr>
                <w:rFonts w:asciiTheme="minorHAnsi" w:hAnsiTheme="minorHAnsi"/>
                <w:sz w:val="16"/>
                <w:szCs w:val="16"/>
              </w:rPr>
            </w:pPr>
            <w:r w:rsidRPr="00364545">
              <w:rPr>
                <w:sz w:val="16"/>
              </w:rPr>
              <w:t>2,11</w:t>
            </w:r>
          </w:p>
        </w:tc>
        <w:tc>
          <w:tcPr>
            <w:tcW w:w="991" w:type="dxa"/>
            <w:tcBorders>
              <w:top w:val="nil"/>
              <w:left w:val="nil"/>
              <w:bottom w:val="single" w:sz="4" w:space="0" w:color="auto"/>
              <w:right w:val="single" w:sz="4" w:space="0" w:color="auto"/>
            </w:tcBorders>
            <w:shd w:val="clear" w:color="000000" w:fill="CCFFFF"/>
            <w:noWrap/>
            <w:vAlign w:val="bottom"/>
            <w:hideMark/>
          </w:tcPr>
          <w:p w14:paraId="3CE1427F" w14:textId="77777777" w:rsidR="00B56301" w:rsidRPr="00364545" w:rsidRDefault="00B56301" w:rsidP="00B37B65">
            <w:pPr>
              <w:jc w:val="right"/>
              <w:rPr>
                <w:rFonts w:asciiTheme="minorHAnsi" w:hAnsiTheme="minorHAnsi"/>
                <w:sz w:val="16"/>
                <w:szCs w:val="16"/>
              </w:rPr>
            </w:pPr>
            <w:r w:rsidRPr="00364545">
              <w:rPr>
                <w:sz w:val="16"/>
              </w:rPr>
              <w:t>2,01</w:t>
            </w:r>
          </w:p>
        </w:tc>
        <w:tc>
          <w:tcPr>
            <w:tcW w:w="991" w:type="dxa"/>
            <w:tcBorders>
              <w:top w:val="nil"/>
              <w:left w:val="nil"/>
              <w:bottom w:val="single" w:sz="4" w:space="0" w:color="auto"/>
              <w:right w:val="single" w:sz="4" w:space="0" w:color="auto"/>
            </w:tcBorders>
            <w:shd w:val="clear" w:color="000000" w:fill="CCFFFF"/>
            <w:noWrap/>
            <w:vAlign w:val="bottom"/>
            <w:hideMark/>
          </w:tcPr>
          <w:p w14:paraId="28C0CA38" w14:textId="77777777" w:rsidR="00B56301" w:rsidRPr="00364545" w:rsidRDefault="00B56301" w:rsidP="00B37B65">
            <w:pPr>
              <w:jc w:val="right"/>
              <w:rPr>
                <w:rFonts w:asciiTheme="minorHAnsi" w:hAnsiTheme="minorHAnsi"/>
                <w:sz w:val="16"/>
                <w:szCs w:val="16"/>
              </w:rPr>
            </w:pPr>
            <w:r w:rsidRPr="00364545">
              <w:rPr>
                <w:sz w:val="16"/>
              </w:rPr>
              <w:t>2,05</w:t>
            </w:r>
          </w:p>
        </w:tc>
        <w:tc>
          <w:tcPr>
            <w:tcW w:w="991" w:type="dxa"/>
            <w:tcBorders>
              <w:top w:val="nil"/>
              <w:left w:val="nil"/>
              <w:bottom w:val="single" w:sz="4" w:space="0" w:color="auto"/>
              <w:right w:val="single" w:sz="4" w:space="0" w:color="auto"/>
            </w:tcBorders>
            <w:shd w:val="clear" w:color="000000" w:fill="CCFFFF"/>
            <w:noWrap/>
            <w:vAlign w:val="bottom"/>
            <w:hideMark/>
          </w:tcPr>
          <w:p w14:paraId="071A9625" w14:textId="77777777" w:rsidR="00B56301" w:rsidRPr="00364545" w:rsidRDefault="00B56301" w:rsidP="00B37B65">
            <w:pPr>
              <w:jc w:val="right"/>
              <w:rPr>
                <w:rFonts w:asciiTheme="minorHAnsi" w:hAnsiTheme="minorHAnsi"/>
                <w:sz w:val="16"/>
                <w:szCs w:val="16"/>
              </w:rPr>
            </w:pPr>
            <w:r w:rsidRPr="00364545">
              <w:rPr>
                <w:sz w:val="16"/>
              </w:rPr>
              <w:t>1,97</w:t>
            </w:r>
          </w:p>
        </w:tc>
        <w:tc>
          <w:tcPr>
            <w:tcW w:w="991" w:type="dxa"/>
            <w:tcBorders>
              <w:top w:val="nil"/>
              <w:left w:val="nil"/>
              <w:bottom w:val="single" w:sz="4" w:space="0" w:color="auto"/>
              <w:right w:val="single" w:sz="4" w:space="0" w:color="auto"/>
            </w:tcBorders>
            <w:shd w:val="clear" w:color="000000" w:fill="CCFFFF"/>
            <w:noWrap/>
            <w:vAlign w:val="bottom"/>
            <w:hideMark/>
          </w:tcPr>
          <w:p w14:paraId="21FECE14" w14:textId="77777777" w:rsidR="00B56301" w:rsidRPr="00364545" w:rsidRDefault="00B56301" w:rsidP="00B37B65">
            <w:pPr>
              <w:jc w:val="right"/>
              <w:rPr>
                <w:rFonts w:asciiTheme="minorHAnsi" w:hAnsiTheme="minorHAnsi"/>
                <w:sz w:val="16"/>
                <w:szCs w:val="16"/>
              </w:rPr>
            </w:pPr>
            <w:r w:rsidRPr="00364545">
              <w:rPr>
                <w:sz w:val="16"/>
              </w:rPr>
              <w:t>2,01</w:t>
            </w:r>
          </w:p>
        </w:tc>
        <w:tc>
          <w:tcPr>
            <w:tcW w:w="991" w:type="dxa"/>
            <w:tcBorders>
              <w:top w:val="nil"/>
              <w:left w:val="nil"/>
              <w:bottom w:val="single" w:sz="4" w:space="0" w:color="auto"/>
              <w:right w:val="single" w:sz="4" w:space="0" w:color="auto"/>
            </w:tcBorders>
            <w:shd w:val="clear" w:color="000000" w:fill="CCFFFF"/>
            <w:noWrap/>
            <w:vAlign w:val="bottom"/>
            <w:hideMark/>
          </w:tcPr>
          <w:p w14:paraId="4734976D" w14:textId="77777777" w:rsidR="00B56301" w:rsidRPr="00364545" w:rsidRDefault="00B56301" w:rsidP="00B37B65">
            <w:pPr>
              <w:jc w:val="right"/>
              <w:rPr>
                <w:rFonts w:asciiTheme="minorHAnsi" w:hAnsiTheme="minorHAnsi"/>
                <w:sz w:val="16"/>
                <w:szCs w:val="16"/>
              </w:rPr>
            </w:pPr>
            <w:r w:rsidRPr="00364545">
              <w:rPr>
                <w:sz w:val="16"/>
              </w:rPr>
              <w:t>1,91</w:t>
            </w:r>
          </w:p>
        </w:tc>
      </w:tr>
      <w:tr w:rsidR="00B56301" w:rsidRPr="00364545" w14:paraId="4331C06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0B342A0" w14:textId="2B507F71"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680FBF0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21482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D94E9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A7E11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C726BF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CA5E43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E4EA3A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6AE9A10" w14:textId="4A35D97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53593A91" w14:textId="77777777" w:rsidR="00B56301" w:rsidRPr="00364545" w:rsidRDefault="00B56301" w:rsidP="00B37B65">
            <w:pPr>
              <w:jc w:val="right"/>
              <w:rPr>
                <w:rFonts w:asciiTheme="minorHAnsi" w:hAnsiTheme="minorHAnsi"/>
                <w:sz w:val="16"/>
                <w:szCs w:val="16"/>
              </w:rPr>
            </w:pPr>
            <w:r w:rsidRPr="00364545">
              <w:rPr>
                <w:sz w:val="16"/>
              </w:rPr>
              <w:t>0,63</w:t>
            </w:r>
          </w:p>
        </w:tc>
        <w:tc>
          <w:tcPr>
            <w:tcW w:w="991" w:type="dxa"/>
            <w:tcBorders>
              <w:top w:val="nil"/>
              <w:left w:val="nil"/>
              <w:bottom w:val="single" w:sz="4" w:space="0" w:color="auto"/>
              <w:right w:val="single" w:sz="4" w:space="0" w:color="auto"/>
            </w:tcBorders>
            <w:shd w:val="clear" w:color="000000" w:fill="FFFFFF"/>
            <w:noWrap/>
            <w:vAlign w:val="bottom"/>
            <w:hideMark/>
          </w:tcPr>
          <w:p w14:paraId="2128B5F4" w14:textId="77777777" w:rsidR="00B56301" w:rsidRPr="00364545" w:rsidRDefault="00B56301" w:rsidP="00B37B65">
            <w:pPr>
              <w:jc w:val="right"/>
              <w:rPr>
                <w:rFonts w:asciiTheme="minorHAnsi" w:hAnsiTheme="minorHAnsi"/>
                <w:sz w:val="16"/>
                <w:szCs w:val="16"/>
              </w:rPr>
            </w:pPr>
            <w:r w:rsidRPr="00364545">
              <w:rPr>
                <w:sz w:val="16"/>
              </w:rPr>
              <w:t>0,66</w:t>
            </w:r>
          </w:p>
        </w:tc>
        <w:tc>
          <w:tcPr>
            <w:tcW w:w="991" w:type="dxa"/>
            <w:tcBorders>
              <w:top w:val="nil"/>
              <w:left w:val="nil"/>
              <w:bottom w:val="single" w:sz="4" w:space="0" w:color="auto"/>
              <w:right w:val="single" w:sz="4" w:space="0" w:color="auto"/>
            </w:tcBorders>
            <w:shd w:val="clear" w:color="000000" w:fill="FFFFFF"/>
            <w:noWrap/>
            <w:vAlign w:val="bottom"/>
            <w:hideMark/>
          </w:tcPr>
          <w:p w14:paraId="31D90CFC" w14:textId="77777777" w:rsidR="00B56301" w:rsidRPr="00364545" w:rsidRDefault="00B56301" w:rsidP="00B37B65">
            <w:pPr>
              <w:jc w:val="right"/>
              <w:rPr>
                <w:rFonts w:asciiTheme="minorHAnsi" w:hAnsiTheme="minorHAnsi"/>
                <w:sz w:val="16"/>
                <w:szCs w:val="16"/>
              </w:rPr>
            </w:pPr>
            <w:r w:rsidRPr="00364545">
              <w:rPr>
                <w:sz w:val="16"/>
              </w:rPr>
              <w:t>0,66</w:t>
            </w:r>
          </w:p>
        </w:tc>
        <w:tc>
          <w:tcPr>
            <w:tcW w:w="991" w:type="dxa"/>
            <w:tcBorders>
              <w:top w:val="nil"/>
              <w:left w:val="nil"/>
              <w:bottom w:val="single" w:sz="4" w:space="0" w:color="auto"/>
              <w:right w:val="single" w:sz="4" w:space="0" w:color="auto"/>
            </w:tcBorders>
            <w:shd w:val="clear" w:color="000000" w:fill="FFFFFF"/>
            <w:noWrap/>
            <w:vAlign w:val="bottom"/>
            <w:hideMark/>
          </w:tcPr>
          <w:p w14:paraId="6ED3F3FD" w14:textId="77777777" w:rsidR="00B56301" w:rsidRPr="00364545" w:rsidRDefault="00B56301" w:rsidP="00B37B65">
            <w:pPr>
              <w:jc w:val="right"/>
              <w:rPr>
                <w:rFonts w:asciiTheme="minorHAnsi" w:hAnsiTheme="minorHAnsi"/>
                <w:sz w:val="16"/>
                <w:szCs w:val="16"/>
              </w:rPr>
            </w:pPr>
            <w:r w:rsidRPr="00364545">
              <w:rPr>
                <w:sz w:val="16"/>
              </w:rPr>
              <w:t>0,67</w:t>
            </w:r>
          </w:p>
        </w:tc>
        <w:tc>
          <w:tcPr>
            <w:tcW w:w="991" w:type="dxa"/>
            <w:tcBorders>
              <w:top w:val="nil"/>
              <w:left w:val="nil"/>
              <w:bottom w:val="single" w:sz="4" w:space="0" w:color="auto"/>
              <w:right w:val="single" w:sz="4" w:space="0" w:color="auto"/>
            </w:tcBorders>
            <w:shd w:val="clear" w:color="000000" w:fill="FFFFFF"/>
            <w:noWrap/>
            <w:vAlign w:val="bottom"/>
            <w:hideMark/>
          </w:tcPr>
          <w:p w14:paraId="544425F2" w14:textId="77777777" w:rsidR="00B56301" w:rsidRPr="00364545" w:rsidRDefault="00B56301" w:rsidP="00B37B65">
            <w:pPr>
              <w:jc w:val="right"/>
              <w:rPr>
                <w:rFonts w:asciiTheme="minorHAnsi" w:hAnsiTheme="minorHAnsi"/>
                <w:sz w:val="16"/>
                <w:szCs w:val="16"/>
              </w:rPr>
            </w:pPr>
            <w:r w:rsidRPr="00364545">
              <w:rPr>
                <w:sz w:val="16"/>
              </w:rPr>
              <w:t>0,69</w:t>
            </w:r>
          </w:p>
        </w:tc>
        <w:tc>
          <w:tcPr>
            <w:tcW w:w="991" w:type="dxa"/>
            <w:tcBorders>
              <w:top w:val="nil"/>
              <w:left w:val="nil"/>
              <w:bottom w:val="single" w:sz="4" w:space="0" w:color="auto"/>
              <w:right w:val="single" w:sz="4" w:space="0" w:color="auto"/>
            </w:tcBorders>
            <w:shd w:val="clear" w:color="000000" w:fill="FFFFFF"/>
            <w:noWrap/>
            <w:vAlign w:val="bottom"/>
            <w:hideMark/>
          </w:tcPr>
          <w:p w14:paraId="5570AAA0" w14:textId="77777777" w:rsidR="00B56301" w:rsidRPr="00364545" w:rsidRDefault="00B56301" w:rsidP="00B37B65">
            <w:pPr>
              <w:jc w:val="right"/>
              <w:rPr>
                <w:rFonts w:asciiTheme="minorHAnsi" w:hAnsiTheme="minorHAnsi"/>
                <w:sz w:val="16"/>
                <w:szCs w:val="16"/>
              </w:rPr>
            </w:pPr>
            <w:r w:rsidRPr="00364545">
              <w:rPr>
                <w:sz w:val="16"/>
              </w:rPr>
              <w:t>0,72</w:t>
            </w:r>
          </w:p>
        </w:tc>
      </w:tr>
      <w:tr w:rsidR="00B56301" w:rsidRPr="00364545" w14:paraId="08E7992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E9FEBD" w14:textId="0EE43B51"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70DE58CC" w14:textId="77777777" w:rsidR="00B56301" w:rsidRPr="00364545" w:rsidRDefault="00B56301" w:rsidP="00B37B65">
            <w:pPr>
              <w:jc w:val="right"/>
              <w:rPr>
                <w:rFonts w:asciiTheme="minorHAnsi" w:hAnsiTheme="minorHAnsi"/>
                <w:sz w:val="16"/>
                <w:szCs w:val="16"/>
              </w:rPr>
            </w:pPr>
            <w:r w:rsidRPr="00364545">
              <w:rPr>
                <w:sz w:val="16"/>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1D017688" w14:textId="77777777" w:rsidR="00B56301" w:rsidRPr="00364545" w:rsidRDefault="00B56301" w:rsidP="00B37B65">
            <w:pPr>
              <w:jc w:val="right"/>
              <w:rPr>
                <w:rFonts w:asciiTheme="minorHAnsi" w:hAnsiTheme="minorHAnsi"/>
                <w:sz w:val="16"/>
                <w:szCs w:val="16"/>
              </w:rPr>
            </w:pPr>
            <w:r w:rsidRPr="00364545">
              <w:rPr>
                <w:sz w:val="16"/>
              </w:rPr>
              <w:t>0,18</w:t>
            </w:r>
          </w:p>
        </w:tc>
        <w:tc>
          <w:tcPr>
            <w:tcW w:w="991" w:type="dxa"/>
            <w:tcBorders>
              <w:top w:val="nil"/>
              <w:left w:val="nil"/>
              <w:bottom w:val="single" w:sz="4" w:space="0" w:color="auto"/>
              <w:right w:val="single" w:sz="4" w:space="0" w:color="auto"/>
            </w:tcBorders>
            <w:shd w:val="clear" w:color="000000" w:fill="FFFFFF"/>
            <w:noWrap/>
            <w:vAlign w:val="bottom"/>
            <w:hideMark/>
          </w:tcPr>
          <w:p w14:paraId="5C2D12F3" w14:textId="77777777" w:rsidR="00B56301" w:rsidRPr="00364545" w:rsidRDefault="00B56301" w:rsidP="00B37B65">
            <w:pPr>
              <w:jc w:val="right"/>
              <w:rPr>
                <w:rFonts w:asciiTheme="minorHAnsi" w:hAnsiTheme="minorHAnsi"/>
                <w:sz w:val="16"/>
                <w:szCs w:val="16"/>
              </w:rPr>
            </w:pPr>
            <w:r w:rsidRPr="00364545">
              <w:rPr>
                <w:sz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483CE26C" w14:textId="77777777" w:rsidR="00B56301" w:rsidRPr="00364545" w:rsidRDefault="00B56301" w:rsidP="00B37B65">
            <w:pPr>
              <w:jc w:val="right"/>
              <w:rPr>
                <w:rFonts w:asciiTheme="minorHAnsi" w:hAnsiTheme="minorHAnsi"/>
                <w:sz w:val="16"/>
                <w:szCs w:val="16"/>
              </w:rPr>
            </w:pPr>
            <w:r w:rsidRPr="00364545">
              <w:rPr>
                <w:sz w:val="16"/>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62C72385" w14:textId="77777777" w:rsidR="00B56301" w:rsidRPr="00364545" w:rsidRDefault="00B56301" w:rsidP="00B37B65">
            <w:pPr>
              <w:jc w:val="right"/>
              <w:rPr>
                <w:rFonts w:asciiTheme="minorHAnsi" w:hAnsiTheme="minorHAnsi"/>
                <w:sz w:val="16"/>
                <w:szCs w:val="16"/>
              </w:rPr>
            </w:pPr>
            <w:r w:rsidRPr="00364545">
              <w:rPr>
                <w:sz w:val="16"/>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0CAAA0CD" w14:textId="77777777" w:rsidR="00B56301" w:rsidRPr="00364545" w:rsidRDefault="00B56301" w:rsidP="00B37B65">
            <w:pPr>
              <w:jc w:val="right"/>
              <w:rPr>
                <w:rFonts w:asciiTheme="minorHAnsi" w:hAnsiTheme="minorHAnsi"/>
                <w:sz w:val="16"/>
                <w:szCs w:val="16"/>
              </w:rPr>
            </w:pPr>
            <w:r w:rsidRPr="00364545">
              <w:rPr>
                <w:sz w:val="16"/>
              </w:rPr>
              <w:t>0,12</w:t>
            </w:r>
          </w:p>
        </w:tc>
      </w:tr>
      <w:tr w:rsidR="00B56301" w:rsidRPr="00364545" w14:paraId="3A17CCA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7EAA430" w14:textId="64C455C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3FA9A26D" w14:textId="77777777" w:rsidR="00B56301" w:rsidRPr="00364545" w:rsidRDefault="00B56301" w:rsidP="00B37B65">
            <w:pPr>
              <w:jc w:val="right"/>
              <w:rPr>
                <w:rFonts w:asciiTheme="minorHAnsi" w:hAnsiTheme="minorHAnsi"/>
                <w:sz w:val="16"/>
                <w:szCs w:val="16"/>
              </w:rPr>
            </w:pPr>
            <w:r w:rsidRPr="00364545">
              <w:rPr>
                <w:sz w:val="16"/>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69C8F308" w14:textId="77777777" w:rsidR="00B56301" w:rsidRPr="00364545" w:rsidRDefault="00B56301" w:rsidP="00B37B65">
            <w:pPr>
              <w:jc w:val="right"/>
              <w:rPr>
                <w:rFonts w:asciiTheme="minorHAnsi" w:hAnsiTheme="minorHAnsi"/>
                <w:sz w:val="16"/>
                <w:szCs w:val="16"/>
              </w:rPr>
            </w:pPr>
            <w:r w:rsidRPr="00364545">
              <w:rPr>
                <w:sz w:val="16"/>
              </w:rPr>
              <w:t>1,17</w:t>
            </w:r>
          </w:p>
        </w:tc>
        <w:tc>
          <w:tcPr>
            <w:tcW w:w="991" w:type="dxa"/>
            <w:tcBorders>
              <w:top w:val="nil"/>
              <w:left w:val="nil"/>
              <w:bottom w:val="single" w:sz="4" w:space="0" w:color="auto"/>
              <w:right w:val="single" w:sz="4" w:space="0" w:color="auto"/>
            </w:tcBorders>
            <w:shd w:val="clear" w:color="000000" w:fill="FFFFFF"/>
            <w:noWrap/>
            <w:vAlign w:val="bottom"/>
            <w:hideMark/>
          </w:tcPr>
          <w:p w14:paraId="5D206607" w14:textId="77777777" w:rsidR="00B56301" w:rsidRPr="00364545" w:rsidRDefault="00B56301" w:rsidP="00B37B65">
            <w:pPr>
              <w:jc w:val="right"/>
              <w:rPr>
                <w:rFonts w:asciiTheme="minorHAnsi" w:hAnsiTheme="minorHAnsi"/>
                <w:sz w:val="16"/>
                <w:szCs w:val="16"/>
              </w:rPr>
            </w:pPr>
            <w:r w:rsidRPr="00364545">
              <w:rPr>
                <w:sz w:val="16"/>
              </w:rPr>
              <w:t>1,17</w:t>
            </w:r>
          </w:p>
        </w:tc>
        <w:tc>
          <w:tcPr>
            <w:tcW w:w="991" w:type="dxa"/>
            <w:tcBorders>
              <w:top w:val="nil"/>
              <w:left w:val="nil"/>
              <w:bottom w:val="single" w:sz="4" w:space="0" w:color="auto"/>
              <w:right w:val="single" w:sz="4" w:space="0" w:color="auto"/>
            </w:tcBorders>
            <w:shd w:val="clear" w:color="000000" w:fill="FFFFFF"/>
            <w:noWrap/>
            <w:vAlign w:val="bottom"/>
            <w:hideMark/>
          </w:tcPr>
          <w:p w14:paraId="3EF6F881" w14:textId="77777777" w:rsidR="00B56301" w:rsidRPr="00364545" w:rsidRDefault="00B56301" w:rsidP="00B37B65">
            <w:pPr>
              <w:jc w:val="right"/>
              <w:rPr>
                <w:rFonts w:asciiTheme="minorHAnsi" w:hAnsiTheme="minorHAnsi"/>
                <w:sz w:val="16"/>
                <w:szCs w:val="16"/>
              </w:rPr>
            </w:pPr>
            <w:r w:rsidRPr="00364545">
              <w:rPr>
                <w:sz w:val="16"/>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23A83E2A" w14:textId="77777777" w:rsidR="00B56301" w:rsidRPr="00364545" w:rsidRDefault="00B56301" w:rsidP="00B37B65">
            <w:pPr>
              <w:jc w:val="right"/>
              <w:rPr>
                <w:rFonts w:asciiTheme="minorHAnsi" w:hAnsiTheme="minorHAnsi"/>
                <w:sz w:val="16"/>
                <w:szCs w:val="16"/>
              </w:rPr>
            </w:pPr>
            <w:r w:rsidRPr="00364545">
              <w:rPr>
                <w:sz w:val="16"/>
              </w:rPr>
              <w:t>1,09</w:t>
            </w:r>
          </w:p>
        </w:tc>
        <w:tc>
          <w:tcPr>
            <w:tcW w:w="991" w:type="dxa"/>
            <w:tcBorders>
              <w:top w:val="nil"/>
              <w:left w:val="nil"/>
              <w:bottom w:val="single" w:sz="4" w:space="0" w:color="auto"/>
              <w:right w:val="single" w:sz="4" w:space="0" w:color="auto"/>
            </w:tcBorders>
            <w:shd w:val="clear" w:color="000000" w:fill="FFFFFF"/>
            <w:noWrap/>
            <w:vAlign w:val="bottom"/>
            <w:hideMark/>
          </w:tcPr>
          <w:p w14:paraId="086587CF" w14:textId="77777777" w:rsidR="00B56301" w:rsidRPr="00364545" w:rsidRDefault="00B56301" w:rsidP="00B37B65">
            <w:pPr>
              <w:jc w:val="right"/>
              <w:rPr>
                <w:rFonts w:asciiTheme="minorHAnsi" w:hAnsiTheme="minorHAnsi"/>
                <w:sz w:val="16"/>
                <w:szCs w:val="16"/>
              </w:rPr>
            </w:pPr>
            <w:r w:rsidRPr="00364545">
              <w:rPr>
                <w:sz w:val="16"/>
              </w:rPr>
              <w:t>1,08</w:t>
            </w:r>
          </w:p>
        </w:tc>
      </w:tr>
      <w:tr w:rsidR="00B56301" w:rsidRPr="00364545" w14:paraId="6D1993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138600" w14:textId="5B1BE52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Other</w:t>
            </w:r>
            <w:r w:rsidRPr="00364545">
              <w:rPr>
                <w:rFonts w:asciiTheme="minorHAnsi" w:hAnsiTheme="minorHAnsi"/>
                <w:b/>
                <w:i/>
                <w:sz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0E088B9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8DFCE4F"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CFA9E37"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5948502"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DBFA68B"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C65166A"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7CC3C88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4C1C5A" w14:textId="5833AB10"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47E85FEB"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38B48F31"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1E615F5"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72E51298"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9075312" w14:textId="77777777" w:rsidR="00B56301" w:rsidRPr="00364545" w:rsidRDefault="00B56301" w:rsidP="00B37B65">
            <w:pPr>
              <w:jc w:val="right"/>
              <w:rPr>
                <w:rFonts w:asciiTheme="minorHAnsi" w:hAnsiTheme="minorHAnsi"/>
                <w:sz w:val="16"/>
                <w:szCs w:val="16"/>
              </w:rPr>
            </w:pPr>
            <w:r w:rsidRPr="00364545">
              <w:rPr>
                <w:sz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90AC211" w14:textId="77777777" w:rsidR="00B56301" w:rsidRPr="00364545" w:rsidRDefault="00B56301" w:rsidP="00B37B65">
            <w:pPr>
              <w:jc w:val="right"/>
              <w:rPr>
                <w:rFonts w:asciiTheme="minorHAnsi" w:hAnsiTheme="minorHAnsi"/>
                <w:sz w:val="16"/>
                <w:szCs w:val="16"/>
              </w:rPr>
            </w:pPr>
            <w:r w:rsidRPr="00364545">
              <w:rPr>
                <w:sz w:val="16"/>
              </w:rPr>
              <w:t>NO</w:t>
            </w:r>
          </w:p>
        </w:tc>
      </w:tr>
      <w:tr w:rsidR="00B56301" w:rsidRPr="00364545" w14:paraId="033FDF7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DF2139A" w14:textId="14AA579F"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direct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 xml:space="preserve">emissions without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4AE6EC50" w14:textId="77777777" w:rsidR="00B56301" w:rsidRPr="00364545" w:rsidRDefault="00B56301" w:rsidP="00B37B65">
            <w:pPr>
              <w:jc w:val="right"/>
              <w:rPr>
                <w:rFonts w:asciiTheme="minorHAnsi" w:hAnsiTheme="minorHAnsi"/>
                <w:sz w:val="16"/>
                <w:szCs w:val="16"/>
              </w:rPr>
            </w:pPr>
            <w:r w:rsidRPr="00364545">
              <w:rPr>
                <w:sz w:val="16"/>
              </w:rPr>
              <w:t>130,64</w:t>
            </w:r>
          </w:p>
        </w:tc>
        <w:tc>
          <w:tcPr>
            <w:tcW w:w="991" w:type="dxa"/>
            <w:tcBorders>
              <w:top w:val="nil"/>
              <w:left w:val="nil"/>
              <w:bottom w:val="single" w:sz="4" w:space="0" w:color="auto"/>
              <w:right w:val="single" w:sz="4" w:space="0" w:color="auto"/>
            </w:tcBorders>
            <w:shd w:val="clear" w:color="000000" w:fill="CCFFFF"/>
            <w:noWrap/>
            <w:vAlign w:val="bottom"/>
            <w:hideMark/>
          </w:tcPr>
          <w:p w14:paraId="18048C29" w14:textId="77777777" w:rsidR="00B56301" w:rsidRPr="00364545" w:rsidRDefault="00B56301" w:rsidP="00B37B65">
            <w:pPr>
              <w:jc w:val="right"/>
              <w:rPr>
                <w:rFonts w:asciiTheme="minorHAnsi" w:hAnsiTheme="minorHAnsi"/>
                <w:sz w:val="16"/>
                <w:szCs w:val="16"/>
              </w:rPr>
            </w:pPr>
            <w:r w:rsidRPr="00364545">
              <w:rPr>
                <w:sz w:val="16"/>
              </w:rPr>
              <w:t>134,44</w:t>
            </w:r>
          </w:p>
        </w:tc>
        <w:tc>
          <w:tcPr>
            <w:tcW w:w="991" w:type="dxa"/>
            <w:tcBorders>
              <w:top w:val="nil"/>
              <w:left w:val="nil"/>
              <w:bottom w:val="single" w:sz="4" w:space="0" w:color="auto"/>
              <w:right w:val="single" w:sz="4" w:space="0" w:color="auto"/>
            </w:tcBorders>
            <w:shd w:val="clear" w:color="000000" w:fill="CCFFFF"/>
            <w:noWrap/>
            <w:vAlign w:val="bottom"/>
            <w:hideMark/>
          </w:tcPr>
          <w:p w14:paraId="0181C53C" w14:textId="77777777" w:rsidR="00B56301" w:rsidRPr="00364545" w:rsidRDefault="00B56301" w:rsidP="00B37B65">
            <w:pPr>
              <w:jc w:val="right"/>
              <w:rPr>
                <w:rFonts w:asciiTheme="minorHAnsi" w:hAnsiTheme="minorHAnsi"/>
                <w:sz w:val="16"/>
                <w:szCs w:val="16"/>
              </w:rPr>
            </w:pPr>
            <w:r w:rsidRPr="00364545">
              <w:rPr>
                <w:sz w:val="16"/>
              </w:rPr>
              <w:t>133,88</w:t>
            </w:r>
          </w:p>
        </w:tc>
        <w:tc>
          <w:tcPr>
            <w:tcW w:w="991" w:type="dxa"/>
            <w:tcBorders>
              <w:top w:val="nil"/>
              <w:left w:val="nil"/>
              <w:bottom w:val="single" w:sz="4" w:space="0" w:color="auto"/>
              <w:right w:val="single" w:sz="4" w:space="0" w:color="auto"/>
            </w:tcBorders>
            <w:shd w:val="clear" w:color="000000" w:fill="CCFFFF"/>
            <w:noWrap/>
            <w:vAlign w:val="bottom"/>
            <w:hideMark/>
          </w:tcPr>
          <w:p w14:paraId="6A783515" w14:textId="77777777" w:rsidR="00B56301" w:rsidRPr="00364545" w:rsidRDefault="00B56301" w:rsidP="00B37B65">
            <w:pPr>
              <w:jc w:val="right"/>
              <w:rPr>
                <w:rFonts w:asciiTheme="minorHAnsi" w:hAnsiTheme="minorHAnsi"/>
                <w:sz w:val="16"/>
                <w:szCs w:val="16"/>
              </w:rPr>
            </w:pPr>
            <w:r w:rsidRPr="00364545">
              <w:rPr>
                <w:sz w:val="16"/>
              </w:rPr>
              <w:t>130,17</w:t>
            </w:r>
          </w:p>
        </w:tc>
        <w:tc>
          <w:tcPr>
            <w:tcW w:w="991" w:type="dxa"/>
            <w:tcBorders>
              <w:top w:val="nil"/>
              <w:left w:val="nil"/>
              <w:bottom w:val="single" w:sz="4" w:space="0" w:color="auto"/>
              <w:right w:val="single" w:sz="4" w:space="0" w:color="auto"/>
            </w:tcBorders>
            <w:shd w:val="clear" w:color="000000" w:fill="CCFFFF"/>
            <w:noWrap/>
            <w:vAlign w:val="bottom"/>
            <w:hideMark/>
          </w:tcPr>
          <w:p w14:paraId="20995FDE" w14:textId="77777777" w:rsidR="00B56301" w:rsidRPr="00364545" w:rsidRDefault="00B56301" w:rsidP="00B37B65">
            <w:pPr>
              <w:jc w:val="right"/>
              <w:rPr>
                <w:rFonts w:asciiTheme="minorHAnsi" w:hAnsiTheme="minorHAnsi"/>
                <w:sz w:val="16"/>
                <w:szCs w:val="16"/>
              </w:rPr>
            </w:pPr>
            <w:r w:rsidRPr="00364545">
              <w:rPr>
                <w:sz w:val="16"/>
              </w:rPr>
              <w:t>134,77</w:t>
            </w:r>
          </w:p>
        </w:tc>
        <w:tc>
          <w:tcPr>
            <w:tcW w:w="991" w:type="dxa"/>
            <w:tcBorders>
              <w:top w:val="nil"/>
              <w:left w:val="nil"/>
              <w:bottom w:val="single" w:sz="4" w:space="0" w:color="auto"/>
              <w:right w:val="single" w:sz="4" w:space="0" w:color="auto"/>
            </w:tcBorders>
            <w:shd w:val="clear" w:color="000000" w:fill="CCFFFF"/>
            <w:noWrap/>
            <w:vAlign w:val="bottom"/>
            <w:hideMark/>
          </w:tcPr>
          <w:p w14:paraId="36FF828B" w14:textId="77777777" w:rsidR="00B56301" w:rsidRPr="00364545" w:rsidRDefault="00B56301" w:rsidP="00B37B65">
            <w:pPr>
              <w:jc w:val="right"/>
              <w:rPr>
                <w:rFonts w:asciiTheme="minorHAnsi" w:hAnsiTheme="minorHAnsi"/>
                <w:sz w:val="16"/>
                <w:szCs w:val="16"/>
              </w:rPr>
            </w:pPr>
            <w:r w:rsidRPr="00364545">
              <w:rPr>
                <w:sz w:val="16"/>
              </w:rPr>
              <w:t>129,19</w:t>
            </w:r>
          </w:p>
        </w:tc>
      </w:tr>
      <w:tr w:rsidR="00B56301" w:rsidRPr="00364545" w14:paraId="2D008263"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446DCC2D" w14:textId="3DCD78F1" w:rsidR="00B56301" w:rsidRPr="00364545" w:rsidRDefault="00B56301" w:rsidP="00B37B65">
            <w:pPr>
              <w:jc w:val="left"/>
              <w:rPr>
                <w:rFonts w:asciiTheme="minorHAnsi" w:hAnsiTheme="minorHAnsi"/>
                <w:b/>
                <w:bCs/>
                <w:sz w:val="16"/>
                <w:szCs w:val="16"/>
              </w:rPr>
            </w:pPr>
            <w:r w:rsidRPr="00364545">
              <w:rPr>
                <w:rFonts w:asciiTheme="minorHAnsi" w:hAnsiTheme="minorHAnsi"/>
                <w:b/>
                <w:sz w:val="16"/>
                <w:lang w:val="pt-BR"/>
              </w:rPr>
              <w:t xml:space="preserve">Total direct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 xml:space="preserve">emissions with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from LULUCF</w:t>
            </w:r>
          </w:p>
        </w:tc>
        <w:tc>
          <w:tcPr>
            <w:tcW w:w="991" w:type="dxa"/>
            <w:tcBorders>
              <w:top w:val="nil"/>
              <w:left w:val="single" w:sz="4" w:space="0" w:color="auto"/>
              <w:bottom w:val="single" w:sz="4" w:space="0" w:color="auto"/>
              <w:right w:val="single" w:sz="4" w:space="0" w:color="auto"/>
            </w:tcBorders>
            <w:shd w:val="clear" w:color="000000" w:fill="CCFFFF"/>
            <w:noWrap/>
            <w:vAlign w:val="bottom"/>
            <w:hideMark/>
          </w:tcPr>
          <w:p w14:paraId="433EA74D" w14:textId="77777777" w:rsidR="00B56301" w:rsidRPr="00364545" w:rsidRDefault="00B56301" w:rsidP="00B37B65">
            <w:pPr>
              <w:jc w:val="right"/>
              <w:rPr>
                <w:rFonts w:asciiTheme="minorHAnsi" w:hAnsiTheme="minorHAnsi"/>
                <w:sz w:val="16"/>
                <w:szCs w:val="16"/>
              </w:rPr>
            </w:pPr>
            <w:r w:rsidRPr="00364545">
              <w:rPr>
                <w:sz w:val="16"/>
              </w:rPr>
              <w:t>140,70</w:t>
            </w:r>
          </w:p>
        </w:tc>
        <w:tc>
          <w:tcPr>
            <w:tcW w:w="991" w:type="dxa"/>
            <w:tcBorders>
              <w:top w:val="nil"/>
              <w:left w:val="nil"/>
              <w:bottom w:val="single" w:sz="4" w:space="0" w:color="auto"/>
              <w:right w:val="single" w:sz="4" w:space="0" w:color="auto"/>
            </w:tcBorders>
            <w:shd w:val="clear" w:color="000000" w:fill="CCFFFF"/>
            <w:noWrap/>
            <w:vAlign w:val="bottom"/>
            <w:hideMark/>
          </w:tcPr>
          <w:p w14:paraId="55A5145B" w14:textId="77777777" w:rsidR="00B56301" w:rsidRPr="00364545" w:rsidRDefault="00B56301" w:rsidP="00B37B65">
            <w:pPr>
              <w:jc w:val="right"/>
              <w:rPr>
                <w:rFonts w:asciiTheme="minorHAnsi" w:hAnsiTheme="minorHAnsi"/>
                <w:sz w:val="16"/>
                <w:szCs w:val="16"/>
              </w:rPr>
            </w:pPr>
            <w:r w:rsidRPr="00364545">
              <w:rPr>
                <w:sz w:val="16"/>
              </w:rPr>
              <w:t>144,41</w:t>
            </w:r>
          </w:p>
        </w:tc>
        <w:tc>
          <w:tcPr>
            <w:tcW w:w="991" w:type="dxa"/>
            <w:tcBorders>
              <w:top w:val="nil"/>
              <w:left w:val="nil"/>
              <w:bottom w:val="single" w:sz="4" w:space="0" w:color="auto"/>
              <w:right w:val="single" w:sz="4" w:space="0" w:color="auto"/>
            </w:tcBorders>
            <w:shd w:val="clear" w:color="000000" w:fill="CCFFFF"/>
            <w:noWrap/>
            <w:vAlign w:val="bottom"/>
            <w:hideMark/>
          </w:tcPr>
          <w:p w14:paraId="390AC9AA" w14:textId="77777777" w:rsidR="00B56301" w:rsidRPr="00364545" w:rsidRDefault="00B56301" w:rsidP="00B37B65">
            <w:pPr>
              <w:jc w:val="right"/>
              <w:rPr>
                <w:rFonts w:asciiTheme="minorHAnsi" w:hAnsiTheme="minorHAnsi"/>
                <w:sz w:val="16"/>
                <w:szCs w:val="16"/>
              </w:rPr>
            </w:pPr>
            <w:r w:rsidRPr="00364545">
              <w:rPr>
                <w:sz w:val="16"/>
              </w:rPr>
              <w:t>143,76</w:t>
            </w:r>
          </w:p>
        </w:tc>
        <w:tc>
          <w:tcPr>
            <w:tcW w:w="991" w:type="dxa"/>
            <w:tcBorders>
              <w:top w:val="nil"/>
              <w:left w:val="nil"/>
              <w:bottom w:val="single" w:sz="4" w:space="0" w:color="auto"/>
              <w:right w:val="single" w:sz="4" w:space="0" w:color="auto"/>
            </w:tcBorders>
            <w:shd w:val="clear" w:color="000000" w:fill="CCFFFF"/>
            <w:noWrap/>
            <w:vAlign w:val="bottom"/>
            <w:hideMark/>
          </w:tcPr>
          <w:p w14:paraId="6DE75A18" w14:textId="77777777" w:rsidR="00B56301" w:rsidRPr="00364545" w:rsidRDefault="00B56301" w:rsidP="00B37B65">
            <w:pPr>
              <w:jc w:val="right"/>
              <w:rPr>
                <w:rFonts w:asciiTheme="minorHAnsi" w:hAnsiTheme="minorHAnsi"/>
                <w:sz w:val="16"/>
                <w:szCs w:val="16"/>
              </w:rPr>
            </w:pPr>
            <w:r w:rsidRPr="00364545">
              <w:rPr>
                <w:sz w:val="16"/>
              </w:rPr>
              <w:t>139,95</w:t>
            </w:r>
          </w:p>
        </w:tc>
        <w:tc>
          <w:tcPr>
            <w:tcW w:w="991" w:type="dxa"/>
            <w:tcBorders>
              <w:top w:val="nil"/>
              <w:left w:val="nil"/>
              <w:bottom w:val="single" w:sz="4" w:space="0" w:color="auto"/>
              <w:right w:val="single" w:sz="4" w:space="0" w:color="auto"/>
            </w:tcBorders>
            <w:shd w:val="clear" w:color="000000" w:fill="CCFFFF"/>
            <w:noWrap/>
            <w:vAlign w:val="bottom"/>
            <w:hideMark/>
          </w:tcPr>
          <w:p w14:paraId="5F7834AA" w14:textId="77777777" w:rsidR="00B56301" w:rsidRPr="00364545" w:rsidRDefault="00B56301" w:rsidP="00B37B65">
            <w:pPr>
              <w:jc w:val="right"/>
              <w:rPr>
                <w:rFonts w:asciiTheme="minorHAnsi" w:hAnsiTheme="minorHAnsi"/>
                <w:sz w:val="16"/>
                <w:szCs w:val="16"/>
              </w:rPr>
            </w:pPr>
            <w:r w:rsidRPr="00364545">
              <w:rPr>
                <w:sz w:val="16"/>
              </w:rPr>
              <w:t>144,50</w:t>
            </w:r>
          </w:p>
        </w:tc>
        <w:tc>
          <w:tcPr>
            <w:tcW w:w="991" w:type="dxa"/>
            <w:tcBorders>
              <w:top w:val="nil"/>
              <w:left w:val="nil"/>
              <w:bottom w:val="single" w:sz="4" w:space="0" w:color="auto"/>
              <w:right w:val="single" w:sz="4" w:space="0" w:color="auto"/>
            </w:tcBorders>
            <w:shd w:val="clear" w:color="000000" w:fill="CCFFFF"/>
            <w:noWrap/>
            <w:vAlign w:val="bottom"/>
            <w:hideMark/>
          </w:tcPr>
          <w:p w14:paraId="218957F8" w14:textId="77777777" w:rsidR="00B56301" w:rsidRPr="00364545" w:rsidRDefault="00B56301" w:rsidP="00B37B65">
            <w:pPr>
              <w:jc w:val="right"/>
              <w:rPr>
                <w:rFonts w:asciiTheme="minorHAnsi" w:hAnsiTheme="minorHAnsi"/>
                <w:sz w:val="16"/>
                <w:szCs w:val="16"/>
              </w:rPr>
            </w:pPr>
            <w:r w:rsidRPr="00364545">
              <w:rPr>
                <w:sz w:val="16"/>
              </w:rPr>
              <w:t>138,80</w:t>
            </w:r>
          </w:p>
        </w:tc>
      </w:tr>
      <w:tr w:rsidR="00B56301" w:rsidRPr="00364545" w14:paraId="263F49EE"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796D9C6"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Memo items:</w:t>
            </w:r>
            <w:r w:rsidRPr="00364545">
              <w:rPr>
                <w:rFonts w:asciiTheme="minorHAnsi" w:hAnsiTheme="minorHAnsi"/>
                <w:b/>
                <w:sz w:val="16"/>
                <w:vertAlign w:val="superscript"/>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412D312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C4B10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C7B13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0E7090F"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53828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0C4500A"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3E3548A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03EF13"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62F78DE8" w14:textId="77777777" w:rsidR="00B56301" w:rsidRPr="00364545" w:rsidRDefault="00B56301" w:rsidP="00B37B65">
            <w:pPr>
              <w:jc w:val="right"/>
              <w:rPr>
                <w:rFonts w:asciiTheme="minorHAnsi" w:hAnsiTheme="minorHAnsi"/>
                <w:sz w:val="16"/>
                <w:szCs w:val="16"/>
              </w:rPr>
            </w:pPr>
            <w:r w:rsidRPr="00364545">
              <w:rPr>
                <w:sz w:val="16"/>
              </w:rPr>
              <w:t>0,63</w:t>
            </w:r>
          </w:p>
        </w:tc>
        <w:tc>
          <w:tcPr>
            <w:tcW w:w="991" w:type="dxa"/>
            <w:tcBorders>
              <w:top w:val="nil"/>
              <w:left w:val="nil"/>
              <w:bottom w:val="single" w:sz="4" w:space="0" w:color="auto"/>
              <w:right w:val="single" w:sz="4" w:space="0" w:color="auto"/>
            </w:tcBorders>
            <w:shd w:val="clear" w:color="000000" w:fill="CCFFFF"/>
            <w:noWrap/>
            <w:vAlign w:val="bottom"/>
            <w:hideMark/>
          </w:tcPr>
          <w:p w14:paraId="4E0BED99" w14:textId="77777777" w:rsidR="00B56301" w:rsidRPr="00364545" w:rsidRDefault="00B56301" w:rsidP="00B37B65">
            <w:pPr>
              <w:jc w:val="right"/>
              <w:rPr>
                <w:rFonts w:asciiTheme="minorHAnsi" w:hAnsiTheme="minorHAnsi"/>
                <w:sz w:val="16"/>
                <w:szCs w:val="16"/>
              </w:rPr>
            </w:pPr>
            <w:r w:rsidRPr="00364545">
              <w:rPr>
                <w:sz w:val="16"/>
              </w:rPr>
              <w:t>0,61</w:t>
            </w:r>
          </w:p>
        </w:tc>
        <w:tc>
          <w:tcPr>
            <w:tcW w:w="991" w:type="dxa"/>
            <w:tcBorders>
              <w:top w:val="nil"/>
              <w:left w:val="nil"/>
              <w:bottom w:val="single" w:sz="4" w:space="0" w:color="auto"/>
              <w:right w:val="single" w:sz="4" w:space="0" w:color="auto"/>
            </w:tcBorders>
            <w:shd w:val="clear" w:color="000000" w:fill="CCFFFF"/>
            <w:noWrap/>
            <w:vAlign w:val="bottom"/>
            <w:hideMark/>
          </w:tcPr>
          <w:p w14:paraId="3AA6EB23" w14:textId="77777777" w:rsidR="00B56301" w:rsidRPr="00364545" w:rsidRDefault="00B56301" w:rsidP="00B37B65">
            <w:pPr>
              <w:jc w:val="right"/>
              <w:rPr>
                <w:rFonts w:asciiTheme="minorHAnsi" w:hAnsiTheme="minorHAnsi"/>
                <w:sz w:val="16"/>
                <w:szCs w:val="16"/>
              </w:rPr>
            </w:pPr>
            <w:r w:rsidRPr="00364545">
              <w:rPr>
                <w:sz w:val="16"/>
              </w:rPr>
              <w:t>0,62</w:t>
            </w:r>
          </w:p>
        </w:tc>
        <w:tc>
          <w:tcPr>
            <w:tcW w:w="991" w:type="dxa"/>
            <w:tcBorders>
              <w:top w:val="nil"/>
              <w:left w:val="nil"/>
              <w:bottom w:val="single" w:sz="4" w:space="0" w:color="auto"/>
              <w:right w:val="single" w:sz="4" w:space="0" w:color="auto"/>
            </w:tcBorders>
            <w:shd w:val="clear" w:color="000000" w:fill="CCFFFF"/>
            <w:noWrap/>
            <w:vAlign w:val="bottom"/>
            <w:hideMark/>
          </w:tcPr>
          <w:p w14:paraId="30976E6A" w14:textId="77777777" w:rsidR="00B56301" w:rsidRPr="00364545" w:rsidRDefault="00B56301" w:rsidP="00B37B65">
            <w:pPr>
              <w:jc w:val="right"/>
              <w:rPr>
                <w:rFonts w:asciiTheme="minorHAnsi" w:hAnsiTheme="minorHAnsi"/>
                <w:sz w:val="16"/>
                <w:szCs w:val="16"/>
              </w:rPr>
            </w:pPr>
            <w:r w:rsidRPr="00364545">
              <w:rPr>
                <w:sz w:val="16"/>
              </w:rPr>
              <w:t>0,60</w:t>
            </w:r>
          </w:p>
        </w:tc>
        <w:tc>
          <w:tcPr>
            <w:tcW w:w="991" w:type="dxa"/>
            <w:tcBorders>
              <w:top w:val="nil"/>
              <w:left w:val="nil"/>
              <w:bottom w:val="single" w:sz="4" w:space="0" w:color="auto"/>
              <w:right w:val="single" w:sz="4" w:space="0" w:color="auto"/>
            </w:tcBorders>
            <w:shd w:val="clear" w:color="000000" w:fill="CCFFFF"/>
            <w:noWrap/>
            <w:vAlign w:val="bottom"/>
            <w:hideMark/>
          </w:tcPr>
          <w:p w14:paraId="3C73A409" w14:textId="77777777" w:rsidR="00B56301" w:rsidRPr="00364545" w:rsidRDefault="00B56301" w:rsidP="00B37B65">
            <w:pPr>
              <w:jc w:val="right"/>
              <w:rPr>
                <w:rFonts w:asciiTheme="minorHAnsi" w:hAnsiTheme="minorHAnsi"/>
                <w:sz w:val="16"/>
                <w:szCs w:val="16"/>
              </w:rPr>
            </w:pPr>
            <w:r w:rsidRPr="00364545">
              <w:rPr>
                <w:sz w:val="16"/>
              </w:rPr>
              <w:t>0,62</w:t>
            </w:r>
          </w:p>
        </w:tc>
        <w:tc>
          <w:tcPr>
            <w:tcW w:w="991" w:type="dxa"/>
            <w:tcBorders>
              <w:top w:val="nil"/>
              <w:left w:val="nil"/>
              <w:bottom w:val="single" w:sz="4" w:space="0" w:color="auto"/>
              <w:right w:val="single" w:sz="4" w:space="0" w:color="auto"/>
            </w:tcBorders>
            <w:shd w:val="clear" w:color="000000" w:fill="CCFFFF"/>
            <w:noWrap/>
            <w:vAlign w:val="bottom"/>
            <w:hideMark/>
          </w:tcPr>
          <w:p w14:paraId="3B68CAB5" w14:textId="77777777" w:rsidR="00B56301" w:rsidRPr="00364545" w:rsidRDefault="00B56301" w:rsidP="00B37B65">
            <w:pPr>
              <w:jc w:val="right"/>
              <w:rPr>
                <w:rFonts w:asciiTheme="minorHAnsi" w:hAnsiTheme="minorHAnsi"/>
                <w:sz w:val="16"/>
                <w:szCs w:val="16"/>
              </w:rPr>
            </w:pPr>
            <w:r w:rsidRPr="00364545">
              <w:rPr>
                <w:sz w:val="16"/>
              </w:rPr>
              <w:t>0,65</w:t>
            </w:r>
          </w:p>
        </w:tc>
      </w:tr>
      <w:tr w:rsidR="00B56301" w:rsidRPr="00364545" w14:paraId="3EEA842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30689D"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652A08E1" w14:textId="77777777" w:rsidR="00B56301" w:rsidRPr="00364545" w:rsidRDefault="00B56301" w:rsidP="00B37B65">
            <w:pPr>
              <w:jc w:val="right"/>
              <w:rPr>
                <w:rFonts w:asciiTheme="minorHAnsi" w:hAnsiTheme="minorHAnsi"/>
                <w:sz w:val="16"/>
                <w:szCs w:val="16"/>
              </w:rPr>
            </w:pPr>
            <w:r w:rsidRPr="00364545">
              <w:rPr>
                <w:sz w:val="16"/>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18A38246" w14:textId="77777777" w:rsidR="00B56301" w:rsidRPr="00364545" w:rsidRDefault="00B56301" w:rsidP="00B37B65">
            <w:pPr>
              <w:jc w:val="right"/>
              <w:rPr>
                <w:rFonts w:asciiTheme="minorHAnsi" w:hAnsiTheme="minorHAnsi"/>
                <w:sz w:val="16"/>
                <w:szCs w:val="16"/>
              </w:rPr>
            </w:pPr>
            <w:r w:rsidRPr="00364545">
              <w:rPr>
                <w:sz w:val="16"/>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53C9656F" w14:textId="77777777" w:rsidR="00B56301" w:rsidRPr="00364545" w:rsidRDefault="00B56301" w:rsidP="00B37B65">
            <w:pPr>
              <w:jc w:val="right"/>
              <w:rPr>
                <w:rFonts w:asciiTheme="minorHAnsi" w:hAnsiTheme="minorHAnsi"/>
                <w:sz w:val="16"/>
                <w:szCs w:val="16"/>
              </w:rPr>
            </w:pPr>
            <w:r w:rsidRPr="00364545">
              <w:rPr>
                <w:sz w:val="16"/>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70454164" w14:textId="77777777" w:rsidR="00B56301" w:rsidRPr="00364545" w:rsidRDefault="00B56301" w:rsidP="00B37B65">
            <w:pPr>
              <w:jc w:val="right"/>
              <w:rPr>
                <w:rFonts w:asciiTheme="minorHAnsi" w:hAnsiTheme="minorHAnsi"/>
                <w:sz w:val="16"/>
                <w:szCs w:val="16"/>
              </w:rPr>
            </w:pPr>
            <w:r w:rsidRPr="00364545">
              <w:rPr>
                <w:sz w:val="16"/>
              </w:rPr>
              <w:t>0,47</w:t>
            </w:r>
          </w:p>
        </w:tc>
        <w:tc>
          <w:tcPr>
            <w:tcW w:w="991" w:type="dxa"/>
            <w:tcBorders>
              <w:top w:val="nil"/>
              <w:left w:val="nil"/>
              <w:bottom w:val="single" w:sz="4" w:space="0" w:color="auto"/>
              <w:right w:val="single" w:sz="4" w:space="0" w:color="auto"/>
            </w:tcBorders>
            <w:shd w:val="clear" w:color="000000" w:fill="FFFFFF"/>
            <w:noWrap/>
            <w:vAlign w:val="bottom"/>
            <w:hideMark/>
          </w:tcPr>
          <w:p w14:paraId="2BEA9303" w14:textId="77777777" w:rsidR="00B56301" w:rsidRPr="00364545" w:rsidRDefault="00B56301" w:rsidP="00B37B65">
            <w:pPr>
              <w:jc w:val="right"/>
              <w:rPr>
                <w:rFonts w:asciiTheme="minorHAnsi" w:hAnsiTheme="minorHAnsi"/>
                <w:sz w:val="16"/>
                <w:szCs w:val="16"/>
              </w:rPr>
            </w:pPr>
            <w:r w:rsidRPr="00364545">
              <w:rPr>
                <w:sz w:val="16"/>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6116B354" w14:textId="77777777" w:rsidR="00B56301" w:rsidRPr="00364545" w:rsidRDefault="00B56301" w:rsidP="00B37B65">
            <w:pPr>
              <w:jc w:val="right"/>
              <w:rPr>
                <w:rFonts w:asciiTheme="minorHAnsi" w:hAnsiTheme="minorHAnsi"/>
                <w:sz w:val="16"/>
                <w:szCs w:val="16"/>
              </w:rPr>
            </w:pPr>
            <w:r w:rsidRPr="00364545">
              <w:rPr>
                <w:sz w:val="16"/>
              </w:rPr>
              <w:t>0,49</w:t>
            </w:r>
          </w:p>
        </w:tc>
      </w:tr>
      <w:tr w:rsidR="00B56301" w:rsidRPr="00364545" w14:paraId="1DE51C1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DD399E"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52F82DA0" w14:textId="77777777" w:rsidR="00B56301" w:rsidRPr="00364545" w:rsidRDefault="00B56301" w:rsidP="00B37B65">
            <w:pPr>
              <w:jc w:val="right"/>
              <w:rPr>
                <w:rFonts w:asciiTheme="minorHAnsi" w:hAnsiTheme="minorHAnsi"/>
                <w:sz w:val="16"/>
                <w:szCs w:val="16"/>
              </w:rPr>
            </w:pPr>
            <w:r w:rsidRPr="00364545">
              <w:rPr>
                <w:sz w:val="16"/>
              </w:rPr>
              <w:t>0,19</w:t>
            </w:r>
          </w:p>
        </w:tc>
        <w:tc>
          <w:tcPr>
            <w:tcW w:w="991" w:type="dxa"/>
            <w:tcBorders>
              <w:top w:val="nil"/>
              <w:left w:val="nil"/>
              <w:bottom w:val="single" w:sz="4" w:space="0" w:color="auto"/>
              <w:right w:val="single" w:sz="4" w:space="0" w:color="auto"/>
            </w:tcBorders>
            <w:shd w:val="clear" w:color="000000" w:fill="FFFFFF"/>
            <w:noWrap/>
            <w:vAlign w:val="bottom"/>
            <w:hideMark/>
          </w:tcPr>
          <w:p w14:paraId="15FB3B0E" w14:textId="77777777" w:rsidR="00B56301" w:rsidRPr="00364545" w:rsidRDefault="00B56301" w:rsidP="00B37B65">
            <w:pPr>
              <w:jc w:val="right"/>
              <w:rPr>
                <w:rFonts w:asciiTheme="minorHAnsi" w:hAnsiTheme="minorHAnsi"/>
                <w:sz w:val="16"/>
                <w:szCs w:val="16"/>
              </w:rPr>
            </w:pPr>
            <w:r w:rsidRPr="00364545">
              <w:rPr>
                <w:sz w:val="16"/>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62153916" w14:textId="77777777" w:rsidR="00B56301" w:rsidRPr="00364545" w:rsidRDefault="00B56301" w:rsidP="00B37B65">
            <w:pPr>
              <w:jc w:val="right"/>
              <w:rPr>
                <w:rFonts w:asciiTheme="minorHAnsi" w:hAnsiTheme="minorHAnsi"/>
                <w:sz w:val="16"/>
                <w:szCs w:val="16"/>
              </w:rPr>
            </w:pPr>
            <w:r w:rsidRPr="00364545">
              <w:rPr>
                <w:sz w:val="16"/>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633BF940" w14:textId="77777777" w:rsidR="00B56301" w:rsidRPr="00364545" w:rsidRDefault="00B56301" w:rsidP="00B37B65">
            <w:pPr>
              <w:jc w:val="right"/>
              <w:rPr>
                <w:rFonts w:asciiTheme="minorHAnsi" w:hAnsiTheme="minorHAnsi"/>
                <w:sz w:val="16"/>
                <w:szCs w:val="16"/>
              </w:rPr>
            </w:pPr>
            <w:r w:rsidRPr="00364545">
              <w:rPr>
                <w:sz w:val="16"/>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0ED5FA8C" w14:textId="77777777" w:rsidR="00B56301" w:rsidRPr="00364545" w:rsidRDefault="00B56301" w:rsidP="00B37B65">
            <w:pPr>
              <w:jc w:val="right"/>
              <w:rPr>
                <w:rFonts w:asciiTheme="minorHAnsi" w:hAnsiTheme="minorHAnsi"/>
                <w:sz w:val="16"/>
                <w:szCs w:val="16"/>
              </w:rPr>
            </w:pPr>
            <w:r w:rsidRPr="00364545">
              <w:rPr>
                <w:sz w:val="16"/>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41F98EB9" w14:textId="77777777" w:rsidR="00B56301" w:rsidRPr="00364545" w:rsidRDefault="00B56301" w:rsidP="00B37B65">
            <w:pPr>
              <w:jc w:val="right"/>
              <w:rPr>
                <w:rFonts w:asciiTheme="minorHAnsi" w:hAnsiTheme="minorHAnsi"/>
                <w:sz w:val="16"/>
                <w:szCs w:val="16"/>
              </w:rPr>
            </w:pPr>
            <w:r w:rsidRPr="00364545">
              <w:rPr>
                <w:sz w:val="16"/>
              </w:rPr>
              <w:t>0,16</w:t>
            </w:r>
          </w:p>
        </w:tc>
      </w:tr>
      <w:tr w:rsidR="00B56301" w:rsidRPr="00364545" w14:paraId="58306A0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9733967"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546E1436"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E0A35C2"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08BD1AAA"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9B48E4C"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EC3EFB1" w14:textId="77777777" w:rsidR="00B56301" w:rsidRPr="00364545" w:rsidRDefault="00B56301" w:rsidP="00B37B65">
            <w:pPr>
              <w:jc w:val="right"/>
              <w:rPr>
                <w:rFonts w:asciiTheme="minorHAnsi" w:hAnsiTheme="minorHAnsi"/>
                <w:sz w:val="16"/>
                <w:szCs w:val="16"/>
              </w:rPr>
            </w:pPr>
            <w:r w:rsidRPr="00364545">
              <w:rPr>
                <w:sz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3DCF63B2" w14:textId="77777777" w:rsidR="00B56301" w:rsidRPr="00364545" w:rsidRDefault="00B56301" w:rsidP="00B37B65">
            <w:pPr>
              <w:jc w:val="right"/>
              <w:rPr>
                <w:rFonts w:asciiTheme="minorHAnsi" w:hAnsiTheme="minorHAnsi"/>
                <w:sz w:val="16"/>
                <w:szCs w:val="16"/>
              </w:rPr>
            </w:pPr>
            <w:r w:rsidRPr="00364545">
              <w:rPr>
                <w:sz w:val="16"/>
              </w:rPr>
              <w:t>NE</w:t>
            </w:r>
          </w:p>
        </w:tc>
      </w:tr>
      <w:tr w:rsidR="00B56301" w:rsidRPr="00364545" w14:paraId="2D7AFAE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4603129" w14:textId="7688071B"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094AC89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FE0267"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AEF01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3CEDC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79F1D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3F67B9"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5ACF6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1F82976" w14:textId="2BB4E5CE"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085B80E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6C6952"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11350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2AFC0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61410EE"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ADA599F"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2CCBEC0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77F492"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3FEE4780"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39D7C3"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171AA6"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661EB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B5D044"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037C7E"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053F14FB"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noWrap/>
            <w:vAlign w:val="center"/>
            <w:hideMark/>
          </w:tcPr>
          <w:p w14:paraId="262AA4EE" w14:textId="0C7D6E48"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N</w:t>
            </w:r>
            <w:r w:rsidRPr="00364545">
              <w:rPr>
                <w:sz w:val="16"/>
                <w:vertAlign w:val="subscript"/>
              </w:rPr>
              <w:t>2</w:t>
            </w:r>
            <w:r w:rsidRPr="00364545">
              <w:rPr>
                <w:sz w:val="16"/>
              </w:rPr>
              <w:t xml:space="preserve">O </w:t>
            </w:r>
          </w:p>
        </w:tc>
        <w:tc>
          <w:tcPr>
            <w:tcW w:w="991" w:type="dxa"/>
            <w:tcBorders>
              <w:top w:val="nil"/>
              <w:left w:val="single" w:sz="4" w:space="0" w:color="auto"/>
              <w:bottom w:val="single" w:sz="4" w:space="0" w:color="auto"/>
              <w:right w:val="single" w:sz="4" w:space="0" w:color="auto"/>
            </w:tcBorders>
            <w:shd w:val="clear" w:color="000000" w:fill="FFFFFF"/>
            <w:noWrap/>
            <w:vAlign w:val="bottom"/>
            <w:hideMark/>
          </w:tcPr>
          <w:p w14:paraId="4D0616E0"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7DA87619"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2C79E69"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7F14E966"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04AE44A" w14:textId="77777777" w:rsidR="00B56301" w:rsidRPr="00364545" w:rsidRDefault="00B56301" w:rsidP="00B37B65">
            <w:pPr>
              <w:jc w:val="right"/>
              <w:rPr>
                <w:rFonts w:asciiTheme="minorHAnsi" w:hAnsiTheme="minorHAnsi"/>
                <w:sz w:val="16"/>
                <w:szCs w:val="16"/>
              </w:rPr>
            </w:pPr>
            <w:r w:rsidRPr="00364545">
              <w:rPr>
                <w:sz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424DD00" w14:textId="77777777" w:rsidR="00B56301" w:rsidRPr="00364545" w:rsidRDefault="00B56301" w:rsidP="00B37B65">
            <w:pPr>
              <w:jc w:val="right"/>
              <w:rPr>
                <w:rFonts w:asciiTheme="minorHAnsi" w:hAnsiTheme="minorHAnsi"/>
                <w:sz w:val="16"/>
                <w:szCs w:val="16"/>
              </w:rPr>
            </w:pPr>
            <w:r w:rsidRPr="00364545">
              <w:rPr>
                <w:sz w:val="16"/>
              </w:rPr>
              <w:t>NO,NE</w:t>
            </w:r>
          </w:p>
        </w:tc>
      </w:tr>
      <w:tr w:rsidR="00B56301" w:rsidRPr="00364545" w14:paraId="79086EEE"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0149BB3" w14:textId="2F718F08"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CO</w:t>
            </w:r>
            <w:r w:rsidRPr="00364545">
              <w:rPr>
                <w:sz w:val="16"/>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11A61CE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CAFEC4A"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089DF5"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9A0C05C"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70042BD" w14:textId="77777777" w:rsidR="00B56301" w:rsidRPr="00364545" w:rsidRDefault="00B56301" w:rsidP="00B37B65">
            <w:pPr>
              <w:jc w:val="right"/>
              <w:rPr>
                <w:rFonts w:asciiTheme="minorHAnsi" w:hAnsiTheme="minorHAnsi"/>
                <w:sz w:val="16"/>
                <w:szCs w:val="16"/>
              </w:rPr>
            </w:pPr>
            <w:r w:rsidRPr="00364545">
              <w:rPr>
                <w:sz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00D4B23" w14:textId="77777777" w:rsidR="00B56301" w:rsidRPr="00364545" w:rsidRDefault="00B56301" w:rsidP="00B37B65">
            <w:pPr>
              <w:jc w:val="right"/>
              <w:rPr>
                <w:rFonts w:asciiTheme="minorHAnsi" w:hAnsiTheme="minorHAnsi"/>
                <w:sz w:val="16"/>
                <w:szCs w:val="16"/>
              </w:rPr>
            </w:pPr>
            <w:r w:rsidRPr="00364545">
              <w:rPr>
                <w:sz w:val="16"/>
              </w:rPr>
              <w:t> </w:t>
            </w:r>
          </w:p>
        </w:tc>
      </w:tr>
    </w:tbl>
    <w:p w14:paraId="53948BE8" w14:textId="77777777" w:rsidR="00B56301" w:rsidRPr="00364545" w:rsidRDefault="00B56301" w:rsidP="00B56301">
      <w:pPr>
        <w:spacing w:line="240" w:lineRule="atLeast"/>
        <w:jc w:val="left"/>
        <w:rPr>
          <w:rFonts w:cs="Arial"/>
        </w:rPr>
      </w:pPr>
      <w:r w:rsidRPr="00364545">
        <w:br w:type="page"/>
      </w:r>
    </w:p>
    <w:tbl>
      <w:tblPr>
        <w:tblW w:w="7535" w:type="dxa"/>
        <w:jc w:val="center"/>
        <w:tblLayout w:type="fixed"/>
        <w:tblCellMar>
          <w:left w:w="70" w:type="dxa"/>
          <w:right w:w="70" w:type="dxa"/>
        </w:tblCellMar>
        <w:tblLook w:val="04A0" w:firstRow="1" w:lastRow="0" w:firstColumn="1" w:lastColumn="0" w:noHBand="0" w:noVBand="1"/>
      </w:tblPr>
      <w:tblGrid>
        <w:gridCol w:w="3802"/>
        <w:gridCol w:w="993"/>
        <w:gridCol w:w="993"/>
        <w:gridCol w:w="1747"/>
      </w:tblGrid>
      <w:tr w:rsidR="00B56301" w:rsidRPr="00364545" w14:paraId="6B8B73E0" w14:textId="77777777" w:rsidTr="0034391E">
        <w:trPr>
          <w:trHeight w:val="68"/>
          <w:jc w:val="center"/>
        </w:trPr>
        <w:tc>
          <w:tcPr>
            <w:tcW w:w="3802"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0ECF6062" w14:textId="77777777" w:rsidR="00B56301" w:rsidRPr="00364545" w:rsidRDefault="00B56301" w:rsidP="00B37B65">
            <w:pPr>
              <w:jc w:val="center"/>
              <w:rPr>
                <w:rFonts w:asciiTheme="minorHAnsi" w:hAnsiTheme="minorHAnsi"/>
                <w:b/>
                <w:bCs/>
                <w:sz w:val="16"/>
                <w:szCs w:val="16"/>
              </w:rPr>
            </w:pPr>
            <w:r w:rsidRPr="00364545">
              <w:rPr>
                <w:rFonts w:asciiTheme="minorHAnsi" w:hAnsiTheme="minorHAnsi"/>
                <w:b/>
                <w:sz w:val="16"/>
              </w:rPr>
              <w:t>GREENHOUSE GAS SOURCE AND SINK CATEGORIES</w:t>
            </w:r>
          </w:p>
        </w:tc>
        <w:tc>
          <w:tcPr>
            <w:tcW w:w="99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4B13A89" w14:textId="77777777" w:rsidR="00B56301" w:rsidRPr="00364545" w:rsidRDefault="00B56301" w:rsidP="00B37B65">
            <w:pPr>
              <w:jc w:val="center"/>
              <w:rPr>
                <w:rFonts w:asciiTheme="minorHAnsi" w:hAnsiTheme="minorHAnsi"/>
                <w:b/>
                <w:bCs/>
                <w:sz w:val="16"/>
                <w:szCs w:val="16"/>
              </w:rPr>
            </w:pPr>
            <w:r w:rsidRPr="00364545">
              <w:rPr>
                <w:b/>
                <w:sz w:val="16"/>
              </w:rPr>
              <w:t>2019</w:t>
            </w:r>
          </w:p>
        </w:tc>
        <w:tc>
          <w:tcPr>
            <w:tcW w:w="993" w:type="dxa"/>
            <w:tcBorders>
              <w:top w:val="single" w:sz="4" w:space="0" w:color="auto"/>
              <w:left w:val="nil"/>
              <w:bottom w:val="single" w:sz="4" w:space="0" w:color="auto"/>
              <w:right w:val="single" w:sz="4" w:space="0" w:color="auto"/>
            </w:tcBorders>
            <w:shd w:val="clear" w:color="000000" w:fill="CCFFFF"/>
            <w:noWrap/>
            <w:vAlign w:val="center"/>
            <w:hideMark/>
          </w:tcPr>
          <w:p w14:paraId="5E1F76AE" w14:textId="77777777" w:rsidR="00B56301" w:rsidRPr="00364545" w:rsidRDefault="00B56301" w:rsidP="00B37B65">
            <w:pPr>
              <w:jc w:val="center"/>
              <w:rPr>
                <w:rFonts w:asciiTheme="minorHAnsi" w:hAnsiTheme="minorHAnsi"/>
                <w:b/>
                <w:bCs/>
                <w:sz w:val="16"/>
                <w:szCs w:val="16"/>
              </w:rPr>
            </w:pPr>
            <w:r w:rsidRPr="00364545">
              <w:rPr>
                <w:b/>
                <w:sz w:val="16"/>
              </w:rPr>
              <w:t>2020</w:t>
            </w:r>
          </w:p>
        </w:tc>
        <w:tc>
          <w:tcPr>
            <w:tcW w:w="1747" w:type="dxa"/>
            <w:tcBorders>
              <w:top w:val="single" w:sz="4" w:space="0" w:color="auto"/>
              <w:left w:val="nil"/>
              <w:bottom w:val="single" w:sz="4" w:space="0" w:color="auto"/>
              <w:right w:val="single" w:sz="4" w:space="0" w:color="auto"/>
            </w:tcBorders>
            <w:shd w:val="clear" w:color="000000" w:fill="CCFFFF"/>
            <w:noWrap/>
            <w:vAlign w:val="center"/>
            <w:hideMark/>
          </w:tcPr>
          <w:p w14:paraId="7818D40A" w14:textId="77777777" w:rsidR="00B56301" w:rsidRPr="00364545" w:rsidRDefault="00B56301" w:rsidP="00B37B65">
            <w:pPr>
              <w:jc w:val="center"/>
              <w:rPr>
                <w:rFonts w:asciiTheme="minorHAnsi" w:hAnsiTheme="minorHAnsi"/>
                <w:b/>
                <w:bCs/>
                <w:sz w:val="16"/>
                <w:szCs w:val="16"/>
              </w:rPr>
            </w:pPr>
            <w:r w:rsidRPr="00364545">
              <w:rPr>
                <w:b/>
                <w:sz w:val="16"/>
              </w:rPr>
              <w:t>Change from base to latest reported year (%)</w:t>
            </w:r>
          </w:p>
        </w:tc>
      </w:tr>
      <w:tr w:rsidR="00B56301" w:rsidRPr="00364545" w14:paraId="27427DFE"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FE9361C"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1. Energy</w:t>
            </w:r>
          </w:p>
        </w:tc>
        <w:tc>
          <w:tcPr>
            <w:tcW w:w="993"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0CDB301" w14:textId="77777777" w:rsidR="00B56301" w:rsidRPr="00364545" w:rsidRDefault="00B56301" w:rsidP="00B37B65">
            <w:pPr>
              <w:jc w:val="right"/>
              <w:rPr>
                <w:rFonts w:asciiTheme="minorHAnsi" w:hAnsiTheme="minorHAnsi"/>
                <w:sz w:val="16"/>
                <w:szCs w:val="16"/>
              </w:rPr>
            </w:pPr>
            <w:r w:rsidRPr="00364545">
              <w:rPr>
                <w:sz w:val="16"/>
              </w:rPr>
              <w:t>11,87</w:t>
            </w:r>
          </w:p>
        </w:tc>
        <w:tc>
          <w:tcPr>
            <w:tcW w:w="993" w:type="dxa"/>
            <w:tcBorders>
              <w:top w:val="single" w:sz="4" w:space="0" w:color="auto"/>
              <w:left w:val="nil"/>
              <w:bottom w:val="single" w:sz="4" w:space="0" w:color="auto"/>
              <w:right w:val="single" w:sz="4" w:space="0" w:color="auto"/>
            </w:tcBorders>
            <w:shd w:val="clear" w:color="000000" w:fill="CCFFFF"/>
            <w:noWrap/>
            <w:vAlign w:val="bottom"/>
            <w:hideMark/>
          </w:tcPr>
          <w:p w14:paraId="3E58F73E" w14:textId="77777777" w:rsidR="00B56301" w:rsidRPr="00364545" w:rsidRDefault="00B56301" w:rsidP="00B37B65">
            <w:pPr>
              <w:jc w:val="right"/>
              <w:rPr>
                <w:rFonts w:asciiTheme="minorHAnsi" w:hAnsiTheme="minorHAnsi"/>
                <w:sz w:val="16"/>
                <w:szCs w:val="16"/>
              </w:rPr>
            </w:pPr>
            <w:r w:rsidRPr="00364545">
              <w:rPr>
                <w:sz w:val="16"/>
              </w:rPr>
              <w:t>11,51</w:t>
            </w:r>
          </w:p>
        </w:tc>
        <w:tc>
          <w:tcPr>
            <w:tcW w:w="1747" w:type="dxa"/>
            <w:tcBorders>
              <w:top w:val="single" w:sz="4" w:space="0" w:color="auto"/>
              <w:left w:val="nil"/>
              <w:bottom w:val="single" w:sz="4" w:space="0" w:color="auto"/>
              <w:right w:val="single" w:sz="4" w:space="0" w:color="auto"/>
            </w:tcBorders>
            <w:shd w:val="clear" w:color="000000" w:fill="CCFFFF"/>
            <w:noWrap/>
            <w:vAlign w:val="bottom"/>
            <w:hideMark/>
          </w:tcPr>
          <w:p w14:paraId="7611E31B" w14:textId="77777777" w:rsidR="00B56301" w:rsidRPr="00364545" w:rsidRDefault="00B56301" w:rsidP="00B37B65">
            <w:pPr>
              <w:jc w:val="right"/>
              <w:rPr>
                <w:rFonts w:asciiTheme="minorHAnsi" w:hAnsiTheme="minorHAnsi"/>
                <w:sz w:val="16"/>
                <w:szCs w:val="16"/>
              </w:rPr>
            </w:pPr>
            <w:r w:rsidRPr="00364545">
              <w:rPr>
                <w:sz w:val="16"/>
              </w:rPr>
              <w:t>-0,07</w:t>
            </w:r>
          </w:p>
        </w:tc>
      </w:tr>
      <w:tr w:rsidR="00B56301" w:rsidRPr="00364545" w14:paraId="6A6BF00C" w14:textId="77777777" w:rsidTr="0034391E">
        <w:trPr>
          <w:trHeight w:val="68"/>
          <w:jc w:val="center"/>
        </w:trPr>
        <w:tc>
          <w:tcPr>
            <w:tcW w:w="38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CE8446D"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Fuel combustion (sectoral approach)</w:t>
            </w:r>
          </w:p>
        </w:tc>
        <w:tc>
          <w:tcPr>
            <w:tcW w:w="993" w:type="dxa"/>
            <w:tcBorders>
              <w:top w:val="nil"/>
              <w:left w:val="nil"/>
              <w:bottom w:val="single" w:sz="4" w:space="0" w:color="auto"/>
              <w:right w:val="single" w:sz="4" w:space="0" w:color="auto"/>
            </w:tcBorders>
            <w:shd w:val="clear" w:color="000000" w:fill="CCFFFF"/>
            <w:noWrap/>
            <w:vAlign w:val="bottom"/>
            <w:hideMark/>
          </w:tcPr>
          <w:p w14:paraId="3595EA8E" w14:textId="77777777" w:rsidR="00B56301" w:rsidRPr="00364545" w:rsidRDefault="00B56301" w:rsidP="00B37B65">
            <w:pPr>
              <w:jc w:val="right"/>
              <w:rPr>
                <w:rFonts w:asciiTheme="minorHAnsi" w:hAnsiTheme="minorHAnsi"/>
                <w:sz w:val="16"/>
                <w:szCs w:val="16"/>
              </w:rPr>
            </w:pPr>
            <w:r w:rsidRPr="00364545">
              <w:rPr>
                <w:sz w:val="16"/>
              </w:rPr>
              <w:t>11,83</w:t>
            </w:r>
          </w:p>
        </w:tc>
        <w:tc>
          <w:tcPr>
            <w:tcW w:w="993" w:type="dxa"/>
            <w:tcBorders>
              <w:top w:val="nil"/>
              <w:left w:val="nil"/>
              <w:bottom w:val="single" w:sz="4" w:space="0" w:color="auto"/>
              <w:right w:val="single" w:sz="4" w:space="0" w:color="auto"/>
            </w:tcBorders>
            <w:shd w:val="clear" w:color="000000" w:fill="CCFFFF"/>
            <w:noWrap/>
            <w:vAlign w:val="bottom"/>
            <w:hideMark/>
          </w:tcPr>
          <w:p w14:paraId="53542513" w14:textId="77777777" w:rsidR="00B56301" w:rsidRPr="00364545" w:rsidRDefault="00B56301" w:rsidP="00B37B65">
            <w:pPr>
              <w:jc w:val="right"/>
              <w:rPr>
                <w:rFonts w:asciiTheme="minorHAnsi" w:hAnsiTheme="minorHAnsi"/>
                <w:sz w:val="16"/>
                <w:szCs w:val="16"/>
              </w:rPr>
            </w:pPr>
            <w:r w:rsidRPr="00364545">
              <w:rPr>
                <w:sz w:val="16"/>
              </w:rPr>
              <w:t>11,00</w:t>
            </w:r>
          </w:p>
        </w:tc>
        <w:tc>
          <w:tcPr>
            <w:tcW w:w="1747" w:type="dxa"/>
            <w:tcBorders>
              <w:top w:val="nil"/>
              <w:left w:val="nil"/>
              <w:bottom w:val="single" w:sz="4" w:space="0" w:color="auto"/>
              <w:right w:val="single" w:sz="4" w:space="0" w:color="auto"/>
            </w:tcBorders>
            <w:shd w:val="clear" w:color="000000" w:fill="CCFFFF"/>
            <w:noWrap/>
            <w:vAlign w:val="bottom"/>
            <w:hideMark/>
          </w:tcPr>
          <w:p w14:paraId="5E1F1B6C" w14:textId="77777777" w:rsidR="00B56301" w:rsidRPr="00364545" w:rsidRDefault="00B56301" w:rsidP="00B37B65">
            <w:pPr>
              <w:jc w:val="right"/>
              <w:rPr>
                <w:rFonts w:asciiTheme="minorHAnsi" w:hAnsiTheme="minorHAnsi"/>
                <w:sz w:val="16"/>
                <w:szCs w:val="16"/>
              </w:rPr>
            </w:pPr>
            <w:r w:rsidRPr="00364545">
              <w:rPr>
                <w:sz w:val="16"/>
              </w:rPr>
              <w:t>-3,73</w:t>
            </w:r>
          </w:p>
        </w:tc>
      </w:tr>
      <w:tr w:rsidR="00B56301" w:rsidRPr="00364545" w14:paraId="459E94A8"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9E4F931" w14:textId="51367C19"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Energy industries</w:t>
            </w:r>
          </w:p>
        </w:tc>
        <w:tc>
          <w:tcPr>
            <w:tcW w:w="993" w:type="dxa"/>
            <w:tcBorders>
              <w:top w:val="nil"/>
              <w:left w:val="nil"/>
              <w:bottom w:val="single" w:sz="4" w:space="0" w:color="auto"/>
              <w:right w:val="single" w:sz="4" w:space="0" w:color="auto"/>
            </w:tcBorders>
            <w:shd w:val="clear" w:color="000000" w:fill="FFFFFF"/>
            <w:noWrap/>
            <w:vAlign w:val="bottom"/>
            <w:hideMark/>
          </w:tcPr>
          <w:p w14:paraId="703897CD" w14:textId="77777777" w:rsidR="00B56301" w:rsidRPr="00364545" w:rsidRDefault="00B56301" w:rsidP="00B37B65">
            <w:pPr>
              <w:jc w:val="right"/>
              <w:rPr>
                <w:rFonts w:asciiTheme="minorHAnsi" w:hAnsiTheme="minorHAnsi"/>
                <w:sz w:val="16"/>
                <w:szCs w:val="16"/>
              </w:rPr>
            </w:pPr>
            <w:r w:rsidRPr="00364545">
              <w:rPr>
                <w:sz w:val="16"/>
              </w:rPr>
              <w:t>0,91</w:t>
            </w:r>
          </w:p>
        </w:tc>
        <w:tc>
          <w:tcPr>
            <w:tcW w:w="993" w:type="dxa"/>
            <w:tcBorders>
              <w:top w:val="nil"/>
              <w:left w:val="nil"/>
              <w:bottom w:val="single" w:sz="4" w:space="0" w:color="auto"/>
              <w:right w:val="single" w:sz="4" w:space="0" w:color="auto"/>
            </w:tcBorders>
            <w:shd w:val="clear" w:color="000000" w:fill="FFFFFF"/>
            <w:noWrap/>
            <w:vAlign w:val="bottom"/>
            <w:hideMark/>
          </w:tcPr>
          <w:p w14:paraId="46248CDB" w14:textId="77777777" w:rsidR="00B56301" w:rsidRPr="00364545" w:rsidRDefault="00B56301" w:rsidP="00B37B65">
            <w:pPr>
              <w:jc w:val="right"/>
              <w:rPr>
                <w:rFonts w:asciiTheme="minorHAnsi" w:hAnsiTheme="minorHAnsi"/>
                <w:sz w:val="16"/>
                <w:szCs w:val="16"/>
              </w:rPr>
            </w:pPr>
            <w:r w:rsidRPr="00364545">
              <w:rPr>
                <w:sz w:val="16"/>
              </w:rPr>
              <w:t>0,83</w:t>
            </w:r>
          </w:p>
        </w:tc>
        <w:tc>
          <w:tcPr>
            <w:tcW w:w="1747" w:type="dxa"/>
            <w:tcBorders>
              <w:top w:val="nil"/>
              <w:left w:val="nil"/>
              <w:bottom w:val="single" w:sz="4" w:space="0" w:color="auto"/>
              <w:right w:val="single" w:sz="4" w:space="0" w:color="auto"/>
            </w:tcBorders>
            <w:shd w:val="clear" w:color="000000" w:fill="FFFFFF"/>
            <w:noWrap/>
            <w:vAlign w:val="bottom"/>
            <w:hideMark/>
          </w:tcPr>
          <w:p w14:paraId="033C914B" w14:textId="77777777" w:rsidR="00B56301" w:rsidRPr="00364545" w:rsidRDefault="00B56301" w:rsidP="00B37B65">
            <w:pPr>
              <w:jc w:val="right"/>
              <w:rPr>
                <w:rFonts w:asciiTheme="minorHAnsi" w:hAnsiTheme="minorHAnsi"/>
                <w:sz w:val="16"/>
                <w:szCs w:val="16"/>
              </w:rPr>
            </w:pPr>
            <w:r w:rsidRPr="00364545">
              <w:rPr>
                <w:sz w:val="16"/>
              </w:rPr>
              <w:t>-44,60</w:t>
            </w:r>
          </w:p>
        </w:tc>
      </w:tr>
      <w:tr w:rsidR="00B56301" w:rsidRPr="00364545" w14:paraId="243ACDBD"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FB9C387" w14:textId="3243AB84"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Manufacturing industries and construction</w:t>
            </w:r>
          </w:p>
        </w:tc>
        <w:tc>
          <w:tcPr>
            <w:tcW w:w="993" w:type="dxa"/>
            <w:tcBorders>
              <w:top w:val="nil"/>
              <w:left w:val="nil"/>
              <w:bottom w:val="single" w:sz="4" w:space="0" w:color="auto"/>
              <w:right w:val="single" w:sz="4" w:space="0" w:color="auto"/>
            </w:tcBorders>
            <w:shd w:val="clear" w:color="000000" w:fill="FFFFFF"/>
            <w:noWrap/>
            <w:vAlign w:val="bottom"/>
            <w:hideMark/>
          </w:tcPr>
          <w:p w14:paraId="448F025C" w14:textId="77777777" w:rsidR="00B56301" w:rsidRPr="00364545" w:rsidRDefault="00B56301" w:rsidP="00B37B65">
            <w:pPr>
              <w:jc w:val="right"/>
              <w:rPr>
                <w:rFonts w:asciiTheme="minorHAnsi" w:hAnsiTheme="minorHAnsi"/>
                <w:sz w:val="16"/>
                <w:szCs w:val="16"/>
              </w:rPr>
            </w:pPr>
            <w:r w:rsidRPr="00364545">
              <w:rPr>
                <w:sz w:val="16"/>
              </w:rPr>
              <w:t>1,75</w:t>
            </w:r>
          </w:p>
        </w:tc>
        <w:tc>
          <w:tcPr>
            <w:tcW w:w="993" w:type="dxa"/>
            <w:tcBorders>
              <w:top w:val="nil"/>
              <w:left w:val="nil"/>
              <w:bottom w:val="single" w:sz="4" w:space="0" w:color="auto"/>
              <w:right w:val="single" w:sz="4" w:space="0" w:color="auto"/>
            </w:tcBorders>
            <w:shd w:val="clear" w:color="000000" w:fill="FFFFFF"/>
            <w:noWrap/>
            <w:vAlign w:val="bottom"/>
            <w:hideMark/>
          </w:tcPr>
          <w:p w14:paraId="3D5A680D" w14:textId="77777777" w:rsidR="00B56301" w:rsidRPr="00364545" w:rsidRDefault="00B56301" w:rsidP="00B37B65">
            <w:pPr>
              <w:jc w:val="right"/>
              <w:rPr>
                <w:rFonts w:asciiTheme="minorHAnsi" w:hAnsiTheme="minorHAnsi"/>
                <w:sz w:val="16"/>
                <w:szCs w:val="16"/>
              </w:rPr>
            </w:pPr>
            <w:r w:rsidRPr="00364545">
              <w:rPr>
                <w:sz w:val="16"/>
              </w:rPr>
              <w:t>1,69</w:t>
            </w:r>
          </w:p>
        </w:tc>
        <w:tc>
          <w:tcPr>
            <w:tcW w:w="1747" w:type="dxa"/>
            <w:tcBorders>
              <w:top w:val="nil"/>
              <w:left w:val="nil"/>
              <w:bottom w:val="single" w:sz="4" w:space="0" w:color="auto"/>
              <w:right w:val="single" w:sz="4" w:space="0" w:color="auto"/>
            </w:tcBorders>
            <w:shd w:val="clear" w:color="000000" w:fill="FFFFFF"/>
            <w:noWrap/>
            <w:vAlign w:val="bottom"/>
            <w:hideMark/>
          </w:tcPr>
          <w:p w14:paraId="50569263" w14:textId="77777777" w:rsidR="00B56301" w:rsidRPr="00364545" w:rsidRDefault="00B56301" w:rsidP="00B37B65">
            <w:pPr>
              <w:jc w:val="right"/>
              <w:rPr>
                <w:rFonts w:asciiTheme="minorHAnsi" w:hAnsiTheme="minorHAnsi"/>
                <w:sz w:val="16"/>
                <w:szCs w:val="16"/>
              </w:rPr>
            </w:pPr>
            <w:r w:rsidRPr="00364545">
              <w:rPr>
                <w:sz w:val="16"/>
              </w:rPr>
              <w:t>5,27</w:t>
            </w:r>
          </w:p>
        </w:tc>
      </w:tr>
      <w:tr w:rsidR="00B56301" w:rsidRPr="00364545" w14:paraId="48B92FB8"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EF3831B" w14:textId="6917B806"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3. Transport</w:t>
            </w:r>
          </w:p>
        </w:tc>
        <w:tc>
          <w:tcPr>
            <w:tcW w:w="993" w:type="dxa"/>
            <w:tcBorders>
              <w:top w:val="nil"/>
              <w:left w:val="nil"/>
              <w:bottom w:val="single" w:sz="4" w:space="0" w:color="auto"/>
              <w:right w:val="single" w:sz="4" w:space="0" w:color="auto"/>
            </w:tcBorders>
            <w:shd w:val="clear" w:color="000000" w:fill="FFFFFF"/>
            <w:noWrap/>
            <w:vAlign w:val="bottom"/>
            <w:hideMark/>
          </w:tcPr>
          <w:p w14:paraId="5EF98C88" w14:textId="77777777" w:rsidR="00B56301" w:rsidRPr="00364545" w:rsidRDefault="00B56301" w:rsidP="00B37B65">
            <w:pPr>
              <w:jc w:val="right"/>
              <w:rPr>
                <w:rFonts w:asciiTheme="minorHAnsi" w:hAnsiTheme="minorHAnsi"/>
                <w:sz w:val="16"/>
                <w:szCs w:val="16"/>
              </w:rPr>
            </w:pPr>
            <w:r w:rsidRPr="00364545">
              <w:rPr>
                <w:sz w:val="16"/>
              </w:rPr>
              <w:t>4,63</w:t>
            </w:r>
          </w:p>
        </w:tc>
        <w:tc>
          <w:tcPr>
            <w:tcW w:w="993" w:type="dxa"/>
            <w:tcBorders>
              <w:top w:val="nil"/>
              <w:left w:val="nil"/>
              <w:bottom w:val="single" w:sz="4" w:space="0" w:color="auto"/>
              <w:right w:val="single" w:sz="4" w:space="0" w:color="auto"/>
            </w:tcBorders>
            <w:shd w:val="clear" w:color="000000" w:fill="FFFFFF"/>
            <w:noWrap/>
            <w:vAlign w:val="bottom"/>
            <w:hideMark/>
          </w:tcPr>
          <w:p w14:paraId="269122A3" w14:textId="77777777" w:rsidR="00B56301" w:rsidRPr="00364545" w:rsidRDefault="00B56301" w:rsidP="00B37B65">
            <w:pPr>
              <w:jc w:val="right"/>
              <w:rPr>
                <w:rFonts w:asciiTheme="minorHAnsi" w:hAnsiTheme="minorHAnsi"/>
                <w:sz w:val="16"/>
                <w:szCs w:val="16"/>
              </w:rPr>
            </w:pPr>
            <w:r w:rsidRPr="00364545">
              <w:rPr>
                <w:sz w:val="16"/>
              </w:rPr>
              <w:t>3,85</w:t>
            </w:r>
          </w:p>
        </w:tc>
        <w:tc>
          <w:tcPr>
            <w:tcW w:w="1747" w:type="dxa"/>
            <w:tcBorders>
              <w:top w:val="nil"/>
              <w:left w:val="nil"/>
              <w:bottom w:val="single" w:sz="4" w:space="0" w:color="auto"/>
              <w:right w:val="single" w:sz="4" w:space="0" w:color="auto"/>
            </w:tcBorders>
            <w:shd w:val="clear" w:color="000000" w:fill="FFFFFF"/>
            <w:noWrap/>
            <w:vAlign w:val="bottom"/>
            <w:hideMark/>
          </w:tcPr>
          <w:p w14:paraId="28EA89E7" w14:textId="77777777" w:rsidR="00B56301" w:rsidRPr="00364545" w:rsidRDefault="00B56301" w:rsidP="00B37B65">
            <w:pPr>
              <w:jc w:val="right"/>
              <w:rPr>
                <w:rFonts w:asciiTheme="minorHAnsi" w:hAnsiTheme="minorHAnsi"/>
                <w:sz w:val="16"/>
                <w:szCs w:val="16"/>
              </w:rPr>
            </w:pPr>
            <w:r w:rsidRPr="00364545">
              <w:rPr>
                <w:sz w:val="16"/>
              </w:rPr>
              <w:t>17,60</w:t>
            </w:r>
          </w:p>
        </w:tc>
      </w:tr>
      <w:tr w:rsidR="00B56301" w:rsidRPr="00364545" w14:paraId="11D232E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36886A8" w14:textId="4DFBAC8C"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4. Other sectors</w:t>
            </w:r>
          </w:p>
        </w:tc>
        <w:tc>
          <w:tcPr>
            <w:tcW w:w="993" w:type="dxa"/>
            <w:tcBorders>
              <w:top w:val="nil"/>
              <w:left w:val="nil"/>
              <w:bottom w:val="single" w:sz="4" w:space="0" w:color="auto"/>
              <w:right w:val="single" w:sz="4" w:space="0" w:color="auto"/>
            </w:tcBorders>
            <w:shd w:val="clear" w:color="000000" w:fill="FFFFFF"/>
            <w:noWrap/>
            <w:vAlign w:val="bottom"/>
            <w:hideMark/>
          </w:tcPr>
          <w:p w14:paraId="5C028238" w14:textId="77777777" w:rsidR="00B56301" w:rsidRPr="00364545" w:rsidRDefault="00B56301" w:rsidP="00B37B65">
            <w:pPr>
              <w:jc w:val="right"/>
              <w:rPr>
                <w:rFonts w:asciiTheme="minorHAnsi" w:hAnsiTheme="minorHAnsi"/>
                <w:sz w:val="16"/>
                <w:szCs w:val="16"/>
              </w:rPr>
            </w:pPr>
            <w:r w:rsidRPr="00364545">
              <w:rPr>
                <w:sz w:val="16"/>
              </w:rPr>
              <w:t>4,51</w:t>
            </w:r>
          </w:p>
        </w:tc>
        <w:tc>
          <w:tcPr>
            <w:tcW w:w="993" w:type="dxa"/>
            <w:tcBorders>
              <w:top w:val="nil"/>
              <w:left w:val="nil"/>
              <w:bottom w:val="single" w:sz="4" w:space="0" w:color="auto"/>
              <w:right w:val="single" w:sz="4" w:space="0" w:color="auto"/>
            </w:tcBorders>
            <w:shd w:val="clear" w:color="000000" w:fill="FFFFFF"/>
            <w:noWrap/>
            <w:vAlign w:val="bottom"/>
            <w:hideMark/>
          </w:tcPr>
          <w:p w14:paraId="674A781B" w14:textId="77777777" w:rsidR="00B56301" w:rsidRPr="00364545" w:rsidRDefault="00B56301" w:rsidP="00B37B65">
            <w:pPr>
              <w:jc w:val="right"/>
              <w:rPr>
                <w:rFonts w:asciiTheme="minorHAnsi" w:hAnsiTheme="minorHAnsi"/>
                <w:sz w:val="16"/>
                <w:szCs w:val="16"/>
              </w:rPr>
            </w:pPr>
            <w:r w:rsidRPr="00364545">
              <w:rPr>
                <w:sz w:val="16"/>
              </w:rPr>
              <w:t>4,61</w:t>
            </w:r>
          </w:p>
        </w:tc>
        <w:tc>
          <w:tcPr>
            <w:tcW w:w="1747" w:type="dxa"/>
            <w:tcBorders>
              <w:top w:val="nil"/>
              <w:left w:val="nil"/>
              <w:bottom w:val="single" w:sz="4" w:space="0" w:color="auto"/>
              <w:right w:val="single" w:sz="4" w:space="0" w:color="auto"/>
            </w:tcBorders>
            <w:shd w:val="clear" w:color="000000" w:fill="FFFFFF"/>
            <w:noWrap/>
            <w:vAlign w:val="bottom"/>
            <w:hideMark/>
          </w:tcPr>
          <w:p w14:paraId="2EEE94E0" w14:textId="77777777" w:rsidR="00B56301" w:rsidRPr="00364545" w:rsidRDefault="00B56301" w:rsidP="00B37B65">
            <w:pPr>
              <w:jc w:val="right"/>
              <w:rPr>
                <w:rFonts w:asciiTheme="minorHAnsi" w:hAnsiTheme="minorHAnsi"/>
                <w:sz w:val="16"/>
                <w:szCs w:val="16"/>
              </w:rPr>
            </w:pPr>
            <w:r w:rsidRPr="00364545">
              <w:rPr>
                <w:sz w:val="16"/>
              </w:rPr>
              <w:t>-6,60</w:t>
            </w:r>
          </w:p>
        </w:tc>
      </w:tr>
      <w:tr w:rsidR="00B56301" w:rsidRPr="00364545" w14:paraId="2192DD57"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7F6FC51" w14:textId="4B17660D"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5. Other</w:t>
            </w:r>
          </w:p>
        </w:tc>
        <w:tc>
          <w:tcPr>
            <w:tcW w:w="993" w:type="dxa"/>
            <w:tcBorders>
              <w:top w:val="nil"/>
              <w:left w:val="nil"/>
              <w:bottom w:val="single" w:sz="4" w:space="0" w:color="auto"/>
              <w:right w:val="single" w:sz="4" w:space="0" w:color="auto"/>
            </w:tcBorders>
            <w:shd w:val="clear" w:color="000000" w:fill="FFFFFF"/>
            <w:noWrap/>
            <w:vAlign w:val="bottom"/>
            <w:hideMark/>
          </w:tcPr>
          <w:p w14:paraId="693A7EB3" w14:textId="77777777" w:rsidR="00B56301" w:rsidRPr="00364545" w:rsidRDefault="00B56301" w:rsidP="00B37B65">
            <w:pPr>
              <w:jc w:val="right"/>
              <w:rPr>
                <w:rFonts w:asciiTheme="minorHAnsi" w:hAnsiTheme="minorHAnsi"/>
                <w:sz w:val="16"/>
                <w:szCs w:val="16"/>
              </w:rPr>
            </w:pPr>
            <w:r w:rsidRPr="00364545">
              <w:rPr>
                <w:sz w:val="16"/>
              </w:rPr>
              <w:t>0,03</w:t>
            </w:r>
          </w:p>
        </w:tc>
        <w:tc>
          <w:tcPr>
            <w:tcW w:w="993" w:type="dxa"/>
            <w:tcBorders>
              <w:top w:val="nil"/>
              <w:left w:val="nil"/>
              <w:bottom w:val="single" w:sz="4" w:space="0" w:color="auto"/>
              <w:right w:val="single" w:sz="4" w:space="0" w:color="auto"/>
            </w:tcBorders>
            <w:shd w:val="clear" w:color="000000" w:fill="FFFFFF"/>
            <w:noWrap/>
            <w:vAlign w:val="bottom"/>
            <w:hideMark/>
          </w:tcPr>
          <w:p w14:paraId="041B799D" w14:textId="77777777" w:rsidR="00B56301" w:rsidRPr="00364545" w:rsidRDefault="00B56301" w:rsidP="00B37B65">
            <w:pPr>
              <w:jc w:val="right"/>
              <w:rPr>
                <w:rFonts w:asciiTheme="minorHAnsi" w:hAnsiTheme="minorHAnsi"/>
                <w:sz w:val="16"/>
                <w:szCs w:val="16"/>
              </w:rPr>
            </w:pPr>
            <w:r w:rsidRPr="00364545">
              <w:rPr>
                <w:sz w:val="16"/>
              </w:rPr>
              <w:t>0,03</w:t>
            </w:r>
          </w:p>
        </w:tc>
        <w:tc>
          <w:tcPr>
            <w:tcW w:w="1747" w:type="dxa"/>
            <w:tcBorders>
              <w:top w:val="nil"/>
              <w:left w:val="nil"/>
              <w:bottom w:val="single" w:sz="4" w:space="0" w:color="auto"/>
              <w:right w:val="single" w:sz="4" w:space="0" w:color="auto"/>
            </w:tcBorders>
            <w:shd w:val="clear" w:color="000000" w:fill="FFFFFF"/>
            <w:noWrap/>
            <w:vAlign w:val="bottom"/>
            <w:hideMark/>
          </w:tcPr>
          <w:p w14:paraId="2D1534AF" w14:textId="77777777" w:rsidR="00B56301" w:rsidRPr="00364545" w:rsidRDefault="00B56301" w:rsidP="00B37B65">
            <w:pPr>
              <w:jc w:val="right"/>
              <w:rPr>
                <w:rFonts w:asciiTheme="minorHAnsi" w:hAnsiTheme="minorHAnsi"/>
                <w:sz w:val="16"/>
                <w:szCs w:val="16"/>
              </w:rPr>
            </w:pPr>
            <w:r w:rsidRPr="00364545">
              <w:rPr>
                <w:sz w:val="16"/>
              </w:rPr>
              <w:t>-76,89</w:t>
            </w:r>
          </w:p>
        </w:tc>
      </w:tr>
      <w:tr w:rsidR="00B56301" w:rsidRPr="00364545" w14:paraId="0925E6B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A421C30" w14:textId="7777777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Fugitive emissions from fuels</w:t>
            </w:r>
          </w:p>
        </w:tc>
        <w:tc>
          <w:tcPr>
            <w:tcW w:w="993" w:type="dxa"/>
            <w:tcBorders>
              <w:top w:val="nil"/>
              <w:left w:val="nil"/>
              <w:bottom w:val="single" w:sz="4" w:space="0" w:color="auto"/>
              <w:right w:val="single" w:sz="4" w:space="0" w:color="auto"/>
            </w:tcBorders>
            <w:shd w:val="clear" w:color="000000" w:fill="CCFFFF"/>
            <w:noWrap/>
            <w:vAlign w:val="bottom"/>
            <w:hideMark/>
          </w:tcPr>
          <w:p w14:paraId="75401F26" w14:textId="77777777" w:rsidR="00B56301" w:rsidRPr="00364545" w:rsidRDefault="00B56301" w:rsidP="00B37B65">
            <w:pPr>
              <w:jc w:val="right"/>
              <w:rPr>
                <w:rFonts w:asciiTheme="minorHAnsi" w:hAnsiTheme="minorHAnsi"/>
                <w:sz w:val="16"/>
                <w:szCs w:val="16"/>
              </w:rPr>
            </w:pPr>
            <w:r w:rsidRPr="00364545">
              <w:rPr>
                <w:sz w:val="16"/>
              </w:rPr>
              <w:t>0,04</w:t>
            </w:r>
          </w:p>
        </w:tc>
        <w:tc>
          <w:tcPr>
            <w:tcW w:w="993" w:type="dxa"/>
            <w:tcBorders>
              <w:top w:val="nil"/>
              <w:left w:val="nil"/>
              <w:bottom w:val="single" w:sz="4" w:space="0" w:color="auto"/>
              <w:right w:val="single" w:sz="4" w:space="0" w:color="auto"/>
            </w:tcBorders>
            <w:shd w:val="clear" w:color="000000" w:fill="CCFFFF"/>
            <w:noWrap/>
            <w:vAlign w:val="bottom"/>
            <w:hideMark/>
          </w:tcPr>
          <w:p w14:paraId="37F7DA1C" w14:textId="77777777" w:rsidR="00B56301" w:rsidRPr="00364545" w:rsidRDefault="00B56301" w:rsidP="00B37B65">
            <w:pPr>
              <w:jc w:val="right"/>
              <w:rPr>
                <w:rFonts w:asciiTheme="minorHAnsi" w:hAnsiTheme="minorHAnsi"/>
                <w:sz w:val="16"/>
                <w:szCs w:val="16"/>
              </w:rPr>
            </w:pPr>
            <w:r w:rsidRPr="00364545">
              <w:rPr>
                <w:sz w:val="16"/>
              </w:rPr>
              <w:t>0,51</w:t>
            </w:r>
          </w:p>
        </w:tc>
        <w:tc>
          <w:tcPr>
            <w:tcW w:w="1747" w:type="dxa"/>
            <w:tcBorders>
              <w:top w:val="nil"/>
              <w:left w:val="nil"/>
              <w:bottom w:val="single" w:sz="4" w:space="0" w:color="auto"/>
              <w:right w:val="single" w:sz="4" w:space="0" w:color="auto"/>
            </w:tcBorders>
            <w:shd w:val="clear" w:color="000000" w:fill="CCFFFF"/>
            <w:noWrap/>
            <w:vAlign w:val="bottom"/>
            <w:hideMark/>
          </w:tcPr>
          <w:p w14:paraId="3A772DD4" w14:textId="77777777" w:rsidR="00B56301" w:rsidRPr="00364545" w:rsidRDefault="00B56301" w:rsidP="00B37B65">
            <w:pPr>
              <w:jc w:val="right"/>
              <w:rPr>
                <w:rFonts w:asciiTheme="minorHAnsi" w:hAnsiTheme="minorHAnsi"/>
                <w:sz w:val="16"/>
                <w:szCs w:val="16"/>
              </w:rPr>
            </w:pPr>
            <w:r w:rsidRPr="00364545">
              <w:rPr>
                <w:sz w:val="16"/>
              </w:rPr>
              <w:t>472,65</w:t>
            </w:r>
          </w:p>
        </w:tc>
      </w:tr>
      <w:tr w:rsidR="00B56301" w:rsidRPr="00364545" w14:paraId="05E7652E"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E101BD9" w14:textId="5BB2EFD7"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1. Solid fuels</w:t>
            </w:r>
          </w:p>
        </w:tc>
        <w:tc>
          <w:tcPr>
            <w:tcW w:w="993" w:type="dxa"/>
            <w:tcBorders>
              <w:top w:val="nil"/>
              <w:left w:val="nil"/>
              <w:bottom w:val="single" w:sz="4" w:space="0" w:color="auto"/>
              <w:right w:val="single" w:sz="4" w:space="0" w:color="auto"/>
            </w:tcBorders>
            <w:shd w:val="clear" w:color="000000" w:fill="FFFFFF"/>
            <w:noWrap/>
            <w:vAlign w:val="bottom"/>
            <w:hideMark/>
          </w:tcPr>
          <w:p w14:paraId="1B091DDD" w14:textId="77777777" w:rsidR="00B56301" w:rsidRPr="00364545" w:rsidRDefault="00B56301" w:rsidP="00B37B65">
            <w:pPr>
              <w:jc w:val="right"/>
              <w:rPr>
                <w:rFonts w:asciiTheme="minorHAnsi" w:hAnsiTheme="minorHAnsi"/>
                <w:sz w:val="16"/>
                <w:szCs w:val="16"/>
              </w:rPr>
            </w:pPr>
            <w:r w:rsidRPr="00364545">
              <w:rPr>
                <w:sz w:val="16"/>
              </w:rPr>
              <w:t>NO,NE</w:t>
            </w:r>
          </w:p>
        </w:tc>
        <w:tc>
          <w:tcPr>
            <w:tcW w:w="993" w:type="dxa"/>
            <w:tcBorders>
              <w:top w:val="nil"/>
              <w:left w:val="nil"/>
              <w:bottom w:val="single" w:sz="4" w:space="0" w:color="auto"/>
              <w:right w:val="single" w:sz="4" w:space="0" w:color="auto"/>
            </w:tcBorders>
            <w:shd w:val="clear" w:color="000000" w:fill="FFFFFF"/>
            <w:noWrap/>
            <w:vAlign w:val="bottom"/>
            <w:hideMark/>
          </w:tcPr>
          <w:p w14:paraId="47CB6C72" w14:textId="77777777" w:rsidR="00B56301" w:rsidRPr="00364545" w:rsidRDefault="00B56301" w:rsidP="00B37B65">
            <w:pPr>
              <w:jc w:val="right"/>
              <w:rPr>
                <w:rFonts w:asciiTheme="minorHAnsi" w:hAnsiTheme="minorHAnsi"/>
                <w:sz w:val="16"/>
                <w:szCs w:val="16"/>
              </w:rPr>
            </w:pPr>
            <w:r w:rsidRPr="00364545">
              <w:rPr>
                <w:sz w:val="16"/>
              </w:rPr>
              <w:t>NO,NE</w:t>
            </w:r>
          </w:p>
        </w:tc>
        <w:tc>
          <w:tcPr>
            <w:tcW w:w="1747" w:type="dxa"/>
            <w:tcBorders>
              <w:top w:val="nil"/>
              <w:left w:val="nil"/>
              <w:bottom w:val="single" w:sz="4" w:space="0" w:color="auto"/>
              <w:right w:val="single" w:sz="4" w:space="0" w:color="auto"/>
            </w:tcBorders>
            <w:shd w:val="clear" w:color="000000" w:fill="FFFFFF"/>
            <w:noWrap/>
            <w:vAlign w:val="bottom"/>
            <w:hideMark/>
          </w:tcPr>
          <w:p w14:paraId="620C1DFD"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4D943641"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9214944" w14:textId="7AA7F341" w:rsidR="00B56301" w:rsidRPr="00364545" w:rsidRDefault="00B56301" w:rsidP="00B37B65">
            <w:pPr>
              <w:ind w:firstLineChars="500" w:firstLine="800"/>
              <w:jc w:val="left"/>
              <w:rPr>
                <w:rFonts w:asciiTheme="minorHAnsi" w:hAnsiTheme="minorHAnsi"/>
                <w:sz w:val="16"/>
                <w:szCs w:val="16"/>
              </w:rPr>
            </w:pPr>
            <w:r w:rsidRPr="00364545">
              <w:rPr>
                <w:rFonts w:asciiTheme="minorHAnsi" w:hAnsiTheme="minorHAnsi"/>
                <w:sz w:val="16"/>
              </w:rPr>
              <w:t>2. Oil and natural gas and other emissions from energy production</w:t>
            </w:r>
          </w:p>
        </w:tc>
        <w:tc>
          <w:tcPr>
            <w:tcW w:w="993" w:type="dxa"/>
            <w:tcBorders>
              <w:top w:val="nil"/>
              <w:left w:val="nil"/>
              <w:bottom w:val="single" w:sz="4" w:space="0" w:color="auto"/>
              <w:right w:val="single" w:sz="4" w:space="0" w:color="auto"/>
            </w:tcBorders>
            <w:shd w:val="clear" w:color="000000" w:fill="FFFFFF"/>
            <w:noWrap/>
            <w:vAlign w:val="bottom"/>
            <w:hideMark/>
          </w:tcPr>
          <w:p w14:paraId="2D0467FB" w14:textId="77777777" w:rsidR="00B56301" w:rsidRPr="00364545" w:rsidRDefault="00B56301" w:rsidP="00B37B65">
            <w:pPr>
              <w:jc w:val="right"/>
              <w:rPr>
                <w:rFonts w:asciiTheme="minorHAnsi" w:hAnsiTheme="minorHAnsi"/>
                <w:sz w:val="16"/>
                <w:szCs w:val="16"/>
              </w:rPr>
            </w:pPr>
            <w:r w:rsidRPr="00364545">
              <w:rPr>
                <w:sz w:val="16"/>
              </w:rPr>
              <w:t>0,04</w:t>
            </w:r>
          </w:p>
        </w:tc>
        <w:tc>
          <w:tcPr>
            <w:tcW w:w="993" w:type="dxa"/>
            <w:tcBorders>
              <w:top w:val="nil"/>
              <w:left w:val="nil"/>
              <w:bottom w:val="single" w:sz="4" w:space="0" w:color="auto"/>
              <w:right w:val="single" w:sz="4" w:space="0" w:color="auto"/>
            </w:tcBorders>
            <w:shd w:val="clear" w:color="000000" w:fill="FFFFFF"/>
            <w:noWrap/>
            <w:vAlign w:val="bottom"/>
            <w:hideMark/>
          </w:tcPr>
          <w:p w14:paraId="1D15DD74" w14:textId="77777777" w:rsidR="00B56301" w:rsidRPr="00364545" w:rsidRDefault="00B56301" w:rsidP="00B37B65">
            <w:pPr>
              <w:jc w:val="right"/>
              <w:rPr>
                <w:rFonts w:asciiTheme="minorHAnsi" w:hAnsiTheme="minorHAnsi"/>
                <w:sz w:val="16"/>
                <w:szCs w:val="16"/>
              </w:rPr>
            </w:pPr>
            <w:r w:rsidRPr="00364545">
              <w:rPr>
                <w:sz w:val="16"/>
              </w:rPr>
              <w:t>0,51</w:t>
            </w:r>
          </w:p>
        </w:tc>
        <w:tc>
          <w:tcPr>
            <w:tcW w:w="1747" w:type="dxa"/>
            <w:tcBorders>
              <w:top w:val="nil"/>
              <w:left w:val="nil"/>
              <w:bottom w:val="single" w:sz="4" w:space="0" w:color="auto"/>
              <w:right w:val="single" w:sz="4" w:space="0" w:color="auto"/>
            </w:tcBorders>
            <w:shd w:val="clear" w:color="000000" w:fill="FFFFFF"/>
            <w:noWrap/>
            <w:vAlign w:val="bottom"/>
            <w:hideMark/>
          </w:tcPr>
          <w:p w14:paraId="6ADD79BD" w14:textId="77777777" w:rsidR="00B56301" w:rsidRPr="00364545" w:rsidRDefault="00B56301" w:rsidP="00B37B65">
            <w:pPr>
              <w:jc w:val="right"/>
              <w:rPr>
                <w:rFonts w:asciiTheme="minorHAnsi" w:hAnsiTheme="minorHAnsi"/>
                <w:sz w:val="16"/>
                <w:szCs w:val="16"/>
              </w:rPr>
            </w:pPr>
            <w:r w:rsidRPr="00364545">
              <w:rPr>
                <w:sz w:val="16"/>
              </w:rPr>
              <w:t>472,65</w:t>
            </w:r>
          </w:p>
        </w:tc>
      </w:tr>
      <w:tr w:rsidR="00B56301" w:rsidRPr="00364545" w14:paraId="13C23D76"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9F23959" w14:textId="4A3011E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C. </w:t>
            </w:r>
            <w:r w:rsidRPr="00364545">
              <w:t>CO</w:t>
            </w:r>
            <w:r w:rsidRPr="00364545">
              <w:rPr>
                <w:vertAlign w:val="subscript"/>
              </w:rPr>
              <w:t>2</w:t>
            </w:r>
            <w:r w:rsidRPr="00364545">
              <w:rPr>
                <w:rFonts w:asciiTheme="minorHAnsi" w:hAnsiTheme="minorHAnsi"/>
                <w:sz w:val="16"/>
              </w:rPr>
              <w:t xml:space="preserve"> transport and storage</w:t>
            </w:r>
          </w:p>
        </w:tc>
        <w:tc>
          <w:tcPr>
            <w:tcW w:w="993" w:type="dxa"/>
            <w:tcBorders>
              <w:top w:val="nil"/>
              <w:left w:val="nil"/>
              <w:bottom w:val="single" w:sz="4" w:space="0" w:color="auto"/>
              <w:right w:val="single" w:sz="4" w:space="0" w:color="auto"/>
            </w:tcBorders>
            <w:shd w:val="clear" w:color="000000" w:fill="969696"/>
            <w:noWrap/>
            <w:vAlign w:val="bottom"/>
            <w:hideMark/>
          </w:tcPr>
          <w:p w14:paraId="6C8EEE16"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4250AB44"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2BC7317C"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3D5973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DBCA26C" w14:textId="182BF0E3"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2. Industrial processes</w:t>
            </w:r>
          </w:p>
        </w:tc>
        <w:tc>
          <w:tcPr>
            <w:tcW w:w="993" w:type="dxa"/>
            <w:tcBorders>
              <w:top w:val="nil"/>
              <w:left w:val="nil"/>
              <w:bottom w:val="single" w:sz="4" w:space="0" w:color="auto"/>
              <w:right w:val="single" w:sz="4" w:space="0" w:color="auto"/>
            </w:tcBorders>
            <w:shd w:val="clear" w:color="000000" w:fill="CCFFFF"/>
            <w:noWrap/>
            <w:vAlign w:val="bottom"/>
            <w:hideMark/>
          </w:tcPr>
          <w:p w14:paraId="68AFD8CE" w14:textId="77777777" w:rsidR="00B56301" w:rsidRPr="00364545" w:rsidRDefault="00B56301" w:rsidP="00B37B65">
            <w:pPr>
              <w:jc w:val="right"/>
              <w:rPr>
                <w:rFonts w:asciiTheme="minorHAnsi" w:hAnsiTheme="minorHAnsi"/>
                <w:sz w:val="16"/>
                <w:szCs w:val="16"/>
              </w:rPr>
            </w:pPr>
            <w:r w:rsidRPr="00364545">
              <w:rPr>
                <w:sz w:val="16"/>
              </w:rPr>
              <w:t>3,08</w:t>
            </w:r>
          </w:p>
        </w:tc>
        <w:tc>
          <w:tcPr>
            <w:tcW w:w="993" w:type="dxa"/>
            <w:tcBorders>
              <w:top w:val="nil"/>
              <w:left w:val="nil"/>
              <w:bottom w:val="single" w:sz="4" w:space="0" w:color="auto"/>
              <w:right w:val="single" w:sz="4" w:space="0" w:color="auto"/>
            </w:tcBorders>
            <w:shd w:val="clear" w:color="000000" w:fill="CCFFFF"/>
            <w:noWrap/>
            <w:vAlign w:val="bottom"/>
            <w:hideMark/>
          </w:tcPr>
          <w:p w14:paraId="3D1D534B" w14:textId="77777777" w:rsidR="00B56301" w:rsidRPr="00364545" w:rsidRDefault="00B56301" w:rsidP="00B37B65">
            <w:pPr>
              <w:jc w:val="right"/>
              <w:rPr>
                <w:rFonts w:asciiTheme="minorHAnsi" w:hAnsiTheme="minorHAnsi"/>
                <w:sz w:val="16"/>
                <w:szCs w:val="16"/>
              </w:rPr>
            </w:pPr>
            <w:r w:rsidRPr="00364545">
              <w:rPr>
                <w:sz w:val="16"/>
              </w:rPr>
              <w:t>2,49</w:t>
            </w:r>
          </w:p>
        </w:tc>
        <w:tc>
          <w:tcPr>
            <w:tcW w:w="1747" w:type="dxa"/>
            <w:tcBorders>
              <w:top w:val="nil"/>
              <w:left w:val="nil"/>
              <w:bottom w:val="single" w:sz="4" w:space="0" w:color="auto"/>
              <w:right w:val="single" w:sz="4" w:space="0" w:color="auto"/>
            </w:tcBorders>
            <w:shd w:val="clear" w:color="000000" w:fill="CCFFFF"/>
            <w:noWrap/>
            <w:vAlign w:val="bottom"/>
            <w:hideMark/>
          </w:tcPr>
          <w:p w14:paraId="291132C6" w14:textId="77777777" w:rsidR="00B56301" w:rsidRPr="00364545" w:rsidRDefault="00B56301" w:rsidP="00B37B65">
            <w:pPr>
              <w:jc w:val="right"/>
              <w:rPr>
                <w:rFonts w:asciiTheme="minorHAnsi" w:hAnsiTheme="minorHAnsi"/>
                <w:sz w:val="16"/>
                <w:szCs w:val="16"/>
              </w:rPr>
            </w:pPr>
            <w:r w:rsidRPr="00364545">
              <w:rPr>
                <w:sz w:val="16"/>
              </w:rPr>
              <w:t>-96,89</w:t>
            </w:r>
          </w:p>
        </w:tc>
      </w:tr>
      <w:tr w:rsidR="00B56301" w:rsidRPr="00364545" w14:paraId="6124A11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41614A9" w14:textId="68C4FA1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Mineral industry</w:t>
            </w:r>
          </w:p>
        </w:tc>
        <w:tc>
          <w:tcPr>
            <w:tcW w:w="993" w:type="dxa"/>
            <w:tcBorders>
              <w:top w:val="nil"/>
              <w:left w:val="nil"/>
              <w:bottom w:val="single" w:sz="4" w:space="0" w:color="auto"/>
              <w:right w:val="single" w:sz="4" w:space="0" w:color="auto"/>
            </w:tcBorders>
            <w:shd w:val="clear" w:color="000000" w:fill="969696"/>
            <w:noWrap/>
            <w:vAlign w:val="bottom"/>
            <w:hideMark/>
          </w:tcPr>
          <w:p w14:paraId="5E235369"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0C43CFF2"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208D2080"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4B4E57C6"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5440FD2" w14:textId="67BA7AE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Chemical industry</w:t>
            </w:r>
          </w:p>
        </w:tc>
        <w:tc>
          <w:tcPr>
            <w:tcW w:w="993" w:type="dxa"/>
            <w:tcBorders>
              <w:top w:val="nil"/>
              <w:left w:val="nil"/>
              <w:bottom w:val="single" w:sz="4" w:space="0" w:color="auto"/>
              <w:right w:val="single" w:sz="4" w:space="0" w:color="auto"/>
            </w:tcBorders>
            <w:shd w:val="clear" w:color="000000" w:fill="FFFFFF"/>
            <w:noWrap/>
            <w:vAlign w:val="bottom"/>
            <w:hideMark/>
          </w:tcPr>
          <w:p w14:paraId="2F1FD4CA" w14:textId="77777777" w:rsidR="00B56301" w:rsidRPr="00364545" w:rsidRDefault="00B56301" w:rsidP="00B37B65">
            <w:pPr>
              <w:jc w:val="right"/>
              <w:rPr>
                <w:rFonts w:asciiTheme="minorHAnsi" w:hAnsiTheme="minorHAnsi"/>
                <w:sz w:val="16"/>
                <w:szCs w:val="16"/>
              </w:rPr>
            </w:pPr>
            <w:r w:rsidRPr="00364545">
              <w:rPr>
                <w:sz w:val="16"/>
              </w:rPr>
              <w:t>2,62</w:t>
            </w:r>
          </w:p>
        </w:tc>
        <w:tc>
          <w:tcPr>
            <w:tcW w:w="993" w:type="dxa"/>
            <w:tcBorders>
              <w:top w:val="nil"/>
              <w:left w:val="nil"/>
              <w:bottom w:val="single" w:sz="4" w:space="0" w:color="auto"/>
              <w:right w:val="single" w:sz="4" w:space="0" w:color="auto"/>
            </w:tcBorders>
            <w:shd w:val="clear" w:color="000000" w:fill="FFFFFF"/>
            <w:noWrap/>
            <w:vAlign w:val="bottom"/>
            <w:hideMark/>
          </w:tcPr>
          <w:p w14:paraId="733319A1" w14:textId="77777777" w:rsidR="00B56301" w:rsidRPr="00364545" w:rsidRDefault="00B56301" w:rsidP="00B37B65">
            <w:pPr>
              <w:jc w:val="right"/>
              <w:rPr>
                <w:rFonts w:asciiTheme="minorHAnsi" w:hAnsiTheme="minorHAnsi"/>
                <w:sz w:val="16"/>
                <w:szCs w:val="16"/>
              </w:rPr>
            </w:pPr>
            <w:r w:rsidRPr="00364545">
              <w:rPr>
                <w:sz w:val="16"/>
              </w:rPr>
              <w:t>2,03</w:t>
            </w:r>
          </w:p>
        </w:tc>
        <w:tc>
          <w:tcPr>
            <w:tcW w:w="1747" w:type="dxa"/>
            <w:tcBorders>
              <w:top w:val="nil"/>
              <w:left w:val="nil"/>
              <w:bottom w:val="single" w:sz="4" w:space="0" w:color="auto"/>
              <w:right w:val="single" w:sz="4" w:space="0" w:color="auto"/>
            </w:tcBorders>
            <w:shd w:val="clear" w:color="000000" w:fill="FFFFFF"/>
            <w:noWrap/>
            <w:vAlign w:val="bottom"/>
            <w:hideMark/>
          </w:tcPr>
          <w:p w14:paraId="0A6B23F0" w14:textId="77777777" w:rsidR="00B56301" w:rsidRPr="00364545" w:rsidRDefault="00B56301" w:rsidP="00B37B65">
            <w:pPr>
              <w:jc w:val="right"/>
              <w:rPr>
                <w:rFonts w:asciiTheme="minorHAnsi" w:hAnsiTheme="minorHAnsi"/>
                <w:sz w:val="16"/>
                <w:szCs w:val="16"/>
              </w:rPr>
            </w:pPr>
            <w:r w:rsidRPr="00364545">
              <w:rPr>
                <w:sz w:val="16"/>
              </w:rPr>
              <w:t>-97,44</w:t>
            </w:r>
          </w:p>
        </w:tc>
      </w:tr>
      <w:tr w:rsidR="00B56301" w:rsidRPr="00364545" w14:paraId="5B76B7BC"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78A1981" w14:textId="780AAFA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Metal industry</w:t>
            </w:r>
          </w:p>
        </w:tc>
        <w:tc>
          <w:tcPr>
            <w:tcW w:w="993" w:type="dxa"/>
            <w:tcBorders>
              <w:top w:val="nil"/>
              <w:left w:val="nil"/>
              <w:bottom w:val="single" w:sz="4" w:space="0" w:color="auto"/>
              <w:right w:val="single" w:sz="4" w:space="0" w:color="auto"/>
            </w:tcBorders>
            <w:shd w:val="clear" w:color="000000" w:fill="FFFFFF"/>
            <w:noWrap/>
            <w:vAlign w:val="bottom"/>
            <w:hideMark/>
          </w:tcPr>
          <w:p w14:paraId="280123C9" w14:textId="77777777" w:rsidR="00B56301" w:rsidRPr="00364545" w:rsidRDefault="00B56301" w:rsidP="00B37B65">
            <w:pPr>
              <w:jc w:val="right"/>
              <w:rPr>
                <w:rFonts w:asciiTheme="minorHAnsi" w:hAnsiTheme="minorHAnsi"/>
                <w:sz w:val="16"/>
                <w:szCs w:val="16"/>
              </w:rPr>
            </w:pPr>
            <w:r w:rsidRPr="00364545">
              <w:rPr>
                <w:sz w:val="16"/>
              </w:rPr>
              <w:t>NO</w:t>
            </w:r>
          </w:p>
        </w:tc>
        <w:tc>
          <w:tcPr>
            <w:tcW w:w="993" w:type="dxa"/>
            <w:tcBorders>
              <w:top w:val="nil"/>
              <w:left w:val="nil"/>
              <w:bottom w:val="single" w:sz="4" w:space="0" w:color="auto"/>
              <w:right w:val="single" w:sz="4" w:space="0" w:color="auto"/>
            </w:tcBorders>
            <w:shd w:val="clear" w:color="000000" w:fill="FFFFFF"/>
            <w:noWrap/>
            <w:vAlign w:val="bottom"/>
            <w:hideMark/>
          </w:tcPr>
          <w:p w14:paraId="4EC69928" w14:textId="77777777" w:rsidR="00B56301" w:rsidRPr="00364545" w:rsidRDefault="00B56301" w:rsidP="00B37B65">
            <w:pPr>
              <w:jc w:val="right"/>
              <w:rPr>
                <w:rFonts w:asciiTheme="minorHAnsi" w:hAnsiTheme="minorHAnsi"/>
                <w:sz w:val="16"/>
                <w:szCs w:val="16"/>
              </w:rPr>
            </w:pPr>
            <w:r w:rsidRPr="00364545">
              <w:rPr>
                <w:sz w:val="16"/>
              </w:rPr>
              <w:t>NO</w:t>
            </w:r>
          </w:p>
        </w:tc>
        <w:tc>
          <w:tcPr>
            <w:tcW w:w="1747" w:type="dxa"/>
            <w:tcBorders>
              <w:top w:val="nil"/>
              <w:left w:val="nil"/>
              <w:bottom w:val="single" w:sz="4" w:space="0" w:color="auto"/>
              <w:right w:val="single" w:sz="4" w:space="0" w:color="auto"/>
            </w:tcBorders>
            <w:shd w:val="clear" w:color="000000" w:fill="FFFFFF"/>
            <w:noWrap/>
            <w:vAlign w:val="bottom"/>
            <w:hideMark/>
          </w:tcPr>
          <w:p w14:paraId="33EE63C8"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72F3D2C0"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vAlign w:val="center"/>
            <w:hideMark/>
          </w:tcPr>
          <w:p w14:paraId="74739D75" w14:textId="4D00DC60"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Non-energy products from fuels and solvent use</w:t>
            </w:r>
          </w:p>
        </w:tc>
        <w:tc>
          <w:tcPr>
            <w:tcW w:w="993" w:type="dxa"/>
            <w:tcBorders>
              <w:top w:val="nil"/>
              <w:left w:val="nil"/>
              <w:bottom w:val="single" w:sz="4" w:space="0" w:color="auto"/>
              <w:right w:val="single" w:sz="4" w:space="0" w:color="auto"/>
            </w:tcBorders>
            <w:shd w:val="clear" w:color="000000" w:fill="FFFFFF"/>
            <w:noWrap/>
            <w:vAlign w:val="bottom"/>
            <w:hideMark/>
          </w:tcPr>
          <w:p w14:paraId="126C7C81" w14:textId="77777777" w:rsidR="00B56301" w:rsidRPr="00364545" w:rsidRDefault="00B56301" w:rsidP="00B37B65">
            <w:pPr>
              <w:jc w:val="right"/>
              <w:rPr>
                <w:rFonts w:asciiTheme="minorHAnsi" w:hAnsiTheme="minorHAnsi"/>
                <w:sz w:val="16"/>
                <w:szCs w:val="16"/>
              </w:rPr>
            </w:pPr>
            <w:r w:rsidRPr="00364545">
              <w:rPr>
                <w:sz w:val="16"/>
              </w:rPr>
              <w:t>0,01</w:t>
            </w:r>
          </w:p>
        </w:tc>
        <w:tc>
          <w:tcPr>
            <w:tcW w:w="993" w:type="dxa"/>
            <w:tcBorders>
              <w:top w:val="nil"/>
              <w:left w:val="nil"/>
              <w:bottom w:val="single" w:sz="4" w:space="0" w:color="auto"/>
              <w:right w:val="single" w:sz="4" w:space="0" w:color="auto"/>
            </w:tcBorders>
            <w:shd w:val="clear" w:color="000000" w:fill="FFFFFF"/>
            <w:noWrap/>
            <w:vAlign w:val="bottom"/>
            <w:hideMark/>
          </w:tcPr>
          <w:p w14:paraId="66F12306" w14:textId="77777777" w:rsidR="00B56301" w:rsidRPr="00364545" w:rsidRDefault="00B56301" w:rsidP="00B37B65">
            <w:pPr>
              <w:jc w:val="right"/>
              <w:rPr>
                <w:rFonts w:asciiTheme="minorHAnsi" w:hAnsiTheme="minorHAnsi"/>
                <w:sz w:val="16"/>
                <w:szCs w:val="16"/>
              </w:rPr>
            </w:pPr>
            <w:r w:rsidRPr="00364545">
              <w:rPr>
                <w:sz w:val="16"/>
              </w:rPr>
              <w:t>0,01</w:t>
            </w:r>
          </w:p>
        </w:tc>
        <w:tc>
          <w:tcPr>
            <w:tcW w:w="1747" w:type="dxa"/>
            <w:tcBorders>
              <w:top w:val="nil"/>
              <w:left w:val="nil"/>
              <w:bottom w:val="single" w:sz="4" w:space="0" w:color="auto"/>
              <w:right w:val="single" w:sz="4" w:space="0" w:color="auto"/>
            </w:tcBorders>
            <w:shd w:val="clear" w:color="000000" w:fill="FFFFFF"/>
            <w:noWrap/>
            <w:vAlign w:val="bottom"/>
            <w:hideMark/>
          </w:tcPr>
          <w:p w14:paraId="4BD985EE" w14:textId="77777777" w:rsidR="00B56301" w:rsidRPr="00364545" w:rsidRDefault="00B56301" w:rsidP="00B37B65">
            <w:pPr>
              <w:jc w:val="right"/>
              <w:rPr>
                <w:rFonts w:asciiTheme="minorHAnsi" w:hAnsiTheme="minorHAnsi"/>
                <w:sz w:val="16"/>
                <w:szCs w:val="16"/>
              </w:rPr>
            </w:pPr>
            <w:r w:rsidRPr="00364545">
              <w:rPr>
                <w:sz w:val="16"/>
              </w:rPr>
              <w:t>40,35</w:t>
            </w:r>
          </w:p>
        </w:tc>
      </w:tr>
      <w:tr w:rsidR="00B56301" w:rsidRPr="00364545" w14:paraId="437E1679"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EE9010B" w14:textId="351338E6"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Electronic industry</w:t>
            </w:r>
          </w:p>
        </w:tc>
        <w:tc>
          <w:tcPr>
            <w:tcW w:w="993" w:type="dxa"/>
            <w:tcBorders>
              <w:top w:val="nil"/>
              <w:left w:val="nil"/>
              <w:bottom w:val="single" w:sz="4" w:space="0" w:color="auto"/>
              <w:right w:val="single" w:sz="4" w:space="0" w:color="auto"/>
            </w:tcBorders>
            <w:shd w:val="clear" w:color="000000" w:fill="969696"/>
            <w:noWrap/>
            <w:vAlign w:val="bottom"/>
            <w:hideMark/>
          </w:tcPr>
          <w:p w14:paraId="1BD9CF0D"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0DE8E737"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3AFAD304"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2040C3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vAlign w:val="center"/>
            <w:hideMark/>
          </w:tcPr>
          <w:p w14:paraId="5730E783" w14:textId="3D7AAA3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Product uses as ODS substitutes</w:t>
            </w:r>
          </w:p>
        </w:tc>
        <w:tc>
          <w:tcPr>
            <w:tcW w:w="993" w:type="dxa"/>
            <w:tcBorders>
              <w:top w:val="nil"/>
              <w:left w:val="nil"/>
              <w:bottom w:val="single" w:sz="4" w:space="0" w:color="auto"/>
              <w:right w:val="single" w:sz="4" w:space="0" w:color="auto"/>
            </w:tcBorders>
            <w:shd w:val="clear" w:color="000000" w:fill="969696"/>
            <w:noWrap/>
            <w:vAlign w:val="bottom"/>
            <w:hideMark/>
          </w:tcPr>
          <w:p w14:paraId="0A2E7857"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33CB5CBA"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1BB10B1D"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2F3740B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vAlign w:val="center"/>
            <w:hideMark/>
          </w:tcPr>
          <w:p w14:paraId="205541B2" w14:textId="25E0F7F1"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G. Other product manufacture and use </w:t>
            </w:r>
          </w:p>
        </w:tc>
        <w:tc>
          <w:tcPr>
            <w:tcW w:w="993" w:type="dxa"/>
            <w:tcBorders>
              <w:top w:val="nil"/>
              <w:left w:val="nil"/>
              <w:bottom w:val="single" w:sz="4" w:space="0" w:color="auto"/>
              <w:right w:val="single" w:sz="4" w:space="0" w:color="auto"/>
            </w:tcBorders>
            <w:shd w:val="clear" w:color="000000" w:fill="FFFFFF"/>
            <w:noWrap/>
            <w:vAlign w:val="bottom"/>
            <w:hideMark/>
          </w:tcPr>
          <w:p w14:paraId="01C607A2" w14:textId="77777777" w:rsidR="00B56301" w:rsidRPr="00364545" w:rsidRDefault="00B56301" w:rsidP="00B37B65">
            <w:pPr>
              <w:jc w:val="right"/>
              <w:rPr>
                <w:rFonts w:asciiTheme="minorHAnsi" w:hAnsiTheme="minorHAnsi"/>
                <w:sz w:val="16"/>
                <w:szCs w:val="16"/>
              </w:rPr>
            </w:pPr>
            <w:r w:rsidRPr="00364545">
              <w:rPr>
                <w:sz w:val="16"/>
              </w:rPr>
              <w:t>0,45</w:t>
            </w:r>
          </w:p>
        </w:tc>
        <w:tc>
          <w:tcPr>
            <w:tcW w:w="993" w:type="dxa"/>
            <w:tcBorders>
              <w:top w:val="nil"/>
              <w:left w:val="nil"/>
              <w:bottom w:val="single" w:sz="4" w:space="0" w:color="auto"/>
              <w:right w:val="single" w:sz="4" w:space="0" w:color="auto"/>
            </w:tcBorders>
            <w:shd w:val="clear" w:color="000000" w:fill="FFFFFF"/>
            <w:noWrap/>
            <w:vAlign w:val="bottom"/>
            <w:hideMark/>
          </w:tcPr>
          <w:p w14:paraId="251F8DA5" w14:textId="77777777" w:rsidR="00B56301" w:rsidRPr="00364545" w:rsidRDefault="00B56301" w:rsidP="00B37B65">
            <w:pPr>
              <w:jc w:val="right"/>
              <w:rPr>
                <w:rFonts w:asciiTheme="minorHAnsi" w:hAnsiTheme="minorHAnsi"/>
                <w:sz w:val="16"/>
                <w:szCs w:val="16"/>
              </w:rPr>
            </w:pPr>
            <w:r w:rsidRPr="00364545">
              <w:rPr>
                <w:sz w:val="16"/>
              </w:rPr>
              <w:t>0,45</w:t>
            </w:r>
          </w:p>
        </w:tc>
        <w:tc>
          <w:tcPr>
            <w:tcW w:w="1747" w:type="dxa"/>
            <w:tcBorders>
              <w:top w:val="nil"/>
              <w:left w:val="nil"/>
              <w:bottom w:val="single" w:sz="4" w:space="0" w:color="auto"/>
              <w:right w:val="single" w:sz="4" w:space="0" w:color="auto"/>
            </w:tcBorders>
            <w:shd w:val="clear" w:color="000000" w:fill="FFFFFF"/>
            <w:noWrap/>
            <w:vAlign w:val="bottom"/>
            <w:hideMark/>
          </w:tcPr>
          <w:p w14:paraId="4689CAD6" w14:textId="77777777" w:rsidR="00B56301" w:rsidRPr="00364545" w:rsidRDefault="00B56301" w:rsidP="00B37B65">
            <w:pPr>
              <w:jc w:val="right"/>
              <w:rPr>
                <w:rFonts w:asciiTheme="minorHAnsi" w:hAnsiTheme="minorHAnsi"/>
                <w:sz w:val="16"/>
                <w:szCs w:val="16"/>
              </w:rPr>
            </w:pPr>
            <w:r w:rsidRPr="00364545">
              <w:rPr>
                <w:sz w:val="16"/>
              </w:rPr>
              <w:t>9,95</w:t>
            </w:r>
          </w:p>
        </w:tc>
      </w:tr>
      <w:tr w:rsidR="00B56301" w:rsidRPr="00364545" w14:paraId="0A6289CE"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5B9B50B" w14:textId="4294AAF9"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3" w:type="dxa"/>
            <w:tcBorders>
              <w:top w:val="nil"/>
              <w:left w:val="nil"/>
              <w:bottom w:val="single" w:sz="4" w:space="0" w:color="auto"/>
              <w:right w:val="single" w:sz="4" w:space="0" w:color="auto"/>
            </w:tcBorders>
            <w:shd w:val="clear" w:color="000000" w:fill="FFFFFF"/>
            <w:noWrap/>
            <w:vAlign w:val="bottom"/>
            <w:hideMark/>
          </w:tcPr>
          <w:p w14:paraId="706352AA" w14:textId="77777777" w:rsidR="00B56301" w:rsidRPr="00364545" w:rsidRDefault="00B56301" w:rsidP="00B37B65">
            <w:pPr>
              <w:jc w:val="right"/>
              <w:rPr>
                <w:rFonts w:asciiTheme="minorHAnsi" w:hAnsiTheme="minorHAnsi"/>
                <w:sz w:val="16"/>
                <w:szCs w:val="16"/>
              </w:rPr>
            </w:pPr>
            <w:r w:rsidRPr="00364545">
              <w:rPr>
                <w:sz w:val="16"/>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2D6744B6" w14:textId="77777777" w:rsidR="00B56301" w:rsidRPr="00364545" w:rsidRDefault="00B56301" w:rsidP="00B37B65">
            <w:pPr>
              <w:jc w:val="right"/>
              <w:rPr>
                <w:rFonts w:asciiTheme="minorHAnsi" w:hAnsiTheme="minorHAnsi"/>
                <w:sz w:val="16"/>
                <w:szCs w:val="16"/>
              </w:rPr>
            </w:pPr>
            <w:r w:rsidRPr="00364545">
              <w:rPr>
                <w:sz w:val="16"/>
              </w:rPr>
              <w:t>NO,NA</w:t>
            </w:r>
          </w:p>
        </w:tc>
        <w:tc>
          <w:tcPr>
            <w:tcW w:w="1747" w:type="dxa"/>
            <w:tcBorders>
              <w:top w:val="nil"/>
              <w:left w:val="nil"/>
              <w:bottom w:val="single" w:sz="4" w:space="0" w:color="auto"/>
              <w:right w:val="single" w:sz="4" w:space="0" w:color="auto"/>
            </w:tcBorders>
            <w:shd w:val="clear" w:color="000000" w:fill="FFFFFF"/>
            <w:noWrap/>
            <w:vAlign w:val="bottom"/>
            <w:hideMark/>
          </w:tcPr>
          <w:p w14:paraId="6DC3C4D1"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3DCC681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bottom"/>
            <w:hideMark/>
          </w:tcPr>
          <w:p w14:paraId="014D4B54" w14:textId="5C6FE4CD"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3. Agriculture</w:t>
            </w:r>
          </w:p>
        </w:tc>
        <w:tc>
          <w:tcPr>
            <w:tcW w:w="993" w:type="dxa"/>
            <w:tcBorders>
              <w:top w:val="nil"/>
              <w:left w:val="nil"/>
              <w:bottom w:val="single" w:sz="4" w:space="0" w:color="auto"/>
              <w:right w:val="single" w:sz="4" w:space="0" w:color="auto"/>
            </w:tcBorders>
            <w:shd w:val="clear" w:color="000000" w:fill="CCFFFF"/>
            <w:noWrap/>
            <w:vAlign w:val="bottom"/>
            <w:hideMark/>
          </w:tcPr>
          <w:p w14:paraId="0D4F7E6E" w14:textId="77777777" w:rsidR="00B56301" w:rsidRPr="00364545" w:rsidRDefault="00B56301" w:rsidP="00B37B65">
            <w:pPr>
              <w:jc w:val="right"/>
              <w:rPr>
                <w:rFonts w:asciiTheme="minorHAnsi" w:hAnsiTheme="minorHAnsi"/>
                <w:sz w:val="16"/>
                <w:szCs w:val="16"/>
              </w:rPr>
            </w:pPr>
            <w:r w:rsidRPr="00364545">
              <w:rPr>
                <w:sz w:val="16"/>
              </w:rPr>
              <w:t>110,81</w:t>
            </w:r>
          </w:p>
        </w:tc>
        <w:tc>
          <w:tcPr>
            <w:tcW w:w="993" w:type="dxa"/>
            <w:tcBorders>
              <w:top w:val="nil"/>
              <w:left w:val="nil"/>
              <w:bottom w:val="single" w:sz="4" w:space="0" w:color="auto"/>
              <w:right w:val="single" w:sz="4" w:space="0" w:color="auto"/>
            </w:tcBorders>
            <w:shd w:val="clear" w:color="000000" w:fill="CCFFFF"/>
            <w:noWrap/>
            <w:vAlign w:val="bottom"/>
            <w:hideMark/>
          </w:tcPr>
          <w:p w14:paraId="3DB1FC2F" w14:textId="77777777" w:rsidR="00B56301" w:rsidRPr="00364545" w:rsidRDefault="00B56301" w:rsidP="00B37B65">
            <w:pPr>
              <w:jc w:val="right"/>
              <w:rPr>
                <w:rFonts w:asciiTheme="minorHAnsi" w:hAnsiTheme="minorHAnsi"/>
                <w:sz w:val="16"/>
                <w:szCs w:val="16"/>
              </w:rPr>
            </w:pPr>
            <w:r w:rsidRPr="00364545">
              <w:rPr>
                <w:sz w:val="16"/>
              </w:rPr>
              <w:t>105,80</w:t>
            </w:r>
          </w:p>
        </w:tc>
        <w:tc>
          <w:tcPr>
            <w:tcW w:w="1747" w:type="dxa"/>
            <w:tcBorders>
              <w:top w:val="nil"/>
              <w:left w:val="nil"/>
              <w:bottom w:val="single" w:sz="4" w:space="0" w:color="auto"/>
              <w:right w:val="single" w:sz="4" w:space="0" w:color="auto"/>
            </w:tcBorders>
            <w:shd w:val="clear" w:color="000000" w:fill="CCFFFF"/>
            <w:noWrap/>
            <w:vAlign w:val="bottom"/>
            <w:hideMark/>
          </w:tcPr>
          <w:p w14:paraId="70245B38" w14:textId="77777777" w:rsidR="00B56301" w:rsidRPr="00364545" w:rsidRDefault="00B56301" w:rsidP="00B37B65">
            <w:pPr>
              <w:jc w:val="right"/>
              <w:rPr>
                <w:rFonts w:asciiTheme="minorHAnsi" w:hAnsiTheme="minorHAnsi"/>
                <w:sz w:val="16"/>
                <w:szCs w:val="16"/>
              </w:rPr>
            </w:pPr>
            <w:r w:rsidRPr="00364545">
              <w:rPr>
                <w:sz w:val="16"/>
              </w:rPr>
              <w:t>-14,07</w:t>
            </w:r>
          </w:p>
        </w:tc>
      </w:tr>
      <w:tr w:rsidR="00B56301" w:rsidRPr="00364545" w14:paraId="15C96FA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5C1C777" w14:textId="4BA97E37"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Enteric fermentation</w:t>
            </w:r>
          </w:p>
        </w:tc>
        <w:tc>
          <w:tcPr>
            <w:tcW w:w="993" w:type="dxa"/>
            <w:tcBorders>
              <w:top w:val="nil"/>
              <w:left w:val="nil"/>
              <w:bottom w:val="single" w:sz="4" w:space="0" w:color="auto"/>
              <w:right w:val="single" w:sz="4" w:space="0" w:color="auto"/>
            </w:tcBorders>
            <w:shd w:val="clear" w:color="000000" w:fill="969696"/>
            <w:noWrap/>
            <w:vAlign w:val="bottom"/>
            <w:hideMark/>
          </w:tcPr>
          <w:p w14:paraId="560E1844"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75C5C217"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3EB3E0F2"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3E9A6429"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BCDBF19" w14:textId="405BD37B"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Manure management</w:t>
            </w:r>
          </w:p>
        </w:tc>
        <w:tc>
          <w:tcPr>
            <w:tcW w:w="993" w:type="dxa"/>
            <w:tcBorders>
              <w:top w:val="nil"/>
              <w:left w:val="nil"/>
              <w:bottom w:val="single" w:sz="4" w:space="0" w:color="auto"/>
              <w:right w:val="single" w:sz="4" w:space="0" w:color="auto"/>
            </w:tcBorders>
            <w:shd w:val="clear" w:color="000000" w:fill="FFFFFF"/>
            <w:noWrap/>
            <w:vAlign w:val="bottom"/>
            <w:hideMark/>
          </w:tcPr>
          <w:p w14:paraId="4F2902F7" w14:textId="77777777" w:rsidR="00B56301" w:rsidRPr="00364545" w:rsidRDefault="00B56301" w:rsidP="00B37B65">
            <w:pPr>
              <w:jc w:val="right"/>
              <w:rPr>
                <w:rFonts w:asciiTheme="minorHAnsi" w:hAnsiTheme="minorHAnsi"/>
                <w:sz w:val="16"/>
                <w:szCs w:val="16"/>
              </w:rPr>
            </w:pPr>
            <w:r w:rsidRPr="00364545">
              <w:rPr>
                <w:sz w:val="16"/>
              </w:rPr>
              <w:t>8,02</w:t>
            </w:r>
          </w:p>
        </w:tc>
        <w:tc>
          <w:tcPr>
            <w:tcW w:w="993" w:type="dxa"/>
            <w:tcBorders>
              <w:top w:val="nil"/>
              <w:left w:val="nil"/>
              <w:bottom w:val="single" w:sz="4" w:space="0" w:color="auto"/>
              <w:right w:val="single" w:sz="4" w:space="0" w:color="auto"/>
            </w:tcBorders>
            <w:shd w:val="clear" w:color="000000" w:fill="FFFFFF"/>
            <w:noWrap/>
            <w:vAlign w:val="bottom"/>
            <w:hideMark/>
          </w:tcPr>
          <w:p w14:paraId="73639252" w14:textId="77777777" w:rsidR="00B56301" w:rsidRPr="00364545" w:rsidRDefault="00B56301" w:rsidP="00B37B65">
            <w:pPr>
              <w:jc w:val="right"/>
              <w:rPr>
                <w:rFonts w:asciiTheme="minorHAnsi" w:hAnsiTheme="minorHAnsi"/>
                <w:sz w:val="16"/>
                <w:szCs w:val="16"/>
              </w:rPr>
            </w:pPr>
            <w:r w:rsidRPr="00364545">
              <w:rPr>
                <w:sz w:val="16"/>
              </w:rPr>
              <w:t>7,89</w:t>
            </w:r>
          </w:p>
        </w:tc>
        <w:tc>
          <w:tcPr>
            <w:tcW w:w="1747" w:type="dxa"/>
            <w:tcBorders>
              <w:top w:val="nil"/>
              <w:left w:val="nil"/>
              <w:bottom w:val="single" w:sz="4" w:space="0" w:color="auto"/>
              <w:right w:val="single" w:sz="4" w:space="0" w:color="auto"/>
            </w:tcBorders>
            <w:shd w:val="clear" w:color="000000" w:fill="FFFFFF"/>
            <w:noWrap/>
            <w:vAlign w:val="bottom"/>
            <w:hideMark/>
          </w:tcPr>
          <w:p w14:paraId="4DF156C3" w14:textId="77777777" w:rsidR="00B56301" w:rsidRPr="00364545" w:rsidRDefault="00B56301" w:rsidP="00B37B65">
            <w:pPr>
              <w:jc w:val="right"/>
              <w:rPr>
                <w:rFonts w:asciiTheme="minorHAnsi" w:hAnsiTheme="minorHAnsi"/>
                <w:sz w:val="16"/>
                <w:szCs w:val="16"/>
              </w:rPr>
            </w:pPr>
            <w:r w:rsidRPr="00364545">
              <w:rPr>
                <w:sz w:val="16"/>
              </w:rPr>
              <w:t>-16,63</w:t>
            </w:r>
          </w:p>
        </w:tc>
      </w:tr>
      <w:tr w:rsidR="00B56301" w:rsidRPr="00364545" w14:paraId="319878C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4015342" w14:textId="1DCCE4C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Rice cultivation</w:t>
            </w:r>
          </w:p>
        </w:tc>
        <w:tc>
          <w:tcPr>
            <w:tcW w:w="993" w:type="dxa"/>
            <w:tcBorders>
              <w:top w:val="nil"/>
              <w:left w:val="nil"/>
              <w:bottom w:val="single" w:sz="4" w:space="0" w:color="auto"/>
              <w:right w:val="single" w:sz="4" w:space="0" w:color="auto"/>
            </w:tcBorders>
            <w:shd w:val="clear" w:color="000000" w:fill="969696"/>
            <w:noWrap/>
            <w:vAlign w:val="bottom"/>
            <w:hideMark/>
          </w:tcPr>
          <w:p w14:paraId="01E3E711"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1F2433B8"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4AE0EAB2"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709C2E1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15DE9B2" w14:textId="5872ABD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Agricultural soils</w:t>
            </w:r>
          </w:p>
        </w:tc>
        <w:tc>
          <w:tcPr>
            <w:tcW w:w="993" w:type="dxa"/>
            <w:tcBorders>
              <w:top w:val="nil"/>
              <w:left w:val="nil"/>
              <w:bottom w:val="single" w:sz="4" w:space="0" w:color="auto"/>
              <w:right w:val="single" w:sz="4" w:space="0" w:color="auto"/>
            </w:tcBorders>
            <w:shd w:val="clear" w:color="000000" w:fill="FFFFFF"/>
            <w:noWrap/>
            <w:vAlign w:val="bottom"/>
            <w:hideMark/>
          </w:tcPr>
          <w:p w14:paraId="4ADB1A1F" w14:textId="77777777" w:rsidR="00B56301" w:rsidRPr="00364545" w:rsidRDefault="00B56301" w:rsidP="00B37B65">
            <w:pPr>
              <w:jc w:val="right"/>
              <w:rPr>
                <w:rFonts w:asciiTheme="minorHAnsi" w:hAnsiTheme="minorHAnsi"/>
                <w:sz w:val="16"/>
                <w:szCs w:val="16"/>
              </w:rPr>
            </w:pPr>
            <w:r w:rsidRPr="00364545">
              <w:rPr>
                <w:sz w:val="16"/>
              </w:rPr>
              <w:t>102,75</w:t>
            </w:r>
          </w:p>
        </w:tc>
        <w:tc>
          <w:tcPr>
            <w:tcW w:w="993" w:type="dxa"/>
            <w:tcBorders>
              <w:top w:val="nil"/>
              <w:left w:val="nil"/>
              <w:bottom w:val="single" w:sz="4" w:space="0" w:color="auto"/>
              <w:right w:val="single" w:sz="4" w:space="0" w:color="auto"/>
            </w:tcBorders>
            <w:shd w:val="clear" w:color="000000" w:fill="FFFFFF"/>
            <w:noWrap/>
            <w:vAlign w:val="bottom"/>
            <w:hideMark/>
          </w:tcPr>
          <w:p w14:paraId="5285E38A" w14:textId="77777777" w:rsidR="00B56301" w:rsidRPr="00364545" w:rsidRDefault="00B56301" w:rsidP="00B37B65">
            <w:pPr>
              <w:jc w:val="right"/>
              <w:rPr>
                <w:rFonts w:asciiTheme="minorHAnsi" w:hAnsiTheme="minorHAnsi"/>
                <w:sz w:val="16"/>
                <w:szCs w:val="16"/>
              </w:rPr>
            </w:pPr>
            <w:r w:rsidRPr="00364545">
              <w:rPr>
                <w:sz w:val="16"/>
              </w:rPr>
              <w:t>97,88</w:t>
            </w:r>
          </w:p>
        </w:tc>
        <w:tc>
          <w:tcPr>
            <w:tcW w:w="1747" w:type="dxa"/>
            <w:tcBorders>
              <w:top w:val="nil"/>
              <w:left w:val="nil"/>
              <w:bottom w:val="single" w:sz="4" w:space="0" w:color="auto"/>
              <w:right w:val="single" w:sz="4" w:space="0" w:color="auto"/>
            </w:tcBorders>
            <w:shd w:val="clear" w:color="000000" w:fill="FFFFFF"/>
            <w:noWrap/>
            <w:vAlign w:val="bottom"/>
            <w:hideMark/>
          </w:tcPr>
          <w:p w14:paraId="7576FB86" w14:textId="77777777" w:rsidR="00B56301" w:rsidRPr="00364545" w:rsidRDefault="00B56301" w:rsidP="00B37B65">
            <w:pPr>
              <w:jc w:val="right"/>
              <w:rPr>
                <w:rFonts w:asciiTheme="minorHAnsi" w:hAnsiTheme="minorHAnsi"/>
                <w:sz w:val="16"/>
                <w:szCs w:val="16"/>
              </w:rPr>
            </w:pPr>
            <w:r w:rsidRPr="00364545">
              <w:rPr>
                <w:sz w:val="16"/>
              </w:rPr>
              <w:t>-13,83</w:t>
            </w:r>
          </w:p>
        </w:tc>
      </w:tr>
      <w:tr w:rsidR="00B56301" w:rsidRPr="00364545" w14:paraId="1C8B07AA"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32A08C69" w14:textId="423764B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Prescribed burning of savannas</w:t>
            </w:r>
          </w:p>
        </w:tc>
        <w:tc>
          <w:tcPr>
            <w:tcW w:w="993" w:type="dxa"/>
            <w:tcBorders>
              <w:top w:val="nil"/>
              <w:left w:val="nil"/>
              <w:bottom w:val="single" w:sz="4" w:space="0" w:color="auto"/>
              <w:right w:val="single" w:sz="4" w:space="0" w:color="auto"/>
            </w:tcBorders>
            <w:shd w:val="clear" w:color="000000" w:fill="FFFFFF"/>
            <w:noWrap/>
            <w:vAlign w:val="bottom"/>
            <w:hideMark/>
          </w:tcPr>
          <w:p w14:paraId="54375536" w14:textId="77777777" w:rsidR="00B56301" w:rsidRPr="00364545" w:rsidRDefault="00B56301" w:rsidP="00B37B65">
            <w:pPr>
              <w:jc w:val="right"/>
              <w:rPr>
                <w:rFonts w:asciiTheme="minorHAnsi" w:hAnsiTheme="minorHAnsi"/>
                <w:sz w:val="16"/>
                <w:szCs w:val="16"/>
              </w:rPr>
            </w:pPr>
            <w:r w:rsidRPr="00364545">
              <w:rPr>
                <w:sz w:val="16"/>
              </w:rPr>
              <w:t>NO</w:t>
            </w:r>
          </w:p>
        </w:tc>
        <w:tc>
          <w:tcPr>
            <w:tcW w:w="993" w:type="dxa"/>
            <w:tcBorders>
              <w:top w:val="nil"/>
              <w:left w:val="nil"/>
              <w:bottom w:val="single" w:sz="4" w:space="0" w:color="auto"/>
              <w:right w:val="single" w:sz="4" w:space="0" w:color="auto"/>
            </w:tcBorders>
            <w:shd w:val="clear" w:color="000000" w:fill="FFFFFF"/>
            <w:noWrap/>
            <w:vAlign w:val="bottom"/>
            <w:hideMark/>
          </w:tcPr>
          <w:p w14:paraId="69CCD3E1" w14:textId="77777777" w:rsidR="00B56301" w:rsidRPr="00364545" w:rsidRDefault="00B56301" w:rsidP="00B37B65">
            <w:pPr>
              <w:jc w:val="right"/>
              <w:rPr>
                <w:rFonts w:asciiTheme="minorHAnsi" w:hAnsiTheme="minorHAnsi"/>
                <w:sz w:val="16"/>
                <w:szCs w:val="16"/>
              </w:rPr>
            </w:pPr>
            <w:r w:rsidRPr="00364545">
              <w:rPr>
                <w:sz w:val="16"/>
              </w:rPr>
              <w:t>NO</w:t>
            </w:r>
          </w:p>
        </w:tc>
        <w:tc>
          <w:tcPr>
            <w:tcW w:w="1747" w:type="dxa"/>
            <w:tcBorders>
              <w:top w:val="nil"/>
              <w:left w:val="nil"/>
              <w:bottom w:val="single" w:sz="4" w:space="0" w:color="auto"/>
              <w:right w:val="single" w:sz="4" w:space="0" w:color="auto"/>
            </w:tcBorders>
            <w:shd w:val="clear" w:color="000000" w:fill="FFFFFF"/>
            <w:noWrap/>
            <w:vAlign w:val="bottom"/>
            <w:hideMark/>
          </w:tcPr>
          <w:p w14:paraId="71E941B7"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4659618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CB1B3BE" w14:textId="621FCC3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Field burning of agricultural residues</w:t>
            </w:r>
          </w:p>
        </w:tc>
        <w:tc>
          <w:tcPr>
            <w:tcW w:w="993" w:type="dxa"/>
            <w:tcBorders>
              <w:top w:val="nil"/>
              <w:left w:val="nil"/>
              <w:bottom w:val="single" w:sz="4" w:space="0" w:color="auto"/>
              <w:right w:val="single" w:sz="4" w:space="0" w:color="auto"/>
            </w:tcBorders>
            <w:shd w:val="clear" w:color="000000" w:fill="FFFFFF"/>
            <w:noWrap/>
            <w:vAlign w:val="bottom"/>
            <w:hideMark/>
          </w:tcPr>
          <w:p w14:paraId="68492F3A" w14:textId="77777777" w:rsidR="00B56301" w:rsidRPr="00364545" w:rsidRDefault="00B56301" w:rsidP="00B37B65">
            <w:pPr>
              <w:jc w:val="right"/>
              <w:rPr>
                <w:rFonts w:asciiTheme="minorHAnsi" w:hAnsiTheme="minorHAnsi"/>
                <w:sz w:val="16"/>
                <w:szCs w:val="16"/>
              </w:rPr>
            </w:pPr>
            <w:r w:rsidRPr="00364545">
              <w:rPr>
                <w:sz w:val="16"/>
              </w:rPr>
              <w:t>0,03</w:t>
            </w:r>
          </w:p>
        </w:tc>
        <w:tc>
          <w:tcPr>
            <w:tcW w:w="993" w:type="dxa"/>
            <w:tcBorders>
              <w:top w:val="nil"/>
              <w:left w:val="nil"/>
              <w:bottom w:val="single" w:sz="4" w:space="0" w:color="auto"/>
              <w:right w:val="single" w:sz="4" w:space="0" w:color="auto"/>
            </w:tcBorders>
            <w:shd w:val="clear" w:color="000000" w:fill="FFFFFF"/>
            <w:noWrap/>
            <w:vAlign w:val="bottom"/>
            <w:hideMark/>
          </w:tcPr>
          <w:p w14:paraId="5AA5AE8B" w14:textId="77777777" w:rsidR="00B56301" w:rsidRPr="00364545" w:rsidRDefault="00B56301" w:rsidP="00B37B65">
            <w:pPr>
              <w:jc w:val="right"/>
              <w:rPr>
                <w:rFonts w:asciiTheme="minorHAnsi" w:hAnsiTheme="minorHAnsi"/>
                <w:sz w:val="16"/>
                <w:szCs w:val="16"/>
              </w:rPr>
            </w:pPr>
            <w:r w:rsidRPr="00364545">
              <w:rPr>
                <w:sz w:val="16"/>
              </w:rPr>
              <w:t>0,03</w:t>
            </w:r>
          </w:p>
        </w:tc>
        <w:tc>
          <w:tcPr>
            <w:tcW w:w="1747" w:type="dxa"/>
            <w:tcBorders>
              <w:top w:val="nil"/>
              <w:left w:val="nil"/>
              <w:bottom w:val="single" w:sz="4" w:space="0" w:color="auto"/>
              <w:right w:val="single" w:sz="4" w:space="0" w:color="auto"/>
            </w:tcBorders>
            <w:shd w:val="clear" w:color="000000" w:fill="FFFFFF"/>
            <w:noWrap/>
            <w:vAlign w:val="bottom"/>
            <w:hideMark/>
          </w:tcPr>
          <w:p w14:paraId="2125E89C" w14:textId="77777777" w:rsidR="00B56301" w:rsidRPr="00364545" w:rsidRDefault="00B56301" w:rsidP="00B37B65">
            <w:pPr>
              <w:jc w:val="right"/>
              <w:rPr>
                <w:rFonts w:asciiTheme="minorHAnsi" w:hAnsiTheme="minorHAnsi"/>
                <w:sz w:val="16"/>
                <w:szCs w:val="16"/>
              </w:rPr>
            </w:pPr>
            <w:r w:rsidRPr="00364545">
              <w:rPr>
                <w:sz w:val="16"/>
              </w:rPr>
              <w:t>-59,16</w:t>
            </w:r>
          </w:p>
        </w:tc>
      </w:tr>
      <w:tr w:rsidR="00B56301" w:rsidRPr="00364545" w14:paraId="309F6757"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DFFE62A" w14:textId="78EA775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Liming</w:t>
            </w:r>
          </w:p>
        </w:tc>
        <w:tc>
          <w:tcPr>
            <w:tcW w:w="993" w:type="dxa"/>
            <w:tcBorders>
              <w:top w:val="nil"/>
              <w:left w:val="nil"/>
              <w:bottom w:val="single" w:sz="4" w:space="0" w:color="auto"/>
              <w:right w:val="single" w:sz="4" w:space="0" w:color="auto"/>
            </w:tcBorders>
            <w:shd w:val="clear" w:color="000000" w:fill="969696"/>
            <w:noWrap/>
            <w:vAlign w:val="bottom"/>
            <w:hideMark/>
          </w:tcPr>
          <w:p w14:paraId="0D2DBCD7"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2EB24705"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085B462A"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2A1C278D"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E4C4347" w14:textId="55F0BC70"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H. Urea application</w:t>
            </w:r>
          </w:p>
        </w:tc>
        <w:tc>
          <w:tcPr>
            <w:tcW w:w="993" w:type="dxa"/>
            <w:tcBorders>
              <w:top w:val="nil"/>
              <w:left w:val="nil"/>
              <w:bottom w:val="single" w:sz="4" w:space="0" w:color="auto"/>
              <w:right w:val="single" w:sz="4" w:space="0" w:color="auto"/>
            </w:tcBorders>
            <w:shd w:val="clear" w:color="000000" w:fill="969696"/>
            <w:noWrap/>
            <w:vAlign w:val="bottom"/>
            <w:hideMark/>
          </w:tcPr>
          <w:p w14:paraId="7EBDF05A"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57BAACBF"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2F820590"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55939C7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5261595" w14:textId="0F79F653"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I. Other carbon containing fertlizers</w:t>
            </w:r>
          </w:p>
        </w:tc>
        <w:tc>
          <w:tcPr>
            <w:tcW w:w="993" w:type="dxa"/>
            <w:tcBorders>
              <w:top w:val="nil"/>
              <w:left w:val="nil"/>
              <w:bottom w:val="single" w:sz="4" w:space="0" w:color="auto"/>
              <w:right w:val="single" w:sz="4" w:space="0" w:color="auto"/>
            </w:tcBorders>
            <w:shd w:val="clear" w:color="000000" w:fill="969696"/>
            <w:noWrap/>
            <w:vAlign w:val="bottom"/>
            <w:hideMark/>
          </w:tcPr>
          <w:p w14:paraId="7116A1EF"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0C4F3F7E"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57438D61"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13C5200"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AE5DC4B" w14:textId="54EB754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J. Other </w:t>
            </w:r>
          </w:p>
        </w:tc>
        <w:tc>
          <w:tcPr>
            <w:tcW w:w="993" w:type="dxa"/>
            <w:tcBorders>
              <w:top w:val="nil"/>
              <w:left w:val="nil"/>
              <w:bottom w:val="single" w:sz="4" w:space="0" w:color="auto"/>
              <w:right w:val="single" w:sz="4" w:space="0" w:color="auto"/>
            </w:tcBorders>
            <w:shd w:val="clear" w:color="000000" w:fill="FFFFFF"/>
            <w:noWrap/>
            <w:vAlign w:val="bottom"/>
            <w:hideMark/>
          </w:tcPr>
          <w:p w14:paraId="7F40EE07" w14:textId="77777777" w:rsidR="00B56301" w:rsidRPr="00364545" w:rsidRDefault="00B56301" w:rsidP="00B37B65">
            <w:pPr>
              <w:jc w:val="right"/>
              <w:rPr>
                <w:rFonts w:asciiTheme="minorHAnsi" w:hAnsiTheme="minorHAnsi"/>
                <w:sz w:val="16"/>
                <w:szCs w:val="16"/>
              </w:rPr>
            </w:pPr>
            <w:r w:rsidRPr="00364545">
              <w:rPr>
                <w:sz w:val="16"/>
              </w:rPr>
              <w:t>NO</w:t>
            </w:r>
          </w:p>
        </w:tc>
        <w:tc>
          <w:tcPr>
            <w:tcW w:w="993" w:type="dxa"/>
            <w:tcBorders>
              <w:top w:val="nil"/>
              <w:left w:val="nil"/>
              <w:bottom w:val="single" w:sz="4" w:space="0" w:color="auto"/>
              <w:right w:val="single" w:sz="4" w:space="0" w:color="auto"/>
            </w:tcBorders>
            <w:shd w:val="clear" w:color="000000" w:fill="FFFFFF"/>
            <w:noWrap/>
            <w:vAlign w:val="bottom"/>
            <w:hideMark/>
          </w:tcPr>
          <w:p w14:paraId="78F87900" w14:textId="77777777" w:rsidR="00B56301" w:rsidRPr="00364545" w:rsidRDefault="00B56301" w:rsidP="00B37B65">
            <w:pPr>
              <w:jc w:val="right"/>
              <w:rPr>
                <w:rFonts w:asciiTheme="minorHAnsi" w:hAnsiTheme="minorHAnsi"/>
                <w:sz w:val="16"/>
                <w:szCs w:val="16"/>
              </w:rPr>
            </w:pPr>
            <w:r w:rsidRPr="00364545">
              <w:rPr>
                <w:sz w:val="16"/>
              </w:rPr>
              <w:t>NO</w:t>
            </w:r>
          </w:p>
        </w:tc>
        <w:tc>
          <w:tcPr>
            <w:tcW w:w="1747" w:type="dxa"/>
            <w:tcBorders>
              <w:top w:val="nil"/>
              <w:left w:val="nil"/>
              <w:bottom w:val="single" w:sz="4" w:space="0" w:color="auto"/>
              <w:right w:val="single" w:sz="4" w:space="0" w:color="auto"/>
            </w:tcBorders>
            <w:shd w:val="clear" w:color="000000" w:fill="FFFFFF"/>
            <w:noWrap/>
            <w:vAlign w:val="bottom"/>
            <w:hideMark/>
          </w:tcPr>
          <w:p w14:paraId="6F46FBF1"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1951E2A7"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bottom"/>
            <w:hideMark/>
          </w:tcPr>
          <w:p w14:paraId="522290CE"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4. Land use, land-use change and forestry</w:t>
            </w:r>
          </w:p>
        </w:tc>
        <w:tc>
          <w:tcPr>
            <w:tcW w:w="993" w:type="dxa"/>
            <w:tcBorders>
              <w:top w:val="nil"/>
              <w:left w:val="nil"/>
              <w:bottom w:val="single" w:sz="4" w:space="0" w:color="auto"/>
              <w:right w:val="single" w:sz="4" w:space="0" w:color="auto"/>
            </w:tcBorders>
            <w:shd w:val="clear" w:color="000000" w:fill="CCFFFF"/>
            <w:noWrap/>
            <w:vAlign w:val="bottom"/>
            <w:hideMark/>
          </w:tcPr>
          <w:p w14:paraId="131A21A1" w14:textId="77777777" w:rsidR="00B56301" w:rsidRPr="00364545" w:rsidRDefault="00B56301" w:rsidP="00B37B65">
            <w:pPr>
              <w:jc w:val="right"/>
              <w:rPr>
                <w:rFonts w:asciiTheme="minorHAnsi" w:hAnsiTheme="minorHAnsi"/>
                <w:sz w:val="16"/>
                <w:szCs w:val="16"/>
              </w:rPr>
            </w:pPr>
            <w:r w:rsidRPr="00364545">
              <w:rPr>
                <w:sz w:val="16"/>
              </w:rPr>
              <w:t>9,62</w:t>
            </w:r>
          </w:p>
        </w:tc>
        <w:tc>
          <w:tcPr>
            <w:tcW w:w="993" w:type="dxa"/>
            <w:tcBorders>
              <w:top w:val="nil"/>
              <w:left w:val="nil"/>
              <w:bottom w:val="single" w:sz="4" w:space="0" w:color="auto"/>
              <w:right w:val="single" w:sz="4" w:space="0" w:color="auto"/>
            </w:tcBorders>
            <w:shd w:val="clear" w:color="000000" w:fill="CCFFFF"/>
            <w:noWrap/>
            <w:vAlign w:val="bottom"/>
            <w:hideMark/>
          </w:tcPr>
          <w:p w14:paraId="6C88DB74" w14:textId="77777777" w:rsidR="00B56301" w:rsidRPr="00364545" w:rsidRDefault="00B56301" w:rsidP="00B37B65">
            <w:pPr>
              <w:jc w:val="right"/>
              <w:rPr>
                <w:rFonts w:asciiTheme="minorHAnsi" w:hAnsiTheme="minorHAnsi"/>
                <w:sz w:val="16"/>
                <w:szCs w:val="16"/>
              </w:rPr>
            </w:pPr>
            <w:r w:rsidRPr="00364545">
              <w:rPr>
                <w:sz w:val="16"/>
              </w:rPr>
              <w:t>9,56</w:t>
            </w:r>
          </w:p>
        </w:tc>
        <w:tc>
          <w:tcPr>
            <w:tcW w:w="1747" w:type="dxa"/>
            <w:tcBorders>
              <w:top w:val="nil"/>
              <w:left w:val="nil"/>
              <w:bottom w:val="single" w:sz="4" w:space="0" w:color="auto"/>
              <w:right w:val="single" w:sz="4" w:space="0" w:color="auto"/>
            </w:tcBorders>
            <w:shd w:val="clear" w:color="000000" w:fill="CCFFFF"/>
            <w:noWrap/>
            <w:vAlign w:val="bottom"/>
            <w:hideMark/>
          </w:tcPr>
          <w:p w14:paraId="5957D34C" w14:textId="77777777" w:rsidR="00B56301" w:rsidRPr="00364545" w:rsidRDefault="00B56301" w:rsidP="00B37B65">
            <w:pPr>
              <w:jc w:val="right"/>
              <w:rPr>
                <w:rFonts w:asciiTheme="minorHAnsi" w:hAnsiTheme="minorHAnsi"/>
                <w:sz w:val="16"/>
                <w:szCs w:val="16"/>
              </w:rPr>
            </w:pPr>
            <w:r w:rsidRPr="00364545">
              <w:rPr>
                <w:sz w:val="16"/>
              </w:rPr>
              <w:t>-11,66</w:t>
            </w:r>
          </w:p>
        </w:tc>
      </w:tr>
      <w:tr w:rsidR="00B56301" w:rsidRPr="00364545" w14:paraId="0FCB0B9C"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570E48D" w14:textId="67FE847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Forest land</w:t>
            </w:r>
          </w:p>
        </w:tc>
        <w:tc>
          <w:tcPr>
            <w:tcW w:w="993" w:type="dxa"/>
            <w:tcBorders>
              <w:top w:val="nil"/>
              <w:left w:val="nil"/>
              <w:bottom w:val="single" w:sz="4" w:space="0" w:color="auto"/>
              <w:right w:val="single" w:sz="4" w:space="0" w:color="auto"/>
            </w:tcBorders>
            <w:shd w:val="clear" w:color="000000" w:fill="FFFFFF"/>
            <w:noWrap/>
            <w:vAlign w:val="bottom"/>
            <w:hideMark/>
          </w:tcPr>
          <w:p w14:paraId="06FCE4CB" w14:textId="77777777" w:rsidR="00B56301" w:rsidRPr="00364545" w:rsidRDefault="00B56301" w:rsidP="00B37B65">
            <w:pPr>
              <w:jc w:val="right"/>
              <w:rPr>
                <w:rFonts w:asciiTheme="minorHAnsi" w:hAnsiTheme="minorHAnsi"/>
                <w:sz w:val="16"/>
                <w:szCs w:val="16"/>
              </w:rPr>
            </w:pPr>
            <w:r w:rsidRPr="00364545">
              <w:rPr>
                <w:sz w:val="16"/>
              </w:rPr>
              <w:t>1,26</w:t>
            </w:r>
          </w:p>
        </w:tc>
        <w:tc>
          <w:tcPr>
            <w:tcW w:w="993" w:type="dxa"/>
            <w:tcBorders>
              <w:top w:val="nil"/>
              <w:left w:val="nil"/>
              <w:bottom w:val="single" w:sz="4" w:space="0" w:color="auto"/>
              <w:right w:val="single" w:sz="4" w:space="0" w:color="auto"/>
            </w:tcBorders>
            <w:shd w:val="clear" w:color="000000" w:fill="FFFFFF"/>
            <w:noWrap/>
            <w:vAlign w:val="bottom"/>
            <w:hideMark/>
          </w:tcPr>
          <w:p w14:paraId="2EE2050E" w14:textId="77777777" w:rsidR="00B56301" w:rsidRPr="00364545" w:rsidRDefault="00B56301" w:rsidP="00B37B65">
            <w:pPr>
              <w:jc w:val="right"/>
              <w:rPr>
                <w:rFonts w:asciiTheme="minorHAnsi" w:hAnsiTheme="minorHAnsi"/>
                <w:sz w:val="16"/>
                <w:szCs w:val="16"/>
              </w:rPr>
            </w:pPr>
            <w:r w:rsidRPr="00364545">
              <w:rPr>
                <w:sz w:val="16"/>
              </w:rPr>
              <w:t>1,22</w:t>
            </w:r>
          </w:p>
        </w:tc>
        <w:tc>
          <w:tcPr>
            <w:tcW w:w="1747" w:type="dxa"/>
            <w:tcBorders>
              <w:top w:val="nil"/>
              <w:left w:val="nil"/>
              <w:bottom w:val="single" w:sz="4" w:space="0" w:color="auto"/>
              <w:right w:val="single" w:sz="4" w:space="0" w:color="auto"/>
            </w:tcBorders>
            <w:shd w:val="clear" w:color="000000" w:fill="FFFFFF"/>
            <w:noWrap/>
            <w:vAlign w:val="bottom"/>
            <w:hideMark/>
          </w:tcPr>
          <w:p w14:paraId="2FE8C49A" w14:textId="77777777" w:rsidR="00B56301" w:rsidRPr="00364545" w:rsidRDefault="00B56301" w:rsidP="00B37B65">
            <w:pPr>
              <w:jc w:val="right"/>
              <w:rPr>
                <w:rFonts w:asciiTheme="minorHAnsi" w:hAnsiTheme="minorHAnsi"/>
                <w:sz w:val="16"/>
                <w:szCs w:val="16"/>
              </w:rPr>
            </w:pPr>
            <w:r w:rsidRPr="00364545">
              <w:rPr>
                <w:sz w:val="16"/>
              </w:rPr>
              <w:t>-17,80</w:t>
            </w:r>
          </w:p>
        </w:tc>
      </w:tr>
      <w:tr w:rsidR="00B56301" w:rsidRPr="00364545" w14:paraId="60E0E5A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B8913F8" w14:textId="2A2DF154"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Cropland</w:t>
            </w:r>
          </w:p>
        </w:tc>
        <w:tc>
          <w:tcPr>
            <w:tcW w:w="993" w:type="dxa"/>
            <w:tcBorders>
              <w:top w:val="nil"/>
              <w:left w:val="nil"/>
              <w:bottom w:val="single" w:sz="4" w:space="0" w:color="auto"/>
              <w:right w:val="single" w:sz="4" w:space="0" w:color="auto"/>
            </w:tcBorders>
            <w:shd w:val="clear" w:color="000000" w:fill="FFFFFF"/>
            <w:noWrap/>
            <w:vAlign w:val="bottom"/>
            <w:hideMark/>
          </w:tcPr>
          <w:p w14:paraId="54D0090E" w14:textId="77777777" w:rsidR="00B56301" w:rsidRPr="00364545" w:rsidRDefault="00B56301" w:rsidP="00B37B65">
            <w:pPr>
              <w:jc w:val="right"/>
              <w:rPr>
                <w:rFonts w:asciiTheme="minorHAnsi" w:hAnsiTheme="minorHAnsi"/>
                <w:sz w:val="16"/>
                <w:szCs w:val="16"/>
              </w:rPr>
            </w:pPr>
            <w:r w:rsidRPr="00364545">
              <w:rPr>
                <w:sz w:val="16"/>
              </w:rPr>
              <w:t>4,51</w:t>
            </w:r>
          </w:p>
        </w:tc>
        <w:tc>
          <w:tcPr>
            <w:tcW w:w="993" w:type="dxa"/>
            <w:tcBorders>
              <w:top w:val="nil"/>
              <w:left w:val="nil"/>
              <w:bottom w:val="single" w:sz="4" w:space="0" w:color="auto"/>
              <w:right w:val="single" w:sz="4" w:space="0" w:color="auto"/>
            </w:tcBorders>
            <w:shd w:val="clear" w:color="000000" w:fill="FFFFFF"/>
            <w:noWrap/>
            <w:vAlign w:val="bottom"/>
            <w:hideMark/>
          </w:tcPr>
          <w:p w14:paraId="4BF83095" w14:textId="77777777" w:rsidR="00B56301" w:rsidRPr="00364545" w:rsidRDefault="00B56301" w:rsidP="00B37B65">
            <w:pPr>
              <w:jc w:val="right"/>
              <w:rPr>
                <w:rFonts w:asciiTheme="minorHAnsi" w:hAnsiTheme="minorHAnsi"/>
                <w:sz w:val="16"/>
                <w:szCs w:val="16"/>
              </w:rPr>
            </w:pPr>
            <w:r w:rsidRPr="00364545">
              <w:rPr>
                <w:sz w:val="16"/>
              </w:rPr>
              <w:t>4,52</w:t>
            </w:r>
          </w:p>
        </w:tc>
        <w:tc>
          <w:tcPr>
            <w:tcW w:w="1747" w:type="dxa"/>
            <w:tcBorders>
              <w:top w:val="nil"/>
              <w:left w:val="nil"/>
              <w:bottom w:val="single" w:sz="4" w:space="0" w:color="auto"/>
              <w:right w:val="single" w:sz="4" w:space="0" w:color="auto"/>
            </w:tcBorders>
            <w:shd w:val="clear" w:color="000000" w:fill="FFFFFF"/>
            <w:noWrap/>
            <w:vAlign w:val="bottom"/>
            <w:hideMark/>
          </w:tcPr>
          <w:p w14:paraId="0B6C9D72" w14:textId="77777777" w:rsidR="00B56301" w:rsidRPr="00364545" w:rsidRDefault="00B56301" w:rsidP="00B37B65">
            <w:pPr>
              <w:jc w:val="right"/>
              <w:rPr>
                <w:rFonts w:asciiTheme="minorHAnsi" w:hAnsiTheme="minorHAnsi"/>
                <w:sz w:val="16"/>
                <w:szCs w:val="16"/>
              </w:rPr>
            </w:pPr>
            <w:r w:rsidRPr="00364545">
              <w:rPr>
                <w:sz w:val="16"/>
              </w:rPr>
              <w:t>-13,26</w:t>
            </w:r>
          </w:p>
        </w:tc>
      </w:tr>
      <w:tr w:rsidR="00B56301" w:rsidRPr="00364545" w14:paraId="5E0EB47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2ED7C75C" w14:textId="3F8FDA4A"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Grassland</w:t>
            </w:r>
          </w:p>
        </w:tc>
        <w:tc>
          <w:tcPr>
            <w:tcW w:w="993" w:type="dxa"/>
            <w:tcBorders>
              <w:top w:val="nil"/>
              <w:left w:val="nil"/>
              <w:bottom w:val="single" w:sz="4" w:space="0" w:color="auto"/>
              <w:right w:val="single" w:sz="4" w:space="0" w:color="auto"/>
            </w:tcBorders>
            <w:shd w:val="clear" w:color="000000" w:fill="FFFFFF"/>
            <w:noWrap/>
            <w:vAlign w:val="bottom"/>
            <w:hideMark/>
          </w:tcPr>
          <w:p w14:paraId="2707E007" w14:textId="77777777" w:rsidR="00B56301" w:rsidRPr="00364545" w:rsidRDefault="00B56301" w:rsidP="00B37B65">
            <w:pPr>
              <w:jc w:val="right"/>
              <w:rPr>
                <w:rFonts w:asciiTheme="minorHAnsi" w:hAnsiTheme="minorHAnsi"/>
                <w:sz w:val="16"/>
                <w:szCs w:val="16"/>
              </w:rPr>
            </w:pPr>
            <w:r w:rsidRPr="00364545">
              <w:rPr>
                <w:sz w:val="16"/>
              </w:rPr>
              <w:t>0,35</w:t>
            </w:r>
          </w:p>
        </w:tc>
        <w:tc>
          <w:tcPr>
            <w:tcW w:w="993" w:type="dxa"/>
            <w:tcBorders>
              <w:top w:val="nil"/>
              <w:left w:val="nil"/>
              <w:bottom w:val="single" w:sz="4" w:space="0" w:color="auto"/>
              <w:right w:val="single" w:sz="4" w:space="0" w:color="auto"/>
            </w:tcBorders>
            <w:shd w:val="clear" w:color="000000" w:fill="FFFFFF"/>
            <w:noWrap/>
            <w:vAlign w:val="bottom"/>
            <w:hideMark/>
          </w:tcPr>
          <w:p w14:paraId="742A2A95" w14:textId="77777777" w:rsidR="00B56301" w:rsidRPr="00364545" w:rsidRDefault="00B56301" w:rsidP="00B37B65">
            <w:pPr>
              <w:jc w:val="right"/>
              <w:rPr>
                <w:rFonts w:asciiTheme="minorHAnsi" w:hAnsiTheme="minorHAnsi"/>
                <w:sz w:val="16"/>
                <w:szCs w:val="16"/>
              </w:rPr>
            </w:pPr>
            <w:r w:rsidRPr="00364545">
              <w:rPr>
                <w:sz w:val="16"/>
              </w:rPr>
              <w:t>0,34</w:t>
            </w:r>
          </w:p>
        </w:tc>
        <w:tc>
          <w:tcPr>
            <w:tcW w:w="1747" w:type="dxa"/>
            <w:tcBorders>
              <w:top w:val="nil"/>
              <w:left w:val="nil"/>
              <w:bottom w:val="single" w:sz="4" w:space="0" w:color="auto"/>
              <w:right w:val="single" w:sz="4" w:space="0" w:color="auto"/>
            </w:tcBorders>
            <w:shd w:val="clear" w:color="000000" w:fill="FFFFFF"/>
            <w:noWrap/>
            <w:vAlign w:val="bottom"/>
            <w:hideMark/>
          </w:tcPr>
          <w:p w14:paraId="10B07F42" w14:textId="77777777" w:rsidR="00B56301" w:rsidRPr="00364545" w:rsidRDefault="00B56301" w:rsidP="00B37B65">
            <w:pPr>
              <w:jc w:val="right"/>
              <w:rPr>
                <w:rFonts w:asciiTheme="minorHAnsi" w:hAnsiTheme="minorHAnsi"/>
                <w:sz w:val="16"/>
                <w:szCs w:val="16"/>
              </w:rPr>
            </w:pPr>
            <w:r w:rsidRPr="00364545">
              <w:rPr>
                <w:sz w:val="16"/>
              </w:rPr>
              <w:t>-28,72</w:t>
            </w:r>
          </w:p>
        </w:tc>
      </w:tr>
      <w:tr w:rsidR="00B56301" w:rsidRPr="00364545" w14:paraId="3F1823A4"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52DD028" w14:textId="0CB61A42"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Wetlands</w:t>
            </w:r>
          </w:p>
        </w:tc>
        <w:tc>
          <w:tcPr>
            <w:tcW w:w="993" w:type="dxa"/>
            <w:tcBorders>
              <w:top w:val="nil"/>
              <w:left w:val="nil"/>
              <w:bottom w:val="single" w:sz="4" w:space="0" w:color="auto"/>
              <w:right w:val="single" w:sz="4" w:space="0" w:color="auto"/>
            </w:tcBorders>
            <w:shd w:val="clear" w:color="000000" w:fill="FFFFFF"/>
            <w:noWrap/>
            <w:vAlign w:val="bottom"/>
            <w:hideMark/>
          </w:tcPr>
          <w:p w14:paraId="79977EB2" w14:textId="77777777" w:rsidR="00B56301" w:rsidRPr="00364545" w:rsidRDefault="00B56301" w:rsidP="00B37B65">
            <w:pPr>
              <w:jc w:val="right"/>
              <w:rPr>
                <w:rFonts w:asciiTheme="minorHAnsi" w:hAnsiTheme="minorHAnsi"/>
                <w:sz w:val="16"/>
                <w:szCs w:val="16"/>
              </w:rPr>
            </w:pPr>
            <w:r w:rsidRPr="00364545">
              <w:rPr>
                <w:sz w:val="16"/>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43E46FB8" w14:textId="77777777" w:rsidR="00B56301" w:rsidRPr="00364545" w:rsidRDefault="00B56301" w:rsidP="00B37B65">
            <w:pPr>
              <w:jc w:val="right"/>
              <w:rPr>
                <w:rFonts w:asciiTheme="minorHAnsi" w:hAnsiTheme="minorHAnsi"/>
                <w:sz w:val="16"/>
                <w:szCs w:val="16"/>
              </w:rPr>
            </w:pPr>
            <w:r w:rsidRPr="00364545">
              <w:rPr>
                <w:sz w:val="16"/>
              </w:rPr>
              <w:t>0,00</w:t>
            </w:r>
          </w:p>
        </w:tc>
        <w:tc>
          <w:tcPr>
            <w:tcW w:w="1747" w:type="dxa"/>
            <w:tcBorders>
              <w:top w:val="nil"/>
              <w:left w:val="nil"/>
              <w:bottom w:val="single" w:sz="4" w:space="0" w:color="auto"/>
              <w:right w:val="single" w:sz="4" w:space="0" w:color="auto"/>
            </w:tcBorders>
            <w:shd w:val="clear" w:color="000000" w:fill="FFFFFF"/>
            <w:noWrap/>
            <w:vAlign w:val="bottom"/>
            <w:hideMark/>
          </w:tcPr>
          <w:p w14:paraId="2D9EC5D4" w14:textId="77777777" w:rsidR="00B56301" w:rsidRPr="00364545" w:rsidRDefault="00B56301" w:rsidP="00B37B65">
            <w:pPr>
              <w:jc w:val="right"/>
              <w:rPr>
                <w:rFonts w:asciiTheme="minorHAnsi" w:hAnsiTheme="minorHAnsi"/>
                <w:sz w:val="16"/>
                <w:szCs w:val="16"/>
              </w:rPr>
            </w:pPr>
            <w:r w:rsidRPr="00364545">
              <w:rPr>
                <w:sz w:val="16"/>
              </w:rPr>
              <w:t>29,50</w:t>
            </w:r>
          </w:p>
        </w:tc>
      </w:tr>
      <w:tr w:rsidR="00B56301" w:rsidRPr="00364545" w14:paraId="12A55CE0"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C1C2B50" w14:textId="411A137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E. Settlements </w:t>
            </w:r>
          </w:p>
        </w:tc>
        <w:tc>
          <w:tcPr>
            <w:tcW w:w="993" w:type="dxa"/>
            <w:tcBorders>
              <w:top w:val="nil"/>
              <w:left w:val="nil"/>
              <w:bottom w:val="single" w:sz="4" w:space="0" w:color="auto"/>
              <w:right w:val="single" w:sz="4" w:space="0" w:color="auto"/>
            </w:tcBorders>
            <w:shd w:val="clear" w:color="000000" w:fill="FFFFFF"/>
            <w:noWrap/>
            <w:vAlign w:val="bottom"/>
            <w:hideMark/>
          </w:tcPr>
          <w:p w14:paraId="7FB662A4" w14:textId="77777777" w:rsidR="00B56301" w:rsidRPr="00364545" w:rsidRDefault="00B56301" w:rsidP="00B37B65">
            <w:pPr>
              <w:jc w:val="right"/>
              <w:rPr>
                <w:rFonts w:asciiTheme="minorHAnsi" w:hAnsiTheme="minorHAnsi"/>
                <w:sz w:val="16"/>
                <w:szCs w:val="16"/>
              </w:rPr>
            </w:pPr>
            <w:r w:rsidRPr="00364545">
              <w:rPr>
                <w:sz w:val="16"/>
              </w:rPr>
              <w:t>1,99</w:t>
            </w:r>
          </w:p>
        </w:tc>
        <w:tc>
          <w:tcPr>
            <w:tcW w:w="993" w:type="dxa"/>
            <w:tcBorders>
              <w:top w:val="nil"/>
              <w:left w:val="nil"/>
              <w:bottom w:val="single" w:sz="4" w:space="0" w:color="auto"/>
              <w:right w:val="single" w:sz="4" w:space="0" w:color="auto"/>
            </w:tcBorders>
            <w:shd w:val="clear" w:color="000000" w:fill="FFFFFF"/>
            <w:noWrap/>
            <w:vAlign w:val="bottom"/>
            <w:hideMark/>
          </w:tcPr>
          <w:p w14:paraId="12F331D4" w14:textId="77777777" w:rsidR="00B56301" w:rsidRPr="00364545" w:rsidRDefault="00B56301" w:rsidP="00B37B65">
            <w:pPr>
              <w:jc w:val="right"/>
              <w:rPr>
                <w:rFonts w:asciiTheme="minorHAnsi" w:hAnsiTheme="minorHAnsi"/>
                <w:sz w:val="16"/>
                <w:szCs w:val="16"/>
              </w:rPr>
            </w:pPr>
            <w:r w:rsidRPr="00364545">
              <w:rPr>
                <w:sz w:val="16"/>
              </w:rPr>
              <w:t>1,99</w:t>
            </w:r>
          </w:p>
        </w:tc>
        <w:tc>
          <w:tcPr>
            <w:tcW w:w="1747" w:type="dxa"/>
            <w:tcBorders>
              <w:top w:val="nil"/>
              <w:left w:val="nil"/>
              <w:bottom w:val="single" w:sz="4" w:space="0" w:color="auto"/>
              <w:right w:val="single" w:sz="4" w:space="0" w:color="auto"/>
            </w:tcBorders>
            <w:shd w:val="clear" w:color="000000" w:fill="FFFFFF"/>
            <w:noWrap/>
            <w:vAlign w:val="bottom"/>
            <w:hideMark/>
          </w:tcPr>
          <w:p w14:paraId="16CB5C6C" w14:textId="77777777" w:rsidR="00B56301" w:rsidRPr="00364545" w:rsidRDefault="00B56301" w:rsidP="00B37B65">
            <w:pPr>
              <w:jc w:val="right"/>
              <w:rPr>
                <w:rFonts w:asciiTheme="minorHAnsi" w:hAnsiTheme="minorHAnsi"/>
                <w:sz w:val="16"/>
                <w:szCs w:val="16"/>
              </w:rPr>
            </w:pPr>
            <w:r w:rsidRPr="00364545">
              <w:rPr>
                <w:sz w:val="16"/>
              </w:rPr>
              <w:t>0,06</w:t>
            </w:r>
          </w:p>
        </w:tc>
      </w:tr>
      <w:tr w:rsidR="00B56301" w:rsidRPr="00364545" w14:paraId="0BF3B499"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CE8B558" w14:textId="206AA77C"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F. Other land</w:t>
            </w:r>
          </w:p>
        </w:tc>
        <w:tc>
          <w:tcPr>
            <w:tcW w:w="993" w:type="dxa"/>
            <w:tcBorders>
              <w:top w:val="nil"/>
              <w:left w:val="nil"/>
              <w:bottom w:val="single" w:sz="4" w:space="0" w:color="auto"/>
              <w:right w:val="single" w:sz="4" w:space="0" w:color="auto"/>
            </w:tcBorders>
            <w:shd w:val="clear" w:color="000000" w:fill="FFFFFF"/>
            <w:noWrap/>
            <w:vAlign w:val="bottom"/>
            <w:hideMark/>
          </w:tcPr>
          <w:p w14:paraId="3681E51C" w14:textId="77777777" w:rsidR="00B56301" w:rsidRPr="00364545" w:rsidRDefault="00B56301" w:rsidP="00B37B65">
            <w:pPr>
              <w:jc w:val="right"/>
              <w:rPr>
                <w:rFonts w:asciiTheme="minorHAnsi" w:hAnsiTheme="minorHAnsi"/>
                <w:sz w:val="16"/>
                <w:szCs w:val="16"/>
              </w:rPr>
            </w:pPr>
            <w:r w:rsidRPr="00364545">
              <w:rPr>
                <w:sz w:val="16"/>
              </w:rPr>
              <w:t>NO,NE</w:t>
            </w:r>
          </w:p>
        </w:tc>
        <w:tc>
          <w:tcPr>
            <w:tcW w:w="993" w:type="dxa"/>
            <w:tcBorders>
              <w:top w:val="nil"/>
              <w:left w:val="nil"/>
              <w:bottom w:val="single" w:sz="4" w:space="0" w:color="auto"/>
              <w:right w:val="single" w:sz="4" w:space="0" w:color="auto"/>
            </w:tcBorders>
            <w:shd w:val="clear" w:color="000000" w:fill="FFFFFF"/>
            <w:noWrap/>
            <w:vAlign w:val="bottom"/>
            <w:hideMark/>
          </w:tcPr>
          <w:p w14:paraId="303F2BA1" w14:textId="77777777" w:rsidR="00B56301" w:rsidRPr="00364545" w:rsidRDefault="00B56301" w:rsidP="00B37B65">
            <w:pPr>
              <w:jc w:val="right"/>
              <w:rPr>
                <w:rFonts w:asciiTheme="minorHAnsi" w:hAnsiTheme="minorHAnsi"/>
                <w:sz w:val="16"/>
                <w:szCs w:val="16"/>
              </w:rPr>
            </w:pPr>
            <w:r w:rsidRPr="00364545">
              <w:rPr>
                <w:sz w:val="16"/>
              </w:rPr>
              <w:t>NO,NE</w:t>
            </w:r>
          </w:p>
        </w:tc>
        <w:tc>
          <w:tcPr>
            <w:tcW w:w="1747" w:type="dxa"/>
            <w:tcBorders>
              <w:top w:val="nil"/>
              <w:left w:val="nil"/>
              <w:bottom w:val="single" w:sz="4" w:space="0" w:color="auto"/>
              <w:right w:val="single" w:sz="4" w:space="0" w:color="auto"/>
            </w:tcBorders>
            <w:shd w:val="clear" w:color="000000" w:fill="FFFFFF"/>
            <w:noWrap/>
            <w:vAlign w:val="bottom"/>
            <w:hideMark/>
          </w:tcPr>
          <w:p w14:paraId="02798BC5"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7B21670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F64159F" w14:textId="36A80A4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G. Harvested wood products</w:t>
            </w:r>
          </w:p>
        </w:tc>
        <w:tc>
          <w:tcPr>
            <w:tcW w:w="993" w:type="dxa"/>
            <w:tcBorders>
              <w:top w:val="nil"/>
              <w:left w:val="nil"/>
              <w:bottom w:val="single" w:sz="4" w:space="0" w:color="auto"/>
              <w:right w:val="single" w:sz="4" w:space="0" w:color="auto"/>
            </w:tcBorders>
            <w:shd w:val="clear" w:color="000000" w:fill="969696"/>
            <w:noWrap/>
            <w:vAlign w:val="bottom"/>
            <w:hideMark/>
          </w:tcPr>
          <w:p w14:paraId="5D9E3C88"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1A851ED0"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7FFBD4D8"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0DBAEE6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B79EABB" w14:textId="752CC945"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 xml:space="preserve">H. Other   </w:t>
            </w:r>
          </w:p>
        </w:tc>
        <w:tc>
          <w:tcPr>
            <w:tcW w:w="993" w:type="dxa"/>
            <w:tcBorders>
              <w:top w:val="nil"/>
              <w:left w:val="nil"/>
              <w:bottom w:val="single" w:sz="4" w:space="0" w:color="auto"/>
              <w:right w:val="single" w:sz="4" w:space="0" w:color="auto"/>
            </w:tcBorders>
            <w:shd w:val="clear" w:color="000000" w:fill="FFFFFF"/>
            <w:noWrap/>
            <w:vAlign w:val="bottom"/>
            <w:hideMark/>
          </w:tcPr>
          <w:p w14:paraId="1F2EDF87" w14:textId="77777777" w:rsidR="00B56301" w:rsidRPr="00364545" w:rsidRDefault="00B56301" w:rsidP="00B37B65">
            <w:pPr>
              <w:jc w:val="right"/>
              <w:rPr>
                <w:rFonts w:asciiTheme="minorHAnsi" w:hAnsiTheme="minorHAnsi"/>
                <w:sz w:val="16"/>
                <w:szCs w:val="16"/>
              </w:rPr>
            </w:pPr>
            <w:r w:rsidRPr="00364545">
              <w:rPr>
                <w:sz w:val="16"/>
              </w:rPr>
              <w:t>NA</w:t>
            </w:r>
          </w:p>
        </w:tc>
        <w:tc>
          <w:tcPr>
            <w:tcW w:w="993" w:type="dxa"/>
            <w:tcBorders>
              <w:top w:val="nil"/>
              <w:left w:val="nil"/>
              <w:bottom w:val="single" w:sz="4" w:space="0" w:color="auto"/>
              <w:right w:val="single" w:sz="4" w:space="0" w:color="auto"/>
            </w:tcBorders>
            <w:shd w:val="clear" w:color="000000" w:fill="FFFFFF"/>
            <w:noWrap/>
            <w:vAlign w:val="bottom"/>
            <w:hideMark/>
          </w:tcPr>
          <w:p w14:paraId="6441FE7B" w14:textId="77777777" w:rsidR="00B56301" w:rsidRPr="00364545" w:rsidRDefault="00B56301" w:rsidP="00B37B65">
            <w:pPr>
              <w:jc w:val="right"/>
              <w:rPr>
                <w:rFonts w:asciiTheme="minorHAnsi" w:hAnsiTheme="minorHAnsi"/>
                <w:sz w:val="16"/>
                <w:szCs w:val="16"/>
              </w:rPr>
            </w:pPr>
            <w:r w:rsidRPr="00364545">
              <w:rPr>
                <w:sz w:val="16"/>
              </w:rPr>
              <w:t>NA</w:t>
            </w:r>
          </w:p>
        </w:tc>
        <w:tc>
          <w:tcPr>
            <w:tcW w:w="1747" w:type="dxa"/>
            <w:tcBorders>
              <w:top w:val="nil"/>
              <w:left w:val="nil"/>
              <w:bottom w:val="single" w:sz="4" w:space="0" w:color="auto"/>
              <w:right w:val="single" w:sz="4" w:space="0" w:color="auto"/>
            </w:tcBorders>
            <w:shd w:val="clear" w:color="000000" w:fill="FFFFFF"/>
            <w:noWrap/>
            <w:vAlign w:val="bottom"/>
            <w:hideMark/>
          </w:tcPr>
          <w:p w14:paraId="52CC969D"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35F8E42A"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7580E46" w14:textId="52324F1E"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5. Waste</w:t>
            </w:r>
          </w:p>
        </w:tc>
        <w:tc>
          <w:tcPr>
            <w:tcW w:w="993" w:type="dxa"/>
            <w:tcBorders>
              <w:top w:val="nil"/>
              <w:left w:val="nil"/>
              <w:bottom w:val="single" w:sz="4" w:space="0" w:color="auto"/>
              <w:right w:val="single" w:sz="4" w:space="0" w:color="auto"/>
            </w:tcBorders>
            <w:shd w:val="clear" w:color="000000" w:fill="CCFFFF"/>
            <w:noWrap/>
            <w:vAlign w:val="bottom"/>
            <w:hideMark/>
          </w:tcPr>
          <w:p w14:paraId="68288A1D" w14:textId="77777777" w:rsidR="00B56301" w:rsidRPr="00364545" w:rsidRDefault="00B56301" w:rsidP="00B37B65">
            <w:pPr>
              <w:jc w:val="right"/>
              <w:rPr>
                <w:rFonts w:asciiTheme="minorHAnsi" w:hAnsiTheme="minorHAnsi"/>
                <w:sz w:val="16"/>
                <w:szCs w:val="16"/>
              </w:rPr>
            </w:pPr>
            <w:r w:rsidRPr="00364545">
              <w:rPr>
                <w:sz w:val="16"/>
              </w:rPr>
              <w:t>2,00</w:t>
            </w:r>
          </w:p>
        </w:tc>
        <w:tc>
          <w:tcPr>
            <w:tcW w:w="993" w:type="dxa"/>
            <w:tcBorders>
              <w:top w:val="nil"/>
              <w:left w:val="nil"/>
              <w:bottom w:val="single" w:sz="4" w:space="0" w:color="auto"/>
              <w:right w:val="single" w:sz="4" w:space="0" w:color="auto"/>
            </w:tcBorders>
            <w:shd w:val="clear" w:color="000000" w:fill="CCFFFF"/>
            <w:noWrap/>
            <w:vAlign w:val="bottom"/>
            <w:hideMark/>
          </w:tcPr>
          <w:p w14:paraId="76476FF2" w14:textId="77777777" w:rsidR="00B56301" w:rsidRPr="00364545" w:rsidRDefault="00B56301" w:rsidP="00B37B65">
            <w:pPr>
              <w:jc w:val="right"/>
              <w:rPr>
                <w:rFonts w:asciiTheme="minorHAnsi" w:hAnsiTheme="minorHAnsi"/>
                <w:sz w:val="16"/>
                <w:szCs w:val="16"/>
              </w:rPr>
            </w:pPr>
            <w:r w:rsidRPr="00364545">
              <w:rPr>
                <w:sz w:val="16"/>
              </w:rPr>
              <w:t>2,00</w:t>
            </w:r>
          </w:p>
        </w:tc>
        <w:tc>
          <w:tcPr>
            <w:tcW w:w="1747" w:type="dxa"/>
            <w:tcBorders>
              <w:top w:val="nil"/>
              <w:left w:val="nil"/>
              <w:bottom w:val="single" w:sz="4" w:space="0" w:color="auto"/>
              <w:right w:val="single" w:sz="4" w:space="0" w:color="auto"/>
            </w:tcBorders>
            <w:shd w:val="clear" w:color="000000" w:fill="CCFFFF"/>
            <w:noWrap/>
            <w:vAlign w:val="bottom"/>
            <w:hideMark/>
          </w:tcPr>
          <w:p w14:paraId="2D9E88F5" w14:textId="77777777" w:rsidR="00B56301" w:rsidRPr="00364545" w:rsidRDefault="00B56301" w:rsidP="00B37B65">
            <w:pPr>
              <w:jc w:val="right"/>
              <w:rPr>
                <w:rFonts w:asciiTheme="minorHAnsi" w:hAnsiTheme="minorHAnsi"/>
                <w:sz w:val="16"/>
                <w:szCs w:val="16"/>
              </w:rPr>
            </w:pPr>
            <w:r w:rsidRPr="00364545">
              <w:rPr>
                <w:sz w:val="16"/>
              </w:rPr>
              <w:t>-22,54</w:t>
            </w:r>
          </w:p>
        </w:tc>
      </w:tr>
      <w:tr w:rsidR="00B56301" w:rsidRPr="00364545" w14:paraId="1828E9CD"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2855EBD6" w14:textId="6F121B78"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A. Solid waste disposal</w:t>
            </w:r>
            <w:r w:rsidRPr="00364545">
              <w:rPr>
                <w:rFonts w:asciiTheme="minorHAnsi" w:hAnsiTheme="minorHAnsi"/>
                <w:b/>
                <w:sz w:val="16"/>
              </w:rPr>
              <w:t xml:space="preserve"> </w:t>
            </w:r>
          </w:p>
        </w:tc>
        <w:tc>
          <w:tcPr>
            <w:tcW w:w="993" w:type="dxa"/>
            <w:tcBorders>
              <w:top w:val="nil"/>
              <w:left w:val="nil"/>
              <w:bottom w:val="single" w:sz="4" w:space="0" w:color="auto"/>
              <w:right w:val="single" w:sz="4" w:space="0" w:color="auto"/>
            </w:tcBorders>
            <w:shd w:val="clear" w:color="000000" w:fill="969696"/>
            <w:noWrap/>
            <w:vAlign w:val="bottom"/>
            <w:hideMark/>
          </w:tcPr>
          <w:p w14:paraId="03453CA6"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12345FDC"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7E4E2D33"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2206141"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49E2314" w14:textId="24B4C82D"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B. Biological treatment of solid waste</w:t>
            </w:r>
          </w:p>
        </w:tc>
        <w:tc>
          <w:tcPr>
            <w:tcW w:w="993" w:type="dxa"/>
            <w:tcBorders>
              <w:top w:val="nil"/>
              <w:left w:val="nil"/>
              <w:bottom w:val="single" w:sz="4" w:space="0" w:color="auto"/>
              <w:right w:val="single" w:sz="4" w:space="0" w:color="auto"/>
            </w:tcBorders>
            <w:shd w:val="clear" w:color="000000" w:fill="FFFFFF"/>
            <w:noWrap/>
            <w:vAlign w:val="bottom"/>
            <w:hideMark/>
          </w:tcPr>
          <w:p w14:paraId="71B4ACA6" w14:textId="77777777" w:rsidR="00B56301" w:rsidRPr="00364545" w:rsidRDefault="00B56301" w:rsidP="00B37B65">
            <w:pPr>
              <w:jc w:val="right"/>
              <w:rPr>
                <w:rFonts w:asciiTheme="minorHAnsi" w:hAnsiTheme="minorHAnsi"/>
                <w:sz w:val="16"/>
                <w:szCs w:val="16"/>
              </w:rPr>
            </w:pPr>
            <w:r w:rsidRPr="00364545">
              <w:rPr>
                <w:sz w:val="16"/>
              </w:rPr>
              <w:t>0,72</w:t>
            </w:r>
          </w:p>
        </w:tc>
        <w:tc>
          <w:tcPr>
            <w:tcW w:w="993" w:type="dxa"/>
            <w:tcBorders>
              <w:top w:val="nil"/>
              <w:left w:val="nil"/>
              <w:bottom w:val="single" w:sz="4" w:space="0" w:color="auto"/>
              <w:right w:val="single" w:sz="4" w:space="0" w:color="auto"/>
            </w:tcBorders>
            <w:shd w:val="clear" w:color="000000" w:fill="FFFFFF"/>
            <w:noWrap/>
            <w:vAlign w:val="bottom"/>
            <w:hideMark/>
          </w:tcPr>
          <w:p w14:paraId="3B505C35" w14:textId="77777777" w:rsidR="00B56301" w:rsidRPr="00364545" w:rsidRDefault="00B56301" w:rsidP="00B37B65">
            <w:pPr>
              <w:jc w:val="right"/>
              <w:rPr>
                <w:rFonts w:asciiTheme="minorHAnsi" w:hAnsiTheme="minorHAnsi"/>
                <w:sz w:val="16"/>
                <w:szCs w:val="16"/>
              </w:rPr>
            </w:pPr>
            <w:r w:rsidRPr="00364545">
              <w:rPr>
                <w:sz w:val="16"/>
              </w:rPr>
              <w:t>0,72</w:t>
            </w:r>
          </w:p>
        </w:tc>
        <w:tc>
          <w:tcPr>
            <w:tcW w:w="1747" w:type="dxa"/>
            <w:tcBorders>
              <w:top w:val="nil"/>
              <w:left w:val="nil"/>
              <w:bottom w:val="single" w:sz="4" w:space="0" w:color="auto"/>
              <w:right w:val="single" w:sz="4" w:space="0" w:color="auto"/>
            </w:tcBorders>
            <w:shd w:val="clear" w:color="000000" w:fill="FFFFFF"/>
            <w:noWrap/>
            <w:vAlign w:val="bottom"/>
            <w:hideMark/>
          </w:tcPr>
          <w:p w14:paraId="14EE397E" w14:textId="77777777" w:rsidR="00B56301" w:rsidRPr="00364545" w:rsidRDefault="00B56301" w:rsidP="00B37B65">
            <w:pPr>
              <w:jc w:val="right"/>
              <w:rPr>
                <w:rFonts w:asciiTheme="minorHAnsi" w:hAnsiTheme="minorHAnsi"/>
                <w:sz w:val="16"/>
                <w:szCs w:val="16"/>
              </w:rPr>
            </w:pPr>
            <w:r w:rsidRPr="00364545">
              <w:rPr>
                <w:sz w:val="16"/>
              </w:rPr>
              <w:t>334,93</w:t>
            </w:r>
          </w:p>
        </w:tc>
      </w:tr>
      <w:tr w:rsidR="00B56301" w:rsidRPr="00364545" w14:paraId="65E9EE88"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F3FC337" w14:textId="46702A4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C. Incineration and open burning of waste</w:t>
            </w:r>
          </w:p>
        </w:tc>
        <w:tc>
          <w:tcPr>
            <w:tcW w:w="993" w:type="dxa"/>
            <w:tcBorders>
              <w:top w:val="nil"/>
              <w:left w:val="nil"/>
              <w:bottom w:val="single" w:sz="4" w:space="0" w:color="auto"/>
              <w:right w:val="single" w:sz="4" w:space="0" w:color="auto"/>
            </w:tcBorders>
            <w:shd w:val="clear" w:color="000000" w:fill="FFFFFF"/>
            <w:noWrap/>
            <w:vAlign w:val="bottom"/>
            <w:hideMark/>
          </w:tcPr>
          <w:p w14:paraId="4C31158F" w14:textId="77777777" w:rsidR="00B56301" w:rsidRPr="00364545" w:rsidRDefault="00B56301" w:rsidP="00B37B65">
            <w:pPr>
              <w:jc w:val="right"/>
              <w:rPr>
                <w:rFonts w:asciiTheme="minorHAnsi" w:hAnsiTheme="minorHAnsi"/>
                <w:sz w:val="16"/>
                <w:szCs w:val="16"/>
              </w:rPr>
            </w:pPr>
            <w:r w:rsidRPr="00364545">
              <w:rPr>
                <w:sz w:val="16"/>
              </w:rPr>
              <w:t>0,21</w:t>
            </w:r>
          </w:p>
        </w:tc>
        <w:tc>
          <w:tcPr>
            <w:tcW w:w="993" w:type="dxa"/>
            <w:tcBorders>
              <w:top w:val="nil"/>
              <w:left w:val="nil"/>
              <w:bottom w:val="single" w:sz="4" w:space="0" w:color="auto"/>
              <w:right w:val="single" w:sz="4" w:space="0" w:color="auto"/>
            </w:tcBorders>
            <w:shd w:val="clear" w:color="000000" w:fill="FFFFFF"/>
            <w:noWrap/>
            <w:vAlign w:val="bottom"/>
            <w:hideMark/>
          </w:tcPr>
          <w:p w14:paraId="1214DD1A" w14:textId="77777777" w:rsidR="00B56301" w:rsidRPr="00364545" w:rsidRDefault="00B56301" w:rsidP="00B37B65">
            <w:pPr>
              <w:jc w:val="right"/>
              <w:rPr>
                <w:rFonts w:asciiTheme="minorHAnsi" w:hAnsiTheme="minorHAnsi"/>
                <w:sz w:val="16"/>
                <w:szCs w:val="16"/>
              </w:rPr>
            </w:pPr>
            <w:r w:rsidRPr="00364545">
              <w:rPr>
                <w:sz w:val="16"/>
              </w:rPr>
              <w:t>0,21</w:t>
            </w:r>
          </w:p>
        </w:tc>
        <w:tc>
          <w:tcPr>
            <w:tcW w:w="1747" w:type="dxa"/>
            <w:tcBorders>
              <w:top w:val="nil"/>
              <w:left w:val="nil"/>
              <w:bottom w:val="single" w:sz="4" w:space="0" w:color="auto"/>
              <w:right w:val="single" w:sz="4" w:space="0" w:color="auto"/>
            </w:tcBorders>
            <w:shd w:val="clear" w:color="000000" w:fill="FFFFFF"/>
            <w:noWrap/>
            <w:vAlign w:val="bottom"/>
            <w:hideMark/>
          </w:tcPr>
          <w:p w14:paraId="4572F33B" w14:textId="77777777" w:rsidR="00B56301" w:rsidRPr="00364545" w:rsidRDefault="00B56301" w:rsidP="00B37B65">
            <w:pPr>
              <w:jc w:val="right"/>
              <w:rPr>
                <w:rFonts w:asciiTheme="minorHAnsi" w:hAnsiTheme="minorHAnsi"/>
                <w:sz w:val="16"/>
                <w:szCs w:val="16"/>
              </w:rPr>
            </w:pPr>
            <w:r w:rsidRPr="00364545">
              <w:rPr>
                <w:sz w:val="16"/>
              </w:rPr>
              <w:t>-58,11</w:t>
            </w:r>
          </w:p>
        </w:tc>
      </w:tr>
      <w:tr w:rsidR="00B56301" w:rsidRPr="00364545" w14:paraId="4AF03BF9"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A70B7EA" w14:textId="5813E8DF"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D. Waste water treatment and discharge</w:t>
            </w:r>
          </w:p>
        </w:tc>
        <w:tc>
          <w:tcPr>
            <w:tcW w:w="993" w:type="dxa"/>
            <w:tcBorders>
              <w:top w:val="nil"/>
              <w:left w:val="nil"/>
              <w:bottom w:val="single" w:sz="4" w:space="0" w:color="auto"/>
              <w:right w:val="single" w:sz="4" w:space="0" w:color="auto"/>
            </w:tcBorders>
            <w:shd w:val="clear" w:color="000000" w:fill="FFFFFF"/>
            <w:noWrap/>
            <w:vAlign w:val="bottom"/>
            <w:hideMark/>
          </w:tcPr>
          <w:p w14:paraId="314C640D" w14:textId="77777777" w:rsidR="00B56301" w:rsidRPr="00364545" w:rsidRDefault="00B56301" w:rsidP="00B37B65">
            <w:pPr>
              <w:jc w:val="right"/>
              <w:rPr>
                <w:rFonts w:asciiTheme="minorHAnsi" w:hAnsiTheme="minorHAnsi"/>
                <w:sz w:val="16"/>
                <w:szCs w:val="16"/>
              </w:rPr>
            </w:pPr>
            <w:r w:rsidRPr="00364545">
              <w:rPr>
                <w:sz w:val="16"/>
              </w:rPr>
              <w:t>1,07</w:t>
            </w:r>
          </w:p>
        </w:tc>
        <w:tc>
          <w:tcPr>
            <w:tcW w:w="993" w:type="dxa"/>
            <w:tcBorders>
              <w:top w:val="nil"/>
              <w:left w:val="nil"/>
              <w:bottom w:val="single" w:sz="4" w:space="0" w:color="auto"/>
              <w:right w:val="single" w:sz="4" w:space="0" w:color="auto"/>
            </w:tcBorders>
            <w:shd w:val="clear" w:color="000000" w:fill="FFFFFF"/>
            <w:noWrap/>
            <w:vAlign w:val="bottom"/>
            <w:hideMark/>
          </w:tcPr>
          <w:p w14:paraId="5AA70A9B" w14:textId="77777777" w:rsidR="00B56301" w:rsidRPr="00364545" w:rsidRDefault="00B56301" w:rsidP="00B37B65">
            <w:pPr>
              <w:jc w:val="right"/>
              <w:rPr>
                <w:rFonts w:asciiTheme="minorHAnsi" w:hAnsiTheme="minorHAnsi"/>
                <w:sz w:val="16"/>
                <w:szCs w:val="16"/>
              </w:rPr>
            </w:pPr>
            <w:r w:rsidRPr="00364545">
              <w:rPr>
                <w:sz w:val="16"/>
              </w:rPr>
              <w:t>1,07</w:t>
            </w:r>
          </w:p>
        </w:tc>
        <w:tc>
          <w:tcPr>
            <w:tcW w:w="1747" w:type="dxa"/>
            <w:tcBorders>
              <w:top w:val="nil"/>
              <w:left w:val="nil"/>
              <w:bottom w:val="single" w:sz="4" w:space="0" w:color="auto"/>
              <w:right w:val="single" w:sz="4" w:space="0" w:color="auto"/>
            </w:tcBorders>
            <w:shd w:val="clear" w:color="000000" w:fill="FFFFFF"/>
            <w:noWrap/>
            <w:vAlign w:val="bottom"/>
            <w:hideMark/>
          </w:tcPr>
          <w:p w14:paraId="554ECBE0" w14:textId="77777777" w:rsidR="00B56301" w:rsidRPr="00364545" w:rsidRDefault="00B56301" w:rsidP="00B37B65">
            <w:pPr>
              <w:jc w:val="right"/>
              <w:rPr>
                <w:rFonts w:asciiTheme="minorHAnsi" w:hAnsiTheme="minorHAnsi"/>
                <w:sz w:val="16"/>
                <w:szCs w:val="16"/>
              </w:rPr>
            </w:pPr>
            <w:r w:rsidRPr="00364545">
              <w:rPr>
                <w:sz w:val="16"/>
              </w:rPr>
              <w:t>-44,15</w:t>
            </w:r>
          </w:p>
        </w:tc>
      </w:tr>
      <w:tr w:rsidR="00B56301" w:rsidRPr="00364545" w14:paraId="284E3288"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D399300" w14:textId="0ED99A7E" w:rsidR="00B56301" w:rsidRPr="00364545" w:rsidRDefault="00B56301" w:rsidP="00B37B65">
            <w:pPr>
              <w:ind w:firstLineChars="200" w:firstLine="320"/>
              <w:jc w:val="left"/>
              <w:rPr>
                <w:rFonts w:asciiTheme="minorHAnsi" w:hAnsiTheme="minorHAnsi"/>
                <w:sz w:val="16"/>
                <w:szCs w:val="16"/>
              </w:rPr>
            </w:pPr>
            <w:r w:rsidRPr="00364545">
              <w:rPr>
                <w:rFonts w:asciiTheme="minorHAnsi" w:hAnsiTheme="minorHAnsi"/>
                <w:sz w:val="16"/>
              </w:rPr>
              <w:t>E. Other</w:t>
            </w:r>
            <w:r w:rsidRPr="00364545">
              <w:rPr>
                <w:rFonts w:asciiTheme="minorHAnsi" w:hAnsiTheme="minorHAnsi"/>
                <w:b/>
                <w:i/>
                <w:sz w:val="16"/>
              </w:rPr>
              <w:t xml:space="preserve"> </w:t>
            </w:r>
          </w:p>
        </w:tc>
        <w:tc>
          <w:tcPr>
            <w:tcW w:w="993" w:type="dxa"/>
            <w:tcBorders>
              <w:top w:val="nil"/>
              <w:left w:val="nil"/>
              <w:bottom w:val="single" w:sz="4" w:space="0" w:color="auto"/>
              <w:right w:val="single" w:sz="4" w:space="0" w:color="auto"/>
            </w:tcBorders>
            <w:shd w:val="clear" w:color="000000" w:fill="FFFFFF"/>
            <w:noWrap/>
            <w:vAlign w:val="bottom"/>
            <w:hideMark/>
          </w:tcPr>
          <w:p w14:paraId="24C95526" w14:textId="77777777" w:rsidR="00B56301" w:rsidRPr="00364545" w:rsidRDefault="00B56301" w:rsidP="00B37B65">
            <w:pPr>
              <w:jc w:val="right"/>
              <w:rPr>
                <w:rFonts w:asciiTheme="minorHAnsi" w:hAnsiTheme="minorHAnsi"/>
                <w:sz w:val="16"/>
                <w:szCs w:val="16"/>
              </w:rPr>
            </w:pPr>
            <w:r w:rsidRPr="00364545">
              <w:rPr>
                <w:sz w:val="16"/>
              </w:rPr>
              <w:t>NO</w:t>
            </w:r>
          </w:p>
        </w:tc>
        <w:tc>
          <w:tcPr>
            <w:tcW w:w="993" w:type="dxa"/>
            <w:tcBorders>
              <w:top w:val="nil"/>
              <w:left w:val="nil"/>
              <w:bottom w:val="single" w:sz="4" w:space="0" w:color="auto"/>
              <w:right w:val="single" w:sz="4" w:space="0" w:color="auto"/>
            </w:tcBorders>
            <w:shd w:val="clear" w:color="000000" w:fill="FFFFFF"/>
            <w:noWrap/>
            <w:vAlign w:val="bottom"/>
            <w:hideMark/>
          </w:tcPr>
          <w:p w14:paraId="5AD446E1" w14:textId="77777777" w:rsidR="00B56301" w:rsidRPr="00364545" w:rsidRDefault="00B56301" w:rsidP="00B37B65">
            <w:pPr>
              <w:jc w:val="right"/>
              <w:rPr>
                <w:rFonts w:asciiTheme="minorHAnsi" w:hAnsiTheme="minorHAnsi"/>
                <w:sz w:val="16"/>
                <w:szCs w:val="16"/>
              </w:rPr>
            </w:pPr>
            <w:r w:rsidRPr="00364545">
              <w:rPr>
                <w:sz w:val="16"/>
              </w:rPr>
              <w:t>NO</w:t>
            </w:r>
          </w:p>
        </w:tc>
        <w:tc>
          <w:tcPr>
            <w:tcW w:w="1747" w:type="dxa"/>
            <w:tcBorders>
              <w:top w:val="nil"/>
              <w:left w:val="nil"/>
              <w:bottom w:val="single" w:sz="4" w:space="0" w:color="auto"/>
              <w:right w:val="single" w:sz="4" w:space="0" w:color="auto"/>
            </w:tcBorders>
            <w:shd w:val="clear" w:color="000000" w:fill="FFFFFF"/>
            <w:noWrap/>
            <w:vAlign w:val="bottom"/>
            <w:hideMark/>
          </w:tcPr>
          <w:p w14:paraId="1CB008CC"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538790B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AF55CA1" w14:textId="4D088154"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6. Other </w:t>
            </w:r>
            <w:r w:rsidRPr="00364545">
              <w:rPr>
                <w:rFonts w:asciiTheme="minorHAnsi" w:hAnsiTheme="minorHAnsi"/>
                <w:b/>
                <w:i/>
                <w:sz w:val="16"/>
              </w:rPr>
              <w:t>(as specified in summary 1.A)</w:t>
            </w:r>
          </w:p>
        </w:tc>
        <w:tc>
          <w:tcPr>
            <w:tcW w:w="993" w:type="dxa"/>
            <w:tcBorders>
              <w:top w:val="nil"/>
              <w:left w:val="nil"/>
              <w:bottom w:val="single" w:sz="4" w:space="0" w:color="auto"/>
              <w:right w:val="single" w:sz="4" w:space="0" w:color="auto"/>
            </w:tcBorders>
            <w:shd w:val="clear" w:color="000000" w:fill="CCFFFF"/>
            <w:noWrap/>
            <w:vAlign w:val="bottom"/>
            <w:hideMark/>
          </w:tcPr>
          <w:p w14:paraId="11EF626F" w14:textId="77777777" w:rsidR="00B56301" w:rsidRPr="00364545" w:rsidRDefault="00B56301" w:rsidP="00B37B65">
            <w:pPr>
              <w:jc w:val="right"/>
              <w:rPr>
                <w:rFonts w:asciiTheme="minorHAnsi" w:hAnsiTheme="minorHAnsi"/>
                <w:sz w:val="16"/>
                <w:szCs w:val="16"/>
              </w:rPr>
            </w:pPr>
            <w:r w:rsidRPr="00364545">
              <w:rPr>
                <w:sz w:val="16"/>
              </w:rPr>
              <w:t>NO</w:t>
            </w:r>
          </w:p>
        </w:tc>
        <w:tc>
          <w:tcPr>
            <w:tcW w:w="993" w:type="dxa"/>
            <w:tcBorders>
              <w:top w:val="nil"/>
              <w:left w:val="nil"/>
              <w:bottom w:val="single" w:sz="4" w:space="0" w:color="auto"/>
              <w:right w:val="single" w:sz="4" w:space="0" w:color="auto"/>
            </w:tcBorders>
            <w:shd w:val="clear" w:color="000000" w:fill="CCFFFF"/>
            <w:noWrap/>
            <w:vAlign w:val="bottom"/>
            <w:hideMark/>
          </w:tcPr>
          <w:p w14:paraId="279FFCEA" w14:textId="77777777" w:rsidR="00B56301" w:rsidRPr="00364545" w:rsidRDefault="00B56301" w:rsidP="00B37B65">
            <w:pPr>
              <w:jc w:val="right"/>
              <w:rPr>
                <w:rFonts w:asciiTheme="minorHAnsi" w:hAnsiTheme="minorHAnsi"/>
                <w:sz w:val="16"/>
                <w:szCs w:val="16"/>
              </w:rPr>
            </w:pPr>
            <w:r w:rsidRPr="00364545">
              <w:rPr>
                <w:sz w:val="16"/>
              </w:rPr>
              <w:t>NO</w:t>
            </w:r>
          </w:p>
        </w:tc>
        <w:tc>
          <w:tcPr>
            <w:tcW w:w="1747" w:type="dxa"/>
            <w:tcBorders>
              <w:top w:val="nil"/>
              <w:left w:val="nil"/>
              <w:bottom w:val="single" w:sz="4" w:space="0" w:color="auto"/>
              <w:right w:val="single" w:sz="4" w:space="0" w:color="auto"/>
            </w:tcBorders>
            <w:shd w:val="clear" w:color="000000" w:fill="CCFFFF"/>
            <w:noWrap/>
            <w:vAlign w:val="bottom"/>
            <w:hideMark/>
          </w:tcPr>
          <w:p w14:paraId="3FB66683"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004931A4"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vAlign w:val="center"/>
            <w:hideMark/>
          </w:tcPr>
          <w:p w14:paraId="12C6E617" w14:textId="3240F793"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Total direct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 xml:space="preserve">emissions without </w:t>
            </w:r>
            <w:r w:rsidRPr="00364545">
              <w:rPr>
                <w:sz w:val="16"/>
              </w:rPr>
              <w:t>N</w:t>
            </w:r>
            <w:r w:rsidRPr="00364545">
              <w:rPr>
                <w:sz w:val="16"/>
                <w:vertAlign w:val="subscript"/>
              </w:rPr>
              <w:t>2</w:t>
            </w:r>
            <w:r w:rsidRPr="00364545">
              <w:rPr>
                <w:sz w:val="16"/>
              </w:rPr>
              <w:t xml:space="preserve">O </w:t>
            </w:r>
            <w:r w:rsidRPr="00364545">
              <w:rPr>
                <w:rFonts w:asciiTheme="minorHAnsi" w:hAnsiTheme="minorHAnsi"/>
                <w:b/>
                <w:sz w:val="16"/>
              </w:rPr>
              <w:t>from LULUCF</w:t>
            </w:r>
          </w:p>
        </w:tc>
        <w:tc>
          <w:tcPr>
            <w:tcW w:w="993" w:type="dxa"/>
            <w:tcBorders>
              <w:top w:val="nil"/>
              <w:left w:val="nil"/>
              <w:bottom w:val="single" w:sz="4" w:space="0" w:color="auto"/>
              <w:right w:val="single" w:sz="4" w:space="0" w:color="auto"/>
            </w:tcBorders>
            <w:shd w:val="clear" w:color="000000" w:fill="CCFFFF"/>
            <w:noWrap/>
            <w:vAlign w:val="bottom"/>
            <w:hideMark/>
          </w:tcPr>
          <w:p w14:paraId="7375C9A2" w14:textId="77777777" w:rsidR="00B56301" w:rsidRPr="00364545" w:rsidRDefault="00B56301" w:rsidP="00B37B65">
            <w:pPr>
              <w:jc w:val="right"/>
              <w:rPr>
                <w:rFonts w:asciiTheme="minorHAnsi" w:hAnsiTheme="minorHAnsi"/>
                <w:sz w:val="16"/>
                <w:szCs w:val="16"/>
              </w:rPr>
            </w:pPr>
            <w:r w:rsidRPr="00364545">
              <w:rPr>
                <w:sz w:val="16"/>
              </w:rPr>
              <w:t>127,76</w:t>
            </w:r>
          </w:p>
        </w:tc>
        <w:tc>
          <w:tcPr>
            <w:tcW w:w="993" w:type="dxa"/>
            <w:tcBorders>
              <w:top w:val="nil"/>
              <w:left w:val="nil"/>
              <w:bottom w:val="single" w:sz="4" w:space="0" w:color="auto"/>
              <w:right w:val="single" w:sz="4" w:space="0" w:color="auto"/>
            </w:tcBorders>
            <w:shd w:val="clear" w:color="000000" w:fill="CCFFFF"/>
            <w:noWrap/>
            <w:vAlign w:val="bottom"/>
            <w:hideMark/>
          </w:tcPr>
          <w:p w14:paraId="08C53E6C" w14:textId="77777777" w:rsidR="00B56301" w:rsidRPr="00364545" w:rsidRDefault="00B56301" w:rsidP="00B37B65">
            <w:pPr>
              <w:jc w:val="right"/>
              <w:rPr>
                <w:rFonts w:asciiTheme="minorHAnsi" w:hAnsiTheme="minorHAnsi"/>
                <w:sz w:val="16"/>
                <w:szCs w:val="16"/>
              </w:rPr>
            </w:pPr>
            <w:r w:rsidRPr="00364545">
              <w:rPr>
                <w:sz w:val="16"/>
              </w:rPr>
              <w:t>121,80</w:t>
            </w:r>
          </w:p>
        </w:tc>
        <w:tc>
          <w:tcPr>
            <w:tcW w:w="1747" w:type="dxa"/>
            <w:tcBorders>
              <w:top w:val="nil"/>
              <w:left w:val="nil"/>
              <w:bottom w:val="single" w:sz="4" w:space="0" w:color="auto"/>
              <w:right w:val="single" w:sz="4" w:space="0" w:color="auto"/>
            </w:tcBorders>
            <w:shd w:val="clear" w:color="000000" w:fill="CCFFFF"/>
            <w:noWrap/>
            <w:vAlign w:val="bottom"/>
            <w:hideMark/>
          </w:tcPr>
          <w:p w14:paraId="11F85E60" w14:textId="77777777" w:rsidR="00B56301" w:rsidRPr="00364545" w:rsidRDefault="00B56301" w:rsidP="00B37B65">
            <w:pPr>
              <w:jc w:val="right"/>
              <w:rPr>
                <w:rFonts w:asciiTheme="minorHAnsi" w:hAnsiTheme="minorHAnsi"/>
                <w:sz w:val="16"/>
                <w:szCs w:val="16"/>
              </w:rPr>
            </w:pPr>
            <w:r w:rsidRPr="00364545">
              <w:rPr>
                <w:sz w:val="16"/>
              </w:rPr>
              <w:t>-43,92</w:t>
            </w:r>
          </w:p>
        </w:tc>
      </w:tr>
      <w:tr w:rsidR="00B56301" w:rsidRPr="00364545" w14:paraId="70C61534" w14:textId="77777777" w:rsidTr="0034391E">
        <w:trPr>
          <w:trHeight w:val="68"/>
          <w:jc w:val="center"/>
        </w:trPr>
        <w:tc>
          <w:tcPr>
            <w:tcW w:w="3802" w:type="dxa"/>
            <w:tcBorders>
              <w:top w:val="single" w:sz="4" w:space="0" w:color="auto"/>
              <w:left w:val="single" w:sz="4" w:space="0" w:color="auto"/>
              <w:bottom w:val="nil"/>
              <w:right w:val="single" w:sz="4" w:space="0" w:color="auto"/>
            </w:tcBorders>
            <w:shd w:val="clear" w:color="000000" w:fill="CCFFFF"/>
            <w:vAlign w:val="center"/>
            <w:hideMark/>
          </w:tcPr>
          <w:p w14:paraId="13020CDD" w14:textId="50E56F88" w:rsidR="00B56301" w:rsidRPr="00364545" w:rsidRDefault="00B56301" w:rsidP="00B37B65">
            <w:pPr>
              <w:jc w:val="left"/>
              <w:rPr>
                <w:rFonts w:asciiTheme="minorHAnsi" w:hAnsiTheme="minorHAnsi"/>
                <w:b/>
                <w:bCs/>
                <w:sz w:val="16"/>
                <w:szCs w:val="16"/>
              </w:rPr>
            </w:pPr>
            <w:r w:rsidRPr="00364545">
              <w:rPr>
                <w:rFonts w:asciiTheme="minorHAnsi" w:hAnsiTheme="minorHAnsi"/>
                <w:b/>
                <w:sz w:val="16"/>
                <w:lang w:val="pt-BR"/>
              </w:rPr>
              <w:t xml:space="preserve">Total direct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 xml:space="preserve">emissions with </w:t>
            </w:r>
            <w:r w:rsidRPr="00364545">
              <w:rPr>
                <w:sz w:val="16"/>
                <w:lang w:val="pt-BR"/>
              </w:rPr>
              <w:t>N</w:t>
            </w:r>
            <w:r w:rsidRPr="00364545">
              <w:rPr>
                <w:sz w:val="16"/>
                <w:vertAlign w:val="subscript"/>
                <w:lang w:val="pt-BR"/>
              </w:rPr>
              <w:t>2</w:t>
            </w:r>
            <w:r w:rsidRPr="00364545">
              <w:rPr>
                <w:sz w:val="16"/>
                <w:lang w:val="pt-BR"/>
              </w:rPr>
              <w:t xml:space="preserve">O </w:t>
            </w:r>
            <w:r w:rsidRPr="00364545">
              <w:rPr>
                <w:rFonts w:asciiTheme="minorHAnsi" w:hAnsiTheme="minorHAnsi"/>
                <w:b/>
                <w:sz w:val="16"/>
                <w:lang w:val="pt-BR"/>
              </w:rPr>
              <w:t>from LULUCF</w:t>
            </w:r>
          </w:p>
        </w:tc>
        <w:tc>
          <w:tcPr>
            <w:tcW w:w="993" w:type="dxa"/>
            <w:tcBorders>
              <w:top w:val="nil"/>
              <w:left w:val="single" w:sz="4" w:space="0" w:color="auto"/>
              <w:bottom w:val="single" w:sz="4" w:space="0" w:color="auto"/>
              <w:right w:val="single" w:sz="4" w:space="0" w:color="auto"/>
            </w:tcBorders>
            <w:shd w:val="clear" w:color="000000" w:fill="CCFFFF"/>
            <w:noWrap/>
            <w:vAlign w:val="bottom"/>
            <w:hideMark/>
          </w:tcPr>
          <w:p w14:paraId="50B43B2D" w14:textId="77777777" w:rsidR="00B56301" w:rsidRPr="00364545" w:rsidRDefault="00B56301" w:rsidP="00B37B65">
            <w:pPr>
              <w:jc w:val="right"/>
              <w:rPr>
                <w:rFonts w:asciiTheme="minorHAnsi" w:hAnsiTheme="minorHAnsi"/>
                <w:sz w:val="16"/>
                <w:szCs w:val="16"/>
              </w:rPr>
            </w:pPr>
            <w:r w:rsidRPr="00364545">
              <w:rPr>
                <w:sz w:val="16"/>
              </w:rPr>
              <w:t>137,38</w:t>
            </w:r>
          </w:p>
        </w:tc>
        <w:tc>
          <w:tcPr>
            <w:tcW w:w="993" w:type="dxa"/>
            <w:tcBorders>
              <w:top w:val="nil"/>
              <w:left w:val="nil"/>
              <w:bottom w:val="single" w:sz="4" w:space="0" w:color="auto"/>
              <w:right w:val="single" w:sz="4" w:space="0" w:color="auto"/>
            </w:tcBorders>
            <w:shd w:val="clear" w:color="000000" w:fill="CCFFFF"/>
            <w:noWrap/>
            <w:vAlign w:val="bottom"/>
            <w:hideMark/>
          </w:tcPr>
          <w:p w14:paraId="2D4EFABB" w14:textId="77777777" w:rsidR="00B56301" w:rsidRPr="00364545" w:rsidRDefault="00B56301" w:rsidP="00B37B65">
            <w:pPr>
              <w:jc w:val="right"/>
              <w:rPr>
                <w:rFonts w:asciiTheme="minorHAnsi" w:hAnsiTheme="minorHAnsi"/>
                <w:sz w:val="16"/>
                <w:szCs w:val="16"/>
              </w:rPr>
            </w:pPr>
            <w:r w:rsidRPr="00364545">
              <w:rPr>
                <w:sz w:val="16"/>
              </w:rPr>
              <w:t>131,37</w:t>
            </w:r>
          </w:p>
        </w:tc>
        <w:tc>
          <w:tcPr>
            <w:tcW w:w="1747" w:type="dxa"/>
            <w:tcBorders>
              <w:top w:val="nil"/>
              <w:left w:val="nil"/>
              <w:bottom w:val="single" w:sz="4" w:space="0" w:color="auto"/>
              <w:right w:val="single" w:sz="4" w:space="0" w:color="auto"/>
            </w:tcBorders>
            <w:shd w:val="clear" w:color="000000" w:fill="CCFFFF"/>
            <w:noWrap/>
            <w:vAlign w:val="bottom"/>
            <w:hideMark/>
          </w:tcPr>
          <w:p w14:paraId="49F5ABA1" w14:textId="77777777" w:rsidR="00B56301" w:rsidRPr="00364545" w:rsidRDefault="00B56301" w:rsidP="00B37B65">
            <w:pPr>
              <w:jc w:val="right"/>
              <w:rPr>
                <w:rFonts w:asciiTheme="minorHAnsi" w:hAnsiTheme="minorHAnsi"/>
                <w:sz w:val="16"/>
                <w:szCs w:val="16"/>
              </w:rPr>
            </w:pPr>
            <w:r w:rsidRPr="00364545">
              <w:rPr>
                <w:sz w:val="16"/>
              </w:rPr>
              <w:t>-42,39</w:t>
            </w:r>
          </w:p>
        </w:tc>
      </w:tr>
      <w:tr w:rsidR="00B56301" w:rsidRPr="00364545" w14:paraId="2E1051E2" w14:textId="77777777" w:rsidTr="0034391E">
        <w:trPr>
          <w:trHeight w:val="68"/>
          <w:jc w:val="center"/>
        </w:trPr>
        <w:tc>
          <w:tcPr>
            <w:tcW w:w="38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A28644C"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Memo items:</w:t>
            </w:r>
            <w:r w:rsidRPr="00364545">
              <w:rPr>
                <w:rFonts w:asciiTheme="minorHAnsi" w:hAnsiTheme="minorHAnsi"/>
                <w:b/>
                <w:sz w:val="16"/>
                <w:vertAlign w:val="superscript"/>
              </w:rPr>
              <w:t xml:space="preserve"> </w:t>
            </w:r>
          </w:p>
        </w:tc>
        <w:tc>
          <w:tcPr>
            <w:tcW w:w="993" w:type="dxa"/>
            <w:tcBorders>
              <w:top w:val="nil"/>
              <w:left w:val="nil"/>
              <w:bottom w:val="single" w:sz="4" w:space="0" w:color="auto"/>
              <w:right w:val="single" w:sz="4" w:space="0" w:color="auto"/>
            </w:tcBorders>
            <w:shd w:val="clear" w:color="000000" w:fill="969696"/>
            <w:noWrap/>
            <w:vAlign w:val="bottom"/>
            <w:hideMark/>
          </w:tcPr>
          <w:p w14:paraId="7A9CB3EA"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68AEFF08"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1C7ACCD2"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30479DD4"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3220A6B"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International bunkers</w:t>
            </w:r>
          </w:p>
        </w:tc>
        <w:tc>
          <w:tcPr>
            <w:tcW w:w="993" w:type="dxa"/>
            <w:tcBorders>
              <w:top w:val="nil"/>
              <w:left w:val="nil"/>
              <w:bottom w:val="single" w:sz="4" w:space="0" w:color="auto"/>
              <w:right w:val="single" w:sz="4" w:space="0" w:color="auto"/>
            </w:tcBorders>
            <w:shd w:val="clear" w:color="000000" w:fill="CCFFFF"/>
            <w:noWrap/>
            <w:vAlign w:val="bottom"/>
            <w:hideMark/>
          </w:tcPr>
          <w:p w14:paraId="0BF67102" w14:textId="77777777" w:rsidR="00B56301" w:rsidRPr="00364545" w:rsidRDefault="00B56301" w:rsidP="00B37B65">
            <w:pPr>
              <w:jc w:val="right"/>
              <w:rPr>
                <w:rFonts w:asciiTheme="minorHAnsi" w:hAnsiTheme="minorHAnsi"/>
                <w:sz w:val="16"/>
                <w:szCs w:val="16"/>
              </w:rPr>
            </w:pPr>
            <w:r w:rsidRPr="00364545">
              <w:rPr>
                <w:sz w:val="16"/>
              </w:rPr>
              <w:t>0,66</w:t>
            </w:r>
          </w:p>
        </w:tc>
        <w:tc>
          <w:tcPr>
            <w:tcW w:w="993" w:type="dxa"/>
            <w:tcBorders>
              <w:top w:val="nil"/>
              <w:left w:val="nil"/>
              <w:bottom w:val="single" w:sz="4" w:space="0" w:color="auto"/>
              <w:right w:val="single" w:sz="4" w:space="0" w:color="auto"/>
            </w:tcBorders>
            <w:shd w:val="clear" w:color="000000" w:fill="CCFFFF"/>
            <w:noWrap/>
            <w:vAlign w:val="bottom"/>
            <w:hideMark/>
          </w:tcPr>
          <w:p w14:paraId="085A0DCE" w14:textId="77777777" w:rsidR="00B56301" w:rsidRPr="00364545" w:rsidRDefault="00B56301" w:rsidP="00B37B65">
            <w:pPr>
              <w:jc w:val="right"/>
              <w:rPr>
                <w:rFonts w:asciiTheme="minorHAnsi" w:hAnsiTheme="minorHAnsi"/>
                <w:sz w:val="16"/>
                <w:szCs w:val="16"/>
              </w:rPr>
            </w:pPr>
            <w:r w:rsidRPr="00364545">
              <w:rPr>
                <w:sz w:val="16"/>
              </w:rPr>
              <w:t>0,30</w:t>
            </w:r>
          </w:p>
        </w:tc>
        <w:tc>
          <w:tcPr>
            <w:tcW w:w="1747" w:type="dxa"/>
            <w:tcBorders>
              <w:top w:val="nil"/>
              <w:left w:val="nil"/>
              <w:bottom w:val="single" w:sz="4" w:space="0" w:color="auto"/>
              <w:right w:val="single" w:sz="4" w:space="0" w:color="auto"/>
            </w:tcBorders>
            <w:shd w:val="clear" w:color="000000" w:fill="CCFFFF"/>
            <w:noWrap/>
            <w:vAlign w:val="bottom"/>
            <w:hideMark/>
          </w:tcPr>
          <w:p w14:paraId="01D05488" w14:textId="77777777" w:rsidR="00B56301" w:rsidRPr="00364545" w:rsidRDefault="00B56301" w:rsidP="00B37B65">
            <w:pPr>
              <w:jc w:val="right"/>
              <w:rPr>
                <w:rFonts w:asciiTheme="minorHAnsi" w:hAnsiTheme="minorHAnsi"/>
                <w:sz w:val="16"/>
                <w:szCs w:val="16"/>
              </w:rPr>
            </w:pPr>
            <w:r w:rsidRPr="00364545">
              <w:rPr>
                <w:sz w:val="16"/>
              </w:rPr>
              <w:t>-32,54</w:t>
            </w:r>
          </w:p>
        </w:tc>
      </w:tr>
      <w:tr w:rsidR="00B56301" w:rsidRPr="00364545" w14:paraId="0E67FB50"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67E9F3D"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Aviation</w:t>
            </w:r>
          </w:p>
        </w:tc>
        <w:tc>
          <w:tcPr>
            <w:tcW w:w="993" w:type="dxa"/>
            <w:tcBorders>
              <w:top w:val="nil"/>
              <w:left w:val="nil"/>
              <w:bottom w:val="single" w:sz="4" w:space="0" w:color="auto"/>
              <w:right w:val="single" w:sz="4" w:space="0" w:color="auto"/>
            </w:tcBorders>
            <w:shd w:val="clear" w:color="000000" w:fill="FFFFFF"/>
            <w:noWrap/>
            <w:vAlign w:val="bottom"/>
            <w:hideMark/>
          </w:tcPr>
          <w:p w14:paraId="02AFD41C" w14:textId="77777777" w:rsidR="00B56301" w:rsidRPr="00364545" w:rsidRDefault="00B56301" w:rsidP="00B37B65">
            <w:pPr>
              <w:jc w:val="right"/>
              <w:rPr>
                <w:rFonts w:asciiTheme="minorHAnsi" w:hAnsiTheme="minorHAnsi"/>
                <w:sz w:val="16"/>
                <w:szCs w:val="16"/>
              </w:rPr>
            </w:pPr>
            <w:r w:rsidRPr="00364545">
              <w:rPr>
                <w:sz w:val="16"/>
              </w:rPr>
              <w:t>0,52</w:t>
            </w:r>
          </w:p>
        </w:tc>
        <w:tc>
          <w:tcPr>
            <w:tcW w:w="993" w:type="dxa"/>
            <w:tcBorders>
              <w:top w:val="nil"/>
              <w:left w:val="nil"/>
              <w:bottom w:val="single" w:sz="4" w:space="0" w:color="auto"/>
              <w:right w:val="single" w:sz="4" w:space="0" w:color="auto"/>
            </w:tcBorders>
            <w:shd w:val="clear" w:color="000000" w:fill="FFFFFF"/>
            <w:noWrap/>
            <w:vAlign w:val="bottom"/>
            <w:hideMark/>
          </w:tcPr>
          <w:p w14:paraId="2E68EDB2" w14:textId="77777777" w:rsidR="00B56301" w:rsidRPr="00364545" w:rsidRDefault="00B56301" w:rsidP="00B37B65">
            <w:pPr>
              <w:jc w:val="right"/>
              <w:rPr>
                <w:rFonts w:asciiTheme="minorHAnsi" w:hAnsiTheme="minorHAnsi"/>
                <w:sz w:val="16"/>
                <w:szCs w:val="16"/>
              </w:rPr>
            </w:pPr>
            <w:r w:rsidRPr="00364545">
              <w:rPr>
                <w:sz w:val="16"/>
              </w:rPr>
              <w:t>0,22</w:t>
            </w:r>
          </w:p>
        </w:tc>
        <w:tc>
          <w:tcPr>
            <w:tcW w:w="1747" w:type="dxa"/>
            <w:tcBorders>
              <w:top w:val="nil"/>
              <w:left w:val="nil"/>
              <w:bottom w:val="single" w:sz="4" w:space="0" w:color="auto"/>
              <w:right w:val="single" w:sz="4" w:space="0" w:color="auto"/>
            </w:tcBorders>
            <w:shd w:val="clear" w:color="000000" w:fill="FFFFFF"/>
            <w:noWrap/>
            <w:vAlign w:val="bottom"/>
            <w:hideMark/>
          </w:tcPr>
          <w:p w14:paraId="0A739000" w14:textId="77777777" w:rsidR="00B56301" w:rsidRPr="00364545" w:rsidRDefault="00B56301" w:rsidP="00B37B65">
            <w:pPr>
              <w:jc w:val="right"/>
              <w:rPr>
                <w:rFonts w:asciiTheme="minorHAnsi" w:hAnsiTheme="minorHAnsi"/>
                <w:sz w:val="16"/>
                <w:szCs w:val="16"/>
              </w:rPr>
            </w:pPr>
            <w:r w:rsidRPr="00364545">
              <w:rPr>
                <w:sz w:val="16"/>
              </w:rPr>
              <w:t>-8,62</w:t>
            </w:r>
          </w:p>
        </w:tc>
      </w:tr>
      <w:tr w:rsidR="00B56301" w:rsidRPr="00364545" w14:paraId="1999280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620DF17" w14:textId="77777777" w:rsidR="00B56301" w:rsidRPr="00364545" w:rsidRDefault="00B56301" w:rsidP="00B37B65">
            <w:pPr>
              <w:jc w:val="left"/>
              <w:rPr>
                <w:rFonts w:asciiTheme="minorHAnsi" w:hAnsiTheme="minorHAnsi"/>
                <w:sz w:val="16"/>
                <w:szCs w:val="16"/>
              </w:rPr>
            </w:pPr>
            <w:r w:rsidRPr="00364545">
              <w:rPr>
                <w:rFonts w:asciiTheme="minorHAnsi" w:hAnsiTheme="minorHAnsi"/>
                <w:sz w:val="16"/>
              </w:rPr>
              <w:t>Navigation</w:t>
            </w:r>
          </w:p>
        </w:tc>
        <w:tc>
          <w:tcPr>
            <w:tcW w:w="993" w:type="dxa"/>
            <w:tcBorders>
              <w:top w:val="nil"/>
              <w:left w:val="nil"/>
              <w:bottom w:val="single" w:sz="4" w:space="0" w:color="auto"/>
              <w:right w:val="single" w:sz="4" w:space="0" w:color="auto"/>
            </w:tcBorders>
            <w:shd w:val="clear" w:color="000000" w:fill="FFFFFF"/>
            <w:noWrap/>
            <w:vAlign w:val="bottom"/>
            <w:hideMark/>
          </w:tcPr>
          <w:p w14:paraId="761B4394" w14:textId="77777777" w:rsidR="00B56301" w:rsidRPr="00364545" w:rsidRDefault="00B56301" w:rsidP="00B37B65">
            <w:pPr>
              <w:jc w:val="right"/>
              <w:rPr>
                <w:rFonts w:asciiTheme="minorHAnsi" w:hAnsiTheme="minorHAnsi"/>
                <w:sz w:val="16"/>
                <w:szCs w:val="16"/>
              </w:rPr>
            </w:pPr>
            <w:r w:rsidRPr="00364545">
              <w:rPr>
                <w:sz w:val="16"/>
              </w:rPr>
              <w:t>0,14</w:t>
            </w:r>
          </w:p>
        </w:tc>
        <w:tc>
          <w:tcPr>
            <w:tcW w:w="993" w:type="dxa"/>
            <w:tcBorders>
              <w:top w:val="nil"/>
              <w:left w:val="nil"/>
              <w:bottom w:val="single" w:sz="4" w:space="0" w:color="auto"/>
              <w:right w:val="single" w:sz="4" w:space="0" w:color="auto"/>
            </w:tcBorders>
            <w:shd w:val="clear" w:color="000000" w:fill="FFFFFF"/>
            <w:noWrap/>
            <w:vAlign w:val="bottom"/>
            <w:hideMark/>
          </w:tcPr>
          <w:p w14:paraId="0EFC76E2" w14:textId="77777777" w:rsidR="00B56301" w:rsidRPr="00364545" w:rsidRDefault="00B56301" w:rsidP="00B37B65">
            <w:pPr>
              <w:jc w:val="right"/>
              <w:rPr>
                <w:rFonts w:asciiTheme="minorHAnsi" w:hAnsiTheme="minorHAnsi"/>
                <w:sz w:val="16"/>
                <w:szCs w:val="16"/>
              </w:rPr>
            </w:pPr>
            <w:r w:rsidRPr="00364545">
              <w:rPr>
                <w:sz w:val="16"/>
              </w:rPr>
              <w:t>0,08</w:t>
            </w:r>
          </w:p>
        </w:tc>
        <w:tc>
          <w:tcPr>
            <w:tcW w:w="1747" w:type="dxa"/>
            <w:tcBorders>
              <w:top w:val="nil"/>
              <w:left w:val="nil"/>
              <w:bottom w:val="single" w:sz="4" w:space="0" w:color="auto"/>
              <w:right w:val="single" w:sz="4" w:space="0" w:color="auto"/>
            </w:tcBorders>
            <w:shd w:val="clear" w:color="000000" w:fill="FFFFFF"/>
            <w:noWrap/>
            <w:vAlign w:val="bottom"/>
            <w:hideMark/>
          </w:tcPr>
          <w:p w14:paraId="06698828" w14:textId="77777777" w:rsidR="00B56301" w:rsidRPr="00364545" w:rsidRDefault="00B56301" w:rsidP="00B37B65">
            <w:pPr>
              <w:jc w:val="right"/>
              <w:rPr>
                <w:rFonts w:asciiTheme="minorHAnsi" w:hAnsiTheme="minorHAnsi"/>
                <w:sz w:val="16"/>
                <w:szCs w:val="16"/>
              </w:rPr>
            </w:pPr>
            <w:r w:rsidRPr="00364545">
              <w:rPr>
                <w:sz w:val="16"/>
              </w:rPr>
              <w:t>-60,65</w:t>
            </w:r>
          </w:p>
        </w:tc>
      </w:tr>
      <w:tr w:rsidR="00B56301" w:rsidRPr="00364545" w14:paraId="1144403C"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23A11837"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Multilateral operations</w:t>
            </w:r>
          </w:p>
        </w:tc>
        <w:tc>
          <w:tcPr>
            <w:tcW w:w="993" w:type="dxa"/>
            <w:tcBorders>
              <w:top w:val="nil"/>
              <w:left w:val="nil"/>
              <w:bottom w:val="single" w:sz="4" w:space="0" w:color="auto"/>
              <w:right w:val="single" w:sz="4" w:space="0" w:color="auto"/>
            </w:tcBorders>
            <w:shd w:val="clear" w:color="000000" w:fill="FFFFFF"/>
            <w:noWrap/>
            <w:vAlign w:val="bottom"/>
            <w:hideMark/>
          </w:tcPr>
          <w:p w14:paraId="762ACBFF" w14:textId="77777777" w:rsidR="00B56301" w:rsidRPr="00364545" w:rsidRDefault="00B56301" w:rsidP="00B37B65">
            <w:pPr>
              <w:jc w:val="right"/>
              <w:rPr>
                <w:rFonts w:asciiTheme="minorHAnsi" w:hAnsiTheme="minorHAnsi"/>
                <w:sz w:val="16"/>
                <w:szCs w:val="16"/>
              </w:rPr>
            </w:pPr>
            <w:r w:rsidRPr="00364545">
              <w:rPr>
                <w:sz w:val="16"/>
              </w:rPr>
              <w:t>NE</w:t>
            </w:r>
          </w:p>
        </w:tc>
        <w:tc>
          <w:tcPr>
            <w:tcW w:w="993" w:type="dxa"/>
            <w:tcBorders>
              <w:top w:val="nil"/>
              <w:left w:val="nil"/>
              <w:bottom w:val="single" w:sz="4" w:space="0" w:color="auto"/>
              <w:right w:val="single" w:sz="4" w:space="0" w:color="auto"/>
            </w:tcBorders>
            <w:shd w:val="clear" w:color="000000" w:fill="FFFFFF"/>
            <w:noWrap/>
            <w:vAlign w:val="bottom"/>
            <w:hideMark/>
          </w:tcPr>
          <w:p w14:paraId="62E0E38E" w14:textId="77777777" w:rsidR="00B56301" w:rsidRPr="00364545" w:rsidRDefault="00B56301" w:rsidP="00B37B65">
            <w:pPr>
              <w:jc w:val="right"/>
              <w:rPr>
                <w:rFonts w:asciiTheme="minorHAnsi" w:hAnsiTheme="minorHAnsi"/>
                <w:sz w:val="16"/>
                <w:szCs w:val="16"/>
              </w:rPr>
            </w:pPr>
            <w:r w:rsidRPr="00364545">
              <w:rPr>
                <w:sz w:val="16"/>
              </w:rPr>
              <w:t>NE</w:t>
            </w:r>
          </w:p>
        </w:tc>
        <w:tc>
          <w:tcPr>
            <w:tcW w:w="1747" w:type="dxa"/>
            <w:tcBorders>
              <w:top w:val="nil"/>
              <w:left w:val="nil"/>
              <w:bottom w:val="single" w:sz="4" w:space="0" w:color="auto"/>
              <w:right w:val="single" w:sz="4" w:space="0" w:color="auto"/>
            </w:tcBorders>
            <w:shd w:val="clear" w:color="000000" w:fill="FFFFFF"/>
            <w:noWrap/>
            <w:vAlign w:val="bottom"/>
            <w:hideMark/>
          </w:tcPr>
          <w:p w14:paraId="6886AA68"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3058184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260F938" w14:textId="1F38137E"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emissions from biomass</w:t>
            </w:r>
          </w:p>
        </w:tc>
        <w:tc>
          <w:tcPr>
            <w:tcW w:w="993" w:type="dxa"/>
            <w:tcBorders>
              <w:top w:val="nil"/>
              <w:left w:val="nil"/>
              <w:bottom w:val="single" w:sz="4" w:space="0" w:color="auto"/>
              <w:right w:val="single" w:sz="4" w:space="0" w:color="auto"/>
            </w:tcBorders>
            <w:shd w:val="clear" w:color="000000" w:fill="969696"/>
            <w:noWrap/>
            <w:vAlign w:val="bottom"/>
            <w:hideMark/>
          </w:tcPr>
          <w:p w14:paraId="5D458E64"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5074833F"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20DBEE77"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421CCDA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3EA76B53" w14:textId="408C9D71" w:rsidR="00B56301" w:rsidRPr="00364545" w:rsidRDefault="007F09F7" w:rsidP="00B37B65">
            <w:pPr>
              <w:jc w:val="left"/>
              <w:rPr>
                <w:rFonts w:asciiTheme="minorHAnsi" w:hAnsiTheme="minorHAnsi"/>
                <w:b/>
                <w:bCs/>
                <w:sz w:val="16"/>
                <w:szCs w:val="16"/>
              </w:rPr>
            </w:pPr>
            <w:r w:rsidRPr="00364545">
              <w:rPr>
                <w:sz w:val="16"/>
              </w:rPr>
              <w:t>CO</w:t>
            </w:r>
            <w:r w:rsidRPr="00364545">
              <w:rPr>
                <w:sz w:val="16"/>
                <w:vertAlign w:val="subscript"/>
              </w:rPr>
              <w:t>2</w:t>
            </w:r>
            <w:r w:rsidRPr="00364545">
              <w:rPr>
                <w:rFonts w:asciiTheme="minorHAnsi" w:hAnsiTheme="minorHAnsi"/>
                <w:b/>
                <w:sz w:val="16"/>
              </w:rPr>
              <w:t xml:space="preserve"> captured</w:t>
            </w:r>
          </w:p>
        </w:tc>
        <w:tc>
          <w:tcPr>
            <w:tcW w:w="993" w:type="dxa"/>
            <w:tcBorders>
              <w:top w:val="nil"/>
              <w:left w:val="nil"/>
              <w:bottom w:val="single" w:sz="4" w:space="0" w:color="auto"/>
              <w:right w:val="single" w:sz="4" w:space="0" w:color="auto"/>
            </w:tcBorders>
            <w:shd w:val="clear" w:color="000000" w:fill="969696"/>
            <w:noWrap/>
            <w:vAlign w:val="bottom"/>
            <w:hideMark/>
          </w:tcPr>
          <w:p w14:paraId="37CD36B4"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56B87247"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7D04F44B"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13FEF88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60AECAA" w14:textId="7777777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Long-term storage of C in waste disposal sites</w:t>
            </w:r>
          </w:p>
        </w:tc>
        <w:tc>
          <w:tcPr>
            <w:tcW w:w="993" w:type="dxa"/>
            <w:tcBorders>
              <w:top w:val="nil"/>
              <w:left w:val="nil"/>
              <w:bottom w:val="single" w:sz="4" w:space="0" w:color="auto"/>
              <w:right w:val="single" w:sz="4" w:space="0" w:color="auto"/>
            </w:tcBorders>
            <w:shd w:val="clear" w:color="000000" w:fill="969696"/>
            <w:noWrap/>
            <w:vAlign w:val="bottom"/>
            <w:hideMark/>
          </w:tcPr>
          <w:p w14:paraId="4C2623E7"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6E3C2F34"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15EBD960" w14:textId="77777777" w:rsidR="00B56301" w:rsidRPr="00364545" w:rsidRDefault="00B56301" w:rsidP="00B37B65">
            <w:pPr>
              <w:jc w:val="right"/>
              <w:rPr>
                <w:rFonts w:asciiTheme="minorHAnsi" w:hAnsiTheme="minorHAnsi"/>
                <w:sz w:val="16"/>
                <w:szCs w:val="16"/>
              </w:rPr>
            </w:pPr>
            <w:r w:rsidRPr="00364545">
              <w:rPr>
                <w:sz w:val="16"/>
              </w:rPr>
              <w:t> </w:t>
            </w:r>
          </w:p>
        </w:tc>
      </w:tr>
      <w:tr w:rsidR="00B56301" w:rsidRPr="00364545" w14:paraId="2CABEEDC" w14:textId="77777777" w:rsidTr="0034391E">
        <w:trPr>
          <w:trHeight w:val="68"/>
          <w:jc w:val="center"/>
        </w:trPr>
        <w:tc>
          <w:tcPr>
            <w:tcW w:w="3802" w:type="dxa"/>
            <w:tcBorders>
              <w:top w:val="single" w:sz="4" w:space="0" w:color="auto"/>
              <w:left w:val="single" w:sz="4" w:space="0" w:color="auto"/>
              <w:bottom w:val="nil"/>
              <w:right w:val="single" w:sz="4" w:space="0" w:color="auto"/>
            </w:tcBorders>
            <w:shd w:val="clear" w:color="000000" w:fill="CCFFFF"/>
            <w:noWrap/>
            <w:vAlign w:val="center"/>
            <w:hideMark/>
          </w:tcPr>
          <w:p w14:paraId="3791969B" w14:textId="5E2154D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N</w:t>
            </w:r>
            <w:r w:rsidRPr="00364545">
              <w:rPr>
                <w:sz w:val="16"/>
                <w:vertAlign w:val="subscript"/>
              </w:rPr>
              <w:t>2</w:t>
            </w:r>
            <w:r w:rsidRPr="00364545">
              <w:rPr>
                <w:sz w:val="16"/>
              </w:rPr>
              <w:t xml:space="preserve">O </w:t>
            </w:r>
          </w:p>
        </w:tc>
        <w:tc>
          <w:tcPr>
            <w:tcW w:w="993" w:type="dxa"/>
            <w:tcBorders>
              <w:top w:val="nil"/>
              <w:left w:val="single" w:sz="4" w:space="0" w:color="auto"/>
              <w:bottom w:val="single" w:sz="4" w:space="0" w:color="auto"/>
              <w:right w:val="single" w:sz="4" w:space="0" w:color="auto"/>
            </w:tcBorders>
            <w:shd w:val="clear" w:color="000000" w:fill="FFFFFF"/>
            <w:noWrap/>
            <w:vAlign w:val="bottom"/>
            <w:hideMark/>
          </w:tcPr>
          <w:p w14:paraId="674B954B" w14:textId="77777777" w:rsidR="00B56301" w:rsidRPr="00364545" w:rsidRDefault="00B56301" w:rsidP="00B37B65">
            <w:pPr>
              <w:jc w:val="right"/>
              <w:rPr>
                <w:rFonts w:asciiTheme="minorHAnsi" w:hAnsiTheme="minorHAnsi"/>
                <w:sz w:val="16"/>
                <w:szCs w:val="16"/>
              </w:rPr>
            </w:pPr>
            <w:r w:rsidRPr="00364545">
              <w:rPr>
                <w:sz w:val="16"/>
              </w:rPr>
              <w:t>NO,NE</w:t>
            </w:r>
          </w:p>
        </w:tc>
        <w:tc>
          <w:tcPr>
            <w:tcW w:w="993" w:type="dxa"/>
            <w:tcBorders>
              <w:top w:val="nil"/>
              <w:left w:val="nil"/>
              <w:bottom w:val="single" w:sz="4" w:space="0" w:color="auto"/>
              <w:right w:val="single" w:sz="4" w:space="0" w:color="auto"/>
            </w:tcBorders>
            <w:shd w:val="clear" w:color="000000" w:fill="FFFFFF"/>
            <w:noWrap/>
            <w:vAlign w:val="bottom"/>
            <w:hideMark/>
          </w:tcPr>
          <w:p w14:paraId="59AB480B" w14:textId="77777777" w:rsidR="00B56301" w:rsidRPr="00364545" w:rsidRDefault="00B56301" w:rsidP="00B37B65">
            <w:pPr>
              <w:jc w:val="right"/>
              <w:rPr>
                <w:rFonts w:asciiTheme="minorHAnsi" w:hAnsiTheme="minorHAnsi"/>
                <w:sz w:val="16"/>
                <w:szCs w:val="16"/>
              </w:rPr>
            </w:pPr>
            <w:r w:rsidRPr="00364545">
              <w:rPr>
                <w:sz w:val="16"/>
              </w:rPr>
              <w:t>NO,NE</w:t>
            </w:r>
          </w:p>
        </w:tc>
        <w:tc>
          <w:tcPr>
            <w:tcW w:w="1747" w:type="dxa"/>
            <w:tcBorders>
              <w:top w:val="nil"/>
              <w:left w:val="nil"/>
              <w:bottom w:val="single" w:sz="4" w:space="0" w:color="auto"/>
              <w:right w:val="single" w:sz="4" w:space="0" w:color="auto"/>
            </w:tcBorders>
            <w:shd w:val="clear" w:color="000000" w:fill="FFFFFF"/>
            <w:noWrap/>
            <w:vAlign w:val="bottom"/>
            <w:hideMark/>
          </w:tcPr>
          <w:p w14:paraId="1AF7BA1F" w14:textId="77777777" w:rsidR="00B56301" w:rsidRPr="00364545" w:rsidRDefault="00B56301" w:rsidP="00B37B65">
            <w:pPr>
              <w:jc w:val="right"/>
              <w:rPr>
                <w:rFonts w:asciiTheme="minorHAnsi" w:hAnsiTheme="minorHAnsi"/>
                <w:sz w:val="16"/>
                <w:szCs w:val="16"/>
              </w:rPr>
            </w:pPr>
            <w:r w:rsidRPr="00364545">
              <w:rPr>
                <w:sz w:val="16"/>
              </w:rPr>
              <w:t>0,00</w:t>
            </w:r>
          </w:p>
        </w:tc>
      </w:tr>
      <w:tr w:rsidR="00B56301" w:rsidRPr="00364545" w14:paraId="105571D6" w14:textId="77777777" w:rsidTr="0034391E">
        <w:trPr>
          <w:trHeight w:val="68"/>
          <w:jc w:val="center"/>
        </w:trPr>
        <w:tc>
          <w:tcPr>
            <w:tcW w:w="38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AF73F38" w14:textId="01740FD7" w:rsidR="00B56301" w:rsidRPr="00364545" w:rsidRDefault="00B56301" w:rsidP="00B37B65">
            <w:pPr>
              <w:jc w:val="left"/>
              <w:rPr>
                <w:rFonts w:asciiTheme="minorHAnsi" w:hAnsiTheme="minorHAnsi"/>
                <w:b/>
                <w:bCs/>
                <w:sz w:val="16"/>
                <w:szCs w:val="16"/>
              </w:rPr>
            </w:pPr>
            <w:r w:rsidRPr="00364545">
              <w:rPr>
                <w:rFonts w:asciiTheme="minorHAnsi" w:hAnsiTheme="minorHAnsi"/>
                <w:b/>
                <w:sz w:val="16"/>
              </w:rPr>
              <w:t xml:space="preserve">Indirect </w:t>
            </w:r>
            <w:r w:rsidRPr="00364545">
              <w:rPr>
                <w:sz w:val="16"/>
              </w:rPr>
              <w:t>CO</w:t>
            </w:r>
            <w:r w:rsidRPr="00364545">
              <w:rPr>
                <w:sz w:val="16"/>
                <w:vertAlign w:val="subscript"/>
              </w:rPr>
              <w:t>2</w:t>
            </w:r>
            <w:r w:rsidRPr="00364545">
              <w:rPr>
                <w:rFonts w:asciiTheme="minorHAnsi" w:hAnsiTheme="minorHAnsi"/>
                <w:b/>
                <w:sz w:val="16"/>
                <w:vertAlign w:val="subscript"/>
              </w:rPr>
              <w:t xml:space="preserve"> </w:t>
            </w:r>
            <w:r w:rsidRPr="00364545">
              <w:rPr>
                <w:rFonts w:asciiTheme="minorHAnsi" w:hAnsiTheme="minorHAnsi"/>
                <w:b/>
                <w:sz w:val="16"/>
                <w:vertAlign w:val="superscript"/>
              </w:rPr>
              <w:t>(3)</w:t>
            </w:r>
          </w:p>
        </w:tc>
        <w:tc>
          <w:tcPr>
            <w:tcW w:w="993" w:type="dxa"/>
            <w:tcBorders>
              <w:top w:val="nil"/>
              <w:left w:val="nil"/>
              <w:bottom w:val="single" w:sz="4" w:space="0" w:color="auto"/>
              <w:right w:val="single" w:sz="4" w:space="0" w:color="auto"/>
            </w:tcBorders>
            <w:shd w:val="clear" w:color="000000" w:fill="969696"/>
            <w:noWrap/>
            <w:vAlign w:val="bottom"/>
            <w:hideMark/>
          </w:tcPr>
          <w:p w14:paraId="5A412441" w14:textId="77777777" w:rsidR="00B56301" w:rsidRPr="00364545" w:rsidRDefault="00B56301" w:rsidP="00B37B65">
            <w:pPr>
              <w:jc w:val="right"/>
              <w:rPr>
                <w:rFonts w:asciiTheme="minorHAnsi" w:hAnsiTheme="minorHAnsi"/>
                <w:sz w:val="16"/>
                <w:szCs w:val="16"/>
              </w:rPr>
            </w:pPr>
            <w:r w:rsidRPr="00364545">
              <w:rPr>
                <w:sz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1018B472" w14:textId="77777777" w:rsidR="00B56301" w:rsidRPr="00364545" w:rsidRDefault="00B56301" w:rsidP="00B37B65">
            <w:pPr>
              <w:jc w:val="right"/>
              <w:rPr>
                <w:rFonts w:asciiTheme="minorHAnsi" w:hAnsiTheme="minorHAnsi"/>
                <w:sz w:val="16"/>
                <w:szCs w:val="16"/>
              </w:rPr>
            </w:pPr>
            <w:r w:rsidRPr="00364545">
              <w:rPr>
                <w:sz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1ECF434C" w14:textId="77777777" w:rsidR="00B56301" w:rsidRPr="00364545" w:rsidRDefault="00B56301" w:rsidP="00B37B65">
            <w:pPr>
              <w:jc w:val="right"/>
              <w:rPr>
                <w:rFonts w:asciiTheme="minorHAnsi" w:hAnsiTheme="minorHAnsi"/>
                <w:sz w:val="16"/>
                <w:szCs w:val="16"/>
              </w:rPr>
            </w:pPr>
            <w:r w:rsidRPr="00364545">
              <w:rPr>
                <w:sz w:val="16"/>
              </w:rPr>
              <w:t> </w:t>
            </w:r>
          </w:p>
        </w:tc>
      </w:tr>
    </w:tbl>
    <w:p w14:paraId="38FCCD33" w14:textId="77777777" w:rsidR="00B56301" w:rsidRPr="00364545" w:rsidRDefault="00B56301" w:rsidP="00B56301">
      <w:pPr>
        <w:spacing w:line="240" w:lineRule="atLeast"/>
        <w:jc w:val="left"/>
        <w:rPr>
          <w:rFonts w:cs="Arial"/>
        </w:rPr>
        <w:sectPr w:rsidR="00B56301" w:rsidRPr="00364545" w:rsidSect="00A8610E">
          <w:pgSz w:w="11906" w:h="16838" w:code="9"/>
          <w:pgMar w:top="1230" w:right="907" w:bottom="1650" w:left="1049" w:header="284" w:footer="284" w:gutter="0"/>
          <w:cols w:space="708"/>
          <w:titlePg/>
          <w:docGrid w:linePitch="360"/>
        </w:sectPr>
      </w:pPr>
    </w:p>
    <w:p w14:paraId="463818B2" w14:textId="78EE0060" w:rsidR="00B56301" w:rsidRPr="00364545" w:rsidRDefault="00B56301" w:rsidP="003F57EA">
      <w:pPr>
        <w:pStyle w:val="Titre2Niveau2"/>
        <w:numPr>
          <w:ilvl w:val="0"/>
          <w:numId w:val="62"/>
        </w:numPr>
      </w:pPr>
      <w:bookmarkStart w:id="780" w:name="_Toc138341926"/>
      <w:r w:rsidRPr="00364545">
        <w:t>Trend for fluorinated gases (“Kyoto” scope - ktCO</w:t>
      </w:r>
      <w:r w:rsidRPr="00364545">
        <w:rPr>
          <w:vertAlign w:val="subscript"/>
        </w:rPr>
        <w:t xml:space="preserve"> 2e</w:t>
      </w:r>
      <w:r w:rsidRPr="00364545">
        <w:t>)</w:t>
      </w:r>
      <w:bookmarkEnd w:id="780"/>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364545" w14:paraId="515A91F8" w14:textId="77777777" w:rsidTr="00B37B65">
        <w:trPr>
          <w:trHeight w:val="68"/>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7118301D" w14:textId="77777777" w:rsidR="00B56301" w:rsidRPr="00364545" w:rsidRDefault="00B56301" w:rsidP="00B37B65">
            <w:pPr>
              <w:jc w:val="center"/>
              <w:rPr>
                <w:rFonts w:ascii="Times New Roman" w:hAnsi="Times New Roman"/>
                <w:b/>
                <w:bCs/>
                <w:sz w:val="20"/>
                <w:szCs w:val="18"/>
              </w:rPr>
            </w:pPr>
            <w:bookmarkStart w:id="781" w:name="RANGE!A5:AH44"/>
            <w:r w:rsidRPr="00364545">
              <w:rPr>
                <w:rFonts w:ascii="Times New Roman" w:hAnsi="Times New Roman"/>
                <w:b/>
                <w:sz w:val="20"/>
              </w:rPr>
              <w:t>GREENHOUSE GAS SOURCE AND SINK CATEGORIES</w:t>
            </w:r>
            <w:bookmarkEnd w:id="781"/>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7FAC55E"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Base year</w:t>
            </w:r>
            <w:r w:rsidRPr="00364545">
              <w:rPr>
                <w:rFonts w:ascii="Times New Roman" w:hAnsi="Times New Roman"/>
                <w:b/>
                <w:sz w:val="18"/>
                <w:vertAlign w:val="superscript"/>
              </w:rPr>
              <w:t>(1)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A72724C"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397D4EF"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2D08A19"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54EC08A"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93D57B5"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1994</w:t>
            </w:r>
          </w:p>
        </w:tc>
      </w:tr>
      <w:tr w:rsidR="00B56301" w:rsidRPr="00364545" w14:paraId="41870D1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A9EC16B" w14:textId="5A565E23"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and PFCs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576EF60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9604,67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6E1EB7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9604,67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41354E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9946,92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64ABFFF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9336,33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588C5A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7709,85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B14A19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6079,17</w:t>
            </w:r>
          </w:p>
        </w:tc>
      </w:tr>
      <w:tr w:rsidR="00B56301" w:rsidRPr="00364545" w14:paraId="09210175" w14:textId="77777777" w:rsidTr="00B37B65">
        <w:trPr>
          <w:trHeight w:val="68"/>
          <w:jc w:val="center"/>
        </w:trPr>
        <w:tc>
          <w:tcPr>
            <w:tcW w:w="3805" w:type="dxa"/>
            <w:tcBorders>
              <w:top w:val="nil"/>
              <w:left w:val="single" w:sz="4" w:space="0" w:color="auto"/>
              <w:bottom w:val="nil"/>
              <w:right w:val="single" w:sz="4" w:space="0" w:color="auto"/>
            </w:tcBorders>
            <w:shd w:val="clear" w:color="000000" w:fill="CCFFFF"/>
            <w:vAlign w:val="center"/>
            <w:hideMark/>
          </w:tcPr>
          <w:p w14:paraId="750E2E41" w14:textId="3E6650C3"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3C1159F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4402,20</w:t>
            </w:r>
          </w:p>
        </w:tc>
        <w:tc>
          <w:tcPr>
            <w:tcW w:w="992" w:type="dxa"/>
            <w:tcBorders>
              <w:top w:val="nil"/>
              <w:left w:val="nil"/>
              <w:bottom w:val="single" w:sz="4" w:space="0" w:color="auto"/>
              <w:right w:val="single" w:sz="4" w:space="0" w:color="auto"/>
            </w:tcBorders>
            <w:shd w:val="clear" w:color="000000" w:fill="CCFFFF"/>
            <w:noWrap/>
            <w:vAlign w:val="bottom"/>
            <w:hideMark/>
          </w:tcPr>
          <w:p w14:paraId="00B5375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4402,20</w:t>
            </w:r>
          </w:p>
        </w:tc>
        <w:tc>
          <w:tcPr>
            <w:tcW w:w="992" w:type="dxa"/>
            <w:tcBorders>
              <w:top w:val="nil"/>
              <w:left w:val="nil"/>
              <w:bottom w:val="single" w:sz="4" w:space="0" w:color="auto"/>
              <w:right w:val="single" w:sz="4" w:space="0" w:color="auto"/>
            </w:tcBorders>
            <w:shd w:val="clear" w:color="000000" w:fill="CCFFFF"/>
            <w:noWrap/>
            <w:vAlign w:val="bottom"/>
            <w:hideMark/>
          </w:tcPr>
          <w:p w14:paraId="4319D46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5124,38</w:t>
            </w:r>
          </w:p>
        </w:tc>
        <w:tc>
          <w:tcPr>
            <w:tcW w:w="992" w:type="dxa"/>
            <w:tcBorders>
              <w:top w:val="nil"/>
              <w:left w:val="nil"/>
              <w:bottom w:val="single" w:sz="4" w:space="0" w:color="auto"/>
              <w:right w:val="single" w:sz="4" w:space="0" w:color="auto"/>
            </w:tcBorders>
            <w:shd w:val="clear" w:color="000000" w:fill="CCFFFF"/>
            <w:noWrap/>
            <w:vAlign w:val="bottom"/>
            <w:hideMark/>
          </w:tcPr>
          <w:p w14:paraId="50F7848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4418,01</w:t>
            </w:r>
          </w:p>
        </w:tc>
        <w:tc>
          <w:tcPr>
            <w:tcW w:w="992" w:type="dxa"/>
            <w:tcBorders>
              <w:top w:val="nil"/>
              <w:left w:val="nil"/>
              <w:bottom w:val="single" w:sz="4" w:space="0" w:color="auto"/>
              <w:right w:val="single" w:sz="4" w:space="0" w:color="auto"/>
            </w:tcBorders>
            <w:shd w:val="clear" w:color="000000" w:fill="CCFFFF"/>
            <w:noWrap/>
            <w:vAlign w:val="bottom"/>
            <w:hideMark/>
          </w:tcPr>
          <w:p w14:paraId="42A360E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2865,79</w:t>
            </w:r>
          </w:p>
        </w:tc>
        <w:tc>
          <w:tcPr>
            <w:tcW w:w="992" w:type="dxa"/>
            <w:tcBorders>
              <w:top w:val="nil"/>
              <w:left w:val="nil"/>
              <w:bottom w:val="single" w:sz="4" w:space="0" w:color="auto"/>
              <w:right w:val="single" w:sz="4" w:space="0" w:color="auto"/>
            </w:tcBorders>
            <w:shd w:val="clear" w:color="000000" w:fill="CCFFFF"/>
            <w:noWrap/>
            <w:vAlign w:val="bottom"/>
            <w:hideMark/>
          </w:tcPr>
          <w:p w14:paraId="10C8F9B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1753,69</w:t>
            </w:r>
          </w:p>
        </w:tc>
      </w:tr>
      <w:tr w:rsidR="00B56301" w:rsidRPr="00364545" w14:paraId="6AD7F5C3"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hideMark/>
          </w:tcPr>
          <w:p w14:paraId="5241916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387453E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0,14</w:t>
            </w:r>
          </w:p>
        </w:tc>
        <w:tc>
          <w:tcPr>
            <w:tcW w:w="992" w:type="dxa"/>
            <w:tcBorders>
              <w:top w:val="nil"/>
              <w:left w:val="nil"/>
              <w:bottom w:val="single" w:sz="4" w:space="0" w:color="auto"/>
              <w:right w:val="single" w:sz="4" w:space="0" w:color="auto"/>
            </w:tcBorders>
            <w:shd w:val="clear" w:color="000000" w:fill="FFFFFF"/>
            <w:noWrap/>
            <w:vAlign w:val="bottom"/>
            <w:hideMark/>
          </w:tcPr>
          <w:p w14:paraId="61C431F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0,14</w:t>
            </w:r>
          </w:p>
        </w:tc>
        <w:tc>
          <w:tcPr>
            <w:tcW w:w="992" w:type="dxa"/>
            <w:tcBorders>
              <w:top w:val="nil"/>
              <w:left w:val="nil"/>
              <w:bottom w:val="single" w:sz="4" w:space="0" w:color="auto"/>
              <w:right w:val="single" w:sz="4" w:space="0" w:color="auto"/>
            </w:tcBorders>
            <w:shd w:val="clear" w:color="000000" w:fill="FFFFFF"/>
            <w:noWrap/>
            <w:vAlign w:val="bottom"/>
            <w:hideMark/>
          </w:tcPr>
          <w:p w14:paraId="3EBEAC0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33DA385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55B083D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6FBE192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0,08</w:t>
            </w:r>
          </w:p>
        </w:tc>
      </w:tr>
      <w:tr w:rsidR="00B56301" w:rsidRPr="00364545" w14:paraId="0E556E8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9FC18C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574F432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6D0770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672258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1750E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D88E24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75E790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r>
      <w:tr w:rsidR="00B56301" w:rsidRPr="00364545" w14:paraId="3EF224D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E7D6C2E"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2CAC23B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2E1DDE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E0A748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2647A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198746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0B5F12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17942AA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6A7B14C1"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0ED81E1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407E48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DD6C60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37853E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A37E92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DF8A9B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0881CD8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2A33FEB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27C05E7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9F5ECB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A86829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54BD1F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8C2A9A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4EF42D7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0,05</w:t>
            </w:r>
          </w:p>
        </w:tc>
      </w:tr>
      <w:tr w:rsidR="00B56301" w:rsidRPr="00364545" w14:paraId="54B9BEE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6B5B76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344B1AE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053FA3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0B3ECB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18C502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EEB491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35F292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27BE2AB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4DDEE5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010EAAC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ABA35F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4B4010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897F11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808366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E1ADDD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0,15</w:t>
            </w:r>
          </w:p>
        </w:tc>
      </w:tr>
      <w:tr w:rsidR="00B56301" w:rsidRPr="00364545" w14:paraId="09E52B5F"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4579C0F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6AECA1B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303D49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4FFCE9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4A47A7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4FB601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AA1BD3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01E15BC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7BD920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7E992C4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5544900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4256870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0,53</w:t>
            </w:r>
          </w:p>
        </w:tc>
        <w:tc>
          <w:tcPr>
            <w:tcW w:w="992" w:type="dxa"/>
            <w:tcBorders>
              <w:top w:val="nil"/>
              <w:left w:val="nil"/>
              <w:bottom w:val="single" w:sz="4" w:space="0" w:color="auto"/>
              <w:right w:val="single" w:sz="4" w:space="0" w:color="auto"/>
            </w:tcBorders>
            <w:shd w:val="clear" w:color="000000" w:fill="FFFFFF"/>
            <w:noWrap/>
            <w:vAlign w:val="bottom"/>
            <w:hideMark/>
          </w:tcPr>
          <w:p w14:paraId="0C86141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0,40</w:t>
            </w:r>
          </w:p>
        </w:tc>
        <w:tc>
          <w:tcPr>
            <w:tcW w:w="992" w:type="dxa"/>
            <w:tcBorders>
              <w:top w:val="nil"/>
              <w:left w:val="nil"/>
              <w:bottom w:val="single" w:sz="4" w:space="0" w:color="auto"/>
              <w:right w:val="single" w:sz="4" w:space="0" w:color="auto"/>
            </w:tcBorders>
            <w:shd w:val="clear" w:color="000000" w:fill="FFFFFF"/>
            <w:noWrap/>
            <w:vAlign w:val="bottom"/>
            <w:hideMark/>
          </w:tcPr>
          <w:p w14:paraId="0EBEAC2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43DFF5B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0,04</w:t>
            </w:r>
          </w:p>
        </w:tc>
      </w:tr>
      <w:tr w:rsidR="00B56301" w:rsidRPr="00364545" w14:paraId="60C4D6F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D897D1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5E8F9E0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ADC9B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41FFED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A7F7E8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824E7E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AE0E52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6069395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A77F04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664B0F7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89C4EE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F8C8AA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AFF71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A81A8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0F9F9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00C884EC"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FC8C8BE"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14CA059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544CF7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D7D3C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1E396E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32155E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0E8DF3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3143B53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27A004D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40E6666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1F495F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F29FA9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87F9F9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3194B6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C6D899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308BDCA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0D8C505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5AF293A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18935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DA3B1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31AA9B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0ECC35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60ECAE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36CE86F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009C1A7B"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7FB09C2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644CB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3E073F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4CE3A0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95E4B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F73C16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599D169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2C1CC50B"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66BFEE8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C2E2EA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C050F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EF42F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3E9B84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84F69D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120DECD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A79118C"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11A30E8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7708BB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3AD847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2BF828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800336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AC13B5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4A2D984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B43E07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36068EA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49B14E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C7CB36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6FB9B6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85E3E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4862B0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35BA8C1C"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23731A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2A79DD4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02A599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3BCA2B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BA452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FBD5B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43951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02A2687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09DED55" w14:textId="76351FD4"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HFCs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55A6A39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4DE4C7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F285A0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A13A96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F57620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7,79</w:t>
            </w:r>
          </w:p>
        </w:tc>
        <w:tc>
          <w:tcPr>
            <w:tcW w:w="992" w:type="dxa"/>
            <w:tcBorders>
              <w:top w:val="nil"/>
              <w:left w:val="nil"/>
              <w:bottom w:val="single" w:sz="4" w:space="0" w:color="auto"/>
              <w:right w:val="single" w:sz="4" w:space="0" w:color="auto"/>
            </w:tcBorders>
            <w:shd w:val="clear" w:color="000000" w:fill="FFFFFF"/>
            <w:noWrap/>
            <w:vAlign w:val="bottom"/>
            <w:hideMark/>
          </w:tcPr>
          <w:p w14:paraId="5657D56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21,11</w:t>
            </w:r>
          </w:p>
        </w:tc>
      </w:tr>
      <w:tr w:rsidR="00B56301" w:rsidRPr="00364545" w14:paraId="48F7A1C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2B8EA933" w14:textId="6F1303CB"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Emissions of PFCs</w:t>
            </w:r>
            <w:r w:rsidRPr="00364545">
              <w:rPr>
                <w:rFonts w:ascii="Times New Roman" w:hAnsi="Times New Roman"/>
                <w:b/>
                <w:sz w:val="20"/>
                <w:vertAlign w:val="superscript"/>
              </w:rPr>
              <w:t xml:space="preserve"> </w:t>
            </w:r>
            <w:r w:rsidRPr="00364545">
              <w:rPr>
                <w:rFonts w:ascii="Times New Roman" w:hAnsi="Times New Roman"/>
                <w:b/>
                <w:sz w:val="20"/>
              </w:rPr>
              <w:t xml:space="preserve">-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1AFDC8B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5202,47</w:t>
            </w:r>
          </w:p>
        </w:tc>
        <w:tc>
          <w:tcPr>
            <w:tcW w:w="992" w:type="dxa"/>
            <w:tcBorders>
              <w:top w:val="nil"/>
              <w:left w:val="nil"/>
              <w:bottom w:val="single" w:sz="4" w:space="0" w:color="auto"/>
              <w:right w:val="single" w:sz="4" w:space="0" w:color="auto"/>
            </w:tcBorders>
            <w:shd w:val="clear" w:color="000000" w:fill="CCFFFF"/>
            <w:noWrap/>
            <w:vAlign w:val="bottom"/>
            <w:hideMark/>
          </w:tcPr>
          <w:p w14:paraId="150923D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5202,47</w:t>
            </w:r>
          </w:p>
        </w:tc>
        <w:tc>
          <w:tcPr>
            <w:tcW w:w="992" w:type="dxa"/>
            <w:tcBorders>
              <w:top w:val="nil"/>
              <w:left w:val="nil"/>
              <w:bottom w:val="single" w:sz="4" w:space="0" w:color="auto"/>
              <w:right w:val="single" w:sz="4" w:space="0" w:color="auto"/>
            </w:tcBorders>
            <w:shd w:val="clear" w:color="000000" w:fill="CCFFFF"/>
            <w:noWrap/>
            <w:vAlign w:val="bottom"/>
            <w:hideMark/>
          </w:tcPr>
          <w:p w14:paraId="1AB1AEE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4822,54</w:t>
            </w:r>
          </w:p>
        </w:tc>
        <w:tc>
          <w:tcPr>
            <w:tcW w:w="992" w:type="dxa"/>
            <w:tcBorders>
              <w:top w:val="nil"/>
              <w:left w:val="nil"/>
              <w:bottom w:val="single" w:sz="4" w:space="0" w:color="auto"/>
              <w:right w:val="single" w:sz="4" w:space="0" w:color="auto"/>
            </w:tcBorders>
            <w:shd w:val="clear" w:color="000000" w:fill="CCFFFF"/>
            <w:noWrap/>
            <w:vAlign w:val="bottom"/>
            <w:hideMark/>
          </w:tcPr>
          <w:p w14:paraId="2D8F90B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4918,32</w:t>
            </w:r>
          </w:p>
        </w:tc>
        <w:tc>
          <w:tcPr>
            <w:tcW w:w="992" w:type="dxa"/>
            <w:tcBorders>
              <w:top w:val="nil"/>
              <w:left w:val="nil"/>
              <w:bottom w:val="single" w:sz="4" w:space="0" w:color="auto"/>
              <w:right w:val="single" w:sz="4" w:space="0" w:color="auto"/>
            </w:tcBorders>
            <w:shd w:val="clear" w:color="000000" w:fill="CCFFFF"/>
            <w:noWrap/>
            <w:vAlign w:val="bottom"/>
            <w:hideMark/>
          </w:tcPr>
          <w:p w14:paraId="77AE6F5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4844,06</w:t>
            </w:r>
          </w:p>
        </w:tc>
        <w:tc>
          <w:tcPr>
            <w:tcW w:w="992" w:type="dxa"/>
            <w:tcBorders>
              <w:top w:val="nil"/>
              <w:left w:val="nil"/>
              <w:bottom w:val="single" w:sz="4" w:space="0" w:color="auto"/>
              <w:right w:val="single" w:sz="4" w:space="0" w:color="auto"/>
            </w:tcBorders>
            <w:shd w:val="clear" w:color="000000" w:fill="CCFFFF"/>
            <w:noWrap/>
            <w:vAlign w:val="bottom"/>
            <w:hideMark/>
          </w:tcPr>
          <w:p w14:paraId="79F1B69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4325,49</w:t>
            </w:r>
          </w:p>
        </w:tc>
      </w:tr>
      <w:tr w:rsidR="00B56301" w:rsidRPr="00364545" w14:paraId="04C88A0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F06ACDB"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CF</w:t>
            </w:r>
            <w:r w:rsidRPr="00364545">
              <w:rPr>
                <w:rFonts w:ascii="Times New Roman" w:hAnsi="Times New Roman"/>
                <w:sz w:val="20"/>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1E222BA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0,39</w:t>
            </w:r>
          </w:p>
        </w:tc>
        <w:tc>
          <w:tcPr>
            <w:tcW w:w="992" w:type="dxa"/>
            <w:tcBorders>
              <w:top w:val="nil"/>
              <w:left w:val="nil"/>
              <w:bottom w:val="single" w:sz="4" w:space="0" w:color="auto"/>
              <w:right w:val="single" w:sz="4" w:space="0" w:color="auto"/>
            </w:tcBorders>
            <w:shd w:val="clear" w:color="000000" w:fill="FFFFFF"/>
            <w:noWrap/>
            <w:vAlign w:val="bottom"/>
            <w:hideMark/>
          </w:tcPr>
          <w:p w14:paraId="1FF21E5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0,39</w:t>
            </w:r>
          </w:p>
        </w:tc>
        <w:tc>
          <w:tcPr>
            <w:tcW w:w="992" w:type="dxa"/>
            <w:tcBorders>
              <w:top w:val="nil"/>
              <w:left w:val="nil"/>
              <w:bottom w:val="single" w:sz="4" w:space="0" w:color="auto"/>
              <w:right w:val="single" w:sz="4" w:space="0" w:color="auto"/>
            </w:tcBorders>
            <w:shd w:val="clear" w:color="000000" w:fill="FFFFFF"/>
            <w:noWrap/>
            <w:vAlign w:val="bottom"/>
            <w:hideMark/>
          </w:tcPr>
          <w:p w14:paraId="26835DB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0,35</w:t>
            </w:r>
          </w:p>
        </w:tc>
        <w:tc>
          <w:tcPr>
            <w:tcW w:w="992" w:type="dxa"/>
            <w:tcBorders>
              <w:top w:val="nil"/>
              <w:left w:val="nil"/>
              <w:bottom w:val="single" w:sz="4" w:space="0" w:color="auto"/>
              <w:right w:val="single" w:sz="4" w:space="0" w:color="auto"/>
            </w:tcBorders>
            <w:shd w:val="clear" w:color="000000" w:fill="FFFFFF"/>
            <w:noWrap/>
            <w:vAlign w:val="bottom"/>
            <w:hideMark/>
          </w:tcPr>
          <w:p w14:paraId="18AF8C2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21A0770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0,32</w:t>
            </w:r>
          </w:p>
        </w:tc>
        <w:tc>
          <w:tcPr>
            <w:tcW w:w="992" w:type="dxa"/>
            <w:tcBorders>
              <w:top w:val="nil"/>
              <w:left w:val="nil"/>
              <w:bottom w:val="single" w:sz="4" w:space="0" w:color="auto"/>
              <w:right w:val="single" w:sz="4" w:space="0" w:color="auto"/>
            </w:tcBorders>
            <w:shd w:val="clear" w:color="000000" w:fill="FFFFFF"/>
            <w:noWrap/>
            <w:vAlign w:val="bottom"/>
            <w:hideMark/>
          </w:tcPr>
          <w:p w14:paraId="24023C1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0,28</w:t>
            </w:r>
          </w:p>
        </w:tc>
      </w:tr>
      <w:tr w:rsidR="00B56301" w:rsidRPr="00364545" w14:paraId="4AE5B2D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1C63636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2</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2BE8C60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1C02A89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2D0A170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0,15</w:t>
            </w:r>
          </w:p>
        </w:tc>
        <w:tc>
          <w:tcPr>
            <w:tcW w:w="992" w:type="dxa"/>
            <w:tcBorders>
              <w:top w:val="nil"/>
              <w:left w:val="nil"/>
              <w:bottom w:val="single" w:sz="4" w:space="0" w:color="auto"/>
              <w:right w:val="single" w:sz="4" w:space="0" w:color="auto"/>
            </w:tcBorders>
            <w:shd w:val="clear" w:color="000000" w:fill="FFFFFF"/>
            <w:noWrap/>
            <w:vAlign w:val="bottom"/>
            <w:hideMark/>
          </w:tcPr>
          <w:p w14:paraId="7722122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71202FB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7AD4A5B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0,16</w:t>
            </w:r>
          </w:p>
        </w:tc>
      </w:tr>
      <w:tr w:rsidR="00B56301" w:rsidRPr="00364545" w14:paraId="7A7F615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690AFB2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6553176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FB6E39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646627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53C28B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FF2411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BB7853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r>
      <w:tr w:rsidR="00B56301" w:rsidRPr="00364545" w14:paraId="3805EB3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03C6C4FE"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7B7FEB2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56D682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141552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26C301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B7E301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3087F3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r>
      <w:tr w:rsidR="00B56301" w:rsidRPr="00364545" w14:paraId="7A31029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61CEB8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2E84786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B0AEF0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D8034C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1A74DB2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009525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0A8E39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0,01</w:t>
            </w:r>
          </w:p>
        </w:tc>
      </w:tr>
      <w:tr w:rsidR="00B56301" w:rsidRPr="00364545" w14:paraId="689F3136"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453CF45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5</w:t>
            </w:r>
            <w:r w:rsidRPr="00364545">
              <w:rPr>
                <w:rFonts w:ascii="Times New Roman" w:hAnsi="Times New Roman"/>
                <w:sz w:val="20"/>
              </w:rPr>
              <w:t>F</w:t>
            </w:r>
            <w:r w:rsidRPr="00364545">
              <w:rPr>
                <w:rFonts w:ascii="Times New Roman" w:hAnsi="Times New Roman"/>
                <w:sz w:val="20"/>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4E76316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753068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72F34E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90D480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D91F52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37708F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r>
      <w:tr w:rsidR="00B56301" w:rsidRPr="00364545" w14:paraId="787CBD6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E2FC3C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6</w:t>
            </w:r>
            <w:r w:rsidRPr="00364545">
              <w:rPr>
                <w:rFonts w:ascii="Times New Roman" w:hAnsi="Times New Roman"/>
                <w:sz w:val="20"/>
              </w:rPr>
              <w:t>F</w:t>
            </w:r>
            <w:r w:rsidRPr="00364545">
              <w:rPr>
                <w:rFonts w:ascii="Times New Roman" w:hAnsi="Times New Roman"/>
                <w:sz w:val="20"/>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497676F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0BFD5F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A809A4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2AB9A6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C4FC1A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AC5FCB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r>
      <w:tr w:rsidR="00B56301" w:rsidRPr="00364545" w14:paraId="0D9D172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647B698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10</w:t>
            </w:r>
            <w:r w:rsidRPr="00364545">
              <w:rPr>
                <w:rFonts w:ascii="Times New Roman" w:hAnsi="Times New Roman"/>
                <w:sz w:val="20"/>
              </w:rPr>
              <w:t>F</w:t>
            </w:r>
            <w:r w:rsidRPr="00364545">
              <w:rPr>
                <w:rFonts w:ascii="Times New Roman" w:hAnsi="Times New Roman"/>
                <w:sz w:val="20"/>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6D8CD1D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E5ADE8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F16B3B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4FA07F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710725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CFE29F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r>
      <w:tr w:rsidR="00B56301" w:rsidRPr="00364545" w14:paraId="063FC3FF"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E8E7AB3"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1B061A1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422CD6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62DB57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2985F8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A9616E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AF8CF9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NO,IE,NA</w:t>
            </w:r>
          </w:p>
        </w:tc>
      </w:tr>
      <w:tr w:rsidR="00B56301" w:rsidRPr="00364545" w14:paraId="0C546DF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74ECAB4" w14:textId="478585A5"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PFCs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04C336A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241,29</w:t>
            </w:r>
          </w:p>
        </w:tc>
        <w:tc>
          <w:tcPr>
            <w:tcW w:w="992" w:type="dxa"/>
            <w:tcBorders>
              <w:top w:val="nil"/>
              <w:left w:val="nil"/>
              <w:bottom w:val="single" w:sz="4" w:space="0" w:color="auto"/>
              <w:right w:val="single" w:sz="4" w:space="0" w:color="auto"/>
            </w:tcBorders>
            <w:shd w:val="clear" w:color="000000" w:fill="FFFFFF"/>
            <w:noWrap/>
            <w:vAlign w:val="bottom"/>
            <w:hideMark/>
          </w:tcPr>
          <w:p w14:paraId="501487A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241,29</w:t>
            </w:r>
          </w:p>
        </w:tc>
        <w:tc>
          <w:tcPr>
            <w:tcW w:w="992" w:type="dxa"/>
            <w:tcBorders>
              <w:top w:val="nil"/>
              <w:left w:val="nil"/>
              <w:bottom w:val="single" w:sz="4" w:space="0" w:color="auto"/>
              <w:right w:val="single" w:sz="4" w:space="0" w:color="auto"/>
            </w:tcBorders>
            <w:shd w:val="clear" w:color="000000" w:fill="FFFFFF"/>
            <w:noWrap/>
            <w:vAlign w:val="bottom"/>
            <w:hideMark/>
          </w:tcPr>
          <w:p w14:paraId="3EA4C31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241,83</w:t>
            </w:r>
          </w:p>
        </w:tc>
        <w:tc>
          <w:tcPr>
            <w:tcW w:w="992" w:type="dxa"/>
            <w:tcBorders>
              <w:top w:val="nil"/>
              <w:left w:val="nil"/>
              <w:bottom w:val="single" w:sz="4" w:space="0" w:color="auto"/>
              <w:right w:val="single" w:sz="4" w:space="0" w:color="auto"/>
            </w:tcBorders>
            <w:shd w:val="clear" w:color="000000" w:fill="FFFFFF"/>
            <w:noWrap/>
            <w:vAlign w:val="bottom"/>
            <w:hideMark/>
          </w:tcPr>
          <w:p w14:paraId="51DE519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242,35</w:t>
            </w:r>
          </w:p>
        </w:tc>
        <w:tc>
          <w:tcPr>
            <w:tcW w:w="992" w:type="dxa"/>
            <w:tcBorders>
              <w:top w:val="nil"/>
              <w:left w:val="nil"/>
              <w:bottom w:val="single" w:sz="4" w:space="0" w:color="auto"/>
              <w:right w:val="single" w:sz="4" w:space="0" w:color="auto"/>
            </w:tcBorders>
            <w:shd w:val="clear" w:color="000000" w:fill="FFFFFF"/>
            <w:noWrap/>
            <w:vAlign w:val="bottom"/>
            <w:hideMark/>
          </w:tcPr>
          <w:p w14:paraId="58ED7CE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270,08</w:t>
            </w:r>
          </w:p>
        </w:tc>
        <w:tc>
          <w:tcPr>
            <w:tcW w:w="992" w:type="dxa"/>
            <w:tcBorders>
              <w:top w:val="nil"/>
              <w:left w:val="nil"/>
              <w:bottom w:val="single" w:sz="4" w:space="0" w:color="auto"/>
              <w:right w:val="single" w:sz="4" w:space="0" w:color="auto"/>
            </w:tcBorders>
            <w:shd w:val="clear" w:color="000000" w:fill="FFFFFF"/>
            <w:noWrap/>
            <w:vAlign w:val="bottom"/>
            <w:hideMark/>
          </w:tcPr>
          <w:p w14:paraId="29DC87D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222,03</w:t>
            </w:r>
          </w:p>
        </w:tc>
      </w:tr>
      <w:tr w:rsidR="00B56301" w:rsidRPr="00364545" w14:paraId="65C5841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1E0A95C9" w14:textId="2CE27D28"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Unspecified mix of HFCs and PFCs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172114B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B23878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D12BC2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2C8FEE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3E7E2D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1F66D2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02771F1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56894C2" w14:textId="038C889B"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t>SF</w:t>
            </w:r>
            <w:r w:rsidRPr="00364545">
              <w:rPr>
                <w:vertAlign w:val="subscript"/>
              </w:rPr>
              <w:t>6</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781FCEB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2154,74</w:t>
            </w:r>
          </w:p>
        </w:tc>
        <w:tc>
          <w:tcPr>
            <w:tcW w:w="992" w:type="dxa"/>
            <w:tcBorders>
              <w:top w:val="nil"/>
              <w:left w:val="nil"/>
              <w:bottom w:val="single" w:sz="4" w:space="0" w:color="auto"/>
              <w:right w:val="single" w:sz="4" w:space="0" w:color="auto"/>
            </w:tcBorders>
            <w:shd w:val="clear" w:color="000000" w:fill="CCFFFF"/>
            <w:noWrap/>
            <w:vAlign w:val="bottom"/>
            <w:hideMark/>
          </w:tcPr>
          <w:p w14:paraId="774AF09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2154,74</w:t>
            </w:r>
          </w:p>
        </w:tc>
        <w:tc>
          <w:tcPr>
            <w:tcW w:w="992" w:type="dxa"/>
            <w:tcBorders>
              <w:top w:val="nil"/>
              <w:left w:val="nil"/>
              <w:bottom w:val="single" w:sz="4" w:space="0" w:color="auto"/>
              <w:right w:val="single" w:sz="4" w:space="0" w:color="auto"/>
            </w:tcBorders>
            <w:shd w:val="clear" w:color="000000" w:fill="CCFFFF"/>
            <w:noWrap/>
            <w:vAlign w:val="bottom"/>
            <w:hideMark/>
          </w:tcPr>
          <w:p w14:paraId="10FCB91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2217,46</w:t>
            </w:r>
          </w:p>
        </w:tc>
        <w:tc>
          <w:tcPr>
            <w:tcW w:w="992" w:type="dxa"/>
            <w:tcBorders>
              <w:top w:val="nil"/>
              <w:left w:val="nil"/>
              <w:bottom w:val="single" w:sz="4" w:space="0" w:color="auto"/>
              <w:right w:val="single" w:sz="4" w:space="0" w:color="auto"/>
            </w:tcBorders>
            <w:shd w:val="clear" w:color="000000" w:fill="CCFFFF"/>
            <w:noWrap/>
            <w:vAlign w:val="bottom"/>
            <w:hideMark/>
          </w:tcPr>
          <w:p w14:paraId="4A55279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2256,21</w:t>
            </w:r>
          </w:p>
        </w:tc>
        <w:tc>
          <w:tcPr>
            <w:tcW w:w="992" w:type="dxa"/>
            <w:tcBorders>
              <w:top w:val="nil"/>
              <w:left w:val="nil"/>
              <w:bottom w:val="single" w:sz="4" w:space="0" w:color="auto"/>
              <w:right w:val="single" w:sz="4" w:space="0" w:color="auto"/>
            </w:tcBorders>
            <w:shd w:val="clear" w:color="000000" w:fill="CCFFFF"/>
            <w:noWrap/>
            <w:vAlign w:val="bottom"/>
            <w:hideMark/>
          </w:tcPr>
          <w:p w14:paraId="3FDC478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2295,58</w:t>
            </w:r>
          </w:p>
        </w:tc>
        <w:tc>
          <w:tcPr>
            <w:tcW w:w="992" w:type="dxa"/>
            <w:tcBorders>
              <w:top w:val="nil"/>
              <w:left w:val="nil"/>
              <w:bottom w:val="single" w:sz="4" w:space="0" w:color="auto"/>
              <w:right w:val="single" w:sz="4" w:space="0" w:color="auto"/>
            </w:tcBorders>
            <w:shd w:val="clear" w:color="000000" w:fill="CCFFFF"/>
            <w:noWrap/>
            <w:vAlign w:val="bottom"/>
            <w:hideMark/>
          </w:tcPr>
          <w:p w14:paraId="00B031E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2443,88</w:t>
            </w:r>
          </w:p>
        </w:tc>
      </w:tr>
      <w:tr w:rsidR="00B56301" w:rsidRPr="00364545" w14:paraId="1AF9BDE0" w14:textId="77777777" w:rsidTr="00B37B65">
        <w:trPr>
          <w:trHeight w:val="68"/>
          <w:jc w:val="center"/>
        </w:trPr>
        <w:tc>
          <w:tcPr>
            <w:tcW w:w="3805" w:type="dxa"/>
            <w:tcBorders>
              <w:top w:val="single" w:sz="4" w:space="0" w:color="auto"/>
              <w:left w:val="single" w:sz="4" w:space="0" w:color="auto"/>
              <w:bottom w:val="nil"/>
              <w:right w:val="single" w:sz="4" w:space="0" w:color="auto"/>
            </w:tcBorders>
            <w:shd w:val="clear" w:color="000000" w:fill="CCFFFF"/>
            <w:vAlign w:val="center"/>
            <w:hideMark/>
          </w:tcPr>
          <w:p w14:paraId="2EEFB934" w14:textId="2770E4D8" w:rsidR="00B56301" w:rsidRPr="00364545" w:rsidRDefault="007F09F7" w:rsidP="00B37B65">
            <w:pPr>
              <w:jc w:val="left"/>
              <w:rPr>
                <w:rFonts w:ascii="Times New Roman" w:hAnsi="Times New Roman"/>
                <w:sz w:val="20"/>
                <w:szCs w:val="18"/>
              </w:rPr>
            </w:pPr>
            <w:r w:rsidRPr="00364545">
              <w:t>SF</w:t>
            </w:r>
            <w:r w:rsidRPr="00364545">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3DA0BFB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5AE6B28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5F5C5A5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7503496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1A24917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07EC9AC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0,11</w:t>
            </w:r>
          </w:p>
        </w:tc>
      </w:tr>
      <w:tr w:rsidR="00B56301" w:rsidRPr="00364545" w14:paraId="236D1647"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79F5F318" w14:textId="39FF6830"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rPr>
                <w:sz w:val="18"/>
              </w:rPr>
              <w:t>NF</w:t>
            </w:r>
            <w:r w:rsidRPr="00364545">
              <w:rPr>
                <w:sz w:val="18"/>
                <w:vertAlign w:val="subscript"/>
              </w:rPr>
              <w:t>3</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6B7BCCD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16,48</w:t>
            </w:r>
          </w:p>
        </w:tc>
        <w:tc>
          <w:tcPr>
            <w:tcW w:w="992" w:type="dxa"/>
            <w:tcBorders>
              <w:top w:val="nil"/>
              <w:left w:val="nil"/>
              <w:bottom w:val="single" w:sz="4" w:space="0" w:color="auto"/>
              <w:right w:val="single" w:sz="4" w:space="0" w:color="auto"/>
            </w:tcBorders>
            <w:shd w:val="clear" w:color="000000" w:fill="CCFFFF"/>
            <w:noWrap/>
            <w:vAlign w:val="bottom"/>
            <w:hideMark/>
          </w:tcPr>
          <w:p w14:paraId="076D336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16,48</w:t>
            </w:r>
          </w:p>
        </w:tc>
        <w:tc>
          <w:tcPr>
            <w:tcW w:w="992" w:type="dxa"/>
            <w:tcBorders>
              <w:top w:val="nil"/>
              <w:left w:val="nil"/>
              <w:bottom w:val="single" w:sz="4" w:space="0" w:color="auto"/>
              <w:right w:val="single" w:sz="4" w:space="0" w:color="auto"/>
            </w:tcBorders>
            <w:shd w:val="clear" w:color="000000" w:fill="CCFFFF"/>
            <w:noWrap/>
            <w:vAlign w:val="bottom"/>
            <w:hideMark/>
          </w:tcPr>
          <w:p w14:paraId="03591F2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18,13</w:t>
            </w:r>
          </w:p>
        </w:tc>
        <w:tc>
          <w:tcPr>
            <w:tcW w:w="992" w:type="dxa"/>
            <w:tcBorders>
              <w:top w:val="nil"/>
              <w:left w:val="nil"/>
              <w:bottom w:val="single" w:sz="4" w:space="0" w:color="auto"/>
              <w:right w:val="single" w:sz="4" w:space="0" w:color="auto"/>
            </w:tcBorders>
            <w:shd w:val="clear" w:color="000000" w:fill="CCFFFF"/>
            <w:noWrap/>
            <w:vAlign w:val="bottom"/>
            <w:hideMark/>
          </w:tcPr>
          <w:p w14:paraId="0D0BF76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19,94</w:t>
            </w:r>
          </w:p>
        </w:tc>
        <w:tc>
          <w:tcPr>
            <w:tcW w:w="992" w:type="dxa"/>
            <w:tcBorders>
              <w:top w:val="nil"/>
              <w:left w:val="nil"/>
              <w:bottom w:val="single" w:sz="4" w:space="0" w:color="auto"/>
              <w:right w:val="single" w:sz="4" w:space="0" w:color="auto"/>
            </w:tcBorders>
            <w:shd w:val="clear" w:color="000000" w:fill="CCFFFF"/>
            <w:noWrap/>
            <w:vAlign w:val="bottom"/>
            <w:hideMark/>
          </w:tcPr>
          <w:p w14:paraId="1F1DF52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21,94</w:t>
            </w:r>
          </w:p>
        </w:tc>
        <w:tc>
          <w:tcPr>
            <w:tcW w:w="992" w:type="dxa"/>
            <w:tcBorders>
              <w:top w:val="nil"/>
              <w:left w:val="nil"/>
              <w:bottom w:val="single" w:sz="4" w:space="0" w:color="auto"/>
              <w:right w:val="single" w:sz="4" w:space="0" w:color="auto"/>
            </w:tcBorders>
            <w:shd w:val="clear" w:color="000000" w:fill="CCFFFF"/>
            <w:noWrap/>
            <w:vAlign w:val="bottom"/>
            <w:hideMark/>
          </w:tcPr>
          <w:p w14:paraId="5B533D8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24,13</w:t>
            </w:r>
          </w:p>
        </w:tc>
      </w:tr>
      <w:tr w:rsidR="00B56301" w:rsidRPr="00364545" w14:paraId="42E6C7B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2AFC6348" w14:textId="1C663B90" w:rsidR="00B56301" w:rsidRPr="00364545" w:rsidRDefault="007F09F7" w:rsidP="00B37B65">
            <w:pPr>
              <w:jc w:val="left"/>
              <w:rPr>
                <w:rFonts w:ascii="Times New Roman" w:hAnsi="Times New Roman"/>
                <w:sz w:val="20"/>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2F79918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5D1CA9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C5663D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942010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42E716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4C0C8D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0,00</w:t>
            </w:r>
          </w:p>
        </w:tc>
      </w:tr>
    </w:tbl>
    <w:p w14:paraId="2A877904" w14:textId="77777777" w:rsidR="00B56301" w:rsidRPr="00364545" w:rsidRDefault="00B56301" w:rsidP="00B56301">
      <w:pPr>
        <w:rPr>
          <w:rFonts w:cs="Arial"/>
        </w:rPr>
        <w:sectPr w:rsidR="00B56301" w:rsidRPr="00364545" w:rsidSect="00B37B65">
          <w:type w:val="continuous"/>
          <w:pgSz w:w="11906" w:h="16838" w:code="9"/>
          <w:pgMar w:top="1230" w:right="907" w:bottom="1650" w:left="1049" w:header="284" w:footer="284" w:gutter="0"/>
          <w:cols w:space="708"/>
          <w:titlePg/>
          <w:docGrid w:linePitch="360"/>
        </w:sectPr>
      </w:pPr>
    </w:p>
    <w:p w14:paraId="2A3A4C45" w14:textId="77777777" w:rsidR="00B56301" w:rsidRPr="00364545" w:rsidRDefault="00B56301" w:rsidP="00B56301">
      <w:pPr>
        <w:spacing w:line="240" w:lineRule="atLeast"/>
        <w:jc w:val="left"/>
        <w:rPr>
          <w:rFonts w:cs="Arial"/>
        </w:rPr>
      </w:pPr>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364545" w14:paraId="076D526A" w14:textId="77777777" w:rsidTr="00B37B65">
        <w:trPr>
          <w:trHeight w:val="68"/>
          <w:jc w:val="center"/>
        </w:trPr>
        <w:tc>
          <w:tcPr>
            <w:tcW w:w="379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198CC74A" w14:textId="77777777" w:rsidR="00B56301" w:rsidRPr="00364545" w:rsidRDefault="00B56301" w:rsidP="00B37B65">
            <w:pPr>
              <w:jc w:val="center"/>
              <w:rPr>
                <w:rFonts w:ascii="Times New Roman" w:hAnsi="Times New Roman"/>
                <w:b/>
                <w:bCs/>
                <w:sz w:val="20"/>
                <w:szCs w:val="18"/>
              </w:rPr>
            </w:pPr>
            <w:r w:rsidRPr="00364545">
              <w:rPr>
                <w:rFonts w:ascii="Times New Roman" w:hAnsi="Times New Roman"/>
                <w:b/>
                <w:sz w:val="20"/>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8C61BA7"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31FB13A"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1996</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1DEFCED"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0299D782"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1998</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2ED4DAC"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4C9A936"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2000</w:t>
            </w:r>
          </w:p>
        </w:tc>
      </w:tr>
      <w:tr w:rsidR="00B56301" w:rsidRPr="00364545" w14:paraId="016361D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07FF5F2A" w14:textId="41615389"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and PFCs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AF279A4" w14:textId="77777777" w:rsidR="00B56301" w:rsidRPr="00364545" w:rsidRDefault="00B56301" w:rsidP="00B37B65">
            <w:pPr>
              <w:jc w:val="right"/>
              <w:rPr>
                <w:rFonts w:ascii="Times New Roman" w:hAnsi="Times New Roman"/>
                <w:sz w:val="18"/>
                <w:szCs w:val="18"/>
              </w:rPr>
            </w:pPr>
            <w:r w:rsidRPr="00364545">
              <w:rPr>
                <w:sz w:val="18"/>
              </w:rPr>
              <w:t>4766,90</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33168EF" w14:textId="77777777" w:rsidR="00B56301" w:rsidRPr="00364545" w:rsidRDefault="00B56301" w:rsidP="00B37B65">
            <w:pPr>
              <w:jc w:val="right"/>
              <w:rPr>
                <w:rFonts w:ascii="Times New Roman" w:hAnsi="Times New Roman"/>
                <w:sz w:val="18"/>
                <w:szCs w:val="18"/>
              </w:rPr>
            </w:pPr>
            <w:r w:rsidRPr="00364545">
              <w:rPr>
                <w:sz w:val="18"/>
              </w:rPr>
              <w:t>5857,05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9938971" w14:textId="77777777" w:rsidR="00B56301" w:rsidRPr="00364545" w:rsidRDefault="00B56301" w:rsidP="00B37B65">
            <w:pPr>
              <w:jc w:val="right"/>
              <w:rPr>
                <w:rFonts w:ascii="Times New Roman" w:hAnsi="Times New Roman"/>
                <w:sz w:val="18"/>
                <w:szCs w:val="18"/>
              </w:rPr>
            </w:pPr>
            <w:r w:rsidRPr="00364545">
              <w:rPr>
                <w:sz w:val="18"/>
              </w:rPr>
              <w:t>6813,42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C0C8E31" w14:textId="77777777" w:rsidR="00B56301" w:rsidRPr="00364545" w:rsidRDefault="00B56301" w:rsidP="00B37B65">
            <w:pPr>
              <w:jc w:val="right"/>
              <w:rPr>
                <w:rFonts w:ascii="Times New Roman" w:hAnsi="Times New Roman"/>
                <w:sz w:val="18"/>
                <w:szCs w:val="18"/>
              </w:rPr>
            </w:pPr>
            <w:r w:rsidRPr="00364545">
              <w:rPr>
                <w:sz w:val="18"/>
              </w:rPr>
              <w:t>7696,03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8B7B4FC" w14:textId="77777777" w:rsidR="00B56301" w:rsidRPr="00364545" w:rsidRDefault="00B56301" w:rsidP="00B37B65">
            <w:pPr>
              <w:jc w:val="right"/>
              <w:rPr>
                <w:rFonts w:ascii="Times New Roman" w:hAnsi="Times New Roman"/>
                <w:sz w:val="18"/>
                <w:szCs w:val="18"/>
              </w:rPr>
            </w:pPr>
            <w:r w:rsidRPr="00364545">
              <w:rPr>
                <w:sz w:val="18"/>
              </w:rPr>
              <w:t>9752,69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AA6F074" w14:textId="77777777" w:rsidR="00B56301" w:rsidRPr="00364545" w:rsidRDefault="00B56301" w:rsidP="00B37B65">
            <w:pPr>
              <w:jc w:val="right"/>
              <w:rPr>
                <w:rFonts w:ascii="Times New Roman" w:hAnsi="Times New Roman"/>
                <w:sz w:val="18"/>
                <w:szCs w:val="18"/>
              </w:rPr>
            </w:pPr>
            <w:r w:rsidRPr="00364545">
              <w:rPr>
                <w:sz w:val="18"/>
              </w:rPr>
              <w:t>9733,20</w:t>
            </w:r>
          </w:p>
        </w:tc>
      </w:tr>
      <w:tr w:rsidR="00B56301" w:rsidRPr="00364545" w14:paraId="0C114343" w14:textId="77777777" w:rsidTr="00B37B65">
        <w:trPr>
          <w:trHeight w:val="68"/>
          <w:jc w:val="center"/>
        </w:trPr>
        <w:tc>
          <w:tcPr>
            <w:tcW w:w="3795" w:type="dxa"/>
            <w:tcBorders>
              <w:top w:val="nil"/>
              <w:left w:val="single" w:sz="4" w:space="0" w:color="auto"/>
              <w:bottom w:val="nil"/>
              <w:right w:val="single" w:sz="4" w:space="0" w:color="auto"/>
            </w:tcBorders>
            <w:shd w:val="clear" w:color="000000" w:fill="CCFFFF"/>
            <w:vAlign w:val="center"/>
            <w:hideMark/>
          </w:tcPr>
          <w:p w14:paraId="5CAE3F50" w14:textId="4DCE9592"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23BFCCB6" w14:textId="77777777" w:rsidR="00B56301" w:rsidRPr="00364545" w:rsidRDefault="00B56301" w:rsidP="00B37B65">
            <w:pPr>
              <w:jc w:val="right"/>
              <w:rPr>
                <w:rFonts w:ascii="Times New Roman" w:hAnsi="Times New Roman"/>
                <w:sz w:val="18"/>
                <w:szCs w:val="18"/>
              </w:rPr>
            </w:pPr>
            <w:r w:rsidRPr="00364545">
              <w:rPr>
                <w:sz w:val="18"/>
              </w:rPr>
              <w:t>1702,34</w:t>
            </w:r>
          </w:p>
        </w:tc>
        <w:tc>
          <w:tcPr>
            <w:tcW w:w="992" w:type="dxa"/>
            <w:tcBorders>
              <w:top w:val="nil"/>
              <w:left w:val="nil"/>
              <w:bottom w:val="single" w:sz="4" w:space="0" w:color="auto"/>
              <w:right w:val="single" w:sz="4" w:space="0" w:color="auto"/>
            </w:tcBorders>
            <w:shd w:val="clear" w:color="000000" w:fill="CCFFFF"/>
            <w:noWrap/>
            <w:vAlign w:val="bottom"/>
            <w:hideMark/>
          </w:tcPr>
          <w:p w14:paraId="101D2F99" w14:textId="77777777" w:rsidR="00B56301" w:rsidRPr="00364545" w:rsidRDefault="00B56301" w:rsidP="00B37B65">
            <w:pPr>
              <w:jc w:val="right"/>
              <w:rPr>
                <w:rFonts w:ascii="Times New Roman" w:hAnsi="Times New Roman"/>
                <w:sz w:val="18"/>
                <w:szCs w:val="18"/>
              </w:rPr>
            </w:pPr>
            <w:r w:rsidRPr="00364545">
              <w:rPr>
                <w:sz w:val="18"/>
              </w:rPr>
              <w:t>3060,80</w:t>
            </w:r>
          </w:p>
        </w:tc>
        <w:tc>
          <w:tcPr>
            <w:tcW w:w="992" w:type="dxa"/>
            <w:tcBorders>
              <w:top w:val="nil"/>
              <w:left w:val="nil"/>
              <w:bottom w:val="single" w:sz="4" w:space="0" w:color="auto"/>
              <w:right w:val="single" w:sz="4" w:space="0" w:color="auto"/>
            </w:tcBorders>
            <w:shd w:val="clear" w:color="000000" w:fill="CCFFFF"/>
            <w:noWrap/>
            <w:vAlign w:val="bottom"/>
            <w:hideMark/>
          </w:tcPr>
          <w:p w14:paraId="4AB7AD04" w14:textId="77777777" w:rsidR="00B56301" w:rsidRPr="00364545" w:rsidRDefault="00B56301" w:rsidP="00B37B65">
            <w:pPr>
              <w:jc w:val="right"/>
              <w:rPr>
                <w:rFonts w:ascii="Times New Roman" w:hAnsi="Times New Roman"/>
                <w:sz w:val="18"/>
                <w:szCs w:val="18"/>
              </w:rPr>
            </w:pPr>
            <w:r w:rsidRPr="00364545">
              <w:rPr>
                <w:sz w:val="18"/>
              </w:rPr>
              <w:t>3917,44</w:t>
            </w:r>
          </w:p>
        </w:tc>
        <w:tc>
          <w:tcPr>
            <w:tcW w:w="992" w:type="dxa"/>
            <w:tcBorders>
              <w:top w:val="nil"/>
              <w:left w:val="nil"/>
              <w:bottom w:val="single" w:sz="4" w:space="0" w:color="auto"/>
              <w:right w:val="single" w:sz="4" w:space="0" w:color="auto"/>
            </w:tcBorders>
            <w:shd w:val="clear" w:color="000000" w:fill="CCFFFF"/>
            <w:noWrap/>
            <w:vAlign w:val="bottom"/>
            <w:hideMark/>
          </w:tcPr>
          <w:p w14:paraId="03754148" w14:textId="77777777" w:rsidR="00B56301" w:rsidRPr="00364545" w:rsidRDefault="00B56301" w:rsidP="00B37B65">
            <w:pPr>
              <w:jc w:val="right"/>
              <w:rPr>
                <w:rFonts w:ascii="Times New Roman" w:hAnsi="Times New Roman"/>
                <w:sz w:val="18"/>
                <w:szCs w:val="18"/>
              </w:rPr>
            </w:pPr>
            <w:r w:rsidRPr="00364545">
              <w:rPr>
                <w:sz w:val="18"/>
              </w:rPr>
              <w:t>4304,32</w:t>
            </w:r>
          </w:p>
        </w:tc>
        <w:tc>
          <w:tcPr>
            <w:tcW w:w="992" w:type="dxa"/>
            <w:tcBorders>
              <w:top w:val="nil"/>
              <w:left w:val="nil"/>
              <w:bottom w:val="single" w:sz="4" w:space="0" w:color="auto"/>
              <w:right w:val="single" w:sz="4" w:space="0" w:color="auto"/>
            </w:tcBorders>
            <w:shd w:val="clear" w:color="000000" w:fill="CCFFFF"/>
            <w:noWrap/>
            <w:vAlign w:val="bottom"/>
            <w:hideMark/>
          </w:tcPr>
          <w:p w14:paraId="44561DEE" w14:textId="77777777" w:rsidR="00B56301" w:rsidRPr="00364545" w:rsidRDefault="00B56301" w:rsidP="00B37B65">
            <w:pPr>
              <w:jc w:val="right"/>
              <w:rPr>
                <w:rFonts w:ascii="Times New Roman" w:hAnsi="Times New Roman"/>
                <w:sz w:val="18"/>
                <w:szCs w:val="18"/>
              </w:rPr>
            </w:pPr>
            <w:r w:rsidRPr="00364545">
              <w:rPr>
                <w:sz w:val="18"/>
              </w:rPr>
              <w:t>5534,29</w:t>
            </w:r>
          </w:p>
        </w:tc>
        <w:tc>
          <w:tcPr>
            <w:tcW w:w="992" w:type="dxa"/>
            <w:tcBorders>
              <w:top w:val="nil"/>
              <w:left w:val="nil"/>
              <w:bottom w:val="single" w:sz="4" w:space="0" w:color="auto"/>
              <w:right w:val="single" w:sz="4" w:space="0" w:color="auto"/>
            </w:tcBorders>
            <w:shd w:val="clear" w:color="000000" w:fill="CCFFFF"/>
            <w:noWrap/>
            <w:vAlign w:val="bottom"/>
            <w:hideMark/>
          </w:tcPr>
          <w:p w14:paraId="36C704D5" w14:textId="77777777" w:rsidR="00B56301" w:rsidRPr="00364545" w:rsidRDefault="00B56301" w:rsidP="00B37B65">
            <w:pPr>
              <w:jc w:val="right"/>
              <w:rPr>
                <w:rFonts w:ascii="Times New Roman" w:hAnsi="Times New Roman"/>
                <w:sz w:val="18"/>
                <w:szCs w:val="18"/>
              </w:rPr>
            </w:pPr>
            <w:r w:rsidRPr="00364545">
              <w:rPr>
                <w:sz w:val="18"/>
              </w:rPr>
              <w:t>6735,71</w:t>
            </w:r>
          </w:p>
        </w:tc>
      </w:tr>
      <w:tr w:rsidR="00B56301" w:rsidRPr="00364545" w14:paraId="7A3F498D"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hideMark/>
          </w:tcPr>
          <w:p w14:paraId="0D4E19B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083C3F32"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A5114DE"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639A48DC"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0EA1350"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1EF3B36A"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0636AAB3" w14:textId="77777777" w:rsidR="00B56301" w:rsidRPr="00364545" w:rsidRDefault="00B56301" w:rsidP="00B37B65">
            <w:pPr>
              <w:jc w:val="right"/>
              <w:rPr>
                <w:rFonts w:ascii="Times New Roman" w:hAnsi="Times New Roman"/>
                <w:sz w:val="18"/>
                <w:szCs w:val="18"/>
              </w:rPr>
            </w:pPr>
            <w:r w:rsidRPr="00364545">
              <w:rPr>
                <w:sz w:val="18"/>
              </w:rPr>
              <w:t>0,03</w:t>
            </w:r>
          </w:p>
        </w:tc>
      </w:tr>
      <w:tr w:rsidR="00B56301" w:rsidRPr="00364545" w14:paraId="5DF1D22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8F58CB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2F2481A1"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68DD0F6"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9962E2F"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1767920"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9116F02"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CDC63E9" w14:textId="77777777" w:rsidR="00B56301" w:rsidRPr="00364545" w:rsidRDefault="00B56301" w:rsidP="00B37B65">
            <w:pPr>
              <w:jc w:val="right"/>
              <w:rPr>
                <w:rFonts w:ascii="Times New Roman" w:hAnsi="Times New Roman"/>
                <w:sz w:val="18"/>
                <w:szCs w:val="18"/>
              </w:rPr>
            </w:pPr>
            <w:r w:rsidRPr="00364545">
              <w:rPr>
                <w:sz w:val="18"/>
              </w:rPr>
              <w:t>0,02</w:t>
            </w:r>
          </w:p>
        </w:tc>
      </w:tr>
      <w:tr w:rsidR="00B56301" w:rsidRPr="00364545" w14:paraId="1771A400"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1194EA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62EC61D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172863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194CC2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468763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68B0BF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F56FE97"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577EB4F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AD4FD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7CDDD68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57B119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D5DC78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1BBAC4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CD08C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FD63365"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006E5C7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2F1F4C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07491A5E" w14:textId="77777777" w:rsidR="00B56301" w:rsidRPr="00364545" w:rsidRDefault="00B56301" w:rsidP="00B37B65">
            <w:pPr>
              <w:jc w:val="right"/>
              <w:rPr>
                <w:rFonts w:ascii="Times New Roman" w:hAnsi="Times New Roman"/>
                <w:sz w:val="18"/>
                <w:szCs w:val="18"/>
              </w:rPr>
            </w:pPr>
            <w:r w:rsidRPr="00364545">
              <w:rPr>
                <w:sz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1A853CFA"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0480F879" w14:textId="77777777" w:rsidR="00B56301" w:rsidRPr="00364545" w:rsidRDefault="00B56301" w:rsidP="00B37B65">
            <w:pPr>
              <w:jc w:val="right"/>
              <w:rPr>
                <w:rFonts w:ascii="Times New Roman" w:hAnsi="Times New Roman"/>
                <w:sz w:val="18"/>
                <w:szCs w:val="18"/>
              </w:rPr>
            </w:pPr>
            <w:r w:rsidRPr="00364545">
              <w:rPr>
                <w:sz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62C8EF87" w14:textId="77777777" w:rsidR="00B56301" w:rsidRPr="00364545" w:rsidRDefault="00B56301" w:rsidP="00B37B65">
            <w:pPr>
              <w:jc w:val="right"/>
              <w:rPr>
                <w:rFonts w:ascii="Times New Roman" w:hAnsi="Times New Roman"/>
                <w:sz w:val="18"/>
                <w:szCs w:val="18"/>
              </w:rPr>
            </w:pPr>
            <w:r w:rsidRPr="00364545">
              <w:rPr>
                <w:sz w:val="18"/>
              </w:rPr>
              <w:t>0,13</w:t>
            </w:r>
          </w:p>
        </w:tc>
        <w:tc>
          <w:tcPr>
            <w:tcW w:w="992" w:type="dxa"/>
            <w:tcBorders>
              <w:top w:val="nil"/>
              <w:left w:val="nil"/>
              <w:bottom w:val="single" w:sz="4" w:space="0" w:color="auto"/>
              <w:right w:val="single" w:sz="4" w:space="0" w:color="auto"/>
            </w:tcBorders>
            <w:shd w:val="clear" w:color="000000" w:fill="FFFFFF"/>
            <w:noWrap/>
            <w:vAlign w:val="bottom"/>
            <w:hideMark/>
          </w:tcPr>
          <w:p w14:paraId="519A0960" w14:textId="77777777" w:rsidR="00B56301" w:rsidRPr="00364545" w:rsidRDefault="00B56301" w:rsidP="00B37B65">
            <w:pPr>
              <w:jc w:val="right"/>
              <w:rPr>
                <w:rFonts w:ascii="Times New Roman" w:hAnsi="Times New Roman"/>
                <w:sz w:val="18"/>
                <w:szCs w:val="18"/>
              </w:rPr>
            </w:pPr>
            <w:r w:rsidRPr="00364545">
              <w:rPr>
                <w:sz w:val="18"/>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1D6680F8" w14:textId="77777777" w:rsidR="00B56301" w:rsidRPr="00364545" w:rsidRDefault="00B56301" w:rsidP="00B37B65">
            <w:pPr>
              <w:jc w:val="right"/>
              <w:rPr>
                <w:rFonts w:ascii="Times New Roman" w:hAnsi="Times New Roman"/>
                <w:sz w:val="18"/>
                <w:szCs w:val="18"/>
              </w:rPr>
            </w:pPr>
            <w:r w:rsidRPr="00364545">
              <w:rPr>
                <w:sz w:val="18"/>
              </w:rPr>
              <w:t>0,26</w:t>
            </w:r>
          </w:p>
        </w:tc>
      </w:tr>
      <w:tr w:rsidR="00B56301" w:rsidRPr="00364545" w14:paraId="0758E01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4DD5DA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5B5E9A2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74C77E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BA10E8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CB7CFB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2A8D54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0A11C6"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101EDB3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79A12FE"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6CD79A66" w14:textId="77777777" w:rsidR="00B56301" w:rsidRPr="00364545" w:rsidRDefault="00B56301" w:rsidP="00B37B65">
            <w:pPr>
              <w:jc w:val="right"/>
              <w:rPr>
                <w:rFonts w:ascii="Times New Roman" w:hAnsi="Times New Roman"/>
                <w:sz w:val="18"/>
                <w:szCs w:val="18"/>
              </w:rPr>
            </w:pPr>
            <w:r w:rsidRPr="00364545">
              <w:rPr>
                <w:sz w:val="18"/>
              </w:rPr>
              <w:t>0,64</w:t>
            </w:r>
          </w:p>
        </w:tc>
        <w:tc>
          <w:tcPr>
            <w:tcW w:w="992" w:type="dxa"/>
            <w:tcBorders>
              <w:top w:val="nil"/>
              <w:left w:val="nil"/>
              <w:bottom w:val="single" w:sz="4" w:space="0" w:color="auto"/>
              <w:right w:val="single" w:sz="4" w:space="0" w:color="auto"/>
            </w:tcBorders>
            <w:shd w:val="clear" w:color="000000" w:fill="FFFFFF"/>
            <w:noWrap/>
            <w:vAlign w:val="bottom"/>
            <w:hideMark/>
          </w:tcPr>
          <w:p w14:paraId="264B2C46" w14:textId="77777777" w:rsidR="00B56301" w:rsidRPr="00364545" w:rsidRDefault="00B56301" w:rsidP="00B37B65">
            <w:pPr>
              <w:jc w:val="right"/>
              <w:rPr>
                <w:rFonts w:ascii="Times New Roman" w:hAnsi="Times New Roman"/>
                <w:sz w:val="18"/>
                <w:szCs w:val="18"/>
              </w:rPr>
            </w:pPr>
            <w:r w:rsidRPr="00364545">
              <w:rPr>
                <w:sz w:val="18"/>
              </w:rPr>
              <w:t>1,35</w:t>
            </w:r>
          </w:p>
        </w:tc>
        <w:tc>
          <w:tcPr>
            <w:tcW w:w="992" w:type="dxa"/>
            <w:tcBorders>
              <w:top w:val="nil"/>
              <w:left w:val="nil"/>
              <w:bottom w:val="single" w:sz="4" w:space="0" w:color="auto"/>
              <w:right w:val="single" w:sz="4" w:space="0" w:color="auto"/>
            </w:tcBorders>
            <w:shd w:val="clear" w:color="000000" w:fill="FFFFFF"/>
            <w:noWrap/>
            <w:vAlign w:val="bottom"/>
            <w:hideMark/>
          </w:tcPr>
          <w:p w14:paraId="2CEE3E97" w14:textId="77777777" w:rsidR="00B56301" w:rsidRPr="00364545" w:rsidRDefault="00B56301" w:rsidP="00B37B65">
            <w:pPr>
              <w:jc w:val="right"/>
              <w:rPr>
                <w:rFonts w:ascii="Times New Roman" w:hAnsi="Times New Roman"/>
                <w:sz w:val="18"/>
                <w:szCs w:val="18"/>
              </w:rPr>
            </w:pPr>
            <w:r w:rsidRPr="00364545">
              <w:rPr>
                <w:sz w:val="18"/>
              </w:rPr>
              <w:t>1,77</w:t>
            </w:r>
          </w:p>
        </w:tc>
        <w:tc>
          <w:tcPr>
            <w:tcW w:w="992" w:type="dxa"/>
            <w:tcBorders>
              <w:top w:val="nil"/>
              <w:left w:val="nil"/>
              <w:bottom w:val="single" w:sz="4" w:space="0" w:color="auto"/>
              <w:right w:val="single" w:sz="4" w:space="0" w:color="auto"/>
            </w:tcBorders>
            <w:shd w:val="clear" w:color="000000" w:fill="FFFFFF"/>
            <w:noWrap/>
            <w:vAlign w:val="bottom"/>
            <w:hideMark/>
          </w:tcPr>
          <w:p w14:paraId="4AE3F36F" w14:textId="77777777" w:rsidR="00B56301" w:rsidRPr="00364545" w:rsidRDefault="00B56301" w:rsidP="00B37B65">
            <w:pPr>
              <w:jc w:val="right"/>
              <w:rPr>
                <w:rFonts w:ascii="Times New Roman" w:hAnsi="Times New Roman"/>
                <w:sz w:val="18"/>
                <w:szCs w:val="18"/>
              </w:rPr>
            </w:pPr>
            <w:r w:rsidRPr="00364545">
              <w:rPr>
                <w:sz w:val="18"/>
              </w:rPr>
              <w:t>1,91</w:t>
            </w:r>
          </w:p>
        </w:tc>
        <w:tc>
          <w:tcPr>
            <w:tcW w:w="992" w:type="dxa"/>
            <w:tcBorders>
              <w:top w:val="nil"/>
              <w:left w:val="nil"/>
              <w:bottom w:val="single" w:sz="4" w:space="0" w:color="auto"/>
              <w:right w:val="single" w:sz="4" w:space="0" w:color="auto"/>
            </w:tcBorders>
            <w:shd w:val="clear" w:color="000000" w:fill="FFFFFF"/>
            <w:noWrap/>
            <w:vAlign w:val="bottom"/>
            <w:hideMark/>
          </w:tcPr>
          <w:p w14:paraId="25FEB53A" w14:textId="77777777" w:rsidR="00B56301" w:rsidRPr="00364545" w:rsidRDefault="00B56301" w:rsidP="00B37B65">
            <w:pPr>
              <w:jc w:val="right"/>
              <w:rPr>
                <w:rFonts w:ascii="Times New Roman" w:hAnsi="Times New Roman"/>
                <w:sz w:val="18"/>
                <w:szCs w:val="18"/>
              </w:rPr>
            </w:pPr>
            <w:r w:rsidRPr="00364545">
              <w:rPr>
                <w:sz w:val="18"/>
              </w:rPr>
              <w:t>2,18</w:t>
            </w:r>
          </w:p>
        </w:tc>
        <w:tc>
          <w:tcPr>
            <w:tcW w:w="992" w:type="dxa"/>
            <w:tcBorders>
              <w:top w:val="nil"/>
              <w:left w:val="nil"/>
              <w:bottom w:val="single" w:sz="4" w:space="0" w:color="auto"/>
              <w:right w:val="single" w:sz="4" w:space="0" w:color="auto"/>
            </w:tcBorders>
            <w:shd w:val="clear" w:color="000000" w:fill="FFFFFF"/>
            <w:noWrap/>
            <w:vAlign w:val="bottom"/>
            <w:hideMark/>
          </w:tcPr>
          <w:p w14:paraId="377B4BFC" w14:textId="77777777" w:rsidR="00B56301" w:rsidRPr="00364545" w:rsidRDefault="00B56301" w:rsidP="00B37B65">
            <w:pPr>
              <w:jc w:val="right"/>
              <w:rPr>
                <w:rFonts w:ascii="Times New Roman" w:hAnsi="Times New Roman"/>
                <w:sz w:val="18"/>
                <w:szCs w:val="18"/>
              </w:rPr>
            </w:pPr>
            <w:r w:rsidRPr="00364545">
              <w:rPr>
                <w:sz w:val="18"/>
              </w:rPr>
              <w:t>2,64</w:t>
            </w:r>
          </w:p>
        </w:tc>
      </w:tr>
      <w:tr w:rsidR="00B56301" w:rsidRPr="00364545" w14:paraId="310389E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ACB95B6"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3F3B0F5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7C8DE4A"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0049A9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AC822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409FB7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DFFFFC3"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5943B73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FCEF16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71101857" w14:textId="77777777" w:rsidR="00B56301" w:rsidRPr="00364545" w:rsidRDefault="00B56301" w:rsidP="00B37B65">
            <w:pPr>
              <w:jc w:val="right"/>
              <w:rPr>
                <w:rFonts w:ascii="Times New Roman" w:hAnsi="Times New Roman"/>
                <w:sz w:val="18"/>
                <w:szCs w:val="18"/>
              </w:rPr>
            </w:pPr>
            <w:r w:rsidRPr="00364545">
              <w:rPr>
                <w:sz w:val="18"/>
              </w:rPr>
              <w:t>0,05</w:t>
            </w:r>
          </w:p>
        </w:tc>
        <w:tc>
          <w:tcPr>
            <w:tcW w:w="992" w:type="dxa"/>
            <w:tcBorders>
              <w:top w:val="nil"/>
              <w:left w:val="nil"/>
              <w:bottom w:val="single" w:sz="4" w:space="0" w:color="auto"/>
              <w:right w:val="single" w:sz="4" w:space="0" w:color="auto"/>
            </w:tcBorders>
            <w:shd w:val="clear" w:color="000000" w:fill="FFFFFF"/>
            <w:noWrap/>
            <w:vAlign w:val="bottom"/>
            <w:hideMark/>
          </w:tcPr>
          <w:p w14:paraId="1182C1A9"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604C3434" w14:textId="77777777" w:rsidR="00B56301" w:rsidRPr="00364545" w:rsidRDefault="00B56301" w:rsidP="00B37B65">
            <w:pPr>
              <w:jc w:val="right"/>
              <w:rPr>
                <w:rFonts w:ascii="Times New Roman" w:hAnsi="Times New Roman"/>
                <w:sz w:val="18"/>
                <w:szCs w:val="18"/>
              </w:rPr>
            </w:pPr>
            <w:r w:rsidRPr="00364545">
              <w:rPr>
                <w:sz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667B977D" w14:textId="77777777" w:rsidR="00B56301" w:rsidRPr="00364545" w:rsidRDefault="00B56301" w:rsidP="00B37B65">
            <w:pPr>
              <w:jc w:val="right"/>
              <w:rPr>
                <w:rFonts w:ascii="Times New Roman" w:hAnsi="Times New Roman"/>
                <w:sz w:val="18"/>
                <w:szCs w:val="18"/>
              </w:rPr>
            </w:pPr>
            <w:r w:rsidRPr="00364545">
              <w:rPr>
                <w:sz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2E6F8621" w14:textId="77777777" w:rsidR="00B56301" w:rsidRPr="00364545" w:rsidRDefault="00B56301" w:rsidP="00B37B65">
            <w:pPr>
              <w:jc w:val="right"/>
              <w:rPr>
                <w:rFonts w:ascii="Times New Roman" w:hAnsi="Times New Roman"/>
                <w:sz w:val="18"/>
                <w:szCs w:val="18"/>
              </w:rPr>
            </w:pPr>
            <w:r w:rsidRPr="00364545">
              <w:rPr>
                <w:sz w:val="18"/>
              </w:rPr>
              <w:t>0,23</w:t>
            </w:r>
          </w:p>
        </w:tc>
        <w:tc>
          <w:tcPr>
            <w:tcW w:w="992" w:type="dxa"/>
            <w:tcBorders>
              <w:top w:val="nil"/>
              <w:left w:val="nil"/>
              <w:bottom w:val="single" w:sz="4" w:space="0" w:color="auto"/>
              <w:right w:val="single" w:sz="4" w:space="0" w:color="auto"/>
            </w:tcBorders>
            <w:shd w:val="clear" w:color="000000" w:fill="FFFFFF"/>
            <w:noWrap/>
            <w:vAlign w:val="bottom"/>
            <w:hideMark/>
          </w:tcPr>
          <w:p w14:paraId="0779732A" w14:textId="77777777" w:rsidR="00B56301" w:rsidRPr="00364545" w:rsidRDefault="00B56301" w:rsidP="00B37B65">
            <w:pPr>
              <w:jc w:val="right"/>
              <w:rPr>
                <w:rFonts w:ascii="Times New Roman" w:hAnsi="Times New Roman"/>
                <w:sz w:val="18"/>
                <w:szCs w:val="18"/>
              </w:rPr>
            </w:pPr>
            <w:r w:rsidRPr="00364545">
              <w:rPr>
                <w:sz w:val="18"/>
              </w:rPr>
              <w:t>0,33</w:t>
            </w:r>
          </w:p>
        </w:tc>
      </w:tr>
      <w:tr w:rsidR="00B56301" w:rsidRPr="00364545" w14:paraId="4C769AE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5D7E81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16EE5AB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11A30E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D42B9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A99603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90C79A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EA35EBF"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3F820A8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208D3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64D765C1"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6677C0C"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B0EB785"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EA33704"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6827C28"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6E1CCFF"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54770AB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ADAF093"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3C4C2A3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0FB7E2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229A2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980555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B567A3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F9A7B40"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619C868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5E3A8E2"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39D2D718"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8928A42"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8CEFE4F"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7FF11F7"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F60EE79"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4A96536" w14:textId="77777777" w:rsidR="00B56301" w:rsidRPr="00364545" w:rsidRDefault="00B56301" w:rsidP="00B37B65">
            <w:pPr>
              <w:jc w:val="right"/>
              <w:rPr>
                <w:rFonts w:ascii="Times New Roman" w:hAnsi="Times New Roman"/>
                <w:sz w:val="18"/>
                <w:szCs w:val="18"/>
              </w:rPr>
            </w:pPr>
            <w:r w:rsidRPr="00364545">
              <w:rPr>
                <w:sz w:val="18"/>
              </w:rPr>
              <w:t>0,02</w:t>
            </w:r>
          </w:p>
        </w:tc>
      </w:tr>
      <w:tr w:rsidR="00B56301" w:rsidRPr="00364545" w14:paraId="2792ACC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CE1046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6F73328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65F44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F5836A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35AB1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3F165F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EE0F7E3"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6723AB4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0FB7562"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09D30CB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09A9ED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CC955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891DE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4C947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8E93F06"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1CA8405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E6DFA43"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3C26BCC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24C90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F3FF35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3684C5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4594B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F67655B"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5B2AC73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B8C26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3407259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138E30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E6B261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FA20FC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74559E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A96EDBB"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1B8990F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32A8B1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6226A49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F85B16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F4FB7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F5EEB4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775CD3A"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D4F0542"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083CF60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78C15D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242EFAC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958639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EF0640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73A3CC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03A8F2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191FA51" w14:textId="77777777" w:rsidR="00B56301" w:rsidRPr="00364545" w:rsidRDefault="00B56301" w:rsidP="00B37B65">
            <w:pPr>
              <w:jc w:val="right"/>
              <w:rPr>
                <w:rFonts w:ascii="Times New Roman" w:hAnsi="Times New Roman"/>
                <w:sz w:val="18"/>
                <w:szCs w:val="18"/>
              </w:rPr>
            </w:pPr>
            <w:r w:rsidRPr="00364545">
              <w:rPr>
                <w:sz w:val="18"/>
              </w:rPr>
              <w:t>0,01</w:t>
            </w:r>
          </w:p>
        </w:tc>
      </w:tr>
      <w:tr w:rsidR="00B56301" w:rsidRPr="00364545" w14:paraId="696A9F2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5B65284" w14:textId="094CE3F9"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HFCs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5E8856BC" w14:textId="77777777" w:rsidR="00B56301" w:rsidRPr="00364545" w:rsidRDefault="00B56301" w:rsidP="00B37B65">
            <w:pPr>
              <w:jc w:val="right"/>
              <w:rPr>
                <w:rFonts w:ascii="Times New Roman" w:hAnsi="Times New Roman"/>
                <w:sz w:val="18"/>
                <w:szCs w:val="18"/>
              </w:rPr>
            </w:pPr>
            <w:r w:rsidRPr="00364545">
              <w:rPr>
                <w:sz w:val="18"/>
              </w:rPr>
              <w:t>36,10</w:t>
            </w:r>
          </w:p>
        </w:tc>
        <w:tc>
          <w:tcPr>
            <w:tcW w:w="992" w:type="dxa"/>
            <w:tcBorders>
              <w:top w:val="nil"/>
              <w:left w:val="nil"/>
              <w:bottom w:val="single" w:sz="4" w:space="0" w:color="auto"/>
              <w:right w:val="single" w:sz="4" w:space="0" w:color="auto"/>
            </w:tcBorders>
            <w:shd w:val="clear" w:color="000000" w:fill="FFFFFF"/>
            <w:noWrap/>
            <w:vAlign w:val="bottom"/>
            <w:hideMark/>
          </w:tcPr>
          <w:p w14:paraId="2F7460C3" w14:textId="77777777" w:rsidR="00B56301" w:rsidRPr="00364545" w:rsidRDefault="00B56301" w:rsidP="00B37B65">
            <w:pPr>
              <w:jc w:val="right"/>
              <w:rPr>
                <w:rFonts w:ascii="Times New Roman" w:hAnsi="Times New Roman"/>
                <w:sz w:val="18"/>
                <w:szCs w:val="18"/>
              </w:rPr>
            </w:pPr>
            <w:r w:rsidRPr="00364545">
              <w:rPr>
                <w:sz w:val="18"/>
              </w:rPr>
              <w:t>61,73</w:t>
            </w:r>
          </w:p>
        </w:tc>
        <w:tc>
          <w:tcPr>
            <w:tcW w:w="992" w:type="dxa"/>
            <w:tcBorders>
              <w:top w:val="nil"/>
              <w:left w:val="nil"/>
              <w:bottom w:val="single" w:sz="4" w:space="0" w:color="auto"/>
              <w:right w:val="single" w:sz="4" w:space="0" w:color="auto"/>
            </w:tcBorders>
            <w:shd w:val="clear" w:color="000000" w:fill="FFFFFF"/>
            <w:noWrap/>
            <w:vAlign w:val="bottom"/>
            <w:hideMark/>
          </w:tcPr>
          <w:p w14:paraId="1EB0D2FD" w14:textId="77777777" w:rsidR="00B56301" w:rsidRPr="00364545" w:rsidRDefault="00B56301" w:rsidP="00B37B65">
            <w:pPr>
              <w:jc w:val="right"/>
              <w:rPr>
                <w:rFonts w:ascii="Times New Roman" w:hAnsi="Times New Roman"/>
                <w:sz w:val="18"/>
                <w:szCs w:val="18"/>
              </w:rPr>
            </w:pPr>
            <w:r w:rsidRPr="00364545">
              <w:rPr>
                <w:sz w:val="18"/>
              </w:rPr>
              <w:t>62,32</w:t>
            </w:r>
          </w:p>
        </w:tc>
        <w:tc>
          <w:tcPr>
            <w:tcW w:w="992" w:type="dxa"/>
            <w:tcBorders>
              <w:top w:val="nil"/>
              <w:left w:val="nil"/>
              <w:bottom w:val="single" w:sz="4" w:space="0" w:color="auto"/>
              <w:right w:val="single" w:sz="4" w:space="0" w:color="auto"/>
            </w:tcBorders>
            <w:shd w:val="clear" w:color="000000" w:fill="FFFFFF"/>
            <w:noWrap/>
            <w:vAlign w:val="bottom"/>
            <w:hideMark/>
          </w:tcPr>
          <w:p w14:paraId="009AE598" w14:textId="77777777" w:rsidR="00B56301" w:rsidRPr="00364545" w:rsidRDefault="00B56301" w:rsidP="00B37B65">
            <w:pPr>
              <w:jc w:val="right"/>
              <w:rPr>
                <w:rFonts w:ascii="Times New Roman" w:hAnsi="Times New Roman"/>
                <w:sz w:val="18"/>
                <w:szCs w:val="18"/>
              </w:rPr>
            </w:pPr>
            <w:r w:rsidRPr="00364545">
              <w:rPr>
                <w:sz w:val="18"/>
              </w:rPr>
              <w:t>34,61</w:t>
            </w:r>
          </w:p>
        </w:tc>
        <w:tc>
          <w:tcPr>
            <w:tcW w:w="992" w:type="dxa"/>
            <w:tcBorders>
              <w:top w:val="nil"/>
              <w:left w:val="nil"/>
              <w:bottom w:val="single" w:sz="4" w:space="0" w:color="auto"/>
              <w:right w:val="single" w:sz="4" w:space="0" w:color="auto"/>
            </w:tcBorders>
            <w:shd w:val="clear" w:color="000000" w:fill="FFFFFF"/>
            <w:noWrap/>
            <w:vAlign w:val="bottom"/>
            <w:hideMark/>
          </w:tcPr>
          <w:p w14:paraId="516695BD" w14:textId="77777777" w:rsidR="00B56301" w:rsidRPr="00364545" w:rsidRDefault="00B56301" w:rsidP="00B37B65">
            <w:pPr>
              <w:jc w:val="right"/>
              <w:rPr>
                <w:rFonts w:ascii="Times New Roman" w:hAnsi="Times New Roman"/>
                <w:sz w:val="18"/>
                <w:szCs w:val="18"/>
              </w:rPr>
            </w:pPr>
            <w:r w:rsidRPr="00364545">
              <w:rPr>
                <w:sz w:val="18"/>
              </w:rPr>
              <w:t>30,48</w:t>
            </w:r>
          </w:p>
        </w:tc>
        <w:tc>
          <w:tcPr>
            <w:tcW w:w="992" w:type="dxa"/>
            <w:tcBorders>
              <w:top w:val="nil"/>
              <w:left w:val="nil"/>
              <w:bottom w:val="single" w:sz="4" w:space="0" w:color="auto"/>
              <w:right w:val="single" w:sz="4" w:space="0" w:color="auto"/>
            </w:tcBorders>
            <w:shd w:val="clear" w:color="000000" w:fill="FFFFFF"/>
            <w:noWrap/>
            <w:vAlign w:val="bottom"/>
            <w:hideMark/>
          </w:tcPr>
          <w:p w14:paraId="678B633A" w14:textId="77777777" w:rsidR="00B56301" w:rsidRPr="00364545" w:rsidRDefault="00B56301" w:rsidP="00B37B65">
            <w:pPr>
              <w:jc w:val="right"/>
              <w:rPr>
                <w:rFonts w:ascii="Times New Roman" w:hAnsi="Times New Roman"/>
                <w:sz w:val="18"/>
                <w:szCs w:val="18"/>
              </w:rPr>
            </w:pPr>
            <w:r w:rsidRPr="00364545">
              <w:rPr>
                <w:sz w:val="18"/>
              </w:rPr>
              <w:t>39,66</w:t>
            </w:r>
          </w:p>
        </w:tc>
      </w:tr>
      <w:tr w:rsidR="00B56301" w:rsidRPr="00364545" w14:paraId="162D04F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3A67A6E1" w14:textId="65D28A71"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Emissions of PFCs</w:t>
            </w:r>
            <w:r w:rsidRPr="00364545">
              <w:rPr>
                <w:rFonts w:ascii="Times New Roman" w:hAnsi="Times New Roman"/>
                <w:b/>
                <w:sz w:val="20"/>
                <w:vertAlign w:val="superscript"/>
              </w:rPr>
              <w:t xml:space="preserve"> </w:t>
            </w:r>
            <w:r w:rsidRPr="00364545">
              <w:rPr>
                <w:rFonts w:ascii="Times New Roman" w:hAnsi="Times New Roman"/>
                <w:b/>
                <w:sz w:val="20"/>
              </w:rPr>
              <w:t xml:space="preserve">-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3579E32D" w14:textId="77777777" w:rsidR="00B56301" w:rsidRPr="00364545" w:rsidRDefault="00B56301" w:rsidP="00B37B65">
            <w:pPr>
              <w:jc w:val="right"/>
              <w:rPr>
                <w:rFonts w:ascii="Times New Roman" w:hAnsi="Times New Roman"/>
                <w:sz w:val="18"/>
                <w:szCs w:val="18"/>
              </w:rPr>
            </w:pPr>
            <w:r w:rsidRPr="00364545">
              <w:rPr>
                <w:sz w:val="18"/>
              </w:rPr>
              <w:t>3064,56</w:t>
            </w:r>
          </w:p>
        </w:tc>
        <w:tc>
          <w:tcPr>
            <w:tcW w:w="992" w:type="dxa"/>
            <w:tcBorders>
              <w:top w:val="nil"/>
              <w:left w:val="nil"/>
              <w:bottom w:val="single" w:sz="4" w:space="0" w:color="auto"/>
              <w:right w:val="single" w:sz="4" w:space="0" w:color="auto"/>
            </w:tcBorders>
            <w:shd w:val="clear" w:color="000000" w:fill="CCFFFF"/>
            <w:noWrap/>
            <w:vAlign w:val="bottom"/>
            <w:hideMark/>
          </w:tcPr>
          <w:p w14:paraId="200CFC3B" w14:textId="77777777" w:rsidR="00B56301" w:rsidRPr="00364545" w:rsidRDefault="00B56301" w:rsidP="00B37B65">
            <w:pPr>
              <w:jc w:val="right"/>
              <w:rPr>
                <w:rFonts w:ascii="Times New Roman" w:hAnsi="Times New Roman"/>
                <w:sz w:val="18"/>
                <w:szCs w:val="18"/>
              </w:rPr>
            </w:pPr>
            <w:r w:rsidRPr="00364545">
              <w:rPr>
                <w:sz w:val="18"/>
              </w:rPr>
              <w:t>2796,25</w:t>
            </w:r>
          </w:p>
        </w:tc>
        <w:tc>
          <w:tcPr>
            <w:tcW w:w="992" w:type="dxa"/>
            <w:tcBorders>
              <w:top w:val="nil"/>
              <w:left w:val="nil"/>
              <w:bottom w:val="single" w:sz="4" w:space="0" w:color="auto"/>
              <w:right w:val="single" w:sz="4" w:space="0" w:color="auto"/>
            </w:tcBorders>
            <w:shd w:val="clear" w:color="000000" w:fill="CCFFFF"/>
            <w:noWrap/>
            <w:vAlign w:val="bottom"/>
            <w:hideMark/>
          </w:tcPr>
          <w:p w14:paraId="2D3536D5" w14:textId="77777777" w:rsidR="00B56301" w:rsidRPr="00364545" w:rsidRDefault="00B56301" w:rsidP="00B37B65">
            <w:pPr>
              <w:jc w:val="right"/>
              <w:rPr>
                <w:rFonts w:ascii="Times New Roman" w:hAnsi="Times New Roman"/>
                <w:sz w:val="18"/>
                <w:szCs w:val="18"/>
              </w:rPr>
            </w:pPr>
            <w:r w:rsidRPr="00364545">
              <w:rPr>
                <w:sz w:val="18"/>
              </w:rPr>
              <w:t>2895,97</w:t>
            </w:r>
          </w:p>
        </w:tc>
        <w:tc>
          <w:tcPr>
            <w:tcW w:w="992" w:type="dxa"/>
            <w:tcBorders>
              <w:top w:val="nil"/>
              <w:left w:val="nil"/>
              <w:bottom w:val="single" w:sz="4" w:space="0" w:color="auto"/>
              <w:right w:val="single" w:sz="4" w:space="0" w:color="auto"/>
            </w:tcBorders>
            <w:shd w:val="clear" w:color="000000" w:fill="CCFFFF"/>
            <w:noWrap/>
            <w:vAlign w:val="bottom"/>
            <w:hideMark/>
          </w:tcPr>
          <w:p w14:paraId="6D854339" w14:textId="77777777" w:rsidR="00B56301" w:rsidRPr="00364545" w:rsidRDefault="00B56301" w:rsidP="00B37B65">
            <w:pPr>
              <w:jc w:val="right"/>
              <w:rPr>
                <w:rFonts w:ascii="Times New Roman" w:hAnsi="Times New Roman"/>
                <w:sz w:val="18"/>
                <w:szCs w:val="18"/>
              </w:rPr>
            </w:pPr>
            <w:r w:rsidRPr="00364545">
              <w:rPr>
                <w:sz w:val="18"/>
              </w:rPr>
              <w:t>3391,71</w:t>
            </w:r>
          </w:p>
        </w:tc>
        <w:tc>
          <w:tcPr>
            <w:tcW w:w="992" w:type="dxa"/>
            <w:tcBorders>
              <w:top w:val="nil"/>
              <w:left w:val="nil"/>
              <w:bottom w:val="single" w:sz="4" w:space="0" w:color="auto"/>
              <w:right w:val="single" w:sz="4" w:space="0" w:color="auto"/>
            </w:tcBorders>
            <w:shd w:val="clear" w:color="000000" w:fill="CCFFFF"/>
            <w:noWrap/>
            <w:vAlign w:val="bottom"/>
            <w:hideMark/>
          </w:tcPr>
          <w:p w14:paraId="2C70C43D" w14:textId="77777777" w:rsidR="00B56301" w:rsidRPr="00364545" w:rsidRDefault="00B56301" w:rsidP="00B37B65">
            <w:pPr>
              <w:jc w:val="right"/>
              <w:rPr>
                <w:rFonts w:ascii="Times New Roman" w:hAnsi="Times New Roman"/>
                <w:sz w:val="18"/>
                <w:szCs w:val="18"/>
              </w:rPr>
            </w:pPr>
            <w:r w:rsidRPr="00364545">
              <w:rPr>
                <w:sz w:val="18"/>
              </w:rPr>
              <w:t>4218,40</w:t>
            </w:r>
          </w:p>
        </w:tc>
        <w:tc>
          <w:tcPr>
            <w:tcW w:w="992" w:type="dxa"/>
            <w:tcBorders>
              <w:top w:val="nil"/>
              <w:left w:val="nil"/>
              <w:bottom w:val="single" w:sz="4" w:space="0" w:color="auto"/>
              <w:right w:val="single" w:sz="4" w:space="0" w:color="auto"/>
            </w:tcBorders>
            <w:shd w:val="clear" w:color="000000" w:fill="CCFFFF"/>
            <w:noWrap/>
            <w:vAlign w:val="bottom"/>
            <w:hideMark/>
          </w:tcPr>
          <w:p w14:paraId="7D252C9A" w14:textId="77777777" w:rsidR="00B56301" w:rsidRPr="00364545" w:rsidRDefault="00B56301" w:rsidP="00B37B65">
            <w:pPr>
              <w:jc w:val="right"/>
              <w:rPr>
                <w:rFonts w:ascii="Times New Roman" w:hAnsi="Times New Roman"/>
                <w:sz w:val="18"/>
                <w:szCs w:val="18"/>
              </w:rPr>
            </w:pPr>
            <w:r w:rsidRPr="00364545">
              <w:rPr>
                <w:sz w:val="18"/>
              </w:rPr>
              <w:t>2997,49</w:t>
            </w:r>
          </w:p>
        </w:tc>
      </w:tr>
      <w:tr w:rsidR="00B56301" w:rsidRPr="00364545" w14:paraId="43B692B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82506E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CF</w:t>
            </w:r>
            <w:r w:rsidRPr="00364545">
              <w:rPr>
                <w:rFonts w:ascii="Times New Roman" w:hAnsi="Times New Roman"/>
                <w:sz w:val="20"/>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1F8666BF" w14:textId="77777777" w:rsidR="00B56301" w:rsidRPr="00364545" w:rsidRDefault="00B56301" w:rsidP="00B37B65">
            <w:pPr>
              <w:jc w:val="right"/>
              <w:rPr>
                <w:rFonts w:ascii="Times New Roman" w:hAnsi="Times New Roman"/>
                <w:sz w:val="18"/>
                <w:szCs w:val="18"/>
              </w:rPr>
            </w:pPr>
            <w:r w:rsidRPr="00364545">
              <w:rPr>
                <w:sz w:val="18"/>
              </w:rPr>
              <w:t>0,24</w:t>
            </w:r>
          </w:p>
        </w:tc>
        <w:tc>
          <w:tcPr>
            <w:tcW w:w="992" w:type="dxa"/>
            <w:tcBorders>
              <w:top w:val="nil"/>
              <w:left w:val="nil"/>
              <w:bottom w:val="single" w:sz="4" w:space="0" w:color="auto"/>
              <w:right w:val="single" w:sz="4" w:space="0" w:color="auto"/>
            </w:tcBorders>
            <w:shd w:val="clear" w:color="000000" w:fill="FFFFFF"/>
            <w:noWrap/>
            <w:vAlign w:val="bottom"/>
            <w:hideMark/>
          </w:tcPr>
          <w:p w14:paraId="022061EA" w14:textId="77777777" w:rsidR="00B56301" w:rsidRPr="00364545" w:rsidRDefault="00B56301" w:rsidP="00B37B65">
            <w:pPr>
              <w:jc w:val="right"/>
              <w:rPr>
                <w:rFonts w:ascii="Times New Roman" w:hAnsi="Times New Roman"/>
                <w:sz w:val="18"/>
                <w:szCs w:val="18"/>
              </w:rPr>
            </w:pPr>
            <w:r w:rsidRPr="00364545">
              <w:rPr>
                <w:sz w:val="18"/>
              </w:rPr>
              <w:t>0,22</w:t>
            </w:r>
          </w:p>
        </w:tc>
        <w:tc>
          <w:tcPr>
            <w:tcW w:w="992" w:type="dxa"/>
            <w:tcBorders>
              <w:top w:val="nil"/>
              <w:left w:val="nil"/>
              <w:bottom w:val="single" w:sz="4" w:space="0" w:color="auto"/>
              <w:right w:val="single" w:sz="4" w:space="0" w:color="auto"/>
            </w:tcBorders>
            <w:shd w:val="clear" w:color="000000" w:fill="FFFFFF"/>
            <w:noWrap/>
            <w:vAlign w:val="bottom"/>
            <w:hideMark/>
          </w:tcPr>
          <w:p w14:paraId="2F590E26" w14:textId="77777777" w:rsidR="00B56301" w:rsidRPr="00364545" w:rsidRDefault="00B56301" w:rsidP="00B37B65">
            <w:pPr>
              <w:jc w:val="right"/>
              <w:rPr>
                <w:rFonts w:ascii="Times New Roman" w:hAnsi="Times New Roman"/>
                <w:sz w:val="18"/>
                <w:szCs w:val="18"/>
              </w:rPr>
            </w:pPr>
            <w:r w:rsidRPr="00364545">
              <w:rPr>
                <w:sz w:val="18"/>
              </w:rPr>
              <w:t>0,22</w:t>
            </w:r>
          </w:p>
        </w:tc>
        <w:tc>
          <w:tcPr>
            <w:tcW w:w="992" w:type="dxa"/>
            <w:tcBorders>
              <w:top w:val="nil"/>
              <w:left w:val="nil"/>
              <w:bottom w:val="single" w:sz="4" w:space="0" w:color="auto"/>
              <w:right w:val="single" w:sz="4" w:space="0" w:color="auto"/>
            </w:tcBorders>
            <w:shd w:val="clear" w:color="000000" w:fill="FFFFFF"/>
            <w:noWrap/>
            <w:vAlign w:val="bottom"/>
            <w:hideMark/>
          </w:tcPr>
          <w:p w14:paraId="06808DDE" w14:textId="77777777" w:rsidR="00B56301" w:rsidRPr="00364545" w:rsidRDefault="00B56301" w:rsidP="00B37B65">
            <w:pPr>
              <w:jc w:val="right"/>
              <w:rPr>
                <w:rFonts w:ascii="Times New Roman" w:hAnsi="Times New Roman"/>
                <w:sz w:val="18"/>
                <w:szCs w:val="18"/>
              </w:rPr>
            </w:pPr>
            <w:r w:rsidRPr="00364545">
              <w:rPr>
                <w:sz w:val="18"/>
              </w:rPr>
              <w:t>0,28</w:t>
            </w:r>
          </w:p>
        </w:tc>
        <w:tc>
          <w:tcPr>
            <w:tcW w:w="992" w:type="dxa"/>
            <w:tcBorders>
              <w:top w:val="nil"/>
              <w:left w:val="nil"/>
              <w:bottom w:val="single" w:sz="4" w:space="0" w:color="auto"/>
              <w:right w:val="single" w:sz="4" w:space="0" w:color="auto"/>
            </w:tcBorders>
            <w:shd w:val="clear" w:color="000000" w:fill="FFFFFF"/>
            <w:noWrap/>
            <w:vAlign w:val="bottom"/>
            <w:hideMark/>
          </w:tcPr>
          <w:p w14:paraId="0CCF41C3" w14:textId="77777777" w:rsidR="00B56301" w:rsidRPr="00364545" w:rsidRDefault="00B56301" w:rsidP="00B37B65">
            <w:pPr>
              <w:jc w:val="right"/>
              <w:rPr>
                <w:rFonts w:ascii="Times New Roman" w:hAnsi="Times New Roman"/>
                <w:sz w:val="18"/>
                <w:szCs w:val="18"/>
              </w:rPr>
            </w:pPr>
            <w:r w:rsidRPr="00364545">
              <w:rPr>
                <w:sz w:val="18"/>
              </w:rPr>
              <w:t>0,37</w:t>
            </w:r>
          </w:p>
        </w:tc>
        <w:tc>
          <w:tcPr>
            <w:tcW w:w="992" w:type="dxa"/>
            <w:tcBorders>
              <w:top w:val="nil"/>
              <w:left w:val="nil"/>
              <w:bottom w:val="single" w:sz="4" w:space="0" w:color="auto"/>
              <w:right w:val="single" w:sz="4" w:space="0" w:color="auto"/>
            </w:tcBorders>
            <w:shd w:val="clear" w:color="000000" w:fill="FFFFFF"/>
            <w:noWrap/>
            <w:vAlign w:val="bottom"/>
            <w:hideMark/>
          </w:tcPr>
          <w:p w14:paraId="061A8D97" w14:textId="77777777" w:rsidR="00B56301" w:rsidRPr="00364545" w:rsidRDefault="00B56301" w:rsidP="00B37B65">
            <w:pPr>
              <w:jc w:val="right"/>
              <w:rPr>
                <w:rFonts w:ascii="Times New Roman" w:hAnsi="Times New Roman"/>
                <w:sz w:val="18"/>
                <w:szCs w:val="18"/>
              </w:rPr>
            </w:pPr>
            <w:r w:rsidRPr="00364545">
              <w:rPr>
                <w:sz w:val="18"/>
              </w:rPr>
              <w:t>0,24</w:t>
            </w:r>
          </w:p>
        </w:tc>
      </w:tr>
      <w:tr w:rsidR="00B56301" w:rsidRPr="00364545" w14:paraId="52C7005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E27BE3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2</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65BA0DBD"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DADF4DC"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059776AA" w14:textId="77777777" w:rsidR="00B56301" w:rsidRPr="00364545" w:rsidRDefault="00B56301" w:rsidP="00B37B65">
            <w:pPr>
              <w:jc w:val="right"/>
              <w:rPr>
                <w:rFonts w:ascii="Times New Roman" w:hAnsi="Times New Roman"/>
                <w:sz w:val="18"/>
                <w:szCs w:val="18"/>
              </w:rPr>
            </w:pPr>
            <w:r w:rsidRPr="00364545">
              <w:rPr>
                <w:sz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1EB009F6" w14:textId="77777777" w:rsidR="00B56301" w:rsidRPr="00364545" w:rsidRDefault="00B56301" w:rsidP="00B37B65">
            <w:pPr>
              <w:jc w:val="right"/>
              <w:rPr>
                <w:rFonts w:ascii="Times New Roman" w:hAnsi="Times New Roman"/>
                <w:sz w:val="18"/>
                <w:szCs w:val="18"/>
              </w:rPr>
            </w:pPr>
            <w:r w:rsidRPr="00364545">
              <w:rPr>
                <w:sz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627AF0AA" w14:textId="77777777" w:rsidR="00B56301" w:rsidRPr="00364545" w:rsidRDefault="00B56301" w:rsidP="00B37B65">
            <w:pPr>
              <w:jc w:val="right"/>
              <w:rPr>
                <w:rFonts w:ascii="Times New Roman" w:hAnsi="Times New Roman"/>
                <w:sz w:val="18"/>
                <w:szCs w:val="18"/>
              </w:rPr>
            </w:pPr>
            <w:r w:rsidRPr="00364545">
              <w:rPr>
                <w:sz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216FA2D8" w14:textId="77777777" w:rsidR="00B56301" w:rsidRPr="00364545" w:rsidRDefault="00B56301" w:rsidP="00B37B65">
            <w:pPr>
              <w:jc w:val="right"/>
              <w:rPr>
                <w:rFonts w:ascii="Times New Roman" w:hAnsi="Times New Roman"/>
                <w:sz w:val="18"/>
                <w:szCs w:val="18"/>
              </w:rPr>
            </w:pPr>
            <w:r w:rsidRPr="00364545">
              <w:rPr>
                <w:sz w:val="18"/>
              </w:rPr>
              <w:t>0,08</w:t>
            </w:r>
          </w:p>
        </w:tc>
      </w:tr>
      <w:tr w:rsidR="00B56301" w:rsidRPr="00364545" w14:paraId="689C5468"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764516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1E93FA25"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DF01E7B"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FCE21A2"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1ED3298"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3BADD0B"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2BEB116"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6D8E893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05F1B8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6BB11E8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4EC27B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2BD2E49"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EA5A24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3504083"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8C7A195"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59F4793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03437F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3E53BECB"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DCB5733"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CDD171E"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78CCC0B2"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20974F5"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FD8C46E" w14:textId="77777777" w:rsidR="00B56301" w:rsidRPr="00364545" w:rsidRDefault="00B56301" w:rsidP="00B37B65">
            <w:pPr>
              <w:jc w:val="right"/>
              <w:rPr>
                <w:rFonts w:ascii="Times New Roman" w:hAnsi="Times New Roman"/>
                <w:sz w:val="18"/>
                <w:szCs w:val="18"/>
              </w:rPr>
            </w:pPr>
            <w:r w:rsidRPr="00364545">
              <w:rPr>
                <w:sz w:val="18"/>
              </w:rPr>
              <w:t>0,01</w:t>
            </w:r>
          </w:p>
        </w:tc>
      </w:tr>
      <w:tr w:rsidR="00B56301" w:rsidRPr="00364545" w14:paraId="0ECB652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DC0BBB"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5</w:t>
            </w:r>
            <w:r w:rsidRPr="00364545">
              <w:rPr>
                <w:rFonts w:ascii="Times New Roman" w:hAnsi="Times New Roman"/>
                <w:sz w:val="20"/>
              </w:rPr>
              <w:t>F</w:t>
            </w:r>
            <w:r w:rsidRPr="00364545">
              <w:rPr>
                <w:rFonts w:ascii="Times New Roman" w:hAnsi="Times New Roman"/>
                <w:sz w:val="20"/>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1EBAADF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AB1D7CA"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3B05D84"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000519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47EAD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D0A4A25"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559C9320"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BF55361"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6</w:t>
            </w:r>
            <w:r w:rsidRPr="00364545">
              <w:rPr>
                <w:rFonts w:ascii="Times New Roman" w:hAnsi="Times New Roman"/>
                <w:sz w:val="20"/>
              </w:rPr>
              <w:t>F</w:t>
            </w:r>
            <w:r w:rsidRPr="00364545">
              <w:rPr>
                <w:rFonts w:ascii="Times New Roman" w:hAnsi="Times New Roman"/>
                <w:sz w:val="20"/>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7D8C7685"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0ABB4B2"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63FC53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77CA8F0"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469EB9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E809337"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3B9BE3A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2C50D1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10</w:t>
            </w:r>
            <w:r w:rsidRPr="00364545">
              <w:rPr>
                <w:rFonts w:ascii="Times New Roman" w:hAnsi="Times New Roman"/>
                <w:sz w:val="20"/>
              </w:rPr>
              <w:t>F</w:t>
            </w:r>
            <w:r w:rsidRPr="00364545">
              <w:rPr>
                <w:rFonts w:ascii="Times New Roman" w:hAnsi="Times New Roman"/>
                <w:sz w:val="20"/>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0C9301D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EBB8094"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A40B349"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F2AEBBC"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CA25AA5"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B7C537F"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12F2525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679B0E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65842D9C"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AD6B382"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9B1430A"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065B50A"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8DF3BB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703AC35"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7292A31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54D61FD" w14:textId="5915F9B9"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PFCs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34B52251" w14:textId="77777777" w:rsidR="00B56301" w:rsidRPr="00364545" w:rsidRDefault="00B56301" w:rsidP="00B37B65">
            <w:pPr>
              <w:jc w:val="right"/>
              <w:rPr>
                <w:rFonts w:ascii="Times New Roman" w:hAnsi="Times New Roman"/>
                <w:sz w:val="18"/>
                <w:szCs w:val="18"/>
              </w:rPr>
            </w:pPr>
            <w:r w:rsidRPr="00364545">
              <w:rPr>
                <w:sz w:val="18"/>
              </w:rPr>
              <w:t>335,32</w:t>
            </w:r>
          </w:p>
        </w:tc>
        <w:tc>
          <w:tcPr>
            <w:tcW w:w="992" w:type="dxa"/>
            <w:tcBorders>
              <w:top w:val="nil"/>
              <w:left w:val="nil"/>
              <w:bottom w:val="single" w:sz="4" w:space="0" w:color="auto"/>
              <w:right w:val="single" w:sz="4" w:space="0" w:color="auto"/>
            </w:tcBorders>
            <w:shd w:val="clear" w:color="000000" w:fill="FFFFFF"/>
            <w:noWrap/>
            <w:vAlign w:val="bottom"/>
            <w:hideMark/>
          </w:tcPr>
          <w:p w14:paraId="23F25D90" w14:textId="77777777" w:rsidR="00B56301" w:rsidRPr="00364545" w:rsidRDefault="00B56301" w:rsidP="00B37B65">
            <w:pPr>
              <w:jc w:val="right"/>
              <w:rPr>
                <w:rFonts w:ascii="Times New Roman" w:hAnsi="Times New Roman"/>
                <w:sz w:val="18"/>
                <w:szCs w:val="18"/>
              </w:rPr>
            </w:pPr>
            <w:r w:rsidRPr="00364545">
              <w:rPr>
                <w:sz w:val="18"/>
              </w:rPr>
              <w:t>264,34</w:t>
            </w:r>
          </w:p>
        </w:tc>
        <w:tc>
          <w:tcPr>
            <w:tcW w:w="992" w:type="dxa"/>
            <w:tcBorders>
              <w:top w:val="nil"/>
              <w:left w:val="nil"/>
              <w:bottom w:val="single" w:sz="4" w:space="0" w:color="auto"/>
              <w:right w:val="single" w:sz="4" w:space="0" w:color="auto"/>
            </w:tcBorders>
            <w:shd w:val="clear" w:color="000000" w:fill="FFFFFF"/>
            <w:noWrap/>
            <w:vAlign w:val="bottom"/>
            <w:hideMark/>
          </w:tcPr>
          <w:p w14:paraId="23FC1283" w14:textId="77777777" w:rsidR="00B56301" w:rsidRPr="00364545" w:rsidRDefault="00B56301" w:rsidP="00B37B65">
            <w:pPr>
              <w:jc w:val="right"/>
              <w:rPr>
                <w:rFonts w:ascii="Times New Roman" w:hAnsi="Times New Roman"/>
                <w:sz w:val="18"/>
                <w:szCs w:val="18"/>
              </w:rPr>
            </w:pPr>
            <w:r w:rsidRPr="00364545">
              <w:rPr>
                <w:sz w:val="18"/>
              </w:rPr>
              <w:t>159,22</w:t>
            </w:r>
          </w:p>
        </w:tc>
        <w:tc>
          <w:tcPr>
            <w:tcW w:w="992" w:type="dxa"/>
            <w:tcBorders>
              <w:top w:val="nil"/>
              <w:left w:val="nil"/>
              <w:bottom w:val="single" w:sz="4" w:space="0" w:color="auto"/>
              <w:right w:val="single" w:sz="4" w:space="0" w:color="auto"/>
            </w:tcBorders>
            <w:shd w:val="clear" w:color="000000" w:fill="FFFFFF"/>
            <w:noWrap/>
            <w:vAlign w:val="bottom"/>
            <w:hideMark/>
          </w:tcPr>
          <w:p w14:paraId="185F0415" w14:textId="77777777" w:rsidR="00B56301" w:rsidRPr="00364545" w:rsidRDefault="00B56301" w:rsidP="00B37B65">
            <w:pPr>
              <w:jc w:val="right"/>
              <w:rPr>
                <w:rFonts w:ascii="Times New Roman" w:hAnsi="Times New Roman"/>
                <w:sz w:val="18"/>
                <w:szCs w:val="18"/>
              </w:rPr>
            </w:pPr>
            <w:r w:rsidRPr="00364545">
              <w:rPr>
                <w:sz w:val="18"/>
              </w:rPr>
              <w:t>176,64</w:t>
            </w:r>
          </w:p>
        </w:tc>
        <w:tc>
          <w:tcPr>
            <w:tcW w:w="992" w:type="dxa"/>
            <w:tcBorders>
              <w:top w:val="nil"/>
              <w:left w:val="nil"/>
              <w:bottom w:val="single" w:sz="4" w:space="0" w:color="auto"/>
              <w:right w:val="single" w:sz="4" w:space="0" w:color="auto"/>
            </w:tcBorders>
            <w:shd w:val="clear" w:color="000000" w:fill="FFFFFF"/>
            <w:noWrap/>
            <w:vAlign w:val="bottom"/>
            <w:hideMark/>
          </w:tcPr>
          <w:p w14:paraId="102C60F7" w14:textId="77777777" w:rsidR="00B56301" w:rsidRPr="00364545" w:rsidRDefault="00B56301" w:rsidP="00B37B65">
            <w:pPr>
              <w:jc w:val="right"/>
              <w:rPr>
                <w:rFonts w:ascii="Times New Roman" w:hAnsi="Times New Roman"/>
                <w:sz w:val="18"/>
                <w:szCs w:val="18"/>
              </w:rPr>
            </w:pPr>
            <w:r w:rsidRPr="00364545">
              <w:rPr>
                <w:sz w:val="18"/>
              </w:rPr>
              <w:t>181,77</w:t>
            </w:r>
          </w:p>
        </w:tc>
        <w:tc>
          <w:tcPr>
            <w:tcW w:w="992" w:type="dxa"/>
            <w:tcBorders>
              <w:top w:val="nil"/>
              <w:left w:val="nil"/>
              <w:bottom w:val="single" w:sz="4" w:space="0" w:color="auto"/>
              <w:right w:val="single" w:sz="4" w:space="0" w:color="auto"/>
            </w:tcBorders>
            <w:shd w:val="clear" w:color="000000" w:fill="FFFFFF"/>
            <w:noWrap/>
            <w:vAlign w:val="bottom"/>
            <w:hideMark/>
          </w:tcPr>
          <w:p w14:paraId="11909436" w14:textId="77777777" w:rsidR="00B56301" w:rsidRPr="00364545" w:rsidRDefault="00B56301" w:rsidP="00B37B65">
            <w:pPr>
              <w:jc w:val="right"/>
              <w:rPr>
                <w:rFonts w:ascii="Times New Roman" w:hAnsi="Times New Roman"/>
                <w:sz w:val="18"/>
                <w:szCs w:val="18"/>
              </w:rPr>
            </w:pPr>
            <w:r w:rsidRPr="00364545">
              <w:rPr>
                <w:sz w:val="18"/>
              </w:rPr>
              <w:t>151,32</w:t>
            </w:r>
          </w:p>
        </w:tc>
      </w:tr>
      <w:tr w:rsidR="00B56301" w:rsidRPr="00364545" w14:paraId="78A9B19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E87DADB" w14:textId="7FD123B7"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Unspecified mix of HFCs and PFCs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3CE40F9A"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4374D2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2897B29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EAA905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070126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67EC71E"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5C1A575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210F2369" w14:textId="7506343D"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t>SF</w:t>
            </w:r>
            <w:r w:rsidRPr="00364545">
              <w:rPr>
                <w:vertAlign w:val="subscript"/>
              </w:rPr>
              <w:t>6</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5CCE2B1D" w14:textId="77777777" w:rsidR="00B56301" w:rsidRPr="00364545" w:rsidRDefault="00B56301" w:rsidP="00B37B65">
            <w:pPr>
              <w:jc w:val="right"/>
              <w:rPr>
                <w:rFonts w:ascii="Times New Roman" w:hAnsi="Times New Roman"/>
                <w:sz w:val="18"/>
                <w:szCs w:val="18"/>
              </w:rPr>
            </w:pPr>
            <w:r w:rsidRPr="00364545">
              <w:rPr>
                <w:sz w:val="18"/>
              </w:rPr>
              <w:t>2466,60</w:t>
            </w:r>
          </w:p>
        </w:tc>
        <w:tc>
          <w:tcPr>
            <w:tcW w:w="992" w:type="dxa"/>
            <w:tcBorders>
              <w:top w:val="nil"/>
              <w:left w:val="nil"/>
              <w:bottom w:val="single" w:sz="4" w:space="0" w:color="auto"/>
              <w:right w:val="single" w:sz="4" w:space="0" w:color="auto"/>
            </w:tcBorders>
            <w:shd w:val="clear" w:color="000000" w:fill="CCFFFF"/>
            <w:noWrap/>
            <w:vAlign w:val="bottom"/>
            <w:hideMark/>
          </w:tcPr>
          <w:p w14:paraId="6C58EBAC" w14:textId="77777777" w:rsidR="00B56301" w:rsidRPr="00364545" w:rsidRDefault="00B56301" w:rsidP="00B37B65">
            <w:pPr>
              <w:jc w:val="right"/>
              <w:rPr>
                <w:rFonts w:ascii="Times New Roman" w:hAnsi="Times New Roman"/>
                <w:sz w:val="18"/>
                <w:szCs w:val="18"/>
              </w:rPr>
            </w:pPr>
            <w:r w:rsidRPr="00364545">
              <w:rPr>
                <w:sz w:val="18"/>
              </w:rPr>
              <w:t>2494,64</w:t>
            </w:r>
          </w:p>
        </w:tc>
        <w:tc>
          <w:tcPr>
            <w:tcW w:w="992" w:type="dxa"/>
            <w:tcBorders>
              <w:top w:val="nil"/>
              <w:left w:val="nil"/>
              <w:bottom w:val="single" w:sz="4" w:space="0" w:color="auto"/>
              <w:right w:val="single" w:sz="4" w:space="0" w:color="auto"/>
            </w:tcBorders>
            <w:shd w:val="clear" w:color="000000" w:fill="CCFFFF"/>
            <w:noWrap/>
            <w:vAlign w:val="bottom"/>
            <w:hideMark/>
          </w:tcPr>
          <w:p w14:paraId="2A561428" w14:textId="77777777" w:rsidR="00B56301" w:rsidRPr="00364545" w:rsidRDefault="00B56301" w:rsidP="00B37B65">
            <w:pPr>
              <w:jc w:val="right"/>
              <w:rPr>
                <w:rFonts w:ascii="Times New Roman" w:hAnsi="Times New Roman"/>
                <w:sz w:val="18"/>
                <w:szCs w:val="18"/>
              </w:rPr>
            </w:pPr>
            <w:r w:rsidRPr="00364545">
              <w:rPr>
                <w:sz w:val="18"/>
              </w:rPr>
              <w:t>2475,92</w:t>
            </w:r>
          </w:p>
        </w:tc>
        <w:tc>
          <w:tcPr>
            <w:tcW w:w="992" w:type="dxa"/>
            <w:tcBorders>
              <w:top w:val="nil"/>
              <w:left w:val="nil"/>
              <w:bottom w:val="single" w:sz="4" w:space="0" w:color="auto"/>
              <w:right w:val="single" w:sz="4" w:space="0" w:color="auto"/>
            </w:tcBorders>
            <w:shd w:val="clear" w:color="000000" w:fill="CCFFFF"/>
            <w:noWrap/>
            <w:vAlign w:val="bottom"/>
            <w:hideMark/>
          </w:tcPr>
          <w:p w14:paraId="435000F2" w14:textId="77777777" w:rsidR="00B56301" w:rsidRPr="00364545" w:rsidRDefault="00B56301" w:rsidP="00B37B65">
            <w:pPr>
              <w:jc w:val="right"/>
              <w:rPr>
                <w:rFonts w:ascii="Times New Roman" w:hAnsi="Times New Roman"/>
                <w:sz w:val="18"/>
                <w:szCs w:val="18"/>
              </w:rPr>
            </w:pPr>
            <w:r w:rsidRPr="00364545">
              <w:rPr>
                <w:sz w:val="18"/>
              </w:rPr>
              <w:t>2593,70</w:t>
            </w:r>
          </w:p>
        </w:tc>
        <w:tc>
          <w:tcPr>
            <w:tcW w:w="992" w:type="dxa"/>
            <w:tcBorders>
              <w:top w:val="nil"/>
              <w:left w:val="nil"/>
              <w:bottom w:val="single" w:sz="4" w:space="0" w:color="auto"/>
              <w:right w:val="single" w:sz="4" w:space="0" w:color="auto"/>
            </w:tcBorders>
            <w:shd w:val="clear" w:color="000000" w:fill="CCFFFF"/>
            <w:noWrap/>
            <w:vAlign w:val="bottom"/>
            <w:hideMark/>
          </w:tcPr>
          <w:p w14:paraId="6F412984" w14:textId="77777777" w:rsidR="00B56301" w:rsidRPr="00364545" w:rsidRDefault="00B56301" w:rsidP="00B37B65">
            <w:pPr>
              <w:jc w:val="right"/>
              <w:rPr>
                <w:rFonts w:ascii="Times New Roman" w:hAnsi="Times New Roman"/>
                <w:sz w:val="18"/>
                <w:szCs w:val="18"/>
              </w:rPr>
            </w:pPr>
            <w:r w:rsidRPr="00364545">
              <w:rPr>
                <w:sz w:val="18"/>
              </w:rPr>
              <w:t>2292,74</w:t>
            </w:r>
          </w:p>
        </w:tc>
        <w:tc>
          <w:tcPr>
            <w:tcW w:w="992" w:type="dxa"/>
            <w:tcBorders>
              <w:top w:val="nil"/>
              <w:left w:val="nil"/>
              <w:bottom w:val="single" w:sz="4" w:space="0" w:color="auto"/>
              <w:right w:val="single" w:sz="4" w:space="0" w:color="auto"/>
            </w:tcBorders>
            <w:shd w:val="clear" w:color="000000" w:fill="CCFFFF"/>
            <w:noWrap/>
            <w:vAlign w:val="bottom"/>
            <w:hideMark/>
          </w:tcPr>
          <w:p w14:paraId="31E2927B" w14:textId="77777777" w:rsidR="00B56301" w:rsidRPr="00364545" w:rsidRDefault="00B56301" w:rsidP="00B37B65">
            <w:pPr>
              <w:jc w:val="right"/>
              <w:rPr>
                <w:rFonts w:ascii="Times New Roman" w:hAnsi="Times New Roman"/>
                <w:sz w:val="18"/>
                <w:szCs w:val="18"/>
              </w:rPr>
            </w:pPr>
            <w:r w:rsidRPr="00364545">
              <w:rPr>
                <w:sz w:val="18"/>
              </w:rPr>
              <w:t>2180,33</w:t>
            </w:r>
          </w:p>
        </w:tc>
      </w:tr>
      <w:tr w:rsidR="00B56301" w:rsidRPr="00364545" w14:paraId="5A6F70BD" w14:textId="77777777" w:rsidTr="00B37B65">
        <w:trPr>
          <w:trHeight w:val="68"/>
          <w:jc w:val="center"/>
        </w:trPr>
        <w:tc>
          <w:tcPr>
            <w:tcW w:w="3795" w:type="dxa"/>
            <w:tcBorders>
              <w:top w:val="single" w:sz="4" w:space="0" w:color="auto"/>
              <w:left w:val="single" w:sz="4" w:space="0" w:color="auto"/>
              <w:bottom w:val="nil"/>
              <w:right w:val="single" w:sz="4" w:space="0" w:color="auto"/>
            </w:tcBorders>
            <w:shd w:val="clear" w:color="000000" w:fill="CCFFFF"/>
            <w:vAlign w:val="center"/>
            <w:hideMark/>
          </w:tcPr>
          <w:p w14:paraId="7994A812" w14:textId="0B1ECB10" w:rsidR="00B56301" w:rsidRPr="00364545" w:rsidRDefault="007F09F7" w:rsidP="00B37B65">
            <w:pPr>
              <w:jc w:val="left"/>
              <w:rPr>
                <w:rFonts w:ascii="Times New Roman" w:hAnsi="Times New Roman"/>
                <w:sz w:val="20"/>
                <w:szCs w:val="18"/>
              </w:rPr>
            </w:pPr>
            <w:r w:rsidRPr="00364545">
              <w:t>SF</w:t>
            </w:r>
            <w:r w:rsidRPr="00364545">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5700BF16" w14:textId="77777777" w:rsidR="00B56301" w:rsidRPr="00364545" w:rsidRDefault="00B56301" w:rsidP="00B37B65">
            <w:pPr>
              <w:jc w:val="right"/>
              <w:rPr>
                <w:rFonts w:ascii="Times New Roman" w:hAnsi="Times New Roman"/>
                <w:sz w:val="18"/>
                <w:szCs w:val="18"/>
              </w:rPr>
            </w:pPr>
            <w:r w:rsidRPr="00364545">
              <w:rPr>
                <w:sz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52AF9545" w14:textId="77777777" w:rsidR="00B56301" w:rsidRPr="00364545" w:rsidRDefault="00B56301" w:rsidP="00B37B65">
            <w:pPr>
              <w:jc w:val="right"/>
              <w:rPr>
                <w:rFonts w:ascii="Times New Roman" w:hAnsi="Times New Roman"/>
                <w:sz w:val="18"/>
                <w:szCs w:val="18"/>
              </w:rPr>
            </w:pPr>
            <w:r w:rsidRPr="00364545">
              <w:rPr>
                <w:sz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34FE4F95" w14:textId="77777777" w:rsidR="00B56301" w:rsidRPr="00364545" w:rsidRDefault="00B56301" w:rsidP="00B37B65">
            <w:pPr>
              <w:jc w:val="right"/>
              <w:rPr>
                <w:rFonts w:ascii="Times New Roman" w:hAnsi="Times New Roman"/>
                <w:sz w:val="18"/>
                <w:szCs w:val="18"/>
              </w:rPr>
            </w:pPr>
            <w:r w:rsidRPr="00364545">
              <w:rPr>
                <w:sz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1B3FE6F7" w14:textId="77777777" w:rsidR="00B56301" w:rsidRPr="00364545" w:rsidRDefault="00B56301" w:rsidP="00B37B65">
            <w:pPr>
              <w:jc w:val="right"/>
              <w:rPr>
                <w:rFonts w:ascii="Times New Roman" w:hAnsi="Times New Roman"/>
                <w:sz w:val="18"/>
                <w:szCs w:val="18"/>
              </w:rPr>
            </w:pPr>
            <w:r w:rsidRPr="00364545">
              <w:rPr>
                <w:sz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7D8C516B" w14:textId="77777777" w:rsidR="00B56301" w:rsidRPr="00364545" w:rsidRDefault="00B56301" w:rsidP="00B37B65">
            <w:pPr>
              <w:jc w:val="right"/>
              <w:rPr>
                <w:rFonts w:ascii="Times New Roman" w:hAnsi="Times New Roman"/>
                <w:sz w:val="18"/>
                <w:szCs w:val="18"/>
              </w:rPr>
            </w:pPr>
            <w:r w:rsidRPr="00364545">
              <w:rPr>
                <w:sz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0B1C5ED9" w14:textId="77777777" w:rsidR="00B56301" w:rsidRPr="00364545" w:rsidRDefault="00B56301" w:rsidP="00B37B65">
            <w:pPr>
              <w:jc w:val="right"/>
              <w:rPr>
                <w:rFonts w:ascii="Times New Roman" w:hAnsi="Times New Roman"/>
                <w:sz w:val="18"/>
                <w:szCs w:val="18"/>
              </w:rPr>
            </w:pPr>
            <w:r w:rsidRPr="00364545">
              <w:rPr>
                <w:sz w:val="18"/>
              </w:rPr>
              <w:t>0,10</w:t>
            </w:r>
          </w:p>
        </w:tc>
      </w:tr>
      <w:tr w:rsidR="00B56301" w:rsidRPr="00364545" w14:paraId="02051560"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0044EE90" w14:textId="59580568"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rPr>
                <w:sz w:val="18"/>
              </w:rPr>
              <w:t>NF</w:t>
            </w:r>
            <w:r w:rsidRPr="00364545">
              <w:rPr>
                <w:sz w:val="18"/>
                <w:vertAlign w:val="subscript"/>
              </w:rPr>
              <w:t>3</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6F80AD00" w14:textId="77777777" w:rsidR="00B56301" w:rsidRPr="00364545" w:rsidRDefault="00B56301" w:rsidP="00B37B65">
            <w:pPr>
              <w:jc w:val="right"/>
              <w:rPr>
                <w:rFonts w:ascii="Times New Roman" w:hAnsi="Times New Roman"/>
                <w:sz w:val="18"/>
                <w:szCs w:val="18"/>
              </w:rPr>
            </w:pPr>
            <w:r w:rsidRPr="00364545">
              <w:rPr>
                <w:sz w:val="18"/>
              </w:rPr>
              <w:t>6,26</w:t>
            </w:r>
          </w:p>
        </w:tc>
        <w:tc>
          <w:tcPr>
            <w:tcW w:w="992" w:type="dxa"/>
            <w:tcBorders>
              <w:top w:val="nil"/>
              <w:left w:val="nil"/>
              <w:bottom w:val="single" w:sz="4" w:space="0" w:color="auto"/>
              <w:right w:val="single" w:sz="4" w:space="0" w:color="auto"/>
            </w:tcBorders>
            <w:shd w:val="clear" w:color="000000" w:fill="CCFFFF"/>
            <w:noWrap/>
            <w:vAlign w:val="bottom"/>
            <w:hideMark/>
          </w:tcPr>
          <w:p w14:paraId="3679DD07" w14:textId="77777777" w:rsidR="00B56301" w:rsidRPr="00364545" w:rsidRDefault="00B56301" w:rsidP="00B37B65">
            <w:pPr>
              <w:jc w:val="right"/>
              <w:rPr>
                <w:rFonts w:ascii="Times New Roman" w:hAnsi="Times New Roman"/>
                <w:sz w:val="18"/>
                <w:szCs w:val="18"/>
              </w:rPr>
            </w:pPr>
            <w:r w:rsidRPr="00364545">
              <w:rPr>
                <w:sz w:val="18"/>
              </w:rPr>
              <w:t>11,46</w:t>
            </w:r>
          </w:p>
        </w:tc>
        <w:tc>
          <w:tcPr>
            <w:tcW w:w="992" w:type="dxa"/>
            <w:tcBorders>
              <w:top w:val="nil"/>
              <w:left w:val="nil"/>
              <w:bottom w:val="single" w:sz="4" w:space="0" w:color="auto"/>
              <w:right w:val="single" w:sz="4" w:space="0" w:color="auto"/>
            </w:tcBorders>
            <w:shd w:val="clear" w:color="000000" w:fill="CCFFFF"/>
            <w:noWrap/>
            <w:vAlign w:val="bottom"/>
            <w:hideMark/>
          </w:tcPr>
          <w:p w14:paraId="7C21195A" w14:textId="77777777" w:rsidR="00B56301" w:rsidRPr="00364545" w:rsidRDefault="00B56301" w:rsidP="00B37B65">
            <w:pPr>
              <w:jc w:val="right"/>
              <w:rPr>
                <w:rFonts w:ascii="Times New Roman" w:hAnsi="Times New Roman"/>
                <w:sz w:val="18"/>
                <w:szCs w:val="18"/>
              </w:rPr>
            </w:pPr>
            <w:r w:rsidRPr="00364545">
              <w:rPr>
                <w:sz w:val="18"/>
              </w:rPr>
              <w:t>17,18</w:t>
            </w:r>
          </w:p>
        </w:tc>
        <w:tc>
          <w:tcPr>
            <w:tcW w:w="992" w:type="dxa"/>
            <w:tcBorders>
              <w:top w:val="nil"/>
              <w:left w:val="nil"/>
              <w:bottom w:val="single" w:sz="4" w:space="0" w:color="auto"/>
              <w:right w:val="single" w:sz="4" w:space="0" w:color="auto"/>
            </w:tcBorders>
            <w:shd w:val="clear" w:color="000000" w:fill="CCFFFF"/>
            <w:noWrap/>
            <w:vAlign w:val="bottom"/>
            <w:hideMark/>
          </w:tcPr>
          <w:p w14:paraId="1CD67A4C" w14:textId="77777777" w:rsidR="00B56301" w:rsidRPr="00364545" w:rsidRDefault="00B56301" w:rsidP="00B37B65">
            <w:pPr>
              <w:jc w:val="right"/>
              <w:rPr>
                <w:rFonts w:ascii="Times New Roman" w:hAnsi="Times New Roman"/>
                <w:sz w:val="18"/>
                <w:szCs w:val="18"/>
              </w:rPr>
            </w:pPr>
            <w:r w:rsidRPr="00364545">
              <w:rPr>
                <w:sz w:val="18"/>
              </w:rPr>
              <w:t>21,16</w:t>
            </w:r>
          </w:p>
        </w:tc>
        <w:tc>
          <w:tcPr>
            <w:tcW w:w="992" w:type="dxa"/>
            <w:tcBorders>
              <w:top w:val="nil"/>
              <w:left w:val="nil"/>
              <w:bottom w:val="single" w:sz="4" w:space="0" w:color="auto"/>
              <w:right w:val="single" w:sz="4" w:space="0" w:color="auto"/>
            </w:tcBorders>
            <w:shd w:val="clear" w:color="000000" w:fill="CCFFFF"/>
            <w:noWrap/>
            <w:vAlign w:val="bottom"/>
            <w:hideMark/>
          </w:tcPr>
          <w:p w14:paraId="6B1E7EF6" w14:textId="77777777" w:rsidR="00B56301" w:rsidRPr="00364545" w:rsidRDefault="00B56301" w:rsidP="00B37B65">
            <w:pPr>
              <w:jc w:val="right"/>
              <w:rPr>
                <w:rFonts w:ascii="Times New Roman" w:hAnsi="Times New Roman"/>
                <w:sz w:val="18"/>
                <w:szCs w:val="18"/>
              </w:rPr>
            </w:pPr>
            <w:r w:rsidRPr="00364545">
              <w:rPr>
                <w:sz w:val="18"/>
              </w:rPr>
              <w:t>28,41</w:t>
            </w:r>
          </w:p>
        </w:tc>
        <w:tc>
          <w:tcPr>
            <w:tcW w:w="992" w:type="dxa"/>
            <w:tcBorders>
              <w:top w:val="nil"/>
              <w:left w:val="nil"/>
              <w:bottom w:val="single" w:sz="4" w:space="0" w:color="auto"/>
              <w:right w:val="single" w:sz="4" w:space="0" w:color="auto"/>
            </w:tcBorders>
            <w:shd w:val="clear" w:color="000000" w:fill="CCFFFF"/>
            <w:noWrap/>
            <w:vAlign w:val="bottom"/>
            <w:hideMark/>
          </w:tcPr>
          <w:p w14:paraId="0BF99CE8" w14:textId="77777777" w:rsidR="00B56301" w:rsidRPr="00364545" w:rsidRDefault="00B56301" w:rsidP="00B37B65">
            <w:pPr>
              <w:jc w:val="right"/>
              <w:rPr>
                <w:rFonts w:ascii="Times New Roman" w:hAnsi="Times New Roman"/>
                <w:sz w:val="18"/>
                <w:szCs w:val="18"/>
              </w:rPr>
            </w:pPr>
            <w:r w:rsidRPr="00364545">
              <w:rPr>
                <w:sz w:val="18"/>
              </w:rPr>
              <w:t>19,89</w:t>
            </w:r>
          </w:p>
        </w:tc>
      </w:tr>
      <w:tr w:rsidR="00B56301" w:rsidRPr="00364545" w14:paraId="7B0D65F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1811B3FB" w14:textId="09B18615" w:rsidR="00B56301" w:rsidRPr="00364545" w:rsidRDefault="007F09F7" w:rsidP="00B37B65">
            <w:pPr>
              <w:jc w:val="left"/>
              <w:rPr>
                <w:rFonts w:ascii="Times New Roman" w:hAnsi="Times New Roman"/>
                <w:sz w:val="20"/>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7A326F30"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BE06E75"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BFA7F9A"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3FE35F4"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A68809F"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61B2955" w14:textId="77777777" w:rsidR="00B56301" w:rsidRPr="00364545" w:rsidRDefault="00B56301" w:rsidP="00B37B65">
            <w:pPr>
              <w:jc w:val="right"/>
              <w:rPr>
                <w:rFonts w:ascii="Times New Roman" w:hAnsi="Times New Roman"/>
                <w:sz w:val="18"/>
                <w:szCs w:val="18"/>
              </w:rPr>
            </w:pPr>
            <w:r w:rsidRPr="00364545">
              <w:rPr>
                <w:sz w:val="18"/>
              </w:rPr>
              <w:t>0,00</w:t>
            </w:r>
          </w:p>
        </w:tc>
      </w:tr>
    </w:tbl>
    <w:p w14:paraId="4C0E7905" w14:textId="77777777" w:rsidR="00B56301" w:rsidRPr="00364545" w:rsidRDefault="00B56301" w:rsidP="00B56301">
      <w:pPr>
        <w:spacing w:line="240" w:lineRule="atLeast"/>
        <w:jc w:val="left"/>
        <w:rPr>
          <w:rFonts w:cs="Arial"/>
        </w:rPr>
      </w:pPr>
      <w:r w:rsidRPr="00364545">
        <w:br w:type="page"/>
      </w:r>
    </w:p>
    <w:p w14:paraId="6245940C" w14:textId="77777777" w:rsidR="00B56301" w:rsidRPr="00364545" w:rsidRDefault="00B56301" w:rsidP="00B56301">
      <w:pPr>
        <w:spacing w:line="240" w:lineRule="atLeast"/>
        <w:jc w:val="left"/>
        <w:rPr>
          <w:rFonts w:cs="Arial"/>
        </w:rPr>
      </w:pPr>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364545" w14:paraId="39FC2DBA" w14:textId="77777777" w:rsidTr="00B37B65">
        <w:trPr>
          <w:trHeight w:val="68"/>
          <w:jc w:val="center"/>
        </w:trPr>
        <w:tc>
          <w:tcPr>
            <w:tcW w:w="379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224D8B65" w14:textId="77777777" w:rsidR="00B56301" w:rsidRPr="00364545" w:rsidRDefault="00B56301" w:rsidP="00B37B65">
            <w:pPr>
              <w:jc w:val="center"/>
              <w:rPr>
                <w:rFonts w:ascii="Times New Roman" w:hAnsi="Times New Roman"/>
                <w:b/>
                <w:bCs/>
                <w:sz w:val="20"/>
                <w:szCs w:val="18"/>
              </w:rPr>
            </w:pPr>
            <w:r w:rsidRPr="00364545">
              <w:rPr>
                <w:rFonts w:ascii="Times New Roman" w:hAnsi="Times New Roman"/>
                <w:b/>
                <w:sz w:val="20"/>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3E95EE9"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AEAD37A"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DBFF06D"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77737DF"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2004</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3A761A4"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759C58B"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2006</w:t>
            </w:r>
          </w:p>
        </w:tc>
      </w:tr>
      <w:tr w:rsidR="00B56301" w:rsidRPr="00364545" w14:paraId="4CBE370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1A73164F" w14:textId="0A0EFA34"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and PFCs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4C2B9117" w14:textId="77777777" w:rsidR="00B56301" w:rsidRPr="00364545" w:rsidRDefault="00B56301" w:rsidP="00B37B65">
            <w:pPr>
              <w:jc w:val="right"/>
              <w:rPr>
                <w:rFonts w:ascii="Times New Roman" w:hAnsi="Times New Roman"/>
                <w:sz w:val="18"/>
                <w:szCs w:val="18"/>
              </w:rPr>
            </w:pPr>
            <w:r w:rsidRPr="00364545">
              <w:rPr>
                <w:sz w:val="18"/>
              </w:rPr>
              <w:t>10613,91</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E6A08A1" w14:textId="77777777" w:rsidR="00B56301" w:rsidRPr="00364545" w:rsidRDefault="00B56301" w:rsidP="00B37B65">
            <w:pPr>
              <w:jc w:val="right"/>
              <w:rPr>
                <w:rFonts w:ascii="Times New Roman" w:hAnsi="Times New Roman"/>
                <w:sz w:val="18"/>
                <w:szCs w:val="18"/>
              </w:rPr>
            </w:pPr>
            <w:r w:rsidRPr="00364545">
              <w:rPr>
                <w:sz w:val="18"/>
              </w:rPr>
              <w:t>13297,23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4D9EA33" w14:textId="77777777" w:rsidR="00B56301" w:rsidRPr="00364545" w:rsidRDefault="00B56301" w:rsidP="00B37B65">
            <w:pPr>
              <w:jc w:val="right"/>
              <w:rPr>
                <w:rFonts w:ascii="Times New Roman" w:hAnsi="Times New Roman"/>
                <w:sz w:val="18"/>
                <w:szCs w:val="18"/>
              </w:rPr>
            </w:pPr>
            <w:r w:rsidRPr="00364545">
              <w:rPr>
                <w:sz w:val="18"/>
              </w:rPr>
              <w:t>14236,71</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6FA549C" w14:textId="77777777" w:rsidR="00B56301" w:rsidRPr="00364545" w:rsidRDefault="00B56301" w:rsidP="00B37B65">
            <w:pPr>
              <w:jc w:val="right"/>
              <w:rPr>
                <w:rFonts w:ascii="Times New Roman" w:hAnsi="Times New Roman"/>
                <w:sz w:val="18"/>
                <w:szCs w:val="18"/>
              </w:rPr>
            </w:pPr>
            <w:r w:rsidRPr="00364545">
              <w:rPr>
                <w:sz w:val="18"/>
              </w:rPr>
              <w:t>14507,18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C8CB359" w14:textId="77777777" w:rsidR="00B56301" w:rsidRPr="00364545" w:rsidRDefault="00B56301" w:rsidP="00B37B65">
            <w:pPr>
              <w:jc w:val="right"/>
              <w:rPr>
                <w:rFonts w:ascii="Times New Roman" w:hAnsi="Times New Roman"/>
                <w:sz w:val="18"/>
                <w:szCs w:val="18"/>
              </w:rPr>
            </w:pPr>
            <w:r w:rsidRPr="00364545">
              <w:rPr>
                <w:sz w:val="18"/>
              </w:rPr>
              <w:t>14622,49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CC92C87" w14:textId="77777777" w:rsidR="00B56301" w:rsidRPr="00364545" w:rsidRDefault="00B56301" w:rsidP="00B37B65">
            <w:pPr>
              <w:jc w:val="right"/>
              <w:rPr>
                <w:rFonts w:ascii="Times New Roman" w:hAnsi="Times New Roman"/>
                <w:sz w:val="18"/>
                <w:szCs w:val="18"/>
              </w:rPr>
            </w:pPr>
            <w:r w:rsidRPr="00364545">
              <w:rPr>
                <w:sz w:val="18"/>
              </w:rPr>
              <w:t>15815,02</w:t>
            </w:r>
          </w:p>
        </w:tc>
      </w:tr>
      <w:tr w:rsidR="00B56301" w:rsidRPr="00364545" w14:paraId="3D18F9A7" w14:textId="77777777" w:rsidTr="00B37B65">
        <w:trPr>
          <w:trHeight w:val="68"/>
          <w:jc w:val="center"/>
        </w:trPr>
        <w:tc>
          <w:tcPr>
            <w:tcW w:w="3795" w:type="dxa"/>
            <w:tcBorders>
              <w:top w:val="nil"/>
              <w:left w:val="single" w:sz="4" w:space="0" w:color="auto"/>
              <w:bottom w:val="nil"/>
              <w:right w:val="single" w:sz="4" w:space="0" w:color="auto"/>
            </w:tcBorders>
            <w:shd w:val="clear" w:color="000000" w:fill="CCFFFF"/>
            <w:vAlign w:val="center"/>
            <w:hideMark/>
          </w:tcPr>
          <w:p w14:paraId="38519DF3" w14:textId="7BA1620C"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2E2532AB" w14:textId="77777777" w:rsidR="00B56301" w:rsidRPr="00364545" w:rsidRDefault="00B56301" w:rsidP="00B37B65">
            <w:pPr>
              <w:jc w:val="right"/>
              <w:rPr>
                <w:rFonts w:ascii="Times New Roman" w:hAnsi="Times New Roman"/>
                <w:sz w:val="18"/>
                <w:szCs w:val="18"/>
              </w:rPr>
            </w:pPr>
            <w:r w:rsidRPr="00364545">
              <w:rPr>
                <w:sz w:val="18"/>
              </w:rPr>
              <w:t>7960,94</w:t>
            </w:r>
          </w:p>
        </w:tc>
        <w:tc>
          <w:tcPr>
            <w:tcW w:w="992" w:type="dxa"/>
            <w:tcBorders>
              <w:top w:val="nil"/>
              <w:left w:val="nil"/>
              <w:bottom w:val="single" w:sz="4" w:space="0" w:color="auto"/>
              <w:right w:val="single" w:sz="4" w:space="0" w:color="auto"/>
            </w:tcBorders>
            <w:shd w:val="clear" w:color="000000" w:fill="CCFFFF"/>
            <w:noWrap/>
            <w:vAlign w:val="bottom"/>
            <w:hideMark/>
          </w:tcPr>
          <w:p w14:paraId="64159738" w14:textId="77777777" w:rsidR="00B56301" w:rsidRPr="00364545" w:rsidRDefault="00B56301" w:rsidP="00B37B65">
            <w:pPr>
              <w:jc w:val="right"/>
              <w:rPr>
                <w:rFonts w:ascii="Times New Roman" w:hAnsi="Times New Roman"/>
                <w:sz w:val="18"/>
                <w:szCs w:val="18"/>
              </w:rPr>
            </w:pPr>
            <w:r w:rsidRPr="00364545">
              <w:rPr>
                <w:sz w:val="18"/>
              </w:rPr>
              <w:t>9123,07</w:t>
            </w:r>
          </w:p>
        </w:tc>
        <w:tc>
          <w:tcPr>
            <w:tcW w:w="992" w:type="dxa"/>
            <w:tcBorders>
              <w:top w:val="nil"/>
              <w:left w:val="nil"/>
              <w:bottom w:val="single" w:sz="4" w:space="0" w:color="auto"/>
              <w:right w:val="single" w:sz="4" w:space="0" w:color="auto"/>
            </w:tcBorders>
            <w:shd w:val="clear" w:color="000000" w:fill="CCFFFF"/>
            <w:noWrap/>
            <w:vAlign w:val="bottom"/>
            <w:hideMark/>
          </w:tcPr>
          <w:p w14:paraId="2B573C07" w14:textId="77777777" w:rsidR="00B56301" w:rsidRPr="00364545" w:rsidRDefault="00B56301" w:rsidP="00B37B65">
            <w:pPr>
              <w:jc w:val="right"/>
              <w:rPr>
                <w:rFonts w:ascii="Times New Roman" w:hAnsi="Times New Roman"/>
                <w:sz w:val="18"/>
                <w:szCs w:val="18"/>
              </w:rPr>
            </w:pPr>
            <w:r w:rsidRPr="00364545">
              <w:rPr>
                <w:sz w:val="18"/>
              </w:rPr>
              <w:t>10385,85</w:t>
            </w:r>
          </w:p>
        </w:tc>
        <w:tc>
          <w:tcPr>
            <w:tcW w:w="992" w:type="dxa"/>
            <w:tcBorders>
              <w:top w:val="nil"/>
              <w:left w:val="nil"/>
              <w:bottom w:val="single" w:sz="4" w:space="0" w:color="auto"/>
              <w:right w:val="single" w:sz="4" w:space="0" w:color="auto"/>
            </w:tcBorders>
            <w:shd w:val="clear" w:color="000000" w:fill="CCFFFF"/>
            <w:noWrap/>
            <w:vAlign w:val="bottom"/>
            <w:hideMark/>
          </w:tcPr>
          <w:p w14:paraId="4CA6959C" w14:textId="77777777" w:rsidR="00B56301" w:rsidRPr="00364545" w:rsidRDefault="00B56301" w:rsidP="00B37B65">
            <w:pPr>
              <w:jc w:val="right"/>
              <w:rPr>
                <w:rFonts w:ascii="Times New Roman" w:hAnsi="Times New Roman"/>
                <w:sz w:val="18"/>
                <w:szCs w:val="18"/>
              </w:rPr>
            </w:pPr>
            <w:r w:rsidRPr="00364545">
              <w:rPr>
                <w:sz w:val="18"/>
              </w:rPr>
              <w:t>11868,33</w:t>
            </w:r>
          </w:p>
        </w:tc>
        <w:tc>
          <w:tcPr>
            <w:tcW w:w="992" w:type="dxa"/>
            <w:tcBorders>
              <w:top w:val="nil"/>
              <w:left w:val="nil"/>
              <w:bottom w:val="single" w:sz="4" w:space="0" w:color="auto"/>
              <w:right w:val="single" w:sz="4" w:space="0" w:color="auto"/>
            </w:tcBorders>
            <w:shd w:val="clear" w:color="000000" w:fill="CCFFFF"/>
            <w:noWrap/>
            <w:vAlign w:val="bottom"/>
            <w:hideMark/>
          </w:tcPr>
          <w:p w14:paraId="2DC65CF0" w14:textId="77777777" w:rsidR="00B56301" w:rsidRPr="00364545" w:rsidRDefault="00B56301" w:rsidP="00B37B65">
            <w:pPr>
              <w:jc w:val="right"/>
              <w:rPr>
                <w:rFonts w:ascii="Times New Roman" w:hAnsi="Times New Roman"/>
                <w:sz w:val="18"/>
                <w:szCs w:val="18"/>
              </w:rPr>
            </w:pPr>
            <w:r w:rsidRPr="00364545">
              <w:rPr>
                <w:sz w:val="18"/>
              </w:rPr>
              <w:t>12862,16</w:t>
            </w:r>
          </w:p>
        </w:tc>
        <w:tc>
          <w:tcPr>
            <w:tcW w:w="992" w:type="dxa"/>
            <w:tcBorders>
              <w:top w:val="nil"/>
              <w:left w:val="nil"/>
              <w:bottom w:val="single" w:sz="4" w:space="0" w:color="auto"/>
              <w:right w:val="single" w:sz="4" w:space="0" w:color="auto"/>
            </w:tcBorders>
            <w:shd w:val="clear" w:color="000000" w:fill="CCFFFF"/>
            <w:noWrap/>
            <w:vAlign w:val="bottom"/>
            <w:hideMark/>
          </w:tcPr>
          <w:p w14:paraId="2DE81FCE" w14:textId="77777777" w:rsidR="00B56301" w:rsidRPr="00364545" w:rsidRDefault="00B56301" w:rsidP="00B37B65">
            <w:pPr>
              <w:jc w:val="right"/>
              <w:rPr>
                <w:rFonts w:ascii="Times New Roman" w:hAnsi="Times New Roman"/>
                <w:sz w:val="18"/>
                <w:szCs w:val="18"/>
              </w:rPr>
            </w:pPr>
            <w:r w:rsidRPr="00364545">
              <w:rPr>
                <w:sz w:val="18"/>
              </w:rPr>
              <w:t>14352,62</w:t>
            </w:r>
          </w:p>
        </w:tc>
      </w:tr>
      <w:tr w:rsidR="00B56301" w:rsidRPr="00364545" w14:paraId="42560DF7"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hideMark/>
          </w:tcPr>
          <w:p w14:paraId="022E510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45E6B5A8"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ED3D882"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6025C1F9"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238F69FD"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FE1E467"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280426ED" w14:textId="77777777" w:rsidR="00B56301" w:rsidRPr="00364545" w:rsidRDefault="00B56301" w:rsidP="00B37B65">
            <w:pPr>
              <w:jc w:val="right"/>
              <w:rPr>
                <w:rFonts w:ascii="Times New Roman" w:hAnsi="Times New Roman"/>
                <w:sz w:val="18"/>
                <w:szCs w:val="18"/>
              </w:rPr>
            </w:pPr>
            <w:r w:rsidRPr="00364545">
              <w:rPr>
                <w:sz w:val="18"/>
              </w:rPr>
              <w:t>0,04</w:t>
            </w:r>
          </w:p>
        </w:tc>
      </w:tr>
      <w:tr w:rsidR="00B56301" w:rsidRPr="00364545" w14:paraId="68FE1A3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A629B96"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33F7C80C"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3C24642"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0F0E19E9"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B04C182" w14:textId="77777777" w:rsidR="00B56301" w:rsidRPr="00364545" w:rsidRDefault="00B56301" w:rsidP="00B37B65">
            <w:pPr>
              <w:jc w:val="right"/>
              <w:rPr>
                <w:rFonts w:ascii="Times New Roman" w:hAnsi="Times New Roman"/>
                <w:sz w:val="18"/>
                <w:szCs w:val="18"/>
              </w:rPr>
            </w:pPr>
            <w:r w:rsidRPr="00364545">
              <w:rPr>
                <w:sz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7080651A" w14:textId="77777777" w:rsidR="00B56301" w:rsidRPr="00364545" w:rsidRDefault="00B56301" w:rsidP="00B37B65">
            <w:pPr>
              <w:jc w:val="right"/>
              <w:rPr>
                <w:rFonts w:ascii="Times New Roman" w:hAnsi="Times New Roman"/>
                <w:sz w:val="18"/>
                <w:szCs w:val="18"/>
              </w:rPr>
            </w:pPr>
            <w:r w:rsidRPr="00364545">
              <w:rPr>
                <w:sz w:val="18"/>
              </w:rPr>
              <w:t>0,14</w:t>
            </w:r>
          </w:p>
        </w:tc>
        <w:tc>
          <w:tcPr>
            <w:tcW w:w="992" w:type="dxa"/>
            <w:tcBorders>
              <w:top w:val="nil"/>
              <w:left w:val="nil"/>
              <w:bottom w:val="single" w:sz="4" w:space="0" w:color="auto"/>
              <w:right w:val="single" w:sz="4" w:space="0" w:color="auto"/>
            </w:tcBorders>
            <w:shd w:val="clear" w:color="000000" w:fill="FFFFFF"/>
            <w:noWrap/>
            <w:vAlign w:val="bottom"/>
            <w:hideMark/>
          </w:tcPr>
          <w:p w14:paraId="08B37E3A" w14:textId="77777777" w:rsidR="00B56301" w:rsidRPr="00364545" w:rsidRDefault="00B56301" w:rsidP="00B37B65">
            <w:pPr>
              <w:jc w:val="right"/>
              <w:rPr>
                <w:rFonts w:ascii="Times New Roman" w:hAnsi="Times New Roman"/>
                <w:sz w:val="18"/>
                <w:szCs w:val="18"/>
              </w:rPr>
            </w:pPr>
            <w:r w:rsidRPr="00364545">
              <w:rPr>
                <w:sz w:val="18"/>
              </w:rPr>
              <w:t>0,19</w:t>
            </w:r>
          </w:p>
        </w:tc>
      </w:tr>
      <w:tr w:rsidR="00B56301" w:rsidRPr="00364545" w14:paraId="3863F0B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7406AB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7D4B24A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C9243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D7ED88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64478C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BDA085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67EC54D"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3FCEED3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D15885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6E1C943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96E48A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6E6570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DA5AD5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7F8B28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AE50A74"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4D05411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06E3DC2"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2043DD7F" w14:textId="77777777" w:rsidR="00B56301" w:rsidRPr="00364545" w:rsidRDefault="00B56301" w:rsidP="00B37B65">
            <w:pPr>
              <w:jc w:val="right"/>
              <w:rPr>
                <w:rFonts w:ascii="Times New Roman" w:hAnsi="Times New Roman"/>
                <w:sz w:val="18"/>
                <w:szCs w:val="18"/>
              </w:rPr>
            </w:pPr>
            <w:r w:rsidRPr="00364545">
              <w:rPr>
                <w:sz w:val="18"/>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66951672" w14:textId="77777777" w:rsidR="00B56301" w:rsidRPr="00364545" w:rsidRDefault="00B56301" w:rsidP="00B37B65">
            <w:pPr>
              <w:jc w:val="right"/>
              <w:rPr>
                <w:rFonts w:ascii="Times New Roman" w:hAnsi="Times New Roman"/>
                <w:sz w:val="18"/>
                <w:szCs w:val="18"/>
              </w:rPr>
            </w:pPr>
            <w:r w:rsidRPr="00364545">
              <w:rPr>
                <w:sz w:val="18"/>
              </w:rPr>
              <w:t>0,45</w:t>
            </w:r>
          </w:p>
        </w:tc>
        <w:tc>
          <w:tcPr>
            <w:tcW w:w="992" w:type="dxa"/>
            <w:tcBorders>
              <w:top w:val="nil"/>
              <w:left w:val="nil"/>
              <w:bottom w:val="single" w:sz="4" w:space="0" w:color="auto"/>
              <w:right w:val="single" w:sz="4" w:space="0" w:color="auto"/>
            </w:tcBorders>
            <w:shd w:val="clear" w:color="000000" w:fill="FFFFFF"/>
            <w:noWrap/>
            <w:vAlign w:val="bottom"/>
            <w:hideMark/>
          </w:tcPr>
          <w:p w14:paraId="008AF96F" w14:textId="77777777" w:rsidR="00B56301" w:rsidRPr="00364545" w:rsidRDefault="00B56301" w:rsidP="00B37B65">
            <w:pPr>
              <w:jc w:val="right"/>
              <w:rPr>
                <w:rFonts w:ascii="Times New Roman" w:hAnsi="Times New Roman"/>
                <w:sz w:val="18"/>
                <w:szCs w:val="18"/>
              </w:rPr>
            </w:pPr>
            <w:r w:rsidRPr="00364545">
              <w:rPr>
                <w:sz w:val="18"/>
              </w:rPr>
              <w:t>0,58</w:t>
            </w:r>
          </w:p>
        </w:tc>
        <w:tc>
          <w:tcPr>
            <w:tcW w:w="992" w:type="dxa"/>
            <w:tcBorders>
              <w:top w:val="nil"/>
              <w:left w:val="nil"/>
              <w:bottom w:val="single" w:sz="4" w:space="0" w:color="auto"/>
              <w:right w:val="single" w:sz="4" w:space="0" w:color="auto"/>
            </w:tcBorders>
            <w:shd w:val="clear" w:color="000000" w:fill="FFFFFF"/>
            <w:noWrap/>
            <w:vAlign w:val="bottom"/>
            <w:hideMark/>
          </w:tcPr>
          <w:p w14:paraId="6E8FC33B" w14:textId="77777777" w:rsidR="00B56301" w:rsidRPr="00364545" w:rsidRDefault="00B56301" w:rsidP="00B37B65">
            <w:pPr>
              <w:jc w:val="right"/>
              <w:rPr>
                <w:rFonts w:ascii="Times New Roman" w:hAnsi="Times New Roman"/>
                <w:sz w:val="18"/>
                <w:szCs w:val="18"/>
              </w:rPr>
            </w:pPr>
            <w:r w:rsidRPr="00364545">
              <w:rPr>
                <w:sz w:val="18"/>
              </w:rPr>
              <w:t>0,70</w:t>
            </w:r>
          </w:p>
        </w:tc>
        <w:tc>
          <w:tcPr>
            <w:tcW w:w="992" w:type="dxa"/>
            <w:tcBorders>
              <w:top w:val="nil"/>
              <w:left w:val="nil"/>
              <w:bottom w:val="single" w:sz="4" w:space="0" w:color="auto"/>
              <w:right w:val="single" w:sz="4" w:space="0" w:color="auto"/>
            </w:tcBorders>
            <w:shd w:val="clear" w:color="000000" w:fill="FFFFFF"/>
            <w:noWrap/>
            <w:vAlign w:val="bottom"/>
            <w:hideMark/>
          </w:tcPr>
          <w:p w14:paraId="1C419936" w14:textId="77777777" w:rsidR="00B56301" w:rsidRPr="00364545" w:rsidRDefault="00B56301" w:rsidP="00B37B65">
            <w:pPr>
              <w:jc w:val="right"/>
              <w:rPr>
                <w:rFonts w:ascii="Times New Roman" w:hAnsi="Times New Roman"/>
                <w:sz w:val="18"/>
                <w:szCs w:val="18"/>
              </w:rPr>
            </w:pPr>
            <w:r w:rsidRPr="00364545">
              <w:rPr>
                <w:sz w:val="18"/>
              </w:rPr>
              <w:t>0,79</w:t>
            </w:r>
          </w:p>
        </w:tc>
        <w:tc>
          <w:tcPr>
            <w:tcW w:w="992" w:type="dxa"/>
            <w:tcBorders>
              <w:top w:val="nil"/>
              <w:left w:val="nil"/>
              <w:bottom w:val="single" w:sz="4" w:space="0" w:color="auto"/>
              <w:right w:val="single" w:sz="4" w:space="0" w:color="auto"/>
            </w:tcBorders>
            <w:shd w:val="clear" w:color="000000" w:fill="FFFFFF"/>
            <w:noWrap/>
            <w:vAlign w:val="bottom"/>
            <w:hideMark/>
          </w:tcPr>
          <w:p w14:paraId="1B9F657E" w14:textId="77777777" w:rsidR="00B56301" w:rsidRPr="00364545" w:rsidRDefault="00B56301" w:rsidP="00B37B65">
            <w:pPr>
              <w:jc w:val="right"/>
              <w:rPr>
                <w:rFonts w:ascii="Times New Roman" w:hAnsi="Times New Roman"/>
                <w:sz w:val="18"/>
                <w:szCs w:val="18"/>
              </w:rPr>
            </w:pPr>
            <w:r w:rsidRPr="00364545">
              <w:rPr>
                <w:sz w:val="18"/>
              </w:rPr>
              <w:t>0,92</w:t>
            </w:r>
          </w:p>
        </w:tc>
      </w:tr>
      <w:tr w:rsidR="00B56301" w:rsidRPr="00364545" w14:paraId="7370A30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D9E7FD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249B6AA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957FCD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F8C5C7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6C4F5D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18D99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5FE8BE"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7DD2A25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32B33DC"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6B71638C" w14:textId="77777777" w:rsidR="00B56301" w:rsidRPr="00364545" w:rsidRDefault="00B56301" w:rsidP="00B37B65">
            <w:pPr>
              <w:jc w:val="right"/>
              <w:rPr>
                <w:rFonts w:ascii="Times New Roman" w:hAnsi="Times New Roman"/>
                <w:sz w:val="18"/>
                <w:szCs w:val="18"/>
              </w:rPr>
            </w:pPr>
            <w:r w:rsidRPr="00364545">
              <w:rPr>
                <w:sz w:val="18"/>
              </w:rPr>
              <w:t>2,87</w:t>
            </w:r>
          </w:p>
        </w:tc>
        <w:tc>
          <w:tcPr>
            <w:tcW w:w="992" w:type="dxa"/>
            <w:tcBorders>
              <w:top w:val="nil"/>
              <w:left w:val="nil"/>
              <w:bottom w:val="single" w:sz="4" w:space="0" w:color="auto"/>
              <w:right w:val="single" w:sz="4" w:space="0" w:color="auto"/>
            </w:tcBorders>
            <w:shd w:val="clear" w:color="000000" w:fill="FFFFFF"/>
            <w:noWrap/>
            <w:vAlign w:val="bottom"/>
            <w:hideMark/>
          </w:tcPr>
          <w:p w14:paraId="7804EFE3" w14:textId="77777777" w:rsidR="00B56301" w:rsidRPr="00364545" w:rsidRDefault="00B56301" w:rsidP="00B37B65">
            <w:pPr>
              <w:jc w:val="right"/>
              <w:rPr>
                <w:rFonts w:ascii="Times New Roman" w:hAnsi="Times New Roman"/>
                <w:sz w:val="18"/>
                <w:szCs w:val="18"/>
              </w:rPr>
            </w:pPr>
            <w:r w:rsidRPr="00364545">
              <w:rPr>
                <w:sz w:val="18"/>
              </w:rPr>
              <w:t>3,15</w:t>
            </w:r>
          </w:p>
        </w:tc>
        <w:tc>
          <w:tcPr>
            <w:tcW w:w="992" w:type="dxa"/>
            <w:tcBorders>
              <w:top w:val="nil"/>
              <w:left w:val="nil"/>
              <w:bottom w:val="single" w:sz="4" w:space="0" w:color="auto"/>
              <w:right w:val="single" w:sz="4" w:space="0" w:color="auto"/>
            </w:tcBorders>
            <w:shd w:val="clear" w:color="000000" w:fill="FFFFFF"/>
            <w:noWrap/>
            <w:vAlign w:val="bottom"/>
            <w:hideMark/>
          </w:tcPr>
          <w:p w14:paraId="7073C562" w14:textId="77777777" w:rsidR="00B56301" w:rsidRPr="00364545" w:rsidRDefault="00B56301" w:rsidP="00B37B65">
            <w:pPr>
              <w:jc w:val="right"/>
              <w:rPr>
                <w:rFonts w:ascii="Times New Roman" w:hAnsi="Times New Roman"/>
                <w:sz w:val="18"/>
                <w:szCs w:val="18"/>
              </w:rPr>
            </w:pPr>
            <w:r w:rsidRPr="00364545">
              <w:rPr>
                <w:sz w:val="18"/>
              </w:rPr>
              <w:t>3,55</w:t>
            </w:r>
          </w:p>
        </w:tc>
        <w:tc>
          <w:tcPr>
            <w:tcW w:w="992" w:type="dxa"/>
            <w:tcBorders>
              <w:top w:val="nil"/>
              <w:left w:val="nil"/>
              <w:bottom w:val="single" w:sz="4" w:space="0" w:color="auto"/>
              <w:right w:val="single" w:sz="4" w:space="0" w:color="auto"/>
            </w:tcBorders>
            <w:shd w:val="clear" w:color="000000" w:fill="FFFFFF"/>
            <w:noWrap/>
            <w:vAlign w:val="bottom"/>
            <w:hideMark/>
          </w:tcPr>
          <w:p w14:paraId="24682C6D" w14:textId="77777777" w:rsidR="00B56301" w:rsidRPr="00364545" w:rsidRDefault="00B56301" w:rsidP="00B37B65">
            <w:pPr>
              <w:jc w:val="right"/>
              <w:rPr>
                <w:rFonts w:ascii="Times New Roman" w:hAnsi="Times New Roman"/>
                <w:sz w:val="18"/>
                <w:szCs w:val="18"/>
              </w:rPr>
            </w:pPr>
            <w:r w:rsidRPr="00364545">
              <w:rPr>
                <w:sz w:val="18"/>
              </w:rPr>
              <w:t>3,89</w:t>
            </w:r>
          </w:p>
        </w:tc>
        <w:tc>
          <w:tcPr>
            <w:tcW w:w="992" w:type="dxa"/>
            <w:tcBorders>
              <w:top w:val="nil"/>
              <w:left w:val="nil"/>
              <w:bottom w:val="single" w:sz="4" w:space="0" w:color="auto"/>
              <w:right w:val="single" w:sz="4" w:space="0" w:color="auto"/>
            </w:tcBorders>
            <w:shd w:val="clear" w:color="000000" w:fill="FFFFFF"/>
            <w:noWrap/>
            <w:vAlign w:val="bottom"/>
            <w:hideMark/>
          </w:tcPr>
          <w:p w14:paraId="4B7D13C2" w14:textId="77777777" w:rsidR="00B56301" w:rsidRPr="00364545" w:rsidRDefault="00B56301" w:rsidP="00B37B65">
            <w:pPr>
              <w:jc w:val="right"/>
              <w:rPr>
                <w:rFonts w:ascii="Times New Roman" w:hAnsi="Times New Roman"/>
                <w:sz w:val="18"/>
                <w:szCs w:val="18"/>
              </w:rPr>
            </w:pPr>
            <w:r w:rsidRPr="00364545">
              <w:rPr>
                <w:sz w:val="18"/>
              </w:rPr>
              <w:t>3,97</w:t>
            </w:r>
          </w:p>
        </w:tc>
        <w:tc>
          <w:tcPr>
            <w:tcW w:w="992" w:type="dxa"/>
            <w:tcBorders>
              <w:top w:val="nil"/>
              <w:left w:val="nil"/>
              <w:bottom w:val="single" w:sz="4" w:space="0" w:color="auto"/>
              <w:right w:val="single" w:sz="4" w:space="0" w:color="auto"/>
            </w:tcBorders>
            <w:shd w:val="clear" w:color="000000" w:fill="FFFFFF"/>
            <w:noWrap/>
            <w:vAlign w:val="bottom"/>
            <w:hideMark/>
          </w:tcPr>
          <w:p w14:paraId="186BE23B" w14:textId="77777777" w:rsidR="00B56301" w:rsidRPr="00364545" w:rsidRDefault="00B56301" w:rsidP="00B37B65">
            <w:pPr>
              <w:jc w:val="right"/>
              <w:rPr>
                <w:rFonts w:ascii="Times New Roman" w:hAnsi="Times New Roman"/>
                <w:sz w:val="18"/>
                <w:szCs w:val="18"/>
              </w:rPr>
            </w:pPr>
            <w:r w:rsidRPr="00364545">
              <w:rPr>
                <w:sz w:val="18"/>
              </w:rPr>
              <w:t>4,34</w:t>
            </w:r>
          </w:p>
        </w:tc>
      </w:tr>
      <w:tr w:rsidR="00B56301" w:rsidRPr="00364545" w14:paraId="1A538DD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4AB94B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1574FC8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408D54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1EA156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C42D9E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BADEDC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A86A421"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0BE7BD8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750A5C"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2F1B2711" w14:textId="77777777" w:rsidR="00B56301" w:rsidRPr="00364545" w:rsidRDefault="00B56301" w:rsidP="00B37B65">
            <w:pPr>
              <w:jc w:val="right"/>
              <w:rPr>
                <w:rFonts w:ascii="Times New Roman" w:hAnsi="Times New Roman"/>
                <w:sz w:val="18"/>
                <w:szCs w:val="18"/>
              </w:rPr>
            </w:pPr>
            <w:r w:rsidRPr="00364545">
              <w:rPr>
                <w:sz w:val="18"/>
              </w:rPr>
              <w:t>0,43</w:t>
            </w:r>
          </w:p>
        </w:tc>
        <w:tc>
          <w:tcPr>
            <w:tcW w:w="992" w:type="dxa"/>
            <w:tcBorders>
              <w:top w:val="nil"/>
              <w:left w:val="nil"/>
              <w:bottom w:val="single" w:sz="4" w:space="0" w:color="auto"/>
              <w:right w:val="single" w:sz="4" w:space="0" w:color="auto"/>
            </w:tcBorders>
            <w:shd w:val="clear" w:color="000000" w:fill="FFFFFF"/>
            <w:noWrap/>
            <w:vAlign w:val="bottom"/>
            <w:hideMark/>
          </w:tcPr>
          <w:p w14:paraId="3FB68121" w14:textId="77777777" w:rsidR="00B56301" w:rsidRPr="00364545" w:rsidRDefault="00B56301" w:rsidP="00B37B65">
            <w:pPr>
              <w:jc w:val="right"/>
              <w:rPr>
                <w:rFonts w:ascii="Times New Roman" w:hAnsi="Times New Roman"/>
                <w:sz w:val="18"/>
                <w:szCs w:val="18"/>
              </w:rPr>
            </w:pPr>
            <w:r w:rsidRPr="00364545">
              <w:rPr>
                <w:sz w:val="18"/>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5784B38A" w14:textId="77777777" w:rsidR="00B56301" w:rsidRPr="00364545" w:rsidRDefault="00B56301" w:rsidP="00B37B65">
            <w:pPr>
              <w:jc w:val="right"/>
              <w:rPr>
                <w:rFonts w:ascii="Times New Roman" w:hAnsi="Times New Roman"/>
                <w:sz w:val="18"/>
                <w:szCs w:val="18"/>
              </w:rPr>
            </w:pPr>
            <w:r w:rsidRPr="00364545">
              <w:rPr>
                <w:sz w:val="18"/>
              </w:rPr>
              <w:t>0,60</w:t>
            </w:r>
          </w:p>
        </w:tc>
        <w:tc>
          <w:tcPr>
            <w:tcW w:w="992" w:type="dxa"/>
            <w:tcBorders>
              <w:top w:val="nil"/>
              <w:left w:val="nil"/>
              <w:bottom w:val="single" w:sz="4" w:space="0" w:color="auto"/>
              <w:right w:val="single" w:sz="4" w:space="0" w:color="auto"/>
            </w:tcBorders>
            <w:shd w:val="clear" w:color="000000" w:fill="FFFFFF"/>
            <w:noWrap/>
            <w:vAlign w:val="bottom"/>
            <w:hideMark/>
          </w:tcPr>
          <w:p w14:paraId="18E8AC32" w14:textId="77777777" w:rsidR="00B56301" w:rsidRPr="00364545" w:rsidRDefault="00B56301" w:rsidP="00B37B65">
            <w:pPr>
              <w:jc w:val="right"/>
              <w:rPr>
                <w:rFonts w:ascii="Times New Roman" w:hAnsi="Times New Roman"/>
                <w:sz w:val="18"/>
                <w:szCs w:val="18"/>
              </w:rPr>
            </w:pPr>
            <w:r w:rsidRPr="00364545">
              <w:rPr>
                <w:sz w:val="18"/>
              </w:rPr>
              <w:t>0,69</w:t>
            </w:r>
          </w:p>
        </w:tc>
        <w:tc>
          <w:tcPr>
            <w:tcW w:w="992" w:type="dxa"/>
            <w:tcBorders>
              <w:top w:val="nil"/>
              <w:left w:val="nil"/>
              <w:bottom w:val="single" w:sz="4" w:space="0" w:color="auto"/>
              <w:right w:val="single" w:sz="4" w:space="0" w:color="auto"/>
            </w:tcBorders>
            <w:shd w:val="clear" w:color="000000" w:fill="FFFFFF"/>
            <w:noWrap/>
            <w:vAlign w:val="bottom"/>
            <w:hideMark/>
          </w:tcPr>
          <w:p w14:paraId="3122C5B1" w14:textId="77777777" w:rsidR="00B56301" w:rsidRPr="00364545" w:rsidRDefault="00B56301" w:rsidP="00B37B65">
            <w:pPr>
              <w:jc w:val="right"/>
              <w:rPr>
                <w:rFonts w:ascii="Times New Roman" w:hAnsi="Times New Roman"/>
                <w:sz w:val="18"/>
                <w:szCs w:val="18"/>
              </w:rPr>
            </w:pPr>
            <w:r w:rsidRPr="00364545">
              <w:rPr>
                <w:sz w:val="18"/>
              </w:rPr>
              <w:t>0,77</w:t>
            </w:r>
          </w:p>
        </w:tc>
        <w:tc>
          <w:tcPr>
            <w:tcW w:w="992" w:type="dxa"/>
            <w:tcBorders>
              <w:top w:val="nil"/>
              <w:left w:val="nil"/>
              <w:bottom w:val="single" w:sz="4" w:space="0" w:color="auto"/>
              <w:right w:val="single" w:sz="4" w:space="0" w:color="auto"/>
            </w:tcBorders>
            <w:shd w:val="clear" w:color="000000" w:fill="FFFFFF"/>
            <w:noWrap/>
            <w:vAlign w:val="bottom"/>
            <w:hideMark/>
          </w:tcPr>
          <w:p w14:paraId="1E06F4BD" w14:textId="77777777" w:rsidR="00B56301" w:rsidRPr="00364545" w:rsidRDefault="00B56301" w:rsidP="00B37B65">
            <w:pPr>
              <w:jc w:val="right"/>
              <w:rPr>
                <w:rFonts w:ascii="Times New Roman" w:hAnsi="Times New Roman"/>
                <w:sz w:val="18"/>
                <w:szCs w:val="18"/>
              </w:rPr>
            </w:pPr>
            <w:r w:rsidRPr="00364545">
              <w:rPr>
                <w:sz w:val="18"/>
              </w:rPr>
              <w:t>0,85</w:t>
            </w:r>
          </w:p>
        </w:tc>
      </w:tr>
      <w:tr w:rsidR="00B56301" w:rsidRPr="00364545" w14:paraId="6B71CA1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45F50E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67AF1B0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AD0AC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0842ED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A05DC2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DC7DA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ECDE25C"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3C1C3D3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7620F0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57E81899"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E048C3B" w14:textId="77777777" w:rsidR="00B56301" w:rsidRPr="00364545" w:rsidRDefault="00B56301" w:rsidP="00B37B65">
            <w:pPr>
              <w:jc w:val="right"/>
              <w:rPr>
                <w:rFonts w:ascii="Times New Roman" w:hAnsi="Times New Roman"/>
                <w:sz w:val="18"/>
                <w:szCs w:val="18"/>
              </w:rPr>
            </w:pPr>
            <w:r w:rsidRPr="00364545">
              <w:rPr>
                <w:sz w:val="18"/>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0F84ADCB" w14:textId="77777777" w:rsidR="00B56301" w:rsidRPr="00364545" w:rsidRDefault="00B56301" w:rsidP="00B37B65">
            <w:pPr>
              <w:jc w:val="right"/>
              <w:rPr>
                <w:rFonts w:ascii="Times New Roman" w:hAnsi="Times New Roman"/>
                <w:sz w:val="18"/>
                <w:szCs w:val="18"/>
              </w:rPr>
            </w:pPr>
            <w:r w:rsidRPr="00364545">
              <w:rPr>
                <w:sz w:val="18"/>
              </w:rPr>
              <w:t>0,26</w:t>
            </w:r>
          </w:p>
        </w:tc>
        <w:tc>
          <w:tcPr>
            <w:tcW w:w="992" w:type="dxa"/>
            <w:tcBorders>
              <w:top w:val="nil"/>
              <w:left w:val="nil"/>
              <w:bottom w:val="single" w:sz="4" w:space="0" w:color="auto"/>
              <w:right w:val="single" w:sz="4" w:space="0" w:color="auto"/>
            </w:tcBorders>
            <w:shd w:val="clear" w:color="000000" w:fill="FFFFFF"/>
            <w:noWrap/>
            <w:vAlign w:val="bottom"/>
            <w:hideMark/>
          </w:tcPr>
          <w:p w14:paraId="700C100C" w14:textId="77777777" w:rsidR="00B56301" w:rsidRPr="00364545" w:rsidRDefault="00B56301" w:rsidP="00B37B65">
            <w:pPr>
              <w:jc w:val="right"/>
              <w:rPr>
                <w:rFonts w:ascii="Times New Roman" w:hAnsi="Times New Roman"/>
                <w:sz w:val="18"/>
                <w:szCs w:val="18"/>
              </w:rPr>
            </w:pPr>
            <w:r w:rsidRPr="00364545">
              <w:rPr>
                <w:sz w:val="18"/>
              </w:rPr>
              <w:t>0,31</w:t>
            </w:r>
          </w:p>
        </w:tc>
        <w:tc>
          <w:tcPr>
            <w:tcW w:w="992" w:type="dxa"/>
            <w:tcBorders>
              <w:top w:val="nil"/>
              <w:left w:val="nil"/>
              <w:bottom w:val="single" w:sz="4" w:space="0" w:color="auto"/>
              <w:right w:val="single" w:sz="4" w:space="0" w:color="auto"/>
            </w:tcBorders>
            <w:shd w:val="clear" w:color="000000" w:fill="FFFFFF"/>
            <w:noWrap/>
            <w:vAlign w:val="bottom"/>
            <w:hideMark/>
          </w:tcPr>
          <w:p w14:paraId="19D08B42" w14:textId="77777777" w:rsidR="00B56301" w:rsidRPr="00364545" w:rsidRDefault="00B56301" w:rsidP="00B37B65">
            <w:pPr>
              <w:jc w:val="right"/>
              <w:rPr>
                <w:rFonts w:ascii="Times New Roman" w:hAnsi="Times New Roman"/>
                <w:sz w:val="18"/>
                <w:szCs w:val="18"/>
              </w:rPr>
            </w:pPr>
            <w:r w:rsidRPr="00364545">
              <w:rPr>
                <w:sz w:val="18"/>
              </w:rPr>
              <w:t>0,32</w:t>
            </w:r>
          </w:p>
        </w:tc>
        <w:tc>
          <w:tcPr>
            <w:tcW w:w="992" w:type="dxa"/>
            <w:tcBorders>
              <w:top w:val="nil"/>
              <w:left w:val="nil"/>
              <w:bottom w:val="single" w:sz="4" w:space="0" w:color="auto"/>
              <w:right w:val="single" w:sz="4" w:space="0" w:color="auto"/>
            </w:tcBorders>
            <w:shd w:val="clear" w:color="000000" w:fill="FFFFFF"/>
            <w:noWrap/>
            <w:vAlign w:val="bottom"/>
            <w:hideMark/>
          </w:tcPr>
          <w:p w14:paraId="707B0FDB" w14:textId="77777777" w:rsidR="00B56301" w:rsidRPr="00364545" w:rsidRDefault="00B56301" w:rsidP="00B37B65">
            <w:pPr>
              <w:jc w:val="right"/>
              <w:rPr>
                <w:rFonts w:ascii="Times New Roman" w:hAnsi="Times New Roman"/>
                <w:sz w:val="18"/>
                <w:szCs w:val="18"/>
              </w:rPr>
            </w:pPr>
            <w:r w:rsidRPr="00364545">
              <w:rPr>
                <w:sz w:val="18"/>
              </w:rPr>
              <w:t>0,30</w:t>
            </w:r>
          </w:p>
        </w:tc>
      </w:tr>
      <w:tr w:rsidR="00B56301" w:rsidRPr="00364545" w14:paraId="1002918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2646BB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018579C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89D1AB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E168F0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27A264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31A919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4FF8A4"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622F5FF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D96D69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2EB34F2D"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2FF12F8A"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52B991D4"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41C63E8"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403198B8"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49BC91BA" w14:textId="77777777" w:rsidR="00B56301" w:rsidRPr="00364545" w:rsidRDefault="00B56301" w:rsidP="00B37B65">
            <w:pPr>
              <w:jc w:val="right"/>
              <w:rPr>
                <w:rFonts w:ascii="Times New Roman" w:hAnsi="Times New Roman"/>
                <w:sz w:val="18"/>
                <w:szCs w:val="18"/>
              </w:rPr>
            </w:pPr>
            <w:r w:rsidRPr="00364545">
              <w:rPr>
                <w:sz w:val="18"/>
              </w:rPr>
              <w:t>0,05</w:t>
            </w:r>
          </w:p>
        </w:tc>
      </w:tr>
      <w:tr w:rsidR="00B56301" w:rsidRPr="00364545" w14:paraId="7B45F82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E8166F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5556E7B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204523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AD2CFA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476664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3DE24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A1F3BCC"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0EB79468"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64E7B83"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4BE52E0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223896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85BEDF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9C6097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66963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9D905A"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18DDDD8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3C506B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28A059E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AA5B33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D8CC4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5207E7A"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AA0F63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C13A640"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57BF501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87B29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7ADB606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0E8B4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01719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C6E948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945CD0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5D6426F"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6CFC3DC8"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170BCA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3D013565"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26A336A"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F434D89"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4026D7F"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C2F43D3"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C49F9AC" w14:textId="77777777" w:rsidR="00B56301" w:rsidRPr="00364545" w:rsidRDefault="00B56301" w:rsidP="00B37B65">
            <w:pPr>
              <w:jc w:val="right"/>
              <w:rPr>
                <w:rFonts w:ascii="Times New Roman" w:hAnsi="Times New Roman"/>
                <w:sz w:val="18"/>
                <w:szCs w:val="18"/>
              </w:rPr>
            </w:pPr>
            <w:r w:rsidRPr="00364545">
              <w:rPr>
                <w:sz w:val="18"/>
              </w:rPr>
              <w:t>0,02</w:t>
            </w:r>
          </w:p>
        </w:tc>
      </w:tr>
      <w:tr w:rsidR="00B56301" w:rsidRPr="00364545" w14:paraId="4B865D8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3DB1D11"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27F6CEF3"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426DF57A"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F6F21D0"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570EFE5"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48AFFB08"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223E4FC1" w14:textId="77777777" w:rsidR="00B56301" w:rsidRPr="00364545" w:rsidRDefault="00B56301" w:rsidP="00B37B65">
            <w:pPr>
              <w:jc w:val="right"/>
              <w:rPr>
                <w:rFonts w:ascii="Times New Roman" w:hAnsi="Times New Roman"/>
                <w:sz w:val="18"/>
                <w:szCs w:val="18"/>
              </w:rPr>
            </w:pPr>
            <w:r w:rsidRPr="00364545">
              <w:rPr>
                <w:sz w:val="18"/>
              </w:rPr>
              <w:t>0,04</w:t>
            </w:r>
          </w:p>
        </w:tc>
      </w:tr>
      <w:tr w:rsidR="00B56301" w:rsidRPr="00364545" w14:paraId="70146EC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CBEE9A4" w14:textId="793B594C"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HFCs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43164478" w14:textId="77777777" w:rsidR="00B56301" w:rsidRPr="00364545" w:rsidRDefault="00B56301" w:rsidP="00B37B65">
            <w:pPr>
              <w:jc w:val="right"/>
              <w:rPr>
                <w:rFonts w:ascii="Times New Roman" w:hAnsi="Times New Roman"/>
                <w:sz w:val="18"/>
                <w:szCs w:val="18"/>
              </w:rPr>
            </w:pPr>
            <w:r w:rsidRPr="00364545">
              <w:rPr>
                <w:sz w:val="18"/>
              </w:rPr>
              <w:t>83,10</w:t>
            </w:r>
          </w:p>
        </w:tc>
        <w:tc>
          <w:tcPr>
            <w:tcW w:w="992" w:type="dxa"/>
            <w:tcBorders>
              <w:top w:val="nil"/>
              <w:left w:val="nil"/>
              <w:bottom w:val="single" w:sz="4" w:space="0" w:color="auto"/>
              <w:right w:val="single" w:sz="4" w:space="0" w:color="auto"/>
            </w:tcBorders>
            <w:shd w:val="clear" w:color="000000" w:fill="FFFFFF"/>
            <w:noWrap/>
            <w:vAlign w:val="bottom"/>
            <w:hideMark/>
          </w:tcPr>
          <w:p w14:paraId="484D8E3A" w14:textId="77777777" w:rsidR="00B56301" w:rsidRPr="00364545" w:rsidRDefault="00B56301" w:rsidP="00B37B65">
            <w:pPr>
              <w:jc w:val="right"/>
              <w:rPr>
                <w:rFonts w:ascii="Times New Roman" w:hAnsi="Times New Roman"/>
                <w:sz w:val="18"/>
                <w:szCs w:val="18"/>
              </w:rPr>
            </w:pPr>
            <w:r w:rsidRPr="00364545">
              <w:rPr>
                <w:sz w:val="18"/>
              </w:rPr>
              <w:t>106,78</w:t>
            </w:r>
          </w:p>
        </w:tc>
        <w:tc>
          <w:tcPr>
            <w:tcW w:w="992" w:type="dxa"/>
            <w:tcBorders>
              <w:top w:val="nil"/>
              <w:left w:val="nil"/>
              <w:bottom w:val="single" w:sz="4" w:space="0" w:color="auto"/>
              <w:right w:val="single" w:sz="4" w:space="0" w:color="auto"/>
            </w:tcBorders>
            <w:shd w:val="clear" w:color="000000" w:fill="FFFFFF"/>
            <w:noWrap/>
            <w:vAlign w:val="bottom"/>
            <w:hideMark/>
          </w:tcPr>
          <w:p w14:paraId="625630B8" w14:textId="77777777" w:rsidR="00B56301" w:rsidRPr="00364545" w:rsidRDefault="00B56301" w:rsidP="00B37B65">
            <w:pPr>
              <w:jc w:val="right"/>
              <w:rPr>
                <w:rFonts w:ascii="Times New Roman" w:hAnsi="Times New Roman"/>
                <w:sz w:val="18"/>
                <w:szCs w:val="18"/>
              </w:rPr>
            </w:pPr>
            <w:r w:rsidRPr="00364545">
              <w:rPr>
                <w:sz w:val="18"/>
              </w:rPr>
              <w:t>99,92</w:t>
            </w:r>
          </w:p>
        </w:tc>
        <w:tc>
          <w:tcPr>
            <w:tcW w:w="992" w:type="dxa"/>
            <w:tcBorders>
              <w:top w:val="nil"/>
              <w:left w:val="nil"/>
              <w:bottom w:val="single" w:sz="4" w:space="0" w:color="auto"/>
              <w:right w:val="single" w:sz="4" w:space="0" w:color="auto"/>
            </w:tcBorders>
            <w:shd w:val="clear" w:color="000000" w:fill="FFFFFF"/>
            <w:noWrap/>
            <w:vAlign w:val="bottom"/>
            <w:hideMark/>
          </w:tcPr>
          <w:p w14:paraId="1F97E108" w14:textId="77777777" w:rsidR="00B56301" w:rsidRPr="00364545" w:rsidRDefault="00B56301" w:rsidP="00B37B65">
            <w:pPr>
              <w:jc w:val="right"/>
              <w:rPr>
                <w:rFonts w:ascii="Times New Roman" w:hAnsi="Times New Roman"/>
                <w:sz w:val="18"/>
                <w:szCs w:val="18"/>
              </w:rPr>
            </w:pPr>
            <w:r w:rsidRPr="00364545">
              <w:rPr>
                <w:sz w:val="18"/>
              </w:rPr>
              <w:t>109,45</w:t>
            </w:r>
          </w:p>
        </w:tc>
        <w:tc>
          <w:tcPr>
            <w:tcW w:w="992" w:type="dxa"/>
            <w:tcBorders>
              <w:top w:val="nil"/>
              <w:left w:val="nil"/>
              <w:bottom w:val="single" w:sz="4" w:space="0" w:color="auto"/>
              <w:right w:val="single" w:sz="4" w:space="0" w:color="auto"/>
            </w:tcBorders>
            <w:shd w:val="clear" w:color="000000" w:fill="FFFFFF"/>
            <w:noWrap/>
            <w:vAlign w:val="bottom"/>
            <w:hideMark/>
          </w:tcPr>
          <w:p w14:paraId="20A0AFBF" w14:textId="77777777" w:rsidR="00B56301" w:rsidRPr="00364545" w:rsidRDefault="00B56301" w:rsidP="00B37B65">
            <w:pPr>
              <w:jc w:val="right"/>
              <w:rPr>
                <w:rFonts w:ascii="Times New Roman" w:hAnsi="Times New Roman"/>
                <w:sz w:val="18"/>
                <w:szCs w:val="18"/>
              </w:rPr>
            </w:pPr>
            <w:r w:rsidRPr="00364545">
              <w:rPr>
                <w:sz w:val="18"/>
              </w:rPr>
              <w:t>140,40</w:t>
            </w:r>
          </w:p>
        </w:tc>
        <w:tc>
          <w:tcPr>
            <w:tcW w:w="992" w:type="dxa"/>
            <w:tcBorders>
              <w:top w:val="nil"/>
              <w:left w:val="nil"/>
              <w:bottom w:val="single" w:sz="4" w:space="0" w:color="auto"/>
              <w:right w:val="single" w:sz="4" w:space="0" w:color="auto"/>
            </w:tcBorders>
            <w:shd w:val="clear" w:color="000000" w:fill="FFFFFF"/>
            <w:noWrap/>
            <w:vAlign w:val="bottom"/>
            <w:hideMark/>
          </w:tcPr>
          <w:p w14:paraId="4F8302EF" w14:textId="77777777" w:rsidR="00B56301" w:rsidRPr="00364545" w:rsidRDefault="00B56301" w:rsidP="00B37B65">
            <w:pPr>
              <w:jc w:val="right"/>
              <w:rPr>
                <w:rFonts w:ascii="Times New Roman" w:hAnsi="Times New Roman"/>
                <w:sz w:val="18"/>
                <w:szCs w:val="18"/>
              </w:rPr>
            </w:pPr>
            <w:r w:rsidRPr="00364545">
              <w:rPr>
                <w:sz w:val="18"/>
              </w:rPr>
              <w:t>123,43</w:t>
            </w:r>
          </w:p>
        </w:tc>
      </w:tr>
      <w:tr w:rsidR="00B56301" w:rsidRPr="00364545" w14:paraId="08F9723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5AEAADF8" w14:textId="74DDAB06"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Emissions of PFCs</w:t>
            </w:r>
            <w:r w:rsidRPr="00364545">
              <w:rPr>
                <w:rFonts w:ascii="Times New Roman" w:hAnsi="Times New Roman"/>
                <w:b/>
                <w:sz w:val="20"/>
                <w:vertAlign w:val="superscript"/>
              </w:rPr>
              <w:t xml:space="preserve"> </w:t>
            </w:r>
            <w:r w:rsidRPr="00364545">
              <w:rPr>
                <w:rFonts w:ascii="Times New Roman" w:hAnsi="Times New Roman"/>
                <w:b/>
                <w:sz w:val="20"/>
              </w:rPr>
              <w:t xml:space="preserve">-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7820EFA9" w14:textId="77777777" w:rsidR="00B56301" w:rsidRPr="00364545" w:rsidRDefault="00B56301" w:rsidP="00B37B65">
            <w:pPr>
              <w:jc w:val="right"/>
              <w:rPr>
                <w:rFonts w:ascii="Times New Roman" w:hAnsi="Times New Roman"/>
                <w:sz w:val="18"/>
                <w:szCs w:val="18"/>
              </w:rPr>
            </w:pPr>
            <w:r w:rsidRPr="00364545">
              <w:rPr>
                <w:sz w:val="18"/>
              </w:rPr>
              <w:t>2652,97</w:t>
            </w:r>
          </w:p>
        </w:tc>
        <w:tc>
          <w:tcPr>
            <w:tcW w:w="992" w:type="dxa"/>
            <w:tcBorders>
              <w:top w:val="nil"/>
              <w:left w:val="nil"/>
              <w:bottom w:val="single" w:sz="4" w:space="0" w:color="auto"/>
              <w:right w:val="single" w:sz="4" w:space="0" w:color="auto"/>
            </w:tcBorders>
            <w:shd w:val="clear" w:color="000000" w:fill="CCFFFF"/>
            <w:noWrap/>
            <w:vAlign w:val="bottom"/>
            <w:hideMark/>
          </w:tcPr>
          <w:p w14:paraId="22972E2B" w14:textId="77777777" w:rsidR="00B56301" w:rsidRPr="00364545" w:rsidRDefault="00B56301" w:rsidP="00B37B65">
            <w:pPr>
              <w:jc w:val="right"/>
              <w:rPr>
                <w:rFonts w:ascii="Times New Roman" w:hAnsi="Times New Roman"/>
                <w:sz w:val="18"/>
                <w:szCs w:val="18"/>
              </w:rPr>
            </w:pPr>
            <w:r w:rsidRPr="00364545">
              <w:rPr>
                <w:sz w:val="18"/>
              </w:rPr>
              <w:t>4174,16</w:t>
            </w:r>
          </w:p>
        </w:tc>
        <w:tc>
          <w:tcPr>
            <w:tcW w:w="992" w:type="dxa"/>
            <w:tcBorders>
              <w:top w:val="nil"/>
              <w:left w:val="nil"/>
              <w:bottom w:val="single" w:sz="4" w:space="0" w:color="auto"/>
              <w:right w:val="single" w:sz="4" w:space="0" w:color="auto"/>
            </w:tcBorders>
            <w:shd w:val="clear" w:color="000000" w:fill="CCFFFF"/>
            <w:noWrap/>
            <w:vAlign w:val="bottom"/>
            <w:hideMark/>
          </w:tcPr>
          <w:p w14:paraId="1CD2E032" w14:textId="77777777" w:rsidR="00B56301" w:rsidRPr="00364545" w:rsidRDefault="00B56301" w:rsidP="00B37B65">
            <w:pPr>
              <w:jc w:val="right"/>
              <w:rPr>
                <w:rFonts w:ascii="Times New Roman" w:hAnsi="Times New Roman"/>
                <w:sz w:val="18"/>
                <w:szCs w:val="18"/>
              </w:rPr>
            </w:pPr>
            <w:r w:rsidRPr="00364545">
              <w:rPr>
                <w:sz w:val="18"/>
              </w:rPr>
              <w:t>3850,86</w:t>
            </w:r>
          </w:p>
        </w:tc>
        <w:tc>
          <w:tcPr>
            <w:tcW w:w="992" w:type="dxa"/>
            <w:tcBorders>
              <w:top w:val="nil"/>
              <w:left w:val="nil"/>
              <w:bottom w:val="single" w:sz="4" w:space="0" w:color="auto"/>
              <w:right w:val="single" w:sz="4" w:space="0" w:color="auto"/>
            </w:tcBorders>
            <w:shd w:val="clear" w:color="000000" w:fill="CCFFFF"/>
            <w:noWrap/>
            <w:vAlign w:val="bottom"/>
            <w:hideMark/>
          </w:tcPr>
          <w:p w14:paraId="60EF96F5" w14:textId="77777777" w:rsidR="00B56301" w:rsidRPr="00364545" w:rsidRDefault="00B56301" w:rsidP="00B37B65">
            <w:pPr>
              <w:jc w:val="right"/>
              <w:rPr>
                <w:rFonts w:ascii="Times New Roman" w:hAnsi="Times New Roman"/>
                <w:sz w:val="18"/>
                <w:szCs w:val="18"/>
              </w:rPr>
            </w:pPr>
            <w:r w:rsidRPr="00364545">
              <w:rPr>
                <w:sz w:val="18"/>
              </w:rPr>
              <w:t>2638,86</w:t>
            </w:r>
          </w:p>
        </w:tc>
        <w:tc>
          <w:tcPr>
            <w:tcW w:w="992" w:type="dxa"/>
            <w:tcBorders>
              <w:top w:val="nil"/>
              <w:left w:val="nil"/>
              <w:bottom w:val="single" w:sz="4" w:space="0" w:color="auto"/>
              <w:right w:val="single" w:sz="4" w:space="0" w:color="auto"/>
            </w:tcBorders>
            <w:shd w:val="clear" w:color="000000" w:fill="CCFFFF"/>
            <w:noWrap/>
            <w:vAlign w:val="bottom"/>
            <w:hideMark/>
          </w:tcPr>
          <w:p w14:paraId="627F2911" w14:textId="77777777" w:rsidR="00B56301" w:rsidRPr="00364545" w:rsidRDefault="00B56301" w:rsidP="00B37B65">
            <w:pPr>
              <w:jc w:val="right"/>
              <w:rPr>
                <w:rFonts w:ascii="Times New Roman" w:hAnsi="Times New Roman"/>
                <w:sz w:val="18"/>
                <w:szCs w:val="18"/>
              </w:rPr>
            </w:pPr>
            <w:r w:rsidRPr="00364545">
              <w:rPr>
                <w:sz w:val="18"/>
              </w:rPr>
              <w:t>1760,33</w:t>
            </w:r>
          </w:p>
        </w:tc>
        <w:tc>
          <w:tcPr>
            <w:tcW w:w="992" w:type="dxa"/>
            <w:tcBorders>
              <w:top w:val="nil"/>
              <w:left w:val="nil"/>
              <w:bottom w:val="single" w:sz="4" w:space="0" w:color="auto"/>
              <w:right w:val="single" w:sz="4" w:space="0" w:color="auto"/>
            </w:tcBorders>
            <w:shd w:val="clear" w:color="000000" w:fill="CCFFFF"/>
            <w:noWrap/>
            <w:vAlign w:val="bottom"/>
            <w:hideMark/>
          </w:tcPr>
          <w:p w14:paraId="435758E0" w14:textId="77777777" w:rsidR="00B56301" w:rsidRPr="00364545" w:rsidRDefault="00B56301" w:rsidP="00B37B65">
            <w:pPr>
              <w:jc w:val="right"/>
              <w:rPr>
                <w:rFonts w:ascii="Times New Roman" w:hAnsi="Times New Roman"/>
                <w:sz w:val="18"/>
                <w:szCs w:val="18"/>
              </w:rPr>
            </w:pPr>
            <w:r w:rsidRPr="00364545">
              <w:rPr>
                <w:sz w:val="18"/>
              </w:rPr>
              <w:t>1462,40</w:t>
            </w:r>
          </w:p>
        </w:tc>
      </w:tr>
      <w:tr w:rsidR="00B56301" w:rsidRPr="00364545" w14:paraId="2E4B199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49EECC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CF</w:t>
            </w:r>
            <w:r w:rsidRPr="00364545">
              <w:rPr>
                <w:rFonts w:ascii="Times New Roman" w:hAnsi="Times New Roman"/>
                <w:sz w:val="20"/>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3FEEC831" w14:textId="77777777" w:rsidR="00B56301" w:rsidRPr="00364545" w:rsidRDefault="00B56301" w:rsidP="00B37B65">
            <w:pPr>
              <w:jc w:val="right"/>
              <w:rPr>
                <w:rFonts w:ascii="Times New Roman" w:hAnsi="Times New Roman"/>
                <w:sz w:val="18"/>
                <w:szCs w:val="18"/>
              </w:rPr>
            </w:pPr>
            <w:r w:rsidRPr="00364545">
              <w:rPr>
                <w:sz w:val="18"/>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4682CC3A" w14:textId="77777777" w:rsidR="00B56301" w:rsidRPr="00364545" w:rsidRDefault="00B56301" w:rsidP="00B37B65">
            <w:pPr>
              <w:jc w:val="right"/>
              <w:rPr>
                <w:rFonts w:ascii="Times New Roman" w:hAnsi="Times New Roman"/>
                <w:sz w:val="18"/>
                <w:szCs w:val="18"/>
              </w:rPr>
            </w:pPr>
            <w:r w:rsidRPr="00364545">
              <w:rPr>
                <w:sz w:val="18"/>
              </w:rPr>
              <w:t>0,35</w:t>
            </w:r>
          </w:p>
        </w:tc>
        <w:tc>
          <w:tcPr>
            <w:tcW w:w="992" w:type="dxa"/>
            <w:tcBorders>
              <w:top w:val="nil"/>
              <w:left w:val="nil"/>
              <w:bottom w:val="single" w:sz="4" w:space="0" w:color="auto"/>
              <w:right w:val="single" w:sz="4" w:space="0" w:color="auto"/>
            </w:tcBorders>
            <w:shd w:val="clear" w:color="000000" w:fill="FFFFFF"/>
            <w:noWrap/>
            <w:vAlign w:val="bottom"/>
            <w:hideMark/>
          </w:tcPr>
          <w:p w14:paraId="22E1B167" w14:textId="77777777" w:rsidR="00B56301" w:rsidRPr="00364545" w:rsidRDefault="00B56301" w:rsidP="00B37B65">
            <w:pPr>
              <w:jc w:val="right"/>
              <w:rPr>
                <w:rFonts w:ascii="Times New Roman" w:hAnsi="Times New Roman"/>
                <w:sz w:val="18"/>
                <w:szCs w:val="18"/>
              </w:rPr>
            </w:pPr>
            <w:r w:rsidRPr="00364545">
              <w:rPr>
                <w:sz w:val="18"/>
              </w:rPr>
              <w:t>0,34</w:t>
            </w:r>
          </w:p>
        </w:tc>
        <w:tc>
          <w:tcPr>
            <w:tcW w:w="992" w:type="dxa"/>
            <w:tcBorders>
              <w:top w:val="nil"/>
              <w:left w:val="nil"/>
              <w:bottom w:val="single" w:sz="4" w:space="0" w:color="auto"/>
              <w:right w:val="single" w:sz="4" w:space="0" w:color="auto"/>
            </w:tcBorders>
            <w:shd w:val="clear" w:color="000000" w:fill="FFFFFF"/>
            <w:noWrap/>
            <w:vAlign w:val="bottom"/>
            <w:hideMark/>
          </w:tcPr>
          <w:p w14:paraId="475F7836" w14:textId="77777777" w:rsidR="00B56301" w:rsidRPr="00364545" w:rsidRDefault="00B56301" w:rsidP="00B37B65">
            <w:pPr>
              <w:jc w:val="right"/>
              <w:rPr>
                <w:rFonts w:ascii="Times New Roman" w:hAnsi="Times New Roman"/>
                <w:sz w:val="18"/>
                <w:szCs w:val="18"/>
              </w:rPr>
            </w:pPr>
            <w:r w:rsidRPr="00364545">
              <w:rPr>
                <w:sz w:val="18"/>
              </w:rPr>
              <w:t>0,22</w:t>
            </w:r>
          </w:p>
        </w:tc>
        <w:tc>
          <w:tcPr>
            <w:tcW w:w="992" w:type="dxa"/>
            <w:tcBorders>
              <w:top w:val="nil"/>
              <w:left w:val="nil"/>
              <w:bottom w:val="single" w:sz="4" w:space="0" w:color="auto"/>
              <w:right w:val="single" w:sz="4" w:space="0" w:color="auto"/>
            </w:tcBorders>
            <w:shd w:val="clear" w:color="000000" w:fill="FFFFFF"/>
            <w:noWrap/>
            <w:vAlign w:val="bottom"/>
            <w:hideMark/>
          </w:tcPr>
          <w:p w14:paraId="34938782" w14:textId="77777777" w:rsidR="00B56301" w:rsidRPr="00364545" w:rsidRDefault="00B56301" w:rsidP="00B37B65">
            <w:pPr>
              <w:jc w:val="right"/>
              <w:rPr>
                <w:rFonts w:ascii="Times New Roman" w:hAnsi="Times New Roman"/>
                <w:sz w:val="18"/>
                <w:szCs w:val="18"/>
              </w:rPr>
            </w:pPr>
            <w:r w:rsidRPr="00364545">
              <w:rPr>
                <w:sz w:val="18"/>
              </w:rPr>
              <w:t>0,13</w:t>
            </w:r>
          </w:p>
        </w:tc>
        <w:tc>
          <w:tcPr>
            <w:tcW w:w="992" w:type="dxa"/>
            <w:tcBorders>
              <w:top w:val="nil"/>
              <w:left w:val="nil"/>
              <w:bottom w:val="single" w:sz="4" w:space="0" w:color="auto"/>
              <w:right w:val="single" w:sz="4" w:space="0" w:color="auto"/>
            </w:tcBorders>
            <w:shd w:val="clear" w:color="000000" w:fill="FFFFFF"/>
            <w:noWrap/>
            <w:vAlign w:val="bottom"/>
            <w:hideMark/>
          </w:tcPr>
          <w:p w14:paraId="1AC2628A" w14:textId="77777777" w:rsidR="00B56301" w:rsidRPr="00364545" w:rsidRDefault="00B56301" w:rsidP="00B37B65">
            <w:pPr>
              <w:jc w:val="right"/>
              <w:rPr>
                <w:rFonts w:ascii="Times New Roman" w:hAnsi="Times New Roman"/>
                <w:sz w:val="18"/>
                <w:szCs w:val="18"/>
              </w:rPr>
            </w:pPr>
            <w:r w:rsidRPr="00364545">
              <w:rPr>
                <w:sz w:val="18"/>
              </w:rPr>
              <w:t>0,10</w:t>
            </w:r>
          </w:p>
        </w:tc>
      </w:tr>
      <w:tr w:rsidR="00B56301" w:rsidRPr="00364545" w14:paraId="3DE1B0A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212D9E"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2</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1DDFBAA0"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B0756C1" w14:textId="77777777" w:rsidR="00B56301" w:rsidRPr="00364545" w:rsidRDefault="00B56301" w:rsidP="00B37B65">
            <w:pPr>
              <w:jc w:val="right"/>
              <w:rPr>
                <w:rFonts w:ascii="Times New Roman" w:hAnsi="Times New Roman"/>
                <w:sz w:val="18"/>
                <w:szCs w:val="18"/>
              </w:rPr>
            </w:pPr>
            <w:r w:rsidRPr="00364545">
              <w:rPr>
                <w:sz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539800A8" w14:textId="77777777" w:rsidR="00B56301" w:rsidRPr="00364545" w:rsidRDefault="00B56301" w:rsidP="00B37B65">
            <w:pPr>
              <w:jc w:val="right"/>
              <w:rPr>
                <w:rFonts w:ascii="Times New Roman" w:hAnsi="Times New Roman"/>
                <w:sz w:val="18"/>
                <w:szCs w:val="18"/>
              </w:rPr>
            </w:pPr>
            <w:r w:rsidRPr="00364545">
              <w:rPr>
                <w:sz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095DFF02" w14:textId="77777777" w:rsidR="00B56301" w:rsidRPr="00364545" w:rsidRDefault="00B56301" w:rsidP="00B37B65">
            <w:pPr>
              <w:jc w:val="right"/>
              <w:rPr>
                <w:rFonts w:ascii="Times New Roman" w:hAnsi="Times New Roman"/>
                <w:sz w:val="18"/>
                <w:szCs w:val="18"/>
              </w:rPr>
            </w:pPr>
            <w:r w:rsidRPr="00364545">
              <w:rPr>
                <w:sz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760C9843"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5C3A2671" w14:textId="77777777" w:rsidR="00B56301" w:rsidRPr="00364545" w:rsidRDefault="00B56301" w:rsidP="00B37B65">
            <w:pPr>
              <w:jc w:val="right"/>
              <w:rPr>
                <w:rFonts w:ascii="Times New Roman" w:hAnsi="Times New Roman"/>
                <w:sz w:val="18"/>
                <w:szCs w:val="18"/>
              </w:rPr>
            </w:pPr>
            <w:r w:rsidRPr="00364545">
              <w:rPr>
                <w:sz w:val="18"/>
              </w:rPr>
              <w:t>0,03</w:t>
            </w:r>
          </w:p>
        </w:tc>
      </w:tr>
      <w:tr w:rsidR="00B56301" w:rsidRPr="00364545" w14:paraId="5AE0A83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6434E0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2F14A447"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5EF13CE"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FD7A1C5"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E65FDE7"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9CA39CB"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E180765"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648063B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7A185B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0A92B6F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982B9B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71C597B"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5A1AB02"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62A5812"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1819D69"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2F905CB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C7E418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02A448B0"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73853258"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7E952D4"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D1B7F56"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2F0C470"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9ACA706"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5B3B8E6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041693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5</w:t>
            </w:r>
            <w:r w:rsidRPr="00364545">
              <w:rPr>
                <w:rFonts w:ascii="Times New Roman" w:hAnsi="Times New Roman"/>
                <w:sz w:val="20"/>
              </w:rPr>
              <w:t>F</w:t>
            </w:r>
            <w:r w:rsidRPr="00364545">
              <w:rPr>
                <w:rFonts w:ascii="Times New Roman" w:hAnsi="Times New Roman"/>
                <w:sz w:val="20"/>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786D43A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2CA63F9"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96A0160"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2C3A95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45981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3E9CBC8"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089FE8D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6D3AC1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6</w:t>
            </w:r>
            <w:r w:rsidRPr="00364545">
              <w:rPr>
                <w:rFonts w:ascii="Times New Roman" w:hAnsi="Times New Roman"/>
                <w:sz w:val="20"/>
              </w:rPr>
              <w:t>F</w:t>
            </w:r>
            <w:r w:rsidRPr="00364545">
              <w:rPr>
                <w:rFonts w:ascii="Times New Roman" w:hAnsi="Times New Roman"/>
                <w:sz w:val="20"/>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517E9712"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07672C5"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B1DB240"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D4C346B"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F83B2C8"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A6E6830"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726A54C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9B4F73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10</w:t>
            </w:r>
            <w:r w:rsidRPr="00364545">
              <w:rPr>
                <w:rFonts w:ascii="Times New Roman" w:hAnsi="Times New Roman"/>
                <w:sz w:val="20"/>
              </w:rPr>
              <w:t>F</w:t>
            </w:r>
            <w:r w:rsidRPr="00364545">
              <w:rPr>
                <w:rFonts w:ascii="Times New Roman" w:hAnsi="Times New Roman"/>
                <w:sz w:val="20"/>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2E7CFB22"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BBB0E76"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22686C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B0E60A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19FD6D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C02CC74"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444B4B0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4426F6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33B926BA"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10F72BA"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8B13C83"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26B397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68970B0"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1B4E893"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2672351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78A6706" w14:textId="76F6ED1A"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PFCs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339F00FC" w14:textId="77777777" w:rsidR="00B56301" w:rsidRPr="00364545" w:rsidRDefault="00B56301" w:rsidP="00B37B65">
            <w:pPr>
              <w:jc w:val="right"/>
              <w:rPr>
                <w:rFonts w:ascii="Times New Roman" w:hAnsi="Times New Roman"/>
                <w:sz w:val="18"/>
                <w:szCs w:val="18"/>
              </w:rPr>
            </w:pPr>
            <w:r w:rsidRPr="00364545">
              <w:rPr>
                <w:sz w:val="18"/>
              </w:rPr>
              <w:t>188,26</w:t>
            </w:r>
          </w:p>
        </w:tc>
        <w:tc>
          <w:tcPr>
            <w:tcW w:w="992" w:type="dxa"/>
            <w:tcBorders>
              <w:top w:val="nil"/>
              <w:left w:val="nil"/>
              <w:bottom w:val="single" w:sz="4" w:space="0" w:color="auto"/>
              <w:right w:val="single" w:sz="4" w:space="0" w:color="auto"/>
            </w:tcBorders>
            <w:shd w:val="clear" w:color="000000" w:fill="FFFFFF"/>
            <w:noWrap/>
            <w:vAlign w:val="bottom"/>
            <w:hideMark/>
          </w:tcPr>
          <w:p w14:paraId="75F59909" w14:textId="77777777" w:rsidR="00B56301" w:rsidRPr="00364545" w:rsidRDefault="00B56301" w:rsidP="00B37B65">
            <w:pPr>
              <w:jc w:val="right"/>
              <w:rPr>
                <w:rFonts w:ascii="Times New Roman" w:hAnsi="Times New Roman"/>
                <w:sz w:val="18"/>
                <w:szCs w:val="18"/>
              </w:rPr>
            </w:pPr>
            <w:r w:rsidRPr="00364545">
              <w:rPr>
                <w:sz w:val="18"/>
              </w:rPr>
              <w:t>207,11</w:t>
            </w:r>
          </w:p>
        </w:tc>
        <w:tc>
          <w:tcPr>
            <w:tcW w:w="992" w:type="dxa"/>
            <w:tcBorders>
              <w:top w:val="nil"/>
              <w:left w:val="nil"/>
              <w:bottom w:val="single" w:sz="4" w:space="0" w:color="auto"/>
              <w:right w:val="single" w:sz="4" w:space="0" w:color="auto"/>
            </w:tcBorders>
            <w:shd w:val="clear" w:color="000000" w:fill="FFFFFF"/>
            <w:noWrap/>
            <w:vAlign w:val="bottom"/>
            <w:hideMark/>
          </w:tcPr>
          <w:p w14:paraId="69FCF823" w14:textId="77777777" w:rsidR="00B56301" w:rsidRPr="00364545" w:rsidRDefault="00B56301" w:rsidP="00B37B65">
            <w:pPr>
              <w:jc w:val="right"/>
              <w:rPr>
                <w:rFonts w:ascii="Times New Roman" w:hAnsi="Times New Roman"/>
                <w:sz w:val="18"/>
                <w:szCs w:val="18"/>
              </w:rPr>
            </w:pPr>
            <w:r w:rsidRPr="00364545">
              <w:rPr>
                <w:sz w:val="18"/>
              </w:rPr>
              <w:t>224,92</w:t>
            </w:r>
          </w:p>
        </w:tc>
        <w:tc>
          <w:tcPr>
            <w:tcW w:w="992" w:type="dxa"/>
            <w:tcBorders>
              <w:top w:val="nil"/>
              <w:left w:val="nil"/>
              <w:bottom w:val="single" w:sz="4" w:space="0" w:color="auto"/>
              <w:right w:val="single" w:sz="4" w:space="0" w:color="auto"/>
            </w:tcBorders>
            <w:shd w:val="clear" w:color="000000" w:fill="FFFFFF"/>
            <w:noWrap/>
            <w:vAlign w:val="bottom"/>
            <w:hideMark/>
          </w:tcPr>
          <w:p w14:paraId="28C838F3" w14:textId="77777777" w:rsidR="00B56301" w:rsidRPr="00364545" w:rsidRDefault="00B56301" w:rsidP="00B37B65">
            <w:pPr>
              <w:jc w:val="right"/>
              <w:rPr>
                <w:rFonts w:ascii="Times New Roman" w:hAnsi="Times New Roman"/>
                <w:sz w:val="18"/>
                <w:szCs w:val="18"/>
              </w:rPr>
            </w:pPr>
            <w:r w:rsidRPr="00364545">
              <w:rPr>
                <w:sz w:val="18"/>
              </w:rPr>
              <w:t>253,25</w:t>
            </w:r>
          </w:p>
        </w:tc>
        <w:tc>
          <w:tcPr>
            <w:tcW w:w="992" w:type="dxa"/>
            <w:tcBorders>
              <w:top w:val="nil"/>
              <w:left w:val="nil"/>
              <w:bottom w:val="single" w:sz="4" w:space="0" w:color="auto"/>
              <w:right w:val="single" w:sz="4" w:space="0" w:color="auto"/>
            </w:tcBorders>
            <w:shd w:val="clear" w:color="000000" w:fill="FFFFFF"/>
            <w:noWrap/>
            <w:vAlign w:val="bottom"/>
            <w:hideMark/>
          </w:tcPr>
          <w:p w14:paraId="243D7AC6" w14:textId="77777777" w:rsidR="00B56301" w:rsidRPr="00364545" w:rsidRDefault="00B56301" w:rsidP="00B37B65">
            <w:pPr>
              <w:jc w:val="right"/>
              <w:rPr>
                <w:rFonts w:ascii="Times New Roman" w:hAnsi="Times New Roman"/>
                <w:sz w:val="18"/>
                <w:szCs w:val="18"/>
              </w:rPr>
            </w:pPr>
            <w:r w:rsidRPr="00364545">
              <w:rPr>
                <w:sz w:val="18"/>
              </w:rPr>
              <w:t>318,21</w:t>
            </w:r>
          </w:p>
        </w:tc>
        <w:tc>
          <w:tcPr>
            <w:tcW w:w="992" w:type="dxa"/>
            <w:tcBorders>
              <w:top w:val="nil"/>
              <w:left w:val="nil"/>
              <w:bottom w:val="single" w:sz="4" w:space="0" w:color="auto"/>
              <w:right w:val="single" w:sz="4" w:space="0" w:color="auto"/>
            </w:tcBorders>
            <w:shd w:val="clear" w:color="000000" w:fill="FFFFFF"/>
            <w:noWrap/>
            <w:vAlign w:val="bottom"/>
            <w:hideMark/>
          </w:tcPr>
          <w:p w14:paraId="659BD61E" w14:textId="77777777" w:rsidR="00B56301" w:rsidRPr="00364545" w:rsidRDefault="00B56301" w:rsidP="00B37B65">
            <w:pPr>
              <w:jc w:val="right"/>
              <w:rPr>
                <w:rFonts w:ascii="Times New Roman" w:hAnsi="Times New Roman"/>
                <w:sz w:val="18"/>
                <w:szCs w:val="18"/>
              </w:rPr>
            </w:pPr>
            <w:r w:rsidRPr="00364545">
              <w:rPr>
                <w:sz w:val="18"/>
              </w:rPr>
              <w:t>287,27</w:t>
            </w:r>
          </w:p>
        </w:tc>
      </w:tr>
      <w:tr w:rsidR="00B56301" w:rsidRPr="00364545" w14:paraId="34A7156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66B4DF5" w14:textId="09974BF3"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Unspecified mix of HFCs and PFCs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5D9A75F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9AD376A"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533A27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8EBA71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375CF4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99CEFC5"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6771D41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08ED2382" w14:textId="79C3FC30"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t>SF</w:t>
            </w:r>
            <w:r w:rsidRPr="00364545">
              <w:rPr>
                <w:vertAlign w:val="subscript"/>
              </w:rPr>
              <w:t>6</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0C77D4D9" w14:textId="77777777" w:rsidR="00B56301" w:rsidRPr="00364545" w:rsidRDefault="00B56301" w:rsidP="00B37B65">
            <w:pPr>
              <w:jc w:val="right"/>
              <w:rPr>
                <w:rFonts w:ascii="Times New Roman" w:hAnsi="Times New Roman"/>
                <w:sz w:val="18"/>
                <w:szCs w:val="18"/>
              </w:rPr>
            </w:pPr>
            <w:r w:rsidRPr="00364545">
              <w:rPr>
                <w:sz w:val="18"/>
              </w:rPr>
              <w:t>1825,40</w:t>
            </w:r>
          </w:p>
        </w:tc>
        <w:tc>
          <w:tcPr>
            <w:tcW w:w="992" w:type="dxa"/>
            <w:tcBorders>
              <w:top w:val="nil"/>
              <w:left w:val="nil"/>
              <w:bottom w:val="single" w:sz="4" w:space="0" w:color="auto"/>
              <w:right w:val="single" w:sz="4" w:space="0" w:color="auto"/>
            </w:tcBorders>
            <w:shd w:val="clear" w:color="000000" w:fill="CCFFFF"/>
            <w:noWrap/>
            <w:vAlign w:val="bottom"/>
            <w:hideMark/>
          </w:tcPr>
          <w:p w14:paraId="6C2D3929" w14:textId="77777777" w:rsidR="00B56301" w:rsidRPr="00364545" w:rsidRDefault="00B56301" w:rsidP="00B37B65">
            <w:pPr>
              <w:jc w:val="right"/>
              <w:rPr>
                <w:rFonts w:ascii="Times New Roman" w:hAnsi="Times New Roman"/>
                <w:sz w:val="18"/>
                <w:szCs w:val="18"/>
              </w:rPr>
            </w:pPr>
            <w:r w:rsidRPr="00364545">
              <w:rPr>
                <w:sz w:val="18"/>
              </w:rPr>
              <w:t>1597,54</w:t>
            </w:r>
          </w:p>
        </w:tc>
        <w:tc>
          <w:tcPr>
            <w:tcW w:w="992" w:type="dxa"/>
            <w:tcBorders>
              <w:top w:val="nil"/>
              <w:left w:val="nil"/>
              <w:bottom w:val="single" w:sz="4" w:space="0" w:color="auto"/>
              <w:right w:val="single" w:sz="4" w:space="0" w:color="auto"/>
            </w:tcBorders>
            <w:shd w:val="clear" w:color="000000" w:fill="CCFFFF"/>
            <w:noWrap/>
            <w:vAlign w:val="bottom"/>
            <w:hideMark/>
          </w:tcPr>
          <w:p w14:paraId="1DF6B9CE" w14:textId="77777777" w:rsidR="00B56301" w:rsidRPr="00364545" w:rsidRDefault="00B56301" w:rsidP="00B37B65">
            <w:pPr>
              <w:jc w:val="right"/>
              <w:rPr>
                <w:rFonts w:ascii="Times New Roman" w:hAnsi="Times New Roman"/>
                <w:sz w:val="18"/>
                <w:szCs w:val="18"/>
              </w:rPr>
            </w:pPr>
            <w:r w:rsidRPr="00364545">
              <w:rPr>
                <w:sz w:val="18"/>
              </w:rPr>
              <w:t>1579,79</w:t>
            </w:r>
          </w:p>
        </w:tc>
        <w:tc>
          <w:tcPr>
            <w:tcW w:w="992" w:type="dxa"/>
            <w:tcBorders>
              <w:top w:val="nil"/>
              <w:left w:val="nil"/>
              <w:bottom w:val="single" w:sz="4" w:space="0" w:color="auto"/>
              <w:right w:val="single" w:sz="4" w:space="0" w:color="auto"/>
            </w:tcBorders>
            <w:shd w:val="clear" w:color="000000" w:fill="CCFFFF"/>
            <w:noWrap/>
            <w:vAlign w:val="bottom"/>
            <w:hideMark/>
          </w:tcPr>
          <w:p w14:paraId="1D42DA7F" w14:textId="77777777" w:rsidR="00B56301" w:rsidRPr="00364545" w:rsidRDefault="00B56301" w:rsidP="00B37B65">
            <w:pPr>
              <w:jc w:val="right"/>
              <w:rPr>
                <w:rFonts w:ascii="Times New Roman" w:hAnsi="Times New Roman"/>
                <w:sz w:val="18"/>
                <w:szCs w:val="18"/>
              </w:rPr>
            </w:pPr>
            <w:r w:rsidRPr="00364545">
              <w:rPr>
                <w:sz w:val="18"/>
              </w:rPr>
              <w:t>1611,08</w:t>
            </w:r>
          </w:p>
        </w:tc>
        <w:tc>
          <w:tcPr>
            <w:tcW w:w="992" w:type="dxa"/>
            <w:tcBorders>
              <w:top w:val="nil"/>
              <w:left w:val="nil"/>
              <w:bottom w:val="single" w:sz="4" w:space="0" w:color="auto"/>
              <w:right w:val="single" w:sz="4" w:space="0" w:color="auto"/>
            </w:tcBorders>
            <w:shd w:val="clear" w:color="000000" w:fill="CCFFFF"/>
            <w:noWrap/>
            <w:vAlign w:val="bottom"/>
            <w:hideMark/>
          </w:tcPr>
          <w:p w14:paraId="28C4F8A1" w14:textId="77777777" w:rsidR="00B56301" w:rsidRPr="00364545" w:rsidRDefault="00B56301" w:rsidP="00B37B65">
            <w:pPr>
              <w:jc w:val="right"/>
              <w:rPr>
                <w:rFonts w:ascii="Times New Roman" w:hAnsi="Times New Roman"/>
                <w:sz w:val="18"/>
                <w:szCs w:val="18"/>
              </w:rPr>
            </w:pPr>
            <w:r w:rsidRPr="00364545">
              <w:rPr>
                <w:sz w:val="18"/>
              </w:rPr>
              <w:t>1354,85</w:t>
            </w:r>
          </w:p>
        </w:tc>
        <w:tc>
          <w:tcPr>
            <w:tcW w:w="992" w:type="dxa"/>
            <w:tcBorders>
              <w:top w:val="nil"/>
              <w:left w:val="nil"/>
              <w:bottom w:val="single" w:sz="4" w:space="0" w:color="auto"/>
              <w:right w:val="single" w:sz="4" w:space="0" w:color="auto"/>
            </w:tcBorders>
            <w:shd w:val="clear" w:color="000000" w:fill="CCFFFF"/>
            <w:noWrap/>
            <w:vAlign w:val="bottom"/>
            <w:hideMark/>
          </w:tcPr>
          <w:p w14:paraId="2782FEB3" w14:textId="77777777" w:rsidR="00B56301" w:rsidRPr="00364545" w:rsidRDefault="00B56301" w:rsidP="00B37B65">
            <w:pPr>
              <w:jc w:val="right"/>
              <w:rPr>
                <w:rFonts w:ascii="Times New Roman" w:hAnsi="Times New Roman"/>
                <w:sz w:val="18"/>
                <w:szCs w:val="18"/>
              </w:rPr>
            </w:pPr>
            <w:r w:rsidRPr="00364545">
              <w:rPr>
                <w:sz w:val="18"/>
              </w:rPr>
              <w:t>1252,21</w:t>
            </w:r>
          </w:p>
        </w:tc>
      </w:tr>
      <w:tr w:rsidR="00B56301" w:rsidRPr="00364545" w14:paraId="55A8E322" w14:textId="77777777" w:rsidTr="00B37B65">
        <w:trPr>
          <w:trHeight w:val="68"/>
          <w:jc w:val="center"/>
        </w:trPr>
        <w:tc>
          <w:tcPr>
            <w:tcW w:w="3795" w:type="dxa"/>
            <w:tcBorders>
              <w:top w:val="single" w:sz="4" w:space="0" w:color="auto"/>
              <w:left w:val="single" w:sz="4" w:space="0" w:color="auto"/>
              <w:bottom w:val="nil"/>
              <w:right w:val="single" w:sz="4" w:space="0" w:color="auto"/>
            </w:tcBorders>
            <w:shd w:val="clear" w:color="000000" w:fill="CCFFFF"/>
            <w:vAlign w:val="center"/>
            <w:hideMark/>
          </w:tcPr>
          <w:p w14:paraId="14E1957A" w14:textId="5E0F4D31" w:rsidR="00B56301" w:rsidRPr="00364545" w:rsidRDefault="007F09F7" w:rsidP="00B37B65">
            <w:pPr>
              <w:jc w:val="left"/>
              <w:rPr>
                <w:rFonts w:ascii="Times New Roman" w:hAnsi="Times New Roman"/>
                <w:sz w:val="20"/>
                <w:szCs w:val="18"/>
              </w:rPr>
            </w:pPr>
            <w:r w:rsidRPr="00364545">
              <w:t>SF</w:t>
            </w:r>
            <w:r w:rsidRPr="00364545">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2D30221E" w14:textId="77777777" w:rsidR="00B56301" w:rsidRPr="00364545" w:rsidRDefault="00B56301" w:rsidP="00B37B65">
            <w:pPr>
              <w:jc w:val="right"/>
              <w:rPr>
                <w:rFonts w:ascii="Times New Roman" w:hAnsi="Times New Roman"/>
                <w:sz w:val="18"/>
                <w:szCs w:val="18"/>
              </w:rPr>
            </w:pPr>
            <w:r w:rsidRPr="00364545">
              <w:rPr>
                <w:sz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2A99A69A"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63992348"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04EB69FC"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564DA071" w14:textId="77777777" w:rsidR="00B56301" w:rsidRPr="00364545" w:rsidRDefault="00B56301" w:rsidP="00B37B65">
            <w:pPr>
              <w:jc w:val="right"/>
              <w:rPr>
                <w:rFonts w:ascii="Times New Roman" w:hAnsi="Times New Roman"/>
                <w:sz w:val="18"/>
                <w:szCs w:val="18"/>
              </w:rPr>
            </w:pPr>
            <w:r w:rsidRPr="00364545">
              <w:rPr>
                <w:sz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7B10FC38" w14:textId="77777777" w:rsidR="00B56301" w:rsidRPr="00364545" w:rsidRDefault="00B56301" w:rsidP="00B37B65">
            <w:pPr>
              <w:jc w:val="right"/>
              <w:rPr>
                <w:rFonts w:ascii="Times New Roman" w:hAnsi="Times New Roman"/>
                <w:sz w:val="18"/>
                <w:szCs w:val="18"/>
              </w:rPr>
            </w:pPr>
            <w:r w:rsidRPr="00364545">
              <w:rPr>
                <w:sz w:val="18"/>
              </w:rPr>
              <w:t>0,05</w:t>
            </w:r>
          </w:p>
        </w:tc>
      </w:tr>
      <w:tr w:rsidR="00B56301" w:rsidRPr="00364545" w14:paraId="63F77EA8"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4B1E73AE" w14:textId="735E25B0"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rPr>
                <w:sz w:val="18"/>
              </w:rPr>
              <w:t>NF</w:t>
            </w:r>
            <w:r w:rsidRPr="00364545">
              <w:rPr>
                <w:sz w:val="18"/>
                <w:vertAlign w:val="subscript"/>
              </w:rPr>
              <w:t>3</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6A48BC5D" w14:textId="77777777" w:rsidR="00B56301" w:rsidRPr="00364545" w:rsidRDefault="00B56301" w:rsidP="00B37B65">
            <w:pPr>
              <w:jc w:val="right"/>
              <w:rPr>
                <w:rFonts w:ascii="Times New Roman" w:hAnsi="Times New Roman"/>
                <w:sz w:val="18"/>
                <w:szCs w:val="18"/>
              </w:rPr>
            </w:pPr>
            <w:r w:rsidRPr="00364545">
              <w:rPr>
                <w:sz w:val="18"/>
              </w:rPr>
              <w:t>28,45</w:t>
            </w:r>
          </w:p>
        </w:tc>
        <w:tc>
          <w:tcPr>
            <w:tcW w:w="992" w:type="dxa"/>
            <w:tcBorders>
              <w:top w:val="nil"/>
              <w:left w:val="nil"/>
              <w:bottom w:val="single" w:sz="4" w:space="0" w:color="auto"/>
              <w:right w:val="single" w:sz="4" w:space="0" w:color="auto"/>
            </w:tcBorders>
            <w:shd w:val="clear" w:color="000000" w:fill="CCFFFF"/>
            <w:noWrap/>
            <w:vAlign w:val="bottom"/>
            <w:hideMark/>
          </w:tcPr>
          <w:p w14:paraId="036F3A0B" w14:textId="77777777" w:rsidR="00B56301" w:rsidRPr="00364545" w:rsidRDefault="00B56301" w:rsidP="00B37B65">
            <w:pPr>
              <w:jc w:val="right"/>
              <w:rPr>
                <w:rFonts w:ascii="Times New Roman" w:hAnsi="Times New Roman"/>
                <w:sz w:val="18"/>
                <w:szCs w:val="18"/>
              </w:rPr>
            </w:pPr>
            <w:r w:rsidRPr="00364545">
              <w:rPr>
                <w:sz w:val="18"/>
              </w:rPr>
              <w:t>35,54</w:t>
            </w:r>
          </w:p>
        </w:tc>
        <w:tc>
          <w:tcPr>
            <w:tcW w:w="992" w:type="dxa"/>
            <w:tcBorders>
              <w:top w:val="nil"/>
              <w:left w:val="nil"/>
              <w:bottom w:val="single" w:sz="4" w:space="0" w:color="auto"/>
              <w:right w:val="single" w:sz="4" w:space="0" w:color="auto"/>
            </w:tcBorders>
            <w:shd w:val="clear" w:color="000000" w:fill="CCFFFF"/>
            <w:noWrap/>
            <w:vAlign w:val="bottom"/>
            <w:hideMark/>
          </w:tcPr>
          <w:p w14:paraId="5D126DF1" w14:textId="77777777" w:rsidR="00B56301" w:rsidRPr="00364545" w:rsidRDefault="00B56301" w:rsidP="00B37B65">
            <w:pPr>
              <w:jc w:val="right"/>
              <w:rPr>
                <w:rFonts w:ascii="Times New Roman" w:hAnsi="Times New Roman"/>
                <w:sz w:val="18"/>
                <w:szCs w:val="18"/>
              </w:rPr>
            </w:pPr>
            <w:r w:rsidRPr="00364545">
              <w:rPr>
                <w:sz w:val="18"/>
              </w:rPr>
              <w:t>30,47</w:t>
            </w:r>
          </w:p>
        </w:tc>
        <w:tc>
          <w:tcPr>
            <w:tcW w:w="992" w:type="dxa"/>
            <w:tcBorders>
              <w:top w:val="nil"/>
              <w:left w:val="nil"/>
              <w:bottom w:val="single" w:sz="4" w:space="0" w:color="auto"/>
              <w:right w:val="single" w:sz="4" w:space="0" w:color="auto"/>
            </w:tcBorders>
            <w:shd w:val="clear" w:color="000000" w:fill="CCFFFF"/>
            <w:noWrap/>
            <w:vAlign w:val="bottom"/>
            <w:hideMark/>
          </w:tcPr>
          <w:p w14:paraId="2710AE5D" w14:textId="77777777" w:rsidR="00B56301" w:rsidRPr="00364545" w:rsidRDefault="00B56301" w:rsidP="00B37B65">
            <w:pPr>
              <w:jc w:val="right"/>
              <w:rPr>
                <w:rFonts w:ascii="Times New Roman" w:hAnsi="Times New Roman"/>
                <w:sz w:val="18"/>
                <w:szCs w:val="18"/>
              </w:rPr>
            </w:pPr>
            <w:r w:rsidRPr="00364545">
              <w:rPr>
                <w:sz w:val="18"/>
              </w:rPr>
              <w:t>35,54</w:t>
            </w:r>
          </w:p>
        </w:tc>
        <w:tc>
          <w:tcPr>
            <w:tcW w:w="992" w:type="dxa"/>
            <w:tcBorders>
              <w:top w:val="nil"/>
              <w:left w:val="nil"/>
              <w:bottom w:val="single" w:sz="4" w:space="0" w:color="auto"/>
              <w:right w:val="single" w:sz="4" w:space="0" w:color="auto"/>
            </w:tcBorders>
            <w:shd w:val="clear" w:color="000000" w:fill="CCFFFF"/>
            <w:noWrap/>
            <w:vAlign w:val="bottom"/>
            <w:hideMark/>
          </w:tcPr>
          <w:p w14:paraId="45FDEA45" w14:textId="77777777" w:rsidR="00B56301" w:rsidRPr="00364545" w:rsidRDefault="00B56301" w:rsidP="00B37B65">
            <w:pPr>
              <w:jc w:val="right"/>
              <w:rPr>
                <w:rFonts w:ascii="Times New Roman" w:hAnsi="Times New Roman"/>
                <w:sz w:val="18"/>
                <w:szCs w:val="18"/>
              </w:rPr>
            </w:pPr>
            <w:r w:rsidRPr="00364545">
              <w:rPr>
                <w:sz w:val="18"/>
              </w:rPr>
              <w:t>31,27</w:t>
            </w:r>
          </w:p>
        </w:tc>
        <w:tc>
          <w:tcPr>
            <w:tcW w:w="992" w:type="dxa"/>
            <w:tcBorders>
              <w:top w:val="nil"/>
              <w:left w:val="nil"/>
              <w:bottom w:val="single" w:sz="4" w:space="0" w:color="auto"/>
              <w:right w:val="single" w:sz="4" w:space="0" w:color="auto"/>
            </w:tcBorders>
            <w:shd w:val="clear" w:color="000000" w:fill="CCFFFF"/>
            <w:noWrap/>
            <w:vAlign w:val="bottom"/>
            <w:hideMark/>
          </w:tcPr>
          <w:p w14:paraId="391133A8" w14:textId="77777777" w:rsidR="00B56301" w:rsidRPr="00364545" w:rsidRDefault="00B56301" w:rsidP="00B37B65">
            <w:pPr>
              <w:jc w:val="right"/>
              <w:rPr>
                <w:rFonts w:ascii="Times New Roman" w:hAnsi="Times New Roman"/>
                <w:sz w:val="18"/>
                <w:szCs w:val="18"/>
              </w:rPr>
            </w:pPr>
            <w:r w:rsidRPr="00364545">
              <w:rPr>
                <w:sz w:val="18"/>
              </w:rPr>
              <w:t>29,76</w:t>
            </w:r>
          </w:p>
        </w:tc>
      </w:tr>
      <w:tr w:rsidR="00B56301" w:rsidRPr="00364545" w14:paraId="2E4BECB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28C2EFF0" w14:textId="02661D9F" w:rsidR="00B56301" w:rsidRPr="00364545" w:rsidRDefault="007F09F7" w:rsidP="00B37B65">
            <w:pPr>
              <w:jc w:val="left"/>
              <w:rPr>
                <w:rFonts w:ascii="Times New Roman" w:hAnsi="Times New Roman"/>
                <w:sz w:val="20"/>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597B9C28"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6229FCB"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95912DA"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9350272"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1ABB3AB"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3188250" w14:textId="77777777" w:rsidR="00B56301" w:rsidRPr="00364545" w:rsidRDefault="00B56301" w:rsidP="00B37B65">
            <w:pPr>
              <w:jc w:val="right"/>
              <w:rPr>
                <w:rFonts w:ascii="Times New Roman" w:hAnsi="Times New Roman"/>
                <w:sz w:val="18"/>
                <w:szCs w:val="18"/>
              </w:rPr>
            </w:pPr>
            <w:r w:rsidRPr="00364545">
              <w:rPr>
                <w:sz w:val="18"/>
              </w:rPr>
              <w:t>0,00</w:t>
            </w:r>
          </w:p>
        </w:tc>
      </w:tr>
    </w:tbl>
    <w:p w14:paraId="31C4DE0E" w14:textId="77777777" w:rsidR="00B56301" w:rsidRPr="00364545" w:rsidRDefault="00B56301" w:rsidP="00B56301">
      <w:pPr>
        <w:spacing w:line="240" w:lineRule="atLeast"/>
        <w:jc w:val="left"/>
        <w:rPr>
          <w:rFonts w:cs="Arial"/>
        </w:rPr>
      </w:pPr>
      <w:r w:rsidRPr="00364545">
        <w:br w:type="page"/>
      </w:r>
    </w:p>
    <w:p w14:paraId="6887940D" w14:textId="77777777" w:rsidR="00B56301" w:rsidRPr="00364545" w:rsidRDefault="00B56301" w:rsidP="00B56301">
      <w:pPr>
        <w:spacing w:line="240" w:lineRule="atLeast"/>
        <w:jc w:val="left"/>
        <w:rPr>
          <w:rFonts w:cs="Arial"/>
        </w:rPr>
      </w:pPr>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364545" w14:paraId="4228909E" w14:textId="77777777" w:rsidTr="00B37B65">
        <w:trPr>
          <w:trHeight w:val="68"/>
          <w:jc w:val="center"/>
        </w:trPr>
        <w:tc>
          <w:tcPr>
            <w:tcW w:w="379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3447B62D" w14:textId="77777777" w:rsidR="00B56301" w:rsidRPr="00364545" w:rsidRDefault="00B56301" w:rsidP="00B37B65">
            <w:pPr>
              <w:jc w:val="center"/>
              <w:rPr>
                <w:rFonts w:ascii="Times New Roman" w:hAnsi="Times New Roman"/>
                <w:b/>
                <w:bCs/>
                <w:sz w:val="20"/>
                <w:szCs w:val="18"/>
              </w:rPr>
            </w:pPr>
            <w:r w:rsidRPr="00364545">
              <w:rPr>
                <w:rFonts w:ascii="Times New Roman" w:hAnsi="Times New Roman"/>
                <w:b/>
                <w:sz w:val="20"/>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E24B510"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143030D"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2008</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2D8D434"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351977E"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C2DBD5A"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1C5F3D9"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2012</w:t>
            </w:r>
          </w:p>
        </w:tc>
      </w:tr>
      <w:tr w:rsidR="00B56301" w:rsidRPr="00364545" w14:paraId="0437D86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2940CD80" w14:textId="6EAEAEA7"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and PFCs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61861A5" w14:textId="77777777" w:rsidR="00B56301" w:rsidRPr="00364545" w:rsidRDefault="00B56301" w:rsidP="00B37B65">
            <w:pPr>
              <w:jc w:val="right"/>
              <w:rPr>
                <w:rFonts w:ascii="Times New Roman" w:hAnsi="Times New Roman"/>
                <w:sz w:val="18"/>
                <w:szCs w:val="18"/>
              </w:rPr>
            </w:pPr>
            <w:r w:rsidRPr="00364545">
              <w:rPr>
                <w:sz w:val="18"/>
              </w:rPr>
              <w:t>16378,69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6066CEFB" w14:textId="77777777" w:rsidR="00B56301" w:rsidRPr="00364545" w:rsidRDefault="00B56301" w:rsidP="00B37B65">
            <w:pPr>
              <w:jc w:val="right"/>
              <w:rPr>
                <w:rFonts w:ascii="Times New Roman" w:hAnsi="Times New Roman"/>
                <w:sz w:val="18"/>
                <w:szCs w:val="18"/>
              </w:rPr>
            </w:pPr>
            <w:r w:rsidRPr="00364545">
              <w:rPr>
                <w:sz w:val="18"/>
              </w:rPr>
              <w:t>17085,28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631F5D6E" w14:textId="77777777" w:rsidR="00B56301" w:rsidRPr="00364545" w:rsidRDefault="00B56301" w:rsidP="00B37B65">
            <w:pPr>
              <w:jc w:val="right"/>
              <w:rPr>
                <w:rFonts w:ascii="Times New Roman" w:hAnsi="Times New Roman"/>
                <w:sz w:val="18"/>
                <w:szCs w:val="18"/>
              </w:rPr>
            </w:pPr>
            <w:r w:rsidRPr="00364545">
              <w:rPr>
                <w:sz w:val="18"/>
              </w:rPr>
              <w:t>16765,68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5503487" w14:textId="77777777" w:rsidR="00B56301" w:rsidRPr="00364545" w:rsidRDefault="00B56301" w:rsidP="00B37B65">
            <w:pPr>
              <w:jc w:val="right"/>
              <w:rPr>
                <w:rFonts w:ascii="Times New Roman" w:hAnsi="Times New Roman"/>
                <w:sz w:val="18"/>
                <w:szCs w:val="18"/>
              </w:rPr>
            </w:pPr>
            <w:r w:rsidRPr="00364545">
              <w:rPr>
                <w:sz w:val="18"/>
              </w:rPr>
              <w:t>17547,47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0FC0AA4" w14:textId="77777777" w:rsidR="00B56301" w:rsidRPr="00364545" w:rsidRDefault="00B56301" w:rsidP="00B37B65">
            <w:pPr>
              <w:jc w:val="right"/>
              <w:rPr>
                <w:rFonts w:ascii="Times New Roman" w:hAnsi="Times New Roman"/>
                <w:sz w:val="18"/>
                <w:szCs w:val="18"/>
              </w:rPr>
            </w:pPr>
            <w:r w:rsidRPr="00364545">
              <w:rPr>
                <w:sz w:val="18"/>
              </w:rPr>
              <w:t>18402,84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031091F" w14:textId="77777777" w:rsidR="00B56301" w:rsidRPr="00364545" w:rsidRDefault="00B56301" w:rsidP="00B37B65">
            <w:pPr>
              <w:jc w:val="right"/>
              <w:rPr>
                <w:rFonts w:ascii="Times New Roman" w:hAnsi="Times New Roman"/>
                <w:sz w:val="18"/>
                <w:szCs w:val="18"/>
              </w:rPr>
            </w:pPr>
            <w:r w:rsidRPr="00364545">
              <w:rPr>
                <w:sz w:val="18"/>
              </w:rPr>
              <w:t>18652,42</w:t>
            </w:r>
          </w:p>
        </w:tc>
      </w:tr>
      <w:tr w:rsidR="00B56301" w:rsidRPr="00364545" w14:paraId="3FF44BFD" w14:textId="77777777" w:rsidTr="00B37B65">
        <w:trPr>
          <w:trHeight w:val="68"/>
          <w:jc w:val="center"/>
        </w:trPr>
        <w:tc>
          <w:tcPr>
            <w:tcW w:w="3795" w:type="dxa"/>
            <w:tcBorders>
              <w:top w:val="nil"/>
              <w:left w:val="single" w:sz="4" w:space="0" w:color="auto"/>
              <w:bottom w:val="nil"/>
              <w:right w:val="single" w:sz="4" w:space="0" w:color="auto"/>
            </w:tcBorders>
            <w:shd w:val="clear" w:color="000000" w:fill="CCFFFF"/>
            <w:vAlign w:val="center"/>
            <w:hideMark/>
          </w:tcPr>
          <w:p w14:paraId="6D75E811" w14:textId="3E6F2831"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5F54CFA8" w14:textId="77777777" w:rsidR="00B56301" w:rsidRPr="00364545" w:rsidRDefault="00B56301" w:rsidP="00B37B65">
            <w:pPr>
              <w:jc w:val="right"/>
              <w:rPr>
                <w:rFonts w:ascii="Times New Roman" w:hAnsi="Times New Roman"/>
                <w:sz w:val="18"/>
                <w:szCs w:val="18"/>
              </w:rPr>
            </w:pPr>
            <w:r w:rsidRPr="00364545">
              <w:rPr>
                <w:sz w:val="18"/>
              </w:rPr>
              <w:t>15199,26</w:t>
            </w:r>
          </w:p>
        </w:tc>
        <w:tc>
          <w:tcPr>
            <w:tcW w:w="992" w:type="dxa"/>
            <w:tcBorders>
              <w:top w:val="nil"/>
              <w:left w:val="nil"/>
              <w:bottom w:val="single" w:sz="4" w:space="0" w:color="auto"/>
              <w:right w:val="single" w:sz="4" w:space="0" w:color="auto"/>
            </w:tcBorders>
            <w:shd w:val="clear" w:color="000000" w:fill="CCFFFF"/>
            <w:noWrap/>
            <w:vAlign w:val="bottom"/>
            <w:hideMark/>
          </w:tcPr>
          <w:p w14:paraId="53AF470F" w14:textId="77777777" w:rsidR="00B56301" w:rsidRPr="00364545" w:rsidRDefault="00B56301" w:rsidP="00B37B65">
            <w:pPr>
              <w:jc w:val="right"/>
              <w:rPr>
                <w:rFonts w:ascii="Times New Roman" w:hAnsi="Times New Roman"/>
                <w:sz w:val="18"/>
                <w:szCs w:val="18"/>
              </w:rPr>
            </w:pPr>
            <w:r w:rsidRPr="00364545">
              <w:rPr>
                <w:sz w:val="18"/>
              </w:rPr>
              <w:t>16307,53</w:t>
            </w:r>
          </w:p>
        </w:tc>
        <w:tc>
          <w:tcPr>
            <w:tcW w:w="992" w:type="dxa"/>
            <w:tcBorders>
              <w:top w:val="nil"/>
              <w:left w:val="nil"/>
              <w:bottom w:val="single" w:sz="4" w:space="0" w:color="auto"/>
              <w:right w:val="single" w:sz="4" w:space="0" w:color="auto"/>
            </w:tcBorders>
            <w:shd w:val="clear" w:color="000000" w:fill="CCFFFF"/>
            <w:noWrap/>
            <w:vAlign w:val="bottom"/>
            <w:hideMark/>
          </w:tcPr>
          <w:p w14:paraId="0645DAED" w14:textId="77777777" w:rsidR="00B56301" w:rsidRPr="00364545" w:rsidRDefault="00B56301" w:rsidP="00B37B65">
            <w:pPr>
              <w:jc w:val="right"/>
              <w:rPr>
                <w:rFonts w:ascii="Times New Roman" w:hAnsi="Times New Roman"/>
                <w:sz w:val="18"/>
                <w:szCs w:val="18"/>
              </w:rPr>
            </w:pPr>
            <w:r w:rsidRPr="00364545">
              <w:rPr>
                <w:sz w:val="18"/>
              </w:rPr>
              <w:t>16206,87</w:t>
            </w:r>
          </w:p>
        </w:tc>
        <w:tc>
          <w:tcPr>
            <w:tcW w:w="992" w:type="dxa"/>
            <w:tcBorders>
              <w:top w:val="nil"/>
              <w:left w:val="nil"/>
              <w:bottom w:val="single" w:sz="4" w:space="0" w:color="auto"/>
              <w:right w:val="single" w:sz="4" w:space="0" w:color="auto"/>
            </w:tcBorders>
            <w:shd w:val="clear" w:color="000000" w:fill="CCFFFF"/>
            <w:noWrap/>
            <w:vAlign w:val="bottom"/>
            <w:hideMark/>
          </w:tcPr>
          <w:p w14:paraId="40EC6CB8" w14:textId="77777777" w:rsidR="00B56301" w:rsidRPr="00364545" w:rsidRDefault="00B56301" w:rsidP="00B37B65">
            <w:pPr>
              <w:jc w:val="right"/>
              <w:rPr>
                <w:rFonts w:ascii="Times New Roman" w:hAnsi="Times New Roman"/>
                <w:sz w:val="18"/>
                <w:szCs w:val="18"/>
              </w:rPr>
            </w:pPr>
            <w:r w:rsidRPr="00364545">
              <w:rPr>
                <w:sz w:val="18"/>
              </w:rPr>
              <w:t>16930,10</w:t>
            </w:r>
          </w:p>
        </w:tc>
        <w:tc>
          <w:tcPr>
            <w:tcW w:w="992" w:type="dxa"/>
            <w:tcBorders>
              <w:top w:val="nil"/>
              <w:left w:val="nil"/>
              <w:bottom w:val="single" w:sz="4" w:space="0" w:color="auto"/>
              <w:right w:val="single" w:sz="4" w:space="0" w:color="auto"/>
            </w:tcBorders>
            <w:shd w:val="clear" w:color="000000" w:fill="CCFFFF"/>
            <w:noWrap/>
            <w:vAlign w:val="bottom"/>
            <w:hideMark/>
          </w:tcPr>
          <w:p w14:paraId="4913B8A4" w14:textId="77777777" w:rsidR="00B56301" w:rsidRPr="00364545" w:rsidRDefault="00B56301" w:rsidP="00B37B65">
            <w:pPr>
              <w:jc w:val="right"/>
              <w:rPr>
                <w:rFonts w:ascii="Times New Roman" w:hAnsi="Times New Roman"/>
                <w:sz w:val="18"/>
                <w:szCs w:val="18"/>
              </w:rPr>
            </w:pPr>
            <w:r w:rsidRPr="00364545">
              <w:rPr>
                <w:sz w:val="18"/>
              </w:rPr>
              <w:t>17628,80</w:t>
            </w:r>
          </w:p>
        </w:tc>
        <w:tc>
          <w:tcPr>
            <w:tcW w:w="992" w:type="dxa"/>
            <w:tcBorders>
              <w:top w:val="nil"/>
              <w:left w:val="nil"/>
              <w:bottom w:val="single" w:sz="4" w:space="0" w:color="auto"/>
              <w:right w:val="single" w:sz="4" w:space="0" w:color="auto"/>
            </w:tcBorders>
            <w:shd w:val="clear" w:color="000000" w:fill="CCFFFF"/>
            <w:noWrap/>
            <w:vAlign w:val="bottom"/>
            <w:hideMark/>
          </w:tcPr>
          <w:p w14:paraId="149F57B4" w14:textId="77777777" w:rsidR="00B56301" w:rsidRPr="00364545" w:rsidRDefault="00B56301" w:rsidP="00B37B65">
            <w:pPr>
              <w:jc w:val="right"/>
              <w:rPr>
                <w:rFonts w:ascii="Times New Roman" w:hAnsi="Times New Roman"/>
                <w:sz w:val="18"/>
                <w:szCs w:val="18"/>
              </w:rPr>
            </w:pPr>
            <w:r w:rsidRPr="00364545">
              <w:rPr>
                <w:sz w:val="18"/>
              </w:rPr>
              <w:t>17862,07</w:t>
            </w:r>
          </w:p>
        </w:tc>
      </w:tr>
      <w:tr w:rsidR="00B56301" w:rsidRPr="00364545" w14:paraId="5D72A5EC"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hideMark/>
          </w:tcPr>
          <w:p w14:paraId="1A13FA36"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0B72A02B"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7774E17"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6FB923C"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3C25E562"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4DDB56C"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885BB64" w14:textId="77777777" w:rsidR="00B56301" w:rsidRPr="00364545" w:rsidRDefault="00B56301" w:rsidP="00B37B65">
            <w:pPr>
              <w:jc w:val="right"/>
              <w:rPr>
                <w:rFonts w:ascii="Times New Roman" w:hAnsi="Times New Roman"/>
                <w:sz w:val="18"/>
                <w:szCs w:val="18"/>
              </w:rPr>
            </w:pPr>
            <w:r w:rsidRPr="00364545">
              <w:rPr>
                <w:sz w:val="18"/>
              </w:rPr>
              <w:t>0,01</w:t>
            </w:r>
          </w:p>
        </w:tc>
      </w:tr>
      <w:tr w:rsidR="00B56301" w:rsidRPr="00364545" w14:paraId="21CE5B2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542A3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41E49E3B" w14:textId="77777777" w:rsidR="00B56301" w:rsidRPr="00364545" w:rsidRDefault="00B56301" w:rsidP="00B37B65">
            <w:pPr>
              <w:jc w:val="right"/>
              <w:rPr>
                <w:rFonts w:ascii="Times New Roman" w:hAnsi="Times New Roman"/>
                <w:sz w:val="18"/>
                <w:szCs w:val="18"/>
              </w:rPr>
            </w:pPr>
            <w:r w:rsidRPr="00364545">
              <w:rPr>
                <w:sz w:val="18"/>
              </w:rPr>
              <w:t>0,24</w:t>
            </w:r>
          </w:p>
        </w:tc>
        <w:tc>
          <w:tcPr>
            <w:tcW w:w="992" w:type="dxa"/>
            <w:tcBorders>
              <w:top w:val="nil"/>
              <w:left w:val="nil"/>
              <w:bottom w:val="single" w:sz="4" w:space="0" w:color="auto"/>
              <w:right w:val="single" w:sz="4" w:space="0" w:color="auto"/>
            </w:tcBorders>
            <w:shd w:val="clear" w:color="000000" w:fill="FFFFFF"/>
            <w:noWrap/>
            <w:vAlign w:val="bottom"/>
            <w:hideMark/>
          </w:tcPr>
          <w:p w14:paraId="7A9708E2" w14:textId="77777777" w:rsidR="00B56301" w:rsidRPr="00364545" w:rsidRDefault="00B56301" w:rsidP="00B37B65">
            <w:pPr>
              <w:jc w:val="right"/>
              <w:rPr>
                <w:rFonts w:ascii="Times New Roman" w:hAnsi="Times New Roman"/>
                <w:sz w:val="18"/>
                <w:szCs w:val="18"/>
              </w:rPr>
            </w:pPr>
            <w:r w:rsidRPr="00364545">
              <w:rPr>
                <w:sz w:val="18"/>
              </w:rPr>
              <w:t>0,29</w:t>
            </w:r>
          </w:p>
        </w:tc>
        <w:tc>
          <w:tcPr>
            <w:tcW w:w="992" w:type="dxa"/>
            <w:tcBorders>
              <w:top w:val="nil"/>
              <w:left w:val="nil"/>
              <w:bottom w:val="single" w:sz="4" w:space="0" w:color="auto"/>
              <w:right w:val="single" w:sz="4" w:space="0" w:color="auto"/>
            </w:tcBorders>
            <w:shd w:val="clear" w:color="000000" w:fill="FFFFFF"/>
            <w:noWrap/>
            <w:vAlign w:val="bottom"/>
            <w:hideMark/>
          </w:tcPr>
          <w:p w14:paraId="0F3CC2EF" w14:textId="77777777" w:rsidR="00B56301" w:rsidRPr="00364545" w:rsidRDefault="00B56301" w:rsidP="00B37B65">
            <w:pPr>
              <w:jc w:val="right"/>
              <w:rPr>
                <w:rFonts w:ascii="Times New Roman" w:hAnsi="Times New Roman"/>
                <w:sz w:val="18"/>
                <w:szCs w:val="18"/>
              </w:rPr>
            </w:pPr>
            <w:r w:rsidRPr="00364545">
              <w:rPr>
                <w:sz w:val="18"/>
              </w:rPr>
              <w:t>0,33</w:t>
            </w:r>
          </w:p>
        </w:tc>
        <w:tc>
          <w:tcPr>
            <w:tcW w:w="992" w:type="dxa"/>
            <w:tcBorders>
              <w:top w:val="nil"/>
              <w:left w:val="nil"/>
              <w:bottom w:val="single" w:sz="4" w:space="0" w:color="auto"/>
              <w:right w:val="single" w:sz="4" w:space="0" w:color="auto"/>
            </w:tcBorders>
            <w:shd w:val="clear" w:color="000000" w:fill="FFFFFF"/>
            <w:noWrap/>
            <w:vAlign w:val="bottom"/>
            <w:hideMark/>
          </w:tcPr>
          <w:p w14:paraId="290F15FB" w14:textId="77777777" w:rsidR="00B56301" w:rsidRPr="00364545" w:rsidRDefault="00B56301" w:rsidP="00B37B65">
            <w:pPr>
              <w:jc w:val="right"/>
              <w:rPr>
                <w:rFonts w:ascii="Times New Roman" w:hAnsi="Times New Roman"/>
                <w:sz w:val="18"/>
                <w:szCs w:val="18"/>
              </w:rPr>
            </w:pPr>
            <w:r w:rsidRPr="00364545">
              <w:rPr>
                <w:sz w:val="18"/>
              </w:rPr>
              <w:t>0,37</w:t>
            </w:r>
          </w:p>
        </w:tc>
        <w:tc>
          <w:tcPr>
            <w:tcW w:w="992" w:type="dxa"/>
            <w:tcBorders>
              <w:top w:val="nil"/>
              <w:left w:val="nil"/>
              <w:bottom w:val="single" w:sz="4" w:space="0" w:color="auto"/>
              <w:right w:val="single" w:sz="4" w:space="0" w:color="auto"/>
            </w:tcBorders>
            <w:shd w:val="clear" w:color="000000" w:fill="FFFFFF"/>
            <w:noWrap/>
            <w:vAlign w:val="bottom"/>
            <w:hideMark/>
          </w:tcPr>
          <w:p w14:paraId="42CAF8C7" w14:textId="77777777" w:rsidR="00B56301" w:rsidRPr="00364545" w:rsidRDefault="00B56301" w:rsidP="00B37B65">
            <w:pPr>
              <w:jc w:val="right"/>
              <w:rPr>
                <w:rFonts w:ascii="Times New Roman" w:hAnsi="Times New Roman"/>
                <w:sz w:val="18"/>
                <w:szCs w:val="18"/>
              </w:rPr>
            </w:pPr>
            <w:r w:rsidRPr="00364545">
              <w:rPr>
                <w:sz w:val="18"/>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7FB6C5C7" w14:textId="77777777" w:rsidR="00B56301" w:rsidRPr="00364545" w:rsidRDefault="00B56301" w:rsidP="00B37B65">
            <w:pPr>
              <w:jc w:val="right"/>
              <w:rPr>
                <w:rFonts w:ascii="Times New Roman" w:hAnsi="Times New Roman"/>
                <w:sz w:val="18"/>
                <w:szCs w:val="18"/>
              </w:rPr>
            </w:pPr>
            <w:r w:rsidRPr="00364545">
              <w:rPr>
                <w:sz w:val="18"/>
              </w:rPr>
              <w:t>0,44</w:t>
            </w:r>
          </w:p>
        </w:tc>
      </w:tr>
      <w:tr w:rsidR="00B56301" w:rsidRPr="00364545" w14:paraId="2AF045A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48CBF2B"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268E84BA"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4869E9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B7E406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7A52F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0CD9E9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496D3B"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13AAE2F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EABF91E"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0680E69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A1BF26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D2EF2F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2BEB9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8FA9F8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C5FDEB"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15F76B3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DD2A362"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34D2A52B" w14:textId="77777777" w:rsidR="00B56301" w:rsidRPr="00364545" w:rsidRDefault="00B56301" w:rsidP="00B37B65">
            <w:pPr>
              <w:jc w:val="right"/>
              <w:rPr>
                <w:rFonts w:ascii="Times New Roman" w:hAnsi="Times New Roman"/>
                <w:sz w:val="18"/>
                <w:szCs w:val="18"/>
              </w:rPr>
            </w:pPr>
            <w:r w:rsidRPr="00364545">
              <w:rPr>
                <w:sz w:val="18"/>
              </w:rPr>
              <w:t>1,04</w:t>
            </w:r>
          </w:p>
        </w:tc>
        <w:tc>
          <w:tcPr>
            <w:tcW w:w="992" w:type="dxa"/>
            <w:tcBorders>
              <w:top w:val="nil"/>
              <w:left w:val="nil"/>
              <w:bottom w:val="single" w:sz="4" w:space="0" w:color="auto"/>
              <w:right w:val="single" w:sz="4" w:space="0" w:color="auto"/>
            </w:tcBorders>
            <w:shd w:val="clear" w:color="000000" w:fill="FFFFFF"/>
            <w:noWrap/>
            <w:vAlign w:val="bottom"/>
            <w:hideMark/>
          </w:tcPr>
          <w:p w14:paraId="10172FCD" w14:textId="77777777" w:rsidR="00B56301" w:rsidRPr="00364545" w:rsidRDefault="00B56301" w:rsidP="00B37B65">
            <w:pPr>
              <w:jc w:val="right"/>
              <w:rPr>
                <w:rFonts w:ascii="Times New Roman" w:hAnsi="Times New Roman"/>
                <w:sz w:val="18"/>
                <w:szCs w:val="18"/>
              </w:rPr>
            </w:pPr>
            <w:r w:rsidRPr="00364545">
              <w:rPr>
                <w:sz w:val="18"/>
              </w:rPr>
              <w:t>1,13</w:t>
            </w:r>
          </w:p>
        </w:tc>
        <w:tc>
          <w:tcPr>
            <w:tcW w:w="992" w:type="dxa"/>
            <w:tcBorders>
              <w:top w:val="nil"/>
              <w:left w:val="nil"/>
              <w:bottom w:val="single" w:sz="4" w:space="0" w:color="auto"/>
              <w:right w:val="single" w:sz="4" w:space="0" w:color="auto"/>
            </w:tcBorders>
            <w:shd w:val="clear" w:color="000000" w:fill="FFFFFF"/>
            <w:noWrap/>
            <w:vAlign w:val="bottom"/>
            <w:hideMark/>
          </w:tcPr>
          <w:p w14:paraId="64918265" w14:textId="77777777" w:rsidR="00B56301" w:rsidRPr="00364545" w:rsidRDefault="00B56301" w:rsidP="00B37B65">
            <w:pPr>
              <w:jc w:val="right"/>
              <w:rPr>
                <w:rFonts w:ascii="Times New Roman" w:hAnsi="Times New Roman"/>
                <w:sz w:val="18"/>
                <w:szCs w:val="18"/>
              </w:rPr>
            </w:pPr>
            <w:r w:rsidRPr="00364545">
              <w:rPr>
                <w:sz w:val="18"/>
              </w:rPr>
              <w:t>1,22</w:t>
            </w:r>
          </w:p>
        </w:tc>
        <w:tc>
          <w:tcPr>
            <w:tcW w:w="992" w:type="dxa"/>
            <w:tcBorders>
              <w:top w:val="nil"/>
              <w:left w:val="nil"/>
              <w:bottom w:val="single" w:sz="4" w:space="0" w:color="auto"/>
              <w:right w:val="single" w:sz="4" w:space="0" w:color="auto"/>
            </w:tcBorders>
            <w:shd w:val="clear" w:color="000000" w:fill="FFFFFF"/>
            <w:noWrap/>
            <w:vAlign w:val="bottom"/>
            <w:hideMark/>
          </w:tcPr>
          <w:p w14:paraId="3D443C00" w14:textId="77777777" w:rsidR="00B56301" w:rsidRPr="00364545" w:rsidRDefault="00B56301" w:rsidP="00B37B65">
            <w:pPr>
              <w:jc w:val="right"/>
              <w:rPr>
                <w:rFonts w:ascii="Times New Roman" w:hAnsi="Times New Roman"/>
                <w:sz w:val="18"/>
                <w:szCs w:val="18"/>
              </w:rPr>
            </w:pPr>
            <w:r w:rsidRPr="00364545">
              <w:rPr>
                <w:sz w:val="18"/>
              </w:rPr>
              <w:t>1,29</w:t>
            </w:r>
          </w:p>
        </w:tc>
        <w:tc>
          <w:tcPr>
            <w:tcW w:w="992" w:type="dxa"/>
            <w:tcBorders>
              <w:top w:val="nil"/>
              <w:left w:val="nil"/>
              <w:bottom w:val="single" w:sz="4" w:space="0" w:color="auto"/>
              <w:right w:val="single" w:sz="4" w:space="0" w:color="auto"/>
            </w:tcBorders>
            <w:shd w:val="clear" w:color="000000" w:fill="FFFFFF"/>
            <w:noWrap/>
            <w:vAlign w:val="bottom"/>
            <w:hideMark/>
          </w:tcPr>
          <w:p w14:paraId="7DBEA7A2" w14:textId="77777777" w:rsidR="00B56301" w:rsidRPr="00364545" w:rsidRDefault="00B56301" w:rsidP="00B37B65">
            <w:pPr>
              <w:jc w:val="right"/>
              <w:rPr>
                <w:rFonts w:ascii="Times New Roman" w:hAnsi="Times New Roman"/>
                <w:sz w:val="18"/>
                <w:szCs w:val="18"/>
              </w:rPr>
            </w:pPr>
            <w:r w:rsidRPr="00364545">
              <w:rPr>
                <w:sz w:val="18"/>
              </w:rPr>
              <w:t>1,36</w:t>
            </w:r>
          </w:p>
        </w:tc>
        <w:tc>
          <w:tcPr>
            <w:tcW w:w="992" w:type="dxa"/>
            <w:tcBorders>
              <w:top w:val="nil"/>
              <w:left w:val="nil"/>
              <w:bottom w:val="single" w:sz="4" w:space="0" w:color="auto"/>
              <w:right w:val="single" w:sz="4" w:space="0" w:color="auto"/>
            </w:tcBorders>
            <w:shd w:val="clear" w:color="000000" w:fill="FFFFFF"/>
            <w:noWrap/>
            <w:vAlign w:val="bottom"/>
            <w:hideMark/>
          </w:tcPr>
          <w:p w14:paraId="1631F7AD" w14:textId="77777777" w:rsidR="00B56301" w:rsidRPr="00364545" w:rsidRDefault="00B56301" w:rsidP="00B37B65">
            <w:pPr>
              <w:jc w:val="right"/>
              <w:rPr>
                <w:rFonts w:ascii="Times New Roman" w:hAnsi="Times New Roman"/>
                <w:sz w:val="18"/>
                <w:szCs w:val="18"/>
              </w:rPr>
            </w:pPr>
            <w:r w:rsidRPr="00364545">
              <w:rPr>
                <w:sz w:val="18"/>
              </w:rPr>
              <w:t>1,39</w:t>
            </w:r>
          </w:p>
        </w:tc>
      </w:tr>
      <w:tr w:rsidR="00B56301" w:rsidRPr="00364545" w14:paraId="4A023C6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FD8B56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47B438D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7F6473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E169CA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85DD0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E7C843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9EA3BBB"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6629DC5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2D4934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40233D1F" w14:textId="77777777" w:rsidR="00B56301" w:rsidRPr="00364545" w:rsidRDefault="00B56301" w:rsidP="00B37B65">
            <w:pPr>
              <w:jc w:val="right"/>
              <w:rPr>
                <w:rFonts w:ascii="Times New Roman" w:hAnsi="Times New Roman"/>
                <w:sz w:val="18"/>
                <w:szCs w:val="18"/>
              </w:rPr>
            </w:pPr>
            <w:r w:rsidRPr="00364545">
              <w:rPr>
                <w:sz w:val="18"/>
              </w:rPr>
              <w:t>4,53</w:t>
            </w:r>
          </w:p>
        </w:tc>
        <w:tc>
          <w:tcPr>
            <w:tcW w:w="992" w:type="dxa"/>
            <w:tcBorders>
              <w:top w:val="nil"/>
              <w:left w:val="nil"/>
              <w:bottom w:val="single" w:sz="4" w:space="0" w:color="auto"/>
              <w:right w:val="single" w:sz="4" w:space="0" w:color="auto"/>
            </w:tcBorders>
            <w:shd w:val="clear" w:color="000000" w:fill="FFFFFF"/>
            <w:noWrap/>
            <w:vAlign w:val="bottom"/>
            <w:hideMark/>
          </w:tcPr>
          <w:p w14:paraId="22ECB3CB" w14:textId="77777777" w:rsidR="00B56301" w:rsidRPr="00364545" w:rsidRDefault="00B56301" w:rsidP="00B37B65">
            <w:pPr>
              <w:jc w:val="right"/>
              <w:rPr>
                <w:rFonts w:ascii="Times New Roman" w:hAnsi="Times New Roman"/>
                <w:sz w:val="18"/>
                <w:szCs w:val="18"/>
              </w:rPr>
            </w:pPr>
            <w:r w:rsidRPr="00364545">
              <w:rPr>
                <w:sz w:val="18"/>
              </w:rPr>
              <w:t>4,74</w:t>
            </w:r>
          </w:p>
        </w:tc>
        <w:tc>
          <w:tcPr>
            <w:tcW w:w="992" w:type="dxa"/>
            <w:tcBorders>
              <w:top w:val="nil"/>
              <w:left w:val="nil"/>
              <w:bottom w:val="single" w:sz="4" w:space="0" w:color="auto"/>
              <w:right w:val="single" w:sz="4" w:space="0" w:color="auto"/>
            </w:tcBorders>
            <w:shd w:val="clear" w:color="000000" w:fill="FFFFFF"/>
            <w:noWrap/>
            <w:vAlign w:val="bottom"/>
            <w:hideMark/>
          </w:tcPr>
          <w:p w14:paraId="6DBA2AF1" w14:textId="77777777" w:rsidR="00B56301" w:rsidRPr="00364545" w:rsidRDefault="00B56301" w:rsidP="00B37B65">
            <w:pPr>
              <w:jc w:val="right"/>
              <w:rPr>
                <w:rFonts w:ascii="Times New Roman" w:hAnsi="Times New Roman"/>
                <w:sz w:val="18"/>
                <w:szCs w:val="18"/>
              </w:rPr>
            </w:pPr>
            <w:r w:rsidRPr="00364545">
              <w:rPr>
                <w:sz w:val="18"/>
              </w:rPr>
              <w:t>4,50</w:t>
            </w:r>
          </w:p>
        </w:tc>
        <w:tc>
          <w:tcPr>
            <w:tcW w:w="992" w:type="dxa"/>
            <w:tcBorders>
              <w:top w:val="nil"/>
              <w:left w:val="nil"/>
              <w:bottom w:val="single" w:sz="4" w:space="0" w:color="auto"/>
              <w:right w:val="single" w:sz="4" w:space="0" w:color="auto"/>
            </w:tcBorders>
            <w:shd w:val="clear" w:color="000000" w:fill="FFFFFF"/>
            <w:noWrap/>
            <w:vAlign w:val="bottom"/>
            <w:hideMark/>
          </w:tcPr>
          <w:p w14:paraId="1A0E423C" w14:textId="77777777" w:rsidR="00B56301" w:rsidRPr="00364545" w:rsidRDefault="00B56301" w:rsidP="00B37B65">
            <w:pPr>
              <w:jc w:val="right"/>
              <w:rPr>
                <w:rFonts w:ascii="Times New Roman" w:hAnsi="Times New Roman"/>
                <w:sz w:val="18"/>
                <w:szCs w:val="18"/>
              </w:rPr>
            </w:pPr>
            <w:r w:rsidRPr="00364545">
              <w:rPr>
                <w:sz w:val="18"/>
              </w:rPr>
              <w:t>4,80</w:t>
            </w:r>
          </w:p>
        </w:tc>
        <w:tc>
          <w:tcPr>
            <w:tcW w:w="992" w:type="dxa"/>
            <w:tcBorders>
              <w:top w:val="nil"/>
              <w:left w:val="nil"/>
              <w:bottom w:val="single" w:sz="4" w:space="0" w:color="auto"/>
              <w:right w:val="single" w:sz="4" w:space="0" w:color="auto"/>
            </w:tcBorders>
            <w:shd w:val="clear" w:color="000000" w:fill="FFFFFF"/>
            <w:noWrap/>
            <w:vAlign w:val="bottom"/>
            <w:hideMark/>
          </w:tcPr>
          <w:p w14:paraId="300FB3D1" w14:textId="77777777" w:rsidR="00B56301" w:rsidRPr="00364545" w:rsidRDefault="00B56301" w:rsidP="00B37B65">
            <w:pPr>
              <w:jc w:val="right"/>
              <w:rPr>
                <w:rFonts w:ascii="Times New Roman" w:hAnsi="Times New Roman"/>
                <w:sz w:val="18"/>
                <w:szCs w:val="18"/>
              </w:rPr>
            </w:pPr>
            <w:r w:rsidRPr="00364545">
              <w:rPr>
                <w:sz w:val="18"/>
              </w:rPr>
              <w:t>4,94</w:t>
            </w:r>
          </w:p>
        </w:tc>
        <w:tc>
          <w:tcPr>
            <w:tcW w:w="992" w:type="dxa"/>
            <w:tcBorders>
              <w:top w:val="nil"/>
              <w:left w:val="nil"/>
              <w:bottom w:val="single" w:sz="4" w:space="0" w:color="auto"/>
              <w:right w:val="single" w:sz="4" w:space="0" w:color="auto"/>
            </w:tcBorders>
            <w:shd w:val="clear" w:color="000000" w:fill="FFFFFF"/>
            <w:noWrap/>
            <w:vAlign w:val="bottom"/>
            <w:hideMark/>
          </w:tcPr>
          <w:p w14:paraId="65721F5B" w14:textId="77777777" w:rsidR="00B56301" w:rsidRPr="00364545" w:rsidRDefault="00B56301" w:rsidP="00B37B65">
            <w:pPr>
              <w:jc w:val="right"/>
              <w:rPr>
                <w:rFonts w:ascii="Times New Roman" w:hAnsi="Times New Roman"/>
                <w:sz w:val="18"/>
                <w:szCs w:val="18"/>
              </w:rPr>
            </w:pPr>
            <w:r w:rsidRPr="00364545">
              <w:rPr>
                <w:sz w:val="18"/>
              </w:rPr>
              <w:t>4,94</w:t>
            </w:r>
          </w:p>
        </w:tc>
      </w:tr>
      <w:tr w:rsidR="00B56301" w:rsidRPr="00364545" w14:paraId="6B77E22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EF7FB1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3A6834EA"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AC2B83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B22139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5553F4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69309A"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87A6B6C"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6AAED96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12BDCC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3AC21D81" w14:textId="77777777" w:rsidR="00B56301" w:rsidRPr="00364545" w:rsidRDefault="00B56301" w:rsidP="00B37B65">
            <w:pPr>
              <w:jc w:val="right"/>
              <w:rPr>
                <w:rFonts w:ascii="Times New Roman" w:hAnsi="Times New Roman"/>
                <w:sz w:val="18"/>
                <w:szCs w:val="18"/>
              </w:rPr>
            </w:pPr>
            <w:r w:rsidRPr="00364545">
              <w:rPr>
                <w:sz w:val="18"/>
              </w:rPr>
              <w:t>0,91</w:t>
            </w:r>
          </w:p>
        </w:tc>
        <w:tc>
          <w:tcPr>
            <w:tcW w:w="992" w:type="dxa"/>
            <w:tcBorders>
              <w:top w:val="nil"/>
              <w:left w:val="nil"/>
              <w:bottom w:val="single" w:sz="4" w:space="0" w:color="auto"/>
              <w:right w:val="single" w:sz="4" w:space="0" w:color="auto"/>
            </w:tcBorders>
            <w:shd w:val="clear" w:color="000000" w:fill="FFFFFF"/>
            <w:noWrap/>
            <w:vAlign w:val="bottom"/>
            <w:hideMark/>
          </w:tcPr>
          <w:p w14:paraId="43F2BBE6" w14:textId="77777777" w:rsidR="00B56301" w:rsidRPr="00364545" w:rsidRDefault="00B56301" w:rsidP="00B37B65">
            <w:pPr>
              <w:jc w:val="right"/>
              <w:rPr>
                <w:rFonts w:ascii="Times New Roman" w:hAnsi="Times New Roman"/>
                <w:sz w:val="18"/>
                <w:szCs w:val="18"/>
              </w:rPr>
            </w:pPr>
            <w:r w:rsidRPr="00364545">
              <w:rPr>
                <w:sz w:val="18"/>
              </w:rPr>
              <w:t>0,99</w:t>
            </w:r>
          </w:p>
        </w:tc>
        <w:tc>
          <w:tcPr>
            <w:tcW w:w="992" w:type="dxa"/>
            <w:tcBorders>
              <w:top w:val="nil"/>
              <w:left w:val="nil"/>
              <w:bottom w:val="single" w:sz="4" w:space="0" w:color="auto"/>
              <w:right w:val="single" w:sz="4" w:space="0" w:color="auto"/>
            </w:tcBorders>
            <w:shd w:val="clear" w:color="000000" w:fill="FFFFFF"/>
            <w:noWrap/>
            <w:vAlign w:val="bottom"/>
            <w:hideMark/>
          </w:tcPr>
          <w:p w14:paraId="521F3ED2" w14:textId="77777777" w:rsidR="00B56301" w:rsidRPr="00364545" w:rsidRDefault="00B56301" w:rsidP="00B37B65">
            <w:pPr>
              <w:jc w:val="right"/>
              <w:rPr>
                <w:rFonts w:ascii="Times New Roman" w:hAnsi="Times New Roman"/>
                <w:sz w:val="18"/>
                <w:szCs w:val="18"/>
              </w:rPr>
            </w:pPr>
            <w:r w:rsidRPr="00364545">
              <w:rPr>
                <w:sz w:val="18"/>
              </w:rPr>
              <w:t>1,02</w:t>
            </w:r>
          </w:p>
        </w:tc>
        <w:tc>
          <w:tcPr>
            <w:tcW w:w="992" w:type="dxa"/>
            <w:tcBorders>
              <w:top w:val="nil"/>
              <w:left w:val="nil"/>
              <w:bottom w:val="single" w:sz="4" w:space="0" w:color="auto"/>
              <w:right w:val="single" w:sz="4" w:space="0" w:color="auto"/>
            </w:tcBorders>
            <w:shd w:val="clear" w:color="000000" w:fill="FFFFFF"/>
            <w:noWrap/>
            <w:vAlign w:val="bottom"/>
            <w:hideMark/>
          </w:tcPr>
          <w:p w14:paraId="13B9D715" w14:textId="77777777" w:rsidR="00B56301" w:rsidRPr="00364545" w:rsidRDefault="00B56301" w:rsidP="00B37B65">
            <w:pPr>
              <w:jc w:val="right"/>
              <w:rPr>
                <w:rFonts w:ascii="Times New Roman" w:hAnsi="Times New Roman"/>
                <w:sz w:val="18"/>
                <w:szCs w:val="18"/>
              </w:rPr>
            </w:pPr>
            <w:r w:rsidRPr="00364545">
              <w:rPr>
                <w:sz w:val="18"/>
              </w:rPr>
              <w:t>1,04</w:t>
            </w:r>
          </w:p>
        </w:tc>
        <w:tc>
          <w:tcPr>
            <w:tcW w:w="992" w:type="dxa"/>
            <w:tcBorders>
              <w:top w:val="nil"/>
              <w:left w:val="nil"/>
              <w:bottom w:val="single" w:sz="4" w:space="0" w:color="auto"/>
              <w:right w:val="single" w:sz="4" w:space="0" w:color="auto"/>
            </w:tcBorders>
            <w:shd w:val="clear" w:color="000000" w:fill="FFFFFF"/>
            <w:noWrap/>
            <w:vAlign w:val="bottom"/>
            <w:hideMark/>
          </w:tcPr>
          <w:p w14:paraId="5B7CFD78" w14:textId="77777777" w:rsidR="00B56301" w:rsidRPr="00364545" w:rsidRDefault="00B56301" w:rsidP="00B37B65">
            <w:pPr>
              <w:jc w:val="right"/>
              <w:rPr>
                <w:rFonts w:ascii="Times New Roman" w:hAnsi="Times New Roman"/>
                <w:sz w:val="18"/>
                <w:szCs w:val="18"/>
              </w:rPr>
            </w:pPr>
            <w:r w:rsidRPr="00364545">
              <w:rPr>
                <w:sz w:val="18"/>
              </w:rPr>
              <w:t>1,07</w:t>
            </w:r>
          </w:p>
        </w:tc>
        <w:tc>
          <w:tcPr>
            <w:tcW w:w="992" w:type="dxa"/>
            <w:tcBorders>
              <w:top w:val="nil"/>
              <w:left w:val="nil"/>
              <w:bottom w:val="single" w:sz="4" w:space="0" w:color="auto"/>
              <w:right w:val="single" w:sz="4" w:space="0" w:color="auto"/>
            </w:tcBorders>
            <w:shd w:val="clear" w:color="000000" w:fill="FFFFFF"/>
            <w:noWrap/>
            <w:vAlign w:val="bottom"/>
            <w:hideMark/>
          </w:tcPr>
          <w:p w14:paraId="6514D150" w14:textId="77777777" w:rsidR="00B56301" w:rsidRPr="00364545" w:rsidRDefault="00B56301" w:rsidP="00B37B65">
            <w:pPr>
              <w:jc w:val="right"/>
              <w:rPr>
                <w:rFonts w:ascii="Times New Roman" w:hAnsi="Times New Roman"/>
                <w:sz w:val="18"/>
                <w:szCs w:val="18"/>
              </w:rPr>
            </w:pPr>
            <w:r w:rsidRPr="00364545">
              <w:rPr>
                <w:sz w:val="18"/>
              </w:rPr>
              <w:t>1,06</w:t>
            </w:r>
          </w:p>
        </w:tc>
      </w:tr>
      <w:tr w:rsidR="00B56301" w:rsidRPr="00364545" w14:paraId="69A667F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0D7417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6CF79ED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96714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085A24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1AED7F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9F8FE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3601F88"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09AC21F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FF04EF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311255D0" w14:textId="77777777" w:rsidR="00B56301" w:rsidRPr="00364545" w:rsidRDefault="00B56301" w:rsidP="00B37B65">
            <w:pPr>
              <w:jc w:val="right"/>
              <w:rPr>
                <w:rFonts w:ascii="Times New Roman" w:hAnsi="Times New Roman"/>
                <w:sz w:val="18"/>
                <w:szCs w:val="18"/>
              </w:rPr>
            </w:pPr>
            <w:r w:rsidRPr="00364545">
              <w:rPr>
                <w:sz w:val="18"/>
              </w:rPr>
              <w:t>0,33</w:t>
            </w:r>
          </w:p>
        </w:tc>
        <w:tc>
          <w:tcPr>
            <w:tcW w:w="992" w:type="dxa"/>
            <w:tcBorders>
              <w:top w:val="nil"/>
              <w:left w:val="nil"/>
              <w:bottom w:val="single" w:sz="4" w:space="0" w:color="auto"/>
              <w:right w:val="single" w:sz="4" w:space="0" w:color="auto"/>
            </w:tcBorders>
            <w:shd w:val="clear" w:color="000000" w:fill="FFFFFF"/>
            <w:noWrap/>
            <w:vAlign w:val="bottom"/>
            <w:hideMark/>
          </w:tcPr>
          <w:p w14:paraId="2772DE9C" w14:textId="77777777" w:rsidR="00B56301" w:rsidRPr="00364545" w:rsidRDefault="00B56301" w:rsidP="00B37B65">
            <w:pPr>
              <w:jc w:val="right"/>
              <w:rPr>
                <w:rFonts w:ascii="Times New Roman" w:hAnsi="Times New Roman"/>
                <w:sz w:val="18"/>
                <w:szCs w:val="18"/>
              </w:rPr>
            </w:pPr>
            <w:r w:rsidRPr="00364545">
              <w:rPr>
                <w:sz w:val="18"/>
              </w:rPr>
              <w:t>0,37</w:t>
            </w:r>
          </w:p>
        </w:tc>
        <w:tc>
          <w:tcPr>
            <w:tcW w:w="992" w:type="dxa"/>
            <w:tcBorders>
              <w:top w:val="nil"/>
              <w:left w:val="nil"/>
              <w:bottom w:val="single" w:sz="4" w:space="0" w:color="auto"/>
              <w:right w:val="single" w:sz="4" w:space="0" w:color="auto"/>
            </w:tcBorders>
            <w:shd w:val="clear" w:color="000000" w:fill="FFFFFF"/>
            <w:noWrap/>
            <w:vAlign w:val="bottom"/>
            <w:hideMark/>
          </w:tcPr>
          <w:p w14:paraId="7CD2DC89" w14:textId="77777777" w:rsidR="00B56301" w:rsidRPr="00364545" w:rsidRDefault="00B56301" w:rsidP="00B37B65">
            <w:pPr>
              <w:jc w:val="right"/>
              <w:rPr>
                <w:rFonts w:ascii="Times New Roman" w:hAnsi="Times New Roman"/>
                <w:sz w:val="18"/>
                <w:szCs w:val="18"/>
              </w:rPr>
            </w:pPr>
            <w:r w:rsidRPr="00364545">
              <w:rPr>
                <w:sz w:val="18"/>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40637A1E" w14:textId="77777777" w:rsidR="00B56301" w:rsidRPr="00364545" w:rsidRDefault="00B56301" w:rsidP="00B37B65">
            <w:pPr>
              <w:jc w:val="right"/>
              <w:rPr>
                <w:rFonts w:ascii="Times New Roman" w:hAnsi="Times New Roman"/>
                <w:sz w:val="18"/>
                <w:szCs w:val="18"/>
              </w:rPr>
            </w:pPr>
            <w:r w:rsidRPr="00364545">
              <w:rPr>
                <w:sz w:val="18"/>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43509E99" w14:textId="77777777" w:rsidR="00B56301" w:rsidRPr="00364545" w:rsidRDefault="00B56301" w:rsidP="00B37B65">
            <w:pPr>
              <w:jc w:val="right"/>
              <w:rPr>
                <w:rFonts w:ascii="Times New Roman" w:hAnsi="Times New Roman"/>
                <w:sz w:val="18"/>
                <w:szCs w:val="18"/>
              </w:rPr>
            </w:pPr>
            <w:r w:rsidRPr="00364545">
              <w:rPr>
                <w:sz w:val="18"/>
              </w:rPr>
              <w:t>0,38</w:t>
            </w:r>
          </w:p>
        </w:tc>
        <w:tc>
          <w:tcPr>
            <w:tcW w:w="992" w:type="dxa"/>
            <w:tcBorders>
              <w:top w:val="nil"/>
              <w:left w:val="nil"/>
              <w:bottom w:val="single" w:sz="4" w:space="0" w:color="auto"/>
              <w:right w:val="single" w:sz="4" w:space="0" w:color="auto"/>
            </w:tcBorders>
            <w:shd w:val="clear" w:color="000000" w:fill="FFFFFF"/>
            <w:noWrap/>
            <w:vAlign w:val="bottom"/>
            <w:hideMark/>
          </w:tcPr>
          <w:p w14:paraId="06E13B49" w14:textId="77777777" w:rsidR="00B56301" w:rsidRPr="00364545" w:rsidRDefault="00B56301" w:rsidP="00B37B65">
            <w:pPr>
              <w:jc w:val="right"/>
              <w:rPr>
                <w:rFonts w:ascii="Times New Roman" w:hAnsi="Times New Roman"/>
                <w:sz w:val="18"/>
                <w:szCs w:val="18"/>
              </w:rPr>
            </w:pPr>
            <w:r w:rsidRPr="00364545">
              <w:rPr>
                <w:sz w:val="18"/>
              </w:rPr>
              <w:t>0,38</w:t>
            </w:r>
          </w:p>
        </w:tc>
      </w:tr>
      <w:tr w:rsidR="00B56301" w:rsidRPr="00364545" w14:paraId="3784665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BA07872"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4639743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52C7B2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67CABA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7D3145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C1320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9A985F2"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15A1FD5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D57C24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5AC4ABA7" w14:textId="77777777" w:rsidR="00B56301" w:rsidRPr="00364545" w:rsidRDefault="00B56301" w:rsidP="00B37B65">
            <w:pPr>
              <w:jc w:val="right"/>
              <w:rPr>
                <w:rFonts w:ascii="Times New Roman" w:hAnsi="Times New Roman"/>
                <w:sz w:val="18"/>
                <w:szCs w:val="18"/>
              </w:rPr>
            </w:pPr>
            <w:r w:rsidRPr="00364545">
              <w:rPr>
                <w:sz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45FA16BC" w14:textId="77777777" w:rsidR="00B56301" w:rsidRPr="00364545" w:rsidRDefault="00B56301" w:rsidP="00B37B65">
            <w:pPr>
              <w:jc w:val="right"/>
              <w:rPr>
                <w:rFonts w:ascii="Times New Roman" w:hAnsi="Times New Roman"/>
                <w:sz w:val="18"/>
                <w:szCs w:val="18"/>
              </w:rPr>
            </w:pPr>
            <w:r w:rsidRPr="00364545">
              <w:rPr>
                <w:sz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264707CF" w14:textId="77777777" w:rsidR="00B56301" w:rsidRPr="00364545" w:rsidRDefault="00B56301" w:rsidP="00B37B65">
            <w:pPr>
              <w:jc w:val="right"/>
              <w:rPr>
                <w:rFonts w:ascii="Times New Roman" w:hAnsi="Times New Roman"/>
                <w:sz w:val="18"/>
                <w:szCs w:val="18"/>
              </w:rPr>
            </w:pPr>
            <w:r w:rsidRPr="00364545">
              <w:rPr>
                <w:sz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0E035E0E" w14:textId="77777777" w:rsidR="00B56301" w:rsidRPr="00364545" w:rsidRDefault="00B56301" w:rsidP="00B37B65">
            <w:pPr>
              <w:jc w:val="right"/>
              <w:rPr>
                <w:rFonts w:ascii="Times New Roman" w:hAnsi="Times New Roman"/>
                <w:sz w:val="18"/>
                <w:szCs w:val="18"/>
              </w:rPr>
            </w:pPr>
            <w:r w:rsidRPr="00364545">
              <w:rPr>
                <w:sz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323BE7FF"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3F400238" w14:textId="77777777" w:rsidR="00B56301" w:rsidRPr="00364545" w:rsidRDefault="00B56301" w:rsidP="00B37B65">
            <w:pPr>
              <w:jc w:val="right"/>
              <w:rPr>
                <w:rFonts w:ascii="Times New Roman" w:hAnsi="Times New Roman"/>
                <w:sz w:val="18"/>
                <w:szCs w:val="18"/>
              </w:rPr>
            </w:pPr>
            <w:r w:rsidRPr="00364545">
              <w:rPr>
                <w:sz w:val="18"/>
              </w:rPr>
              <w:t>0,08</w:t>
            </w:r>
          </w:p>
        </w:tc>
      </w:tr>
      <w:tr w:rsidR="00B56301" w:rsidRPr="00364545" w14:paraId="32E4C84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2814BD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3546A73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8A6A8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24F98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C85BD6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C11BC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8543E3E"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55B78A3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DE36FDC"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6947034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455385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45E7BD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C240C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23BB8F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8335E5B"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748CF3A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3F6DC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05632B6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886076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8D60E1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6E6AFB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AEFDDE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F204892"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00C1BEE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E6C8671"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046E743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C6C5F2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48B55D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06866C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03AD18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B860D87"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433BBAD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3C542A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619A5330"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787633F6"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69B44C84"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44E85060"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1F604659"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B778525" w14:textId="77777777" w:rsidR="00B56301" w:rsidRPr="00364545" w:rsidRDefault="00B56301" w:rsidP="00B37B65">
            <w:pPr>
              <w:jc w:val="right"/>
              <w:rPr>
                <w:rFonts w:ascii="Times New Roman" w:hAnsi="Times New Roman"/>
                <w:sz w:val="18"/>
                <w:szCs w:val="18"/>
              </w:rPr>
            </w:pPr>
            <w:r w:rsidRPr="00364545">
              <w:rPr>
                <w:sz w:val="18"/>
              </w:rPr>
              <w:t>0,04</w:t>
            </w:r>
          </w:p>
        </w:tc>
      </w:tr>
      <w:tr w:rsidR="00B56301" w:rsidRPr="00364545" w14:paraId="7D8FE95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57C11F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63C90EBC" w14:textId="77777777" w:rsidR="00B56301" w:rsidRPr="00364545" w:rsidRDefault="00B56301" w:rsidP="00B37B65">
            <w:pPr>
              <w:jc w:val="right"/>
              <w:rPr>
                <w:rFonts w:ascii="Times New Roman" w:hAnsi="Times New Roman"/>
                <w:sz w:val="18"/>
                <w:szCs w:val="18"/>
              </w:rPr>
            </w:pPr>
            <w:r w:rsidRPr="00364545">
              <w:rPr>
                <w:sz w:val="18"/>
              </w:rPr>
              <w:t>0,05</w:t>
            </w:r>
          </w:p>
        </w:tc>
        <w:tc>
          <w:tcPr>
            <w:tcW w:w="992" w:type="dxa"/>
            <w:tcBorders>
              <w:top w:val="nil"/>
              <w:left w:val="nil"/>
              <w:bottom w:val="single" w:sz="4" w:space="0" w:color="auto"/>
              <w:right w:val="single" w:sz="4" w:space="0" w:color="auto"/>
            </w:tcBorders>
            <w:shd w:val="clear" w:color="000000" w:fill="FFFFFF"/>
            <w:noWrap/>
            <w:vAlign w:val="bottom"/>
            <w:hideMark/>
          </w:tcPr>
          <w:p w14:paraId="33472760" w14:textId="77777777" w:rsidR="00B56301" w:rsidRPr="00364545" w:rsidRDefault="00B56301" w:rsidP="00B37B65">
            <w:pPr>
              <w:jc w:val="right"/>
              <w:rPr>
                <w:rFonts w:ascii="Times New Roman" w:hAnsi="Times New Roman"/>
                <w:sz w:val="18"/>
                <w:szCs w:val="18"/>
              </w:rPr>
            </w:pPr>
            <w:r w:rsidRPr="00364545">
              <w:rPr>
                <w:sz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4BBE68FD"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62CE86F4" w14:textId="77777777" w:rsidR="00B56301" w:rsidRPr="00364545" w:rsidRDefault="00B56301" w:rsidP="00B37B65">
            <w:pPr>
              <w:jc w:val="right"/>
              <w:rPr>
                <w:rFonts w:ascii="Times New Roman" w:hAnsi="Times New Roman"/>
                <w:sz w:val="18"/>
                <w:szCs w:val="18"/>
              </w:rPr>
            </w:pPr>
            <w:r w:rsidRPr="00364545">
              <w:rPr>
                <w:sz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281C1EB3" w14:textId="77777777" w:rsidR="00B56301" w:rsidRPr="00364545" w:rsidRDefault="00B56301" w:rsidP="00B37B65">
            <w:pPr>
              <w:jc w:val="right"/>
              <w:rPr>
                <w:rFonts w:ascii="Times New Roman" w:hAnsi="Times New Roman"/>
                <w:sz w:val="18"/>
                <w:szCs w:val="18"/>
              </w:rPr>
            </w:pPr>
            <w:r w:rsidRPr="00364545">
              <w:rPr>
                <w:sz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59D28D9F" w14:textId="77777777" w:rsidR="00B56301" w:rsidRPr="00364545" w:rsidRDefault="00B56301" w:rsidP="00B37B65">
            <w:pPr>
              <w:jc w:val="right"/>
              <w:rPr>
                <w:rFonts w:ascii="Times New Roman" w:hAnsi="Times New Roman"/>
                <w:sz w:val="18"/>
                <w:szCs w:val="18"/>
              </w:rPr>
            </w:pPr>
            <w:r w:rsidRPr="00364545">
              <w:rPr>
                <w:sz w:val="18"/>
              </w:rPr>
              <w:t>0,11</w:t>
            </w:r>
          </w:p>
        </w:tc>
      </w:tr>
      <w:tr w:rsidR="00B56301" w:rsidRPr="00364545" w14:paraId="13BB6C0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4F8CED6" w14:textId="4965AC74"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HFCs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28239BD2" w14:textId="77777777" w:rsidR="00B56301" w:rsidRPr="00364545" w:rsidRDefault="00B56301" w:rsidP="00B37B65">
            <w:pPr>
              <w:jc w:val="right"/>
              <w:rPr>
                <w:rFonts w:ascii="Times New Roman" w:hAnsi="Times New Roman"/>
                <w:sz w:val="18"/>
                <w:szCs w:val="18"/>
              </w:rPr>
            </w:pPr>
            <w:r w:rsidRPr="00364545">
              <w:rPr>
                <w:sz w:val="18"/>
              </w:rPr>
              <w:t>214,10</w:t>
            </w:r>
          </w:p>
        </w:tc>
        <w:tc>
          <w:tcPr>
            <w:tcW w:w="992" w:type="dxa"/>
            <w:tcBorders>
              <w:top w:val="nil"/>
              <w:left w:val="nil"/>
              <w:bottom w:val="single" w:sz="4" w:space="0" w:color="auto"/>
              <w:right w:val="single" w:sz="4" w:space="0" w:color="auto"/>
            </w:tcBorders>
            <w:shd w:val="clear" w:color="000000" w:fill="FFFFFF"/>
            <w:noWrap/>
            <w:vAlign w:val="bottom"/>
            <w:hideMark/>
          </w:tcPr>
          <w:p w14:paraId="791D83FA" w14:textId="77777777" w:rsidR="00B56301" w:rsidRPr="00364545" w:rsidRDefault="00B56301" w:rsidP="00B37B65">
            <w:pPr>
              <w:jc w:val="right"/>
              <w:rPr>
                <w:rFonts w:ascii="Times New Roman" w:hAnsi="Times New Roman"/>
                <w:sz w:val="18"/>
                <w:szCs w:val="18"/>
              </w:rPr>
            </w:pPr>
            <w:r w:rsidRPr="00364545">
              <w:rPr>
                <w:sz w:val="18"/>
              </w:rPr>
              <w:t>235,99</w:t>
            </w:r>
          </w:p>
        </w:tc>
        <w:tc>
          <w:tcPr>
            <w:tcW w:w="992" w:type="dxa"/>
            <w:tcBorders>
              <w:top w:val="nil"/>
              <w:left w:val="nil"/>
              <w:bottom w:val="single" w:sz="4" w:space="0" w:color="auto"/>
              <w:right w:val="single" w:sz="4" w:space="0" w:color="auto"/>
            </w:tcBorders>
            <w:shd w:val="clear" w:color="000000" w:fill="FFFFFF"/>
            <w:noWrap/>
            <w:vAlign w:val="bottom"/>
            <w:hideMark/>
          </w:tcPr>
          <w:p w14:paraId="7C5D12F7" w14:textId="77777777" w:rsidR="00B56301" w:rsidRPr="00364545" w:rsidRDefault="00B56301" w:rsidP="00B37B65">
            <w:pPr>
              <w:jc w:val="right"/>
              <w:rPr>
                <w:rFonts w:ascii="Times New Roman" w:hAnsi="Times New Roman"/>
                <w:sz w:val="18"/>
                <w:szCs w:val="18"/>
              </w:rPr>
            </w:pPr>
            <w:r w:rsidRPr="00364545">
              <w:rPr>
                <w:sz w:val="18"/>
              </w:rPr>
              <w:t>191,47</w:t>
            </w:r>
          </w:p>
        </w:tc>
        <w:tc>
          <w:tcPr>
            <w:tcW w:w="992" w:type="dxa"/>
            <w:tcBorders>
              <w:top w:val="nil"/>
              <w:left w:val="nil"/>
              <w:bottom w:val="single" w:sz="4" w:space="0" w:color="auto"/>
              <w:right w:val="single" w:sz="4" w:space="0" w:color="auto"/>
            </w:tcBorders>
            <w:shd w:val="clear" w:color="000000" w:fill="FFFFFF"/>
            <w:noWrap/>
            <w:vAlign w:val="bottom"/>
            <w:hideMark/>
          </w:tcPr>
          <w:p w14:paraId="19AD8565" w14:textId="77777777" w:rsidR="00B56301" w:rsidRPr="00364545" w:rsidRDefault="00B56301" w:rsidP="00B37B65">
            <w:pPr>
              <w:jc w:val="right"/>
              <w:rPr>
                <w:rFonts w:ascii="Times New Roman" w:hAnsi="Times New Roman"/>
                <w:sz w:val="18"/>
                <w:szCs w:val="18"/>
              </w:rPr>
            </w:pPr>
            <w:r w:rsidRPr="00364545">
              <w:rPr>
                <w:sz w:val="18"/>
              </w:rPr>
              <w:t>158,61</w:t>
            </w:r>
          </w:p>
        </w:tc>
        <w:tc>
          <w:tcPr>
            <w:tcW w:w="992" w:type="dxa"/>
            <w:tcBorders>
              <w:top w:val="nil"/>
              <w:left w:val="nil"/>
              <w:bottom w:val="single" w:sz="4" w:space="0" w:color="auto"/>
              <w:right w:val="single" w:sz="4" w:space="0" w:color="auto"/>
            </w:tcBorders>
            <w:shd w:val="clear" w:color="000000" w:fill="FFFFFF"/>
            <w:noWrap/>
            <w:vAlign w:val="bottom"/>
            <w:hideMark/>
          </w:tcPr>
          <w:p w14:paraId="30E32A51" w14:textId="77777777" w:rsidR="00B56301" w:rsidRPr="00364545" w:rsidRDefault="00B56301" w:rsidP="00B37B65">
            <w:pPr>
              <w:jc w:val="right"/>
              <w:rPr>
                <w:rFonts w:ascii="Times New Roman" w:hAnsi="Times New Roman"/>
                <w:sz w:val="18"/>
                <w:szCs w:val="18"/>
              </w:rPr>
            </w:pPr>
            <w:r w:rsidRPr="00364545">
              <w:rPr>
                <w:sz w:val="18"/>
              </w:rPr>
              <w:t>263,02</w:t>
            </w:r>
          </w:p>
        </w:tc>
        <w:tc>
          <w:tcPr>
            <w:tcW w:w="992" w:type="dxa"/>
            <w:tcBorders>
              <w:top w:val="nil"/>
              <w:left w:val="nil"/>
              <w:bottom w:val="single" w:sz="4" w:space="0" w:color="auto"/>
              <w:right w:val="single" w:sz="4" w:space="0" w:color="auto"/>
            </w:tcBorders>
            <w:shd w:val="clear" w:color="000000" w:fill="FFFFFF"/>
            <w:noWrap/>
            <w:vAlign w:val="bottom"/>
            <w:hideMark/>
          </w:tcPr>
          <w:p w14:paraId="15DB28DD" w14:textId="77777777" w:rsidR="00B56301" w:rsidRPr="00364545" w:rsidRDefault="00B56301" w:rsidP="00B37B65">
            <w:pPr>
              <w:jc w:val="right"/>
              <w:rPr>
                <w:rFonts w:ascii="Times New Roman" w:hAnsi="Times New Roman"/>
                <w:sz w:val="18"/>
                <w:szCs w:val="18"/>
              </w:rPr>
            </w:pPr>
            <w:r w:rsidRPr="00364545">
              <w:rPr>
                <w:sz w:val="18"/>
              </w:rPr>
              <w:t>329,18</w:t>
            </w:r>
          </w:p>
        </w:tc>
      </w:tr>
      <w:tr w:rsidR="00B56301" w:rsidRPr="00364545" w14:paraId="74F0C6B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182CBFF5" w14:textId="5C95B103"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Emissions of PFCs</w:t>
            </w:r>
            <w:r w:rsidRPr="00364545">
              <w:rPr>
                <w:rFonts w:ascii="Times New Roman" w:hAnsi="Times New Roman"/>
                <w:b/>
                <w:sz w:val="20"/>
                <w:vertAlign w:val="superscript"/>
              </w:rPr>
              <w:t xml:space="preserve"> </w:t>
            </w:r>
            <w:r w:rsidRPr="00364545">
              <w:rPr>
                <w:rFonts w:ascii="Times New Roman" w:hAnsi="Times New Roman"/>
                <w:b/>
                <w:sz w:val="20"/>
              </w:rPr>
              <w:t xml:space="preserve">-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07CCEB4E" w14:textId="77777777" w:rsidR="00B56301" w:rsidRPr="00364545" w:rsidRDefault="00B56301" w:rsidP="00B37B65">
            <w:pPr>
              <w:jc w:val="right"/>
              <w:rPr>
                <w:rFonts w:ascii="Times New Roman" w:hAnsi="Times New Roman"/>
                <w:sz w:val="18"/>
                <w:szCs w:val="18"/>
              </w:rPr>
            </w:pPr>
            <w:r w:rsidRPr="00364545">
              <w:rPr>
                <w:sz w:val="18"/>
              </w:rPr>
              <w:t>1179,43</w:t>
            </w:r>
          </w:p>
        </w:tc>
        <w:tc>
          <w:tcPr>
            <w:tcW w:w="992" w:type="dxa"/>
            <w:tcBorders>
              <w:top w:val="nil"/>
              <w:left w:val="nil"/>
              <w:bottom w:val="single" w:sz="4" w:space="0" w:color="auto"/>
              <w:right w:val="single" w:sz="4" w:space="0" w:color="auto"/>
            </w:tcBorders>
            <w:shd w:val="clear" w:color="000000" w:fill="CCFFFF"/>
            <w:noWrap/>
            <w:vAlign w:val="bottom"/>
            <w:hideMark/>
          </w:tcPr>
          <w:p w14:paraId="5B6BC5E2" w14:textId="77777777" w:rsidR="00B56301" w:rsidRPr="00364545" w:rsidRDefault="00B56301" w:rsidP="00B37B65">
            <w:pPr>
              <w:jc w:val="right"/>
              <w:rPr>
                <w:rFonts w:ascii="Times New Roman" w:hAnsi="Times New Roman"/>
                <w:sz w:val="18"/>
                <w:szCs w:val="18"/>
              </w:rPr>
            </w:pPr>
            <w:r w:rsidRPr="00364545">
              <w:rPr>
                <w:sz w:val="18"/>
              </w:rPr>
              <w:t>777,75</w:t>
            </w:r>
          </w:p>
        </w:tc>
        <w:tc>
          <w:tcPr>
            <w:tcW w:w="992" w:type="dxa"/>
            <w:tcBorders>
              <w:top w:val="nil"/>
              <w:left w:val="nil"/>
              <w:bottom w:val="single" w:sz="4" w:space="0" w:color="auto"/>
              <w:right w:val="single" w:sz="4" w:space="0" w:color="auto"/>
            </w:tcBorders>
            <w:shd w:val="clear" w:color="000000" w:fill="CCFFFF"/>
            <w:noWrap/>
            <w:vAlign w:val="bottom"/>
            <w:hideMark/>
          </w:tcPr>
          <w:p w14:paraId="509351EE" w14:textId="77777777" w:rsidR="00B56301" w:rsidRPr="00364545" w:rsidRDefault="00B56301" w:rsidP="00B37B65">
            <w:pPr>
              <w:jc w:val="right"/>
              <w:rPr>
                <w:rFonts w:ascii="Times New Roman" w:hAnsi="Times New Roman"/>
                <w:sz w:val="18"/>
                <w:szCs w:val="18"/>
              </w:rPr>
            </w:pPr>
            <w:r w:rsidRPr="00364545">
              <w:rPr>
                <w:sz w:val="18"/>
              </w:rPr>
              <w:t>558,81</w:t>
            </w:r>
          </w:p>
        </w:tc>
        <w:tc>
          <w:tcPr>
            <w:tcW w:w="992" w:type="dxa"/>
            <w:tcBorders>
              <w:top w:val="nil"/>
              <w:left w:val="nil"/>
              <w:bottom w:val="single" w:sz="4" w:space="0" w:color="auto"/>
              <w:right w:val="single" w:sz="4" w:space="0" w:color="auto"/>
            </w:tcBorders>
            <w:shd w:val="clear" w:color="000000" w:fill="CCFFFF"/>
            <w:noWrap/>
            <w:vAlign w:val="bottom"/>
            <w:hideMark/>
          </w:tcPr>
          <w:p w14:paraId="3EBB07B4" w14:textId="77777777" w:rsidR="00B56301" w:rsidRPr="00364545" w:rsidRDefault="00B56301" w:rsidP="00B37B65">
            <w:pPr>
              <w:jc w:val="right"/>
              <w:rPr>
                <w:rFonts w:ascii="Times New Roman" w:hAnsi="Times New Roman"/>
                <w:sz w:val="18"/>
                <w:szCs w:val="18"/>
              </w:rPr>
            </w:pPr>
            <w:r w:rsidRPr="00364545">
              <w:rPr>
                <w:sz w:val="18"/>
              </w:rPr>
              <w:t>617,37</w:t>
            </w:r>
          </w:p>
        </w:tc>
        <w:tc>
          <w:tcPr>
            <w:tcW w:w="992" w:type="dxa"/>
            <w:tcBorders>
              <w:top w:val="nil"/>
              <w:left w:val="nil"/>
              <w:bottom w:val="single" w:sz="4" w:space="0" w:color="auto"/>
              <w:right w:val="single" w:sz="4" w:space="0" w:color="auto"/>
            </w:tcBorders>
            <w:shd w:val="clear" w:color="000000" w:fill="CCFFFF"/>
            <w:noWrap/>
            <w:vAlign w:val="bottom"/>
            <w:hideMark/>
          </w:tcPr>
          <w:p w14:paraId="282361FA" w14:textId="77777777" w:rsidR="00B56301" w:rsidRPr="00364545" w:rsidRDefault="00B56301" w:rsidP="00B37B65">
            <w:pPr>
              <w:jc w:val="right"/>
              <w:rPr>
                <w:rFonts w:ascii="Times New Roman" w:hAnsi="Times New Roman"/>
                <w:sz w:val="18"/>
                <w:szCs w:val="18"/>
              </w:rPr>
            </w:pPr>
            <w:r w:rsidRPr="00364545">
              <w:rPr>
                <w:sz w:val="18"/>
              </w:rPr>
              <w:t>774,04</w:t>
            </w:r>
          </w:p>
        </w:tc>
        <w:tc>
          <w:tcPr>
            <w:tcW w:w="992" w:type="dxa"/>
            <w:tcBorders>
              <w:top w:val="nil"/>
              <w:left w:val="nil"/>
              <w:bottom w:val="single" w:sz="4" w:space="0" w:color="auto"/>
              <w:right w:val="single" w:sz="4" w:space="0" w:color="auto"/>
            </w:tcBorders>
            <w:shd w:val="clear" w:color="000000" w:fill="CCFFFF"/>
            <w:noWrap/>
            <w:vAlign w:val="bottom"/>
            <w:hideMark/>
          </w:tcPr>
          <w:p w14:paraId="707288A3" w14:textId="77777777" w:rsidR="00B56301" w:rsidRPr="00364545" w:rsidRDefault="00B56301" w:rsidP="00B37B65">
            <w:pPr>
              <w:jc w:val="right"/>
              <w:rPr>
                <w:rFonts w:ascii="Times New Roman" w:hAnsi="Times New Roman"/>
                <w:sz w:val="18"/>
                <w:szCs w:val="18"/>
              </w:rPr>
            </w:pPr>
            <w:r w:rsidRPr="00364545">
              <w:rPr>
                <w:sz w:val="18"/>
              </w:rPr>
              <w:t>790,35</w:t>
            </w:r>
          </w:p>
        </w:tc>
      </w:tr>
      <w:tr w:rsidR="00B56301" w:rsidRPr="00364545" w14:paraId="73CAC19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404D4F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CF</w:t>
            </w:r>
            <w:r w:rsidRPr="00364545">
              <w:rPr>
                <w:rFonts w:ascii="Times New Roman" w:hAnsi="Times New Roman"/>
                <w:sz w:val="20"/>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586AEA43" w14:textId="77777777" w:rsidR="00B56301" w:rsidRPr="00364545" w:rsidRDefault="00B56301" w:rsidP="00B37B65">
            <w:pPr>
              <w:jc w:val="right"/>
              <w:rPr>
                <w:rFonts w:ascii="Times New Roman" w:hAnsi="Times New Roman"/>
                <w:sz w:val="18"/>
                <w:szCs w:val="18"/>
              </w:rPr>
            </w:pPr>
            <w:r w:rsidRPr="00364545">
              <w:rPr>
                <w:sz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18A9E0B6"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481E6DD3"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52680AF9"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7C79CBB1"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67885250" w14:textId="77777777" w:rsidR="00B56301" w:rsidRPr="00364545" w:rsidRDefault="00B56301" w:rsidP="00B37B65">
            <w:pPr>
              <w:jc w:val="right"/>
              <w:rPr>
                <w:rFonts w:ascii="Times New Roman" w:hAnsi="Times New Roman"/>
                <w:sz w:val="18"/>
                <w:szCs w:val="18"/>
              </w:rPr>
            </w:pPr>
            <w:r w:rsidRPr="00364545">
              <w:rPr>
                <w:sz w:val="18"/>
              </w:rPr>
              <w:t>0,02</w:t>
            </w:r>
          </w:p>
        </w:tc>
      </w:tr>
      <w:tr w:rsidR="00B56301" w:rsidRPr="00364545" w14:paraId="19390E2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470D73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2</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37FCC5BA"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773A3042"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E5A3CF4"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6E1228D"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75F740C1"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97C1B89" w14:textId="77777777" w:rsidR="00B56301" w:rsidRPr="00364545" w:rsidRDefault="00B56301" w:rsidP="00B37B65">
            <w:pPr>
              <w:jc w:val="right"/>
              <w:rPr>
                <w:rFonts w:ascii="Times New Roman" w:hAnsi="Times New Roman"/>
                <w:sz w:val="18"/>
                <w:szCs w:val="18"/>
              </w:rPr>
            </w:pPr>
            <w:r w:rsidRPr="00364545">
              <w:rPr>
                <w:sz w:val="18"/>
              </w:rPr>
              <w:t>0,01</w:t>
            </w:r>
          </w:p>
        </w:tc>
      </w:tr>
      <w:tr w:rsidR="00B56301" w:rsidRPr="00364545" w14:paraId="12A15BB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CE05DD6"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067C9DA8"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5B8F15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310C45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5484C8A"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1AD204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9BCFF77"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439CBD0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349348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3A711B33"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02D4C8B"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4DE423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DA024E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3B3BC34"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1480963"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2551B8F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F0DB4B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7BDB256C"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137A921"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F602B6E"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76F0FFF"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AC59F59"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A7F00E1"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610E5B1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B32A86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5</w:t>
            </w:r>
            <w:r w:rsidRPr="00364545">
              <w:rPr>
                <w:rFonts w:ascii="Times New Roman" w:hAnsi="Times New Roman"/>
                <w:sz w:val="20"/>
              </w:rPr>
              <w:t>F</w:t>
            </w:r>
            <w:r w:rsidRPr="00364545">
              <w:rPr>
                <w:rFonts w:ascii="Times New Roman" w:hAnsi="Times New Roman"/>
                <w:sz w:val="20"/>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7173B090"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E497E24"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47938C4"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983A3A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A290498"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2A22265"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7D49378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EC9C93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6</w:t>
            </w:r>
            <w:r w:rsidRPr="00364545">
              <w:rPr>
                <w:rFonts w:ascii="Times New Roman" w:hAnsi="Times New Roman"/>
                <w:sz w:val="20"/>
              </w:rPr>
              <w:t>F</w:t>
            </w:r>
            <w:r w:rsidRPr="00364545">
              <w:rPr>
                <w:rFonts w:ascii="Times New Roman" w:hAnsi="Times New Roman"/>
                <w:sz w:val="20"/>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1E3820F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A5648C6"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B32BCFC"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488B5FC"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BBA655A"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8CF219C"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6807F90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CE36E42"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10</w:t>
            </w:r>
            <w:r w:rsidRPr="00364545">
              <w:rPr>
                <w:rFonts w:ascii="Times New Roman" w:hAnsi="Times New Roman"/>
                <w:sz w:val="20"/>
              </w:rPr>
              <w:t>F</w:t>
            </w:r>
            <w:r w:rsidRPr="00364545">
              <w:rPr>
                <w:rFonts w:ascii="Times New Roman" w:hAnsi="Times New Roman"/>
                <w:sz w:val="20"/>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3C09D9E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0F868F9"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4E0094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1D19795"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0B0E2FB"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D008556"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59521A7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4E951A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55EDE116"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1E0E109"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B25DA27"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62EF9B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32F8CE5"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23D00BC"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79506BA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DCD3B57" w14:textId="75B495E1"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PFCs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056A4DBA" w14:textId="77777777" w:rsidR="00B56301" w:rsidRPr="00364545" w:rsidRDefault="00B56301" w:rsidP="00B37B65">
            <w:pPr>
              <w:jc w:val="right"/>
              <w:rPr>
                <w:rFonts w:ascii="Times New Roman" w:hAnsi="Times New Roman"/>
                <w:sz w:val="18"/>
                <w:szCs w:val="18"/>
              </w:rPr>
            </w:pPr>
            <w:r w:rsidRPr="00364545">
              <w:rPr>
                <w:sz w:val="18"/>
              </w:rPr>
              <w:t>295,44</w:t>
            </w:r>
          </w:p>
        </w:tc>
        <w:tc>
          <w:tcPr>
            <w:tcW w:w="992" w:type="dxa"/>
            <w:tcBorders>
              <w:top w:val="nil"/>
              <w:left w:val="nil"/>
              <w:bottom w:val="single" w:sz="4" w:space="0" w:color="auto"/>
              <w:right w:val="single" w:sz="4" w:space="0" w:color="auto"/>
            </w:tcBorders>
            <w:shd w:val="clear" w:color="000000" w:fill="FFFFFF"/>
            <w:noWrap/>
            <w:vAlign w:val="bottom"/>
            <w:hideMark/>
          </w:tcPr>
          <w:p w14:paraId="5A34993B" w14:textId="77777777" w:rsidR="00B56301" w:rsidRPr="00364545" w:rsidRDefault="00B56301" w:rsidP="00B37B65">
            <w:pPr>
              <w:jc w:val="right"/>
              <w:rPr>
                <w:rFonts w:ascii="Times New Roman" w:hAnsi="Times New Roman"/>
                <w:sz w:val="18"/>
                <w:szCs w:val="18"/>
              </w:rPr>
            </w:pPr>
            <w:r w:rsidRPr="00364545">
              <w:rPr>
                <w:sz w:val="18"/>
              </w:rPr>
              <w:t>329,12</w:t>
            </w:r>
          </w:p>
        </w:tc>
        <w:tc>
          <w:tcPr>
            <w:tcW w:w="992" w:type="dxa"/>
            <w:tcBorders>
              <w:top w:val="nil"/>
              <w:left w:val="nil"/>
              <w:bottom w:val="single" w:sz="4" w:space="0" w:color="auto"/>
              <w:right w:val="single" w:sz="4" w:space="0" w:color="auto"/>
            </w:tcBorders>
            <w:shd w:val="clear" w:color="000000" w:fill="FFFFFF"/>
            <w:noWrap/>
            <w:vAlign w:val="bottom"/>
            <w:hideMark/>
          </w:tcPr>
          <w:p w14:paraId="2EE76345" w14:textId="77777777" w:rsidR="00B56301" w:rsidRPr="00364545" w:rsidRDefault="00B56301" w:rsidP="00B37B65">
            <w:pPr>
              <w:jc w:val="right"/>
              <w:rPr>
                <w:rFonts w:ascii="Times New Roman" w:hAnsi="Times New Roman"/>
                <w:sz w:val="18"/>
                <w:szCs w:val="18"/>
              </w:rPr>
            </w:pPr>
            <w:r w:rsidRPr="00364545">
              <w:rPr>
                <w:sz w:val="18"/>
              </w:rPr>
              <w:t>338,40</w:t>
            </w:r>
          </w:p>
        </w:tc>
        <w:tc>
          <w:tcPr>
            <w:tcW w:w="992" w:type="dxa"/>
            <w:tcBorders>
              <w:top w:val="nil"/>
              <w:left w:val="nil"/>
              <w:bottom w:val="single" w:sz="4" w:space="0" w:color="auto"/>
              <w:right w:val="single" w:sz="4" w:space="0" w:color="auto"/>
            </w:tcBorders>
            <w:shd w:val="clear" w:color="000000" w:fill="FFFFFF"/>
            <w:noWrap/>
            <w:vAlign w:val="bottom"/>
            <w:hideMark/>
          </w:tcPr>
          <w:p w14:paraId="7DD82B0D" w14:textId="77777777" w:rsidR="00B56301" w:rsidRPr="00364545" w:rsidRDefault="00B56301" w:rsidP="00B37B65">
            <w:pPr>
              <w:jc w:val="right"/>
              <w:rPr>
                <w:rFonts w:ascii="Times New Roman" w:hAnsi="Times New Roman"/>
                <w:sz w:val="18"/>
                <w:szCs w:val="18"/>
              </w:rPr>
            </w:pPr>
            <w:r w:rsidRPr="00364545">
              <w:rPr>
                <w:sz w:val="18"/>
              </w:rPr>
              <w:t>380,92</w:t>
            </w:r>
          </w:p>
        </w:tc>
        <w:tc>
          <w:tcPr>
            <w:tcW w:w="992" w:type="dxa"/>
            <w:tcBorders>
              <w:top w:val="nil"/>
              <w:left w:val="nil"/>
              <w:bottom w:val="single" w:sz="4" w:space="0" w:color="auto"/>
              <w:right w:val="single" w:sz="4" w:space="0" w:color="auto"/>
            </w:tcBorders>
            <w:shd w:val="clear" w:color="000000" w:fill="FFFFFF"/>
            <w:noWrap/>
            <w:vAlign w:val="bottom"/>
            <w:hideMark/>
          </w:tcPr>
          <w:p w14:paraId="68F87B85" w14:textId="77777777" w:rsidR="00B56301" w:rsidRPr="00364545" w:rsidRDefault="00B56301" w:rsidP="00B37B65">
            <w:pPr>
              <w:jc w:val="right"/>
              <w:rPr>
                <w:rFonts w:ascii="Times New Roman" w:hAnsi="Times New Roman"/>
                <w:sz w:val="18"/>
                <w:szCs w:val="18"/>
              </w:rPr>
            </w:pPr>
            <w:r w:rsidRPr="00364545">
              <w:rPr>
                <w:sz w:val="18"/>
              </w:rPr>
              <w:t>477,10</w:t>
            </w:r>
          </w:p>
        </w:tc>
        <w:tc>
          <w:tcPr>
            <w:tcW w:w="992" w:type="dxa"/>
            <w:tcBorders>
              <w:top w:val="nil"/>
              <w:left w:val="nil"/>
              <w:bottom w:val="single" w:sz="4" w:space="0" w:color="auto"/>
              <w:right w:val="single" w:sz="4" w:space="0" w:color="auto"/>
            </w:tcBorders>
            <w:shd w:val="clear" w:color="000000" w:fill="FFFFFF"/>
            <w:noWrap/>
            <w:vAlign w:val="bottom"/>
            <w:hideMark/>
          </w:tcPr>
          <w:p w14:paraId="1FA78971" w14:textId="77777777" w:rsidR="00B56301" w:rsidRPr="00364545" w:rsidRDefault="00B56301" w:rsidP="00B37B65">
            <w:pPr>
              <w:jc w:val="right"/>
              <w:rPr>
                <w:rFonts w:ascii="Times New Roman" w:hAnsi="Times New Roman"/>
                <w:sz w:val="18"/>
                <w:szCs w:val="18"/>
              </w:rPr>
            </w:pPr>
            <w:r w:rsidRPr="00364545">
              <w:rPr>
                <w:sz w:val="18"/>
              </w:rPr>
              <w:t>529,74</w:t>
            </w:r>
          </w:p>
        </w:tc>
      </w:tr>
      <w:tr w:rsidR="00B56301" w:rsidRPr="00364545" w14:paraId="1EF1C73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D3E909B" w14:textId="2AEFA055"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Unspecified mix of HFCs and PFCs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043E40E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34DD44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BD4D41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ED9A10A"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2E03F44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8BFBE3B"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53F421E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3C750E8E" w14:textId="51FDC8A5"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t>SF</w:t>
            </w:r>
            <w:r w:rsidRPr="00364545">
              <w:rPr>
                <w:vertAlign w:val="subscript"/>
              </w:rPr>
              <w:t>6</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71BC3B8B" w14:textId="77777777" w:rsidR="00B56301" w:rsidRPr="00364545" w:rsidRDefault="00B56301" w:rsidP="00B37B65">
            <w:pPr>
              <w:jc w:val="right"/>
              <w:rPr>
                <w:rFonts w:ascii="Times New Roman" w:hAnsi="Times New Roman"/>
                <w:sz w:val="18"/>
                <w:szCs w:val="18"/>
              </w:rPr>
            </w:pPr>
            <w:r w:rsidRPr="00364545">
              <w:rPr>
                <w:sz w:val="18"/>
              </w:rPr>
              <w:t>1149,05</w:t>
            </w:r>
          </w:p>
        </w:tc>
        <w:tc>
          <w:tcPr>
            <w:tcW w:w="992" w:type="dxa"/>
            <w:tcBorders>
              <w:top w:val="nil"/>
              <w:left w:val="nil"/>
              <w:bottom w:val="single" w:sz="4" w:space="0" w:color="auto"/>
              <w:right w:val="single" w:sz="4" w:space="0" w:color="auto"/>
            </w:tcBorders>
            <w:shd w:val="clear" w:color="000000" w:fill="CCFFFF"/>
            <w:noWrap/>
            <w:vAlign w:val="bottom"/>
            <w:hideMark/>
          </w:tcPr>
          <w:p w14:paraId="5D453B28" w14:textId="77777777" w:rsidR="00B56301" w:rsidRPr="00364545" w:rsidRDefault="00B56301" w:rsidP="00B37B65">
            <w:pPr>
              <w:jc w:val="right"/>
              <w:rPr>
                <w:rFonts w:ascii="Times New Roman" w:hAnsi="Times New Roman"/>
                <w:sz w:val="18"/>
                <w:szCs w:val="18"/>
              </w:rPr>
            </w:pPr>
            <w:r w:rsidRPr="00364545">
              <w:rPr>
                <w:sz w:val="18"/>
              </w:rPr>
              <w:t>1136,14</w:t>
            </w:r>
          </w:p>
        </w:tc>
        <w:tc>
          <w:tcPr>
            <w:tcW w:w="992" w:type="dxa"/>
            <w:tcBorders>
              <w:top w:val="nil"/>
              <w:left w:val="nil"/>
              <w:bottom w:val="single" w:sz="4" w:space="0" w:color="auto"/>
              <w:right w:val="single" w:sz="4" w:space="0" w:color="auto"/>
            </w:tcBorders>
            <w:shd w:val="clear" w:color="000000" w:fill="CCFFFF"/>
            <w:noWrap/>
            <w:vAlign w:val="bottom"/>
            <w:hideMark/>
          </w:tcPr>
          <w:p w14:paraId="43FB4A84" w14:textId="77777777" w:rsidR="00B56301" w:rsidRPr="00364545" w:rsidRDefault="00B56301" w:rsidP="00B37B65">
            <w:pPr>
              <w:jc w:val="right"/>
              <w:rPr>
                <w:rFonts w:ascii="Times New Roman" w:hAnsi="Times New Roman"/>
                <w:sz w:val="18"/>
                <w:szCs w:val="18"/>
              </w:rPr>
            </w:pPr>
            <w:r w:rsidRPr="00364545">
              <w:rPr>
                <w:sz w:val="18"/>
              </w:rPr>
              <w:t>951,45</w:t>
            </w:r>
          </w:p>
        </w:tc>
        <w:tc>
          <w:tcPr>
            <w:tcW w:w="992" w:type="dxa"/>
            <w:tcBorders>
              <w:top w:val="nil"/>
              <w:left w:val="nil"/>
              <w:bottom w:val="single" w:sz="4" w:space="0" w:color="auto"/>
              <w:right w:val="single" w:sz="4" w:space="0" w:color="auto"/>
            </w:tcBorders>
            <w:shd w:val="clear" w:color="000000" w:fill="CCFFFF"/>
            <w:noWrap/>
            <w:vAlign w:val="bottom"/>
            <w:hideMark/>
          </w:tcPr>
          <w:p w14:paraId="1A6693C1" w14:textId="77777777" w:rsidR="00B56301" w:rsidRPr="00364545" w:rsidRDefault="00B56301" w:rsidP="00B37B65">
            <w:pPr>
              <w:jc w:val="right"/>
              <w:rPr>
                <w:rFonts w:ascii="Times New Roman" w:hAnsi="Times New Roman"/>
                <w:sz w:val="18"/>
                <w:szCs w:val="18"/>
              </w:rPr>
            </w:pPr>
            <w:r w:rsidRPr="00364545">
              <w:rPr>
                <w:sz w:val="18"/>
              </w:rPr>
              <w:t>875,10</w:t>
            </w:r>
          </w:p>
        </w:tc>
        <w:tc>
          <w:tcPr>
            <w:tcW w:w="992" w:type="dxa"/>
            <w:tcBorders>
              <w:top w:val="nil"/>
              <w:left w:val="nil"/>
              <w:bottom w:val="single" w:sz="4" w:space="0" w:color="auto"/>
              <w:right w:val="single" w:sz="4" w:space="0" w:color="auto"/>
            </w:tcBorders>
            <w:shd w:val="clear" w:color="000000" w:fill="CCFFFF"/>
            <w:noWrap/>
            <w:vAlign w:val="bottom"/>
            <w:hideMark/>
          </w:tcPr>
          <w:p w14:paraId="6C3F18DF" w14:textId="77777777" w:rsidR="00B56301" w:rsidRPr="00364545" w:rsidRDefault="00B56301" w:rsidP="00B37B65">
            <w:pPr>
              <w:jc w:val="right"/>
              <w:rPr>
                <w:rFonts w:ascii="Times New Roman" w:hAnsi="Times New Roman"/>
                <w:sz w:val="18"/>
                <w:szCs w:val="18"/>
              </w:rPr>
            </w:pPr>
            <w:r w:rsidRPr="00364545">
              <w:rPr>
                <w:sz w:val="18"/>
              </w:rPr>
              <w:t>650,96</w:t>
            </w:r>
          </w:p>
        </w:tc>
        <w:tc>
          <w:tcPr>
            <w:tcW w:w="992" w:type="dxa"/>
            <w:tcBorders>
              <w:top w:val="nil"/>
              <w:left w:val="nil"/>
              <w:bottom w:val="single" w:sz="4" w:space="0" w:color="auto"/>
              <w:right w:val="single" w:sz="4" w:space="0" w:color="auto"/>
            </w:tcBorders>
            <w:shd w:val="clear" w:color="000000" w:fill="CCFFFF"/>
            <w:noWrap/>
            <w:vAlign w:val="bottom"/>
            <w:hideMark/>
          </w:tcPr>
          <w:p w14:paraId="4BAA00F9" w14:textId="77777777" w:rsidR="00B56301" w:rsidRPr="00364545" w:rsidRDefault="00B56301" w:rsidP="00B37B65">
            <w:pPr>
              <w:jc w:val="right"/>
              <w:rPr>
                <w:rFonts w:ascii="Times New Roman" w:hAnsi="Times New Roman"/>
                <w:sz w:val="18"/>
                <w:szCs w:val="18"/>
              </w:rPr>
            </w:pPr>
            <w:r w:rsidRPr="00364545">
              <w:rPr>
                <w:sz w:val="18"/>
              </w:rPr>
              <w:t>655,26</w:t>
            </w:r>
          </w:p>
        </w:tc>
      </w:tr>
      <w:tr w:rsidR="00B56301" w:rsidRPr="00364545" w14:paraId="7E10F4DC" w14:textId="77777777" w:rsidTr="00B37B65">
        <w:trPr>
          <w:trHeight w:val="68"/>
          <w:jc w:val="center"/>
        </w:trPr>
        <w:tc>
          <w:tcPr>
            <w:tcW w:w="3795" w:type="dxa"/>
            <w:tcBorders>
              <w:top w:val="single" w:sz="4" w:space="0" w:color="auto"/>
              <w:left w:val="single" w:sz="4" w:space="0" w:color="auto"/>
              <w:bottom w:val="nil"/>
              <w:right w:val="single" w:sz="4" w:space="0" w:color="auto"/>
            </w:tcBorders>
            <w:shd w:val="clear" w:color="000000" w:fill="CCFFFF"/>
            <w:vAlign w:val="center"/>
            <w:hideMark/>
          </w:tcPr>
          <w:p w14:paraId="57C585C4" w14:textId="5B5920A8" w:rsidR="00B56301" w:rsidRPr="00364545" w:rsidRDefault="007F09F7" w:rsidP="00B37B65">
            <w:pPr>
              <w:jc w:val="left"/>
              <w:rPr>
                <w:rFonts w:ascii="Times New Roman" w:hAnsi="Times New Roman"/>
                <w:sz w:val="20"/>
                <w:szCs w:val="18"/>
              </w:rPr>
            </w:pPr>
            <w:r w:rsidRPr="00364545">
              <w:t>SF</w:t>
            </w:r>
            <w:r w:rsidRPr="00364545">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4FA98ACA" w14:textId="77777777" w:rsidR="00B56301" w:rsidRPr="00364545" w:rsidRDefault="00B56301" w:rsidP="00B37B65">
            <w:pPr>
              <w:jc w:val="right"/>
              <w:rPr>
                <w:rFonts w:ascii="Times New Roman" w:hAnsi="Times New Roman"/>
                <w:sz w:val="18"/>
                <w:szCs w:val="18"/>
              </w:rPr>
            </w:pPr>
            <w:r w:rsidRPr="00364545">
              <w:rPr>
                <w:sz w:val="18"/>
              </w:rPr>
              <w:t>0,05</w:t>
            </w:r>
          </w:p>
        </w:tc>
        <w:tc>
          <w:tcPr>
            <w:tcW w:w="992" w:type="dxa"/>
            <w:tcBorders>
              <w:top w:val="nil"/>
              <w:left w:val="nil"/>
              <w:bottom w:val="single" w:sz="4" w:space="0" w:color="auto"/>
              <w:right w:val="single" w:sz="4" w:space="0" w:color="auto"/>
            </w:tcBorders>
            <w:shd w:val="clear" w:color="000000" w:fill="FFFFFF"/>
            <w:noWrap/>
            <w:vAlign w:val="bottom"/>
            <w:hideMark/>
          </w:tcPr>
          <w:p w14:paraId="363E5860" w14:textId="77777777" w:rsidR="00B56301" w:rsidRPr="00364545" w:rsidRDefault="00B56301" w:rsidP="00B37B65">
            <w:pPr>
              <w:jc w:val="right"/>
              <w:rPr>
                <w:rFonts w:ascii="Times New Roman" w:hAnsi="Times New Roman"/>
                <w:sz w:val="18"/>
                <w:szCs w:val="18"/>
              </w:rPr>
            </w:pPr>
            <w:r w:rsidRPr="00364545">
              <w:rPr>
                <w:sz w:val="18"/>
              </w:rPr>
              <w:t>0,05</w:t>
            </w:r>
          </w:p>
        </w:tc>
        <w:tc>
          <w:tcPr>
            <w:tcW w:w="992" w:type="dxa"/>
            <w:tcBorders>
              <w:top w:val="nil"/>
              <w:left w:val="nil"/>
              <w:bottom w:val="single" w:sz="4" w:space="0" w:color="auto"/>
              <w:right w:val="single" w:sz="4" w:space="0" w:color="auto"/>
            </w:tcBorders>
            <w:shd w:val="clear" w:color="000000" w:fill="FFFFFF"/>
            <w:noWrap/>
            <w:vAlign w:val="bottom"/>
            <w:hideMark/>
          </w:tcPr>
          <w:p w14:paraId="10D1316C"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4461A7D8"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7170D85E"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11297241" w14:textId="77777777" w:rsidR="00B56301" w:rsidRPr="00364545" w:rsidRDefault="00B56301" w:rsidP="00B37B65">
            <w:pPr>
              <w:jc w:val="right"/>
              <w:rPr>
                <w:rFonts w:ascii="Times New Roman" w:hAnsi="Times New Roman"/>
                <w:sz w:val="18"/>
                <w:szCs w:val="18"/>
              </w:rPr>
            </w:pPr>
            <w:r w:rsidRPr="00364545">
              <w:rPr>
                <w:sz w:val="18"/>
              </w:rPr>
              <w:t>0,03</w:t>
            </w:r>
          </w:p>
        </w:tc>
      </w:tr>
      <w:tr w:rsidR="00B56301" w:rsidRPr="00364545" w14:paraId="5EE3838E"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6B8EA689" w14:textId="4C11C4CD"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rPr>
                <w:sz w:val="18"/>
              </w:rPr>
              <w:t>NF</w:t>
            </w:r>
            <w:r w:rsidRPr="00364545">
              <w:rPr>
                <w:sz w:val="18"/>
                <w:vertAlign w:val="subscript"/>
              </w:rPr>
              <w:t>3</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5A97D778" w14:textId="77777777" w:rsidR="00B56301" w:rsidRPr="00364545" w:rsidRDefault="00B56301" w:rsidP="00B37B65">
            <w:pPr>
              <w:jc w:val="right"/>
              <w:rPr>
                <w:rFonts w:ascii="Times New Roman" w:hAnsi="Times New Roman"/>
                <w:sz w:val="18"/>
                <w:szCs w:val="18"/>
              </w:rPr>
            </w:pPr>
            <w:r w:rsidRPr="00364545">
              <w:rPr>
                <w:sz w:val="18"/>
              </w:rPr>
              <w:t>42,11</w:t>
            </w:r>
          </w:p>
        </w:tc>
        <w:tc>
          <w:tcPr>
            <w:tcW w:w="992" w:type="dxa"/>
            <w:tcBorders>
              <w:top w:val="nil"/>
              <w:left w:val="nil"/>
              <w:bottom w:val="single" w:sz="4" w:space="0" w:color="auto"/>
              <w:right w:val="single" w:sz="4" w:space="0" w:color="auto"/>
            </w:tcBorders>
            <w:shd w:val="clear" w:color="000000" w:fill="CCFFFF"/>
            <w:noWrap/>
            <w:vAlign w:val="bottom"/>
            <w:hideMark/>
          </w:tcPr>
          <w:p w14:paraId="0E32009F" w14:textId="77777777" w:rsidR="00B56301" w:rsidRPr="00364545" w:rsidRDefault="00B56301" w:rsidP="00B37B65">
            <w:pPr>
              <w:jc w:val="right"/>
              <w:rPr>
                <w:rFonts w:ascii="Times New Roman" w:hAnsi="Times New Roman"/>
                <w:sz w:val="18"/>
                <w:szCs w:val="18"/>
              </w:rPr>
            </w:pPr>
            <w:r w:rsidRPr="00364545">
              <w:rPr>
                <w:sz w:val="18"/>
              </w:rPr>
              <w:t>46,35</w:t>
            </w:r>
          </w:p>
        </w:tc>
        <w:tc>
          <w:tcPr>
            <w:tcW w:w="992" w:type="dxa"/>
            <w:tcBorders>
              <w:top w:val="nil"/>
              <w:left w:val="nil"/>
              <w:bottom w:val="single" w:sz="4" w:space="0" w:color="auto"/>
              <w:right w:val="single" w:sz="4" w:space="0" w:color="auto"/>
            </w:tcBorders>
            <w:shd w:val="clear" w:color="000000" w:fill="CCFFFF"/>
            <w:noWrap/>
            <w:vAlign w:val="bottom"/>
            <w:hideMark/>
          </w:tcPr>
          <w:p w14:paraId="2F4E8810" w14:textId="77777777" w:rsidR="00B56301" w:rsidRPr="00364545" w:rsidRDefault="00B56301" w:rsidP="00B37B65">
            <w:pPr>
              <w:jc w:val="right"/>
              <w:rPr>
                <w:rFonts w:ascii="Times New Roman" w:hAnsi="Times New Roman"/>
                <w:sz w:val="18"/>
                <w:szCs w:val="18"/>
              </w:rPr>
            </w:pPr>
            <w:r w:rsidRPr="00364545">
              <w:rPr>
                <w:sz w:val="18"/>
              </w:rPr>
              <w:t>24,96</w:t>
            </w:r>
          </w:p>
        </w:tc>
        <w:tc>
          <w:tcPr>
            <w:tcW w:w="992" w:type="dxa"/>
            <w:tcBorders>
              <w:top w:val="nil"/>
              <w:left w:val="nil"/>
              <w:bottom w:val="single" w:sz="4" w:space="0" w:color="auto"/>
              <w:right w:val="single" w:sz="4" w:space="0" w:color="auto"/>
            </w:tcBorders>
            <w:shd w:val="clear" w:color="000000" w:fill="CCFFFF"/>
            <w:noWrap/>
            <w:vAlign w:val="bottom"/>
            <w:hideMark/>
          </w:tcPr>
          <w:p w14:paraId="72C69F68" w14:textId="77777777" w:rsidR="00B56301" w:rsidRPr="00364545" w:rsidRDefault="00B56301" w:rsidP="00B37B65">
            <w:pPr>
              <w:jc w:val="right"/>
              <w:rPr>
                <w:rFonts w:ascii="Times New Roman" w:hAnsi="Times New Roman"/>
                <w:sz w:val="18"/>
                <w:szCs w:val="18"/>
              </w:rPr>
            </w:pPr>
            <w:r w:rsidRPr="00364545">
              <w:rPr>
                <w:sz w:val="18"/>
              </w:rPr>
              <w:t>32,13</w:t>
            </w:r>
          </w:p>
        </w:tc>
        <w:tc>
          <w:tcPr>
            <w:tcW w:w="992" w:type="dxa"/>
            <w:tcBorders>
              <w:top w:val="nil"/>
              <w:left w:val="nil"/>
              <w:bottom w:val="single" w:sz="4" w:space="0" w:color="auto"/>
              <w:right w:val="single" w:sz="4" w:space="0" w:color="auto"/>
            </w:tcBorders>
            <w:shd w:val="clear" w:color="000000" w:fill="CCFFFF"/>
            <w:noWrap/>
            <w:vAlign w:val="bottom"/>
            <w:hideMark/>
          </w:tcPr>
          <w:p w14:paraId="48DE5191" w14:textId="77777777" w:rsidR="00B56301" w:rsidRPr="00364545" w:rsidRDefault="00B56301" w:rsidP="00B37B65">
            <w:pPr>
              <w:jc w:val="right"/>
              <w:rPr>
                <w:rFonts w:ascii="Times New Roman" w:hAnsi="Times New Roman"/>
                <w:sz w:val="18"/>
                <w:szCs w:val="18"/>
              </w:rPr>
            </w:pPr>
            <w:r w:rsidRPr="00364545">
              <w:rPr>
                <w:sz w:val="18"/>
              </w:rPr>
              <w:t>31,36</w:t>
            </w:r>
          </w:p>
        </w:tc>
        <w:tc>
          <w:tcPr>
            <w:tcW w:w="992" w:type="dxa"/>
            <w:tcBorders>
              <w:top w:val="nil"/>
              <w:left w:val="nil"/>
              <w:bottom w:val="single" w:sz="4" w:space="0" w:color="auto"/>
              <w:right w:val="single" w:sz="4" w:space="0" w:color="auto"/>
            </w:tcBorders>
            <w:shd w:val="clear" w:color="000000" w:fill="CCFFFF"/>
            <w:noWrap/>
            <w:vAlign w:val="bottom"/>
            <w:hideMark/>
          </w:tcPr>
          <w:p w14:paraId="13EBFA06" w14:textId="77777777" w:rsidR="00B56301" w:rsidRPr="00364545" w:rsidRDefault="00B56301" w:rsidP="00B37B65">
            <w:pPr>
              <w:jc w:val="right"/>
              <w:rPr>
                <w:rFonts w:ascii="Times New Roman" w:hAnsi="Times New Roman"/>
                <w:sz w:val="18"/>
                <w:szCs w:val="18"/>
              </w:rPr>
            </w:pPr>
            <w:r w:rsidRPr="00364545">
              <w:rPr>
                <w:sz w:val="18"/>
              </w:rPr>
              <w:t>20,40</w:t>
            </w:r>
          </w:p>
        </w:tc>
      </w:tr>
      <w:tr w:rsidR="00B56301" w:rsidRPr="00364545" w14:paraId="1F11929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593AD472" w14:textId="75E8715A" w:rsidR="00B56301" w:rsidRPr="00364545" w:rsidRDefault="007F09F7" w:rsidP="00B37B65">
            <w:pPr>
              <w:jc w:val="left"/>
              <w:rPr>
                <w:rFonts w:ascii="Times New Roman" w:hAnsi="Times New Roman"/>
                <w:sz w:val="20"/>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40F50EE7"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4498691"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3BC2990"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4935EB1"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4A47CEC"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55954A9" w14:textId="77777777" w:rsidR="00B56301" w:rsidRPr="00364545" w:rsidRDefault="00B56301" w:rsidP="00B37B65">
            <w:pPr>
              <w:jc w:val="right"/>
              <w:rPr>
                <w:rFonts w:ascii="Times New Roman" w:hAnsi="Times New Roman"/>
                <w:sz w:val="18"/>
                <w:szCs w:val="18"/>
              </w:rPr>
            </w:pPr>
            <w:r w:rsidRPr="00364545">
              <w:rPr>
                <w:sz w:val="18"/>
              </w:rPr>
              <w:t>0,00</w:t>
            </w:r>
          </w:p>
        </w:tc>
      </w:tr>
    </w:tbl>
    <w:p w14:paraId="0031715E" w14:textId="77777777" w:rsidR="00B56301" w:rsidRPr="00364545" w:rsidRDefault="00B56301" w:rsidP="00B56301">
      <w:pPr>
        <w:spacing w:line="240" w:lineRule="atLeast"/>
        <w:jc w:val="left"/>
        <w:rPr>
          <w:rFonts w:cs="Arial"/>
        </w:rPr>
      </w:pPr>
      <w:r w:rsidRPr="00364545">
        <w:br w:type="page"/>
      </w:r>
    </w:p>
    <w:p w14:paraId="03D6D3B5" w14:textId="77777777" w:rsidR="00B56301" w:rsidRPr="00364545" w:rsidRDefault="00B56301" w:rsidP="00B56301">
      <w:pPr>
        <w:rPr>
          <w:rFonts w:cs="Arial"/>
        </w:rPr>
      </w:pPr>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364545" w14:paraId="696D879D" w14:textId="77777777" w:rsidTr="00B37B65">
        <w:trPr>
          <w:trHeight w:val="68"/>
          <w:jc w:val="center"/>
        </w:trPr>
        <w:tc>
          <w:tcPr>
            <w:tcW w:w="379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63846ED7" w14:textId="77777777" w:rsidR="00B56301" w:rsidRPr="00364545" w:rsidRDefault="00B56301" w:rsidP="00B37B65">
            <w:pPr>
              <w:jc w:val="center"/>
              <w:rPr>
                <w:rFonts w:ascii="Times New Roman" w:hAnsi="Times New Roman"/>
                <w:b/>
                <w:bCs/>
                <w:sz w:val="20"/>
                <w:szCs w:val="18"/>
              </w:rPr>
            </w:pPr>
            <w:r w:rsidRPr="00364545">
              <w:rPr>
                <w:rFonts w:ascii="Times New Roman" w:hAnsi="Times New Roman"/>
                <w:b/>
                <w:sz w:val="20"/>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A9D1D22"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873920C"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2014</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4B69106"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AE69C00"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2016</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BFB798E"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972EFFD"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2018</w:t>
            </w:r>
          </w:p>
        </w:tc>
      </w:tr>
      <w:tr w:rsidR="00B56301" w:rsidRPr="00364545" w14:paraId="229B400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29F86F8C" w14:textId="1007424D"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and PFCs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ADC1BB6" w14:textId="77777777" w:rsidR="00B56301" w:rsidRPr="00364545" w:rsidRDefault="00B56301" w:rsidP="00B37B65">
            <w:pPr>
              <w:jc w:val="right"/>
              <w:rPr>
                <w:rFonts w:ascii="Times New Roman" w:hAnsi="Times New Roman"/>
                <w:sz w:val="18"/>
                <w:szCs w:val="18"/>
              </w:rPr>
            </w:pPr>
            <w:r w:rsidRPr="00364545">
              <w:rPr>
                <w:sz w:val="18"/>
              </w:rPr>
              <w:t>18442,08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91FE465" w14:textId="77777777" w:rsidR="00B56301" w:rsidRPr="00364545" w:rsidRDefault="00B56301" w:rsidP="00B37B65">
            <w:pPr>
              <w:jc w:val="right"/>
              <w:rPr>
                <w:rFonts w:ascii="Times New Roman" w:hAnsi="Times New Roman"/>
                <w:sz w:val="18"/>
                <w:szCs w:val="18"/>
              </w:rPr>
            </w:pPr>
            <w:r w:rsidRPr="00364545">
              <w:rPr>
                <w:sz w:val="18"/>
              </w:rPr>
              <w:t>18277,64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789B0E9" w14:textId="77777777" w:rsidR="00B56301" w:rsidRPr="00364545" w:rsidRDefault="00B56301" w:rsidP="00B37B65">
            <w:pPr>
              <w:jc w:val="right"/>
              <w:rPr>
                <w:rFonts w:ascii="Times New Roman" w:hAnsi="Times New Roman"/>
                <w:sz w:val="18"/>
                <w:szCs w:val="18"/>
              </w:rPr>
            </w:pPr>
            <w:r w:rsidRPr="00364545">
              <w:rPr>
                <w:sz w:val="18"/>
              </w:rPr>
              <w:t>18030,87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854B9A8" w14:textId="77777777" w:rsidR="00B56301" w:rsidRPr="00364545" w:rsidRDefault="00B56301" w:rsidP="00B37B65">
            <w:pPr>
              <w:jc w:val="right"/>
              <w:rPr>
                <w:rFonts w:ascii="Times New Roman" w:hAnsi="Times New Roman"/>
                <w:sz w:val="18"/>
                <w:szCs w:val="18"/>
              </w:rPr>
            </w:pPr>
            <w:r w:rsidRPr="00364545">
              <w:rPr>
                <w:sz w:val="18"/>
              </w:rPr>
              <w:t>17871,18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56321CC" w14:textId="77777777" w:rsidR="00B56301" w:rsidRPr="00364545" w:rsidRDefault="00B56301" w:rsidP="00B37B65">
            <w:pPr>
              <w:jc w:val="right"/>
              <w:rPr>
                <w:rFonts w:ascii="Times New Roman" w:hAnsi="Times New Roman"/>
                <w:sz w:val="18"/>
                <w:szCs w:val="18"/>
              </w:rPr>
            </w:pPr>
            <w:r w:rsidRPr="00364545">
              <w:rPr>
                <w:sz w:val="18"/>
              </w:rPr>
              <w:t>17344,90</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71458B1" w14:textId="77777777" w:rsidR="00B56301" w:rsidRPr="00364545" w:rsidRDefault="00B56301" w:rsidP="00B37B65">
            <w:pPr>
              <w:jc w:val="right"/>
              <w:rPr>
                <w:rFonts w:ascii="Times New Roman" w:hAnsi="Times New Roman"/>
                <w:sz w:val="18"/>
                <w:szCs w:val="18"/>
              </w:rPr>
            </w:pPr>
            <w:r w:rsidRPr="00364545">
              <w:rPr>
                <w:sz w:val="18"/>
              </w:rPr>
              <w:t>15524,17</w:t>
            </w:r>
          </w:p>
        </w:tc>
      </w:tr>
      <w:tr w:rsidR="00B56301" w:rsidRPr="00364545" w14:paraId="307AAF33" w14:textId="77777777" w:rsidTr="00B37B65">
        <w:trPr>
          <w:trHeight w:val="68"/>
          <w:jc w:val="center"/>
        </w:trPr>
        <w:tc>
          <w:tcPr>
            <w:tcW w:w="3795" w:type="dxa"/>
            <w:tcBorders>
              <w:top w:val="nil"/>
              <w:left w:val="single" w:sz="4" w:space="0" w:color="auto"/>
              <w:bottom w:val="nil"/>
              <w:right w:val="single" w:sz="4" w:space="0" w:color="auto"/>
            </w:tcBorders>
            <w:shd w:val="clear" w:color="000000" w:fill="CCFFFF"/>
            <w:vAlign w:val="center"/>
            <w:hideMark/>
          </w:tcPr>
          <w:p w14:paraId="38F39865" w14:textId="01874E15"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742A2458" w14:textId="77777777" w:rsidR="00B56301" w:rsidRPr="00364545" w:rsidRDefault="00B56301" w:rsidP="00B37B65">
            <w:pPr>
              <w:jc w:val="right"/>
              <w:rPr>
                <w:rFonts w:ascii="Times New Roman" w:hAnsi="Times New Roman"/>
                <w:sz w:val="18"/>
                <w:szCs w:val="18"/>
              </w:rPr>
            </w:pPr>
            <w:r w:rsidRPr="00364545">
              <w:rPr>
                <w:sz w:val="18"/>
              </w:rPr>
              <w:t>17771,58</w:t>
            </w:r>
          </w:p>
        </w:tc>
        <w:tc>
          <w:tcPr>
            <w:tcW w:w="992" w:type="dxa"/>
            <w:tcBorders>
              <w:top w:val="nil"/>
              <w:left w:val="nil"/>
              <w:bottom w:val="single" w:sz="4" w:space="0" w:color="auto"/>
              <w:right w:val="single" w:sz="4" w:space="0" w:color="auto"/>
            </w:tcBorders>
            <w:shd w:val="clear" w:color="000000" w:fill="CCFFFF"/>
            <w:noWrap/>
            <w:vAlign w:val="bottom"/>
            <w:hideMark/>
          </w:tcPr>
          <w:p w14:paraId="0FC13304" w14:textId="77777777" w:rsidR="00B56301" w:rsidRPr="00364545" w:rsidRDefault="00B56301" w:rsidP="00B37B65">
            <w:pPr>
              <w:jc w:val="right"/>
              <w:rPr>
                <w:rFonts w:ascii="Times New Roman" w:hAnsi="Times New Roman"/>
                <w:sz w:val="18"/>
                <w:szCs w:val="18"/>
              </w:rPr>
            </w:pPr>
            <w:r w:rsidRPr="00364545">
              <w:rPr>
                <w:sz w:val="18"/>
              </w:rPr>
              <w:t>17661,76</w:t>
            </w:r>
          </w:p>
        </w:tc>
        <w:tc>
          <w:tcPr>
            <w:tcW w:w="992" w:type="dxa"/>
            <w:tcBorders>
              <w:top w:val="nil"/>
              <w:left w:val="nil"/>
              <w:bottom w:val="single" w:sz="4" w:space="0" w:color="auto"/>
              <w:right w:val="single" w:sz="4" w:space="0" w:color="auto"/>
            </w:tcBorders>
            <w:shd w:val="clear" w:color="000000" w:fill="CCFFFF"/>
            <w:noWrap/>
            <w:vAlign w:val="bottom"/>
            <w:hideMark/>
          </w:tcPr>
          <w:p w14:paraId="01CEDB6D" w14:textId="77777777" w:rsidR="00B56301" w:rsidRPr="00364545" w:rsidRDefault="00B56301" w:rsidP="00B37B65">
            <w:pPr>
              <w:jc w:val="right"/>
              <w:rPr>
                <w:rFonts w:ascii="Times New Roman" w:hAnsi="Times New Roman"/>
                <w:sz w:val="18"/>
                <w:szCs w:val="18"/>
              </w:rPr>
            </w:pPr>
            <w:r w:rsidRPr="00364545">
              <w:rPr>
                <w:sz w:val="18"/>
              </w:rPr>
              <w:t>17494,30</w:t>
            </w:r>
          </w:p>
        </w:tc>
        <w:tc>
          <w:tcPr>
            <w:tcW w:w="992" w:type="dxa"/>
            <w:tcBorders>
              <w:top w:val="nil"/>
              <w:left w:val="nil"/>
              <w:bottom w:val="single" w:sz="4" w:space="0" w:color="auto"/>
              <w:right w:val="single" w:sz="4" w:space="0" w:color="auto"/>
            </w:tcBorders>
            <w:shd w:val="clear" w:color="000000" w:fill="CCFFFF"/>
            <w:noWrap/>
            <w:vAlign w:val="bottom"/>
            <w:hideMark/>
          </w:tcPr>
          <w:p w14:paraId="77C49632" w14:textId="77777777" w:rsidR="00B56301" w:rsidRPr="00364545" w:rsidRDefault="00B56301" w:rsidP="00B37B65">
            <w:pPr>
              <w:jc w:val="right"/>
              <w:rPr>
                <w:rFonts w:ascii="Times New Roman" w:hAnsi="Times New Roman"/>
                <w:sz w:val="18"/>
                <w:szCs w:val="18"/>
              </w:rPr>
            </w:pPr>
            <w:r w:rsidRPr="00364545">
              <w:rPr>
                <w:sz w:val="18"/>
              </w:rPr>
              <w:t>17205,17</w:t>
            </w:r>
          </w:p>
        </w:tc>
        <w:tc>
          <w:tcPr>
            <w:tcW w:w="992" w:type="dxa"/>
            <w:tcBorders>
              <w:top w:val="nil"/>
              <w:left w:val="nil"/>
              <w:bottom w:val="single" w:sz="4" w:space="0" w:color="auto"/>
              <w:right w:val="single" w:sz="4" w:space="0" w:color="auto"/>
            </w:tcBorders>
            <w:shd w:val="clear" w:color="000000" w:fill="CCFFFF"/>
            <w:noWrap/>
            <w:vAlign w:val="bottom"/>
            <w:hideMark/>
          </w:tcPr>
          <w:p w14:paraId="4BC305CF" w14:textId="77777777" w:rsidR="00B56301" w:rsidRPr="00364545" w:rsidRDefault="00B56301" w:rsidP="00B37B65">
            <w:pPr>
              <w:jc w:val="right"/>
              <w:rPr>
                <w:rFonts w:ascii="Times New Roman" w:hAnsi="Times New Roman"/>
                <w:sz w:val="18"/>
                <w:szCs w:val="18"/>
              </w:rPr>
            </w:pPr>
            <w:r w:rsidRPr="00364545">
              <w:rPr>
                <w:sz w:val="18"/>
              </w:rPr>
              <w:t>16637,22</w:t>
            </w:r>
          </w:p>
        </w:tc>
        <w:tc>
          <w:tcPr>
            <w:tcW w:w="992" w:type="dxa"/>
            <w:tcBorders>
              <w:top w:val="nil"/>
              <w:left w:val="nil"/>
              <w:bottom w:val="single" w:sz="4" w:space="0" w:color="auto"/>
              <w:right w:val="single" w:sz="4" w:space="0" w:color="auto"/>
            </w:tcBorders>
            <w:shd w:val="clear" w:color="000000" w:fill="CCFFFF"/>
            <w:noWrap/>
            <w:vAlign w:val="bottom"/>
            <w:hideMark/>
          </w:tcPr>
          <w:p w14:paraId="13C2BA88" w14:textId="77777777" w:rsidR="00B56301" w:rsidRPr="00364545" w:rsidRDefault="00B56301" w:rsidP="00B37B65">
            <w:pPr>
              <w:jc w:val="right"/>
              <w:rPr>
                <w:rFonts w:ascii="Times New Roman" w:hAnsi="Times New Roman"/>
                <w:sz w:val="18"/>
                <w:szCs w:val="18"/>
              </w:rPr>
            </w:pPr>
            <w:r w:rsidRPr="00364545">
              <w:rPr>
                <w:sz w:val="18"/>
              </w:rPr>
              <w:t>14847,44</w:t>
            </w:r>
          </w:p>
        </w:tc>
      </w:tr>
      <w:tr w:rsidR="00B56301" w:rsidRPr="00364545" w14:paraId="5AD60C1D"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hideMark/>
          </w:tcPr>
          <w:p w14:paraId="6DA00F6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307C582F"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D4FD486"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A98DD29"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5696EDA"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8CE4576"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5C4B9668" w14:textId="77777777" w:rsidR="00B56301" w:rsidRPr="00364545" w:rsidRDefault="00B56301" w:rsidP="00B37B65">
            <w:pPr>
              <w:jc w:val="right"/>
              <w:rPr>
                <w:rFonts w:ascii="Times New Roman" w:hAnsi="Times New Roman"/>
                <w:sz w:val="18"/>
                <w:szCs w:val="18"/>
              </w:rPr>
            </w:pPr>
            <w:r w:rsidRPr="00364545">
              <w:rPr>
                <w:sz w:val="18"/>
              </w:rPr>
              <w:t>0,01</w:t>
            </w:r>
          </w:p>
        </w:tc>
      </w:tr>
      <w:tr w:rsidR="00B56301" w:rsidRPr="00364545" w14:paraId="280BB52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09BA9CC"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4ECDDB37" w14:textId="77777777" w:rsidR="00B56301" w:rsidRPr="00364545" w:rsidRDefault="00B56301" w:rsidP="00B37B65">
            <w:pPr>
              <w:jc w:val="right"/>
              <w:rPr>
                <w:rFonts w:ascii="Times New Roman" w:hAnsi="Times New Roman"/>
                <w:sz w:val="18"/>
                <w:szCs w:val="18"/>
              </w:rPr>
            </w:pPr>
            <w:r w:rsidRPr="00364545">
              <w:rPr>
                <w:sz w:val="18"/>
              </w:rPr>
              <w:t>0,48</w:t>
            </w:r>
          </w:p>
        </w:tc>
        <w:tc>
          <w:tcPr>
            <w:tcW w:w="992" w:type="dxa"/>
            <w:tcBorders>
              <w:top w:val="nil"/>
              <w:left w:val="nil"/>
              <w:bottom w:val="single" w:sz="4" w:space="0" w:color="auto"/>
              <w:right w:val="single" w:sz="4" w:space="0" w:color="auto"/>
            </w:tcBorders>
            <w:shd w:val="clear" w:color="000000" w:fill="FFFFFF"/>
            <w:noWrap/>
            <w:vAlign w:val="bottom"/>
            <w:hideMark/>
          </w:tcPr>
          <w:p w14:paraId="4A5F9A3B" w14:textId="77777777" w:rsidR="00B56301" w:rsidRPr="00364545" w:rsidRDefault="00B56301" w:rsidP="00B37B65">
            <w:pPr>
              <w:jc w:val="right"/>
              <w:rPr>
                <w:rFonts w:ascii="Times New Roman" w:hAnsi="Times New Roman"/>
                <w:sz w:val="18"/>
                <w:szCs w:val="18"/>
              </w:rPr>
            </w:pPr>
            <w:r w:rsidRPr="00364545">
              <w:rPr>
                <w:sz w:val="18"/>
              </w:rPr>
              <w:t>0,52</w:t>
            </w:r>
          </w:p>
        </w:tc>
        <w:tc>
          <w:tcPr>
            <w:tcW w:w="992" w:type="dxa"/>
            <w:tcBorders>
              <w:top w:val="nil"/>
              <w:left w:val="nil"/>
              <w:bottom w:val="single" w:sz="4" w:space="0" w:color="auto"/>
              <w:right w:val="single" w:sz="4" w:space="0" w:color="auto"/>
            </w:tcBorders>
            <w:shd w:val="clear" w:color="000000" w:fill="FFFFFF"/>
            <w:noWrap/>
            <w:vAlign w:val="bottom"/>
            <w:hideMark/>
          </w:tcPr>
          <w:p w14:paraId="50ACADB0" w14:textId="77777777" w:rsidR="00B56301" w:rsidRPr="00364545" w:rsidRDefault="00B56301" w:rsidP="00B37B65">
            <w:pPr>
              <w:jc w:val="right"/>
              <w:rPr>
                <w:rFonts w:ascii="Times New Roman" w:hAnsi="Times New Roman"/>
                <w:sz w:val="18"/>
                <w:szCs w:val="18"/>
              </w:rPr>
            </w:pPr>
            <w:r w:rsidRPr="00364545">
              <w:rPr>
                <w:sz w:val="18"/>
              </w:rPr>
              <w:t>0,57</w:t>
            </w:r>
          </w:p>
        </w:tc>
        <w:tc>
          <w:tcPr>
            <w:tcW w:w="992" w:type="dxa"/>
            <w:tcBorders>
              <w:top w:val="nil"/>
              <w:left w:val="nil"/>
              <w:bottom w:val="single" w:sz="4" w:space="0" w:color="auto"/>
              <w:right w:val="single" w:sz="4" w:space="0" w:color="auto"/>
            </w:tcBorders>
            <w:shd w:val="clear" w:color="000000" w:fill="FFFFFF"/>
            <w:noWrap/>
            <w:vAlign w:val="bottom"/>
            <w:hideMark/>
          </w:tcPr>
          <w:p w14:paraId="0B901421" w14:textId="77777777" w:rsidR="00B56301" w:rsidRPr="00364545" w:rsidRDefault="00B56301" w:rsidP="00B37B65">
            <w:pPr>
              <w:jc w:val="right"/>
              <w:rPr>
                <w:rFonts w:ascii="Times New Roman" w:hAnsi="Times New Roman"/>
                <w:sz w:val="18"/>
                <w:szCs w:val="18"/>
              </w:rPr>
            </w:pPr>
            <w:r w:rsidRPr="00364545">
              <w:rPr>
                <w:sz w:val="18"/>
              </w:rPr>
              <w:t>0,61</w:t>
            </w:r>
          </w:p>
        </w:tc>
        <w:tc>
          <w:tcPr>
            <w:tcW w:w="992" w:type="dxa"/>
            <w:tcBorders>
              <w:top w:val="nil"/>
              <w:left w:val="nil"/>
              <w:bottom w:val="single" w:sz="4" w:space="0" w:color="auto"/>
              <w:right w:val="single" w:sz="4" w:space="0" w:color="auto"/>
            </w:tcBorders>
            <w:shd w:val="clear" w:color="000000" w:fill="FFFFFF"/>
            <w:noWrap/>
            <w:vAlign w:val="bottom"/>
            <w:hideMark/>
          </w:tcPr>
          <w:p w14:paraId="3160EBA3" w14:textId="77777777" w:rsidR="00B56301" w:rsidRPr="00364545" w:rsidRDefault="00B56301" w:rsidP="00B37B65">
            <w:pPr>
              <w:jc w:val="right"/>
              <w:rPr>
                <w:rFonts w:ascii="Times New Roman" w:hAnsi="Times New Roman"/>
                <w:sz w:val="18"/>
                <w:szCs w:val="18"/>
              </w:rPr>
            </w:pPr>
            <w:r w:rsidRPr="00364545">
              <w:rPr>
                <w:sz w:val="18"/>
              </w:rPr>
              <w:t>0,65</w:t>
            </w:r>
          </w:p>
        </w:tc>
        <w:tc>
          <w:tcPr>
            <w:tcW w:w="992" w:type="dxa"/>
            <w:tcBorders>
              <w:top w:val="nil"/>
              <w:left w:val="nil"/>
              <w:bottom w:val="single" w:sz="4" w:space="0" w:color="auto"/>
              <w:right w:val="single" w:sz="4" w:space="0" w:color="auto"/>
            </w:tcBorders>
            <w:shd w:val="clear" w:color="000000" w:fill="FFFFFF"/>
            <w:noWrap/>
            <w:vAlign w:val="bottom"/>
            <w:hideMark/>
          </w:tcPr>
          <w:p w14:paraId="6E3CA826" w14:textId="77777777" w:rsidR="00B56301" w:rsidRPr="00364545" w:rsidRDefault="00B56301" w:rsidP="00B37B65">
            <w:pPr>
              <w:jc w:val="right"/>
              <w:rPr>
                <w:rFonts w:ascii="Times New Roman" w:hAnsi="Times New Roman"/>
                <w:sz w:val="18"/>
                <w:szCs w:val="18"/>
              </w:rPr>
            </w:pPr>
            <w:r w:rsidRPr="00364545">
              <w:rPr>
                <w:sz w:val="18"/>
              </w:rPr>
              <w:t>0,70</w:t>
            </w:r>
          </w:p>
        </w:tc>
      </w:tr>
      <w:tr w:rsidR="00B56301" w:rsidRPr="00364545" w14:paraId="519770A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430D8F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40FFEF4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8BE43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2BFE9C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7752A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AB8E3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B7BA5E0"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1580A3B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9CA385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1DE07B3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7E3880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EE6645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7A4116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C3BA3D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709FECC"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328A6EF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3156186"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664B1470" w14:textId="77777777" w:rsidR="00B56301" w:rsidRPr="00364545" w:rsidRDefault="00B56301" w:rsidP="00B37B65">
            <w:pPr>
              <w:jc w:val="right"/>
              <w:rPr>
                <w:rFonts w:ascii="Times New Roman" w:hAnsi="Times New Roman"/>
                <w:sz w:val="18"/>
                <w:szCs w:val="18"/>
              </w:rPr>
            </w:pPr>
            <w:r w:rsidRPr="00364545">
              <w:rPr>
                <w:sz w:val="18"/>
              </w:rPr>
              <w:t>1,42</w:t>
            </w:r>
          </w:p>
        </w:tc>
        <w:tc>
          <w:tcPr>
            <w:tcW w:w="992" w:type="dxa"/>
            <w:tcBorders>
              <w:top w:val="nil"/>
              <w:left w:val="nil"/>
              <w:bottom w:val="single" w:sz="4" w:space="0" w:color="auto"/>
              <w:right w:val="single" w:sz="4" w:space="0" w:color="auto"/>
            </w:tcBorders>
            <w:shd w:val="clear" w:color="000000" w:fill="FFFFFF"/>
            <w:noWrap/>
            <w:vAlign w:val="bottom"/>
            <w:hideMark/>
          </w:tcPr>
          <w:p w14:paraId="695C06D2" w14:textId="77777777" w:rsidR="00B56301" w:rsidRPr="00364545" w:rsidRDefault="00B56301" w:rsidP="00B37B65">
            <w:pPr>
              <w:jc w:val="right"/>
              <w:rPr>
                <w:rFonts w:ascii="Times New Roman" w:hAnsi="Times New Roman"/>
                <w:sz w:val="18"/>
                <w:szCs w:val="18"/>
              </w:rPr>
            </w:pPr>
            <w:r w:rsidRPr="00364545">
              <w:rPr>
                <w:sz w:val="18"/>
              </w:rPr>
              <w:t>1,43</w:t>
            </w:r>
          </w:p>
        </w:tc>
        <w:tc>
          <w:tcPr>
            <w:tcW w:w="992" w:type="dxa"/>
            <w:tcBorders>
              <w:top w:val="nil"/>
              <w:left w:val="nil"/>
              <w:bottom w:val="single" w:sz="4" w:space="0" w:color="auto"/>
              <w:right w:val="single" w:sz="4" w:space="0" w:color="auto"/>
            </w:tcBorders>
            <w:shd w:val="clear" w:color="000000" w:fill="FFFFFF"/>
            <w:noWrap/>
            <w:vAlign w:val="bottom"/>
            <w:hideMark/>
          </w:tcPr>
          <w:p w14:paraId="0A7E99FB" w14:textId="77777777" w:rsidR="00B56301" w:rsidRPr="00364545" w:rsidRDefault="00B56301" w:rsidP="00B37B65">
            <w:pPr>
              <w:jc w:val="right"/>
              <w:rPr>
                <w:rFonts w:ascii="Times New Roman" w:hAnsi="Times New Roman"/>
                <w:sz w:val="18"/>
                <w:szCs w:val="18"/>
              </w:rPr>
            </w:pPr>
            <w:r w:rsidRPr="00364545">
              <w:rPr>
                <w:sz w:val="18"/>
              </w:rPr>
              <w:t>1,45</w:t>
            </w:r>
          </w:p>
        </w:tc>
        <w:tc>
          <w:tcPr>
            <w:tcW w:w="992" w:type="dxa"/>
            <w:tcBorders>
              <w:top w:val="nil"/>
              <w:left w:val="nil"/>
              <w:bottom w:val="single" w:sz="4" w:space="0" w:color="auto"/>
              <w:right w:val="single" w:sz="4" w:space="0" w:color="auto"/>
            </w:tcBorders>
            <w:shd w:val="clear" w:color="000000" w:fill="FFFFFF"/>
            <w:noWrap/>
            <w:vAlign w:val="bottom"/>
            <w:hideMark/>
          </w:tcPr>
          <w:p w14:paraId="35E5F70B" w14:textId="77777777" w:rsidR="00B56301" w:rsidRPr="00364545" w:rsidRDefault="00B56301" w:rsidP="00B37B65">
            <w:pPr>
              <w:jc w:val="right"/>
              <w:rPr>
                <w:rFonts w:ascii="Times New Roman" w:hAnsi="Times New Roman"/>
                <w:sz w:val="18"/>
                <w:szCs w:val="18"/>
              </w:rPr>
            </w:pPr>
            <w:r w:rsidRPr="00364545">
              <w:rPr>
                <w:sz w:val="18"/>
              </w:rPr>
              <w:t>1,44</w:t>
            </w:r>
          </w:p>
        </w:tc>
        <w:tc>
          <w:tcPr>
            <w:tcW w:w="992" w:type="dxa"/>
            <w:tcBorders>
              <w:top w:val="nil"/>
              <w:left w:val="nil"/>
              <w:bottom w:val="single" w:sz="4" w:space="0" w:color="auto"/>
              <w:right w:val="single" w:sz="4" w:space="0" w:color="auto"/>
            </w:tcBorders>
            <w:shd w:val="clear" w:color="000000" w:fill="FFFFFF"/>
            <w:noWrap/>
            <w:vAlign w:val="bottom"/>
            <w:hideMark/>
          </w:tcPr>
          <w:p w14:paraId="52433810" w14:textId="77777777" w:rsidR="00B56301" w:rsidRPr="00364545" w:rsidRDefault="00B56301" w:rsidP="00B37B65">
            <w:pPr>
              <w:jc w:val="right"/>
              <w:rPr>
                <w:rFonts w:ascii="Times New Roman" w:hAnsi="Times New Roman"/>
                <w:sz w:val="18"/>
                <w:szCs w:val="18"/>
              </w:rPr>
            </w:pPr>
            <w:r w:rsidRPr="00364545">
              <w:rPr>
                <w:sz w:val="18"/>
              </w:rPr>
              <w:t>1,42</w:t>
            </w:r>
          </w:p>
        </w:tc>
        <w:tc>
          <w:tcPr>
            <w:tcW w:w="992" w:type="dxa"/>
            <w:tcBorders>
              <w:top w:val="nil"/>
              <w:left w:val="nil"/>
              <w:bottom w:val="single" w:sz="4" w:space="0" w:color="auto"/>
              <w:right w:val="single" w:sz="4" w:space="0" w:color="auto"/>
            </w:tcBorders>
            <w:shd w:val="clear" w:color="000000" w:fill="FFFFFF"/>
            <w:noWrap/>
            <w:vAlign w:val="bottom"/>
            <w:hideMark/>
          </w:tcPr>
          <w:p w14:paraId="77CA9A32" w14:textId="77777777" w:rsidR="00B56301" w:rsidRPr="00364545" w:rsidRDefault="00B56301" w:rsidP="00B37B65">
            <w:pPr>
              <w:jc w:val="right"/>
              <w:rPr>
                <w:rFonts w:ascii="Times New Roman" w:hAnsi="Times New Roman"/>
                <w:sz w:val="18"/>
                <w:szCs w:val="18"/>
              </w:rPr>
            </w:pPr>
            <w:r w:rsidRPr="00364545">
              <w:rPr>
                <w:sz w:val="18"/>
              </w:rPr>
              <w:t>1,35</w:t>
            </w:r>
          </w:p>
        </w:tc>
      </w:tr>
      <w:tr w:rsidR="00B56301" w:rsidRPr="00364545" w14:paraId="29B3B16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3CEFA4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366450C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17AE99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35FE16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0580CC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CF01E7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2CE9193"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41EC5A8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DA8D58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01150047" w14:textId="77777777" w:rsidR="00B56301" w:rsidRPr="00364545" w:rsidRDefault="00B56301" w:rsidP="00B37B65">
            <w:pPr>
              <w:jc w:val="right"/>
              <w:rPr>
                <w:rFonts w:ascii="Times New Roman" w:hAnsi="Times New Roman"/>
                <w:sz w:val="18"/>
                <w:szCs w:val="18"/>
              </w:rPr>
            </w:pPr>
            <w:r w:rsidRPr="00364545">
              <w:rPr>
                <w:sz w:val="18"/>
              </w:rPr>
              <w:t>4,93</w:t>
            </w:r>
          </w:p>
        </w:tc>
        <w:tc>
          <w:tcPr>
            <w:tcW w:w="992" w:type="dxa"/>
            <w:tcBorders>
              <w:top w:val="nil"/>
              <w:left w:val="nil"/>
              <w:bottom w:val="single" w:sz="4" w:space="0" w:color="auto"/>
              <w:right w:val="single" w:sz="4" w:space="0" w:color="auto"/>
            </w:tcBorders>
            <w:shd w:val="clear" w:color="000000" w:fill="FFFFFF"/>
            <w:noWrap/>
            <w:vAlign w:val="bottom"/>
            <w:hideMark/>
          </w:tcPr>
          <w:p w14:paraId="1DB86210" w14:textId="77777777" w:rsidR="00B56301" w:rsidRPr="00364545" w:rsidRDefault="00B56301" w:rsidP="00B37B65">
            <w:pPr>
              <w:jc w:val="right"/>
              <w:rPr>
                <w:rFonts w:ascii="Times New Roman" w:hAnsi="Times New Roman"/>
                <w:sz w:val="18"/>
                <w:szCs w:val="18"/>
              </w:rPr>
            </w:pPr>
            <w:r w:rsidRPr="00364545">
              <w:rPr>
                <w:sz w:val="18"/>
              </w:rPr>
              <w:t>4,94</w:t>
            </w:r>
          </w:p>
        </w:tc>
        <w:tc>
          <w:tcPr>
            <w:tcW w:w="992" w:type="dxa"/>
            <w:tcBorders>
              <w:top w:val="nil"/>
              <w:left w:val="nil"/>
              <w:bottom w:val="single" w:sz="4" w:space="0" w:color="auto"/>
              <w:right w:val="single" w:sz="4" w:space="0" w:color="auto"/>
            </w:tcBorders>
            <w:shd w:val="clear" w:color="000000" w:fill="FFFFFF"/>
            <w:noWrap/>
            <w:vAlign w:val="bottom"/>
            <w:hideMark/>
          </w:tcPr>
          <w:p w14:paraId="4596B11E" w14:textId="77777777" w:rsidR="00B56301" w:rsidRPr="00364545" w:rsidRDefault="00B56301" w:rsidP="00B37B65">
            <w:pPr>
              <w:jc w:val="right"/>
              <w:rPr>
                <w:rFonts w:ascii="Times New Roman" w:hAnsi="Times New Roman"/>
                <w:sz w:val="18"/>
                <w:szCs w:val="18"/>
              </w:rPr>
            </w:pPr>
            <w:r w:rsidRPr="00364545">
              <w:rPr>
                <w:sz w:val="18"/>
              </w:rPr>
              <w:t>4,90</w:t>
            </w:r>
          </w:p>
        </w:tc>
        <w:tc>
          <w:tcPr>
            <w:tcW w:w="992" w:type="dxa"/>
            <w:tcBorders>
              <w:top w:val="nil"/>
              <w:left w:val="nil"/>
              <w:bottom w:val="single" w:sz="4" w:space="0" w:color="auto"/>
              <w:right w:val="single" w:sz="4" w:space="0" w:color="auto"/>
            </w:tcBorders>
            <w:shd w:val="clear" w:color="000000" w:fill="FFFFFF"/>
            <w:noWrap/>
            <w:vAlign w:val="bottom"/>
            <w:hideMark/>
          </w:tcPr>
          <w:p w14:paraId="41159ECF" w14:textId="77777777" w:rsidR="00B56301" w:rsidRPr="00364545" w:rsidRDefault="00B56301" w:rsidP="00B37B65">
            <w:pPr>
              <w:jc w:val="right"/>
              <w:rPr>
                <w:rFonts w:ascii="Times New Roman" w:hAnsi="Times New Roman"/>
                <w:sz w:val="18"/>
                <w:szCs w:val="18"/>
              </w:rPr>
            </w:pPr>
            <w:r w:rsidRPr="00364545">
              <w:rPr>
                <w:sz w:val="18"/>
              </w:rPr>
              <w:t>4,89</w:t>
            </w:r>
          </w:p>
        </w:tc>
        <w:tc>
          <w:tcPr>
            <w:tcW w:w="992" w:type="dxa"/>
            <w:tcBorders>
              <w:top w:val="nil"/>
              <w:left w:val="nil"/>
              <w:bottom w:val="single" w:sz="4" w:space="0" w:color="auto"/>
              <w:right w:val="single" w:sz="4" w:space="0" w:color="auto"/>
            </w:tcBorders>
            <w:shd w:val="clear" w:color="000000" w:fill="FFFFFF"/>
            <w:noWrap/>
            <w:vAlign w:val="bottom"/>
            <w:hideMark/>
          </w:tcPr>
          <w:p w14:paraId="757A3154" w14:textId="77777777" w:rsidR="00B56301" w:rsidRPr="00364545" w:rsidRDefault="00B56301" w:rsidP="00B37B65">
            <w:pPr>
              <w:jc w:val="right"/>
              <w:rPr>
                <w:rFonts w:ascii="Times New Roman" w:hAnsi="Times New Roman"/>
                <w:sz w:val="18"/>
                <w:szCs w:val="18"/>
              </w:rPr>
            </w:pPr>
            <w:r w:rsidRPr="00364545">
              <w:rPr>
                <w:sz w:val="18"/>
              </w:rPr>
              <w:t>4,74</w:t>
            </w:r>
          </w:p>
        </w:tc>
        <w:tc>
          <w:tcPr>
            <w:tcW w:w="992" w:type="dxa"/>
            <w:tcBorders>
              <w:top w:val="nil"/>
              <w:left w:val="nil"/>
              <w:bottom w:val="single" w:sz="4" w:space="0" w:color="auto"/>
              <w:right w:val="single" w:sz="4" w:space="0" w:color="auto"/>
            </w:tcBorders>
            <w:shd w:val="clear" w:color="000000" w:fill="FFFFFF"/>
            <w:noWrap/>
            <w:vAlign w:val="bottom"/>
            <w:hideMark/>
          </w:tcPr>
          <w:p w14:paraId="6BC36451" w14:textId="77777777" w:rsidR="00B56301" w:rsidRPr="00364545" w:rsidRDefault="00B56301" w:rsidP="00B37B65">
            <w:pPr>
              <w:jc w:val="right"/>
              <w:rPr>
                <w:rFonts w:ascii="Times New Roman" w:hAnsi="Times New Roman"/>
                <w:sz w:val="18"/>
                <w:szCs w:val="18"/>
              </w:rPr>
            </w:pPr>
            <w:r w:rsidRPr="00364545">
              <w:rPr>
                <w:sz w:val="18"/>
              </w:rPr>
              <w:t>4,09</w:t>
            </w:r>
          </w:p>
        </w:tc>
      </w:tr>
      <w:tr w:rsidR="00B56301" w:rsidRPr="00364545" w14:paraId="66DB639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35ADF6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7039B99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19134F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AA9A53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93540A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AFED7B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DA610B1"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25134B6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9896E0E"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784FD7C3" w14:textId="77777777" w:rsidR="00B56301" w:rsidRPr="00364545" w:rsidRDefault="00B56301" w:rsidP="00B37B65">
            <w:pPr>
              <w:jc w:val="right"/>
              <w:rPr>
                <w:rFonts w:ascii="Times New Roman" w:hAnsi="Times New Roman"/>
                <w:sz w:val="18"/>
                <w:szCs w:val="18"/>
              </w:rPr>
            </w:pPr>
            <w:r w:rsidRPr="00364545">
              <w:rPr>
                <w:sz w:val="18"/>
              </w:rPr>
              <w:t>1,03</w:t>
            </w:r>
          </w:p>
        </w:tc>
        <w:tc>
          <w:tcPr>
            <w:tcW w:w="992" w:type="dxa"/>
            <w:tcBorders>
              <w:top w:val="nil"/>
              <w:left w:val="nil"/>
              <w:bottom w:val="single" w:sz="4" w:space="0" w:color="auto"/>
              <w:right w:val="single" w:sz="4" w:space="0" w:color="auto"/>
            </w:tcBorders>
            <w:shd w:val="clear" w:color="000000" w:fill="FFFFFF"/>
            <w:noWrap/>
            <w:vAlign w:val="bottom"/>
            <w:hideMark/>
          </w:tcPr>
          <w:p w14:paraId="2A155B63" w14:textId="77777777" w:rsidR="00B56301" w:rsidRPr="00364545" w:rsidRDefault="00B56301" w:rsidP="00B37B65">
            <w:pPr>
              <w:jc w:val="right"/>
              <w:rPr>
                <w:rFonts w:ascii="Times New Roman" w:hAnsi="Times New Roman"/>
                <w:sz w:val="18"/>
                <w:szCs w:val="18"/>
              </w:rPr>
            </w:pPr>
            <w:r w:rsidRPr="00364545">
              <w:rPr>
                <w:sz w:val="18"/>
              </w:rPr>
              <w:t>0,99</w:t>
            </w:r>
          </w:p>
        </w:tc>
        <w:tc>
          <w:tcPr>
            <w:tcW w:w="992" w:type="dxa"/>
            <w:tcBorders>
              <w:top w:val="nil"/>
              <w:left w:val="nil"/>
              <w:bottom w:val="single" w:sz="4" w:space="0" w:color="auto"/>
              <w:right w:val="single" w:sz="4" w:space="0" w:color="auto"/>
            </w:tcBorders>
            <w:shd w:val="clear" w:color="000000" w:fill="FFFFFF"/>
            <w:noWrap/>
            <w:vAlign w:val="bottom"/>
            <w:hideMark/>
          </w:tcPr>
          <w:p w14:paraId="105FAF12" w14:textId="77777777" w:rsidR="00B56301" w:rsidRPr="00364545" w:rsidRDefault="00B56301" w:rsidP="00B37B65">
            <w:pPr>
              <w:jc w:val="right"/>
              <w:rPr>
                <w:rFonts w:ascii="Times New Roman" w:hAnsi="Times New Roman"/>
                <w:sz w:val="18"/>
                <w:szCs w:val="18"/>
              </w:rPr>
            </w:pPr>
            <w:r w:rsidRPr="00364545">
              <w:rPr>
                <w:sz w:val="18"/>
              </w:rPr>
              <w:t>0,96</w:t>
            </w:r>
          </w:p>
        </w:tc>
        <w:tc>
          <w:tcPr>
            <w:tcW w:w="992" w:type="dxa"/>
            <w:tcBorders>
              <w:top w:val="nil"/>
              <w:left w:val="nil"/>
              <w:bottom w:val="single" w:sz="4" w:space="0" w:color="auto"/>
              <w:right w:val="single" w:sz="4" w:space="0" w:color="auto"/>
            </w:tcBorders>
            <w:shd w:val="clear" w:color="000000" w:fill="FFFFFF"/>
            <w:noWrap/>
            <w:vAlign w:val="bottom"/>
            <w:hideMark/>
          </w:tcPr>
          <w:p w14:paraId="41CC11AB" w14:textId="77777777" w:rsidR="00B56301" w:rsidRPr="00364545" w:rsidRDefault="00B56301" w:rsidP="00B37B65">
            <w:pPr>
              <w:jc w:val="right"/>
              <w:rPr>
                <w:rFonts w:ascii="Times New Roman" w:hAnsi="Times New Roman"/>
                <w:sz w:val="18"/>
                <w:szCs w:val="18"/>
              </w:rPr>
            </w:pPr>
            <w:r w:rsidRPr="00364545">
              <w:rPr>
                <w:sz w:val="18"/>
              </w:rPr>
              <w:t>0,89</w:t>
            </w:r>
          </w:p>
        </w:tc>
        <w:tc>
          <w:tcPr>
            <w:tcW w:w="992" w:type="dxa"/>
            <w:tcBorders>
              <w:top w:val="nil"/>
              <w:left w:val="nil"/>
              <w:bottom w:val="single" w:sz="4" w:space="0" w:color="auto"/>
              <w:right w:val="single" w:sz="4" w:space="0" w:color="auto"/>
            </w:tcBorders>
            <w:shd w:val="clear" w:color="000000" w:fill="FFFFFF"/>
            <w:noWrap/>
            <w:vAlign w:val="bottom"/>
            <w:hideMark/>
          </w:tcPr>
          <w:p w14:paraId="4CCE9594" w14:textId="77777777" w:rsidR="00B56301" w:rsidRPr="00364545" w:rsidRDefault="00B56301" w:rsidP="00B37B65">
            <w:pPr>
              <w:jc w:val="right"/>
              <w:rPr>
                <w:rFonts w:ascii="Times New Roman" w:hAnsi="Times New Roman"/>
                <w:sz w:val="18"/>
                <w:szCs w:val="18"/>
              </w:rPr>
            </w:pPr>
            <w:r w:rsidRPr="00364545">
              <w:rPr>
                <w:sz w:val="18"/>
              </w:rPr>
              <w:t>0,81</w:t>
            </w:r>
          </w:p>
        </w:tc>
        <w:tc>
          <w:tcPr>
            <w:tcW w:w="992" w:type="dxa"/>
            <w:tcBorders>
              <w:top w:val="nil"/>
              <w:left w:val="nil"/>
              <w:bottom w:val="single" w:sz="4" w:space="0" w:color="auto"/>
              <w:right w:val="single" w:sz="4" w:space="0" w:color="auto"/>
            </w:tcBorders>
            <w:shd w:val="clear" w:color="000000" w:fill="FFFFFF"/>
            <w:noWrap/>
            <w:vAlign w:val="bottom"/>
            <w:hideMark/>
          </w:tcPr>
          <w:p w14:paraId="2C4D1B0B" w14:textId="77777777" w:rsidR="00B56301" w:rsidRPr="00364545" w:rsidRDefault="00B56301" w:rsidP="00B37B65">
            <w:pPr>
              <w:jc w:val="right"/>
              <w:rPr>
                <w:rFonts w:ascii="Times New Roman" w:hAnsi="Times New Roman"/>
                <w:sz w:val="18"/>
                <w:szCs w:val="18"/>
              </w:rPr>
            </w:pPr>
            <w:r w:rsidRPr="00364545">
              <w:rPr>
                <w:sz w:val="18"/>
              </w:rPr>
              <w:t>0,70</w:t>
            </w:r>
          </w:p>
        </w:tc>
      </w:tr>
      <w:tr w:rsidR="00B56301" w:rsidRPr="00364545" w14:paraId="43CEE13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03FFF5C"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623469E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FD08C8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EABF24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7B7D5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83643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4A973DF"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2A313CE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2A2E573"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6E497140" w14:textId="77777777" w:rsidR="00B56301" w:rsidRPr="00364545" w:rsidRDefault="00B56301" w:rsidP="00B37B65">
            <w:pPr>
              <w:jc w:val="right"/>
              <w:rPr>
                <w:rFonts w:ascii="Times New Roman" w:hAnsi="Times New Roman"/>
                <w:sz w:val="18"/>
                <w:szCs w:val="18"/>
              </w:rPr>
            </w:pPr>
            <w:r w:rsidRPr="00364545">
              <w:rPr>
                <w:sz w:val="18"/>
              </w:rPr>
              <w:t>0,30</w:t>
            </w:r>
          </w:p>
        </w:tc>
        <w:tc>
          <w:tcPr>
            <w:tcW w:w="992" w:type="dxa"/>
            <w:tcBorders>
              <w:top w:val="nil"/>
              <w:left w:val="nil"/>
              <w:bottom w:val="single" w:sz="4" w:space="0" w:color="auto"/>
              <w:right w:val="single" w:sz="4" w:space="0" w:color="auto"/>
            </w:tcBorders>
            <w:shd w:val="clear" w:color="000000" w:fill="FFFFFF"/>
            <w:noWrap/>
            <w:vAlign w:val="bottom"/>
            <w:hideMark/>
          </w:tcPr>
          <w:p w14:paraId="128A837D" w14:textId="77777777" w:rsidR="00B56301" w:rsidRPr="00364545" w:rsidRDefault="00B56301" w:rsidP="00B37B65">
            <w:pPr>
              <w:jc w:val="right"/>
              <w:rPr>
                <w:rFonts w:ascii="Times New Roman" w:hAnsi="Times New Roman"/>
                <w:sz w:val="18"/>
                <w:szCs w:val="18"/>
              </w:rPr>
            </w:pPr>
            <w:r w:rsidRPr="00364545">
              <w:rPr>
                <w:sz w:val="18"/>
              </w:rPr>
              <w:t>0,27</w:t>
            </w:r>
          </w:p>
        </w:tc>
        <w:tc>
          <w:tcPr>
            <w:tcW w:w="992" w:type="dxa"/>
            <w:tcBorders>
              <w:top w:val="nil"/>
              <w:left w:val="nil"/>
              <w:bottom w:val="single" w:sz="4" w:space="0" w:color="auto"/>
              <w:right w:val="single" w:sz="4" w:space="0" w:color="auto"/>
            </w:tcBorders>
            <w:shd w:val="clear" w:color="000000" w:fill="FFFFFF"/>
            <w:noWrap/>
            <w:vAlign w:val="bottom"/>
            <w:hideMark/>
          </w:tcPr>
          <w:p w14:paraId="66E300CA" w14:textId="77777777" w:rsidR="00B56301" w:rsidRPr="00364545" w:rsidRDefault="00B56301" w:rsidP="00B37B65">
            <w:pPr>
              <w:jc w:val="right"/>
              <w:rPr>
                <w:rFonts w:ascii="Times New Roman" w:hAnsi="Times New Roman"/>
                <w:sz w:val="18"/>
                <w:szCs w:val="18"/>
              </w:rPr>
            </w:pPr>
            <w:r w:rsidRPr="00364545">
              <w:rPr>
                <w:sz w:val="18"/>
              </w:rPr>
              <w:t>0,23</w:t>
            </w:r>
          </w:p>
        </w:tc>
        <w:tc>
          <w:tcPr>
            <w:tcW w:w="992" w:type="dxa"/>
            <w:tcBorders>
              <w:top w:val="nil"/>
              <w:left w:val="nil"/>
              <w:bottom w:val="single" w:sz="4" w:space="0" w:color="auto"/>
              <w:right w:val="single" w:sz="4" w:space="0" w:color="auto"/>
            </w:tcBorders>
            <w:shd w:val="clear" w:color="000000" w:fill="FFFFFF"/>
            <w:noWrap/>
            <w:vAlign w:val="bottom"/>
            <w:hideMark/>
          </w:tcPr>
          <w:p w14:paraId="2DA22FEF" w14:textId="77777777" w:rsidR="00B56301" w:rsidRPr="00364545" w:rsidRDefault="00B56301" w:rsidP="00B37B65">
            <w:pPr>
              <w:jc w:val="right"/>
              <w:rPr>
                <w:rFonts w:ascii="Times New Roman" w:hAnsi="Times New Roman"/>
                <w:sz w:val="18"/>
                <w:szCs w:val="18"/>
              </w:rPr>
            </w:pPr>
            <w:r w:rsidRPr="00364545">
              <w:rPr>
                <w:sz w:val="18"/>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4215A28A" w14:textId="77777777" w:rsidR="00B56301" w:rsidRPr="00364545" w:rsidRDefault="00B56301" w:rsidP="00B37B65">
            <w:pPr>
              <w:jc w:val="right"/>
              <w:rPr>
                <w:rFonts w:ascii="Times New Roman" w:hAnsi="Times New Roman"/>
                <w:sz w:val="18"/>
                <w:szCs w:val="18"/>
              </w:rPr>
            </w:pPr>
            <w:r w:rsidRPr="00364545">
              <w:rPr>
                <w:sz w:val="18"/>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5309633F" w14:textId="77777777" w:rsidR="00B56301" w:rsidRPr="00364545" w:rsidRDefault="00B56301" w:rsidP="00B37B65">
            <w:pPr>
              <w:jc w:val="right"/>
              <w:rPr>
                <w:rFonts w:ascii="Times New Roman" w:hAnsi="Times New Roman"/>
                <w:sz w:val="18"/>
                <w:szCs w:val="18"/>
              </w:rPr>
            </w:pPr>
            <w:r w:rsidRPr="00364545">
              <w:rPr>
                <w:sz w:val="18"/>
              </w:rPr>
              <w:t>0,19</w:t>
            </w:r>
          </w:p>
        </w:tc>
      </w:tr>
      <w:tr w:rsidR="00B56301" w:rsidRPr="00364545" w14:paraId="4EEA975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DFB568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6E3300E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B6C742"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006F5E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15AC3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87B898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57BC95"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23E29A2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8BCBE13"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1BD48DBC" w14:textId="77777777" w:rsidR="00B56301" w:rsidRPr="00364545" w:rsidRDefault="00B56301" w:rsidP="00B37B65">
            <w:pPr>
              <w:jc w:val="right"/>
              <w:rPr>
                <w:rFonts w:ascii="Times New Roman" w:hAnsi="Times New Roman"/>
                <w:sz w:val="18"/>
                <w:szCs w:val="18"/>
              </w:rPr>
            </w:pPr>
            <w:r w:rsidRPr="00364545">
              <w:rPr>
                <w:sz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444E2CEE" w14:textId="77777777" w:rsidR="00B56301" w:rsidRPr="00364545" w:rsidRDefault="00B56301" w:rsidP="00B37B65">
            <w:pPr>
              <w:jc w:val="right"/>
              <w:rPr>
                <w:rFonts w:ascii="Times New Roman" w:hAnsi="Times New Roman"/>
                <w:sz w:val="18"/>
                <w:szCs w:val="18"/>
              </w:rPr>
            </w:pPr>
            <w:r w:rsidRPr="00364545">
              <w:rPr>
                <w:sz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061E72D1" w14:textId="77777777" w:rsidR="00B56301" w:rsidRPr="00364545" w:rsidRDefault="00B56301" w:rsidP="00B37B65">
            <w:pPr>
              <w:jc w:val="right"/>
              <w:rPr>
                <w:rFonts w:ascii="Times New Roman" w:hAnsi="Times New Roman"/>
                <w:sz w:val="18"/>
                <w:szCs w:val="18"/>
              </w:rPr>
            </w:pPr>
            <w:r w:rsidRPr="00364545">
              <w:rPr>
                <w:sz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592772EC" w14:textId="77777777" w:rsidR="00B56301" w:rsidRPr="00364545" w:rsidRDefault="00B56301" w:rsidP="00B37B65">
            <w:pPr>
              <w:jc w:val="right"/>
              <w:rPr>
                <w:rFonts w:ascii="Times New Roman" w:hAnsi="Times New Roman"/>
                <w:sz w:val="18"/>
                <w:szCs w:val="18"/>
              </w:rPr>
            </w:pPr>
            <w:r w:rsidRPr="00364545">
              <w:rPr>
                <w:sz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5970AE03" w14:textId="77777777" w:rsidR="00B56301" w:rsidRPr="00364545" w:rsidRDefault="00B56301" w:rsidP="00B37B65">
            <w:pPr>
              <w:jc w:val="right"/>
              <w:rPr>
                <w:rFonts w:ascii="Times New Roman" w:hAnsi="Times New Roman"/>
                <w:sz w:val="18"/>
                <w:szCs w:val="18"/>
              </w:rPr>
            </w:pPr>
            <w:r w:rsidRPr="00364545">
              <w:rPr>
                <w:sz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52D0809B" w14:textId="77777777" w:rsidR="00B56301" w:rsidRPr="00364545" w:rsidRDefault="00B56301" w:rsidP="00B37B65">
            <w:pPr>
              <w:jc w:val="right"/>
              <w:rPr>
                <w:rFonts w:ascii="Times New Roman" w:hAnsi="Times New Roman"/>
                <w:sz w:val="18"/>
                <w:szCs w:val="18"/>
              </w:rPr>
            </w:pPr>
            <w:r w:rsidRPr="00364545">
              <w:rPr>
                <w:sz w:val="18"/>
              </w:rPr>
              <w:t>0,07</w:t>
            </w:r>
          </w:p>
        </w:tc>
      </w:tr>
      <w:tr w:rsidR="00B56301" w:rsidRPr="00364545" w14:paraId="6819E02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7403D21"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067603F7"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882E08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FEDD93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B3ECC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B8F4C2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6A8269"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0EC1163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3B9AC4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45133E1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E42D75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4B372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18F051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6C3393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A76E879"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3014C2A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07F096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4498E68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8D0734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FE43BE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1DAA1B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B7C094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07BFFE6"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1280BBF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77BEE3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586F654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48D1F1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EE595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6E57FD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657DD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998B5BC"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77AAF7C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FB80EA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03171CA6"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28B2C913" w14:textId="77777777" w:rsidR="00B56301" w:rsidRPr="00364545" w:rsidRDefault="00B56301" w:rsidP="00B37B65">
            <w:pPr>
              <w:jc w:val="right"/>
              <w:rPr>
                <w:rFonts w:ascii="Times New Roman" w:hAnsi="Times New Roman"/>
                <w:sz w:val="18"/>
                <w:szCs w:val="18"/>
              </w:rPr>
            </w:pPr>
            <w:r w:rsidRPr="00364545">
              <w:rPr>
                <w:sz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6DD89D4B" w14:textId="77777777" w:rsidR="00B56301" w:rsidRPr="00364545" w:rsidRDefault="00B56301" w:rsidP="00B37B65">
            <w:pPr>
              <w:jc w:val="right"/>
              <w:rPr>
                <w:rFonts w:ascii="Times New Roman" w:hAnsi="Times New Roman"/>
                <w:sz w:val="18"/>
                <w:szCs w:val="18"/>
              </w:rPr>
            </w:pPr>
            <w:r w:rsidRPr="00364545">
              <w:rPr>
                <w:sz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A172A5A" w14:textId="77777777" w:rsidR="00B56301" w:rsidRPr="00364545" w:rsidRDefault="00B56301" w:rsidP="00B37B65">
            <w:pPr>
              <w:jc w:val="right"/>
              <w:rPr>
                <w:rFonts w:ascii="Times New Roman" w:hAnsi="Times New Roman"/>
                <w:sz w:val="18"/>
                <w:szCs w:val="18"/>
              </w:rPr>
            </w:pPr>
            <w:r w:rsidRPr="00364545">
              <w:rPr>
                <w:sz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55C08BF2" w14:textId="77777777" w:rsidR="00B56301" w:rsidRPr="00364545" w:rsidRDefault="00B56301" w:rsidP="00B37B65">
            <w:pPr>
              <w:jc w:val="right"/>
              <w:rPr>
                <w:rFonts w:ascii="Times New Roman" w:hAnsi="Times New Roman"/>
                <w:sz w:val="18"/>
                <w:szCs w:val="18"/>
              </w:rPr>
            </w:pPr>
            <w:r w:rsidRPr="00364545">
              <w:rPr>
                <w:sz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56C5A72B" w14:textId="77777777" w:rsidR="00B56301" w:rsidRPr="00364545" w:rsidRDefault="00B56301" w:rsidP="00B37B65">
            <w:pPr>
              <w:jc w:val="right"/>
              <w:rPr>
                <w:rFonts w:ascii="Times New Roman" w:hAnsi="Times New Roman"/>
                <w:sz w:val="18"/>
                <w:szCs w:val="18"/>
              </w:rPr>
            </w:pPr>
            <w:r w:rsidRPr="00364545">
              <w:rPr>
                <w:sz w:val="18"/>
              </w:rPr>
              <w:t>0,11</w:t>
            </w:r>
          </w:p>
        </w:tc>
      </w:tr>
      <w:tr w:rsidR="00B56301" w:rsidRPr="00364545" w14:paraId="6F18974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4F19C35"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74029F8D" w14:textId="77777777" w:rsidR="00B56301" w:rsidRPr="00364545" w:rsidRDefault="00B56301" w:rsidP="00B37B65">
            <w:pPr>
              <w:jc w:val="right"/>
              <w:rPr>
                <w:rFonts w:ascii="Times New Roman" w:hAnsi="Times New Roman"/>
                <w:sz w:val="18"/>
                <w:szCs w:val="18"/>
              </w:rPr>
            </w:pPr>
            <w:r w:rsidRPr="00364545">
              <w:rPr>
                <w:sz w:val="18"/>
              </w:rPr>
              <w:t>0,12</w:t>
            </w:r>
          </w:p>
        </w:tc>
        <w:tc>
          <w:tcPr>
            <w:tcW w:w="992" w:type="dxa"/>
            <w:tcBorders>
              <w:top w:val="nil"/>
              <w:left w:val="nil"/>
              <w:bottom w:val="single" w:sz="4" w:space="0" w:color="auto"/>
              <w:right w:val="single" w:sz="4" w:space="0" w:color="auto"/>
            </w:tcBorders>
            <w:shd w:val="clear" w:color="000000" w:fill="FFFFFF"/>
            <w:noWrap/>
            <w:vAlign w:val="bottom"/>
            <w:hideMark/>
          </w:tcPr>
          <w:p w14:paraId="23AFDFA2" w14:textId="77777777" w:rsidR="00B56301" w:rsidRPr="00364545" w:rsidRDefault="00B56301" w:rsidP="00B37B65">
            <w:pPr>
              <w:jc w:val="right"/>
              <w:rPr>
                <w:rFonts w:ascii="Times New Roman" w:hAnsi="Times New Roman"/>
                <w:sz w:val="18"/>
                <w:szCs w:val="18"/>
              </w:rPr>
            </w:pPr>
            <w:r w:rsidRPr="00364545">
              <w:rPr>
                <w:sz w:val="18"/>
              </w:rPr>
              <w:t>0,14</w:t>
            </w:r>
          </w:p>
        </w:tc>
        <w:tc>
          <w:tcPr>
            <w:tcW w:w="992" w:type="dxa"/>
            <w:tcBorders>
              <w:top w:val="nil"/>
              <w:left w:val="nil"/>
              <w:bottom w:val="single" w:sz="4" w:space="0" w:color="auto"/>
              <w:right w:val="single" w:sz="4" w:space="0" w:color="auto"/>
            </w:tcBorders>
            <w:shd w:val="clear" w:color="000000" w:fill="FFFFFF"/>
            <w:noWrap/>
            <w:vAlign w:val="bottom"/>
            <w:hideMark/>
          </w:tcPr>
          <w:p w14:paraId="2D23039F" w14:textId="77777777" w:rsidR="00B56301" w:rsidRPr="00364545" w:rsidRDefault="00B56301" w:rsidP="00B37B65">
            <w:pPr>
              <w:jc w:val="right"/>
              <w:rPr>
                <w:rFonts w:ascii="Times New Roman" w:hAnsi="Times New Roman"/>
                <w:sz w:val="18"/>
                <w:szCs w:val="18"/>
              </w:rPr>
            </w:pPr>
            <w:r w:rsidRPr="00364545">
              <w:rPr>
                <w:sz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334EC653" w14:textId="77777777" w:rsidR="00B56301" w:rsidRPr="00364545" w:rsidRDefault="00B56301" w:rsidP="00B37B65">
            <w:pPr>
              <w:jc w:val="right"/>
              <w:rPr>
                <w:rFonts w:ascii="Times New Roman" w:hAnsi="Times New Roman"/>
                <w:sz w:val="18"/>
                <w:szCs w:val="18"/>
              </w:rPr>
            </w:pPr>
            <w:r w:rsidRPr="00364545">
              <w:rPr>
                <w:sz w:val="18"/>
              </w:rPr>
              <w:t>0,15</w:t>
            </w:r>
          </w:p>
        </w:tc>
        <w:tc>
          <w:tcPr>
            <w:tcW w:w="992" w:type="dxa"/>
            <w:tcBorders>
              <w:top w:val="nil"/>
              <w:left w:val="nil"/>
              <w:bottom w:val="single" w:sz="4" w:space="0" w:color="auto"/>
              <w:right w:val="single" w:sz="4" w:space="0" w:color="auto"/>
            </w:tcBorders>
            <w:shd w:val="clear" w:color="000000" w:fill="FFFFFF"/>
            <w:noWrap/>
            <w:vAlign w:val="bottom"/>
            <w:hideMark/>
          </w:tcPr>
          <w:p w14:paraId="701B36A4" w14:textId="77777777" w:rsidR="00B56301" w:rsidRPr="00364545" w:rsidRDefault="00B56301" w:rsidP="00B37B65">
            <w:pPr>
              <w:jc w:val="right"/>
              <w:rPr>
                <w:rFonts w:ascii="Times New Roman" w:hAnsi="Times New Roman"/>
                <w:sz w:val="18"/>
                <w:szCs w:val="18"/>
              </w:rPr>
            </w:pPr>
            <w:r w:rsidRPr="00364545">
              <w:rPr>
                <w:sz w:val="18"/>
              </w:rPr>
              <w:t>0,15</w:t>
            </w:r>
          </w:p>
        </w:tc>
        <w:tc>
          <w:tcPr>
            <w:tcW w:w="992" w:type="dxa"/>
            <w:tcBorders>
              <w:top w:val="nil"/>
              <w:left w:val="nil"/>
              <w:bottom w:val="single" w:sz="4" w:space="0" w:color="auto"/>
              <w:right w:val="single" w:sz="4" w:space="0" w:color="auto"/>
            </w:tcBorders>
            <w:shd w:val="clear" w:color="000000" w:fill="FFFFFF"/>
            <w:noWrap/>
            <w:vAlign w:val="bottom"/>
            <w:hideMark/>
          </w:tcPr>
          <w:p w14:paraId="5F0C1F46" w14:textId="77777777" w:rsidR="00B56301" w:rsidRPr="00364545" w:rsidRDefault="00B56301" w:rsidP="00B37B65">
            <w:pPr>
              <w:jc w:val="right"/>
              <w:rPr>
                <w:rFonts w:ascii="Times New Roman" w:hAnsi="Times New Roman"/>
                <w:sz w:val="18"/>
                <w:szCs w:val="18"/>
              </w:rPr>
            </w:pPr>
            <w:r w:rsidRPr="00364545">
              <w:rPr>
                <w:sz w:val="18"/>
              </w:rPr>
              <w:t>0,16</w:t>
            </w:r>
          </w:p>
        </w:tc>
      </w:tr>
      <w:tr w:rsidR="00B56301" w:rsidRPr="00364545" w14:paraId="1D1F1CB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D701FEA" w14:textId="3ECB2165"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HFCs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71851292" w14:textId="77777777" w:rsidR="00B56301" w:rsidRPr="00364545" w:rsidRDefault="00B56301" w:rsidP="00B37B65">
            <w:pPr>
              <w:jc w:val="right"/>
              <w:rPr>
                <w:rFonts w:ascii="Times New Roman" w:hAnsi="Times New Roman"/>
                <w:sz w:val="18"/>
                <w:szCs w:val="18"/>
              </w:rPr>
            </w:pPr>
            <w:r w:rsidRPr="00364545">
              <w:rPr>
                <w:sz w:val="18"/>
              </w:rPr>
              <w:t>292,69</w:t>
            </w:r>
          </w:p>
        </w:tc>
        <w:tc>
          <w:tcPr>
            <w:tcW w:w="992" w:type="dxa"/>
            <w:tcBorders>
              <w:top w:val="nil"/>
              <w:left w:val="nil"/>
              <w:bottom w:val="single" w:sz="4" w:space="0" w:color="auto"/>
              <w:right w:val="single" w:sz="4" w:space="0" w:color="auto"/>
            </w:tcBorders>
            <w:shd w:val="clear" w:color="000000" w:fill="FFFFFF"/>
            <w:noWrap/>
            <w:vAlign w:val="bottom"/>
            <w:hideMark/>
          </w:tcPr>
          <w:p w14:paraId="19265E95" w14:textId="77777777" w:rsidR="00B56301" w:rsidRPr="00364545" w:rsidRDefault="00B56301" w:rsidP="00B37B65">
            <w:pPr>
              <w:jc w:val="right"/>
              <w:rPr>
                <w:rFonts w:ascii="Times New Roman" w:hAnsi="Times New Roman"/>
                <w:sz w:val="18"/>
                <w:szCs w:val="18"/>
              </w:rPr>
            </w:pPr>
            <w:r w:rsidRPr="00364545">
              <w:rPr>
                <w:sz w:val="18"/>
              </w:rPr>
              <w:t>207,39</w:t>
            </w:r>
          </w:p>
        </w:tc>
        <w:tc>
          <w:tcPr>
            <w:tcW w:w="992" w:type="dxa"/>
            <w:tcBorders>
              <w:top w:val="nil"/>
              <w:left w:val="nil"/>
              <w:bottom w:val="single" w:sz="4" w:space="0" w:color="auto"/>
              <w:right w:val="single" w:sz="4" w:space="0" w:color="auto"/>
            </w:tcBorders>
            <w:shd w:val="clear" w:color="000000" w:fill="FFFFFF"/>
            <w:noWrap/>
            <w:vAlign w:val="bottom"/>
            <w:hideMark/>
          </w:tcPr>
          <w:p w14:paraId="70073133" w14:textId="77777777" w:rsidR="00B56301" w:rsidRPr="00364545" w:rsidRDefault="00B56301" w:rsidP="00B37B65">
            <w:pPr>
              <w:jc w:val="right"/>
              <w:rPr>
                <w:rFonts w:ascii="Times New Roman" w:hAnsi="Times New Roman"/>
                <w:sz w:val="18"/>
                <w:szCs w:val="18"/>
              </w:rPr>
            </w:pPr>
            <w:r w:rsidRPr="00364545">
              <w:rPr>
                <w:sz w:val="18"/>
              </w:rPr>
              <w:t>151,19</w:t>
            </w:r>
          </w:p>
        </w:tc>
        <w:tc>
          <w:tcPr>
            <w:tcW w:w="992" w:type="dxa"/>
            <w:tcBorders>
              <w:top w:val="nil"/>
              <w:left w:val="nil"/>
              <w:bottom w:val="single" w:sz="4" w:space="0" w:color="auto"/>
              <w:right w:val="single" w:sz="4" w:space="0" w:color="auto"/>
            </w:tcBorders>
            <w:shd w:val="clear" w:color="000000" w:fill="FFFFFF"/>
            <w:noWrap/>
            <w:vAlign w:val="bottom"/>
            <w:hideMark/>
          </w:tcPr>
          <w:p w14:paraId="5EF75EC5" w14:textId="77777777" w:rsidR="00B56301" w:rsidRPr="00364545" w:rsidRDefault="00B56301" w:rsidP="00B37B65">
            <w:pPr>
              <w:jc w:val="right"/>
              <w:rPr>
                <w:rFonts w:ascii="Times New Roman" w:hAnsi="Times New Roman"/>
                <w:sz w:val="18"/>
                <w:szCs w:val="18"/>
              </w:rPr>
            </w:pPr>
            <w:r w:rsidRPr="00364545">
              <w:rPr>
                <w:sz w:val="18"/>
              </w:rPr>
              <w:t>64,78</w:t>
            </w:r>
          </w:p>
        </w:tc>
        <w:tc>
          <w:tcPr>
            <w:tcW w:w="992" w:type="dxa"/>
            <w:tcBorders>
              <w:top w:val="nil"/>
              <w:left w:val="nil"/>
              <w:bottom w:val="single" w:sz="4" w:space="0" w:color="auto"/>
              <w:right w:val="single" w:sz="4" w:space="0" w:color="auto"/>
            </w:tcBorders>
            <w:shd w:val="clear" w:color="000000" w:fill="FFFFFF"/>
            <w:noWrap/>
            <w:vAlign w:val="bottom"/>
            <w:hideMark/>
          </w:tcPr>
          <w:p w14:paraId="52FBA579" w14:textId="77777777" w:rsidR="00B56301" w:rsidRPr="00364545" w:rsidRDefault="00B56301" w:rsidP="00B37B65">
            <w:pPr>
              <w:jc w:val="right"/>
              <w:rPr>
                <w:rFonts w:ascii="Times New Roman" w:hAnsi="Times New Roman"/>
                <w:sz w:val="18"/>
                <w:szCs w:val="18"/>
              </w:rPr>
            </w:pPr>
            <w:r w:rsidRPr="00364545">
              <w:rPr>
                <w:sz w:val="18"/>
              </w:rPr>
              <w:t>63,55</w:t>
            </w:r>
          </w:p>
        </w:tc>
        <w:tc>
          <w:tcPr>
            <w:tcW w:w="992" w:type="dxa"/>
            <w:tcBorders>
              <w:top w:val="nil"/>
              <w:left w:val="nil"/>
              <w:bottom w:val="single" w:sz="4" w:space="0" w:color="auto"/>
              <w:right w:val="single" w:sz="4" w:space="0" w:color="auto"/>
            </w:tcBorders>
            <w:shd w:val="clear" w:color="000000" w:fill="FFFFFF"/>
            <w:noWrap/>
            <w:vAlign w:val="bottom"/>
            <w:hideMark/>
          </w:tcPr>
          <w:p w14:paraId="1B08011B" w14:textId="77777777" w:rsidR="00B56301" w:rsidRPr="00364545" w:rsidRDefault="00B56301" w:rsidP="00B37B65">
            <w:pPr>
              <w:jc w:val="right"/>
              <w:rPr>
                <w:rFonts w:ascii="Times New Roman" w:hAnsi="Times New Roman"/>
                <w:sz w:val="18"/>
                <w:szCs w:val="18"/>
              </w:rPr>
            </w:pPr>
            <w:r w:rsidRPr="00364545">
              <w:rPr>
                <w:sz w:val="18"/>
              </w:rPr>
              <w:t>44,69</w:t>
            </w:r>
          </w:p>
        </w:tc>
      </w:tr>
      <w:tr w:rsidR="00B56301" w:rsidRPr="00364545" w14:paraId="3D07891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4D9E2D6A" w14:textId="11CCE827"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Emissions of PFCs</w:t>
            </w:r>
            <w:r w:rsidRPr="00364545">
              <w:rPr>
                <w:rFonts w:ascii="Times New Roman" w:hAnsi="Times New Roman"/>
                <w:b/>
                <w:sz w:val="20"/>
                <w:vertAlign w:val="superscript"/>
              </w:rPr>
              <w:t xml:space="preserve"> </w:t>
            </w:r>
            <w:r w:rsidRPr="00364545">
              <w:rPr>
                <w:rFonts w:ascii="Times New Roman" w:hAnsi="Times New Roman"/>
                <w:b/>
                <w:sz w:val="20"/>
              </w:rPr>
              <w:t xml:space="preserve">- (kt </w:t>
            </w:r>
            <w:r w:rsidRPr="00364545">
              <w:t>CO</w:t>
            </w:r>
            <w:r w:rsidRPr="00364545">
              <w:rPr>
                <w:vertAlign w:val="subscript"/>
              </w:rPr>
              <w:t>2</w:t>
            </w:r>
            <w:r w:rsidRPr="00364545">
              <w:rPr>
                <w:rFonts w:ascii="Times New Roman" w:hAnsi="Times New Roman"/>
                <w:b/>
                <w:sz w:val="20"/>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48412289" w14:textId="77777777" w:rsidR="00B56301" w:rsidRPr="00364545" w:rsidRDefault="00B56301" w:rsidP="00B37B65">
            <w:pPr>
              <w:jc w:val="right"/>
              <w:rPr>
                <w:rFonts w:ascii="Times New Roman" w:hAnsi="Times New Roman"/>
                <w:sz w:val="18"/>
                <w:szCs w:val="18"/>
              </w:rPr>
            </w:pPr>
            <w:r w:rsidRPr="00364545">
              <w:rPr>
                <w:sz w:val="18"/>
              </w:rPr>
              <w:t>670,50</w:t>
            </w:r>
          </w:p>
        </w:tc>
        <w:tc>
          <w:tcPr>
            <w:tcW w:w="992" w:type="dxa"/>
            <w:tcBorders>
              <w:top w:val="nil"/>
              <w:left w:val="nil"/>
              <w:bottom w:val="single" w:sz="4" w:space="0" w:color="auto"/>
              <w:right w:val="single" w:sz="4" w:space="0" w:color="auto"/>
            </w:tcBorders>
            <w:shd w:val="clear" w:color="000000" w:fill="CCFFFF"/>
            <w:noWrap/>
            <w:vAlign w:val="bottom"/>
            <w:hideMark/>
          </w:tcPr>
          <w:p w14:paraId="05D6B23F" w14:textId="77777777" w:rsidR="00B56301" w:rsidRPr="00364545" w:rsidRDefault="00B56301" w:rsidP="00B37B65">
            <w:pPr>
              <w:jc w:val="right"/>
              <w:rPr>
                <w:rFonts w:ascii="Times New Roman" w:hAnsi="Times New Roman"/>
                <w:sz w:val="18"/>
                <w:szCs w:val="18"/>
              </w:rPr>
            </w:pPr>
            <w:r w:rsidRPr="00364545">
              <w:rPr>
                <w:sz w:val="18"/>
              </w:rPr>
              <w:t>615,88</w:t>
            </w:r>
          </w:p>
        </w:tc>
        <w:tc>
          <w:tcPr>
            <w:tcW w:w="992" w:type="dxa"/>
            <w:tcBorders>
              <w:top w:val="nil"/>
              <w:left w:val="nil"/>
              <w:bottom w:val="single" w:sz="4" w:space="0" w:color="auto"/>
              <w:right w:val="single" w:sz="4" w:space="0" w:color="auto"/>
            </w:tcBorders>
            <w:shd w:val="clear" w:color="000000" w:fill="CCFFFF"/>
            <w:noWrap/>
            <w:vAlign w:val="bottom"/>
            <w:hideMark/>
          </w:tcPr>
          <w:p w14:paraId="1880D183" w14:textId="77777777" w:rsidR="00B56301" w:rsidRPr="00364545" w:rsidRDefault="00B56301" w:rsidP="00B37B65">
            <w:pPr>
              <w:jc w:val="right"/>
              <w:rPr>
                <w:rFonts w:ascii="Times New Roman" w:hAnsi="Times New Roman"/>
                <w:sz w:val="18"/>
                <w:szCs w:val="18"/>
              </w:rPr>
            </w:pPr>
            <w:r w:rsidRPr="00364545">
              <w:rPr>
                <w:sz w:val="18"/>
              </w:rPr>
              <w:t>536,57</w:t>
            </w:r>
          </w:p>
        </w:tc>
        <w:tc>
          <w:tcPr>
            <w:tcW w:w="992" w:type="dxa"/>
            <w:tcBorders>
              <w:top w:val="nil"/>
              <w:left w:val="nil"/>
              <w:bottom w:val="single" w:sz="4" w:space="0" w:color="auto"/>
              <w:right w:val="single" w:sz="4" w:space="0" w:color="auto"/>
            </w:tcBorders>
            <w:shd w:val="clear" w:color="000000" w:fill="CCFFFF"/>
            <w:noWrap/>
            <w:vAlign w:val="bottom"/>
            <w:hideMark/>
          </w:tcPr>
          <w:p w14:paraId="20F25207" w14:textId="77777777" w:rsidR="00B56301" w:rsidRPr="00364545" w:rsidRDefault="00B56301" w:rsidP="00B37B65">
            <w:pPr>
              <w:jc w:val="right"/>
              <w:rPr>
                <w:rFonts w:ascii="Times New Roman" w:hAnsi="Times New Roman"/>
                <w:sz w:val="18"/>
                <w:szCs w:val="18"/>
              </w:rPr>
            </w:pPr>
            <w:r w:rsidRPr="00364545">
              <w:rPr>
                <w:sz w:val="18"/>
              </w:rPr>
              <w:t>666,01</w:t>
            </w:r>
          </w:p>
        </w:tc>
        <w:tc>
          <w:tcPr>
            <w:tcW w:w="992" w:type="dxa"/>
            <w:tcBorders>
              <w:top w:val="nil"/>
              <w:left w:val="nil"/>
              <w:bottom w:val="single" w:sz="4" w:space="0" w:color="auto"/>
              <w:right w:val="single" w:sz="4" w:space="0" w:color="auto"/>
            </w:tcBorders>
            <w:shd w:val="clear" w:color="000000" w:fill="CCFFFF"/>
            <w:noWrap/>
            <w:vAlign w:val="bottom"/>
            <w:hideMark/>
          </w:tcPr>
          <w:p w14:paraId="0B419C4E" w14:textId="77777777" w:rsidR="00B56301" w:rsidRPr="00364545" w:rsidRDefault="00B56301" w:rsidP="00B37B65">
            <w:pPr>
              <w:jc w:val="right"/>
              <w:rPr>
                <w:rFonts w:ascii="Times New Roman" w:hAnsi="Times New Roman"/>
                <w:sz w:val="18"/>
                <w:szCs w:val="18"/>
              </w:rPr>
            </w:pPr>
            <w:r w:rsidRPr="00364545">
              <w:rPr>
                <w:sz w:val="18"/>
              </w:rPr>
              <w:t>707,68</w:t>
            </w:r>
          </w:p>
        </w:tc>
        <w:tc>
          <w:tcPr>
            <w:tcW w:w="992" w:type="dxa"/>
            <w:tcBorders>
              <w:top w:val="nil"/>
              <w:left w:val="nil"/>
              <w:bottom w:val="single" w:sz="4" w:space="0" w:color="auto"/>
              <w:right w:val="single" w:sz="4" w:space="0" w:color="auto"/>
            </w:tcBorders>
            <w:shd w:val="clear" w:color="000000" w:fill="CCFFFF"/>
            <w:noWrap/>
            <w:vAlign w:val="bottom"/>
            <w:hideMark/>
          </w:tcPr>
          <w:p w14:paraId="6F1613EE" w14:textId="77777777" w:rsidR="00B56301" w:rsidRPr="00364545" w:rsidRDefault="00B56301" w:rsidP="00B37B65">
            <w:pPr>
              <w:jc w:val="right"/>
              <w:rPr>
                <w:rFonts w:ascii="Times New Roman" w:hAnsi="Times New Roman"/>
                <w:sz w:val="18"/>
                <w:szCs w:val="18"/>
              </w:rPr>
            </w:pPr>
            <w:r w:rsidRPr="00364545">
              <w:rPr>
                <w:sz w:val="18"/>
              </w:rPr>
              <w:t>676,73</w:t>
            </w:r>
          </w:p>
        </w:tc>
      </w:tr>
      <w:tr w:rsidR="00B56301" w:rsidRPr="00364545" w14:paraId="6518C8B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524473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CF</w:t>
            </w:r>
            <w:r w:rsidRPr="00364545">
              <w:rPr>
                <w:rFonts w:ascii="Times New Roman" w:hAnsi="Times New Roman"/>
                <w:sz w:val="20"/>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3BCE25B0"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6E8896B1"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90A08A1"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0F9B392"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666AD2E3"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B29290E" w14:textId="77777777" w:rsidR="00B56301" w:rsidRPr="00364545" w:rsidRDefault="00B56301" w:rsidP="00B37B65">
            <w:pPr>
              <w:jc w:val="right"/>
              <w:rPr>
                <w:rFonts w:ascii="Times New Roman" w:hAnsi="Times New Roman"/>
                <w:sz w:val="18"/>
                <w:szCs w:val="18"/>
              </w:rPr>
            </w:pPr>
            <w:r w:rsidRPr="00364545">
              <w:rPr>
                <w:sz w:val="18"/>
              </w:rPr>
              <w:t>0,01</w:t>
            </w:r>
          </w:p>
        </w:tc>
      </w:tr>
      <w:tr w:rsidR="00B56301" w:rsidRPr="00364545" w14:paraId="5E7795C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2D8EB0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2</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56BD1726"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F2E0212"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3124149"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E5F51B4"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9CE4B77" w14:textId="77777777" w:rsidR="00B56301" w:rsidRPr="00364545" w:rsidRDefault="00B56301" w:rsidP="00B37B65">
            <w:pPr>
              <w:jc w:val="right"/>
              <w:rPr>
                <w:rFonts w:ascii="Times New Roman" w:hAnsi="Times New Roman"/>
                <w:sz w:val="18"/>
                <w:szCs w:val="18"/>
              </w:rPr>
            </w:pPr>
            <w:r w:rsidRPr="00364545">
              <w:rPr>
                <w:sz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A3215B5"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5151CAF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CBA932B"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0CACAD38"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7DF397"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5F6D52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95CF9B6"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EE49734"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28988CB"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4E45608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9E3F27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48D9BAC9"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3DF9F03"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4E428C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FFE4433"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88B187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B357E90"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764CD7F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694415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109C09A4"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D2A9A4A"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66DEE2F"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2577117"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F9A6E7A"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28D0030"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7AADFCC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056D0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5</w:t>
            </w:r>
            <w:r w:rsidRPr="00364545">
              <w:rPr>
                <w:rFonts w:ascii="Times New Roman" w:hAnsi="Times New Roman"/>
                <w:sz w:val="20"/>
              </w:rPr>
              <w:t>F</w:t>
            </w:r>
            <w:r w:rsidRPr="00364545">
              <w:rPr>
                <w:rFonts w:ascii="Times New Roman" w:hAnsi="Times New Roman"/>
                <w:sz w:val="20"/>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54359285"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642C977"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B37A934"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1631AF6"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20E3EE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91426C"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06C217A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FC74C6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6</w:t>
            </w:r>
            <w:r w:rsidRPr="00364545">
              <w:rPr>
                <w:rFonts w:ascii="Times New Roman" w:hAnsi="Times New Roman"/>
                <w:sz w:val="20"/>
              </w:rPr>
              <w:t>F</w:t>
            </w:r>
            <w:r w:rsidRPr="00364545">
              <w:rPr>
                <w:rFonts w:ascii="Times New Roman" w:hAnsi="Times New Roman"/>
                <w:sz w:val="20"/>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1BCC3F2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59E91C2"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F4A7ED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F1D7C0"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3EEB71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7F1EA9C"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2542CD5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F11FEE3"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10</w:t>
            </w:r>
            <w:r w:rsidRPr="00364545">
              <w:rPr>
                <w:rFonts w:ascii="Times New Roman" w:hAnsi="Times New Roman"/>
                <w:sz w:val="20"/>
              </w:rPr>
              <w:t>F</w:t>
            </w:r>
            <w:r w:rsidRPr="00364545">
              <w:rPr>
                <w:rFonts w:ascii="Times New Roman" w:hAnsi="Times New Roman"/>
                <w:sz w:val="20"/>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506C4486"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48D9E65"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802811A"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31F9851"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E23150B"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2EB3AFD"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2888A8D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ECD06E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6A8ECCDE"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35651A5"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186D71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CF7923C"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0B1D6B2" w14:textId="77777777" w:rsidR="00B56301" w:rsidRPr="00364545" w:rsidRDefault="00B56301" w:rsidP="00B37B65">
            <w:pPr>
              <w:jc w:val="right"/>
              <w:rPr>
                <w:rFonts w:ascii="Times New Roman" w:hAnsi="Times New Roman"/>
                <w:sz w:val="18"/>
                <w:szCs w:val="18"/>
              </w:rPr>
            </w:pPr>
            <w:r w:rsidRPr="00364545">
              <w:rPr>
                <w:sz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1864EC4" w14:textId="77777777" w:rsidR="00B56301" w:rsidRPr="00364545" w:rsidRDefault="00B56301" w:rsidP="00B37B65">
            <w:pPr>
              <w:jc w:val="right"/>
              <w:rPr>
                <w:rFonts w:ascii="Times New Roman" w:hAnsi="Times New Roman"/>
                <w:sz w:val="18"/>
                <w:szCs w:val="18"/>
              </w:rPr>
            </w:pPr>
            <w:r w:rsidRPr="00364545">
              <w:rPr>
                <w:sz w:val="18"/>
              </w:rPr>
              <w:t>NO,IE,NA</w:t>
            </w:r>
          </w:p>
        </w:tc>
      </w:tr>
      <w:tr w:rsidR="00B56301" w:rsidRPr="00364545" w14:paraId="737093D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DC13E2F" w14:textId="7CF2D18B"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PFCs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197B45E7" w14:textId="77777777" w:rsidR="00B56301" w:rsidRPr="00364545" w:rsidRDefault="00B56301" w:rsidP="00B37B65">
            <w:pPr>
              <w:jc w:val="right"/>
              <w:rPr>
                <w:rFonts w:ascii="Times New Roman" w:hAnsi="Times New Roman"/>
                <w:sz w:val="18"/>
                <w:szCs w:val="18"/>
              </w:rPr>
            </w:pPr>
            <w:r w:rsidRPr="00364545">
              <w:rPr>
                <w:sz w:val="18"/>
              </w:rPr>
              <w:t>490,91</w:t>
            </w:r>
          </w:p>
        </w:tc>
        <w:tc>
          <w:tcPr>
            <w:tcW w:w="992" w:type="dxa"/>
            <w:tcBorders>
              <w:top w:val="nil"/>
              <w:left w:val="nil"/>
              <w:bottom w:val="single" w:sz="4" w:space="0" w:color="auto"/>
              <w:right w:val="single" w:sz="4" w:space="0" w:color="auto"/>
            </w:tcBorders>
            <w:shd w:val="clear" w:color="000000" w:fill="FFFFFF"/>
            <w:noWrap/>
            <w:vAlign w:val="bottom"/>
            <w:hideMark/>
          </w:tcPr>
          <w:p w14:paraId="29356491" w14:textId="77777777" w:rsidR="00B56301" w:rsidRPr="00364545" w:rsidRDefault="00B56301" w:rsidP="00B37B65">
            <w:pPr>
              <w:jc w:val="right"/>
              <w:rPr>
                <w:rFonts w:ascii="Times New Roman" w:hAnsi="Times New Roman"/>
                <w:sz w:val="18"/>
                <w:szCs w:val="18"/>
              </w:rPr>
            </w:pPr>
            <w:r w:rsidRPr="00364545">
              <w:rPr>
                <w:sz w:val="18"/>
              </w:rPr>
              <w:t>446,93</w:t>
            </w:r>
          </w:p>
        </w:tc>
        <w:tc>
          <w:tcPr>
            <w:tcW w:w="992" w:type="dxa"/>
            <w:tcBorders>
              <w:top w:val="nil"/>
              <w:left w:val="nil"/>
              <w:bottom w:val="single" w:sz="4" w:space="0" w:color="auto"/>
              <w:right w:val="single" w:sz="4" w:space="0" w:color="auto"/>
            </w:tcBorders>
            <w:shd w:val="clear" w:color="000000" w:fill="FFFFFF"/>
            <w:noWrap/>
            <w:vAlign w:val="bottom"/>
            <w:hideMark/>
          </w:tcPr>
          <w:p w14:paraId="005FEA9E" w14:textId="77777777" w:rsidR="00B56301" w:rsidRPr="00364545" w:rsidRDefault="00B56301" w:rsidP="00B37B65">
            <w:pPr>
              <w:jc w:val="right"/>
              <w:rPr>
                <w:rFonts w:ascii="Times New Roman" w:hAnsi="Times New Roman"/>
                <w:sz w:val="18"/>
                <w:szCs w:val="18"/>
              </w:rPr>
            </w:pPr>
            <w:r w:rsidRPr="00364545">
              <w:rPr>
                <w:sz w:val="18"/>
              </w:rPr>
              <w:t>401,87</w:t>
            </w:r>
          </w:p>
        </w:tc>
        <w:tc>
          <w:tcPr>
            <w:tcW w:w="992" w:type="dxa"/>
            <w:tcBorders>
              <w:top w:val="nil"/>
              <w:left w:val="nil"/>
              <w:bottom w:val="single" w:sz="4" w:space="0" w:color="auto"/>
              <w:right w:val="single" w:sz="4" w:space="0" w:color="auto"/>
            </w:tcBorders>
            <w:shd w:val="clear" w:color="000000" w:fill="FFFFFF"/>
            <w:noWrap/>
            <w:vAlign w:val="bottom"/>
            <w:hideMark/>
          </w:tcPr>
          <w:p w14:paraId="7AB85E00" w14:textId="77777777" w:rsidR="00B56301" w:rsidRPr="00364545" w:rsidRDefault="00B56301" w:rsidP="00B37B65">
            <w:pPr>
              <w:jc w:val="right"/>
              <w:rPr>
                <w:rFonts w:ascii="Times New Roman" w:hAnsi="Times New Roman"/>
                <w:sz w:val="18"/>
                <w:szCs w:val="18"/>
              </w:rPr>
            </w:pPr>
            <w:r w:rsidRPr="00364545">
              <w:rPr>
                <w:sz w:val="18"/>
              </w:rPr>
              <w:t>456,91</w:t>
            </w:r>
          </w:p>
        </w:tc>
        <w:tc>
          <w:tcPr>
            <w:tcW w:w="992" w:type="dxa"/>
            <w:tcBorders>
              <w:top w:val="nil"/>
              <w:left w:val="nil"/>
              <w:bottom w:val="single" w:sz="4" w:space="0" w:color="auto"/>
              <w:right w:val="single" w:sz="4" w:space="0" w:color="auto"/>
            </w:tcBorders>
            <w:shd w:val="clear" w:color="000000" w:fill="FFFFFF"/>
            <w:noWrap/>
            <w:vAlign w:val="bottom"/>
            <w:hideMark/>
          </w:tcPr>
          <w:p w14:paraId="0DFB2575" w14:textId="77777777" w:rsidR="00B56301" w:rsidRPr="00364545" w:rsidRDefault="00B56301" w:rsidP="00B37B65">
            <w:pPr>
              <w:jc w:val="right"/>
              <w:rPr>
                <w:rFonts w:ascii="Times New Roman" w:hAnsi="Times New Roman"/>
                <w:sz w:val="18"/>
                <w:szCs w:val="18"/>
              </w:rPr>
            </w:pPr>
            <w:r w:rsidRPr="00364545">
              <w:rPr>
                <w:sz w:val="18"/>
              </w:rPr>
              <w:t>551,56</w:t>
            </w:r>
          </w:p>
        </w:tc>
        <w:tc>
          <w:tcPr>
            <w:tcW w:w="992" w:type="dxa"/>
            <w:tcBorders>
              <w:top w:val="nil"/>
              <w:left w:val="nil"/>
              <w:bottom w:val="single" w:sz="4" w:space="0" w:color="auto"/>
              <w:right w:val="single" w:sz="4" w:space="0" w:color="auto"/>
            </w:tcBorders>
            <w:shd w:val="clear" w:color="000000" w:fill="FFFFFF"/>
            <w:noWrap/>
            <w:vAlign w:val="bottom"/>
            <w:hideMark/>
          </w:tcPr>
          <w:p w14:paraId="76D8BA50" w14:textId="77777777" w:rsidR="00B56301" w:rsidRPr="00364545" w:rsidRDefault="00B56301" w:rsidP="00B37B65">
            <w:pPr>
              <w:jc w:val="right"/>
              <w:rPr>
                <w:rFonts w:ascii="Times New Roman" w:hAnsi="Times New Roman"/>
                <w:sz w:val="18"/>
                <w:szCs w:val="18"/>
              </w:rPr>
            </w:pPr>
            <w:r w:rsidRPr="00364545">
              <w:rPr>
                <w:sz w:val="18"/>
              </w:rPr>
              <w:t>531,38</w:t>
            </w:r>
          </w:p>
        </w:tc>
      </w:tr>
      <w:tr w:rsidR="00B56301" w:rsidRPr="00364545" w14:paraId="5491C00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0E44D7D" w14:textId="2114BEE9"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Unspecified mix of HFCs and PFCs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117D78A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58B242C"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5F75C9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DA8C87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F1EE6AD"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F846133"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4EF5755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76800ECD" w14:textId="4824F5A3"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t>SF</w:t>
            </w:r>
            <w:r w:rsidRPr="00364545">
              <w:rPr>
                <w:vertAlign w:val="subscript"/>
              </w:rPr>
              <w:t>6</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29C4B4E7" w14:textId="77777777" w:rsidR="00B56301" w:rsidRPr="00364545" w:rsidRDefault="00B56301" w:rsidP="00B37B65">
            <w:pPr>
              <w:jc w:val="right"/>
              <w:rPr>
                <w:rFonts w:ascii="Times New Roman" w:hAnsi="Times New Roman"/>
                <w:sz w:val="18"/>
                <w:szCs w:val="18"/>
              </w:rPr>
            </w:pPr>
            <w:r w:rsidRPr="00364545">
              <w:rPr>
                <w:sz w:val="18"/>
              </w:rPr>
              <w:t>583,57</w:t>
            </w:r>
          </w:p>
        </w:tc>
        <w:tc>
          <w:tcPr>
            <w:tcW w:w="992" w:type="dxa"/>
            <w:tcBorders>
              <w:top w:val="nil"/>
              <w:left w:val="nil"/>
              <w:bottom w:val="single" w:sz="4" w:space="0" w:color="auto"/>
              <w:right w:val="single" w:sz="4" w:space="0" w:color="auto"/>
            </w:tcBorders>
            <w:shd w:val="clear" w:color="000000" w:fill="CCFFFF"/>
            <w:noWrap/>
            <w:vAlign w:val="bottom"/>
            <w:hideMark/>
          </w:tcPr>
          <w:p w14:paraId="7A5CC114" w14:textId="77777777" w:rsidR="00B56301" w:rsidRPr="00364545" w:rsidRDefault="00B56301" w:rsidP="00B37B65">
            <w:pPr>
              <w:jc w:val="right"/>
              <w:rPr>
                <w:rFonts w:ascii="Times New Roman" w:hAnsi="Times New Roman"/>
                <w:sz w:val="18"/>
                <w:szCs w:val="18"/>
              </w:rPr>
            </w:pPr>
            <w:r w:rsidRPr="00364545">
              <w:rPr>
                <w:sz w:val="18"/>
              </w:rPr>
              <w:t>474,26</w:t>
            </w:r>
          </w:p>
        </w:tc>
        <w:tc>
          <w:tcPr>
            <w:tcW w:w="992" w:type="dxa"/>
            <w:tcBorders>
              <w:top w:val="nil"/>
              <w:left w:val="nil"/>
              <w:bottom w:val="single" w:sz="4" w:space="0" w:color="auto"/>
              <w:right w:val="single" w:sz="4" w:space="0" w:color="auto"/>
            </w:tcBorders>
            <w:shd w:val="clear" w:color="000000" w:fill="CCFFFF"/>
            <w:noWrap/>
            <w:vAlign w:val="bottom"/>
            <w:hideMark/>
          </w:tcPr>
          <w:p w14:paraId="53682130" w14:textId="77777777" w:rsidR="00B56301" w:rsidRPr="00364545" w:rsidRDefault="00B56301" w:rsidP="00B37B65">
            <w:pPr>
              <w:jc w:val="right"/>
              <w:rPr>
                <w:rFonts w:ascii="Times New Roman" w:hAnsi="Times New Roman"/>
                <w:sz w:val="18"/>
                <w:szCs w:val="18"/>
              </w:rPr>
            </w:pPr>
            <w:r w:rsidRPr="00364545">
              <w:rPr>
                <w:sz w:val="18"/>
              </w:rPr>
              <w:t>498,11</w:t>
            </w:r>
          </w:p>
        </w:tc>
        <w:tc>
          <w:tcPr>
            <w:tcW w:w="992" w:type="dxa"/>
            <w:tcBorders>
              <w:top w:val="nil"/>
              <w:left w:val="nil"/>
              <w:bottom w:val="single" w:sz="4" w:space="0" w:color="auto"/>
              <w:right w:val="single" w:sz="4" w:space="0" w:color="auto"/>
            </w:tcBorders>
            <w:shd w:val="clear" w:color="000000" w:fill="CCFFFF"/>
            <w:noWrap/>
            <w:vAlign w:val="bottom"/>
            <w:hideMark/>
          </w:tcPr>
          <w:p w14:paraId="5CCE1144" w14:textId="77777777" w:rsidR="00B56301" w:rsidRPr="00364545" w:rsidRDefault="00B56301" w:rsidP="00B37B65">
            <w:pPr>
              <w:jc w:val="right"/>
              <w:rPr>
                <w:rFonts w:ascii="Times New Roman" w:hAnsi="Times New Roman"/>
                <w:sz w:val="18"/>
                <w:szCs w:val="18"/>
              </w:rPr>
            </w:pPr>
            <w:r w:rsidRPr="00364545">
              <w:rPr>
                <w:sz w:val="18"/>
              </w:rPr>
              <w:t>506,58</w:t>
            </w:r>
          </w:p>
        </w:tc>
        <w:tc>
          <w:tcPr>
            <w:tcW w:w="992" w:type="dxa"/>
            <w:tcBorders>
              <w:top w:val="nil"/>
              <w:left w:val="nil"/>
              <w:bottom w:val="single" w:sz="4" w:space="0" w:color="auto"/>
              <w:right w:val="single" w:sz="4" w:space="0" w:color="auto"/>
            </w:tcBorders>
            <w:shd w:val="clear" w:color="000000" w:fill="CCFFFF"/>
            <w:noWrap/>
            <w:vAlign w:val="bottom"/>
            <w:hideMark/>
          </w:tcPr>
          <w:p w14:paraId="68794DF2" w14:textId="77777777" w:rsidR="00B56301" w:rsidRPr="00364545" w:rsidRDefault="00B56301" w:rsidP="00B37B65">
            <w:pPr>
              <w:jc w:val="right"/>
              <w:rPr>
                <w:rFonts w:ascii="Times New Roman" w:hAnsi="Times New Roman"/>
                <w:sz w:val="18"/>
                <w:szCs w:val="18"/>
              </w:rPr>
            </w:pPr>
            <w:r w:rsidRPr="00364545">
              <w:rPr>
                <w:sz w:val="18"/>
              </w:rPr>
              <w:t>461,05</w:t>
            </w:r>
          </w:p>
        </w:tc>
        <w:tc>
          <w:tcPr>
            <w:tcW w:w="992" w:type="dxa"/>
            <w:tcBorders>
              <w:top w:val="nil"/>
              <w:left w:val="nil"/>
              <w:bottom w:val="single" w:sz="4" w:space="0" w:color="auto"/>
              <w:right w:val="single" w:sz="4" w:space="0" w:color="auto"/>
            </w:tcBorders>
            <w:shd w:val="clear" w:color="000000" w:fill="CCFFFF"/>
            <w:noWrap/>
            <w:vAlign w:val="bottom"/>
            <w:hideMark/>
          </w:tcPr>
          <w:p w14:paraId="10B01A81" w14:textId="77777777" w:rsidR="00B56301" w:rsidRPr="00364545" w:rsidRDefault="00B56301" w:rsidP="00B37B65">
            <w:pPr>
              <w:jc w:val="right"/>
              <w:rPr>
                <w:rFonts w:ascii="Times New Roman" w:hAnsi="Times New Roman"/>
                <w:sz w:val="18"/>
                <w:szCs w:val="18"/>
              </w:rPr>
            </w:pPr>
            <w:r w:rsidRPr="00364545">
              <w:rPr>
                <w:sz w:val="18"/>
              </w:rPr>
              <w:t>432,82</w:t>
            </w:r>
          </w:p>
        </w:tc>
      </w:tr>
      <w:tr w:rsidR="00B56301" w:rsidRPr="00364545" w14:paraId="6694F8AF" w14:textId="77777777" w:rsidTr="00B37B65">
        <w:trPr>
          <w:trHeight w:val="68"/>
          <w:jc w:val="center"/>
        </w:trPr>
        <w:tc>
          <w:tcPr>
            <w:tcW w:w="3795" w:type="dxa"/>
            <w:tcBorders>
              <w:top w:val="single" w:sz="4" w:space="0" w:color="auto"/>
              <w:left w:val="single" w:sz="4" w:space="0" w:color="auto"/>
              <w:bottom w:val="nil"/>
              <w:right w:val="single" w:sz="4" w:space="0" w:color="auto"/>
            </w:tcBorders>
            <w:shd w:val="clear" w:color="000000" w:fill="CCFFFF"/>
            <w:vAlign w:val="center"/>
            <w:hideMark/>
          </w:tcPr>
          <w:p w14:paraId="39A295F1" w14:textId="6BF4B2B6" w:rsidR="00B56301" w:rsidRPr="00364545" w:rsidRDefault="007F09F7" w:rsidP="00B37B65">
            <w:pPr>
              <w:jc w:val="left"/>
              <w:rPr>
                <w:rFonts w:ascii="Times New Roman" w:hAnsi="Times New Roman"/>
                <w:sz w:val="20"/>
                <w:szCs w:val="18"/>
              </w:rPr>
            </w:pPr>
            <w:r w:rsidRPr="00364545">
              <w:t>SF</w:t>
            </w:r>
            <w:r w:rsidRPr="00364545">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2D5F1F82" w14:textId="77777777" w:rsidR="00B56301" w:rsidRPr="00364545" w:rsidRDefault="00B56301" w:rsidP="00B37B65">
            <w:pPr>
              <w:jc w:val="right"/>
              <w:rPr>
                <w:rFonts w:ascii="Times New Roman" w:hAnsi="Times New Roman"/>
                <w:sz w:val="18"/>
                <w:szCs w:val="18"/>
              </w:rPr>
            </w:pPr>
            <w:r w:rsidRPr="00364545">
              <w:rPr>
                <w:sz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54899B7"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3D3DD301"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7D498D2"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1F76066" w14:textId="77777777" w:rsidR="00B56301" w:rsidRPr="00364545" w:rsidRDefault="00B56301" w:rsidP="00B37B65">
            <w:pPr>
              <w:jc w:val="right"/>
              <w:rPr>
                <w:rFonts w:ascii="Times New Roman" w:hAnsi="Times New Roman"/>
                <w:sz w:val="18"/>
                <w:szCs w:val="18"/>
              </w:rPr>
            </w:pPr>
            <w:r w:rsidRPr="00364545">
              <w:rPr>
                <w:sz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A39CDB3" w14:textId="77777777" w:rsidR="00B56301" w:rsidRPr="00364545" w:rsidRDefault="00B56301" w:rsidP="00B37B65">
            <w:pPr>
              <w:jc w:val="right"/>
              <w:rPr>
                <w:rFonts w:ascii="Times New Roman" w:hAnsi="Times New Roman"/>
                <w:sz w:val="18"/>
                <w:szCs w:val="18"/>
              </w:rPr>
            </w:pPr>
            <w:r w:rsidRPr="00364545">
              <w:rPr>
                <w:sz w:val="18"/>
              </w:rPr>
              <w:t>0,02</w:t>
            </w:r>
          </w:p>
        </w:tc>
      </w:tr>
      <w:tr w:rsidR="00B56301" w:rsidRPr="00364545" w14:paraId="57D64151"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7C154C4B" w14:textId="5F6EF65F"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rPr>
                <w:sz w:val="18"/>
              </w:rPr>
              <w:t>NF</w:t>
            </w:r>
            <w:r w:rsidRPr="00364545">
              <w:rPr>
                <w:sz w:val="18"/>
                <w:vertAlign w:val="subscript"/>
              </w:rPr>
              <w:t>3</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581CDE64" w14:textId="77777777" w:rsidR="00B56301" w:rsidRPr="00364545" w:rsidRDefault="00B56301" w:rsidP="00B37B65">
            <w:pPr>
              <w:jc w:val="right"/>
              <w:rPr>
                <w:rFonts w:ascii="Times New Roman" w:hAnsi="Times New Roman"/>
                <w:sz w:val="18"/>
                <w:szCs w:val="18"/>
              </w:rPr>
            </w:pPr>
            <w:r w:rsidRPr="00364545">
              <w:rPr>
                <w:sz w:val="18"/>
              </w:rPr>
              <w:t>10,63</w:t>
            </w:r>
          </w:p>
        </w:tc>
        <w:tc>
          <w:tcPr>
            <w:tcW w:w="992" w:type="dxa"/>
            <w:tcBorders>
              <w:top w:val="nil"/>
              <w:left w:val="nil"/>
              <w:bottom w:val="single" w:sz="4" w:space="0" w:color="auto"/>
              <w:right w:val="single" w:sz="4" w:space="0" w:color="auto"/>
            </w:tcBorders>
            <w:shd w:val="clear" w:color="000000" w:fill="CCFFFF"/>
            <w:noWrap/>
            <w:vAlign w:val="bottom"/>
            <w:hideMark/>
          </w:tcPr>
          <w:p w14:paraId="668C99FD" w14:textId="77777777" w:rsidR="00B56301" w:rsidRPr="00364545" w:rsidRDefault="00B56301" w:rsidP="00B37B65">
            <w:pPr>
              <w:jc w:val="right"/>
              <w:rPr>
                <w:rFonts w:ascii="Times New Roman" w:hAnsi="Times New Roman"/>
                <w:sz w:val="18"/>
                <w:szCs w:val="18"/>
              </w:rPr>
            </w:pPr>
            <w:r w:rsidRPr="00364545">
              <w:rPr>
                <w:sz w:val="18"/>
              </w:rPr>
              <w:t>6,37</w:t>
            </w:r>
          </w:p>
        </w:tc>
        <w:tc>
          <w:tcPr>
            <w:tcW w:w="992" w:type="dxa"/>
            <w:tcBorders>
              <w:top w:val="nil"/>
              <w:left w:val="nil"/>
              <w:bottom w:val="single" w:sz="4" w:space="0" w:color="auto"/>
              <w:right w:val="single" w:sz="4" w:space="0" w:color="auto"/>
            </w:tcBorders>
            <w:shd w:val="clear" w:color="000000" w:fill="CCFFFF"/>
            <w:noWrap/>
            <w:vAlign w:val="bottom"/>
            <w:hideMark/>
          </w:tcPr>
          <w:p w14:paraId="3AFC5BD2" w14:textId="77777777" w:rsidR="00B56301" w:rsidRPr="00364545" w:rsidRDefault="00B56301" w:rsidP="00B37B65">
            <w:pPr>
              <w:jc w:val="right"/>
              <w:rPr>
                <w:rFonts w:ascii="Times New Roman" w:hAnsi="Times New Roman"/>
                <w:sz w:val="18"/>
                <w:szCs w:val="18"/>
              </w:rPr>
            </w:pPr>
            <w:r w:rsidRPr="00364545">
              <w:rPr>
                <w:sz w:val="18"/>
              </w:rPr>
              <w:t>6,23</w:t>
            </w:r>
          </w:p>
        </w:tc>
        <w:tc>
          <w:tcPr>
            <w:tcW w:w="992" w:type="dxa"/>
            <w:tcBorders>
              <w:top w:val="nil"/>
              <w:left w:val="nil"/>
              <w:bottom w:val="single" w:sz="4" w:space="0" w:color="auto"/>
              <w:right w:val="single" w:sz="4" w:space="0" w:color="auto"/>
            </w:tcBorders>
            <w:shd w:val="clear" w:color="000000" w:fill="CCFFFF"/>
            <w:noWrap/>
            <w:vAlign w:val="bottom"/>
            <w:hideMark/>
          </w:tcPr>
          <w:p w14:paraId="7E5B6A1E" w14:textId="77777777" w:rsidR="00B56301" w:rsidRPr="00364545" w:rsidRDefault="00B56301" w:rsidP="00B37B65">
            <w:pPr>
              <w:jc w:val="right"/>
              <w:rPr>
                <w:rFonts w:ascii="Times New Roman" w:hAnsi="Times New Roman"/>
                <w:sz w:val="18"/>
                <w:szCs w:val="18"/>
              </w:rPr>
            </w:pPr>
            <w:r w:rsidRPr="00364545">
              <w:rPr>
                <w:sz w:val="18"/>
              </w:rPr>
              <w:t>5,84</w:t>
            </w:r>
          </w:p>
        </w:tc>
        <w:tc>
          <w:tcPr>
            <w:tcW w:w="992" w:type="dxa"/>
            <w:tcBorders>
              <w:top w:val="nil"/>
              <w:left w:val="nil"/>
              <w:bottom w:val="single" w:sz="4" w:space="0" w:color="auto"/>
              <w:right w:val="single" w:sz="4" w:space="0" w:color="auto"/>
            </w:tcBorders>
            <w:shd w:val="clear" w:color="000000" w:fill="CCFFFF"/>
            <w:noWrap/>
            <w:vAlign w:val="bottom"/>
            <w:hideMark/>
          </w:tcPr>
          <w:p w14:paraId="1402F125" w14:textId="77777777" w:rsidR="00B56301" w:rsidRPr="00364545" w:rsidRDefault="00B56301" w:rsidP="00B37B65">
            <w:pPr>
              <w:jc w:val="right"/>
              <w:rPr>
                <w:rFonts w:ascii="Times New Roman" w:hAnsi="Times New Roman"/>
                <w:sz w:val="18"/>
                <w:szCs w:val="18"/>
              </w:rPr>
            </w:pPr>
            <w:r w:rsidRPr="00364545">
              <w:rPr>
                <w:sz w:val="18"/>
              </w:rPr>
              <w:t>7,64</w:t>
            </w:r>
          </w:p>
        </w:tc>
        <w:tc>
          <w:tcPr>
            <w:tcW w:w="992" w:type="dxa"/>
            <w:tcBorders>
              <w:top w:val="nil"/>
              <w:left w:val="nil"/>
              <w:bottom w:val="single" w:sz="4" w:space="0" w:color="auto"/>
              <w:right w:val="single" w:sz="4" w:space="0" w:color="auto"/>
            </w:tcBorders>
            <w:shd w:val="clear" w:color="000000" w:fill="CCFFFF"/>
            <w:noWrap/>
            <w:vAlign w:val="bottom"/>
            <w:hideMark/>
          </w:tcPr>
          <w:p w14:paraId="4FE9CFD0" w14:textId="77777777" w:rsidR="00B56301" w:rsidRPr="00364545" w:rsidRDefault="00B56301" w:rsidP="00B37B65">
            <w:pPr>
              <w:jc w:val="right"/>
              <w:rPr>
                <w:rFonts w:ascii="Times New Roman" w:hAnsi="Times New Roman"/>
                <w:sz w:val="18"/>
                <w:szCs w:val="18"/>
              </w:rPr>
            </w:pPr>
            <w:r w:rsidRPr="00364545">
              <w:rPr>
                <w:sz w:val="18"/>
              </w:rPr>
              <w:t>12,25</w:t>
            </w:r>
          </w:p>
        </w:tc>
      </w:tr>
      <w:tr w:rsidR="00B56301" w:rsidRPr="00364545" w14:paraId="5358F72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5194A9B3" w14:textId="614DC030" w:rsidR="00B56301" w:rsidRPr="00364545" w:rsidRDefault="007F09F7" w:rsidP="00B37B65">
            <w:pPr>
              <w:jc w:val="left"/>
              <w:rPr>
                <w:rFonts w:ascii="Times New Roman" w:hAnsi="Times New Roman"/>
                <w:sz w:val="20"/>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4F3F19BC"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2CB15BE"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40DE8B4"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4A4EA3B"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5BA8CAF" w14:textId="77777777" w:rsidR="00B56301" w:rsidRPr="00364545" w:rsidRDefault="00B56301" w:rsidP="00B37B65">
            <w:pPr>
              <w:jc w:val="right"/>
              <w:rPr>
                <w:rFonts w:ascii="Times New Roman" w:hAnsi="Times New Roman"/>
                <w:sz w:val="18"/>
                <w:szCs w:val="18"/>
              </w:rPr>
            </w:pPr>
            <w:r w:rsidRPr="00364545">
              <w:rPr>
                <w:sz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0B3F8B4" w14:textId="77777777" w:rsidR="00B56301" w:rsidRPr="00364545" w:rsidRDefault="00B56301" w:rsidP="00B37B65">
            <w:pPr>
              <w:jc w:val="right"/>
              <w:rPr>
                <w:rFonts w:ascii="Times New Roman" w:hAnsi="Times New Roman"/>
                <w:sz w:val="18"/>
                <w:szCs w:val="18"/>
              </w:rPr>
            </w:pPr>
            <w:r w:rsidRPr="00364545">
              <w:rPr>
                <w:sz w:val="18"/>
              </w:rPr>
              <w:t>0,00</w:t>
            </w:r>
          </w:p>
        </w:tc>
      </w:tr>
    </w:tbl>
    <w:p w14:paraId="170E138C" w14:textId="77777777" w:rsidR="00B56301" w:rsidRPr="00364545" w:rsidRDefault="00B56301" w:rsidP="00B56301">
      <w:pPr>
        <w:rPr>
          <w:rFonts w:cs="Arial"/>
        </w:rPr>
      </w:pPr>
    </w:p>
    <w:p w14:paraId="121091D1" w14:textId="77777777" w:rsidR="00B56301" w:rsidRPr="00364545" w:rsidRDefault="00B56301" w:rsidP="00B56301">
      <w:pPr>
        <w:spacing w:line="240" w:lineRule="atLeast"/>
        <w:jc w:val="left"/>
        <w:rPr>
          <w:rFonts w:cs="Arial"/>
        </w:rPr>
      </w:pPr>
      <w:r w:rsidRPr="00364545">
        <w:br w:type="page"/>
      </w:r>
    </w:p>
    <w:tbl>
      <w:tblPr>
        <w:tblW w:w="7535" w:type="dxa"/>
        <w:jc w:val="center"/>
        <w:tblCellMar>
          <w:left w:w="70" w:type="dxa"/>
          <w:right w:w="70" w:type="dxa"/>
        </w:tblCellMar>
        <w:tblLook w:val="04A0" w:firstRow="1" w:lastRow="0" w:firstColumn="1" w:lastColumn="0" w:noHBand="0" w:noVBand="1"/>
      </w:tblPr>
      <w:tblGrid>
        <w:gridCol w:w="3801"/>
        <w:gridCol w:w="993"/>
        <w:gridCol w:w="993"/>
        <w:gridCol w:w="1748"/>
      </w:tblGrid>
      <w:tr w:rsidR="00B56301" w:rsidRPr="00364545" w14:paraId="500F1505"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20B6BBFF" w14:textId="77777777" w:rsidR="00B56301" w:rsidRPr="00364545" w:rsidRDefault="00B56301" w:rsidP="00B37B65">
            <w:pPr>
              <w:jc w:val="center"/>
              <w:rPr>
                <w:rFonts w:ascii="Times New Roman" w:hAnsi="Times New Roman"/>
                <w:b/>
                <w:bCs/>
                <w:sz w:val="20"/>
                <w:szCs w:val="18"/>
              </w:rPr>
            </w:pPr>
            <w:r w:rsidRPr="00364545">
              <w:rPr>
                <w:rFonts w:ascii="Times New Roman" w:hAnsi="Times New Roman"/>
                <w:b/>
                <w:sz w:val="20"/>
              </w:rPr>
              <w:t>GREENHOUSE GAS SOURCE AND SINK CATEGORIES</w:t>
            </w:r>
          </w:p>
        </w:tc>
        <w:tc>
          <w:tcPr>
            <w:tcW w:w="99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D56DA8A"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2019</w:t>
            </w:r>
          </w:p>
        </w:tc>
        <w:tc>
          <w:tcPr>
            <w:tcW w:w="993" w:type="dxa"/>
            <w:tcBorders>
              <w:top w:val="single" w:sz="4" w:space="0" w:color="auto"/>
              <w:left w:val="nil"/>
              <w:bottom w:val="single" w:sz="4" w:space="0" w:color="auto"/>
              <w:right w:val="single" w:sz="4" w:space="0" w:color="auto"/>
            </w:tcBorders>
            <w:shd w:val="clear" w:color="000000" w:fill="CCFFFF"/>
            <w:noWrap/>
            <w:vAlign w:val="center"/>
            <w:hideMark/>
          </w:tcPr>
          <w:p w14:paraId="280A9CC0"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2020</w:t>
            </w:r>
          </w:p>
        </w:tc>
        <w:tc>
          <w:tcPr>
            <w:tcW w:w="1748" w:type="dxa"/>
            <w:tcBorders>
              <w:top w:val="single" w:sz="4" w:space="0" w:color="auto"/>
              <w:left w:val="nil"/>
              <w:bottom w:val="single" w:sz="4" w:space="0" w:color="auto"/>
              <w:right w:val="single" w:sz="4" w:space="0" w:color="auto"/>
            </w:tcBorders>
            <w:shd w:val="clear" w:color="000000" w:fill="CCFFFF"/>
            <w:noWrap/>
            <w:vAlign w:val="center"/>
            <w:hideMark/>
          </w:tcPr>
          <w:p w14:paraId="3A2C4991" w14:textId="77777777" w:rsidR="00B56301" w:rsidRPr="00364545" w:rsidRDefault="00B56301" w:rsidP="00B37B65">
            <w:pPr>
              <w:jc w:val="center"/>
              <w:rPr>
                <w:rFonts w:ascii="Times New Roman" w:hAnsi="Times New Roman"/>
                <w:b/>
                <w:bCs/>
                <w:sz w:val="18"/>
                <w:szCs w:val="18"/>
              </w:rPr>
            </w:pPr>
            <w:r w:rsidRPr="00364545">
              <w:rPr>
                <w:b/>
                <w:sz w:val="18"/>
              </w:rPr>
              <w:t>Change from base to latest reported year</w:t>
            </w:r>
            <w:r w:rsidRPr="00364545">
              <w:rPr>
                <w:rFonts w:ascii="Times New Roman" w:hAnsi="Times New Roman"/>
                <w:b/>
                <w:sz w:val="18"/>
              </w:rPr>
              <w:t xml:space="preserve"> (%)</w:t>
            </w:r>
          </w:p>
        </w:tc>
      </w:tr>
      <w:tr w:rsidR="00B56301" w:rsidRPr="00364545" w14:paraId="641A3FB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DA63662" w14:textId="4CF03FE3"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and PFCs - (kt </w:t>
            </w:r>
            <w:r w:rsidRPr="00364545">
              <w:t>CO</w:t>
            </w:r>
            <w:r w:rsidRPr="00364545">
              <w:rPr>
                <w:vertAlign w:val="subscript"/>
              </w:rPr>
              <w:t>2</w:t>
            </w:r>
            <w:r w:rsidRPr="00364545">
              <w:rPr>
                <w:rFonts w:ascii="Times New Roman" w:hAnsi="Times New Roman"/>
                <w:b/>
                <w:sz w:val="20"/>
              </w:rPr>
              <w:t xml:space="preserve"> equivalent) </w:t>
            </w:r>
          </w:p>
        </w:tc>
        <w:tc>
          <w:tcPr>
            <w:tcW w:w="993"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C813814" w14:textId="77777777" w:rsidR="00B56301" w:rsidRPr="00364545" w:rsidRDefault="00B56301" w:rsidP="00B37B65">
            <w:pPr>
              <w:jc w:val="right"/>
              <w:rPr>
                <w:rFonts w:ascii="Times New Roman" w:hAnsi="Times New Roman"/>
                <w:sz w:val="18"/>
                <w:szCs w:val="18"/>
              </w:rPr>
            </w:pPr>
            <w:r w:rsidRPr="00364545">
              <w:rPr>
                <w:sz w:val="18"/>
              </w:rPr>
              <w:t>13607,82</w:t>
            </w:r>
          </w:p>
        </w:tc>
        <w:tc>
          <w:tcPr>
            <w:tcW w:w="993" w:type="dxa"/>
            <w:tcBorders>
              <w:top w:val="single" w:sz="4" w:space="0" w:color="auto"/>
              <w:left w:val="nil"/>
              <w:bottom w:val="single" w:sz="4" w:space="0" w:color="auto"/>
              <w:right w:val="single" w:sz="4" w:space="0" w:color="auto"/>
            </w:tcBorders>
            <w:shd w:val="clear" w:color="000000" w:fill="CCFFFF"/>
            <w:noWrap/>
            <w:vAlign w:val="bottom"/>
            <w:hideMark/>
          </w:tcPr>
          <w:p w14:paraId="24510F17" w14:textId="77777777" w:rsidR="00B56301" w:rsidRPr="00364545" w:rsidRDefault="00B56301" w:rsidP="00B37B65">
            <w:pPr>
              <w:jc w:val="right"/>
              <w:rPr>
                <w:rFonts w:ascii="Times New Roman" w:hAnsi="Times New Roman"/>
                <w:sz w:val="18"/>
                <w:szCs w:val="18"/>
              </w:rPr>
            </w:pPr>
            <w:r w:rsidRPr="00364545">
              <w:rPr>
                <w:sz w:val="18"/>
              </w:rPr>
              <w:t>12278,82</w:t>
            </w:r>
          </w:p>
        </w:tc>
        <w:tc>
          <w:tcPr>
            <w:tcW w:w="1748" w:type="dxa"/>
            <w:tcBorders>
              <w:top w:val="single" w:sz="4" w:space="0" w:color="auto"/>
              <w:left w:val="nil"/>
              <w:bottom w:val="single" w:sz="4" w:space="0" w:color="auto"/>
              <w:right w:val="single" w:sz="4" w:space="0" w:color="auto"/>
            </w:tcBorders>
            <w:shd w:val="clear" w:color="000000" w:fill="CCFFFF"/>
            <w:noWrap/>
            <w:vAlign w:val="bottom"/>
            <w:hideMark/>
          </w:tcPr>
          <w:p w14:paraId="54BCA532" w14:textId="77777777" w:rsidR="00B56301" w:rsidRPr="00364545" w:rsidRDefault="00B56301" w:rsidP="00B37B65">
            <w:pPr>
              <w:jc w:val="right"/>
              <w:rPr>
                <w:rFonts w:ascii="Times New Roman" w:hAnsi="Times New Roman"/>
                <w:sz w:val="18"/>
                <w:szCs w:val="18"/>
              </w:rPr>
            </w:pPr>
            <w:r w:rsidRPr="00364545">
              <w:rPr>
                <w:sz w:val="18"/>
              </w:rPr>
              <w:t>27,84</w:t>
            </w:r>
          </w:p>
        </w:tc>
      </w:tr>
      <w:tr w:rsidR="00B56301" w:rsidRPr="00364545" w14:paraId="2573DE9C" w14:textId="77777777" w:rsidTr="00B37B65">
        <w:trPr>
          <w:trHeight w:val="68"/>
          <w:jc w:val="center"/>
        </w:trPr>
        <w:tc>
          <w:tcPr>
            <w:tcW w:w="3801" w:type="dxa"/>
            <w:tcBorders>
              <w:top w:val="nil"/>
              <w:left w:val="single" w:sz="4" w:space="0" w:color="auto"/>
              <w:bottom w:val="nil"/>
              <w:right w:val="single" w:sz="4" w:space="0" w:color="auto"/>
            </w:tcBorders>
            <w:shd w:val="clear" w:color="000000" w:fill="CCFFFF"/>
            <w:vAlign w:val="center"/>
            <w:hideMark/>
          </w:tcPr>
          <w:p w14:paraId="5E0B0D12" w14:textId="37CFC0DB"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HFCs - (kt </w:t>
            </w:r>
            <w:r w:rsidRPr="00364545">
              <w:t>CO</w:t>
            </w:r>
            <w:r w:rsidRPr="00364545">
              <w:rPr>
                <w:vertAlign w:val="subscript"/>
              </w:rPr>
              <w:t>2</w:t>
            </w:r>
            <w:r w:rsidRPr="00364545">
              <w:rPr>
                <w:rFonts w:ascii="Times New Roman" w:hAnsi="Times New Roman"/>
                <w:b/>
                <w:sz w:val="20"/>
              </w:rPr>
              <w:t xml:space="preserve"> equivalent) </w:t>
            </w:r>
          </w:p>
        </w:tc>
        <w:tc>
          <w:tcPr>
            <w:tcW w:w="993" w:type="dxa"/>
            <w:tcBorders>
              <w:top w:val="nil"/>
              <w:left w:val="single" w:sz="4" w:space="0" w:color="auto"/>
              <w:bottom w:val="single" w:sz="4" w:space="0" w:color="auto"/>
              <w:right w:val="single" w:sz="4" w:space="0" w:color="auto"/>
            </w:tcBorders>
            <w:shd w:val="clear" w:color="000000" w:fill="CCFFFF"/>
            <w:noWrap/>
            <w:vAlign w:val="bottom"/>
            <w:hideMark/>
          </w:tcPr>
          <w:p w14:paraId="69015137" w14:textId="77777777" w:rsidR="00B56301" w:rsidRPr="00364545" w:rsidRDefault="00B56301" w:rsidP="00B37B65">
            <w:pPr>
              <w:jc w:val="right"/>
              <w:rPr>
                <w:rFonts w:ascii="Times New Roman" w:hAnsi="Times New Roman"/>
                <w:sz w:val="18"/>
                <w:szCs w:val="18"/>
              </w:rPr>
            </w:pPr>
            <w:r w:rsidRPr="00364545">
              <w:rPr>
                <w:sz w:val="18"/>
              </w:rPr>
              <w:t>12992,42</w:t>
            </w:r>
          </w:p>
        </w:tc>
        <w:tc>
          <w:tcPr>
            <w:tcW w:w="993" w:type="dxa"/>
            <w:tcBorders>
              <w:top w:val="nil"/>
              <w:left w:val="nil"/>
              <w:bottom w:val="single" w:sz="4" w:space="0" w:color="auto"/>
              <w:right w:val="single" w:sz="4" w:space="0" w:color="auto"/>
            </w:tcBorders>
            <w:shd w:val="clear" w:color="000000" w:fill="CCFFFF"/>
            <w:noWrap/>
            <w:vAlign w:val="bottom"/>
            <w:hideMark/>
          </w:tcPr>
          <w:p w14:paraId="72959779" w14:textId="77777777" w:rsidR="00B56301" w:rsidRPr="00364545" w:rsidRDefault="00B56301" w:rsidP="00B37B65">
            <w:pPr>
              <w:jc w:val="right"/>
              <w:rPr>
                <w:rFonts w:ascii="Times New Roman" w:hAnsi="Times New Roman"/>
                <w:sz w:val="18"/>
                <w:szCs w:val="18"/>
              </w:rPr>
            </w:pPr>
            <w:r w:rsidRPr="00364545">
              <w:rPr>
                <w:sz w:val="18"/>
              </w:rPr>
              <w:t>11735,32</w:t>
            </w:r>
          </w:p>
        </w:tc>
        <w:tc>
          <w:tcPr>
            <w:tcW w:w="1748" w:type="dxa"/>
            <w:tcBorders>
              <w:top w:val="nil"/>
              <w:left w:val="nil"/>
              <w:bottom w:val="single" w:sz="4" w:space="0" w:color="auto"/>
              <w:right w:val="single" w:sz="4" w:space="0" w:color="auto"/>
            </w:tcBorders>
            <w:shd w:val="clear" w:color="000000" w:fill="CCFFFF"/>
            <w:noWrap/>
            <w:vAlign w:val="bottom"/>
            <w:hideMark/>
          </w:tcPr>
          <w:p w14:paraId="6FE0FDC2" w14:textId="77777777" w:rsidR="00B56301" w:rsidRPr="00364545" w:rsidRDefault="00B56301" w:rsidP="00B37B65">
            <w:pPr>
              <w:jc w:val="right"/>
              <w:rPr>
                <w:rFonts w:ascii="Times New Roman" w:hAnsi="Times New Roman"/>
                <w:sz w:val="18"/>
                <w:szCs w:val="18"/>
              </w:rPr>
            </w:pPr>
            <w:r w:rsidRPr="00364545">
              <w:rPr>
                <w:sz w:val="18"/>
              </w:rPr>
              <w:t>166,58</w:t>
            </w:r>
          </w:p>
        </w:tc>
      </w:tr>
      <w:tr w:rsidR="00B56301" w:rsidRPr="00364545" w14:paraId="40772CC3"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hideMark/>
          </w:tcPr>
          <w:p w14:paraId="692FC622"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w:t>
            </w:r>
          </w:p>
        </w:tc>
        <w:tc>
          <w:tcPr>
            <w:tcW w:w="993" w:type="dxa"/>
            <w:tcBorders>
              <w:top w:val="nil"/>
              <w:left w:val="nil"/>
              <w:bottom w:val="single" w:sz="4" w:space="0" w:color="auto"/>
              <w:right w:val="single" w:sz="4" w:space="0" w:color="auto"/>
            </w:tcBorders>
            <w:shd w:val="clear" w:color="000000" w:fill="FFFFFF"/>
            <w:noWrap/>
            <w:vAlign w:val="bottom"/>
            <w:hideMark/>
          </w:tcPr>
          <w:p w14:paraId="68D100C8" w14:textId="77777777" w:rsidR="00B56301" w:rsidRPr="00364545" w:rsidRDefault="00B56301" w:rsidP="00B37B65">
            <w:pPr>
              <w:jc w:val="right"/>
              <w:rPr>
                <w:rFonts w:ascii="Times New Roman" w:hAnsi="Times New Roman"/>
                <w:sz w:val="18"/>
                <w:szCs w:val="18"/>
              </w:rPr>
            </w:pPr>
            <w:r w:rsidRPr="00364545">
              <w:rPr>
                <w:sz w:val="18"/>
              </w:rPr>
              <w:t>0,01</w:t>
            </w:r>
          </w:p>
        </w:tc>
        <w:tc>
          <w:tcPr>
            <w:tcW w:w="993" w:type="dxa"/>
            <w:tcBorders>
              <w:top w:val="nil"/>
              <w:left w:val="nil"/>
              <w:bottom w:val="single" w:sz="4" w:space="0" w:color="auto"/>
              <w:right w:val="single" w:sz="4" w:space="0" w:color="auto"/>
            </w:tcBorders>
            <w:shd w:val="clear" w:color="000000" w:fill="FFFFFF"/>
            <w:noWrap/>
            <w:vAlign w:val="bottom"/>
            <w:hideMark/>
          </w:tcPr>
          <w:p w14:paraId="3517F138" w14:textId="77777777" w:rsidR="00B56301" w:rsidRPr="00364545" w:rsidRDefault="00B56301" w:rsidP="00B37B65">
            <w:pPr>
              <w:jc w:val="right"/>
              <w:rPr>
                <w:rFonts w:ascii="Times New Roman" w:hAnsi="Times New Roman"/>
                <w:sz w:val="18"/>
                <w:szCs w:val="18"/>
              </w:rPr>
            </w:pPr>
            <w:r w:rsidRPr="00364545">
              <w:rPr>
                <w:sz w:val="18"/>
              </w:rPr>
              <w:t>0,00</w:t>
            </w:r>
          </w:p>
        </w:tc>
        <w:tc>
          <w:tcPr>
            <w:tcW w:w="1748" w:type="dxa"/>
            <w:tcBorders>
              <w:top w:val="nil"/>
              <w:left w:val="nil"/>
              <w:bottom w:val="single" w:sz="4" w:space="0" w:color="auto"/>
              <w:right w:val="single" w:sz="4" w:space="0" w:color="auto"/>
            </w:tcBorders>
            <w:shd w:val="clear" w:color="000000" w:fill="FFFFFF"/>
            <w:noWrap/>
            <w:vAlign w:val="bottom"/>
            <w:hideMark/>
          </w:tcPr>
          <w:p w14:paraId="728DAEC8" w14:textId="77777777" w:rsidR="00B56301" w:rsidRPr="00364545" w:rsidRDefault="00B56301" w:rsidP="00B37B65">
            <w:pPr>
              <w:jc w:val="right"/>
              <w:rPr>
                <w:rFonts w:ascii="Times New Roman" w:hAnsi="Times New Roman"/>
                <w:sz w:val="18"/>
                <w:szCs w:val="18"/>
              </w:rPr>
            </w:pPr>
            <w:r w:rsidRPr="00364545">
              <w:rPr>
                <w:sz w:val="18"/>
              </w:rPr>
              <w:t>-97,03</w:t>
            </w:r>
          </w:p>
        </w:tc>
      </w:tr>
      <w:tr w:rsidR="00B56301" w:rsidRPr="00364545" w14:paraId="63156CA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6FD034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HFC-32</w:t>
            </w:r>
          </w:p>
        </w:tc>
        <w:tc>
          <w:tcPr>
            <w:tcW w:w="993" w:type="dxa"/>
            <w:tcBorders>
              <w:top w:val="nil"/>
              <w:left w:val="nil"/>
              <w:bottom w:val="single" w:sz="4" w:space="0" w:color="auto"/>
              <w:right w:val="single" w:sz="4" w:space="0" w:color="auto"/>
            </w:tcBorders>
            <w:shd w:val="clear" w:color="000000" w:fill="FFFFFF"/>
            <w:noWrap/>
            <w:vAlign w:val="bottom"/>
            <w:hideMark/>
          </w:tcPr>
          <w:p w14:paraId="23740E8B" w14:textId="77777777" w:rsidR="00B56301" w:rsidRPr="00364545" w:rsidRDefault="00B56301" w:rsidP="00B37B65">
            <w:pPr>
              <w:jc w:val="right"/>
              <w:rPr>
                <w:rFonts w:ascii="Times New Roman" w:hAnsi="Times New Roman"/>
                <w:sz w:val="18"/>
                <w:szCs w:val="18"/>
              </w:rPr>
            </w:pPr>
            <w:r w:rsidRPr="00364545">
              <w:rPr>
                <w:sz w:val="18"/>
              </w:rPr>
              <w:t>0,75</w:t>
            </w:r>
          </w:p>
        </w:tc>
        <w:tc>
          <w:tcPr>
            <w:tcW w:w="993" w:type="dxa"/>
            <w:tcBorders>
              <w:top w:val="nil"/>
              <w:left w:val="nil"/>
              <w:bottom w:val="single" w:sz="4" w:space="0" w:color="auto"/>
              <w:right w:val="single" w:sz="4" w:space="0" w:color="auto"/>
            </w:tcBorders>
            <w:shd w:val="clear" w:color="000000" w:fill="FFFFFF"/>
            <w:noWrap/>
            <w:vAlign w:val="bottom"/>
            <w:hideMark/>
          </w:tcPr>
          <w:p w14:paraId="365EAA1C" w14:textId="77777777" w:rsidR="00B56301" w:rsidRPr="00364545" w:rsidRDefault="00B56301" w:rsidP="00B37B65">
            <w:pPr>
              <w:jc w:val="right"/>
              <w:rPr>
                <w:rFonts w:ascii="Times New Roman" w:hAnsi="Times New Roman"/>
                <w:sz w:val="18"/>
                <w:szCs w:val="18"/>
              </w:rPr>
            </w:pPr>
            <w:r w:rsidRPr="00364545">
              <w:rPr>
                <w:sz w:val="18"/>
              </w:rPr>
              <w:t>0,80</w:t>
            </w:r>
          </w:p>
        </w:tc>
        <w:tc>
          <w:tcPr>
            <w:tcW w:w="1748" w:type="dxa"/>
            <w:tcBorders>
              <w:top w:val="nil"/>
              <w:left w:val="nil"/>
              <w:bottom w:val="single" w:sz="4" w:space="0" w:color="auto"/>
              <w:right w:val="single" w:sz="4" w:space="0" w:color="auto"/>
            </w:tcBorders>
            <w:shd w:val="clear" w:color="000000" w:fill="FFFFFF"/>
            <w:noWrap/>
            <w:vAlign w:val="bottom"/>
            <w:hideMark/>
          </w:tcPr>
          <w:p w14:paraId="68B0D62D" w14:textId="77777777" w:rsidR="00B56301" w:rsidRPr="00364545" w:rsidRDefault="00B56301" w:rsidP="00B37B65">
            <w:pPr>
              <w:jc w:val="right"/>
              <w:rPr>
                <w:rFonts w:ascii="Times New Roman" w:hAnsi="Times New Roman"/>
                <w:sz w:val="18"/>
                <w:szCs w:val="18"/>
              </w:rPr>
            </w:pPr>
            <w:r w:rsidRPr="00364545">
              <w:rPr>
                <w:sz w:val="18"/>
              </w:rPr>
              <w:t>100,00</w:t>
            </w:r>
          </w:p>
        </w:tc>
      </w:tr>
      <w:tr w:rsidR="00B56301" w:rsidRPr="00364545" w14:paraId="5FDE675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47F69A5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HFC-41</w:t>
            </w:r>
          </w:p>
        </w:tc>
        <w:tc>
          <w:tcPr>
            <w:tcW w:w="993" w:type="dxa"/>
            <w:tcBorders>
              <w:top w:val="nil"/>
              <w:left w:val="nil"/>
              <w:bottom w:val="single" w:sz="4" w:space="0" w:color="auto"/>
              <w:right w:val="single" w:sz="4" w:space="0" w:color="auto"/>
            </w:tcBorders>
            <w:shd w:val="clear" w:color="000000" w:fill="FFFFFF"/>
            <w:noWrap/>
            <w:vAlign w:val="bottom"/>
            <w:hideMark/>
          </w:tcPr>
          <w:p w14:paraId="5A8ABFC2"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17EB675F"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3CE95E96"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2DDF82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230A14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HFC-43-10mee</w:t>
            </w:r>
          </w:p>
        </w:tc>
        <w:tc>
          <w:tcPr>
            <w:tcW w:w="993" w:type="dxa"/>
            <w:tcBorders>
              <w:top w:val="nil"/>
              <w:left w:val="nil"/>
              <w:bottom w:val="single" w:sz="4" w:space="0" w:color="auto"/>
              <w:right w:val="single" w:sz="4" w:space="0" w:color="auto"/>
            </w:tcBorders>
            <w:shd w:val="clear" w:color="000000" w:fill="FFFFFF"/>
            <w:noWrap/>
            <w:vAlign w:val="bottom"/>
            <w:hideMark/>
          </w:tcPr>
          <w:p w14:paraId="4EA7B446"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12BBC3F7"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485988BC"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730479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299237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HFC-125</w:t>
            </w:r>
          </w:p>
        </w:tc>
        <w:tc>
          <w:tcPr>
            <w:tcW w:w="993" w:type="dxa"/>
            <w:tcBorders>
              <w:top w:val="nil"/>
              <w:left w:val="nil"/>
              <w:bottom w:val="single" w:sz="4" w:space="0" w:color="auto"/>
              <w:right w:val="single" w:sz="4" w:space="0" w:color="auto"/>
            </w:tcBorders>
            <w:shd w:val="clear" w:color="000000" w:fill="FFFFFF"/>
            <w:noWrap/>
            <w:vAlign w:val="bottom"/>
            <w:hideMark/>
          </w:tcPr>
          <w:p w14:paraId="77F28BD5" w14:textId="77777777" w:rsidR="00B56301" w:rsidRPr="00364545" w:rsidRDefault="00B56301" w:rsidP="00B37B65">
            <w:pPr>
              <w:jc w:val="right"/>
              <w:rPr>
                <w:rFonts w:ascii="Times New Roman" w:hAnsi="Times New Roman"/>
                <w:sz w:val="18"/>
                <w:szCs w:val="18"/>
              </w:rPr>
            </w:pPr>
            <w:r w:rsidRPr="00364545">
              <w:rPr>
                <w:sz w:val="18"/>
              </w:rPr>
              <w:t>1,27</w:t>
            </w:r>
          </w:p>
        </w:tc>
        <w:tc>
          <w:tcPr>
            <w:tcW w:w="993" w:type="dxa"/>
            <w:tcBorders>
              <w:top w:val="nil"/>
              <w:left w:val="nil"/>
              <w:bottom w:val="single" w:sz="4" w:space="0" w:color="auto"/>
              <w:right w:val="single" w:sz="4" w:space="0" w:color="auto"/>
            </w:tcBorders>
            <w:shd w:val="clear" w:color="000000" w:fill="FFFFFF"/>
            <w:noWrap/>
            <w:vAlign w:val="bottom"/>
            <w:hideMark/>
          </w:tcPr>
          <w:p w14:paraId="2EEB511B" w14:textId="77777777" w:rsidR="00B56301" w:rsidRPr="00364545" w:rsidRDefault="00B56301" w:rsidP="00B37B65">
            <w:pPr>
              <w:jc w:val="right"/>
              <w:rPr>
                <w:rFonts w:ascii="Times New Roman" w:hAnsi="Times New Roman"/>
                <w:sz w:val="18"/>
                <w:szCs w:val="18"/>
              </w:rPr>
            </w:pPr>
            <w:r w:rsidRPr="00364545">
              <w:rPr>
                <w:sz w:val="18"/>
              </w:rPr>
              <w:t>1,17</w:t>
            </w:r>
          </w:p>
        </w:tc>
        <w:tc>
          <w:tcPr>
            <w:tcW w:w="1748" w:type="dxa"/>
            <w:tcBorders>
              <w:top w:val="nil"/>
              <w:left w:val="nil"/>
              <w:bottom w:val="single" w:sz="4" w:space="0" w:color="auto"/>
              <w:right w:val="single" w:sz="4" w:space="0" w:color="auto"/>
            </w:tcBorders>
            <w:shd w:val="clear" w:color="000000" w:fill="FFFFFF"/>
            <w:noWrap/>
            <w:vAlign w:val="bottom"/>
            <w:hideMark/>
          </w:tcPr>
          <w:p w14:paraId="149353D9" w14:textId="77777777" w:rsidR="00B56301" w:rsidRPr="00364545" w:rsidRDefault="00B56301" w:rsidP="00B37B65">
            <w:pPr>
              <w:jc w:val="right"/>
              <w:rPr>
                <w:rFonts w:ascii="Times New Roman" w:hAnsi="Times New Roman"/>
                <w:sz w:val="18"/>
                <w:szCs w:val="18"/>
              </w:rPr>
            </w:pPr>
            <w:r w:rsidRPr="00364545">
              <w:rPr>
                <w:sz w:val="18"/>
              </w:rPr>
              <w:t>13514,17</w:t>
            </w:r>
          </w:p>
        </w:tc>
      </w:tr>
      <w:tr w:rsidR="00B56301" w:rsidRPr="00364545" w14:paraId="4E334D2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0DC59D7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w:t>
            </w:r>
          </w:p>
        </w:tc>
        <w:tc>
          <w:tcPr>
            <w:tcW w:w="993" w:type="dxa"/>
            <w:tcBorders>
              <w:top w:val="nil"/>
              <w:left w:val="nil"/>
              <w:bottom w:val="single" w:sz="4" w:space="0" w:color="auto"/>
              <w:right w:val="single" w:sz="4" w:space="0" w:color="auto"/>
            </w:tcBorders>
            <w:shd w:val="clear" w:color="000000" w:fill="FFFFFF"/>
            <w:noWrap/>
            <w:vAlign w:val="bottom"/>
            <w:hideMark/>
          </w:tcPr>
          <w:p w14:paraId="71368C29"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54ABE7FF"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61EFF914"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345FB2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122D52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HFC-134a</w:t>
            </w:r>
          </w:p>
        </w:tc>
        <w:tc>
          <w:tcPr>
            <w:tcW w:w="993" w:type="dxa"/>
            <w:tcBorders>
              <w:top w:val="nil"/>
              <w:left w:val="nil"/>
              <w:bottom w:val="single" w:sz="4" w:space="0" w:color="auto"/>
              <w:right w:val="single" w:sz="4" w:space="0" w:color="auto"/>
            </w:tcBorders>
            <w:shd w:val="clear" w:color="000000" w:fill="FFFFFF"/>
            <w:noWrap/>
            <w:vAlign w:val="bottom"/>
            <w:hideMark/>
          </w:tcPr>
          <w:p w14:paraId="50586E7E" w14:textId="77777777" w:rsidR="00B56301" w:rsidRPr="00364545" w:rsidRDefault="00B56301" w:rsidP="00B37B65">
            <w:pPr>
              <w:jc w:val="right"/>
              <w:rPr>
                <w:rFonts w:ascii="Times New Roman" w:hAnsi="Times New Roman"/>
                <w:sz w:val="18"/>
                <w:szCs w:val="18"/>
              </w:rPr>
            </w:pPr>
            <w:r w:rsidRPr="00364545">
              <w:rPr>
                <w:sz w:val="18"/>
              </w:rPr>
              <w:t>3,40</w:t>
            </w:r>
          </w:p>
        </w:tc>
        <w:tc>
          <w:tcPr>
            <w:tcW w:w="993" w:type="dxa"/>
            <w:tcBorders>
              <w:top w:val="nil"/>
              <w:left w:val="nil"/>
              <w:bottom w:val="single" w:sz="4" w:space="0" w:color="auto"/>
              <w:right w:val="single" w:sz="4" w:space="0" w:color="auto"/>
            </w:tcBorders>
            <w:shd w:val="clear" w:color="000000" w:fill="FFFFFF"/>
            <w:noWrap/>
            <w:vAlign w:val="bottom"/>
            <w:hideMark/>
          </w:tcPr>
          <w:p w14:paraId="6B93C77D" w14:textId="77777777" w:rsidR="00B56301" w:rsidRPr="00364545" w:rsidRDefault="00B56301" w:rsidP="00B37B65">
            <w:pPr>
              <w:jc w:val="right"/>
              <w:rPr>
                <w:rFonts w:ascii="Times New Roman" w:hAnsi="Times New Roman"/>
                <w:sz w:val="18"/>
                <w:szCs w:val="18"/>
              </w:rPr>
            </w:pPr>
            <w:r w:rsidRPr="00364545">
              <w:rPr>
                <w:sz w:val="18"/>
              </w:rPr>
              <w:t>3,13</w:t>
            </w:r>
          </w:p>
        </w:tc>
        <w:tc>
          <w:tcPr>
            <w:tcW w:w="1748" w:type="dxa"/>
            <w:tcBorders>
              <w:top w:val="nil"/>
              <w:left w:val="nil"/>
              <w:bottom w:val="single" w:sz="4" w:space="0" w:color="auto"/>
              <w:right w:val="single" w:sz="4" w:space="0" w:color="auto"/>
            </w:tcBorders>
            <w:shd w:val="clear" w:color="000000" w:fill="FFFFFF"/>
            <w:noWrap/>
            <w:vAlign w:val="bottom"/>
            <w:hideMark/>
          </w:tcPr>
          <w:p w14:paraId="1F58FFF2" w14:textId="77777777" w:rsidR="00B56301" w:rsidRPr="00364545" w:rsidRDefault="00B56301" w:rsidP="00B37B65">
            <w:pPr>
              <w:jc w:val="right"/>
              <w:rPr>
                <w:rFonts w:ascii="Times New Roman" w:hAnsi="Times New Roman"/>
                <w:sz w:val="18"/>
                <w:szCs w:val="18"/>
              </w:rPr>
            </w:pPr>
            <w:r w:rsidRPr="00364545">
              <w:rPr>
                <w:sz w:val="18"/>
              </w:rPr>
              <w:t>100,00</w:t>
            </w:r>
          </w:p>
        </w:tc>
      </w:tr>
      <w:tr w:rsidR="00B56301" w:rsidRPr="00364545" w14:paraId="630AF5A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564A969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w:t>
            </w:r>
          </w:p>
        </w:tc>
        <w:tc>
          <w:tcPr>
            <w:tcW w:w="993" w:type="dxa"/>
            <w:tcBorders>
              <w:top w:val="nil"/>
              <w:left w:val="nil"/>
              <w:bottom w:val="single" w:sz="4" w:space="0" w:color="auto"/>
              <w:right w:val="single" w:sz="4" w:space="0" w:color="auto"/>
            </w:tcBorders>
            <w:shd w:val="clear" w:color="000000" w:fill="FFFFFF"/>
            <w:noWrap/>
            <w:vAlign w:val="bottom"/>
            <w:hideMark/>
          </w:tcPr>
          <w:p w14:paraId="0680F668"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1C79A071"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010CCC6C"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3791BAD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67E8D71"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HFC-143a</w:t>
            </w:r>
          </w:p>
        </w:tc>
        <w:tc>
          <w:tcPr>
            <w:tcW w:w="993" w:type="dxa"/>
            <w:tcBorders>
              <w:top w:val="nil"/>
              <w:left w:val="nil"/>
              <w:bottom w:val="single" w:sz="4" w:space="0" w:color="auto"/>
              <w:right w:val="single" w:sz="4" w:space="0" w:color="auto"/>
            </w:tcBorders>
            <w:shd w:val="clear" w:color="000000" w:fill="FFFFFF"/>
            <w:noWrap/>
            <w:vAlign w:val="bottom"/>
            <w:hideMark/>
          </w:tcPr>
          <w:p w14:paraId="3004E678" w14:textId="77777777" w:rsidR="00B56301" w:rsidRPr="00364545" w:rsidRDefault="00B56301" w:rsidP="00B37B65">
            <w:pPr>
              <w:jc w:val="right"/>
              <w:rPr>
                <w:rFonts w:ascii="Times New Roman" w:hAnsi="Times New Roman"/>
                <w:sz w:val="18"/>
                <w:szCs w:val="18"/>
              </w:rPr>
            </w:pPr>
            <w:r w:rsidRPr="00364545">
              <w:rPr>
                <w:sz w:val="18"/>
              </w:rPr>
              <w:t>0,59</w:t>
            </w:r>
          </w:p>
        </w:tc>
        <w:tc>
          <w:tcPr>
            <w:tcW w:w="993" w:type="dxa"/>
            <w:tcBorders>
              <w:top w:val="nil"/>
              <w:left w:val="nil"/>
              <w:bottom w:val="single" w:sz="4" w:space="0" w:color="auto"/>
              <w:right w:val="single" w:sz="4" w:space="0" w:color="auto"/>
            </w:tcBorders>
            <w:shd w:val="clear" w:color="000000" w:fill="FFFFFF"/>
            <w:noWrap/>
            <w:vAlign w:val="bottom"/>
            <w:hideMark/>
          </w:tcPr>
          <w:p w14:paraId="470A48D5" w14:textId="77777777" w:rsidR="00B56301" w:rsidRPr="00364545" w:rsidRDefault="00B56301" w:rsidP="00B37B65">
            <w:pPr>
              <w:jc w:val="right"/>
              <w:rPr>
                <w:rFonts w:ascii="Times New Roman" w:hAnsi="Times New Roman"/>
                <w:sz w:val="18"/>
                <w:szCs w:val="18"/>
              </w:rPr>
            </w:pPr>
            <w:r w:rsidRPr="00364545">
              <w:rPr>
                <w:sz w:val="18"/>
              </w:rPr>
              <w:t>0,48</w:t>
            </w:r>
          </w:p>
        </w:tc>
        <w:tc>
          <w:tcPr>
            <w:tcW w:w="1748" w:type="dxa"/>
            <w:tcBorders>
              <w:top w:val="nil"/>
              <w:left w:val="nil"/>
              <w:bottom w:val="single" w:sz="4" w:space="0" w:color="auto"/>
              <w:right w:val="single" w:sz="4" w:space="0" w:color="auto"/>
            </w:tcBorders>
            <w:shd w:val="clear" w:color="000000" w:fill="FFFFFF"/>
            <w:noWrap/>
            <w:vAlign w:val="bottom"/>
            <w:hideMark/>
          </w:tcPr>
          <w:p w14:paraId="7098F8E7" w14:textId="77777777" w:rsidR="00B56301" w:rsidRPr="00364545" w:rsidRDefault="00B56301" w:rsidP="00B37B65">
            <w:pPr>
              <w:jc w:val="right"/>
              <w:rPr>
                <w:rFonts w:ascii="Times New Roman" w:hAnsi="Times New Roman"/>
                <w:sz w:val="18"/>
                <w:szCs w:val="18"/>
              </w:rPr>
            </w:pPr>
            <w:r w:rsidRPr="00364545">
              <w:rPr>
                <w:sz w:val="18"/>
              </w:rPr>
              <w:t>-5,06</w:t>
            </w:r>
          </w:p>
        </w:tc>
      </w:tr>
      <w:tr w:rsidR="00B56301" w:rsidRPr="00364545" w14:paraId="340B4D7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6CB9ACEF"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w:t>
            </w:r>
          </w:p>
        </w:tc>
        <w:tc>
          <w:tcPr>
            <w:tcW w:w="993" w:type="dxa"/>
            <w:tcBorders>
              <w:top w:val="nil"/>
              <w:left w:val="nil"/>
              <w:bottom w:val="single" w:sz="4" w:space="0" w:color="auto"/>
              <w:right w:val="single" w:sz="4" w:space="0" w:color="auto"/>
            </w:tcBorders>
            <w:shd w:val="clear" w:color="000000" w:fill="FFFFFF"/>
            <w:noWrap/>
            <w:vAlign w:val="bottom"/>
            <w:hideMark/>
          </w:tcPr>
          <w:p w14:paraId="2A2C3D12"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7E2F92E8"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0223D767"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4B78F8C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0A830F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HFC-152a</w:t>
            </w:r>
          </w:p>
        </w:tc>
        <w:tc>
          <w:tcPr>
            <w:tcW w:w="993" w:type="dxa"/>
            <w:tcBorders>
              <w:top w:val="nil"/>
              <w:left w:val="nil"/>
              <w:bottom w:val="single" w:sz="4" w:space="0" w:color="auto"/>
              <w:right w:val="single" w:sz="4" w:space="0" w:color="auto"/>
            </w:tcBorders>
            <w:shd w:val="clear" w:color="000000" w:fill="FFFFFF"/>
            <w:noWrap/>
            <w:vAlign w:val="bottom"/>
            <w:hideMark/>
          </w:tcPr>
          <w:p w14:paraId="3F6B56F0" w14:textId="77777777" w:rsidR="00B56301" w:rsidRPr="00364545" w:rsidRDefault="00B56301" w:rsidP="00B37B65">
            <w:pPr>
              <w:jc w:val="right"/>
              <w:rPr>
                <w:rFonts w:ascii="Times New Roman" w:hAnsi="Times New Roman"/>
                <w:sz w:val="18"/>
                <w:szCs w:val="18"/>
              </w:rPr>
            </w:pPr>
            <w:r w:rsidRPr="00364545">
              <w:rPr>
                <w:sz w:val="18"/>
              </w:rPr>
              <w:t>0,16</w:t>
            </w:r>
          </w:p>
        </w:tc>
        <w:tc>
          <w:tcPr>
            <w:tcW w:w="993" w:type="dxa"/>
            <w:tcBorders>
              <w:top w:val="nil"/>
              <w:left w:val="nil"/>
              <w:bottom w:val="single" w:sz="4" w:space="0" w:color="auto"/>
              <w:right w:val="single" w:sz="4" w:space="0" w:color="auto"/>
            </w:tcBorders>
            <w:shd w:val="clear" w:color="000000" w:fill="FFFFFF"/>
            <w:noWrap/>
            <w:vAlign w:val="bottom"/>
            <w:hideMark/>
          </w:tcPr>
          <w:p w14:paraId="13F2FB8C" w14:textId="77777777" w:rsidR="00B56301" w:rsidRPr="00364545" w:rsidRDefault="00B56301" w:rsidP="00B37B65">
            <w:pPr>
              <w:jc w:val="right"/>
              <w:rPr>
                <w:rFonts w:ascii="Times New Roman" w:hAnsi="Times New Roman"/>
                <w:sz w:val="18"/>
                <w:szCs w:val="18"/>
              </w:rPr>
            </w:pPr>
            <w:r w:rsidRPr="00364545">
              <w:rPr>
                <w:sz w:val="18"/>
              </w:rPr>
              <w:t>0,12</w:t>
            </w:r>
          </w:p>
        </w:tc>
        <w:tc>
          <w:tcPr>
            <w:tcW w:w="1748" w:type="dxa"/>
            <w:tcBorders>
              <w:top w:val="nil"/>
              <w:left w:val="nil"/>
              <w:bottom w:val="single" w:sz="4" w:space="0" w:color="auto"/>
              <w:right w:val="single" w:sz="4" w:space="0" w:color="auto"/>
            </w:tcBorders>
            <w:shd w:val="clear" w:color="000000" w:fill="FFFFFF"/>
            <w:noWrap/>
            <w:vAlign w:val="bottom"/>
            <w:hideMark/>
          </w:tcPr>
          <w:p w14:paraId="6BA8F2D6" w14:textId="77777777" w:rsidR="00B56301" w:rsidRPr="00364545" w:rsidRDefault="00B56301" w:rsidP="00B37B65">
            <w:pPr>
              <w:jc w:val="right"/>
              <w:rPr>
                <w:rFonts w:ascii="Times New Roman" w:hAnsi="Times New Roman"/>
                <w:sz w:val="18"/>
                <w:szCs w:val="18"/>
              </w:rPr>
            </w:pPr>
            <w:r w:rsidRPr="00364545">
              <w:rPr>
                <w:sz w:val="18"/>
              </w:rPr>
              <w:t>100,00</w:t>
            </w:r>
          </w:p>
        </w:tc>
      </w:tr>
      <w:tr w:rsidR="00B56301" w:rsidRPr="00364545" w14:paraId="6BB8C9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AED8A1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HFC-161</w:t>
            </w:r>
          </w:p>
        </w:tc>
        <w:tc>
          <w:tcPr>
            <w:tcW w:w="993" w:type="dxa"/>
            <w:tcBorders>
              <w:top w:val="nil"/>
              <w:left w:val="nil"/>
              <w:bottom w:val="single" w:sz="4" w:space="0" w:color="auto"/>
              <w:right w:val="single" w:sz="4" w:space="0" w:color="auto"/>
            </w:tcBorders>
            <w:shd w:val="clear" w:color="000000" w:fill="FFFFFF"/>
            <w:noWrap/>
            <w:vAlign w:val="bottom"/>
            <w:hideMark/>
          </w:tcPr>
          <w:p w14:paraId="05D78859"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389678B4"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7FA157F8"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7D75B0E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B10FF60"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HFC-227ea</w:t>
            </w:r>
          </w:p>
        </w:tc>
        <w:tc>
          <w:tcPr>
            <w:tcW w:w="993" w:type="dxa"/>
            <w:tcBorders>
              <w:top w:val="nil"/>
              <w:left w:val="nil"/>
              <w:bottom w:val="single" w:sz="4" w:space="0" w:color="auto"/>
              <w:right w:val="single" w:sz="4" w:space="0" w:color="auto"/>
            </w:tcBorders>
            <w:shd w:val="clear" w:color="000000" w:fill="FFFFFF"/>
            <w:noWrap/>
            <w:vAlign w:val="bottom"/>
            <w:hideMark/>
          </w:tcPr>
          <w:p w14:paraId="4621C796" w14:textId="77777777" w:rsidR="00B56301" w:rsidRPr="00364545" w:rsidRDefault="00B56301" w:rsidP="00B37B65">
            <w:pPr>
              <w:jc w:val="right"/>
              <w:rPr>
                <w:rFonts w:ascii="Times New Roman" w:hAnsi="Times New Roman"/>
                <w:sz w:val="18"/>
                <w:szCs w:val="18"/>
              </w:rPr>
            </w:pPr>
            <w:r w:rsidRPr="00364545">
              <w:rPr>
                <w:sz w:val="18"/>
              </w:rPr>
              <w:t>0,07</w:t>
            </w:r>
          </w:p>
        </w:tc>
        <w:tc>
          <w:tcPr>
            <w:tcW w:w="993" w:type="dxa"/>
            <w:tcBorders>
              <w:top w:val="nil"/>
              <w:left w:val="nil"/>
              <w:bottom w:val="single" w:sz="4" w:space="0" w:color="auto"/>
              <w:right w:val="single" w:sz="4" w:space="0" w:color="auto"/>
            </w:tcBorders>
            <w:shd w:val="clear" w:color="000000" w:fill="FFFFFF"/>
            <w:noWrap/>
            <w:vAlign w:val="bottom"/>
            <w:hideMark/>
          </w:tcPr>
          <w:p w14:paraId="18F2AACC" w14:textId="77777777" w:rsidR="00B56301" w:rsidRPr="00364545" w:rsidRDefault="00B56301" w:rsidP="00B37B65">
            <w:pPr>
              <w:jc w:val="right"/>
              <w:rPr>
                <w:rFonts w:ascii="Times New Roman" w:hAnsi="Times New Roman"/>
                <w:sz w:val="18"/>
                <w:szCs w:val="18"/>
              </w:rPr>
            </w:pPr>
            <w:r w:rsidRPr="00364545">
              <w:rPr>
                <w:sz w:val="18"/>
              </w:rPr>
              <w:t>0,07</w:t>
            </w:r>
          </w:p>
        </w:tc>
        <w:tc>
          <w:tcPr>
            <w:tcW w:w="1748" w:type="dxa"/>
            <w:tcBorders>
              <w:top w:val="nil"/>
              <w:left w:val="nil"/>
              <w:bottom w:val="single" w:sz="4" w:space="0" w:color="auto"/>
              <w:right w:val="single" w:sz="4" w:space="0" w:color="auto"/>
            </w:tcBorders>
            <w:shd w:val="clear" w:color="000000" w:fill="FFFFFF"/>
            <w:noWrap/>
            <w:vAlign w:val="bottom"/>
            <w:hideMark/>
          </w:tcPr>
          <w:p w14:paraId="308F1DC4" w14:textId="77777777" w:rsidR="00B56301" w:rsidRPr="00364545" w:rsidRDefault="00B56301" w:rsidP="00B37B65">
            <w:pPr>
              <w:jc w:val="right"/>
              <w:rPr>
                <w:rFonts w:ascii="Times New Roman" w:hAnsi="Times New Roman"/>
                <w:sz w:val="18"/>
                <w:szCs w:val="18"/>
              </w:rPr>
            </w:pPr>
            <w:r w:rsidRPr="00364545">
              <w:rPr>
                <w:sz w:val="18"/>
              </w:rPr>
              <w:t>100,00</w:t>
            </w:r>
          </w:p>
        </w:tc>
      </w:tr>
      <w:tr w:rsidR="00B56301" w:rsidRPr="00364545" w14:paraId="6C2D23D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70FAF4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HFC-236cb</w:t>
            </w:r>
          </w:p>
        </w:tc>
        <w:tc>
          <w:tcPr>
            <w:tcW w:w="993" w:type="dxa"/>
            <w:tcBorders>
              <w:top w:val="nil"/>
              <w:left w:val="nil"/>
              <w:bottom w:val="single" w:sz="4" w:space="0" w:color="auto"/>
              <w:right w:val="single" w:sz="4" w:space="0" w:color="auto"/>
            </w:tcBorders>
            <w:shd w:val="clear" w:color="000000" w:fill="FFFFFF"/>
            <w:noWrap/>
            <w:vAlign w:val="bottom"/>
            <w:hideMark/>
          </w:tcPr>
          <w:p w14:paraId="1FC44DA0"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48E2BF40"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3DCFE912"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3762E9F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1AC3DF52"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HFC-236ea</w:t>
            </w:r>
          </w:p>
        </w:tc>
        <w:tc>
          <w:tcPr>
            <w:tcW w:w="993" w:type="dxa"/>
            <w:tcBorders>
              <w:top w:val="nil"/>
              <w:left w:val="nil"/>
              <w:bottom w:val="single" w:sz="4" w:space="0" w:color="auto"/>
              <w:right w:val="single" w:sz="4" w:space="0" w:color="auto"/>
            </w:tcBorders>
            <w:shd w:val="clear" w:color="000000" w:fill="FFFFFF"/>
            <w:noWrap/>
            <w:vAlign w:val="bottom"/>
            <w:hideMark/>
          </w:tcPr>
          <w:p w14:paraId="675B10E6"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2BA425AB"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5345C9FE"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2AB2964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68B5A621"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HFC-236fa</w:t>
            </w:r>
          </w:p>
        </w:tc>
        <w:tc>
          <w:tcPr>
            <w:tcW w:w="993" w:type="dxa"/>
            <w:tcBorders>
              <w:top w:val="nil"/>
              <w:left w:val="nil"/>
              <w:bottom w:val="single" w:sz="4" w:space="0" w:color="auto"/>
              <w:right w:val="single" w:sz="4" w:space="0" w:color="auto"/>
            </w:tcBorders>
            <w:shd w:val="clear" w:color="000000" w:fill="FFFFFF"/>
            <w:noWrap/>
            <w:vAlign w:val="bottom"/>
            <w:hideMark/>
          </w:tcPr>
          <w:p w14:paraId="1BB32931"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433FF12D"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071423EB"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2090E74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03D276C"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HFC-245ca</w:t>
            </w:r>
          </w:p>
        </w:tc>
        <w:tc>
          <w:tcPr>
            <w:tcW w:w="993" w:type="dxa"/>
            <w:tcBorders>
              <w:top w:val="nil"/>
              <w:left w:val="nil"/>
              <w:bottom w:val="single" w:sz="4" w:space="0" w:color="auto"/>
              <w:right w:val="single" w:sz="4" w:space="0" w:color="auto"/>
            </w:tcBorders>
            <w:shd w:val="clear" w:color="000000" w:fill="FFFFFF"/>
            <w:noWrap/>
            <w:vAlign w:val="bottom"/>
            <w:hideMark/>
          </w:tcPr>
          <w:p w14:paraId="651E2217"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500EAD9D"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5E273108"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6F09FC2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2068EA6"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HFC-245fa</w:t>
            </w:r>
          </w:p>
        </w:tc>
        <w:tc>
          <w:tcPr>
            <w:tcW w:w="993" w:type="dxa"/>
            <w:tcBorders>
              <w:top w:val="nil"/>
              <w:left w:val="nil"/>
              <w:bottom w:val="single" w:sz="4" w:space="0" w:color="auto"/>
              <w:right w:val="single" w:sz="4" w:space="0" w:color="auto"/>
            </w:tcBorders>
            <w:shd w:val="clear" w:color="000000" w:fill="FFFFFF"/>
            <w:noWrap/>
            <w:vAlign w:val="bottom"/>
            <w:hideMark/>
          </w:tcPr>
          <w:p w14:paraId="009B650E" w14:textId="77777777" w:rsidR="00B56301" w:rsidRPr="00364545" w:rsidRDefault="00B56301" w:rsidP="00B37B65">
            <w:pPr>
              <w:jc w:val="right"/>
              <w:rPr>
                <w:rFonts w:ascii="Times New Roman" w:hAnsi="Times New Roman"/>
                <w:sz w:val="18"/>
                <w:szCs w:val="18"/>
              </w:rPr>
            </w:pPr>
            <w:r w:rsidRPr="00364545">
              <w:rPr>
                <w:sz w:val="18"/>
              </w:rPr>
              <w:t>0,10</w:t>
            </w:r>
          </w:p>
        </w:tc>
        <w:tc>
          <w:tcPr>
            <w:tcW w:w="993" w:type="dxa"/>
            <w:tcBorders>
              <w:top w:val="nil"/>
              <w:left w:val="nil"/>
              <w:bottom w:val="single" w:sz="4" w:space="0" w:color="auto"/>
              <w:right w:val="single" w:sz="4" w:space="0" w:color="auto"/>
            </w:tcBorders>
            <w:shd w:val="clear" w:color="000000" w:fill="FFFFFF"/>
            <w:noWrap/>
            <w:vAlign w:val="bottom"/>
            <w:hideMark/>
          </w:tcPr>
          <w:p w14:paraId="6480692E" w14:textId="77777777" w:rsidR="00B56301" w:rsidRPr="00364545" w:rsidRDefault="00B56301" w:rsidP="00B37B65">
            <w:pPr>
              <w:jc w:val="right"/>
              <w:rPr>
                <w:rFonts w:ascii="Times New Roman" w:hAnsi="Times New Roman"/>
                <w:sz w:val="18"/>
                <w:szCs w:val="18"/>
              </w:rPr>
            </w:pPr>
            <w:r w:rsidRPr="00364545">
              <w:rPr>
                <w:sz w:val="18"/>
              </w:rPr>
              <w:t>0,07</w:t>
            </w:r>
          </w:p>
        </w:tc>
        <w:tc>
          <w:tcPr>
            <w:tcW w:w="1748" w:type="dxa"/>
            <w:tcBorders>
              <w:top w:val="nil"/>
              <w:left w:val="nil"/>
              <w:bottom w:val="single" w:sz="4" w:space="0" w:color="auto"/>
              <w:right w:val="single" w:sz="4" w:space="0" w:color="auto"/>
            </w:tcBorders>
            <w:shd w:val="clear" w:color="000000" w:fill="FFFFFF"/>
            <w:noWrap/>
            <w:vAlign w:val="bottom"/>
            <w:hideMark/>
          </w:tcPr>
          <w:p w14:paraId="2D4FF22A" w14:textId="77777777" w:rsidR="00B56301" w:rsidRPr="00364545" w:rsidRDefault="00B56301" w:rsidP="00B37B65">
            <w:pPr>
              <w:jc w:val="right"/>
              <w:rPr>
                <w:rFonts w:ascii="Times New Roman" w:hAnsi="Times New Roman"/>
                <w:sz w:val="18"/>
                <w:szCs w:val="18"/>
              </w:rPr>
            </w:pPr>
            <w:r w:rsidRPr="00364545">
              <w:rPr>
                <w:sz w:val="18"/>
              </w:rPr>
              <w:t>100,00</w:t>
            </w:r>
          </w:p>
        </w:tc>
      </w:tr>
      <w:tr w:rsidR="00B56301" w:rsidRPr="00364545" w14:paraId="0D42E5E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6D1AC47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HFC-365mfc</w:t>
            </w:r>
          </w:p>
        </w:tc>
        <w:tc>
          <w:tcPr>
            <w:tcW w:w="993" w:type="dxa"/>
            <w:tcBorders>
              <w:top w:val="nil"/>
              <w:left w:val="nil"/>
              <w:bottom w:val="single" w:sz="4" w:space="0" w:color="auto"/>
              <w:right w:val="single" w:sz="4" w:space="0" w:color="auto"/>
            </w:tcBorders>
            <w:shd w:val="clear" w:color="000000" w:fill="FFFFFF"/>
            <w:noWrap/>
            <w:vAlign w:val="bottom"/>
            <w:hideMark/>
          </w:tcPr>
          <w:p w14:paraId="36F0363E" w14:textId="77777777" w:rsidR="00B56301" w:rsidRPr="00364545" w:rsidRDefault="00B56301" w:rsidP="00B37B65">
            <w:pPr>
              <w:jc w:val="right"/>
              <w:rPr>
                <w:rFonts w:ascii="Times New Roman" w:hAnsi="Times New Roman"/>
                <w:sz w:val="18"/>
                <w:szCs w:val="18"/>
              </w:rPr>
            </w:pPr>
            <w:r w:rsidRPr="00364545">
              <w:rPr>
                <w:sz w:val="18"/>
              </w:rPr>
              <w:t>0,13</w:t>
            </w:r>
          </w:p>
        </w:tc>
        <w:tc>
          <w:tcPr>
            <w:tcW w:w="993" w:type="dxa"/>
            <w:tcBorders>
              <w:top w:val="nil"/>
              <w:left w:val="nil"/>
              <w:bottom w:val="single" w:sz="4" w:space="0" w:color="auto"/>
              <w:right w:val="single" w:sz="4" w:space="0" w:color="auto"/>
            </w:tcBorders>
            <w:shd w:val="clear" w:color="000000" w:fill="FFFFFF"/>
            <w:noWrap/>
            <w:vAlign w:val="bottom"/>
            <w:hideMark/>
          </w:tcPr>
          <w:p w14:paraId="385DABBC" w14:textId="77777777" w:rsidR="00B56301" w:rsidRPr="00364545" w:rsidRDefault="00B56301" w:rsidP="00B37B65">
            <w:pPr>
              <w:jc w:val="right"/>
              <w:rPr>
                <w:rFonts w:ascii="Times New Roman" w:hAnsi="Times New Roman"/>
                <w:sz w:val="18"/>
                <w:szCs w:val="18"/>
              </w:rPr>
            </w:pPr>
            <w:r w:rsidRPr="00364545">
              <w:rPr>
                <w:sz w:val="18"/>
              </w:rPr>
              <w:t>0,09</w:t>
            </w:r>
          </w:p>
        </w:tc>
        <w:tc>
          <w:tcPr>
            <w:tcW w:w="1748" w:type="dxa"/>
            <w:tcBorders>
              <w:top w:val="nil"/>
              <w:left w:val="nil"/>
              <w:bottom w:val="single" w:sz="4" w:space="0" w:color="auto"/>
              <w:right w:val="single" w:sz="4" w:space="0" w:color="auto"/>
            </w:tcBorders>
            <w:shd w:val="clear" w:color="000000" w:fill="FFFFFF"/>
            <w:noWrap/>
            <w:vAlign w:val="bottom"/>
            <w:hideMark/>
          </w:tcPr>
          <w:p w14:paraId="7C922283" w14:textId="77777777" w:rsidR="00B56301" w:rsidRPr="00364545" w:rsidRDefault="00B56301" w:rsidP="00B37B65">
            <w:pPr>
              <w:jc w:val="right"/>
              <w:rPr>
                <w:rFonts w:ascii="Times New Roman" w:hAnsi="Times New Roman"/>
                <w:sz w:val="18"/>
                <w:szCs w:val="18"/>
              </w:rPr>
            </w:pPr>
            <w:r w:rsidRPr="00364545">
              <w:rPr>
                <w:sz w:val="18"/>
              </w:rPr>
              <w:t>100,00</w:t>
            </w:r>
          </w:p>
        </w:tc>
      </w:tr>
      <w:tr w:rsidR="00B56301" w:rsidRPr="00364545" w14:paraId="763EAAA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5A7B1241" w14:textId="38265FC9"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HFCs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3" w:type="dxa"/>
            <w:tcBorders>
              <w:top w:val="nil"/>
              <w:left w:val="nil"/>
              <w:bottom w:val="single" w:sz="4" w:space="0" w:color="auto"/>
              <w:right w:val="single" w:sz="4" w:space="0" w:color="auto"/>
            </w:tcBorders>
            <w:shd w:val="clear" w:color="000000" w:fill="FFFFFF"/>
            <w:noWrap/>
            <w:vAlign w:val="bottom"/>
            <w:hideMark/>
          </w:tcPr>
          <w:p w14:paraId="3E78360F" w14:textId="77777777" w:rsidR="00B56301" w:rsidRPr="00364545" w:rsidRDefault="00B56301" w:rsidP="00B37B65">
            <w:pPr>
              <w:jc w:val="right"/>
              <w:rPr>
                <w:rFonts w:ascii="Times New Roman" w:hAnsi="Times New Roman"/>
                <w:sz w:val="18"/>
                <w:szCs w:val="18"/>
              </w:rPr>
            </w:pPr>
            <w:r w:rsidRPr="00364545">
              <w:rPr>
                <w:sz w:val="18"/>
              </w:rPr>
              <w:t>34,12</w:t>
            </w:r>
          </w:p>
        </w:tc>
        <w:tc>
          <w:tcPr>
            <w:tcW w:w="993" w:type="dxa"/>
            <w:tcBorders>
              <w:top w:val="nil"/>
              <w:left w:val="nil"/>
              <w:bottom w:val="single" w:sz="4" w:space="0" w:color="auto"/>
              <w:right w:val="single" w:sz="4" w:space="0" w:color="auto"/>
            </w:tcBorders>
            <w:shd w:val="clear" w:color="000000" w:fill="FFFFFF"/>
            <w:noWrap/>
            <w:vAlign w:val="bottom"/>
            <w:hideMark/>
          </w:tcPr>
          <w:p w14:paraId="24BEAD40" w14:textId="77777777" w:rsidR="00B56301" w:rsidRPr="00364545" w:rsidRDefault="00B56301" w:rsidP="00B37B65">
            <w:pPr>
              <w:jc w:val="right"/>
              <w:rPr>
                <w:rFonts w:ascii="Times New Roman" w:hAnsi="Times New Roman"/>
                <w:sz w:val="18"/>
                <w:szCs w:val="18"/>
              </w:rPr>
            </w:pPr>
            <w:r w:rsidRPr="00364545">
              <w:rPr>
                <w:sz w:val="18"/>
              </w:rPr>
              <w:t>35,89</w:t>
            </w:r>
          </w:p>
        </w:tc>
        <w:tc>
          <w:tcPr>
            <w:tcW w:w="1748" w:type="dxa"/>
            <w:tcBorders>
              <w:top w:val="nil"/>
              <w:left w:val="nil"/>
              <w:bottom w:val="single" w:sz="4" w:space="0" w:color="auto"/>
              <w:right w:val="single" w:sz="4" w:space="0" w:color="auto"/>
            </w:tcBorders>
            <w:shd w:val="clear" w:color="000000" w:fill="FFFFFF"/>
            <w:noWrap/>
            <w:vAlign w:val="bottom"/>
            <w:hideMark/>
          </w:tcPr>
          <w:p w14:paraId="420934E2" w14:textId="77777777" w:rsidR="00B56301" w:rsidRPr="00364545" w:rsidRDefault="00B56301" w:rsidP="00B37B65">
            <w:pPr>
              <w:jc w:val="right"/>
              <w:rPr>
                <w:rFonts w:ascii="Times New Roman" w:hAnsi="Times New Roman"/>
                <w:sz w:val="18"/>
                <w:szCs w:val="18"/>
              </w:rPr>
            </w:pPr>
            <w:r w:rsidRPr="00364545">
              <w:rPr>
                <w:sz w:val="18"/>
              </w:rPr>
              <w:t>100,00</w:t>
            </w:r>
          </w:p>
        </w:tc>
      </w:tr>
      <w:tr w:rsidR="00B56301" w:rsidRPr="00364545" w14:paraId="7389292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D24A4E0" w14:textId="33356DC6"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Emissions of PFCs</w:t>
            </w:r>
            <w:r w:rsidRPr="00364545">
              <w:rPr>
                <w:rFonts w:ascii="Times New Roman" w:hAnsi="Times New Roman"/>
                <w:b/>
                <w:sz w:val="20"/>
                <w:vertAlign w:val="superscript"/>
              </w:rPr>
              <w:t xml:space="preserve"> </w:t>
            </w:r>
            <w:r w:rsidRPr="00364545">
              <w:rPr>
                <w:rFonts w:ascii="Times New Roman" w:hAnsi="Times New Roman"/>
                <w:b/>
                <w:sz w:val="20"/>
              </w:rPr>
              <w:t xml:space="preserve">- (kt </w:t>
            </w:r>
            <w:r w:rsidRPr="00364545">
              <w:t>CO</w:t>
            </w:r>
            <w:r w:rsidRPr="00364545">
              <w:rPr>
                <w:vertAlign w:val="subscript"/>
              </w:rPr>
              <w:t>2</w:t>
            </w:r>
            <w:r w:rsidRPr="00364545">
              <w:rPr>
                <w:rFonts w:ascii="Times New Roman" w:hAnsi="Times New Roman"/>
                <w:b/>
                <w:sz w:val="20"/>
              </w:rPr>
              <w:t xml:space="preserve"> equivalent) </w:t>
            </w:r>
          </w:p>
        </w:tc>
        <w:tc>
          <w:tcPr>
            <w:tcW w:w="993" w:type="dxa"/>
            <w:tcBorders>
              <w:top w:val="nil"/>
              <w:left w:val="nil"/>
              <w:bottom w:val="single" w:sz="4" w:space="0" w:color="auto"/>
              <w:right w:val="single" w:sz="4" w:space="0" w:color="auto"/>
            </w:tcBorders>
            <w:shd w:val="clear" w:color="000000" w:fill="CCFFFF"/>
            <w:noWrap/>
            <w:vAlign w:val="bottom"/>
            <w:hideMark/>
          </w:tcPr>
          <w:p w14:paraId="61D5FCD1" w14:textId="77777777" w:rsidR="00B56301" w:rsidRPr="00364545" w:rsidRDefault="00B56301" w:rsidP="00B37B65">
            <w:pPr>
              <w:jc w:val="right"/>
              <w:rPr>
                <w:rFonts w:ascii="Times New Roman" w:hAnsi="Times New Roman"/>
                <w:sz w:val="18"/>
                <w:szCs w:val="18"/>
              </w:rPr>
            </w:pPr>
            <w:r w:rsidRPr="00364545">
              <w:rPr>
                <w:sz w:val="18"/>
              </w:rPr>
              <w:t>615,40</w:t>
            </w:r>
          </w:p>
        </w:tc>
        <w:tc>
          <w:tcPr>
            <w:tcW w:w="993" w:type="dxa"/>
            <w:tcBorders>
              <w:top w:val="nil"/>
              <w:left w:val="nil"/>
              <w:bottom w:val="single" w:sz="4" w:space="0" w:color="auto"/>
              <w:right w:val="single" w:sz="4" w:space="0" w:color="auto"/>
            </w:tcBorders>
            <w:shd w:val="clear" w:color="000000" w:fill="CCFFFF"/>
            <w:noWrap/>
            <w:vAlign w:val="bottom"/>
            <w:hideMark/>
          </w:tcPr>
          <w:p w14:paraId="6950B6CA" w14:textId="77777777" w:rsidR="00B56301" w:rsidRPr="00364545" w:rsidRDefault="00B56301" w:rsidP="00B37B65">
            <w:pPr>
              <w:jc w:val="right"/>
              <w:rPr>
                <w:rFonts w:ascii="Times New Roman" w:hAnsi="Times New Roman"/>
                <w:sz w:val="18"/>
                <w:szCs w:val="18"/>
              </w:rPr>
            </w:pPr>
            <w:r w:rsidRPr="00364545">
              <w:rPr>
                <w:sz w:val="18"/>
              </w:rPr>
              <w:t>543,49</w:t>
            </w:r>
          </w:p>
        </w:tc>
        <w:tc>
          <w:tcPr>
            <w:tcW w:w="1748" w:type="dxa"/>
            <w:tcBorders>
              <w:top w:val="nil"/>
              <w:left w:val="nil"/>
              <w:bottom w:val="single" w:sz="4" w:space="0" w:color="auto"/>
              <w:right w:val="single" w:sz="4" w:space="0" w:color="auto"/>
            </w:tcBorders>
            <w:shd w:val="clear" w:color="000000" w:fill="CCFFFF"/>
            <w:noWrap/>
            <w:vAlign w:val="bottom"/>
            <w:hideMark/>
          </w:tcPr>
          <w:p w14:paraId="58814D8E" w14:textId="77777777" w:rsidR="00B56301" w:rsidRPr="00364545" w:rsidRDefault="00B56301" w:rsidP="00B37B65">
            <w:pPr>
              <w:jc w:val="right"/>
              <w:rPr>
                <w:rFonts w:ascii="Times New Roman" w:hAnsi="Times New Roman"/>
                <w:sz w:val="18"/>
                <w:szCs w:val="18"/>
              </w:rPr>
            </w:pPr>
            <w:r w:rsidRPr="00364545">
              <w:rPr>
                <w:sz w:val="18"/>
              </w:rPr>
              <w:t>-89,55</w:t>
            </w:r>
          </w:p>
        </w:tc>
      </w:tr>
      <w:tr w:rsidR="00B56301" w:rsidRPr="00364545" w14:paraId="4E0E8E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6FFDDFCA"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CF</w:t>
            </w:r>
            <w:r w:rsidRPr="00364545">
              <w:rPr>
                <w:rFonts w:ascii="Times New Roman" w:hAnsi="Times New Roman"/>
                <w:sz w:val="20"/>
                <w:vertAlign w:val="subscript"/>
              </w:rPr>
              <w:t>4</w:t>
            </w:r>
          </w:p>
        </w:tc>
        <w:tc>
          <w:tcPr>
            <w:tcW w:w="993" w:type="dxa"/>
            <w:tcBorders>
              <w:top w:val="nil"/>
              <w:left w:val="nil"/>
              <w:bottom w:val="single" w:sz="4" w:space="0" w:color="auto"/>
              <w:right w:val="single" w:sz="4" w:space="0" w:color="auto"/>
            </w:tcBorders>
            <w:shd w:val="clear" w:color="000000" w:fill="FFFFFF"/>
            <w:noWrap/>
            <w:vAlign w:val="bottom"/>
            <w:hideMark/>
          </w:tcPr>
          <w:p w14:paraId="797F41FD" w14:textId="77777777" w:rsidR="00B56301" w:rsidRPr="00364545" w:rsidRDefault="00B56301" w:rsidP="00B37B65">
            <w:pPr>
              <w:jc w:val="right"/>
              <w:rPr>
                <w:rFonts w:ascii="Times New Roman" w:hAnsi="Times New Roman"/>
                <w:sz w:val="18"/>
                <w:szCs w:val="18"/>
              </w:rPr>
            </w:pPr>
            <w:r w:rsidRPr="00364545">
              <w:rPr>
                <w:sz w:val="18"/>
              </w:rPr>
              <w:t>0,01</w:t>
            </w:r>
          </w:p>
        </w:tc>
        <w:tc>
          <w:tcPr>
            <w:tcW w:w="993" w:type="dxa"/>
            <w:tcBorders>
              <w:top w:val="nil"/>
              <w:left w:val="nil"/>
              <w:bottom w:val="single" w:sz="4" w:space="0" w:color="auto"/>
              <w:right w:val="single" w:sz="4" w:space="0" w:color="auto"/>
            </w:tcBorders>
            <w:shd w:val="clear" w:color="000000" w:fill="FFFFFF"/>
            <w:noWrap/>
            <w:vAlign w:val="bottom"/>
            <w:hideMark/>
          </w:tcPr>
          <w:p w14:paraId="22137F9F" w14:textId="77777777" w:rsidR="00B56301" w:rsidRPr="00364545" w:rsidRDefault="00B56301" w:rsidP="00B37B65">
            <w:pPr>
              <w:jc w:val="right"/>
              <w:rPr>
                <w:rFonts w:ascii="Times New Roman" w:hAnsi="Times New Roman"/>
                <w:sz w:val="18"/>
                <w:szCs w:val="18"/>
              </w:rPr>
            </w:pPr>
            <w:r w:rsidRPr="00364545">
              <w:rPr>
                <w:sz w:val="18"/>
              </w:rPr>
              <w:t>0,01</w:t>
            </w:r>
          </w:p>
        </w:tc>
        <w:tc>
          <w:tcPr>
            <w:tcW w:w="1748" w:type="dxa"/>
            <w:tcBorders>
              <w:top w:val="nil"/>
              <w:left w:val="nil"/>
              <w:bottom w:val="single" w:sz="4" w:space="0" w:color="auto"/>
              <w:right w:val="single" w:sz="4" w:space="0" w:color="auto"/>
            </w:tcBorders>
            <w:shd w:val="clear" w:color="000000" w:fill="FFFFFF"/>
            <w:noWrap/>
            <w:vAlign w:val="bottom"/>
            <w:hideMark/>
          </w:tcPr>
          <w:p w14:paraId="6113C236" w14:textId="77777777" w:rsidR="00B56301" w:rsidRPr="00364545" w:rsidRDefault="00B56301" w:rsidP="00B37B65">
            <w:pPr>
              <w:jc w:val="right"/>
              <w:rPr>
                <w:rFonts w:ascii="Times New Roman" w:hAnsi="Times New Roman"/>
                <w:sz w:val="18"/>
                <w:szCs w:val="18"/>
              </w:rPr>
            </w:pPr>
            <w:r w:rsidRPr="00364545">
              <w:rPr>
                <w:sz w:val="18"/>
              </w:rPr>
              <w:t>-96,78</w:t>
            </w:r>
          </w:p>
        </w:tc>
      </w:tr>
      <w:tr w:rsidR="00B56301" w:rsidRPr="00364545" w14:paraId="08B169A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1F7B9CC8"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2</w:t>
            </w:r>
            <w:r w:rsidRPr="00364545">
              <w:rPr>
                <w:rFonts w:ascii="Times New Roman" w:hAnsi="Times New Roman"/>
                <w:sz w:val="20"/>
              </w:rPr>
              <w:t>F</w:t>
            </w:r>
            <w:r w:rsidRPr="00364545">
              <w:rPr>
                <w:rFonts w:ascii="Times New Roman" w:hAnsi="Times New Roman"/>
                <w:sz w:val="20"/>
                <w:vertAlign w:val="subscript"/>
              </w:rPr>
              <w:t>6</w:t>
            </w:r>
          </w:p>
        </w:tc>
        <w:tc>
          <w:tcPr>
            <w:tcW w:w="993" w:type="dxa"/>
            <w:tcBorders>
              <w:top w:val="nil"/>
              <w:left w:val="nil"/>
              <w:bottom w:val="single" w:sz="4" w:space="0" w:color="auto"/>
              <w:right w:val="single" w:sz="4" w:space="0" w:color="auto"/>
            </w:tcBorders>
            <w:shd w:val="clear" w:color="000000" w:fill="FFFFFF"/>
            <w:noWrap/>
            <w:vAlign w:val="bottom"/>
            <w:hideMark/>
          </w:tcPr>
          <w:p w14:paraId="643A77AD" w14:textId="77777777" w:rsidR="00B56301" w:rsidRPr="00364545" w:rsidRDefault="00B56301" w:rsidP="00B37B65">
            <w:pPr>
              <w:jc w:val="right"/>
              <w:rPr>
                <w:rFonts w:ascii="Times New Roman" w:hAnsi="Times New Roman"/>
                <w:sz w:val="18"/>
                <w:szCs w:val="18"/>
              </w:rPr>
            </w:pPr>
            <w:r w:rsidRPr="00364545">
              <w:rPr>
                <w:sz w:val="18"/>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320E0B94" w14:textId="77777777" w:rsidR="00B56301" w:rsidRPr="00364545" w:rsidRDefault="00B56301" w:rsidP="00B37B65">
            <w:pPr>
              <w:jc w:val="right"/>
              <w:rPr>
                <w:rFonts w:ascii="Times New Roman" w:hAnsi="Times New Roman"/>
                <w:sz w:val="18"/>
                <w:szCs w:val="18"/>
              </w:rPr>
            </w:pPr>
            <w:r w:rsidRPr="00364545">
              <w:rPr>
                <w:sz w:val="18"/>
              </w:rPr>
              <w:t>0,00</w:t>
            </w:r>
          </w:p>
        </w:tc>
        <w:tc>
          <w:tcPr>
            <w:tcW w:w="1748" w:type="dxa"/>
            <w:tcBorders>
              <w:top w:val="nil"/>
              <w:left w:val="nil"/>
              <w:bottom w:val="single" w:sz="4" w:space="0" w:color="auto"/>
              <w:right w:val="single" w:sz="4" w:space="0" w:color="auto"/>
            </w:tcBorders>
            <w:shd w:val="clear" w:color="000000" w:fill="FFFFFF"/>
            <w:noWrap/>
            <w:vAlign w:val="bottom"/>
            <w:hideMark/>
          </w:tcPr>
          <w:p w14:paraId="5FDEFD89" w14:textId="77777777" w:rsidR="00B56301" w:rsidRPr="00364545" w:rsidRDefault="00B56301" w:rsidP="00B37B65">
            <w:pPr>
              <w:jc w:val="right"/>
              <w:rPr>
                <w:rFonts w:ascii="Times New Roman" w:hAnsi="Times New Roman"/>
                <w:sz w:val="18"/>
                <w:szCs w:val="18"/>
              </w:rPr>
            </w:pPr>
            <w:r w:rsidRPr="00364545">
              <w:rPr>
                <w:sz w:val="18"/>
              </w:rPr>
              <w:t>-97,78</w:t>
            </w:r>
          </w:p>
        </w:tc>
      </w:tr>
      <w:tr w:rsidR="00B56301" w:rsidRPr="00364545" w14:paraId="03B0CAB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192E1ECE"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8</w:t>
            </w:r>
          </w:p>
        </w:tc>
        <w:tc>
          <w:tcPr>
            <w:tcW w:w="993" w:type="dxa"/>
            <w:tcBorders>
              <w:top w:val="nil"/>
              <w:left w:val="nil"/>
              <w:bottom w:val="single" w:sz="4" w:space="0" w:color="auto"/>
              <w:right w:val="single" w:sz="4" w:space="0" w:color="auto"/>
            </w:tcBorders>
            <w:shd w:val="clear" w:color="000000" w:fill="FFFFFF"/>
            <w:noWrap/>
            <w:vAlign w:val="bottom"/>
            <w:hideMark/>
          </w:tcPr>
          <w:p w14:paraId="19608C18" w14:textId="77777777" w:rsidR="00B56301" w:rsidRPr="00364545" w:rsidRDefault="00B56301" w:rsidP="00B37B65">
            <w:pPr>
              <w:jc w:val="right"/>
              <w:rPr>
                <w:rFonts w:ascii="Times New Roman" w:hAnsi="Times New Roman"/>
                <w:sz w:val="18"/>
                <w:szCs w:val="18"/>
              </w:rPr>
            </w:pPr>
            <w:r w:rsidRPr="00364545">
              <w:rPr>
                <w:sz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27EB4498" w14:textId="77777777" w:rsidR="00B56301" w:rsidRPr="00364545" w:rsidRDefault="00B56301" w:rsidP="00B37B65">
            <w:pPr>
              <w:jc w:val="right"/>
              <w:rPr>
                <w:rFonts w:ascii="Times New Roman" w:hAnsi="Times New Roman"/>
                <w:sz w:val="18"/>
                <w:szCs w:val="18"/>
              </w:rPr>
            </w:pPr>
            <w:r w:rsidRPr="00364545">
              <w:rPr>
                <w:sz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07B346D3" w14:textId="77777777" w:rsidR="00B56301" w:rsidRPr="00364545" w:rsidRDefault="00B56301" w:rsidP="00B37B65">
            <w:pPr>
              <w:jc w:val="right"/>
              <w:rPr>
                <w:rFonts w:ascii="Times New Roman" w:hAnsi="Times New Roman"/>
                <w:sz w:val="18"/>
                <w:szCs w:val="18"/>
              </w:rPr>
            </w:pPr>
            <w:r w:rsidRPr="00364545">
              <w:rPr>
                <w:sz w:val="18"/>
              </w:rPr>
              <w:t> </w:t>
            </w:r>
          </w:p>
        </w:tc>
      </w:tr>
      <w:tr w:rsidR="00B56301" w:rsidRPr="00364545" w14:paraId="6CD9C93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05CD16D"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10</w:t>
            </w:r>
          </w:p>
        </w:tc>
        <w:tc>
          <w:tcPr>
            <w:tcW w:w="993" w:type="dxa"/>
            <w:tcBorders>
              <w:top w:val="nil"/>
              <w:left w:val="nil"/>
              <w:bottom w:val="single" w:sz="4" w:space="0" w:color="auto"/>
              <w:right w:val="single" w:sz="4" w:space="0" w:color="auto"/>
            </w:tcBorders>
            <w:shd w:val="clear" w:color="000000" w:fill="FFFFFF"/>
            <w:noWrap/>
            <w:vAlign w:val="bottom"/>
            <w:hideMark/>
          </w:tcPr>
          <w:p w14:paraId="73DB165D" w14:textId="77777777" w:rsidR="00B56301" w:rsidRPr="00364545" w:rsidRDefault="00B56301" w:rsidP="00B37B65">
            <w:pPr>
              <w:jc w:val="right"/>
              <w:rPr>
                <w:rFonts w:ascii="Times New Roman" w:hAnsi="Times New Roman"/>
                <w:sz w:val="18"/>
                <w:szCs w:val="18"/>
              </w:rPr>
            </w:pPr>
            <w:r w:rsidRPr="00364545">
              <w:rPr>
                <w:sz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36F5F0D6" w14:textId="77777777" w:rsidR="00B56301" w:rsidRPr="00364545" w:rsidRDefault="00B56301" w:rsidP="00B37B65">
            <w:pPr>
              <w:jc w:val="right"/>
              <w:rPr>
                <w:rFonts w:ascii="Times New Roman" w:hAnsi="Times New Roman"/>
                <w:sz w:val="18"/>
                <w:szCs w:val="18"/>
              </w:rPr>
            </w:pPr>
            <w:r w:rsidRPr="00364545">
              <w:rPr>
                <w:sz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14250FBF"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5508EB7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A09DB22"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4</w:t>
            </w:r>
            <w:r w:rsidRPr="00364545">
              <w:rPr>
                <w:rFonts w:ascii="Times New Roman" w:hAnsi="Times New Roman"/>
                <w:sz w:val="20"/>
              </w:rPr>
              <w:t>F</w:t>
            </w:r>
            <w:r w:rsidRPr="00364545">
              <w:rPr>
                <w:rFonts w:ascii="Times New Roman" w:hAnsi="Times New Roman"/>
                <w:sz w:val="20"/>
                <w:vertAlign w:val="subscript"/>
              </w:rPr>
              <w:t>8</w:t>
            </w:r>
          </w:p>
        </w:tc>
        <w:tc>
          <w:tcPr>
            <w:tcW w:w="993" w:type="dxa"/>
            <w:tcBorders>
              <w:top w:val="nil"/>
              <w:left w:val="nil"/>
              <w:bottom w:val="single" w:sz="4" w:space="0" w:color="auto"/>
              <w:right w:val="single" w:sz="4" w:space="0" w:color="auto"/>
            </w:tcBorders>
            <w:shd w:val="clear" w:color="000000" w:fill="FFFFFF"/>
            <w:noWrap/>
            <w:vAlign w:val="bottom"/>
            <w:hideMark/>
          </w:tcPr>
          <w:p w14:paraId="6728AD8C" w14:textId="77777777" w:rsidR="00B56301" w:rsidRPr="00364545" w:rsidRDefault="00B56301" w:rsidP="00B37B65">
            <w:pPr>
              <w:jc w:val="right"/>
              <w:rPr>
                <w:rFonts w:ascii="Times New Roman" w:hAnsi="Times New Roman"/>
                <w:sz w:val="18"/>
                <w:szCs w:val="18"/>
              </w:rPr>
            </w:pPr>
            <w:r w:rsidRPr="00364545">
              <w:rPr>
                <w:sz w:val="18"/>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1E96B9FD" w14:textId="77777777" w:rsidR="00B56301" w:rsidRPr="00364545" w:rsidRDefault="00B56301" w:rsidP="00B37B65">
            <w:pPr>
              <w:jc w:val="right"/>
              <w:rPr>
                <w:rFonts w:ascii="Times New Roman" w:hAnsi="Times New Roman"/>
                <w:sz w:val="18"/>
                <w:szCs w:val="18"/>
              </w:rPr>
            </w:pPr>
            <w:r w:rsidRPr="00364545">
              <w:rPr>
                <w:sz w:val="18"/>
              </w:rPr>
              <w:t>0,00</w:t>
            </w:r>
          </w:p>
        </w:tc>
        <w:tc>
          <w:tcPr>
            <w:tcW w:w="1748" w:type="dxa"/>
            <w:tcBorders>
              <w:top w:val="nil"/>
              <w:left w:val="nil"/>
              <w:bottom w:val="single" w:sz="4" w:space="0" w:color="auto"/>
              <w:right w:val="single" w:sz="4" w:space="0" w:color="auto"/>
            </w:tcBorders>
            <w:shd w:val="clear" w:color="000000" w:fill="FFFFFF"/>
            <w:noWrap/>
            <w:vAlign w:val="bottom"/>
            <w:hideMark/>
          </w:tcPr>
          <w:p w14:paraId="1769E87E" w14:textId="77777777" w:rsidR="00B56301" w:rsidRPr="00364545" w:rsidRDefault="00B56301" w:rsidP="00B37B65">
            <w:pPr>
              <w:jc w:val="right"/>
              <w:rPr>
                <w:rFonts w:ascii="Times New Roman" w:hAnsi="Times New Roman"/>
                <w:sz w:val="18"/>
                <w:szCs w:val="18"/>
              </w:rPr>
            </w:pPr>
            <w:r w:rsidRPr="00364545">
              <w:rPr>
                <w:sz w:val="18"/>
              </w:rPr>
              <w:t>-98,10</w:t>
            </w:r>
          </w:p>
        </w:tc>
      </w:tr>
      <w:tr w:rsidR="00B56301" w:rsidRPr="00364545" w14:paraId="7671717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523ED959"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5</w:t>
            </w:r>
            <w:r w:rsidRPr="00364545">
              <w:rPr>
                <w:rFonts w:ascii="Times New Roman" w:hAnsi="Times New Roman"/>
                <w:sz w:val="20"/>
              </w:rPr>
              <w:t>F</w:t>
            </w:r>
            <w:r w:rsidRPr="00364545">
              <w:rPr>
                <w:rFonts w:ascii="Times New Roman" w:hAnsi="Times New Roman"/>
                <w:sz w:val="20"/>
                <w:vertAlign w:val="subscript"/>
              </w:rPr>
              <w:t>12</w:t>
            </w:r>
          </w:p>
        </w:tc>
        <w:tc>
          <w:tcPr>
            <w:tcW w:w="993" w:type="dxa"/>
            <w:tcBorders>
              <w:top w:val="nil"/>
              <w:left w:val="nil"/>
              <w:bottom w:val="single" w:sz="4" w:space="0" w:color="auto"/>
              <w:right w:val="single" w:sz="4" w:space="0" w:color="auto"/>
            </w:tcBorders>
            <w:shd w:val="clear" w:color="000000" w:fill="FFFFFF"/>
            <w:noWrap/>
            <w:vAlign w:val="bottom"/>
            <w:hideMark/>
          </w:tcPr>
          <w:p w14:paraId="50251B59" w14:textId="77777777" w:rsidR="00B56301" w:rsidRPr="00364545" w:rsidRDefault="00B56301" w:rsidP="00B37B65">
            <w:pPr>
              <w:jc w:val="right"/>
              <w:rPr>
                <w:rFonts w:ascii="Times New Roman" w:hAnsi="Times New Roman"/>
                <w:sz w:val="18"/>
                <w:szCs w:val="18"/>
              </w:rPr>
            </w:pPr>
            <w:r w:rsidRPr="00364545">
              <w:rPr>
                <w:sz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3A971460" w14:textId="77777777" w:rsidR="00B56301" w:rsidRPr="00364545" w:rsidRDefault="00B56301" w:rsidP="00B37B65">
            <w:pPr>
              <w:jc w:val="right"/>
              <w:rPr>
                <w:rFonts w:ascii="Times New Roman" w:hAnsi="Times New Roman"/>
                <w:sz w:val="18"/>
                <w:szCs w:val="18"/>
              </w:rPr>
            </w:pPr>
            <w:r w:rsidRPr="00364545">
              <w:rPr>
                <w:sz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50F5880E"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4EF8935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91B40D7"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6</w:t>
            </w:r>
            <w:r w:rsidRPr="00364545">
              <w:rPr>
                <w:rFonts w:ascii="Times New Roman" w:hAnsi="Times New Roman"/>
                <w:sz w:val="20"/>
              </w:rPr>
              <w:t>F</w:t>
            </w:r>
            <w:r w:rsidRPr="00364545">
              <w:rPr>
                <w:rFonts w:ascii="Times New Roman" w:hAnsi="Times New Roman"/>
                <w:sz w:val="20"/>
                <w:vertAlign w:val="subscript"/>
              </w:rPr>
              <w:t>14</w:t>
            </w:r>
          </w:p>
        </w:tc>
        <w:tc>
          <w:tcPr>
            <w:tcW w:w="993" w:type="dxa"/>
            <w:tcBorders>
              <w:top w:val="nil"/>
              <w:left w:val="nil"/>
              <w:bottom w:val="single" w:sz="4" w:space="0" w:color="auto"/>
              <w:right w:val="single" w:sz="4" w:space="0" w:color="auto"/>
            </w:tcBorders>
            <w:shd w:val="clear" w:color="000000" w:fill="FFFFFF"/>
            <w:noWrap/>
            <w:vAlign w:val="bottom"/>
            <w:hideMark/>
          </w:tcPr>
          <w:p w14:paraId="25936B1F" w14:textId="77777777" w:rsidR="00B56301" w:rsidRPr="00364545" w:rsidRDefault="00B56301" w:rsidP="00B37B65">
            <w:pPr>
              <w:jc w:val="right"/>
              <w:rPr>
                <w:rFonts w:ascii="Times New Roman" w:hAnsi="Times New Roman"/>
                <w:sz w:val="18"/>
                <w:szCs w:val="18"/>
              </w:rPr>
            </w:pPr>
            <w:r w:rsidRPr="00364545">
              <w:rPr>
                <w:sz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23815736" w14:textId="77777777" w:rsidR="00B56301" w:rsidRPr="00364545" w:rsidRDefault="00B56301" w:rsidP="00B37B65">
            <w:pPr>
              <w:jc w:val="right"/>
              <w:rPr>
                <w:rFonts w:ascii="Times New Roman" w:hAnsi="Times New Roman"/>
                <w:sz w:val="18"/>
                <w:szCs w:val="18"/>
              </w:rPr>
            </w:pPr>
            <w:r w:rsidRPr="00364545">
              <w:rPr>
                <w:sz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33FB6904"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6CF4C69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1398F74"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w:t>
            </w:r>
            <w:r w:rsidRPr="00364545">
              <w:rPr>
                <w:rFonts w:ascii="Times New Roman" w:hAnsi="Times New Roman"/>
                <w:sz w:val="20"/>
                <w:vertAlign w:val="subscript"/>
              </w:rPr>
              <w:t>10</w:t>
            </w:r>
            <w:r w:rsidRPr="00364545">
              <w:rPr>
                <w:rFonts w:ascii="Times New Roman" w:hAnsi="Times New Roman"/>
                <w:sz w:val="20"/>
              </w:rPr>
              <w:t>F</w:t>
            </w:r>
            <w:r w:rsidRPr="00364545">
              <w:rPr>
                <w:rFonts w:ascii="Times New Roman" w:hAnsi="Times New Roman"/>
                <w:sz w:val="20"/>
                <w:vertAlign w:val="subscript"/>
              </w:rPr>
              <w:t>18</w:t>
            </w:r>
          </w:p>
        </w:tc>
        <w:tc>
          <w:tcPr>
            <w:tcW w:w="993" w:type="dxa"/>
            <w:tcBorders>
              <w:top w:val="nil"/>
              <w:left w:val="nil"/>
              <w:bottom w:val="single" w:sz="4" w:space="0" w:color="auto"/>
              <w:right w:val="single" w:sz="4" w:space="0" w:color="auto"/>
            </w:tcBorders>
            <w:shd w:val="clear" w:color="000000" w:fill="FFFFFF"/>
            <w:noWrap/>
            <w:vAlign w:val="bottom"/>
            <w:hideMark/>
          </w:tcPr>
          <w:p w14:paraId="084131FB" w14:textId="77777777" w:rsidR="00B56301" w:rsidRPr="00364545" w:rsidRDefault="00B56301" w:rsidP="00B37B65">
            <w:pPr>
              <w:jc w:val="right"/>
              <w:rPr>
                <w:rFonts w:ascii="Times New Roman" w:hAnsi="Times New Roman"/>
                <w:sz w:val="18"/>
                <w:szCs w:val="18"/>
              </w:rPr>
            </w:pPr>
            <w:r w:rsidRPr="00364545">
              <w:rPr>
                <w:sz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48271FAF" w14:textId="77777777" w:rsidR="00B56301" w:rsidRPr="00364545" w:rsidRDefault="00B56301" w:rsidP="00B37B65">
            <w:pPr>
              <w:jc w:val="right"/>
              <w:rPr>
                <w:rFonts w:ascii="Times New Roman" w:hAnsi="Times New Roman"/>
                <w:sz w:val="18"/>
                <w:szCs w:val="18"/>
              </w:rPr>
            </w:pPr>
            <w:r w:rsidRPr="00364545">
              <w:rPr>
                <w:sz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1FF74A94"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2AC0506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05744D61" w14:textId="77777777" w:rsidR="00B56301" w:rsidRPr="00364545" w:rsidRDefault="00B56301" w:rsidP="00B37B65">
            <w:pPr>
              <w:jc w:val="left"/>
              <w:rPr>
                <w:rFonts w:ascii="Times New Roman" w:hAnsi="Times New Roman"/>
                <w:sz w:val="20"/>
                <w:szCs w:val="18"/>
              </w:rPr>
            </w:pPr>
            <w:r w:rsidRPr="00364545">
              <w:rPr>
                <w:rFonts w:ascii="Times New Roman" w:hAnsi="Times New Roman"/>
                <w:sz w:val="20"/>
              </w:rPr>
              <w:t>c-C</w:t>
            </w:r>
            <w:r w:rsidRPr="00364545">
              <w:rPr>
                <w:rFonts w:ascii="Times New Roman" w:hAnsi="Times New Roman"/>
                <w:sz w:val="20"/>
                <w:vertAlign w:val="subscript"/>
              </w:rPr>
              <w:t>3</w:t>
            </w:r>
            <w:r w:rsidRPr="00364545">
              <w:rPr>
                <w:rFonts w:ascii="Times New Roman" w:hAnsi="Times New Roman"/>
                <w:sz w:val="20"/>
              </w:rPr>
              <w:t>F</w:t>
            </w:r>
            <w:r w:rsidRPr="00364545">
              <w:rPr>
                <w:rFonts w:ascii="Times New Roman" w:hAnsi="Times New Roman"/>
                <w:sz w:val="20"/>
                <w:vertAlign w:val="subscript"/>
              </w:rPr>
              <w:t>6</w:t>
            </w:r>
          </w:p>
        </w:tc>
        <w:tc>
          <w:tcPr>
            <w:tcW w:w="993" w:type="dxa"/>
            <w:tcBorders>
              <w:top w:val="nil"/>
              <w:left w:val="nil"/>
              <w:bottom w:val="single" w:sz="4" w:space="0" w:color="auto"/>
              <w:right w:val="single" w:sz="4" w:space="0" w:color="auto"/>
            </w:tcBorders>
            <w:shd w:val="clear" w:color="000000" w:fill="FFFFFF"/>
            <w:noWrap/>
            <w:vAlign w:val="bottom"/>
            <w:hideMark/>
          </w:tcPr>
          <w:p w14:paraId="59C93BB5" w14:textId="77777777" w:rsidR="00B56301" w:rsidRPr="00364545" w:rsidRDefault="00B56301" w:rsidP="00B37B65">
            <w:pPr>
              <w:jc w:val="right"/>
              <w:rPr>
                <w:rFonts w:ascii="Times New Roman" w:hAnsi="Times New Roman"/>
                <w:sz w:val="18"/>
                <w:szCs w:val="18"/>
              </w:rPr>
            </w:pPr>
            <w:r w:rsidRPr="00364545">
              <w:rPr>
                <w:sz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180474CF" w14:textId="77777777" w:rsidR="00B56301" w:rsidRPr="00364545" w:rsidRDefault="00B56301" w:rsidP="00B37B65">
            <w:pPr>
              <w:jc w:val="right"/>
              <w:rPr>
                <w:rFonts w:ascii="Times New Roman" w:hAnsi="Times New Roman"/>
                <w:sz w:val="18"/>
                <w:szCs w:val="18"/>
              </w:rPr>
            </w:pPr>
            <w:r w:rsidRPr="00364545">
              <w:rPr>
                <w:sz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7E01EBCF"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1D8EC45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ED9179F" w14:textId="23C110E9" w:rsidR="00B56301" w:rsidRPr="00364545" w:rsidRDefault="00B56301" w:rsidP="00B37B65">
            <w:pPr>
              <w:jc w:val="left"/>
              <w:rPr>
                <w:rFonts w:ascii="Times New Roman" w:hAnsi="Times New Roman"/>
                <w:sz w:val="20"/>
                <w:szCs w:val="18"/>
              </w:rPr>
            </w:pPr>
            <w:r w:rsidRPr="00364545">
              <w:rPr>
                <w:rFonts w:ascii="Times New Roman" w:hAnsi="Times New Roman"/>
                <w:sz w:val="20"/>
              </w:rPr>
              <w:t>Unspecified mix of PFCs</w:t>
            </w:r>
            <w:r w:rsidRPr="00364545">
              <w:rPr>
                <w:rFonts w:ascii="Times New Roman" w:hAnsi="Times New Roman"/>
                <w:sz w:val="20"/>
                <w:vertAlign w:val="superscript"/>
              </w:rPr>
              <w:t>(4)</w:t>
            </w:r>
            <w:r w:rsidRPr="00364545">
              <w:rPr>
                <w:rFonts w:ascii="Times New Roman" w:hAnsi="Times New Roman"/>
                <w:sz w:val="20"/>
              </w:rPr>
              <w:t xml:space="preserve"> - (kt </w:t>
            </w:r>
            <w:r w:rsidRPr="00364545">
              <w:t>CO</w:t>
            </w:r>
            <w:r w:rsidRPr="00364545">
              <w:rPr>
                <w:vertAlign w:val="subscript"/>
              </w:rPr>
              <w:t>2</w:t>
            </w:r>
            <w:r w:rsidRPr="00364545">
              <w:rPr>
                <w:rFonts w:ascii="Times New Roman" w:hAnsi="Times New Roman"/>
                <w:sz w:val="20"/>
              </w:rPr>
              <w:t xml:space="preserve"> equivalent) </w:t>
            </w:r>
          </w:p>
        </w:tc>
        <w:tc>
          <w:tcPr>
            <w:tcW w:w="993" w:type="dxa"/>
            <w:tcBorders>
              <w:top w:val="nil"/>
              <w:left w:val="nil"/>
              <w:bottom w:val="single" w:sz="4" w:space="0" w:color="auto"/>
              <w:right w:val="single" w:sz="4" w:space="0" w:color="auto"/>
            </w:tcBorders>
            <w:shd w:val="clear" w:color="000000" w:fill="FFFFFF"/>
            <w:noWrap/>
            <w:vAlign w:val="bottom"/>
            <w:hideMark/>
          </w:tcPr>
          <w:p w14:paraId="596BFBF0" w14:textId="77777777" w:rsidR="00B56301" w:rsidRPr="00364545" w:rsidRDefault="00B56301" w:rsidP="00B37B65">
            <w:pPr>
              <w:jc w:val="right"/>
              <w:rPr>
                <w:rFonts w:ascii="Times New Roman" w:hAnsi="Times New Roman"/>
                <w:sz w:val="18"/>
                <w:szCs w:val="18"/>
              </w:rPr>
            </w:pPr>
            <w:r w:rsidRPr="00364545">
              <w:rPr>
                <w:sz w:val="18"/>
              </w:rPr>
              <w:t>467,23</w:t>
            </w:r>
          </w:p>
        </w:tc>
        <w:tc>
          <w:tcPr>
            <w:tcW w:w="993" w:type="dxa"/>
            <w:tcBorders>
              <w:top w:val="nil"/>
              <w:left w:val="nil"/>
              <w:bottom w:val="single" w:sz="4" w:space="0" w:color="auto"/>
              <w:right w:val="single" w:sz="4" w:space="0" w:color="auto"/>
            </w:tcBorders>
            <w:shd w:val="clear" w:color="000000" w:fill="FFFFFF"/>
            <w:noWrap/>
            <w:vAlign w:val="bottom"/>
            <w:hideMark/>
          </w:tcPr>
          <w:p w14:paraId="1EAD037A" w14:textId="77777777" w:rsidR="00B56301" w:rsidRPr="00364545" w:rsidRDefault="00B56301" w:rsidP="00B37B65">
            <w:pPr>
              <w:jc w:val="right"/>
              <w:rPr>
                <w:rFonts w:ascii="Times New Roman" w:hAnsi="Times New Roman"/>
                <w:sz w:val="18"/>
                <w:szCs w:val="18"/>
              </w:rPr>
            </w:pPr>
            <w:r w:rsidRPr="00364545">
              <w:rPr>
                <w:sz w:val="18"/>
              </w:rPr>
              <w:t>404,76</w:t>
            </w:r>
          </w:p>
        </w:tc>
        <w:tc>
          <w:tcPr>
            <w:tcW w:w="1748" w:type="dxa"/>
            <w:tcBorders>
              <w:top w:val="nil"/>
              <w:left w:val="nil"/>
              <w:bottom w:val="single" w:sz="4" w:space="0" w:color="auto"/>
              <w:right w:val="single" w:sz="4" w:space="0" w:color="auto"/>
            </w:tcBorders>
            <w:shd w:val="clear" w:color="000000" w:fill="FFFFFF"/>
            <w:noWrap/>
            <w:vAlign w:val="bottom"/>
            <w:hideMark/>
          </w:tcPr>
          <w:p w14:paraId="6E6B1843" w14:textId="77777777" w:rsidR="00B56301" w:rsidRPr="00364545" w:rsidRDefault="00B56301" w:rsidP="00B37B65">
            <w:pPr>
              <w:jc w:val="right"/>
              <w:rPr>
                <w:rFonts w:ascii="Times New Roman" w:hAnsi="Times New Roman"/>
                <w:sz w:val="18"/>
                <w:szCs w:val="18"/>
              </w:rPr>
            </w:pPr>
            <w:r w:rsidRPr="00364545">
              <w:rPr>
                <w:sz w:val="18"/>
              </w:rPr>
              <w:t>67,75</w:t>
            </w:r>
          </w:p>
        </w:tc>
      </w:tr>
      <w:tr w:rsidR="00B56301" w:rsidRPr="00364545" w14:paraId="671540C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090F1D25" w14:textId="0E38A15E"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Unspecified mix of HFCs and PFCs - (kt </w:t>
            </w:r>
            <w:r w:rsidRPr="00364545">
              <w:t>CO</w:t>
            </w:r>
            <w:r w:rsidRPr="00364545">
              <w:rPr>
                <w:vertAlign w:val="subscript"/>
              </w:rPr>
              <w:t>2</w:t>
            </w:r>
            <w:r w:rsidRPr="00364545">
              <w:rPr>
                <w:rFonts w:ascii="Times New Roman" w:hAnsi="Times New Roman"/>
                <w:b/>
                <w:sz w:val="20"/>
              </w:rPr>
              <w:t xml:space="preserve"> equivalent)</w:t>
            </w:r>
          </w:p>
        </w:tc>
        <w:tc>
          <w:tcPr>
            <w:tcW w:w="993" w:type="dxa"/>
            <w:tcBorders>
              <w:top w:val="nil"/>
              <w:left w:val="nil"/>
              <w:bottom w:val="single" w:sz="4" w:space="0" w:color="auto"/>
              <w:right w:val="single" w:sz="4" w:space="0" w:color="auto"/>
            </w:tcBorders>
            <w:shd w:val="clear" w:color="000000" w:fill="CCFFFF"/>
            <w:noWrap/>
            <w:vAlign w:val="bottom"/>
            <w:hideMark/>
          </w:tcPr>
          <w:p w14:paraId="23DDB842" w14:textId="77777777" w:rsidR="00B56301" w:rsidRPr="00364545" w:rsidRDefault="00B56301" w:rsidP="00B37B65">
            <w:pPr>
              <w:jc w:val="right"/>
              <w:rPr>
                <w:rFonts w:ascii="Times New Roman" w:hAnsi="Times New Roman"/>
                <w:sz w:val="18"/>
                <w:szCs w:val="18"/>
              </w:rPr>
            </w:pPr>
            <w:r w:rsidRPr="00364545">
              <w:rPr>
                <w:sz w:val="18"/>
              </w:rPr>
              <w:t>NO,NA</w:t>
            </w:r>
          </w:p>
        </w:tc>
        <w:tc>
          <w:tcPr>
            <w:tcW w:w="993" w:type="dxa"/>
            <w:tcBorders>
              <w:top w:val="nil"/>
              <w:left w:val="nil"/>
              <w:bottom w:val="single" w:sz="4" w:space="0" w:color="auto"/>
              <w:right w:val="single" w:sz="4" w:space="0" w:color="auto"/>
            </w:tcBorders>
            <w:shd w:val="clear" w:color="000000" w:fill="CCFFFF"/>
            <w:noWrap/>
            <w:vAlign w:val="bottom"/>
            <w:hideMark/>
          </w:tcPr>
          <w:p w14:paraId="0BF28F13" w14:textId="77777777" w:rsidR="00B56301" w:rsidRPr="00364545" w:rsidRDefault="00B56301" w:rsidP="00B37B65">
            <w:pPr>
              <w:jc w:val="right"/>
              <w:rPr>
                <w:rFonts w:ascii="Times New Roman" w:hAnsi="Times New Roman"/>
                <w:sz w:val="18"/>
                <w:szCs w:val="18"/>
              </w:rPr>
            </w:pPr>
            <w:r w:rsidRPr="00364545">
              <w:rPr>
                <w:sz w:val="18"/>
              </w:rPr>
              <w:t>NO,NA</w:t>
            </w:r>
          </w:p>
        </w:tc>
        <w:tc>
          <w:tcPr>
            <w:tcW w:w="1748" w:type="dxa"/>
            <w:tcBorders>
              <w:top w:val="nil"/>
              <w:left w:val="nil"/>
              <w:bottom w:val="single" w:sz="4" w:space="0" w:color="auto"/>
              <w:right w:val="single" w:sz="4" w:space="0" w:color="auto"/>
            </w:tcBorders>
            <w:shd w:val="clear" w:color="000000" w:fill="CCFFFF"/>
            <w:noWrap/>
            <w:vAlign w:val="bottom"/>
            <w:hideMark/>
          </w:tcPr>
          <w:p w14:paraId="7367903C" w14:textId="77777777" w:rsidR="00B56301" w:rsidRPr="00364545" w:rsidRDefault="00B56301" w:rsidP="00B37B65">
            <w:pPr>
              <w:jc w:val="right"/>
              <w:rPr>
                <w:rFonts w:ascii="Times New Roman" w:hAnsi="Times New Roman"/>
                <w:sz w:val="18"/>
                <w:szCs w:val="18"/>
              </w:rPr>
            </w:pPr>
            <w:r w:rsidRPr="00364545">
              <w:rPr>
                <w:sz w:val="18"/>
              </w:rPr>
              <w:t>0,00</w:t>
            </w:r>
          </w:p>
        </w:tc>
      </w:tr>
      <w:tr w:rsidR="00B56301" w:rsidRPr="00364545" w14:paraId="35B002D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5643E82" w14:textId="1945A0C8"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t>SF</w:t>
            </w:r>
            <w:r w:rsidRPr="00364545">
              <w:rPr>
                <w:vertAlign w:val="subscript"/>
              </w:rPr>
              <w:t>6</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3" w:type="dxa"/>
            <w:tcBorders>
              <w:top w:val="nil"/>
              <w:left w:val="nil"/>
              <w:bottom w:val="single" w:sz="4" w:space="0" w:color="auto"/>
              <w:right w:val="single" w:sz="4" w:space="0" w:color="auto"/>
            </w:tcBorders>
            <w:shd w:val="clear" w:color="000000" w:fill="CCFFFF"/>
            <w:noWrap/>
            <w:vAlign w:val="bottom"/>
            <w:hideMark/>
          </w:tcPr>
          <w:p w14:paraId="61BEDDFC" w14:textId="77777777" w:rsidR="00B56301" w:rsidRPr="00364545" w:rsidRDefault="00B56301" w:rsidP="00B37B65">
            <w:pPr>
              <w:jc w:val="right"/>
              <w:rPr>
                <w:rFonts w:ascii="Times New Roman" w:hAnsi="Times New Roman"/>
                <w:sz w:val="18"/>
                <w:szCs w:val="18"/>
              </w:rPr>
            </w:pPr>
            <w:r w:rsidRPr="00364545">
              <w:rPr>
                <w:sz w:val="18"/>
              </w:rPr>
              <w:t>385,40</w:t>
            </w:r>
          </w:p>
        </w:tc>
        <w:tc>
          <w:tcPr>
            <w:tcW w:w="993" w:type="dxa"/>
            <w:tcBorders>
              <w:top w:val="nil"/>
              <w:left w:val="nil"/>
              <w:bottom w:val="single" w:sz="4" w:space="0" w:color="auto"/>
              <w:right w:val="single" w:sz="4" w:space="0" w:color="auto"/>
            </w:tcBorders>
            <w:shd w:val="clear" w:color="000000" w:fill="CCFFFF"/>
            <w:noWrap/>
            <w:vAlign w:val="bottom"/>
            <w:hideMark/>
          </w:tcPr>
          <w:p w14:paraId="725707CD" w14:textId="77777777" w:rsidR="00B56301" w:rsidRPr="00364545" w:rsidRDefault="00B56301" w:rsidP="00B37B65">
            <w:pPr>
              <w:jc w:val="right"/>
              <w:rPr>
                <w:rFonts w:ascii="Times New Roman" w:hAnsi="Times New Roman"/>
                <w:sz w:val="18"/>
                <w:szCs w:val="18"/>
              </w:rPr>
            </w:pPr>
            <w:r w:rsidRPr="00364545">
              <w:rPr>
                <w:sz w:val="18"/>
              </w:rPr>
              <w:t>346,60</w:t>
            </w:r>
          </w:p>
        </w:tc>
        <w:tc>
          <w:tcPr>
            <w:tcW w:w="1748" w:type="dxa"/>
            <w:tcBorders>
              <w:top w:val="nil"/>
              <w:left w:val="nil"/>
              <w:bottom w:val="single" w:sz="4" w:space="0" w:color="auto"/>
              <w:right w:val="single" w:sz="4" w:space="0" w:color="auto"/>
            </w:tcBorders>
            <w:shd w:val="clear" w:color="000000" w:fill="CCFFFF"/>
            <w:noWrap/>
            <w:vAlign w:val="bottom"/>
            <w:hideMark/>
          </w:tcPr>
          <w:p w14:paraId="0FD33BF6" w14:textId="77777777" w:rsidR="00B56301" w:rsidRPr="00364545" w:rsidRDefault="00B56301" w:rsidP="00B37B65">
            <w:pPr>
              <w:jc w:val="right"/>
              <w:rPr>
                <w:rFonts w:ascii="Times New Roman" w:hAnsi="Times New Roman"/>
                <w:sz w:val="18"/>
                <w:szCs w:val="18"/>
              </w:rPr>
            </w:pPr>
            <w:r w:rsidRPr="00364545">
              <w:rPr>
                <w:sz w:val="18"/>
              </w:rPr>
              <w:t>-83,91</w:t>
            </w:r>
          </w:p>
        </w:tc>
      </w:tr>
      <w:tr w:rsidR="00B56301" w:rsidRPr="00364545" w14:paraId="5DF8E43B"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3C69CDF8" w14:textId="5CD0E1F5" w:rsidR="00B56301" w:rsidRPr="00364545" w:rsidRDefault="007F09F7" w:rsidP="00B37B65">
            <w:pPr>
              <w:jc w:val="left"/>
              <w:rPr>
                <w:rFonts w:ascii="Times New Roman" w:hAnsi="Times New Roman"/>
                <w:sz w:val="20"/>
                <w:szCs w:val="18"/>
              </w:rPr>
            </w:pPr>
            <w:r w:rsidRPr="00364545">
              <w:t>SF</w:t>
            </w:r>
            <w:r w:rsidRPr="00364545">
              <w:rPr>
                <w:vertAlign w:val="subscript"/>
              </w:rPr>
              <w:t>6</w:t>
            </w:r>
          </w:p>
        </w:tc>
        <w:tc>
          <w:tcPr>
            <w:tcW w:w="993" w:type="dxa"/>
            <w:tcBorders>
              <w:top w:val="nil"/>
              <w:left w:val="single" w:sz="4" w:space="0" w:color="auto"/>
              <w:bottom w:val="single" w:sz="4" w:space="0" w:color="auto"/>
              <w:right w:val="single" w:sz="4" w:space="0" w:color="auto"/>
            </w:tcBorders>
            <w:shd w:val="clear" w:color="000000" w:fill="FFFFFF"/>
            <w:noWrap/>
            <w:vAlign w:val="bottom"/>
            <w:hideMark/>
          </w:tcPr>
          <w:p w14:paraId="420F7118" w14:textId="77777777" w:rsidR="00B56301" w:rsidRPr="00364545" w:rsidRDefault="00B56301" w:rsidP="00B37B65">
            <w:pPr>
              <w:jc w:val="right"/>
              <w:rPr>
                <w:rFonts w:ascii="Times New Roman" w:hAnsi="Times New Roman"/>
                <w:sz w:val="18"/>
                <w:szCs w:val="18"/>
              </w:rPr>
            </w:pPr>
            <w:r w:rsidRPr="00364545">
              <w:rPr>
                <w:sz w:val="18"/>
              </w:rPr>
              <w:t>0,02</w:t>
            </w:r>
          </w:p>
        </w:tc>
        <w:tc>
          <w:tcPr>
            <w:tcW w:w="993" w:type="dxa"/>
            <w:tcBorders>
              <w:top w:val="nil"/>
              <w:left w:val="nil"/>
              <w:bottom w:val="single" w:sz="4" w:space="0" w:color="auto"/>
              <w:right w:val="single" w:sz="4" w:space="0" w:color="auto"/>
            </w:tcBorders>
            <w:shd w:val="clear" w:color="000000" w:fill="FFFFFF"/>
            <w:noWrap/>
            <w:vAlign w:val="bottom"/>
            <w:hideMark/>
          </w:tcPr>
          <w:p w14:paraId="657282ED" w14:textId="77777777" w:rsidR="00B56301" w:rsidRPr="00364545" w:rsidRDefault="00B56301" w:rsidP="00B37B65">
            <w:pPr>
              <w:jc w:val="right"/>
              <w:rPr>
                <w:rFonts w:ascii="Times New Roman" w:hAnsi="Times New Roman"/>
                <w:sz w:val="18"/>
                <w:szCs w:val="18"/>
              </w:rPr>
            </w:pPr>
            <w:r w:rsidRPr="00364545">
              <w:rPr>
                <w:sz w:val="18"/>
              </w:rPr>
              <w:t>0,02</w:t>
            </w:r>
          </w:p>
        </w:tc>
        <w:tc>
          <w:tcPr>
            <w:tcW w:w="1748" w:type="dxa"/>
            <w:tcBorders>
              <w:top w:val="nil"/>
              <w:left w:val="nil"/>
              <w:bottom w:val="single" w:sz="4" w:space="0" w:color="auto"/>
              <w:right w:val="single" w:sz="4" w:space="0" w:color="auto"/>
            </w:tcBorders>
            <w:shd w:val="clear" w:color="000000" w:fill="FFFFFF"/>
            <w:noWrap/>
            <w:vAlign w:val="bottom"/>
            <w:hideMark/>
          </w:tcPr>
          <w:p w14:paraId="7515BCCC" w14:textId="77777777" w:rsidR="00B56301" w:rsidRPr="00364545" w:rsidRDefault="00B56301" w:rsidP="00B37B65">
            <w:pPr>
              <w:jc w:val="right"/>
              <w:rPr>
                <w:rFonts w:ascii="Times New Roman" w:hAnsi="Times New Roman"/>
                <w:sz w:val="18"/>
                <w:szCs w:val="18"/>
              </w:rPr>
            </w:pPr>
            <w:r w:rsidRPr="00364545">
              <w:rPr>
                <w:sz w:val="18"/>
              </w:rPr>
              <w:t>-83,91</w:t>
            </w:r>
          </w:p>
        </w:tc>
      </w:tr>
      <w:tr w:rsidR="00B56301" w:rsidRPr="00364545" w14:paraId="6F34D969"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30588AAB" w14:textId="79936007" w:rsidR="00B56301" w:rsidRPr="00364545" w:rsidRDefault="00B56301" w:rsidP="00B37B65">
            <w:pPr>
              <w:jc w:val="left"/>
              <w:rPr>
                <w:rFonts w:ascii="Times New Roman" w:hAnsi="Times New Roman"/>
                <w:b/>
                <w:bCs/>
                <w:sz w:val="20"/>
                <w:szCs w:val="18"/>
              </w:rPr>
            </w:pPr>
            <w:r w:rsidRPr="00364545">
              <w:rPr>
                <w:rFonts w:ascii="Times New Roman" w:hAnsi="Times New Roman"/>
                <w:b/>
                <w:sz w:val="20"/>
              </w:rPr>
              <w:t xml:space="preserve">Emissions of </w:t>
            </w:r>
            <w:r w:rsidRPr="00364545">
              <w:rPr>
                <w:sz w:val="18"/>
              </w:rPr>
              <w:t>NF</w:t>
            </w:r>
            <w:r w:rsidRPr="00364545">
              <w:rPr>
                <w:sz w:val="18"/>
                <w:vertAlign w:val="subscript"/>
              </w:rPr>
              <w:t>3</w:t>
            </w:r>
            <w:r w:rsidRPr="00364545">
              <w:rPr>
                <w:rFonts w:ascii="Times New Roman" w:hAnsi="Times New Roman"/>
                <w:b/>
                <w:sz w:val="20"/>
              </w:rPr>
              <w:t xml:space="preserve"> - (kt </w:t>
            </w:r>
            <w:r w:rsidRPr="00364545">
              <w:t>CO</w:t>
            </w:r>
            <w:r w:rsidRPr="00364545">
              <w:rPr>
                <w:vertAlign w:val="subscript"/>
              </w:rPr>
              <w:t>2</w:t>
            </w:r>
            <w:r w:rsidRPr="00364545">
              <w:rPr>
                <w:rFonts w:ascii="Times New Roman" w:hAnsi="Times New Roman"/>
                <w:b/>
                <w:sz w:val="20"/>
              </w:rPr>
              <w:t xml:space="preserve"> equivalent)</w:t>
            </w:r>
          </w:p>
        </w:tc>
        <w:tc>
          <w:tcPr>
            <w:tcW w:w="993" w:type="dxa"/>
            <w:tcBorders>
              <w:top w:val="nil"/>
              <w:left w:val="nil"/>
              <w:bottom w:val="single" w:sz="4" w:space="0" w:color="auto"/>
              <w:right w:val="single" w:sz="4" w:space="0" w:color="auto"/>
            </w:tcBorders>
            <w:shd w:val="clear" w:color="000000" w:fill="CCFFFF"/>
            <w:noWrap/>
            <w:vAlign w:val="bottom"/>
            <w:hideMark/>
          </w:tcPr>
          <w:p w14:paraId="4FCC96CA" w14:textId="77777777" w:rsidR="00B56301" w:rsidRPr="00364545" w:rsidRDefault="00B56301" w:rsidP="00B37B65">
            <w:pPr>
              <w:jc w:val="right"/>
              <w:rPr>
                <w:rFonts w:ascii="Times New Roman" w:hAnsi="Times New Roman"/>
                <w:sz w:val="18"/>
                <w:szCs w:val="18"/>
              </w:rPr>
            </w:pPr>
            <w:r w:rsidRPr="00364545">
              <w:rPr>
                <w:sz w:val="18"/>
              </w:rPr>
              <w:t>10,29</w:t>
            </w:r>
          </w:p>
        </w:tc>
        <w:tc>
          <w:tcPr>
            <w:tcW w:w="993" w:type="dxa"/>
            <w:tcBorders>
              <w:top w:val="nil"/>
              <w:left w:val="nil"/>
              <w:bottom w:val="single" w:sz="4" w:space="0" w:color="auto"/>
              <w:right w:val="single" w:sz="4" w:space="0" w:color="auto"/>
            </w:tcBorders>
            <w:shd w:val="clear" w:color="000000" w:fill="CCFFFF"/>
            <w:noWrap/>
            <w:vAlign w:val="bottom"/>
            <w:hideMark/>
          </w:tcPr>
          <w:p w14:paraId="76C1A6F6" w14:textId="77777777" w:rsidR="00B56301" w:rsidRPr="00364545" w:rsidRDefault="00B56301" w:rsidP="00B37B65">
            <w:pPr>
              <w:jc w:val="right"/>
              <w:rPr>
                <w:rFonts w:ascii="Times New Roman" w:hAnsi="Times New Roman"/>
                <w:sz w:val="18"/>
                <w:szCs w:val="18"/>
              </w:rPr>
            </w:pPr>
            <w:r w:rsidRPr="00364545">
              <w:rPr>
                <w:sz w:val="18"/>
              </w:rPr>
              <w:t>8,54</w:t>
            </w:r>
          </w:p>
        </w:tc>
        <w:tc>
          <w:tcPr>
            <w:tcW w:w="1748" w:type="dxa"/>
            <w:tcBorders>
              <w:top w:val="nil"/>
              <w:left w:val="nil"/>
              <w:bottom w:val="single" w:sz="4" w:space="0" w:color="auto"/>
              <w:right w:val="single" w:sz="4" w:space="0" w:color="auto"/>
            </w:tcBorders>
            <w:shd w:val="clear" w:color="000000" w:fill="CCFFFF"/>
            <w:noWrap/>
            <w:vAlign w:val="bottom"/>
            <w:hideMark/>
          </w:tcPr>
          <w:p w14:paraId="7E2F1490" w14:textId="77777777" w:rsidR="00B56301" w:rsidRPr="00364545" w:rsidRDefault="00B56301" w:rsidP="00B37B65">
            <w:pPr>
              <w:jc w:val="right"/>
              <w:rPr>
                <w:rFonts w:ascii="Times New Roman" w:hAnsi="Times New Roman"/>
                <w:sz w:val="18"/>
                <w:szCs w:val="18"/>
              </w:rPr>
            </w:pPr>
            <w:r w:rsidRPr="00364545">
              <w:rPr>
                <w:sz w:val="18"/>
              </w:rPr>
              <w:t>-48,18</w:t>
            </w:r>
          </w:p>
        </w:tc>
      </w:tr>
      <w:tr w:rsidR="00B56301" w:rsidRPr="00364545" w14:paraId="3CBF616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9859026" w14:textId="67B92C19" w:rsidR="00B56301" w:rsidRPr="00364545" w:rsidRDefault="007F09F7" w:rsidP="00B37B65">
            <w:pPr>
              <w:jc w:val="left"/>
              <w:rPr>
                <w:rFonts w:ascii="Times New Roman" w:hAnsi="Times New Roman"/>
                <w:sz w:val="20"/>
                <w:szCs w:val="18"/>
              </w:rPr>
            </w:pPr>
            <w:r w:rsidRPr="00364545">
              <w:rPr>
                <w:sz w:val="18"/>
              </w:rPr>
              <w:t>NF</w:t>
            </w:r>
            <w:r w:rsidRPr="00364545">
              <w:rPr>
                <w:sz w:val="18"/>
                <w:vertAlign w:val="subscript"/>
              </w:rPr>
              <w:t>3</w:t>
            </w:r>
          </w:p>
        </w:tc>
        <w:tc>
          <w:tcPr>
            <w:tcW w:w="993" w:type="dxa"/>
            <w:tcBorders>
              <w:top w:val="nil"/>
              <w:left w:val="nil"/>
              <w:bottom w:val="single" w:sz="4" w:space="0" w:color="auto"/>
              <w:right w:val="single" w:sz="4" w:space="0" w:color="auto"/>
            </w:tcBorders>
            <w:shd w:val="clear" w:color="000000" w:fill="FFFFFF"/>
            <w:noWrap/>
            <w:vAlign w:val="bottom"/>
            <w:hideMark/>
          </w:tcPr>
          <w:p w14:paraId="73F7D725" w14:textId="77777777" w:rsidR="00B56301" w:rsidRPr="00364545" w:rsidRDefault="00B56301" w:rsidP="00B37B65">
            <w:pPr>
              <w:jc w:val="right"/>
              <w:rPr>
                <w:rFonts w:ascii="Times New Roman" w:hAnsi="Times New Roman"/>
                <w:sz w:val="18"/>
                <w:szCs w:val="18"/>
              </w:rPr>
            </w:pPr>
            <w:r w:rsidRPr="00364545">
              <w:rPr>
                <w:sz w:val="18"/>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0605A260" w14:textId="77777777" w:rsidR="00B56301" w:rsidRPr="00364545" w:rsidRDefault="00B56301" w:rsidP="00B37B65">
            <w:pPr>
              <w:jc w:val="right"/>
              <w:rPr>
                <w:rFonts w:ascii="Times New Roman" w:hAnsi="Times New Roman"/>
                <w:sz w:val="18"/>
                <w:szCs w:val="18"/>
              </w:rPr>
            </w:pPr>
            <w:r w:rsidRPr="00364545">
              <w:rPr>
                <w:sz w:val="18"/>
              </w:rPr>
              <w:t>0,00</w:t>
            </w:r>
          </w:p>
        </w:tc>
        <w:tc>
          <w:tcPr>
            <w:tcW w:w="1748" w:type="dxa"/>
            <w:tcBorders>
              <w:top w:val="nil"/>
              <w:left w:val="nil"/>
              <w:bottom w:val="single" w:sz="4" w:space="0" w:color="auto"/>
              <w:right w:val="single" w:sz="4" w:space="0" w:color="auto"/>
            </w:tcBorders>
            <w:shd w:val="clear" w:color="000000" w:fill="FFFFFF"/>
            <w:noWrap/>
            <w:vAlign w:val="bottom"/>
            <w:hideMark/>
          </w:tcPr>
          <w:p w14:paraId="21330123" w14:textId="77777777" w:rsidR="00B56301" w:rsidRPr="00364545" w:rsidRDefault="00B56301" w:rsidP="00B37B65">
            <w:pPr>
              <w:jc w:val="right"/>
              <w:rPr>
                <w:rFonts w:ascii="Times New Roman" w:hAnsi="Times New Roman"/>
                <w:sz w:val="18"/>
                <w:szCs w:val="18"/>
              </w:rPr>
            </w:pPr>
            <w:r w:rsidRPr="00364545">
              <w:rPr>
                <w:sz w:val="18"/>
              </w:rPr>
              <w:t>-48,18</w:t>
            </w:r>
          </w:p>
        </w:tc>
      </w:tr>
    </w:tbl>
    <w:p w14:paraId="15085D0D" w14:textId="77777777" w:rsidR="00B56301" w:rsidRPr="00364545" w:rsidRDefault="00B56301" w:rsidP="00B56301">
      <w:pPr>
        <w:spacing w:line="240" w:lineRule="atLeast"/>
        <w:jc w:val="left"/>
        <w:rPr>
          <w:rFonts w:cs="Arial"/>
        </w:rPr>
      </w:pPr>
    </w:p>
    <w:p w14:paraId="7CE66AC6" w14:textId="77777777" w:rsidR="00B56301" w:rsidRPr="00364545" w:rsidRDefault="00B56301" w:rsidP="00B56301">
      <w:pPr>
        <w:spacing w:line="240" w:lineRule="atLeast"/>
        <w:jc w:val="left"/>
        <w:rPr>
          <w:rFonts w:cs="Arial"/>
        </w:rPr>
      </w:pPr>
      <w:r w:rsidRPr="00364545">
        <w:br w:type="page"/>
      </w:r>
    </w:p>
    <w:p w14:paraId="2E9B30D5" w14:textId="27BD8A35" w:rsidR="00B56301" w:rsidRPr="00364545" w:rsidRDefault="00B56301" w:rsidP="003F57EA">
      <w:pPr>
        <w:pStyle w:val="Titre2Niveau2"/>
        <w:numPr>
          <w:ilvl w:val="0"/>
          <w:numId w:val="62"/>
        </w:numPr>
      </w:pPr>
      <w:bookmarkStart w:id="782" w:name="_Toc138341927"/>
      <w:r w:rsidRPr="00364545">
        <w:t>Summary (“Kyoto” scope</w:t>
      </w:r>
      <w:r w:rsidR="00833524">
        <w:t xml:space="preserve"> -</w:t>
      </w:r>
      <w:r w:rsidRPr="00364545">
        <w:t xml:space="preserve"> </w:t>
      </w:r>
      <w:r w:rsidR="00833524">
        <w:t>ktCO</w:t>
      </w:r>
      <w:r w:rsidR="00833524" w:rsidRPr="001F416D">
        <w:rPr>
          <w:vertAlign w:val="subscript"/>
        </w:rPr>
        <w:t>2</w:t>
      </w:r>
      <w:r w:rsidR="00833524" w:rsidRPr="00364545">
        <w:t>e</w:t>
      </w:r>
      <w:r w:rsidRPr="00364545">
        <w:t>)</w:t>
      </w:r>
      <w:bookmarkEnd w:id="782"/>
    </w:p>
    <w:p w14:paraId="12AD1B72" w14:textId="77777777" w:rsidR="00B56301" w:rsidRPr="00364545" w:rsidRDefault="00B56301" w:rsidP="00B56301"/>
    <w:tbl>
      <w:tblPr>
        <w:tblW w:w="974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364545" w14:paraId="5D86920F"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1602A382" w14:textId="77777777" w:rsidR="00B56301" w:rsidRPr="00364545" w:rsidRDefault="00B56301" w:rsidP="00B37B65">
            <w:pPr>
              <w:jc w:val="left"/>
              <w:rPr>
                <w:rFonts w:ascii="Times New Roman" w:hAnsi="Times New Roman"/>
                <w:b/>
                <w:bCs/>
                <w:sz w:val="18"/>
                <w:szCs w:val="18"/>
              </w:rPr>
            </w:pPr>
            <w:bookmarkStart w:id="783" w:name="RANGE!A5:AH21"/>
            <w:r w:rsidRPr="00364545">
              <w:rPr>
                <w:rFonts w:ascii="Times New Roman" w:hAnsi="Times New Roman"/>
                <w:b/>
                <w:sz w:val="18"/>
              </w:rPr>
              <w:t>GREENHOUSE GAS EMISSIONS</w:t>
            </w:r>
            <w:bookmarkEnd w:id="783"/>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E476373"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Base year</w:t>
            </w:r>
            <w:r w:rsidRPr="00364545">
              <w:rPr>
                <w:rFonts w:ascii="Times New Roman" w:hAnsi="Times New Roman"/>
                <w:b/>
                <w:sz w:val="18"/>
                <w:vertAlign w:val="superscript"/>
              </w:rPr>
              <w:t>(1)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3BF3FF2"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B04E27C"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5717208"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C308595"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0C817588"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1994</w:t>
            </w:r>
          </w:p>
        </w:tc>
      </w:tr>
      <w:tr w:rsidR="00B56301" w:rsidRPr="00364545" w14:paraId="6D35EFDE"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E9E375F" w14:textId="41F200B2"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without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6BEFCE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398424,79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7F8BEA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398424,79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CB7B26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423829,90</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E435B0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412416,79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907037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394185,24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D1BC3D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388285,64</w:t>
            </w:r>
          </w:p>
        </w:tc>
      </w:tr>
      <w:tr w:rsidR="00B56301" w:rsidRPr="00364545" w14:paraId="7770ED39"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493FF7C8" w14:textId="11F2172F"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6118F4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370279,74</w:t>
            </w:r>
          </w:p>
        </w:tc>
        <w:tc>
          <w:tcPr>
            <w:tcW w:w="992" w:type="dxa"/>
            <w:tcBorders>
              <w:top w:val="nil"/>
              <w:left w:val="nil"/>
              <w:bottom w:val="single" w:sz="4" w:space="0" w:color="auto"/>
              <w:right w:val="single" w:sz="4" w:space="0" w:color="auto"/>
            </w:tcBorders>
            <w:shd w:val="clear" w:color="000000" w:fill="CCFFFF"/>
            <w:noWrap/>
            <w:vAlign w:val="bottom"/>
            <w:hideMark/>
          </w:tcPr>
          <w:p w14:paraId="5AB30FB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370279,74</w:t>
            </w:r>
          </w:p>
        </w:tc>
        <w:tc>
          <w:tcPr>
            <w:tcW w:w="992" w:type="dxa"/>
            <w:tcBorders>
              <w:top w:val="nil"/>
              <w:left w:val="nil"/>
              <w:bottom w:val="single" w:sz="4" w:space="0" w:color="auto"/>
              <w:right w:val="single" w:sz="4" w:space="0" w:color="auto"/>
            </w:tcBorders>
            <w:shd w:val="clear" w:color="000000" w:fill="CCFFFF"/>
            <w:noWrap/>
            <w:vAlign w:val="bottom"/>
            <w:hideMark/>
          </w:tcPr>
          <w:p w14:paraId="226E55F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395564,35</w:t>
            </w:r>
          </w:p>
        </w:tc>
        <w:tc>
          <w:tcPr>
            <w:tcW w:w="992" w:type="dxa"/>
            <w:tcBorders>
              <w:top w:val="nil"/>
              <w:left w:val="nil"/>
              <w:bottom w:val="single" w:sz="4" w:space="0" w:color="auto"/>
              <w:right w:val="single" w:sz="4" w:space="0" w:color="auto"/>
            </w:tcBorders>
            <w:shd w:val="clear" w:color="000000" w:fill="CCFFFF"/>
            <w:noWrap/>
            <w:vAlign w:val="bottom"/>
            <w:hideMark/>
          </w:tcPr>
          <w:p w14:paraId="7DE4BBF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386207,36</w:t>
            </w:r>
          </w:p>
        </w:tc>
        <w:tc>
          <w:tcPr>
            <w:tcW w:w="992" w:type="dxa"/>
            <w:tcBorders>
              <w:top w:val="nil"/>
              <w:left w:val="nil"/>
              <w:bottom w:val="single" w:sz="4" w:space="0" w:color="auto"/>
              <w:right w:val="single" w:sz="4" w:space="0" w:color="auto"/>
            </w:tcBorders>
            <w:shd w:val="clear" w:color="000000" w:fill="CCFFFF"/>
            <w:noWrap/>
            <w:vAlign w:val="bottom"/>
            <w:hideMark/>
          </w:tcPr>
          <w:p w14:paraId="4B0B1D3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364902,59</w:t>
            </w:r>
          </w:p>
        </w:tc>
        <w:tc>
          <w:tcPr>
            <w:tcW w:w="992" w:type="dxa"/>
            <w:tcBorders>
              <w:top w:val="nil"/>
              <w:left w:val="nil"/>
              <w:bottom w:val="single" w:sz="4" w:space="0" w:color="auto"/>
              <w:right w:val="single" w:sz="4" w:space="0" w:color="auto"/>
            </w:tcBorders>
            <w:shd w:val="clear" w:color="000000" w:fill="CCFFFF"/>
            <w:noWrap/>
            <w:vAlign w:val="bottom"/>
            <w:hideMark/>
          </w:tcPr>
          <w:p w14:paraId="046D7D6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359027,48</w:t>
            </w:r>
          </w:p>
        </w:tc>
      </w:tr>
      <w:tr w:rsidR="00B56301" w:rsidRPr="00364545" w14:paraId="79EFC2FA"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24999DE" w14:textId="19093CFD"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without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CA0C4B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69160,89</w:t>
            </w:r>
          </w:p>
        </w:tc>
        <w:tc>
          <w:tcPr>
            <w:tcW w:w="992" w:type="dxa"/>
            <w:tcBorders>
              <w:top w:val="nil"/>
              <w:left w:val="nil"/>
              <w:bottom w:val="single" w:sz="4" w:space="0" w:color="auto"/>
              <w:right w:val="single" w:sz="4" w:space="0" w:color="auto"/>
            </w:tcBorders>
            <w:shd w:val="clear" w:color="000000" w:fill="CCFFFF"/>
            <w:noWrap/>
            <w:vAlign w:val="bottom"/>
            <w:hideMark/>
          </w:tcPr>
          <w:p w14:paraId="5EA7B65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69160,89</w:t>
            </w:r>
          </w:p>
        </w:tc>
        <w:tc>
          <w:tcPr>
            <w:tcW w:w="992" w:type="dxa"/>
            <w:tcBorders>
              <w:top w:val="nil"/>
              <w:left w:val="nil"/>
              <w:bottom w:val="single" w:sz="4" w:space="0" w:color="auto"/>
              <w:right w:val="single" w:sz="4" w:space="0" w:color="auto"/>
            </w:tcBorders>
            <w:shd w:val="clear" w:color="000000" w:fill="CCFFFF"/>
            <w:noWrap/>
            <w:vAlign w:val="bottom"/>
            <w:hideMark/>
          </w:tcPr>
          <w:p w14:paraId="630AE5D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69635,13</w:t>
            </w:r>
          </w:p>
        </w:tc>
        <w:tc>
          <w:tcPr>
            <w:tcW w:w="992" w:type="dxa"/>
            <w:tcBorders>
              <w:top w:val="nil"/>
              <w:left w:val="nil"/>
              <w:bottom w:val="single" w:sz="4" w:space="0" w:color="auto"/>
              <w:right w:val="single" w:sz="4" w:space="0" w:color="auto"/>
            </w:tcBorders>
            <w:shd w:val="clear" w:color="000000" w:fill="CCFFFF"/>
            <w:noWrap/>
            <w:vAlign w:val="bottom"/>
            <w:hideMark/>
          </w:tcPr>
          <w:p w14:paraId="342173A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69725,10</w:t>
            </w:r>
          </w:p>
        </w:tc>
        <w:tc>
          <w:tcPr>
            <w:tcW w:w="992" w:type="dxa"/>
            <w:tcBorders>
              <w:top w:val="nil"/>
              <w:left w:val="nil"/>
              <w:bottom w:val="single" w:sz="4" w:space="0" w:color="auto"/>
              <w:right w:val="single" w:sz="4" w:space="0" w:color="auto"/>
            </w:tcBorders>
            <w:shd w:val="clear" w:color="000000" w:fill="CCFFFF"/>
            <w:noWrap/>
            <w:vAlign w:val="bottom"/>
            <w:hideMark/>
          </w:tcPr>
          <w:p w14:paraId="025FA19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70132,03</w:t>
            </w:r>
          </w:p>
        </w:tc>
        <w:tc>
          <w:tcPr>
            <w:tcW w:w="992" w:type="dxa"/>
            <w:tcBorders>
              <w:top w:val="nil"/>
              <w:left w:val="nil"/>
              <w:bottom w:val="single" w:sz="4" w:space="0" w:color="auto"/>
              <w:right w:val="single" w:sz="4" w:space="0" w:color="auto"/>
            </w:tcBorders>
            <w:shd w:val="clear" w:color="000000" w:fill="CCFFFF"/>
            <w:noWrap/>
            <w:vAlign w:val="bottom"/>
            <w:hideMark/>
          </w:tcPr>
          <w:p w14:paraId="29C8083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70008,34</w:t>
            </w:r>
          </w:p>
        </w:tc>
      </w:tr>
      <w:tr w:rsidR="00B56301" w:rsidRPr="00364545" w14:paraId="03180D5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E17ECF9" w14:textId="218B6DDF"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6EB0BE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70093,52</w:t>
            </w:r>
          </w:p>
        </w:tc>
        <w:tc>
          <w:tcPr>
            <w:tcW w:w="992" w:type="dxa"/>
            <w:tcBorders>
              <w:top w:val="nil"/>
              <w:left w:val="nil"/>
              <w:bottom w:val="single" w:sz="4" w:space="0" w:color="auto"/>
              <w:right w:val="single" w:sz="4" w:space="0" w:color="auto"/>
            </w:tcBorders>
            <w:shd w:val="clear" w:color="000000" w:fill="CCFFFF"/>
            <w:noWrap/>
            <w:vAlign w:val="bottom"/>
            <w:hideMark/>
          </w:tcPr>
          <w:p w14:paraId="3234C27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70093,52</w:t>
            </w:r>
          </w:p>
        </w:tc>
        <w:tc>
          <w:tcPr>
            <w:tcW w:w="992" w:type="dxa"/>
            <w:tcBorders>
              <w:top w:val="nil"/>
              <w:left w:val="nil"/>
              <w:bottom w:val="single" w:sz="4" w:space="0" w:color="auto"/>
              <w:right w:val="single" w:sz="4" w:space="0" w:color="auto"/>
            </w:tcBorders>
            <w:shd w:val="clear" w:color="000000" w:fill="CCFFFF"/>
            <w:noWrap/>
            <w:vAlign w:val="bottom"/>
            <w:hideMark/>
          </w:tcPr>
          <w:p w14:paraId="2D13FF9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70627,10</w:t>
            </w:r>
          </w:p>
        </w:tc>
        <w:tc>
          <w:tcPr>
            <w:tcW w:w="992" w:type="dxa"/>
            <w:tcBorders>
              <w:top w:val="nil"/>
              <w:left w:val="nil"/>
              <w:bottom w:val="single" w:sz="4" w:space="0" w:color="auto"/>
              <w:right w:val="single" w:sz="4" w:space="0" w:color="auto"/>
            </w:tcBorders>
            <w:shd w:val="clear" w:color="000000" w:fill="CCFFFF"/>
            <w:noWrap/>
            <w:vAlign w:val="bottom"/>
            <w:hideMark/>
          </w:tcPr>
          <w:p w14:paraId="7341AAA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70750,23</w:t>
            </w:r>
          </w:p>
        </w:tc>
        <w:tc>
          <w:tcPr>
            <w:tcW w:w="992" w:type="dxa"/>
            <w:tcBorders>
              <w:top w:val="nil"/>
              <w:left w:val="nil"/>
              <w:bottom w:val="single" w:sz="4" w:space="0" w:color="auto"/>
              <w:right w:val="single" w:sz="4" w:space="0" w:color="auto"/>
            </w:tcBorders>
            <w:shd w:val="clear" w:color="000000" w:fill="CCFFFF"/>
            <w:noWrap/>
            <w:vAlign w:val="bottom"/>
            <w:hideMark/>
          </w:tcPr>
          <w:p w14:paraId="393BF41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71140,07</w:t>
            </w:r>
          </w:p>
        </w:tc>
        <w:tc>
          <w:tcPr>
            <w:tcW w:w="992" w:type="dxa"/>
            <w:tcBorders>
              <w:top w:val="nil"/>
              <w:left w:val="nil"/>
              <w:bottom w:val="single" w:sz="4" w:space="0" w:color="auto"/>
              <w:right w:val="single" w:sz="4" w:space="0" w:color="auto"/>
            </w:tcBorders>
            <w:shd w:val="clear" w:color="000000" w:fill="CCFFFF"/>
            <w:noWrap/>
            <w:vAlign w:val="bottom"/>
            <w:hideMark/>
          </w:tcPr>
          <w:p w14:paraId="4C0F540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73454,86</w:t>
            </w:r>
          </w:p>
        </w:tc>
      </w:tr>
      <w:tr w:rsidR="00B56301" w:rsidRPr="00364545" w14:paraId="4ECC4AD0"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CC509FD" w14:textId="15228876" w:rsidR="00B56301" w:rsidRPr="00364545" w:rsidRDefault="00F80CAB" w:rsidP="00B37B65">
            <w:pPr>
              <w:jc w:val="left"/>
              <w:rPr>
                <w:rFonts w:ascii="Times New Roman" w:hAnsi="Times New Roman"/>
                <w:sz w:val="18"/>
                <w:szCs w:val="18"/>
              </w:rPr>
            </w:pPr>
            <w:r w:rsidRPr="00364545">
              <w:t>N</w:t>
            </w:r>
            <w:r w:rsidRPr="00364545">
              <w:rPr>
                <w:vertAlign w:val="subscript"/>
              </w:rPr>
              <w:t>2</w:t>
            </w:r>
            <w:r w:rsidRPr="00364545">
              <w:t xml:space="preserve">O </w:t>
            </w:r>
            <w:r w:rsidRPr="00364545">
              <w:rPr>
                <w:rFonts w:ascii="Times New Roman" w:hAnsi="Times New Roman"/>
                <w:sz w:val="18"/>
              </w:rPr>
              <w:t xml:space="preserve">emissions without </w:t>
            </w:r>
            <w:r w:rsidRPr="00364545">
              <w:t>N</w:t>
            </w:r>
            <w:r w:rsidRPr="00364545">
              <w:rPr>
                <w:vertAlign w:val="subscript"/>
              </w:rPr>
              <w:t>2</w:t>
            </w:r>
            <w:r w:rsidRPr="00364545">
              <w:t xml:space="preserve">O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E1D160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64724,84</w:t>
            </w:r>
          </w:p>
        </w:tc>
        <w:tc>
          <w:tcPr>
            <w:tcW w:w="992" w:type="dxa"/>
            <w:tcBorders>
              <w:top w:val="nil"/>
              <w:left w:val="nil"/>
              <w:bottom w:val="single" w:sz="4" w:space="0" w:color="auto"/>
              <w:right w:val="single" w:sz="4" w:space="0" w:color="auto"/>
            </w:tcBorders>
            <w:shd w:val="clear" w:color="000000" w:fill="CCFFFF"/>
            <w:noWrap/>
            <w:vAlign w:val="bottom"/>
            <w:hideMark/>
          </w:tcPr>
          <w:p w14:paraId="7CE25F8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64724,84</w:t>
            </w:r>
          </w:p>
        </w:tc>
        <w:tc>
          <w:tcPr>
            <w:tcW w:w="992" w:type="dxa"/>
            <w:tcBorders>
              <w:top w:val="nil"/>
              <w:left w:val="nil"/>
              <w:bottom w:val="single" w:sz="4" w:space="0" w:color="auto"/>
              <w:right w:val="single" w:sz="4" w:space="0" w:color="auto"/>
            </w:tcBorders>
            <w:shd w:val="clear" w:color="000000" w:fill="CCFFFF"/>
            <w:noWrap/>
            <w:vAlign w:val="bottom"/>
            <w:hideMark/>
          </w:tcPr>
          <w:p w14:paraId="1377DA9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65314,49</w:t>
            </w:r>
          </w:p>
        </w:tc>
        <w:tc>
          <w:tcPr>
            <w:tcW w:w="992" w:type="dxa"/>
            <w:tcBorders>
              <w:top w:val="nil"/>
              <w:left w:val="nil"/>
              <w:bottom w:val="single" w:sz="4" w:space="0" w:color="auto"/>
              <w:right w:val="single" w:sz="4" w:space="0" w:color="auto"/>
            </w:tcBorders>
            <w:shd w:val="clear" w:color="000000" w:fill="CCFFFF"/>
            <w:noWrap/>
            <w:vAlign w:val="bottom"/>
            <w:hideMark/>
          </w:tcPr>
          <w:p w14:paraId="7808D7B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65007,10</w:t>
            </w:r>
          </w:p>
        </w:tc>
        <w:tc>
          <w:tcPr>
            <w:tcW w:w="992" w:type="dxa"/>
            <w:tcBorders>
              <w:top w:val="nil"/>
              <w:left w:val="nil"/>
              <w:bottom w:val="single" w:sz="4" w:space="0" w:color="auto"/>
              <w:right w:val="single" w:sz="4" w:space="0" w:color="auto"/>
            </w:tcBorders>
            <w:shd w:val="clear" w:color="000000" w:fill="CCFFFF"/>
            <w:noWrap/>
            <w:vAlign w:val="bottom"/>
            <w:hideMark/>
          </w:tcPr>
          <w:p w14:paraId="0649A9E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64262,37</w:t>
            </w:r>
          </w:p>
        </w:tc>
        <w:tc>
          <w:tcPr>
            <w:tcW w:w="992" w:type="dxa"/>
            <w:tcBorders>
              <w:top w:val="nil"/>
              <w:left w:val="nil"/>
              <w:bottom w:val="single" w:sz="4" w:space="0" w:color="auto"/>
              <w:right w:val="single" w:sz="4" w:space="0" w:color="auto"/>
            </w:tcBorders>
            <w:shd w:val="clear" w:color="000000" w:fill="CCFFFF"/>
            <w:noWrap/>
            <w:vAlign w:val="bottom"/>
            <w:hideMark/>
          </w:tcPr>
          <w:p w14:paraId="5307015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64384,75</w:t>
            </w:r>
          </w:p>
        </w:tc>
      </w:tr>
      <w:tr w:rsidR="00B56301" w:rsidRPr="00364545" w14:paraId="0BD8C70D"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E5EFB56" w14:textId="4094EB52" w:rsidR="00B56301" w:rsidRPr="00364545" w:rsidRDefault="00F80CAB" w:rsidP="00B37B65">
            <w:pPr>
              <w:jc w:val="left"/>
              <w:rPr>
                <w:rFonts w:ascii="Times New Roman" w:hAnsi="Times New Roman"/>
                <w:sz w:val="18"/>
                <w:szCs w:val="18"/>
              </w:rPr>
            </w:pP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 xml:space="preserve">emissions with </w:t>
            </w: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CDCC9B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67951,07</w:t>
            </w:r>
          </w:p>
        </w:tc>
        <w:tc>
          <w:tcPr>
            <w:tcW w:w="992" w:type="dxa"/>
            <w:tcBorders>
              <w:top w:val="nil"/>
              <w:left w:val="nil"/>
              <w:bottom w:val="single" w:sz="4" w:space="0" w:color="auto"/>
              <w:right w:val="single" w:sz="4" w:space="0" w:color="auto"/>
            </w:tcBorders>
            <w:shd w:val="clear" w:color="000000" w:fill="CCFFFF"/>
            <w:noWrap/>
            <w:vAlign w:val="bottom"/>
            <w:hideMark/>
          </w:tcPr>
          <w:p w14:paraId="6D324EA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67951,07</w:t>
            </w:r>
          </w:p>
        </w:tc>
        <w:tc>
          <w:tcPr>
            <w:tcW w:w="992" w:type="dxa"/>
            <w:tcBorders>
              <w:top w:val="nil"/>
              <w:left w:val="nil"/>
              <w:bottom w:val="single" w:sz="4" w:space="0" w:color="auto"/>
              <w:right w:val="single" w:sz="4" w:space="0" w:color="auto"/>
            </w:tcBorders>
            <w:shd w:val="clear" w:color="000000" w:fill="CCFFFF"/>
            <w:noWrap/>
            <w:vAlign w:val="bottom"/>
            <w:hideMark/>
          </w:tcPr>
          <w:p w14:paraId="3E008EA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68516,90</w:t>
            </w:r>
          </w:p>
        </w:tc>
        <w:tc>
          <w:tcPr>
            <w:tcW w:w="992" w:type="dxa"/>
            <w:tcBorders>
              <w:top w:val="nil"/>
              <w:left w:val="nil"/>
              <w:bottom w:val="single" w:sz="4" w:space="0" w:color="auto"/>
              <w:right w:val="single" w:sz="4" w:space="0" w:color="auto"/>
            </w:tcBorders>
            <w:shd w:val="clear" w:color="000000" w:fill="CCFFFF"/>
            <w:noWrap/>
            <w:vAlign w:val="bottom"/>
            <w:hideMark/>
          </w:tcPr>
          <w:p w14:paraId="366C52E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68258,19</w:t>
            </w:r>
          </w:p>
        </w:tc>
        <w:tc>
          <w:tcPr>
            <w:tcW w:w="992" w:type="dxa"/>
            <w:tcBorders>
              <w:top w:val="nil"/>
              <w:left w:val="nil"/>
              <w:bottom w:val="single" w:sz="4" w:space="0" w:color="auto"/>
              <w:right w:val="single" w:sz="4" w:space="0" w:color="auto"/>
            </w:tcBorders>
            <w:shd w:val="clear" w:color="000000" w:fill="CCFFFF"/>
            <w:noWrap/>
            <w:vAlign w:val="bottom"/>
            <w:hideMark/>
          </w:tcPr>
          <w:p w14:paraId="74B4A23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67540,59</w:t>
            </w:r>
          </w:p>
        </w:tc>
        <w:tc>
          <w:tcPr>
            <w:tcW w:w="992" w:type="dxa"/>
            <w:tcBorders>
              <w:top w:val="nil"/>
              <w:left w:val="nil"/>
              <w:bottom w:val="single" w:sz="4" w:space="0" w:color="auto"/>
              <w:right w:val="single" w:sz="4" w:space="0" w:color="auto"/>
            </w:tcBorders>
            <w:shd w:val="clear" w:color="000000" w:fill="CCFFFF"/>
            <w:noWrap/>
            <w:vAlign w:val="bottom"/>
            <w:hideMark/>
          </w:tcPr>
          <w:p w14:paraId="50C0B47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67659,22</w:t>
            </w:r>
          </w:p>
        </w:tc>
      </w:tr>
      <w:tr w:rsidR="00B56301" w:rsidRPr="00364545" w14:paraId="252DC7DE"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658F493"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6DAB5D6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4402,20</w:t>
            </w:r>
          </w:p>
        </w:tc>
        <w:tc>
          <w:tcPr>
            <w:tcW w:w="992" w:type="dxa"/>
            <w:tcBorders>
              <w:top w:val="nil"/>
              <w:left w:val="nil"/>
              <w:bottom w:val="single" w:sz="4" w:space="0" w:color="auto"/>
              <w:right w:val="single" w:sz="4" w:space="0" w:color="auto"/>
            </w:tcBorders>
            <w:shd w:val="clear" w:color="000000" w:fill="CCFFFF"/>
            <w:noWrap/>
            <w:vAlign w:val="bottom"/>
            <w:hideMark/>
          </w:tcPr>
          <w:p w14:paraId="622A31F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4402,20</w:t>
            </w:r>
          </w:p>
        </w:tc>
        <w:tc>
          <w:tcPr>
            <w:tcW w:w="992" w:type="dxa"/>
            <w:tcBorders>
              <w:top w:val="nil"/>
              <w:left w:val="nil"/>
              <w:bottom w:val="single" w:sz="4" w:space="0" w:color="auto"/>
              <w:right w:val="single" w:sz="4" w:space="0" w:color="auto"/>
            </w:tcBorders>
            <w:shd w:val="clear" w:color="000000" w:fill="CCFFFF"/>
            <w:noWrap/>
            <w:vAlign w:val="bottom"/>
            <w:hideMark/>
          </w:tcPr>
          <w:p w14:paraId="07CCE2E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5124,38</w:t>
            </w:r>
          </w:p>
        </w:tc>
        <w:tc>
          <w:tcPr>
            <w:tcW w:w="992" w:type="dxa"/>
            <w:tcBorders>
              <w:top w:val="nil"/>
              <w:left w:val="nil"/>
              <w:bottom w:val="single" w:sz="4" w:space="0" w:color="auto"/>
              <w:right w:val="single" w:sz="4" w:space="0" w:color="auto"/>
            </w:tcBorders>
            <w:shd w:val="clear" w:color="000000" w:fill="CCFFFF"/>
            <w:noWrap/>
            <w:vAlign w:val="bottom"/>
            <w:hideMark/>
          </w:tcPr>
          <w:p w14:paraId="5A2859A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4418,01</w:t>
            </w:r>
          </w:p>
        </w:tc>
        <w:tc>
          <w:tcPr>
            <w:tcW w:w="992" w:type="dxa"/>
            <w:tcBorders>
              <w:top w:val="nil"/>
              <w:left w:val="nil"/>
              <w:bottom w:val="single" w:sz="4" w:space="0" w:color="auto"/>
              <w:right w:val="single" w:sz="4" w:space="0" w:color="auto"/>
            </w:tcBorders>
            <w:shd w:val="clear" w:color="000000" w:fill="CCFFFF"/>
            <w:noWrap/>
            <w:vAlign w:val="bottom"/>
            <w:hideMark/>
          </w:tcPr>
          <w:p w14:paraId="59054BC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2865,79</w:t>
            </w:r>
          </w:p>
        </w:tc>
        <w:tc>
          <w:tcPr>
            <w:tcW w:w="992" w:type="dxa"/>
            <w:tcBorders>
              <w:top w:val="nil"/>
              <w:left w:val="nil"/>
              <w:bottom w:val="single" w:sz="4" w:space="0" w:color="auto"/>
              <w:right w:val="single" w:sz="4" w:space="0" w:color="auto"/>
            </w:tcBorders>
            <w:shd w:val="clear" w:color="000000" w:fill="CCFFFF"/>
            <w:noWrap/>
            <w:vAlign w:val="bottom"/>
            <w:hideMark/>
          </w:tcPr>
          <w:p w14:paraId="3B396D9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1753,69</w:t>
            </w:r>
          </w:p>
        </w:tc>
      </w:tr>
      <w:tr w:rsidR="00B56301" w:rsidRPr="00364545" w14:paraId="4848FA5A"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8596836"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48FFD44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5202,47</w:t>
            </w:r>
          </w:p>
        </w:tc>
        <w:tc>
          <w:tcPr>
            <w:tcW w:w="992" w:type="dxa"/>
            <w:tcBorders>
              <w:top w:val="nil"/>
              <w:left w:val="nil"/>
              <w:bottom w:val="single" w:sz="4" w:space="0" w:color="auto"/>
              <w:right w:val="single" w:sz="4" w:space="0" w:color="auto"/>
            </w:tcBorders>
            <w:shd w:val="clear" w:color="000000" w:fill="CCFFFF"/>
            <w:noWrap/>
            <w:vAlign w:val="bottom"/>
            <w:hideMark/>
          </w:tcPr>
          <w:p w14:paraId="197FA0E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5202,47</w:t>
            </w:r>
          </w:p>
        </w:tc>
        <w:tc>
          <w:tcPr>
            <w:tcW w:w="992" w:type="dxa"/>
            <w:tcBorders>
              <w:top w:val="nil"/>
              <w:left w:val="nil"/>
              <w:bottom w:val="single" w:sz="4" w:space="0" w:color="auto"/>
              <w:right w:val="single" w:sz="4" w:space="0" w:color="auto"/>
            </w:tcBorders>
            <w:shd w:val="clear" w:color="000000" w:fill="CCFFFF"/>
            <w:noWrap/>
            <w:vAlign w:val="bottom"/>
            <w:hideMark/>
          </w:tcPr>
          <w:p w14:paraId="504B9F9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4822,54</w:t>
            </w:r>
          </w:p>
        </w:tc>
        <w:tc>
          <w:tcPr>
            <w:tcW w:w="992" w:type="dxa"/>
            <w:tcBorders>
              <w:top w:val="nil"/>
              <w:left w:val="nil"/>
              <w:bottom w:val="single" w:sz="4" w:space="0" w:color="auto"/>
              <w:right w:val="single" w:sz="4" w:space="0" w:color="auto"/>
            </w:tcBorders>
            <w:shd w:val="clear" w:color="000000" w:fill="CCFFFF"/>
            <w:noWrap/>
            <w:vAlign w:val="bottom"/>
            <w:hideMark/>
          </w:tcPr>
          <w:p w14:paraId="00366B7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4918,32</w:t>
            </w:r>
          </w:p>
        </w:tc>
        <w:tc>
          <w:tcPr>
            <w:tcW w:w="992" w:type="dxa"/>
            <w:tcBorders>
              <w:top w:val="nil"/>
              <w:left w:val="nil"/>
              <w:bottom w:val="single" w:sz="4" w:space="0" w:color="auto"/>
              <w:right w:val="single" w:sz="4" w:space="0" w:color="auto"/>
            </w:tcBorders>
            <w:shd w:val="clear" w:color="000000" w:fill="CCFFFF"/>
            <w:noWrap/>
            <w:vAlign w:val="bottom"/>
            <w:hideMark/>
          </w:tcPr>
          <w:p w14:paraId="42C5F85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4844,06</w:t>
            </w:r>
          </w:p>
        </w:tc>
        <w:tc>
          <w:tcPr>
            <w:tcW w:w="992" w:type="dxa"/>
            <w:tcBorders>
              <w:top w:val="nil"/>
              <w:left w:val="nil"/>
              <w:bottom w:val="single" w:sz="4" w:space="0" w:color="auto"/>
              <w:right w:val="single" w:sz="4" w:space="0" w:color="auto"/>
            </w:tcBorders>
            <w:shd w:val="clear" w:color="000000" w:fill="CCFFFF"/>
            <w:noWrap/>
            <w:vAlign w:val="bottom"/>
            <w:hideMark/>
          </w:tcPr>
          <w:p w14:paraId="3FD422D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4325,49</w:t>
            </w:r>
          </w:p>
        </w:tc>
      </w:tr>
      <w:tr w:rsidR="00B56301" w:rsidRPr="00364545" w14:paraId="664D021C"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2B938A5"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06BEE5A4"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47C73E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57869E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78265E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08B48B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2A71AED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NO,NA</w:t>
            </w:r>
          </w:p>
        </w:tc>
      </w:tr>
      <w:tr w:rsidR="00B56301" w:rsidRPr="00364545" w14:paraId="1846980C"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356D91E" w14:textId="50AE5AF8" w:rsidR="00B56301" w:rsidRPr="00364545" w:rsidRDefault="007F09F7" w:rsidP="00B37B65">
            <w:pPr>
              <w:jc w:val="left"/>
              <w:rPr>
                <w:rFonts w:ascii="Times New Roman" w:hAnsi="Times New Roman"/>
                <w:sz w:val="18"/>
                <w:szCs w:val="18"/>
              </w:rPr>
            </w:pPr>
            <w:r w:rsidRPr="00364545">
              <w:t>SF</w:t>
            </w:r>
            <w:r w:rsidRPr="00364545">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25D431C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2154,74</w:t>
            </w:r>
          </w:p>
        </w:tc>
        <w:tc>
          <w:tcPr>
            <w:tcW w:w="992" w:type="dxa"/>
            <w:tcBorders>
              <w:top w:val="nil"/>
              <w:left w:val="nil"/>
              <w:bottom w:val="single" w:sz="4" w:space="0" w:color="auto"/>
              <w:right w:val="single" w:sz="4" w:space="0" w:color="auto"/>
            </w:tcBorders>
            <w:shd w:val="clear" w:color="000000" w:fill="CCFFFF"/>
            <w:noWrap/>
            <w:vAlign w:val="bottom"/>
            <w:hideMark/>
          </w:tcPr>
          <w:p w14:paraId="5886B65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2154,74</w:t>
            </w:r>
          </w:p>
        </w:tc>
        <w:tc>
          <w:tcPr>
            <w:tcW w:w="992" w:type="dxa"/>
            <w:tcBorders>
              <w:top w:val="nil"/>
              <w:left w:val="nil"/>
              <w:bottom w:val="single" w:sz="4" w:space="0" w:color="auto"/>
              <w:right w:val="single" w:sz="4" w:space="0" w:color="auto"/>
            </w:tcBorders>
            <w:shd w:val="clear" w:color="000000" w:fill="CCFFFF"/>
            <w:noWrap/>
            <w:vAlign w:val="bottom"/>
            <w:hideMark/>
          </w:tcPr>
          <w:p w14:paraId="430E555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2217,46</w:t>
            </w:r>
          </w:p>
        </w:tc>
        <w:tc>
          <w:tcPr>
            <w:tcW w:w="992" w:type="dxa"/>
            <w:tcBorders>
              <w:top w:val="nil"/>
              <w:left w:val="nil"/>
              <w:bottom w:val="single" w:sz="4" w:space="0" w:color="auto"/>
              <w:right w:val="single" w:sz="4" w:space="0" w:color="auto"/>
            </w:tcBorders>
            <w:shd w:val="clear" w:color="000000" w:fill="CCFFFF"/>
            <w:noWrap/>
            <w:vAlign w:val="bottom"/>
            <w:hideMark/>
          </w:tcPr>
          <w:p w14:paraId="17EDB33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2256,21</w:t>
            </w:r>
          </w:p>
        </w:tc>
        <w:tc>
          <w:tcPr>
            <w:tcW w:w="992" w:type="dxa"/>
            <w:tcBorders>
              <w:top w:val="nil"/>
              <w:left w:val="nil"/>
              <w:bottom w:val="single" w:sz="4" w:space="0" w:color="auto"/>
              <w:right w:val="single" w:sz="4" w:space="0" w:color="auto"/>
            </w:tcBorders>
            <w:shd w:val="clear" w:color="000000" w:fill="CCFFFF"/>
            <w:noWrap/>
            <w:vAlign w:val="bottom"/>
            <w:hideMark/>
          </w:tcPr>
          <w:p w14:paraId="15021EE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2295,58</w:t>
            </w:r>
          </w:p>
        </w:tc>
        <w:tc>
          <w:tcPr>
            <w:tcW w:w="992" w:type="dxa"/>
            <w:tcBorders>
              <w:top w:val="nil"/>
              <w:left w:val="nil"/>
              <w:bottom w:val="single" w:sz="4" w:space="0" w:color="auto"/>
              <w:right w:val="single" w:sz="4" w:space="0" w:color="auto"/>
            </w:tcBorders>
            <w:shd w:val="clear" w:color="000000" w:fill="CCFFFF"/>
            <w:noWrap/>
            <w:vAlign w:val="bottom"/>
            <w:hideMark/>
          </w:tcPr>
          <w:p w14:paraId="0D6935E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2443,88</w:t>
            </w:r>
          </w:p>
        </w:tc>
      </w:tr>
      <w:tr w:rsidR="00B56301" w:rsidRPr="00364545" w14:paraId="589CA3F6"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743BAC1" w14:textId="626FFED7" w:rsidR="00B56301" w:rsidRPr="00364545" w:rsidRDefault="007F09F7" w:rsidP="00B37B65">
            <w:pPr>
              <w:jc w:val="left"/>
              <w:rPr>
                <w:rFonts w:ascii="Times New Roman" w:hAnsi="Times New Roman"/>
                <w:sz w:val="18"/>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2C60795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16,48</w:t>
            </w:r>
          </w:p>
        </w:tc>
        <w:tc>
          <w:tcPr>
            <w:tcW w:w="992" w:type="dxa"/>
            <w:tcBorders>
              <w:top w:val="nil"/>
              <w:left w:val="nil"/>
              <w:bottom w:val="single" w:sz="4" w:space="0" w:color="auto"/>
              <w:right w:val="single" w:sz="4" w:space="0" w:color="auto"/>
            </w:tcBorders>
            <w:shd w:val="clear" w:color="000000" w:fill="CCFFFF"/>
            <w:noWrap/>
            <w:vAlign w:val="bottom"/>
            <w:hideMark/>
          </w:tcPr>
          <w:p w14:paraId="0C1D03A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16,48</w:t>
            </w:r>
          </w:p>
        </w:tc>
        <w:tc>
          <w:tcPr>
            <w:tcW w:w="992" w:type="dxa"/>
            <w:tcBorders>
              <w:top w:val="nil"/>
              <w:left w:val="nil"/>
              <w:bottom w:val="single" w:sz="4" w:space="0" w:color="auto"/>
              <w:right w:val="single" w:sz="4" w:space="0" w:color="auto"/>
            </w:tcBorders>
            <w:shd w:val="clear" w:color="000000" w:fill="CCFFFF"/>
            <w:noWrap/>
            <w:vAlign w:val="bottom"/>
            <w:hideMark/>
          </w:tcPr>
          <w:p w14:paraId="50213AB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18,13</w:t>
            </w:r>
          </w:p>
        </w:tc>
        <w:tc>
          <w:tcPr>
            <w:tcW w:w="992" w:type="dxa"/>
            <w:tcBorders>
              <w:top w:val="nil"/>
              <w:left w:val="nil"/>
              <w:bottom w:val="single" w:sz="4" w:space="0" w:color="auto"/>
              <w:right w:val="single" w:sz="4" w:space="0" w:color="auto"/>
            </w:tcBorders>
            <w:shd w:val="clear" w:color="000000" w:fill="CCFFFF"/>
            <w:noWrap/>
            <w:vAlign w:val="bottom"/>
            <w:hideMark/>
          </w:tcPr>
          <w:p w14:paraId="25D54DC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19,94</w:t>
            </w:r>
          </w:p>
        </w:tc>
        <w:tc>
          <w:tcPr>
            <w:tcW w:w="992" w:type="dxa"/>
            <w:tcBorders>
              <w:top w:val="nil"/>
              <w:left w:val="nil"/>
              <w:bottom w:val="single" w:sz="4" w:space="0" w:color="auto"/>
              <w:right w:val="single" w:sz="4" w:space="0" w:color="auto"/>
            </w:tcBorders>
            <w:shd w:val="clear" w:color="000000" w:fill="CCFFFF"/>
            <w:noWrap/>
            <w:vAlign w:val="bottom"/>
            <w:hideMark/>
          </w:tcPr>
          <w:p w14:paraId="03167F7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21,94</w:t>
            </w:r>
          </w:p>
        </w:tc>
        <w:tc>
          <w:tcPr>
            <w:tcW w:w="992" w:type="dxa"/>
            <w:tcBorders>
              <w:top w:val="nil"/>
              <w:left w:val="nil"/>
              <w:bottom w:val="single" w:sz="4" w:space="0" w:color="auto"/>
              <w:right w:val="single" w:sz="4" w:space="0" w:color="auto"/>
            </w:tcBorders>
            <w:shd w:val="clear" w:color="000000" w:fill="CCFFFF"/>
            <w:noWrap/>
            <w:vAlign w:val="bottom"/>
            <w:hideMark/>
          </w:tcPr>
          <w:p w14:paraId="1125222C"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24,13</w:t>
            </w:r>
          </w:p>
        </w:tc>
      </w:tr>
      <w:tr w:rsidR="00B56301" w:rsidRPr="00364545" w14:paraId="40BACF12"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C4B0B22"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5F6C70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544086,41</w:t>
            </w:r>
          </w:p>
        </w:tc>
        <w:tc>
          <w:tcPr>
            <w:tcW w:w="992" w:type="dxa"/>
            <w:tcBorders>
              <w:top w:val="nil"/>
              <w:left w:val="nil"/>
              <w:bottom w:val="single" w:sz="4" w:space="0" w:color="auto"/>
              <w:right w:val="single" w:sz="4" w:space="0" w:color="auto"/>
            </w:tcBorders>
            <w:shd w:val="clear" w:color="000000" w:fill="CCFFFF"/>
            <w:noWrap/>
            <w:vAlign w:val="bottom"/>
            <w:hideMark/>
          </w:tcPr>
          <w:p w14:paraId="573D5F48"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544086,41</w:t>
            </w:r>
          </w:p>
        </w:tc>
        <w:tc>
          <w:tcPr>
            <w:tcW w:w="992" w:type="dxa"/>
            <w:tcBorders>
              <w:top w:val="nil"/>
              <w:left w:val="nil"/>
              <w:bottom w:val="single" w:sz="4" w:space="0" w:color="auto"/>
              <w:right w:val="single" w:sz="4" w:space="0" w:color="auto"/>
            </w:tcBorders>
            <w:shd w:val="clear" w:color="000000" w:fill="CCFFFF"/>
            <w:noWrap/>
            <w:vAlign w:val="bottom"/>
            <w:hideMark/>
          </w:tcPr>
          <w:p w14:paraId="687D38E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570962,03</w:t>
            </w:r>
          </w:p>
        </w:tc>
        <w:tc>
          <w:tcPr>
            <w:tcW w:w="992" w:type="dxa"/>
            <w:tcBorders>
              <w:top w:val="nil"/>
              <w:left w:val="nil"/>
              <w:bottom w:val="single" w:sz="4" w:space="0" w:color="auto"/>
              <w:right w:val="single" w:sz="4" w:space="0" w:color="auto"/>
            </w:tcBorders>
            <w:shd w:val="clear" w:color="000000" w:fill="CCFFFF"/>
            <w:noWrap/>
            <w:vAlign w:val="bottom"/>
            <w:hideMark/>
          </w:tcPr>
          <w:p w14:paraId="26FCD767"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558761,48</w:t>
            </w:r>
          </w:p>
        </w:tc>
        <w:tc>
          <w:tcPr>
            <w:tcW w:w="992" w:type="dxa"/>
            <w:tcBorders>
              <w:top w:val="nil"/>
              <w:left w:val="nil"/>
              <w:bottom w:val="single" w:sz="4" w:space="0" w:color="auto"/>
              <w:right w:val="single" w:sz="4" w:space="0" w:color="auto"/>
            </w:tcBorders>
            <w:shd w:val="clear" w:color="000000" w:fill="CCFFFF"/>
            <w:noWrap/>
            <w:vAlign w:val="bottom"/>
            <w:hideMark/>
          </w:tcPr>
          <w:p w14:paraId="4CE049F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538607,01</w:t>
            </w:r>
          </w:p>
        </w:tc>
        <w:tc>
          <w:tcPr>
            <w:tcW w:w="992" w:type="dxa"/>
            <w:tcBorders>
              <w:top w:val="nil"/>
              <w:left w:val="nil"/>
              <w:bottom w:val="single" w:sz="4" w:space="0" w:color="auto"/>
              <w:right w:val="single" w:sz="4" w:space="0" w:color="auto"/>
            </w:tcBorders>
            <w:shd w:val="clear" w:color="000000" w:fill="CCFFFF"/>
            <w:noWrap/>
            <w:vAlign w:val="bottom"/>
            <w:hideMark/>
          </w:tcPr>
          <w:p w14:paraId="5382170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531225,91</w:t>
            </w:r>
          </w:p>
        </w:tc>
      </w:tr>
      <w:tr w:rsidR="00B56301" w:rsidRPr="00364545" w14:paraId="51D3985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59A6C9B8"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E956C1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520100,22</w:t>
            </w:r>
          </w:p>
        </w:tc>
        <w:tc>
          <w:tcPr>
            <w:tcW w:w="992" w:type="dxa"/>
            <w:tcBorders>
              <w:top w:val="nil"/>
              <w:left w:val="nil"/>
              <w:bottom w:val="single" w:sz="4" w:space="0" w:color="auto"/>
              <w:right w:val="single" w:sz="4" w:space="0" w:color="auto"/>
            </w:tcBorders>
            <w:shd w:val="clear" w:color="000000" w:fill="CCFFFF"/>
            <w:noWrap/>
            <w:vAlign w:val="bottom"/>
            <w:hideMark/>
          </w:tcPr>
          <w:p w14:paraId="755F81F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520100,22</w:t>
            </w:r>
          </w:p>
        </w:tc>
        <w:tc>
          <w:tcPr>
            <w:tcW w:w="992" w:type="dxa"/>
            <w:tcBorders>
              <w:top w:val="nil"/>
              <w:left w:val="nil"/>
              <w:bottom w:val="single" w:sz="4" w:space="0" w:color="auto"/>
              <w:right w:val="single" w:sz="4" w:space="0" w:color="auto"/>
            </w:tcBorders>
            <w:shd w:val="clear" w:color="000000" w:fill="CCFFFF"/>
            <w:noWrap/>
            <w:vAlign w:val="bottom"/>
            <w:hideMark/>
          </w:tcPr>
          <w:p w14:paraId="6C08FC8D"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546890,85</w:t>
            </w:r>
          </w:p>
        </w:tc>
        <w:tc>
          <w:tcPr>
            <w:tcW w:w="992" w:type="dxa"/>
            <w:tcBorders>
              <w:top w:val="nil"/>
              <w:left w:val="nil"/>
              <w:bottom w:val="single" w:sz="4" w:space="0" w:color="auto"/>
              <w:right w:val="single" w:sz="4" w:space="0" w:color="auto"/>
            </w:tcBorders>
            <w:shd w:val="clear" w:color="000000" w:fill="CCFFFF"/>
            <w:noWrap/>
            <w:vAlign w:val="bottom"/>
            <w:hideMark/>
          </w:tcPr>
          <w:p w14:paraId="2FCD8CC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536828,27</w:t>
            </w:r>
          </w:p>
        </w:tc>
        <w:tc>
          <w:tcPr>
            <w:tcW w:w="992" w:type="dxa"/>
            <w:tcBorders>
              <w:top w:val="nil"/>
              <w:left w:val="nil"/>
              <w:bottom w:val="single" w:sz="4" w:space="0" w:color="auto"/>
              <w:right w:val="single" w:sz="4" w:space="0" w:color="auto"/>
            </w:tcBorders>
            <w:shd w:val="clear" w:color="000000" w:fill="CCFFFF"/>
            <w:noWrap/>
            <w:vAlign w:val="bottom"/>
            <w:hideMark/>
          </w:tcPr>
          <w:p w14:paraId="7B9DB8B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513610,62</w:t>
            </w:r>
          </w:p>
        </w:tc>
        <w:tc>
          <w:tcPr>
            <w:tcW w:w="992" w:type="dxa"/>
            <w:tcBorders>
              <w:top w:val="nil"/>
              <w:left w:val="nil"/>
              <w:bottom w:val="single" w:sz="4" w:space="0" w:color="auto"/>
              <w:right w:val="single" w:sz="4" w:space="0" w:color="auto"/>
            </w:tcBorders>
            <w:shd w:val="clear" w:color="000000" w:fill="CCFFFF"/>
            <w:noWrap/>
            <w:vAlign w:val="bottom"/>
            <w:hideMark/>
          </w:tcPr>
          <w:p w14:paraId="6CC4B7F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508688,75</w:t>
            </w:r>
          </w:p>
        </w:tc>
      </w:tr>
      <w:tr w:rsidR="00B56301" w:rsidRPr="00364545" w14:paraId="4EAE3E0B"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3D8902D3"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4C3E26BA"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76091C1"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EC446F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AE37839"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38824A2"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8F2337F"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r>
      <w:tr w:rsidR="00B56301" w:rsidRPr="00364545" w14:paraId="55E1FFE6"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D8EFA99"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413087D0"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DD7144B"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F328A5E"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0F2FB36"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49C0FE5"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21AB6C3" w14:textId="77777777" w:rsidR="00B56301" w:rsidRPr="00364545" w:rsidRDefault="00B56301" w:rsidP="00B37B65">
            <w:pPr>
              <w:jc w:val="right"/>
              <w:rPr>
                <w:rFonts w:ascii="Times New Roman" w:hAnsi="Times New Roman"/>
                <w:sz w:val="18"/>
                <w:szCs w:val="18"/>
              </w:rPr>
            </w:pPr>
            <w:r w:rsidRPr="00364545">
              <w:rPr>
                <w:rFonts w:ascii="Times New Roman" w:hAnsi="Times New Roman"/>
                <w:sz w:val="18"/>
              </w:rPr>
              <w:t>NA</w:t>
            </w:r>
          </w:p>
        </w:tc>
      </w:tr>
    </w:tbl>
    <w:p w14:paraId="5A230913" w14:textId="77777777" w:rsidR="00B56301" w:rsidRPr="00364545" w:rsidRDefault="00B56301" w:rsidP="00B56301">
      <w:pPr>
        <w:spacing w:line="240" w:lineRule="atLeast"/>
        <w:jc w:val="left"/>
        <w:rPr>
          <w:rFonts w:cs="Arial"/>
        </w:rPr>
      </w:pPr>
    </w:p>
    <w:tbl>
      <w:tblPr>
        <w:tblW w:w="975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364545" w14:paraId="164CCF8A"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0D200BAD"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GREENHOUSE GAS EMISSIONS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16CA34C"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FC15DF8"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1996</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83ED840"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3DFACAF8"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1998</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9495D04"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1999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E8242E2"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2000</w:t>
            </w:r>
          </w:p>
        </w:tc>
      </w:tr>
      <w:tr w:rsidR="00B56301" w:rsidRPr="00364545" w14:paraId="63A8F0FA"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BC2A94B" w14:textId="692383C2"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without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5E552A7" w14:textId="77777777" w:rsidR="00B56301" w:rsidRPr="00364545" w:rsidRDefault="00B56301" w:rsidP="00B37B65">
            <w:pPr>
              <w:jc w:val="right"/>
              <w:rPr>
                <w:rFonts w:ascii="Times New Roman" w:hAnsi="Times New Roman"/>
                <w:sz w:val="18"/>
                <w:szCs w:val="18"/>
              </w:rPr>
            </w:pPr>
            <w:r w:rsidRPr="00364545">
              <w:rPr>
                <w:sz w:val="18"/>
              </w:rPr>
              <w:t>392915,77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9A0912F" w14:textId="77777777" w:rsidR="00B56301" w:rsidRPr="00364545" w:rsidRDefault="00B56301" w:rsidP="00B37B65">
            <w:pPr>
              <w:jc w:val="right"/>
              <w:rPr>
                <w:rFonts w:ascii="Times New Roman" w:hAnsi="Times New Roman"/>
                <w:sz w:val="18"/>
                <w:szCs w:val="18"/>
              </w:rPr>
            </w:pPr>
            <w:r w:rsidRPr="00364545">
              <w:rPr>
                <w:sz w:val="18"/>
              </w:rPr>
              <w:t>408192,69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FEE7A9C" w14:textId="77777777" w:rsidR="00B56301" w:rsidRPr="00364545" w:rsidRDefault="00B56301" w:rsidP="00B37B65">
            <w:pPr>
              <w:jc w:val="right"/>
              <w:rPr>
                <w:rFonts w:ascii="Times New Roman" w:hAnsi="Times New Roman"/>
                <w:sz w:val="18"/>
                <w:szCs w:val="18"/>
              </w:rPr>
            </w:pPr>
            <w:r w:rsidRPr="00364545">
              <w:rPr>
                <w:sz w:val="18"/>
              </w:rPr>
              <w:t>400997,00</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AE297E7" w14:textId="77777777" w:rsidR="00B56301" w:rsidRPr="00364545" w:rsidRDefault="00B56301" w:rsidP="00B37B65">
            <w:pPr>
              <w:jc w:val="right"/>
              <w:rPr>
                <w:rFonts w:ascii="Times New Roman" w:hAnsi="Times New Roman"/>
                <w:sz w:val="18"/>
                <w:szCs w:val="18"/>
              </w:rPr>
            </w:pPr>
            <w:r w:rsidRPr="00364545">
              <w:rPr>
                <w:sz w:val="18"/>
              </w:rPr>
              <w:t>421028,68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1EA3B9B" w14:textId="77777777" w:rsidR="00B56301" w:rsidRPr="00364545" w:rsidRDefault="00B56301" w:rsidP="00B37B65">
            <w:pPr>
              <w:jc w:val="right"/>
              <w:rPr>
                <w:rFonts w:ascii="Times New Roman" w:hAnsi="Times New Roman"/>
                <w:sz w:val="18"/>
                <w:szCs w:val="18"/>
              </w:rPr>
            </w:pPr>
            <w:r w:rsidRPr="00364545">
              <w:rPr>
                <w:sz w:val="18"/>
              </w:rPr>
              <w:t>419846,19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1FD761C" w14:textId="77777777" w:rsidR="00B56301" w:rsidRPr="00364545" w:rsidRDefault="00B56301" w:rsidP="00B37B65">
            <w:pPr>
              <w:jc w:val="right"/>
              <w:rPr>
                <w:rFonts w:ascii="Times New Roman" w:hAnsi="Times New Roman"/>
                <w:sz w:val="18"/>
                <w:szCs w:val="18"/>
              </w:rPr>
            </w:pPr>
            <w:r w:rsidRPr="00364545">
              <w:rPr>
                <w:sz w:val="18"/>
              </w:rPr>
              <w:t>414788,47</w:t>
            </w:r>
          </w:p>
        </w:tc>
      </w:tr>
      <w:tr w:rsidR="00B56301" w:rsidRPr="00364545" w14:paraId="2E6B32BD"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63319ABC" w14:textId="27A422D2"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0109F811" w14:textId="77777777" w:rsidR="00B56301" w:rsidRPr="00364545" w:rsidRDefault="00B56301" w:rsidP="00B37B65">
            <w:pPr>
              <w:jc w:val="right"/>
              <w:rPr>
                <w:rFonts w:ascii="Times New Roman" w:hAnsi="Times New Roman"/>
                <w:sz w:val="18"/>
                <w:szCs w:val="18"/>
              </w:rPr>
            </w:pPr>
            <w:r w:rsidRPr="00364545">
              <w:rPr>
                <w:sz w:val="18"/>
              </w:rPr>
              <w:t>361120,67</w:t>
            </w:r>
          </w:p>
        </w:tc>
        <w:tc>
          <w:tcPr>
            <w:tcW w:w="992" w:type="dxa"/>
            <w:tcBorders>
              <w:top w:val="nil"/>
              <w:left w:val="nil"/>
              <w:bottom w:val="single" w:sz="4" w:space="0" w:color="auto"/>
              <w:right w:val="single" w:sz="4" w:space="0" w:color="auto"/>
            </w:tcBorders>
            <w:shd w:val="clear" w:color="000000" w:fill="CCFFFF"/>
            <w:noWrap/>
            <w:vAlign w:val="bottom"/>
            <w:hideMark/>
          </w:tcPr>
          <w:p w14:paraId="767E4883" w14:textId="77777777" w:rsidR="00B56301" w:rsidRPr="00364545" w:rsidRDefault="00B56301" w:rsidP="00B37B65">
            <w:pPr>
              <w:jc w:val="right"/>
              <w:rPr>
                <w:rFonts w:ascii="Times New Roman" w:hAnsi="Times New Roman"/>
                <w:sz w:val="18"/>
                <w:szCs w:val="18"/>
              </w:rPr>
            </w:pPr>
            <w:r w:rsidRPr="00364545">
              <w:rPr>
                <w:sz w:val="18"/>
              </w:rPr>
              <w:t>370782,17</w:t>
            </w:r>
          </w:p>
        </w:tc>
        <w:tc>
          <w:tcPr>
            <w:tcW w:w="992" w:type="dxa"/>
            <w:tcBorders>
              <w:top w:val="nil"/>
              <w:left w:val="nil"/>
              <w:bottom w:val="single" w:sz="4" w:space="0" w:color="auto"/>
              <w:right w:val="single" w:sz="4" w:space="0" w:color="auto"/>
            </w:tcBorders>
            <w:shd w:val="clear" w:color="000000" w:fill="CCFFFF"/>
            <w:noWrap/>
            <w:vAlign w:val="bottom"/>
            <w:hideMark/>
          </w:tcPr>
          <w:p w14:paraId="65B0CD76" w14:textId="77777777" w:rsidR="00B56301" w:rsidRPr="00364545" w:rsidRDefault="00B56301" w:rsidP="00B37B65">
            <w:pPr>
              <w:jc w:val="right"/>
              <w:rPr>
                <w:rFonts w:ascii="Times New Roman" w:hAnsi="Times New Roman"/>
                <w:sz w:val="18"/>
                <w:szCs w:val="18"/>
              </w:rPr>
            </w:pPr>
            <w:r w:rsidRPr="00364545">
              <w:rPr>
                <w:sz w:val="18"/>
              </w:rPr>
              <w:t>363788,94</w:t>
            </w:r>
          </w:p>
        </w:tc>
        <w:tc>
          <w:tcPr>
            <w:tcW w:w="992" w:type="dxa"/>
            <w:tcBorders>
              <w:top w:val="nil"/>
              <w:left w:val="nil"/>
              <w:bottom w:val="single" w:sz="4" w:space="0" w:color="auto"/>
              <w:right w:val="single" w:sz="4" w:space="0" w:color="auto"/>
            </w:tcBorders>
            <w:shd w:val="clear" w:color="000000" w:fill="CCFFFF"/>
            <w:noWrap/>
            <w:vAlign w:val="bottom"/>
            <w:hideMark/>
          </w:tcPr>
          <w:p w14:paraId="4AC7279F" w14:textId="77777777" w:rsidR="00B56301" w:rsidRPr="00364545" w:rsidRDefault="00B56301" w:rsidP="00B37B65">
            <w:pPr>
              <w:jc w:val="right"/>
              <w:rPr>
                <w:rFonts w:ascii="Times New Roman" w:hAnsi="Times New Roman"/>
                <w:sz w:val="18"/>
                <w:szCs w:val="18"/>
              </w:rPr>
            </w:pPr>
            <w:r w:rsidRPr="00364545">
              <w:rPr>
                <w:sz w:val="18"/>
              </w:rPr>
              <w:t>382286,23</w:t>
            </w:r>
          </w:p>
        </w:tc>
        <w:tc>
          <w:tcPr>
            <w:tcW w:w="992" w:type="dxa"/>
            <w:tcBorders>
              <w:top w:val="nil"/>
              <w:left w:val="nil"/>
              <w:bottom w:val="single" w:sz="4" w:space="0" w:color="auto"/>
              <w:right w:val="single" w:sz="4" w:space="0" w:color="auto"/>
            </w:tcBorders>
            <w:shd w:val="clear" w:color="000000" w:fill="CCFFFF"/>
            <w:noWrap/>
            <w:vAlign w:val="bottom"/>
            <w:hideMark/>
          </w:tcPr>
          <w:p w14:paraId="5547CCFC" w14:textId="77777777" w:rsidR="00B56301" w:rsidRPr="00364545" w:rsidRDefault="00B56301" w:rsidP="00B37B65">
            <w:pPr>
              <w:jc w:val="right"/>
              <w:rPr>
                <w:rFonts w:ascii="Times New Roman" w:hAnsi="Times New Roman"/>
                <w:sz w:val="18"/>
                <w:szCs w:val="18"/>
              </w:rPr>
            </w:pPr>
            <w:r w:rsidRPr="00364545">
              <w:rPr>
                <w:sz w:val="18"/>
              </w:rPr>
              <w:t>378132,88</w:t>
            </w:r>
          </w:p>
        </w:tc>
        <w:tc>
          <w:tcPr>
            <w:tcW w:w="992" w:type="dxa"/>
            <w:tcBorders>
              <w:top w:val="nil"/>
              <w:left w:val="nil"/>
              <w:bottom w:val="single" w:sz="4" w:space="0" w:color="auto"/>
              <w:right w:val="single" w:sz="4" w:space="0" w:color="auto"/>
            </w:tcBorders>
            <w:shd w:val="clear" w:color="000000" w:fill="CCFFFF"/>
            <w:noWrap/>
            <w:vAlign w:val="bottom"/>
            <w:hideMark/>
          </w:tcPr>
          <w:p w14:paraId="3E8FD1AA" w14:textId="77777777" w:rsidR="00B56301" w:rsidRPr="00364545" w:rsidRDefault="00B56301" w:rsidP="00B37B65">
            <w:pPr>
              <w:jc w:val="right"/>
              <w:rPr>
                <w:rFonts w:ascii="Times New Roman" w:hAnsi="Times New Roman"/>
                <w:sz w:val="18"/>
                <w:szCs w:val="18"/>
              </w:rPr>
            </w:pPr>
            <w:r w:rsidRPr="00364545">
              <w:rPr>
                <w:sz w:val="18"/>
              </w:rPr>
              <w:t>390193,77</w:t>
            </w:r>
          </w:p>
        </w:tc>
      </w:tr>
      <w:tr w:rsidR="00B56301" w:rsidRPr="00364545" w14:paraId="05AF436C"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186372D" w14:textId="6731B63D"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without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4FFB43A" w14:textId="77777777" w:rsidR="00B56301" w:rsidRPr="00364545" w:rsidRDefault="00B56301" w:rsidP="00B37B65">
            <w:pPr>
              <w:jc w:val="right"/>
              <w:rPr>
                <w:rFonts w:ascii="Times New Roman" w:hAnsi="Times New Roman"/>
                <w:sz w:val="18"/>
                <w:szCs w:val="18"/>
              </w:rPr>
            </w:pPr>
            <w:r w:rsidRPr="00364545">
              <w:rPr>
                <w:sz w:val="18"/>
              </w:rPr>
              <w:t>70382,89</w:t>
            </w:r>
          </w:p>
        </w:tc>
        <w:tc>
          <w:tcPr>
            <w:tcW w:w="992" w:type="dxa"/>
            <w:tcBorders>
              <w:top w:val="nil"/>
              <w:left w:val="nil"/>
              <w:bottom w:val="single" w:sz="4" w:space="0" w:color="auto"/>
              <w:right w:val="single" w:sz="4" w:space="0" w:color="auto"/>
            </w:tcBorders>
            <w:shd w:val="clear" w:color="000000" w:fill="CCFFFF"/>
            <w:noWrap/>
            <w:vAlign w:val="bottom"/>
            <w:hideMark/>
          </w:tcPr>
          <w:p w14:paraId="10B21114" w14:textId="77777777" w:rsidR="00B56301" w:rsidRPr="00364545" w:rsidRDefault="00B56301" w:rsidP="00B37B65">
            <w:pPr>
              <w:jc w:val="right"/>
              <w:rPr>
                <w:rFonts w:ascii="Times New Roman" w:hAnsi="Times New Roman"/>
                <w:sz w:val="18"/>
                <w:szCs w:val="18"/>
              </w:rPr>
            </w:pPr>
            <w:r w:rsidRPr="00364545">
              <w:rPr>
                <w:sz w:val="18"/>
              </w:rPr>
              <w:t>69469,14</w:t>
            </w:r>
          </w:p>
        </w:tc>
        <w:tc>
          <w:tcPr>
            <w:tcW w:w="992" w:type="dxa"/>
            <w:tcBorders>
              <w:top w:val="nil"/>
              <w:left w:val="nil"/>
              <w:bottom w:val="single" w:sz="4" w:space="0" w:color="auto"/>
              <w:right w:val="single" w:sz="4" w:space="0" w:color="auto"/>
            </w:tcBorders>
            <w:shd w:val="clear" w:color="000000" w:fill="CCFFFF"/>
            <w:noWrap/>
            <w:vAlign w:val="bottom"/>
            <w:hideMark/>
          </w:tcPr>
          <w:p w14:paraId="1A45F76C" w14:textId="77777777" w:rsidR="00B56301" w:rsidRPr="00364545" w:rsidRDefault="00B56301" w:rsidP="00B37B65">
            <w:pPr>
              <w:jc w:val="right"/>
              <w:rPr>
                <w:rFonts w:ascii="Times New Roman" w:hAnsi="Times New Roman"/>
                <w:sz w:val="18"/>
                <w:szCs w:val="18"/>
              </w:rPr>
            </w:pPr>
            <w:r w:rsidRPr="00364545">
              <w:rPr>
                <w:sz w:val="18"/>
              </w:rPr>
              <w:t>68227,26</w:t>
            </w:r>
          </w:p>
        </w:tc>
        <w:tc>
          <w:tcPr>
            <w:tcW w:w="992" w:type="dxa"/>
            <w:tcBorders>
              <w:top w:val="nil"/>
              <w:left w:val="nil"/>
              <w:bottom w:val="single" w:sz="4" w:space="0" w:color="auto"/>
              <w:right w:val="single" w:sz="4" w:space="0" w:color="auto"/>
            </w:tcBorders>
            <w:shd w:val="clear" w:color="000000" w:fill="CCFFFF"/>
            <w:noWrap/>
            <w:vAlign w:val="bottom"/>
            <w:hideMark/>
          </w:tcPr>
          <w:p w14:paraId="0931A4D5" w14:textId="77777777" w:rsidR="00B56301" w:rsidRPr="00364545" w:rsidRDefault="00B56301" w:rsidP="00B37B65">
            <w:pPr>
              <w:jc w:val="right"/>
              <w:rPr>
                <w:rFonts w:ascii="Times New Roman" w:hAnsi="Times New Roman"/>
                <w:sz w:val="18"/>
                <w:szCs w:val="18"/>
              </w:rPr>
            </w:pPr>
            <w:r w:rsidRPr="00364545">
              <w:rPr>
                <w:sz w:val="18"/>
              </w:rPr>
              <w:t>68272,56</w:t>
            </w:r>
          </w:p>
        </w:tc>
        <w:tc>
          <w:tcPr>
            <w:tcW w:w="992" w:type="dxa"/>
            <w:tcBorders>
              <w:top w:val="nil"/>
              <w:left w:val="nil"/>
              <w:bottom w:val="single" w:sz="4" w:space="0" w:color="auto"/>
              <w:right w:val="single" w:sz="4" w:space="0" w:color="auto"/>
            </w:tcBorders>
            <w:shd w:val="clear" w:color="000000" w:fill="CCFFFF"/>
            <w:noWrap/>
            <w:vAlign w:val="bottom"/>
            <w:hideMark/>
          </w:tcPr>
          <w:p w14:paraId="508D3481" w14:textId="77777777" w:rsidR="00B56301" w:rsidRPr="00364545" w:rsidRDefault="00B56301" w:rsidP="00B37B65">
            <w:pPr>
              <w:jc w:val="right"/>
              <w:rPr>
                <w:rFonts w:ascii="Times New Roman" w:hAnsi="Times New Roman"/>
                <w:sz w:val="18"/>
                <w:szCs w:val="18"/>
              </w:rPr>
            </w:pPr>
            <w:r w:rsidRPr="00364545">
              <w:rPr>
                <w:sz w:val="18"/>
              </w:rPr>
              <w:t>68230,62</w:t>
            </w:r>
          </w:p>
        </w:tc>
        <w:tc>
          <w:tcPr>
            <w:tcW w:w="992" w:type="dxa"/>
            <w:tcBorders>
              <w:top w:val="nil"/>
              <w:left w:val="nil"/>
              <w:bottom w:val="single" w:sz="4" w:space="0" w:color="auto"/>
              <w:right w:val="single" w:sz="4" w:space="0" w:color="auto"/>
            </w:tcBorders>
            <w:shd w:val="clear" w:color="000000" w:fill="CCFFFF"/>
            <w:noWrap/>
            <w:vAlign w:val="bottom"/>
            <w:hideMark/>
          </w:tcPr>
          <w:p w14:paraId="54240A62" w14:textId="77777777" w:rsidR="00B56301" w:rsidRPr="00364545" w:rsidRDefault="00B56301" w:rsidP="00B37B65">
            <w:pPr>
              <w:jc w:val="right"/>
              <w:rPr>
                <w:rFonts w:ascii="Times New Roman" w:hAnsi="Times New Roman"/>
                <w:sz w:val="18"/>
                <w:szCs w:val="18"/>
              </w:rPr>
            </w:pPr>
            <w:r w:rsidRPr="00364545">
              <w:rPr>
                <w:sz w:val="18"/>
              </w:rPr>
              <w:t>68602,74</w:t>
            </w:r>
          </w:p>
        </w:tc>
      </w:tr>
      <w:tr w:rsidR="00B56301" w:rsidRPr="00364545" w14:paraId="0B478DAC"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FBA3657" w14:textId="3DF65395"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5C3729D" w14:textId="77777777" w:rsidR="00B56301" w:rsidRPr="00364545" w:rsidRDefault="00B56301" w:rsidP="00B37B65">
            <w:pPr>
              <w:jc w:val="right"/>
              <w:rPr>
                <w:rFonts w:ascii="Times New Roman" w:hAnsi="Times New Roman"/>
                <w:sz w:val="18"/>
                <w:szCs w:val="18"/>
              </w:rPr>
            </w:pPr>
            <w:r w:rsidRPr="00364545">
              <w:rPr>
                <w:sz w:val="18"/>
              </w:rPr>
              <w:t>74052,93</w:t>
            </w:r>
          </w:p>
        </w:tc>
        <w:tc>
          <w:tcPr>
            <w:tcW w:w="992" w:type="dxa"/>
            <w:tcBorders>
              <w:top w:val="nil"/>
              <w:left w:val="nil"/>
              <w:bottom w:val="single" w:sz="4" w:space="0" w:color="auto"/>
              <w:right w:val="single" w:sz="4" w:space="0" w:color="auto"/>
            </w:tcBorders>
            <w:shd w:val="clear" w:color="000000" w:fill="CCFFFF"/>
            <w:noWrap/>
            <w:vAlign w:val="bottom"/>
            <w:hideMark/>
          </w:tcPr>
          <w:p w14:paraId="06109DB2" w14:textId="77777777" w:rsidR="00B56301" w:rsidRPr="00364545" w:rsidRDefault="00B56301" w:rsidP="00B37B65">
            <w:pPr>
              <w:jc w:val="right"/>
              <w:rPr>
                <w:rFonts w:ascii="Times New Roman" w:hAnsi="Times New Roman"/>
                <w:sz w:val="18"/>
                <w:szCs w:val="18"/>
              </w:rPr>
            </w:pPr>
            <w:r w:rsidRPr="00364545">
              <w:rPr>
                <w:sz w:val="18"/>
              </w:rPr>
              <w:t>72393,16</w:t>
            </w:r>
          </w:p>
        </w:tc>
        <w:tc>
          <w:tcPr>
            <w:tcW w:w="992" w:type="dxa"/>
            <w:tcBorders>
              <w:top w:val="nil"/>
              <w:left w:val="nil"/>
              <w:bottom w:val="single" w:sz="4" w:space="0" w:color="auto"/>
              <w:right w:val="single" w:sz="4" w:space="0" w:color="auto"/>
            </w:tcBorders>
            <w:shd w:val="clear" w:color="000000" w:fill="CCFFFF"/>
            <w:noWrap/>
            <w:vAlign w:val="bottom"/>
            <w:hideMark/>
          </w:tcPr>
          <w:p w14:paraId="467E7308" w14:textId="77777777" w:rsidR="00B56301" w:rsidRPr="00364545" w:rsidRDefault="00B56301" w:rsidP="00B37B65">
            <w:pPr>
              <w:jc w:val="right"/>
              <w:rPr>
                <w:rFonts w:ascii="Times New Roman" w:hAnsi="Times New Roman"/>
                <w:sz w:val="18"/>
                <w:szCs w:val="18"/>
              </w:rPr>
            </w:pPr>
            <w:r w:rsidRPr="00364545">
              <w:rPr>
                <w:sz w:val="18"/>
              </w:rPr>
              <w:t>70676,78</w:t>
            </w:r>
          </w:p>
        </w:tc>
        <w:tc>
          <w:tcPr>
            <w:tcW w:w="992" w:type="dxa"/>
            <w:tcBorders>
              <w:top w:val="nil"/>
              <w:left w:val="nil"/>
              <w:bottom w:val="single" w:sz="4" w:space="0" w:color="auto"/>
              <w:right w:val="single" w:sz="4" w:space="0" w:color="auto"/>
            </w:tcBorders>
            <w:shd w:val="clear" w:color="000000" w:fill="CCFFFF"/>
            <w:noWrap/>
            <w:vAlign w:val="bottom"/>
            <w:hideMark/>
          </w:tcPr>
          <w:p w14:paraId="7C0FCAAD" w14:textId="77777777" w:rsidR="00B56301" w:rsidRPr="00364545" w:rsidRDefault="00B56301" w:rsidP="00B37B65">
            <w:pPr>
              <w:jc w:val="right"/>
              <w:rPr>
                <w:rFonts w:ascii="Times New Roman" w:hAnsi="Times New Roman"/>
                <w:sz w:val="18"/>
                <w:szCs w:val="18"/>
              </w:rPr>
            </w:pPr>
            <w:r w:rsidRPr="00364545">
              <w:rPr>
                <w:sz w:val="18"/>
              </w:rPr>
              <w:t>70356,30</w:t>
            </w:r>
          </w:p>
        </w:tc>
        <w:tc>
          <w:tcPr>
            <w:tcW w:w="992" w:type="dxa"/>
            <w:tcBorders>
              <w:top w:val="nil"/>
              <w:left w:val="nil"/>
              <w:bottom w:val="single" w:sz="4" w:space="0" w:color="auto"/>
              <w:right w:val="single" w:sz="4" w:space="0" w:color="auto"/>
            </w:tcBorders>
            <w:shd w:val="clear" w:color="000000" w:fill="CCFFFF"/>
            <w:noWrap/>
            <w:vAlign w:val="bottom"/>
            <w:hideMark/>
          </w:tcPr>
          <w:p w14:paraId="04DF47B6" w14:textId="77777777" w:rsidR="00B56301" w:rsidRPr="00364545" w:rsidRDefault="00B56301" w:rsidP="00B37B65">
            <w:pPr>
              <w:jc w:val="right"/>
              <w:rPr>
                <w:rFonts w:ascii="Times New Roman" w:hAnsi="Times New Roman"/>
                <w:sz w:val="18"/>
                <w:szCs w:val="18"/>
              </w:rPr>
            </w:pPr>
            <w:r w:rsidRPr="00364545">
              <w:rPr>
                <w:sz w:val="18"/>
              </w:rPr>
              <w:t>70040,80</w:t>
            </w:r>
          </w:p>
        </w:tc>
        <w:tc>
          <w:tcPr>
            <w:tcW w:w="992" w:type="dxa"/>
            <w:tcBorders>
              <w:top w:val="nil"/>
              <w:left w:val="nil"/>
              <w:bottom w:val="single" w:sz="4" w:space="0" w:color="auto"/>
              <w:right w:val="single" w:sz="4" w:space="0" w:color="auto"/>
            </w:tcBorders>
            <w:shd w:val="clear" w:color="000000" w:fill="CCFFFF"/>
            <w:noWrap/>
            <w:vAlign w:val="bottom"/>
            <w:hideMark/>
          </w:tcPr>
          <w:p w14:paraId="04CEC426" w14:textId="77777777" w:rsidR="00B56301" w:rsidRPr="00364545" w:rsidRDefault="00B56301" w:rsidP="00B37B65">
            <w:pPr>
              <w:jc w:val="right"/>
              <w:rPr>
                <w:rFonts w:ascii="Times New Roman" w:hAnsi="Times New Roman"/>
                <w:sz w:val="18"/>
                <w:szCs w:val="18"/>
              </w:rPr>
            </w:pPr>
            <w:r w:rsidRPr="00364545">
              <w:rPr>
                <w:sz w:val="18"/>
              </w:rPr>
              <w:t>70295,53</w:t>
            </w:r>
          </w:p>
        </w:tc>
      </w:tr>
      <w:tr w:rsidR="00B56301" w:rsidRPr="00364545" w14:paraId="312FC81E"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312A4DF" w14:textId="4D6C285E" w:rsidR="00B56301" w:rsidRPr="00364545" w:rsidRDefault="00F80CAB" w:rsidP="00B37B65">
            <w:pPr>
              <w:jc w:val="left"/>
              <w:rPr>
                <w:rFonts w:ascii="Times New Roman" w:hAnsi="Times New Roman"/>
                <w:sz w:val="18"/>
                <w:szCs w:val="18"/>
              </w:rPr>
            </w:pPr>
            <w:r w:rsidRPr="00364545">
              <w:t>N</w:t>
            </w:r>
            <w:r w:rsidRPr="00364545">
              <w:rPr>
                <w:vertAlign w:val="subscript"/>
              </w:rPr>
              <w:t>2</w:t>
            </w:r>
            <w:r w:rsidRPr="00364545">
              <w:t xml:space="preserve">O </w:t>
            </w:r>
            <w:r w:rsidRPr="00364545">
              <w:rPr>
                <w:rFonts w:ascii="Times New Roman" w:hAnsi="Times New Roman"/>
                <w:sz w:val="18"/>
              </w:rPr>
              <w:t xml:space="preserve">emissions without </w:t>
            </w:r>
            <w:r w:rsidRPr="00364545">
              <w:t>N</w:t>
            </w:r>
            <w:r w:rsidRPr="00364545">
              <w:rPr>
                <w:vertAlign w:val="subscript"/>
              </w:rPr>
              <w:t>2</w:t>
            </w:r>
            <w:r w:rsidRPr="00364545">
              <w:t xml:space="preserve">O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0D4BF15B" w14:textId="77777777" w:rsidR="00B56301" w:rsidRPr="00364545" w:rsidRDefault="00B56301" w:rsidP="00B37B65">
            <w:pPr>
              <w:jc w:val="right"/>
              <w:rPr>
                <w:rFonts w:ascii="Times New Roman" w:hAnsi="Times New Roman"/>
                <w:sz w:val="18"/>
                <w:szCs w:val="18"/>
              </w:rPr>
            </w:pPr>
            <w:r w:rsidRPr="00364545">
              <w:rPr>
                <w:sz w:val="18"/>
              </w:rPr>
              <w:t>65937,12</w:t>
            </w:r>
          </w:p>
        </w:tc>
        <w:tc>
          <w:tcPr>
            <w:tcW w:w="992" w:type="dxa"/>
            <w:tcBorders>
              <w:top w:val="nil"/>
              <w:left w:val="nil"/>
              <w:bottom w:val="single" w:sz="4" w:space="0" w:color="auto"/>
              <w:right w:val="single" w:sz="4" w:space="0" w:color="auto"/>
            </w:tcBorders>
            <w:shd w:val="clear" w:color="000000" w:fill="CCFFFF"/>
            <w:noWrap/>
            <w:vAlign w:val="bottom"/>
            <w:hideMark/>
          </w:tcPr>
          <w:p w14:paraId="3576EA94" w14:textId="77777777" w:rsidR="00B56301" w:rsidRPr="00364545" w:rsidRDefault="00B56301" w:rsidP="00B37B65">
            <w:pPr>
              <w:jc w:val="right"/>
              <w:rPr>
                <w:rFonts w:ascii="Times New Roman" w:hAnsi="Times New Roman"/>
                <w:sz w:val="18"/>
                <w:szCs w:val="18"/>
              </w:rPr>
            </w:pPr>
            <w:r w:rsidRPr="00364545">
              <w:rPr>
                <w:sz w:val="18"/>
              </w:rPr>
              <w:t>67460,96</w:t>
            </w:r>
          </w:p>
        </w:tc>
        <w:tc>
          <w:tcPr>
            <w:tcW w:w="992" w:type="dxa"/>
            <w:tcBorders>
              <w:top w:val="nil"/>
              <w:left w:val="nil"/>
              <w:bottom w:val="single" w:sz="4" w:space="0" w:color="auto"/>
              <w:right w:val="single" w:sz="4" w:space="0" w:color="auto"/>
            </w:tcBorders>
            <w:shd w:val="clear" w:color="000000" w:fill="CCFFFF"/>
            <w:noWrap/>
            <w:vAlign w:val="bottom"/>
            <w:hideMark/>
          </w:tcPr>
          <w:p w14:paraId="2E120449" w14:textId="77777777" w:rsidR="00B56301" w:rsidRPr="00364545" w:rsidRDefault="00B56301" w:rsidP="00B37B65">
            <w:pPr>
              <w:jc w:val="right"/>
              <w:rPr>
                <w:rFonts w:ascii="Times New Roman" w:hAnsi="Times New Roman"/>
                <w:sz w:val="18"/>
                <w:szCs w:val="18"/>
              </w:rPr>
            </w:pPr>
            <w:r w:rsidRPr="00364545">
              <w:rPr>
                <w:sz w:val="18"/>
              </w:rPr>
              <w:t>67391,90</w:t>
            </w:r>
          </w:p>
        </w:tc>
        <w:tc>
          <w:tcPr>
            <w:tcW w:w="992" w:type="dxa"/>
            <w:tcBorders>
              <w:top w:val="nil"/>
              <w:left w:val="nil"/>
              <w:bottom w:val="single" w:sz="4" w:space="0" w:color="auto"/>
              <w:right w:val="single" w:sz="4" w:space="0" w:color="auto"/>
            </w:tcBorders>
            <w:shd w:val="clear" w:color="000000" w:fill="CCFFFF"/>
            <w:noWrap/>
            <w:vAlign w:val="bottom"/>
            <w:hideMark/>
          </w:tcPr>
          <w:p w14:paraId="043B3A2B" w14:textId="77777777" w:rsidR="00B56301" w:rsidRPr="00364545" w:rsidRDefault="00B56301" w:rsidP="00B37B65">
            <w:pPr>
              <w:jc w:val="right"/>
              <w:rPr>
                <w:rFonts w:ascii="Times New Roman" w:hAnsi="Times New Roman"/>
                <w:sz w:val="18"/>
                <w:szCs w:val="18"/>
              </w:rPr>
            </w:pPr>
            <w:r w:rsidRPr="00364545">
              <w:rPr>
                <w:sz w:val="18"/>
              </w:rPr>
              <w:t>60774,01</w:t>
            </w:r>
          </w:p>
        </w:tc>
        <w:tc>
          <w:tcPr>
            <w:tcW w:w="992" w:type="dxa"/>
            <w:tcBorders>
              <w:top w:val="nil"/>
              <w:left w:val="nil"/>
              <w:bottom w:val="single" w:sz="4" w:space="0" w:color="auto"/>
              <w:right w:val="single" w:sz="4" w:space="0" w:color="auto"/>
            </w:tcBorders>
            <w:shd w:val="clear" w:color="000000" w:fill="CCFFFF"/>
            <w:noWrap/>
            <w:vAlign w:val="bottom"/>
            <w:hideMark/>
          </w:tcPr>
          <w:p w14:paraId="6F332855" w14:textId="77777777" w:rsidR="00B56301" w:rsidRPr="00364545" w:rsidRDefault="00B56301" w:rsidP="00B37B65">
            <w:pPr>
              <w:jc w:val="right"/>
              <w:rPr>
                <w:rFonts w:ascii="Times New Roman" w:hAnsi="Times New Roman"/>
                <w:sz w:val="18"/>
                <w:szCs w:val="18"/>
              </w:rPr>
            </w:pPr>
            <w:r w:rsidRPr="00364545">
              <w:rPr>
                <w:sz w:val="18"/>
              </w:rPr>
              <w:t>54716,47</w:t>
            </w:r>
          </w:p>
        </w:tc>
        <w:tc>
          <w:tcPr>
            <w:tcW w:w="992" w:type="dxa"/>
            <w:tcBorders>
              <w:top w:val="nil"/>
              <w:left w:val="nil"/>
              <w:bottom w:val="single" w:sz="4" w:space="0" w:color="auto"/>
              <w:right w:val="single" w:sz="4" w:space="0" w:color="auto"/>
            </w:tcBorders>
            <w:shd w:val="clear" w:color="000000" w:fill="CCFFFF"/>
            <w:noWrap/>
            <w:vAlign w:val="bottom"/>
            <w:hideMark/>
          </w:tcPr>
          <w:p w14:paraId="189F453C" w14:textId="77777777" w:rsidR="00B56301" w:rsidRPr="00364545" w:rsidRDefault="00B56301" w:rsidP="00B37B65">
            <w:pPr>
              <w:jc w:val="right"/>
              <w:rPr>
                <w:rFonts w:ascii="Times New Roman" w:hAnsi="Times New Roman"/>
                <w:sz w:val="18"/>
                <w:szCs w:val="18"/>
              </w:rPr>
            </w:pPr>
            <w:r w:rsidRPr="00364545">
              <w:rPr>
                <w:sz w:val="18"/>
              </w:rPr>
              <w:t>53680,54</w:t>
            </w:r>
          </w:p>
        </w:tc>
      </w:tr>
      <w:tr w:rsidR="00B56301" w:rsidRPr="00364545" w14:paraId="1BCAEE00"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11CFF04" w14:textId="09CDB66F" w:rsidR="00B56301" w:rsidRPr="00364545" w:rsidRDefault="00F80CAB" w:rsidP="00B37B65">
            <w:pPr>
              <w:jc w:val="left"/>
              <w:rPr>
                <w:rFonts w:ascii="Times New Roman" w:hAnsi="Times New Roman"/>
                <w:sz w:val="18"/>
                <w:szCs w:val="18"/>
              </w:rPr>
            </w:pP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 xml:space="preserve">emissions with </w:t>
            </w: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070074F" w14:textId="77777777" w:rsidR="00B56301" w:rsidRPr="00364545" w:rsidRDefault="00B56301" w:rsidP="00B37B65">
            <w:pPr>
              <w:jc w:val="right"/>
              <w:rPr>
                <w:rFonts w:ascii="Times New Roman" w:hAnsi="Times New Roman"/>
                <w:sz w:val="18"/>
                <w:szCs w:val="18"/>
              </w:rPr>
            </w:pPr>
            <w:r w:rsidRPr="00364545">
              <w:rPr>
                <w:sz w:val="18"/>
              </w:rPr>
              <w:t>69182,91</w:t>
            </w:r>
          </w:p>
        </w:tc>
        <w:tc>
          <w:tcPr>
            <w:tcW w:w="992" w:type="dxa"/>
            <w:tcBorders>
              <w:top w:val="nil"/>
              <w:left w:val="nil"/>
              <w:bottom w:val="single" w:sz="4" w:space="0" w:color="auto"/>
              <w:right w:val="single" w:sz="4" w:space="0" w:color="auto"/>
            </w:tcBorders>
            <w:shd w:val="clear" w:color="000000" w:fill="CCFFFF"/>
            <w:noWrap/>
            <w:vAlign w:val="bottom"/>
            <w:hideMark/>
          </w:tcPr>
          <w:p w14:paraId="04D526C9" w14:textId="77777777" w:rsidR="00B56301" w:rsidRPr="00364545" w:rsidRDefault="00B56301" w:rsidP="00B37B65">
            <w:pPr>
              <w:jc w:val="right"/>
              <w:rPr>
                <w:rFonts w:ascii="Times New Roman" w:hAnsi="Times New Roman"/>
                <w:sz w:val="18"/>
                <w:szCs w:val="18"/>
              </w:rPr>
            </w:pPr>
            <w:r w:rsidRPr="00364545">
              <w:rPr>
                <w:sz w:val="18"/>
              </w:rPr>
              <w:t>70680,40</w:t>
            </w:r>
          </w:p>
        </w:tc>
        <w:tc>
          <w:tcPr>
            <w:tcW w:w="992" w:type="dxa"/>
            <w:tcBorders>
              <w:top w:val="nil"/>
              <w:left w:val="nil"/>
              <w:bottom w:val="single" w:sz="4" w:space="0" w:color="auto"/>
              <w:right w:val="single" w:sz="4" w:space="0" w:color="auto"/>
            </w:tcBorders>
            <w:shd w:val="clear" w:color="000000" w:fill="CCFFFF"/>
            <w:noWrap/>
            <w:vAlign w:val="bottom"/>
            <w:hideMark/>
          </w:tcPr>
          <w:p w14:paraId="003DB2A2" w14:textId="77777777" w:rsidR="00B56301" w:rsidRPr="00364545" w:rsidRDefault="00B56301" w:rsidP="00B37B65">
            <w:pPr>
              <w:jc w:val="right"/>
              <w:rPr>
                <w:rFonts w:ascii="Times New Roman" w:hAnsi="Times New Roman"/>
                <w:sz w:val="18"/>
                <w:szCs w:val="18"/>
              </w:rPr>
            </w:pPr>
            <w:r w:rsidRPr="00364545">
              <w:rPr>
                <w:sz w:val="18"/>
              </w:rPr>
              <w:t>70621,20</w:t>
            </w:r>
          </w:p>
        </w:tc>
        <w:tc>
          <w:tcPr>
            <w:tcW w:w="992" w:type="dxa"/>
            <w:tcBorders>
              <w:top w:val="nil"/>
              <w:left w:val="nil"/>
              <w:bottom w:val="single" w:sz="4" w:space="0" w:color="auto"/>
              <w:right w:val="single" w:sz="4" w:space="0" w:color="auto"/>
            </w:tcBorders>
            <w:shd w:val="clear" w:color="000000" w:fill="CCFFFF"/>
            <w:noWrap/>
            <w:vAlign w:val="bottom"/>
            <w:hideMark/>
          </w:tcPr>
          <w:p w14:paraId="59FA9A83" w14:textId="77777777" w:rsidR="00B56301" w:rsidRPr="00364545" w:rsidRDefault="00B56301" w:rsidP="00B37B65">
            <w:pPr>
              <w:jc w:val="right"/>
              <w:rPr>
                <w:rFonts w:ascii="Times New Roman" w:hAnsi="Times New Roman"/>
                <w:sz w:val="18"/>
                <w:szCs w:val="18"/>
              </w:rPr>
            </w:pPr>
            <w:r w:rsidRPr="00364545">
              <w:rPr>
                <w:sz w:val="18"/>
              </w:rPr>
              <w:t>63993,18</w:t>
            </w:r>
          </w:p>
        </w:tc>
        <w:tc>
          <w:tcPr>
            <w:tcW w:w="992" w:type="dxa"/>
            <w:tcBorders>
              <w:top w:val="nil"/>
              <w:left w:val="nil"/>
              <w:bottom w:val="single" w:sz="4" w:space="0" w:color="auto"/>
              <w:right w:val="single" w:sz="4" w:space="0" w:color="auto"/>
            </w:tcBorders>
            <w:shd w:val="clear" w:color="000000" w:fill="CCFFFF"/>
            <w:noWrap/>
            <w:vAlign w:val="bottom"/>
            <w:hideMark/>
          </w:tcPr>
          <w:p w14:paraId="7E066D21" w14:textId="77777777" w:rsidR="00B56301" w:rsidRPr="00364545" w:rsidRDefault="00B56301" w:rsidP="00B37B65">
            <w:pPr>
              <w:jc w:val="right"/>
              <w:rPr>
                <w:rFonts w:ascii="Times New Roman" w:hAnsi="Times New Roman"/>
                <w:sz w:val="18"/>
                <w:szCs w:val="18"/>
              </w:rPr>
            </w:pPr>
            <w:r w:rsidRPr="00364545">
              <w:rPr>
                <w:sz w:val="18"/>
              </w:rPr>
              <w:t>57887,73</w:t>
            </w:r>
          </w:p>
        </w:tc>
        <w:tc>
          <w:tcPr>
            <w:tcW w:w="992" w:type="dxa"/>
            <w:tcBorders>
              <w:top w:val="nil"/>
              <w:left w:val="nil"/>
              <w:bottom w:val="single" w:sz="4" w:space="0" w:color="auto"/>
              <w:right w:val="single" w:sz="4" w:space="0" w:color="auto"/>
            </w:tcBorders>
            <w:shd w:val="clear" w:color="000000" w:fill="CCFFFF"/>
            <w:noWrap/>
            <w:vAlign w:val="bottom"/>
            <w:hideMark/>
          </w:tcPr>
          <w:p w14:paraId="57957589" w14:textId="77777777" w:rsidR="00B56301" w:rsidRPr="00364545" w:rsidRDefault="00B56301" w:rsidP="00B37B65">
            <w:pPr>
              <w:jc w:val="right"/>
              <w:rPr>
                <w:rFonts w:ascii="Times New Roman" w:hAnsi="Times New Roman"/>
                <w:sz w:val="18"/>
                <w:szCs w:val="18"/>
              </w:rPr>
            </w:pPr>
            <w:r w:rsidRPr="00364545">
              <w:rPr>
                <w:sz w:val="18"/>
              </w:rPr>
              <w:t>56873,23</w:t>
            </w:r>
          </w:p>
        </w:tc>
      </w:tr>
      <w:tr w:rsidR="00B56301" w:rsidRPr="00364545" w14:paraId="3E87AA02"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31938AF"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09A084BE" w14:textId="77777777" w:rsidR="00B56301" w:rsidRPr="00364545" w:rsidRDefault="00B56301" w:rsidP="00B37B65">
            <w:pPr>
              <w:jc w:val="right"/>
              <w:rPr>
                <w:rFonts w:ascii="Times New Roman" w:hAnsi="Times New Roman"/>
                <w:sz w:val="18"/>
                <w:szCs w:val="18"/>
              </w:rPr>
            </w:pPr>
            <w:r w:rsidRPr="00364545">
              <w:rPr>
                <w:sz w:val="18"/>
              </w:rPr>
              <w:t>1702,34</w:t>
            </w:r>
          </w:p>
        </w:tc>
        <w:tc>
          <w:tcPr>
            <w:tcW w:w="992" w:type="dxa"/>
            <w:tcBorders>
              <w:top w:val="nil"/>
              <w:left w:val="nil"/>
              <w:bottom w:val="single" w:sz="4" w:space="0" w:color="auto"/>
              <w:right w:val="single" w:sz="4" w:space="0" w:color="auto"/>
            </w:tcBorders>
            <w:shd w:val="clear" w:color="000000" w:fill="CCFFFF"/>
            <w:noWrap/>
            <w:vAlign w:val="bottom"/>
            <w:hideMark/>
          </w:tcPr>
          <w:p w14:paraId="6E112777" w14:textId="77777777" w:rsidR="00B56301" w:rsidRPr="00364545" w:rsidRDefault="00B56301" w:rsidP="00B37B65">
            <w:pPr>
              <w:jc w:val="right"/>
              <w:rPr>
                <w:rFonts w:ascii="Times New Roman" w:hAnsi="Times New Roman"/>
                <w:sz w:val="18"/>
                <w:szCs w:val="18"/>
              </w:rPr>
            </w:pPr>
            <w:r w:rsidRPr="00364545">
              <w:rPr>
                <w:sz w:val="18"/>
              </w:rPr>
              <w:t>3060,80</w:t>
            </w:r>
          </w:p>
        </w:tc>
        <w:tc>
          <w:tcPr>
            <w:tcW w:w="992" w:type="dxa"/>
            <w:tcBorders>
              <w:top w:val="nil"/>
              <w:left w:val="nil"/>
              <w:bottom w:val="single" w:sz="4" w:space="0" w:color="auto"/>
              <w:right w:val="single" w:sz="4" w:space="0" w:color="auto"/>
            </w:tcBorders>
            <w:shd w:val="clear" w:color="000000" w:fill="CCFFFF"/>
            <w:noWrap/>
            <w:vAlign w:val="bottom"/>
            <w:hideMark/>
          </w:tcPr>
          <w:p w14:paraId="2323F426" w14:textId="77777777" w:rsidR="00B56301" w:rsidRPr="00364545" w:rsidRDefault="00B56301" w:rsidP="00B37B65">
            <w:pPr>
              <w:jc w:val="right"/>
              <w:rPr>
                <w:rFonts w:ascii="Times New Roman" w:hAnsi="Times New Roman"/>
                <w:sz w:val="18"/>
                <w:szCs w:val="18"/>
              </w:rPr>
            </w:pPr>
            <w:r w:rsidRPr="00364545">
              <w:rPr>
                <w:sz w:val="18"/>
              </w:rPr>
              <w:t>3917,44</w:t>
            </w:r>
          </w:p>
        </w:tc>
        <w:tc>
          <w:tcPr>
            <w:tcW w:w="992" w:type="dxa"/>
            <w:tcBorders>
              <w:top w:val="nil"/>
              <w:left w:val="nil"/>
              <w:bottom w:val="single" w:sz="4" w:space="0" w:color="auto"/>
              <w:right w:val="single" w:sz="4" w:space="0" w:color="auto"/>
            </w:tcBorders>
            <w:shd w:val="clear" w:color="000000" w:fill="CCFFFF"/>
            <w:noWrap/>
            <w:vAlign w:val="bottom"/>
            <w:hideMark/>
          </w:tcPr>
          <w:p w14:paraId="355A0948" w14:textId="77777777" w:rsidR="00B56301" w:rsidRPr="00364545" w:rsidRDefault="00B56301" w:rsidP="00B37B65">
            <w:pPr>
              <w:jc w:val="right"/>
              <w:rPr>
                <w:rFonts w:ascii="Times New Roman" w:hAnsi="Times New Roman"/>
                <w:sz w:val="18"/>
                <w:szCs w:val="18"/>
              </w:rPr>
            </w:pPr>
            <w:r w:rsidRPr="00364545">
              <w:rPr>
                <w:sz w:val="18"/>
              </w:rPr>
              <w:t>4304,32</w:t>
            </w:r>
          </w:p>
        </w:tc>
        <w:tc>
          <w:tcPr>
            <w:tcW w:w="992" w:type="dxa"/>
            <w:tcBorders>
              <w:top w:val="nil"/>
              <w:left w:val="nil"/>
              <w:bottom w:val="single" w:sz="4" w:space="0" w:color="auto"/>
              <w:right w:val="single" w:sz="4" w:space="0" w:color="auto"/>
            </w:tcBorders>
            <w:shd w:val="clear" w:color="000000" w:fill="CCFFFF"/>
            <w:noWrap/>
            <w:vAlign w:val="bottom"/>
            <w:hideMark/>
          </w:tcPr>
          <w:p w14:paraId="5A22E0D4" w14:textId="77777777" w:rsidR="00B56301" w:rsidRPr="00364545" w:rsidRDefault="00B56301" w:rsidP="00B37B65">
            <w:pPr>
              <w:jc w:val="right"/>
              <w:rPr>
                <w:rFonts w:ascii="Times New Roman" w:hAnsi="Times New Roman"/>
                <w:sz w:val="18"/>
                <w:szCs w:val="18"/>
              </w:rPr>
            </w:pPr>
            <w:r w:rsidRPr="00364545">
              <w:rPr>
                <w:sz w:val="18"/>
              </w:rPr>
              <w:t>5534,29</w:t>
            </w:r>
          </w:p>
        </w:tc>
        <w:tc>
          <w:tcPr>
            <w:tcW w:w="992" w:type="dxa"/>
            <w:tcBorders>
              <w:top w:val="nil"/>
              <w:left w:val="nil"/>
              <w:bottom w:val="single" w:sz="4" w:space="0" w:color="auto"/>
              <w:right w:val="single" w:sz="4" w:space="0" w:color="auto"/>
            </w:tcBorders>
            <w:shd w:val="clear" w:color="000000" w:fill="CCFFFF"/>
            <w:noWrap/>
            <w:vAlign w:val="bottom"/>
            <w:hideMark/>
          </w:tcPr>
          <w:p w14:paraId="0717FE69" w14:textId="77777777" w:rsidR="00B56301" w:rsidRPr="00364545" w:rsidRDefault="00B56301" w:rsidP="00B37B65">
            <w:pPr>
              <w:jc w:val="right"/>
              <w:rPr>
                <w:rFonts w:ascii="Times New Roman" w:hAnsi="Times New Roman"/>
                <w:sz w:val="18"/>
                <w:szCs w:val="18"/>
              </w:rPr>
            </w:pPr>
            <w:r w:rsidRPr="00364545">
              <w:rPr>
                <w:sz w:val="18"/>
              </w:rPr>
              <w:t>6735,71</w:t>
            </w:r>
          </w:p>
        </w:tc>
      </w:tr>
      <w:tr w:rsidR="00B56301" w:rsidRPr="00364545" w14:paraId="7F175FEF"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591DA7A"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77776CA8" w14:textId="77777777" w:rsidR="00B56301" w:rsidRPr="00364545" w:rsidRDefault="00B56301" w:rsidP="00B37B65">
            <w:pPr>
              <w:jc w:val="right"/>
              <w:rPr>
                <w:rFonts w:ascii="Times New Roman" w:hAnsi="Times New Roman"/>
                <w:sz w:val="18"/>
                <w:szCs w:val="18"/>
              </w:rPr>
            </w:pPr>
            <w:r w:rsidRPr="00364545">
              <w:rPr>
                <w:sz w:val="18"/>
              </w:rPr>
              <w:t>3064,56</w:t>
            </w:r>
          </w:p>
        </w:tc>
        <w:tc>
          <w:tcPr>
            <w:tcW w:w="992" w:type="dxa"/>
            <w:tcBorders>
              <w:top w:val="nil"/>
              <w:left w:val="nil"/>
              <w:bottom w:val="single" w:sz="4" w:space="0" w:color="auto"/>
              <w:right w:val="single" w:sz="4" w:space="0" w:color="auto"/>
            </w:tcBorders>
            <w:shd w:val="clear" w:color="000000" w:fill="CCFFFF"/>
            <w:noWrap/>
            <w:vAlign w:val="bottom"/>
            <w:hideMark/>
          </w:tcPr>
          <w:p w14:paraId="3B90706D" w14:textId="77777777" w:rsidR="00B56301" w:rsidRPr="00364545" w:rsidRDefault="00B56301" w:rsidP="00B37B65">
            <w:pPr>
              <w:jc w:val="right"/>
              <w:rPr>
                <w:rFonts w:ascii="Times New Roman" w:hAnsi="Times New Roman"/>
                <w:sz w:val="18"/>
                <w:szCs w:val="18"/>
              </w:rPr>
            </w:pPr>
            <w:r w:rsidRPr="00364545">
              <w:rPr>
                <w:sz w:val="18"/>
              </w:rPr>
              <w:t>2796,25</w:t>
            </w:r>
          </w:p>
        </w:tc>
        <w:tc>
          <w:tcPr>
            <w:tcW w:w="992" w:type="dxa"/>
            <w:tcBorders>
              <w:top w:val="nil"/>
              <w:left w:val="nil"/>
              <w:bottom w:val="single" w:sz="4" w:space="0" w:color="auto"/>
              <w:right w:val="single" w:sz="4" w:space="0" w:color="auto"/>
            </w:tcBorders>
            <w:shd w:val="clear" w:color="000000" w:fill="CCFFFF"/>
            <w:noWrap/>
            <w:vAlign w:val="bottom"/>
            <w:hideMark/>
          </w:tcPr>
          <w:p w14:paraId="2F35E821" w14:textId="77777777" w:rsidR="00B56301" w:rsidRPr="00364545" w:rsidRDefault="00B56301" w:rsidP="00B37B65">
            <w:pPr>
              <w:jc w:val="right"/>
              <w:rPr>
                <w:rFonts w:ascii="Times New Roman" w:hAnsi="Times New Roman"/>
                <w:sz w:val="18"/>
                <w:szCs w:val="18"/>
              </w:rPr>
            </w:pPr>
            <w:r w:rsidRPr="00364545">
              <w:rPr>
                <w:sz w:val="18"/>
              </w:rPr>
              <w:t>2895,97</w:t>
            </w:r>
          </w:p>
        </w:tc>
        <w:tc>
          <w:tcPr>
            <w:tcW w:w="992" w:type="dxa"/>
            <w:tcBorders>
              <w:top w:val="nil"/>
              <w:left w:val="nil"/>
              <w:bottom w:val="single" w:sz="4" w:space="0" w:color="auto"/>
              <w:right w:val="single" w:sz="4" w:space="0" w:color="auto"/>
            </w:tcBorders>
            <w:shd w:val="clear" w:color="000000" w:fill="CCFFFF"/>
            <w:noWrap/>
            <w:vAlign w:val="bottom"/>
            <w:hideMark/>
          </w:tcPr>
          <w:p w14:paraId="42170E5C" w14:textId="77777777" w:rsidR="00B56301" w:rsidRPr="00364545" w:rsidRDefault="00B56301" w:rsidP="00B37B65">
            <w:pPr>
              <w:jc w:val="right"/>
              <w:rPr>
                <w:rFonts w:ascii="Times New Roman" w:hAnsi="Times New Roman"/>
                <w:sz w:val="18"/>
                <w:szCs w:val="18"/>
              </w:rPr>
            </w:pPr>
            <w:r w:rsidRPr="00364545">
              <w:rPr>
                <w:sz w:val="18"/>
              </w:rPr>
              <w:t>3391,71</w:t>
            </w:r>
          </w:p>
        </w:tc>
        <w:tc>
          <w:tcPr>
            <w:tcW w:w="992" w:type="dxa"/>
            <w:tcBorders>
              <w:top w:val="nil"/>
              <w:left w:val="nil"/>
              <w:bottom w:val="single" w:sz="4" w:space="0" w:color="auto"/>
              <w:right w:val="single" w:sz="4" w:space="0" w:color="auto"/>
            </w:tcBorders>
            <w:shd w:val="clear" w:color="000000" w:fill="CCFFFF"/>
            <w:noWrap/>
            <w:vAlign w:val="bottom"/>
            <w:hideMark/>
          </w:tcPr>
          <w:p w14:paraId="098EA722" w14:textId="77777777" w:rsidR="00B56301" w:rsidRPr="00364545" w:rsidRDefault="00B56301" w:rsidP="00B37B65">
            <w:pPr>
              <w:jc w:val="right"/>
              <w:rPr>
                <w:rFonts w:ascii="Times New Roman" w:hAnsi="Times New Roman"/>
                <w:sz w:val="18"/>
                <w:szCs w:val="18"/>
              </w:rPr>
            </w:pPr>
            <w:r w:rsidRPr="00364545">
              <w:rPr>
                <w:sz w:val="18"/>
              </w:rPr>
              <w:t>4218,40</w:t>
            </w:r>
          </w:p>
        </w:tc>
        <w:tc>
          <w:tcPr>
            <w:tcW w:w="992" w:type="dxa"/>
            <w:tcBorders>
              <w:top w:val="nil"/>
              <w:left w:val="nil"/>
              <w:bottom w:val="single" w:sz="4" w:space="0" w:color="auto"/>
              <w:right w:val="single" w:sz="4" w:space="0" w:color="auto"/>
            </w:tcBorders>
            <w:shd w:val="clear" w:color="000000" w:fill="CCFFFF"/>
            <w:noWrap/>
            <w:vAlign w:val="bottom"/>
            <w:hideMark/>
          </w:tcPr>
          <w:p w14:paraId="40AE704F" w14:textId="77777777" w:rsidR="00B56301" w:rsidRPr="00364545" w:rsidRDefault="00B56301" w:rsidP="00B37B65">
            <w:pPr>
              <w:jc w:val="right"/>
              <w:rPr>
                <w:rFonts w:ascii="Times New Roman" w:hAnsi="Times New Roman"/>
                <w:sz w:val="18"/>
                <w:szCs w:val="18"/>
              </w:rPr>
            </w:pPr>
            <w:r w:rsidRPr="00364545">
              <w:rPr>
                <w:sz w:val="18"/>
              </w:rPr>
              <w:t>2997,49</w:t>
            </w:r>
          </w:p>
        </w:tc>
      </w:tr>
      <w:tr w:rsidR="00B56301" w:rsidRPr="00364545" w14:paraId="0E6F3D25"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EC860D7"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2837EC4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46F2C6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807BE3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C1835EB"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7D94339"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4F4CD28"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07C1BBC3"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C895E1A" w14:textId="23D05935" w:rsidR="00B56301" w:rsidRPr="00364545" w:rsidRDefault="007F09F7" w:rsidP="00B37B65">
            <w:pPr>
              <w:jc w:val="left"/>
              <w:rPr>
                <w:rFonts w:ascii="Times New Roman" w:hAnsi="Times New Roman"/>
                <w:sz w:val="18"/>
                <w:szCs w:val="18"/>
              </w:rPr>
            </w:pPr>
            <w:r w:rsidRPr="00364545">
              <w:t>SF</w:t>
            </w:r>
            <w:r w:rsidRPr="00364545">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1CEBE4FD" w14:textId="77777777" w:rsidR="00B56301" w:rsidRPr="00364545" w:rsidRDefault="00B56301" w:rsidP="00B37B65">
            <w:pPr>
              <w:jc w:val="right"/>
              <w:rPr>
                <w:rFonts w:ascii="Times New Roman" w:hAnsi="Times New Roman"/>
                <w:sz w:val="18"/>
                <w:szCs w:val="18"/>
              </w:rPr>
            </w:pPr>
            <w:r w:rsidRPr="00364545">
              <w:rPr>
                <w:sz w:val="18"/>
              </w:rPr>
              <w:t>2466,60</w:t>
            </w:r>
          </w:p>
        </w:tc>
        <w:tc>
          <w:tcPr>
            <w:tcW w:w="992" w:type="dxa"/>
            <w:tcBorders>
              <w:top w:val="nil"/>
              <w:left w:val="nil"/>
              <w:bottom w:val="single" w:sz="4" w:space="0" w:color="auto"/>
              <w:right w:val="single" w:sz="4" w:space="0" w:color="auto"/>
            </w:tcBorders>
            <w:shd w:val="clear" w:color="000000" w:fill="CCFFFF"/>
            <w:noWrap/>
            <w:vAlign w:val="bottom"/>
            <w:hideMark/>
          </w:tcPr>
          <w:p w14:paraId="20BC73B6" w14:textId="77777777" w:rsidR="00B56301" w:rsidRPr="00364545" w:rsidRDefault="00B56301" w:rsidP="00B37B65">
            <w:pPr>
              <w:jc w:val="right"/>
              <w:rPr>
                <w:rFonts w:ascii="Times New Roman" w:hAnsi="Times New Roman"/>
                <w:sz w:val="18"/>
                <w:szCs w:val="18"/>
              </w:rPr>
            </w:pPr>
            <w:r w:rsidRPr="00364545">
              <w:rPr>
                <w:sz w:val="18"/>
              </w:rPr>
              <w:t>2494,64</w:t>
            </w:r>
          </w:p>
        </w:tc>
        <w:tc>
          <w:tcPr>
            <w:tcW w:w="992" w:type="dxa"/>
            <w:tcBorders>
              <w:top w:val="nil"/>
              <w:left w:val="nil"/>
              <w:bottom w:val="single" w:sz="4" w:space="0" w:color="auto"/>
              <w:right w:val="single" w:sz="4" w:space="0" w:color="auto"/>
            </w:tcBorders>
            <w:shd w:val="clear" w:color="000000" w:fill="CCFFFF"/>
            <w:noWrap/>
            <w:vAlign w:val="bottom"/>
            <w:hideMark/>
          </w:tcPr>
          <w:p w14:paraId="78AFD0A0" w14:textId="77777777" w:rsidR="00B56301" w:rsidRPr="00364545" w:rsidRDefault="00B56301" w:rsidP="00B37B65">
            <w:pPr>
              <w:jc w:val="right"/>
              <w:rPr>
                <w:rFonts w:ascii="Times New Roman" w:hAnsi="Times New Roman"/>
                <w:sz w:val="18"/>
                <w:szCs w:val="18"/>
              </w:rPr>
            </w:pPr>
            <w:r w:rsidRPr="00364545">
              <w:rPr>
                <w:sz w:val="18"/>
              </w:rPr>
              <w:t>2475,92</w:t>
            </w:r>
          </w:p>
        </w:tc>
        <w:tc>
          <w:tcPr>
            <w:tcW w:w="992" w:type="dxa"/>
            <w:tcBorders>
              <w:top w:val="nil"/>
              <w:left w:val="nil"/>
              <w:bottom w:val="single" w:sz="4" w:space="0" w:color="auto"/>
              <w:right w:val="single" w:sz="4" w:space="0" w:color="auto"/>
            </w:tcBorders>
            <w:shd w:val="clear" w:color="000000" w:fill="CCFFFF"/>
            <w:noWrap/>
            <w:vAlign w:val="bottom"/>
            <w:hideMark/>
          </w:tcPr>
          <w:p w14:paraId="0BE37D38" w14:textId="77777777" w:rsidR="00B56301" w:rsidRPr="00364545" w:rsidRDefault="00B56301" w:rsidP="00B37B65">
            <w:pPr>
              <w:jc w:val="right"/>
              <w:rPr>
                <w:rFonts w:ascii="Times New Roman" w:hAnsi="Times New Roman"/>
                <w:sz w:val="18"/>
                <w:szCs w:val="18"/>
              </w:rPr>
            </w:pPr>
            <w:r w:rsidRPr="00364545">
              <w:rPr>
                <w:sz w:val="18"/>
              </w:rPr>
              <w:t>2593,70</w:t>
            </w:r>
          </w:p>
        </w:tc>
        <w:tc>
          <w:tcPr>
            <w:tcW w:w="992" w:type="dxa"/>
            <w:tcBorders>
              <w:top w:val="nil"/>
              <w:left w:val="nil"/>
              <w:bottom w:val="single" w:sz="4" w:space="0" w:color="auto"/>
              <w:right w:val="single" w:sz="4" w:space="0" w:color="auto"/>
            </w:tcBorders>
            <w:shd w:val="clear" w:color="000000" w:fill="CCFFFF"/>
            <w:noWrap/>
            <w:vAlign w:val="bottom"/>
            <w:hideMark/>
          </w:tcPr>
          <w:p w14:paraId="314780D2" w14:textId="77777777" w:rsidR="00B56301" w:rsidRPr="00364545" w:rsidRDefault="00B56301" w:rsidP="00B37B65">
            <w:pPr>
              <w:jc w:val="right"/>
              <w:rPr>
                <w:rFonts w:ascii="Times New Roman" w:hAnsi="Times New Roman"/>
                <w:sz w:val="18"/>
                <w:szCs w:val="18"/>
              </w:rPr>
            </w:pPr>
            <w:r w:rsidRPr="00364545">
              <w:rPr>
                <w:sz w:val="18"/>
              </w:rPr>
              <w:t>2292,74</w:t>
            </w:r>
          </w:p>
        </w:tc>
        <w:tc>
          <w:tcPr>
            <w:tcW w:w="992" w:type="dxa"/>
            <w:tcBorders>
              <w:top w:val="nil"/>
              <w:left w:val="nil"/>
              <w:bottom w:val="single" w:sz="4" w:space="0" w:color="auto"/>
              <w:right w:val="single" w:sz="4" w:space="0" w:color="auto"/>
            </w:tcBorders>
            <w:shd w:val="clear" w:color="000000" w:fill="CCFFFF"/>
            <w:noWrap/>
            <w:vAlign w:val="bottom"/>
            <w:hideMark/>
          </w:tcPr>
          <w:p w14:paraId="1F25C9F7" w14:textId="77777777" w:rsidR="00B56301" w:rsidRPr="00364545" w:rsidRDefault="00B56301" w:rsidP="00B37B65">
            <w:pPr>
              <w:jc w:val="right"/>
              <w:rPr>
                <w:rFonts w:ascii="Times New Roman" w:hAnsi="Times New Roman"/>
                <w:sz w:val="18"/>
                <w:szCs w:val="18"/>
              </w:rPr>
            </w:pPr>
            <w:r w:rsidRPr="00364545">
              <w:rPr>
                <w:sz w:val="18"/>
              </w:rPr>
              <w:t>2180,33</w:t>
            </w:r>
          </w:p>
        </w:tc>
      </w:tr>
      <w:tr w:rsidR="00B56301" w:rsidRPr="00364545" w14:paraId="0CEE8283"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E4CCFB4" w14:textId="2AC35473" w:rsidR="00B56301" w:rsidRPr="00364545" w:rsidRDefault="007F09F7" w:rsidP="00B37B65">
            <w:pPr>
              <w:jc w:val="left"/>
              <w:rPr>
                <w:rFonts w:ascii="Times New Roman" w:hAnsi="Times New Roman"/>
                <w:sz w:val="18"/>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53C8F824" w14:textId="77777777" w:rsidR="00B56301" w:rsidRPr="00364545" w:rsidRDefault="00B56301" w:rsidP="00B37B65">
            <w:pPr>
              <w:jc w:val="right"/>
              <w:rPr>
                <w:rFonts w:ascii="Times New Roman" w:hAnsi="Times New Roman"/>
                <w:sz w:val="18"/>
                <w:szCs w:val="18"/>
              </w:rPr>
            </w:pPr>
            <w:r w:rsidRPr="00364545">
              <w:rPr>
                <w:sz w:val="18"/>
              </w:rPr>
              <w:t>6,26</w:t>
            </w:r>
          </w:p>
        </w:tc>
        <w:tc>
          <w:tcPr>
            <w:tcW w:w="992" w:type="dxa"/>
            <w:tcBorders>
              <w:top w:val="nil"/>
              <w:left w:val="nil"/>
              <w:bottom w:val="single" w:sz="4" w:space="0" w:color="auto"/>
              <w:right w:val="single" w:sz="4" w:space="0" w:color="auto"/>
            </w:tcBorders>
            <w:shd w:val="clear" w:color="000000" w:fill="CCFFFF"/>
            <w:noWrap/>
            <w:vAlign w:val="bottom"/>
            <w:hideMark/>
          </w:tcPr>
          <w:p w14:paraId="5FE46F6B" w14:textId="77777777" w:rsidR="00B56301" w:rsidRPr="00364545" w:rsidRDefault="00B56301" w:rsidP="00B37B65">
            <w:pPr>
              <w:jc w:val="right"/>
              <w:rPr>
                <w:rFonts w:ascii="Times New Roman" w:hAnsi="Times New Roman"/>
                <w:sz w:val="18"/>
                <w:szCs w:val="18"/>
              </w:rPr>
            </w:pPr>
            <w:r w:rsidRPr="00364545">
              <w:rPr>
                <w:sz w:val="18"/>
              </w:rPr>
              <w:t>11,46</w:t>
            </w:r>
          </w:p>
        </w:tc>
        <w:tc>
          <w:tcPr>
            <w:tcW w:w="992" w:type="dxa"/>
            <w:tcBorders>
              <w:top w:val="nil"/>
              <w:left w:val="nil"/>
              <w:bottom w:val="single" w:sz="4" w:space="0" w:color="auto"/>
              <w:right w:val="single" w:sz="4" w:space="0" w:color="auto"/>
            </w:tcBorders>
            <w:shd w:val="clear" w:color="000000" w:fill="CCFFFF"/>
            <w:noWrap/>
            <w:vAlign w:val="bottom"/>
            <w:hideMark/>
          </w:tcPr>
          <w:p w14:paraId="59933CC1" w14:textId="77777777" w:rsidR="00B56301" w:rsidRPr="00364545" w:rsidRDefault="00B56301" w:rsidP="00B37B65">
            <w:pPr>
              <w:jc w:val="right"/>
              <w:rPr>
                <w:rFonts w:ascii="Times New Roman" w:hAnsi="Times New Roman"/>
                <w:sz w:val="18"/>
                <w:szCs w:val="18"/>
              </w:rPr>
            </w:pPr>
            <w:r w:rsidRPr="00364545">
              <w:rPr>
                <w:sz w:val="18"/>
              </w:rPr>
              <w:t>17,18</w:t>
            </w:r>
          </w:p>
        </w:tc>
        <w:tc>
          <w:tcPr>
            <w:tcW w:w="992" w:type="dxa"/>
            <w:tcBorders>
              <w:top w:val="nil"/>
              <w:left w:val="nil"/>
              <w:bottom w:val="single" w:sz="4" w:space="0" w:color="auto"/>
              <w:right w:val="single" w:sz="4" w:space="0" w:color="auto"/>
            </w:tcBorders>
            <w:shd w:val="clear" w:color="000000" w:fill="CCFFFF"/>
            <w:noWrap/>
            <w:vAlign w:val="bottom"/>
            <w:hideMark/>
          </w:tcPr>
          <w:p w14:paraId="008E8CA3" w14:textId="77777777" w:rsidR="00B56301" w:rsidRPr="00364545" w:rsidRDefault="00B56301" w:rsidP="00B37B65">
            <w:pPr>
              <w:jc w:val="right"/>
              <w:rPr>
                <w:rFonts w:ascii="Times New Roman" w:hAnsi="Times New Roman"/>
                <w:sz w:val="18"/>
                <w:szCs w:val="18"/>
              </w:rPr>
            </w:pPr>
            <w:r w:rsidRPr="00364545">
              <w:rPr>
                <w:sz w:val="18"/>
              </w:rPr>
              <w:t>21,16</w:t>
            </w:r>
          </w:p>
        </w:tc>
        <w:tc>
          <w:tcPr>
            <w:tcW w:w="992" w:type="dxa"/>
            <w:tcBorders>
              <w:top w:val="nil"/>
              <w:left w:val="nil"/>
              <w:bottom w:val="single" w:sz="4" w:space="0" w:color="auto"/>
              <w:right w:val="single" w:sz="4" w:space="0" w:color="auto"/>
            </w:tcBorders>
            <w:shd w:val="clear" w:color="000000" w:fill="CCFFFF"/>
            <w:noWrap/>
            <w:vAlign w:val="bottom"/>
            <w:hideMark/>
          </w:tcPr>
          <w:p w14:paraId="77B5F87E" w14:textId="77777777" w:rsidR="00B56301" w:rsidRPr="00364545" w:rsidRDefault="00B56301" w:rsidP="00B37B65">
            <w:pPr>
              <w:jc w:val="right"/>
              <w:rPr>
                <w:rFonts w:ascii="Times New Roman" w:hAnsi="Times New Roman"/>
                <w:sz w:val="18"/>
                <w:szCs w:val="18"/>
              </w:rPr>
            </w:pPr>
            <w:r w:rsidRPr="00364545">
              <w:rPr>
                <w:sz w:val="18"/>
              </w:rPr>
              <w:t>28,41</w:t>
            </w:r>
          </w:p>
        </w:tc>
        <w:tc>
          <w:tcPr>
            <w:tcW w:w="992" w:type="dxa"/>
            <w:tcBorders>
              <w:top w:val="nil"/>
              <w:left w:val="nil"/>
              <w:bottom w:val="single" w:sz="4" w:space="0" w:color="auto"/>
              <w:right w:val="single" w:sz="4" w:space="0" w:color="auto"/>
            </w:tcBorders>
            <w:shd w:val="clear" w:color="000000" w:fill="CCFFFF"/>
            <w:noWrap/>
            <w:vAlign w:val="bottom"/>
            <w:hideMark/>
          </w:tcPr>
          <w:p w14:paraId="1B0AEB38" w14:textId="77777777" w:rsidR="00B56301" w:rsidRPr="00364545" w:rsidRDefault="00B56301" w:rsidP="00B37B65">
            <w:pPr>
              <w:jc w:val="right"/>
              <w:rPr>
                <w:rFonts w:ascii="Times New Roman" w:hAnsi="Times New Roman"/>
                <w:sz w:val="18"/>
                <w:szCs w:val="18"/>
              </w:rPr>
            </w:pPr>
            <w:r w:rsidRPr="00364545">
              <w:rPr>
                <w:sz w:val="18"/>
              </w:rPr>
              <w:t>19,89</w:t>
            </w:r>
          </w:p>
        </w:tc>
      </w:tr>
      <w:tr w:rsidR="00B56301" w:rsidRPr="00364545" w14:paraId="59E2B6F4"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351193C9"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E5F68B2" w14:textId="77777777" w:rsidR="00B56301" w:rsidRPr="00364545" w:rsidRDefault="00B56301" w:rsidP="00B37B65">
            <w:pPr>
              <w:jc w:val="right"/>
              <w:rPr>
                <w:rFonts w:ascii="Times New Roman" w:hAnsi="Times New Roman"/>
                <w:sz w:val="18"/>
                <w:szCs w:val="18"/>
              </w:rPr>
            </w:pPr>
            <w:r w:rsidRPr="00364545">
              <w:rPr>
                <w:sz w:val="18"/>
              </w:rPr>
              <w:t>536475,53</w:t>
            </w:r>
          </w:p>
        </w:tc>
        <w:tc>
          <w:tcPr>
            <w:tcW w:w="992" w:type="dxa"/>
            <w:tcBorders>
              <w:top w:val="nil"/>
              <w:left w:val="nil"/>
              <w:bottom w:val="single" w:sz="4" w:space="0" w:color="auto"/>
              <w:right w:val="single" w:sz="4" w:space="0" w:color="auto"/>
            </w:tcBorders>
            <w:shd w:val="clear" w:color="000000" w:fill="CCFFFF"/>
            <w:noWrap/>
            <w:vAlign w:val="bottom"/>
            <w:hideMark/>
          </w:tcPr>
          <w:p w14:paraId="2D407D56" w14:textId="77777777" w:rsidR="00B56301" w:rsidRPr="00364545" w:rsidRDefault="00B56301" w:rsidP="00B37B65">
            <w:pPr>
              <w:jc w:val="right"/>
              <w:rPr>
                <w:rFonts w:ascii="Times New Roman" w:hAnsi="Times New Roman"/>
                <w:sz w:val="18"/>
                <w:szCs w:val="18"/>
              </w:rPr>
            </w:pPr>
            <w:r w:rsidRPr="00364545">
              <w:rPr>
                <w:sz w:val="18"/>
              </w:rPr>
              <w:t>553485,94</w:t>
            </w:r>
          </w:p>
        </w:tc>
        <w:tc>
          <w:tcPr>
            <w:tcW w:w="992" w:type="dxa"/>
            <w:tcBorders>
              <w:top w:val="nil"/>
              <w:left w:val="nil"/>
              <w:bottom w:val="single" w:sz="4" w:space="0" w:color="auto"/>
              <w:right w:val="single" w:sz="4" w:space="0" w:color="auto"/>
            </w:tcBorders>
            <w:shd w:val="clear" w:color="000000" w:fill="CCFFFF"/>
            <w:noWrap/>
            <w:vAlign w:val="bottom"/>
            <w:hideMark/>
          </w:tcPr>
          <w:p w14:paraId="1E150BB5" w14:textId="77777777" w:rsidR="00B56301" w:rsidRPr="00364545" w:rsidRDefault="00B56301" w:rsidP="00B37B65">
            <w:pPr>
              <w:jc w:val="right"/>
              <w:rPr>
                <w:rFonts w:ascii="Times New Roman" w:hAnsi="Times New Roman"/>
                <w:sz w:val="18"/>
                <w:szCs w:val="18"/>
              </w:rPr>
            </w:pPr>
            <w:r w:rsidRPr="00364545">
              <w:rPr>
                <w:sz w:val="18"/>
              </w:rPr>
              <w:t>545922,67</w:t>
            </w:r>
          </w:p>
        </w:tc>
        <w:tc>
          <w:tcPr>
            <w:tcW w:w="992" w:type="dxa"/>
            <w:tcBorders>
              <w:top w:val="nil"/>
              <w:left w:val="nil"/>
              <w:bottom w:val="single" w:sz="4" w:space="0" w:color="auto"/>
              <w:right w:val="single" w:sz="4" w:space="0" w:color="auto"/>
            </w:tcBorders>
            <w:shd w:val="clear" w:color="000000" w:fill="CCFFFF"/>
            <w:noWrap/>
            <w:vAlign w:val="bottom"/>
            <w:hideMark/>
          </w:tcPr>
          <w:p w14:paraId="286EF2D3" w14:textId="77777777" w:rsidR="00B56301" w:rsidRPr="00364545" w:rsidRDefault="00B56301" w:rsidP="00B37B65">
            <w:pPr>
              <w:jc w:val="right"/>
              <w:rPr>
                <w:rFonts w:ascii="Times New Roman" w:hAnsi="Times New Roman"/>
                <w:sz w:val="18"/>
                <w:szCs w:val="18"/>
              </w:rPr>
            </w:pPr>
            <w:r w:rsidRPr="00364545">
              <w:rPr>
                <w:sz w:val="18"/>
              </w:rPr>
              <w:t>560386,15</w:t>
            </w:r>
          </w:p>
        </w:tc>
        <w:tc>
          <w:tcPr>
            <w:tcW w:w="992" w:type="dxa"/>
            <w:tcBorders>
              <w:top w:val="nil"/>
              <w:left w:val="nil"/>
              <w:bottom w:val="single" w:sz="4" w:space="0" w:color="auto"/>
              <w:right w:val="single" w:sz="4" w:space="0" w:color="auto"/>
            </w:tcBorders>
            <w:shd w:val="clear" w:color="000000" w:fill="CCFFFF"/>
            <w:noWrap/>
            <w:vAlign w:val="bottom"/>
            <w:hideMark/>
          </w:tcPr>
          <w:p w14:paraId="43665AD9" w14:textId="77777777" w:rsidR="00B56301" w:rsidRPr="00364545" w:rsidRDefault="00B56301" w:rsidP="00B37B65">
            <w:pPr>
              <w:jc w:val="right"/>
              <w:rPr>
                <w:rFonts w:ascii="Times New Roman" w:hAnsi="Times New Roman"/>
                <w:sz w:val="18"/>
                <w:szCs w:val="18"/>
              </w:rPr>
            </w:pPr>
            <w:r w:rsidRPr="00364545">
              <w:rPr>
                <w:sz w:val="18"/>
              </w:rPr>
              <w:t>554867,12</w:t>
            </w:r>
          </w:p>
        </w:tc>
        <w:tc>
          <w:tcPr>
            <w:tcW w:w="992" w:type="dxa"/>
            <w:tcBorders>
              <w:top w:val="nil"/>
              <w:left w:val="nil"/>
              <w:bottom w:val="single" w:sz="4" w:space="0" w:color="auto"/>
              <w:right w:val="single" w:sz="4" w:space="0" w:color="auto"/>
            </w:tcBorders>
            <w:shd w:val="clear" w:color="000000" w:fill="CCFFFF"/>
            <w:noWrap/>
            <w:vAlign w:val="bottom"/>
            <w:hideMark/>
          </w:tcPr>
          <w:p w14:paraId="48B81AA3" w14:textId="77777777" w:rsidR="00B56301" w:rsidRPr="00364545" w:rsidRDefault="00B56301" w:rsidP="00B37B65">
            <w:pPr>
              <w:jc w:val="right"/>
              <w:rPr>
                <w:rFonts w:ascii="Times New Roman" w:hAnsi="Times New Roman"/>
                <w:sz w:val="18"/>
                <w:szCs w:val="18"/>
              </w:rPr>
            </w:pPr>
            <w:r w:rsidRPr="00364545">
              <w:rPr>
                <w:sz w:val="18"/>
              </w:rPr>
              <w:t>549005,17</w:t>
            </w:r>
          </w:p>
        </w:tc>
      </w:tr>
      <w:tr w:rsidR="00B56301" w:rsidRPr="00364545" w14:paraId="7C09879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991A360"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33599EE" w14:textId="77777777" w:rsidR="00B56301" w:rsidRPr="00364545" w:rsidRDefault="00B56301" w:rsidP="00B37B65">
            <w:pPr>
              <w:jc w:val="right"/>
              <w:rPr>
                <w:rFonts w:ascii="Times New Roman" w:hAnsi="Times New Roman"/>
                <w:sz w:val="18"/>
                <w:szCs w:val="18"/>
              </w:rPr>
            </w:pPr>
            <w:r w:rsidRPr="00364545">
              <w:rPr>
                <w:sz w:val="18"/>
              </w:rPr>
              <w:t>511596,26</w:t>
            </w:r>
          </w:p>
        </w:tc>
        <w:tc>
          <w:tcPr>
            <w:tcW w:w="992" w:type="dxa"/>
            <w:tcBorders>
              <w:top w:val="nil"/>
              <w:left w:val="nil"/>
              <w:bottom w:val="single" w:sz="4" w:space="0" w:color="auto"/>
              <w:right w:val="single" w:sz="4" w:space="0" w:color="auto"/>
            </w:tcBorders>
            <w:shd w:val="clear" w:color="000000" w:fill="CCFFFF"/>
            <w:noWrap/>
            <w:vAlign w:val="bottom"/>
            <w:hideMark/>
          </w:tcPr>
          <w:p w14:paraId="0A5F0333" w14:textId="77777777" w:rsidR="00B56301" w:rsidRPr="00364545" w:rsidRDefault="00B56301" w:rsidP="00B37B65">
            <w:pPr>
              <w:jc w:val="right"/>
              <w:rPr>
                <w:rFonts w:ascii="Times New Roman" w:hAnsi="Times New Roman"/>
                <w:sz w:val="18"/>
                <w:szCs w:val="18"/>
              </w:rPr>
            </w:pPr>
            <w:r w:rsidRPr="00364545">
              <w:rPr>
                <w:sz w:val="18"/>
              </w:rPr>
              <w:t>522218,87</w:t>
            </w:r>
          </w:p>
        </w:tc>
        <w:tc>
          <w:tcPr>
            <w:tcW w:w="992" w:type="dxa"/>
            <w:tcBorders>
              <w:top w:val="nil"/>
              <w:left w:val="nil"/>
              <w:bottom w:val="single" w:sz="4" w:space="0" w:color="auto"/>
              <w:right w:val="single" w:sz="4" w:space="0" w:color="auto"/>
            </w:tcBorders>
            <w:shd w:val="clear" w:color="000000" w:fill="CCFFFF"/>
            <w:noWrap/>
            <w:vAlign w:val="bottom"/>
            <w:hideMark/>
          </w:tcPr>
          <w:p w14:paraId="7A0A76CB" w14:textId="77777777" w:rsidR="00B56301" w:rsidRPr="00364545" w:rsidRDefault="00B56301" w:rsidP="00B37B65">
            <w:pPr>
              <w:jc w:val="right"/>
              <w:rPr>
                <w:rFonts w:ascii="Times New Roman" w:hAnsi="Times New Roman"/>
                <w:sz w:val="18"/>
                <w:szCs w:val="18"/>
              </w:rPr>
            </w:pPr>
            <w:r w:rsidRPr="00364545">
              <w:rPr>
                <w:sz w:val="18"/>
              </w:rPr>
              <w:t>514393,43</w:t>
            </w:r>
          </w:p>
        </w:tc>
        <w:tc>
          <w:tcPr>
            <w:tcW w:w="992" w:type="dxa"/>
            <w:tcBorders>
              <w:top w:val="nil"/>
              <w:left w:val="nil"/>
              <w:bottom w:val="single" w:sz="4" w:space="0" w:color="auto"/>
              <w:right w:val="single" w:sz="4" w:space="0" w:color="auto"/>
            </w:tcBorders>
            <w:shd w:val="clear" w:color="000000" w:fill="CCFFFF"/>
            <w:noWrap/>
            <w:vAlign w:val="bottom"/>
            <w:hideMark/>
          </w:tcPr>
          <w:p w14:paraId="7E7C3D95" w14:textId="77777777" w:rsidR="00B56301" w:rsidRPr="00364545" w:rsidRDefault="00B56301" w:rsidP="00B37B65">
            <w:pPr>
              <w:jc w:val="right"/>
              <w:rPr>
                <w:rFonts w:ascii="Times New Roman" w:hAnsi="Times New Roman"/>
                <w:sz w:val="18"/>
                <w:szCs w:val="18"/>
              </w:rPr>
            </w:pPr>
            <w:r w:rsidRPr="00364545">
              <w:rPr>
                <w:sz w:val="18"/>
              </w:rPr>
              <w:t>526946,60</w:t>
            </w:r>
          </w:p>
        </w:tc>
        <w:tc>
          <w:tcPr>
            <w:tcW w:w="992" w:type="dxa"/>
            <w:tcBorders>
              <w:top w:val="nil"/>
              <w:left w:val="nil"/>
              <w:bottom w:val="single" w:sz="4" w:space="0" w:color="auto"/>
              <w:right w:val="single" w:sz="4" w:space="0" w:color="auto"/>
            </w:tcBorders>
            <w:shd w:val="clear" w:color="000000" w:fill="CCFFFF"/>
            <w:noWrap/>
            <w:vAlign w:val="bottom"/>
            <w:hideMark/>
          </w:tcPr>
          <w:p w14:paraId="7F53766F" w14:textId="77777777" w:rsidR="00B56301" w:rsidRPr="00364545" w:rsidRDefault="00B56301" w:rsidP="00B37B65">
            <w:pPr>
              <w:jc w:val="right"/>
              <w:rPr>
                <w:rFonts w:ascii="Times New Roman" w:hAnsi="Times New Roman"/>
                <w:sz w:val="18"/>
                <w:szCs w:val="18"/>
              </w:rPr>
            </w:pPr>
            <w:r w:rsidRPr="00364545">
              <w:rPr>
                <w:sz w:val="18"/>
              </w:rPr>
              <w:t>518135,24</w:t>
            </w:r>
          </w:p>
        </w:tc>
        <w:tc>
          <w:tcPr>
            <w:tcW w:w="992" w:type="dxa"/>
            <w:tcBorders>
              <w:top w:val="nil"/>
              <w:left w:val="nil"/>
              <w:bottom w:val="single" w:sz="4" w:space="0" w:color="auto"/>
              <w:right w:val="single" w:sz="4" w:space="0" w:color="auto"/>
            </w:tcBorders>
            <w:shd w:val="clear" w:color="000000" w:fill="CCFFFF"/>
            <w:noWrap/>
            <w:vAlign w:val="bottom"/>
            <w:hideMark/>
          </w:tcPr>
          <w:p w14:paraId="3FF38386" w14:textId="77777777" w:rsidR="00B56301" w:rsidRPr="00364545" w:rsidRDefault="00B56301" w:rsidP="00B37B65">
            <w:pPr>
              <w:jc w:val="right"/>
              <w:rPr>
                <w:rFonts w:ascii="Times New Roman" w:hAnsi="Times New Roman"/>
                <w:sz w:val="18"/>
                <w:szCs w:val="18"/>
              </w:rPr>
            </w:pPr>
            <w:r w:rsidRPr="00364545">
              <w:rPr>
                <w:sz w:val="18"/>
              </w:rPr>
              <w:t>529295,95</w:t>
            </w:r>
          </w:p>
        </w:tc>
      </w:tr>
      <w:tr w:rsidR="00B56301" w:rsidRPr="00364545" w14:paraId="1F3F97B8"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4A48D5F"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07D02864"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7AA449E"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A173565"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27682EEC"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2DCD54B"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CEF9BFA" w14:textId="77777777" w:rsidR="00B56301" w:rsidRPr="00364545" w:rsidRDefault="00B56301" w:rsidP="00B37B65">
            <w:pPr>
              <w:jc w:val="right"/>
              <w:rPr>
                <w:rFonts w:ascii="Times New Roman" w:hAnsi="Times New Roman"/>
                <w:sz w:val="18"/>
                <w:szCs w:val="18"/>
              </w:rPr>
            </w:pPr>
            <w:r w:rsidRPr="00364545">
              <w:rPr>
                <w:sz w:val="18"/>
              </w:rPr>
              <w:t>NA</w:t>
            </w:r>
          </w:p>
        </w:tc>
      </w:tr>
      <w:tr w:rsidR="00B56301" w:rsidRPr="00364545" w14:paraId="26117F03"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5AC35C6"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1A97D528"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DD92C68"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F89798F"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8092C60"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2F85F61"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D6FD37E" w14:textId="77777777" w:rsidR="00B56301" w:rsidRPr="00364545" w:rsidRDefault="00B56301" w:rsidP="00B37B65">
            <w:pPr>
              <w:jc w:val="right"/>
              <w:rPr>
                <w:rFonts w:ascii="Times New Roman" w:hAnsi="Times New Roman"/>
                <w:sz w:val="18"/>
                <w:szCs w:val="18"/>
              </w:rPr>
            </w:pPr>
            <w:r w:rsidRPr="00364545">
              <w:rPr>
                <w:sz w:val="18"/>
              </w:rPr>
              <w:t>NA</w:t>
            </w:r>
          </w:p>
        </w:tc>
      </w:tr>
    </w:tbl>
    <w:p w14:paraId="084261B2" w14:textId="77777777" w:rsidR="00B56301" w:rsidRPr="00364545" w:rsidRDefault="00B56301" w:rsidP="00B56301">
      <w:pPr>
        <w:spacing w:line="240" w:lineRule="atLeast"/>
        <w:jc w:val="left"/>
        <w:rPr>
          <w:rFonts w:cs="Arial"/>
        </w:rPr>
      </w:pPr>
    </w:p>
    <w:p w14:paraId="75AAA7B4" w14:textId="77777777" w:rsidR="00B56301" w:rsidRPr="00364545" w:rsidRDefault="00B56301" w:rsidP="00B56301">
      <w:pPr>
        <w:spacing w:line="240" w:lineRule="atLeast"/>
        <w:jc w:val="left"/>
        <w:rPr>
          <w:rFonts w:cs="Arial"/>
        </w:rPr>
      </w:pPr>
    </w:p>
    <w:p w14:paraId="2EF08D84" w14:textId="77777777" w:rsidR="00B56301" w:rsidRPr="00364545" w:rsidRDefault="00B56301" w:rsidP="00B56301">
      <w:pPr>
        <w:spacing w:line="240" w:lineRule="atLeast"/>
        <w:jc w:val="left"/>
        <w:rPr>
          <w:rFonts w:cs="Arial"/>
        </w:rPr>
      </w:pPr>
      <w:r w:rsidRPr="00364545">
        <w:br w:type="page"/>
      </w:r>
    </w:p>
    <w:tbl>
      <w:tblPr>
        <w:tblW w:w="975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364545" w14:paraId="7765259C"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D71D4CC"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GREENHOUSE GAS EMISSIONS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2FD79C3"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01351E03"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DCD096B"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DEF2DC7"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2004</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0BBC23DB"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BB84613"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2006</w:t>
            </w:r>
          </w:p>
        </w:tc>
      </w:tr>
      <w:tr w:rsidR="00B56301" w:rsidRPr="00364545" w14:paraId="2F6407D6"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7E60C249" w14:textId="36C04E5D"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without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10A6B05" w14:textId="77777777" w:rsidR="00B56301" w:rsidRPr="00364545" w:rsidRDefault="00B56301" w:rsidP="00B37B65">
            <w:pPr>
              <w:jc w:val="right"/>
              <w:rPr>
                <w:rFonts w:ascii="Times New Roman" w:hAnsi="Times New Roman"/>
                <w:sz w:val="18"/>
                <w:szCs w:val="18"/>
              </w:rPr>
            </w:pPr>
            <w:r w:rsidRPr="00364545">
              <w:rPr>
                <w:sz w:val="18"/>
              </w:rPr>
              <w:t>419885,47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67B88C6F" w14:textId="77777777" w:rsidR="00B56301" w:rsidRPr="00364545" w:rsidRDefault="00B56301" w:rsidP="00B37B65">
            <w:pPr>
              <w:jc w:val="right"/>
              <w:rPr>
                <w:rFonts w:ascii="Times New Roman" w:hAnsi="Times New Roman"/>
                <w:sz w:val="18"/>
                <w:szCs w:val="18"/>
              </w:rPr>
            </w:pPr>
            <w:r w:rsidRPr="00364545">
              <w:rPr>
                <w:sz w:val="18"/>
              </w:rPr>
              <w:t>416153,26</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DF07490" w14:textId="77777777" w:rsidR="00B56301" w:rsidRPr="00364545" w:rsidRDefault="00B56301" w:rsidP="00B37B65">
            <w:pPr>
              <w:jc w:val="right"/>
              <w:rPr>
                <w:rFonts w:ascii="Times New Roman" w:hAnsi="Times New Roman"/>
                <w:sz w:val="18"/>
                <w:szCs w:val="18"/>
              </w:rPr>
            </w:pPr>
            <w:r w:rsidRPr="00364545">
              <w:rPr>
                <w:sz w:val="18"/>
              </w:rPr>
              <w:t>421022,75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CB483E9" w14:textId="77777777" w:rsidR="00B56301" w:rsidRPr="00364545" w:rsidRDefault="00B56301" w:rsidP="00B37B65">
            <w:pPr>
              <w:jc w:val="right"/>
              <w:rPr>
                <w:rFonts w:ascii="Times New Roman" w:hAnsi="Times New Roman"/>
                <w:sz w:val="18"/>
                <w:szCs w:val="18"/>
              </w:rPr>
            </w:pPr>
            <w:r w:rsidRPr="00364545">
              <w:rPr>
                <w:sz w:val="18"/>
              </w:rPr>
              <w:t>422718,52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4358C6A" w14:textId="77777777" w:rsidR="00B56301" w:rsidRPr="00364545" w:rsidRDefault="00B56301" w:rsidP="00B37B65">
            <w:pPr>
              <w:jc w:val="right"/>
              <w:rPr>
                <w:rFonts w:ascii="Times New Roman" w:hAnsi="Times New Roman"/>
                <w:sz w:val="18"/>
                <w:szCs w:val="18"/>
              </w:rPr>
            </w:pPr>
            <w:r w:rsidRPr="00364545">
              <w:rPr>
                <w:sz w:val="18"/>
              </w:rPr>
              <w:t>425443,53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5588146" w14:textId="77777777" w:rsidR="00B56301" w:rsidRPr="00364545" w:rsidRDefault="00B56301" w:rsidP="00B37B65">
            <w:pPr>
              <w:jc w:val="right"/>
              <w:rPr>
                <w:rFonts w:ascii="Times New Roman" w:hAnsi="Times New Roman"/>
                <w:sz w:val="18"/>
                <w:szCs w:val="18"/>
              </w:rPr>
            </w:pPr>
            <w:r w:rsidRPr="00364545">
              <w:rPr>
                <w:sz w:val="18"/>
              </w:rPr>
              <w:t>415775,70</w:t>
            </w:r>
          </w:p>
        </w:tc>
      </w:tr>
      <w:tr w:rsidR="00B56301" w:rsidRPr="00364545" w14:paraId="66976513"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2B8D796E" w14:textId="37445008"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D783EE2" w14:textId="77777777" w:rsidR="00B56301" w:rsidRPr="00364545" w:rsidRDefault="00B56301" w:rsidP="00B37B65">
            <w:pPr>
              <w:jc w:val="right"/>
              <w:rPr>
                <w:rFonts w:ascii="Times New Roman" w:hAnsi="Times New Roman"/>
                <w:sz w:val="18"/>
                <w:szCs w:val="18"/>
              </w:rPr>
            </w:pPr>
            <w:r w:rsidRPr="00364545">
              <w:rPr>
                <w:sz w:val="18"/>
              </w:rPr>
              <w:t>383657,73</w:t>
            </w:r>
          </w:p>
        </w:tc>
        <w:tc>
          <w:tcPr>
            <w:tcW w:w="992" w:type="dxa"/>
            <w:tcBorders>
              <w:top w:val="nil"/>
              <w:left w:val="nil"/>
              <w:bottom w:val="single" w:sz="4" w:space="0" w:color="auto"/>
              <w:right w:val="single" w:sz="4" w:space="0" w:color="auto"/>
            </w:tcBorders>
            <w:shd w:val="clear" w:color="000000" w:fill="CCFFFF"/>
            <w:noWrap/>
            <w:vAlign w:val="bottom"/>
            <w:hideMark/>
          </w:tcPr>
          <w:p w14:paraId="391160B5" w14:textId="77777777" w:rsidR="00B56301" w:rsidRPr="00364545" w:rsidRDefault="00B56301" w:rsidP="00B37B65">
            <w:pPr>
              <w:jc w:val="right"/>
              <w:rPr>
                <w:rFonts w:ascii="Times New Roman" w:hAnsi="Times New Roman"/>
                <w:sz w:val="18"/>
                <w:szCs w:val="18"/>
              </w:rPr>
            </w:pPr>
            <w:r w:rsidRPr="00364545">
              <w:rPr>
                <w:sz w:val="18"/>
              </w:rPr>
              <w:t>371250,08</w:t>
            </w:r>
          </w:p>
        </w:tc>
        <w:tc>
          <w:tcPr>
            <w:tcW w:w="992" w:type="dxa"/>
            <w:tcBorders>
              <w:top w:val="nil"/>
              <w:left w:val="nil"/>
              <w:bottom w:val="single" w:sz="4" w:space="0" w:color="auto"/>
              <w:right w:val="single" w:sz="4" w:space="0" w:color="auto"/>
            </w:tcBorders>
            <w:shd w:val="clear" w:color="000000" w:fill="CCFFFF"/>
            <w:noWrap/>
            <w:vAlign w:val="bottom"/>
            <w:hideMark/>
          </w:tcPr>
          <w:p w14:paraId="6AB7DC4A" w14:textId="77777777" w:rsidR="00B56301" w:rsidRPr="00364545" w:rsidRDefault="00B56301" w:rsidP="00B37B65">
            <w:pPr>
              <w:jc w:val="right"/>
              <w:rPr>
                <w:rFonts w:ascii="Times New Roman" w:hAnsi="Times New Roman"/>
                <w:sz w:val="18"/>
                <w:szCs w:val="18"/>
              </w:rPr>
            </w:pPr>
            <w:r w:rsidRPr="00364545">
              <w:rPr>
                <w:sz w:val="18"/>
              </w:rPr>
              <w:t>373223,76</w:t>
            </w:r>
          </w:p>
        </w:tc>
        <w:tc>
          <w:tcPr>
            <w:tcW w:w="992" w:type="dxa"/>
            <w:tcBorders>
              <w:top w:val="nil"/>
              <w:left w:val="nil"/>
              <w:bottom w:val="single" w:sz="4" w:space="0" w:color="auto"/>
              <w:right w:val="single" w:sz="4" w:space="0" w:color="auto"/>
            </w:tcBorders>
            <w:shd w:val="clear" w:color="000000" w:fill="CCFFFF"/>
            <w:noWrap/>
            <w:vAlign w:val="bottom"/>
            <w:hideMark/>
          </w:tcPr>
          <w:p w14:paraId="2A8AE93D" w14:textId="77777777" w:rsidR="00B56301" w:rsidRPr="00364545" w:rsidRDefault="00B56301" w:rsidP="00B37B65">
            <w:pPr>
              <w:jc w:val="right"/>
              <w:rPr>
                <w:rFonts w:ascii="Times New Roman" w:hAnsi="Times New Roman"/>
                <w:sz w:val="18"/>
                <w:szCs w:val="18"/>
              </w:rPr>
            </w:pPr>
            <w:r w:rsidRPr="00364545">
              <w:rPr>
                <w:sz w:val="18"/>
              </w:rPr>
              <w:t>371943,09</w:t>
            </w:r>
          </w:p>
        </w:tc>
        <w:tc>
          <w:tcPr>
            <w:tcW w:w="992" w:type="dxa"/>
            <w:tcBorders>
              <w:top w:val="nil"/>
              <w:left w:val="nil"/>
              <w:bottom w:val="single" w:sz="4" w:space="0" w:color="auto"/>
              <w:right w:val="single" w:sz="4" w:space="0" w:color="auto"/>
            </w:tcBorders>
            <w:shd w:val="clear" w:color="000000" w:fill="CCFFFF"/>
            <w:noWrap/>
            <w:vAlign w:val="bottom"/>
            <w:hideMark/>
          </w:tcPr>
          <w:p w14:paraId="2E228148" w14:textId="77777777" w:rsidR="00B56301" w:rsidRPr="00364545" w:rsidRDefault="00B56301" w:rsidP="00B37B65">
            <w:pPr>
              <w:jc w:val="right"/>
              <w:rPr>
                <w:rFonts w:ascii="Times New Roman" w:hAnsi="Times New Roman"/>
                <w:sz w:val="18"/>
                <w:szCs w:val="18"/>
              </w:rPr>
            </w:pPr>
            <w:r w:rsidRPr="00364545">
              <w:rPr>
                <w:sz w:val="18"/>
              </w:rPr>
              <w:t>373972,04</w:t>
            </w:r>
          </w:p>
        </w:tc>
        <w:tc>
          <w:tcPr>
            <w:tcW w:w="992" w:type="dxa"/>
            <w:tcBorders>
              <w:top w:val="nil"/>
              <w:left w:val="nil"/>
              <w:bottom w:val="single" w:sz="4" w:space="0" w:color="auto"/>
              <w:right w:val="single" w:sz="4" w:space="0" w:color="auto"/>
            </w:tcBorders>
            <w:shd w:val="clear" w:color="000000" w:fill="CCFFFF"/>
            <w:noWrap/>
            <w:vAlign w:val="bottom"/>
            <w:hideMark/>
          </w:tcPr>
          <w:p w14:paraId="7CC682DD" w14:textId="77777777" w:rsidR="00B56301" w:rsidRPr="00364545" w:rsidRDefault="00B56301" w:rsidP="00B37B65">
            <w:pPr>
              <w:jc w:val="right"/>
              <w:rPr>
                <w:rFonts w:ascii="Times New Roman" w:hAnsi="Times New Roman"/>
                <w:sz w:val="18"/>
                <w:szCs w:val="18"/>
              </w:rPr>
            </w:pPr>
            <w:r w:rsidRPr="00364545">
              <w:rPr>
                <w:sz w:val="18"/>
              </w:rPr>
              <w:t>362637,76</w:t>
            </w:r>
          </w:p>
        </w:tc>
      </w:tr>
      <w:tr w:rsidR="00B56301" w:rsidRPr="00364545" w14:paraId="5E4B8591"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590D6F6E" w14:textId="49C5FA4E"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without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378AD85" w14:textId="77777777" w:rsidR="00B56301" w:rsidRPr="00364545" w:rsidRDefault="00B56301" w:rsidP="00B37B65">
            <w:pPr>
              <w:jc w:val="right"/>
              <w:rPr>
                <w:rFonts w:ascii="Times New Roman" w:hAnsi="Times New Roman"/>
                <w:sz w:val="18"/>
                <w:szCs w:val="18"/>
              </w:rPr>
            </w:pPr>
            <w:r w:rsidRPr="00364545">
              <w:rPr>
                <w:sz w:val="18"/>
              </w:rPr>
              <w:t>68469,11</w:t>
            </w:r>
          </w:p>
        </w:tc>
        <w:tc>
          <w:tcPr>
            <w:tcW w:w="992" w:type="dxa"/>
            <w:tcBorders>
              <w:top w:val="nil"/>
              <w:left w:val="nil"/>
              <w:bottom w:val="single" w:sz="4" w:space="0" w:color="auto"/>
              <w:right w:val="single" w:sz="4" w:space="0" w:color="auto"/>
            </w:tcBorders>
            <w:shd w:val="clear" w:color="000000" w:fill="CCFFFF"/>
            <w:noWrap/>
            <w:vAlign w:val="bottom"/>
            <w:hideMark/>
          </w:tcPr>
          <w:p w14:paraId="77A5A9FE" w14:textId="77777777" w:rsidR="00B56301" w:rsidRPr="00364545" w:rsidRDefault="00B56301" w:rsidP="00B37B65">
            <w:pPr>
              <w:jc w:val="right"/>
              <w:rPr>
                <w:rFonts w:ascii="Times New Roman" w:hAnsi="Times New Roman"/>
                <w:sz w:val="18"/>
                <w:szCs w:val="18"/>
              </w:rPr>
            </w:pPr>
            <w:r w:rsidRPr="00364545">
              <w:rPr>
                <w:sz w:val="18"/>
              </w:rPr>
              <w:t>66886,64</w:t>
            </w:r>
          </w:p>
        </w:tc>
        <w:tc>
          <w:tcPr>
            <w:tcW w:w="992" w:type="dxa"/>
            <w:tcBorders>
              <w:top w:val="nil"/>
              <w:left w:val="nil"/>
              <w:bottom w:val="single" w:sz="4" w:space="0" w:color="auto"/>
              <w:right w:val="single" w:sz="4" w:space="0" w:color="auto"/>
            </w:tcBorders>
            <w:shd w:val="clear" w:color="000000" w:fill="CCFFFF"/>
            <w:noWrap/>
            <w:vAlign w:val="bottom"/>
            <w:hideMark/>
          </w:tcPr>
          <w:p w14:paraId="29777E05" w14:textId="77777777" w:rsidR="00B56301" w:rsidRPr="00364545" w:rsidRDefault="00B56301" w:rsidP="00B37B65">
            <w:pPr>
              <w:jc w:val="right"/>
              <w:rPr>
                <w:rFonts w:ascii="Times New Roman" w:hAnsi="Times New Roman"/>
                <w:sz w:val="18"/>
                <w:szCs w:val="18"/>
              </w:rPr>
            </w:pPr>
            <w:r w:rsidRPr="00364545">
              <w:rPr>
                <w:sz w:val="18"/>
              </w:rPr>
              <w:t>65915,61</w:t>
            </w:r>
          </w:p>
        </w:tc>
        <w:tc>
          <w:tcPr>
            <w:tcW w:w="992" w:type="dxa"/>
            <w:tcBorders>
              <w:top w:val="nil"/>
              <w:left w:val="nil"/>
              <w:bottom w:val="single" w:sz="4" w:space="0" w:color="auto"/>
              <w:right w:val="single" w:sz="4" w:space="0" w:color="auto"/>
            </w:tcBorders>
            <w:shd w:val="clear" w:color="000000" w:fill="CCFFFF"/>
            <w:noWrap/>
            <w:vAlign w:val="bottom"/>
            <w:hideMark/>
          </w:tcPr>
          <w:p w14:paraId="682A4C52" w14:textId="77777777" w:rsidR="00B56301" w:rsidRPr="00364545" w:rsidRDefault="00B56301" w:rsidP="00B37B65">
            <w:pPr>
              <w:jc w:val="right"/>
              <w:rPr>
                <w:rFonts w:ascii="Times New Roman" w:hAnsi="Times New Roman"/>
                <w:sz w:val="18"/>
                <w:szCs w:val="18"/>
              </w:rPr>
            </w:pPr>
            <w:r w:rsidRPr="00364545">
              <w:rPr>
                <w:sz w:val="18"/>
              </w:rPr>
              <w:t>64547,96</w:t>
            </w:r>
          </w:p>
        </w:tc>
        <w:tc>
          <w:tcPr>
            <w:tcW w:w="992" w:type="dxa"/>
            <w:tcBorders>
              <w:top w:val="nil"/>
              <w:left w:val="nil"/>
              <w:bottom w:val="single" w:sz="4" w:space="0" w:color="auto"/>
              <w:right w:val="single" w:sz="4" w:space="0" w:color="auto"/>
            </w:tcBorders>
            <w:shd w:val="clear" w:color="000000" w:fill="CCFFFF"/>
            <w:noWrap/>
            <w:vAlign w:val="bottom"/>
            <w:hideMark/>
          </w:tcPr>
          <w:p w14:paraId="39BEE312" w14:textId="77777777" w:rsidR="00B56301" w:rsidRPr="00364545" w:rsidRDefault="00B56301" w:rsidP="00B37B65">
            <w:pPr>
              <w:jc w:val="right"/>
              <w:rPr>
                <w:rFonts w:ascii="Times New Roman" w:hAnsi="Times New Roman"/>
                <w:sz w:val="18"/>
                <w:szCs w:val="18"/>
              </w:rPr>
            </w:pPr>
            <w:r w:rsidRPr="00364545">
              <w:rPr>
                <w:sz w:val="18"/>
              </w:rPr>
              <w:t>63631,54</w:t>
            </w:r>
          </w:p>
        </w:tc>
        <w:tc>
          <w:tcPr>
            <w:tcW w:w="992" w:type="dxa"/>
            <w:tcBorders>
              <w:top w:val="nil"/>
              <w:left w:val="nil"/>
              <w:bottom w:val="single" w:sz="4" w:space="0" w:color="auto"/>
              <w:right w:val="single" w:sz="4" w:space="0" w:color="auto"/>
            </w:tcBorders>
            <w:shd w:val="clear" w:color="000000" w:fill="CCFFFF"/>
            <w:noWrap/>
            <w:vAlign w:val="bottom"/>
            <w:hideMark/>
          </w:tcPr>
          <w:p w14:paraId="6B19F7FD" w14:textId="77777777" w:rsidR="00B56301" w:rsidRPr="00364545" w:rsidRDefault="00B56301" w:rsidP="00B37B65">
            <w:pPr>
              <w:jc w:val="right"/>
              <w:rPr>
                <w:rFonts w:ascii="Times New Roman" w:hAnsi="Times New Roman"/>
                <w:sz w:val="18"/>
                <w:szCs w:val="18"/>
              </w:rPr>
            </w:pPr>
            <w:r w:rsidRPr="00364545">
              <w:rPr>
                <w:sz w:val="18"/>
              </w:rPr>
              <w:t>63117,29</w:t>
            </w:r>
          </w:p>
        </w:tc>
      </w:tr>
      <w:tr w:rsidR="00B56301" w:rsidRPr="00364545" w14:paraId="7E5C849F"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24FF1CE" w14:textId="22E4E799"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FFC356B" w14:textId="77777777" w:rsidR="00B56301" w:rsidRPr="00364545" w:rsidRDefault="00B56301" w:rsidP="00B37B65">
            <w:pPr>
              <w:jc w:val="right"/>
              <w:rPr>
                <w:rFonts w:ascii="Times New Roman" w:hAnsi="Times New Roman"/>
                <w:sz w:val="18"/>
                <w:szCs w:val="18"/>
              </w:rPr>
            </w:pPr>
            <w:r w:rsidRPr="00364545">
              <w:rPr>
                <w:sz w:val="18"/>
              </w:rPr>
              <w:t>69939,44</w:t>
            </w:r>
          </w:p>
        </w:tc>
        <w:tc>
          <w:tcPr>
            <w:tcW w:w="992" w:type="dxa"/>
            <w:tcBorders>
              <w:top w:val="nil"/>
              <w:left w:val="nil"/>
              <w:bottom w:val="single" w:sz="4" w:space="0" w:color="auto"/>
              <w:right w:val="single" w:sz="4" w:space="0" w:color="auto"/>
            </w:tcBorders>
            <w:shd w:val="clear" w:color="000000" w:fill="CCFFFF"/>
            <w:noWrap/>
            <w:vAlign w:val="bottom"/>
            <w:hideMark/>
          </w:tcPr>
          <w:p w14:paraId="299A0B96" w14:textId="77777777" w:rsidR="00B56301" w:rsidRPr="00364545" w:rsidRDefault="00B56301" w:rsidP="00B37B65">
            <w:pPr>
              <w:jc w:val="right"/>
              <w:rPr>
                <w:rFonts w:ascii="Times New Roman" w:hAnsi="Times New Roman"/>
                <w:sz w:val="18"/>
                <w:szCs w:val="18"/>
              </w:rPr>
            </w:pPr>
            <w:r w:rsidRPr="00364545">
              <w:rPr>
                <w:sz w:val="18"/>
              </w:rPr>
              <w:t>68214,93</w:t>
            </w:r>
          </w:p>
        </w:tc>
        <w:tc>
          <w:tcPr>
            <w:tcW w:w="992" w:type="dxa"/>
            <w:tcBorders>
              <w:top w:val="nil"/>
              <w:left w:val="nil"/>
              <w:bottom w:val="single" w:sz="4" w:space="0" w:color="auto"/>
              <w:right w:val="single" w:sz="4" w:space="0" w:color="auto"/>
            </w:tcBorders>
            <w:shd w:val="clear" w:color="000000" w:fill="CCFFFF"/>
            <w:noWrap/>
            <w:vAlign w:val="bottom"/>
            <w:hideMark/>
          </w:tcPr>
          <w:p w14:paraId="15BB386F" w14:textId="77777777" w:rsidR="00B56301" w:rsidRPr="00364545" w:rsidRDefault="00B56301" w:rsidP="00B37B65">
            <w:pPr>
              <w:jc w:val="right"/>
              <w:rPr>
                <w:rFonts w:ascii="Times New Roman" w:hAnsi="Times New Roman"/>
                <w:sz w:val="18"/>
                <w:szCs w:val="18"/>
              </w:rPr>
            </w:pPr>
            <w:r w:rsidRPr="00364545">
              <w:rPr>
                <w:sz w:val="18"/>
              </w:rPr>
              <w:t>67255,80</w:t>
            </w:r>
          </w:p>
        </w:tc>
        <w:tc>
          <w:tcPr>
            <w:tcW w:w="992" w:type="dxa"/>
            <w:tcBorders>
              <w:top w:val="nil"/>
              <w:left w:val="nil"/>
              <w:bottom w:val="single" w:sz="4" w:space="0" w:color="auto"/>
              <w:right w:val="single" w:sz="4" w:space="0" w:color="auto"/>
            </w:tcBorders>
            <w:shd w:val="clear" w:color="000000" w:fill="CCFFFF"/>
            <w:noWrap/>
            <w:vAlign w:val="bottom"/>
            <w:hideMark/>
          </w:tcPr>
          <w:p w14:paraId="4A70C3FA" w14:textId="77777777" w:rsidR="00B56301" w:rsidRPr="00364545" w:rsidRDefault="00B56301" w:rsidP="00B37B65">
            <w:pPr>
              <w:jc w:val="right"/>
              <w:rPr>
                <w:rFonts w:ascii="Times New Roman" w:hAnsi="Times New Roman"/>
                <w:sz w:val="18"/>
                <w:szCs w:val="18"/>
              </w:rPr>
            </w:pPr>
            <w:r w:rsidRPr="00364545">
              <w:rPr>
                <w:sz w:val="18"/>
              </w:rPr>
              <w:t>65740,98</w:t>
            </w:r>
          </w:p>
        </w:tc>
        <w:tc>
          <w:tcPr>
            <w:tcW w:w="992" w:type="dxa"/>
            <w:tcBorders>
              <w:top w:val="nil"/>
              <w:left w:val="nil"/>
              <w:bottom w:val="single" w:sz="4" w:space="0" w:color="auto"/>
              <w:right w:val="single" w:sz="4" w:space="0" w:color="auto"/>
            </w:tcBorders>
            <w:shd w:val="clear" w:color="000000" w:fill="CCFFFF"/>
            <w:noWrap/>
            <w:vAlign w:val="bottom"/>
            <w:hideMark/>
          </w:tcPr>
          <w:p w14:paraId="631B3CDD" w14:textId="77777777" w:rsidR="00B56301" w:rsidRPr="00364545" w:rsidRDefault="00B56301" w:rsidP="00B37B65">
            <w:pPr>
              <w:jc w:val="right"/>
              <w:rPr>
                <w:rFonts w:ascii="Times New Roman" w:hAnsi="Times New Roman"/>
                <w:sz w:val="18"/>
                <w:szCs w:val="18"/>
              </w:rPr>
            </w:pPr>
            <w:r w:rsidRPr="00364545">
              <w:rPr>
                <w:sz w:val="18"/>
              </w:rPr>
              <w:t>64820,40</w:t>
            </w:r>
          </w:p>
        </w:tc>
        <w:tc>
          <w:tcPr>
            <w:tcW w:w="992" w:type="dxa"/>
            <w:tcBorders>
              <w:top w:val="nil"/>
              <w:left w:val="nil"/>
              <w:bottom w:val="single" w:sz="4" w:space="0" w:color="auto"/>
              <w:right w:val="single" w:sz="4" w:space="0" w:color="auto"/>
            </w:tcBorders>
            <w:shd w:val="clear" w:color="000000" w:fill="CCFFFF"/>
            <w:noWrap/>
            <w:vAlign w:val="bottom"/>
            <w:hideMark/>
          </w:tcPr>
          <w:p w14:paraId="26FACB78" w14:textId="77777777" w:rsidR="00B56301" w:rsidRPr="00364545" w:rsidRDefault="00B56301" w:rsidP="00B37B65">
            <w:pPr>
              <w:jc w:val="right"/>
              <w:rPr>
                <w:rFonts w:ascii="Times New Roman" w:hAnsi="Times New Roman"/>
                <w:sz w:val="18"/>
                <w:szCs w:val="18"/>
              </w:rPr>
            </w:pPr>
            <w:r w:rsidRPr="00364545">
              <w:rPr>
                <w:sz w:val="18"/>
              </w:rPr>
              <w:t>64259,42</w:t>
            </w:r>
          </w:p>
        </w:tc>
      </w:tr>
      <w:tr w:rsidR="00B56301" w:rsidRPr="00364545" w14:paraId="062A1DFD"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E58B349" w14:textId="66826C7C" w:rsidR="00B56301" w:rsidRPr="00364545" w:rsidRDefault="00F80CAB" w:rsidP="00B37B65">
            <w:pPr>
              <w:jc w:val="left"/>
              <w:rPr>
                <w:rFonts w:ascii="Times New Roman" w:hAnsi="Times New Roman"/>
                <w:sz w:val="18"/>
                <w:szCs w:val="18"/>
              </w:rPr>
            </w:pPr>
            <w:r w:rsidRPr="00364545">
              <w:t>N</w:t>
            </w:r>
            <w:r w:rsidRPr="00364545">
              <w:rPr>
                <w:vertAlign w:val="subscript"/>
              </w:rPr>
              <w:t>2</w:t>
            </w:r>
            <w:r w:rsidRPr="00364545">
              <w:t xml:space="preserve">O </w:t>
            </w:r>
            <w:r w:rsidRPr="00364545">
              <w:rPr>
                <w:rFonts w:ascii="Times New Roman" w:hAnsi="Times New Roman"/>
                <w:sz w:val="18"/>
              </w:rPr>
              <w:t xml:space="preserve">emissions without </w:t>
            </w:r>
            <w:r w:rsidRPr="00364545">
              <w:t>N</w:t>
            </w:r>
            <w:r w:rsidRPr="00364545">
              <w:rPr>
                <w:vertAlign w:val="subscript"/>
              </w:rPr>
              <w:t>2</w:t>
            </w:r>
            <w:r w:rsidRPr="00364545">
              <w:t xml:space="preserve">O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BE2C42B" w14:textId="77777777" w:rsidR="00B56301" w:rsidRPr="00364545" w:rsidRDefault="00B56301" w:rsidP="00B37B65">
            <w:pPr>
              <w:jc w:val="right"/>
              <w:rPr>
                <w:rFonts w:ascii="Times New Roman" w:hAnsi="Times New Roman"/>
                <w:sz w:val="18"/>
                <w:szCs w:val="18"/>
              </w:rPr>
            </w:pPr>
            <w:r w:rsidRPr="00364545">
              <w:rPr>
                <w:sz w:val="18"/>
              </w:rPr>
              <w:t>53370,79</w:t>
            </w:r>
          </w:p>
        </w:tc>
        <w:tc>
          <w:tcPr>
            <w:tcW w:w="992" w:type="dxa"/>
            <w:tcBorders>
              <w:top w:val="nil"/>
              <w:left w:val="nil"/>
              <w:bottom w:val="single" w:sz="4" w:space="0" w:color="auto"/>
              <w:right w:val="single" w:sz="4" w:space="0" w:color="auto"/>
            </w:tcBorders>
            <w:shd w:val="clear" w:color="000000" w:fill="CCFFFF"/>
            <w:noWrap/>
            <w:vAlign w:val="bottom"/>
            <w:hideMark/>
          </w:tcPr>
          <w:p w14:paraId="758C9EDA" w14:textId="77777777" w:rsidR="00B56301" w:rsidRPr="00364545" w:rsidRDefault="00B56301" w:rsidP="00B37B65">
            <w:pPr>
              <w:jc w:val="right"/>
              <w:rPr>
                <w:rFonts w:ascii="Times New Roman" w:hAnsi="Times New Roman"/>
                <w:sz w:val="18"/>
                <w:szCs w:val="18"/>
              </w:rPr>
            </w:pPr>
            <w:r w:rsidRPr="00364545">
              <w:rPr>
                <w:sz w:val="18"/>
              </w:rPr>
              <w:t>50639,52</w:t>
            </w:r>
          </w:p>
        </w:tc>
        <w:tc>
          <w:tcPr>
            <w:tcW w:w="992" w:type="dxa"/>
            <w:tcBorders>
              <w:top w:val="nil"/>
              <w:left w:val="nil"/>
              <w:bottom w:val="single" w:sz="4" w:space="0" w:color="auto"/>
              <w:right w:val="single" w:sz="4" w:space="0" w:color="auto"/>
            </w:tcBorders>
            <w:shd w:val="clear" w:color="000000" w:fill="CCFFFF"/>
            <w:noWrap/>
            <w:vAlign w:val="bottom"/>
            <w:hideMark/>
          </w:tcPr>
          <w:p w14:paraId="2EB70D81" w14:textId="77777777" w:rsidR="00B56301" w:rsidRPr="00364545" w:rsidRDefault="00B56301" w:rsidP="00B37B65">
            <w:pPr>
              <w:jc w:val="right"/>
              <w:rPr>
                <w:rFonts w:ascii="Times New Roman" w:hAnsi="Times New Roman"/>
                <w:sz w:val="18"/>
                <w:szCs w:val="18"/>
              </w:rPr>
            </w:pPr>
            <w:r w:rsidRPr="00364545">
              <w:rPr>
                <w:sz w:val="18"/>
              </w:rPr>
              <w:t>48860,84</w:t>
            </w:r>
          </w:p>
        </w:tc>
        <w:tc>
          <w:tcPr>
            <w:tcW w:w="992" w:type="dxa"/>
            <w:tcBorders>
              <w:top w:val="nil"/>
              <w:left w:val="nil"/>
              <w:bottom w:val="single" w:sz="4" w:space="0" w:color="auto"/>
              <w:right w:val="single" w:sz="4" w:space="0" w:color="auto"/>
            </w:tcBorders>
            <w:shd w:val="clear" w:color="000000" w:fill="CCFFFF"/>
            <w:noWrap/>
            <w:vAlign w:val="bottom"/>
            <w:hideMark/>
          </w:tcPr>
          <w:p w14:paraId="3F8DCE87" w14:textId="77777777" w:rsidR="00B56301" w:rsidRPr="00364545" w:rsidRDefault="00B56301" w:rsidP="00B37B65">
            <w:pPr>
              <w:jc w:val="right"/>
              <w:rPr>
                <w:rFonts w:ascii="Times New Roman" w:hAnsi="Times New Roman"/>
                <w:sz w:val="18"/>
                <w:szCs w:val="18"/>
              </w:rPr>
            </w:pPr>
            <w:r w:rsidRPr="00364545">
              <w:rPr>
                <w:sz w:val="18"/>
              </w:rPr>
              <w:t>47200,39</w:t>
            </w:r>
          </w:p>
        </w:tc>
        <w:tc>
          <w:tcPr>
            <w:tcW w:w="992" w:type="dxa"/>
            <w:tcBorders>
              <w:top w:val="nil"/>
              <w:left w:val="nil"/>
              <w:bottom w:val="single" w:sz="4" w:space="0" w:color="auto"/>
              <w:right w:val="single" w:sz="4" w:space="0" w:color="auto"/>
            </w:tcBorders>
            <w:shd w:val="clear" w:color="000000" w:fill="CCFFFF"/>
            <w:noWrap/>
            <w:vAlign w:val="bottom"/>
            <w:hideMark/>
          </w:tcPr>
          <w:p w14:paraId="3E38E184" w14:textId="77777777" w:rsidR="00B56301" w:rsidRPr="00364545" w:rsidRDefault="00B56301" w:rsidP="00B37B65">
            <w:pPr>
              <w:jc w:val="right"/>
              <w:rPr>
                <w:rFonts w:ascii="Times New Roman" w:hAnsi="Times New Roman"/>
                <w:sz w:val="18"/>
                <w:szCs w:val="18"/>
              </w:rPr>
            </w:pPr>
            <w:r w:rsidRPr="00364545">
              <w:rPr>
                <w:sz w:val="18"/>
              </w:rPr>
              <w:t>46307,45</w:t>
            </w:r>
          </w:p>
        </w:tc>
        <w:tc>
          <w:tcPr>
            <w:tcW w:w="992" w:type="dxa"/>
            <w:tcBorders>
              <w:top w:val="nil"/>
              <w:left w:val="nil"/>
              <w:bottom w:val="single" w:sz="4" w:space="0" w:color="auto"/>
              <w:right w:val="single" w:sz="4" w:space="0" w:color="auto"/>
            </w:tcBorders>
            <w:shd w:val="clear" w:color="000000" w:fill="CCFFFF"/>
            <w:noWrap/>
            <w:vAlign w:val="bottom"/>
            <w:hideMark/>
          </w:tcPr>
          <w:p w14:paraId="273061F1" w14:textId="77777777" w:rsidR="00B56301" w:rsidRPr="00364545" w:rsidRDefault="00B56301" w:rsidP="00B37B65">
            <w:pPr>
              <w:jc w:val="right"/>
              <w:rPr>
                <w:rFonts w:ascii="Times New Roman" w:hAnsi="Times New Roman"/>
                <w:sz w:val="18"/>
                <w:szCs w:val="18"/>
              </w:rPr>
            </w:pPr>
            <w:r w:rsidRPr="00364545">
              <w:rPr>
                <w:sz w:val="18"/>
              </w:rPr>
              <w:t>44917,83</w:t>
            </w:r>
          </w:p>
        </w:tc>
      </w:tr>
      <w:tr w:rsidR="00B56301" w:rsidRPr="00364545" w14:paraId="490DBD3A"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8CD38AC" w14:textId="7E0D24D3" w:rsidR="00B56301" w:rsidRPr="00364545" w:rsidRDefault="00F80CAB" w:rsidP="00B37B65">
            <w:pPr>
              <w:jc w:val="left"/>
              <w:rPr>
                <w:rFonts w:ascii="Times New Roman" w:hAnsi="Times New Roman"/>
                <w:sz w:val="18"/>
                <w:szCs w:val="18"/>
              </w:rPr>
            </w:pP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 xml:space="preserve">emissions with </w:t>
            </w: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403D616" w14:textId="77777777" w:rsidR="00B56301" w:rsidRPr="00364545" w:rsidRDefault="00B56301" w:rsidP="00B37B65">
            <w:pPr>
              <w:jc w:val="right"/>
              <w:rPr>
                <w:rFonts w:ascii="Times New Roman" w:hAnsi="Times New Roman"/>
                <w:sz w:val="18"/>
                <w:szCs w:val="18"/>
              </w:rPr>
            </w:pPr>
            <w:r w:rsidRPr="00364545">
              <w:rPr>
                <w:sz w:val="18"/>
              </w:rPr>
              <w:t>56471,43</w:t>
            </w:r>
          </w:p>
        </w:tc>
        <w:tc>
          <w:tcPr>
            <w:tcW w:w="992" w:type="dxa"/>
            <w:tcBorders>
              <w:top w:val="nil"/>
              <w:left w:val="nil"/>
              <w:bottom w:val="single" w:sz="4" w:space="0" w:color="auto"/>
              <w:right w:val="single" w:sz="4" w:space="0" w:color="auto"/>
            </w:tcBorders>
            <w:shd w:val="clear" w:color="000000" w:fill="CCFFFF"/>
            <w:noWrap/>
            <w:vAlign w:val="bottom"/>
            <w:hideMark/>
          </w:tcPr>
          <w:p w14:paraId="7238B4EC" w14:textId="77777777" w:rsidR="00B56301" w:rsidRPr="00364545" w:rsidRDefault="00B56301" w:rsidP="00B37B65">
            <w:pPr>
              <w:jc w:val="right"/>
              <w:rPr>
                <w:rFonts w:ascii="Times New Roman" w:hAnsi="Times New Roman"/>
                <w:sz w:val="18"/>
                <w:szCs w:val="18"/>
              </w:rPr>
            </w:pPr>
            <w:r w:rsidRPr="00364545">
              <w:rPr>
                <w:sz w:val="18"/>
              </w:rPr>
              <w:t>53687,08</w:t>
            </w:r>
          </w:p>
        </w:tc>
        <w:tc>
          <w:tcPr>
            <w:tcW w:w="992" w:type="dxa"/>
            <w:tcBorders>
              <w:top w:val="nil"/>
              <w:left w:val="nil"/>
              <w:bottom w:val="single" w:sz="4" w:space="0" w:color="auto"/>
              <w:right w:val="single" w:sz="4" w:space="0" w:color="auto"/>
            </w:tcBorders>
            <w:shd w:val="clear" w:color="000000" w:fill="CCFFFF"/>
            <w:noWrap/>
            <w:vAlign w:val="bottom"/>
            <w:hideMark/>
          </w:tcPr>
          <w:p w14:paraId="0481C503" w14:textId="77777777" w:rsidR="00B56301" w:rsidRPr="00364545" w:rsidRDefault="00B56301" w:rsidP="00B37B65">
            <w:pPr>
              <w:jc w:val="right"/>
              <w:rPr>
                <w:rFonts w:ascii="Times New Roman" w:hAnsi="Times New Roman"/>
                <w:sz w:val="18"/>
                <w:szCs w:val="18"/>
              </w:rPr>
            </w:pPr>
            <w:r w:rsidRPr="00364545">
              <w:rPr>
                <w:sz w:val="18"/>
              </w:rPr>
              <w:t>51932,90</w:t>
            </w:r>
          </w:p>
        </w:tc>
        <w:tc>
          <w:tcPr>
            <w:tcW w:w="992" w:type="dxa"/>
            <w:tcBorders>
              <w:top w:val="nil"/>
              <w:left w:val="nil"/>
              <w:bottom w:val="single" w:sz="4" w:space="0" w:color="auto"/>
              <w:right w:val="single" w:sz="4" w:space="0" w:color="auto"/>
            </w:tcBorders>
            <w:shd w:val="clear" w:color="000000" w:fill="CCFFFF"/>
            <w:noWrap/>
            <w:vAlign w:val="bottom"/>
            <w:hideMark/>
          </w:tcPr>
          <w:p w14:paraId="016FC090" w14:textId="77777777" w:rsidR="00B56301" w:rsidRPr="00364545" w:rsidRDefault="00B56301" w:rsidP="00B37B65">
            <w:pPr>
              <w:jc w:val="right"/>
              <w:rPr>
                <w:rFonts w:ascii="Times New Roman" w:hAnsi="Times New Roman"/>
                <w:sz w:val="18"/>
                <w:szCs w:val="18"/>
              </w:rPr>
            </w:pPr>
            <w:r w:rsidRPr="00364545">
              <w:rPr>
                <w:sz w:val="18"/>
              </w:rPr>
              <w:t>50152,65</w:t>
            </w:r>
          </w:p>
        </w:tc>
        <w:tc>
          <w:tcPr>
            <w:tcW w:w="992" w:type="dxa"/>
            <w:tcBorders>
              <w:top w:val="nil"/>
              <w:left w:val="nil"/>
              <w:bottom w:val="single" w:sz="4" w:space="0" w:color="auto"/>
              <w:right w:val="single" w:sz="4" w:space="0" w:color="auto"/>
            </w:tcBorders>
            <w:shd w:val="clear" w:color="000000" w:fill="CCFFFF"/>
            <w:noWrap/>
            <w:vAlign w:val="bottom"/>
            <w:hideMark/>
          </w:tcPr>
          <w:p w14:paraId="373AF7D4" w14:textId="77777777" w:rsidR="00B56301" w:rsidRPr="00364545" w:rsidRDefault="00B56301" w:rsidP="00B37B65">
            <w:pPr>
              <w:jc w:val="right"/>
              <w:rPr>
                <w:rFonts w:ascii="Times New Roman" w:hAnsi="Times New Roman"/>
                <w:sz w:val="18"/>
                <w:szCs w:val="18"/>
              </w:rPr>
            </w:pPr>
            <w:r w:rsidRPr="00364545">
              <w:rPr>
                <w:sz w:val="18"/>
              </w:rPr>
              <w:t>49278,89</w:t>
            </w:r>
          </w:p>
        </w:tc>
        <w:tc>
          <w:tcPr>
            <w:tcW w:w="992" w:type="dxa"/>
            <w:tcBorders>
              <w:top w:val="nil"/>
              <w:left w:val="nil"/>
              <w:bottom w:val="single" w:sz="4" w:space="0" w:color="auto"/>
              <w:right w:val="single" w:sz="4" w:space="0" w:color="auto"/>
            </w:tcBorders>
            <w:shd w:val="clear" w:color="000000" w:fill="CCFFFF"/>
            <w:noWrap/>
            <w:vAlign w:val="bottom"/>
            <w:hideMark/>
          </w:tcPr>
          <w:p w14:paraId="6C425D9A" w14:textId="77777777" w:rsidR="00B56301" w:rsidRPr="00364545" w:rsidRDefault="00B56301" w:rsidP="00B37B65">
            <w:pPr>
              <w:jc w:val="right"/>
              <w:rPr>
                <w:rFonts w:ascii="Times New Roman" w:hAnsi="Times New Roman"/>
                <w:sz w:val="18"/>
                <w:szCs w:val="18"/>
              </w:rPr>
            </w:pPr>
            <w:r w:rsidRPr="00364545">
              <w:rPr>
                <w:sz w:val="18"/>
              </w:rPr>
              <w:t>47913,09</w:t>
            </w:r>
          </w:p>
        </w:tc>
      </w:tr>
      <w:tr w:rsidR="00B56301" w:rsidRPr="00364545" w14:paraId="4F0A305F"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F2143A5"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2A2CE829" w14:textId="77777777" w:rsidR="00B56301" w:rsidRPr="00364545" w:rsidRDefault="00B56301" w:rsidP="00B37B65">
            <w:pPr>
              <w:jc w:val="right"/>
              <w:rPr>
                <w:rFonts w:ascii="Times New Roman" w:hAnsi="Times New Roman"/>
                <w:sz w:val="18"/>
                <w:szCs w:val="18"/>
              </w:rPr>
            </w:pPr>
            <w:r w:rsidRPr="00364545">
              <w:rPr>
                <w:sz w:val="18"/>
              </w:rPr>
              <w:t>7960,94</w:t>
            </w:r>
          </w:p>
        </w:tc>
        <w:tc>
          <w:tcPr>
            <w:tcW w:w="992" w:type="dxa"/>
            <w:tcBorders>
              <w:top w:val="nil"/>
              <w:left w:val="nil"/>
              <w:bottom w:val="single" w:sz="4" w:space="0" w:color="auto"/>
              <w:right w:val="single" w:sz="4" w:space="0" w:color="auto"/>
            </w:tcBorders>
            <w:shd w:val="clear" w:color="000000" w:fill="CCFFFF"/>
            <w:noWrap/>
            <w:vAlign w:val="bottom"/>
            <w:hideMark/>
          </w:tcPr>
          <w:p w14:paraId="17D330DB" w14:textId="77777777" w:rsidR="00B56301" w:rsidRPr="00364545" w:rsidRDefault="00B56301" w:rsidP="00B37B65">
            <w:pPr>
              <w:jc w:val="right"/>
              <w:rPr>
                <w:rFonts w:ascii="Times New Roman" w:hAnsi="Times New Roman"/>
                <w:sz w:val="18"/>
                <w:szCs w:val="18"/>
              </w:rPr>
            </w:pPr>
            <w:r w:rsidRPr="00364545">
              <w:rPr>
                <w:sz w:val="18"/>
              </w:rPr>
              <w:t>9123,07</w:t>
            </w:r>
          </w:p>
        </w:tc>
        <w:tc>
          <w:tcPr>
            <w:tcW w:w="992" w:type="dxa"/>
            <w:tcBorders>
              <w:top w:val="nil"/>
              <w:left w:val="nil"/>
              <w:bottom w:val="single" w:sz="4" w:space="0" w:color="auto"/>
              <w:right w:val="single" w:sz="4" w:space="0" w:color="auto"/>
            </w:tcBorders>
            <w:shd w:val="clear" w:color="000000" w:fill="CCFFFF"/>
            <w:noWrap/>
            <w:vAlign w:val="bottom"/>
            <w:hideMark/>
          </w:tcPr>
          <w:p w14:paraId="1C0611BC" w14:textId="77777777" w:rsidR="00B56301" w:rsidRPr="00364545" w:rsidRDefault="00B56301" w:rsidP="00B37B65">
            <w:pPr>
              <w:jc w:val="right"/>
              <w:rPr>
                <w:rFonts w:ascii="Times New Roman" w:hAnsi="Times New Roman"/>
                <w:sz w:val="18"/>
                <w:szCs w:val="18"/>
              </w:rPr>
            </w:pPr>
            <w:r w:rsidRPr="00364545">
              <w:rPr>
                <w:sz w:val="18"/>
              </w:rPr>
              <w:t>10385,85</w:t>
            </w:r>
          </w:p>
        </w:tc>
        <w:tc>
          <w:tcPr>
            <w:tcW w:w="992" w:type="dxa"/>
            <w:tcBorders>
              <w:top w:val="nil"/>
              <w:left w:val="nil"/>
              <w:bottom w:val="single" w:sz="4" w:space="0" w:color="auto"/>
              <w:right w:val="single" w:sz="4" w:space="0" w:color="auto"/>
            </w:tcBorders>
            <w:shd w:val="clear" w:color="000000" w:fill="CCFFFF"/>
            <w:noWrap/>
            <w:vAlign w:val="bottom"/>
            <w:hideMark/>
          </w:tcPr>
          <w:p w14:paraId="2FE31A69" w14:textId="77777777" w:rsidR="00B56301" w:rsidRPr="00364545" w:rsidRDefault="00B56301" w:rsidP="00B37B65">
            <w:pPr>
              <w:jc w:val="right"/>
              <w:rPr>
                <w:rFonts w:ascii="Times New Roman" w:hAnsi="Times New Roman"/>
                <w:sz w:val="18"/>
                <w:szCs w:val="18"/>
              </w:rPr>
            </w:pPr>
            <w:r w:rsidRPr="00364545">
              <w:rPr>
                <w:sz w:val="18"/>
              </w:rPr>
              <w:t>11868,33</w:t>
            </w:r>
          </w:p>
        </w:tc>
        <w:tc>
          <w:tcPr>
            <w:tcW w:w="992" w:type="dxa"/>
            <w:tcBorders>
              <w:top w:val="nil"/>
              <w:left w:val="nil"/>
              <w:bottom w:val="single" w:sz="4" w:space="0" w:color="auto"/>
              <w:right w:val="single" w:sz="4" w:space="0" w:color="auto"/>
            </w:tcBorders>
            <w:shd w:val="clear" w:color="000000" w:fill="CCFFFF"/>
            <w:noWrap/>
            <w:vAlign w:val="bottom"/>
            <w:hideMark/>
          </w:tcPr>
          <w:p w14:paraId="36790211" w14:textId="77777777" w:rsidR="00B56301" w:rsidRPr="00364545" w:rsidRDefault="00B56301" w:rsidP="00B37B65">
            <w:pPr>
              <w:jc w:val="right"/>
              <w:rPr>
                <w:rFonts w:ascii="Times New Roman" w:hAnsi="Times New Roman"/>
                <w:sz w:val="18"/>
                <w:szCs w:val="18"/>
              </w:rPr>
            </w:pPr>
            <w:r w:rsidRPr="00364545">
              <w:rPr>
                <w:sz w:val="18"/>
              </w:rPr>
              <w:t>12862,16</w:t>
            </w:r>
          </w:p>
        </w:tc>
        <w:tc>
          <w:tcPr>
            <w:tcW w:w="992" w:type="dxa"/>
            <w:tcBorders>
              <w:top w:val="nil"/>
              <w:left w:val="nil"/>
              <w:bottom w:val="single" w:sz="4" w:space="0" w:color="auto"/>
              <w:right w:val="single" w:sz="4" w:space="0" w:color="auto"/>
            </w:tcBorders>
            <w:shd w:val="clear" w:color="000000" w:fill="CCFFFF"/>
            <w:noWrap/>
            <w:vAlign w:val="bottom"/>
            <w:hideMark/>
          </w:tcPr>
          <w:p w14:paraId="5B510A6F" w14:textId="77777777" w:rsidR="00B56301" w:rsidRPr="00364545" w:rsidRDefault="00B56301" w:rsidP="00B37B65">
            <w:pPr>
              <w:jc w:val="right"/>
              <w:rPr>
                <w:rFonts w:ascii="Times New Roman" w:hAnsi="Times New Roman"/>
                <w:sz w:val="18"/>
                <w:szCs w:val="18"/>
              </w:rPr>
            </w:pPr>
            <w:r w:rsidRPr="00364545">
              <w:rPr>
                <w:sz w:val="18"/>
              </w:rPr>
              <w:t>14352,62</w:t>
            </w:r>
          </w:p>
        </w:tc>
      </w:tr>
      <w:tr w:rsidR="00B56301" w:rsidRPr="00364545" w14:paraId="5FA34DB6"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4EE8381"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5D37C148" w14:textId="77777777" w:rsidR="00B56301" w:rsidRPr="00364545" w:rsidRDefault="00B56301" w:rsidP="00B37B65">
            <w:pPr>
              <w:jc w:val="right"/>
              <w:rPr>
                <w:rFonts w:ascii="Times New Roman" w:hAnsi="Times New Roman"/>
                <w:sz w:val="18"/>
                <w:szCs w:val="18"/>
              </w:rPr>
            </w:pPr>
            <w:r w:rsidRPr="00364545">
              <w:rPr>
                <w:sz w:val="18"/>
              </w:rPr>
              <w:t>2652,97</w:t>
            </w:r>
          </w:p>
        </w:tc>
        <w:tc>
          <w:tcPr>
            <w:tcW w:w="992" w:type="dxa"/>
            <w:tcBorders>
              <w:top w:val="nil"/>
              <w:left w:val="nil"/>
              <w:bottom w:val="single" w:sz="4" w:space="0" w:color="auto"/>
              <w:right w:val="single" w:sz="4" w:space="0" w:color="auto"/>
            </w:tcBorders>
            <w:shd w:val="clear" w:color="000000" w:fill="CCFFFF"/>
            <w:noWrap/>
            <w:vAlign w:val="bottom"/>
            <w:hideMark/>
          </w:tcPr>
          <w:p w14:paraId="3EFEC3B1" w14:textId="77777777" w:rsidR="00B56301" w:rsidRPr="00364545" w:rsidRDefault="00B56301" w:rsidP="00B37B65">
            <w:pPr>
              <w:jc w:val="right"/>
              <w:rPr>
                <w:rFonts w:ascii="Times New Roman" w:hAnsi="Times New Roman"/>
                <w:sz w:val="18"/>
                <w:szCs w:val="18"/>
              </w:rPr>
            </w:pPr>
            <w:r w:rsidRPr="00364545">
              <w:rPr>
                <w:sz w:val="18"/>
              </w:rPr>
              <w:t>4174,16</w:t>
            </w:r>
          </w:p>
        </w:tc>
        <w:tc>
          <w:tcPr>
            <w:tcW w:w="992" w:type="dxa"/>
            <w:tcBorders>
              <w:top w:val="nil"/>
              <w:left w:val="nil"/>
              <w:bottom w:val="single" w:sz="4" w:space="0" w:color="auto"/>
              <w:right w:val="single" w:sz="4" w:space="0" w:color="auto"/>
            </w:tcBorders>
            <w:shd w:val="clear" w:color="000000" w:fill="CCFFFF"/>
            <w:noWrap/>
            <w:vAlign w:val="bottom"/>
            <w:hideMark/>
          </w:tcPr>
          <w:p w14:paraId="4EA643A7" w14:textId="77777777" w:rsidR="00B56301" w:rsidRPr="00364545" w:rsidRDefault="00B56301" w:rsidP="00B37B65">
            <w:pPr>
              <w:jc w:val="right"/>
              <w:rPr>
                <w:rFonts w:ascii="Times New Roman" w:hAnsi="Times New Roman"/>
                <w:sz w:val="18"/>
                <w:szCs w:val="18"/>
              </w:rPr>
            </w:pPr>
            <w:r w:rsidRPr="00364545">
              <w:rPr>
                <w:sz w:val="18"/>
              </w:rPr>
              <w:t>3850,86</w:t>
            </w:r>
          </w:p>
        </w:tc>
        <w:tc>
          <w:tcPr>
            <w:tcW w:w="992" w:type="dxa"/>
            <w:tcBorders>
              <w:top w:val="nil"/>
              <w:left w:val="nil"/>
              <w:bottom w:val="single" w:sz="4" w:space="0" w:color="auto"/>
              <w:right w:val="single" w:sz="4" w:space="0" w:color="auto"/>
            </w:tcBorders>
            <w:shd w:val="clear" w:color="000000" w:fill="CCFFFF"/>
            <w:noWrap/>
            <w:vAlign w:val="bottom"/>
            <w:hideMark/>
          </w:tcPr>
          <w:p w14:paraId="5B7E3C27" w14:textId="77777777" w:rsidR="00B56301" w:rsidRPr="00364545" w:rsidRDefault="00B56301" w:rsidP="00B37B65">
            <w:pPr>
              <w:jc w:val="right"/>
              <w:rPr>
                <w:rFonts w:ascii="Times New Roman" w:hAnsi="Times New Roman"/>
                <w:sz w:val="18"/>
                <w:szCs w:val="18"/>
              </w:rPr>
            </w:pPr>
            <w:r w:rsidRPr="00364545">
              <w:rPr>
                <w:sz w:val="18"/>
              </w:rPr>
              <w:t>2638,86</w:t>
            </w:r>
          </w:p>
        </w:tc>
        <w:tc>
          <w:tcPr>
            <w:tcW w:w="992" w:type="dxa"/>
            <w:tcBorders>
              <w:top w:val="nil"/>
              <w:left w:val="nil"/>
              <w:bottom w:val="single" w:sz="4" w:space="0" w:color="auto"/>
              <w:right w:val="single" w:sz="4" w:space="0" w:color="auto"/>
            </w:tcBorders>
            <w:shd w:val="clear" w:color="000000" w:fill="CCFFFF"/>
            <w:noWrap/>
            <w:vAlign w:val="bottom"/>
            <w:hideMark/>
          </w:tcPr>
          <w:p w14:paraId="14D67FE2" w14:textId="77777777" w:rsidR="00B56301" w:rsidRPr="00364545" w:rsidRDefault="00B56301" w:rsidP="00B37B65">
            <w:pPr>
              <w:jc w:val="right"/>
              <w:rPr>
                <w:rFonts w:ascii="Times New Roman" w:hAnsi="Times New Roman"/>
                <w:sz w:val="18"/>
                <w:szCs w:val="18"/>
              </w:rPr>
            </w:pPr>
            <w:r w:rsidRPr="00364545">
              <w:rPr>
                <w:sz w:val="18"/>
              </w:rPr>
              <w:t>1760,33</w:t>
            </w:r>
          </w:p>
        </w:tc>
        <w:tc>
          <w:tcPr>
            <w:tcW w:w="992" w:type="dxa"/>
            <w:tcBorders>
              <w:top w:val="nil"/>
              <w:left w:val="nil"/>
              <w:bottom w:val="single" w:sz="4" w:space="0" w:color="auto"/>
              <w:right w:val="single" w:sz="4" w:space="0" w:color="auto"/>
            </w:tcBorders>
            <w:shd w:val="clear" w:color="000000" w:fill="CCFFFF"/>
            <w:noWrap/>
            <w:vAlign w:val="bottom"/>
            <w:hideMark/>
          </w:tcPr>
          <w:p w14:paraId="03F4C12B" w14:textId="77777777" w:rsidR="00B56301" w:rsidRPr="00364545" w:rsidRDefault="00B56301" w:rsidP="00B37B65">
            <w:pPr>
              <w:jc w:val="right"/>
              <w:rPr>
                <w:rFonts w:ascii="Times New Roman" w:hAnsi="Times New Roman"/>
                <w:sz w:val="18"/>
                <w:szCs w:val="18"/>
              </w:rPr>
            </w:pPr>
            <w:r w:rsidRPr="00364545">
              <w:rPr>
                <w:sz w:val="18"/>
              </w:rPr>
              <w:t>1462,40</w:t>
            </w:r>
          </w:p>
        </w:tc>
      </w:tr>
      <w:tr w:rsidR="00B56301" w:rsidRPr="00364545" w14:paraId="156C90E3"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6E916B6"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0719048F"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5D09D8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F37BA4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7F304A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10624A0"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3B8038A"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0AF5CC7D"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0FF2072" w14:textId="5E3EF392" w:rsidR="00B56301" w:rsidRPr="00364545" w:rsidRDefault="007F09F7" w:rsidP="00B37B65">
            <w:pPr>
              <w:jc w:val="left"/>
              <w:rPr>
                <w:rFonts w:ascii="Times New Roman" w:hAnsi="Times New Roman"/>
                <w:sz w:val="18"/>
                <w:szCs w:val="18"/>
              </w:rPr>
            </w:pPr>
            <w:r w:rsidRPr="00364545">
              <w:t>SF</w:t>
            </w:r>
            <w:r w:rsidRPr="00364545">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568C6FEF" w14:textId="77777777" w:rsidR="00B56301" w:rsidRPr="00364545" w:rsidRDefault="00B56301" w:rsidP="00B37B65">
            <w:pPr>
              <w:jc w:val="right"/>
              <w:rPr>
                <w:rFonts w:ascii="Times New Roman" w:hAnsi="Times New Roman"/>
                <w:sz w:val="18"/>
                <w:szCs w:val="18"/>
              </w:rPr>
            </w:pPr>
            <w:r w:rsidRPr="00364545">
              <w:rPr>
                <w:sz w:val="18"/>
              </w:rPr>
              <w:t>1825,40</w:t>
            </w:r>
          </w:p>
        </w:tc>
        <w:tc>
          <w:tcPr>
            <w:tcW w:w="992" w:type="dxa"/>
            <w:tcBorders>
              <w:top w:val="nil"/>
              <w:left w:val="nil"/>
              <w:bottom w:val="single" w:sz="4" w:space="0" w:color="auto"/>
              <w:right w:val="single" w:sz="4" w:space="0" w:color="auto"/>
            </w:tcBorders>
            <w:shd w:val="clear" w:color="000000" w:fill="CCFFFF"/>
            <w:noWrap/>
            <w:vAlign w:val="bottom"/>
            <w:hideMark/>
          </w:tcPr>
          <w:p w14:paraId="64AEF858" w14:textId="77777777" w:rsidR="00B56301" w:rsidRPr="00364545" w:rsidRDefault="00B56301" w:rsidP="00B37B65">
            <w:pPr>
              <w:jc w:val="right"/>
              <w:rPr>
                <w:rFonts w:ascii="Times New Roman" w:hAnsi="Times New Roman"/>
                <w:sz w:val="18"/>
                <w:szCs w:val="18"/>
              </w:rPr>
            </w:pPr>
            <w:r w:rsidRPr="00364545">
              <w:rPr>
                <w:sz w:val="18"/>
              </w:rPr>
              <w:t>1597,54</w:t>
            </w:r>
          </w:p>
        </w:tc>
        <w:tc>
          <w:tcPr>
            <w:tcW w:w="992" w:type="dxa"/>
            <w:tcBorders>
              <w:top w:val="nil"/>
              <w:left w:val="nil"/>
              <w:bottom w:val="single" w:sz="4" w:space="0" w:color="auto"/>
              <w:right w:val="single" w:sz="4" w:space="0" w:color="auto"/>
            </w:tcBorders>
            <w:shd w:val="clear" w:color="000000" w:fill="CCFFFF"/>
            <w:noWrap/>
            <w:vAlign w:val="bottom"/>
            <w:hideMark/>
          </w:tcPr>
          <w:p w14:paraId="277A2914" w14:textId="77777777" w:rsidR="00B56301" w:rsidRPr="00364545" w:rsidRDefault="00B56301" w:rsidP="00B37B65">
            <w:pPr>
              <w:jc w:val="right"/>
              <w:rPr>
                <w:rFonts w:ascii="Times New Roman" w:hAnsi="Times New Roman"/>
                <w:sz w:val="18"/>
                <w:szCs w:val="18"/>
              </w:rPr>
            </w:pPr>
            <w:r w:rsidRPr="00364545">
              <w:rPr>
                <w:sz w:val="18"/>
              </w:rPr>
              <w:t>1579,79</w:t>
            </w:r>
          </w:p>
        </w:tc>
        <w:tc>
          <w:tcPr>
            <w:tcW w:w="992" w:type="dxa"/>
            <w:tcBorders>
              <w:top w:val="nil"/>
              <w:left w:val="nil"/>
              <w:bottom w:val="single" w:sz="4" w:space="0" w:color="auto"/>
              <w:right w:val="single" w:sz="4" w:space="0" w:color="auto"/>
            </w:tcBorders>
            <w:shd w:val="clear" w:color="000000" w:fill="CCFFFF"/>
            <w:noWrap/>
            <w:vAlign w:val="bottom"/>
            <w:hideMark/>
          </w:tcPr>
          <w:p w14:paraId="1486A754" w14:textId="77777777" w:rsidR="00B56301" w:rsidRPr="00364545" w:rsidRDefault="00B56301" w:rsidP="00B37B65">
            <w:pPr>
              <w:jc w:val="right"/>
              <w:rPr>
                <w:rFonts w:ascii="Times New Roman" w:hAnsi="Times New Roman"/>
                <w:sz w:val="18"/>
                <w:szCs w:val="18"/>
              </w:rPr>
            </w:pPr>
            <w:r w:rsidRPr="00364545">
              <w:rPr>
                <w:sz w:val="18"/>
              </w:rPr>
              <w:t>1611,08</w:t>
            </w:r>
          </w:p>
        </w:tc>
        <w:tc>
          <w:tcPr>
            <w:tcW w:w="992" w:type="dxa"/>
            <w:tcBorders>
              <w:top w:val="nil"/>
              <w:left w:val="nil"/>
              <w:bottom w:val="single" w:sz="4" w:space="0" w:color="auto"/>
              <w:right w:val="single" w:sz="4" w:space="0" w:color="auto"/>
            </w:tcBorders>
            <w:shd w:val="clear" w:color="000000" w:fill="CCFFFF"/>
            <w:noWrap/>
            <w:vAlign w:val="bottom"/>
            <w:hideMark/>
          </w:tcPr>
          <w:p w14:paraId="0CCE0ACD" w14:textId="77777777" w:rsidR="00B56301" w:rsidRPr="00364545" w:rsidRDefault="00B56301" w:rsidP="00B37B65">
            <w:pPr>
              <w:jc w:val="right"/>
              <w:rPr>
                <w:rFonts w:ascii="Times New Roman" w:hAnsi="Times New Roman"/>
                <w:sz w:val="18"/>
                <w:szCs w:val="18"/>
              </w:rPr>
            </w:pPr>
            <w:r w:rsidRPr="00364545">
              <w:rPr>
                <w:sz w:val="18"/>
              </w:rPr>
              <w:t>1354,85</w:t>
            </w:r>
          </w:p>
        </w:tc>
        <w:tc>
          <w:tcPr>
            <w:tcW w:w="992" w:type="dxa"/>
            <w:tcBorders>
              <w:top w:val="nil"/>
              <w:left w:val="nil"/>
              <w:bottom w:val="single" w:sz="4" w:space="0" w:color="auto"/>
              <w:right w:val="single" w:sz="4" w:space="0" w:color="auto"/>
            </w:tcBorders>
            <w:shd w:val="clear" w:color="000000" w:fill="CCFFFF"/>
            <w:noWrap/>
            <w:vAlign w:val="bottom"/>
            <w:hideMark/>
          </w:tcPr>
          <w:p w14:paraId="5781004F" w14:textId="77777777" w:rsidR="00B56301" w:rsidRPr="00364545" w:rsidRDefault="00B56301" w:rsidP="00B37B65">
            <w:pPr>
              <w:jc w:val="right"/>
              <w:rPr>
                <w:rFonts w:ascii="Times New Roman" w:hAnsi="Times New Roman"/>
                <w:sz w:val="18"/>
                <w:szCs w:val="18"/>
              </w:rPr>
            </w:pPr>
            <w:r w:rsidRPr="00364545">
              <w:rPr>
                <w:sz w:val="18"/>
              </w:rPr>
              <w:t>1252,21</w:t>
            </w:r>
          </w:p>
        </w:tc>
      </w:tr>
      <w:tr w:rsidR="00B56301" w:rsidRPr="00364545" w14:paraId="34DDCD8C"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2B29F92" w14:textId="60CA917B" w:rsidR="00B56301" w:rsidRPr="00364545" w:rsidRDefault="007F09F7" w:rsidP="00B37B65">
            <w:pPr>
              <w:jc w:val="left"/>
              <w:rPr>
                <w:rFonts w:ascii="Times New Roman" w:hAnsi="Times New Roman"/>
                <w:sz w:val="18"/>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69A05471" w14:textId="77777777" w:rsidR="00B56301" w:rsidRPr="00364545" w:rsidRDefault="00B56301" w:rsidP="00B37B65">
            <w:pPr>
              <w:jc w:val="right"/>
              <w:rPr>
                <w:rFonts w:ascii="Times New Roman" w:hAnsi="Times New Roman"/>
                <w:sz w:val="18"/>
                <w:szCs w:val="18"/>
              </w:rPr>
            </w:pPr>
            <w:r w:rsidRPr="00364545">
              <w:rPr>
                <w:sz w:val="18"/>
              </w:rPr>
              <w:t>28,45</w:t>
            </w:r>
          </w:p>
        </w:tc>
        <w:tc>
          <w:tcPr>
            <w:tcW w:w="992" w:type="dxa"/>
            <w:tcBorders>
              <w:top w:val="nil"/>
              <w:left w:val="nil"/>
              <w:bottom w:val="single" w:sz="4" w:space="0" w:color="auto"/>
              <w:right w:val="single" w:sz="4" w:space="0" w:color="auto"/>
            </w:tcBorders>
            <w:shd w:val="clear" w:color="000000" w:fill="CCFFFF"/>
            <w:noWrap/>
            <w:vAlign w:val="bottom"/>
            <w:hideMark/>
          </w:tcPr>
          <w:p w14:paraId="46D459ED" w14:textId="77777777" w:rsidR="00B56301" w:rsidRPr="00364545" w:rsidRDefault="00B56301" w:rsidP="00B37B65">
            <w:pPr>
              <w:jc w:val="right"/>
              <w:rPr>
                <w:rFonts w:ascii="Times New Roman" w:hAnsi="Times New Roman"/>
                <w:sz w:val="18"/>
                <w:szCs w:val="18"/>
              </w:rPr>
            </w:pPr>
            <w:r w:rsidRPr="00364545">
              <w:rPr>
                <w:sz w:val="18"/>
              </w:rPr>
              <w:t>35,54</w:t>
            </w:r>
          </w:p>
        </w:tc>
        <w:tc>
          <w:tcPr>
            <w:tcW w:w="992" w:type="dxa"/>
            <w:tcBorders>
              <w:top w:val="nil"/>
              <w:left w:val="nil"/>
              <w:bottom w:val="single" w:sz="4" w:space="0" w:color="auto"/>
              <w:right w:val="single" w:sz="4" w:space="0" w:color="auto"/>
            </w:tcBorders>
            <w:shd w:val="clear" w:color="000000" w:fill="CCFFFF"/>
            <w:noWrap/>
            <w:vAlign w:val="bottom"/>
            <w:hideMark/>
          </w:tcPr>
          <w:p w14:paraId="5B8AC1FF" w14:textId="77777777" w:rsidR="00B56301" w:rsidRPr="00364545" w:rsidRDefault="00B56301" w:rsidP="00B37B65">
            <w:pPr>
              <w:jc w:val="right"/>
              <w:rPr>
                <w:rFonts w:ascii="Times New Roman" w:hAnsi="Times New Roman"/>
                <w:sz w:val="18"/>
                <w:szCs w:val="18"/>
              </w:rPr>
            </w:pPr>
            <w:r w:rsidRPr="00364545">
              <w:rPr>
                <w:sz w:val="18"/>
              </w:rPr>
              <w:t>30,47</w:t>
            </w:r>
          </w:p>
        </w:tc>
        <w:tc>
          <w:tcPr>
            <w:tcW w:w="992" w:type="dxa"/>
            <w:tcBorders>
              <w:top w:val="nil"/>
              <w:left w:val="nil"/>
              <w:bottom w:val="single" w:sz="4" w:space="0" w:color="auto"/>
              <w:right w:val="single" w:sz="4" w:space="0" w:color="auto"/>
            </w:tcBorders>
            <w:shd w:val="clear" w:color="000000" w:fill="CCFFFF"/>
            <w:noWrap/>
            <w:vAlign w:val="bottom"/>
            <w:hideMark/>
          </w:tcPr>
          <w:p w14:paraId="754138DD" w14:textId="77777777" w:rsidR="00B56301" w:rsidRPr="00364545" w:rsidRDefault="00B56301" w:rsidP="00B37B65">
            <w:pPr>
              <w:jc w:val="right"/>
              <w:rPr>
                <w:rFonts w:ascii="Times New Roman" w:hAnsi="Times New Roman"/>
                <w:sz w:val="18"/>
                <w:szCs w:val="18"/>
              </w:rPr>
            </w:pPr>
            <w:r w:rsidRPr="00364545">
              <w:rPr>
                <w:sz w:val="18"/>
              </w:rPr>
              <w:t>35,54</w:t>
            </w:r>
          </w:p>
        </w:tc>
        <w:tc>
          <w:tcPr>
            <w:tcW w:w="992" w:type="dxa"/>
            <w:tcBorders>
              <w:top w:val="nil"/>
              <w:left w:val="nil"/>
              <w:bottom w:val="single" w:sz="4" w:space="0" w:color="auto"/>
              <w:right w:val="single" w:sz="4" w:space="0" w:color="auto"/>
            </w:tcBorders>
            <w:shd w:val="clear" w:color="000000" w:fill="CCFFFF"/>
            <w:noWrap/>
            <w:vAlign w:val="bottom"/>
            <w:hideMark/>
          </w:tcPr>
          <w:p w14:paraId="622F5F55" w14:textId="77777777" w:rsidR="00B56301" w:rsidRPr="00364545" w:rsidRDefault="00B56301" w:rsidP="00B37B65">
            <w:pPr>
              <w:jc w:val="right"/>
              <w:rPr>
                <w:rFonts w:ascii="Times New Roman" w:hAnsi="Times New Roman"/>
                <w:sz w:val="18"/>
                <w:szCs w:val="18"/>
              </w:rPr>
            </w:pPr>
            <w:r w:rsidRPr="00364545">
              <w:rPr>
                <w:sz w:val="18"/>
              </w:rPr>
              <w:t>31,27</w:t>
            </w:r>
          </w:p>
        </w:tc>
        <w:tc>
          <w:tcPr>
            <w:tcW w:w="992" w:type="dxa"/>
            <w:tcBorders>
              <w:top w:val="nil"/>
              <w:left w:val="nil"/>
              <w:bottom w:val="single" w:sz="4" w:space="0" w:color="auto"/>
              <w:right w:val="single" w:sz="4" w:space="0" w:color="auto"/>
            </w:tcBorders>
            <w:shd w:val="clear" w:color="000000" w:fill="CCFFFF"/>
            <w:noWrap/>
            <w:vAlign w:val="bottom"/>
            <w:hideMark/>
          </w:tcPr>
          <w:p w14:paraId="4E693331" w14:textId="77777777" w:rsidR="00B56301" w:rsidRPr="00364545" w:rsidRDefault="00B56301" w:rsidP="00B37B65">
            <w:pPr>
              <w:jc w:val="right"/>
              <w:rPr>
                <w:rFonts w:ascii="Times New Roman" w:hAnsi="Times New Roman"/>
                <w:sz w:val="18"/>
                <w:szCs w:val="18"/>
              </w:rPr>
            </w:pPr>
            <w:r w:rsidRPr="00364545">
              <w:rPr>
                <w:sz w:val="18"/>
              </w:rPr>
              <w:t>29,76</w:t>
            </w:r>
          </w:p>
        </w:tc>
      </w:tr>
      <w:tr w:rsidR="00B56301" w:rsidRPr="00364545" w14:paraId="49CF1F0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3C23392B"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E550123" w14:textId="77777777" w:rsidR="00B56301" w:rsidRPr="00364545" w:rsidRDefault="00B56301" w:rsidP="00B37B65">
            <w:pPr>
              <w:jc w:val="right"/>
              <w:rPr>
                <w:rFonts w:ascii="Times New Roman" w:hAnsi="Times New Roman"/>
                <w:sz w:val="18"/>
                <w:szCs w:val="18"/>
              </w:rPr>
            </w:pPr>
            <w:r w:rsidRPr="00364545">
              <w:rPr>
                <w:sz w:val="18"/>
              </w:rPr>
              <w:t>554193,13</w:t>
            </w:r>
          </w:p>
        </w:tc>
        <w:tc>
          <w:tcPr>
            <w:tcW w:w="992" w:type="dxa"/>
            <w:tcBorders>
              <w:top w:val="nil"/>
              <w:left w:val="nil"/>
              <w:bottom w:val="single" w:sz="4" w:space="0" w:color="auto"/>
              <w:right w:val="single" w:sz="4" w:space="0" w:color="auto"/>
            </w:tcBorders>
            <w:shd w:val="clear" w:color="000000" w:fill="CCFFFF"/>
            <w:noWrap/>
            <w:vAlign w:val="bottom"/>
            <w:hideMark/>
          </w:tcPr>
          <w:p w14:paraId="0E195F61" w14:textId="77777777" w:rsidR="00B56301" w:rsidRPr="00364545" w:rsidRDefault="00B56301" w:rsidP="00B37B65">
            <w:pPr>
              <w:jc w:val="right"/>
              <w:rPr>
                <w:rFonts w:ascii="Times New Roman" w:hAnsi="Times New Roman"/>
                <w:sz w:val="18"/>
                <w:szCs w:val="18"/>
              </w:rPr>
            </w:pPr>
            <w:r w:rsidRPr="00364545">
              <w:rPr>
                <w:sz w:val="18"/>
              </w:rPr>
              <w:t>548609,74</w:t>
            </w:r>
          </w:p>
        </w:tc>
        <w:tc>
          <w:tcPr>
            <w:tcW w:w="992" w:type="dxa"/>
            <w:tcBorders>
              <w:top w:val="nil"/>
              <w:left w:val="nil"/>
              <w:bottom w:val="single" w:sz="4" w:space="0" w:color="auto"/>
              <w:right w:val="single" w:sz="4" w:space="0" w:color="auto"/>
            </w:tcBorders>
            <w:shd w:val="clear" w:color="000000" w:fill="CCFFFF"/>
            <w:noWrap/>
            <w:vAlign w:val="bottom"/>
            <w:hideMark/>
          </w:tcPr>
          <w:p w14:paraId="7E6CC089" w14:textId="77777777" w:rsidR="00B56301" w:rsidRPr="00364545" w:rsidRDefault="00B56301" w:rsidP="00B37B65">
            <w:pPr>
              <w:jc w:val="right"/>
              <w:rPr>
                <w:rFonts w:ascii="Times New Roman" w:hAnsi="Times New Roman"/>
                <w:sz w:val="18"/>
                <w:szCs w:val="18"/>
              </w:rPr>
            </w:pPr>
            <w:r w:rsidRPr="00364545">
              <w:rPr>
                <w:sz w:val="18"/>
              </w:rPr>
              <w:t>551646,16</w:t>
            </w:r>
          </w:p>
        </w:tc>
        <w:tc>
          <w:tcPr>
            <w:tcW w:w="992" w:type="dxa"/>
            <w:tcBorders>
              <w:top w:val="nil"/>
              <w:left w:val="nil"/>
              <w:bottom w:val="single" w:sz="4" w:space="0" w:color="auto"/>
              <w:right w:val="single" w:sz="4" w:space="0" w:color="auto"/>
            </w:tcBorders>
            <w:shd w:val="clear" w:color="000000" w:fill="CCFFFF"/>
            <w:noWrap/>
            <w:vAlign w:val="bottom"/>
            <w:hideMark/>
          </w:tcPr>
          <w:p w14:paraId="2D233FBB" w14:textId="77777777" w:rsidR="00B56301" w:rsidRPr="00364545" w:rsidRDefault="00B56301" w:rsidP="00B37B65">
            <w:pPr>
              <w:jc w:val="right"/>
              <w:rPr>
                <w:rFonts w:ascii="Times New Roman" w:hAnsi="Times New Roman"/>
                <w:sz w:val="18"/>
                <w:szCs w:val="18"/>
              </w:rPr>
            </w:pPr>
            <w:r w:rsidRPr="00364545">
              <w:rPr>
                <w:sz w:val="18"/>
              </w:rPr>
              <w:t>550620,67</w:t>
            </w:r>
          </w:p>
        </w:tc>
        <w:tc>
          <w:tcPr>
            <w:tcW w:w="992" w:type="dxa"/>
            <w:tcBorders>
              <w:top w:val="nil"/>
              <w:left w:val="nil"/>
              <w:bottom w:val="single" w:sz="4" w:space="0" w:color="auto"/>
              <w:right w:val="single" w:sz="4" w:space="0" w:color="auto"/>
            </w:tcBorders>
            <w:shd w:val="clear" w:color="000000" w:fill="CCFFFF"/>
            <w:noWrap/>
            <w:vAlign w:val="bottom"/>
            <w:hideMark/>
          </w:tcPr>
          <w:p w14:paraId="3C50BB6E" w14:textId="77777777" w:rsidR="00B56301" w:rsidRPr="00364545" w:rsidRDefault="00B56301" w:rsidP="00B37B65">
            <w:pPr>
              <w:jc w:val="right"/>
              <w:rPr>
                <w:rFonts w:ascii="Times New Roman" w:hAnsi="Times New Roman"/>
                <w:sz w:val="18"/>
                <w:szCs w:val="18"/>
              </w:rPr>
            </w:pPr>
            <w:r w:rsidRPr="00364545">
              <w:rPr>
                <w:sz w:val="18"/>
              </w:rPr>
              <w:t>551391,13</w:t>
            </w:r>
          </w:p>
        </w:tc>
        <w:tc>
          <w:tcPr>
            <w:tcW w:w="992" w:type="dxa"/>
            <w:tcBorders>
              <w:top w:val="nil"/>
              <w:left w:val="nil"/>
              <w:bottom w:val="single" w:sz="4" w:space="0" w:color="auto"/>
              <w:right w:val="single" w:sz="4" w:space="0" w:color="auto"/>
            </w:tcBorders>
            <w:shd w:val="clear" w:color="000000" w:fill="CCFFFF"/>
            <w:noWrap/>
            <w:vAlign w:val="bottom"/>
            <w:hideMark/>
          </w:tcPr>
          <w:p w14:paraId="00334448" w14:textId="77777777" w:rsidR="00B56301" w:rsidRPr="00364545" w:rsidRDefault="00B56301" w:rsidP="00B37B65">
            <w:pPr>
              <w:jc w:val="right"/>
              <w:rPr>
                <w:rFonts w:ascii="Times New Roman" w:hAnsi="Times New Roman"/>
                <w:sz w:val="18"/>
                <w:szCs w:val="18"/>
              </w:rPr>
            </w:pPr>
            <w:r w:rsidRPr="00364545">
              <w:rPr>
                <w:sz w:val="18"/>
              </w:rPr>
              <w:t>540907,81</w:t>
            </w:r>
          </w:p>
        </w:tc>
      </w:tr>
      <w:tr w:rsidR="00B56301" w:rsidRPr="00364545" w14:paraId="43697B4E"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29E70599"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ECE9893" w14:textId="77777777" w:rsidR="00B56301" w:rsidRPr="00364545" w:rsidRDefault="00B56301" w:rsidP="00B37B65">
            <w:pPr>
              <w:jc w:val="right"/>
              <w:rPr>
                <w:rFonts w:ascii="Times New Roman" w:hAnsi="Times New Roman"/>
                <w:sz w:val="18"/>
                <w:szCs w:val="18"/>
              </w:rPr>
            </w:pPr>
            <w:r w:rsidRPr="00364545">
              <w:rPr>
                <w:sz w:val="18"/>
              </w:rPr>
              <w:t>522536,36</w:t>
            </w:r>
          </w:p>
        </w:tc>
        <w:tc>
          <w:tcPr>
            <w:tcW w:w="992" w:type="dxa"/>
            <w:tcBorders>
              <w:top w:val="nil"/>
              <w:left w:val="nil"/>
              <w:bottom w:val="single" w:sz="4" w:space="0" w:color="auto"/>
              <w:right w:val="single" w:sz="4" w:space="0" w:color="auto"/>
            </w:tcBorders>
            <w:shd w:val="clear" w:color="000000" w:fill="CCFFFF"/>
            <w:noWrap/>
            <w:vAlign w:val="bottom"/>
            <w:hideMark/>
          </w:tcPr>
          <w:p w14:paraId="76BFF8A5" w14:textId="77777777" w:rsidR="00B56301" w:rsidRPr="00364545" w:rsidRDefault="00B56301" w:rsidP="00B37B65">
            <w:pPr>
              <w:jc w:val="right"/>
              <w:rPr>
                <w:rFonts w:ascii="Times New Roman" w:hAnsi="Times New Roman"/>
                <w:sz w:val="18"/>
                <w:szCs w:val="18"/>
              </w:rPr>
            </w:pPr>
            <w:r w:rsidRPr="00364545">
              <w:rPr>
                <w:sz w:val="18"/>
              </w:rPr>
              <w:t>508082,41</w:t>
            </w:r>
          </w:p>
        </w:tc>
        <w:tc>
          <w:tcPr>
            <w:tcW w:w="992" w:type="dxa"/>
            <w:tcBorders>
              <w:top w:val="nil"/>
              <w:left w:val="nil"/>
              <w:bottom w:val="single" w:sz="4" w:space="0" w:color="auto"/>
              <w:right w:val="single" w:sz="4" w:space="0" w:color="auto"/>
            </w:tcBorders>
            <w:shd w:val="clear" w:color="000000" w:fill="CCFFFF"/>
            <w:noWrap/>
            <w:vAlign w:val="bottom"/>
            <w:hideMark/>
          </w:tcPr>
          <w:p w14:paraId="3DB2C974" w14:textId="77777777" w:rsidR="00B56301" w:rsidRPr="00364545" w:rsidRDefault="00B56301" w:rsidP="00B37B65">
            <w:pPr>
              <w:jc w:val="right"/>
              <w:rPr>
                <w:rFonts w:ascii="Times New Roman" w:hAnsi="Times New Roman"/>
                <w:sz w:val="18"/>
                <w:szCs w:val="18"/>
              </w:rPr>
            </w:pPr>
            <w:r w:rsidRPr="00364545">
              <w:rPr>
                <w:sz w:val="18"/>
              </w:rPr>
              <w:t>508259,43</w:t>
            </w:r>
          </w:p>
        </w:tc>
        <w:tc>
          <w:tcPr>
            <w:tcW w:w="992" w:type="dxa"/>
            <w:tcBorders>
              <w:top w:val="nil"/>
              <w:left w:val="nil"/>
              <w:bottom w:val="single" w:sz="4" w:space="0" w:color="auto"/>
              <w:right w:val="single" w:sz="4" w:space="0" w:color="auto"/>
            </w:tcBorders>
            <w:shd w:val="clear" w:color="000000" w:fill="CCFFFF"/>
            <w:noWrap/>
            <w:vAlign w:val="bottom"/>
            <w:hideMark/>
          </w:tcPr>
          <w:p w14:paraId="0EE73631" w14:textId="77777777" w:rsidR="00B56301" w:rsidRPr="00364545" w:rsidRDefault="00B56301" w:rsidP="00B37B65">
            <w:pPr>
              <w:jc w:val="right"/>
              <w:rPr>
                <w:rFonts w:ascii="Times New Roman" w:hAnsi="Times New Roman"/>
                <w:sz w:val="18"/>
                <w:szCs w:val="18"/>
              </w:rPr>
            </w:pPr>
            <w:r w:rsidRPr="00364545">
              <w:rPr>
                <w:sz w:val="18"/>
              </w:rPr>
              <w:t>503990,53</w:t>
            </w:r>
          </w:p>
        </w:tc>
        <w:tc>
          <w:tcPr>
            <w:tcW w:w="992" w:type="dxa"/>
            <w:tcBorders>
              <w:top w:val="nil"/>
              <w:left w:val="nil"/>
              <w:bottom w:val="single" w:sz="4" w:space="0" w:color="auto"/>
              <w:right w:val="single" w:sz="4" w:space="0" w:color="auto"/>
            </w:tcBorders>
            <w:shd w:val="clear" w:color="000000" w:fill="CCFFFF"/>
            <w:noWrap/>
            <w:vAlign w:val="bottom"/>
            <w:hideMark/>
          </w:tcPr>
          <w:p w14:paraId="5716C17A" w14:textId="77777777" w:rsidR="00B56301" w:rsidRPr="00364545" w:rsidRDefault="00B56301" w:rsidP="00B37B65">
            <w:pPr>
              <w:jc w:val="right"/>
              <w:rPr>
                <w:rFonts w:ascii="Times New Roman" w:hAnsi="Times New Roman"/>
                <w:sz w:val="18"/>
                <w:szCs w:val="18"/>
              </w:rPr>
            </w:pPr>
            <w:r w:rsidRPr="00364545">
              <w:rPr>
                <w:sz w:val="18"/>
              </w:rPr>
              <w:t>504079,94</w:t>
            </w:r>
          </w:p>
        </w:tc>
        <w:tc>
          <w:tcPr>
            <w:tcW w:w="992" w:type="dxa"/>
            <w:tcBorders>
              <w:top w:val="nil"/>
              <w:left w:val="nil"/>
              <w:bottom w:val="single" w:sz="4" w:space="0" w:color="auto"/>
              <w:right w:val="single" w:sz="4" w:space="0" w:color="auto"/>
            </w:tcBorders>
            <w:shd w:val="clear" w:color="000000" w:fill="CCFFFF"/>
            <w:noWrap/>
            <w:vAlign w:val="bottom"/>
            <w:hideMark/>
          </w:tcPr>
          <w:p w14:paraId="1F0950B2" w14:textId="77777777" w:rsidR="00B56301" w:rsidRPr="00364545" w:rsidRDefault="00B56301" w:rsidP="00B37B65">
            <w:pPr>
              <w:jc w:val="right"/>
              <w:rPr>
                <w:rFonts w:ascii="Times New Roman" w:hAnsi="Times New Roman"/>
                <w:sz w:val="18"/>
                <w:szCs w:val="18"/>
              </w:rPr>
            </w:pPr>
            <w:r w:rsidRPr="00364545">
              <w:rPr>
                <w:sz w:val="18"/>
              </w:rPr>
              <w:t>491907,26</w:t>
            </w:r>
          </w:p>
        </w:tc>
      </w:tr>
      <w:tr w:rsidR="00B56301" w:rsidRPr="00364545" w14:paraId="508E6AF1"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0AC337B"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293FCEDA"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FEF3A85"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7A4B211"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4502765"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20412C8"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15121E6" w14:textId="77777777" w:rsidR="00B56301" w:rsidRPr="00364545" w:rsidRDefault="00B56301" w:rsidP="00B37B65">
            <w:pPr>
              <w:jc w:val="right"/>
              <w:rPr>
                <w:rFonts w:ascii="Times New Roman" w:hAnsi="Times New Roman"/>
                <w:sz w:val="18"/>
                <w:szCs w:val="18"/>
              </w:rPr>
            </w:pPr>
            <w:r w:rsidRPr="00364545">
              <w:rPr>
                <w:sz w:val="18"/>
              </w:rPr>
              <w:t>NA</w:t>
            </w:r>
          </w:p>
        </w:tc>
      </w:tr>
      <w:tr w:rsidR="00B56301" w:rsidRPr="00364545" w14:paraId="0659714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2A9902C"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3E0C9BAF"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4BD6F28"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25E0F32"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D79DDD0"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73F36B9"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F233FF4" w14:textId="77777777" w:rsidR="00B56301" w:rsidRPr="00364545" w:rsidRDefault="00B56301" w:rsidP="00B37B65">
            <w:pPr>
              <w:jc w:val="right"/>
              <w:rPr>
                <w:rFonts w:ascii="Times New Roman" w:hAnsi="Times New Roman"/>
                <w:sz w:val="18"/>
                <w:szCs w:val="18"/>
              </w:rPr>
            </w:pPr>
            <w:r w:rsidRPr="00364545">
              <w:rPr>
                <w:sz w:val="18"/>
              </w:rPr>
              <w:t>NA</w:t>
            </w:r>
          </w:p>
        </w:tc>
      </w:tr>
    </w:tbl>
    <w:p w14:paraId="305C3B9D" w14:textId="77777777" w:rsidR="00B56301" w:rsidRPr="00364545" w:rsidRDefault="00B56301" w:rsidP="00B56301">
      <w:pPr>
        <w:spacing w:line="240" w:lineRule="atLeast"/>
        <w:jc w:val="left"/>
        <w:rPr>
          <w:rFonts w:cs="Arial"/>
        </w:rPr>
      </w:pPr>
    </w:p>
    <w:tbl>
      <w:tblPr>
        <w:tblW w:w="975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364545" w14:paraId="17D6654D"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D67C90E"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GREENHOUSE GAS EMISSIONS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19901D0"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5E77FB4"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2008</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D1AC8AC"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2009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379155BD"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D92F2D3"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97A6736"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2012</w:t>
            </w:r>
          </w:p>
        </w:tc>
      </w:tr>
      <w:tr w:rsidR="00B56301" w:rsidRPr="00364545" w14:paraId="57A8DE5A"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6F8F6EB" w14:textId="5D71137A"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without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82554D5" w14:textId="77777777" w:rsidR="00B56301" w:rsidRPr="00364545" w:rsidRDefault="00B56301" w:rsidP="00B37B65">
            <w:pPr>
              <w:jc w:val="right"/>
              <w:rPr>
                <w:rFonts w:ascii="Times New Roman" w:hAnsi="Times New Roman"/>
                <w:sz w:val="18"/>
                <w:szCs w:val="18"/>
              </w:rPr>
            </w:pPr>
            <w:r w:rsidRPr="00364545">
              <w:rPr>
                <w:sz w:val="18"/>
              </w:rPr>
              <w:t>406199,84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B3469CF" w14:textId="77777777" w:rsidR="00B56301" w:rsidRPr="00364545" w:rsidRDefault="00B56301" w:rsidP="00B37B65">
            <w:pPr>
              <w:jc w:val="right"/>
              <w:rPr>
                <w:rFonts w:ascii="Times New Roman" w:hAnsi="Times New Roman"/>
                <w:sz w:val="18"/>
                <w:szCs w:val="18"/>
              </w:rPr>
            </w:pPr>
            <w:r w:rsidRPr="00364545">
              <w:rPr>
                <w:sz w:val="18"/>
              </w:rPr>
              <w:t>400458,76</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4CC22C3" w14:textId="77777777" w:rsidR="00B56301" w:rsidRPr="00364545" w:rsidRDefault="00B56301" w:rsidP="00B37B65">
            <w:pPr>
              <w:jc w:val="right"/>
              <w:rPr>
                <w:rFonts w:ascii="Times New Roman" w:hAnsi="Times New Roman"/>
                <w:sz w:val="18"/>
                <w:szCs w:val="18"/>
              </w:rPr>
            </w:pPr>
            <w:r w:rsidRPr="00364545">
              <w:rPr>
                <w:sz w:val="18"/>
              </w:rPr>
              <w:t>381064,55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65E505B" w14:textId="77777777" w:rsidR="00B56301" w:rsidRPr="00364545" w:rsidRDefault="00B56301" w:rsidP="00B37B65">
            <w:pPr>
              <w:jc w:val="right"/>
              <w:rPr>
                <w:rFonts w:ascii="Times New Roman" w:hAnsi="Times New Roman"/>
                <w:sz w:val="18"/>
                <w:szCs w:val="18"/>
              </w:rPr>
            </w:pPr>
            <w:r w:rsidRPr="00364545">
              <w:rPr>
                <w:sz w:val="18"/>
              </w:rPr>
              <w:t>386872,04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B3D91C5" w14:textId="77777777" w:rsidR="00B56301" w:rsidRPr="00364545" w:rsidRDefault="00B56301" w:rsidP="00B37B65">
            <w:pPr>
              <w:jc w:val="right"/>
              <w:rPr>
                <w:rFonts w:ascii="Times New Roman" w:hAnsi="Times New Roman"/>
                <w:sz w:val="18"/>
                <w:szCs w:val="18"/>
              </w:rPr>
            </w:pPr>
            <w:r w:rsidRPr="00364545">
              <w:rPr>
                <w:sz w:val="18"/>
              </w:rPr>
              <w:t>364820,42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40DFCD1" w14:textId="77777777" w:rsidR="00B56301" w:rsidRPr="00364545" w:rsidRDefault="00B56301" w:rsidP="00B37B65">
            <w:pPr>
              <w:jc w:val="right"/>
              <w:rPr>
                <w:rFonts w:ascii="Times New Roman" w:hAnsi="Times New Roman"/>
                <w:sz w:val="18"/>
                <w:szCs w:val="18"/>
              </w:rPr>
            </w:pPr>
            <w:r w:rsidRPr="00364545">
              <w:rPr>
                <w:sz w:val="18"/>
              </w:rPr>
              <w:t>367030,67</w:t>
            </w:r>
          </w:p>
        </w:tc>
      </w:tr>
      <w:tr w:rsidR="00B56301" w:rsidRPr="00364545" w14:paraId="48341FF0"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0467096D" w14:textId="61891038"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FE14F32" w14:textId="77777777" w:rsidR="00B56301" w:rsidRPr="00364545" w:rsidRDefault="00B56301" w:rsidP="00B37B65">
            <w:pPr>
              <w:jc w:val="right"/>
              <w:rPr>
                <w:rFonts w:ascii="Times New Roman" w:hAnsi="Times New Roman"/>
                <w:sz w:val="18"/>
                <w:szCs w:val="18"/>
              </w:rPr>
            </w:pPr>
            <w:r w:rsidRPr="00364545">
              <w:rPr>
                <w:sz w:val="18"/>
              </w:rPr>
              <w:t>353644,62</w:t>
            </w:r>
          </w:p>
        </w:tc>
        <w:tc>
          <w:tcPr>
            <w:tcW w:w="992" w:type="dxa"/>
            <w:tcBorders>
              <w:top w:val="nil"/>
              <w:left w:val="nil"/>
              <w:bottom w:val="single" w:sz="4" w:space="0" w:color="auto"/>
              <w:right w:val="single" w:sz="4" w:space="0" w:color="auto"/>
            </w:tcBorders>
            <w:shd w:val="clear" w:color="000000" w:fill="CCFFFF"/>
            <w:noWrap/>
            <w:vAlign w:val="bottom"/>
            <w:hideMark/>
          </w:tcPr>
          <w:p w14:paraId="01A81EA3" w14:textId="77777777" w:rsidR="00B56301" w:rsidRPr="00364545" w:rsidRDefault="00B56301" w:rsidP="00B37B65">
            <w:pPr>
              <w:jc w:val="right"/>
              <w:rPr>
                <w:rFonts w:ascii="Times New Roman" w:hAnsi="Times New Roman"/>
                <w:sz w:val="18"/>
                <w:szCs w:val="18"/>
              </w:rPr>
            </w:pPr>
            <w:r w:rsidRPr="00364545">
              <w:rPr>
                <w:sz w:val="18"/>
              </w:rPr>
              <w:t>348048,72</w:t>
            </w:r>
          </w:p>
        </w:tc>
        <w:tc>
          <w:tcPr>
            <w:tcW w:w="992" w:type="dxa"/>
            <w:tcBorders>
              <w:top w:val="nil"/>
              <w:left w:val="nil"/>
              <w:bottom w:val="single" w:sz="4" w:space="0" w:color="auto"/>
              <w:right w:val="single" w:sz="4" w:space="0" w:color="auto"/>
            </w:tcBorders>
            <w:shd w:val="clear" w:color="000000" w:fill="CCFFFF"/>
            <w:noWrap/>
            <w:vAlign w:val="bottom"/>
            <w:hideMark/>
          </w:tcPr>
          <w:p w14:paraId="29AC153A" w14:textId="77777777" w:rsidR="00B56301" w:rsidRPr="00364545" w:rsidRDefault="00B56301" w:rsidP="00B37B65">
            <w:pPr>
              <w:jc w:val="right"/>
              <w:rPr>
                <w:rFonts w:ascii="Times New Roman" w:hAnsi="Times New Roman"/>
                <w:sz w:val="18"/>
                <w:szCs w:val="18"/>
              </w:rPr>
            </w:pPr>
            <w:r w:rsidRPr="00364545">
              <w:rPr>
                <w:sz w:val="18"/>
              </w:rPr>
              <w:t>339132,78</w:t>
            </w:r>
          </w:p>
        </w:tc>
        <w:tc>
          <w:tcPr>
            <w:tcW w:w="992" w:type="dxa"/>
            <w:tcBorders>
              <w:top w:val="nil"/>
              <w:left w:val="nil"/>
              <w:bottom w:val="single" w:sz="4" w:space="0" w:color="auto"/>
              <w:right w:val="single" w:sz="4" w:space="0" w:color="auto"/>
            </w:tcBorders>
            <w:shd w:val="clear" w:color="000000" w:fill="CCFFFF"/>
            <w:noWrap/>
            <w:vAlign w:val="bottom"/>
            <w:hideMark/>
          </w:tcPr>
          <w:p w14:paraId="49B72CE2" w14:textId="77777777" w:rsidR="00B56301" w:rsidRPr="00364545" w:rsidRDefault="00B56301" w:rsidP="00B37B65">
            <w:pPr>
              <w:jc w:val="right"/>
              <w:rPr>
                <w:rFonts w:ascii="Times New Roman" w:hAnsi="Times New Roman"/>
                <w:sz w:val="18"/>
                <w:szCs w:val="18"/>
              </w:rPr>
            </w:pPr>
            <w:r w:rsidRPr="00364545">
              <w:rPr>
                <w:sz w:val="18"/>
              </w:rPr>
              <w:t>344170,77</w:t>
            </w:r>
          </w:p>
        </w:tc>
        <w:tc>
          <w:tcPr>
            <w:tcW w:w="992" w:type="dxa"/>
            <w:tcBorders>
              <w:top w:val="nil"/>
              <w:left w:val="nil"/>
              <w:bottom w:val="single" w:sz="4" w:space="0" w:color="auto"/>
              <w:right w:val="single" w:sz="4" w:space="0" w:color="auto"/>
            </w:tcBorders>
            <w:shd w:val="clear" w:color="000000" w:fill="CCFFFF"/>
            <w:noWrap/>
            <w:vAlign w:val="bottom"/>
            <w:hideMark/>
          </w:tcPr>
          <w:p w14:paraId="1341C524" w14:textId="77777777" w:rsidR="00B56301" w:rsidRPr="00364545" w:rsidRDefault="00B56301" w:rsidP="00B37B65">
            <w:pPr>
              <w:jc w:val="right"/>
              <w:rPr>
                <w:rFonts w:ascii="Times New Roman" w:hAnsi="Times New Roman"/>
                <w:sz w:val="18"/>
                <w:szCs w:val="18"/>
              </w:rPr>
            </w:pPr>
            <w:r w:rsidRPr="00364545">
              <w:rPr>
                <w:sz w:val="18"/>
              </w:rPr>
              <w:t>322088,69</w:t>
            </w:r>
          </w:p>
        </w:tc>
        <w:tc>
          <w:tcPr>
            <w:tcW w:w="992" w:type="dxa"/>
            <w:tcBorders>
              <w:top w:val="nil"/>
              <w:left w:val="nil"/>
              <w:bottom w:val="single" w:sz="4" w:space="0" w:color="auto"/>
              <w:right w:val="single" w:sz="4" w:space="0" w:color="auto"/>
            </w:tcBorders>
            <w:shd w:val="clear" w:color="000000" w:fill="CCFFFF"/>
            <w:noWrap/>
            <w:vAlign w:val="bottom"/>
            <w:hideMark/>
          </w:tcPr>
          <w:p w14:paraId="5D34A894" w14:textId="77777777" w:rsidR="00B56301" w:rsidRPr="00364545" w:rsidRDefault="00B56301" w:rsidP="00B37B65">
            <w:pPr>
              <w:jc w:val="right"/>
              <w:rPr>
                <w:rFonts w:ascii="Times New Roman" w:hAnsi="Times New Roman"/>
                <w:sz w:val="18"/>
                <w:szCs w:val="18"/>
              </w:rPr>
            </w:pPr>
            <w:r w:rsidRPr="00364545">
              <w:rPr>
                <w:sz w:val="18"/>
              </w:rPr>
              <w:t>321847,33</w:t>
            </w:r>
          </w:p>
        </w:tc>
      </w:tr>
      <w:tr w:rsidR="00B56301" w:rsidRPr="00364545" w14:paraId="34F20CF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2BA22CA" w14:textId="3F1D41D0"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without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09D568BE" w14:textId="77777777" w:rsidR="00B56301" w:rsidRPr="00364545" w:rsidRDefault="00B56301" w:rsidP="00B37B65">
            <w:pPr>
              <w:jc w:val="right"/>
              <w:rPr>
                <w:rFonts w:ascii="Times New Roman" w:hAnsi="Times New Roman"/>
                <w:sz w:val="18"/>
                <w:szCs w:val="18"/>
              </w:rPr>
            </w:pPr>
            <w:r w:rsidRPr="00364545">
              <w:rPr>
                <w:sz w:val="18"/>
              </w:rPr>
              <w:t>62829,66</w:t>
            </w:r>
          </w:p>
        </w:tc>
        <w:tc>
          <w:tcPr>
            <w:tcW w:w="992" w:type="dxa"/>
            <w:tcBorders>
              <w:top w:val="nil"/>
              <w:left w:val="nil"/>
              <w:bottom w:val="single" w:sz="4" w:space="0" w:color="auto"/>
              <w:right w:val="single" w:sz="4" w:space="0" w:color="auto"/>
            </w:tcBorders>
            <w:shd w:val="clear" w:color="000000" w:fill="CCFFFF"/>
            <w:noWrap/>
            <w:vAlign w:val="bottom"/>
            <w:hideMark/>
          </w:tcPr>
          <w:p w14:paraId="5B1FEDD4" w14:textId="77777777" w:rsidR="00B56301" w:rsidRPr="00364545" w:rsidRDefault="00B56301" w:rsidP="00B37B65">
            <w:pPr>
              <w:jc w:val="right"/>
              <w:rPr>
                <w:rFonts w:ascii="Times New Roman" w:hAnsi="Times New Roman"/>
                <w:sz w:val="18"/>
                <w:szCs w:val="18"/>
              </w:rPr>
            </w:pPr>
            <w:r w:rsidRPr="00364545">
              <w:rPr>
                <w:sz w:val="18"/>
              </w:rPr>
              <w:t>63099,53</w:t>
            </w:r>
          </w:p>
        </w:tc>
        <w:tc>
          <w:tcPr>
            <w:tcW w:w="992" w:type="dxa"/>
            <w:tcBorders>
              <w:top w:val="nil"/>
              <w:left w:val="nil"/>
              <w:bottom w:val="single" w:sz="4" w:space="0" w:color="auto"/>
              <w:right w:val="single" w:sz="4" w:space="0" w:color="auto"/>
            </w:tcBorders>
            <w:shd w:val="clear" w:color="000000" w:fill="CCFFFF"/>
            <w:noWrap/>
            <w:vAlign w:val="bottom"/>
            <w:hideMark/>
          </w:tcPr>
          <w:p w14:paraId="72F3CFAE" w14:textId="77777777" w:rsidR="00B56301" w:rsidRPr="00364545" w:rsidRDefault="00B56301" w:rsidP="00B37B65">
            <w:pPr>
              <w:jc w:val="right"/>
              <w:rPr>
                <w:rFonts w:ascii="Times New Roman" w:hAnsi="Times New Roman"/>
                <w:sz w:val="18"/>
                <w:szCs w:val="18"/>
              </w:rPr>
            </w:pPr>
            <w:r w:rsidRPr="00364545">
              <w:rPr>
                <w:sz w:val="18"/>
              </w:rPr>
              <w:t>61973,75</w:t>
            </w:r>
          </w:p>
        </w:tc>
        <w:tc>
          <w:tcPr>
            <w:tcW w:w="992" w:type="dxa"/>
            <w:tcBorders>
              <w:top w:val="nil"/>
              <w:left w:val="nil"/>
              <w:bottom w:val="single" w:sz="4" w:space="0" w:color="auto"/>
              <w:right w:val="single" w:sz="4" w:space="0" w:color="auto"/>
            </w:tcBorders>
            <w:shd w:val="clear" w:color="000000" w:fill="CCFFFF"/>
            <w:noWrap/>
            <w:vAlign w:val="bottom"/>
            <w:hideMark/>
          </w:tcPr>
          <w:p w14:paraId="0E73351C" w14:textId="77777777" w:rsidR="00B56301" w:rsidRPr="00364545" w:rsidRDefault="00B56301" w:rsidP="00B37B65">
            <w:pPr>
              <w:jc w:val="right"/>
              <w:rPr>
                <w:rFonts w:ascii="Times New Roman" w:hAnsi="Times New Roman"/>
                <w:sz w:val="18"/>
                <w:szCs w:val="18"/>
              </w:rPr>
            </w:pPr>
            <w:r w:rsidRPr="00364545">
              <w:rPr>
                <w:sz w:val="18"/>
              </w:rPr>
              <w:t>61663,32</w:t>
            </w:r>
          </w:p>
        </w:tc>
        <w:tc>
          <w:tcPr>
            <w:tcW w:w="992" w:type="dxa"/>
            <w:tcBorders>
              <w:top w:val="nil"/>
              <w:left w:val="nil"/>
              <w:bottom w:val="single" w:sz="4" w:space="0" w:color="auto"/>
              <w:right w:val="single" w:sz="4" w:space="0" w:color="auto"/>
            </w:tcBorders>
            <w:shd w:val="clear" w:color="000000" w:fill="CCFFFF"/>
            <w:noWrap/>
            <w:vAlign w:val="bottom"/>
            <w:hideMark/>
          </w:tcPr>
          <w:p w14:paraId="74C9200D" w14:textId="77777777" w:rsidR="00B56301" w:rsidRPr="00364545" w:rsidRDefault="00B56301" w:rsidP="00B37B65">
            <w:pPr>
              <w:jc w:val="right"/>
              <w:rPr>
                <w:rFonts w:ascii="Times New Roman" w:hAnsi="Times New Roman"/>
                <w:sz w:val="18"/>
                <w:szCs w:val="18"/>
              </w:rPr>
            </w:pPr>
            <w:r w:rsidRPr="00364545">
              <w:rPr>
                <w:sz w:val="18"/>
              </w:rPr>
              <w:t>60479,26</w:t>
            </w:r>
          </w:p>
        </w:tc>
        <w:tc>
          <w:tcPr>
            <w:tcW w:w="992" w:type="dxa"/>
            <w:tcBorders>
              <w:top w:val="nil"/>
              <w:left w:val="nil"/>
              <w:bottom w:val="single" w:sz="4" w:space="0" w:color="auto"/>
              <w:right w:val="single" w:sz="4" w:space="0" w:color="auto"/>
            </w:tcBorders>
            <w:shd w:val="clear" w:color="000000" w:fill="CCFFFF"/>
            <w:noWrap/>
            <w:vAlign w:val="bottom"/>
            <w:hideMark/>
          </w:tcPr>
          <w:p w14:paraId="62DF8B5B" w14:textId="77777777" w:rsidR="00B56301" w:rsidRPr="00364545" w:rsidRDefault="00B56301" w:rsidP="00B37B65">
            <w:pPr>
              <w:jc w:val="right"/>
              <w:rPr>
                <w:rFonts w:ascii="Times New Roman" w:hAnsi="Times New Roman"/>
                <w:sz w:val="18"/>
                <w:szCs w:val="18"/>
              </w:rPr>
            </w:pPr>
            <w:r w:rsidRPr="00364545">
              <w:rPr>
                <w:sz w:val="18"/>
              </w:rPr>
              <w:t>59243,34</w:t>
            </w:r>
          </w:p>
        </w:tc>
      </w:tr>
      <w:tr w:rsidR="00B56301" w:rsidRPr="00364545" w14:paraId="0676E9F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4E8DABE" w14:textId="38F1943D"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41C7188" w14:textId="77777777" w:rsidR="00B56301" w:rsidRPr="00364545" w:rsidRDefault="00B56301" w:rsidP="00B37B65">
            <w:pPr>
              <w:jc w:val="right"/>
              <w:rPr>
                <w:rFonts w:ascii="Times New Roman" w:hAnsi="Times New Roman"/>
                <w:sz w:val="18"/>
                <w:szCs w:val="18"/>
              </w:rPr>
            </w:pPr>
            <w:r w:rsidRPr="00364545">
              <w:rPr>
                <w:sz w:val="18"/>
              </w:rPr>
              <w:t>63964,95</w:t>
            </w:r>
          </w:p>
        </w:tc>
        <w:tc>
          <w:tcPr>
            <w:tcW w:w="992" w:type="dxa"/>
            <w:tcBorders>
              <w:top w:val="nil"/>
              <w:left w:val="nil"/>
              <w:bottom w:val="single" w:sz="4" w:space="0" w:color="auto"/>
              <w:right w:val="single" w:sz="4" w:space="0" w:color="auto"/>
            </w:tcBorders>
            <w:shd w:val="clear" w:color="000000" w:fill="CCFFFF"/>
            <w:noWrap/>
            <w:vAlign w:val="bottom"/>
            <w:hideMark/>
          </w:tcPr>
          <w:p w14:paraId="423C4553" w14:textId="77777777" w:rsidR="00B56301" w:rsidRPr="00364545" w:rsidRDefault="00B56301" w:rsidP="00B37B65">
            <w:pPr>
              <w:jc w:val="right"/>
              <w:rPr>
                <w:rFonts w:ascii="Times New Roman" w:hAnsi="Times New Roman"/>
                <w:sz w:val="18"/>
                <w:szCs w:val="18"/>
              </w:rPr>
            </w:pPr>
            <w:r w:rsidRPr="00364545">
              <w:rPr>
                <w:sz w:val="18"/>
              </w:rPr>
              <w:t>64199,20</w:t>
            </w:r>
          </w:p>
        </w:tc>
        <w:tc>
          <w:tcPr>
            <w:tcW w:w="992" w:type="dxa"/>
            <w:tcBorders>
              <w:top w:val="nil"/>
              <w:left w:val="nil"/>
              <w:bottom w:val="single" w:sz="4" w:space="0" w:color="auto"/>
              <w:right w:val="single" w:sz="4" w:space="0" w:color="auto"/>
            </w:tcBorders>
            <w:shd w:val="clear" w:color="000000" w:fill="CCFFFF"/>
            <w:noWrap/>
            <w:vAlign w:val="bottom"/>
            <w:hideMark/>
          </w:tcPr>
          <w:p w14:paraId="1D3C4F9B" w14:textId="77777777" w:rsidR="00B56301" w:rsidRPr="00364545" w:rsidRDefault="00B56301" w:rsidP="00B37B65">
            <w:pPr>
              <w:jc w:val="right"/>
              <w:rPr>
                <w:rFonts w:ascii="Times New Roman" w:hAnsi="Times New Roman"/>
                <w:sz w:val="18"/>
                <w:szCs w:val="18"/>
              </w:rPr>
            </w:pPr>
            <w:r w:rsidRPr="00364545">
              <w:rPr>
                <w:sz w:val="18"/>
              </w:rPr>
              <w:t>63092,13</w:t>
            </w:r>
          </w:p>
        </w:tc>
        <w:tc>
          <w:tcPr>
            <w:tcW w:w="992" w:type="dxa"/>
            <w:tcBorders>
              <w:top w:val="nil"/>
              <w:left w:val="nil"/>
              <w:bottom w:val="single" w:sz="4" w:space="0" w:color="auto"/>
              <w:right w:val="single" w:sz="4" w:space="0" w:color="auto"/>
            </w:tcBorders>
            <w:shd w:val="clear" w:color="000000" w:fill="CCFFFF"/>
            <w:noWrap/>
            <w:vAlign w:val="bottom"/>
            <w:hideMark/>
          </w:tcPr>
          <w:p w14:paraId="2DC6A79B" w14:textId="77777777" w:rsidR="00B56301" w:rsidRPr="00364545" w:rsidRDefault="00B56301" w:rsidP="00B37B65">
            <w:pPr>
              <w:jc w:val="right"/>
              <w:rPr>
                <w:rFonts w:ascii="Times New Roman" w:hAnsi="Times New Roman"/>
                <w:sz w:val="18"/>
                <w:szCs w:val="18"/>
              </w:rPr>
            </w:pPr>
            <w:r w:rsidRPr="00364545">
              <w:rPr>
                <w:sz w:val="18"/>
              </w:rPr>
              <w:t>62793,19</w:t>
            </w:r>
          </w:p>
        </w:tc>
        <w:tc>
          <w:tcPr>
            <w:tcW w:w="992" w:type="dxa"/>
            <w:tcBorders>
              <w:top w:val="nil"/>
              <w:left w:val="nil"/>
              <w:bottom w:val="single" w:sz="4" w:space="0" w:color="auto"/>
              <w:right w:val="single" w:sz="4" w:space="0" w:color="auto"/>
            </w:tcBorders>
            <w:shd w:val="clear" w:color="000000" w:fill="CCFFFF"/>
            <w:noWrap/>
            <w:vAlign w:val="bottom"/>
            <w:hideMark/>
          </w:tcPr>
          <w:p w14:paraId="3918A4EC" w14:textId="77777777" w:rsidR="00B56301" w:rsidRPr="00364545" w:rsidRDefault="00B56301" w:rsidP="00B37B65">
            <w:pPr>
              <w:jc w:val="right"/>
              <w:rPr>
                <w:rFonts w:ascii="Times New Roman" w:hAnsi="Times New Roman"/>
                <w:sz w:val="18"/>
                <w:szCs w:val="18"/>
              </w:rPr>
            </w:pPr>
            <w:r w:rsidRPr="00364545">
              <w:rPr>
                <w:sz w:val="18"/>
              </w:rPr>
              <w:t>61586,19</w:t>
            </w:r>
          </w:p>
        </w:tc>
        <w:tc>
          <w:tcPr>
            <w:tcW w:w="992" w:type="dxa"/>
            <w:tcBorders>
              <w:top w:val="nil"/>
              <w:left w:val="nil"/>
              <w:bottom w:val="single" w:sz="4" w:space="0" w:color="auto"/>
              <w:right w:val="single" w:sz="4" w:space="0" w:color="auto"/>
            </w:tcBorders>
            <w:shd w:val="clear" w:color="000000" w:fill="CCFFFF"/>
            <w:noWrap/>
            <w:vAlign w:val="bottom"/>
            <w:hideMark/>
          </w:tcPr>
          <w:p w14:paraId="017BD3BF" w14:textId="77777777" w:rsidR="00B56301" w:rsidRPr="00364545" w:rsidRDefault="00B56301" w:rsidP="00B37B65">
            <w:pPr>
              <w:jc w:val="right"/>
              <w:rPr>
                <w:rFonts w:ascii="Times New Roman" w:hAnsi="Times New Roman"/>
                <w:sz w:val="18"/>
                <w:szCs w:val="18"/>
              </w:rPr>
            </w:pPr>
            <w:r w:rsidRPr="00364545">
              <w:rPr>
                <w:sz w:val="18"/>
              </w:rPr>
              <w:t>60332,74</w:t>
            </w:r>
          </w:p>
        </w:tc>
      </w:tr>
      <w:tr w:rsidR="00B56301" w:rsidRPr="00364545" w14:paraId="42364AB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AFB0061" w14:textId="016EC707" w:rsidR="00B56301" w:rsidRPr="00364545" w:rsidRDefault="00F80CAB" w:rsidP="00B37B65">
            <w:pPr>
              <w:jc w:val="left"/>
              <w:rPr>
                <w:rFonts w:ascii="Times New Roman" w:hAnsi="Times New Roman"/>
                <w:sz w:val="18"/>
                <w:szCs w:val="18"/>
              </w:rPr>
            </w:pPr>
            <w:r w:rsidRPr="00364545">
              <w:t>N</w:t>
            </w:r>
            <w:r w:rsidRPr="00364545">
              <w:rPr>
                <w:vertAlign w:val="subscript"/>
              </w:rPr>
              <w:t>2</w:t>
            </w:r>
            <w:r w:rsidRPr="00364545">
              <w:t xml:space="preserve">O </w:t>
            </w:r>
            <w:r w:rsidRPr="00364545">
              <w:rPr>
                <w:rFonts w:ascii="Times New Roman" w:hAnsi="Times New Roman"/>
                <w:sz w:val="18"/>
              </w:rPr>
              <w:t xml:space="preserve">emissions without </w:t>
            </w:r>
            <w:r w:rsidRPr="00364545">
              <w:t>N</w:t>
            </w:r>
            <w:r w:rsidRPr="00364545">
              <w:rPr>
                <w:vertAlign w:val="subscript"/>
              </w:rPr>
              <w:t>2</w:t>
            </w:r>
            <w:r w:rsidRPr="00364545">
              <w:t xml:space="preserve">O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A4A3F12" w14:textId="77777777" w:rsidR="00B56301" w:rsidRPr="00364545" w:rsidRDefault="00B56301" w:rsidP="00B37B65">
            <w:pPr>
              <w:jc w:val="right"/>
              <w:rPr>
                <w:rFonts w:ascii="Times New Roman" w:hAnsi="Times New Roman"/>
                <w:sz w:val="18"/>
                <w:szCs w:val="18"/>
              </w:rPr>
            </w:pPr>
            <w:r w:rsidRPr="00364545">
              <w:rPr>
                <w:sz w:val="18"/>
              </w:rPr>
              <w:t>44974,63</w:t>
            </w:r>
          </w:p>
        </w:tc>
        <w:tc>
          <w:tcPr>
            <w:tcW w:w="992" w:type="dxa"/>
            <w:tcBorders>
              <w:top w:val="nil"/>
              <w:left w:val="nil"/>
              <w:bottom w:val="single" w:sz="4" w:space="0" w:color="auto"/>
              <w:right w:val="single" w:sz="4" w:space="0" w:color="auto"/>
            </w:tcBorders>
            <w:shd w:val="clear" w:color="000000" w:fill="CCFFFF"/>
            <w:noWrap/>
            <w:vAlign w:val="bottom"/>
            <w:hideMark/>
          </w:tcPr>
          <w:p w14:paraId="7D626812" w14:textId="77777777" w:rsidR="00B56301" w:rsidRPr="00364545" w:rsidRDefault="00B56301" w:rsidP="00B37B65">
            <w:pPr>
              <w:jc w:val="right"/>
              <w:rPr>
                <w:rFonts w:ascii="Times New Roman" w:hAnsi="Times New Roman"/>
                <w:sz w:val="18"/>
                <w:szCs w:val="18"/>
              </w:rPr>
            </w:pPr>
            <w:r w:rsidRPr="00364545">
              <w:rPr>
                <w:sz w:val="18"/>
              </w:rPr>
              <w:t>44234,60</w:t>
            </w:r>
          </w:p>
        </w:tc>
        <w:tc>
          <w:tcPr>
            <w:tcW w:w="992" w:type="dxa"/>
            <w:tcBorders>
              <w:top w:val="nil"/>
              <w:left w:val="nil"/>
              <w:bottom w:val="single" w:sz="4" w:space="0" w:color="auto"/>
              <w:right w:val="single" w:sz="4" w:space="0" w:color="auto"/>
            </w:tcBorders>
            <w:shd w:val="clear" w:color="000000" w:fill="CCFFFF"/>
            <w:noWrap/>
            <w:vAlign w:val="bottom"/>
            <w:hideMark/>
          </w:tcPr>
          <w:p w14:paraId="433F6A85" w14:textId="77777777" w:rsidR="00B56301" w:rsidRPr="00364545" w:rsidRDefault="00B56301" w:rsidP="00B37B65">
            <w:pPr>
              <w:jc w:val="right"/>
              <w:rPr>
                <w:rFonts w:ascii="Times New Roman" w:hAnsi="Times New Roman"/>
                <w:sz w:val="18"/>
                <w:szCs w:val="18"/>
              </w:rPr>
            </w:pPr>
            <w:r w:rsidRPr="00364545">
              <w:rPr>
                <w:sz w:val="18"/>
              </w:rPr>
              <w:t>42654,64</w:t>
            </w:r>
          </w:p>
        </w:tc>
        <w:tc>
          <w:tcPr>
            <w:tcW w:w="992" w:type="dxa"/>
            <w:tcBorders>
              <w:top w:val="nil"/>
              <w:left w:val="nil"/>
              <w:bottom w:val="single" w:sz="4" w:space="0" w:color="auto"/>
              <w:right w:val="single" w:sz="4" w:space="0" w:color="auto"/>
            </w:tcBorders>
            <w:shd w:val="clear" w:color="000000" w:fill="CCFFFF"/>
            <w:noWrap/>
            <w:vAlign w:val="bottom"/>
            <w:hideMark/>
          </w:tcPr>
          <w:p w14:paraId="72E648CE" w14:textId="77777777" w:rsidR="00B56301" w:rsidRPr="00364545" w:rsidRDefault="00B56301" w:rsidP="00B37B65">
            <w:pPr>
              <w:jc w:val="right"/>
              <w:rPr>
                <w:rFonts w:ascii="Times New Roman" w:hAnsi="Times New Roman"/>
                <w:sz w:val="18"/>
                <w:szCs w:val="18"/>
              </w:rPr>
            </w:pPr>
            <w:r w:rsidRPr="00364545">
              <w:rPr>
                <w:sz w:val="18"/>
              </w:rPr>
              <w:t>40477,95</w:t>
            </w:r>
          </w:p>
        </w:tc>
        <w:tc>
          <w:tcPr>
            <w:tcW w:w="992" w:type="dxa"/>
            <w:tcBorders>
              <w:top w:val="nil"/>
              <w:left w:val="nil"/>
              <w:bottom w:val="single" w:sz="4" w:space="0" w:color="auto"/>
              <w:right w:val="single" w:sz="4" w:space="0" w:color="auto"/>
            </w:tcBorders>
            <w:shd w:val="clear" w:color="000000" w:fill="CCFFFF"/>
            <w:noWrap/>
            <w:vAlign w:val="bottom"/>
            <w:hideMark/>
          </w:tcPr>
          <w:p w14:paraId="0783F489" w14:textId="77777777" w:rsidR="00B56301" w:rsidRPr="00364545" w:rsidRDefault="00B56301" w:rsidP="00B37B65">
            <w:pPr>
              <w:jc w:val="right"/>
              <w:rPr>
                <w:rFonts w:ascii="Times New Roman" w:hAnsi="Times New Roman"/>
                <w:sz w:val="18"/>
                <w:szCs w:val="18"/>
              </w:rPr>
            </w:pPr>
            <w:r w:rsidRPr="00364545">
              <w:rPr>
                <w:sz w:val="18"/>
              </w:rPr>
              <w:t>38878,98</w:t>
            </w:r>
          </w:p>
        </w:tc>
        <w:tc>
          <w:tcPr>
            <w:tcW w:w="992" w:type="dxa"/>
            <w:tcBorders>
              <w:top w:val="nil"/>
              <w:left w:val="nil"/>
              <w:bottom w:val="single" w:sz="4" w:space="0" w:color="auto"/>
              <w:right w:val="single" w:sz="4" w:space="0" w:color="auto"/>
            </w:tcBorders>
            <w:shd w:val="clear" w:color="000000" w:fill="CCFFFF"/>
            <w:noWrap/>
            <w:vAlign w:val="bottom"/>
            <w:hideMark/>
          </w:tcPr>
          <w:p w14:paraId="6C48DC3F" w14:textId="77777777" w:rsidR="00B56301" w:rsidRPr="00364545" w:rsidRDefault="00B56301" w:rsidP="00B37B65">
            <w:pPr>
              <w:jc w:val="right"/>
              <w:rPr>
                <w:rFonts w:ascii="Times New Roman" w:hAnsi="Times New Roman"/>
                <w:sz w:val="18"/>
                <w:szCs w:val="18"/>
              </w:rPr>
            </w:pPr>
            <w:r w:rsidRPr="00364545">
              <w:rPr>
                <w:sz w:val="18"/>
              </w:rPr>
              <w:t>39163,80</w:t>
            </w:r>
          </w:p>
        </w:tc>
      </w:tr>
      <w:tr w:rsidR="00B56301" w:rsidRPr="00364545" w14:paraId="5C02E502"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7DDCCDD" w14:textId="1DC640EA" w:rsidR="00B56301" w:rsidRPr="00364545" w:rsidRDefault="00F80CAB" w:rsidP="00B37B65">
            <w:pPr>
              <w:jc w:val="left"/>
              <w:rPr>
                <w:rFonts w:ascii="Times New Roman" w:hAnsi="Times New Roman"/>
                <w:sz w:val="18"/>
                <w:szCs w:val="18"/>
              </w:rPr>
            </w:pP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 xml:space="preserve">emissions with </w:t>
            </w: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53090776" w14:textId="77777777" w:rsidR="00B56301" w:rsidRPr="00364545" w:rsidRDefault="00B56301" w:rsidP="00B37B65">
            <w:pPr>
              <w:jc w:val="right"/>
              <w:rPr>
                <w:rFonts w:ascii="Times New Roman" w:hAnsi="Times New Roman"/>
                <w:sz w:val="18"/>
                <w:szCs w:val="18"/>
              </w:rPr>
            </w:pPr>
            <w:r w:rsidRPr="00364545">
              <w:rPr>
                <w:sz w:val="18"/>
              </w:rPr>
              <w:t>48032,86</w:t>
            </w:r>
          </w:p>
        </w:tc>
        <w:tc>
          <w:tcPr>
            <w:tcW w:w="992" w:type="dxa"/>
            <w:tcBorders>
              <w:top w:val="nil"/>
              <w:left w:val="nil"/>
              <w:bottom w:val="single" w:sz="4" w:space="0" w:color="auto"/>
              <w:right w:val="single" w:sz="4" w:space="0" w:color="auto"/>
            </w:tcBorders>
            <w:shd w:val="clear" w:color="000000" w:fill="CCFFFF"/>
            <w:noWrap/>
            <w:vAlign w:val="bottom"/>
            <w:hideMark/>
          </w:tcPr>
          <w:p w14:paraId="1C701728" w14:textId="77777777" w:rsidR="00B56301" w:rsidRPr="00364545" w:rsidRDefault="00B56301" w:rsidP="00B37B65">
            <w:pPr>
              <w:jc w:val="right"/>
              <w:rPr>
                <w:rFonts w:ascii="Times New Roman" w:hAnsi="Times New Roman"/>
                <w:sz w:val="18"/>
                <w:szCs w:val="18"/>
              </w:rPr>
            </w:pPr>
            <w:r w:rsidRPr="00364545">
              <w:rPr>
                <w:sz w:val="18"/>
              </w:rPr>
              <w:t>47391,61</w:t>
            </w:r>
          </w:p>
        </w:tc>
        <w:tc>
          <w:tcPr>
            <w:tcW w:w="992" w:type="dxa"/>
            <w:tcBorders>
              <w:top w:val="nil"/>
              <w:left w:val="nil"/>
              <w:bottom w:val="single" w:sz="4" w:space="0" w:color="auto"/>
              <w:right w:val="single" w:sz="4" w:space="0" w:color="auto"/>
            </w:tcBorders>
            <w:shd w:val="clear" w:color="000000" w:fill="CCFFFF"/>
            <w:noWrap/>
            <w:vAlign w:val="bottom"/>
            <w:hideMark/>
          </w:tcPr>
          <w:p w14:paraId="1335127B" w14:textId="77777777" w:rsidR="00B56301" w:rsidRPr="00364545" w:rsidRDefault="00B56301" w:rsidP="00B37B65">
            <w:pPr>
              <w:jc w:val="right"/>
              <w:rPr>
                <w:rFonts w:ascii="Times New Roman" w:hAnsi="Times New Roman"/>
                <w:sz w:val="18"/>
                <w:szCs w:val="18"/>
              </w:rPr>
            </w:pPr>
            <w:r w:rsidRPr="00364545">
              <w:rPr>
                <w:sz w:val="18"/>
              </w:rPr>
              <w:t>45860,40</w:t>
            </w:r>
          </w:p>
        </w:tc>
        <w:tc>
          <w:tcPr>
            <w:tcW w:w="992" w:type="dxa"/>
            <w:tcBorders>
              <w:top w:val="nil"/>
              <w:left w:val="nil"/>
              <w:bottom w:val="single" w:sz="4" w:space="0" w:color="auto"/>
              <w:right w:val="single" w:sz="4" w:space="0" w:color="auto"/>
            </w:tcBorders>
            <w:shd w:val="clear" w:color="000000" w:fill="CCFFFF"/>
            <w:noWrap/>
            <w:vAlign w:val="bottom"/>
            <w:hideMark/>
          </w:tcPr>
          <w:p w14:paraId="7612ADF4" w14:textId="77777777" w:rsidR="00B56301" w:rsidRPr="00364545" w:rsidRDefault="00B56301" w:rsidP="00B37B65">
            <w:pPr>
              <w:jc w:val="right"/>
              <w:rPr>
                <w:rFonts w:ascii="Times New Roman" w:hAnsi="Times New Roman"/>
                <w:sz w:val="18"/>
                <w:szCs w:val="18"/>
              </w:rPr>
            </w:pPr>
            <w:r w:rsidRPr="00364545">
              <w:rPr>
                <w:sz w:val="18"/>
              </w:rPr>
              <w:t>43694,32</w:t>
            </w:r>
          </w:p>
        </w:tc>
        <w:tc>
          <w:tcPr>
            <w:tcW w:w="992" w:type="dxa"/>
            <w:tcBorders>
              <w:top w:val="nil"/>
              <w:left w:val="nil"/>
              <w:bottom w:val="single" w:sz="4" w:space="0" w:color="auto"/>
              <w:right w:val="single" w:sz="4" w:space="0" w:color="auto"/>
            </w:tcBorders>
            <w:shd w:val="clear" w:color="000000" w:fill="CCFFFF"/>
            <w:noWrap/>
            <w:vAlign w:val="bottom"/>
            <w:hideMark/>
          </w:tcPr>
          <w:p w14:paraId="45A86F76" w14:textId="77777777" w:rsidR="00B56301" w:rsidRPr="00364545" w:rsidRDefault="00B56301" w:rsidP="00B37B65">
            <w:pPr>
              <w:jc w:val="right"/>
              <w:rPr>
                <w:rFonts w:ascii="Times New Roman" w:hAnsi="Times New Roman"/>
                <w:sz w:val="18"/>
                <w:szCs w:val="18"/>
              </w:rPr>
            </w:pPr>
            <w:r w:rsidRPr="00364545">
              <w:rPr>
                <w:sz w:val="18"/>
              </w:rPr>
              <w:t>42046,41</w:t>
            </w:r>
          </w:p>
        </w:tc>
        <w:tc>
          <w:tcPr>
            <w:tcW w:w="992" w:type="dxa"/>
            <w:tcBorders>
              <w:top w:val="nil"/>
              <w:left w:val="nil"/>
              <w:bottom w:val="single" w:sz="4" w:space="0" w:color="auto"/>
              <w:right w:val="single" w:sz="4" w:space="0" w:color="auto"/>
            </w:tcBorders>
            <w:shd w:val="clear" w:color="000000" w:fill="CCFFFF"/>
            <w:noWrap/>
            <w:vAlign w:val="bottom"/>
            <w:hideMark/>
          </w:tcPr>
          <w:p w14:paraId="69C8EB97" w14:textId="77777777" w:rsidR="00B56301" w:rsidRPr="00364545" w:rsidRDefault="00B56301" w:rsidP="00B37B65">
            <w:pPr>
              <w:jc w:val="right"/>
              <w:rPr>
                <w:rFonts w:ascii="Times New Roman" w:hAnsi="Times New Roman"/>
                <w:sz w:val="18"/>
                <w:szCs w:val="18"/>
              </w:rPr>
            </w:pPr>
            <w:r w:rsidRPr="00364545">
              <w:rPr>
                <w:sz w:val="18"/>
              </w:rPr>
              <w:t>42263,79</w:t>
            </w:r>
          </w:p>
        </w:tc>
      </w:tr>
      <w:tr w:rsidR="00B56301" w:rsidRPr="00364545" w14:paraId="4F317457"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6185FCE"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20205920" w14:textId="77777777" w:rsidR="00B56301" w:rsidRPr="00364545" w:rsidRDefault="00B56301" w:rsidP="00B37B65">
            <w:pPr>
              <w:jc w:val="right"/>
              <w:rPr>
                <w:rFonts w:ascii="Times New Roman" w:hAnsi="Times New Roman"/>
                <w:sz w:val="18"/>
                <w:szCs w:val="18"/>
              </w:rPr>
            </w:pPr>
            <w:r w:rsidRPr="00364545">
              <w:rPr>
                <w:sz w:val="18"/>
              </w:rPr>
              <w:t>15199,26</w:t>
            </w:r>
          </w:p>
        </w:tc>
        <w:tc>
          <w:tcPr>
            <w:tcW w:w="992" w:type="dxa"/>
            <w:tcBorders>
              <w:top w:val="nil"/>
              <w:left w:val="nil"/>
              <w:bottom w:val="single" w:sz="4" w:space="0" w:color="auto"/>
              <w:right w:val="single" w:sz="4" w:space="0" w:color="auto"/>
            </w:tcBorders>
            <w:shd w:val="clear" w:color="000000" w:fill="CCFFFF"/>
            <w:noWrap/>
            <w:vAlign w:val="bottom"/>
            <w:hideMark/>
          </w:tcPr>
          <w:p w14:paraId="1407DAB3" w14:textId="77777777" w:rsidR="00B56301" w:rsidRPr="00364545" w:rsidRDefault="00B56301" w:rsidP="00B37B65">
            <w:pPr>
              <w:jc w:val="right"/>
              <w:rPr>
                <w:rFonts w:ascii="Times New Roman" w:hAnsi="Times New Roman"/>
                <w:sz w:val="18"/>
                <w:szCs w:val="18"/>
              </w:rPr>
            </w:pPr>
            <w:r w:rsidRPr="00364545">
              <w:rPr>
                <w:sz w:val="18"/>
              </w:rPr>
              <w:t>16307,53</w:t>
            </w:r>
          </w:p>
        </w:tc>
        <w:tc>
          <w:tcPr>
            <w:tcW w:w="992" w:type="dxa"/>
            <w:tcBorders>
              <w:top w:val="nil"/>
              <w:left w:val="nil"/>
              <w:bottom w:val="single" w:sz="4" w:space="0" w:color="auto"/>
              <w:right w:val="single" w:sz="4" w:space="0" w:color="auto"/>
            </w:tcBorders>
            <w:shd w:val="clear" w:color="000000" w:fill="CCFFFF"/>
            <w:noWrap/>
            <w:vAlign w:val="bottom"/>
            <w:hideMark/>
          </w:tcPr>
          <w:p w14:paraId="0C5DAFBD" w14:textId="77777777" w:rsidR="00B56301" w:rsidRPr="00364545" w:rsidRDefault="00B56301" w:rsidP="00B37B65">
            <w:pPr>
              <w:jc w:val="right"/>
              <w:rPr>
                <w:rFonts w:ascii="Times New Roman" w:hAnsi="Times New Roman"/>
                <w:sz w:val="18"/>
                <w:szCs w:val="18"/>
              </w:rPr>
            </w:pPr>
            <w:r w:rsidRPr="00364545">
              <w:rPr>
                <w:sz w:val="18"/>
              </w:rPr>
              <w:t>16206,87</w:t>
            </w:r>
          </w:p>
        </w:tc>
        <w:tc>
          <w:tcPr>
            <w:tcW w:w="992" w:type="dxa"/>
            <w:tcBorders>
              <w:top w:val="nil"/>
              <w:left w:val="nil"/>
              <w:bottom w:val="single" w:sz="4" w:space="0" w:color="auto"/>
              <w:right w:val="single" w:sz="4" w:space="0" w:color="auto"/>
            </w:tcBorders>
            <w:shd w:val="clear" w:color="000000" w:fill="CCFFFF"/>
            <w:noWrap/>
            <w:vAlign w:val="bottom"/>
            <w:hideMark/>
          </w:tcPr>
          <w:p w14:paraId="012BADAC" w14:textId="77777777" w:rsidR="00B56301" w:rsidRPr="00364545" w:rsidRDefault="00B56301" w:rsidP="00B37B65">
            <w:pPr>
              <w:jc w:val="right"/>
              <w:rPr>
                <w:rFonts w:ascii="Times New Roman" w:hAnsi="Times New Roman"/>
                <w:sz w:val="18"/>
                <w:szCs w:val="18"/>
              </w:rPr>
            </w:pPr>
            <w:r w:rsidRPr="00364545">
              <w:rPr>
                <w:sz w:val="18"/>
              </w:rPr>
              <w:t>16930,10</w:t>
            </w:r>
          </w:p>
        </w:tc>
        <w:tc>
          <w:tcPr>
            <w:tcW w:w="992" w:type="dxa"/>
            <w:tcBorders>
              <w:top w:val="nil"/>
              <w:left w:val="nil"/>
              <w:bottom w:val="single" w:sz="4" w:space="0" w:color="auto"/>
              <w:right w:val="single" w:sz="4" w:space="0" w:color="auto"/>
            </w:tcBorders>
            <w:shd w:val="clear" w:color="000000" w:fill="CCFFFF"/>
            <w:noWrap/>
            <w:vAlign w:val="bottom"/>
            <w:hideMark/>
          </w:tcPr>
          <w:p w14:paraId="03B241F5" w14:textId="77777777" w:rsidR="00B56301" w:rsidRPr="00364545" w:rsidRDefault="00B56301" w:rsidP="00B37B65">
            <w:pPr>
              <w:jc w:val="right"/>
              <w:rPr>
                <w:rFonts w:ascii="Times New Roman" w:hAnsi="Times New Roman"/>
                <w:sz w:val="18"/>
                <w:szCs w:val="18"/>
              </w:rPr>
            </w:pPr>
            <w:r w:rsidRPr="00364545">
              <w:rPr>
                <w:sz w:val="18"/>
              </w:rPr>
              <w:t>17628,80</w:t>
            </w:r>
          </w:p>
        </w:tc>
        <w:tc>
          <w:tcPr>
            <w:tcW w:w="992" w:type="dxa"/>
            <w:tcBorders>
              <w:top w:val="nil"/>
              <w:left w:val="nil"/>
              <w:bottom w:val="single" w:sz="4" w:space="0" w:color="auto"/>
              <w:right w:val="single" w:sz="4" w:space="0" w:color="auto"/>
            </w:tcBorders>
            <w:shd w:val="clear" w:color="000000" w:fill="CCFFFF"/>
            <w:noWrap/>
            <w:vAlign w:val="bottom"/>
            <w:hideMark/>
          </w:tcPr>
          <w:p w14:paraId="6898F665" w14:textId="77777777" w:rsidR="00B56301" w:rsidRPr="00364545" w:rsidRDefault="00B56301" w:rsidP="00B37B65">
            <w:pPr>
              <w:jc w:val="right"/>
              <w:rPr>
                <w:rFonts w:ascii="Times New Roman" w:hAnsi="Times New Roman"/>
                <w:sz w:val="18"/>
                <w:szCs w:val="18"/>
              </w:rPr>
            </w:pPr>
            <w:r w:rsidRPr="00364545">
              <w:rPr>
                <w:sz w:val="18"/>
              </w:rPr>
              <w:t>17862,07</w:t>
            </w:r>
          </w:p>
        </w:tc>
      </w:tr>
      <w:tr w:rsidR="00B56301" w:rsidRPr="00364545" w14:paraId="78B1C8FB"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748FA8F"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05C10855" w14:textId="77777777" w:rsidR="00B56301" w:rsidRPr="00364545" w:rsidRDefault="00B56301" w:rsidP="00B37B65">
            <w:pPr>
              <w:jc w:val="right"/>
              <w:rPr>
                <w:rFonts w:ascii="Times New Roman" w:hAnsi="Times New Roman"/>
                <w:sz w:val="18"/>
                <w:szCs w:val="18"/>
              </w:rPr>
            </w:pPr>
            <w:r w:rsidRPr="00364545">
              <w:rPr>
                <w:sz w:val="18"/>
              </w:rPr>
              <w:t>1179,43</w:t>
            </w:r>
          </w:p>
        </w:tc>
        <w:tc>
          <w:tcPr>
            <w:tcW w:w="992" w:type="dxa"/>
            <w:tcBorders>
              <w:top w:val="nil"/>
              <w:left w:val="nil"/>
              <w:bottom w:val="single" w:sz="4" w:space="0" w:color="auto"/>
              <w:right w:val="single" w:sz="4" w:space="0" w:color="auto"/>
            </w:tcBorders>
            <w:shd w:val="clear" w:color="000000" w:fill="CCFFFF"/>
            <w:noWrap/>
            <w:vAlign w:val="bottom"/>
            <w:hideMark/>
          </w:tcPr>
          <w:p w14:paraId="59696A30" w14:textId="77777777" w:rsidR="00B56301" w:rsidRPr="00364545" w:rsidRDefault="00B56301" w:rsidP="00B37B65">
            <w:pPr>
              <w:jc w:val="right"/>
              <w:rPr>
                <w:rFonts w:ascii="Times New Roman" w:hAnsi="Times New Roman"/>
                <w:sz w:val="18"/>
                <w:szCs w:val="18"/>
              </w:rPr>
            </w:pPr>
            <w:r w:rsidRPr="00364545">
              <w:rPr>
                <w:sz w:val="18"/>
              </w:rPr>
              <w:t>777,75</w:t>
            </w:r>
          </w:p>
        </w:tc>
        <w:tc>
          <w:tcPr>
            <w:tcW w:w="992" w:type="dxa"/>
            <w:tcBorders>
              <w:top w:val="nil"/>
              <w:left w:val="nil"/>
              <w:bottom w:val="single" w:sz="4" w:space="0" w:color="auto"/>
              <w:right w:val="single" w:sz="4" w:space="0" w:color="auto"/>
            </w:tcBorders>
            <w:shd w:val="clear" w:color="000000" w:fill="CCFFFF"/>
            <w:noWrap/>
            <w:vAlign w:val="bottom"/>
            <w:hideMark/>
          </w:tcPr>
          <w:p w14:paraId="3C1B8DF4" w14:textId="77777777" w:rsidR="00B56301" w:rsidRPr="00364545" w:rsidRDefault="00B56301" w:rsidP="00B37B65">
            <w:pPr>
              <w:jc w:val="right"/>
              <w:rPr>
                <w:rFonts w:ascii="Times New Roman" w:hAnsi="Times New Roman"/>
                <w:sz w:val="18"/>
                <w:szCs w:val="18"/>
              </w:rPr>
            </w:pPr>
            <w:r w:rsidRPr="00364545">
              <w:rPr>
                <w:sz w:val="18"/>
              </w:rPr>
              <w:t>558,81</w:t>
            </w:r>
          </w:p>
        </w:tc>
        <w:tc>
          <w:tcPr>
            <w:tcW w:w="992" w:type="dxa"/>
            <w:tcBorders>
              <w:top w:val="nil"/>
              <w:left w:val="nil"/>
              <w:bottom w:val="single" w:sz="4" w:space="0" w:color="auto"/>
              <w:right w:val="single" w:sz="4" w:space="0" w:color="auto"/>
            </w:tcBorders>
            <w:shd w:val="clear" w:color="000000" w:fill="CCFFFF"/>
            <w:noWrap/>
            <w:vAlign w:val="bottom"/>
            <w:hideMark/>
          </w:tcPr>
          <w:p w14:paraId="08218D4E" w14:textId="77777777" w:rsidR="00B56301" w:rsidRPr="00364545" w:rsidRDefault="00B56301" w:rsidP="00B37B65">
            <w:pPr>
              <w:jc w:val="right"/>
              <w:rPr>
                <w:rFonts w:ascii="Times New Roman" w:hAnsi="Times New Roman"/>
                <w:sz w:val="18"/>
                <w:szCs w:val="18"/>
              </w:rPr>
            </w:pPr>
            <w:r w:rsidRPr="00364545">
              <w:rPr>
                <w:sz w:val="18"/>
              </w:rPr>
              <w:t>617,37</w:t>
            </w:r>
          </w:p>
        </w:tc>
        <w:tc>
          <w:tcPr>
            <w:tcW w:w="992" w:type="dxa"/>
            <w:tcBorders>
              <w:top w:val="nil"/>
              <w:left w:val="nil"/>
              <w:bottom w:val="single" w:sz="4" w:space="0" w:color="auto"/>
              <w:right w:val="single" w:sz="4" w:space="0" w:color="auto"/>
            </w:tcBorders>
            <w:shd w:val="clear" w:color="000000" w:fill="CCFFFF"/>
            <w:noWrap/>
            <w:vAlign w:val="bottom"/>
            <w:hideMark/>
          </w:tcPr>
          <w:p w14:paraId="0A369DA4" w14:textId="77777777" w:rsidR="00B56301" w:rsidRPr="00364545" w:rsidRDefault="00B56301" w:rsidP="00B37B65">
            <w:pPr>
              <w:jc w:val="right"/>
              <w:rPr>
                <w:rFonts w:ascii="Times New Roman" w:hAnsi="Times New Roman"/>
                <w:sz w:val="18"/>
                <w:szCs w:val="18"/>
              </w:rPr>
            </w:pPr>
            <w:r w:rsidRPr="00364545">
              <w:rPr>
                <w:sz w:val="18"/>
              </w:rPr>
              <w:t>774,04</w:t>
            </w:r>
          </w:p>
        </w:tc>
        <w:tc>
          <w:tcPr>
            <w:tcW w:w="992" w:type="dxa"/>
            <w:tcBorders>
              <w:top w:val="nil"/>
              <w:left w:val="nil"/>
              <w:bottom w:val="single" w:sz="4" w:space="0" w:color="auto"/>
              <w:right w:val="single" w:sz="4" w:space="0" w:color="auto"/>
            </w:tcBorders>
            <w:shd w:val="clear" w:color="000000" w:fill="CCFFFF"/>
            <w:noWrap/>
            <w:vAlign w:val="bottom"/>
            <w:hideMark/>
          </w:tcPr>
          <w:p w14:paraId="6C4A47CF" w14:textId="77777777" w:rsidR="00B56301" w:rsidRPr="00364545" w:rsidRDefault="00B56301" w:rsidP="00B37B65">
            <w:pPr>
              <w:jc w:val="right"/>
              <w:rPr>
                <w:rFonts w:ascii="Times New Roman" w:hAnsi="Times New Roman"/>
                <w:sz w:val="18"/>
                <w:szCs w:val="18"/>
              </w:rPr>
            </w:pPr>
            <w:r w:rsidRPr="00364545">
              <w:rPr>
                <w:sz w:val="18"/>
              </w:rPr>
              <w:t>790,35</w:t>
            </w:r>
          </w:p>
        </w:tc>
      </w:tr>
      <w:tr w:rsidR="00B56301" w:rsidRPr="00364545" w14:paraId="4B423956"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7783DE4"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3AEB45A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EDBA16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ACC042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FC7F8E6"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5A47A54"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1F5BC37"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7EBAEDA3"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69E6A4A" w14:textId="67C55DAC" w:rsidR="00B56301" w:rsidRPr="00364545" w:rsidRDefault="007F09F7" w:rsidP="00B37B65">
            <w:pPr>
              <w:jc w:val="left"/>
              <w:rPr>
                <w:rFonts w:ascii="Times New Roman" w:hAnsi="Times New Roman"/>
                <w:sz w:val="18"/>
                <w:szCs w:val="18"/>
              </w:rPr>
            </w:pPr>
            <w:r w:rsidRPr="00364545">
              <w:t>SF</w:t>
            </w:r>
            <w:r w:rsidRPr="00364545">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466085C1" w14:textId="77777777" w:rsidR="00B56301" w:rsidRPr="00364545" w:rsidRDefault="00B56301" w:rsidP="00B37B65">
            <w:pPr>
              <w:jc w:val="right"/>
              <w:rPr>
                <w:rFonts w:ascii="Times New Roman" w:hAnsi="Times New Roman"/>
                <w:sz w:val="18"/>
                <w:szCs w:val="18"/>
              </w:rPr>
            </w:pPr>
            <w:r w:rsidRPr="00364545">
              <w:rPr>
                <w:sz w:val="18"/>
              </w:rPr>
              <w:t>1149,05</w:t>
            </w:r>
          </w:p>
        </w:tc>
        <w:tc>
          <w:tcPr>
            <w:tcW w:w="992" w:type="dxa"/>
            <w:tcBorders>
              <w:top w:val="nil"/>
              <w:left w:val="nil"/>
              <w:bottom w:val="single" w:sz="4" w:space="0" w:color="auto"/>
              <w:right w:val="single" w:sz="4" w:space="0" w:color="auto"/>
            </w:tcBorders>
            <w:shd w:val="clear" w:color="000000" w:fill="CCFFFF"/>
            <w:noWrap/>
            <w:vAlign w:val="bottom"/>
            <w:hideMark/>
          </w:tcPr>
          <w:p w14:paraId="7FF81407" w14:textId="77777777" w:rsidR="00B56301" w:rsidRPr="00364545" w:rsidRDefault="00B56301" w:rsidP="00B37B65">
            <w:pPr>
              <w:jc w:val="right"/>
              <w:rPr>
                <w:rFonts w:ascii="Times New Roman" w:hAnsi="Times New Roman"/>
                <w:sz w:val="18"/>
                <w:szCs w:val="18"/>
              </w:rPr>
            </w:pPr>
            <w:r w:rsidRPr="00364545">
              <w:rPr>
                <w:sz w:val="18"/>
              </w:rPr>
              <w:t>1136,14</w:t>
            </w:r>
          </w:p>
        </w:tc>
        <w:tc>
          <w:tcPr>
            <w:tcW w:w="992" w:type="dxa"/>
            <w:tcBorders>
              <w:top w:val="nil"/>
              <w:left w:val="nil"/>
              <w:bottom w:val="single" w:sz="4" w:space="0" w:color="auto"/>
              <w:right w:val="single" w:sz="4" w:space="0" w:color="auto"/>
            </w:tcBorders>
            <w:shd w:val="clear" w:color="000000" w:fill="CCFFFF"/>
            <w:noWrap/>
            <w:vAlign w:val="bottom"/>
            <w:hideMark/>
          </w:tcPr>
          <w:p w14:paraId="6B25455B" w14:textId="77777777" w:rsidR="00B56301" w:rsidRPr="00364545" w:rsidRDefault="00B56301" w:rsidP="00B37B65">
            <w:pPr>
              <w:jc w:val="right"/>
              <w:rPr>
                <w:rFonts w:ascii="Times New Roman" w:hAnsi="Times New Roman"/>
                <w:sz w:val="18"/>
                <w:szCs w:val="18"/>
              </w:rPr>
            </w:pPr>
            <w:r w:rsidRPr="00364545">
              <w:rPr>
                <w:sz w:val="18"/>
              </w:rPr>
              <w:t>951,45</w:t>
            </w:r>
          </w:p>
        </w:tc>
        <w:tc>
          <w:tcPr>
            <w:tcW w:w="992" w:type="dxa"/>
            <w:tcBorders>
              <w:top w:val="nil"/>
              <w:left w:val="nil"/>
              <w:bottom w:val="single" w:sz="4" w:space="0" w:color="auto"/>
              <w:right w:val="single" w:sz="4" w:space="0" w:color="auto"/>
            </w:tcBorders>
            <w:shd w:val="clear" w:color="000000" w:fill="CCFFFF"/>
            <w:noWrap/>
            <w:vAlign w:val="bottom"/>
            <w:hideMark/>
          </w:tcPr>
          <w:p w14:paraId="0FE294CB" w14:textId="77777777" w:rsidR="00B56301" w:rsidRPr="00364545" w:rsidRDefault="00B56301" w:rsidP="00B37B65">
            <w:pPr>
              <w:jc w:val="right"/>
              <w:rPr>
                <w:rFonts w:ascii="Times New Roman" w:hAnsi="Times New Roman"/>
                <w:sz w:val="18"/>
                <w:szCs w:val="18"/>
              </w:rPr>
            </w:pPr>
            <w:r w:rsidRPr="00364545">
              <w:rPr>
                <w:sz w:val="18"/>
              </w:rPr>
              <w:t>875,10</w:t>
            </w:r>
          </w:p>
        </w:tc>
        <w:tc>
          <w:tcPr>
            <w:tcW w:w="992" w:type="dxa"/>
            <w:tcBorders>
              <w:top w:val="nil"/>
              <w:left w:val="nil"/>
              <w:bottom w:val="single" w:sz="4" w:space="0" w:color="auto"/>
              <w:right w:val="single" w:sz="4" w:space="0" w:color="auto"/>
            </w:tcBorders>
            <w:shd w:val="clear" w:color="000000" w:fill="CCFFFF"/>
            <w:noWrap/>
            <w:vAlign w:val="bottom"/>
            <w:hideMark/>
          </w:tcPr>
          <w:p w14:paraId="0272F668" w14:textId="77777777" w:rsidR="00B56301" w:rsidRPr="00364545" w:rsidRDefault="00B56301" w:rsidP="00B37B65">
            <w:pPr>
              <w:jc w:val="right"/>
              <w:rPr>
                <w:rFonts w:ascii="Times New Roman" w:hAnsi="Times New Roman"/>
                <w:sz w:val="18"/>
                <w:szCs w:val="18"/>
              </w:rPr>
            </w:pPr>
            <w:r w:rsidRPr="00364545">
              <w:rPr>
                <w:sz w:val="18"/>
              </w:rPr>
              <w:t>650,96</w:t>
            </w:r>
          </w:p>
        </w:tc>
        <w:tc>
          <w:tcPr>
            <w:tcW w:w="992" w:type="dxa"/>
            <w:tcBorders>
              <w:top w:val="nil"/>
              <w:left w:val="nil"/>
              <w:bottom w:val="single" w:sz="4" w:space="0" w:color="auto"/>
              <w:right w:val="single" w:sz="4" w:space="0" w:color="auto"/>
            </w:tcBorders>
            <w:shd w:val="clear" w:color="000000" w:fill="CCFFFF"/>
            <w:noWrap/>
            <w:vAlign w:val="bottom"/>
            <w:hideMark/>
          </w:tcPr>
          <w:p w14:paraId="0F63B246" w14:textId="77777777" w:rsidR="00B56301" w:rsidRPr="00364545" w:rsidRDefault="00B56301" w:rsidP="00B37B65">
            <w:pPr>
              <w:jc w:val="right"/>
              <w:rPr>
                <w:rFonts w:ascii="Times New Roman" w:hAnsi="Times New Roman"/>
                <w:sz w:val="18"/>
                <w:szCs w:val="18"/>
              </w:rPr>
            </w:pPr>
            <w:r w:rsidRPr="00364545">
              <w:rPr>
                <w:sz w:val="18"/>
              </w:rPr>
              <w:t>655,26</w:t>
            </w:r>
          </w:p>
        </w:tc>
      </w:tr>
      <w:tr w:rsidR="00B56301" w:rsidRPr="00364545" w14:paraId="4683B956"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43B7E9F" w14:textId="5A1AEFBD" w:rsidR="00B56301" w:rsidRPr="00364545" w:rsidRDefault="007F09F7" w:rsidP="00B37B65">
            <w:pPr>
              <w:jc w:val="left"/>
              <w:rPr>
                <w:rFonts w:ascii="Times New Roman" w:hAnsi="Times New Roman"/>
                <w:sz w:val="18"/>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59759611" w14:textId="77777777" w:rsidR="00B56301" w:rsidRPr="00364545" w:rsidRDefault="00B56301" w:rsidP="00B37B65">
            <w:pPr>
              <w:jc w:val="right"/>
              <w:rPr>
                <w:rFonts w:ascii="Times New Roman" w:hAnsi="Times New Roman"/>
                <w:sz w:val="18"/>
                <w:szCs w:val="18"/>
              </w:rPr>
            </w:pPr>
            <w:r w:rsidRPr="00364545">
              <w:rPr>
                <w:sz w:val="18"/>
              </w:rPr>
              <w:t>42,11</w:t>
            </w:r>
          </w:p>
        </w:tc>
        <w:tc>
          <w:tcPr>
            <w:tcW w:w="992" w:type="dxa"/>
            <w:tcBorders>
              <w:top w:val="nil"/>
              <w:left w:val="nil"/>
              <w:bottom w:val="single" w:sz="4" w:space="0" w:color="auto"/>
              <w:right w:val="single" w:sz="4" w:space="0" w:color="auto"/>
            </w:tcBorders>
            <w:shd w:val="clear" w:color="000000" w:fill="CCFFFF"/>
            <w:noWrap/>
            <w:vAlign w:val="bottom"/>
            <w:hideMark/>
          </w:tcPr>
          <w:p w14:paraId="0F0AF121" w14:textId="77777777" w:rsidR="00B56301" w:rsidRPr="00364545" w:rsidRDefault="00B56301" w:rsidP="00B37B65">
            <w:pPr>
              <w:jc w:val="right"/>
              <w:rPr>
                <w:rFonts w:ascii="Times New Roman" w:hAnsi="Times New Roman"/>
                <w:sz w:val="18"/>
                <w:szCs w:val="18"/>
              </w:rPr>
            </w:pPr>
            <w:r w:rsidRPr="00364545">
              <w:rPr>
                <w:sz w:val="18"/>
              </w:rPr>
              <w:t>46,35</w:t>
            </w:r>
          </w:p>
        </w:tc>
        <w:tc>
          <w:tcPr>
            <w:tcW w:w="992" w:type="dxa"/>
            <w:tcBorders>
              <w:top w:val="nil"/>
              <w:left w:val="nil"/>
              <w:bottom w:val="single" w:sz="4" w:space="0" w:color="auto"/>
              <w:right w:val="single" w:sz="4" w:space="0" w:color="auto"/>
            </w:tcBorders>
            <w:shd w:val="clear" w:color="000000" w:fill="CCFFFF"/>
            <w:noWrap/>
            <w:vAlign w:val="bottom"/>
            <w:hideMark/>
          </w:tcPr>
          <w:p w14:paraId="31D1487E" w14:textId="77777777" w:rsidR="00B56301" w:rsidRPr="00364545" w:rsidRDefault="00B56301" w:rsidP="00B37B65">
            <w:pPr>
              <w:jc w:val="right"/>
              <w:rPr>
                <w:rFonts w:ascii="Times New Roman" w:hAnsi="Times New Roman"/>
                <w:sz w:val="18"/>
                <w:szCs w:val="18"/>
              </w:rPr>
            </w:pPr>
            <w:r w:rsidRPr="00364545">
              <w:rPr>
                <w:sz w:val="18"/>
              </w:rPr>
              <w:t>24,96</w:t>
            </w:r>
          </w:p>
        </w:tc>
        <w:tc>
          <w:tcPr>
            <w:tcW w:w="992" w:type="dxa"/>
            <w:tcBorders>
              <w:top w:val="nil"/>
              <w:left w:val="nil"/>
              <w:bottom w:val="single" w:sz="4" w:space="0" w:color="auto"/>
              <w:right w:val="single" w:sz="4" w:space="0" w:color="auto"/>
            </w:tcBorders>
            <w:shd w:val="clear" w:color="000000" w:fill="CCFFFF"/>
            <w:noWrap/>
            <w:vAlign w:val="bottom"/>
            <w:hideMark/>
          </w:tcPr>
          <w:p w14:paraId="44D6EAE1" w14:textId="77777777" w:rsidR="00B56301" w:rsidRPr="00364545" w:rsidRDefault="00B56301" w:rsidP="00B37B65">
            <w:pPr>
              <w:jc w:val="right"/>
              <w:rPr>
                <w:rFonts w:ascii="Times New Roman" w:hAnsi="Times New Roman"/>
                <w:sz w:val="18"/>
                <w:szCs w:val="18"/>
              </w:rPr>
            </w:pPr>
            <w:r w:rsidRPr="00364545">
              <w:rPr>
                <w:sz w:val="18"/>
              </w:rPr>
              <w:t>32,13</w:t>
            </w:r>
          </w:p>
        </w:tc>
        <w:tc>
          <w:tcPr>
            <w:tcW w:w="992" w:type="dxa"/>
            <w:tcBorders>
              <w:top w:val="nil"/>
              <w:left w:val="nil"/>
              <w:bottom w:val="single" w:sz="4" w:space="0" w:color="auto"/>
              <w:right w:val="single" w:sz="4" w:space="0" w:color="auto"/>
            </w:tcBorders>
            <w:shd w:val="clear" w:color="000000" w:fill="CCFFFF"/>
            <w:noWrap/>
            <w:vAlign w:val="bottom"/>
            <w:hideMark/>
          </w:tcPr>
          <w:p w14:paraId="03FDA32B" w14:textId="77777777" w:rsidR="00B56301" w:rsidRPr="00364545" w:rsidRDefault="00B56301" w:rsidP="00B37B65">
            <w:pPr>
              <w:jc w:val="right"/>
              <w:rPr>
                <w:rFonts w:ascii="Times New Roman" w:hAnsi="Times New Roman"/>
                <w:sz w:val="18"/>
                <w:szCs w:val="18"/>
              </w:rPr>
            </w:pPr>
            <w:r w:rsidRPr="00364545">
              <w:rPr>
                <w:sz w:val="18"/>
              </w:rPr>
              <w:t>31,36</w:t>
            </w:r>
          </w:p>
        </w:tc>
        <w:tc>
          <w:tcPr>
            <w:tcW w:w="992" w:type="dxa"/>
            <w:tcBorders>
              <w:top w:val="nil"/>
              <w:left w:val="nil"/>
              <w:bottom w:val="single" w:sz="4" w:space="0" w:color="auto"/>
              <w:right w:val="single" w:sz="4" w:space="0" w:color="auto"/>
            </w:tcBorders>
            <w:shd w:val="clear" w:color="000000" w:fill="CCFFFF"/>
            <w:noWrap/>
            <w:vAlign w:val="bottom"/>
            <w:hideMark/>
          </w:tcPr>
          <w:p w14:paraId="34694B8A" w14:textId="77777777" w:rsidR="00B56301" w:rsidRPr="00364545" w:rsidRDefault="00B56301" w:rsidP="00B37B65">
            <w:pPr>
              <w:jc w:val="right"/>
              <w:rPr>
                <w:rFonts w:ascii="Times New Roman" w:hAnsi="Times New Roman"/>
                <w:sz w:val="18"/>
                <w:szCs w:val="18"/>
              </w:rPr>
            </w:pPr>
            <w:r w:rsidRPr="00364545">
              <w:rPr>
                <w:sz w:val="18"/>
              </w:rPr>
              <w:t>20,40</w:t>
            </w:r>
          </w:p>
        </w:tc>
      </w:tr>
      <w:tr w:rsidR="00B56301" w:rsidRPr="00364545" w14:paraId="7B9EF017"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669E7AB"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7E95346" w14:textId="77777777" w:rsidR="00B56301" w:rsidRPr="00364545" w:rsidRDefault="00B56301" w:rsidP="00B37B65">
            <w:pPr>
              <w:jc w:val="right"/>
              <w:rPr>
                <w:rFonts w:ascii="Times New Roman" w:hAnsi="Times New Roman"/>
                <w:sz w:val="18"/>
                <w:szCs w:val="18"/>
              </w:rPr>
            </w:pPr>
            <w:r w:rsidRPr="00364545">
              <w:rPr>
                <w:sz w:val="18"/>
              </w:rPr>
              <w:t>531573,97</w:t>
            </w:r>
          </w:p>
        </w:tc>
        <w:tc>
          <w:tcPr>
            <w:tcW w:w="992" w:type="dxa"/>
            <w:tcBorders>
              <w:top w:val="nil"/>
              <w:left w:val="nil"/>
              <w:bottom w:val="single" w:sz="4" w:space="0" w:color="auto"/>
              <w:right w:val="single" w:sz="4" w:space="0" w:color="auto"/>
            </w:tcBorders>
            <w:shd w:val="clear" w:color="000000" w:fill="CCFFFF"/>
            <w:noWrap/>
            <w:vAlign w:val="bottom"/>
            <w:hideMark/>
          </w:tcPr>
          <w:p w14:paraId="7D2CA18E" w14:textId="77777777" w:rsidR="00B56301" w:rsidRPr="00364545" w:rsidRDefault="00B56301" w:rsidP="00B37B65">
            <w:pPr>
              <w:jc w:val="right"/>
              <w:rPr>
                <w:rFonts w:ascii="Times New Roman" w:hAnsi="Times New Roman"/>
                <w:sz w:val="18"/>
                <w:szCs w:val="18"/>
              </w:rPr>
            </w:pPr>
            <w:r w:rsidRPr="00364545">
              <w:rPr>
                <w:sz w:val="18"/>
              </w:rPr>
              <w:t>526060,65</w:t>
            </w:r>
          </w:p>
        </w:tc>
        <w:tc>
          <w:tcPr>
            <w:tcW w:w="992" w:type="dxa"/>
            <w:tcBorders>
              <w:top w:val="nil"/>
              <w:left w:val="nil"/>
              <w:bottom w:val="single" w:sz="4" w:space="0" w:color="auto"/>
              <w:right w:val="single" w:sz="4" w:space="0" w:color="auto"/>
            </w:tcBorders>
            <w:shd w:val="clear" w:color="000000" w:fill="CCFFFF"/>
            <w:noWrap/>
            <w:vAlign w:val="bottom"/>
            <w:hideMark/>
          </w:tcPr>
          <w:p w14:paraId="343ED1D4" w14:textId="77777777" w:rsidR="00B56301" w:rsidRPr="00364545" w:rsidRDefault="00B56301" w:rsidP="00B37B65">
            <w:pPr>
              <w:jc w:val="right"/>
              <w:rPr>
                <w:rFonts w:ascii="Times New Roman" w:hAnsi="Times New Roman"/>
                <w:sz w:val="18"/>
                <w:szCs w:val="18"/>
              </w:rPr>
            </w:pPr>
            <w:r w:rsidRPr="00364545">
              <w:rPr>
                <w:sz w:val="18"/>
              </w:rPr>
              <w:t>503435,02</w:t>
            </w:r>
          </w:p>
        </w:tc>
        <w:tc>
          <w:tcPr>
            <w:tcW w:w="992" w:type="dxa"/>
            <w:tcBorders>
              <w:top w:val="nil"/>
              <w:left w:val="nil"/>
              <w:bottom w:val="single" w:sz="4" w:space="0" w:color="auto"/>
              <w:right w:val="single" w:sz="4" w:space="0" w:color="auto"/>
            </w:tcBorders>
            <w:shd w:val="clear" w:color="000000" w:fill="CCFFFF"/>
            <w:noWrap/>
            <w:vAlign w:val="bottom"/>
            <w:hideMark/>
          </w:tcPr>
          <w:p w14:paraId="690474A0" w14:textId="77777777" w:rsidR="00B56301" w:rsidRPr="00364545" w:rsidRDefault="00B56301" w:rsidP="00B37B65">
            <w:pPr>
              <w:jc w:val="right"/>
              <w:rPr>
                <w:rFonts w:ascii="Times New Roman" w:hAnsi="Times New Roman"/>
                <w:sz w:val="18"/>
                <w:szCs w:val="18"/>
              </w:rPr>
            </w:pPr>
            <w:r w:rsidRPr="00364545">
              <w:rPr>
                <w:sz w:val="18"/>
              </w:rPr>
              <w:t>507468,01</w:t>
            </w:r>
          </w:p>
        </w:tc>
        <w:tc>
          <w:tcPr>
            <w:tcW w:w="992" w:type="dxa"/>
            <w:tcBorders>
              <w:top w:val="nil"/>
              <w:left w:val="nil"/>
              <w:bottom w:val="single" w:sz="4" w:space="0" w:color="auto"/>
              <w:right w:val="single" w:sz="4" w:space="0" w:color="auto"/>
            </w:tcBorders>
            <w:shd w:val="clear" w:color="000000" w:fill="CCFFFF"/>
            <w:noWrap/>
            <w:vAlign w:val="bottom"/>
            <w:hideMark/>
          </w:tcPr>
          <w:p w14:paraId="6AFB0A52" w14:textId="77777777" w:rsidR="00B56301" w:rsidRPr="00364545" w:rsidRDefault="00B56301" w:rsidP="00B37B65">
            <w:pPr>
              <w:jc w:val="right"/>
              <w:rPr>
                <w:rFonts w:ascii="Times New Roman" w:hAnsi="Times New Roman"/>
                <w:sz w:val="18"/>
                <w:szCs w:val="18"/>
              </w:rPr>
            </w:pPr>
            <w:r w:rsidRPr="00364545">
              <w:rPr>
                <w:sz w:val="18"/>
              </w:rPr>
              <w:t>483263,82</w:t>
            </w:r>
          </w:p>
        </w:tc>
        <w:tc>
          <w:tcPr>
            <w:tcW w:w="992" w:type="dxa"/>
            <w:tcBorders>
              <w:top w:val="nil"/>
              <w:left w:val="nil"/>
              <w:bottom w:val="single" w:sz="4" w:space="0" w:color="auto"/>
              <w:right w:val="single" w:sz="4" w:space="0" w:color="auto"/>
            </w:tcBorders>
            <w:shd w:val="clear" w:color="000000" w:fill="CCFFFF"/>
            <w:noWrap/>
            <w:vAlign w:val="bottom"/>
            <w:hideMark/>
          </w:tcPr>
          <w:p w14:paraId="3BC7D0B8" w14:textId="77777777" w:rsidR="00B56301" w:rsidRPr="00364545" w:rsidRDefault="00B56301" w:rsidP="00B37B65">
            <w:pPr>
              <w:jc w:val="right"/>
              <w:rPr>
                <w:rFonts w:ascii="Times New Roman" w:hAnsi="Times New Roman"/>
                <w:sz w:val="18"/>
                <w:szCs w:val="18"/>
              </w:rPr>
            </w:pPr>
            <w:r w:rsidRPr="00364545">
              <w:rPr>
                <w:sz w:val="18"/>
              </w:rPr>
              <w:t>484765,90</w:t>
            </w:r>
          </w:p>
        </w:tc>
      </w:tr>
      <w:tr w:rsidR="00B56301" w:rsidRPr="00364545" w14:paraId="554508E8"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B6DACFA"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5991A7CB" w14:textId="77777777" w:rsidR="00B56301" w:rsidRPr="00364545" w:rsidRDefault="00B56301" w:rsidP="00B37B65">
            <w:pPr>
              <w:jc w:val="right"/>
              <w:rPr>
                <w:rFonts w:ascii="Times New Roman" w:hAnsi="Times New Roman"/>
                <w:sz w:val="18"/>
                <w:szCs w:val="18"/>
              </w:rPr>
            </w:pPr>
            <w:r w:rsidRPr="00364545">
              <w:rPr>
                <w:sz w:val="18"/>
              </w:rPr>
              <w:t>483212,28</w:t>
            </w:r>
          </w:p>
        </w:tc>
        <w:tc>
          <w:tcPr>
            <w:tcW w:w="992" w:type="dxa"/>
            <w:tcBorders>
              <w:top w:val="nil"/>
              <w:left w:val="nil"/>
              <w:bottom w:val="single" w:sz="4" w:space="0" w:color="auto"/>
              <w:right w:val="single" w:sz="4" w:space="0" w:color="auto"/>
            </w:tcBorders>
            <w:shd w:val="clear" w:color="000000" w:fill="CCFFFF"/>
            <w:noWrap/>
            <w:vAlign w:val="bottom"/>
            <w:hideMark/>
          </w:tcPr>
          <w:p w14:paraId="43DF00B2" w14:textId="77777777" w:rsidR="00B56301" w:rsidRPr="00364545" w:rsidRDefault="00B56301" w:rsidP="00B37B65">
            <w:pPr>
              <w:jc w:val="right"/>
              <w:rPr>
                <w:rFonts w:ascii="Times New Roman" w:hAnsi="Times New Roman"/>
                <w:sz w:val="18"/>
                <w:szCs w:val="18"/>
              </w:rPr>
            </w:pPr>
            <w:r w:rsidRPr="00364545">
              <w:rPr>
                <w:sz w:val="18"/>
              </w:rPr>
              <w:t>477907,30</w:t>
            </w:r>
          </w:p>
        </w:tc>
        <w:tc>
          <w:tcPr>
            <w:tcW w:w="992" w:type="dxa"/>
            <w:tcBorders>
              <w:top w:val="nil"/>
              <w:left w:val="nil"/>
              <w:bottom w:val="single" w:sz="4" w:space="0" w:color="auto"/>
              <w:right w:val="single" w:sz="4" w:space="0" w:color="auto"/>
            </w:tcBorders>
            <w:shd w:val="clear" w:color="000000" w:fill="CCFFFF"/>
            <w:noWrap/>
            <w:vAlign w:val="bottom"/>
            <w:hideMark/>
          </w:tcPr>
          <w:p w14:paraId="5D2A805C" w14:textId="77777777" w:rsidR="00B56301" w:rsidRPr="00364545" w:rsidRDefault="00B56301" w:rsidP="00B37B65">
            <w:pPr>
              <w:jc w:val="right"/>
              <w:rPr>
                <w:rFonts w:ascii="Times New Roman" w:hAnsi="Times New Roman"/>
                <w:sz w:val="18"/>
                <w:szCs w:val="18"/>
              </w:rPr>
            </w:pPr>
            <w:r w:rsidRPr="00364545">
              <w:rPr>
                <w:sz w:val="18"/>
              </w:rPr>
              <w:t>465827,40</w:t>
            </w:r>
          </w:p>
        </w:tc>
        <w:tc>
          <w:tcPr>
            <w:tcW w:w="992" w:type="dxa"/>
            <w:tcBorders>
              <w:top w:val="nil"/>
              <w:left w:val="nil"/>
              <w:bottom w:val="single" w:sz="4" w:space="0" w:color="auto"/>
              <w:right w:val="single" w:sz="4" w:space="0" w:color="auto"/>
            </w:tcBorders>
            <w:shd w:val="clear" w:color="000000" w:fill="CCFFFF"/>
            <w:noWrap/>
            <w:vAlign w:val="bottom"/>
            <w:hideMark/>
          </w:tcPr>
          <w:p w14:paraId="428B1F24" w14:textId="77777777" w:rsidR="00B56301" w:rsidRPr="00364545" w:rsidRDefault="00B56301" w:rsidP="00B37B65">
            <w:pPr>
              <w:jc w:val="right"/>
              <w:rPr>
                <w:rFonts w:ascii="Times New Roman" w:hAnsi="Times New Roman"/>
                <w:sz w:val="18"/>
                <w:szCs w:val="18"/>
              </w:rPr>
            </w:pPr>
            <w:r w:rsidRPr="00364545">
              <w:rPr>
                <w:sz w:val="18"/>
              </w:rPr>
              <w:t>469112,97</w:t>
            </w:r>
          </w:p>
        </w:tc>
        <w:tc>
          <w:tcPr>
            <w:tcW w:w="992" w:type="dxa"/>
            <w:tcBorders>
              <w:top w:val="nil"/>
              <w:left w:val="nil"/>
              <w:bottom w:val="single" w:sz="4" w:space="0" w:color="auto"/>
              <w:right w:val="single" w:sz="4" w:space="0" w:color="auto"/>
            </w:tcBorders>
            <w:shd w:val="clear" w:color="000000" w:fill="CCFFFF"/>
            <w:noWrap/>
            <w:vAlign w:val="bottom"/>
            <w:hideMark/>
          </w:tcPr>
          <w:p w14:paraId="6E367A1F" w14:textId="77777777" w:rsidR="00B56301" w:rsidRPr="00364545" w:rsidRDefault="00B56301" w:rsidP="00B37B65">
            <w:pPr>
              <w:jc w:val="right"/>
              <w:rPr>
                <w:rFonts w:ascii="Times New Roman" w:hAnsi="Times New Roman"/>
                <w:sz w:val="18"/>
                <w:szCs w:val="18"/>
              </w:rPr>
            </w:pPr>
            <w:r w:rsidRPr="00364545">
              <w:rPr>
                <w:sz w:val="18"/>
              </w:rPr>
              <w:t>444806,44</w:t>
            </w:r>
          </w:p>
        </w:tc>
        <w:tc>
          <w:tcPr>
            <w:tcW w:w="992" w:type="dxa"/>
            <w:tcBorders>
              <w:top w:val="nil"/>
              <w:left w:val="nil"/>
              <w:bottom w:val="single" w:sz="4" w:space="0" w:color="auto"/>
              <w:right w:val="single" w:sz="4" w:space="0" w:color="auto"/>
            </w:tcBorders>
            <w:shd w:val="clear" w:color="000000" w:fill="CCFFFF"/>
            <w:noWrap/>
            <w:vAlign w:val="bottom"/>
            <w:hideMark/>
          </w:tcPr>
          <w:p w14:paraId="3AF7F37E" w14:textId="77777777" w:rsidR="00B56301" w:rsidRPr="00364545" w:rsidRDefault="00B56301" w:rsidP="00B37B65">
            <w:pPr>
              <w:jc w:val="right"/>
              <w:rPr>
                <w:rFonts w:ascii="Times New Roman" w:hAnsi="Times New Roman"/>
                <w:sz w:val="18"/>
                <w:szCs w:val="18"/>
              </w:rPr>
            </w:pPr>
            <w:r w:rsidRPr="00364545">
              <w:rPr>
                <w:sz w:val="18"/>
              </w:rPr>
              <w:t>443771,93</w:t>
            </w:r>
          </w:p>
        </w:tc>
      </w:tr>
      <w:tr w:rsidR="00B56301" w:rsidRPr="00364545" w14:paraId="635D6380"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547387D8"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6F2F41F5"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30241B4"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89F46DF"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16EA07E"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C0FFD8B"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C7EB11C" w14:textId="77777777" w:rsidR="00B56301" w:rsidRPr="00364545" w:rsidRDefault="00B56301" w:rsidP="00B37B65">
            <w:pPr>
              <w:jc w:val="right"/>
              <w:rPr>
                <w:rFonts w:ascii="Times New Roman" w:hAnsi="Times New Roman"/>
                <w:sz w:val="18"/>
                <w:szCs w:val="18"/>
              </w:rPr>
            </w:pPr>
            <w:r w:rsidRPr="00364545">
              <w:rPr>
                <w:sz w:val="18"/>
              </w:rPr>
              <w:t>NA</w:t>
            </w:r>
          </w:p>
        </w:tc>
      </w:tr>
      <w:tr w:rsidR="00B56301" w:rsidRPr="00364545" w14:paraId="50B2F302"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0BF07A9"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0B958FED"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3BF2D0D"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82FF6CE"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31C27AF"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2A2B3F2A"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822F8E3" w14:textId="77777777" w:rsidR="00B56301" w:rsidRPr="00364545" w:rsidRDefault="00B56301" w:rsidP="00B37B65">
            <w:pPr>
              <w:jc w:val="right"/>
              <w:rPr>
                <w:rFonts w:ascii="Times New Roman" w:hAnsi="Times New Roman"/>
                <w:sz w:val="18"/>
                <w:szCs w:val="18"/>
              </w:rPr>
            </w:pPr>
            <w:r w:rsidRPr="00364545">
              <w:rPr>
                <w:sz w:val="18"/>
              </w:rPr>
              <w:t>NA</w:t>
            </w:r>
          </w:p>
        </w:tc>
      </w:tr>
    </w:tbl>
    <w:p w14:paraId="7C2165B2" w14:textId="77777777" w:rsidR="00B56301" w:rsidRPr="00364545" w:rsidRDefault="00B56301" w:rsidP="00B56301">
      <w:pPr>
        <w:spacing w:line="240" w:lineRule="atLeast"/>
        <w:jc w:val="left"/>
        <w:rPr>
          <w:rFonts w:cs="Arial"/>
        </w:rPr>
      </w:pPr>
    </w:p>
    <w:p w14:paraId="284752EE" w14:textId="77777777" w:rsidR="00B56301" w:rsidRPr="00364545" w:rsidRDefault="00B56301" w:rsidP="00B56301">
      <w:pPr>
        <w:spacing w:line="240" w:lineRule="atLeast"/>
        <w:jc w:val="left"/>
        <w:rPr>
          <w:rFonts w:cs="Arial"/>
        </w:rPr>
      </w:pPr>
      <w:r w:rsidRPr="00364545">
        <w:br w:type="page"/>
      </w:r>
    </w:p>
    <w:p w14:paraId="53453247" w14:textId="77777777" w:rsidR="00B56301" w:rsidRPr="00364545" w:rsidRDefault="00B56301" w:rsidP="00B56301">
      <w:pPr>
        <w:spacing w:line="240" w:lineRule="atLeast"/>
        <w:jc w:val="left"/>
        <w:rPr>
          <w:rFonts w:cs="Arial"/>
        </w:rPr>
      </w:pPr>
    </w:p>
    <w:tbl>
      <w:tblPr>
        <w:tblW w:w="975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364545" w14:paraId="2C51FC8F"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20A6A204"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GREENHOUSE GAS EMISSIONS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3A22D39"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FADBF44"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2014</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78F928E"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9F63F5B"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2016</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6E963F1"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2AC053E" w14:textId="77777777" w:rsidR="00B56301" w:rsidRPr="00364545" w:rsidRDefault="00B56301" w:rsidP="00B37B65">
            <w:pPr>
              <w:jc w:val="center"/>
              <w:rPr>
                <w:rFonts w:ascii="Times New Roman" w:hAnsi="Times New Roman"/>
                <w:b/>
                <w:bCs/>
                <w:sz w:val="18"/>
                <w:szCs w:val="18"/>
              </w:rPr>
            </w:pPr>
            <w:r w:rsidRPr="00364545">
              <w:rPr>
                <w:rFonts w:ascii="Times New Roman" w:hAnsi="Times New Roman"/>
                <w:b/>
                <w:sz w:val="18"/>
              </w:rPr>
              <w:t>2018</w:t>
            </w:r>
          </w:p>
        </w:tc>
      </w:tr>
      <w:tr w:rsidR="00B56301" w:rsidRPr="00364545" w14:paraId="27C7B882"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052B60A" w14:textId="2CFC4115"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without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01E9165" w14:textId="77777777" w:rsidR="00B56301" w:rsidRPr="00364545" w:rsidRDefault="00B56301" w:rsidP="00B37B65">
            <w:pPr>
              <w:jc w:val="right"/>
              <w:rPr>
                <w:rFonts w:ascii="Times New Roman" w:hAnsi="Times New Roman"/>
                <w:sz w:val="18"/>
                <w:szCs w:val="18"/>
              </w:rPr>
            </w:pPr>
            <w:r w:rsidRPr="00364545">
              <w:rPr>
                <w:sz w:val="18"/>
              </w:rPr>
              <w:t>368559,43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FBCC1E3" w14:textId="77777777" w:rsidR="00B56301" w:rsidRPr="00364545" w:rsidRDefault="00B56301" w:rsidP="00B37B65">
            <w:pPr>
              <w:jc w:val="right"/>
              <w:rPr>
                <w:rFonts w:ascii="Times New Roman" w:hAnsi="Times New Roman"/>
                <w:sz w:val="18"/>
                <w:szCs w:val="18"/>
              </w:rPr>
            </w:pPr>
            <w:r w:rsidRPr="00364545">
              <w:rPr>
                <w:sz w:val="18"/>
              </w:rPr>
              <w:t>337005,91</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766CE0C" w14:textId="77777777" w:rsidR="00B56301" w:rsidRPr="00364545" w:rsidRDefault="00B56301" w:rsidP="00B37B65">
            <w:pPr>
              <w:jc w:val="right"/>
              <w:rPr>
                <w:rFonts w:ascii="Times New Roman" w:hAnsi="Times New Roman"/>
                <w:sz w:val="18"/>
                <w:szCs w:val="18"/>
              </w:rPr>
            </w:pPr>
            <w:r w:rsidRPr="00364545">
              <w:rPr>
                <w:sz w:val="18"/>
              </w:rPr>
              <w:t>341630,94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DFB7F1F" w14:textId="77777777" w:rsidR="00B56301" w:rsidRPr="00364545" w:rsidRDefault="00B56301" w:rsidP="00B37B65">
            <w:pPr>
              <w:jc w:val="right"/>
              <w:rPr>
                <w:rFonts w:ascii="Times New Roman" w:hAnsi="Times New Roman"/>
                <w:sz w:val="18"/>
                <w:szCs w:val="18"/>
              </w:rPr>
            </w:pPr>
            <w:r w:rsidRPr="00364545">
              <w:rPr>
                <w:sz w:val="18"/>
              </w:rPr>
              <w:t>344723,13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4489D28" w14:textId="77777777" w:rsidR="00B56301" w:rsidRPr="00364545" w:rsidRDefault="00B56301" w:rsidP="00B37B65">
            <w:pPr>
              <w:jc w:val="right"/>
              <w:rPr>
                <w:rFonts w:ascii="Times New Roman" w:hAnsi="Times New Roman"/>
                <w:sz w:val="18"/>
                <w:szCs w:val="18"/>
              </w:rPr>
            </w:pPr>
            <w:r w:rsidRPr="00364545">
              <w:rPr>
                <w:sz w:val="18"/>
              </w:rPr>
              <w:t>347604,96</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0C1D9A8" w14:textId="77777777" w:rsidR="00B56301" w:rsidRPr="00364545" w:rsidRDefault="00B56301" w:rsidP="00B37B65">
            <w:pPr>
              <w:jc w:val="right"/>
              <w:rPr>
                <w:rFonts w:ascii="Times New Roman" w:hAnsi="Times New Roman"/>
                <w:sz w:val="18"/>
                <w:szCs w:val="18"/>
              </w:rPr>
            </w:pPr>
            <w:r w:rsidRPr="00364545">
              <w:rPr>
                <w:sz w:val="18"/>
              </w:rPr>
              <w:t>332613,39</w:t>
            </w:r>
          </w:p>
        </w:tc>
      </w:tr>
      <w:tr w:rsidR="00B56301" w:rsidRPr="00364545" w14:paraId="2916E2E8"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33FE08BA" w14:textId="5560E980" w:rsidR="00B56301" w:rsidRPr="00364545" w:rsidRDefault="007F09F7" w:rsidP="00B37B65">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 net </w:t>
            </w:r>
            <w:r w:rsidRPr="00364545">
              <w:t>CO</w:t>
            </w:r>
            <w:r w:rsidRPr="00364545">
              <w:rPr>
                <w:vertAlign w:val="subscript"/>
              </w:rPr>
              <w:t>2</w:t>
            </w:r>
            <w:r w:rsidRPr="00364545">
              <w:rPr>
                <w:rFonts w:ascii="Times New Roman" w:hAnsi="Times New Roman"/>
                <w:sz w:val="18"/>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3A1A113" w14:textId="77777777" w:rsidR="00B56301" w:rsidRPr="00364545" w:rsidRDefault="00B56301" w:rsidP="00B37B65">
            <w:pPr>
              <w:jc w:val="right"/>
              <w:rPr>
                <w:rFonts w:ascii="Times New Roman" w:hAnsi="Times New Roman"/>
                <w:sz w:val="18"/>
                <w:szCs w:val="18"/>
              </w:rPr>
            </w:pPr>
            <w:r w:rsidRPr="00364545">
              <w:rPr>
                <w:sz w:val="18"/>
              </w:rPr>
              <w:t>319936,58</w:t>
            </w:r>
          </w:p>
        </w:tc>
        <w:tc>
          <w:tcPr>
            <w:tcW w:w="992" w:type="dxa"/>
            <w:tcBorders>
              <w:top w:val="nil"/>
              <w:left w:val="nil"/>
              <w:bottom w:val="single" w:sz="4" w:space="0" w:color="auto"/>
              <w:right w:val="single" w:sz="4" w:space="0" w:color="auto"/>
            </w:tcBorders>
            <w:shd w:val="clear" w:color="000000" w:fill="CCFFFF"/>
            <w:noWrap/>
            <w:vAlign w:val="bottom"/>
            <w:hideMark/>
          </w:tcPr>
          <w:p w14:paraId="5AAD1B66" w14:textId="77777777" w:rsidR="00B56301" w:rsidRPr="00364545" w:rsidRDefault="00B56301" w:rsidP="00B37B65">
            <w:pPr>
              <w:jc w:val="right"/>
              <w:rPr>
                <w:rFonts w:ascii="Times New Roman" w:hAnsi="Times New Roman"/>
                <w:sz w:val="18"/>
                <w:szCs w:val="18"/>
              </w:rPr>
            </w:pPr>
            <w:r w:rsidRPr="00364545">
              <w:rPr>
                <w:sz w:val="18"/>
              </w:rPr>
              <w:t>294542,44</w:t>
            </w:r>
          </w:p>
        </w:tc>
        <w:tc>
          <w:tcPr>
            <w:tcW w:w="992" w:type="dxa"/>
            <w:tcBorders>
              <w:top w:val="nil"/>
              <w:left w:val="nil"/>
              <w:bottom w:val="single" w:sz="4" w:space="0" w:color="auto"/>
              <w:right w:val="single" w:sz="4" w:space="0" w:color="auto"/>
            </w:tcBorders>
            <w:shd w:val="clear" w:color="000000" w:fill="CCFFFF"/>
            <w:noWrap/>
            <w:vAlign w:val="bottom"/>
            <w:hideMark/>
          </w:tcPr>
          <w:p w14:paraId="3E00F0CF" w14:textId="77777777" w:rsidR="00B56301" w:rsidRPr="00364545" w:rsidRDefault="00B56301" w:rsidP="00B37B65">
            <w:pPr>
              <w:jc w:val="right"/>
              <w:rPr>
                <w:rFonts w:ascii="Times New Roman" w:hAnsi="Times New Roman"/>
                <w:sz w:val="18"/>
                <w:szCs w:val="18"/>
              </w:rPr>
            </w:pPr>
            <w:r w:rsidRPr="00364545">
              <w:rPr>
                <w:sz w:val="18"/>
              </w:rPr>
              <w:t>303031,73</w:t>
            </w:r>
          </w:p>
        </w:tc>
        <w:tc>
          <w:tcPr>
            <w:tcW w:w="992" w:type="dxa"/>
            <w:tcBorders>
              <w:top w:val="nil"/>
              <w:left w:val="nil"/>
              <w:bottom w:val="single" w:sz="4" w:space="0" w:color="auto"/>
              <w:right w:val="single" w:sz="4" w:space="0" w:color="auto"/>
            </w:tcBorders>
            <w:shd w:val="clear" w:color="000000" w:fill="CCFFFF"/>
            <w:noWrap/>
            <w:vAlign w:val="bottom"/>
            <w:hideMark/>
          </w:tcPr>
          <w:p w14:paraId="452301C7" w14:textId="77777777" w:rsidR="00B56301" w:rsidRPr="00364545" w:rsidRDefault="00B56301" w:rsidP="00B37B65">
            <w:pPr>
              <w:jc w:val="right"/>
              <w:rPr>
                <w:rFonts w:ascii="Times New Roman" w:hAnsi="Times New Roman"/>
                <w:sz w:val="18"/>
                <w:szCs w:val="18"/>
              </w:rPr>
            </w:pPr>
            <w:r w:rsidRPr="00364545">
              <w:rPr>
                <w:sz w:val="18"/>
              </w:rPr>
              <w:t>315143,19</w:t>
            </w:r>
          </w:p>
        </w:tc>
        <w:tc>
          <w:tcPr>
            <w:tcW w:w="992" w:type="dxa"/>
            <w:tcBorders>
              <w:top w:val="nil"/>
              <w:left w:val="nil"/>
              <w:bottom w:val="single" w:sz="4" w:space="0" w:color="auto"/>
              <w:right w:val="single" w:sz="4" w:space="0" w:color="auto"/>
            </w:tcBorders>
            <w:shd w:val="clear" w:color="000000" w:fill="CCFFFF"/>
            <w:noWrap/>
            <w:vAlign w:val="bottom"/>
            <w:hideMark/>
          </w:tcPr>
          <w:p w14:paraId="6B07FB31" w14:textId="77777777" w:rsidR="00B56301" w:rsidRPr="00364545" w:rsidRDefault="00B56301" w:rsidP="00B37B65">
            <w:pPr>
              <w:jc w:val="right"/>
              <w:rPr>
                <w:rFonts w:ascii="Times New Roman" w:hAnsi="Times New Roman"/>
                <w:sz w:val="18"/>
                <w:szCs w:val="18"/>
              </w:rPr>
            </w:pPr>
            <w:r w:rsidRPr="00364545">
              <w:rPr>
                <w:sz w:val="18"/>
              </w:rPr>
              <w:t>326837,62</w:t>
            </w:r>
          </w:p>
        </w:tc>
        <w:tc>
          <w:tcPr>
            <w:tcW w:w="992" w:type="dxa"/>
            <w:tcBorders>
              <w:top w:val="nil"/>
              <w:left w:val="nil"/>
              <w:bottom w:val="single" w:sz="4" w:space="0" w:color="auto"/>
              <w:right w:val="single" w:sz="4" w:space="0" w:color="auto"/>
            </w:tcBorders>
            <w:shd w:val="clear" w:color="000000" w:fill="CCFFFF"/>
            <w:noWrap/>
            <w:vAlign w:val="bottom"/>
            <w:hideMark/>
          </w:tcPr>
          <w:p w14:paraId="2C3C8714" w14:textId="77777777" w:rsidR="00B56301" w:rsidRPr="00364545" w:rsidRDefault="00B56301" w:rsidP="00B37B65">
            <w:pPr>
              <w:jc w:val="right"/>
              <w:rPr>
                <w:rFonts w:ascii="Times New Roman" w:hAnsi="Times New Roman"/>
                <w:sz w:val="18"/>
                <w:szCs w:val="18"/>
              </w:rPr>
            </w:pPr>
            <w:r w:rsidRPr="00364545">
              <w:rPr>
                <w:sz w:val="18"/>
              </w:rPr>
              <w:t>314544,00</w:t>
            </w:r>
          </w:p>
        </w:tc>
      </w:tr>
      <w:tr w:rsidR="00B56301" w:rsidRPr="00364545" w14:paraId="6AE1E78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E0BB38C" w14:textId="40B1183D"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without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51F3F6D2" w14:textId="77777777" w:rsidR="00B56301" w:rsidRPr="00364545" w:rsidRDefault="00B56301" w:rsidP="00B37B65">
            <w:pPr>
              <w:jc w:val="right"/>
              <w:rPr>
                <w:rFonts w:ascii="Times New Roman" w:hAnsi="Times New Roman"/>
                <w:sz w:val="18"/>
                <w:szCs w:val="18"/>
              </w:rPr>
            </w:pPr>
            <w:r w:rsidRPr="00364545">
              <w:rPr>
                <w:sz w:val="18"/>
              </w:rPr>
              <w:t>59079,34</w:t>
            </w:r>
          </w:p>
        </w:tc>
        <w:tc>
          <w:tcPr>
            <w:tcW w:w="992" w:type="dxa"/>
            <w:tcBorders>
              <w:top w:val="nil"/>
              <w:left w:val="nil"/>
              <w:bottom w:val="single" w:sz="4" w:space="0" w:color="auto"/>
              <w:right w:val="single" w:sz="4" w:space="0" w:color="auto"/>
            </w:tcBorders>
            <w:shd w:val="clear" w:color="000000" w:fill="CCFFFF"/>
            <w:noWrap/>
            <w:vAlign w:val="bottom"/>
            <w:hideMark/>
          </w:tcPr>
          <w:p w14:paraId="1750C4F6" w14:textId="77777777" w:rsidR="00B56301" w:rsidRPr="00364545" w:rsidRDefault="00B56301" w:rsidP="00B37B65">
            <w:pPr>
              <w:jc w:val="right"/>
              <w:rPr>
                <w:rFonts w:ascii="Times New Roman" w:hAnsi="Times New Roman"/>
                <w:sz w:val="18"/>
                <w:szCs w:val="18"/>
              </w:rPr>
            </w:pPr>
            <w:r w:rsidRPr="00364545">
              <w:rPr>
                <w:sz w:val="18"/>
              </w:rPr>
              <w:t>58786,53</w:t>
            </w:r>
          </w:p>
        </w:tc>
        <w:tc>
          <w:tcPr>
            <w:tcW w:w="992" w:type="dxa"/>
            <w:tcBorders>
              <w:top w:val="nil"/>
              <w:left w:val="nil"/>
              <w:bottom w:val="single" w:sz="4" w:space="0" w:color="auto"/>
              <w:right w:val="single" w:sz="4" w:space="0" w:color="auto"/>
            </w:tcBorders>
            <w:shd w:val="clear" w:color="000000" w:fill="CCFFFF"/>
            <w:noWrap/>
            <w:vAlign w:val="bottom"/>
            <w:hideMark/>
          </w:tcPr>
          <w:p w14:paraId="10A0CFB6" w14:textId="77777777" w:rsidR="00B56301" w:rsidRPr="00364545" w:rsidRDefault="00B56301" w:rsidP="00B37B65">
            <w:pPr>
              <w:jc w:val="right"/>
              <w:rPr>
                <w:rFonts w:ascii="Times New Roman" w:hAnsi="Times New Roman"/>
                <w:sz w:val="18"/>
                <w:szCs w:val="18"/>
              </w:rPr>
            </w:pPr>
            <w:r w:rsidRPr="00364545">
              <w:rPr>
                <w:sz w:val="18"/>
              </w:rPr>
              <w:t>57862,11</w:t>
            </w:r>
          </w:p>
        </w:tc>
        <w:tc>
          <w:tcPr>
            <w:tcW w:w="992" w:type="dxa"/>
            <w:tcBorders>
              <w:top w:val="nil"/>
              <w:left w:val="nil"/>
              <w:bottom w:val="single" w:sz="4" w:space="0" w:color="auto"/>
              <w:right w:val="single" w:sz="4" w:space="0" w:color="auto"/>
            </w:tcBorders>
            <w:shd w:val="clear" w:color="000000" w:fill="CCFFFF"/>
            <w:noWrap/>
            <w:vAlign w:val="bottom"/>
            <w:hideMark/>
          </w:tcPr>
          <w:p w14:paraId="044D3164" w14:textId="77777777" w:rsidR="00B56301" w:rsidRPr="00364545" w:rsidRDefault="00B56301" w:rsidP="00B37B65">
            <w:pPr>
              <w:jc w:val="right"/>
              <w:rPr>
                <w:rFonts w:ascii="Times New Roman" w:hAnsi="Times New Roman"/>
                <w:sz w:val="18"/>
                <w:szCs w:val="18"/>
              </w:rPr>
            </w:pPr>
            <w:r w:rsidRPr="00364545">
              <w:rPr>
                <w:sz w:val="18"/>
              </w:rPr>
              <w:t>57432,21</w:t>
            </w:r>
          </w:p>
        </w:tc>
        <w:tc>
          <w:tcPr>
            <w:tcW w:w="992" w:type="dxa"/>
            <w:tcBorders>
              <w:top w:val="nil"/>
              <w:left w:val="nil"/>
              <w:bottom w:val="single" w:sz="4" w:space="0" w:color="auto"/>
              <w:right w:val="single" w:sz="4" w:space="0" w:color="auto"/>
            </w:tcBorders>
            <w:shd w:val="clear" w:color="000000" w:fill="CCFFFF"/>
            <w:noWrap/>
            <w:vAlign w:val="bottom"/>
            <w:hideMark/>
          </w:tcPr>
          <w:p w14:paraId="206C8C9E" w14:textId="77777777" w:rsidR="00B56301" w:rsidRPr="00364545" w:rsidRDefault="00B56301" w:rsidP="00B37B65">
            <w:pPr>
              <w:jc w:val="right"/>
              <w:rPr>
                <w:rFonts w:ascii="Times New Roman" w:hAnsi="Times New Roman"/>
                <w:sz w:val="18"/>
                <w:szCs w:val="18"/>
              </w:rPr>
            </w:pPr>
            <w:r w:rsidRPr="00364545">
              <w:rPr>
                <w:sz w:val="18"/>
              </w:rPr>
              <w:t>57010,64</w:t>
            </w:r>
          </w:p>
        </w:tc>
        <w:tc>
          <w:tcPr>
            <w:tcW w:w="992" w:type="dxa"/>
            <w:tcBorders>
              <w:top w:val="nil"/>
              <w:left w:val="nil"/>
              <w:bottom w:val="single" w:sz="4" w:space="0" w:color="auto"/>
              <w:right w:val="single" w:sz="4" w:space="0" w:color="auto"/>
            </w:tcBorders>
            <w:shd w:val="clear" w:color="000000" w:fill="CCFFFF"/>
            <w:noWrap/>
            <w:vAlign w:val="bottom"/>
            <w:hideMark/>
          </w:tcPr>
          <w:p w14:paraId="7F5B4137" w14:textId="77777777" w:rsidR="00B56301" w:rsidRPr="00364545" w:rsidRDefault="00B56301" w:rsidP="00B37B65">
            <w:pPr>
              <w:jc w:val="right"/>
              <w:rPr>
                <w:rFonts w:ascii="Times New Roman" w:hAnsi="Times New Roman"/>
                <w:sz w:val="18"/>
                <w:szCs w:val="18"/>
              </w:rPr>
            </w:pPr>
            <w:r w:rsidRPr="00364545">
              <w:rPr>
                <w:sz w:val="18"/>
              </w:rPr>
              <w:t>56238,67</w:t>
            </w:r>
          </w:p>
        </w:tc>
      </w:tr>
      <w:tr w:rsidR="00B56301" w:rsidRPr="00364545" w14:paraId="12B764B0"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77CB667" w14:textId="44B9DF68" w:rsidR="00B56301" w:rsidRPr="00364545" w:rsidRDefault="007F09F7" w:rsidP="00B37B65">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066E97D0" w14:textId="77777777" w:rsidR="00B56301" w:rsidRPr="00364545" w:rsidRDefault="00B56301" w:rsidP="00B37B65">
            <w:pPr>
              <w:jc w:val="right"/>
              <w:rPr>
                <w:rFonts w:ascii="Times New Roman" w:hAnsi="Times New Roman"/>
                <w:sz w:val="18"/>
                <w:szCs w:val="18"/>
              </w:rPr>
            </w:pPr>
            <w:r w:rsidRPr="00364545">
              <w:rPr>
                <w:sz w:val="18"/>
              </w:rPr>
              <w:t>60113,60</w:t>
            </w:r>
          </w:p>
        </w:tc>
        <w:tc>
          <w:tcPr>
            <w:tcW w:w="992" w:type="dxa"/>
            <w:tcBorders>
              <w:top w:val="nil"/>
              <w:left w:val="nil"/>
              <w:bottom w:val="single" w:sz="4" w:space="0" w:color="auto"/>
              <w:right w:val="single" w:sz="4" w:space="0" w:color="auto"/>
            </w:tcBorders>
            <w:shd w:val="clear" w:color="000000" w:fill="CCFFFF"/>
            <w:noWrap/>
            <w:vAlign w:val="bottom"/>
            <w:hideMark/>
          </w:tcPr>
          <w:p w14:paraId="5BC2CCEB" w14:textId="77777777" w:rsidR="00B56301" w:rsidRPr="00364545" w:rsidRDefault="00B56301" w:rsidP="00B37B65">
            <w:pPr>
              <w:jc w:val="right"/>
              <w:rPr>
                <w:rFonts w:ascii="Times New Roman" w:hAnsi="Times New Roman"/>
                <w:sz w:val="18"/>
                <w:szCs w:val="18"/>
              </w:rPr>
            </w:pPr>
            <w:r w:rsidRPr="00364545">
              <w:rPr>
                <w:sz w:val="18"/>
              </w:rPr>
              <w:t>59864,18</w:t>
            </w:r>
          </w:p>
        </w:tc>
        <w:tc>
          <w:tcPr>
            <w:tcW w:w="992" w:type="dxa"/>
            <w:tcBorders>
              <w:top w:val="nil"/>
              <w:left w:val="nil"/>
              <w:bottom w:val="single" w:sz="4" w:space="0" w:color="auto"/>
              <w:right w:val="single" w:sz="4" w:space="0" w:color="auto"/>
            </w:tcBorders>
            <w:shd w:val="clear" w:color="000000" w:fill="CCFFFF"/>
            <w:noWrap/>
            <w:vAlign w:val="bottom"/>
            <w:hideMark/>
          </w:tcPr>
          <w:p w14:paraId="5B3C42B7" w14:textId="77777777" w:rsidR="00B56301" w:rsidRPr="00364545" w:rsidRDefault="00B56301" w:rsidP="00B37B65">
            <w:pPr>
              <w:jc w:val="right"/>
              <w:rPr>
                <w:rFonts w:ascii="Times New Roman" w:hAnsi="Times New Roman"/>
                <w:sz w:val="18"/>
                <w:szCs w:val="18"/>
              </w:rPr>
            </w:pPr>
            <w:r w:rsidRPr="00364545">
              <w:rPr>
                <w:sz w:val="18"/>
              </w:rPr>
              <w:t>58939,84</w:t>
            </w:r>
          </w:p>
        </w:tc>
        <w:tc>
          <w:tcPr>
            <w:tcW w:w="992" w:type="dxa"/>
            <w:tcBorders>
              <w:top w:val="nil"/>
              <w:left w:val="nil"/>
              <w:bottom w:val="single" w:sz="4" w:space="0" w:color="auto"/>
              <w:right w:val="single" w:sz="4" w:space="0" w:color="auto"/>
            </w:tcBorders>
            <w:shd w:val="clear" w:color="000000" w:fill="CCFFFF"/>
            <w:noWrap/>
            <w:vAlign w:val="bottom"/>
            <w:hideMark/>
          </w:tcPr>
          <w:p w14:paraId="31D83D2C" w14:textId="77777777" w:rsidR="00B56301" w:rsidRPr="00364545" w:rsidRDefault="00B56301" w:rsidP="00B37B65">
            <w:pPr>
              <w:jc w:val="right"/>
              <w:rPr>
                <w:rFonts w:ascii="Times New Roman" w:hAnsi="Times New Roman"/>
                <w:sz w:val="18"/>
                <w:szCs w:val="18"/>
              </w:rPr>
            </w:pPr>
            <w:r w:rsidRPr="00364545">
              <w:rPr>
                <w:sz w:val="18"/>
              </w:rPr>
              <w:t>58532,38</w:t>
            </w:r>
          </w:p>
        </w:tc>
        <w:tc>
          <w:tcPr>
            <w:tcW w:w="992" w:type="dxa"/>
            <w:tcBorders>
              <w:top w:val="nil"/>
              <w:left w:val="nil"/>
              <w:bottom w:val="single" w:sz="4" w:space="0" w:color="auto"/>
              <w:right w:val="single" w:sz="4" w:space="0" w:color="auto"/>
            </w:tcBorders>
            <w:shd w:val="clear" w:color="000000" w:fill="CCFFFF"/>
            <w:noWrap/>
            <w:vAlign w:val="bottom"/>
            <w:hideMark/>
          </w:tcPr>
          <w:p w14:paraId="4FAFA0E4" w14:textId="77777777" w:rsidR="00B56301" w:rsidRPr="00364545" w:rsidRDefault="00B56301" w:rsidP="00B37B65">
            <w:pPr>
              <w:jc w:val="right"/>
              <w:rPr>
                <w:rFonts w:ascii="Times New Roman" w:hAnsi="Times New Roman"/>
                <w:sz w:val="18"/>
                <w:szCs w:val="18"/>
              </w:rPr>
            </w:pPr>
            <w:r w:rsidRPr="00364545">
              <w:rPr>
                <w:sz w:val="18"/>
              </w:rPr>
              <w:t>58136,06</w:t>
            </w:r>
          </w:p>
        </w:tc>
        <w:tc>
          <w:tcPr>
            <w:tcW w:w="992" w:type="dxa"/>
            <w:tcBorders>
              <w:top w:val="nil"/>
              <w:left w:val="nil"/>
              <w:bottom w:val="single" w:sz="4" w:space="0" w:color="auto"/>
              <w:right w:val="single" w:sz="4" w:space="0" w:color="auto"/>
            </w:tcBorders>
            <w:shd w:val="clear" w:color="000000" w:fill="CCFFFF"/>
            <w:noWrap/>
            <w:vAlign w:val="bottom"/>
            <w:hideMark/>
          </w:tcPr>
          <w:p w14:paraId="1FBC37DA" w14:textId="77777777" w:rsidR="00B56301" w:rsidRPr="00364545" w:rsidRDefault="00B56301" w:rsidP="00B37B65">
            <w:pPr>
              <w:jc w:val="right"/>
              <w:rPr>
                <w:rFonts w:ascii="Times New Roman" w:hAnsi="Times New Roman"/>
                <w:sz w:val="18"/>
                <w:szCs w:val="18"/>
              </w:rPr>
            </w:pPr>
            <w:r w:rsidRPr="00364545">
              <w:rPr>
                <w:sz w:val="18"/>
              </w:rPr>
              <w:t>57353,99</w:t>
            </w:r>
          </w:p>
        </w:tc>
      </w:tr>
      <w:tr w:rsidR="00B56301" w:rsidRPr="00364545" w14:paraId="6BC8153E"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09E7A26" w14:textId="7F190EB1" w:rsidR="00B56301" w:rsidRPr="00364545" w:rsidRDefault="00F80CAB" w:rsidP="00B37B65">
            <w:pPr>
              <w:jc w:val="left"/>
              <w:rPr>
                <w:rFonts w:ascii="Times New Roman" w:hAnsi="Times New Roman"/>
                <w:sz w:val="18"/>
                <w:szCs w:val="18"/>
              </w:rPr>
            </w:pPr>
            <w:r w:rsidRPr="00364545">
              <w:t>N</w:t>
            </w:r>
            <w:r w:rsidRPr="00364545">
              <w:rPr>
                <w:vertAlign w:val="subscript"/>
              </w:rPr>
              <w:t>2</w:t>
            </w:r>
            <w:r w:rsidRPr="00364545">
              <w:t xml:space="preserve">O </w:t>
            </w:r>
            <w:r w:rsidRPr="00364545">
              <w:rPr>
                <w:rFonts w:ascii="Times New Roman" w:hAnsi="Times New Roman"/>
                <w:sz w:val="18"/>
              </w:rPr>
              <w:t xml:space="preserve">emissions without </w:t>
            </w:r>
            <w:r w:rsidRPr="00364545">
              <w:t>N</w:t>
            </w:r>
            <w:r w:rsidRPr="00364545">
              <w:rPr>
                <w:vertAlign w:val="subscript"/>
              </w:rPr>
              <w:t>2</w:t>
            </w:r>
            <w:r w:rsidRPr="00364545">
              <w:t xml:space="preserve">O </w:t>
            </w:r>
            <w:r w:rsidRPr="00364545">
              <w:rPr>
                <w:rFonts w:ascii="Times New Roman" w:hAnsi="Times New Roman"/>
                <w:sz w:val="18"/>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AC0BED8" w14:textId="77777777" w:rsidR="00B56301" w:rsidRPr="00364545" w:rsidRDefault="00B56301" w:rsidP="00B37B65">
            <w:pPr>
              <w:jc w:val="right"/>
              <w:rPr>
                <w:rFonts w:ascii="Times New Roman" w:hAnsi="Times New Roman"/>
                <w:sz w:val="18"/>
                <w:szCs w:val="18"/>
              </w:rPr>
            </w:pPr>
            <w:r w:rsidRPr="00364545">
              <w:rPr>
                <w:sz w:val="18"/>
              </w:rPr>
              <w:t>38930,28</w:t>
            </w:r>
          </w:p>
        </w:tc>
        <w:tc>
          <w:tcPr>
            <w:tcW w:w="992" w:type="dxa"/>
            <w:tcBorders>
              <w:top w:val="nil"/>
              <w:left w:val="nil"/>
              <w:bottom w:val="single" w:sz="4" w:space="0" w:color="auto"/>
              <w:right w:val="single" w:sz="4" w:space="0" w:color="auto"/>
            </w:tcBorders>
            <w:shd w:val="clear" w:color="000000" w:fill="CCFFFF"/>
            <w:noWrap/>
            <w:vAlign w:val="bottom"/>
            <w:hideMark/>
          </w:tcPr>
          <w:p w14:paraId="4F6669C4" w14:textId="77777777" w:rsidR="00B56301" w:rsidRPr="00364545" w:rsidRDefault="00B56301" w:rsidP="00B37B65">
            <w:pPr>
              <w:jc w:val="right"/>
              <w:rPr>
                <w:rFonts w:ascii="Times New Roman" w:hAnsi="Times New Roman"/>
                <w:sz w:val="18"/>
                <w:szCs w:val="18"/>
              </w:rPr>
            </w:pPr>
            <w:r w:rsidRPr="00364545">
              <w:rPr>
                <w:sz w:val="18"/>
              </w:rPr>
              <w:t>40062,96</w:t>
            </w:r>
          </w:p>
        </w:tc>
        <w:tc>
          <w:tcPr>
            <w:tcW w:w="992" w:type="dxa"/>
            <w:tcBorders>
              <w:top w:val="nil"/>
              <w:left w:val="nil"/>
              <w:bottom w:val="single" w:sz="4" w:space="0" w:color="auto"/>
              <w:right w:val="single" w:sz="4" w:space="0" w:color="auto"/>
            </w:tcBorders>
            <w:shd w:val="clear" w:color="000000" w:fill="CCFFFF"/>
            <w:noWrap/>
            <w:vAlign w:val="bottom"/>
            <w:hideMark/>
          </w:tcPr>
          <w:p w14:paraId="26F46370" w14:textId="77777777" w:rsidR="00B56301" w:rsidRPr="00364545" w:rsidRDefault="00B56301" w:rsidP="00B37B65">
            <w:pPr>
              <w:jc w:val="right"/>
              <w:rPr>
                <w:rFonts w:ascii="Times New Roman" w:hAnsi="Times New Roman"/>
                <w:sz w:val="18"/>
                <w:szCs w:val="18"/>
              </w:rPr>
            </w:pPr>
            <w:r w:rsidRPr="00364545">
              <w:rPr>
                <w:sz w:val="18"/>
              </w:rPr>
              <w:t>39895,49</w:t>
            </w:r>
          </w:p>
        </w:tc>
        <w:tc>
          <w:tcPr>
            <w:tcW w:w="992" w:type="dxa"/>
            <w:tcBorders>
              <w:top w:val="nil"/>
              <w:left w:val="nil"/>
              <w:bottom w:val="single" w:sz="4" w:space="0" w:color="auto"/>
              <w:right w:val="single" w:sz="4" w:space="0" w:color="auto"/>
            </w:tcBorders>
            <w:shd w:val="clear" w:color="000000" w:fill="CCFFFF"/>
            <w:noWrap/>
            <w:vAlign w:val="bottom"/>
            <w:hideMark/>
          </w:tcPr>
          <w:p w14:paraId="0897945C" w14:textId="77777777" w:rsidR="00B56301" w:rsidRPr="00364545" w:rsidRDefault="00B56301" w:rsidP="00B37B65">
            <w:pPr>
              <w:jc w:val="right"/>
              <w:rPr>
                <w:rFonts w:ascii="Times New Roman" w:hAnsi="Times New Roman"/>
                <w:sz w:val="18"/>
                <w:szCs w:val="18"/>
              </w:rPr>
            </w:pPr>
            <w:r w:rsidRPr="00364545">
              <w:rPr>
                <w:sz w:val="18"/>
              </w:rPr>
              <w:t>38789,93</w:t>
            </w:r>
          </w:p>
        </w:tc>
        <w:tc>
          <w:tcPr>
            <w:tcW w:w="992" w:type="dxa"/>
            <w:tcBorders>
              <w:top w:val="nil"/>
              <w:left w:val="nil"/>
              <w:bottom w:val="single" w:sz="4" w:space="0" w:color="auto"/>
              <w:right w:val="single" w:sz="4" w:space="0" w:color="auto"/>
            </w:tcBorders>
            <w:shd w:val="clear" w:color="000000" w:fill="CCFFFF"/>
            <w:noWrap/>
            <w:vAlign w:val="bottom"/>
            <w:hideMark/>
          </w:tcPr>
          <w:p w14:paraId="3A234AA4" w14:textId="77777777" w:rsidR="00B56301" w:rsidRPr="00364545" w:rsidRDefault="00B56301" w:rsidP="00B37B65">
            <w:pPr>
              <w:jc w:val="right"/>
              <w:rPr>
                <w:rFonts w:ascii="Times New Roman" w:hAnsi="Times New Roman"/>
                <w:sz w:val="18"/>
                <w:szCs w:val="18"/>
              </w:rPr>
            </w:pPr>
            <w:r w:rsidRPr="00364545">
              <w:rPr>
                <w:sz w:val="18"/>
              </w:rPr>
              <w:t>40162,03</w:t>
            </w:r>
          </w:p>
        </w:tc>
        <w:tc>
          <w:tcPr>
            <w:tcW w:w="992" w:type="dxa"/>
            <w:tcBorders>
              <w:top w:val="nil"/>
              <w:left w:val="nil"/>
              <w:bottom w:val="single" w:sz="4" w:space="0" w:color="auto"/>
              <w:right w:val="single" w:sz="4" w:space="0" w:color="auto"/>
            </w:tcBorders>
            <w:shd w:val="clear" w:color="000000" w:fill="CCFFFF"/>
            <w:noWrap/>
            <w:vAlign w:val="bottom"/>
            <w:hideMark/>
          </w:tcPr>
          <w:p w14:paraId="76F33869" w14:textId="77777777" w:rsidR="00B56301" w:rsidRPr="00364545" w:rsidRDefault="00B56301" w:rsidP="00B37B65">
            <w:pPr>
              <w:jc w:val="right"/>
              <w:rPr>
                <w:rFonts w:ascii="Times New Roman" w:hAnsi="Times New Roman"/>
                <w:sz w:val="18"/>
                <w:szCs w:val="18"/>
              </w:rPr>
            </w:pPr>
            <w:r w:rsidRPr="00364545">
              <w:rPr>
                <w:sz w:val="18"/>
              </w:rPr>
              <w:t>38500,05</w:t>
            </w:r>
          </w:p>
        </w:tc>
      </w:tr>
      <w:tr w:rsidR="00B56301" w:rsidRPr="00364545" w14:paraId="032787D9"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5E3EA86" w14:textId="6C79D93D" w:rsidR="00B56301" w:rsidRPr="00364545" w:rsidRDefault="00F80CAB" w:rsidP="00B37B65">
            <w:pPr>
              <w:jc w:val="left"/>
              <w:rPr>
                <w:rFonts w:ascii="Times New Roman" w:hAnsi="Times New Roman"/>
                <w:sz w:val="18"/>
                <w:szCs w:val="18"/>
              </w:rPr>
            </w:pP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 xml:space="preserve">emissions with </w:t>
            </w: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43A91263" w14:textId="77777777" w:rsidR="00B56301" w:rsidRPr="00364545" w:rsidRDefault="00B56301" w:rsidP="00B37B65">
            <w:pPr>
              <w:jc w:val="right"/>
              <w:rPr>
                <w:rFonts w:ascii="Times New Roman" w:hAnsi="Times New Roman"/>
                <w:sz w:val="18"/>
                <w:szCs w:val="18"/>
              </w:rPr>
            </w:pPr>
            <w:r w:rsidRPr="00364545">
              <w:rPr>
                <w:sz w:val="18"/>
              </w:rPr>
              <w:t>41927,96</w:t>
            </w:r>
          </w:p>
        </w:tc>
        <w:tc>
          <w:tcPr>
            <w:tcW w:w="992" w:type="dxa"/>
            <w:tcBorders>
              <w:top w:val="nil"/>
              <w:left w:val="nil"/>
              <w:bottom w:val="single" w:sz="4" w:space="0" w:color="auto"/>
              <w:right w:val="single" w:sz="4" w:space="0" w:color="auto"/>
            </w:tcBorders>
            <w:shd w:val="clear" w:color="000000" w:fill="CCFFFF"/>
            <w:noWrap/>
            <w:vAlign w:val="bottom"/>
            <w:hideMark/>
          </w:tcPr>
          <w:p w14:paraId="4833359C" w14:textId="77777777" w:rsidR="00B56301" w:rsidRPr="00364545" w:rsidRDefault="00B56301" w:rsidP="00B37B65">
            <w:pPr>
              <w:jc w:val="right"/>
              <w:rPr>
                <w:rFonts w:ascii="Times New Roman" w:hAnsi="Times New Roman"/>
                <w:sz w:val="18"/>
                <w:szCs w:val="18"/>
              </w:rPr>
            </w:pPr>
            <w:r w:rsidRPr="00364545">
              <w:rPr>
                <w:sz w:val="18"/>
              </w:rPr>
              <w:t>43034,40</w:t>
            </w:r>
          </w:p>
        </w:tc>
        <w:tc>
          <w:tcPr>
            <w:tcW w:w="992" w:type="dxa"/>
            <w:tcBorders>
              <w:top w:val="nil"/>
              <w:left w:val="nil"/>
              <w:bottom w:val="single" w:sz="4" w:space="0" w:color="auto"/>
              <w:right w:val="single" w:sz="4" w:space="0" w:color="auto"/>
            </w:tcBorders>
            <w:shd w:val="clear" w:color="000000" w:fill="CCFFFF"/>
            <w:noWrap/>
            <w:vAlign w:val="bottom"/>
            <w:hideMark/>
          </w:tcPr>
          <w:p w14:paraId="6F9C6CBF" w14:textId="77777777" w:rsidR="00B56301" w:rsidRPr="00364545" w:rsidRDefault="00B56301" w:rsidP="00B37B65">
            <w:pPr>
              <w:jc w:val="right"/>
              <w:rPr>
                <w:rFonts w:ascii="Times New Roman" w:hAnsi="Times New Roman"/>
                <w:sz w:val="18"/>
                <w:szCs w:val="18"/>
              </w:rPr>
            </w:pPr>
            <w:r w:rsidRPr="00364545">
              <w:rPr>
                <w:sz w:val="18"/>
              </w:rPr>
              <w:t>42839,63</w:t>
            </w:r>
          </w:p>
        </w:tc>
        <w:tc>
          <w:tcPr>
            <w:tcW w:w="992" w:type="dxa"/>
            <w:tcBorders>
              <w:top w:val="nil"/>
              <w:left w:val="nil"/>
              <w:bottom w:val="single" w:sz="4" w:space="0" w:color="auto"/>
              <w:right w:val="single" w:sz="4" w:space="0" w:color="auto"/>
            </w:tcBorders>
            <w:shd w:val="clear" w:color="000000" w:fill="CCFFFF"/>
            <w:noWrap/>
            <w:vAlign w:val="bottom"/>
            <w:hideMark/>
          </w:tcPr>
          <w:p w14:paraId="5F04DBBD" w14:textId="77777777" w:rsidR="00B56301" w:rsidRPr="00364545" w:rsidRDefault="00B56301" w:rsidP="00B37B65">
            <w:pPr>
              <w:jc w:val="right"/>
              <w:rPr>
                <w:rFonts w:ascii="Times New Roman" w:hAnsi="Times New Roman"/>
                <w:sz w:val="18"/>
                <w:szCs w:val="18"/>
              </w:rPr>
            </w:pPr>
            <w:r w:rsidRPr="00364545">
              <w:rPr>
                <w:sz w:val="18"/>
              </w:rPr>
              <w:t>41704,64</w:t>
            </w:r>
          </w:p>
        </w:tc>
        <w:tc>
          <w:tcPr>
            <w:tcW w:w="992" w:type="dxa"/>
            <w:tcBorders>
              <w:top w:val="nil"/>
              <w:left w:val="nil"/>
              <w:bottom w:val="single" w:sz="4" w:space="0" w:color="auto"/>
              <w:right w:val="single" w:sz="4" w:space="0" w:color="auto"/>
            </w:tcBorders>
            <w:shd w:val="clear" w:color="000000" w:fill="CCFFFF"/>
            <w:noWrap/>
            <w:vAlign w:val="bottom"/>
            <w:hideMark/>
          </w:tcPr>
          <w:p w14:paraId="586EC158" w14:textId="77777777" w:rsidR="00B56301" w:rsidRPr="00364545" w:rsidRDefault="00B56301" w:rsidP="00B37B65">
            <w:pPr>
              <w:jc w:val="right"/>
              <w:rPr>
                <w:rFonts w:ascii="Times New Roman" w:hAnsi="Times New Roman"/>
                <w:sz w:val="18"/>
                <w:szCs w:val="18"/>
              </w:rPr>
            </w:pPr>
            <w:r w:rsidRPr="00364545">
              <w:rPr>
                <w:sz w:val="18"/>
              </w:rPr>
              <w:t>43061,13</w:t>
            </w:r>
          </w:p>
        </w:tc>
        <w:tc>
          <w:tcPr>
            <w:tcW w:w="992" w:type="dxa"/>
            <w:tcBorders>
              <w:top w:val="nil"/>
              <w:left w:val="nil"/>
              <w:bottom w:val="single" w:sz="4" w:space="0" w:color="auto"/>
              <w:right w:val="single" w:sz="4" w:space="0" w:color="auto"/>
            </w:tcBorders>
            <w:shd w:val="clear" w:color="000000" w:fill="CCFFFF"/>
            <w:noWrap/>
            <w:vAlign w:val="bottom"/>
            <w:hideMark/>
          </w:tcPr>
          <w:p w14:paraId="2BFC2516" w14:textId="77777777" w:rsidR="00B56301" w:rsidRPr="00364545" w:rsidRDefault="00B56301" w:rsidP="00B37B65">
            <w:pPr>
              <w:jc w:val="right"/>
              <w:rPr>
                <w:rFonts w:ascii="Times New Roman" w:hAnsi="Times New Roman"/>
                <w:sz w:val="18"/>
                <w:szCs w:val="18"/>
              </w:rPr>
            </w:pPr>
            <w:r w:rsidRPr="00364545">
              <w:rPr>
                <w:sz w:val="18"/>
              </w:rPr>
              <w:t>41362,67</w:t>
            </w:r>
          </w:p>
        </w:tc>
      </w:tr>
      <w:tr w:rsidR="00B56301" w:rsidRPr="00364545" w14:paraId="56500D18"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E9354EB"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152D80FC" w14:textId="77777777" w:rsidR="00B56301" w:rsidRPr="00364545" w:rsidRDefault="00B56301" w:rsidP="00B37B65">
            <w:pPr>
              <w:jc w:val="right"/>
              <w:rPr>
                <w:rFonts w:ascii="Times New Roman" w:hAnsi="Times New Roman"/>
                <w:sz w:val="18"/>
                <w:szCs w:val="18"/>
              </w:rPr>
            </w:pPr>
            <w:r w:rsidRPr="00364545">
              <w:rPr>
                <w:sz w:val="18"/>
              </w:rPr>
              <w:t>17771,58</w:t>
            </w:r>
          </w:p>
        </w:tc>
        <w:tc>
          <w:tcPr>
            <w:tcW w:w="992" w:type="dxa"/>
            <w:tcBorders>
              <w:top w:val="nil"/>
              <w:left w:val="nil"/>
              <w:bottom w:val="single" w:sz="4" w:space="0" w:color="auto"/>
              <w:right w:val="single" w:sz="4" w:space="0" w:color="auto"/>
            </w:tcBorders>
            <w:shd w:val="clear" w:color="000000" w:fill="CCFFFF"/>
            <w:noWrap/>
            <w:vAlign w:val="bottom"/>
            <w:hideMark/>
          </w:tcPr>
          <w:p w14:paraId="0DBA0437" w14:textId="77777777" w:rsidR="00B56301" w:rsidRPr="00364545" w:rsidRDefault="00B56301" w:rsidP="00B37B65">
            <w:pPr>
              <w:jc w:val="right"/>
              <w:rPr>
                <w:rFonts w:ascii="Times New Roman" w:hAnsi="Times New Roman"/>
                <w:sz w:val="18"/>
                <w:szCs w:val="18"/>
              </w:rPr>
            </w:pPr>
            <w:r w:rsidRPr="00364545">
              <w:rPr>
                <w:sz w:val="18"/>
              </w:rPr>
              <w:t>17661,76</w:t>
            </w:r>
          </w:p>
        </w:tc>
        <w:tc>
          <w:tcPr>
            <w:tcW w:w="992" w:type="dxa"/>
            <w:tcBorders>
              <w:top w:val="nil"/>
              <w:left w:val="nil"/>
              <w:bottom w:val="single" w:sz="4" w:space="0" w:color="auto"/>
              <w:right w:val="single" w:sz="4" w:space="0" w:color="auto"/>
            </w:tcBorders>
            <w:shd w:val="clear" w:color="000000" w:fill="CCFFFF"/>
            <w:noWrap/>
            <w:vAlign w:val="bottom"/>
            <w:hideMark/>
          </w:tcPr>
          <w:p w14:paraId="34405C17" w14:textId="77777777" w:rsidR="00B56301" w:rsidRPr="00364545" w:rsidRDefault="00B56301" w:rsidP="00B37B65">
            <w:pPr>
              <w:jc w:val="right"/>
              <w:rPr>
                <w:rFonts w:ascii="Times New Roman" w:hAnsi="Times New Roman"/>
                <w:sz w:val="18"/>
                <w:szCs w:val="18"/>
              </w:rPr>
            </w:pPr>
            <w:r w:rsidRPr="00364545">
              <w:rPr>
                <w:sz w:val="18"/>
              </w:rPr>
              <w:t>17494,30</w:t>
            </w:r>
          </w:p>
        </w:tc>
        <w:tc>
          <w:tcPr>
            <w:tcW w:w="992" w:type="dxa"/>
            <w:tcBorders>
              <w:top w:val="nil"/>
              <w:left w:val="nil"/>
              <w:bottom w:val="single" w:sz="4" w:space="0" w:color="auto"/>
              <w:right w:val="single" w:sz="4" w:space="0" w:color="auto"/>
            </w:tcBorders>
            <w:shd w:val="clear" w:color="000000" w:fill="CCFFFF"/>
            <w:noWrap/>
            <w:vAlign w:val="bottom"/>
            <w:hideMark/>
          </w:tcPr>
          <w:p w14:paraId="2419BB58" w14:textId="77777777" w:rsidR="00B56301" w:rsidRPr="00364545" w:rsidRDefault="00B56301" w:rsidP="00B37B65">
            <w:pPr>
              <w:jc w:val="right"/>
              <w:rPr>
                <w:rFonts w:ascii="Times New Roman" w:hAnsi="Times New Roman"/>
                <w:sz w:val="18"/>
                <w:szCs w:val="18"/>
              </w:rPr>
            </w:pPr>
            <w:r w:rsidRPr="00364545">
              <w:rPr>
                <w:sz w:val="18"/>
              </w:rPr>
              <w:t>17205,17</w:t>
            </w:r>
          </w:p>
        </w:tc>
        <w:tc>
          <w:tcPr>
            <w:tcW w:w="992" w:type="dxa"/>
            <w:tcBorders>
              <w:top w:val="nil"/>
              <w:left w:val="nil"/>
              <w:bottom w:val="single" w:sz="4" w:space="0" w:color="auto"/>
              <w:right w:val="single" w:sz="4" w:space="0" w:color="auto"/>
            </w:tcBorders>
            <w:shd w:val="clear" w:color="000000" w:fill="CCFFFF"/>
            <w:noWrap/>
            <w:vAlign w:val="bottom"/>
            <w:hideMark/>
          </w:tcPr>
          <w:p w14:paraId="0A34E268" w14:textId="77777777" w:rsidR="00B56301" w:rsidRPr="00364545" w:rsidRDefault="00B56301" w:rsidP="00B37B65">
            <w:pPr>
              <w:jc w:val="right"/>
              <w:rPr>
                <w:rFonts w:ascii="Times New Roman" w:hAnsi="Times New Roman"/>
                <w:sz w:val="18"/>
                <w:szCs w:val="18"/>
              </w:rPr>
            </w:pPr>
            <w:r w:rsidRPr="00364545">
              <w:rPr>
                <w:sz w:val="18"/>
              </w:rPr>
              <w:t>16637,22</w:t>
            </w:r>
          </w:p>
        </w:tc>
        <w:tc>
          <w:tcPr>
            <w:tcW w:w="992" w:type="dxa"/>
            <w:tcBorders>
              <w:top w:val="nil"/>
              <w:left w:val="nil"/>
              <w:bottom w:val="single" w:sz="4" w:space="0" w:color="auto"/>
              <w:right w:val="single" w:sz="4" w:space="0" w:color="auto"/>
            </w:tcBorders>
            <w:shd w:val="clear" w:color="000000" w:fill="CCFFFF"/>
            <w:noWrap/>
            <w:vAlign w:val="bottom"/>
            <w:hideMark/>
          </w:tcPr>
          <w:p w14:paraId="29DE758B" w14:textId="77777777" w:rsidR="00B56301" w:rsidRPr="00364545" w:rsidRDefault="00B56301" w:rsidP="00B37B65">
            <w:pPr>
              <w:jc w:val="right"/>
              <w:rPr>
                <w:rFonts w:ascii="Times New Roman" w:hAnsi="Times New Roman"/>
                <w:sz w:val="18"/>
                <w:szCs w:val="18"/>
              </w:rPr>
            </w:pPr>
            <w:r w:rsidRPr="00364545">
              <w:rPr>
                <w:sz w:val="18"/>
              </w:rPr>
              <w:t>14847,44</w:t>
            </w:r>
          </w:p>
        </w:tc>
      </w:tr>
      <w:tr w:rsidR="00B56301" w:rsidRPr="00364545" w14:paraId="461C9724"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8132304"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71332D5D" w14:textId="77777777" w:rsidR="00B56301" w:rsidRPr="00364545" w:rsidRDefault="00B56301" w:rsidP="00B37B65">
            <w:pPr>
              <w:jc w:val="right"/>
              <w:rPr>
                <w:rFonts w:ascii="Times New Roman" w:hAnsi="Times New Roman"/>
                <w:sz w:val="18"/>
                <w:szCs w:val="18"/>
              </w:rPr>
            </w:pPr>
            <w:r w:rsidRPr="00364545">
              <w:rPr>
                <w:sz w:val="18"/>
              </w:rPr>
              <w:t>670,50</w:t>
            </w:r>
          </w:p>
        </w:tc>
        <w:tc>
          <w:tcPr>
            <w:tcW w:w="992" w:type="dxa"/>
            <w:tcBorders>
              <w:top w:val="nil"/>
              <w:left w:val="nil"/>
              <w:bottom w:val="single" w:sz="4" w:space="0" w:color="auto"/>
              <w:right w:val="single" w:sz="4" w:space="0" w:color="auto"/>
            </w:tcBorders>
            <w:shd w:val="clear" w:color="000000" w:fill="CCFFFF"/>
            <w:noWrap/>
            <w:vAlign w:val="bottom"/>
            <w:hideMark/>
          </w:tcPr>
          <w:p w14:paraId="53602B9D" w14:textId="77777777" w:rsidR="00B56301" w:rsidRPr="00364545" w:rsidRDefault="00B56301" w:rsidP="00B37B65">
            <w:pPr>
              <w:jc w:val="right"/>
              <w:rPr>
                <w:rFonts w:ascii="Times New Roman" w:hAnsi="Times New Roman"/>
                <w:sz w:val="18"/>
                <w:szCs w:val="18"/>
              </w:rPr>
            </w:pPr>
            <w:r w:rsidRPr="00364545">
              <w:rPr>
                <w:sz w:val="18"/>
              </w:rPr>
              <w:t>615,88</w:t>
            </w:r>
          </w:p>
        </w:tc>
        <w:tc>
          <w:tcPr>
            <w:tcW w:w="992" w:type="dxa"/>
            <w:tcBorders>
              <w:top w:val="nil"/>
              <w:left w:val="nil"/>
              <w:bottom w:val="single" w:sz="4" w:space="0" w:color="auto"/>
              <w:right w:val="single" w:sz="4" w:space="0" w:color="auto"/>
            </w:tcBorders>
            <w:shd w:val="clear" w:color="000000" w:fill="CCFFFF"/>
            <w:noWrap/>
            <w:vAlign w:val="bottom"/>
            <w:hideMark/>
          </w:tcPr>
          <w:p w14:paraId="2B76165B" w14:textId="77777777" w:rsidR="00B56301" w:rsidRPr="00364545" w:rsidRDefault="00B56301" w:rsidP="00B37B65">
            <w:pPr>
              <w:jc w:val="right"/>
              <w:rPr>
                <w:rFonts w:ascii="Times New Roman" w:hAnsi="Times New Roman"/>
                <w:sz w:val="18"/>
                <w:szCs w:val="18"/>
              </w:rPr>
            </w:pPr>
            <w:r w:rsidRPr="00364545">
              <w:rPr>
                <w:sz w:val="18"/>
              </w:rPr>
              <w:t>536,57</w:t>
            </w:r>
          </w:p>
        </w:tc>
        <w:tc>
          <w:tcPr>
            <w:tcW w:w="992" w:type="dxa"/>
            <w:tcBorders>
              <w:top w:val="nil"/>
              <w:left w:val="nil"/>
              <w:bottom w:val="single" w:sz="4" w:space="0" w:color="auto"/>
              <w:right w:val="single" w:sz="4" w:space="0" w:color="auto"/>
            </w:tcBorders>
            <w:shd w:val="clear" w:color="000000" w:fill="CCFFFF"/>
            <w:noWrap/>
            <w:vAlign w:val="bottom"/>
            <w:hideMark/>
          </w:tcPr>
          <w:p w14:paraId="6C445F3F" w14:textId="77777777" w:rsidR="00B56301" w:rsidRPr="00364545" w:rsidRDefault="00B56301" w:rsidP="00B37B65">
            <w:pPr>
              <w:jc w:val="right"/>
              <w:rPr>
                <w:rFonts w:ascii="Times New Roman" w:hAnsi="Times New Roman"/>
                <w:sz w:val="18"/>
                <w:szCs w:val="18"/>
              </w:rPr>
            </w:pPr>
            <w:r w:rsidRPr="00364545">
              <w:rPr>
                <w:sz w:val="18"/>
              </w:rPr>
              <w:t>666,01</w:t>
            </w:r>
          </w:p>
        </w:tc>
        <w:tc>
          <w:tcPr>
            <w:tcW w:w="992" w:type="dxa"/>
            <w:tcBorders>
              <w:top w:val="nil"/>
              <w:left w:val="nil"/>
              <w:bottom w:val="single" w:sz="4" w:space="0" w:color="auto"/>
              <w:right w:val="single" w:sz="4" w:space="0" w:color="auto"/>
            </w:tcBorders>
            <w:shd w:val="clear" w:color="000000" w:fill="CCFFFF"/>
            <w:noWrap/>
            <w:vAlign w:val="bottom"/>
            <w:hideMark/>
          </w:tcPr>
          <w:p w14:paraId="1606EAF3" w14:textId="77777777" w:rsidR="00B56301" w:rsidRPr="00364545" w:rsidRDefault="00B56301" w:rsidP="00B37B65">
            <w:pPr>
              <w:jc w:val="right"/>
              <w:rPr>
                <w:rFonts w:ascii="Times New Roman" w:hAnsi="Times New Roman"/>
                <w:sz w:val="18"/>
                <w:szCs w:val="18"/>
              </w:rPr>
            </w:pPr>
            <w:r w:rsidRPr="00364545">
              <w:rPr>
                <w:sz w:val="18"/>
              </w:rPr>
              <w:t>707,68</w:t>
            </w:r>
          </w:p>
        </w:tc>
        <w:tc>
          <w:tcPr>
            <w:tcW w:w="992" w:type="dxa"/>
            <w:tcBorders>
              <w:top w:val="nil"/>
              <w:left w:val="nil"/>
              <w:bottom w:val="single" w:sz="4" w:space="0" w:color="auto"/>
              <w:right w:val="single" w:sz="4" w:space="0" w:color="auto"/>
            </w:tcBorders>
            <w:shd w:val="clear" w:color="000000" w:fill="CCFFFF"/>
            <w:noWrap/>
            <w:vAlign w:val="bottom"/>
            <w:hideMark/>
          </w:tcPr>
          <w:p w14:paraId="227037E2" w14:textId="77777777" w:rsidR="00B56301" w:rsidRPr="00364545" w:rsidRDefault="00B56301" w:rsidP="00B37B65">
            <w:pPr>
              <w:jc w:val="right"/>
              <w:rPr>
                <w:rFonts w:ascii="Times New Roman" w:hAnsi="Times New Roman"/>
                <w:sz w:val="18"/>
                <w:szCs w:val="18"/>
              </w:rPr>
            </w:pPr>
            <w:r w:rsidRPr="00364545">
              <w:rPr>
                <w:sz w:val="18"/>
              </w:rPr>
              <w:t>676,73</w:t>
            </w:r>
          </w:p>
        </w:tc>
      </w:tr>
      <w:tr w:rsidR="00B56301" w:rsidRPr="00364545" w14:paraId="59DB765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1DF2934" w14:textId="77777777" w:rsidR="00B56301" w:rsidRPr="00364545" w:rsidRDefault="00B56301" w:rsidP="00B37B65">
            <w:pPr>
              <w:jc w:val="left"/>
              <w:rPr>
                <w:rFonts w:ascii="Times New Roman" w:hAnsi="Times New Roman"/>
                <w:sz w:val="18"/>
                <w:szCs w:val="18"/>
              </w:rPr>
            </w:pPr>
            <w:r w:rsidRPr="00364545">
              <w:rPr>
                <w:rFonts w:ascii="Times New Roman" w:hAnsi="Times New Roman"/>
                <w:sz w:val="18"/>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793C83A8"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2193C715"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D493EA1"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DF483B3"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86D425E" w14:textId="77777777" w:rsidR="00B56301" w:rsidRPr="00364545" w:rsidRDefault="00B56301" w:rsidP="00B37B65">
            <w:pPr>
              <w:jc w:val="right"/>
              <w:rPr>
                <w:rFonts w:ascii="Times New Roman" w:hAnsi="Times New Roman"/>
                <w:sz w:val="18"/>
                <w:szCs w:val="18"/>
              </w:rPr>
            </w:pPr>
            <w:r w:rsidRPr="00364545">
              <w:rPr>
                <w:sz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297EFE8" w14:textId="77777777" w:rsidR="00B56301" w:rsidRPr="00364545" w:rsidRDefault="00B56301" w:rsidP="00B37B65">
            <w:pPr>
              <w:jc w:val="right"/>
              <w:rPr>
                <w:rFonts w:ascii="Times New Roman" w:hAnsi="Times New Roman"/>
                <w:sz w:val="18"/>
                <w:szCs w:val="18"/>
              </w:rPr>
            </w:pPr>
            <w:r w:rsidRPr="00364545">
              <w:rPr>
                <w:sz w:val="18"/>
              </w:rPr>
              <w:t>NO,NA</w:t>
            </w:r>
          </w:p>
        </w:tc>
      </w:tr>
      <w:tr w:rsidR="00B56301" w:rsidRPr="00364545" w14:paraId="56ACE6C4"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358BAE1" w14:textId="475DBCDE" w:rsidR="00B56301" w:rsidRPr="00364545" w:rsidRDefault="007F09F7" w:rsidP="00B37B65">
            <w:pPr>
              <w:jc w:val="left"/>
              <w:rPr>
                <w:rFonts w:ascii="Times New Roman" w:hAnsi="Times New Roman"/>
                <w:sz w:val="18"/>
                <w:szCs w:val="18"/>
              </w:rPr>
            </w:pPr>
            <w:r w:rsidRPr="00364545">
              <w:t>SF</w:t>
            </w:r>
            <w:r w:rsidRPr="00364545">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0E063590" w14:textId="77777777" w:rsidR="00B56301" w:rsidRPr="00364545" w:rsidRDefault="00B56301" w:rsidP="00B37B65">
            <w:pPr>
              <w:jc w:val="right"/>
              <w:rPr>
                <w:rFonts w:ascii="Times New Roman" w:hAnsi="Times New Roman"/>
                <w:sz w:val="18"/>
                <w:szCs w:val="18"/>
              </w:rPr>
            </w:pPr>
            <w:r w:rsidRPr="00364545">
              <w:rPr>
                <w:sz w:val="18"/>
              </w:rPr>
              <w:t>583,57</w:t>
            </w:r>
          </w:p>
        </w:tc>
        <w:tc>
          <w:tcPr>
            <w:tcW w:w="992" w:type="dxa"/>
            <w:tcBorders>
              <w:top w:val="nil"/>
              <w:left w:val="nil"/>
              <w:bottom w:val="single" w:sz="4" w:space="0" w:color="auto"/>
              <w:right w:val="single" w:sz="4" w:space="0" w:color="auto"/>
            </w:tcBorders>
            <w:shd w:val="clear" w:color="000000" w:fill="CCFFFF"/>
            <w:noWrap/>
            <w:vAlign w:val="bottom"/>
            <w:hideMark/>
          </w:tcPr>
          <w:p w14:paraId="1F419767" w14:textId="77777777" w:rsidR="00B56301" w:rsidRPr="00364545" w:rsidRDefault="00B56301" w:rsidP="00B37B65">
            <w:pPr>
              <w:jc w:val="right"/>
              <w:rPr>
                <w:rFonts w:ascii="Times New Roman" w:hAnsi="Times New Roman"/>
                <w:sz w:val="18"/>
                <w:szCs w:val="18"/>
              </w:rPr>
            </w:pPr>
            <w:r w:rsidRPr="00364545">
              <w:rPr>
                <w:sz w:val="18"/>
              </w:rPr>
              <w:t>474,26</w:t>
            </w:r>
          </w:p>
        </w:tc>
        <w:tc>
          <w:tcPr>
            <w:tcW w:w="992" w:type="dxa"/>
            <w:tcBorders>
              <w:top w:val="nil"/>
              <w:left w:val="nil"/>
              <w:bottom w:val="single" w:sz="4" w:space="0" w:color="auto"/>
              <w:right w:val="single" w:sz="4" w:space="0" w:color="auto"/>
            </w:tcBorders>
            <w:shd w:val="clear" w:color="000000" w:fill="CCFFFF"/>
            <w:noWrap/>
            <w:vAlign w:val="bottom"/>
            <w:hideMark/>
          </w:tcPr>
          <w:p w14:paraId="325A05D6" w14:textId="77777777" w:rsidR="00B56301" w:rsidRPr="00364545" w:rsidRDefault="00B56301" w:rsidP="00B37B65">
            <w:pPr>
              <w:jc w:val="right"/>
              <w:rPr>
                <w:rFonts w:ascii="Times New Roman" w:hAnsi="Times New Roman"/>
                <w:sz w:val="18"/>
                <w:szCs w:val="18"/>
              </w:rPr>
            </w:pPr>
            <w:r w:rsidRPr="00364545">
              <w:rPr>
                <w:sz w:val="18"/>
              </w:rPr>
              <w:t>498,11</w:t>
            </w:r>
          </w:p>
        </w:tc>
        <w:tc>
          <w:tcPr>
            <w:tcW w:w="992" w:type="dxa"/>
            <w:tcBorders>
              <w:top w:val="nil"/>
              <w:left w:val="nil"/>
              <w:bottom w:val="single" w:sz="4" w:space="0" w:color="auto"/>
              <w:right w:val="single" w:sz="4" w:space="0" w:color="auto"/>
            </w:tcBorders>
            <w:shd w:val="clear" w:color="000000" w:fill="CCFFFF"/>
            <w:noWrap/>
            <w:vAlign w:val="bottom"/>
            <w:hideMark/>
          </w:tcPr>
          <w:p w14:paraId="429EBE28" w14:textId="77777777" w:rsidR="00B56301" w:rsidRPr="00364545" w:rsidRDefault="00B56301" w:rsidP="00B37B65">
            <w:pPr>
              <w:jc w:val="right"/>
              <w:rPr>
                <w:rFonts w:ascii="Times New Roman" w:hAnsi="Times New Roman"/>
                <w:sz w:val="18"/>
                <w:szCs w:val="18"/>
              </w:rPr>
            </w:pPr>
            <w:r w:rsidRPr="00364545">
              <w:rPr>
                <w:sz w:val="18"/>
              </w:rPr>
              <w:t>506,58</w:t>
            </w:r>
          </w:p>
        </w:tc>
        <w:tc>
          <w:tcPr>
            <w:tcW w:w="992" w:type="dxa"/>
            <w:tcBorders>
              <w:top w:val="nil"/>
              <w:left w:val="nil"/>
              <w:bottom w:val="single" w:sz="4" w:space="0" w:color="auto"/>
              <w:right w:val="single" w:sz="4" w:space="0" w:color="auto"/>
            </w:tcBorders>
            <w:shd w:val="clear" w:color="000000" w:fill="CCFFFF"/>
            <w:noWrap/>
            <w:vAlign w:val="bottom"/>
            <w:hideMark/>
          </w:tcPr>
          <w:p w14:paraId="5EF1CF15" w14:textId="77777777" w:rsidR="00B56301" w:rsidRPr="00364545" w:rsidRDefault="00B56301" w:rsidP="00B37B65">
            <w:pPr>
              <w:jc w:val="right"/>
              <w:rPr>
                <w:rFonts w:ascii="Times New Roman" w:hAnsi="Times New Roman"/>
                <w:sz w:val="18"/>
                <w:szCs w:val="18"/>
              </w:rPr>
            </w:pPr>
            <w:r w:rsidRPr="00364545">
              <w:rPr>
                <w:sz w:val="18"/>
              </w:rPr>
              <w:t>461,05</w:t>
            </w:r>
          </w:p>
        </w:tc>
        <w:tc>
          <w:tcPr>
            <w:tcW w:w="992" w:type="dxa"/>
            <w:tcBorders>
              <w:top w:val="nil"/>
              <w:left w:val="nil"/>
              <w:bottom w:val="single" w:sz="4" w:space="0" w:color="auto"/>
              <w:right w:val="single" w:sz="4" w:space="0" w:color="auto"/>
            </w:tcBorders>
            <w:shd w:val="clear" w:color="000000" w:fill="CCFFFF"/>
            <w:noWrap/>
            <w:vAlign w:val="bottom"/>
            <w:hideMark/>
          </w:tcPr>
          <w:p w14:paraId="7DA24E90" w14:textId="77777777" w:rsidR="00B56301" w:rsidRPr="00364545" w:rsidRDefault="00B56301" w:rsidP="00B37B65">
            <w:pPr>
              <w:jc w:val="right"/>
              <w:rPr>
                <w:rFonts w:ascii="Times New Roman" w:hAnsi="Times New Roman"/>
                <w:sz w:val="18"/>
                <w:szCs w:val="18"/>
              </w:rPr>
            </w:pPr>
            <w:r w:rsidRPr="00364545">
              <w:rPr>
                <w:sz w:val="18"/>
              </w:rPr>
              <w:t>432,82</w:t>
            </w:r>
          </w:p>
        </w:tc>
      </w:tr>
      <w:tr w:rsidR="00B56301" w:rsidRPr="00364545" w14:paraId="63786C78"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21DE22B" w14:textId="0CCA6E69" w:rsidR="00B56301" w:rsidRPr="00364545" w:rsidRDefault="007F09F7" w:rsidP="00B37B65">
            <w:pPr>
              <w:jc w:val="left"/>
              <w:rPr>
                <w:rFonts w:ascii="Times New Roman" w:hAnsi="Times New Roman"/>
                <w:sz w:val="18"/>
                <w:szCs w:val="18"/>
              </w:rPr>
            </w:pPr>
            <w:r w:rsidRPr="00364545">
              <w:rPr>
                <w:sz w:val="18"/>
              </w:rPr>
              <w:t>NF</w:t>
            </w:r>
            <w:r w:rsidRPr="00364545">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0F7A53DB" w14:textId="77777777" w:rsidR="00B56301" w:rsidRPr="00364545" w:rsidRDefault="00B56301" w:rsidP="00B37B65">
            <w:pPr>
              <w:jc w:val="right"/>
              <w:rPr>
                <w:rFonts w:ascii="Times New Roman" w:hAnsi="Times New Roman"/>
                <w:sz w:val="18"/>
                <w:szCs w:val="18"/>
              </w:rPr>
            </w:pPr>
            <w:r w:rsidRPr="00364545">
              <w:rPr>
                <w:sz w:val="18"/>
              </w:rPr>
              <w:t>10,63</w:t>
            </w:r>
          </w:p>
        </w:tc>
        <w:tc>
          <w:tcPr>
            <w:tcW w:w="992" w:type="dxa"/>
            <w:tcBorders>
              <w:top w:val="nil"/>
              <w:left w:val="nil"/>
              <w:bottom w:val="single" w:sz="4" w:space="0" w:color="auto"/>
              <w:right w:val="single" w:sz="4" w:space="0" w:color="auto"/>
            </w:tcBorders>
            <w:shd w:val="clear" w:color="000000" w:fill="CCFFFF"/>
            <w:noWrap/>
            <w:vAlign w:val="bottom"/>
            <w:hideMark/>
          </w:tcPr>
          <w:p w14:paraId="62EFAFEE" w14:textId="77777777" w:rsidR="00B56301" w:rsidRPr="00364545" w:rsidRDefault="00B56301" w:rsidP="00B37B65">
            <w:pPr>
              <w:jc w:val="right"/>
              <w:rPr>
                <w:rFonts w:ascii="Times New Roman" w:hAnsi="Times New Roman"/>
                <w:sz w:val="18"/>
                <w:szCs w:val="18"/>
              </w:rPr>
            </w:pPr>
            <w:r w:rsidRPr="00364545">
              <w:rPr>
                <w:sz w:val="18"/>
              </w:rPr>
              <w:t>6,37</w:t>
            </w:r>
          </w:p>
        </w:tc>
        <w:tc>
          <w:tcPr>
            <w:tcW w:w="992" w:type="dxa"/>
            <w:tcBorders>
              <w:top w:val="nil"/>
              <w:left w:val="nil"/>
              <w:bottom w:val="single" w:sz="4" w:space="0" w:color="auto"/>
              <w:right w:val="single" w:sz="4" w:space="0" w:color="auto"/>
            </w:tcBorders>
            <w:shd w:val="clear" w:color="000000" w:fill="CCFFFF"/>
            <w:noWrap/>
            <w:vAlign w:val="bottom"/>
            <w:hideMark/>
          </w:tcPr>
          <w:p w14:paraId="203D2038" w14:textId="77777777" w:rsidR="00B56301" w:rsidRPr="00364545" w:rsidRDefault="00B56301" w:rsidP="00B37B65">
            <w:pPr>
              <w:jc w:val="right"/>
              <w:rPr>
                <w:rFonts w:ascii="Times New Roman" w:hAnsi="Times New Roman"/>
                <w:sz w:val="18"/>
                <w:szCs w:val="18"/>
              </w:rPr>
            </w:pPr>
            <w:r w:rsidRPr="00364545">
              <w:rPr>
                <w:sz w:val="18"/>
              </w:rPr>
              <w:t>6,23</w:t>
            </w:r>
          </w:p>
        </w:tc>
        <w:tc>
          <w:tcPr>
            <w:tcW w:w="992" w:type="dxa"/>
            <w:tcBorders>
              <w:top w:val="nil"/>
              <w:left w:val="nil"/>
              <w:bottom w:val="single" w:sz="4" w:space="0" w:color="auto"/>
              <w:right w:val="single" w:sz="4" w:space="0" w:color="auto"/>
            </w:tcBorders>
            <w:shd w:val="clear" w:color="000000" w:fill="CCFFFF"/>
            <w:noWrap/>
            <w:vAlign w:val="bottom"/>
            <w:hideMark/>
          </w:tcPr>
          <w:p w14:paraId="6409C741" w14:textId="77777777" w:rsidR="00B56301" w:rsidRPr="00364545" w:rsidRDefault="00B56301" w:rsidP="00B37B65">
            <w:pPr>
              <w:jc w:val="right"/>
              <w:rPr>
                <w:rFonts w:ascii="Times New Roman" w:hAnsi="Times New Roman"/>
                <w:sz w:val="18"/>
                <w:szCs w:val="18"/>
              </w:rPr>
            </w:pPr>
            <w:r w:rsidRPr="00364545">
              <w:rPr>
                <w:sz w:val="18"/>
              </w:rPr>
              <w:t>5,84</w:t>
            </w:r>
          </w:p>
        </w:tc>
        <w:tc>
          <w:tcPr>
            <w:tcW w:w="992" w:type="dxa"/>
            <w:tcBorders>
              <w:top w:val="nil"/>
              <w:left w:val="nil"/>
              <w:bottom w:val="single" w:sz="4" w:space="0" w:color="auto"/>
              <w:right w:val="single" w:sz="4" w:space="0" w:color="auto"/>
            </w:tcBorders>
            <w:shd w:val="clear" w:color="000000" w:fill="CCFFFF"/>
            <w:noWrap/>
            <w:vAlign w:val="bottom"/>
            <w:hideMark/>
          </w:tcPr>
          <w:p w14:paraId="662DEA51" w14:textId="77777777" w:rsidR="00B56301" w:rsidRPr="00364545" w:rsidRDefault="00B56301" w:rsidP="00B37B65">
            <w:pPr>
              <w:jc w:val="right"/>
              <w:rPr>
                <w:rFonts w:ascii="Times New Roman" w:hAnsi="Times New Roman"/>
                <w:sz w:val="18"/>
                <w:szCs w:val="18"/>
              </w:rPr>
            </w:pPr>
            <w:r w:rsidRPr="00364545">
              <w:rPr>
                <w:sz w:val="18"/>
              </w:rPr>
              <w:t>7,64</w:t>
            </w:r>
          </w:p>
        </w:tc>
        <w:tc>
          <w:tcPr>
            <w:tcW w:w="992" w:type="dxa"/>
            <w:tcBorders>
              <w:top w:val="nil"/>
              <w:left w:val="nil"/>
              <w:bottom w:val="single" w:sz="4" w:space="0" w:color="auto"/>
              <w:right w:val="single" w:sz="4" w:space="0" w:color="auto"/>
            </w:tcBorders>
            <w:shd w:val="clear" w:color="000000" w:fill="CCFFFF"/>
            <w:noWrap/>
            <w:vAlign w:val="bottom"/>
            <w:hideMark/>
          </w:tcPr>
          <w:p w14:paraId="0A83203D" w14:textId="77777777" w:rsidR="00B56301" w:rsidRPr="00364545" w:rsidRDefault="00B56301" w:rsidP="00B37B65">
            <w:pPr>
              <w:jc w:val="right"/>
              <w:rPr>
                <w:rFonts w:ascii="Times New Roman" w:hAnsi="Times New Roman"/>
                <w:sz w:val="18"/>
                <w:szCs w:val="18"/>
              </w:rPr>
            </w:pPr>
            <w:r w:rsidRPr="00364545">
              <w:rPr>
                <w:sz w:val="18"/>
              </w:rPr>
              <w:t>12,25</w:t>
            </w:r>
          </w:p>
        </w:tc>
      </w:tr>
      <w:tr w:rsidR="00B56301" w:rsidRPr="00364545" w14:paraId="4A69B243"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DE62D29"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25F3126" w14:textId="77777777" w:rsidR="00B56301" w:rsidRPr="00364545" w:rsidRDefault="00B56301" w:rsidP="00B37B65">
            <w:pPr>
              <w:jc w:val="right"/>
              <w:rPr>
                <w:rFonts w:ascii="Times New Roman" w:hAnsi="Times New Roman"/>
                <w:sz w:val="18"/>
                <w:szCs w:val="18"/>
              </w:rPr>
            </w:pPr>
            <w:r w:rsidRPr="00364545">
              <w:rPr>
                <w:sz w:val="18"/>
              </w:rPr>
              <w:t>485605,33</w:t>
            </w:r>
          </w:p>
        </w:tc>
        <w:tc>
          <w:tcPr>
            <w:tcW w:w="992" w:type="dxa"/>
            <w:tcBorders>
              <w:top w:val="nil"/>
              <w:left w:val="nil"/>
              <w:bottom w:val="single" w:sz="4" w:space="0" w:color="auto"/>
              <w:right w:val="single" w:sz="4" w:space="0" w:color="auto"/>
            </w:tcBorders>
            <w:shd w:val="clear" w:color="000000" w:fill="CCFFFF"/>
            <w:noWrap/>
            <w:vAlign w:val="bottom"/>
            <w:hideMark/>
          </w:tcPr>
          <w:p w14:paraId="38ED3B93" w14:textId="77777777" w:rsidR="00B56301" w:rsidRPr="00364545" w:rsidRDefault="00B56301" w:rsidP="00B37B65">
            <w:pPr>
              <w:jc w:val="right"/>
              <w:rPr>
                <w:rFonts w:ascii="Times New Roman" w:hAnsi="Times New Roman"/>
                <w:sz w:val="18"/>
                <w:szCs w:val="18"/>
              </w:rPr>
            </w:pPr>
            <w:r w:rsidRPr="00364545">
              <w:rPr>
                <w:sz w:val="18"/>
              </w:rPr>
              <w:t>454613,68</w:t>
            </w:r>
          </w:p>
        </w:tc>
        <w:tc>
          <w:tcPr>
            <w:tcW w:w="992" w:type="dxa"/>
            <w:tcBorders>
              <w:top w:val="nil"/>
              <w:left w:val="nil"/>
              <w:bottom w:val="single" w:sz="4" w:space="0" w:color="auto"/>
              <w:right w:val="single" w:sz="4" w:space="0" w:color="auto"/>
            </w:tcBorders>
            <w:shd w:val="clear" w:color="000000" w:fill="CCFFFF"/>
            <w:noWrap/>
            <w:vAlign w:val="bottom"/>
            <w:hideMark/>
          </w:tcPr>
          <w:p w14:paraId="001335CC" w14:textId="77777777" w:rsidR="00B56301" w:rsidRPr="00364545" w:rsidRDefault="00B56301" w:rsidP="00B37B65">
            <w:pPr>
              <w:jc w:val="right"/>
              <w:rPr>
                <w:rFonts w:ascii="Times New Roman" w:hAnsi="Times New Roman"/>
                <w:sz w:val="18"/>
                <w:szCs w:val="18"/>
              </w:rPr>
            </w:pPr>
            <w:r w:rsidRPr="00364545">
              <w:rPr>
                <w:sz w:val="18"/>
              </w:rPr>
              <w:t>457923,75</w:t>
            </w:r>
          </w:p>
        </w:tc>
        <w:tc>
          <w:tcPr>
            <w:tcW w:w="992" w:type="dxa"/>
            <w:tcBorders>
              <w:top w:val="nil"/>
              <w:left w:val="nil"/>
              <w:bottom w:val="single" w:sz="4" w:space="0" w:color="auto"/>
              <w:right w:val="single" w:sz="4" w:space="0" w:color="auto"/>
            </w:tcBorders>
            <w:shd w:val="clear" w:color="000000" w:fill="CCFFFF"/>
            <w:noWrap/>
            <w:vAlign w:val="bottom"/>
            <w:hideMark/>
          </w:tcPr>
          <w:p w14:paraId="7C0379D8" w14:textId="77777777" w:rsidR="00B56301" w:rsidRPr="00364545" w:rsidRDefault="00B56301" w:rsidP="00B37B65">
            <w:pPr>
              <w:jc w:val="right"/>
              <w:rPr>
                <w:rFonts w:ascii="Times New Roman" w:hAnsi="Times New Roman"/>
                <w:sz w:val="18"/>
                <w:szCs w:val="18"/>
              </w:rPr>
            </w:pPr>
            <w:r w:rsidRPr="00364545">
              <w:rPr>
                <w:sz w:val="18"/>
              </w:rPr>
              <w:t>459328,86</w:t>
            </w:r>
          </w:p>
        </w:tc>
        <w:tc>
          <w:tcPr>
            <w:tcW w:w="992" w:type="dxa"/>
            <w:tcBorders>
              <w:top w:val="nil"/>
              <w:left w:val="nil"/>
              <w:bottom w:val="single" w:sz="4" w:space="0" w:color="auto"/>
              <w:right w:val="single" w:sz="4" w:space="0" w:color="auto"/>
            </w:tcBorders>
            <w:shd w:val="clear" w:color="000000" w:fill="CCFFFF"/>
            <w:noWrap/>
            <w:vAlign w:val="bottom"/>
            <w:hideMark/>
          </w:tcPr>
          <w:p w14:paraId="2C665027" w14:textId="77777777" w:rsidR="00B56301" w:rsidRPr="00364545" w:rsidRDefault="00B56301" w:rsidP="00B37B65">
            <w:pPr>
              <w:jc w:val="right"/>
              <w:rPr>
                <w:rFonts w:ascii="Times New Roman" w:hAnsi="Times New Roman"/>
                <w:sz w:val="18"/>
                <w:szCs w:val="18"/>
              </w:rPr>
            </w:pPr>
            <w:r w:rsidRPr="00364545">
              <w:rPr>
                <w:sz w:val="18"/>
              </w:rPr>
              <w:t>462591,22</w:t>
            </w:r>
          </w:p>
        </w:tc>
        <w:tc>
          <w:tcPr>
            <w:tcW w:w="992" w:type="dxa"/>
            <w:tcBorders>
              <w:top w:val="nil"/>
              <w:left w:val="nil"/>
              <w:bottom w:val="single" w:sz="4" w:space="0" w:color="auto"/>
              <w:right w:val="single" w:sz="4" w:space="0" w:color="auto"/>
            </w:tcBorders>
            <w:shd w:val="clear" w:color="000000" w:fill="CCFFFF"/>
            <w:noWrap/>
            <w:vAlign w:val="bottom"/>
            <w:hideMark/>
          </w:tcPr>
          <w:p w14:paraId="6C1DB305" w14:textId="77777777" w:rsidR="00B56301" w:rsidRPr="00364545" w:rsidRDefault="00B56301" w:rsidP="00B37B65">
            <w:pPr>
              <w:jc w:val="right"/>
              <w:rPr>
                <w:rFonts w:ascii="Times New Roman" w:hAnsi="Times New Roman"/>
                <w:sz w:val="18"/>
                <w:szCs w:val="18"/>
              </w:rPr>
            </w:pPr>
            <w:r w:rsidRPr="00364545">
              <w:rPr>
                <w:sz w:val="18"/>
              </w:rPr>
              <w:t>443321,36</w:t>
            </w:r>
          </w:p>
        </w:tc>
      </w:tr>
      <w:tr w:rsidR="00B56301" w:rsidRPr="00364545" w14:paraId="7FD4DA6A"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53E8A076"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E60ACD4" w14:textId="77777777" w:rsidR="00B56301" w:rsidRPr="00364545" w:rsidRDefault="00B56301" w:rsidP="00B37B65">
            <w:pPr>
              <w:jc w:val="right"/>
              <w:rPr>
                <w:rFonts w:ascii="Times New Roman" w:hAnsi="Times New Roman"/>
                <w:sz w:val="18"/>
                <w:szCs w:val="18"/>
              </w:rPr>
            </w:pPr>
            <w:r w:rsidRPr="00364545">
              <w:rPr>
                <w:sz w:val="18"/>
              </w:rPr>
              <w:t>441014,42</w:t>
            </w:r>
          </w:p>
        </w:tc>
        <w:tc>
          <w:tcPr>
            <w:tcW w:w="992" w:type="dxa"/>
            <w:tcBorders>
              <w:top w:val="nil"/>
              <w:left w:val="nil"/>
              <w:bottom w:val="single" w:sz="4" w:space="0" w:color="auto"/>
              <w:right w:val="single" w:sz="4" w:space="0" w:color="auto"/>
            </w:tcBorders>
            <w:shd w:val="clear" w:color="000000" w:fill="CCFFFF"/>
            <w:noWrap/>
            <w:vAlign w:val="bottom"/>
            <w:hideMark/>
          </w:tcPr>
          <w:p w14:paraId="7DD3124F" w14:textId="77777777" w:rsidR="00B56301" w:rsidRPr="00364545" w:rsidRDefault="00B56301" w:rsidP="00B37B65">
            <w:pPr>
              <w:jc w:val="right"/>
              <w:rPr>
                <w:rFonts w:ascii="Times New Roman" w:hAnsi="Times New Roman"/>
                <w:sz w:val="18"/>
                <w:szCs w:val="18"/>
              </w:rPr>
            </w:pPr>
            <w:r w:rsidRPr="00364545">
              <w:rPr>
                <w:sz w:val="18"/>
              </w:rPr>
              <w:t>416199,30</w:t>
            </w:r>
          </w:p>
        </w:tc>
        <w:tc>
          <w:tcPr>
            <w:tcW w:w="992" w:type="dxa"/>
            <w:tcBorders>
              <w:top w:val="nil"/>
              <w:left w:val="nil"/>
              <w:bottom w:val="single" w:sz="4" w:space="0" w:color="auto"/>
              <w:right w:val="single" w:sz="4" w:space="0" w:color="auto"/>
            </w:tcBorders>
            <w:shd w:val="clear" w:color="000000" w:fill="CCFFFF"/>
            <w:noWrap/>
            <w:vAlign w:val="bottom"/>
            <w:hideMark/>
          </w:tcPr>
          <w:p w14:paraId="257263FA" w14:textId="77777777" w:rsidR="00B56301" w:rsidRPr="00364545" w:rsidRDefault="00B56301" w:rsidP="00B37B65">
            <w:pPr>
              <w:jc w:val="right"/>
              <w:rPr>
                <w:rFonts w:ascii="Times New Roman" w:hAnsi="Times New Roman"/>
                <w:sz w:val="18"/>
                <w:szCs w:val="18"/>
              </w:rPr>
            </w:pPr>
            <w:r w:rsidRPr="00364545">
              <w:rPr>
                <w:sz w:val="18"/>
              </w:rPr>
              <w:t>423346,42</w:t>
            </w:r>
          </w:p>
        </w:tc>
        <w:tc>
          <w:tcPr>
            <w:tcW w:w="992" w:type="dxa"/>
            <w:tcBorders>
              <w:top w:val="nil"/>
              <w:left w:val="nil"/>
              <w:bottom w:val="single" w:sz="4" w:space="0" w:color="auto"/>
              <w:right w:val="single" w:sz="4" w:space="0" w:color="auto"/>
            </w:tcBorders>
            <w:shd w:val="clear" w:color="000000" w:fill="CCFFFF"/>
            <w:noWrap/>
            <w:vAlign w:val="bottom"/>
            <w:hideMark/>
          </w:tcPr>
          <w:p w14:paraId="30722A4A" w14:textId="77777777" w:rsidR="00B56301" w:rsidRPr="00364545" w:rsidRDefault="00B56301" w:rsidP="00B37B65">
            <w:pPr>
              <w:jc w:val="right"/>
              <w:rPr>
                <w:rFonts w:ascii="Times New Roman" w:hAnsi="Times New Roman"/>
                <w:sz w:val="18"/>
                <w:szCs w:val="18"/>
              </w:rPr>
            </w:pPr>
            <w:r w:rsidRPr="00364545">
              <w:rPr>
                <w:sz w:val="18"/>
              </w:rPr>
              <w:t>433763,80</w:t>
            </w:r>
          </w:p>
        </w:tc>
        <w:tc>
          <w:tcPr>
            <w:tcW w:w="992" w:type="dxa"/>
            <w:tcBorders>
              <w:top w:val="nil"/>
              <w:left w:val="nil"/>
              <w:bottom w:val="single" w:sz="4" w:space="0" w:color="auto"/>
              <w:right w:val="single" w:sz="4" w:space="0" w:color="auto"/>
            </w:tcBorders>
            <w:shd w:val="clear" w:color="000000" w:fill="CCFFFF"/>
            <w:noWrap/>
            <w:vAlign w:val="bottom"/>
            <w:hideMark/>
          </w:tcPr>
          <w:p w14:paraId="26CD22C4" w14:textId="77777777" w:rsidR="00B56301" w:rsidRPr="00364545" w:rsidRDefault="00B56301" w:rsidP="00B37B65">
            <w:pPr>
              <w:jc w:val="right"/>
              <w:rPr>
                <w:rFonts w:ascii="Times New Roman" w:hAnsi="Times New Roman"/>
                <w:sz w:val="18"/>
                <w:szCs w:val="18"/>
              </w:rPr>
            </w:pPr>
            <w:r w:rsidRPr="00364545">
              <w:rPr>
                <w:sz w:val="18"/>
              </w:rPr>
              <w:t>445848,40</w:t>
            </w:r>
          </w:p>
        </w:tc>
        <w:tc>
          <w:tcPr>
            <w:tcW w:w="992" w:type="dxa"/>
            <w:tcBorders>
              <w:top w:val="nil"/>
              <w:left w:val="nil"/>
              <w:bottom w:val="single" w:sz="4" w:space="0" w:color="auto"/>
              <w:right w:val="single" w:sz="4" w:space="0" w:color="auto"/>
            </w:tcBorders>
            <w:shd w:val="clear" w:color="000000" w:fill="CCFFFF"/>
            <w:noWrap/>
            <w:vAlign w:val="bottom"/>
            <w:hideMark/>
          </w:tcPr>
          <w:p w14:paraId="26BB706D" w14:textId="77777777" w:rsidR="00B56301" w:rsidRPr="00364545" w:rsidRDefault="00B56301" w:rsidP="00B37B65">
            <w:pPr>
              <w:jc w:val="right"/>
              <w:rPr>
                <w:rFonts w:ascii="Times New Roman" w:hAnsi="Times New Roman"/>
                <w:sz w:val="18"/>
                <w:szCs w:val="18"/>
              </w:rPr>
            </w:pPr>
            <w:r w:rsidRPr="00364545">
              <w:rPr>
                <w:sz w:val="18"/>
              </w:rPr>
              <w:t>429229,91</w:t>
            </w:r>
          </w:p>
        </w:tc>
      </w:tr>
      <w:tr w:rsidR="00B56301" w:rsidRPr="00364545" w14:paraId="48266590"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23CC0607"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650FF536"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03EFB13"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B32D54D"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82DDD29"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28A6734"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2A612A7" w14:textId="77777777" w:rsidR="00B56301" w:rsidRPr="00364545" w:rsidRDefault="00B56301" w:rsidP="00B37B65">
            <w:pPr>
              <w:jc w:val="right"/>
              <w:rPr>
                <w:rFonts w:ascii="Times New Roman" w:hAnsi="Times New Roman"/>
                <w:sz w:val="18"/>
                <w:szCs w:val="18"/>
              </w:rPr>
            </w:pPr>
            <w:r w:rsidRPr="00364545">
              <w:rPr>
                <w:sz w:val="18"/>
              </w:rPr>
              <w:t>NA</w:t>
            </w:r>
          </w:p>
        </w:tc>
      </w:tr>
      <w:tr w:rsidR="00B56301" w:rsidRPr="00364545" w14:paraId="4291E043"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4131770" w14:textId="77777777" w:rsidR="00B56301" w:rsidRPr="00364545" w:rsidRDefault="00B56301" w:rsidP="00B37B65">
            <w:pPr>
              <w:jc w:val="left"/>
              <w:rPr>
                <w:rFonts w:ascii="Times New Roman" w:hAnsi="Times New Roman"/>
                <w:b/>
                <w:bCs/>
                <w:sz w:val="18"/>
                <w:szCs w:val="18"/>
              </w:rPr>
            </w:pPr>
            <w:r w:rsidRPr="00364545">
              <w:rPr>
                <w:rFonts w:ascii="Times New Roman" w:hAnsi="Times New Roman"/>
                <w:b/>
                <w:sz w:val="18"/>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6B76DA28"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99C32C2"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8540AA1"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B288746"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CDA5886" w14:textId="77777777" w:rsidR="00B56301" w:rsidRPr="00364545" w:rsidRDefault="00B56301" w:rsidP="00B37B65">
            <w:pPr>
              <w:jc w:val="right"/>
              <w:rPr>
                <w:rFonts w:ascii="Times New Roman" w:hAnsi="Times New Roman"/>
                <w:sz w:val="18"/>
                <w:szCs w:val="18"/>
              </w:rPr>
            </w:pPr>
            <w:r w:rsidRPr="00364545">
              <w:rPr>
                <w:sz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F83138D" w14:textId="77777777" w:rsidR="00B56301" w:rsidRPr="00364545" w:rsidRDefault="00B56301" w:rsidP="00B37B65">
            <w:pPr>
              <w:jc w:val="right"/>
              <w:rPr>
                <w:rFonts w:ascii="Times New Roman" w:hAnsi="Times New Roman"/>
                <w:sz w:val="18"/>
                <w:szCs w:val="18"/>
              </w:rPr>
            </w:pPr>
            <w:r w:rsidRPr="00364545">
              <w:rPr>
                <w:sz w:val="18"/>
              </w:rPr>
              <w:t>NA</w:t>
            </w:r>
          </w:p>
        </w:tc>
      </w:tr>
    </w:tbl>
    <w:p w14:paraId="71555496" w14:textId="48524C39" w:rsidR="00B56301" w:rsidRDefault="00B56301" w:rsidP="00B56301">
      <w:pPr>
        <w:spacing w:line="240" w:lineRule="atLeast"/>
        <w:jc w:val="left"/>
        <w:rPr>
          <w:rFonts w:cs="Arial"/>
        </w:rPr>
      </w:pPr>
    </w:p>
    <w:p w14:paraId="33869F54" w14:textId="77777777" w:rsidR="00833524" w:rsidRPr="00364545" w:rsidRDefault="00833524" w:rsidP="00833524">
      <w:pPr>
        <w:spacing w:line="240" w:lineRule="atLeast"/>
        <w:jc w:val="left"/>
        <w:rPr>
          <w:rFonts w:cs="Arial"/>
        </w:rPr>
      </w:pPr>
    </w:p>
    <w:tbl>
      <w:tblPr>
        <w:tblW w:w="7657" w:type="dxa"/>
        <w:jc w:val="center"/>
        <w:tblCellMar>
          <w:left w:w="70" w:type="dxa"/>
          <w:right w:w="70" w:type="dxa"/>
        </w:tblCellMar>
        <w:tblLook w:val="04A0" w:firstRow="1" w:lastRow="0" w:firstColumn="1" w:lastColumn="0" w:noHBand="0" w:noVBand="1"/>
      </w:tblPr>
      <w:tblGrid>
        <w:gridCol w:w="3805"/>
        <w:gridCol w:w="1053"/>
        <w:gridCol w:w="1053"/>
        <w:gridCol w:w="1746"/>
      </w:tblGrid>
      <w:tr w:rsidR="00833524" w:rsidRPr="00364545" w14:paraId="12FA5B5C" w14:textId="77777777" w:rsidTr="00E56269">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4E9B39B9" w14:textId="77777777" w:rsidR="00833524" w:rsidRPr="00364545" w:rsidRDefault="00833524" w:rsidP="00E56269">
            <w:pPr>
              <w:jc w:val="left"/>
              <w:rPr>
                <w:rFonts w:ascii="Times New Roman" w:hAnsi="Times New Roman"/>
                <w:b/>
                <w:bCs/>
                <w:sz w:val="18"/>
                <w:szCs w:val="18"/>
              </w:rPr>
            </w:pPr>
            <w:r w:rsidRPr="00364545">
              <w:rPr>
                <w:rFonts w:ascii="Times New Roman" w:hAnsi="Times New Roman"/>
                <w:b/>
                <w:sz w:val="18"/>
              </w:rPr>
              <w:t>GREENHOUSE GAS EMISSIONS</w:t>
            </w:r>
          </w:p>
        </w:tc>
        <w:tc>
          <w:tcPr>
            <w:tcW w:w="105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40250BD" w14:textId="77777777" w:rsidR="00833524" w:rsidRPr="00364545" w:rsidRDefault="00833524" w:rsidP="00E56269">
            <w:pPr>
              <w:jc w:val="center"/>
              <w:rPr>
                <w:rFonts w:ascii="Times New Roman" w:hAnsi="Times New Roman"/>
                <w:b/>
                <w:bCs/>
                <w:sz w:val="18"/>
                <w:szCs w:val="18"/>
              </w:rPr>
            </w:pPr>
            <w:r w:rsidRPr="00364545">
              <w:rPr>
                <w:rFonts w:ascii="Times New Roman" w:hAnsi="Times New Roman"/>
                <w:b/>
                <w:sz w:val="18"/>
              </w:rPr>
              <w:t>2019</w:t>
            </w:r>
          </w:p>
        </w:tc>
        <w:tc>
          <w:tcPr>
            <w:tcW w:w="1053" w:type="dxa"/>
            <w:tcBorders>
              <w:top w:val="single" w:sz="4" w:space="0" w:color="auto"/>
              <w:left w:val="nil"/>
              <w:bottom w:val="single" w:sz="4" w:space="0" w:color="auto"/>
              <w:right w:val="single" w:sz="4" w:space="0" w:color="auto"/>
            </w:tcBorders>
            <w:shd w:val="clear" w:color="000000" w:fill="CCFFFF"/>
            <w:noWrap/>
            <w:vAlign w:val="center"/>
            <w:hideMark/>
          </w:tcPr>
          <w:p w14:paraId="57E03707" w14:textId="77777777" w:rsidR="00833524" w:rsidRPr="00364545" w:rsidRDefault="00833524" w:rsidP="00E56269">
            <w:pPr>
              <w:jc w:val="center"/>
              <w:rPr>
                <w:rFonts w:ascii="Times New Roman" w:hAnsi="Times New Roman"/>
                <w:b/>
                <w:bCs/>
                <w:sz w:val="18"/>
                <w:szCs w:val="18"/>
              </w:rPr>
            </w:pPr>
            <w:r w:rsidRPr="00364545">
              <w:rPr>
                <w:rFonts w:ascii="Times New Roman" w:hAnsi="Times New Roman"/>
                <w:b/>
                <w:sz w:val="18"/>
              </w:rPr>
              <w:t>2020</w:t>
            </w:r>
          </w:p>
        </w:tc>
        <w:tc>
          <w:tcPr>
            <w:tcW w:w="1746" w:type="dxa"/>
            <w:tcBorders>
              <w:top w:val="single" w:sz="4" w:space="0" w:color="auto"/>
              <w:left w:val="nil"/>
              <w:bottom w:val="single" w:sz="4" w:space="0" w:color="auto"/>
              <w:right w:val="single" w:sz="4" w:space="0" w:color="auto"/>
            </w:tcBorders>
            <w:shd w:val="clear" w:color="000000" w:fill="CCFFFF"/>
            <w:noWrap/>
            <w:vAlign w:val="center"/>
            <w:hideMark/>
          </w:tcPr>
          <w:p w14:paraId="4FABF59D" w14:textId="77777777" w:rsidR="00833524" w:rsidRPr="00364545" w:rsidRDefault="00833524" w:rsidP="00E56269">
            <w:pPr>
              <w:jc w:val="center"/>
              <w:rPr>
                <w:rFonts w:ascii="Times New Roman" w:hAnsi="Times New Roman"/>
                <w:b/>
                <w:bCs/>
                <w:sz w:val="18"/>
                <w:szCs w:val="18"/>
              </w:rPr>
            </w:pPr>
            <w:r w:rsidRPr="00364545">
              <w:rPr>
                <w:b/>
                <w:sz w:val="18"/>
              </w:rPr>
              <w:t>Change from base to latest reported year</w:t>
            </w:r>
            <w:r w:rsidRPr="00364545">
              <w:rPr>
                <w:rFonts w:ascii="Times New Roman" w:hAnsi="Times New Roman"/>
                <w:b/>
                <w:sz w:val="18"/>
              </w:rPr>
              <w:t xml:space="preserve"> (%)</w:t>
            </w:r>
          </w:p>
        </w:tc>
      </w:tr>
      <w:tr w:rsidR="00833524" w:rsidRPr="00364545" w14:paraId="1A886B86" w14:textId="77777777" w:rsidTr="00E56269">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298F8B4D" w14:textId="77777777" w:rsidR="00833524" w:rsidRPr="00364545" w:rsidRDefault="00833524" w:rsidP="00E56269">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without net </w:t>
            </w:r>
            <w:r w:rsidRPr="00364545">
              <w:t>CO</w:t>
            </w:r>
            <w:r w:rsidRPr="00364545">
              <w:rPr>
                <w:vertAlign w:val="subscript"/>
              </w:rPr>
              <w:t>2</w:t>
            </w:r>
            <w:r w:rsidRPr="00364545">
              <w:rPr>
                <w:rFonts w:ascii="Times New Roman" w:hAnsi="Times New Roman"/>
                <w:sz w:val="18"/>
              </w:rPr>
              <w:t xml:space="preserve"> from LULUCF</w:t>
            </w:r>
          </w:p>
        </w:tc>
        <w:tc>
          <w:tcPr>
            <w:tcW w:w="1053"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2DFC944" w14:textId="77777777" w:rsidR="00833524" w:rsidRPr="00364545" w:rsidRDefault="00833524" w:rsidP="00E56269">
            <w:pPr>
              <w:jc w:val="right"/>
              <w:rPr>
                <w:rFonts w:ascii="Times New Roman" w:hAnsi="Times New Roman"/>
                <w:sz w:val="18"/>
                <w:szCs w:val="18"/>
              </w:rPr>
            </w:pPr>
            <w:r>
              <w:rPr>
                <w:sz w:val="18"/>
                <w:szCs w:val="18"/>
              </w:rPr>
              <w:t>326725,13</w:t>
            </w:r>
          </w:p>
        </w:tc>
        <w:tc>
          <w:tcPr>
            <w:tcW w:w="1053" w:type="dxa"/>
            <w:tcBorders>
              <w:top w:val="single" w:sz="4" w:space="0" w:color="auto"/>
              <w:left w:val="nil"/>
              <w:bottom w:val="single" w:sz="4" w:space="0" w:color="auto"/>
              <w:right w:val="single" w:sz="4" w:space="0" w:color="auto"/>
            </w:tcBorders>
            <w:shd w:val="clear" w:color="000000" w:fill="CCFFFF"/>
            <w:noWrap/>
            <w:vAlign w:val="bottom"/>
            <w:hideMark/>
          </w:tcPr>
          <w:p w14:paraId="5E38E355" w14:textId="77777777" w:rsidR="00833524" w:rsidRPr="00364545" w:rsidRDefault="00833524" w:rsidP="00E56269">
            <w:pPr>
              <w:jc w:val="right"/>
              <w:rPr>
                <w:rFonts w:ascii="Times New Roman" w:hAnsi="Times New Roman"/>
                <w:sz w:val="18"/>
                <w:szCs w:val="18"/>
              </w:rPr>
            </w:pPr>
            <w:r>
              <w:rPr>
                <w:sz w:val="18"/>
                <w:szCs w:val="18"/>
              </w:rPr>
              <w:t>289389,57</w:t>
            </w:r>
          </w:p>
        </w:tc>
        <w:tc>
          <w:tcPr>
            <w:tcW w:w="1746" w:type="dxa"/>
            <w:tcBorders>
              <w:top w:val="single" w:sz="4" w:space="0" w:color="auto"/>
              <w:left w:val="nil"/>
              <w:bottom w:val="single" w:sz="4" w:space="0" w:color="auto"/>
              <w:right w:val="single" w:sz="4" w:space="0" w:color="auto"/>
            </w:tcBorders>
            <w:shd w:val="clear" w:color="000000" w:fill="CCFFFF"/>
            <w:noWrap/>
            <w:vAlign w:val="bottom"/>
            <w:hideMark/>
          </w:tcPr>
          <w:p w14:paraId="47762579" w14:textId="77777777" w:rsidR="00833524" w:rsidRPr="00364545" w:rsidRDefault="00833524" w:rsidP="00E56269">
            <w:pPr>
              <w:jc w:val="right"/>
              <w:rPr>
                <w:rFonts w:ascii="Times New Roman" w:hAnsi="Times New Roman"/>
                <w:sz w:val="18"/>
                <w:szCs w:val="18"/>
              </w:rPr>
            </w:pPr>
            <w:r>
              <w:rPr>
                <w:sz w:val="18"/>
                <w:szCs w:val="18"/>
              </w:rPr>
              <w:t>-27,37</w:t>
            </w:r>
          </w:p>
        </w:tc>
      </w:tr>
      <w:tr w:rsidR="00833524" w:rsidRPr="00364545" w14:paraId="0D6C0C9C" w14:textId="77777777" w:rsidTr="00E56269">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7E91C1FA" w14:textId="77777777" w:rsidR="00833524" w:rsidRPr="00364545" w:rsidRDefault="00833524" w:rsidP="00E56269">
            <w:pPr>
              <w:jc w:val="left"/>
              <w:rPr>
                <w:rFonts w:ascii="Times New Roman" w:hAnsi="Times New Roman"/>
                <w:sz w:val="18"/>
                <w:szCs w:val="18"/>
              </w:rPr>
            </w:pPr>
            <w:r w:rsidRPr="00364545">
              <w:t>CO</w:t>
            </w:r>
            <w:r w:rsidRPr="00364545">
              <w:rPr>
                <w:vertAlign w:val="subscript"/>
              </w:rPr>
              <w:t>2</w:t>
            </w:r>
            <w:r w:rsidRPr="00364545">
              <w:rPr>
                <w:rFonts w:ascii="Times New Roman" w:hAnsi="Times New Roman"/>
                <w:sz w:val="18"/>
              </w:rPr>
              <w:t xml:space="preserve"> emissions with net </w:t>
            </w:r>
            <w:r w:rsidRPr="00364545">
              <w:t>CO</w:t>
            </w:r>
            <w:r w:rsidRPr="00364545">
              <w:rPr>
                <w:vertAlign w:val="subscript"/>
              </w:rPr>
              <w:t>2</w:t>
            </w:r>
            <w:r w:rsidRPr="00364545">
              <w:rPr>
                <w:rFonts w:ascii="Times New Roman" w:hAnsi="Times New Roman"/>
                <w:sz w:val="18"/>
              </w:rPr>
              <w:t xml:space="preserve"> 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38CB8CE8" w14:textId="77777777" w:rsidR="00833524" w:rsidRPr="00364545" w:rsidRDefault="00833524" w:rsidP="00E56269">
            <w:pPr>
              <w:jc w:val="right"/>
              <w:rPr>
                <w:rFonts w:ascii="Times New Roman" w:hAnsi="Times New Roman"/>
                <w:sz w:val="18"/>
                <w:szCs w:val="18"/>
              </w:rPr>
            </w:pPr>
            <w:r>
              <w:rPr>
                <w:sz w:val="18"/>
                <w:szCs w:val="18"/>
              </w:rPr>
              <w:t>310432,09</w:t>
            </w:r>
          </w:p>
        </w:tc>
        <w:tc>
          <w:tcPr>
            <w:tcW w:w="1053" w:type="dxa"/>
            <w:tcBorders>
              <w:top w:val="nil"/>
              <w:left w:val="nil"/>
              <w:bottom w:val="single" w:sz="4" w:space="0" w:color="auto"/>
              <w:right w:val="single" w:sz="4" w:space="0" w:color="auto"/>
            </w:tcBorders>
            <w:shd w:val="clear" w:color="000000" w:fill="CCFFFF"/>
            <w:noWrap/>
            <w:vAlign w:val="bottom"/>
            <w:hideMark/>
          </w:tcPr>
          <w:p w14:paraId="73E96822" w14:textId="77777777" w:rsidR="00833524" w:rsidRPr="00364545" w:rsidRDefault="00833524" w:rsidP="00E56269">
            <w:pPr>
              <w:jc w:val="right"/>
              <w:rPr>
                <w:rFonts w:ascii="Times New Roman" w:hAnsi="Times New Roman"/>
                <w:sz w:val="18"/>
                <w:szCs w:val="18"/>
              </w:rPr>
            </w:pPr>
            <w:r>
              <w:rPr>
                <w:sz w:val="18"/>
                <w:szCs w:val="18"/>
              </w:rPr>
              <w:t>271428,23</w:t>
            </w:r>
          </w:p>
        </w:tc>
        <w:tc>
          <w:tcPr>
            <w:tcW w:w="1746" w:type="dxa"/>
            <w:tcBorders>
              <w:top w:val="nil"/>
              <w:left w:val="nil"/>
              <w:bottom w:val="single" w:sz="4" w:space="0" w:color="auto"/>
              <w:right w:val="single" w:sz="4" w:space="0" w:color="auto"/>
            </w:tcBorders>
            <w:shd w:val="clear" w:color="000000" w:fill="CCFFFF"/>
            <w:noWrap/>
            <w:vAlign w:val="bottom"/>
            <w:hideMark/>
          </w:tcPr>
          <w:p w14:paraId="5C4CE7F8" w14:textId="77777777" w:rsidR="00833524" w:rsidRPr="00364545" w:rsidRDefault="00833524" w:rsidP="00E56269">
            <w:pPr>
              <w:jc w:val="right"/>
              <w:rPr>
                <w:rFonts w:ascii="Times New Roman" w:hAnsi="Times New Roman"/>
                <w:sz w:val="18"/>
                <w:szCs w:val="18"/>
              </w:rPr>
            </w:pPr>
            <w:r>
              <w:rPr>
                <w:sz w:val="18"/>
                <w:szCs w:val="18"/>
              </w:rPr>
              <w:t>-26,70</w:t>
            </w:r>
          </w:p>
        </w:tc>
      </w:tr>
      <w:tr w:rsidR="00833524" w:rsidRPr="00364545" w14:paraId="21612B38" w14:textId="77777777" w:rsidTr="00E56269">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52C6549" w14:textId="77777777" w:rsidR="00833524" w:rsidRPr="00364545" w:rsidRDefault="00833524" w:rsidP="00E56269">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without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1336663B" w14:textId="77777777" w:rsidR="00833524" w:rsidRPr="00364545" w:rsidRDefault="00833524" w:rsidP="00E56269">
            <w:pPr>
              <w:jc w:val="right"/>
              <w:rPr>
                <w:rFonts w:ascii="Times New Roman" w:hAnsi="Times New Roman"/>
                <w:sz w:val="18"/>
                <w:szCs w:val="18"/>
              </w:rPr>
            </w:pPr>
            <w:r>
              <w:rPr>
                <w:sz w:val="18"/>
                <w:szCs w:val="18"/>
              </w:rPr>
              <w:t>55739,70</w:t>
            </w:r>
          </w:p>
        </w:tc>
        <w:tc>
          <w:tcPr>
            <w:tcW w:w="1053" w:type="dxa"/>
            <w:tcBorders>
              <w:top w:val="nil"/>
              <w:left w:val="nil"/>
              <w:bottom w:val="single" w:sz="4" w:space="0" w:color="auto"/>
              <w:right w:val="single" w:sz="4" w:space="0" w:color="auto"/>
            </w:tcBorders>
            <w:shd w:val="clear" w:color="000000" w:fill="CCFFFF"/>
            <w:noWrap/>
            <w:vAlign w:val="bottom"/>
            <w:hideMark/>
          </w:tcPr>
          <w:p w14:paraId="28FCAE91" w14:textId="77777777" w:rsidR="00833524" w:rsidRPr="00364545" w:rsidRDefault="00833524" w:rsidP="00E56269">
            <w:pPr>
              <w:jc w:val="right"/>
              <w:rPr>
                <w:rFonts w:ascii="Times New Roman" w:hAnsi="Times New Roman"/>
                <w:sz w:val="18"/>
                <w:szCs w:val="18"/>
              </w:rPr>
            </w:pPr>
            <w:r>
              <w:rPr>
                <w:sz w:val="18"/>
                <w:szCs w:val="18"/>
              </w:rPr>
              <w:t>54641,71</w:t>
            </w:r>
          </w:p>
        </w:tc>
        <w:tc>
          <w:tcPr>
            <w:tcW w:w="1746" w:type="dxa"/>
            <w:tcBorders>
              <w:top w:val="nil"/>
              <w:left w:val="nil"/>
              <w:bottom w:val="single" w:sz="4" w:space="0" w:color="auto"/>
              <w:right w:val="single" w:sz="4" w:space="0" w:color="auto"/>
            </w:tcBorders>
            <w:shd w:val="clear" w:color="000000" w:fill="CCFFFF"/>
            <w:noWrap/>
            <w:vAlign w:val="bottom"/>
            <w:hideMark/>
          </w:tcPr>
          <w:p w14:paraId="00C1AEF2" w14:textId="77777777" w:rsidR="00833524" w:rsidRPr="00364545" w:rsidRDefault="00833524" w:rsidP="00E56269">
            <w:pPr>
              <w:jc w:val="right"/>
              <w:rPr>
                <w:rFonts w:ascii="Times New Roman" w:hAnsi="Times New Roman"/>
                <w:sz w:val="18"/>
                <w:szCs w:val="18"/>
              </w:rPr>
            </w:pPr>
            <w:r>
              <w:rPr>
                <w:sz w:val="18"/>
                <w:szCs w:val="18"/>
              </w:rPr>
              <w:t>-20,99</w:t>
            </w:r>
          </w:p>
        </w:tc>
      </w:tr>
      <w:tr w:rsidR="00833524" w:rsidRPr="00364545" w14:paraId="664CED6B" w14:textId="77777777" w:rsidTr="00E56269">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7C3CAC1" w14:textId="77777777" w:rsidR="00833524" w:rsidRPr="00364545" w:rsidRDefault="00833524" w:rsidP="00E56269">
            <w:pPr>
              <w:jc w:val="left"/>
              <w:rPr>
                <w:rFonts w:ascii="Times New Roman" w:hAnsi="Times New Roman"/>
                <w:sz w:val="18"/>
                <w:szCs w:val="18"/>
              </w:rPr>
            </w:pPr>
            <w:r w:rsidRPr="00364545">
              <w:t>CH</w:t>
            </w:r>
            <w:r w:rsidRPr="00364545">
              <w:rPr>
                <w:vertAlign w:val="subscript"/>
              </w:rPr>
              <w:t>4</w:t>
            </w:r>
            <w:r w:rsidRPr="00364545">
              <w:t xml:space="preserve"> </w:t>
            </w:r>
            <w:r w:rsidRPr="00364545">
              <w:rPr>
                <w:rFonts w:ascii="Times New Roman" w:hAnsi="Times New Roman"/>
                <w:sz w:val="18"/>
              </w:rPr>
              <w:t xml:space="preserve">emissions with </w:t>
            </w:r>
            <w:r w:rsidRPr="00364545">
              <w:t>CH</w:t>
            </w:r>
            <w:r w:rsidRPr="00364545">
              <w:rPr>
                <w:vertAlign w:val="subscript"/>
              </w:rPr>
              <w:t>4</w:t>
            </w:r>
            <w:r w:rsidRPr="00364545">
              <w:t xml:space="preserve"> </w:t>
            </w:r>
            <w:r w:rsidRPr="00364545">
              <w:rPr>
                <w:rFonts w:ascii="Times New Roman" w:hAnsi="Times New Roman"/>
                <w:sz w:val="18"/>
              </w:rPr>
              <w:t>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1D461110" w14:textId="77777777" w:rsidR="00833524" w:rsidRPr="00364545" w:rsidRDefault="00833524" w:rsidP="00E56269">
            <w:pPr>
              <w:jc w:val="right"/>
              <w:rPr>
                <w:rFonts w:ascii="Times New Roman" w:hAnsi="Times New Roman"/>
                <w:sz w:val="18"/>
                <w:szCs w:val="18"/>
              </w:rPr>
            </w:pPr>
            <w:r>
              <w:rPr>
                <w:sz w:val="18"/>
                <w:szCs w:val="18"/>
              </w:rPr>
              <w:t>56877,21</w:t>
            </w:r>
          </w:p>
        </w:tc>
        <w:tc>
          <w:tcPr>
            <w:tcW w:w="1053" w:type="dxa"/>
            <w:tcBorders>
              <w:top w:val="nil"/>
              <w:left w:val="nil"/>
              <w:bottom w:val="single" w:sz="4" w:space="0" w:color="auto"/>
              <w:right w:val="single" w:sz="4" w:space="0" w:color="auto"/>
            </w:tcBorders>
            <w:shd w:val="clear" w:color="000000" w:fill="CCFFFF"/>
            <w:noWrap/>
            <w:vAlign w:val="bottom"/>
            <w:hideMark/>
          </w:tcPr>
          <w:p w14:paraId="240964D3" w14:textId="77777777" w:rsidR="00833524" w:rsidRPr="00364545" w:rsidRDefault="00833524" w:rsidP="00E56269">
            <w:pPr>
              <w:jc w:val="right"/>
              <w:rPr>
                <w:rFonts w:ascii="Times New Roman" w:hAnsi="Times New Roman"/>
                <w:sz w:val="18"/>
                <w:szCs w:val="18"/>
              </w:rPr>
            </w:pPr>
            <w:r>
              <w:rPr>
                <w:sz w:val="18"/>
                <w:szCs w:val="18"/>
              </w:rPr>
              <w:t>55747,40</w:t>
            </w:r>
          </w:p>
        </w:tc>
        <w:tc>
          <w:tcPr>
            <w:tcW w:w="1746" w:type="dxa"/>
            <w:tcBorders>
              <w:top w:val="nil"/>
              <w:left w:val="nil"/>
              <w:bottom w:val="single" w:sz="4" w:space="0" w:color="auto"/>
              <w:right w:val="single" w:sz="4" w:space="0" w:color="auto"/>
            </w:tcBorders>
            <w:shd w:val="clear" w:color="000000" w:fill="CCFFFF"/>
            <w:noWrap/>
            <w:vAlign w:val="bottom"/>
            <w:hideMark/>
          </w:tcPr>
          <w:p w14:paraId="176DB1DB" w14:textId="77777777" w:rsidR="00833524" w:rsidRPr="00364545" w:rsidRDefault="00833524" w:rsidP="00E56269">
            <w:pPr>
              <w:jc w:val="right"/>
              <w:rPr>
                <w:rFonts w:ascii="Times New Roman" w:hAnsi="Times New Roman"/>
                <w:sz w:val="18"/>
                <w:szCs w:val="18"/>
              </w:rPr>
            </w:pPr>
            <w:r>
              <w:rPr>
                <w:sz w:val="18"/>
                <w:szCs w:val="18"/>
              </w:rPr>
              <w:t>-20,47</w:t>
            </w:r>
          </w:p>
        </w:tc>
      </w:tr>
      <w:tr w:rsidR="00833524" w:rsidRPr="00364545" w14:paraId="2431618B" w14:textId="77777777" w:rsidTr="00E56269">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03D15AD" w14:textId="77777777" w:rsidR="00833524" w:rsidRPr="00364545" w:rsidRDefault="00833524" w:rsidP="00E56269">
            <w:pPr>
              <w:jc w:val="left"/>
              <w:rPr>
                <w:rFonts w:ascii="Times New Roman" w:hAnsi="Times New Roman"/>
                <w:sz w:val="18"/>
                <w:szCs w:val="18"/>
              </w:rPr>
            </w:pPr>
            <w:r w:rsidRPr="00364545">
              <w:t>N</w:t>
            </w:r>
            <w:r w:rsidRPr="00364545">
              <w:rPr>
                <w:vertAlign w:val="subscript"/>
              </w:rPr>
              <w:t>2</w:t>
            </w:r>
            <w:r w:rsidRPr="00364545">
              <w:t xml:space="preserve">O </w:t>
            </w:r>
            <w:r w:rsidRPr="00364545">
              <w:rPr>
                <w:rFonts w:ascii="Times New Roman" w:hAnsi="Times New Roman"/>
                <w:sz w:val="18"/>
              </w:rPr>
              <w:t xml:space="preserve">emissions without </w:t>
            </w:r>
            <w:r w:rsidRPr="00364545">
              <w:t>N</w:t>
            </w:r>
            <w:r w:rsidRPr="00364545">
              <w:rPr>
                <w:vertAlign w:val="subscript"/>
              </w:rPr>
              <w:t>2</w:t>
            </w:r>
            <w:r w:rsidRPr="00364545">
              <w:t xml:space="preserve">O </w:t>
            </w:r>
            <w:r w:rsidRPr="00364545">
              <w:rPr>
                <w:rFonts w:ascii="Times New Roman" w:hAnsi="Times New Roman"/>
                <w:sz w:val="18"/>
              </w:rPr>
              <w:t>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327549F1" w14:textId="77777777" w:rsidR="00833524" w:rsidRPr="00364545" w:rsidRDefault="00833524" w:rsidP="00E56269">
            <w:pPr>
              <w:jc w:val="right"/>
              <w:rPr>
                <w:rFonts w:ascii="Times New Roman" w:hAnsi="Times New Roman"/>
                <w:sz w:val="18"/>
                <w:szCs w:val="18"/>
              </w:rPr>
            </w:pPr>
            <w:r>
              <w:rPr>
                <w:sz w:val="18"/>
                <w:szCs w:val="18"/>
              </w:rPr>
              <w:t>38071,44</w:t>
            </w:r>
          </w:p>
        </w:tc>
        <w:tc>
          <w:tcPr>
            <w:tcW w:w="1053" w:type="dxa"/>
            <w:tcBorders>
              <w:top w:val="nil"/>
              <w:left w:val="nil"/>
              <w:bottom w:val="single" w:sz="4" w:space="0" w:color="auto"/>
              <w:right w:val="single" w:sz="4" w:space="0" w:color="auto"/>
            </w:tcBorders>
            <w:shd w:val="clear" w:color="000000" w:fill="CCFFFF"/>
            <w:noWrap/>
            <w:vAlign w:val="bottom"/>
            <w:hideMark/>
          </w:tcPr>
          <w:p w14:paraId="58A26FF3" w14:textId="77777777" w:rsidR="00833524" w:rsidRPr="00364545" w:rsidRDefault="00833524" w:rsidP="00E56269">
            <w:pPr>
              <w:jc w:val="right"/>
              <w:rPr>
                <w:rFonts w:ascii="Times New Roman" w:hAnsi="Times New Roman"/>
                <w:sz w:val="18"/>
                <w:szCs w:val="18"/>
              </w:rPr>
            </w:pPr>
            <w:r>
              <w:rPr>
                <w:sz w:val="18"/>
                <w:szCs w:val="18"/>
              </w:rPr>
              <w:t>36297,32</w:t>
            </w:r>
          </w:p>
        </w:tc>
        <w:tc>
          <w:tcPr>
            <w:tcW w:w="1746" w:type="dxa"/>
            <w:tcBorders>
              <w:top w:val="nil"/>
              <w:left w:val="nil"/>
              <w:bottom w:val="single" w:sz="4" w:space="0" w:color="auto"/>
              <w:right w:val="single" w:sz="4" w:space="0" w:color="auto"/>
            </w:tcBorders>
            <w:shd w:val="clear" w:color="000000" w:fill="CCFFFF"/>
            <w:noWrap/>
            <w:vAlign w:val="bottom"/>
            <w:hideMark/>
          </w:tcPr>
          <w:p w14:paraId="6AADAF77" w14:textId="77777777" w:rsidR="00833524" w:rsidRPr="00364545" w:rsidRDefault="00833524" w:rsidP="00E56269">
            <w:pPr>
              <w:jc w:val="right"/>
              <w:rPr>
                <w:rFonts w:ascii="Times New Roman" w:hAnsi="Times New Roman"/>
                <w:sz w:val="18"/>
                <w:szCs w:val="18"/>
              </w:rPr>
            </w:pPr>
            <w:r>
              <w:rPr>
                <w:sz w:val="18"/>
                <w:szCs w:val="18"/>
              </w:rPr>
              <w:t>-43,92</w:t>
            </w:r>
          </w:p>
        </w:tc>
      </w:tr>
      <w:tr w:rsidR="00833524" w:rsidRPr="00364545" w14:paraId="4D7D1C60" w14:textId="77777777" w:rsidTr="00E56269">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577C7E6" w14:textId="77777777" w:rsidR="00833524" w:rsidRPr="00364545" w:rsidRDefault="00833524" w:rsidP="00E56269">
            <w:pPr>
              <w:jc w:val="left"/>
              <w:rPr>
                <w:rFonts w:ascii="Times New Roman" w:hAnsi="Times New Roman"/>
                <w:sz w:val="18"/>
                <w:szCs w:val="18"/>
              </w:rPr>
            </w:pP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 xml:space="preserve">emissions with </w:t>
            </w:r>
            <w:r w:rsidRPr="00364545">
              <w:rPr>
                <w:lang w:val="pt-BR"/>
              </w:rPr>
              <w:t>N</w:t>
            </w:r>
            <w:r w:rsidRPr="00364545">
              <w:rPr>
                <w:vertAlign w:val="subscript"/>
                <w:lang w:val="pt-BR"/>
              </w:rPr>
              <w:t>2</w:t>
            </w:r>
            <w:r w:rsidRPr="00364545">
              <w:rPr>
                <w:lang w:val="pt-BR"/>
              </w:rPr>
              <w:t xml:space="preserve">O </w:t>
            </w:r>
            <w:r w:rsidRPr="00364545">
              <w:rPr>
                <w:rFonts w:ascii="Times New Roman" w:hAnsi="Times New Roman"/>
                <w:sz w:val="18"/>
                <w:lang w:val="pt-BR"/>
              </w:rPr>
              <w:t>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2F3C7116" w14:textId="77777777" w:rsidR="00833524" w:rsidRPr="00364545" w:rsidRDefault="00833524" w:rsidP="00E56269">
            <w:pPr>
              <w:jc w:val="right"/>
              <w:rPr>
                <w:rFonts w:ascii="Times New Roman" w:hAnsi="Times New Roman"/>
                <w:sz w:val="18"/>
                <w:szCs w:val="18"/>
              </w:rPr>
            </w:pPr>
            <w:r>
              <w:rPr>
                <w:sz w:val="18"/>
                <w:szCs w:val="18"/>
              </w:rPr>
              <w:t>40938,80</w:t>
            </w:r>
          </w:p>
        </w:tc>
        <w:tc>
          <w:tcPr>
            <w:tcW w:w="1053" w:type="dxa"/>
            <w:tcBorders>
              <w:top w:val="nil"/>
              <w:left w:val="nil"/>
              <w:bottom w:val="single" w:sz="4" w:space="0" w:color="auto"/>
              <w:right w:val="single" w:sz="4" w:space="0" w:color="auto"/>
            </w:tcBorders>
            <w:shd w:val="clear" w:color="000000" w:fill="CCFFFF"/>
            <w:noWrap/>
            <w:vAlign w:val="bottom"/>
            <w:hideMark/>
          </w:tcPr>
          <w:p w14:paraId="3CCB2B1D" w14:textId="77777777" w:rsidR="00833524" w:rsidRPr="00364545" w:rsidRDefault="00833524" w:rsidP="00E56269">
            <w:pPr>
              <w:jc w:val="right"/>
              <w:rPr>
                <w:rFonts w:ascii="Times New Roman" w:hAnsi="Times New Roman"/>
                <w:sz w:val="18"/>
                <w:szCs w:val="18"/>
              </w:rPr>
            </w:pPr>
            <w:r>
              <w:rPr>
                <w:sz w:val="18"/>
                <w:szCs w:val="18"/>
              </w:rPr>
              <w:t>39147,49</w:t>
            </w:r>
          </w:p>
        </w:tc>
        <w:tc>
          <w:tcPr>
            <w:tcW w:w="1746" w:type="dxa"/>
            <w:tcBorders>
              <w:top w:val="nil"/>
              <w:left w:val="nil"/>
              <w:bottom w:val="single" w:sz="4" w:space="0" w:color="auto"/>
              <w:right w:val="single" w:sz="4" w:space="0" w:color="auto"/>
            </w:tcBorders>
            <w:shd w:val="clear" w:color="000000" w:fill="CCFFFF"/>
            <w:noWrap/>
            <w:vAlign w:val="bottom"/>
            <w:hideMark/>
          </w:tcPr>
          <w:p w14:paraId="5941D45F" w14:textId="77777777" w:rsidR="00833524" w:rsidRPr="00364545" w:rsidRDefault="00833524" w:rsidP="00E56269">
            <w:pPr>
              <w:jc w:val="right"/>
              <w:rPr>
                <w:rFonts w:ascii="Times New Roman" w:hAnsi="Times New Roman"/>
                <w:sz w:val="18"/>
                <w:szCs w:val="18"/>
              </w:rPr>
            </w:pPr>
            <w:r>
              <w:rPr>
                <w:sz w:val="18"/>
                <w:szCs w:val="18"/>
              </w:rPr>
              <w:t>-42,39</w:t>
            </w:r>
          </w:p>
        </w:tc>
      </w:tr>
      <w:tr w:rsidR="00833524" w:rsidRPr="00364545" w14:paraId="5F7C80CC" w14:textId="77777777" w:rsidTr="00E56269">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3B65CE0" w14:textId="77777777" w:rsidR="00833524" w:rsidRPr="00364545" w:rsidRDefault="00833524" w:rsidP="00E56269">
            <w:pPr>
              <w:jc w:val="left"/>
              <w:rPr>
                <w:rFonts w:ascii="Times New Roman" w:hAnsi="Times New Roman"/>
                <w:sz w:val="18"/>
                <w:szCs w:val="18"/>
              </w:rPr>
            </w:pPr>
            <w:r w:rsidRPr="00364545">
              <w:rPr>
                <w:rFonts w:ascii="Times New Roman" w:hAnsi="Times New Roman"/>
                <w:sz w:val="18"/>
              </w:rPr>
              <w:t>HFCs</w:t>
            </w:r>
          </w:p>
        </w:tc>
        <w:tc>
          <w:tcPr>
            <w:tcW w:w="1053" w:type="dxa"/>
            <w:tcBorders>
              <w:top w:val="nil"/>
              <w:left w:val="nil"/>
              <w:bottom w:val="single" w:sz="4" w:space="0" w:color="auto"/>
              <w:right w:val="single" w:sz="4" w:space="0" w:color="auto"/>
            </w:tcBorders>
            <w:shd w:val="clear" w:color="000000" w:fill="CCFFFF"/>
            <w:noWrap/>
            <w:vAlign w:val="bottom"/>
            <w:hideMark/>
          </w:tcPr>
          <w:p w14:paraId="1615DA97" w14:textId="77777777" w:rsidR="00833524" w:rsidRPr="00364545" w:rsidRDefault="00833524" w:rsidP="00E56269">
            <w:pPr>
              <w:jc w:val="right"/>
              <w:rPr>
                <w:rFonts w:ascii="Times New Roman" w:hAnsi="Times New Roman"/>
                <w:sz w:val="18"/>
                <w:szCs w:val="18"/>
              </w:rPr>
            </w:pPr>
            <w:r>
              <w:rPr>
                <w:sz w:val="18"/>
                <w:szCs w:val="18"/>
              </w:rPr>
              <w:t>12992,42</w:t>
            </w:r>
          </w:p>
        </w:tc>
        <w:tc>
          <w:tcPr>
            <w:tcW w:w="1053" w:type="dxa"/>
            <w:tcBorders>
              <w:top w:val="nil"/>
              <w:left w:val="nil"/>
              <w:bottom w:val="single" w:sz="4" w:space="0" w:color="auto"/>
              <w:right w:val="single" w:sz="4" w:space="0" w:color="auto"/>
            </w:tcBorders>
            <w:shd w:val="clear" w:color="000000" w:fill="CCFFFF"/>
            <w:noWrap/>
            <w:vAlign w:val="bottom"/>
            <w:hideMark/>
          </w:tcPr>
          <w:p w14:paraId="5F6F84D5" w14:textId="77777777" w:rsidR="00833524" w:rsidRPr="00364545" w:rsidRDefault="00833524" w:rsidP="00E56269">
            <w:pPr>
              <w:jc w:val="right"/>
              <w:rPr>
                <w:rFonts w:ascii="Times New Roman" w:hAnsi="Times New Roman"/>
                <w:sz w:val="18"/>
                <w:szCs w:val="18"/>
              </w:rPr>
            </w:pPr>
            <w:r>
              <w:rPr>
                <w:sz w:val="18"/>
                <w:szCs w:val="18"/>
              </w:rPr>
              <w:t>11735,32</w:t>
            </w:r>
          </w:p>
        </w:tc>
        <w:tc>
          <w:tcPr>
            <w:tcW w:w="1746" w:type="dxa"/>
            <w:tcBorders>
              <w:top w:val="nil"/>
              <w:left w:val="nil"/>
              <w:bottom w:val="single" w:sz="4" w:space="0" w:color="auto"/>
              <w:right w:val="single" w:sz="4" w:space="0" w:color="auto"/>
            </w:tcBorders>
            <w:shd w:val="clear" w:color="000000" w:fill="CCFFFF"/>
            <w:noWrap/>
            <w:vAlign w:val="bottom"/>
            <w:hideMark/>
          </w:tcPr>
          <w:p w14:paraId="5447BF23" w14:textId="77777777" w:rsidR="00833524" w:rsidRPr="00364545" w:rsidRDefault="00833524" w:rsidP="00E56269">
            <w:pPr>
              <w:jc w:val="right"/>
              <w:rPr>
                <w:rFonts w:ascii="Times New Roman" w:hAnsi="Times New Roman"/>
                <w:sz w:val="18"/>
                <w:szCs w:val="18"/>
              </w:rPr>
            </w:pPr>
            <w:r>
              <w:rPr>
                <w:sz w:val="18"/>
                <w:szCs w:val="18"/>
              </w:rPr>
              <w:t>166,58</w:t>
            </w:r>
          </w:p>
        </w:tc>
      </w:tr>
      <w:tr w:rsidR="00833524" w:rsidRPr="00364545" w14:paraId="02D0EAEC" w14:textId="77777777" w:rsidTr="00E56269">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665FF34" w14:textId="77777777" w:rsidR="00833524" w:rsidRPr="00364545" w:rsidRDefault="00833524" w:rsidP="00E56269">
            <w:pPr>
              <w:jc w:val="left"/>
              <w:rPr>
                <w:rFonts w:ascii="Times New Roman" w:hAnsi="Times New Roman"/>
                <w:sz w:val="18"/>
                <w:szCs w:val="18"/>
              </w:rPr>
            </w:pPr>
            <w:r w:rsidRPr="00364545">
              <w:rPr>
                <w:rFonts w:ascii="Times New Roman" w:hAnsi="Times New Roman"/>
                <w:sz w:val="18"/>
              </w:rPr>
              <w:t>PFCs</w:t>
            </w:r>
          </w:p>
        </w:tc>
        <w:tc>
          <w:tcPr>
            <w:tcW w:w="1053" w:type="dxa"/>
            <w:tcBorders>
              <w:top w:val="nil"/>
              <w:left w:val="nil"/>
              <w:bottom w:val="single" w:sz="4" w:space="0" w:color="auto"/>
              <w:right w:val="single" w:sz="4" w:space="0" w:color="auto"/>
            </w:tcBorders>
            <w:shd w:val="clear" w:color="000000" w:fill="CCFFFF"/>
            <w:noWrap/>
            <w:vAlign w:val="bottom"/>
            <w:hideMark/>
          </w:tcPr>
          <w:p w14:paraId="51FC59B6" w14:textId="77777777" w:rsidR="00833524" w:rsidRPr="00364545" w:rsidRDefault="00833524" w:rsidP="00E56269">
            <w:pPr>
              <w:jc w:val="right"/>
              <w:rPr>
                <w:rFonts w:ascii="Times New Roman" w:hAnsi="Times New Roman"/>
                <w:sz w:val="18"/>
                <w:szCs w:val="18"/>
              </w:rPr>
            </w:pPr>
            <w:r>
              <w:rPr>
                <w:sz w:val="18"/>
                <w:szCs w:val="18"/>
              </w:rPr>
              <w:t>615,40</w:t>
            </w:r>
          </w:p>
        </w:tc>
        <w:tc>
          <w:tcPr>
            <w:tcW w:w="1053" w:type="dxa"/>
            <w:tcBorders>
              <w:top w:val="nil"/>
              <w:left w:val="nil"/>
              <w:bottom w:val="single" w:sz="4" w:space="0" w:color="auto"/>
              <w:right w:val="single" w:sz="4" w:space="0" w:color="auto"/>
            </w:tcBorders>
            <w:shd w:val="clear" w:color="000000" w:fill="CCFFFF"/>
            <w:noWrap/>
            <w:vAlign w:val="bottom"/>
            <w:hideMark/>
          </w:tcPr>
          <w:p w14:paraId="590A8391" w14:textId="77777777" w:rsidR="00833524" w:rsidRPr="00364545" w:rsidRDefault="00833524" w:rsidP="00E56269">
            <w:pPr>
              <w:jc w:val="right"/>
              <w:rPr>
                <w:rFonts w:ascii="Times New Roman" w:hAnsi="Times New Roman"/>
                <w:sz w:val="18"/>
                <w:szCs w:val="18"/>
              </w:rPr>
            </w:pPr>
            <w:r>
              <w:rPr>
                <w:sz w:val="18"/>
                <w:szCs w:val="18"/>
              </w:rPr>
              <w:t>543,49</w:t>
            </w:r>
          </w:p>
        </w:tc>
        <w:tc>
          <w:tcPr>
            <w:tcW w:w="1746" w:type="dxa"/>
            <w:tcBorders>
              <w:top w:val="nil"/>
              <w:left w:val="nil"/>
              <w:bottom w:val="single" w:sz="4" w:space="0" w:color="auto"/>
              <w:right w:val="single" w:sz="4" w:space="0" w:color="auto"/>
            </w:tcBorders>
            <w:shd w:val="clear" w:color="000000" w:fill="CCFFFF"/>
            <w:noWrap/>
            <w:vAlign w:val="bottom"/>
            <w:hideMark/>
          </w:tcPr>
          <w:p w14:paraId="03663376" w14:textId="77777777" w:rsidR="00833524" w:rsidRPr="00364545" w:rsidRDefault="00833524" w:rsidP="00E56269">
            <w:pPr>
              <w:jc w:val="right"/>
              <w:rPr>
                <w:rFonts w:ascii="Times New Roman" w:hAnsi="Times New Roman"/>
                <w:sz w:val="18"/>
                <w:szCs w:val="18"/>
              </w:rPr>
            </w:pPr>
            <w:r>
              <w:rPr>
                <w:sz w:val="18"/>
                <w:szCs w:val="18"/>
              </w:rPr>
              <w:t>-89,55</w:t>
            </w:r>
          </w:p>
        </w:tc>
      </w:tr>
      <w:tr w:rsidR="00833524" w:rsidRPr="00364545" w14:paraId="04C514F2" w14:textId="77777777" w:rsidTr="00E56269">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3D103ED" w14:textId="77777777" w:rsidR="00833524" w:rsidRPr="00364545" w:rsidRDefault="00833524" w:rsidP="00E56269">
            <w:pPr>
              <w:jc w:val="left"/>
              <w:rPr>
                <w:rFonts w:ascii="Times New Roman" w:hAnsi="Times New Roman"/>
                <w:sz w:val="18"/>
                <w:szCs w:val="18"/>
              </w:rPr>
            </w:pPr>
            <w:r w:rsidRPr="00364545">
              <w:rPr>
                <w:rFonts w:ascii="Times New Roman" w:hAnsi="Times New Roman"/>
                <w:sz w:val="18"/>
              </w:rPr>
              <w:t>Unspecified mix of HFCs and PFCs</w:t>
            </w:r>
          </w:p>
        </w:tc>
        <w:tc>
          <w:tcPr>
            <w:tcW w:w="1053" w:type="dxa"/>
            <w:tcBorders>
              <w:top w:val="nil"/>
              <w:left w:val="nil"/>
              <w:bottom w:val="single" w:sz="4" w:space="0" w:color="auto"/>
              <w:right w:val="single" w:sz="4" w:space="0" w:color="auto"/>
            </w:tcBorders>
            <w:shd w:val="clear" w:color="000000" w:fill="CCFFFF"/>
            <w:noWrap/>
            <w:vAlign w:val="bottom"/>
            <w:hideMark/>
          </w:tcPr>
          <w:p w14:paraId="24906AAD" w14:textId="77777777" w:rsidR="00833524" w:rsidRPr="00364545" w:rsidRDefault="00833524" w:rsidP="00E56269">
            <w:pPr>
              <w:jc w:val="right"/>
              <w:rPr>
                <w:rFonts w:ascii="Times New Roman" w:hAnsi="Times New Roman"/>
                <w:sz w:val="18"/>
                <w:szCs w:val="18"/>
              </w:rPr>
            </w:pPr>
            <w:r>
              <w:rPr>
                <w:sz w:val="18"/>
                <w:szCs w:val="18"/>
              </w:rPr>
              <w:t>NO,NA</w:t>
            </w:r>
          </w:p>
        </w:tc>
        <w:tc>
          <w:tcPr>
            <w:tcW w:w="1053" w:type="dxa"/>
            <w:tcBorders>
              <w:top w:val="nil"/>
              <w:left w:val="nil"/>
              <w:bottom w:val="single" w:sz="4" w:space="0" w:color="auto"/>
              <w:right w:val="single" w:sz="4" w:space="0" w:color="auto"/>
            </w:tcBorders>
            <w:shd w:val="clear" w:color="000000" w:fill="CCFFFF"/>
            <w:noWrap/>
            <w:vAlign w:val="bottom"/>
            <w:hideMark/>
          </w:tcPr>
          <w:p w14:paraId="53593594" w14:textId="77777777" w:rsidR="00833524" w:rsidRPr="00364545" w:rsidRDefault="00833524" w:rsidP="00E56269">
            <w:pPr>
              <w:jc w:val="right"/>
              <w:rPr>
                <w:rFonts w:ascii="Times New Roman" w:hAnsi="Times New Roman"/>
                <w:sz w:val="18"/>
                <w:szCs w:val="18"/>
              </w:rPr>
            </w:pPr>
            <w:r>
              <w:rPr>
                <w:sz w:val="18"/>
                <w:szCs w:val="18"/>
              </w:rPr>
              <w:t>NO,NA</w:t>
            </w:r>
          </w:p>
        </w:tc>
        <w:tc>
          <w:tcPr>
            <w:tcW w:w="1746" w:type="dxa"/>
            <w:tcBorders>
              <w:top w:val="nil"/>
              <w:left w:val="nil"/>
              <w:bottom w:val="single" w:sz="4" w:space="0" w:color="auto"/>
              <w:right w:val="single" w:sz="4" w:space="0" w:color="auto"/>
            </w:tcBorders>
            <w:shd w:val="clear" w:color="000000" w:fill="CCFFFF"/>
            <w:noWrap/>
            <w:vAlign w:val="bottom"/>
            <w:hideMark/>
          </w:tcPr>
          <w:p w14:paraId="20695A97" w14:textId="77777777" w:rsidR="00833524" w:rsidRPr="00364545" w:rsidRDefault="00833524" w:rsidP="00E56269">
            <w:pPr>
              <w:jc w:val="right"/>
              <w:rPr>
                <w:rFonts w:ascii="Times New Roman" w:hAnsi="Times New Roman"/>
                <w:sz w:val="18"/>
                <w:szCs w:val="18"/>
              </w:rPr>
            </w:pPr>
            <w:r>
              <w:rPr>
                <w:sz w:val="18"/>
                <w:szCs w:val="18"/>
              </w:rPr>
              <w:t>0,00</w:t>
            </w:r>
          </w:p>
        </w:tc>
      </w:tr>
      <w:tr w:rsidR="00833524" w:rsidRPr="00364545" w14:paraId="01171454" w14:textId="77777777" w:rsidTr="00E56269">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7C14356" w14:textId="77777777" w:rsidR="00833524" w:rsidRPr="00364545" w:rsidRDefault="00833524" w:rsidP="00E56269">
            <w:pPr>
              <w:jc w:val="left"/>
              <w:rPr>
                <w:rFonts w:ascii="Times New Roman" w:hAnsi="Times New Roman"/>
                <w:sz w:val="18"/>
                <w:szCs w:val="18"/>
              </w:rPr>
            </w:pPr>
            <w:r w:rsidRPr="00364545">
              <w:t>SF</w:t>
            </w:r>
            <w:r w:rsidRPr="00364545">
              <w:rPr>
                <w:vertAlign w:val="subscript"/>
              </w:rPr>
              <w:t>6</w:t>
            </w:r>
          </w:p>
        </w:tc>
        <w:tc>
          <w:tcPr>
            <w:tcW w:w="1053" w:type="dxa"/>
            <w:tcBorders>
              <w:top w:val="nil"/>
              <w:left w:val="nil"/>
              <w:bottom w:val="single" w:sz="4" w:space="0" w:color="auto"/>
              <w:right w:val="single" w:sz="4" w:space="0" w:color="auto"/>
            </w:tcBorders>
            <w:shd w:val="clear" w:color="000000" w:fill="CCFFFF"/>
            <w:noWrap/>
            <w:vAlign w:val="bottom"/>
            <w:hideMark/>
          </w:tcPr>
          <w:p w14:paraId="6C40EF4A" w14:textId="77777777" w:rsidR="00833524" w:rsidRPr="00364545" w:rsidRDefault="00833524" w:rsidP="00E56269">
            <w:pPr>
              <w:jc w:val="right"/>
              <w:rPr>
                <w:rFonts w:ascii="Times New Roman" w:hAnsi="Times New Roman"/>
                <w:sz w:val="18"/>
                <w:szCs w:val="18"/>
              </w:rPr>
            </w:pPr>
            <w:r>
              <w:rPr>
                <w:sz w:val="18"/>
                <w:szCs w:val="18"/>
              </w:rPr>
              <w:t>385,40</w:t>
            </w:r>
          </w:p>
        </w:tc>
        <w:tc>
          <w:tcPr>
            <w:tcW w:w="1053" w:type="dxa"/>
            <w:tcBorders>
              <w:top w:val="nil"/>
              <w:left w:val="nil"/>
              <w:bottom w:val="single" w:sz="4" w:space="0" w:color="auto"/>
              <w:right w:val="single" w:sz="4" w:space="0" w:color="auto"/>
            </w:tcBorders>
            <w:shd w:val="clear" w:color="000000" w:fill="CCFFFF"/>
            <w:noWrap/>
            <w:vAlign w:val="bottom"/>
            <w:hideMark/>
          </w:tcPr>
          <w:p w14:paraId="1228DACE" w14:textId="77777777" w:rsidR="00833524" w:rsidRPr="00364545" w:rsidRDefault="00833524" w:rsidP="00E56269">
            <w:pPr>
              <w:jc w:val="right"/>
              <w:rPr>
                <w:rFonts w:ascii="Times New Roman" w:hAnsi="Times New Roman"/>
                <w:sz w:val="18"/>
                <w:szCs w:val="18"/>
              </w:rPr>
            </w:pPr>
            <w:r>
              <w:rPr>
                <w:sz w:val="18"/>
                <w:szCs w:val="18"/>
              </w:rPr>
              <w:t>346,60</w:t>
            </w:r>
          </w:p>
        </w:tc>
        <w:tc>
          <w:tcPr>
            <w:tcW w:w="1746" w:type="dxa"/>
            <w:tcBorders>
              <w:top w:val="nil"/>
              <w:left w:val="nil"/>
              <w:bottom w:val="single" w:sz="4" w:space="0" w:color="auto"/>
              <w:right w:val="single" w:sz="4" w:space="0" w:color="auto"/>
            </w:tcBorders>
            <w:shd w:val="clear" w:color="000000" w:fill="CCFFFF"/>
            <w:noWrap/>
            <w:vAlign w:val="bottom"/>
            <w:hideMark/>
          </w:tcPr>
          <w:p w14:paraId="445EBA1F" w14:textId="77777777" w:rsidR="00833524" w:rsidRPr="00364545" w:rsidRDefault="00833524" w:rsidP="00E56269">
            <w:pPr>
              <w:jc w:val="right"/>
              <w:rPr>
                <w:rFonts w:ascii="Times New Roman" w:hAnsi="Times New Roman"/>
                <w:sz w:val="18"/>
                <w:szCs w:val="18"/>
              </w:rPr>
            </w:pPr>
            <w:r>
              <w:rPr>
                <w:sz w:val="18"/>
                <w:szCs w:val="18"/>
              </w:rPr>
              <w:t>-83,91</w:t>
            </w:r>
          </w:p>
        </w:tc>
      </w:tr>
      <w:tr w:rsidR="00833524" w:rsidRPr="00364545" w14:paraId="097AE938" w14:textId="77777777" w:rsidTr="00E56269">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D737E8E" w14:textId="77777777" w:rsidR="00833524" w:rsidRPr="00364545" w:rsidRDefault="00833524" w:rsidP="00E56269">
            <w:pPr>
              <w:jc w:val="left"/>
              <w:rPr>
                <w:rFonts w:ascii="Times New Roman" w:hAnsi="Times New Roman"/>
                <w:sz w:val="18"/>
                <w:szCs w:val="18"/>
              </w:rPr>
            </w:pPr>
            <w:r w:rsidRPr="00364545">
              <w:rPr>
                <w:sz w:val="18"/>
              </w:rPr>
              <w:t>NF</w:t>
            </w:r>
            <w:r w:rsidRPr="00364545">
              <w:rPr>
                <w:sz w:val="18"/>
                <w:vertAlign w:val="subscript"/>
              </w:rPr>
              <w:t>3</w:t>
            </w:r>
          </w:p>
        </w:tc>
        <w:tc>
          <w:tcPr>
            <w:tcW w:w="1053" w:type="dxa"/>
            <w:tcBorders>
              <w:top w:val="nil"/>
              <w:left w:val="nil"/>
              <w:bottom w:val="single" w:sz="4" w:space="0" w:color="auto"/>
              <w:right w:val="single" w:sz="4" w:space="0" w:color="auto"/>
            </w:tcBorders>
            <w:shd w:val="clear" w:color="000000" w:fill="CCFFFF"/>
            <w:noWrap/>
            <w:vAlign w:val="bottom"/>
            <w:hideMark/>
          </w:tcPr>
          <w:p w14:paraId="02CAF597" w14:textId="77777777" w:rsidR="00833524" w:rsidRPr="00364545" w:rsidRDefault="00833524" w:rsidP="00E56269">
            <w:pPr>
              <w:jc w:val="right"/>
              <w:rPr>
                <w:rFonts w:ascii="Times New Roman" w:hAnsi="Times New Roman"/>
                <w:sz w:val="18"/>
                <w:szCs w:val="18"/>
              </w:rPr>
            </w:pPr>
            <w:r>
              <w:rPr>
                <w:sz w:val="18"/>
                <w:szCs w:val="18"/>
              </w:rPr>
              <w:t>10,29</w:t>
            </w:r>
          </w:p>
        </w:tc>
        <w:tc>
          <w:tcPr>
            <w:tcW w:w="1053" w:type="dxa"/>
            <w:tcBorders>
              <w:top w:val="nil"/>
              <w:left w:val="nil"/>
              <w:bottom w:val="single" w:sz="4" w:space="0" w:color="auto"/>
              <w:right w:val="single" w:sz="4" w:space="0" w:color="auto"/>
            </w:tcBorders>
            <w:shd w:val="clear" w:color="000000" w:fill="CCFFFF"/>
            <w:noWrap/>
            <w:vAlign w:val="bottom"/>
            <w:hideMark/>
          </w:tcPr>
          <w:p w14:paraId="3F3C655E" w14:textId="77777777" w:rsidR="00833524" w:rsidRPr="00364545" w:rsidRDefault="00833524" w:rsidP="00E56269">
            <w:pPr>
              <w:jc w:val="right"/>
              <w:rPr>
                <w:rFonts w:ascii="Times New Roman" w:hAnsi="Times New Roman"/>
                <w:sz w:val="18"/>
                <w:szCs w:val="18"/>
              </w:rPr>
            </w:pPr>
            <w:r>
              <w:rPr>
                <w:sz w:val="18"/>
                <w:szCs w:val="18"/>
              </w:rPr>
              <w:t>8,54</w:t>
            </w:r>
          </w:p>
        </w:tc>
        <w:tc>
          <w:tcPr>
            <w:tcW w:w="1746" w:type="dxa"/>
            <w:tcBorders>
              <w:top w:val="nil"/>
              <w:left w:val="nil"/>
              <w:bottom w:val="single" w:sz="4" w:space="0" w:color="auto"/>
              <w:right w:val="single" w:sz="4" w:space="0" w:color="auto"/>
            </w:tcBorders>
            <w:shd w:val="clear" w:color="000000" w:fill="CCFFFF"/>
            <w:noWrap/>
            <w:vAlign w:val="bottom"/>
            <w:hideMark/>
          </w:tcPr>
          <w:p w14:paraId="0B0993E2" w14:textId="77777777" w:rsidR="00833524" w:rsidRPr="00364545" w:rsidRDefault="00833524" w:rsidP="00E56269">
            <w:pPr>
              <w:jc w:val="right"/>
              <w:rPr>
                <w:rFonts w:ascii="Times New Roman" w:hAnsi="Times New Roman"/>
                <w:sz w:val="18"/>
                <w:szCs w:val="18"/>
              </w:rPr>
            </w:pPr>
            <w:r>
              <w:rPr>
                <w:sz w:val="18"/>
                <w:szCs w:val="18"/>
              </w:rPr>
              <w:t>-48,18</w:t>
            </w:r>
          </w:p>
        </w:tc>
      </w:tr>
      <w:tr w:rsidR="00833524" w:rsidRPr="00364545" w14:paraId="01753234" w14:textId="77777777" w:rsidTr="00E56269">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B51D1F3" w14:textId="77777777" w:rsidR="00833524" w:rsidRPr="00364545" w:rsidRDefault="00833524" w:rsidP="00E56269">
            <w:pPr>
              <w:jc w:val="left"/>
              <w:rPr>
                <w:rFonts w:ascii="Times New Roman" w:hAnsi="Times New Roman"/>
                <w:b/>
                <w:bCs/>
                <w:sz w:val="18"/>
                <w:szCs w:val="18"/>
              </w:rPr>
            </w:pPr>
            <w:r w:rsidRPr="00364545">
              <w:rPr>
                <w:rFonts w:ascii="Times New Roman" w:hAnsi="Times New Roman"/>
                <w:b/>
                <w:sz w:val="18"/>
              </w:rPr>
              <w:t>Total (without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1CF0317E" w14:textId="77777777" w:rsidR="00833524" w:rsidRPr="00364545" w:rsidRDefault="00833524" w:rsidP="00E56269">
            <w:pPr>
              <w:jc w:val="right"/>
              <w:rPr>
                <w:rFonts w:ascii="Times New Roman" w:hAnsi="Times New Roman"/>
                <w:sz w:val="18"/>
                <w:szCs w:val="18"/>
              </w:rPr>
            </w:pPr>
            <w:r>
              <w:rPr>
                <w:sz w:val="18"/>
                <w:szCs w:val="18"/>
              </w:rPr>
              <w:t>434539,77</w:t>
            </w:r>
          </w:p>
        </w:tc>
        <w:tc>
          <w:tcPr>
            <w:tcW w:w="1053" w:type="dxa"/>
            <w:tcBorders>
              <w:top w:val="nil"/>
              <w:left w:val="nil"/>
              <w:bottom w:val="single" w:sz="4" w:space="0" w:color="auto"/>
              <w:right w:val="single" w:sz="4" w:space="0" w:color="auto"/>
            </w:tcBorders>
            <w:shd w:val="clear" w:color="000000" w:fill="CCFFFF"/>
            <w:noWrap/>
            <w:vAlign w:val="bottom"/>
            <w:hideMark/>
          </w:tcPr>
          <w:p w14:paraId="45A77CEC" w14:textId="77777777" w:rsidR="00833524" w:rsidRPr="00364545" w:rsidRDefault="00833524" w:rsidP="00E56269">
            <w:pPr>
              <w:jc w:val="right"/>
              <w:rPr>
                <w:rFonts w:ascii="Times New Roman" w:hAnsi="Times New Roman"/>
                <w:sz w:val="18"/>
                <w:szCs w:val="18"/>
              </w:rPr>
            </w:pPr>
            <w:r>
              <w:rPr>
                <w:sz w:val="18"/>
                <w:szCs w:val="18"/>
              </w:rPr>
              <w:t>392962,57</w:t>
            </w:r>
          </w:p>
        </w:tc>
        <w:tc>
          <w:tcPr>
            <w:tcW w:w="1746" w:type="dxa"/>
            <w:tcBorders>
              <w:top w:val="nil"/>
              <w:left w:val="nil"/>
              <w:bottom w:val="single" w:sz="4" w:space="0" w:color="auto"/>
              <w:right w:val="single" w:sz="4" w:space="0" w:color="auto"/>
            </w:tcBorders>
            <w:shd w:val="clear" w:color="000000" w:fill="CCFFFF"/>
            <w:noWrap/>
            <w:vAlign w:val="bottom"/>
            <w:hideMark/>
          </w:tcPr>
          <w:p w14:paraId="457054E2" w14:textId="77777777" w:rsidR="00833524" w:rsidRPr="00364545" w:rsidRDefault="00833524" w:rsidP="00E56269">
            <w:pPr>
              <w:jc w:val="right"/>
              <w:rPr>
                <w:rFonts w:ascii="Times New Roman" w:hAnsi="Times New Roman"/>
                <w:sz w:val="18"/>
                <w:szCs w:val="18"/>
              </w:rPr>
            </w:pPr>
            <w:r>
              <w:rPr>
                <w:sz w:val="18"/>
                <w:szCs w:val="18"/>
              </w:rPr>
              <w:t>-27,78</w:t>
            </w:r>
          </w:p>
        </w:tc>
      </w:tr>
      <w:tr w:rsidR="00833524" w:rsidRPr="00364545" w14:paraId="19036383" w14:textId="77777777" w:rsidTr="00E56269">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813AF0A" w14:textId="77777777" w:rsidR="00833524" w:rsidRPr="00364545" w:rsidRDefault="00833524" w:rsidP="00E56269">
            <w:pPr>
              <w:jc w:val="left"/>
              <w:rPr>
                <w:rFonts w:ascii="Times New Roman" w:hAnsi="Times New Roman"/>
                <w:b/>
                <w:bCs/>
                <w:sz w:val="18"/>
                <w:szCs w:val="18"/>
              </w:rPr>
            </w:pPr>
            <w:r w:rsidRPr="00364545">
              <w:rPr>
                <w:rFonts w:ascii="Times New Roman" w:hAnsi="Times New Roman"/>
                <w:b/>
                <w:sz w:val="18"/>
              </w:rPr>
              <w:t>Total (with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762EC44F" w14:textId="77777777" w:rsidR="00833524" w:rsidRPr="00364545" w:rsidRDefault="00833524" w:rsidP="00E56269">
            <w:pPr>
              <w:jc w:val="right"/>
              <w:rPr>
                <w:rFonts w:ascii="Times New Roman" w:hAnsi="Times New Roman"/>
                <w:sz w:val="18"/>
                <w:szCs w:val="18"/>
              </w:rPr>
            </w:pPr>
            <w:r>
              <w:rPr>
                <w:sz w:val="18"/>
                <w:szCs w:val="18"/>
              </w:rPr>
              <w:t>422251,61</w:t>
            </w:r>
          </w:p>
        </w:tc>
        <w:tc>
          <w:tcPr>
            <w:tcW w:w="1053" w:type="dxa"/>
            <w:tcBorders>
              <w:top w:val="nil"/>
              <w:left w:val="nil"/>
              <w:bottom w:val="single" w:sz="4" w:space="0" w:color="auto"/>
              <w:right w:val="single" w:sz="4" w:space="0" w:color="auto"/>
            </w:tcBorders>
            <w:shd w:val="clear" w:color="000000" w:fill="CCFFFF"/>
            <w:noWrap/>
            <w:vAlign w:val="bottom"/>
            <w:hideMark/>
          </w:tcPr>
          <w:p w14:paraId="7B2E0072" w14:textId="77777777" w:rsidR="00833524" w:rsidRPr="00364545" w:rsidRDefault="00833524" w:rsidP="00E56269">
            <w:pPr>
              <w:jc w:val="right"/>
              <w:rPr>
                <w:rFonts w:ascii="Times New Roman" w:hAnsi="Times New Roman"/>
                <w:sz w:val="18"/>
                <w:szCs w:val="18"/>
              </w:rPr>
            </w:pPr>
            <w:r>
              <w:rPr>
                <w:sz w:val="18"/>
                <w:szCs w:val="18"/>
              </w:rPr>
              <w:t>378957,08</w:t>
            </w:r>
          </w:p>
        </w:tc>
        <w:tc>
          <w:tcPr>
            <w:tcW w:w="1746" w:type="dxa"/>
            <w:tcBorders>
              <w:top w:val="nil"/>
              <w:left w:val="nil"/>
              <w:bottom w:val="single" w:sz="4" w:space="0" w:color="auto"/>
              <w:right w:val="single" w:sz="4" w:space="0" w:color="auto"/>
            </w:tcBorders>
            <w:shd w:val="clear" w:color="000000" w:fill="CCFFFF"/>
            <w:noWrap/>
            <w:vAlign w:val="bottom"/>
            <w:hideMark/>
          </w:tcPr>
          <w:p w14:paraId="2ED413AB" w14:textId="77777777" w:rsidR="00833524" w:rsidRPr="00364545" w:rsidRDefault="00833524" w:rsidP="00E56269">
            <w:pPr>
              <w:jc w:val="right"/>
              <w:rPr>
                <w:rFonts w:ascii="Times New Roman" w:hAnsi="Times New Roman"/>
                <w:sz w:val="18"/>
                <w:szCs w:val="18"/>
              </w:rPr>
            </w:pPr>
            <w:r>
              <w:rPr>
                <w:sz w:val="18"/>
                <w:szCs w:val="18"/>
              </w:rPr>
              <w:t>-27,14</w:t>
            </w:r>
          </w:p>
        </w:tc>
      </w:tr>
      <w:tr w:rsidR="00833524" w:rsidRPr="00364545" w14:paraId="7B7A4390" w14:textId="77777777" w:rsidTr="00E56269">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320D4AA5" w14:textId="77777777" w:rsidR="00833524" w:rsidRPr="00364545" w:rsidRDefault="00833524" w:rsidP="00E56269">
            <w:pPr>
              <w:jc w:val="left"/>
              <w:rPr>
                <w:rFonts w:ascii="Times New Roman" w:hAnsi="Times New Roman"/>
                <w:b/>
                <w:bCs/>
                <w:sz w:val="18"/>
                <w:szCs w:val="18"/>
              </w:rPr>
            </w:pPr>
            <w:r w:rsidRPr="00364545">
              <w:rPr>
                <w:rFonts w:ascii="Times New Roman" w:hAnsi="Times New Roman"/>
                <w:b/>
                <w:sz w:val="18"/>
              </w:rPr>
              <w:t>Total (without LULUCF, with indirect)</w:t>
            </w:r>
          </w:p>
        </w:tc>
        <w:tc>
          <w:tcPr>
            <w:tcW w:w="1053" w:type="dxa"/>
            <w:tcBorders>
              <w:top w:val="nil"/>
              <w:left w:val="nil"/>
              <w:bottom w:val="single" w:sz="4" w:space="0" w:color="auto"/>
              <w:right w:val="single" w:sz="4" w:space="0" w:color="auto"/>
            </w:tcBorders>
            <w:shd w:val="clear" w:color="000000" w:fill="CCFFFF"/>
            <w:noWrap/>
            <w:vAlign w:val="bottom"/>
            <w:hideMark/>
          </w:tcPr>
          <w:p w14:paraId="42F55C4E" w14:textId="77777777" w:rsidR="00833524" w:rsidRPr="00364545" w:rsidRDefault="00833524" w:rsidP="00E56269">
            <w:pPr>
              <w:jc w:val="right"/>
              <w:rPr>
                <w:rFonts w:ascii="Times New Roman" w:hAnsi="Times New Roman"/>
                <w:sz w:val="18"/>
                <w:szCs w:val="18"/>
              </w:rPr>
            </w:pPr>
            <w:r>
              <w:rPr>
                <w:sz w:val="18"/>
                <w:szCs w:val="18"/>
              </w:rPr>
              <w:t>NA</w:t>
            </w:r>
          </w:p>
        </w:tc>
        <w:tc>
          <w:tcPr>
            <w:tcW w:w="1053" w:type="dxa"/>
            <w:tcBorders>
              <w:top w:val="nil"/>
              <w:left w:val="nil"/>
              <w:bottom w:val="single" w:sz="4" w:space="0" w:color="auto"/>
              <w:right w:val="single" w:sz="4" w:space="0" w:color="auto"/>
            </w:tcBorders>
            <w:shd w:val="clear" w:color="000000" w:fill="CCFFFF"/>
            <w:noWrap/>
            <w:vAlign w:val="bottom"/>
            <w:hideMark/>
          </w:tcPr>
          <w:p w14:paraId="59E2F74C" w14:textId="77777777" w:rsidR="00833524" w:rsidRPr="00364545" w:rsidRDefault="00833524" w:rsidP="00E56269">
            <w:pPr>
              <w:jc w:val="right"/>
              <w:rPr>
                <w:rFonts w:ascii="Times New Roman" w:hAnsi="Times New Roman"/>
                <w:sz w:val="18"/>
                <w:szCs w:val="18"/>
              </w:rPr>
            </w:pPr>
            <w:r>
              <w:rPr>
                <w:sz w:val="18"/>
                <w:szCs w:val="18"/>
              </w:rPr>
              <w:t>NA</w:t>
            </w:r>
          </w:p>
        </w:tc>
        <w:tc>
          <w:tcPr>
            <w:tcW w:w="1746" w:type="dxa"/>
            <w:tcBorders>
              <w:top w:val="nil"/>
              <w:left w:val="nil"/>
              <w:bottom w:val="single" w:sz="4" w:space="0" w:color="auto"/>
              <w:right w:val="single" w:sz="4" w:space="0" w:color="auto"/>
            </w:tcBorders>
            <w:shd w:val="clear" w:color="000000" w:fill="CCFFFF"/>
            <w:noWrap/>
            <w:vAlign w:val="bottom"/>
            <w:hideMark/>
          </w:tcPr>
          <w:p w14:paraId="73360C14" w14:textId="77777777" w:rsidR="00833524" w:rsidRPr="00364545" w:rsidRDefault="00833524" w:rsidP="00E56269">
            <w:pPr>
              <w:jc w:val="right"/>
              <w:rPr>
                <w:rFonts w:ascii="Times New Roman" w:hAnsi="Times New Roman"/>
                <w:sz w:val="18"/>
                <w:szCs w:val="18"/>
              </w:rPr>
            </w:pPr>
            <w:r>
              <w:rPr>
                <w:sz w:val="18"/>
                <w:szCs w:val="18"/>
              </w:rPr>
              <w:t>0,00</w:t>
            </w:r>
          </w:p>
        </w:tc>
      </w:tr>
      <w:tr w:rsidR="00833524" w:rsidRPr="00364545" w14:paraId="783DB425" w14:textId="77777777" w:rsidTr="00E56269">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C7EE586" w14:textId="77777777" w:rsidR="00833524" w:rsidRPr="00364545" w:rsidRDefault="00833524" w:rsidP="00E56269">
            <w:pPr>
              <w:jc w:val="left"/>
              <w:rPr>
                <w:rFonts w:ascii="Times New Roman" w:hAnsi="Times New Roman"/>
                <w:b/>
                <w:bCs/>
                <w:sz w:val="18"/>
                <w:szCs w:val="18"/>
              </w:rPr>
            </w:pPr>
            <w:r w:rsidRPr="00364545">
              <w:rPr>
                <w:rFonts w:ascii="Times New Roman" w:hAnsi="Times New Roman"/>
                <w:b/>
                <w:sz w:val="18"/>
              </w:rPr>
              <w:t>Total (with LULUCF, with indirect)</w:t>
            </w:r>
          </w:p>
        </w:tc>
        <w:tc>
          <w:tcPr>
            <w:tcW w:w="1053" w:type="dxa"/>
            <w:tcBorders>
              <w:top w:val="nil"/>
              <w:left w:val="nil"/>
              <w:bottom w:val="single" w:sz="4" w:space="0" w:color="auto"/>
              <w:right w:val="single" w:sz="4" w:space="0" w:color="auto"/>
            </w:tcBorders>
            <w:shd w:val="clear" w:color="000000" w:fill="CCFFFF"/>
            <w:noWrap/>
            <w:vAlign w:val="bottom"/>
            <w:hideMark/>
          </w:tcPr>
          <w:p w14:paraId="4B38030C" w14:textId="77777777" w:rsidR="00833524" w:rsidRPr="00364545" w:rsidRDefault="00833524" w:rsidP="00E56269">
            <w:pPr>
              <w:jc w:val="right"/>
              <w:rPr>
                <w:rFonts w:ascii="Times New Roman" w:hAnsi="Times New Roman"/>
                <w:sz w:val="18"/>
                <w:szCs w:val="18"/>
              </w:rPr>
            </w:pPr>
            <w:r>
              <w:rPr>
                <w:sz w:val="18"/>
                <w:szCs w:val="18"/>
              </w:rPr>
              <w:t>NA</w:t>
            </w:r>
          </w:p>
        </w:tc>
        <w:tc>
          <w:tcPr>
            <w:tcW w:w="1053" w:type="dxa"/>
            <w:tcBorders>
              <w:top w:val="nil"/>
              <w:left w:val="nil"/>
              <w:bottom w:val="single" w:sz="4" w:space="0" w:color="auto"/>
              <w:right w:val="single" w:sz="4" w:space="0" w:color="auto"/>
            </w:tcBorders>
            <w:shd w:val="clear" w:color="000000" w:fill="CCFFFF"/>
            <w:noWrap/>
            <w:vAlign w:val="bottom"/>
            <w:hideMark/>
          </w:tcPr>
          <w:p w14:paraId="3ED9B422" w14:textId="77777777" w:rsidR="00833524" w:rsidRPr="00364545" w:rsidRDefault="00833524" w:rsidP="00E56269">
            <w:pPr>
              <w:jc w:val="right"/>
              <w:rPr>
                <w:rFonts w:ascii="Times New Roman" w:hAnsi="Times New Roman"/>
                <w:sz w:val="18"/>
                <w:szCs w:val="18"/>
              </w:rPr>
            </w:pPr>
            <w:r>
              <w:rPr>
                <w:sz w:val="18"/>
                <w:szCs w:val="18"/>
              </w:rPr>
              <w:t>NA</w:t>
            </w:r>
          </w:p>
        </w:tc>
        <w:tc>
          <w:tcPr>
            <w:tcW w:w="1746" w:type="dxa"/>
            <w:tcBorders>
              <w:top w:val="nil"/>
              <w:left w:val="nil"/>
              <w:bottom w:val="single" w:sz="4" w:space="0" w:color="auto"/>
              <w:right w:val="single" w:sz="4" w:space="0" w:color="auto"/>
            </w:tcBorders>
            <w:shd w:val="clear" w:color="000000" w:fill="CCFFFF"/>
            <w:noWrap/>
            <w:vAlign w:val="bottom"/>
            <w:hideMark/>
          </w:tcPr>
          <w:p w14:paraId="40E04ED9" w14:textId="77777777" w:rsidR="00833524" w:rsidRPr="00364545" w:rsidRDefault="00833524" w:rsidP="00E56269">
            <w:pPr>
              <w:jc w:val="right"/>
              <w:rPr>
                <w:rFonts w:ascii="Times New Roman" w:hAnsi="Times New Roman"/>
                <w:sz w:val="18"/>
                <w:szCs w:val="18"/>
              </w:rPr>
            </w:pPr>
            <w:r>
              <w:rPr>
                <w:sz w:val="18"/>
                <w:szCs w:val="18"/>
              </w:rPr>
              <w:t>0,00</w:t>
            </w:r>
          </w:p>
        </w:tc>
      </w:tr>
    </w:tbl>
    <w:p w14:paraId="7234DD0F" w14:textId="77777777" w:rsidR="00833524" w:rsidRPr="00364545" w:rsidRDefault="00833524" w:rsidP="00833524">
      <w:pPr>
        <w:spacing w:line="240" w:lineRule="atLeast"/>
        <w:jc w:val="left"/>
        <w:rPr>
          <w:rFonts w:cs="Arial"/>
        </w:rPr>
      </w:pPr>
    </w:p>
    <w:p w14:paraId="71117EC2" w14:textId="77777777" w:rsidR="00833524" w:rsidRPr="00364545" w:rsidRDefault="00833524" w:rsidP="00833524">
      <w:pPr>
        <w:spacing w:line="240" w:lineRule="atLeast"/>
        <w:jc w:val="left"/>
        <w:rPr>
          <w:rFonts w:cs="Arial"/>
        </w:rPr>
      </w:pPr>
      <w:r w:rsidRPr="00364545">
        <w:br w:type="page"/>
      </w:r>
    </w:p>
    <w:p w14:paraId="1842F0F7" w14:textId="77777777" w:rsidR="00833524" w:rsidRPr="00364545" w:rsidRDefault="00833524" w:rsidP="00B56301">
      <w:pPr>
        <w:spacing w:line="240" w:lineRule="atLeast"/>
        <w:jc w:val="left"/>
        <w:rPr>
          <w:rFonts w:cs="Arial"/>
        </w:rPr>
      </w:pPr>
    </w:p>
    <w:p w14:paraId="46167ADB" w14:textId="77777777" w:rsidR="00B56301" w:rsidRPr="00364545" w:rsidRDefault="00B56301" w:rsidP="00B56301">
      <w:pPr>
        <w:spacing w:line="240" w:lineRule="atLeast"/>
        <w:jc w:val="left"/>
        <w:rPr>
          <w:rFonts w:cs="Arial"/>
        </w:rPr>
      </w:pPr>
    </w:p>
    <w:p w14:paraId="6773F11B" w14:textId="77777777" w:rsidR="00B56301" w:rsidRPr="00364545" w:rsidRDefault="00B56301" w:rsidP="003F57EA">
      <w:pPr>
        <w:pStyle w:val="Titre2Niveau2"/>
        <w:numPr>
          <w:ilvl w:val="0"/>
          <w:numId w:val="62"/>
        </w:numPr>
      </w:pPr>
      <w:bookmarkStart w:id="784" w:name="_Toc138341928"/>
      <w:r w:rsidRPr="00364545">
        <w:t>SECTEN Format</w:t>
      </w:r>
      <w:bookmarkEnd w:id="784"/>
    </w:p>
    <w:p w14:paraId="65F598EF" w14:textId="77777777" w:rsidR="00B56301" w:rsidRPr="00364545" w:rsidRDefault="00B56301" w:rsidP="00B56301">
      <w:pPr>
        <w:spacing w:line="240" w:lineRule="atLeast"/>
        <w:jc w:val="left"/>
      </w:pPr>
    </w:p>
    <w:tbl>
      <w:tblPr>
        <w:tblW w:w="10704" w:type="dxa"/>
        <w:jc w:val="center"/>
        <w:tblCellMar>
          <w:left w:w="70" w:type="dxa"/>
          <w:right w:w="70" w:type="dxa"/>
        </w:tblCellMar>
        <w:tblLook w:val="04A0" w:firstRow="1" w:lastRow="0" w:firstColumn="1" w:lastColumn="0" w:noHBand="0" w:noVBand="1"/>
      </w:tblPr>
      <w:tblGrid>
        <w:gridCol w:w="5680"/>
        <w:gridCol w:w="628"/>
        <w:gridCol w:w="628"/>
        <w:gridCol w:w="628"/>
        <w:gridCol w:w="628"/>
        <w:gridCol w:w="628"/>
        <w:gridCol w:w="628"/>
        <w:gridCol w:w="628"/>
        <w:gridCol w:w="628"/>
      </w:tblGrid>
      <w:tr w:rsidR="00B56301" w:rsidRPr="00364545" w14:paraId="7F977D56" w14:textId="77777777" w:rsidTr="00B37B65">
        <w:trPr>
          <w:trHeight w:val="68"/>
          <w:jc w:val="center"/>
        </w:trPr>
        <w:tc>
          <w:tcPr>
            <w:tcW w:w="10704" w:type="dxa"/>
            <w:gridSpan w:val="9"/>
            <w:tcBorders>
              <w:top w:val="nil"/>
              <w:left w:val="nil"/>
              <w:bottom w:val="nil"/>
            </w:tcBorders>
            <w:shd w:val="clear" w:color="auto" w:fill="auto"/>
            <w:vAlign w:val="center"/>
          </w:tcPr>
          <w:p w14:paraId="19F8F9E5" w14:textId="77777777" w:rsidR="00B56301" w:rsidRPr="00364545" w:rsidRDefault="00B56301" w:rsidP="00B37B65">
            <w:pPr>
              <w:jc w:val="left"/>
              <w:rPr>
                <w:rFonts w:ascii="Trebuchet MS" w:hAnsi="Trebuchet MS" w:cs="Arial"/>
                <w:b/>
                <w:bCs/>
                <w:sz w:val="16"/>
                <w:szCs w:val="18"/>
              </w:rPr>
            </w:pPr>
            <w:r w:rsidRPr="00364545">
              <w:rPr>
                <w:rFonts w:ascii="Trebuchet MS" w:hAnsi="Trebuchet MS"/>
                <w:b/>
                <w:sz w:val="16"/>
              </w:rPr>
              <w:t>Emissions in the air - Source Citepa 2022 edition -national inventory of greenhouse gas emissions and atmospheric pollutants - citepa.org</w:t>
            </w:r>
          </w:p>
        </w:tc>
      </w:tr>
      <w:tr w:rsidR="00B56301" w:rsidRPr="00364545" w14:paraId="11A597DB" w14:textId="77777777" w:rsidTr="00B37B65">
        <w:trPr>
          <w:trHeight w:val="68"/>
          <w:jc w:val="center"/>
        </w:trPr>
        <w:tc>
          <w:tcPr>
            <w:tcW w:w="10704" w:type="dxa"/>
            <w:gridSpan w:val="9"/>
            <w:tcBorders>
              <w:top w:val="nil"/>
              <w:left w:val="nil"/>
            </w:tcBorders>
            <w:shd w:val="clear" w:color="auto" w:fill="auto"/>
            <w:vAlign w:val="center"/>
          </w:tcPr>
          <w:p w14:paraId="71B04074" w14:textId="77777777" w:rsidR="00B56301" w:rsidRPr="00364545" w:rsidRDefault="00B56301" w:rsidP="00B37B65">
            <w:pPr>
              <w:jc w:val="left"/>
              <w:rPr>
                <w:rFonts w:ascii="Trebuchet MS" w:hAnsi="Trebuchet MS" w:cs="Arial"/>
                <w:b/>
                <w:bCs/>
                <w:sz w:val="16"/>
                <w:szCs w:val="18"/>
              </w:rPr>
            </w:pPr>
            <w:r w:rsidRPr="00364545">
              <w:rPr>
                <w:rFonts w:ascii="Trebuchet MS" w:hAnsi="Trebuchet MS"/>
                <w:b/>
                <w:sz w:val="16"/>
              </w:rPr>
              <w:t>Estimating Method: citepa.org/ominea</w:t>
            </w:r>
          </w:p>
        </w:tc>
      </w:tr>
      <w:tr w:rsidR="00B56301" w:rsidRPr="00364545" w14:paraId="02E4F326" w14:textId="77777777" w:rsidTr="00B37B65">
        <w:trPr>
          <w:trHeight w:val="68"/>
          <w:jc w:val="center"/>
        </w:trPr>
        <w:tc>
          <w:tcPr>
            <w:tcW w:w="10704" w:type="dxa"/>
            <w:gridSpan w:val="9"/>
            <w:tcBorders>
              <w:top w:val="nil"/>
              <w:left w:val="nil"/>
              <w:bottom w:val="nil"/>
            </w:tcBorders>
            <w:shd w:val="clear" w:color="auto" w:fill="auto"/>
            <w:vAlign w:val="center"/>
          </w:tcPr>
          <w:p w14:paraId="18BF6DD3" w14:textId="77777777" w:rsidR="00B56301" w:rsidRPr="00364545" w:rsidRDefault="00B56301" w:rsidP="00B37B65">
            <w:pPr>
              <w:jc w:val="center"/>
              <w:rPr>
                <w:rFonts w:ascii="Trebuchet MS" w:hAnsi="Trebuchet MS" w:cs="Arial"/>
                <w:b/>
                <w:bCs/>
                <w:sz w:val="18"/>
                <w:szCs w:val="18"/>
              </w:rPr>
            </w:pPr>
          </w:p>
        </w:tc>
      </w:tr>
      <w:tr w:rsidR="00B56301" w:rsidRPr="00364545" w14:paraId="3F99BBB3" w14:textId="77777777" w:rsidTr="00B37B65">
        <w:trPr>
          <w:trHeight w:val="68"/>
          <w:jc w:val="center"/>
        </w:trPr>
        <w:tc>
          <w:tcPr>
            <w:tcW w:w="5680" w:type="dxa"/>
            <w:tcBorders>
              <w:top w:val="nil"/>
              <w:left w:val="nil"/>
              <w:bottom w:val="nil"/>
              <w:right w:val="nil"/>
            </w:tcBorders>
            <w:shd w:val="clear" w:color="auto" w:fill="auto"/>
            <w:vAlign w:val="center"/>
            <w:hideMark/>
          </w:tcPr>
          <w:p w14:paraId="2450B4D3" w14:textId="60C8C023" w:rsidR="00B56301" w:rsidRPr="00364545" w:rsidRDefault="00B56301" w:rsidP="00B37B65">
            <w:pPr>
              <w:jc w:val="center"/>
              <w:rPr>
                <w:rFonts w:ascii="Trebuchet MS" w:hAnsi="Trebuchet MS" w:cs="Arial"/>
                <w:b/>
                <w:bCs/>
                <w:i/>
                <w:iCs/>
                <w:sz w:val="16"/>
                <w:szCs w:val="18"/>
              </w:rPr>
            </w:pPr>
            <w:r w:rsidRPr="00364545">
              <w:rPr>
                <w:rFonts w:ascii="Trebuchet MS" w:hAnsi="Trebuchet MS"/>
                <w:b/>
                <w:i/>
                <w:sz w:val="16"/>
              </w:rPr>
              <w:t xml:space="preserve">Emissions of </w:t>
            </w:r>
            <w:r w:rsidRPr="00364545">
              <w:t>CO</w:t>
            </w:r>
            <w:r w:rsidRPr="00364545">
              <w:rPr>
                <w:vertAlign w:val="subscript"/>
              </w:rPr>
              <w:t>2</w:t>
            </w:r>
            <w:r w:rsidRPr="00364545">
              <w:rPr>
                <w:rFonts w:ascii="Trebuchet MS" w:hAnsi="Trebuchet MS"/>
                <w:b/>
                <w:i/>
                <w:sz w:val="16"/>
                <w:vertAlign w:val="subscript"/>
              </w:rPr>
              <w:t>e</w:t>
            </w:r>
            <w:r w:rsidRPr="00364545">
              <w:rPr>
                <w:rFonts w:ascii="Trebuchet MS" w:hAnsi="Trebuchet MS"/>
                <w:b/>
                <w:i/>
                <w:sz w:val="16"/>
              </w:rPr>
              <w:t xml:space="preserve"> (Mt</w:t>
            </w:r>
            <w:r w:rsidRPr="00364545">
              <w:t>CO</w:t>
            </w:r>
            <w:r w:rsidRPr="00364545">
              <w:rPr>
                <w:vertAlign w:val="subscript"/>
              </w:rPr>
              <w:t>2</w:t>
            </w:r>
            <w:r w:rsidRPr="00364545">
              <w:rPr>
                <w:rFonts w:ascii="Trebuchet MS" w:hAnsi="Trebuchet MS"/>
                <w:b/>
                <w:i/>
                <w:sz w:val="16"/>
                <w:vertAlign w:val="subscript"/>
              </w:rPr>
              <w:t>e</w:t>
            </w:r>
            <w:r w:rsidRPr="00364545">
              <w:rPr>
                <w:rFonts w:ascii="Trebuchet MS" w:hAnsi="Trebuchet MS"/>
                <w:b/>
                <w:i/>
                <w:sz w:val="16"/>
              </w:rPr>
              <w:t>/p.a.)</w:t>
            </w:r>
            <w:r w:rsidRPr="00364545">
              <w:rPr>
                <w:rFonts w:ascii="Trebuchet MS" w:hAnsi="Trebuchet MS"/>
                <w:b/>
                <w:i/>
                <w:sz w:val="16"/>
              </w:rPr>
              <w:br/>
              <w:t>Scope: Mainland and Overseas included in EU</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35C916"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1990</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757037F1"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1991</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6D1F086B"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1992</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A92D20D"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1993</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D912D31"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1994</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57F7CED"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1995</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16E87EEB"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1996</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7059C9A5"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1997</w:t>
            </w:r>
          </w:p>
        </w:tc>
      </w:tr>
      <w:tr w:rsidR="00B56301" w:rsidRPr="00364545" w14:paraId="6CBCA9B4" w14:textId="77777777" w:rsidTr="00B37B65">
        <w:trPr>
          <w:trHeight w:val="68"/>
          <w:jc w:val="center"/>
        </w:trPr>
        <w:tc>
          <w:tcPr>
            <w:tcW w:w="5680" w:type="dxa"/>
            <w:tcBorders>
              <w:top w:val="single" w:sz="4" w:space="0" w:color="auto"/>
              <w:left w:val="nil"/>
              <w:bottom w:val="single" w:sz="4" w:space="0" w:color="auto"/>
              <w:right w:val="single" w:sz="4" w:space="0" w:color="auto"/>
            </w:tcBorders>
            <w:shd w:val="clear" w:color="000000" w:fill="DDEBF7"/>
            <w:noWrap/>
            <w:vAlign w:val="bottom"/>
            <w:hideMark/>
          </w:tcPr>
          <w:p w14:paraId="07C28624"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Energy Industry</w:t>
            </w:r>
          </w:p>
        </w:tc>
        <w:tc>
          <w:tcPr>
            <w:tcW w:w="628" w:type="dxa"/>
            <w:tcBorders>
              <w:top w:val="nil"/>
              <w:left w:val="nil"/>
              <w:bottom w:val="single" w:sz="4" w:space="0" w:color="auto"/>
              <w:right w:val="single" w:sz="4" w:space="0" w:color="auto"/>
            </w:tcBorders>
            <w:shd w:val="clear" w:color="000000" w:fill="DDEBF7"/>
            <w:noWrap/>
            <w:vAlign w:val="bottom"/>
            <w:hideMark/>
          </w:tcPr>
          <w:p w14:paraId="4CA0CAD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78.1</w:t>
            </w:r>
          </w:p>
        </w:tc>
        <w:tc>
          <w:tcPr>
            <w:tcW w:w="628" w:type="dxa"/>
            <w:tcBorders>
              <w:top w:val="nil"/>
              <w:left w:val="nil"/>
              <w:bottom w:val="single" w:sz="4" w:space="0" w:color="auto"/>
              <w:right w:val="single" w:sz="4" w:space="0" w:color="auto"/>
            </w:tcBorders>
            <w:shd w:val="clear" w:color="000000" w:fill="DDEBF7"/>
            <w:noWrap/>
            <w:vAlign w:val="bottom"/>
            <w:hideMark/>
          </w:tcPr>
          <w:p w14:paraId="4F91DFE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79.4</w:t>
            </w:r>
          </w:p>
        </w:tc>
        <w:tc>
          <w:tcPr>
            <w:tcW w:w="628" w:type="dxa"/>
            <w:tcBorders>
              <w:top w:val="nil"/>
              <w:left w:val="nil"/>
              <w:bottom w:val="single" w:sz="4" w:space="0" w:color="auto"/>
              <w:right w:val="single" w:sz="4" w:space="0" w:color="auto"/>
            </w:tcBorders>
            <w:shd w:val="clear" w:color="000000" w:fill="DDEBF7"/>
            <w:noWrap/>
            <w:vAlign w:val="bottom"/>
            <w:hideMark/>
          </w:tcPr>
          <w:p w14:paraId="2A46DC2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80.6</w:t>
            </w:r>
          </w:p>
        </w:tc>
        <w:tc>
          <w:tcPr>
            <w:tcW w:w="628" w:type="dxa"/>
            <w:tcBorders>
              <w:top w:val="nil"/>
              <w:left w:val="nil"/>
              <w:bottom w:val="single" w:sz="4" w:space="0" w:color="auto"/>
              <w:right w:val="single" w:sz="4" w:space="0" w:color="auto"/>
            </w:tcBorders>
            <w:shd w:val="clear" w:color="000000" w:fill="DDEBF7"/>
            <w:noWrap/>
            <w:vAlign w:val="bottom"/>
            <w:hideMark/>
          </w:tcPr>
          <w:p w14:paraId="7B77E7E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68.3</w:t>
            </w:r>
          </w:p>
        </w:tc>
        <w:tc>
          <w:tcPr>
            <w:tcW w:w="628" w:type="dxa"/>
            <w:tcBorders>
              <w:top w:val="nil"/>
              <w:left w:val="nil"/>
              <w:bottom w:val="single" w:sz="4" w:space="0" w:color="auto"/>
              <w:right w:val="single" w:sz="4" w:space="0" w:color="auto"/>
            </w:tcBorders>
            <w:shd w:val="clear" w:color="000000" w:fill="DDEBF7"/>
            <w:noWrap/>
            <w:vAlign w:val="bottom"/>
            <w:hideMark/>
          </w:tcPr>
          <w:p w14:paraId="42097EA9"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65.2</w:t>
            </w:r>
          </w:p>
        </w:tc>
        <w:tc>
          <w:tcPr>
            <w:tcW w:w="628" w:type="dxa"/>
            <w:tcBorders>
              <w:top w:val="nil"/>
              <w:left w:val="nil"/>
              <w:bottom w:val="single" w:sz="4" w:space="0" w:color="auto"/>
              <w:right w:val="single" w:sz="4" w:space="0" w:color="auto"/>
            </w:tcBorders>
            <w:shd w:val="clear" w:color="000000" w:fill="DDEBF7"/>
            <w:noWrap/>
            <w:vAlign w:val="bottom"/>
            <w:hideMark/>
          </w:tcPr>
          <w:p w14:paraId="014CF42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67.8</w:t>
            </w:r>
          </w:p>
        </w:tc>
        <w:tc>
          <w:tcPr>
            <w:tcW w:w="628" w:type="dxa"/>
            <w:tcBorders>
              <w:top w:val="nil"/>
              <w:left w:val="nil"/>
              <w:bottom w:val="single" w:sz="4" w:space="0" w:color="auto"/>
              <w:right w:val="single" w:sz="4" w:space="0" w:color="auto"/>
            </w:tcBorders>
            <w:shd w:val="clear" w:color="000000" w:fill="DDEBF7"/>
            <w:noWrap/>
            <w:vAlign w:val="bottom"/>
            <w:hideMark/>
          </w:tcPr>
          <w:p w14:paraId="003E94E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71.5</w:t>
            </w:r>
          </w:p>
        </w:tc>
        <w:tc>
          <w:tcPr>
            <w:tcW w:w="628" w:type="dxa"/>
            <w:tcBorders>
              <w:top w:val="nil"/>
              <w:left w:val="nil"/>
              <w:bottom w:val="single" w:sz="4" w:space="0" w:color="auto"/>
              <w:right w:val="single" w:sz="4" w:space="0" w:color="auto"/>
            </w:tcBorders>
            <w:shd w:val="clear" w:color="000000" w:fill="DDEBF7"/>
            <w:noWrap/>
            <w:vAlign w:val="bottom"/>
            <w:hideMark/>
          </w:tcPr>
          <w:p w14:paraId="7BE3C9A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67.2</w:t>
            </w:r>
          </w:p>
        </w:tc>
      </w:tr>
      <w:tr w:rsidR="00B56301" w:rsidRPr="00364545" w14:paraId="5AA5765D"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CC74738"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Electricity Production</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2403E75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41.4</w:t>
            </w:r>
          </w:p>
        </w:tc>
        <w:tc>
          <w:tcPr>
            <w:tcW w:w="628" w:type="dxa"/>
            <w:tcBorders>
              <w:top w:val="nil"/>
              <w:left w:val="nil"/>
              <w:bottom w:val="single" w:sz="4" w:space="0" w:color="auto"/>
              <w:right w:val="single" w:sz="4" w:space="0" w:color="auto"/>
            </w:tcBorders>
            <w:shd w:val="clear" w:color="auto" w:fill="auto"/>
            <w:noWrap/>
            <w:vAlign w:val="center"/>
            <w:hideMark/>
          </w:tcPr>
          <w:p w14:paraId="44CDDC3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41.5</w:t>
            </w:r>
          </w:p>
        </w:tc>
        <w:tc>
          <w:tcPr>
            <w:tcW w:w="628" w:type="dxa"/>
            <w:tcBorders>
              <w:top w:val="nil"/>
              <w:left w:val="nil"/>
              <w:bottom w:val="single" w:sz="4" w:space="0" w:color="auto"/>
              <w:right w:val="single" w:sz="4" w:space="0" w:color="auto"/>
            </w:tcBorders>
            <w:shd w:val="clear" w:color="auto" w:fill="auto"/>
            <w:noWrap/>
            <w:vAlign w:val="center"/>
            <w:hideMark/>
          </w:tcPr>
          <w:p w14:paraId="28857F3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42.4</w:t>
            </w:r>
          </w:p>
        </w:tc>
        <w:tc>
          <w:tcPr>
            <w:tcW w:w="628" w:type="dxa"/>
            <w:tcBorders>
              <w:top w:val="nil"/>
              <w:left w:val="nil"/>
              <w:bottom w:val="single" w:sz="4" w:space="0" w:color="auto"/>
              <w:right w:val="single" w:sz="4" w:space="0" w:color="auto"/>
            </w:tcBorders>
            <w:shd w:val="clear" w:color="auto" w:fill="auto"/>
            <w:noWrap/>
            <w:vAlign w:val="center"/>
            <w:hideMark/>
          </w:tcPr>
          <w:p w14:paraId="246D85D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30.1</w:t>
            </w:r>
          </w:p>
        </w:tc>
        <w:tc>
          <w:tcPr>
            <w:tcW w:w="628" w:type="dxa"/>
            <w:tcBorders>
              <w:top w:val="nil"/>
              <w:left w:val="nil"/>
              <w:bottom w:val="single" w:sz="4" w:space="0" w:color="auto"/>
              <w:right w:val="single" w:sz="4" w:space="0" w:color="auto"/>
            </w:tcBorders>
            <w:shd w:val="clear" w:color="auto" w:fill="auto"/>
            <w:noWrap/>
            <w:vAlign w:val="center"/>
            <w:hideMark/>
          </w:tcPr>
          <w:p w14:paraId="18B5744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26.6</w:t>
            </w:r>
          </w:p>
        </w:tc>
        <w:tc>
          <w:tcPr>
            <w:tcW w:w="628" w:type="dxa"/>
            <w:tcBorders>
              <w:top w:val="nil"/>
              <w:left w:val="nil"/>
              <w:bottom w:val="single" w:sz="4" w:space="0" w:color="auto"/>
              <w:right w:val="single" w:sz="4" w:space="0" w:color="auto"/>
            </w:tcBorders>
            <w:shd w:val="clear" w:color="auto" w:fill="auto"/>
            <w:noWrap/>
            <w:vAlign w:val="center"/>
            <w:hideMark/>
          </w:tcPr>
          <w:p w14:paraId="043AD7C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29.2</w:t>
            </w:r>
          </w:p>
        </w:tc>
        <w:tc>
          <w:tcPr>
            <w:tcW w:w="628" w:type="dxa"/>
            <w:tcBorders>
              <w:top w:val="nil"/>
              <w:left w:val="nil"/>
              <w:bottom w:val="single" w:sz="4" w:space="0" w:color="auto"/>
              <w:right w:val="single" w:sz="4" w:space="0" w:color="auto"/>
            </w:tcBorders>
            <w:shd w:val="clear" w:color="auto" w:fill="auto"/>
            <w:noWrap/>
            <w:vAlign w:val="center"/>
            <w:hideMark/>
          </w:tcPr>
          <w:p w14:paraId="6075D80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32.6</w:t>
            </w:r>
          </w:p>
        </w:tc>
        <w:tc>
          <w:tcPr>
            <w:tcW w:w="628" w:type="dxa"/>
            <w:tcBorders>
              <w:top w:val="nil"/>
              <w:left w:val="nil"/>
              <w:bottom w:val="single" w:sz="4" w:space="0" w:color="auto"/>
              <w:right w:val="single" w:sz="4" w:space="0" w:color="auto"/>
            </w:tcBorders>
            <w:shd w:val="clear" w:color="auto" w:fill="auto"/>
            <w:noWrap/>
            <w:vAlign w:val="center"/>
            <w:hideMark/>
          </w:tcPr>
          <w:p w14:paraId="23ED1E0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28.7</w:t>
            </w:r>
          </w:p>
        </w:tc>
      </w:tr>
      <w:tr w:rsidR="00B56301" w:rsidRPr="00364545" w14:paraId="099201FD"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8BAB1B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District Heating</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4D41855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65A520B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6.7</w:t>
            </w:r>
          </w:p>
        </w:tc>
        <w:tc>
          <w:tcPr>
            <w:tcW w:w="628" w:type="dxa"/>
            <w:tcBorders>
              <w:top w:val="nil"/>
              <w:left w:val="nil"/>
              <w:bottom w:val="single" w:sz="4" w:space="0" w:color="auto"/>
              <w:right w:val="single" w:sz="4" w:space="0" w:color="auto"/>
            </w:tcBorders>
            <w:shd w:val="clear" w:color="auto" w:fill="auto"/>
            <w:noWrap/>
            <w:vAlign w:val="center"/>
            <w:hideMark/>
          </w:tcPr>
          <w:p w14:paraId="0AE5CD1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2CFA1B2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11EFEC8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3C50BBB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003E7E2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7.0</w:t>
            </w:r>
          </w:p>
        </w:tc>
        <w:tc>
          <w:tcPr>
            <w:tcW w:w="628" w:type="dxa"/>
            <w:tcBorders>
              <w:top w:val="nil"/>
              <w:left w:val="nil"/>
              <w:bottom w:val="single" w:sz="4" w:space="0" w:color="auto"/>
              <w:right w:val="single" w:sz="4" w:space="0" w:color="auto"/>
            </w:tcBorders>
            <w:shd w:val="clear" w:color="auto" w:fill="auto"/>
            <w:noWrap/>
            <w:vAlign w:val="center"/>
            <w:hideMark/>
          </w:tcPr>
          <w:p w14:paraId="787A5EC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r>
      <w:tr w:rsidR="00B56301" w:rsidRPr="00364545" w14:paraId="5F030D79"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4162E9C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Oil Refining</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AAE565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15.3</w:t>
            </w:r>
          </w:p>
        </w:tc>
        <w:tc>
          <w:tcPr>
            <w:tcW w:w="628" w:type="dxa"/>
            <w:tcBorders>
              <w:top w:val="nil"/>
              <w:left w:val="nil"/>
              <w:bottom w:val="single" w:sz="4" w:space="0" w:color="auto"/>
              <w:right w:val="single" w:sz="4" w:space="0" w:color="auto"/>
            </w:tcBorders>
            <w:shd w:val="clear" w:color="auto" w:fill="auto"/>
            <w:noWrap/>
            <w:vAlign w:val="center"/>
            <w:hideMark/>
          </w:tcPr>
          <w:p w14:paraId="5D3367E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15.5</w:t>
            </w:r>
          </w:p>
        </w:tc>
        <w:tc>
          <w:tcPr>
            <w:tcW w:w="628" w:type="dxa"/>
            <w:tcBorders>
              <w:top w:val="nil"/>
              <w:left w:val="nil"/>
              <w:bottom w:val="single" w:sz="4" w:space="0" w:color="auto"/>
              <w:right w:val="single" w:sz="4" w:space="0" w:color="auto"/>
            </w:tcBorders>
            <w:shd w:val="clear" w:color="auto" w:fill="auto"/>
            <w:noWrap/>
            <w:vAlign w:val="center"/>
            <w:hideMark/>
          </w:tcPr>
          <w:p w14:paraId="1824EA8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15.7</w:t>
            </w:r>
          </w:p>
        </w:tc>
        <w:tc>
          <w:tcPr>
            <w:tcW w:w="628" w:type="dxa"/>
            <w:tcBorders>
              <w:top w:val="nil"/>
              <w:left w:val="nil"/>
              <w:bottom w:val="single" w:sz="4" w:space="0" w:color="auto"/>
              <w:right w:val="single" w:sz="4" w:space="0" w:color="auto"/>
            </w:tcBorders>
            <w:shd w:val="clear" w:color="auto" w:fill="auto"/>
            <w:noWrap/>
            <w:vAlign w:val="center"/>
            <w:hideMark/>
          </w:tcPr>
          <w:p w14:paraId="5B45CA9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15.7</w:t>
            </w:r>
          </w:p>
        </w:tc>
        <w:tc>
          <w:tcPr>
            <w:tcW w:w="628" w:type="dxa"/>
            <w:tcBorders>
              <w:top w:val="nil"/>
              <w:left w:val="nil"/>
              <w:bottom w:val="single" w:sz="4" w:space="0" w:color="auto"/>
              <w:right w:val="single" w:sz="4" w:space="0" w:color="auto"/>
            </w:tcBorders>
            <w:shd w:val="clear" w:color="auto" w:fill="auto"/>
            <w:noWrap/>
            <w:vAlign w:val="center"/>
            <w:hideMark/>
          </w:tcPr>
          <w:p w14:paraId="1F7A716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16.4</w:t>
            </w:r>
          </w:p>
        </w:tc>
        <w:tc>
          <w:tcPr>
            <w:tcW w:w="628" w:type="dxa"/>
            <w:tcBorders>
              <w:top w:val="nil"/>
              <w:left w:val="nil"/>
              <w:bottom w:val="single" w:sz="4" w:space="0" w:color="auto"/>
              <w:right w:val="single" w:sz="4" w:space="0" w:color="auto"/>
            </w:tcBorders>
            <w:shd w:val="clear" w:color="auto" w:fill="auto"/>
            <w:noWrap/>
            <w:vAlign w:val="center"/>
            <w:hideMark/>
          </w:tcPr>
          <w:p w14:paraId="375E49A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16.5</w:t>
            </w:r>
          </w:p>
        </w:tc>
        <w:tc>
          <w:tcPr>
            <w:tcW w:w="628" w:type="dxa"/>
            <w:tcBorders>
              <w:top w:val="nil"/>
              <w:left w:val="nil"/>
              <w:bottom w:val="single" w:sz="4" w:space="0" w:color="auto"/>
              <w:right w:val="single" w:sz="4" w:space="0" w:color="auto"/>
            </w:tcBorders>
            <w:shd w:val="clear" w:color="auto" w:fill="auto"/>
            <w:noWrap/>
            <w:vAlign w:val="center"/>
            <w:hideMark/>
          </w:tcPr>
          <w:p w14:paraId="373B4F9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17.3</w:t>
            </w:r>
          </w:p>
        </w:tc>
        <w:tc>
          <w:tcPr>
            <w:tcW w:w="628" w:type="dxa"/>
            <w:tcBorders>
              <w:top w:val="nil"/>
              <w:left w:val="nil"/>
              <w:bottom w:val="single" w:sz="4" w:space="0" w:color="auto"/>
              <w:right w:val="single" w:sz="4" w:space="0" w:color="auto"/>
            </w:tcBorders>
            <w:shd w:val="clear" w:color="auto" w:fill="auto"/>
            <w:noWrap/>
            <w:vAlign w:val="center"/>
            <w:hideMark/>
          </w:tcPr>
          <w:p w14:paraId="79697D9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18.1</w:t>
            </w:r>
          </w:p>
        </w:tc>
      </w:tr>
      <w:tr w:rsidR="00B56301" w:rsidRPr="00364545" w14:paraId="2B9AA049"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328C71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Conversion of Solid Combustible Minerals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1E6A283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69960A5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3C1895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161B43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2EF0EB0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6B7595D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1902C7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1AA79F6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w:t>
            </w:r>
          </w:p>
        </w:tc>
      </w:tr>
      <w:tr w:rsidR="00B56301" w:rsidRPr="00364545" w14:paraId="49D27BDF"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6603EC0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solids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F81DA4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739E94B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w:t>
            </w:r>
          </w:p>
        </w:tc>
        <w:tc>
          <w:tcPr>
            <w:tcW w:w="628" w:type="dxa"/>
            <w:tcBorders>
              <w:top w:val="nil"/>
              <w:left w:val="nil"/>
              <w:bottom w:val="single" w:sz="4" w:space="0" w:color="auto"/>
              <w:right w:val="single" w:sz="4" w:space="0" w:color="auto"/>
            </w:tcBorders>
            <w:shd w:val="clear" w:color="auto" w:fill="auto"/>
            <w:noWrap/>
            <w:vAlign w:val="center"/>
            <w:hideMark/>
          </w:tcPr>
          <w:p w14:paraId="25BB93D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28242A1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0E6EFBD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52C1026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518647A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2778369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r>
      <w:tr w:rsidR="00B56301" w:rsidRPr="00364545" w14:paraId="3105B320"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2AE6E504"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liquids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6EC9D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6E620EA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42DA46C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4ADA668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379D581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2A4A140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76EFDD1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center"/>
            <w:hideMark/>
          </w:tcPr>
          <w:p w14:paraId="6B016ED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r>
      <w:tr w:rsidR="00B56301" w:rsidRPr="00364545" w14:paraId="3AC653FD"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42B5B30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gases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4FA3178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3ECA37B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6EC723C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w:t>
            </w:r>
          </w:p>
        </w:tc>
        <w:tc>
          <w:tcPr>
            <w:tcW w:w="628" w:type="dxa"/>
            <w:tcBorders>
              <w:top w:val="nil"/>
              <w:left w:val="nil"/>
              <w:bottom w:val="single" w:sz="4" w:space="0" w:color="auto"/>
              <w:right w:val="single" w:sz="4" w:space="0" w:color="auto"/>
            </w:tcBorders>
            <w:shd w:val="clear" w:color="auto" w:fill="auto"/>
            <w:noWrap/>
            <w:vAlign w:val="center"/>
            <w:hideMark/>
          </w:tcPr>
          <w:p w14:paraId="68B4055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5D3D030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w:t>
            </w:r>
          </w:p>
        </w:tc>
        <w:tc>
          <w:tcPr>
            <w:tcW w:w="628" w:type="dxa"/>
            <w:tcBorders>
              <w:top w:val="nil"/>
              <w:left w:val="nil"/>
              <w:bottom w:val="single" w:sz="4" w:space="0" w:color="auto"/>
              <w:right w:val="single" w:sz="4" w:space="0" w:color="auto"/>
            </w:tcBorders>
            <w:shd w:val="clear" w:color="auto" w:fill="auto"/>
            <w:noWrap/>
            <w:vAlign w:val="center"/>
            <w:hideMark/>
          </w:tcPr>
          <w:p w14:paraId="08A97D5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6939E7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6D6AF1A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r>
      <w:tr w:rsidR="00B56301" w:rsidRPr="00364545" w14:paraId="557CD23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6590D82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Charcoal making by carbonisation</w:t>
            </w:r>
          </w:p>
        </w:tc>
        <w:tc>
          <w:tcPr>
            <w:tcW w:w="628" w:type="dxa"/>
            <w:tcBorders>
              <w:top w:val="nil"/>
              <w:left w:val="nil"/>
              <w:bottom w:val="single" w:sz="4" w:space="0" w:color="auto"/>
              <w:right w:val="single" w:sz="4" w:space="0" w:color="auto"/>
            </w:tcBorders>
            <w:shd w:val="clear" w:color="auto" w:fill="auto"/>
            <w:noWrap/>
            <w:vAlign w:val="center"/>
            <w:hideMark/>
          </w:tcPr>
          <w:p w14:paraId="00C1B98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2F608B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3BA1F1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6469D7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7E12B42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E95BCD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17A765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21BF46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10D3C3A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309A436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Use of waste as an energy source</w:t>
            </w:r>
          </w:p>
        </w:tc>
        <w:tc>
          <w:tcPr>
            <w:tcW w:w="628" w:type="dxa"/>
            <w:tcBorders>
              <w:top w:val="nil"/>
              <w:left w:val="nil"/>
              <w:bottom w:val="single" w:sz="4" w:space="0" w:color="auto"/>
              <w:right w:val="single" w:sz="4" w:space="0" w:color="auto"/>
            </w:tcBorders>
            <w:shd w:val="clear" w:color="auto" w:fill="auto"/>
            <w:noWrap/>
            <w:vAlign w:val="center"/>
            <w:hideMark/>
          </w:tcPr>
          <w:p w14:paraId="2919A19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5757D98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041873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4CEDC53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58B2ABB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597246D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1013E11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65AF4AC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r>
      <w:tr w:rsidR="00B56301" w:rsidRPr="00364545" w14:paraId="78F66E2F" w14:textId="77777777" w:rsidTr="00B37B65">
        <w:trPr>
          <w:trHeight w:val="68"/>
          <w:jc w:val="center"/>
        </w:trPr>
        <w:tc>
          <w:tcPr>
            <w:tcW w:w="5680" w:type="dxa"/>
            <w:tcBorders>
              <w:top w:val="nil"/>
              <w:left w:val="nil"/>
              <w:bottom w:val="nil"/>
              <w:right w:val="nil"/>
            </w:tcBorders>
            <w:shd w:val="clear" w:color="000000" w:fill="0070C0"/>
            <w:noWrap/>
            <w:vAlign w:val="bottom"/>
            <w:hideMark/>
          </w:tcPr>
          <w:p w14:paraId="27069D77"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Manufacturing and construction</w:t>
            </w:r>
          </w:p>
        </w:tc>
        <w:tc>
          <w:tcPr>
            <w:tcW w:w="628" w:type="dxa"/>
            <w:tcBorders>
              <w:top w:val="nil"/>
              <w:left w:val="single" w:sz="4" w:space="0" w:color="auto"/>
              <w:bottom w:val="single" w:sz="4" w:space="0" w:color="auto"/>
              <w:right w:val="single" w:sz="4" w:space="0" w:color="auto"/>
            </w:tcBorders>
            <w:shd w:val="clear" w:color="000000" w:fill="0070C0"/>
            <w:noWrap/>
            <w:vAlign w:val="bottom"/>
            <w:hideMark/>
          </w:tcPr>
          <w:p w14:paraId="43D39AFF"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142.8</w:t>
            </w:r>
          </w:p>
        </w:tc>
        <w:tc>
          <w:tcPr>
            <w:tcW w:w="628" w:type="dxa"/>
            <w:tcBorders>
              <w:top w:val="nil"/>
              <w:left w:val="nil"/>
              <w:bottom w:val="single" w:sz="4" w:space="0" w:color="auto"/>
              <w:right w:val="single" w:sz="4" w:space="0" w:color="auto"/>
            </w:tcBorders>
            <w:shd w:val="clear" w:color="000000" w:fill="0070C0"/>
            <w:noWrap/>
            <w:vAlign w:val="bottom"/>
            <w:hideMark/>
          </w:tcPr>
          <w:p w14:paraId="27EE0E64"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155.4</w:t>
            </w:r>
          </w:p>
        </w:tc>
        <w:tc>
          <w:tcPr>
            <w:tcW w:w="628" w:type="dxa"/>
            <w:tcBorders>
              <w:top w:val="nil"/>
              <w:left w:val="nil"/>
              <w:bottom w:val="single" w:sz="4" w:space="0" w:color="auto"/>
              <w:right w:val="single" w:sz="4" w:space="0" w:color="auto"/>
            </w:tcBorders>
            <w:shd w:val="clear" w:color="000000" w:fill="0070C0"/>
            <w:noWrap/>
            <w:vAlign w:val="bottom"/>
            <w:hideMark/>
          </w:tcPr>
          <w:p w14:paraId="72AADF6D"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143.4</w:t>
            </w:r>
          </w:p>
        </w:tc>
        <w:tc>
          <w:tcPr>
            <w:tcW w:w="628" w:type="dxa"/>
            <w:tcBorders>
              <w:top w:val="nil"/>
              <w:left w:val="nil"/>
              <w:bottom w:val="single" w:sz="4" w:space="0" w:color="auto"/>
              <w:right w:val="single" w:sz="4" w:space="0" w:color="auto"/>
            </w:tcBorders>
            <w:shd w:val="clear" w:color="000000" w:fill="0070C0"/>
            <w:noWrap/>
            <w:vAlign w:val="bottom"/>
            <w:hideMark/>
          </w:tcPr>
          <w:p w14:paraId="204A5548"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138.4</w:t>
            </w:r>
          </w:p>
        </w:tc>
        <w:tc>
          <w:tcPr>
            <w:tcW w:w="628" w:type="dxa"/>
            <w:tcBorders>
              <w:top w:val="nil"/>
              <w:left w:val="nil"/>
              <w:bottom w:val="single" w:sz="4" w:space="0" w:color="auto"/>
              <w:right w:val="single" w:sz="4" w:space="0" w:color="auto"/>
            </w:tcBorders>
            <w:shd w:val="clear" w:color="000000" w:fill="0070C0"/>
            <w:noWrap/>
            <w:vAlign w:val="bottom"/>
            <w:hideMark/>
          </w:tcPr>
          <w:p w14:paraId="5EB66839"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139.2</w:t>
            </w:r>
          </w:p>
        </w:tc>
        <w:tc>
          <w:tcPr>
            <w:tcW w:w="628" w:type="dxa"/>
            <w:tcBorders>
              <w:top w:val="nil"/>
              <w:left w:val="nil"/>
              <w:bottom w:val="single" w:sz="4" w:space="0" w:color="auto"/>
              <w:right w:val="single" w:sz="4" w:space="0" w:color="auto"/>
            </w:tcBorders>
            <w:shd w:val="clear" w:color="000000" w:fill="0070C0"/>
            <w:noWrap/>
            <w:vAlign w:val="bottom"/>
            <w:hideMark/>
          </w:tcPr>
          <w:p w14:paraId="16C92DF9"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139.5</w:t>
            </w:r>
          </w:p>
        </w:tc>
        <w:tc>
          <w:tcPr>
            <w:tcW w:w="628" w:type="dxa"/>
            <w:tcBorders>
              <w:top w:val="nil"/>
              <w:left w:val="nil"/>
              <w:bottom w:val="single" w:sz="4" w:space="0" w:color="auto"/>
              <w:right w:val="single" w:sz="4" w:space="0" w:color="auto"/>
            </w:tcBorders>
            <w:shd w:val="clear" w:color="000000" w:fill="0070C0"/>
            <w:noWrap/>
            <w:vAlign w:val="bottom"/>
            <w:hideMark/>
          </w:tcPr>
          <w:p w14:paraId="3EF56613"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141.8</w:t>
            </w:r>
          </w:p>
        </w:tc>
        <w:tc>
          <w:tcPr>
            <w:tcW w:w="628" w:type="dxa"/>
            <w:tcBorders>
              <w:top w:val="nil"/>
              <w:left w:val="nil"/>
              <w:bottom w:val="single" w:sz="4" w:space="0" w:color="auto"/>
              <w:right w:val="single" w:sz="4" w:space="0" w:color="auto"/>
            </w:tcBorders>
            <w:shd w:val="clear" w:color="000000" w:fill="0070C0"/>
            <w:noWrap/>
            <w:vAlign w:val="bottom"/>
            <w:hideMark/>
          </w:tcPr>
          <w:p w14:paraId="6759BEB7"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140.5</w:t>
            </w:r>
          </w:p>
        </w:tc>
      </w:tr>
      <w:tr w:rsidR="00B56301" w:rsidRPr="00364545" w14:paraId="76BA349F"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EDFD02"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Chemistry</w:t>
            </w:r>
          </w:p>
        </w:tc>
        <w:tc>
          <w:tcPr>
            <w:tcW w:w="628" w:type="dxa"/>
            <w:tcBorders>
              <w:top w:val="nil"/>
              <w:left w:val="nil"/>
              <w:bottom w:val="single" w:sz="4" w:space="0" w:color="auto"/>
              <w:right w:val="single" w:sz="4" w:space="0" w:color="auto"/>
            </w:tcBorders>
            <w:shd w:val="clear" w:color="auto" w:fill="auto"/>
            <w:noWrap/>
            <w:vAlign w:val="center"/>
            <w:hideMark/>
          </w:tcPr>
          <w:p w14:paraId="650FF9F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52.7</w:t>
            </w:r>
          </w:p>
        </w:tc>
        <w:tc>
          <w:tcPr>
            <w:tcW w:w="628" w:type="dxa"/>
            <w:tcBorders>
              <w:top w:val="nil"/>
              <w:left w:val="nil"/>
              <w:bottom w:val="single" w:sz="4" w:space="0" w:color="auto"/>
              <w:right w:val="single" w:sz="4" w:space="0" w:color="auto"/>
            </w:tcBorders>
            <w:shd w:val="clear" w:color="auto" w:fill="auto"/>
            <w:noWrap/>
            <w:vAlign w:val="center"/>
            <w:hideMark/>
          </w:tcPr>
          <w:p w14:paraId="30F6249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57.8</w:t>
            </w:r>
          </w:p>
        </w:tc>
        <w:tc>
          <w:tcPr>
            <w:tcW w:w="628" w:type="dxa"/>
            <w:tcBorders>
              <w:top w:val="nil"/>
              <w:left w:val="nil"/>
              <w:bottom w:val="single" w:sz="4" w:space="0" w:color="auto"/>
              <w:right w:val="single" w:sz="4" w:space="0" w:color="auto"/>
            </w:tcBorders>
            <w:shd w:val="clear" w:color="auto" w:fill="auto"/>
            <w:noWrap/>
            <w:vAlign w:val="center"/>
            <w:hideMark/>
          </w:tcPr>
          <w:p w14:paraId="6DE6B23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54.8</w:t>
            </w:r>
          </w:p>
        </w:tc>
        <w:tc>
          <w:tcPr>
            <w:tcW w:w="628" w:type="dxa"/>
            <w:tcBorders>
              <w:top w:val="nil"/>
              <w:left w:val="nil"/>
              <w:bottom w:val="single" w:sz="4" w:space="0" w:color="auto"/>
              <w:right w:val="single" w:sz="4" w:space="0" w:color="auto"/>
            </w:tcBorders>
            <w:shd w:val="clear" w:color="auto" w:fill="auto"/>
            <w:noWrap/>
            <w:vAlign w:val="center"/>
            <w:hideMark/>
          </w:tcPr>
          <w:p w14:paraId="464F970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53.0</w:t>
            </w:r>
          </w:p>
        </w:tc>
        <w:tc>
          <w:tcPr>
            <w:tcW w:w="628" w:type="dxa"/>
            <w:tcBorders>
              <w:top w:val="nil"/>
              <w:left w:val="nil"/>
              <w:bottom w:val="single" w:sz="4" w:space="0" w:color="auto"/>
              <w:right w:val="single" w:sz="4" w:space="0" w:color="auto"/>
            </w:tcBorders>
            <w:shd w:val="clear" w:color="auto" w:fill="auto"/>
            <w:noWrap/>
            <w:vAlign w:val="center"/>
            <w:hideMark/>
          </w:tcPr>
          <w:p w14:paraId="766210C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54.6</w:t>
            </w:r>
          </w:p>
        </w:tc>
        <w:tc>
          <w:tcPr>
            <w:tcW w:w="628" w:type="dxa"/>
            <w:tcBorders>
              <w:top w:val="nil"/>
              <w:left w:val="nil"/>
              <w:bottom w:val="single" w:sz="4" w:space="0" w:color="auto"/>
              <w:right w:val="single" w:sz="4" w:space="0" w:color="auto"/>
            </w:tcBorders>
            <w:shd w:val="clear" w:color="auto" w:fill="auto"/>
            <w:noWrap/>
            <w:vAlign w:val="center"/>
            <w:hideMark/>
          </w:tcPr>
          <w:p w14:paraId="2B2B95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54.1</w:t>
            </w:r>
          </w:p>
        </w:tc>
        <w:tc>
          <w:tcPr>
            <w:tcW w:w="628" w:type="dxa"/>
            <w:tcBorders>
              <w:top w:val="nil"/>
              <w:left w:val="nil"/>
              <w:bottom w:val="single" w:sz="4" w:space="0" w:color="auto"/>
              <w:right w:val="single" w:sz="4" w:space="0" w:color="auto"/>
            </w:tcBorders>
            <w:shd w:val="clear" w:color="auto" w:fill="auto"/>
            <w:noWrap/>
            <w:vAlign w:val="center"/>
            <w:hideMark/>
          </w:tcPr>
          <w:p w14:paraId="4207311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56.1</w:t>
            </w:r>
          </w:p>
        </w:tc>
        <w:tc>
          <w:tcPr>
            <w:tcW w:w="628" w:type="dxa"/>
            <w:tcBorders>
              <w:top w:val="nil"/>
              <w:left w:val="nil"/>
              <w:bottom w:val="single" w:sz="4" w:space="0" w:color="auto"/>
              <w:right w:val="single" w:sz="4" w:space="0" w:color="auto"/>
            </w:tcBorders>
            <w:shd w:val="clear" w:color="auto" w:fill="auto"/>
            <w:noWrap/>
            <w:vAlign w:val="center"/>
            <w:hideMark/>
          </w:tcPr>
          <w:p w14:paraId="28F269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55.7</w:t>
            </w:r>
          </w:p>
        </w:tc>
      </w:tr>
      <w:tr w:rsidR="00B56301" w:rsidRPr="00364545" w14:paraId="600AA9F6"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0819DF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6795DD4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7B56D0B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4C93151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419BF36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16D4D80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7E6FA3A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1BE6698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716C3A6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r>
      <w:tr w:rsidR="00B56301" w:rsidRPr="00364545" w14:paraId="4BFB0E4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427231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Transport materials and facilities</w:t>
            </w:r>
          </w:p>
        </w:tc>
        <w:tc>
          <w:tcPr>
            <w:tcW w:w="628" w:type="dxa"/>
            <w:tcBorders>
              <w:top w:val="nil"/>
              <w:left w:val="nil"/>
              <w:bottom w:val="single" w:sz="4" w:space="0" w:color="auto"/>
              <w:right w:val="single" w:sz="4" w:space="0" w:color="auto"/>
            </w:tcBorders>
            <w:shd w:val="clear" w:color="auto" w:fill="auto"/>
            <w:noWrap/>
            <w:vAlign w:val="center"/>
            <w:hideMark/>
          </w:tcPr>
          <w:p w14:paraId="3C7A630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3E35E16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5.9</w:t>
            </w:r>
          </w:p>
        </w:tc>
        <w:tc>
          <w:tcPr>
            <w:tcW w:w="628" w:type="dxa"/>
            <w:tcBorders>
              <w:top w:val="nil"/>
              <w:left w:val="nil"/>
              <w:bottom w:val="single" w:sz="4" w:space="0" w:color="auto"/>
              <w:right w:val="single" w:sz="4" w:space="0" w:color="auto"/>
            </w:tcBorders>
            <w:shd w:val="clear" w:color="auto" w:fill="auto"/>
            <w:noWrap/>
            <w:vAlign w:val="center"/>
            <w:hideMark/>
          </w:tcPr>
          <w:p w14:paraId="341603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5.6</w:t>
            </w:r>
          </w:p>
        </w:tc>
        <w:tc>
          <w:tcPr>
            <w:tcW w:w="628" w:type="dxa"/>
            <w:tcBorders>
              <w:top w:val="nil"/>
              <w:left w:val="nil"/>
              <w:bottom w:val="single" w:sz="4" w:space="0" w:color="auto"/>
              <w:right w:val="single" w:sz="4" w:space="0" w:color="auto"/>
            </w:tcBorders>
            <w:shd w:val="clear" w:color="auto" w:fill="auto"/>
            <w:noWrap/>
            <w:vAlign w:val="center"/>
            <w:hideMark/>
          </w:tcPr>
          <w:p w14:paraId="4B890EE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640E097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5.6</w:t>
            </w:r>
          </w:p>
        </w:tc>
        <w:tc>
          <w:tcPr>
            <w:tcW w:w="628" w:type="dxa"/>
            <w:tcBorders>
              <w:top w:val="nil"/>
              <w:left w:val="nil"/>
              <w:bottom w:val="single" w:sz="4" w:space="0" w:color="auto"/>
              <w:right w:val="single" w:sz="4" w:space="0" w:color="auto"/>
            </w:tcBorders>
            <w:shd w:val="clear" w:color="auto" w:fill="auto"/>
            <w:noWrap/>
            <w:vAlign w:val="center"/>
            <w:hideMark/>
          </w:tcPr>
          <w:p w14:paraId="098DE7A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23FBFD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w:t>
            </w:r>
          </w:p>
        </w:tc>
        <w:tc>
          <w:tcPr>
            <w:tcW w:w="628" w:type="dxa"/>
            <w:tcBorders>
              <w:top w:val="nil"/>
              <w:left w:val="nil"/>
              <w:bottom w:val="single" w:sz="4" w:space="0" w:color="auto"/>
              <w:right w:val="single" w:sz="4" w:space="0" w:color="auto"/>
            </w:tcBorders>
            <w:shd w:val="clear" w:color="auto" w:fill="auto"/>
            <w:noWrap/>
            <w:vAlign w:val="center"/>
            <w:hideMark/>
          </w:tcPr>
          <w:p w14:paraId="153FCF2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6.3</w:t>
            </w:r>
          </w:p>
        </w:tc>
      </w:tr>
      <w:tr w:rsidR="00B56301" w:rsidRPr="00364545" w14:paraId="7301C16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960282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Agri-foodstuffs</w:t>
            </w:r>
          </w:p>
        </w:tc>
        <w:tc>
          <w:tcPr>
            <w:tcW w:w="628" w:type="dxa"/>
            <w:tcBorders>
              <w:top w:val="nil"/>
              <w:left w:val="nil"/>
              <w:bottom w:val="single" w:sz="4" w:space="0" w:color="auto"/>
              <w:right w:val="single" w:sz="4" w:space="0" w:color="auto"/>
            </w:tcBorders>
            <w:shd w:val="clear" w:color="auto" w:fill="auto"/>
            <w:noWrap/>
            <w:vAlign w:val="center"/>
            <w:hideMark/>
          </w:tcPr>
          <w:p w14:paraId="78F0BF3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8.7</w:t>
            </w:r>
          </w:p>
        </w:tc>
        <w:tc>
          <w:tcPr>
            <w:tcW w:w="628" w:type="dxa"/>
            <w:tcBorders>
              <w:top w:val="nil"/>
              <w:left w:val="nil"/>
              <w:bottom w:val="single" w:sz="4" w:space="0" w:color="auto"/>
              <w:right w:val="single" w:sz="4" w:space="0" w:color="auto"/>
            </w:tcBorders>
            <w:shd w:val="clear" w:color="auto" w:fill="auto"/>
            <w:noWrap/>
            <w:vAlign w:val="center"/>
            <w:hideMark/>
          </w:tcPr>
          <w:p w14:paraId="46E3E45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10.6</w:t>
            </w:r>
          </w:p>
        </w:tc>
        <w:tc>
          <w:tcPr>
            <w:tcW w:w="628" w:type="dxa"/>
            <w:tcBorders>
              <w:top w:val="nil"/>
              <w:left w:val="nil"/>
              <w:bottom w:val="single" w:sz="4" w:space="0" w:color="auto"/>
              <w:right w:val="single" w:sz="4" w:space="0" w:color="auto"/>
            </w:tcBorders>
            <w:shd w:val="clear" w:color="auto" w:fill="auto"/>
            <w:noWrap/>
            <w:vAlign w:val="center"/>
            <w:hideMark/>
          </w:tcPr>
          <w:p w14:paraId="2FBC9FB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9.7</w:t>
            </w:r>
          </w:p>
        </w:tc>
        <w:tc>
          <w:tcPr>
            <w:tcW w:w="628" w:type="dxa"/>
            <w:tcBorders>
              <w:top w:val="nil"/>
              <w:left w:val="nil"/>
              <w:bottom w:val="single" w:sz="4" w:space="0" w:color="auto"/>
              <w:right w:val="single" w:sz="4" w:space="0" w:color="auto"/>
            </w:tcBorders>
            <w:shd w:val="clear" w:color="auto" w:fill="auto"/>
            <w:noWrap/>
            <w:vAlign w:val="center"/>
            <w:hideMark/>
          </w:tcPr>
          <w:p w14:paraId="7248512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10.1</w:t>
            </w:r>
          </w:p>
        </w:tc>
        <w:tc>
          <w:tcPr>
            <w:tcW w:w="628" w:type="dxa"/>
            <w:tcBorders>
              <w:top w:val="nil"/>
              <w:left w:val="nil"/>
              <w:bottom w:val="single" w:sz="4" w:space="0" w:color="auto"/>
              <w:right w:val="single" w:sz="4" w:space="0" w:color="auto"/>
            </w:tcBorders>
            <w:shd w:val="clear" w:color="auto" w:fill="auto"/>
            <w:noWrap/>
            <w:vAlign w:val="center"/>
            <w:hideMark/>
          </w:tcPr>
          <w:p w14:paraId="5B5F047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10.1</w:t>
            </w:r>
          </w:p>
        </w:tc>
        <w:tc>
          <w:tcPr>
            <w:tcW w:w="628" w:type="dxa"/>
            <w:tcBorders>
              <w:top w:val="nil"/>
              <w:left w:val="nil"/>
              <w:bottom w:val="single" w:sz="4" w:space="0" w:color="auto"/>
              <w:right w:val="single" w:sz="4" w:space="0" w:color="auto"/>
            </w:tcBorders>
            <w:shd w:val="clear" w:color="auto" w:fill="auto"/>
            <w:noWrap/>
            <w:vAlign w:val="center"/>
            <w:hideMark/>
          </w:tcPr>
          <w:p w14:paraId="673A157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10.9</w:t>
            </w:r>
          </w:p>
        </w:tc>
        <w:tc>
          <w:tcPr>
            <w:tcW w:w="628" w:type="dxa"/>
            <w:tcBorders>
              <w:top w:val="nil"/>
              <w:left w:val="nil"/>
              <w:bottom w:val="single" w:sz="4" w:space="0" w:color="auto"/>
              <w:right w:val="single" w:sz="4" w:space="0" w:color="auto"/>
            </w:tcBorders>
            <w:shd w:val="clear" w:color="auto" w:fill="auto"/>
            <w:noWrap/>
            <w:vAlign w:val="center"/>
            <w:hideMark/>
          </w:tcPr>
          <w:p w14:paraId="3A56CC8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10.8</w:t>
            </w:r>
          </w:p>
        </w:tc>
        <w:tc>
          <w:tcPr>
            <w:tcW w:w="628" w:type="dxa"/>
            <w:tcBorders>
              <w:top w:val="nil"/>
              <w:left w:val="nil"/>
              <w:bottom w:val="single" w:sz="4" w:space="0" w:color="auto"/>
              <w:right w:val="single" w:sz="4" w:space="0" w:color="auto"/>
            </w:tcBorders>
            <w:shd w:val="clear" w:color="auto" w:fill="auto"/>
            <w:noWrap/>
            <w:vAlign w:val="center"/>
            <w:hideMark/>
          </w:tcPr>
          <w:p w14:paraId="2EF11D6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10.7</w:t>
            </w:r>
          </w:p>
        </w:tc>
      </w:tr>
      <w:tr w:rsidR="00B56301" w:rsidRPr="00364545" w14:paraId="3B69F39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5653CC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Ferrous metal metallurgy</w:t>
            </w:r>
          </w:p>
        </w:tc>
        <w:tc>
          <w:tcPr>
            <w:tcW w:w="628" w:type="dxa"/>
            <w:tcBorders>
              <w:top w:val="nil"/>
              <w:left w:val="nil"/>
              <w:bottom w:val="single" w:sz="4" w:space="0" w:color="auto"/>
              <w:right w:val="single" w:sz="4" w:space="0" w:color="auto"/>
            </w:tcBorders>
            <w:shd w:val="clear" w:color="auto" w:fill="auto"/>
            <w:noWrap/>
            <w:vAlign w:val="center"/>
            <w:hideMark/>
          </w:tcPr>
          <w:p w14:paraId="37D84B5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25.3</w:t>
            </w:r>
          </w:p>
        </w:tc>
        <w:tc>
          <w:tcPr>
            <w:tcW w:w="628" w:type="dxa"/>
            <w:tcBorders>
              <w:top w:val="nil"/>
              <w:left w:val="nil"/>
              <w:bottom w:val="single" w:sz="4" w:space="0" w:color="auto"/>
              <w:right w:val="single" w:sz="4" w:space="0" w:color="auto"/>
            </w:tcBorders>
            <w:shd w:val="clear" w:color="auto" w:fill="auto"/>
            <w:noWrap/>
            <w:vAlign w:val="center"/>
            <w:hideMark/>
          </w:tcPr>
          <w:p w14:paraId="7FD0492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25.3</w:t>
            </w:r>
          </w:p>
        </w:tc>
        <w:tc>
          <w:tcPr>
            <w:tcW w:w="628" w:type="dxa"/>
            <w:tcBorders>
              <w:top w:val="nil"/>
              <w:left w:val="nil"/>
              <w:bottom w:val="single" w:sz="4" w:space="0" w:color="auto"/>
              <w:right w:val="single" w:sz="4" w:space="0" w:color="auto"/>
            </w:tcBorders>
            <w:shd w:val="clear" w:color="auto" w:fill="auto"/>
            <w:noWrap/>
            <w:vAlign w:val="center"/>
            <w:hideMark/>
          </w:tcPr>
          <w:p w14:paraId="7492A47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23.9</w:t>
            </w:r>
          </w:p>
        </w:tc>
        <w:tc>
          <w:tcPr>
            <w:tcW w:w="628" w:type="dxa"/>
            <w:tcBorders>
              <w:top w:val="nil"/>
              <w:left w:val="nil"/>
              <w:bottom w:val="single" w:sz="4" w:space="0" w:color="auto"/>
              <w:right w:val="single" w:sz="4" w:space="0" w:color="auto"/>
            </w:tcBorders>
            <w:shd w:val="clear" w:color="auto" w:fill="auto"/>
            <w:noWrap/>
            <w:vAlign w:val="center"/>
            <w:hideMark/>
          </w:tcPr>
          <w:p w14:paraId="38BB966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23.1</w:t>
            </w:r>
          </w:p>
        </w:tc>
        <w:tc>
          <w:tcPr>
            <w:tcW w:w="628" w:type="dxa"/>
            <w:tcBorders>
              <w:top w:val="nil"/>
              <w:left w:val="nil"/>
              <w:bottom w:val="single" w:sz="4" w:space="0" w:color="auto"/>
              <w:right w:val="single" w:sz="4" w:space="0" w:color="auto"/>
            </w:tcBorders>
            <w:shd w:val="clear" w:color="auto" w:fill="auto"/>
            <w:noWrap/>
            <w:vAlign w:val="center"/>
            <w:hideMark/>
          </w:tcPr>
          <w:p w14:paraId="0F87054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22.8</w:t>
            </w:r>
          </w:p>
        </w:tc>
        <w:tc>
          <w:tcPr>
            <w:tcW w:w="628" w:type="dxa"/>
            <w:tcBorders>
              <w:top w:val="nil"/>
              <w:left w:val="nil"/>
              <w:bottom w:val="single" w:sz="4" w:space="0" w:color="auto"/>
              <w:right w:val="single" w:sz="4" w:space="0" w:color="auto"/>
            </w:tcBorders>
            <w:shd w:val="clear" w:color="auto" w:fill="auto"/>
            <w:noWrap/>
            <w:vAlign w:val="center"/>
            <w:hideMark/>
          </w:tcPr>
          <w:p w14:paraId="49E15BC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21.9</w:t>
            </w:r>
          </w:p>
        </w:tc>
        <w:tc>
          <w:tcPr>
            <w:tcW w:w="628" w:type="dxa"/>
            <w:tcBorders>
              <w:top w:val="nil"/>
              <w:left w:val="nil"/>
              <w:bottom w:val="single" w:sz="4" w:space="0" w:color="auto"/>
              <w:right w:val="single" w:sz="4" w:space="0" w:color="auto"/>
            </w:tcBorders>
            <w:shd w:val="clear" w:color="auto" w:fill="auto"/>
            <w:noWrap/>
            <w:vAlign w:val="center"/>
            <w:hideMark/>
          </w:tcPr>
          <w:p w14:paraId="658B31A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21.4</w:t>
            </w:r>
          </w:p>
        </w:tc>
        <w:tc>
          <w:tcPr>
            <w:tcW w:w="628" w:type="dxa"/>
            <w:tcBorders>
              <w:top w:val="nil"/>
              <w:left w:val="nil"/>
              <w:bottom w:val="single" w:sz="4" w:space="0" w:color="auto"/>
              <w:right w:val="single" w:sz="4" w:space="0" w:color="auto"/>
            </w:tcBorders>
            <w:shd w:val="clear" w:color="auto" w:fill="auto"/>
            <w:noWrap/>
            <w:vAlign w:val="center"/>
            <w:hideMark/>
          </w:tcPr>
          <w:p w14:paraId="27FD4C6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22.9</w:t>
            </w:r>
          </w:p>
        </w:tc>
      </w:tr>
      <w:tr w:rsidR="00B56301" w:rsidRPr="00364545" w14:paraId="5D8BA9F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AB3140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Ferrous metal metallurgy</w:t>
            </w:r>
          </w:p>
        </w:tc>
        <w:tc>
          <w:tcPr>
            <w:tcW w:w="628" w:type="dxa"/>
            <w:tcBorders>
              <w:top w:val="nil"/>
              <w:left w:val="nil"/>
              <w:bottom w:val="single" w:sz="4" w:space="0" w:color="auto"/>
              <w:right w:val="single" w:sz="4" w:space="0" w:color="auto"/>
            </w:tcBorders>
            <w:shd w:val="clear" w:color="auto" w:fill="auto"/>
            <w:noWrap/>
            <w:vAlign w:val="center"/>
            <w:hideMark/>
          </w:tcPr>
          <w:p w14:paraId="7314AD3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8.0</w:t>
            </w:r>
          </w:p>
        </w:tc>
        <w:tc>
          <w:tcPr>
            <w:tcW w:w="628" w:type="dxa"/>
            <w:tcBorders>
              <w:top w:val="nil"/>
              <w:left w:val="nil"/>
              <w:bottom w:val="single" w:sz="4" w:space="0" w:color="auto"/>
              <w:right w:val="single" w:sz="4" w:space="0" w:color="auto"/>
            </w:tcBorders>
            <w:shd w:val="clear" w:color="auto" w:fill="auto"/>
            <w:noWrap/>
            <w:vAlign w:val="center"/>
            <w:hideMark/>
          </w:tcPr>
          <w:p w14:paraId="7B45A1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8.6</w:t>
            </w:r>
          </w:p>
        </w:tc>
        <w:tc>
          <w:tcPr>
            <w:tcW w:w="628" w:type="dxa"/>
            <w:tcBorders>
              <w:top w:val="nil"/>
              <w:left w:val="nil"/>
              <w:bottom w:val="single" w:sz="4" w:space="0" w:color="auto"/>
              <w:right w:val="single" w:sz="4" w:space="0" w:color="auto"/>
            </w:tcBorders>
            <w:shd w:val="clear" w:color="auto" w:fill="auto"/>
            <w:noWrap/>
            <w:vAlign w:val="center"/>
            <w:hideMark/>
          </w:tcPr>
          <w:p w14:paraId="395062E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8.6</w:t>
            </w:r>
          </w:p>
        </w:tc>
        <w:tc>
          <w:tcPr>
            <w:tcW w:w="628" w:type="dxa"/>
            <w:tcBorders>
              <w:top w:val="nil"/>
              <w:left w:val="nil"/>
              <w:bottom w:val="single" w:sz="4" w:space="0" w:color="auto"/>
              <w:right w:val="single" w:sz="4" w:space="0" w:color="auto"/>
            </w:tcBorders>
            <w:shd w:val="clear" w:color="auto" w:fill="auto"/>
            <w:noWrap/>
            <w:vAlign w:val="center"/>
            <w:hideMark/>
          </w:tcPr>
          <w:p w14:paraId="5BEFA19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6.9</w:t>
            </w:r>
          </w:p>
        </w:tc>
        <w:tc>
          <w:tcPr>
            <w:tcW w:w="628" w:type="dxa"/>
            <w:tcBorders>
              <w:top w:val="nil"/>
              <w:left w:val="nil"/>
              <w:bottom w:val="single" w:sz="4" w:space="0" w:color="auto"/>
              <w:right w:val="single" w:sz="4" w:space="0" w:color="auto"/>
            </w:tcBorders>
            <w:shd w:val="clear" w:color="auto" w:fill="auto"/>
            <w:noWrap/>
            <w:vAlign w:val="center"/>
            <w:hideMark/>
          </w:tcPr>
          <w:p w14:paraId="131818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6.4</w:t>
            </w:r>
          </w:p>
        </w:tc>
        <w:tc>
          <w:tcPr>
            <w:tcW w:w="628" w:type="dxa"/>
            <w:tcBorders>
              <w:top w:val="nil"/>
              <w:left w:val="nil"/>
              <w:bottom w:val="single" w:sz="4" w:space="0" w:color="auto"/>
              <w:right w:val="single" w:sz="4" w:space="0" w:color="auto"/>
            </w:tcBorders>
            <w:shd w:val="clear" w:color="auto" w:fill="auto"/>
            <w:noWrap/>
            <w:vAlign w:val="center"/>
            <w:hideMark/>
          </w:tcPr>
          <w:p w14:paraId="1E7DE64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6.3</w:t>
            </w:r>
          </w:p>
        </w:tc>
        <w:tc>
          <w:tcPr>
            <w:tcW w:w="628" w:type="dxa"/>
            <w:tcBorders>
              <w:top w:val="nil"/>
              <w:left w:val="nil"/>
              <w:bottom w:val="single" w:sz="4" w:space="0" w:color="auto"/>
              <w:right w:val="single" w:sz="4" w:space="0" w:color="auto"/>
            </w:tcBorders>
            <w:shd w:val="clear" w:color="auto" w:fill="auto"/>
            <w:noWrap/>
            <w:vAlign w:val="center"/>
            <w:hideMark/>
          </w:tcPr>
          <w:p w14:paraId="5EF7A9B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5E3620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6.1</w:t>
            </w:r>
          </w:p>
        </w:tc>
      </w:tr>
      <w:tr w:rsidR="00B56301" w:rsidRPr="00364545" w14:paraId="3980449F"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2048CB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Non-metallic minerals, building materials</w:t>
            </w:r>
          </w:p>
        </w:tc>
        <w:tc>
          <w:tcPr>
            <w:tcW w:w="628" w:type="dxa"/>
            <w:tcBorders>
              <w:top w:val="nil"/>
              <w:left w:val="nil"/>
              <w:bottom w:val="single" w:sz="4" w:space="0" w:color="auto"/>
              <w:right w:val="single" w:sz="4" w:space="0" w:color="auto"/>
            </w:tcBorders>
            <w:shd w:val="clear" w:color="auto" w:fill="auto"/>
            <w:noWrap/>
            <w:vAlign w:val="center"/>
            <w:hideMark/>
          </w:tcPr>
          <w:p w14:paraId="13986C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30.1</w:t>
            </w:r>
          </w:p>
        </w:tc>
        <w:tc>
          <w:tcPr>
            <w:tcW w:w="628" w:type="dxa"/>
            <w:tcBorders>
              <w:top w:val="nil"/>
              <w:left w:val="nil"/>
              <w:bottom w:val="single" w:sz="4" w:space="0" w:color="auto"/>
              <w:right w:val="single" w:sz="4" w:space="0" w:color="auto"/>
            </w:tcBorders>
            <w:shd w:val="clear" w:color="auto" w:fill="auto"/>
            <w:noWrap/>
            <w:vAlign w:val="center"/>
            <w:hideMark/>
          </w:tcPr>
          <w:p w14:paraId="598E1B4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32.6</w:t>
            </w:r>
          </w:p>
        </w:tc>
        <w:tc>
          <w:tcPr>
            <w:tcW w:w="628" w:type="dxa"/>
            <w:tcBorders>
              <w:top w:val="nil"/>
              <w:left w:val="nil"/>
              <w:bottom w:val="single" w:sz="4" w:space="0" w:color="auto"/>
              <w:right w:val="single" w:sz="4" w:space="0" w:color="auto"/>
            </w:tcBorders>
            <w:shd w:val="clear" w:color="auto" w:fill="auto"/>
            <w:noWrap/>
            <w:vAlign w:val="center"/>
            <w:hideMark/>
          </w:tcPr>
          <w:p w14:paraId="3BB8C1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27.6</w:t>
            </w:r>
          </w:p>
        </w:tc>
        <w:tc>
          <w:tcPr>
            <w:tcW w:w="628" w:type="dxa"/>
            <w:tcBorders>
              <w:top w:val="nil"/>
              <w:left w:val="nil"/>
              <w:bottom w:val="single" w:sz="4" w:space="0" w:color="auto"/>
              <w:right w:val="single" w:sz="4" w:space="0" w:color="auto"/>
            </w:tcBorders>
            <w:shd w:val="clear" w:color="auto" w:fill="auto"/>
            <w:noWrap/>
            <w:vAlign w:val="center"/>
            <w:hideMark/>
          </w:tcPr>
          <w:p w14:paraId="39D8453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25.5</w:t>
            </w:r>
          </w:p>
        </w:tc>
        <w:tc>
          <w:tcPr>
            <w:tcW w:w="628" w:type="dxa"/>
            <w:tcBorders>
              <w:top w:val="nil"/>
              <w:left w:val="nil"/>
              <w:bottom w:val="single" w:sz="4" w:space="0" w:color="auto"/>
              <w:right w:val="single" w:sz="4" w:space="0" w:color="auto"/>
            </w:tcBorders>
            <w:shd w:val="clear" w:color="auto" w:fill="auto"/>
            <w:noWrap/>
            <w:vAlign w:val="center"/>
            <w:hideMark/>
          </w:tcPr>
          <w:p w14:paraId="38E38B8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27.1</w:t>
            </w:r>
          </w:p>
        </w:tc>
        <w:tc>
          <w:tcPr>
            <w:tcW w:w="628" w:type="dxa"/>
            <w:tcBorders>
              <w:top w:val="nil"/>
              <w:left w:val="nil"/>
              <w:bottom w:val="single" w:sz="4" w:space="0" w:color="auto"/>
              <w:right w:val="single" w:sz="4" w:space="0" w:color="auto"/>
            </w:tcBorders>
            <w:shd w:val="clear" w:color="auto" w:fill="auto"/>
            <w:noWrap/>
            <w:vAlign w:val="center"/>
            <w:hideMark/>
          </w:tcPr>
          <w:p w14:paraId="0C6D416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26.6</w:t>
            </w:r>
          </w:p>
        </w:tc>
        <w:tc>
          <w:tcPr>
            <w:tcW w:w="628" w:type="dxa"/>
            <w:tcBorders>
              <w:top w:val="nil"/>
              <w:left w:val="nil"/>
              <w:bottom w:val="single" w:sz="4" w:space="0" w:color="auto"/>
              <w:right w:val="single" w:sz="4" w:space="0" w:color="auto"/>
            </w:tcBorders>
            <w:shd w:val="clear" w:color="auto" w:fill="auto"/>
            <w:noWrap/>
            <w:vAlign w:val="center"/>
            <w:hideMark/>
          </w:tcPr>
          <w:p w14:paraId="56736B4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26.2</w:t>
            </w:r>
          </w:p>
        </w:tc>
        <w:tc>
          <w:tcPr>
            <w:tcW w:w="628" w:type="dxa"/>
            <w:tcBorders>
              <w:top w:val="nil"/>
              <w:left w:val="nil"/>
              <w:bottom w:val="single" w:sz="4" w:space="0" w:color="auto"/>
              <w:right w:val="single" w:sz="4" w:space="0" w:color="auto"/>
            </w:tcBorders>
            <w:shd w:val="clear" w:color="auto" w:fill="auto"/>
            <w:noWrap/>
            <w:vAlign w:val="center"/>
            <w:hideMark/>
          </w:tcPr>
          <w:p w14:paraId="24E67E1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25.1</w:t>
            </w:r>
          </w:p>
        </w:tc>
      </w:tr>
      <w:tr w:rsidR="00B56301" w:rsidRPr="00364545" w14:paraId="1831F4A3"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8D562C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Paper, Cardboard</w:t>
            </w:r>
          </w:p>
        </w:tc>
        <w:tc>
          <w:tcPr>
            <w:tcW w:w="628" w:type="dxa"/>
            <w:tcBorders>
              <w:top w:val="nil"/>
              <w:left w:val="nil"/>
              <w:bottom w:val="single" w:sz="4" w:space="0" w:color="auto"/>
              <w:right w:val="single" w:sz="4" w:space="0" w:color="auto"/>
            </w:tcBorders>
            <w:shd w:val="clear" w:color="auto" w:fill="auto"/>
            <w:noWrap/>
            <w:vAlign w:val="center"/>
            <w:hideMark/>
          </w:tcPr>
          <w:p w14:paraId="7D3C208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4.5</w:t>
            </w:r>
          </w:p>
        </w:tc>
        <w:tc>
          <w:tcPr>
            <w:tcW w:w="628" w:type="dxa"/>
            <w:tcBorders>
              <w:top w:val="nil"/>
              <w:left w:val="nil"/>
              <w:bottom w:val="single" w:sz="4" w:space="0" w:color="auto"/>
              <w:right w:val="single" w:sz="4" w:space="0" w:color="auto"/>
            </w:tcBorders>
            <w:shd w:val="clear" w:color="auto" w:fill="auto"/>
            <w:noWrap/>
            <w:vAlign w:val="center"/>
            <w:hideMark/>
          </w:tcPr>
          <w:p w14:paraId="06B97F0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154B76E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0B1E493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23EB00F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099102F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1B2B5B2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w:t>
            </w:r>
          </w:p>
        </w:tc>
        <w:tc>
          <w:tcPr>
            <w:tcW w:w="628" w:type="dxa"/>
            <w:tcBorders>
              <w:top w:val="nil"/>
              <w:left w:val="nil"/>
              <w:bottom w:val="single" w:sz="4" w:space="0" w:color="auto"/>
              <w:right w:val="single" w:sz="4" w:space="0" w:color="auto"/>
            </w:tcBorders>
            <w:shd w:val="clear" w:color="auto" w:fill="auto"/>
            <w:noWrap/>
            <w:vAlign w:val="center"/>
            <w:hideMark/>
          </w:tcPr>
          <w:p w14:paraId="6955B5F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w:t>
            </w:r>
          </w:p>
        </w:tc>
      </w:tr>
      <w:tr w:rsidR="00B56301" w:rsidRPr="00364545" w14:paraId="0FB260C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F82BE0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Manufacturing Industries</w:t>
            </w:r>
          </w:p>
        </w:tc>
        <w:tc>
          <w:tcPr>
            <w:tcW w:w="628" w:type="dxa"/>
            <w:tcBorders>
              <w:top w:val="nil"/>
              <w:left w:val="nil"/>
              <w:bottom w:val="single" w:sz="4" w:space="0" w:color="auto"/>
              <w:right w:val="single" w:sz="4" w:space="0" w:color="auto"/>
            </w:tcBorders>
            <w:shd w:val="clear" w:color="auto" w:fill="auto"/>
            <w:noWrap/>
            <w:vAlign w:val="center"/>
            <w:hideMark/>
          </w:tcPr>
          <w:p w14:paraId="65C0B77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c>
          <w:tcPr>
            <w:tcW w:w="628" w:type="dxa"/>
            <w:tcBorders>
              <w:top w:val="nil"/>
              <w:left w:val="nil"/>
              <w:bottom w:val="single" w:sz="4" w:space="0" w:color="auto"/>
              <w:right w:val="single" w:sz="4" w:space="0" w:color="auto"/>
            </w:tcBorders>
            <w:shd w:val="clear" w:color="auto" w:fill="auto"/>
            <w:noWrap/>
            <w:vAlign w:val="center"/>
            <w:hideMark/>
          </w:tcPr>
          <w:p w14:paraId="2D4BD89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5.3</w:t>
            </w:r>
          </w:p>
        </w:tc>
        <w:tc>
          <w:tcPr>
            <w:tcW w:w="628" w:type="dxa"/>
            <w:tcBorders>
              <w:top w:val="nil"/>
              <w:left w:val="nil"/>
              <w:bottom w:val="single" w:sz="4" w:space="0" w:color="auto"/>
              <w:right w:val="single" w:sz="4" w:space="0" w:color="auto"/>
            </w:tcBorders>
            <w:shd w:val="clear" w:color="auto" w:fill="auto"/>
            <w:noWrap/>
            <w:vAlign w:val="center"/>
            <w:hideMark/>
          </w:tcPr>
          <w:p w14:paraId="51C0790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5FEF3A5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779EC6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21263FC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5369D0C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w:t>
            </w:r>
          </w:p>
        </w:tc>
        <w:tc>
          <w:tcPr>
            <w:tcW w:w="628" w:type="dxa"/>
            <w:tcBorders>
              <w:top w:val="nil"/>
              <w:left w:val="nil"/>
              <w:bottom w:val="single" w:sz="4" w:space="0" w:color="auto"/>
              <w:right w:val="single" w:sz="4" w:space="0" w:color="auto"/>
            </w:tcBorders>
            <w:shd w:val="clear" w:color="auto" w:fill="auto"/>
            <w:noWrap/>
            <w:vAlign w:val="center"/>
            <w:hideMark/>
          </w:tcPr>
          <w:p w14:paraId="1D7AEBB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r>
      <w:tr w:rsidR="00B56301" w:rsidRPr="00364545" w14:paraId="52F4D4D6" w14:textId="77777777" w:rsidTr="00B37B65">
        <w:trPr>
          <w:trHeight w:val="68"/>
          <w:jc w:val="center"/>
        </w:trPr>
        <w:tc>
          <w:tcPr>
            <w:tcW w:w="5680" w:type="dxa"/>
            <w:tcBorders>
              <w:top w:val="nil"/>
              <w:left w:val="nil"/>
              <w:bottom w:val="nil"/>
              <w:right w:val="nil"/>
            </w:tcBorders>
            <w:shd w:val="clear" w:color="000000" w:fill="B3A2C7"/>
            <w:noWrap/>
            <w:vAlign w:val="bottom"/>
            <w:hideMark/>
          </w:tcPr>
          <w:p w14:paraId="493808E3"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Central Waste Processing</w:t>
            </w:r>
          </w:p>
        </w:tc>
        <w:tc>
          <w:tcPr>
            <w:tcW w:w="628" w:type="dxa"/>
            <w:tcBorders>
              <w:top w:val="nil"/>
              <w:left w:val="single" w:sz="4" w:space="0" w:color="auto"/>
              <w:bottom w:val="single" w:sz="4" w:space="0" w:color="auto"/>
              <w:right w:val="single" w:sz="4" w:space="0" w:color="auto"/>
            </w:tcBorders>
            <w:shd w:val="clear" w:color="000000" w:fill="B3A2C7"/>
            <w:noWrap/>
            <w:vAlign w:val="bottom"/>
            <w:hideMark/>
          </w:tcPr>
          <w:p w14:paraId="05B9CEB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15.2</w:t>
            </w:r>
          </w:p>
        </w:tc>
        <w:tc>
          <w:tcPr>
            <w:tcW w:w="628" w:type="dxa"/>
            <w:tcBorders>
              <w:top w:val="nil"/>
              <w:left w:val="nil"/>
              <w:bottom w:val="single" w:sz="4" w:space="0" w:color="auto"/>
              <w:right w:val="single" w:sz="4" w:space="0" w:color="auto"/>
            </w:tcBorders>
            <w:shd w:val="clear" w:color="000000" w:fill="B3A2C7"/>
            <w:noWrap/>
            <w:vAlign w:val="bottom"/>
            <w:hideMark/>
          </w:tcPr>
          <w:p w14:paraId="443B6186"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15.8</w:t>
            </w:r>
          </w:p>
        </w:tc>
        <w:tc>
          <w:tcPr>
            <w:tcW w:w="628" w:type="dxa"/>
            <w:tcBorders>
              <w:top w:val="nil"/>
              <w:left w:val="nil"/>
              <w:bottom w:val="single" w:sz="4" w:space="0" w:color="auto"/>
              <w:right w:val="single" w:sz="4" w:space="0" w:color="auto"/>
            </w:tcBorders>
            <w:shd w:val="clear" w:color="000000" w:fill="B3A2C7"/>
            <w:noWrap/>
            <w:vAlign w:val="bottom"/>
            <w:hideMark/>
          </w:tcPr>
          <w:p w14:paraId="351929D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16.5</w:t>
            </w:r>
          </w:p>
        </w:tc>
        <w:tc>
          <w:tcPr>
            <w:tcW w:w="628" w:type="dxa"/>
            <w:tcBorders>
              <w:top w:val="nil"/>
              <w:left w:val="nil"/>
              <w:bottom w:val="single" w:sz="4" w:space="0" w:color="auto"/>
              <w:right w:val="single" w:sz="4" w:space="0" w:color="auto"/>
            </w:tcBorders>
            <w:shd w:val="clear" w:color="000000" w:fill="B3A2C7"/>
            <w:noWrap/>
            <w:vAlign w:val="bottom"/>
            <w:hideMark/>
          </w:tcPr>
          <w:p w14:paraId="216821D6"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17.2</w:t>
            </w:r>
          </w:p>
        </w:tc>
        <w:tc>
          <w:tcPr>
            <w:tcW w:w="628" w:type="dxa"/>
            <w:tcBorders>
              <w:top w:val="nil"/>
              <w:left w:val="nil"/>
              <w:bottom w:val="single" w:sz="4" w:space="0" w:color="auto"/>
              <w:right w:val="single" w:sz="4" w:space="0" w:color="auto"/>
            </w:tcBorders>
            <w:shd w:val="clear" w:color="000000" w:fill="B3A2C7"/>
            <w:noWrap/>
            <w:vAlign w:val="bottom"/>
            <w:hideMark/>
          </w:tcPr>
          <w:p w14:paraId="32E6CFB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17.4</w:t>
            </w:r>
          </w:p>
        </w:tc>
        <w:tc>
          <w:tcPr>
            <w:tcW w:w="628" w:type="dxa"/>
            <w:tcBorders>
              <w:top w:val="nil"/>
              <w:left w:val="nil"/>
              <w:bottom w:val="single" w:sz="4" w:space="0" w:color="auto"/>
              <w:right w:val="single" w:sz="4" w:space="0" w:color="auto"/>
            </w:tcBorders>
            <w:shd w:val="clear" w:color="000000" w:fill="B3A2C7"/>
            <w:noWrap/>
            <w:vAlign w:val="bottom"/>
            <w:hideMark/>
          </w:tcPr>
          <w:p w14:paraId="5BBB18B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17.6</w:t>
            </w:r>
          </w:p>
        </w:tc>
        <w:tc>
          <w:tcPr>
            <w:tcW w:w="628" w:type="dxa"/>
            <w:tcBorders>
              <w:top w:val="nil"/>
              <w:left w:val="nil"/>
              <w:bottom w:val="single" w:sz="4" w:space="0" w:color="auto"/>
              <w:right w:val="single" w:sz="4" w:space="0" w:color="auto"/>
            </w:tcBorders>
            <w:shd w:val="clear" w:color="000000" w:fill="B3A2C7"/>
            <w:noWrap/>
            <w:vAlign w:val="bottom"/>
            <w:hideMark/>
          </w:tcPr>
          <w:p w14:paraId="33B0D72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17.6</w:t>
            </w:r>
          </w:p>
        </w:tc>
        <w:tc>
          <w:tcPr>
            <w:tcW w:w="628" w:type="dxa"/>
            <w:tcBorders>
              <w:top w:val="nil"/>
              <w:left w:val="nil"/>
              <w:bottom w:val="single" w:sz="4" w:space="0" w:color="auto"/>
              <w:right w:val="single" w:sz="4" w:space="0" w:color="auto"/>
            </w:tcBorders>
            <w:shd w:val="clear" w:color="000000" w:fill="B3A2C7"/>
            <w:noWrap/>
            <w:vAlign w:val="bottom"/>
            <w:hideMark/>
          </w:tcPr>
          <w:p w14:paraId="223B2B3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17.5</w:t>
            </w:r>
          </w:p>
        </w:tc>
      </w:tr>
      <w:tr w:rsidR="00B56301" w:rsidRPr="00364545" w14:paraId="75B40271"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1595EE0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Waste Storage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3D89B8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12.6</w:t>
            </w:r>
          </w:p>
        </w:tc>
        <w:tc>
          <w:tcPr>
            <w:tcW w:w="628" w:type="dxa"/>
            <w:tcBorders>
              <w:top w:val="nil"/>
              <w:left w:val="nil"/>
              <w:bottom w:val="single" w:sz="4" w:space="0" w:color="auto"/>
              <w:right w:val="single" w:sz="4" w:space="0" w:color="auto"/>
            </w:tcBorders>
            <w:shd w:val="clear" w:color="auto" w:fill="auto"/>
            <w:noWrap/>
            <w:vAlign w:val="bottom"/>
            <w:hideMark/>
          </w:tcPr>
          <w:p w14:paraId="17D2FA2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13.1</w:t>
            </w:r>
          </w:p>
        </w:tc>
        <w:tc>
          <w:tcPr>
            <w:tcW w:w="628" w:type="dxa"/>
            <w:tcBorders>
              <w:top w:val="nil"/>
              <w:left w:val="nil"/>
              <w:bottom w:val="single" w:sz="4" w:space="0" w:color="auto"/>
              <w:right w:val="single" w:sz="4" w:space="0" w:color="auto"/>
            </w:tcBorders>
            <w:shd w:val="clear" w:color="auto" w:fill="auto"/>
            <w:noWrap/>
            <w:vAlign w:val="bottom"/>
            <w:hideMark/>
          </w:tcPr>
          <w:p w14:paraId="13D3BD4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13.8</w:t>
            </w:r>
          </w:p>
        </w:tc>
        <w:tc>
          <w:tcPr>
            <w:tcW w:w="628" w:type="dxa"/>
            <w:tcBorders>
              <w:top w:val="nil"/>
              <w:left w:val="nil"/>
              <w:bottom w:val="single" w:sz="4" w:space="0" w:color="auto"/>
              <w:right w:val="single" w:sz="4" w:space="0" w:color="auto"/>
            </w:tcBorders>
            <w:shd w:val="clear" w:color="auto" w:fill="auto"/>
            <w:noWrap/>
            <w:vAlign w:val="bottom"/>
            <w:hideMark/>
          </w:tcPr>
          <w:p w14:paraId="3D102F9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14.5</w:t>
            </w:r>
          </w:p>
        </w:tc>
        <w:tc>
          <w:tcPr>
            <w:tcW w:w="628" w:type="dxa"/>
            <w:tcBorders>
              <w:top w:val="nil"/>
              <w:left w:val="nil"/>
              <w:bottom w:val="single" w:sz="4" w:space="0" w:color="auto"/>
              <w:right w:val="single" w:sz="4" w:space="0" w:color="auto"/>
            </w:tcBorders>
            <w:shd w:val="clear" w:color="auto" w:fill="auto"/>
            <w:noWrap/>
            <w:vAlign w:val="bottom"/>
            <w:hideMark/>
          </w:tcPr>
          <w:p w14:paraId="30FEB0E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14.7</w:t>
            </w:r>
          </w:p>
        </w:tc>
        <w:tc>
          <w:tcPr>
            <w:tcW w:w="628" w:type="dxa"/>
            <w:tcBorders>
              <w:top w:val="nil"/>
              <w:left w:val="nil"/>
              <w:bottom w:val="single" w:sz="4" w:space="0" w:color="auto"/>
              <w:right w:val="single" w:sz="4" w:space="0" w:color="auto"/>
            </w:tcBorders>
            <w:shd w:val="clear" w:color="auto" w:fill="auto"/>
            <w:noWrap/>
            <w:vAlign w:val="bottom"/>
            <w:hideMark/>
          </w:tcPr>
          <w:p w14:paraId="35D5BA8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14.9</w:t>
            </w:r>
          </w:p>
        </w:tc>
        <w:tc>
          <w:tcPr>
            <w:tcW w:w="628" w:type="dxa"/>
            <w:tcBorders>
              <w:top w:val="nil"/>
              <w:left w:val="nil"/>
              <w:bottom w:val="single" w:sz="4" w:space="0" w:color="auto"/>
              <w:right w:val="single" w:sz="4" w:space="0" w:color="auto"/>
            </w:tcBorders>
            <w:shd w:val="clear" w:color="auto" w:fill="auto"/>
            <w:noWrap/>
            <w:vAlign w:val="bottom"/>
            <w:hideMark/>
          </w:tcPr>
          <w:p w14:paraId="6362A03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15.0</w:t>
            </w:r>
          </w:p>
        </w:tc>
        <w:tc>
          <w:tcPr>
            <w:tcW w:w="628" w:type="dxa"/>
            <w:tcBorders>
              <w:top w:val="nil"/>
              <w:left w:val="nil"/>
              <w:bottom w:val="single" w:sz="4" w:space="0" w:color="auto"/>
              <w:right w:val="single" w:sz="4" w:space="0" w:color="auto"/>
            </w:tcBorders>
            <w:shd w:val="clear" w:color="auto" w:fill="auto"/>
            <w:noWrap/>
            <w:vAlign w:val="bottom"/>
            <w:hideMark/>
          </w:tcPr>
          <w:p w14:paraId="59AA4F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15.2</w:t>
            </w:r>
          </w:p>
        </w:tc>
      </w:tr>
      <w:tr w:rsidR="00B56301" w:rsidRPr="00364545" w14:paraId="3A551CB7"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5CEB0D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Incineration without Energy Recovery</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562473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w:t>
            </w:r>
          </w:p>
        </w:tc>
        <w:tc>
          <w:tcPr>
            <w:tcW w:w="628" w:type="dxa"/>
            <w:tcBorders>
              <w:top w:val="nil"/>
              <w:left w:val="nil"/>
              <w:bottom w:val="single" w:sz="4" w:space="0" w:color="auto"/>
              <w:right w:val="single" w:sz="4" w:space="0" w:color="auto"/>
            </w:tcBorders>
            <w:shd w:val="clear" w:color="auto" w:fill="auto"/>
            <w:noWrap/>
            <w:vAlign w:val="bottom"/>
            <w:hideMark/>
          </w:tcPr>
          <w:p w14:paraId="165334D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111FF65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w:t>
            </w:r>
          </w:p>
        </w:tc>
        <w:tc>
          <w:tcPr>
            <w:tcW w:w="628" w:type="dxa"/>
            <w:tcBorders>
              <w:top w:val="nil"/>
              <w:left w:val="nil"/>
              <w:bottom w:val="single" w:sz="4" w:space="0" w:color="auto"/>
              <w:right w:val="single" w:sz="4" w:space="0" w:color="auto"/>
            </w:tcBorders>
            <w:shd w:val="clear" w:color="auto" w:fill="auto"/>
            <w:noWrap/>
            <w:vAlign w:val="bottom"/>
            <w:hideMark/>
          </w:tcPr>
          <w:p w14:paraId="123A9C0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w:t>
            </w:r>
          </w:p>
        </w:tc>
        <w:tc>
          <w:tcPr>
            <w:tcW w:w="628" w:type="dxa"/>
            <w:tcBorders>
              <w:top w:val="nil"/>
              <w:left w:val="nil"/>
              <w:bottom w:val="single" w:sz="4" w:space="0" w:color="auto"/>
              <w:right w:val="single" w:sz="4" w:space="0" w:color="auto"/>
            </w:tcBorders>
            <w:shd w:val="clear" w:color="auto" w:fill="auto"/>
            <w:noWrap/>
            <w:vAlign w:val="bottom"/>
            <w:hideMark/>
          </w:tcPr>
          <w:p w14:paraId="6D80C7B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w:t>
            </w:r>
          </w:p>
        </w:tc>
        <w:tc>
          <w:tcPr>
            <w:tcW w:w="628" w:type="dxa"/>
            <w:tcBorders>
              <w:top w:val="nil"/>
              <w:left w:val="nil"/>
              <w:bottom w:val="single" w:sz="4" w:space="0" w:color="auto"/>
              <w:right w:val="single" w:sz="4" w:space="0" w:color="auto"/>
            </w:tcBorders>
            <w:shd w:val="clear" w:color="auto" w:fill="auto"/>
            <w:noWrap/>
            <w:vAlign w:val="bottom"/>
            <w:hideMark/>
          </w:tcPr>
          <w:p w14:paraId="007B2F3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10CE582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571777A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r>
      <w:tr w:rsidR="00B56301" w:rsidRPr="00364545" w14:paraId="390531D3"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E3B63B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Solid Waste Processing</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76CFEA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2B7330A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D1E4F9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EE0DE7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63C2C66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42425B7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06BB123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51B572E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r>
      <w:tr w:rsidR="00B56301" w:rsidRPr="00364545" w14:paraId="4BF9F1E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75550C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Waste-water Treatment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F09D0E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76A098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9FF55A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2386C55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44E296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4596F2C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4AEC125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5D882B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r>
      <w:tr w:rsidR="00B56301" w:rsidRPr="00364545" w14:paraId="67A2AC15" w14:textId="77777777" w:rsidTr="00B37B65">
        <w:trPr>
          <w:trHeight w:val="68"/>
          <w:jc w:val="center"/>
        </w:trPr>
        <w:tc>
          <w:tcPr>
            <w:tcW w:w="5680" w:type="dxa"/>
            <w:tcBorders>
              <w:top w:val="nil"/>
              <w:left w:val="nil"/>
              <w:bottom w:val="nil"/>
              <w:right w:val="nil"/>
            </w:tcBorders>
            <w:shd w:val="clear" w:color="000000" w:fill="E0E5B3"/>
            <w:noWrap/>
            <w:vAlign w:val="bottom"/>
            <w:hideMark/>
          </w:tcPr>
          <w:p w14:paraId="4EC1A599"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Residential / High-tech Building Use and Activity</w:t>
            </w:r>
          </w:p>
        </w:tc>
        <w:tc>
          <w:tcPr>
            <w:tcW w:w="628" w:type="dxa"/>
            <w:tcBorders>
              <w:top w:val="nil"/>
              <w:left w:val="single" w:sz="4" w:space="0" w:color="auto"/>
              <w:bottom w:val="single" w:sz="4" w:space="0" w:color="auto"/>
              <w:right w:val="single" w:sz="4" w:space="0" w:color="auto"/>
            </w:tcBorders>
            <w:shd w:val="clear" w:color="000000" w:fill="E0E5B3"/>
            <w:noWrap/>
            <w:vAlign w:val="bottom"/>
            <w:hideMark/>
          </w:tcPr>
          <w:p w14:paraId="75FABC6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92.8</w:t>
            </w:r>
          </w:p>
        </w:tc>
        <w:tc>
          <w:tcPr>
            <w:tcW w:w="628" w:type="dxa"/>
            <w:tcBorders>
              <w:top w:val="nil"/>
              <w:left w:val="nil"/>
              <w:bottom w:val="single" w:sz="4" w:space="0" w:color="auto"/>
              <w:right w:val="single" w:sz="4" w:space="0" w:color="auto"/>
            </w:tcBorders>
            <w:shd w:val="clear" w:color="000000" w:fill="E0E5B3"/>
            <w:noWrap/>
            <w:vAlign w:val="bottom"/>
            <w:hideMark/>
          </w:tcPr>
          <w:p w14:paraId="2F1A320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102.4</w:t>
            </w:r>
          </w:p>
        </w:tc>
        <w:tc>
          <w:tcPr>
            <w:tcW w:w="628" w:type="dxa"/>
            <w:tcBorders>
              <w:top w:val="nil"/>
              <w:left w:val="nil"/>
              <w:bottom w:val="single" w:sz="4" w:space="0" w:color="auto"/>
              <w:right w:val="single" w:sz="4" w:space="0" w:color="auto"/>
            </w:tcBorders>
            <w:shd w:val="clear" w:color="000000" w:fill="E0E5B3"/>
            <w:noWrap/>
            <w:vAlign w:val="bottom"/>
            <w:hideMark/>
          </w:tcPr>
          <w:p w14:paraId="1AFF01F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98.6</w:t>
            </w:r>
          </w:p>
        </w:tc>
        <w:tc>
          <w:tcPr>
            <w:tcW w:w="628" w:type="dxa"/>
            <w:tcBorders>
              <w:top w:val="nil"/>
              <w:left w:val="nil"/>
              <w:bottom w:val="single" w:sz="4" w:space="0" w:color="auto"/>
              <w:right w:val="single" w:sz="4" w:space="0" w:color="auto"/>
            </w:tcBorders>
            <w:shd w:val="clear" w:color="000000" w:fill="E0E5B3"/>
            <w:noWrap/>
            <w:vAlign w:val="bottom"/>
            <w:hideMark/>
          </w:tcPr>
          <w:p w14:paraId="43FAB05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95.0</w:t>
            </w:r>
          </w:p>
        </w:tc>
        <w:tc>
          <w:tcPr>
            <w:tcW w:w="628" w:type="dxa"/>
            <w:tcBorders>
              <w:top w:val="nil"/>
              <w:left w:val="nil"/>
              <w:bottom w:val="single" w:sz="4" w:space="0" w:color="auto"/>
              <w:right w:val="single" w:sz="4" w:space="0" w:color="auto"/>
            </w:tcBorders>
            <w:shd w:val="clear" w:color="000000" w:fill="E0E5B3"/>
            <w:noWrap/>
            <w:vAlign w:val="bottom"/>
            <w:hideMark/>
          </w:tcPr>
          <w:p w14:paraId="034B535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88.6</w:t>
            </w:r>
          </w:p>
        </w:tc>
        <w:tc>
          <w:tcPr>
            <w:tcW w:w="628" w:type="dxa"/>
            <w:tcBorders>
              <w:top w:val="nil"/>
              <w:left w:val="nil"/>
              <w:bottom w:val="single" w:sz="4" w:space="0" w:color="auto"/>
              <w:right w:val="single" w:sz="4" w:space="0" w:color="auto"/>
            </w:tcBorders>
            <w:shd w:val="clear" w:color="000000" w:fill="E0E5B3"/>
            <w:noWrap/>
            <w:vAlign w:val="bottom"/>
            <w:hideMark/>
          </w:tcPr>
          <w:p w14:paraId="7BC82B3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88.6</w:t>
            </w:r>
          </w:p>
        </w:tc>
        <w:tc>
          <w:tcPr>
            <w:tcW w:w="628" w:type="dxa"/>
            <w:tcBorders>
              <w:top w:val="nil"/>
              <w:left w:val="nil"/>
              <w:bottom w:val="single" w:sz="4" w:space="0" w:color="auto"/>
              <w:right w:val="single" w:sz="4" w:space="0" w:color="auto"/>
            </w:tcBorders>
            <w:shd w:val="clear" w:color="000000" w:fill="E0E5B3"/>
            <w:noWrap/>
            <w:vAlign w:val="bottom"/>
            <w:hideMark/>
          </w:tcPr>
          <w:p w14:paraId="492F6A5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98.5</w:t>
            </w:r>
          </w:p>
        </w:tc>
        <w:tc>
          <w:tcPr>
            <w:tcW w:w="628" w:type="dxa"/>
            <w:tcBorders>
              <w:top w:val="nil"/>
              <w:left w:val="nil"/>
              <w:bottom w:val="single" w:sz="4" w:space="0" w:color="auto"/>
              <w:right w:val="single" w:sz="4" w:space="0" w:color="auto"/>
            </w:tcBorders>
            <w:shd w:val="clear" w:color="000000" w:fill="E0E5B3"/>
            <w:noWrap/>
            <w:vAlign w:val="bottom"/>
            <w:hideMark/>
          </w:tcPr>
          <w:p w14:paraId="3B0FC91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93.6</w:t>
            </w:r>
          </w:p>
        </w:tc>
      </w:tr>
      <w:tr w:rsidR="00B56301" w:rsidRPr="00364545" w14:paraId="29DE6B34"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66B07FF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Use of Residential Buildings and Domestic Activities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C29F4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61.4</w:t>
            </w:r>
          </w:p>
        </w:tc>
        <w:tc>
          <w:tcPr>
            <w:tcW w:w="628" w:type="dxa"/>
            <w:tcBorders>
              <w:top w:val="nil"/>
              <w:left w:val="nil"/>
              <w:bottom w:val="single" w:sz="4" w:space="0" w:color="auto"/>
              <w:right w:val="single" w:sz="4" w:space="0" w:color="auto"/>
            </w:tcBorders>
            <w:shd w:val="clear" w:color="auto" w:fill="auto"/>
            <w:noWrap/>
            <w:vAlign w:val="bottom"/>
            <w:hideMark/>
          </w:tcPr>
          <w:p w14:paraId="1095E78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69.0</w:t>
            </w:r>
          </w:p>
        </w:tc>
        <w:tc>
          <w:tcPr>
            <w:tcW w:w="628" w:type="dxa"/>
            <w:tcBorders>
              <w:top w:val="nil"/>
              <w:left w:val="nil"/>
              <w:bottom w:val="single" w:sz="4" w:space="0" w:color="auto"/>
              <w:right w:val="single" w:sz="4" w:space="0" w:color="auto"/>
            </w:tcBorders>
            <w:shd w:val="clear" w:color="auto" w:fill="auto"/>
            <w:noWrap/>
            <w:vAlign w:val="bottom"/>
            <w:hideMark/>
          </w:tcPr>
          <w:p w14:paraId="61E0311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67.9</w:t>
            </w:r>
          </w:p>
        </w:tc>
        <w:tc>
          <w:tcPr>
            <w:tcW w:w="628" w:type="dxa"/>
            <w:tcBorders>
              <w:top w:val="nil"/>
              <w:left w:val="nil"/>
              <w:bottom w:val="single" w:sz="4" w:space="0" w:color="auto"/>
              <w:right w:val="single" w:sz="4" w:space="0" w:color="auto"/>
            </w:tcBorders>
            <w:shd w:val="clear" w:color="auto" w:fill="auto"/>
            <w:noWrap/>
            <w:vAlign w:val="bottom"/>
            <w:hideMark/>
          </w:tcPr>
          <w:p w14:paraId="70C8DDC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66.1</w:t>
            </w:r>
          </w:p>
        </w:tc>
        <w:tc>
          <w:tcPr>
            <w:tcW w:w="628" w:type="dxa"/>
            <w:tcBorders>
              <w:top w:val="nil"/>
              <w:left w:val="nil"/>
              <w:bottom w:val="single" w:sz="4" w:space="0" w:color="auto"/>
              <w:right w:val="single" w:sz="4" w:space="0" w:color="auto"/>
            </w:tcBorders>
            <w:shd w:val="clear" w:color="auto" w:fill="auto"/>
            <w:noWrap/>
            <w:vAlign w:val="bottom"/>
            <w:hideMark/>
          </w:tcPr>
          <w:p w14:paraId="64F2117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62.3</w:t>
            </w:r>
          </w:p>
        </w:tc>
        <w:tc>
          <w:tcPr>
            <w:tcW w:w="628" w:type="dxa"/>
            <w:tcBorders>
              <w:top w:val="nil"/>
              <w:left w:val="nil"/>
              <w:bottom w:val="single" w:sz="4" w:space="0" w:color="auto"/>
              <w:right w:val="single" w:sz="4" w:space="0" w:color="auto"/>
            </w:tcBorders>
            <w:shd w:val="clear" w:color="auto" w:fill="auto"/>
            <w:noWrap/>
            <w:vAlign w:val="bottom"/>
            <w:hideMark/>
          </w:tcPr>
          <w:p w14:paraId="3595A06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62.2</w:t>
            </w:r>
          </w:p>
        </w:tc>
        <w:tc>
          <w:tcPr>
            <w:tcW w:w="628" w:type="dxa"/>
            <w:tcBorders>
              <w:top w:val="nil"/>
              <w:left w:val="nil"/>
              <w:bottom w:val="single" w:sz="4" w:space="0" w:color="auto"/>
              <w:right w:val="single" w:sz="4" w:space="0" w:color="auto"/>
            </w:tcBorders>
            <w:shd w:val="clear" w:color="auto" w:fill="auto"/>
            <w:noWrap/>
            <w:vAlign w:val="bottom"/>
            <w:hideMark/>
          </w:tcPr>
          <w:p w14:paraId="48369D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68.9</w:t>
            </w:r>
          </w:p>
        </w:tc>
        <w:tc>
          <w:tcPr>
            <w:tcW w:w="628" w:type="dxa"/>
            <w:tcBorders>
              <w:top w:val="nil"/>
              <w:left w:val="nil"/>
              <w:bottom w:val="single" w:sz="4" w:space="0" w:color="auto"/>
              <w:right w:val="single" w:sz="4" w:space="0" w:color="auto"/>
            </w:tcBorders>
            <w:shd w:val="clear" w:color="auto" w:fill="auto"/>
            <w:noWrap/>
            <w:vAlign w:val="bottom"/>
            <w:hideMark/>
          </w:tcPr>
          <w:p w14:paraId="72405A8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64.9</w:t>
            </w:r>
          </w:p>
        </w:tc>
      </w:tr>
      <w:tr w:rsidR="00B56301" w:rsidRPr="00364545" w14:paraId="7F6FD9FF"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54C3622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High-tech Building Use and Activity</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699A88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31.4</w:t>
            </w:r>
          </w:p>
        </w:tc>
        <w:tc>
          <w:tcPr>
            <w:tcW w:w="628" w:type="dxa"/>
            <w:tcBorders>
              <w:top w:val="nil"/>
              <w:left w:val="nil"/>
              <w:bottom w:val="single" w:sz="4" w:space="0" w:color="auto"/>
              <w:right w:val="single" w:sz="4" w:space="0" w:color="auto"/>
            </w:tcBorders>
            <w:shd w:val="clear" w:color="auto" w:fill="auto"/>
            <w:noWrap/>
            <w:vAlign w:val="bottom"/>
            <w:hideMark/>
          </w:tcPr>
          <w:p w14:paraId="2FE3BAA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33.4</w:t>
            </w:r>
          </w:p>
        </w:tc>
        <w:tc>
          <w:tcPr>
            <w:tcW w:w="628" w:type="dxa"/>
            <w:tcBorders>
              <w:top w:val="nil"/>
              <w:left w:val="nil"/>
              <w:bottom w:val="single" w:sz="4" w:space="0" w:color="auto"/>
              <w:right w:val="single" w:sz="4" w:space="0" w:color="auto"/>
            </w:tcBorders>
            <w:shd w:val="clear" w:color="auto" w:fill="auto"/>
            <w:noWrap/>
            <w:vAlign w:val="bottom"/>
            <w:hideMark/>
          </w:tcPr>
          <w:p w14:paraId="4E7D8B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30.7</w:t>
            </w:r>
          </w:p>
        </w:tc>
        <w:tc>
          <w:tcPr>
            <w:tcW w:w="628" w:type="dxa"/>
            <w:tcBorders>
              <w:top w:val="nil"/>
              <w:left w:val="nil"/>
              <w:bottom w:val="single" w:sz="4" w:space="0" w:color="auto"/>
              <w:right w:val="single" w:sz="4" w:space="0" w:color="auto"/>
            </w:tcBorders>
            <w:shd w:val="clear" w:color="auto" w:fill="auto"/>
            <w:noWrap/>
            <w:vAlign w:val="bottom"/>
            <w:hideMark/>
          </w:tcPr>
          <w:p w14:paraId="415A320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28.9</w:t>
            </w:r>
          </w:p>
        </w:tc>
        <w:tc>
          <w:tcPr>
            <w:tcW w:w="628" w:type="dxa"/>
            <w:tcBorders>
              <w:top w:val="nil"/>
              <w:left w:val="nil"/>
              <w:bottom w:val="single" w:sz="4" w:space="0" w:color="auto"/>
              <w:right w:val="single" w:sz="4" w:space="0" w:color="auto"/>
            </w:tcBorders>
            <w:shd w:val="clear" w:color="auto" w:fill="auto"/>
            <w:noWrap/>
            <w:vAlign w:val="bottom"/>
            <w:hideMark/>
          </w:tcPr>
          <w:p w14:paraId="3C3F270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26.3</w:t>
            </w:r>
          </w:p>
        </w:tc>
        <w:tc>
          <w:tcPr>
            <w:tcW w:w="628" w:type="dxa"/>
            <w:tcBorders>
              <w:top w:val="nil"/>
              <w:left w:val="nil"/>
              <w:bottom w:val="single" w:sz="4" w:space="0" w:color="auto"/>
              <w:right w:val="single" w:sz="4" w:space="0" w:color="auto"/>
            </w:tcBorders>
            <w:shd w:val="clear" w:color="auto" w:fill="auto"/>
            <w:noWrap/>
            <w:vAlign w:val="bottom"/>
            <w:hideMark/>
          </w:tcPr>
          <w:p w14:paraId="5DC9904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26.3</w:t>
            </w:r>
          </w:p>
        </w:tc>
        <w:tc>
          <w:tcPr>
            <w:tcW w:w="628" w:type="dxa"/>
            <w:tcBorders>
              <w:top w:val="nil"/>
              <w:left w:val="nil"/>
              <w:bottom w:val="single" w:sz="4" w:space="0" w:color="auto"/>
              <w:right w:val="single" w:sz="4" w:space="0" w:color="auto"/>
            </w:tcBorders>
            <w:shd w:val="clear" w:color="auto" w:fill="auto"/>
            <w:noWrap/>
            <w:vAlign w:val="bottom"/>
            <w:hideMark/>
          </w:tcPr>
          <w:p w14:paraId="18B2133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29.6</w:t>
            </w:r>
          </w:p>
        </w:tc>
        <w:tc>
          <w:tcPr>
            <w:tcW w:w="628" w:type="dxa"/>
            <w:tcBorders>
              <w:top w:val="nil"/>
              <w:left w:val="nil"/>
              <w:bottom w:val="single" w:sz="4" w:space="0" w:color="auto"/>
              <w:right w:val="single" w:sz="4" w:space="0" w:color="auto"/>
            </w:tcBorders>
            <w:shd w:val="clear" w:color="auto" w:fill="auto"/>
            <w:noWrap/>
            <w:vAlign w:val="bottom"/>
            <w:hideMark/>
          </w:tcPr>
          <w:p w14:paraId="02973F9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28.7</w:t>
            </w:r>
          </w:p>
        </w:tc>
      </w:tr>
      <w:tr w:rsidR="00B56301" w:rsidRPr="00364545" w14:paraId="693E6921" w14:textId="77777777" w:rsidTr="00B37B65">
        <w:trPr>
          <w:trHeight w:val="68"/>
          <w:jc w:val="center"/>
        </w:trPr>
        <w:tc>
          <w:tcPr>
            <w:tcW w:w="5680" w:type="dxa"/>
            <w:tcBorders>
              <w:top w:val="nil"/>
              <w:left w:val="nil"/>
              <w:bottom w:val="nil"/>
              <w:right w:val="nil"/>
            </w:tcBorders>
            <w:shd w:val="clear" w:color="000000" w:fill="92D050"/>
            <w:noWrap/>
            <w:vAlign w:val="bottom"/>
            <w:hideMark/>
          </w:tcPr>
          <w:p w14:paraId="010B10CA"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Agriculture</w:t>
            </w:r>
          </w:p>
        </w:tc>
        <w:tc>
          <w:tcPr>
            <w:tcW w:w="628" w:type="dxa"/>
            <w:tcBorders>
              <w:top w:val="nil"/>
              <w:left w:val="single" w:sz="4" w:space="0" w:color="auto"/>
              <w:bottom w:val="single" w:sz="4" w:space="0" w:color="auto"/>
              <w:right w:val="single" w:sz="4" w:space="0" w:color="auto"/>
            </w:tcBorders>
            <w:shd w:val="clear" w:color="000000" w:fill="92D050"/>
            <w:noWrap/>
            <w:vAlign w:val="bottom"/>
            <w:hideMark/>
          </w:tcPr>
          <w:p w14:paraId="208FD73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91.5</w:t>
            </w:r>
          </w:p>
        </w:tc>
        <w:tc>
          <w:tcPr>
            <w:tcW w:w="628" w:type="dxa"/>
            <w:tcBorders>
              <w:top w:val="nil"/>
              <w:left w:val="nil"/>
              <w:bottom w:val="single" w:sz="4" w:space="0" w:color="auto"/>
              <w:right w:val="single" w:sz="4" w:space="0" w:color="auto"/>
            </w:tcBorders>
            <w:shd w:val="clear" w:color="000000" w:fill="92D050"/>
            <w:noWrap/>
            <w:vAlign w:val="bottom"/>
            <w:hideMark/>
          </w:tcPr>
          <w:p w14:paraId="494158C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91.1</w:t>
            </w:r>
          </w:p>
        </w:tc>
        <w:tc>
          <w:tcPr>
            <w:tcW w:w="628" w:type="dxa"/>
            <w:tcBorders>
              <w:top w:val="nil"/>
              <w:left w:val="nil"/>
              <w:bottom w:val="single" w:sz="4" w:space="0" w:color="auto"/>
              <w:right w:val="single" w:sz="4" w:space="0" w:color="auto"/>
            </w:tcBorders>
            <w:shd w:val="clear" w:color="000000" w:fill="92D050"/>
            <w:noWrap/>
            <w:vAlign w:val="bottom"/>
            <w:hideMark/>
          </w:tcPr>
          <w:p w14:paraId="6AF7241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89.9</w:t>
            </w:r>
          </w:p>
        </w:tc>
        <w:tc>
          <w:tcPr>
            <w:tcW w:w="628" w:type="dxa"/>
            <w:tcBorders>
              <w:top w:val="nil"/>
              <w:left w:val="nil"/>
              <w:bottom w:val="single" w:sz="4" w:space="0" w:color="auto"/>
              <w:right w:val="single" w:sz="4" w:space="0" w:color="auto"/>
            </w:tcBorders>
            <w:shd w:val="clear" w:color="000000" w:fill="92D050"/>
            <w:noWrap/>
            <w:vAlign w:val="bottom"/>
            <w:hideMark/>
          </w:tcPr>
          <w:p w14:paraId="26316B0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89.0</w:t>
            </w:r>
          </w:p>
        </w:tc>
        <w:tc>
          <w:tcPr>
            <w:tcW w:w="628" w:type="dxa"/>
            <w:tcBorders>
              <w:top w:val="nil"/>
              <w:left w:val="nil"/>
              <w:bottom w:val="single" w:sz="4" w:space="0" w:color="auto"/>
              <w:right w:val="single" w:sz="4" w:space="0" w:color="auto"/>
            </w:tcBorders>
            <w:shd w:val="clear" w:color="000000" w:fill="92D050"/>
            <w:noWrap/>
            <w:vAlign w:val="bottom"/>
            <w:hideMark/>
          </w:tcPr>
          <w:p w14:paraId="50E3434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88.5</w:t>
            </w:r>
          </w:p>
        </w:tc>
        <w:tc>
          <w:tcPr>
            <w:tcW w:w="628" w:type="dxa"/>
            <w:tcBorders>
              <w:top w:val="nil"/>
              <w:left w:val="nil"/>
              <w:bottom w:val="single" w:sz="4" w:space="0" w:color="auto"/>
              <w:right w:val="single" w:sz="4" w:space="0" w:color="auto"/>
            </w:tcBorders>
            <w:shd w:val="clear" w:color="000000" w:fill="92D050"/>
            <w:noWrap/>
            <w:vAlign w:val="bottom"/>
            <w:hideMark/>
          </w:tcPr>
          <w:p w14:paraId="3999F2C9"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89.3</w:t>
            </w:r>
          </w:p>
        </w:tc>
        <w:tc>
          <w:tcPr>
            <w:tcW w:w="628" w:type="dxa"/>
            <w:tcBorders>
              <w:top w:val="nil"/>
              <w:left w:val="nil"/>
              <w:bottom w:val="single" w:sz="4" w:space="0" w:color="auto"/>
              <w:right w:val="single" w:sz="4" w:space="0" w:color="auto"/>
            </w:tcBorders>
            <w:shd w:val="clear" w:color="000000" w:fill="92D050"/>
            <w:noWrap/>
            <w:vAlign w:val="bottom"/>
            <w:hideMark/>
          </w:tcPr>
          <w:p w14:paraId="6203CEA0"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90.0</w:t>
            </w:r>
          </w:p>
        </w:tc>
        <w:tc>
          <w:tcPr>
            <w:tcW w:w="628" w:type="dxa"/>
            <w:tcBorders>
              <w:top w:val="nil"/>
              <w:left w:val="nil"/>
              <w:bottom w:val="single" w:sz="4" w:space="0" w:color="auto"/>
              <w:right w:val="single" w:sz="4" w:space="0" w:color="auto"/>
            </w:tcBorders>
            <w:shd w:val="clear" w:color="000000" w:fill="92D050"/>
            <w:noWrap/>
            <w:vAlign w:val="bottom"/>
            <w:hideMark/>
          </w:tcPr>
          <w:p w14:paraId="471AC68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90.3</w:t>
            </w:r>
          </w:p>
        </w:tc>
      </w:tr>
      <w:tr w:rsidR="00B56301" w:rsidRPr="00364545" w14:paraId="63D28EED"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3F327"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Cultivation</w:t>
            </w:r>
          </w:p>
        </w:tc>
        <w:tc>
          <w:tcPr>
            <w:tcW w:w="628" w:type="dxa"/>
            <w:tcBorders>
              <w:top w:val="nil"/>
              <w:left w:val="nil"/>
              <w:bottom w:val="single" w:sz="4" w:space="0" w:color="auto"/>
              <w:right w:val="single" w:sz="4" w:space="0" w:color="auto"/>
            </w:tcBorders>
            <w:shd w:val="clear" w:color="auto" w:fill="auto"/>
            <w:noWrap/>
            <w:vAlign w:val="bottom"/>
            <w:hideMark/>
          </w:tcPr>
          <w:p w14:paraId="21A3E2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35.9</w:t>
            </w:r>
          </w:p>
        </w:tc>
        <w:tc>
          <w:tcPr>
            <w:tcW w:w="628" w:type="dxa"/>
            <w:tcBorders>
              <w:top w:val="nil"/>
              <w:left w:val="nil"/>
              <w:bottom w:val="single" w:sz="4" w:space="0" w:color="auto"/>
              <w:right w:val="single" w:sz="4" w:space="0" w:color="auto"/>
            </w:tcBorders>
            <w:shd w:val="clear" w:color="auto" w:fill="auto"/>
            <w:noWrap/>
            <w:vAlign w:val="bottom"/>
            <w:hideMark/>
          </w:tcPr>
          <w:p w14:paraId="273BF9F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36.2</w:t>
            </w:r>
          </w:p>
        </w:tc>
        <w:tc>
          <w:tcPr>
            <w:tcW w:w="628" w:type="dxa"/>
            <w:tcBorders>
              <w:top w:val="nil"/>
              <w:left w:val="nil"/>
              <w:bottom w:val="single" w:sz="4" w:space="0" w:color="auto"/>
              <w:right w:val="single" w:sz="4" w:space="0" w:color="auto"/>
            </w:tcBorders>
            <w:shd w:val="clear" w:color="auto" w:fill="auto"/>
            <w:noWrap/>
            <w:vAlign w:val="bottom"/>
            <w:hideMark/>
          </w:tcPr>
          <w:p w14:paraId="42F0460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35.3</w:t>
            </w:r>
          </w:p>
        </w:tc>
        <w:tc>
          <w:tcPr>
            <w:tcW w:w="628" w:type="dxa"/>
            <w:tcBorders>
              <w:top w:val="nil"/>
              <w:left w:val="nil"/>
              <w:bottom w:val="single" w:sz="4" w:space="0" w:color="auto"/>
              <w:right w:val="single" w:sz="4" w:space="0" w:color="auto"/>
            </w:tcBorders>
            <w:shd w:val="clear" w:color="auto" w:fill="auto"/>
            <w:noWrap/>
            <w:vAlign w:val="bottom"/>
            <w:hideMark/>
          </w:tcPr>
          <w:p w14:paraId="16BB4C3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34.6</w:t>
            </w:r>
          </w:p>
        </w:tc>
        <w:tc>
          <w:tcPr>
            <w:tcW w:w="628" w:type="dxa"/>
            <w:tcBorders>
              <w:top w:val="nil"/>
              <w:left w:val="nil"/>
              <w:bottom w:val="single" w:sz="4" w:space="0" w:color="auto"/>
              <w:right w:val="single" w:sz="4" w:space="0" w:color="auto"/>
            </w:tcBorders>
            <w:shd w:val="clear" w:color="auto" w:fill="auto"/>
            <w:noWrap/>
            <w:vAlign w:val="bottom"/>
            <w:hideMark/>
          </w:tcPr>
          <w:p w14:paraId="2A67B35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34.1</w:t>
            </w:r>
          </w:p>
        </w:tc>
        <w:tc>
          <w:tcPr>
            <w:tcW w:w="628" w:type="dxa"/>
            <w:tcBorders>
              <w:top w:val="nil"/>
              <w:left w:val="nil"/>
              <w:bottom w:val="single" w:sz="4" w:space="0" w:color="auto"/>
              <w:right w:val="single" w:sz="4" w:space="0" w:color="auto"/>
            </w:tcBorders>
            <w:shd w:val="clear" w:color="auto" w:fill="auto"/>
            <w:noWrap/>
            <w:vAlign w:val="bottom"/>
            <w:hideMark/>
          </w:tcPr>
          <w:p w14:paraId="675911B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34.6</w:t>
            </w:r>
          </w:p>
        </w:tc>
        <w:tc>
          <w:tcPr>
            <w:tcW w:w="628" w:type="dxa"/>
            <w:tcBorders>
              <w:top w:val="nil"/>
              <w:left w:val="nil"/>
              <w:bottom w:val="single" w:sz="4" w:space="0" w:color="auto"/>
              <w:right w:val="single" w:sz="4" w:space="0" w:color="auto"/>
            </w:tcBorders>
            <w:shd w:val="clear" w:color="auto" w:fill="auto"/>
            <w:noWrap/>
            <w:vAlign w:val="bottom"/>
            <w:hideMark/>
          </w:tcPr>
          <w:p w14:paraId="5F0A4B6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35.1</w:t>
            </w:r>
          </w:p>
        </w:tc>
        <w:tc>
          <w:tcPr>
            <w:tcW w:w="628" w:type="dxa"/>
            <w:tcBorders>
              <w:top w:val="nil"/>
              <w:left w:val="nil"/>
              <w:bottom w:val="single" w:sz="4" w:space="0" w:color="auto"/>
              <w:right w:val="single" w:sz="4" w:space="0" w:color="auto"/>
            </w:tcBorders>
            <w:shd w:val="clear" w:color="auto" w:fill="auto"/>
            <w:noWrap/>
            <w:vAlign w:val="bottom"/>
            <w:hideMark/>
          </w:tcPr>
          <w:p w14:paraId="28FBED7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35.6</w:t>
            </w:r>
          </w:p>
        </w:tc>
      </w:tr>
      <w:tr w:rsidR="00B56301" w:rsidRPr="00364545" w14:paraId="0453ADD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noWrap/>
            <w:vAlign w:val="center"/>
            <w:hideMark/>
          </w:tcPr>
          <w:p w14:paraId="1FC214FB"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Livestock Farming</w:t>
            </w:r>
          </w:p>
        </w:tc>
        <w:tc>
          <w:tcPr>
            <w:tcW w:w="628" w:type="dxa"/>
            <w:tcBorders>
              <w:top w:val="nil"/>
              <w:left w:val="nil"/>
              <w:bottom w:val="single" w:sz="4" w:space="0" w:color="auto"/>
              <w:right w:val="single" w:sz="4" w:space="0" w:color="auto"/>
            </w:tcBorders>
            <w:shd w:val="clear" w:color="auto" w:fill="auto"/>
            <w:noWrap/>
            <w:vAlign w:val="bottom"/>
            <w:hideMark/>
          </w:tcPr>
          <w:p w14:paraId="73ABB6D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44.9</w:t>
            </w:r>
          </w:p>
        </w:tc>
        <w:tc>
          <w:tcPr>
            <w:tcW w:w="628" w:type="dxa"/>
            <w:tcBorders>
              <w:top w:val="nil"/>
              <w:left w:val="nil"/>
              <w:bottom w:val="single" w:sz="4" w:space="0" w:color="auto"/>
              <w:right w:val="single" w:sz="4" w:space="0" w:color="auto"/>
            </w:tcBorders>
            <w:shd w:val="clear" w:color="auto" w:fill="auto"/>
            <w:noWrap/>
            <w:vAlign w:val="bottom"/>
            <w:hideMark/>
          </w:tcPr>
          <w:p w14:paraId="1D91AE1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44.2</w:t>
            </w:r>
          </w:p>
        </w:tc>
        <w:tc>
          <w:tcPr>
            <w:tcW w:w="628" w:type="dxa"/>
            <w:tcBorders>
              <w:top w:val="nil"/>
              <w:left w:val="nil"/>
              <w:bottom w:val="single" w:sz="4" w:space="0" w:color="auto"/>
              <w:right w:val="single" w:sz="4" w:space="0" w:color="auto"/>
            </w:tcBorders>
            <w:shd w:val="clear" w:color="auto" w:fill="auto"/>
            <w:noWrap/>
            <w:vAlign w:val="bottom"/>
            <w:hideMark/>
          </w:tcPr>
          <w:p w14:paraId="78D0A8D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43.6</w:t>
            </w:r>
          </w:p>
        </w:tc>
        <w:tc>
          <w:tcPr>
            <w:tcW w:w="628" w:type="dxa"/>
            <w:tcBorders>
              <w:top w:val="nil"/>
              <w:left w:val="nil"/>
              <w:bottom w:val="single" w:sz="4" w:space="0" w:color="auto"/>
              <w:right w:val="single" w:sz="4" w:space="0" w:color="auto"/>
            </w:tcBorders>
            <w:shd w:val="clear" w:color="auto" w:fill="auto"/>
            <w:noWrap/>
            <w:vAlign w:val="bottom"/>
            <w:hideMark/>
          </w:tcPr>
          <w:p w14:paraId="77EAC71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43.3</w:t>
            </w:r>
          </w:p>
        </w:tc>
        <w:tc>
          <w:tcPr>
            <w:tcW w:w="628" w:type="dxa"/>
            <w:tcBorders>
              <w:top w:val="nil"/>
              <w:left w:val="nil"/>
              <w:bottom w:val="single" w:sz="4" w:space="0" w:color="auto"/>
              <w:right w:val="single" w:sz="4" w:space="0" w:color="auto"/>
            </w:tcBorders>
            <w:shd w:val="clear" w:color="auto" w:fill="auto"/>
            <w:noWrap/>
            <w:vAlign w:val="bottom"/>
            <w:hideMark/>
          </w:tcPr>
          <w:p w14:paraId="04E51FD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43.5</w:t>
            </w:r>
          </w:p>
        </w:tc>
        <w:tc>
          <w:tcPr>
            <w:tcW w:w="628" w:type="dxa"/>
            <w:tcBorders>
              <w:top w:val="nil"/>
              <w:left w:val="nil"/>
              <w:bottom w:val="single" w:sz="4" w:space="0" w:color="auto"/>
              <w:right w:val="single" w:sz="4" w:space="0" w:color="auto"/>
            </w:tcBorders>
            <w:shd w:val="clear" w:color="auto" w:fill="auto"/>
            <w:noWrap/>
            <w:vAlign w:val="bottom"/>
            <w:hideMark/>
          </w:tcPr>
          <w:p w14:paraId="65043F0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43.7</w:t>
            </w:r>
          </w:p>
        </w:tc>
        <w:tc>
          <w:tcPr>
            <w:tcW w:w="628" w:type="dxa"/>
            <w:tcBorders>
              <w:top w:val="nil"/>
              <w:left w:val="nil"/>
              <w:bottom w:val="single" w:sz="4" w:space="0" w:color="auto"/>
              <w:right w:val="single" w:sz="4" w:space="0" w:color="auto"/>
            </w:tcBorders>
            <w:shd w:val="clear" w:color="auto" w:fill="auto"/>
            <w:noWrap/>
            <w:vAlign w:val="bottom"/>
            <w:hideMark/>
          </w:tcPr>
          <w:p w14:paraId="6EF2859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43.6</w:t>
            </w:r>
          </w:p>
        </w:tc>
        <w:tc>
          <w:tcPr>
            <w:tcW w:w="628" w:type="dxa"/>
            <w:tcBorders>
              <w:top w:val="nil"/>
              <w:left w:val="nil"/>
              <w:bottom w:val="single" w:sz="4" w:space="0" w:color="auto"/>
              <w:right w:val="single" w:sz="4" w:space="0" w:color="auto"/>
            </w:tcBorders>
            <w:shd w:val="clear" w:color="auto" w:fill="auto"/>
            <w:noWrap/>
            <w:vAlign w:val="bottom"/>
            <w:hideMark/>
          </w:tcPr>
          <w:p w14:paraId="68FB1B5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43.4</w:t>
            </w:r>
          </w:p>
        </w:tc>
      </w:tr>
      <w:tr w:rsidR="00B56301" w:rsidRPr="00364545" w14:paraId="5D00F68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194112E2"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Agricultural and Forestry Plant Engines and Boilers</w:t>
            </w:r>
          </w:p>
        </w:tc>
        <w:tc>
          <w:tcPr>
            <w:tcW w:w="628" w:type="dxa"/>
            <w:tcBorders>
              <w:top w:val="nil"/>
              <w:left w:val="nil"/>
              <w:bottom w:val="single" w:sz="4" w:space="0" w:color="auto"/>
              <w:right w:val="single" w:sz="4" w:space="0" w:color="auto"/>
            </w:tcBorders>
            <w:shd w:val="clear" w:color="auto" w:fill="auto"/>
            <w:noWrap/>
            <w:vAlign w:val="center"/>
            <w:hideMark/>
          </w:tcPr>
          <w:p w14:paraId="707E32A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10.7</w:t>
            </w:r>
          </w:p>
        </w:tc>
        <w:tc>
          <w:tcPr>
            <w:tcW w:w="628" w:type="dxa"/>
            <w:tcBorders>
              <w:top w:val="nil"/>
              <w:left w:val="nil"/>
              <w:bottom w:val="single" w:sz="4" w:space="0" w:color="auto"/>
              <w:right w:val="single" w:sz="4" w:space="0" w:color="auto"/>
            </w:tcBorders>
            <w:shd w:val="clear" w:color="auto" w:fill="auto"/>
            <w:noWrap/>
            <w:vAlign w:val="center"/>
            <w:hideMark/>
          </w:tcPr>
          <w:p w14:paraId="346A269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10.7</w:t>
            </w:r>
          </w:p>
        </w:tc>
        <w:tc>
          <w:tcPr>
            <w:tcW w:w="628" w:type="dxa"/>
            <w:tcBorders>
              <w:top w:val="nil"/>
              <w:left w:val="nil"/>
              <w:bottom w:val="single" w:sz="4" w:space="0" w:color="auto"/>
              <w:right w:val="single" w:sz="4" w:space="0" w:color="auto"/>
            </w:tcBorders>
            <w:shd w:val="clear" w:color="auto" w:fill="auto"/>
            <w:noWrap/>
            <w:vAlign w:val="center"/>
            <w:hideMark/>
          </w:tcPr>
          <w:p w14:paraId="6757DE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3101A3A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26F14FF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10.9</w:t>
            </w:r>
          </w:p>
        </w:tc>
        <w:tc>
          <w:tcPr>
            <w:tcW w:w="628" w:type="dxa"/>
            <w:tcBorders>
              <w:top w:val="nil"/>
              <w:left w:val="nil"/>
              <w:bottom w:val="single" w:sz="4" w:space="0" w:color="auto"/>
              <w:right w:val="single" w:sz="4" w:space="0" w:color="auto"/>
            </w:tcBorders>
            <w:shd w:val="clear" w:color="auto" w:fill="auto"/>
            <w:noWrap/>
            <w:vAlign w:val="center"/>
            <w:hideMark/>
          </w:tcPr>
          <w:p w14:paraId="12954C9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04A8D80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11.3</w:t>
            </w:r>
          </w:p>
        </w:tc>
        <w:tc>
          <w:tcPr>
            <w:tcW w:w="628" w:type="dxa"/>
            <w:tcBorders>
              <w:top w:val="nil"/>
              <w:left w:val="nil"/>
              <w:bottom w:val="single" w:sz="4" w:space="0" w:color="auto"/>
              <w:right w:val="single" w:sz="4" w:space="0" w:color="auto"/>
            </w:tcBorders>
            <w:shd w:val="clear" w:color="auto" w:fill="auto"/>
            <w:noWrap/>
            <w:vAlign w:val="center"/>
            <w:hideMark/>
          </w:tcPr>
          <w:p w14:paraId="5C73AEA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11.3</w:t>
            </w:r>
          </w:p>
        </w:tc>
      </w:tr>
      <w:tr w:rsidR="00B56301" w:rsidRPr="00364545" w14:paraId="3F3FCCB9" w14:textId="77777777" w:rsidTr="00B37B65">
        <w:trPr>
          <w:trHeight w:val="68"/>
          <w:jc w:val="center"/>
        </w:trPr>
        <w:tc>
          <w:tcPr>
            <w:tcW w:w="5680" w:type="dxa"/>
            <w:tcBorders>
              <w:top w:val="nil"/>
              <w:left w:val="nil"/>
              <w:bottom w:val="nil"/>
              <w:right w:val="nil"/>
            </w:tcBorders>
            <w:shd w:val="clear" w:color="000000" w:fill="7030A0"/>
            <w:noWrap/>
            <w:vAlign w:val="bottom"/>
            <w:hideMark/>
          </w:tcPr>
          <w:p w14:paraId="08FF0838"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Transport</w:t>
            </w:r>
          </w:p>
        </w:tc>
        <w:tc>
          <w:tcPr>
            <w:tcW w:w="628" w:type="dxa"/>
            <w:tcBorders>
              <w:top w:val="nil"/>
              <w:left w:val="single" w:sz="4" w:space="0" w:color="auto"/>
              <w:bottom w:val="single" w:sz="4" w:space="0" w:color="auto"/>
              <w:right w:val="single" w:sz="4" w:space="0" w:color="auto"/>
            </w:tcBorders>
            <w:shd w:val="clear" w:color="000000" w:fill="7030A0"/>
            <w:noWrap/>
            <w:vAlign w:val="bottom"/>
            <w:hideMark/>
          </w:tcPr>
          <w:p w14:paraId="3AEAF807"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123.7</w:t>
            </w:r>
          </w:p>
        </w:tc>
        <w:tc>
          <w:tcPr>
            <w:tcW w:w="628" w:type="dxa"/>
            <w:tcBorders>
              <w:top w:val="nil"/>
              <w:left w:val="nil"/>
              <w:bottom w:val="single" w:sz="4" w:space="0" w:color="auto"/>
              <w:right w:val="single" w:sz="4" w:space="0" w:color="auto"/>
            </w:tcBorders>
            <w:shd w:val="clear" w:color="000000" w:fill="7030A0"/>
            <w:noWrap/>
            <w:vAlign w:val="bottom"/>
            <w:hideMark/>
          </w:tcPr>
          <w:p w14:paraId="6339FA69"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127.0</w:t>
            </w:r>
          </w:p>
        </w:tc>
        <w:tc>
          <w:tcPr>
            <w:tcW w:w="628" w:type="dxa"/>
            <w:tcBorders>
              <w:top w:val="nil"/>
              <w:left w:val="nil"/>
              <w:bottom w:val="single" w:sz="4" w:space="0" w:color="auto"/>
              <w:right w:val="single" w:sz="4" w:space="0" w:color="auto"/>
            </w:tcBorders>
            <w:shd w:val="clear" w:color="000000" w:fill="7030A0"/>
            <w:noWrap/>
            <w:vAlign w:val="bottom"/>
            <w:hideMark/>
          </w:tcPr>
          <w:p w14:paraId="42486E21"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129.7</w:t>
            </w:r>
          </w:p>
        </w:tc>
        <w:tc>
          <w:tcPr>
            <w:tcW w:w="628" w:type="dxa"/>
            <w:tcBorders>
              <w:top w:val="nil"/>
              <w:left w:val="nil"/>
              <w:bottom w:val="single" w:sz="4" w:space="0" w:color="auto"/>
              <w:right w:val="single" w:sz="4" w:space="0" w:color="auto"/>
            </w:tcBorders>
            <w:shd w:val="clear" w:color="000000" w:fill="7030A0"/>
            <w:noWrap/>
            <w:vAlign w:val="bottom"/>
            <w:hideMark/>
          </w:tcPr>
          <w:p w14:paraId="6FB5B59D"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130.7</w:t>
            </w:r>
          </w:p>
        </w:tc>
        <w:tc>
          <w:tcPr>
            <w:tcW w:w="628" w:type="dxa"/>
            <w:tcBorders>
              <w:top w:val="nil"/>
              <w:left w:val="nil"/>
              <w:bottom w:val="single" w:sz="4" w:space="0" w:color="auto"/>
              <w:right w:val="single" w:sz="4" w:space="0" w:color="auto"/>
            </w:tcBorders>
            <w:shd w:val="clear" w:color="000000" w:fill="7030A0"/>
            <w:noWrap/>
            <w:vAlign w:val="bottom"/>
            <w:hideMark/>
          </w:tcPr>
          <w:p w14:paraId="290528C5"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132.3</w:t>
            </w:r>
          </w:p>
        </w:tc>
        <w:tc>
          <w:tcPr>
            <w:tcW w:w="628" w:type="dxa"/>
            <w:tcBorders>
              <w:top w:val="nil"/>
              <w:left w:val="nil"/>
              <w:bottom w:val="single" w:sz="4" w:space="0" w:color="auto"/>
              <w:right w:val="single" w:sz="4" w:space="0" w:color="auto"/>
            </w:tcBorders>
            <w:shd w:val="clear" w:color="000000" w:fill="7030A0"/>
            <w:noWrap/>
            <w:vAlign w:val="bottom"/>
            <w:hideMark/>
          </w:tcPr>
          <w:p w14:paraId="45F9D439"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133.8</w:t>
            </w:r>
          </w:p>
        </w:tc>
        <w:tc>
          <w:tcPr>
            <w:tcW w:w="628" w:type="dxa"/>
            <w:tcBorders>
              <w:top w:val="nil"/>
              <w:left w:val="nil"/>
              <w:bottom w:val="single" w:sz="4" w:space="0" w:color="auto"/>
              <w:right w:val="single" w:sz="4" w:space="0" w:color="auto"/>
            </w:tcBorders>
            <w:shd w:val="clear" w:color="000000" w:fill="7030A0"/>
            <w:noWrap/>
            <w:vAlign w:val="bottom"/>
            <w:hideMark/>
          </w:tcPr>
          <w:p w14:paraId="1C4F7390"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134.1</w:t>
            </w:r>
          </w:p>
        </w:tc>
        <w:tc>
          <w:tcPr>
            <w:tcW w:w="628" w:type="dxa"/>
            <w:tcBorders>
              <w:top w:val="nil"/>
              <w:left w:val="nil"/>
              <w:bottom w:val="single" w:sz="4" w:space="0" w:color="auto"/>
              <w:right w:val="single" w:sz="4" w:space="0" w:color="auto"/>
            </w:tcBorders>
            <w:shd w:val="clear" w:color="000000" w:fill="7030A0"/>
            <w:noWrap/>
            <w:vAlign w:val="bottom"/>
            <w:hideMark/>
          </w:tcPr>
          <w:p w14:paraId="2F112186"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136.8</w:t>
            </w:r>
          </w:p>
        </w:tc>
      </w:tr>
      <w:tr w:rsidR="00B56301" w:rsidRPr="00364545" w14:paraId="52D19628"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auto" w:fill="auto"/>
            <w:noWrap/>
            <w:vAlign w:val="bottom"/>
            <w:hideMark/>
          </w:tcPr>
          <w:p w14:paraId="0D9DB42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Private Vehicles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614A83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67.7</w:t>
            </w:r>
          </w:p>
        </w:tc>
        <w:tc>
          <w:tcPr>
            <w:tcW w:w="628" w:type="dxa"/>
            <w:tcBorders>
              <w:top w:val="nil"/>
              <w:left w:val="nil"/>
              <w:bottom w:val="single" w:sz="4" w:space="0" w:color="auto"/>
              <w:right w:val="single" w:sz="4" w:space="0" w:color="auto"/>
            </w:tcBorders>
            <w:shd w:val="clear" w:color="auto" w:fill="auto"/>
            <w:noWrap/>
            <w:vAlign w:val="bottom"/>
            <w:hideMark/>
          </w:tcPr>
          <w:p w14:paraId="1186F9D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68.7</w:t>
            </w:r>
          </w:p>
        </w:tc>
        <w:tc>
          <w:tcPr>
            <w:tcW w:w="628" w:type="dxa"/>
            <w:tcBorders>
              <w:top w:val="nil"/>
              <w:left w:val="nil"/>
              <w:bottom w:val="single" w:sz="4" w:space="0" w:color="auto"/>
              <w:right w:val="single" w:sz="4" w:space="0" w:color="auto"/>
            </w:tcBorders>
            <w:shd w:val="clear" w:color="auto" w:fill="auto"/>
            <w:noWrap/>
            <w:vAlign w:val="bottom"/>
            <w:hideMark/>
          </w:tcPr>
          <w:p w14:paraId="022C54B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70.5</w:t>
            </w:r>
          </w:p>
        </w:tc>
        <w:tc>
          <w:tcPr>
            <w:tcW w:w="628" w:type="dxa"/>
            <w:tcBorders>
              <w:top w:val="nil"/>
              <w:left w:val="nil"/>
              <w:bottom w:val="single" w:sz="4" w:space="0" w:color="auto"/>
              <w:right w:val="single" w:sz="4" w:space="0" w:color="auto"/>
            </w:tcBorders>
            <w:shd w:val="clear" w:color="auto" w:fill="auto"/>
            <w:noWrap/>
            <w:vAlign w:val="bottom"/>
            <w:hideMark/>
          </w:tcPr>
          <w:p w14:paraId="79BA207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71.1</w:t>
            </w:r>
          </w:p>
        </w:tc>
        <w:tc>
          <w:tcPr>
            <w:tcW w:w="628" w:type="dxa"/>
            <w:tcBorders>
              <w:top w:val="nil"/>
              <w:left w:val="nil"/>
              <w:bottom w:val="single" w:sz="4" w:space="0" w:color="auto"/>
              <w:right w:val="single" w:sz="4" w:space="0" w:color="auto"/>
            </w:tcBorders>
            <w:shd w:val="clear" w:color="auto" w:fill="auto"/>
            <w:noWrap/>
            <w:vAlign w:val="bottom"/>
            <w:hideMark/>
          </w:tcPr>
          <w:p w14:paraId="747C02A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71.7</w:t>
            </w:r>
          </w:p>
        </w:tc>
        <w:tc>
          <w:tcPr>
            <w:tcW w:w="628" w:type="dxa"/>
            <w:tcBorders>
              <w:top w:val="nil"/>
              <w:left w:val="nil"/>
              <w:bottom w:val="single" w:sz="4" w:space="0" w:color="auto"/>
              <w:right w:val="single" w:sz="4" w:space="0" w:color="auto"/>
            </w:tcBorders>
            <w:shd w:val="clear" w:color="auto" w:fill="auto"/>
            <w:noWrap/>
            <w:vAlign w:val="bottom"/>
            <w:hideMark/>
          </w:tcPr>
          <w:p w14:paraId="547E522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72.6</w:t>
            </w:r>
          </w:p>
        </w:tc>
        <w:tc>
          <w:tcPr>
            <w:tcW w:w="628" w:type="dxa"/>
            <w:tcBorders>
              <w:top w:val="nil"/>
              <w:left w:val="nil"/>
              <w:bottom w:val="single" w:sz="4" w:space="0" w:color="auto"/>
              <w:right w:val="single" w:sz="4" w:space="0" w:color="auto"/>
            </w:tcBorders>
            <w:shd w:val="clear" w:color="auto" w:fill="auto"/>
            <w:noWrap/>
            <w:vAlign w:val="bottom"/>
            <w:hideMark/>
          </w:tcPr>
          <w:p w14:paraId="0D217BE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72.4</w:t>
            </w:r>
          </w:p>
        </w:tc>
        <w:tc>
          <w:tcPr>
            <w:tcW w:w="628" w:type="dxa"/>
            <w:tcBorders>
              <w:top w:val="nil"/>
              <w:left w:val="nil"/>
              <w:bottom w:val="single" w:sz="4" w:space="0" w:color="auto"/>
              <w:right w:val="single" w:sz="4" w:space="0" w:color="auto"/>
            </w:tcBorders>
            <w:shd w:val="clear" w:color="auto" w:fill="auto"/>
            <w:noWrap/>
            <w:vAlign w:val="bottom"/>
            <w:hideMark/>
          </w:tcPr>
          <w:p w14:paraId="589B246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72.9</w:t>
            </w:r>
          </w:p>
        </w:tc>
      </w:tr>
      <w:tr w:rsidR="00B56301" w:rsidRPr="00364545" w14:paraId="67D17476"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4D7A629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LCVs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B24D71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18.5</w:t>
            </w:r>
          </w:p>
        </w:tc>
        <w:tc>
          <w:tcPr>
            <w:tcW w:w="628" w:type="dxa"/>
            <w:tcBorders>
              <w:top w:val="nil"/>
              <w:left w:val="nil"/>
              <w:bottom w:val="single" w:sz="4" w:space="0" w:color="auto"/>
              <w:right w:val="single" w:sz="4" w:space="0" w:color="auto"/>
            </w:tcBorders>
            <w:shd w:val="clear" w:color="auto" w:fill="auto"/>
            <w:noWrap/>
            <w:vAlign w:val="bottom"/>
            <w:hideMark/>
          </w:tcPr>
          <w:p w14:paraId="7F5CECA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19.4</w:t>
            </w:r>
          </w:p>
        </w:tc>
        <w:tc>
          <w:tcPr>
            <w:tcW w:w="628" w:type="dxa"/>
            <w:tcBorders>
              <w:top w:val="nil"/>
              <w:left w:val="nil"/>
              <w:bottom w:val="single" w:sz="4" w:space="0" w:color="auto"/>
              <w:right w:val="single" w:sz="4" w:space="0" w:color="auto"/>
            </w:tcBorders>
            <w:shd w:val="clear" w:color="auto" w:fill="auto"/>
            <w:noWrap/>
            <w:vAlign w:val="bottom"/>
            <w:hideMark/>
          </w:tcPr>
          <w:p w14:paraId="2AEF34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19.7</w:t>
            </w:r>
          </w:p>
        </w:tc>
        <w:tc>
          <w:tcPr>
            <w:tcW w:w="628" w:type="dxa"/>
            <w:tcBorders>
              <w:top w:val="nil"/>
              <w:left w:val="nil"/>
              <w:bottom w:val="single" w:sz="4" w:space="0" w:color="auto"/>
              <w:right w:val="single" w:sz="4" w:space="0" w:color="auto"/>
            </w:tcBorders>
            <w:shd w:val="clear" w:color="auto" w:fill="auto"/>
            <w:noWrap/>
            <w:vAlign w:val="bottom"/>
            <w:hideMark/>
          </w:tcPr>
          <w:p w14:paraId="35BE2C7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20.1</w:t>
            </w:r>
          </w:p>
        </w:tc>
        <w:tc>
          <w:tcPr>
            <w:tcW w:w="628" w:type="dxa"/>
            <w:tcBorders>
              <w:top w:val="nil"/>
              <w:left w:val="nil"/>
              <w:bottom w:val="single" w:sz="4" w:space="0" w:color="auto"/>
              <w:right w:val="single" w:sz="4" w:space="0" w:color="auto"/>
            </w:tcBorders>
            <w:shd w:val="clear" w:color="auto" w:fill="auto"/>
            <w:noWrap/>
            <w:vAlign w:val="bottom"/>
            <w:hideMark/>
          </w:tcPr>
          <w:p w14:paraId="5BBD289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20.4</w:t>
            </w:r>
          </w:p>
        </w:tc>
        <w:tc>
          <w:tcPr>
            <w:tcW w:w="628" w:type="dxa"/>
            <w:tcBorders>
              <w:top w:val="nil"/>
              <w:left w:val="nil"/>
              <w:bottom w:val="single" w:sz="4" w:space="0" w:color="auto"/>
              <w:right w:val="single" w:sz="4" w:space="0" w:color="auto"/>
            </w:tcBorders>
            <w:shd w:val="clear" w:color="auto" w:fill="auto"/>
            <w:noWrap/>
            <w:vAlign w:val="bottom"/>
            <w:hideMark/>
          </w:tcPr>
          <w:p w14:paraId="02CA6A9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20.2</w:t>
            </w:r>
          </w:p>
        </w:tc>
        <w:tc>
          <w:tcPr>
            <w:tcW w:w="628" w:type="dxa"/>
            <w:tcBorders>
              <w:top w:val="nil"/>
              <w:left w:val="nil"/>
              <w:bottom w:val="single" w:sz="4" w:space="0" w:color="auto"/>
              <w:right w:val="single" w:sz="4" w:space="0" w:color="auto"/>
            </w:tcBorders>
            <w:shd w:val="clear" w:color="auto" w:fill="auto"/>
            <w:noWrap/>
            <w:vAlign w:val="bottom"/>
            <w:hideMark/>
          </w:tcPr>
          <w:p w14:paraId="2A67FED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20.3</w:t>
            </w:r>
          </w:p>
        </w:tc>
        <w:tc>
          <w:tcPr>
            <w:tcW w:w="628" w:type="dxa"/>
            <w:tcBorders>
              <w:top w:val="nil"/>
              <w:left w:val="nil"/>
              <w:bottom w:val="single" w:sz="4" w:space="0" w:color="auto"/>
              <w:right w:val="single" w:sz="4" w:space="0" w:color="auto"/>
            </w:tcBorders>
            <w:shd w:val="clear" w:color="auto" w:fill="auto"/>
            <w:noWrap/>
            <w:vAlign w:val="bottom"/>
            <w:hideMark/>
          </w:tcPr>
          <w:p w14:paraId="72A9669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21.0</w:t>
            </w:r>
          </w:p>
        </w:tc>
      </w:tr>
      <w:tr w:rsidR="00B56301" w:rsidRPr="00364545" w14:paraId="09B93EAA"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696DC954"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HGVs (incl. Buses and Coaches)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3D17C0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29.1</w:t>
            </w:r>
          </w:p>
        </w:tc>
        <w:tc>
          <w:tcPr>
            <w:tcW w:w="628" w:type="dxa"/>
            <w:tcBorders>
              <w:top w:val="nil"/>
              <w:left w:val="nil"/>
              <w:bottom w:val="single" w:sz="4" w:space="0" w:color="auto"/>
              <w:right w:val="single" w:sz="4" w:space="0" w:color="auto"/>
            </w:tcBorders>
            <w:shd w:val="clear" w:color="auto" w:fill="auto"/>
            <w:noWrap/>
            <w:vAlign w:val="bottom"/>
            <w:hideMark/>
          </w:tcPr>
          <w:p w14:paraId="068FCA3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30.2</w:t>
            </w:r>
          </w:p>
        </w:tc>
        <w:tc>
          <w:tcPr>
            <w:tcW w:w="628" w:type="dxa"/>
            <w:tcBorders>
              <w:top w:val="nil"/>
              <w:left w:val="nil"/>
              <w:bottom w:val="single" w:sz="4" w:space="0" w:color="auto"/>
              <w:right w:val="single" w:sz="4" w:space="0" w:color="auto"/>
            </w:tcBorders>
            <w:shd w:val="clear" w:color="auto" w:fill="auto"/>
            <w:noWrap/>
            <w:vAlign w:val="bottom"/>
            <w:hideMark/>
          </w:tcPr>
          <w:p w14:paraId="554DB09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31.1</w:t>
            </w:r>
          </w:p>
        </w:tc>
        <w:tc>
          <w:tcPr>
            <w:tcW w:w="628" w:type="dxa"/>
            <w:tcBorders>
              <w:top w:val="nil"/>
              <w:left w:val="nil"/>
              <w:bottom w:val="single" w:sz="4" w:space="0" w:color="auto"/>
              <w:right w:val="single" w:sz="4" w:space="0" w:color="auto"/>
            </w:tcBorders>
            <w:shd w:val="clear" w:color="auto" w:fill="auto"/>
            <w:noWrap/>
            <w:vAlign w:val="bottom"/>
            <w:hideMark/>
          </w:tcPr>
          <w:p w14:paraId="207C806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30.7</w:t>
            </w:r>
          </w:p>
        </w:tc>
        <w:tc>
          <w:tcPr>
            <w:tcW w:w="628" w:type="dxa"/>
            <w:tcBorders>
              <w:top w:val="nil"/>
              <w:left w:val="nil"/>
              <w:bottom w:val="single" w:sz="4" w:space="0" w:color="auto"/>
              <w:right w:val="single" w:sz="4" w:space="0" w:color="auto"/>
            </w:tcBorders>
            <w:shd w:val="clear" w:color="auto" w:fill="auto"/>
            <w:noWrap/>
            <w:vAlign w:val="bottom"/>
            <w:hideMark/>
          </w:tcPr>
          <w:p w14:paraId="63579AD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31.6</w:t>
            </w:r>
          </w:p>
        </w:tc>
        <w:tc>
          <w:tcPr>
            <w:tcW w:w="628" w:type="dxa"/>
            <w:tcBorders>
              <w:top w:val="nil"/>
              <w:left w:val="nil"/>
              <w:bottom w:val="single" w:sz="4" w:space="0" w:color="auto"/>
              <w:right w:val="single" w:sz="4" w:space="0" w:color="auto"/>
            </w:tcBorders>
            <w:shd w:val="clear" w:color="auto" w:fill="auto"/>
            <w:noWrap/>
            <w:vAlign w:val="bottom"/>
            <w:hideMark/>
          </w:tcPr>
          <w:p w14:paraId="32DBB0E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31.8</w:t>
            </w:r>
          </w:p>
        </w:tc>
        <w:tc>
          <w:tcPr>
            <w:tcW w:w="628" w:type="dxa"/>
            <w:tcBorders>
              <w:top w:val="nil"/>
              <w:left w:val="nil"/>
              <w:bottom w:val="single" w:sz="4" w:space="0" w:color="auto"/>
              <w:right w:val="single" w:sz="4" w:space="0" w:color="auto"/>
            </w:tcBorders>
            <w:shd w:val="clear" w:color="auto" w:fill="auto"/>
            <w:noWrap/>
            <w:vAlign w:val="bottom"/>
            <w:hideMark/>
          </w:tcPr>
          <w:p w14:paraId="311F3BE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31.8</w:t>
            </w:r>
          </w:p>
        </w:tc>
        <w:tc>
          <w:tcPr>
            <w:tcW w:w="628" w:type="dxa"/>
            <w:tcBorders>
              <w:top w:val="nil"/>
              <w:left w:val="nil"/>
              <w:bottom w:val="single" w:sz="4" w:space="0" w:color="auto"/>
              <w:right w:val="single" w:sz="4" w:space="0" w:color="auto"/>
            </w:tcBorders>
            <w:shd w:val="clear" w:color="auto" w:fill="auto"/>
            <w:noWrap/>
            <w:vAlign w:val="bottom"/>
            <w:hideMark/>
          </w:tcPr>
          <w:p w14:paraId="1649010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32.9</w:t>
            </w:r>
          </w:p>
        </w:tc>
      </w:tr>
      <w:tr w:rsidR="00B56301" w:rsidRPr="00364545" w14:paraId="0D69768A"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22A5C06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Two-wheeled Vehicles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4BD3BFB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156E5FB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465BBF7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48CCD7A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7578F31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3C1264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289E47D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5B37F97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r>
      <w:tr w:rsidR="00B56301" w:rsidRPr="00364545" w14:paraId="418FF1FF"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21F543BB"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Rail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9342E3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41DE6A5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0CA294C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5433465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4E1EC8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0DF646F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3C0DAFF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7424C46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r>
      <w:tr w:rsidR="00B56301" w:rsidRPr="00364545" w14:paraId="37EEE3F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A43953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River Barge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DC0F13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DF2C3B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354A28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9076AB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2C95973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1D7F82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555870D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3CEF006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r>
      <w:tr w:rsidR="00B56301" w:rsidRPr="00364545" w14:paraId="5EBA2F82"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2ABE97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Domestic Marine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8298F8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6D73A7B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08F740B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1079E5A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2F6CDEB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7EA9B7A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4FF838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009B3E8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w:t>
            </w:r>
          </w:p>
        </w:tc>
      </w:tr>
      <w:tr w:rsidR="00B56301" w:rsidRPr="00364545" w14:paraId="00C5C50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27BD7B1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Shipping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B28507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44A3ABA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55FD68B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75A6BA5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1846E27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7269A5E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5A0E3FC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6FB152E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r>
      <w:tr w:rsidR="00B56301" w:rsidRPr="00364545" w14:paraId="7385A578"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E2378A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French Air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1D773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w:t>
            </w:r>
          </w:p>
        </w:tc>
        <w:tc>
          <w:tcPr>
            <w:tcW w:w="628" w:type="dxa"/>
            <w:tcBorders>
              <w:top w:val="nil"/>
              <w:left w:val="nil"/>
              <w:bottom w:val="single" w:sz="4" w:space="0" w:color="auto"/>
              <w:right w:val="single" w:sz="4" w:space="0" w:color="auto"/>
            </w:tcBorders>
            <w:shd w:val="clear" w:color="auto" w:fill="auto"/>
            <w:noWrap/>
            <w:vAlign w:val="bottom"/>
            <w:hideMark/>
          </w:tcPr>
          <w:p w14:paraId="7189520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w:t>
            </w:r>
          </w:p>
        </w:tc>
        <w:tc>
          <w:tcPr>
            <w:tcW w:w="628" w:type="dxa"/>
            <w:tcBorders>
              <w:top w:val="nil"/>
              <w:left w:val="nil"/>
              <w:bottom w:val="single" w:sz="4" w:space="0" w:color="auto"/>
              <w:right w:val="single" w:sz="4" w:space="0" w:color="auto"/>
            </w:tcBorders>
            <w:shd w:val="clear" w:color="auto" w:fill="auto"/>
            <w:noWrap/>
            <w:vAlign w:val="bottom"/>
            <w:hideMark/>
          </w:tcPr>
          <w:p w14:paraId="3C1CBB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w:t>
            </w:r>
          </w:p>
        </w:tc>
        <w:tc>
          <w:tcPr>
            <w:tcW w:w="628" w:type="dxa"/>
            <w:tcBorders>
              <w:top w:val="nil"/>
              <w:left w:val="nil"/>
              <w:bottom w:val="single" w:sz="4" w:space="0" w:color="auto"/>
              <w:right w:val="single" w:sz="4" w:space="0" w:color="auto"/>
            </w:tcBorders>
            <w:shd w:val="clear" w:color="auto" w:fill="auto"/>
            <w:noWrap/>
            <w:vAlign w:val="bottom"/>
            <w:hideMark/>
          </w:tcPr>
          <w:p w14:paraId="3550DE3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w:t>
            </w:r>
          </w:p>
        </w:tc>
        <w:tc>
          <w:tcPr>
            <w:tcW w:w="628" w:type="dxa"/>
            <w:tcBorders>
              <w:top w:val="nil"/>
              <w:left w:val="nil"/>
              <w:bottom w:val="single" w:sz="4" w:space="0" w:color="auto"/>
              <w:right w:val="single" w:sz="4" w:space="0" w:color="auto"/>
            </w:tcBorders>
            <w:shd w:val="clear" w:color="auto" w:fill="auto"/>
            <w:noWrap/>
            <w:vAlign w:val="bottom"/>
            <w:hideMark/>
          </w:tcPr>
          <w:p w14:paraId="7A697B8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w:t>
            </w:r>
          </w:p>
        </w:tc>
        <w:tc>
          <w:tcPr>
            <w:tcW w:w="628" w:type="dxa"/>
            <w:tcBorders>
              <w:top w:val="nil"/>
              <w:left w:val="nil"/>
              <w:bottom w:val="single" w:sz="4" w:space="0" w:color="auto"/>
              <w:right w:val="single" w:sz="4" w:space="0" w:color="auto"/>
            </w:tcBorders>
            <w:shd w:val="clear" w:color="auto" w:fill="auto"/>
            <w:noWrap/>
            <w:vAlign w:val="bottom"/>
            <w:hideMark/>
          </w:tcPr>
          <w:p w14:paraId="3BB405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5.0</w:t>
            </w:r>
          </w:p>
        </w:tc>
        <w:tc>
          <w:tcPr>
            <w:tcW w:w="628" w:type="dxa"/>
            <w:tcBorders>
              <w:top w:val="nil"/>
              <w:left w:val="nil"/>
              <w:bottom w:val="single" w:sz="4" w:space="0" w:color="auto"/>
              <w:right w:val="single" w:sz="4" w:space="0" w:color="auto"/>
            </w:tcBorders>
            <w:shd w:val="clear" w:color="auto" w:fill="auto"/>
            <w:noWrap/>
            <w:vAlign w:val="bottom"/>
            <w:hideMark/>
          </w:tcPr>
          <w:p w14:paraId="04408F9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5.6</w:t>
            </w:r>
          </w:p>
        </w:tc>
        <w:tc>
          <w:tcPr>
            <w:tcW w:w="628" w:type="dxa"/>
            <w:tcBorders>
              <w:top w:val="nil"/>
              <w:left w:val="nil"/>
              <w:bottom w:val="single" w:sz="4" w:space="0" w:color="auto"/>
              <w:right w:val="single" w:sz="4" w:space="0" w:color="auto"/>
            </w:tcBorders>
            <w:shd w:val="clear" w:color="auto" w:fill="auto"/>
            <w:noWrap/>
            <w:vAlign w:val="bottom"/>
            <w:hideMark/>
          </w:tcPr>
          <w:p w14:paraId="3BD19D2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5.7</w:t>
            </w:r>
          </w:p>
        </w:tc>
      </w:tr>
      <w:tr w:rsidR="00B56301" w:rsidRPr="00364545" w14:paraId="1B62E182"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D9D9D9"/>
            <w:noWrap/>
            <w:vAlign w:val="bottom"/>
            <w:hideMark/>
          </w:tcPr>
          <w:p w14:paraId="6929EC6B"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National TOTAL except UTCATF</w:t>
            </w:r>
          </w:p>
        </w:tc>
        <w:tc>
          <w:tcPr>
            <w:tcW w:w="628" w:type="dxa"/>
            <w:tcBorders>
              <w:top w:val="nil"/>
              <w:left w:val="nil"/>
              <w:bottom w:val="single" w:sz="4" w:space="0" w:color="auto"/>
              <w:right w:val="single" w:sz="4" w:space="0" w:color="auto"/>
            </w:tcBorders>
            <w:shd w:val="clear" w:color="000000" w:fill="D9D9D9"/>
            <w:noWrap/>
            <w:vAlign w:val="bottom"/>
            <w:hideMark/>
          </w:tcPr>
          <w:p w14:paraId="085FC09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544.1</w:t>
            </w:r>
          </w:p>
        </w:tc>
        <w:tc>
          <w:tcPr>
            <w:tcW w:w="628" w:type="dxa"/>
            <w:tcBorders>
              <w:top w:val="nil"/>
              <w:left w:val="nil"/>
              <w:bottom w:val="single" w:sz="4" w:space="0" w:color="auto"/>
              <w:right w:val="single" w:sz="4" w:space="0" w:color="auto"/>
            </w:tcBorders>
            <w:shd w:val="clear" w:color="000000" w:fill="D9D9D9"/>
            <w:noWrap/>
            <w:vAlign w:val="bottom"/>
            <w:hideMark/>
          </w:tcPr>
          <w:p w14:paraId="5C6BC35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571.0</w:t>
            </w:r>
          </w:p>
        </w:tc>
        <w:tc>
          <w:tcPr>
            <w:tcW w:w="628" w:type="dxa"/>
            <w:tcBorders>
              <w:top w:val="nil"/>
              <w:left w:val="nil"/>
              <w:bottom w:val="single" w:sz="4" w:space="0" w:color="auto"/>
              <w:right w:val="single" w:sz="4" w:space="0" w:color="auto"/>
            </w:tcBorders>
            <w:shd w:val="clear" w:color="000000" w:fill="D9D9D9"/>
            <w:noWrap/>
            <w:vAlign w:val="bottom"/>
            <w:hideMark/>
          </w:tcPr>
          <w:p w14:paraId="2D317E5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558.8</w:t>
            </w:r>
          </w:p>
        </w:tc>
        <w:tc>
          <w:tcPr>
            <w:tcW w:w="628" w:type="dxa"/>
            <w:tcBorders>
              <w:top w:val="nil"/>
              <w:left w:val="nil"/>
              <w:bottom w:val="single" w:sz="4" w:space="0" w:color="auto"/>
              <w:right w:val="single" w:sz="4" w:space="0" w:color="auto"/>
            </w:tcBorders>
            <w:shd w:val="clear" w:color="000000" w:fill="D9D9D9"/>
            <w:noWrap/>
            <w:vAlign w:val="bottom"/>
            <w:hideMark/>
          </w:tcPr>
          <w:p w14:paraId="5EC920C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538.6</w:t>
            </w:r>
          </w:p>
        </w:tc>
        <w:tc>
          <w:tcPr>
            <w:tcW w:w="628" w:type="dxa"/>
            <w:tcBorders>
              <w:top w:val="nil"/>
              <w:left w:val="nil"/>
              <w:bottom w:val="single" w:sz="4" w:space="0" w:color="auto"/>
              <w:right w:val="single" w:sz="4" w:space="0" w:color="auto"/>
            </w:tcBorders>
            <w:shd w:val="clear" w:color="000000" w:fill="D9D9D9"/>
            <w:noWrap/>
            <w:vAlign w:val="bottom"/>
            <w:hideMark/>
          </w:tcPr>
          <w:p w14:paraId="64FC5E1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531.2</w:t>
            </w:r>
          </w:p>
        </w:tc>
        <w:tc>
          <w:tcPr>
            <w:tcW w:w="628" w:type="dxa"/>
            <w:tcBorders>
              <w:top w:val="nil"/>
              <w:left w:val="nil"/>
              <w:bottom w:val="single" w:sz="4" w:space="0" w:color="auto"/>
              <w:right w:val="single" w:sz="4" w:space="0" w:color="auto"/>
            </w:tcBorders>
            <w:shd w:val="clear" w:color="000000" w:fill="D9D9D9"/>
            <w:noWrap/>
            <w:vAlign w:val="bottom"/>
            <w:hideMark/>
          </w:tcPr>
          <w:p w14:paraId="40B1AD3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536.5</w:t>
            </w:r>
          </w:p>
        </w:tc>
        <w:tc>
          <w:tcPr>
            <w:tcW w:w="628" w:type="dxa"/>
            <w:tcBorders>
              <w:top w:val="nil"/>
              <w:left w:val="nil"/>
              <w:bottom w:val="single" w:sz="4" w:space="0" w:color="auto"/>
              <w:right w:val="single" w:sz="4" w:space="0" w:color="auto"/>
            </w:tcBorders>
            <w:shd w:val="clear" w:color="000000" w:fill="D9D9D9"/>
            <w:noWrap/>
            <w:vAlign w:val="bottom"/>
            <w:hideMark/>
          </w:tcPr>
          <w:p w14:paraId="7B4EADD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553.5</w:t>
            </w:r>
          </w:p>
        </w:tc>
        <w:tc>
          <w:tcPr>
            <w:tcW w:w="628" w:type="dxa"/>
            <w:tcBorders>
              <w:top w:val="nil"/>
              <w:left w:val="nil"/>
              <w:bottom w:val="single" w:sz="4" w:space="0" w:color="auto"/>
              <w:right w:val="single" w:sz="4" w:space="0" w:color="auto"/>
            </w:tcBorders>
            <w:shd w:val="clear" w:color="000000" w:fill="D9D9D9"/>
            <w:noWrap/>
            <w:vAlign w:val="bottom"/>
            <w:hideMark/>
          </w:tcPr>
          <w:p w14:paraId="146FAD9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545.9</w:t>
            </w:r>
          </w:p>
        </w:tc>
      </w:tr>
      <w:tr w:rsidR="00B56301" w:rsidRPr="00364545" w14:paraId="0016663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B71EA6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Forests</w:t>
            </w:r>
          </w:p>
        </w:tc>
        <w:tc>
          <w:tcPr>
            <w:tcW w:w="628" w:type="dxa"/>
            <w:tcBorders>
              <w:top w:val="nil"/>
              <w:left w:val="nil"/>
              <w:bottom w:val="single" w:sz="4" w:space="0" w:color="auto"/>
              <w:right w:val="single" w:sz="4" w:space="0" w:color="auto"/>
            </w:tcBorders>
            <w:shd w:val="clear" w:color="auto" w:fill="auto"/>
            <w:noWrap/>
            <w:vAlign w:val="bottom"/>
            <w:hideMark/>
          </w:tcPr>
          <w:p w14:paraId="1C3B4C4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-38.6</w:t>
            </w:r>
          </w:p>
        </w:tc>
        <w:tc>
          <w:tcPr>
            <w:tcW w:w="628" w:type="dxa"/>
            <w:tcBorders>
              <w:top w:val="nil"/>
              <w:left w:val="nil"/>
              <w:bottom w:val="single" w:sz="4" w:space="0" w:color="auto"/>
              <w:right w:val="single" w:sz="4" w:space="0" w:color="auto"/>
            </w:tcBorders>
            <w:shd w:val="clear" w:color="auto" w:fill="auto"/>
            <w:noWrap/>
            <w:vAlign w:val="bottom"/>
            <w:hideMark/>
          </w:tcPr>
          <w:p w14:paraId="29E9791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-38.5</w:t>
            </w:r>
          </w:p>
        </w:tc>
        <w:tc>
          <w:tcPr>
            <w:tcW w:w="628" w:type="dxa"/>
            <w:tcBorders>
              <w:top w:val="nil"/>
              <w:left w:val="nil"/>
              <w:bottom w:val="single" w:sz="4" w:space="0" w:color="auto"/>
              <w:right w:val="single" w:sz="4" w:space="0" w:color="auto"/>
            </w:tcBorders>
            <w:shd w:val="clear" w:color="auto" w:fill="auto"/>
            <w:noWrap/>
            <w:vAlign w:val="bottom"/>
            <w:hideMark/>
          </w:tcPr>
          <w:p w14:paraId="7CD622A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-38.0</w:t>
            </w:r>
          </w:p>
        </w:tc>
        <w:tc>
          <w:tcPr>
            <w:tcW w:w="628" w:type="dxa"/>
            <w:tcBorders>
              <w:top w:val="nil"/>
              <w:left w:val="nil"/>
              <w:bottom w:val="single" w:sz="4" w:space="0" w:color="auto"/>
              <w:right w:val="single" w:sz="4" w:space="0" w:color="auto"/>
            </w:tcBorders>
            <w:shd w:val="clear" w:color="auto" w:fill="auto"/>
            <w:noWrap/>
            <w:vAlign w:val="bottom"/>
            <w:hideMark/>
          </w:tcPr>
          <w:p w14:paraId="3DFCDB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-42.1</w:t>
            </w:r>
          </w:p>
        </w:tc>
        <w:tc>
          <w:tcPr>
            <w:tcW w:w="628" w:type="dxa"/>
            <w:tcBorders>
              <w:top w:val="nil"/>
              <w:left w:val="nil"/>
              <w:bottom w:val="single" w:sz="4" w:space="0" w:color="auto"/>
              <w:right w:val="single" w:sz="4" w:space="0" w:color="auto"/>
            </w:tcBorders>
            <w:shd w:val="clear" w:color="auto" w:fill="auto"/>
            <w:noWrap/>
            <w:vAlign w:val="bottom"/>
            <w:hideMark/>
          </w:tcPr>
          <w:p w14:paraId="2878E96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-43.1</w:t>
            </w:r>
          </w:p>
        </w:tc>
        <w:tc>
          <w:tcPr>
            <w:tcW w:w="628" w:type="dxa"/>
            <w:tcBorders>
              <w:top w:val="nil"/>
              <w:left w:val="nil"/>
              <w:bottom w:val="single" w:sz="4" w:space="0" w:color="auto"/>
              <w:right w:val="single" w:sz="4" w:space="0" w:color="auto"/>
            </w:tcBorders>
            <w:shd w:val="clear" w:color="auto" w:fill="auto"/>
            <w:noWrap/>
            <w:vAlign w:val="bottom"/>
            <w:hideMark/>
          </w:tcPr>
          <w:p w14:paraId="419E49F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-43.8</w:t>
            </w:r>
          </w:p>
        </w:tc>
        <w:tc>
          <w:tcPr>
            <w:tcW w:w="628" w:type="dxa"/>
            <w:tcBorders>
              <w:top w:val="nil"/>
              <w:left w:val="nil"/>
              <w:bottom w:val="single" w:sz="4" w:space="0" w:color="auto"/>
              <w:right w:val="single" w:sz="4" w:space="0" w:color="auto"/>
            </w:tcBorders>
            <w:shd w:val="clear" w:color="auto" w:fill="auto"/>
            <w:noWrap/>
            <w:vAlign w:val="bottom"/>
            <w:hideMark/>
          </w:tcPr>
          <w:p w14:paraId="7087674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-50.5</w:t>
            </w:r>
          </w:p>
        </w:tc>
        <w:tc>
          <w:tcPr>
            <w:tcW w:w="628" w:type="dxa"/>
            <w:tcBorders>
              <w:top w:val="nil"/>
              <w:left w:val="nil"/>
              <w:bottom w:val="single" w:sz="4" w:space="0" w:color="auto"/>
              <w:right w:val="single" w:sz="4" w:space="0" w:color="auto"/>
            </w:tcBorders>
            <w:shd w:val="clear" w:color="auto" w:fill="auto"/>
            <w:noWrap/>
            <w:vAlign w:val="bottom"/>
            <w:hideMark/>
          </w:tcPr>
          <w:p w14:paraId="15913E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-49.9</w:t>
            </w:r>
          </w:p>
        </w:tc>
      </w:tr>
      <w:tr w:rsidR="00B56301" w:rsidRPr="00364545" w14:paraId="7D38ADB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65C705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Farmland</w:t>
            </w:r>
          </w:p>
        </w:tc>
        <w:tc>
          <w:tcPr>
            <w:tcW w:w="628" w:type="dxa"/>
            <w:tcBorders>
              <w:top w:val="nil"/>
              <w:left w:val="nil"/>
              <w:bottom w:val="single" w:sz="4" w:space="0" w:color="auto"/>
              <w:right w:val="single" w:sz="4" w:space="0" w:color="auto"/>
            </w:tcBorders>
            <w:shd w:val="clear" w:color="auto" w:fill="auto"/>
            <w:noWrap/>
            <w:vAlign w:val="bottom"/>
            <w:hideMark/>
          </w:tcPr>
          <w:p w14:paraId="534FDA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23.2</w:t>
            </w:r>
          </w:p>
        </w:tc>
        <w:tc>
          <w:tcPr>
            <w:tcW w:w="628" w:type="dxa"/>
            <w:tcBorders>
              <w:top w:val="nil"/>
              <w:left w:val="nil"/>
              <w:bottom w:val="single" w:sz="4" w:space="0" w:color="auto"/>
              <w:right w:val="single" w:sz="4" w:space="0" w:color="auto"/>
            </w:tcBorders>
            <w:shd w:val="clear" w:color="auto" w:fill="auto"/>
            <w:noWrap/>
            <w:vAlign w:val="bottom"/>
            <w:hideMark/>
          </w:tcPr>
          <w:p w14:paraId="3975E7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23.1</w:t>
            </w:r>
          </w:p>
        </w:tc>
        <w:tc>
          <w:tcPr>
            <w:tcW w:w="628" w:type="dxa"/>
            <w:tcBorders>
              <w:top w:val="nil"/>
              <w:left w:val="nil"/>
              <w:bottom w:val="single" w:sz="4" w:space="0" w:color="auto"/>
              <w:right w:val="single" w:sz="4" w:space="0" w:color="auto"/>
            </w:tcBorders>
            <w:shd w:val="clear" w:color="auto" w:fill="auto"/>
            <w:noWrap/>
            <w:vAlign w:val="bottom"/>
            <w:hideMark/>
          </w:tcPr>
          <w:p w14:paraId="7B45CAC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23.1</w:t>
            </w:r>
          </w:p>
        </w:tc>
        <w:tc>
          <w:tcPr>
            <w:tcW w:w="628" w:type="dxa"/>
            <w:tcBorders>
              <w:top w:val="nil"/>
              <w:left w:val="nil"/>
              <w:bottom w:val="single" w:sz="4" w:space="0" w:color="auto"/>
              <w:right w:val="single" w:sz="4" w:space="0" w:color="auto"/>
            </w:tcBorders>
            <w:shd w:val="clear" w:color="auto" w:fill="auto"/>
            <w:noWrap/>
            <w:vAlign w:val="bottom"/>
            <w:hideMark/>
          </w:tcPr>
          <w:p w14:paraId="3F81734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23.2</w:t>
            </w:r>
          </w:p>
        </w:tc>
        <w:tc>
          <w:tcPr>
            <w:tcW w:w="628" w:type="dxa"/>
            <w:tcBorders>
              <w:top w:val="nil"/>
              <w:left w:val="nil"/>
              <w:bottom w:val="single" w:sz="4" w:space="0" w:color="auto"/>
              <w:right w:val="single" w:sz="4" w:space="0" w:color="auto"/>
            </w:tcBorders>
            <w:shd w:val="clear" w:color="auto" w:fill="auto"/>
            <w:noWrap/>
            <w:vAlign w:val="bottom"/>
            <w:hideMark/>
          </w:tcPr>
          <w:p w14:paraId="643091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23.1</w:t>
            </w:r>
          </w:p>
        </w:tc>
        <w:tc>
          <w:tcPr>
            <w:tcW w:w="628" w:type="dxa"/>
            <w:tcBorders>
              <w:top w:val="nil"/>
              <w:left w:val="nil"/>
              <w:bottom w:val="single" w:sz="4" w:space="0" w:color="auto"/>
              <w:right w:val="single" w:sz="4" w:space="0" w:color="auto"/>
            </w:tcBorders>
            <w:shd w:val="clear" w:color="auto" w:fill="auto"/>
            <w:noWrap/>
            <w:vAlign w:val="bottom"/>
            <w:hideMark/>
          </w:tcPr>
          <w:p w14:paraId="364B07D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22.6</w:t>
            </w:r>
          </w:p>
        </w:tc>
        <w:tc>
          <w:tcPr>
            <w:tcW w:w="628" w:type="dxa"/>
            <w:tcBorders>
              <w:top w:val="nil"/>
              <w:left w:val="nil"/>
              <w:bottom w:val="single" w:sz="4" w:space="0" w:color="auto"/>
              <w:right w:val="single" w:sz="4" w:space="0" w:color="auto"/>
            </w:tcBorders>
            <w:shd w:val="clear" w:color="auto" w:fill="auto"/>
            <w:noWrap/>
            <w:vAlign w:val="bottom"/>
            <w:hideMark/>
          </w:tcPr>
          <w:p w14:paraId="77786DE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22.9</w:t>
            </w:r>
          </w:p>
        </w:tc>
        <w:tc>
          <w:tcPr>
            <w:tcW w:w="628" w:type="dxa"/>
            <w:tcBorders>
              <w:top w:val="nil"/>
              <w:left w:val="nil"/>
              <w:bottom w:val="single" w:sz="4" w:space="0" w:color="auto"/>
              <w:right w:val="single" w:sz="4" w:space="0" w:color="auto"/>
            </w:tcBorders>
            <w:shd w:val="clear" w:color="auto" w:fill="auto"/>
            <w:noWrap/>
            <w:vAlign w:val="bottom"/>
            <w:hideMark/>
          </w:tcPr>
          <w:p w14:paraId="621C92C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22.4</w:t>
            </w:r>
          </w:p>
        </w:tc>
      </w:tr>
      <w:tr w:rsidR="00B56301" w:rsidRPr="00364545" w14:paraId="45E03C2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26C5CB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Grasslands</w:t>
            </w:r>
          </w:p>
        </w:tc>
        <w:tc>
          <w:tcPr>
            <w:tcW w:w="628" w:type="dxa"/>
            <w:tcBorders>
              <w:top w:val="nil"/>
              <w:left w:val="nil"/>
              <w:bottom w:val="single" w:sz="4" w:space="0" w:color="auto"/>
              <w:right w:val="single" w:sz="4" w:space="0" w:color="auto"/>
            </w:tcBorders>
            <w:shd w:val="clear" w:color="auto" w:fill="auto"/>
            <w:noWrap/>
            <w:vAlign w:val="bottom"/>
            <w:hideMark/>
          </w:tcPr>
          <w:p w14:paraId="122E4E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-13.7</w:t>
            </w:r>
          </w:p>
        </w:tc>
        <w:tc>
          <w:tcPr>
            <w:tcW w:w="628" w:type="dxa"/>
            <w:tcBorders>
              <w:top w:val="nil"/>
              <w:left w:val="nil"/>
              <w:bottom w:val="single" w:sz="4" w:space="0" w:color="auto"/>
              <w:right w:val="single" w:sz="4" w:space="0" w:color="auto"/>
            </w:tcBorders>
            <w:shd w:val="clear" w:color="auto" w:fill="auto"/>
            <w:noWrap/>
            <w:vAlign w:val="bottom"/>
            <w:hideMark/>
          </w:tcPr>
          <w:p w14:paraId="158537F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-14.0</w:t>
            </w:r>
          </w:p>
        </w:tc>
        <w:tc>
          <w:tcPr>
            <w:tcW w:w="628" w:type="dxa"/>
            <w:tcBorders>
              <w:top w:val="nil"/>
              <w:left w:val="nil"/>
              <w:bottom w:val="single" w:sz="4" w:space="0" w:color="auto"/>
              <w:right w:val="single" w:sz="4" w:space="0" w:color="auto"/>
            </w:tcBorders>
            <w:shd w:val="clear" w:color="auto" w:fill="auto"/>
            <w:noWrap/>
            <w:vAlign w:val="bottom"/>
            <w:hideMark/>
          </w:tcPr>
          <w:p w14:paraId="32C0346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-14.2</w:t>
            </w:r>
          </w:p>
        </w:tc>
        <w:tc>
          <w:tcPr>
            <w:tcW w:w="628" w:type="dxa"/>
            <w:tcBorders>
              <w:top w:val="nil"/>
              <w:left w:val="nil"/>
              <w:bottom w:val="single" w:sz="4" w:space="0" w:color="auto"/>
              <w:right w:val="single" w:sz="4" w:space="0" w:color="auto"/>
            </w:tcBorders>
            <w:shd w:val="clear" w:color="auto" w:fill="auto"/>
            <w:noWrap/>
            <w:vAlign w:val="bottom"/>
            <w:hideMark/>
          </w:tcPr>
          <w:p w14:paraId="12A7261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-14.4</w:t>
            </w:r>
          </w:p>
        </w:tc>
        <w:tc>
          <w:tcPr>
            <w:tcW w:w="628" w:type="dxa"/>
            <w:tcBorders>
              <w:top w:val="nil"/>
              <w:left w:val="nil"/>
              <w:bottom w:val="single" w:sz="4" w:space="0" w:color="auto"/>
              <w:right w:val="single" w:sz="4" w:space="0" w:color="auto"/>
            </w:tcBorders>
            <w:shd w:val="clear" w:color="auto" w:fill="auto"/>
            <w:noWrap/>
            <w:vAlign w:val="bottom"/>
            <w:hideMark/>
          </w:tcPr>
          <w:p w14:paraId="316C1B1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-14.0</w:t>
            </w:r>
          </w:p>
        </w:tc>
        <w:tc>
          <w:tcPr>
            <w:tcW w:w="628" w:type="dxa"/>
            <w:tcBorders>
              <w:top w:val="nil"/>
              <w:left w:val="nil"/>
              <w:bottom w:val="single" w:sz="4" w:space="0" w:color="auto"/>
              <w:right w:val="single" w:sz="4" w:space="0" w:color="auto"/>
            </w:tcBorders>
            <w:shd w:val="clear" w:color="auto" w:fill="auto"/>
            <w:noWrap/>
            <w:vAlign w:val="bottom"/>
            <w:hideMark/>
          </w:tcPr>
          <w:p w14:paraId="1B571A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-14.8</w:t>
            </w:r>
          </w:p>
        </w:tc>
        <w:tc>
          <w:tcPr>
            <w:tcW w:w="628" w:type="dxa"/>
            <w:tcBorders>
              <w:top w:val="nil"/>
              <w:left w:val="nil"/>
              <w:bottom w:val="single" w:sz="4" w:space="0" w:color="auto"/>
              <w:right w:val="single" w:sz="4" w:space="0" w:color="auto"/>
            </w:tcBorders>
            <w:shd w:val="clear" w:color="auto" w:fill="auto"/>
            <w:noWrap/>
            <w:vAlign w:val="bottom"/>
            <w:hideMark/>
          </w:tcPr>
          <w:p w14:paraId="77949A6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-14.3</w:t>
            </w:r>
          </w:p>
        </w:tc>
        <w:tc>
          <w:tcPr>
            <w:tcW w:w="628" w:type="dxa"/>
            <w:tcBorders>
              <w:top w:val="nil"/>
              <w:left w:val="nil"/>
              <w:bottom w:val="single" w:sz="4" w:space="0" w:color="auto"/>
              <w:right w:val="single" w:sz="4" w:space="0" w:color="auto"/>
            </w:tcBorders>
            <w:shd w:val="clear" w:color="auto" w:fill="auto"/>
            <w:noWrap/>
            <w:vAlign w:val="bottom"/>
            <w:hideMark/>
          </w:tcPr>
          <w:p w14:paraId="1AF50C2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-14.2</w:t>
            </w:r>
          </w:p>
        </w:tc>
      </w:tr>
      <w:tr w:rsidR="00B56301" w:rsidRPr="00364545" w14:paraId="45931B7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670E4B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Wetlands</w:t>
            </w:r>
          </w:p>
        </w:tc>
        <w:tc>
          <w:tcPr>
            <w:tcW w:w="628" w:type="dxa"/>
            <w:tcBorders>
              <w:top w:val="nil"/>
              <w:left w:val="nil"/>
              <w:bottom w:val="single" w:sz="4" w:space="0" w:color="auto"/>
              <w:right w:val="single" w:sz="4" w:space="0" w:color="auto"/>
            </w:tcBorders>
            <w:shd w:val="clear" w:color="auto" w:fill="auto"/>
            <w:noWrap/>
            <w:vAlign w:val="bottom"/>
            <w:hideMark/>
          </w:tcPr>
          <w:p w14:paraId="7403D31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1C60E8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3628C7A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557F633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30E659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A5C0A3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2800372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B5060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r>
      <w:tr w:rsidR="00B56301" w:rsidRPr="00364545" w14:paraId="6BE52994"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7908B14"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Reclaimed Land</w:t>
            </w:r>
          </w:p>
        </w:tc>
        <w:tc>
          <w:tcPr>
            <w:tcW w:w="628" w:type="dxa"/>
            <w:tcBorders>
              <w:top w:val="nil"/>
              <w:left w:val="nil"/>
              <w:bottom w:val="single" w:sz="4" w:space="0" w:color="auto"/>
              <w:right w:val="single" w:sz="4" w:space="0" w:color="auto"/>
            </w:tcBorders>
            <w:shd w:val="clear" w:color="auto" w:fill="auto"/>
            <w:noWrap/>
            <w:vAlign w:val="bottom"/>
            <w:hideMark/>
          </w:tcPr>
          <w:p w14:paraId="3F344D9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9.9</w:t>
            </w:r>
          </w:p>
        </w:tc>
        <w:tc>
          <w:tcPr>
            <w:tcW w:w="628" w:type="dxa"/>
            <w:tcBorders>
              <w:top w:val="nil"/>
              <w:left w:val="nil"/>
              <w:bottom w:val="single" w:sz="4" w:space="0" w:color="auto"/>
              <w:right w:val="single" w:sz="4" w:space="0" w:color="auto"/>
            </w:tcBorders>
            <w:shd w:val="clear" w:color="auto" w:fill="auto"/>
            <w:noWrap/>
            <w:vAlign w:val="bottom"/>
            <w:hideMark/>
          </w:tcPr>
          <w:p w14:paraId="5492679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9.8</w:t>
            </w:r>
          </w:p>
        </w:tc>
        <w:tc>
          <w:tcPr>
            <w:tcW w:w="628" w:type="dxa"/>
            <w:tcBorders>
              <w:top w:val="nil"/>
              <w:left w:val="nil"/>
              <w:bottom w:val="single" w:sz="4" w:space="0" w:color="auto"/>
              <w:right w:val="single" w:sz="4" w:space="0" w:color="auto"/>
            </w:tcBorders>
            <w:shd w:val="clear" w:color="auto" w:fill="auto"/>
            <w:noWrap/>
            <w:vAlign w:val="bottom"/>
            <w:hideMark/>
          </w:tcPr>
          <w:p w14:paraId="0F9CC06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9.7</w:t>
            </w:r>
          </w:p>
        </w:tc>
        <w:tc>
          <w:tcPr>
            <w:tcW w:w="628" w:type="dxa"/>
            <w:tcBorders>
              <w:top w:val="nil"/>
              <w:left w:val="nil"/>
              <w:bottom w:val="single" w:sz="4" w:space="0" w:color="auto"/>
              <w:right w:val="single" w:sz="4" w:space="0" w:color="auto"/>
            </w:tcBorders>
            <w:shd w:val="clear" w:color="auto" w:fill="auto"/>
            <w:noWrap/>
            <w:vAlign w:val="bottom"/>
            <w:hideMark/>
          </w:tcPr>
          <w:p w14:paraId="0B8D2FB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9.7</w:t>
            </w:r>
          </w:p>
        </w:tc>
        <w:tc>
          <w:tcPr>
            <w:tcW w:w="628" w:type="dxa"/>
            <w:tcBorders>
              <w:top w:val="nil"/>
              <w:left w:val="nil"/>
              <w:bottom w:val="single" w:sz="4" w:space="0" w:color="auto"/>
              <w:right w:val="single" w:sz="4" w:space="0" w:color="auto"/>
            </w:tcBorders>
            <w:shd w:val="clear" w:color="auto" w:fill="auto"/>
            <w:noWrap/>
            <w:vAlign w:val="bottom"/>
            <w:hideMark/>
          </w:tcPr>
          <w:p w14:paraId="426D521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10.2</w:t>
            </w:r>
          </w:p>
        </w:tc>
        <w:tc>
          <w:tcPr>
            <w:tcW w:w="628" w:type="dxa"/>
            <w:tcBorders>
              <w:top w:val="nil"/>
              <w:left w:val="nil"/>
              <w:bottom w:val="single" w:sz="4" w:space="0" w:color="auto"/>
              <w:right w:val="single" w:sz="4" w:space="0" w:color="auto"/>
            </w:tcBorders>
            <w:shd w:val="clear" w:color="auto" w:fill="auto"/>
            <w:noWrap/>
            <w:vAlign w:val="bottom"/>
            <w:hideMark/>
          </w:tcPr>
          <w:p w14:paraId="76F2C31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10.1</w:t>
            </w:r>
          </w:p>
        </w:tc>
        <w:tc>
          <w:tcPr>
            <w:tcW w:w="628" w:type="dxa"/>
            <w:tcBorders>
              <w:top w:val="nil"/>
              <w:left w:val="nil"/>
              <w:bottom w:val="single" w:sz="4" w:space="0" w:color="auto"/>
              <w:right w:val="single" w:sz="4" w:space="0" w:color="auto"/>
            </w:tcBorders>
            <w:shd w:val="clear" w:color="auto" w:fill="auto"/>
            <w:noWrap/>
            <w:vAlign w:val="bottom"/>
            <w:hideMark/>
          </w:tcPr>
          <w:p w14:paraId="5A337D4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9.8</w:t>
            </w:r>
          </w:p>
        </w:tc>
        <w:tc>
          <w:tcPr>
            <w:tcW w:w="628" w:type="dxa"/>
            <w:tcBorders>
              <w:top w:val="nil"/>
              <w:left w:val="nil"/>
              <w:bottom w:val="single" w:sz="4" w:space="0" w:color="auto"/>
              <w:right w:val="single" w:sz="4" w:space="0" w:color="auto"/>
            </w:tcBorders>
            <w:shd w:val="clear" w:color="auto" w:fill="auto"/>
            <w:noWrap/>
            <w:vAlign w:val="bottom"/>
            <w:hideMark/>
          </w:tcPr>
          <w:p w14:paraId="04592B7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10.5</w:t>
            </w:r>
          </w:p>
        </w:tc>
      </w:tr>
      <w:tr w:rsidR="00B56301" w:rsidRPr="00364545" w14:paraId="7B4AB17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178F93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Land</w:t>
            </w:r>
          </w:p>
        </w:tc>
        <w:tc>
          <w:tcPr>
            <w:tcW w:w="628" w:type="dxa"/>
            <w:tcBorders>
              <w:top w:val="nil"/>
              <w:left w:val="nil"/>
              <w:bottom w:val="single" w:sz="4" w:space="0" w:color="auto"/>
              <w:right w:val="single" w:sz="4" w:space="0" w:color="auto"/>
            </w:tcBorders>
            <w:shd w:val="clear" w:color="auto" w:fill="auto"/>
            <w:noWrap/>
            <w:vAlign w:val="bottom"/>
            <w:hideMark/>
          </w:tcPr>
          <w:p w14:paraId="28FCB25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01521F1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467EFE9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0F97C7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4E279F9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1233C7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FD2EFA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A3FC3E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54E2893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B87A99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Timber Products</w:t>
            </w:r>
          </w:p>
        </w:tc>
        <w:tc>
          <w:tcPr>
            <w:tcW w:w="628" w:type="dxa"/>
            <w:tcBorders>
              <w:top w:val="nil"/>
              <w:left w:val="nil"/>
              <w:bottom w:val="single" w:sz="4" w:space="0" w:color="auto"/>
              <w:right w:val="single" w:sz="4" w:space="0" w:color="auto"/>
            </w:tcBorders>
            <w:shd w:val="clear" w:color="auto" w:fill="auto"/>
            <w:noWrap/>
            <w:vAlign w:val="bottom"/>
            <w:hideMark/>
          </w:tcPr>
          <w:p w14:paraId="1E8264C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w:t>
            </w:r>
          </w:p>
        </w:tc>
        <w:tc>
          <w:tcPr>
            <w:tcW w:w="628" w:type="dxa"/>
            <w:tcBorders>
              <w:top w:val="nil"/>
              <w:left w:val="nil"/>
              <w:bottom w:val="single" w:sz="4" w:space="0" w:color="auto"/>
              <w:right w:val="single" w:sz="4" w:space="0" w:color="auto"/>
            </w:tcBorders>
            <w:shd w:val="clear" w:color="auto" w:fill="auto"/>
            <w:noWrap/>
            <w:vAlign w:val="bottom"/>
            <w:hideMark/>
          </w:tcPr>
          <w:p w14:paraId="0B609BB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-4.8</w:t>
            </w:r>
          </w:p>
        </w:tc>
        <w:tc>
          <w:tcPr>
            <w:tcW w:w="628" w:type="dxa"/>
            <w:tcBorders>
              <w:top w:val="nil"/>
              <w:left w:val="nil"/>
              <w:bottom w:val="single" w:sz="4" w:space="0" w:color="auto"/>
              <w:right w:val="single" w:sz="4" w:space="0" w:color="auto"/>
            </w:tcBorders>
            <w:shd w:val="clear" w:color="auto" w:fill="auto"/>
            <w:noWrap/>
            <w:vAlign w:val="bottom"/>
            <w:hideMark/>
          </w:tcPr>
          <w:p w14:paraId="1443175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bottom"/>
            <w:hideMark/>
          </w:tcPr>
          <w:p w14:paraId="6CE27C1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47BEFC8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bottom"/>
            <w:hideMark/>
          </w:tcPr>
          <w:p w14:paraId="04EBC60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bottom"/>
            <w:hideMark/>
          </w:tcPr>
          <w:p w14:paraId="6417D5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w:t>
            </w:r>
          </w:p>
        </w:tc>
        <w:tc>
          <w:tcPr>
            <w:tcW w:w="628" w:type="dxa"/>
            <w:tcBorders>
              <w:top w:val="nil"/>
              <w:left w:val="nil"/>
              <w:bottom w:val="single" w:sz="4" w:space="0" w:color="auto"/>
              <w:right w:val="single" w:sz="4" w:space="0" w:color="auto"/>
            </w:tcBorders>
            <w:shd w:val="clear" w:color="auto" w:fill="auto"/>
            <w:noWrap/>
            <w:vAlign w:val="bottom"/>
            <w:hideMark/>
          </w:tcPr>
          <w:p w14:paraId="0173DC9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r>
      <w:tr w:rsidR="00B56301" w:rsidRPr="00364545" w14:paraId="73A9DE9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1B7B0B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Dams</w:t>
            </w:r>
          </w:p>
        </w:tc>
        <w:tc>
          <w:tcPr>
            <w:tcW w:w="628" w:type="dxa"/>
            <w:tcBorders>
              <w:top w:val="nil"/>
              <w:left w:val="nil"/>
              <w:bottom w:val="single" w:sz="4" w:space="0" w:color="auto"/>
              <w:right w:val="single" w:sz="4" w:space="0" w:color="auto"/>
            </w:tcBorders>
            <w:shd w:val="clear" w:color="auto" w:fill="auto"/>
            <w:noWrap/>
            <w:vAlign w:val="bottom"/>
            <w:hideMark/>
          </w:tcPr>
          <w:p w14:paraId="4F0353B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4DAE86C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3B74E26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0E1E2AB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36586E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w:t>
            </w:r>
          </w:p>
        </w:tc>
        <w:tc>
          <w:tcPr>
            <w:tcW w:w="628" w:type="dxa"/>
            <w:tcBorders>
              <w:top w:val="nil"/>
              <w:left w:val="nil"/>
              <w:bottom w:val="single" w:sz="4" w:space="0" w:color="auto"/>
              <w:right w:val="single" w:sz="4" w:space="0" w:color="auto"/>
            </w:tcBorders>
            <w:shd w:val="clear" w:color="auto" w:fill="auto"/>
            <w:noWrap/>
            <w:vAlign w:val="bottom"/>
            <w:hideMark/>
          </w:tcPr>
          <w:p w14:paraId="798BEA3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w:t>
            </w:r>
          </w:p>
        </w:tc>
        <w:tc>
          <w:tcPr>
            <w:tcW w:w="628" w:type="dxa"/>
            <w:tcBorders>
              <w:top w:val="nil"/>
              <w:left w:val="nil"/>
              <w:bottom w:val="single" w:sz="4" w:space="0" w:color="auto"/>
              <w:right w:val="single" w:sz="4" w:space="0" w:color="auto"/>
            </w:tcBorders>
            <w:shd w:val="clear" w:color="auto" w:fill="auto"/>
            <w:noWrap/>
            <w:vAlign w:val="bottom"/>
            <w:hideMark/>
          </w:tcPr>
          <w:p w14:paraId="07A632C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w:t>
            </w:r>
          </w:p>
        </w:tc>
        <w:tc>
          <w:tcPr>
            <w:tcW w:w="628" w:type="dxa"/>
            <w:tcBorders>
              <w:top w:val="nil"/>
              <w:left w:val="nil"/>
              <w:bottom w:val="single" w:sz="4" w:space="0" w:color="auto"/>
              <w:right w:val="single" w:sz="4" w:space="0" w:color="auto"/>
            </w:tcBorders>
            <w:shd w:val="clear" w:color="auto" w:fill="auto"/>
            <w:noWrap/>
            <w:vAlign w:val="bottom"/>
            <w:hideMark/>
          </w:tcPr>
          <w:p w14:paraId="0DF7BA1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w:t>
            </w:r>
          </w:p>
        </w:tc>
      </w:tr>
      <w:tr w:rsidR="00B56301" w:rsidRPr="00364545" w14:paraId="74D02965" w14:textId="77777777" w:rsidTr="00B37B65">
        <w:trPr>
          <w:trHeight w:val="68"/>
          <w:jc w:val="center"/>
        </w:trPr>
        <w:tc>
          <w:tcPr>
            <w:tcW w:w="5680" w:type="dxa"/>
            <w:tcBorders>
              <w:top w:val="nil"/>
              <w:left w:val="nil"/>
              <w:bottom w:val="nil"/>
              <w:right w:val="nil"/>
            </w:tcBorders>
            <w:shd w:val="clear" w:color="000000" w:fill="00B050"/>
            <w:noWrap/>
            <w:vAlign w:val="bottom"/>
            <w:hideMark/>
          </w:tcPr>
          <w:p w14:paraId="56CE0EF7"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LULUCF</w:t>
            </w:r>
          </w:p>
        </w:tc>
        <w:tc>
          <w:tcPr>
            <w:tcW w:w="628" w:type="dxa"/>
            <w:tcBorders>
              <w:top w:val="nil"/>
              <w:left w:val="single" w:sz="4" w:space="0" w:color="auto"/>
              <w:bottom w:val="single" w:sz="4" w:space="0" w:color="auto"/>
              <w:right w:val="single" w:sz="4" w:space="0" w:color="auto"/>
            </w:tcBorders>
            <w:shd w:val="clear" w:color="000000" w:fill="00B050"/>
            <w:noWrap/>
            <w:vAlign w:val="bottom"/>
            <w:hideMark/>
          </w:tcPr>
          <w:p w14:paraId="3A210328"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-24.0</w:t>
            </w:r>
          </w:p>
        </w:tc>
        <w:tc>
          <w:tcPr>
            <w:tcW w:w="628" w:type="dxa"/>
            <w:tcBorders>
              <w:top w:val="nil"/>
              <w:left w:val="nil"/>
              <w:bottom w:val="single" w:sz="4" w:space="0" w:color="auto"/>
              <w:right w:val="single" w:sz="4" w:space="0" w:color="auto"/>
            </w:tcBorders>
            <w:shd w:val="clear" w:color="000000" w:fill="00B050"/>
            <w:noWrap/>
            <w:vAlign w:val="bottom"/>
            <w:hideMark/>
          </w:tcPr>
          <w:p w14:paraId="1F82DED0"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-24.1</w:t>
            </w:r>
          </w:p>
        </w:tc>
        <w:tc>
          <w:tcPr>
            <w:tcW w:w="628" w:type="dxa"/>
            <w:tcBorders>
              <w:top w:val="nil"/>
              <w:left w:val="nil"/>
              <w:bottom w:val="single" w:sz="4" w:space="0" w:color="auto"/>
              <w:right w:val="single" w:sz="4" w:space="0" w:color="auto"/>
            </w:tcBorders>
            <w:shd w:val="clear" w:color="000000" w:fill="00B050"/>
            <w:noWrap/>
            <w:vAlign w:val="bottom"/>
            <w:hideMark/>
          </w:tcPr>
          <w:p w14:paraId="7AAA9DC3"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-21.9</w:t>
            </w:r>
          </w:p>
        </w:tc>
        <w:tc>
          <w:tcPr>
            <w:tcW w:w="628" w:type="dxa"/>
            <w:tcBorders>
              <w:top w:val="nil"/>
              <w:left w:val="nil"/>
              <w:bottom w:val="single" w:sz="4" w:space="0" w:color="auto"/>
              <w:right w:val="single" w:sz="4" w:space="0" w:color="auto"/>
            </w:tcBorders>
            <w:shd w:val="clear" w:color="000000" w:fill="00B050"/>
            <w:noWrap/>
            <w:vAlign w:val="bottom"/>
            <w:hideMark/>
          </w:tcPr>
          <w:p w14:paraId="7E7337A0"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-25.0</w:t>
            </w:r>
          </w:p>
        </w:tc>
        <w:tc>
          <w:tcPr>
            <w:tcW w:w="628" w:type="dxa"/>
            <w:tcBorders>
              <w:top w:val="nil"/>
              <w:left w:val="nil"/>
              <w:bottom w:val="single" w:sz="4" w:space="0" w:color="auto"/>
              <w:right w:val="single" w:sz="4" w:space="0" w:color="auto"/>
            </w:tcBorders>
            <w:shd w:val="clear" w:color="000000" w:fill="00B050"/>
            <w:noWrap/>
            <w:vAlign w:val="bottom"/>
            <w:hideMark/>
          </w:tcPr>
          <w:p w14:paraId="2529E3A5"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-22.5</w:t>
            </w:r>
          </w:p>
        </w:tc>
        <w:tc>
          <w:tcPr>
            <w:tcW w:w="628" w:type="dxa"/>
            <w:tcBorders>
              <w:top w:val="nil"/>
              <w:left w:val="nil"/>
              <w:bottom w:val="single" w:sz="4" w:space="0" w:color="auto"/>
              <w:right w:val="single" w:sz="4" w:space="0" w:color="auto"/>
            </w:tcBorders>
            <w:shd w:val="clear" w:color="000000" w:fill="00B050"/>
            <w:noWrap/>
            <w:vAlign w:val="bottom"/>
            <w:hideMark/>
          </w:tcPr>
          <w:p w14:paraId="530F07C8"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-24.9</w:t>
            </w:r>
          </w:p>
        </w:tc>
        <w:tc>
          <w:tcPr>
            <w:tcW w:w="628" w:type="dxa"/>
            <w:tcBorders>
              <w:top w:val="nil"/>
              <w:left w:val="nil"/>
              <w:bottom w:val="single" w:sz="4" w:space="0" w:color="auto"/>
              <w:right w:val="single" w:sz="4" w:space="0" w:color="auto"/>
            </w:tcBorders>
            <w:shd w:val="clear" w:color="000000" w:fill="00B050"/>
            <w:noWrap/>
            <w:vAlign w:val="bottom"/>
            <w:hideMark/>
          </w:tcPr>
          <w:p w14:paraId="02AA7181"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-31.3</w:t>
            </w:r>
          </w:p>
        </w:tc>
        <w:tc>
          <w:tcPr>
            <w:tcW w:w="628" w:type="dxa"/>
            <w:tcBorders>
              <w:top w:val="nil"/>
              <w:left w:val="nil"/>
              <w:bottom w:val="single" w:sz="4" w:space="0" w:color="auto"/>
              <w:right w:val="single" w:sz="4" w:space="0" w:color="auto"/>
            </w:tcBorders>
            <w:shd w:val="clear" w:color="000000" w:fill="00B050"/>
            <w:noWrap/>
            <w:vAlign w:val="bottom"/>
            <w:hideMark/>
          </w:tcPr>
          <w:p w14:paraId="5FD12047"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-31.5</w:t>
            </w:r>
          </w:p>
        </w:tc>
      </w:tr>
      <w:tr w:rsidR="00B56301" w:rsidRPr="00364545" w14:paraId="5692AE6F"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0D10438"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National TOTAL including UTCATF</w:t>
            </w:r>
          </w:p>
        </w:tc>
        <w:tc>
          <w:tcPr>
            <w:tcW w:w="628" w:type="dxa"/>
            <w:tcBorders>
              <w:top w:val="nil"/>
              <w:left w:val="nil"/>
              <w:bottom w:val="single" w:sz="4" w:space="0" w:color="auto"/>
              <w:right w:val="single" w:sz="4" w:space="0" w:color="auto"/>
            </w:tcBorders>
            <w:shd w:val="clear" w:color="000000" w:fill="D9D9D9"/>
            <w:noWrap/>
            <w:vAlign w:val="bottom"/>
            <w:hideMark/>
          </w:tcPr>
          <w:p w14:paraId="1D9BD45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520.1</w:t>
            </w:r>
          </w:p>
        </w:tc>
        <w:tc>
          <w:tcPr>
            <w:tcW w:w="628" w:type="dxa"/>
            <w:tcBorders>
              <w:top w:val="nil"/>
              <w:left w:val="nil"/>
              <w:bottom w:val="single" w:sz="4" w:space="0" w:color="auto"/>
              <w:right w:val="single" w:sz="4" w:space="0" w:color="auto"/>
            </w:tcBorders>
            <w:shd w:val="clear" w:color="000000" w:fill="D9D9D9"/>
            <w:noWrap/>
            <w:vAlign w:val="bottom"/>
            <w:hideMark/>
          </w:tcPr>
          <w:p w14:paraId="7E2E4BD8"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546.9</w:t>
            </w:r>
          </w:p>
        </w:tc>
        <w:tc>
          <w:tcPr>
            <w:tcW w:w="628" w:type="dxa"/>
            <w:tcBorders>
              <w:top w:val="nil"/>
              <w:left w:val="nil"/>
              <w:bottom w:val="single" w:sz="4" w:space="0" w:color="auto"/>
              <w:right w:val="single" w:sz="4" w:space="0" w:color="auto"/>
            </w:tcBorders>
            <w:shd w:val="clear" w:color="000000" w:fill="D9D9D9"/>
            <w:noWrap/>
            <w:vAlign w:val="bottom"/>
            <w:hideMark/>
          </w:tcPr>
          <w:p w14:paraId="5120A4C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536.8</w:t>
            </w:r>
          </w:p>
        </w:tc>
        <w:tc>
          <w:tcPr>
            <w:tcW w:w="628" w:type="dxa"/>
            <w:tcBorders>
              <w:top w:val="nil"/>
              <w:left w:val="nil"/>
              <w:bottom w:val="single" w:sz="4" w:space="0" w:color="auto"/>
              <w:right w:val="single" w:sz="4" w:space="0" w:color="auto"/>
            </w:tcBorders>
            <w:shd w:val="clear" w:color="000000" w:fill="D9D9D9"/>
            <w:noWrap/>
            <w:vAlign w:val="bottom"/>
            <w:hideMark/>
          </w:tcPr>
          <w:p w14:paraId="6C5EB50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513.6</w:t>
            </w:r>
          </w:p>
        </w:tc>
        <w:tc>
          <w:tcPr>
            <w:tcW w:w="628" w:type="dxa"/>
            <w:tcBorders>
              <w:top w:val="nil"/>
              <w:left w:val="nil"/>
              <w:bottom w:val="single" w:sz="4" w:space="0" w:color="auto"/>
              <w:right w:val="single" w:sz="4" w:space="0" w:color="auto"/>
            </w:tcBorders>
            <w:shd w:val="clear" w:color="000000" w:fill="D9D9D9"/>
            <w:noWrap/>
            <w:vAlign w:val="bottom"/>
            <w:hideMark/>
          </w:tcPr>
          <w:p w14:paraId="08536047"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508.7</w:t>
            </w:r>
          </w:p>
        </w:tc>
        <w:tc>
          <w:tcPr>
            <w:tcW w:w="628" w:type="dxa"/>
            <w:tcBorders>
              <w:top w:val="nil"/>
              <w:left w:val="nil"/>
              <w:bottom w:val="single" w:sz="4" w:space="0" w:color="auto"/>
              <w:right w:val="single" w:sz="4" w:space="0" w:color="auto"/>
            </w:tcBorders>
            <w:shd w:val="clear" w:color="000000" w:fill="D9D9D9"/>
            <w:noWrap/>
            <w:vAlign w:val="bottom"/>
            <w:hideMark/>
          </w:tcPr>
          <w:p w14:paraId="01A14728"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511.6</w:t>
            </w:r>
          </w:p>
        </w:tc>
        <w:tc>
          <w:tcPr>
            <w:tcW w:w="628" w:type="dxa"/>
            <w:tcBorders>
              <w:top w:val="nil"/>
              <w:left w:val="nil"/>
              <w:bottom w:val="single" w:sz="4" w:space="0" w:color="auto"/>
              <w:right w:val="single" w:sz="4" w:space="0" w:color="auto"/>
            </w:tcBorders>
            <w:shd w:val="clear" w:color="000000" w:fill="D9D9D9"/>
            <w:noWrap/>
            <w:vAlign w:val="bottom"/>
            <w:hideMark/>
          </w:tcPr>
          <w:p w14:paraId="2333885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522.2</w:t>
            </w:r>
          </w:p>
        </w:tc>
        <w:tc>
          <w:tcPr>
            <w:tcW w:w="628" w:type="dxa"/>
            <w:tcBorders>
              <w:top w:val="nil"/>
              <w:left w:val="nil"/>
              <w:bottom w:val="single" w:sz="4" w:space="0" w:color="auto"/>
              <w:right w:val="single" w:sz="4" w:space="0" w:color="auto"/>
            </w:tcBorders>
            <w:shd w:val="clear" w:color="000000" w:fill="D9D9D9"/>
            <w:noWrap/>
            <w:vAlign w:val="bottom"/>
            <w:hideMark/>
          </w:tcPr>
          <w:p w14:paraId="0B0193E0"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514.4</w:t>
            </w:r>
          </w:p>
        </w:tc>
      </w:tr>
    </w:tbl>
    <w:p w14:paraId="543AC768" w14:textId="77777777" w:rsidR="00B56301" w:rsidRPr="00364545" w:rsidRDefault="00B56301" w:rsidP="00B56301">
      <w:pPr>
        <w:spacing w:line="240" w:lineRule="atLeast"/>
        <w:jc w:val="left"/>
      </w:pPr>
    </w:p>
    <w:tbl>
      <w:tblPr>
        <w:tblW w:w="10704" w:type="dxa"/>
        <w:jc w:val="center"/>
        <w:tblCellMar>
          <w:left w:w="70" w:type="dxa"/>
          <w:right w:w="70" w:type="dxa"/>
        </w:tblCellMar>
        <w:tblLook w:val="04A0" w:firstRow="1" w:lastRow="0" w:firstColumn="1" w:lastColumn="0" w:noHBand="0" w:noVBand="1"/>
      </w:tblPr>
      <w:tblGrid>
        <w:gridCol w:w="5680"/>
        <w:gridCol w:w="628"/>
        <w:gridCol w:w="628"/>
        <w:gridCol w:w="628"/>
        <w:gridCol w:w="628"/>
        <w:gridCol w:w="628"/>
        <w:gridCol w:w="628"/>
        <w:gridCol w:w="628"/>
        <w:gridCol w:w="628"/>
      </w:tblGrid>
      <w:tr w:rsidR="00B56301" w:rsidRPr="00364545" w14:paraId="2BC525CA" w14:textId="77777777" w:rsidTr="00B37B65">
        <w:trPr>
          <w:trHeight w:val="68"/>
          <w:jc w:val="center"/>
        </w:trPr>
        <w:tc>
          <w:tcPr>
            <w:tcW w:w="10704" w:type="dxa"/>
            <w:gridSpan w:val="9"/>
            <w:tcBorders>
              <w:top w:val="nil"/>
              <w:left w:val="nil"/>
              <w:bottom w:val="nil"/>
            </w:tcBorders>
            <w:shd w:val="clear" w:color="auto" w:fill="auto"/>
            <w:vAlign w:val="center"/>
          </w:tcPr>
          <w:p w14:paraId="6E00B24D" w14:textId="77777777" w:rsidR="00B56301" w:rsidRPr="00364545" w:rsidRDefault="00B56301" w:rsidP="00B37B65">
            <w:pPr>
              <w:jc w:val="left"/>
              <w:rPr>
                <w:rFonts w:ascii="Trebuchet MS" w:hAnsi="Trebuchet MS" w:cs="Arial"/>
                <w:b/>
                <w:bCs/>
                <w:sz w:val="16"/>
                <w:szCs w:val="18"/>
              </w:rPr>
            </w:pPr>
            <w:r w:rsidRPr="00364545">
              <w:rPr>
                <w:rFonts w:ascii="Trebuchet MS" w:hAnsi="Trebuchet MS"/>
                <w:b/>
                <w:sz w:val="16"/>
              </w:rPr>
              <w:t>Emissions in the air - Source Citepa 2022 edition -national inventory of greenhouse gas emissions and atmospheric pollutants - citepa.org</w:t>
            </w:r>
          </w:p>
        </w:tc>
      </w:tr>
      <w:tr w:rsidR="00B56301" w:rsidRPr="00364545" w14:paraId="64F63211" w14:textId="77777777" w:rsidTr="00B37B65">
        <w:trPr>
          <w:trHeight w:val="68"/>
          <w:jc w:val="center"/>
        </w:trPr>
        <w:tc>
          <w:tcPr>
            <w:tcW w:w="10704" w:type="dxa"/>
            <w:gridSpan w:val="9"/>
            <w:tcBorders>
              <w:top w:val="nil"/>
              <w:left w:val="nil"/>
            </w:tcBorders>
            <w:shd w:val="clear" w:color="auto" w:fill="auto"/>
            <w:vAlign w:val="center"/>
          </w:tcPr>
          <w:p w14:paraId="45478CED" w14:textId="77777777" w:rsidR="00B56301" w:rsidRPr="00364545" w:rsidRDefault="00B56301" w:rsidP="00B37B65">
            <w:pPr>
              <w:jc w:val="left"/>
              <w:rPr>
                <w:rFonts w:ascii="Trebuchet MS" w:hAnsi="Trebuchet MS" w:cs="Arial"/>
                <w:b/>
                <w:bCs/>
                <w:sz w:val="16"/>
                <w:szCs w:val="18"/>
              </w:rPr>
            </w:pPr>
            <w:r w:rsidRPr="00364545">
              <w:rPr>
                <w:rFonts w:ascii="Trebuchet MS" w:hAnsi="Trebuchet MS"/>
                <w:b/>
                <w:sz w:val="16"/>
              </w:rPr>
              <w:t>Estimating Method: citepa.org/ominea</w:t>
            </w:r>
          </w:p>
        </w:tc>
      </w:tr>
      <w:tr w:rsidR="00B56301" w:rsidRPr="00364545" w14:paraId="131CCBCB" w14:textId="77777777" w:rsidTr="00B37B65">
        <w:trPr>
          <w:trHeight w:val="68"/>
          <w:jc w:val="center"/>
        </w:trPr>
        <w:tc>
          <w:tcPr>
            <w:tcW w:w="10704" w:type="dxa"/>
            <w:gridSpan w:val="9"/>
            <w:tcBorders>
              <w:top w:val="nil"/>
              <w:left w:val="nil"/>
              <w:bottom w:val="nil"/>
            </w:tcBorders>
            <w:shd w:val="clear" w:color="auto" w:fill="auto"/>
            <w:vAlign w:val="center"/>
          </w:tcPr>
          <w:p w14:paraId="53EBAB70" w14:textId="77777777" w:rsidR="00B56301" w:rsidRPr="00364545" w:rsidRDefault="00B56301" w:rsidP="00B37B65">
            <w:pPr>
              <w:jc w:val="center"/>
              <w:rPr>
                <w:rFonts w:ascii="Trebuchet MS" w:hAnsi="Trebuchet MS" w:cs="Arial"/>
                <w:b/>
                <w:bCs/>
                <w:sz w:val="18"/>
                <w:szCs w:val="18"/>
              </w:rPr>
            </w:pPr>
          </w:p>
        </w:tc>
      </w:tr>
      <w:tr w:rsidR="00B56301" w:rsidRPr="00364545" w14:paraId="6965496A" w14:textId="77777777" w:rsidTr="00B37B65">
        <w:trPr>
          <w:trHeight w:val="68"/>
          <w:jc w:val="center"/>
        </w:trPr>
        <w:tc>
          <w:tcPr>
            <w:tcW w:w="5680" w:type="dxa"/>
            <w:tcBorders>
              <w:top w:val="nil"/>
              <w:left w:val="nil"/>
              <w:bottom w:val="nil"/>
              <w:right w:val="nil"/>
            </w:tcBorders>
            <w:shd w:val="clear" w:color="auto" w:fill="auto"/>
            <w:vAlign w:val="center"/>
            <w:hideMark/>
          </w:tcPr>
          <w:p w14:paraId="52C2F7FF" w14:textId="0D93D306" w:rsidR="00B56301" w:rsidRPr="00364545" w:rsidRDefault="00B56301" w:rsidP="00B37B65">
            <w:pPr>
              <w:jc w:val="center"/>
              <w:rPr>
                <w:rFonts w:ascii="Trebuchet MS" w:hAnsi="Trebuchet MS" w:cs="Arial"/>
                <w:b/>
                <w:bCs/>
                <w:i/>
                <w:iCs/>
                <w:sz w:val="16"/>
                <w:szCs w:val="18"/>
              </w:rPr>
            </w:pPr>
            <w:r w:rsidRPr="00364545">
              <w:rPr>
                <w:rFonts w:ascii="Trebuchet MS" w:hAnsi="Trebuchet MS"/>
                <w:b/>
                <w:i/>
                <w:sz w:val="16"/>
              </w:rPr>
              <w:t xml:space="preserve">Emissions of </w:t>
            </w:r>
            <w:r w:rsidRPr="00364545">
              <w:t>CO</w:t>
            </w:r>
            <w:r w:rsidRPr="00364545">
              <w:rPr>
                <w:vertAlign w:val="subscript"/>
              </w:rPr>
              <w:t>2</w:t>
            </w:r>
            <w:r w:rsidRPr="00364545">
              <w:rPr>
                <w:rFonts w:ascii="Trebuchet MS" w:hAnsi="Trebuchet MS"/>
                <w:b/>
                <w:i/>
                <w:sz w:val="16"/>
                <w:vertAlign w:val="subscript"/>
              </w:rPr>
              <w:t>e</w:t>
            </w:r>
            <w:r w:rsidRPr="00364545">
              <w:rPr>
                <w:rFonts w:ascii="Trebuchet MS" w:hAnsi="Trebuchet MS"/>
                <w:b/>
                <w:i/>
                <w:sz w:val="16"/>
              </w:rPr>
              <w:t xml:space="preserve"> (Mt</w:t>
            </w:r>
            <w:r w:rsidRPr="00364545">
              <w:t>CO</w:t>
            </w:r>
            <w:r w:rsidRPr="00364545">
              <w:rPr>
                <w:vertAlign w:val="subscript"/>
              </w:rPr>
              <w:t>2</w:t>
            </w:r>
            <w:r w:rsidRPr="00364545">
              <w:rPr>
                <w:rFonts w:ascii="Trebuchet MS" w:hAnsi="Trebuchet MS"/>
                <w:b/>
                <w:i/>
                <w:sz w:val="16"/>
                <w:vertAlign w:val="subscript"/>
              </w:rPr>
              <w:t>e</w:t>
            </w:r>
            <w:r w:rsidRPr="00364545">
              <w:rPr>
                <w:rFonts w:ascii="Trebuchet MS" w:hAnsi="Trebuchet MS"/>
                <w:b/>
                <w:i/>
                <w:sz w:val="16"/>
              </w:rPr>
              <w:t>/p.a.)</w:t>
            </w:r>
            <w:r w:rsidRPr="00364545">
              <w:rPr>
                <w:rFonts w:ascii="Trebuchet MS" w:hAnsi="Trebuchet MS"/>
                <w:b/>
                <w:i/>
                <w:sz w:val="16"/>
              </w:rPr>
              <w:br/>
              <w:t>Scope: Mainland and Overseas included in EU</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B0D5E5"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1998</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70A6704"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1999</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751EE076"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2000</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3C96112B"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2001</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641D73AA"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2002</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8EB20D1"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2003</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F56C685"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2004</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F0AB8ED"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2005</w:t>
            </w:r>
          </w:p>
        </w:tc>
      </w:tr>
      <w:tr w:rsidR="00B56301" w:rsidRPr="00364545" w14:paraId="4955B6AF" w14:textId="77777777" w:rsidTr="00B37B65">
        <w:trPr>
          <w:trHeight w:val="68"/>
          <w:jc w:val="center"/>
        </w:trPr>
        <w:tc>
          <w:tcPr>
            <w:tcW w:w="5680" w:type="dxa"/>
            <w:tcBorders>
              <w:top w:val="single" w:sz="4" w:space="0" w:color="auto"/>
              <w:left w:val="nil"/>
              <w:bottom w:val="single" w:sz="4" w:space="0" w:color="auto"/>
              <w:right w:val="single" w:sz="4" w:space="0" w:color="auto"/>
            </w:tcBorders>
            <w:shd w:val="clear" w:color="000000" w:fill="DDEBF7"/>
            <w:noWrap/>
            <w:vAlign w:val="bottom"/>
            <w:hideMark/>
          </w:tcPr>
          <w:p w14:paraId="6DBE683B"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Energy Industry</w:t>
            </w:r>
          </w:p>
        </w:tc>
        <w:tc>
          <w:tcPr>
            <w:tcW w:w="628" w:type="dxa"/>
            <w:tcBorders>
              <w:top w:val="nil"/>
              <w:left w:val="nil"/>
              <w:bottom w:val="single" w:sz="4" w:space="0" w:color="auto"/>
              <w:right w:val="single" w:sz="4" w:space="0" w:color="auto"/>
            </w:tcBorders>
            <w:shd w:val="clear" w:color="000000" w:fill="DDEBF7"/>
            <w:noWrap/>
            <w:vAlign w:val="bottom"/>
            <w:hideMark/>
          </w:tcPr>
          <w:p w14:paraId="3CB1A1E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79.6</w:t>
            </w:r>
          </w:p>
        </w:tc>
        <w:tc>
          <w:tcPr>
            <w:tcW w:w="628" w:type="dxa"/>
            <w:tcBorders>
              <w:top w:val="nil"/>
              <w:left w:val="nil"/>
              <w:bottom w:val="single" w:sz="4" w:space="0" w:color="auto"/>
              <w:right w:val="single" w:sz="4" w:space="0" w:color="auto"/>
            </w:tcBorders>
            <w:shd w:val="clear" w:color="000000" w:fill="DDEBF7"/>
            <w:noWrap/>
            <w:vAlign w:val="bottom"/>
            <w:hideMark/>
          </w:tcPr>
          <w:p w14:paraId="059C3E16"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72.6</w:t>
            </w:r>
          </w:p>
        </w:tc>
        <w:tc>
          <w:tcPr>
            <w:tcW w:w="628" w:type="dxa"/>
            <w:tcBorders>
              <w:top w:val="nil"/>
              <w:left w:val="nil"/>
              <w:bottom w:val="single" w:sz="4" w:space="0" w:color="auto"/>
              <w:right w:val="single" w:sz="4" w:space="0" w:color="auto"/>
            </w:tcBorders>
            <w:shd w:val="clear" w:color="000000" w:fill="DDEBF7"/>
            <w:noWrap/>
            <w:vAlign w:val="bottom"/>
            <w:hideMark/>
          </w:tcPr>
          <w:p w14:paraId="5606837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71.3</w:t>
            </w:r>
          </w:p>
        </w:tc>
        <w:tc>
          <w:tcPr>
            <w:tcW w:w="628" w:type="dxa"/>
            <w:tcBorders>
              <w:top w:val="nil"/>
              <w:left w:val="nil"/>
              <w:bottom w:val="single" w:sz="4" w:space="0" w:color="auto"/>
              <w:right w:val="single" w:sz="4" w:space="0" w:color="auto"/>
            </w:tcBorders>
            <w:shd w:val="clear" w:color="000000" w:fill="DDEBF7"/>
            <w:noWrap/>
            <w:vAlign w:val="bottom"/>
            <w:hideMark/>
          </w:tcPr>
          <w:p w14:paraId="52ED81C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64.5</w:t>
            </w:r>
          </w:p>
        </w:tc>
        <w:tc>
          <w:tcPr>
            <w:tcW w:w="628" w:type="dxa"/>
            <w:tcBorders>
              <w:top w:val="nil"/>
              <w:left w:val="nil"/>
              <w:bottom w:val="single" w:sz="4" w:space="0" w:color="auto"/>
              <w:right w:val="single" w:sz="4" w:space="0" w:color="auto"/>
            </w:tcBorders>
            <w:shd w:val="clear" w:color="000000" w:fill="DDEBF7"/>
            <w:noWrap/>
            <w:vAlign w:val="bottom"/>
            <w:hideMark/>
          </w:tcPr>
          <w:p w14:paraId="7C97C50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67.1</w:t>
            </w:r>
          </w:p>
        </w:tc>
        <w:tc>
          <w:tcPr>
            <w:tcW w:w="628" w:type="dxa"/>
            <w:tcBorders>
              <w:top w:val="nil"/>
              <w:left w:val="nil"/>
              <w:bottom w:val="single" w:sz="4" w:space="0" w:color="auto"/>
              <w:right w:val="single" w:sz="4" w:space="0" w:color="auto"/>
            </w:tcBorders>
            <w:shd w:val="clear" w:color="000000" w:fill="DDEBF7"/>
            <w:noWrap/>
            <w:vAlign w:val="bottom"/>
            <w:hideMark/>
          </w:tcPr>
          <w:p w14:paraId="656F2178"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70.5</w:t>
            </w:r>
          </w:p>
        </w:tc>
        <w:tc>
          <w:tcPr>
            <w:tcW w:w="628" w:type="dxa"/>
            <w:tcBorders>
              <w:top w:val="nil"/>
              <w:left w:val="nil"/>
              <w:bottom w:val="single" w:sz="4" w:space="0" w:color="auto"/>
              <w:right w:val="single" w:sz="4" w:space="0" w:color="auto"/>
            </w:tcBorders>
            <w:shd w:val="clear" w:color="000000" w:fill="DDEBF7"/>
            <w:noWrap/>
            <w:vAlign w:val="bottom"/>
            <w:hideMark/>
          </w:tcPr>
          <w:p w14:paraId="7363D6C7"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69.1</w:t>
            </w:r>
          </w:p>
        </w:tc>
        <w:tc>
          <w:tcPr>
            <w:tcW w:w="628" w:type="dxa"/>
            <w:tcBorders>
              <w:top w:val="nil"/>
              <w:left w:val="nil"/>
              <w:bottom w:val="single" w:sz="4" w:space="0" w:color="auto"/>
              <w:right w:val="single" w:sz="4" w:space="0" w:color="auto"/>
            </w:tcBorders>
            <w:shd w:val="clear" w:color="000000" w:fill="DDEBF7"/>
            <w:noWrap/>
            <w:vAlign w:val="bottom"/>
            <w:hideMark/>
          </w:tcPr>
          <w:p w14:paraId="5833767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74.2</w:t>
            </w:r>
          </w:p>
        </w:tc>
      </w:tr>
      <w:tr w:rsidR="00B56301" w:rsidRPr="00364545" w14:paraId="51BEA6B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784E3B87"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Electricity Production</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6C4E8FB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41.3</w:t>
            </w:r>
          </w:p>
        </w:tc>
        <w:tc>
          <w:tcPr>
            <w:tcW w:w="628" w:type="dxa"/>
            <w:tcBorders>
              <w:top w:val="nil"/>
              <w:left w:val="nil"/>
              <w:bottom w:val="single" w:sz="4" w:space="0" w:color="auto"/>
              <w:right w:val="single" w:sz="4" w:space="0" w:color="auto"/>
            </w:tcBorders>
            <w:shd w:val="clear" w:color="auto" w:fill="auto"/>
            <w:noWrap/>
            <w:vAlign w:val="center"/>
            <w:hideMark/>
          </w:tcPr>
          <w:p w14:paraId="1CEC726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34.9</w:t>
            </w:r>
          </w:p>
        </w:tc>
        <w:tc>
          <w:tcPr>
            <w:tcW w:w="628" w:type="dxa"/>
            <w:tcBorders>
              <w:top w:val="nil"/>
              <w:left w:val="nil"/>
              <w:bottom w:val="single" w:sz="4" w:space="0" w:color="auto"/>
              <w:right w:val="single" w:sz="4" w:space="0" w:color="auto"/>
            </w:tcBorders>
            <w:shd w:val="clear" w:color="auto" w:fill="auto"/>
            <w:noWrap/>
            <w:vAlign w:val="center"/>
            <w:hideMark/>
          </w:tcPr>
          <w:p w14:paraId="35EE2DF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34.5</w:t>
            </w:r>
          </w:p>
        </w:tc>
        <w:tc>
          <w:tcPr>
            <w:tcW w:w="628" w:type="dxa"/>
            <w:tcBorders>
              <w:top w:val="nil"/>
              <w:left w:val="nil"/>
              <w:bottom w:val="single" w:sz="4" w:space="0" w:color="auto"/>
              <w:right w:val="single" w:sz="4" w:space="0" w:color="auto"/>
            </w:tcBorders>
            <w:shd w:val="clear" w:color="auto" w:fill="auto"/>
            <w:noWrap/>
            <w:vAlign w:val="center"/>
            <w:hideMark/>
          </w:tcPr>
          <w:p w14:paraId="0D6728D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27.7</w:t>
            </w:r>
          </w:p>
        </w:tc>
        <w:tc>
          <w:tcPr>
            <w:tcW w:w="628" w:type="dxa"/>
            <w:tcBorders>
              <w:top w:val="nil"/>
              <w:left w:val="nil"/>
              <w:bottom w:val="single" w:sz="4" w:space="0" w:color="auto"/>
              <w:right w:val="single" w:sz="4" w:space="0" w:color="auto"/>
            </w:tcBorders>
            <w:shd w:val="clear" w:color="auto" w:fill="auto"/>
            <w:noWrap/>
            <w:vAlign w:val="center"/>
            <w:hideMark/>
          </w:tcPr>
          <w:p w14:paraId="49958E9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31.4</w:t>
            </w:r>
          </w:p>
        </w:tc>
        <w:tc>
          <w:tcPr>
            <w:tcW w:w="628" w:type="dxa"/>
            <w:tcBorders>
              <w:top w:val="nil"/>
              <w:left w:val="nil"/>
              <w:bottom w:val="single" w:sz="4" w:space="0" w:color="auto"/>
              <w:right w:val="single" w:sz="4" w:space="0" w:color="auto"/>
            </w:tcBorders>
            <w:shd w:val="clear" w:color="auto" w:fill="auto"/>
            <w:noWrap/>
            <w:vAlign w:val="center"/>
            <w:hideMark/>
          </w:tcPr>
          <w:p w14:paraId="098C780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34.5</w:t>
            </w:r>
          </w:p>
        </w:tc>
        <w:tc>
          <w:tcPr>
            <w:tcW w:w="628" w:type="dxa"/>
            <w:tcBorders>
              <w:top w:val="nil"/>
              <w:left w:val="nil"/>
              <w:bottom w:val="single" w:sz="4" w:space="0" w:color="auto"/>
              <w:right w:val="single" w:sz="4" w:space="0" w:color="auto"/>
            </w:tcBorders>
            <w:shd w:val="clear" w:color="auto" w:fill="auto"/>
            <w:noWrap/>
            <w:vAlign w:val="center"/>
            <w:hideMark/>
          </w:tcPr>
          <w:p w14:paraId="6CE53BF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32.9</w:t>
            </w:r>
          </w:p>
        </w:tc>
        <w:tc>
          <w:tcPr>
            <w:tcW w:w="628" w:type="dxa"/>
            <w:tcBorders>
              <w:top w:val="nil"/>
              <w:left w:val="nil"/>
              <w:bottom w:val="single" w:sz="4" w:space="0" w:color="auto"/>
              <w:right w:val="single" w:sz="4" w:space="0" w:color="auto"/>
            </w:tcBorders>
            <w:shd w:val="clear" w:color="auto" w:fill="auto"/>
            <w:noWrap/>
            <w:vAlign w:val="center"/>
            <w:hideMark/>
          </w:tcPr>
          <w:p w14:paraId="313B79D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38.7</w:t>
            </w:r>
          </w:p>
        </w:tc>
      </w:tr>
      <w:tr w:rsidR="00B56301" w:rsidRPr="00364545" w14:paraId="21E35E19"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A0DAFD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District Heating</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1A2089C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6D525E9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6.4</w:t>
            </w:r>
          </w:p>
        </w:tc>
        <w:tc>
          <w:tcPr>
            <w:tcW w:w="628" w:type="dxa"/>
            <w:tcBorders>
              <w:top w:val="nil"/>
              <w:left w:val="nil"/>
              <w:bottom w:val="single" w:sz="4" w:space="0" w:color="auto"/>
              <w:right w:val="single" w:sz="4" w:space="0" w:color="auto"/>
            </w:tcBorders>
            <w:shd w:val="clear" w:color="auto" w:fill="auto"/>
            <w:noWrap/>
            <w:vAlign w:val="center"/>
            <w:hideMark/>
          </w:tcPr>
          <w:p w14:paraId="0C04F6F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6.4</w:t>
            </w:r>
          </w:p>
        </w:tc>
        <w:tc>
          <w:tcPr>
            <w:tcW w:w="628" w:type="dxa"/>
            <w:tcBorders>
              <w:top w:val="nil"/>
              <w:left w:val="nil"/>
              <w:bottom w:val="single" w:sz="4" w:space="0" w:color="auto"/>
              <w:right w:val="single" w:sz="4" w:space="0" w:color="auto"/>
            </w:tcBorders>
            <w:shd w:val="clear" w:color="auto" w:fill="auto"/>
            <w:noWrap/>
            <w:vAlign w:val="center"/>
            <w:hideMark/>
          </w:tcPr>
          <w:p w14:paraId="35834FA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6.5</w:t>
            </w:r>
          </w:p>
        </w:tc>
        <w:tc>
          <w:tcPr>
            <w:tcW w:w="628" w:type="dxa"/>
            <w:tcBorders>
              <w:top w:val="nil"/>
              <w:left w:val="nil"/>
              <w:bottom w:val="single" w:sz="4" w:space="0" w:color="auto"/>
              <w:right w:val="single" w:sz="4" w:space="0" w:color="auto"/>
            </w:tcBorders>
            <w:shd w:val="clear" w:color="auto" w:fill="auto"/>
            <w:noWrap/>
            <w:vAlign w:val="center"/>
            <w:hideMark/>
          </w:tcPr>
          <w:p w14:paraId="09937F0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7A7DF73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w:t>
            </w:r>
          </w:p>
        </w:tc>
        <w:tc>
          <w:tcPr>
            <w:tcW w:w="628" w:type="dxa"/>
            <w:tcBorders>
              <w:top w:val="nil"/>
              <w:left w:val="nil"/>
              <w:bottom w:val="single" w:sz="4" w:space="0" w:color="auto"/>
              <w:right w:val="single" w:sz="4" w:space="0" w:color="auto"/>
            </w:tcBorders>
            <w:shd w:val="clear" w:color="auto" w:fill="auto"/>
            <w:noWrap/>
            <w:vAlign w:val="center"/>
            <w:hideMark/>
          </w:tcPr>
          <w:p w14:paraId="4D816BC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7.0</w:t>
            </w:r>
          </w:p>
        </w:tc>
        <w:tc>
          <w:tcPr>
            <w:tcW w:w="628" w:type="dxa"/>
            <w:tcBorders>
              <w:top w:val="nil"/>
              <w:left w:val="nil"/>
              <w:bottom w:val="single" w:sz="4" w:space="0" w:color="auto"/>
              <w:right w:val="single" w:sz="4" w:space="0" w:color="auto"/>
            </w:tcBorders>
            <w:shd w:val="clear" w:color="auto" w:fill="auto"/>
            <w:noWrap/>
            <w:vAlign w:val="center"/>
            <w:hideMark/>
          </w:tcPr>
          <w:p w14:paraId="791125C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w:t>
            </w:r>
          </w:p>
        </w:tc>
      </w:tr>
      <w:tr w:rsidR="00B56301" w:rsidRPr="00364545" w14:paraId="77544D35"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2A9DA30D"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Oil Refining</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C84E58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17.9</w:t>
            </w:r>
          </w:p>
        </w:tc>
        <w:tc>
          <w:tcPr>
            <w:tcW w:w="628" w:type="dxa"/>
            <w:tcBorders>
              <w:top w:val="nil"/>
              <w:left w:val="nil"/>
              <w:bottom w:val="single" w:sz="4" w:space="0" w:color="auto"/>
              <w:right w:val="single" w:sz="4" w:space="0" w:color="auto"/>
            </w:tcBorders>
            <w:shd w:val="clear" w:color="auto" w:fill="auto"/>
            <w:noWrap/>
            <w:vAlign w:val="center"/>
            <w:hideMark/>
          </w:tcPr>
          <w:p w14:paraId="1165D0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17.2</w:t>
            </w:r>
          </w:p>
        </w:tc>
        <w:tc>
          <w:tcPr>
            <w:tcW w:w="628" w:type="dxa"/>
            <w:tcBorders>
              <w:top w:val="nil"/>
              <w:left w:val="nil"/>
              <w:bottom w:val="single" w:sz="4" w:space="0" w:color="auto"/>
              <w:right w:val="single" w:sz="4" w:space="0" w:color="auto"/>
            </w:tcBorders>
            <w:shd w:val="clear" w:color="auto" w:fill="auto"/>
            <w:noWrap/>
            <w:vAlign w:val="center"/>
            <w:hideMark/>
          </w:tcPr>
          <w:p w14:paraId="0A09CAD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17.2</w:t>
            </w:r>
          </w:p>
        </w:tc>
        <w:tc>
          <w:tcPr>
            <w:tcW w:w="628" w:type="dxa"/>
            <w:tcBorders>
              <w:top w:val="nil"/>
              <w:left w:val="nil"/>
              <w:bottom w:val="single" w:sz="4" w:space="0" w:color="auto"/>
              <w:right w:val="single" w:sz="4" w:space="0" w:color="auto"/>
            </w:tcBorders>
            <w:shd w:val="clear" w:color="auto" w:fill="auto"/>
            <w:noWrap/>
            <w:vAlign w:val="center"/>
            <w:hideMark/>
          </w:tcPr>
          <w:p w14:paraId="34B80BF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17.3</w:t>
            </w:r>
          </w:p>
        </w:tc>
        <w:tc>
          <w:tcPr>
            <w:tcW w:w="628" w:type="dxa"/>
            <w:tcBorders>
              <w:top w:val="nil"/>
              <w:left w:val="nil"/>
              <w:bottom w:val="single" w:sz="4" w:space="0" w:color="auto"/>
              <w:right w:val="single" w:sz="4" w:space="0" w:color="auto"/>
            </w:tcBorders>
            <w:shd w:val="clear" w:color="auto" w:fill="auto"/>
            <w:noWrap/>
            <w:vAlign w:val="center"/>
            <w:hideMark/>
          </w:tcPr>
          <w:p w14:paraId="13B0363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16.4</w:t>
            </w:r>
          </w:p>
        </w:tc>
        <w:tc>
          <w:tcPr>
            <w:tcW w:w="628" w:type="dxa"/>
            <w:tcBorders>
              <w:top w:val="nil"/>
              <w:left w:val="nil"/>
              <w:bottom w:val="single" w:sz="4" w:space="0" w:color="auto"/>
              <w:right w:val="single" w:sz="4" w:space="0" w:color="auto"/>
            </w:tcBorders>
            <w:shd w:val="clear" w:color="auto" w:fill="auto"/>
            <w:noWrap/>
            <w:vAlign w:val="center"/>
            <w:hideMark/>
          </w:tcPr>
          <w:p w14:paraId="6A1B840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16.4</w:t>
            </w:r>
          </w:p>
        </w:tc>
        <w:tc>
          <w:tcPr>
            <w:tcW w:w="628" w:type="dxa"/>
            <w:tcBorders>
              <w:top w:val="nil"/>
              <w:left w:val="nil"/>
              <w:bottom w:val="single" w:sz="4" w:space="0" w:color="auto"/>
              <w:right w:val="single" w:sz="4" w:space="0" w:color="auto"/>
            </w:tcBorders>
            <w:shd w:val="clear" w:color="auto" w:fill="auto"/>
            <w:noWrap/>
            <w:vAlign w:val="center"/>
            <w:hideMark/>
          </w:tcPr>
          <w:p w14:paraId="3CA53AB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16.8</w:t>
            </w:r>
          </w:p>
        </w:tc>
        <w:tc>
          <w:tcPr>
            <w:tcW w:w="628" w:type="dxa"/>
            <w:tcBorders>
              <w:top w:val="nil"/>
              <w:left w:val="nil"/>
              <w:bottom w:val="single" w:sz="4" w:space="0" w:color="auto"/>
              <w:right w:val="single" w:sz="4" w:space="0" w:color="auto"/>
            </w:tcBorders>
            <w:shd w:val="clear" w:color="auto" w:fill="auto"/>
            <w:noWrap/>
            <w:vAlign w:val="center"/>
            <w:hideMark/>
          </w:tcPr>
          <w:p w14:paraId="29CB4CF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16.9</w:t>
            </w:r>
          </w:p>
        </w:tc>
      </w:tr>
      <w:tr w:rsidR="00B56301" w:rsidRPr="00364545" w14:paraId="5A7F22C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7822F44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Conversion of Solid Combustible Minerals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001EB6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14AFF33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3D12F6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1B7AEAB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558B94E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66DBFF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20DD9B8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w:t>
            </w:r>
          </w:p>
        </w:tc>
        <w:tc>
          <w:tcPr>
            <w:tcW w:w="628" w:type="dxa"/>
            <w:tcBorders>
              <w:top w:val="nil"/>
              <w:left w:val="nil"/>
              <w:bottom w:val="single" w:sz="4" w:space="0" w:color="auto"/>
              <w:right w:val="single" w:sz="4" w:space="0" w:color="auto"/>
            </w:tcBorders>
            <w:shd w:val="clear" w:color="auto" w:fill="auto"/>
            <w:noWrap/>
            <w:vAlign w:val="center"/>
            <w:hideMark/>
          </w:tcPr>
          <w:p w14:paraId="70A3E46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r>
      <w:tr w:rsidR="00B56301" w:rsidRPr="00364545" w14:paraId="37D99F1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5A653B6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solids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8A3B5F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w:t>
            </w:r>
          </w:p>
        </w:tc>
        <w:tc>
          <w:tcPr>
            <w:tcW w:w="628" w:type="dxa"/>
            <w:tcBorders>
              <w:top w:val="nil"/>
              <w:left w:val="nil"/>
              <w:bottom w:val="single" w:sz="4" w:space="0" w:color="auto"/>
              <w:right w:val="single" w:sz="4" w:space="0" w:color="auto"/>
            </w:tcBorders>
            <w:shd w:val="clear" w:color="auto" w:fill="auto"/>
            <w:noWrap/>
            <w:vAlign w:val="center"/>
            <w:hideMark/>
          </w:tcPr>
          <w:p w14:paraId="3B892B6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185425A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w:t>
            </w:r>
          </w:p>
        </w:tc>
        <w:tc>
          <w:tcPr>
            <w:tcW w:w="628" w:type="dxa"/>
            <w:tcBorders>
              <w:top w:val="nil"/>
              <w:left w:val="nil"/>
              <w:bottom w:val="single" w:sz="4" w:space="0" w:color="auto"/>
              <w:right w:val="single" w:sz="4" w:space="0" w:color="auto"/>
            </w:tcBorders>
            <w:shd w:val="clear" w:color="auto" w:fill="auto"/>
            <w:noWrap/>
            <w:vAlign w:val="center"/>
            <w:hideMark/>
          </w:tcPr>
          <w:p w14:paraId="6F3559D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w:t>
            </w:r>
          </w:p>
        </w:tc>
        <w:tc>
          <w:tcPr>
            <w:tcW w:w="628" w:type="dxa"/>
            <w:tcBorders>
              <w:top w:val="nil"/>
              <w:left w:val="nil"/>
              <w:bottom w:val="single" w:sz="4" w:space="0" w:color="auto"/>
              <w:right w:val="single" w:sz="4" w:space="0" w:color="auto"/>
            </w:tcBorders>
            <w:shd w:val="clear" w:color="auto" w:fill="auto"/>
            <w:noWrap/>
            <w:vAlign w:val="center"/>
            <w:hideMark/>
          </w:tcPr>
          <w:p w14:paraId="6CC3CB8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w:t>
            </w:r>
          </w:p>
        </w:tc>
        <w:tc>
          <w:tcPr>
            <w:tcW w:w="628" w:type="dxa"/>
            <w:tcBorders>
              <w:top w:val="nil"/>
              <w:left w:val="nil"/>
              <w:bottom w:val="single" w:sz="4" w:space="0" w:color="auto"/>
              <w:right w:val="single" w:sz="4" w:space="0" w:color="auto"/>
            </w:tcBorders>
            <w:shd w:val="clear" w:color="auto" w:fill="auto"/>
            <w:noWrap/>
            <w:vAlign w:val="center"/>
            <w:hideMark/>
          </w:tcPr>
          <w:p w14:paraId="2E646FE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w:t>
            </w:r>
          </w:p>
        </w:tc>
        <w:tc>
          <w:tcPr>
            <w:tcW w:w="628" w:type="dxa"/>
            <w:tcBorders>
              <w:top w:val="nil"/>
              <w:left w:val="nil"/>
              <w:bottom w:val="single" w:sz="4" w:space="0" w:color="auto"/>
              <w:right w:val="single" w:sz="4" w:space="0" w:color="auto"/>
            </w:tcBorders>
            <w:shd w:val="clear" w:color="auto" w:fill="auto"/>
            <w:noWrap/>
            <w:vAlign w:val="center"/>
            <w:hideMark/>
          </w:tcPr>
          <w:p w14:paraId="5E25099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center"/>
            <w:hideMark/>
          </w:tcPr>
          <w:p w14:paraId="4DEDD3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r>
      <w:tr w:rsidR="00B56301" w:rsidRPr="00364545" w14:paraId="6338EB06"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2B816A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liquids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5B4A0FC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center"/>
            <w:hideMark/>
          </w:tcPr>
          <w:p w14:paraId="434D5DC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0A14670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4BC0498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2AD2D5A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755A63C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27B3489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23F403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r>
      <w:tr w:rsidR="00B56301" w:rsidRPr="00364545" w14:paraId="1D367EF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99D24D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gases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C9C0A6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4947DC4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4DA2E8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2137439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6027BB5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6F4AABC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1EACF3D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C1282F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r>
      <w:tr w:rsidR="00B56301" w:rsidRPr="00364545" w14:paraId="5E4373D0"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4EB0B54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Charcoal making by carbonisation</w:t>
            </w:r>
          </w:p>
        </w:tc>
        <w:tc>
          <w:tcPr>
            <w:tcW w:w="628" w:type="dxa"/>
            <w:tcBorders>
              <w:top w:val="nil"/>
              <w:left w:val="nil"/>
              <w:bottom w:val="single" w:sz="4" w:space="0" w:color="auto"/>
              <w:right w:val="single" w:sz="4" w:space="0" w:color="auto"/>
            </w:tcBorders>
            <w:shd w:val="clear" w:color="auto" w:fill="auto"/>
            <w:noWrap/>
            <w:vAlign w:val="center"/>
            <w:hideMark/>
          </w:tcPr>
          <w:p w14:paraId="6C2804F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653683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8D138B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D7A2D5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032AEA9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076069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AE8562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E3E11F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3BD6E4B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5CBED8FD"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Use of waste as an energy source</w:t>
            </w:r>
          </w:p>
        </w:tc>
        <w:tc>
          <w:tcPr>
            <w:tcW w:w="628" w:type="dxa"/>
            <w:tcBorders>
              <w:top w:val="nil"/>
              <w:left w:val="nil"/>
              <w:bottom w:val="single" w:sz="4" w:space="0" w:color="auto"/>
              <w:right w:val="single" w:sz="4" w:space="0" w:color="auto"/>
            </w:tcBorders>
            <w:shd w:val="clear" w:color="auto" w:fill="auto"/>
            <w:noWrap/>
            <w:vAlign w:val="center"/>
            <w:hideMark/>
          </w:tcPr>
          <w:p w14:paraId="2097475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669992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2C9153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5E43F5C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4.5</w:t>
            </w:r>
          </w:p>
        </w:tc>
        <w:tc>
          <w:tcPr>
            <w:tcW w:w="628" w:type="dxa"/>
            <w:tcBorders>
              <w:top w:val="nil"/>
              <w:left w:val="nil"/>
              <w:bottom w:val="single" w:sz="4" w:space="0" w:color="auto"/>
              <w:right w:val="single" w:sz="4" w:space="0" w:color="auto"/>
            </w:tcBorders>
            <w:shd w:val="clear" w:color="auto" w:fill="auto"/>
            <w:noWrap/>
            <w:vAlign w:val="center"/>
            <w:hideMark/>
          </w:tcPr>
          <w:p w14:paraId="7038BCA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c>
          <w:tcPr>
            <w:tcW w:w="628" w:type="dxa"/>
            <w:tcBorders>
              <w:top w:val="nil"/>
              <w:left w:val="nil"/>
              <w:bottom w:val="single" w:sz="4" w:space="0" w:color="auto"/>
              <w:right w:val="single" w:sz="4" w:space="0" w:color="auto"/>
            </w:tcBorders>
            <w:shd w:val="clear" w:color="auto" w:fill="auto"/>
            <w:noWrap/>
            <w:vAlign w:val="center"/>
            <w:hideMark/>
          </w:tcPr>
          <w:p w14:paraId="4BA9C84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4B74360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4448E71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w:t>
            </w:r>
          </w:p>
        </w:tc>
      </w:tr>
      <w:tr w:rsidR="00B56301" w:rsidRPr="00364545" w14:paraId="661D9EB7" w14:textId="77777777" w:rsidTr="00B37B65">
        <w:trPr>
          <w:trHeight w:val="68"/>
          <w:jc w:val="center"/>
        </w:trPr>
        <w:tc>
          <w:tcPr>
            <w:tcW w:w="5680" w:type="dxa"/>
            <w:tcBorders>
              <w:top w:val="nil"/>
              <w:left w:val="nil"/>
              <w:bottom w:val="nil"/>
              <w:right w:val="nil"/>
            </w:tcBorders>
            <w:shd w:val="clear" w:color="000000" w:fill="0070C0"/>
            <w:noWrap/>
            <w:vAlign w:val="bottom"/>
            <w:hideMark/>
          </w:tcPr>
          <w:p w14:paraId="3E119F51"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Manufacturing and construction</w:t>
            </w:r>
          </w:p>
        </w:tc>
        <w:tc>
          <w:tcPr>
            <w:tcW w:w="628" w:type="dxa"/>
            <w:tcBorders>
              <w:top w:val="nil"/>
              <w:left w:val="single" w:sz="4" w:space="0" w:color="auto"/>
              <w:bottom w:val="single" w:sz="4" w:space="0" w:color="auto"/>
              <w:right w:val="single" w:sz="4" w:space="0" w:color="auto"/>
            </w:tcBorders>
            <w:shd w:val="clear" w:color="000000" w:fill="0070C0"/>
            <w:noWrap/>
            <w:vAlign w:val="bottom"/>
            <w:hideMark/>
          </w:tcPr>
          <w:p w14:paraId="4519C7E8"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133.8</w:t>
            </w:r>
          </w:p>
        </w:tc>
        <w:tc>
          <w:tcPr>
            <w:tcW w:w="628" w:type="dxa"/>
            <w:tcBorders>
              <w:top w:val="nil"/>
              <w:left w:val="nil"/>
              <w:bottom w:val="single" w:sz="4" w:space="0" w:color="auto"/>
              <w:right w:val="single" w:sz="4" w:space="0" w:color="auto"/>
            </w:tcBorders>
            <w:shd w:val="clear" w:color="000000" w:fill="0070C0"/>
            <w:noWrap/>
            <w:vAlign w:val="bottom"/>
            <w:hideMark/>
          </w:tcPr>
          <w:p w14:paraId="0916F530"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130.2</w:t>
            </w:r>
          </w:p>
        </w:tc>
        <w:tc>
          <w:tcPr>
            <w:tcW w:w="628" w:type="dxa"/>
            <w:tcBorders>
              <w:top w:val="nil"/>
              <w:left w:val="nil"/>
              <w:bottom w:val="single" w:sz="4" w:space="0" w:color="auto"/>
              <w:right w:val="single" w:sz="4" w:space="0" w:color="auto"/>
            </w:tcBorders>
            <w:shd w:val="clear" w:color="000000" w:fill="0070C0"/>
            <w:noWrap/>
            <w:vAlign w:val="bottom"/>
            <w:hideMark/>
          </w:tcPr>
          <w:p w14:paraId="50C8E71D"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126.6</w:t>
            </w:r>
          </w:p>
        </w:tc>
        <w:tc>
          <w:tcPr>
            <w:tcW w:w="628" w:type="dxa"/>
            <w:tcBorders>
              <w:top w:val="nil"/>
              <w:left w:val="nil"/>
              <w:bottom w:val="single" w:sz="4" w:space="0" w:color="auto"/>
              <w:right w:val="single" w:sz="4" w:space="0" w:color="auto"/>
            </w:tcBorders>
            <w:shd w:val="clear" w:color="000000" w:fill="0070C0"/>
            <w:noWrap/>
            <w:vAlign w:val="bottom"/>
            <w:hideMark/>
          </w:tcPr>
          <w:p w14:paraId="4657119C"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129.9</w:t>
            </w:r>
          </w:p>
        </w:tc>
        <w:tc>
          <w:tcPr>
            <w:tcW w:w="628" w:type="dxa"/>
            <w:tcBorders>
              <w:top w:val="nil"/>
              <w:left w:val="nil"/>
              <w:bottom w:val="single" w:sz="4" w:space="0" w:color="auto"/>
              <w:right w:val="single" w:sz="4" w:space="0" w:color="auto"/>
            </w:tcBorders>
            <w:shd w:val="clear" w:color="000000" w:fill="0070C0"/>
            <w:noWrap/>
            <w:vAlign w:val="bottom"/>
            <w:hideMark/>
          </w:tcPr>
          <w:p w14:paraId="154B71DB"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125.8</w:t>
            </w:r>
          </w:p>
        </w:tc>
        <w:tc>
          <w:tcPr>
            <w:tcW w:w="628" w:type="dxa"/>
            <w:tcBorders>
              <w:top w:val="nil"/>
              <w:left w:val="nil"/>
              <w:bottom w:val="single" w:sz="4" w:space="0" w:color="auto"/>
              <w:right w:val="single" w:sz="4" w:space="0" w:color="auto"/>
            </w:tcBorders>
            <w:shd w:val="clear" w:color="000000" w:fill="0070C0"/>
            <w:noWrap/>
            <w:vAlign w:val="bottom"/>
            <w:hideMark/>
          </w:tcPr>
          <w:p w14:paraId="0A5B8C6B"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124.3</w:t>
            </w:r>
          </w:p>
        </w:tc>
        <w:tc>
          <w:tcPr>
            <w:tcW w:w="628" w:type="dxa"/>
            <w:tcBorders>
              <w:top w:val="nil"/>
              <w:left w:val="nil"/>
              <w:bottom w:val="single" w:sz="4" w:space="0" w:color="auto"/>
              <w:right w:val="single" w:sz="4" w:space="0" w:color="auto"/>
            </w:tcBorders>
            <w:shd w:val="clear" w:color="000000" w:fill="0070C0"/>
            <w:noWrap/>
            <w:vAlign w:val="bottom"/>
            <w:hideMark/>
          </w:tcPr>
          <w:p w14:paraId="75269EA3"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118.6</w:t>
            </w:r>
          </w:p>
        </w:tc>
        <w:tc>
          <w:tcPr>
            <w:tcW w:w="628" w:type="dxa"/>
            <w:tcBorders>
              <w:top w:val="nil"/>
              <w:left w:val="nil"/>
              <w:bottom w:val="single" w:sz="4" w:space="0" w:color="auto"/>
              <w:right w:val="single" w:sz="4" w:space="0" w:color="auto"/>
            </w:tcBorders>
            <w:shd w:val="clear" w:color="000000" w:fill="0070C0"/>
            <w:noWrap/>
            <w:vAlign w:val="bottom"/>
            <w:hideMark/>
          </w:tcPr>
          <w:p w14:paraId="65A0D523"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119.2</w:t>
            </w:r>
          </w:p>
        </w:tc>
      </w:tr>
      <w:tr w:rsidR="00B56301" w:rsidRPr="00364545" w14:paraId="6B766210"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5ECE1D"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Chemistry</w:t>
            </w:r>
          </w:p>
        </w:tc>
        <w:tc>
          <w:tcPr>
            <w:tcW w:w="628" w:type="dxa"/>
            <w:tcBorders>
              <w:top w:val="nil"/>
              <w:left w:val="nil"/>
              <w:bottom w:val="single" w:sz="4" w:space="0" w:color="auto"/>
              <w:right w:val="single" w:sz="4" w:space="0" w:color="auto"/>
            </w:tcBorders>
            <w:shd w:val="clear" w:color="auto" w:fill="auto"/>
            <w:noWrap/>
            <w:vAlign w:val="center"/>
            <w:hideMark/>
          </w:tcPr>
          <w:p w14:paraId="6515FD2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45.8</w:t>
            </w:r>
          </w:p>
        </w:tc>
        <w:tc>
          <w:tcPr>
            <w:tcW w:w="628" w:type="dxa"/>
            <w:tcBorders>
              <w:top w:val="nil"/>
              <w:left w:val="nil"/>
              <w:bottom w:val="single" w:sz="4" w:space="0" w:color="auto"/>
              <w:right w:val="single" w:sz="4" w:space="0" w:color="auto"/>
            </w:tcBorders>
            <w:shd w:val="clear" w:color="auto" w:fill="auto"/>
            <w:noWrap/>
            <w:vAlign w:val="center"/>
            <w:hideMark/>
          </w:tcPr>
          <w:p w14:paraId="179CEFF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41.1</w:t>
            </w:r>
          </w:p>
        </w:tc>
        <w:tc>
          <w:tcPr>
            <w:tcW w:w="628" w:type="dxa"/>
            <w:tcBorders>
              <w:top w:val="nil"/>
              <w:left w:val="nil"/>
              <w:bottom w:val="single" w:sz="4" w:space="0" w:color="auto"/>
              <w:right w:val="single" w:sz="4" w:space="0" w:color="auto"/>
            </w:tcBorders>
            <w:shd w:val="clear" w:color="auto" w:fill="auto"/>
            <w:noWrap/>
            <w:vAlign w:val="center"/>
            <w:hideMark/>
          </w:tcPr>
          <w:p w14:paraId="7AADF4A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39.8</w:t>
            </w:r>
          </w:p>
        </w:tc>
        <w:tc>
          <w:tcPr>
            <w:tcW w:w="628" w:type="dxa"/>
            <w:tcBorders>
              <w:top w:val="nil"/>
              <w:left w:val="nil"/>
              <w:bottom w:val="single" w:sz="4" w:space="0" w:color="auto"/>
              <w:right w:val="single" w:sz="4" w:space="0" w:color="auto"/>
            </w:tcBorders>
            <w:shd w:val="clear" w:color="auto" w:fill="auto"/>
            <w:noWrap/>
            <w:vAlign w:val="center"/>
            <w:hideMark/>
          </w:tcPr>
          <w:p w14:paraId="7E8F67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42.7</w:t>
            </w:r>
          </w:p>
        </w:tc>
        <w:tc>
          <w:tcPr>
            <w:tcW w:w="628" w:type="dxa"/>
            <w:tcBorders>
              <w:top w:val="nil"/>
              <w:left w:val="nil"/>
              <w:bottom w:val="single" w:sz="4" w:space="0" w:color="auto"/>
              <w:right w:val="single" w:sz="4" w:space="0" w:color="auto"/>
            </w:tcBorders>
            <w:shd w:val="clear" w:color="auto" w:fill="auto"/>
            <w:noWrap/>
            <w:vAlign w:val="center"/>
            <w:hideMark/>
          </w:tcPr>
          <w:p w14:paraId="5E7193D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37.4</w:t>
            </w:r>
          </w:p>
        </w:tc>
        <w:tc>
          <w:tcPr>
            <w:tcW w:w="628" w:type="dxa"/>
            <w:tcBorders>
              <w:top w:val="nil"/>
              <w:left w:val="nil"/>
              <w:bottom w:val="single" w:sz="4" w:space="0" w:color="auto"/>
              <w:right w:val="single" w:sz="4" w:space="0" w:color="auto"/>
            </w:tcBorders>
            <w:shd w:val="clear" w:color="auto" w:fill="auto"/>
            <w:noWrap/>
            <w:vAlign w:val="center"/>
            <w:hideMark/>
          </w:tcPr>
          <w:p w14:paraId="4642C1B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37.4</w:t>
            </w:r>
          </w:p>
        </w:tc>
        <w:tc>
          <w:tcPr>
            <w:tcW w:w="628" w:type="dxa"/>
            <w:tcBorders>
              <w:top w:val="nil"/>
              <w:left w:val="nil"/>
              <w:bottom w:val="single" w:sz="4" w:space="0" w:color="auto"/>
              <w:right w:val="single" w:sz="4" w:space="0" w:color="auto"/>
            </w:tcBorders>
            <w:shd w:val="clear" w:color="auto" w:fill="auto"/>
            <w:noWrap/>
            <w:vAlign w:val="center"/>
            <w:hideMark/>
          </w:tcPr>
          <w:p w14:paraId="0A0EF61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33.7</w:t>
            </w:r>
          </w:p>
        </w:tc>
        <w:tc>
          <w:tcPr>
            <w:tcW w:w="628" w:type="dxa"/>
            <w:tcBorders>
              <w:top w:val="nil"/>
              <w:left w:val="nil"/>
              <w:bottom w:val="single" w:sz="4" w:space="0" w:color="auto"/>
              <w:right w:val="single" w:sz="4" w:space="0" w:color="auto"/>
            </w:tcBorders>
            <w:shd w:val="clear" w:color="auto" w:fill="auto"/>
            <w:noWrap/>
            <w:vAlign w:val="center"/>
            <w:hideMark/>
          </w:tcPr>
          <w:p w14:paraId="7B04351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35.0</w:t>
            </w:r>
          </w:p>
        </w:tc>
      </w:tr>
      <w:tr w:rsidR="00B56301" w:rsidRPr="00364545" w14:paraId="39C45297"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79CF96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1C19769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5.0</w:t>
            </w:r>
          </w:p>
        </w:tc>
        <w:tc>
          <w:tcPr>
            <w:tcW w:w="628" w:type="dxa"/>
            <w:tcBorders>
              <w:top w:val="nil"/>
              <w:left w:val="nil"/>
              <w:bottom w:val="single" w:sz="4" w:space="0" w:color="auto"/>
              <w:right w:val="single" w:sz="4" w:space="0" w:color="auto"/>
            </w:tcBorders>
            <w:shd w:val="clear" w:color="auto" w:fill="auto"/>
            <w:noWrap/>
            <w:vAlign w:val="center"/>
            <w:hideMark/>
          </w:tcPr>
          <w:p w14:paraId="17E6FD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4.5</w:t>
            </w:r>
          </w:p>
        </w:tc>
        <w:tc>
          <w:tcPr>
            <w:tcW w:w="628" w:type="dxa"/>
            <w:tcBorders>
              <w:top w:val="nil"/>
              <w:left w:val="nil"/>
              <w:bottom w:val="single" w:sz="4" w:space="0" w:color="auto"/>
              <w:right w:val="single" w:sz="4" w:space="0" w:color="auto"/>
            </w:tcBorders>
            <w:shd w:val="clear" w:color="auto" w:fill="auto"/>
            <w:noWrap/>
            <w:vAlign w:val="center"/>
            <w:hideMark/>
          </w:tcPr>
          <w:p w14:paraId="139833B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510535B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4FE9C04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6.3</w:t>
            </w:r>
          </w:p>
        </w:tc>
        <w:tc>
          <w:tcPr>
            <w:tcW w:w="628" w:type="dxa"/>
            <w:tcBorders>
              <w:top w:val="nil"/>
              <w:left w:val="nil"/>
              <w:bottom w:val="single" w:sz="4" w:space="0" w:color="auto"/>
              <w:right w:val="single" w:sz="4" w:space="0" w:color="auto"/>
            </w:tcBorders>
            <w:shd w:val="clear" w:color="auto" w:fill="auto"/>
            <w:noWrap/>
            <w:vAlign w:val="center"/>
            <w:hideMark/>
          </w:tcPr>
          <w:p w14:paraId="55837DF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3083B8A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484FD5A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5.3</w:t>
            </w:r>
          </w:p>
        </w:tc>
      </w:tr>
      <w:tr w:rsidR="00B56301" w:rsidRPr="00364545" w14:paraId="188824C3"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BA14C6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Transport materials and facilities</w:t>
            </w:r>
          </w:p>
        </w:tc>
        <w:tc>
          <w:tcPr>
            <w:tcW w:w="628" w:type="dxa"/>
            <w:tcBorders>
              <w:top w:val="nil"/>
              <w:left w:val="nil"/>
              <w:bottom w:val="single" w:sz="4" w:space="0" w:color="auto"/>
              <w:right w:val="single" w:sz="4" w:space="0" w:color="auto"/>
            </w:tcBorders>
            <w:shd w:val="clear" w:color="auto" w:fill="auto"/>
            <w:noWrap/>
            <w:vAlign w:val="center"/>
            <w:hideMark/>
          </w:tcPr>
          <w:p w14:paraId="35FD450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504D815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6.1</w:t>
            </w:r>
          </w:p>
        </w:tc>
        <w:tc>
          <w:tcPr>
            <w:tcW w:w="628" w:type="dxa"/>
            <w:tcBorders>
              <w:top w:val="nil"/>
              <w:left w:val="nil"/>
              <w:bottom w:val="single" w:sz="4" w:space="0" w:color="auto"/>
              <w:right w:val="single" w:sz="4" w:space="0" w:color="auto"/>
            </w:tcBorders>
            <w:shd w:val="clear" w:color="auto" w:fill="auto"/>
            <w:noWrap/>
            <w:vAlign w:val="center"/>
            <w:hideMark/>
          </w:tcPr>
          <w:p w14:paraId="4868E7F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5.9</w:t>
            </w:r>
          </w:p>
        </w:tc>
        <w:tc>
          <w:tcPr>
            <w:tcW w:w="628" w:type="dxa"/>
            <w:tcBorders>
              <w:top w:val="nil"/>
              <w:left w:val="nil"/>
              <w:bottom w:val="single" w:sz="4" w:space="0" w:color="auto"/>
              <w:right w:val="single" w:sz="4" w:space="0" w:color="auto"/>
            </w:tcBorders>
            <w:shd w:val="clear" w:color="auto" w:fill="auto"/>
            <w:noWrap/>
            <w:vAlign w:val="center"/>
            <w:hideMark/>
          </w:tcPr>
          <w:p w14:paraId="7B97A90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6.4</w:t>
            </w:r>
          </w:p>
        </w:tc>
        <w:tc>
          <w:tcPr>
            <w:tcW w:w="628" w:type="dxa"/>
            <w:tcBorders>
              <w:top w:val="nil"/>
              <w:left w:val="nil"/>
              <w:bottom w:val="single" w:sz="4" w:space="0" w:color="auto"/>
              <w:right w:val="single" w:sz="4" w:space="0" w:color="auto"/>
            </w:tcBorders>
            <w:shd w:val="clear" w:color="auto" w:fill="auto"/>
            <w:noWrap/>
            <w:vAlign w:val="center"/>
            <w:hideMark/>
          </w:tcPr>
          <w:p w14:paraId="043C312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5.9</w:t>
            </w:r>
          </w:p>
        </w:tc>
        <w:tc>
          <w:tcPr>
            <w:tcW w:w="628" w:type="dxa"/>
            <w:tcBorders>
              <w:top w:val="nil"/>
              <w:left w:val="nil"/>
              <w:bottom w:val="single" w:sz="4" w:space="0" w:color="auto"/>
              <w:right w:val="single" w:sz="4" w:space="0" w:color="auto"/>
            </w:tcBorders>
            <w:shd w:val="clear" w:color="auto" w:fill="auto"/>
            <w:noWrap/>
            <w:vAlign w:val="center"/>
            <w:hideMark/>
          </w:tcPr>
          <w:p w14:paraId="1436AD9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10AF30F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2BF6077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5.9</w:t>
            </w:r>
          </w:p>
        </w:tc>
      </w:tr>
      <w:tr w:rsidR="00B56301" w:rsidRPr="00364545" w14:paraId="4E6B2E3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9F714D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Agri-foodstuffs</w:t>
            </w:r>
          </w:p>
        </w:tc>
        <w:tc>
          <w:tcPr>
            <w:tcW w:w="628" w:type="dxa"/>
            <w:tcBorders>
              <w:top w:val="nil"/>
              <w:left w:val="nil"/>
              <w:bottom w:val="single" w:sz="4" w:space="0" w:color="auto"/>
              <w:right w:val="single" w:sz="4" w:space="0" w:color="auto"/>
            </w:tcBorders>
            <w:shd w:val="clear" w:color="auto" w:fill="auto"/>
            <w:noWrap/>
            <w:vAlign w:val="center"/>
            <w:hideMark/>
          </w:tcPr>
          <w:p w14:paraId="56E791A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10.7</w:t>
            </w:r>
          </w:p>
        </w:tc>
        <w:tc>
          <w:tcPr>
            <w:tcW w:w="628" w:type="dxa"/>
            <w:tcBorders>
              <w:top w:val="nil"/>
              <w:left w:val="nil"/>
              <w:bottom w:val="single" w:sz="4" w:space="0" w:color="auto"/>
              <w:right w:val="single" w:sz="4" w:space="0" w:color="auto"/>
            </w:tcBorders>
            <w:shd w:val="clear" w:color="auto" w:fill="auto"/>
            <w:noWrap/>
            <w:vAlign w:val="center"/>
            <w:hideMark/>
          </w:tcPr>
          <w:p w14:paraId="0CCBEF8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11.3</w:t>
            </w:r>
          </w:p>
        </w:tc>
        <w:tc>
          <w:tcPr>
            <w:tcW w:w="628" w:type="dxa"/>
            <w:tcBorders>
              <w:top w:val="nil"/>
              <w:left w:val="nil"/>
              <w:bottom w:val="single" w:sz="4" w:space="0" w:color="auto"/>
              <w:right w:val="single" w:sz="4" w:space="0" w:color="auto"/>
            </w:tcBorders>
            <w:shd w:val="clear" w:color="auto" w:fill="auto"/>
            <w:noWrap/>
            <w:vAlign w:val="center"/>
            <w:hideMark/>
          </w:tcPr>
          <w:p w14:paraId="06B05CB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10.5</w:t>
            </w:r>
          </w:p>
        </w:tc>
        <w:tc>
          <w:tcPr>
            <w:tcW w:w="628" w:type="dxa"/>
            <w:tcBorders>
              <w:top w:val="nil"/>
              <w:left w:val="nil"/>
              <w:bottom w:val="single" w:sz="4" w:space="0" w:color="auto"/>
              <w:right w:val="single" w:sz="4" w:space="0" w:color="auto"/>
            </w:tcBorders>
            <w:shd w:val="clear" w:color="auto" w:fill="auto"/>
            <w:noWrap/>
            <w:vAlign w:val="center"/>
            <w:hideMark/>
          </w:tcPr>
          <w:p w14:paraId="36E2AAE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30C4585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777E8A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10.8</w:t>
            </w:r>
          </w:p>
        </w:tc>
        <w:tc>
          <w:tcPr>
            <w:tcW w:w="628" w:type="dxa"/>
            <w:tcBorders>
              <w:top w:val="nil"/>
              <w:left w:val="nil"/>
              <w:bottom w:val="single" w:sz="4" w:space="0" w:color="auto"/>
              <w:right w:val="single" w:sz="4" w:space="0" w:color="auto"/>
            </w:tcBorders>
            <w:shd w:val="clear" w:color="auto" w:fill="auto"/>
            <w:noWrap/>
            <w:vAlign w:val="center"/>
            <w:hideMark/>
          </w:tcPr>
          <w:p w14:paraId="4C9347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10.4</w:t>
            </w:r>
          </w:p>
        </w:tc>
        <w:tc>
          <w:tcPr>
            <w:tcW w:w="628" w:type="dxa"/>
            <w:tcBorders>
              <w:top w:val="nil"/>
              <w:left w:val="nil"/>
              <w:bottom w:val="single" w:sz="4" w:space="0" w:color="auto"/>
              <w:right w:val="single" w:sz="4" w:space="0" w:color="auto"/>
            </w:tcBorders>
            <w:shd w:val="clear" w:color="auto" w:fill="auto"/>
            <w:noWrap/>
            <w:vAlign w:val="center"/>
            <w:hideMark/>
          </w:tcPr>
          <w:p w14:paraId="493D441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11.1</w:t>
            </w:r>
          </w:p>
        </w:tc>
      </w:tr>
      <w:tr w:rsidR="00B56301" w:rsidRPr="00364545" w14:paraId="1865CFD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0D96687"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Ferrous metal metallurgy</w:t>
            </w:r>
          </w:p>
        </w:tc>
        <w:tc>
          <w:tcPr>
            <w:tcW w:w="628" w:type="dxa"/>
            <w:tcBorders>
              <w:top w:val="nil"/>
              <w:left w:val="nil"/>
              <w:bottom w:val="single" w:sz="4" w:space="0" w:color="auto"/>
              <w:right w:val="single" w:sz="4" w:space="0" w:color="auto"/>
            </w:tcBorders>
            <w:shd w:val="clear" w:color="auto" w:fill="auto"/>
            <w:noWrap/>
            <w:vAlign w:val="center"/>
            <w:hideMark/>
          </w:tcPr>
          <w:p w14:paraId="2F3EFB6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23.2</w:t>
            </w:r>
          </w:p>
        </w:tc>
        <w:tc>
          <w:tcPr>
            <w:tcW w:w="628" w:type="dxa"/>
            <w:tcBorders>
              <w:top w:val="nil"/>
              <w:left w:val="nil"/>
              <w:bottom w:val="single" w:sz="4" w:space="0" w:color="auto"/>
              <w:right w:val="single" w:sz="4" w:space="0" w:color="auto"/>
            </w:tcBorders>
            <w:shd w:val="clear" w:color="auto" w:fill="auto"/>
            <w:noWrap/>
            <w:vAlign w:val="center"/>
            <w:hideMark/>
          </w:tcPr>
          <w:p w14:paraId="1E3F2DE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23.7</w:t>
            </w:r>
          </w:p>
        </w:tc>
        <w:tc>
          <w:tcPr>
            <w:tcW w:w="628" w:type="dxa"/>
            <w:tcBorders>
              <w:top w:val="nil"/>
              <w:left w:val="nil"/>
              <w:bottom w:val="single" w:sz="4" w:space="0" w:color="auto"/>
              <w:right w:val="single" w:sz="4" w:space="0" w:color="auto"/>
            </w:tcBorders>
            <w:shd w:val="clear" w:color="auto" w:fill="auto"/>
            <w:noWrap/>
            <w:vAlign w:val="center"/>
            <w:hideMark/>
          </w:tcPr>
          <w:p w14:paraId="78D1D97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25.0</w:t>
            </w:r>
          </w:p>
        </w:tc>
        <w:tc>
          <w:tcPr>
            <w:tcW w:w="628" w:type="dxa"/>
            <w:tcBorders>
              <w:top w:val="nil"/>
              <w:left w:val="nil"/>
              <w:bottom w:val="single" w:sz="4" w:space="0" w:color="auto"/>
              <w:right w:val="single" w:sz="4" w:space="0" w:color="auto"/>
            </w:tcBorders>
            <w:shd w:val="clear" w:color="auto" w:fill="auto"/>
            <w:noWrap/>
            <w:vAlign w:val="center"/>
            <w:hideMark/>
          </w:tcPr>
          <w:p w14:paraId="258F9B4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23.1</w:t>
            </w:r>
          </w:p>
        </w:tc>
        <w:tc>
          <w:tcPr>
            <w:tcW w:w="628" w:type="dxa"/>
            <w:tcBorders>
              <w:top w:val="nil"/>
              <w:left w:val="nil"/>
              <w:bottom w:val="single" w:sz="4" w:space="0" w:color="auto"/>
              <w:right w:val="single" w:sz="4" w:space="0" w:color="auto"/>
            </w:tcBorders>
            <w:shd w:val="clear" w:color="auto" w:fill="auto"/>
            <w:noWrap/>
            <w:vAlign w:val="center"/>
            <w:hideMark/>
          </w:tcPr>
          <w:p w14:paraId="1145DA1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24.4</w:t>
            </w:r>
          </w:p>
        </w:tc>
        <w:tc>
          <w:tcPr>
            <w:tcW w:w="628" w:type="dxa"/>
            <w:tcBorders>
              <w:top w:val="nil"/>
              <w:left w:val="nil"/>
              <w:bottom w:val="single" w:sz="4" w:space="0" w:color="auto"/>
              <w:right w:val="single" w:sz="4" w:space="0" w:color="auto"/>
            </w:tcBorders>
            <w:shd w:val="clear" w:color="auto" w:fill="auto"/>
            <w:noWrap/>
            <w:vAlign w:val="center"/>
            <w:hideMark/>
          </w:tcPr>
          <w:p w14:paraId="3FCBE3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24.1</w:t>
            </w:r>
          </w:p>
        </w:tc>
        <w:tc>
          <w:tcPr>
            <w:tcW w:w="628" w:type="dxa"/>
            <w:tcBorders>
              <w:top w:val="nil"/>
              <w:left w:val="nil"/>
              <w:bottom w:val="single" w:sz="4" w:space="0" w:color="auto"/>
              <w:right w:val="single" w:sz="4" w:space="0" w:color="auto"/>
            </w:tcBorders>
            <w:shd w:val="clear" w:color="auto" w:fill="auto"/>
            <w:noWrap/>
            <w:vAlign w:val="center"/>
            <w:hideMark/>
          </w:tcPr>
          <w:p w14:paraId="0BE240E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24.2</w:t>
            </w:r>
          </w:p>
        </w:tc>
        <w:tc>
          <w:tcPr>
            <w:tcW w:w="628" w:type="dxa"/>
            <w:tcBorders>
              <w:top w:val="nil"/>
              <w:left w:val="nil"/>
              <w:bottom w:val="single" w:sz="4" w:space="0" w:color="auto"/>
              <w:right w:val="single" w:sz="4" w:space="0" w:color="auto"/>
            </w:tcBorders>
            <w:shd w:val="clear" w:color="auto" w:fill="auto"/>
            <w:noWrap/>
            <w:vAlign w:val="center"/>
            <w:hideMark/>
          </w:tcPr>
          <w:p w14:paraId="01E063E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24.7</w:t>
            </w:r>
          </w:p>
        </w:tc>
      </w:tr>
      <w:tr w:rsidR="00B56301" w:rsidRPr="00364545" w14:paraId="42EFCA0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4E4328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Ferrous metal metallurgy</w:t>
            </w:r>
          </w:p>
        </w:tc>
        <w:tc>
          <w:tcPr>
            <w:tcW w:w="628" w:type="dxa"/>
            <w:tcBorders>
              <w:top w:val="nil"/>
              <w:left w:val="nil"/>
              <w:bottom w:val="single" w:sz="4" w:space="0" w:color="auto"/>
              <w:right w:val="single" w:sz="4" w:space="0" w:color="auto"/>
            </w:tcBorders>
            <w:shd w:val="clear" w:color="auto" w:fill="auto"/>
            <w:noWrap/>
            <w:vAlign w:val="center"/>
            <w:hideMark/>
          </w:tcPr>
          <w:p w14:paraId="1173E68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6.7</w:t>
            </w:r>
          </w:p>
        </w:tc>
        <w:tc>
          <w:tcPr>
            <w:tcW w:w="628" w:type="dxa"/>
            <w:tcBorders>
              <w:top w:val="nil"/>
              <w:left w:val="nil"/>
              <w:bottom w:val="single" w:sz="4" w:space="0" w:color="auto"/>
              <w:right w:val="single" w:sz="4" w:space="0" w:color="auto"/>
            </w:tcBorders>
            <w:shd w:val="clear" w:color="auto" w:fill="auto"/>
            <w:noWrap/>
            <w:vAlign w:val="center"/>
            <w:hideMark/>
          </w:tcPr>
          <w:p w14:paraId="265E74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7.5</w:t>
            </w:r>
          </w:p>
        </w:tc>
        <w:tc>
          <w:tcPr>
            <w:tcW w:w="628" w:type="dxa"/>
            <w:tcBorders>
              <w:top w:val="nil"/>
              <w:left w:val="nil"/>
              <w:bottom w:val="single" w:sz="4" w:space="0" w:color="auto"/>
              <w:right w:val="single" w:sz="4" w:space="0" w:color="auto"/>
            </w:tcBorders>
            <w:shd w:val="clear" w:color="auto" w:fill="auto"/>
            <w:noWrap/>
            <w:vAlign w:val="center"/>
            <w:hideMark/>
          </w:tcPr>
          <w:p w14:paraId="10A713B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6.1</w:t>
            </w:r>
          </w:p>
        </w:tc>
        <w:tc>
          <w:tcPr>
            <w:tcW w:w="628" w:type="dxa"/>
            <w:tcBorders>
              <w:top w:val="nil"/>
              <w:left w:val="nil"/>
              <w:bottom w:val="single" w:sz="4" w:space="0" w:color="auto"/>
              <w:right w:val="single" w:sz="4" w:space="0" w:color="auto"/>
            </w:tcBorders>
            <w:shd w:val="clear" w:color="auto" w:fill="auto"/>
            <w:noWrap/>
            <w:vAlign w:val="center"/>
            <w:hideMark/>
          </w:tcPr>
          <w:p w14:paraId="74ACDB9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w:t>
            </w:r>
          </w:p>
        </w:tc>
        <w:tc>
          <w:tcPr>
            <w:tcW w:w="628" w:type="dxa"/>
            <w:tcBorders>
              <w:top w:val="nil"/>
              <w:left w:val="nil"/>
              <w:bottom w:val="single" w:sz="4" w:space="0" w:color="auto"/>
              <w:right w:val="single" w:sz="4" w:space="0" w:color="auto"/>
            </w:tcBorders>
            <w:shd w:val="clear" w:color="auto" w:fill="auto"/>
            <w:noWrap/>
            <w:vAlign w:val="center"/>
            <w:hideMark/>
          </w:tcPr>
          <w:p w14:paraId="267187A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6C6DC9F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4AE8E5D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c>
          <w:tcPr>
            <w:tcW w:w="628" w:type="dxa"/>
            <w:tcBorders>
              <w:top w:val="nil"/>
              <w:left w:val="nil"/>
              <w:bottom w:val="single" w:sz="4" w:space="0" w:color="auto"/>
              <w:right w:val="single" w:sz="4" w:space="0" w:color="auto"/>
            </w:tcBorders>
            <w:shd w:val="clear" w:color="auto" w:fill="auto"/>
            <w:noWrap/>
            <w:vAlign w:val="center"/>
            <w:hideMark/>
          </w:tcPr>
          <w:p w14:paraId="63C6211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w:t>
            </w:r>
          </w:p>
        </w:tc>
      </w:tr>
      <w:tr w:rsidR="00B56301" w:rsidRPr="00364545" w14:paraId="459B9A4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426D04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Non-metallic minerals, building materials</w:t>
            </w:r>
          </w:p>
        </w:tc>
        <w:tc>
          <w:tcPr>
            <w:tcW w:w="628" w:type="dxa"/>
            <w:tcBorders>
              <w:top w:val="nil"/>
              <w:left w:val="nil"/>
              <w:bottom w:val="single" w:sz="4" w:space="0" w:color="auto"/>
              <w:right w:val="single" w:sz="4" w:space="0" w:color="auto"/>
            </w:tcBorders>
            <w:shd w:val="clear" w:color="auto" w:fill="auto"/>
            <w:noWrap/>
            <w:vAlign w:val="center"/>
            <w:hideMark/>
          </w:tcPr>
          <w:p w14:paraId="6011FEA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25.6</w:t>
            </w:r>
          </w:p>
        </w:tc>
        <w:tc>
          <w:tcPr>
            <w:tcW w:w="628" w:type="dxa"/>
            <w:tcBorders>
              <w:top w:val="nil"/>
              <w:left w:val="nil"/>
              <w:bottom w:val="single" w:sz="4" w:space="0" w:color="auto"/>
              <w:right w:val="single" w:sz="4" w:space="0" w:color="auto"/>
            </w:tcBorders>
            <w:shd w:val="clear" w:color="auto" w:fill="auto"/>
            <w:noWrap/>
            <w:vAlign w:val="center"/>
            <w:hideMark/>
          </w:tcPr>
          <w:p w14:paraId="2D64117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25.7</w:t>
            </w:r>
          </w:p>
        </w:tc>
        <w:tc>
          <w:tcPr>
            <w:tcW w:w="628" w:type="dxa"/>
            <w:tcBorders>
              <w:top w:val="nil"/>
              <w:left w:val="nil"/>
              <w:bottom w:val="single" w:sz="4" w:space="0" w:color="auto"/>
              <w:right w:val="single" w:sz="4" w:space="0" w:color="auto"/>
            </w:tcBorders>
            <w:shd w:val="clear" w:color="auto" w:fill="auto"/>
            <w:noWrap/>
            <w:vAlign w:val="center"/>
            <w:hideMark/>
          </w:tcPr>
          <w:p w14:paraId="72FF855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25.3</w:t>
            </w:r>
          </w:p>
        </w:tc>
        <w:tc>
          <w:tcPr>
            <w:tcW w:w="628" w:type="dxa"/>
            <w:tcBorders>
              <w:top w:val="nil"/>
              <w:left w:val="nil"/>
              <w:bottom w:val="single" w:sz="4" w:space="0" w:color="auto"/>
              <w:right w:val="single" w:sz="4" w:space="0" w:color="auto"/>
            </w:tcBorders>
            <w:shd w:val="clear" w:color="auto" w:fill="auto"/>
            <w:noWrap/>
            <w:vAlign w:val="center"/>
            <w:hideMark/>
          </w:tcPr>
          <w:p w14:paraId="4FAAEC1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26.1</w:t>
            </w:r>
          </w:p>
        </w:tc>
        <w:tc>
          <w:tcPr>
            <w:tcW w:w="628" w:type="dxa"/>
            <w:tcBorders>
              <w:top w:val="nil"/>
              <w:left w:val="nil"/>
              <w:bottom w:val="single" w:sz="4" w:space="0" w:color="auto"/>
              <w:right w:val="single" w:sz="4" w:space="0" w:color="auto"/>
            </w:tcBorders>
            <w:shd w:val="clear" w:color="auto" w:fill="auto"/>
            <w:noWrap/>
            <w:vAlign w:val="center"/>
            <w:hideMark/>
          </w:tcPr>
          <w:p w14:paraId="6B2F081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24.9</w:t>
            </w:r>
          </w:p>
        </w:tc>
        <w:tc>
          <w:tcPr>
            <w:tcW w:w="628" w:type="dxa"/>
            <w:tcBorders>
              <w:top w:val="nil"/>
              <w:left w:val="nil"/>
              <w:bottom w:val="single" w:sz="4" w:space="0" w:color="auto"/>
              <w:right w:val="single" w:sz="4" w:space="0" w:color="auto"/>
            </w:tcBorders>
            <w:shd w:val="clear" w:color="auto" w:fill="auto"/>
            <w:noWrap/>
            <w:vAlign w:val="center"/>
            <w:hideMark/>
          </w:tcPr>
          <w:p w14:paraId="065631E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24.7</w:t>
            </w:r>
          </w:p>
        </w:tc>
        <w:tc>
          <w:tcPr>
            <w:tcW w:w="628" w:type="dxa"/>
            <w:tcBorders>
              <w:top w:val="nil"/>
              <w:left w:val="nil"/>
              <w:bottom w:val="single" w:sz="4" w:space="0" w:color="auto"/>
              <w:right w:val="single" w:sz="4" w:space="0" w:color="auto"/>
            </w:tcBorders>
            <w:shd w:val="clear" w:color="auto" w:fill="auto"/>
            <w:noWrap/>
            <w:vAlign w:val="center"/>
            <w:hideMark/>
          </w:tcPr>
          <w:p w14:paraId="33C417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25.4</w:t>
            </w:r>
          </w:p>
        </w:tc>
        <w:tc>
          <w:tcPr>
            <w:tcW w:w="628" w:type="dxa"/>
            <w:tcBorders>
              <w:top w:val="nil"/>
              <w:left w:val="nil"/>
              <w:bottom w:val="single" w:sz="4" w:space="0" w:color="auto"/>
              <w:right w:val="single" w:sz="4" w:space="0" w:color="auto"/>
            </w:tcBorders>
            <w:shd w:val="clear" w:color="auto" w:fill="auto"/>
            <w:noWrap/>
            <w:vAlign w:val="center"/>
            <w:hideMark/>
          </w:tcPr>
          <w:p w14:paraId="04D39F8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25.1</w:t>
            </w:r>
          </w:p>
        </w:tc>
      </w:tr>
      <w:tr w:rsidR="00B56301" w:rsidRPr="00364545" w14:paraId="0830AD4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D7AF51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Paper, Cardboard</w:t>
            </w:r>
          </w:p>
        </w:tc>
        <w:tc>
          <w:tcPr>
            <w:tcW w:w="628" w:type="dxa"/>
            <w:tcBorders>
              <w:top w:val="nil"/>
              <w:left w:val="nil"/>
              <w:bottom w:val="single" w:sz="4" w:space="0" w:color="auto"/>
              <w:right w:val="single" w:sz="4" w:space="0" w:color="auto"/>
            </w:tcBorders>
            <w:shd w:val="clear" w:color="auto" w:fill="auto"/>
            <w:noWrap/>
            <w:vAlign w:val="center"/>
            <w:hideMark/>
          </w:tcPr>
          <w:p w14:paraId="7118E5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w:t>
            </w:r>
          </w:p>
        </w:tc>
        <w:tc>
          <w:tcPr>
            <w:tcW w:w="628" w:type="dxa"/>
            <w:tcBorders>
              <w:top w:val="nil"/>
              <w:left w:val="nil"/>
              <w:bottom w:val="single" w:sz="4" w:space="0" w:color="auto"/>
              <w:right w:val="single" w:sz="4" w:space="0" w:color="auto"/>
            </w:tcBorders>
            <w:shd w:val="clear" w:color="auto" w:fill="auto"/>
            <w:noWrap/>
            <w:vAlign w:val="center"/>
            <w:hideMark/>
          </w:tcPr>
          <w:p w14:paraId="631D7C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5.3</w:t>
            </w:r>
          </w:p>
        </w:tc>
        <w:tc>
          <w:tcPr>
            <w:tcW w:w="628" w:type="dxa"/>
            <w:tcBorders>
              <w:top w:val="nil"/>
              <w:left w:val="nil"/>
              <w:bottom w:val="single" w:sz="4" w:space="0" w:color="auto"/>
              <w:right w:val="single" w:sz="4" w:space="0" w:color="auto"/>
            </w:tcBorders>
            <w:shd w:val="clear" w:color="auto" w:fill="auto"/>
            <w:noWrap/>
            <w:vAlign w:val="center"/>
            <w:hideMark/>
          </w:tcPr>
          <w:p w14:paraId="7D3AD2D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5.3</w:t>
            </w:r>
          </w:p>
        </w:tc>
        <w:tc>
          <w:tcPr>
            <w:tcW w:w="628" w:type="dxa"/>
            <w:tcBorders>
              <w:top w:val="nil"/>
              <w:left w:val="nil"/>
              <w:bottom w:val="single" w:sz="4" w:space="0" w:color="auto"/>
              <w:right w:val="single" w:sz="4" w:space="0" w:color="auto"/>
            </w:tcBorders>
            <w:shd w:val="clear" w:color="auto" w:fill="auto"/>
            <w:noWrap/>
            <w:vAlign w:val="center"/>
            <w:hideMark/>
          </w:tcPr>
          <w:p w14:paraId="54B73DE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14CE789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4FF5497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c>
          <w:tcPr>
            <w:tcW w:w="628" w:type="dxa"/>
            <w:tcBorders>
              <w:top w:val="nil"/>
              <w:left w:val="nil"/>
              <w:bottom w:val="single" w:sz="4" w:space="0" w:color="auto"/>
              <w:right w:val="single" w:sz="4" w:space="0" w:color="auto"/>
            </w:tcBorders>
            <w:shd w:val="clear" w:color="auto" w:fill="auto"/>
            <w:noWrap/>
            <w:vAlign w:val="center"/>
            <w:hideMark/>
          </w:tcPr>
          <w:p w14:paraId="101049C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w:t>
            </w:r>
          </w:p>
        </w:tc>
        <w:tc>
          <w:tcPr>
            <w:tcW w:w="628" w:type="dxa"/>
            <w:tcBorders>
              <w:top w:val="nil"/>
              <w:left w:val="nil"/>
              <w:bottom w:val="single" w:sz="4" w:space="0" w:color="auto"/>
              <w:right w:val="single" w:sz="4" w:space="0" w:color="auto"/>
            </w:tcBorders>
            <w:shd w:val="clear" w:color="auto" w:fill="auto"/>
            <w:noWrap/>
            <w:vAlign w:val="center"/>
            <w:hideMark/>
          </w:tcPr>
          <w:p w14:paraId="5BEC02B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w:t>
            </w:r>
          </w:p>
        </w:tc>
      </w:tr>
      <w:tr w:rsidR="00B56301" w:rsidRPr="00364545" w14:paraId="607D07A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E752AC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Manufacturing Industries</w:t>
            </w:r>
          </w:p>
        </w:tc>
        <w:tc>
          <w:tcPr>
            <w:tcW w:w="628" w:type="dxa"/>
            <w:tcBorders>
              <w:top w:val="nil"/>
              <w:left w:val="nil"/>
              <w:bottom w:val="single" w:sz="4" w:space="0" w:color="auto"/>
              <w:right w:val="single" w:sz="4" w:space="0" w:color="auto"/>
            </w:tcBorders>
            <w:shd w:val="clear" w:color="auto" w:fill="auto"/>
            <w:noWrap/>
            <w:vAlign w:val="center"/>
            <w:hideMark/>
          </w:tcPr>
          <w:p w14:paraId="7FF6086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5.3</w:t>
            </w:r>
          </w:p>
        </w:tc>
        <w:tc>
          <w:tcPr>
            <w:tcW w:w="628" w:type="dxa"/>
            <w:tcBorders>
              <w:top w:val="nil"/>
              <w:left w:val="nil"/>
              <w:bottom w:val="single" w:sz="4" w:space="0" w:color="auto"/>
              <w:right w:val="single" w:sz="4" w:space="0" w:color="auto"/>
            </w:tcBorders>
            <w:shd w:val="clear" w:color="auto" w:fill="auto"/>
            <w:noWrap/>
            <w:vAlign w:val="center"/>
            <w:hideMark/>
          </w:tcPr>
          <w:p w14:paraId="1CAD2C8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3A926AC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1E17E49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15A9051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1036135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w:t>
            </w:r>
          </w:p>
        </w:tc>
        <w:tc>
          <w:tcPr>
            <w:tcW w:w="628" w:type="dxa"/>
            <w:tcBorders>
              <w:top w:val="nil"/>
              <w:left w:val="nil"/>
              <w:bottom w:val="single" w:sz="4" w:space="0" w:color="auto"/>
              <w:right w:val="single" w:sz="4" w:space="0" w:color="auto"/>
            </w:tcBorders>
            <w:shd w:val="clear" w:color="auto" w:fill="auto"/>
            <w:noWrap/>
            <w:vAlign w:val="center"/>
            <w:hideMark/>
          </w:tcPr>
          <w:p w14:paraId="0590900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w:t>
            </w:r>
          </w:p>
        </w:tc>
        <w:tc>
          <w:tcPr>
            <w:tcW w:w="628" w:type="dxa"/>
            <w:tcBorders>
              <w:top w:val="nil"/>
              <w:left w:val="nil"/>
              <w:bottom w:val="single" w:sz="4" w:space="0" w:color="auto"/>
              <w:right w:val="single" w:sz="4" w:space="0" w:color="auto"/>
            </w:tcBorders>
            <w:shd w:val="clear" w:color="auto" w:fill="auto"/>
            <w:noWrap/>
            <w:vAlign w:val="center"/>
            <w:hideMark/>
          </w:tcPr>
          <w:p w14:paraId="15F12DF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w:t>
            </w:r>
          </w:p>
        </w:tc>
      </w:tr>
      <w:tr w:rsidR="00B56301" w:rsidRPr="00364545" w14:paraId="2A151D2F" w14:textId="77777777" w:rsidTr="00B37B65">
        <w:trPr>
          <w:trHeight w:val="68"/>
          <w:jc w:val="center"/>
        </w:trPr>
        <w:tc>
          <w:tcPr>
            <w:tcW w:w="5680" w:type="dxa"/>
            <w:tcBorders>
              <w:top w:val="nil"/>
              <w:left w:val="nil"/>
              <w:bottom w:val="nil"/>
              <w:right w:val="nil"/>
            </w:tcBorders>
            <w:shd w:val="clear" w:color="000000" w:fill="B3A2C7"/>
            <w:noWrap/>
            <w:vAlign w:val="bottom"/>
            <w:hideMark/>
          </w:tcPr>
          <w:p w14:paraId="379BE1AB"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Central Waste Processing</w:t>
            </w:r>
          </w:p>
        </w:tc>
        <w:tc>
          <w:tcPr>
            <w:tcW w:w="628" w:type="dxa"/>
            <w:tcBorders>
              <w:top w:val="nil"/>
              <w:left w:val="single" w:sz="4" w:space="0" w:color="auto"/>
              <w:bottom w:val="single" w:sz="4" w:space="0" w:color="auto"/>
              <w:right w:val="single" w:sz="4" w:space="0" w:color="auto"/>
            </w:tcBorders>
            <w:shd w:val="clear" w:color="000000" w:fill="B3A2C7"/>
            <w:noWrap/>
            <w:vAlign w:val="bottom"/>
            <w:hideMark/>
          </w:tcPr>
          <w:p w14:paraId="722D3FF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17.7</w:t>
            </w:r>
          </w:p>
        </w:tc>
        <w:tc>
          <w:tcPr>
            <w:tcW w:w="628" w:type="dxa"/>
            <w:tcBorders>
              <w:top w:val="nil"/>
              <w:left w:val="nil"/>
              <w:bottom w:val="single" w:sz="4" w:space="0" w:color="auto"/>
              <w:right w:val="single" w:sz="4" w:space="0" w:color="auto"/>
            </w:tcBorders>
            <w:shd w:val="clear" w:color="000000" w:fill="B3A2C7"/>
            <w:noWrap/>
            <w:vAlign w:val="bottom"/>
            <w:hideMark/>
          </w:tcPr>
          <w:p w14:paraId="4CFB3D8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17.9</w:t>
            </w:r>
          </w:p>
        </w:tc>
        <w:tc>
          <w:tcPr>
            <w:tcW w:w="628" w:type="dxa"/>
            <w:tcBorders>
              <w:top w:val="nil"/>
              <w:left w:val="nil"/>
              <w:bottom w:val="single" w:sz="4" w:space="0" w:color="auto"/>
              <w:right w:val="single" w:sz="4" w:space="0" w:color="auto"/>
            </w:tcBorders>
            <w:shd w:val="clear" w:color="000000" w:fill="B3A2C7"/>
            <w:noWrap/>
            <w:vAlign w:val="bottom"/>
            <w:hideMark/>
          </w:tcPr>
          <w:p w14:paraId="5D73F50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18.3</w:t>
            </w:r>
          </w:p>
        </w:tc>
        <w:tc>
          <w:tcPr>
            <w:tcW w:w="628" w:type="dxa"/>
            <w:tcBorders>
              <w:top w:val="nil"/>
              <w:left w:val="nil"/>
              <w:bottom w:val="single" w:sz="4" w:space="0" w:color="auto"/>
              <w:right w:val="single" w:sz="4" w:space="0" w:color="auto"/>
            </w:tcBorders>
            <w:shd w:val="clear" w:color="000000" w:fill="B3A2C7"/>
            <w:noWrap/>
            <w:vAlign w:val="bottom"/>
            <w:hideMark/>
          </w:tcPr>
          <w:p w14:paraId="448CD67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18.4</w:t>
            </w:r>
          </w:p>
        </w:tc>
        <w:tc>
          <w:tcPr>
            <w:tcW w:w="628" w:type="dxa"/>
            <w:tcBorders>
              <w:top w:val="nil"/>
              <w:left w:val="nil"/>
              <w:bottom w:val="single" w:sz="4" w:space="0" w:color="auto"/>
              <w:right w:val="single" w:sz="4" w:space="0" w:color="auto"/>
            </w:tcBorders>
            <w:shd w:val="clear" w:color="000000" w:fill="B3A2C7"/>
            <w:noWrap/>
            <w:vAlign w:val="bottom"/>
            <w:hideMark/>
          </w:tcPr>
          <w:p w14:paraId="6A0CEF98"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18.6</w:t>
            </w:r>
          </w:p>
        </w:tc>
        <w:tc>
          <w:tcPr>
            <w:tcW w:w="628" w:type="dxa"/>
            <w:tcBorders>
              <w:top w:val="nil"/>
              <w:left w:val="nil"/>
              <w:bottom w:val="single" w:sz="4" w:space="0" w:color="auto"/>
              <w:right w:val="single" w:sz="4" w:space="0" w:color="auto"/>
            </w:tcBorders>
            <w:shd w:val="clear" w:color="000000" w:fill="B3A2C7"/>
            <w:noWrap/>
            <w:vAlign w:val="bottom"/>
            <w:hideMark/>
          </w:tcPr>
          <w:p w14:paraId="0D507BE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18.8</w:t>
            </w:r>
          </w:p>
        </w:tc>
        <w:tc>
          <w:tcPr>
            <w:tcW w:w="628" w:type="dxa"/>
            <w:tcBorders>
              <w:top w:val="nil"/>
              <w:left w:val="nil"/>
              <w:bottom w:val="single" w:sz="4" w:space="0" w:color="auto"/>
              <w:right w:val="single" w:sz="4" w:space="0" w:color="auto"/>
            </w:tcBorders>
            <w:shd w:val="clear" w:color="000000" w:fill="B3A2C7"/>
            <w:noWrap/>
            <w:vAlign w:val="bottom"/>
            <w:hideMark/>
          </w:tcPr>
          <w:p w14:paraId="63AF078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18.7</w:t>
            </w:r>
          </w:p>
        </w:tc>
        <w:tc>
          <w:tcPr>
            <w:tcW w:w="628" w:type="dxa"/>
            <w:tcBorders>
              <w:top w:val="nil"/>
              <w:left w:val="nil"/>
              <w:bottom w:val="single" w:sz="4" w:space="0" w:color="auto"/>
              <w:right w:val="single" w:sz="4" w:space="0" w:color="auto"/>
            </w:tcBorders>
            <w:shd w:val="clear" w:color="000000" w:fill="B3A2C7"/>
            <w:noWrap/>
            <w:vAlign w:val="bottom"/>
            <w:hideMark/>
          </w:tcPr>
          <w:p w14:paraId="4CC12E2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18.7</w:t>
            </w:r>
          </w:p>
        </w:tc>
      </w:tr>
      <w:tr w:rsidR="00B56301" w:rsidRPr="00364545" w14:paraId="6FEA8A81"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070D6DB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Waste Storage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935DC1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15.6</w:t>
            </w:r>
          </w:p>
        </w:tc>
        <w:tc>
          <w:tcPr>
            <w:tcW w:w="628" w:type="dxa"/>
            <w:tcBorders>
              <w:top w:val="nil"/>
              <w:left w:val="nil"/>
              <w:bottom w:val="single" w:sz="4" w:space="0" w:color="auto"/>
              <w:right w:val="single" w:sz="4" w:space="0" w:color="auto"/>
            </w:tcBorders>
            <w:shd w:val="clear" w:color="auto" w:fill="auto"/>
            <w:noWrap/>
            <w:vAlign w:val="bottom"/>
            <w:hideMark/>
          </w:tcPr>
          <w:p w14:paraId="12485DE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15.8</w:t>
            </w:r>
          </w:p>
        </w:tc>
        <w:tc>
          <w:tcPr>
            <w:tcW w:w="628" w:type="dxa"/>
            <w:tcBorders>
              <w:top w:val="nil"/>
              <w:left w:val="nil"/>
              <w:bottom w:val="single" w:sz="4" w:space="0" w:color="auto"/>
              <w:right w:val="single" w:sz="4" w:space="0" w:color="auto"/>
            </w:tcBorders>
            <w:shd w:val="clear" w:color="auto" w:fill="auto"/>
            <w:noWrap/>
            <w:vAlign w:val="bottom"/>
            <w:hideMark/>
          </w:tcPr>
          <w:p w14:paraId="7D48408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16.0</w:t>
            </w:r>
          </w:p>
        </w:tc>
        <w:tc>
          <w:tcPr>
            <w:tcW w:w="628" w:type="dxa"/>
            <w:tcBorders>
              <w:top w:val="nil"/>
              <w:left w:val="nil"/>
              <w:bottom w:val="single" w:sz="4" w:space="0" w:color="auto"/>
              <w:right w:val="single" w:sz="4" w:space="0" w:color="auto"/>
            </w:tcBorders>
            <w:shd w:val="clear" w:color="auto" w:fill="auto"/>
            <w:noWrap/>
            <w:vAlign w:val="bottom"/>
            <w:hideMark/>
          </w:tcPr>
          <w:p w14:paraId="57E1AAA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16.2</w:t>
            </w:r>
          </w:p>
        </w:tc>
        <w:tc>
          <w:tcPr>
            <w:tcW w:w="628" w:type="dxa"/>
            <w:tcBorders>
              <w:top w:val="nil"/>
              <w:left w:val="nil"/>
              <w:bottom w:val="single" w:sz="4" w:space="0" w:color="auto"/>
              <w:right w:val="single" w:sz="4" w:space="0" w:color="auto"/>
            </w:tcBorders>
            <w:shd w:val="clear" w:color="auto" w:fill="auto"/>
            <w:noWrap/>
            <w:vAlign w:val="bottom"/>
            <w:hideMark/>
          </w:tcPr>
          <w:p w14:paraId="075BC5E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16.4</w:t>
            </w:r>
          </w:p>
        </w:tc>
        <w:tc>
          <w:tcPr>
            <w:tcW w:w="628" w:type="dxa"/>
            <w:tcBorders>
              <w:top w:val="nil"/>
              <w:left w:val="nil"/>
              <w:bottom w:val="single" w:sz="4" w:space="0" w:color="auto"/>
              <w:right w:val="single" w:sz="4" w:space="0" w:color="auto"/>
            </w:tcBorders>
            <w:shd w:val="clear" w:color="auto" w:fill="auto"/>
            <w:noWrap/>
            <w:vAlign w:val="bottom"/>
            <w:hideMark/>
          </w:tcPr>
          <w:p w14:paraId="66C4A3A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16.6</w:t>
            </w:r>
          </w:p>
        </w:tc>
        <w:tc>
          <w:tcPr>
            <w:tcW w:w="628" w:type="dxa"/>
            <w:tcBorders>
              <w:top w:val="nil"/>
              <w:left w:val="nil"/>
              <w:bottom w:val="single" w:sz="4" w:space="0" w:color="auto"/>
              <w:right w:val="single" w:sz="4" w:space="0" w:color="auto"/>
            </w:tcBorders>
            <w:shd w:val="clear" w:color="auto" w:fill="auto"/>
            <w:noWrap/>
            <w:vAlign w:val="bottom"/>
            <w:hideMark/>
          </w:tcPr>
          <w:p w14:paraId="20C660D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16.6</w:t>
            </w:r>
          </w:p>
        </w:tc>
        <w:tc>
          <w:tcPr>
            <w:tcW w:w="628" w:type="dxa"/>
            <w:tcBorders>
              <w:top w:val="nil"/>
              <w:left w:val="nil"/>
              <w:bottom w:val="single" w:sz="4" w:space="0" w:color="auto"/>
              <w:right w:val="single" w:sz="4" w:space="0" w:color="auto"/>
            </w:tcBorders>
            <w:shd w:val="clear" w:color="auto" w:fill="auto"/>
            <w:noWrap/>
            <w:vAlign w:val="bottom"/>
            <w:hideMark/>
          </w:tcPr>
          <w:p w14:paraId="757DA3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16.4</w:t>
            </w:r>
          </w:p>
        </w:tc>
      </w:tr>
      <w:tr w:rsidR="00B56301" w:rsidRPr="00364545" w14:paraId="155DBB28"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3D072D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Incineration without Energy Recovery</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ED3A02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57B44C3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3ADCB5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402A8E1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3B9AE05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3F9DB32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1FEF1D4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342665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r>
      <w:tr w:rsidR="00B56301" w:rsidRPr="00364545" w14:paraId="6A957D20"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7E197F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Solid Waste Processing</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48ECB0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651064A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40F3081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68AC3A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481DC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14E88EC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8B944E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694192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r>
      <w:tr w:rsidR="00B56301" w:rsidRPr="00364545" w14:paraId="5EB050E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03EE28EB"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Waste-water Treatment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2A46F4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94CC6B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7170138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73A8F81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442FF2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094318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6E0E67E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9B48DC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r>
      <w:tr w:rsidR="00B56301" w:rsidRPr="00364545" w14:paraId="35E5829D" w14:textId="77777777" w:rsidTr="00B37B65">
        <w:trPr>
          <w:trHeight w:val="68"/>
          <w:jc w:val="center"/>
        </w:trPr>
        <w:tc>
          <w:tcPr>
            <w:tcW w:w="5680" w:type="dxa"/>
            <w:tcBorders>
              <w:top w:val="nil"/>
              <w:left w:val="nil"/>
              <w:bottom w:val="nil"/>
              <w:right w:val="nil"/>
            </w:tcBorders>
            <w:shd w:val="clear" w:color="000000" w:fill="E0E5B3"/>
            <w:noWrap/>
            <w:vAlign w:val="bottom"/>
            <w:hideMark/>
          </w:tcPr>
          <w:p w14:paraId="2D1BA10E"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Residential / High-tech Building Use and Activity</w:t>
            </w:r>
          </w:p>
        </w:tc>
        <w:tc>
          <w:tcPr>
            <w:tcW w:w="628" w:type="dxa"/>
            <w:tcBorders>
              <w:top w:val="nil"/>
              <w:left w:val="single" w:sz="4" w:space="0" w:color="auto"/>
              <w:bottom w:val="single" w:sz="4" w:space="0" w:color="auto"/>
              <w:right w:val="single" w:sz="4" w:space="0" w:color="auto"/>
            </w:tcBorders>
            <w:shd w:val="clear" w:color="000000" w:fill="E0E5B3"/>
            <w:noWrap/>
            <w:vAlign w:val="bottom"/>
            <w:hideMark/>
          </w:tcPr>
          <w:p w14:paraId="17FE5D58"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98.3</w:t>
            </w:r>
          </w:p>
        </w:tc>
        <w:tc>
          <w:tcPr>
            <w:tcW w:w="628" w:type="dxa"/>
            <w:tcBorders>
              <w:top w:val="nil"/>
              <w:left w:val="nil"/>
              <w:bottom w:val="single" w:sz="4" w:space="0" w:color="auto"/>
              <w:right w:val="single" w:sz="4" w:space="0" w:color="auto"/>
            </w:tcBorders>
            <w:shd w:val="clear" w:color="000000" w:fill="E0E5B3"/>
            <w:noWrap/>
            <w:vAlign w:val="bottom"/>
            <w:hideMark/>
          </w:tcPr>
          <w:p w14:paraId="144FC8D8"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100.0</w:t>
            </w:r>
          </w:p>
        </w:tc>
        <w:tc>
          <w:tcPr>
            <w:tcW w:w="628" w:type="dxa"/>
            <w:tcBorders>
              <w:top w:val="nil"/>
              <w:left w:val="nil"/>
              <w:bottom w:val="single" w:sz="4" w:space="0" w:color="auto"/>
              <w:right w:val="single" w:sz="4" w:space="0" w:color="auto"/>
            </w:tcBorders>
            <w:shd w:val="clear" w:color="000000" w:fill="E0E5B3"/>
            <w:noWrap/>
            <w:vAlign w:val="bottom"/>
            <w:hideMark/>
          </w:tcPr>
          <w:p w14:paraId="53D8D21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96.4</w:t>
            </w:r>
          </w:p>
        </w:tc>
        <w:tc>
          <w:tcPr>
            <w:tcW w:w="628" w:type="dxa"/>
            <w:tcBorders>
              <w:top w:val="nil"/>
              <w:left w:val="nil"/>
              <w:bottom w:val="single" w:sz="4" w:space="0" w:color="auto"/>
              <w:right w:val="single" w:sz="4" w:space="0" w:color="auto"/>
            </w:tcBorders>
            <w:shd w:val="clear" w:color="000000" w:fill="E0E5B3"/>
            <w:noWrap/>
            <w:vAlign w:val="bottom"/>
            <w:hideMark/>
          </w:tcPr>
          <w:p w14:paraId="3FFFE0F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101.9</w:t>
            </w:r>
          </w:p>
        </w:tc>
        <w:tc>
          <w:tcPr>
            <w:tcW w:w="628" w:type="dxa"/>
            <w:tcBorders>
              <w:top w:val="nil"/>
              <w:left w:val="nil"/>
              <w:bottom w:val="single" w:sz="4" w:space="0" w:color="auto"/>
              <w:right w:val="single" w:sz="4" w:space="0" w:color="auto"/>
            </w:tcBorders>
            <w:shd w:val="clear" w:color="000000" w:fill="E0E5B3"/>
            <w:noWrap/>
            <w:vAlign w:val="bottom"/>
            <w:hideMark/>
          </w:tcPr>
          <w:p w14:paraId="566566A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97.6</w:t>
            </w:r>
          </w:p>
        </w:tc>
        <w:tc>
          <w:tcPr>
            <w:tcW w:w="628" w:type="dxa"/>
            <w:tcBorders>
              <w:top w:val="nil"/>
              <w:left w:val="nil"/>
              <w:bottom w:val="single" w:sz="4" w:space="0" w:color="auto"/>
              <w:right w:val="single" w:sz="4" w:space="0" w:color="auto"/>
            </w:tcBorders>
            <w:shd w:val="clear" w:color="000000" w:fill="E0E5B3"/>
            <w:noWrap/>
            <w:vAlign w:val="bottom"/>
            <w:hideMark/>
          </w:tcPr>
          <w:p w14:paraId="0B20CE9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103.0</w:t>
            </w:r>
          </w:p>
        </w:tc>
        <w:tc>
          <w:tcPr>
            <w:tcW w:w="628" w:type="dxa"/>
            <w:tcBorders>
              <w:top w:val="nil"/>
              <w:left w:val="nil"/>
              <w:bottom w:val="single" w:sz="4" w:space="0" w:color="auto"/>
              <w:right w:val="single" w:sz="4" w:space="0" w:color="auto"/>
            </w:tcBorders>
            <w:shd w:val="clear" w:color="000000" w:fill="E0E5B3"/>
            <w:noWrap/>
            <w:vAlign w:val="bottom"/>
            <w:hideMark/>
          </w:tcPr>
          <w:p w14:paraId="04A36017"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107.7</w:t>
            </w:r>
          </w:p>
        </w:tc>
        <w:tc>
          <w:tcPr>
            <w:tcW w:w="628" w:type="dxa"/>
            <w:tcBorders>
              <w:top w:val="nil"/>
              <w:left w:val="nil"/>
              <w:bottom w:val="single" w:sz="4" w:space="0" w:color="auto"/>
              <w:right w:val="single" w:sz="4" w:space="0" w:color="auto"/>
            </w:tcBorders>
            <w:shd w:val="clear" w:color="000000" w:fill="E0E5B3"/>
            <w:noWrap/>
            <w:vAlign w:val="bottom"/>
            <w:hideMark/>
          </w:tcPr>
          <w:p w14:paraId="0AA9F9E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106.5</w:t>
            </w:r>
          </w:p>
        </w:tc>
      </w:tr>
      <w:tr w:rsidR="00B56301" w:rsidRPr="00364545" w14:paraId="469BE8B1"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40D09D7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Use of Residential Buildings and Domestic Activities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E36F08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67.3</w:t>
            </w:r>
          </w:p>
        </w:tc>
        <w:tc>
          <w:tcPr>
            <w:tcW w:w="628" w:type="dxa"/>
            <w:tcBorders>
              <w:top w:val="nil"/>
              <w:left w:val="nil"/>
              <w:bottom w:val="single" w:sz="4" w:space="0" w:color="auto"/>
              <w:right w:val="single" w:sz="4" w:space="0" w:color="auto"/>
            </w:tcBorders>
            <w:shd w:val="clear" w:color="auto" w:fill="auto"/>
            <w:noWrap/>
            <w:vAlign w:val="bottom"/>
            <w:hideMark/>
          </w:tcPr>
          <w:p w14:paraId="3CB600E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68.0</w:t>
            </w:r>
          </w:p>
        </w:tc>
        <w:tc>
          <w:tcPr>
            <w:tcW w:w="628" w:type="dxa"/>
            <w:tcBorders>
              <w:top w:val="nil"/>
              <w:left w:val="nil"/>
              <w:bottom w:val="single" w:sz="4" w:space="0" w:color="auto"/>
              <w:right w:val="single" w:sz="4" w:space="0" w:color="auto"/>
            </w:tcBorders>
            <w:shd w:val="clear" w:color="auto" w:fill="auto"/>
            <w:noWrap/>
            <w:vAlign w:val="bottom"/>
            <w:hideMark/>
          </w:tcPr>
          <w:p w14:paraId="2D4E391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66.0</w:t>
            </w:r>
          </w:p>
        </w:tc>
        <w:tc>
          <w:tcPr>
            <w:tcW w:w="628" w:type="dxa"/>
            <w:tcBorders>
              <w:top w:val="nil"/>
              <w:left w:val="nil"/>
              <w:bottom w:val="single" w:sz="4" w:space="0" w:color="auto"/>
              <w:right w:val="single" w:sz="4" w:space="0" w:color="auto"/>
            </w:tcBorders>
            <w:shd w:val="clear" w:color="auto" w:fill="auto"/>
            <w:noWrap/>
            <w:vAlign w:val="bottom"/>
            <w:hideMark/>
          </w:tcPr>
          <w:p w14:paraId="2CF0517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69.7</w:t>
            </w:r>
          </w:p>
        </w:tc>
        <w:tc>
          <w:tcPr>
            <w:tcW w:w="628" w:type="dxa"/>
            <w:tcBorders>
              <w:top w:val="nil"/>
              <w:left w:val="nil"/>
              <w:bottom w:val="single" w:sz="4" w:space="0" w:color="auto"/>
              <w:right w:val="single" w:sz="4" w:space="0" w:color="auto"/>
            </w:tcBorders>
            <w:shd w:val="clear" w:color="auto" w:fill="auto"/>
            <w:noWrap/>
            <w:vAlign w:val="bottom"/>
            <w:hideMark/>
          </w:tcPr>
          <w:p w14:paraId="1A72FC1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66.9</w:t>
            </w:r>
          </w:p>
        </w:tc>
        <w:tc>
          <w:tcPr>
            <w:tcW w:w="628" w:type="dxa"/>
            <w:tcBorders>
              <w:top w:val="nil"/>
              <w:left w:val="nil"/>
              <w:bottom w:val="single" w:sz="4" w:space="0" w:color="auto"/>
              <w:right w:val="single" w:sz="4" w:space="0" w:color="auto"/>
            </w:tcBorders>
            <w:shd w:val="clear" w:color="auto" w:fill="auto"/>
            <w:noWrap/>
            <w:vAlign w:val="bottom"/>
            <w:hideMark/>
          </w:tcPr>
          <w:p w14:paraId="483E6D8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68.2</w:t>
            </w:r>
          </w:p>
        </w:tc>
        <w:tc>
          <w:tcPr>
            <w:tcW w:w="628" w:type="dxa"/>
            <w:tcBorders>
              <w:top w:val="nil"/>
              <w:left w:val="nil"/>
              <w:bottom w:val="single" w:sz="4" w:space="0" w:color="auto"/>
              <w:right w:val="single" w:sz="4" w:space="0" w:color="auto"/>
            </w:tcBorders>
            <w:shd w:val="clear" w:color="auto" w:fill="auto"/>
            <w:noWrap/>
            <w:vAlign w:val="bottom"/>
            <w:hideMark/>
          </w:tcPr>
          <w:p w14:paraId="1DFCA61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72.0</w:t>
            </w:r>
          </w:p>
        </w:tc>
        <w:tc>
          <w:tcPr>
            <w:tcW w:w="628" w:type="dxa"/>
            <w:tcBorders>
              <w:top w:val="nil"/>
              <w:left w:val="nil"/>
              <w:bottom w:val="single" w:sz="4" w:space="0" w:color="auto"/>
              <w:right w:val="single" w:sz="4" w:space="0" w:color="auto"/>
            </w:tcBorders>
            <w:shd w:val="clear" w:color="auto" w:fill="auto"/>
            <w:noWrap/>
            <w:vAlign w:val="bottom"/>
            <w:hideMark/>
          </w:tcPr>
          <w:p w14:paraId="007C963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71.1</w:t>
            </w:r>
          </w:p>
        </w:tc>
      </w:tr>
      <w:tr w:rsidR="00B56301" w:rsidRPr="00364545" w14:paraId="7ACAB422"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63A9BED"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High-tech Building Use and Activity</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17CBF4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31.0</w:t>
            </w:r>
          </w:p>
        </w:tc>
        <w:tc>
          <w:tcPr>
            <w:tcW w:w="628" w:type="dxa"/>
            <w:tcBorders>
              <w:top w:val="nil"/>
              <w:left w:val="nil"/>
              <w:bottom w:val="single" w:sz="4" w:space="0" w:color="auto"/>
              <w:right w:val="single" w:sz="4" w:space="0" w:color="auto"/>
            </w:tcBorders>
            <w:shd w:val="clear" w:color="auto" w:fill="auto"/>
            <w:noWrap/>
            <w:vAlign w:val="bottom"/>
            <w:hideMark/>
          </w:tcPr>
          <w:p w14:paraId="59C3852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32.0</w:t>
            </w:r>
          </w:p>
        </w:tc>
        <w:tc>
          <w:tcPr>
            <w:tcW w:w="628" w:type="dxa"/>
            <w:tcBorders>
              <w:top w:val="nil"/>
              <w:left w:val="nil"/>
              <w:bottom w:val="single" w:sz="4" w:space="0" w:color="auto"/>
              <w:right w:val="single" w:sz="4" w:space="0" w:color="auto"/>
            </w:tcBorders>
            <w:shd w:val="clear" w:color="auto" w:fill="auto"/>
            <w:noWrap/>
            <w:vAlign w:val="bottom"/>
            <w:hideMark/>
          </w:tcPr>
          <w:p w14:paraId="3CD8DC9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30.4</w:t>
            </w:r>
          </w:p>
        </w:tc>
        <w:tc>
          <w:tcPr>
            <w:tcW w:w="628" w:type="dxa"/>
            <w:tcBorders>
              <w:top w:val="nil"/>
              <w:left w:val="nil"/>
              <w:bottom w:val="single" w:sz="4" w:space="0" w:color="auto"/>
              <w:right w:val="single" w:sz="4" w:space="0" w:color="auto"/>
            </w:tcBorders>
            <w:shd w:val="clear" w:color="auto" w:fill="auto"/>
            <w:noWrap/>
            <w:vAlign w:val="bottom"/>
            <w:hideMark/>
          </w:tcPr>
          <w:p w14:paraId="6693BDD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32.2</w:t>
            </w:r>
          </w:p>
        </w:tc>
        <w:tc>
          <w:tcPr>
            <w:tcW w:w="628" w:type="dxa"/>
            <w:tcBorders>
              <w:top w:val="nil"/>
              <w:left w:val="nil"/>
              <w:bottom w:val="single" w:sz="4" w:space="0" w:color="auto"/>
              <w:right w:val="single" w:sz="4" w:space="0" w:color="auto"/>
            </w:tcBorders>
            <w:shd w:val="clear" w:color="auto" w:fill="auto"/>
            <w:noWrap/>
            <w:vAlign w:val="bottom"/>
            <w:hideMark/>
          </w:tcPr>
          <w:p w14:paraId="4CE695E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30.7</w:t>
            </w:r>
          </w:p>
        </w:tc>
        <w:tc>
          <w:tcPr>
            <w:tcW w:w="628" w:type="dxa"/>
            <w:tcBorders>
              <w:top w:val="nil"/>
              <w:left w:val="nil"/>
              <w:bottom w:val="single" w:sz="4" w:space="0" w:color="auto"/>
              <w:right w:val="single" w:sz="4" w:space="0" w:color="auto"/>
            </w:tcBorders>
            <w:shd w:val="clear" w:color="auto" w:fill="auto"/>
            <w:noWrap/>
            <w:vAlign w:val="bottom"/>
            <w:hideMark/>
          </w:tcPr>
          <w:p w14:paraId="4512A7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34.8</w:t>
            </w:r>
          </w:p>
        </w:tc>
        <w:tc>
          <w:tcPr>
            <w:tcW w:w="628" w:type="dxa"/>
            <w:tcBorders>
              <w:top w:val="nil"/>
              <w:left w:val="nil"/>
              <w:bottom w:val="single" w:sz="4" w:space="0" w:color="auto"/>
              <w:right w:val="single" w:sz="4" w:space="0" w:color="auto"/>
            </w:tcBorders>
            <w:shd w:val="clear" w:color="auto" w:fill="auto"/>
            <w:noWrap/>
            <w:vAlign w:val="bottom"/>
            <w:hideMark/>
          </w:tcPr>
          <w:p w14:paraId="77AFA8E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35.7</w:t>
            </w:r>
          </w:p>
        </w:tc>
        <w:tc>
          <w:tcPr>
            <w:tcW w:w="628" w:type="dxa"/>
            <w:tcBorders>
              <w:top w:val="nil"/>
              <w:left w:val="nil"/>
              <w:bottom w:val="single" w:sz="4" w:space="0" w:color="auto"/>
              <w:right w:val="single" w:sz="4" w:space="0" w:color="auto"/>
            </w:tcBorders>
            <w:shd w:val="clear" w:color="auto" w:fill="auto"/>
            <w:noWrap/>
            <w:vAlign w:val="bottom"/>
            <w:hideMark/>
          </w:tcPr>
          <w:p w14:paraId="28EF2E2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35.4</w:t>
            </w:r>
          </w:p>
        </w:tc>
      </w:tr>
      <w:tr w:rsidR="00B56301" w:rsidRPr="00364545" w14:paraId="443E63CD" w14:textId="77777777" w:rsidTr="00B37B65">
        <w:trPr>
          <w:trHeight w:val="68"/>
          <w:jc w:val="center"/>
        </w:trPr>
        <w:tc>
          <w:tcPr>
            <w:tcW w:w="5680" w:type="dxa"/>
            <w:tcBorders>
              <w:top w:val="nil"/>
              <w:left w:val="nil"/>
              <w:bottom w:val="nil"/>
              <w:right w:val="nil"/>
            </w:tcBorders>
            <w:shd w:val="clear" w:color="000000" w:fill="92D050"/>
            <w:noWrap/>
            <w:vAlign w:val="bottom"/>
            <w:hideMark/>
          </w:tcPr>
          <w:p w14:paraId="4D6D6301"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Agriculture</w:t>
            </w:r>
          </w:p>
        </w:tc>
        <w:tc>
          <w:tcPr>
            <w:tcW w:w="628" w:type="dxa"/>
            <w:tcBorders>
              <w:top w:val="nil"/>
              <w:left w:val="single" w:sz="4" w:space="0" w:color="auto"/>
              <w:bottom w:val="single" w:sz="4" w:space="0" w:color="auto"/>
              <w:right w:val="single" w:sz="4" w:space="0" w:color="auto"/>
            </w:tcBorders>
            <w:shd w:val="clear" w:color="000000" w:fill="92D050"/>
            <w:noWrap/>
            <w:vAlign w:val="bottom"/>
            <w:hideMark/>
          </w:tcPr>
          <w:p w14:paraId="787BF18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90.5</w:t>
            </w:r>
          </w:p>
        </w:tc>
        <w:tc>
          <w:tcPr>
            <w:tcW w:w="628" w:type="dxa"/>
            <w:tcBorders>
              <w:top w:val="nil"/>
              <w:left w:val="nil"/>
              <w:bottom w:val="single" w:sz="4" w:space="0" w:color="auto"/>
              <w:right w:val="single" w:sz="4" w:space="0" w:color="auto"/>
            </w:tcBorders>
            <w:shd w:val="clear" w:color="000000" w:fill="92D050"/>
            <w:noWrap/>
            <w:vAlign w:val="bottom"/>
            <w:hideMark/>
          </w:tcPr>
          <w:p w14:paraId="45ECE16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91.0</w:t>
            </w:r>
          </w:p>
        </w:tc>
        <w:tc>
          <w:tcPr>
            <w:tcW w:w="628" w:type="dxa"/>
            <w:tcBorders>
              <w:top w:val="nil"/>
              <w:left w:val="nil"/>
              <w:bottom w:val="single" w:sz="4" w:space="0" w:color="auto"/>
              <w:right w:val="single" w:sz="4" w:space="0" w:color="auto"/>
            </w:tcBorders>
            <w:shd w:val="clear" w:color="000000" w:fill="92D050"/>
            <w:noWrap/>
            <w:vAlign w:val="bottom"/>
            <w:hideMark/>
          </w:tcPr>
          <w:p w14:paraId="2B8F992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93.0</w:t>
            </w:r>
          </w:p>
        </w:tc>
        <w:tc>
          <w:tcPr>
            <w:tcW w:w="628" w:type="dxa"/>
            <w:tcBorders>
              <w:top w:val="nil"/>
              <w:left w:val="nil"/>
              <w:bottom w:val="single" w:sz="4" w:space="0" w:color="auto"/>
              <w:right w:val="single" w:sz="4" w:space="0" w:color="auto"/>
            </w:tcBorders>
            <w:shd w:val="clear" w:color="000000" w:fill="92D050"/>
            <w:noWrap/>
            <w:vAlign w:val="bottom"/>
            <w:hideMark/>
          </w:tcPr>
          <w:p w14:paraId="3EF39FF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92.6</w:t>
            </w:r>
          </w:p>
        </w:tc>
        <w:tc>
          <w:tcPr>
            <w:tcW w:w="628" w:type="dxa"/>
            <w:tcBorders>
              <w:top w:val="nil"/>
              <w:left w:val="nil"/>
              <w:bottom w:val="single" w:sz="4" w:space="0" w:color="auto"/>
              <w:right w:val="single" w:sz="4" w:space="0" w:color="auto"/>
            </w:tcBorders>
            <w:shd w:val="clear" w:color="000000" w:fill="92D050"/>
            <w:noWrap/>
            <w:vAlign w:val="bottom"/>
            <w:hideMark/>
          </w:tcPr>
          <w:p w14:paraId="234BEFE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90.9</w:t>
            </w:r>
          </w:p>
        </w:tc>
        <w:tc>
          <w:tcPr>
            <w:tcW w:w="628" w:type="dxa"/>
            <w:tcBorders>
              <w:top w:val="nil"/>
              <w:left w:val="nil"/>
              <w:bottom w:val="single" w:sz="4" w:space="0" w:color="auto"/>
              <w:right w:val="single" w:sz="4" w:space="0" w:color="auto"/>
            </w:tcBorders>
            <w:shd w:val="clear" w:color="000000" w:fill="92D050"/>
            <w:noWrap/>
            <w:vAlign w:val="bottom"/>
            <w:hideMark/>
          </w:tcPr>
          <w:p w14:paraId="333EC3A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88.1</w:t>
            </w:r>
          </w:p>
        </w:tc>
        <w:tc>
          <w:tcPr>
            <w:tcW w:w="628" w:type="dxa"/>
            <w:tcBorders>
              <w:top w:val="nil"/>
              <w:left w:val="nil"/>
              <w:bottom w:val="single" w:sz="4" w:space="0" w:color="auto"/>
              <w:right w:val="single" w:sz="4" w:space="0" w:color="auto"/>
            </w:tcBorders>
            <w:shd w:val="clear" w:color="000000" w:fill="92D050"/>
            <w:noWrap/>
            <w:vAlign w:val="bottom"/>
            <w:hideMark/>
          </w:tcPr>
          <w:p w14:paraId="09E50F5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89.1</w:t>
            </w:r>
          </w:p>
        </w:tc>
        <w:tc>
          <w:tcPr>
            <w:tcW w:w="628" w:type="dxa"/>
            <w:tcBorders>
              <w:top w:val="nil"/>
              <w:left w:val="nil"/>
              <w:bottom w:val="single" w:sz="4" w:space="0" w:color="auto"/>
              <w:right w:val="single" w:sz="4" w:space="0" w:color="auto"/>
            </w:tcBorders>
            <w:shd w:val="clear" w:color="000000" w:fill="92D050"/>
            <w:noWrap/>
            <w:vAlign w:val="bottom"/>
            <w:hideMark/>
          </w:tcPr>
          <w:p w14:paraId="3389B05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87.7</w:t>
            </w:r>
          </w:p>
        </w:tc>
      </w:tr>
      <w:tr w:rsidR="00B56301" w:rsidRPr="00364545" w14:paraId="57670007"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78EC8"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Cultivation</w:t>
            </w:r>
          </w:p>
        </w:tc>
        <w:tc>
          <w:tcPr>
            <w:tcW w:w="628" w:type="dxa"/>
            <w:tcBorders>
              <w:top w:val="nil"/>
              <w:left w:val="nil"/>
              <w:bottom w:val="single" w:sz="4" w:space="0" w:color="auto"/>
              <w:right w:val="single" w:sz="4" w:space="0" w:color="auto"/>
            </w:tcBorders>
            <w:shd w:val="clear" w:color="auto" w:fill="auto"/>
            <w:noWrap/>
            <w:vAlign w:val="bottom"/>
            <w:hideMark/>
          </w:tcPr>
          <w:p w14:paraId="737D6A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35.8</w:t>
            </w:r>
          </w:p>
        </w:tc>
        <w:tc>
          <w:tcPr>
            <w:tcW w:w="628" w:type="dxa"/>
            <w:tcBorders>
              <w:top w:val="nil"/>
              <w:left w:val="nil"/>
              <w:bottom w:val="single" w:sz="4" w:space="0" w:color="auto"/>
              <w:right w:val="single" w:sz="4" w:space="0" w:color="auto"/>
            </w:tcBorders>
            <w:shd w:val="clear" w:color="auto" w:fill="auto"/>
            <w:noWrap/>
            <w:vAlign w:val="bottom"/>
            <w:hideMark/>
          </w:tcPr>
          <w:p w14:paraId="2D639EB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36.1</w:t>
            </w:r>
          </w:p>
        </w:tc>
        <w:tc>
          <w:tcPr>
            <w:tcW w:w="628" w:type="dxa"/>
            <w:tcBorders>
              <w:top w:val="nil"/>
              <w:left w:val="nil"/>
              <w:bottom w:val="single" w:sz="4" w:space="0" w:color="auto"/>
              <w:right w:val="single" w:sz="4" w:space="0" w:color="auto"/>
            </w:tcBorders>
            <w:shd w:val="clear" w:color="auto" w:fill="auto"/>
            <w:noWrap/>
            <w:vAlign w:val="bottom"/>
            <w:hideMark/>
          </w:tcPr>
          <w:p w14:paraId="61CC491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36.5</w:t>
            </w:r>
          </w:p>
        </w:tc>
        <w:tc>
          <w:tcPr>
            <w:tcW w:w="628" w:type="dxa"/>
            <w:tcBorders>
              <w:top w:val="nil"/>
              <w:left w:val="nil"/>
              <w:bottom w:val="single" w:sz="4" w:space="0" w:color="auto"/>
              <w:right w:val="single" w:sz="4" w:space="0" w:color="auto"/>
            </w:tcBorders>
            <w:shd w:val="clear" w:color="auto" w:fill="auto"/>
            <w:noWrap/>
            <w:vAlign w:val="bottom"/>
            <w:hideMark/>
          </w:tcPr>
          <w:p w14:paraId="751DC2A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36.0</w:t>
            </w:r>
          </w:p>
        </w:tc>
        <w:tc>
          <w:tcPr>
            <w:tcW w:w="628" w:type="dxa"/>
            <w:tcBorders>
              <w:top w:val="nil"/>
              <w:left w:val="nil"/>
              <w:bottom w:val="single" w:sz="4" w:space="0" w:color="auto"/>
              <w:right w:val="single" w:sz="4" w:space="0" w:color="auto"/>
            </w:tcBorders>
            <w:shd w:val="clear" w:color="auto" w:fill="auto"/>
            <w:noWrap/>
            <w:vAlign w:val="bottom"/>
            <w:hideMark/>
          </w:tcPr>
          <w:p w14:paraId="11C2BC0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35.5</w:t>
            </w:r>
          </w:p>
        </w:tc>
        <w:tc>
          <w:tcPr>
            <w:tcW w:w="628" w:type="dxa"/>
            <w:tcBorders>
              <w:top w:val="nil"/>
              <w:left w:val="nil"/>
              <w:bottom w:val="single" w:sz="4" w:space="0" w:color="auto"/>
              <w:right w:val="single" w:sz="4" w:space="0" w:color="auto"/>
            </w:tcBorders>
            <w:shd w:val="clear" w:color="auto" w:fill="auto"/>
            <w:noWrap/>
            <w:vAlign w:val="bottom"/>
            <w:hideMark/>
          </w:tcPr>
          <w:p w14:paraId="76B3DCD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34.0</w:t>
            </w:r>
          </w:p>
        </w:tc>
        <w:tc>
          <w:tcPr>
            <w:tcW w:w="628" w:type="dxa"/>
            <w:tcBorders>
              <w:top w:val="nil"/>
              <w:left w:val="nil"/>
              <w:bottom w:val="single" w:sz="4" w:space="0" w:color="auto"/>
              <w:right w:val="single" w:sz="4" w:space="0" w:color="auto"/>
            </w:tcBorders>
            <w:shd w:val="clear" w:color="auto" w:fill="auto"/>
            <w:noWrap/>
            <w:vAlign w:val="bottom"/>
            <w:hideMark/>
          </w:tcPr>
          <w:p w14:paraId="6D2AFEF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35.1</w:t>
            </w:r>
          </w:p>
        </w:tc>
        <w:tc>
          <w:tcPr>
            <w:tcW w:w="628" w:type="dxa"/>
            <w:tcBorders>
              <w:top w:val="nil"/>
              <w:left w:val="nil"/>
              <w:bottom w:val="single" w:sz="4" w:space="0" w:color="auto"/>
              <w:right w:val="single" w:sz="4" w:space="0" w:color="auto"/>
            </w:tcBorders>
            <w:shd w:val="clear" w:color="auto" w:fill="auto"/>
            <w:noWrap/>
            <w:vAlign w:val="bottom"/>
            <w:hideMark/>
          </w:tcPr>
          <w:p w14:paraId="258416A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34.2</w:t>
            </w:r>
          </w:p>
        </w:tc>
      </w:tr>
      <w:tr w:rsidR="00B56301" w:rsidRPr="00364545" w14:paraId="21DB43C3"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noWrap/>
            <w:vAlign w:val="center"/>
            <w:hideMark/>
          </w:tcPr>
          <w:p w14:paraId="2578FF2F"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Livestock Farming</w:t>
            </w:r>
          </w:p>
        </w:tc>
        <w:tc>
          <w:tcPr>
            <w:tcW w:w="628" w:type="dxa"/>
            <w:tcBorders>
              <w:top w:val="nil"/>
              <w:left w:val="nil"/>
              <w:bottom w:val="single" w:sz="4" w:space="0" w:color="auto"/>
              <w:right w:val="single" w:sz="4" w:space="0" w:color="auto"/>
            </w:tcBorders>
            <w:shd w:val="clear" w:color="auto" w:fill="auto"/>
            <w:noWrap/>
            <w:vAlign w:val="bottom"/>
            <w:hideMark/>
          </w:tcPr>
          <w:p w14:paraId="2DE284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43.2</w:t>
            </w:r>
          </w:p>
        </w:tc>
        <w:tc>
          <w:tcPr>
            <w:tcW w:w="628" w:type="dxa"/>
            <w:tcBorders>
              <w:top w:val="nil"/>
              <w:left w:val="nil"/>
              <w:bottom w:val="single" w:sz="4" w:space="0" w:color="auto"/>
              <w:right w:val="single" w:sz="4" w:space="0" w:color="auto"/>
            </w:tcBorders>
            <w:shd w:val="clear" w:color="auto" w:fill="auto"/>
            <w:noWrap/>
            <w:vAlign w:val="bottom"/>
            <w:hideMark/>
          </w:tcPr>
          <w:p w14:paraId="6600B3A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43.4</w:t>
            </w:r>
          </w:p>
        </w:tc>
        <w:tc>
          <w:tcPr>
            <w:tcW w:w="628" w:type="dxa"/>
            <w:tcBorders>
              <w:top w:val="nil"/>
              <w:left w:val="nil"/>
              <w:bottom w:val="single" w:sz="4" w:space="0" w:color="auto"/>
              <w:right w:val="single" w:sz="4" w:space="0" w:color="auto"/>
            </w:tcBorders>
            <w:shd w:val="clear" w:color="auto" w:fill="auto"/>
            <w:noWrap/>
            <w:vAlign w:val="bottom"/>
            <w:hideMark/>
          </w:tcPr>
          <w:p w14:paraId="43F7FEA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44.9</w:t>
            </w:r>
          </w:p>
        </w:tc>
        <w:tc>
          <w:tcPr>
            <w:tcW w:w="628" w:type="dxa"/>
            <w:tcBorders>
              <w:top w:val="nil"/>
              <w:left w:val="nil"/>
              <w:bottom w:val="single" w:sz="4" w:space="0" w:color="auto"/>
              <w:right w:val="single" w:sz="4" w:space="0" w:color="auto"/>
            </w:tcBorders>
            <w:shd w:val="clear" w:color="auto" w:fill="auto"/>
            <w:noWrap/>
            <w:vAlign w:val="bottom"/>
            <w:hideMark/>
          </w:tcPr>
          <w:p w14:paraId="1BF049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44.9</w:t>
            </w:r>
          </w:p>
        </w:tc>
        <w:tc>
          <w:tcPr>
            <w:tcW w:w="628" w:type="dxa"/>
            <w:tcBorders>
              <w:top w:val="nil"/>
              <w:left w:val="nil"/>
              <w:bottom w:val="single" w:sz="4" w:space="0" w:color="auto"/>
              <w:right w:val="single" w:sz="4" w:space="0" w:color="auto"/>
            </w:tcBorders>
            <w:shd w:val="clear" w:color="auto" w:fill="auto"/>
            <w:noWrap/>
            <w:vAlign w:val="bottom"/>
            <w:hideMark/>
          </w:tcPr>
          <w:p w14:paraId="6C4DB7C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44.0</w:t>
            </w:r>
          </w:p>
        </w:tc>
        <w:tc>
          <w:tcPr>
            <w:tcW w:w="628" w:type="dxa"/>
            <w:tcBorders>
              <w:top w:val="nil"/>
              <w:left w:val="nil"/>
              <w:bottom w:val="single" w:sz="4" w:space="0" w:color="auto"/>
              <w:right w:val="single" w:sz="4" w:space="0" w:color="auto"/>
            </w:tcBorders>
            <w:shd w:val="clear" w:color="auto" w:fill="auto"/>
            <w:noWrap/>
            <w:vAlign w:val="bottom"/>
            <w:hideMark/>
          </w:tcPr>
          <w:p w14:paraId="7C8F9AF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42.9</w:t>
            </w:r>
          </w:p>
        </w:tc>
        <w:tc>
          <w:tcPr>
            <w:tcW w:w="628" w:type="dxa"/>
            <w:tcBorders>
              <w:top w:val="nil"/>
              <w:left w:val="nil"/>
              <w:bottom w:val="single" w:sz="4" w:space="0" w:color="auto"/>
              <w:right w:val="single" w:sz="4" w:space="0" w:color="auto"/>
            </w:tcBorders>
            <w:shd w:val="clear" w:color="auto" w:fill="auto"/>
            <w:noWrap/>
            <w:vAlign w:val="bottom"/>
            <w:hideMark/>
          </w:tcPr>
          <w:p w14:paraId="2C37E6F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42.1</w:t>
            </w:r>
          </w:p>
        </w:tc>
        <w:tc>
          <w:tcPr>
            <w:tcW w:w="628" w:type="dxa"/>
            <w:tcBorders>
              <w:top w:val="nil"/>
              <w:left w:val="nil"/>
              <w:bottom w:val="single" w:sz="4" w:space="0" w:color="auto"/>
              <w:right w:val="single" w:sz="4" w:space="0" w:color="auto"/>
            </w:tcBorders>
            <w:shd w:val="clear" w:color="auto" w:fill="auto"/>
            <w:noWrap/>
            <w:vAlign w:val="bottom"/>
            <w:hideMark/>
          </w:tcPr>
          <w:p w14:paraId="77A5773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42.0</w:t>
            </w:r>
          </w:p>
        </w:tc>
      </w:tr>
      <w:tr w:rsidR="00B56301" w:rsidRPr="00364545" w14:paraId="5226559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73C34E1A"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Agricultural and Forestry Plant Engines and Boilers</w:t>
            </w:r>
          </w:p>
        </w:tc>
        <w:tc>
          <w:tcPr>
            <w:tcW w:w="628" w:type="dxa"/>
            <w:tcBorders>
              <w:top w:val="nil"/>
              <w:left w:val="nil"/>
              <w:bottom w:val="single" w:sz="4" w:space="0" w:color="auto"/>
              <w:right w:val="single" w:sz="4" w:space="0" w:color="auto"/>
            </w:tcBorders>
            <w:shd w:val="clear" w:color="auto" w:fill="auto"/>
            <w:noWrap/>
            <w:vAlign w:val="center"/>
            <w:hideMark/>
          </w:tcPr>
          <w:p w14:paraId="2698397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11.5</w:t>
            </w:r>
          </w:p>
        </w:tc>
        <w:tc>
          <w:tcPr>
            <w:tcW w:w="628" w:type="dxa"/>
            <w:tcBorders>
              <w:top w:val="nil"/>
              <w:left w:val="nil"/>
              <w:bottom w:val="single" w:sz="4" w:space="0" w:color="auto"/>
              <w:right w:val="single" w:sz="4" w:space="0" w:color="auto"/>
            </w:tcBorders>
            <w:shd w:val="clear" w:color="auto" w:fill="auto"/>
            <w:noWrap/>
            <w:vAlign w:val="center"/>
            <w:hideMark/>
          </w:tcPr>
          <w:p w14:paraId="38E1C4E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11.5</w:t>
            </w:r>
          </w:p>
        </w:tc>
        <w:tc>
          <w:tcPr>
            <w:tcW w:w="628" w:type="dxa"/>
            <w:tcBorders>
              <w:top w:val="nil"/>
              <w:left w:val="nil"/>
              <w:bottom w:val="single" w:sz="4" w:space="0" w:color="auto"/>
              <w:right w:val="single" w:sz="4" w:space="0" w:color="auto"/>
            </w:tcBorders>
            <w:shd w:val="clear" w:color="auto" w:fill="auto"/>
            <w:noWrap/>
            <w:vAlign w:val="center"/>
            <w:hideMark/>
          </w:tcPr>
          <w:p w14:paraId="484AB11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11.7</w:t>
            </w:r>
          </w:p>
        </w:tc>
        <w:tc>
          <w:tcPr>
            <w:tcW w:w="628" w:type="dxa"/>
            <w:tcBorders>
              <w:top w:val="nil"/>
              <w:left w:val="nil"/>
              <w:bottom w:val="single" w:sz="4" w:space="0" w:color="auto"/>
              <w:right w:val="single" w:sz="4" w:space="0" w:color="auto"/>
            </w:tcBorders>
            <w:shd w:val="clear" w:color="auto" w:fill="auto"/>
            <w:noWrap/>
            <w:vAlign w:val="center"/>
            <w:hideMark/>
          </w:tcPr>
          <w:p w14:paraId="7479D3B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11.7</w:t>
            </w:r>
          </w:p>
        </w:tc>
        <w:tc>
          <w:tcPr>
            <w:tcW w:w="628" w:type="dxa"/>
            <w:tcBorders>
              <w:top w:val="nil"/>
              <w:left w:val="nil"/>
              <w:bottom w:val="single" w:sz="4" w:space="0" w:color="auto"/>
              <w:right w:val="single" w:sz="4" w:space="0" w:color="auto"/>
            </w:tcBorders>
            <w:shd w:val="clear" w:color="auto" w:fill="auto"/>
            <w:noWrap/>
            <w:vAlign w:val="center"/>
            <w:hideMark/>
          </w:tcPr>
          <w:p w14:paraId="00BD05E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11.4</w:t>
            </w:r>
          </w:p>
        </w:tc>
        <w:tc>
          <w:tcPr>
            <w:tcW w:w="628" w:type="dxa"/>
            <w:tcBorders>
              <w:top w:val="nil"/>
              <w:left w:val="nil"/>
              <w:bottom w:val="single" w:sz="4" w:space="0" w:color="auto"/>
              <w:right w:val="single" w:sz="4" w:space="0" w:color="auto"/>
            </w:tcBorders>
            <w:shd w:val="clear" w:color="auto" w:fill="auto"/>
            <w:noWrap/>
            <w:vAlign w:val="center"/>
            <w:hideMark/>
          </w:tcPr>
          <w:p w14:paraId="6E99302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11.2</w:t>
            </w:r>
          </w:p>
        </w:tc>
        <w:tc>
          <w:tcPr>
            <w:tcW w:w="628" w:type="dxa"/>
            <w:tcBorders>
              <w:top w:val="nil"/>
              <w:left w:val="nil"/>
              <w:bottom w:val="single" w:sz="4" w:space="0" w:color="auto"/>
              <w:right w:val="single" w:sz="4" w:space="0" w:color="auto"/>
            </w:tcBorders>
            <w:shd w:val="clear" w:color="auto" w:fill="auto"/>
            <w:noWrap/>
            <w:vAlign w:val="center"/>
            <w:hideMark/>
          </w:tcPr>
          <w:p w14:paraId="05D87CC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11.9</w:t>
            </w:r>
          </w:p>
        </w:tc>
        <w:tc>
          <w:tcPr>
            <w:tcW w:w="628" w:type="dxa"/>
            <w:tcBorders>
              <w:top w:val="nil"/>
              <w:left w:val="nil"/>
              <w:bottom w:val="single" w:sz="4" w:space="0" w:color="auto"/>
              <w:right w:val="single" w:sz="4" w:space="0" w:color="auto"/>
            </w:tcBorders>
            <w:shd w:val="clear" w:color="auto" w:fill="auto"/>
            <w:noWrap/>
            <w:vAlign w:val="center"/>
            <w:hideMark/>
          </w:tcPr>
          <w:p w14:paraId="5D38411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11.6</w:t>
            </w:r>
          </w:p>
        </w:tc>
      </w:tr>
      <w:tr w:rsidR="00B56301" w:rsidRPr="00364545" w14:paraId="51767E3B" w14:textId="77777777" w:rsidTr="00B37B65">
        <w:trPr>
          <w:trHeight w:val="68"/>
          <w:jc w:val="center"/>
        </w:trPr>
        <w:tc>
          <w:tcPr>
            <w:tcW w:w="5680" w:type="dxa"/>
            <w:tcBorders>
              <w:top w:val="nil"/>
              <w:left w:val="nil"/>
              <w:bottom w:val="nil"/>
              <w:right w:val="nil"/>
            </w:tcBorders>
            <w:shd w:val="clear" w:color="000000" w:fill="7030A0"/>
            <w:noWrap/>
            <w:vAlign w:val="bottom"/>
            <w:hideMark/>
          </w:tcPr>
          <w:p w14:paraId="23AF59B4"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Transport</w:t>
            </w:r>
          </w:p>
        </w:tc>
        <w:tc>
          <w:tcPr>
            <w:tcW w:w="628" w:type="dxa"/>
            <w:tcBorders>
              <w:top w:val="nil"/>
              <w:left w:val="single" w:sz="4" w:space="0" w:color="auto"/>
              <w:bottom w:val="single" w:sz="4" w:space="0" w:color="auto"/>
              <w:right w:val="single" w:sz="4" w:space="0" w:color="auto"/>
            </w:tcBorders>
            <w:shd w:val="clear" w:color="000000" w:fill="7030A0"/>
            <w:noWrap/>
            <w:vAlign w:val="bottom"/>
            <w:hideMark/>
          </w:tcPr>
          <w:p w14:paraId="191116ED"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140.5</w:t>
            </w:r>
          </w:p>
        </w:tc>
        <w:tc>
          <w:tcPr>
            <w:tcW w:w="628" w:type="dxa"/>
            <w:tcBorders>
              <w:top w:val="nil"/>
              <w:left w:val="nil"/>
              <w:bottom w:val="single" w:sz="4" w:space="0" w:color="auto"/>
              <w:right w:val="single" w:sz="4" w:space="0" w:color="auto"/>
            </w:tcBorders>
            <w:shd w:val="clear" w:color="000000" w:fill="7030A0"/>
            <w:noWrap/>
            <w:vAlign w:val="bottom"/>
            <w:hideMark/>
          </w:tcPr>
          <w:p w14:paraId="3FA92EFB"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143.1</w:t>
            </w:r>
          </w:p>
        </w:tc>
        <w:tc>
          <w:tcPr>
            <w:tcW w:w="628" w:type="dxa"/>
            <w:tcBorders>
              <w:top w:val="nil"/>
              <w:left w:val="nil"/>
              <w:bottom w:val="single" w:sz="4" w:space="0" w:color="auto"/>
              <w:right w:val="single" w:sz="4" w:space="0" w:color="auto"/>
            </w:tcBorders>
            <w:shd w:val="clear" w:color="000000" w:fill="7030A0"/>
            <w:noWrap/>
            <w:vAlign w:val="bottom"/>
            <w:hideMark/>
          </w:tcPr>
          <w:p w14:paraId="587C2574"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143.4</w:t>
            </w:r>
          </w:p>
        </w:tc>
        <w:tc>
          <w:tcPr>
            <w:tcW w:w="628" w:type="dxa"/>
            <w:tcBorders>
              <w:top w:val="nil"/>
              <w:left w:val="nil"/>
              <w:bottom w:val="single" w:sz="4" w:space="0" w:color="auto"/>
              <w:right w:val="single" w:sz="4" w:space="0" w:color="auto"/>
            </w:tcBorders>
            <w:shd w:val="clear" w:color="000000" w:fill="7030A0"/>
            <w:noWrap/>
            <w:vAlign w:val="bottom"/>
            <w:hideMark/>
          </w:tcPr>
          <w:p w14:paraId="2DB5BDEA"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146.9</w:t>
            </w:r>
          </w:p>
        </w:tc>
        <w:tc>
          <w:tcPr>
            <w:tcW w:w="628" w:type="dxa"/>
            <w:tcBorders>
              <w:top w:val="nil"/>
              <w:left w:val="nil"/>
              <w:bottom w:val="single" w:sz="4" w:space="0" w:color="auto"/>
              <w:right w:val="single" w:sz="4" w:space="0" w:color="auto"/>
            </w:tcBorders>
            <w:shd w:val="clear" w:color="000000" w:fill="7030A0"/>
            <w:noWrap/>
            <w:vAlign w:val="bottom"/>
            <w:hideMark/>
          </w:tcPr>
          <w:p w14:paraId="30438DA1"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148.6</w:t>
            </w:r>
          </w:p>
        </w:tc>
        <w:tc>
          <w:tcPr>
            <w:tcW w:w="628" w:type="dxa"/>
            <w:tcBorders>
              <w:top w:val="nil"/>
              <w:left w:val="nil"/>
              <w:bottom w:val="single" w:sz="4" w:space="0" w:color="auto"/>
              <w:right w:val="single" w:sz="4" w:space="0" w:color="auto"/>
            </w:tcBorders>
            <w:shd w:val="clear" w:color="000000" w:fill="7030A0"/>
            <w:noWrap/>
            <w:vAlign w:val="bottom"/>
            <w:hideMark/>
          </w:tcPr>
          <w:p w14:paraId="2A9D283D"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147.0</w:t>
            </w:r>
          </w:p>
        </w:tc>
        <w:tc>
          <w:tcPr>
            <w:tcW w:w="628" w:type="dxa"/>
            <w:tcBorders>
              <w:top w:val="nil"/>
              <w:left w:val="nil"/>
              <w:bottom w:val="single" w:sz="4" w:space="0" w:color="auto"/>
              <w:right w:val="single" w:sz="4" w:space="0" w:color="auto"/>
            </w:tcBorders>
            <w:shd w:val="clear" w:color="000000" w:fill="7030A0"/>
            <w:noWrap/>
            <w:vAlign w:val="bottom"/>
            <w:hideMark/>
          </w:tcPr>
          <w:p w14:paraId="6A1D8253"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147.5</w:t>
            </w:r>
          </w:p>
        </w:tc>
        <w:tc>
          <w:tcPr>
            <w:tcW w:w="628" w:type="dxa"/>
            <w:tcBorders>
              <w:top w:val="nil"/>
              <w:left w:val="nil"/>
              <w:bottom w:val="single" w:sz="4" w:space="0" w:color="auto"/>
              <w:right w:val="single" w:sz="4" w:space="0" w:color="auto"/>
            </w:tcBorders>
            <w:shd w:val="clear" w:color="000000" w:fill="7030A0"/>
            <w:noWrap/>
            <w:vAlign w:val="bottom"/>
            <w:hideMark/>
          </w:tcPr>
          <w:p w14:paraId="091DA603"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145.1</w:t>
            </w:r>
          </w:p>
        </w:tc>
      </w:tr>
      <w:tr w:rsidR="00B56301" w:rsidRPr="00364545" w14:paraId="0CA47204"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auto" w:fill="auto"/>
            <w:noWrap/>
            <w:vAlign w:val="bottom"/>
            <w:hideMark/>
          </w:tcPr>
          <w:p w14:paraId="49D57FA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Private Vehicles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E8F7B9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75.0</w:t>
            </w:r>
          </w:p>
        </w:tc>
        <w:tc>
          <w:tcPr>
            <w:tcW w:w="628" w:type="dxa"/>
            <w:tcBorders>
              <w:top w:val="nil"/>
              <w:left w:val="nil"/>
              <w:bottom w:val="single" w:sz="4" w:space="0" w:color="auto"/>
              <w:right w:val="single" w:sz="4" w:space="0" w:color="auto"/>
            </w:tcBorders>
            <w:shd w:val="clear" w:color="auto" w:fill="auto"/>
            <w:noWrap/>
            <w:vAlign w:val="bottom"/>
            <w:hideMark/>
          </w:tcPr>
          <w:p w14:paraId="0186349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75.9</w:t>
            </w:r>
          </w:p>
        </w:tc>
        <w:tc>
          <w:tcPr>
            <w:tcW w:w="628" w:type="dxa"/>
            <w:tcBorders>
              <w:top w:val="nil"/>
              <w:left w:val="nil"/>
              <w:bottom w:val="single" w:sz="4" w:space="0" w:color="auto"/>
              <w:right w:val="single" w:sz="4" w:space="0" w:color="auto"/>
            </w:tcBorders>
            <w:shd w:val="clear" w:color="auto" w:fill="auto"/>
            <w:noWrap/>
            <w:vAlign w:val="bottom"/>
            <w:hideMark/>
          </w:tcPr>
          <w:p w14:paraId="149C56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76.2</w:t>
            </w:r>
          </w:p>
        </w:tc>
        <w:tc>
          <w:tcPr>
            <w:tcW w:w="628" w:type="dxa"/>
            <w:tcBorders>
              <w:top w:val="nil"/>
              <w:left w:val="nil"/>
              <w:bottom w:val="single" w:sz="4" w:space="0" w:color="auto"/>
              <w:right w:val="single" w:sz="4" w:space="0" w:color="auto"/>
            </w:tcBorders>
            <w:shd w:val="clear" w:color="auto" w:fill="auto"/>
            <w:noWrap/>
            <w:vAlign w:val="bottom"/>
            <w:hideMark/>
          </w:tcPr>
          <w:p w14:paraId="4CB612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79.1</w:t>
            </w:r>
          </w:p>
        </w:tc>
        <w:tc>
          <w:tcPr>
            <w:tcW w:w="628" w:type="dxa"/>
            <w:tcBorders>
              <w:top w:val="nil"/>
              <w:left w:val="nil"/>
              <w:bottom w:val="single" w:sz="4" w:space="0" w:color="auto"/>
              <w:right w:val="single" w:sz="4" w:space="0" w:color="auto"/>
            </w:tcBorders>
            <w:shd w:val="clear" w:color="auto" w:fill="auto"/>
            <w:noWrap/>
            <w:vAlign w:val="bottom"/>
            <w:hideMark/>
          </w:tcPr>
          <w:p w14:paraId="7FE419D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80.2</w:t>
            </w:r>
          </w:p>
        </w:tc>
        <w:tc>
          <w:tcPr>
            <w:tcW w:w="628" w:type="dxa"/>
            <w:tcBorders>
              <w:top w:val="nil"/>
              <w:left w:val="nil"/>
              <w:bottom w:val="single" w:sz="4" w:space="0" w:color="auto"/>
              <w:right w:val="single" w:sz="4" w:space="0" w:color="auto"/>
            </w:tcBorders>
            <w:shd w:val="clear" w:color="auto" w:fill="auto"/>
            <w:noWrap/>
            <w:vAlign w:val="bottom"/>
            <w:hideMark/>
          </w:tcPr>
          <w:p w14:paraId="6CBFDB7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80.1</w:t>
            </w:r>
          </w:p>
        </w:tc>
        <w:tc>
          <w:tcPr>
            <w:tcW w:w="628" w:type="dxa"/>
            <w:tcBorders>
              <w:top w:val="nil"/>
              <w:left w:val="nil"/>
              <w:bottom w:val="single" w:sz="4" w:space="0" w:color="auto"/>
              <w:right w:val="single" w:sz="4" w:space="0" w:color="auto"/>
            </w:tcBorders>
            <w:shd w:val="clear" w:color="auto" w:fill="auto"/>
            <w:noWrap/>
            <w:vAlign w:val="bottom"/>
            <w:hideMark/>
          </w:tcPr>
          <w:p w14:paraId="175445D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79.6</w:t>
            </w:r>
          </w:p>
        </w:tc>
        <w:tc>
          <w:tcPr>
            <w:tcW w:w="628" w:type="dxa"/>
            <w:tcBorders>
              <w:top w:val="nil"/>
              <w:left w:val="nil"/>
              <w:bottom w:val="single" w:sz="4" w:space="0" w:color="auto"/>
              <w:right w:val="single" w:sz="4" w:space="0" w:color="auto"/>
            </w:tcBorders>
            <w:shd w:val="clear" w:color="auto" w:fill="auto"/>
            <w:noWrap/>
            <w:vAlign w:val="bottom"/>
            <w:hideMark/>
          </w:tcPr>
          <w:p w14:paraId="1707431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78.1</w:t>
            </w:r>
          </w:p>
        </w:tc>
      </w:tr>
      <w:tr w:rsidR="00B56301" w:rsidRPr="00364545" w14:paraId="3A389654"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1BB6B59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LCVs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4B60DC7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21.5</w:t>
            </w:r>
          </w:p>
        </w:tc>
        <w:tc>
          <w:tcPr>
            <w:tcW w:w="628" w:type="dxa"/>
            <w:tcBorders>
              <w:top w:val="nil"/>
              <w:left w:val="nil"/>
              <w:bottom w:val="single" w:sz="4" w:space="0" w:color="auto"/>
              <w:right w:val="single" w:sz="4" w:space="0" w:color="auto"/>
            </w:tcBorders>
            <w:shd w:val="clear" w:color="auto" w:fill="auto"/>
            <w:noWrap/>
            <w:vAlign w:val="bottom"/>
            <w:hideMark/>
          </w:tcPr>
          <w:p w14:paraId="5DF671B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21.6</w:t>
            </w:r>
          </w:p>
        </w:tc>
        <w:tc>
          <w:tcPr>
            <w:tcW w:w="628" w:type="dxa"/>
            <w:tcBorders>
              <w:top w:val="nil"/>
              <w:left w:val="nil"/>
              <w:bottom w:val="single" w:sz="4" w:space="0" w:color="auto"/>
              <w:right w:val="single" w:sz="4" w:space="0" w:color="auto"/>
            </w:tcBorders>
            <w:shd w:val="clear" w:color="auto" w:fill="auto"/>
            <w:noWrap/>
            <w:vAlign w:val="bottom"/>
            <w:hideMark/>
          </w:tcPr>
          <w:p w14:paraId="52751A9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21.0</w:t>
            </w:r>
          </w:p>
        </w:tc>
        <w:tc>
          <w:tcPr>
            <w:tcW w:w="628" w:type="dxa"/>
            <w:tcBorders>
              <w:top w:val="nil"/>
              <w:left w:val="nil"/>
              <w:bottom w:val="single" w:sz="4" w:space="0" w:color="auto"/>
              <w:right w:val="single" w:sz="4" w:space="0" w:color="auto"/>
            </w:tcBorders>
            <w:shd w:val="clear" w:color="auto" w:fill="auto"/>
            <w:noWrap/>
            <w:vAlign w:val="bottom"/>
            <w:hideMark/>
          </w:tcPr>
          <w:p w14:paraId="718A445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21.4</w:t>
            </w:r>
          </w:p>
        </w:tc>
        <w:tc>
          <w:tcPr>
            <w:tcW w:w="628" w:type="dxa"/>
            <w:tcBorders>
              <w:top w:val="nil"/>
              <w:left w:val="nil"/>
              <w:bottom w:val="single" w:sz="4" w:space="0" w:color="auto"/>
              <w:right w:val="single" w:sz="4" w:space="0" w:color="auto"/>
            </w:tcBorders>
            <w:shd w:val="clear" w:color="auto" w:fill="auto"/>
            <w:noWrap/>
            <w:vAlign w:val="bottom"/>
            <w:hideMark/>
          </w:tcPr>
          <w:p w14:paraId="606D630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21.6</w:t>
            </w:r>
          </w:p>
        </w:tc>
        <w:tc>
          <w:tcPr>
            <w:tcW w:w="628" w:type="dxa"/>
            <w:tcBorders>
              <w:top w:val="nil"/>
              <w:left w:val="nil"/>
              <w:bottom w:val="single" w:sz="4" w:space="0" w:color="auto"/>
              <w:right w:val="single" w:sz="4" w:space="0" w:color="auto"/>
            </w:tcBorders>
            <w:shd w:val="clear" w:color="auto" w:fill="auto"/>
            <w:noWrap/>
            <w:vAlign w:val="bottom"/>
            <w:hideMark/>
          </w:tcPr>
          <w:p w14:paraId="5F7CC2B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21.4</w:t>
            </w:r>
          </w:p>
        </w:tc>
        <w:tc>
          <w:tcPr>
            <w:tcW w:w="628" w:type="dxa"/>
            <w:tcBorders>
              <w:top w:val="nil"/>
              <w:left w:val="nil"/>
              <w:bottom w:val="single" w:sz="4" w:space="0" w:color="auto"/>
              <w:right w:val="single" w:sz="4" w:space="0" w:color="auto"/>
            </w:tcBorders>
            <w:shd w:val="clear" w:color="auto" w:fill="auto"/>
            <w:noWrap/>
            <w:vAlign w:val="bottom"/>
            <w:hideMark/>
          </w:tcPr>
          <w:p w14:paraId="5046785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21.1</w:t>
            </w:r>
          </w:p>
        </w:tc>
        <w:tc>
          <w:tcPr>
            <w:tcW w:w="628" w:type="dxa"/>
            <w:tcBorders>
              <w:top w:val="nil"/>
              <w:left w:val="nil"/>
              <w:bottom w:val="single" w:sz="4" w:space="0" w:color="auto"/>
              <w:right w:val="single" w:sz="4" w:space="0" w:color="auto"/>
            </w:tcBorders>
            <w:shd w:val="clear" w:color="auto" w:fill="auto"/>
            <w:noWrap/>
            <w:vAlign w:val="bottom"/>
            <w:hideMark/>
          </w:tcPr>
          <w:p w14:paraId="3A8277B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20.7</w:t>
            </w:r>
          </w:p>
        </w:tc>
      </w:tr>
      <w:tr w:rsidR="00B56301" w:rsidRPr="00364545" w14:paraId="5EA6F510"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27EBFA58"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HGVs (incl. Buses and Coaches)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2EFD60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33.6</w:t>
            </w:r>
          </w:p>
        </w:tc>
        <w:tc>
          <w:tcPr>
            <w:tcW w:w="628" w:type="dxa"/>
            <w:tcBorders>
              <w:top w:val="nil"/>
              <w:left w:val="nil"/>
              <w:bottom w:val="single" w:sz="4" w:space="0" w:color="auto"/>
              <w:right w:val="single" w:sz="4" w:space="0" w:color="auto"/>
            </w:tcBorders>
            <w:shd w:val="clear" w:color="auto" w:fill="auto"/>
            <w:noWrap/>
            <w:vAlign w:val="bottom"/>
            <w:hideMark/>
          </w:tcPr>
          <w:p w14:paraId="65F30FD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34.8</w:t>
            </w:r>
          </w:p>
        </w:tc>
        <w:tc>
          <w:tcPr>
            <w:tcW w:w="628" w:type="dxa"/>
            <w:tcBorders>
              <w:top w:val="nil"/>
              <w:left w:val="nil"/>
              <w:bottom w:val="single" w:sz="4" w:space="0" w:color="auto"/>
              <w:right w:val="single" w:sz="4" w:space="0" w:color="auto"/>
            </w:tcBorders>
            <w:shd w:val="clear" w:color="auto" w:fill="auto"/>
            <w:noWrap/>
            <w:vAlign w:val="bottom"/>
            <w:hideMark/>
          </w:tcPr>
          <w:p w14:paraId="38B31BD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35.3</w:t>
            </w:r>
          </w:p>
        </w:tc>
        <w:tc>
          <w:tcPr>
            <w:tcW w:w="628" w:type="dxa"/>
            <w:tcBorders>
              <w:top w:val="nil"/>
              <w:left w:val="nil"/>
              <w:bottom w:val="single" w:sz="4" w:space="0" w:color="auto"/>
              <w:right w:val="single" w:sz="4" w:space="0" w:color="auto"/>
            </w:tcBorders>
            <w:shd w:val="clear" w:color="auto" w:fill="auto"/>
            <w:noWrap/>
            <w:vAlign w:val="bottom"/>
            <w:hideMark/>
          </w:tcPr>
          <w:p w14:paraId="4A3F1F0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35.6</w:t>
            </w:r>
          </w:p>
        </w:tc>
        <w:tc>
          <w:tcPr>
            <w:tcW w:w="628" w:type="dxa"/>
            <w:tcBorders>
              <w:top w:val="nil"/>
              <w:left w:val="nil"/>
              <w:bottom w:val="single" w:sz="4" w:space="0" w:color="auto"/>
              <w:right w:val="single" w:sz="4" w:space="0" w:color="auto"/>
            </w:tcBorders>
            <w:shd w:val="clear" w:color="auto" w:fill="auto"/>
            <w:noWrap/>
            <w:vAlign w:val="bottom"/>
            <w:hideMark/>
          </w:tcPr>
          <w:p w14:paraId="7296444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36.0</w:t>
            </w:r>
          </w:p>
        </w:tc>
        <w:tc>
          <w:tcPr>
            <w:tcW w:w="628" w:type="dxa"/>
            <w:tcBorders>
              <w:top w:val="nil"/>
              <w:left w:val="nil"/>
              <w:bottom w:val="single" w:sz="4" w:space="0" w:color="auto"/>
              <w:right w:val="single" w:sz="4" w:space="0" w:color="auto"/>
            </w:tcBorders>
            <w:shd w:val="clear" w:color="auto" w:fill="auto"/>
            <w:noWrap/>
            <w:vAlign w:val="bottom"/>
            <w:hideMark/>
          </w:tcPr>
          <w:p w14:paraId="09C657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35.2</w:t>
            </w:r>
          </w:p>
        </w:tc>
        <w:tc>
          <w:tcPr>
            <w:tcW w:w="628" w:type="dxa"/>
            <w:tcBorders>
              <w:top w:val="nil"/>
              <w:left w:val="nil"/>
              <w:bottom w:val="single" w:sz="4" w:space="0" w:color="auto"/>
              <w:right w:val="single" w:sz="4" w:space="0" w:color="auto"/>
            </w:tcBorders>
            <w:shd w:val="clear" w:color="auto" w:fill="auto"/>
            <w:noWrap/>
            <w:vAlign w:val="bottom"/>
            <w:hideMark/>
          </w:tcPr>
          <w:p w14:paraId="1924E3A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36.6</w:t>
            </w:r>
          </w:p>
        </w:tc>
        <w:tc>
          <w:tcPr>
            <w:tcW w:w="628" w:type="dxa"/>
            <w:tcBorders>
              <w:top w:val="nil"/>
              <w:left w:val="nil"/>
              <w:bottom w:val="single" w:sz="4" w:space="0" w:color="auto"/>
              <w:right w:val="single" w:sz="4" w:space="0" w:color="auto"/>
            </w:tcBorders>
            <w:shd w:val="clear" w:color="auto" w:fill="auto"/>
            <w:noWrap/>
            <w:vAlign w:val="bottom"/>
            <w:hideMark/>
          </w:tcPr>
          <w:p w14:paraId="373DF32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36.3</w:t>
            </w:r>
          </w:p>
        </w:tc>
      </w:tr>
      <w:tr w:rsidR="00B56301" w:rsidRPr="00364545" w14:paraId="3F3980A6"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4614605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Two-wheeled Vehicles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6C101A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056892C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17D27CA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0104252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w:t>
            </w:r>
          </w:p>
        </w:tc>
        <w:tc>
          <w:tcPr>
            <w:tcW w:w="628" w:type="dxa"/>
            <w:tcBorders>
              <w:top w:val="nil"/>
              <w:left w:val="nil"/>
              <w:bottom w:val="single" w:sz="4" w:space="0" w:color="auto"/>
              <w:right w:val="single" w:sz="4" w:space="0" w:color="auto"/>
            </w:tcBorders>
            <w:shd w:val="clear" w:color="auto" w:fill="auto"/>
            <w:noWrap/>
            <w:vAlign w:val="bottom"/>
            <w:hideMark/>
          </w:tcPr>
          <w:p w14:paraId="1711010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026189E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72F3CA1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0D9C461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r>
      <w:tr w:rsidR="00B56301" w:rsidRPr="00364545" w14:paraId="48B31AA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C09452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Rail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AAEFC1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160A52D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2519542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57BD552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157860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461B1C9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1923A92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081C81F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r>
      <w:tr w:rsidR="00B56301" w:rsidRPr="00364545" w14:paraId="48DE2098"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A115EEB"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River Barge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7731B5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5EC946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6005E4F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5D2CF43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20A2268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7AC80C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FD613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52A6177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r>
      <w:tr w:rsidR="00B56301" w:rsidRPr="00364545" w14:paraId="0B89B32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0C953932"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Domestic Marine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3BFDBB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025C462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28FB539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4CC31F3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7490D9B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73FD3AC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54C5343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2C7124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w:t>
            </w:r>
          </w:p>
        </w:tc>
      </w:tr>
      <w:tr w:rsidR="00B56301" w:rsidRPr="00364545" w14:paraId="76F1BBD6"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CA9ABB7"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Shipping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42D643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6C69AE6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2D546FE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1B55935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3D0125D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7015E21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128FEB5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3644580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r>
      <w:tr w:rsidR="00B56301" w:rsidRPr="00364545" w14:paraId="550424FF"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2C002E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French Air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B3BD24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5.9</w:t>
            </w:r>
          </w:p>
        </w:tc>
        <w:tc>
          <w:tcPr>
            <w:tcW w:w="628" w:type="dxa"/>
            <w:tcBorders>
              <w:top w:val="nil"/>
              <w:left w:val="nil"/>
              <w:bottom w:val="single" w:sz="4" w:space="0" w:color="auto"/>
              <w:right w:val="single" w:sz="4" w:space="0" w:color="auto"/>
            </w:tcBorders>
            <w:shd w:val="clear" w:color="auto" w:fill="auto"/>
            <w:noWrap/>
            <w:vAlign w:val="bottom"/>
            <w:hideMark/>
          </w:tcPr>
          <w:p w14:paraId="10FF95E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6.0</w:t>
            </w:r>
          </w:p>
        </w:tc>
        <w:tc>
          <w:tcPr>
            <w:tcW w:w="628" w:type="dxa"/>
            <w:tcBorders>
              <w:top w:val="nil"/>
              <w:left w:val="nil"/>
              <w:bottom w:val="single" w:sz="4" w:space="0" w:color="auto"/>
              <w:right w:val="single" w:sz="4" w:space="0" w:color="auto"/>
            </w:tcBorders>
            <w:shd w:val="clear" w:color="auto" w:fill="auto"/>
            <w:noWrap/>
            <w:vAlign w:val="bottom"/>
            <w:hideMark/>
          </w:tcPr>
          <w:p w14:paraId="3826DF7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w:t>
            </w:r>
          </w:p>
        </w:tc>
        <w:tc>
          <w:tcPr>
            <w:tcW w:w="628" w:type="dxa"/>
            <w:tcBorders>
              <w:top w:val="nil"/>
              <w:left w:val="nil"/>
              <w:bottom w:val="single" w:sz="4" w:space="0" w:color="auto"/>
              <w:right w:val="single" w:sz="4" w:space="0" w:color="auto"/>
            </w:tcBorders>
            <w:shd w:val="clear" w:color="auto" w:fill="auto"/>
            <w:noWrap/>
            <w:vAlign w:val="bottom"/>
            <w:hideMark/>
          </w:tcPr>
          <w:p w14:paraId="4658A21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5.8</w:t>
            </w:r>
          </w:p>
        </w:tc>
        <w:tc>
          <w:tcPr>
            <w:tcW w:w="628" w:type="dxa"/>
            <w:tcBorders>
              <w:top w:val="nil"/>
              <w:left w:val="nil"/>
              <w:bottom w:val="single" w:sz="4" w:space="0" w:color="auto"/>
              <w:right w:val="single" w:sz="4" w:space="0" w:color="auto"/>
            </w:tcBorders>
            <w:shd w:val="clear" w:color="auto" w:fill="auto"/>
            <w:noWrap/>
            <w:vAlign w:val="bottom"/>
            <w:hideMark/>
          </w:tcPr>
          <w:p w14:paraId="514E2F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5.6</w:t>
            </w:r>
          </w:p>
        </w:tc>
        <w:tc>
          <w:tcPr>
            <w:tcW w:w="628" w:type="dxa"/>
            <w:tcBorders>
              <w:top w:val="nil"/>
              <w:left w:val="nil"/>
              <w:bottom w:val="single" w:sz="4" w:space="0" w:color="auto"/>
              <w:right w:val="single" w:sz="4" w:space="0" w:color="auto"/>
            </w:tcBorders>
            <w:shd w:val="clear" w:color="auto" w:fill="auto"/>
            <w:noWrap/>
            <w:vAlign w:val="bottom"/>
            <w:hideMark/>
          </w:tcPr>
          <w:p w14:paraId="3F9386C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w:t>
            </w:r>
          </w:p>
        </w:tc>
        <w:tc>
          <w:tcPr>
            <w:tcW w:w="628" w:type="dxa"/>
            <w:tcBorders>
              <w:top w:val="nil"/>
              <w:left w:val="nil"/>
              <w:bottom w:val="single" w:sz="4" w:space="0" w:color="auto"/>
              <w:right w:val="single" w:sz="4" w:space="0" w:color="auto"/>
            </w:tcBorders>
            <w:shd w:val="clear" w:color="auto" w:fill="auto"/>
            <w:noWrap/>
            <w:vAlign w:val="bottom"/>
            <w:hideMark/>
          </w:tcPr>
          <w:p w14:paraId="19A73F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c>
          <w:tcPr>
            <w:tcW w:w="628" w:type="dxa"/>
            <w:tcBorders>
              <w:top w:val="nil"/>
              <w:left w:val="nil"/>
              <w:bottom w:val="single" w:sz="4" w:space="0" w:color="auto"/>
              <w:right w:val="single" w:sz="4" w:space="0" w:color="auto"/>
            </w:tcBorders>
            <w:shd w:val="clear" w:color="auto" w:fill="auto"/>
            <w:noWrap/>
            <w:vAlign w:val="bottom"/>
            <w:hideMark/>
          </w:tcPr>
          <w:p w14:paraId="4038904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5.0</w:t>
            </w:r>
          </w:p>
        </w:tc>
      </w:tr>
      <w:tr w:rsidR="00B56301" w:rsidRPr="00364545" w14:paraId="4972CD7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D9D9D9"/>
            <w:noWrap/>
            <w:vAlign w:val="bottom"/>
            <w:hideMark/>
          </w:tcPr>
          <w:p w14:paraId="1B0C3ABB"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National TOTAL except UTCATF</w:t>
            </w:r>
          </w:p>
        </w:tc>
        <w:tc>
          <w:tcPr>
            <w:tcW w:w="628" w:type="dxa"/>
            <w:tcBorders>
              <w:top w:val="nil"/>
              <w:left w:val="nil"/>
              <w:bottom w:val="single" w:sz="4" w:space="0" w:color="auto"/>
              <w:right w:val="single" w:sz="4" w:space="0" w:color="auto"/>
            </w:tcBorders>
            <w:shd w:val="clear" w:color="000000" w:fill="D9D9D9"/>
            <w:noWrap/>
            <w:vAlign w:val="bottom"/>
            <w:hideMark/>
          </w:tcPr>
          <w:p w14:paraId="3F35E79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560.4</w:t>
            </w:r>
          </w:p>
        </w:tc>
        <w:tc>
          <w:tcPr>
            <w:tcW w:w="628" w:type="dxa"/>
            <w:tcBorders>
              <w:top w:val="nil"/>
              <w:left w:val="nil"/>
              <w:bottom w:val="single" w:sz="4" w:space="0" w:color="auto"/>
              <w:right w:val="single" w:sz="4" w:space="0" w:color="auto"/>
            </w:tcBorders>
            <w:shd w:val="clear" w:color="000000" w:fill="D9D9D9"/>
            <w:noWrap/>
            <w:vAlign w:val="bottom"/>
            <w:hideMark/>
          </w:tcPr>
          <w:p w14:paraId="12021C3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554.9</w:t>
            </w:r>
          </w:p>
        </w:tc>
        <w:tc>
          <w:tcPr>
            <w:tcW w:w="628" w:type="dxa"/>
            <w:tcBorders>
              <w:top w:val="nil"/>
              <w:left w:val="nil"/>
              <w:bottom w:val="single" w:sz="4" w:space="0" w:color="auto"/>
              <w:right w:val="single" w:sz="4" w:space="0" w:color="auto"/>
            </w:tcBorders>
            <w:shd w:val="clear" w:color="000000" w:fill="D9D9D9"/>
            <w:noWrap/>
            <w:vAlign w:val="bottom"/>
            <w:hideMark/>
          </w:tcPr>
          <w:p w14:paraId="76004E3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549.0</w:t>
            </w:r>
          </w:p>
        </w:tc>
        <w:tc>
          <w:tcPr>
            <w:tcW w:w="628" w:type="dxa"/>
            <w:tcBorders>
              <w:top w:val="nil"/>
              <w:left w:val="nil"/>
              <w:bottom w:val="single" w:sz="4" w:space="0" w:color="auto"/>
              <w:right w:val="single" w:sz="4" w:space="0" w:color="auto"/>
            </w:tcBorders>
            <w:shd w:val="clear" w:color="000000" w:fill="D9D9D9"/>
            <w:noWrap/>
            <w:vAlign w:val="bottom"/>
            <w:hideMark/>
          </w:tcPr>
          <w:p w14:paraId="04C508E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554.2</w:t>
            </w:r>
          </w:p>
        </w:tc>
        <w:tc>
          <w:tcPr>
            <w:tcW w:w="628" w:type="dxa"/>
            <w:tcBorders>
              <w:top w:val="nil"/>
              <w:left w:val="nil"/>
              <w:bottom w:val="single" w:sz="4" w:space="0" w:color="auto"/>
              <w:right w:val="single" w:sz="4" w:space="0" w:color="auto"/>
            </w:tcBorders>
            <w:shd w:val="clear" w:color="000000" w:fill="D9D9D9"/>
            <w:noWrap/>
            <w:vAlign w:val="bottom"/>
            <w:hideMark/>
          </w:tcPr>
          <w:p w14:paraId="15F2F12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548.6</w:t>
            </w:r>
          </w:p>
        </w:tc>
        <w:tc>
          <w:tcPr>
            <w:tcW w:w="628" w:type="dxa"/>
            <w:tcBorders>
              <w:top w:val="nil"/>
              <w:left w:val="nil"/>
              <w:bottom w:val="single" w:sz="4" w:space="0" w:color="auto"/>
              <w:right w:val="single" w:sz="4" w:space="0" w:color="auto"/>
            </w:tcBorders>
            <w:shd w:val="clear" w:color="000000" w:fill="D9D9D9"/>
            <w:noWrap/>
            <w:vAlign w:val="bottom"/>
            <w:hideMark/>
          </w:tcPr>
          <w:p w14:paraId="241AA609"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551.6</w:t>
            </w:r>
          </w:p>
        </w:tc>
        <w:tc>
          <w:tcPr>
            <w:tcW w:w="628" w:type="dxa"/>
            <w:tcBorders>
              <w:top w:val="nil"/>
              <w:left w:val="nil"/>
              <w:bottom w:val="single" w:sz="4" w:space="0" w:color="auto"/>
              <w:right w:val="single" w:sz="4" w:space="0" w:color="auto"/>
            </w:tcBorders>
            <w:shd w:val="clear" w:color="000000" w:fill="D9D9D9"/>
            <w:noWrap/>
            <w:vAlign w:val="bottom"/>
            <w:hideMark/>
          </w:tcPr>
          <w:p w14:paraId="2D606F9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550.6</w:t>
            </w:r>
          </w:p>
        </w:tc>
        <w:tc>
          <w:tcPr>
            <w:tcW w:w="628" w:type="dxa"/>
            <w:tcBorders>
              <w:top w:val="nil"/>
              <w:left w:val="nil"/>
              <w:bottom w:val="single" w:sz="4" w:space="0" w:color="auto"/>
              <w:right w:val="single" w:sz="4" w:space="0" w:color="auto"/>
            </w:tcBorders>
            <w:shd w:val="clear" w:color="000000" w:fill="D9D9D9"/>
            <w:noWrap/>
            <w:vAlign w:val="bottom"/>
            <w:hideMark/>
          </w:tcPr>
          <w:p w14:paraId="67A53F1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551.4</w:t>
            </w:r>
          </w:p>
        </w:tc>
      </w:tr>
      <w:tr w:rsidR="00B56301" w:rsidRPr="00364545" w14:paraId="52F9AC4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44051B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Forests</w:t>
            </w:r>
          </w:p>
        </w:tc>
        <w:tc>
          <w:tcPr>
            <w:tcW w:w="628" w:type="dxa"/>
            <w:tcBorders>
              <w:top w:val="nil"/>
              <w:left w:val="nil"/>
              <w:bottom w:val="single" w:sz="4" w:space="0" w:color="auto"/>
              <w:right w:val="single" w:sz="4" w:space="0" w:color="auto"/>
            </w:tcBorders>
            <w:shd w:val="clear" w:color="auto" w:fill="auto"/>
            <w:noWrap/>
            <w:vAlign w:val="bottom"/>
            <w:hideMark/>
          </w:tcPr>
          <w:p w14:paraId="428B1E3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-50.3</w:t>
            </w:r>
          </w:p>
        </w:tc>
        <w:tc>
          <w:tcPr>
            <w:tcW w:w="628" w:type="dxa"/>
            <w:tcBorders>
              <w:top w:val="nil"/>
              <w:left w:val="nil"/>
              <w:bottom w:val="single" w:sz="4" w:space="0" w:color="auto"/>
              <w:right w:val="single" w:sz="4" w:space="0" w:color="auto"/>
            </w:tcBorders>
            <w:shd w:val="clear" w:color="auto" w:fill="auto"/>
            <w:noWrap/>
            <w:vAlign w:val="bottom"/>
            <w:hideMark/>
          </w:tcPr>
          <w:p w14:paraId="6E12E3D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-55.4</w:t>
            </w:r>
          </w:p>
        </w:tc>
        <w:tc>
          <w:tcPr>
            <w:tcW w:w="628" w:type="dxa"/>
            <w:tcBorders>
              <w:top w:val="nil"/>
              <w:left w:val="nil"/>
              <w:bottom w:val="single" w:sz="4" w:space="0" w:color="auto"/>
              <w:right w:val="single" w:sz="4" w:space="0" w:color="auto"/>
            </w:tcBorders>
            <w:shd w:val="clear" w:color="auto" w:fill="auto"/>
            <w:noWrap/>
            <w:vAlign w:val="bottom"/>
            <w:hideMark/>
          </w:tcPr>
          <w:p w14:paraId="65BABFD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-32.8</w:t>
            </w:r>
          </w:p>
        </w:tc>
        <w:tc>
          <w:tcPr>
            <w:tcW w:w="628" w:type="dxa"/>
            <w:tcBorders>
              <w:top w:val="nil"/>
              <w:left w:val="nil"/>
              <w:bottom w:val="single" w:sz="4" w:space="0" w:color="auto"/>
              <w:right w:val="single" w:sz="4" w:space="0" w:color="auto"/>
            </w:tcBorders>
            <w:shd w:val="clear" w:color="auto" w:fill="auto"/>
            <w:noWrap/>
            <w:vAlign w:val="bottom"/>
            <w:hideMark/>
          </w:tcPr>
          <w:p w14:paraId="485E58C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-46.2</w:t>
            </w:r>
          </w:p>
        </w:tc>
        <w:tc>
          <w:tcPr>
            <w:tcW w:w="628" w:type="dxa"/>
            <w:tcBorders>
              <w:top w:val="nil"/>
              <w:left w:val="nil"/>
              <w:bottom w:val="single" w:sz="4" w:space="0" w:color="auto"/>
              <w:right w:val="single" w:sz="4" w:space="0" w:color="auto"/>
            </w:tcBorders>
            <w:shd w:val="clear" w:color="auto" w:fill="auto"/>
            <w:noWrap/>
            <w:vAlign w:val="bottom"/>
            <w:hideMark/>
          </w:tcPr>
          <w:p w14:paraId="66806A3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-55.8</w:t>
            </w:r>
          </w:p>
        </w:tc>
        <w:tc>
          <w:tcPr>
            <w:tcW w:w="628" w:type="dxa"/>
            <w:tcBorders>
              <w:top w:val="nil"/>
              <w:left w:val="nil"/>
              <w:bottom w:val="single" w:sz="4" w:space="0" w:color="auto"/>
              <w:right w:val="single" w:sz="4" w:space="0" w:color="auto"/>
            </w:tcBorders>
            <w:shd w:val="clear" w:color="auto" w:fill="auto"/>
            <w:noWrap/>
            <w:vAlign w:val="bottom"/>
            <w:hideMark/>
          </w:tcPr>
          <w:p w14:paraId="677781F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-58.0</w:t>
            </w:r>
          </w:p>
        </w:tc>
        <w:tc>
          <w:tcPr>
            <w:tcW w:w="628" w:type="dxa"/>
            <w:tcBorders>
              <w:top w:val="nil"/>
              <w:left w:val="nil"/>
              <w:bottom w:val="single" w:sz="4" w:space="0" w:color="auto"/>
              <w:right w:val="single" w:sz="4" w:space="0" w:color="auto"/>
            </w:tcBorders>
            <w:shd w:val="clear" w:color="auto" w:fill="auto"/>
            <w:noWrap/>
            <w:vAlign w:val="bottom"/>
            <w:hideMark/>
          </w:tcPr>
          <w:p w14:paraId="6EC2C81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-62.2</w:t>
            </w:r>
          </w:p>
        </w:tc>
        <w:tc>
          <w:tcPr>
            <w:tcW w:w="628" w:type="dxa"/>
            <w:tcBorders>
              <w:top w:val="nil"/>
              <w:left w:val="nil"/>
              <w:bottom w:val="single" w:sz="4" w:space="0" w:color="auto"/>
              <w:right w:val="single" w:sz="4" w:space="0" w:color="auto"/>
            </w:tcBorders>
            <w:shd w:val="clear" w:color="auto" w:fill="auto"/>
            <w:noWrap/>
            <w:vAlign w:val="bottom"/>
            <w:hideMark/>
          </w:tcPr>
          <w:p w14:paraId="4182D38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-64.7</w:t>
            </w:r>
          </w:p>
        </w:tc>
      </w:tr>
      <w:tr w:rsidR="00B56301" w:rsidRPr="00364545" w14:paraId="34E08F4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F53B9A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Farmland</w:t>
            </w:r>
          </w:p>
        </w:tc>
        <w:tc>
          <w:tcPr>
            <w:tcW w:w="628" w:type="dxa"/>
            <w:tcBorders>
              <w:top w:val="nil"/>
              <w:left w:val="nil"/>
              <w:bottom w:val="single" w:sz="4" w:space="0" w:color="auto"/>
              <w:right w:val="single" w:sz="4" w:space="0" w:color="auto"/>
            </w:tcBorders>
            <w:shd w:val="clear" w:color="auto" w:fill="auto"/>
            <w:noWrap/>
            <w:vAlign w:val="bottom"/>
            <w:hideMark/>
          </w:tcPr>
          <w:p w14:paraId="5A06E2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22.4</w:t>
            </w:r>
          </w:p>
        </w:tc>
        <w:tc>
          <w:tcPr>
            <w:tcW w:w="628" w:type="dxa"/>
            <w:tcBorders>
              <w:top w:val="nil"/>
              <w:left w:val="nil"/>
              <w:bottom w:val="single" w:sz="4" w:space="0" w:color="auto"/>
              <w:right w:val="single" w:sz="4" w:space="0" w:color="auto"/>
            </w:tcBorders>
            <w:shd w:val="clear" w:color="auto" w:fill="auto"/>
            <w:noWrap/>
            <w:vAlign w:val="bottom"/>
            <w:hideMark/>
          </w:tcPr>
          <w:p w14:paraId="551B4CD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22.4</w:t>
            </w:r>
          </w:p>
        </w:tc>
        <w:tc>
          <w:tcPr>
            <w:tcW w:w="628" w:type="dxa"/>
            <w:tcBorders>
              <w:top w:val="nil"/>
              <w:left w:val="nil"/>
              <w:bottom w:val="single" w:sz="4" w:space="0" w:color="auto"/>
              <w:right w:val="single" w:sz="4" w:space="0" w:color="auto"/>
            </w:tcBorders>
            <w:shd w:val="clear" w:color="auto" w:fill="auto"/>
            <w:noWrap/>
            <w:vAlign w:val="bottom"/>
            <w:hideMark/>
          </w:tcPr>
          <w:p w14:paraId="135FA37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21.0</w:t>
            </w:r>
          </w:p>
        </w:tc>
        <w:tc>
          <w:tcPr>
            <w:tcW w:w="628" w:type="dxa"/>
            <w:tcBorders>
              <w:top w:val="nil"/>
              <w:left w:val="nil"/>
              <w:bottom w:val="single" w:sz="4" w:space="0" w:color="auto"/>
              <w:right w:val="single" w:sz="4" w:space="0" w:color="auto"/>
            </w:tcBorders>
            <w:shd w:val="clear" w:color="auto" w:fill="auto"/>
            <w:noWrap/>
            <w:vAlign w:val="bottom"/>
            <w:hideMark/>
          </w:tcPr>
          <w:p w14:paraId="570E80B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20.8</w:t>
            </w:r>
          </w:p>
        </w:tc>
        <w:tc>
          <w:tcPr>
            <w:tcW w:w="628" w:type="dxa"/>
            <w:tcBorders>
              <w:top w:val="nil"/>
              <w:left w:val="nil"/>
              <w:bottom w:val="single" w:sz="4" w:space="0" w:color="auto"/>
              <w:right w:val="single" w:sz="4" w:space="0" w:color="auto"/>
            </w:tcBorders>
            <w:shd w:val="clear" w:color="auto" w:fill="auto"/>
            <w:noWrap/>
            <w:vAlign w:val="bottom"/>
            <w:hideMark/>
          </w:tcPr>
          <w:p w14:paraId="626BE13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19.8</w:t>
            </w:r>
          </w:p>
        </w:tc>
        <w:tc>
          <w:tcPr>
            <w:tcW w:w="628" w:type="dxa"/>
            <w:tcBorders>
              <w:top w:val="nil"/>
              <w:left w:val="nil"/>
              <w:bottom w:val="single" w:sz="4" w:space="0" w:color="auto"/>
              <w:right w:val="single" w:sz="4" w:space="0" w:color="auto"/>
            </w:tcBorders>
            <w:shd w:val="clear" w:color="auto" w:fill="auto"/>
            <w:noWrap/>
            <w:vAlign w:val="bottom"/>
            <w:hideMark/>
          </w:tcPr>
          <w:p w14:paraId="5FAAD4F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18.9</w:t>
            </w:r>
          </w:p>
        </w:tc>
        <w:tc>
          <w:tcPr>
            <w:tcW w:w="628" w:type="dxa"/>
            <w:tcBorders>
              <w:top w:val="nil"/>
              <w:left w:val="nil"/>
              <w:bottom w:val="single" w:sz="4" w:space="0" w:color="auto"/>
              <w:right w:val="single" w:sz="4" w:space="0" w:color="auto"/>
            </w:tcBorders>
            <w:shd w:val="clear" w:color="auto" w:fill="auto"/>
            <w:noWrap/>
            <w:vAlign w:val="bottom"/>
            <w:hideMark/>
          </w:tcPr>
          <w:p w14:paraId="37B7E79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18.5</w:t>
            </w:r>
          </w:p>
        </w:tc>
        <w:tc>
          <w:tcPr>
            <w:tcW w:w="628" w:type="dxa"/>
            <w:tcBorders>
              <w:top w:val="nil"/>
              <w:left w:val="nil"/>
              <w:bottom w:val="single" w:sz="4" w:space="0" w:color="auto"/>
              <w:right w:val="single" w:sz="4" w:space="0" w:color="auto"/>
            </w:tcBorders>
            <w:shd w:val="clear" w:color="auto" w:fill="auto"/>
            <w:noWrap/>
            <w:vAlign w:val="bottom"/>
            <w:hideMark/>
          </w:tcPr>
          <w:p w14:paraId="253D1F2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18.4</w:t>
            </w:r>
          </w:p>
        </w:tc>
      </w:tr>
      <w:tr w:rsidR="00B56301" w:rsidRPr="00364545" w14:paraId="29807678"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5E48F0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Grasslands</w:t>
            </w:r>
          </w:p>
        </w:tc>
        <w:tc>
          <w:tcPr>
            <w:tcW w:w="628" w:type="dxa"/>
            <w:tcBorders>
              <w:top w:val="nil"/>
              <w:left w:val="nil"/>
              <w:bottom w:val="single" w:sz="4" w:space="0" w:color="auto"/>
              <w:right w:val="single" w:sz="4" w:space="0" w:color="auto"/>
            </w:tcBorders>
            <w:shd w:val="clear" w:color="auto" w:fill="auto"/>
            <w:noWrap/>
            <w:vAlign w:val="bottom"/>
            <w:hideMark/>
          </w:tcPr>
          <w:p w14:paraId="4C4FADE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-14.4</w:t>
            </w:r>
          </w:p>
        </w:tc>
        <w:tc>
          <w:tcPr>
            <w:tcW w:w="628" w:type="dxa"/>
            <w:tcBorders>
              <w:top w:val="nil"/>
              <w:left w:val="nil"/>
              <w:bottom w:val="single" w:sz="4" w:space="0" w:color="auto"/>
              <w:right w:val="single" w:sz="4" w:space="0" w:color="auto"/>
            </w:tcBorders>
            <w:shd w:val="clear" w:color="auto" w:fill="auto"/>
            <w:noWrap/>
            <w:vAlign w:val="bottom"/>
            <w:hideMark/>
          </w:tcPr>
          <w:p w14:paraId="27D0214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-13.1</w:t>
            </w:r>
          </w:p>
        </w:tc>
        <w:tc>
          <w:tcPr>
            <w:tcW w:w="628" w:type="dxa"/>
            <w:tcBorders>
              <w:top w:val="nil"/>
              <w:left w:val="nil"/>
              <w:bottom w:val="single" w:sz="4" w:space="0" w:color="auto"/>
              <w:right w:val="single" w:sz="4" w:space="0" w:color="auto"/>
            </w:tcBorders>
            <w:shd w:val="clear" w:color="auto" w:fill="auto"/>
            <w:noWrap/>
            <w:vAlign w:val="bottom"/>
            <w:hideMark/>
          </w:tcPr>
          <w:p w14:paraId="7699AC3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-14.2</w:t>
            </w:r>
          </w:p>
        </w:tc>
        <w:tc>
          <w:tcPr>
            <w:tcW w:w="628" w:type="dxa"/>
            <w:tcBorders>
              <w:top w:val="nil"/>
              <w:left w:val="nil"/>
              <w:bottom w:val="single" w:sz="4" w:space="0" w:color="auto"/>
              <w:right w:val="single" w:sz="4" w:space="0" w:color="auto"/>
            </w:tcBorders>
            <w:shd w:val="clear" w:color="auto" w:fill="auto"/>
            <w:noWrap/>
            <w:vAlign w:val="bottom"/>
            <w:hideMark/>
          </w:tcPr>
          <w:p w14:paraId="007154E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-13.2</w:t>
            </w:r>
          </w:p>
        </w:tc>
        <w:tc>
          <w:tcPr>
            <w:tcW w:w="628" w:type="dxa"/>
            <w:tcBorders>
              <w:top w:val="nil"/>
              <w:left w:val="nil"/>
              <w:bottom w:val="single" w:sz="4" w:space="0" w:color="auto"/>
              <w:right w:val="single" w:sz="4" w:space="0" w:color="auto"/>
            </w:tcBorders>
            <w:shd w:val="clear" w:color="auto" w:fill="auto"/>
            <w:noWrap/>
            <w:vAlign w:val="bottom"/>
            <w:hideMark/>
          </w:tcPr>
          <w:p w14:paraId="16D343B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-12.6</w:t>
            </w:r>
          </w:p>
        </w:tc>
        <w:tc>
          <w:tcPr>
            <w:tcW w:w="628" w:type="dxa"/>
            <w:tcBorders>
              <w:top w:val="nil"/>
              <w:left w:val="nil"/>
              <w:bottom w:val="single" w:sz="4" w:space="0" w:color="auto"/>
              <w:right w:val="single" w:sz="4" w:space="0" w:color="auto"/>
            </w:tcBorders>
            <w:shd w:val="clear" w:color="auto" w:fill="auto"/>
            <w:noWrap/>
            <w:vAlign w:val="bottom"/>
            <w:hideMark/>
          </w:tcPr>
          <w:p w14:paraId="41D896F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-12.0</w:t>
            </w:r>
          </w:p>
        </w:tc>
        <w:tc>
          <w:tcPr>
            <w:tcW w:w="628" w:type="dxa"/>
            <w:tcBorders>
              <w:top w:val="nil"/>
              <w:left w:val="nil"/>
              <w:bottom w:val="single" w:sz="4" w:space="0" w:color="auto"/>
              <w:right w:val="single" w:sz="4" w:space="0" w:color="auto"/>
            </w:tcBorders>
            <w:shd w:val="clear" w:color="auto" w:fill="auto"/>
            <w:noWrap/>
            <w:vAlign w:val="bottom"/>
            <w:hideMark/>
          </w:tcPr>
          <w:p w14:paraId="2D2594B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-10.5</w:t>
            </w:r>
          </w:p>
        </w:tc>
        <w:tc>
          <w:tcPr>
            <w:tcW w:w="628" w:type="dxa"/>
            <w:tcBorders>
              <w:top w:val="nil"/>
              <w:left w:val="nil"/>
              <w:bottom w:val="single" w:sz="4" w:space="0" w:color="auto"/>
              <w:right w:val="single" w:sz="4" w:space="0" w:color="auto"/>
            </w:tcBorders>
            <w:shd w:val="clear" w:color="auto" w:fill="auto"/>
            <w:noWrap/>
            <w:vAlign w:val="bottom"/>
            <w:hideMark/>
          </w:tcPr>
          <w:p w14:paraId="15C7B53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-9.4</w:t>
            </w:r>
          </w:p>
        </w:tc>
      </w:tr>
      <w:tr w:rsidR="00B56301" w:rsidRPr="00364545" w14:paraId="4596140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04DB1D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Wetlands</w:t>
            </w:r>
          </w:p>
        </w:tc>
        <w:tc>
          <w:tcPr>
            <w:tcW w:w="628" w:type="dxa"/>
            <w:tcBorders>
              <w:top w:val="nil"/>
              <w:left w:val="nil"/>
              <w:bottom w:val="single" w:sz="4" w:space="0" w:color="auto"/>
              <w:right w:val="single" w:sz="4" w:space="0" w:color="auto"/>
            </w:tcBorders>
            <w:shd w:val="clear" w:color="auto" w:fill="auto"/>
            <w:noWrap/>
            <w:vAlign w:val="bottom"/>
            <w:hideMark/>
          </w:tcPr>
          <w:p w14:paraId="7FAD1DB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2F59B25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F1AE08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6523CA9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91F19B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292AFAD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70E5F72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1466B7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r>
      <w:tr w:rsidR="00B56301" w:rsidRPr="00364545" w14:paraId="5309937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98BB2F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Reclaimed Land</w:t>
            </w:r>
          </w:p>
        </w:tc>
        <w:tc>
          <w:tcPr>
            <w:tcW w:w="628" w:type="dxa"/>
            <w:tcBorders>
              <w:top w:val="nil"/>
              <w:left w:val="nil"/>
              <w:bottom w:val="single" w:sz="4" w:space="0" w:color="auto"/>
              <w:right w:val="single" w:sz="4" w:space="0" w:color="auto"/>
            </w:tcBorders>
            <w:shd w:val="clear" w:color="auto" w:fill="auto"/>
            <w:noWrap/>
            <w:vAlign w:val="bottom"/>
            <w:hideMark/>
          </w:tcPr>
          <w:p w14:paraId="6F5DF78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10.3</w:t>
            </w:r>
          </w:p>
        </w:tc>
        <w:tc>
          <w:tcPr>
            <w:tcW w:w="628" w:type="dxa"/>
            <w:tcBorders>
              <w:top w:val="nil"/>
              <w:left w:val="nil"/>
              <w:bottom w:val="single" w:sz="4" w:space="0" w:color="auto"/>
              <w:right w:val="single" w:sz="4" w:space="0" w:color="auto"/>
            </w:tcBorders>
            <w:shd w:val="clear" w:color="auto" w:fill="auto"/>
            <w:noWrap/>
            <w:vAlign w:val="bottom"/>
            <w:hideMark/>
          </w:tcPr>
          <w:p w14:paraId="02ED3C8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11.4</w:t>
            </w:r>
          </w:p>
        </w:tc>
        <w:tc>
          <w:tcPr>
            <w:tcW w:w="628" w:type="dxa"/>
            <w:tcBorders>
              <w:top w:val="nil"/>
              <w:left w:val="nil"/>
              <w:bottom w:val="single" w:sz="4" w:space="0" w:color="auto"/>
              <w:right w:val="single" w:sz="4" w:space="0" w:color="auto"/>
            </w:tcBorders>
            <w:shd w:val="clear" w:color="auto" w:fill="auto"/>
            <w:noWrap/>
            <w:vAlign w:val="bottom"/>
            <w:hideMark/>
          </w:tcPr>
          <w:p w14:paraId="6236C12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9.9</w:t>
            </w:r>
          </w:p>
        </w:tc>
        <w:tc>
          <w:tcPr>
            <w:tcW w:w="628" w:type="dxa"/>
            <w:tcBorders>
              <w:top w:val="nil"/>
              <w:left w:val="nil"/>
              <w:bottom w:val="single" w:sz="4" w:space="0" w:color="auto"/>
              <w:right w:val="single" w:sz="4" w:space="0" w:color="auto"/>
            </w:tcBorders>
            <w:shd w:val="clear" w:color="auto" w:fill="auto"/>
            <w:noWrap/>
            <w:vAlign w:val="bottom"/>
            <w:hideMark/>
          </w:tcPr>
          <w:p w14:paraId="699D006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10.2</w:t>
            </w:r>
          </w:p>
        </w:tc>
        <w:tc>
          <w:tcPr>
            <w:tcW w:w="628" w:type="dxa"/>
            <w:tcBorders>
              <w:top w:val="nil"/>
              <w:left w:val="nil"/>
              <w:bottom w:val="single" w:sz="4" w:space="0" w:color="auto"/>
              <w:right w:val="single" w:sz="4" w:space="0" w:color="auto"/>
            </w:tcBorders>
            <w:shd w:val="clear" w:color="auto" w:fill="auto"/>
            <w:noWrap/>
            <w:vAlign w:val="bottom"/>
            <w:hideMark/>
          </w:tcPr>
          <w:p w14:paraId="4724B3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10.5</w:t>
            </w:r>
          </w:p>
        </w:tc>
        <w:tc>
          <w:tcPr>
            <w:tcW w:w="628" w:type="dxa"/>
            <w:tcBorders>
              <w:top w:val="nil"/>
              <w:left w:val="nil"/>
              <w:bottom w:val="single" w:sz="4" w:space="0" w:color="auto"/>
              <w:right w:val="single" w:sz="4" w:space="0" w:color="auto"/>
            </w:tcBorders>
            <w:shd w:val="clear" w:color="auto" w:fill="auto"/>
            <w:noWrap/>
            <w:vAlign w:val="bottom"/>
            <w:hideMark/>
          </w:tcPr>
          <w:p w14:paraId="65FA9DB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10.1</w:t>
            </w:r>
          </w:p>
        </w:tc>
        <w:tc>
          <w:tcPr>
            <w:tcW w:w="628" w:type="dxa"/>
            <w:tcBorders>
              <w:top w:val="nil"/>
              <w:left w:val="nil"/>
              <w:bottom w:val="single" w:sz="4" w:space="0" w:color="auto"/>
              <w:right w:val="single" w:sz="4" w:space="0" w:color="auto"/>
            </w:tcBorders>
            <w:shd w:val="clear" w:color="auto" w:fill="auto"/>
            <w:noWrap/>
            <w:vAlign w:val="bottom"/>
            <w:hideMark/>
          </w:tcPr>
          <w:p w14:paraId="5A8048B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10.7</w:t>
            </w:r>
          </w:p>
        </w:tc>
        <w:tc>
          <w:tcPr>
            <w:tcW w:w="628" w:type="dxa"/>
            <w:tcBorders>
              <w:top w:val="nil"/>
              <w:left w:val="nil"/>
              <w:bottom w:val="single" w:sz="4" w:space="0" w:color="auto"/>
              <w:right w:val="single" w:sz="4" w:space="0" w:color="auto"/>
            </w:tcBorders>
            <w:shd w:val="clear" w:color="auto" w:fill="auto"/>
            <w:noWrap/>
            <w:vAlign w:val="bottom"/>
            <w:hideMark/>
          </w:tcPr>
          <w:p w14:paraId="0671B3C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11.3</w:t>
            </w:r>
          </w:p>
        </w:tc>
      </w:tr>
      <w:tr w:rsidR="00B56301" w:rsidRPr="00364545" w14:paraId="69DD2292"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16BC182"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Land</w:t>
            </w:r>
          </w:p>
        </w:tc>
        <w:tc>
          <w:tcPr>
            <w:tcW w:w="628" w:type="dxa"/>
            <w:tcBorders>
              <w:top w:val="nil"/>
              <w:left w:val="nil"/>
              <w:bottom w:val="single" w:sz="4" w:space="0" w:color="auto"/>
              <w:right w:val="single" w:sz="4" w:space="0" w:color="auto"/>
            </w:tcBorders>
            <w:shd w:val="clear" w:color="auto" w:fill="auto"/>
            <w:noWrap/>
            <w:vAlign w:val="bottom"/>
            <w:hideMark/>
          </w:tcPr>
          <w:p w14:paraId="0DEB5A5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8F490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96589E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47676DA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5E695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5A09114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28E874D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8D6F7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27A645F6"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3842F4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Timber Products</w:t>
            </w:r>
          </w:p>
        </w:tc>
        <w:tc>
          <w:tcPr>
            <w:tcW w:w="628" w:type="dxa"/>
            <w:tcBorders>
              <w:top w:val="nil"/>
              <w:left w:val="nil"/>
              <w:bottom w:val="single" w:sz="4" w:space="0" w:color="auto"/>
              <w:right w:val="single" w:sz="4" w:space="0" w:color="auto"/>
            </w:tcBorders>
            <w:shd w:val="clear" w:color="auto" w:fill="auto"/>
            <w:noWrap/>
            <w:vAlign w:val="bottom"/>
            <w:hideMark/>
          </w:tcPr>
          <w:p w14:paraId="61159FE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bottom"/>
            <w:hideMark/>
          </w:tcPr>
          <w:p w14:paraId="15A3A80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w:t>
            </w:r>
          </w:p>
        </w:tc>
        <w:tc>
          <w:tcPr>
            <w:tcW w:w="628" w:type="dxa"/>
            <w:tcBorders>
              <w:top w:val="nil"/>
              <w:left w:val="nil"/>
              <w:bottom w:val="single" w:sz="4" w:space="0" w:color="auto"/>
              <w:right w:val="single" w:sz="4" w:space="0" w:color="auto"/>
            </w:tcBorders>
            <w:shd w:val="clear" w:color="auto" w:fill="auto"/>
            <w:noWrap/>
            <w:vAlign w:val="bottom"/>
            <w:hideMark/>
          </w:tcPr>
          <w:p w14:paraId="4272B35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w:t>
            </w:r>
          </w:p>
        </w:tc>
        <w:tc>
          <w:tcPr>
            <w:tcW w:w="628" w:type="dxa"/>
            <w:tcBorders>
              <w:top w:val="nil"/>
              <w:left w:val="nil"/>
              <w:bottom w:val="single" w:sz="4" w:space="0" w:color="auto"/>
              <w:right w:val="single" w:sz="4" w:space="0" w:color="auto"/>
            </w:tcBorders>
            <w:shd w:val="clear" w:color="auto" w:fill="auto"/>
            <w:noWrap/>
            <w:vAlign w:val="bottom"/>
            <w:hideMark/>
          </w:tcPr>
          <w:p w14:paraId="4558034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-4.8</w:t>
            </w:r>
          </w:p>
        </w:tc>
        <w:tc>
          <w:tcPr>
            <w:tcW w:w="628" w:type="dxa"/>
            <w:tcBorders>
              <w:top w:val="nil"/>
              <w:left w:val="nil"/>
              <w:bottom w:val="single" w:sz="4" w:space="0" w:color="auto"/>
              <w:right w:val="single" w:sz="4" w:space="0" w:color="auto"/>
            </w:tcBorders>
            <w:shd w:val="clear" w:color="auto" w:fill="auto"/>
            <w:noWrap/>
            <w:vAlign w:val="bottom"/>
            <w:hideMark/>
          </w:tcPr>
          <w:p w14:paraId="5C82845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c>
          <w:tcPr>
            <w:tcW w:w="628" w:type="dxa"/>
            <w:tcBorders>
              <w:top w:val="nil"/>
              <w:left w:val="nil"/>
              <w:bottom w:val="single" w:sz="4" w:space="0" w:color="auto"/>
              <w:right w:val="single" w:sz="4" w:space="0" w:color="auto"/>
            </w:tcBorders>
            <w:shd w:val="clear" w:color="auto" w:fill="auto"/>
            <w:noWrap/>
            <w:vAlign w:val="bottom"/>
            <w:hideMark/>
          </w:tcPr>
          <w:p w14:paraId="161D189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w:t>
            </w:r>
          </w:p>
        </w:tc>
        <w:tc>
          <w:tcPr>
            <w:tcW w:w="628" w:type="dxa"/>
            <w:tcBorders>
              <w:top w:val="nil"/>
              <w:left w:val="nil"/>
              <w:bottom w:val="single" w:sz="4" w:space="0" w:color="auto"/>
              <w:right w:val="single" w:sz="4" w:space="0" w:color="auto"/>
            </w:tcBorders>
            <w:shd w:val="clear" w:color="auto" w:fill="auto"/>
            <w:noWrap/>
            <w:vAlign w:val="bottom"/>
            <w:hideMark/>
          </w:tcPr>
          <w:p w14:paraId="754517C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w:t>
            </w:r>
          </w:p>
        </w:tc>
        <w:tc>
          <w:tcPr>
            <w:tcW w:w="628" w:type="dxa"/>
            <w:tcBorders>
              <w:top w:val="nil"/>
              <w:left w:val="nil"/>
              <w:bottom w:val="single" w:sz="4" w:space="0" w:color="auto"/>
              <w:right w:val="single" w:sz="4" w:space="0" w:color="auto"/>
            </w:tcBorders>
            <w:shd w:val="clear" w:color="auto" w:fill="auto"/>
            <w:noWrap/>
            <w:vAlign w:val="bottom"/>
            <w:hideMark/>
          </w:tcPr>
          <w:p w14:paraId="76AEB6C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w:t>
            </w:r>
          </w:p>
        </w:tc>
      </w:tr>
      <w:tr w:rsidR="00B56301" w:rsidRPr="00364545" w14:paraId="50C5CDC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0D6B03B"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Dams</w:t>
            </w:r>
          </w:p>
        </w:tc>
        <w:tc>
          <w:tcPr>
            <w:tcW w:w="628" w:type="dxa"/>
            <w:tcBorders>
              <w:top w:val="nil"/>
              <w:left w:val="nil"/>
              <w:bottom w:val="single" w:sz="4" w:space="0" w:color="auto"/>
              <w:right w:val="single" w:sz="4" w:space="0" w:color="auto"/>
            </w:tcBorders>
            <w:shd w:val="clear" w:color="auto" w:fill="auto"/>
            <w:noWrap/>
            <w:vAlign w:val="bottom"/>
            <w:hideMark/>
          </w:tcPr>
          <w:p w14:paraId="3733945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50CD82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77134BB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A4DDEE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586C981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591353D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5585374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72A576A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r>
      <w:tr w:rsidR="00B56301" w:rsidRPr="00364545" w14:paraId="1D8A8DE3" w14:textId="77777777" w:rsidTr="00B37B65">
        <w:trPr>
          <w:trHeight w:val="68"/>
          <w:jc w:val="center"/>
        </w:trPr>
        <w:tc>
          <w:tcPr>
            <w:tcW w:w="5680" w:type="dxa"/>
            <w:tcBorders>
              <w:top w:val="nil"/>
              <w:left w:val="nil"/>
              <w:bottom w:val="nil"/>
              <w:right w:val="nil"/>
            </w:tcBorders>
            <w:shd w:val="clear" w:color="000000" w:fill="00B050"/>
            <w:noWrap/>
            <w:vAlign w:val="bottom"/>
            <w:hideMark/>
          </w:tcPr>
          <w:p w14:paraId="4F74B897"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LULUCF</w:t>
            </w:r>
          </w:p>
        </w:tc>
        <w:tc>
          <w:tcPr>
            <w:tcW w:w="628" w:type="dxa"/>
            <w:tcBorders>
              <w:top w:val="nil"/>
              <w:left w:val="single" w:sz="4" w:space="0" w:color="auto"/>
              <w:bottom w:val="single" w:sz="4" w:space="0" w:color="auto"/>
              <w:right w:val="single" w:sz="4" w:space="0" w:color="auto"/>
            </w:tcBorders>
            <w:shd w:val="clear" w:color="000000" w:fill="00B050"/>
            <w:noWrap/>
            <w:vAlign w:val="bottom"/>
            <w:hideMark/>
          </w:tcPr>
          <w:p w14:paraId="4BDA5C82"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-33.4</w:t>
            </w:r>
          </w:p>
        </w:tc>
        <w:tc>
          <w:tcPr>
            <w:tcW w:w="628" w:type="dxa"/>
            <w:tcBorders>
              <w:top w:val="nil"/>
              <w:left w:val="nil"/>
              <w:bottom w:val="single" w:sz="4" w:space="0" w:color="auto"/>
              <w:right w:val="single" w:sz="4" w:space="0" w:color="auto"/>
            </w:tcBorders>
            <w:shd w:val="clear" w:color="000000" w:fill="00B050"/>
            <w:noWrap/>
            <w:vAlign w:val="bottom"/>
            <w:hideMark/>
          </w:tcPr>
          <w:p w14:paraId="131BD766"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-36.7</w:t>
            </w:r>
          </w:p>
        </w:tc>
        <w:tc>
          <w:tcPr>
            <w:tcW w:w="628" w:type="dxa"/>
            <w:tcBorders>
              <w:top w:val="nil"/>
              <w:left w:val="nil"/>
              <w:bottom w:val="single" w:sz="4" w:space="0" w:color="auto"/>
              <w:right w:val="single" w:sz="4" w:space="0" w:color="auto"/>
            </w:tcBorders>
            <w:shd w:val="clear" w:color="000000" w:fill="00B050"/>
            <w:noWrap/>
            <w:vAlign w:val="bottom"/>
            <w:hideMark/>
          </w:tcPr>
          <w:p w14:paraId="2E23144F"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-19.7</w:t>
            </w:r>
          </w:p>
        </w:tc>
        <w:tc>
          <w:tcPr>
            <w:tcW w:w="628" w:type="dxa"/>
            <w:tcBorders>
              <w:top w:val="nil"/>
              <w:left w:val="nil"/>
              <w:bottom w:val="single" w:sz="4" w:space="0" w:color="auto"/>
              <w:right w:val="single" w:sz="4" w:space="0" w:color="auto"/>
            </w:tcBorders>
            <w:shd w:val="clear" w:color="000000" w:fill="00B050"/>
            <w:noWrap/>
            <w:vAlign w:val="bottom"/>
            <w:hideMark/>
          </w:tcPr>
          <w:p w14:paraId="12CEF3A4"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-31.7</w:t>
            </w:r>
          </w:p>
        </w:tc>
        <w:tc>
          <w:tcPr>
            <w:tcW w:w="628" w:type="dxa"/>
            <w:tcBorders>
              <w:top w:val="nil"/>
              <w:left w:val="nil"/>
              <w:bottom w:val="single" w:sz="4" w:space="0" w:color="auto"/>
              <w:right w:val="single" w:sz="4" w:space="0" w:color="auto"/>
            </w:tcBorders>
            <w:shd w:val="clear" w:color="000000" w:fill="00B050"/>
            <w:noWrap/>
            <w:vAlign w:val="bottom"/>
            <w:hideMark/>
          </w:tcPr>
          <w:p w14:paraId="2865A55C"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-40.5</w:t>
            </w:r>
          </w:p>
        </w:tc>
        <w:tc>
          <w:tcPr>
            <w:tcW w:w="628" w:type="dxa"/>
            <w:tcBorders>
              <w:top w:val="nil"/>
              <w:left w:val="nil"/>
              <w:bottom w:val="single" w:sz="4" w:space="0" w:color="auto"/>
              <w:right w:val="single" w:sz="4" w:space="0" w:color="auto"/>
            </w:tcBorders>
            <w:shd w:val="clear" w:color="000000" w:fill="00B050"/>
            <w:noWrap/>
            <w:vAlign w:val="bottom"/>
            <w:hideMark/>
          </w:tcPr>
          <w:p w14:paraId="5E857889"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-43.4</w:t>
            </w:r>
          </w:p>
        </w:tc>
        <w:tc>
          <w:tcPr>
            <w:tcW w:w="628" w:type="dxa"/>
            <w:tcBorders>
              <w:top w:val="nil"/>
              <w:left w:val="nil"/>
              <w:bottom w:val="single" w:sz="4" w:space="0" w:color="auto"/>
              <w:right w:val="single" w:sz="4" w:space="0" w:color="auto"/>
            </w:tcBorders>
            <w:shd w:val="clear" w:color="000000" w:fill="00B050"/>
            <w:noWrap/>
            <w:vAlign w:val="bottom"/>
            <w:hideMark/>
          </w:tcPr>
          <w:p w14:paraId="416E0FDD"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-46.6</w:t>
            </w:r>
          </w:p>
        </w:tc>
        <w:tc>
          <w:tcPr>
            <w:tcW w:w="628" w:type="dxa"/>
            <w:tcBorders>
              <w:top w:val="nil"/>
              <w:left w:val="nil"/>
              <w:bottom w:val="single" w:sz="4" w:space="0" w:color="auto"/>
              <w:right w:val="single" w:sz="4" w:space="0" w:color="auto"/>
            </w:tcBorders>
            <w:shd w:val="clear" w:color="000000" w:fill="00B050"/>
            <w:noWrap/>
            <w:vAlign w:val="bottom"/>
            <w:hideMark/>
          </w:tcPr>
          <w:p w14:paraId="366360EF"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-47.3</w:t>
            </w:r>
          </w:p>
        </w:tc>
      </w:tr>
      <w:tr w:rsidR="00B56301" w:rsidRPr="00364545" w14:paraId="7D7201A3"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77207DE"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National TOTAL including UTCATF</w:t>
            </w:r>
          </w:p>
        </w:tc>
        <w:tc>
          <w:tcPr>
            <w:tcW w:w="628" w:type="dxa"/>
            <w:tcBorders>
              <w:top w:val="nil"/>
              <w:left w:val="nil"/>
              <w:bottom w:val="single" w:sz="4" w:space="0" w:color="auto"/>
              <w:right w:val="single" w:sz="4" w:space="0" w:color="auto"/>
            </w:tcBorders>
            <w:shd w:val="clear" w:color="000000" w:fill="D9D9D9"/>
            <w:noWrap/>
            <w:vAlign w:val="bottom"/>
            <w:hideMark/>
          </w:tcPr>
          <w:p w14:paraId="1CA4B7A7"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526.9</w:t>
            </w:r>
          </w:p>
        </w:tc>
        <w:tc>
          <w:tcPr>
            <w:tcW w:w="628" w:type="dxa"/>
            <w:tcBorders>
              <w:top w:val="nil"/>
              <w:left w:val="nil"/>
              <w:bottom w:val="single" w:sz="4" w:space="0" w:color="auto"/>
              <w:right w:val="single" w:sz="4" w:space="0" w:color="auto"/>
            </w:tcBorders>
            <w:shd w:val="clear" w:color="000000" w:fill="D9D9D9"/>
            <w:noWrap/>
            <w:vAlign w:val="bottom"/>
            <w:hideMark/>
          </w:tcPr>
          <w:p w14:paraId="762639A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518.1</w:t>
            </w:r>
          </w:p>
        </w:tc>
        <w:tc>
          <w:tcPr>
            <w:tcW w:w="628" w:type="dxa"/>
            <w:tcBorders>
              <w:top w:val="nil"/>
              <w:left w:val="nil"/>
              <w:bottom w:val="single" w:sz="4" w:space="0" w:color="auto"/>
              <w:right w:val="single" w:sz="4" w:space="0" w:color="auto"/>
            </w:tcBorders>
            <w:shd w:val="clear" w:color="000000" w:fill="D9D9D9"/>
            <w:noWrap/>
            <w:vAlign w:val="bottom"/>
            <w:hideMark/>
          </w:tcPr>
          <w:p w14:paraId="337E165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529.3</w:t>
            </w:r>
          </w:p>
        </w:tc>
        <w:tc>
          <w:tcPr>
            <w:tcW w:w="628" w:type="dxa"/>
            <w:tcBorders>
              <w:top w:val="nil"/>
              <w:left w:val="nil"/>
              <w:bottom w:val="single" w:sz="4" w:space="0" w:color="auto"/>
              <w:right w:val="single" w:sz="4" w:space="0" w:color="auto"/>
            </w:tcBorders>
            <w:shd w:val="clear" w:color="000000" w:fill="D9D9D9"/>
            <w:noWrap/>
            <w:vAlign w:val="bottom"/>
            <w:hideMark/>
          </w:tcPr>
          <w:p w14:paraId="072C698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522.5</w:t>
            </w:r>
          </w:p>
        </w:tc>
        <w:tc>
          <w:tcPr>
            <w:tcW w:w="628" w:type="dxa"/>
            <w:tcBorders>
              <w:top w:val="nil"/>
              <w:left w:val="nil"/>
              <w:bottom w:val="single" w:sz="4" w:space="0" w:color="auto"/>
              <w:right w:val="single" w:sz="4" w:space="0" w:color="auto"/>
            </w:tcBorders>
            <w:shd w:val="clear" w:color="000000" w:fill="D9D9D9"/>
            <w:noWrap/>
            <w:vAlign w:val="bottom"/>
            <w:hideMark/>
          </w:tcPr>
          <w:p w14:paraId="4DD8B93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508.1</w:t>
            </w:r>
          </w:p>
        </w:tc>
        <w:tc>
          <w:tcPr>
            <w:tcW w:w="628" w:type="dxa"/>
            <w:tcBorders>
              <w:top w:val="nil"/>
              <w:left w:val="nil"/>
              <w:bottom w:val="single" w:sz="4" w:space="0" w:color="auto"/>
              <w:right w:val="single" w:sz="4" w:space="0" w:color="auto"/>
            </w:tcBorders>
            <w:shd w:val="clear" w:color="000000" w:fill="D9D9D9"/>
            <w:noWrap/>
            <w:vAlign w:val="bottom"/>
            <w:hideMark/>
          </w:tcPr>
          <w:p w14:paraId="0E46E2D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508.3</w:t>
            </w:r>
          </w:p>
        </w:tc>
        <w:tc>
          <w:tcPr>
            <w:tcW w:w="628" w:type="dxa"/>
            <w:tcBorders>
              <w:top w:val="nil"/>
              <w:left w:val="nil"/>
              <w:bottom w:val="single" w:sz="4" w:space="0" w:color="auto"/>
              <w:right w:val="single" w:sz="4" w:space="0" w:color="auto"/>
            </w:tcBorders>
            <w:shd w:val="clear" w:color="000000" w:fill="D9D9D9"/>
            <w:noWrap/>
            <w:vAlign w:val="bottom"/>
            <w:hideMark/>
          </w:tcPr>
          <w:p w14:paraId="5078A30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504.0</w:t>
            </w:r>
          </w:p>
        </w:tc>
        <w:tc>
          <w:tcPr>
            <w:tcW w:w="628" w:type="dxa"/>
            <w:tcBorders>
              <w:top w:val="nil"/>
              <w:left w:val="nil"/>
              <w:bottom w:val="single" w:sz="4" w:space="0" w:color="auto"/>
              <w:right w:val="single" w:sz="4" w:space="0" w:color="auto"/>
            </w:tcBorders>
            <w:shd w:val="clear" w:color="000000" w:fill="D9D9D9"/>
            <w:noWrap/>
            <w:vAlign w:val="bottom"/>
            <w:hideMark/>
          </w:tcPr>
          <w:p w14:paraId="3F1400D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504.1</w:t>
            </w:r>
          </w:p>
        </w:tc>
      </w:tr>
    </w:tbl>
    <w:p w14:paraId="6D4E862F" w14:textId="3628012E" w:rsidR="00B56301" w:rsidRPr="00364545" w:rsidRDefault="00B56301" w:rsidP="00B56301">
      <w:pPr>
        <w:spacing w:line="240" w:lineRule="atLeast"/>
        <w:jc w:val="left"/>
      </w:pPr>
    </w:p>
    <w:p w14:paraId="787EBDD8" w14:textId="77777777" w:rsidR="00B56301" w:rsidRPr="00364545" w:rsidRDefault="00B56301" w:rsidP="00B56301">
      <w:pPr>
        <w:spacing w:line="240" w:lineRule="atLeast"/>
        <w:jc w:val="left"/>
      </w:pPr>
    </w:p>
    <w:tbl>
      <w:tblPr>
        <w:tblW w:w="10704" w:type="dxa"/>
        <w:jc w:val="center"/>
        <w:tblCellMar>
          <w:left w:w="70" w:type="dxa"/>
          <w:right w:w="70" w:type="dxa"/>
        </w:tblCellMar>
        <w:tblLook w:val="04A0" w:firstRow="1" w:lastRow="0" w:firstColumn="1" w:lastColumn="0" w:noHBand="0" w:noVBand="1"/>
      </w:tblPr>
      <w:tblGrid>
        <w:gridCol w:w="5680"/>
        <w:gridCol w:w="628"/>
        <w:gridCol w:w="628"/>
        <w:gridCol w:w="628"/>
        <w:gridCol w:w="628"/>
        <w:gridCol w:w="628"/>
        <w:gridCol w:w="628"/>
        <w:gridCol w:w="628"/>
        <w:gridCol w:w="628"/>
      </w:tblGrid>
      <w:tr w:rsidR="00B56301" w:rsidRPr="00364545" w14:paraId="65DDAC06" w14:textId="77777777" w:rsidTr="00B37B65">
        <w:trPr>
          <w:trHeight w:val="68"/>
          <w:jc w:val="center"/>
        </w:trPr>
        <w:tc>
          <w:tcPr>
            <w:tcW w:w="10704" w:type="dxa"/>
            <w:gridSpan w:val="9"/>
            <w:tcBorders>
              <w:top w:val="nil"/>
              <w:left w:val="nil"/>
              <w:bottom w:val="nil"/>
            </w:tcBorders>
            <w:shd w:val="clear" w:color="auto" w:fill="auto"/>
            <w:vAlign w:val="center"/>
          </w:tcPr>
          <w:p w14:paraId="31460294" w14:textId="77777777" w:rsidR="00B56301" w:rsidRPr="00364545" w:rsidRDefault="00B56301" w:rsidP="00B37B65">
            <w:pPr>
              <w:jc w:val="left"/>
              <w:rPr>
                <w:rFonts w:ascii="Trebuchet MS" w:hAnsi="Trebuchet MS" w:cs="Arial"/>
                <w:b/>
                <w:bCs/>
                <w:sz w:val="16"/>
                <w:szCs w:val="18"/>
              </w:rPr>
            </w:pPr>
            <w:r w:rsidRPr="00364545">
              <w:rPr>
                <w:rFonts w:ascii="Trebuchet MS" w:hAnsi="Trebuchet MS"/>
                <w:b/>
                <w:sz w:val="16"/>
              </w:rPr>
              <w:t>Emissions in the air - Source Citepa 2022 edition -national inventory of greenhouse gas emissions and atmospheric pollutants - citepa.org</w:t>
            </w:r>
          </w:p>
        </w:tc>
      </w:tr>
      <w:tr w:rsidR="00B56301" w:rsidRPr="00364545" w14:paraId="734EDE0F" w14:textId="77777777" w:rsidTr="00B37B65">
        <w:trPr>
          <w:trHeight w:val="68"/>
          <w:jc w:val="center"/>
        </w:trPr>
        <w:tc>
          <w:tcPr>
            <w:tcW w:w="10704" w:type="dxa"/>
            <w:gridSpan w:val="9"/>
            <w:tcBorders>
              <w:top w:val="nil"/>
              <w:left w:val="nil"/>
            </w:tcBorders>
            <w:shd w:val="clear" w:color="auto" w:fill="auto"/>
            <w:vAlign w:val="center"/>
          </w:tcPr>
          <w:p w14:paraId="041D4E3B" w14:textId="77777777" w:rsidR="00B56301" w:rsidRPr="00364545" w:rsidRDefault="00B56301" w:rsidP="00B37B65">
            <w:pPr>
              <w:jc w:val="left"/>
              <w:rPr>
                <w:rFonts w:ascii="Trebuchet MS" w:hAnsi="Trebuchet MS" w:cs="Arial"/>
                <w:b/>
                <w:bCs/>
                <w:sz w:val="16"/>
                <w:szCs w:val="18"/>
              </w:rPr>
            </w:pPr>
            <w:r w:rsidRPr="00364545">
              <w:rPr>
                <w:rFonts w:ascii="Trebuchet MS" w:hAnsi="Trebuchet MS"/>
                <w:b/>
                <w:sz w:val="16"/>
              </w:rPr>
              <w:t>Estimating Method: citepa.org/ominea</w:t>
            </w:r>
          </w:p>
        </w:tc>
      </w:tr>
      <w:tr w:rsidR="00B56301" w:rsidRPr="00364545" w14:paraId="173270F9" w14:textId="77777777" w:rsidTr="00B37B65">
        <w:trPr>
          <w:trHeight w:val="68"/>
          <w:jc w:val="center"/>
        </w:trPr>
        <w:tc>
          <w:tcPr>
            <w:tcW w:w="10704" w:type="dxa"/>
            <w:gridSpan w:val="9"/>
            <w:tcBorders>
              <w:top w:val="nil"/>
              <w:left w:val="nil"/>
              <w:bottom w:val="nil"/>
            </w:tcBorders>
            <w:shd w:val="clear" w:color="auto" w:fill="auto"/>
            <w:vAlign w:val="center"/>
          </w:tcPr>
          <w:p w14:paraId="33A9E13B" w14:textId="77777777" w:rsidR="00B56301" w:rsidRPr="00364545" w:rsidRDefault="00B56301" w:rsidP="00B37B65">
            <w:pPr>
              <w:jc w:val="center"/>
              <w:rPr>
                <w:rFonts w:ascii="Trebuchet MS" w:hAnsi="Trebuchet MS" w:cs="Arial"/>
                <w:b/>
                <w:bCs/>
                <w:sz w:val="18"/>
                <w:szCs w:val="18"/>
              </w:rPr>
            </w:pPr>
          </w:p>
        </w:tc>
      </w:tr>
      <w:tr w:rsidR="00B56301" w:rsidRPr="00364545" w14:paraId="45C77BC5" w14:textId="77777777" w:rsidTr="00B37B65">
        <w:trPr>
          <w:trHeight w:val="68"/>
          <w:jc w:val="center"/>
        </w:trPr>
        <w:tc>
          <w:tcPr>
            <w:tcW w:w="5680" w:type="dxa"/>
            <w:tcBorders>
              <w:top w:val="nil"/>
              <w:left w:val="nil"/>
              <w:bottom w:val="nil"/>
              <w:right w:val="nil"/>
            </w:tcBorders>
            <w:shd w:val="clear" w:color="auto" w:fill="auto"/>
            <w:vAlign w:val="center"/>
            <w:hideMark/>
          </w:tcPr>
          <w:p w14:paraId="0524C073" w14:textId="026617FE" w:rsidR="00B56301" w:rsidRPr="00364545" w:rsidRDefault="00B56301" w:rsidP="00B37B65">
            <w:pPr>
              <w:jc w:val="center"/>
              <w:rPr>
                <w:rFonts w:ascii="Trebuchet MS" w:hAnsi="Trebuchet MS" w:cs="Arial"/>
                <w:b/>
                <w:bCs/>
                <w:i/>
                <w:iCs/>
                <w:sz w:val="16"/>
                <w:szCs w:val="18"/>
              </w:rPr>
            </w:pPr>
            <w:r w:rsidRPr="00364545">
              <w:rPr>
                <w:rFonts w:ascii="Trebuchet MS" w:hAnsi="Trebuchet MS"/>
                <w:b/>
                <w:i/>
                <w:sz w:val="16"/>
              </w:rPr>
              <w:t xml:space="preserve">Emissions of </w:t>
            </w:r>
            <w:r w:rsidRPr="00364545">
              <w:t>CO</w:t>
            </w:r>
            <w:r w:rsidRPr="00364545">
              <w:rPr>
                <w:vertAlign w:val="subscript"/>
              </w:rPr>
              <w:t>2</w:t>
            </w:r>
            <w:r w:rsidRPr="00364545">
              <w:rPr>
                <w:rFonts w:ascii="Trebuchet MS" w:hAnsi="Trebuchet MS"/>
                <w:b/>
                <w:i/>
                <w:sz w:val="16"/>
                <w:vertAlign w:val="subscript"/>
              </w:rPr>
              <w:t>e</w:t>
            </w:r>
            <w:r w:rsidRPr="00364545">
              <w:rPr>
                <w:rFonts w:ascii="Trebuchet MS" w:hAnsi="Trebuchet MS"/>
                <w:b/>
                <w:i/>
                <w:sz w:val="16"/>
              </w:rPr>
              <w:t xml:space="preserve"> (Mt</w:t>
            </w:r>
            <w:r w:rsidRPr="00364545">
              <w:t>CO</w:t>
            </w:r>
            <w:r w:rsidRPr="00364545">
              <w:rPr>
                <w:vertAlign w:val="subscript"/>
              </w:rPr>
              <w:t>2</w:t>
            </w:r>
            <w:r w:rsidRPr="00364545">
              <w:rPr>
                <w:rFonts w:ascii="Trebuchet MS" w:hAnsi="Trebuchet MS"/>
                <w:b/>
                <w:i/>
                <w:sz w:val="16"/>
                <w:vertAlign w:val="subscript"/>
              </w:rPr>
              <w:t>e</w:t>
            </w:r>
            <w:r w:rsidRPr="00364545">
              <w:rPr>
                <w:rFonts w:ascii="Trebuchet MS" w:hAnsi="Trebuchet MS"/>
                <w:b/>
                <w:i/>
                <w:sz w:val="16"/>
              </w:rPr>
              <w:t>/p.a.)</w:t>
            </w:r>
            <w:r w:rsidRPr="00364545">
              <w:rPr>
                <w:rFonts w:ascii="Trebuchet MS" w:hAnsi="Trebuchet MS"/>
                <w:b/>
                <w:i/>
                <w:sz w:val="16"/>
              </w:rPr>
              <w:br/>
              <w:t>Scope: Mainland and Overseas included in EU</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7B3E5"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2006</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2BD5A44"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2007</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53CC921"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2008</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7FCDC71"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2009</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AA1B2A4"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2010</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384F2461"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2011</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F337F2B"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2012</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05A27DF9"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2013</w:t>
            </w:r>
          </w:p>
        </w:tc>
      </w:tr>
      <w:tr w:rsidR="00B56301" w:rsidRPr="00364545" w14:paraId="2074AD15" w14:textId="77777777" w:rsidTr="00B37B65">
        <w:trPr>
          <w:trHeight w:val="68"/>
          <w:jc w:val="center"/>
        </w:trPr>
        <w:tc>
          <w:tcPr>
            <w:tcW w:w="5680" w:type="dxa"/>
            <w:tcBorders>
              <w:top w:val="single" w:sz="4" w:space="0" w:color="auto"/>
              <w:left w:val="nil"/>
              <w:bottom w:val="single" w:sz="4" w:space="0" w:color="auto"/>
              <w:right w:val="single" w:sz="4" w:space="0" w:color="auto"/>
            </w:tcBorders>
            <w:shd w:val="clear" w:color="000000" w:fill="DDEBF7"/>
            <w:noWrap/>
            <w:vAlign w:val="bottom"/>
            <w:hideMark/>
          </w:tcPr>
          <w:p w14:paraId="10E404E5"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Energy Industry</w:t>
            </w:r>
          </w:p>
        </w:tc>
        <w:tc>
          <w:tcPr>
            <w:tcW w:w="628" w:type="dxa"/>
            <w:tcBorders>
              <w:top w:val="nil"/>
              <w:left w:val="nil"/>
              <w:bottom w:val="single" w:sz="4" w:space="0" w:color="auto"/>
              <w:right w:val="single" w:sz="4" w:space="0" w:color="auto"/>
            </w:tcBorders>
            <w:shd w:val="clear" w:color="000000" w:fill="DDEBF7"/>
            <w:noWrap/>
            <w:vAlign w:val="bottom"/>
            <w:hideMark/>
          </w:tcPr>
          <w:p w14:paraId="169C6DE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70.1</w:t>
            </w:r>
          </w:p>
        </w:tc>
        <w:tc>
          <w:tcPr>
            <w:tcW w:w="628" w:type="dxa"/>
            <w:tcBorders>
              <w:top w:val="nil"/>
              <w:left w:val="nil"/>
              <w:bottom w:val="single" w:sz="4" w:space="0" w:color="auto"/>
              <w:right w:val="single" w:sz="4" w:space="0" w:color="auto"/>
            </w:tcBorders>
            <w:shd w:val="clear" w:color="000000" w:fill="DDEBF7"/>
            <w:noWrap/>
            <w:vAlign w:val="bottom"/>
            <w:hideMark/>
          </w:tcPr>
          <w:p w14:paraId="0A301C6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69.6</w:t>
            </w:r>
          </w:p>
        </w:tc>
        <w:tc>
          <w:tcPr>
            <w:tcW w:w="628" w:type="dxa"/>
            <w:tcBorders>
              <w:top w:val="nil"/>
              <w:left w:val="nil"/>
              <w:bottom w:val="single" w:sz="4" w:space="0" w:color="auto"/>
              <w:right w:val="single" w:sz="4" w:space="0" w:color="auto"/>
            </w:tcBorders>
            <w:shd w:val="clear" w:color="000000" w:fill="DDEBF7"/>
            <w:noWrap/>
            <w:vAlign w:val="bottom"/>
            <w:hideMark/>
          </w:tcPr>
          <w:p w14:paraId="72BEF9E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68.8</w:t>
            </w:r>
          </w:p>
        </w:tc>
        <w:tc>
          <w:tcPr>
            <w:tcW w:w="628" w:type="dxa"/>
            <w:tcBorders>
              <w:top w:val="nil"/>
              <w:left w:val="nil"/>
              <w:bottom w:val="single" w:sz="4" w:space="0" w:color="auto"/>
              <w:right w:val="single" w:sz="4" w:space="0" w:color="auto"/>
            </w:tcBorders>
            <w:shd w:val="clear" w:color="000000" w:fill="DDEBF7"/>
            <w:noWrap/>
            <w:vAlign w:val="bottom"/>
            <w:hideMark/>
          </w:tcPr>
          <w:p w14:paraId="238511B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66.6</w:t>
            </w:r>
          </w:p>
        </w:tc>
        <w:tc>
          <w:tcPr>
            <w:tcW w:w="628" w:type="dxa"/>
            <w:tcBorders>
              <w:top w:val="nil"/>
              <w:left w:val="nil"/>
              <w:bottom w:val="single" w:sz="4" w:space="0" w:color="auto"/>
              <w:right w:val="single" w:sz="4" w:space="0" w:color="auto"/>
            </w:tcBorders>
            <w:shd w:val="clear" w:color="000000" w:fill="DDEBF7"/>
            <w:noWrap/>
            <w:vAlign w:val="bottom"/>
            <w:hideMark/>
          </w:tcPr>
          <w:p w14:paraId="43067A2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66.8</w:t>
            </w:r>
          </w:p>
        </w:tc>
        <w:tc>
          <w:tcPr>
            <w:tcW w:w="628" w:type="dxa"/>
            <w:tcBorders>
              <w:top w:val="nil"/>
              <w:left w:val="nil"/>
              <w:bottom w:val="single" w:sz="4" w:space="0" w:color="auto"/>
              <w:right w:val="single" w:sz="4" w:space="0" w:color="auto"/>
            </w:tcBorders>
            <w:shd w:val="clear" w:color="000000" w:fill="DDEBF7"/>
            <w:noWrap/>
            <w:vAlign w:val="bottom"/>
            <w:hideMark/>
          </w:tcPr>
          <w:p w14:paraId="6A899CC9"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61.1</w:t>
            </w:r>
          </w:p>
        </w:tc>
        <w:tc>
          <w:tcPr>
            <w:tcW w:w="628" w:type="dxa"/>
            <w:tcBorders>
              <w:top w:val="nil"/>
              <w:left w:val="nil"/>
              <w:bottom w:val="single" w:sz="4" w:space="0" w:color="auto"/>
              <w:right w:val="single" w:sz="4" w:space="0" w:color="auto"/>
            </w:tcBorders>
            <w:shd w:val="clear" w:color="000000" w:fill="DDEBF7"/>
            <w:noWrap/>
            <w:vAlign w:val="bottom"/>
            <w:hideMark/>
          </w:tcPr>
          <w:p w14:paraId="3C50AAB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62.7</w:t>
            </w:r>
          </w:p>
        </w:tc>
        <w:tc>
          <w:tcPr>
            <w:tcW w:w="628" w:type="dxa"/>
            <w:tcBorders>
              <w:top w:val="nil"/>
              <w:left w:val="nil"/>
              <w:bottom w:val="single" w:sz="4" w:space="0" w:color="auto"/>
              <w:right w:val="single" w:sz="4" w:space="0" w:color="auto"/>
            </w:tcBorders>
            <w:shd w:val="clear" w:color="000000" w:fill="DDEBF7"/>
            <w:noWrap/>
            <w:vAlign w:val="bottom"/>
            <w:hideMark/>
          </w:tcPr>
          <w:p w14:paraId="7DB1938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60.7</w:t>
            </w:r>
          </w:p>
        </w:tc>
      </w:tr>
      <w:tr w:rsidR="00B56301" w:rsidRPr="00364545" w14:paraId="278067FE"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720C3C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Electricity Production</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F03E8F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34.4</w:t>
            </w:r>
          </w:p>
        </w:tc>
        <w:tc>
          <w:tcPr>
            <w:tcW w:w="628" w:type="dxa"/>
            <w:tcBorders>
              <w:top w:val="nil"/>
              <w:left w:val="nil"/>
              <w:bottom w:val="single" w:sz="4" w:space="0" w:color="auto"/>
              <w:right w:val="single" w:sz="4" w:space="0" w:color="auto"/>
            </w:tcBorders>
            <w:shd w:val="clear" w:color="auto" w:fill="auto"/>
            <w:noWrap/>
            <w:vAlign w:val="center"/>
            <w:hideMark/>
          </w:tcPr>
          <w:p w14:paraId="540CF14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34.8</w:t>
            </w:r>
          </w:p>
        </w:tc>
        <w:tc>
          <w:tcPr>
            <w:tcW w:w="628" w:type="dxa"/>
            <w:tcBorders>
              <w:top w:val="nil"/>
              <w:left w:val="nil"/>
              <w:bottom w:val="single" w:sz="4" w:space="0" w:color="auto"/>
              <w:right w:val="single" w:sz="4" w:space="0" w:color="auto"/>
            </w:tcBorders>
            <w:shd w:val="clear" w:color="auto" w:fill="auto"/>
            <w:noWrap/>
            <w:vAlign w:val="center"/>
            <w:hideMark/>
          </w:tcPr>
          <w:p w14:paraId="0F90BE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33.8</w:t>
            </w:r>
          </w:p>
        </w:tc>
        <w:tc>
          <w:tcPr>
            <w:tcW w:w="628" w:type="dxa"/>
            <w:tcBorders>
              <w:top w:val="nil"/>
              <w:left w:val="nil"/>
              <w:bottom w:val="single" w:sz="4" w:space="0" w:color="auto"/>
              <w:right w:val="single" w:sz="4" w:space="0" w:color="auto"/>
            </w:tcBorders>
            <w:shd w:val="clear" w:color="auto" w:fill="auto"/>
            <w:noWrap/>
            <w:vAlign w:val="center"/>
            <w:hideMark/>
          </w:tcPr>
          <w:p w14:paraId="3ED7FEB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33.3</w:t>
            </w:r>
          </w:p>
        </w:tc>
        <w:tc>
          <w:tcPr>
            <w:tcW w:w="628" w:type="dxa"/>
            <w:tcBorders>
              <w:top w:val="nil"/>
              <w:left w:val="nil"/>
              <w:bottom w:val="single" w:sz="4" w:space="0" w:color="auto"/>
              <w:right w:val="single" w:sz="4" w:space="0" w:color="auto"/>
            </w:tcBorders>
            <w:shd w:val="clear" w:color="auto" w:fill="auto"/>
            <w:noWrap/>
            <w:vAlign w:val="center"/>
            <w:hideMark/>
          </w:tcPr>
          <w:p w14:paraId="7F52C3C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34.5</w:t>
            </w:r>
          </w:p>
        </w:tc>
        <w:tc>
          <w:tcPr>
            <w:tcW w:w="628" w:type="dxa"/>
            <w:tcBorders>
              <w:top w:val="nil"/>
              <w:left w:val="nil"/>
              <w:bottom w:val="single" w:sz="4" w:space="0" w:color="auto"/>
              <w:right w:val="single" w:sz="4" w:space="0" w:color="auto"/>
            </w:tcBorders>
            <w:shd w:val="clear" w:color="auto" w:fill="auto"/>
            <w:noWrap/>
            <w:vAlign w:val="center"/>
            <w:hideMark/>
          </w:tcPr>
          <w:p w14:paraId="252ED18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27.7</w:t>
            </w:r>
          </w:p>
        </w:tc>
        <w:tc>
          <w:tcPr>
            <w:tcW w:w="628" w:type="dxa"/>
            <w:tcBorders>
              <w:top w:val="nil"/>
              <w:left w:val="nil"/>
              <w:bottom w:val="single" w:sz="4" w:space="0" w:color="auto"/>
              <w:right w:val="single" w:sz="4" w:space="0" w:color="auto"/>
            </w:tcBorders>
            <w:shd w:val="clear" w:color="auto" w:fill="auto"/>
            <w:noWrap/>
            <w:vAlign w:val="center"/>
            <w:hideMark/>
          </w:tcPr>
          <w:p w14:paraId="10295FF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30.5</w:t>
            </w:r>
          </w:p>
        </w:tc>
        <w:tc>
          <w:tcPr>
            <w:tcW w:w="628" w:type="dxa"/>
            <w:tcBorders>
              <w:top w:val="nil"/>
              <w:left w:val="nil"/>
              <w:bottom w:val="single" w:sz="4" w:space="0" w:color="auto"/>
              <w:right w:val="single" w:sz="4" w:space="0" w:color="auto"/>
            </w:tcBorders>
            <w:shd w:val="clear" w:color="auto" w:fill="auto"/>
            <w:noWrap/>
            <w:vAlign w:val="center"/>
            <w:hideMark/>
          </w:tcPr>
          <w:p w14:paraId="1E546A5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30.7</w:t>
            </w:r>
          </w:p>
        </w:tc>
      </w:tr>
      <w:tr w:rsidR="00B56301" w:rsidRPr="00364545" w14:paraId="57B5DDE6"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042253B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District Heating</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3F16DA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6.9</w:t>
            </w:r>
          </w:p>
        </w:tc>
        <w:tc>
          <w:tcPr>
            <w:tcW w:w="628" w:type="dxa"/>
            <w:tcBorders>
              <w:top w:val="nil"/>
              <w:left w:val="nil"/>
              <w:bottom w:val="single" w:sz="4" w:space="0" w:color="auto"/>
              <w:right w:val="single" w:sz="4" w:space="0" w:color="auto"/>
            </w:tcBorders>
            <w:shd w:val="clear" w:color="auto" w:fill="auto"/>
            <w:noWrap/>
            <w:vAlign w:val="center"/>
            <w:hideMark/>
          </w:tcPr>
          <w:p w14:paraId="5008EDB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6.5</w:t>
            </w:r>
          </w:p>
        </w:tc>
        <w:tc>
          <w:tcPr>
            <w:tcW w:w="628" w:type="dxa"/>
            <w:tcBorders>
              <w:top w:val="nil"/>
              <w:left w:val="nil"/>
              <w:bottom w:val="single" w:sz="4" w:space="0" w:color="auto"/>
              <w:right w:val="single" w:sz="4" w:space="0" w:color="auto"/>
            </w:tcBorders>
            <w:shd w:val="clear" w:color="auto" w:fill="auto"/>
            <w:noWrap/>
            <w:vAlign w:val="center"/>
            <w:hideMark/>
          </w:tcPr>
          <w:p w14:paraId="0194995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3CCA7A5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3EC515A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6.5</w:t>
            </w:r>
          </w:p>
        </w:tc>
        <w:tc>
          <w:tcPr>
            <w:tcW w:w="628" w:type="dxa"/>
            <w:tcBorders>
              <w:top w:val="nil"/>
              <w:left w:val="nil"/>
              <w:bottom w:val="single" w:sz="4" w:space="0" w:color="auto"/>
              <w:right w:val="single" w:sz="4" w:space="0" w:color="auto"/>
            </w:tcBorders>
            <w:shd w:val="clear" w:color="auto" w:fill="auto"/>
            <w:noWrap/>
            <w:vAlign w:val="center"/>
            <w:hideMark/>
          </w:tcPr>
          <w:p w14:paraId="29DBB09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8.1</w:t>
            </w:r>
          </w:p>
        </w:tc>
        <w:tc>
          <w:tcPr>
            <w:tcW w:w="628" w:type="dxa"/>
            <w:tcBorders>
              <w:top w:val="nil"/>
              <w:left w:val="nil"/>
              <w:bottom w:val="single" w:sz="4" w:space="0" w:color="auto"/>
              <w:right w:val="single" w:sz="4" w:space="0" w:color="auto"/>
            </w:tcBorders>
            <w:shd w:val="clear" w:color="auto" w:fill="auto"/>
            <w:noWrap/>
            <w:vAlign w:val="center"/>
            <w:hideMark/>
          </w:tcPr>
          <w:p w14:paraId="6C13127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9.5</w:t>
            </w:r>
          </w:p>
        </w:tc>
        <w:tc>
          <w:tcPr>
            <w:tcW w:w="628" w:type="dxa"/>
            <w:tcBorders>
              <w:top w:val="nil"/>
              <w:left w:val="nil"/>
              <w:bottom w:val="single" w:sz="4" w:space="0" w:color="auto"/>
              <w:right w:val="single" w:sz="4" w:space="0" w:color="auto"/>
            </w:tcBorders>
            <w:shd w:val="clear" w:color="auto" w:fill="auto"/>
            <w:noWrap/>
            <w:vAlign w:val="center"/>
            <w:hideMark/>
          </w:tcPr>
          <w:p w14:paraId="32B7FEC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7.8</w:t>
            </w:r>
          </w:p>
        </w:tc>
      </w:tr>
      <w:tr w:rsidR="00B56301" w:rsidRPr="00364545" w14:paraId="1A1ED5B2"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770EB6F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Oil Refining</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A8D151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17.4</w:t>
            </w:r>
          </w:p>
        </w:tc>
        <w:tc>
          <w:tcPr>
            <w:tcW w:w="628" w:type="dxa"/>
            <w:tcBorders>
              <w:top w:val="nil"/>
              <w:left w:val="nil"/>
              <w:bottom w:val="single" w:sz="4" w:space="0" w:color="auto"/>
              <w:right w:val="single" w:sz="4" w:space="0" w:color="auto"/>
            </w:tcBorders>
            <w:shd w:val="clear" w:color="auto" w:fill="auto"/>
            <w:noWrap/>
            <w:vAlign w:val="center"/>
            <w:hideMark/>
          </w:tcPr>
          <w:p w14:paraId="616EEF9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17.5</w:t>
            </w:r>
          </w:p>
        </w:tc>
        <w:tc>
          <w:tcPr>
            <w:tcW w:w="628" w:type="dxa"/>
            <w:tcBorders>
              <w:top w:val="nil"/>
              <w:left w:val="nil"/>
              <w:bottom w:val="single" w:sz="4" w:space="0" w:color="auto"/>
              <w:right w:val="single" w:sz="4" w:space="0" w:color="auto"/>
            </w:tcBorders>
            <w:shd w:val="clear" w:color="auto" w:fill="auto"/>
            <w:noWrap/>
            <w:vAlign w:val="center"/>
            <w:hideMark/>
          </w:tcPr>
          <w:p w14:paraId="77EA64B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17.6</w:t>
            </w:r>
          </w:p>
        </w:tc>
        <w:tc>
          <w:tcPr>
            <w:tcW w:w="628" w:type="dxa"/>
            <w:tcBorders>
              <w:top w:val="nil"/>
              <w:left w:val="nil"/>
              <w:bottom w:val="single" w:sz="4" w:space="0" w:color="auto"/>
              <w:right w:val="single" w:sz="4" w:space="0" w:color="auto"/>
            </w:tcBorders>
            <w:shd w:val="clear" w:color="auto" w:fill="auto"/>
            <w:noWrap/>
            <w:vAlign w:val="center"/>
            <w:hideMark/>
          </w:tcPr>
          <w:p w14:paraId="7625EFA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16.6</w:t>
            </w:r>
          </w:p>
        </w:tc>
        <w:tc>
          <w:tcPr>
            <w:tcW w:w="628" w:type="dxa"/>
            <w:tcBorders>
              <w:top w:val="nil"/>
              <w:left w:val="nil"/>
              <w:bottom w:val="single" w:sz="4" w:space="0" w:color="auto"/>
              <w:right w:val="single" w:sz="4" w:space="0" w:color="auto"/>
            </w:tcBorders>
            <w:shd w:val="clear" w:color="auto" w:fill="auto"/>
            <w:noWrap/>
            <w:vAlign w:val="center"/>
            <w:hideMark/>
          </w:tcPr>
          <w:p w14:paraId="2866F42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14.8</w:t>
            </w:r>
          </w:p>
        </w:tc>
        <w:tc>
          <w:tcPr>
            <w:tcW w:w="628" w:type="dxa"/>
            <w:tcBorders>
              <w:top w:val="nil"/>
              <w:left w:val="nil"/>
              <w:bottom w:val="single" w:sz="4" w:space="0" w:color="auto"/>
              <w:right w:val="single" w:sz="4" w:space="0" w:color="auto"/>
            </w:tcBorders>
            <w:shd w:val="clear" w:color="auto" w:fill="auto"/>
            <w:noWrap/>
            <w:vAlign w:val="center"/>
            <w:hideMark/>
          </w:tcPr>
          <w:p w14:paraId="10B0DE4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14.3</w:t>
            </w:r>
          </w:p>
        </w:tc>
        <w:tc>
          <w:tcPr>
            <w:tcW w:w="628" w:type="dxa"/>
            <w:tcBorders>
              <w:top w:val="nil"/>
              <w:left w:val="nil"/>
              <w:bottom w:val="single" w:sz="4" w:space="0" w:color="auto"/>
              <w:right w:val="single" w:sz="4" w:space="0" w:color="auto"/>
            </w:tcBorders>
            <w:shd w:val="clear" w:color="auto" w:fill="auto"/>
            <w:noWrap/>
            <w:vAlign w:val="center"/>
            <w:hideMark/>
          </w:tcPr>
          <w:p w14:paraId="6C4BEB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11.7</w:t>
            </w:r>
          </w:p>
        </w:tc>
        <w:tc>
          <w:tcPr>
            <w:tcW w:w="628" w:type="dxa"/>
            <w:tcBorders>
              <w:top w:val="nil"/>
              <w:left w:val="nil"/>
              <w:bottom w:val="single" w:sz="4" w:space="0" w:color="auto"/>
              <w:right w:val="single" w:sz="4" w:space="0" w:color="auto"/>
            </w:tcBorders>
            <w:shd w:val="clear" w:color="auto" w:fill="auto"/>
            <w:noWrap/>
            <w:vAlign w:val="center"/>
            <w:hideMark/>
          </w:tcPr>
          <w:p w14:paraId="3785912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10.9</w:t>
            </w:r>
          </w:p>
        </w:tc>
      </w:tr>
      <w:tr w:rsidR="00B56301" w:rsidRPr="00364545" w14:paraId="4C2DE289"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2BF8D48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Conversion of Solid Combustible Minerals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3FED24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61D4E7D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w:t>
            </w:r>
          </w:p>
        </w:tc>
        <w:tc>
          <w:tcPr>
            <w:tcW w:w="628" w:type="dxa"/>
            <w:tcBorders>
              <w:top w:val="nil"/>
              <w:left w:val="nil"/>
              <w:bottom w:val="single" w:sz="4" w:space="0" w:color="auto"/>
              <w:right w:val="single" w:sz="4" w:space="0" w:color="auto"/>
            </w:tcBorders>
            <w:shd w:val="clear" w:color="auto" w:fill="auto"/>
            <w:noWrap/>
            <w:vAlign w:val="center"/>
            <w:hideMark/>
          </w:tcPr>
          <w:p w14:paraId="3FCE45D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7595DA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6A6AE41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21BD8CC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7FCE147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1FF319B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r>
      <w:tr w:rsidR="00B56301" w:rsidRPr="00364545" w14:paraId="2C3F1E83"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7587AF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solids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87102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627A0D5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7F5EB3D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F256AB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097C9A6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0C3CD8E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55A14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3BD317A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03B44BF0"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0C824DF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liquids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DF52C4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41AFB6A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0CFF9E1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45613F6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3ECB66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1C17140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3C6854C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0989BA1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r>
      <w:tr w:rsidR="00B56301" w:rsidRPr="00364545" w14:paraId="6226E618"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6D1F248"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gases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2F48818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0B9F16C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7139A33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4B3837E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46C62DC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w:t>
            </w:r>
          </w:p>
        </w:tc>
        <w:tc>
          <w:tcPr>
            <w:tcW w:w="628" w:type="dxa"/>
            <w:tcBorders>
              <w:top w:val="nil"/>
              <w:left w:val="nil"/>
              <w:bottom w:val="single" w:sz="4" w:space="0" w:color="auto"/>
              <w:right w:val="single" w:sz="4" w:space="0" w:color="auto"/>
            </w:tcBorders>
            <w:shd w:val="clear" w:color="auto" w:fill="auto"/>
            <w:noWrap/>
            <w:vAlign w:val="center"/>
            <w:hideMark/>
          </w:tcPr>
          <w:p w14:paraId="3BD70B5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w:t>
            </w:r>
          </w:p>
        </w:tc>
        <w:tc>
          <w:tcPr>
            <w:tcW w:w="628" w:type="dxa"/>
            <w:tcBorders>
              <w:top w:val="nil"/>
              <w:left w:val="nil"/>
              <w:bottom w:val="single" w:sz="4" w:space="0" w:color="auto"/>
              <w:right w:val="single" w:sz="4" w:space="0" w:color="auto"/>
            </w:tcBorders>
            <w:shd w:val="clear" w:color="auto" w:fill="auto"/>
            <w:noWrap/>
            <w:vAlign w:val="center"/>
            <w:hideMark/>
          </w:tcPr>
          <w:p w14:paraId="43DB50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w:t>
            </w:r>
          </w:p>
        </w:tc>
        <w:tc>
          <w:tcPr>
            <w:tcW w:w="628" w:type="dxa"/>
            <w:tcBorders>
              <w:top w:val="nil"/>
              <w:left w:val="nil"/>
              <w:bottom w:val="single" w:sz="4" w:space="0" w:color="auto"/>
              <w:right w:val="single" w:sz="4" w:space="0" w:color="auto"/>
            </w:tcBorders>
            <w:shd w:val="clear" w:color="auto" w:fill="auto"/>
            <w:noWrap/>
            <w:vAlign w:val="center"/>
            <w:hideMark/>
          </w:tcPr>
          <w:p w14:paraId="4FA4037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w:t>
            </w:r>
          </w:p>
        </w:tc>
      </w:tr>
      <w:tr w:rsidR="00B56301" w:rsidRPr="00364545" w14:paraId="1E1AC89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0956011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Charcoal making by carbonisation</w:t>
            </w:r>
          </w:p>
        </w:tc>
        <w:tc>
          <w:tcPr>
            <w:tcW w:w="628" w:type="dxa"/>
            <w:tcBorders>
              <w:top w:val="nil"/>
              <w:left w:val="nil"/>
              <w:bottom w:val="single" w:sz="4" w:space="0" w:color="auto"/>
              <w:right w:val="single" w:sz="4" w:space="0" w:color="auto"/>
            </w:tcBorders>
            <w:shd w:val="clear" w:color="auto" w:fill="auto"/>
            <w:noWrap/>
            <w:vAlign w:val="center"/>
            <w:hideMark/>
          </w:tcPr>
          <w:p w14:paraId="43745EB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262756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763E27C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98A300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56151E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18F470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0A4E8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173AF5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633FA6D8"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048D375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Use of waste as an energy source</w:t>
            </w:r>
          </w:p>
        </w:tc>
        <w:tc>
          <w:tcPr>
            <w:tcW w:w="628" w:type="dxa"/>
            <w:tcBorders>
              <w:top w:val="nil"/>
              <w:left w:val="nil"/>
              <w:bottom w:val="single" w:sz="4" w:space="0" w:color="auto"/>
              <w:right w:val="single" w:sz="4" w:space="0" w:color="auto"/>
            </w:tcBorders>
            <w:shd w:val="clear" w:color="auto" w:fill="auto"/>
            <w:noWrap/>
            <w:vAlign w:val="center"/>
            <w:hideMark/>
          </w:tcPr>
          <w:p w14:paraId="38910E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5.0</w:t>
            </w:r>
          </w:p>
        </w:tc>
        <w:tc>
          <w:tcPr>
            <w:tcW w:w="628" w:type="dxa"/>
            <w:tcBorders>
              <w:top w:val="nil"/>
              <w:left w:val="nil"/>
              <w:bottom w:val="single" w:sz="4" w:space="0" w:color="auto"/>
              <w:right w:val="single" w:sz="4" w:space="0" w:color="auto"/>
            </w:tcBorders>
            <w:shd w:val="clear" w:color="auto" w:fill="auto"/>
            <w:noWrap/>
            <w:vAlign w:val="center"/>
            <w:hideMark/>
          </w:tcPr>
          <w:p w14:paraId="2FE7FA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7170EC2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1421C60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6EB5E2D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5.6</w:t>
            </w:r>
          </w:p>
        </w:tc>
        <w:tc>
          <w:tcPr>
            <w:tcW w:w="628" w:type="dxa"/>
            <w:tcBorders>
              <w:top w:val="nil"/>
              <w:left w:val="nil"/>
              <w:bottom w:val="single" w:sz="4" w:space="0" w:color="auto"/>
              <w:right w:val="single" w:sz="4" w:space="0" w:color="auto"/>
            </w:tcBorders>
            <w:shd w:val="clear" w:color="auto" w:fill="auto"/>
            <w:noWrap/>
            <w:vAlign w:val="center"/>
            <w:hideMark/>
          </w:tcPr>
          <w:p w14:paraId="52CB263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568618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7165A38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6.3</w:t>
            </w:r>
          </w:p>
        </w:tc>
      </w:tr>
      <w:tr w:rsidR="00B56301" w:rsidRPr="00364545" w14:paraId="0FA7D587" w14:textId="77777777" w:rsidTr="00B37B65">
        <w:trPr>
          <w:trHeight w:val="68"/>
          <w:jc w:val="center"/>
        </w:trPr>
        <w:tc>
          <w:tcPr>
            <w:tcW w:w="5680" w:type="dxa"/>
            <w:tcBorders>
              <w:top w:val="nil"/>
              <w:left w:val="nil"/>
              <w:bottom w:val="nil"/>
              <w:right w:val="nil"/>
            </w:tcBorders>
            <w:shd w:val="clear" w:color="000000" w:fill="0070C0"/>
            <w:noWrap/>
            <w:vAlign w:val="bottom"/>
            <w:hideMark/>
          </w:tcPr>
          <w:p w14:paraId="1BF091D9"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Manufacturing and construction</w:t>
            </w:r>
          </w:p>
        </w:tc>
        <w:tc>
          <w:tcPr>
            <w:tcW w:w="628" w:type="dxa"/>
            <w:tcBorders>
              <w:top w:val="nil"/>
              <w:left w:val="single" w:sz="4" w:space="0" w:color="auto"/>
              <w:bottom w:val="single" w:sz="4" w:space="0" w:color="auto"/>
              <w:right w:val="single" w:sz="4" w:space="0" w:color="auto"/>
            </w:tcBorders>
            <w:shd w:val="clear" w:color="000000" w:fill="0070C0"/>
            <w:noWrap/>
            <w:vAlign w:val="bottom"/>
            <w:hideMark/>
          </w:tcPr>
          <w:p w14:paraId="77180274"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118.1</w:t>
            </w:r>
          </w:p>
        </w:tc>
        <w:tc>
          <w:tcPr>
            <w:tcW w:w="628" w:type="dxa"/>
            <w:tcBorders>
              <w:top w:val="nil"/>
              <w:left w:val="nil"/>
              <w:bottom w:val="single" w:sz="4" w:space="0" w:color="auto"/>
              <w:right w:val="single" w:sz="4" w:space="0" w:color="auto"/>
            </w:tcBorders>
            <w:shd w:val="clear" w:color="000000" w:fill="0070C0"/>
            <w:noWrap/>
            <w:vAlign w:val="bottom"/>
            <w:hideMark/>
          </w:tcPr>
          <w:p w14:paraId="6F230710"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116.9</w:t>
            </w:r>
          </w:p>
        </w:tc>
        <w:tc>
          <w:tcPr>
            <w:tcW w:w="628" w:type="dxa"/>
            <w:tcBorders>
              <w:top w:val="nil"/>
              <w:left w:val="nil"/>
              <w:bottom w:val="single" w:sz="4" w:space="0" w:color="auto"/>
              <w:right w:val="single" w:sz="4" w:space="0" w:color="auto"/>
            </w:tcBorders>
            <w:shd w:val="clear" w:color="000000" w:fill="0070C0"/>
            <w:noWrap/>
            <w:vAlign w:val="bottom"/>
            <w:hideMark/>
          </w:tcPr>
          <w:p w14:paraId="2DD2D272"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109.6</w:t>
            </w:r>
          </w:p>
        </w:tc>
        <w:tc>
          <w:tcPr>
            <w:tcW w:w="628" w:type="dxa"/>
            <w:tcBorders>
              <w:top w:val="nil"/>
              <w:left w:val="nil"/>
              <w:bottom w:val="single" w:sz="4" w:space="0" w:color="auto"/>
              <w:right w:val="single" w:sz="4" w:space="0" w:color="auto"/>
            </w:tcBorders>
            <w:shd w:val="clear" w:color="000000" w:fill="0070C0"/>
            <w:noWrap/>
            <w:vAlign w:val="bottom"/>
            <w:hideMark/>
          </w:tcPr>
          <w:p w14:paraId="0BE02CF8"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90.2</w:t>
            </w:r>
          </w:p>
        </w:tc>
        <w:tc>
          <w:tcPr>
            <w:tcW w:w="628" w:type="dxa"/>
            <w:tcBorders>
              <w:top w:val="nil"/>
              <w:left w:val="nil"/>
              <w:bottom w:val="single" w:sz="4" w:space="0" w:color="auto"/>
              <w:right w:val="single" w:sz="4" w:space="0" w:color="auto"/>
            </w:tcBorders>
            <w:shd w:val="clear" w:color="000000" w:fill="0070C0"/>
            <w:noWrap/>
            <w:vAlign w:val="bottom"/>
            <w:hideMark/>
          </w:tcPr>
          <w:p w14:paraId="3229D97F"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95.8</w:t>
            </w:r>
          </w:p>
        </w:tc>
        <w:tc>
          <w:tcPr>
            <w:tcW w:w="628" w:type="dxa"/>
            <w:tcBorders>
              <w:top w:val="nil"/>
              <w:left w:val="nil"/>
              <w:bottom w:val="single" w:sz="4" w:space="0" w:color="auto"/>
              <w:right w:val="single" w:sz="4" w:space="0" w:color="auto"/>
            </w:tcBorders>
            <w:shd w:val="clear" w:color="000000" w:fill="0070C0"/>
            <w:noWrap/>
            <w:vAlign w:val="bottom"/>
            <w:hideMark/>
          </w:tcPr>
          <w:p w14:paraId="0A89A7D8"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91.5</w:t>
            </w:r>
          </w:p>
        </w:tc>
        <w:tc>
          <w:tcPr>
            <w:tcW w:w="628" w:type="dxa"/>
            <w:tcBorders>
              <w:top w:val="nil"/>
              <w:left w:val="nil"/>
              <w:bottom w:val="single" w:sz="4" w:space="0" w:color="auto"/>
              <w:right w:val="single" w:sz="4" w:space="0" w:color="auto"/>
            </w:tcBorders>
            <w:shd w:val="clear" w:color="000000" w:fill="0070C0"/>
            <w:noWrap/>
            <w:vAlign w:val="bottom"/>
            <w:hideMark/>
          </w:tcPr>
          <w:p w14:paraId="5DF8C09D"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88.0</w:t>
            </w:r>
          </w:p>
        </w:tc>
        <w:tc>
          <w:tcPr>
            <w:tcW w:w="628" w:type="dxa"/>
            <w:tcBorders>
              <w:top w:val="nil"/>
              <w:left w:val="nil"/>
              <w:bottom w:val="single" w:sz="4" w:space="0" w:color="auto"/>
              <w:right w:val="single" w:sz="4" w:space="0" w:color="auto"/>
            </w:tcBorders>
            <w:shd w:val="clear" w:color="000000" w:fill="0070C0"/>
            <w:noWrap/>
            <w:vAlign w:val="bottom"/>
            <w:hideMark/>
          </w:tcPr>
          <w:p w14:paraId="2B023B40"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89.1</w:t>
            </w:r>
          </w:p>
        </w:tc>
      </w:tr>
      <w:tr w:rsidR="00B56301" w:rsidRPr="00364545" w14:paraId="67735BB2"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B7564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Chemistry</w:t>
            </w:r>
          </w:p>
        </w:tc>
        <w:tc>
          <w:tcPr>
            <w:tcW w:w="628" w:type="dxa"/>
            <w:tcBorders>
              <w:top w:val="nil"/>
              <w:left w:val="nil"/>
              <w:bottom w:val="single" w:sz="4" w:space="0" w:color="auto"/>
              <w:right w:val="single" w:sz="4" w:space="0" w:color="auto"/>
            </w:tcBorders>
            <w:shd w:val="clear" w:color="auto" w:fill="auto"/>
            <w:noWrap/>
            <w:vAlign w:val="center"/>
            <w:hideMark/>
          </w:tcPr>
          <w:p w14:paraId="7875275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32.5</w:t>
            </w:r>
          </w:p>
        </w:tc>
        <w:tc>
          <w:tcPr>
            <w:tcW w:w="628" w:type="dxa"/>
            <w:tcBorders>
              <w:top w:val="nil"/>
              <w:left w:val="nil"/>
              <w:bottom w:val="single" w:sz="4" w:space="0" w:color="auto"/>
              <w:right w:val="single" w:sz="4" w:space="0" w:color="auto"/>
            </w:tcBorders>
            <w:shd w:val="clear" w:color="auto" w:fill="auto"/>
            <w:noWrap/>
            <w:vAlign w:val="center"/>
            <w:hideMark/>
          </w:tcPr>
          <w:p w14:paraId="4173677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32.0</w:t>
            </w:r>
          </w:p>
        </w:tc>
        <w:tc>
          <w:tcPr>
            <w:tcW w:w="628" w:type="dxa"/>
            <w:tcBorders>
              <w:top w:val="nil"/>
              <w:left w:val="nil"/>
              <w:bottom w:val="single" w:sz="4" w:space="0" w:color="auto"/>
              <w:right w:val="single" w:sz="4" w:space="0" w:color="auto"/>
            </w:tcBorders>
            <w:shd w:val="clear" w:color="auto" w:fill="auto"/>
            <w:noWrap/>
            <w:vAlign w:val="center"/>
            <w:hideMark/>
          </w:tcPr>
          <w:p w14:paraId="0354E38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30.4</w:t>
            </w:r>
          </w:p>
        </w:tc>
        <w:tc>
          <w:tcPr>
            <w:tcW w:w="628" w:type="dxa"/>
            <w:tcBorders>
              <w:top w:val="nil"/>
              <w:left w:val="nil"/>
              <w:bottom w:val="single" w:sz="4" w:space="0" w:color="auto"/>
              <w:right w:val="single" w:sz="4" w:space="0" w:color="auto"/>
            </w:tcBorders>
            <w:shd w:val="clear" w:color="auto" w:fill="auto"/>
            <w:noWrap/>
            <w:vAlign w:val="center"/>
            <w:hideMark/>
          </w:tcPr>
          <w:p w14:paraId="6AA9545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27.4</w:t>
            </w:r>
          </w:p>
        </w:tc>
        <w:tc>
          <w:tcPr>
            <w:tcW w:w="628" w:type="dxa"/>
            <w:tcBorders>
              <w:top w:val="nil"/>
              <w:left w:val="nil"/>
              <w:bottom w:val="single" w:sz="4" w:space="0" w:color="auto"/>
              <w:right w:val="single" w:sz="4" w:space="0" w:color="auto"/>
            </w:tcBorders>
            <w:shd w:val="clear" w:color="auto" w:fill="auto"/>
            <w:noWrap/>
            <w:vAlign w:val="center"/>
            <w:hideMark/>
          </w:tcPr>
          <w:p w14:paraId="7D162E9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26.3</w:t>
            </w:r>
          </w:p>
        </w:tc>
        <w:tc>
          <w:tcPr>
            <w:tcW w:w="628" w:type="dxa"/>
            <w:tcBorders>
              <w:top w:val="nil"/>
              <w:left w:val="nil"/>
              <w:bottom w:val="single" w:sz="4" w:space="0" w:color="auto"/>
              <w:right w:val="single" w:sz="4" w:space="0" w:color="auto"/>
            </w:tcBorders>
            <w:shd w:val="clear" w:color="auto" w:fill="auto"/>
            <w:noWrap/>
            <w:vAlign w:val="center"/>
            <w:hideMark/>
          </w:tcPr>
          <w:p w14:paraId="5706D15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24.8</w:t>
            </w:r>
          </w:p>
        </w:tc>
        <w:tc>
          <w:tcPr>
            <w:tcW w:w="628" w:type="dxa"/>
            <w:tcBorders>
              <w:top w:val="nil"/>
              <w:left w:val="nil"/>
              <w:bottom w:val="single" w:sz="4" w:space="0" w:color="auto"/>
              <w:right w:val="single" w:sz="4" w:space="0" w:color="auto"/>
            </w:tcBorders>
            <w:shd w:val="clear" w:color="auto" w:fill="auto"/>
            <w:noWrap/>
            <w:vAlign w:val="center"/>
            <w:hideMark/>
          </w:tcPr>
          <w:p w14:paraId="3B99D92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24.0</w:t>
            </w:r>
          </w:p>
        </w:tc>
        <w:tc>
          <w:tcPr>
            <w:tcW w:w="628" w:type="dxa"/>
            <w:tcBorders>
              <w:top w:val="nil"/>
              <w:left w:val="nil"/>
              <w:bottom w:val="single" w:sz="4" w:space="0" w:color="auto"/>
              <w:right w:val="single" w:sz="4" w:space="0" w:color="auto"/>
            </w:tcBorders>
            <w:shd w:val="clear" w:color="auto" w:fill="auto"/>
            <w:noWrap/>
            <w:vAlign w:val="center"/>
            <w:hideMark/>
          </w:tcPr>
          <w:p w14:paraId="182BE81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23.6</w:t>
            </w:r>
          </w:p>
        </w:tc>
      </w:tr>
      <w:tr w:rsidR="00B56301" w:rsidRPr="00364545" w14:paraId="114B51B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F91B55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23E6F09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6DA7F7B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w:t>
            </w:r>
          </w:p>
        </w:tc>
        <w:tc>
          <w:tcPr>
            <w:tcW w:w="628" w:type="dxa"/>
            <w:tcBorders>
              <w:top w:val="nil"/>
              <w:left w:val="nil"/>
              <w:bottom w:val="single" w:sz="4" w:space="0" w:color="auto"/>
              <w:right w:val="single" w:sz="4" w:space="0" w:color="auto"/>
            </w:tcBorders>
            <w:shd w:val="clear" w:color="auto" w:fill="auto"/>
            <w:noWrap/>
            <w:vAlign w:val="center"/>
            <w:hideMark/>
          </w:tcPr>
          <w:p w14:paraId="5FD6154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32FBCFE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01640C8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7641DD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57D6A4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6072058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w:t>
            </w:r>
          </w:p>
        </w:tc>
      </w:tr>
      <w:tr w:rsidR="00B56301" w:rsidRPr="00364545" w14:paraId="3408DE3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18A46AD"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Transport materials and facilities</w:t>
            </w:r>
          </w:p>
        </w:tc>
        <w:tc>
          <w:tcPr>
            <w:tcW w:w="628" w:type="dxa"/>
            <w:tcBorders>
              <w:top w:val="nil"/>
              <w:left w:val="nil"/>
              <w:bottom w:val="single" w:sz="4" w:space="0" w:color="auto"/>
              <w:right w:val="single" w:sz="4" w:space="0" w:color="auto"/>
            </w:tcBorders>
            <w:shd w:val="clear" w:color="auto" w:fill="auto"/>
            <w:noWrap/>
            <w:vAlign w:val="center"/>
            <w:hideMark/>
          </w:tcPr>
          <w:p w14:paraId="00C61DF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4B791CC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0052863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78F2E1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w:t>
            </w:r>
          </w:p>
        </w:tc>
        <w:tc>
          <w:tcPr>
            <w:tcW w:w="628" w:type="dxa"/>
            <w:tcBorders>
              <w:top w:val="nil"/>
              <w:left w:val="nil"/>
              <w:bottom w:val="single" w:sz="4" w:space="0" w:color="auto"/>
              <w:right w:val="single" w:sz="4" w:space="0" w:color="auto"/>
            </w:tcBorders>
            <w:shd w:val="clear" w:color="auto" w:fill="auto"/>
            <w:noWrap/>
            <w:vAlign w:val="center"/>
            <w:hideMark/>
          </w:tcPr>
          <w:p w14:paraId="18B105C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5A38230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36A474B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5E1DB07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w:t>
            </w:r>
          </w:p>
        </w:tc>
      </w:tr>
      <w:tr w:rsidR="00B56301" w:rsidRPr="00364545" w14:paraId="66C82487"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340C06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Agri-foodstuffs</w:t>
            </w:r>
          </w:p>
        </w:tc>
        <w:tc>
          <w:tcPr>
            <w:tcW w:w="628" w:type="dxa"/>
            <w:tcBorders>
              <w:top w:val="nil"/>
              <w:left w:val="nil"/>
              <w:bottom w:val="single" w:sz="4" w:space="0" w:color="auto"/>
              <w:right w:val="single" w:sz="4" w:space="0" w:color="auto"/>
            </w:tcBorders>
            <w:shd w:val="clear" w:color="auto" w:fill="auto"/>
            <w:noWrap/>
            <w:vAlign w:val="center"/>
            <w:hideMark/>
          </w:tcPr>
          <w:p w14:paraId="7622685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11.4</w:t>
            </w:r>
          </w:p>
        </w:tc>
        <w:tc>
          <w:tcPr>
            <w:tcW w:w="628" w:type="dxa"/>
            <w:tcBorders>
              <w:top w:val="nil"/>
              <w:left w:val="nil"/>
              <w:bottom w:val="single" w:sz="4" w:space="0" w:color="auto"/>
              <w:right w:val="single" w:sz="4" w:space="0" w:color="auto"/>
            </w:tcBorders>
            <w:shd w:val="clear" w:color="auto" w:fill="auto"/>
            <w:noWrap/>
            <w:vAlign w:val="center"/>
            <w:hideMark/>
          </w:tcPr>
          <w:p w14:paraId="2109B68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11.5</w:t>
            </w:r>
          </w:p>
        </w:tc>
        <w:tc>
          <w:tcPr>
            <w:tcW w:w="628" w:type="dxa"/>
            <w:tcBorders>
              <w:top w:val="nil"/>
              <w:left w:val="nil"/>
              <w:bottom w:val="single" w:sz="4" w:space="0" w:color="auto"/>
              <w:right w:val="single" w:sz="4" w:space="0" w:color="auto"/>
            </w:tcBorders>
            <w:shd w:val="clear" w:color="auto" w:fill="auto"/>
            <w:noWrap/>
            <w:vAlign w:val="center"/>
            <w:hideMark/>
          </w:tcPr>
          <w:p w14:paraId="0CAC730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10.8</w:t>
            </w:r>
          </w:p>
        </w:tc>
        <w:tc>
          <w:tcPr>
            <w:tcW w:w="628" w:type="dxa"/>
            <w:tcBorders>
              <w:top w:val="nil"/>
              <w:left w:val="nil"/>
              <w:bottom w:val="single" w:sz="4" w:space="0" w:color="auto"/>
              <w:right w:val="single" w:sz="4" w:space="0" w:color="auto"/>
            </w:tcBorders>
            <w:shd w:val="clear" w:color="auto" w:fill="auto"/>
            <w:noWrap/>
            <w:vAlign w:val="center"/>
            <w:hideMark/>
          </w:tcPr>
          <w:p w14:paraId="4EC56B1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10.0</w:t>
            </w:r>
          </w:p>
        </w:tc>
        <w:tc>
          <w:tcPr>
            <w:tcW w:w="628" w:type="dxa"/>
            <w:tcBorders>
              <w:top w:val="nil"/>
              <w:left w:val="nil"/>
              <w:bottom w:val="single" w:sz="4" w:space="0" w:color="auto"/>
              <w:right w:val="single" w:sz="4" w:space="0" w:color="auto"/>
            </w:tcBorders>
            <w:shd w:val="clear" w:color="auto" w:fill="auto"/>
            <w:noWrap/>
            <w:vAlign w:val="center"/>
            <w:hideMark/>
          </w:tcPr>
          <w:p w14:paraId="06A96CB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2CBCF79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10.6</w:t>
            </w:r>
          </w:p>
        </w:tc>
        <w:tc>
          <w:tcPr>
            <w:tcW w:w="628" w:type="dxa"/>
            <w:tcBorders>
              <w:top w:val="nil"/>
              <w:left w:val="nil"/>
              <w:bottom w:val="single" w:sz="4" w:space="0" w:color="auto"/>
              <w:right w:val="single" w:sz="4" w:space="0" w:color="auto"/>
            </w:tcBorders>
            <w:shd w:val="clear" w:color="auto" w:fill="auto"/>
            <w:noWrap/>
            <w:vAlign w:val="center"/>
            <w:hideMark/>
          </w:tcPr>
          <w:p w14:paraId="6872EB1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10.1</w:t>
            </w:r>
          </w:p>
        </w:tc>
        <w:tc>
          <w:tcPr>
            <w:tcW w:w="628" w:type="dxa"/>
            <w:tcBorders>
              <w:top w:val="nil"/>
              <w:left w:val="nil"/>
              <w:bottom w:val="single" w:sz="4" w:space="0" w:color="auto"/>
              <w:right w:val="single" w:sz="4" w:space="0" w:color="auto"/>
            </w:tcBorders>
            <w:shd w:val="clear" w:color="auto" w:fill="auto"/>
            <w:noWrap/>
            <w:vAlign w:val="center"/>
            <w:hideMark/>
          </w:tcPr>
          <w:p w14:paraId="1BB0C02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10.3</w:t>
            </w:r>
          </w:p>
        </w:tc>
      </w:tr>
      <w:tr w:rsidR="00B56301" w:rsidRPr="00364545" w14:paraId="12DC734F"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72E4E2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Ferrous metal metallurgy</w:t>
            </w:r>
          </w:p>
        </w:tc>
        <w:tc>
          <w:tcPr>
            <w:tcW w:w="628" w:type="dxa"/>
            <w:tcBorders>
              <w:top w:val="nil"/>
              <w:left w:val="nil"/>
              <w:bottom w:val="single" w:sz="4" w:space="0" w:color="auto"/>
              <w:right w:val="single" w:sz="4" w:space="0" w:color="auto"/>
            </w:tcBorders>
            <w:shd w:val="clear" w:color="auto" w:fill="auto"/>
            <w:noWrap/>
            <w:vAlign w:val="center"/>
            <w:hideMark/>
          </w:tcPr>
          <w:p w14:paraId="3677D78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25.6</w:t>
            </w:r>
          </w:p>
        </w:tc>
        <w:tc>
          <w:tcPr>
            <w:tcW w:w="628" w:type="dxa"/>
            <w:tcBorders>
              <w:top w:val="nil"/>
              <w:left w:val="nil"/>
              <w:bottom w:val="single" w:sz="4" w:space="0" w:color="auto"/>
              <w:right w:val="single" w:sz="4" w:space="0" w:color="auto"/>
            </w:tcBorders>
            <w:shd w:val="clear" w:color="auto" w:fill="auto"/>
            <w:noWrap/>
            <w:vAlign w:val="center"/>
            <w:hideMark/>
          </w:tcPr>
          <w:p w14:paraId="2E9313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26.4</w:t>
            </w:r>
          </w:p>
        </w:tc>
        <w:tc>
          <w:tcPr>
            <w:tcW w:w="628" w:type="dxa"/>
            <w:tcBorders>
              <w:top w:val="nil"/>
              <w:left w:val="nil"/>
              <w:bottom w:val="single" w:sz="4" w:space="0" w:color="auto"/>
              <w:right w:val="single" w:sz="4" w:space="0" w:color="auto"/>
            </w:tcBorders>
            <w:shd w:val="clear" w:color="auto" w:fill="auto"/>
            <w:noWrap/>
            <w:vAlign w:val="center"/>
            <w:hideMark/>
          </w:tcPr>
          <w:p w14:paraId="5B724CC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24.0</w:t>
            </w:r>
          </w:p>
        </w:tc>
        <w:tc>
          <w:tcPr>
            <w:tcW w:w="628" w:type="dxa"/>
            <w:tcBorders>
              <w:top w:val="nil"/>
              <w:left w:val="nil"/>
              <w:bottom w:val="single" w:sz="4" w:space="0" w:color="auto"/>
              <w:right w:val="single" w:sz="4" w:space="0" w:color="auto"/>
            </w:tcBorders>
            <w:shd w:val="clear" w:color="auto" w:fill="auto"/>
            <w:noWrap/>
            <w:vAlign w:val="center"/>
            <w:hideMark/>
          </w:tcPr>
          <w:p w14:paraId="4AF8BB9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15.1</w:t>
            </w:r>
          </w:p>
        </w:tc>
        <w:tc>
          <w:tcPr>
            <w:tcW w:w="628" w:type="dxa"/>
            <w:tcBorders>
              <w:top w:val="nil"/>
              <w:left w:val="nil"/>
              <w:bottom w:val="single" w:sz="4" w:space="0" w:color="auto"/>
              <w:right w:val="single" w:sz="4" w:space="0" w:color="auto"/>
            </w:tcBorders>
            <w:shd w:val="clear" w:color="auto" w:fill="auto"/>
            <w:noWrap/>
            <w:vAlign w:val="center"/>
            <w:hideMark/>
          </w:tcPr>
          <w:p w14:paraId="4341AAB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19.2</w:t>
            </w:r>
          </w:p>
        </w:tc>
        <w:tc>
          <w:tcPr>
            <w:tcW w:w="628" w:type="dxa"/>
            <w:tcBorders>
              <w:top w:val="nil"/>
              <w:left w:val="nil"/>
              <w:bottom w:val="single" w:sz="4" w:space="0" w:color="auto"/>
              <w:right w:val="single" w:sz="4" w:space="0" w:color="auto"/>
            </w:tcBorders>
            <w:shd w:val="clear" w:color="auto" w:fill="auto"/>
            <w:noWrap/>
            <w:vAlign w:val="center"/>
            <w:hideMark/>
          </w:tcPr>
          <w:p w14:paraId="493FB31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17.5</w:t>
            </w:r>
          </w:p>
        </w:tc>
        <w:tc>
          <w:tcPr>
            <w:tcW w:w="628" w:type="dxa"/>
            <w:tcBorders>
              <w:top w:val="nil"/>
              <w:left w:val="nil"/>
              <w:bottom w:val="single" w:sz="4" w:space="0" w:color="auto"/>
              <w:right w:val="single" w:sz="4" w:space="0" w:color="auto"/>
            </w:tcBorders>
            <w:shd w:val="clear" w:color="auto" w:fill="auto"/>
            <w:noWrap/>
            <w:vAlign w:val="center"/>
            <w:hideMark/>
          </w:tcPr>
          <w:p w14:paraId="2BC5FCB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16.8</w:t>
            </w:r>
          </w:p>
        </w:tc>
        <w:tc>
          <w:tcPr>
            <w:tcW w:w="628" w:type="dxa"/>
            <w:tcBorders>
              <w:top w:val="nil"/>
              <w:left w:val="nil"/>
              <w:bottom w:val="single" w:sz="4" w:space="0" w:color="auto"/>
              <w:right w:val="single" w:sz="4" w:space="0" w:color="auto"/>
            </w:tcBorders>
            <w:shd w:val="clear" w:color="auto" w:fill="auto"/>
            <w:noWrap/>
            <w:vAlign w:val="center"/>
            <w:hideMark/>
          </w:tcPr>
          <w:p w14:paraId="657D4C1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18.4</w:t>
            </w:r>
          </w:p>
        </w:tc>
      </w:tr>
      <w:tr w:rsidR="00B56301" w:rsidRPr="00364545" w14:paraId="046F9BC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E40619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Ferrous metal metallurgy</w:t>
            </w:r>
          </w:p>
        </w:tc>
        <w:tc>
          <w:tcPr>
            <w:tcW w:w="628" w:type="dxa"/>
            <w:tcBorders>
              <w:top w:val="nil"/>
              <w:left w:val="nil"/>
              <w:bottom w:val="single" w:sz="4" w:space="0" w:color="auto"/>
              <w:right w:val="single" w:sz="4" w:space="0" w:color="auto"/>
            </w:tcBorders>
            <w:shd w:val="clear" w:color="auto" w:fill="auto"/>
            <w:noWrap/>
            <w:vAlign w:val="center"/>
            <w:hideMark/>
          </w:tcPr>
          <w:p w14:paraId="76EC80B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w:t>
            </w:r>
          </w:p>
        </w:tc>
        <w:tc>
          <w:tcPr>
            <w:tcW w:w="628" w:type="dxa"/>
            <w:tcBorders>
              <w:top w:val="nil"/>
              <w:left w:val="nil"/>
              <w:bottom w:val="single" w:sz="4" w:space="0" w:color="auto"/>
              <w:right w:val="single" w:sz="4" w:space="0" w:color="auto"/>
            </w:tcBorders>
            <w:shd w:val="clear" w:color="auto" w:fill="auto"/>
            <w:noWrap/>
            <w:vAlign w:val="center"/>
            <w:hideMark/>
          </w:tcPr>
          <w:p w14:paraId="6A12184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533995E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6337ED3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w:t>
            </w:r>
          </w:p>
        </w:tc>
        <w:tc>
          <w:tcPr>
            <w:tcW w:w="628" w:type="dxa"/>
            <w:tcBorders>
              <w:top w:val="nil"/>
              <w:left w:val="nil"/>
              <w:bottom w:val="single" w:sz="4" w:space="0" w:color="auto"/>
              <w:right w:val="single" w:sz="4" w:space="0" w:color="auto"/>
            </w:tcBorders>
            <w:shd w:val="clear" w:color="auto" w:fill="auto"/>
            <w:noWrap/>
            <w:vAlign w:val="center"/>
            <w:hideMark/>
          </w:tcPr>
          <w:p w14:paraId="7395642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4530E77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002CA74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4C195F7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w:t>
            </w:r>
          </w:p>
        </w:tc>
      </w:tr>
      <w:tr w:rsidR="00B56301" w:rsidRPr="00364545" w14:paraId="5BE9A6F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8B7800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Non-metallic minerals, building materials</w:t>
            </w:r>
          </w:p>
        </w:tc>
        <w:tc>
          <w:tcPr>
            <w:tcW w:w="628" w:type="dxa"/>
            <w:tcBorders>
              <w:top w:val="nil"/>
              <w:left w:val="nil"/>
              <w:bottom w:val="single" w:sz="4" w:space="0" w:color="auto"/>
              <w:right w:val="single" w:sz="4" w:space="0" w:color="auto"/>
            </w:tcBorders>
            <w:shd w:val="clear" w:color="auto" w:fill="auto"/>
            <w:noWrap/>
            <w:vAlign w:val="center"/>
            <w:hideMark/>
          </w:tcPr>
          <w:p w14:paraId="42B74D8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26.3</w:t>
            </w:r>
          </w:p>
        </w:tc>
        <w:tc>
          <w:tcPr>
            <w:tcW w:w="628" w:type="dxa"/>
            <w:tcBorders>
              <w:top w:val="nil"/>
              <w:left w:val="nil"/>
              <w:bottom w:val="single" w:sz="4" w:space="0" w:color="auto"/>
              <w:right w:val="single" w:sz="4" w:space="0" w:color="auto"/>
            </w:tcBorders>
            <w:shd w:val="clear" w:color="auto" w:fill="auto"/>
            <w:noWrap/>
            <w:vAlign w:val="center"/>
            <w:hideMark/>
          </w:tcPr>
          <w:p w14:paraId="0D253A3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26.4</w:t>
            </w:r>
          </w:p>
        </w:tc>
        <w:tc>
          <w:tcPr>
            <w:tcW w:w="628" w:type="dxa"/>
            <w:tcBorders>
              <w:top w:val="nil"/>
              <w:left w:val="nil"/>
              <w:bottom w:val="single" w:sz="4" w:space="0" w:color="auto"/>
              <w:right w:val="single" w:sz="4" w:space="0" w:color="auto"/>
            </w:tcBorders>
            <w:shd w:val="clear" w:color="auto" w:fill="auto"/>
            <w:noWrap/>
            <w:vAlign w:val="center"/>
            <w:hideMark/>
          </w:tcPr>
          <w:p w14:paraId="6836F61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25.1</w:t>
            </w:r>
          </w:p>
        </w:tc>
        <w:tc>
          <w:tcPr>
            <w:tcW w:w="628" w:type="dxa"/>
            <w:tcBorders>
              <w:top w:val="nil"/>
              <w:left w:val="nil"/>
              <w:bottom w:val="single" w:sz="4" w:space="0" w:color="auto"/>
              <w:right w:val="single" w:sz="4" w:space="0" w:color="auto"/>
            </w:tcBorders>
            <w:shd w:val="clear" w:color="auto" w:fill="auto"/>
            <w:noWrap/>
            <w:vAlign w:val="center"/>
            <w:hideMark/>
          </w:tcPr>
          <w:p w14:paraId="1F8CC83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22.0</w:t>
            </w:r>
          </w:p>
        </w:tc>
        <w:tc>
          <w:tcPr>
            <w:tcW w:w="628" w:type="dxa"/>
            <w:tcBorders>
              <w:top w:val="nil"/>
              <w:left w:val="nil"/>
              <w:bottom w:val="single" w:sz="4" w:space="0" w:color="auto"/>
              <w:right w:val="single" w:sz="4" w:space="0" w:color="auto"/>
            </w:tcBorders>
            <w:shd w:val="clear" w:color="auto" w:fill="auto"/>
            <w:noWrap/>
            <w:vAlign w:val="center"/>
            <w:hideMark/>
          </w:tcPr>
          <w:p w14:paraId="76E9043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22.8</w:t>
            </w:r>
          </w:p>
        </w:tc>
        <w:tc>
          <w:tcPr>
            <w:tcW w:w="628" w:type="dxa"/>
            <w:tcBorders>
              <w:top w:val="nil"/>
              <w:left w:val="nil"/>
              <w:bottom w:val="single" w:sz="4" w:space="0" w:color="auto"/>
              <w:right w:val="single" w:sz="4" w:space="0" w:color="auto"/>
            </w:tcBorders>
            <w:shd w:val="clear" w:color="auto" w:fill="auto"/>
            <w:noWrap/>
            <w:vAlign w:val="center"/>
            <w:hideMark/>
          </w:tcPr>
          <w:p w14:paraId="6452F0C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22.6</w:t>
            </w:r>
          </w:p>
        </w:tc>
        <w:tc>
          <w:tcPr>
            <w:tcW w:w="628" w:type="dxa"/>
            <w:tcBorders>
              <w:top w:val="nil"/>
              <w:left w:val="nil"/>
              <w:bottom w:val="single" w:sz="4" w:space="0" w:color="auto"/>
              <w:right w:val="single" w:sz="4" w:space="0" w:color="auto"/>
            </w:tcBorders>
            <w:shd w:val="clear" w:color="auto" w:fill="auto"/>
            <w:noWrap/>
            <w:vAlign w:val="center"/>
            <w:hideMark/>
          </w:tcPr>
          <w:p w14:paraId="5CEC74A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21.3</w:t>
            </w:r>
          </w:p>
        </w:tc>
        <w:tc>
          <w:tcPr>
            <w:tcW w:w="628" w:type="dxa"/>
            <w:tcBorders>
              <w:top w:val="nil"/>
              <w:left w:val="nil"/>
              <w:bottom w:val="single" w:sz="4" w:space="0" w:color="auto"/>
              <w:right w:val="single" w:sz="4" w:space="0" w:color="auto"/>
            </w:tcBorders>
            <w:shd w:val="clear" w:color="auto" w:fill="auto"/>
            <w:noWrap/>
            <w:vAlign w:val="center"/>
            <w:hideMark/>
          </w:tcPr>
          <w:p w14:paraId="76454EB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20.8</w:t>
            </w:r>
          </w:p>
        </w:tc>
      </w:tr>
      <w:tr w:rsidR="00B56301" w:rsidRPr="00364545" w14:paraId="1FDD69E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DB6F52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Paper, Cardboard</w:t>
            </w:r>
          </w:p>
        </w:tc>
        <w:tc>
          <w:tcPr>
            <w:tcW w:w="628" w:type="dxa"/>
            <w:tcBorders>
              <w:top w:val="nil"/>
              <w:left w:val="nil"/>
              <w:bottom w:val="single" w:sz="4" w:space="0" w:color="auto"/>
              <w:right w:val="single" w:sz="4" w:space="0" w:color="auto"/>
            </w:tcBorders>
            <w:shd w:val="clear" w:color="auto" w:fill="auto"/>
            <w:noWrap/>
            <w:vAlign w:val="center"/>
            <w:hideMark/>
          </w:tcPr>
          <w:p w14:paraId="5EE86F9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160E3FE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3BB5B23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4483D90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1128C51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41DF95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w:t>
            </w:r>
          </w:p>
        </w:tc>
        <w:tc>
          <w:tcPr>
            <w:tcW w:w="628" w:type="dxa"/>
            <w:tcBorders>
              <w:top w:val="nil"/>
              <w:left w:val="nil"/>
              <w:bottom w:val="single" w:sz="4" w:space="0" w:color="auto"/>
              <w:right w:val="single" w:sz="4" w:space="0" w:color="auto"/>
            </w:tcBorders>
            <w:shd w:val="clear" w:color="auto" w:fill="auto"/>
            <w:noWrap/>
            <w:vAlign w:val="center"/>
            <w:hideMark/>
          </w:tcPr>
          <w:p w14:paraId="6CF4683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w:t>
            </w:r>
          </w:p>
        </w:tc>
        <w:tc>
          <w:tcPr>
            <w:tcW w:w="628" w:type="dxa"/>
            <w:tcBorders>
              <w:top w:val="nil"/>
              <w:left w:val="nil"/>
              <w:bottom w:val="single" w:sz="4" w:space="0" w:color="auto"/>
              <w:right w:val="single" w:sz="4" w:space="0" w:color="auto"/>
            </w:tcBorders>
            <w:shd w:val="clear" w:color="auto" w:fill="auto"/>
            <w:noWrap/>
            <w:vAlign w:val="center"/>
            <w:hideMark/>
          </w:tcPr>
          <w:p w14:paraId="774EAA0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r>
      <w:tr w:rsidR="00B56301" w:rsidRPr="00364545" w14:paraId="4C263662"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C34353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Manufacturing Industries</w:t>
            </w:r>
          </w:p>
        </w:tc>
        <w:tc>
          <w:tcPr>
            <w:tcW w:w="628" w:type="dxa"/>
            <w:tcBorders>
              <w:top w:val="nil"/>
              <w:left w:val="nil"/>
              <w:bottom w:val="single" w:sz="4" w:space="0" w:color="auto"/>
              <w:right w:val="single" w:sz="4" w:space="0" w:color="auto"/>
            </w:tcBorders>
            <w:shd w:val="clear" w:color="auto" w:fill="auto"/>
            <w:noWrap/>
            <w:vAlign w:val="center"/>
            <w:hideMark/>
          </w:tcPr>
          <w:p w14:paraId="49EA02E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317D364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2B98E32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234FAF2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42FE5BE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w:t>
            </w:r>
          </w:p>
        </w:tc>
        <w:tc>
          <w:tcPr>
            <w:tcW w:w="628" w:type="dxa"/>
            <w:tcBorders>
              <w:top w:val="nil"/>
              <w:left w:val="nil"/>
              <w:bottom w:val="single" w:sz="4" w:space="0" w:color="auto"/>
              <w:right w:val="single" w:sz="4" w:space="0" w:color="auto"/>
            </w:tcBorders>
            <w:shd w:val="clear" w:color="auto" w:fill="auto"/>
            <w:noWrap/>
            <w:vAlign w:val="center"/>
            <w:hideMark/>
          </w:tcPr>
          <w:p w14:paraId="3318A1B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5301639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77567DD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r>
      <w:tr w:rsidR="00B56301" w:rsidRPr="00364545" w14:paraId="166D6711" w14:textId="77777777" w:rsidTr="00B37B65">
        <w:trPr>
          <w:trHeight w:val="68"/>
          <w:jc w:val="center"/>
        </w:trPr>
        <w:tc>
          <w:tcPr>
            <w:tcW w:w="5680" w:type="dxa"/>
            <w:tcBorders>
              <w:top w:val="nil"/>
              <w:left w:val="nil"/>
              <w:bottom w:val="nil"/>
              <w:right w:val="nil"/>
            </w:tcBorders>
            <w:shd w:val="clear" w:color="000000" w:fill="B3A2C7"/>
            <w:noWrap/>
            <w:vAlign w:val="bottom"/>
            <w:hideMark/>
          </w:tcPr>
          <w:p w14:paraId="71013DEB"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Central Waste Processing</w:t>
            </w:r>
          </w:p>
        </w:tc>
        <w:tc>
          <w:tcPr>
            <w:tcW w:w="628" w:type="dxa"/>
            <w:tcBorders>
              <w:top w:val="nil"/>
              <w:left w:val="single" w:sz="4" w:space="0" w:color="auto"/>
              <w:bottom w:val="single" w:sz="4" w:space="0" w:color="auto"/>
              <w:right w:val="single" w:sz="4" w:space="0" w:color="auto"/>
            </w:tcBorders>
            <w:shd w:val="clear" w:color="000000" w:fill="B3A2C7"/>
            <w:noWrap/>
            <w:vAlign w:val="bottom"/>
            <w:hideMark/>
          </w:tcPr>
          <w:p w14:paraId="57B144E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18.7</w:t>
            </w:r>
          </w:p>
        </w:tc>
        <w:tc>
          <w:tcPr>
            <w:tcW w:w="628" w:type="dxa"/>
            <w:tcBorders>
              <w:top w:val="nil"/>
              <w:left w:val="nil"/>
              <w:bottom w:val="single" w:sz="4" w:space="0" w:color="auto"/>
              <w:right w:val="single" w:sz="4" w:space="0" w:color="auto"/>
            </w:tcBorders>
            <w:shd w:val="clear" w:color="000000" w:fill="B3A2C7"/>
            <w:noWrap/>
            <w:vAlign w:val="bottom"/>
            <w:hideMark/>
          </w:tcPr>
          <w:p w14:paraId="46AE08F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18.6</w:t>
            </w:r>
          </w:p>
        </w:tc>
        <w:tc>
          <w:tcPr>
            <w:tcW w:w="628" w:type="dxa"/>
            <w:tcBorders>
              <w:top w:val="nil"/>
              <w:left w:val="nil"/>
              <w:bottom w:val="single" w:sz="4" w:space="0" w:color="auto"/>
              <w:right w:val="single" w:sz="4" w:space="0" w:color="auto"/>
            </w:tcBorders>
            <w:shd w:val="clear" w:color="000000" w:fill="B3A2C7"/>
            <w:noWrap/>
            <w:vAlign w:val="bottom"/>
            <w:hideMark/>
          </w:tcPr>
          <w:p w14:paraId="1D9A056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18.5</w:t>
            </w:r>
          </w:p>
        </w:tc>
        <w:tc>
          <w:tcPr>
            <w:tcW w:w="628" w:type="dxa"/>
            <w:tcBorders>
              <w:top w:val="nil"/>
              <w:left w:val="nil"/>
              <w:bottom w:val="single" w:sz="4" w:space="0" w:color="auto"/>
              <w:right w:val="single" w:sz="4" w:space="0" w:color="auto"/>
            </w:tcBorders>
            <w:shd w:val="clear" w:color="000000" w:fill="B3A2C7"/>
            <w:noWrap/>
            <w:vAlign w:val="bottom"/>
            <w:hideMark/>
          </w:tcPr>
          <w:p w14:paraId="38CD2F6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17.9</w:t>
            </w:r>
          </w:p>
        </w:tc>
        <w:tc>
          <w:tcPr>
            <w:tcW w:w="628" w:type="dxa"/>
            <w:tcBorders>
              <w:top w:val="nil"/>
              <w:left w:val="nil"/>
              <w:bottom w:val="single" w:sz="4" w:space="0" w:color="auto"/>
              <w:right w:val="single" w:sz="4" w:space="0" w:color="auto"/>
            </w:tcBorders>
            <w:shd w:val="clear" w:color="000000" w:fill="B3A2C7"/>
            <w:noWrap/>
            <w:vAlign w:val="bottom"/>
            <w:hideMark/>
          </w:tcPr>
          <w:p w14:paraId="32A17CF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18.0</w:t>
            </w:r>
          </w:p>
        </w:tc>
        <w:tc>
          <w:tcPr>
            <w:tcW w:w="628" w:type="dxa"/>
            <w:tcBorders>
              <w:top w:val="nil"/>
              <w:left w:val="nil"/>
              <w:bottom w:val="single" w:sz="4" w:space="0" w:color="auto"/>
              <w:right w:val="single" w:sz="4" w:space="0" w:color="auto"/>
            </w:tcBorders>
            <w:shd w:val="clear" w:color="000000" w:fill="B3A2C7"/>
            <w:noWrap/>
            <w:vAlign w:val="bottom"/>
            <w:hideMark/>
          </w:tcPr>
          <w:p w14:paraId="78438F5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17.5</w:t>
            </w:r>
          </w:p>
        </w:tc>
        <w:tc>
          <w:tcPr>
            <w:tcW w:w="628" w:type="dxa"/>
            <w:tcBorders>
              <w:top w:val="nil"/>
              <w:left w:val="nil"/>
              <w:bottom w:val="single" w:sz="4" w:space="0" w:color="auto"/>
              <w:right w:val="single" w:sz="4" w:space="0" w:color="auto"/>
            </w:tcBorders>
            <w:shd w:val="clear" w:color="000000" w:fill="B3A2C7"/>
            <w:noWrap/>
            <w:vAlign w:val="bottom"/>
            <w:hideMark/>
          </w:tcPr>
          <w:p w14:paraId="52DF736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16.8</w:t>
            </w:r>
          </w:p>
        </w:tc>
        <w:tc>
          <w:tcPr>
            <w:tcW w:w="628" w:type="dxa"/>
            <w:tcBorders>
              <w:top w:val="nil"/>
              <w:left w:val="nil"/>
              <w:bottom w:val="single" w:sz="4" w:space="0" w:color="auto"/>
              <w:right w:val="single" w:sz="4" w:space="0" w:color="auto"/>
            </w:tcBorders>
            <w:shd w:val="clear" w:color="000000" w:fill="B3A2C7"/>
            <w:noWrap/>
            <w:vAlign w:val="bottom"/>
            <w:hideMark/>
          </w:tcPr>
          <w:p w14:paraId="615BB64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16.7</w:t>
            </w:r>
          </w:p>
        </w:tc>
      </w:tr>
      <w:tr w:rsidR="00B56301" w:rsidRPr="00364545" w14:paraId="5E25DD04"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7E17A86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Waste Storage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CA45E3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16.3</w:t>
            </w:r>
          </w:p>
        </w:tc>
        <w:tc>
          <w:tcPr>
            <w:tcW w:w="628" w:type="dxa"/>
            <w:tcBorders>
              <w:top w:val="nil"/>
              <w:left w:val="nil"/>
              <w:bottom w:val="single" w:sz="4" w:space="0" w:color="auto"/>
              <w:right w:val="single" w:sz="4" w:space="0" w:color="auto"/>
            </w:tcBorders>
            <w:shd w:val="clear" w:color="auto" w:fill="auto"/>
            <w:noWrap/>
            <w:vAlign w:val="bottom"/>
            <w:hideMark/>
          </w:tcPr>
          <w:p w14:paraId="78BF6C4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16.3</w:t>
            </w:r>
          </w:p>
        </w:tc>
        <w:tc>
          <w:tcPr>
            <w:tcW w:w="628" w:type="dxa"/>
            <w:tcBorders>
              <w:top w:val="nil"/>
              <w:left w:val="nil"/>
              <w:bottom w:val="single" w:sz="4" w:space="0" w:color="auto"/>
              <w:right w:val="single" w:sz="4" w:space="0" w:color="auto"/>
            </w:tcBorders>
            <w:shd w:val="clear" w:color="auto" w:fill="auto"/>
            <w:noWrap/>
            <w:vAlign w:val="bottom"/>
            <w:hideMark/>
          </w:tcPr>
          <w:p w14:paraId="62A9A2D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16.3</w:t>
            </w:r>
          </w:p>
        </w:tc>
        <w:tc>
          <w:tcPr>
            <w:tcW w:w="628" w:type="dxa"/>
            <w:tcBorders>
              <w:top w:val="nil"/>
              <w:left w:val="nil"/>
              <w:bottom w:val="single" w:sz="4" w:space="0" w:color="auto"/>
              <w:right w:val="single" w:sz="4" w:space="0" w:color="auto"/>
            </w:tcBorders>
            <w:shd w:val="clear" w:color="auto" w:fill="auto"/>
            <w:noWrap/>
            <w:vAlign w:val="bottom"/>
            <w:hideMark/>
          </w:tcPr>
          <w:p w14:paraId="20D974E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15.6</w:t>
            </w:r>
          </w:p>
        </w:tc>
        <w:tc>
          <w:tcPr>
            <w:tcW w:w="628" w:type="dxa"/>
            <w:tcBorders>
              <w:top w:val="nil"/>
              <w:left w:val="nil"/>
              <w:bottom w:val="single" w:sz="4" w:space="0" w:color="auto"/>
              <w:right w:val="single" w:sz="4" w:space="0" w:color="auto"/>
            </w:tcBorders>
            <w:shd w:val="clear" w:color="auto" w:fill="auto"/>
            <w:noWrap/>
            <w:vAlign w:val="bottom"/>
            <w:hideMark/>
          </w:tcPr>
          <w:p w14:paraId="516708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15.6</w:t>
            </w:r>
          </w:p>
        </w:tc>
        <w:tc>
          <w:tcPr>
            <w:tcW w:w="628" w:type="dxa"/>
            <w:tcBorders>
              <w:top w:val="nil"/>
              <w:left w:val="nil"/>
              <w:bottom w:val="single" w:sz="4" w:space="0" w:color="auto"/>
              <w:right w:val="single" w:sz="4" w:space="0" w:color="auto"/>
            </w:tcBorders>
            <w:shd w:val="clear" w:color="auto" w:fill="auto"/>
            <w:noWrap/>
            <w:vAlign w:val="bottom"/>
            <w:hideMark/>
          </w:tcPr>
          <w:p w14:paraId="78B1980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15.0</w:t>
            </w:r>
          </w:p>
        </w:tc>
        <w:tc>
          <w:tcPr>
            <w:tcW w:w="628" w:type="dxa"/>
            <w:tcBorders>
              <w:top w:val="nil"/>
              <w:left w:val="nil"/>
              <w:bottom w:val="single" w:sz="4" w:space="0" w:color="auto"/>
              <w:right w:val="single" w:sz="4" w:space="0" w:color="auto"/>
            </w:tcBorders>
            <w:shd w:val="clear" w:color="auto" w:fill="auto"/>
            <w:noWrap/>
            <w:vAlign w:val="bottom"/>
            <w:hideMark/>
          </w:tcPr>
          <w:p w14:paraId="502199F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14.3</w:t>
            </w:r>
          </w:p>
        </w:tc>
        <w:tc>
          <w:tcPr>
            <w:tcW w:w="628" w:type="dxa"/>
            <w:tcBorders>
              <w:top w:val="nil"/>
              <w:left w:val="nil"/>
              <w:bottom w:val="single" w:sz="4" w:space="0" w:color="auto"/>
              <w:right w:val="single" w:sz="4" w:space="0" w:color="auto"/>
            </w:tcBorders>
            <w:shd w:val="clear" w:color="auto" w:fill="auto"/>
            <w:noWrap/>
            <w:vAlign w:val="bottom"/>
            <w:hideMark/>
          </w:tcPr>
          <w:p w14:paraId="341D2BC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14.1</w:t>
            </w:r>
          </w:p>
        </w:tc>
      </w:tr>
      <w:tr w:rsidR="00B56301" w:rsidRPr="00364545" w14:paraId="6DFC107B"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D9CCD3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Incineration without Energy Recovery</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379FDB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6A063E0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0C874EE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DEA565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61FE6B4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866FE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223D6D2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2992560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r>
      <w:tr w:rsidR="00B56301" w:rsidRPr="00364545" w14:paraId="63E6FA2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7A111DC4"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Solid Waste Processing</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DAFD55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5D9990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67449E3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4E77BBE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626FEDF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7B09429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2D4DAD7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1803C69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r>
      <w:tr w:rsidR="00B56301" w:rsidRPr="00364545" w14:paraId="2B870AC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2F16AB5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Waste-water Treatment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3B7086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6FCA70A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450553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8E2E33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1332CD6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1EFFCDC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68521F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C747A5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r>
      <w:tr w:rsidR="00B56301" w:rsidRPr="00364545" w14:paraId="4FC61C73" w14:textId="77777777" w:rsidTr="00B37B65">
        <w:trPr>
          <w:trHeight w:val="68"/>
          <w:jc w:val="center"/>
        </w:trPr>
        <w:tc>
          <w:tcPr>
            <w:tcW w:w="5680" w:type="dxa"/>
            <w:tcBorders>
              <w:top w:val="nil"/>
              <w:left w:val="nil"/>
              <w:bottom w:val="nil"/>
              <w:right w:val="nil"/>
            </w:tcBorders>
            <w:shd w:val="clear" w:color="000000" w:fill="E0E5B3"/>
            <w:noWrap/>
            <w:vAlign w:val="bottom"/>
            <w:hideMark/>
          </w:tcPr>
          <w:p w14:paraId="76B4D7E4"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Residential / High-tech Building Use and Activity</w:t>
            </w:r>
          </w:p>
        </w:tc>
        <w:tc>
          <w:tcPr>
            <w:tcW w:w="628" w:type="dxa"/>
            <w:tcBorders>
              <w:top w:val="nil"/>
              <w:left w:val="single" w:sz="4" w:space="0" w:color="auto"/>
              <w:bottom w:val="single" w:sz="4" w:space="0" w:color="auto"/>
              <w:right w:val="single" w:sz="4" w:space="0" w:color="auto"/>
            </w:tcBorders>
            <w:shd w:val="clear" w:color="000000" w:fill="E0E5B3"/>
            <w:noWrap/>
            <w:vAlign w:val="bottom"/>
            <w:hideMark/>
          </w:tcPr>
          <w:p w14:paraId="12CB4C1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101.9</w:t>
            </w:r>
          </w:p>
        </w:tc>
        <w:tc>
          <w:tcPr>
            <w:tcW w:w="628" w:type="dxa"/>
            <w:tcBorders>
              <w:top w:val="nil"/>
              <w:left w:val="nil"/>
              <w:bottom w:val="single" w:sz="4" w:space="0" w:color="auto"/>
              <w:right w:val="single" w:sz="4" w:space="0" w:color="auto"/>
            </w:tcBorders>
            <w:shd w:val="clear" w:color="000000" w:fill="E0E5B3"/>
            <w:noWrap/>
            <w:vAlign w:val="bottom"/>
            <w:hideMark/>
          </w:tcPr>
          <w:p w14:paraId="1C33481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94.6</w:t>
            </w:r>
          </w:p>
        </w:tc>
        <w:tc>
          <w:tcPr>
            <w:tcW w:w="628" w:type="dxa"/>
            <w:tcBorders>
              <w:top w:val="nil"/>
              <w:left w:val="nil"/>
              <w:bottom w:val="single" w:sz="4" w:space="0" w:color="auto"/>
              <w:right w:val="single" w:sz="4" w:space="0" w:color="auto"/>
            </w:tcBorders>
            <w:shd w:val="clear" w:color="000000" w:fill="E0E5B3"/>
            <w:noWrap/>
            <w:vAlign w:val="bottom"/>
            <w:hideMark/>
          </w:tcPr>
          <w:p w14:paraId="7661F24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101.8</w:t>
            </w:r>
          </w:p>
        </w:tc>
        <w:tc>
          <w:tcPr>
            <w:tcW w:w="628" w:type="dxa"/>
            <w:tcBorders>
              <w:top w:val="nil"/>
              <w:left w:val="nil"/>
              <w:bottom w:val="single" w:sz="4" w:space="0" w:color="auto"/>
              <w:right w:val="single" w:sz="4" w:space="0" w:color="auto"/>
            </w:tcBorders>
            <w:shd w:val="clear" w:color="000000" w:fill="E0E5B3"/>
            <w:noWrap/>
            <w:vAlign w:val="bottom"/>
            <w:hideMark/>
          </w:tcPr>
          <w:p w14:paraId="26993A2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103.7</w:t>
            </w:r>
          </w:p>
        </w:tc>
        <w:tc>
          <w:tcPr>
            <w:tcW w:w="628" w:type="dxa"/>
            <w:tcBorders>
              <w:top w:val="nil"/>
              <w:left w:val="nil"/>
              <w:bottom w:val="single" w:sz="4" w:space="0" w:color="auto"/>
              <w:right w:val="single" w:sz="4" w:space="0" w:color="auto"/>
            </w:tcBorders>
            <w:shd w:val="clear" w:color="000000" w:fill="E0E5B3"/>
            <w:noWrap/>
            <w:vAlign w:val="bottom"/>
            <w:hideMark/>
          </w:tcPr>
          <w:p w14:paraId="5F59D83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102.3</w:t>
            </w:r>
          </w:p>
        </w:tc>
        <w:tc>
          <w:tcPr>
            <w:tcW w:w="628" w:type="dxa"/>
            <w:tcBorders>
              <w:top w:val="nil"/>
              <w:left w:val="nil"/>
              <w:bottom w:val="single" w:sz="4" w:space="0" w:color="auto"/>
              <w:right w:val="single" w:sz="4" w:space="0" w:color="auto"/>
            </w:tcBorders>
            <w:shd w:val="clear" w:color="000000" w:fill="E0E5B3"/>
            <w:noWrap/>
            <w:vAlign w:val="bottom"/>
            <w:hideMark/>
          </w:tcPr>
          <w:p w14:paraId="14C7B5B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88.3</w:t>
            </w:r>
          </w:p>
        </w:tc>
        <w:tc>
          <w:tcPr>
            <w:tcW w:w="628" w:type="dxa"/>
            <w:tcBorders>
              <w:top w:val="nil"/>
              <w:left w:val="nil"/>
              <w:bottom w:val="single" w:sz="4" w:space="0" w:color="auto"/>
              <w:right w:val="single" w:sz="4" w:space="0" w:color="auto"/>
            </w:tcBorders>
            <w:shd w:val="clear" w:color="000000" w:fill="E0E5B3"/>
            <w:noWrap/>
            <w:vAlign w:val="bottom"/>
            <w:hideMark/>
          </w:tcPr>
          <w:p w14:paraId="4C92956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94.6</w:t>
            </w:r>
          </w:p>
        </w:tc>
        <w:tc>
          <w:tcPr>
            <w:tcW w:w="628" w:type="dxa"/>
            <w:tcBorders>
              <w:top w:val="nil"/>
              <w:left w:val="nil"/>
              <w:bottom w:val="single" w:sz="4" w:space="0" w:color="auto"/>
              <w:right w:val="single" w:sz="4" w:space="0" w:color="auto"/>
            </w:tcBorders>
            <w:shd w:val="clear" w:color="000000" w:fill="E0E5B3"/>
            <w:noWrap/>
            <w:vAlign w:val="bottom"/>
            <w:hideMark/>
          </w:tcPr>
          <w:p w14:paraId="2E7B6B0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97.1</w:t>
            </w:r>
          </w:p>
        </w:tc>
      </w:tr>
      <w:tr w:rsidR="00B56301" w:rsidRPr="00364545" w14:paraId="500FCB76"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7E3E3BF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Use of Residential Buildings and Domestic Activities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49085C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68.3</w:t>
            </w:r>
          </w:p>
        </w:tc>
        <w:tc>
          <w:tcPr>
            <w:tcW w:w="628" w:type="dxa"/>
            <w:tcBorders>
              <w:top w:val="nil"/>
              <w:left w:val="nil"/>
              <w:bottom w:val="single" w:sz="4" w:space="0" w:color="auto"/>
              <w:right w:val="single" w:sz="4" w:space="0" w:color="auto"/>
            </w:tcBorders>
            <w:shd w:val="clear" w:color="auto" w:fill="auto"/>
            <w:noWrap/>
            <w:vAlign w:val="bottom"/>
            <w:hideMark/>
          </w:tcPr>
          <w:p w14:paraId="2768B23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60.8</w:t>
            </w:r>
          </w:p>
        </w:tc>
        <w:tc>
          <w:tcPr>
            <w:tcW w:w="628" w:type="dxa"/>
            <w:tcBorders>
              <w:top w:val="nil"/>
              <w:left w:val="nil"/>
              <w:bottom w:val="single" w:sz="4" w:space="0" w:color="auto"/>
              <w:right w:val="single" w:sz="4" w:space="0" w:color="auto"/>
            </w:tcBorders>
            <w:shd w:val="clear" w:color="auto" w:fill="auto"/>
            <w:noWrap/>
            <w:vAlign w:val="bottom"/>
            <w:hideMark/>
          </w:tcPr>
          <w:p w14:paraId="7689545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65.9</w:t>
            </w:r>
          </w:p>
        </w:tc>
        <w:tc>
          <w:tcPr>
            <w:tcW w:w="628" w:type="dxa"/>
            <w:tcBorders>
              <w:top w:val="nil"/>
              <w:left w:val="nil"/>
              <w:bottom w:val="single" w:sz="4" w:space="0" w:color="auto"/>
              <w:right w:val="single" w:sz="4" w:space="0" w:color="auto"/>
            </w:tcBorders>
            <w:shd w:val="clear" w:color="auto" w:fill="auto"/>
            <w:noWrap/>
            <w:vAlign w:val="bottom"/>
            <w:hideMark/>
          </w:tcPr>
          <w:p w14:paraId="0D75C3E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65.5</w:t>
            </w:r>
          </w:p>
        </w:tc>
        <w:tc>
          <w:tcPr>
            <w:tcW w:w="628" w:type="dxa"/>
            <w:tcBorders>
              <w:top w:val="nil"/>
              <w:left w:val="nil"/>
              <w:bottom w:val="single" w:sz="4" w:space="0" w:color="auto"/>
              <w:right w:val="single" w:sz="4" w:space="0" w:color="auto"/>
            </w:tcBorders>
            <w:shd w:val="clear" w:color="auto" w:fill="auto"/>
            <w:noWrap/>
            <w:vAlign w:val="bottom"/>
            <w:hideMark/>
          </w:tcPr>
          <w:p w14:paraId="79E9729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63.5</w:t>
            </w:r>
          </w:p>
        </w:tc>
        <w:tc>
          <w:tcPr>
            <w:tcW w:w="628" w:type="dxa"/>
            <w:tcBorders>
              <w:top w:val="nil"/>
              <w:left w:val="nil"/>
              <w:bottom w:val="single" w:sz="4" w:space="0" w:color="auto"/>
              <w:right w:val="single" w:sz="4" w:space="0" w:color="auto"/>
            </w:tcBorders>
            <w:shd w:val="clear" w:color="auto" w:fill="auto"/>
            <w:noWrap/>
            <w:vAlign w:val="bottom"/>
            <w:hideMark/>
          </w:tcPr>
          <w:p w14:paraId="0BDD3C5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56.1</w:t>
            </w:r>
          </w:p>
        </w:tc>
        <w:tc>
          <w:tcPr>
            <w:tcW w:w="628" w:type="dxa"/>
            <w:tcBorders>
              <w:top w:val="nil"/>
              <w:left w:val="nil"/>
              <w:bottom w:val="single" w:sz="4" w:space="0" w:color="auto"/>
              <w:right w:val="single" w:sz="4" w:space="0" w:color="auto"/>
            </w:tcBorders>
            <w:shd w:val="clear" w:color="auto" w:fill="auto"/>
            <w:noWrap/>
            <w:vAlign w:val="bottom"/>
            <w:hideMark/>
          </w:tcPr>
          <w:p w14:paraId="416054E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60.5</w:t>
            </w:r>
          </w:p>
        </w:tc>
        <w:tc>
          <w:tcPr>
            <w:tcW w:w="628" w:type="dxa"/>
            <w:tcBorders>
              <w:top w:val="nil"/>
              <w:left w:val="nil"/>
              <w:bottom w:val="single" w:sz="4" w:space="0" w:color="auto"/>
              <w:right w:val="single" w:sz="4" w:space="0" w:color="auto"/>
            </w:tcBorders>
            <w:shd w:val="clear" w:color="auto" w:fill="auto"/>
            <w:noWrap/>
            <w:vAlign w:val="bottom"/>
            <w:hideMark/>
          </w:tcPr>
          <w:p w14:paraId="27A7165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61.8</w:t>
            </w:r>
          </w:p>
        </w:tc>
      </w:tr>
      <w:tr w:rsidR="00B56301" w:rsidRPr="00364545" w14:paraId="37AAD706"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08FD43E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High-tech Building Use and Activity</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722230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33.6</w:t>
            </w:r>
          </w:p>
        </w:tc>
        <w:tc>
          <w:tcPr>
            <w:tcW w:w="628" w:type="dxa"/>
            <w:tcBorders>
              <w:top w:val="nil"/>
              <w:left w:val="nil"/>
              <w:bottom w:val="single" w:sz="4" w:space="0" w:color="auto"/>
              <w:right w:val="single" w:sz="4" w:space="0" w:color="auto"/>
            </w:tcBorders>
            <w:shd w:val="clear" w:color="auto" w:fill="auto"/>
            <w:noWrap/>
            <w:vAlign w:val="bottom"/>
            <w:hideMark/>
          </w:tcPr>
          <w:p w14:paraId="73A6628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33.9</w:t>
            </w:r>
          </w:p>
        </w:tc>
        <w:tc>
          <w:tcPr>
            <w:tcW w:w="628" w:type="dxa"/>
            <w:tcBorders>
              <w:top w:val="nil"/>
              <w:left w:val="nil"/>
              <w:bottom w:val="single" w:sz="4" w:space="0" w:color="auto"/>
              <w:right w:val="single" w:sz="4" w:space="0" w:color="auto"/>
            </w:tcBorders>
            <w:shd w:val="clear" w:color="auto" w:fill="auto"/>
            <w:noWrap/>
            <w:vAlign w:val="bottom"/>
            <w:hideMark/>
          </w:tcPr>
          <w:p w14:paraId="51200FF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35.9</w:t>
            </w:r>
          </w:p>
        </w:tc>
        <w:tc>
          <w:tcPr>
            <w:tcW w:w="628" w:type="dxa"/>
            <w:tcBorders>
              <w:top w:val="nil"/>
              <w:left w:val="nil"/>
              <w:bottom w:val="single" w:sz="4" w:space="0" w:color="auto"/>
              <w:right w:val="single" w:sz="4" w:space="0" w:color="auto"/>
            </w:tcBorders>
            <w:shd w:val="clear" w:color="auto" w:fill="auto"/>
            <w:noWrap/>
            <w:vAlign w:val="bottom"/>
            <w:hideMark/>
          </w:tcPr>
          <w:p w14:paraId="5610847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38.2</w:t>
            </w:r>
          </w:p>
        </w:tc>
        <w:tc>
          <w:tcPr>
            <w:tcW w:w="628" w:type="dxa"/>
            <w:tcBorders>
              <w:top w:val="nil"/>
              <w:left w:val="nil"/>
              <w:bottom w:val="single" w:sz="4" w:space="0" w:color="auto"/>
              <w:right w:val="single" w:sz="4" w:space="0" w:color="auto"/>
            </w:tcBorders>
            <w:shd w:val="clear" w:color="auto" w:fill="auto"/>
            <w:noWrap/>
            <w:vAlign w:val="bottom"/>
            <w:hideMark/>
          </w:tcPr>
          <w:p w14:paraId="52B6A2F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38.8</w:t>
            </w:r>
          </w:p>
        </w:tc>
        <w:tc>
          <w:tcPr>
            <w:tcW w:w="628" w:type="dxa"/>
            <w:tcBorders>
              <w:top w:val="nil"/>
              <w:left w:val="nil"/>
              <w:bottom w:val="single" w:sz="4" w:space="0" w:color="auto"/>
              <w:right w:val="single" w:sz="4" w:space="0" w:color="auto"/>
            </w:tcBorders>
            <w:shd w:val="clear" w:color="auto" w:fill="auto"/>
            <w:noWrap/>
            <w:vAlign w:val="bottom"/>
            <w:hideMark/>
          </w:tcPr>
          <w:p w14:paraId="4397DB5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32.2</w:t>
            </w:r>
          </w:p>
        </w:tc>
        <w:tc>
          <w:tcPr>
            <w:tcW w:w="628" w:type="dxa"/>
            <w:tcBorders>
              <w:top w:val="nil"/>
              <w:left w:val="nil"/>
              <w:bottom w:val="single" w:sz="4" w:space="0" w:color="auto"/>
              <w:right w:val="single" w:sz="4" w:space="0" w:color="auto"/>
            </w:tcBorders>
            <w:shd w:val="clear" w:color="auto" w:fill="auto"/>
            <w:noWrap/>
            <w:vAlign w:val="bottom"/>
            <w:hideMark/>
          </w:tcPr>
          <w:p w14:paraId="33C6761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34.1</w:t>
            </w:r>
          </w:p>
        </w:tc>
        <w:tc>
          <w:tcPr>
            <w:tcW w:w="628" w:type="dxa"/>
            <w:tcBorders>
              <w:top w:val="nil"/>
              <w:left w:val="nil"/>
              <w:bottom w:val="single" w:sz="4" w:space="0" w:color="auto"/>
              <w:right w:val="single" w:sz="4" w:space="0" w:color="auto"/>
            </w:tcBorders>
            <w:shd w:val="clear" w:color="auto" w:fill="auto"/>
            <w:noWrap/>
            <w:vAlign w:val="bottom"/>
            <w:hideMark/>
          </w:tcPr>
          <w:p w14:paraId="5FAE2AB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35.2</w:t>
            </w:r>
          </w:p>
        </w:tc>
      </w:tr>
      <w:tr w:rsidR="00B56301" w:rsidRPr="00364545" w14:paraId="313C20E8" w14:textId="77777777" w:rsidTr="00B37B65">
        <w:trPr>
          <w:trHeight w:val="68"/>
          <w:jc w:val="center"/>
        </w:trPr>
        <w:tc>
          <w:tcPr>
            <w:tcW w:w="5680" w:type="dxa"/>
            <w:tcBorders>
              <w:top w:val="nil"/>
              <w:left w:val="nil"/>
              <w:bottom w:val="nil"/>
              <w:right w:val="nil"/>
            </w:tcBorders>
            <w:shd w:val="clear" w:color="000000" w:fill="92D050"/>
            <w:noWrap/>
            <w:vAlign w:val="bottom"/>
            <w:hideMark/>
          </w:tcPr>
          <w:p w14:paraId="3007E1C3"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Agriculture</w:t>
            </w:r>
          </w:p>
        </w:tc>
        <w:tc>
          <w:tcPr>
            <w:tcW w:w="628" w:type="dxa"/>
            <w:tcBorders>
              <w:top w:val="nil"/>
              <w:left w:val="single" w:sz="4" w:space="0" w:color="auto"/>
              <w:bottom w:val="single" w:sz="4" w:space="0" w:color="auto"/>
              <w:right w:val="single" w:sz="4" w:space="0" w:color="auto"/>
            </w:tcBorders>
            <w:shd w:val="clear" w:color="000000" w:fill="92D050"/>
            <w:noWrap/>
            <w:vAlign w:val="bottom"/>
            <w:hideMark/>
          </w:tcPr>
          <w:p w14:paraId="396CD4D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87.0</w:t>
            </w:r>
          </w:p>
        </w:tc>
        <w:tc>
          <w:tcPr>
            <w:tcW w:w="628" w:type="dxa"/>
            <w:tcBorders>
              <w:top w:val="nil"/>
              <w:left w:val="nil"/>
              <w:bottom w:val="single" w:sz="4" w:space="0" w:color="auto"/>
              <w:right w:val="single" w:sz="4" w:space="0" w:color="auto"/>
            </w:tcBorders>
            <w:shd w:val="clear" w:color="000000" w:fill="92D050"/>
            <w:noWrap/>
            <w:vAlign w:val="bottom"/>
            <w:hideMark/>
          </w:tcPr>
          <w:p w14:paraId="1F2E6EF6"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87.8</w:t>
            </w:r>
          </w:p>
        </w:tc>
        <w:tc>
          <w:tcPr>
            <w:tcW w:w="628" w:type="dxa"/>
            <w:tcBorders>
              <w:top w:val="nil"/>
              <w:left w:val="nil"/>
              <w:bottom w:val="single" w:sz="4" w:space="0" w:color="auto"/>
              <w:right w:val="single" w:sz="4" w:space="0" w:color="auto"/>
            </w:tcBorders>
            <w:shd w:val="clear" w:color="000000" w:fill="92D050"/>
            <w:noWrap/>
            <w:vAlign w:val="bottom"/>
            <w:hideMark/>
          </w:tcPr>
          <w:p w14:paraId="53639CF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88.9</w:t>
            </w:r>
          </w:p>
        </w:tc>
        <w:tc>
          <w:tcPr>
            <w:tcW w:w="628" w:type="dxa"/>
            <w:tcBorders>
              <w:top w:val="nil"/>
              <w:left w:val="nil"/>
              <w:bottom w:val="single" w:sz="4" w:space="0" w:color="auto"/>
              <w:right w:val="single" w:sz="4" w:space="0" w:color="auto"/>
            </w:tcBorders>
            <w:shd w:val="clear" w:color="000000" w:fill="92D050"/>
            <w:noWrap/>
            <w:vAlign w:val="bottom"/>
            <w:hideMark/>
          </w:tcPr>
          <w:p w14:paraId="2F88D7F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88.1</w:t>
            </w:r>
          </w:p>
        </w:tc>
        <w:tc>
          <w:tcPr>
            <w:tcW w:w="628" w:type="dxa"/>
            <w:tcBorders>
              <w:top w:val="nil"/>
              <w:left w:val="nil"/>
              <w:bottom w:val="single" w:sz="4" w:space="0" w:color="auto"/>
              <w:right w:val="single" w:sz="4" w:space="0" w:color="auto"/>
            </w:tcBorders>
            <w:shd w:val="clear" w:color="000000" w:fill="92D050"/>
            <w:noWrap/>
            <w:vAlign w:val="bottom"/>
            <w:hideMark/>
          </w:tcPr>
          <w:p w14:paraId="2FD2EA37"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86.5</w:t>
            </w:r>
          </w:p>
        </w:tc>
        <w:tc>
          <w:tcPr>
            <w:tcW w:w="628" w:type="dxa"/>
            <w:tcBorders>
              <w:top w:val="nil"/>
              <w:left w:val="nil"/>
              <w:bottom w:val="single" w:sz="4" w:space="0" w:color="auto"/>
              <w:right w:val="single" w:sz="4" w:space="0" w:color="auto"/>
            </w:tcBorders>
            <w:shd w:val="clear" w:color="000000" w:fill="92D050"/>
            <w:noWrap/>
            <w:vAlign w:val="bottom"/>
            <w:hideMark/>
          </w:tcPr>
          <w:p w14:paraId="497009A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85.7</w:t>
            </w:r>
          </w:p>
        </w:tc>
        <w:tc>
          <w:tcPr>
            <w:tcW w:w="628" w:type="dxa"/>
            <w:tcBorders>
              <w:top w:val="nil"/>
              <w:left w:val="nil"/>
              <w:bottom w:val="single" w:sz="4" w:space="0" w:color="auto"/>
              <w:right w:val="single" w:sz="4" w:space="0" w:color="auto"/>
            </w:tcBorders>
            <w:shd w:val="clear" w:color="000000" w:fill="92D050"/>
            <w:noWrap/>
            <w:vAlign w:val="bottom"/>
            <w:hideMark/>
          </w:tcPr>
          <w:p w14:paraId="6A2E7AE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85.0</w:t>
            </w:r>
          </w:p>
        </w:tc>
        <w:tc>
          <w:tcPr>
            <w:tcW w:w="628" w:type="dxa"/>
            <w:tcBorders>
              <w:top w:val="nil"/>
              <w:left w:val="nil"/>
              <w:bottom w:val="single" w:sz="4" w:space="0" w:color="auto"/>
              <w:right w:val="single" w:sz="4" w:space="0" w:color="auto"/>
            </w:tcBorders>
            <w:shd w:val="clear" w:color="000000" w:fill="92D050"/>
            <w:noWrap/>
            <w:vAlign w:val="bottom"/>
            <w:hideMark/>
          </w:tcPr>
          <w:p w14:paraId="142D8460"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85.3</w:t>
            </w:r>
          </w:p>
        </w:tc>
      </w:tr>
      <w:tr w:rsidR="00B56301" w:rsidRPr="00364545" w14:paraId="301AB89A"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72970"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Cultivation</w:t>
            </w:r>
          </w:p>
        </w:tc>
        <w:tc>
          <w:tcPr>
            <w:tcW w:w="628" w:type="dxa"/>
            <w:tcBorders>
              <w:top w:val="nil"/>
              <w:left w:val="nil"/>
              <w:bottom w:val="single" w:sz="4" w:space="0" w:color="auto"/>
              <w:right w:val="single" w:sz="4" w:space="0" w:color="auto"/>
            </w:tcBorders>
            <w:shd w:val="clear" w:color="auto" w:fill="auto"/>
            <w:noWrap/>
            <w:vAlign w:val="bottom"/>
            <w:hideMark/>
          </w:tcPr>
          <w:p w14:paraId="758DA0A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33.7</w:t>
            </w:r>
          </w:p>
        </w:tc>
        <w:tc>
          <w:tcPr>
            <w:tcW w:w="628" w:type="dxa"/>
            <w:tcBorders>
              <w:top w:val="nil"/>
              <w:left w:val="nil"/>
              <w:bottom w:val="single" w:sz="4" w:space="0" w:color="auto"/>
              <w:right w:val="single" w:sz="4" w:space="0" w:color="auto"/>
            </w:tcBorders>
            <w:shd w:val="clear" w:color="auto" w:fill="auto"/>
            <w:noWrap/>
            <w:vAlign w:val="bottom"/>
            <w:hideMark/>
          </w:tcPr>
          <w:p w14:paraId="55580C8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34.3</w:t>
            </w:r>
          </w:p>
        </w:tc>
        <w:tc>
          <w:tcPr>
            <w:tcW w:w="628" w:type="dxa"/>
            <w:tcBorders>
              <w:top w:val="nil"/>
              <w:left w:val="nil"/>
              <w:bottom w:val="single" w:sz="4" w:space="0" w:color="auto"/>
              <w:right w:val="single" w:sz="4" w:space="0" w:color="auto"/>
            </w:tcBorders>
            <w:shd w:val="clear" w:color="auto" w:fill="auto"/>
            <w:noWrap/>
            <w:vAlign w:val="bottom"/>
            <w:hideMark/>
          </w:tcPr>
          <w:p w14:paraId="2DE5F20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34.6</w:t>
            </w:r>
          </w:p>
        </w:tc>
        <w:tc>
          <w:tcPr>
            <w:tcW w:w="628" w:type="dxa"/>
            <w:tcBorders>
              <w:top w:val="nil"/>
              <w:left w:val="nil"/>
              <w:bottom w:val="single" w:sz="4" w:space="0" w:color="auto"/>
              <w:right w:val="single" w:sz="4" w:space="0" w:color="auto"/>
            </w:tcBorders>
            <w:shd w:val="clear" w:color="auto" w:fill="auto"/>
            <w:noWrap/>
            <w:vAlign w:val="bottom"/>
            <w:hideMark/>
          </w:tcPr>
          <w:p w14:paraId="698400D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34.1</w:t>
            </w:r>
          </w:p>
        </w:tc>
        <w:tc>
          <w:tcPr>
            <w:tcW w:w="628" w:type="dxa"/>
            <w:tcBorders>
              <w:top w:val="nil"/>
              <w:left w:val="nil"/>
              <w:bottom w:val="single" w:sz="4" w:space="0" w:color="auto"/>
              <w:right w:val="single" w:sz="4" w:space="0" w:color="auto"/>
            </w:tcBorders>
            <w:shd w:val="clear" w:color="auto" w:fill="auto"/>
            <w:noWrap/>
            <w:vAlign w:val="bottom"/>
            <w:hideMark/>
          </w:tcPr>
          <w:p w14:paraId="082023D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33.4</w:t>
            </w:r>
          </w:p>
        </w:tc>
        <w:tc>
          <w:tcPr>
            <w:tcW w:w="628" w:type="dxa"/>
            <w:tcBorders>
              <w:top w:val="nil"/>
              <w:left w:val="nil"/>
              <w:bottom w:val="single" w:sz="4" w:space="0" w:color="auto"/>
              <w:right w:val="single" w:sz="4" w:space="0" w:color="auto"/>
            </w:tcBorders>
            <w:shd w:val="clear" w:color="auto" w:fill="auto"/>
            <w:noWrap/>
            <w:vAlign w:val="bottom"/>
            <w:hideMark/>
          </w:tcPr>
          <w:p w14:paraId="540B1D9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32.9</w:t>
            </w:r>
          </w:p>
        </w:tc>
        <w:tc>
          <w:tcPr>
            <w:tcW w:w="628" w:type="dxa"/>
            <w:tcBorders>
              <w:top w:val="nil"/>
              <w:left w:val="nil"/>
              <w:bottom w:val="single" w:sz="4" w:space="0" w:color="auto"/>
              <w:right w:val="single" w:sz="4" w:space="0" w:color="auto"/>
            </w:tcBorders>
            <w:shd w:val="clear" w:color="auto" w:fill="auto"/>
            <w:noWrap/>
            <w:vAlign w:val="bottom"/>
            <w:hideMark/>
          </w:tcPr>
          <w:p w14:paraId="497AC55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33.5</w:t>
            </w:r>
          </w:p>
        </w:tc>
        <w:tc>
          <w:tcPr>
            <w:tcW w:w="628" w:type="dxa"/>
            <w:tcBorders>
              <w:top w:val="nil"/>
              <w:left w:val="nil"/>
              <w:bottom w:val="single" w:sz="4" w:space="0" w:color="auto"/>
              <w:right w:val="single" w:sz="4" w:space="0" w:color="auto"/>
            </w:tcBorders>
            <w:shd w:val="clear" w:color="auto" w:fill="auto"/>
            <w:noWrap/>
            <w:vAlign w:val="bottom"/>
            <w:hideMark/>
          </w:tcPr>
          <w:p w14:paraId="05F200F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33.1</w:t>
            </w:r>
          </w:p>
        </w:tc>
      </w:tr>
      <w:tr w:rsidR="00B56301" w:rsidRPr="00364545" w14:paraId="3DD153B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noWrap/>
            <w:vAlign w:val="center"/>
            <w:hideMark/>
          </w:tcPr>
          <w:p w14:paraId="0C28B561"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Livestock Farming</w:t>
            </w:r>
          </w:p>
        </w:tc>
        <w:tc>
          <w:tcPr>
            <w:tcW w:w="628" w:type="dxa"/>
            <w:tcBorders>
              <w:top w:val="nil"/>
              <w:left w:val="nil"/>
              <w:bottom w:val="single" w:sz="4" w:space="0" w:color="auto"/>
              <w:right w:val="single" w:sz="4" w:space="0" w:color="auto"/>
            </w:tcBorders>
            <w:shd w:val="clear" w:color="auto" w:fill="auto"/>
            <w:noWrap/>
            <w:vAlign w:val="bottom"/>
            <w:hideMark/>
          </w:tcPr>
          <w:p w14:paraId="10C2FE0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42.1</w:t>
            </w:r>
          </w:p>
        </w:tc>
        <w:tc>
          <w:tcPr>
            <w:tcW w:w="628" w:type="dxa"/>
            <w:tcBorders>
              <w:top w:val="nil"/>
              <w:left w:val="nil"/>
              <w:bottom w:val="single" w:sz="4" w:space="0" w:color="auto"/>
              <w:right w:val="single" w:sz="4" w:space="0" w:color="auto"/>
            </w:tcBorders>
            <w:shd w:val="clear" w:color="auto" w:fill="auto"/>
            <w:noWrap/>
            <w:vAlign w:val="bottom"/>
            <w:hideMark/>
          </w:tcPr>
          <w:p w14:paraId="2397A6A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42.3</w:t>
            </w:r>
          </w:p>
        </w:tc>
        <w:tc>
          <w:tcPr>
            <w:tcW w:w="628" w:type="dxa"/>
            <w:tcBorders>
              <w:top w:val="nil"/>
              <w:left w:val="nil"/>
              <w:bottom w:val="single" w:sz="4" w:space="0" w:color="auto"/>
              <w:right w:val="single" w:sz="4" w:space="0" w:color="auto"/>
            </w:tcBorders>
            <w:shd w:val="clear" w:color="auto" w:fill="auto"/>
            <w:noWrap/>
            <w:vAlign w:val="bottom"/>
            <w:hideMark/>
          </w:tcPr>
          <w:p w14:paraId="0BE0842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42.8</w:t>
            </w:r>
          </w:p>
        </w:tc>
        <w:tc>
          <w:tcPr>
            <w:tcW w:w="628" w:type="dxa"/>
            <w:tcBorders>
              <w:top w:val="nil"/>
              <w:left w:val="nil"/>
              <w:bottom w:val="single" w:sz="4" w:space="0" w:color="auto"/>
              <w:right w:val="single" w:sz="4" w:space="0" w:color="auto"/>
            </w:tcBorders>
            <w:shd w:val="clear" w:color="auto" w:fill="auto"/>
            <w:noWrap/>
            <w:vAlign w:val="bottom"/>
            <w:hideMark/>
          </w:tcPr>
          <w:p w14:paraId="3F3968F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42.4</w:t>
            </w:r>
          </w:p>
        </w:tc>
        <w:tc>
          <w:tcPr>
            <w:tcW w:w="628" w:type="dxa"/>
            <w:tcBorders>
              <w:top w:val="nil"/>
              <w:left w:val="nil"/>
              <w:bottom w:val="single" w:sz="4" w:space="0" w:color="auto"/>
              <w:right w:val="single" w:sz="4" w:space="0" w:color="auto"/>
            </w:tcBorders>
            <w:shd w:val="clear" w:color="auto" w:fill="auto"/>
            <w:noWrap/>
            <w:vAlign w:val="bottom"/>
            <w:hideMark/>
          </w:tcPr>
          <w:p w14:paraId="187D6F9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42.0</w:t>
            </w:r>
          </w:p>
        </w:tc>
        <w:tc>
          <w:tcPr>
            <w:tcW w:w="628" w:type="dxa"/>
            <w:tcBorders>
              <w:top w:val="nil"/>
              <w:left w:val="nil"/>
              <w:bottom w:val="single" w:sz="4" w:space="0" w:color="auto"/>
              <w:right w:val="single" w:sz="4" w:space="0" w:color="auto"/>
            </w:tcBorders>
            <w:shd w:val="clear" w:color="auto" w:fill="auto"/>
            <w:noWrap/>
            <w:vAlign w:val="bottom"/>
            <w:hideMark/>
          </w:tcPr>
          <w:p w14:paraId="1F2E470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41.8</w:t>
            </w:r>
          </w:p>
        </w:tc>
        <w:tc>
          <w:tcPr>
            <w:tcW w:w="628" w:type="dxa"/>
            <w:tcBorders>
              <w:top w:val="nil"/>
              <w:left w:val="nil"/>
              <w:bottom w:val="single" w:sz="4" w:space="0" w:color="auto"/>
              <w:right w:val="single" w:sz="4" w:space="0" w:color="auto"/>
            </w:tcBorders>
            <w:shd w:val="clear" w:color="auto" w:fill="auto"/>
            <w:noWrap/>
            <w:vAlign w:val="bottom"/>
            <w:hideMark/>
          </w:tcPr>
          <w:p w14:paraId="4D687FB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41.1</w:t>
            </w:r>
          </w:p>
        </w:tc>
        <w:tc>
          <w:tcPr>
            <w:tcW w:w="628" w:type="dxa"/>
            <w:tcBorders>
              <w:top w:val="nil"/>
              <w:left w:val="nil"/>
              <w:bottom w:val="single" w:sz="4" w:space="0" w:color="auto"/>
              <w:right w:val="single" w:sz="4" w:space="0" w:color="auto"/>
            </w:tcBorders>
            <w:shd w:val="clear" w:color="auto" w:fill="auto"/>
            <w:noWrap/>
            <w:vAlign w:val="bottom"/>
            <w:hideMark/>
          </w:tcPr>
          <w:p w14:paraId="3CF92A1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41.0</w:t>
            </w:r>
          </w:p>
        </w:tc>
      </w:tr>
      <w:tr w:rsidR="00B56301" w:rsidRPr="00364545" w14:paraId="46F5D27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228510EF"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Agricultural and Forestry Plant Engines and Boilers</w:t>
            </w:r>
          </w:p>
        </w:tc>
        <w:tc>
          <w:tcPr>
            <w:tcW w:w="628" w:type="dxa"/>
            <w:tcBorders>
              <w:top w:val="nil"/>
              <w:left w:val="nil"/>
              <w:bottom w:val="single" w:sz="4" w:space="0" w:color="auto"/>
              <w:right w:val="single" w:sz="4" w:space="0" w:color="auto"/>
            </w:tcBorders>
            <w:shd w:val="clear" w:color="auto" w:fill="auto"/>
            <w:noWrap/>
            <w:vAlign w:val="center"/>
            <w:hideMark/>
          </w:tcPr>
          <w:p w14:paraId="65E773E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11.3</w:t>
            </w:r>
          </w:p>
        </w:tc>
        <w:tc>
          <w:tcPr>
            <w:tcW w:w="628" w:type="dxa"/>
            <w:tcBorders>
              <w:top w:val="nil"/>
              <w:left w:val="nil"/>
              <w:bottom w:val="single" w:sz="4" w:space="0" w:color="auto"/>
              <w:right w:val="single" w:sz="4" w:space="0" w:color="auto"/>
            </w:tcBorders>
            <w:shd w:val="clear" w:color="auto" w:fill="auto"/>
            <w:noWrap/>
            <w:vAlign w:val="center"/>
            <w:hideMark/>
          </w:tcPr>
          <w:p w14:paraId="7B56E91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503824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11.5</w:t>
            </w:r>
          </w:p>
        </w:tc>
        <w:tc>
          <w:tcPr>
            <w:tcW w:w="628" w:type="dxa"/>
            <w:tcBorders>
              <w:top w:val="nil"/>
              <w:left w:val="nil"/>
              <w:bottom w:val="single" w:sz="4" w:space="0" w:color="auto"/>
              <w:right w:val="single" w:sz="4" w:space="0" w:color="auto"/>
            </w:tcBorders>
            <w:shd w:val="clear" w:color="auto" w:fill="auto"/>
            <w:noWrap/>
            <w:vAlign w:val="center"/>
            <w:hideMark/>
          </w:tcPr>
          <w:p w14:paraId="14D13EC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11.6</w:t>
            </w:r>
          </w:p>
        </w:tc>
        <w:tc>
          <w:tcPr>
            <w:tcW w:w="628" w:type="dxa"/>
            <w:tcBorders>
              <w:top w:val="nil"/>
              <w:left w:val="nil"/>
              <w:bottom w:val="single" w:sz="4" w:space="0" w:color="auto"/>
              <w:right w:val="single" w:sz="4" w:space="0" w:color="auto"/>
            </w:tcBorders>
            <w:shd w:val="clear" w:color="auto" w:fill="auto"/>
            <w:noWrap/>
            <w:vAlign w:val="center"/>
            <w:hideMark/>
          </w:tcPr>
          <w:p w14:paraId="3A61022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11.2</w:t>
            </w:r>
          </w:p>
        </w:tc>
        <w:tc>
          <w:tcPr>
            <w:tcW w:w="628" w:type="dxa"/>
            <w:tcBorders>
              <w:top w:val="nil"/>
              <w:left w:val="nil"/>
              <w:bottom w:val="single" w:sz="4" w:space="0" w:color="auto"/>
              <w:right w:val="single" w:sz="4" w:space="0" w:color="auto"/>
            </w:tcBorders>
            <w:shd w:val="clear" w:color="auto" w:fill="auto"/>
            <w:noWrap/>
            <w:vAlign w:val="center"/>
            <w:hideMark/>
          </w:tcPr>
          <w:p w14:paraId="369C40B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236AE52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10.4</w:t>
            </w:r>
          </w:p>
        </w:tc>
        <w:tc>
          <w:tcPr>
            <w:tcW w:w="628" w:type="dxa"/>
            <w:tcBorders>
              <w:top w:val="nil"/>
              <w:left w:val="nil"/>
              <w:bottom w:val="single" w:sz="4" w:space="0" w:color="auto"/>
              <w:right w:val="single" w:sz="4" w:space="0" w:color="auto"/>
            </w:tcBorders>
            <w:shd w:val="clear" w:color="auto" w:fill="auto"/>
            <w:noWrap/>
            <w:vAlign w:val="center"/>
            <w:hideMark/>
          </w:tcPr>
          <w:p w14:paraId="56E5BFA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11.1</w:t>
            </w:r>
          </w:p>
        </w:tc>
      </w:tr>
      <w:tr w:rsidR="00B56301" w:rsidRPr="00364545" w14:paraId="31DE9242" w14:textId="77777777" w:rsidTr="00B37B65">
        <w:trPr>
          <w:trHeight w:val="68"/>
          <w:jc w:val="center"/>
        </w:trPr>
        <w:tc>
          <w:tcPr>
            <w:tcW w:w="5680" w:type="dxa"/>
            <w:tcBorders>
              <w:top w:val="nil"/>
              <w:left w:val="nil"/>
              <w:bottom w:val="nil"/>
              <w:right w:val="nil"/>
            </w:tcBorders>
            <w:shd w:val="clear" w:color="000000" w:fill="7030A0"/>
            <w:noWrap/>
            <w:vAlign w:val="bottom"/>
            <w:hideMark/>
          </w:tcPr>
          <w:p w14:paraId="5F97070D"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Transport</w:t>
            </w:r>
          </w:p>
        </w:tc>
        <w:tc>
          <w:tcPr>
            <w:tcW w:w="628" w:type="dxa"/>
            <w:tcBorders>
              <w:top w:val="nil"/>
              <w:left w:val="single" w:sz="4" w:space="0" w:color="auto"/>
              <w:bottom w:val="single" w:sz="4" w:space="0" w:color="auto"/>
              <w:right w:val="single" w:sz="4" w:space="0" w:color="auto"/>
            </w:tcBorders>
            <w:shd w:val="clear" w:color="000000" w:fill="7030A0"/>
            <w:noWrap/>
            <w:vAlign w:val="bottom"/>
            <w:hideMark/>
          </w:tcPr>
          <w:p w14:paraId="3FF65AEF"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145.1</w:t>
            </w:r>
          </w:p>
        </w:tc>
        <w:tc>
          <w:tcPr>
            <w:tcW w:w="628" w:type="dxa"/>
            <w:tcBorders>
              <w:top w:val="nil"/>
              <w:left w:val="nil"/>
              <w:bottom w:val="single" w:sz="4" w:space="0" w:color="auto"/>
              <w:right w:val="single" w:sz="4" w:space="0" w:color="auto"/>
            </w:tcBorders>
            <w:shd w:val="clear" w:color="000000" w:fill="7030A0"/>
            <w:noWrap/>
            <w:vAlign w:val="bottom"/>
            <w:hideMark/>
          </w:tcPr>
          <w:p w14:paraId="690B5B2A"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144.1</w:t>
            </w:r>
          </w:p>
        </w:tc>
        <w:tc>
          <w:tcPr>
            <w:tcW w:w="628" w:type="dxa"/>
            <w:tcBorders>
              <w:top w:val="nil"/>
              <w:left w:val="nil"/>
              <w:bottom w:val="single" w:sz="4" w:space="0" w:color="auto"/>
              <w:right w:val="single" w:sz="4" w:space="0" w:color="auto"/>
            </w:tcBorders>
            <w:shd w:val="clear" w:color="000000" w:fill="7030A0"/>
            <w:noWrap/>
            <w:vAlign w:val="bottom"/>
            <w:hideMark/>
          </w:tcPr>
          <w:p w14:paraId="73B53A03"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138.5</w:t>
            </w:r>
          </w:p>
        </w:tc>
        <w:tc>
          <w:tcPr>
            <w:tcW w:w="628" w:type="dxa"/>
            <w:tcBorders>
              <w:top w:val="nil"/>
              <w:left w:val="nil"/>
              <w:bottom w:val="single" w:sz="4" w:space="0" w:color="auto"/>
              <w:right w:val="single" w:sz="4" w:space="0" w:color="auto"/>
            </w:tcBorders>
            <w:shd w:val="clear" w:color="000000" w:fill="7030A0"/>
            <w:noWrap/>
            <w:vAlign w:val="bottom"/>
            <w:hideMark/>
          </w:tcPr>
          <w:p w14:paraId="0A7F8A8A"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136.9</w:t>
            </w:r>
          </w:p>
        </w:tc>
        <w:tc>
          <w:tcPr>
            <w:tcW w:w="628" w:type="dxa"/>
            <w:tcBorders>
              <w:top w:val="nil"/>
              <w:left w:val="nil"/>
              <w:bottom w:val="single" w:sz="4" w:space="0" w:color="auto"/>
              <w:right w:val="single" w:sz="4" w:space="0" w:color="auto"/>
            </w:tcBorders>
            <w:shd w:val="clear" w:color="000000" w:fill="7030A0"/>
            <w:noWrap/>
            <w:vAlign w:val="bottom"/>
            <w:hideMark/>
          </w:tcPr>
          <w:p w14:paraId="59F296F0"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138.0</w:t>
            </w:r>
          </w:p>
        </w:tc>
        <w:tc>
          <w:tcPr>
            <w:tcW w:w="628" w:type="dxa"/>
            <w:tcBorders>
              <w:top w:val="nil"/>
              <w:left w:val="nil"/>
              <w:bottom w:val="single" w:sz="4" w:space="0" w:color="auto"/>
              <w:right w:val="single" w:sz="4" w:space="0" w:color="auto"/>
            </w:tcBorders>
            <w:shd w:val="clear" w:color="000000" w:fill="7030A0"/>
            <w:noWrap/>
            <w:vAlign w:val="bottom"/>
            <w:hideMark/>
          </w:tcPr>
          <w:p w14:paraId="4A9567FA"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139.2</w:t>
            </w:r>
          </w:p>
        </w:tc>
        <w:tc>
          <w:tcPr>
            <w:tcW w:w="628" w:type="dxa"/>
            <w:tcBorders>
              <w:top w:val="nil"/>
              <w:left w:val="nil"/>
              <w:bottom w:val="single" w:sz="4" w:space="0" w:color="auto"/>
              <w:right w:val="single" w:sz="4" w:space="0" w:color="auto"/>
            </w:tcBorders>
            <w:shd w:val="clear" w:color="000000" w:fill="7030A0"/>
            <w:noWrap/>
            <w:vAlign w:val="bottom"/>
            <w:hideMark/>
          </w:tcPr>
          <w:p w14:paraId="60C2C626"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137.6</w:t>
            </w:r>
          </w:p>
        </w:tc>
        <w:tc>
          <w:tcPr>
            <w:tcW w:w="628" w:type="dxa"/>
            <w:tcBorders>
              <w:top w:val="nil"/>
              <w:left w:val="nil"/>
              <w:bottom w:val="single" w:sz="4" w:space="0" w:color="auto"/>
              <w:right w:val="single" w:sz="4" w:space="0" w:color="auto"/>
            </w:tcBorders>
            <w:shd w:val="clear" w:color="000000" w:fill="7030A0"/>
            <w:noWrap/>
            <w:vAlign w:val="bottom"/>
            <w:hideMark/>
          </w:tcPr>
          <w:p w14:paraId="2B3881F6"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136.8</w:t>
            </w:r>
          </w:p>
        </w:tc>
      </w:tr>
      <w:tr w:rsidR="00B56301" w:rsidRPr="00364545" w14:paraId="74FE10F2"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auto" w:fill="auto"/>
            <w:noWrap/>
            <w:vAlign w:val="bottom"/>
            <w:hideMark/>
          </w:tcPr>
          <w:p w14:paraId="429DCA4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Private Vehicles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A664A5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78.2</w:t>
            </w:r>
          </w:p>
        </w:tc>
        <w:tc>
          <w:tcPr>
            <w:tcW w:w="628" w:type="dxa"/>
            <w:tcBorders>
              <w:top w:val="nil"/>
              <w:left w:val="nil"/>
              <w:bottom w:val="single" w:sz="4" w:space="0" w:color="auto"/>
              <w:right w:val="single" w:sz="4" w:space="0" w:color="auto"/>
            </w:tcBorders>
            <w:shd w:val="clear" w:color="auto" w:fill="auto"/>
            <w:noWrap/>
            <w:vAlign w:val="bottom"/>
            <w:hideMark/>
          </w:tcPr>
          <w:p w14:paraId="013E635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77.9</w:t>
            </w:r>
          </w:p>
        </w:tc>
        <w:tc>
          <w:tcPr>
            <w:tcW w:w="628" w:type="dxa"/>
            <w:tcBorders>
              <w:top w:val="nil"/>
              <w:left w:val="nil"/>
              <w:bottom w:val="single" w:sz="4" w:space="0" w:color="auto"/>
              <w:right w:val="single" w:sz="4" w:space="0" w:color="auto"/>
            </w:tcBorders>
            <w:shd w:val="clear" w:color="auto" w:fill="auto"/>
            <w:noWrap/>
            <w:vAlign w:val="bottom"/>
            <w:hideMark/>
          </w:tcPr>
          <w:p w14:paraId="5176C15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75.2</w:t>
            </w:r>
          </w:p>
        </w:tc>
        <w:tc>
          <w:tcPr>
            <w:tcW w:w="628" w:type="dxa"/>
            <w:tcBorders>
              <w:top w:val="nil"/>
              <w:left w:val="nil"/>
              <w:bottom w:val="single" w:sz="4" w:space="0" w:color="auto"/>
              <w:right w:val="single" w:sz="4" w:space="0" w:color="auto"/>
            </w:tcBorders>
            <w:shd w:val="clear" w:color="auto" w:fill="auto"/>
            <w:noWrap/>
            <w:vAlign w:val="bottom"/>
            <w:hideMark/>
          </w:tcPr>
          <w:p w14:paraId="53E54A8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75.3</w:t>
            </w:r>
          </w:p>
        </w:tc>
        <w:tc>
          <w:tcPr>
            <w:tcW w:w="628" w:type="dxa"/>
            <w:tcBorders>
              <w:top w:val="nil"/>
              <w:left w:val="nil"/>
              <w:bottom w:val="single" w:sz="4" w:space="0" w:color="auto"/>
              <w:right w:val="single" w:sz="4" w:space="0" w:color="auto"/>
            </w:tcBorders>
            <w:shd w:val="clear" w:color="auto" w:fill="auto"/>
            <w:noWrap/>
            <w:vAlign w:val="bottom"/>
            <w:hideMark/>
          </w:tcPr>
          <w:p w14:paraId="1E6818D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75.4</w:t>
            </w:r>
          </w:p>
        </w:tc>
        <w:tc>
          <w:tcPr>
            <w:tcW w:w="628" w:type="dxa"/>
            <w:tcBorders>
              <w:top w:val="nil"/>
              <w:left w:val="nil"/>
              <w:bottom w:val="single" w:sz="4" w:space="0" w:color="auto"/>
              <w:right w:val="single" w:sz="4" w:space="0" w:color="auto"/>
            </w:tcBorders>
            <w:shd w:val="clear" w:color="auto" w:fill="auto"/>
            <w:noWrap/>
            <w:vAlign w:val="bottom"/>
            <w:hideMark/>
          </w:tcPr>
          <w:p w14:paraId="1A8EECF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75.1</w:t>
            </w:r>
          </w:p>
        </w:tc>
        <w:tc>
          <w:tcPr>
            <w:tcW w:w="628" w:type="dxa"/>
            <w:tcBorders>
              <w:top w:val="nil"/>
              <w:left w:val="nil"/>
              <w:bottom w:val="single" w:sz="4" w:space="0" w:color="auto"/>
              <w:right w:val="single" w:sz="4" w:space="0" w:color="auto"/>
            </w:tcBorders>
            <w:shd w:val="clear" w:color="auto" w:fill="auto"/>
            <w:noWrap/>
            <w:vAlign w:val="bottom"/>
            <w:hideMark/>
          </w:tcPr>
          <w:p w14:paraId="7825A4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74.7</w:t>
            </w:r>
          </w:p>
        </w:tc>
        <w:tc>
          <w:tcPr>
            <w:tcW w:w="628" w:type="dxa"/>
            <w:tcBorders>
              <w:top w:val="nil"/>
              <w:left w:val="nil"/>
              <w:bottom w:val="single" w:sz="4" w:space="0" w:color="auto"/>
              <w:right w:val="single" w:sz="4" w:space="0" w:color="auto"/>
            </w:tcBorders>
            <w:shd w:val="clear" w:color="auto" w:fill="auto"/>
            <w:noWrap/>
            <w:vAlign w:val="bottom"/>
            <w:hideMark/>
          </w:tcPr>
          <w:p w14:paraId="571C553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74.2</w:t>
            </w:r>
          </w:p>
        </w:tc>
      </w:tr>
      <w:tr w:rsidR="00B56301" w:rsidRPr="00364545" w14:paraId="1543A2F3"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51DCF85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LCVs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52F24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20.8</w:t>
            </w:r>
          </w:p>
        </w:tc>
        <w:tc>
          <w:tcPr>
            <w:tcW w:w="628" w:type="dxa"/>
            <w:tcBorders>
              <w:top w:val="nil"/>
              <w:left w:val="nil"/>
              <w:bottom w:val="single" w:sz="4" w:space="0" w:color="auto"/>
              <w:right w:val="single" w:sz="4" w:space="0" w:color="auto"/>
            </w:tcBorders>
            <w:shd w:val="clear" w:color="auto" w:fill="auto"/>
            <w:noWrap/>
            <w:vAlign w:val="bottom"/>
            <w:hideMark/>
          </w:tcPr>
          <w:p w14:paraId="1C9A08F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20.4</w:t>
            </w:r>
          </w:p>
        </w:tc>
        <w:tc>
          <w:tcPr>
            <w:tcW w:w="628" w:type="dxa"/>
            <w:tcBorders>
              <w:top w:val="nil"/>
              <w:left w:val="nil"/>
              <w:bottom w:val="single" w:sz="4" w:space="0" w:color="auto"/>
              <w:right w:val="single" w:sz="4" w:space="0" w:color="auto"/>
            </w:tcBorders>
            <w:shd w:val="clear" w:color="auto" w:fill="auto"/>
            <w:noWrap/>
            <w:vAlign w:val="bottom"/>
            <w:hideMark/>
          </w:tcPr>
          <w:p w14:paraId="5C57D4F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19.3</w:t>
            </w:r>
          </w:p>
        </w:tc>
        <w:tc>
          <w:tcPr>
            <w:tcW w:w="628" w:type="dxa"/>
            <w:tcBorders>
              <w:top w:val="nil"/>
              <w:left w:val="nil"/>
              <w:bottom w:val="single" w:sz="4" w:space="0" w:color="auto"/>
              <w:right w:val="single" w:sz="4" w:space="0" w:color="auto"/>
            </w:tcBorders>
            <w:shd w:val="clear" w:color="auto" w:fill="auto"/>
            <w:noWrap/>
            <w:vAlign w:val="bottom"/>
            <w:hideMark/>
          </w:tcPr>
          <w:p w14:paraId="3091AF4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19.4</w:t>
            </w:r>
          </w:p>
        </w:tc>
        <w:tc>
          <w:tcPr>
            <w:tcW w:w="628" w:type="dxa"/>
            <w:tcBorders>
              <w:top w:val="nil"/>
              <w:left w:val="nil"/>
              <w:bottom w:val="single" w:sz="4" w:space="0" w:color="auto"/>
              <w:right w:val="single" w:sz="4" w:space="0" w:color="auto"/>
            </w:tcBorders>
            <w:shd w:val="clear" w:color="auto" w:fill="auto"/>
            <w:noWrap/>
            <w:vAlign w:val="bottom"/>
            <w:hideMark/>
          </w:tcPr>
          <w:p w14:paraId="5FFEA67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20.0</w:t>
            </w:r>
          </w:p>
        </w:tc>
        <w:tc>
          <w:tcPr>
            <w:tcW w:w="628" w:type="dxa"/>
            <w:tcBorders>
              <w:top w:val="nil"/>
              <w:left w:val="nil"/>
              <w:bottom w:val="single" w:sz="4" w:space="0" w:color="auto"/>
              <w:right w:val="single" w:sz="4" w:space="0" w:color="auto"/>
            </w:tcBorders>
            <w:shd w:val="clear" w:color="auto" w:fill="auto"/>
            <w:noWrap/>
            <w:vAlign w:val="bottom"/>
            <w:hideMark/>
          </w:tcPr>
          <w:p w14:paraId="4745E5D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20.4</w:t>
            </w:r>
          </w:p>
        </w:tc>
        <w:tc>
          <w:tcPr>
            <w:tcW w:w="628" w:type="dxa"/>
            <w:tcBorders>
              <w:top w:val="nil"/>
              <w:left w:val="nil"/>
              <w:bottom w:val="single" w:sz="4" w:space="0" w:color="auto"/>
              <w:right w:val="single" w:sz="4" w:space="0" w:color="auto"/>
            </w:tcBorders>
            <w:shd w:val="clear" w:color="auto" w:fill="auto"/>
            <w:noWrap/>
            <w:vAlign w:val="bottom"/>
            <w:hideMark/>
          </w:tcPr>
          <w:p w14:paraId="5F907B6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20.1</w:t>
            </w:r>
          </w:p>
        </w:tc>
        <w:tc>
          <w:tcPr>
            <w:tcW w:w="628" w:type="dxa"/>
            <w:tcBorders>
              <w:top w:val="nil"/>
              <w:left w:val="nil"/>
              <w:bottom w:val="single" w:sz="4" w:space="0" w:color="auto"/>
              <w:right w:val="single" w:sz="4" w:space="0" w:color="auto"/>
            </w:tcBorders>
            <w:shd w:val="clear" w:color="auto" w:fill="auto"/>
            <w:noWrap/>
            <w:vAlign w:val="bottom"/>
            <w:hideMark/>
          </w:tcPr>
          <w:p w14:paraId="44DAB44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20.3</w:t>
            </w:r>
          </w:p>
        </w:tc>
      </w:tr>
      <w:tr w:rsidR="00B56301" w:rsidRPr="00364545" w14:paraId="68EE7FFF"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5ECF07D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HGVs (incl. Buses and Coaches)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476D7C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36.6</w:t>
            </w:r>
          </w:p>
        </w:tc>
        <w:tc>
          <w:tcPr>
            <w:tcW w:w="628" w:type="dxa"/>
            <w:tcBorders>
              <w:top w:val="nil"/>
              <w:left w:val="nil"/>
              <w:bottom w:val="single" w:sz="4" w:space="0" w:color="auto"/>
              <w:right w:val="single" w:sz="4" w:space="0" w:color="auto"/>
            </w:tcBorders>
            <w:shd w:val="clear" w:color="auto" w:fill="auto"/>
            <w:noWrap/>
            <w:vAlign w:val="bottom"/>
            <w:hideMark/>
          </w:tcPr>
          <w:p w14:paraId="4E607EE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36.5</w:t>
            </w:r>
          </w:p>
        </w:tc>
        <w:tc>
          <w:tcPr>
            <w:tcW w:w="628" w:type="dxa"/>
            <w:tcBorders>
              <w:top w:val="nil"/>
              <w:left w:val="nil"/>
              <w:bottom w:val="single" w:sz="4" w:space="0" w:color="auto"/>
              <w:right w:val="single" w:sz="4" w:space="0" w:color="auto"/>
            </w:tcBorders>
            <w:shd w:val="clear" w:color="auto" w:fill="auto"/>
            <w:noWrap/>
            <w:vAlign w:val="bottom"/>
            <w:hideMark/>
          </w:tcPr>
          <w:p w14:paraId="66F135F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34.7</w:t>
            </w:r>
          </w:p>
        </w:tc>
        <w:tc>
          <w:tcPr>
            <w:tcW w:w="628" w:type="dxa"/>
            <w:tcBorders>
              <w:top w:val="nil"/>
              <w:left w:val="nil"/>
              <w:bottom w:val="single" w:sz="4" w:space="0" w:color="auto"/>
              <w:right w:val="single" w:sz="4" w:space="0" w:color="auto"/>
            </w:tcBorders>
            <w:shd w:val="clear" w:color="auto" w:fill="auto"/>
            <w:noWrap/>
            <w:vAlign w:val="bottom"/>
            <w:hideMark/>
          </w:tcPr>
          <w:p w14:paraId="4EB01A9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32.9</w:t>
            </w:r>
          </w:p>
        </w:tc>
        <w:tc>
          <w:tcPr>
            <w:tcW w:w="628" w:type="dxa"/>
            <w:tcBorders>
              <w:top w:val="nil"/>
              <w:left w:val="nil"/>
              <w:bottom w:val="single" w:sz="4" w:space="0" w:color="auto"/>
              <w:right w:val="single" w:sz="4" w:space="0" w:color="auto"/>
            </w:tcBorders>
            <w:shd w:val="clear" w:color="auto" w:fill="auto"/>
            <w:noWrap/>
            <w:vAlign w:val="bottom"/>
            <w:hideMark/>
          </w:tcPr>
          <w:p w14:paraId="54F93F9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33.4</w:t>
            </w:r>
          </w:p>
        </w:tc>
        <w:tc>
          <w:tcPr>
            <w:tcW w:w="628" w:type="dxa"/>
            <w:tcBorders>
              <w:top w:val="nil"/>
              <w:left w:val="nil"/>
              <w:bottom w:val="single" w:sz="4" w:space="0" w:color="auto"/>
              <w:right w:val="single" w:sz="4" w:space="0" w:color="auto"/>
            </w:tcBorders>
            <w:shd w:val="clear" w:color="auto" w:fill="auto"/>
            <w:noWrap/>
            <w:vAlign w:val="bottom"/>
            <w:hideMark/>
          </w:tcPr>
          <w:p w14:paraId="79086B4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34.3</w:t>
            </w:r>
          </w:p>
        </w:tc>
        <w:tc>
          <w:tcPr>
            <w:tcW w:w="628" w:type="dxa"/>
            <w:tcBorders>
              <w:top w:val="nil"/>
              <w:left w:val="nil"/>
              <w:bottom w:val="single" w:sz="4" w:space="0" w:color="auto"/>
              <w:right w:val="single" w:sz="4" w:space="0" w:color="auto"/>
            </w:tcBorders>
            <w:shd w:val="clear" w:color="auto" w:fill="auto"/>
            <w:noWrap/>
            <w:vAlign w:val="bottom"/>
            <w:hideMark/>
          </w:tcPr>
          <w:p w14:paraId="530949B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33.3</w:t>
            </w:r>
          </w:p>
        </w:tc>
        <w:tc>
          <w:tcPr>
            <w:tcW w:w="628" w:type="dxa"/>
            <w:tcBorders>
              <w:top w:val="nil"/>
              <w:left w:val="nil"/>
              <w:bottom w:val="single" w:sz="4" w:space="0" w:color="auto"/>
              <w:right w:val="single" w:sz="4" w:space="0" w:color="auto"/>
            </w:tcBorders>
            <w:shd w:val="clear" w:color="auto" w:fill="auto"/>
            <w:noWrap/>
            <w:vAlign w:val="bottom"/>
            <w:hideMark/>
          </w:tcPr>
          <w:p w14:paraId="265D6B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33.1</w:t>
            </w:r>
          </w:p>
        </w:tc>
      </w:tr>
      <w:tr w:rsidR="00B56301" w:rsidRPr="00364545" w14:paraId="49E1DFDC"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20B1463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Two-wheeled Vehicles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4BDF40A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4EC0725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47EEDFA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207BD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6DFF8B8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F99D5C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4BAAEB4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7105D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r>
      <w:tr w:rsidR="00B56301" w:rsidRPr="00364545" w14:paraId="0672243E"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7955DBA7"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Rail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DD8829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26179F1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733E4DE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383E907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533A375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7B6B0C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54BF24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43E0142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r>
      <w:tr w:rsidR="00B56301" w:rsidRPr="00364545" w14:paraId="161D0657"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3E50C9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River Barge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52164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4D2BE6B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2840070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3B596E2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0E2CDB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47FBBF2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1FE0050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02D54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r>
      <w:tr w:rsidR="00B56301" w:rsidRPr="00364545" w14:paraId="07DB0427"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7288F4AB"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Domestic Marine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B1F45C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49C3938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6EFF14B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4ACA30D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49C117F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0FC0AF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6E2056F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69B60B4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r>
      <w:tr w:rsidR="00B56301" w:rsidRPr="00364545" w14:paraId="4BAFCA5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783AF47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Shipping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8C1E1E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110374C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4CA4537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5723775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06A52BE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09920FB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4371AE4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7B38C3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r>
      <w:tr w:rsidR="00B56301" w:rsidRPr="00364545" w14:paraId="4405B3C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1F1DC8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French Air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6A6AD2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4.8</w:t>
            </w:r>
          </w:p>
        </w:tc>
        <w:tc>
          <w:tcPr>
            <w:tcW w:w="628" w:type="dxa"/>
            <w:tcBorders>
              <w:top w:val="nil"/>
              <w:left w:val="nil"/>
              <w:bottom w:val="single" w:sz="4" w:space="0" w:color="auto"/>
              <w:right w:val="single" w:sz="4" w:space="0" w:color="auto"/>
            </w:tcBorders>
            <w:shd w:val="clear" w:color="auto" w:fill="auto"/>
            <w:noWrap/>
            <w:vAlign w:val="bottom"/>
            <w:hideMark/>
          </w:tcPr>
          <w:p w14:paraId="634D267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21C90AF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38B612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3BE4128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c>
          <w:tcPr>
            <w:tcW w:w="628" w:type="dxa"/>
            <w:tcBorders>
              <w:top w:val="nil"/>
              <w:left w:val="nil"/>
              <w:bottom w:val="single" w:sz="4" w:space="0" w:color="auto"/>
              <w:right w:val="single" w:sz="4" w:space="0" w:color="auto"/>
            </w:tcBorders>
            <w:shd w:val="clear" w:color="auto" w:fill="auto"/>
            <w:noWrap/>
            <w:vAlign w:val="bottom"/>
            <w:hideMark/>
          </w:tcPr>
          <w:p w14:paraId="37A7982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c>
          <w:tcPr>
            <w:tcW w:w="628" w:type="dxa"/>
            <w:tcBorders>
              <w:top w:val="nil"/>
              <w:left w:val="nil"/>
              <w:bottom w:val="single" w:sz="4" w:space="0" w:color="auto"/>
              <w:right w:val="single" w:sz="4" w:space="0" w:color="auto"/>
            </w:tcBorders>
            <w:shd w:val="clear" w:color="auto" w:fill="auto"/>
            <w:noWrap/>
            <w:vAlign w:val="bottom"/>
            <w:hideMark/>
          </w:tcPr>
          <w:p w14:paraId="338461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7899EC2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r>
      <w:tr w:rsidR="00B56301" w:rsidRPr="00364545" w14:paraId="0ADAC0E7"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D9D9D9"/>
            <w:noWrap/>
            <w:vAlign w:val="bottom"/>
            <w:hideMark/>
          </w:tcPr>
          <w:p w14:paraId="29CE3C26"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National TOTAL except UTCATF</w:t>
            </w:r>
          </w:p>
        </w:tc>
        <w:tc>
          <w:tcPr>
            <w:tcW w:w="628" w:type="dxa"/>
            <w:tcBorders>
              <w:top w:val="nil"/>
              <w:left w:val="nil"/>
              <w:bottom w:val="single" w:sz="4" w:space="0" w:color="auto"/>
              <w:right w:val="single" w:sz="4" w:space="0" w:color="auto"/>
            </w:tcBorders>
            <w:shd w:val="clear" w:color="000000" w:fill="D9D9D9"/>
            <w:noWrap/>
            <w:vAlign w:val="bottom"/>
            <w:hideMark/>
          </w:tcPr>
          <w:p w14:paraId="67E63E6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540.9</w:t>
            </w:r>
          </w:p>
        </w:tc>
        <w:tc>
          <w:tcPr>
            <w:tcW w:w="628" w:type="dxa"/>
            <w:tcBorders>
              <w:top w:val="nil"/>
              <w:left w:val="nil"/>
              <w:bottom w:val="single" w:sz="4" w:space="0" w:color="auto"/>
              <w:right w:val="single" w:sz="4" w:space="0" w:color="auto"/>
            </w:tcBorders>
            <w:shd w:val="clear" w:color="000000" w:fill="D9D9D9"/>
            <w:noWrap/>
            <w:vAlign w:val="bottom"/>
            <w:hideMark/>
          </w:tcPr>
          <w:p w14:paraId="06F4723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531.6</w:t>
            </w:r>
          </w:p>
        </w:tc>
        <w:tc>
          <w:tcPr>
            <w:tcW w:w="628" w:type="dxa"/>
            <w:tcBorders>
              <w:top w:val="nil"/>
              <w:left w:val="nil"/>
              <w:bottom w:val="single" w:sz="4" w:space="0" w:color="auto"/>
              <w:right w:val="single" w:sz="4" w:space="0" w:color="auto"/>
            </w:tcBorders>
            <w:shd w:val="clear" w:color="000000" w:fill="D9D9D9"/>
            <w:noWrap/>
            <w:vAlign w:val="bottom"/>
            <w:hideMark/>
          </w:tcPr>
          <w:p w14:paraId="6ACDC94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526.1</w:t>
            </w:r>
          </w:p>
        </w:tc>
        <w:tc>
          <w:tcPr>
            <w:tcW w:w="628" w:type="dxa"/>
            <w:tcBorders>
              <w:top w:val="nil"/>
              <w:left w:val="nil"/>
              <w:bottom w:val="single" w:sz="4" w:space="0" w:color="auto"/>
              <w:right w:val="single" w:sz="4" w:space="0" w:color="auto"/>
            </w:tcBorders>
            <w:shd w:val="clear" w:color="000000" w:fill="D9D9D9"/>
            <w:noWrap/>
            <w:vAlign w:val="bottom"/>
            <w:hideMark/>
          </w:tcPr>
          <w:p w14:paraId="73AF457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503.4</w:t>
            </w:r>
          </w:p>
        </w:tc>
        <w:tc>
          <w:tcPr>
            <w:tcW w:w="628" w:type="dxa"/>
            <w:tcBorders>
              <w:top w:val="nil"/>
              <w:left w:val="nil"/>
              <w:bottom w:val="single" w:sz="4" w:space="0" w:color="auto"/>
              <w:right w:val="single" w:sz="4" w:space="0" w:color="auto"/>
            </w:tcBorders>
            <w:shd w:val="clear" w:color="000000" w:fill="D9D9D9"/>
            <w:noWrap/>
            <w:vAlign w:val="bottom"/>
            <w:hideMark/>
          </w:tcPr>
          <w:p w14:paraId="2609BC2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507.5</w:t>
            </w:r>
          </w:p>
        </w:tc>
        <w:tc>
          <w:tcPr>
            <w:tcW w:w="628" w:type="dxa"/>
            <w:tcBorders>
              <w:top w:val="nil"/>
              <w:left w:val="nil"/>
              <w:bottom w:val="single" w:sz="4" w:space="0" w:color="auto"/>
              <w:right w:val="single" w:sz="4" w:space="0" w:color="auto"/>
            </w:tcBorders>
            <w:shd w:val="clear" w:color="000000" w:fill="D9D9D9"/>
            <w:noWrap/>
            <w:vAlign w:val="bottom"/>
            <w:hideMark/>
          </w:tcPr>
          <w:p w14:paraId="5E83113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483.3</w:t>
            </w:r>
          </w:p>
        </w:tc>
        <w:tc>
          <w:tcPr>
            <w:tcW w:w="628" w:type="dxa"/>
            <w:tcBorders>
              <w:top w:val="nil"/>
              <w:left w:val="nil"/>
              <w:bottom w:val="single" w:sz="4" w:space="0" w:color="auto"/>
              <w:right w:val="single" w:sz="4" w:space="0" w:color="auto"/>
            </w:tcBorders>
            <w:shd w:val="clear" w:color="000000" w:fill="D9D9D9"/>
            <w:noWrap/>
            <w:vAlign w:val="bottom"/>
            <w:hideMark/>
          </w:tcPr>
          <w:p w14:paraId="6538FD1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484.8</w:t>
            </w:r>
          </w:p>
        </w:tc>
        <w:tc>
          <w:tcPr>
            <w:tcW w:w="628" w:type="dxa"/>
            <w:tcBorders>
              <w:top w:val="nil"/>
              <w:left w:val="nil"/>
              <w:bottom w:val="single" w:sz="4" w:space="0" w:color="auto"/>
              <w:right w:val="single" w:sz="4" w:space="0" w:color="auto"/>
            </w:tcBorders>
            <w:shd w:val="clear" w:color="000000" w:fill="D9D9D9"/>
            <w:noWrap/>
            <w:vAlign w:val="bottom"/>
            <w:hideMark/>
          </w:tcPr>
          <w:p w14:paraId="56515FF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485.6</w:t>
            </w:r>
          </w:p>
        </w:tc>
      </w:tr>
      <w:tr w:rsidR="00B56301" w:rsidRPr="00364545" w14:paraId="5FD0FE8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527064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Forests</w:t>
            </w:r>
          </w:p>
        </w:tc>
        <w:tc>
          <w:tcPr>
            <w:tcW w:w="628" w:type="dxa"/>
            <w:tcBorders>
              <w:top w:val="nil"/>
              <w:left w:val="nil"/>
              <w:bottom w:val="single" w:sz="4" w:space="0" w:color="auto"/>
              <w:right w:val="single" w:sz="4" w:space="0" w:color="auto"/>
            </w:tcBorders>
            <w:shd w:val="clear" w:color="auto" w:fill="auto"/>
            <w:noWrap/>
            <w:vAlign w:val="bottom"/>
            <w:hideMark/>
          </w:tcPr>
          <w:p w14:paraId="4529B48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-68.3</w:t>
            </w:r>
          </w:p>
        </w:tc>
        <w:tc>
          <w:tcPr>
            <w:tcW w:w="628" w:type="dxa"/>
            <w:tcBorders>
              <w:top w:val="nil"/>
              <w:left w:val="nil"/>
              <w:bottom w:val="single" w:sz="4" w:space="0" w:color="auto"/>
              <w:right w:val="single" w:sz="4" w:space="0" w:color="auto"/>
            </w:tcBorders>
            <w:shd w:val="clear" w:color="auto" w:fill="auto"/>
            <w:noWrap/>
            <w:vAlign w:val="bottom"/>
            <w:hideMark/>
          </w:tcPr>
          <w:p w14:paraId="6BFE8E5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-69.7</w:t>
            </w:r>
          </w:p>
        </w:tc>
        <w:tc>
          <w:tcPr>
            <w:tcW w:w="628" w:type="dxa"/>
            <w:tcBorders>
              <w:top w:val="nil"/>
              <w:left w:val="nil"/>
              <w:bottom w:val="single" w:sz="4" w:space="0" w:color="auto"/>
              <w:right w:val="single" w:sz="4" w:space="0" w:color="auto"/>
            </w:tcBorders>
            <w:shd w:val="clear" w:color="auto" w:fill="auto"/>
            <w:noWrap/>
            <w:vAlign w:val="bottom"/>
            <w:hideMark/>
          </w:tcPr>
          <w:p w14:paraId="1FA81C9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-71.9</w:t>
            </w:r>
          </w:p>
        </w:tc>
        <w:tc>
          <w:tcPr>
            <w:tcW w:w="628" w:type="dxa"/>
            <w:tcBorders>
              <w:top w:val="nil"/>
              <w:left w:val="nil"/>
              <w:bottom w:val="single" w:sz="4" w:space="0" w:color="auto"/>
              <w:right w:val="single" w:sz="4" w:space="0" w:color="auto"/>
            </w:tcBorders>
            <w:shd w:val="clear" w:color="auto" w:fill="auto"/>
            <w:noWrap/>
            <w:vAlign w:val="bottom"/>
            <w:hideMark/>
          </w:tcPr>
          <w:p w14:paraId="0F5CA28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-61.9</w:t>
            </w:r>
          </w:p>
        </w:tc>
        <w:tc>
          <w:tcPr>
            <w:tcW w:w="628" w:type="dxa"/>
            <w:tcBorders>
              <w:top w:val="nil"/>
              <w:left w:val="nil"/>
              <w:bottom w:val="single" w:sz="4" w:space="0" w:color="auto"/>
              <w:right w:val="single" w:sz="4" w:space="0" w:color="auto"/>
            </w:tcBorders>
            <w:shd w:val="clear" w:color="auto" w:fill="auto"/>
            <w:noWrap/>
            <w:vAlign w:val="bottom"/>
            <w:hideMark/>
          </w:tcPr>
          <w:p w14:paraId="6FD48D5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-58.5</w:t>
            </w:r>
          </w:p>
        </w:tc>
        <w:tc>
          <w:tcPr>
            <w:tcW w:w="628" w:type="dxa"/>
            <w:tcBorders>
              <w:top w:val="nil"/>
              <w:left w:val="nil"/>
              <w:bottom w:val="single" w:sz="4" w:space="0" w:color="auto"/>
              <w:right w:val="single" w:sz="4" w:space="0" w:color="auto"/>
            </w:tcBorders>
            <w:shd w:val="clear" w:color="auto" w:fill="auto"/>
            <w:noWrap/>
            <w:vAlign w:val="bottom"/>
            <w:hideMark/>
          </w:tcPr>
          <w:p w14:paraId="483FB44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-56.8</w:t>
            </w:r>
          </w:p>
        </w:tc>
        <w:tc>
          <w:tcPr>
            <w:tcW w:w="628" w:type="dxa"/>
            <w:tcBorders>
              <w:top w:val="nil"/>
              <w:left w:val="nil"/>
              <w:bottom w:val="single" w:sz="4" w:space="0" w:color="auto"/>
              <w:right w:val="single" w:sz="4" w:space="0" w:color="auto"/>
            </w:tcBorders>
            <w:shd w:val="clear" w:color="auto" w:fill="auto"/>
            <w:noWrap/>
            <w:vAlign w:val="bottom"/>
            <w:hideMark/>
          </w:tcPr>
          <w:p w14:paraId="4EF2CD2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-59.3</w:t>
            </w:r>
          </w:p>
        </w:tc>
        <w:tc>
          <w:tcPr>
            <w:tcW w:w="628" w:type="dxa"/>
            <w:tcBorders>
              <w:top w:val="nil"/>
              <w:left w:val="nil"/>
              <w:bottom w:val="single" w:sz="4" w:space="0" w:color="auto"/>
              <w:right w:val="single" w:sz="4" w:space="0" w:color="auto"/>
            </w:tcBorders>
            <w:shd w:val="clear" w:color="auto" w:fill="auto"/>
            <w:noWrap/>
            <w:vAlign w:val="bottom"/>
            <w:hideMark/>
          </w:tcPr>
          <w:p w14:paraId="53B4F2B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-62.2</w:t>
            </w:r>
          </w:p>
        </w:tc>
      </w:tr>
      <w:tr w:rsidR="00B56301" w:rsidRPr="00364545" w14:paraId="48A1704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FC1278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Farmland</w:t>
            </w:r>
          </w:p>
        </w:tc>
        <w:tc>
          <w:tcPr>
            <w:tcW w:w="628" w:type="dxa"/>
            <w:tcBorders>
              <w:top w:val="nil"/>
              <w:left w:val="nil"/>
              <w:bottom w:val="single" w:sz="4" w:space="0" w:color="auto"/>
              <w:right w:val="single" w:sz="4" w:space="0" w:color="auto"/>
            </w:tcBorders>
            <w:shd w:val="clear" w:color="auto" w:fill="auto"/>
            <w:noWrap/>
            <w:vAlign w:val="bottom"/>
            <w:hideMark/>
          </w:tcPr>
          <w:p w14:paraId="60175A5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18.7</w:t>
            </w:r>
          </w:p>
        </w:tc>
        <w:tc>
          <w:tcPr>
            <w:tcW w:w="628" w:type="dxa"/>
            <w:tcBorders>
              <w:top w:val="nil"/>
              <w:left w:val="nil"/>
              <w:bottom w:val="single" w:sz="4" w:space="0" w:color="auto"/>
              <w:right w:val="single" w:sz="4" w:space="0" w:color="auto"/>
            </w:tcBorders>
            <w:shd w:val="clear" w:color="auto" w:fill="auto"/>
            <w:noWrap/>
            <w:vAlign w:val="bottom"/>
            <w:hideMark/>
          </w:tcPr>
          <w:p w14:paraId="7AF26B4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19.3</w:t>
            </w:r>
          </w:p>
        </w:tc>
        <w:tc>
          <w:tcPr>
            <w:tcW w:w="628" w:type="dxa"/>
            <w:tcBorders>
              <w:top w:val="nil"/>
              <w:left w:val="nil"/>
              <w:bottom w:val="single" w:sz="4" w:space="0" w:color="auto"/>
              <w:right w:val="single" w:sz="4" w:space="0" w:color="auto"/>
            </w:tcBorders>
            <w:shd w:val="clear" w:color="auto" w:fill="auto"/>
            <w:noWrap/>
            <w:vAlign w:val="bottom"/>
            <w:hideMark/>
          </w:tcPr>
          <w:p w14:paraId="410AD6F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20.7</w:t>
            </w:r>
          </w:p>
        </w:tc>
        <w:tc>
          <w:tcPr>
            <w:tcW w:w="628" w:type="dxa"/>
            <w:tcBorders>
              <w:top w:val="nil"/>
              <w:left w:val="nil"/>
              <w:bottom w:val="single" w:sz="4" w:space="0" w:color="auto"/>
              <w:right w:val="single" w:sz="4" w:space="0" w:color="auto"/>
            </w:tcBorders>
            <w:shd w:val="clear" w:color="auto" w:fill="auto"/>
            <w:noWrap/>
            <w:vAlign w:val="bottom"/>
            <w:hideMark/>
          </w:tcPr>
          <w:p w14:paraId="57E6915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20.1</w:t>
            </w:r>
          </w:p>
        </w:tc>
        <w:tc>
          <w:tcPr>
            <w:tcW w:w="628" w:type="dxa"/>
            <w:tcBorders>
              <w:top w:val="nil"/>
              <w:left w:val="nil"/>
              <w:bottom w:val="single" w:sz="4" w:space="0" w:color="auto"/>
              <w:right w:val="single" w:sz="4" w:space="0" w:color="auto"/>
            </w:tcBorders>
            <w:shd w:val="clear" w:color="auto" w:fill="auto"/>
            <w:noWrap/>
            <w:vAlign w:val="bottom"/>
            <w:hideMark/>
          </w:tcPr>
          <w:p w14:paraId="4362598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19.8</w:t>
            </w:r>
          </w:p>
        </w:tc>
        <w:tc>
          <w:tcPr>
            <w:tcW w:w="628" w:type="dxa"/>
            <w:tcBorders>
              <w:top w:val="nil"/>
              <w:left w:val="nil"/>
              <w:bottom w:val="single" w:sz="4" w:space="0" w:color="auto"/>
              <w:right w:val="single" w:sz="4" w:space="0" w:color="auto"/>
            </w:tcBorders>
            <w:shd w:val="clear" w:color="auto" w:fill="auto"/>
            <w:noWrap/>
            <w:vAlign w:val="bottom"/>
            <w:hideMark/>
          </w:tcPr>
          <w:p w14:paraId="2F1135E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18.8</w:t>
            </w:r>
          </w:p>
        </w:tc>
        <w:tc>
          <w:tcPr>
            <w:tcW w:w="628" w:type="dxa"/>
            <w:tcBorders>
              <w:top w:val="nil"/>
              <w:left w:val="nil"/>
              <w:bottom w:val="single" w:sz="4" w:space="0" w:color="auto"/>
              <w:right w:val="single" w:sz="4" w:space="0" w:color="auto"/>
            </w:tcBorders>
            <w:shd w:val="clear" w:color="auto" w:fill="auto"/>
            <w:noWrap/>
            <w:vAlign w:val="bottom"/>
            <w:hideMark/>
          </w:tcPr>
          <w:p w14:paraId="424CEE8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17.3</w:t>
            </w:r>
          </w:p>
        </w:tc>
        <w:tc>
          <w:tcPr>
            <w:tcW w:w="628" w:type="dxa"/>
            <w:tcBorders>
              <w:top w:val="nil"/>
              <w:left w:val="nil"/>
              <w:bottom w:val="single" w:sz="4" w:space="0" w:color="auto"/>
              <w:right w:val="single" w:sz="4" w:space="0" w:color="auto"/>
            </w:tcBorders>
            <w:shd w:val="clear" w:color="auto" w:fill="auto"/>
            <w:noWrap/>
            <w:vAlign w:val="bottom"/>
            <w:hideMark/>
          </w:tcPr>
          <w:p w14:paraId="1C67793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16.0</w:t>
            </w:r>
          </w:p>
        </w:tc>
      </w:tr>
      <w:tr w:rsidR="00B56301" w:rsidRPr="00364545" w14:paraId="51F49537"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45DD41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Grasslands</w:t>
            </w:r>
          </w:p>
        </w:tc>
        <w:tc>
          <w:tcPr>
            <w:tcW w:w="628" w:type="dxa"/>
            <w:tcBorders>
              <w:top w:val="nil"/>
              <w:left w:val="nil"/>
              <w:bottom w:val="single" w:sz="4" w:space="0" w:color="auto"/>
              <w:right w:val="single" w:sz="4" w:space="0" w:color="auto"/>
            </w:tcBorders>
            <w:shd w:val="clear" w:color="auto" w:fill="auto"/>
            <w:noWrap/>
            <w:vAlign w:val="bottom"/>
            <w:hideMark/>
          </w:tcPr>
          <w:p w14:paraId="4E9F922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-8.5</w:t>
            </w:r>
          </w:p>
        </w:tc>
        <w:tc>
          <w:tcPr>
            <w:tcW w:w="628" w:type="dxa"/>
            <w:tcBorders>
              <w:top w:val="nil"/>
              <w:left w:val="nil"/>
              <w:bottom w:val="single" w:sz="4" w:space="0" w:color="auto"/>
              <w:right w:val="single" w:sz="4" w:space="0" w:color="auto"/>
            </w:tcBorders>
            <w:shd w:val="clear" w:color="auto" w:fill="auto"/>
            <w:noWrap/>
            <w:vAlign w:val="bottom"/>
            <w:hideMark/>
          </w:tcPr>
          <w:p w14:paraId="5AB7141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-7.7</w:t>
            </w:r>
          </w:p>
        </w:tc>
        <w:tc>
          <w:tcPr>
            <w:tcW w:w="628" w:type="dxa"/>
            <w:tcBorders>
              <w:top w:val="nil"/>
              <w:left w:val="nil"/>
              <w:bottom w:val="single" w:sz="4" w:space="0" w:color="auto"/>
              <w:right w:val="single" w:sz="4" w:space="0" w:color="auto"/>
            </w:tcBorders>
            <w:shd w:val="clear" w:color="auto" w:fill="auto"/>
            <w:noWrap/>
            <w:vAlign w:val="bottom"/>
            <w:hideMark/>
          </w:tcPr>
          <w:p w14:paraId="3C8BD25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-8.2</w:t>
            </w:r>
          </w:p>
        </w:tc>
        <w:tc>
          <w:tcPr>
            <w:tcW w:w="628" w:type="dxa"/>
            <w:tcBorders>
              <w:top w:val="nil"/>
              <w:left w:val="nil"/>
              <w:bottom w:val="single" w:sz="4" w:space="0" w:color="auto"/>
              <w:right w:val="single" w:sz="4" w:space="0" w:color="auto"/>
            </w:tcBorders>
            <w:shd w:val="clear" w:color="auto" w:fill="auto"/>
            <w:noWrap/>
            <w:vAlign w:val="bottom"/>
            <w:hideMark/>
          </w:tcPr>
          <w:p w14:paraId="5B1013D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-8.8</w:t>
            </w:r>
          </w:p>
        </w:tc>
        <w:tc>
          <w:tcPr>
            <w:tcW w:w="628" w:type="dxa"/>
            <w:tcBorders>
              <w:top w:val="nil"/>
              <w:left w:val="nil"/>
              <w:bottom w:val="single" w:sz="4" w:space="0" w:color="auto"/>
              <w:right w:val="single" w:sz="4" w:space="0" w:color="auto"/>
            </w:tcBorders>
            <w:shd w:val="clear" w:color="auto" w:fill="auto"/>
            <w:noWrap/>
            <w:vAlign w:val="bottom"/>
            <w:hideMark/>
          </w:tcPr>
          <w:p w14:paraId="12D6E61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-9.7</w:t>
            </w:r>
          </w:p>
        </w:tc>
        <w:tc>
          <w:tcPr>
            <w:tcW w:w="628" w:type="dxa"/>
            <w:tcBorders>
              <w:top w:val="nil"/>
              <w:left w:val="nil"/>
              <w:bottom w:val="single" w:sz="4" w:space="0" w:color="auto"/>
              <w:right w:val="single" w:sz="4" w:space="0" w:color="auto"/>
            </w:tcBorders>
            <w:shd w:val="clear" w:color="auto" w:fill="auto"/>
            <w:noWrap/>
            <w:vAlign w:val="bottom"/>
            <w:hideMark/>
          </w:tcPr>
          <w:p w14:paraId="5945F44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-10.3</w:t>
            </w:r>
          </w:p>
        </w:tc>
        <w:tc>
          <w:tcPr>
            <w:tcW w:w="628" w:type="dxa"/>
            <w:tcBorders>
              <w:top w:val="nil"/>
              <w:left w:val="nil"/>
              <w:bottom w:val="single" w:sz="4" w:space="0" w:color="auto"/>
              <w:right w:val="single" w:sz="4" w:space="0" w:color="auto"/>
            </w:tcBorders>
            <w:shd w:val="clear" w:color="auto" w:fill="auto"/>
            <w:noWrap/>
            <w:vAlign w:val="bottom"/>
            <w:hideMark/>
          </w:tcPr>
          <w:p w14:paraId="6BB8D4D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-10.0</w:t>
            </w:r>
          </w:p>
        </w:tc>
        <w:tc>
          <w:tcPr>
            <w:tcW w:w="628" w:type="dxa"/>
            <w:tcBorders>
              <w:top w:val="nil"/>
              <w:left w:val="nil"/>
              <w:bottom w:val="single" w:sz="4" w:space="0" w:color="auto"/>
              <w:right w:val="single" w:sz="4" w:space="0" w:color="auto"/>
            </w:tcBorders>
            <w:shd w:val="clear" w:color="auto" w:fill="auto"/>
            <w:noWrap/>
            <w:vAlign w:val="bottom"/>
            <w:hideMark/>
          </w:tcPr>
          <w:p w14:paraId="2CC9BA1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-9.6</w:t>
            </w:r>
          </w:p>
        </w:tc>
      </w:tr>
      <w:tr w:rsidR="00B56301" w:rsidRPr="00364545" w14:paraId="6F4F3F5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F0D33CD"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Wetlands</w:t>
            </w:r>
          </w:p>
        </w:tc>
        <w:tc>
          <w:tcPr>
            <w:tcW w:w="628" w:type="dxa"/>
            <w:tcBorders>
              <w:top w:val="nil"/>
              <w:left w:val="nil"/>
              <w:bottom w:val="single" w:sz="4" w:space="0" w:color="auto"/>
              <w:right w:val="single" w:sz="4" w:space="0" w:color="auto"/>
            </w:tcBorders>
            <w:shd w:val="clear" w:color="auto" w:fill="auto"/>
            <w:noWrap/>
            <w:vAlign w:val="bottom"/>
            <w:hideMark/>
          </w:tcPr>
          <w:p w14:paraId="28890AA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2C697D1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65F06A1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5323D26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204C44B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8F3EA6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307462C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7BFE8C0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r>
      <w:tr w:rsidR="00B56301" w:rsidRPr="00364545" w14:paraId="656CC28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E3EA3A2"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Reclaimed Land</w:t>
            </w:r>
          </w:p>
        </w:tc>
        <w:tc>
          <w:tcPr>
            <w:tcW w:w="628" w:type="dxa"/>
            <w:tcBorders>
              <w:top w:val="nil"/>
              <w:left w:val="nil"/>
              <w:bottom w:val="single" w:sz="4" w:space="0" w:color="auto"/>
              <w:right w:val="single" w:sz="4" w:space="0" w:color="auto"/>
            </w:tcBorders>
            <w:shd w:val="clear" w:color="auto" w:fill="auto"/>
            <w:noWrap/>
            <w:vAlign w:val="bottom"/>
            <w:hideMark/>
          </w:tcPr>
          <w:p w14:paraId="5418576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12.1</w:t>
            </w:r>
          </w:p>
        </w:tc>
        <w:tc>
          <w:tcPr>
            <w:tcW w:w="628" w:type="dxa"/>
            <w:tcBorders>
              <w:top w:val="nil"/>
              <w:left w:val="nil"/>
              <w:bottom w:val="single" w:sz="4" w:space="0" w:color="auto"/>
              <w:right w:val="single" w:sz="4" w:space="0" w:color="auto"/>
            </w:tcBorders>
            <w:shd w:val="clear" w:color="auto" w:fill="auto"/>
            <w:noWrap/>
            <w:vAlign w:val="bottom"/>
            <w:hideMark/>
          </w:tcPr>
          <w:p w14:paraId="44DD737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12.8</w:t>
            </w:r>
          </w:p>
        </w:tc>
        <w:tc>
          <w:tcPr>
            <w:tcW w:w="628" w:type="dxa"/>
            <w:tcBorders>
              <w:top w:val="nil"/>
              <w:left w:val="nil"/>
              <w:bottom w:val="single" w:sz="4" w:space="0" w:color="auto"/>
              <w:right w:val="single" w:sz="4" w:space="0" w:color="auto"/>
            </w:tcBorders>
            <w:shd w:val="clear" w:color="auto" w:fill="auto"/>
            <w:noWrap/>
            <w:vAlign w:val="bottom"/>
            <w:hideMark/>
          </w:tcPr>
          <w:p w14:paraId="7EA46C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13.9</w:t>
            </w:r>
          </w:p>
        </w:tc>
        <w:tc>
          <w:tcPr>
            <w:tcW w:w="628" w:type="dxa"/>
            <w:tcBorders>
              <w:top w:val="nil"/>
              <w:left w:val="nil"/>
              <w:bottom w:val="single" w:sz="4" w:space="0" w:color="auto"/>
              <w:right w:val="single" w:sz="4" w:space="0" w:color="auto"/>
            </w:tcBorders>
            <w:shd w:val="clear" w:color="auto" w:fill="auto"/>
            <w:noWrap/>
            <w:vAlign w:val="bottom"/>
            <w:hideMark/>
          </w:tcPr>
          <w:p w14:paraId="04DAF94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13.5</w:t>
            </w:r>
          </w:p>
        </w:tc>
        <w:tc>
          <w:tcPr>
            <w:tcW w:w="628" w:type="dxa"/>
            <w:tcBorders>
              <w:top w:val="nil"/>
              <w:left w:val="nil"/>
              <w:bottom w:val="single" w:sz="4" w:space="0" w:color="auto"/>
              <w:right w:val="single" w:sz="4" w:space="0" w:color="auto"/>
            </w:tcBorders>
            <w:shd w:val="clear" w:color="auto" w:fill="auto"/>
            <w:noWrap/>
            <w:vAlign w:val="bottom"/>
            <w:hideMark/>
          </w:tcPr>
          <w:p w14:paraId="5F98BFB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12.7</w:t>
            </w:r>
          </w:p>
        </w:tc>
        <w:tc>
          <w:tcPr>
            <w:tcW w:w="628" w:type="dxa"/>
            <w:tcBorders>
              <w:top w:val="nil"/>
              <w:left w:val="nil"/>
              <w:bottom w:val="single" w:sz="4" w:space="0" w:color="auto"/>
              <w:right w:val="single" w:sz="4" w:space="0" w:color="auto"/>
            </w:tcBorders>
            <w:shd w:val="clear" w:color="auto" w:fill="auto"/>
            <w:noWrap/>
            <w:vAlign w:val="bottom"/>
            <w:hideMark/>
          </w:tcPr>
          <w:p w14:paraId="0200143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581567E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12.3</w:t>
            </w:r>
          </w:p>
        </w:tc>
        <w:tc>
          <w:tcPr>
            <w:tcW w:w="628" w:type="dxa"/>
            <w:tcBorders>
              <w:top w:val="nil"/>
              <w:left w:val="nil"/>
              <w:bottom w:val="single" w:sz="4" w:space="0" w:color="auto"/>
              <w:right w:val="single" w:sz="4" w:space="0" w:color="auto"/>
            </w:tcBorders>
            <w:shd w:val="clear" w:color="auto" w:fill="auto"/>
            <w:noWrap/>
            <w:vAlign w:val="bottom"/>
            <w:hideMark/>
          </w:tcPr>
          <w:p w14:paraId="48404A3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12.2</w:t>
            </w:r>
          </w:p>
        </w:tc>
      </w:tr>
      <w:tr w:rsidR="00B56301" w:rsidRPr="00364545" w14:paraId="202A772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870848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Land</w:t>
            </w:r>
          </w:p>
        </w:tc>
        <w:tc>
          <w:tcPr>
            <w:tcW w:w="628" w:type="dxa"/>
            <w:tcBorders>
              <w:top w:val="nil"/>
              <w:left w:val="nil"/>
              <w:bottom w:val="single" w:sz="4" w:space="0" w:color="auto"/>
              <w:right w:val="single" w:sz="4" w:space="0" w:color="auto"/>
            </w:tcBorders>
            <w:shd w:val="clear" w:color="auto" w:fill="auto"/>
            <w:noWrap/>
            <w:vAlign w:val="bottom"/>
            <w:hideMark/>
          </w:tcPr>
          <w:p w14:paraId="2F97DDD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0267BE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0F6C8EB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52AA9EE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69FAB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67AEA6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47F7E5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A1F5C7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2A7EB4B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828EE4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Timber Products</w:t>
            </w:r>
          </w:p>
        </w:tc>
        <w:tc>
          <w:tcPr>
            <w:tcW w:w="628" w:type="dxa"/>
            <w:tcBorders>
              <w:top w:val="nil"/>
              <w:left w:val="nil"/>
              <w:bottom w:val="single" w:sz="4" w:space="0" w:color="auto"/>
              <w:right w:val="single" w:sz="4" w:space="0" w:color="auto"/>
            </w:tcBorders>
            <w:shd w:val="clear" w:color="auto" w:fill="auto"/>
            <w:noWrap/>
            <w:vAlign w:val="bottom"/>
            <w:hideMark/>
          </w:tcPr>
          <w:p w14:paraId="7548EF1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-4.3</w:t>
            </w:r>
          </w:p>
        </w:tc>
        <w:tc>
          <w:tcPr>
            <w:tcW w:w="628" w:type="dxa"/>
            <w:tcBorders>
              <w:top w:val="nil"/>
              <w:left w:val="nil"/>
              <w:bottom w:val="single" w:sz="4" w:space="0" w:color="auto"/>
              <w:right w:val="single" w:sz="4" w:space="0" w:color="auto"/>
            </w:tcBorders>
            <w:shd w:val="clear" w:color="auto" w:fill="auto"/>
            <w:noWrap/>
            <w:vAlign w:val="bottom"/>
            <w:hideMark/>
          </w:tcPr>
          <w:p w14:paraId="0A09C1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-4.5</w:t>
            </w:r>
          </w:p>
        </w:tc>
        <w:tc>
          <w:tcPr>
            <w:tcW w:w="628" w:type="dxa"/>
            <w:tcBorders>
              <w:top w:val="nil"/>
              <w:left w:val="nil"/>
              <w:bottom w:val="single" w:sz="4" w:space="0" w:color="auto"/>
              <w:right w:val="single" w:sz="4" w:space="0" w:color="auto"/>
            </w:tcBorders>
            <w:shd w:val="clear" w:color="auto" w:fill="auto"/>
            <w:noWrap/>
            <w:vAlign w:val="bottom"/>
            <w:hideMark/>
          </w:tcPr>
          <w:p w14:paraId="33453B4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w:t>
            </w:r>
          </w:p>
        </w:tc>
        <w:tc>
          <w:tcPr>
            <w:tcW w:w="628" w:type="dxa"/>
            <w:tcBorders>
              <w:top w:val="nil"/>
              <w:left w:val="nil"/>
              <w:bottom w:val="single" w:sz="4" w:space="0" w:color="auto"/>
              <w:right w:val="single" w:sz="4" w:space="0" w:color="auto"/>
            </w:tcBorders>
            <w:shd w:val="clear" w:color="auto" w:fill="auto"/>
            <w:noWrap/>
            <w:vAlign w:val="bottom"/>
            <w:hideMark/>
          </w:tcPr>
          <w:p w14:paraId="02011C9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7FB3A7D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w:t>
            </w:r>
          </w:p>
        </w:tc>
        <w:tc>
          <w:tcPr>
            <w:tcW w:w="628" w:type="dxa"/>
            <w:tcBorders>
              <w:top w:val="nil"/>
              <w:left w:val="nil"/>
              <w:bottom w:val="single" w:sz="4" w:space="0" w:color="auto"/>
              <w:right w:val="single" w:sz="4" w:space="0" w:color="auto"/>
            </w:tcBorders>
            <w:shd w:val="clear" w:color="auto" w:fill="auto"/>
            <w:noWrap/>
            <w:vAlign w:val="bottom"/>
            <w:hideMark/>
          </w:tcPr>
          <w:p w14:paraId="2A3B107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w:t>
            </w:r>
          </w:p>
        </w:tc>
        <w:tc>
          <w:tcPr>
            <w:tcW w:w="628" w:type="dxa"/>
            <w:tcBorders>
              <w:top w:val="nil"/>
              <w:left w:val="nil"/>
              <w:bottom w:val="single" w:sz="4" w:space="0" w:color="auto"/>
              <w:right w:val="single" w:sz="4" w:space="0" w:color="auto"/>
            </w:tcBorders>
            <w:shd w:val="clear" w:color="auto" w:fill="auto"/>
            <w:noWrap/>
            <w:vAlign w:val="bottom"/>
            <w:hideMark/>
          </w:tcPr>
          <w:p w14:paraId="36F4887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w:t>
            </w:r>
          </w:p>
        </w:tc>
        <w:tc>
          <w:tcPr>
            <w:tcW w:w="628" w:type="dxa"/>
            <w:tcBorders>
              <w:top w:val="nil"/>
              <w:left w:val="nil"/>
              <w:bottom w:val="single" w:sz="4" w:space="0" w:color="auto"/>
              <w:right w:val="single" w:sz="4" w:space="0" w:color="auto"/>
            </w:tcBorders>
            <w:shd w:val="clear" w:color="auto" w:fill="auto"/>
            <w:noWrap/>
            <w:vAlign w:val="bottom"/>
            <w:hideMark/>
          </w:tcPr>
          <w:p w14:paraId="5E241D2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w:t>
            </w:r>
          </w:p>
        </w:tc>
      </w:tr>
      <w:tr w:rsidR="00B56301" w:rsidRPr="00364545" w14:paraId="22E2A9D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9E8752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Dams</w:t>
            </w:r>
          </w:p>
        </w:tc>
        <w:tc>
          <w:tcPr>
            <w:tcW w:w="628" w:type="dxa"/>
            <w:tcBorders>
              <w:top w:val="nil"/>
              <w:left w:val="nil"/>
              <w:bottom w:val="single" w:sz="4" w:space="0" w:color="auto"/>
              <w:right w:val="single" w:sz="4" w:space="0" w:color="auto"/>
            </w:tcBorders>
            <w:shd w:val="clear" w:color="auto" w:fill="auto"/>
            <w:noWrap/>
            <w:vAlign w:val="bottom"/>
            <w:hideMark/>
          </w:tcPr>
          <w:p w14:paraId="45E31F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353787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2E4DB41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7602B58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60FA56A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7EDB2C7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944DAD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218C6A9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r>
      <w:tr w:rsidR="00B56301" w:rsidRPr="00364545" w14:paraId="6DD6C038" w14:textId="77777777" w:rsidTr="00B37B65">
        <w:trPr>
          <w:trHeight w:val="68"/>
          <w:jc w:val="center"/>
        </w:trPr>
        <w:tc>
          <w:tcPr>
            <w:tcW w:w="5680" w:type="dxa"/>
            <w:tcBorders>
              <w:top w:val="nil"/>
              <w:left w:val="nil"/>
              <w:bottom w:val="nil"/>
              <w:right w:val="nil"/>
            </w:tcBorders>
            <w:shd w:val="clear" w:color="000000" w:fill="00B050"/>
            <w:noWrap/>
            <w:vAlign w:val="bottom"/>
            <w:hideMark/>
          </w:tcPr>
          <w:p w14:paraId="6C9AFF76"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LULUCF</w:t>
            </w:r>
          </w:p>
        </w:tc>
        <w:tc>
          <w:tcPr>
            <w:tcW w:w="628" w:type="dxa"/>
            <w:tcBorders>
              <w:top w:val="nil"/>
              <w:left w:val="single" w:sz="4" w:space="0" w:color="auto"/>
              <w:bottom w:val="single" w:sz="4" w:space="0" w:color="auto"/>
              <w:right w:val="single" w:sz="4" w:space="0" w:color="auto"/>
            </w:tcBorders>
            <w:shd w:val="clear" w:color="000000" w:fill="00B050"/>
            <w:noWrap/>
            <w:vAlign w:val="bottom"/>
            <w:hideMark/>
          </w:tcPr>
          <w:p w14:paraId="114747F5"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-49.0</w:t>
            </w:r>
          </w:p>
        </w:tc>
        <w:tc>
          <w:tcPr>
            <w:tcW w:w="628" w:type="dxa"/>
            <w:tcBorders>
              <w:top w:val="nil"/>
              <w:left w:val="nil"/>
              <w:bottom w:val="single" w:sz="4" w:space="0" w:color="auto"/>
              <w:right w:val="single" w:sz="4" w:space="0" w:color="auto"/>
            </w:tcBorders>
            <w:shd w:val="clear" w:color="000000" w:fill="00B050"/>
            <w:noWrap/>
            <w:vAlign w:val="bottom"/>
            <w:hideMark/>
          </w:tcPr>
          <w:p w14:paraId="76A03FAB"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-48.4</w:t>
            </w:r>
          </w:p>
        </w:tc>
        <w:tc>
          <w:tcPr>
            <w:tcW w:w="628" w:type="dxa"/>
            <w:tcBorders>
              <w:top w:val="nil"/>
              <w:left w:val="nil"/>
              <w:bottom w:val="single" w:sz="4" w:space="0" w:color="auto"/>
              <w:right w:val="single" w:sz="4" w:space="0" w:color="auto"/>
            </w:tcBorders>
            <w:shd w:val="clear" w:color="000000" w:fill="00B050"/>
            <w:noWrap/>
            <w:vAlign w:val="bottom"/>
            <w:hideMark/>
          </w:tcPr>
          <w:p w14:paraId="7CB76FC4"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-48.2</w:t>
            </w:r>
          </w:p>
        </w:tc>
        <w:tc>
          <w:tcPr>
            <w:tcW w:w="628" w:type="dxa"/>
            <w:tcBorders>
              <w:top w:val="nil"/>
              <w:left w:val="nil"/>
              <w:bottom w:val="single" w:sz="4" w:space="0" w:color="auto"/>
              <w:right w:val="single" w:sz="4" w:space="0" w:color="auto"/>
            </w:tcBorders>
            <w:shd w:val="clear" w:color="000000" w:fill="00B050"/>
            <w:noWrap/>
            <w:vAlign w:val="bottom"/>
            <w:hideMark/>
          </w:tcPr>
          <w:p w14:paraId="24479ABB"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-37.6</w:t>
            </w:r>
          </w:p>
        </w:tc>
        <w:tc>
          <w:tcPr>
            <w:tcW w:w="628" w:type="dxa"/>
            <w:tcBorders>
              <w:top w:val="nil"/>
              <w:left w:val="nil"/>
              <w:bottom w:val="single" w:sz="4" w:space="0" w:color="auto"/>
              <w:right w:val="single" w:sz="4" w:space="0" w:color="auto"/>
            </w:tcBorders>
            <w:shd w:val="clear" w:color="000000" w:fill="00B050"/>
            <w:noWrap/>
            <w:vAlign w:val="bottom"/>
            <w:hideMark/>
          </w:tcPr>
          <w:p w14:paraId="6A07BA65"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-38.4</w:t>
            </w:r>
          </w:p>
        </w:tc>
        <w:tc>
          <w:tcPr>
            <w:tcW w:w="628" w:type="dxa"/>
            <w:tcBorders>
              <w:top w:val="nil"/>
              <w:left w:val="nil"/>
              <w:bottom w:val="single" w:sz="4" w:space="0" w:color="auto"/>
              <w:right w:val="single" w:sz="4" w:space="0" w:color="auto"/>
            </w:tcBorders>
            <w:shd w:val="clear" w:color="000000" w:fill="00B050"/>
            <w:noWrap/>
            <w:vAlign w:val="bottom"/>
            <w:hideMark/>
          </w:tcPr>
          <w:p w14:paraId="458692F4"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-38.5</w:t>
            </w:r>
          </w:p>
        </w:tc>
        <w:tc>
          <w:tcPr>
            <w:tcW w:w="628" w:type="dxa"/>
            <w:tcBorders>
              <w:top w:val="nil"/>
              <w:left w:val="nil"/>
              <w:bottom w:val="single" w:sz="4" w:space="0" w:color="auto"/>
              <w:right w:val="single" w:sz="4" w:space="0" w:color="auto"/>
            </w:tcBorders>
            <w:shd w:val="clear" w:color="000000" w:fill="00B050"/>
            <w:noWrap/>
            <w:vAlign w:val="bottom"/>
            <w:hideMark/>
          </w:tcPr>
          <w:p w14:paraId="56C06172"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-41.0</w:t>
            </w:r>
          </w:p>
        </w:tc>
        <w:tc>
          <w:tcPr>
            <w:tcW w:w="628" w:type="dxa"/>
            <w:tcBorders>
              <w:top w:val="nil"/>
              <w:left w:val="nil"/>
              <w:bottom w:val="single" w:sz="4" w:space="0" w:color="auto"/>
              <w:right w:val="single" w:sz="4" w:space="0" w:color="auto"/>
            </w:tcBorders>
            <w:shd w:val="clear" w:color="000000" w:fill="00B050"/>
            <w:noWrap/>
            <w:vAlign w:val="bottom"/>
            <w:hideMark/>
          </w:tcPr>
          <w:p w14:paraId="2D674535"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-44.6</w:t>
            </w:r>
          </w:p>
        </w:tc>
      </w:tr>
      <w:tr w:rsidR="00B56301" w:rsidRPr="00364545" w14:paraId="6D0ACDFD"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299067F"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National TOTAL including UTCATF</w:t>
            </w:r>
          </w:p>
        </w:tc>
        <w:tc>
          <w:tcPr>
            <w:tcW w:w="628" w:type="dxa"/>
            <w:tcBorders>
              <w:top w:val="nil"/>
              <w:left w:val="nil"/>
              <w:bottom w:val="single" w:sz="4" w:space="0" w:color="auto"/>
              <w:right w:val="single" w:sz="4" w:space="0" w:color="auto"/>
            </w:tcBorders>
            <w:shd w:val="clear" w:color="000000" w:fill="D9D9D9"/>
            <w:noWrap/>
            <w:vAlign w:val="bottom"/>
            <w:hideMark/>
          </w:tcPr>
          <w:p w14:paraId="239B348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491.9</w:t>
            </w:r>
          </w:p>
        </w:tc>
        <w:tc>
          <w:tcPr>
            <w:tcW w:w="628" w:type="dxa"/>
            <w:tcBorders>
              <w:top w:val="nil"/>
              <w:left w:val="nil"/>
              <w:bottom w:val="single" w:sz="4" w:space="0" w:color="auto"/>
              <w:right w:val="single" w:sz="4" w:space="0" w:color="auto"/>
            </w:tcBorders>
            <w:shd w:val="clear" w:color="000000" w:fill="D9D9D9"/>
            <w:noWrap/>
            <w:vAlign w:val="bottom"/>
            <w:hideMark/>
          </w:tcPr>
          <w:p w14:paraId="143B7C62"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483.2</w:t>
            </w:r>
          </w:p>
        </w:tc>
        <w:tc>
          <w:tcPr>
            <w:tcW w:w="628" w:type="dxa"/>
            <w:tcBorders>
              <w:top w:val="nil"/>
              <w:left w:val="nil"/>
              <w:bottom w:val="single" w:sz="4" w:space="0" w:color="auto"/>
              <w:right w:val="single" w:sz="4" w:space="0" w:color="auto"/>
            </w:tcBorders>
            <w:shd w:val="clear" w:color="000000" w:fill="D9D9D9"/>
            <w:noWrap/>
            <w:vAlign w:val="bottom"/>
            <w:hideMark/>
          </w:tcPr>
          <w:p w14:paraId="491F84C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477.9</w:t>
            </w:r>
          </w:p>
        </w:tc>
        <w:tc>
          <w:tcPr>
            <w:tcW w:w="628" w:type="dxa"/>
            <w:tcBorders>
              <w:top w:val="nil"/>
              <w:left w:val="nil"/>
              <w:bottom w:val="single" w:sz="4" w:space="0" w:color="auto"/>
              <w:right w:val="single" w:sz="4" w:space="0" w:color="auto"/>
            </w:tcBorders>
            <w:shd w:val="clear" w:color="000000" w:fill="D9D9D9"/>
            <w:noWrap/>
            <w:vAlign w:val="bottom"/>
            <w:hideMark/>
          </w:tcPr>
          <w:p w14:paraId="5936BE6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465.8</w:t>
            </w:r>
          </w:p>
        </w:tc>
        <w:tc>
          <w:tcPr>
            <w:tcW w:w="628" w:type="dxa"/>
            <w:tcBorders>
              <w:top w:val="nil"/>
              <w:left w:val="nil"/>
              <w:bottom w:val="single" w:sz="4" w:space="0" w:color="auto"/>
              <w:right w:val="single" w:sz="4" w:space="0" w:color="auto"/>
            </w:tcBorders>
            <w:shd w:val="clear" w:color="000000" w:fill="D9D9D9"/>
            <w:noWrap/>
            <w:vAlign w:val="bottom"/>
            <w:hideMark/>
          </w:tcPr>
          <w:p w14:paraId="24347BD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469.1</w:t>
            </w:r>
          </w:p>
        </w:tc>
        <w:tc>
          <w:tcPr>
            <w:tcW w:w="628" w:type="dxa"/>
            <w:tcBorders>
              <w:top w:val="nil"/>
              <w:left w:val="nil"/>
              <w:bottom w:val="single" w:sz="4" w:space="0" w:color="auto"/>
              <w:right w:val="single" w:sz="4" w:space="0" w:color="auto"/>
            </w:tcBorders>
            <w:shd w:val="clear" w:color="000000" w:fill="D9D9D9"/>
            <w:noWrap/>
            <w:vAlign w:val="bottom"/>
            <w:hideMark/>
          </w:tcPr>
          <w:p w14:paraId="0C80E1C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444.8</w:t>
            </w:r>
          </w:p>
        </w:tc>
        <w:tc>
          <w:tcPr>
            <w:tcW w:w="628" w:type="dxa"/>
            <w:tcBorders>
              <w:top w:val="nil"/>
              <w:left w:val="nil"/>
              <w:bottom w:val="single" w:sz="4" w:space="0" w:color="auto"/>
              <w:right w:val="single" w:sz="4" w:space="0" w:color="auto"/>
            </w:tcBorders>
            <w:shd w:val="clear" w:color="000000" w:fill="D9D9D9"/>
            <w:noWrap/>
            <w:vAlign w:val="bottom"/>
            <w:hideMark/>
          </w:tcPr>
          <w:p w14:paraId="47630309"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443.8</w:t>
            </w:r>
          </w:p>
        </w:tc>
        <w:tc>
          <w:tcPr>
            <w:tcW w:w="628" w:type="dxa"/>
            <w:tcBorders>
              <w:top w:val="nil"/>
              <w:left w:val="nil"/>
              <w:bottom w:val="single" w:sz="4" w:space="0" w:color="auto"/>
              <w:right w:val="single" w:sz="4" w:space="0" w:color="auto"/>
            </w:tcBorders>
            <w:shd w:val="clear" w:color="000000" w:fill="D9D9D9"/>
            <w:noWrap/>
            <w:vAlign w:val="bottom"/>
            <w:hideMark/>
          </w:tcPr>
          <w:p w14:paraId="3C78456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441.0</w:t>
            </w:r>
          </w:p>
        </w:tc>
      </w:tr>
    </w:tbl>
    <w:p w14:paraId="528D59BF" w14:textId="77777777" w:rsidR="00B56301" w:rsidRPr="00364545" w:rsidRDefault="00B56301" w:rsidP="00B56301">
      <w:pPr>
        <w:spacing w:line="240" w:lineRule="atLeast"/>
        <w:jc w:val="left"/>
      </w:pPr>
      <w:r w:rsidRPr="00364545">
        <w:br w:type="page"/>
      </w:r>
    </w:p>
    <w:p w14:paraId="13B8D187" w14:textId="77777777" w:rsidR="00B56301" w:rsidRPr="00364545" w:rsidRDefault="00B56301" w:rsidP="00B56301">
      <w:pPr>
        <w:spacing w:line="240" w:lineRule="atLeast"/>
        <w:jc w:val="left"/>
      </w:pPr>
    </w:p>
    <w:tbl>
      <w:tblPr>
        <w:tblW w:w="10920" w:type="dxa"/>
        <w:jc w:val="center"/>
        <w:tblCellMar>
          <w:left w:w="70" w:type="dxa"/>
          <w:right w:w="70" w:type="dxa"/>
        </w:tblCellMar>
        <w:tblLook w:val="04A0" w:firstRow="1" w:lastRow="0" w:firstColumn="1" w:lastColumn="0" w:noHBand="0" w:noVBand="1"/>
      </w:tblPr>
      <w:tblGrid>
        <w:gridCol w:w="5680"/>
        <w:gridCol w:w="628"/>
        <w:gridCol w:w="628"/>
        <w:gridCol w:w="628"/>
        <w:gridCol w:w="628"/>
        <w:gridCol w:w="628"/>
        <w:gridCol w:w="628"/>
        <w:gridCol w:w="628"/>
        <w:gridCol w:w="844"/>
      </w:tblGrid>
      <w:tr w:rsidR="00B56301" w:rsidRPr="00364545" w14:paraId="358F7D9A" w14:textId="77777777" w:rsidTr="00B37B65">
        <w:trPr>
          <w:trHeight w:val="68"/>
          <w:jc w:val="center"/>
        </w:trPr>
        <w:tc>
          <w:tcPr>
            <w:tcW w:w="10920" w:type="dxa"/>
            <w:gridSpan w:val="9"/>
            <w:tcBorders>
              <w:top w:val="nil"/>
              <w:left w:val="nil"/>
              <w:bottom w:val="nil"/>
            </w:tcBorders>
            <w:shd w:val="clear" w:color="auto" w:fill="auto"/>
            <w:vAlign w:val="center"/>
          </w:tcPr>
          <w:p w14:paraId="344AD30E" w14:textId="77777777" w:rsidR="00B56301" w:rsidRPr="00364545" w:rsidRDefault="00B56301" w:rsidP="00B37B65">
            <w:pPr>
              <w:jc w:val="left"/>
              <w:rPr>
                <w:rFonts w:ascii="Trebuchet MS" w:hAnsi="Trebuchet MS" w:cs="Arial"/>
                <w:b/>
                <w:bCs/>
                <w:sz w:val="16"/>
                <w:szCs w:val="18"/>
              </w:rPr>
            </w:pPr>
            <w:r w:rsidRPr="00364545">
              <w:rPr>
                <w:rFonts w:ascii="Trebuchet MS" w:hAnsi="Trebuchet MS"/>
                <w:b/>
                <w:sz w:val="16"/>
              </w:rPr>
              <w:t>Emissions in the air - Source Citepa 2022 edition -national inventory of greenhouse gas emissions and atmospheric pollutants - citepa.org</w:t>
            </w:r>
          </w:p>
        </w:tc>
      </w:tr>
      <w:tr w:rsidR="00B56301" w:rsidRPr="00364545" w14:paraId="0D13064A" w14:textId="77777777" w:rsidTr="00B37B65">
        <w:trPr>
          <w:trHeight w:val="68"/>
          <w:jc w:val="center"/>
        </w:trPr>
        <w:tc>
          <w:tcPr>
            <w:tcW w:w="10920" w:type="dxa"/>
            <w:gridSpan w:val="9"/>
            <w:tcBorders>
              <w:top w:val="nil"/>
              <w:left w:val="nil"/>
            </w:tcBorders>
            <w:shd w:val="clear" w:color="auto" w:fill="auto"/>
            <w:vAlign w:val="center"/>
          </w:tcPr>
          <w:p w14:paraId="5CD25BA7" w14:textId="77777777" w:rsidR="00B56301" w:rsidRPr="00364545" w:rsidRDefault="00B56301" w:rsidP="00B37B65">
            <w:pPr>
              <w:jc w:val="left"/>
              <w:rPr>
                <w:rFonts w:ascii="Trebuchet MS" w:hAnsi="Trebuchet MS" w:cs="Arial"/>
                <w:b/>
                <w:bCs/>
                <w:sz w:val="16"/>
                <w:szCs w:val="18"/>
              </w:rPr>
            </w:pPr>
            <w:r w:rsidRPr="00364545">
              <w:rPr>
                <w:rFonts w:ascii="Trebuchet MS" w:hAnsi="Trebuchet MS"/>
                <w:b/>
                <w:sz w:val="16"/>
              </w:rPr>
              <w:t>Estimating Method: citepa.org/ominea</w:t>
            </w:r>
          </w:p>
        </w:tc>
      </w:tr>
      <w:tr w:rsidR="00B56301" w:rsidRPr="00364545" w14:paraId="442152B5" w14:textId="77777777" w:rsidTr="00B37B65">
        <w:trPr>
          <w:trHeight w:val="68"/>
          <w:jc w:val="center"/>
        </w:trPr>
        <w:tc>
          <w:tcPr>
            <w:tcW w:w="10920" w:type="dxa"/>
            <w:gridSpan w:val="9"/>
            <w:tcBorders>
              <w:top w:val="nil"/>
              <w:left w:val="nil"/>
              <w:bottom w:val="nil"/>
            </w:tcBorders>
            <w:shd w:val="clear" w:color="auto" w:fill="auto"/>
            <w:vAlign w:val="center"/>
          </w:tcPr>
          <w:p w14:paraId="2DE4F896" w14:textId="77777777" w:rsidR="00B56301" w:rsidRPr="00364545" w:rsidRDefault="00B56301" w:rsidP="00B37B65">
            <w:pPr>
              <w:jc w:val="center"/>
              <w:rPr>
                <w:rFonts w:ascii="Trebuchet MS" w:hAnsi="Trebuchet MS" w:cs="Arial"/>
                <w:b/>
                <w:bCs/>
                <w:sz w:val="18"/>
                <w:szCs w:val="18"/>
              </w:rPr>
            </w:pPr>
          </w:p>
        </w:tc>
      </w:tr>
      <w:tr w:rsidR="00B56301" w:rsidRPr="00364545" w14:paraId="4258D0CD" w14:textId="77777777" w:rsidTr="00B37B65">
        <w:trPr>
          <w:trHeight w:val="68"/>
          <w:jc w:val="center"/>
        </w:trPr>
        <w:tc>
          <w:tcPr>
            <w:tcW w:w="5680" w:type="dxa"/>
            <w:tcBorders>
              <w:top w:val="nil"/>
              <w:left w:val="nil"/>
              <w:bottom w:val="nil"/>
              <w:right w:val="nil"/>
            </w:tcBorders>
            <w:shd w:val="clear" w:color="auto" w:fill="auto"/>
            <w:vAlign w:val="center"/>
            <w:hideMark/>
          </w:tcPr>
          <w:p w14:paraId="4D6EB6C8" w14:textId="2AD5D440" w:rsidR="00B56301" w:rsidRPr="00364545" w:rsidRDefault="00B56301" w:rsidP="00B37B65">
            <w:pPr>
              <w:jc w:val="center"/>
              <w:rPr>
                <w:rFonts w:ascii="Trebuchet MS" w:hAnsi="Trebuchet MS" w:cs="Arial"/>
                <w:b/>
                <w:bCs/>
                <w:i/>
                <w:iCs/>
                <w:sz w:val="16"/>
                <w:szCs w:val="18"/>
              </w:rPr>
            </w:pPr>
            <w:r w:rsidRPr="00364545">
              <w:rPr>
                <w:rFonts w:ascii="Trebuchet MS" w:hAnsi="Trebuchet MS"/>
                <w:b/>
                <w:i/>
                <w:sz w:val="16"/>
              </w:rPr>
              <w:t xml:space="preserve">Emissions of </w:t>
            </w:r>
            <w:r w:rsidRPr="00364545">
              <w:t>CO</w:t>
            </w:r>
            <w:r w:rsidRPr="00364545">
              <w:rPr>
                <w:vertAlign w:val="subscript"/>
              </w:rPr>
              <w:t>2</w:t>
            </w:r>
            <w:r w:rsidRPr="00364545">
              <w:rPr>
                <w:rFonts w:ascii="Trebuchet MS" w:hAnsi="Trebuchet MS"/>
                <w:b/>
                <w:i/>
                <w:sz w:val="16"/>
                <w:vertAlign w:val="subscript"/>
              </w:rPr>
              <w:t>e</w:t>
            </w:r>
            <w:r w:rsidRPr="00364545">
              <w:rPr>
                <w:rFonts w:ascii="Trebuchet MS" w:hAnsi="Trebuchet MS"/>
                <w:b/>
                <w:i/>
                <w:sz w:val="16"/>
              </w:rPr>
              <w:t xml:space="preserve"> (Mt</w:t>
            </w:r>
            <w:r w:rsidRPr="00364545">
              <w:t>CO</w:t>
            </w:r>
            <w:r w:rsidRPr="00364545">
              <w:rPr>
                <w:vertAlign w:val="subscript"/>
              </w:rPr>
              <w:t>2</w:t>
            </w:r>
            <w:r w:rsidRPr="00364545">
              <w:rPr>
                <w:rFonts w:ascii="Trebuchet MS" w:hAnsi="Trebuchet MS"/>
                <w:b/>
                <w:i/>
                <w:sz w:val="16"/>
                <w:vertAlign w:val="subscript"/>
              </w:rPr>
              <w:t>e</w:t>
            </w:r>
            <w:r w:rsidRPr="00364545">
              <w:rPr>
                <w:rFonts w:ascii="Trebuchet MS" w:hAnsi="Trebuchet MS"/>
                <w:b/>
                <w:i/>
                <w:sz w:val="16"/>
              </w:rPr>
              <w:t>/p.a.)</w:t>
            </w:r>
            <w:r w:rsidRPr="00364545">
              <w:rPr>
                <w:rFonts w:ascii="Trebuchet MS" w:hAnsi="Trebuchet MS"/>
                <w:b/>
                <w:i/>
                <w:sz w:val="16"/>
              </w:rPr>
              <w:br/>
              <w:t>Scope: Mainland and Overseas included in EU</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6E602"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2014</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25929BEB"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2015</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04743AE6"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2016</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7A0449B1"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2017</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118BF7BA"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2018</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1AB47C1"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2019</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62EC7EE5"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2020</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25CCF17B" w14:textId="77777777" w:rsidR="00B56301" w:rsidRPr="00364545" w:rsidRDefault="00B56301" w:rsidP="00B37B65">
            <w:pPr>
              <w:jc w:val="center"/>
              <w:rPr>
                <w:rFonts w:ascii="Trebuchet MS" w:hAnsi="Trebuchet MS" w:cs="Arial"/>
                <w:b/>
                <w:bCs/>
                <w:sz w:val="16"/>
                <w:szCs w:val="18"/>
              </w:rPr>
            </w:pPr>
            <w:r w:rsidRPr="00364545">
              <w:rPr>
                <w:rFonts w:ascii="Trebuchet MS" w:hAnsi="Trebuchet MS"/>
                <w:b/>
                <w:sz w:val="16"/>
              </w:rPr>
              <w:t>Change 2019-2020</w:t>
            </w:r>
          </w:p>
        </w:tc>
      </w:tr>
      <w:tr w:rsidR="00B56301" w:rsidRPr="00364545" w14:paraId="5851E0A6" w14:textId="77777777" w:rsidTr="00B37B65">
        <w:trPr>
          <w:trHeight w:val="68"/>
          <w:jc w:val="center"/>
        </w:trPr>
        <w:tc>
          <w:tcPr>
            <w:tcW w:w="5680" w:type="dxa"/>
            <w:tcBorders>
              <w:top w:val="single" w:sz="4" w:space="0" w:color="auto"/>
              <w:left w:val="nil"/>
              <w:bottom w:val="single" w:sz="4" w:space="0" w:color="auto"/>
              <w:right w:val="single" w:sz="4" w:space="0" w:color="auto"/>
            </w:tcBorders>
            <w:shd w:val="clear" w:color="000000" w:fill="DDEBF7"/>
            <w:noWrap/>
            <w:vAlign w:val="bottom"/>
            <w:hideMark/>
          </w:tcPr>
          <w:p w14:paraId="644F2F7F"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Energy Industry</w:t>
            </w:r>
          </w:p>
        </w:tc>
        <w:tc>
          <w:tcPr>
            <w:tcW w:w="628" w:type="dxa"/>
            <w:tcBorders>
              <w:top w:val="nil"/>
              <w:left w:val="nil"/>
              <w:bottom w:val="single" w:sz="4" w:space="0" w:color="auto"/>
              <w:right w:val="single" w:sz="4" w:space="0" w:color="auto"/>
            </w:tcBorders>
            <w:shd w:val="clear" w:color="000000" w:fill="DDEBF7"/>
            <w:noWrap/>
            <w:vAlign w:val="bottom"/>
            <w:hideMark/>
          </w:tcPr>
          <w:p w14:paraId="4CDE11F9"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47.1</w:t>
            </w:r>
          </w:p>
        </w:tc>
        <w:tc>
          <w:tcPr>
            <w:tcW w:w="628" w:type="dxa"/>
            <w:tcBorders>
              <w:top w:val="nil"/>
              <w:left w:val="nil"/>
              <w:bottom w:val="single" w:sz="4" w:space="0" w:color="auto"/>
              <w:right w:val="single" w:sz="4" w:space="0" w:color="auto"/>
            </w:tcBorders>
            <w:shd w:val="clear" w:color="000000" w:fill="DDEBF7"/>
            <w:noWrap/>
            <w:vAlign w:val="bottom"/>
            <w:hideMark/>
          </w:tcPr>
          <w:p w14:paraId="7E645A71"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49.8</w:t>
            </w:r>
          </w:p>
        </w:tc>
        <w:tc>
          <w:tcPr>
            <w:tcW w:w="628" w:type="dxa"/>
            <w:tcBorders>
              <w:top w:val="nil"/>
              <w:left w:val="nil"/>
              <w:bottom w:val="single" w:sz="4" w:space="0" w:color="auto"/>
              <w:right w:val="single" w:sz="4" w:space="0" w:color="auto"/>
            </w:tcBorders>
            <w:shd w:val="clear" w:color="000000" w:fill="DDEBF7"/>
            <w:noWrap/>
            <w:vAlign w:val="bottom"/>
            <w:hideMark/>
          </w:tcPr>
          <w:p w14:paraId="6AEE8AD9"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53.4</w:t>
            </w:r>
          </w:p>
        </w:tc>
        <w:tc>
          <w:tcPr>
            <w:tcW w:w="628" w:type="dxa"/>
            <w:tcBorders>
              <w:top w:val="nil"/>
              <w:left w:val="nil"/>
              <w:bottom w:val="single" w:sz="4" w:space="0" w:color="auto"/>
              <w:right w:val="single" w:sz="4" w:space="0" w:color="auto"/>
            </w:tcBorders>
            <w:shd w:val="clear" w:color="000000" w:fill="DDEBF7"/>
            <w:noWrap/>
            <w:vAlign w:val="bottom"/>
            <w:hideMark/>
          </w:tcPr>
          <w:p w14:paraId="5C5192F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57.2</w:t>
            </w:r>
          </w:p>
        </w:tc>
        <w:tc>
          <w:tcPr>
            <w:tcW w:w="628" w:type="dxa"/>
            <w:tcBorders>
              <w:top w:val="nil"/>
              <w:left w:val="nil"/>
              <w:bottom w:val="single" w:sz="4" w:space="0" w:color="auto"/>
              <w:right w:val="single" w:sz="4" w:space="0" w:color="auto"/>
            </w:tcBorders>
            <w:shd w:val="clear" w:color="000000" w:fill="DDEBF7"/>
            <w:noWrap/>
            <w:vAlign w:val="bottom"/>
            <w:hideMark/>
          </w:tcPr>
          <w:p w14:paraId="407F78A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47.9</w:t>
            </w:r>
          </w:p>
        </w:tc>
        <w:tc>
          <w:tcPr>
            <w:tcW w:w="628" w:type="dxa"/>
            <w:tcBorders>
              <w:top w:val="nil"/>
              <w:left w:val="nil"/>
              <w:bottom w:val="single" w:sz="4" w:space="0" w:color="auto"/>
              <w:right w:val="single" w:sz="4" w:space="0" w:color="auto"/>
            </w:tcBorders>
            <w:shd w:val="clear" w:color="000000" w:fill="DDEBF7"/>
            <w:noWrap/>
            <w:vAlign w:val="bottom"/>
            <w:hideMark/>
          </w:tcPr>
          <w:p w14:paraId="75455D1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46.0</w:t>
            </w:r>
          </w:p>
        </w:tc>
        <w:tc>
          <w:tcPr>
            <w:tcW w:w="628" w:type="dxa"/>
            <w:tcBorders>
              <w:top w:val="nil"/>
              <w:left w:val="nil"/>
              <w:bottom w:val="single" w:sz="4" w:space="0" w:color="auto"/>
              <w:right w:val="single" w:sz="4" w:space="0" w:color="auto"/>
            </w:tcBorders>
            <w:shd w:val="clear" w:color="000000" w:fill="DDEBF7"/>
            <w:noWrap/>
            <w:vAlign w:val="bottom"/>
            <w:hideMark/>
          </w:tcPr>
          <w:p w14:paraId="0111FA5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40.8</w:t>
            </w:r>
          </w:p>
        </w:tc>
        <w:tc>
          <w:tcPr>
            <w:tcW w:w="844" w:type="dxa"/>
            <w:tcBorders>
              <w:top w:val="nil"/>
              <w:left w:val="nil"/>
              <w:bottom w:val="single" w:sz="4" w:space="0" w:color="auto"/>
              <w:right w:val="single" w:sz="4" w:space="0" w:color="auto"/>
            </w:tcBorders>
            <w:shd w:val="clear" w:color="000000" w:fill="DDEBF7"/>
            <w:noWrap/>
            <w:hideMark/>
          </w:tcPr>
          <w:p w14:paraId="29BD256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sz w:val="16"/>
              </w:rPr>
              <w:t>-11.1%</w:t>
            </w:r>
          </w:p>
        </w:tc>
      </w:tr>
      <w:tr w:rsidR="00B56301" w:rsidRPr="00364545" w14:paraId="3E99F25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58243707"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Electricity Production</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05FED4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19.1</w:t>
            </w:r>
          </w:p>
        </w:tc>
        <w:tc>
          <w:tcPr>
            <w:tcW w:w="628" w:type="dxa"/>
            <w:tcBorders>
              <w:top w:val="nil"/>
              <w:left w:val="nil"/>
              <w:bottom w:val="single" w:sz="4" w:space="0" w:color="auto"/>
              <w:right w:val="single" w:sz="4" w:space="0" w:color="auto"/>
            </w:tcBorders>
            <w:shd w:val="clear" w:color="auto" w:fill="auto"/>
            <w:noWrap/>
            <w:vAlign w:val="center"/>
            <w:hideMark/>
          </w:tcPr>
          <w:p w14:paraId="7B1F49B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21.4</w:t>
            </w:r>
          </w:p>
        </w:tc>
        <w:tc>
          <w:tcPr>
            <w:tcW w:w="628" w:type="dxa"/>
            <w:tcBorders>
              <w:top w:val="nil"/>
              <w:left w:val="nil"/>
              <w:bottom w:val="single" w:sz="4" w:space="0" w:color="auto"/>
              <w:right w:val="single" w:sz="4" w:space="0" w:color="auto"/>
            </w:tcBorders>
            <w:shd w:val="clear" w:color="auto" w:fill="auto"/>
            <w:noWrap/>
            <w:vAlign w:val="center"/>
            <w:hideMark/>
          </w:tcPr>
          <w:p w14:paraId="7A5BA16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25.0</w:t>
            </w:r>
          </w:p>
        </w:tc>
        <w:tc>
          <w:tcPr>
            <w:tcW w:w="628" w:type="dxa"/>
            <w:tcBorders>
              <w:top w:val="nil"/>
              <w:left w:val="nil"/>
              <w:bottom w:val="single" w:sz="4" w:space="0" w:color="auto"/>
              <w:right w:val="single" w:sz="4" w:space="0" w:color="auto"/>
            </w:tcBorders>
            <w:shd w:val="clear" w:color="auto" w:fill="auto"/>
            <w:noWrap/>
            <w:vAlign w:val="center"/>
            <w:hideMark/>
          </w:tcPr>
          <w:p w14:paraId="284D112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29.2</w:t>
            </w:r>
          </w:p>
        </w:tc>
        <w:tc>
          <w:tcPr>
            <w:tcW w:w="628" w:type="dxa"/>
            <w:tcBorders>
              <w:top w:val="nil"/>
              <w:left w:val="nil"/>
              <w:bottom w:val="single" w:sz="4" w:space="0" w:color="auto"/>
              <w:right w:val="single" w:sz="4" w:space="0" w:color="auto"/>
            </w:tcBorders>
            <w:shd w:val="clear" w:color="auto" w:fill="auto"/>
            <w:noWrap/>
            <w:vAlign w:val="center"/>
            <w:hideMark/>
          </w:tcPr>
          <w:p w14:paraId="2F97689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21.2</w:t>
            </w:r>
          </w:p>
        </w:tc>
        <w:tc>
          <w:tcPr>
            <w:tcW w:w="628" w:type="dxa"/>
            <w:tcBorders>
              <w:top w:val="nil"/>
              <w:left w:val="nil"/>
              <w:bottom w:val="single" w:sz="4" w:space="0" w:color="auto"/>
              <w:right w:val="single" w:sz="4" w:space="0" w:color="auto"/>
            </w:tcBorders>
            <w:shd w:val="clear" w:color="auto" w:fill="auto"/>
            <w:noWrap/>
            <w:vAlign w:val="center"/>
            <w:hideMark/>
          </w:tcPr>
          <w:p w14:paraId="5E956DB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19.9</w:t>
            </w:r>
          </w:p>
        </w:tc>
        <w:tc>
          <w:tcPr>
            <w:tcW w:w="628" w:type="dxa"/>
            <w:tcBorders>
              <w:top w:val="nil"/>
              <w:left w:val="nil"/>
              <w:bottom w:val="single" w:sz="4" w:space="0" w:color="auto"/>
              <w:right w:val="single" w:sz="4" w:space="0" w:color="auto"/>
            </w:tcBorders>
            <w:shd w:val="clear" w:color="auto" w:fill="auto"/>
            <w:noWrap/>
            <w:vAlign w:val="center"/>
            <w:hideMark/>
          </w:tcPr>
          <w:p w14:paraId="259F943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17.7</w:t>
            </w:r>
          </w:p>
        </w:tc>
        <w:tc>
          <w:tcPr>
            <w:tcW w:w="844" w:type="dxa"/>
            <w:tcBorders>
              <w:top w:val="nil"/>
              <w:left w:val="nil"/>
              <w:bottom w:val="single" w:sz="4" w:space="0" w:color="auto"/>
              <w:right w:val="single" w:sz="4" w:space="0" w:color="auto"/>
            </w:tcBorders>
            <w:shd w:val="clear" w:color="auto" w:fill="auto"/>
            <w:noWrap/>
            <w:hideMark/>
          </w:tcPr>
          <w:p w14:paraId="7605264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-11.3%</w:t>
            </w:r>
          </w:p>
        </w:tc>
      </w:tr>
      <w:tr w:rsidR="00B56301" w:rsidRPr="00364545" w14:paraId="594D4ACE"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2F1F1C2"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District Heating</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6D45B4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1BBE3DF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6.5</w:t>
            </w:r>
          </w:p>
        </w:tc>
        <w:tc>
          <w:tcPr>
            <w:tcW w:w="628" w:type="dxa"/>
            <w:tcBorders>
              <w:top w:val="nil"/>
              <w:left w:val="nil"/>
              <w:bottom w:val="single" w:sz="4" w:space="0" w:color="auto"/>
              <w:right w:val="single" w:sz="4" w:space="0" w:color="auto"/>
            </w:tcBorders>
            <w:shd w:val="clear" w:color="auto" w:fill="auto"/>
            <w:noWrap/>
            <w:vAlign w:val="center"/>
            <w:hideMark/>
          </w:tcPr>
          <w:p w14:paraId="6C5BBC5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165440E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394995E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5.8</w:t>
            </w:r>
          </w:p>
        </w:tc>
        <w:tc>
          <w:tcPr>
            <w:tcW w:w="628" w:type="dxa"/>
            <w:tcBorders>
              <w:top w:val="nil"/>
              <w:left w:val="nil"/>
              <w:bottom w:val="single" w:sz="4" w:space="0" w:color="auto"/>
              <w:right w:val="single" w:sz="4" w:space="0" w:color="auto"/>
            </w:tcBorders>
            <w:shd w:val="clear" w:color="auto" w:fill="auto"/>
            <w:noWrap/>
            <w:vAlign w:val="center"/>
            <w:hideMark/>
          </w:tcPr>
          <w:p w14:paraId="5709D3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2EFF1D1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w:t>
            </w:r>
          </w:p>
        </w:tc>
        <w:tc>
          <w:tcPr>
            <w:tcW w:w="844" w:type="dxa"/>
            <w:tcBorders>
              <w:top w:val="nil"/>
              <w:left w:val="nil"/>
              <w:bottom w:val="single" w:sz="4" w:space="0" w:color="auto"/>
              <w:right w:val="single" w:sz="4" w:space="0" w:color="auto"/>
            </w:tcBorders>
            <w:shd w:val="clear" w:color="auto" w:fill="auto"/>
            <w:noWrap/>
            <w:hideMark/>
          </w:tcPr>
          <w:p w14:paraId="0C0C921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r>
      <w:tr w:rsidR="00B56301" w:rsidRPr="00364545" w14:paraId="53C69C52"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053BA17F"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Oil Refining</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5BAF44C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10.9</w:t>
            </w:r>
          </w:p>
        </w:tc>
        <w:tc>
          <w:tcPr>
            <w:tcW w:w="628" w:type="dxa"/>
            <w:tcBorders>
              <w:top w:val="nil"/>
              <w:left w:val="nil"/>
              <w:bottom w:val="single" w:sz="4" w:space="0" w:color="auto"/>
              <w:right w:val="single" w:sz="4" w:space="0" w:color="auto"/>
            </w:tcBorders>
            <w:shd w:val="clear" w:color="auto" w:fill="auto"/>
            <w:noWrap/>
            <w:vAlign w:val="center"/>
            <w:hideMark/>
          </w:tcPr>
          <w:p w14:paraId="6DED5BC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10.5</w:t>
            </w:r>
          </w:p>
        </w:tc>
        <w:tc>
          <w:tcPr>
            <w:tcW w:w="628" w:type="dxa"/>
            <w:tcBorders>
              <w:top w:val="nil"/>
              <w:left w:val="nil"/>
              <w:bottom w:val="single" w:sz="4" w:space="0" w:color="auto"/>
              <w:right w:val="single" w:sz="4" w:space="0" w:color="auto"/>
            </w:tcBorders>
            <w:shd w:val="clear" w:color="auto" w:fill="auto"/>
            <w:noWrap/>
            <w:vAlign w:val="center"/>
            <w:hideMark/>
          </w:tcPr>
          <w:p w14:paraId="45E5EB6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10.2</w:t>
            </w:r>
          </w:p>
        </w:tc>
        <w:tc>
          <w:tcPr>
            <w:tcW w:w="628" w:type="dxa"/>
            <w:tcBorders>
              <w:top w:val="nil"/>
              <w:left w:val="nil"/>
              <w:bottom w:val="single" w:sz="4" w:space="0" w:color="auto"/>
              <w:right w:val="single" w:sz="4" w:space="0" w:color="auto"/>
            </w:tcBorders>
            <w:shd w:val="clear" w:color="auto" w:fill="auto"/>
            <w:noWrap/>
            <w:vAlign w:val="center"/>
            <w:hideMark/>
          </w:tcPr>
          <w:p w14:paraId="2085BF9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9.6</w:t>
            </w:r>
          </w:p>
        </w:tc>
        <w:tc>
          <w:tcPr>
            <w:tcW w:w="628" w:type="dxa"/>
            <w:tcBorders>
              <w:top w:val="nil"/>
              <w:left w:val="nil"/>
              <w:bottom w:val="single" w:sz="4" w:space="0" w:color="auto"/>
              <w:right w:val="single" w:sz="4" w:space="0" w:color="auto"/>
            </w:tcBorders>
            <w:shd w:val="clear" w:color="auto" w:fill="auto"/>
            <w:noWrap/>
            <w:vAlign w:val="center"/>
            <w:hideMark/>
          </w:tcPr>
          <w:p w14:paraId="4613DB8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9.1</w:t>
            </w:r>
          </w:p>
        </w:tc>
        <w:tc>
          <w:tcPr>
            <w:tcW w:w="628" w:type="dxa"/>
            <w:tcBorders>
              <w:top w:val="nil"/>
              <w:left w:val="nil"/>
              <w:bottom w:val="single" w:sz="4" w:space="0" w:color="auto"/>
              <w:right w:val="single" w:sz="4" w:space="0" w:color="auto"/>
            </w:tcBorders>
            <w:shd w:val="clear" w:color="auto" w:fill="auto"/>
            <w:noWrap/>
            <w:vAlign w:val="center"/>
            <w:hideMark/>
          </w:tcPr>
          <w:p w14:paraId="02D96B1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8.7</w:t>
            </w:r>
          </w:p>
        </w:tc>
        <w:tc>
          <w:tcPr>
            <w:tcW w:w="628" w:type="dxa"/>
            <w:tcBorders>
              <w:top w:val="nil"/>
              <w:left w:val="nil"/>
              <w:bottom w:val="single" w:sz="4" w:space="0" w:color="auto"/>
              <w:right w:val="single" w:sz="4" w:space="0" w:color="auto"/>
            </w:tcBorders>
            <w:shd w:val="clear" w:color="auto" w:fill="auto"/>
            <w:noWrap/>
            <w:vAlign w:val="center"/>
            <w:hideMark/>
          </w:tcPr>
          <w:p w14:paraId="69EE08C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7.3</w:t>
            </w:r>
          </w:p>
        </w:tc>
        <w:tc>
          <w:tcPr>
            <w:tcW w:w="844" w:type="dxa"/>
            <w:tcBorders>
              <w:top w:val="nil"/>
              <w:left w:val="nil"/>
              <w:bottom w:val="single" w:sz="4" w:space="0" w:color="auto"/>
              <w:right w:val="single" w:sz="4" w:space="0" w:color="auto"/>
            </w:tcBorders>
            <w:shd w:val="clear" w:color="auto" w:fill="auto"/>
            <w:noWrap/>
            <w:hideMark/>
          </w:tcPr>
          <w:p w14:paraId="6BD48A3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-15.8%</w:t>
            </w:r>
          </w:p>
        </w:tc>
      </w:tr>
      <w:tr w:rsidR="00B56301" w:rsidRPr="00364545" w14:paraId="4FA65498"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0567CEE2"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Conversion of Solid Combustible Minerals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A78667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77FF4C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1821EFC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68F90E6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35AA15C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5911578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09574AF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w:t>
            </w:r>
          </w:p>
        </w:tc>
        <w:tc>
          <w:tcPr>
            <w:tcW w:w="844" w:type="dxa"/>
            <w:tcBorders>
              <w:top w:val="nil"/>
              <w:left w:val="nil"/>
              <w:bottom w:val="single" w:sz="4" w:space="0" w:color="auto"/>
              <w:right w:val="single" w:sz="4" w:space="0" w:color="auto"/>
            </w:tcBorders>
            <w:shd w:val="clear" w:color="auto" w:fill="auto"/>
            <w:noWrap/>
            <w:hideMark/>
          </w:tcPr>
          <w:p w14:paraId="74E350F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-25.6%</w:t>
            </w:r>
          </w:p>
        </w:tc>
      </w:tr>
      <w:tr w:rsidR="00B56301" w:rsidRPr="00364545" w14:paraId="4965FA1D"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B083A0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solids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45A75DE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0CA8A0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351E65A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A2F284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E2875B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13801F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3CAFFB1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844" w:type="dxa"/>
            <w:tcBorders>
              <w:top w:val="nil"/>
              <w:left w:val="nil"/>
              <w:bottom w:val="single" w:sz="4" w:space="0" w:color="auto"/>
              <w:right w:val="single" w:sz="4" w:space="0" w:color="auto"/>
            </w:tcBorders>
            <w:shd w:val="clear" w:color="auto" w:fill="auto"/>
            <w:noWrap/>
            <w:hideMark/>
          </w:tcPr>
          <w:p w14:paraId="4641124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48EF5758"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683914B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liquids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0DC4C5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4E6A08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54D19DC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089DC76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27F6E5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45CA677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00F141E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844" w:type="dxa"/>
            <w:tcBorders>
              <w:top w:val="nil"/>
              <w:left w:val="nil"/>
              <w:bottom w:val="single" w:sz="4" w:space="0" w:color="auto"/>
              <w:right w:val="single" w:sz="4" w:space="0" w:color="auto"/>
            </w:tcBorders>
            <w:shd w:val="clear" w:color="auto" w:fill="auto"/>
            <w:noWrap/>
            <w:hideMark/>
          </w:tcPr>
          <w:p w14:paraId="427977A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-11.2%</w:t>
            </w:r>
          </w:p>
        </w:tc>
      </w:tr>
      <w:tr w:rsidR="00B56301" w:rsidRPr="00364545" w14:paraId="7FB1B38E"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20F6B9F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Extraction and distribution of combustible gases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448066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c>
          <w:tcPr>
            <w:tcW w:w="628" w:type="dxa"/>
            <w:tcBorders>
              <w:top w:val="nil"/>
              <w:left w:val="nil"/>
              <w:bottom w:val="single" w:sz="4" w:space="0" w:color="auto"/>
              <w:right w:val="single" w:sz="4" w:space="0" w:color="auto"/>
            </w:tcBorders>
            <w:shd w:val="clear" w:color="auto" w:fill="auto"/>
            <w:noWrap/>
            <w:vAlign w:val="center"/>
            <w:hideMark/>
          </w:tcPr>
          <w:p w14:paraId="4A2A6B9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center"/>
            <w:hideMark/>
          </w:tcPr>
          <w:p w14:paraId="586D84D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center"/>
            <w:hideMark/>
          </w:tcPr>
          <w:p w14:paraId="7C8D62B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w:t>
            </w:r>
          </w:p>
        </w:tc>
        <w:tc>
          <w:tcPr>
            <w:tcW w:w="628" w:type="dxa"/>
            <w:tcBorders>
              <w:top w:val="nil"/>
              <w:left w:val="nil"/>
              <w:bottom w:val="single" w:sz="4" w:space="0" w:color="auto"/>
              <w:right w:val="single" w:sz="4" w:space="0" w:color="auto"/>
            </w:tcBorders>
            <w:shd w:val="clear" w:color="auto" w:fill="auto"/>
            <w:noWrap/>
            <w:vAlign w:val="center"/>
            <w:hideMark/>
          </w:tcPr>
          <w:p w14:paraId="5712404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w:t>
            </w:r>
          </w:p>
        </w:tc>
        <w:tc>
          <w:tcPr>
            <w:tcW w:w="628" w:type="dxa"/>
            <w:tcBorders>
              <w:top w:val="nil"/>
              <w:left w:val="nil"/>
              <w:bottom w:val="single" w:sz="4" w:space="0" w:color="auto"/>
              <w:right w:val="single" w:sz="4" w:space="0" w:color="auto"/>
            </w:tcBorders>
            <w:shd w:val="clear" w:color="auto" w:fill="auto"/>
            <w:noWrap/>
            <w:vAlign w:val="center"/>
            <w:hideMark/>
          </w:tcPr>
          <w:p w14:paraId="7237FC0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w:t>
            </w:r>
          </w:p>
        </w:tc>
        <w:tc>
          <w:tcPr>
            <w:tcW w:w="628" w:type="dxa"/>
            <w:tcBorders>
              <w:top w:val="nil"/>
              <w:left w:val="nil"/>
              <w:bottom w:val="single" w:sz="4" w:space="0" w:color="auto"/>
              <w:right w:val="single" w:sz="4" w:space="0" w:color="auto"/>
            </w:tcBorders>
            <w:shd w:val="clear" w:color="auto" w:fill="auto"/>
            <w:noWrap/>
            <w:vAlign w:val="center"/>
            <w:hideMark/>
          </w:tcPr>
          <w:p w14:paraId="68CC0FB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w:t>
            </w:r>
          </w:p>
        </w:tc>
        <w:tc>
          <w:tcPr>
            <w:tcW w:w="844" w:type="dxa"/>
            <w:tcBorders>
              <w:top w:val="nil"/>
              <w:left w:val="nil"/>
              <w:bottom w:val="single" w:sz="4" w:space="0" w:color="auto"/>
              <w:right w:val="single" w:sz="4" w:space="0" w:color="auto"/>
            </w:tcBorders>
            <w:shd w:val="clear" w:color="auto" w:fill="auto"/>
            <w:noWrap/>
            <w:hideMark/>
          </w:tcPr>
          <w:p w14:paraId="778335B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-20.4%</w:t>
            </w:r>
          </w:p>
        </w:tc>
      </w:tr>
      <w:tr w:rsidR="00B56301" w:rsidRPr="00364545" w14:paraId="37F847D4"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5F424067"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Charcoal making by carbonisation</w:t>
            </w:r>
          </w:p>
        </w:tc>
        <w:tc>
          <w:tcPr>
            <w:tcW w:w="628" w:type="dxa"/>
            <w:tcBorders>
              <w:top w:val="nil"/>
              <w:left w:val="nil"/>
              <w:bottom w:val="single" w:sz="4" w:space="0" w:color="auto"/>
              <w:right w:val="single" w:sz="4" w:space="0" w:color="auto"/>
            </w:tcBorders>
            <w:shd w:val="clear" w:color="auto" w:fill="auto"/>
            <w:noWrap/>
            <w:vAlign w:val="center"/>
            <w:hideMark/>
          </w:tcPr>
          <w:p w14:paraId="0BAD85F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AF9005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D8ED88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C14B0F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0D5E75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3918FF3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0F0408E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844" w:type="dxa"/>
            <w:tcBorders>
              <w:top w:val="nil"/>
              <w:left w:val="nil"/>
              <w:bottom w:val="single" w:sz="4" w:space="0" w:color="auto"/>
              <w:right w:val="single" w:sz="4" w:space="0" w:color="auto"/>
            </w:tcBorders>
            <w:shd w:val="clear" w:color="auto" w:fill="auto"/>
            <w:noWrap/>
            <w:hideMark/>
          </w:tcPr>
          <w:p w14:paraId="28D6153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21B47B9F"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4AE864F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Use of waste as an energy source</w:t>
            </w:r>
          </w:p>
        </w:tc>
        <w:tc>
          <w:tcPr>
            <w:tcW w:w="628" w:type="dxa"/>
            <w:tcBorders>
              <w:top w:val="nil"/>
              <w:left w:val="nil"/>
              <w:bottom w:val="single" w:sz="4" w:space="0" w:color="auto"/>
              <w:right w:val="single" w:sz="4" w:space="0" w:color="auto"/>
            </w:tcBorders>
            <w:shd w:val="clear" w:color="auto" w:fill="auto"/>
            <w:noWrap/>
            <w:vAlign w:val="center"/>
            <w:hideMark/>
          </w:tcPr>
          <w:p w14:paraId="5076F0A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7DFA75E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6.8</w:t>
            </w:r>
          </w:p>
        </w:tc>
        <w:tc>
          <w:tcPr>
            <w:tcW w:w="628" w:type="dxa"/>
            <w:tcBorders>
              <w:top w:val="nil"/>
              <w:left w:val="nil"/>
              <w:bottom w:val="single" w:sz="4" w:space="0" w:color="auto"/>
              <w:right w:val="single" w:sz="4" w:space="0" w:color="auto"/>
            </w:tcBorders>
            <w:shd w:val="clear" w:color="auto" w:fill="auto"/>
            <w:noWrap/>
            <w:vAlign w:val="center"/>
            <w:hideMark/>
          </w:tcPr>
          <w:p w14:paraId="0C8B07B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7.0</w:t>
            </w:r>
          </w:p>
        </w:tc>
        <w:tc>
          <w:tcPr>
            <w:tcW w:w="628" w:type="dxa"/>
            <w:tcBorders>
              <w:top w:val="nil"/>
              <w:left w:val="nil"/>
              <w:bottom w:val="single" w:sz="4" w:space="0" w:color="auto"/>
              <w:right w:val="single" w:sz="4" w:space="0" w:color="auto"/>
            </w:tcBorders>
            <w:shd w:val="clear" w:color="auto" w:fill="auto"/>
            <w:noWrap/>
            <w:vAlign w:val="center"/>
            <w:hideMark/>
          </w:tcPr>
          <w:p w14:paraId="4CB3289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7.1</w:t>
            </w:r>
          </w:p>
        </w:tc>
        <w:tc>
          <w:tcPr>
            <w:tcW w:w="628" w:type="dxa"/>
            <w:tcBorders>
              <w:top w:val="nil"/>
              <w:left w:val="nil"/>
              <w:bottom w:val="single" w:sz="4" w:space="0" w:color="auto"/>
              <w:right w:val="single" w:sz="4" w:space="0" w:color="auto"/>
            </w:tcBorders>
            <w:shd w:val="clear" w:color="auto" w:fill="auto"/>
            <w:noWrap/>
            <w:vAlign w:val="center"/>
            <w:hideMark/>
          </w:tcPr>
          <w:p w14:paraId="1028ABB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7.2</w:t>
            </w:r>
          </w:p>
        </w:tc>
        <w:tc>
          <w:tcPr>
            <w:tcW w:w="628" w:type="dxa"/>
            <w:tcBorders>
              <w:top w:val="nil"/>
              <w:left w:val="nil"/>
              <w:bottom w:val="single" w:sz="4" w:space="0" w:color="auto"/>
              <w:right w:val="single" w:sz="4" w:space="0" w:color="auto"/>
            </w:tcBorders>
            <w:shd w:val="clear" w:color="auto" w:fill="auto"/>
            <w:noWrap/>
            <w:vAlign w:val="center"/>
            <w:hideMark/>
          </w:tcPr>
          <w:p w14:paraId="034FEE7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7.1</w:t>
            </w:r>
          </w:p>
        </w:tc>
        <w:tc>
          <w:tcPr>
            <w:tcW w:w="628" w:type="dxa"/>
            <w:tcBorders>
              <w:top w:val="nil"/>
              <w:left w:val="nil"/>
              <w:bottom w:val="single" w:sz="4" w:space="0" w:color="auto"/>
              <w:right w:val="single" w:sz="4" w:space="0" w:color="auto"/>
            </w:tcBorders>
            <w:shd w:val="clear" w:color="auto" w:fill="auto"/>
            <w:noWrap/>
            <w:vAlign w:val="center"/>
            <w:hideMark/>
          </w:tcPr>
          <w:p w14:paraId="2C7CD99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7.0</w:t>
            </w:r>
          </w:p>
        </w:tc>
        <w:tc>
          <w:tcPr>
            <w:tcW w:w="844" w:type="dxa"/>
            <w:tcBorders>
              <w:top w:val="nil"/>
              <w:left w:val="nil"/>
              <w:bottom w:val="single" w:sz="4" w:space="0" w:color="auto"/>
              <w:right w:val="single" w:sz="4" w:space="0" w:color="auto"/>
            </w:tcBorders>
            <w:shd w:val="clear" w:color="auto" w:fill="auto"/>
            <w:noWrap/>
            <w:hideMark/>
          </w:tcPr>
          <w:p w14:paraId="4CB39DA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w:t>
            </w:r>
          </w:p>
        </w:tc>
      </w:tr>
      <w:tr w:rsidR="00B56301" w:rsidRPr="00364545" w14:paraId="22675115" w14:textId="77777777" w:rsidTr="00B37B65">
        <w:trPr>
          <w:trHeight w:val="68"/>
          <w:jc w:val="center"/>
        </w:trPr>
        <w:tc>
          <w:tcPr>
            <w:tcW w:w="5680" w:type="dxa"/>
            <w:tcBorders>
              <w:top w:val="nil"/>
              <w:left w:val="nil"/>
              <w:bottom w:val="nil"/>
              <w:right w:val="nil"/>
            </w:tcBorders>
            <w:shd w:val="clear" w:color="000000" w:fill="0070C0"/>
            <w:noWrap/>
            <w:vAlign w:val="bottom"/>
            <w:hideMark/>
          </w:tcPr>
          <w:p w14:paraId="23F735B7"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Manufacturing and construction</w:t>
            </w:r>
          </w:p>
        </w:tc>
        <w:tc>
          <w:tcPr>
            <w:tcW w:w="628" w:type="dxa"/>
            <w:tcBorders>
              <w:top w:val="nil"/>
              <w:left w:val="single" w:sz="4" w:space="0" w:color="auto"/>
              <w:bottom w:val="single" w:sz="4" w:space="0" w:color="auto"/>
              <w:right w:val="single" w:sz="4" w:space="0" w:color="auto"/>
            </w:tcBorders>
            <w:shd w:val="clear" w:color="000000" w:fill="0070C0"/>
            <w:noWrap/>
            <w:vAlign w:val="bottom"/>
            <w:hideMark/>
          </w:tcPr>
          <w:p w14:paraId="5DD474BC"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86.1</w:t>
            </w:r>
          </w:p>
        </w:tc>
        <w:tc>
          <w:tcPr>
            <w:tcW w:w="628" w:type="dxa"/>
            <w:tcBorders>
              <w:top w:val="nil"/>
              <w:left w:val="nil"/>
              <w:bottom w:val="single" w:sz="4" w:space="0" w:color="auto"/>
              <w:right w:val="single" w:sz="4" w:space="0" w:color="auto"/>
            </w:tcBorders>
            <w:shd w:val="clear" w:color="000000" w:fill="0070C0"/>
            <w:noWrap/>
            <w:vAlign w:val="bottom"/>
            <w:hideMark/>
          </w:tcPr>
          <w:p w14:paraId="3A8F4689"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83.8</w:t>
            </w:r>
          </w:p>
        </w:tc>
        <w:tc>
          <w:tcPr>
            <w:tcW w:w="628" w:type="dxa"/>
            <w:tcBorders>
              <w:top w:val="nil"/>
              <w:left w:val="nil"/>
              <w:bottom w:val="single" w:sz="4" w:space="0" w:color="auto"/>
              <w:right w:val="single" w:sz="4" w:space="0" w:color="auto"/>
            </w:tcBorders>
            <w:shd w:val="clear" w:color="000000" w:fill="0070C0"/>
            <w:noWrap/>
            <w:vAlign w:val="bottom"/>
            <w:hideMark/>
          </w:tcPr>
          <w:p w14:paraId="2591C160"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83.7</w:t>
            </w:r>
          </w:p>
        </w:tc>
        <w:tc>
          <w:tcPr>
            <w:tcW w:w="628" w:type="dxa"/>
            <w:tcBorders>
              <w:top w:val="nil"/>
              <w:left w:val="nil"/>
              <w:bottom w:val="single" w:sz="4" w:space="0" w:color="auto"/>
              <w:right w:val="single" w:sz="4" w:space="0" w:color="auto"/>
            </w:tcBorders>
            <w:shd w:val="clear" w:color="000000" w:fill="0070C0"/>
            <w:noWrap/>
            <w:vAlign w:val="bottom"/>
            <w:hideMark/>
          </w:tcPr>
          <w:p w14:paraId="63B43DEA"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83.4</w:t>
            </w:r>
          </w:p>
        </w:tc>
        <w:tc>
          <w:tcPr>
            <w:tcW w:w="628" w:type="dxa"/>
            <w:tcBorders>
              <w:top w:val="nil"/>
              <w:left w:val="nil"/>
              <w:bottom w:val="single" w:sz="4" w:space="0" w:color="auto"/>
              <w:right w:val="single" w:sz="4" w:space="0" w:color="auto"/>
            </w:tcBorders>
            <w:shd w:val="clear" w:color="000000" w:fill="0070C0"/>
            <w:noWrap/>
            <w:vAlign w:val="bottom"/>
            <w:hideMark/>
          </w:tcPr>
          <w:p w14:paraId="14B82323"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83.1</w:t>
            </w:r>
          </w:p>
        </w:tc>
        <w:tc>
          <w:tcPr>
            <w:tcW w:w="628" w:type="dxa"/>
            <w:tcBorders>
              <w:top w:val="nil"/>
              <w:left w:val="nil"/>
              <w:bottom w:val="single" w:sz="4" w:space="0" w:color="auto"/>
              <w:right w:val="single" w:sz="4" w:space="0" w:color="auto"/>
            </w:tcBorders>
            <w:shd w:val="clear" w:color="000000" w:fill="0070C0"/>
            <w:noWrap/>
            <w:vAlign w:val="bottom"/>
            <w:hideMark/>
          </w:tcPr>
          <w:p w14:paraId="7728A31E"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80.1</w:t>
            </w:r>
          </w:p>
        </w:tc>
        <w:tc>
          <w:tcPr>
            <w:tcW w:w="628" w:type="dxa"/>
            <w:tcBorders>
              <w:top w:val="nil"/>
              <w:left w:val="nil"/>
              <w:bottom w:val="single" w:sz="4" w:space="0" w:color="auto"/>
              <w:right w:val="single" w:sz="4" w:space="0" w:color="auto"/>
            </w:tcBorders>
            <w:shd w:val="clear" w:color="000000" w:fill="0070C0"/>
            <w:noWrap/>
            <w:vAlign w:val="bottom"/>
            <w:hideMark/>
          </w:tcPr>
          <w:p w14:paraId="6D06B8F2"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72.5</w:t>
            </w:r>
          </w:p>
        </w:tc>
        <w:tc>
          <w:tcPr>
            <w:tcW w:w="844" w:type="dxa"/>
            <w:tcBorders>
              <w:top w:val="nil"/>
              <w:left w:val="nil"/>
              <w:bottom w:val="single" w:sz="4" w:space="0" w:color="auto"/>
              <w:right w:val="single" w:sz="4" w:space="0" w:color="auto"/>
            </w:tcBorders>
            <w:shd w:val="clear" w:color="000000" w:fill="0070C0"/>
            <w:noWrap/>
            <w:hideMark/>
          </w:tcPr>
          <w:p w14:paraId="35F21047"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sz w:val="16"/>
              </w:rPr>
              <w:t>-9.5%</w:t>
            </w:r>
          </w:p>
        </w:tc>
      </w:tr>
      <w:tr w:rsidR="00B56301" w:rsidRPr="00364545" w14:paraId="442C9390"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9E4B92"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Chemistry</w:t>
            </w:r>
          </w:p>
        </w:tc>
        <w:tc>
          <w:tcPr>
            <w:tcW w:w="628" w:type="dxa"/>
            <w:tcBorders>
              <w:top w:val="nil"/>
              <w:left w:val="nil"/>
              <w:bottom w:val="single" w:sz="4" w:space="0" w:color="auto"/>
              <w:right w:val="single" w:sz="4" w:space="0" w:color="auto"/>
            </w:tcBorders>
            <w:shd w:val="clear" w:color="auto" w:fill="auto"/>
            <w:noWrap/>
            <w:vAlign w:val="center"/>
            <w:hideMark/>
          </w:tcPr>
          <w:p w14:paraId="03C6220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23.1</w:t>
            </w:r>
          </w:p>
        </w:tc>
        <w:tc>
          <w:tcPr>
            <w:tcW w:w="628" w:type="dxa"/>
            <w:tcBorders>
              <w:top w:val="nil"/>
              <w:left w:val="nil"/>
              <w:bottom w:val="single" w:sz="4" w:space="0" w:color="auto"/>
              <w:right w:val="single" w:sz="4" w:space="0" w:color="auto"/>
            </w:tcBorders>
            <w:shd w:val="clear" w:color="auto" w:fill="auto"/>
            <w:noWrap/>
            <w:vAlign w:val="center"/>
            <w:hideMark/>
          </w:tcPr>
          <w:p w14:paraId="6314B92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22.1</w:t>
            </w:r>
          </w:p>
        </w:tc>
        <w:tc>
          <w:tcPr>
            <w:tcW w:w="628" w:type="dxa"/>
            <w:tcBorders>
              <w:top w:val="nil"/>
              <w:left w:val="nil"/>
              <w:bottom w:val="single" w:sz="4" w:space="0" w:color="auto"/>
              <w:right w:val="single" w:sz="4" w:space="0" w:color="auto"/>
            </w:tcBorders>
            <w:shd w:val="clear" w:color="auto" w:fill="auto"/>
            <w:noWrap/>
            <w:vAlign w:val="center"/>
            <w:hideMark/>
          </w:tcPr>
          <w:p w14:paraId="2D1070C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21.5</w:t>
            </w:r>
          </w:p>
        </w:tc>
        <w:tc>
          <w:tcPr>
            <w:tcW w:w="628" w:type="dxa"/>
            <w:tcBorders>
              <w:top w:val="nil"/>
              <w:left w:val="nil"/>
              <w:bottom w:val="single" w:sz="4" w:space="0" w:color="auto"/>
              <w:right w:val="single" w:sz="4" w:space="0" w:color="auto"/>
            </w:tcBorders>
            <w:shd w:val="clear" w:color="auto" w:fill="auto"/>
            <w:noWrap/>
            <w:vAlign w:val="center"/>
            <w:hideMark/>
          </w:tcPr>
          <w:p w14:paraId="6AC43B9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21.5</w:t>
            </w:r>
          </w:p>
        </w:tc>
        <w:tc>
          <w:tcPr>
            <w:tcW w:w="628" w:type="dxa"/>
            <w:tcBorders>
              <w:top w:val="nil"/>
              <w:left w:val="nil"/>
              <w:bottom w:val="single" w:sz="4" w:space="0" w:color="auto"/>
              <w:right w:val="single" w:sz="4" w:space="0" w:color="auto"/>
            </w:tcBorders>
            <w:shd w:val="clear" w:color="auto" w:fill="auto"/>
            <w:noWrap/>
            <w:vAlign w:val="center"/>
            <w:hideMark/>
          </w:tcPr>
          <w:p w14:paraId="052E14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21.0</w:t>
            </w:r>
          </w:p>
        </w:tc>
        <w:tc>
          <w:tcPr>
            <w:tcW w:w="628" w:type="dxa"/>
            <w:tcBorders>
              <w:top w:val="nil"/>
              <w:left w:val="nil"/>
              <w:bottom w:val="single" w:sz="4" w:space="0" w:color="auto"/>
              <w:right w:val="single" w:sz="4" w:space="0" w:color="auto"/>
            </w:tcBorders>
            <w:shd w:val="clear" w:color="auto" w:fill="auto"/>
            <w:noWrap/>
            <w:vAlign w:val="center"/>
            <w:hideMark/>
          </w:tcPr>
          <w:p w14:paraId="53D0738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20.0</w:t>
            </w:r>
          </w:p>
        </w:tc>
        <w:tc>
          <w:tcPr>
            <w:tcW w:w="628" w:type="dxa"/>
            <w:tcBorders>
              <w:top w:val="nil"/>
              <w:left w:val="nil"/>
              <w:bottom w:val="single" w:sz="4" w:space="0" w:color="auto"/>
              <w:right w:val="single" w:sz="4" w:space="0" w:color="auto"/>
            </w:tcBorders>
            <w:shd w:val="clear" w:color="auto" w:fill="auto"/>
            <w:noWrap/>
            <w:vAlign w:val="center"/>
            <w:hideMark/>
          </w:tcPr>
          <w:p w14:paraId="7EECD4E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18.7</w:t>
            </w:r>
          </w:p>
        </w:tc>
        <w:tc>
          <w:tcPr>
            <w:tcW w:w="844" w:type="dxa"/>
            <w:tcBorders>
              <w:top w:val="nil"/>
              <w:left w:val="nil"/>
              <w:bottom w:val="single" w:sz="4" w:space="0" w:color="auto"/>
              <w:right w:val="single" w:sz="4" w:space="0" w:color="auto"/>
            </w:tcBorders>
            <w:shd w:val="clear" w:color="auto" w:fill="auto"/>
            <w:noWrap/>
            <w:hideMark/>
          </w:tcPr>
          <w:p w14:paraId="5EB0EAC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-6.9%</w:t>
            </w:r>
          </w:p>
        </w:tc>
      </w:tr>
      <w:tr w:rsidR="00B56301" w:rsidRPr="00364545" w14:paraId="26424296"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D25D40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2F43ECC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5BDF7F3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28200A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7033CFE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0EBB52B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43611E1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7FCCD3A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3.6</w:t>
            </w:r>
          </w:p>
        </w:tc>
        <w:tc>
          <w:tcPr>
            <w:tcW w:w="844" w:type="dxa"/>
            <w:tcBorders>
              <w:top w:val="nil"/>
              <w:left w:val="nil"/>
              <w:bottom w:val="single" w:sz="4" w:space="0" w:color="auto"/>
              <w:right w:val="single" w:sz="4" w:space="0" w:color="auto"/>
            </w:tcBorders>
            <w:shd w:val="clear" w:color="auto" w:fill="auto"/>
            <w:noWrap/>
            <w:hideMark/>
          </w:tcPr>
          <w:p w14:paraId="6FE1032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r>
      <w:tr w:rsidR="00B56301" w:rsidRPr="00364545" w14:paraId="16511C02"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7014B7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Transport materials and facilities</w:t>
            </w:r>
          </w:p>
        </w:tc>
        <w:tc>
          <w:tcPr>
            <w:tcW w:w="628" w:type="dxa"/>
            <w:tcBorders>
              <w:top w:val="nil"/>
              <w:left w:val="nil"/>
              <w:bottom w:val="single" w:sz="4" w:space="0" w:color="auto"/>
              <w:right w:val="single" w:sz="4" w:space="0" w:color="auto"/>
            </w:tcBorders>
            <w:shd w:val="clear" w:color="auto" w:fill="auto"/>
            <w:noWrap/>
            <w:vAlign w:val="center"/>
            <w:hideMark/>
          </w:tcPr>
          <w:p w14:paraId="67B9A97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58A716C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1D21438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20297D1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72AFF74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63AD38A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07642A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844" w:type="dxa"/>
            <w:tcBorders>
              <w:top w:val="nil"/>
              <w:left w:val="nil"/>
              <w:bottom w:val="single" w:sz="4" w:space="0" w:color="auto"/>
              <w:right w:val="single" w:sz="4" w:space="0" w:color="auto"/>
            </w:tcBorders>
            <w:shd w:val="clear" w:color="auto" w:fill="auto"/>
            <w:noWrap/>
            <w:hideMark/>
          </w:tcPr>
          <w:p w14:paraId="28BA837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-7.4%</w:t>
            </w:r>
          </w:p>
        </w:tc>
      </w:tr>
      <w:tr w:rsidR="00B56301" w:rsidRPr="00364545" w14:paraId="71B00BC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0AC34AB"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Agri-foodstuffs</w:t>
            </w:r>
          </w:p>
        </w:tc>
        <w:tc>
          <w:tcPr>
            <w:tcW w:w="628" w:type="dxa"/>
            <w:tcBorders>
              <w:top w:val="nil"/>
              <w:left w:val="nil"/>
              <w:bottom w:val="single" w:sz="4" w:space="0" w:color="auto"/>
              <w:right w:val="single" w:sz="4" w:space="0" w:color="auto"/>
            </w:tcBorders>
            <w:shd w:val="clear" w:color="auto" w:fill="auto"/>
            <w:noWrap/>
            <w:vAlign w:val="center"/>
            <w:hideMark/>
          </w:tcPr>
          <w:p w14:paraId="296D69F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10.0</w:t>
            </w:r>
          </w:p>
        </w:tc>
        <w:tc>
          <w:tcPr>
            <w:tcW w:w="628" w:type="dxa"/>
            <w:tcBorders>
              <w:top w:val="nil"/>
              <w:left w:val="nil"/>
              <w:bottom w:val="single" w:sz="4" w:space="0" w:color="auto"/>
              <w:right w:val="single" w:sz="4" w:space="0" w:color="auto"/>
            </w:tcBorders>
            <w:shd w:val="clear" w:color="auto" w:fill="auto"/>
            <w:noWrap/>
            <w:vAlign w:val="center"/>
            <w:hideMark/>
          </w:tcPr>
          <w:p w14:paraId="6586635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9.9</w:t>
            </w:r>
          </w:p>
        </w:tc>
        <w:tc>
          <w:tcPr>
            <w:tcW w:w="628" w:type="dxa"/>
            <w:tcBorders>
              <w:top w:val="nil"/>
              <w:left w:val="nil"/>
              <w:bottom w:val="single" w:sz="4" w:space="0" w:color="auto"/>
              <w:right w:val="single" w:sz="4" w:space="0" w:color="auto"/>
            </w:tcBorders>
            <w:shd w:val="clear" w:color="auto" w:fill="auto"/>
            <w:noWrap/>
            <w:vAlign w:val="center"/>
            <w:hideMark/>
          </w:tcPr>
          <w:p w14:paraId="6F9E1F8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9.9</w:t>
            </w:r>
          </w:p>
        </w:tc>
        <w:tc>
          <w:tcPr>
            <w:tcW w:w="628" w:type="dxa"/>
            <w:tcBorders>
              <w:top w:val="nil"/>
              <w:left w:val="nil"/>
              <w:bottom w:val="single" w:sz="4" w:space="0" w:color="auto"/>
              <w:right w:val="single" w:sz="4" w:space="0" w:color="auto"/>
            </w:tcBorders>
            <w:shd w:val="clear" w:color="auto" w:fill="auto"/>
            <w:noWrap/>
            <w:vAlign w:val="center"/>
            <w:hideMark/>
          </w:tcPr>
          <w:p w14:paraId="202C61D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9.3</w:t>
            </w:r>
          </w:p>
        </w:tc>
        <w:tc>
          <w:tcPr>
            <w:tcW w:w="628" w:type="dxa"/>
            <w:tcBorders>
              <w:top w:val="nil"/>
              <w:left w:val="nil"/>
              <w:bottom w:val="single" w:sz="4" w:space="0" w:color="auto"/>
              <w:right w:val="single" w:sz="4" w:space="0" w:color="auto"/>
            </w:tcBorders>
            <w:shd w:val="clear" w:color="auto" w:fill="auto"/>
            <w:noWrap/>
            <w:vAlign w:val="center"/>
            <w:hideMark/>
          </w:tcPr>
          <w:p w14:paraId="61B2999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9.4</w:t>
            </w:r>
          </w:p>
        </w:tc>
        <w:tc>
          <w:tcPr>
            <w:tcW w:w="628" w:type="dxa"/>
            <w:tcBorders>
              <w:top w:val="nil"/>
              <w:left w:val="nil"/>
              <w:bottom w:val="single" w:sz="4" w:space="0" w:color="auto"/>
              <w:right w:val="single" w:sz="4" w:space="0" w:color="auto"/>
            </w:tcBorders>
            <w:shd w:val="clear" w:color="auto" w:fill="auto"/>
            <w:noWrap/>
            <w:vAlign w:val="center"/>
            <w:hideMark/>
          </w:tcPr>
          <w:p w14:paraId="1BBA6AC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9.3</w:t>
            </w:r>
          </w:p>
        </w:tc>
        <w:tc>
          <w:tcPr>
            <w:tcW w:w="628" w:type="dxa"/>
            <w:tcBorders>
              <w:top w:val="nil"/>
              <w:left w:val="nil"/>
              <w:bottom w:val="single" w:sz="4" w:space="0" w:color="auto"/>
              <w:right w:val="single" w:sz="4" w:space="0" w:color="auto"/>
            </w:tcBorders>
            <w:shd w:val="clear" w:color="auto" w:fill="auto"/>
            <w:noWrap/>
            <w:vAlign w:val="center"/>
            <w:hideMark/>
          </w:tcPr>
          <w:p w14:paraId="599F2D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8.3</w:t>
            </w:r>
          </w:p>
        </w:tc>
        <w:tc>
          <w:tcPr>
            <w:tcW w:w="844" w:type="dxa"/>
            <w:tcBorders>
              <w:top w:val="nil"/>
              <w:left w:val="nil"/>
              <w:bottom w:val="single" w:sz="4" w:space="0" w:color="auto"/>
              <w:right w:val="single" w:sz="4" w:space="0" w:color="auto"/>
            </w:tcBorders>
            <w:shd w:val="clear" w:color="auto" w:fill="auto"/>
            <w:noWrap/>
            <w:hideMark/>
          </w:tcPr>
          <w:p w14:paraId="4AB3E0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-11.0%</w:t>
            </w:r>
          </w:p>
        </w:tc>
      </w:tr>
      <w:tr w:rsidR="00B56301" w:rsidRPr="00364545" w14:paraId="579DEFA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9C111DD"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Ferrous metal metallurgy</w:t>
            </w:r>
          </w:p>
        </w:tc>
        <w:tc>
          <w:tcPr>
            <w:tcW w:w="628" w:type="dxa"/>
            <w:tcBorders>
              <w:top w:val="nil"/>
              <w:left w:val="nil"/>
              <w:bottom w:val="single" w:sz="4" w:space="0" w:color="auto"/>
              <w:right w:val="single" w:sz="4" w:space="0" w:color="auto"/>
            </w:tcBorders>
            <w:shd w:val="clear" w:color="auto" w:fill="auto"/>
            <w:noWrap/>
            <w:vAlign w:val="center"/>
            <w:hideMark/>
          </w:tcPr>
          <w:p w14:paraId="4ED6F7D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17.9</w:t>
            </w:r>
          </w:p>
        </w:tc>
        <w:tc>
          <w:tcPr>
            <w:tcW w:w="628" w:type="dxa"/>
            <w:tcBorders>
              <w:top w:val="nil"/>
              <w:left w:val="nil"/>
              <w:bottom w:val="single" w:sz="4" w:space="0" w:color="auto"/>
              <w:right w:val="single" w:sz="4" w:space="0" w:color="auto"/>
            </w:tcBorders>
            <w:shd w:val="clear" w:color="auto" w:fill="auto"/>
            <w:noWrap/>
            <w:vAlign w:val="center"/>
            <w:hideMark/>
          </w:tcPr>
          <w:p w14:paraId="27EFDC6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17.6</w:t>
            </w:r>
          </w:p>
        </w:tc>
        <w:tc>
          <w:tcPr>
            <w:tcW w:w="628" w:type="dxa"/>
            <w:tcBorders>
              <w:top w:val="nil"/>
              <w:left w:val="nil"/>
              <w:bottom w:val="single" w:sz="4" w:space="0" w:color="auto"/>
              <w:right w:val="single" w:sz="4" w:space="0" w:color="auto"/>
            </w:tcBorders>
            <w:shd w:val="clear" w:color="auto" w:fill="auto"/>
            <w:noWrap/>
            <w:vAlign w:val="center"/>
            <w:hideMark/>
          </w:tcPr>
          <w:p w14:paraId="37E77D0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17.1</w:t>
            </w:r>
          </w:p>
        </w:tc>
        <w:tc>
          <w:tcPr>
            <w:tcW w:w="628" w:type="dxa"/>
            <w:tcBorders>
              <w:top w:val="nil"/>
              <w:left w:val="nil"/>
              <w:bottom w:val="single" w:sz="4" w:space="0" w:color="auto"/>
              <w:right w:val="single" w:sz="4" w:space="0" w:color="auto"/>
            </w:tcBorders>
            <w:shd w:val="clear" w:color="auto" w:fill="auto"/>
            <w:noWrap/>
            <w:vAlign w:val="center"/>
            <w:hideMark/>
          </w:tcPr>
          <w:p w14:paraId="46B4BAC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18.5</w:t>
            </w:r>
          </w:p>
        </w:tc>
        <w:tc>
          <w:tcPr>
            <w:tcW w:w="628" w:type="dxa"/>
            <w:tcBorders>
              <w:top w:val="nil"/>
              <w:left w:val="nil"/>
              <w:bottom w:val="single" w:sz="4" w:space="0" w:color="auto"/>
              <w:right w:val="single" w:sz="4" w:space="0" w:color="auto"/>
            </w:tcBorders>
            <w:shd w:val="clear" w:color="auto" w:fill="auto"/>
            <w:noWrap/>
            <w:vAlign w:val="center"/>
            <w:hideMark/>
          </w:tcPr>
          <w:p w14:paraId="1E6D5AF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18.2</w:t>
            </w:r>
          </w:p>
        </w:tc>
        <w:tc>
          <w:tcPr>
            <w:tcW w:w="628" w:type="dxa"/>
            <w:tcBorders>
              <w:top w:val="nil"/>
              <w:left w:val="nil"/>
              <w:bottom w:val="single" w:sz="4" w:space="0" w:color="auto"/>
              <w:right w:val="single" w:sz="4" w:space="0" w:color="auto"/>
            </w:tcBorders>
            <w:shd w:val="clear" w:color="auto" w:fill="auto"/>
            <w:noWrap/>
            <w:vAlign w:val="center"/>
            <w:hideMark/>
          </w:tcPr>
          <w:p w14:paraId="6446F82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16.8</w:t>
            </w:r>
          </w:p>
        </w:tc>
        <w:tc>
          <w:tcPr>
            <w:tcW w:w="628" w:type="dxa"/>
            <w:tcBorders>
              <w:top w:val="nil"/>
              <w:left w:val="nil"/>
              <w:bottom w:val="single" w:sz="4" w:space="0" w:color="auto"/>
              <w:right w:val="single" w:sz="4" w:space="0" w:color="auto"/>
            </w:tcBorders>
            <w:shd w:val="clear" w:color="auto" w:fill="auto"/>
            <w:noWrap/>
            <w:vAlign w:val="center"/>
            <w:hideMark/>
          </w:tcPr>
          <w:p w14:paraId="11AA4B1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14.4</w:t>
            </w:r>
          </w:p>
        </w:tc>
        <w:tc>
          <w:tcPr>
            <w:tcW w:w="844" w:type="dxa"/>
            <w:tcBorders>
              <w:top w:val="nil"/>
              <w:left w:val="nil"/>
              <w:bottom w:val="single" w:sz="4" w:space="0" w:color="auto"/>
              <w:right w:val="single" w:sz="4" w:space="0" w:color="auto"/>
            </w:tcBorders>
            <w:shd w:val="clear" w:color="auto" w:fill="auto"/>
            <w:noWrap/>
            <w:hideMark/>
          </w:tcPr>
          <w:p w14:paraId="4D0F1B7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-14.4%</w:t>
            </w:r>
          </w:p>
        </w:tc>
      </w:tr>
      <w:tr w:rsidR="00B56301" w:rsidRPr="00364545" w14:paraId="27AA2B88"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1000627"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Ferrous metal metallurgy</w:t>
            </w:r>
          </w:p>
        </w:tc>
        <w:tc>
          <w:tcPr>
            <w:tcW w:w="628" w:type="dxa"/>
            <w:tcBorders>
              <w:top w:val="nil"/>
              <w:left w:val="nil"/>
              <w:bottom w:val="single" w:sz="4" w:space="0" w:color="auto"/>
              <w:right w:val="single" w:sz="4" w:space="0" w:color="auto"/>
            </w:tcBorders>
            <w:shd w:val="clear" w:color="auto" w:fill="auto"/>
            <w:noWrap/>
            <w:vAlign w:val="center"/>
            <w:hideMark/>
          </w:tcPr>
          <w:p w14:paraId="58F8E54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w:t>
            </w:r>
          </w:p>
        </w:tc>
        <w:tc>
          <w:tcPr>
            <w:tcW w:w="628" w:type="dxa"/>
            <w:tcBorders>
              <w:top w:val="nil"/>
              <w:left w:val="nil"/>
              <w:bottom w:val="single" w:sz="4" w:space="0" w:color="auto"/>
              <w:right w:val="single" w:sz="4" w:space="0" w:color="auto"/>
            </w:tcBorders>
            <w:shd w:val="clear" w:color="auto" w:fill="auto"/>
            <w:noWrap/>
            <w:vAlign w:val="center"/>
            <w:hideMark/>
          </w:tcPr>
          <w:p w14:paraId="5F7FB55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415CDCC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228F19D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w:t>
            </w:r>
          </w:p>
        </w:tc>
        <w:tc>
          <w:tcPr>
            <w:tcW w:w="628" w:type="dxa"/>
            <w:tcBorders>
              <w:top w:val="nil"/>
              <w:left w:val="nil"/>
              <w:bottom w:val="single" w:sz="4" w:space="0" w:color="auto"/>
              <w:right w:val="single" w:sz="4" w:space="0" w:color="auto"/>
            </w:tcBorders>
            <w:shd w:val="clear" w:color="auto" w:fill="auto"/>
            <w:noWrap/>
            <w:vAlign w:val="center"/>
            <w:hideMark/>
          </w:tcPr>
          <w:p w14:paraId="66DEE22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0F971A4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32D9134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w:t>
            </w:r>
          </w:p>
        </w:tc>
        <w:tc>
          <w:tcPr>
            <w:tcW w:w="844" w:type="dxa"/>
            <w:tcBorders>
              <w:top w:val="nil"/>
              <w:left w:val="nil"/>
              <w:bottom w:val="single" w:sz="4" w:space="0" w:color="auto"/>
              <w:right w:val="single" w:sz="4" w:space="0" w:color="auto"/>
            </w:tcBorders>
            <w:shd w:val="clear" w:color="auto" w:fill="auto"/>
            <w:noWrap/>
            <w:hideMark/>
          </w:tcPr>
          <w:p w14:paraId="4CC4743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-11.7%</w:t>
            </w:r>
          </w:p>
        </w:tc>
      </w:tr>
      <w:tr w:rsidR="00B56301" w:rsidRPr="00364545" w14:paraId="3401654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654CEE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Non-metallic minerals, building materials</w:t>
            </w:r>
          </w:p>
        </w:tc>
        <w:tc>
          <w:tcPr>
            <w:tcW w:w="628" w:type="dxa"/>
            <w:tcBorders>
              <w:top w:val="nil"/>
              <w:left w:val="nil"/>
              <w:bottom w:val="single" w:sz="4" w:space="0" w:color="auto"/>
              <w:right w:val="single" w:sz="4" w:space="0" w:color="auto"/>
            </w:tcBorders>
            <w:shd w:val="clear" w:color="auto" w:fill="auto"/>
            <w:noWrap/>
            <w:vAlign w:val="center"/>
            <w:hideMark/>
          </w:tcPr>
          <w:p w14:paraId="3E93681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20.2</w:t>
            </w:r>
          </w:p>
        </w:tc>
        <w:tc>
          <w:tcPr>
            <w:tcW w:w="628" w:type="dxa"/>
            <w:tcBorders>
              <w:top w:val="nil"/>
              <w:left w:val="nil"/>
              <w:bottom w:val="single" w:sz="4" w:space="0" w:color="auto"/>
              <w:right w:val="single" w:sz="4" w:space="0" w:color="auto"/>
            </w:tcBorders>
            <w:shd w:val="clear" w:color="auto" w:fill="auto"/>
            <w:noWrap/>
            <w:vAlign w:val="center"/>
            <w:hideMark/>
          </w:tcPr>
          <w:p w14:paraId="380CF5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19.1</w:t>
            </w:r>
          </w:p>
        </w:tc>
        <w:tc>
          <w:tcPr>
            <w:tcW w:w="628" w:type="dxa"/>
            <w:tcBorders>
              <w:top w:val="nil"/>
              <w:left w:val="nil"/>
              <w:bottom w:val="single" w:sz="4" w:space="0" w:color="auto"/>
              <w:right w:val="single" w:sz="4" w:space="0" w:color="auto"/>
            </w:tcBorders>
            <w:shd w:val="clear" w:color="auto" w:fill="auto"/>
            <w:noWrap/>
            <w:vAlign w:val="center"/>
            <w:hideMark/>
          </w:tcPr>
          <w:p w14:paraId="6440683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19.3</w:t>
            </w:r>
          </w:p>
        </w:tc>
        <w:tc>
          <w:tcPr>
            <w:tcW w:w="628" w:type="dxa"/>
            <w:tcBorders>
              <w:top w:val="nil"/>
              <w:left w:val="nil"/>
              <w:bottom w:val="single" w:sz="4" w:space="0" w:color="auto"/>
              <w:right w:val="single" w:sz="4" w:space="0" w:color="auto"/>
            </w:tcBorders>
            <w:shd w:val="clear" w:color="auto" w:fill="auto"/>
            <w:noWrap/>
            <w:vAlign w:val="center"/>
            <w:hideMark/>
          </w:tcPr>
          <w:p w14:paraId="15EACC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18.6</w:t>
            </w:r>
          </w:p>
        </w:tc>
        <w:tc>
          <w:tcPr>
            <w:tcW w:w="628" w:type="dxa"/>
            <w:tcBorders>
              <w:top w:val="nil"/>
              <w:left w:val="nil"/>
              <w:bottom w:val="single" w:sz="4" w:space="0" w:color="auto"/>
              <w:right w:val="single" w:sz="4" w:space="0" w:color="auto"/>
            </w:tcBorders>
            <w:shd w:val="clear" w:color="auto" w:fill="auto"/>
            <w:noWrap/>
            <w:vAlign w:val="center"/>
            <w:hideMark/>
          </w:tcPr>
          <w:p w14:paraId="6BB0CE7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19.4</w:t>
            </w:r>
          </w:p>
        </w:tc>
        <w:tc>
          <w:tcPr>
            <w:tcW w:w="628" w:type="dxa"/>
            <w:tcBorders>
              <w:top w:val="nil"/>
              <w:left w:val="nil"/>
              <w:bottom w:val="single" w:sz="4" w:space="0" w:color="auto"/>
              <w:right w:val="single" w:sz="4" w:space="0" w:color="auto"/>
            </w:tcBorders>
            <w:shd w:val="clear" w:color="auto" w:fill="auto"/>
            <w:noWrap/>
            <w:vAlign w:val="center"/>
            <w:hideMark/>
          </w:tcPr>
          <w:p w14:paraId="78ED311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19.4</w:t>
            </w:r>
          </w:p>
        </w:tc>
        <w:tc>
          <w:tcPr>
            <w:tcW w:w="628" w:type="dxa"/>
            <w:tcBorders>
              <w:top w:val="nil"/>
              <w:left w:val="nil"/>
              <w:bottom w:val="single" w:sz="4" w:space="0" w:color="auto"/>
              <w:right w:val="single" w:sz="4" w:space="0" w:color="auto"/>
            </w:tcBorders>
            <w:shd w:val="clear" w:color="auto" w:fill="auto"/>
            <w:noWrap/>
            <w:vAlign w:val="center"/>
            <w:hideMark/>
          </w:tcPr>
          <w:p w14:paraId="3E80865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17.7</w:t>
            </w:r>
          </w:p>
        </w:tc>
        <w:tc>
          <w:tcPr>
            <w:tcW w:w="844" w:type="dxa"/>
            <w:tcBorders>
              <w:top w:val="nil"/>
              <w:left w:val="nil"/>
              <w:bottom w:val="single" w:sz="4" w:space="0" w:color="auto"/>
              <w:right w:val="single" w:sz="4" w:space="0" w:color="auto"/>
            </w:tcBorders>
            <w:shd w:val="clear" w:color="auto" w:fill="auto"/>
            <w:noWrap/>
            <w:hideMark/>
          </w:tcPr>
          <w:p w14:paraId="63AE626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-8.9%</w:t>
            </w:r>
          </w:p>
        </w:tc>
      </w:tr>
      <w:tr w:rsidR="00B56301" w:rsidRPr="00364545" w14:paraId="3125B39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498260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Paper, Cardboard</w:t>
            </w:r>
          </w:p>
        </w:tc>
        <w:tc>
          <w:tcPr>
            <w:tcW w:w="628" w:type="dxa"/>
            <w:tcBorders>
              <w:top w:val="nil"/>
              <w:left w:val="nil"/>
              <w:bottom w:val="single" w:sz="4" w:space="0" w:color="auto"/>
              <w:right w:val="single" w:sz="4" w:space="0" w:color="auto"/>
            </w:tcBorders>
            <w:shd w:val="clear" w:color="auto" w:fill="auto"/>
            <w:noWrap/>
            <w:vAlign w:val="center"/>
            <w:hideMark/>
          </w:tcPr>
          <w:p w14:paraId="4BF8637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130D970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0B68324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375E7B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2.5</w:t>
            </w:r>
          </w:p>
        </w:tc>
        <w:tc>
          <w:tcPr>
            <w:tcW w:w="628" w:type="dxa"/>
            <w:tcBorders>
              <w:top w:val="nil"/>
              <w:left w:val="nil"/>
              <w:bottom w:val="single" w:sz="4" w:space="0" w:color="auto"/>
              <w:right w:val="single" w:sz="4" w:space="0" w:color="auto"/>
            </w:tcBorders>
            <w:shd w:val="clear" w:color="auto" w:fill="auto"/>
            <w:noWrap/>
            <w:vAlign w:val="center"/>
            <w:hideMark/>
          </w:tcPr>
          <w:p w14:paraId="3EB0160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w:t>
            </w:r>
          </w:p>
        </w:tc>
        <w:tc>
          <w:tcPr>
            <w:tcW w:w="628" w:type="dxa"/>
            <w:tcBorders>
              <w:top w:val="nil"/>
              <w:left w:val="nil"/>
              <w:bottom w:val="single" w:sz="4" w:space="0" w:color="auto"/>
              <w:right w:val="single" w:sz="4" w:space="0" w:color="auto"/>
            </w:tcBorders>
            <w:shd w:val="clear" w:color="auto" w:fill="auto"/>
            <w:noWrap/>
            <w:vAlign w:val="center"/>
            <w:hideMark/>
          </w:tcPr>
          <w:p w14:paraId="044AB41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w:t>
            </w:r>
          </w:p>
        </w:tc>
        <w:tc>
          <w:tcPr>
            <w:tcW w:w="628" w:type="dxa"/>
            <w:tcBorders>
              <w:top w:val="nil"/>
              <w:left w:val="nil"/>
              <w:bottom w:val="single" w:sz="4" w:space="0" w:color="auto"/>
              <w:right w:val="single" w:sz="4" w:space="0" w:color="auto"/>
            </w:tcBorders>
            <w:shd w:val="clear" w:color="auto" w:fill="auto"/>
            <w:noWrap/>
            <w:vAlign w:val="center"/>
            <w:hideMark/>
          </w:tcPr>
          <w:p w14:paraId="40EB6EC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w:t>
            </w:r>
          </w:p>
        </w:tc>
        <w:tc>
          <w:tcPr>
            <w:tcW w:w="844" w:type="dxa"/>
            <w:tcBorders>
              <w:top w:val="nil"/>
              <w:left w:val="nil"/>
              <w:bottom w:val="single" w:sz="4" w:space="0" w:color="auto"/>
              <w:right w:val="single" w:sz="4" w:space="0" w:color="auto"/>
            </w:tcBorders>
            <w:shd w:val="clear" w:color="auto" w:fill="auto"/>
            <w:noWrap/>
            <w:hideMark/>
          </w:tcPr>
          <w:p w14:paraId="2305D0B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-5.3%</w:t>
            </w:r>
          </w:p>
        </w:tc>
      </w:tr>
      <w:tr w:rsidR="00B56301" w:rsidRPr="00364545" w14:paraId="0A2CBB9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E673B9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Manufacturing Industries</w:t>
            </w:r>
          </w:p>
        </w:tc>
        <w:tc>
          <w:tcPr>
            <w:tcW w:w="628" w:type="dxa"/>
            <w:tcBorders>
              <w:top w:val="nil"/>
              <w:left w:val="nil"/>
              <w:bottom w:val="single" w:sz="4" w:space="0" w:color="auto"/>
              <w:right w:val="single" w:sz="4" w:space="0" w:color="auto"/>
            </w:tcBorders>
            <w:shd w:val="clear" w:color="auto" w:fill="auto"/>
            <w:noWrap/>
            <w:vAlign w:val="center"/>
            <w:hideMark/>
          </w:tcPr>
          <w:p w14:paraId="2964D46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w:t>
            </w:r>
          </w:p>
        </w:tc>
        <w:tc>
          <w:tcPr>
            <w:tcW w:w="628" w:type="dxa"/>
            <w:tcBorders>
              <w:top w:val="nil"/>
              <w:left w:val="nil"/>
              <w:bottom w:val="single" w:sz="4" w:space="0" w:color="auto"/>
              <w:right w:val="single" w:sz="4" w:space="0" w:color="auto"/>
            </w:tcBorders>
            <w:shd w:val="clear" w:color="auto" w:fill="auto"/>
            <w:noWrap/>
            <w:vAlign w:val="center"/>
            <w:hideMark/>
          </w:tcPr>
          <w:p w14:paraId="1C34A1F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2A3696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0B305DA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59851E5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62EAC20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w:t>
            </w:r>
          </w:p>
        </w:tc>
        <w:tc>
          <w:tcPr>
            <w:tcW w:w="628" w:type="dxa"/>
            <w:tcBorders>
              <w:top w:val="nil"/>
              <w:left w:val="nil"/>
              <w:bottom w:val="single" w:sz="4" w:space="0" w:color="auto"/>
              <w:right w:val="single" w:sz="4" w:space="0" w:color="auto"/>
            </w:tcBorders>
            <w:shd w:val="clear" w:color="auto" w:fill="auto"/>
            <w:noWrap/>
            <w:vAlign w:val="center"/>
            <w:hideMark/>
          </w:tcPr>
          <w:p w14:paraId="63237E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2.4</w:t>
            </w:r>
          </w:p>
        </w:tc>
        <w:tc>
          <w:tcPr>
            <w:tcW w:w="844" w:type="dxa"/>
            <w:tcBorders>
              <w:top w:val="nil"/>
              <w:left w:val="nil"/>
              <w:bottom w:val="single" w:sz="4" w:space="0" w:color="auto"/>
              <w:right w:val="single" w:sz="4" w:space="0" w:color="auto"/>
            </w:tcBorders>
            <w:shd w:val="clear" w:color="auto" w:fill="auto"/>
            <w:noWrap/>
            <w:hideMark/>
          </w:tcPr>
          <w:p w14:paraId="63CB529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-7.3%</w:t>
            </w:r>
          </w:p>
        </w:tc>
      </w:tr>
      <w:tr w:rsidR="00B56301" w:rsidRPr="00364545" w14:paraId="22EE5A2A" w14:textId="77777777" w:rsidTr="00B37B65">
        <w:trPr>
          <w:trHeight w:val="68"/>
          <w:jc w:val="center"/>
        </w:trPr>
        <w:tc>
          <w:tcPr>
            <w:tcW w:w="5680" w:type="dxa"/>
            <w:tcBorders>
              <w:top w:val="nil"/>
              <w:left w:val="nil"/>
              <w:bottom w:val="nil"/>
              <w:right w:val="nil"/>
            </w:tcBorders>
            <w:shd w:val="clear" w:color="000000" w:fill="B3A2C7"/>
            <w:noWrap/>
            <w:vAlign w:val="bottom"/>
            <w:hideMark/>
          </w:tcPr>
          <w:p w14:paraId="71260518"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Central Waste Processing</w:t>
            </w:r>
          </w:p>
        </w:tc>
        <w:tc>
          <w:tcPr>
            <w:tcW w:w="628" w:type="dxa"/>
            <w:tcBorders>
              <w:top w:val="nil"/>
              <w:left w:val="single" w:sz="4" w:space="0" w:color="auto"/>
              <w:bottom w:val="single" w:sz="4" w:space="0" w:color="auto"/>
              <w:right w:val="single" w:sz="4" w:space="0" w:color="auto"/>
            </w:tcBorders>
            <w:shd w:val="clear" w:color="000000" w:fill="B3A2C7"/>
            <w:noWrap/>
            <w:vAlign w:val="bottom"/>
            <w:hideMark/>
          </w:tcPr>
          <w:p w14:paraId="5A9E571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16.3</w:t>
            </w:r>
          </w:p>
        </w:tc>
        <w:tc>
          <w:tcPr>
            <w:tcW w:w="628" w:type="dxa"/>
            <w:tcBorders>
              <w:top w:val="nil"/>
              <w:left w:val="nil"/>
              <w:bottom w:val="single" w:sz="4" w:space="0" w:color="auto"/>
              <w:right w:val="single" w:sz="4" w:space="0" w:color="auto"/>
            </w:tcBorders>
            <w:shd w:val="clear" w:color="000000" w:fill="B3A2C7"/>
            <w:noWrap/>
            <w:vAlign w:val="bottom"/>
            <w:hideMark/>
          </w:tcPr>
          <w:p w14:paraId="0780D4D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15.0</w:t>
            </w:r>
          </w:p>
        </w:tc>
        <w:tc>
          <w:tcPr>
            <w:tcW w:w="628" w:type="dxa"/>
            <w:tcBorders>
              <w:top w:val="nil"/>
              <w:left w:val="nil"/>
              <w:bottom w:val="single" w:sz="4" w:space="0" w:color="auto"/>
              <w:right w:val="single" w:sz="4" w:space="0" w:color="auto"/>
            </w:tcBorders>
            <w:shd w:val="clear" w:color="000000" w:fill="B3A2C7"/>
            <w:noWrap/>
            <w:vAlign w:val="bottom"/>
            <w:hideMark/>
          </w:tcPr>
          <w:p w14:paraId="7473209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14.9</w:t>
            </w:r>
          </w:p>
        </w:tc>
        <w:tc>
          <w:tcPr>
            <w:tcW w:w="628" w:type="dxa"/>
            <w:tcBorders>
              <w:top w:val="nil"/>
              <w:left w:val="nil"/>
              <w:bottom w:val="single" w:sz="4" w:space="0" w:color="auto"/>
              <w:right w:val="single" w:sz="4" w:space="0" w:color="auto"/>
            </w:tcBorders>
            <w:shd w:val="clear" w:color="000000" w:fill="B3A2C7"/>
            <w:noWrap/>
            <w:vAlign w:val="bottom"/>
            <w:hideMark/>
          </w:tcPr>
          <w:p w14:paraId="7FB70A50"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15.0</w:t>
            </w:r>
          </w:p>
        </w:tc>
        <w:tc>
          <w:tcPr>
            <w:tcW w:w="628" w:type="dxa"/>
            <w:tcBorders>
              <w:top w:val="nil"/>
              <w:left w:val="nil"/>
              <w:bottom w:val="single" w:sz="4" w:space="0" w:color="auto"/>
              <w:right w:val="single" w:sz="4" w:space="0" w:color="auto"/>
            </w:tcBorders>
            <w:shd w:val="clear" w:color="000000" w:fill="B3A2C7"/>
            <w:noWrap/>
            <w:vAlign w:val="bottom"/>
            <w:hideMark/>
          </w:tcPr>
          <w:p w14:paraId="2C1392D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14.7</w:t>
            </w:r>
          </w:p>
        </w:tc>
        <w:tc>
          <w:tcPr>
            <w:tcW w:w="628" w:type="dxa"/>
            <w:tcBorders>
              <w:top w:val="nil"/>
              <w:left w:val="nil"/>
              <w:bottom w:val="single" w:sz="4" w:space="0" w:color="auto"/>
              <w:right w:val="single" w:sz="4" w:space="0" w:color="auto"/>
            </w:tcBorders>
            <w:shd w:val="clear" w:color="000000" w:fill="B3A2C7"/>
            <w:noWrap/>
            <w:vAlign w:val="bottom"/>
            <w:hideMark/>
          </w:tcPr>
          <w:p w14:paraId="05F49AE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15.2</w:t>
            </w:r>
          </w:p>
        </w:tc>
        <w:tc>
          <w:tcPr>
            <w:tcW w:w="628" w:type="dxa"/>
            <w:tcBorders>
              <w:top w:val="nil"/>
              <w:left w:val="nil"/>
              <w:bottom w:val="single" w:sz="4" w:space="0" w:color="auto"/>
              <w:right w:val="single" w:sz="4" w:space="0" w:color="auto"/>
            </w:tcBorders>
            <w:shd w:val="clear" w:color="000000" w:fill="B3A2C7"/>
            <w:noWrap/>
            <w:vAlign w:val="bottom"/>
            <w:hideMark/>
          </w:tcPr>
          <w:p w14:paraId="13E8034A"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14.7</w:t>
            </w:r>
          </w:p>
        </w:tc>
        <w:tc>
          <w:tcPr>
            <w:tcW w:w="844" w:type="dxa"/>
            <w:tcBorders>
              <w:top w:val="nil"/>
              <w:left w:val="nil"/>
              <w:bottom w:val="single" w:sz="4" w:space="0" w:color="auto"/>
              <w:right w:val="single" w:sz="4" w:space="0" w:color="auto"/>
            </w:tcBorders>
            <w:shd w:val="clear" w:color="000000" w:fill="B3A2C7"/>
            <w:noWrap/>
            <w:hideMark/>
          </w:tcPr>
          <w:p w14:paraId="46D2E029"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sz w:val="16"/>
              </w:rPr>
              <w:t>-3.4%</w:t>
            </w:r>
          </w:p>
        </w:tc>
      </w:tr>
      <w:tr w:rsidR="00B56301" w:rsidRPr="00364545" w14:paraId="2EFECE9D"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2D05CBDC"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Waste Storage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26A7F2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13.5</w:t>
            </w:r>
          </w:p>
        </w:tc>
        <w:tc>
          <w:tcPr>
            <w:tcW w:w="628" w:type="dxa"/>
            <w:tcBorders>
              <w:top w:val="nil"/>
              <w:left w:val="nil"/>
              <w:bottom w:val="single" w:sz="4" w:space="0" w:color="auto"/>
              <w:right w:val="single" w:sz="4" w:space="0" w:color="auto"/>
            </w:tcBorders>
            <w:shd w:val="clear" w:color="auto" w:fill="auto"/>
            <w:noWrap/>
            <w:vAlign w:val="bottom"/>
            <w:hideMark/>
          </w:tcPr>
          <w:p w14:paraId="5A9CD8E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4E39F8A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2105C7C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75CD3F2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12.2</w:t>
            </w:r>
          </w:p>
        </w:tc>
        <w:tc>
          <w:tcPr>
            <w:tcW w:w="628" w:type="dxa"/>
            <w:tcBorders>
              <w:top w:val="nil"/>
              <w:left w:val="nil"/>
              <w:bottom w:val="single" w:sz="4" w:space="0" w:color="auto"/>
              <w:right w:val="single" w:sz="4" w:space="0" w:color="auto"/>
            </w:tcBorders>
            <w:shd w:val="clear" w:color="auto" w:fill="auto"/>
            <w:noWrap/>
            <w:vAlign w:val="bottom"/>
            <w:hideMark/>
          </w:tcPr>
          <w:p w14:paraId="5DFDC28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6B1C371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12.0</w:t>
            </w:r>
          </w:p>
        </w:tc>
        <w:tc>
          <w:tcPr>
            <w:tcW w:w="844" w:type="dxa"/>
            <w:tcBorders>
              <w:top w:val="nil"/>
              <w:left w:val="nil"/>
              <w:bottom w:val="single" w:sz="4" w:space="0" w:color="auto"/>
              <w:right w:val="single" w:sz="4" w:space="0" w:color="auto"/>
            </w:tcBorders>
            <w:shd w:val="clear" w:color="auto" w:fill="auto"/>
            <w:noWrap/>
            <w:hideMark/>
          </w:tcPr>
          <w:p w14:paraId="34795D5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w:t>
            </w:r>
          </w:p>
        </w:tc>
      </w:tr>
      <w:tr w:rsidR="00B56301" w:rsidRPr="00364545" w14:paraId="64EEBDA2"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0049281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Incineration without Energy Recovery</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194BA8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11C4864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B60A46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058FAF1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743C965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w:t>
            </w:r>
          </w:p>
        </w:tc>
        <w:tc>
          <w:tcPr>
            <w:tcW w:w="628" w:type="dxa"/>
            <w:tcBorders>
              <w:top w:val="nil"/>
              <w:left w:val="nil"/>
              <w:bottom w:val="single" w:sz="4" w:space="0" w:color="auto"/>
              <w:right w:val="single" w:sz="4" w:space="0" w:color="auto"/>
            </w:tcBorders>
            <w:shd w:val="clear" w:color="auto" w:fill="auto"/>
            <w:noWrap/>
            <w:vAlign w:val="bottom"/>
            <w:hideMark/>
          </w:tcPr>
          <w:p w14:paraId="5361508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575BA78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844" w:type="dxa"/>
            <w:tcBorders>
              <w:top w:val="nil"/>
              <w:left w:val="nil"/>
              <w:bottom w:val="single" w:sz="4" w:space="0" w:color="auto"/>
              <w:right w:val="single" w:sz="4" w:space="0" w:color="auto"/>
            </w:tcBorders>
            <w:shd w:val="clear" w:color="auto" w:fill="auto"/>
            <w:noWrap/>
            <w:hideMark/>
          </w:tcPr>
          <w:p w14:paraId="7237E23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-7.2%</w:t>
            </w:r>
          </w:p>
        </w:tc>
      </w:tr>
      <w:tr w:rsidR="00B56301" w:rsidRPr="00364545" w14:paraId="4114DE2F"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5EDE5B7"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Solid Waste Processing</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2926C9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465D48F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03C49FE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2936EA3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3AC3E1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07A240B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769A27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844" w:type="dxa"/>
            <w:tcBorders>
              <w:top w:val="nil"/>
              <w:left w:val="nil"/>
              <w:bottom w:val="single" w:sz="4" w:space="0" w:color="auto"/>
              <w:right w:val="single" w:sz="4" w:space="0" w:color="auto"/>
            </w:tcBorders>
            <w:shd w:val="clear" w:color="auto" w:fill="auto"/>
            <w:noWrap/>
            <w:hideMark/>
          </w:tcPr>
          <w:p w14:paraId="12E6F36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r>
      <w:tr w:rsidR="00B56301" w:rsidRPr="00364545" w14:paraId="28CAB24C"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589C7F2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Waste-water Treatment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6C6B8F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10B36FC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ED3925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5A1C8C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AA15F5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BD2E0D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408BBA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844" w:type="dxa"/>
            <w:tcBorders>
              <w:top w:val="nil"/>
              <w:left w:val="nil"/>
              <w:bottom w:val="single" w:sz="4" w:space="0" w:color="auto"/>
              <w:right w:val="single" w:sz="4" w:space="0" w:color="auto"/>
            </w:tcBorders>
            <w:shd w:val="clear" w:color="auto" w:fill="auto"/>
            <w:noWrap/>
            <w:hideMark/>
          </w:tcPr>
          <w:p w14:paraId="6E14A35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r>
      <w:tr w:rsidR="00B56301" w:rsidRPr="00364545" w14:paraId="0A148333" w14:textId="77777777" w:rsidTr="00B37B65">
        <w:trPr>
          <w:trHeight w:val="68"/>
          <w:jc w:val="center"/>
        </w:trPr>
        <w:tc>
          <w:tcPr>
            <w:tcW w:w="5680" w:type="dxa"/>
            <w:tcBorders>
              <w:top w:val="nil"/>
              <w:left w:val="nil"/>
              <w:bottom w:val="nil"/>
              <w:right w:val="nil"/>
            </w:tcBorders>
            <w:shd w:val="clear" w:color="000000" w:fill="E0E5B3"/>
            <w:noWrap/>
            <w:vAlign w:val="bottom"/>
            <w:hideMark/>
          </w:tcPr>
          <w:p w14:paraId="0326CCEE"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Residential / High-tech Building Use and Activity</w:t>
            </w:r>
          </w:p>
        </w:tc>
        <w:tc>
          <w:tcPr>
            <w:tcW w:w="628" w:type="dxa"/>
            <w:tcBorders>
              <w:top w:val="nil"/>
              <w:left w:val="single" w:sz="4" w:space="0" w:color="auto"/>
              <w:bottom w:val="single" w:sz="4" w:space="0" w:color="auto"/>
              <w:right w:val="single" w:sz="4" w:space="0" w:color="auto"/>
            </w:tcBorders>
            <w:shd w:val="clear" w:color="000000" w:fill="E0E5B3"/>
            <w:noWrap/>
            <w:vAlign w:val="bottom"/>
            <w:hideMark/>
          </w:tcPr>
          <w:p w14:paraId="0290663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81.1</w:t>
            </w:r>
          </w:p>
        </w:tc>
        <w:tc>
          <w:tcPr>
            <w:tcW w:w="628" w:type="dxa"/>
            <w:tcBorders>
              <w:top w:val="nil"/>
              <w:left w:val="nil"/>
              <w:bottom w:val="single" w:sz="4" w:space="0" w:color="auto"/>
              <w:right w:val="single" w:sz="4" w:space="0" w:color="auto"/>
            </w:tcBorders>
            <w:shd w:val="clear" w:color="000000" w:fill="E0E5B3"/>
            <w:noWrap/>
            <w:vAlign w:val="bottom"/>
            <w:hideMark/>
          </w:tcPr>
          <w:p w14:paraId="78AEBFDF"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84.1</w:t>
            </w:r>
          </w:p>
        </w:tc>
        <w:tc>
          <w:tcPr>
            <w:tcW w:w="628" w:type="dxa"/>
            <w:tcBorders>
              <w:top w:val="nil"/>
              <w:left w:val="nil"/>
              <w:bottom w:val="single" w:sz="4" w:space="0" w:color="auto"/>
              <w:right w:val="single" w:sz="4" w:space="0" w:color="auto"/>
            </w:tcBorders>
            <w:shd w:val="clear" w:color="000000" w:fill="E0E5B3"/>
            <w:noWrap/>
            <w:vAlign w:val="bottom"/>
            <w:hideMark/>
          </w:tcPr>
          <w:p w14:paraId="6303C810"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84.0</w:t>
            </w:r>
          </w:p>
        </w:tc>
        <w:tc>
          <w:tcPr>
            <w:tcW w:w="628" w:type="dxa"/>
            <w:tcBorders>
              <w:top w:val="nil"/>
              <w:left w:val="nil"/>
              <w:bottom w:val="single" w:sz="4" w:space="0" w:color="auto"/>
              <w:right w:val="single" w:sz="4" w:space="0" w:color="auto"/>
            </w:tcBorders>
            <w:shd w:val="clear" w:color="000000" w:fill="E0E5B3"/>
            <w:noWrap/>
            <w:vAlign w:val="bottom"/>
            <w:hideMark/>
          </w:tcPr>
          <w:p w14:paraId="231F025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83.4</w:t>
            </w:r>
          </w:p>
        </w:tc>
        <w:tc>
          <w:tcPr>
            <w:tcW w:w="628" w:type="dxa"/>
            <w:tcBorders>
              <w:top w:val="nil"/>
              <w:left w:val="nil"/>
              <w:bottom w:val="single" w:sz="4" w:space="0" w:color="auto"/>
              <w:right w:val="single" w:sz="4" w:space="0" w:color="auto"/>
            </w:tcBorders>
            <w:shd w:val="clear" w:color="000000" w:fill="E0E5B3"/>
            <w:noWrap/>
            <w:vAlign w:val="bottom"/>
            <w:hideMark/>
          </w:tcPr>
          <w:p w14:paraId="77A9154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78.3</w:t>
            </w:r>
          </w:p>
        </w:tc>
        <w:tc>
          <w:tcPr>
            <w:tcW w:w="628" w:type="dxa"/>
            <w:tcBorders>
              <w:top w:val="nil"/>
              <w:left w:val="nil"/>
              <w:bottom w:val="single" w:sz="4" w:space="0" w:color="auto"/>
              <w:right w:val="single" w:sz="4" w:space="0" w:color="auto"/>
            </w:tcBorders>
            <w:shd w:val="clear" w:color="000000" w:fill="E0E5B3"/>
            <w:noWrap/>
            <w:vAlign w:val="bottom"/>
            <w:hideMark/>
          </w:tcPr>
          <w:p w14:paraId="2CA2FB1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75.4</w:t>
            </w:r>
          </w:p>
        </w:tc>
        <w:tc>
          <w:tcPr>
            <w:tcW w:w="628" w:type="dxa"/>
            <w:tcBorders>
              <w:top w:val="nil"/>
              <w:left w:val="nil"/>
              <w:bottom w:val="single" w:sz="4" w:space="0" w:color="auto"/>
              <w:right w:val="single" w:sz="4" w:space="0" w:color="auto"/>
            </w:tcBorders>
            <w:shd w:val="clear" w:color="000000" w:fill="E0E5B3"/>
            <w:noWrap/>
            <w:vAlign w:val="bottom"/>
            <w:hideMark/>
          </w:tcPr>
          <w:p w14:paraId="0386C220"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71.0</w:t>
            </w:r>
          </w:p>
        </w:tc>
        <w:tc>
          <w:tcPr>
            <w:tcW w:w="844" w:type="dxa"/>
            <w:tcBorders>
              <w:top w:val="nil"/>
              <w:left w:val="nil"/>
              <w:bottom w:val="single" w:sz="4" w:space="0" w:color="auto"/>
              <w:right w:val="single" w:sz="4" w:space="0" w:color="auto"/>
            </w:tcBorders>
            <w:shd w:val="clear" w:color="000000" w:fill="E0E5B3"/>
            <w:noWrap/>
            <w:hideMark/>
          </w:tcPr>
          <w:p w14:paraId="63D1FE4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sz w:val="16"/>
              </w:rPr>
              <w:t>-5.9%</w:t>
            </w:r>
          </w:p>
        </w:tc>
      </w:tr>
      <w:tr w:rsidR="00B56301" w:rsidRPr="00364545" w14:paraId="7A8B4CFF"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4FF9DEB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Use of Residential Buildings and Domestic Activities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FE3071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49.4</w:t>
            </w:r>
          </w:p>
        </w:tc>
        <w:tc>
          <w:tcPr>
            <w:tcW w:w="628" w:type="dxa"/>
            <w:tcBorders>
              <w:top w:val="nil"/>
              <w:left w:val="nil"/>
              <w:bottom w:val="single" w:sz="4" w:space="0" w:color="auto"/>
              <w:right w:val="single" w:sz="4" w:space="0" w:color="auto"/>
            </w:tcBorders>
            <w:shd w:val="clear" w:color="auto" w:fill="auto"/>
            <w:noWrap/>
            <w:vAlign w:val="bottom"/>
            <w:hideMark/>
          </w:tcPr>
          <w:p w14:paraId="03942F6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51.6</w:t>
            </w:r>
          </w:p>
        </w:tc>
        <w:tc>
          <w:tcPr>
            <w:tcW w:w="628" w:type="dxa"/>
            <w:tcBorders>
              <w:top w:val="nil"/>
              <w:left w:val="nil"/>
              <w:bottom w:val="single" w:sz="4" w:space="0" w:color="auto"/>
              <w:right w:val="single" w:sz="4" w:space="0" w:color="auto"/>
            </w:tcBorders>
            <w:shd w:val="clear" w:color="auto" w:fill="auto"/>
            <w:noWrap/>
            <w:vAlign w:val="bottom"/>
            <w:hideMark/>
          </w:tcPr>
          <w:p w14:paraId="66EAB29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52.9</w:t>
            </w:r>
          </w:p>
        </w:tc>
        <w:tc>
          <w:tcPr>
            <w:tcW w:w="628" w:type="dxa"/>
            <w:tcBorders>
              <w:top w:val="nil"/>
              <w:left w:val="nil"/>
              <w:bottom w:val="single" w:sz="4" w:space="0" w:color="auto"/>
              <w:right w:val="single" w:sz="4" w:space="0" w:color="auto"/>
            </w:tcBorders>
            <w:shd w:val="clear" w:color="auto" w:fill="auto"/>
            <w:noWrap/>
            <w:vAlign w:val="bottom"/>
            <w:hideMark/>
          </w:tcPr>
          <w:p w14:paraId="54D3467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51.8</w:t>
            </w:r>
          </w:p>
        </w:tc>
        <w:tc>
          <w:tcPr>
            <w:tcW w:w="628" w:type="dxa"/>
            <w:tcBorders>
              <w:top w:val="nil"/>
              <w:left w:val="nil"/>
              <w:bottom w:val="single" w:sz="4" w:space="0" w:color="auto"/>
              <w:right w:val="single" w:sz="4" w:space="0" w:color="auto"/>
            </w:tcBorders>
            <w:shd w:val="clear" w:color="auto" w:fill="auto"/>
            <w:noWrap/>
            <w:vAlign w:val="bottom"/>
            <w:hideMark/>
          </w:tcPr>
          <w:p w14:paraId="48423E3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48.2</w:t>
            </w:r>
          </w:p>
        </w:tc>
        <w:tc>
          <w:tcPr>
            <w:tcW w:w="628" w:type="dxa"/>
            <w:tcBorders>
              <w:top w:val="nil"/>
              <w:left w:val="nil"/>
              <w:bottom w:val="single" w:sz="4" w:space="0" w:color="auto"/>
              <w:right w:val="single" w:sz="4" w:space="0" w:color="auto"/>
            </w:tcBorders>
            <w:shd w:val="clear" w:color="auto" w:fill="auto"/>
            <w:noWrap/>
            <w:vAlign w:val="bottom"/>
            <w:hideMark/>
          </w:tcPr>
          <w:p w14:paraId="305A4DD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46.6</w:t>
            </w:r>
          </w:p>
        </w:tc>
        <w:tc>
          <w:tcPr>
            <w:tcW w:w="628" w:type="dxa"/>
            <w:tcBorders>
              <w:top w:val="nil"/>
              <w:left w:val="nil"/>
              <w:bottom w:val="single" w:sz="4" w:space="0" w:color="auto"/>
              <w:right w:val="single" w:sz="4" w:space="0" w:color="auto"/>
            </w:tcBorders>
            <w:shd w:val="clear" w:color="auto" w:fill="auto"/>
            <w:noWrap/>
            <w:vAlign w:val="bottom"/>
            <w:hideMark/>
          </w:tcPr>
          <w:p w14:paraId="136883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44.8</w:t>
            </w:r>
          </w:p>
        </w:tc>
        <w:tc>
          <w:tcPr>
            <w:tcW w:w="844" w:type="dxa"/>
            <w:tcBorders>
              <w:top w:val="nil"/>
              <w:left w:val="nil"/>
              <w:bottom w:val="single" w:sz="4" w:space="0" w:color="auto"/>
              <w:right w:val="single" w:sz="4" w:space="0" w:color="auto"/>
            </w:tcBorders>
            <w:shd w:val="clear" w:color="auto" w:fill="auto"/>
            <w:noWrap/>
            <w:hideMark/>
          </w:tcPr>
          <w:p w14:paraId="2B7D21E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w:t>
            </w:r>
          </w:p>
        </w:tc>
      </w:tr>
      <w:tr w:rsidR="00B56301" w:rsidRPr="00364545" w14:paraId="56DB8FE9"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D15D2EA"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High-tech Building Use and Activity</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94933A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31.7</w:t>
            </w:r>
          </w:p>
        </w:tc>
        <w:tc>
          <w:tcPr>
            <w:tcW w:w="628" w:type="dxa"/>
            <w:tcBorders>
              <w:top w:val="nil"/>
              <w:left w:val="nil"/>
              <w:bottom w:val="single" w:sz="4" w:space="0" w:color="auto"/>
              <w:right w:val="single" w:sz="4" w:space="0" w:color="auto"/>
            </w:tcBorders>
            <w:shd w:val="clear" w:color="auto" w:fill="auto"/>
            <w:noWrap/>
            <w:vAlign w:val="bottom"/>
            <w:hideMark/>
          </w:tcPr>
          <w:p w14:paraId="684F3C9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32.5</w:t>
            </w:r>
          </w:p>
        </w:tc>
        <w:tc>
          <w:tcPr>
            <w:tcW w:w="628" w:type="dxa"/>
            <w:tcBorders>
              <w:top w:val="nil"/>
              <w:left w:val="nil"/>
              <w:bottom w:val="single" w:sz="4" w:space="0" w:color="auto"/>
              <w:right w:val="single" w:sz="4" w:space="0" w:color="auto"/>
            </w:tcBorders>
            <w:shd w:val="clear" w:color="auto" w:fill="auto"/>
            <w:noWrap/>
            <w:vAlign w:val="bottom"/>
            <w:hideMark/>
          </w:tcPr>
          <w:p w14:paraId="42D3A20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31.2</w:t>
            </w:r>
          </w:p>
        </w:tc>
        <w:tc>
          <w:tcPr>
            <w:tcW w:w="628" w:type="dxa"/>
            <w:tcBorders>
              <w:top w:val="nil"/>
              <w:left w:val="nil"/>
              <w:bottom w:val="single" w:sz="4" w:space="0" w:color="auto"/>
              <w:right w:val="single" w:sz="4" w:space="0" w:color="auto"/>
            </w:tcBorders>
            <w:shd w:val="clear" w:color="auto" w:fill="auto"/>
            <w:noWrap/>
            <w:vAlign w:val="bottom"/>
            <w:hideMark/>
          </w:tcPr>
          <w:p w14:paraId="4BFAC89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31.6</w:t>
            </w:r>
          </w:p>
        </w:tc>
        <w:tc>
          <w:tcPr>
            <w:tcW w:w="628" w:type="dxa"/>
            <w:tcBorders>
              <w:top w:val="nil"/>
              <w:left w:val="nil"/>
              <w:bottom w:val="single" w:sz="4" w:space="0" w:color="auto"/>
              <w:right w:val="single" w:sz="4" w:space="0" w:color="auto"/>
            </w:tcBorders>
            <w:shd w:val="clear" w:color="auto" w:fill="auto"/>
            <w:noWrap/>
            <w:vAlign w:val="bottom"/>
            <w:hideMark/>
          </w:tcPr>
          <w:p w14:paraId="6EEE4CF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30.1</w:t>
            </w:r>
          </w:p>
        </w:tc>
        <w:tc>
          <w:tcPr>
            <w:tcW w:w="628" w:type="dxa"/>
            <w:tcBorders>
              <w:top w:val="nil"/>
              <w:left w:val="nil"/>
              <w:bottom w:val="single" w:sz="4" w:space="0" w:color="auto"/>
              <w:right w:val="single" w:sz="4" w:space="0" w:color="auto"/>
            </w:tcBorders>
            <w:shd w:val="clear" w:color="auto" w:fill="auto"/>
            <w:noWrap/>
            <w:vAlign w:val="bottom"/>
            <w:hideMark/>
          </w:tcPr>
          <w:p w14:paraId="470B0F6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28.8</w:t>
            </w:r>
          </w:p>
        </w:tc>
        <w:tc>
          <w:tcPr>
            <w:tcW w:w="628" w:type="dxa"/>
            <w:tcBorders>
              <w:top w:val="nil"/>
              <w:left w:val="nil"/>
              <w:bottom w:val="single" w:sz="4" w:space="0" w:color="auto"/>
              <w:right w:val="single" w:sz="4" w:space="0" w:color="auto"/>
            </w:tcBorders>
            <w:shd w:val="clear" w:color="auto" w:fill="auto"/>
            <w:noWrap/>
            <w:vAlign w:val="bottom"/>
            <w:hideMark/>
          </w:tcPr>
          <w:p w14:paraId="0E5A7F1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26.2</w:t>
            </w:r>
          </w:p>
        </w:tc>
        <w:tc>
          <w:tcPr>
            <w:tcW w:w="844" w:type="dxa"/>
            <w:tcBorders>
              <w:top w:val="nil"/>
              <w:left w:val="nil"/>
              <w:bottom w:val="single" w:sz="4" w:space="0" w:color="auto"/>
              <w:right w:val="single" w:sz="4" w:space="0" w:color="auto"/>
            </w:tcBorders>
            <w:shd w:val="clear" w:color="auto" w:fill="auto"/>
            <w:noWrap/>
            <w:hideMark/>
          </w:tcPr>
          <w:p w14:paraId="40CB6B2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-9.2%</w:t>
            </w:r>
          </w:p>
        </w:tc>
      </w:tr>
      <w:tr w:rsidR="00B56301" w:rsidRPr="00364545" w14:paraId="6EC6C9C0" w14:textId="77777777" w:rsidTr="00B37B65">
        <w:trPr>
          <w:trHeight w:val="68"/>
          <w:jc w:val="center"/>
        </w:trPr>
        <w:tc>
          <w:tcPr>
            <w:tcW w:w="5680" w:type="dxa"/>
            <w:tcBorders>
              <w:top w:val="nil"/>
              <w:left w:val="nil"/>
              <w:bottom w:val="nil"/>
              <w:right w:val="nil"/>
            </w:tcBorders>
            <w:shd w:val="clear" w:color="000000" w:fill="92D050"/>
            <w:noWrap/>
            <w:vAlign w:val="bottom"/>
            <w:hideMark/>
          </w:tcPr>
          <w:p w14:paraId="402CD36F"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Agriculture</w:t>
            </w:r>
          </w:p>
        </w:tc>
        <w:tc>
          <w:tcPr>
            <w:tcW w:w="628" w:type="dxa"/>
            <w:tcBorders>
              <w:top w:val="nil"/>
              <w:left w:val="single" w:sz="4" w:space="0" w:color="auto"/>
              <w:bottom w:val="single" w:sz="4" w:space="0" w:color="auto"/>
              <w:right w:val="single" w:sz="4" w:space="0" w:color="auto"/>
            </w:tcBorders>
            <w:shd w:val="clear" w:color="000000" w:fill="92D050"/>
            <w:noWrap/>
            <w:vAlign w:val="bottom"/>
            <w:hideMark/>
          </w:tcPr>
          <w:p w14:paraId="12B8117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87.2</w:t>
            </w:r>
          </w:p>
        </w:tc>
        <w:tc>
          <w:tcPr>
            <w:tcW w:w="628" w:type="dxa"/>
            <w:tcBorders>
              <w:top w:val="nil"/>
              <w:left w:val="nil"/>
              <w:bottom w:val="single" w:sz="4" w:space="0" w:color="auto"/>
              <w:right w:val="single" w:sz="4" w:space="0" w:color="auto"/>
            </w:tcBorders>
            <w:shd w:val="clear" w:color="000000" w:fill="92D050"/>
            <w:noWrap/>
            <w:vAlign w:val="bottom"/>
            <w:hideMark/>
          </w:tcPr>
          <w:p w14:paraId="3A83727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86.9</w:t>
            </w:r>
          </w:p>
        </w:tc>
        <w:tc>
          <w:tcPr>
            <w:tcW w:w="628" w:type="dxa"/>
            <w:tcBorders>
              <w:top w:val="nil"/>
              <w:left w:val="nil"/>
              <w:bottom w:val="single" w:sz="4" w:space="0" w:color="auto"/>
              <w:right w:val="single" w:sz="4" w:space="0" w:color="auto"/>
            </w:tcBorders>
            <w:shd w:val="clear" w:color="000000" w:fill="92D050"/>
            <w:noWrap/>
            <w:vAlign w:val="bottom"/>
            <w:hideMark/>
          </w:tcPr>
          <w:p w14:paraId="5FCA8CA7"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84.9</w:t>
            </w:r>
          </w:p>
        </w:tc>
        <w:tc>
          <w:tcPr>
            <w:tcW w:w="628" w:type="dxa"/>
            <w:tcBorders>
              <w:top w:val="nil"/>
              <w:left w:val="nil"/>
              <w:bottom w:val="single" w:sz="4" w:space="0" w:color="auto"/>
              <w:right w:val="single" w:sz="4" w:space="0" w:color="auto"/>
            </w:tcBorders>
            <w:shd w:val="clear" w:color="000000" w:fill="92D050"/>
            <w:noWrap/>
            <w:vAlign w:val="bottom"/>
            <w:hideMark/>
          </w:tcPr>
          <w:p w14:paraId="7882CB90"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84.9</w:t>
            </w:r>
          </w:p>
        </w:tc>
        <w:tc>
          <w:tcPr>
            <w:tcW w:w="628" w:type="dxa"/>
            <w:tcBorders>
              <w:top w:val="nil"/>
              <w:left w:val="nil"/>
              <w:bottom w:val="single" w:sz="4" w:space="0" w:color="auto"/>
              <w:right w:val="single" w:sz="4" w:space="0" w:color="auto"/>
            </w:tcBorders>
            <w:shd w:val="clear" w:color="000000" w:fill="92D050"/>
            <w:noWrap/>
            <w:vAlign w:val="bottom"/>
            <w:hideMark/>
          </w:tcPr>
          <w:p w14:paraId="4CC85EE7"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83.7</w:t>
            </w:r>
          </w:p>
        </w:tc>
        <w:tc>
          <w:tcPr>
            <w:tcW w:w="628" w:type="dxa"/>
            <w:tcBorders>
              <w:top w:val="nil"/>
              <w:left w:val="nil"/>
              <w:bottom w:val="single" w:sz="4" w:space="0" w:color="auto"/>
              <w:right w:val="single" w:sz="4" w:space="0" w:color="auto"/>
            </w:tcBorders>
            <w:shd w:val="clear" w:color="000000" w:fill="92D050"/>
            <w:noWrap/>
            <w:vAlign w:val="bottom"/>
            <w:hideMark/>
          </w:tcPr>
          <w:p w14:paraId="3DEDAD0B"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82.5</w:t>
            </w:r>
          </w:p>
        </w:tc>
        <w:tc>
          <w:tcPr>
            <w:tcW w:w="628" w:type="dxa"/>
            <w:tcBorders>
              <w:top w:val="nil"/>
              <w:left w:val="nil"/>
              <w:bottom w:val="single" w:sz="4" w:space="0" w:color="auto"/>
              <w:right w:val="single" w:sz="4" w:space="0" w:color="auto"/>
            </w:tcBorders>
            <w:shd w:val="clear" w:color="000000" w:fill="92D050"/>
            <w:noWrap/>
            <w:vAlign w:val="bottom"/>
            <w:hideMark/>
          </w:tcPr>
          <w:p w14:paraId="621452C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80.9</w:t>
            </w:r>
          </w:p>
        </w:tc>
        <w:tc>
          <w:tcPr>
            <w:tcW w:w="844" w:type="dxa"/>
            <w:tcBorders>
              <w:top w:val="nil"/>
              <w:left w:val="nil"/>
              <w:bottom w:val="single" w:sz="4" w:space="0" w:color="auto"/>
              <w:right w:val="single" w:sz="4" w:space="0" w:color="auto"/>
            </w:tcBorders>
            <w:shd w:val="clear" w:color="000000" w:fill="92D050"/>
            <w:noWrap/>
            <w:hideMark/>
          </w:tcPr>
          <w:p w14:paraId="40B805E4"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sz w:val="16"/>
              </w:rPr>
              <w:t>-1.9%</w:t>
            </w:r>
          </w:p>
        </w:tc>
      </w:tr>
      <w:tr w:rsidR="00B56301" w:rsidRPr="00364545" w14:paraId="6302DCCB"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6C75B"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Cultivation</w:t>
            </w:r>
          </w:p>
        </w:tc>
        <w:tc>
          <w:tcPr>
            <w:tcW w:w="628" w:type="dxa"/>
            <w:tcBorders>
              <w:top w:val="nil"/>
              <w:left w:val="nil"/>
              <w:bottom w:val="single" w:sz="4" w:space="0" w:color="auto"/>
              <w:right w:val="single" w:sz="4" w:space="0" w:color="auto"/>
            </w:tcBorders>
            <w:shd w:val="clear" w:color="auto" w:fill="auto"/>
            <w:noWrap/>
            <w:vAlign w:val="bottom"/>
            <w:hideMark/>
          </w:tcPr>
          <w:p w14:paraId="5F8ACA9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34.3</w:t>
            </w:r>
          </w:p>
        </w:tc>
        <w:tc>
          <w:tcPr>
            <w:tcW w:w="628" w:type="dxa"/>
            <w:tcBorders>
              <w:top w:val="nil"/>
              <w:left w:val="nil"/>
              <w:bottom w:val="single" w:sz="4" w:space="0" w:color="auto"/>
              <w:right w:val="single" w:sz="4" w:space="0" w:color="auto"/>
            </w:tcBorders>
            <w:shd w:val="clear" w:color="auto" w:fill="auto"/>
            <w:noWrap/>
            <w:vAlign w:val="bottom"/>
            <w:hideMark/>
          </w:tcPr>
          <w:p w14:paraId="6A8B0F9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34.0</w:t>
            </w:r>
          </w:p>
        </w:tc>
        <w:tc>
          <w:tcPr>
            <w:tcW w:w="628" w:type="dxa"/>
            <w:tcBorders>
              <w:top w:val="nil"/>
              <w:left w:val="nil"/>
              <w:bottom w:val="single" w:sz="4" w:space="0" w:color="auto"/>
              <w:right w:val="single" w:sz="4" w:space="0" w:color="auto"/>
            </w:tcBorders>
            <w:shd w:val="clear" w:color="auto" w:fill="auto"/>
            <w:noWrap/>
            <w:vAlign w:val="bottom"/>
            <w:hideMark/>
          </w:tcPr>
          <w:p w14:paraId="73E1328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33.2</w:t>
            </w:r>
          </w:p>
        </w:tc>
        <w:tc>
          <w:tcPr>
            <w:tcW w:w="628" w:type="dxa"/>
            <w:tcBorders>
              <w:top w:val="nil"/>
              <w:left w:val="nil"/>
              <w:bottom w:val="single" w:sz="4" w:space="0" w:color="auto"/>
              <w:right w:val="single" w:sz="4" w:space="0" w:color="auto"/>
            </w:tcBorders>
            <w:shd w:val="clear" w:color="auto" w:fill="auto"/>
            <w:noWrap/>
            <w:vAlign w:val="bottom"/>
            <w:hideMark/>
          </w:tcPr>
          <w:p w14:paraId="215C1A6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33.9</w:t>
            </w:r>
          </w:p>
        </w:tc>
        <w:tc>
          <w:tcPr>
            <w:tcW w:w="628" w:type="dxa"/>
            <w:tcBorders>
              <w:top w:val="nil"/>
              <w:left w:val="nil"/>
              <w:bottom w:val="single" w:sz="4" w:space="0" w:color="auto"/>
              <w:right w:val="single" w:sz="4" w:space="0" w:color="auto"/>
            </w:tcBorders>
            <w:shd w:val="clear" w:color="auto" w:fill="auto"/>
            <w:noWrap/>
            <w:vAlign w:val="bottom"/>
            <w:hideMark/>
          </w:tcPr>
          <w:p w14:paraId="656D54C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33.1</w:t>
            </w:r>
          </w:p>
        </w:tc>
        <w:tc>
          <w:tcPr>
            <w:tcW w:w="628" w:type="dxa"/>
            <w:tcBorders>
              <w:top w:val="nil"/>
              <w:left w:val="nil"/>
              <w:bottom w:val="single" w:sz="4" w:space="0" w:color="auto"/>
              <w:right w:val="single" w:sz="4" w:space="0" w:color="auto"/>
            </w:tcBorders>
            <w:shd w:val="clear" w:color="auto" w:fill="auto"/>
            <w:noWrap/>
            <w:vAlign w:val="bottom"/>
            <w:hideMark/>
          </w:tcPr>
          <w:p w14:paraId="2E59559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32.7</w:t>
            </w:r>
          </w:p>
        </w:tc>
        <w:tc>
          <w:tcPr>
            <w:tcW w:w="628" w:type="dxa"/>
            <w:tcBorders>
              <w:top w:val="nil"/>
              <w:left w:val="nil"/>
              <w:bottom w:val="single" w:sz="4" w:space="0" w:color="auto"/>
              <w:right w:val="single" w:sz="4" w:space="0" w:color="auto"/>
            </w:tcBorders>
            <w:shd w:val="clear" w:color="auto" w:fill="auto"/>
            <w:noWrap/>
            <w:vAlign w:val="bottom"/>
            <w:hideMark/>
          </w:tcPr>
          <w:p w14:paraId="3434734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31.1</w:t>
            </w:r>
          </w:p>
        </w:tc>
        <w:tc>
          <w:tcPr>
            <w:tcW w:w="844" w:type="dxa"/>
            <w:tcBorders>
              <w:top w:val="nil"/>
              <w:left w:val="nil"/>
              <w:bottom w:val="single" w:sz="4" w:space="0" w:color="auto"/>
              <w:right w:val="single" w:sz="4" w:space="0" w:color="auto"/>
            </w:tcBorders>
            <w:shd w:val="clear" w:color="auto" w:fill="auto"/>
            <w:noWrap/>
            <w:hideMark/>
          </w:tcPr>
          <w:p w14:paraId="5B36DE8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-5.0%</w:t>
            </w:r>
          </w:p>
        </w:tc>
      </w:tr>
      <w:tr w:rsidR="00B56301" w:rsidRPr="00364545" w14:paraId="744C9E40"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noWrap/>
            <w:vAlign w:val="center"/>
            <w:hideMark/>
          </w:tcPr>
          <w:p w14:paraId="7FDD4117"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Livestock Farming</w:t>
            </w:r>
          </w:p>
        </w:tc>
        <w:tc>
          <w:tcPr>
            <w:tcW w:w="628" w:type="dxa"/>
            <w:tcBorders>
              <w:top w:val="nil"/>
              <w:left w:val="nil"/>
              <w:bottom w:val="single" w:sz="4" w:space="0" w:color="auto"/>
              <w:right w:val="single" w:sz="4" w:space="0" w:color="auto"/>
            </w:tcBorders>
            <w:shd w:val="clear" w:color="auto" w:fill="auto"/>
            <w:noWrap/>
            <w:vAlign w:val="bottom"/>
            <w:hideMark/>
          </w:tcPr>
          <w:p w14:paraId="66171E6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41.8</w:t>
            </w:r>
          </w:p>
        </w:tc>
        <w:tc>
          <w:tcPr>
            <w:tcW w:w="628" w:type="dxa"/>
            <w:tcBorders>
              <w:top w:val="nil"/>
              <w:left w:val="nil"/>
              <w:bottom w:val="single" w:sz="4" w:space="0" w:color="auto"/>
              <w:right w:val="single" w:sz="4" w:space="0" w:color="auto"/>
            </w:tcBorders>
            <w:shd w:val="clear" w:color="auto" w:fill="auto"/>
            <w:noWrap/>
            <w:vAlign w:val="bottom"/>
            <w:hideMark/>
          </w:tcPr>
          <w:p w14:paraId="1FF5D91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41.9</w:t>
            </w:r>
          </w:p>
        </w:tc>
        <w:tc>
          <w:tcPr>
            <w:tcW w:w="628" w:type="dxa"/>
            <w:tcBorders>
              <w:top w:val="nil"/>
              <w:left w:val="nil"/>
              <w:bottom w:val="single" w:sz="4" w:space="0" w:color="auto"/>
              <w:right w:val="single" w:sz="4" w:space="0" w:color="auto"/>
            </w:tcBorders>
            <w:shd w:val="clear" w:color="auto" w:fill="auto"/>
            <w:noWrap/>
            <w:vAlign w:val="bottom"/>
            <w:hideMark/>
          </w:tcPr>
          <w:p w14:paraId="35961D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41.5</w:t>
            </w:r>
          </w:p>
        </w:tc>
        <w:tc>
          <w:tcPr>
            <w:tcW w:w="628" w:type="dxa"/>
            <w:tcBorders>
              <w:top w:val="nil"/>
              <w:left w:val="nil"/>
              <w:bottom w:val="single" w:sz="4" w:space="0" w:color="auto"/>
              <w:right w:val="single" w:sz="4" w:space="0" w:color="auto"/>
            </w:tcBorders>
            <w:shd w:val="clear" w:color="auto" w:fill="auto"/>
            <w:noWrap/>
            <w:vAlign w:val="bottom"/>
            <w:hideMark/>
          </w:tcPr>
          <w:p w14:paraId="5AF1B36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41.1</w:t>
            </w:r>
          </w:p>
        </w:tc>
        <w:tc>
          <w:tcPr>
            <w:tcW w:w="628" w:type="dxa"/>
            <w:tcBorders>
              <w:top w:val="nil"/>
              <w:left w:val="nil"/>
              <w:bottom w:val="single" w:sz="4" w:space="0" w:color="auto"/>
              <w:right w:val="single" w:sz="4" w:space="0" w:color="auto"/>
            </w:tcBorders>
            <w:shd w:val="clear" w:color="auto" w:fill="auto"/>
            <w:noWrap/>
            <w:vAlign w:val="bottom"/>
            <w:hideMark/>
          </w:tcPr>
          <w:p w14:paraId="057D6EB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40.7</w:t>
            </w:r>
          </w:p>
        </w:tc>
        <w:tc>
          <w:tcPr>
            <w:tcW w:w="628" w:type="dxa"/>
            <w:tcBorders>
              <w:top w:val="nil"/>
              <w:left w:val="nil"/>
              <w:bottom w:val="single" w:sz="4" w:space="0" w:color="auto"/>
              <w:right w:val="single" w:sz="4" w:space="0" w:color="auto"/>
            </w:tcBorders>
            <w:shd w:val="clear" w:color="auto" w:fill="auto"/>
            <w:noWrap/>
            <w:vAlign w:val="bottom"/>
            <w:hideMark/>
          </w:tcPr>
          <w:p w14:paraId="380CF73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39.9</w:t>
            </w:r>
          </w:p>
        </w:tc>
        <w:tc>
          <w:tcPr>
            <w:tcW w:w="628" w:type="dxa"/>
            <w:tcBorders>
              <w:top w:val="nil"/>
              <w:left w:val="nil"/>
              <w:bottom w:val="single" w:sz="4" w:space="0" w:color="auto"/>
              <w:right w:val="single" w:sz="4" w:space="0" w:color="auto"/>
            </w:tcBorders>
            <w:shd w:val="clear" w:color="auto" w:fill="auto"/>
            <w:noWrap/>
            <w:vAlign w:val="bottom"/>
            <w:hideMark/>
          </w:tcPr>
          <w:p w14:paraId="64759EB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39.4</w:t>
            </w:r>
          </w:p>
        </w:tc>
        <w:tc>
          <w:tcPr>
            <w:tcW w:w="844" w:type="dxa"/>
            <w:tcBorders>
              <w:top w:val="nil"/>
              <w:left w:val="nil"/>
              <w:bottom w:val="single" w:sz="4" w:space="0" w:color="auto"/>
              <w:right w:val="single" w:sz="4" w:space="0" w:color="auto"/>
            </w:tcBorders>
            <w:shd w:val="clear" w:color="auto" w:fill="auto"/>
            <w:noWrap/>
            <w:hideMark/>
          </w:tcPr>
          <w:p w14:paraId="0F56141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w:t>
            </w:r>
          </w:p>
        </w:tc>
      </w:tr>
      <w:tr w:rsidR="00B56301" w:rsidRPr="00364545" w14:paraId="3EFAB0E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3A5FE16E" w14:textId="77777777" w:rsidR="00B56301" w:rsidRPr="00364545" w:rsidRDefault="00B56301" w:rsidP="00B37B65">
            <w:pPr>
              <w:jc w:val="left"/>
              <w:rPr>
                <w:rFonts w:ascii="Trebuchet MS" w:hAnsi="Trebuchet MS" w:cs="Arial"/>
                <w:sz w:val="16"/>
                <w:szCs w:val="18"/>
              </w:rPr>
            </w:pPr>
            <w:r w:rsidRPr="00364545">
              <w:rPr>
                <w:rFonts w:ascii="Trebuchet MS" w:hAnsi="Trebuchet MS"/>
                <w:sz w:val="16"/>
              </w:rPr>
              <w:t>Agricultural and Forestry Plant Engines and Boilers</w:t>
            </w:r>
          </w:p>
        </w:tc>
        <w:tc>
          <w:tcPr>
            <w:tcW w:w="628" w:type="dxa"/>
            <w:tcBorders>
              <w:top w:val="nil"/>
              <w:left w:val="nil"/>
              <w:bottom w:val="single" w:sz="4" w:space="0" w:color="auto"/>
              <w:right w:val="single" w:sz="4" w:space="0" w:color="auto"/>
            </w:tcBorders>
            <w:shd w:val="clear" w:color="auto" w:fill="auto"/>
            <w:noWrap/>
            <w:vAlign w:val="center"/>
            <w:hideMark/>
          </w:tcPr>
          <w:p w14:paraId="0B580D4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4C015DB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6B750CE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10.3</w:t>
            </w:r>
          </w:p>
        </w:tc>
        <w:tc>
          <w:tcPr>
            <w:tcW w:w="628" w:type="dxa"/>
            <w:tcBorders>
              <w:top w:val="nil"/>
              <w:left w:val="nil"/>
              <w:bottom w:val="single" w:sz="4" w:space="0" w:color="auto"/>
              <w:right w:val="single" w:sz="4" w:space="0" w:color="auto"/>
            </w:tcBorders>
            <w:shd w:val="clear" w:color="auto" w:fill="auto"/>
            <w:noWrap/>
            <w:vAlign w:val="center"/>
            <w:hideMark/>
          </w:tcPr>
          <w:p w14:paraId="047D929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9.9</w:t>
            </w:r>
          </w:p>
        </w:tc>
        <w:tc>
          <w:tcPr>
            <w:tcW w:w="628" w:type="dxa"/>
            <w:tcBorders>
              <w:top w:val="nil"/>
              <w:left w:val="nil"/>
              <w:bottom w:val="single" w:sz="4" w:space="0" w:color="auto"/>
              <w:right w:val="single" w:sz="4" w:space="0" w:color="auto"/>
            </w:tcBorders>
            <w:shd w:val="clear" w:color="auto" w:fill="auto"/>
            <w:noWrap/>
            <w:vAlign w:val="center"/>
            <w:hideMark/>
          </w:tcPr>
          <w:p w14:paraId="606DE1E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9.9</w:t>
            </w:r>
          </w:p>
        </w:tc>
        <w:tc>
          <w:tcPr>
            <w:tcW w:w="628" w:type="dxa"/>
            <w:tcBorders>
              <w:top w:val="nil"/>
              <w:left w:val="nil"/>
              <w:bottom w:val="single" w:sz="4" w:space="0" w:color="auto"/>
              <w:right w:val="single" w:sz="4" w:space="0" w:color="auto"/>
            </w:tcBorders>
            <w:shd w:val="clear" w:color="auto" w:fill="auto"/>
            <w:noWrap/>
            <w:vAlign w:val="center"/>
            <w:hideMark/>
          </w:tcPr>
          <w:p w14:paraId="7280517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9.8</w:t>
            </w:r>
          </w:p>
        </w:tc>
        <w:tc>
          <w:tcPr>
            <w:tcW w:w="628" w:type="dxa"/>
            <w:tcBorders>
              <w:top w:val="nil"/>
              <w:left w:val="nil"/>
              <w:bottom w:val="single" w:sz="4" w:space="0" w:color="auto"/>
              <w:right w:val="single" w:sz="4" w:space="0" w:color="auto"/>
            </w:tcBorders>
            <w:shd w:val="clear" w:color="auto" w:fill="auto"/>
            <w:noWrap/>
            <w:vAlign w:val="center"/>
            <w:hideMark/>
          </w:tcPr>
          <w:p w14:paraId="3FC1B69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10.3</w:t>
            </w:r>
          </w:p>
        </w:tc>
        <w:tc>
          <w:tcPr>
            <w:tcW w:w="844" w:type="dxa"/>
            <w:tcBorders>
              <w:top w:val="nil"/>
              <w:left w:val="nil"/>
              <w:bottom w:val="single" w:sz="4" w:space="0" w:color="auto"/>
              <w:right w:val="single" w:sz="4" w:space="0" w:color="auto"/>
            </w:tcBorders>
            <w:shd w:val="clear" w:color="auto" w:fill="auto"/>
            <w:noWrap/>
            <w:hideMark/>
          </w:tcPr>
          <w:p w14:paraId="05879F6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w:t>
            </w:r>
          </w:p>
        </w:tc>
      </w:tr>
      <w:tr w:rsidR="00B56301" w:rsidRPr="00364545" w14:paraId="4501E593" w14:textId="77777777" w:rsidTr="00B37B65">
        <w:trPr>
          <w:trHeight w:val="68"/>
          <w:jc w:val="center"/>
        </w:trPr>
        <w:tc>
          <w:tcPr>
            <w:tcW w:w="5680" w:type="dxa"/>
            <w:tcBorders>
              <w:top w:val="nil"/>
              <w:left w:val="nil"/>
              <w:bottom w:val="nil"/>
              <w:right w:val="nil"/>
            </w:tcBorders>
            <w:shd w:val="clear" w:color="000000" w:fill="7030A0"/>
            <w:noWrap/>
            <w:vAlign w:val="bottom"/>
            <w:hideMark/>
          </w:tcPr>
          <w:p w14:paraId="32620F4C"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Transport</w:t>
            </w:r>
          </w:p>
        </w:tc>
        <w:tc>
          <w:tcPr>
            <w:tcW w:w="628" w:type="dxa"/>
            <w:tcBorders>
              <w:top w:val="nil"/>
              <w:left w:val="single" w:sz="4" w:space="0" w:color="auto"/>
              <w:bottom w:val="single" w:sz="4" w:space="0" w:color="auto"/>
              <w:right w:val="single" w:sz="4" w:space="0" w:color="auto"/>
            </w:tcBorders>
            <w:shd w:val="clear" w:color="000000" w:fill="7030A0"/>
            <w:noWrap/>
            <w:vAlign w:val="bottom"/>
            <w:hideMark/>
          </w:tcPr>
          <w:p w14:paraId="76F1ADF9"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136.8</w:t>
            </w:r>
          </w:p>
        </w:tc>
        <w:tc>
          <w:tcPr>
            <w:tcW w:w="628" w:type="dxa"/>
            <w:tcBorders>
              <w:top w:val="nil"/>
              <w:left w:val="nil"/>
              <w:bottom w:val="single" w:sz="4" w:space="0" w:color="auto"/>
              <w:right w:val="single" w:sz="4" w:space="0" w:color="auto"/>
            </w:tcBorders>
            <w:shd w:val="clear" w:color="000000" w:fill="7030A0"/>
            <w:noWrap/>
            <w:vAlign w:val="bottom"/>
            <w:hideMark/>
          </w:tcPr>
          <w:p w14:paraId="30AC21B8"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138.2</w:t>
            </w:r>
          </w:p>
        </w:tc>
        <w:tc>
          <w:tcPr>
            <w:tcW w:w="628" w:type="dxa"/>
            <w:tcBorders>
              <w:top w:val="nil"/>
              <w:left w:val="nil"/>
              <w:bottom w:val="single" w:sz="4" w:space="0" w:color="auto"/>
              <w:right w:val="single" w:sz="4" w:space="0" w:color="auto"/>
            </w:tcBorders>
            <w:shd w:val="clear" w:color="000000" w:fill="7030A0"/>
            <w:noWrap/>
            <w:vAlign w:val="bottom"/>
            <w:hideMark/>
          </w:tcPr>
          <w:p w14:paraId="569657D9"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138.3</w:t>
            </w:r>
          </w:p>
        </w:tc>
        <w:tc>
          <w:tcPr>
            <w:tcW w:w="628" w:type="dxa"/>
            <w:tcBorders>
              <w:top w:val="nil"/>
              <w:left w:val="nil"/>
              <w:bottom w:val="single" w:sz="4" w:space="0" w:color="auto"/>
              <w:right w:val="single" w:sz="4" w:space="0" w:color="auto"/>
            </w:tcBorders>
            <w:shd w:val="clear" w:color="000000" w:fill="7030A0"/>
            <w:noWrap/>
            <w:vAlign w:val="bottom"/>
            <w:hideMark/>
          </w:tcPr>
          <w:p w14:paraId="60B50F06"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138.7</w:t>
            </w:r>
          </w:p>
        </w:tc>
        <w:tc>
          <w:tcPr>
            <w:tcW w:w="628" w:type="dxa"/>
            <w:tcBorders>
              <w:top w:val="nil"/>
              <w:left w:val="nil"/>
              <w:bottom w:val="single" w:sz="4" w:space="0" w:color="auto"/>
              <w:right w:val="single" w:sz="4" w:space="0" w:color="auto"/>
            </w:tcBorders>
            <w:shd w:val="clear" w:color="000000" w:fill="7030A0"/>
            <w:noWrap/>
            <w:vAlign w:val="bottom"/>
            <w:hideMark/>
          </w:tcPr>
          <w:p w14:paraId="1D0E484D"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135.7</w:t>
            </w:r>
          </w:p>
        </w:tc>
        <w:tc>
          <w:tcPr>
            <w:tcW w:w="628" w:type="dxa"/>
            <w:tcBorders>
              <w:top w:val="nil"/>
              <w:left w:val="nil"/>
              <w:bottom w:val="single" w:sz="4" w:space="0" w:color="auto"/>
              <w:right w:val="single" w:sz="4" w:space="0" w:color="auto"/>
            </w:tcBorders>
            <w:shd w:val="clear" w:color="000000" w:fill="7030A0"/>
            <w:noWrap/>
            <w:vAlign w:val="bottom"/>
            <w:hideMark/>
          </w:tcPr>
          <w:p w14:paraId="47F873C2"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135.4</w:t>
            </w:r>
          </w:p>
        </w:tc>
        <w:tc>
          <w:tcPr>
            <w:tcW w:w="628" w:type="dxa"/>
            <w:tcBorders>
              <w:top w:val="nil"/>
              <w:left w:val="nil"/>
              <w:bottom w:val="single" w:sz="4" w:space="0" w:color="auto"/>
              <w:right w:val="single" w:sz="4" w:space="0" w:color="auto"/>
            </w:tcBorders>
            <w:shd w:val="clear" w:color="000000" w:fill="7030A0"/>
            <w:noWrap/>
            <w:vAlign w:val="bottom"/>
            <w:hideMark/>
          </w:tcPr>
          <w:p w14:paraId="217DC5C0"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113.1</w:t>
            </w:r>
          </w:p>
        </w:tc>
        <w:tc>
          <w:tcPr>
            <w:tcW w:w="844" w:type="dxa"/>
            <w:tcBorders>
              <w:top w:val="nil"/>
              <w:left w:val="nil"/>
              <w:bottom w:val="single" w:sz="4" w:space="0" w:color="auto"/>
              <w:right w:val="single" w:sz="4" w:space="0" w:color="auto"/>
            </w:tcBorders>
            <w:shd w:val="clear" w:color="000000" w:fill="7030A0"/>
            <w:noWrap/>
            <w:hideMark/>
          </w:tcPr>
          <w:p w14:paraId="71181C48"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sz w:val="16"/>
              </w:rPr>
              <w:t>-16.5%</w:t>
            </w:r>
          </w:p>
        </w:tc>
      </w:tr>
      <w:tr w:rsidR="00B56301" w:rsidRPr="00364545" w14:paraId="6D3E5968"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auto" w:fill="auto"/>
            <w:noWrap/>
            <w:vAlign w:val="bottom"/>
            <w:hideMark/>
          </w:tcPr>
          <w:p w14:paraId="74D11622"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Private Vehicles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44B1F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74.9</w:t>
            </w:r>
          </w:p>
        </w:tc>
        <w:tc>
          <w:tcPr>
            <w:tcW w:w="628" w:type="dxa"/>
            <w:tcBorders>
              <w:top w:val="nil"/>
              <w:left w:val="nil"/>
              <w:bottom w:val="single" w:sz="4" w:space="0" w:color="auto"/>
              <w:right w:val="single" w:sz="4" w:space="0" w:color="auto"/>
            </w:tcBorders>
            <w:shd w:val="clear" w:color="auto" w:fill="auto"/>
            <w:noWrap/>
            <w:vAlign w:val="bottom"/>
            <w:hideMark/>
          </w:tcPr>
          <w:p w14:paraId="2103280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75.2</w:t>
            </w:r>
          </w:p>
        </w:tc>
        <w:tc>
          <w:tcPr>
            <w:tcW w:w="628" w:type="dxa"/>
            <w:tcBorders>
              <w:top w:val="nil"/>
              <w:left w:val="nil"/>
              <w:bottom w:val="single" w:sz="4" w:space="0" w:color="auto"/>
              <w:right w:val="single" w:sz="4" w:space="0" w:color="auto"/>
            </w:tcBorders>
            <w:shd w:val="clear" w:color="auto" w:fill="auto"/>
            <w:noWrap/>
            <w:vAlign w:val="bottom"/>
            <w:hideMark/>
          </w:tcPr>
          <w:p w14:paraId="1123111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75.8</w:t>
            </w:r>
          </w:p>
        </w:tc>
        <w:tc>
          <w:tcPr>
            <w:tcW w:w="628" w:type="dxa"/>
            <w:tcBorders>
              <w:top w:val="nil"/>
              <w:left w:val="nil"/>
              <w:bottom w:val="single" w:sz="4" w:space="0" w:color="auto"/>
              <w:right w:val="single" w:sz="4" w:space="0" w:color="auto"/>
            </w:tcBorders>
            <w:shd w:val="clear" w:color="auto" w:fill="auto"/>
            <w:noWrap/>
            <w:vAlign w:val="bottom"/>
            <w:hideMark/>
          </w:tcPr>
          <w:p w14:paraId="0953B84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74.6</w:t>
            </w:r>
          </w:p>
        </w:tc>
        <w:tc>
          <w:tcPr>
            <w:tcW w:w="628" w:type="dxa"/>
            <w:tcBorders>
              <w:top w:val="nil"/>
              <w:left w:val="nil"/>
              <w:bottom w:val="single" w:sz="4" w:space="0" w:color="auto"/>
              <w:right w:val="single" w:sz="4" w:space="0" w:color="auto"/>
            </w:tcBorders>
            <w:shd w:val="clear" w:color="auto" w:fill="auto"/>
            <w:noWrap/>
            <w:vAlign w:val="bottom"/>
            <w:hideMark/>
          </w:tcPr>
          <w:p w14:paraId="6BD197F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72.5</w:t>
            </w:r>
          </w:p>
        </w:tc>
        <w:tc>
          <w:tcPr>
            <w:tcW w:w="628" w:type="dxa"/>
            <w:tcBorders>
              <w:top w:val="nil"/>
              <w:left w:val="nil"/>
              <w:bottom w:val="single" w:sz="4" w:space="0" w:color="auto"/>
              <w:right w:val="single" w:sz="4" w:space="0" w:color="auto"/>
            </w:tcBorders>
            <w:shd w:val="clear" w:color="auto" w:fill="auto"/>
            <w:noWrap/>
            <w:vAlign w:val="bottom"/>
            <w:hideMark/>
          </w:tcPr>
          <w:p w14:paraId="62BEE71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72.6</w:t>
            </w:r>
          </w:p>
        </w:tc>
        <w:tc>
          <w:tcPr>
            <w:tcW w:w="628" w:type="dxa"/>
            <w:tcBorders>
              <w:top w:val="nil"/>
              <w:left w:val="nil"/>
              <w:bottom w:val="single" w:sz="4" w:space="0" w:color="auto"/>
              <w:right w:val="single" w:sz="4" w:space="0" w:color="auto"/>
            </w:tcBorders>
            <w:shd w:val="clear" w:color="auto" w:fill="auto"/>
            <w:noWrap/>
            <w:vAlign w:val="bottom"/>
            <w:hideMark/>
          </w:tcPr>
          <w:p w14:paraId="50B374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58.7</w:t>
            </w:r>
          </w:p>
        </w:tc>
        <w:tc>
          <w:tcPr>
            <w:tcW w:w="844" w:type="dxa"/>
            <w:tcBorders>
              <w:top w:val="nil"/>
              <w:left w:val="nil"/>
              <w:bottom w:val="single" w:sz="4" w:space="0" w:color="auto"/>
              <w:right w:val="single" w:sz="4" w:space="0" w:color="auto"/>
            </w:tcBorders>
            <w:shd w:val="clear" w:color="auto" w:fill="auto"/>
            <w:noWrap/>
            <w:hideMark/>
          </w:tcPr>
          <w:p w14:paraId="0F849B1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-19.1%</w:t>
            </w:r>
          </w:p>
        </w:tc>
      </w:tr>
      <w:tr w:rsidR="00B56301" w:rsidRPr="00364545" w14:paraId="0A3624F5"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0BF8D06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LCVs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35F252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20.0</w:t>
            </w:r>
          </w:p>
        </w:tc>
        <w:tc>
          <w:tcPr>
            <w:tcW w:w="628" w:type="dxa"/>
            <w:tcBorders>
              <w:top w:val="nil"/>
              <w:left w:val="nil"/>
              <w:bottom w:val="single" w:sz="4" w:space="0" w:color="auto"/>
              <w:right w:val="single" w:sz="4" w:space="0" w:color="auto"/>
            </w:tcBorders>
            <w:shd w:val="clear" w:color="auto" w:fill="auto"/>
            <w:noWrap/>
            <w:vAlign w:val="bottom"/>
            <w:hideMark/>
          </w:tcPr>
          <w:p w14:paraId="5420418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20.5</w:t>
            </w:r>
          </w:p>
        </w:tc>
        <w:tc>
          <w:tcPr>
            <w:tcW w:w="628" w:type="dxa"/>
            <w:tcBorders>
              <w:top w:val="nil"/>
              <w:left w:val="nil"/>
              <w:bottom w:val="single" w:sz="4" w:space="0" w:color="auto"/>
              <w:right w:val="single" w:sz="4" w:space="0" w:color="auto"/>
            </w:tcBorders>
            <w:shd w:val="clear" w:color="auto" w:fill="auto"/>
            <w:noWrap/>
            <w:vAlign w:val="bottom"/>
            <w:hideMark/>
          </w:tcPr>
          <w:p w14:paraId="747F7A8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20.1</w:t>
            </w:r>
          </w:p>
        </w:tc>
        <w:tc>
          <w:tcPr>
            <w:tcW w:w="628" w:type="dxa"/>
            <w:tcBorders>
              <w:top w:val="nil"/>
              <w:left w:val="nil"/>
              <w:bottom w:val="single" w:sz="4" w:space="0" w:color="auto"/>
              <w:right w:val="single" w:sz="4" w:space="0" w:color="auto"/>
            </w:tcBorders>
            <w:shd w:val="clear" w:color="auto" w:fill="auto"/>
            <w:noWrap/>
            <w:vAlign w:val="bottom"/>
            <w:hideMark/>
          </w:tcPr>
          <w:p w14:paraId="598CE27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20.4</w:t>
            </w:r>
          </w:p>
        </w:tc>
        <w:tc>
          <w:tcPr>
            <w:tcW w:w="628" w:type="dxa"/>
            <w:tcBorders>
              <w:top w:val="nil"/>
              <w:left w:val="nil"/>
              <w:bottom w:val="single" w:sz="4" w:space="0" w:color="auto"/>
              <w:right w:val="single" w:sz="4" w:space="0" w:color="auto"/>
            </w:tcBorders>
            <w:shd w:val="clear" w:color="auto" w:fill="auto"/>
            <w:noWrap/>
            <w:vAlign w:val="bottom"/>
            <w:hideMark/>
          </w:tcPr>
          <w:p w14:paraId="0CD7C88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19.9</w:t>
            </w:r>
          </w:p>
        </w:tc>
        <w:tc>
          <w:tcPr>
            <w:tcW w:w="628" w:type="dxa"/>
            <w:tcBorders>
              <w:top w:val="nil"/>
              <w:left w:val="nil"/>
              <w:bottom w:val="single" w:sz="4" w:space="0" w:color="auto"/>
              <w:right w:val="single" w:sz="4" w:space="0" w:color="auto"/>
            </w:tcBorders>
            <w:shd w:val="clear" w:color="auto" w:fill="auto"/>
            <w:noWrap/>
            <w:vAlign w:val="bottom"/>
            <w:hideMark/>
          </w:tcPr>
          <w:p w14:paraId="4D34440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19.8</w:t>
            </w:r>
          </w:p>
        </w:tc>
        <w:tc>
          <w:tcPr>
            <w:tcW w:w="628" w:type="dxa"/>
            <w:tcBorders>
              <w:top w:val="nil"/>
              <w:left w:val="nil"/>
              <w:bottom w:val="single" w:sz="4" w:space="0" w:color="auto"/>
              <w:right w:val="single" w:sz="4" w:space="0" w:color="auto"/>
            </w:tcBorders>
            <w:shd w:val="clear" w:color="auto" w:fill="auto"/>
            <w:noWrap/>
            <w:vAlign w:val="bottom"/>
            <w:hideMark/>
          </w:tcPr>
          <w:p w14:paraId="69226C6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16.6</w:t>
            </w:r>
          </w:p>
        </w:tc>
        <w:tc>
          <w:tcPr>
            <w:tcW w:w="844" w:type="dxa"/>
            <w:tcBorders>
              <w:top w:val="nil"/>
              <w:left w:val="nil"/>
              <w:bottom w:val="single" w:sz="4" w:space="0" w:color="auto"/>
              <w:right w:val="single" w:sz="4" w:space="0" w:color="auto"/>
            </w:tcBorders>
            <w:shd w:val="clear" w:color="auto" w:fill="auto"/>
            <w:noWrap/>
            <w:hideMark/>
          </w:tcPr>
          <w:p w14:paraId="68A482A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-16.4%</w:t>
            </w:r>
          </w:p>
        </w:tc>
      </w:tr>
      <w:tr w:rsidR="00B56301" w:rsidRPr="00364545" w14:paraId="6375E66E"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5A347304"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HGVs (incl. Buses and Coaches)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92D3A2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33.0</w:t>
            </w:r>
          </w:p>
        </w:tc>
        <w:tc>
          <w:tcPr>
            <w:tcW w:w="628" w:type="dxa"/>
            <w:tcBorders>
              <w:top w:val="nil"/>
              <w:left w:val="nil"/>
              <w:bottom w:val="single" w:sz="4" w:space="0" w:color="auto"/>
              <w:right w:val="single" w:sz="4" w:space="0" w:color="auto"/>
            </w:tcBorders>
            <w:shd w:val="clear" w:color="auto" w:fill="auto"/>
            <w:noWrap/>
            <w:vAlign w:val="bottom"/>
            <w:hideMark/>
          </w:tcPr>
          <w:p w14:paraId="471C612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33.5</w:t>
            </w:r>
          </w:p>
        </w:tc>
        <w:tc>
          <w:tcPr>
            <w:tcW w:w="628" w:type="dxa"/>
            <w:tcBorders>
              <w:top w:val="nil"/>
              <w:left w:val="nil"/>
              <w:bottom w:val="single" w:sz="4" w:space="0" w:color="auto"/>
              <w:right w:val="single" w:sz="4" w:space="0" w:color="auto"/>
            </w:tcBorders>
            <w:shd w:val="clear" w:color="auto" w:fill="auto"/>
            <w:noWrap/>
            <w:vAlign w:val="bottom"/>
            <w:hideMark/>
          </w:tcPr>
          <w:p w14:paraId="26C8DC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33.5</w:t>
            </w:r>
          </w:p>
        </w:tc>
        <w:tc>
          <w:tcPr>
            <w:tcW w:w="628" w:type="dxa"/>
            <w:tcBorders>
              <w:top w:val="nil"/>
              <w:left w:val="nil"/>
              <w:bottom w:val="single" w:sz="4" w:space="0" w:color="auto"/>
              <w:right w:val="single" w:sz="4" w:space="0" w:color="auto"/>
            </w:tcBorders>
            <w:shd w:val="clear" w:color="auto" w:fill="auto"/>
            <w:noWrap/>
            <w:vAlign w:val="bottom"/>
            <w:hideMark/>
          </w:tcPr>
          <w:p w14:paraId="02D256A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34.3</w:t>
            </w:r>
          </w:p>
        </w:tc>
        <w:tc>
          <w:tcPr>
            <w:tcW w:w="628" w:type="dxa"/>
            <w:tcBorders>
              <w:top w:val="nil"/>
              <w:left w:val="nil"/>
              <w:bottom w:val="single" w:sz="4" w:space="0" w:color="auto"/>
              <w:right w:val="single" w:sz="4" w:space="0" w:color="auto"/>
            </w:tcBorders>
            <w:shd w:val="clear" w:color="auto" w:fill="auto"/>
            <w:noWrap/>
            <w:vAlign w:val="bottom"/>
            <w:hideMark/>
          </w:tcPr>
          <w:p w14:paraId="5A53643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33.8</w:t>
            </w:r>
          </w:p>
        </w:tc>
        <w:tc>
          <w:tcPr>
            <w:tcW w:w="628" w:type="dxa"/>
            <w:tcBorders>
              <w:top w:val="nil"/>
              <w:left w:val="nil"/>
              <w:bottom w:val="single" w:sz="4" w:space="0" w:color="auto"/>
              <w:right w:val="single" w:sz="4" w:space="0" w:color="auto"/>
            </w:tcBorders>
            <w:shd w:val="clear" w:color="auto" w:fill="auto"/>
            <w:noWrap/>
            <w:vAlign w:val="bottom"/>
            <w:hideMark/>
          </w:tcPr>
          <w:p w14:paraId="4C377AA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33.5</w:t>
            </w:r>
          </w:p>
        </w:tc>
        <w:tc>
          <w:tcPr>
            <w:tcW w:w="628" w:type="dxa"/>
            <w:tcBorders>
              <w:top w:val="nil"/>
              <w:left w:val="nil"/>
              <w:bottom w:val="single" w:sz="4" w:space="0" w:color="auto"/>
              <w:right w:val="single" w:sz="4" w:space="0" w:color="auto"/>
            </w:tcBorders>
            <w:shd w:val="clear" w:color="auto" w:fill="auto"/>
            <w:noWrap/>
            <w:vAlign w:val="bottom"/>
            <w:hideMark/>
          </w:tcPr>
          <w:p w14:paraId="0768404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30.4</w:t>
            </w:r>
          </w:p>
        </w:tc>
        <w:tc>
          <w:tcPr>
            <w:tcW w:w="844" w:type="dxa"/>
            <w:tcBorders>
              <w:top w:val="nil"/>
              <w:left w:val="nil"/>
              <w:bottom w:val="single" w:sz="4" w:space="0" w:color="auto"/>
              <w:right w:val="single" w:sz="4" w:space="0" w:color="auto"/>
            </w:tcBorders>
            <w:shd w:val="clear" w:color="auto" w:fill="auto"/>
            <w:noWrap/>
            <w:hideMark/>
          </w:tcPr>
          <w:p w14:paraId="4576390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-9.1%</w:t>
            </w:r>
          </w:p>
        </w:tc>
      </w:tr>
      <w:tr w:rsidR="00B56301" w:rsidRPr="00364545" w14:paraId="2ED8D017"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3D15E899"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Two-wheeled Vehicles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C88F8D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DC03AD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529DE39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0E309BA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9D11FC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66BDE12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1D735B6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w:t>
            </w:r>
          </w:p>
        </w:tc>
        <w:tc>
          <w:tcPr>
            <w:tcW w:w="844" w:type="dxa"/>
            <w:tcBorders>
              <w:top w:val="nil"/>
              <w:left w:val="nil"/>
              <w:bottom w:val="single" w:sz="4" w:space="0" w:color="auto"/>
              <w:right w:val="single" w:sz="4" w:space="0" w:color="auto"/>
            </w:tcBorders>
            <w:shd w:val="clear" w:color="auto" w:fill="auto"/>
            <w:noWrap/>
            <w:hideMark/>
          </w:tcPr>
          <w:p w14:paraId="6D8553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-15.0%</w:t>
            </w:r>
          </w:p>
        </w:tc>
      </w:tr>
      <w:tr w:rsidR="00B56301" w:rsidRPr="00364545" w14:paraId="40BEABBA"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EB3E197"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Rail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5E2328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31B9224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2664272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6B3FC41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852589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A1C346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07130DB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c>
          <w:tcPr>
            <w:tcW w:w="844" w:type="dxa"/>
            <w:tcBorders>
              <w:top w:val="nil"/>
              <w:left w:val="nil"/>
              <w:bottom w:val="single" w:sz="4" w:space="0" w:color="auto"/>
              <w:right w:val="single" w:sz="4" w:space="0" w:color="auto"/>
            </w:tcBorders>
            <w:shd w:val="clear" w:color="auto" w:fill="auto"/>
            <w:noWrap/>
            <w:hideMark/>
          </w:tcPr>
          <w:p w14:paraId="0101E51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-14.8%</w:t>
            </w:r>
          </w:p>
        </w:tc>
      </w:tr>
      <w:tr w:rsidR="00B56301" w:rsidRPr="00364545" w14:paraId="10AC898C"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DCEC886"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River Barge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0EFACB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5C117C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BBA3BC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2953A4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31E8C97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4A85019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6B9AF34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0.1</w:t>
            </w:r>
          </w:p>
        </w:tc>
        <w:tc>
          <w:tcPr>
            <w:tcW w:w="844" w:type="dxa"/>
            <w:tcBorders>
              <w:top w:val="nil"/>
              <w:left w:val="nil"/>
              <w:bottom w:val="single" w:sz="4" w:space="0" w:color="auto"/>
              <w:right w:val="single" w:sz="4" w:space="0" w:color="auto"/>
            </w:tcBorders>
            <w:shd w:val="clear" w:color="auto" w:fill="auto"/>
            <w:noWrap/>
            <w:hideMark/>
          </w:tcPr>
          <w:p w14:paraId="327369B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7.6%</w:t>
            </w:r>
          </w:p>
        </w:tc>
      </w:tr>
      <w:tr w:rsidR="00B56301" w:rsidRPr="00364545" w14:paraId="32B828CD"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6258C7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Domestic Marine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989709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18B12AC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5FC2A03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4888E68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4700714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77069F6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541D76B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1.6</w:t>
            </w:r>
          </w:p>
        </w:tc>
        <w:tc>
          <w:tcPr>
            <w:tcW w:w="844" w:type="dxa"/>
            <w:tcBorders>
              <w:top w:val="nil"/>
              <w:left w:val="nil"/>
              <w:bottom w:val="single" w:sz="4" w:space="0" w:color="auto"/>
              <w:right w:val="single" w:sz="4" w:space="0" w:color="auto"/>
            </w:tcBorders>
            <w:shd w:val="clear" w:color="auto" w:fill="auto"/>
            <w:noWrap/>
            <w:hideMark/>
          </w:tcPr>
          <w:p w14:paraId="095F93D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0.4%</w:t>
            </w:r>
          </w:p>
        </w:tc>
      </w:tr>
      <w:tr w:rsidR="00B56301" w:rsidRPr="00364545" w14:paraId="1A87C3BB"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5E021E0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Shipping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247FA4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6E58F43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659DE94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760C0A9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46FFE22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6192F5B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5DE92C4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c>
          <w:tcPr>
            <w:tcW w:w="844" w:type="dxa"/>
            <w:tcBorders>
              <w:top w:val="nil"/>
              <w:left w:val="nil"/>
              <w:bottom w:val="single" w:sz="4" w:space="0" w:color="auto"/>
              <w:right w:val="single" w:sz="4" w:space="0" w:color="auto"/>
            </w:tcBorders>
            <w:shd w:val="clear" w:color="auto" w:fill="auto"/>
            <w:noWrap/>
            <w:hideMark/>
          </w:tcPr>
          <w:p w14:paraId="5554352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-1.0%</w:t>
            </w:r>
          </w:p>
        </w:tc>
      </w:tr>
      <w:tr w:rsidR="00B56301" w:rsidRPr="00364545" w14:paraId="68491A43"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56C9700"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French Air Transport</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1E9D27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w:t>
            </w:r>
          </w:p>
        </w:tc>
        <w:tc>
          <w:tcPr>
            <w:tcW w:w="628" w:type="dxa"/>
            <w:tcBorders>
              <w:top w:val="nil"/>
              <w:left w:val="nil"/>
              <w:bottom w:val="single" w:sz="4" w:space="0" w:color="auto"/>
              <w:right w:val="single" w:sz="4" w:space="0" w:color="auto"/>
            </w:tcBorders>
            <w:shd w:val="clear" w:color="auto" w:fill="auto"/>
            <w:noWrap/>
            <w:vAlign w:val="bottom"/>
            <w:hideMark/>
          </w:tcPr>
          <w:p w14:paraId="523ADAB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4.4</w:t>
            </w:r>
          </w:p>
        </w:tc>
        <w:tc>
          <w:tcPr>
            <w:tcW w:w="628" w:type="dxa"/>
            <w:tcBorders>
              <w:top w:val="nil"/>
              <w:left w:val="nil"/>
              <w:bottom w:val="single" w:sz="4" w:space="0" w:color="auto"/>
              <w:right w:val="single" w:sz="4" w:space="0" w:color="auto"/>
            </w:tcBorders>
            <w:shd w:val="clear" w:color="auto" w:fill="auto"/>
            <w:noWrap/>
            <w:vAlign w:val="bottom"/>
            <w:hideMark/>
          </w:tcPr>
          <w:p w14:paraId="36E4A77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4.6</w:t>
            </w:r>
          </w:p>
        </w:tc>
        <w:tc>
          <w:tcPr>
            <w:tcW w:w="628" w:type="dxa"/>
            <w:tcBorders>
              <w:top w:val="nil"/>
              <w:left w:val="nil"/>
              <w:bottom w:val="single" w:sz="4" w:space="0" w:color="auto"/>
              <w:right w:val="single" w:sz="4" w:space="0" w:color="auto"/>
            </w:tcBorders>
            <w:shd w:val="clear" w:color="auto" w:fill="auto"/>
            <w:noWrap/>
            <w:vAlign w:val="bottom"/>
            <w:hideMark/>
          </w:tcPr>
          <w:p w14:paraId="7CFA7BE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306FC1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4.9</w:t>
            </w:r>
          </w:p>
        </w:tc>
        <w:tc>
          <w:tcPr>
            <w:tcW w:w="628" w:type="dxa"/>
            <w:tcBorders>
              <w:top w:val="nil"/>
              <w:left w:val="nil"/>
              <w:bottom w:val="single" w:sz="4" w:space="0" w:color="auto"/>
              <w:right w:val="single" w:sz="4" w:space="0" w:color="auto"/>
            </w:tcBorders>
            <w:shd w:val="clear" w:color="auto" w:fill="auto"/>
            <w:noWrap/>
            <w:vAlign w:val="bottom"/>
            <w:hideMark/>
          </w:tcPr>
          <w:p w14:paraId="4A71803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5.0</w:t>
            </w:r>
          </w:p>
        </w:tc>
        <w:tc>
          <w:tcPr>
            <w:tcW w:w="628" w:type="dxa"/>
            <w:tcBorders>
              <w:top w:val="nil"/>
              <w:left w:val="nil"/>
              <w:bottom w:val="single" w:sz="4" w:space="0" w:color="auto"/>
              <w:right w:val="single" w:sz="4" w:space="0" w:color="auto"/>
            </w:tcBorders>
            <w:shd w:val="clear" w:color="auto" w:fill="auto"/>
            <w:noWrap/>
            <w:vAlign w:val="bottom"/>
            <w:hideMark/>
          </w:tcPr>
          <w:p w14:paraId="7F519DF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3.1</w:t>
            </w:r>
          </w:p>
        </w:tc>
        <w:tc>
          <w:tcPr>
            <w:tcW w:w="844" w:type="dxa"/>
            <w:tcBorders>
              <w:top w:val="nil"/>
              <w:left w:val="nil"/>
              <w:bottom w:val="single" w:sz="4" w:space="0" w:color="auto"/>
              <w:right w:val="single" w:sz="4" w:space="0" w:color="auto"/>
            </w:tcBorders>
            <w:shd w:val="clear" w:color="auto" w:fill="auto"/>
            <w:noWrap/>
            <w:hideMark/>
          </w:tcPr>
          <w:p w14:paraId="7927007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-38.7%</w:t>
            </w:r>
          </w:p>
        </w:tc>
      </w:tr>
      <w:tr w:rsidR="00B56301" w:rsidRPr="00364545" w14:paraId="71E90D9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D9D9D9"/>
            <w:noWrap/>
            <w:vAlign w:val="bottom"/>
            <w:hideMark/>
          </w:tcPr>
          <w:p w14:paraId="57815820"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National TOTAL except UTCATF</w:t>
            </w:r>
          </w:p>
        </w:tc>
        <w:tc>
          <w:tcPr>
            <w:tcW w:w="628" w:type="dxa"/>
            <w:tcBorders>
              <w:top w:val="nil"/>
              <w:left w:val="nil"/>
              <w:bottom w:val="single" w:sz="4" w:space="0" w:color="auto"/>
              <w:right w:val="single" w:sz="4" w:space="0" w:color="auto"/>
            </w:tcBorders>
            <w:shd w:val="clear" w:color="000000" w:fill="D9D9D9"/>
            <w:noWrap/>
            <w:vAlign w:val="bottom"/>
            <w:hideMark/>
          </w:tcPr>
          <w:p w14:paraId="181EB106"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454.6</w:t>
            </w:r>
          </w:p>
        </w:tc>
        <w:tc>
          <w:tcPr>
            <w:tcW w:w="628" w:type="dxa"/>
            <w:tcBorders>
              <w:top w:val="nil"/>
              <w:left w:val="nil"/>
              <w:bottom w:val="single" w:sz="4" w:space="0" w:color="auto"/>
              <w:right w:val="single" w:sz="4" w:space="0" w:color="auto"/>
            </w:tcBorders>
            <w:shd w:val="clear" w:color="000000" w:fill="D9D9D9"/>
            <w:noWrap/>
            <w:vAlign w:val="bottom"/>
            <w:hideMark/>
          </w:tcPr>
          <w:p w14:paraId="6C79EE2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457.9</w:t>
            </w:r>
          </w:p>
        </w:tc>
        <w:tc>
          <w:tcPr>
            <w:tcW w:w="628" w:type="dxa"/>
            <w:tcBorders>
              <w:top w:val="nil"/>
              <w:left w:val="nil"/>
              <w:bottom w:val="single" w:sz="4" w:space="0" w:color="auto"/>
              <w:right w:val="single" w:sz="4" w:space="0" w:color="auto"/>
            </w:tcBorders>
            <w:shd w:val="clear" w:color="000000" w:fill="D9D9D9"/>
            <w:noWrap/>
            <w:vAlign w:val="bottom"/>
            <w:hideMark/>
          </w:tcPr>
          <w:p w14:paraId="1CB1FFC6"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459.3</w:t>
            </w:r>
          </w:p>
        </w:tc>
        <w:tc>
          <w:tcPr>
            <w:tcW w:w="628" w:type="dxa"/>
            <w:tcBorders>
              <w:top w:val="nil"/>
              <w:left w:val="nil"/>
              <w:bottom w:val="single" w:sz="4" w:space="0" w:color="auto"/>
              <w:right w:val="single" w:sz="4" w:space="0" w:color="auto"/>
            </w:tcBorders>
            <w:shd w:val="clear" w:color="000000" w:fill="D9D9D9"/>
            <w:noWrap/>
            <w:vAlign w:val="bottom"/>
            <w:hideMark/>
          </w:tcPr>
          <w:p w14:paraId="73AE0BF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462.6</w:t>
            </w:r>
          </w:p>
        </w:tc>
        <w:tc>
          <w:tcPr>
            <w:tcW w:w="628" w:type="dxa"/>
            <w:tcBorders>
              <w:top w:val="nil"/>
              <w:left w:val="nil"/>
              <w:bottom w:val="single" w:sz="4" w:space="0" w:color="auto"/>
              <w:right w:val="single" w:sz="4" w:space="0" w:color="auto"/>
            </w:tcBorders>
            <w:shd w:val="clear" w:color="000000" w:fill="D9D9D9"/>
            <w:noWrap/>
            <w:vAlign w:val="bottom"/>
            <w:hideMark/>
          </w:tcPr>
          <w:p w14:paraId="770F10E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443.3</w:t>
            </w:r>
          </w:p>
        </w:tc>
        <w:tc>
          <w:tcPr>
            <w:tcW w:w="628" w:type="dxa"/>
            <w:tcBorders>
              <w:top w:val="nil"/>
              <w:left w:val="nil"/>
              <w:bottom w:val="single" w:sz="4" w:space="0" w:color="auto"/>
              <w:right w:val="single" w:sz="4" w:space="0" w:color="auto"/>
            </w:tcBorders>
            <w:shd w:val="clear" w:color="000000" w:fill="D9D9D9"/>
            <w:noWrap/>
            <w:vAlign w:val="bottom"/>
            <w:hideMark/>
          </w:tcPr>
          <w:p w14:paraId="18082AB0"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434.5</w:t>
            </w:r>
          </w:p>
        </w:tc>
        <w:tc>
          <w:tcPr>
            <w:tcW w:w="628" w:type="dxa"/>
            <w:tcBorders>
              <w:top w:val="nil"/>
              <w:left w:val="nil"/>
              <w:bottom w:val="single" w:sz="4" w:space="0" w:color="auto"/>
              <w:right w:val="single" w:sz="4" w:space="0" w:color="auto"/>
            </w:tcBorders>
            <w:shd w:val="clear" w:color="000000" w:fill="D9D9D9"/>
            <w:noWrap/>
            <w:vAlign w:val="bottom"/>
            <w:hideMark/>
          </w:tcPr>
          <w:p w14:paraId="0C5A6168"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393.0</w:t>
            </w:r>
          </w:p>
        </w:tc>
        <w:tc>
          <w:tcPr>
            <w:tcW w:w="844" w:type="dxa"/>
            <w:tcBorders>
              <w:top w:val="nil"/>
              <w:left w:val="nil"/>
              <w:bottom w:val="single" w:sz="4" w:space="0" w:color="auto"/>
              <w:right w:val="single" w:sz="4" w:space="0" w:color="auto"/>
            </w:tcBorders>
            <w:shd w:val="clear" w:color="000000" w:fill="D9D9D9"/>
            <w:noWrap/>
            <w:hideMark/>
          </w:tcPr>
          <w:p w14:paraId="0257807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sz w:val="16"/>
              </w:rPr>
              <w:t>-9.6%</w:t>
            </w:r>
          </w:p>
        </w:tc>
      </w:tr>
      <w:tr w:rsidR="00B56301" w:rsidRPr="00364545" w14:paraId="63B7C53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4BBD71E"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Forests</w:t>
            </w:r>
          </w:p>
        </w:tc>
        <w:tc>
          <w:tcPr>
            <w:tcW w:w="628" w:type="dxa"/>
            <w:tcBorders>
              <w:top w:val="nil"/>
              <w:left w:val="nil"/>
              <w:bottom w:val="single" w:sz="4" w:space="0" w:color="auto"/>
              <w:right w:val="single" w:sz="4" w:space="0" w:color="auto"/>
            </w:tcBorders>
            <w:shd w:val="clear" w:color="auto" w:fill="auto"/>
            <w:noWrap/>
            <w:vAlign w:val="bottom"/>
            <w:hideMark/>
          </w:tcPr>
          <w:p w14:paraId="0538625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-55.5</w:t>
            </w:r>
          </w:p>
        </w:tc>
        <w:tc>
          <w:tcPr>
            <w:tcW w:w="628" w:type="dxa"/>
            <w:tcBorders>
              <w:top w:val="nil"/>
              <w:left w:val="nil"/>
              <w:bottom w:val="single" w:sz="4" w:space="0" w:color="auto"/>
              <w:right w:val="single" w:sz="4" w:space="0" w:color="auto"/>
            </w:tcBorders>
            <w:shd w:val="clear" w:color="auto" w:fill="auto"/>
            <w:noWrap/>
            <w:vAlign w:val="bottom"/>
            <w:hideMark/>
          </w:tcPr>
          <w:p w14:paraId="5F22095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-52.0</w:t>
            </w:r>
          </w:p>
        </w:tc>
        <w:tc>
          <w:tcPr>
            <w:tcW w:w="628" w:type="dxa"/>
            <w:tcBorders>
              <w:top w:val="nil"/>
              <w:left w:val="nil"/>
              <w:bottom w:val="single" w:sz="4" w:space="0" w:color="auto"/>
              <w:right w:val="single" w:sz="4" w:space="0" w:color="auto"/>
            </w:tcBorders>
            <w:shd w:val="clear" w:color="auto" w:fill="auto"/>
            <w:noWrap/>
            <w:vAlign w:val="bottom"/>
            <w:hideMark/>
          </w:tcPr>
          <w:p w14:paraId="37CCFEA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-42.6</w:t>
            </w:r>
          </w:p>
        </w:tc>
        <w:tc>
          <w:tcPr>
            <w:tcW w:w="628" w:type="dxa"/>
            <w:tcBorders>
              <w:top w:val="nil"/>
              <w:left w:val="nil"/>
              <w:bottom w:val="single" w:sz="4" w:space="0" w:color="auto"/>
              <w:right w:val="single" w:sz="4" w:space="0" w:color="auto"/>
            </w:tcBorders>
            <w:shd w:val="clear" w:color="auto" w:fill="auto"/>
            <w:noWrap/>
            <w:vAlign w:val="bottom"/>
            <w:hideMark/>
          </w:tcPr>
          <w:p w14:paraId="4E51774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-33.1</w:t>
            </w:r>
          </w:p>
        </w:tc>
        <w:tc>
          <w:tcPr>
            <w:tcW w:w="628" w:type="dxa"/>
            <w:tcBorders>
              <w:top w:val="nil"/>
              <w:left w:val="nil"/>
              <w:bottom w:val="single" w:sz="4" w:space="0" w:color="auto"/>
              <w:right w:val="single" w:sz="4" w:space="0" w:color="auto"/>
            </w:tcBorders>
            <w:shd w:val="clear" w:color="auto" w:fill="auto"/>
            <w:noWrap/>
            <w:vAlign w:val="bottom"/>
            <w:hideMark/>
          </w:tcPr>
          <w:p w14:paraId="2658A96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-30.5</w:t>
            </w:r>
          </w:p>
        </w:tc>
        <w:tc>
          <w:tcPr>
            <w:tcW w:w="628" w:type="dxa"/>
            <w:tcBorders>
              <w:top w:val="nil"/>
              <w:left w:val="nil"/>
              <w:bottom w:val="single" w:sz="4" w:space="0" w:color="auto"/>
              <w:right w:val="single" w:sz="4" w:space="0" w:color="auto"/>
            </w:tcBorders>
            <w:shd w:val="clear" w:color="auto" w:fill="auto"/>
            <w:noWrap/>
            <w:vAlign w:val="bottom"/>
            <w:hideMark/>
          </w:tcPr>
          <w:p w14:paraId="326744A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-29.1</w:t>
            </w:r>
          </w:p>
        </w:tc>
        <w:tc>
          <w:tcPr>
            <w:tcW w:w="628" w:type="dxa"/>
            <w:tcBorders>
              <w:top w:val="nil"/>
              <w:left w:val="nil"/>
              <w:bottom w:val="single" w:sz="4" w:space="0" w:color="auto"/>
              <w:right w:val="single" w:sz="4" w:space="0" w:color="auto"/>
            </w:tcBorders>
            <w:shd w:val="clear" w:color="auto" w:fill="auto"/>
            <w:noWrap/>
            <w:vAlign w:val="bottom"/>
            <w:hideMark/>
          </w:tcPr>
          <w:p w14:paraId="3EC2C1D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-30.4</w:t>
            </w:r>
          </w:p>
        </w:tc>
        <w:tc>
          <w:tcPr>
            <w:tcW w:w="844" w:type="dxa"/>
            <w:tcBorders>
              <w:top w:val="nil"/>
              <w:left w:val="nil"/>
              <w:bottom w:val="single" w:sz="4" w:space="0" w:color="auto"/>
              <w:right w:val="single" w:sz="4" w:space="0" w:color="auto"/>
            </w:tcBorders>
            <w:shd w:val="clear" w:color="auto" w:fill="auto"/>
            <w:noWrap/>
            <w:hideMark/>
          </w:tcPr>
          <w:p w14:paraId="509448C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4.7%</w:t>
            </w:r>
          </w:p>
        </w:tc>
      </w:tr>
      <w:tr w:rsidR="00B56301" w:rsidRPr="00364545" w14:paraId="41B55C93"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C14C1AB"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Farmland</w:t>
            </w:r>
          </w:p>
        </w:tc>
        <w:tc>
          <w:tcPr>
            <w:tcW w:w="628" w:type="dxa"/>
            <w:tcBorders>
              <w:top w:val="nil"/>
              <w:left w:val="nil"/>
              <w:bottom w:val="single" w:sz="4" w:space="0" w:color="auto"/>
              <w:right w:val="single" w:sz="4" w:space="0" w:color="auto"/>
            </w:tcBorders>
            <w:shd w:val="clear" w:color="auto" w:fill="auto"/>
            <w:noWrap/>
            <w:vAlign w:val="bottom"/>
            <w:hideMark/>
          </w:tcPr>
          <w:p w14:paraId="635680E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15.3</w:t>
            </w:r>
          </w:p>
        </w:tc>
        <w:tc>
          <w:tcPr>
            <w:tcW w:w="628" w:type="dxa"/>
            <w:tcBorders>
              <w:top w:val="nil"/>
              <w:left w:val="nil"/>
              <w:bottom w:val="single" w:sz="4" w:space="0" w:color="auto"/>
              <w:right w:val="single" w:sz="4" w:space="0" w:color="auto"/>
            </w:tcBorders>
            <w:shd w:val="clear" w:color="auto" w:fill="auto"/>
            <w:noWrap/>
            <w:vAlign w:val="bottom"/>
            <w:hideMark/>
          </w:tcPr>
          <w:p w14:paraId="089D131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14.8</w:t>
            </w:r>
          </w:p>
        </w:tc>
        <w:tc>
          <w:tcPr>
            <w:tcW w:w="628" w:type="dxa"/>
            <w:tcBorders>
              <w:top w:val="nil"/>
              <w:left w:val="nil"/>
              <w:bottom w:val="single" w:sz="4" w:space="0" w:color="auto"/>
              <w:right w:val="single" w:sz="4" w:space="0" w:color="auto"/>
            </w:tcBorders>
            <w:shd w:val="clear" w:color="auto" w:fill="auto"/>
            <w:noWrap/>
            <w:vAlign w:val="bottom"/>
            <w:hideMark/>
          </w:tcPr>
          <w:p w14:paraId="0CF1162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14.1</w:t>
            </w:r>
          </w:p>
        </w:tc>
        <w:tc>
          <w:tcPr>
            <w:tcW w:w="628" w:type="dxa"/>
            <w:tcBorders>
              <w:top w:val="nil"/>
              <w:left w:val="nil"/>
              <w:bottom w:val="single" w:sz="4" w:space="0" w:color="auto"/>
              <w:right w:val="single" w:sz="4" w:space="0" w:color="auto"/>
            </w:tcBorders>
            <w:shd w:val="clear" w:color="auto" w:fill="auto"/>
            <w:noWrap/>
            <w:vAlign w:val="bottom"/>
            <w:hideMark/>
          </w:tcPr>
          <w:p w14:paraId="17EC42C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13.5</w:t>
            </w:r>
          </w:p>
        </w:tc>
        <w:tc>
          <w:tcPr>
            <w:tcW w:w="628" w:type="dxa"/>
            <w:tcBorders>
              <w:top w:val="nil"/>
              <w:left w:val="nil"/>
              <w:bottom w:val="single" w:sz="4" w:space="0" w:color="auto"/>
              <w:right w:val="single" w:sz="4" w:space="0" w:color="auto"/>
            </w:tcBorders>
            <w:shd w:val="clear" w:color="auto" w:fill="auto"/>
            <w:noWrap/>
            <w:vAlign w:val="bottom"/>
            <w:hideMark/>
          </w:tcPr>
          <w:p w14:paraId="5DCB310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13.2</w:t>
            </w:r>
          </w:p>
        </w:tc>
        <w:tc>
          <w:tcPr>
            <w:tcW w:w="628" w:type="dxa"/>
            <w:tcBorders>
              <w:top w:val="nil"/>
              <w:left w:val="nil"/>
              <w:bottom w:val="single" w:sz="4" w:space="0" w:color="auto"/>
              <w:right w:val="single" w:sz="4" w:space="0" w:color="auto"/>
            </w:tcBorders>
            <w:shd w:val="clear" w:color="auto" w:fill="auto"/>
            <w:noWrap/>
            <w:vAlign w:val="bottom"/>
            <w:hideMark/>
          </w:tcPr>
          <w:p w14:paraId="5725884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13.5</w:t>
            </w:r>
          </w:p>
        </w:tc>
        <w:tc>
          <w:tcPr>
            <w:tcW w:w="628" w:type="dxa"/>
            <w:tcBorders>
              <w:top w:val="nil"/>
              <w:left w:val="nil"/>
              <w:bottom w:val="single" w:sz="4" w:space="0" w:color="auto"/>
              <w:right w:val="single" w:sz="4" w:space="0" w:color="auto"/>
            </w:tcBorders>
            <w:shd w:val="clear" w:color="auto" w:fill="auto"/>
            <w:noWrap/>
            <w:vAlign w:val="bottom"/>
            <w:hideMark/>
          </w:tcPr>
          <w:p w14:paraId="55E8F8D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13.3</w:t>
            </w:r>
          </w:p>
        </w:tc>
        <w:tc>
          <w:tcPr>
            <w:tcW w:w="844" w:type="dxa"/>
            <w:tcBorders>
              <w:top w:val="nil"/>
              <w:left w:val="nil"/>
              <w:bottom w:val="single" w:sz="4" w:space="0" w:color="auto"/>
              <w:right w:val="single" w:sz="4" w:space="0" w:color="auto"/>
            </w:tcBorders>
            <w:shd w:val="clear" w:color="auto" w:fill="auto"/>
            <w:noWrap/>
            <w:hideMark/>
          </w:tcPr>
          <w:p w14:paraId="659FE23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-1.7%</w:t>
            </w:r>
          </w:p>
        </w:tc>
      </w:tr>
      <w:tr w:rsidR="00B56301" w:rsidRPr="00364545" w14:paraId="2780907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5AD4705"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Grasslands</w:t>
            </w:r>
          </w:p>
        </w:tc>
        <w:tc>
          <w:tcPr>
            <w:tcW w:w="628" w:type="dxa"/>
            <w:tcBorders>
              <w:top w:val="nil"/>
              <w:left w:val="nil"/>
              <w:bottom w:val="single" w:sz="4" w:space="0" w:color="auto"/>
              <w:right w:val="single" w:sz="4" w:space="0" w:color="auto"/>
            </w:tcBorders>
            <w:shd w:val="clear" w:color="auto" w:fill="auto"/>
            <w:noWrap/>
            <w:vAlign w:val="bottom"/>
            <w:hideMark/>
          </w:tcPr>
          <w:p w14:paraId="438A7FE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-9.2</w:t>
            </w:r>
          </w:p>
        </w:tc>
        <w:tc>
          <w:tcPr>
            <w:tcW w:w="628" w:type="dxa"/>
            <w:tcBorders>
              <w:top w:val="nil"/>
              <w:left w:val="nil"/>
              <w:bottom w:val="single" w:sz="4" w:space="0" w:color="auto"/>
              <w:right w:val="single" w:sz="4" w:space="0" w:color="auto"/>
            </w:tcBorders>
            <w:shd w:val="clear" w:color="auto" w:fill="auto"/>
            <w:noWrap/>
            <w:vAlign w:val="bottom"/>
            <w:hideMark/>
          </w:tcPr>
          <w:p w14:paraId="335AA3A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-8.9</w:t>
            </w:r>
          </w:p>
        </w:tc>
        <w:tc>
          <w:tcPr>
            <w:tcW w:w="628" w:type="dxa"/>
            <w:tcBorders>
              <w:top w:val="nil"/>
              <w:left w:val="nil"/>
              <w:bottom w:val="single" w:sz="4" w:space="0" w:color="auto"/>
              <w:right w:val="single" w:sz="4" w:space="0" w:color="auto"/>
            </w:tcBorders>
            <w:shd w:val="clear" w:color="auto" w:fill="auto"/>
            <w:noWrap/>
            <w:vAlign w:val="bottom"/>
            <w:hideMark/>
          </w:tcPr>
          <w:p w14:paraId="37442C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-8.7</w:t>
            </w:r>
          </w:p>
        </w:tc>
        <w:tc>
          <w:tcPr>
            <w:tcW w:w="628" w:type="dxa"/>
            <w:tcBorders>
              <w:top w:val="nil"/>
              <w:left w:val="nil"/>
              <w:bottom w:val="single" w:sz="4" w:space="0" w:color="auto"/>
              <w:right w:val="single" w:sz="4" w:space="0" w:color="auto"/>
            </w:tcBorders>
            <w:shd w:val="clear" w:color="auto" w:fill="auto"/>
            <w:noWrap/>
            <w:vAlign w:val="bottom"/>
            <w:hideMark/>
          </w:tcPr>
          <w:p w14:paraId="4D7E7CB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-8.5</w:t>
            </w:r>
          </w:p>
        </w:tc>
        <w:tc>
          <w:tcPr>
            <w:tcW w:w="628" w:type="dxa"/>
            <w:tcBorders>
              <w:top w:val="nil"/>
              <w:left w:val="nil"/>
              <w:bottom w:val="single" w:sz="4" w:space="0" w:color="auto"/>
              <w:right w:val="single" w:sz="4" w:space="0" w:color="auto"/>
            </w:tcBorders>
            <w:shd w:val="clear" w:color="auto" w:fill="auto"/>
            <w:noWrap/>
            <w:vAlign w:val="bottom"/>
            <w:hideMark/>
          </w:tcPr>
          <w:p w14:paraId="08824E2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-8.3</w:t>
            </w:r>
          </w:p>
        </w:tc>
        <w:tc>
          <w:tcPr>
            <w:tcW w:w="628" w:type="dxa"/>
            <w:tcBorders>
              <w:top w:val="nil"/>
              <w:left w:val="nil"/>
              <w:bottom w:val="single" w:sz="4" w:space="0" w:color="auto"/>
              <w:right w:val="single" w:sz="4" w:space="0" w:color="auto"/>
            </w:tcBorders>
            <w:shd w:val="clear" w:color="auto" w:fill="auto"/>
            <w:noWrap/>
            <w:vAlign w:val="bottom"/>
            <w:hideMark/>
          </w:tcPr>
          <w:p w14:paraId="09FDA67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-8.2</w:t>
            </w:r>
          </w:p>
        </w:tc>
        <w:tc>
          <w:tcPr>
            <w:tcW w:w="628" w:type="dxa"/>
            <w:tcBorders>
              <w:top w:val="nil"/>
              <w:left w:val="nil"/>
              <w:bottom w:val="single" w:sz="4" w:space="0" w:color="auto"/>
              <w:right w:val="single" w:sz="4" w:space="0" w:color="auto"/>
            </w:tcBorders>
            <w:shd w:val="clear" w:color="auto" w:fill="auto"/>
            <w:noWrap/>
            <w:vAlign w:val="bottom"/>
            <w:hideMark/>
          </w:tcPr>
          <w:p w14:paraId="62E894D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-8.3</w:t>
            </w:r>
          </w:p>
        </w:tc>
        <w:tc>
          <w:tcPr>
            <w:tcW w:w="844" w:type="dxa"/>
            <w:tcBorders>
              <w:top w:val="nil"/>
              <w:left w:val="nil"/>
              <w:bottom w:val="single" w:sz="4" w:space="0" w:color="auto"/>
              <w:right w:val="single" w:sz="4" w:space="0" w:color="auto"/>
            </w:tcBorders>
            <w:shd w:val="clear" w:color="auto" w:fill="auto"/>
            <w:noWrap/>
            <w:hideMark/>
          </w:tcPr>
          <w:p w14:paraId="0FA4273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r>
      <w:tr w:rsidR="00B56301" w:rsidRPr="00364545" w14:paraId="5AD68AC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A33F7C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Wetlands</w:t>
            </w:r>
          </w:p>
        </w:tc>
        <w:tc>
          <w:tcPr>
            <w:tcW w:w="628" w:type="dxa"/>
            <w:tcBorders>
              <w:top w:val="nil"/>
              <w:left w:val="nil"/>
              <w:bottom w:val="single" w:sz="4" w:space="0" w:color="auto"/>
              <w:right w:val="single" w:sz="4" w:space="0" w:color="auto"/>
            </w:tcBorders>
            <w:shd w:val="clear" w:color="auto" w:fill="auto"/>
            <w:noWrap/>
            <w:vAlign w:val="bottom"/>
            <w:hideMark/>
          </w:tcPr>
          <w:p w14:paraId="06B499F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5983F71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36AC17E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31F041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57ECBF2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306DD1A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010AAAB"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0.5</w:t>
            </w:r>
          </w:p>
        </w:tc>
        <w:tc>
          <w:tcPr>
            <w:tcW w:w="844" w:type="dxa"/>
            <w:tcBorders>
              <w:top w:val="nil"/>
              <w:left w:val="nil"/>
              <w:bottom w:val="single" w:sz="4" w:space="0" w:color="auto"/>
              <w:right w:val="single" w:sz="4" w:space="0" w:color="auto"/>
            </w:tcBorders>
            <w:shd w:val="clear" w:color="auto" w:fill="auto"/>
            <w:noWrap/>
            <w:hideMark/>
          </w:tcPr>
          <w:p w14:paraId="1A70220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579D1A6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3972E81"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Reclaimed Land</w:t>
            </w:r>
          </w:p>
        </w:tc>
        <w:tc>
          <w:tcPr>
            <w:tcW w:w="628" w:type="dxa"/>
            <w:tcBorders>
              <w:top w:val="nil"/>
              <w:left w:val="nil"/>
              <w:bottom w:val="single" w:sz="4" w:space="0" w:color="auto"/>
              <w:right w:val="single" w:sz="4" w:space="0" w:color="auto"/>
            </w:tcBorders>
            <w:shd w:val="clear" w:color="auto" w:fill="auto"/>
            <w:noWrap/>
            <w:vAlign w:val="bottom"/>
            <w:hideMark/>
          </w:tcPr>
          <w:p w14:paraId="09E011A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12.0</w:t>
            </w:r>
          </w:p>
        </w:tc>
        <w:tc>
          <w:tcPr>
            <w:tcW w:w="628" w:type="dxa"/>
            <w:tcBorders>
              <w:top w:val="nil"/>
              <w:left w:val="nil"/>
              <w:bottom w:val="single" w:sz="4" w:space="0" w:color="auto"/>
              <w:right w:val="single" w:sz="4" w:space="0" w:color="auto"/>
            </w:tcBorders>
            <w:shd w:val="clear" w:color="auto" w:fill="auto"/>
            <w:noWrap/>
            <w:vAlign w:val="bottom"/>
            <w:hideMark/>
          </w:tcPr>
          <w:p w14:paraId="7412518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11.9</w:t>
            </w:r>
          </w:p>
        </w:tc>
        <w:tc>
          <w:tcPr>
            <w:tcW w:w="628" w:type="dxa"/>
            <w:tcBorders>
              <w:top w:val="nil"/>
              <w:left w:val="nil"/>
              <w:bottom w:val="single" w:sz="4" w:space="0" w:color="auto"/>
              <w:right w:val="single" w:sz="4" w:space="0" w:color="auto"/>
            </w:tcBorders>
            <w:shd w:val="clear" w:color="auto" w:fill="auto"/>
            <w:noWrap/>
            <w:vAlign w:val="bottom"/>
            <w:hideMark/>
          </w:tcPr>
          <w:p w14:paraId="7DCF107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11.8</w:t>
            </w:r>
          </w:p>
        </w:tc>
        <w:tc>
          <w:tcPr>
            <w:tcW w:w="628" w:type="dxa"/>
            <w:tcBorders>
              <w:top w:val="nil"/>
              <w:left w:val="nil"/>
              <w:bottom w:val="single" w:sz="4" w:space="0" w:color="auto"/>
              <w:right w:val="single" w:sz="4" w:space="0" w:color="auto"/>
            </w:tcBorders>
            <w:shd w:val="clear" w:color="auto" w:fill="auto"/>
            <w:noWrap/>
            <w:vAlign w:val="bottom"/>
            <w:hideMark/>
          </w:tcPr>
          <w:p w14:paraId="0BB7B6D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11.7</w:t>
            </w:r>
          </w:p>
        </w:tc>
        <w:tc>
          <w:tcPr>
            <w:tcW w:w="628" w:type="dxa"/>
            <w:tcBorders>
              <w:top w:val="nil"/>
              <w:left w:val="nil"/>
              <w:bottom w:val="single" w:sz="4" w:space="0" w:color="auto"/>
              <w:right w:val="single" w:sz="4" w:space="0" w:color="auto"/>
            </w:tcBorders>
            <w:shd w:val="clear" w:color="auto" w:fill="auto"/>
            <w:noWrap/>
            <w:vAlign w:val="bottom"/>
            <w:hideMark/>
          </w:tcPr>
          <w:p w14:paraId="21ED4712"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11.7</w:t>
            </w:r>
          </w:p>
        </w:tc>
        <w:tc>
          <w:tcPr>
            <w:tcW w:w="628" w:type="dxa"/>
            <w:tcBorders>
              <w:top w:val="nil"/>
              <w:left w:val="nil"/>
              <w:bottom w:val="single" w:sz="4" w:space="0" w:color="auto"/>
              <w:right w:val="single" w:sz="4" w:space="0" w:color="auto"/>
            </w:tcBorders>
            <w:shd w:val="clear" w:color="auto" w:fill="auto"/>
            <w:noWrap/>
            <w:vAlign w:val="bottom"/>
            <w:hideMark/>
          </w:tcPr>
          <w:p w14:paraId="26CC3A88"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11.5</w:t>
            </w:r>
          </w:p>
        </w:tc>
        <w:tc>
          <w:tcPr>
            <w:tcW w:w="628" w:type="dxa"/>
            <w:tcBorders>
              <w:top w:val="nil"/>
              <w:left w:val="nil"/>
              <w:bottom w:val="single" w:sz="4" w:space="0" w:color="auto"/>
              <w:right w:val="single" w:sz="4" w:space="0" w:color="auto"/>
            </w:tcBorders>
            <w:shd w:val="clear" w:color="auto" w:fill="auto"/>
            <w:noWrap/>
            <w:vAlign w:val="bottom"/>
            <w:hideMark/>
          </w:tcPr>
          <w:p w14:paraId="03EE47B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11.5</w:t>
            </w:r>
          </w:p>
        </w:tc>
        <w:tc>
          <w:tcPr>
            <w:tcW w:w="844" w:type="dxa"/>
            <w:tcBorders>
              <w:top w:val="nil"/>
              <w:left w:val="nil"/>
              <w:bottom w:val="single" w:sz="4" w:space="0" w:color="auto"/>
              <w:right w:val="single" w:sz="4" w:space="0" w:color="auto"/>
            </w:tcBorders>
            <w:shd w:val="clear" w:color="auto" w:fill="auto"/>
            <w:noWrap/>
            <w:hideMark/>
          </w:tcPr>
          <w:p w14:paraId="67418520"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-0.2%</w:t>
            </w:r>
          </w:p>
        </w:tc>
      </w:tr>
      <w:tr w:rsidR="00B56301" w:rsidRPr="00364545" w14:paraId="3F27FF56"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10BC6D3"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Other Land</w:t>
            </w:r>
          </w:p>
        </w:tc>
        <w:tc>
          <w:tcPr>
            <w:tcW w:w="628" w:type="dxa"/>
            <w:tcBorders>
              <w:top w:val="nil"/>
              <w:left w:val="nil"/>
              <w:bottom w:val="single" w:sz="4" w:space="0" w:color="auto"/>
              <w:right w:val="single" w:sz="4" w:space="0" w:color="auto"/>
            </w:tcBorders>
            <w:shd w:val="clear" w:color="auto" w:fill="auto"/>
            <w:noWrap/>
            <w:vAlign w:val="bottom"/>
            <w:hideMark/>
          </w:tcPr>
          <w:p w14:paraId="7BD776D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3F6654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E9737F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3A4AF84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923142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01C9190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AD0E00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c>
          <w:tcPr>
            <w:tcW w:w="844" w:type="dxa"/>
            <w:tcBorders>
              <w:top w:val="nil"/>
              <w:left w:val="nil"/>
              <w:bottom w:val="single" w:sz="4" w:space="0" w:color="auto"/>
              <w:right w:val="single" w:sz="4" w:space="0" w:color="auto"/>
            </w:tcBorders>
            <w:shd w:val="clear" w:color="auto" w:fill="auto"/>
            <w:noWrap/>
            <w:hideMark/>
          </w:tcPr>
          <w:p w14:paraId="5A2E596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0.0%</w:t>
            </w:r>
          </w:p>
        </w:tc>
      </w:tr>
      <w:tr w:rsidR="00B56301" w:rsidRPr="00364545" w14:paraId="222AB22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C7B4DF2"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Timber Products</w:t>
            </w:r>
          </w:p>
        </w:tc>
        <w:tc>
          <w:tcPr>
            <w:tcW w:w="628" w:type="dxa"/>
            <w:tcBorders>
              <w:top w:val="nil"/>
              <w:left w:val="nil"/>
              <w:bottom w:val="single" w:sz="4" w:space="0" w:color="auto"/>
              <w:right w:val="single" w:sz="4" w:space="0" w:color="auto"/>
            </w:tcBorders>
            <w:shd w:val="clear" w:color="auto" w:fill="auto"/>
            <w:noWrap/>
            <w:vAlign w:val="bottom"/>
            <w:hideMark/>
          </w:tcPr>
          <w:p w14:paraId="216A369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02BD64D3"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-1.2</w:t>
            </w:r>
          </w:p>
        </w:tc>
        <w:tc>
          <w:tcPr>
            <w:tcW w:w="628" w:type="dxa"/>
            <w:tcBorders>
              <w:top w:val="nil"/>
              <w:left w:val="nil"/>
              <w:bottom w:val="single" w:sz="4" w:space="0" w:color="auto"/>
              <w:right w:val="single" w:sz="4" w:space="0" w:color="auto"/>
            </w:tcBorders>
            <w:shd w:val="clear" w:color="auto" w:fill="auto"/>
            <w:noWrap/>
            <w:vAlign w:val="bottom"/>
            <w:hideMark/>
          </w:tcPr>
          <w:p w14:paraId="36D1B2F1"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25CA9B8D"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68BE2C1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62AE4D3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53D50F2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-0.8</w:t>
            </w:r>
          </w:p>
        </w:tc>
        <w:tc>
          <w:tcPr>
            <w:tcW w:w="844" w:type="dxa"/>
            <w:tcBorders>
              <w:top w:val="nil"/>
              <w:left w:val="nil"/>
              <w:bottom w:val="single" w:sz="4" w:space="0" w:color="auto"/>
              <w:right w:val="single" w:sz="4" w:space="0" w:color="auto"/>
            </w:tcBorders>
            <w:shd w:val="clear" w:color="auto" w:fill="auto"/>
            <w:noWrap/>
            <w:hideMark/>
          </w:tcPr>
          <w:p w14:paraId="2FB3DCCF"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6.1%</w:t>
            </w:r>
          </w:p>
        </w:tc>
      </w:tr>
      <w:tr w:rsidR="00B56301" w:rsidRPr="00364545" w14:paraId="2B4ABC2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B01BB3D" w14:textId="77777777" w:rsidR="00B56301" w:rsidRPr="00364545" w:rsidRDefault="00B56301" w:rsidP="00B37B65">
            <w:pPr>
              <w:jc w:val="left"/>
              <w:rPr>
                <w:rFonts w:ascii="Trebuchet MS" w:hAnsi="Trebuchet MS" w:cs="Arial"/>
                <w:sz w:val="16"/>
                <w:szCs w:val="16"/>
              </w:rPr>
            </w:pPr>
            <w:r w:rsidRPr="00364545">
              <w:rPr>
                <w:rFonts w:ascii="Trebuchet MS" w:hAnsi="Trebuchet MS"/>
                <w:sz w:val="16"/>
              </w:rPr>
              <w:t>Dams</w:t>
            </w:r>
          </w:p>
        </w:tc>
        <w:tc>
          <w:tcPr>
            <w:tcW w:w="628" w:type="dxa"/>
            <w:tcBorders>
              <w:top w:val="nil"/>
              <w:left w:val="nil"/>
              <w:bottom w:val="single" w:sz="4" w:space="0" w:color="auto"/>
              <w:right w:val="single" w:sz="4" w:space="0" w:color="auto"/>
            </w:tcBorders>
            <w:shd w:val="clear" w:color="auto" w:fill="auto"/>
            <w:noWrap/>
            <w:vAlign w:val="bottom"/>
            <w:hideMark/>
          </w:tcPr>
          <w:p w14:paraId="6C790606"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79E8FF79"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7A9DC95A"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2428067"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C44A8E4"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10FF285"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2BD79AEE"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0.3</w:t>
            </w:r>
          </w:p>
        </w:tc>
        <w:tc>
          <w:tcPr>
            <w:tcW w:w="844" w:type="dxa"/>
            <w:tcBorders>
              <w:top w:val="nil"/>
              <w:left w:val="nil"/>
              <w:bottom w:val="single" w:sz="4" w:space="0" w:color="auto"/>
              <w:right w:val="single" w:sz="4" w:space="0" w:color="auto"/>
            </w:tcBorders>
            <w:shd w:val="clear" w:color="auto" w:fill="auto"/>
            <w:noWrap/>
            <w:hideMark/>
          </w:tcPr>
          <w:p w14:paraId="095F624C" w14:textId="77777777" w:rsidR="00B56301" w:rsidRPr="00364545" w:rsidRDefault="00B56301" w:rsidP="00B37B65">
            <w:pPr>
              <w:jc w:val="right"/>
              <w:rPr>
                <w:rFonts w:ascii="Trebuchet MS" w:hAnsi="Trebuchet MS" w:cs="Arial"/>
                <w:sz w:val="16"/>
                <w:szCs w:val="16"/>
              </w:rPr>
            </w:pPr>
            <w:r w:rsidRPr="00364545">
              <w:rPr>
                <w:rFonts w:ascii="Trebuchet MS" w:hAnsi="Trebuchet MS"/>
                <w:sz w:val="16"/>
              </w:rPr>
              <w:t>-2.3%</w:t>
            </w:r>
          </w:p>
        </w:tc>
      </w:tr>
      <w:tr w:rsidR="00B56301" w:rsidRPr="00364545" w14:paraId="582CF0B1" w14:textId="77777777" w:rsidTr="00B37B65">
        <w:trPr>
          <w:trHeight w:val="68"/>
          <w:jc w:val="center"/>
        </w:trPr>
        <w:tc>
          <w:tcPr>
            <w:tcW w:w="5680" w:type="dxa"/>
            <w:tcBorders>
              <w:top w:val="nil"/>
              <w:left w:val="nil"/>
              <w:bottom w:val="nil"/>
              <w:right w:val="nil"/>
            </w:tcBorders>
            <w:shd w:val="clear" w:color="000000" w:fill="00B050"/>
            <w:noWrap/>
            <w:vAlign w:val="bottom"/>
            <w:hideMark/>
          </w:tcPr>
          <w:p w14:paraId="6D21D785" w14:textId="77777777" w:rsidR="00B56301" w:rsidRPr="00364545" w:rsidRDefault="00B56301" w:rsidP="00B37B65">
            <w:pPr>
              <w:jc w:val="left"/>
              <w:rPr>
                <w:rFonts w:ascii="Trebuchet MS" w:hAnsi="Trebuchet MS" w:cs="Arial"/>
                <w:b/>
                <w:bCs/>
                <w:color w:val="FFFFFF"/>
                <w:sz w:val="16"/>
                <w:szCs w:val="22"/>
              </w:rPr>
            </w:pPr>
            <w:r w:rsidRPr="00364545">
              <w:rPr>
                <w:rFonts w:ascii="Trebuchet MS" w:hAnsi="Trebuchet MS"/>
                <w:b/>
                <w:color w:val="FFFFFF"/>
                <w:sz w:val="16"/>
              </w:rPr>
              <w:t>LULUCF</w:t>
            </w:r>
          </w:p>
        </w:tc>
        <w:tc>
          <w:tcPr>
            <w:tcW w:w="628" w:type="dxa"/>
            <w:tcBorders>
              <w:top w:val="nil"/>
              <w:left w:val="single" w:sz="4" w:space="0" w:color="auto"/>
              <w:bottom w:val="single" w:sz="4" w:space="0" w:color="auto"/>
              <w:right w:val="single" w:sz="4" w:space="0" w:color="auto"/>
            </w:tcBorders>
            <w:shd w:val="clear" w:color="000000" w:fill="00B050"/>
            <w:noWrap/>
            <w:vAlign w:val="bottom"/>
            <w:hideMark/>
          </w:tcPr>
          <w:p w14:paraId="46560CF7"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-38.4</w:t>
            </w:r>
          </w:p>
        </w:tc>
        <w:tc>
          <w:tcPr>
            <w:tcW w:w="628" w:type="dxa"/>
            <w:tcBorders>
              <w:top w:val="nil"/>
              <w:left w:val="nil"/>
              <w:bottom w:val="single" w:sz="4" w:space="0" w:color="auto"/>
              <w:right w:val="single" w:sz="4" w:space="0" w:color="auto"/>
            </w:tcBorders>
            <w:shd w:val="clear" w:color="000000" w:fill="00B050"/>
            <w:noWrap/>
            <w:vAlign w:val="bottom"/>
            <w:hideMark/>
          </w:tcPr>
          <w:p w14:paraId="6E3C3F1D"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-34.6</w:t>
            </w:r>
          </w:p>
        </w:tc>
        <w:tc>
          <w:tcPr>
            <w:tcW w:w="628" w:type="dxa"/>
            <w:tcBorders>
              <w:top w:val="nil"/>
              <w:left w:val="nil"/>
              <w:bottom w:val="single" w:sz="4" w:space="0" w:color="auto"/>
              <w:right w:val="single" w:sz="4" w:space="0" w:color="auto"/>
            </w:tcBorders>
            <w:shd w:val="clear" w:color="000000" w:fill="00B050"/>
            <w:noWrap/>
            <w:vAlign w:val="bottom"/>
            <w:hideMark/>
          </w:tcPr>
          <w:p w14:paraId="184E1E25"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-25.6</w:t>
            </w:r>
          </w:p>
        </w:tc>
        <w:tc>
          <w:tcPr>
            <w:tcW w:w="628" w:type="dxa"/>
            <w:tcBorders>
              <w:top w:val="nil"/>
              <w:left w:val="nil"/>
              <w:bottom w:val="single" w:sz="4" w:space="0" w:color="auto"/>
              <w:right w:val="single" w:sz="4" w:space="0" w:color="auto"/>
            </w:tcBorders>
            <w:shd w:val="clear" w:color="000000" w:fill="00B050"/>
            <w:noWrap/>
            <w:vAlign w:val="bottom"/>
            <w:hideMark/>
          </w:tcPr>
          <w:p w14:paraId="07E7266B"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-16.7</w:t>
            </w:r>
          </w:p>
        </w:tc>
        <w:tc>
          <w:tcPr>
            <w:tcW w:w="628" w:type="dxa"/>
            <w:tcBorders>
              <w:top w:val="nil"/>
              <w:left w:val="nil"/>
              <w:bottom w:val="single" w:sz="4" w:space="0" w:color="auto"/>
              <w:right w:val="single" w:sz="4" w:space="0" w:color="auto"/>
            </w:tcBorders>
            <w:shd w:val="clear" w:color="000000" w:fill="00B050"/>
            <w:noWrap/>
            <w:vAlign w:val="bottom"/>
            <w:hideMark/>
          </w:tcPr>
          <w:p w14:paraId="49B99A75"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-14.1</w:t>
            </w:r>
          </w:p>
        </w:tc>
        <w:tc>
          <w:tcPr>
            <w:tcW w:w="628" w:type="dxa"/>
            <w:tcBorders>
              <w:top w:val="nil"/>
              <w:left w:val="nil"/>
              <w:bottom w:val="single" w:sz="4" w:space="0" w:color="auto"/>
              <w:right w:val="single" w:sz="4" w:space="0" w:color="auto"/>
            </w:tcBorders>
            <w:shd w:val="clear" w:color="000000" w:fill="00B050"/>
            <w:noWrap/>
            <w:vAlign w:val="bottom"/>
            <w:hideMark/>
          </w:tcPr>
          <w:p w14:paraId="70674E32"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-12.3</w:t>
            </w:r>
          </w:p>
        </w:tc>
        <w:tc>
          <w:tcPr>
            <w:tcW w:w="628" w:type="dxa"/>
            <w:tcBorders>
              <w:top w:val="nil"/>
              <w:left w:val="nil"/>
              <w:bottom w:val="single" w:sz="4" w:space="0" w:color="auto"/>
              <w:right w:val="single" w:sz="4" w:space="0" w:color="auto"/>
            </w:tcBorders>
            <w:shd w:val="clear" w:color="000000" w:fill="00B050"/>
            <w:noWrap/>
            <w:vAlign w:val="bottom"/>
            <w:hideMark/>
          </w:tcPr>
          <w:p w14:paraId="462FD03F"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-14.0</w:t>
            </w:r>
          </w:p>
        </w:tc>
        <w:tc>
          <w:tcPr>
            <w:tcW w:w="844" w:type="dxa"/>
            <w:tcBorders>
              <w:top w:val="nil"/>
              <w:left w:val="nil"/>
              <w:bottom w:val="single" w:sz="4" w:space="0" w:color="auto"/>
              <w:right w:val="single" w:sz="4" w:space="0" w:color="auto"/>
            </w:tcBorders>
            <w:shd w:val="clear" w:color="000000" w:fill="00B050"/>
            <w:noWrap/>
            <w:hideMark/>
          </w:tcPr>
          <w:p w14:paraId="3354D2EF" w14:textId="77777777" w:rsidR="00B56301" w:rsidRPr="00364545" w:rsidRDefault="00B56301" w:rsidP="00B37B65">
            <w:pPr>
              <w:jc w:val="right"/>
              <w:rPr>
                <w:rFonts w:ascii="Trebuchet MS" w:hAnsi="Trebuchet MS" w:cs="Arial"/>
                <w:b/>
                <w:bCs/>
                <w:color w:val="FFFFFF"/>
                <w:sz w:val="16"/>
                <w:szCs w:val="16"/>
              </w:rPr>
            </w:pPr>
            <w:r w:rsidRPr="00364545">
              <w:rPr>
                <w:rFonts w:ascii="Trebuchet MS" w:hAnsi="Trebuchet MS"/>
                <w:b/>
                <w:color w:val="FFFFFF"/>
                <w:sz w:val="16"/>
              </w:rPr>
              <w:t>14.0%</w:t>
            </w:r>
          </w:p>
        </w:tc>
      </w:tr>
      <w:tr w:rsidR="00B56301" w:rsidRPr="00364545" w14:paraId="60A554FA"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F1A9649" w14:textId="77777777" w:rsidR="00B56301" w:rsidRPr="00364545" w:rsidRDefault="00B56301" w:rsidP="00B37B65">
            <w:pPr>
              <w:jc w:val="left"/>
              <w:rPr>
                <w:rFonts w:ascii="Trebuchet MS" w:hAnsi="Trebuchet MS" w:cs="Arial"/>
                <w:b/>
                <w:bCs/>
                <w:sz w:val="16"/>
                <w:szCs w:val="22"/>
              </w:rPr>
            </w:pPr>
            <w:r w:rsidRPr="00364545">
              <w:rPr>
                <w:rFonts w:ascii="Trebuchet MS" w:hAnsi="Trebuchet MS"/>
                <w:b/>
                <w:sz w:val="16"/>
              </w:rPr>
              <w:t>National TOTAL including UTCATF</w:t>
            </w:r>
          </w:p>
        </w:tc>
        <w:tc>
          <w:tcPr>
            <w:tcW w:w="628" w:type="dxa"/>
            <w:tcBorders>
              <w:top w:val="nil"/>
              <w:left w:val="nil"/>
              <w:bottom w:val="single" w:sz="4" w:space="0" w:color="auto"/>
              <w:right w:val="single" w:sz="4" w:space="0" w:color="auto"/>
            </w:tcBorders>
            <w:shd w:val="clear" w:color="000000" w:fill="D9D9D9"/>
            <w:noWrap/>
            <w:vAlign w:val="bottom"/>
            <w:hideMark/>
          </w:tcPr>
          <w:p w14:paraId="4A043C25"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416.2</w:t>
            </w:r>
          </w:p>
        </w:tc>
        <w:tc>
          <w:tcPr>
            <w:tcW w:w="628" w:type="dxa"/>
            <w:tcBorders>
              <w:top w:val="nil"/>
              <w:left w:val="nil"/>
              <w:bottom w:val="single" w:sz="4" w:space="0" w:color="auto"/>
              <w:right w:val="single" w:sz="4" w:space="0" w:color="auto"/>
            </w:tcBorders>
            <w:shd w:val="clear" w:color="000000" w:fill="D9D9D9"/>
            <w:noWrap/>
            <w:vAlign w:val="bottom"/>
            <w:hideMark/>
          </w:tcPr>
          <w:p w14:paraId="1F84382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423.3</w:t>
            </w:r>
          </w:p>
        </w:tc>
        <w:tc>
          <w:tcPr>
            <w:tcW w:w="628" w:type="dxa"/>
            <w:tcBorders>
              <w:top w:val="nil"/>
              <w:left w:val="nil"/>
              <w:bottom w:val="single" w:sz="4" w:space="0" w:color="auto"/>
              <w:right w:val="single" w:sz="4" w:space="0" w:color="auto"/>
            </w:tcBorders>
            <w:shd w:val="clear" w:color="000000" w:fill="D9D9D9"/>
            <w:noWrap/>
            <w:vAlign w:val="bottom"/>
            <w:hideMark/>
          </w:tcPr>
          <w:p w14:paraId="2E6BDCEE"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433.8</w:t>
            </w:r>
          </w:p>
        </w:tc>
        <w:tc>
          <w:tcPr>
            <w:tcW w:w="628" w:type="dxa"/>
            <w:tcBorders>
              <w:top w:val="nil"/>
              <w:left w:val="nil"/>
              <w:bottom w:val="single" w:sz="4" w:space="0" w:color="auto"/>
              <w:right w:val="single" w:sz="4" w:space="0" w:color="auto"/>
            </w:tcBorders>
            <w:shd w:val="clear" w:color="000000" w:fill="D9D9D9"/>
            <w:noWrap/>
            <w:vAlign w:val="bottom"/>
            <w:hideMark/>
          </w:tcPr>
          <w:p w14:paraId="7B077458"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445.8</w:t>
            </w:r>
          </w:p>
        </w:tc>
        <w:tc>
          <w:tcPr>
            <w:tcW w:w="628" w:type="dxa"/>
            <w:tcBorders>
              <w:top w:val="nil"/>
              <w:left w:val="nil"/>
              <w:bottom w:val="single" w:sz="4" w:space="0" w:color="auto"/>
              <w:right w:val="single" w:sz="4" w:space="0" w:color="auto"/>
            </w:tcBorders>
            <w:shd w:val="clear" w:color="000000" w:fill="D9D9D9"/>
            <w:noWrap/>
            <w:vAlign w:val="bottom"/>
            <w:hideMark/>
          </w:tcPr>
          <w:p w14:paraId="680744A9"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429.2</w:t>
            </w:r>
          </w:p>
        </w:tc>
        <w:tc>
          <w:tcPr>
            <w:tcW w:w="628" w:type="dxa"/>
            <w:tcBorders>
              <w:top w:val="nil"/>
              <w:left w:val="nil"/>
              <w:bottom w:val="single" w:sz="4" w:space="0" w:color="auto"/>
              <w:right w:val="single" w:sz="4" w:space="0" w:color="auto"/>
            </w:tcBorders>
            <w:shd w:val="clear" w:color="000000" w:fill="D9D9D9"/>
            <w:noWrap/>
            <w:vAlign w:val="bottom"/>
            <w:hideMark/>
          </w:tcPr>
          <w:p w14:paraId="79E1E86C"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422.3</w:t>
            </w:r>
          </w:p>
        </w:tc>
        <w:tc>
          <w:tcPr>
            <w:tcW w:w="628" w:type="dxa"/>
            <w:tcBorders>
              <w:top w:val="nil"/>
              <w:left w:val="nil"/>
              <w:bottom w:val="single" w:sz="4" w:space="0" w:color="auto"/>
              <w:right w:val="single" w:sz="4" w:space="0" w:color="auto"/>
            </w:tcBorders>
            <w:shd w:val="clear" w:color="000000" w:fill="D9D9D9"/>
            <w:noWrap/>
            <w:vAlign w:val="bottom"/>
            <w:hideMark/>
          </w:tcPr>
          <w:p w14:paraId="6A9E800D"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b/>
                <w:sz w:val="16"/>
              </w:rPr>
              <w:t>379.0</w:t>
            </w:r>
          </w:p>
        </w:tc>
        <w:tc>
          <w:tcPr>
            <w:tcW w:w="844" w:type="dxa"/>
            <w:tcBorders>
              <w:top w:val="nil"/>
              <w:left w:val="nil"/>
              <w:bottom w:val="single" w:sz="4" w:space="0" w:color="auto"/>
              <w:right w:val="single" w:sz="4" w:space="0" w:color="auto"/>
            </w:tcBorders>
            <w:shd w:val="clear" w:color="000000" w:fill="D9D9D9"/>
            <w:noWrap/>
            <w:hideMark/>
          </w:tcPr>
          <w:p w14:paraId="5DA366A3" w14:textId="77777777" w:rsidR="00B56301" w:rsidRPr="00364545" w:rsidRDefault="00B56301" w:rsidP="00B37B65">
            <w:pPr>
              <w:jc w:val="right"/>
              <w:rPr>
                <w:rFonts w:ascii="Trebuchet MS" w:hAnsi="Trebuchet MS" w:cs="Arial"/>
                <w:b/>
                <w:bCs/>
                <w:sz w:val="16"/>
                <w:szCs w:val="16"/>
              </w:rPr>
            </w:pPr>
            <w:r w:rsidRPr="00364545">
              <w:rPr>
                <w:rFonts w:ascii="Trebuchet MS" w:hAnsi="Trebuchet MS"/>
                <w:sz w:val="16"/>
              </w:rPr>
              <w:t>-10.3%</w:t>
            </w:r>
          </w:p>
        </w:tc>
      </w:tr>
    </w:tbl>
    <w:p w14:paraId="41B9EBE3" w14:textId="77777777" w:rsidR="00B56301" w:rsidRPr="00364545" w:rsidRDefault="00B56301" w:rsidP="00B56301">
      <w:pPr>
        <w:pStyle w:val="Titre1Niveau1"/>
      </w:pPr>
      <w:r w:rsidRPr="00364545">
        <w:br w:type="page"/>
      </w:r>
      <w:bookmarkStart w:id="785" w:name="_Toc138341929"/>
      <w:r w:rsidRPr="00364545">
        <w:t>Appendix III - Assessments of Key Sources and Associated Analyses Excluding UTCATF</w:t>
      </w:r>
      <w:bookmarkEnd w:id="785"/>
    </w:p>
    <w:p w14:paraId="149B40FA" w14:textId="77777777" w:rsidR="00B56301" w:rsidRPr="00364545" w:rsidRDefault="00B56301" w:rsidP="0071419C">
      <w:pPr>
        <w:pStyle w:val="Titre2Niveau2"/>
        <w:numPr>
          <w:ilvl w:val="0"/>
          <w:numId w:val="0"/>
        </w:numPr>
      </w:pPr>
      <w:bookmarkStart w:id="786" w:name="_Toc138341930"/>
      <w:r w:rsidRPr="00364545">
        <w:t>Addition Items required in the context of Article 7.2 of the Kyoto Protocol</w:t>
      </w:r>
      <w:bookmarkEnd w:id="786"/>
    </w:p>
    <w:tbl>
      <w:tblPr>
        <w:tblStyle w:val="GridTable5Dark-Accent4"/>
        <w:tblW w:w="0" w:type="auto"/>
        <w:tblLook w:val="04A0" w:firstRow="1" w:lastRow="0" w:firstColumn="1" w:lastColumn="0" w:noHBand="0" w:noVBand="1"/>
      </w:tblPr>
      <w:tblGrid>
        <w:gridCol w:w="4970"/>
        <w:gridCol w:w="4970"/>
      </w:tblGrid>
      <w:tr w:rsidR="00B56301" w:rsidRPr="00364545" w14:paraId="55FFB80F" w14:textId="77777777" w:rsidTr="00B37B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0" w:type="dxa"/>
          </w:tcPr>
          <w:p w14:paraId="231884AC" w14:textId="77777777" w:rsidR="00B56301" w:rsidRPr="00364545" w:rsidRDefault="00B56301" w:rsidP="00B37B65">
            <w:r w:rsidRPr="00364545">
              <w:t>Information added under article 7.2</w:t>
            </w:r>
          </w:p>
        </w:tc>
        <w:tc>
          <w:tcPr>
            <w:tcW w:w="4970" w:type="dxa"/>
          </w:tcPr>
          <w:p w14:paraId="7EA689C1" w14:textId="77777777" w:rsidR="00B56301" w:rsidRPr="00364545" w:rsidRDefault="00B56301" w:rsidP="00B37B65">
            <w:pPr>
              <w:cnfStyle w:val="100000000000" w:firstRow="1" w:lastRow="0" w:firstColumn="0" w:lastColumn="0" w:oddVBand="0" w:evenVBand="0" w:oddHBand="0" w:evenHBand="0" w:firstRowFirstColumn="0" w:firstRowLastColumn="0" w:lastRowFirstColumn="0" w:lastRowLastColumn="0"/>
            </w:pPr>
            <w:r w:rsidRPr="00364545">
              <w:t>Paragraphs from the 8</w:t>
            </w:r>
            <w:r w:rsidRPr="00364545">
              <w:rPr>
                <w:vertAlign w:val="superscript"/>
              </w:rPr>
              <w:t>th</w:t>
            </w:r>
            <w:r w:rsidRPr="00364545">
              <w:t xml:space="preserve"> National Communication</w:t>
            </w:r>
          </w:p>
        </w:tc>
      </w:tr>
      <w:tr w:rsidR="00B56301" w:rsidRPr="00364545" w14:paraId="4F909652" w14:textId="77777777" w:rsidTr="00B37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0" w:type="dxa"/>
          </w:tcPr>
          <w:p w14:paraId="4E44F688" w14:textId="77777777" w:rsidR="00B56301" w:rsidRPr="00364545" w:rsidRDefault="00B56301" w:rsidP="00B37B65">
            <w:r w:rsidRPr="00364545">
              <w:t>National System - section 5.1</w:t>
            </w:r>
          </w:p>
        </w:tc>
        <w:tc>
          <w:tcPr>
            <w:tcW w:w="4970" w:type="dxa"/>
          </w:tcPr>
          <w:p w14:paraId="46B2AC80" w14:textId="77777777" w:rsidR="00B56301" w:rsidRPr="00364545" w:rsidRDefault="00B56301" w:rsidP="00B37B65">
            <w:pPr>
              <w:cnfStyle w:val="000000100000" w:firstRow="0" w:lastRow="0" w:firstColumn="0" w:lastColumn="0" w:oddVBand="0" w:evenVBand="0" w:oddHBand="1" w:evenHBand="0" w:firstRowFirstColumn="0" w:firstRowLastColumn="0" w:lastRowFirstColumn="0" w:lastRowLastColumn="0"/>
              <w:rPr>
                <w:highlight w:val="yellow"/>
              </w:rPr>
            </w:pPr>
            <w:r w:rsidRPr="00364545">
              <w:t>III.C</w:t>
            </w:r>
          </w:p>
        </w:tc>
      </w:tr>
      <w:tr w:rsidR="00B56301" w:rsidRPr="00364545" w14:paraId="0AA3FA0B" w14:textId="77777777" w:rsidTr="00B37B65">
        <w:tc>
          <w:tcPr>
            <w:cnfStyle w:val="001000000000" w:firstRow="0" w:lastRow="0" w:firstColumn="1" w:lastColumn="0" w:oddVBand="0" w:evenVBand="0" w:oddHBand="0" w:evenHBand="0" w:firstRowFirstColumn="0" w:firstRowLastColumn="0" w:lastRowFirstColumn="0" w:lastRowLastColumn="0"/>
            <w:tcW w:w="4970" w:type="dxa"/>
          </w:tcPr>
          <w:p w14:paraId="78E3B03C" w14:textId="77777777" w:rsidR="00B56301" w:rsidRPr="00364545" w:rsidRDefault="00B56301" w:rsidP="00B37B65">
            <w:r w:rsidRPr="00364545">
              <w:t>Items relating to Mechanisms set out in Sections 6, 12 &amp; 17.</w:t>
            </w:r>
          </w:p>
        </w:tc>
        <w:tc>
          <w:tcPr>
            <w:tcW w:w="4970" w:type="dxa"/>
          </w:tcPr>
          <w:p w14:paraId="51ECF5F1" w14:textId="77777777" w:rsidR="00B56301" w:rsidRPr="00364545" w:rsidRDefault="00B56301" w:rsidP="00B37B65">
            <w:pPr>
              <w:cnfStyle w:val="000000000000" w:firstRow="0" w:lastRow="0" w:firstColumn="0" w:lastColumn="0" w:oddVBand="0" w:evenVBand="0" w:oddHBand="0" w:evenHBand="0" w:firstRowFirstColumn="0" w:firstRowLastColumn="0" w:lastRowFirstColumn="0" w:lastRowLastColumn="0"/>
            </w:pPr>
            <w:r w:rsidRPr="00364545">
              <w:t>III.D</w:t>
            </w:r>
          </w:p>
        </w:tc>
      </w:tr>
      <w:tr w:rsidR="00B56301" w:rsidRPr="00364545" w14:paraId="586A1A03" w14:textId="77777777" w:rsidTr="00B37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0" w:type="dxa"/>
          </w:tcPr>
          <w:p w14:paraId="4FBC2327" w14:textId="77777777" w:rsidR="00B56301" w:rsidRPr="00364545" w:rsidRDefault="00B56301" w:rsidP="00B37B65">
            <w:r w:rsidRPr="00364545">
              <w:t>Adverse Effects of Policies and Measures</w:t>
            </w:r>
          </w:p>
        </w:tc>
        <w:tc>
          <w:tcPr>
            <w:tcW w:w="4970" w:type="dxa"/>
          </w:tcPr>
          <w:p w14:paraId="7F9D80FB" w14:textId="401B6EFA" w:rsidR="00B56301" w:rsidRPr="00364545" w:rsidRDefault="00962AB2" w:rsidP="00B37B65">
            <w:pPr>
              <w:cnfStyle w:val="000000100000" w:firstRow="0" w:lastRow="0" w:firstColumn="0" w:lastColumn="0" w:oddVBand="0" w:evenVBand="0" w:oddHBand="1" w:evenHBand="0" w:firstRowFirstColumn="0" w:firstRowLastColumn="0" w:lastRowFirstColumn="0" w:lastRowLastColumn="0"/>
            </w:pPr>
            <w:r w:rsidRPr="00364545">
              <w:t>IV.C.2</w:t>
            </w:r>
          </w:p>
        </w:tc>
      </w:tr>
      <w:tr w:rsidR="00B56301" w:rsidRPr="00364545" w14:paraId="1BF0E158" w14:textId="77777777" w:rsidTr="00B37B65">
        <w:tc>
          <w:tcPr>
            <w:cnfStyle w:val="001000000000" w:firstRow="0" w:lastRow="0" w:firstColumn="1" w:lastColumn="0" w:oddVBand="0" w:evenVBand="0" w:oddHBand="0" w:evenHBand="0" w:firstRowFirstColumn="0" w:firstRowLastColumn="0" w:lastRowFirstColumn="0" w:lastRowLastColumn="0"/>
            <w:tcW w:w="4970" w:type="dxa"/>
          </w:tcPr>
          <w:p w14:paraId="7974D69A" w14:textId="77777777" w:rsidR="00B56301" w:rsidRPr="00364545" w:rsidRDefault="00B56301" w:rsidP="00B37B65">
            <w:r w:rsidRPr="00364545">
              <w:t>Domestic Regional Plans</w:t>
            </w:r>
          </w:p>
        </w:tc>
        <w:tc>
          <w:tcPr>
            <w:tcW w:w="4970" w:type="dxa"/>
          </w:tcPr>
          <w:p w14:paraId="1259D945" w14:textId="7C4B77A0" w:rsidR="00B56301" w:rsidRPr="00364545" w:rsidRDefault="00B56301" w:rsidP="00B37B65">
            <w:pPr>
              <w:cnfStyle w:val="000000000000" w:firstRow="0" w:lastRow="0" w:firstColumn="0" w:lastColumn="0" w:oddVBand="0" w:evenVBand="0" w:oddHBand="0" w:evenHBand="0" w:firstRowFirstColumn="0" w:firstRowLastColumn="0" w:lastRowFirstColumn="0" w:lastRowLastColumn="0"/>
              <w:rPr>
                <w:highlight w:val="yellow"/>
              </w:rPr>
            </w:pPr>
            <w:r w:rsidRPr="00364545">
              <w:t>IV.A.1.2</w:t>
            </w:r>
          </w:p>
        </w:tc>
      </w:tr>
      <w:tr w:rsidR="00B56301" w:rsidRPr="00364545" w14:paraId="233EB630" w14:textId="77777777" w:rsidTr="00B37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0" w:type="dxa"/>
          </w:tcPr>
          <w:p w14:paraId="0301A611" w14:textId="77777777" w:rsidR="00B56301" w:rsidRPr="00364545" w:rsidRDefault="00B56301" w:rsidP="00B37B65">
            <w:r w:rsidRPr="00364545">
              <w:t>Information - Section 10</w:t>
            </w:r>
          </w:p>
        </w:tc>
        <w:tc>
          <w:tcPr>
            <w:tcW w:w="4970" w:type="dxa"/>
          </w:tcPr>
          <w:p w14:paraId="714C9D62" w14:textId="77777777" w:rsidR="00B56301" w:rsidRPr="00364545" w:rsidRDefault="00B56301" w:rsidP="00B37B65">
            <w:pPr>
              <w:cnfStyle w:val="000000100000" w:firstRow="0" w:lastRow="0" w:firstColumn="0" w:lastColumn="0" w:oddVBand="0" w:evenVBand="0" w:oddHBand="1" w:evenHBand="0" w:firstRowFirstColumn="0" w:firstRowLastColumn="0" w:lastRowFirstColumn="0" w:lastRowLastColumn="0"/>
              <w:rPr>
                <w:highlight w:val="yellow"/>
              </w:rPr>
            </w:pPr>
            <w:r w:rsidRPr="00364545">
              <w:t>VII</w:t>
            </w:r>
          </w:p>
        </w:tc>
      </w:tr>
    </w:tbl>
    <w:p w14:paraId="37E0041D" w14:textId="77777777" w:rsidR="00B56301" w:rsidRPr="00364545" w:rsidRDefault="00B56301" w:rsidP="00B56301"/>
    <w:p w14:paraId="280A9A9D" w14:textId="77777777" w:rsidR="00B56301" w:rsidRPr="00364545" w:rsidRDefault="00B56301" w:rsidP="00B56301"/>
    <w:p w14:paraId="39DA36DA" w14:textId="77777777" w:rsidR="00B56301" w:rsidRPr="00364545" w:rsidRDefault="00B56301" w:rsidP="003F57EA">
      <w:pPr>
        <w:pStyle w:val="titreencadre"/>
        <w:numPr>
          <w:ilvl w:val="3"/>
          <w:numId w:val="62"/>
        </w:numPr>
      </w:pPr>
      <w:r w:rsidRPr="00364545">
        <w:t>Information Required under Article 11 of the Kyoto Protocol</w:t>
      </w:r>
    </w:p>
    <w:p w14:paraId="03771D6B" w14:textId="780DAA17" w:rsidR="00B56301" w:rsidRPr="00364545" w:rsidRDefault="00B56301" w:rsidP="00B56301">
      <w:r w:rsidRPr="00364545">
        <w:t>Financial resources that come under public assistance for development required in the context of article 11 of the Kyoto Protocol are described in paragraph VII.</w:t>
      </w:r>
      <w:r w:rsidR="00B37B65" w:rsidRPr="00364545">
        <w:rPr>
          <w:highlight w:val="yellow"/>
        </w:rPr>
        <w:fldChar w:fldCharType="begin"/>
      </w:r>
      <w:r w:rsidR="00B37B65" w:rsidRPr="00364545">
        <w:instrText xml:space="preserve"> REF _Ref122366346 \r \h </w:instrText>
      </w:r>
      <w:r w:rsidR="00364545">
        <w:rPr>
          <w:highlight w:val="yellow"/>
        </w:rPr>
        <w:instrText xml:space="preserve"> \* MERGEFORMAT </w:instrText>
      </w:r>
      <w:r w:rsidR="00B37B65" w:rsidRPr="00364545">
        <w:rPr>
          <w:highlight w:val="yellow"/>
        </w:rPr>
      </w:r>
      <w:r w:rsidR="00B37B65" w:rsidRPr="00364545">
        <w:rPr>
          <w:highlight w:val="yellow"/>
        </w:rPr>
        <w:fldChar w:fldCharType="separate"/>
      </w:r>
      <w:r w:rsidR="009A2FAA">
        <w:t>A</w:t>
      </w:r>
      <w:r w:rsidR="00B37B65" w:rsidRPr="00364545">
        <w:rPr>
          <w:highlight w:val="yellow"/>
        </w:rPr>
        <w:fldChar w:fldCharType="end"/>
      </w:r>
      <w:r w:rsidRPr="00364545">
        <w:t>. The other financial resources that correspond to article 11 of the Kyoto Protocol are set out in paragraph VII.</w:t>
      </w:r>
      <w:r w:rsidR="00B37B65" w:rsidRPr="00364545">
        <w:rPr>
          <w:highlight w:val="yellow"/>
        </w:rPr>
        <w:fldChar w:fldCharType="begin"/>
      </w:r>
      <w:r w:rsidR="00B37B65" w:rsidRPr="00364545">
        <w:instrText xml:space="preserve"> REF _Ref122366382 \w \h </w:instrText>
      </w:r>
      <w:r w:rsidR="00364545">
        <w:rPr>
          <w:highlight w:val="yellow"/>
        </w:rPr>
        <w:instrText xml:space="preserve"> \* MERGEFORMAT </w:instrText>
      </w:r>
      <w:r w:rsidR="00B37B65" w:rsidRPr="00364545">
        <w:rPr>
          <w:highlight w:val="yellow"/>
        </w:rPr>
      </w:r>
      <w:r w:rsidR="00B37B65" w:rsidRPr="00364545">
        <w:rPr>
          <w:highlight w:val="yellow"/>
        </w:rPr>
        <w:fldChar w:fldCharType="separate"/>
      </w:r>
      <w:r w:rsidR="009A2FAA">
        <w:t>B</w:t>
      </w:r>
      <w:r w:rsidR="00B37B65" w:rsidRPr="00364545">
        <w:rPr>
          <w:highlight w:val="yellow"/>
        </w:rPr>
        <w:fldChar w:fldCharType="end"/>
      </w:r>
      <w:r w:rsidRPr="00364545">
        <w:t>.</w:t>
      </w:r>
    </w:p>
    <w:p w14:paraId="0BB04BA5" w14:textId="77777777" w:rsidR="00B56301" w:rsidRPr="00364545" w:rsidRDefault="00B56301" w:rsidP="00B56301">
      <w:pPr>
        <w:spacing w:line="240" w:lineRule="atLeast"/>
        <w:jc w:val="left"/>
      </w:pPr>
      <w:r w:rsidRPr="00364545">
        <w:br w:type="page"/>
      </w:r>
    </w:p>
    <w:p w14:paraId="0552AE25" w14:textId="77777777" w:rsidR="00B56301" w:rsidRPr="00364545" w:rsidRDefault="00B56301" w:rsidP="00B56301">
      <w:pPr>
        <w:spacing w:line="240" w:lineRule="atLeast"/>
        <w:jc w:val="center"/>
      </w:pPr>
      <w:r w:rsidRPr="00364545">
        <w:rPr>
          <w:noProof/>
          <w:lang w:val="fr-FR"/>
        </w:rPr>
        <w:drawing>
          <wp:inline distT="0" distB="0" distL="0" distR="0" wp14:anchorId="0EEA8E6D" wp14:editId="57669C86">
            <wp:extent cx="5760720" cy="7445375"/>
            <wp:effectExtent l="0" t="0" r="0" b="3175"/>
            <wp:docPr id="1437" name="Imag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60720" cy="7445375"/>
                    </a:xfrm>
                    <a:prstGeom prst="rect">
                      <a:avLst/>
                    </a:prstGeom>
                    <a:noFill/>
                    <a:ln>
                      <a:noFill/>
                    </a:ln>
                  </pic:spPr>
                </pic:pic>
              </a:graphicData>
            </a:graphic>
          </wp:inline>
        </w:drawing>
      </w:r>
      <w:r w:rsidRPr="00364545">
        <w:br w:type="page"/>
      </w:r>
    </w:p>
    <w:p w14:paraId="4FEF7391" w14:textId="77777777" w:rsidR="00B56301" w:rsidRPr="00364545" w:rsidRDefault="00B56301" w:rsidP="00B56301">
      <w:pPr>
        <w:pStyle w:val="Titre1Niveau1"/>
      </w:pPr>
      <w:bookmarkStart w:id="787" w:name="_Toc138341931"/>
      <w:r w:rsidRPr="00364545">
        <w:t>Appendix IV - Assessments of Key Sources and Associated Analyses Including UTCATF</w:t>
      </w:r>
      <w:bookmarkEnd w:id="787"/>
    </w:p>
    <w:p w14:paraId="30316F5F" w14:textId="77777777" w:rsidR="00B56301" w:rsidRPr="00364545" w:rsidRDefault="00B56301" w:rsidP="00B56301">
      <w:pPr>
        <w:jc w:val="center"/>
      </w:pPr>
      <w:r w:rsidRPr="00364545">
        <w:rPr>
          <w:noProof/>
          <w:lang w:val="fr-FR"/>
        </w:rPr>
        <w:drawing>
          <wp:inline distT="0" distB="0" distL="0" distR="0" wp14:anchorId="168FB1F9" wp14:editId="57CDE474">
            <wp:extent cx="4565489" cy="6762750"/>
            <wp:effectExtent l="0" t="0" r="6985"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569691" cy="6768975"/>
                    </a:xfrm>
                    <a:prstGeom prst="rect">
                      <a:avLst/>
                    </a:prstGeom>
                    <a:noFill/>
                    <a:ln>
                      <a:noFill/>
                    </a:ln>
                  </pic:spPr>
                </pic:pic>
              </a:graphicData>
            </a:graphic>
          </wp:inline>
        </w:drawing>
      </w:r>
    </w:p>
    <w:p w14:paraId="738A665A" w14:textId="77777777" w:rsidR="00B56301" w:rsidRPr="00364545" w:rsidRDefault="00B56301" w:rsidP="00B56301">
      <w:pPr>
        <w:spacing w:line="240" w:lineRule="atLeast"/>
        <w:jc w:val="left"/>
      </w:pPr>
    </w:p>
    <w:p w14:paraId="1F85788B" w14:textId="77777777" w:rsidR="00B56301" w:rsidRPr="00364545" w:rsidRDefault="00B56301" w:rsidP="00B56301">
      <w:pPr>
        <w:spacing w:line="240" w:lineRule="atLeast"/>
        <w:jc w:val="left"/>
      </w:pPr>
    </w:p>
    <w:p w14:paraId="5E6E2B0F" w14:textId="77777777" w:rsidR="00B56301" w:rsidRPr="00364545" w:rsidRDefault="00B56301" w:rsidP="00B56301"/>
    <w:p w14:paraId="4376D1FD" w14:textId="77777777" w:rsidR="00B56301" w:rsidRPr="00364545" w:rsidRDefault="00B56301" w:rsidP="00B56301">
      <w:pPr>
        <w:spacing w:line="240" w:lineRule="atLeast"/>
        <w:jc w:val="left"/>
        <w:rPr>
          <w:rFonts w:cs="Arial"/>
        </w:rPr>
      </w:pPr>
    </w:p>
    <w:p w14:paraId="4062B432" w14:textId="77777777" w:rsidR="00B56301" w:rsidRPr="00364545" w:rsidRDefault="00B56301" w:rsidP="00B56301">
      <w:pPr>
        <w:spacing w:line="240" w:lineRule="atLeast"/>
        <w:jc w:val="left"/>
        <w:rPr>
          <w:rFonts w:cs="Arial"/>
        </w:rPr>
      </w:pPr>
    </w:p>
    <w:p w14:paraId="25A7C17A" w14:textId="77777777" w:rsidR="00B56301" w:rsidRPr="00364545" w:rsidRDefault="00B56301" w:rsidP="00B56301">
      <w:pPr>
        <w:spacing w:line="240" w:lineRule="atLeast"/>
        <w:jc w:val="left"/>
        <w:rPr>
          <w:rFonts w:cs="Arial"/>
        </w:rPr>
      </w:pPr>
    </w:p>
    <w:p w14:paraId="2FB61A98" w14:textId="77777777" w:rsidR="00B56301" w:rsidRPr="00364545" w:rsidRDefault="00B56301" w:rsidP="00B56301">
      <w:pPr>
        <w:spacing w:line="240" w:lineRule="atLeast"/>
        <w:jc w:val="left"/>
        <w:rPr>
          <w:rFonts w:cs="Arial"/>
        </w:rPr>
      </w:pPr>
    </w:p>
    <w:p w14:paraId="782718AD" w14:textId="77777777" w:rsidR="00B56301" w:rsidRPr="00364545" w:rsidRDefault="00B56301" w:rsidP="00B56301">
      <w:pPr>
        <w:rPr>
          <w:rFonts w:cs="Arial"/>
        </w:rPr>
      </w:pPr>
      <w:r w:rsidRPr="00364545">
        <w:rPr>
          <w:noProof/>
          <w:lang w:val="fr-FR"/>
        </w:rPr>
        <w:drawing>
          <wp:anchor distT="0" distB="0" distL="114300" distR="114300" simplePos="0" relativeHeight="251858432" behindDoc="0" locked="0" layoutInCell="1" allowOverlap="1" wp14:anchorId="47FB8814" wp14:editId="17A037AB">
            <wp:simplePos x="0" y="0"/>
            <wp:positionH relativeFrom="page">
              <wp:posOffset>520700</wp:posOffset>
            </wp:positionH>
            <wp:positionV relativeFrom="page">
              <wp:posOffset>8324215</wp:posOffset>
            </wp:positionV>
            <wp:extent cx="1907540" cy="1381760"/>
            <wp:effectExtent l="0" t="0" r="0" b="8890"/>
            <wp:wrapNone/>
            <wp:docPr id="28681" name="Image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noChangeArrowheads="1"/>
                    </pic:cNvPicPr>
                  </pic:nvPicPr>
                  <pic:blipFill>
                    <a:blip r:embed="rId11"/>
                    <a:stretch>
                      <a:fillRect/>
                    </a:stretch>
                  </pic:blipFill>
                  <pic:spPr bwMode="auto">
                    <a:xfrm>
                      <a:off x="0" y="0"/>
                      <a:ext cx="1907540" cy="1381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545">
        <w:rPr>
          <w:noProof/>
          <w:lang w:val="fr-FR"/>
        </w:rPr>
        <mc:AlternateContent>
          <mc:Choice Requires="wps">
            <w:drawing>
              <wp:anchor distT="0" distB="0" distL="114300" distR="114300" simplePos="0" relativeHeight="251857408" behindDoc="0" locked="0" layoutInCell="1" allowOverlap="1" wp14:anchorId="78844AC6" wp14:editId="06357BDA">
                <wp:simplePos x="0" y="0"/>
                <wp:positionH relativeFrom="column">
                  <wp:posOffset>-4445</wp:posOffset>
                </wp:positionH>
                <wp:positionV relativeFrom="paragraph">
                  <wp:posOffset>5974715</wp:posOffset>
                </wp:positionV>
                <wp:extent cx="6290945" cy="4445"/>
                <wp:effectExtent l="0" t="0" r="20955" b="20955"/>
                <wp:wrapNone/>
                <wp:docPr id="31" name="Connecteur droit 31"/>
                <wp:cNvGraphicFramePr/>
                <a:graphic xmlns:a="http://schemas.openxmlformats.org/drawingml/2006/main">
                  <a:graphicData uri="http://schemas.microsoft.com/office/word/2010/wordprocessingShape">
                    <wps:wsp>
                      <wps:cNvCnPr/>
                      <wps:spPr>
                        <a:xfrm>
                          <a:off x="0" y="0"/>
                          <a:ext cx="6290945" cy="44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E56247" id="Connecteur droit 31" o:spid="_x0000_s1026" style="position:absolute;z-index:251857408;visibility:visible;mso-wrap-style:square;mso-wrap-distance-left:9pt;mso-wrap-distance-top:0;mso-wrap-distance-right:9pt;mso-wrap-distance-bottom:0;mso-position-horizontal:absolute;mso-position-horizontal-relative:text;mso-position-vertical:absolute;mso-position-vertical-relative:text" from="-.35pt,470.45pt" to="495pt,4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" strokecolor="black [3213]"/>
            </w:pict>
          </mc:Fallback>
        </mc:AlternateContent>
      </w:r>
      <w:r w:rsidRPr="00364545">
        <w:rPr>
          <w:noProof/>
          <w:lang w:val="fr-FR"/>
        </w:rPr>
        <mc:AlternateContent>
          <mc:Choice Requires="wps">
            <w:drawing>
              <wp:anchor distT="0" distB="0" distL="114300" distR="114300" simplePos="0" relativeHeight="251856384" behindDoc="0" locked="0" layoutInCell="1" allowOverlap="1" wp14:anchorId="4CDD1FA7" wp14:editId="5A14321E">
                <wp:simplePos x="0" y="0"/>
                <wp:positionH relativeFrom="column">
                  <wp:posOffset>8255</wp:posOffset>
                </wp:positionH>
                <wp:positionV relativeFrom="paragraph">
                  <wp:posOffset>9372600</wp:posOffset>
                </wp:positionV>
                <wp:extent cx="6299200" cy="0"/>
                <wp:effectExtent l="0" t="0" r="25400" b="19050"/>
                <wp:wrapNone/>
                <wp:docPr id="28679" name="Connecteur droit 28679"/>
                <wp:cNvGraphicFramePr/>
                <a:graphic xmlns:a="http://schemas.openxmlformats.org/drawingml/2006/main">
                  <a:graphicData uri="http://schemas.microsoft.com/office/word/2010/wordprocessingShape">
                    <wps:wsp>
                      <wps:cNvCnPr/>
                      <wps:spPr>
                        <a:xfrm>
                          <a:off x="0" y="0"/>
                          <a:ext cx="6299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C83CCF" id="Connecteur droit 28679" o:spid="_x0000_s1026" style="position:absolute;z-index:251856384;visibility:visible;mso-wrap-style:square;mso-wrap-distance-left:9pt;mso-wrap-distance-top:0;mso-wrap-distance-right:9pt;mso-wrap-distance-bottom:0;mso-position-horizontal:absolute;mso-position-horizontal-relative:text;mso-position-vertical:absolute;mso-position-vertical-relative:text" from=".65pt,738pt" to="496.65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" strokecolor="black [3213]"/>
            </w:pict>
          </mc:Fallback>
        </mc:AlternateContent>
      </w:r>
    </w:p>
    <w:p w14:paraId="1FBBAF72" w14:textId="77777777" w:rsidR="00CA43A0" w:rsidRPr="00364545" w:rsidRDefault="00CA43A0" w:rsidP="0067185C">
      <w:pPr>
        <w:rPr>
          <w:rFonts w:cs="Arial"/>
        </w:rPr>
      </w:pPr>
    </w:p>
    <w:p w14:paraId="0EF3EE3C" w14:textId="77777777" w:rsidR="00CA43A0" w:rsidRPr="00364545" w:rsidRDefault="00CA43A0" w:rsidP="004D72D0">
      <w:pPr>
        <w:jc w:val="center"/>
        <w:rPr>
          <w:rFonts w:cs="Arial"/>
        </w:rPr>
      </w:pPr>
    </w:p>
    <w:p w14:paraId="3F073F2D" w14:textId="77777777" w:rsidR="00CA43A0" w:rsidRPr="00364545" w:rsidRDefault="00CA43A0" w:rsidP="004D72D0">
      <w:pPr>
        <w:jc w:val="center"/>
        <w:rPr>
          <w:rFonts w:cs="Arial"/>
        </w:rPr>
      </w:pPr>
    </w:p>
    <w:p w14:paraId="140F70D9" w14:textId="1DF1D77B" w:rsidR="003E4D7F" w:rsidRPr="00364545" w:rsidRDefault="006B4DCF" w:rsidP="004D72D0">
      <w:pPr>
        <w:jc w:val="center"/>
        <w:rPr>
          <w:rFonts w:cs="Arial"/>
        </w:rPr>
      </w:pPr>
      <w:r w:rsidRPr="00364545">
        <w:rPr>
          <w:noProof/>
          <w:lang w:val="fr-FR"/>
        </w:rPr>
        <w:drawing>
          <wp:anchor distT="0" distB="0" distL="114300" distR="114300" simplePos="0" relativeHeight="251841024" behindDoc="0" locked="0" layoutInCell="1" allowOverlap="1" wp14:anchorId="52A7F8CC" wp14:editId="08C686CA">
            <wp:simplePos x="0" y="0"/>
            <wp:positionH relativeFrom="page">
              <wp:posOffset>520700</wp:posOffset>
            </wp:positionH>
            <wp:positionV relativeFrom="page">
              <wp:posOffset>8324215</wp:posOffset>
            </wp:positionV>
            <wp:extent cx="1907540" cy="1381760"/>
            <wp:effectExtent l="0" t="0" r="0" b="889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noChangeArrowheads="1"/>
                    </pic:cNvPicPr>
                  </pic:nvPicPr>
                  <pic:blipFill>
                    <a:blip r:embed="rId11"/>
                    <a:stretch>
                      <a:fillRect/>
                    </a:stretch>
                  </pic:blipFill>
                  <pic:spPr bwMode="auto">
                    <a:xfrm>
                      <a:off x="0" y="0"/>
                      <a:ext cx="1907540" cy="1381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4545">
        <w:rPr>
          <w:noProof/>
          <w:lang w:val="fr-FR"/>
        </w:rPr>
        <mc:AlternateContent>
          <mc:Choice Requires="wps">
            <w:drawing>
              <wp:anchor distT="0" distB="0" distL="114300" distR="114300" simplePos="0" relativeHeight="251690496" behindDoc="0" locked="0" layoutInCell="1" allowOverlap="1" wp14:anchorId="5C514D42" wp14:editId="61E449F8">
                <wp:simplePos x="0" y="0"/>
                <wp:positionH relativeFrom="column">
                  <wp:posOffset>-4445</wp:posOffset>
                </wp:positionH>
                <wp:positionV relativeFrom="paragraph">
                  <wp:posOffset>5974715</wp:posOffset>
                </wp:positionV>
                <wp:extent cx="6290945" cy="4445"/>
                <wp:effectExtent l="0" t="0" r="20955" b="20955"/>
                <wp:wrapNone/>
                <wp:docPr id="9" name="Connecteur droit 9"/>
                <wp:cNvGraphicFramePr/>
                <a:graphic xmlns:a="http://schemas.openxmlformats.org/drawingml/2006/main">
                  <a:graphicData uri="http://schemas.microsoft.com/office/word/2010/wordprocessingShape">
                    <wps:wsp>
                      <wps:cNvCnPr/>
                      <wps:spPr>
                        <a:xfrm>
                          <a:off x="0" y="0"/>
                          <a:ext cx="6290945" cy="44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8C4A37" id="Connecteur droit 9" o:spid="_x0000_s1026" style="position:absolute;z-index:251690496;visibility:visible;mso-wrap-style:square;mso-wrap-distance-left:9pt;mso-wrap-distance-top:0;mso-wrap-distance-right:9pt;mso-wrap-distance-bottom:0;mso-position-horizontal:absolute;mso-position-horizontal-relative:text;mso-position-vertical:absolute;mso-position-vertical-relative:text" from="-.35pt,470.45pt" to="495pt,4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" strokecolor="black [3213]"/>
            </w:pict>
          </mc:Fallback>
        </mc:AlternateContent>
      </w:r>
      <w:r w:rsidRPr="00364545">
        <w:rPr>
          <w:noProof/>
          <w:lang w:val="fr-FR"/>
        </w:rPr>
        <mc:AlternateContent>
          <mc:Choice Requires="wps">
            <w:drawing>
              <wp:anchor distT="0" distB="0" distL="114300" distR="114300" simplePos="0" relativeHeight="251685376" behindDoc="0" locked="0" layoutInCell="1" allowOverlap="1" wp14:anchorId="48AC7045" wp14:editId="1A5BD153">
                <wp:simplePos x="0" y="0"/>
                <wp:positionH relativeFrom="column">
                  <wp:posOffset>8255</wp:posOffset>
                </wp:positionH>
                <wp:positionV relativeFrom="paragraph">
                  <wp:posOffset>9372600</wp:posOffset>
                </wp:positionV>
                <wp:extent cx="6299200" cy="0"/>
                <wp:effectExtent l="0" t="0" r="25400" b="19050"/>
                <wp:wrapNone/>
                <wp:docPr id="3" name="Connecteur droit 3"/>
                <wp:cNvGraphicFramePr/>
                <a:graphic xmlns:a="http://schemas.openxmlformats.org/drawingml/2006/main">
                  <a:graphicData uri="http://schemas.microsoft.com/office/word/2010/wordprocessingShape">
                    <wps:wsp>
                      <wps:cNvCnPr/>
                      <wps:spPr>
                        <a:xfrm>
                          <a:off x="0" y="0"/>
                          <a:ext cx="6299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BB0B57" id="Connecteur droit 3" o:spid="_x0000_s1026" style="position:absolute;z-index:251685376;visibility:visible;mso-wrap-style:square;mso-wrap-distance-left:9pt;mso-wrap-distance-top:0;mso-wrap-distance-right:9pt;mso-wrap-distance-bottom:0;mso-position-horizontal:absolute;mso-position-horizontal-relative:text;mso-position-vertical:absolute;mso-position-vertical-relative:text" from=".65pt,738pt" to="496.65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" strokecolor="black [3213]"/>
            </w:pict>
          </mc:Fallback>
        </mc:AlternateContent>
      </w:r>
    </w:p>
    <w:sectPr w:rsidR="003E4D7F" w:rsidRPr="00364545" w:rsidSect="00A8610E">
      <w:pgSz w:w="11906" w:h="16838" w:code="9"/>
      <w:pgMar w:top="1230" w:right="907" w:bottom="1650" w:left="1049" w:header="28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427EA2" w14:textId="77777777" w:rsidR="00FB41BB" w:rsidRDefault="00FB41BB" w:rsidP="00F51D4C">
      <w:r>
        <w:separator/>
      </w:r>
    </w:p>
    <w:p w14:paraId="2500D7DB" w14:textId="77777777" w:rsidR="00FB41BB" w:rsidRDefault="00FB41BB"/>
    <w:p w14:paraId="2C65BF95" w14:textId="77777777" w:rsidR="00FB41BB" w:rsidRDefault="00FB41BB"/>
    <w:p w14:paraId="5673747E" w14:textId="77777777" w:rsidR="00FB41BB" w:rsidRDefault="00FB41BB"/>
  </w:endnote>
  <w:endnote w:type="continuationSeparator" w:id="0">
    <w:p w14:paraId="591B4924" w14:textId="77777777" w:rsidR="00FB41BB" w:rsidRDefault="00FB41BB" w:rsidP="00F51D4C">
      <w:r>
        <w:continuationSeparator/>
      </w:r>
    </w:p>
    <w:p w14:paraId="06D1C365" w14:textId="77777777" w:rsidR="00FB41BB" w:rsidRDefault="00FB41BB"/>
    <w:p w14:paraId="3841C0F3" w14:textId="77777777" w:rsidR="00FB41BB" w:rsidRDefault="00FB41BB"/>
    <w:p w14:paraId="4D93FA27" w14:textId="77777777" w:rsidR="00FB41BB" w:rsidRDefault="00FB41B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arianne">
    <w:altName w:val="Times New Roman"/>
    <w:panose1 w:val="00000000000000000000"/>
    <w:charset w:val="00"/>
    <w:family w:val="modern"/>
    <w:notTrueType/>
    <w:pitch w:val="variable"/>
    <w:sig w:usb0="0000000F" w:usb1="00000000" w:usb2="00000000" w:usb3="00000000" w:csb0="00000003" w:csb1="00000000"/>
  </w:font>
  <w:font w:name="StarSymbol">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Marianne Light">
    <w:altName w:val="Times New Roman"/>
    <w:panose1 w:val="00000000000000000000"/>
    <w:charset w:val="00"/>
    <w:family w:val="modern"/>
    <w:notTrueType/>
    <w:pitch w:val="variable"/>
    <w:sig w:usb0="0000000F"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Marianne Medium">
    <w:altName w:val="Times New Roman"/>
    <w:panose1 w:val="00000000000000000000"/>
    <w:charset w:val="00"/>
    <w:family w:val="modern"/>
    <w:notTrueType/>
    <w:pitch w:val="variable"/>
    <w:sig w:usb0="0000000F"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Liberation Sans;Arial">
    <w:panose1 w:val="00000000000000000000"/>
    <w:charset w:val="00"/>
    <w:family w:val="roman"/>
    <w:notTrueType/>
    <w:pitch w:val="default"/>
  </w:font>
  <w:font w:name="Liberation Serif">
    <w:altName w:val="Times New Roman"/>
    <w:charset w:val="00"/>
    <w:family w:val="roman"/>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Marianne ExtraBold">
    <w:altName w:val="Times New Roman"/>
    <w:panose1 w:val="00000000000000000000"/>
    <w:charset w:val="00"/>
    <w:family w:val="modern"/>
    <w:notTrueType/>
    <w:pitch w:val="variable"/>
    <w:sig w:usb0="0000000F" w:usb1="00000000" w:usb2="00000000" w:usb3="00000000" w:csb0="00000003" w:csb1="00000000"/>
  </w:font>
  <w:font w:name="CIDFont+F1">
    <w:altName w:val="Calibri"/>
    <w:panose1 w:val="00000000000000000000"/>
    <w:charset w:val="00"/>
    <w:family w:val="auto"/>
    <w:notTrueType/>
    <w:pitch w:val="default"/>
    <w:sig w:usb0="00000003" w:usb1="00000000" w:usb2="00000000" w:usb3="00000000" w:csb0="00000001" w:csb1="00000000"/>
  </w:font>
  <w:font w:name="Marianne-Regular">
    <w:altName w:val="Times New Roman"/>
    <w:panose1 w:val="00000000000000000000"/>
    <w:charset w:val="00"/>
    <w:family w:val="auto"/>
    <w:notTrueType/>
    <w:pitch w:val="default"/>
    <w:sig w:usb0="00000003" w:usb1="00000000" w:usb2="00000000" w:usb3="00000000" w:csb0="00000001" w:csb1="00000000"/>
  </w:font>
  <w:font w:name="TrebuchetMS">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428B1" w14:textId="714E7EDA" w:rsidR="00FB41BB" w:rsidRDefault="00FB41BB" w:rsidP="003E4D7F">
    <w:pPr>
      <w:pStyle w:val="Footer"/>
      <w:jc w:val="right"/>
    </w:pPr>
    <w:r>
      <w:rPr>
        <w:noProof/>
        <w:lang w:val="fr-FR" w:eastAsia="fr-FR"/>
      </w:rPr>
      <mc:AlternateContent>
        <mc:Choice Requires="wps">
          <w:drawing>
            <wp:anchor distT="45720" distB="45720" distL="114300" distR="114300" simplePos="0" relativeHeight="251663360" behindDoc="0" locked="0" layoutInCell="1" allowOverlap="1" wp14:anchorId="008060D3" wp14:editId="252D489C">
              <wp:simplePos x="0" y="0"/>
              <wp:positionH relativeFrom="margin">
                <wp:align>left</wp:align>
              </wp:positionH>
              <wp:positionV relativeFrom="paragraph">
                <wp:posOffset>13335</wp:posOffset>
              </wp:positionV>
              <wp:extent cx="4248150" cy="180975"/>
              <wp:effectExtent l="0" t="0" r="0" b="9525"/>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180975"/>
                      </a:xfrm>
                      <a:prstGeom prst="rect">
                        <a:avLst/>
                      </a:prstGeom>
                      <a:solidFill>
                        <a:srgbClr val="FFFFFF"/>
                      </a:solidFill>
                      <a:ln w="9525">
                        <a:noFill/>
                        <a:miter lim="800000"/>
                        <a:headEnd/>
                        <a:tailEnd/>
                      </a:ln>
                    </wps:spPr>
                    <wps:txbx>
                      <w:txbxContent>
                        <w:p w14:paraId="22569C69" w14:textId="51C31B2D" w:rsidR="00FB41BB" w:rsidRPr="009C6A8D" w:rsidRDefault="00FB41BB">
                          <w:pPr>
                            <w:rPr>
                              <w:rFonts w:cs="Arial"/>
                              <w:sz w:val="16"/>
                              <w:szCs w:val="16"/>
                            </w:rPr>
                          </w:pPr>
                          <w:r>
                            <w:rPr>
                              <w:sz w:val="16"/>
                            </w:rPr>
                            <w:t>Eighth National Communication from France to the UNFCCC ǀ December 2022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8060D3" id="_x0000_t202" coordsize="21600,21600" o:spt="202" path="m,l,21600r21600,l21600,xe">
              <v:stroke joinstyle="miter"/>
              <v:path gradientshapeok="t" o:connecttype="rect"/>
            </v:shapetype>
            <v:shape id="_x0000_s1028" type="#_x0000_t202" style="position:absolute;left:0;text-align:left;margin-left:0;margin-top:1.05pt;width:334.5pt;height:14.25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" stroked="f">
              <v:textbox inset="0,0,0,0">
                <w:txbxContent>
                  <w:p w14:paraId="22569C69" w14:textId="51C31B2D" w:rsidR="00FB41BB" w:rsidRPr="009C6A8D" w:rsidRDefault="00FB41BB">
                    <w:pPr>
                      <w:rPr>
                        <w:rFonts w:cs="Arial"/>
                        <w:sz w:val="16"/>
                        <w:szCs w:val="16"/>
                      </w:rPr>
                    </w:pPr>
                    <w:r>
                      <w:rPr>
                        <w:sz w:val="16"/>
                      </w:rPr>
                      <w:t>Eighth National Communication from France to the UNFCCC ǀ December 2022</w:t>
                    </w:r>
                  </w:p>
                </w:txbxContent>
              </v:textbox>
              <w10:wrap anchorx="margin"/>
            </v:shape>
          </w:pict>
        </mc:Fallback>
      </mc:AlternateContent>
    </w:r>
    <w:sdt>
      <w:sdtPr>
        <w:id w:val="-1550528615"/>
        <w:docPartObj>
          <w:docPartGallery w:val="Page Numbers (Bottom of Page)"/>
          <w:docPartUnique/>
        </w:docPartObj>
      </w:sdtPr>
      <w:sdtEndPr/>
      <w:sdtContent>
        <w:r>
          <w:fldChar w:fldCharType="begin"/>
        </w:r>
        <w:r>
          <w:instrText>PAGE   \* MERGEFORMAT</w:instrText>
        </w:r>
        <w:r>
          <w:fldChar w:fldCharType="separate"/>
        </w:r>
        <w:r w:rsidR="000D1437">
          <w:rPr>
            <w:noProof/>
          </w:rPr>
          <w:t>64</w:t>
        </w:r>
        <w:r>
          <w:fldChar w:fldCharType="end"/>
        </w:r>
      </w:sdtContent>
    </w:sdt>
  </w:p>
  <w:p w14:paraId="7419CAEA" w14:textId="77777777" w:rsidR="00FB41BB" w:rsidRDefault="00FB41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F7D33C" w14:textId="77777777" w:rsidR="00FB41BB" w:rsidRDefault="00FB41BB" w:rsidP="00F51D4C">
      <w:r>
        <w:separator/>
      </w:r>
    </w:p>
    <w:p w14:paraId="3E6F5B32" w14:textId="77777777" w:rsidR="00FB41BB" w:rsidRDefault="00FB41BB"/>
    <w:p w14:paraId="510A620F" w14:textId="77777777" w:rsidR="00FB41BB" w:rsidRDefault="00FB41BB"/>
    <w:p w14:paraId="1660B70A" w14:textId="77777777" w:rsidR="00FB41BB" w:rsidRDefault="00FB41BB"/>
  </w:footnote>
  <w:footnote w:type="continuationSeparator" w:id="0">
    <w:p w14:paraId="0C15A283" w14:textId="77777777" w:rsidR="00FB41BB" w:rsidRDefault="00FB41BB" w:rsidP="00F51D4C">
      <w:r>
        <w:continuationSeparator/>
      </w:r>
    </w:p>
    <w:p w14:paraId="3508362F" w14:textId="77777777" w:rsidR="00FB41BB" w:rsidRDefault="00FB41BB"/>
    <w:p w14:paraId="17138491" w14:textId="77777777" w:rsidR="00FB41BB" w:rsidRDefault="00FB41BB"/>
    <w:p w14:paraId="62D159D5" w14:textId="77777777" w:rsidR="00FB41BB" w:rsidRDefault="00FB41BB"/>
  </w:footnote>
  <w:footnote w:id="1">
    <w:p w14:paraId="33C62579" w14:textId="77777777" w:rsidR="00FB41BB" w:rsidRDefault="00FB41BB" w:rsidP="00133BB6">
      <w:pPr>
        <w:pStyle w:val="FootnoteText"/>
      </w:pPr>
      <w:r>
        <w:rPr>
          <w:rStyle w:val="FootnoteReference"/>
        </w:rPr>
        <w:footnoteRef/>
      </w:r>
      <w:r>
        <w:t xml:space="preserve"> </w:t>
      </w:r>
      <w:hyperlink r:id="rId1" w:history="1">
        <w:r>
          <w:rPr>
            <w:rStyle w:val="Hyperlink"/>
          </w:rPr>
          <w:t>https://www.legifrance.gouv.fr/loda/id/JORFTEXT000024556265/</w:t>
        </w:r>
      </w:hyperlink>
    </w:p>
  </w:footnote>
  <w:footnote w:id="2">
    <w:p w14:paraId="7B90DFD9" w14:textId="38548AD6" w:rsidR="00FB41BB" w:rsidRDefault="00FB41BB">
      <w:pPr>
        <w:pStyle w:val="FootnoteText"/>
      </w:pPr>
      <w:r>
        <w:rPr>
          <w:rStyle w:val="FootnoteReference"/>
        </w:rPr>
        <w:footnoteRef/>
      </w:r>
      <w:r>
        <w:t xml:space="preserve"> Source: AFD Group Climate Report 2021</w:t>
      </w:r>
    </w:p>
  </w:footnote>
  <w:footnote w:id="3">
    <w:p w14:paraId="6979E100" w14:textId="1A0D9796" w:rsidR="00FB41BB" w:rsidRDefault="00FB41BB">
      <w:pPr>
        <w:pStyle w:val="FootnoteText"/>
      </w:pPr>
      <w:r>
        <w:rPr>
          <w:rStyle w:val="FootnoteReference"/>
        </w:rPr>
        <w:footnoteRef/>
      </w:r>
      <w:r>
        <w:t xml:space="preserve"> The replenishment took place in autumn 2019, but the period started in 2020 for 4 years up to 2023</w:t>
      </w:r>
    </w:p>
  </w:footnote>
  <w:footnote w:id="4">
    <w:p w14:paraId="1C2341BC" w14:textId="59B10609" w:rsidR="00FB41BB" w:rsidRDefault="00FB41BB">
      <w:pPr>
        <w:pStyle w:val="FootnoteText"/>
      </w:pPr>
      <w:r>
        <w:rPr>
          <w:rStyle w:val="FootnoteReference"/>
        </w:rPr>
        <w:footnoteRef/>
      </w:r>
      <w:r>
        <w:t xml:space="preserve"> USA, Japan, Canada and Sweden</w:t>
      </w:r>
    </w:p>
  </w:footnote>
  <w:footnote w:id="5">
    <w:p w14:paraId="687E8099" w14:textId="77777777" w:rsidR="00FB41BB" w:rsidRDefault="00FB41BB" w:rsidP="00501FA3">
      <w:pPr>
        <w:pStyle w:val="FootnoteText"/>
      </w:pPr>
      <w:r>
        <w:rPr>
          <w:rStyle w:val="FootnoteReference"/>
        </w:rPr>
        <w:footnoteRef/>
      </w:r>
      <w:r>
        <w:t xml:space="preserve"> </w:t>
      </w:r>
      <w:hyperlink r:id="rId2" w:history="1">
        <w:r>
          <w:rPr>
            <w:rStyle w:val="Hyperlink"/>
          </w:rPr>
          <w:t>https://www2.assemblee-nationale.fr/decouvrir-l-assemblee/role-et-pouvoirs-de-l-assemblee-nationale/les-institutions-francaises-generalites/l-organisation-territoriale-de-la-france</w:t>
        </w:r>
      </w:hyperlink>
    </w:p>
  </w:footnote>
  <w:footnote w:id="6">
    <w:p w14:paraId="5818598D" w14:textId="77777777" w:rsidR="00FB41BB" w:rsidRPr="004F2995" w:rsidRDefault="00FB41BB" w:rsidP="00501FA3">
      <w:pPr>
        <w:pStyle w:val="FootnoteText"/>
        <w:rPr>
          <w:lang w:val="fr-FR"/>
        </w:rPr>
      </w:pPr>
      <w:r>
        <w:rPr>
          <w:rStyle w:val="FootnoteReference"/>
        </w:rPr>
        <w:footnoteRef/>
      </w:r>
      <w:r>
        <w:t xml:space="preserve"> This new map includes the merged regions: Alsace, Champagne-Ardenne and Lorraine; Aquitaine, Limousin and Poitou-Charentes; Auvergne and Rhône-Alpes; Burgundy and Franche Comté; Languedoc-Roussillon and Midi-Pyrénées; Nord-Pas-de-Calais and Picardie; Basse-Normandie and Haute-Normandie. </w:t>
      </w:r>
      <w:r w:rsidRPr="004F2995">
        <w:rPr>
          <w:lang w:val="fr-FR"/>
        </w:rPr>
        <w:t>6 regions remain unchanged: Brittany, Centre, Île-de-France, Pays de la Loire, Provence-Alpes-Côte d'Azur</w:t>
      </w:r>
    </w:p>
  </w:footnote>
  <w:footnote w:id="7">
    <w:p w14:paraId="39306C9C" w14:textId="77777777" w:rsidR="00FB41BB" w:rsidRPr="004F2995" w:rsidRDefault="00FB41BB" w:rsidP="00501FA3">
      <w:pPr>
        <w:pStyle w:val="FootnoteText"/>
        <w:rPr>
          <w:lang w:val="fr-FR"/>
        </w:rPr>
      </w:pPr>
      <w:r>
        <w:rPr>
          <w:rStyle w:val="FootnoteReference"/>
        </w:rPr>
        <w:footnoteRef/>
      </w:r>
      <w:r w:rsidRPr="004F2995">
        <w:rPr>
          <w:lang w:val="fr-FR"/>
        </w:rPr>
        <w:t xml:space="preserve"> </w:t>
      </w:r>
      <w:hyperlink r:id="rId3" w:history="1">
        <w:r w:rsidRPr="004F2995">
          <w:rPr>
            <w:rStyle w:val="Hyperlink"/>
            <w:lang w:val="fr-FR"/>
          </w:rPr>
          <w:t>https://www.insee.fr/fr/statistiques/2496716?sommaire=2496793</w:t>
        </w:r>
      </w:hyperlink>
    </w:p>
  </w:footnote>
  <w:footnote w:id="8">
    <w:p w14:paraId="11C37637" w14:textId="77777777" w:rsidR="00FB41BB" w:rsidRPr="004F2995" w:rsidRDefault="00FB41BB" w:rsidP="00501FA3">
      <w:pPr>
        <w:pStyle w:val="FootnoteText"/>
        <w:rPr>
          <w:lang w:val="fr-FR"/>
        </w:rPr>
      </w:pPr>
      <w:r>
        <w:rPr>
          <w:rStyle w:val="FootnoteReference"/>
        </w:rPr>
        <w:footnoteRef/>
      </w:r>
      <w:r w:rsidRPr="004F2995">
        <w:rPr>
          <w:lang w:val="fr-FR"/>
        </w:rPr>
        <w:t xml:space="preserve"> </w:t>
      </w:r>
      <w:hyperlink r:id="rId4" w:history="1">
        <w:r w:rsidRPr="004F2995">
          <w:rPr>
            <w:rStyle w:val="Hyperlink"/>
            <w:lang w:val="fr-FR"/>
          </w:rPr>
          <w:t>https://artificialisation.developpement-durable.gouv.fr/bases-donnees/teruti-lucas</w:t>
        </w:r>
      </w:hyperlink>
    </w:p>
  </w:footnote>
  <w:footnote w:id="9">
    <w:p w14:paraId="5D2B956E" w14:textId="77777777" w:rsidR="00FB41BB" w:rsidRPr="004F2995" w:rsidRDefault="00FB41BB" w:rsidP="00D15C46">
      <w:pPr>
        <w:pStyle w:val="FootnoteText"/>
        <w:rPr>
          <w:lang w:val="fr-FR"/>
        </w:rPr>
      </w:pPr>
      <w:r>
        <w:rPr>
          <w:rStyle w:val="FootnoteReference"/>
        </w:rPr>
        <w:footnoteRef/>
      </w:r>
      <w:r w:rsidRPr="004F2995">
        <w:rPr>
          <w:lang w:val="fr-FR"/>
        </w:rPr>
        <w:t xml:space="preserve"> https://www.ign.fr/reperes/la-foret-en-france-portrait-robot</w:t>
      </w:r>
    </w:p>
  </w:footnote>
  <w:footnote w:id="10">
    <w:p w14:paraId="6C108B8D" w14:textId="77777777" w:rsidR="00FB41BB" w:rsidRPr="004F2995" w:rsidRDefault="00FB41BB" w:rsidP="00D15C46">
      <w:pPr>
        <w:pStyle w:val="FootnoteText"/>
        <w:rPr>
          <w:lang w:val="fr-FR"/>
        </w:rPr>
      </w:pPr>
      <w:r>
        <w:rPr>
          <w:rStyle w:val="FootnoteReference"/>
        </w:rPr>
        <w:footnoteRef/>
      </w:r>
      <w:r w:rsidRPr="004F2995">
        <w:rPr>
          <w:lang w:val="fr-FR"/>
        </w:rPr>
        <w:t xml:space="preserve"> https://inventaire-forestier.ign.fr/IMG/pdf/memento_2021.pdf</w:t>
      </w:r>
    </w:p>
  </w:footnote>
  <w:footnote w:id="11">
    <w:p w14:paraId="51C6A452" w14:textId="77A6669E" w:rsidR="00FB41BB" w:rsidRPr="004F2995" w:rsidRDefault="00FB41BB" w:rsidP="00D15C46">
      <w:pPr>
        <w:pStyle w:val="FootnoteText"/>
        <w:rPr>
          <w:lang w:val="fr-FR"/>
        </w:rPr>
      </w:pPr>
      <w:r>
        <w:rPr>
          <w:rStyle w:val="FootnoteReference"/>
        </w:rPr>
        <w:footnoteRef/>
      </w:r>
      <w:r w:rsidRPr="004F2995">
        <w:rPr>
          <w:lang w:val="fr-FR"/>
        </w:rPr>
        <w:t>https://www.cnpf.fr/le-cnpf-et-la-foret-privee/la-foret-et-les-proprietaires-forestiers/les-chiffres-cles-de-la-foret</w:t>
      </w:r>
    </w:p>
  </w:footnote>
  <w:footnote w:id="12">
    <w:p w14:paraId="4C9AC09E" w14:textId="6AC0C556" w:rsidR="00FB41BB" w:rsidRPr="004F2995" w:rsidRDefault="00FB41BB" w:rsidP="00D15C46">
      <w:pPr>
        <w:pStyle w:val="FootnoteText"/>
        <w:rPr>
          <w:lang w:val="fr-FR"/>
        </w:rPr>
      </w:pPr>
      <w:r>
        <w:rPr>
          <w:rStyle w:val="FootnoteReference"/>
        </w:rPr>
        <w:footnoteRef/>
      </w:r>
      <w:r w:rsidRPr="004F2995">
        <w:rPr>
          <w:lang w:val="fr-FR"/>
        </w:rPr>
        <w:t xml:space="preserve"> https://www.fcba.fr/wp-content/uploads/2022/11/Memento-2022-WEB.pdf</w:t>
      </w:r>
    </w:p>
  </w:footnote>
  <w:footnote w:id="13">
    <w:p w14:paraId="67DC5DA4" w14:textId="77777777" w:rsidR="00FB41BB" w:rsidRPr="004F2995" w:rsidRDefault="00FB41BB" w:rsidP="00D15C46">
      <w:pPr>
        <w:pStyle w:val="FootnoteText"/>
        <w:rPr>
          <w:lang w:val="fr-FR"/>
        </w:rPr>
      </w:pPr>
      <w:r>
        <w:rPr>
          <w:rStyle w:val="FootnoteReference"/>
        </w:rPr>
        <w:footnoteRef/>
      </w:r>
      <w:r w:rsidRPr="004F2995">
        <w:rPr>
          <w:lang w:val="fr-FR"/>
        </w:rPr>
        <w:t xml:space="preserve"> https://agreste.agriculture.gouv.fr/agreste-web/disaron/SynBoi22390/detail/</w:t>
      </w:r>
    </w:p>
  </w:footnote>
  <w:footnote w:id="14">
    <w:p w14:paraId="520C7559" w14:textId="77777777" w:rsidR="00FB41BB" w:rsidRDefault="00FB41BB" w:rsidP="00977B34">
      <w:pPr>
        <w:pStyle w:val="FootnoteText"/>
      </w:pPr>
      <w:r>
        <w:rPr>
          <w:rStyle w:val="FootnoteReference"/>
        </w:rPr>
        <w:footnoteRef/>
      </w:r>
      <w:r>
        <w:t xml:space="preserve"> Forest growth, timber harvesting, mortality, natural disturbances and land use change</w:t>
      </w:r>
    </w:p>
  </w:footnote>
  <w:footnote w:id="15">
    <w:p w14:paraId="42FEC447" w14:textId="77777777" w:rsidR="00FB41BB" w:rsidRDefault="00FB41BB" w:rsidP="00977B34">
      <w:pPr>
        <w:pStyle w:val="FootnoteText"/>
      </w:pPr>
      <w:r>
        <w:rPr>
          <w:rStyle w:val="FootnoteReference"/>
        </w:rPr>
        <w:footnoteRef/>
      </w:r>
      <w:r>
        <w:t xml:space="preserve"> France’s National Inventory Report ‘NIR 2022’ contains extensive additional information. See in particular Chapter 1.2 on page 45: </w:t>
      </w:r>
      <w:hyperlink r:id="rId5" w:history="1">
        <w:r>
          <w:rPr>
            <w:rStyle w:val="Hyperlink"/>
          </w:rPr>
          <w:t>https://unfccc.int/documents/461899</w:t>
        </w:r>
      </w:hyperlink>
    </w:p>
  </w:footnote>
  <w:footnote w:id="16">
    <w:p w14:paraId="42BCB5AE" w14:textId="77777777" w:rsidR="00FB41BB" w:rsidRDefault="00FB41BB" w:rsidP="00977B34">
      <w:pPr>
        <w:pStyle w:val="FootnoteText"/>
      </w:pPr>
      <w:r>
        <w:rPr>
          <w:rStyle w:val="FootnoteReference"/>
        </w:rPr>
        <w:footnoteRef/>
      </w:r>
      <w:r>
        <w:t xml:space="preserve"> </w:t>
      </w:r>
      <w:hyperlink r:id="rId6" w:history="1">
        <w:r>
          <w:rPr>
            <w:rStyle w:val="Hyperlink"/>
          </w:rPr>
          <w:t>https://www.legifrance.gouv.fr/loda/id/JORFTEXT000024556265/</w:t>
        </w:r>
      </w:hyperlink>
    </w:p>
  </w:footnote>
  <w:footnote w:id="17">
    <w:p w14:paraId="5C929E8A" w14:textId="77777777" w:rsidR="00FB41BB" w:rsidRDefault="00FB41BB" w:rsidP="00977B34">
      <w:pPr>
        <w:pStyle w:val="FootnoteText"/>
      </w:pPr>
      <w:r>
        <w:rPr>
          <w:rStyle w:val="FootnoteReference"/>
        </w:rPr>
        <w:footnoteRef/>
      </w:r>
      <w:r>
        <w:t xml:space="preserve"> </w:t>
      </w:r>
      <w:hyperlink r:id="rId7" w:history="1">
        <w:r>
          <w:rPr>
            <w:rStyle w:val="Hyperlink"/>
          </w:rPr>
          <w:t>https://www.citepa.org/fr/</w:t>
        </w:r>
      </w:hyperlink>
    </w:p>
  </w:footnote>
  <w:footnote w:id="18">
    <w:p w14:paraId="7FD8F529" w14:textId="77777777" w:rsidR="00FB41BB" w:rsidRPr="004B7F51" w:rsidRDefault="00FB41BB" w:rsidP="00977B34">
      <w:pPr>
        <w:pStyle w:val="FootnoteText"/>
        <w:rPr>
          <w:rFonts w:ascii="Arial" w:hAnsi="Arial"/>
          <w:sz w:val="18"/>
          <w:szCs w:val="18"/>
        </w:rPr>
      </w:pPr>
      <w:r>
        <w:rPr>
          <w:rStyle w:val="FootnoteReference"/>
          <w:rFonts w:ascii="Arial" w:hAnsi="Arial"/>
          <w:sz w:val="18"/>
          <w:szCs w:val="18"/>
        </w:rPr>
        <w:footnoteRef/>
      </w:r>
      <w:r>
        <w:rPr>
          <w:rFonts w:ascii="Arial" w:hAnsi="Arial"/>
          <w:sz w:val="18"/>
        </w:rPr>
        <w:t xml:space="preserve"> VESUVE: Verification and monitoring of the inventory's records</w:t>
      </w:r>
    </w:p>
  </w:footnote>
  <w:footnote w:id="19">
    <w:p w14:paraId="41422EB7" w14:textId="77777777" w:rsidR="00FB41BB" w:rsidRPr="006452CA" w:rsidRDefault="00FB41BB" w:rsidP="00977B34">
      <w:pPr>
        <w:pStyle w:val="FootnoteText"/>
        <w:rPr>
          <w:rFonts w:ascii="Arial" w:hAnsi="Arial"/>
          <w:sz w:val="18"/>
          <w:szCs w:val="18"/>
        </w:rPr>
      </w:pPr>
      <w:r>
        <w:rPr>
          <w:rStyle w:val="FootnoteReference"/>
          <w:rFonts w:ascii="Arial" w:hAnsi="Arial"/>
          <w:sz w:val="18"/>
          <w:szCs w:val="18"/>
        </w:rPr>
        <w:footnoteRef/>
      </w:r>
      <w:r>
        <w:rPr>
          <w:rFonts w:ascii="Arial" w:hAnsi="Arial"/>
          <w:sz w:val="18"/>
        </w:rPr>
        <w:t xml:space="preserve"> IQSN: Integrated Quality System Network</w:t>
      </w:r>
    </w:p>
  </w:footnote>
  <w:footnote w:id="20">
    <w:p w14:paraId="47F0E0EC" w14:textId="7FB7A991" w:rsidR="00FB41BB" w:rsidRDefault="00FB41BB" w:rsidP="009A642D">
      <w:pPr>
        <w:autoSpaceDE w:val="0"/>
        <w:autoSpaceDN w:val="0"/>
        <w:adjustRightInd w:val="0"/>
      </w:pPr>
      <w:r>
        <w:rPr>
          <w:rStyle w:val="FootnoteReference"/>
        </w:rPr>
        <w:footnoteRef/>
      </w:r>
      <w:r>
        <w:t xml:space="preserve"> </w:t>
      </w:r>
      <w:hyperlink r:id="rId8" w:history="1">
        <w:r>
          <w:rPr>
            <w:rStyle w:val="Hyperlink"/>
            <w:rFonts w:asciiTheme="majorHAnsi" w:hAnsiTheme="majorHAnsi"/>
            <w:sz w:val="16"/>
            <w:u w:val="none"/>
          </w:rPr>
          <w:t>https://www.legifrance.gouv.fr/affichCodeArticle.do?cidTexte=LEGITEXT000006074220&amp;idArticle=LEGIARTI000022476854&amp;</w:t>
        </w:r>
      </w:hyperlink>
      <w:r>
        <w:rPr>
          <w:rFonts w:asciiTheme="majorHAnsi" w:hAnsiTheme="majorHAnsi"/>
          <w:sz w:val="16"/>
        </w:rPr>
        <w:t xml:space="preserve"> dateTexte=&amp;categorieLien=cid</w:t>
      </w:r>
    </w:p>
  </w:footnote>
  <w:footnote w:id="21">
    <w:p w14:paraId="2C1DDB7D" w14:textId="77777777" w:rsidR="00FB41BB" w:rsidRPr="00052DCE" w:rsidRDefault="00FB41BB" w:rsidP="00A47B71">
      <w:pPr>
        <w:pStyle w:val="FootnoteText"/>
        <w:rPr>
          <w:sz w:val="16"/>
          <w:szCs w:val="16"/>
        </w:rPr>
      </w:pPr>
      <w:r>
        <w:rPr>
          <w:rStyle w:val="FootnoteReference"/>
          <w:sz w:val="16"/>
          <w:szCs w:val="16"/>
        </w:rPr>
        <w:footnoteRef/>
      </w:r>
      <w:r>
        <w:rPr>
          <w:sz w:val="16"/>
        </w:rPr>
        <w:t xml:space="preserve"> https://www.ecologie.gouv.fr/suivi-strategie-nationale-bas-carbone</w:t>
      </w:r>
    </w:p>
  </w:footnote>
  <w:footnote w:id="22">
    <w:p w14:paraId="7D0BFE15" w14:textId="5BD9137C" w:rsidR="00FB41BB" w:rsidRDefault="00FB41BB">
      <w:pPr>
        <w:pStyle w:val="FootnoteText"/>
      </w:pPr>
      <w:r>
        <w:rPr>
          <w:rStyle w:val="FootnoteReference"/>
          <w:sz w:val="16"/>
          <w:szCs w:val="16"/>
        </w:rPr>
        <w:footnoteRef/>
      </w:r>
      <w:r>
        <w:rPr>
          <w:sz w:val="16"/>
        </w:rPr>
        <w:t xml:space="preserve"> </w:t>
      </w:r>
      <w:hyperlink r:id="rId9" w:history="1">
        <w:r>
          <w:rPr>
            <w:rStyle w:val="Hyperlink"/>
            <w:sz w:val="16"/>
          </w:rPr>
          <w:t>https://www.ecologie.gouv.fr/rapportages-climat-france</w:t>
        </w:r>
      </w:hyperlink>
    </w:p>
  </w:footnote>
  <w:footnote w:id="23">
    <w:p w14:paraId="3D4C1A57" w14:textId="77777777" w:rsidR="00FB41BB" w:rsidRPr="004F2995" w:rsidRDefault="00FB41BB" w:rsidP="00A5513E">
      <w:pPr>
        <w:pStyle w:val="FootnoteText"/>
        <w:rPr>
          <w:sz w:val="16"/>
          <w:szCs w:val="16"/>
          <w:lang w:val="fr-FR"/>
        </w:rPr>
      </w:pPr>
      <w:r>
        <w:rPr>
          <w:rStyle w:val="FootnoteReference"/>
          <w:sz w:val="16"/>
          <w:szCs w:val="16"/>
        </w:rPr>
        <w:footnoteRef/>
      </w:r>
      <w:r w:rsidRPr="004F2995">
        <w:rPr>
          <w:sz w:val="16"/>
          <w:lang w:val="fr-FR"/>
        </w:rPr>
        <w:t xml:space="preserve"> Citepa, June 2022. Inventaire des émissions de polluants atmosphériques et de gaz à effet de serre en France –</w:t>
      </w:r>
    </w:p>
    <w:p w14:paraId="2B9B47A9" w14:textId="77777777" w:rsidR="00FB41BB" w:rsidRPr="004F2995" w:rsidRDefault="00FB41BB" w:rsidP="00A5513E">
      <w:pPr>
        <w:pStyle w:val="FootnoteText"/>
        <w:rPr>
          <w:sz w:val="16"/>
          <w:szCs w:val="16"/>
          <w:lang w:val="fr-FR"/>
        </w:rPr>
      </w:pPr>
      <w:r w:rsidRPr="004F2995">
        <w:rPr>
          <w:sz w:val="16"/>
          <w:lang w:val="fr-FR"/>
        </w:rPr>
        <w:t>Format Secten.</w:t>
      </w:r>
    </w:p>
  </w:footnote>
  <w:footnote w:id="24">
    <w:p w14:paraId="687E3E4B" w14:textId="3F004BBD" w:rsidR="00FB41BB" w:rsidRPr="004F2995" w:rsidRDefault="00FB41BB">
      <w:pPr>
        <w:pStyle w:val="FootnoteText"/>
        <w:rPr>
          <w:lang w:val="fr-FR"/>
        </w:rPr>
      </w:pPr>
      <w:r>
        <w:rPr>
          <w:rStyle w:val="FootnoteReference"/>
        </w:rPr>
        <w:footnoteRef/>
      </w:r>
      <w:r w:rsidRPr="004F2995">
        <w:rPr>
          <w:lang w:val="fr-FR"/>
        </w:rPr>
        <w:t xml:space="preserve"> </w:t>
      </w:r>
      <w:hyperlink r:id="rId10" w:history="1">
        <w:r w:rsidRPr="004F2995">
          <w:rPr>
            <w:rStyle w:val="Hyperlink"/>
            <w:lang w:val="fr-FR"/>
          </w:rPr>
          <w:t>https://www.legifrance.gouv.fr/jorf/id/JORFTEXT000038812251</w:t>
        </w:r>
      </w:hyperlink>
    </w:p>
  </w:footnote>
  <w:footnote w:id="25">
    <w:p w14:paraId="7F18DFE1" w14:textId="77777777" w:rsidR="00FB41BB" w:rsidRPr="004F2995" w:rsidRDefault="00FB41BB" w:rsidP="00A5513E">
      <w:pPr>
        <w:pStyle w:val="FootnoteText"/>
        <w:rPr>
          <w:sz w:val="16"/>
          <w:szCs w:val="16"/>
          <w:lang w:val="fr-FR"/>
        </w:rPr>
      </w:pPr>
      <w:r>
        <w:rPr>
          <w:rStyle w:val="FootnoteReference"/>
        </w:rPr>
        <w:footnoteRef/>
      </w:r>
      <w:r w:rsidRPr="004F2995">
        <w:rPr>
          <w:sz w:val="16"/>
          <w:lang w:val="fr-FR"/>
        </w:rPr>
        <w:t xml:space="preserve"> Citepa, June 2022. Inventaire des émissions de polluants atmosphériques et de gaz à effet de serre en France –</w:t>
      </w:r>
    </w:p>
    <w:p w14:paraId="7851B17F" w14:textId="77777777" w:rsidR="00FB41BB" w:rsidRPr="004F2995" w:rsidRDefault="00FB41BB" w:rsidP="00A5513E">
      <w:pPr>
        <w:pStyle w:val="FootnoteText"/>
        <w:rPr>
          <w:lang w:val="fr-FR"/>
        </w:rPr>
      </w:pPr>
      <w:r w:rsidRPr="004F2995">
        <w:rPr>
          <w:sz w:val="16"/>
          <w:lang w:val="fr-FR"/>
        </w:rPr>
        <w:t>Format Secten.</w:t>
      </w:r>
    </w:p>
  </w:footnote>
  <w:footnote w:id="26">
    <w:p w14:paraId="71135197" w14:textId="77777777" w:rsidR="00FB41BB" w:rsidRPr="004F2995" w:rsidRDefault="00FB41BB" w:rsidP="00A5513E">
      <w:pPr>
        <w:pStyle w:val="CommentText"/>
        <w:rPr>
          <w:lang w:val="fr-FR"/>
        </w:rPr>
      </w:pPr>
      <w:r>
        <w:rPr>
          <w:rStyle w:val="FootnoteReference"/>
        </w:rPr>
        <w:footnoteRef/>
      </w:r>
      <w:r w:rsidRPr="004F2995">
        <w:rPr>
          <w:lang w:val="fr-FR"/>
        </w:rPr>
        <w:t xml:space="preserve"> </w:t>
      </w:r>
      <w:hyperlink r:id="rId11" w:history="1">
        <w:r w:rsidRPr="004F2995">
          <w:rPr>
            <w:rStyle w:val="Hyperlink"/>
            <w:sz w:val="16"/>
            <w:lang w:val="fr-FR"/>
          </w:rPr>
          <w:t>https://eur-lex.europa.eu/legal-content/FR/TXT/PDF/?uri=CELEX:32019R0807&amp;from=EN</w:t>
        </w:r>
      </w:hyperlink>
    </w:p>
    <w:p w14:paraId="0D2E02D2" w14:textId="77777777" w:rsidR="00FB41BB" w:rsidRPr="004F2995" w:rsidRDefault="00FB41BB" w:rsidP="00A5513E">
      <w:pPr>
        <w:pStyle w:val="FootnoteText"/>
        <w:rPr>
          <w:lang w:val="fr-FR"/>
        </w:rPr>
      </w:pPr>
    </w:p>
  </w:footnote>
  <w:footnote w:id="27">
    <w:p w14:paraId="49ECE8C2" w14:textId="77777777" w:rsidR="00FB41BB" w:rsidRPr="004F2995" w:rsidRDefault="00FB41BB" w:rsidP="00426FA6">
      <w:pPr>
        <w:pStyle w:val="FootnoteText"/>
        <w:rPr>
          <w:lang w:val="fr-FR"/>
        </w:rPr>
      </w:pPr>
      <w:r>
        <w:rPr>
          <w:rStyle w:val="FootnoteReference"/>
          <w:sz w:val="16"/>
          <w:szCs w:val="16"/>
        </w:rPr>
        <w:footnoteRef/>
      </w:r>
      <w:r w:rsidRPr="004F2995">
        <w:rPr>
          <w:sz w:val="16"/>
          <w:lang w:val="fr-FR"/>
        </w:rPr>
        <w:t xml:space="preserve"> https://agriculture.gouv.fr/telecharger/118602</w:t>
      </w:r>
    </w:p>
  </w:footnote>
  <w:footnote w:id="28">
    <w:p w14:paraId="20AA30CC" w14:textId="77777777" w:rsidR="00FB41BB" w:rsidRPr="004F2995" w:rsidRDefault="00FB41BB" w:rsidP="00426FA6">
      <w:pPr>
        <w:pStyle w:val="FootnoteText"/>
        <w:rPr>
          <w:lang w:val="fr-FR"/>
        </w:rPr>
      </w:pPr>
      <w:r>
        <w:rPr>
          <w:rStyle w:val="FootnoteReference"/>
        </w:rPr>
        <w:footnoteRef/>
      </w:r>
      <w:r w:rsidRPr="004F2995">
        <w:rPr>
          <w:lang w:val="fr-FR"/>
        </w:rPr>
        <w:t xml:space="preserve"> https://www.gouvernement.fr/action/le-grand-plan-d-investissement-2018-2022</w:t>
      </w:r>
    </w:p>
  </w:footnote>
  <w:footnote w:id="29">
    <w:p w14:paraId="3C1EBF2D" w14:textId="77777777" w:rsidR="00FB41BB" w:rsidRPr="004F2995" w:rsidRDefault="00FB41BB" w:rsidP="00426FA6">
      <w:pPr>
        <w:pStyle w:val="FootnoteText"/>
        <w:rPr>
          <w:lang w:val="fr-FR"/>
        </w:rPr>
      </w:pPr>
      <w:r>
        <w:rPr>
          <w:rStyle w:val="FootnoteReference"/>
        </w:rPr>
        <w:footnoteRef/>
      </w:r>
      <w:r w:rsidRPr="004F2995">
        <w:rPr>
          <w:lang w:val="fr-FR"/>
        </w:rPr>
        <w:t>https://draaf.grand-est.agriculture.gouv.fr/IMG/pdf/20180920-GPI-Presentation_Grand_Est_cle068139.pdf</w:t>
      </w:r>
    </w:p>
  </w:footnote>
  <w:footnote w:id="30">
    <w:p w14:paraId="0298FC9D" w14:textId="77777777" w:rsidR="00FB41BB" w:rsidRPr="004F2995" w:rsidRDefault="00FB41BB" w:rsidP="00426FA6">
      <w:pPr>
        <w:pStyle w:val="FootnoteText"/>
        <w:rPr>
          <w:lang w:val="fr-FR"/>
        </w:rPr>
      </w:pPr>
      <w:r>
        <w:rPr>
          <w:rStyle w:val="FootnoteReference"/>
          <w:rFonts w:eastAsiaTheme="majorEastAsia"/>
        </w:rPr>
        <w:footnoteRef/>
      </w:r>
      <w:r w:rsidRPr="004F2995">
        <w:rPr>
          <w:lang w:val="fr-FR"/>
        </w:rPr>
        <w:t xml:space="preserve"> </w:t>
      </w:r>
      <w:hyperlink r:id="rId12" w:history="1">
        <w:r w:rsidRPr="004F2995">
          <w:rPr>
            <w:rStyle w:val="Hyperlink"/>
            <w:lang w:val="fr-FR"/>
          </w:rPr>
          <w:t>https://agriculture.gouv.fr/tous-les-travaux-autour-des-3-thematiques-du-varenne-agricole-de-leau-et-de-ladaptation-au</w:t>
        </w:r>
      </w:hyperlink>
      <w:r w:rsidRPr="004F2995">
        <w:rPr>
          <w:lang w:val="fr-FR"/>
        </w:rPr>
        <w:t xml:space="preserve"> </w:t>
      </w:r>
    </w:p>
  </w:footnote>
  <w:footnote w:id="31">
    <w:p w14:paraId="35D8D8EC" w14:textId="77777777" w:rsidR="00FB41BB" w:rsidRPr="004F2995" w:rsidRDefault="00FB41BB" w:rsidP="00426FA6">
      <w:pPr>
        <w:pStyle w:val="FootnoteText"/>
        <w:rPr>
          <w:rFonts w:ascii="Arial" w:hAnsi="Arial" w:cstheme="minorBidi"/>
          <w:sz w:val="16"/>
          <w:lang w:val="fr-FR"/>
        </w:rPr>
      </w:pPr>
      <w:r>
        <w:rPr>
          <w:rStyle w:val="FootnoteReference"/>
          <w:szCs w:val="16"/>
        </w:rPr>
        <w:footnoteRef/>
      </w:r>
      <w:r w:rsidRPr="004F2995">
        <w:rPr>
          <w:lang w:val="fr-FR"/>
        </w:rPr>
        <w:t xml:space="preserve"> https://www.ecologie.gouv.fr/programmations-pluriannuelles-lenergie-ppe</w:t>
      </w:r>
    </w:p>
  </w:footnote>
  <w:footnote w:id="32">
    <w:p w14:paraId="5B06B14C" w14:textId="77777777" w:rsidR="00FB41BB" w:rsidRPr="004F2995" w:rsidRDefault="00FB41BB" w:rsidP="00426FA6">
      <w:pPr>
        <w:pStyle w:val="FootnoteText"/>
        <w:rPr>
          <w:lang w:val="fr-FR"/>
        </w:rPr>
      </w:pPr>
      <w:r>
        <w:rPr>
          <w:rStyle w:val="FootnoteReference"/>
        </w:rPr>
        <w:footnoteRef/>
      </w:r>
      <w:r w:rsidRPr="004F2995">
        <w:rPr>
          <w:lang w:val="fr-FR"/>
        </w:rPr>
        <w:t xml:space="preserve"> https://agriculture.gouv.fr/plan-de-competitivite-et-dadaptation-des-exploitations-agricoles</w:t>
      </w:r>
    </w:p>
  </w:footnote>
  <w:footnote w:id="33">
    <w:p w14:paraId="2ACC891A" w14:textId="77777777" w:rsidR="00FB41BB" w:rsidRPr="004F2995" w:rsidRDefault="00FB41BB" w:rsidP="00426FA6">
      <w:pPr>
        <w:pStyle w:val="FootnoteText"/>
        <w:rPr>
          <w:lang w:val="fr-FR"/>
        </w:rPr>
      </w:pPr>
      <w:r>
        <w:rPr>
          <w:rStyle w:val="FootnoteReference"/>
          <w:rFonts w:eastAsiaTheme="majorEastAsia"/>
          <w:szCs w:val="16"/>
        </w:rPr>
        <w:footnoteRef/>
      </w:r>
      <w:r w:rsidRPr="004F2995">
        <w:rPr>
          <w:lang w:val="fr-FR"/>
        </w:rPr>
        <w:t xml:space="preserve"> https://agriculture.gouv.fr/programme-national-pour-lalimentation-2019-2023-territoires-en-action</w:t>
      </w:r>
    </w:p>
  </w:footnote>
  <w:footnote w:id="34">
    <w:p w14:paraId="03B471C8" w14:textId="77777777" w:rsidR="00FB41BB" w:rsidRPr="004F2995" w:rsidRDefault="00FB41BB" w:rsidP="00426FA6">
      <w:pPr>
        <w:pStyle w:val="FootnoteText"/>
        <w:rPr>
          <w:lang w:val="fr-FR"/>
        </w:rPr>
      </w:pPr>
      <w:r>
        <w:rPr>
          <w:rStyle w:val="FootnoteReference"/>
          <w:rFonts w:eastAsiaTheme="majorEastAsia"/>
          <w:szCs w:val="16"/>
        </w:rPr>
        <w:footnoteRef/>
      </w:r>
      <w:r w:rsidRPr="004F2995">
        <w:rPr>
          <w:lang w:val="fr-FR"/>
        </w:rPr>
        <w:t xml:space="preserve"> https://www.legifrance.gouv.fr/jorf/id/JORFTEXT000037547946/</w:t>
      </w:r>
    </w:p>
  </w:footnote>
  <w:footnote w:id="35">
    <w:p w14:paraId="3C7DB623" w14:textId="77777777" w:rsidR="00FB41BB" w:rsidRPr="004F2995" w:rsidRDefault="00FB41BB" w:rsidP="00426FA6">
      <w:pPr>
        <w:pStyle w:val="FootnoteText"/>
        <w:rPr>
          <w:rFonts w:eastAsiaTheme="minorHAnsi"/>
          <w:lang w:val="fr-FR"/>
        </w:rPr>
      </w:pPr>
      <w:r>
        <w:rPr>
          <w:rStyle w:val="FootnoteReference"/>
        </w:rPr>
        <w:footnoteRef/>
      </w:r>
      <w:r w:rsidRPr="004F2995">
        <w:rPr>
          <w:lang w:val="fr-FR"/>
        </w:rPr>
        <w:t xml:space="preserve"> https://agriculture.gouv.fr/lancement-de-la-strategie-nationale-en-faveur-du-developpement-des-proteines-vegetales</w:t>
      </w:r>
    </w:p>
  </w:footnote>
  <w:footnote w:id="36">
    <w:p w14:paraId="3DC12432" w14:textId="77777777" w:rsidR="00FB41BB" w:rsidRPr="004F2995" w:rsidRDefault="00FB41BB" w:rsidP="00426FA6">
      <w:pPr>
        <w:pStyle w:val="FootnoteText"/>
        <w:rPr>
          <w:lang w:val="fr-FR"/>
        </w:rPr>
      </w:pPr>
      <w:r>
        <w:rPr>
          <w:rStyle w:val="FootnoteReference"/>
        </w:rPr>
        <w:footnoteRef/>
      </w:r>
      <w:r w:rsidRPr="004F2995">
        <w:rPr>
          <w:lang w:val="fr-FR"/>
        </w:rPr>
        <w:t>https://agriculture.gouv.fr/ambition-bio-2022-plan-dactions-des-acteurs-de-lagriculture-et-de-lalimentation</w:t>
      </w:r>
    </w:p>
  </w:footnote>
  <w:footnote w:id="37">
    <w:p w14:paraId="359676F2" w14:textId="77777777" w:rsidR="00FB41BB" w:rsidRPr="004F2995" w:rsidRDefault="00FB41BB" w:rsidP="00426FA6">
      <w:pPr>
        <w:pStyle w:val="FootnoteText"/>
        <w:rPr>
          <w:lang w:val="fr-FR"/>
        </w:rPr>
      </w:pPr>
      <w:r>
        <w:rPr>
          <w:rStyle w:val="FootnoteReference"/>
        </w:rPr>
        <w:footnoteRef/>
      </w:r>
      <w:r w:rsidRPr="004F2995">
        <w:rPr>
          <w:lang w:val="fr-FR"/>
        </w:rPr>
        <w:t>https://agriculture.gouv.fr/lancement-du-nouveau-plan-semences-et-plants-pour-une-agriculture-durable</w:t>
      </w:r>
    </w:p>
  </w:footnote>
  <w:footnote w:id="38">
    <w:p w14:paraId="685DE127" w14:textId="77777777" w:rsidR="00FB41BB" w:rsidRPr="004F2995" w:rsidRDefault="00FB41BB" w:rsidP="00426FA6">
      <w:pPr>
        <w:pStyle w:val="FootnoteText"/>
        <w:rPr>
          <w:sz w:val="16"/>
          <w:szCs w:val="16"/>
          <w:lang w:val="fr-FR"/>
        </w:rPr>
      </w:pPr>
      <w:r>
        <w:rPr>
          <w:rStyle w:val="FootnoteReference"/>
          <w:sz w:val="16"/>
          <w:szCs w:val="16"/>
        </w:rPr>
        <w:footnoteRef/>
      </w:r>
      <w:r w:rsidRPr="004F2995">
        <w:rPr>
          <w:sz w:val="16"/>
          <w:lang w:val="fr-FR"/>
        </w:rPr>
        <w:t xml:space="preserve"> https://www.ecologie.gouv.fr/sites/default/files/strategie%20Biodiversit%C3%A9%202030_1er%20volet.pdf</w:t>
      </w:r>
    </w:p>
  </w:footnote>
  <w:footnote w:id="39">
    <w:p w14:paraId="74937AB1" w14:textId="77777777" w:rsidR="00FB41BB" w:rsidRPr="004F2995" w:rsidRDefault="00FB41BB" w:rsidP="00426FA6">
      <w:pPr>
        <w:pStyle w:val="FootnoteText"/>
        <w:rPr>
          <w:lang w:val="fr-FR"/>
        </w:rPr>
      </w:pPr>
      <w:r>
        <w:rPr>
          <w:rStyle w:val="FootnoteReference"/>
          <w:sz w:val="16"/>
          <w:szCs w:val="16"/>
        </w:rPr>
        <w:footnoteRef/>
      </w:r>
      <w:r w:rsidRPr="004F2995">
        <w:rPr>
          <w:sz w:val="16"/>
          <w:lang w:val="fr-FR"/>
        </w:rPr>
        <w:t xml:space="preserve"> https://www.ecologie.gouv.fr/label-bas-carbone</w:t>
      </w:r>
    </w:p>
  </w:footnote>
  <w:footnote w:id="40">
    <w:p w14:paraId="58D6DD39" w14:textId="77777777" w:rsidR="00FB41BB" w:rsidRPr="004F2995" w:rsidRDefault="00FB41BB" w:rsidP="00426FA6">
      <w:pPr>
        <w:pStyle w:val="FootnoteText"/>
        <w:rPr>
          <w:lang w:val="fr-FR"/>
        </w:rPr>
      </w:pPr>
      <w:r>
        <w:rPr>
          <w:rStyle w:val="FootnoteReference"/>
        </w:rPr>
        <w:footnoteRef/>
      </w:r>
      <w:r w:rsidRPr="004F2995">
        <w:rPr>
          <w:lang w:val="fr-FR"/>
        </w:rPr>
        <w:t>https://www.ecologie.gouv.fr/loi-climat-et-resilience-compensation-des-emissions-gaz-effet-serre-des-vols-nationaux</w:t>
      </w:r>
    </w:p>
  </w:footnote>
  <w:footnote w:id="41">
    <w:p w14:paraId="45F1B68A" w14:textId="77777777" w:rsidR="00FB41BB" w:rsidRDefault="00FB41BB" w:rsidP="00426FA6">
      <w:pPr>
        <w:pStyle w:val="FootnoteText"/>
      </w:pPr>
      <w:r>
        <w:rPr>
          <w:rStyle w:val="FootnoteReference"/>
          <w:rFonts w:eastAsiaTheme="majorEastAsia"/>
        </w:rPr>
        <w:footnoteRef/>
      </w:r>
      <w:r>
        <w:t xml:space="preserve"> Barbier et al, 2019. The energy and carbon footprint of food in France, from production to consumption.</w:t>
      </w:r>
    </w:p>
  </w:footnote>
  <w:footnote w:id="42">
    <w:p w14:paraId="64F49603" w14:textId="77777777" w:rsidR="00FB41BB" w:rsidRDefault="00FB41BB" w:rsidP="00426FA6">
      <w:pPr>
        <w:pStyle w:val="FootnoteText"/>
      </w:pPr>
      <w:r>
        <w:rPr>
          <w:rStyle w:val="FootnoteReference"/>
          <w:rFonts w:eastAsiaTheme="majorEastAsia"/>
        </w:rPr>
        <w:footnoteRef/>
      </w:r>
      <w:r>
        <w:t xml:space="preserve"> In France, the consumption of pulses (lentils, beans, chickpeas, etc.) has been divided by 4 in twenty years, reaching 1.7 kg/person/year compared to 3.9 kg on average in Europe. The National Nutrition and Health Programme (PNNS) recommends increasing the consumption of legumes (at least twice a week), because of their high fibre content</w:t>
      </w:r>
      <w:r>
        <w:rPr>
          <w:rFonts w:ascii="Marianne-Regular" w:hAnsi="Marianne-Regular"/>
          <w:sz w:val="18"/>
        </w:rPr>
        <w:t>.</w:t>
      </w:r>
    </w:p>
  </w:footnote>
  <w:footnote w:id="43">
    <w:p w14:paraId="162BCEAE" w14:textId="77777777" w:rsidR="00FB41BB" w:rsidRDefault="00FB41BB" w:rsidP="00426FA6">
      <w:pPr>
        <w:pStyle w:val="FootnoteText"/>
      </w:pPr>
      <w:r>
        <w:rPr>
          <w:rStyle w:val="FootnoteReference"/>
          <w:rFonts w:eastAsiaTheme="majorEastAsia"/>
        </w:rPr>
        <w:footnoteRef/>
      </w:r>
      <w:r>
        <w:t xml:space="preserve"> https://www.legifrance.gouv.fr/loda/id/JORFTEXT000032036289/</w:t>
      </w:r>
    </w:p>
  </w:footnote>
  <w:footnote w:id="44">
    <w:p w14:paraId="29A497AB" w14:textId="77777777" w:rsidR="00FB41BB" w:rsidRDefault="00FB41BB" w:rsidP="00426FA6">
      <w:pPr>
        <w:pStyle w:val="FootnoteText"/>
      </w:pPr>
      <w:r>
        <w:rPr>
          <w:rStyle w:val="FootnoteReference"/>
          <w:rFonts w:eastAsiaTheme="majorEastAsia"/>
        </w:rPr>
        <w:footnoteRef/>
      </w:r>
      <w:r>
        <w:t xml:space="preserve"> https://www.legifrance.gouv.fr/loda/id/JORFTEXT000041553759/</w:t>
      </w:r>
    </w:p>
  </w:footnote>
  <w:footnote w:id="45">
    <w:p w14:paraId="2A5B4647" w14:textId="77777777" w:rsidR="00FB41BB" w:rsidRDefault="00FB41BB" w:rsidP="00426FA6">
      <w:pPr>
        <w:pStyle w:val="FootnoteText"/>
      </w:pPr>
      <w:r>
        <w:rPr>
          <w:rStyle w:val="FootnoteReference"/>
          <w:rFonts w:eastAsiaTheme="majorEastAsia"/>
        </w:rPr>
        <w:footnoteRef/>
      </w:r>
      <w:r>
        <w:t xml:space="preserve"> </w:t>
      </w:r>
      <w:hyperlink r:id="rId13" w:history="1">
        <w:r>
          <w:rPr>
            <w:rStyle w:val="Hyperlink"/>
          </w:rPr>
          <w:t>https://www.4p1000.org/fr</w:t>
        </w:r>
      </w:hyperlink>
      <w:r>
        <w:t xml:space="preserve"> </w:t>
      </w:r>
    </w:p>
  </w:footnote>
  <w:footnote w:id="46">
    <w:p w14:paraId="0AA3CC64" w14:textId="77777777" w:rsidR="00FB41BB" w:rsidRDefault="00FB41BB" w:rsidP="00426FA6">
      <w:pPr>
        <w:pStyle w:val="FootnoteText"/>
      </w:pPr>
      <w:r>
        <w:rPr>
          <w:rStyle w:val="FootnoteReference"/>
          <w:rFonts w:eastAsiaTheme="majorEastAsia"/>
        </w:rPr>
        <w:footnoteRef/>
      </w:r>
      <w:r>
        <w:t xml:space="preserve"> https://agriculture.gouv.fr/un-plan-national-de-developpement-pour-lagroforesterie</w:t>
      </w:r>
    </w:p>
  </w:footnote>
  <w:footnote w:id="47">
    <w:p w14:paraId="48E4CD74" w14:textId="77777777" w:rsidR="00FB41BB" w:rsidRPr="009954D3" w:rsidRDefault="00FB41BB" w:rsidP="00426FA6">
      <w:pPr>
        <w:pStyle w:val="FootnoteText"/>
      </w:pPr>
      <w:r>
        <w:rPr>
          <w:rStyle w:val="FootnoteReference"/>
          <w:rFonts w:eastAsiaTheme="majorEastAsia"/>
          <w:szCs w:val="16"/>
        </w:rPr>
        <w:footnoteRef/>
      </w:r>
      <w:r>
        <w:t xml:space="preserve"> https://agriculture.gouv.fr/francerelance-50-meu-pour-planter-7-000-km-de-haies-en-2-ans</w:t>
      </w:r>
    </w:p>
  </w:footnote>
  <w:footnote w:id="48">
    <w:p w14:paraId="0CAAACAB" w14:textId="77777777" w:rsidR="00FB41BB" w:rsidRDefault="00FB41BB" w:rsidP="00426FA6">
      <w:pPr>
        <w:pStyle w:val="FootnoteText"/>
      </w:pPr>
      <w:r>
        <w:rPr>
          <w:rStyle w:val="FootnoteReference"/>
        </w:rPr>
        <w:footnoteRef/>
      </w:r>
      <w:r>
        <w:t xml:space="preserve"> https://agriculture.gouv.fr/filiere-graines-et-plants-forestiers-plus-de-50-millions-deuros-pour-batir-lavenir-de-la-foret</w:t>
      </w:r>
    </w:p>
  </w:footnote>
  <w:footnote w:id="49">
    <w:p w14:paraId="0AAEC137" w14:textId="77777777" w:rsidR="00FB41BB" w:rsidRPr="009E30DE" w:rsidRDefault="00FB41BB" w:rsidP="00426FA6">
      <w:pPr>
        <w:pStyle w:val="FootnoteText"/>
        <w:rPr>
          <w:sz w:val="16"/>
          <w:szCs w:val="16"/>
        </w:rPr>
      </w:pPr>
      <w:r>
        <w:rPr>
          <w:rStyle w:val="FootnoteReference"/>
          <w:sz w:val="16"/>
          <w:szCs w:val="16"/>
        </w:rPr>
        <w:footnoteRef/>
      </w:r>
      <w:r>
        <w:rPr>
          <w:sz w:val="16"/>
        </w:rPr>
        <w:t xml:space="preserve"> http://bois.bpifrance.fr/</w:t>
      </w:r>
    </w:p>
  </w:footnote>
  <w:footnote w:id="50">
    <w:p w14:paraId="6D370B15" w14:textId="77777777" w:rsidR="00FB41BB" w:rsidRPr="00052DCE" w:rsidRDefault="00FB41BB" w:rsidP="00426FA6">
      <w:pPr>
        <w:pStyle w:val="FootnoteText"/>
        <w:rPr>
          <w:sz w:val="16"/>
          <w:szCs w:val="16"/>
        </w:rPr>
      </w:pPr>
      <w:r>
        <w:rPr>
          <w:rStyle w:val="FootnoteReference"/>
          <w:sz w:val="16"/>
          <w:szCs w:val="16"/>
        </w:rPr>
        <w:footnoteRef/>
      </w:r>
      <w:r>
        <w:rPr>
          <w:sz w:val="16"/>
        </w:rPr>
        <w:t xml:space="preserve"> https://fondschaleur.ademe.fr/</w:t>
      </w:r>
    </w:p>
  </w:footnote>
  <w:footnote w:id="51">
    <w:p w14:paraId="086C307D" w14:textId="77777777" w:rsidR="00FB41BB" w:rsidRPr="004F2995" w:rsidRDefault="00FB41BB" w:rsidP="00A5513E">
      <w:pPr>
        <w:autoSpaceDE w:val="0"/>
        <w:autoSpaceDN w:val="0"/>
        <w:adjustRightInd w:val="0"/>
        <w:rPr>
          <w:rFonts w:asciiTheme="majorHAnsi" w:eastAsiaTheme="minorHAnsi" w:hAnsiTheme="majorHAnsi" w:cs="TrebuchetMS"/>
          <w:sz w:val="16"/>
          <w:szCs w:val="16"/>
          <w:lang w:val="fr-FR"/>
        </w:rPr>
      </w:pPr>
      <w:r>
        <w:rPr>
          <w:rStyle w:val="FootnoteReference"/>
          <w:rFonts w:asciiTheme="majorHAnsi" w:hAnsiTheme="majorHAnsi"/>
          <w:sz w:val="16"/>
          <w:szCs w:val="16"/>
        </w:rPr>
        <w:footnoteRef/>
      </w:r>
      <w:r w:rsidRPr="004F2995">
        <w:rPr>
          <w:rFonts w:asciiTheme="majorHAnsi" w:hAnsiTheme="majorHAnsi"/>
          <w:sz w:val="16"/>
          <w:lang w:val="fr-FR"/>
        </w:rPr>
        <w:t xml:space="preserve"> Citepa, June 2022. Inventaire des émissions de polluants atmosphériques et de gaz à effet de serre en France –</w:t>
      </w:r>
    </w:p>
    <w:p w14:paraId="398CF18B" w14:textId="77777777" w:rsidR="00FB41BB" w:rsidRDefault="00FB41BB" w:rsidP="00A5513E">
      <w:pPr>
        <w:pStyle w:val="FootnoteText"/>
      </w:pPr>
      <w:r>
        <w:rPr>
          <w:rFonts w:asciiTheme="majorHAnsi" w:hAnsiTheme="majorHAnsi"/>
          <w:sz w:val="16"/>
        </w:rPr>
        <w:t>Format Secten.</w:t>
      </w:r>
    </w:p>
  </w:footnote>
  <w:footnote w:id="52">
    <w:p w14:paraId="6F1B3BEF" w14:textId="77777777" w:rsidR="00FB41BB" w:rsidRDefault="00FB41BB" w:rsidP="00A5513E">
      <w:pPr>
        <w:pStyle w:val="FootnoteText"/>
      </w:pPr>
      <w:r>
        <w:rPr>
          <w:rStyle w:val="FootnoteReference"/>
        </w:rPr>
        <w:footnoteRef/>
      </w:r>
      <w:r>
        <w:t xml:space="preserve"> https://www.ecologie.gouv.fr/sites/default/files/Projet%20de%20FAQ.pdf</w:t>
      </w:r>
    </w:p>
  </w:footnote>
  <w:footnote w:id="53">
    <w:p w14:paraId="02D722E2" w14:textId="77777777" w:rsidR="00FB41BB" w:rsidRDefault="00FB41BB" w:rsidP="00A5513E">
      <w:pPr>
        <w:pStyle w:val="FootnoteText"/>
      </w:pPr>
      <w:r>
        <w:rPr>
          <w:rStyle w:val="FootnoteReference"/>
        </w:rPr>
        <w:footnoteRef/>
      </w:r>
      <w:r>
        <w:t xml:space="preserve"> professional packaging (2025), including packaging used by catering professionals (2023), construction products or materials in the building sector (2022), toys (2022), sports and leisure goods (2022), DIY and garden items (2022), mineral or synthetic oils (2022), tobacco products (2021), chewing gum (2024), single-use sanitary textiles (2024), fishing gear containing plastic (2025), medical technical aids (possibility)</w:t>
      </w:r>
    </w:p>
  </w:footnote>
  <w:footnote w:id="54">
    <w:p w14:paraId="4F09FFBF" w14:textId="77777777" w:rsidR="00FB41BB" w:rsidRDefault="00FB41BB" w:rsidP="001B5E15">
      <w:pPr>
        <w:pStyle w:val="FootnoteText"/>
      </w:pPr>
      <w:r>
        <w:rPr>
          <w:rStyle w:val="FootnoteReference"/>
        </w:rPr>
        <w:footnoteRef/>
      </w:r>
      <w:r>
        <w:t xml:space="preserve"> </w:t>
      </w:r>
      <w:hyperlink r:id="rId14" w:history="1">
        <w:r>
          <w:rPr>
            <w:rStyle w:val="Hyperlink"/>
          </w:rPr>
          <w:t>https://www.ecologie.gouv.fr/sites/default/files/Synth%C3%A8se_du_sc%C3%A9nario_AME2021_postQAQC%5B1%5D.pdf</w:t>
        </w:r>
      </w:hyperlink>
    </w:p>
  </w:footnote>
  <w:footnote w:id="55">
    <w:p w14:paraId="58BF8683" w14:textId="77777777" w:rsidR="00FB41BB" w:rsidRPr="00C14DCA" w:rsidRDefault="00FB41BB" w:rsidP="001B5E15">
      <w:pPr>
        <w:pStyle w:val="Footnote"/>
        <w:rPr>
          <w:rFonts w:asciiTheme="majorHAnsi" w:hAnsiTheme="majorHAnsi"/>
        </w:rPr>
      </w:pPr>
      <w:r>
        <w:rPr>
          <w:rStyle w:val="FootnoteReference"/>
          <w:rFonts w:asciiTheme="majorHAnsi" w:hAnsiTheme="majorHAnsi"/>
        </w:rPr>
        <w:footnoteRef/>
      </w:r>
      <w:hyperlink r:id="rId15" w:anchor="e2" w:history="1">
        <w:r>
          <w:rPr>
            <w:rStyle w:val="Hyperlink"/>
            <w:rFonts w:asciiTheme="majorHAnsi" w:hAnsiTheme="majorHAnsi"/>
          </w:rPr>
          <w:t>https://www.ecologique-solidaire.gouv.fr/scenarios-prospectifs-energie-climat-air#e2</w:t>
        </w:r>
      </w:hyperlink>
    </w:p>
  </w:footnote>
  <w:footnote w:id="56">
    <w:p w14:paraId="67CE99CC" w14:textId="77777777" w:rsidR="00FB41BB" w:rsidRPr="00D80FE2" w:rsidRDefault="00FB41BB" w:rsidP="00D6090C">
      <w:pPr>
        <w:pStyle w:val="FootnoteText"/>
        <w:rPr>
          <w:lang w:val="fr-FR"/>
        </w:rPr>
      </w:pPr>
      <w:r>
        <w:rPr>
          <w:rStyle w:val="FootnoteReference"/>
        </w:rPr>
        <w:footnoteRef/>
      </w:r>
      <w:r>
        <w:t xml:space="preserve"> Detailed information about the models can be found on </w:t>
      </w:r>
      <w:hyperlink r:id="rId16" w:history="1">
        <w:r w:rsidRPr="00903AFD">
          <w:rPr>
            <w:rStyle w:val="Hyperlink"/>
          </w:rPr>
          <w:t>https://reportnet.europa.eu/public/country/FR</w:t>
        </w:r>
      </w:hyperlink>
      <w:r>
        <w:t>, GovReg: National projections of anthropogenic greenhouse gas emissions [2023], Table4.zip</w:t>
      </w:r>
    </w:p>
  </w:footnote>
  <w:footnote w:id="57">
    <w:p w14:paraId="0D56985A" w14:textId="77777777" w:rsidR="00FB41BB" w:rsidRPr="00913449" w:rsidRDefault="00FB41BB" w:rsidP="00D6090C">
      <w:pPr>
        <w:pStyle w:val="FootnoteText"/>
      </w:pPr>
      <w:r>
        <w:rPr>
          <w:rStyle w:val="FootnoteReference"/>
        </w:rPr>
        <w:footnoteRef/>
      </w:r>
      <w:r>
        <w:t xml:space="preserve"> </w:t>
      </w:r>
      <w:r w:rsidRPr="00913449">
        <w:t>https://www.ecologie.gouv.fr/sites/default/files/Synth%C3%A8se_du_sc%C3%A9nario_AME2021_postQAQC%5B1%5D.pdf</w:t>
      </w:r>
    </w:p>
  </w:footnote>
  <w:footnote w:id="58">
    <w:p w14:paraId="5B384793" w14:textId="77777777" w:rsidR="00FB41BB" w:rsidRDefault="00FB41BB" w:rsidP="006D5177">
      <w:pPr>
        <w:pStyle w:val="FootnoteText"/>
      </w:pPr>
      <w:r>
        <w:rPr>
          <w:rStyle w:val="FootnoteReference"/>
        </w:rPr>
        <w:footnoteRef/>
      </w:r>
      <w:r>
        <w:t xml:space="preserve"> </w:t>
      </w:r>
      <w:r>
        <w:rPr>
          <w:sz w:val="16"/>
        </w:rPr>
        <w:t>https://www.ecologie.gouv.fr/sites/default/files/ONERC_Rapport_2018_Evenements_meteorologiques_extremes_et_CC_WEB.pdf</w:t>
      </w:r>
    </w:p>
  </w:footnote>
  <w:footnote w:id="59">
    <w:p w14:paraId="191EBA8F" w14:textId="77777777" w:rsidR="00FB41BB" w:rsidRPr="0006294A" w:rsidRDefault="00FB41BB" w:rsidP="006D5177">
      <w:pPr>
        <w:pStyle w:val="FootnoteText"/>
        <w:rPr>
          <w:sz w:val="16"/>
        </w:rPr>
      </w:pPr>
      <w:r>
        <w:rPr>
          <w:rStyle w:val="FootnoteReference"/>
        </w:rPr>
        <w:footnoteRef/>
      </w:r>
      <w:r>
        <w:t xml:space="preserve"> </w:t>
      </w:r>
      <w:hyperlink r:id="rId17" w:history="1">
        <w:r>
          <w:rPr>
            <w:rStyle w:val="Hyperlink"/>
            <w:sz w:val="16"/>
          </w:rPr>
          <w:t>https://www.ecologie.gouv.fr/sites/default/files/ONERC_Rapport_2019_SfN_WEB.pdf</w:t>
        </w:r>
      </w:hyperlink>
    </w:p>
  </w:footnote>
  <w:footnote w:id="60">
    <w:p w14:paraId="4AE7B67F" w14:textId="77777777" w:rsidR="00FB41BB" w:rsidRDefault="00FB41BB" w:rsidP="006D5177">
      <w:pPr>
        <w:pStyle w:val="FootnoteText"/>
      </w:pPr>
      <w:r>
        <w:rPr>
          <w:rStyle w:val="FootnoteReference"/>
          <w:sz w:val="16"/>
        </w:rPr>
        <w:footnoteRef/>
      </w:r>
      <w:r>
        <w:rPr>
          <w:sz w:val="16"/>
        </w:rPr>
        <w:t xml:space="preserve"> </w:t>
      </w:r>
      <w:hyperlink r:id="rId18" w:history="1">
        <w:r>
          <w:rPr>
            <w:rStyle w:val="Hyperlink"/>
            <w:sz w:val="16"/>
          </w:rPr>
          <w:t>https://www.ecologie.gouv.fr/sites/default/files/9782111573567_ONERC_EtudesProspectives_Web_VF.pdf</w:t>
        </w:r>
      </w:hyperlink>
    </w:p>
  </w:footnote>
  <w:footnote w:id="61">
    <w:p w14:paraId="27DBEE2A" w14:textId="77777777" w:rsidR="00FB41BB" w:rsidRDefault="00FB41BB" w:rsidP="00A845C2">
      <w:pPr>
        <w:pStyle w:val="FootnoteText"/>
      </w:pPr>
      <w:r>
        <w:rPr>
          <w:rStyle w:val="FootnoteReference"/>
        </w:rPr>
        <w:footnoteRef/>
      </w:r>
      <w:r>
        <w:t xml:space="preserve"> </w:t>
      </w:r>
      <w:hyperlink r:id="rId19" w:history="1">
        <w:r>
          <w:rPr>
            <w:rStyle w:val="Hyperlink"/>
            <w:sz w:val="16"/>
          </w:rPr>
          <w:t>https://www.ecologique-solidaire.gouv.fr/observatoire-national-sur-effets-du-rechauffement-climatique-onerc</w:t>
        </w:r>
      </w:hyperlink>
    </w:p>
  </w:footnote>
  <w:footnote w:id="62">
    <w:p w14:paraId="5DD1DBF9" w14:textId="77777777" w:rsidR="00FB41BB" w:rsidRDefault="00FB41BB" w:rsidP="006D5177">
      <w:pPr>
        <w:pStyle w:val="FootnoteText"/>
      </w:pPr>
      <w:r>
        <w:rPr>
          <w:rStyle w:val="FootnoteReference"/>
        </w:rPr>
        <w:footnoteRef/>
      </w:r>
      <w:r>
        <w:t xml:space="preserve"> </w:t>
      </w:r>
      <w:r>
        <w:rPr>
          <w:sz w:val="16"/>
        </w:rPr>
        <w:t xml:space="preserve">http://www.developpement-durable.gouv.fr/IMG/pdf/ONERC-PNACC-complet.pdf </w:t>
      </w:r>
      <w:r>
        <w:t xml:space="preserve"> </w:t>
      </w:r>
    </w:p>
  </w:footnote>
  <w:footnote w:id="63">
    <w:p w14:paraId="56F0BD0B" w14:textId="77777777" w:rsidR="00FB41BB" w:rsidRPr="00445995" w:rsidRDefault="00FB41BB" w:rsidP="006D5177">
      <w:pPr>
        <w:pStyle w:val="FootnoteText"/>
      </w:pPr>
      <w:r>
        <w:rPr>
          <w:rStyle w:val="FootnoteReference"/>
        </w:rPr>
        <w:footnoteRef/>
      </w:r>
      <w:r>
        <w:t xml:space="preserve"> </w:t>
      </w:r>
      <w:r>
        <w:rPr>
          <w:sz w:val="16"/>
        </w:rPr>
        <w:t xml:space="preserve">Lord Nicholas Stern, ‘The Economics of Climate Change’, Cambridge University Press, 2006 </w:t>
      </w:r>
      <w:r>
        <w:t xml:space="preserve"> </w:t>
      </w:r>
    </w:p>
  </w:footnote>
  <w:footnote w:id="64">
    <w:p w14:paraId="6C9123D0" w14:textId="77777777" w:rsidR="00FB41BB" w:rsidRPr="00445995" w:rsidRDefault="00FB41BB" w:rsidP="006D5177">
      <w:pPr>
        <w:pStyle w:val="FootnoteText"/>
      </w:pPr>
      <w:r>
        <w:rPr>
          <w:rStyle w:val="FootnoteReference"/>
        </w:rPr>
        <w:footnoteRef/>
      </w:r>
      <w:r>
        <w:t xml:space="preserve"> </w:t>
      </w:r>
      <w:r>
        <w:rPr>
          <w:sz w:val="16"/>
        </w:rPr>
        <w:t xml:space="preserve">http://www.developpement-durable.gouv.fr/IMG/spipwwwmedad/pdf/rapport_onerc_cle098a8d-1.pdf </w:t>
      </w:r>
      <w:r>
        <w:t xml:space="preserve"> </w:t>
      </w:r>
    </w:p>
  </w:footnote>
  <w:footnote w:id="65">
    <w:p w14:paraId="1717D415" w14:textId="77777777" w:rsidR="00FB41BB" w:rsidRPr="009C7B89" w:rsidRDefault="00FB41BB" w:rsidP="006D5177">
      <w:pPr>
        <w:pStyle w:val="FootnoteText"/>
      </w:pPr>
      <w:r>
        <w:rPr>
          <w:rStyle w:val="FootnoteReference"/>
        </w:rPr>
        <w:footnoteRef/>
      </w:r>
      <w:r>
        <w:t>https://www.adaptation-changement-climatique.gouv.fr/deuxieme-plan-national-dadaptation-au-changement-climatique</w:t>
      </w:r>
    </w:p>
  </w:footnote>
  <w:footnote w:id="66">
    <w:p w14:paraId="160F7B30" w14:textId="77777777" w:rsidR="00FB41BB" w:rsidRPr="00AE7BDB" w:rsidRDefault="00FB41BB" w:rsidP="00DC248F">
      <w:pPr>
        <w:pStyle w:val="FootnoteText"/>
      </w:pPr>
      <w:r>
        <w:rPr>
          <w:rStyle w:val="FootnoteReference"/>
        </w:rPr>
        <w:footnoteRef/>
      </w:r>
      <w:r>
        <w:t>https://suivi-pnacc.din.developpement-durable.gouv.fr</w:t>
      </w:r>
    </w:p>
  </w:footnote>
  <w:footnote w:id="67">
    <w:p w14:paraId="66F49EB5" w14:textId="5A3A703D" w:rsidR="00FB41BB" w:rsidRPr="00EA1889" w:rsidRDefault="00FB41BB" w:rsidP="006D5177">
      <w:pPr>
        <w:pStyle w:val="FootnoteText"/>
      </w:pPr>
      <w:r>
        <w:rPr>
          <w:rStyle w:val="FootnoteReference"/>
        </w:rPr>
        <w:footnoteRef/>
      </w:r>
      <w:r>
        <w:t xml:space="preserve"> </w:t>
      </w:r>
      <w:hyperlink r:id="rId20" w:history="1">
        <w:r>
          <w:rPr>
            <w:rStyle w:val="Hyperlink"/>
          </w:rPr>
          <w:t>https://www.adaptation-changement-climatique.gouv.fr</w:t>
        </w:r>
      </w:hyperlink>
    </w:p>
  </w:footnote>
  <w:footnote w:id="68">
    <w:p w14:paraId="51797E3D" w14:textId="77777777" w:rsidR="00FB41BB" w:rsidRPr="00664ED0" w:rsidRDefault="00FB41BB" w:rsidP="006D5177">
      <w:pPr>
        <w:pStyle w:val="FootnoteText"/>
      </w:pPr>
      <w:r>
        <w:rPr>
          <w:rStyle w:val="FootnoteReference"/>
        </w:rPr>
        <w:footnoteRef/>
      </w:r>
      <w:r>
        <w:t xml:space="preserve"> </w:t>
      </w:r>
      <w:hyperlink r:id="rId21" w:history="1">
        <w:r>
          <w:rPr>
            <w:rStyle w:val="Hyperlink"/>
          </w:rPr>
          <w:t>http://www.drias-climat.fr</w:t>
        </w:r>
      </w:hyperlink>
    </w:p>
  </w:footnote>
  <w:footnote w:id="69">
    <w:p w14:paraId="3CECC6FF" w14:textId="6CD421BE" w:rsidR="00FB41BB" w:rsidRPr="00664ED0" w:rsidRDefault="00FB41BB" w:rsidP="006D5177">
      <w:pPr>
        <w:pStyle w:val="FootnoteText"/>
      </w:pPr>
      <w:r>
        <w:rPr>
          <w:rStyle w:val="FootnoteReference"/>
        </w:rPr>
        <w:footnoteRef/>
      </w:r>
      <w:r>
        <w:t xml:space="preserve"> </w:t>
      </w:r>
      <w:hyperlink r:id="rId22" w:history="1">
        <w:r>
          <w:rPr>
            <w:rStyle w:val="Hyperlink"/>
          </w:rPr>
          <w:t>https://www.i4ce.org/wp-content/uploads/2022/07/Juin-2022_I4CE_besoins_adaptation.pdf</w:t>
        </w:r>
      </w:hyperlink>
    </w:p>
  </w:footnote>
  <w:footnote w:id="70">
    <w:p w14:paraId="629B007F" w14:textId="7B0344EC" w:rsidR="00FB41BB" w:rsidRPr="00664ED0" w:rsidRDefault="00FB41BB" w:rsidP="006D5177">
      <w:pPr>
        <w:pStyle w:val="FootnoteText"/>
      </w:pPr>
      <w:r>
        <w:rPr>
          <w:rStyle w:val="FootnoteReference"/>
        </w:rPr>
        <w:footnoteRef/>
      </w:r>
      <w:r>
        <w:t xml:space="preserve"> </w:t>
      </w:r>
      <w:hyperlink r:id="rId23" w:history="1">
        <w:r>
          <w:rPr>
            <w:rStyle w:val="Hyperlink"/>
          </w:rPr>
          <w:t>https://www.strategie.gouv.fr/sites/strategie.gouv.fr/files/atoms/files/fs-2022-na108-risques_climatiques-mai.pdf%22</w:t>
        </w:r>
      </w:hyperlink>
    </w:p>
  </w:footnote>
  <w:footnote w:id="71">
    <w:p w14:paraId="326090C0" w14:textId="77777777" w:rsidR="00FB41BB" w:rsidRDefault="00FB41BB" w:rsidP="00880CF0">
      <w:pPr>
        <w:pStyle w:val="FootnoteText"/>
      </w:pPr>
      <w:r>
        <w:rPr>
          <w:rStyle w:val="FootnoteReference"/>
        </w:rPr>
        <w:footnoteRef/>
      </w:r>
      <w:r>
        <w:t xml:space="preserve"> Source: AFD Group Climate Report 2021</w:t>
      </w:r>
    </w:p>
  </w:footnote>
  <w:footnote w:id="72">
    <w:p w14:paraId="3D9DE6AC" w14:textId="77777777" w:rsidR="00FB41BB" w:rsidRDefault="00FB41BB" w:rsidP="00880CF0">
      <w:pPr>
        <w:pStyle w:val="FootnoteText"/>
      </w:pPr>
      <w:r>
        <w:rPr>
          <w:rStyle w:val="FootnoteReference"/>
        </w:rPr>
        <w:footnoteRef/>
      </w:r>
      <w:r>
        <w:t xml:space="preserve"> </w:t>
      </w:r>
      <w:r>
        <w:rPr>
          <w:sz w:val="18"/>
        </w:rPr>
        <w:t>https://www.afd.fr/fr/ressources/plan-dorientation-strategique-2018-2022-synthese</w:t>
      </w:r>
    </w:p>
  </w:footnote>
  <w:footnote w:id="73">
    <w:p w14:paraId="4C7FF136" w14:textId="77777777" w:rsidR="00FB41BB" w:rsidRDefault="00FB41BB" w:rsidP="0092053B">
      <w:pPr>
        <w:pStyle w:val="FootnoteText"/>
      </w:pPr>
      <w:r>
        <w:rPr>
          <w:rStyle w:val="FootnoteReference"/>
        </w:rPr>
        <w:footnoteRef/>
      </w:r>
      <w:r>
        <w:t xml:space="preserve"> </w:t>
      </w:r>
      <w:hyperlink r:id="rId24" w:history="1">
        <w:r>
          <w:rPr>
            <w:rStyle w:val="Hyperlink"/>
          </w:rPr>
          <w:t>https://www.idfc.org/wp-content/uploads/2021/10/cp-mit-update-final-2021-10-18.pdf</w:t>
        </w:r>
      </w:hyperlink>
    </w:p>
  </w:footnote>
  <w:footnote w:id="74">
    <w:p w14:paraId="63557550" w14:textId="77777777" w:rsidR="00FB41BB" w:rsidRDefault="00FB41BB" w:rsidP="0092053B">
      <w:pPr>
        <w:pStyle w:val="FootnoteText"/>
        <w:jc w:val="left"/>
      </w:pPr>
      <w:r>
        <w:rPr>
          <w:rStyle w:val="FootnoteReference"/>
        </w:rPr>
        <w:footnoteRef/>
      </w:r>
      <w:r>
        <w:t xml:space="preserve"> </w:t>
      </w:r>
      <w:hyperlink r:id="rId25" w:history="1">
        <w:r>
          <w:rPr>
            <w:rStyle w:val="Hyperlink"/>
          </w:rPr>
          <w:t>https://www.idfc.org/wp-content/uploads/2019/04/common_principles_for_climate_adaption_finance_tracking_jul_09.pdf</w:t>
        </w:r>
      </w:hyperlink>
    </w:p>
  </w:footnote>
  <w:footnote w:id="75">
    <w:p w14:paraId="726C9991" w14:textId="77777777" w:rsidR="00FB41BB" w:rsidRPr="00C3107B" w:rsidRDefault="00FB41BB" w:rsidP="00880CF0">
      <w:pPr>
        <w:pStyle w:val="FootnoteText"/>
        <w:rPr>
          <w:rFonts w:ascii="Times New Roman" w:hAnsi="Times New Roman"/>
        </w:rPr>
      </w:pPr>
      <w:r>
        <w:rPr>
          <w:rStyle w:val="FootnoteReference"/>
          <w:rFonts w:ascii="Times New Roman" w:hAnsi="Times New Roman"/>
        </w:rPr>
        <w:footnoteRef/>
      </w:r>
      <w:r>
        <w:rPr>
          <w:rStyle w:val="FootnoteReference"/>
          <w:rFonts w:ascii="Times New Roman" w:hAnsi="Times New Roman"/>
        </w:rPr>
        <w:t xml:space="preserve"> </w:t>
      </w:r>
      <w:r>
        <w:t>In the case of non-concessional loans, this instrument is not included in French official development assistance flows but in Other Public Sector Assistance (AASP).</w:t>
      </w:r>
    </w:p>
  </w:footnote>
  <w:footnote w:id="76">
    <w:p w14:paraId="10FED762" w14:textId="77777777" w:rsidR="00FB41BB" w:rsidRPr="00CC4C75" w:rsidRDefault="00FB41BB" w:rsidP="0092053B">
      <w:pPr>
        <w:pStyle w:val="FootnoteText"/>
        <w:rPr>
          <w:sz w:val="16"/>
        </w:rPr>
      </w:pPr>
      <w:r>
        <w:rPr>
          <w:vertAlign w:val="superscript"/>
        </w:rPr>
        <w:footnoteRef/>
      </w:r>
      <w:r>
        <w:rPr>
          <w:vertAlign w:val="superscript"/>
        </w:rPr>
        <w:t xml:space="preserve"> </w:t>
      </w:r>
      <w:r>
        <w:rPr>
          <w:sz w:val="16"/>
        </w:rPr>
        <w:t>If the total contribution was taken into account and not the grant element alone, France would be ahead of Germany in these rankings.</w:t>
      </w:r>
    </w:p>
  </w:footnote>
  <w:footnote w:id="77">
    <w:p w14:paraId="6DEE40E3" w14:textId="5B40376D" w:rsidR="00FB41BB" w:rsidRDefault="00FB41BB" w:rsidP="007E76D2">
      <w:pPr>
        <w:pStyle w:val="FootnoteText"/>
        <w:rPr>
          <w:rStyle w:val="Strong"/>
          <w:rFonts w:ascii="Times New Roman" w:hAnsi="Times New Roman"/>
          <w:b w:val="0"/>
          <w:bCs w:val="0"/>
          <w:color w:val="000000"/>
          <w:sz w:val="18"/>
          <w:szCs w:val="18"/>
        </w:rPr>
      </w:pPr>
      <w:r>
        <w:rPr>
          <w:rStyle w:val="Caractresdenotedebasdepage"/>
          <w:rFonts w:ascii="Times New Roman" w:hAnsi="Times New Roman"/>
        </w:rPr>
        <w:footnoteRef/>
      </w:r>
      <w:r>
        <w:rPr>
          <w:sz w:val="18"/>
        </w:rPr>
        <w:tab/>
      </w:r>
      <w:r>
        <w:rPr>
          <w:rStyle w:val="Strong"/>
          <w:rFonts w:ascii="Times New Roman" w:hAnsi="Times New Roman"/>
          <w:b w:val="0"/>
          <w:color w:val="000000"/>
          <w:sz w:val="18"/>
        </w:rPr>
        <w:t xml:space="preserve">JPND: neuro-degenerative conditions, and Alzheimers in particular </w:t>
      </w:r>
    </w:p>
    <w:p w14:paraId="683C2CB0" w14:textId="77777777" w:rsidR="00FB41BB" w:rsidRDefault="00FB41BB"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color w:val="000000"/>
          <w:sz w:val="18"/>
        </w:rPr>
        <w:tab/>
        <w:t xml:space="preserve">FACCE: agriculture, food safety and climate change; </w:t>
      </w:r>
    </w:p>
    <w:p w14:paraId="678B4F40" w14:textId="77777777" w:rsidR="00FB41BB" w:rsidRDefault="00FB41BB"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color w:val="000000"/>
          <w:sz w:val="18"/>
        </w:rPr>
        <w:tab/>
        <w:t xml:space="preserve">HDHL:a healthy food diet for a healthy life </w:t>
      </w:r>
    </w:p>
    <w:p w14:paraId="666C38FE" w14:textId="77777777" w:rsidR="00FB41BB" w:rsidRDefault="00FB41BB"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color w:val="000000"/>
          <w:sz w:val="18"/>
        </w:rPr>
        <w:tab/>
        <w:t>Cultural Heritage : cultural heritage and global change. A new challenge for Europe</w:t>
      </w:r>
    </w:p>
    <w:p w14:paraId="60D353F2" w14:textId="77777777" w:rsidR="00FB41BB" w:rsidRDefault="00FB41BB"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color w:val="000000"/>
          <w:sz w:val="18"/>
        </w:rPr>
        <w:tab/>
        <w:t>MYBL: living longer, and better - the stakes and challenges of demographic change</w:t>
      </w:r>
    </w:p>
    <w:p w14:paraId="2648456E" w14:textId="77777777" w:rsidR="00FB41BB" w:rsidRDefault="00FB41BB"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color w:val="000000"/>
          <w:sz w:val="18"/>
        </w:rPr>
        <w:tab/>
        <w:t>JPIAMR: microbial resistance - a new threat to human health</w:t>
      </w:r>
    </w:p>
    <w:p w14:paraId="3D9C509F" w14:textId="77777777" w:rsidR="00FB41BB" w:rsidRDefault="00FB41BB"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color w:val="000000"/>
          <w:sz w:val="18"/>
        </w:rPr>
        <w:tab/>
        <w:t>CLIMATE: the coordinated development of climate knowledge for the benefit of Europe</w:t>
      </w:r>
    </w:p>
    <w:p w14:paraId="30CDBE6D" w14:textId="6E2769D4" w:rsidR="00FB41BB" w:rsidRDefault="00FB41BB"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color w:val="000000"/>
          <w:sz w:val="18"/>
        </w:rPr>
        <w:tab/>
        <w:t xml:space="preserve">Urban Europe: urban Europe - global challenges, local solutions </w:t>
      </w:r>
    </w:p>
    <w:p w14:paraId="600F2D31" w14:textId="77777777" w:rsidR="00FB41BB" w:rsidRDefault="00FB41BB"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color w:val="000000"/>
          <w:sz w:val="18"/>
        </w:rPr>
        <w:tab/>
        <w:t>WATER:  the challenges facing water in a changing world</w:t>
      </w:r>
    </w:p>
    <w:p w14:paraId="4145A996" w14:textId="77777777" w:rsidR="00FB41BB" w:rsidRDefault="00FB41BB" w:rsidP="007E76D2">
      <w:pPr>
        <w:pStyle w:val="FootnoteText"/>
      </w:pPr>
      <w:r>
        <w:rPr>
          <w:rStyle w:val="Strong"/>
          <w:rFonts w:ascii="Times New Roman" w:hAnsi="Times New Roman"/>
          <w:b w:val="0"/>
          <w:color w:val="000000"/>
          <w:sz w:val="18"/>
        </w:rPr>
        <w:tab/>
        <w:t>OCEANS: healthy and productive seas and oceans)</w:t>
      </w:r>
    </w:p>
    <w:p w14:paraId="2887B1D7" w14:textId="77777777" w:rsidR="00FB41BB" w:rsidRDefault="00FB41BB" w:rsidP="007E76D2">
      <w:pPr>
        <w:pStyle w:val="FootnoteText"/>
      </w:pPr>
    </w:p>
  </w:footnote>
  <w:footnote w:id="78">
    <w:p w14:paraId="78BE507B" w14:textId="5F578F5E" w:rsidR="00FB41BB" w:rsidRDefault="00FB41BB" w:rsidP="007E76D2">
      <w:pPr>
        <w:pStyle w:val="FootnoteText"/>
      </w:pPr>
      <w:r>
        <w:rPr>
          <w:rStyle w:val="Caractresdenotedebasdepage"/>
          <w:rFonts w:ascii="Times New Roman" w:hAnsi="Times New Roman"/>
        </w:rPr>
        <w:footnoteRef/>
      </w:r>
      <w:r>
        <w:t xml:space="preserve"> </w:t>
      </w:r>
      <w:hyperlink r:id="rId26" w:history="1">
        <w:r>
          <w:rPr>
            <w:rStyle w:val="Hyperlink"/>
            <w:rFonts w:ascii="Times New Roman" w:hAnsi="Times New Roman"/>
            <w:sz w:val="18"/>
          </w:rPr>
          <w:t>http://cache.media.enseignementsup-recherche.gouv.fr/file/Strategie_Recherche/26/9/strategie_nationale_recherche_397269.pdf</w:t>
        </w:r>
      </w:hyperlink>
    </w:p>
  </w:footnote>
  <w:footnote w:id="79">
    <w:p w14:paraId="3822748C" w14:textId="40EBF3EF" w:rsidR="00FB41BB" w:rsidRPr="004F2995" w:rsidRDefault="00FB41BB" w:rsidP="00AF3E15">
      <w:pPr>
        <w:pStyle w:val="FootnoteText"/>
        <w:jc w:val="left"/>
        <w:rPr>
          <w:rFonts w:ascii="Times New Roman" w:hAnsi="Times New Roman"/>
          <w:sz w:val="18"/>
          <w:szCs w:val="18"/>
          <w:lang w:val="fr-FR"/>
        </w:rPr>
      </w:pPr>
      <w:r>
        <w:rPr>
          <w:rStyle w:val="Caractresdenotedebasdepage"/>
          <w:rFonts w:ascii="Times New Roman" w:hAnsi="Times New Roman"/>
        </w:rPr>
        <w:footnoteRef/>
      </w:r>
      <w:r w:rsidRPr="004F2995">
        <w:rPr>
          <w:lang w:val="fr-FR"/>
        </w:rPr>
        <w:t xml:space="preserve"> </w:t>
      </w:r>
      <w:r w:rsidRPr="004F2995">
        <w:rPr>
          <w:rFonts w:ascii="Times New Roman" w:hAnsi="Times New Roman"/>
          <w:sz w:val="18"/>
          <w:lang w:val="fr-FR"/>
        </w:rPr>
        <w:t xml:space="preserve">En Français : </w:t>
      </w:r>
      <w:hyperlink r:id="rId27" w:history="1">
        <w:r w:rsidRPr="004F2995">
          <w:rPr>
            <w:rStyle w:val="Hyperlink"/>
            <w:rFonts w:ascii="Times New Roman" w:hAnsi="Times New Roman"/>
            <w:sz w:val="18"/>
            <w:lang w:val="fr-FR"/>
          </w:rPr>
          <w:t>http://cache.media.enseignementsup-recherche.gouv.fr/file/Infrastructures_de_recherche/74/5/feuille_route_infrastructures_recherche_2016_555745.pdf</w:t>
        </w:r>
      </w:hyperlink>
    </w:p>
    <w:p w14:paraId="1CDDEE10" w14:textId="7FFAF3E8" w:rsidR="00FB41BB" w:rsidRDefault="00FB41BB" w:rsidP="00AF3E15">
      <w:pPr>
        <w:pStyle w:val="FootnoteText"/>
        <w:jc w:val="left"/>
      </w:pPr>
      <w:r>
        <w:rPr>
          <w:rFonts w:ascii="Times New Roman" w:hAnsi="Times New Roman"/>
          <w:sz w:val="18"/>
        </w:rPr>
        <w:t xml:space="preserve">In English: </w:t>
      </w:r>
      <w:hyperlink r:id="rId28" w:history="1">
        <w:r>
          <w:rPr>
            <w:rStyle w:val="Hyperlink"/>
            <w:rFonts w:ascii="Times New Roman" w:hAnsi="Times New Roman"/>
            <w:sz w:val="18"/>
          </w:rPr>
          <w:t>http://cache.media.enseignementsup-recherche.gouv.fr/file/Infrastructures_de_recherche/16/4/infrastructures_UK_web_615164.pdf</w:t>
        </w:r>
      </w:hyperlink>
      <w:r>
        <w:rPr>
          <w:rFonts w:ascii="Times New Roman" w:hAnsi="Times New Roman"/>
          <w:sz w:val="18"/>
        </w:rPr>
        <w:t xml:space="preserve">                                               190</w:t>
      </w:r>
    </w:p>
  </w:footnote>
  <w:footnote w:id="80">
    <w:p w14:paraId="09028F11" w14:textId="77777777" w:rsidR="00FB41BB" w:rsidRDefault="00FB41BB" w:rsidP="007E76D2">
      <w:pPr>
        <w:pStyle w:val="FootnoteText"/>
      </w:pPr>
      <w:r>
        <w:rPr>
          <w:rStyle w:val="Caractresdenotedebasdepage"/>
          <w:rFonts w:ascii="Times New Roman" w:hAnsi="Times New Roman"/>
        </w:rPr>
        <w:footnoteRef/>
      </w:r>
      <w:r>
        <w:tab/>
        <w:t xml:space="preserve"> </w:t>
      </w:r>
      <w:hyperlink r:id="rId29" w:history="1">
        <w:r>
          <w:rPr>
            <w:rStyle w:val="Hyperlink"/>
            <w:rFonts w:ascii="Times New Roman" w:hAnsi="Times New Roman"/>
            <w:sz w:val="18"/>
          </w:rPr>
          <w:t>https://www.performance-publique.budget.gouv.fr/sites/performance_publique/files/farandole/ressources/2016/pap/pdf/jaunes/jaune2016_investissements_avenir.pdf</w:t>
        </w:r>
      </w:hyperlink>
      <w:r>
        <w:rPr>
          <w:rFonts w:ascii="Times New Roman" w:hAnsi="Times New Roman"/>
          <w:sz w:val="18"/>
        </w:rPr>
        <w:t xml:space="preserve">                                                                                                                                                                                    191</w:t>
      </w:r>
    </w:p>
  </w:footnote>
  <w:footnote w:id="81">
    <w:p w14:paraId="42373BF1" w14:textId="77777777" w:rsidR="00FB41BB" w:rsidRDefault="00FB41BB" w:rsidP="007E76D2">
      <w:pPr>
        <w:pStyle w:val="FootnoteText"/>
        <w:rPr>
          <w:rFonts w:ascii="Times New Roman" w:hAnsi="Times New Roman"/>
          <w:sz w:val="18"/>
        </w:rPr>
      </w:pPr>
      <w:r>
        <w:rPr>
          <w:rStyle w:val="Caractresdenotedebasdepage"/>
          <w:rFonts w:ascii="Times New Roman" w:hAnsi="Times New Roman"/>
        </w:rPr>
        <w:footnoteRef/>
      </w:r>
      <w:r>
        <w:rPr>
          <w:rFonts w:ascii="Times New Roman" w:hAnsi="Times New Roman"/>
          <w:sz w:val="18"/>
        </w:rPr>
        <w:tab/>
        <w:t xml:space="preserve"> The Centre for Atmospheric Environment Research and Tuition (CEREA)</w:t>
      </w:r>
    </w:p>
    <w:p w14:paraId="5C03724D" w14:textId="77777777" w:rsidR="00FB41BB" w:rsidRDefault="00FB41BB" w:rsidP="007E76D2">
      <w:pPr>
        <w:pStyle w:val="FootnoteText"/>
        <w:rPr>
          <w:rFonts w:ascii="Times New Roman" w:hAnsi="Times New Roman"/>
          <w:sz w:val="18"/>
        </w:rPr>
      </w:pPr>
      <w:r>
        <w:rPr>
          <w:rFonts w:ascii="Times New Roman" w:hAnsi="Times New Roman"/>
          <w:sz w:val="18"/>
        </w:rPr>
        <w:tab/>
        <w:t>the South Paris Geosciences Laboratory (GEOPS)</w:t>
      </w:r>
    </w:p>
    <w:p w14:paraId="0B44E771" w14:textId="77777777" w:rsidR="00FB41BB" w:rsidRDefault="00FB41BB" w:rsidP="007E76D2">
      <w:pPr>
        <w:pStyle w:val="FootnoteText"/>
        <w:rPr>
          <w:rFonts w:ascii="Times New Roman" w:hAnsi="Times New Roman"/>
          <w:sz w:val="18"/>
        </w:rPr>
      </w:pPr>
      <w:r>
        <w:rPr>
          <w:rFonts w:ascii="Times New Roman" w:hAnsi="Times New Roman"/>
          <w:sz w:val="18"/>
        </w:rPr>
        <w:tab/>
        <w:t>the Atmospheres, Surroundings and Space Observation Laboratory (LATMOS)</w:t>
      </w:r>
    </w:p>
    <w:p w14:paraId="6D6F8A01" w14:textId="77777777" w:rsidR="00FB41BB" w:rsidRDefault="00FB41BB" w:rsidP="007E76D2">
      <w:pPr>
        <w:pStyle w:val="FootnoteText"/>
        <w:rPr>
          <w:rFonts w:ascii="Times New Roman" w:hAnsi="Times New Roman"/>
          <w:sz w:val="18"/>
        </w:rPr>
      </w:pPr>
      <w:r>
        <w:rPr>
          <w:rFonts w:ascii="Times New Roman" w:hAnsi="Times New Roman"/>
          <w:sz w:val="18"/>
        </w:rPr>
        <w:tab/>
        <w:t>a team from the Radiation Studies, Astrophysics, Matter and Atmospheres Laboratory (LERMA)</w:t>
      </w:r>
    </w:p>
    <w:p w14:paraId="6B0E2BCA" w14:textId="77777777" w:rsidR="00FB41BB" w:rsidRDefault="00FB41BB" w:rsidP="007E76D2">
      <w:pPr>
        <w:pStyle w:val="FootnoteText"/>
        <w:rPr>
          <w:rFonts w:ascii="Times New Roman" w:hAnsi="Times New Roman"/>
          <w:sz w:val="18"/>
        </w:rPr>
      </w:pPr>
      <w:r>
        <w:rPr>
          <w:rFonts w:ascii="Times New Roman" w:hAnsi="Times New Roman"/>
          <w:sz w:val="18"/>
        </w:rPr>
        <w:tab/>
        <w:t>the Inter-university Atmospheric Systems Laboratory (LISA)</w:t>
      </w:r>
    </w:p>
    <w:p w14:paraId="19B2E616" w14:textId="77777777" w:rsidR="00FB41BB" w:rsidRDefault="00FB41BB" w:rsidP="007E76D2">
      <w:pPr>
        <w:pStyle w:val="FootnoteText"/>
        <w:rPr>
          <w:rFonts w:ascii="Times New Roman" w:hAnsi="Times New Roman"/>
          <w:sz w:val="18"/>
        </w:rPr>
      </w:pPr>
      <w:r>
        <w:rPr>
          <w:rFonts w:ascii="Times New Roman" w:hAnsi="Times New Roman"/>
          <w:sz w:val="18"/>
        </w:rPr>
        <w:tab/>
        <w:t>the Dynamic Meteorology Laboratory (LMD)</w:t>
      </w:r>
    </w:p>
    <w:p w14:paraId="7F319DA6" w14:textId="77777777" w:rsidR="00FB41BB" w:rsidRDefault="00FB41BB" w:rsidP="007E76D2">
      <w:pPr>
        <w:pStyle w:val="FootnoteText"/>
        <w:rPr>
          <w:rFonts w:ascii="Times New Roman" w:hAnsi="Times New Roman"/>
          <w:sz w:val="18"/>
        </w:rPr>
      </w:pPr>
      <w:r>
        <w:rPr>
          <w:rFonts w:ascii="Times New Roman" w:hAnsi="Times New Roman"/>
          <w:sz w:val="18"/>
        </w:rPr>
        <w:tab/>
        <w:t>the Oceanography and Climate Laboratory: experiments and digital approaches (LOCEAN)</w:t>
      </w:r>
    </w:p>
    <w:p w14:paraId="2D79EA55" w14:textId="77777777" w:rsidR="00FB41BB" w:rsidRDefault="00FB41BB" w:rsidP="007E76D2">
      <w:pPr>
        <w:pStyle w:val="FootnoteText"/>
        <w:rPr>
          <w:rFonts w:ascii="Times New Roman" w:hAnsi="Times New Roman"/>
          <w:sz w:val="18"/>
        </w:rPr>
      </w:pPr>
      <w:r>
        <w:rPr>
          <w:rFonts w:ascii="Times New Roman" w:hAnsi="Times New Roman"/>
          <w:sz w:val="18"/>
        </w:rPr>
        <w:tab/>
        <w:t>the Climate Sciences and Environment Laboratory (LSCE)</w:t>
      </w:r>
    </w:p>
    <w:p w14:paraId="391F90A0" w14:textId="77777777" w:rsidR="00FB41BB" w:rsidRDefault="00FB41BB" w:rsidP="007E76D2">
      <w:pPr>
        <w:pStyle w:val="FootnoteText"/>
      </w:pPr>
      <w:r>
        <w:rPr>
          <w:rFonts w:ascii="Times New Roman" w:hAnsi="Times New Roman"/>
          <w:sz w:val="18"/>
        </w:rPr>
        <w:tab/>
        <w:t>the Environmental Surroundings, Hydrosystems and Soil Transfer Interaction Laboratory (METIS)   193</w:t>
      </w:r>
    </w:p>
  </w:footnote>
  <w:footnote w:id="82">
    <w:p w14:paraId="0AFC2A7D" w14:textId="5AC835A5" w:rsidR="00FB41BB" w:rsidRDefault="00FB41BB" w:rsidP="007E76D2">
      <w:pPr>
        <w:pStyle w:val="FootnoteText"/>
      </w:pPr>
      <w:r>
        <w:rPr>
          <w:rStyle w:val="Caractresdenotedebasdepage"/>
          <w:rFonts w:ascii="Times New Roman" w:hAnsi="Times New Roman"/>
        </w:rPr>
        <w:footnoteRef/>
      </w:r>
      <w:r>
        <w:rPr>
          <w:color w:val="000000"/>
        </w:rPr>
        <w:t xml:space="preserve"> </w:t>
      </w:r>
      <w:r>
        <w:rPr>
          <w:rFonts w:ascii="Times New Roman" w:hAnsi="Times New Roman"/>
          <w:color w:val="000000"/>
          <w:sz w:val="18"/>
        </w:rPr>
        <w:t>A fine planetary film that includes all life and extends from untouched rocks and aquifers to the tree canopy and the lower atmosphere. The critical area is the zone of interaction between the atmosphere, biosphere, the hydrosphere and the earth’s crust                                                                                                                                                                         195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513C9" w14:textId="77777777" w:rsidR="00FB41BB" w:rsidRDefault="00FB41BB" w:rsidP="00466AA3">
    <w:pPr>
      <w:pStyle w:val="Header"/>
      <w:ind w:left="-14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color w:val="000000"/>
        <w:sz w:val="22"/>
        <w:szCs w:val="18"/>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1353" w:hanging="360"/>
      </w:pPr>
      <w:rPr>
        <w:rFonts w:ascii="Symbol" w:hAnsi="Symbol" w:cs="Symbol" w:hint="default"/>
        <w:color w:val="000000"/>
        <w:sz w:val="22"/>
        <w:szCs w:val="22"/>
        <w:lang w:val="en-US"/>
      </w:rPr>
    </w:lvl>
  </w:abstractNum>
  <w:abstractNum w:abstractNumId="2" w15:restartNumberingAfterBreak="0">
    <w:nsid w:val="00000004"/>
    <w:multiLevelType w:val="multilevel"/>
    <w:tmpl w:val="00000004"/>
    <w:name w:val="WW8Num4"/>
    <w:lvl w:ilvl="0">
      <w:start w:val="1"/>
      <w:numFmt w:val="bullet"/>
      <w:lvlText w:val=""/>
      <w:lvlJc w:val="left"/>
      <w:pPr>
        <w:tabs>
          <w:tab w:val="num" w:pos="0"/>
        </w:tabs>
        <w:ind w:left="1353" w:hanging="360"/>
      </w:pPr>
      <w:rPr>
        <w:rFonts w:ascii="Symbol" w:hAnsi="Symbol" w:cs="Symbol" w:hint="default"/>
        <w:color w:val="000000"/>
        <w:sz w:val="22"/>
        <w:szCs w:val="22"/>
      </w:rPr>
    </w:lvl>
    <w:lvl w:ilvl="1">
      <w:start w:val="1"/>
      <w:numFmt w:val="bullet"/>
      <w:lvlText w:val=""/>
      <w:lvlJc w:val="left"/>
      <w:pPr>
        <w:tabs>
          <w:tab w:val="num" w:pos="0"/>
        </w:tabs>
        <w:ind w:left="1440" w:hanging="360"/>
      </w:pPr>
      <w:rPr>
        <w:rFonts w:ascii="Symbol" w:hAnsi="Symbol" w:cs="Symbol" w:hint="default"/>
        <w:color w:val="000000"/>
        <w:sz w:val="22"/>
        <w:szCs w:val="22"/>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color w:val="000000"/>
        <w:sz w:val="22"/>
        <w:szCs w:val="22"/>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color w:val="000000"/>
        <w:sz w:val="22"/>
        <w:szCs w:val="22"/>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00283B34"/>
    <w:multiLevelType w:val="hybridMultilevel"/>
    <w:tmpl w:val="DA6CED58"/>
    <w:lvl w:ilvl="0" w:tplc="0018DB8A">
      <w:start w:val="1"/>
      <w:numFmt w:val="bullet"/>
      <w:pStyle w:val="Textepuce1"/>
      <w:lvlText w:val=""/>
      <w:lvlJc w:val="left"/>
      <w:pPr>
        <w:ind w:left="927"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5B22477"/>
    <w:multiLevelType w:val="hybridMultilevel"/>
    <w:tmpl w:val="60505D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73C2CFF"/>
    <w:multiLevelType w:val="hybridMultilevel"/>
    <w:tmpl w:val="4CD4C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95704CE"/>
    <w:multiLevelType w:val="multilevel"/>
    <w:tmpl w:val="51C2F876"/>
    <w:lvl w:ilvl="0">
      <w:start w:val="1"/>
      <w:numFmt w:val="upperLetter"/>
      <w:lvlText w:val="%1."/>
      <w:lvlJc w:val="left"/>
      <w:pPr>
        <w:ind w:left="0" w:firstLine="0"/>
      </w:pPr>
      <w:rPr>
        <w:rFonts w:hint="default"/>
        <w:i w:val="0"/>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 w15:restartNumberingAfterBreak="0">
    <w:nsid w:val="09F52CFD"/>
    <w:multiLevelType w:val="hybridMultilevel"/>
    <w:tmpl w:val="304E98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A087C5F"/>
    <w:multiLevelType w:val="multilevel"/>
    <w:tmpl w:val="3ED00128"/>
    <w:styleLink w:val="List1"/>
    <w:lvl w:ilvl="0">
      <w:numFmt w:val="bullet"/>
      <w:lvlText w:val="•"/>
      <w:lvlJc w:val="left"/>
      <w:pPr>
        <w:ind w:left="227" w:hanging="227"/>
      </w:pPr>
      <w:rPr>
        <w:rFonts w:ascii="StarSymbol" w:hAnsi="StarSymbol"/>
      </w:rPr>
    </w:lvl>
    <w:lvl w:ilvl="1">
      <w:numFmt w:val="bullet"/>
      <w:lvlText w:val="•"/>
      <w:lvlJc w:val="left"/>
      <w:pPr>
        <w:ind w:left="454" w:hanging="227"/>
      </w:pPr>
      <w:rPr>
        <w:rFonts w:ascii="StarSymbol" w:hAnsi="StarSymbol"/>
      </w:rPr>
    </w:lvl>
    <w:lvl w:ilvl="2">
      <w:numFmt w:val="bullet"/>
      <w:lvlText w:val="•"/>
      <w:lvlJc w:val="left"/>
      <w:pPr>
        <w:ind w:left="680" w:hanging="227"/>
      </w:pPr>
      <w:rPr>
        <w:rFonts w:ascii="StarSymbol" w:hAnsi="StarSymbol"/>
      </w:rPr>
    </w:lvl>
    <w:lvl w:ilvl="3">
      <w:numFmt w:val="bullet"/>
      <w:lvlText w:val="•"/>
      <w:lvlJc w:val="left"/>
      <w:pPr>
        <w:ind w:left="907" w:hanging="227"/>
      </w:pPr>
      <w:rPr>
        <w:rFonts w:ascii="StarSymbol" w:hAnsi="StarSymbol"/>
      </w:rPr>
    </w:lvl>
    <w:lvl w:ilvl="4">
      <w:numFmt w:val="bullet"/>
      <w:lvlText w:val="•"/>
      <w:lvlJc w:val="left"/>
      <w:pPr>
        <w:ind w:left="1134" w:hanging="227"/>
      </w:pPr>
      <w:rPr>
        <w:rFonts w:ascii="StarSymbol" w:hAnsi="StarSymbol"/>
      </w:rPr>
    </w:lvl>
    <w:lvl w:ilvl="5">
      <w:numFmt w:val="bullet"/>
      <w:lvlText w:val="•"/>
      <w:lvlJc w:val="left"/>
      <w:pPr>
        <w:ind w:left="1361" w:hanging="227"/>
      </w:pPr>
      <w:rPr>
        <w:rFonts w:ascii="StarSymbol" w:hAnsi="StarSymbol"/>
      </w:rPr>
    </w:lvl>
    <w:lvl w:ilvl="6">
      <w:numFmt w:val="bullet"/>
      <w:lvlText w:val="•"/>
      <w:lvlJc w:val="left"/>
      <w:pPr>
        <w:ind w:left="1587" w:hanging="227"/>
      </w:pPr>
      <w:rPr>
        <w:rFonts w:ascii="StarSymbol" w:hAnsi="StarSymbol"/>
      </w:rPr>
    </w:lvl>
    <w:lvl w:ilvl="7">
      <w:numFmt w:val="bullet"/>
      <w:lvlText w:val="•"/>
      <w:lvlJc w:val="left"/>
      <w:pPr>
        <w:ind w:left="1814" w:hanging="227"/>
      </w:pPr>
      <w:rPr>
        <w:rFonts w:ascii="StarSymbol" w:hAnsi="StarSymbol"/>
      </w:rPr>
    </w:lvl>
    <w:lvl w:ilvl="8">
      <w:numFmt w:val="bullet"/>
      <w:lvlText w:val="•"/>
      <w:lvlJc w:val="left"/>
      <w:pPr>
        <w:ind w:left="2041" w:hanging="227"/>
      </w:pPr>
      <w:rPr>
        <w:rFonts w:ascii="StarSymbol" w:hAnsi="StarSymbol"/>
      </w:rPr>
    </w:lvl>
  </w:abstractNum>
  <w:abstractNum w:abstractNumId="9" w15:restartNumberingAfterBreak="0">
    <w:nsid w:val="0E3008DF"/>
    <w:multiLevelType w:val="multilevel"/>
    <w:tmpl w:val="E106418E"/>
    <w:name w:val="NC-BR-2022"/>
    <w:lvl w:ilvl="0">
      <w:start w:val="1"/>
      <w:numFmt w:val="upperLetter"/>
      <w:lvlText w:val="%1."/>
      <w:lvlJc w:val="left"/>
      <w:pPr>
        <w:ind w:left="0" w:firstLine="0"/>
      </w:pPr>
      <w:rPr>
        <w:rFonts w:hint="default"/>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 w15:restartNumberingAfterBreak="0">
    <w:nsid w:val="0F671CE8"/>
    <w:multiLevelType w:val="hybridMultilevel"/>
    <w:tmpl w:val="167E2318"/>
    <w:lvl w:ilvl="0" w:tplc="61FED4D2">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2270E31"/>
    <w:multiLevelType w:val="hybridMultilevel"/>
    <w:tmpl w:val="3A02EB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22C499A"/>
    <w:multiLevelType w:val="hybridMultilevel"/>
    <w:tmpl w:val="4AE0C272"/>
    <w:lvl w:ilvl="0" w:tplc="040C0001">
      <w:start w:val="1"/>
      <w:numFmt w:val="bullet"/>
      <w:lvlText w:val=""/>
      <w:lvlJc w:val="left"/>
      <w:pPr>
        <w:ind w:left="720" w:hanging="360"/>
      </w:pPr>
      <w:rPr>
        <w:rFonts w:ascii="Symbol" w:hAnsi="Symbo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7485C25"/>
    <w:multiLevelType w:val="hybridMultilevel"/>
    <w:tmpl w:val="5CDA8020"/>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7D87752"/>
    <w:multiLevelType w:val="hybridMultilevel"/>
    <w:tmpl w:val="AA54F6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86100DE"/>
    <w:multiLevelType w:val="hybridMultilevel"/>
    <w:tmpl w:val="C15EB3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8FB09A4"/>
    <w:multiLevelType w:val="hybridMultilevel"/>
    <w:tmpl w:val="ED78A8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C592BA2"/>
    <w:multiLevelType w:val="hybridMultilevel"/>
    <w:tmpl w:val="250CAE14"/>
    <w:lvl w:ilvl="0" w:tplc="61FED4D2">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DB31F31"/>
    <w:multiLevelType w:val="hybridMultilevel"/>
    <w:tmpl w:val="B1D834B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09362E4"/>
    <w:multiLevelType w:val="hybridMultilevel"/>
    <w:tmpl w:val="0FD82F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0B56E6F"/>
    <w:multiLevelType w:val="hybridMultilevel"/>
    <w:tmpl w:val="DDA22384"/>
    <w:lvl w:ilvl="0" w:tplc="7AA69D88">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 w15:restartNumberingAfterBreak="0">
    <w:nsid w:val="21B43A3F"/>
    <w:multiLevelType w:val="hybridMultilevel"/>
    <w:tmpl w:val="6BBEC4CA"/>
    <w:lvl w:ilvl="0" w:tplc="F62A4D5A">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23E41348"/>
    <w:multiLevelType w:val="hybridMultilevel"/>
    <w:tmpl w:val="E4925472"/>
    <w:lvl w:ilvl="0" w:tplc="61FED4D2">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50E46F0"/>
    <w:multiLevelType w:val="hybridMultilevel"/>
    <w:tmpl w:val="413047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68F7913"/>
    <w:multiLevelType w:val="hybridMultilevel"/>
    <w:tmpl w:val="1D9AF3DE"/>
    <w:lvl w:ilvl="0" w:tplc="00000003">
      <w:start w:val="1"/>
      <w:numFmt w:val="bullet"/>
      <w:lvlText w:val=""/>
      <w:lvlJc w:val="left"/>
      <w:pPr>
        <w:tabs>
          <w:tab w:val="num" w:pos="0"/>
        </w:tabs>
        <w:ind w:left="1353" w:hanging="360"/>
      </w:pPr>
      <w:rPr>
        <w:rFonts w:ascii="Symbol" w:hAnsi="Symbol" w:cs="Symbol" w:hint="default"/>
        <w:color w:val="000000"/>
        <w:sz w:val="22"/>
        <w:szCs w:val="22"/>
        <w:lang w:val="en-U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6C21F9E"/>
    <w:multiLevelType w:val="hybridMultilevel"/>
    <w:tmpl w:val="639CADB8"/>
    <w:lvl w:ilvl="0" w:tplc="426CAB78">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7330B93"/>
    <w:multiLevelType w:val="hybridMultilevel"/>
    <w:tmpl w:val="2D8E11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A18121F"/>
    <w:multiLevelType w:val="hybridMultilevel"/>
    <w:tmpl w:val="D8E44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A4C5D5D"/>
    <w:multiLevelType w:val="hybridMultilevel"/>
    <w:tmpl w:val="28662BDC"/>
    <w:lvl w:ilvl="0" w:tplc="00000003">
      <w:start w:val="1"/>
      <w:numFmt w:val="bullet"/>
      <w:lvlText w:val=""/>
      <w:lvlJc w:val="left"/>
      <w:pPr>
        <w:tabs>
          <w:tab w:val="num" w:pos="0"/>
        </w:tabs>
        <w:ind w:left="1353" w:hanging="360"/>
      </w:pPr>
      <w:rPr>
        <w:rFonts w:ascii="Symbol" w:hAnsi="Symbol" w:cs="Symbol" w:hint="default"/>
        <w:color w:val="000000"/>
        <w:sz w:val="22"/>
        <w:szCs w:val="22"/>
        <w:lang w:val="en-U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B837740"/>
    <w:multiLevelType w:val="hybridMultilevel"/>
    <w:tmpl w:val="8BC0DD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BF467F2"/>
    <w:multiLevelType w:val="hybridMultilevel"/>
    <w:tmpl w:val="1318CA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C5E5F9B"/>
    <w:multiLevelType w:val="hybridMultilevel"/>
    <w:tmpl w:val="F86861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F8127C3"/>
    <w:multiLevelType w:val="hybridMultilevel"/>
    <w:tmpl w:val="595806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2DF4077"/>
    <w:multiLevelType w:val="hybridMultilevel"/>
    <w:tmpl w:val="98D477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30C15ED"/>
    <w:multiLevelType w:val="multilevel"/>
    <w:tmpl w:val="C630A204"/>
    <w:styleLink w:val="Numbering1"/>
    <w:lvl w:ilvl="0">
      <w:start w:val="1"/>
      <w:numFmt w:val="decimal"/>
      <w:lvlText w:val="%1."/>
      <w:lvlJc w:val="left"/>
      <w:pPr>
        <w:ind w:left="283" w:hanging="283"/>
      </w:pPr>
    </w:lvl>
    <w:lvl w:ilvl="1">
      <w:start w:val="1"/>
      <w:numFmt w:val="decimal"/>
      <w:lvlText w:val="%2."/>
      <w:lvlJc w:val="left"/>
      <w:pPr>
        <w:ind w:left="567" w:hanging="283"/>
      </w:pPr>
    </w:lvl>
    <w:lvl w:ilvl="2">
      <w:start w:val="1"/>
      <w:numFmt w:val="decimal"/>
      <w:lvlText w:val="%3."/>
      <w:lvlJc w:val="left"/>
      <w:pPr>
        <w:ind w:left="850" w:hanging="283"/>
      </w:pPr>
    </w:lvl>
    <w:lvl w:ilvl="3">
      <w:start w:val="1"/>
      <w:numFmt w:val="decimal"/>
      <w:lvlText w:val="%4."/>
      <w:lvlJc w:val="left"/>
      <w:pPr>
        <w:ind w:left="1134" w:hanging="283"/>
      </w:pPr>
    </w:lvl>
    <w:lvl w:ilvl="4">
      <w:start w:val="1"/>
      <w:numFmt w:val="decimal"/>
      <w:lvlText w:val="%5."/>
      <w:lvlJc w:val="left"/>
      <w:pPr>
        <w:ind w:left="1417" w:hanging="283"/>
      </w:pPr>
    </w:lvl>
    <w:lvl w:ilvl="5">
      <w:start w:val="1"/>
      <w:numFmt w:val="decimal"/>
      <w:lvlText w:val="%6."/>
      <w:lvlJc w:val="left"/>
      <w:pPr>
        <w:ind w:left="1701" w:hanging="283"/>
      </w:pPr>
    </w:lvl>
    <w:lvl w:ilvl="6">
      <w:start w:val="1"/>
      <w:numFmt w:val="decimal"/>
      <w:lvlText w:val="%7."/>
      <w:lvlJc w:val="left"/>
      <w:pPr>
        <w:ind w:left="1984" w:hanging="283"/>
      </w:pPr>
    </w:lvl>
    <w:lvl w:ilvl="7">
      <w:start w:val="1"/>
      <w:numFmt w:val="decimal"/>
      <w:lvlText w:val="%8."/>
      <w:lvlJc w:val="left"/>
      <w:pPr>
        <w:ind w:left="2268" w:hanging="283"/>
      </w:pPr>
    </w:lvl>
    <w:lvl w:ilvl="8">
      <w:start w:val="1"/>
      <w:numFmt w:val="decimal"/>
      <w:lvlText w:val="%9."/>
      <w:lvlJc w:val="left"/>
      <w:pPr>
        <w:ind w:left="2551" w:hanging="283"/>
      </w:pPr>
    </w:lvl>
  </w:abstractNum>
  <w:abstractNum w:abstractNumId="35" w15:restartNumberingAfterBreak="0">
    <w:nsid w:val="35635F40"/>
    <w:multiLevelType w:val="hybridMultilevel"/>
    <w:tmpl w:val="AE7402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36286A75"/>
    <w:multiLevelType w:val="hybridMultilevel"/>
    <w:tmpl w:val="9E76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D423E42"/>
    <w:multiLevelType w:val="hybridMultilevel"/>
    <w:tmpl w:val="F60856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DAB7ADB"/>
    <w:multiLevelType w:val="hybridMultilevel"/>
    <w:tmpl w:val="05EC7C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E6F7A68"/>
    <w:multiLevelType w:val="hybridMultilevel"/>
    <w:tmpl w:val="6AF0F3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F502AAE"/>
    <w:multiLevelType w:val="hybridMultilevel"/>
    <w:tmpl w:val="D65AC0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FD62E1D"/>
    <w:multiLevelType w:val="multilevel"/>
    <w:tmpl w:val="94482BA2"/>
    <w:lvl w:ilvl="0">
      <w:numFmt w:val="bullet"/>
      <w:lvlText w:val="-"/>
      <w:lvlJc w:val="left"/>
      <w:pPr>
        <w:ind w:left="360" w:hanging="360"/>
      </w:pPr>
      <w:rPr>
        <w:rFonts w:ascii="Calibri" w:eastAsiaTheme="minorHAnsi" w:hAnsi="Calibri" w:cs="Calibri" w:hint="default"/>
        <w:sz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2" w15:restartNumberingAfterBreak="0">
    <w:nsid w:val="404A298B"/>
    <w:multiLevelType w:val="hybridMultilevel"/>
    <w:tmpl w:val="6542EA9A"/>
    <w:lvl w:ilvl="0" w:tplc="040C0001">
      <w:start w:val="1"/>
      <w:numFmt w:val="bullet"/>
      <w:lvlText w:val=""/>
      <w:lvlJc w:val="left"/>
      <w:pPr>
        <w:ind w:left="720" w:hanging="360"/>
      </w:pPr>
      <w:rPr>
        <w:rFonts w:ascii="Symbol" w:hAnsi="Symbol" w:hint="default"/>
      </w:rPr>
    </w:lvl>
    <w:lvl w:ilvl="1" w:tplc="66540D5E">
      <w:numFmt w:val="bullet"/>
      <w:lvlText w:val="•"/>
      <w:lvlJc w:val="left"/>
      <w:pPr>
        <w:ind w:left="1785" w:hanging="705"/>
      </w:pPr>
      <w:rPr>
        <w:rFonts w:ascii="Marianne" w:eastAsia="Times New Roman" w:hAnsi="Marianne"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40A077CF"/>
    <w:multiLevelType w:val="hybridMultilevel"/>
    <w:tmpl w:val="CCD6B2C4"/>
    <w:lvl w:ilvl="0" w:tplc="040C0001">
      <w:start w:val="3"/>
      <w:numFmt w:val="bullet"/>
      <w:lvlText w:val=""/>
      <w:lvlJc w:val="left"/>
      <w:pPr>
        <w:ind w:left="720" w:hanging="360"/>
      </w:pPr>
      <w:rPr>
        <w:rFonts w:ascii="Symbol" w:eastAsia="Times New Roman"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41812A1E"/>
    <w:multiLevelType w:val="hybridMultilevel"/>
    <w:tmpl w:val="1AAC89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299315A"/>
    <w:multiLevelType w:val="hybridMultilevel"/>
    <w:tmpl w:val="8CAE5E88"/>
    <w:lvl w:ilvl="0" w:tplc="F3245D8E">
      <w:numFmt w:val="bullet"/>
      <w:lvlText w:val="-"/>
      <w:lvlJc w:val="left"/>
      <w:pPr>
        <w:ind w:left="358" w:hanging="360"/>
      </w:pPr>
      <w:rPr>
        <w:rFonts w:ascii="Marianne" w:eastAsia="Times New Roman" w:hAnsi="Marianne" w:cs="Times New Roman" w:hint="default"/>
      </w:rPr>
    </w:lvl>
    <w:lvl w:ilvl="1" w:tplc="040C0003" w:tentative="1">
      <w:start w:val="1"/>
      <w:numFmt w:val="bullet"/>
      <w:lvlText w:val="o"/>
      <w:lvlJc w:val="left"/>
      <w:pPr>
        <w:ind w:left="1078" w:hanging="360"/>
      </w:pPr>
      <w:rPr>
        <w:rFonts w:ascii="Courier New" w:hAnsi="Courier New" w:cs="Courier New" w:hint="default"/>
      </w:rPr>
    </w:lvl>
    <w:lvl w:ilvl="2" w:tplc="040C0005" w:tentative="1">
      <w:start w:val="1"/>
      <w:numFmt w:val="bullet"/>
      <w:lvlText w:val=""/>
      <w:lvlJc w:val="left"/>
      <w:pPr>
        <w:ind w:left="1798" w:hanging="360"/>
      </w:pPr>
      <w:rPr>
        <w:rFonts w:ascii="Wingdings" w:hAnsi="Wingdings" w:hint="default"/>
      </w:rPr>
    </w:lvl>
    <w:lvl w:ilvl="3" w:tplc="040C0001" w:tentative="1">
      <w:start w:val="1"/>
      <w:numFmt w:val="bullet"/>
      <w:lvlText w:val=""/>
      <w:lvlJc w:val="left"/>
      <w:pPr>
        <w:ind w:left="2518" w:hanging="360"/>
      </w:pPr>
      <w:rPr>
        <w:rFonts w:ascii="Symbol" w:hAnsi="Symbol" w:hint="default"/>
      </w:rPr>
    </w:lvl>
    <w:lvl w:ilvl="4" w:tplc="040C0003" w:tentative="1">
      <w:start w:val="1"/>
      <w:numFmt w:val="bullet"/>
      <w:lvlText w:val="o"/>
      <w:lvlJc w:val="left"/>
      <w:pPr>
        <w:ind w:left="3238" w:hanging="360"/>
      </w:pPr>
      <w:rPr>
        <w:rFonts w:ascii="Courier New" w:hAnsi="Courier New" w:cs="Courier New" w:hint="default"/>
      </w:rPr>
    </w:lvl>
    <w:lvl w:ilvl="5" w:tplc="040C0005" w:tentative="1">
      <w:start w:val="1"/>
      <w:numFmt w:val="bullet"/>
      <w:lvlText w:val=""/>
      <w:lvlJc w:val="left"/>
      <w:pPr>
        <w:ind w:left="3958" w:hanging="360"/>
      </w:pPr>
      <w:rPr>
        <w:rFonts w:ascii="Wingdings" w:hAnsi="Wingdings" w:hint="default"/>
      </w:rPr>
    </w:lvl>
    <w:lvl w:ilvl="6" w:tplc="040C0001" w:tentative="1">
      <w:start w:val="1"/>
      <w:numFmt w:val="bullet"/>
      <w:lvlText w:val=""/>
      <w:lvlJc w:val="left"/>
      <w:pPr>
        <w:ind w:left="4678" w:hanging="360"/>
      </w:pPr>
      <w:rPr>
        <w:rFonts w:ascii="Symbol" w:hAnsi="Symbol" w:hint="default"/>
      </w:rPr>
    </w:lvl>
    <w:lvl w:ilvl="7" w:tplc="040C0003" w:tentative="1">
      <w:start w:val="1"/>
      <w:numFmt w:val="bullet"/>
      <w:lvlText w:val="o"/>
      <w:lvlJc w:val="left"/>
      <w:pPr>
        <w:ind w:left="5398" w:hanging="360"/>
      </w:pPr>
      <w:rPr>
        <w:rFonts w:ascii="Courier New" w:hAnsi="Courier New" w:cs="Courier New" w:hint="default"/>
      </w:rPr>
    </w:lvl>
    <w:lvl w:ilvl="8" w:tplc="040C0005" w:tentative="1">
      <w:start w:val="1"/>
      <w:numFmt w:val="bullet"/>
      <w:lvlText w:val=""/>
      <w:lvlJc w:val="left"/>
      <w:pPr>
        <w:ind w:left="6118" w:hanging="360"/>
      </w:pPr>
      <w:rPr>
        <w:rFonts w:ascii="Wingdings" w:hAnsi="Wingdings" w:hint="default"/>
      </w:rPr>
    </w:lvl>
  </w:abstractNum>
  <w:abstractNum w:abstractNumId="46" w15:restartNumberingAfterBreak="0">
    <w:nsid w:val="42B72B80"/>
    <w:multiLevelType w:val="hybridMultilevel"/>
    <w:tmpl w:val="FF4CA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43140B05"/>
    <w:multiLevelType w:val="hybridMultilevel"/>
    <w:tmpl w:val="00CCF2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43671518"/>
    <w:multiLevelType w:val="hybridMultilevel"/>
    <w:tmpl w:val="648E1C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59C2A97"/>
    <w:multiLevelType w:val="hybridMultilevel"/>
    <w:tmpl w:val="4C8CE9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469C0730"/>
    <w:multiLevelType w:val="multilevel"/>
    <w:tmpl w:val="EC9A8B88"/>
    <w:styleLink w:val="Style4"/>
    <w:lvl w:ilvl="0">
      <w:start w:val="1"/>
      <w:numFmt w:val="upperLetter"/>
      <w:lvlText w:val="%1."/>
      <w:lvlJc w:val="left"/>
      <w:pPr>
        <w:ind w:left="0" w:firstLine="0"/>
      </w:pPr>
      <w:rPr>
        <w:rFonts w:hint="default"/>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567" w:hanging="283"/>
      </w:pPr>
      <w:rPr>
        <w:rFonts w:hint="default"/>
      </w:rPr>
    </w:lvl>
    <w:lvl w:ilvl="5">
      <w:start w:val="1"/>
      <w:numFmt w:val="lowerLetter"/>
      <w:lvlText w:val="(%6)"/>
      <w:lvlJc w:val="left"/>
      <w:pPr>
        <w:ind w:left="567" w:hanging="283"/>
      </w:pPr>
      <w:rPr>
        <w:rFonts w:hint="default"/>
      </w:rPr>
    </w:lvl>
    <w:lvl w:ilvl="6">
      <w:start w:val="1"/>
      <w:numFmt w:val="lowerRoman"/>
      <w:lvlText w:val="(%7)"/>
      <w:lvlJc w:val="left"/>
      <w:pPr>
        <w:ind w:left="567" w:hanging="283"/>
      </w:pPr>
      <w:rPr>
        <w:rFonts w:hint="default"/>
      </w:rPr>
    </w:lvl>
    <w:lvl w:ilvl="7">
      <w:start w:val="1"/>
      <w:numFmt w:val="lowerLetter"/>
      <w:lvlText w:val="(%8)"/>
      <w:lvlJc w:val="left"/>
      <w:pPr>
        <w:ind w:left="567" w:hanging="283"/>
      </w:pPr>
      <w:rPr>
        <w:rFonts w:hint="default"/>
      </w:rPr>
    </w:lvl>
    <w:lvl w:ilvl="8">
      <w:start w:val="1"/>
      <w:numFmt w:val="lowerRoman"/>
      <w:lvlText w:val="(%9)"/>
      <w:lvlJc w:val="left"/>
      <w:pPr>
        <w:ind w:left="567" w:hanging="283"/>
      </w:pPr>
      <w:rPr>
        <w:rFonts w:hint="default"/>
      </w:rPr>
    </w:lvl>
  </w:abstractNum>
  <w:abstractNum w:abstractNumId="51" w15:restartNumberingAfterBreak="0">
    <w:nsid w:val="499520C9"/>
    <w:multiLevelType w:val="hybridMultilevel"/>
    <w:tmpl w:val="CD32B6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A887C93"/>
    <w:multiLevelType w:val="hybridMultilevel"/>
    <w:tmpl w:val="DF4287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B4C74C4"/>
    <w:multiLevelType w:val="hybridMultilevel"/>
    <w:tmpl w:val="D1402B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4C1A43CA"/>
    <w:multiLevelType w:val="multilevel"/>
    <w:tmpl w:val="51C2F876"/>
    <w:lvl w:ilvl="0">
      <w:start w:val="1"/>
      <w:numFmt w:val="upperLetter"/>
      <w:pStyle w:val="Titre2Niveau2"/>
      <w:lvlText w:val="%1."/>
      <w:lvlJc w:val="left"/>
      <w:pPr>
        <w:ind w:left="0" w:firstLine="0"/>
      </w:pPr>
      <w:rPr>
        <w:rFonts w:hint="default"/>
        <w:i w:val="0"/>
        <w:sz w:val="32"/>
        <w:szCs w:val="32"/>
      </w:rPr>
    </w:lvl>
    <w:lvl w:ilvl="1">
      <w:start w:val="1"/>
      <w:numFmt w:val="decimal"/>
      <w:pStyle w:val="Titre3Niveau3"/>
      <w:lvlText w:val="%1.%2."/>
      <w:lvlJc w:val="left"/>
      <w:pPr>
        <w:tabs>
          <w:tab w:val="num" w:pos="0"/>
        </w:tabs>
        <w:ind w:left="0" w:firstLine="0"/>
      </w:pPr>
      <w:rPr>
        <w:rFonts w:ascii="Marianne" w:hAnsi="Marianne" w:hint="default"/>
        <w:sz w:val="22"/>
      </w:rPr>
    </w:lvl>
    <w:lvl w:ilvl="2">
      <w:start w:val="1"/>
      <w:numFmt w:val="decimal"/>
      <w:pStyle w:val="Titre4niveau4"/>
      <w:lvlText w:val="%1.%2.%3."/>
      <w:lvlJc w:val="left"/>
      <w:pPr>
        <w:ind w:left="0" w:firstLine="0"/>
      </w:pPr>
      <w:rPr>
        <w:rFonts w:hint="default"/>
      </w:rPr>
    </w:lvl>
    <w:lvl w:ilvl="3">
      <w:start w:val="1"/>
      <w:numFmt w:val="none"/>
      <w:lvlRestart w:val="0"/>
      <w:pStyle w:val="titreencadre"/>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55" w15:restartNumberingAfterBreak="0">
    <w:nsid w:val="55556FF1"/>
    <w:multiLevelType w:val="multilevel"/>
    <w:tmpl w:val="ABFA1EE6"/>
    <w:lvl w:ilvl="0">
      <w:start w:val="1"/>
      <w:numFmt w:val="none"/>
      <w:suff w:val="nothing"/>
      <w:lvlText w:val="%1"/>
      <w:lvlJc w:val="left"/>
      <w:pPr>
        <w:ind w:left="0" w:firstLine="0"/>
      </w:pPr>
      <w:rPr>
        <w:rFonts w:hint="default"/>
      </w:rPr>
    </w:lvl>
    <w:lvl w:ilvl="1">
      <w:start w:val="1"/>
      <w:numFmt w:val="none"/>
      <w:pStyle w:val="Heading2"/>
      <w:suff w:val="nothing"/>
      <w:lvlText w:val="%1"/>
      <w:lvlJc w:val="left"/>
      <w:pPr>
        <w:ind w:left="0" w:firstLine="0"/>
      </w:pPr>
      <w:rPr>
        <w:rFonts w:hint="default"/>
      </w:rPr>
    </w:lvl>
    <w:lvl w:ilvl="2">
      <w:start w:val="1"/>
      <w:numFmt w:val="decimal"/>
      <w:pStyle w:val="Heading3"/>
      <w:suff w:val="space"/>
      <w:lvlText w:val="%1%3."/>
      <w:lvlJc w:val="left"/>
      <w:pPr>
        <w:ind w:left="0" w:firstLine="0"/>
      </w:pPr>
      <w:rPr>
        <w:rFonts w:hint="default"/>
      </w:rPr>
    </w:lvl>
    <w:lvl w:ilvl="3">
      <w:start w:val="1"/>
      <w:numFmt w:val="decimal"/>
      <w:pStyle w:val="Heading4"/>
      <w:suff w:val="space"/>
      <w:lvlText w:val="%1%3.%4."/>
      <w:lvlJc w:val="left"/>
      <w:pPr>
        <w:ind w:left="0" w:firstLine="0"/>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6" w15:restartNumberingAfterBreak="0">
    <w:nsid w:val="56EF5792"/>
    <w:multiLevelType w:val="hybridMultilevel"/>
    <w:tmpl w:val="697AED1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57604BD8"/>
    <w:multiLevelType w:val="multilevel"/>
    <w:tmpl w:val="E23CDC1A"/>
    <w:lvl w:ilvl="0">
      <w:start w:val="1"/>
      <w:numFmt w:val="upperLetter"/>
      <w:lvlText w:val="%1."/>
      <w:lvlJc w:val="left"/>
      <w:pPr>
        <w:ind w:left="0" w:firstLine="0"/>
      </w:pPr>
      <w:rPr>
        <w:rFonts w:hint="default"/>
        <w:i w:val="0"/>
        <w:sz w:val="32"/>
        <w:szCs w:val="32"/>
      </w:rPr>
    </w:lvl>
    <w:lvl w:ilvl="1">
      <w:start w:val="1"/>
      <w:numFmt w:val="decimal"/>
      <w:lvlText w:val="%1.%2."/>
      <w:lvlJc w:val="left"/>
      <w:pPr>
        <w:tabs>
          <w:tab w:val="num" w:pos="0"/>
        </w:tabs>
        <w:ind w:left="0" w:firstLine="0"/>
      </w:pPr>
      <w:rPr>
        <w:rFonts w:ascii="Marianne" w:hAnsi="Marianne" w:hint="default"/>
        <w:i w:val="0"/>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58" w15:restartNumberingAfterBreak="0">
    <w:nsid w:val="58766539"/>
    <w:multiLevelType w:val="multilevel"/>
    <w:tmpl w:val="E584B2DA"/>
    <w:numStyleLink w:val="Style1"/>
  </w:abstractNum>
  <w:abstractNum w:abstractNumId="59" w15:restartNumberingAfterBreak="0">
    <w:nsid w:val="59E31680"/>
    <w:multiLevelType w:val="hybridMultilevel"/>
    <w:tmpl w:val="0D5A94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5A2D2F8D"/>
    <w:multiLevelType w:val="hybridMultilevel"/>
    <w:tmpl w:val="FFA63386"/>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B033E7B"/>
    <w:multiLevelType w:val="hybridMultilevel"/>
    <w:tmpl w:val="70C6C4F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5B52219A"/>
    <w:multiLevelType w:val="hybridMultilevel"/>
    <w:tmpl w:val="9CBC83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BBA41E7"/>
    <w:multiLevelType w:val="multilevel"/>
    <w:tmpl w:val="1E5E8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E77559B"/>
    <w:multiLevelType w:val="hybridMultilevel"/>
    <w:tmpl w:val="EB1053F2"/>
    <w:lvl w:ilvl="0" w:tplc="61FED4D2">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E81476E"/>
    <w:multiLevelType w:val="multilevel"/>
    <w:tmpl w:val="EB162BA8"/>
    <w:lvl w:ilvl="0">
      <w:start w:val="1"/>
      <w:numFmt w:val="upperLetter"/>
      <w:lvlText w:val="%1."/>
      <w:lvlJc w:val="left"/>
      <w:pPr>
        <w:ind w:left="0" w:firstLine="0"/>
      </w:pPr>
      <w:rPr>
        <w:rFonts w:hint="default"/>
        <w:i w:val="0"/>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6" w15:restartNumberingAfterBreak="0">
    <w:nsid w:val="60247E77"/>
    <w:multiLevelType w:val="multilevel"/>
    <w:tmpl w:val="E18A032E"/>
    <w:lvl w:ilvl="0">
      <w:start w:val="2"/>
      <w:numFmt w:val="bullet"/>
      <w:lvlText w:val="-"/>
      <w:lvlJc w:val="left"/>
      <w:pPr>
        <w:ind w:left="360" w:hanging="360"/>
      </w:pPr>
      <w:rPr>
        <w:rFonts w:ascii="Arial" w:hAnsi="Arial" w:cs="Arial" w:hint="default"/>
        <w:sz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7" w15:restartNumberingAfterBreak="0">
    <w:nsid w:val="62C6185B"/>
    <w:multiLevelType w:val="multilevel"/>
    <w:tmpl w:val="E584B2DA"/>
    <w:styleLink w:val="Style1"/>
    <w:lvl w:ilvl="0">
      <w:start w:val="1"/>
      <w:numFmt w:val="upperLetter"/>
      <w:lvlText w:val="%1."/>
      <w:lvlJc w:val="left"/>
      <w:pPr>
        <w:ind w:left="0" w:firstLine="0"/>
      </w:pPr>
      <w:rPr>
        <w:rFonts w:hint="default"/>
        <w:sz w:val="32"/>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567" w:hanging="283"/>
      </w:pPr>
      <w:rPr>
        <w:rFonts w:hint="default"/>
      </w:rPr>
    </w:lvl>
    <w:lvl w:ilvl="5">
      <w:start w:val="1"/>
      <w:numFmt w:val="lowerLetter"/>
      <w:lvlText w:val="(%6)"/>
      <w:lvlJc w:val="left"/>
      <w:pPr>
        <w:ind w:left="567" w:hanging="283"/>
      </w:pPr>
      <w:rPr>
        <w:rFonts w:hint="default"/>
      </w:rPr>
    </w:lvl>
    <w:lvl w:ilvl="6">
      <w:start w:val="1"/>
      <w:numFmt w:val="lowerRoman"/>
      <w:lvlText w:val="(%7)"/>
      <w:lvlJc w:val="left"/>
      <w:pPr>
        <w:ind w:left="567" w:hanging="283"/>
      </w:pPr>
      <w:rPr>
        <w:rFonts w:hint="default"/>
      </w:rPr>
    </w:lvl>
    <w:lvl w:ilvl="7">
      <w:start w:val="1"/>
      <w:numFmt w:val="lowerLetter"/>
      <w:lvlText w:val="(%8)"/>
      <w:lvlJc w:val="left"/>
      <w:pPr>
        <w:ind w:left="567" w:hanging="283"/>
      </w:pPr>
      <w:rPr>
        <w:rFonts w:hint="default"/>
      </w:rPr>
    </w:lvl>
    <w:lvl w:ilvl="8">
      <w:start w:val="1"/>
      <w:numFmt w:val="lowerRoman"/>
      <w:lvlText w:val="(%9)"/>
      <w:lvlJc w:val="left"/>
      <w:pPr>
        <w:ind w:left="567" w:hanging="283"/>
      </w:pPr>
      <w:rPr>
        <w:rFonts w:hint="default"/>
      </w:rPr>
    </w:lvl>
  </w:abstractNum>
  <w:abstractNum w:abstractNumId="68" w15:restartNumberingAfterBreak="0">
    <w:nsid w:val="637B3083"/>
    <w:multiLevelType w:val="hybridMultilevel"/>
    <w:tmpl w:val="4546E03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63D1239F"/>
    <w:multiLevelType w:val="hybridMultilevel"/>
    <w:tmpl w:val="8592B802"/>
    <w:lvl w:ilvl="0" w:tplc="33FEE1F8">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68B06DFD"/>
    <w:multiLevelType w:val="hybridMultilevel"/>
    <w:tmpl w:val="C0BEF4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69E65AA2"/>
    <w:multiLevelType w:val="hybridMultilevel"/>
    <w:tmpl w:val="66CC1E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AE8169B"/>
    <w:multiLevelType w:val="hybridMultilevel"/>
    <w:tmpl w:val="FF0E6F02"/>
    <w:lvl w:ilvl="0" w:tplc="00000003">
      <w:start w:val="1"/>
      <w:numFmt w:val="bullet"/>
      <w:lvlText w:val=""/>
      <w:lvlJc w:val="left"/>
      <w:pPr>
        <w:tabs>
          <w:tab w:val="num" w:pos="0"/>
        </w:tabs>
        <w:ind w:left="1353" w:hanging="360"/>
      </w:pPr>
      <w:rPr>
        <w:rFonts w:ascii="Symbol" w:hAnsi="Symbol" w:cs="Symbol" w:hint="default"/>
        <w:color w:val="000000"/>
        <w:sz w:val="22"/>
        <w:szCs w:val="22"/>
        <w:lang w:val="en-U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6DA10A02"/>
    <w:multiLevelType w:val="hybridMultilevel"/>
    <w:tmpl w:val="44D888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70303957"/>
    <w:multiLevelType w:val="hybridMultilevel"/>
    <w:tmpl w:val="F3F8F23E"/>
    <w:lvl w:ilvl="0" w:tplc="D34A78DA">
      <w:start w:val="1"/>
      <w:numFmt w:val="decimal"/>
      <w:pStyle w:val="textepuce2"/>
      <w:lvlText w:val="%1."/>
      <w:lvlJc w:val="left"/>
      <w:pPr>
        <w:ind w:left="1021" w:hanging="454"/>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15:restartNumberingAfterBreak="0">
    <w:nsid w:val="712E40B0"/>
    <w:multiLevelType w:val="hybridMultilevel"/>
    <w:tmpl w:val="B0D45E42"/>
    <w:lvl w:ilvl="0" w:tplc="426CAB78">
      <w:numFmt w:val="bullet"/>
      <w:lvlText w:val="-"/>
      <w:lvlJc w:val="left"/>
      <w:pPr>
        <w:ind w:left="1065" w:hanging="705"/>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7207352B"/>
    <w:multiLevelType w:val="hybridMultilevel"/>
    <w:tmpl w:val="15BE71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73706FB2"/>
    <w:multiLevelType w:val="hybridMultilevel"/>
    <w:tmpl w:val="9F52AB4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744B2907"/>
    <w:multiLevelType w:val="hybridMultilevel"/>
    <w:tmpl w:val="39B40B9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75772BCA"/>
    <w:multiLevelType w:val="hybridMultilevel"/>
    <w:tmpl w:val="2B2A3F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691733C"/>
    <w:multiLevelType w:val="hybridMultilevel"/>
    <w:tmpl w:val="512C69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7664FFD"/>
    <w:multiLevelType w:val="hybridMultilevel"/>
    <w:tmpl w:val="F4841CFA"/>
    <w:lvl w:ilvl="0" w:tplc="F0FC7D36">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2" w15:restartNumberingAfterBreak="0">
    <w:nsid w:val="7864629B"/>
    <w:multiLevelType w:val="hybridMultilevel"/>
    <w:tmpl w:val="3BFC84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7A6A15D5"/>
    <w:multiLevelType w:val="hybridMultilevel"/>
    <w:tmpl w:val="821026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7A8646E8"/>
    <w:multiLevelType w:val="hybridMultilevel"/>
    <w:tmpl w:val="E816447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B0124B1"/>
    <w:multiLevelType w:val="hybridMultilevel"/>
    <w:tmpl w:val="B7D059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B1074A2"/>
    <w:multiLevelType w:val="hybridMultilevel"/>
    <w:tmpl w:val="FF04E90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7B525794"/>
    <w:multiLevelType w:val="hybridMultilevel"/>
    <w:tmpl w:val="32E2751A"/>
    <w:lvl w:ilvl="0" w:tplc="040C000F">
      <w:start w:val="1"/>
      <w:numFmt w:val="decimal"/>
      <w:lvlText w:val="%1."/>
      <w:lvlJc w:val="left"/>
      <w:pPr>
        <w:ind w:left="1065" w:hanging="705"/>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7BFC4A48"/>
    <w:multiLevelType w:val="multilevel"/>
    <w:tmpl w:val="51C2F876"/>
    <w:lvl w:ilvl="0">
      <w:start w:val="1"/>
      <w:numFmt w:val="upperLetter"/>
      <w:lvlText w:val="%1."/>
      <w:lvlJc w:val="left"/>
      <w:pPr>
        <w:ind w:left="0" w:firstLine="0"/>
      </w:pPr>
      <w:rPr>
        <w:rFonts w:hint="default"/>
        <w:i w:val="0"/>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89" w15:restartNumberingAfterBreak="0">
    <w:nsid w:val="7F8C6CC2"/>
    <w:multiLevelType w:val="hybridMultilevel"/>
    <w:tmpl w:val="25CA0892"/>
    <w:lvl w:ilvl="0" w:tplc="00000003">
      <w:start w:val="1"/>
      <w:numFmt w:val="bullet"/>
      <w:lvlText w:val=""/>
      <w:lvlJc w:val="left"/>
      <w:pPr>
        <w:tabs>
          <w:tab w:val="num" w:pos="0"/>
        </w:tabs>
        <w:ind w:left="1353" w:hanging="360"/>
      </w:pPr>
      <w:rPr>
        <w:rFonts w:ascii="Symbol" w:hAnsi="Symbol" w:cs="Symbol" w:hint="default"/>
        <w:color w:val="000000"/>
        <w:sz w:val="22"/>
        <w:szCs w:val="22"/>
        <w:lang w:val="en-U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801027482">
    <w:abstractNumId w:val="3"/>
  </w:num>
  <w:num w:numId="2" w16cid:durableId="1772512700">
    <w:abstractNumId w:val="55"/>
  </w:num>
  <w:num w:numId="3" w16cid:durableId="1426150732">
    <w:abstractNumId w:val="74"/>
  </w:num>
  <w:num w:numId="4" w16cid:durableId="781803259">
    <w:abstractNumId w:val="34"/>
  </w:num>
  <w:num w:numId="5" w16cid:durableId="1985423039">
    <w:abstractNumId w:val="8"/>
  </w:num>
  <w:num w:numId="6" w16cid:durableId="1738701798">
    <w:abstractNumId w:val="85"/>
  </w:num>
  <w:num w:numId="7" w16cid:durableId="2051495906">
    <w:abstractNumId w:val="56"/>
  </w:num>
  <w:num w:numId="8" w16cid:durableId="1253903419">
    <w:abstractNumId w:val="14"/>
  </w:num>
  <w:num w:numId="9" w16cid:durableId="1383364540">
    <w:abstractNumId w:val="68"/>
  </w:num>
  <w:num w:numId="10" w16cid:durableId="58796172">
    <w:abstractNumId w:val="36"/>
  </w:num>
  <w:num w:numId="11" w16cid:durableId="198863776">
    <w:abstractNumId w:val="11"/>
  </w:num>
  <w:num w:numId="12" w16cid:durableId="1424229346">
    <w:abstractNumId w:val="12"/>
  </w:num>
  <w:num w:numId="13" w16cid:durableId="1028339928">
    <w:abstractNumId w:val="31"/>
  </w:num>
  <w:num w:numId="14" w16cid:durableId="1044136050">
    <w:abstractNumId w:val="38"/>
  </w:num>
  <w:num w:numId="15" w16cid:durableId="392850025">
    <w:abstractNumId w:val="53"/>
  </w:num>
  <w:num w:numId="16" w16cid:durableId="1976325145">
    <w:abstractNumId w:val="26"/>
  </w:num>
  <w:num w:numId="17" w16cid:durableId="1922719726">
    <w:abstractNumId w:val="40"/>
  </w:num>
  <w:num w:numId="18" w16cid:durableId="589508559">
    <w:abstractNumId w:val="59"/>
  </w:num>
  <w:num w:numId="19" w16cid:durableId="1038621623">
    <w:abstractNumId w:val="66"/>
  </w:num>
  <w:num w:numId="20" w16cid:durableId="1904560351">
    <w:abstractNumId w:val="48"/>
  </w:num>
  <w:num w:numId="21" w16cid:durableId="504129715">
    <w:abstractNumId w:val="18"/>
  </w:num>
  <w:num w:numId="22" w16cid:durableId="1200361782">
    <w:abstractNumId w:val="80"/>
  </w:num>
  <w:num w:numId="23" w16cid:durableId="2053266024">
    <w:abstractNumId w:val="42"/>
  </w:num>
  <w:num w:numId="24" w16cid:durableId="285700927">
    <w:abstractNumId w:val="78"/>
  </w:num>
  <w:num w:numId="25" w16cid:durableId="1148207316">
    <w:abstractNumId w:val="46"/>
  </w:num>
  <w:num w:numId="26" w16cid:durableId="678115557">
    <w:abstractNumId w:val="84"/>
  </w:num>
  <w:num w:numId="27" w16cid:durableId="2027095685">
    <w:abstractNumId w:val="71"/>
  </w:num>
  <w:num w:numId="28" w16cid:durableId="1537816363">
    <w:abstractNumId w:val="23"/>
  </w:num>
  <w:num w:numId="29" w16cid:durableId="1155419244">
    <w:abstractNumId w:val="86"/>
  </w:num>
  <w:num w:numId="30" w16cid:durableId="2046129976">
    <w:abstractNumId w:val="4"/>
  </w:num>
  <w:num w:numId="31" w16cid:durableId="2019383459">
    <w:abstractNumId w:val="35"/>
  </w:num>
  <w:num w:numId="32" w16cid:durableId="1886482733">
    <w:abstractNumId w:val="19"/>
  </w:num>
  <w:num w:numId="33" w16cid:durableId="779952618">
    <w:abstractNumId w:val="82"/>
  </w:num>
  <w:num w:numId="34" w16cid:durableId="1360660810">
    <w:abstractNumId w:val="21"/>
  </w:num>
  <w:num w:numId="35" w16cid:durableId="1250969390">
    <w:abstractNumId w:val="83"/>
  </w:num>
  <w:num w:numId="36" w16cid:durableId="1668748122">
    <w:abstractNumId w:val="62"/>
  </w:num>
  <w:num w:numId="37" w16cid:durableId="757142078">
    <w:abstractNumId w:val="44"/>
  </w:num>
  <w:num w:numId="38" w16cid:durableId="1508985875">
    <w:abstractNumId w:val="77"/>
  </w:num>
  <w:num w:numId="39" w16cid:durableId="1313682921">
    <w:abstractNumId w:val="75"/>
  </w:num>
  <w:num w:numId="40" w16cid:durableId="1288779886">
    <w:abstractNumId w:val="87"/>
  </w:num>
  <w:num w:numId="41" w16cid:durableId="983241033">
    <w:abstractNumId w:val="51"/>
  </w:num>
  <w:num w:numId="42" w16cid:durableId="243802364">
    <w:abstractNumId w:val="61"/>
  </w:num>
  <w:num w:numId="43" w16cid:durableId="1377662044">
    <w:abstractNumId w:val="13"/>
  </w:num>
  <w:num w:numId="44" w16cid:durableId="1131703460">
    <w:abstractNumId w:val="69"/>
  </w:num>
  <w:num w:numId="45" w16cid:durableId="954291739">
    <w:abstractNumId w:val="20"/>
  </w:num>
  <w:num w:numId="46" w16cid:durableId="1533565920">
    <w:abstractNumId w:val="5"/>
  </w:num>
  <w:num w:numId="47" w16cid:durableId="1151872393">
    <w:abstractNumId w:val="10"/>
  </w:num>
  <w:num w:numId="48" w16cid:durableId="761070643">
    <w:abstractNumId w:val="64"/>
  </w:num>
  <w:num w:numId="49" w16cid:durableId="1489518204">
    <w:abstractNumId w:val="67"/>
  </w:num>
  <w:num w:numId="50" w16cid:durableId="2072271277">
    <w:abstractNumId w:val="50"/>
  </w:num>
  <w:num w:numId="51" w16cid:durableId="1344286174">
    <w:abstractNumId w:val="58"/>
  </w:num>
  <w:num w:numId="52" w16cid:durableId="1957713539">
    <w:abstractNumId w:val="9"/>
  </w:num>
  <w:num w:numId="53" w16cid:durableId="1164396781">
    <w:abstractNumId w:val="70"/>
  </w:num>
  <w:num w:numId="54" w16cid:durableId="1428231590">
    <w:abstractNumId w:val="25"/>
  </w:num>
  <w:num w:numId="55" w16cid:durableId="625965838">
    <w:abstractNumId w:val="41"/>
  </w:num>
  <w:num w:numId="56" w16cid:durableId="426780186">
    <w:abstractNumId w:val="29"/>
  </w:num>
  <w:num w:numId="57" w16cid:durableId="929195606">
    <w:abstractNumId w:val="39"/>
  </w:num>
  <w:num w:numId="58" w16cid:durableId="2048407670">
    <w:abstractNumId w:val="54"/>
  </w:num>
  <w:num w:numId="59" w16cid:durableId="349261606">
    <w:abstractNumId w:val="32"/>
  </w:num>
  <w:num w:numId="60" w16cid:durableId="8284805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427996178">
    <w:abstractNumId w:val="60"/>
  </w:num>
  <w:num w:numId="62" w16cid:durableId="1470973283">
    <w:abstractNumId w:val="88"/>
  </w:num>
  <w:num w:numId="63" w16cid:durableId="2081052872">
    <w:abstractNumId w:val="43"/>
  </w:num>
  <w:num w:numId="64" w16cid:durableId="1109935210">
    <w:abstractNumId w:val="1"/>
  </w:num>
  <w:num w:numId="65" w16cid:durableId="516623518">
    <w:abstractNumId w:val="2"/>
  </w:num>
  <w:num w:numId="66" w16cid:durableId="83703861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944189223">
    <w:abstractNumId w:val="76"/>
  </w:num>
  <w:num w:numId="68" w16cid:durableId="1307540707">
    <w:abstractNumId w:val="79"/>
  </w:num>
  <w:num w:numId="69" w16cid:durableId="47921269">
    <w:abstractNumId w:val="37"/>
  </w:num>
  <w:num w:numId="70" w16cid:durableId="187061024">
    <w:abstractNumId w:val="27"/>
  </w:num>
  <w:num w:numId="71" w16cid:durableId="84226082">
    <w:abstractNumId w:val="33"/>
  </w:num>
  <w:num w:numId="72" w16cid:durableId="773748828">
    <w:abstractNumId w:val="52"/>
  </w:num>
  <w:num w:numId="73" w16cid:durableId="920603366">
    <w:abstractNumId w:val="16"/>
  </w:num>
  <w:num w:numId="74" w16cid:durableId="423303637">
    <w:abstractNumId w:val="28"/>
  </w:num>
  <w:num w:numId="75" w16cid:durableId="977758042">
    <w:abstractNumId w:val="24"/>
  </w:num>
  <w:num w:numId="76" w16cid:durableId="186453827">
    <w:abstractNumId w:val="72"/>
  </w:num>
  <w:num w:numId="77" w16cid:durableId="1475222199">
    <w:abstractNumId w:val="89"/>
  </w:num>
  <w:num w:numId="78" w16cid:durableId="11379266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47410965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2041587891">
    <w:abstractNumId w:val="47"/>
  </w:num>
  <w:num w:numId="81" w16cid:durableId="1393191603">
    <w:abstractNumId w:val="7"/>
  </w:num>
  <w:num w:numId="82" w16cid:durableId="161968501">
    <w:abstractNumId w:val="63"/>
  </w:num>
  <w:num w:numId="83" w16cid:durableId="1526402640">
    <w:abstractNumId w:val="45"/>
  </w:num>
  <w:num w:numId="84" w16cid:durableId="1982732521">
    <w:abstractNumId w:val="81"/>
  </w:num>
  <w:num w:numId="85" w16cid:durableId="1086074494">
    <w:abstractNumId w:val="22"/>
  </w:num>
  <w:num w:numId="86" w16cid:durableId="723792017">
    <w:abstractNumId w:val="17"/>
  </w:num>
  <w:num w:numId="87" w16cid:durableId="105161116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305668378">
    <w:abstractNumId w:val="15"/>
  </w:num>
  <w:num w:numId="89" w16cid:durableId="1160467909">
    <w:abstractNumId w:val="30"/>
  </w:num>
  <w:num w:numId="90" w16cid:durableId="2144078595">
    <w:abstractNumId w:val="49"/>
  </w:num>
  <w:num w:numId="91" w16cid:durableId="898587906">
    <w:abstractNumId w:val="6"/>
  </w:num>
  <w:num w:numId="92" w16cid:durableId="75829141">
    <w:abstractNumId w:val="73"/>
  </w:num>
  <w:num w:numId="93" w16cid:durableId="31622553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162504021">
    <w:abstractNumId w:val="54"/>
  </w:num>
  <w:num w:numId="95" w16cid:durableId="61185884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30890083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63179075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49265096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92218220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81201745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86082570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99722336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921335647">
    <w:abstractNumId w:val="54"/>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2935"/>
    <w:rsid w:val="00001A0C"/>
    <w:rsid w:val="00002707"/>
    <w:rsid w:val="00003057"/>
    <w:rsid w:val="000041F1"/>
    <w:rsid w:val="00007B3B"/>
    <w:rsid w:val="00011EED"/>
    <w:rsid w:val="000122AD"/>
    <w:rsid w:val="0001502C"/>
    <w:rsid w:val="00015530"/>
    <w:rsid w:val="00016E77"/>
    <w:rsid w:val="000172DA"/>
    <w:rsid w:val="00017466"/>
    <w:rsid w:val="00021DA4"/>
    <w:rsid w:val="00026162"/>
    <w:rsid w:val="00027D90"/>
    <w:rsid w:val="00027F24"/>
    <w:rsid w:val="000323FF"/>
    <w:rsid w:val="000337A0"/>
    <w:rsid w:val="000351CE"/>
    <w:rsid w:val="0003718E"/>
    <w:rsid w:val="00037B0C"/>
    <w:rsid w:val="00042E84"/>
    <w:rsid w:val="0004356C"/>
    <w:rsid w:val="00051DC4"/>
    <w:rsid w:val="00051E06"/>
    <w:rsid w:val="00052DCE"/>
    <w:rsid w:val="0005624B"/>
    <w:rsid w:val="0005645A"/>
    <w:rsid w:val="00056C61"/>
    <w:rsid w:val="0005726D"/>
    <w:rsid w:val="000620EE"/>
    <w:rsid w:val="00062EEA"/>
    <w:rsid w:val="00063B85"/>
    <w:rsid w:val="00064316"/>
    <w:rsid w:val="00066F18"/>
    <w:rsid w:val="00067CD8"/>
    <w:rsid w:val="00070E9E"/>
    <w:rsid w:val="000730B1"/>
    <w:rsid w:val="000734BD"/>
    <w:rsid w:val="00073E72"/>
    <w:rsid w:val="000749DC"/>
    <w:rsid w:val="00076E7A"/>
    <w:rsid w:val="00077E3D"/>
    <w:rsid w:val="00081C08"/>
    <w:rsid w:val="000825FE"/>
    <w:rsid w:val="00082E4C"/>
    <w:rsid w:val="00084C07"/>
    <w:rsid w:val="00091353"/>
    <w:rsid w:val="00091982"/>
    <w:rsid w:val="00092146"/>
    <w:rsid w:val="00093795"/>
    <w:rsid w:val="00097D24"/>
    <w:rsid w:val="000A3189"/>
    <w:rsid w:val="000B528C"/>
    <w:rsid w:val="000B6A2E"/>
    <w:rsid w:val="000B725D"/>
    <w:rsid w:val="000C08B6"/>
    <w:rsid w:val="000C1159"/>
    <w:rsid w:val="000C1A7E"/>
    <w:rsid w:val="000C5AF3"/>
    <w:rsid w:val="000C711B"/>
    <w:rsid w:val="000D1437"/>
    <w:rsid w:val="000D2594"/>
    <w:rsid w:val="000D267A"/>
    <w:rsid w:val="000D29EA"/>
    <w:rsid w:val="000D2F08"/>
    <w:rsid w:val="000D370D"/>
    <w:rsid w:val="000E0DFC"/>
    <w:rsid w:val="000E19EB"/>
    <w:rsid w:val="000E2F47"/>
    <w:rsid w:val="000E783D"/>
    <w:rsid w:val="000F2436"/>
    <w:rsid w:val="000F4D05"/>
    <w:rsid w:val="000F4F53"/>
    <w:rsid w:val="000F55D0"/>
    <w:rsid w:val="000F659D"/>
    <w:rsid w:val="000F6E9C"/>
    <w:rsid w:val="000F775F"/>
    <w:rsid w:val="00100397"/>
    <w:rsid w:val="001021CB"/>
    <w:rsid w:val="001078BD"/>
    <w:rsid w:val="001106DB"/>
    <w:rsid w:val="001116A2"/>
    <w:rsid w:val="001125D5"/>
    <w:rsid w:val="0011358A"/>
    <w:rsid w:val="00113FCD"/>
    <w:rsid w:val="00115021"/>
    <w:rsid w:val="00115A87"/>
    <w:rsid w:val="00115DB6"/>
    <w:rsid w:val="00116D79"/>
    <w:rsid w:val="00117E84"/>
    <w:rsid w:val="00123FC2"/>
    <w:rsid w:val="00131556"/>
    <w:rsid w:val="001329FA"/>
    <w:rsid w:val="00133BB6"/>
    <w:rsid w:val="001348B2"/>
    <w:rsid w:val="00134E06"/>
    <w:rsid w:val="001353C9"/>
    <w:rsid w:val="001358AE"/>
    <w:rsid w:val="001416F3"/>
    <w:rsid w:val="0014208C"/>
    <w:rsid w:val="0014226E"/>
    <w:rsid w:val="001432C3"/>
    <w:rsid w:val="001441E5"/>
    <w:rsid w:val="001515E9"/>
    <w:rsid w:val="00152136"/>
    <w:rsid w:val="0015443B"/>
    <w:rsid w:val="00163209"/>
    <w:rsid w:val="00165BDF"/>
    <w:rsid w:val="00170EEB"/>
    <w:rsid w:val="001745B3"/>
    <w:rsid w:val="00175E00"/>
    <w:rsid w:val="00176265"/>
    <w:rsid w:val="00181B96"/>
    <w:rsid w:val="0018724E"/>
    <w:rsid w:val="00190282"/>
    <w:rsid w:val="001939DF"/>
    <w:rsid w:val="00193B16"/>
    <w:rsid w:val="0019544F"/>
    <w:rsid w:val="001A3EB8"/>
    <w:rsid w:val="001A4E13"/>
    <w:rsid w:val="001A5D58"/>
    <w:rsid w:val="001A5DDF"/>
    <w:rsid w:val="001A6C20"/>
    <w:rsid w:val="001B49CB"/>
    <w:rsid w:val="001B585A"/>
    <w:rsid w:val="001B5E15"/>
    <w:rsid w:val="001B6866"/>
    <w:rsid w:val="001C0BDD"/>
    <w:rsid w:val="001C27AE"/>
    <w:rsid w:val="001C2896"/>
    <w:rsid w:val="001C71A6"/>
    <w:rsid w:val="001C7C9E"/>
    <w:rsid w:val="001D35EE"/>
    <w:rsid w:val="001D38A4"/>
    <w:rsid w:val="001D6CE0"/>
    <w:rsid w:val="001E2B1E"/>
    <w:rsid w:val="001E4C6C"/>
    <w:rsid w:val="001E4FD8"/>
    <w:rsid w:val="001E66BB"/>
    <w:rsid w:val="001E6CE7"/>
    <w:rsid w:val="001F2587"/>
    <w:rsid w:val="001F6085"/>
    <w:rsid w:val="001F63F5"/>
    <w:rsid w:val="002019AB"/>
    <w:rsid w:val="00202146"/>
    <w:rsid w:val="00202973"/>
    <w:rsid w:val="002035E5"/>
    <w:rsid w:val="00206F0B"/>
    <w:rsid w:val="00206F95"/>
    <w:rsid w:val="00210A16"/>
    <w:rsid w:val="002125F7"/>
    <w:rsid w:val="002147DD"/>
    <w:rsid w:val="00215836"/>
    <w:rsid w:val="00216205"/>
    <w:rsid w:val="00217C7F"/>
    <w:rsid w:val="00217EF0"/>
    <w:rsid w:val="0022028F"/>
    <w:rsid w:val="002214BB"/>
    <w:rsid w:val="0022180D"/>
    <w:rsid w:val="00223DAD"/>
    <w:rsid w:val="00224DF6"/>
    <w:rsid w:val="00224F0C"/>
    <w:rsid w:val="00225C13"/>
    <w:rsid w:val="00226645"/>
    <w:rsid w:val="00227E0D"/>
    <w:rsid w:val="00235F01"/>
    <w:rsid w:val="00237F90"/>
    <w:rsid w:val="002402DC"/>
    <w:rsid w:val="00245B00"/>
    <w:rsid w:val="00246278"/>
    <w:rsid w:val="00250CFD"/>
    <w:rsid w:val="00250DCB"/>
    <w:rsid w:val="00251B48"/>
    <w:rsid w:val="002531AC"/>
    <w:rsid w:val="00253349"/>
    <w:rsid w:val="002538C6"/>
    <w:rsid w:val="00260E0B"/>
    <w:rsid w:val="00263296"/>
    <w:rsid w:val="002637CC"/>
    <w:rsid w:val="002643E5"/>
    <w:rsid w:val="00267063"/>
    <w:rsid w:val="00273BB3"/>
    <w:rsid w:val="00273F4E"/>
    <w:rsid w:val="00274EB7"/>
    <w:rsid w:val="0027680A"/>
    <w:rsid w:val="0027779E"/>
    <w:rsid w:val="002819E8"/>
    <w:rsid w:val="00283447"/>
    <w:rsid w:val="00284876"/>
    <w:rsid w:val="00286BBA"/>
    <w:rsid w:val="00291BFC"/>
    <w:rsid w:val="0029657F"/>
    <w:rsid w:val="00296D13"/>
    <w:rsid w:val="002970B6"/>
    <w:rsid w:val="00297AAA"/>
    <w:rsid w:val="002A038D"/>
    <w:rsid w:val="002A1355"/>
    <w:rsid w:val="002A2AE3"/>
    <w:rsid w:val="002A5699"/>
    <w:rsid w:val="002A6E29"/>
    <w:rsid w:val="002B1C35"/>
    <w:rsid w:val="002B28D0"/>
    <w:rsid w:val="002B29B0"/>
    <w:rsid w:val="002B596F"/>
    <w:rsid w:val="002C0108"/>
    <w:rsid w:val="002C6E98"/>
    <w:rsid w:val="002C7499"/>
    <w:rsid w:val="002C7608"/>
    <w:rsid w:val="002D08FD"/>
    <w:rsid w:val="002D1035"/>
    <w:rsid w:val="002D243A"/>
    <w:rsid w:val="002D25F7"/>
    <w:rsid w:val="002D3D8C"/>
    <w:rsid w:val="002D4337"/>
    <w:rsid w:val="002D615D"/>
    <w:rsid w:val="002D67C0"/>
    <w:rsid w:val="002D6994"/>
    <w:rsid w:val="002E030E"/>
    <w:rsid w:val="002E35D7"/>
    <w:rsid w:val="002E3B64"/>
    <w:rsid w:val="002E40B8"/>
    <w:rsid w:val="002E55B5"/>
    <w:rsid w:val="002E5FBC"/>
    <w:rsid w:val="002F0AC8"/>
    <w:rsid w:val="002F14E4"/>
    <w:rsid w:val="002F1518"/>
    <w:rsid w:val="002F3415"/>
    <w:rsid w:val="002F5B11"/>
    <w:rsid w:val="002F7DEA"/>
    <w:rsid w:val="00300845"/>
    <w:rsid w:val="00303F94"/>
    <w:rsid w:val="00305138"/>
    <w:rsid w:val="0030637F"/>
    <w:rsid w:val="00306681"/>
    <w:rsid w:val="00306B73"/>
    <w:rsid w:val="0030722D"/>
    <w:rsid w:val="0031010B"/>
    <w:rsid w:val="003122AF"/>
    <w:rsid w:val="00314F8F"/>
    <w:rsid w:val="00317CCF"/>
    <w:rsid w:val="003206C0"/>
    <w:rsid w:val="0032106B"/>
    <w:rsid w:val="003246AE"/>
    <w:rsid w:val="00324EC6"/>
    <w:rsid w:val="003256E7"/>
    <w:rsid w:val="003258DF"/>
    <w:rsid w:val="00325A04"/>
    <w:rsid w:val="00326290"/>
    <w:rsid w:val="00331356"/>
    <w:rsid w:val="00332CF0"/>
    <w:rsid w:val="00333E4B"/>
    <w:rsid w:val="0034391E"/>
    <w:rsid w:val="0034493F"/>
    <w:rsid w:val="0034496D"/>
    <w:rsid w:val="00344B87"/>
    <w:rsid w:val="00347286"/>
    <w:rsid w:val="00350439"/>
    <w:rsid w:val="003511CD"/>
    <w:rsid w:val="003512B8"/>
    <w:rsid w:val="0035207E"/>
    <w:rsid w:val="00354521"/>
    <w:rsid w:val="00354D34"/>
    <w:rsid w:val="00355019"/>
    <w:rsid w:val="0035679A"/>
    <w:rsid w:val="0036181D"/>
    <w:rsid w:val="00364061"/>
    <w:rsid w:val="00364545"/>
    <w:rsid w:val="00364602"/>
    <w:rsid w:val="00364CC3"/>
    <w:rsid w:val="00365886"/>
    <w:rsid w:val="003702D5"/>
    <w:rsid w:val="00370CC5"/>
    <w:rsid w:val="003714FB"/>
    <w:rsid w:val="003723A6"/>
    <w:rsid w:val="00373859"/>
    <w:rsid w:val="00376F80"/>
    <w:rsid w:val="00377AE9"/>
    <w:rsid w:val="003810C2"/>
    <w:rsid w:val="003816F3"/>
    <w:rsid w:val="00386BAA"/>
    <w:rsid w:val="00393160"/>
    <w:rsid w:val="003936EA"/>
    <w:rsid w:val="00393C4D"/>
    <w:rsid w:val="003A102C"/>
    <w:rsid w:val="003A22D2"/>
    <w:rsid w:val="003A2935"/>
    <w:rsid w:val="003A3D67"/>
    <w:rsid w:val="003A40B1"/>
    <w:rsid w:val="003A4F12"/>
    <w:rsid w:val="003A6082"/>
    <w:rsid w:val="003B0314"/>
    <w:rsid w:val="003B37D5"/>
    <w:rsid w:val="003B5361"/>
    <w:rsid w:val="003B5465"/>
    <w:rsid w:val="003B6A95"/>
    <w:rsid w:val="003B6FDA"/>
    <w:rsid w:val="003C1884"/>
    <w:rsid w:val="003C2855"/>
    <w:rsid w:val="003C31E8"/>
    <w:rsid w:val="003C575E"/>
    <w:rsid w:val="003C576F"/>
    <w:rsid w:val="003C57F0"/>
    <w:rsid w:val="003C7C34"/>
    <w:rsid w:val="003D187D"/>
    <w:rsid w:val="003D1BD2"/>
    <w:rsid w:val="003D2F13"/>
    <w:rsid w:val="003D43DC"/>
    <w:rsid w:val="003D55E6"/>
    <w:rsid w:val="003E05B4"/>
    <w:rsid w:val="003E0B9A"/>
    <w:rsid w:val="003E4D7F"/>
    <w:rsid w:val="003E53AB"/>
    <w:rsid w:val="003E63E4"/>
    <w:rsid w:val="003E64A4"/>
    <w:rsid w:val="003E77D0"/>
    <w:rsid w:val="003F14FD"/>
    <w:rsid w:val="003F1EED"/>
    <w:rsid w:val="003F50E9"/>
    <w:rsid w:val="003F51CF"/>
    <w:rsid w:val="003F57EA"/>
    <w:rsid w:val="003F5BE9"/>
    <w:rsid w:val="003F6D23"/>
    <w:rsid w:val="003F6EB9"/>
    <w:rsid w:val="004012B9"/>
    <w:rsid w:val="004077DC"/>
    <w:rsid w:val="00413EC7"/>
    <w:rsid w:val="004213BA"/>
    <w:rsid w:val="004229A7"/>
    <w:rsid w:val="0042401D"/>
    <w:rsid w:val="004260ED"/>
    <w:rsid w:val="00426A57"/>
    <w:rsid w:val="00426FA6"/>
    <w:rsid w:val="00431E8F"/>
    <w:rsid w:val="00440A8C"/>
    <w:rsid w:val="00442AF9"/>
    <w:rsid w:val="00446A05"/>
    <w:rsid w:val="00447DFE"/>
    <w:rsid w:val="00447FE0"/>
    <w:rsid w:val="004520A7"/>
    <w:rsid w:val="00452C44"/>
    <w:rsid w:val="00453B84"/>
    <w:rsid w:val="00454093"/>
    <w:rsid w:val="0045532B"/>
    <w:rsid w:val="0045605C"/>
    <w:rsid w:val="004627F2"/>
    <w:rsid w:val="00462D62"/>
    <w:rsid w:val="00463223"/>
    <w:rsid w:val="00463DE5"/>
    <w:rsid w:val="00465F43"/>
    <w:rsid w:val="00466AA3"/>
    <w:rsid w:val="00467A03"/>
    <w:rsid w:val="004703C5"/>
    <w:rsid w:val="00471763"/>
    <w:rsid w:val="00473225"/>
    <w:rsid w:val="00480581"/>
    <w:rsid w:val="004805E6"/>
    <w:rsid w:val="00485BE5"/>
    <w:rsid w:val="004861CA"/>
    <w:rsid w:val="0048626A"/>
    <w:rsid w:val="00487927"/>
    <w:rsid w:val="004932B4"/>
    <w:rsid w:val="004A1487"/>
    <w:rsid w:val="004A186C"/>
    <w:rsid w:val="004A6491"/>
    <w:rsid w:val="004A6A59"/>
    <w:rsid w:val="004B2A28"/>
    <w:rsid w:val="004B446A"/>
    <w:rsid w:val="004B4E41"/>
    <w:rsid w:val="004B5220"/>
    <w:rsid w:val="004B5830"/>
    <w:rsid w:val="004B5C85"/>
    <w:rsid w:val="004B70B4"/>
    <w:rsid w:val="004B7B95"/>
    <w:rsid w:val="004C0570"/>
    <w:rsid w:val="004C223A"/>
    <w:rsid w:val="004C4E5C"/>
    <w:rsid w:val="004C5120"/>
    <w:rsid w:val="004C6F95"/>
    <w:rsid w:val="004D03AC"/>
    <w:rsid w:val="004D6085"/>
    <w:rsid w:val="004D6207"/>
    <w:rsid w:val="004D6319"/>
    <w:rsid w:val="004D72D0"/>
    <w:rsid w:val="004D75CE"/>
    <w:rsid w:val="004E01FB"/>
    <w:rsid w:val="004E50EF"/>
    <w:rsid w:val="004E5AF5"/>
    <w:rsid w:val="004E7FEF"/>
    <w:rsid w:val="004F1178"/>
    <w:rsid w:val="004F1EC8"/>
    <w:rsid w:val="004F2995"/>
    <w:rsid w:val="004F3E3F"/>
    <w:rsid w:val="004F5218"/>
    <w:rsid w:val="004F6510"/>
    <w:rsid w:val="00500AD1"/>
    <w:rsid w:val="00501FA3"/>
    <w:rsid w:val="00504526"/>
    <w:rsid w:val="00506E61"/>
    <w:rsid w:val="00507F7D"/>
    <w:rsid w:val="00510F18"/>
    <w:rsid w:val="00511E54"/>
    <w:rsid w:val="00512611"/>
    <w:rsid w:val="0051771F"/>
    <w:rsid w:val="0052151E"/>
    <w:rsid w:val="00523158"/>
    <w:rsid w:val="005232F9"/>
    <w:rsid w:val="0052567D"/>
    <w:rsid w:val="0052594E"/>
    <w:rsid w:val="00532A13"/>
    <w:rsid w:val="00543241"/>
    <w:rsid w:val="00545457"/>
    <w:rsid w:val="00545C36"/>
    <w:rsid w:val="00550099"/>
    <w:rsid w:val="00550AF2"/>
    <w:rsid w:val="005535BA"/>
    <w:rsid w:val="00556A37"/>
    <w:rsid w:val="005675FA"/>
    <w:rsid w:val="00571533"/>
    <w:rsid w:val="00571AEC"/>
    <w:rsid w:val="00571B31"/>
    <w:rsid w:val="00572599"/>
    <w:rsid w:val="005725A4"/>
    <w:rsid w:val="005731A1"/>
    <w:rsid w:val="005743C6"/>
    <w:rsid w:val="00575DA2"/>
    <w:rsid w:val="00580E95"/>
    <w:rsid w:val="00584DD1"/>
    <w:rsid w:val="00584F5F"/>
    <w:rsid w:val="00586A0B"/>
    <w:rsid w:val="00587250"/>
    <w:rsid w:val="0059176B"/>
    <w:rsid w:val="005917ED"/>
    <w:rsid w:val="00591B9B"/>
    <w:rsid w:val="00592B87"/>
    <w:rsid w:val="00594142"/>
    <w:rsid w:val="00595671"/>
    <w:rsid w:val="005A1C7A"/>
    <w:rsid w:val="005A37CF"/>
    <w:rsid w:val="005A6E03"/>
    <w:rsid w:val="005A70A7"/>
    <w:rsid w:val="005A796E"/>
    <w:rsid w:val="005B2260"/>
    <w:rsid w:val="005B6CB5"/>
    <w:rsid w:val="005B7447"/>
    <w:rsid w:val="005B75B4"/>
    <w:rsid w:val="005C2271"/>
    <w:rsid w:val="005C2982"/>
    <w:rsid w:val="005C72A2"/>
    <w:rsid w:val="005C7427"/>
    <w:rsid w:val="005D07B9"/>
    <w:rsid w:val="005D1192"/>
    <w:rsid w:val="005D3F5E"/>
    <w:rsid w:val="005D4CE0"/>
    <w:rsid w:val="005D5AA6"/>
    <w:rsid w:val="005D5DC1"/>
    <w:rsid w:val="005E3468"/>
    <w:rsid w:val="005E53DA"/>
    <w:rsid w:val="005E6A15"/>
    <w:rsid w:val="005E7D27"/>
    <w:rsid w:val="005F78DB"/>
    <w:rsid w:val="00602E69"/>
    <w:rsid w:val="00603E2D"/>
    <w:rsid w:val="00603F20"/>
    <w:rsid w:val="0060465D"/>
    <w:rsid w:val="00604EE1"/>
    <w:rsid w:val="00605C46"/>
    <w:rsid w:val="00605E03"/>
    <w:rsid w:val="00605E4A"/>
    <w:rsid w:val="00606733"/>
    <w:rsid w:val="00606EDB"/>
    <w:rsid w:val="006145F4"/>
    <w:rsid w:val="006163F3"/>
    <w:rsid w:val="00617241"/>
    <w:rsid w:val="0062059A"/>
    <w:rsid w:val="00622E70"/>
    <w:rsid w:val="00630688"/>
    <w:rsid w:val="00631506"/>
    <w:rsid w:val="00631FD8"/>
    <w:rsid w:val="0063459B"/>
    <w:rsid w:val="00634E9D"/>
    <w:rsid w:val="0063577E"/>
    <w:rsid w:val="0063625A"/>
    <w:rsid w:val="00637120"/>
    <w:rsid w:val="0063763E"/>
    <w:rsid w:val="006431C9"/>
    <w:rsid w:val="006444B0"/>
    <w:rsid w:val="00645AED"/>
    <w:rsid w:val="00645DA0"/>
    <w:rsid w:val="00645E8C"/>
    <w:rsid w:val="00647421"/>
    <w:rsid w:val="00647CDF"/>
    <w:rsid w:val="00650745"/>
    <w:rsid w:val="006518EF"/>
    <w:rsid w:val="0065267C"/>
    <w:rsid w:val="0065274A"/>
    <w:rsid w:val="00652943"/>
    <w:rsid w:val="00652F25"/>
    <w:rsid w:val="006606DD"/>
    <w:rsid w:val="00661F2F"/>
    <w:rsid w:val="00664ED0"/>
    <w:rsid w:val="00666AA0"/>
    <w:rsid w:val="0067185C"/>
    <w:rsid w:val="00672521"/>
    <w:rsid w:val="00675ABC"/>
    <w:rsid w:val="00676517"/>
    <w:rsid w:val="0067662B"/>
    <w:rsid w:val="006857D0"/>
    <w:rsid w:val="00685E7A"/>
    <w:rsid w:val="00686906"/>
    <w:rsid w:val="0069050C"/>
    <w:rsid w:val="00691046"/>
    <w:rsid w:val="00692556"/>
    <w:rsid w:val="006941C5"/>
    <w:rsid w:val="006956FA"/>
    <w:rsid w:val="00696A3B"/>
    <w:rsid w:val="006A308F"/>
    <w:rsid w:val="006A39C4"/>
    <w:rsid w:val="006A4EFE"/>
    <w:rsid w:val="006A5CB9"/>
    <w:rsid w:val="006B108E"/>
    <w:rsid w:val="006B46F0"/>
    <w:rsid w:val="006B4B07"/>
    <w:rsid w:val="006B4DCF"/>
    <w:rsid w:val="006B4F9C"/>
    <w:rsid w:val="006B506C"/>
    <w:rsid w:val="006B5EDA"/>
    <w:rsid w:val="006B7515"/>
    <w:rsid w:val="006B7EC5"/>
    <w:rsid w:val="006C251B"/>
    <w:rsid w:val="006C296F"/>
    <w:rsid w:val="006C2AF4"/>
    <w:rsid w:val="006C4937"/>
    <w:rsid w:val="006C49E4"/>
    <w:rsid w:val="006C4C1D"/>
    <w:rsid w:val="006C677F"/>
    <w:rsid w:val="006C6990"/>
    <w:rsid w:val="006C7F5B"/>
    <w:rsid w:val="006D03EB"/>
    <w:rsid w:val="006D25AD"/>
    <w:rsid w:val="006D2D4D"/>
    <w:rsid w:val="006D5177"/>
    <w:rsid w:val="006D6988"/>
    <w:rsid w:val="006D768D"/>
    <w:rsid w:val="006D7A26"/>
    <w:rsid w:val="006E0F21"/>
    <w:rsid w:val="006E306D"/>
    <w:rsid w:val="006E4C14"/>
    <w:rsid w:val="006E4D3A"/>
    <w:rsid w:val="006E4F03"/>
    <w:rsid w:val="006E70D2"/>
    <w:rsid w:val="006F03CA"/>
    <w:rsid w:val="006F072F"/>
    <w:rsid w:val="006F1128"/>
    <w:rsid w:val="006F2069"/>
    <w:rsid w:val="006F460B"/>
    <w:rsid w:val="006F538E"/>
    <w:rsid w:val="006F73DD"/>
    <w:rsid w:val="00701678"/>
    <w:rsid w:val="0070647D"/>
    <w:rsid w:val="007118B0"/>
    <w:rsid w:val="0071419C"/>
    <w:rsid w:val="00714DEF"/>
    <w:rsid w:val="00716F9B"/>
    <w:rsid w:val="0072099A"/>
    <w:rsid w:val="00721698"/>
    <w:rsid w:val="0072311E"/>
    <w:rsid w:val="007256F1"/>
    <w:rsid w:val="00730361"/>
    <w:rsid w:val="00732739"/>
    <w:rsid w:val="00734FD3"/>
    <w:rsid w:val="00734FEB"/>
    <w:rsid w:val="00737A61"/>
    <w:rsid w:val="0074073C"/>
    <w:rsid w:val="00740CE5"/>
    <w:rsid w:val="007412BE"/>
    <w:rsid w:val="007507A5"/>
    <w:rsid w:val="00750A24"/>
    <w:rsid w:val="007554E4"/>
    <w:rsid w:val="00755E47"/>
    <w:rsid w:val="00760F1E"/>
    <w:rsid w:val="00762EA9"/>
    <w:rsid w:val="0076437B"/>
    <w:rsid w:val="0076544A"/>
    <w:rsid w:val="0076566D"/>
    <w:rsid w:val="00766CCB"/>
    <w:rsid w:val="007674E7"/>
    <w:rsid w:val="0077167C"/>
    <w:rsid w:val="00774E19"/>
    <w:rsid w:val="00775EB7"/>
    <w:rsid w:val="00776C9F"/>
    <w:rsid w:val="007775EE"/>
    <w:rsid w:val="00777BD5"/>
    <w:rsid w:val="0078035B"/>
    <w:rsid w:val="00780C2B"/>
    <w:rsid w:val="00780CF3"/>
    <w:rsid w:val="0078100C"/>
    <w:rsid w:val="00781784"/>
    <w:rsid w:val="0078400B"/>
    <w:rsid w:val="00784383"/>
    <w:rsid w:val="00791BA3"/>
    <w:rsid w:val="00794FBB"/>
    <w:rsid w:val="007971D8"/>
    <w:rsid w:val="007A2247"/>
    <w:rsid w:val="007A2A27"/>
    <w:rsid w:val="007B2BE1"/>
    <w:rsid w:val="007B3671"/>
    <w:rsid w:val="007B49C8"/>
    <w:rsid w:val="007B5A29"/>
    <w:rsid w:val="007C7223"/>
    <w:rsid w:val="007C76ED"/>
    <w:rsid w:val="007D2833"/>
    <w:rsid w:val="007D2C43"/>
    <w:rsid w:val="007D49B7"/>
    <w:rsid w:val="007D5867"/>
    <w:rsid w:val="007D7F97"/>
    <w:rsid w:val="007E022E"/>
    <w:rsid w:val="007E06CE"/>
    <w:rsid w:val="007E2D6F"/>
    <w:rsid w:val="007E2FC4"/>
    <w:rsid w:val="007E3FD7"/>
    <w:rsid w:val="007E68A5"/>
    <w:rsid w:val="007E76D2"/>
    <w:rsid w:val="007F09F7"/>
    <w:rsid w:val="007F0E33"/>
    <w:rsid w:val="007F1496"/>
    <w:rsid w:val="007F1A04"/>
    <w:rsid w:val="007F1C22"/>
    <w:rsid w:val="007F4BEA"/>
    <w:rsid w:val="008013E5"/>
    <w:rsid w:val="00801F9E"/>
    <w:rsid w:val="00802CE8"/>
    <w:rsid w:val="00803F82"/>
    <w:rsid w:val="008043DC"/>
    <w:rsid w:val="00805F1A"/>
    <w:rsid w:val="00810BA9"/>
    <w:rsid w:val="008136D9"/>
    <w:rsid w:val="00813E64"/>
    <w:rsid w:val="00815B96"/>
    <w:rsid w:val="00816AAD"/>
    <w:rsid w:val="00820FB2"/>
    <w:rsid w:val="0082105D"/>
    <w:rsid w:val="0082147C"/>
    <w:rsid w:val="00821C9C"/>
    <w:rsid w:val="008226E0"/>
    <w:rsid w:val="00822E3C"/>
    <w:rsid w:val="008244CA"/>
    <w:rsid w:val="00824B69"/>
    <w:rsid w:val="008252EF"/>
    <w:rsid w:val="00830848"/>
    <w:rsid w:val="00832141"/>
    <w:rsid w:val="00833524"/>
    <w:rsid w:val="00836655"/>
    <w:rsid w:val="00837EFF"/>
    <w:rsid w:val="00841EC7"/>
    <w:rsid w:val="00842C21"/>
    <w:rsid w:val="008433E7"/>
    <w:rsid w:val="0084416E"/>
    <w:rsid w:val="00845892"/>
    <w:rsid w:val="00845C7B"/>
    <w:rsid w:val="008513BF"/>
    <w:rsid w:val="00851AB9"/>
    <w:rsid w:val="008523D9"/>
    <w:rsid w:val="0085310F"/>
    <w:rsid w:val="008533A8"/>
    <w:rsid w:val="00853536"/>
    <w:rsid w:val="00854559"/>
    <w:rsid w:val="00854899"/>
    <w:rsid w:val="0085515B"/>
    <w:rsid w:val="00856AE5"/>
    <w:rsid w:val="008618C6"/>
    <w:rsid w:val="008626CD"/>
    <w:rsid w:val="00865759"/>
    <w:rsid w:val="00865D8C"/>
    <w:rsid w:val="0087044F"/>
    <w:rsid w:val="00871491"/>
    <w:rsid w:val="00874451"/>
    <w:rsid w:val="0087446A"/>
    <w:rsid w:val="008748D1"/>
    <w:rsid w:val="00875EAA"/>
    <w:rsid w:val="00876574"/>
    <w:rsid w:val="00880175"/>
    <w:rsid w:val="00880CF0"/>
    <w:rsid w:val="00881A60"/>
    <w:rsid w:val="00881BEF"/>
    <w:rsid w:val="00881E42"/>
    <w:rsid w:val="008831EB"/>
    <w:rsid w:val="0088435A"/>
    <w:rsid w:val="008922ED"/>
    <w:rsid w:val="008934D4"/>
    <w:rsid w:val="00893F54"/>
    <w:rsid w:val="00896093"/>
    <w:rsid w:val="00896B84"/>
    <w:rsid w:val="00896F0A"/>
    <w:rsid w:val="00897A12"/>
    <w:rsid w:val="00897D64"/>
    <w:rsid w:val="008A38D1"/>
    <w:rsid w:val="008A4310"/>
    <w:rsid w:val="008A54D8"/>
    <w:rsid w:val="008A5F62"/>
    <w:rsid w:val="008B017A"/>
    <w:rsid w:val="008B5634"/>
    <w:rsid w:val="008C2628"/>
    <w:rsid w:val="008C2F20"/>
    <w:rsid w:val="008C409B"/>
    <w:rsid w:val="008C4FA8"/>
    <w:rsid w:val="008C79A1"/>
    <w:rsid w:val="008D55E1"/>
    <w:rsid w:val="008D6E4F"/>
    <w:rsid w:val="008E2451"/>
    <w:rsid w:val="008E29E3"/>
    <w:rsid w:val="008E4505"/>
    <w:rsid w:val="008E4B09"/>
    <w:rsid w:val="008E5A7D"/>
    <w:rsid w:val="008E63A6"/>
    <w:rsid w:val="008E6688"/>
    <w:rsid w:val="008E7350"/>
    <w:rsid w:val="008E789E"/>
    <w:rsid w:val="008F000F"/>
    <w:rsid w:val="008F0753"/>
    <w:rsid w:val="008F0CBD"/>
    <w:rsid w:val="008F3051"/>
    <w:rsid w:val="00902858"/>
    <w:rsid w:val="00904207"/>
    <w:rsid w:val="0090593A"/>
    <w:rsid w:val="00905B2A"/>
    <w:rsid w:val="00906E38"/>
    <w:rsid w:val="00907CA7"/>
    <w:rsid w:val="00907D91"/>
    <w:rsid w:val="00907DD3"/>
    <w:rsid w:val="00907F15"/>
    <w:rsid w:val="009109EA"/>
    <w:rsid w:val="009121E8"/>
    <w:rsid w:val="00914079"/>
    <w:rsid w:val="009149B1"/>
    <w:rsid w:val="009150CF"/>
    <w:rsid w:val="0091771C"/>
    <w:rsid w:val="00917B0D"/>
    <w:rsid w:val="00917D51"/>
    <w:rsid w:val="009200DC"/>
    <w:rsid w:val="0092053B"/>
    <w:rsid w:val="00920954"/>
    <w:rsid w:val="0092435E"/>
    <w:rsid w:val="00924E16"/>
    <w:rsid w:val="00926606"/>
    <w:rsid w:val="0093174E"/>
    <w:rsid w:val="00931B2E"/>
    <w:rsid w:val="0093499B"/>
    <w:rsid w:val="00935378"/>
    <w:rsid w:val="00936697"/>
    <w:rsid w:val="009440A8"/>
    <w:rsid w:val="009451E3"/>
    <w:rsid w:val="00945C40"/>
    <w:rsid w:val="00946A0A"/>
    <w:rsid w:val="009519AD"/>
    <w:rsid w:val="00955BA2"/>
    <w:rsid w:val="009570B9"/>
    <w:rsid w:val="009606F2"/>
    <w:rsid w:val="0096119B"/>
    <w:rsid w:val="009618C8"/>
    <w:rsid w:val="00962526"/>
    <w:rsid w:val="00962AB2"/>
    <w:rsid w:val="0096644E"/>
    <w:rsid w:val="0096649E"/>
    <w:rsid w:val="00967FE1"/>
    <w:rsid w:val="009710F6"/>
    <w:rsid w:val="00971591"/>
    <w:rsid w:val="00971777"/>
    <w:rsid w:val="009729F7"/>
    <w:rsid w:val="00972CBA"/>
    <w:rsid w:val="00973B5D"/>
    <w:rsid w:val="00975A35"/>
    <w:rsid w:val="009764FA"/>
    <w:rsid w:val="00977B34"/>
    <w:rsid w:val="0098312F"/>
    <w:rsid w:val="009842E5"/>
    <w:rsid w:val="0098743A"/>
    <w:rsid w:val="0099440C"/>
    <w:rsid w:val="009947FF"/>
    <w:rsid w:val="00995116"/>
    <w:rsid w:val="009A005D"/>
    <w:rsid w:val="009A2FAA"/>
    <w:rsid w:val="009A33E6"/>
    <w:rsid w:val="009A4D51"/>
    <w:rsid w:val="009A642D"/>
    <w:rsid w:val="009B1B86"/>
    <w:rsid w:val="009B2382"/>
    <w:rsid w:val="009B3BE2"/>
    <w:rsid w:val="009B609C"/>
    <w:rsid w:val="009B7105"/>
    <w:rsid w:val="009B754F"/>
    <w:rsid w:val="009C05E1"/>
    <w:rsid w:val="009C09C9"/>
    <w:rsid w:val="009C3FD0"/>
    <w:rsid w:val="009C4ECB"/>
    <w:rsid w:val="009C6A8D"/>
    <w:rsid w:val="009C6F1F"/>
    <w:rsid w:val="009C76B7"/>
    <w:rsid w:val="009C793D"/>
    <w:rsid w:val="009D0F2F"/>
    <w:rsid w:val="009D2784"/>
    <w:rsid w:val="009D312C"/>
    <w:rsid w:val="009D3165"/>
    <w:rsid w:val="009D6851"/>
    <w:rsid w:val="009D6FCA"/>
    <w:rsid w:val="009E2F7F"/>
    <w:rsid w:val="009E30DE"/>
    <w:rsid w:val="009E3957"/>
    <w:rsid w:val="009E3F33"/>
    <w:rsid w:val="009E4AB0"/>
    <w:rsid w:val="009E6424"/>
    <w:rsid w:val="009E6DDA"/>
    <w:rsid w:val="009F196B"/>
    <w:rsid w:val="009F4720"/>
    <w:rsid w:val="00A047D2"/>
    <w:rsid w:val="00A06150"/>
    <w:rsid w:val="00A100E1"/>
    <w:rsid w:val="00A1028B"/>
    <w:rsid w:val="00A110C9"/>
    <w:rsid w:val="00A12FDD"/>
    <w:rsid w:val="00A141AF"/>
    <w:rsid w:val="00A15877"/>
    <w:rsid w:val="00A17C42"/>
    <w:rsid w:val="00A21CFA"/>
    <w:rsid w:val="00A22136"/>
    <w:rsid w:val="00A228DD"/>
    <w:rsid w:val="00A22F7E"/>
    <w:rsid w:val="00A23AFA"/>
    <w:rsid w:val="00A310C6"/>
    <w:rsid w:val="00A335F6"/>
    <w:rsid w:val="00A33A0F"/>
    <w:rsid w:val="00A36804"/>
    <w:rsid w:val="00A36B38"/>
    <w:rsid w:val="00A40E3C"/>
    <w:rsid w:val="00A43902"/>
    <w:rsid w:val="00A43F33"/>
    <w:rsid w:val="00A47B71"/>
    <w:rsid w:val="00A5105D"/>
    <w:rsid w:val="00A514C6"/>
    <w:rsid w:val="00A53502"/>
    <w:rsid w:val="00A53B6B"/>
    <w:rsid w:val="00A5513E"/>
    <w:rsid w:val="00A55861"/>
    <w:rsid w:val="00A56CA8"/>
    <w:rsid w:val="00A64D19"/>
    <w:rsid w:val="00A66FFC"/>
    <w:rsid w:val="00A67073"/>
    <w:rsid w:val="00A7789B"/>
    <w:rsid w:val="00A80024"/>
    <w:rsid w:val="00A812B8"/>
    <w:rsid w:val="00A83361"/>
    <w:rsid w:val="00A835FA"/>
    <w:rsid w:val="00A83A87"/>
    <w:rsid w:val="00A845C2"/>
    <w:rsid w:val="00A84DD9"/>
    <w:rsid w:val="00A8610E"/>
    <w:rsid w:val="00A87CA0"/>
    <w:rsid w:val="00A904C0"/>
    <w:rsid w:val="00A95944"/>
    <w:rsid w:val="00A95D87"/>
    <w:rsid w:val="00A96795"/>
    <w:rsid w:val="00A9751B"/>
    <w:rsid w:val="00A97954"/>
    <w:rsid w:val="00A97BA9"/>
    <w:rsid w:val="00AA2B36"/>
    <w:rsid w:val="00AA4067"/>
    <w:rsid w:val="00AA5DD8"/>
    <w:rsid w:val="00AA5F15"/>
    <w:rsid w:val="00AB0F3F"/>
    <w:rsid w:val="00AB4489"/>
    <w:rsid w:val="00AB51D9"/>
    <w:rsid w:val="00AC0C65"/>
    <w:rsid w:val="00AC119B"/>
    <w:rsid w:val="00AC3724"/>
    <w:rsid w:val="00AC47D0"/>
    <w:rsid w:val="00AC5B75"/>
    <w:rsid w:val="00AC6BD2"/>
    <w:rsid w:val="00AD1E0D"/>
    <w:rsid w:val="00AD57CD"/>
    <w:rsid w:val="00AE06CD"/>
    <w:rsid w:val="00AE1B40"/>
    <w:rsid w:val="00AE5863"/>
    <w:rsid w:val="00AE6339"/>
    <w:rsid w:val="00AF3E15"/>
    <w:rsid w:val="00AF3E65"/>
    <w:rsid w:val="00AF3E7A"/>
    <w:rsid w:val="00AF552E"/>
    <w:rsid w:val="00B00D18"/>
    <w:rsid w:val="00B01AEF"/>
    <w:rsid w:val="00B02709"/>
    <w:rsid w:val="00B052CA"/>
    <w:rsid w:val="00B077A3"/>
    <w:rsid w:val="00B1027F"/>
    <w:rsid w:val="00B104C3"/>
    <w:rsid w:val="00B148BF"/>
    <w:rsid w:val="00B149A0"/>
    <w:rsid w:val="00B15DFF"/>
    <w:rsid w:val="00B17161"/>
    <w:rsid w:val="00B22542"/>
    <w:rsid w:val="00B23A9B"/>
    <w:rsid w:val="00B26AC0"/>
    <w:rsid w:val="00B32E7E"/>
    <w:rsid w:val="00B37B65"/>
    <w:rsid w:val="00B42B9E"/>
    <w:rsid w:val="00B44F4E"/>
    <w:rsid w:val="00B4574A"/>
    <w:rsid w:val="00B46540"/>
    <w:rsid w:val="00B47702"/>
    <w:rsid w:val="00B4783A"/>
    <w:rsid w:val="00B52732"/>
    <w:rsid w:val="00B52F1D"/>
    <w:rsid w:val="00B54325"/>
    <w:rsid w:val="00B56301"/>
    <w:rsid w:val="00B57222"/>
    <w:rsid w:val="00B57911"/>
    <w:rsid w:val="00B624EA"/>
    <w:rsid w:val="00B6361C"/>
    <w:rsid w:val="00B6363A"/>
    <w:rsid w:val="00B63E9E"/>
    <w:rsid w:val="00B65589"/>
    <w:rsid w:val="00B67A43"/>
    <w:rsid w:val="00B716A0"/>
    <w:rsid w:val="00B719E2"/>
    <w:rsid w:val="00B73BFB"/>
    <w:rsid w:val="00B751E0"/>
    <w:rsid w:val="00B75C07"/>
    <w:rsid w:val="00B80670"/>
    <w:rsid w:val="00B86118"/>
    <w:rsid w:val="00B92487"/>
    <w:rsid w:val="00B94B7E"/>
    <w:rsid w:val="00B95CF2"/>
    <w:rsid w:val="00B96FBB"/>
    <w:rsid w:val="00B97704"/>
    <w:rsid w:val="00B9781A"/>
    <w:rsid w:val="00BA2C8F"/>
    <w:rsid w:val="00BA4D1D"/>
    <w:rsid w:val="00BA618F"/>
    <w:rsid w:val="00BB17AC"/>
    <w:rsid w:val="00BB25C1"/>
    <w:rsid w:val="00BB3AF6"/>
    <w:rsid w:val="00BB4C46"/>
    <w:rsid w:val="00BB5CA4"/>
    <w:rsid w:val="00BC25AC"/>
    <w:rsid w:val="00BC3817"/>
    <w:rsid w:val="00BC4A4E"/>
    <w:rsid w:val="00BC5E80"/>
    <w:rsid w:val="00BC6219"/>
    <w:rsid w:val="00BD0C7C"/>
    <w:rsid w:val="00BD161D"/>
    <w:rsid w:val="00BD189E"/>
    <w:rsid w:val="00BD588C"/>
    <w:rsid w:val="00BE086C"/>
    <w:rsid w:val="00BE3EF8"/>
    <w:rsid w:val="00BE54E6"/>
    <w:rsid w:val="00BE55F6"/>
    <w:rsid w:val="00BE6408"/>
    <w:rsid w:val="00BF2B78"/>
    <w:rsid w:val="00BF33ED"/>
    <w:rsid w:val="00BF3A34"/>
    <w:rsid w:val="00BF5655"/>
    <w:rsid w:val="00BF6E90"/>
    <w:rsid w:val="00C02C24"/>
    <w:rsid w:val="00C030F9"/>
    <w:rsid w:val="00C04707"/>
    <w:rsid w:val="00C07E57"/>
    <w:rsid w:val="00C07FFB"/>
    <w:rsid w:val="00C10522"/>
    <w:rsid w:val="00C1079C"/>
    <w:rsid w:val="00C11BF9"/>
    <w:rsid w:val="00C154F7"/>
    <w:rsid w:val="00C20383"/>
    <w:rsid w:val="00C2055C"/>
    <w:rsid w:val="00C23A99"/>
    <w:rsid w:val="00C2407B"/>
    <w:rsid w:val="00C26468"/>
    <w:rsid w:val="00C27281"/>
    <w:rsid w:val="00C30949"/>
    <w:rsid w:val="00C312A3"/>
    <w:rsid w:val="00C336C4"/>
    <w:rsid w:val="00C438DF"/>
    <w:rsid w:val="00C44824"/>
    <w:rsid w:val="00C469A8"/>
    <w:rsid w:val="00C554DF"/>
    <w:rsid w:val="00C5626E"/>
    <w:rsid w:val="00C56564"/>
    <w:rsid w:val="00C57E2E"/>
    <w:rsid w:val="00C654BE"/>
    <w:rsid w:val="00C65A49"/>
    <w:rsid w:val="00C71719"/>
    <w:rsid w:val="00C72952"/>
    <w:rsid w:val="00C73AC8"/>
    <w:rsid w:val="00C73F2E"/>
    <w:rsid w:val="00C74BDA"/>
    <w:rsid w:val="00C74BFD"/>
    <w:rsid w:val="00C74D2C"/>
    <w:rsid w:val="00C75BBB"/>
    <w:rsid w:val="00C76A89"/>
    <w:rsid w:val="00C8044E"/>
    <w:rsid w:val="00C82713"/>
    <w:rsid w:val="00C8312E"/>
    <w:rsid w:val="00C86F82"/>
    <w:rsid w:val="00C91ACF"/>
    <w:rsid w:val="00C91D7E"/>
    <w:rsid w:val="00C93073"/>
    <w:rsid w:val="00CA0A8D"/>
    <w:rsid w:val="00CA0B12"/>
    <w:rsid w:val="00CA15FF"/>
    <w:rsid w:val="00CA2A7E"/>
    <w:rsid w:val="00CA43A0"/>
    <w:rsid w:val="00CA6083"/>
    <w:rsid w:val="00CB4956"/>
    <w:rsid w:val="00CB508D"/>
    <w:rsid w:val="00CB5305"/>
    <w:rsid w:val="00CB5795"/>
    <w:rsid w:val="00CB5BE9"/>
    <w:rsid w:val="00CB7596"/>
    <w:rsid w:val="00CC0DF2"/>
    <w:rsid w:val="00CC12D8"/>
    <w:rsid w:val="00CC4995"/>
    <w:rsid w:val="00CD2E54"/>
    <w:rsid w:val="00CD7769"/>
    <w:rsid w:val="00CE2485"/>
    <w:rsid w:val="00CE372B"/>
    <w:rsid w:val="00CF04F7"/>
    <w:rsid w:val="00CF3603"/>
    <w:rsid w:val="00CF512D"/>
    <w:rsid w:val="00CF57C7"/>
    <w:rsid w:val="00CF62B7"/>
    <w:rsid w:val="00CF65D7"/>
    <w:rsid w:val="00D00C02"/>
    <w:rsid w:val="00D02842"/>
    <w:rsid w:val="00D032EF"/>
    <w:rsid w:val="00D038BC"/>
    <w:rsid w:val="00D0401D"/>
    <w:rsid w:val="00D06D01"/>
    <w:rsid w:val="00D072B1"/>
    <w:rsid w:val="00D15C46"/>
    <w:rsid w:val="00D15F28"/>
    <w:rsid w:val="00D1605E"/>
    <w:rsid w:val="00D171D8"/>
    <w:rsid w:val="00D172CE"/>
    <w:rsid w:val="00D20917"/>
    <w:rsid w:val="00D2432A"/>
    <w:rsid w:val="00D24EFE"/>
    <w:rsid w:val="00D33670"/>
    <w:rsid w:val="00D37AEC"/>
    <w:rsid w:val="00D40A30"/>
    <w:rsid w:val="00D411BB"/>
    <w:rsid w:val="00D463FC"/>
    <w:rsid w:val="00D51D4F"/>
    <w:rsid w:val="00D5243A"/>
    <w:rsid w:val="00D529B8"/>
    <w:rsid w:val="00D534C6"/>
    <w:rsid w:val="00D54E3B"/>
    <w:rsid w:val="00D57FF0"/>
    <w:rsid w:val="00D6090C"/>
    <w:rsid w:val="00D60A59"/>
    <w:rsid w:val="00D62F07"/>
    <w:rsid w:val="00D641D8"/>
    <w:rsid w:val="00D7033A"/>
    <w:rsid w:val="00D72068"/>
    <w:rsid w:val="00D72130"/>
    <w:rsid w:val="00D7273A"/>
    <w:rsid w:val="00D7364E"/>
    <w:rsid w:val="00D737AE"/>
    <w:rsid w:val="00D75657"/>
    <w:rsid w:val="00D761D5"/>
    <w:rsid w:val="00D77404"/>
    <w:rsid w:val="00D84822"/>
    <w:rsid w:val="00D93313"/>
    <w:rsid w:val="00D94906"/>
    <w:rsid w:val="00D94AB7"/>
    <w:rsid w:val="00D94C1E"/>
    <w:rsid w:val="00DA3B70"/>
    <w:rsid w:val="00DA4290"/>
    <w:rsid w:val="00DA6258"/>
    <w:rsid w:val="00DA7BDB"/>
    <w:rsid w:val="00DA7F5B"/>
    <w:rsid w:val="00DB2103"/>
    <w:rsid w:val="00DB30A8"/>
    <w:rsid w:val="00DB4D8D"/>
    <w:rsid w:val="00DB4E0D"/>
    <w:rsid w:val="00DB5B5A"/>
    <w:rsid w:val="00DB6179"/>
    <w:rsid w:val="00DB787E"/>
    <w:rsid w:val="00DB7C17"/>
    <w:rsid w:val="00DC1A26"/>
    <w:rsid w:val="00DC248F"/>
    <w:rsid w:val="00DC331B"/>
    <w:rsid w:val="00DC3E9A"/>
    <w:rsid w:val="00DC675B"/>
    <w:rsid w:val="00DC6DEF"/>
    <w:rsid w:val="00DD062C"/>
    <w:rsid w:val="00DD3C1C"/>
    <w:rsid w:val="00DD5063"/>
    <w:rsid w:val="00DE0656"/>
    <w:rsid w:val="00DE2529"/>
    <w:rsid w:val="00DE3092"/>
    <w:rsid w:val="00DE5C22"/>
    <w:rsid w:val="00DE6678"/>
    <w:rsid w:val="00DE66E9"/>
    <w:rsid w:val="00DE6CC7"/>
    <w:rsid w:val="00DE6E4B"/>
    <w:rsid w:val="00DF02B9"/>
    <w:rsid w:val="00DF06D4"/>
    <w:rsid w:val="00DF3D1A"/>
    <w:rsid w:val="00DF66AA"/>
    <w:rsid w:val="00DF67D7"/>
    <w:rsid w:val="00E00867"/>
    <w:rsid w:val="00E02865"/>
    <w:rsid w:val="00E063EF"/>
    <w:rsid w:val="00E0671D"/>
    <w:rsid w:val="00E07A8D"/>
    <w:rsid w:val="00E07F7B"/>
    <w:rsid w:val="00E10486"/>
    <w:rsid w:val="00E11221"/>
    <w:rsid w:val="00E173F5"/>
    <w:rsid w:val="00E20F1D"/>
    <w:rsid w:val="00E22A6B"/>
    <w:rsid w:val="00E22CF8"/>
    <w:rsid w:val="00E23E59"/>
    <w:rsid w:val="00E2544E"/>
    <w:rsid w:val="00E26935"/>
    <w:rsid w:val="00E26ABF"/>
    <w:rsid w:val="00E3103D"/>
    <w:rsid w:val="00E310EF"/>
    <w:rsid w:val="00E32F66"/>
    <w:rsid w:val="00E34259"/>
    <w:rsid w:val="00E34CFC"/>
    <w:rsid w:val="00E3578D"/>
    <w:rsid w:val="00E36DE0"/>
    <w:rsid w:val="00E41114"/>
    <w:rsid w:val="00E4163C"/>
    <w:rsid w:val="00E42012"/>
    <w:rsid w:val="00E42145"/>
    <w:rsid w:val="00E4414D"/>
    <w:rsid w:val="00E4682A"/>
    <w:rsid w:val="00E46F3B"/>
    <w:rsid w:val="00E50303"/>
    <w:rsid w:val="00E51095"/>
    <w:rsid w:val="00E524AF"/>
    <w:rsid w:val="00E53B5D"/>
    <w:rsid w:val="00E54F44"/>
    <w:rsid w:val="00E55CBC"/>
    <w:rsid w:val="00E56269"/>
    <w:rsid w:val="00E5664F"/>
    <w:rsid w:val="00E62C82"/>
    <w:rsid w:val="00E63C6D"/>
    <w:rsid w:val="00E64C8E"/>
    <w:rsid w:val="00E6568F"/>
    <w:rsid w:val="00E65B1A"/>
    <w:rsid w:val="00E709A1"/>
    <w:rsid w:val="00E70B93"/>
    <w:rsid w:val="00E70BDF"/>
    <w:rsid w:val="00E71B30"/>
    <w:rsid w:val="00E727B3"/>
    <w:rsid w:val="00E73BD6"/>
    <w:rsid w:val="00E74A31"/>
    <w:rsid w:val="00E77DC7"/>
    <w:rsid w:val="00E819D8"/>
    <w:rsid w:val="00E8576E"/>
    <w:rsid w:val="00E9215E"/>
    <w:rsid w:val="00E95637"/>
    <w:rsid w:val="00E962A2"/>
    <w:rsid w:val="00E97D69"/>
    <w:rsid w:val="00EA1889"/>
    <w:rsid w:val="00EA1E2A"/>
    <w:rsid w:val="00EA3B81"/>
    <w:rsid w:val="00EB2B73"/>
    <w:rsid w:val="00EC0D26"/>
    <w:rsid w:val="00EC36FE"/>
    <w:rsid w:val="00EC697E"/>
    <w:rsid w:val="00ED2A5C"/>
    <w:rsid w:val="00ED5D38"/>
    <w:rsid w:val="00EE10FC"/>
    <w:rsid w:val="00EE30A2"/>
    <w:rsid w:val="00EE3DB7"/>
    <w:rsid w:val="00EE4807"/>
    <w:rsid w:val="00EE523A"/>
    <w:rsid w:val="00EF62D3"/>
    <w:rsid w:val="00EF6DB6"/>
    <w:rsid w:val="00EF7A73"/>
    <w:rsid w:val="00F01B82"/>
    <w:rsid w:val="00F01DBF"/>
    <w:rsid w:val="00F0578E"/>
    <w:rsid w:val="00F05840"/>
    <w:rsid w:val="00F06136"/>
    <w:rsid w:val="00F07174"/>
    <w:rsid w:val="00F15C26"/>
    <w:rsid w:val="00F21000"/>
    <w:rsid w:val="00F217F1"/>
    <w:rsid w:val="00F21DCB"/>
    <w:rsid w:val="00F2405C"/>
    <w:rsid w:val="00F308A4"/>
    <w:rsid w:val="00F33015"/>
    <w:rsid w:val="00F36447"/>
    <w:rsid w:val="00F36702"/>
    <w:rsid w:val="00F377C1"/>
    <w:rsid w:val="00F412AD"/>
    <w:rsid w:val="00F41A65"/>
    <w:rsid w:val="00F42046"/>
    <w:rsid w:val="00F43350"/>
    <w:rsid w:val="00F44B76"/>
    <w:rsid w:val="00F4710E"/>
    <w:rsid w:val="00F51D4C"/>
    <w:rsid w:val="00F5247D"/>
    <w:rsid w:val="00F57B79"/>
    <w:rsid w:val="00F63035"/>
    <w:rsid w:val="00F64B17"/>
    <w:rsid w:val="00F72D08"/>
    <w:rsid w:val="00F74355"/>
    <w:rsid w:val="00F76E09"/>
    <w:rsid w:val="00F80CAB"/>
    <w:rsid w:val="00F81B37"/>
    <w:rsid w:val="00F86AB7"/>
    <w:rsid w:val="00F91089"/>
    <w:rsid w:val="00F92F9B"/>
    <w:rsid w:val="00F96671"/>
    <w:rsid w:val="00F96A1F"/>
    <w:rsid w:val="00F97EC1"/>
    <w:rsid w:val="00FA03BC"/>
    <w:rsid w:val="00FA1E79"/>
    <w:rsid w:val="00FA2B37"/>
    <w:rsid w:val="00FA30E8"/>
    <w:rsid w:val="00FA4362"/>
    <w:rsid w:val="00FA72C1"/>
    <w:rsid w:val="00FA79BD"/>
    <w:rsid w:val="00FB41BB"/>
    <w:rsid w:val="00FB47C8"/>
    <w:rsid w:val="00FB65A8"/>
    <w:rsid w:val="00FB65EF"/>
    <w:rsid w:val="00FC0C90"/>
    <w:rsid w:val="00FC1DD7"/>
    <w:rsid w:val="00FC5E5E"/>
    <w:rsid w:val="00FD0810"/>
    <w:rsid w:val="00FD48F8"/>
    <w:rsid w:val="00FD5054"/>
    <w:rsid w:val="00FD6950"/>
    <w:rsid w:val="00FD6AE4"/>
    <w:rsid w:val="00FE0F31"/>
    <w:rsid w:val="00FE192D"/>
    <w:rsid w:val="00FE5B70"/>
    <w:rsid w:val="00FF0B82"/>
    <w:rsid w:val="00FF3B71"/>
    <w:rsid w:val="00FF7358"/>
    <w:rsid w:val="00FF7F44"/>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F3EAD5C"/>
  <w14:defaultImageDpi w14:val="32767"/>
  <w15:docId w15:val="{0DABA154-AB80-445B-8853-CAF5150AAC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GB" w:eastAsia="en-US" w:bidi="ar-SA"/>
      </w:rPr>
    </w:rPrDefault>
    <w:pPrDefault>
      <w:pPr>
        <w:spacing w:line="240" w:lineRule="atLeast"/>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18EF"/>
    <w:pPr>
      <w:spacing w:before="10" w:after="10" w:line="240" w:lineRule="auto"/>
      <w:jc w:val="both"/>
    </w:pPr>
    <w:rPr>
      <w:rFonts w:ascii="Marianne" w:eastAsia="Times New Roman" w:hAnsi="Marianne" w:cs="Times New Roman"/>
      <w:sz w:val="22"/>
      <w:szCs w:val="24"/>
      <w:lang w:eastAsia="fr-FR"/>
    </w:rPr>
  </w:style>
  <w:style w:type="paragraph" w:styleId="Heading1">
    <w:name w:val="heading 1"/>
    <w:aliases w:val="titre 3 niveau 3"/>
    <w:basedOn w:val="Normal"/>
    <w:next w:val="Textedesaisie"/>
    <w:link w:val="Heading1Char"/>
    <w:uiPriority w:val="9"/>
    <w:rsid w:val="00431E8F"/>
    <w:pPr>
      <w:keepNext/>
      <w:keepLines/>
      <w:spacing w:before="480" w:after="240" w:line="280" w:lineRule="atLeast"/>
      <w:ind w:left="567"/>
      <w:outlineLvl w:val="0"/>
    </w:pPr>
    <w:rPr>
      <w:rFonts w:asciiTheme="majorHAnsi" w:eastAsiaTheme="majorEastAsia" w:hAnsiTheme="majorHAnsi" w:cstheme="majorBidi"/>
      <w:b/>
      <w:bCs/>
      <w:sz w:val="23"/>
      <w:szCs w:val="28"/>
      <w:u w:val="single"/>
    </w:rPr>
  </w:style>
  <w:style w:type="paragraph" w:styleId="Heading2">
    <w:name w:val="heading 2"/>
    <w:basedOn w:val="Normal"/>
    <w:next w:val="Normal"/>
    <w:link w:val="Heading2Char"/>
    <w:uiPriority w:val="9"/>
    <w:semiHidden/>
    <w:rsid w:val="00FA1E79"/>
    <w:pPr>
      <w:keepNext/>
      <w:keepLines/>
      <w:numPr>
        <w:ilvl w:val="1"/>
        <w:numId w:val="2"/>
      </w:numPr>
      <w:spacing w:before="300" w:line="220" w:lineRule="atLeast"/>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9"/>
    <w:semiHidden/>
    <w:qFormat/>
    <w:rsid w:val="00FA1E79"/>
    <w:pPr>
      <w:keepNext/>
      <w:keepLines/>
      <w:numPr>
        <w:ilvl w:val="2"/>
        <w:numId w:val="2"/>
      </w:numPr>
      <w:spacing w:before="160" w:after="60" w:line="220" w:lineRule="atLeast"/>
      <w:outlineLvl w:val="2"/>
    </w:pPr>
    <w:rPr>
      <w:rFonts w:asciiTheme="majorHAnsi" w:eastAsiaTheme="majorEastAsia" w:hAnsiTheme="majorHAnsi" w:cstheme="majorBidi"/>
      <w:b/>
      <w:bCs/>
      <w:sz w:val="18"/>
      <w:szCs w:val="18"/>
    </w:rPr>
  </w:style>
  <w:style w:type="paragraph" w:styleId="Heading4">
    <w:name w:val="heading 4"/>
    <w:basedOn w:val="Normal"/>
    <w:next w:val="Normal"/>
    <w:link w:val="Heading4Char"/>
    <w:uiPriority w:val="9"/>
    <w:semiHidden/>
    <w:qFormat/>
    <w:rsid w:val="00FA1E79"/>
    <w:pPr>
      <w:keepNext/>
      <w:keepLines/>
      <w:numPr>
        <w:ilvl w:val="3"/>
        <w:numId w:val="2"/>
      </w:numPr>
      <w:spacing w:before="160" w:after="60" w:line="260" w:lineRule="atLeast"/>
      <w:outlineLvl w:val="3"/>
    </w:pPr>
    <w:rPr>
      <w:rFonts w:asciiTheme="majorHAnsi" w:eastAsiaTheme="majorEastAsia" w:hAnsiTheme="majorHAnsi" w:cstheme="majorBidi"/>
      <w:b/>
      <w:bCs/>
      <w:iCs/>
      <w:sz w:val="18"/>
      <w:szCs w:val="18"/>
    </w:rPr>
  </w:style>
  <w:style w:type="paragraph" w:styleId="Heading5">
    <w:name w:val="heading 5"/>
    <w:basedOn w:val="Normal"/>
    <w:next w:val="Normal"/>
    <w:link w:val="Heading5Char"/>
    <w:uiPriority w:val="9"/>
    <w:semiHidden/>
    <w:qFormat/>
    <w:rsid w:val="00FA1E79"/>
    <w:pPr>
      <w:keepNext/>
      <w:keepLines/>
      <w:spacing w:before="200" w:line="260" w:lineRule="atLeast"/>
      <w:outlineLvl w:val="4"/>
    </w:pPr>
    <w:rPr>
      <w:rFonts w:asciiTheme="majorHAnsi" w:eastAsiaTheme="majorEastAsia" w:hAnsiTheme="majorHAnsi" w:cstheme="majorBidi"/>
      <w:color w:val="002B20" w:themeColor="accent1" w:themeShade="7F"/>
      <w:sz w:val="18"/>
      <w:szCs w:val="18"/>
    </w:rPr>
  </w:style>
  <w:style w:type="paragraph" w:styleId="Heading6">
    <w:name w:val="heading 6"/>
    <w:basedOn w:val="Normal"/>
    <w:next w:val="Normal"/>
    <w:link w:val="Heading6Char"/>
    <w:uiPriority w:val="9"/>
    <w:semiHidden/>
    <w:qFormat/>
    <w:rsid w:val="00FA1E79"/>
    <w:pPr>
      <w:keepNext/>
      <w:keepLines/>
      <w:numPr>
        <w:ilvl w:val="5"/>
        <w:numId w:val="2"/>
      </w:numPr>
      <w:spacing w:before="200" w:line="260" w:lineRule="atLeast"/>
      <w:outlineLvl w:val="5"/>
    </w:pPr>
    <w:rPr>
      <w:rFonts w:asciiTheme="majorHAnsi" w:eastAsiaTheme="majorEastAsia" w:hAnsiTheme="majorHAnsi" w:cstheme="majorBidi"/>
      <w:i/>
      <w:iCs/>
      <w:color w:val="002B20" w:themeColor="accent1" w:themeShade="7F"/>
      <w:sz w:val="18"/>
      <w:szCs w:val="18"/>
    </w:rPr>
  </w:style>
  <w:style w:type="paragraph" w:styleId="Heading7">
    <w:name w:val="heading 7"/>
    <w:basedOn w:val="Normal"/>
    <w:next w:val="Normal"/>
    <w:link w:val="Heading7Char"/>
    <w:uiPriority w:val="9"/>
    <w:semiHidden/>
    <w:qFormat/>
    <w:rsid w:val="00FA1E79"/>
    <w:pPr>
      <w:keepNext/>
      <w:keepLines/>
      <w:numPr>
        <w:ilvl w:val="6"/>
        <w:numId w:val="2"/>
      </w:numPr>
      <w:spacing w:before="200" w:line="260" w:lineRule="atLeast"/>
      <w:outlineLvl w:val="6"/>
    </w:pPr>
    <w:rPr>
      <w:rFonts w:asciiTheme="majorHAnsi" w:eastAsiaTheme="majorEastAsia" w:hAnsiTheme="majorHAnsi" w:cstheme="majorBidi"/>
      <w:i/>
      <w:iCs/>
      <w:color w:val="404040" w:themeColor="text1" w:themeTint="BF"/>
      <w:sz w:val="18"/>
      <w:szCs w:val="18"/>
    </w:rPr>
  </w:style>
  <w:style w:type="paragraph" w:styleId="Heading8">
    <w:name w:val="heading 8"/>
    <w:basedOn w:val="Normal"/>
    <w:next w:val="Normal"/>
    <w:link w:val="Heading8Char"/>
    <w:uiPriority w:val="9"/>
    <w:semiHidden/>
    <w:qFormat/>
    <w:rsid w:val="00FA1E79"/>
    <w:pPr>
      <w:keepNext/>
      <w:keepLines/>
      <w:numPr>
        <w:ilvl w:val="7"/>
        <w:numId w:val="2"/>
      </w:numPr>
      <w:spacing w:before="200" w:line="260" w:lineRule="atLeast"/>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qFormat/>
    <w:rsid w:val="00FA1E79"/>
    <w:pPr>
      <w:keepNext/>
      <w:keepLines/>
      <w:numPr>
        <w:ilvl w:val="8"/>
        <w:numId w:val="2"/>
      </w:numPr>
      <w:spacing w:before="200" w:line="260" w:lineRule="atLeast"/>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2019AB"/>
    <w:pPr>
      <w:spacing w:line="240" w:lineRule="exact"/>
    </w:pPr>
  </w:style>
  <w:style w:type="character" w:customStyle="1" w:styleId="HeaderChar">
    <w:name w:val="Header Char"/>
    <w:basedOn w:val="DefaultParagraphFont"/>
    <w:link w:val="Header"/>
    <w:uiPriority w:val="99"/>
    <w:rsid w:val="002019AB"/>
    <w:rPr>
      <w:sz w:val="20"/>
    </w:rPr>
  </w:style>
  <w:style w:type="paragraph" w:styleId="Footer">
    <w:name w:val="footer"/>
    <w:link w:val="FooterChar"/>
    <w:autoRedefine/>
    <w:uiPriority w:val="99"/>
    <w:unhideWhenUsed/>
    <w:rsid w:val="00701678"/>
    <w:pPr>
      <w:spacing w:line="240" w:lineRule="exact"/>
    </w:pPr>
    <w:rPr>
      <w:sz w:val="16"/>
    </w:rPr>
  </w:style>
  <w:style w:type="character" w:customStyle="1" w:styleId="FooterChar">
    <w:name w:val="Footer Char"/>
    <w:basedOn w:val="DefaultParagraphFont"/>
    <w:link w:val="Footer"/>
    <w:uiPriority w:val="99"/>
    <w:rsid w:val="00701678"/>
    <w:rPr>
      <w:sz w:val="16"/>
    </w:rPr>
  </w:style>
  <w:style w:type="paragraph" w:styleId="BalloonText">
    <w:name w:val="Balloon Text"/>
    <w:basedOn w:val="Normal"/>
    <w:link w:val="BalloonTextChar"/>
    <w:uiPriority w:val="99"/>
    <w:semiHidden/>
    <w:unhideWhenUsed/>
    <w:rsid w:val="006B108E"/>
    <w:rPr>
      <w:rFonts w:ascii="Tahoma" w:hAnsi="Tahoma" w:cs="Tahoma"/>
      <w:sz w:val="16"/>
      <w:szCs w:val="16"/>
    </w:rPr>
  </w:style>
  <w:style w:type="character" w:customStyle="1" w:styleId="BalloonTextChar">
    <w:name w:val="Balloon Text Char"/>
    <w:basedOn w:val="DefaultParagraphFont"/>
    <w:link w:val="BalloonText"/>
    <w:uiPriority w:val="99"/>
    <w:semiHidden/>
    <w:rsid w:val="006B108E"/>
    <w:rPr>
      <w:rFonts w:ascii="Tahoma" w:hAnsi="Tahoma" w:cs="Tahoma"/>
      <w:sz w:val="16"/>
      <w:szCs w:val="16"/>
    </w:rPr>
  </w:style>
  <w:style w:type="table" w:styleId="TableGrid">
    <w:name w:val="Table Grid"/>
    <w:basedOn w:val="TableNormal"/>
    <w:uiPriority w:val="39"/>
    <w:rsid w:val="009625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Paragraph">
    <w:name w:val="List Paragraph"/>
    <w:aliases w:val="EC,Paragraphe de liste11,Paragraphe de liste1,Puce,Colorful List Accent 1,List Paragraph (numbered (a)),List_Paragraph,Multilevel para_II,List Paragraph1,Rec para,Dot pt,F5 List Paragraph,No Spacing1,List Paragraph Char Char Char,L,3"/>
    <w:basedOn w:val="Normal"/>
    <w:link w:val="ListParagraphChar"/>
    <w:uiPriority w:val="34"/>
    <w:qFormat/>
    <w:rsid w:val="00FA1E79"/>
    <w:pPr>
      <w:ind w:left="720"/>
      <w:contextualSpacing/>
    </w:pPr>
  </w:style>
  <w:style w:type="character" w:customStyle="1" w:styleId="Heading1Char">
    <w:name w:val="Heading 1 Char"/>
    <w:aliases w:val="titre 3 niveau 3 Char"/>
    <w:basedOn w:val="DefaultParagraphFont"/>
    <w:link w:val="Heading1"/>
    <w:uiPriority w:val="9"/>
    <w:rsid w:val="00431E8F"/>
    <w:rPr>
      <w:rFonts w:asciiTheme="majorHAnsi" w:eastAsiaTheme="majorEastAsia" w:hAnsiTheme="majorHAnsi" w:cstheme="majorBidi"/>
      <w:b/>
      <w:bCs/>
      <w:sz w:val="23"/>
      <w:szCs w:val="28"/>
      <w:u w:val="single"/>
      <w:lang w:eastAsia="fr-FR"/>
    </w:rPr>
  </w:style>
  <w:style w:type="character" w:customStyle="1" w:styleId="Heading2Char">
    <w:name w:val="Heading 2 Char"/>
    <w:basedOn w:val="DefaultParagraphFont"/>
    <w:link w:val="Heading2"/>
    <w:uiPriority w:val="9"/>
    <w:semiHidden/>
    <w:rsid w:val="00962526"/>
    <w:rPr>
      <w:rFonts w:asciiTheme="majorHAnsi" w:eastAsiaTheme="majorEastAsia" w:hAnsiTheme="majorHAnsi" w:cstheme="majorBidi"/>
      <w:b/>
      <w:bCs/>
      <w:sz w:val="22"/>
      <w:szCs w:val="24"/>
      <w:lang w:eastAsia="fr-FR"/>
    </w:rPr>
  </w:style>
  <w:style w:type="character" w:customStyle="1" w:styleId="Heading3Char">
    <w:name w:val="Heading 3 Char"/>
    <w:basedOn w:val="DefaultParagraphFont"/>
    <w:link w:val="Heading3"/>
    <w:uiPriority w:val="9"/>
    <w:semiHidden/>
    <w:rsid w:val="00962526"/>
    <w:rPr>
      <w:rFonts w:asciiTheme="majorHAnsi" w:eastAsiaTheme="majorEastAsia" w:hAnsiTheme="majorHAnsi" w:cstheme="majorBidi"/>
      <w:b/>
      <w:bCs/>
      <w:sz w:val="18"/>
      <w:szCs w:val="18"/>
      <w:lang w:eastAsia="fr-FR"/>
    </w:rPr>
  </w:style>
  <w:style w:type="character" w:customStyle="1" w:styleId="Heading4Char">
    <w:name w:val="Heading 4 Char"/>
    <w:basedOn w:val="DefaultParagraphFont"/>
    <w:link w:val="Heading4"/>
    <w:uiPriority w:val="9"/>
    <w:semiHidden/>
    <w:rsid w:val="00962526"/>
    <w:rPr>
      <w:rFonts w:asciiTheme="majorHAnsi" w:eastAsiaTheme="majorEastAsia" w:hAnsiTheme="majorHAnsi" w:cstheme="majorBidi"/>
      <w:b/>
      <w:bCs/>
      <w:iCs/>
      <w:sz w:val="18"/>
      <w:szCs w:val="18"/>
      <w:lang w:eastAsia="fr-FR"/>
    </w:rPr>
  </w:style>
  <w:style w:type="character" w:customStyle="1" w:styleId="Heading5Char">
    <w:name w:val="Heading 5 Char"/>
    <w:basedOn w:val="DefaultParagraphFont"/>
    <w:link w:val="Heading5"/>
    <w:uiPriority w:val="9"/>
    <w:semiHidden/>
    <w:rsid w:val="00FA1E79"/>
    <w:rPr>
      <w:rFonts w:asciiTheme="majorHAnsi" w:eastAsiaTheme="majorEastAsia" w:hAnsiTheme="majorHAnsi" w:cstheme="majorBidi"/>
      <w:color w:val="002B20" w:themeColor="accent1" w:themeShade="7F"/>
      <w:sz w:val="18"/>
      <w:szCs w:val="18"/>
      <w:lang w:eastAsia="fr-FR"/>
    </w:rPr>
  </w:style>
  <w:style w:type="character" w:customStyle="1" w:styleId="Heading6Char">
    <w:name w:val="Heading 6 Char"/>
    <w:basedOn w:val="DefaultParagraphFont"/>
    <w:link w:val="Heading6"/>
    <w:uiPriority w:val="9"/>
    <w:semiHidden/>
    <w:rsid w:val="00FA1E79"/>
    <w:rPr>
      <w:rFonts w:asciiTheme="majorHAnsi" w:eastAsiaTheme="majorEastAsia" w:hAnsiTheme="majorHAnsi" w:cstheme="majorBidi"/>
      <w:i/>
      <w:iCs/>
      <w:color w:val="002B20" w:themeColor="accent1" w:themeShade="7F"/>
      <w:sz w:val="18"/>
      <w:szCs w:val="18"/>
      <w:lang w:eastAsia="fr-FR"/>
    </w:rPr>
  </w:style>
  <w:style w:type="character" w:customStyle="1" w:styleId="Heading7Char">
    <w:name w:val="Heading 7 Char"/>
    <w:basedOn w:val="DefaultParagraphFont"/>
    <w:link w:val="Heading7"/>
    <w:uiPriority w:val="9"/>
    <w:semiHidden/>
    <w:rsid w:val="00FA1E79"/>
    <w:rPr>
      <w:rFonts w:asciiTheme="majorHAnsi" w:eastAsiaTheme="majorEastAsia" w:hAnsiTheme="majorHAnsi" w:cstheme="majorBidi"/>
      <w:i/>
      <w:iCs/>
      <w:color w:val="404040" w:themeColor="text1" w:themeTint="BF"/>
      <w:sz w:val="18"/>
      <w:szCs w:val="18"/>
      <w:lang w:eastAsia="fr-FR"/>
    </w:rPr>
  </w:style>
  <w:style w:type="character" w:customStyle="1" w:styleId="Heading8Char">
    <w:name w:val="Heading 8 Char"/>
    <w:basedOn w:val="DefaultParagraphFont"/>
    <w:link w:val="Heading8"/>
    <w:uiPriority w:val="9"/>
    <w:semiHidden/>
    <w:rsid w:val="00FA1E79"/>
    <w:rPr>
      <w:rFonts w:asciiTheme="majorHAnsi" w:eastAsiaTheme="majorEastAsia" w:hAnsiTheme="majorHAnsi" w:cstheme="majorBidi"/>
      <w:color w:val="404040" w:themeColor="text1" w:themeTint="BF"/>
      <w:sz w:val="22"/>
      <w:szCs w:val="24"/>
      <w:lang w:eastAsia="fr-FR"/>
    </w:rPr>
  </w:style>
  <w:style w:type="character" w:customStyle="1" w:styleId="Heading9Char">
    <w:name w:val="Heading 9 Char"/>
    <w:basedOn w:val="DefaultParagraphFont"/>
    <w:link w:val="Heading9"/>
    <w:uiPriority w:val="9"/>
    <w:semiHidden/>
    <w:rsid w:val="00FA1E79"/>
    <w:rPr>
      <w:rFonts w:asciiTheme="majorHAnsi" w:eastAsiaTheme="majorEastAsia" w:hAnsiTheme="majorHAnsi" w:cstheme="majorBidi"/>
      <w:i/>
      <w:iCs/>
      <w:color w:val="404040" w:themeColor="text1" w:themeTint="BF"/>
      <w:sz w:val="22"/>
      <w:szCs w:val="24"/>
      <w:lang w:eastAsia="fr-FR"/>
    </w:rPr>
  </w:style>
  <w:style w:type="paragraph" w:customStyle="1" w:styleId="Textepuce1">
    <w:name w:val="Texte puce 1"/>
    <w:basedOn w:val="ListParagraph"/>
    <w:rsid w:val="00224DF6"/>
    <w:pPr>
      <w:numPr>
        <w:numId w:val="1"/>
      </w:numPr>
      <w:adjustRightInd w:val="0"/>
      <w:snapToGrid w:val="0"/>
      <w:spacing w:before="120" w:after="120" w:line="240" w:lineRule="atLeast"/>
      <w:ind w:left="924" w:hanging="357"/>
      <w:contextualSpacing w:val="0"/>
    </w:pPr>
    <w:rPr>
      <w:sz w:val="19"/>
      <w:szCs w:val="18"/>
    </w:rPr>
  </w:style>
  <w:style w:type="paragraph" w:customStyle="1" w:styleId="Textedesaisie">
    <w:name w:val="Texte de saisie"/>
    <w:basedOn w:val="Normal"/>
    <w:qFormat/>
    <w:rsid w:val="00224DF6"/>
    <w:pPr>
      <w:snapToGrid w:val="0"/>
      <w:spacing w:after="120" w:line="240" w:lineRule="atLeast"/>
      <w:ind w:left="567" w:right="567"/>
    </w:pPr>
    <w:rPr>
      <w:rFonts w:asciiTheme="minorHAnsi" w:hAnsiTheme="minorHAnsi"/>
      <w:sz w:val="19"/>
    </w:rPr>
  </w:style>
  <w:style w:type="paragraph" w:styleId="Title">
    <w:name w:val="Title"/>
    <w:basedOn w:val="Normal"/>
    <w:next w:val="Normal"/>
    <w:link w:val="TitleChar"/>
    <w:uiPriority w:val="10"/>
    <w:rsid w:val="00051E06"/>
    <w:pPr>
      <w:contextualSpacing/>
    </w:pPr>
    <w:rPr>
      <w:rFonts w:asciiTheme="majorHAnsi" w:eastAsiaTheme="majorEastAsia" w:hAnsiTheme="majorHAnsi" w:cstheme="majorBidi"/>
      <w:spacing w:val="-10"/>
      <w:kern w:val="28"/>
      <w:sz w:val="56"/>
      <w:szCs w:val="56"/>
    </w:rPr>
  </w:style>
  <w:style w:type="paragraph" w:customStyle="1" w:styleId="Titre4niveau4">
    <w:name w:val="Titre 4 niveau 4"/>
    <w:basedOn w:val="Heading4"/>
    <w:next w:val="Normal"/>
    <w:autoRedefine/>
    <w:qFormat/>
    <w:rsid w:val="00EF6DB6"/>
    <w:pPr>
      <w:numPr>
        <w:ilvl w:val="2"/>
        <w:numId w:val="58"/>
      </w:numPr>
      <w:spacing w:before="240"/>
    </w:pPr>
    <w:rPr>
      <w:sz w:val="20"/>
      <w:szCs w:val="20"/>
    </w:rPr>
  </w:style>
  <w:style w:type="paragraph" w:customStyle="1" w:styleId="Titre3Niveau3">
    <w:name w:val="Titre 3 Niveau 3"/>
    <w:basedOn w:val="Heading3"/>
    <w:next w:val="Normal"/>
    <w:autoRedefine/>
    <w:qFormat/>
    <w:rsid w:val="003F57EA"/>
    <w:pPr>
      <w:numPr>
        <w:ilvl w:val="1"/>
        <w:numId w:val="58"/>
      </w:numPr>
      <w:spacing w:before="480" w:after="240" w:line="240" w:lineRule="exact"/>
      <w:ind w:right="1701"/>
    </w:pPr>
    <w:rPr>
      <w:rFonts w:ascii="Times New Roman" w:hAnsi="Times New Roman" w:cs="Times New Roman"/>
      <w:bCs w:val="0"/>
      <w:color w:val="000000"/>
      <w:sz w:val="24"/>
      <w:szCs w:val="22"/>
    </w:rPr>
  </w:style>
  <w:style w:type="paragraph" w:customStyle="1" w:styleId="Texte-Adresseligne1">
    <w:name w:val="Texte - Adresse ligne 1"/>
    <w:basedOn w:val="Date"/>
    <w:rsid w:val="003F14FD"/>
    <w:pPr>
      <w:framePr w:w="9979" w:h="936" w:wrap="notBeside" w:vAnchor="page" w:hAnchor="page" w:xAlign="center" w:yAlign="bottom" w:anchorLock="1"/>
    </w:pPr>
  </w:style>
  <w:style w:type="character" w:customStyle="1" w:styleId="TitleChar">
    <w:name w:val="Title Char"/>
    <w:basedOn w:val="DefaultParagraphFont"/>
    <w:link w:val="Title"/>
    <w:uiPriority w:val="10"/>
    <w:rsid w:val="00051E06"/>
    <w:rPr>
      <w:rFonts w:asciiTheme="majorHAnsi" w:eastAsiaTheme="majorEastAsia" w:hAnsiTheme="majorHAnsi" w:cstheme="majorBidi"/>
      <w:spacing w:val="-10"/>
      <w:kern w:val="28"/>
      <w:sz w:val="56"/>
      <w:szCs w:val="56"/>
      <w:lang w:eastAsia="fr-FR"/>
    </w:rPr>
  </w:style>
  <w:style w:type="paragraph" w:customStyle="1" w:styleId="Titre2Niveau2">
    <w:name w:val="Titre 2 Niveau 2"/>
    <w:basedOn w:val="Heading2"/>
    <w:next w:val="Normal"/>
    <w:qFormat/>
    <w:rsid w:val="0069050C"/>
    <w:pPr>
      <w:numPr>
        <w:ilvl w:val="0"/>
        <w:numId w:val="58"/>
      </w:numPr>
      <w:snapToGrid w:val="0"/>
      <w:spacing w:before="720" w:after="360"/>
      <w:ind w:right="27"/>
    </w:pPr>
    <w:rPr>
      <w:rFonts w:ascii="Marianne Light" w:eastAsiaTheme="minorEastAsia" w:hAnsi="Marianne Light" w:cs="Times New Roman"/>
      <w:b w:val="0"/>
      <w:spacing w:val="15"/>
      <w:sz w:val="32"/>
      <w:szCs w:val="22"/>
    </w:rPr>
  </w:style>
  <w:style w:type="paragraph" w:styleId="Subtitle">
    <w:name w:val="Subtitle"/>
    <w:basedOn w:val="Normal"/>
    <w:next w:val="Normal"/>
    <w:link w:val="SubtitleChar"/>
    <w:uiPriority w:val="11"/>
    <w:rsid w:val="00051E06"/>
    <w:pPr>
      <w:numPr>
        <w:ilvl w:val="1"/>
      </w:numPr>
      <w:spacing w:after="160"/>
    </w:pPr>
    <w:rPr>
      <w:rFonts w:asciiTheme="minorHAnsi" w:eastAsiaTheme="minorEastAsia" w:hAnsiTheme="minorHAnsi" w:cstheme="minorBidi"/>
      <w:color w:val="5A5A5A" w:themeColor="text1" w:themeTint="A5"/>
      <w:spacing w:val="15"/>
      <w:szCs w:val="22"/>
    </w:rPr>
  </w:style>
  <w:style w:type="paragraph" w:customStyle="1" w:styleId="Texte-Pieddepage">
    <w:name w:val="Texte - Pied de page"/>
    <w:basedOn w:val="Normal"/>
    <w:qFormat/>
    <w:rsid w:val="003F14FD"/>
    <w:pPr>
      <w:framePr w:w="9979" w:h="964" w:wrap="notBeside" w:vAnchor="page" w:hAnchor="page" w:xAlign="center" w:yAlign="bottom" w:anchorLock="1"/>
      <w:spacing w:line="192" w:lineRule="atLeast"/>
    </w:pPr>
    <w:rPr>
      <w:sz w:val="16"/>
    </w:rPr>
  </w:style>
  <w:style w:type="paragraph" w:customStyle="1" w:styleId="Pagination">
    <w:name w:val="Pagination"/>
    <w:basedOn w:val="Normal"/>
    <w:qFormat/>
    <w:rsid w:val="001A5DDF"/>
    <w:pPr>
      <w:framePr w:w="9979" w:h="964" w:wrap="notBeside" w:vAnchor="page" w:hAnchor="page" w:xAlign="center" w:yAlign="bottom" w:anchorLock="1"/>
      <w:spacing w:line="192" w:lineRule="atLeast"/>
      <w:jc w:val="center"/>
    </w:pPr>
    <w:rPr>
      <w:sz w:val="16"/>
    </w:rPr>
  </w:style>
  <w:style w:type="paragraph" w:styleId="Date">
    <w:name w:val="Date"/>
    <w:basedOn w:val="Normal"/>
    <w:next w:val="Normal"/>
    <w:link w:val="DateChar"/>
    <w:uiPriority w:val="99"/>
    <w:rsid w:val="00836655"/>
    <w:pPr>
      <w:spacing w:line="192" w:lineRule="atLeast"/>
      <w:jc w:val="right"/>
    </w:pPr>
    <w:rPr>
      <w:sz w:val="16"/>
    </w:rPr>
  </w:style>
  <w:style w:type="character" w:customStyle="1" w:styleId="DateChar">
    <w:name w:val="Date Char"/>
    <w:basedOn w:val="DefaultParagraphFont"/>
    <w:link w:val="Date"/>
    <w:uiPriority w:val="99"/>
    <w:rsid w:val="00836655"/>
    <w:rPr>
      <w:sz w:val="16"/>
    </w:rPr>
  </w:style>
  <w:style w:type="paragraph" w:customStyle="1" w:styleId="Texte-Pieddepageintitul">
    <w:name w:val="Texte - Pied de page intitulé"/>
    <w:basedOn w:val="Texte-Pieddepage"/>
    <w:qFormat/>
    <w:rsid w:val="00217EF0"/>
    <w:pPr>
      <w:framePr w:w="0" w:hRule="auto" w:wrap="around" w:anchorLock="0"/>
      <w:spacing w:after="85"/>
    </w:pPr>
    <w:rPr>
      <w:b/>
    </w:rPr>
  </w:style>
  <w:style w:type="paragraph" w:customStyle="1" w:styleId="Titre1Niveau1">
    <w:name w:val="Titre 1 Niveau 1"/>
    <w:basedOn w:val="Heading1"/>
    <w:next w:val="Normal"/>
    <w:link w:val="Titre1Niveau1Car"/>
    <w:qFormat/>
    <w:rsid w:val="0062059A"/>
    <w:pPr>
      <w:spacing w:after="720" w:line="260" w:lineRule="atLeast"/>
      <w:ind w:left="288" w:right="567"/>
      <w:jc w:val="center"/>
    </w:pPr>
    <w:rPr>
      <w:rFonts w:ascii="Marianne" w:hAnsi="Marianne"/>
      <w:b w:val="0"/>
      <w:spacing w:val="-10"/>
      <w:kern w:val="28"/>
      <w:sz w:val="48"/>
      <w:szCs w:val="56"/>
      <w:u w:val="none"/>
    </w:rPr>
  </w:style>
  <w:style w:type="paragraph" w:styleId="HTMLPreformatted">
    <w:name w:val="HTML Preformatted"/>
    <w:basedOn w:val="Normal"/>
    <w:link w:val="HTMLPreformattedChar"/>
    <w:uiPriority w:val="99"/>
    <w:semiHidden/>
    <w:unhideWhenUsed/>
    <w:rsid w:val="00DE2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semiHidden/>
    <w:rsid w:val="00DE2529"/>
    <w:rPr>
      <w:rFonts w:ascii="Courier New" w:eastAsia="Times New Roman" w:hAnsi="Courier New" w:cs="Courier New"/>
      <w:lang w:eastAsia="fr-FR"/>
    </w:rPr>
  </w:style>
  <w:style w:type="paragraph" w:customStyle="1" w:styleId="Titrerapport">
    <w:name w:val="Titre rapport"/>
    <w:basedOn w:val="Normal"/>
    <w:rsid w:val="004B4E41"/>
    <w:pPr>
      <w:spacing w:line="264" w:lineRule="auto"/>
    </w:pPr>
    <w:rPr>
      <w:rFonts w:cs="Arial"/>
      <w:b/>
      <w:sz w:val="80"/>
      <w:szCs w:val="60"/>
    </w:rPr>
  </w:style>
  <w:style w:type="paragraph" w:customStyle="1" w:styleId="Sommaire">
    <w:name w:val="Sommaire"/>
    <w:basedOn w:val="Normal"/>
    <w:rsid w:val="00B104C3"/>
    <w:pPr>
      <w:spacing w:before="1800" w:after="240" w:line="288" w:lineRule="auto"/>
      <w:ind w:left="1418" w:right="1418"/>
    </w:pPr>
    <w:rPr>
      <w:b/>
      <w:caps/>
      <w:sz w:val="36"/>
      <w:szCs w:val="22"/>
    </w:rPr>
  </w:style>
  <w:style w:type="character" w:customStyle="1" w:styleId="SubtitleChar">
    <w:name w:val="Subtitle Char"/>
    <w:basedOn w:val="DefaultParagraphFont"/>
    <w:link w:val="Subtitle"/>
    <w:uiPriority w:val="11"/>
    <w:rsid w:val="00051E06"/>
    <w:rPr>
      <w:rFonts w:eastAsiaTheme="minorEastAsia"/>
      <w:color w:val="5A5A5A" w:themeColor="text1" w:themeTint="A5"/>
      <w:spacing w:val="15"/>
      <w:sz w:val="22"/>
      <w:szCs w:val="22"/>
      <w:lang w:eastAsia="fr-FR"/>
    </w:rPr>
  </w:style>
  <w:style w:type="numbering" w:customStyle="1" w:styleId="Numbering1">
    <w:name w:val="Numbering 1"/>
    <w:basedOn w:val="NoList"/>
    <w:rsid w:val="006D2D4D"/>
    <w:pPr>
      <w:numPr>
        <w:numId w:val="4"/>
      </w:numPr>
    </w:pPr>
  </w:style>
  <w:style w:type="numbering" w:customStyle="1" w:styleId="List1">
    <w:name w:val="List 1"/>
    <w:basedOn w:val="NoList"/>
    <w:rsid w:val="006D2D4D"/>
    <w:pPr>
      <w:numPr>
        <w:numId w:val="5"/>
      </w:numPr>
    </w:pPr>
  </w:style>
  <w:style w:type="paragraph" w:customStyle="1" w:styleId="Documenttextecot">
    <w:name w:val="Document texte coté"/>
    <w:basedOn w:val="Normal"/>
    <w:rsid w:val="00344B87"/>
    <w:pPr>
      <w:spacing w:line="264" w:lineRule="auto"/>
    </w:pPr>
    <w:rPr>
      <w:rFonts w:cs="Arial"/>
      <w:b/>
      <w:color w:val="595959" w:themeColor="text1" w:themeTint="A6"/>
      <w:szCs w:val="22"/>
    </w:rPr>
  </w:style>
  <w:style w:type="paragraph" w:customStyle="1" w:styleId="Prambule">
    <w:name w:val="Préambule"/>
    <w:basedOn w:val="Normal"/>
    <w:rsid w:val="00B00D18"/>
    <w:pPr>
      <w:spacing w:after="120" w:line="264" w:lineRule="auto"/>
      <w:ind w:left="1418" w:right="1134"/>
    </w:pPr>
    <w:rPr>
      <w:rFonts w:asciiTheme="minorHAnsi" w:hAnsiTheme="minorHAnsi"/>
      <w:b/>
      <w:i/>
      <w:szCs w:val="22"/>
    </w:rPr>
  </w:style>
  <w:style w:type="character" w:styleId="SubtleEmphasis">
    <w:name w:val="Subtle Emphasis"/>
    <w:basedOn w:val="DefaultParagraphFont"/>
    <w:uiPriority w:val="19"/>
    <w:rsid w:val="00051E06"/>
    <w:rPr>
      <w:i/>
      <w:iCs/>
      <w:color w:val="404040" w:themeColor="text1" w:themeTint="BF"/>
    </w:rPr>
  </w:style>
  <w:style w:type="paragraph" w:styleId="NormalWeb">
    <w:name w:val="Normal (Web)"/>
    <w:basedOn w:val="Normal"/>
    <w:uiPriority w:val="99"/>
    <w:unhideWhenUsed/>
    <w:rsid w:val="005B6CB5"/>
    <w:pPr>
      <w:spacing w:before="100" w:beforeAutospacing="1" w:after="100" w:afterAutospacing="1"/>
    </w:pPr>
    <w:rPr>
      <w:rFonts w:ascii="Times New Roman" w:hAnsi="Times New Roman"/>
    </w:rPr>
  </w:style>
  <w:style w:type="paragraph" w:customStyle="1" w:styleId="Sommaire-texteniveau1">
    <w:name w:val="Sommaire -texte niveau 1"/>
    <w:basedOn w:val="Textedesaisie"/>
    <w:qFormat/>
    <w:rsid w:val="00D0401D"/>
    <w:pPr>
      <w:tabs>
        <w:tab w:val="right" w:pos="709"/>
      </w:tabs>
      <w:spacing w:after="240"/>
      <w:ind w:left="1701" w:right="1134"/>
    </w:pPr>
    <w:rPr>
      <w:caps/>
    </w:rPr>
  </w:style>
  <w:style w:type="paragraph" w:customStyle="1" w:styleId="sommainetexteniveau2">
    <w:name w:val="sommaine texte niveau 2"/>
    <w:basedOn w:val="Normal"/>
    <w:qFormat/>
    <w:rsid w:val="00D0401D"/>
    <w:pPr>
      <w:spacing w:after="120"/>
      <w:ind w:left="1814" w:right="1134"/>
    </w:pPr>
    <w:rPr>
      <w:b/>
    </w:rPr>
  </w:style>
  <w:style w:type="paragraph" w:customStyle="1" w:styleId="textepuce2">
    <w:name w:val="texte puce 2"/>
    <w:basedOn w:val="Textepuce1"/>
    <w:qFormat/>
    <w:rsid w:val="005D07B9"/>
    <w:pPr>
      <w:numPr>
        <w:numId w:val="3"/>
      </w:numPr>
      <w:tabs>
        <w:tab w:val="left" w:pos="567"/>
      </w:tabs>
    </w:pPr>
  </w:style>
  <w:style w:type="paragraph" w:customStyle="1" w:styleId="Sommairetexteniveau3">
    <w:name w:val="Sommaire texte niveau 3"/>
    <w:basedOn w:val="Normal"/>
    <w:qFormat/>
    <w:rsid w:val="00D0401D"/>
    <w:pPr>
      <w:spacing w:after="120"/>
      <w:ind w:left="1985" w:right="1134"/>
    </w:pPr>
  </w:style>
  <w:style w:type="paragraph" w:styleId="TOC1">
    <w:name w:val="toc 1"/>
    <w:basedOn w:val="Normal"/>
    <w:next w:val="Normal"/>
    <w:autoRedefine/>
    <w:uiPriority w:val="39"/>
    <w:unhideWhenUsed/>
    <w:rsid w:val="00D72130"/>
    <w:pPr>
      <w:tabs>
        <w:tab w:val="right" w:leader="dot" w:pos="9940"/>
      </w:tabs>
      <w:spacing w:before="120" w:after="120"/>
    </w:pPr>
    <w:rPr>
      <w:rFonts w:asciiTheme="minorHAnsi" w:hAnsiTheme="minorHAnsi"/>
      <w:b/>
      <w:bCs/>
      <w:caps/>
      <w:szCs w:val="20"/>
    </w:rPr>
  </w:style>
  <w:style w:type="paragraph" w:styleId="TOC2">
    <w:name w:val="toc 2"/>
    <w:basedOn w:val="Normal"/>
    <w:next w:val="Normal"/>
    <w:autoRedefine/>
    <w:uiPriority w:val="39"/>
    <w:unhideWhenUsed/>
    <w:rsid w:val="00837EFF"/>
    <w:pPr>
      <w:ind w:left="200"/>
    </w:pPr>
    <w:rPr>
      <w:rFonts w:asciiTheme="minorHAnsi" w:hAnsiTheme="minorHAnsi"/>
      <w:smallCaps/>
      <w:szCs w:val="20"/>
    </w:rPr>
  </w:style>
  <w:style w:type="paragraph" w:styleId="TOC3">
    <w:name w:val="toc 3"/>
    <w:basedOn w:val="Normal"/>
    <w:next w:val="Normal"/>
    <w:autoRedefine/>
    <w:uiPriority w:val="39"/>
    <w:unhideWhenUsed/>
    <w:rsid w:val="00837EFF"/>
    <w:pPr>
      <w:ind w:left="400"/>
    </w:pPr>
    <w:rPr>
      <w:rFonts w:asciiTheme="minorHAnsi" w:hAnsiTheme="minorHAnsi"/>
      <w:i/>
      <w:iCs/>
      <w:szCs w:val="20"/>
    </w:rPr>
  </w:style>
  <w:style w:type="paragraph" w:customStyle="1" w:styleId="Soustitrerapport">
    <w:name w:val="Sous titre rapport"/>
    <w:basedOn w:val="NormalWeb"/>
    <w:qFormat/>
    <w:rsid w:val="00BE6408"/>
    <w:rPr>
      <w:rFonts w:ascii="Marianne" w:hAnsi="Marianne"/>
      <w:b/>
      <w:bCs/>
      <w:i/>
      <w:iCs/>
      <w:color w:val="000000" w:themeColor="text1"/>
      <w:sz w:val="44"/>
      <w:szCs w:val="44"/>
    </w:rPr>
  </w:style>
  <w:style w:type="paragraph" w:styleId="TOC4">
    <w:name w:val="toc 4"/>
    <w:basedOn w:val="Normal"/>
    <w:next w:val="Normal"/>
    <w:autoRedefine/>
    <w:uiPriority w:val="39"/>
    <w:unhideWhenUsed/>
    <w:rsid w:val="00837EFF"/>
    <w:pPr>
      <w:ind w:left="600"/>
    </w:pPr>
    <w:rPr>
      <w:rFonts w:asciiTheme="minorHAnsi" w:hAnsiTheme="minorHAnsi"/>
      <w:sz w:val="18"/>
      <w:szCs w:val="18"/>
    </w:rPr>
  </w:style>
  <w:style w:type="paragraph" w:styleId="TOC5">
    <w:name w:val="toc 5"/>
    <w:basedOn w:val="Normal"/>
    <w:next w:val="Normal"/>
    <w:autoRedefine/>
    <w:uiPriority w:val="39"/>
    <w:unhideWhenUsed/>
    <w:rsid w:val="00837EFF"/>
    <w:pPr>
      <w:ind w:left="800"/>
    </w:pPr>
    <w:rPr>
      <w:rFonts w:asciiTheme="minorHAnsi" w:hAnsiTheme="minorHAnsi"/>
      <w:sz w:val="18"/>
      <w:szCs w:val="18"/>
    </w:rPr>
  </w:style>
  <w:style w:type="paragraph" w:styleId="TOC6">
    <w:name w:val="toc 6"/>
    <w:basedOn w:val="Normal"/>
    <w:next w:val="Normal"/>
    <w:autoRedefine/>
    <w:uiPriority w:val="39"/>
    <w:unhideWhenUsed/>
    <w:rsid w:val="00837EFF"/>
    <w:pPr>
      <w:ind w:left="1000"/>
    </w:pPr>
    <w:rPr>
      <w:rFonts w:asciiTheme="minorHAnsi" w:hAnsiTheme="minorHAnsi"/>
      <w:sz w:val="18"/>
      <w:szCs w:val="18"/>
    </w:rPr>
  </w:style>
  <w:style w:type="paragraph" w:styleId="TOC7">
    <w:name w:val="toc 7"/>
    <w:basedOn w:val="Normal"/>
    <w:next w:val="Normal"/>
    <w:autoRedefine/>
    <w:uiPriority w:val="39"/>
    <w:unhideWhenUsed/>
    <w:rsid w:val="00837EFF"/>
    <w:pPr>
      <w:ind w:left="1200"/>
    </w:pPr>
    <w:rPr>
      <w:rFonts w:asciiTheme="minorHAnsi" w:hAnsiTheme="minorHAnsi"/>
      <w:sz w:val="18"/>
      <w:szCs w:val="18"/>
    </w:rPr>
  </w:style>
  <w:style w:type="paragraph" w:styleId="TOC8">
    <w:name w:val="toc 8"/>
    <w:basedOn w:val="Normal"/>
    <w:next w:val="Normal"/>
    <w:autoRedefine/>
    <w:uiPriority w:val="39"/>
    <w:unhideWhenUsed/>
    <w:rsid w:val="00837EFF"/>
    <w:pPr>
      <w:ind w:left="1400"/>
    </w:pPr>
    <w:rPr>
      <w:rFonts w:asciiTheme="minorHAnsi" w:hAnsiTheme="minorHAnsi"/>
      <w:sz w:val="18"/>
      <w:szCs w:val="18"/>
    </w:rPr>
  </w:style>
  <w:style w:type="paragraph" w:styleId="TOC9">
    <w:name w:val="toc 9"/>
    <w:basedOn w:val="Normal"/>
    <w:next w:val="Normal"/>
    <w:autoRedefine/>
    <w:uiPriority w:val="39"/>
    <w:unhideWhenUsed/>
    <w:rsid w:val="00837EFF"/>
    <w:pPr>
      <w:ind w:left="1600"/>
    </w:pPr>
    <w:rPr>
      <w:rFonts w:asciiTheme="minorHAnsi" w:hAnsiTheme="minorHAnsi"/>
      <w:sz w:val="18"/>
      <w:szCs w:val="18"/>
    </w:rPr>
  </w:style>
  <w:style w:type="paragraph" w:customStyle="1" w:styleId="titreencadre">
    <w:name w:val="titre encadre"/>
    <w:basedOn w:val="texteencadr"/>
    <w:next w:val="Normal"/>
    <w:autoRedefine/>
    <w:qFormat/>
    <w:rsid w:val="00EC36FE"/>
    <w:pPr>
      <w:numPr>
        <w:ilvl w:val="3"/>
        <w:numId w:val="58"/>
      </w:numPr>
      <w:spacing w:before="120" w:after="60" w:line="240" w:lineRule="auto"/>
      <w:jc w:val="both"/>
    </w:pPr>
    <w:rPr>
      <w:b/>
      <w:sz w:val="21"/>
    </w:rPr>
  </w:style>
  <w:style w:type="paragraph" w:customStyle="1" w:styleId="texteintro">
    <w:name w:val="texte intro"/>
    <w:basedOn w:val="Textedesaisie"/>
    <w:qFormat/>
    <w:rsid w:val="00224DF6"/>
    <w:pPr>
      <w:jc w:val="center"/>
    </w:pPr>
    <w:rPr>
      <w:rFonts w:ascii="Marianne Medium" w:hAnsi="Marianne Medium"/>
      <w:i/>
    </w:rPr>
  </w:style>
  <w:style w:type="paragraph" w:customStyle="1" w:styleId="texteencadr">
    <w:name w:val="texte encadré"/>
    <w:basedOn w:val="Textedesaisie"/>
    <w:qFormat/>
    <w:rsid w:val="00B02709"/>
    <w:pPr>
      <w:ind w:left="0" w:right="0"/>
      <w:jc w:val="left"/>
    </w:pPr>
    <w:rPr>
      <w:rFonts w:ascii="Marianne" w:hAnsi="Marianne"/>
      <w:i/>
    </w:rPr>
  </w:style>
  <w:style w:type="paragraph" w:styleId="TOCHeading">
    <w:name w:val="TOC Heading"/>
    <w:basedOn w:val="Heading1"/>
    <w:next w:val="Normal"/>
    <w:uiPriority w:val="39"/>
    <w:unhideWhenUsed/>
    <w:qFormat/>
    <w:rsid w:val="005D5AA6"/>
    <w:pPr>
      <w:spacing w:before="240" w:after="0" w:line="259" w:lineRule="auto"/>
      <w:ind w:left="0"/>
      <w:outlineLvl w:val="9"/>
    </w:pPr>
    <w:rPr>
      <w:b w:val="0"/>
      <w:bCs w:val="0"/>
      <w:color w:val="004130" w:themeColor="accent1" w:themeShade="BF"/>
      <w:sz w:val="32"/>
      <w:szCs w:val="32"/>
      <w:u w:val="none"/>
    </w:rPr>
  </w:style>
  <w:style w:type="character" w:styleId="CommentReference">
    <w:name w:val="annotation reference"/>
    <w:basedOn w:val="DefaultParagraphFont"/>
    <w:uiPriority w:val="99"/>
    <w:unhideWhenUsed/>
    <w:rsid w:val="00BB5CA4"/>
    <w:rPr>
      <w:sz w:val="16"/>
      <w:szCs w:val="16"/>
    </w:rPr>
  </w:style>
  <w:style w:type="paragraph" w:styleId="CommentText">
    <w:name w:val="annotation text"/>
    <w:basedOn w:val="Normal"/>
    <w:link w:val="CommentTextChar"/>
    <w:uiPriority w:val="99"/>
    <w:unhideWhenUsed/>
    <w:rsid w:val="00BB5CA4"/>
    <w:rPr>
      <w:sz w:val="20"/>
      <w:szCs w:val="20"/>
    </w:rPr>
  </w:style>
  <w:style w:type="character" w:customStyle="1" w:styleId="CommentTextChar">
    <w:name w:val="Comment Text Char"/>
    <w:basedOn w:val="DefaultParagraphFont"/>
    <w:link w:val="CommentText"/>
    <w:uiPriority w:val="99"/>
    <w:rsid w:val="00BB5CA4"/>
    <w:rPr>
      <w:rFonts w:ascii="Marianne" w:eastAsia="Times New Roman" w:hAnsi="Marianne" w:cs="Times New Roman"/>
      <w:lang w:eastAsia="fr-FR"/>
    </w:rPr>
  </w:style>
  <w:style w:type="paragraph" w:styleId="CommentSubject">
    <w:name w:val="annotation subject"/>
    <w:basedOn w:val="CommentText"/>
    <w:next w:val="CommentText"/>
    <w:link w:val="CommentSubjectChar"/>
    <w:uiPriority w:val="99"/>
    <w:semiHidden/>
    <w:unhideWhenUsed/>
    <w:rsid w:val="00BB5CA4"/>
    <w:rPr>
      <w:b/>
      <w:bCs/>
    </w:rPr>
  </w:style>
  <w:style w:type="character" w:customStyle="1" w:styleId="CommentSubjectChar">
    <w:name w:val="Comment Subject Char"/>
    <w:basedOn w:val="CommentTextChar"/>
    <w:link w:val="CommentSubject"/>
    <w:uiPriority w:val="99"/>
    <w:semiHidden/>
    <w:rsid w:val="00BB5CA4"/>
    <w:rPr>
      <w:rFonts w:ascii="Marianne" w:eastAsia="Times New Roman" w:hAnsi="Marianne" w:cs="Times New Roman"/>
      <w:b/>
      <w:bCs/>
      <w:lang w:eastAsia="fr-FR"/>
    </w:rPr>
  </w:style>
  <w:style w:type="paragraph" w:customStyle="1" w:styleId="Titre1">
    <w:name w:val="Titre1"/>
    <w:basedOn w:val="Heading1"/>
    <w:link w:val="Titre1Car"/>
    <w:qFormat/>
    <w:rsid w:val="00D20917"/>
    <w:pPr>
      <w:ind w:left="288"/>
    </w:pPr>
  </w:style>
  <w:style w:type="character" w:styleId="Hyperlink">
    <w:name w:val="Hyperlink"/>
    <w:basedOn w:val="DefaultParagraphFont"/>
    <w:uiPriority w:val="99"/>
    <w:unhideWhenUsed/>
    <w:rsid w:val="00C73F2E"/>
    <w:rPr>
      <w:color w:val="000000" w:themeColor="hyperlink"/>
      <w:u w:val="single"/>
    </w:rPr>
  </w:style>
  <w:style w:type="character" w:customStyle="1" w:styleId="Titre1Niveau1Car">
    <w:name w:val="Titre 1 Niveau 1 Car"/>
    <w:basedOn w:val="DefaultParagraphFont"/>
    <w:link w:val="Titre1Niveau1"/>
    <w:rsid w:val="0062059A"/>
    <w:rPr>
      <w:rFonts w:ascii="Marianne" w:eastAsiaTheme="majorEastAsia" w:hAnsi="Marianne" w:cstheme="majorBidi"/>
      <w:bCs/>
      <w:spacing w:val="-10"/>
      <w:kern w:val="28"/>
      <w:sz w:val="48"/>
      <w:szCs w:val="56"/>
      <w:lang w:eastAsia="fr-FR"/>
    </w:rPr>
  </w:style>
  <w:style w:type="character" w:customStyle="1" w:styleId="Titre1Car">
    <w:name w:val="Titre1 Car"/>
    <w:basedOn w:val="Titre1Niveau1Car"/>
    <w:link w:val="Titre1"/>
    <w:rsid w:val="00D20917"/>
    <w:rPr>
      <w:rFonts w:asciiTheme="majorHAnsi" w:eastAsiaTheme="majorEastAsia" w:hAnsiTheme="majorHAnsi" w:cstheme="majorBidi"/>
      <w:b/>
      <w:bCs w:val="0"/>
      <w:spacing w:val="-10"/>
      <w:kern w:val="28"/>
      <w:sz w:val="23"/>
      <w:szCs w:val="28"/>
      <w:u w:val="single"/>
      <w:lang w:eastAsia="fr-FR"/>
    </w:rPr>
  </w:style>
  <w:style w:type="paragraph" w:styleId="Caption">
    <w:name w:val="caption"/>
    <w:basedOn w:val="Normal"/>
    <w:next w:val="Normal"/>
    <w:autoRedefine/>
    <w:uiPriority w:val="35"/>
    <w:unhideWhenUsed/>
    <w:qFormat/>
    <w:rsid w:val="0045532B"/>
    <w:pPr>
      <w:spacing w:before="60" w:after="60"/>
    </w:pPr>
    <w:rPr>
      <w:i/>
      <w:iCs/>
      <w:color w:val="000091" w:themeColor="text2"/>
      <w:sz w:val="18"/>
      <w:szCs w:val="18"/>
    </w:rPr>
  </w:style>
  <w:style w:type="paragraph" w:styleId="FootnoteText">
    <w:name w:val="footnote text"/>
    <w:aliases w:val="Fußnotentext Char,Fußnotentext Char1 Char1,Fußnotentext Char Char Char Char,Fußnotentext Char1 Char Char Char,Fußnotentext Char Char,Fußnotentext Char1 Char Char Char Char,Fußnotentext Char Char Char Char Char Char,Fußnotentext Char1"/>
    <w:basedOn w:val="Normal"/>
    <w:link w:val="FootnoteTextChar"/>
    <w:unhideWhenUsed/>
    <w:qFormat/>
    <w:rsid w:val="00AA5DD8"/>
    <w:rPr>
      <w:sz w:val="20"/>
      <w:szCs w:val="20"/>
    </w:rPr>
  </w:style>
  <w:style w:type="character" w:customStyle="1" w:styleId="FootnoteTextChar">
    <w:name w:val="Footnote Text Char"/>
    <w:aliases w:val="Fußnotentext Char Char1,Fußnotentext Char1 Char1 Char,Fußnotentext Char Char Char Char Char,Fußnotentext Char1 Char Char Char Char1,Fußnotentext Char Char Char,Fußnotentext Char1 Char Char Char Char Char,Fußnotentext Char1 Char"/>
    <w:basedOn w:val="DefaultParagraphFont"/>
    <w:link w:val="FootnoteText"/>
    <w:uiPriority w:val="99"/>
    <w:rsid w:val="00AA5DD8"/>
    <w:rPr>
      <w:rFonts w:ascii="Marianne" w:eastAsia="Times New Roman" w:hAnsi="Marianne" w:cs="Times New Roman"/>
      <w:lang w:eastAsia="fr-FR"/>
    </w:rPr>
  </w:style>
  <w:style w:type="character" w:styleId="FootnoteReference">
    <w:name w:val="footnote reference"/>
    <w:aliases w:val="SUPERS,Appel note de bas de page,Footnote symbol,Footnote s,Times 10 Point, Exposant 3 Point,Exposant 3 ,Exposant 3 Point,Expos,Exposant 3,Appel note de bas de p,Texte Appel note de bas de p.,Appel note,-E Fußnotenzeichen,number"/>
    <w:basedOn w:val="DefaultParagraphFont"/>
    <w:uiPriority w:val="99"/>
    <w:unhideWhenUsed/>
    <w:qFormat/>
    <w:rsid w:val="00AA5DD8"/>
    <w:rPr>
      <w:vertAlign w:val="superscript"/>
    </w:rPr>
  </w:style>
  <w:style w:type="paragraph" w:customStyle="1" w:styleId="Default">
    <w:name w:val="Default"/>
    <w:rsid w:val="00002707"/>
    <w:pPr>
      <w:autoSpaceDE w:val="0"/>
      <w:autoSpaceDN w:val="0"/>
      <w:adjustRightInd w:val="0"/>
      <w:spacing w:line="240" w:lineRule="auto"/>
    </w:pPr>
    <w:rPr>
      <w:rFonts w:ascii="Arial" w:hAnsi="Arial" w:cs="Arial"/>
      <w:color w:val="000000"/>
      <w:sz w:val="24"/>
      <w:szCs w:val="24"/>
    </w:rPr>
  </w:style>
  <w:style w:type="table" w:styleId="ListTable4-Accent4">
    <w:name w:val="List Table 4 Accent 4"/>
    <w:basedOn w:val="TableNormal"/>
    <w:uiPriority w:val="49"/>
    <w:rsid w:val="00501FA3"/>
    <w:pPr>
      <w:spacing w:line="240" w:lineRule="auto"/>
    </w:pPr>
    <w:tblPr>
      <w:tblStyleRowBandSize w:val="1"/>
      <w:tblStyleColBandSize w:val="1"/>
      <w:tblBorders>
        <w:top w:val="single" w:sz="4" w:space="0" w:color="F29784" w:themeColor="accent4" w:themeTint="99"/>
        <w:left w:val="single" w:sz="4" w:space="0" w:color="F29784" w:themeColor="accent4" w:themeTint="99"/>
        <w:bottom w:val="single" w:sz="4" w:space="0" w:color="F29784" w:themeColor="accent4" w:themeTint="99"/>
        <w:right w:val="single" w:sz="4" w:space="0" w:color="F29784" w:themeColor="accent4" w:themeTint="99"/>
        <w:insideH w:val="single" w:sz="4" w:space="0" w:color="F29784" w:themeColor="accent4" w:themeTint="99"/>
      </w:tblBorders>
    </w:tblPr>
    <w:tblStylePr w:type="firstRow">
      <w:rPr>
        <w:b/>
        <w:bCs/>
        <w:color w:val="FFFFFF" w:themeColor="background1"/>
      </w:rPr>
      <w:tblPr/>
      <w:tcPr>
        <w:tcBorders>
          <w:top w:val="single" w:sz="4" w:space="0" w:color="EA5433" w:themeColor="accent4"/>
          <w:left w:val="single" w:sz="4" w:space="0" w:color="EA5433" w:themeColor="accent4"/>
          <w:bottom w:val="single" w:sz="4" w:space="0" w:color="EA5433" w:themeColor="accent4"/>
          <w:right w:val="single" w:sz="4" w:space="0" w:color="EA5433" w:themeColor="accent4"/>
          <w:insideH w:val="nil"/>
        </w:tcBorders>
        <w:shd w:val="clear" w:color="auto" w:fill="EA5433" w:themeFill="accent4"/>
      </w:tcPr>
    </w:tblStylePr>
    <w:tblStylePr w:type="lastRow">
      <w:rPr>
        <w:b/>
        <w:bCs/>
      </w:rPr>
      <w:tblPr/>
      <w:tcPr>
        <w:tcBorders>
          <w:top w:val="double" w:sz="4" w:space="0" w:color="F29784" w:themeColor="accent4" w:themeTint="99"/>
        </w:tcBorders>
      </w:tcPr>
    </w:tblStylePr>
    <w:tblStylePr w:type="firstCol">
      <w:rPr>
        <w:b/>
        <w:bCs/>
      </w:rPr>
    </w:tblStylePr>
    <w:tblStylePr w:type="lastCol">
      <w:rPr>
        <w:b/>
        <w:bCs/>
      </w:rPr>
    </w:tblStylePr>
    <w:tblStylePr w:type="band1Vert">
      <w:tblPr/>
      <w:tcPr>
        <w:shd w:val="clear" w:color="auto" w:fill="FADCD6" w:themeFill="accent4" w:themeFillTint="33"/>
      </w:tcPr>
    </w:tblStylePr>
    <w:tblStylePr w:type="band1Horz">
      <w:tblPr/>
      <w:tcPr>
        <w:shd w:val="clear" w:color="auto" w:fill="FADCD6" w:themeFill="accent4" w:themeFillTint="33"/>
      </w:tcPr>
    </w:tblStylePr>
  </w:style>
  <w:style w:type="table" w:styleId="ListTable3-Accent4">
    <w:name w:val="List Table 3 Accent 4"/>
    <w:basedOn w:val="TableNormal"/>
    <w:uiPriority w:val="48"/>
    <w:rsid w:val="00501FA3"/>
    <w:pPr>
      <w:spacing w:line="240" w:lineRule="auto"/>
    </w:pPr>
    <w:tblPr>
      <w:tblStyleRowBandSize w:val="1"/>
      <w:tblStyleColBandSize w:val="1"/>
      <w:tblBorders>
        <w:top w:val="single" w:sz="4" w:space="0" w:color="EA5433" w:themeColor="accent4"/>
        <w:left w:val="single" w:sz="4" w:space="0" w:color="EA5433" w:themeColor="accent4"/>
        <w:bottom w:val="single" w:sz="4" w:space="0" w:color="EA5433" w:themeColor="accent4"/>
        <w:right w:val="single" w:sz="4" w:space="0" w:color="EA5433" w:themeColor="accent4"/>
      </w:tblBorders>
    </w:tblPr>
    <w:tblStylePr w:type="firstRow">
      <w:rPr>
        <w:b/>
        <w:bCs/>
        <w:color w:val="FFFFFF" w:themeColor="background1"/>
      </w:rPr>
      <w:tblPr/>
      <w:tcPr>
        <w:shd w:val="clear" w:color="auto" w:fill="EA5433" w:themeFill="accent4"/>
      </w:tcPr>
    </w:tblStylePr>
    <w:tblStylePr w:type="lastRow">
      <w:rPr>
        <w:b/>
        <w:bCs/>
      </w:rPr>
      <w:tblPr/>
      <w:tcPr>
        <w:tcBorders>
          <w:top w:val="double" w:sz="4" w:space="0" w:color="EA5433"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A5433" w:themeColor="accent4"/>
          <w:right w:val="single" w:sz="4" w:space="0" w:color="EA5433" w:themeColor="accent4"/>
        </w:tcBorders>
      </w:tcPr>
    </w:tblStylePr>
    <w:tblStylePr w:type="band1Horz">
      <w:tblPr/>
      <w:tcPr>
        <w:tcBorders>
          <w:top w:val="single" w:sz="4" w:space="0" w:color="EA5433" w:themeColor="accent4"/>
          <w:bottom w:val="single" w:sz="4" w:space="0" w:color="EA5433"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A5433" w:themeColor="accent4"/>
          <w:left w:val="nil"/>
        </w:tcBorders>
      </w:tcPr>
    </w:tblStylePr>
    <w:tblStylePr w:type="swCell">
      <w:tblPr/>
      <w:tcPr>
        <w:tcBorders>
          <w:top w:val="double" w:sz="4" w:space="0" w:color="EA5433" w:themeColor="accent4"/>
          <w:right w:val="nil"/>
        </w:tcBorders>
      </w:tcPr>
    </w:tblStylePr>
  </w:style>
  <w:style w:type="table" w:styleId="GridTable4-Accent4">
    <w:name w:val="Grid Table 4 Accent 4"/>
    <w:basedOn w:val="TableNormal"/>
    <w:uiPriority w:val="49"/>
    <w:rsid w:val="00501FA3"/>
    <w:pPr>
      <w:spacing w:line="240" w:lineRule="auto"/>
    </w:pPr>
    <w:tblPr>
      <w:tblStyleRowBandSize w:val="1"/>
      <w:tblStyleColBandSize w:val="1"/>
      <w:tblBorders>
        <w:top w:val="single" w:sz="4" w:space="0" w:color="F29784" w:themeColor="accent4" w:themeTint="99"/>
        <w:left w:val="single" w:sz="4" w:space="0" w:color="F29784" w:themeColor="accent4" w:themeTint="99"/>
        <w:bottom w:val="single" w:sz="4" w:space="0" w:color="F29784" w:themeColor="accent4" w:themeTint="99"/>
        <w:right w:val="single" w:sz="4" w:space="0" w:color="F29784" w:themeColor="accent4" w:themeTint="99"/>
        <w:insideH w:val="single" w:sz="4" w:space="0" w:color="F29784" w:themeColor="accent4" w:themeTint="99"/>
        <w:insideV w:val="single" w:sz="4" w:space="0" w:color="F29784" w:themeColor="accent4" w:themeTint="99"/>
      </w:tblBorders>
    </w:tblPr>
    <w:tblStylePr w:type="firstRow">
      <w:rPr>
        <w:b/>
        <w:bCs/>
        <w:color w:val="FFFFFF" w:themeColor="background1"/>
      </w:rPr>
      <w:tblPr/>
      <w:tcPr>
        <w:tcBorders>
          <w:top w:val="single" w:sz="4" w:space="0" w:color="EA5433" w:themeColor="accent4"/>
          <w:left w:val="single" w:sz="4" w:space="0" w:color="EA5433" w:themeColor="accent4"/>
          <w:bottom w:val="single" w:sz="4" w:space="0" w:color="EA5433" w:themeColor="accent4"/>
          <w:right w:val="single" w:sz="4" w:space="0" w:color="EA5433" w:themeColor="accent4"/>
          <w:insideH w:val="nil"/>
          <w:insideV w:val="nil"/>
        </w:tcBorders>
        <w:shd w:val="clear" w:color="auto" w:fill="EA5433" w:themeFill="accent4"/>
      </w:tcPr>
    </w:tblStylePr>
    <w:tblStylePr w:type="lastRow">
      <w:rPr>
        <w:b/>
        <w:bCs/>
      </w:rPr>
      <w:tblPr/>
      <w:tcPr>
        <w:tcBorders>
          <w:top w:val="double" w:sz="4" w:space="0" w:color="EA5433" w:themeColor="accent4"/>
        </w:tcBorders>
      </w:tcPr>
    </w:tblStylePr>
    <w:tblStylePr w:type="firstCol">
      <w:rPr>
        <w:b/>
        <w:bCs/>
      </w:rPr>
    </w:tblStylePr>
    <w:tblStylePr w:type="lastCol">
      <w:rPr>
        <w:b/>
        <w:bCs/>
      </w:rPr>
    </w:tblStylePr>
    <w:tblStylePr w:type="band1Vert">
      <w:tblPr/>
      <w:tcPr>
        <w:shd w:val="clear" w:color="auto" w:fill="FADCD6" w:themeFill="accent4" w:themeFillTint="33"/>
      </w:tcPr>
    </w:tblStylePr>
    <w:tblStylePr w:type="band1Horz">
      <w:tblPr/>
      <w:tcPr>
        <w:shd w:val="clear" w:color="auto" w:fill="FADCD6" w:themeFill="accent4" w:themeFillTint="33"/>
      </w:tcPr>
    </w:tblStylePr>
  </w:style>
  <w:style w:type="table" w:styleId="TableGridLight">
    <w:name w:val="Grid Table Light"/>
    <w:basedOn w:val="TableNormal"/>
    <w:uiPriority w:val="40"/>
    <w:rsid w:val="00501FA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nhideWhenUsed/>
    <w:qFormat/>
    <w:rsid w:val="00977B34"/>
    <w:pPr>
      <w:spacing w:after="120" w:line="276" w:lineRule="auto"/>
    </w:pPr>
    <w:rPr>
      <w:rFonts w:ascii="Trebuchet MS" w:eastAsiaTheme="minorHAnsi" w:hAnsi="Trebuchet MS" w:cstheme="minorBidi"/>
      <w:sz w:val="20"/>
      <w:szCs w:val="22"/>
      <w:lang w:eastAsia="en-US"/>
    </w:rPr>
  </w:style>
  <w:style w:type="character" w:customStyle="1" w:styleId="BodyTextChar">
    <w:name w:val="Body Text Char"/>
    <w:basedOn w:val="DefaultParagraphFont"/>
    <w:link w:val="BodyText"/>
    <w:qFormat/>
    <w:rsid w:val="00977B34"/>
    <w:rPr>
      <w:rFonts w:ascii="Trebuchet MS" w:hAnsi="Trebuchet MS"/>
      <w:szCs w:val="22"/>
    </w:rPr>
  </w:style>
  <w:style w:type="character" w:customStyle="1" w:styleId="ml-2">
    <w:name w:val="ml-2"/>
    <w:basedOn w:val="DefaultParagraphFont"/>
    <w:rsid w:val="006D5177"/>
  </w:style>
  <w:style w:type="paragraph" w:customStyle="1" w:styleId="Style3">
    <w:name w:val="Style3"/>
    <w:basedOn w:val="Heading2"/>
    <w:link w:val="Style3Car"/>
    <w:autoRedefine/>
    <w:qFormat/>
    <w:rsid w:val="00734FEB"/>
    <w:pPr>
      <w:numPr>
        <w:ilvl w:val="0"/>
        <w:numId w:val="0"/>
      </w:numPr>
      <w:spacing w:before="0" w:line="240" w:lineRule="auto"/>
      <w:contextualSpacing/>
      <w:jc w:val="left"/>
      <w:outlineLvl w:val="9"/>
    </w:pPr>
    <w:rPr>
      <w:rFonts w:eastAsia="Liberation Sans;Arial" w:cstheme="minorHAnsi"/>
      <w:color w:val="68B97E"/>
      <w:sz w:val="24"/>
      <w:szCs w:val="22"/>
    </w:rPr>
  </w:style>
  <w:style w:type="character" w:customStyle="1" w:styleId="Style3Car">
    <w:name w:val="Style3 Car"/>
    <w:basedOn w:val="Heading2Char"/>
    <w:link w:val="Style3"/>
    <w:rsid w:val="00734FEB"/>
    <w:rPr>
      <w:rFonts w:asciiTheme="majorHAnsi" w:eastAsia="Liberation Sans;Arial" w:hAnsiTheme="majorHAnsi" w:cstheme="minorHAnsi"/>
      <w:b/>
      <w:bCs/>
      <w:color w:val="68B97E"/>
      <w:sz w:val="24"/>
      <w:szCs w:val="22"/>
      <w:lang w:eastAsia="fr-FR"/>
    </w:rPr>
  </w:style>
  <w:style w:type="paragraph" w:customStyle="1" w:styleId="Style2">
    <w:name w:val="Style2"/>
    <w:basedOn w:val="Normal"/>
    <w:link w:val="Style2Car"/>
    <w:qFormat/>
    <w:rsid w:val="006D5177"/>
    <w:pPr>
      <w:keepNext/>
      <w:keepLines/>
      <w:contextualSpacing/>
      <w:jc w:val="center"/>
    </w:pPr>
    <w:rPr>
      <w:rFonts w:asciiTheme="minorHAnsi" w:eastAsia="Liberation Sans;Arial" w:hAnsiTheme="minorHAnsi" w:cstheme="minorHAnsi"/>
      <w:b/>
      <w:bCs/>
      <w:color w:val="7030A0"/>
      <w:sz w:val="28"/>
      <w:szCs w:val="22"/>
    </w:rPr>
  </w:style>
  <w:style w:type="character" w:customStyle="1" w:styleId="Style2Car">
    <w:name w:val="Style2 Car"/>
    <w:basedOn w:val="DefaultParagraphFont"/>
    <w:link w:val="Style2"/>
    <w:rsid w:val="006D5177"/>
    <w:rPr>
      <w:rFonts w:eastAsia="Liberation Sans;Arial" w:cstheme="minorHAnsi"/>
      <w:b/>
      <w:bCs/>
      <w:color w:val="7030A0"/>
      <w:sz w:val="28"/>
      <w:szCs w:val="22"/>
      <w:lang w:eastAsia="fr-FR"/>
    </w:rPr>
  </w:style>
  <w:style w:type="paragraph" w:styleId="Revision">
    <w:name w:val="Revision"/>
    <w:hidden/>
    <w:uiPriority w:val="99"/>
    <w:semiHidden/>
    <w:rsid w:val="006D5177"/>
    <w:pPr>
      <w:spacing w:line="240" w:lineRule="auto"/>
    </w:pPr>
    <w:rPr>
      <w:rFonts w:ascii="Marianne" w:eastAsia="Times New Roman" w:hAnsi="Marianne" w:cs="Times New Roman"/>
      <w:sz w:val="21"/>
      <w:szCs w:val="24"/>
      <w:lang w:eastAsia="fr-FR"/>
    </w:rPr>
  </w:style>
  <w:style w:type="paragraph" w:customStyle="1" w:styleId="western">
    <w:name w:val="western"/>
    <w:basedOn w:val="Normal"/>
    <w:rsid w:val="004B5220"/>
    <w:pPr>
      <w:spacing w:before="100" w:beforeAutospacing="1" w:after="142" w:line="288" w:lineRule="auto"/>
      <w:jc w:val="left"/>
    </w:pPr>
    <w:rPr>
      <w:rFonts w:ascii="Times New Roman" w:hAnsi="Times New Roman"/>
      <w:color w:val="00000A"/>
      <w:sz w:val="24"/>
    </w:rPr>
  </w:style>
  <w:style w:type="character" w:styleId="Strong">
    <w:name w:val="Strong"/>
    <w:basedOn w:val="DefaultParagraphFont"/>
    <w:uiPriority w:val="22"/>
    <w:qFormat/>
    <w:rsid w:val="00133BB6"/>
    <w:rPr>
      <w:b/>
      <w:bCs/>
    </w:rPr>
  </w:style>
  <w:style w:type="character" w:customStyle="1" w:styleId="ListParagraphChar">
    <w:name w:val="List Paragraph Char"/>
    <w:aliases w:val="EC Char,Paragraphe de liste11 Char,Paragraphe de liste1 Char,Puce Char,Colorful List Accent 1 Char,List Paragraph (numbered (a)) Char,List_Paragraph Char,Multilevel para_II Char,List Paragraph1 Char,Rec para Char,Dot pt Char,L Char"/>
    <w:link w:val="ListParagraph"/>
    <w:uiPriority w:val="34"/>
    <w:qFormat/>
    <w:locked/>
    <w:rsid w:val="001A4E13"/>
    <w:rPr>
      <w:rFonts w:ascii="Marianne" w:eastAsia="Times New Roman" w:hAnsi="Marianne" w:cs="Times New Roman"/>
      <w:sz w:val="21"/>
      <w:szCs w:val="24"/>
      <w:lang w:eastAsia="fr-FR"/>
    </w:rPr>
  </w:style>
  <w:style w:type="character" w:styleId="FollowedHyperlink">
    <w:name w:val="FollowedHyperlink"/>
    <w:basedOn w:val="DefaultParagraphFont"/>
    <w:uiPriority w:val="99"/>
    <w:semiHidden/>
    <w:unhideWhenUsed/>
    <w:rsid w:val="001A4E13"/>
    <w:rPr>
      <w:color w:val="000000" w:themeColor="followedHyperlink"/>
      <w:u w:val="single"/>
    </w:rPr>
  </w:style>
  <w:style w:type="table" w:customStyle="1" w:styleId="TableGrid0">
    <w:name w:val="TableGrid"/>
    <w:rsid w:val="00DE0656"/>
    <w:pPr>
      <w:spacing w:line="240" w:lineRule="auto"/>
    </w:pPr>
    <w:rPr>
      <w:rFonts w:eastAsiaTheme="minorEastAsia"/>
      <w:sz w:val="22"/>
      <w:szCs w:val="22"/>
      <w:lang w:eastAsia="fr-FR"/>
    </w:rPr>
    <w:tblPr>
      <w:tblCellMar>
        <w:top w:w="0" w:type="dxa"/>
        <w:left w:w="0" w:type="dxa"/>
        <w:bottom w:w="0" w:type="dxa"/>
        <w:right w:w="0" w:type="dxa"/>
      </w:tblCellMar>
    </w:tblPr>
  </w:style>
  <w:style w:type="paragraph" w:customStyle="1" w:styleId="Standard">
    <w:name w:val="Standard"/>
    <w:qFormat/>
    <w:rsid w:val="00DE0656"/>
    <w:pPr>
      <w:widowControl w:val="0"/>
      <w:suppressAutoHyphens/>
      <w:autoSpaceDN w:val="0"/>
      <w:spacing w:line="240" w:lineRule="auto"/>
      <w:textAlignment w:val="baseline"/>
    </w:pPr>
    <w:rPr>
      <w:rFonts w:ascii="Liberation Serif" w:eastAsia="SimSun" w:hAnsi="Liberation Serif" w:cs="Mangal"/>
      <w:kern w:val="3"/>
      <w:sz w:val="24"/>
      <w:szCs w:val="24"/>
      <w:lang w:eastAsia="zh-CN" w:bidi="hi-IN"/>
    </w:rPr>
  </w:style>
  <w:style w:type="paragraph" w:customStyle="1" w:styleId="Footnote">
    <w:name w:val="Footnote"/>
    <w:basedOn w:val="Standard"/>
    <w:rsid w:val="00DE0656"/>
    <w:rPr>
      <w:sz w:val="20"/>
      <w:szCs w:val="20"/>
    </w:rPr>
  </w:style>
  <w:style w:type="character" w:customStyle="1" w:styleId="Ancredenotedebasdepage">
    <w:name w:val="Ancre de note de bas de page"/>
    <w:rsid w:val="00714DEF"/>
    <w:rPr>
      <w:vertAlign w:val="superscript"/>
    </w:rPr>
  </w:style>
  <w:style w:type="paragraph" w:customStyle="1" w:styleId="Standarduser">
    <w:name w:val="Standard (user)"/>
    <w:rsid w:val="00666AA0"/>
    <w:pPr>
      <w:suppressAutoHyphens/>
      <w:autoSpaceDN w:val="0"/>
      <w:spacing w:line="240" w:lineRule="auto"/>
      <w:textAlignment w:val="baseline"/>
    </w:pPr>
    <w:rPr>
      <w:rFonts w:ascii="Times New Roman" w:eastAsia="Times New Roman" w:hAnsi="Times New Roman" w:cs="Times New Roman"/>
      <w:kern w:val="3"/>
      <w:sz w:val="24"/>
      <w:szCs w:val="24"/>
      <w:lang w:eastAsia="zh-CN"/>
    </w:rPr>
  </w:style>
  <w:style w:type="character" w:customStyle="1" w:styleId="rynqvb">
    <w:name w:val="rynqvb"/>
    <w:basedOn w:val="DefaultParagraphFont"/>
    <w:rsid w:val="00E64C8E"/>
  </w:style>
  <w:style w:type="character" w:styleId="Emphasis">
    <w:name w:val="Emphasis"/>
    <w:basedOn w:val="DefaultParagraphFont"/>
    <w:uiPriority w:val="20"/>
    <w:qFormat/>
    <w:rsid w:val="00E64C8E"/>
    <w:rPr>
      <w:i/>
      <w:iCs/>
    </w:rPr>
  </w:style>
  <w:style w:type="paragraph" w:styleId="TableofFigures">
    <w:name w:val="table of figures"/>
    <w:basedOn w:val="Normal"/>
    <w:next w:val="Normal"/>
    <w:uiPriority w:val="99"/>
    <w:unhideWhenUsed/>
    <w:rsid w:val="00A55861"/>
  </w:style>
  <w:style w:type="numbering" w:customStyle="1" w:styleId="Style1">
    <w:name w:val="Style1"/>
    <w:uiPriority w:val="99"/>
    <w:rsid w:val="000C5AF3"/>
    <w:pPr>
      <w:numPr>
        <w:numId w:val="49"/>
      </w:numPr>
    </w:pPr>
  </w:style>
  <w:style w:type="numbering" w:customStyle="1" w:styleId="Style4">
    <w:name w:val="Style4"/>
    <w:uiPriority w:val="99"/>
    <w:rsid w:val="002A1355"/>
    <w:pPr>
      <w:numPr>
        <w:numId w:val="50"/>
      </w:numPr>
    </w:pPr>
  </w:style>
  <w:style w:type="table" w:styleId="GridTable5Dark-Accent4">
    <w:name w:val="Grid Table 5 Dark Accent 4"/>
    <w:basedOn w:val="TableNormal"/>
    <w:uiPriority w:val="50"/>
    <w:rsid w:val="00DF06D4"/>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CD6"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A5433"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A5433"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A5433"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A5433" w:themeFill="accent4"/>
      </w:tcPr>
    </w:tblStylePr>
    <w:tblStylePr w:type="band1Vert">
      <w:tblPr/>
      <w:tcPr>
        <w:shd w:val="clear" w:color="auto" w:fill="F6BAAD" w:themeFill="accent4" w:themeFillTint="66"/>
      </w:tcPr>
    </w:tblStylePr>
    <w:tblStylePr w:type="band1Horz">
      <w:tblPr/>
      <w:tcPr>
        <w:shd w:val="clear" w:color="auto" w:fill="F6BAAD" w:themeFill="accent4" w:themeFillTint="66"/>
      </w:tcPr>
    </w:tblStylePr>
  </w:style>
  <w:style w:type="table" w:styleId="ListTable4-Accent2">
    <w:name w:val="List Table 4 Accent 2"/>
    <w:basedOn w:val="TableNormal"/>
    <w:uiPriority w:val="49"/>
    <w:rsid w:val="0096649E"/>
    <w:pPr>
      <w:spacing w:line="240" w:lineRule="auto"/>
    </w:pPr>
    <w:tblPr>
      <w:tblStyleRowBandSize w:val="1"/>
      <w:tblStyleColBandSize w:val="1"/>
      <w:tblBorders>
        <w:top w:val="single" w:sz="4" w:space="0" w:color="5555C0" w:themeColor="accent2" w:themeTint="99"/>
        <w:left w:val="single" w:sz="4" w:space="0" w:color="5555C0" w:themeColor="accent2" w:themeTint="99"/>
        <w:bottom w:val="single" w:sz="4" w:space="0" w:color="5555C0" w:themeColor="accent2" w:themeTint="99"/>
        <w:right w:val="single" w:sz="4" w:space="0" w:color="5555C0" w:themeColor="accent2" w:themeTint="99"/>
        <w:insideH w:val="single" w:sz="4" w:space="0" w:color="5555C0" w:themeColor="accent2" w:themeTint="99"/>
      </w:tblBorders>
    </w:tblPr>
    <w:tblStylePr w:type="firstRow">
      <w:rPr>
        <w:b/>
        <w:bCs/>
        <w:color w:val="FFFFFF" w:themeColor="background1"/>
      </w:rPr>
      <w:tblPr/>
      <w:tcPr>
        <w:tcBorders>
          <w:top w:val="single" w:sz="4" w:space="0" w:color="21215A" w:themeColor="accent2"/>
          <w:left w:val="single" w:sz="4" w:space="0" w:color="21215A" w:themeColor="accent2"/>
          <w:bottom w:val="single" w:sz="4" w:space="0" w:color="21215A" w:themeColor="accent2"/>
          <w:right w:val="single" w:sz="4" w:space="0" w:color="21215A" w:themeColor="accent2"/>
          <w:insideH w:val="nil"/>
        </w:tcBorders>
        <w:shd w:val="clear" w:color="auto" w:fill="21215A" w:themeFill="accent2"/>
      </w:tcPr>
    </w:tblStylePr>
    <w:tblStylePr w:type="lastRow">
      <w:rPr>
        <w:b/>
        <w:bCs/>
      </w:rPr>
      <w:tblPr/>
      <w:tcPr>
        <w:tcBorders>
          <w:top w:val="double" w:sz="4" w:space="0" w:color="5555C0" w:themeColor="accent2" w:themeTint="99"/>
        </w:tcBorders>
      </w:tcPr>
    </w:tblStylePr>
    <w:tblStylePr w:type="firstCol">
      <w:rPr>
        <w:b/>
        <w:bCs/>
      </w:rPr>
    </w:tblStylePr>
    <w:tblStylePr w:type="lastCol">
      <w:rPr>
        <w:b/>
        <w:bCs/>
      </w:rPr>
    </w:tblStylePr>
    <w:tblStylePr w:type="band1Vert">
      <w:tblPr/>
      <w:tcPr>
        <w:shd w:val="clear" w:color="auto" w:fill="C6C6EA" w:themeFill="accent2" w:themeFillTint="33"/>
      </w:tcPr>
    </w:tblStylePr>
    <w:tblStylePr w:type="band1Horz">
      <w:tblPr/>
      <w:tcPr>
        <w:shd w:val="clear" w:color="auto" w:fill="C6C6EA" w:themeFill="accent2" w:themeFillTint="33"/>
      </w:tcPr>
    </w:tblStylePr>
  </w:style>
  <w:style w:type="table" w:styleId="GridTable4-Accent5">
    <w:name w:val="Grid Table 4 Accent 5"/>
    <w:basedOn w:val="TableNormal"/>
    <w:uiPriority w:val="49"/>
    <w:rsid w:val="0096649E"/>
    <w:pPr>
      <w:spacing w:line="240" w:lineRule="auto"/>
    </w:pPr>
    <w:tblPr>
      <w:tblStyleRowBandSize w:val="1"/>
      <w:tblStyleColBandSize w:val="1"/>
      <w:tblBorders>
        <w:top w:val="single" w:sz="4" w:space="0" w:color="D75C74" w:themeColor="accent5" w:themeTint="99"/>
        <w:left w:val="single" w:sz="4" w:space="0" w:color="D75C74" w:themeColor="accent5" w:themeTint="99"/>
        <w:bottom w:val="single" w:sz="4" w:space="0" w:color="D75C74" w:themeColor="accent5" w:themeTint="99"/>
        <w:right w:val="single" w:sz="4" w:space="0" w:color="D75C74" w:themeColor="accent5" w:themeTint="99"/>
        <w:insideH w:val="single" w:sz="4" w:space="0" w:color="D75C74" w:themeColor="accent5" w:themeTint="99"/>
        <w:insideV w:val="single" w:sz="4" w:space="0" w:color="D75C74" w:themeColor="accent5" w:themeTint="99"/>
      </w:tblBorders>
    </w:tblPr>
    <w:tblStylePr w:type="firstRow">
      <w:rPr>
        <w:b/>
        <w:bCs/>
        <w:color w:val="FFFFFF" w:themeColor="background1"/>
      </w:rPr>
      <w:tblPr/>
      <w:tcPr>
        <w:tcBorders>
          <w:top w:val="single" w:sz="4" w:space="0" w:color="8C2237" w:themeColor="accent5"/>
          <w:left w:val="single" w:sz="4" w:space="0" w:color="8C2237" w:themeColor="accent5"/>
          <w:bottom w:val="single" w:sz="4" w:space="0" w:color="8C2237" w:themeColor="accent5"/>
          <w:right w:val="single" w:sz="4" w:space="0" w:color="8C2237" w:themeColor="accent5"/>
          <w:insideH w:val="nil"/>
          <w:insideV w:val="nil"/>
        </w:tcBorders>
        <w:shd w:val="clear" w:color="auto" w:fill="8C2237" w:themeFill="accent5"/>
      </w:tcPr>
    </w:tblStylePr>
    <w:tblStylePr w:type="lastRow">
      <w:rPr>
        <w:b/>
        <w:bCs/>
      </w:rPr>
      <w:tblPr/>
      <w:tcPr>
        <w:tcBorders>
          <w:top w:val="double" w:sz="4" w:space="0" w:color="8C2237" w:themeColor="accent5"/>
        </w:tcBorders>
      </w:tcPr>
    </w:tblStylePr>
    <w:tblStylePr w:type="firstCol">
      <w:rPr>
        <w:b/>
        <w:bCs/>
      </w:rPr>
    </w:tblStylePr>
    <w:tblStylePr w:type="lastCol">
      <w:rPr>
        <w:b/>
        <w:bCs/>
      </w:rPr>
    </w:tblStylePr>
    <w:tblStylePr w:type="band1Vert">
      <w:tblPr/>
      <w:tcPr>
        <w:shd w:val="clear" w:color="auto" w:fill="F2C8D0" w:themeFill="accent5" w:themeFillTint="33"/>
      </w:tcPr>
    </w:tblStylePr>
    <w:tblStylePr w:type="band1Horz">
      <w:tblPr/>
      <w:tcPr>
        <w:shd w:val="clear" w:color="auto" w:fill="F2C8D0" w:themeFill="accent5" w:themeFillTint="33"/>
      </w:tcPr>
    </w:tblStylePr>
  </w:style>
  <w:style w:type="paragraph" w:customStyle="1" w:styleId="msonormal0">
    <w:name w:val="msonormal"/>
    <w:basedOn w:val="Normal"/>
    <w:rsid w:val="0060465D"/>
    <w:pPr>
      <w:spacing w:before="100" w:beforeAutospacing="1" w:after="100" w:afterAutospacing="1"/>
      <w:jc w:val="left"/>
    </w:pPr>
    <w:rPr>
      <w:rFonts w:ascii="Times New Roman" w:hAnsi="Times New Roman"/>
      <w:sz w:val="24"/>
    </w:rPr>
  </w:style>
  <w:style w:type="paragraph" w:customStyle="1" w:styleId="font0">
    <w:name w:val="font0"/>
    <w:basedOn w:val="Normal"/>
    <w:rsid w:val="0060465D"/>
    <w:pPr>
      <w:spacing w:before="100" w:beforeAutospacing="1" w:after="100" w:afterAutospacing="1"/>
      <w:jc w:val="left"/>
    </w:pPr>
    <w:rPr>
      <w:rFonts w:ascii="Calibri" w:hAnsi="Calibri" w:cs="Calibri"/>
      <w:color w:val="000000"/>
      <w:szCs w:val="22"/>
    </w:rPr>
  </w:style>
  <w:style w:type="paragraph" w:customStyle="1" w:styleId="font5">
    <w:name w:val="font5"/>
    <w:basedOn w:val="Normal"/>
    <w:rsid w:val="0060465D"/>
    <w:pPr>
      <w:spacing w:before="100" w:beforeAutospacing="1" w:after="100" w:afterAutospacing="1"/>
      <w:jc w:val="left"/>
    </w:pPr>
    <w:rPr>
      <w:rFonts w:ascii="Times New Roman" w:hAnsi="Times New Roman"/>
      <w:b/>
      <w:bCs/>
      <w:sz w:val="18"/>
      <w:szCs w:val="18"/>
    </w:rPr>
  </w:style>
  <w:style w:type="paragraph" w:customStyle="1" w:styleId="font6">
    <w:name w:val="font6"/>
    <w:basedOn w:val="Normal"/>
    <w:rsid w:val="0060465D"/>
    <w:pPr>
      <w:spacing w:before="100" w:beforeAutospacing="1" w:after="100" w:afterAutospacing="1"/>
      <w:jc w:val="left"/>
    </w:pPr>
    <w:rPr>
      <w:rFonts w:ascii="Times New Roman" w:hAnsi="Times New Roman"/>
      <w:b/>
      <w:bCs/>
      <w:sz w:val="18"/>
      <w:szCs w:val="18"/>
    </w:rPr>
  </w:style>
  <w:style w:type="paragraph" w:customStyle="1" w:styleId="font7">
    <w:name w:val="font7"/>
    <w:basedOn w:val="Normal"/>
    <w:rsid w:val="0060465D"/>
    <w:pPr>
      <w:spacing w:before="100" w:beforeAutospacing="1" w:after="100" w:afterAutospacing="1"/>
      <w:jc w:val="left"/>
    </w:pPr>
    <w:rPr>
      <w:rFonts w:ascii="Times New Roman" w:hAnsi="Times New Roman"/>
      <w:sz w:val="18"/>
      <w:szCs w:val="18"/>
    </w:rPr>
  </w:style>
  <w:style w:type="paragraph" w:customStyle="1" w:styleId="font8">
    <w:name w:val="font8"/>
    <w:basedOn w:val="Normal"/>
    <w:rsid w:val="0060465D"/>
    <w:pPr>
      <w:spacing w:before="100" w:beforeAutospacing="1" w:after="100" w:afterAutospacing="1"/>
      <w:jc w:val="left"/>
    </w:pPr>
    <w:rPr>
      <w:rFonts w:ascii="Times New Roman" w:hAnsi="Times New Roman"/>
      <w:i/>
      <w:iCs/>
      <w:sz w:val="18"/>
      <w:szCs w:val="18"/>
    </w:rPr>
  </w:style>
  <w:style w:type="paragraph" w:customStyle="1" w:styleId="font9">
    <w:name w:val="font9"/>
    <w:basedOn w:val="Normal"/>
    <w:rsid w:val="0060465D"/>
    <w:pPr>
      <w:spacing w:before="100" w:beforeAutospacing="1" w:after="100" w:afterAutospacing="1"/>
      <w:jc w:val="left"/>
    </w:pPr>
    <w:rPr>
      <w:rFonts w:ascii="Times New Roman" w:hAnsi="Times New Roman"/>
      <w:sz w:val="18"/>
      <w:szCs w:val="18"/>
    </w:rPr>
  </w:style>
  <w:style w:type="paragraph" w:customStyle="1" w:styleId="font10">
    <w:name w:val="font10"/>
    <w:basedOn w:val="Normal"/>
    <w:rsid w:val="0060465D"/>
    <w:pPr>
      <w:spacing w:before="100" w:beforeAutospacing="1" w:after="100" w:afterAutospacing="1"/>
      <w:jc w:val="left"/>
    </w:pPr>
    <w:rPr>
      <w:rFonts w:ascii="Times New Roman" w:hAnsi="Times New Roman"/>
      <w:b/>
      <w:bCs/>
      <w:sz w:val="18"/>
      <w:szCs w:val="18"/>
    </w:rPr>
  </w:style>
  <w:style w:type="paragraph" w:customStyle="1" w:styleId="font11">
    <w:name w:val="font11"/>
    <w:basedOn w:val="Normal"/>
    <w:rsid w:val="0060465D"/>
    <w:pPr>
      <w:spacing w:before="100" w:beforeAutospacing="1" w:after="100" w:afterAutospacing="1"/>
      <w:jc w:val="left"/>
    </w:pPr>
    <w:rPr>
      <w:rFonts w:ascii="Times New Roman" w:hAnsi="Times New Roman"/>
      <w:b/>
      <w:bCs/>
      <w:i/>
      <w:iCs/>
      <w:sz w:val="18"/>
      <w:szCs w:val="18"/>
    </w:rPr>
  </w:style>
  <w:style w:type="paragraph" w:customStyle="1" w:styleId="font12">
    <w:name w:val="font12"/>
    <w:basedOn w:val="Normal"/>
    <w:rsid w:val="0060465D"/>
    <w:pPr>
      <w:spacing w:before="100" w:beforeAutospacing="1" w:after="100" w:afterAutospacing="1"/>
      <w:jc w:val="left"/>
    </w:pPr>
    <w:rPr>
      <w:rFonts w:ascii="Times New Roman" w:hAnsi="Times New Roman"/>
      <w:color w:val="000000"/>
      <w:sz w:val="18"/>
      <w:szCs w:val="18"/>
    </w:rPr>
  </w:style>
  <w:style w:type="paragraph" w:customStyle="1" w:styleId="xl967">
    <w:name w:val="xl967"/>
    <w:basedOn w:val="Normal"/>
    <w:rsid w:val="0060465D"/>
    <w:pPr>
      <w:spacing w:before="100" w:beforeAutospacing="1" w:after="100" w:afterAutospacing="1"/>
      <w:jc w:val="left"/>
    </w:pPr>
    <w:rPr>
      <w:rFonts w:ascii="Times New Roman" w:hAnsi="Times New Roman"/>
      <w:sz w:val="18"/>
      <w:szCs w:val="18"/>
    </w:rPr>
  </w:style>
  <w:style w:type="paragraph" w:customStyle="1" w:styleId="xl968">
    <w:name w:val="xl968"/>
    <w:basedOn w:val="Normal"/>
    <w:rsid w:val="0060465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ind w:firstLineChars="200" w:firstLine="200"/>
      <w:jc w:val="left"/>
      <w:textAlignment w:val="center"/>
    </w:pPr>
    <w:rPr>
      <w:rFonts w:ascii="Times New Roman" w:hAnsi="Times New Roman"/>
      <w:sz w:val="18"/>
      <w:szCs w:val="18"/>
    </w:rPr>
  </w:style>
  <w:style w:type="paragraph" w:customStyle="1" w:styleId="xl969">
    <w:name w:val="xl969"/>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70">
    <w:name w:val="xl970"/>
    <w:basedOn w:val="Normal"/>
    <w:rsid w:val="0060465D"/>
    <w:pPr>
      <w:pBdr>
        <w:top w:val="single" w:sz="4" w:space="0" w:color="auto"/>
        <w:left w:val="single" w:sz="4" w:space="31" w:color="auto"/>
        <w:bottom w:val="single" w:sz="4" w:space="0" w:color="auto"/>
        <w:right w:val="single" w:sz="4" w:space="0" w:color="auto"/>
      </w:pBdr>
      <w:shd w:val="clear" w:color="000000" w:fill="CCFFFF"/>
      <w:spacing w:before="100" w:beforeAutospacing="1" w:after="100" w:afterAutospacing="1"/>
      <w:ind w:firstLineChars="500" w:firstLine="500"/>
      <w:jc w:val="left"/>
      <w:textAlignment w:val="center"/>
    </w:pPr>
    <w:rPr>
      <w:rFonts w:ascii="Times New Roman" w:hAnsi="Times New Roman"/>
      <w:sz w:val="18"/>
      <w:szCs w:val="18"/>
    </w:rPr>
  </w:style>
  <w:style w:type="paragraph" w:customStyle="1" w:styleId="xl971">
    <w:name w:val="xl971"/>
    <w:basedOn w:val="Normal"/>
    <w:rsid w:val="0060465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ind w:firstLineChars="200" w:firstLine="200"/>
      <w:jc w:val="left"/>
      <w:textAlignment w:val="center"/>
    </w:pPr>
    <w:rPr>
      <w:rFonts w:ascii="Times New Roman" w:hAnsi="Times New Roman"/>
      <w:sz w:val="18"/>
      <w:szCs w:val="18"/>
    </w:rPr>
  </w:style>
  <w:style w:type="paragraph" w:customStyle="1" w:styleId="xl972">
    <w:name w:val="xl972"/>
    <w:basedOn w:val="Normal"/>
    <w:rsid w:val="0060465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ind w:firstLineChars="200" w:firstLine="200"/>
      <w:jc w:val="left"/>
      <w:textAlignment w:val="center"/>
    </w:pPr>
    <w:rPr>
      <w:rFonts w:ascii="Times New Roman" w:hAnsi="Times New Roman"/>
      <w:sz w:val="18"/>
      <w:szCs w:val="18"/>
    </w:rPr>
  </w:style>
  <w:style w:type="paragraph" w:customStyle="1" w:styleId="xl973">
    <w:name w:val="xl973"/>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74">
    <w:name w:val="xl974"/>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pPr>
    <w:rPr>
      <w:rFonts w:ascii="Times New Roman" w:hAnsi="Times New Roman"/>
      <w:b/>
      <w:bCs/>
      <w:sz w:val="18"/>
      <w:szCs w:val="18"/>
    </w:rPr>
  </w:style>
  <w:style w:type="paragraph" w:customStyle="1" w:styleId="xl975">
    <w:name w:val="xl975"/>
    <w:basedOn w:val="Normal"/>
    <w:rsid w:val="0060465D"/>
    <w:pPr>
      <w:pBdr>
        <w:top w:val="single" w:sz="4" w:space="0" w:color="auto"/>
        <w:left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76">
    <w:name w:val="xl976"/>
    <w:basedOn w:val="Normal"/>
    <w:rsid w:val="0060465D"/>
    <w:pPr>
      <w:pBdr>
        <w:left w:val="single" w:sz="4" w:space="0" w:color="auto"/>
        <w:bottom w:val="double" w:sz="6"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77">
    <w:name w:val="xl977"/>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sz w:val="18"/>
      <w:szCs w:val="18"/>
    </w:rPr>
  </w:style>
  <w:style w:type="paragraph" w:customStyle="1" w:styleId="xl978">
    <w:name w:val="xl978"/>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79">
    <w:name w:val="xl979"/>
    <w:basedOn w:val="Normal"/>
    <w:rsid w:val="0060465D"/>
    <w:pPr>
      <w:pBdr>
        <w:left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80">
    <w:name w:val="xl980"/>
    <w:basedOn w:val="Normal"/>
    <w:rsid w:val="006046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hAnsi="Times New Roman"/>
      <w:sz w:val="18"/>
      <w:szCs w:val="18"/>
    </w:rPr>
  </w:style>
  <w:style w:type="paragraph" w:customStyle="1" w:styleId="xl981">
    <w:name w:val="xl981"/>
    <w:basedOn w:val="Normal"/>
    <w:rsid w:val="006046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hAnsi="Times New Roman"/>
      <w:sz w:val="18"/>
      <w:szCs w:val="18"/>
    </w:rPr>
  </w:style>
  <w:style w:type="paragraph" w:customStyle="1" w:styleId="xl982">
    <w:name w:val="xl982"/>
    <w:basedOn w:val="Normal"/>
    <w:rsid w:val="0060465D"/>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jc w:val="right"/>
    </w:pPr>
    <w:rPr>
      <w:rFonts w:ascii="Times New Roman" w:hAnsi="Times New Roman"/>
      <w:sz w:val="18"/>
      <w:szCs w:val="18"/>
    </w:rPr>
  </w:style>
  <w:style w:type="paragraph" w:customStyle="1" w:styleId="xl983">
    <w:name w:val="xl983"/>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right"/>
    </w:pPr>
    <w:rPr>
      <w:rFonts w:ascii="Times New Roman" w:hAnsi="Times New Roman"/>
      <w:sz w:val="18"/>
      <w:szCs w:val="18"/>
    </w:rPr>
  </w:style>
  <w:style w:type="paragraph" w:customStyle="1" w:styleId="xl984">
    <w:name w:val="xl984"/>
    <w:basedOn w:val="Normal"/>
    <w:rsid w:val="0060465D"/>
    <w:pPr>
      <w:pBdr>
        <w:top w:val="single" w:sz="4" w:space="0" w:color="auto"/>
        <w:left w:val="single" w:sz="4" w:space="0" w:color="auto"/>
        <w:bottom w:val="double" w:sz="6"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85">
    <w:name w:val="xl985"/>
    <w:basedOn w:val="Normal"/>
    <w:rsid w:val="0060465D"/>
    <w:pPr>
      <w:pBdr>
        <w:top w:val="single" w:sz="4" w:space="0" w:color="auto"/>
        <w:bottom w:val="double" w:sz="6"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86">
    <w:name w:val="xl986"/>
    <w:basedOn w:val="Normal"/>
    <w:rsid w:val="0060465D"/>
    <w:pPr>
      <w:pBdr>
        <w:top w:val="single" w:sz="4" w:space="0" w:color="auto"/>
        <w:bottom w:val="double" w:sz="6" w:space="0" w:color="auto"/>
        <w:right w:val="single" w:sz="4"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character" w:customStyle="1" w:styleId="Caractresdenotedebasdepage">
    <w:name w:val="Caractères de note de bas de page"/>
    <w:rsid w:val="007E76D2"/>
    <w:rPr>
      <w:vertAlign w:val="superscript"/>
    </w:rPr>
  </w:style>
  <w:style w:type="paragraph" w:customStyle="1" w:styleId="Contenuducadre">
    <w:name w:val="Contenu du cadre"/>
    <w:basedOn w:val="BodyText"/>
    <w:rsid w:val="007E76D2"/>
    <w:pPr>
      <w:widowControl w:val="0"/>
      <w:suppressAutoHyphens/>
      <w:spacing w:before="120" w:after="0" w:line="240" w:lineRule="auto"/>
    </w:pPr>
    <w:rPr>
      <w:rFonts w:ascii="Arial" w:eastAsia="Times New Roman" w:hAnsi="Arial" w:cs="Arial"/>
      <w:sz w:val="22"/>
      <w:lang w:eastAsia="zh-CN"/>
    </w:rPr>
  </w:style>
  <w:style w:type="table" w:customStyle="1" w:styleId="TableGrid1">
    <w:name w:val="TableGrid1"/>
    <w:rsid w:val="00512611"/>
    <w:pPr>
      <w:spacing w:line="240" w:lineRule="auto"/>
    </w:pPr>
    <w:rPr>
      <w:rFonts w:eastAsiaTheme="minorEastAsia"/>
      <w:sz w:val="22"/>
      <w:szCs w:val="22"/>
      <w:lang w:eastAsia="fr-FR"/>
    </w:rPr>
    <w:tblPr>
      <w:tblCellMar>
        <w:top w:w="0" w:type="dxa"/>
        <w:left w:w="0" w:type="dxa"/>
        <w:bottom w:w="0" w:type="dxa"/>
        <w:right w:w="0" w:type="dxa"/>
      </w:tblCellMar>
    </w:tblPr>
  </w:style>
  <w:style w:type="paragraph" w:customStyle="1" w:styleId="xl987">
    <w:name w:val="xl987"/>
    <w:basedOn w:val="Normal"/>
    <w:rsid w:val="00B56301"/>
    <w:pPr>
      <w:pBdr>
        <w:top w:val="single" w:sz="4" w:space="0" w:color="auto"/>
        <w:bottom w:val="double" w:sz="6" w:space="0" w:color="auto"/>
        <w:right w:val="single" w:sz="4"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88">
    <w:name w:val="xl988"/>
    <w:basedOn w:val="Normal"/>
    <w:rsid w:val="00B5630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89">
    <w:name w:val="xl989"/>
    <w:basedOn w:val="Normal"/>
    <w:rsid w:val="00B56301"/>
    <w:pPr>
      <w:pBdr>
        <w:top w:val="single" w:sz="4" w:space="0" w:color="auto"/>
        <w:left w:val="single" w:sz="4" w:space="0" w:color="auto"/>
        <w:bottom w:val="double" w:sz="6"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90">
    <w:name w:val="xl990"/>
    <w:basedOn w:val="Normal"/>
    <w:rsid w:val="00B56301"/>
    <w:pPr>
      <w:pBdr>
        <w:top w:val="single" w:sz="4" w:space="0" w:color="auto"/>
        <w:bottom w:val="double" w:sz="6"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91">
    <w:name w:val="xl991"/>
    <w:basedOn w:val="Normal"/>
    <w:rsid w:val="00B56301"/>
    <w:pPr>
      <w:pBdr>
        <w:top w:val="single" w:sz="4" w:space="0" w:color="auto"/>
        <w:left w:val="single" w:sz="4" w:space="0" w:color="auto"/>
        <w:bottom w:val="double" w:sz="6" w:space="0" w:color="auto"/>
        <w:right w:val="single" w:sz="4"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48159">
    <w:name w:val="xl48159"/>
    <w:basedOn w:val="Normal"/>
    <w:rsid w:val="00B56301"/>
    <w:pPr>
      <w:spacing w:before="100" w:beforeAutospacing="1" w:after="100" w:afterAutospacing="1"/>
      <w:jc w:val="left"/>
    </w:pPr>
    <w:rPr>
      <w:rFonts w:ascii="Trebuchet MS" w:hAnsi="Trebuchet MS"/>
      <w:sz w:val="24"/>
    </w:rPr>
  </w:style>
  <w:style w:type="paragraph" w:customStyle="1" w:styleId="xl48160">
    <w:name w:val="xl48160"/>
    <w:basedOn w:val="Normal"/>
    <w:rsid w:val="00B56301"/>
    <w:pPr>
      <w:spacing w:before="100" w:beforeAutospacing="1" w:after="100" w:afterAutospacing="1"/>
      <w:jc w:val="left"/>
      <w:textAlignment w:val="center"/>
    </w:pPr>
    <w:rPr>
      <w:rFonts w:ascii="Trebuchet MS" w:hAnsi="Trebuchet MS"/>
      <w:sz w:val="24"/>
    </w:rPr>
  </w:style>
  <w:style w:type="paragraph" w:customStyle="1" w:styleId="xl48161">
    <w:name w:val="xl48161"/>
    <w:basedOn w:val="Normal"/>
    <w:rsid w:val="00B56301"/>
    <w:pPr>
      <w:shd w:val="clear" w:color="000000" w:fill="FFFFFF"/>
      <w:spacing w:before="100" w:beforeAutospacing="1" w:after="100" w:afterAutospacing="1"/>
      <w:jc w:val="left"/>
    </w:pPr>
    <w:rPr>
      <w:rFonts w:ascii="Trebuchet MS" w:hAnsi="Trebuchet MS"/>
      <w:color w:val="000000"/>
      <w:szCs w:val="22"/>
    </w:rPr>
  </w:style>
  <w:style w:type="paragraph" w:customStyle="1" w:styleId="xl48162">
    <w:name w:val="xl48162"/>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rebuchet MS" w:hAnsi="Trebuchet MS"/>
      <w:b/>
      <w:bCs/>
      <w:sz w:val="18"/>
      <w:szCs w:val="18"/>
    </w:rPr>
  </w:style>
  <w:style w:type="paragraph" w:customStyle="1" w:styleId="xl48163">
    <w:name w:val="xl48163"/>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rebuchet MS" w:hAnsi="Trebuchet MS"/>
      <w:b/>
      <w:bCs/>
      <w:sz w:val="18"/>
      <w:szCs w:val="18"/>
    </w:rPr>
  </w:style>
  <w:style w:type="paragraph" w:customStyle="1" w:styleId="xl48164">
    <w:name w:val="xl48164"/>
    <w:basedOn w:val="Normal"/>
    <w:rsid w:val="00B56301"/>
    <w:pPr>
      <w:spacing w:before="100" w:beforeAutospacing="1" w:after="100" w:afterAutospacing="1"/>
      <w:jc w:val="center"/>
      <w:textAlignment w:val="center"/>
    </w:pPr>
    <w:rPr>
      <w:rFonts w:ascii="Trebuchet MS" w:hAnsi="Trebuchet MS"/>
      <w:b/>
      <w:bCs/>
      <w:i/>
      <w:iCs/>
      <w:sz w:val="18"/>
      <w:szCs w:val="18"/>
    </w:rPr>
  </w:style>
  <w:style w:type="paragraph" w:customStyle="1" w:styleId="xl48165">
    <w:name w:val="xl48165"/>
    <w:basedOn w:val="Normal"/>
    <w:rsid w:val="00B56301"/>
    <w:pPr>
      <w:pBdr>
        <w:top w:val="single" w:sz="4" w:space="0" w:color="auto"/>
        <w:left w:val="single" w:sz="4" w:space="0" w:color="auto"/>
        <w:bottom w:val="single" w:sz="4" w:space="0" w:color="auto"/>
      </w:pBdr>
      <w:spacing w:before="100" w:beforeAutospacing="1" w:after="100" w:afterAutospacing="1"/>
      <w:jc w:val="left"/>
      <w:textAlignment w:val="center"/>
    </w:pPr>
    <w:rPr>
      <w:rFonts w:ascii="Trebuchet MS" w:hAnsi="Trebuchet MS"/>
      <w:sz w:val="16"/>
      <w:szCs w:val="16"/>
    </w:rPr>
  </w:style>
  <w:style w:type="paragraph" w:customStyle="1" w:styleId="xl48166">
    <w:name w:val="xl48166"/>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6"/>
      <w:szCs w:val="16"/>
    </w:rPr>
  </w:style>
  <w:style w:type="paragraph" w:customStyle="1" w:styleId="xl48167">
    <w:name w:val="xl48167"/>
    <w:basedOn w:val="Normal"/>
    <w:rsid w:val="00B56301"/>
    <w:pPr>
      <w:shd w:val="clear" w:color="000000" w:fill="0070C0"/>
      <w:spacing w:before="100" w:beforeAutospacing="1" w:after="100" w:afterAutospacing="1"/>
      <w:jc w:val="left"/>
    </w:pPr>
    <w:rPr>
      <w:rFonts w:ascii="Trebuchet MS" w:hAnsi="Trebuchet MS"/>
      <w:b/>
      <w:bCs/>
      <w:color w:val="FFFFFF"/>
      <w:szCs w:val="22"/>
    </w:rPr>
  </w:style>
  <w:style w:type="paragraph" w:customStyle="1" w:styleId="xl48168">
    <w:name w:val="xl48168"/>
    <w:basedOn w:val="Normal"/>
    <w:rsid w:val="00B563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rebuchet MS" w:hAnsi="Trebuchet MS"/>
      <w:sz w:val="16"/>
      <w:szCs w:val="16"/>
    </w:rPr>
  </w:style>
  <w:style w:type="paragraph" w:customStyle="1" w:styleId="xl48169">
    <w:name w:val="xl48169"/>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6"/>
      <w:szCs w:val="16"/>
    </w:rPr>
  </w:style>
  <w:style w:type="paragraph" w:customStyle="1" w:styleId="xl48170">
    <w:name w:val="xl48170"/>
    <w:basedOn w:val="Normal"/>
    <w:rsid w:val="00B56301"/>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left"/>
    </w:pPr>
    <w:rPr>
      <w:rFonts w:ascii="Trebuchet MS" w:hAnsi="Trebuchet MS"/>
      <w:b/>
      <w:bCs/>
      <w:color w:val="FFFFFF"/>
      <w:sz w:val="16"/>
      <w:szCs w:val="16"/>
    </w:rPr>
  </w:style>
  <w:style w:type="paragraph" w:customStyle="1" w:styleId="xl48171">
    <w:name w:val="xl48171"/>
    <w:basedOn w:val="Normal"/>
    <w:rsid w:val="00B56301"/>
    <w:pPr>
      <w:shd w:val="clear" w:color="000000" w:fill="B3A2C7"/>
      <w:spacing w:before="100" w:beforeAutospacing="1" w:after="100" w:afterAutospacing="1"/>
      <w:jc w:val="left"/>
    </w:pPr>
    <w:rPr>
      <w:rFonts w:ascii="Trebuchet MS" w:hAnsi="Trebuchet MS"/>
      <w:b/>
      <w:bCs/>
      <w:szCs w:val="22"/>
    </w:rPr>
  </w:style>
  <w:style w:type="paragraph" w:customStyle="1" w:styleId="xl48172">
    <w:name w:val="xl48172"/>
    <w:basedOn w:val="Normal"/>
    <w:rsid w:val="00B56301"/>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Trebuchet MS" w:hAnsi="Trebuchet MS"/>
      <w:sz w:val="16"/>
      <w:szCs w:val="16"/>
    </w:rPr>
  </w:style>
  <w:style w:type="paragraph" w:customStyle="1" w:styleId="xl48173">
    <w:name w:val="xl48173"/>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rebuchet MS" w:hAnsi="Trebuchet MS"/>
      <w:sz w:val="16"/>
      <w:szCs w:val="16"/>
    </w:rPr>
  </w:style>
  <w:style w:type="paragraph" w:customStyle="1" w:styleId="xl48174">
    <w:name w:val="xl48174"/>
    <w:basedOn w:val="Normal"/>
    <w:rsid w:val="00B56301"/>
    <w:pPr>
      <w:shd w:val="clear" w:color="000000" w:fill="E0E5B3"/>
      <w:spacing w:before="100" w:beforeAutospacing="1" w:after="100" w:afterAutospacing="1"/>
      <w:jc w:val="left"/>
    </w:pPr>
    <w:rPr>
      <w:rFonts w:ascii="Trebuchet MS" w:hAnsi="Trebuchet MS"/>
      <w:b/>
      <w:bCs/>
      <w:szCs w:val="22"/>
    </w:rPr>
  </w:style>
  <w:style w:type="paragraph" w:customStyle="1" w:styleId="xl48175">
    <w:name w:val="xl48175"/>
    <w:basedOn w:val="Normal"/>
    <w:rsid w:val="00B56301"/>
    <w:pPr>
      <w:shd w:val="clear" w:color="000000" w:fill="92D050"/>
      <w:spacing w:before="100" w:beforeAutospacing="1" w:after="100" w:afterAutospacing="1"/>
      <w:jc w:val="left"/>
    </w:pPr>
    <w:rPr>
      <w:rFonts w:ascii="Trebuchet MS" w:hAnsi="Trebuchet MS"/>
      <w:b/>
      <w:bCs/>
      <w:szCs w:val="22"/>
    </w:rPr>
  </w:style>
  <w:style w:type="paragraph" w:customStyle="1" w:styleId="xl48176">
    <w:name w:val="xl48176"/>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8"/>
      <w:szCs w:val="18"/>
    </w:rPr>
  </w:style>
  <w:style w:type="paragraph" w:customStyle="1" w:styleId="xl48177">
    <w:name w:val="xl48177"/>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8"/>
      <w:szCs w:val="18"/>
    </w:rPr>
  </w:style>
  <w:style w:type="paragraph" w:customStyle="1" w:styleId="xl48178">
    <w:name w:val="xl48178"/>
    <w:basedOn w:val="Normal"/>
    <w:rsid w:val="00B56301"/>
    <w:pPr>
      <w:shd w:val="clear" w:color="000000" w:fill="7030A0"/>
      <w:spacing w:before="100" w:beforeAutospacing="1" w:after="100" w:afterAutospacing="1"/>
      <w:jc w:val="left"/>
    </w:pPr>
    <w:rPr>
      <w:rFonts w:ascii="Trebuchet MS" w:hAnsi="Trebuchet MS"/>
      <w:b/>
      <w:bCs/>
      <w:color w:val="FFFFFF"/>
      <w:szCs w:val="22"/>
    </w:rPr>
  </w:style>
  <w:style w:type="paragraph" w:customStyle="1" w:styleId="xl48179">
    <w:name w:val="xl48179"/>
    <w:basedOn w:val="Normal"/>
    <w:rsid w:val="00B56301"/>
    <w:pPr>
      <w:pBdr>
        <w:top w:val="single" w:sz="4" w:space="0" w:color="auto"/>
        <w:left w:val="single" w:sz="4" w:space="0" w:color="auto"/>
        <w:bottom w:val="single" w:sz="4" w:space="0" w:color="auto"/>
      </w:pBdr>
      <w:spacing w:before="100" w:beforeAutospacing="1" w:after="100" w:afterAutospacing="1"/>
      <w:jc w:val="left"/>
    </w:pPr>
    <w:rPr>
      <w:rFonts w:ascii="Trebuchet MS" w:hAnsi="Trebuchet MS"/>
      <w:sz w:val="16"/>
      <w:szCs w:val="16"/>
    </w:rPr>
  </w:style>
  <w:style w:type="paragraph" w:customStyle="1" w:styleId="xl48180">
    <w:name w:val="xl48180"/>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rebuchet MS" w:hAnsi="Trebuchet MS"/>
      <w:sz w:val="16"/>
      <w:szCs w:val="16"/>
    </w:rPr>
  </w:style>
  <w:style w:type="paragraph" w:customStyle="1" w:styleId="xl48181">
    <w:name w:val="xl48181"/>
    <w:basedOn w:val="Normal"/>
    <w:rsid w:val="00B56301"/>
    <w:pPr>
      <w:shd w:val="clear" w:color="000000" w:fill="00B050"/>
      <w:spacing w:before="100" w:beforeAutospacing="1" w:after="100" w:afterAutospacing="1"/>
      <w:jc w:val="left"/>
    </w:pPr>
    <w:rPr>
      <w:rFonts w:ascii="Trebuchet MS" w:hAnsi="Trebuchet MS"/>
      <w:b/>
      <w:bCs/>
      <w:color w:val="FFFFFF"/>
      <w:szCs w:val="22"/>
    </w:rPr>
  </w:style>
  <w:style w:type="paragraph" w:customStyle="1" w:styleId="xl48182">
    <w:name w:val="xl48182"/>
    <w:basedOn w:val="Normal"/>
    <w:rsid w:val="00B5630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Trebuchet MS" w:hAnsi="Trebuchet MS"/>
      <w:b/>
      <w:bCs/>
      <w:szCs w:val="22"/>
    </w:rPr>
  </w:style>
  <w:style w:type="paragraph" w:customStyle="1" w:styleId="xl48183">
    <w:name w:val="xl48183"/>
    <w:basedOn w:val="Normal"/>
    <w:rsid w:val="00B56301"/>
    <w:pPr>
      <w:pBdr>
        <w:top w:val="single" w:sz="4" w:space="0" w:color="auto"/>
        <w:bottom w:val="single" w:sz="4" w:space="0" w:color="auto"/>
        <w:right w:val="single" w:sz="4" w:space="0" w:color="auto"/>
      </w:pBdr>
      <w:shd w:val="clear" w:color="000000" w:fill="DDEBF7"/>
      <w:spacing w:before="100" w:beforeAutospacing="1" w:after="100" w:afterAutospacing="1"/>
      <w:jc w:val="left"/>
    </w:pPr>
    <w:rPr>
      <w:rFonts w:ascii="Trebuchet MS" w:hAnsi="Trebuchet MS"/>
      <w:b/>
      <w:bCs/>
      <w:szCs w:val="22"/>
    </w:rPr>
  </w:style>
  <w:style w:type="paragraph" w:customStyle="1" w:styleId="xl48184">
    <w:name w:val="xl48184"/>
    <w:basedOn w:val="Normal"/>
    <w:rsid w:val="00B5630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left"/>
    </w:pPr>
    <w:rPr>
      <w:rFonts w:ascii="Trebuchet MS" w:hAnsi="Trebuchet MS"/>
      <w:b/>
      <w:bCs/>
      <w:sz w:val="16"/>
      <w:szCs w:val="16"/>
    </w:rPr>
  </w:style>
  <w:style w:type="paragraph" w:customStyle="1" w:styleId="xl48185">
    <w:name w:val="xl48185"/>
    <w:basedOn w:val="Normal"/>
    <w:rsid w:val="00B56301"/>
    <w:pPr>
      <w:pBdr>
        <w:top w:val="single" w:sz="4" w:space="0" w:color="auto"/>
        <w:left w:val="single" w:sz="4" w:space="0" w:color="auto"/>
        <w:bottom w:val="single" w:sz="4" w:space="0" w:color="auto"/>
        <w:right w:val="single" w:sz="4" w:space="0" w:color="auto"/>
      </w:pBdr>
      <w:shd w:val="clear" w:color="000000" w:fill="B3A2C7"/>
      <w:spacing w:before="100" w:beforeAutospacing="1" w:after="100" w:afterAutospacing="1"/>
      <w:jc w:val="left"/>
    </w:pPr>
    <w:rPr>
      <w:rFonts w:ascii="Trebuchet MS" w:hAnsi="Trebuchet MS"/>
      <w:b/>
      <w:bCs/>
      <w:sz w:val="16"/>
      <w:szCs w:val="16"/>
    </w:rPr>
  </w:style>
  <w:style w:type="paragraph" w:customStyle="1" w:styleId="xl48186">
    <w:name w:val="xl48186"/>
    <w:basedOn w:val="Normal"/>
    <w:rsid w:val="00B56301"/>
    <w:pPr>
      <w:pBdr>
        <w:top w:val="single" w:sz="4" w:space="0" w:color="auto"/>
        <w:left w:val="single" w:sz="4" w:space="0" w:color="auto"/>
        <w:bottom w:val="single" w:sz="4" w:space="0" w:color="auto"/>
        <w:right w:val="single" w:sz="4" w:space="0" w:color="auto"/>
      </w:pBdr>
      <w:shd w:val="clear" w:color="000000" w:fill="E0E5B3"/>
      <w:spacing w:before="100" w:beforeAutospacing="1" w:after="100" w:afterAutospacing="1"/>
      <w:jc w:val="left"/>
    </w:pPr>
    <w:rPr>
      <w:rFonts w:ascii="Trebuchet MS" w:hAnsi="Trebuchet MS"/>
      <w:b/>
      <w:bCs/>
      <w:sz w:val="16"/>
      <w:szCs w:val="16"/>
    </w:rPr>
  </w:style>
  <w:style w:type="paragraph" w:customStyle="1" w:styleId="xl48187">
    <w:name w:val="xl48187"/>
    <w:basedOn w:val="Normal"/>
    <w:rsid w:val="00B5630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left"/>
    </w:pPr>
    <w:rPr>
      <w:rFonts w:ascii="Trebuchet MS" w:hAnsi="Trebuchet MS"/>
      <w:b/>
      <w:bCs/>
      <w:sz w:val="16"/>
      <w:szCs w:val="16"/>
    </w:rPr>
  </w:style>
  <w:style w:type="paragraph" w:customStyle="1" w:styleId="xl48188">
    <w:name w:val="xl48188"/>
    <w:basedOn w:val="Normal"/>
    <w:rsid w:val="00B56301"/>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left"/>
    </w:pPr>
    <w:rPr>
      <w:rFonts w:ascii="Trebuchet MS" w:hAnsi="Trebuchet MS"/>
      <w:b/>
      <w:bCs/>
      <w:color w:val="FFFFFF"/>
      <w:sz w:val="16"/>
      <w:szCs w:val="16"/>
    </w:rPr>
  </w:style>
  <w:style w:type="paragraph" w:customStyle="1" w:styleId="xl48189">
    <w:name w:val="xl48189"/>
    <w:basedOn w:val="Normal"/>
    <w:rsid w:val="00B56301"/>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left"/>
    </w:pPr>
    <w:rPr>
      <w:rFonts w:ascii="Trebuchet MS" w:hAnsi="Trebuchet MS"/>
      <w:b/>
      <w:bCs/>
      <w:color w:val="FFFFFF"/>
      <w:sz w:val="16"/>
      <w:szCs w:val="16"/>
    </w:rPr>
  </w:style>
  <w:style w:type="paragraph" w:customStyle="1" w:styleId="xl48190">
    <w:name w:val="xl48190"/>
    <w:basedOn w:val="Normal"/>
    <w:rsid w:val="00B5630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Trebuchet MS" w:hAnsi="Trebuchet MS"/>
      <w:b/>
      <w:bCs/>
      <w:sz w:val="16"/>
      <w:szCs w:val="16"/>
    </w:rPr>
  </w:style>
  <w:style w:type="paragraph" w:customStyle="1" w:styleId="xl48191">
    <w:name w:val="xl48191"/>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rebuchet MS" w:hAnsi="Trebuchet MS"/>
      <w:sz w:val="16"/>
      <w:szCs w:val="16"/>
    </w:rPr>
  </w:style>
  <w:style w:type="paragraph" w:customStyle="1" w:styleId="xl48192">
    <w:name w:val="xl48192"/>
    <w:basedOn w:val="Normal"/>
    <w:rsid w:val="00B56301"/>
    <w:pPr>
      <w:shd w:val="clear" w:color="000000" w:fill="FFFFFF"/>
      <w:spacing w:before="100" w:beforeAutospacing="1" w:after="100" w:afterAutospacing="1"/>
      <w:jc w:val="left"/>
    </w:pPr>
    <w:rPr>
      <w:rFonts w:ascii="Trebuchet MS" w:hAnsi="Trebuchet MS"/>
      <w:color w:val="000000"/>
      <w:szCs w:val="22"/>
    </w:rPr>
  </w:style>
  <w:style w:type="paragraph" w:customStyle="1" w:styleId="xl48193">
    <w:name w:val="xl48193"/>
    <w:basedOn w:val="Normal"/>
    <w:rsid w:val="00B56301"/>
    <w:pPr>
      <w:spacing w:before="100" w:beforeAutospacing="1" w:after="100" w:afterAutospacing="1"/>
      <w:jc w:val="left"/>
    </w:pPr>
    <w:rPr>
      <w:rFonts w:ascii="Trebuchet MS" w:hAnsi="Trebuchet MS"/>
      <w:sz w:val="24"/>
    </w:rPr>
  </w:style>
  <w:style w:type="paragraph" w:customStyle="1" w:styleId="xl48194">
    <w:name w:val="xl48194"/>
    <w:basedOn w:val="Normal"/>
    <w:rsid w:val="00B56301"/>
    <w:pPr>
      <w:shd w:val="clear" w:color="000000" w:fill="FF0000"/>
      <w:spacing w:before="100" w:beforeAutospacing="1" w:after="100" w:afterAutospacing="1"/>
      <w:jc w:val="left"/>
    </w:pPr>
    <w:rPr>
      <w:rFonts w:ascii="Trebuchet MS" w:hAnsi="Trebuchet MS"/>
      <w:color w:val="000000"/>
      <w:szCs w:val="22"/>
    </w:rPr>
  </w:style>
  <w:style w:type="paragraph" w:customStyle="1" w:styleId="xl48195">
    <w:name w:val="xl48195"/>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6"/>
      <w:szCs w:val="16"/>
    </w:rPr>
  </w:style>
  <w:style w:type="character" w:customStyle="1" w:styleId="markedcontent">
    <w:name w:val="markedcontent"/>
    <w:basedOn w:val="DefaultParagraphFont"/>
    <w:rsid w:val="00B56301"/>
  </w:style>
  <w:style w:type="character" w:customStyle="1" w:styleId="TextecourantCar">
    <w:name w:val="Texte courant Car"/>
    <w:basedOn w:val="CommentTextChar"/>
    <w:link w:val="Textecourant"/>
    <w:qFormat/>
    <w:rsid w:val="00ED2A5C"/>
    <w:rPr>
      <w:rFonts w:ascii="Marianne" w:eastAsia="Times New Roman" w:hAnsi="Marianne" w:cs="Times New Roman"/>
      <w:lang w:eastAsia="fr-FR"/>
    </w:rPr>
  </w:style>
  <w:style w:type="paragraph" w:customStyle="1" w:styleId="Textecourant">
    <w:name w:val="Texte courant"/>
    <w:basedOn w:val="CommentText"/>
    <w:link w:val="TextecourantCar"/>
    <w:qFormat/>
    <w:rsid w:val="00ED2A5C"/>
    <w:pPr>
      <w:spacing w:after="160"/>
    </w:pPr>
  </w:style>
  <w:style w:type="character" w:customStyle="1" w:styleId="field-content">
    <w:name w:val="field-content"/>
    <w:basedOn w:val="DefaultParagraphFont"/>
    <w:rsid w:val="00865D8C"/>
  </w:style>
  <w:style w:type="character" w:customStyle="1" w:styleId="Mentionnonrsolue1">
    <w:name w:val="Mention non résolue1"/>
    <w:basedOn w:val="DefaultParagraphFont"/>
    <w:uiPriority w:val="99"/>
    <w:semiHidden/>
    <w:unhideWhenUsed/>
    <w:rsid w:val="003645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19620">
      <w:bodyDiv w:val="1"/>
      <w:marLeft w:val="0"/>
      <w:marRight w:val="0"/>
      <w:marTop w:val="0"/>
      <w:marBottom w:val="0"/>
      <w:divBdr>
        <w:top w:val="none" w:sz="0" w:space="0" w:color="auto"/>
        <w:left w:val="none" w:sz="0" w:space="0" w:color="auto"/>
        <w:bottom w:val="none" w:sz="0" w:space="0" w:color="auto"/>
        <w:right w:val="none" w:sz="0" w:space="0" w:color="auto"/>
      </w:divBdr>
    </w:div>
    <w:div w:id="71318500">
      <w:bodyDiv w:val="1"/>
      <w:marLeft w:val="0"/>
      <w:marRight w:val="0"/>
      <w:marTop w:val="0"/>
      <w:marBottom w:val="0"/>
      <w:divBdr>
        <w:top w:val="none" w:sz="0" w:space="0" w:color="auto"/>
        <w:left w:val="none" w:sz="0" w:space="0" w:color="auto"/>
        <w:bottom w:val="none" w:sz="0" w:space="0" w:color="auto"/>
        <w:right w:val="none" w:sz="0" w:space="0" w:color="auto"/>
      </w:divBdr>
    </w:div>
    <w:div w:id="90509866">
      <w:bodyDiv w:val="1"/>
      <w:marLeft w:val="0"/>
      <w:marRight w:val="0"/>
      <w:marTop w:val="0"/>
      <w:marBottom w:val="0"/>
      <w:divBdr>
        <w:top w:val="none" w:sz="0" w:space="0" w:color="auto"/>
        <w:left w:val="none" w:sz="0" w:space="0" w:color="auto"/>
        <w:bottom w:val="none" w:sz="0" w:space="0" w:color="auto"/>
        <w:right w:val="none" w:sz="0" w:space="0" w:color="auto"/>
      </w:divBdr>
      <w:divsChild>
        <w:div w:id="942225335">
          <w:marLeft w:val="0"/>
          <w:marRight w:val="0"/>
          <w:marTop w:val="0"/>
          <w:marBottom w:val="0"/>
          <w:divBdr>
            <w:top w:val="none" w:sz="0" w:space="0" w:color="auto"/>
            <w:left w:val="none" w:sz="0" w:space="0" w:color="auto"/>
            <w:bottom w:val="none" w:sz="0" w:space="0" w:color="auto"/>
            <w:right w:val="none" w:sz="0" w:space="0" w:color="auto"/>
          </w:divBdr>
          <w:divsChild>
            <w:div w:id="1804545042">
              <w:marLeft w:val="0"/>
              <w:marRight w:val="0"/>
              <w:marTop w:val="0"/>
              <w:marBottom w:val="0"/>
              <w:divBdr>
                <w:top w:val="none" w:sz="0" w:space="0" w:color="auto"/>
                <w:left w:val="none" w:sz="0" w:space="0" w:color="auto"/>
                <w:bottom w:val="none" w:sz="0" w:space="0" w:color="auto"/>
                <w:right w:val="none" w:sz="0" w:space="0" w:color="auto"/>
              </w:divBdr>
              <w:divsChild>
                <w:div w:id="207246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2729">
      <w:bodyDiv w:val="1"/>
      <w:marLeft w:val="0"/>
      <w:marRight w:val="0"/>
      <w:marTop w:val="0"/>
      <w:marBottom w:val="0"/>
      <w:divBdr>
        <w:top w:val="none" w:sz="0" w:space="0" w:color="auto"/>
        <w:left w:val="none" w:sz="0" w:space="0" w:color="auto"/>
        <w:bottom w:val="none" w:sz="0" w:space="0" w:color="auto"/>
        <w:right w:val="none" w:sz="0" w:space="0" w:color="auto"/>
      </w:divBdr>
    </w:div>
    <w:div w:id="140734816">
      <w:bodyDiv w:val="1"/>
      <w:marLeft w:val="0"/>
      <w:marRight w:val="0"/>
      <w:marTop w:val="0"/>
      <w:marBottom w:val="0"/>
      <w:divBdr>
        <w:top w:val="none" w:sz="0" w:space="0" w:color="auto"/>
        <w:left w:val="none" w:sz="0" w:space="0" w:color="auto"/>
        <w:bottom w:val="none" w:sz="0" w:space="0" w:color="auto"/>
        <w:right w:val="none" w:sz="0" w:space="0" w:color="auto"/>
      </w:divBdr>
      <w:divsChild>
        <w:div w:id="498692387">
          <w:marLeft w:val="0"/>
          <w:marRight w:val="0"/>
          <w:marTop w:val="0"/>
          <w:marBottom w:val="0"/>
          <w:divBdr>
            <w:top w:val="none" w:sz="0" w:space="0" w:color="auto"/>
            <w:left w:val="none" w:sz="0" w:space="0" w:color="auto"/>
            <w:bottom w:val="none" w:sz="0" w:space="0" w:color="auto"/>
            <w:right w:val="none" w:sz="0" w:space="0" w:color="auto"/>
          </w:divBdr>
          <w:divsChild>
            <w:div w:id="2131244820">
              <w:marLeft w:val="0"/>
              <w:marRight w:val="0"/>
              <w:marTop w:val="0"/>
              <w:marBottom w:val="0"/>
              <w:divBdr>
                <w:top w:val="none" w:sz="0" w:space="0" w:color="auto"/>
                <w:left w:val="none" w:sz="0" w:space="0" w:color="auto"/>
                <w:bottom w:val="none" w:sz="0" w:space="0" w:color="auto"/>
                <w:right w:val="none" w:sz="0" w:space="0" w:color="auto"/>
              </w:divBdr>
              <w:divsChild>
                <w:div w:id="107173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40671">
      <w:bodyDiv w:val="1"/>
      <w:marLeft w:val="0"/>
      <w:marRight w:val="0"/>
      <w:marTop w:val="0"/>
      <w:marBottom w:val="0"/>
      <w:divBdr>
        <w:top w:val="none" w:sz="0" w:space="0" w:color="auto"/>
        <w:left w:val="none" w:sz="0" w:space="0" w:color="auto"/>
        <w:bottom w:val="none" w:sz="0" w:space="0" w:color="auto"/>
        <w:right w:val="none" w:sz="0" w:space="0" w:color="auto"/>
      </w:divBdr>
      <w:divsChild>
        <w:div w:id="1765690337">
          <w:marLeft w:val="0"/>
          <w:marRight w:val="0"/>
          <w:marTop w:val="0"/>
          <w:marBottom w:val="0"/>
          <w:divBdr>
            <w:top w:val="none" w:sz="0" w:space="0" w:color="auto"/>
            <w:left w:val="none" w:sz="0" w:space="0" w:color="auto"/>
            <w:bottom w:val="none" w:sz="0" w:space="0" w:color="auto"/>
            <w:right w:val="none" w:sz="0" w:space="0" w:color="auto"/>
          </w:divBdr>
          <w:divsChild>
            <w:div w:id="1842044550">
              <w:marLeft w:val="0"/>
              <w:marRight w:val="0"/>
              <w:marTop w:val="0"/>
              <w:marBottom w:val="0"/>
              <w:divBdr>
                <w:top w:val="none" w:sz="0" w:space="0" w:color="auto"/>
                <w:left w:val="none" w:sz="0" w:space="0" w:color="auto"/>
                <w:bottom w:val="none" w:sz="0" w:space="0" w:color="auto"/>
                <w:right w:val="none" w:sz="0" w:space="0" w:color="auto"/>
              </w:divBdr>
              <w:divsChild>
                <w:div w:id="78141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037634">
      <w:bodyDiv w:val="1"/>
      <w:marLeft w:val="0"/>
      <w:marRight w:val="0"/>
      <w:marTop w:val="0"/>
      <w:marBottom w:val="0"/>
      <w:divBdr>
        <w:top w:val="none" w:sz="0" w:space="0" w:color="auto"/>
        <w:left w:val="none" w:sz="0" w:space="0" w:color="auto"/>
        <w:bottom w:val="none" w:sz="0" w:space="0" w:color="auto"/>
        <w:right w:val="none" w:sz="0" w:space="0" w:color="auto"/>
      </w:divBdr>
    </w:div>
    <w:div w:id="233584405">
      <w:bodyDiv w:val="1"/>
      <w:marLeft w:val="0"/>
      <w:marRight w:val="0"/>
      <w:marTop w:val="0"/>
      <w:marBottom w:val="0"/>
      <w:divBdr>
        <w:top w:val="none" w:sz="0" w:space="0" w:color="auto"/>
        <w:left w:val="none" w:sz="0" w:space="0" w:color="auto"/>
        <w:bottom w:val="none" w:sz="0" w:space="0" w:color="auto"/>
        <w:right w:val="none" w:sz="0" w:space="0" w:color="auto"/>
      </w:divBdr>
    </w:div>
    <w:div w:id="272710805">
      <w:bodyDiv w:val="1"/>
      <w:marLeft w:val="0"/>
      <w:marRight w:val="0"/>
      <w:marTop w:val="0"/>
      <w:marBottom w:val="0"/>
      <w:divBdr>
        <w:top w:val="none" w:sz="0" w:space="0" w:color="auto"/>
        <w:left w:val="none" w:sz="0" w:space="0" w:color="auto"/>
        <w:bottom w:val="none" w:sz="0" w:space="0" w:color="auto"/>
        <w:right w:val="none" w:sz="0" w:space="0" w:color="auto"/>
      </w:divBdr>
      <w:divsChild>
        <w:div w:id="1050501354">
          <w:marLeft w:val="0"/>
          <w:marRight w:val="0"/>
          <w:marTop w:val="0"/>
          <w:marBottom w:val="0"/>
          <w:divBdr>
            <w:top w:val="none" w:sz="0" w:space="0" w:color="auto"/>
            <w:left w:val="none" w:sz="0" w:space="0" w:color="auto"/>
            <w:bottom w:val="none" w:sz="0" w:space="0" w:color="auto"/>
            <w:right w:val="none" w:sz="0" w:space="0" w:color="auto"/>
          </w:divBdr>
          <w:divsChild>
            <w:div w:id="460152370">
              <w:marLeft w:val="0"/>
              <w:marRight w:val="0"/>
              <w:marTop w:val="0"/>
              <w:marBottom w:val="0"/>
              <w:divBdr>
                <w:top w:val="none" w:sz="0" w:space="0" w:color="auto"/>
                <w:left w:val="none" w:sz="0" w:space="0" w:color="auto"/>
                <w:bottom w:val="none" w:sz="0" w:space="0" w:color="auto"/>
                <w:right w:val="none" w:sz="0" w:space="0" w:color="auto"/>
              </w:divBdr>
              <w:divsChild>
                <w:div w:id="205142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123287">
      <w:bodyDiv w:val="1"/>
      <w:marLeft w:val="0"/>
      <w:marRight w:val="0"/>
      <w:marTop w:val="0"/>
      <w:marBottom w:val="0"/>
      <w:divBdr>
        <w:top w:val="none" w:sz="0" w:space="0" w:color="auto"/>
        <w:left w:val="none" w:sz="0" w:space="0" w:color="auto"/>
        <w:bottom w:val="none" w:sz="0" w:space="0" w:color="auto"/>
        <w:right w:val="none" w:sz="0" w:space="0" w:color="auto"/>
      </w:divBdr>
    </w:div>
    <w:div w:id="284696209">
      <w:bodyDiv w:val="1"/>
      <w:marLeft w:val="0"/>
      <w:marRight w:val="0"/>
      <w:marTop w:val="0"/>
      <w:marBottom w:val="0"/>
      <w:divBdr>
        <w:top w:val="none" w:sz="0" w:space="0" w:color="auto"/>
        <w:left w:val="none" w:sz="0" w:space="0" w:color="auto"/>
        <w:bottom w:val="none" w:sz="0" w:space="0" w:color="auto"/>
        <w:right w:val="none" w:sz="0" w:space="0" w:color="auto"/>
      </w:divBdr>
    </w:div>
    <w:div w:id="288635491">
      <w:bodyDiv w:val="1"/>
      <w:marLeft w:val="0"/>
      <w:marRight w:val="0"/>
      <w:marTop w:val="0"/>
      <w:marBottom w:val="0"/>
      <w:divBdr>
        <w:top w:val="none" w:sz="0" w:space="0" w:color="auto"/>
        <w:left w:val="none" w:sz="0" w:space="0" w:color="auto"/>
        <w:bottom w:val="none" w:sz="0" w:space="0" w:color="auto"/>
        <w:right w:val="none" w:sz="0" w:space="0" w:color="auto"/>
      </w:divBdr>
    </w:div>
    <w:div w:id="290793782">
      <w:bodyDiv w:val="1"/>
      <w:marLeft w:val="0"/>
      <w:marRight w:val="0"/>
      <w:marTop w:val="0"/>
      <w:marBottom w:val="0"/>
      <w:divBdr>
        <w:top w:val="none" w:sz="0" w:space="0" w:color="auto"/>
        <w:left w:val="none" w:sz="0" w:space="0" w:color="auto"/>
        <w:bottom w:val="none" w:sz="0" w:space="0" w:color="auto"/>
        <w:right w:val="none" w:sz="0" w:space="0" w:color="auto"/>
      </w:divBdr>
      <w:divsChild>
        <w:div w:id="322050250">
          <w:marLeft w:val="0"/>
          <w:marRight w:val="0"/>
          <w:marTop w:val="0"/>
          <w:marBottom w:val="0"/>
          <w:divBdr>
            <w:top w:val="none" w:sz="0" w:space="0" w:color="auto"/>
            <w:left w:val="none" w:sz="0" w:space="0" w:color="auto"/>
            <w:bottom w:val="none" w:sz="0" w:space="0" w:color="auto"/>
            <w:right w:val="none" w:sz="0" w:space="0" w:color="auto"/>
          </w:divBdr>
          <w:divsChild>
            <w:div w:id="1551065052">
              <w:marLeft w:val="0"/>
              <w:marRight w:val="0"/>
              <w:marTop w:val="0"/>
              <w:marBottom w:val="0"/>
              <w:divBdr>
                <w:top w:val="none" w:sz="0" w:space="0" w:color="auto"/>
                <w:left w:val="none" w:sz="0" w:space="0" w:color="auto"/>
                <w:bottom w:val="none" w:sz="0" w:space="0" w:color="auto"/>
                <w:right w:val="none" w:sz="0" w:space="0" w:color="auto"/>
              </w:divBdr>
              <w:divsChild>
                <w:div w:id="144553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920957">
      <w:bodyDiv w:val="1"/>
      <w:marLeft w:val="0"/>
      <w:marRight w:val="0"/>
      <w:marTop w:val="0"/>
      <w:marBottom w:val="0"/>
      <w:divBdr>
        <w:top w:val="none" w:sz="0" w:space="0" w:color="auto"/>
        <w:left w:val="none" w:sz="0" w:space="0" w:color="auto"/>
        <w:bottom w:val="none" w:sz="0" w:space="0" w:color="auto"/>
        <w:right w:val="none" w:sz="0" w:space="0" w:color="auto"/>
      </w:divBdr>
      <w:divsChild>
        <w:div w:id="1752895833">
          <w:marLeft w:val="0"/>
          <w:marRight w:val="0"/>
          <w:marTop w:val="0"/>
          <w:marBottom w:val="0"/>
          <w:divBdr>
            <w:top w:val="none" w:sz="0" w:space="0" w:color="auto"/>
            <w:left w:val="none" w:sz="0" w:space="0" w:color="auto"/>
            <w:bottom w:val="none" w:sz="0" w:space="0" w:color="auto"/>
            <w:right w:val="none" w:sz="0" w:space="0" w:color="auto"/>
          </w:divBdr>
          <w:divsChild>
            <w:div w:id="1568956866">
              <w:marLeft w:val="0"/>
              <w:marRight w:val="0"/>
              <w:marTop w:val="0"/>
              <w:marBottom w:val="0"/>
              <w:divBdr>
                <w:top w:val="none" w:sz="0" w:space="0" w:color="auto"/>
                <w:left w:val="none" w:sz="0" w:space="0" w:color="auto"/>
                <w:bottom w:val="none" w:sz="0" w:space="0" w:color="auto"/>
                <w:right w:val="none" w:sz="0" w:space="0" w:color="auto"/>
              </w:divBdr>
              <w:divsChild>
                <w:div w:id="74252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336170">
      <w:bodyDiv w:val="1"/>
      <w:marLeft w:val="0"/>
      <w:marRight w:val="0"/>
      <w:marTop w:val="0"/>
      <w:marBottom w:val="0"/>
      <w:divBdr>
        <w:top w:val="none" w:sz="0" w:space="0" w:color="auto"/>
        <w:left w:val="none" w:sz="0" w:space="0" w:color="auto"/>
        <w:bottom w:val="none" w:sz="0" w:space="0" w:color="auto"/>
        <w:right w:val="none" w:sz="0" w:space="0" w:color="auto"/>
      </w:divBdr>
      <w:divsChild>
        <w:div w:id="1642423505">
          <w:marLeft w:val="0"/>
          <w:marRight w:val="0"/>
          <w:marTop w:val="0"/>
          <w:marBottom w:val="0"/>
          <w:divBdr>
            <w:top w:val="none" w:sz="0" w:space="0" w:color="auto"/>
            <w:left w:val="none" w:sz="0" w:space="0" w:color="auto"/>
            <w:bottom w:val="none" w:sz="0" w:space="0" w:color="auto"/>
            <w:right w:val="none" w:sz="0" w:space="0" w:color="auto"/>
          </w:divBdr>
          <w:divsChild>
            <w:div w:id="636301224">
              <w:marLeft w:val="0"/>
              <w:marRight w:val="0"/>
              <w:marTop w:val="0"/>
              <w:marBottom w:val="0"/>
              <w:divBdr>
                <w:top w:val="none" w:sz="0" w:space="0" w:color="auto"/>
                <w:left w:val="none" w:sz="0" w:space="0" w:color="auto"/>
                <w:bottom w:val="none" w:sz="0" w:space="0" w:color="auto"/>
                <w:right w:val="none" w:sz="0" w:space="0" w:color="auto"/>
              </w:divBdr>
              <w:divsChild>
                <w:div w:id="1855076113">
                  <w:marLeft w:val="0"/>
                  <w:marRight w:val="0"/>
                  <w:marTop w:val="0"/>
                  <w:marBottom w:val="0"/>
                  <w:divBdr>
                    <w:top w:val="none" w:sz="0" w:space="0" w:color="auto"/>
                    <w:left w:val="none" w:sz="0" w:space="0" w:color="auto"/>
                    <w:bottom w:val="none" w:sz="0" w:space="0" w:color="auto"/>
                    <w:right w:val="none" w:sz="0" w:space="0" w:color="auto"/>
                  </w:divBdr>
                </w:div>
              </w:divsChild>
            </w:div>
            <w:div w:id="988511300">
              <w:marLeft w:val="0"/>
              <w:marRight w:val="0"/>
              <w:marTop w:val="0"/>
              <w:marBottom w:val="0"/>
              <w:divBdr>
                <w:top w:val="none" w:sz="0" w:space="0" w:color="auto"/>
                <w:left w:val="none" w:sz="0" w:space="0" w:color="auto"/>
                <w:bottom w:val="none" w:sz="0" w:space="0" w:color="auto"/>
                <w:right w:val="none" w:sz="0" w:space="0" w:color="auto"/>
              </w:divBdr>
              <w:divsChild>
                <w:div w:id="9818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851750">
          <w:marLeft w:val="0"/>
          <w:marRight w:val="0"/>
          <w:marTop w:val="0"/>
          <w:marBottom w:val="0"/>
          <w:divBdr>
            <w:top w:val="none" w:sz="0" w:space="0" w:color="auto"/>
            <w:left w:val="none" w:sz="0" w:space="0" w:color="auto"/>
            <w:bottom w:val="none" w:sz="0" w:space="0" w:color="auto"/>
            <w:right w:val="none" w:sz="0" w:space="0" w:color="auto"/>
          </w:divBdr>
          <w:divsChild>
            <w:div w:id="61098736">
              <w:marLeft w:val="0"/>
              <w:marRight w:val="0"/>
              <w:marTop w:val="0"/>
              <w:marBottom w:val="0"/>
              <w:divBdr>
                <w:top w:val="none" w:sz="0" w:space="0" w:color="auto"/>
                <w:left w:val="none" w:sz="0" w:space="0" w:color="auto"/>
                <w:bottom w:val="none" w:sz="0" w:space="0" w:color="auto"/>
                <w:right w:val="none" w:sz="0" w:space="0" w:color="auto"/>
              </w:divBdr>
              <w:divsChild>
                <w:div w:id="1120150607">
                  <w:marLeft w:val="0"/>
                  <w:marRight w:val="0"/>
                  <w:marTop w:val="0"/>
                  <w:marBottom w:val="0"/>
                  <w:divBdr>
                    <w:top w:val="none" w:sz="0" w:space="0" w:color="auto"/>
                    <w:left w:val="none" w:sz="0" w:space="0" w:color="auto"/>
                    <w:bottom w:val="none" w:sz="0" w:space="0" w:color="auto"/>
                    <w:right w:val="none" w:sz="0" w:space="0" w:color="auto"/>
                  </w:divBdr>
                </w:div>
              </w:divsChild>
            </w:div>
            <w:div w:id="1751611643">
              <w:marLeft w:val="0"/>
              <w:marRight w:val="0"/>
              <w:marTop w:val="0"/>
              <w:marBottom w:val="0"/>
              <w:divBdr>
                <w:top w:val="none" w:sz="0" w:space="0" w:color="auto"/>
                <w:left w:val="none" w:sz="0" w:space="0" w:color="auto"/>
                <w:bottom w:val="none" w:sz="0" w:space="0" w:color="auto"/>
                <w:right w:val="none" w:sz="0" w:space="0" w:color="auto"/>
              </w:divBdr>
              <w:divsChild>
                <w:div w:id="205403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013367">
      <w:bodyDiv w:val="1"/>
      <w:marLeft w:val="0"/>
      <w:marRight w:val="0"/>
      <w:marTop w:val="0"/>
      <w:marBottom w:val="0"/>
      <w:divBdr>
        <w:top w:val="none" w:sz="0" w:space="0" w:color="auto"/>
        <w:left w:val="none" w:sz="0" w:space="0" w:color="auto"/>
        <w:bottom w:val="none" w:sz="0" w:space="0" w:color="auto"/>
        <w:right w:val="none" w:sz="0" w:space="0" w:color="auto"/>
      </w:divBdr>
    </w:div>
    <w:div w:id="326640684">
      <w:bodyDiv w:val="1"/>
      <w:marLeft w:val="0"/>
      <w:marRight w:val="0"/>
      <w:marTop w:val="0"/>
      <w:marBottom w:val="0"/>
      <w:divBdr>
        <w:top w:val="none" w:sz="0" w:space="0" w:color="auto"/>
        <w:left w:val="none" w:sz="0" w:space="0" w:color="auto"/>
        <w:bottom w:val="none" w:sz="0" w:space="0" w:color="auto"/>
        <w:right w:val="none" w:sz="0" w:space="0" w:color="auto"/>
      </w:divBdr>
    </w:div>
    <w:div w:id="354117505">
      <w:bodyDiv w:val="1"/>
      <w:marLeft w:val="0"/>
      <w:marRight w:val="0"/>
      <w:marTop w:val="0"/>
      <w:marBottom w:val="0"/>
      <w:divBdr>
        <w:top w:val="none" w:sz="0" w:space="0" w:color="auto"/>
        <w:left w:val="none" w:sz="0" w:space="0" w:color="auto"/>
        <w:bottom w:val="none" w:sz="0" w:space="0" w:color="auto"/>
        <w:right w:val="none" w:sz="0" w:space="0" w:color="auto"/>
      </w:divBdr>
      <w:divsChild>
        <w:div w:id="403072248">
          <w:marLeft w:val="0"/>
          <w:marRight w:val="0"/>
          <w:marTop w:val="0"/>
          <w:marBottom w:val="0"/>
          <w:divBdr>
            <w:top w:val="none" w:sz="0" w:space="0" w:color="auto"/>
            <w:left w:val="none" w:sz="0" w:space="0" w:color="auto"/>
            <w:bottom w:val="none" w:sz="0" w:space="0" w:color="auto"/>
            <w:right w:val="none" w:sz="0" w:space="0" w:color="auto"/>
          </w:divBdr>
          <w:divsChild>
            <w:div w:id="1242566024">
              <w:marLeft w:val="0"/>
              <w:marRight w:val="0"/>
              <w:marTop w:val="0"/>
              <w:marBottom w:val="0"/>
              <w:divBdr>
                <w:top w:val="none" w:sz="0" w:space="0" w:color="auto"/>
                <w:left w:val="none" w:sz="0" w:space="0" w:color="auto"/>
                <w:bottom w:val="none" w:sz="0" w:space="0" w:color="auto"/>
                <w:right w:val="none" w:sz="0" w:space="0" w:color="auto"/>
              </w:divBdr>
              <w:divsChild>
                <w:div w:id="98069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896713">
          <w:marLeft w:val="0"/>
          <w:marRight w:val="0"/>
          <w:marTop w:val="0"/>
          <w:marBottom w:val="0"/>
          <w:divBdr>
            <w:top w:val="none" w:sz="0" w:space="0" w:color="auto"/>
            <w:left w:val="none" w:sz="0" w:space="0" w:color="auto"/>
            <w:bottom w:val="none" w:sz="0" w:space="0" w:color="auto"/>
            <w:right w:val="none" w:sz="0" w:space="0" w:color="auto"/>
          </w:divBdr>
          <w:divsChild>
            <w:div w:id="637151426">
              <w:marLeft w:val="0"/>
              <w:marRight w:val="0"/>
              <w:marTop w:val="0"/>
              <w:marBottom w:val="0"/>
              <w:divBdr>
                <w:top w:val="none" w:sz="0" w:space="0" w:color="auto"/>
                <w:left w:val="none" w:sz="0" w:space="0" w:color="auto"/>
                <w:bottom w:val="none" w:sz="0" w:space="0" w:color="auto"/>
                <w:right w:val="none" w:sz="0" w:space="0" w:color="auto"/>
              </w:divBdr>
              <w:divsChild>
                <w:div w:id="238708734">
                  <w:marLeft w:val="0"/>
                  <w:marRight w:val="0"/>
                  <w:marTop w:val="0"/>
                  <w:marBottom w:val="0"/>
                  <w:divBdr>
                    <w:top w:val="none" w:sz="0" w:space="0" w:color="auto"/>
                    <w:left w:val="none" w:sz="0" w:space="0" w:color="auto"/>
                    <w:bottom w:val="none" w:sz="0" w:space="0" w:color="auto"/>
                    <w:right w:val="none" w:sz="0" w:space="0" w:color="auto"/>
                  </w:divBdr>
                </w:div>
              </w:divsChild>
            </w:div>
            <w:div w:id="1194994938">
              <w:marLeft w:val="0"/>
              <w:marRight w:val="0"/>
              <w:marTop w:val="0"/>
              <w:marBottom w:val="0"/>
              <w:divBdr>
                <w:top w:val="none" w:sz="0" w:space="0" w:color="auto"/>
                <w:left w:val="none" w:sz="0" w:space="0" w:color="auto"/>
                <w:bottom w:val="none" w:sz="0" w:space="0" w:color="auto"/>
                <w:right w:val="none" w:sz="0" w:space="0" w:color="auto"/>
              </w:divBdr>
              <w:divsChild>
                <w:div w:id="29795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307766">
      <w:bodyDiv w:val="1"/>
      <w:marLeft w:val="0"/>
      <w:marRight w:val="0"/>
      <w:marTop w:val="0"/>
      <w:marBottom w:val="0"/>
      <w:divBdr>
        <w:top w:val="none" w:sz="0" w:space="0" w:color="auto"/>
        <w:left w:val="none" w:sz="0" w:space="0" w:color="auto"/>
        <w:bottom w:val="none" w:sz="0" w:space="0" w:color="auto"/>
        <w:right w:val="none" w:sz="0" w:space="0" w:color="auto"/>
      </w:divBdr>
      <w:divsChild>
        <w:div w:id="1809273745">
          <w:marLeft w:val="0"/>
          <w:marRight w:val="0"/>
          <w:marTop w:val="0"/>
          <w:marBottom w:val="0"/>
          <w:divBdr>
            <w:top w:val="none" w:sz="0" w:space="0" w:color="auto"/>
            <w:left w:val="none" w:sz="0" w:space="0" w:color="auto"/>
            <w:bottom w:val="none" w:sz="0" w:space="0" w:color="auto"/>
            <w:right w:val="none" w:sz="0" w:space="0" w:color="auto"/>
          </w:divBdr>
          <w:divsChild>
            <w:div w:id="18943947">
              <w:marLeft w:val="0"/>
              <w:marRight w:val="0"/>
              <w:marTop w:val="0"/>
              <w:marBottom w:val="0"/>
              <w:divBdr>
                <w:top w:val="none" w:sz="0" w:space="0" w:color="auto"/>
                <w:left w:val="none" w:sz="0" w:space="0" w:color="auto"/>
                <w:bottom w:val="none" w:sz="0" w:space="0" w:color="auto"/>
                <w:right w:val="none" w:sz="0" w:space="0" w:color="auto"/>
              </w:divBdr>
              <w:divsChild>
                <w:div w:id="178692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530173">
          <w:marLeft w:val="0"/>
          <w:marRight w:val="0"/>
          <w:marTop w:val="0"/>
          <w:marBottom w:val="0"/>
          <w:divBdr>
            <w:top w:val="none" w:sz="0" w:space="0" w:color="auto"/>
            <w:left w:val="none" w:sz="0" w:space="0" w:color="auto"/>
            <w:bottom w:val="none" w:sz="0" w:space="0" w:color="auto"/>
            <w:right w:val="none" w:sz="0" w:space="0" w:color="auto"/>
          </w:divBdr>
          <w:divsChild>
            <w:div w:id="431050727">
              <w:marLeft w:val="0"/>
              <w:marRight w:val="0"/>
              <w:marTop w:val="0"/>
              <w:marBottom w:val="0"/>
              <w:divBdr>
                <w:top w:val="none" w:sz="0" w:space="0" w:color="auto"/>
                <w:left w:val="none" w:sz="0" w:space="0" w:color="auto"/>
                <w:bottom w:val="none" w:sz="0" w:space="0" w:color="auto"/>
                <w:right w:val="none" w:sz="0" w:space="0" w:color="auto"/>
              </w:divBdr>
              <w:divsChild>
                <w:div w:id="1104418688">
                  <w:marLeft w:val="0"/>
                  <w:marRight w:val="0"/>
                  <w:marTop w:val="0"/>
                  <w:marBottom w:val="0"/>
                  <w:divBdr>
                    <w:top w:val="none" w:sz="0" w:space="0" w:color="auto"/>
                    <w:left w:val="none" w:sz="0" w:space="0" w:color="auto"/>
                    <w:bottom w:val="none" w:sz="0" w:space="0" w:color="auto"/>
                    <w:right w:val="none" w:sz="0" w:space="0" w:color="auto"/>
                  </w:divBdr>
                </w:div>
              </w:divsChild>
            </w:div>
            <w:div w:id="1904024142">
              <w:marLeft w:val="0"/>
              <w:marRight w:val="0"/>
              <w:marTop w:val="0"/>
              <w:marBottom w:val="0"/>
              <w:divBdr>
                <w:top w:val="none" w:sz="0" w:space="0" w:color="auto"/>
                <w:left w:val="none" w:sz="0" w:space="0" w:color="auto"/>
                <w:bottom w:val="none" w:sz="0" w:space="0" w:color="auto"/>
                <w:right w:val="none" w:sz="0" w:space="0" w:color="auto"/>
              </w:divBdr>
              <w:divsChild>
                <w:div w:id="597368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467188">
      <w:bodyDiv w:val="1"/>
      <w:marLeft w:val="0"/>
      <w:marRight w:val="0"/>
      <w:marTop w:val="0"/>
      <w:marBottom w:val="0"/>
      <w:divBdr>
        <w:top w:val="none" w:sz="0" w:space="0" w:color="auto"/>
        <w:left w:val="none" w:sz="0" w:space="0" w:color="auto"/>
        <w:bottom w:val="none" w:sz="0" w:space="0" w:color="auto"/>
        <w:right w:val="none" w:sz="0" w:space="0" w:color="auto"/>
      </w:divBdr>
      <w:divsChild>
        <w:div w:id="514152528">
          <w:marLeft w:val="0"/>
          <w:marRight w:val="0"/>
          <w:marTop w:val="0"/>
          <w:marBottom w:val="0"/>
          <w:divBdr>
            <w:top w:val="none" w:sz="0" w:space="0" w:color="auto"/>
            <w:left w:val="none" w:sz="0" w:space="0" w:color="auto"/>
            <w:bottom w:val="none" w:sz="0" w:space="0" w:color="auto"/>
            <w:right w:val="none" w:sz="0" w:space="0" w:color="auto"/>
          </w:divBdr>
          <w:divsChild>
            <w:div w:id="709302651">
              <w:marLeft w:val="0"/>
              <w:marRight w:val="0"/>
              <w:marTop w:val="0"/>
              <w:marBottom w:val="0"/>
              <w:divBdr>
                <w:top w:val="none" w:sz="0" w:space="0" w:color="auto"/>
                <w:left w:val="none" w:sz="0" w:space="0" w:color="auto"/>
                <w:bottom w:val="none" w:sz="0" w:space="0" w:color="auto"/>
                <w:right w:val="none" w:sz="0" w:space="0" w:color="auto"/>
              </w:divBdr>
              <w:divsChild>
                <w:div w:id="241641539">
                  <w:marLeft w:val="0"/>
                  <w:marRight w:val="0"/>
                  <w:marTop w:val="0"/>
                  <w:marBottom w:val="0"/>
                  <w:divBdr>
                    <w:top w:val="none" w:sz="0" w:space="0" w:color="auto"/>
                    <w:left w:val="none" w:sz="0" w:space="0" w:color="auto"/>
                    <w:bottom w:val="none" w:sz="0" w:space="0" w:color="auto"/>
                    <w:right w:val="none" w:sz="0" w:space="0" w:color="auto"/>
                  </w:divBdr>
                </w:div>
              </w:divsChild>
            </w:div>
            <w:div w:id="1217471611">
              <w:marLeft w:val="0"/>
              <w:marRight w:val="0"/>
              <w:marTop w:val="0"/>
              <w:marBottom w:val="0"/>
              <w:divBdr>
                <w:top w:val="none" w:sz="0" w:space="0" w:color="auto"/>
                <w:left w:val="none" w:sz="0" w:space="0" w:color="auto"/>
                <w:bottom w:val="none" w:sz="0" w:space="0" w:color="auto"/>
                <w:right w:val="none" w:sz="0" w:space="0" w:color="auto"/>
              </w:divBdr>
              <w:divsChild>
                <w:div w:id="42542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929003">
          <w:marLeft w:val="0"/>
          <w:marRight w:val="0"/>
          <w:marTop w:val="0"/>
          <w:marBottom w:val="0"/>
          <w:divBdr>
            <w:top w:val="none" w:sz="0" w:space="0" w:color="auto"/>
            <w:left w:val="none" w:sz="0" w:space="0" w:color="auto"/>
            <w:bottom w:val="none" w:sz="0" w:space="0" w:color="auto"/>
            <w:right w:val="none" w:sz="0" w:space="0" w:color="auto"/>
          </w:divBdr>
          <w:divsChild>
            <w:div w:id="1234781401">
              <w:marLeft w:val="0"/>
              <w:marRight w:val="0"/>
              <w:marTop w:val="0"/>
              <w:marBottom w:val="0"/>
              <w:divBdr>
                <w:top w:val="none" w:sz="0" w:space="0" w:color="auto"/>
                <w:left w:val="none" w:sz="0" w:space="0" w:color="auto"/>
                <w:bottom w:val="none" w:sz="0" w:space="0" w:color="auto"/>
                <w:right w:val="none" w:sz="0" w:space="0" w:color="auto"/>
              </w:divBdr>
              <w:divsChild>
                <w:div w:id="66710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95682">
      <w:bodyDiv w:val="1"/>
      <w:marLeft w:val="0"/>
      <w:marRight w:val="0"/>
      <w:marTop w:val="0"/>
      <w:marBottom w:val="0"/>
      <w:divBdr>
        <w:top w:val="none" w:sz="0" w:space="0" w:color="auto"/>
        <w:left w:val="none" w:sz="0" w:space="0" w:color="auto"/>
        <w:bottom w:val="none" w:sz="0" w:space="0" w:color="auto"/>
        <w:right w:val="none" w:sz="0" w:space="0" w:color="auto"/>
      </w:divBdr>
    </w:div>
    <w:div w:id="422186932">
      <w:bodyDiv w:val="1"/>
      <w:marLeft w:val="0"/>
      <w:marRight w:val="0"/>
      <w:marTop w:val="0"/>
      <w:marBottom w:val="0"/>
      <w:divBdr>
        <w:top w:val="none" w:sz="0" w:space="0" w:color="auto"/>
        <w:left w:val="none" w:sz="0" w:space="0" w:color="auto"/>
        <w:bottom w:val="none" w:sz="0" w:space="0" w:color="auto"/>
        <w:right w:val="none" w:sz="0" w:space="0" w:color="auto"/>
      </w:divBdr>
    </w:div>
    <w:div w:id="445735646">
      <w:bodyDiv w:val="1"/>
      <w:marLeft w:val="0"/>
      <w:marRight w:val="0"/>
      <w:marTop w:val="0"/>
      <w:marBottom w:val="0"/>
      <w:divBdr>
        <w:top w:val="none" w:sz="0" w:space="0" w:color="auto"/>
        <w:left w:val="none" w:sz="0" w:space="0" w:color="auto"/>
        <w:bottom w:val="none" w:sz="0" w:space="0" w:color="auto"/>
        <w:right w:val="none" w:sz="0" w:space="0" w:color="auto"/>
      </w:divBdr>
      <w:divsChild>
        <w:div w:id="673415041">
          <w:marLeft w:val="0"/>
          <w:marRight w:val="0"/>
          <w:marTop w:val="0"/>
          <w:marBottom w:val="0"/>
          <w:divBdr>
            <w:top w:val="none" w:sz="0" w:space="0" w:color="auto"/>
            <w:left w:val="none" w:sz="0" w:space="0" w:color="auto"/>
            <w:bottom w:val="none" w:sz="0" w:space="0" w:color="auto"/>
            <w:right w:val="none" w:sz="0" w:space="0" w:color="auto"/>
          </w:divBdr>
          <w:divsChild>
            <w:div w:id="633364081">
              <w:marLeft w:val="0"/>
              <w:marRight w:val="0"/>
              <w:marTop w:val="0"/>
              <w:marBottom w:val="0"/>
              <w:divBdr>
                <w:top w:val="none" w:sz="0" w:space="0" w:color="auto"/>
                <w:left w:val="none" w:sz="0" w:space="0" w:color="auto"/>
                <w:bottom w:val="none" w:sz="0" w:space="0" w:color="auto"/>
                <w:right w:val="none" w:sz="0" w:space="0" w:color="auto"/>
              </w:divBdr>
              <w:divsChild>
                <w:div w:id="1921980489">
                  <w:marLeft w:val="0"/>
                  <w:marRight w:val="0"/>
                  <w:marTop w:val="0"/>
                  <w:marBottom w:val="0"/>
                  <w:divBdr>
                    <w:top w:val="none" w:sz="0" w:space="0" w:color="auto"/>
                    <w:left w:val="none" w:sz="0" w:space="0" w:color="auto"/>
                    <w:bottom w:val="none" w:sz="0" w:space="0" w:color="auto"/>
                    <w:right w:val="none" w:sz="0" w:space="0" w:color="auto"/>
                  </w:divBdr>
                </w:div>
              </w:divsChild>
            </w:div>
            <w:div w:id="1165046674">
              <w:marLeft w:val="0"/>
              <w:marRight w:val="0"/>
              <w:marTop w:val="0"/>
              <w:marBottom w:val="0"/>
              <w:divBdr>
                <w:top w:val="none" w:sz="0" w:space="0" w:color="auto"/>
                <w:left w:val="none" w:sz="0" w:space="0" w:color="auto"/>
                <w:bottom w:val="none" w:sz="0" w:space="0" w:color="auto"/>
                <w:right w:val="none" w:sz="0" w:space="0" w:color="auto"/>
              </w:divBdr>
              <w:divsChild>
                <w:div w:id="121499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848466">
          <w:marLeft w:val="0"/>
          <w:marRight w:val="0"/>
          <w:marTop w:val="0"/>
          <w:marBottom w:val="0"/>
          <w:divBdr>
            <w:top w:val="none" w:sz="0" w:space="0" w:color="auto"/>
            <w:left w:val="none" w:sz="0" w:space="0" w:color="auto"/>
            <w:bottom w:val="none" w:sz="0" w:space="0" w:color="auto"/>
            <w:right w:val="none" w:sz="0" w:space="0" w:color="auto"/>
          </w:divBdr>
          <w:divsChild>
            <w:div w:id="1660304874">
              <w:marLeft w:val="0"/>
              <w:marRight w:val="0"/>
              <w:marTop w:val="0"/>
              <w:marBottom w:val="0"/>
              <w:divBdr>
                <w:top w:val="none" w:sz="0" w:space="0" w:color="auto"/>
                <w:left w:val="none" w:sz="0" w:space="0" w:color="auto"/>
                <w:bottom w:val="none" w:sz="0" w:space="0" w:color="auto"/>
                <w:right w:val="none" w:sz="0" w:space="0" w:color="auto"/>
              </w:divBdr>
              <w:divsChild>
                <w:div w:id="85099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127288">
      <w:bodyDiv w:val="1"/>
      <w:marLeft w:val="0"/>
      <w:marRight w:val="0"/>
      <w:marTop w:val="0"/>
      <w:marBottom w:val="0"/>
      <w:divBdr>
        <w:top w:val="none" w:sz="0" w:space="0" w:color="auto"/>
        <w:left w:val="none" w:sz="0" w:space="0" w:color="auto"/>
        <w:bottom w:val="none" w:sz="0" w:space="0" w:color="auto"/>
        <w:right w:val="none" w:sz="0" w:space="0" w:color="auto"/>
      </w:divBdr>
      <w:divsChild>
        <w:div w:id="1769958565">
          <w:marLeft w:val="0"/>
          <w:marRight w:val="0"/>
          <w:marTop w:val="0"/>
          <w:marBottom w:val="0"/>
          <w:divBdr>
            <w:top w:val="none" w:sz="0" w:space="0" w:color="auto"/>
            <w:left w:val="none" w:sz="0" w:space="0" w:color="auto"/>
            <w:bottom w:val="none" w:sz="0" w:space="0" w:color="auto"/>
            <w:right w:val="none" w:sz="0" w:space="0" w:color="auto"/>
          </w:divBdr>
          <w:divsChild>
            <w:div w:id="1770200015">
              <w:marLeft w:val="0"/>
              <w:marRight w:val="0"/>
              <w:marTop w:val="0"/>
              <w:marBottom w:val="0"/>
              <w:divBdr>
                <w:top w:val="none" w:sz="0" w:space="0" w:color="auto"/>
                <w:left w:val="none" w:sz="0" w:space="0" w:color="auto"/>
                <w:bottom w:val="none" w:sz="0" w:space="0" w:color="auto"/>
                <w:right w:val="none" w:sz="0" w:space="0" w:color="auto"/>
              </w:divBdr>
              <w:divsChild>
                <w:div w:id="101588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323930">
      <w:bodyDiv w:val="1"/>
      <w:marLeft w:val="0"/>
      <w:marRight w:val="0"/>
      <w:marTop w:val="0"/>
      <w:marBottom w:val="0"/>
      <w:divBdr>
        <w:top w:val="none" w:sz="0" w:space="0" w:color="auto"/>
        <w:left w:val="none" w:sz="0" w:space="0" w:color="auto"/>
        <w:bottom w:val="none" w:sz="0" w:space="0" w:color="auto"/>
        <w:right w:val="none" w:sz="0" w:space="0" w:color="auto"/>
      </w:divBdr>
    </w:div>
    <w:div w:id="550922017">
      <w:bodyDiv w:val="1"/>
      <w:marLeft w:val="0"/>
      <w:marRight w:val="0"/>
      <w:marTop w:val="0"/>
      <w:marBottom w:val="0"/>
      <w:divBdr>
        <w:top w:val="none" w:sz="0" w:space="0" w:color="auto"/>
        <w:left w:val="none" w:sz="0" w:space="0" w:color="auto"/>
        <w:bottom w:val="none" w:sz="0" w:space="0" w:color="auto"/>
        <w:right w:val="none" w:sz="0" w:space="0" w:color="auto"/>
      </w:divBdr>
    </w:div>
    <w:div w:id="561599282">
      <w:bodyDiv w:val="1"/>
      <w:marLeft w:val="0"/>
      <w:marRight w:val="0"/>
      <w:marTop w:val="0"/>
      <w:marBottom w:val="0"/>
      <w:divBdr>
        <w:top w:val="none" w:sz="0" w:space="0" w:color="auto"/>
        <w:left w:val="none" w:sz="0" w:space="0" w:color="auto"/>
        <w:bottom w:val="none" w:sz="0" w:space="0" w:color="auto"/>
        <w:right w:val="none" w:sz="0" w:space="0" w:color="auto"/>
      </w:divBdr>
    </w:div>
    <w:div w:id="616567730">
      <w:bodyDiv w:val="1"/>
      <w:marLeft w:val="0"/>
      <w:marRight w:val="0"/>
      <w:marTop w:val="0"/>
      <w:marBottom w:val="0"/>
      <w:divBdr>
        <w:top w:val="none" w:sz="0" w:space="0" w:color="auto"/>
        <w:left w:val="none" w:sz="0" w:space="0" w:color="auto"/>
        <w:bottom w:val="none" w:sz="0" w:space="0" w:color="auto"/>
        <w:right w:val="none" w:sz="0" w:space="0" w:color="auto"/>
      </w:divBdr>
    </w:div>
    <w:div w:id="674380261">
      <w:bodyDiv w:val="1"/>
      <w:marLeft w:val="0"/>
      <w:marRight w:val="0"/>
      <w:marTop w:val="0"/>
      <w:marBottom w:val="0"/>
      <w:divBdr>
        <w:top w:val="none" w:sz="0" w:space="0" w:color="auto"/>
        <w:left w:val="none" w:sz="0" w:space="0" w:color="auto"/>
        <w:bottom w:val="none" w:sz="0" w:space="0" w:color="auto"/>
        <w:right w:val="none" w:sz="0" w:space="0" w:color="auto"/>
      </w:divBdr>
      <w:divsChild>
        <w:div w:id="1151796649">
          <w:marLeft w:val="0"/>
          <w:marRight w:val="0"/>
          <w:marTop w:val="0"/>
          <w:marBottom w:val="0"/>
          <w:divBdr>
            <w:top w:val="none" w:sz="0" w:space="0" w:color="auto"/>
            <w:left w:val="none" w:sz="0" w:space="0" w:color="auto"/>
            <w:bottom w:val="none" w:sz="0" w:space="0" w:color="auto"/>
            <w:right w:val="none" w:sz="0" w:space="0" w:color="auto"/>
          </w:divBdr>
          <w:divsChild>
            <w:div w:id="1268080862">
              <w:marLeft w:val="0"/>
              <w:marRight w:val="0"/>
              <w:marTop w:val="0"/>
              <w:marBottom w:val="0"/>
              <w:divBdr>
                <w:top w:val="none" w:sz="0" w:space="0" w:color="auto"/>
                <w:left w:val="none" w:sz="0" w:space="0" w:color="auto"/>
                <w:bottom w:val="none" w:sz="0" w:space="0" w:color="auto"/>
                <w:right w:val="none" w:sz="0" w:space="0" w:color="auto"/>
              </w:divBdr>
              <w:divsChild>
                <w:div w:id="73192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857602">
      <w:bodyDiv w:val="1"/>
      <w:marLeft w:val="0"/>
      <w:marRight w:val="0"/>
      <w:marTop w:val="0"/>
      <w:marBottom w:val="0"/>
      <w:divBdr>
        <w:top w:val="none" w:sz="0" w:space="0" w:color="auto"/>
        <w:left w:val="none" w:sz="0" w:space="0" w:color="auto"/>
        <w:bottom w:val="none" w:sz="0" w:space="0" w:color="auto"/>
        <w:right w:val="none" w:sz="0" w:space="0" w:color="auto"/>
      </w:divBdr>
    </w:div>
    <w:div w:id="748112594">
      <w:bodyDiv w:val="1"/>
      <w:marLeft w:val="0"/>
      <w:marRight w:val="0"/>
      <w:marTop w:val="0"/>
      <w:marBottom w:val="0"/>
      <w:divBdr>
        <w:top w:val="none" w:sz="0" w:space="0" w:color="auto"/>
        <w:left w:val="none" w:sz="0" w:space="0" w:color="auto"/>
        <w:bottom w:val="none" w:sz="0" w:space="0" w:color="auto"/>
        <w:right w:val="none" w:sz="0" w:space="0" w:color="auto"/>
      </w:divBdr>
    </w:div>
    <w:div w:id="761610750">
      <w:bodyDiv w:val="1"/>
      <w:marLeft w:val="0"/>
      <w:marRight w:val="0"/>
      <w:marTop w:val="0"/>
      <w:marBottom w:val="0"/>
      <w:divBdr>
        <w:top w:val="none" w:sz="0" w:space="0" w:color="auto"/>
        <w:left w:val="none" w:sz="0" w:space="0" w:color="auto"/>
        <w:bottom w:val="none" w:sz="0" w:space="0" w:color="auto"/>
        <w:right w:val="none" w:sz="0" w:space="0" w:color="auto"/>
      </w:divBdr>
      <w:divsChild>
        <w:div w:id="650400918">
          <w:marLeft w:val="0"/>
          <w:marRight w:val="0"/>
          <w:marTop w:val="0"/>
          <w:marBottom w:val="0"/>
          <w:divBdr>
            <w:top w:val="none" w:sz="0" w:space="0" w:color="auto"/>
            <w:left w:val="none" w:sz="0" w:space="0" w:color="auto"/>
            <w:bottom w:val="none" w:sz="0" w:space="0" w:color="auto"/>
            <w:right w:val="none" w:sz="0" w:space="0" w:color="auto"/>
          </w:divBdr>
          <w:divsChild>
            <w:div w:id="1852842164">
              <w:marLeft w:val="0"/>
              <w:marRight w:val="0"/>
              <w:marTop w:val="0"/>
              <w:marBottom w:val="0"/>
              <w:divBdr>
                <w:top w:val="none" w:sz="0" w:space="0" w:color="auto"/>
                <w:left w:val="none" w:sz="0" w:space="0" w:color="auto"/>
                <w:bottom w:val="none" w:sz="0" w:space="0" w:color="auto"/>
                <w:right w:val="none" w:sz="0" w:space="0" w:color="auto"/>
              </w:divBdr>
              <w:divsChild>
                <w:div w:id="488330632">
                  <w:marLeft w:val="0"/>
                  <w:marRight w:val="0"/>
                  <w:marTop w:val="0"/>
                  <w:marBottom w:val="0"/>
                  <w:divBdr>
                    <w:top w:val="none" w:sz="0" w:space="0" w:color="auto"/>
                    <w:left w:val="none" w:sz="0" w:space="0" w:color="auto"/>
                    <w:bottom w:val="none" w:sz="0" w:space="0" w:color="auto"/>
                    <w:right w:val="none" w:sz="0" w:space="0" w:color="auto"/>
                  </w:divBdr>
                  <w:divsChild>
                    <w:div w:id="90367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5686811">
      <w:bodyDiv w:val="1"/>
      <w:marLeft w:val="0"/>
      <w:marRight w:val="0"/>
      <w:marTop w:val="0"/>
      <w:marBottom w:val="0"/>
      <w:divBdr>
        <w:top w:val="none" w:sz="0" w:space="0" w:color="auto"/>
        <w:left w:val="none" w:sz="0" w:space="0" w:color="auto"/>
        <w:bottom w:val="none" w:sz="0" w:space="0" w:color="auto"/>
        <w:right w:val="none" w:sz="0" w:space="0" w:color="auto"/>
      </w:divBdr>
    </w:div>
    <w:div w:id="804197347">
      <w:bodyDiv w:val="1"/>
      <w:marLeft w:val="0"/>
      <w:marRight w:val="0"/>
      <w:marTop w:val="0"/>
      <w:marBottom w:val="0"/>
      <w:divBdr>
        <w:top w:val="none" w:sz="0" w:space="0" w:color="auto"/>
        <w:left w:val="none" w:sz="0" w:space="0" w:color="auto"/>
        <w:bottom w:val="none" w:sz="0" w:space="0" w:color="auto"/>
        <w:right w:val="none" w:sz="0" w:space="0" w:color="auto"/>
      </w:divBdr>
    </w:div>
    <w:div w:id="856844720">
      <w:bodyDiv w:val="1"/>
      <w:marLeft w:val="0"/>
      <w:marRight w:val="0"/>
      <w:marTop w:val="0"/>
      <w:marBottom w:val="0"/>
      <w:divBdr>
        <w:top w:val="none" w:sz="0" w:space="0" w:color="auto"/>
        <w:left w:val="none" w:sz="0" w:space="0" w:color="auto"/>
        <w:bottom w:val="none" w:sz="0" w:space="0" w:color="auto"/>
        <w:right w:val="none" w:sz="0" w:space="0" w:color="auto"/>
      </w:divBdr>
      <w:divsChild>
        <w:div w:id="44765763">
          <w:marLeft w:val="0"/>
          <w:marRight w:val="0"/>
          <w:marTop w:val="0"/>
          <w:marBottom w:val="0"/>
          <w:divBdr>
            <w:top w:val="none" w:sz="0" w:space="0" w:color="auto"/>
            <w:left w:val="none" w:sz="0" w:space="0" w:color="auto"/>
            <w:bottom w:val="none" w:sz="0" w:space="0" w:color="auto"/>
            <w:right w:val="none" w:sz="0" w:space="0" w:color="auto"/>
          </w:divBdr>
          <w:divsChild>
            <w:div w:id="1070465678">
              <w:marLeft w:val="0"/>
              <w:marRight w:val="0"/>
              <w:marTop w:val="0"/>
              <w:marBottom w:val="0"/>
              <w:divBdr>
                <w:top w:val="none" w:sz="0" w:space="0" w:color="auto"/>
                <w:left w:val="none" w:sz="0" w:space="0" w:color="auto"/>
                <w:bottom w:val="none" w:sz="0" w:space="0" w:color="auto"/>
                <w:right w:val="none" w:sz="0" w:space="0" w:color="auto"/>
              </w:divBdr>
              <w:divsChild>
                <w:div w:id="80897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044361">
      <w:bodyDiv w:val="1"/>
      <w:marLeft w:val="0"/>
      <w:marRight w:val="0"/>
      <w:marTop w:val="0"/>
      <w:marBottom w:val="0"/>
      <w:divBdr>
        <w:top w:val="none" w:sz="0" w:space="0" w:color="auto"/>
        <w:left w:val="none" w:sz="0" w:space="0" w:color="auto"/>
        <w:bottom w:val="none" w:sz="0" w:space="0" w:color="auto"/>
        <w:right w:val="none" w:sz="0" w:space="0" w:color="auto"/>
      </w:divBdr>
      <w:divsChild>
        <w:div w:id="700009916">
          <w:marLeft w:val="0"/>
          <w:marRight w:val="0"/>
          <w:marTop w:val="0"/>
          <w:marBottom w:val="0"/>
          <w:divBdr>
            <w:top w:val="none" w:sz="0" w:space="0" w:color="auto"/>
            <w:left w:val="none" w:sz="0" w:space="0" w:color="auto"/>
            <w:bottom w:val="none" w:sz="0" w:space="0" w:color="auto"/>
            <w:right w:val="none" w:sz="0" w:space="0" w:color="auto"/>
          </w:divBdr>
          <w:divsChild>
            <w:div w:id="1656449226">
              <w:marLeft w:val="0"/>
              <w:marRight w:val="0"/>
              <w:marTop w:val="0"/>
              <w:marBottom w:val="0"/>
              <w:divBdr>
                <w:top w:val="none" w:sz="0" w:space="0" w:color="auto"/>
                <w:left w:val="none" w:sz="0" w:space="0" w:color="auto"/>
                <w:bottom w:val="none" w:sz="0" w:space="0" w:color="auto"/>
                <w:right w:val="none" w:sz="0" w:space="0" w:color="auto"/>
              </w:divBdr>
              <w:divsChild>
                <w:div w:id="392000599">
                  <w:marLeft w:val="0"/>
                  <w:marRight w:val="0"/>
                  <w:marTop w:val="0"/>
                  <w:marBottom w:val="0"/>
                  <w:divBdr>
                    <w:top w:val="none" w:sz="0" w:space="0" w:color="auto"/>
                    <w:left w:val="none" w:sz="0" w:space="0" w:color="auto"/>
                    <w:bottom w:val="none" w:sz="0" w:space="0" w:color="auto"/>
                    <w:right w:val="none" w:sz="0" w:space="0" w:color="auto"/>
                  </w:divBdr>
                </w:div>
              </w:divsChild>
            </w:div>
            <w:div w:id="1831292984">
              <w:marLeft w:val="0"/>
              <w:marRight w:val="0"/>
              <w:marTop w:val="0"/>
              <w:marBottom w:val="0"/>
              <w:divBdr>
                <w:top w:val="none" w:sz="0" w:space="0" w:color="auto"/>
                <w:left w:val="none" w:sz="0" w:space="0" w:color="auto"/>
                <w:bottom w:val="none" w:sz="0" w:space="0" w:color="auto"/>
                <w:right w:val="none" w:sz="0" w:space="0" w:color="auto"/>
              </w:divBdr>
              <w:divsChild>
                <w:div w:id="78481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816364">
          <w:marLeft w:val="0"/>
          <w:marRight w:val="0"/>
          <w:marTop w:val="0"/>
          <w:marBottom w:val="0"/>
          <w:divBdr>
            <w:top w:val="none" w:sz="0" w:space="0" w:color="auto"/>
            <w:left w:val="none" w:sz="0" w:space="0" w:color="auto"/>
            <w:bottom w:val="none" w:sz="0" w:space="0" w:color="auto"/>
            <w:right w:val="none" w:sz="0" w:space="0" w:color="auto"/>
          </w:divBdr>
          <w:divsChild>
            <w:div w:id="1094201622">
              <w:marLeft w:val="0"/>
              <w:marRight w:val="0"/>
              <w:marTop w:val="0"/>
              <w:marBottom w:val="0"/>
              <w:divBdr>
                <w:top w:val="none" w:sz="0" w:space="0" w:color="auto"/>
                <w:left w:val="none" w:sz="0" w:space="0" w:color="auto"/>
                <w:bottom w:val="none" w:sz="0" w:space="0" w:color="auto"/>
                <w:right w:val="none" w:sz="0" w:space="0" w:color="auto"/>
              </w:divBdr>
              <w:divsChild>
                <w:div w:id="252205000">
                  <w:marLeft w:val="0"/>
                  <w:marRight w:val="0"/>
                  <w:marTop w:val="0"/>
                  <w:marBottom w:val="0"/>
                  <w:divBdr>
                    <w:top w:val="none" w:sz="0" w:space="0" w:color="auto"/>
                    <w:left w:val="none" w:sz="0" w:space="0" w:color="auto"/>
                    <w:bottom w:val="none" w:sz="0" w:space="0" w:color="auto"/>
                    <w:right w:val="none" w:sz="0" w:space="0" w:color="auto"/>
                  </w:divBdr>
                </w:div>
              </w:divsChild>
            </w:div>
            <w:div w:id="1740324868">
              <w:marLeft w:val="0"/>
              <w:marRight w:val="0"/>
              <w:marTop w:val="0"/>
              <w:marBottom w:val="0"/>
              <w:divBdr>
                <w:top w:val="none" w:sz="0" w:space="0" w:color="auto"/>
                <w:left w:val="none" w:sz="0" w:space="0" w:color="auto"/>
                <w:bottom w:val="none" w:sz="0" w:space="0" w:color="auto"/>
                <w:right w:val="none" w:sz="0" w:space="0" w:color="auto"/>
              </w:divBdr>
              <w:divsChild>
                <w:div w:id="59325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469853">
      <w:bodyDiv w:val="1"/>
      <w:marLeft w:val="0"/>
      <w:marRight w:val="0"/>
      <w:marTop w:val="0"/>
      <w:marBottom w:val="0"/>
      <w:divBdr>
        <w:top w:val="none" w:sz="0" w:space="0" w:color="auto"/>
        <w:left w:val="none" w:sz="0" w:space="0" w:color="auto"/>
        <w:bottom w:val="none" w:sz="0" w:space="0" w:color="auto"/>
        <w:right w:val="none" w:sz="0" w:space="0" w:color="auto"/>
      </w:divBdr>
    </w:div>
    <w:div w:id="934747590">
      <w:bodyDiv w:val="1"/>
      <w:marLeft w:val="0"/>
      <w:marRight w:val="0"/>
      <w:marTop w:val="0"/>
      <w:marBottom w:val="0"/>
      <w:divBdr>
        <w:top w:val="none" w:sz="0" w:space="0" w:color="auto"/>
        <w:left w:val="none" w:sz="0" w:space="0" w:color="auto"/>
        <w:bottom w:val="none" w:sz="0" w:space="0" w:color="auto"/>
        <w:right w:val="none" w:sz="0" w:space="0" w:color="auto"/>
      </w:divBdr>
    </w:div>
    <w:div w:id="936329201">
      <w:bodyDiv w:val="1"/>
      <w:marLeft w:val="0"/>
      <w:marRight w:val="0"/>
      <w:marTop w:val="0"/>
      <w:marBottom w:val="0"/>
      <w:divBdr>
        <w:top w:val="none" w:sz="0" w:space="0" w:color="auto"/>
        <w:left w:val="none" w:sz="0" w:space="0" w:color="auto"/>
        <w:bottom w:val="none" w:sz="0" w:space="0" w:color="auto"/>
        <w:right w:val="none" w:sz="0" w:space="0" w:color="auto"/>
      </w:divBdr>
    </w:div>
    <w:div w:id="948044530">
      <w:bodyDiv w:val="1"/>
      <w:marLeft w:val="0"/>
      <w:marRight w:val="0"/>
      <w:marTop w:val="0"/>
      <w:marBottom w:val="0"/>
      <w:divBdr>
        <w:top w:val="none" w:sz="0" w:space="0" w:color="auto"/>
        <w:left w:val="none" w:sz="0" w:space="0" w:color="auto"/>
        <w:bottom w:val="none" w:sz="0" w:space="0" w:color="auto"/>
        <w:right w:val="none" w:sz="0" w:space="0" w:color="auto"/>
      </w:divBdr>
    </w:div>
    <w:div w:id="948731769">
      <w:bodyDiv w:val="1"/>
      <w:marLeft w:val="0"/>
      <w:marRight w:val="0"/>
      <w:marTop w:val="0"/>
      <w:marBottom w:val="0"/>
      <w:divBdr>
        <w:top w:val="none" w:sz="0" w:space="0" w:color="auto"/>
        <w:left w:val="none" w:sz="0" w:space="0" w:color="auto"/>
        <w:bottom w:val="none" w:sz="0" w:space="0" w:color="auto"/>
        <w:right w:val="none" w:sz="0" w:space="0" w:color="auto"/>
      </w:divBdr>
    </w:div>
    <w:div w:id="1031952924">
      <w:bodyDiv w:val="1"/>
      <w:marLeft w:val="0"/>
      <w:marRight w:val="0"/>
      <w:marTop w:val="0"/>
      <w:marBottom w:val="0"/>
      <w:divBdr>
        <w:top w:val="none" w:sz="0" w:space="0" w:color="auto"/>
        <w:left w:val="none" w:sz="0" w:space="0" w:color="auto"/>
        <w:bottom w:val="none" w:sz="0" w:space="0" w:color="auto"/>
        <w:right w:val="none" w:sz="0" w:space="0" w:color="auto"/>
      </w:divBdr>
      <w:divsChild>
        <w:div w:id="1805464901">
          <w:marLeft w:val="0"/>
          <w:marRight w:val="0"/>
          <w:marTop w:val="0"/>
          <w:marBottom w:val="0"/>
          <w:divBdr>
            <w:top w:val="none" w:sz="0" w:space="0" w:color="auto"/>
            <w:left w:val="none" w:sz="0" w:space="0" w:color="auto"/>
            <w:bottom w:val="none" w:sz="0" w:space="0" w:color="auto"/>
            <w:right w:val="none" w:sz="0" w:space="0" w:color="auto"/>
          </w:divBdr>
          <w:divsChild>
            <w:div w:id="1612395576">
              <w:marLeft w:val="0"/>
              <w:marRight w:val="0"/>
              <w:marTop w:val="0"/>
              <w:marBottom w:val="0"/>
              <w:divBdr>
                <w:top w:val="none" w:sz="0" w:space="0" w:color="auto"/>
                <w:left w:val="none" w:sz="0" w:space="0" w:color="auto"/>
                <w:bottom w:val="none" w:sz="0" w:space="0" w:color="auto"/>
                <w:right w:val="none" w:sz="0" w:space="0" w:color="auto"/>
              </w:divBdr>
              <w:divsChild>
                <w:div w:id="82995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86581">
      <w:bodyDiv w:val="1"/>
      <w:marLeft w:val="0"/>
      <w:marRight w:val="0"/>
      <w:marTop w:val="0"/>
      <w:marBottom w:val="0"/>
      <w:divBdr>
        <w:top w:val="none" w:sz="0" w:space="0" w:color="auto"/>
        <w:left w:val="none" w:sz="0" w:space="0" w:color="auto"/>
        <w:bottom w:val="none" w:sz="0" w:space="0" w:color="auto"/>
        <w:right w:val="none" w:sz="0" w:space="0" w:color="auto"/>
      </w:divBdr>
      <w:divsChild>
        <w:div w:id="860700331">
          <w:marLeft w:val="0"/>
          <w:marRight w:val="0"/>
          <w:marTop w:val="0"/>
          <w:marBottom w:val="0"/>
          <w:divBdr>
            <w:top w:val="none" w:sz="0" w:space="0" w:color="auto"/>
            <w:left w:val="none" w:sz="0" w:space="0" w:color="auto"/>
            <w:bottom w:val="none" w:sz="0" w:space="0" w:color="auto"/>
            <w:right w:val="none" w:sz="0" w:space="0" w:color="auto"/>
          </w:divBdr>
          <w:divsChild>
            <w:div w:id="1286040865">
              <w:marLeft w:val="0"/>
              <w:marRight w:val="0"/>
              <w:marTop w:val="0"/>
              <w:marBottom w:val="0"/>
              <w:divBdr>
                <w:top w:val="none" w:sz="0" w:space="0" w:color="auto"/>
                <w:left w:val="none" w:sz="0" w:space="0" w:color="auto"/>
                <w:bottom w:val="none" w:sz="0" w:space="0" w:color="auto"/>
                <w:right w:val="none" w:sz="0" w:space="0" w:color="auto"/>
              </w:divBdr>
              <w:divsChild>
                <w:div w:id="156482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088612">
          <w:marLeft w:val="0"/>
          <w:marRight w:val="0"/>
          <w:marTop w:val="0"/>
          <w:marBottom w:val="0"/>
          <w:divBdr>
            <w:top w:val="none" w:sz="0" w:space="0" w:color="auto"/>
            <w:left w:val="none" w:sz="0" w:space="0" w:color="auto"/>
            <w:bottom w:val="none" w:sz="0" w:space="0" w:color="auto"/>
            <w:right w:val="none" w:sz="0" w:space="0" w:color="auto"/>
          </w:divBdr>
          <w:divsChild>
            <w:div w:id="238174678">
              <w:marLeft w:val="0"/>
              <w:marRight w:val="0"/>
              <w:marTop w:val="0"/>
              <w:marBottom w:val="0"/>
              <w:divBdr>
                <w:top w:val="none" w:sz="0" w:space="0" w:color="auto"/>
                <w:left w:val="none" w:sz="0" w:space="0" w:color="auto"/>
                <w:bottom w:val="none" w:sz="0" w:space="0" w:color="auto"/>
                <w:right w:val="none" w:sz="0" w:space="0" w:color="auto"/>
              </w:divBdr>
              <w:divsChild>
                <w:div w:id="619189867">
                  <w:marLeft w:val="0"/>
                  <w:marRight w:val="0"/>
                  <w:marTop w:val="0"/>
                  <w:marBottom w:val="0"/>
                  <w:divBdr>
                    <w:top w:val="none" w:sz="0" w:space="0" w:color="auto"/>
                    <w:left w:val="none" w:sz="0" w:space="0" w:color="auto"/>
                    <w:bottom w:val="none" w:sz="0" w:space="0" w:color="auto"/>
                    <w:right w:val="none" w:sz="0" w:space="0" w:color="auto"/>
                  </w:divBdr>
                </w:div>
              </w:divsChild>
            </w:div>
            <w:div w:id="1539465851">
              <w:marLeft w:val="0"/>
              <w:marRight w:val="0"/>
              <w:marTop w:val="0"/>
              <w:marBottom w:val="0"/>
              <w:divBdr>
                <w:top w:val="none" w:sz="0" w:space="0" w:color="auto"/>
                <w:left w:val="none" w:sz="0" w:space="0" w:color="auto"/>
                <w:bottom w:val="none" w:sz="0" w:space="0" w:color="auto"/>
                <w:right w:val="none" w:sz="0" w:space="0" w:color="auto"/>
              </w:divBdr>
              <w:divsChild>
                <w:div w:id="149529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672675">
      <w:bodyDiv w:val="1"/>
      <w:marLeft w:val="0"/>
      <w:marRight w:val="0"/>
      <w:marTop w:val="0"/>
      <w:marBottom w:val="0"/>
      <w:divBdr>
        <w:top w:val="none" w:sz="0" w:space="0" w:color="auto"/>
        <w:left w:val="none" w:sz="0" w:space="0" w:color="auto"/>
        <w:bottom w:val="none" w:sz="0" w:space="0" w:color="auto"/>
        <w:right w:val="none" w:sz="0" w:space="0" w:color="auto"/>
      </w:divBdr>
    </w:div>
    <w:div w:id="1133407098">
      <w:bodyDiv w:val="1"/>
      <w:marLeft w:val="0"/>
      <w:marRight w:val="0"/>
      <w:marTop w:val="0"/>
      <w:marBottom w:val="0"/>
      <w:divBdr>
        <w:top w:val="none" w:sz="0" w:space="0" w:color="auto"/>
        <w:left w:val="none" w:sz="0" w:space="0" w:color="auto"/>
        <w:bottom w:val="none" w:sz="0" w:space="0" w:color="auto"/>
        <w:right w:val="none" w:sz="0" w:space="0" w:color="auto"/>
      </w:divBdr>
    </w:div>
    <w:div w:id="1143237741">
      <w:bodyDiv w:val="1"/>
      <w:marLeft w:val="0"/>
      <w:marRight w:val="0"/>
      <w:marTop w:val="0"/>
      <w:marBottom w:val="0"/>
      <w:divBdr>
        <w:top w:val="none" w:sz="0" w:space="0" w:color="auto"/>
        <w:left w:val="none" w:sz="0" w:space="0" w:color="auto"/>
        <w:bottom w:val="none" w:sz="0" w:space="0" w:color="auto"/>
        <w:right w:val="none" w:sz="0" w:space="0" w:color="auto"/>
      </w:divBdr>
    </w:div>
    <w:div w:id="1177960172">
      <w:bodyDiv w:val="1"/>
      <w:marLeft w:val="0"/>
      <w:marRight w:val="0"/>
      <w:marTop w:val="0"/>
      <w:marBottom w:val="0"/>
      <w:divBdr>
        <w:top w:val="none" w:sz="0" w:space="0" w:color="auto"/>
        <w:left w:val="none" w:sz="0" w:space="0" w:color="auto"/>
        <w:bottom w:val="none" w:sz="0" w:space="0" w:color="auto"/>
        <w:right w:val="none" w:sz="0" w:space="0" w:color="auto"/>
      </w:divBdr>
      <w:divsChild>
        <w:div w:id="10255881">
          <w:marLeft w:val="0"/>
          <w:marRight w:val="0"/>
          <w:marTop w:val="0"/>
          <w:marBottom w:val="0"/>
          <w:divBdr>
            <w:top w:val="none" w:sz="0" w:space="0" w:color="auto"/>
            <w:left w:val="none" w:sz="0" w:space="0" w:color="auto"/>
            <w:bottom w:val="none" w:sz="0" w:space="0" w:color="auto"/>
            <w:right w:val="none" w:sz="0" w:space="0" w:color="auto"/>
          </w:divBdr>
          <w:divsChild>
            <w:div w:id="667290915">
              <w:marLeft w:val="0"/>
              <w:marRight w:val="0"/>
              <w:marTop w:val="0"/>
              <w:marBottom w:val="0"/>
              <w:divBdr>
                <w:top w:val="none" w:sz="0" w:space="0" w:color="auto"/>
                <w:left w:val="none" w:sz="0" w:space="0" w:color="auto"/>
                <w:bottom w:val="none" w:sz="0" w:space="0" w:color="auto"/>
                <w:right w:val="none" w:sz="0" w:space="0" w:color="auto"/>
              </w:divBdr>
              <w:divsChild>
                <w:div w:id="102880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350264">
      <w:bodyDiv w:val="1"/>
      <w:marLeft w:val="0"/>
      <w:marRight w:val="0"/>
      <w:marTop w:val="0"/>
      <w:marBottom w:val="0"/>
      <w:divBdr>
        <w:top w:val="none" w:sz="0" w:space="0" w:color="auto"/>
        <w:left w:val="none" w:sz="0" w:space="0" w:color="auto"/>
        <w:bottom w:val="none" w:sz="0" w:space="0" w:color="auto"/>
        <w:right w:val="none" w:sz="0" w:space="0" w:color="auto"/>
      </w:divBdr>
    </w:div>
    <w:div w:id="1218475792">
      <w:bodyDiv w:val="1"/>
      <w:marLeft w:val="0"/>
      <w:marRight w:val="0"/>
      <w:marTop w:val="0"/>
      <w:marBottom w:val="0"/>
      <w:divBdr>
        <w:top w:val="none" w:sz="0" w:space="0" w:color="auto"/>
        <w:left w:val="none" w:sz="0" w:space="0" w:color="auto"/>
        <w:bottom w:val="none" w:sz="0" w:space="0" w:color="auto"/>
        <w:right w:val="none" w:sz="0" w:space="0" w:color="auto"/>
      </w:divBdr>
    </w:div>
    <w:div w:id="1218707668">
      <w:bodyDiv w:val="1"/>
      <w:marLeft w:val="0"/>
      <w:marRight w:val="0"/>
      <w:marTop w:val="0"/>
      <w:marBottom w:val="0"/>
      <w:divBdr>
        <w:top w:val="none" w:sz="0" w:space="0" w:color="auto"/>
        <w:left w:val="none" w:sz="0" w:space="0" w:color="auto"/>
        <w:bottom w:val="none" w:sz="0" w:space="0" w:color="auto"/>
        <w:right w:val="none" w:sz="0" w:space="0" w:color="auto"/>
      </w:divBdr>
    </w:div>
    <w:div w:id="1288974502">
      <w:bodyDiv w:val="1"/>
      <w:marLeft w:val="0"/>
      <w:marRight w:val="0"/>
      <w:marTop w:val="0"/>
      <w:marBottom w:val="0"/>
      <w:divBdr>
        <w:top w:val="none" w:sz="0" w:space="0" w:color="auto"/>
        <w:left w:val="none" w:sz="0" w:space="0" w:color="auto"/>
        <w:bottom w:val="none" w:sz="0" w:space="0" w:color="auto"/>
        <w:right w:val="none" w:sz="0" w:space="0" w:color="auto"/>
      </w:divBdr>
    </w:div>
    <w:div w:id="1291784880">
      <w:bodyDiv w:val="1"/>
      <w:marLeft w:val="0"/>
      <w:marRight w:val="0"/>
      <w:marTop w:val="0"/>
      <w:marBottom w:val="0"/>
      <w:divBdr>
        <w:top w:val="none" w:sz="0" w:space="0" w:color="auto"/>
        <w:left w:val="none" w:sz="0" w:space="0" w:color="auto"/>
        <w:bottom w:val="none" w:sz="0" w:space="0" w:color="auto"/>
        <w:right w:val="none" w:sz="0" w:space="0" w:color="auto"/>
      </w:divBdr>
      <w:divsChild>
        <w:div w:id="1161694758">
          <w:marLeft w:val="0"/>
          <w:marRight w:val="0"/>
          <w:marTop w:val="0"/>
          <w:marBottom w:val="0"/>
          <w:divBdr>
            <w:top w:val="none" w:sz="0" w:space="0" w:color="auto"/>
            <w:left w:val="none" w:sz="0" w:space="0" w:color="auto"/>
            <w:bottom w:val="none" w:sz="0" w:space="0" w:color="auto"/>
            <w:right w:val="none" w:sz="0" w:space="0" w:color="auto"/>
          </w:divBdr>
          <w:divsChild>
            <w:div w:id="1369331169">
              <w:marLeft w:val="0"/>
              <w:marRight w:val="0"/>
              <w:marTop w:val="0"/>
              <w:marBottom w:val="0"/>
              <w:divBdr>
                <w:top w:val="none" w:sz="0" w:space="0" w:color="auto"/>
                <w:left w:val="none" w:sz="0" w:space="0" w:color="auto"/>
                <w:bottom w:val="none" w:sz="0" w:space="0" w:color="auto"/>
                <w:right w:val="none" w:sz="0" w:space="0" w:color="auto"/>
              </w:divBdr>
              <w:divsChild>
                <w:div w:id="31283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167765">
      <w:bodyDiv w:val="1"/>
      <w:marLeft w:val="0"/>
      <w:marRight w:val="0"/>
      <w:marTop w:val="0"/>
      <w:marBottom w:val="0"/>
      <w:divBdr>
        <w:top w:val="none" w:sz="0" w:space="0" w:color="auto"/>
        <w:left w:val="none" w:sz="0" w:space="0" w:color="auto"/>
        <w:bottom w:val="none" w:sz="0" w:space="0" w:color="auto"/>
        <w:right w:val="none" w:sz="0" w:space="0" w:color="auto"/>
      </w:divBdr>
    </w:div>
    <w:div w:id="1376462272">
      <w:bodyDiv w:val="1"/>
      <w:marLeft w:val="0"/>
      <w:marRight w:val="0"/>
      <w:marTop w:val="0"/>
      <w:marBottom w:val="0"/>
      <w:divBdr>
        <w:top w:val="none" w:sz="0" w:space="0" w:color="auto"/>
        <w:left w:val="none" w:sz="0" w:space="0" w:color="auto"/>
        <w:bottom w:val="none" w:sz="0" w:space="0" w:color="auto"/>
        <w:right w:val="none" w:sz="0" w:space="0" w:color="auto"/>
      </w:divBdr>
    </w:div>
    <w:div w:id="1470322026">
      <w:bodyDiv w:val="1"/>
      <w:marLeft w:val="0"/>
      <w:marRight w:val="0"/>
      <w:marTop w:val="0"/>
      <w:marBottom w:val="0"/>
      <w:divBdr>
        <w:top w:val="none" w:sz="0" w:space="0" w:color="auto"/>
        <w:left w:val="none" w:sz="0" w:space="0" w:color="auto"/>
        <w:bottom w:val="none" w:sz="0" w:space="0" w:color="auto"/>
        <w:right w:val="none" w:sz="0" w:space="0" w:color="auto"/>
      </w:divBdr>
    </w:div>
    <w:div w:id="1522282861">
      <w:bodyDiv w:val="1"/>
      <w:marLeft w:val="0"/>
      <w:marRight w:val="0"/>
      <w:marTop w:val="0"/>
      <w:marBottom w:val="0"/>
      <w:divBdr>
        <w:top w:val="none" w:sz="0" w:space="0" w:color="auto"/>
        <w:left w:val="none" w:sz="0" w:space="0" w:color="auto"/>
        <w:bottom w:val="none" w:sz="0" w:space="0" w:color="auto"/>
        <w:right w:val="none" w:sz="0" w:space="0" w:color="auto"/>
      </w:divBdr>
    </w:div>
    <w:div w:id="1573346287">
      <w:bodyDiv w:val="1"/>
      <w:marLeft w:val="0"/>
      <w:marRight w:val="0"/>
      <w:marTop w:val="0"/>
      <w:marBottom w:val="0"/>
      <w:divBdr>
        <w:top w:val="none" w:sz="0" w:space="0" w:color="auto"/>
        <w:left w:val="none" w:sz="0" w:space="0" w:color="auto"/>
        <w:bottom w:val="none" w:sz="0" w:space="0" w:color="auto"/>
        <w:right w:val="none" w:sz="0" w:space="0" w:color="auto"/>
      </w:divBdr>
    </w:div>
    <w:div w:id="1644579972">
      <w:bodyDiv w:val="1"/>
      <w:marLeft w:val="0"/>
      <w:marRight w:val="0"/>
      <w:marTop w:val="0"/>
      <w:marBottom w:val="0"/>
      <w:divBdr>
        <w:top w:val="none" w:sz="0" w:space="0" w:color="auto"/>
        <w:left w:val="none" w:sz="0" w:space="0" w:color="auto"/>
        <w:bottom w:val="none" w:sz="0" w:space="0" w:color="auto"/>
        <w:right w:val="none" w:sz="0" w:space="0" w:color="auto"/>
      </w:divBdr>
    </w:div>
    <w:div w:id="1673530460">
      <w:bodyDiv w:val="1"/>
      <w:marLeft w:val="0"/>
      <w:marRight w:val="0"/>
      <w:marTop w:val="0"/>
      <w:marBottom w:val="0"/>
      <w:divBdr>
        <w:top w:val="none" w:sz="0" w:space="0" w:color="auto"/>
        <w:left w:val="none" w:sz="0" w:space="0" w:color="auto"/>
        <w:bottom w:val="none" w:sz="0" w:space="0" w:color="auto"/>
        <w:right w:val="none" w:sz="0" w:space="0" w:color="auto"/>
      </w:divBdr>
    </w:div>
    <w:div w:id="1688797258">
      <w:bodyDiv w:val="1"/>
      <w:marLeft w:val="0"/>
      <w:marRight w:val="0"/>
      <w:marTop w:val="0"/>
      <w:marBottom w:val="0"/>
      <w:divBdr>
        <w:top w:val="none" w:sz="0" w:space="0" w:color="auto"/>
        <w:left w:val="none" w:sz="0" w:space="0" w:color="auto"/>
        <w:bottom w:val="none" w:sz="0" w:space="0" w:color="auto"/>
        <w:right w:val="none" w:sz="0" w:space="0" w:color="auto"/>
      </w:divBdr>
    </w:div>
    <w:div w:id="1702366153">
      <w:bodyDiv w:val="1"/>
      <w:marLeft w:val="0"/>
      <w:marRight w:val="0"/>
      <w:marTop w:val="0"/>
      <w:marBottom w:val="0"/>
      <w:divBdr>
        <w:top w:val="none" w:sz="0" w:space="0" w:color="auto"/>
        <w:left w:val="none" w:sz="0" w:space="0" w:color="auto"/>
        <w:bottom w:val="none" w:sz="0" w:space="0" w:color="auto"/>
        <w:right w:val="none" w:sz="0" w:space="0" w:color="auto"/>
      </w:divBdr>
    </w:div>
    <w:div w:id="1743257976">
      <w:bodyDiv w:val="1"/>
      <w:marLeft w:val="0"/>
      <w:marRight w:val="0"/>
      <w:marTop w:val="0"/>
      <w:marBottom w:val="0"/>
      <w:divBdr>
        <w:top w:val="none" w:sz="0" w:space="0" w:color="auto"/>
        <w:left w:val="none" w:sz="0" w:space="0" w:color="auto"/>
        <w:bottom w:val="none" w:sz="0" w:space="0" w:color="auto"/>
        <w:right w:val="none" w:sz="0" w:space="0" w:color="auto"/>
      </w:divBdr>
    </w:div>
    <w:div w:id="1789229846">
      <w:bodyDiv w:val="1"/>
      <w:marLeft w:val="0"/>
      <w:marRight w:val="0"/>
      <w:marTop w:val="0"/>
      <w:marBottom w:val="0"/>
      <w:divBdr>
        <w:top w:val="none" w:sz="0" w:space="0" w:color="auto"/>
        <w:left w:val="none" w:sz="0" w:space="0" w:color="auto"/>
        <w:bottom w:val="none" w:sz="0" w:space="0" w:color="auto"/>
        <w:right w:val="none" w:sz="0" w:space="0" w:color="auto"/>
      </w:divBdr>
    </w:div>
    <w:div w:id="1807777778">
      <w:bodyDiv w:val="1"/>
      <w:marLeft w:val="0"/>
      <w:marRight w:val="0"/>
      <w:marTop w:val="0"/>
      <w:marBottom w:val="0"/>
      <w:divBdr>
        <w:top w:val="none" w:sz="0" w:space="0" w:color="auto"/>
        <w:left w:val="none" w:sz="0" w:space="0" w:color="auto"/>
        <w:bottom w:val="none" w:sz="0" w:space="0" w:color="auto"/>
        <w:right w:val="none" w:sz="0" w:space="0" w:color="auto"/>
      </w:divBdr>
    </w:div>
    <w:div w:id="1825968659">
      <w:bodyDiv w:val="1"/>
      <w:marLeft w:val="0"/>
      <w:marRight w:val="0"/>
      <w:marTop w:val="0"/>
      <w:marBottom w:val="0"/>
      <w:divBdr>
        <w:top w:val="none" w:sz="0" w:space="0" w:color="auto"/>
        <w:left w:val="none" w:sz="0" w:space="0" w:color="auto"/>
        <w:bottom w:val="none" w:sz="0" w:space="0" w:color="auto"/>
        <w:right w:val="none" w:sz="0" w:space="0" w:color="auto"/>
      </w:divBdr>
      <w:divsChild>
        <w:div w:id="598803145">
          <w:marLeft w:val="0"/>
          <w:marRight w:val="0"/>
          <w:marTop w:val="0"/>
          <w:marBottom w:val="0"/>
          <w:divBdr>
            <w:top w:val="none" w:sz="0" w:space="0" w:color="auto"/>
            <w:left w:val="none" w:sz="0" w:space="0" w:color="auto"/>
            <w:bottom w:val="none" w:sz="0" w:space="0" w:color="auto"/>
            <w:right w:val="none" w:sz="0" w:space="0" w:color="auto"/>
          </w:divBdr>
          <w:divsChild>
            <w:div w:id="1927879910">
              <w:marLeft w:val="0"/>
              <w:marRight w:val="0"/>
              <w:marTop w:val="0"/>
              <w:marBottom w:val="0"/>
              <w:divBdr>
                <w:top w:val="none" w:sz="0" w:space="0" w:color="auto"/>
                <w:left w:val="none" w:sz="0" w:space="0" w:color="auto"/>
                <w:bottom w:val="none" w:sz="0" w:space="0" w:color="auto"/>
                <w:right w:val="none" w:sz="0" w:space="0" w:color="auto"/>
              </w:divBdr>
              <w:divsChild>
                <w:div w:id="27324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367077">
      <w:bodyDiv w:val="1"/>
      <w:marLeft w:val="0"/>
      <w:marRight w:val="0"/>
      <w:marTop w:val="0"/>
      <w:marBottom w:val="0"/>
      <w:divBdr>
        <w:top w:val="none" w:sz="0" w:space="0" w:color="auto"/>
        <w:left w:val="none" w:sz="0" w:space="0" w:color="auto"/>
        <w:bottom w:val="none" w:sz="0" w:space="0" w:color="auto"/>
        <w:right w:val="none" w:sz="0" w:space="0" w:color="auto"/>
      </w:divBdr>
    </w:div>
    <w:div w:id="1861815125">
      <w:bodyDiv w:val="1"/>
      <w:marLeft w:val="0"/>
      <w:marRight w:val="0"/>
      <w:marTop w:val="0"/>
      <w:marBottom w:val="0"/>
      <w:divBdr>
        <w:top w:val="none" w:sz="0" w:space="0" w:color="auto"/>
        <w:left w:val="none" w:sz="0" w:space="0" w:color="auto"/>
        <w:bottom w:val="none" w:sz="0" w:space="0" w:color="auto"/>
        <w:right w:val="none" w:sz="0" w:space="0" w:color="auto"/>
      </w:divBdr>
    </w:div>
    <w:div w:id="1899396823">
      <w:bodyDiv w:val="1"/>
      <w:marLeft w:val="0"/>
      <w:marRight w:val="0"/>
      <w:marTop w:val="0"/>
      <w:marBottom w:val="0"/>
      <w:divBdr>
        <w:top w:val="none" w:sz="0" w:space="0" w:color="auto"/>
        <w:left w:val="none" w:sz="0" w:space="0" w:color="auto"/>
        <w:bottom w:val="none" w:sz="0" w:space="0" w:color="auto"/>
        <w:right w:val="none" w:sz="0" w:space="0" w:color="auto"/>
      </w:divBdr>
      <w:divsChild>
        <w:div w:id="155729123">
          <w:marLeft w:val="0"/>
          <w:marRight w:val="0"/>
          <w:marTop w:val="0"/>
          <w:marBottom w:val="0"/>
          <w:divBdr>
            <w:top w:val="none" w:sz="0" w:space="0" w:color="auto"/>
            <w:left w:val="none" w:sz="0" w:space="0" w:color="auto"/>
            <w:bottom w:val="none" w:sz="0" w:space="0" w:color="auto"/>
            <w:right w:val="none" w:sz="0" w:space="0" w:color="auto"/>
          </w:divBdr>
          <w:divsChild>
            <w:div w:id="754743838">
              <w:marLeft w:val="0"/>
              <w:marRight w:val="0"/>
              <w:marTop w:val="0"/>
              <w:marBottom w:val="0"/>
              <w:divBdr>
                <w:top w:val="none" w:sz="0" w:space="0" w:color="auto"/>
                <w:left w:val="none" w:sz="0" w:space="0" w:color="auto"/>
                <w:bottom w:val="none" w:sz="0" w:space="0" w:color="auto"/>
                <w:right w:val="none" w:sz="0" w:space="0" w:color="auto"/>
              </w:divBdr>
              <w:divsChild>
                <w:div w:id="109925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28919">
          <w:marLeft w:val="0"/>
          <w:marRight w:val="0"/>
          <w:marTop w:val="0"/>
          <w:marBottom w:val="0"/>
          <w:divBdr>
            <w:top w:val="none" w:sz="0" w:space="0" w:color="auto"/>
            <w:left w:val="none" w:sz="0" w:space="0" w:color="auto"/>
            <w:bottom w:val="none" w:sz="0" w:space="0" w:color="auto"/>
            <w:right w:val="none" w:sz="0" w:space="0" w:color="auto"/>
          </w:divBdr>
          <w:divsChild>
            <w:div w:id="610742584">
              <w:marLeft w:val="0"/>
              <w:marRight w:val="0"/>
              <w:marTop w:val="0"/>
              <w:marBottom w:val="0"/>
              <w:divBdr>
                <w:top w:val="none" w:sz="0" w:space="0" w:color="auto"/>
                <w:left w:val="none" w:sz="0" w:space="0" w:color="auto"/>
                <w:bottom w:val="none" w:sz="0" w:space="0" w:color="auto"/>
                <w:right w:val="none" w:sz="0" w:space="0" w:color="auto"/>
              </w:divBdr>
              <w:divsChild>
                <w:div w:id="290484236">
                  <w:marLeft w:val="0"/>
                  <w:marRight w:val="0"/>
                  <w:marTop w:val="0"/>
                  <w:marBottom w:val="0"/>
                  <w:divBdr>
                    <w:top w:val="none" w:sz="0" w:space="0" w:color="auto"/>
                    <w:left w:val="none" w:sz="0" w:space="0" w:color="auto"/>
                    <w:bottom w:val="none" w:sz="0" w:space="0" w:color="auto"/>
                    <w:right w:val="none" w:sz="0" w:space="0" w:color="auto"/>
                  </w:divBdr>
                </w:div>
              </w:divsChild>
            </w:div>
            <w:div w:id="1766799457">
              <w:marLeft w:val="0"/>
              <w:marRight w:val="0"/>
              <w:marTop w:val="0"/>
              <w:marBottom w:val="0"/>
              <w:divBdr>
                <w:top w:val="none" w:sz="0" w:space="0" w:color="auto"/>
                <w:left w:val="none" w:sz="0" w:space="0" w:color="auto"/>
                <w:bottom w:val="none" w:sz="0" w:space="0" w:color="auto"/>
                <w:right w:val="none" w:sz="0" w:space="0" w:color="auto"/>
              </w:divBdr>
              <w:divsChild>
                <w:div w:id="13518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728987">
      <w:bodyDiv w:val="1"/>
      <w:marLeft w:val="0"/>
      <w:marRight w:val="0"/>
      <w:marTop w:val="0"/>
      <w:marBottom w:val="0"/>
      <w:divBdr>
        <w:top w:val="none" w:sz="0" w:space="0" w:color="auto"/>
        <w:left w:val="none" w:sz="0" w:space="0" w:color="auto"/>
        <w:bottom w:val="none" w:sz="0" w:space="0" w:color="auto"/>
        <w:right w:val="none" w:sz="0" w:space="0" w:color="auto"/>
      </w:divBdr>
    </w:div>
    <w:div w:id="1959874275">
      <w:bodyDiv w:val="1"/>
      <w:marLeft w:val="0"/>
      <w:marRight w:val="0"/>
      <w:marTop w:val="0"/>
      <w:marBottom w:val="0"/>
      <w:divBdr>
        <w:top w:val="none" w:sz="0" w:space="0" w:color="auto"/>
        <w:left w:val="none" w:sz="0" w:space="0" w:color="auto"/>
        <w:bottom w:val="none" w:sz="0" w:space="0" w:color="auto"/>
        <w:right w:val="none" w:sz="0" w:space="0" w:color="auto"/>
      </w:divBdr>
    </w:div>
    <w:div w:id="1997294894">
      <w:bodyDiv w:val="1"/>
      <w:marLeft w:val="0"/>
      <w:marRight w:val="0"/>
      <w:marTop w:val="0"/>
      <w:marBottom w:val="0"/>
      <w:divBdr>
        <w:top w:val="none" w:sz="0" w:space="0" w:color="auto"/>
        <w:left w:val="none" w:sz="0" w:space="0" w:color="auto"/>
        <w:bottom w:val="none" w:sz="0" w:space="0" w:color="auto"/>
        <w:right w:val="none" w:sz="0" w:space="0" w:color="auto"/>
      </w:divBdr>
      <w:divsChild>
        <w:div w:id="234556833">
          <w:marLeft w:val="0"/>
          <w:marRight w:val="0"/>
          <w:marTop w:val="0"/>
          <w:marBottom w:val="0"/>
          <w:divBdr>
            <w:top w:val="none" w:sz="0" w:space="0" w:color="auto"/>
            <w:left w:val="none" w:sz="0" w:space="0" w:color="auto"/>
            <w:bottom w:val="none" w:sz="0" w:space="0" w:color="auto"/>
            <w:right w:val="none" w:sz="0" w:space="0" w:color="auto"/>
          </w:divBdr>
          <w:divsChild>
            <w:div w:id="377632886">
              <w:marLeft w:val="0"/>
              <w:marRight w:val="0"/>
              <w:marTop w:val="0"/>
              <w:marBottom w:val="0"/>
              <w:divBdr>
                <w:top w:val="none" w:sz="0" w:space="0" w:color="auto"/>
                <w:left w:val="none" w:sz="0" w:space="0" w:color="auto"/>
                <w:bottom w:val="none" w:sz="0" w:space="0" w:color="auto"/>
                <w:right w:val="none" w:sz="0" w:space="0" w:color="auto"/>
              </w:divBdr>
              <w:divsChild>
                <w:div w:id="83265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439876">
          <w:marLeft w:val="0"/>
          <w:marRight w:val="0"/>
          <w:marTop w:val="0"/>
          <w:marBottom w:val="0"/>
          <w:divBdr>
            <w:top w:val="none" w:sz="0" w:space="0" w:color="auto"/>
            <w:left w:val="none" w:sz="0" w:space="0" w:color="auto"/>
            <w:bottom w:val="none" w:sz="0" w:space="0" w:color="auto"/>
            <w:right w:val="none" w:sz="0" w:space="0" w:color="auto"/>
          </w:divBdr>
          <w:divsChild>
            <w:div w:id="548683640">
              <w:marLeft w:val="0"/>
              <w:marRight w:val="0"/>
              <w:marTop w:val="0"/>
              <w:marBottom w:val="0"/>
              <w:divBdr>
                <w:top w:val="none" w:sz="0" w:space="0" w:color="auto"/>
                <w:left w:val="none" w:sz="0" w:space="0" w:color="auto"/>
                <w:bottom w:val="none" w:sz="0" w:space="0" w:color="auto"/>
                <w:right w:val="none" w:sz="0" w:space="0" w:color="auto"/>
              </w:divBdr>
              <w:divsChild>
                <w:div w:id="18437600">
                  <w:marLeft w:val="0"/>
                  <w:marRight w:val="0"/>
                  <w:marTop w:val="0"/>
                  <w:marBottom w:val="0"/>
                  <w:divBdr>
                    <w:top w:val="none" w:sz="0" w:space="0" w:color="auto"/>
                    <w:left w:val="none" w:sz="0" w:space="0" w:color="auto"/>
                    <w:bottom w:val="none" w:sz="0" w:space="0" w:color="auto"/>
                    <w:right w:val="none" w:sz="0" w:space="0" w:color="auto"/>
                  </w:divBdr>
                </w:div>
              </w:divsChild>
            </w:div>
            <w:div w:id="737483488">
              <w:marLeft w:val="0"/>
              <w:marRight w:val="0"/>
              <w:marTop w:val="0"/>
              <w:marBottom w:val="0"/>
              <w:divBdr>
                <w:top w:val="none" w:sz="0" w:space="0" w:color="auto"/>
                <w:left w:val="none" w:sz="0" w:space="0" w:color="auto"/>
                <w:bottom w:val="none" w:sz="0" w:space="0" w:color="auto"/>
                <w:right w:val="none" w:sz="0" w:space="0" w:color="auto"/>
              </w:divBdr>
              <w:divsChild>
                <w:div w:id="1288395970">
                  <w:marLeft w:val="0"/>
                  <w:marRight w:val="0"/>
                  <w:marTop w:val="0"/>
                  <w:marBottom w:val="0"/>
                  <w:divBdr>
                    <w:top w:val="none" w:sz="0" w:space="0" w:color="auto"/>
                    <w:left w:val="none" w:sz="0" w:space="0" w:color="auto"/>
                    <w:bottom w:val="none" w:sz="0" w:space="0" w:color="auto"/>
                    <w:right w:val="none" w:sz="0" w:space="0" w:color="auto"/>
                  </w:divBdr>
                </w:div>
                <w:div w:id="1834107800">
                  <w:marLeft w:val="0"/>
                  <w:marRight w:val="0"/>
                  <w:marTop w:val="0"/>
                  <w:marBottom w:val="0"/>
                  <w:divBdr>
                    <w:top w:val="none" w:sz="0" w:space="0" w:color="auto"/>
                    <w:left w:val="none" w:sz="0" w:space="0" w:color="auto"/>
                    <w:bottom w:val="none" w:sz="0" w:space="0" w:color="auto"/>
                    <w:right w:val="none" w:sz="0" w:space="0" w:color="auto"/>
                  </w:divBdr>
                </w:div>
              </w:divsChild>
            </w:div>
            <w:div w:id="1308825761">
              <w:marLeft w:val="0"/>
              <w:marRight w:val="0"/>
              <w:marTop w:val="0"/>
              <w:marBottom w:val="0"/>
              <w:divBdr>
                <w:top w:val="none" w:sz="0" w:space="0" w:color="auto"/>
                <w:left w:val="none" w:sz="0" w:space="0" w:color="auto"/>
                <w:bottom w:val="none" w:sz="0" w:space="0" w:color="auto"/>
                <w:right w:val="none" w:sz="0" w:space="0" w:color="auto"/>
              </w:divBdr>
              <w:divsChild>
                <w:div w:id="1023750169">
                  <w:marLeft w:val="0"/>
                  <w:marRight w:val="0"/>
                  <w:marTop w:val="0"/>
                  <w:marBottom w:val="0"/>
                  <w:divBdr>
                    <w:top w:val="none" w:sz="0" w:space="0" w:color="auto"/>
                    <w:left w:val="none" w:sz="0" w:space="0" w:color="auto"/>
                    <w:bottom w:val="none" w:sz="0" w:space="0" w:color="auto"/>
                    <w:right w:val="none" w:sz="0" w:space="0" w:color="auto"/>
                  </w:divBdr>
                </w:div>
              </w:divsChild>
            </w:div>
            <w:div w:id="1946427773">
              <w:marLeft w:val="0"/>
              <w:marRight w:val="0"/>
              <w:marTop w:val="0"/>
              <w:marBottom w:val="0"/>
              <w:divBdr>
                <w:top w:val="none" w:sz="0" w:space="0" w:color="auto"/>
                <w:left w:val="none" w:sz="0" w:space="0" w:color="auto"/>
                <w:bottom w:val="none" w:sz="0" w:space="0" w:color="auto"/>
                <w:right w:val="none" w:sz="0" w:space="0" w:color="auto"/>
              </w:divBdr>
              <w:divsChild>
                <w:div w:id="17992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566869">
      <w:bodyDiv w:val="1"/>
      <w:marLeft w:val="0"/>
      <w:marRight w:val="0"/>
      <w:marTop w:val="0"/>
      <w:marBottom w:val="0"/>
      <w:divBdr>
        <w:top w:val="none" w:sz="0" w:space="0" w:color="auto"/>
        <w:left w:val="none" w:sz="0" w:space="0" w:color="auto"/>
        <w:bottom w:val="none" w:sz="0" w:space="0" w:color="auto"/>
        <w:right w:val="none" w:sz="0" w:space="0" w:color="auto"/>
      </w:divBdr>
      <w:divsChild>
        <w:div w:id="305938488">
          <w:marLeft w:val="0"/>
          <w:marRight w:val="0"/>
          <w:marTop w:val="0"/>
          <w:marBottom w:val="0"/>
          <w:divBdr>
            <w:top w:val="none" w:sz="0" w:space="0" w:color="auto"/>
            <w:left w:val="none" w:sz="0" w:space="0" w:color="auto"/>
            <w:bottom w:val="none" w:sz="0" w:space="0" w:color="auto"/>
            <w:right w:val="none" w:sz="0" w:space="0" w:color="auto"/>
          </w:divBdr>
          <w:divsChild>
            <w:div w:id="885993142">
              <w:marLeft w:val="0"/>
              <w:marRight w:val="0"/>
              <w:marTop w:val="0"/>
              <w:marBottom w:val="0"/>
              <w:divBdr>
                <w:top w:val="none" w:sz="0" w:space="0" w:color="auto"/>
                <w:left w:val="none" w:sz="0" w:space="0" w:color="auto"/>
                <w:bottom w:val="none" w:sz="0" w:space="0" w:color="auto"/>
                <w:right w:val="none" w:sz="0" w:space="0" w:color="auto"/>
              </w:divBdr>
              <w:divsChild>
                <w:div w:id="1923447871">
                  <w:marLeft w:val="0"/>
                  <w:marRight w:val="0"/>
                  <w:marTop w:val="0"/>
                  <w:marBottom w:val="0"/>
                  <w:divBdr>
                    <w:top w:val="none" w:sz="0" w:space="0" w:color="auto"/>
                    <w:left w:val="none" w:sz="0" w:space="0" w:color="auto"/>
                    <w:bottom w:val="none" w:sz="0" w:space="0" w:color="auto"/>
                    <w:right w:val="none" w:sz="0" w:space="0" w:color="auto"/>
                  </w:divBdr>
                </w:div>
              </w:divsChild>
            </w:div>
            <w:div w:id="1991782726">
              <w:marLeft w:val="0"/>
              <w:marRight w:val="0"/>
              <w:marTop w:val="0"/>
              <w:marBottom w:val="0"/>
              <w:divBdr>
                <w:top w:val="none" w:sz="0" w:space="0" w:color="auto"/>
                <w:left w:val="none" w:sz="0" w:space="0" w:color="auto"/>
                <w:bottom w:val="none" w:sz="0" w:space="0" w:color="auto"/>
                <w:right w:val="none" w:sz="0" w:space="0" w:color="auto"/>
              </w:divBdr>
              <w:divsChild>
                <w:div w:id="82196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071804">
          <w:marLeft w:val="0"/>
          <w:marRight w:val="0"/>
          <w:marTop w:val="0"/>
          <w:marBottom w:val="0"/>
          <w:divBdr>
            <w:top w:val="none" w:sz="0" w:space="0" w:color="auto"/>
            <w:left w:val="none" w:sz="0" w:space="0" w:color="auto"/>
            <w:bottom w:val="none" w:sz="0" w:space="0" w:color="auto"/>
            <w:right w:val="none" w:sz="0" w:space="0" w:color="auto"/>
          </w:divBdr>
          <w:divsChild>
            <w:div w:id="1412199959">
              <w:marLeft w:val="0"/>
              <w:marRight w:val="0"/>
              <w:marTop w:val="0"/>
              <w:marBottom w:val="0"/>
              <w:divBdr>
                <w:top w:val="none" w:sz="0" w:space="0" w:color="auto"/>
                <w:left w:val="none" w:sz="0" w:space="0" w:color="auto"/>
                <w:bottom w:val="none" w:sz="0" w:space="0" w:color="auto"/>
                <w:right w:val="none" w:sz="0" w:space="0" w:color="auto"/>
              </w:divBdr>
              <w:divsChild>
                <w:div w:id="128778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422326">
      <w:bodyDiv w:val="1"/>
      <w:marLeft w:val="0"/>
      <w:marRight w:val="0"/>
      <w:marTop w:val="0"/>
      <w:marBottom w:val="0"/>
      <w:divBdr>
        <w:top w:val="none" w:sz="0" w:space="0" w:color="auto"/>
        <w:left w:val="none" w:sz="0" w:space="0" w:color="auto"/>
        <w:bottom w:val="none" w:sz="0" w:space="0" w:color="auto"/>
        <w:right w:val="none" w:sz="0" w:space="0" w:color="auto"/>
      </w:divBdr>
    </w:div>
    <w:div w:id="2075928378">
      <w:bodyDiv w:val="1"/>
      <w:marLeft w:val="0"/>
      <w:marRight w:val="0"/>
      <w:marTop w:val="0"/>
      <w:marBottom w:val="0"/>
      <w:divBdr>
        <w:top w:val="none" w:sz="0" w:space="0" w:color="auto"/>
        <w:left w:val="none" w:sz="0" w:space="0" w:color="auto"/>
        <w:bottom w:val="none" w:sz="0" w:space="0" w:color="auto"/>
        <w:right w:val="none" w:sz="0" w:space="0" w:color="auto"/>
      </w:divBdr>
      <w:divsChild>
        <w:div w:id="845369123">
          <w:marLeft w:val="0"/>
          <w:marRight w:val="0"/>
          <w:marTop w:val="0"/>
          <w:marBottom w:val="0"/>
          <w:divBdr>
            <w:top w:val="none" w:sz="0" w:space="0" w:color="auto"/>
            <w:left w:val="none" w:sz="0" w:space="0" w:color="auto"/>
            <w:bottom w:val="none" w:sz="0" w:space="0" w:color="auto"/>
            <w:right w:val="none" w:sz="0" w:space="0" w:color="auto"/>
          </w:divBdr>
          <w:divsChild>
            <w:div w:id="1224873190">
              <w:marLeft w:val="0"/>
              <w:marRight w:val="0"/>
              <w:marTop w:val="0"/>
              <w:marBottom w:val="0"/>
              <w:divBdr>
                <w:top w:val="none" w:sz="0" w:space="0" w:color="auto"/>
                <w:left w:val="none" w:sz="0" w:space="0" w:color="auto"/>
                <w:bottom w:val="none" w:sz="0" w:space="0" w:color="auto"/>
                <w:right w:val="none" w:sz="0" w:space="0" w:color="auto"/>
              </w:divBdr>
              <w:divsChild>
                <w:div w:id="1451239195">
                  <w:marLeft w:val="0"/>
                  <w:marRight w:val="0"/>
                  <w:marTop w:val="0"/>
                  <w:marBottom w:val="0"/>
                  <w:divBdr>
                    <w:top w:val="none" w:sz="0" w:space="0" w:color="auto"/>
                    <w:left w:val="none" w:sz="0" w:space="0" w:color="auto"/>
                    <w:bottom w:val="none" w:sz="0" w:space="0" w:color="auto"/>
                    <w:right w:val="none" w:sz="0" w:space="0" w:color="auto"/>
                  </w:divBdr>
                </w:div>
              </w:divsChild>
            </w:div>
            <w:div w:id="1604606349">
              <w:marLeft w:val="0"/>
              <w:marRight w:val="0"/>
              <w:marTop w:val="0"/>
              <w:marBottom w:val="0"/>
              <w:divBdr>
                <w:top w:val="none" w:sz="0" w:space="0" w:color="auto"/>
                <w:left w:val="none" w:sz="0" w:space="0" w:color="auto"/>
                <w:bottom w:val="none" w:sz="0" w:space="0" w:color="auto"/>
                <w:right w:val="none" w:sz="0" w:space="0" w:color="auto"/>
              </w:divBdr>
              <w:divsChild>
                <w:div w:id="1236237068">
                  <w:marLeft w:val="0"/>
                  <w:marRight w:val="0"/>
                  <w:marTop w:val="0"/>
                  <w:marBottom w:val="0"/>
                  <w:divBdr>
                    <w:top w:val="none" w:sz="0" w:space="0" w:color="auto"/>
                    <w:left w:val="none" w:sz="0" w:space="0" w:color="auto"/>
                    <w:bottom w:val="none" w:sz="0" w:space="0" w:color="auto"/>
                    <w:right w:val="none" w:sz="0" w:space="0" w:color="auto"/>
                  </w:divBdr>
                </w:div>
                <w:div w:id="1394809697">
                  <w:marLeft w:val="0"/>
                  <w:marRight w:val="0"/>
                  <w:marTop w:val="0"/>
                  <w:marBottom w:val="0"/>
                  <w:divBdr>
                    <w:top w:val="none" w:sz="0" w:space="0" w:color="auto"/>
                    <w:left w:val="none" w:sz="0" w:space="0" w:color="auto"/>
                    <w:bottom w:val="none" w:sz="0" w:space="0" w:color="auto"/>
                    <w:right w:val="none" w:sz="0" w:space="0" w:color="auto"/>
                  </w:divBdr>
                </w:div>
              </w:divsChild>
            </w:div>
            <w:div w:id="1995259676">
              <w:marLeft w:val="0"/>
              <w:marRight w:val="0"/>
              <w:marTop w:val="0"/>
              <w:marBottom w:val="0"/>
              <w:divBdr>
                <w:top w:val="none" w:sz="0" w:space="0" w:color="auto"/>
                <w:left w:val="none" w:sz="0" w:space="0" w:color="auto"/>
                <w:bottom w:val="none" w:sz="0" w:space="0" w:color="auto"/>
                <w:right w:val="none" w:sz="0" w:space="0" w:color="auto"/>
              </w:divBdr>
              <w:divsChild>
                <w:div w:id="25644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533226">
          <w:marLeft w:val="0"/>
          <w:marRight w:val="0"/>
          <w:marTop w:val="0"/>
          <w:marBottom w:val="0"/>
          <w:divBdr>
            <w:top w:val="none" w:sz="0" w:space="0" w:color="auto"/>
            <w:left w:val="none" w:sz="0" w:space="0" w:color="auto"/>
            <w:bottom w:val="none" w:sz="0" w:space="0" w:color="auto"/>
            <w:right w:val="none" w:sz="0" w:space="0" w:color="auto"/>
          </w:divBdr>
          <w:divsChild>
            <w:div w:id="1533956196">
              <w:marLeft w:val="0"/>
              <w:marRight w:val="0"/>
              <w:marTop w:val="0"/>
              <w:marBottom w:val="0"/>
              <w:divBdr>
                <w:top w:val="none" w:sz="0" w:space="0" w:color="auto"/>
                <w:left w:val="none" w:sz="0" w:space="0" w:color="auto"/>
                <w:bottom w:val="none" w:sz="0" w:space="0" w:color="auto"/>
                <w:right w:val="none" w:sz="0" w:space="0" w:color="auto"/>
              </w:divBdr>
              <w:divsChild>
                <w:div w:id="57871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594427">
      <w:bodyDiv w:val="1"/>
      <w:marLeft w:val="0"/>
      <w:marRight w:val="0"/>
      <w:marTop w:val="0"/>
      <w:marBottom w:val="0"/>
      <w:divBdr>
        <w:top w:val="none" w:sz="0" w:space="0" w:color="auto"/>
        <w:left w:val="none" w:sz="0" w:space="0" w:color="auto"/>
        <w:bottom w:val="none" w:sz="0" w:space="0" w:color="auto"/>
        <w:right w:val="none" w:sz="0" w:space="0" w:color="auto"/>
      </w:divBdr>
      <w:divsChild>
        <w:div w:id="977421990">
          <w:marLeft w:val="0"/>
          <w:marRight w:val="0"/>
          <w:marTop w:val="0"/>
          <w:marBottom w:val="0"/>
          <w:divBdr>
            <w:top w:val="none" w:sz="0" w:space="0" w:color="auto"/>
            <w:left w:val="none" w:sz="0" w:space="0" w:color="auto"/>
            <w:bottom w:val="none" w:sz="0" w:space="0" w:color="auto"/>
            <w:right w:val="none" w:sz="0" w:space="0" w:color="auto"/>
          </w:divBdr>
          <w:divsChild>
            <w:div w:id="106825143">
              <w:marLeft w:val="0"/>
              <w:marRight w:val="0"/>
              <w:marTop w:val="0"/>
              <w:marBottom w:val="0"/>
              <w:divBdr>
                <w:top w:val="none" w:sz="0" w:space="0" w:color="auto"/>
                <w:left w:val="none" w:sz="0" w:space="0" w:color="auto"/>
                <w:bottom w:val="none" w:sz="0" w:space="0" w:color="auto"/>
                <w:right w:val="none" w:sz="0" w:space="0" w:color="auto"/>
              </w:divBdr>
              <w:divsChild>
                <w:div w:id="1443959676">
                  <w:marLeft w:val="0"/>
                  <w:marRight w:val="0"/>
                  <w:marTop w:val="0"/>
                  <w:marBottom w:val="0"/>
                  <w:divBdr>
                    <w:top w:val="none" w:sz="0" w:space="0" w:color="auto"/>
                    <w:left w:val="none" w:sz="0" w:space="0" w:color="auto"/>
                    <w:bottom w:val="none" w:sz="0" w:space="0" w:color="auto"/>
                    <w:right w:val="none" w:sz="0" w:space="0" w:color="auto"/>
                  </w:divBdr>
                </w:div>
              </w:divsChild>
            </w:div>
            <w:div w:id="664549778">
              <w:marLeft w:val="0"/>
              <w:marRight w:val="0"/>
              <w:marTop w:val="0"/>
              <w:marBottom w:val="0"/>
              <w:divBdr>
                <w:top w:val="none" w:sz="0" w:space="0" w:color="auto"/>
                <w:left w:val="none" w:sz="0" w:space="0" w:color="auto"/>
                <w:bottom w:val="none" w:sz="0" w:space="0" w:color="auto"/>
                <w:right w:val="none" w:sz="0" w:space="0" w:color="auto"/>
              </w:divBdr>
              <w:divsChild>
                <w:div w:id="104637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png"/><Relationship Id="rId21" Type="http://schemas.openxmlformats.org/officeDocument/2006/relationships/chart" Target="charts/chart1.xml"/><Relationship Id="rId42" Type="http://schemas.openxmlformats.org/officeDocument/2006/relationships/chart" Target="charts/chart15.xml"/><Relationship Id="rId63" Type="http://schemas.openxmlformats.org/officeDocument/2006/relationships/chart" Target="charts/chart25.xml"/><Relationship Id="rId84" Type="http://schemas.openxmlformats.org/officeDocument/2006/relationships/hyperlink" Target="https://www.seringas.caissedesdepots.fr" TargetMode="External"/><Relationship Id="rId138" Type="http://schemas.openxmlformats.org/officeDocument/2006/relationships/hyperlink" Target="https://www.statistiques.developpement-durable.gouv.fr/effets-du-changement-climatique-des-risques-encore-abstraits-pour-les-francais?rubrique=327&amp;dossier=1340" TargetMode="External"/><Relationship Id="rId159" Type="http://schemas.openxmlformats.org/officeDocument/2006/relationships/hyperlink" Target="https://eduscol.education.fr/document/42448/download" TargetMode="External"/><Relationship Id="rId170" Type="http://schemas.openxmlformats.org/officeDocument/2006/relationships/hyperlink" Target="https://www.ecologie.gouv.fr/dialogue-environnemental" TargetMode="External"/><Relationship Id="rId107" Type="http://schemas.openxmlformats.org/officeDocument/2006/relationships/chart" Target="charts/chart51.xml"/><Relationship Id="rId11" Type="http://schemas.openxmlformats.org/officeDocument/2006/relationships/image" Target="media/image1.jpg"/><Relationship Id="rId32" Type="http://schemas.openxmlformats.org/officeDocument/2006/relationships/image" Target="media/image11.png"/><Relationship Id="rId53" Type="http://schemas.openxmlformats.org/officeDocument/2006/relationships/chart" Target="charts/chart18.xml"/><Relationship Id="rId74" Type="http://schemas.openxmlformats.org/officeDocument/2006/relationships/chart" Target="charts/chart35.xml"/><Relationship Id="rId128" Type="http://schemas.openxmlformats.org/officeDocument/2006/relationships/image" Target="media/image41.emf"/><Relationship Id="rId149" Type="http://schemas.openxmlformats.org/officeDocument/2006/relationships/hyperlink" Target="https://www.ecologie.gouv.fr/observatoire-national-sur-effets-du-rechauffement-climatique-onerc" TargetMode="External"/><Relationship Id="rId5" Type="http://schemas.openxmlformats.org/officeDocument/2006/relationships/numbering" Target="numbering.xml"/><Relationship Id="rId95" Type="http://schemas.openxmlformats.org/officeDocument/2006/relationships/chart" Target="charts/chart40.xml"/><Relationship Id="rId160" Type="http://schemas.openxmlformats.org/officeDocument/2006/relationships/hyperlink" Target="https://eduscol.education.fr/1118/la-labellisation-e3d" TargetMode="External"/><Relationship Id="rId22" Type="http://schemas.openxmlformats.org/officeDocument/2006/relationships/chart" Target="charts/chart2.xml"/><Relationship Id="rId43" Type="http://schemas.openxmlformats.org/officeDocument/2006/relationships/chart" Target="charts/chart16.xml"/><Relationship Id="rId64" Type="http://schemas.openxmlformats.org/officeDocument/2006/relationships/chart" Target="charts/chart26.xml"/><Relationship Id="rId118" Type="http://schemas.openxmlformats.org/officeDocument/2006/relationships/image" Target="media/image33.png"/><Relationship Id="rId139" Type="http://schemas.openxmlformats.org/officeDocument/2006/relationships/hyperlink" Target="https://www.statistiques.developpement-durable.gouv.fr/les-francais-face-aux-risques-environnementaux-quelle-prise-de-conscience-en-2022-0?rubrique=43&amp;dossier=200" TargetMode="External"/><Relationship Id="rId85" Type="http://schemas.openxmlformats.org/officeDocument/2006/relationships/image" Target="media/image19.png"/><Relationship Id="rId150" Type="http://schemas.openxmlformats.org/officeDocument/2006/relationships/hyperlink" Target="https://eduscol.education.fr/1117/education-au-developpement-durable" TargetMode="External"/><Relationship Id="rId171" Type="http://schemas.openxmlformats.org/officeDocument/2006/relationships/hyperlink" Target="http://www.globalABC.com" TargetMode="External"/><Relationship Id="rId12" Type="http://schemas.openxmlformats.org/officeDocument/2006/relationships/image" Target="media/image2.png"/><Relationship Id="rId33" Type="http://schemas.openxmlformats.org/officeDocument/2006/relationships/chart" Target="charts/chart6.xml"/><Relationship Id="rId108" Type="http://schemas.openxmlformats.org/officeDocument/2006/relationships/chart" Target="charts/chart52.xml"/><Relationship Id="rId129" Type="http://schemas.openxmlformats.org/officeDocument/2006/relationships/image" Target="media/image42.emf"/><Relationship Id="rId54" Type="http://schemas.openxmlformats.org/officeDocument/2006/relationships/chart" Target="charts/chart19.xml"/><Relationship Id="rId75" Type="http://schemas.openxmlformats.org/officeDocument/2006/relationships/chart" Target="charts/chart36.xml"/><Relationship Id="rId96" Type="http://schemas.openxmlformats.org/officeDocument/2006/relationships/chart" Target="charts/chart41.xml"/><Relationship Id="rId140" Type="http://schemas.openxmlformats.org/officeDocument/2006/relationships/image" Target="media/image44.png"/><Relationship Id="rId161" Type="http://schemas.openxmlformats.org/officeDocument/2006/relationships/hyperlink" Target="https://batiscolaire.education.gouv.fr/"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png"/><Relationship Id="rId28" Type="http://schemas.openxmlformats.org/officeDocument/2006/relationships/chart" Target="charts/chart3.xml"/><Relationship Id="rId49" Type="http://schemas.openxmlformats.org/officeDocument/2006/relationships/hyperlink" Target="https://www.insee.fr/fr/statistiques/2123180" TargetMode="External"/><Relationship Id="rId114" Type="http://schemas.openxmlformats.org/officeDocument/2006/relationships/image" Target="media/image29.png"/><Relationship Id="rId119" Type="http://schemas.openxmlformats.org/officeDocument/2006/relationships/image" Target="media/image34.jpeg"/><Relationship Id="rId44" Type="http://schemas.openxmlformats.org/officeDocument/2006/relationships/hyperlink" Target="https://www.insee.fr/fr/statistiques/2123180" TargetMode="External"/><Relationship Id="rId60" Type="http://schemas.openxmlformats.org/officeDocument/2006/relationships/image" Target="media/image13.emf"/><Relationship Id="rId65" Type="http://schemas.openxmlformats.org/officeDocument/2006/relationships/chart" Target="charts/chart27.xml"/><Relationship Id="rId81" Type="http://schemas.openxmlformats.org/officeDocument/2006/relationships/image" Target="media/image17.emf"/><Relationship Id="rId86" Type="http://schemas.openxmlformats.org/officeDocument/2006/relationships/image" Target="media/image20.png"/><Relationship Id="rId130" Type="http://schemas.openxmlformats.org/officeDocument/2006/relationships/hyperlink" Target="http://www.oecd.org/dac/financing-sustainable-development/development-finance-topics/climate-change.htm" TargetMode="External"/><Relationship Id="rId135" Type="http://schemas.openxmlformats.org/officeDocument/2006/relationships/hyperlink" Target="http://www.emep.int/" TargetMode="External"/><Relationship Id="rId151" Type="http://schemas.openxmlformats.org/officeDocument/2006/relationships/hyperlink" Target="https://www.legifrance.gouv.fr/codes/article_lc/LEGIARTI000044330805" TargetMode="External"/><Relationship Id="rId156" Type="http://schemas.openxmlformats.org/officeDocument/2006/relationships/hyperlink" Target="https://eduscol.education.fr/document/5239/download" TargetMode="External"/><Relationship Id="rId172" Type="http://schemas.openxmlformats.org/officeDocument/2006/relationships/image" Target="media/image48.emf"/><Relationship Id="rId13" Type="http://schemas.openxmlformats.org/officeDocument/2006/relationships/footer" Target="footer1.xml"/><Relationship Id="rId18" Type="http://schemas.openxmlformats.org/officeDocument/2006/relationships/hyperlink" Target="https://www.legifrance.gouv.fr/codes/article_lc/LEGIARTI000043974685/2021-08-25" TargetMode="External"/><Relationship Id="rId39" Type="http://schemas.openxmlformats.org/officeDocument/2006/relationships/chart" Target="charts/chart12.xml"/><Relationship Id="rId109" Type="http://schemas.openxmlformats.org/officeDocument/2006/relationships/image" Target="media/image25.gif"/><Relationship Id="rId34" Type="http://schemas.openxmlformats.org/officeDocument/2006/relationships/chart" Target="charts/chart7.xml"/><Relationship Id="rId50" Type="http://schemas.openxmlformats.org/officeDocument/2006/relationships/hyperlink" Target="https://www.insee.fr/fr/statistiques/2123180" TargetMode="External"/><Relationship Id="rId55" Type="http://schemas.openxmlformats.org/officeDocument/2006/relationships/chart" Target="charts/chart20.xml"/><Relationship Id="rId76" Type="http://schemas.openxmlformats.org/officeDocument/2006/relationships/chart" Target="charts/chart37.xml"/><Relationship Id="rId97" Type="http://schemas.openxmlformats.org/officeDocument/2006/relationships/chart" Target="charts/chart42.xml"/><Relationship Id="rId104" Type="http://schemas.openxmlformats.org/officeDocument/2006/relationships/chart" Target="charts/chart49.xml"/><Relationship Id="rId120" Type="http://schemas.openxmlformats.org/officeDocument/2006/relationships/image" Target="media/image35.jpeg"/><Relationship Id="rId125" Type="http://schemas.openxmlformats.org/officeDocument/2006/relationships/image" Target="media/image40.png"/><Relationship Id="rId141" Type="http://schemas.openxmlformats.org/officeDocument/2006/relationships/image" Target="media/image45.png"/><Relationship Id="rId146" Type="http://schemas.openxmlformats.org/officeDocument/2006/relationships/hyperlink" Target="https://www.statistiques.developpement-durable.gouv.fr/changement-climatique" TargetMode="External"/><Relationship Id="rId167" Type="http://schemas.openxmlformats.org/officeDocument/2006/relationships/hyperlink" Target="https://www.ofb.gouv.fr/aires-educatives" TargetMode="External"/><Relationship Id="rId7" Type="http://schemas.openxmlformats.org/officeDocument/2006/relationships/settings" Target="settings.xml"/><Relationship Id="rId71" Type="http://schemas.openxmlformats.org/officeDocument/2006/relationships/chart" Target="charts/chart32.xml"/><Relationship Id="rId92" Type="http://schemas.openxmlformats.org/officeDocument/2006/relationships/hyperlink" Target="http://ec.europa.eu/transparency/regdoc/?fuseaction=ia" TargetMode="External"/><Relationship Id="rId162" Type="http://schemas.openxmlformats.org/officeDocument/2006/relationships/hyperlink" Target="https://www.cube-s.org/" TargetMode="External"/><Relationship Id="rId2" Type="http://schemas.openxmlformats.org/officeDocument/2006/relationships/customXml" Target="../customXml/item2.xml"/><Relationship Id="rId29" Type="http://schemas.openxmlformats.org/officeDocument/2006/relationships/chart" Target="charts/chart4.xml"/><Relationship Id="rId24" Type="http://schemas.openxmlformats.org/officeDocument/2006/relationships/image" Target="media/image6.png"/><Relationship Id="rId40" Type="http://schemas.openxmlformats.org/officeDocument/2006/relationships/chart" Target="charts/chart13.xml"/><Relationship Id="rId45" Type="http://schemas.openxmlformats.org/officeDocument/2006/relationships/hyperlink" Target="https://www.insee.fr/fr/statistiques/2123180" TargetMode="External"/><Relationship Id="rId66" Type="http://schemas.openxmlformats.org/officeDocument/2006/relationships/chart" Target="charts/chart28.xml"/><Relationship Id="rId87" Type="http://schemas.openxmlformats.org/officeDocument/2006/relationships/hyperlink" Target="https://www.ecologie.gouv.fr/sites/default/files/2020-03-25_MTES_SNBC2.pd" TargetMode="External"/><Relationship Id="rId110" Type="http://schemas.openxmlformats.org/officeDocument/2006/relationships/hyperlink" Target="https://meteofrance.com/changement-climatique/observer/le-changement-climatique-en-france" TargetMode="External"/><Relationship Id="rId115" Type="http://schemas.openxmlformats.org/officeDocument/2006/relationships/image" Target="media/image30.jpg"/><Relationship Id="rId131" Type="http://schemas.openxmlformats.org/officeDocument/2006/relationships/hyperlink" Target="http://www.ozcar-ri.org/?lang=fr" TargetMode="External"/><Relationship Id="rId136" Type="http://schemas.openxmlformats.org/officeDocument/2006/relationships/image" Target="media/image43.png"/><Relationship Id="rId157" Type="http://schemas.openxmlformats.org/officeDocument/2006/relationships/hyperlink" Target="https://www.education.gouv.fr/prix-de-l-action-eco-deleguee-de-l-annee-307360" TargetMode="External"/><Relationship Id="rId61" Type="http://schemas.openxmlformats.org/officeDocument/2006/relationships/image" Target="media/image14.emf"/><Relationship Id="rId82" Type="http://schemas.openxmlformats.org/officeDocument/2006/relationships/image" Target="media/image18.emf"/><Relationship Id="rId152" Type="http://schemas.openxmlformats.org/officeDocument/2006/relationships/hyperlink" Target="https://www.legifrance.gouv.fr/codes/article_lc/LEGIARTI000043958813" TargetMode="External"/><Relationship Id="rId173" Type="http://schemas.openxmlformats.org/officeDocument/2006/relationships/image" Target="media/image49.emf"/><Relationship Id="rId19" Type="http://schemas.openxmlformats.org/officeDocument/2006/relationships/hyperlink" Target="https://www.education.gouv.fr/bo/19/Hebdo31/MENE1924799C.htm" TargetMode="External"/><Relationship Id="rId14" Type="http://schemas.openxmlformats.org/officeDocument/2006/relationships/header" Target="header1.xml"/><Relationship Id="rId30" Type="http://schemas.openxmlformats.org/officeDocument/2006/relationships/image" Target="media/image10.emf"/><Relationship Id="rId35" Type="http://schemas.openxmlformats.org/officeDocument/2006/relationships/chart" Target="charts/chart8.xml"/><Relationship Id="rId56" Type="http://schemas.openxmlformats.org/officeDocument/2006/relationships/chart" Target="charts/chart21.xml"/><Relationship Id="rId77" Type="http://schemas.openxmlformats.org/officeDocument/2006/relationships/chart" Target="charts/chart38.xml"/><Relationship Id="rId100" Type="http://schemas.openxmlformats.org/officeDocument/2006/relationships/chart" Target="charts/chart45.xml"/><Relationship Id="rId105" Type="http://schemas.openxmlformats.org/officeDocument/2006/relationships/chart" Target="charts/chart50.xml"/><Relationship Id="rId126" Type="http://schemas.openxmlformats.org/officeDocument/2006/relationships/hyperlink" Target="https://www.horizon2020.gouv.fr/cid145004/presentation-programme-horizon-europe-2019.html" TargetMode="External"/><Relationship Id="rId147" Type="http://schemas.openxmlformats.org/officeDocument/2006/relationships/hyperlink" Target="https://www.notre-environnement.gouv.fr/" TargetMode="External"/><Relationship Id="rId168" Type="http://schemas.openxmlformats.org/officeDocument/2006/relationships/hyperlink" Target="https://www.sciencealecole.org/plan-meteo-a-lecole-presentation" TargetMode="External"/><Relationship Id="rId8" Type="http://schemas.openxmlformats.org/officeDocument/2006/relationships/webSettings" Target="webSettings.xml"/><Relationship Id="rId51" Type="http://schemas.openxmlformats.org/officeDocument/2006/relationships/hyperlink" Target="https://www.insee.fr/fr/metadonnees/source/serie/s1030" TargetMode="External"/><Relationship Id="rId72" Type="http://schemas.openxmlformats.org/officeDocument/2006/relationships/chart" Target="charts/chart33.xml"/><Relationship Id="rId93" Type="http://schemas.openxmlformats.org/officeDocument/2006/relationships/image" Target="media/image22.png"/><Relationship Id="rId98" Type="http://schemas.openxmlformats.org/officeDocument/2006/relationships/chart" Target="charts/chart43.xml"/><Relationship Id="rId121" Type="http://schemas.openxmlformats.org/officeDocument/2006/relationships/image" Target="media/image36.png"/><Relationship Id="rId142" Type="http://schemas.openxmlformats.org/officeDocument/2006/relationships/image" Target="media/image46.png"/><Relationship Id="rId163" Type="http://schemas.openxmlformats.org/officeDocument/2006/relationships/hyperlink" Target="https://www.cube-s.org/retours-dexperience-du-challenge-cube-s/" TargetMode="External"/><Relationship Id="rId3" Type="http://schemas.openxmlformats.org/officeDocument/2006/relationships/customXml" Target="../customXml/item3.xml"/><Relationship Id="rId25" Type="http://schemas.openxmlformats.org/officeDocument/2006/relationships/image" Target="media/image7.jpg"/><Relationship Id="rId46" Type="http://schemas.openxmlformats.org/officeDocument/2006/relationships/hyperlink" Target="https://www.insee.fr/fr/statistiques/2123180" TargetMode="External"/><Relationship Id="rId67" Type="http://schemas.openxmlformats.org/officeDocument/2006/relationships/chart" Target="charts/chart29.xml"/><Relationship Id="rId116" Type="http://schemas.openxmlformats.org/officeDocument/2006/relationships/image" Target="media/image31.emf"/><Relationship Id="rId137" Type="http://schemas.openxmlformats.org/officeDocument/2006/relationships/hyperlink" Target="https://www.statistiques.developpement-durable.gouv.fr/le-sentiment-dexposition-aux-risques-environnementaux?rubrique=43&amp;dossier=200" TargetMode="External"/><Relationship Id="rId158" Type="http://schemas.openxmlformats.org/officeDocument/2006/relationships/hyperlink" Target="https://eduscol.education.fr/1121/les-eco-delegues" TargetMode="External"/><Relationship Id="rId20" Type="http://schemas.openxmlformats.org/officeDocument/2006/relationships/hyperlink" Target="https://www.education.gouv.fr/bo/20/Hebdo36/MENE2025449C.htm" TargetMode="External"/><Relationship Id="rId41" Type="http://schemas.openxmlformats.org/officeDocument/2006/relationships/chart" Target="charts/chart14.xml"/><Relationship Id="rId62" Type="http://schemas.openxmlformats.org/officeDocument/2006/relationships/chart" Target="charts/chart24.xml"/><Relationship Id="rId83" Type="http://schemas.openxmlformats.org/officeDocument/2006/relationships/hyperlink" Target="https://unionregistry.ec.europa.eu/euregistry/FR/index.xhtml" TargetMode="External"/><Relationship Id="rId88" Type="http://schemas.openxmlformats.org/officeDocument/2006/relationships/hyperlink" Target="https://www.legifrance.gouv.fr/codes/article_lc/LEGIARTI000039369458" TargetMode="External"/><Relationship Id="rId111" Type="http://schemas.openxmlformats.org/officeDocument/2006/relationships/image" Target="media/image26.png"/><Relationship Id="rId132" Type="http://schemas.openxmlformats.org/officeDocument/2006/relationships/hyperlink" Target="http://www.amma-catch.org/IMG/pdf/ozcar_observatories.pdf" TargetMode="External"/><Relationship Id="rId153" Type="http://schemas.openxmlformats.org/officeDocument/2006/relationships/hyperlink" Target="https://www.legifrance.gouv.fr/codes/article_lc/LEGIARTI000043974685/2021-08-25" TargetMode="External"/><Relationship Id="rId174" Type="http://schemas.openxmlformats.org/officeDocument/2006/relationships/fontTable" Target="fontTable.xml"/><Relationship Id="rId15" Type="http://schemas.openxmlformats.org/officeDocument/2006/relationships/image" Target="media/image3.gif"/><Relationship Id="rId36" Type="http://schemas.openxmlformats.org/officeDocument/2006/relationships/chart" Target="charts/chart9.xml"/><Relationship Id="rId57" Type="http://schemas.openxmlformats.org/officeDocument/2006/relationships/chart" Target="charts/chart22.xml"/><Relationship Id="rId106" Type="http://schemas.openxmlformats.org/officeDocument/2006/relationships/image" Target="media/image24.png"/><Relationship Id="rId127" Type="http://schemas.openxmlformats.org/officeDocument/2006/relationships/hyperlink" Target="https://www.horizon-europe.gouv.fr/mission-adaptation-au-changement-climatique-et-aux-transformations-societales-27800" TargetMode="External"/><Relationship Id="rId10" Type="http://schemas.openxmlformats.org/officeDocument/2006/relationships/endnotes" Target="endnotes.xml"/><Relationship Id="rId31" Type="http://schemas.openxmlformats.org/officeDocument/2006/relationships/chart" Target="charts/chart5.xml"/><Relationship Id="rId52" Type="http://schemas.openxmlformats.org/officeDocument/2006/relationships/chart" Target="charts/chart17.xml"/><Relationship Id="rId73" Type="http://schemas.openxmlformats.org/officeDocument/2006/relationships/chart" Target="charts/chart34.xml"/><Relationship Id="rId78" Type="http://schemas.openxmlformats.org/officeDocument/2006/relationships/chart" Target="charts/chart39.xml"/><Relationship Id="rId94" Type="http://schemas.openxmlformats.org/officeDocument/2006/relationships/image" Target="media/image23.png"/><Relationship Id="rId99" Type="http://schemas.openxmlformats.org/officeDocument/2006/relationships/chart" Target="charts/chart44.xml"/><Relationship Id="rId101" Type="http://schemas.openxmlformats.org/officeDocument/2006/relationships/chart" Target="charts/chart46.xml"/><Relationship Id="rId122" Type="http://schemas.openxmlformats.org/officeDocument/2006/relationships/image" Target="media/image37.emf"/><Relationship Id="rId143" Type="http://schemas.openxmlformats.org/officeDocument/2006/relationships/image" Target="media/image47.png"/><Relationship Id="rId148" Type="http://schemas.openxmlformats.org/officeDocument/2006/relationships/hyperlink" Target="https://www.adaptation-changement-climatique.gouv.fr/" TargetMode="External"/><Relationship Id="rId164" Type="http://schemas.openxmlformats.org/officeDocument/2006/relationships/hyperlink" Target="https://www.mtaterre.fr/" TargetMode="External"/><Relationship Id="rId169" Type="http://schemas.openxmlformats.org/officeDocument/2006/relationships/hyperlink" Target="https://www.ecologie.gouv.fr/sites/default/files/Thema%20-%20Initiatives%20citoyennes%20et%20transition%20&#233;cologique.pdf"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8.png"/><Relationship Id="rId47" Type="http://schemas.openxmlformats.org/officeDocument/2006/relationships/hyperlink" Target="https://www.insee.fr/fr/statistiques/2123180" TargetMode="External"/><Relationship Id="rId68" Type="http://schemas.openxmlformats.org/officeDocument/2006/relationships/image" Target="media/image15.emf"/><Relationship Id="rId89" Type="http://schemas.openxmlformats.org/officeDocument/2006/relationships/hyperlink" Target="https://www.ecologie.gouv.fr/sites/default/files/20200318%20Rapport%20d'accompagnement%20SNBC2.pdf" TargetMode="External"/><Relationship Id="rId112" Type="http://schemas.openxmlformats.org/officeDocument/2006/relationships/image" Target="media/image27.png"/><Relationship Id="rId133" Type="http://schemas.openxmlformats.org/officeDocument/2006/relationships/hyperlink" Target="https://www.lter-europe.net/" TargetMode="External"/><Relationship Id="rId154" Type="http://schemas.openxmlformats.org/officeDocument/2006/relationships/hyperlink" Target="https://www.education.gouv.fr/bo/19/Hebdo31/MENE1924799C.htm" TargetMode="External"/><Relationship Id="rId175" Type="http://schemas.openxmlformats.org/officeDocument/2006/relationships/theme" Target="theme/theme1.xml"/><Relationship Id="rId16" Type="http://schemas.openxmlformats.org/officeDocument/2006/relationships/image" Target="media/image4.gif"/><Relationship Id="rId37" Type="http://schemas.openxmlformats.org/officeDocument/2006/relationships/chart" Target="charts/chart10.xml"/><Relationship Id="rId58" Type="http://schemas.openxmlformats.org/officeDocument/2006/relationships/image" Target="media/image12.png"/><Relationship Id="rId79" Type="http://schemas.openxmlformats.org/officeDocument/2006/relationships/hyperlink" Target="mailto:jonathan.hess@developpement-durable.gouv.fr" TargetMode="External"/><Relationship Id="rId102" Type="http://schemas.openxmlformats.org/officeDocument/2006/relationships/chart" Target="charts/chart47.xml"/><Relationship Id="rId123" Type="http://schemas.openxmlformats.org/officeDocument/2006/relationships/image" Target="media/image38.png"/><Relationship Id="rId144" Type="http://schemas.openxmlformats.org/officeDocument/2006/relationships/hyperlink" Target="https://www.statistiques.developpement-durable.gouv.fr/etat-de-lenvironnement" TargetMode="External"/><Relationship Id="rId90" Type="http://schemas.openxmlformats.org/officeDocument/2006/relationships/image" Target="media/image21.gif"/><Relationship Id="rId165" Type="http://schemas.openxmlformats.org/officeDocument/2006/relationships/hyperlink" Target="http://www.agirpourlatransition.ademe.fr/acteurs-education" TargetMode="External"/><Relationship Id="rId27" Type="http://schemas.openxmlformats.org/officeDocument/2006/relationships/image" Target="media/image9.png"/><Relationship Id="rId48" Type="http://schemas.openxmlformats.org/officeDocument/2006/relationships/hyperlink" Target="https://www.insee.fr/fr/statistiques/2123180" TargetMode="External"/><Relationship Id="rId69" Type="http://schemas.openxmlformats.org/officeDocument/2006/relationships/chart" Target="charts/chart30.xml"/><Relationship Id="rId113" Type="http://schemas.openxmlformats.org/officeDocument/2006/relationships/image" Target="media/image28.png"/><Relationship Id="rId134" Type="http://schemas.openxmlformats.org/officeDocument/2006/relationships/hyperlink" Target="https://www.czen.org/" TargetMode="External"/><Relationship Id="rId80" Type="http://schemas.openxmlformats.org/officeDocument/2006/relationships/hyperlink" Target="https://www.citepa.org/fr/ccnucc/" TargetMode="External"/><Relationship Id="rId155" Type="http://schemas.openxmlformats.org/officeDocument/2006/relationships/hyperlink" Target="https://www.education.gouv.fr/bo/20/Hebdo36/MENE2025449C.htm" TargetMode="External"/><Relationship Id="rId17" Type="http://schemas.openxmlformats.org/officeDocument/2006/relationships/hyperlink" Target="https://www.legifrance.gouv.fr/codes/article_lc/LEGIARTI000043958813" TargetMode="External"/><Relationship Id="rId38" Type="http://schemas.openxmlformats.org/officeDocument/2006/relationships/chart" Target="charts/chart11.xml"/><Relationship Id="rId59" Type="http://schemas.openxmlformats.org/officeDocument/2006/relationships/chart" Target="charts/chart23.xml"/><Relationship Id="rId103" Type="http://schemas.openxmlformats.org/officeDocument/2006/relationships/chart" Target="charts/chart48.xml"/><Relationship Id="rId124" Type="http://schemas.openxmlformats.org/officeDocument/2006/relationships/image" Target="media/image39.png"/><Relationship Id="rId70" Type="http://schemas.openxmlformats.org/officeDocument/2006/relationships/chart" Target="charts/chart31.xml"/><Relationship Id="rId91" Type="http://schemas.openxmlformats.org/officeDocument/2006/relationships/hyperlink" Target="https://solidarites-sante.gouv.fr/IMG/pdf/pnns_4_bilan_mai2021.pdf" TargetMode="External"/><Relationship Id="rId145" Type="http://schemas.openxmlformats.org/officeDocument/2006/relationships/hyperlink" Target="https://www.statistiques.developpement-durable.gouv.fr/bilan-environnemental-de-la-france-edition-2021?rubrique=41&amp;dossier=176" TargetMode="External"/><Relationship Id="rId166" Type="http://schemas.openxmlformats.org/officeDocument/2006/relationships/hyperlink" Target="https://www.mnhn.fr/fr/enseignant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legifrance.gouv.fr/affichCodeArticle.do?cidTexte=LEGITEXT000006074220&amp;idArticle=LEGIARTI000022476854&amp;" TargetMode="External"/><Relationship Id="rId13" Type="http://schemas.openxmlformats.org/officeDocument/2006/relationships/hyperlink" Target="https://www.4p1000.org/fr" TargetMode="External"/><Relationship Id="rId18" Type="http://schemas.openxmlformats.org/officeDocument/2006/relationships/hyperlink" Target="https://www.ecologie.gouv.fr/sites/default/files/9782111573567_ONERC_EtudesProspectives_Web_VF.pdf" TargetMode="External"/><Relationship Id="rId26" Type="http://schemas.openxmlformats.org/officeDocument/2006/relationships/hyperlink" Target="http://cache.media.enseignementsup-recherche.gouv.fr/file/Strategie_Recherche/26/9/strategie_nationale_recherche_397269.pdf" TargetMode="External"/><Relationship Id="rId3" Type="http://schemas.openxmlformats.org/officeDocument/2006/relationships/hyperlink" Target="https://www.insee.fr/fr/statistiques/2496716?sommaire=2496793" TargetMode="External"/><Relationship Id="rId21" Type="http://schemas.openxmlformats.org/officeDocument/2006/relationships/hyperlink" Target="http://www.drias-climat.fr" TargetMode="External"/><Relationship Id="rId7" Type="http://schemas.openxmlformats.org/officeDocument/2006/relationships/hyperlink" Target="https://www.citepa.org/fr/" TargetMode="External"/><Relationship Id="rId12" Type="http://schemas.openxmlformats.org/officeDocument/2006/relationships/hyperlink" Target="https://agriculture.gouv.fr/tous-les-travaux-autour-des-3-thematiques-du-varenne-agricole-de-leau-et-de-ladaptation-au" TargetMode="External"/><Relationship Id="rId17" Type="http://schemas.openxmlformats.org/officeDocument/2006/relationships/hyperlink" Target="https://www.ecologie.gouv.fr/sites/default/files/ONERC_Rapport_2019_SfN_WEB.pdf" TargetMode="External"/><Relationship Id="rId25" Type="http://schemas.openxmlformats.org/officeDocument/2006/relationships/hyperlink" Target="https://www.idfc.org/wp-content/uploads/2019/04/common_principles_for_climate_adaption_finance_tracking_jul_09.pdf" TargetMode="External"/><Relationship Id="rId2" Type="http://schemas.openxmlformats.org/officeDocument/2006/relationships/hyperlink" Target="https://www2.assemblee-nationale.fr/decouvrir-l-assemblee/role-et-pouvoirs-de-l-assemblee-nationale/les-institutions-francaises-generalites/l-organisation-territoriale-de-la-france" TargetMode="External"/><Relationship Id="rId16" Type="http://schemas.openxmlformats.org/officeDocument/2006/relationships/hyperlink" Target="https://reportnet.europa.eu/public/country/FR" TargetMode="External"/><Relationship Id="rId20" Type="http://schemas.openxmlformats.org/officeDocument/2006/relationships/hyperlink" Target="https://www.adaptation-changement-climatique.gouv.fr" TargetMode="External"/><Relationship Id="rId29" Type="http://schemas.openxmlformats.org/officeDocument/2006/relationships/hyperlink" Target="https://www.performance-publique.budget.gouv.fr/sites/performance_publique/files/farandole/ressources/2016/pap/pdf/jaunes/jaune2016_investissements_avenir.pdf" TargetMode="External"/><Relationship Id="rId1" Type="http://schemas.openxmlformats.org/officeDocument/2006/relationships/hyperlink" Target="https://www.legifrance.gouv.fr/loda/id/JORFTEXT000024556265/" TargetMode="External"/><Relationship Id="rId6" Type="http://schemas.openxmlformats.org/officeDocument/2006/relationships/hyperlink" Target="https://www.legifrance.gouv.fr/loda/id/JORFTEXT000024556265/" TargetMode="External"/><Relationship Id="rId11" Type="http://schemas.openxmlformats.org/officeDocument/2006/relationships/hyperlink" Target="https://eur-lex.europa.eu/legal-content/FR/TXT/PDF/?uri=CELEX:32019R0807&amp;from=EN" TargetMode="External"/><Relationship Id="rId24" Type="http://schemas.openxmlformats.org/officeDocument/2006/relationships/hyperlink" Target="https://www.idfc.org/wp-content/uploads/2021/10/cp-mit-update-final-2021-10-18.pdf" TargetMode="External"/><Relationship Id="rId5" Type="http://schemas.openxmlformats.org/officeDocument/2006/relationships/hyperlink" Target="https://unfccc.int/documents/461899" TargetMode="External"/><Relationship Id="rId15" Type="http://schemas.openxmlformats.org/officeDocument/2006/relationships/hyperlink" Target="https://www.ecologique-solidaire.gouv.fr/scenarios-prospectifs-energie-climat-air" TargetMode="External"/><Relationship Id="rId23" Type="http://schemas.openxmlformats.org/officeDocument/2006/relationships/hyperlink" Target="https://www.strategie.gouv.fr/sites/strategie.gouv.fr/files/atoms/files/fs-2022-na108-risques_climatiques-mai.pdf%22" TargetMode="External"/><Relationship Id="rId28" Type="http://schemas.openxmlformats.org/officeDocument/2006/relationships/hyperlink" Target="http://cache.media.enseignementsup-recherche.gouv.fr/file/Infrastructures_de_recherche/16/4/infrastructures_UK_web_615164.pdf" TargetMode="External"/><Relationship Id="rId10" Type="http://schemas.openxmlformats.org/officeDocument/2006/relationships/hyperlink" Target="https://www.legifrance.gouv.fr/jorf/id/JORFTEXT000038812251" TargetMode="External"/><Relationship Id="rId19" Type="http://schemas.openxmlformats.org/officeDocument/2006/relationships/hyperlink" Target="https://www.ecologique-solidaire.gouv.fr/observatoire-national-sur-effets-du-rechauffement-climatique-onerc" TargetMode="External"/><Relationship Id="rId4" Type="http://schemas.openxmlformats.org/officeDocument/2006/relationships/hyperlink" Target="https://artificialisation.developpement-durable.gouv.fr/bases-donnees/teruti-lucas" TargetMode="External"/><Relationship Id="rId9" Type="http://schemas.openxmlformats.org/officeDocument/2006/relationships/hyperlink" Target="https://www.ecologie.gouv.fr/rapportages-climat-france" TargetMode="External"/><Relationship Id="rId14" Type="http://schemas.openxmlformats.org/officeDocument/2006/relationships/hyperlink" Target="https://www.ecologie.gouv.fr/sites/default/files/Synth&#232;se_du_sc&#233;nario_AME2021_postQAQC%5b1%5d.pdf" TargetMode="External"/><Relationship Id="rId22" Type="http://schemas.openxmlformats.org/officeDocument/2006/relationships/hyperlink" Target="https://www.i4ce.org/wp-content/uploads/2022/07/Juin-2022_I4CE_besoins_adaptation.pdf" TargetMode="External"/><Relationship Id="rId27" Type="http://schemas.openxmlformats.org/officeDocument/2006/relationships/hyperlink" Target="http://cache.media.enseignementsup-recherche.gouv.fr/file/Infrastructures_de_recherche/74/5/feuille_route_infrastructures_recherche_2016_555745.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INSEE-Scenario-POP-207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if254.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figures_bilan_energetique_provisoire_202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chiffres_clefs_energie_edition2022_donnees_figure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1" Type="http://schemas.openxmlformats.org/officeDocument/2006/relationships/oleObject" Target="file:///\\auth-dgec-1.auth.ad.e2.rie.gouv.fr\dgec.scee.dlces\9_Intranet,%20Internet,%20communication\95_Rapport%20bisannuel\Rapport%202022%20BR5%20NC8\R&#233;daction%20NC8\2%20-%20Circonstances%20nationales%20relatives%20aux%20GES\chiffres_clefs_energie_edition2022_donnees_figures.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chiffres_clefs_energie_edition2022_donnees_figures.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L:\9_Intranet,%20Internet,%20communication\95_Rapport%20bisannuel\Rapport%202022%20BR5%20NC8\R&#233;daction%20NC8\2%20-%20Circonstances%20nationales%20relatives%20aux%20GES\chiffres_clefs_energie_edition2022_donnees_figures.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IPI_202206.xls"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Donnees-recensement%20agricole.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Donnees-recensement%20agricole.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Donnees-recensement%20agricole.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onathan.hess\Downloads\demo-couple-taille-menage-nombr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Donnees-recensement%20agricole.xlsx" TargetMode="Externa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xml"/></Relationships>
</file>

<file path=word/charts/_rels/chart21.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Donnees-recensement%20agricole.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Donnees-foret.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Chapitres%20%20Inventaires\Donnees-GES.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Chapitres%20%20Inventaires\Donnees-GES.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Chapitres%20%20Inventaires\Donnees-GES.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econ-gen-pib-composante-niveaux.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image" Target="../media/image16.png"/><Relationship Id="rId2" Type="http://schemas.microsoft.com/office/2011/relationships/chartColorStyle" Target="colors29.xml"/><Relationship Id="rId1" Type="http://schemas.microsoft.com/office/2011/relationships/chartStyle" Target="style29.xml"/><Relationship Id="rId5" Type="http://schemas.openxmlformats.org/officeDocument/2006/relationships/chartUserShapes" Target="../drawings/drawing2.xml"/><Relationship Id="rId4" Type="http://schemas.openxmlformats.org/officeDocument/2006/relationships/oleObject" Target="file:///\\auth-dgec-1.auth.ad.e2.rie.gouv.fr\dgec.scee.dlces\4_Inventaires%20d'&#233;missions,%20prospective%20et%20&#233;valuation\41_Inventaires\411_Ann&#233;es%20d'inventaire\2021\SECTEN%20mai%202022\Citepa_Transports_Secten_ed2022-d.xlsx" TargetMode="External"/></Relationships>
</file>

<file path=word/charts/_rels/chart31.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1%20-%20R&#233;sum&#233;%20analytique\Donnees-GES.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1%20-%20R&#233;sum&#233;%20analytique\Donnees-GES.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1%20-%20R&#233;sum&#233;%20analytique\Donnees-GES.xlsx" TargetMode="External"/><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1%20-%20R&#233;sum&#233;%20analytique\Donnees-GES.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econ-com-ext-solde-balance-com.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yanis.chaigneau\Documents\comparaison_ame_ams.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Projections\graphiques%20projections%20BR5.xlsx" TargetMode="External"/><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1" Type="http://schemas.openxmlformats.org/officeDocument/2006/relationships/oleObject" Target="file:///C:\Users\yanis.chaigneau\Documents\calculs_figures_CCNUCC.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yanis.chaigneau\Documents\calculs_figures_CCNUCC.xlsx" TargetMode="External"/></Relationships>
</file>

<file path=word/charts/_rels/chart44.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1.xml"/><Relationship Id="rId1" Type="http://schemas.microsoft.com/office/2011/relationships/chartStyle" Target="style41.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2.xml"/><Relationship Id="rId1" Type="http://schemas.microsoft.com/office/2011/relationships/chartStyle" Target="style42.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3.xml"/><Relationship Id="rId1" Type="http://schemas.microsoft.com/office/2011/relationships/chartStyle" Target="style43.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4.xml"/><Relationship Id="rId1" Type="http://schemas.microsoft.com/office/2011/relationships/chartStyle" Target="style44.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5.xml"/><Relationship Id="rId1" Type="http://schemas.microsoft.com/office/2011/relationships/chartStyle" Target="style45.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6.xml"/><Relationship Id="rId1" Type="http://schemas.microsoft.com/office/2011/relationships/chartStyle" Target="style46.xml"/></Relationships>
</file>

<file path=word/charts/_rels/chart5.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2021_comptes_transports_e_transport_marchandises_v2.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7.xml"/><Relationship Id="rId1" Type="http://schemas.microsoft.com/office/2011/relationships/chartStyle" Target="style47.xml"/></Relationships>
</file>

<file path=word/charts/_rels/chart51.xml.rels><?xml version="1.0" encoding="UTF-8" standalone="yes"?>
<Relationships xmlns="http://schemas.openxmlformats.org/package/2006/relationships"><Relationship Id="rId3" Type="http://schemas.openxmlformats.org/officeDocument/2006/relationships/oleObject" Target="file:///\\auth-apn-1.auth.ad.e2.rie.gouv.fr\dgec.scee.dlces\4_Inventaires%20d'&#233;missions,%20prospective%20et%20&#233;valuation\42_Prospective\421_Sc&#233;narios%20prospectifs%20DGEC\4214_Sc&#233;narios%202021\AME%202021\param&#232;tres%20de%20cadrage%20AME%202021%20v5.xlsx" TargetMode="External"/><Relationship Id="rId2" Type="http://schemas.microsoft.com/office/2011/relationships/chartColorStyle" Target="colors48.xml"/><Relationship Id="rId1" Type="http://schemas.microsoft.com/office/2011/relationships/chartStyle" Target="style48.xml"/></Relationships>
</file>

<file path=word/charts/_rels/chart52.xml.rels><?xml version="1.0" encoding="UTF-8" standalone="yes"?>
<Relationships xmlns="http://schemas.openxmlformats.org/package/2006/relationships"><Relationship Id="rId3" Type="http://schemas.openxmlformats.org/officeDocument/2006/relationships/oleObject" Target="file:///\\auth-apn-1.auth.ad.e2.rie.gouv.fr\dgec.scee.dlces\4_Inventaires%20d'&#233;missions,%20prospective%20et%20&#233;valuation\42_Prospective\421_Sc&#233;narios%20prospectifs%20DGEC\4214_Sc&#233;narios%202021\AME%202021\param&#232;tres%20de%20cadrage%20AME%202021%20v5.xlsx" TargetMode="External"/><Relationship Id="rId2" Type="http://schemas.microsoft.com/office/2011/relationships/chartColorStyle" Target="colors49.xml"/><Relationship Id="rId1" Type="http://schemas.microsoft.com/office/2011/relationships/chartStyle" Target="style49.xml"/></Relationships>
</file>

<file path=word/charts/_rels/chart6.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parc_vp_france_202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parc_vul_france_2022_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ect-ind-auto-immat-energi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chiffres_cles_enr_edition2022.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Scenarios for population change in France up to 2070</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Scenario central</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'[INSEE-Scenario-POP-2070.xlsx]Feuil1'!$B$6:$BB$6</c:f>
              <c:numCache>
                <c:formatCode>General</c:formatCode>
                <c:ptCount val="5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pt idx="33">
                  <c:v>2051</c:v>
                </c:pt>
                <c:pt idx="34">
                  <c:v>2052</c:v>
                </c:pt>
                <c:pt idx="35">
                  <c:v>2053</c:v>
                </c:pt>
                <c:pt idx="36">
                  <c:v>2054</c:v>
                </c:pt>
                <c:pt idx="37">
                  <c:v>2055</c:v>
                </c:pt>
                <c:pt idx="38">
                  <c:v>2056</c:v>
                </c:pt>
                <c:pt idx="39">
                  <c:v>2057</c:v>
                </c:pt>
                <c:pt idx="40">
                  <c:v>2058</c:v>
                </c:pt>
                <c:pt idx="41">
                  <c:v>2059</c:v>
                </c:pt>
                <c:pt idx="42">
                  <c:v>2060</c:v>
                </c:pt>
                <c:pt idx="43">
                  <c:v>2061</c:v>
                </c:pt>
                <c:pt idx="44">
                  <c:v>2062</c:v>
                </c:pt>
                <c:pt idx="45">
                  <c:v>2063</c:v>
                </c:pt>
                <c:pt idx="46">
                  <c:v>2064</c:v>
                </c:pt>
                <c:pt idx="47">
                  <c:v>2065</c:v>
                </c:pt>
                <c:pt idx="48">
                  <c:v>2066</c:v>
                </c:pt>
                <c:pt idx="49">
                  <c:v>2067</c:v>
                </c:pt>
                <c:pt idx="50">
                  <c:v>2068</c:v>
                </c:pt>
                <c:pt idx="51">
                  <c:v>2069</c:v>
                </c:pt>
                <c:pt idx="52">
                  <c:v>2070</c:v>
                </c:pt>
              </c:numCache>
            </c:numRef>
          </c:cat>
          <c:val>
            <c:numRef>
              <c:f>'[INSEE-Scenario-POP-2070.xlsx]Feuil1'!$B$7:$BB$7</c:f>
              <c:numCache>
                <c:formatCode>General</c:formatCode>
                <c:ptCount val="53"/>
                <c:pt idx="0">
                  <c:v>66999</c:v>
                </c:pt>
                <c:pt idx="1">
                  <c:v>67147</c:v>
                </c:pt>
                <c:pt idx="2">
                  <c:v>67287</c:v>
                </c:pt>
                <c:pt idx="3">
                  <c:v>67411</c:v>
                </c:pt>
                <c:pt idx="4">
                  <c:v>67518</c:v>
                </c:pt>
                <c:pt idx="5">
                  <c:v>67660</c:v>
                </c:pt>
                <c:pt idx="6">
                  <c:v>67812</c:v>
                </c:pt>
                <c:pt idx="7">
                  <c:v>67950</c:v>
                </c:pt>
                <c:pt idx="8">
                  <c:v>68087</c:v>
                </c:pt>
                <c:pt idx="9">
                  <c:v>68216</c:v>
                </c:pt>
                <c:pt idx="10">
                  <c:v>68336</c:v>
                </c:pt>
                <c:pt idx="11">
                  <c:v>68452</c:v>
                </c:pt>
                <c:pt idx="12">
                  <c:v>68553</c:v>
                </c:pt>
                <c:pt idx="13">
                  <c:v>68657</c:v>
                </c:pt>
                <c:pt idx="14">
                  <c:v>68746</c:v>
                </c:pt>
                <c:pt idx="15">
                  <c:v>68834</c:v>
                </c:pt>
                <c:pt idx="16">
                  <c:v>68910</c:v>
                </c:pt>
                <c:pt idx="17">
                  <c:v>68983</c:v>
                </c:pt>
                <c:pt idx="18">
                  <c:v>69054</c:v>
                </c:pt>
                <c:pt idx="19">
                  <c:v>69102</c:v>
                </c:pt>
                <c:pt idx="20">
                  <c:v>69151</c:v>
                </c:pt>
                <c:pt idx="21">
                  <c:v>69194</c:v>
                </c:pt>
                <c:pt idx="22">
                  <c:v>69220</c:v>
                </c:pt>
                <c:pt idx="23">
                  <c:v>69251</c:v>
                </c:pt>
                <c:pt idx="24">
                  <c:v>69268</c:v>
                </c:pt>
                <c:pt idx="25">
                  <c:v>69283</c:v>
                </c:pt>
                <c:pt idx="26">
                  <c:v>69285</c:v>
                </c:pt>
                <c:pt idx="27">
                  <c:v>69280</c:v>
                </c:pt>
                <c:pt idx="28">
                  <c:v>69277</c:v>
                </c:pt>
                <c:pt idx="29">
                  <c:v>69268</c:v>
                </c:pt>
                <c:pt idx="30">
                  <c:v>69252</c:v>
                </c:pt>
                <c:pt idx="31">
                  <c:v>69237</c:v>
                </c:pt>
                <c:pt idx="32">
                  <c:v>69206</c:v>
                </c:pt>
                <c:pt idx="33">
                  <c:v>69175</c:v>
                </c:pt>
                <c:pt idx="34">
                  <c:v>69138</c:v>
                </c:pt>
                <c:pt idx="35">
                  <c:v>69097</c:v>
                </c:pt>
                <c:pt idx="36">
                  <c:v>69051</c:v>
                </c:pt>
                <c:pt idx="37">
                  <c:v>68996</c:v>
                </c:pt>
                <c:pt idx="38">
                  <c:v>68940</c:v>
                </c:pt>
                <c:pt idx="39">
                  <c:v>68873</c:v>
                </c:pt>
                <c:pt idx="40">
                  <c:v>68807</c:v>
                </c:pt>
                <c:pt idx="41">
                  <c:v>68743</c:v>
                </c:pt>
                <c:pt idx="42">
                  <c:v>68677</c:v>
                </c:pt>
                <c:pt idx="43">
                  <c:v>68606</c:v>
                </c:pt>
                <c:pt idx="44">
                  <c:v>68539</c:v>
                </c:pt>
                <c:pt idx="45">
                  <c:v>68471</c:v>
                </c:pt>
                <c:pt idx="46">
                  <c:v>68404</c:v>
                </c:pt>
                <c:pt idx="47">
                  <c:v>68342</c:v>
                </c:pt>
                <c:pt idx="48">
                  <c:v>68294</c:v>
                </c:pt>
                <c:pt idx="49">
                  <c:v>68240</c:v>
                </c:pt>
                <c:pt idx="50">
                  <c:v>68192</c:v>
                </c:pt>
                <c:pt idx="51">
                  <c:v>68143</c:v>
                </c:pt>
                <c:pt idx="52">
                  <c:v>68102</c:v>
                </c:pt>
              </c:numCache>
            </c:numRef>
          </c:val>
          <c:smooth val="0"/>
          <c:extLst>
            <c:ext xmlns:c16="http://schemas.microsoft.com/office/drawing/2014/chart" uri="{C3380CC4-5D6E-409C-BE32-E72D297353CC}">
              <c16:uniqueId val="{00000000-FD27-48A6-BF2D-D85A66D43C40}"/>
            </c:ext>
          </c:extLst>
        </c:ser>
        <c:ser>
          <c:idx val="1"/>
          <c:order val="1"/>
          <c:tx>
            <c:v>Scenario bas</c:v>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'[INSEE-Scenario-POP-2070.xlsx]Feuil1'!$B$8:$BB$8</c:f>
              <c:numCache>
                <c:formatCode>General</c:formatCode>
                <c:ptCount val="53"/>
                <c:pt idx="0">
                  <c:v>66999</c:v>
                </c:pt>
                <c:pt idx="1">
                  <c:v>67141</c:v>
                </c:pt>
                <c:pt idx="2">
                  <c:v>67285</c:v>
                </c:pt>
                <c:pt idx="3">
                  <c:v>67409</c:v>
                </c:pt>
                <c:pt idx="4">
                  <c:v>67437</c:v>
                </c:pt>
                <c:pt idx="5">
                  <c:v>67505</c:v>
                </c:pt>
                <c:pt idx="6">
                  <c:v>67577</c:v>
                </c:pt>
                <c:pt idx="7">
                  <c:v>67614</c:v>
                </c:pt>
                <c:pt idx="8">
                  <c:v>67634</c:v>
                </c:pt>
                <c:pt idx="9">
                  <c:v>67629</c:v>
                </c:pt>
                <c:pt idx="10">
                  <c:v>67607</c:v>
                </c:pt>
                <c:pt idx="11">
                  <c:v>67559</c:v>
                </c:pt>
                <c:pt idx="12">
                  <c:v>67499</c:v>
                </c:pt>
                <c:pt idx="13">
                  <c:v>67413</c:v>
                </c:pt>
                <c:pt idx="14">
                  <c:v>67317</c:v>
                </c:pt>
                <c:pt idx="15">
                  <c:v>67204</c:v>
                </c:pt>
                <c:pt idx="16">
                  <c:v>67095</c:v>
                </c:pt>
                <c:pt idx="17">
                  <c:v>66970</c:v>
                </c:pt>
                <c:pt idx="18">
                  <c:v>66826</c:v>
                </c:pt>
                <c:pt idx="19">
                  <c:v>66672</c:v>
                </c:pt>
                <c:pt idx="20">
                  <c:v>66512</c:v>
                </c:pt>
                <c:pt idx="21">
                  <c:v>66332</c:v>
                </c:pt>
                <c:pt idx="22">
                  <c:v>66159</c:v>
                </c:pt>
                <c:pt idx="23">
                  <c:v>65957</c:v>
                </c:pt>
                <c:pt idx="24">
                  <c:v>65761</c:v>
                </c:pt>
                <c:pt idx="25">
                  <c:v>65550</c:v>
                </c:pt>
                <c:pt idx="26">
                  <c:v>65333</c:v>
                </c:pt>
                <c:pt idx="27">
                  <c:v>65115</c:v>
                </c:pt>
                <c:pt idx="28">
                  <c:v>64888</c:v>
                </c:pt>
                <c:pt idx="29">
                  <c:v>64659</c:v>
                </c:pt>
                <c:pt idx="30">
                  <c:v>64422</c:v>
                </c:pt>
                <c:pt idx="31">
                  <c:v>64181</c:v>
                </c:pt>
                <c:pt idx="32">
                  <c:v>63934</c:v>
                </c:pt>
                <c:pt idx="33">
                  <c:v>63683</c:v>
                </c:pt>
                <c:pt idx="34">
                  <c:v>63427</c:v>
                </c:pt>
                <c:pt idx="35">
                  <c:v>63152</c:v>
                </c:pt>
                <c:pt idx="36">
                  <c:v>62886</c:v>
                </c:pt>
                <c:pt idx="37">
                  <c:v>62612</c:v>
                </c:pt>
                <c:pt idx="38">
                  <c:v>62319</c:v>
                </c:pt>
                <c:pt idx="39">
                  <c:v>62033</c:v>
                </c:pt>
                <c:pt idx="40">
                  <c:v>61732</c:v>
                </c:pt>
                <c:pt idx="41">
                  <c:v>61429</c:v>
                </c:pt>
                <c:pt idx="42">
                  <c:v>61120</c:v>
                </c:pt>
                <c:pt idx="43">
                  <c:v>60811</c:v>
                </c:pt>
                <c:pt idx="44">
                  <c:v>60493</c:v>
                </c:pt>
                <c:pt idx="45">
                  <c:v>60179</c:v>
                </c:pt>
                <c:pt idx="46">
                  <c:v>59868</c:v>
                </c:pt>
                <c:pt idx="47">
                  <c:v>59553</c:v>
                </c:pt>
                <c:pt idx="48">
                  <c:v>59231</c:v>
                </c:pt>
                <c:pt idx="49">
                  <c:v>58920</c:v>
                </c:pt>
                <c:pt idx="50">
                  <c:v>58608</c:v>
                </c:pt>
                <c:pt idx="51">
                  <c:v>58297</c:v>
                </c:pt>
                <c:pt idx="52">
                  <c:v>57989</c:v>
                </c:pt>
              </c:numCache>
            </c:numRef>
          </c:val>
          <c:smooth val="0"/>
          <c:extLst>
            <c:ext xmlns:c16="http://schemas.microsoft.com/office/drawing/2014/chart" uri="{C3380CC4-5D6E-409C-BE32-E72D297353CC}">
              <c16:uniqueId val="{00000001-FD27-48A6-BF2D-D85A66D43C40}"/>
            </c:ext>
          </c:extLst>
        </c:ser>
        <c:ser>
          <c:idx val="2"/>
          <c:order val="2"/>
          <c:tx>
            <c:v>Scenario haut</c:v>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'[INSEE-Scenario-POP-2070.xlsx]Feuil1'!$B$9:$BB$9</c:f>
              <c:numCache>
                <c:formatCode>General</c:formatCode>
                <c:ptCount val="53"/>
                <c:pt idx="0">
                  <c:v>66999</c:v>
                </c:pt>
                <c:pt idx="1">
                  <c:v>67143</c:v>
                </c:pt>
                <c:pt idx="2">
                  <c:v>67287</c:v>
                </c:pt>
                <c:pt idx="3">
                  <c:v>67407</c:v>
                </c:pt>
                <c:pt idx="4">
                  <c:v>67587</c:v>
                </c:pt>
                <c:pt idx="5">
                  <c:v>67811</c:v>
                </c:pt>
                <c:pt idx="6">
                  <c:v>68057</c:v>
                </c:pt>
                <c:pt idx="7">
                  <c:v>68307</c:v>
                </c:pt>
                <c:pt idx="8">
                  <c:v>68562</c:v>
                </c:pt>
                <c:pt idx="9">
                  <c:v>68823</c:v>
                </c:pt>
                <c:pt idx="10">
                  <c:v>69092</c:v>
                </c:pt>
                <c:pt idx="11">
                  <c:v>69378</c:v>
                </c:pt>
                <c:pt idx="12">
                  <c:v>69653</c:v>
                </c:pt>
                <c:pt idx="13">
                  <c:v>69945</c:v>
                </c:pt>
                <c:pt idx="14">
                  <c:v>70237</c:v>
                </c:pt>
                <c:pt idx="15">
                  <c:v>70525</c:v>
                </c:pt>
                <c:pt idx="16">
                  <c:v>70812</c:v>
                </c:pt>
                <c:pt idx="17">
                  <c:v>71092</c:v>
                </c:pt>
                <c:pt idx="18">
                  <c:v>71369</c:v>
                </c:pt>
                <c:pt idx="19">
                  <c:v>71644</c:v>
                </c:pt>
                <c:pt idx="20">
                  <c:v>71914</c:v>
                </c:pt>
                <c:pt idx="21">
                  <c:v>72180</c:v>
                </c:pt>
                <c:pt idx="22">
                  <c:v>72437</c:v>
                </c:pt>
                <c:pt idx="23">
                  <c:v>72693</c:v>
                </c:pt>
                <c:pt idx="24">
                  <c:v>72942</c:v>
                </c:pt>
                <c:pt idx="25">
                  <c:v>73182</c:v>
                </c:pt>
                <c:pt idx="26">
                  <c:v>73417</c:v>
                </c:pt>
                <c:pt idx="27">
                  <c:v>73650</c:v>
                </c:pt>
                <c:pt idx="28">
                  <c:v>73873</c:v>
                </c:pt>
                <c:pt idx="29">
                  <c:v>74102</c:v>
                </c:pt>
                <c:pt idx="30">
                  <c:v>74311</c:v>
                </c:pt>
                <c:pt idx="31">
                  <c:v>74529</c:v>
                </c:pt>
                <c:pt idx="32">
                  <c:v>74737</c:v>
                </c:pt>
                <c:pt idx="33">
                  <c:v>74941</c:v>
                </c:pt>
                <c:pt idx="34">
                  <c:v>75139</c:v>
                </c:pt>
                <c:pt idx="35">
                  <c:v>75334</c:v>
                </c:pt>
                <c:pt idx="36">
                  <c:v>75528</c:v>
                </c:pt>
                <c:pt idx="37">
                  <c:v>75720</c:v>
                </c:pt>
                <c:pt idx="38">
                  <c:v>75909</c:v>
                </c:pt>
                <c:pt idx="39">
                  <c:v>76094</c:v>
                </c:pt>
                <c:pt idx="40">
                  <c:v>76295</c:v>
                </c:pt>
                <c:pt idx="41">
                  <c:v>76486</c:v>
                </c:pt>
                <c:pt idx="42">
                  <c:v>76685</c:v>
                </c:pt>
                <c:pt idx="43">
                  <c:v>76899</c:v>
                </c:pt>
                <c:pt idx="44">
                  <c:v>77106</c:v>
                </c:pt>
                <c:pt idx="45">
                  <c:v>77332</c:v>
                </c:pt>
                <c:pt idx="46">
                  <c:v>77558</c:v>
                </c:pt>
                <c:pt idx="47">
                  <c:v>77792</c:v>
                </c:pt>
                <c:pt idx="48">
                  <c:v>78041</c:v>
                </c:pt>
                <c:pt idx="49">
                  <c:v>78293</c:v>
                </c:pt>
                <c:pt idx="50">
                  <c:v>78550</c:v>
                </c:pt>
                <c:pt idx="51">
                  <c:v>78815</c:v>
                </c:pt>
                <c:pt idx="52">
                  <c:v>79100</c:v>
                </c:pt>
              </c:numCache>
            </c:numRef>
          </c:val>
          <c:smooth val="0"/>
          <c:extLst>
            <c:ext xmlns:c16="http://schemas.microsoft.com/office/drawing/2014/chart" uri="{C3380CC4-5D6E-409C-BE32-E72D297353CC}">
              <c16:uniqueId val="{00000002-FD27-48A6-BF2D-D85A66D43C40}"/>
            </c:ext>
          </c:extLst>
        </c:ser>
        <c:ser>
          <c:idx val="3"/>
          <c:order val="3"/>
          <c:tx>
            <c:v>Scenario jeune</c:v>
          </c:tx>
          <c:spPr>
            <a:ln w="28575" cap="rnd">
              <a:solidFill>
                <a:schemeClr val="accent4"/>
              </a:solidFill>
              <a:round/>
            </a:ln>
            <a:effectLst/>
          </c:spPr>
          <c:marker>
            <c:symbol val="circle"/>
            <c:size val="5"/>
            <c:spPr>
              <a:solidFill>
                <a:schemeClr val="accent4"/>
              </a:solidFill>
              <a:ln w="9525">
                <a:solidFill>
                  <a:schemeClr val="accent4"/>
                </a:solidFill>
              </a:ln>
              <a:effectLst/>
            </c:spPr>
          </c:marker>
          <c:val>
            <c:numRef>
              <c:f>'[INSEE-Scenario-POP-2070.xlsx]Feuil1'!$B$10:$BB$10</c:f>
              <c:numCache>
                <c:formatCode>General</c:formatCode>
                <c:ptCount val="53"/>
                <c:pt idx="0">
                  <c:v>66999</c:v>
                </c:pt>
                <c:pt idx="1">
                  <c:v>67143</c:v>
                </c:pt>
                <c:pt idx="2">
                  <c:v>67287</c:v>
                </c:pt>
                <c:pt idx="3">
                  <c:v>67407</c:v>
                </c:pt>
                <c:pt idx="4">
                  <c:v>67549</c:v>
                </c:pt>
                <c:pt idx="5">
                  <c:v>67709</c:v>
                </c:pt>
                <c:pt idx="6">
                  <c:v>67902</c:v>
                </c:pt>
                <c:pt idx="7">
                  <c:v>68099</c:v>
                </c:pt>
                <c:pt idx="8">
                  <c:v>68291</c:v>
                </c:pt>
                <c:pt idx="9">
                  <c:v>68484</c:v>
                </c:pt>
                <c:pt idx="10">
                  <c:v>68679</c:v>
                </c:pt>
                <c:pt idx="11">
                  <c:v>68885</c:v>
                </c:pt>
                <c:pt idx="12">
                  <c:v>69085</c:v>
                </c:pt>
                <c:pt idx="13">
                  <c:v>69293</c:v>
                </c:pt>
                <c:pt idx="14">
                  <c:v>69501</c:v>
                </c:pt>
                <c:pt idx="15">
                  <c:v>69688</c:v>
                </c:pt>
                <c:pt idx="16">
                  <c:v>69876</c:v>
                </c:pt>
                <c:pt idx="17">
                  <c:v>70058</c:v>
                </c:pt>
                <c:pt idx="18">
                  <c:v>70230</c:v>
                </c:pt>
                <c:pt idx="19">
                  <c:v>70393</c:v>
                </c:pt>
                <c:pt idx="20">
                  <c:v>70545</c:v>
                </c:pt>
                <c:pt idx="21">
                  <c:v>70692</c:v>
                </c:pt>
                <c:pt idx="22">
                  <c:v>70825</c:v>
                </c:pt>
                <c:pt idx="23">
                  <c:v>70963</c:v>
                </c:pt>
                <c:pt idx="24">
                  <c:v>71090</c:v>
                </c:pt>
                <c:pt idx="25">
                  <c:v>71202</c:v>
                </c:pt>
                <c:pt idx="26">
                  <c:v>71319</c:v>
                </c:pt>
                <c:pt idx="27">
                  <c:v>71427</c:v>
                </c:pt>
                <c:pt idx="28">
                  <c:v>71530</c:v>
                </c:pt>
                <c:pt idx="29">
                  <c:v>71634</c:v>
                </c:pt>
                <c:pt idx="30">
                  <c:v>71727</c:v>
                </c:pt>
                <c:pt idx="31">
                  <c:v>71816</c:v>
                </c:pt>
                <c:pt idx="32">
                  <c:v>71907</c:v>
                </c:pt>
                <c:pt idx="33">
                  <c:v>71996</c:v>
                </c:pt>
                <c:pt idx="34">
                  <c:v>72076</c:v>
                </c:pt>
                <c:pt idx="35">
                  <c:v>72158</c:v>
                </c:pt>
                <c:pt idx="36">
                  <c:v>72235</c:v>
                </c:pt>
                <c:pt idx="37">
                  <c:v>72315</c:v>
                </c:pt>
                <c:pt idx="38">
                  <c:v>72396</c:v>
                </c:pt>
                <c:pt idx="39">
                  <c:v>72477</c:v>
                </c:pt>
                <c:pt idx="40">
                  <c:v>72565</c:v>
                </c:pt>
                <c:pt idx="41">
                  <c:v>72653</c:v>
                </c:pt>
                <c:pt idx="42">
                  <c:v>72746</c:v>
                </c:pt>
                <c:pt idx="43">
                  <c:v>72850</c:v>
                </c:pt>
                <c:pt idx="44">
                  <c:v>72967</c:v>
                </c:pt>
                <c:pt idx="45">
                  <c:v>73084</c:v>
                </c:pt>
                <c:pt idx="46">
                  <c:v>73218</c:v>
                </c:pt>
                <c:pt idx="47">
                  <c:v>73353</c:v>
                </c:pt>
                <c:pt idx="48">
                  <c:v>73502</c:v>
                </c:pt>
                <c:pt idx="49">
                  <c:v>73661</c:v>
                </c:pt>
                <c:pt idx="50">
                  <c:v>73825</c:v>
                </c:pt>
                <c:pt idx="51">
                  <c:v>73998</c:v>
                </c:pt>
                <c:pt idx="52">
                  <c:v>74173</c:v>
                </c:pt>
              </c:numCache>
            </c:numRef>
          </c:val>
          <c:smooth val="0"/>
          <c:extLst>
            <c:ext xmlns:c16="http://schemas.microsoft.com/office/drawing/2014/chart" uri="{C3380CC4-5D6E-409C-BE32-E72D297353CC}">
              <c16:uniqueId val="{00000003-FD27-48A6-BF2D-D85A66D43C40}"/>
            </c:ext>
          </c:extLst>
        </c:ser>
        <c:dLbls>
          <c:showLegendKey val="0"/>
          <c:showVal val="0"/>
          <c:showCatName val="0"/>
          <c:showSerName val="0"/>
          <c:showPercent val="0"/>
          <c:showBubbleSize val="0"/>
        </c:dLbls>
        <c:marker val="1"/>
        <c:smooth val="0"/>
        <c:axId val="631738736"/>
        <c:axId val="631732912"/>
      </c:lineChart>
      <c:catAx>
        <c:axId val="63173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732912"/>
        <c:crosses val="autoZero"/>
        <c:auto val="1"/>
        <c:lblAlgn val="ctr"/>
        <c:lblOffset val="100"/>
        <c:noMultiLvlLbl val="0"/>
      </c:catAx>
      <c:valAx>
        <c:axId val="631732912"/>
        <c:scaling>
          <c:orientation val="minMax"/>
          <c:min val="5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738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'[if254.xlsx]Figure 3'!$A$4</c:f>
              <c:strCache>
                <c:ptCount val="1"/>
                <c:pt idx="0">
                  <c:v>Logements individuels</c:v>
                </c:pt>
              </c:strCache>
            </c:strRef>
          </c:tx>
          <c:spPr>
            <a:solidFill>
              <a:srgbClr val="0070C0"/>
            </a:solidFill>
            <a:ln>
              <a:noFill/>
            </a:ln>
            <a:effectLst/>
          </c:spPr>
          <c:invertIfNegative val="0"/>
          <c:cat>
            <c:strRef>
              <c:f>'[if254.xlsx]Figure 3'!$B$3:$H$3</c:f>
              <c:strCache>
                <c:ptCount val="7"/>
                <c:pt idx="0">
                  <c:v>1986-1991</c:v>
                </c:pt>
                <c:pt idx="1">
                  <c:v>1991-1996</c:v>
                </c:pt>
                <c:pt idx="2">
                  <c:v>1996-2001</c:v>
                </c:pt>
                <c:pt idx="3">
                  <c:v>2001-2006</c:v>
                </c:pt>
                <c:pt idx="4">
                  <c:v>2006-2011</c:v>
                </c:pt>
                <c:pt idx="5">
                  <c:v>2011-2016</c:v>
                </c:pt>
                <c:pt idx="6">
                  <c:v>2016-2021</c:v>
                </c:pt>
              </c:strCache>
            </c:strRef>
          </c:cat>
          <c:val>
            <c:numRef>
              <c:f>'[if254.xlsx]Figure 3'!$B$4:$H$4</c:f>
              <c:numCache>
                <c:formatCode>0.0</c:formatCode>
                <c:ptCount val="7"/>
                <c:pt idx="0">
                  <c:v>1.2</c:v>
                </c:pt>
                <c:pt idx="1">
                  <c:v>0.9</c:v>
                </c:pt>
                <c:pt idx="2">
                  <c:v>1.1000000000000001</c:v>
                </c:pt>
                <c:pt idx="3">
                  <c:v>1.3</c:v>
                </c:pt>
                <c:pt idx="4">
                  <c:v>1.1000000000000001</c:v>
                </c:pt>
                <c:pt idx="5">
                  <c:v>0.9</c:v>
                </c:pt>
                <c:pt idx="6">
                  <c:v>0.6</c:v>
                </c:pt>
              </c:numCache>
            </c:numRef>
          </c:val>
          <c:extLst>
            <c:ext xmlns:c16="http://schemas.microsoft.com/office/drawing/2014/chart" uri="{C3380CC4-5D6E-409C-BE32-E72D297353CC}">
              <c16:uniqueId val="{00000000-E3E2-486C-AE49-05046D4FF00B}"/>
            </c:ext>
          </c:extLst>
        </c:ser>
        <c:ser>
          <c:idx val="1"/>
          <c:order val="1"/>
          <c:tx>
            <c:strRef>
              <c:f>'[if254.xlsx]Figure 3'!$A$5</c:f>
              <c:strCache>
                <c:ptCount val="1"/>
                <c:pt idx="0">
                  <c:v>Logements collectifs</c:v>
                </c:pt>
              </c:strCache>
            </c:strRef>
          </c:tx>
          <c:spPr>
            <a:solidFill>
              <a:srgbClr val="FFC000"/>
            </a:solidFill>
            <a:ln>
              <a:noFill/>
            </a:ln>
            <a:effectLst/>
          </c:spPr>
          <c:invertIfNegative val="0"/>
          <c:cat>
            <c:strRef>
              <c:f>'[if254.xlsx]Figure 3'!$B$3:$H$3</c:f>
              <c:strCache>
                <c:ptCount val="7"/>
                <c:pt idx="0">
                  <c:v>1986-1991</c:v>
                </c:pt>
                <c:pt idx="1">
                  <c:v>1991-1996</c:v>
                </c:pt>
                <c:pt idx="2">
                  <c:v>1996-2001</c:v>
                </c:pt>
                <c:pt idx="3">
                  <c:v>2001-2006</c:v>
                </c:pt>
                <c:pt idx="4">
                  <c:v>2006-2011</c:v>
                </c:pt>
                <c:pt idx="5">
                  <c:v>2011-2016</c:v>
                </c:pt>
                <c:pt idx="6">
                  <c:v>2016-2021</c:v>
                </c:pt>
              </c:strCache>
            </c:strRef>
          </c:cat>
          <c:val>
            <c:numRef>
              <c:f>'[if254.xlsx]Figure 3'!$B$5:$H$5</c:f>
              <c:numCache>
                <c:formatCode>0.0</c:formatCode>
                <c:ptCount val="7"/>
                <c:pt idx="0">
                  <c:v>1.1000000000000001</c:v>
                </c:pt>
                <c:pt idx="1">
                  <c:v>1.2</c:v>
                </c:pt>
                <c:pt idx="2">
                  <c:v>1</c:v>
                </c:pt>
                <c:pt idx="3">
                  <c:v>0.9</c:v>
                </c:pt>
                <c:pt idx="4">
                  <c:v>1.2</c:v>
                </c:pt>
                <c:pt idx="5">
                  <c:v>1.2</c:v>
                </c:pt>
                <c:pt idx="6">
                  <c:v>1.3</c:v>
                </c:pt>
              </c:numCache>
            </c:numRef>
          </c:val>
          <c:extLst>
            <c:ext xmlns:c16="http://schemas.microsoft.com/office/drawing/2014/chart" uri="{C3380CC4-5D6E-409C-BE32-E72D297353CC}">
              <c16:uniqueId val="{00000001-E3E2-486C-AE49-05046D4FF00B}"/>
            </c:ext>
          </c:extLst>
        </c:ser>
        <c:ser>
          <c:idx val="2"/>
          <c:order val="2"/>
          <c:tx>
            <c:strRef>
              <c:f>'[if254.xlsx]Figure 3'!$A$6</c:f>
              <c:strCache>
                <c:ptCount val="1"/>
                <c:pt idx="0">
                  <c:v>Ensemble</c:v>
                </c:pt>
              </c:strCache>
            </c:strRef>
          </c:tx>
          <c:spPr>
            <a:solidFill>
              <a:schemeClr val="bg1">
                <a:lumMod val="65000"/>
              </a:schemeClr>
            </a:solidFill>
            <a:ln>
              <a:noFill/>
            </a:ln>
            <a:effectLst/>
          </c:spPr>
          <c:invertIfNegative val="0"/>
          <c:cat>
            <c:strRef>
              <c:f>'[if254.xlsx]Figure 3'!$B$3:$H$3</c:f>
              <c:strCache>
                <c:ptCount val="7"/>
                <c:pt idx="0">
                  <c:v>1986-1991</c:v>
                </c:pt>
                <c:pt idx="1">
                  <c:v>1991-1996</c:v>
                </c:pt>
                <c:pt idx="2">
                  <c:v>1996-2001</c:v>
                </c:pt>
                <c:pt idx="3">
                  <c:v>2001-2006</c:v>
                </c:pt>
                <c:pt idx="4">
                  <c:v>2006-2011</c:v>
                </c:pt>
                <c:pt idx="5">
                  <c:v>2011-2016</c:v>
                </c:pt>
                <c:pt idx="6">
                  <c:v>2016-2021</c:v>
                </c:pt>
              </c:strCache>
            </c:strRef>
          </c:cat>
          <c:val>
            <c:numRef>
              <c:f>'[if254.xlsx]Figure 3'!$B$6:$H$6</c:f>
              <c:numCache>
                <c:formatCode>0.0</c:formatCode>
                <c:ptCount val="7"/>
                <c:pt idx="0">
                  <c:v>1.1000000000000001</c:v>
                </c:pt>
                <c:pt idx="1">
                  <c:v>1</c:v>
                </c:pt>
                <c:pt idx="2">
                  <c:v>1</c:v>
                </c:pt>
                <c:pt idx="3">
                  <c:v>1.2</c:v>
                </c:pt>
                <c:pt idx="4">
                  <c:v>1.1000000000000001</c:v>
                </c:pt>
                <c:pt idx="5">
                  <c:v>1.1000000000000001</c:v>
                </c:pt>
                <c:pt idx="6">
                  <c:v>0.9</c:v>
                </c:pt>
              </c:numCache>
            </c:numRef>
          </c:val>
          <c:extLst>
            <c:ext xmlns:c16="http://schemas.microsoft.com/office/drawing/2014/chart" uri="{C3380CC4-5D6E-409C-BE32-E72D297353CC}">
              <c16:uniqueId val="{00000002-E3E2-486C-AE49-05046D4FF00B}"/>
            </c:ext>
          </c:extLst>
        </c:ser>
        <c:dLbls>
          <c:showLegendKey val="0"/>
          <c:showVal val="0"/>
          <c:showCatName val="0"/>
          <c:showSerName val="0"/>
          <c:showPercent val="0"/>
          <c:showBubbleSize val="0"/>
        </c:dLbls>
        <c:gapWidth val="219"/>
        <c:overlap val="-27"/>
        <c:axId val="933112879"/>
        <c:axId val="933118287"/>
      </c:barChart>
      <c:catAx>
        <c:axId val="933112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3118287"/>
        <c:crosses val="autoZero"/>
        <c:auto val="1"/>
        <c:lblAlgn val="ctr"/>
        <c:lblOffset val="100"/>
        <c:noMultiLvlLbl val="0"/>
      </c:catAx>
      <c:valAx>
        <c:axId val="9331182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3112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5"/>
          <c:order val="0"/>
          <c:tx>
            <c:strRef>
              <c:f>'[figures_bilan_energetique_provisoire_2021.xlsx]1- Production'!$A$17</c:f>
              <c:strCache>
                <c:ptCount val="1"/>
                <c:pt idx="0">
                  <c:v>Nucléaire</c:v>
                </c:pt>
              </c:strCache>
            </c:strRef>
          </c:tx>
          <c:spPr>
            <a:solidFill>
              <a:srgbClr val="FFC000"/>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Production'!$B$17:$BA$17</c:f>
              <c:numCache>
                <c:formatCode>0.0</c:formatCode>
                <c:ptCount val="52"/>
                <c:pt idx="0">
                  <c:v>1.4880526056659553</c:v>
                </c:pt>
                <c:pt idx="1">
                  <c:v>2.4325793553663004</c:v>
                </c:pt>
                <c:pt idx="2">
                  <c:v>3.8020779924490653</c:v>
                </c:pt>
                <c:pt idx="3">
                  <c:v>3.8409019821607058</c:v>
                </c:pt>
                <c:pt idx="4">
                  <c:v>3.8289159853369954</c:v>
                </c:pt>
                <c:pt idx="5">
                  <c:v>4.7546827400087404</c:v>
                </c:pt>
                <c:pt idx="6">
                  <c:v>4.1111009105579708</c:v>
                </c:pt>
                <c:pt idx="7">
                  <c:v>4.6864157580994954</c:v>
                </c:pt>
                <c:pt idx="8">
                  <c:v>7.9426228952043765</c:v>
                </c:pt>
                <c:pt idx="9">
                  <c:v>10.411941240834841</c:v>
                </c:pt>
                <c:pt idx="10">
                  <c:v>15.959504770730117</c:v>
                </c:pt>
                <c:pt idx="11">
                  <c:v>27.443646727431691</c:v>
                </c:pt>
                <c:pt idx="12">
                  <c:v>28.379835479341612</c:v>
                </c:pt>
                <c:pt idx="13">
                  <c:v>37.588515039040871</c:v>
                </c:pt>
                <c:pt idx="14">
                  <c:v>49.827756795640951</c:v>
                </c:pt>
                <c:pt idx="15">
                  <c:v>58.391292526303388</c:v>
                </c:pt>
                <c:pt idx="16">
                  <c:v>66.222395451060564</c:v>
                </c:pt>
                <c:pt idx="17">
                  <c:v>69.18364966632798</c:v>
                </c:pt>
                <c:pt idx="18">
                  <c:v>71.789500975777202</c:v>
                </c:pt>
                <c:pt idx="19">
                  <c:v>79.191985014118416</c:v>
                </c:pt>
                <c:pt idx="20">
                  <c:v>81.836659831818196</c:v>
                </c:pt>
                <c:pt idx="21">
                  <c:v>86.333649181818217</c:v>
                </c:pt>
                <c:pt idx="22">
                  <c:v>88.184921522727308</c:v>
                </c:pt>
                <c:pt idx="23">
                  <c:v>95.934730563636379</c:v>
                </c:pt>
                <c:pt idx="24">
                  <c:v>93.796322104545453</c:v>
                </c:pt>
                <c:pt idx="25">
                  <c:v>98.290966422727308</c:v>
                </c:pt>
                <c:pt idx="26">
                  <c:v>103.53054918181822</c:v>
                </c:pt>
                <c:pt idx="27">
                  <c:v>103.04669094999969</c:v>
                </c:pt>
                <c:pt idx="28">
                  <c:v>101.09432168181866</c:v>
                </c:pt>
                <c:pt idx="29">
                  <c:v>102.72385823636336</c:v>
                </c:pt>
                <c:pt idx="30">
                  <c:v>108.17423329999959</c:v>
                </c:pt>
                <c:pt idx="31">
                  <c:v>109.71517976363667</c:v>
                </c:pt>
                <c:pt idx="32">
                  <c:v>113.80178854545406</c:v>
                </c:pt>
                <c:pt idx="33">
                  <c:v>114.92479822727242</c:v>
                </c:pt>
                <c:pt idx="34">
                  <c:v>116.79326746818194</c:v>
                </c:pt>
                <c:pt idx="35">
                  <c:v>117.64998575909053</c:v>
                </c:pt>
                <c:pt idx="36">
                  <c:v>117.30135769545498</c:v>
                </c:pt>
                <c:pt idx="37">
                  <c:v>114.57564904545497</c:v>
                </c:pt>
                <c:pt idx="38">
                  <c:v>114.5019108227276</c:v>
                </c:pt>
                <c:pt idx="39">
                  <c:v>106.760439672727</c:v>
                </c:pt>
                <c:pt idx="40">
                  <c:v>111.655042195455</c:v>
                </c:pt>
                <c:pt idx="41">
                  <c:v>115.26815335658637</c:v>
                </c:pt>
                <c:pt idx="42">
                  <c:v>110.84340505677729</c:v>
                </c:pt>
                <c:pt idx="43">
                  <c:v>110.39489270787728</c:v>
                </c:pt>
                <c:pt idx="44">
                  <c:v>113.72857378594092</c:v>
                </c:pt>
                <c:pt idx="45">
                  <c:v>113.97579199083638</c:v>
                </c:pt>
                <c:pt idx="46">
                  <c:v>105.05624824857273</c:v>
                </c:pt>
                <c:pt idx="47">
                  <c:v>103.79609250757728</c:v>
                </c:pt>
                <c:pt idx="48">
                  <c:v>107.59574313307274</c:v>
                </c:pt>
                <c:pt idx="49">
                  <c:v>103.96609637091366</c:v>
                </c:pt>
                <c:pt idx="50">
                  <c:v>92.194370159277284</c:v>
                </c:pt>
                <c:pt idx="51">
                  <c:v>98.846033369618212</c:v>
                </c:pt>
              </c:numCache>
            </c:numRef>
          </c:val>
          <c:extLst>
            <c:ext xmlns:c16="http://schemas.microsoft.com/office/drawing/2014/chart" uri="{C3380CC4-5D6E-409C-BE32-E72D297353CC}">
              <c16:uniqueId val="{00000000-0025-41D6-A1FD-6C331973C86C}"/>
            </c:ext>
          </c:extLst>
        </c:ser>
        <c:ser>
          <c:idx val="4"/>
          <c:order val="1"/>
          <c:tx>
            <c:strRef>
              <c:f>'[figures_bilan_energetique_provisoire_2021.xlsx]1- Production'!$A$16</c:f>
              <c:strCache>
                <c:ptCount val="1"/>
                <c:pt idx="0">
                  <c:v>Charbon</c:v>
                </c:pt>
              </c:strCache>
            </c:strRef>
          </c:tx>
          <c:spPr>
            <a:solidFill>
              <a:schemeClr val="tx1"/>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Production'!$B$16:$BA$16</c:f>
              <c:numCache>
                <c:formatCode>0.0</c:formatCode>
                <c:ptCount val="52"/>
                <c:pt idx="0">
                  <c:v>25.543857230876043</c:v>
                </c:pt>
                <c:pt idx="1">
                  <c:v>22.961773915128305</c:v>
                </c:pt>
                <c:pt idx="2">
                  <c:v>20.853531473812694</c:v>
                </c:pt>
                <c:pt idx="3">
                  <c:v>18.035842220500545</c:v>
                </c:pt>
                <c:pt idx="4">
                  <c:v>16.504652626265901</c:v>
                </c:pt>
                <c:pt idx="5">
                  <c:v>16.403031653195463</c:v>
                </c:pt>
                <c:pt idx="6">
                  <c:v>16.223914700661467</c:v>
                </c:pt>
                <c:pt idx="7">
                  <c:v>15.969194768162266</c:v>
                </c:pt>
                <c:pt idx="8">
                  <c:v>14.078333269240696</c:v>
                </c:pt>
                <c:pt idx="9">
                  <c:v>13.65557438127183</c:v>
                </c:pt>
                <c:pt idx="10">
                  <c:v>13.375733455429698</c:v>
                </c:pt>
                <c:pt idx="11">
                  <c:v>13.515651418351426</c:v>
                </c:pt>
                <c:pt idx="12">
                  <c:v>12.642102649841913</c:v>
                </c:pt>
                <c:pt idx="13">
                  <c:v>12.007088818120621</c:v>
                </c:pt>
                <c:pt idx="14">
                  <c:v>11.847967860287685</c:v>
                </c:pt>
                <c:pt idx="15">
                  <c:v>10.900711111310793</c:v>
                </c:pt>
                <c:pt idx="16">
                  <c:v>10.559670201686657</c:v>
                </c:pt>
                <c:pt idx="17">
                  <c:v>10.326786263400916</c:v>
                </c:pt>
                <c:pt idx="18">
                  <c:v>9.0101826123009765</c:v>
                </c:pt>
                <c:pt idx="19">
                  <c:v>8.8629596513150695</c:v>
                </c:pt>
                <c:pt idx="20">
                  <c:v>7.880545126043069</c:v>
                </c:pt>
                <c:pt idx="21">
                  <c:v>7.5189086395704638</c:v>
                </c:pt>
                <c:pt idx="22">
                  <c:v>6.9408833617736621</c:v>
                </c:pt>
                <c:pt idx="23">
                  <c:v>6.2689261220531369</c:v>
                </c:pt>
                <c:pt idx="24">
                  <c:v>5.5862393587595784</c:v>
                </c:pt>
                <c:pt idx="25">
                  <c:v>5.54645090861756</c:v>
                </c:pt>
                <c:pt idx="26">
                  <c:v>5.0287316673857552</c:v>
                </c:pt>
                <c:pt idx="27">
                  <c:v>4.19968488708321</c:v>
                </c:pt>
                <c:pt idx="28">
                  <c:v>3.5158270683055801</c:v>
                </c:pt>
                <c:pt idx="29">
                  <c:v>3.2742971323110304</c:v>
                </c:pt>
                <c:pt idx="30">
                  <c:v>2.3380233804236399</c:v>
                </c:pt>
                <c:pt idx="31">
                  <c:v>1.5037626015028054</c:v>
                </c:pt>
                <c:pt idx="32">
                  <c:v>1.1549016939509702</c:v>
                </c:pt>
                <c:pt idx="33">
                  <c:v>1.278634661161725</c:v>
                </c:pt>
                <c:pt idx="34">
                  <c:v>0.38739989733900004</c:v>
                </c:pt>
                <c:pt idx="35">
                  <c:v>0.24988493378047499</c:v>
                </c:pt>
                <c:pt idx="36">
                  <c:v>0.18305995148910001</c:v>
                </c:pt>
                <c:pt idx="37">
                  <c:v>0.17090995470885004</c:v>
                </c:pt>
                <c:pt idx="38">
                  <c:v>0.11218497027097502</c:v>
                </c:pt>
                <c:pt idx="39">
                  <c:v>5.9534984223225007E-2</c:v>
                </c:pt>
                <c:pt idx="40">
                  <c:v>0.10570497198817498</c:v>
                </c:pt>
                <c:pt idx="41">
                  <c:v>6.0344984008575013E-2</c:v>
                </c:pt>
                <c:pt idx="42">
                  <c:v>0.11744996887575</c:v>
                </c:pt>
                <c:pt idx="43">
                  <c:v>0.12676496640727503</c:v>
                </c:pt>
                <c:pt idx="44">
                  <c:v>0.12149996780250004</c:v>
                </c:pt>
                <c:pt idx="45">
                  <c:v>0</c:v>
                </c:pt>
                <c:pt idx="46">
                  <c:v>0</c:v>
                </c:pt>
                <c:pt idx="47">
                  <c:v>0</c:v>
                </c:pt>
                <c:pt idx="48">
                  <c:v>0</c:v>
                </c:pt>
                <c:pt idx="49">
                  <c:v>0</c:v>
                </c:pt>
                <c:pt idx="50">
                  <c:v>0</c:v>
                </c:pt>
                <c:pt idx="51">
                  <c:v>0</c:v>
                </c:pt>
              </c:numCache>
            </c:numRef>
          </c:val>
          <c:extLst>
            <c:ext xmlns:c16="http://schemas.microsoft.com/office/drawing/2014/chart" uri="{C3380CC4-5D6E-409C-BE32-E72D297353CC}">
              <c16:uniqueId val="{00000001-0025-41D6-A1FD-6C331973C86C}"/>
            </c:ext>
          </c:extLst>
        </c:ser>
        <c:ser>
          <c:idx val="3"/>
          <c:order val="2"/>
          <c:tx>
            <c:strRef>
              <c:f>'[figures_bilan_energetique_provisoire_2021.xlsx]1- Production'!$A$15</c:f>
              <c:strCache>
                <c:ptCount val="1"/>
                <c:pt idx="0">
                  <c:v>Gaz naturel</c:v>
                </c:pt>
              </c:strCache>
            </c:strRef>
          </c:tx>
          <c:spPr>
            <a:solidFill>
              <a:schemeClr val="bg1">
                <a:lumMod val="50000"/>
              </a:schemeClr>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Production'!$B$15:$BA$15</c:f>
              <c:numCache>
                <c:formatCode>0.0</c:formatCode>
                <c:ptCount val="52"/>
                <c:pt idx="0">
                  <c:v>5.7862404666458698</c:v>
                </c:pt>
                <c:pt idx="1">
                  <c:v>6.0190114049615557</c:v>
                </c:pt>
                <c:pt idx="2">
                  <c:v>6.2259103501333204</c:v>
                </c:pt>
                <c:pt idx="3">
                  <c:v>6.2583273415428158</c:v>
                </c:pt>
                <c:pt idx="4">
                  <c:v>6.3119963273205304</c:v>
                </c:pt>
                <c:pt idx="5">
                  <c:v>6.1389003731909702</c:v>
                </c:pt>
                <c:pt idx="6">
                  <c:v>5.914907432549116</c:v>
                </c:pt>
                <c:pt idx="7">
                  <c:v>6.3918453061605458</c:v>
                </c:pt>
                <c:pt idx="8">
                  <c:v>6.5695612590658046</c:v>
                </c:pt>
                <c:pt idx="9">
                  <c:v>6.4741582843476007</c:v>
                </c:pt>
                <c:pt idx="10">
                  <c:v>6.2935163322177301</c:v>
                </c:pt>
                <c:pt idx="11">
                  <c:v>5.9219914306718549</c:v>
                </c:pt>
                <c:pt idx="12">
                  <c:v>5.496874543327861</c:v>
                </c:pt>
                <c:pt idx="13">
                  <c:v>5.5557025277384406</c:v>
                </c:pt>
                <c:pt idx="14">
                  <c:v>5.2776556014208946</c:v>
                </c:pt>
                <c:pt idx="15">
                  <c:v>4.5146628036140397</c:v>
                </c:pt>
                <c:pt idx="16">
                  <c:v>3.5197460672670453</c:v>
                </c:pt>
                <c:pt idx="17">
                  <c:v>3.2638751350728605</c:v>
                </c:pt>
                <c:pt idx="18">
                  <c:v>2.6838342887837254</c:v>
                </c:pt>
                <c:pt idx="19">
                  <c:v>2.59412931255555</c:v>
                </c:pt>
                <c:pt idx="20">
                  <c:v>2.5157345010000007</c:v>
                </c:pt>
                <c:pt idx="21">
                  <c:v>2.8561471364999989</c:v>
                </c:pt>
                <c:pt idx="22">
                  <c:v>2.7828883425000042</c:v>
                </c:pt>
                <c:pt idx="23">
                  <c:v>2.8836406803749974</c:v>
                </c:pt>
                <c:pt idx="24">
                  <c:v>2.9408203728750055</c:v>
                </c:pt>
                <c:pt idx="25">
                  <c:v>2.7929485290000038</c:v>
                </c:pt>
                <c:pt idx="26">
                  <c:v>2.4065556821249952</c:v>
                </c:pt>
                <c:pt idx="27">
                  <c:v>2.1270200726250015</c:v>
                </c:pt>
                <c:pt idx="28">
                  <c:v>1.8373812843750006</c:v>
                </c:pt>
                <c:pt idx="29">
                  <c:v>1.6696040287500054</c:v>
                </c:pt>
                <c:pt idx="30">
                  <c:v>1.5047072538750021</c:v>
                </c:pt>
                <c:pt idx="31">
                  <c:v>1.5095008897499982</c:v>
                </c:pt>
                <c:pt idx="32">
                  <c:v>1.4496556777500038</c:v>
                </c:pt>
                <c:pt idx="33">
                  <c:v>1.2816204686249959</c:v>
                </c:pt>
                <c:pt idx="34">
                  <c:v>1.107695321250002</c:v>
                </c:pt>
                <c:pt idx="35">
                  <c:v>0.90874868437499989</c:v>
                </c:pt>
                <c:pt idx="36">
                  <c:v>1.0585121872499961</c:v>
                </c:pt>
                <c:pt idx="37">
                  <c:v>0.91541248312499979</c:v>
                </c:pt>
                <c:pt idx="38">
                  <c:v>0.81091981950000003</c:v>
                </c:pt>
                <c:pt idx="39">
                  <c:v>0.7634563754999999</c:v>
                </c:pt>
                <c:pt idx="40">
                  <c:v>0.64582957950000008</c:v>
                </c:pt>
                <c:pt idx="41">
                  <c:v>0.50580104824987504</c:v>
                </c:pt>
                <c:pt idx="42">
                  <c:v>0.45186488455499996</c:v>
                </c:pt>
                <c:pt idx="43">
                  <c:v>0.28935742546987503</c:v>
                </c:pt>
                <c:pt idx="44">
                  <c:v>1.2525749045249999E-2</c:v>
                </c:pt>
                <c:pt idx="45">
                  <c:v>1.91398917465E-2</c:v>
                </c:pt>
                <c:pt idx="46">
                  <c:v>1.7990558431125001E-2</c:v>
                </c:pt>
                <c:pt idx="47">
                  <c:v>1.414397733525E-2</c:v>
                </c:pt>
                <c:pt idx="48">
                  <c:v>7.7485577058750013E-3</c:v>
                </c:pt>
                <c:pt idx="49">
                  <c:v>1.4349802732125E-2</c:v>
                </c:pt>
                <c:pt idx="50">
                  <c:v>1.5573383663250001E-2</c:v>
                </c:pt>
                <c:pt idx="51">
                  <c:v>1.9989569079374998E-2</c:v>
                </c:pt>
              </c:numCache>
            </c:numRef>
          </c:val>
          <c:extLst>
            <c:ext xmlns:c16="http://schemas.microsoft.com/office/drawing/2014/chart" uri="{C3380CC4-5D6E-409C-BE32-E72D297353CC}">
              <c16:uniqueId val="{00000002-0025-41D6-A1FD-6C331973C86C}"/>
            </c:ext>
          </c:extLst>
        </c:ser>
        <c:ser>
          <c:idx val="2"/>
          <c:order val="3"/>
          <c:tx>
            <c:strRef>
              <c:f>'[figures_bilan_energetique_provisoire_2021.xlsx]1- Production'!$A$14</c:f>
              <c:strCache>
                <c:ptCount val="1"/>
                <c:pt idx="0">
                  <c:v>Pétrole</c:v>
                </c:pt>
              </c:strCache>
            </c:strRef>
          </c:tx>
          <c:spPr>
            <a:solidFill>
              <a:schemeClr val="accent2">
                <a:lumMod val="60000"/>
                <a:lumOff val="40000"/>
              </a:schemeClr>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Production'!$B$14:$BA$14</c:f>
              <c:numCache>
                <c:formatCode>0.0</c:formatCode>
                <c:ptCount val="52"/>
                <c:pt idx="0">
                  <c:v>2.9630942147798249</c:v>
                </c:pt>
                <c:pt idx="1">
                  <c:v>2.49864533785881</c:v>
                </c:pt>
                <c:pt idx="2">
                  <c:v>2.1568314284395202</c:v>
                </c:pt>
                <c:pt idx="3">
                  <c:v>2.0683194518952002</c:v>
                </c:pt>
                <c:pt idx="4">
                  <c:v>1.9013754961353602</c:v>
                </c:pt>
                <c:pt idx="5">
                  <c:v>1.8473785104445652</c:v>
                </c:pt>
                <c:pt idx="6">
                  <c:v>1.8111685200402152</c:v>
                </c:pt>
                <c:pt idx="7">
                  <c:v>1.8774435024773399</c:v>
                </c:pt>
                <c:pt idx="8">
                  <c:v>1.9453904844713852</c:v>
                </c:pt>
                <c:pt idx="9">
                  <c:v>2.0073184680604652</c:v>
                </c:pt>
                <c:pt idx="10">
                  <c:v>2.2563744020606253</c:v>
                </c:pt>
                <c:pt idx="11">
                  <c:v>2.4380753539098601</c:v>
                </c:pt>
                <c:pt idx="12">
                  <c:v>2.3398663799352453</c:v>
                </c:pt>
                <c:pt idx="13">
                  <c:v>2.318750385530985</c:v>
                </c:pt>
                <c:pt idx="14">
                  <c:v>2.7006032843399401</c:v>
                </c:pt>
                <c:pt idx="15">
                  <c:v>3.2443891402366503</c:v>
                </c:pt>
                <c:pt idx="16">
                  <c:v>3.447026086537845</c:v>
                </c:pt>
                <c:pt idx="17">
                  <c:v>3.6456700338971855</c:v>
                </c:pt>
                <c:pt idx="18">
                  <c:v>3.8318589845570998</c:v>
                </c:pt>
                <c:pt idx="19">
                  <c:v>3.7409430086498401</c:v>
                </c:pt>
                <c:pt idx="20">
                  <c:v>3.5369990626950005</c:v>
                </c:pt>
                <c:pt idx="21">
                  <c:v>3.7039990184400007</c:v>
                </c:pt>
                <c:pt idx="22">
                  <c:v>3.5269990653450005</c:v>
                </c:pt>
                <c:pt idx="23">
                  <c:v>3.4179990942300003</c:v>
                </c:pt>
                <c:pt idx="24">
                  <c:v>3.3849991029749997</c:v>
                </c:pt>
                <c:pt idx="25">
                  <c:v>3.0369991951949999</c:v>
                </c:pt>
                <c:pt idx="26">
                  <c:v>2.6409993001350003</c:v>
                </c:pt>
                <c:pt idx="27">
                  <c:v>2.2519994032199997</c:v>
                </c:pt>
                <c:pt idx="28">
                  <c:v>2.0769994495950002</c:v>
                </c:pt>
                <c:pt idx="29">
                  <c:v>1.9539994821900002</c:v>
                </c:pt>
                <c:pt idx="30">
                  <c:v>1.842999511605</c:v>
                </c:pt>
                <c:pt idx="31">
                  <c:v>1.754999534925</c:v>
                </c:pt>
                <c:pt idx="32">
                  <c:v>1.6399995654000001</c:v>
                </c:pt>
                <c:pt idx="33">
                  <c:v>1.5429995911049998</c:v>
                </c:pt>
                <c:pt idx="34">
                  <c:v>1.5529995884550001</c:v>
                </c:pt>
                <c:pt idx="35">
                  <c:v>1.3809996340350004</c:v>
                </c:pt>
                <c:pt idx="36">
                  <c:v>1.2479996692799999</c:v>
                </c:pt>
                <c:pt idx="37">
                  <c:v>1.2179996772300001</c:v>
                </c:pt>
                <c:pt idx="38">
                  <c:v>1.2799996608000002</c:v>
                </c:pt>
                <c:pt idx="39">
                  <c:v>1.13799969843</c:v>
                </c:pt>
                <c:pt idx="40">
                  <c:v>1.090999710885</c:v>
                </c:pt>
                <c:pt idx="41">
                  <c:v>1.1575295932545766</c:v>
                </c:pt>
                <c:pt idx="42">
                  <c:v>1.0527071210325392</c:v>
                </c:pt>
                <c:pt idx="43">
                  <c:v>1.1148510045644056</c:v>
                </c:pt>
                <c:pt idx="44">
                  <c:v>1.084241112676029</c:v>
                </c:pt>
                <c:pt idx="45">
                  <c:v>1.0970031092940991</c:v>
                </c:pt>
                <c:pt idx="46">
                  <c:v>1.0220328291612286</c:v>
                </c:pt>
                <c:pt idx="47">
                  <c:v>0.99479993637794717</c:v>
                </c:pt>
                <c:pt idx="48">
                  <c:v>0.93942078865342515</c:v>
                </c:pt>
                <c:pt idx="49">
                  <c:v>0.99703788688489015</c:v>
                </c:pt>
                <c:pt idx="50">
                  <c:v>0.8424577934486257</c:v>
                </c:pt>
                <c:pt idx="51">
                  <c:v>0.81935283397144165</c:v>
                </c:pt>
              </c:numCache>
            </c:numRef>
          </c:val>
          <c:extLst>
            <c:ext xmlns:c16="http://schemas.microsoft.com/office/drawing/2014/chart" uri="{C3380CC4-5D6E-409C-BE32-E72D297353CC}">
              <c16:uniqueId val="{00000003-0025-41D6-A1FD-6C331973C86C}"/>
            </c:ext>
          </c:extLst>
        </c:ser>
        <c:ser>
          <c:idx val="1"/>
          <c:order val="4"/>
          <c:tx>
            <c:strRef>
              <c:f>'[figures_bilan_energetique_provisoire_2021.xlsx]1- Production'!$A$13</c:f>
              <c:strCache>
                <c:ptCount val="1"/>
                <c:pt idx="0">
                  <c:v>Hydraulique* (hors pompages), éolien et photovoltaïque</c:v>
                </c:pt>
              </c:strCache>
            </c:strRef>
          </c:tx>
          <c:spPr>
            <a:solidFill>
              <a:srgbClr val="92D050"/>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Production'!$B$13:$BA$13</c:f>
              <c:numCache>
                <c:formatCode>0.0</c:formatCode>
                <c:ptCount val="52"/>
                <c:pt idx="0">
                  <c:v>4.9155616973758054</c:v>
                </c:pt>
                <c:pt idx="1">
                  <c:v>4.2431628755615405</c:v>
                </c:pt>
                <c:pt idx="2">
                  <c:v>4.2453118749920558</c:v>
                </c:pt>
                <c:pt idx="3">
                  <c:v>4.1484939006488251</c:v>
                </c:pt>
                <c:pt idx="4">
                  <c:v>4.8855537053279257</c:v>
                </c:pt>
                <c:pt idx="5">
                  <c:v>5.2122946187415611</c:v>
                </c:pt>
                <c:pt idx="6">
                  <c:v>4.2122088837643501</c:v>
                </c:pt>
                <c:pt idx="7">
                  <c:v>6.6007722507948916</c:v>
                </c:pt>
                <c:pt idx="8">
                  <c:v>5.9172814319200064</c:v>
                </c:pt>
                <c:pt idx="9">
                  <c:v>5.7522764756463305</c:v>
                </c:pt>
                <c:pt idx="10">
                  <c:v>6.01986040473657</c:v>
                </c:pt>
                <c:pt idx="11">
                  <c:v>6.2552003423714702</c:v>
                </c:pt>
                <c:pt idx="12">
                  <c:v>6.1183133786465254</c:v>
                </c:pt>
                <c:pt idx="13">
                  <c:v>6.0221824041212404</c:v>
                </c:pt>
                <c:pt idx="14">
                  <c:v>5.6993964896595308</c:v>
                </c:pt>
                <c:pt idx="15">
                  <c:v>5.3756655754482452</c:v>
                </c:pt>
                <c:pt idx="16">
                  <c:v>5.4229565629161307</c:v>
                </c:pt>
                <c:pt idx="17">
                  <c:v>6.110746380651781</c:v>
                </c:pt>
                <c:pt idx="18">
                  <c:v>6.6283732434806257</c:v>
                </c:pt>
                <c:pt idx="19">
                  <c:v>4.0580379246196649</c:v>
                </c:pt>
                <c:pt idx="20">
                  <c:v>4.6749417534014972</c:v>
                </c:pt>
                <c:pt idx="21">
                  <c:v>4.9973954082779963</c:v>
                </c:pt>
                <c:pt idx="22">
                  <c:v>5.9735875829490013</c:v>
                </c:pt>
                <c:pt idx="23">
                  <c:v>5.6226899115344997</c:v>
                </c:pt>
                <c:pt idx="24">
                  <c:v>6.818560187922003</c:v>
                </c:pt>
                <c:pt idx="25">
                  <c:v>6.3311912715029983</c:v>
                </c:pt>
                <c:pt idx="26">
                  <c:v>5.721662198290506</c:v>
                </c:pt>
                <c:pt idx="27">
                  <c:v>5.5276453107540044</c:v>
                </c:pt>
                <c:pt idx="28">
                  <c:v>5.3857459502490057</c:v>
                </c:pt>
                <c:pt idx="29">
                  <c:v>6.2827744313670051</c:v>
                </c:pt>
                <c:pt idx="30">
                  <c:v>5.7544578043889985</c:v>
                </c:pt>
                <c:pt idx="31">
                  <c:v>6.439397863636505</c:v>
                </c:pt>
                <c:pt idx="32">
                  <c:v>5.2590929313615034</c:v>
                </c:pt>
                <c:pt idx="33">
                  <c:v>5.144396143183501</c:v>
                </c:pt>
                <c:pt idx="34">
                  <c:v>5.2131118601415007</c:v>
                </c:pt>
                <c:pt idx="35">
                  <c:v>4.5514564894785012</c:v>
                </c:pt>
                <c:pt idx="36">
                  <c:v>5.0699047613760033</c:v>
                </c:pt>
                <c:pt idx="37">
                  <c:v>5.344590329168998</c:v>
                </c:pt>
                <c:pt idx="38">
                  <c:v>6.006416894971502</c:v>
                </c:pt>
                <c:pt idx="39">
                  <c:v>5.6346776125709974</c:v>
                </c:pt>
                <c:pt idx="40">
                  <c:v>6.3417821543370057</c:v>
                </c:pt>
                <c:pt idx="41">
                  <c:v>5.238805576462501</c:v>
                </c:pt>
                <c:pt idx="42">
                  <c:v>6.8698306816439993</c:v>
                </c:pt>
                <c:pt idx="43">
                  <c:v>8.0529711247755014</c:v>
                </c:pt>
                <c:pt idx="44">
                  <c:v>7.5639934383615017</c:v>
                </c:pt>
                <c:pt idx="45">
                  <c:v>7.3274278948605023</c:v>
                </c:pt>
                <c:pt idx="46">
                  <c:v>7.8573000674280014</c:v>
                </c:pt>
                <c:pt idx="47">
                  <c:v>7.2844964359020006</c:v>
                </c:pt>
                <c:pt idx="48">
                  <c:v>9.0353442092444993</c:v>
                </c:pt>
                <c:pt idx="49">
                  <c:v>8.9774443105725013</c:v>
                </c:pt>
                <c:pt idx="50">
                  <c:v>9.9513272855115016</c:v>
                </c:pt>
                <c:pt idx="51">
                  <c:v>9.5837016009791149</c:v>
                </c:pt>
              </c:numCache>
            </c:numRef>
          </c:val>
          <c:extLst>
            <c:ext xmlns:c16="http://schemas.microsoft.com/office/drawing/2014/chart" uri="{C3380CC4-5D6E-409C-BE32-E72D297353CC}">
              <c16:uniqueId val="{00000004-0025-41D6-A1FD-6C331973C86C}"/>
            </c:ext>
          </c:extLst>
        </c:ser>
        <c:ser>
          <c:idx val="0"/>
          <c:order val="5"/>
          <c:tx>
            <c:strRef>
              <c:f>'[figures_bilan_energetique_provisoire_2021.xlsx]1- Production'!$A$12</c:f>
              <c:strCache>
                <c:ptCount val="1"/>
                <c:pt idx="0">
                  <c:v>Énergies renouvelables thermiques et déchets</c:v>
                </c:pt>
              </c:strCache>
            </c:strRef>
          </c:tx>
          <c:spPr>
            <a:solidFill>
              <a:srgbClr val="00B050"/>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Production'!$B$12:$BA$12</c:f>
              <c:numCache>
                <c:formatCode>0.0</c:formatCode>
                <c:ptCount val="52"/>
                <c:pt idx="0">
                  <c:v>9.3976195096301698</c:v>
                </c:pt>
                <c:pt idx="1">
                  <c:v>9.4552004943712049</c:v>
                </c:pt>
                <c:pt idx="2">
                  <c:v>9.5693214641291497</c:v>
                </c:pt>
                <c:pt idx="3">
                  <c:v>9.8233373968148907</c:v>
                </c:pt>
                <c:pt idx="4">
                  <c:v>8.8764516477396995</c:v>
                </c:pt>
                <c:pt idx="5">
                  <c:v>9.2149915580265809</c:v>
                </c:pt>
                <c:pt idx="6">
                  <c:v>8.8354806585970049</c:v>
                </c:pt>
                <c:pt idx="7">
                  <c:v>8.9793666204672267</c:v>
                </c:pt>
                <c:pt idx="8">
                  <c:v>9.2611725457886358</c:v>
                </c:pt>
                <c:pt idx="9">
                  <c:v>9.5454044704671457</c:v>
                </c:pt>
                <c:pt idx="10">
                  <c:v>8.694636695920666</c:v>
                </c:pt>
                <c:pt idx="11">
                  <c:v>8.3937997756424725</c:v>
                </c:pt>
                <c:pt idx="12">
                  <c:v>8.5757677274209509</c:v>
                </c:pt>
                <c:pt idx="13">
                  <c:v>9.5038054814908808</c:v>
                </c:pt>
                <c:pt idx="14">
                  <c:v>9.6982414299653428</c:v>
                </c:pt>
                <c:pt idx="15">
                  <c:v>10.884798115527735</c:v>
                </c:pt>
                <c:pt idx="16">
                  <c:v>10.666626173343316</c:v>
                </c:pt>
                <c:pt idx="17">
                  <c:v>11.214834028068196</c:v>
                </c:pt>
                <c:pt idx="18">
                  <c:v>10.503542216560577</c:v>
                </c:pt>
                <c:pt idx="19">
                  <c:v>10.845058126058834</c:v>
                </c:pt>
                <c:pt idx="20">
                  <c:v>11.122381689999971</c:v>
                </c:pt>
                <c:pt idx="21">
                  <c:v>12.7741917041667</c:v>
                </c:pt>
                <c:pt idx="22">
                  <c:v>12.465746027807926</c:v>
                </c:pt>
                <c:pt idx="23">
                  <c:v>12.05265250968624</c:v>
                </c:pt>
                <c:pt idx="24">
                  <c:v>11.038784071950847</c:v>
                </c:pt>
                <c:pt idx="25">
                  <c:v>11.429751174802936</c:v>
                </c:pt>
                <c:pt idx="26">
                  <c:v>12.250803598859585</c:v>
                </c:pt>
                <c:pt idx="27">
                  <c:v>11.372973841993735</c:v>
                </c:pt>
                <c:pt idx="28">
                  <c:v>11.406766467031286</c:v>
                </c:pt>
                <c:pt idx="29">
                  <c:v>11.11412985307331</c:v>
                </c:pt>
                <c:pt idx="30">
                  <c:v>10.922743385810936</c:v>
                </c:pt>
                <c:pt idx="31">
                  <c:v>11.135239258232817</c:v>
                </c:pt>
                <c:pt idx="32">
                  <c:v>10.827943164363202</c:v>
                </c:pt>
                <c:pt idx="33">
                  <c:v>11.526620077308673</c:v>
                </c:pt>
                <c:pt idx="34">
                  <c:v>11.820817348532774</c:v>
                </c:pt>
                <c:pt idx="35">
                  <c:v>12.505764713388777</c:v>
                </c:pt>
                <c:pt idx="36">
                  <c:v>11.654184145785687</c:v>
                </c:pt>
                <c:pt idx="37">
                  <c:v>12.642055906640598</c:v>
                </c:pt>
                <c:pt idx="38">
                  <c:v>14.453120030507078</c:v>
                </c:pt>
                <c:pt idx="39">
                  <c:v>15.374947050792452</c:v>
                </c:pt>
                <c:pt idx="40">
                  <c:v>17.075023838629484</c:v>
                </c:pt>
                <c:pt idx="41">
                  <c:v>15.496665123486789</c:v>
                </c:pt>
                <c:pt idx="42">
                  <c:v>17.456729892499794</c:v>
                </c:pt>
                <c:pt idx="43">
                  <c:v>18.768987749896112</c:v>
                </c:pt>
                <c:pt idx="44">
                  <c:v>17.230966895653051</c:v>
                </c:pt>
                <c:pt idx="45">
                  <c:v>18.428520493702653</c:v>
                </c:pt>
                <c:pt idx="46">
                  <c:v>19.521915937097386</c:v>
                </c:pt>
                <c:pt idx="47">
                  <c:v>19.376758814911717</c:v>
                </c:pt>
                <c:pt idx="48">
                  <c:v>19.880217802557933</c:v>
                </c:pt>
                <c:pt idx="49">
                  <c:v>20.246589396445739</c:v>
                </c:pt>
                <c:pt idx="50">
                  <c:v>19.720346301938971</c:v>
                </c:pt>
                <c:pt idx="51">
                  <c:v>21.765109157372923</c:v>
                </c:pt>
              </c:numCache>
            </c:numRef>
          </c:val>
          <c:extLst>
            <c:ext xmlns:c16="http://schemas.microsoft.com/office/drawing/2014/chart" uri="{C3380CC4-5D6E-409C-BE32-E72D297353CC}">
              <c16:uniqueId val="{00000005-0025-41D6-A1FD-6C331973C86C}"/>
            </c:ext>
          </c:extLst>
        </c:ser>
        <c:dLbls>
          <c:showLegendKey val="0"/>
          <c:showVal val="0"/>
          <c:showCatName val="0"/>
          <c:showSerName val="0"/>
          <c:showPercent val="0"/>
          <c:showBubbleSize val="0"/>
        </c:dLbls>
        <c:axId val="1273624160"/>
        <c:axId val="1273619584"/>
      </c:areaChart>
      <c:catAx>
        <c:axId val="12736241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19584"/>
        <c:crosses val="autoZero"/>
        <c:auto val="1"/>
        <c:lblAlgn val="ctr"/>
        <c:lblOffset val="100"/>
        <c:noMultiLvlLbl val="0"/>
      </c:catAx>
      <c:valAx>
        <c:axId val="1273619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Mtoe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2416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'page 30'!$A$37</c:f>
              <c:strCache>
                <c:ptCount val="1"/>
                <c:pt idx="0">
                  <c:v>Hydraulique, éolien et photovoltaïque</c:v>
                </c:pt>
              </c:strCache>
            </c:strRef>
          </c:tx>
          <c:spPr>
            <a:solidFill>
              <a:srgbClr val="00B050"/>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30'!$B$37:$AG$37</c:f>
              <c:numCache>
                <c:formatCode>0</c:formatCode>
                <c:ptCount val="32"/>
                <c:pt idx="0">
                  <c:v>4.6791667000204971</c:v>
                </c:pt>
                <c:pt idx="1">
                  <c:v>4.9807663200965751</c:v>
                </c:pt>
                <c:pt idx="2">
                  <c:v>5.9652447692097175</c:v>
                </c:pt>
                <c:pt idx="3">
                  <c:v>5.6145267621500103</c:v>
                </c:pt>
                <c:pt idx="4">
                  <c:v>6.8302644899794309</c:v>
                </c:pt>
                <c:pt idx="5">
                  <c:v>6.3332228516955</c:v>
                </c:pt>
                <c:pt idx="6">
                  <c:v>5.7037505885056943</c:v>
                </c:pt>
                <c:pt idx="7">
                  <c:v>5.5293667447174251</c:v>
                </c:pt>
                <c:pt idx="8">
                  <c:v>5.3810478340219472</c:v>
                </c:pt>
                <c:pt idx="9">
                  <c:v>6.2832501349382746</c:v>
                </c:pt>
                <c:pt idx="10">
                  <c:v>5.7609793533400673</c:v>
                </c:pt>
                <c:pt idx="11">
                  <c:v>6.4396527034915829</c:v>
                </c:pt>
                <c:pt idx="12">
                  <c:v>5.2725728627678228</c:v>
                </c:pt>
                <c:pt idx="13">
                  <c:v>5.1390050181633091</c:v>
                </c:pt>
                <c:pt idx="14">
                  <c:v>5.20245602134879</c:v>
                </c:pt>
                <c:pt idx="15">
                  <c:v>4.5416156364715388</c:v>
                </c:pt>
                <c:pt idx="16">
                  <c:v>5.0674910671145135</c:v>
                </c:pt>
                <c:pt idx="17">
                  <c:v>5.3591047398368659</c:v>
                </c:pt>
                <c:pt idx="18">
                  <c:v>6.0041949088879276</c:v>
                </c:pt>
                <c:pt idx="19">
                  <c:v>5.6267924688996018</c:v>
                </c:pt>
                <c:pt idx="20">
                  <c:v>6.2807101956113582</c:v>
                </c:pt>
                <c:pt idx="21">
                  <c:v>5.2388055764625001</c:v>
                </c:pt>
                <c:pt idx="22">
                  <c:v>6.8698306816439958</c:v>
                </c:pt>
                <c:pt idx="23">
                  <c:v>8.0529711247755031</c:v>
                </c:pt>
                <c:pt idx="24">
                  <c:v>7.5639934383615035</c:v>
                </c:pt>
                <c:pt idx="25">
                  <c:v>7.3274278948605023</c:v>
                </c:pt>
                <c:pt idx="26">
                  <c:v>7.8573000674280014</c:v>
                </c:pt>
                <c:pt idx="27">
                  <c:v>7.2844964359020006</c:v>
                </c:pt>
                <c:pt idx="28">
                  <c:v>9.0353442092445011</c:v>
                </c:pt>
                <c:pt idx="29">
                  <c:v>8.9774443105724995</c:v>
                </c:pt>
                <c:pt idx="30">
                  <c:v>9.9513272855115016</c:v>
                </c:pt>
                <c:pt idx="31">
                  <c:v>9.5837016009791132</c:v>
                </c:pt>
              </c:numCache>
            </c:numRef>
          </c:val>
          <c:extLst>
            <c:ext xmlns:c16="http://schemas.microsoft.com/office/drawing/2014/chart" uri="{C3380CC4-5D6E-409C-BE32-E72D297353CC}">
              <c16:uniqueId val="{00000000-8659-4011-9F2B-F5EE550921CC}"/>
            </c:ext>
          </c:extLst>
        </c:ser>
        <c:ser>
          <c:idx val="1"/>
          <c:order val="1"/>
          <c:tx>
            <c:strRef>
              <c:f>'page 30'!$A$38</c:f>
              <c:strCache>
                <c:ptCount val="1"/>
                <c:pt idx="0">
                  <c:v>Autres EnR* et déchets</c:v>
                </c:pt>
              </c:strCache>
            </c:strRef>
          </c:tx>
          <c:spPr>
            <a:solidFill>
              <a:srgbClr val="92D050"/>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30'!$B$38:$AG$38</c:f>
              <c:numCache>
                <c:formatCode>0</c:formatCode>
                <c:ptCount val="32"/>
                <c:pt idx="0">
                  <c:v>11.352142311681492</c:v>
                </c:pt>
                <c:pt idx="1">
                  <c:v>11.777654028920857</c:v>
                </c:pt>
                <c:pt idx="2">
                  <c:v>12.002164079425679</c:v>
                </c:pt>
                <c:pt idx="3">
                  <c:v>11.604855384712511</c:v>
                </c:pt>
                <c:pt idx="4">
                  <c:v>11.479814317848401</c:v>
                </c:pt>
                <c:pt idx="5">
                  <c:v>11.504071291420301</c:v>
                </c:pt>
                <c:pt idx="6">
                  <c:v>11.490783074941678</c:v>
                </c:pt>
                <c:pt idx="7">
                  <c:v>11.447113036514244</c:v>
                </c:pt>
                <c:pt idx="8">
                  <c:v>11.200225081939568</c:v>
                </c:pt>
                <c:pt idx="9">
                  <c:v>11.139806897950391</c:v>
                </c:pt>
                <c:pt idx="10">
                  <c:v>11.230233963987212</c:v>
                </c:pt>
                <c:pt idx="11">
                  <c:v>11.152935714471253</c:v>
                </c:pt>
                <c:pt idx="12">
                  <c:v>11.312634102151168</c:v>
                </c:pt>
                <c:pt idx="13">
                  <c:v>11.305198524121598</c:v>
                </c:pt>
                <c:pt idx="14">
                  <c:v>11.46097723284023</c:v>
                </c:pt>
                <c:pt idx="15">
                  <c:v>12.127500286211573</c:v>
                </c:pt>
                <c:pt idx="16">
                  <c:v>11.626375289009733</c:v>
                </c:pt>
                <c:pt idx="17">
                  <c:v>13.284333799650613</c:v>
                </c:pt>
                <c:pt idx="18">
                  <c:v>14.644481889211271</c:v>
                </c:pt>
                <c:pt idx="19">
                  <c:v>15.359367629766503</c:v>
                </c:pt>
                <c:pt idx="20">
                  <c:v>16.123315927320149</c:v>
                </c:pt>
                <c:pt idx="21">
                  <c:v>16.312723171267358</c:v>
                </c:pt>
                <c:pt idx="22">
                  <c:v>17.19154150784243</c:v>
                </c:pt>
                <c:pt idx="23">
                  <c:v>18.111272898040824</c:v>
                </c:pt>
                <c:pt idx="24">
                  <c:v>18.689746162237356</c:v>
                </c:pt>
                <c:pt idx="25">
                  <c:v>19.219335602450034</c:v>
                </c:pt>
                <c:pt idx="26">
                  <c:v>20.016842127194678</c:v>
                </c:pt>
                <c:pt idx="27">
                  <c:v>20.535353974935909</c:v>
                </c:pt>
                <c:pt idx="28">
                  <c:v>21.116104182516505</c:v>
                </c:pt>
                <c:pt idx="29">
                  <c:v>21.741785814068663</c:v>
                </c:pt>
                <c:pt idx="30">
                  <c:v>21.626868029652766</c:v>
                </c:pt>
                <c:pt idx="31">
                  <c:v>22.936516848099732</c:v>
                </c:pt>
              </c:numCache>
            </c:numRef>
          </c:val>
          <c:extLst>
            <c:ext xmlns:c16="http://schemas.microsoft.com/office/drawing/2014/chart" uri="{C3380CC4-5D6E-409C-BE32-E72D297353CC}">
              <c16:uniqueId val="{00000001-8659-4011-9F2B-F5EE550921CC}"/>
            </c:ext>
          </c:extLst>
        </c:ser>
        <c:ser>
          <c:idx val="2"/>
          <c:order val="2"/>
          <c:tx>
            <c:strRef>
              <c:f>'page 30'!$A$39</c:f>
              <c:strCache>
                <c:ptCount val="1"/>
                <c:pt idx="0">
                  <c:v>Charbon</c:v>
                </c:pt>
              </c:strCache>
            </c:strRef>
          </c:tx>
          <c:spPr>
            <a:solidFill>
              <a:schemeClr val="tx1"/>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30'!$B$39:$AG$39</c:f>
              <c:numCache>
                <c:formatCode>0</c:formatCode>
                <c:ptCount val="32"/>
                <c:pt idx="0">
                  <c:v>20.114131819753659</c:v>
                </c:pt>
                <c:pt idx="1">
                  <c:v>19.703890188467721</c:v>
                </c:pt>
                <c:pt idx="2">
                  <c:v>18.007153078103173</c:v>
                </c:pt>
                <c:pt idx="3">
                  <c:v>14.096466814435304</c:v>
                </c:pt>
                <c:pt idx="4">
                  <c:v>15.041454644013465</c:v>
                </c:pt>
                <c:pt idx="5">
                  <c:v>15.55020063919574</c:v>
                </c:pt>
                <c:pt idx="6">
                  <c:v>15.462615252405875</c:v>
                </c:pt>
                <c:pt idx="7">
                  <c:v>14.368352172385668</c:v>
                </c:pt>
                <c:pt idx="8">
                  <c:v>16.709289362037147</c:v>
                </c:pt>
                <c:pt idx="9">
                  <c:v>15.19845771240764</c:v>
                </c:pt>
                <c:pt idx="10">
                  <c:v>15.004363123842719</c:v>
                </c:pt>
                <c:pt idx="11">
                  <c:v>12.392623635953866</c:v>
                </c:pt>
                <c:pt idx="12">
                  <c:v>13.672508936784173</c:v>
                </c:pt>
                <c:pt idx="13">
                  <c:v>13.965362579177938</c:v>
                </c:pt>
                <c:pt idx="14">
                  <c:v>13.37276162621723</c:v>
                </c:pt>
                <c:pt idx="15">
                  <c:v>13.815359458928777</c:v>
                </c:pt>
                <c:pt idx="16">
                  <c:v>12.896935292311245</c:v>
                </c:pt>
                <c:pt idx="17">
                  <c:v>13.541297651555173</c:v>
                </c:pt>
                <c:pt idx="18">
                  <c:v>12.655794746213505</c:v>
                </c:pt>
                <c:pt idx="19">
                  <c:v>10.98365452933078</c:v>
                </c:pt>
                <c:pt idx="20">
                  <c:v>11.319767900260711</c:v>
                </c:pt>
                <c:pt idx="21">
                  <c:v>11.719598008813717</c:v>
                </c:pt>
                <c:pt idx="22">
                  <c:v>12.347895700437675</c:v>
                </c:pt>
                <c:pt idx="23">
                  <c:v>12.728426114726089</c:v>
                </c:pt>
                <c:pt idx="24">
                  <c:v>10.29945618382007</c:v>
                </c:pt>
                <c:pt idx="25">
                  <c:v>9.5356273573684565</c:v>
                </c:pt>
                <c:pt idx="26">
                  <c:v>9.0399867244558596</c:v>
                </c:pt>
                <c:pt idx="27">
                  <c:v>9.9498092490315511</c:v>
                </c:pt>
                <c:pt idx="28">
                  <c:v>9.2379104637647007</c:v>
                </c:pt>
                <c:pt idx="29">
                  <c:v>7.427182488603334</c:v>
                </c:pt>
                <c:pt idx="30">
                  <c:v>5.5590535189607362</c:v>
                </c:pt>
                <c:pt idx="31">
                  <c:v>7.1373380430659594</c:v>
                </c:pt>
              </c:numCache>
            </c:numRef>
          </c:val>
          <c:extLst>
            <c:ext xmlns:c16="http://schemas.microsoft.com/office/drawing/2014/chart" uri="{C3380CC4-5D6E-409C-BE32-E72D297353CC}">
              <c16:uniqueId val="{00000002-8659-4011-9F2B-F5EE550921CC}"/>
            </c:ext>
          </c:extLst>
        </c:ser>
        <c:ser>
          <c:idx val="3"/>
          <c:order val="3"/>
          <c:tx>
            <c:strRef>
              <c:f>'page 30'!$A$40</c:f>
              <c:strCache>
                <c:ptCount val="1"/>
                <c:pt idx="0">
                  <c:v>Pétrole</c:v>
                </c:pt>
              </c:strCache>
            </c:strRef>
          </c:tx>
          <c:spPr>
            <a:solidFill>
              <a:schemeClr val="accent2">
                <a:lumMod val="60000"/>
                <a:lumOff val="40000"/>
              </a:schemeClr>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30'!$B$40:$AG$40</c:f>
              <c:numCache>
                <c:formatCode>0</c:formatCode>
                <c:ptCount val="32"/>
                <c:pt idx="0">
                  <c:v>85.326347458511947</c:v>
                </c:pt>
                <c:pt idx="1">
                  <c:v>87.731306261197687</c:v>
                </c:pt>
                <c:pt idx="2">
                  <c:v>84.809967095352775</c:v>
                </c:pt>
                <c:pt idx="3">
                  <c:v>85.82632019601914</c:v>
                </c:pt>
                <c:pt idx="4">
                  <c:v>80.659483045231354</c:v>
                </c:pt>
                <c:pt idx="5">
                  <c:v>82.145096491543683</c:v>
                </c:pt>
                <c:pt idx="6">
                  <c:v>86.527079480317866</c:v>
                </c:pt>
                <c:pt idx="7">
                  <c:v>83.351756731778622</c:v>
                </c:pt>
                <c:pt idx="8">
                  <c:v>90.228832629353022</c:v>
                </c:pt>
                <c:pt idx="9">
                  <c:v>85.505369361071132</c:v>
                </c:pt>
                <c:pt idx="10">
                  <c:v>84.025312123286398</c:v>
                </c:pt>
                <c:pt idx="11">
                  <c:v>89.096200759500562</c:v>
                </c:pt>
                <c:pt idx="12">
                  <c:v>89.025001618368321</c:v>
                </c:pt>
                <c:pt idx="13">
                  <c:v>88.140633922725826</c:v>
                </c:pt>
                <c:pt idx="14">
                  <c:v>88.913011548045688</c:v>
                </c:pt>
                <c:pt idx="15">
                  <c:v>87.883548750853436</c:v>
                </c:pt>
                <c:pt idx="16">
                  <c:v>87.250535018602093</c:v>
                </c:pt>
                <c:pt idx="17">
                  <c:v>86.243302845518699</c:v>
                </c:pt>
                <c:pt idx="18">
                  <c:v>83.536403182847309</c:v>
                </c:pt>
                <c:pt idx="19">
                  <c:v>80.57508524759676</c:v>
                </c:pt>
                <c:pt idx="20">
                  <c:v>75.954605982024091</c:v>
                </c:pt>
                <c:pt idx="21">
                  <c:v>80.344602836691607</c:v>
                </c:pt>
                <c:pt idx="22">
                  <c:v>77.023961906163763</c:v>
                </c:pt>
                <c:pt idx="23">
                  <c:v>74.718572725244556</c:v>
                </c:pt>
                <c:pt idx="24">
                  <c:v>75.49352255353584</c:v>
                </c:pt>
                <c:pt idx="25">
                  <c:v>75.790242066384593</c:v>
                </c:pt>
                <c:pt idx="26">
                  <c:v>72.845230861417789</c:v>
                </c:pt>
                <c:pt idx="27">
                  <c:v>73.504053029730898</c:v>
                </c:pt>
                <c:pt idx="28">
                  <c:v>70.802985702713912</c:v>
                </c:pt>
                <c:pt idx="29">
                  <c:v>71.286796255849183</c:v>
                </c:pt>
                <c:pt idx="30">
                  <c:v>62.812221072725691</c:v>
                </c:pt>
                <c:pt idx="31">
                  <c:v>65.890312240472753</c:v>
                </c:pt>
              </c:numCache>
            </c:numRef>
          </c:val>
          <c:extLst>
            <c:ext xmlns:c16="http://schemas.microsoft.com/office/drawing/2014/chart" uri="{C3380CC4-5D6E-409C-BE32-E72D297353CC}">
              <c16:uniqueId val="{00000003-8659-4011-9F2B-F5EE550921CC}"/>
            </c:ext>
          </c:extLst>
        </c:ser>
        <c:ser>
          <c:idx val="4"/>
          <c:order val="4"/>
          <c:tx>
            <c:strRef>
              <c:f>'page 30'!$A$41</c:f>
              <c:strCache>
                <c:ptCount val="1"/>
                <c:pt idx="0">
                  <c:v>Gaz naturel</c:v>
                </c:pt>
              </c:strCache>
            </c:strRef>
          </c:tx>
          <c:spPr>
            <a:solidFill>
              <a:schemeClr val="bg1">
                <a:lumMod val="65000"/>
              </a:schemeClr>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30'!$B$41:$AG$41</c:f>
              <c:numCache>
                <c:formatCode>0</c:formatCode>
                <c:ptCount val="32"/>
                <c:pt idx="0">
                  <c:v>26.472875864686038</c:v>
                </c:pt>
                <c:pt idx="1">
                  <c:v>26.670979682188516</c:v>
                </c:pt>
                <c:pt idx="2">
                  <c:v>27.617856301266144</c:v>
                </c:pt>
                <c:pt idx="3">
                  <c:v>28.215334342934419</c:v>
                </c:pt>
                <c:pt idx="4">
                  <c:v>28.744155932796662</c:v>
                </c:pt>
                <c:pt idx="5">
                  <c:v>29.750109586218876</c:v>
                </c:pt>
                <c:pt idx="6">
                  <c:v>30.847711035354418</c:v>
                </c:pt>
                <c:pt idx="7">
                  <c:v>31.52575652567231</c:v>
                </c:pt>
                <c:pt idx="8">
                  <c:v>32.85575033322386</c:v>
                </c:pt>
                <c:pt idx="9">
                  <c:v>34.124150177097818</c:v>
                </c:pt>
                <c:pt idx="10">
                  <c:v>36.622290595090419</c:v>
                </c:pt>
                <c:pt idx="11">
                  <c:v>37.575172362576694</c:v>
                </c:pt>
                <c:pt idx="12">
                  <c:v>39.076186204807918</c:v>
                </c:pt>
                <c:pt idx="13">
                  <c:v>38.721872838700982</c:v>
                </c:pt>
                <c:pt idx="14">
                  <c:v>39.083530172861764</c:v>
                </c:pt>
                <c:pt idx="15">
                  <c:v>39.921127130898505</c:v>
                </c:pt>
                <c:pt idx="16">
                  <c:v>39.401015578728114</c:v>
                </c:pt>
                <c:pt idx="17">
                  <c:v>39.633173467206248</c:v>
                </c:pt>
                <c:pt idx="18">
                  <c:v>39.738177399380206</c:v>
                </c:pt>
                <c:pt idx="19">
                  <c:v>37.975916346379506</c:v>
                </c:pt>
                <c:pt idx="20">
                  <c:v>39.246881999573517</c:v>
                </c:pt>
                <c:pt idx="21">
                  <c:v>39.591513385934263</c:v>
                </c:pt>
                <c:pt idx="22">
                  <c:v>37.745754878601971</c:v>
                </c:pt>
                <c:pt idx="23">
                  <c:v>36.576378638023797</c:v>
                </c:pt>
                <c:pt idx="24">
                  <c:v>35.692437052750769</c:v>
                </c:pt>
                <c:pt idx="25">
                  <c:v>36.565417532186153</c:v>
                </c:pt>
                <c:pt idx="26">
                  <c:v>37.836142699027143</c:v>
                </c:pt>
                <c:pt idx="27">
                  <c:v>39.041873691377731</c:v>
                </c:pt>
                <c:pt idx="28">
                  <c:v>38.225348058110029</c:v>
                </c:pt>
                <c:pt idx="29">
                  <c:v>38.794227339203573</c:v>
                </c:pt>
                <c:pt idx="30">
                  <c:v>37.938302873693338</c:v>
                </c:pt>
                <c:pt idx="31">
                  <c:v>36.580789153242002</c:v>
                </c:pt>
              </c:numCache>
            </c:numRef>
          </c:val>
          <c:extLst>
            <c:ext xmlns:c16="http://schemas.microsoft.com/office/drawing/2014/chart" uri="{C3380CC4-5D6E-409C-BE32-E72D297353CC}">
              <c16:uniqueId val="{00000004-8659-4011-9F2B-F5EE550921CC}"/>
            </c:ext>
          </c:extLst>
        </c:ser>
        <c:ser>
          <c:idx val="5"/>
          <c:order val="5"/>
          <c:tx>
            <c:strRef>
              <c:f>'page 30'!$A$42</c:f>
              <c:strCache>
                <c:ptCount val="1"/>
                <c:pt idx="0">
                  <c:v>Nucléaire</c:v>
                </c:pt>
              </c:strCache>
            </c:strRef>
          </c:tx>
          <c:spPr>
            <a:solidFill>
              <a:srgbClr val="FFC000"/>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30'!$B$42:$AG$42</c:f>
              <c:numCache>
                <c:formatCode>0</c:formatCode>
                <c:ptCount val="32"/>
                <c:pt idx="0">
                  <c:v>78.546160125262077</c:v>
                </c:pt>
                <c:pt idx="1">
                  <c:v>81.263869505068868</c:v>
                </c:pt>
                <c:pt idx="2">
                  <c:v>82.797464408666102</c:v>
                </c:pt>
                <c:pt idx="3">
                  <c:v>89.820122677661175</c:v>
                </c:pt>
                <c:pt idx="4">
                  <c:v>88.887412984829282</c:v>
                </c:pt>
                <c:pt idx="5">
                  <c:v>93.401174488682216</c:v>
                </c:pt>
                <c:pt idx="6">
                  <c:v>96.949787818299413</c:v>
                </c:pt>
                <c:pt idx="7">
                  <c:v>98.64627189873103</c:v>
                </c:pt>
                <c:pt idx="8">
                  <c:v>93.725259782799583</c:v>
                </c:pt>
                <c:pt idx="9">
                  <c:v>98.830600679883887</c:v>
                </c:pt>
                <c:pt idx="10">
                  <c:v>102.81446084416066</c:v>
                </c:pt>
                <c:pt idx="11">
                  <c:v>105.70140839911933</c:v>
                </c:pt>
                <c:pt idx="12">
                  <c:v>107.78147674790107</c:v>
                </c:pt>
                <c:pt idx="13">
                  <c:v>109.07871803413207</c:v>
                </c:pt>
                <c:pt idx="14">
                  <c:v>111.24083484117097</c:v>
                </c:pt>
                <c:pt idx="15">
                  <c:v>112.21581685280069</c:v>
                </c:pt>
                <c:pt idx="16">
                  <c:v>111.78841322606267</c:v>
                </c:pt>
                <c:pt idx="17">
                  <c:v>110.29705868127172</c:v>
                </c:pt>
                <c:pt idx="18">
                  <c:v>110.65104455746545</c:v>
                </c:pt>
                <c:pt idx="19">
                  <c:v>104.74088993365683</c:v>
                </c:pt>
                <c:pt idx="20">
                  <c:v>108.38626090763326</c:v>
                </c:pt>
                <c:pt idx="21">
                  <c:v>111.17807635733062</c:v>
                </c:pt>
                <c:pt idx="22">
                  <c:v>106.88512632673581</c:v>
                </c:pt>
                <c:pt idx="23">
                  <c:v>105.60050861866138</c:v>
                </c:pt>
                <c:pt idx="24">
                  <c:v>108.82259766870183</c:v>
                </c:pt>
                <c:pt idx="25">
                  <c:v>108.89299073510217</c:v>
                </c:pt>
                <c:pt idx="26">
                  <c:v>101.35625047134118</c:v>
                </c:pt>
                <c:pt idx="27">
                  <c:v>100.51389785125926</c:v>
                </c:pt>
                <c:pt idx="28">
                  <c:v>102.60689982550248</c:v>
                </c:pt>
                <c:pt idx="29">
                  <c:v>99.390333914195324</c:v>
                </c:pt>
                <c:pt idx="30">
                  <c:v>89.252257036068272</c:v>
                </c:pt>
                <c:pt idx="31">
                  <c:v>95.070319787355174</c:v>
                </c:pt>
              </c:numCache>
            </c:numRef>
          </c:val>
          <c:extLst>
            <c:ext xmlns:c16="http://schemas.microsoft.com/office/drawing/2014/chart" uri="{C3380CC4-5D6E-409C-BE32-E72D297353CC}">
              <c16:uniqueId val="{00000005-8659-4011-9F2B-F5EE550921CC}"/>
            </c:ext>
          </c:extLst>
        </c:ser>
        <c:dLbls>
          <c:showLegendKey val="0"/>
          <c:showVal val="0"/>
          <c:showCatName val="0"/>
          <c:showSerName val="0"/>
          <c:showPercent val="0"/>
          <c:showBubbleSize val="0"/>
        </c:dLbls>
        <c:axId val="752773728"/>
        <c:axId val="752775808"/>
      </c:areaChart>
      <c:catAx>
        <c:axId val="7527737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2775808"/>
        <c:crosses val="autoZero"/>
        <c:auto val="1"/>
        <c:lblAlgn val="ctr"/>
        <c:lblOffset val="100"/>
        <c:noMultiLvlLbl val="0"/>
      </c:catAx>
      <c:valAx>
        <c:axId val="752775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Mtoe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27737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285442962845706E-3"/>
          <c:y val="5.1978859033993713E-2"/>
          <c:w val="0.95942230839235543"/>
          <c:h val="0.87500072485678904"/>
        </c:manualLayout>
      </c:layout>
      <c:ofPieChart>
        <c:ofPieType val="bar"/>
        <c:varyColors val="1"/>
        <c:ser>
          <c:idx val="0"/>
          <c:order val="0"/>
          <c:tx>
            <c:v>Mix énergétique primaire</c:v>
          </c:tx>
          <c:dPt>
            <c:idx val="0"/>
            <c:bubble3D val="0"/>
            <c:spPr>
              <a:solidFill>
                <a:schemeClr val="bg1">
                  <a:lumMod val="75000"/>
                </a:schemeClr>
              </a:solidFill>
              <a:ln>
                <a:solidFill>
                  <a:schemeClr val="bg1">
                    <a:lumMod val="75000"/>
                  </a:schemeClr>
                </a:solidFill>
              </a:ln>
            </c:spPr>
            <c:extLst>
              <c:ext xmlns:c16="http://schemas.microsoft.com/office/drawing/2014/chart" uri="{C3380CC4-5D6E-409C-BE32-E72D297353CC}">
                <c16:uniqueId val="{00000001-BE39-401F-B3E8-4801A6892E1E}"/>
              </c:ext>
            </c:extLst>
          </c:dPt>
          <c:dPt>
            <c:idx val="1"/>
            <c:bubble3D val="0"/>
            <c:spPr>
              <a:solidFill>
                <a:schemeClr val="tx1"/>
              </a:solidFill>
              <a:ln>
                <a:solidFill>
                  <a:sysClr val="windowText" lastClr="000000"/>
                </a:solidFill>
              </a:ln>
            </c:spPr>
            <c:extLst>
              <c:ext xmlns:c16="http://schemas.microsoft.com/office/drawing/2014/chart" uri="{C3380CC4-5D6E-409C-BE32-E72D297353CC}">
                <c16:uniqueId val="{00000003-BE39-401F-B3E8-4801A6892E1E}"/>
              </c:ext>
            </c:extLst>
          </c:dPt>
          <c:dPt>
            <c:idx val="2"/>
            <c:bubble3D val="0"/>
            <c:spPr>
              <a:solidFill>
                <a:schemeClr val="accent6">
                  <a:lumMod val="50000"/>
                </a:schemeClr>
              </a:solidFill>
              <a:ln>
                <a:solidFill>
                  <a:schemeClr val="accent6">
                    <a:lumMod val="50000"/>
                  </a:schemeClr>
                </a:solidFill>
              </a:ln>
            </c:spPr>
            <c:extLst>
              <c:ext xmlns:c16="http://schemas.microsoft.com/office/drawing/2014/chart" uri="{C3380CC4-5D6E-409C-BE32-E72D297353CC}">
                <c16:uniqueId val="{00000005-BE39-401F-B3E8-4801A6892E1E}"/>
              </c:ext>
            </c:extLst>
          </c:dPt>
          <c:dPt>
            <c:idx val="3"/>
            <c:bubble3D val="0"/>
            <c:spPr>
              <a:solidFill>
                <a:schemeClr val="accent2">
                  <a:lumMod val="60000"/>
                  <a:lumOff val="40000"/>
                </a:schemeClr>
              </a:solidFill>
              <a:ln>
                <a:solidFill>
                  <a:schemeClr val="bg1">
                    <a:lumMod val="50000"/>
                  </a:schemeClr>
                </a:solidFill>
              </a:ln>
            </c:spPr>
            <c:extLst>
              <c:ext xmlns:c16="http://schemas.microsoft.com/office/drawing/2014/chart" uri="{C3380CC4-5D6E-409C-BE32-E72D297353CC}">
                <c16:uniqueId val="{00000007-BE39-401F-B3E8-4801A6892E1E}"/>
              </c:ext>
            </c:extLst>
          </c:dPt>
          <c:dPt>
            <c:idx val="4"/>
            <c:bubble3D val="0"/>
            <c:spPr>
              <a:solidFill>
                <a:srgbClr val="FFFF00"/>
              </a:solidFill>
              <a:ln>
                <a:solidFill>
                  <a:srgbClr val="FFFF00"/>
                </a:solidFill>
              </a:ln>
            </c:spPr>
            <c:extLst>
              <c:ext xmlns:c16="http://schemas.microsoft.com/office/drawing/2014/chart" uri="{C3380CC4-5D6E-409C-BE32-E72D297353CC}">
                <c16:uniqueId val="{00000009-BE39-401F-B3E8-4801A6892E1E}"/>
              </c:ext>
            </c:extLst>
          </c:dPt>
          <c:dPt>
            <c:idx val="5"/>
            <c:bubble3D val="0"/>
            <c:spPr>
              <a:solidFill>
                <a:srgbClr val="92D050"/>
              </a:solidFill>
            </c:spPr>
            <c:extLst>
              <c:ext xmlns:c16="http://schemas.microsoft.com/office/drawing/2014/chart" uri="{C3380CC4-5D6E-409C-BE32-E72D297353CC}">
                <c16:uniqueId val="{0000000B-BE39-401F-B3E8-4801A6892E1E}"/>
              </c:ext>
            </c:extLst>
          </c:dPt>
          <c:dPt>
            <c:idx val="6"/>
            <c:bubble3D val="0"/>
            <c:spPr>
              <a:solidFill>
                <a:srgbClr val="00B0F0"/>
              </a:solidFill>
              <a:ln>
                <a:solidFill>
                  <a:srgbClr val="00B0F0"/>
                </a:solidFill>
              </a:ln>
            </c:spPr>
            <c:extLst>
              <c:ext xmlns:c16="http://schemas.microsoft.com/office/drawing/2014/chart" uri="{C3380CC4-5D6E-409C-BE32-E72D297353CC}">
                <c16:uniqueId val="{0000000D-BE39-401F-B3E8-4801A6892E1E}"/>
              </c:ext>
            </c:extLst>
          </c:dPt>
          <c:dPt>
            <c:idx val="11"/>
            <c:bubble3D val="0"/>
            <c:spPr>
              <a:solidFill>
                <a:srgbClr val="00B050"/>
              </a:solidFill>
            </c:spPr>
            <c:extLst>
              <c:ext xmlns:c16="http://schemas.microsoft.com/office/drawing/2014/chart" uri="{C3380CC4-5D6E-409C-BE32-E72D297353CC}">
                <c16:uniqueId val="{0000000F-BE39-401F-B3E8-4801A6892E1E}"/>
              </c:ext>
            </c:extLst>
          </c:dPt>
          <c:dLbls>
            <c:dLbl>
              <c:idx val="2"/>
              <c:layout>
                <c:manualLayout>
                  <c:x val="-0.12256906580144819"/>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E39-401F-B3E8-4801A6892E1E}"/>
                </c:ext>
              </c:extLst>
            </c:dLbl>
            <c:dLbl>
              <c:idx val="3"/>
              <c:layout>
                <c:manualLayout>
                  <c:x val="8.3883037233411145E-2"/>
                  <c:y val="-0.1890218476211600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E39-401F-B3E8-4801A6892E1E}"/>
                </c:ext>
              </c:extLst>
            </c:dLbl>
            <c:dLbl>
              <c:idx val="5"/>
              <c:layout>
                <c:manualLayout>
                  <c:x val="-0.13869346733668342"/>
                  <c:y val="-5.260389268805891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E39-401F-B3E8-4801A6892E1E}"/>
                </c:ext>
              </c:extLst>
            </c:dLbl>
            <c:dLbl>
              <c:idx val="6"/>
              <c:layout>
                <c:manualLayout>
                  <c:x val="-0.1386934673366834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E39-401F-B3E8-4801A6892E1E}"/>
                </c:ext>
              </c:extLst>
            </c:dLbl>
            <c:dLbl>
              <c:idx val="7"/>
              <c:layout>
                <c:manualLayout>
                  <c:x val="-0.14874371859296481"/>
                  <c:y val="0"/>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0-BE39-401F-B3E8-4801A6892E1E}"/>
                </c:ext>
              </c:extLst>
            </c:dLbl>
            <c:dLbl>
              <c:idx val="8"/>
              <c:layout>
                <c:manualLayout>
                  <c:x val="-0.15477386934673368"/>
                  <c:y val="-8.6070993180980237E-17"/>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1-BE39-401F-B3E8-4801A6892E1E}"/>
                </c:ext>
              </c:extLst>
            </c:dLbl>
            <c:dLbl>
              <c:idx val="9"/>
              <c:layout>
                <c:manualLayout>
                  <c:x val="-0.1185929648241206"/>
                  <c:y val="-8.6070993180980237E-17"/>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2-BE39-401F-B3E8-4801A6892E1E}"/>
                </c:ext>
              </c:extLst>
            </c:dLbl>
            <c:dLbl>
              <c:idx val="10"/>
              <c:layout>
                <c:manualLayout>
                  <c:x val="-0.12864313694456533"/>
                  <c:y val="-5.2604339950463935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1884414196969095"/>
                      <c:h val="0.11251968503937008"/>
                    </c:manualLayout>
                  </c15:layout>
                </c:ext>
                <c:ext xmlns:c16="http://schemas.microsoft.com/office/drawing/2014/chart" uri="{C3380CC4-5D6E-409C-BE32-E72D297353CC}">
                  <c16:uniqueId val="{00000013-BE39-401F-B3E8-4801A6892E1E}"/>
                </c:ext>
              </c:extLst>
            </c:dLbl>
            <c:dLbl>
              <c:idx val="11"/>
              <c:tx>
                <c:rich>
                  <a:bodyPr/>
                  <a:lstStyle/>
                  <a:p>
                    <a:r>
                      <a:rPr lang="en-US"/>
                      <a:t>ENR*</a:t>
                    </a:r>
                    <a:r>
                      <a:rPr lang="en-US" baseline="0"/>
                      <a:t>
</a:t>
                    </a:r>
                    <a:fld id="{F7F8A7F7-338C-46A3-B1FF-885373CA9AF0}" type="PERCENTAGE">
                      <a:rPr lang="en-US"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BE39-401F-B3E8-4801A6892E1E}"/>
                </c:ext>
              </c:extLst>
            </c:dLbl>
            <c:numFmt formatCode="0.0%" sourceLinked="0"/>
            <c:spPr>
              <a:noFill/>
              <a:ln>
                <a:noFill/>
              </a:ln>
              <a:effectLst/>
            </c:spPr>
            <c:txPr>
              <a:bodyPr wrap="square" lIns="38100" tIns="19050" rIns="38100" bIns="19050" anchor="ctr">
                <a:spAutoFit/>
              </a:bodyPr>
              <a:lstStyle/>
              <a:p>
                <a:pPr>
                  <a:defRPr sz="800"/>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'page 29'!$I$34:$I$44</c:f>
              <c:strCache>
                <c:ptCount val="11"/>
                <c:pt idx="0">
                  <c:v>Gaz naturel</c:v>
                </c:pt>
                <c:pt idx="1">
                  <c:v>Charbon</c:v>
                </c:pt>
                <c:pt idx="2">
                  <c:v>Déchets non renouvelables</c:v>
                </c:pt>
                <c:pt idx="3">
                  <c:v>Pétrole</c:v>
                </c:pt>
                <c:pt idx="4">
                  <c:v>Nucléaire**</c:v>
                </c:pt>
                <c:pt idx="5">
                  <c:v>Biomasse solide</c:v>
                </c:pt>
                <c:pt idx="6">
                  <c:v>Hydraulique***</c:v>
                </c:pt>
                <c:pt idx="7">
                  <c:v>Biocarburants</c:v>
                </c:pt>
                <c:pt idx="8">
                  <c:v>Pompes à chaleur</c:v>
                </c:pt>
                <c:pt idx="9">
                  <c:v>Éolien </c:v>
                </c:pt>
                <c:pt idx="10">
                  <c:v>Autres</c:v>
                </c:pt>
              </c:strCache>
            </c:strRef>
          </c:cat>
          <c:val>
            <c:numRef>
              <c:f>'page 29'!$L$34:$L$44</c:f>
              <c:numCache>
                <c:formatCode>0.0</c:formatCode>
                <c:ptCount val="11"/>
                <c:pt idx="0">
                  <c:v>15.546399830811403</c:v>
                </c:pt>
                <c:pt idx="1">
                  <c:v>3.0140812903231624</c:v>
                </c:pt>
                <c:pt idx="2">
                  <c:v>0.70482259428394722</c:v>
                </c:pt>
                <c:pt idx="3">
                  <c:v>27.709530837535254</c:v>
                </c:pt>
                <c:pt idx="4">
                  <c:v>39.99133480917196</c:v>
                </c:pt>
                <c:pt idx="5">
                  <c:v>4.7705638921588358</c:v>
                </c:pt>
                <c:pt idx="6">
                  <c:v>2.1258816926887736</c:v>
                </c:pt>
                <c:pt idx="7">
                  <c:v>1.3071977068579501</c:v>
                </c:pt>
                <c:pt idx="8">
                  <c:v>1.545665130306445</c:v>
                </c:pt>
                <c:pt idx="9">
                  <c:v>1.3369537391052335</c:v>
                </c:pt>
                <c:pt idx="10">
                  <c:v>1.9475684767570203</c:v>
                </c:pt>
              </c:numCache>
            </c:numRef>
          </c:val>
          <c:extLst>
            <c:ext xmlns:c16="http://schemas.microsoft.com/office/drawing/2014/chart" uri="{C3380CC4-5D6E-409C-BE32-E72D297353CC}">
              <c16:uniqueId val="{00000014-BE39-401F-B3E8-4801A6892E1E}"/>
            </c:ext>
          </c:extLst>
        </c:ser>
        <c:dLbls>
          <c:dLblPos val="bestFit"/>
          <c:showLegendKey val="0"/>
          <c:showVal val="1"/>
          <c:showCatName val="0"/>
          <c:showSerName val="0"/>
          <c:showPercent val="0"/>
          <c:showBubbleSize val="0"/>
          <c:showLeaderLines val="1"/>
        </c:dLbls>
        <c:gapWidth val="100"/>
        <c:splitType val="pos"/>
        <c:splitPos val="6"/>
        <c:secondPieSize val="75"/>
        <c:serLines/>
      </c:ofPieChart>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1"/>
          <c:order val="0"/>
          <c:tx>
            <c:strRef>
              <c:f>'page 73'!$L$68</c:f>
              <c:strCache>
                <c:ptCount val="1"/>
                <c:pt idx="0">
                  <c:v>Hydraulique renouvelable</c:v>
                </c:pt>
              </c:strCache>
            </c:strRef>
          </c:tx>
          <c:spPr>
            <a:solidFill>
              <a:srgbClr val="0070C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73'!$L$69:$L$100</c:f>
              <c:numCache>
                <c:formatCode>0.0</c:formatCode>
                <c:ptCount val="32"/>
                <c:pt idx="0">
                  <c:v>4.6316962790490015</c:v>
                </c:pt>
                <c:pt idx="1">
                  <c:v>4.9528739239455026</c:v>
                </c:pt>
                <c:pt idx="2">
                  <c:v>5.9291315328209988</c:v>
                </c:pt>
                <c:pt idx="3">
                  <c:v>5.579946930600002</c:v>
                </c:pt>
                <c:pt idx="4">
                  <c:v>6.7749921857100075</c:v>
                </c:pt>
                <c:pt idx="5">
                  <c:v>6.2870909392515006</c:v>
                </c:pt>
                <c:pt idx="6">
                  <c:v>5.6787327169755022</c:v>
                </c:pt>
                <c:pt idx="7">
                  <c:v>5.4827298454424973</c:v>
                </c:pt>
                <c:pt idx="8">
                  <c:v>5.3390281638330013</c:v>
                </c:pt>
                <c:pt idx="9">
                  <c:v>6.2351078059935041</c:v>
                </c:pt>
                <c:pt idx="10">
                  <c:v>5.7062471550840046</c:v>
                </c:pt>
                <c:pt idx="11">
                  <c:v>6.3858867858135042</c:v>
                </c:pt>
                <c:pt idx="12">
                  <c:v>5.1931318998300027</c:v>
                </c:pt>
                <c:pt idx="13">
                  <c:v>5.0682237644009973</c:v>
                </c:pt>
                <c:pt idx="14">
                  <c:v>5.1208097349885007</c:v>
                </c:pt>
                <c:pt idx="15">
                  <c:v>4.4264379499515023</c:v>
                </c:pt>
                <c:pt idx="16">
                  <c:v>4.841276447070002</c:v>
                </c:pt>
                <c:pt idx="17">
                  <c:v>4.953105136266001</c:v>
                </c:pt>
                <c:pt idx="18">
                  <c:v>5.4732252047969965</c:v>
                </c:pt>
                <c:pt idx="19">
                  <c:v>4.9009084175100055</c:v>
                </c:pt>
                <c:pt idx="20">
                  <c:v>5.3923940138354984</c:v>
                </c:pt>
                <c:pt idx="21">
                  <c:v>3.9333284503590007</c:v>
                </c:pt>
                <c:pt idx="22">
                  <c:v>5.1446099866349986</c:v>
                </c:pt>
                <c:pt idx="23">
                  <c:v>6.1841922562875009</c:v>
                </c:pt>
                <c:pt idx="24">
                  <c:v>5.4835246861605018</c:v>
                </c:pt>
                <c:pt idx="25">
                  <c:v>4.7769782697840002</c:v>
                </c:pt>
                <c:pt idx="26">
                  <c:v>5.2312290522450002</c:v>
                </c:pt>
                <c:pt idx="27">
                  <c:v>4.2993330825165001</c:v>
                </c:pt>
                <c:pt idx="28">
                  <c:v>5.5985734088969998</c:v>
                </c:pt>
                <c:pt idx="29">
                  <c:v>4.8937124606894997</c:v>
                </c:pt>
                <c:pt idx="30">
                  <c:v>5.3363623003950007</c:v>
                </c:pt>
                <c:pt idx="31">
                  <c:v>5.0607601492580008</c:v>
                </c:pt>
              </c:numCache>
            </c:numRef>
          </c:val>
          <c:extLst>
            <c:ext xmlns:c16="http://schemas.microsoft.com/office/drawing/2014/chart" uri="{C3380CC4-5D6E-409C-BE32-E72D297353CC}">
              <c16:uniqueId val="{00000000-8E7B-4578-A7D1-66D8DE36B7B6}"/>
            </c:ext>
          </c:extLst>
        </c:ser>
        <c:ser>
          <c:idx val="2"/>
          <c:order val="1"/>
          <c:tx>
            <c:strRef>
              <c:f>'page 73'!$M$68</c:f>
              <c:strCache>
                <c:ptCount val="1"/>
                <c:pt idx="0">
                  <c:v>Éolien</c:v>
                </c:pt>
              </c:strCache>
            </c:strRef>
          </c:tx>
          <c:spPr>
            <a:solidFill>
              <a:srgbClr val="92D05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73'!$M$69:$M$100</c:f>
              <c:numCache>
                <c:formatCode>0.0</c:formatCode>
                <c:ptCount val="32"/>
                <c:pt idx="0">
                  <c:v>2.3387784000000003E-5</c:v>
                </c:pt>
                <c:pt idx="1">
                  <c:v>4.2132405000000017E-5</c:v>
                </c:pt>
                <c:pt idx="2">
                  <c:v>4.2132405000000017E-5</c:v>
                </c:pt>
                <c:pt idx="3">
                  <c:v>2.0653476899999972E-4</c:v>
                </c:pt>
                <c:pt idx="4">
                  <c:v>4.044710880000003E-4</c:v>
                </c:pt>
                <c:pt idx="5">
                  <c:v>4.0533093300000036E-4</c:v>
                </c:pt>
                <c:pt idx="6">
                  <c:v>6.3886483499999986E-4</c:v>
                </c:pt>
                <c:pt idx="7">
                  <c:v>9.5683551600000017E-4</c:v>
                </c:pt>
                <c:pt idx="8">
                  <c:v>1.6764397964999962E-3</c:v>
                </c:pt>
                <c:pt idx="9">
                  <c:v>3.1766113680000048E-3</c:v>
                </c:pt>
                <c:pt idx="10">
                  <c:v>4.141013519999996E-3</c:v>
                </c:pt>
                <c:pt idx="11">
                  <c:v>1.1284605779999976E-2</c:v>
                </c:pt>
                <c:pt idx="12">
                  <c:v>2.2836623355000009E-2</c:v>
                </c:pt>
                <c:pt idx="13">
                  <c:v>3.3340489875000046E-2</c:v>
                </c:pt>
                <c:pt idx="14">
                  <c:v>5.1147879824999957E-2</c:v>
                </c:pt>
                <c:pt idx="15">
                  <c:v>8.2766100164999953E-2</c:v>
                </c:pt>
                <c:pt idx="16">
                  <c:v>0.18766805000999962</c:v>
                </c:pt>
                <c:pt idx="17">
                  <c:v>0.34996637329499947</c:v>
                </c:pt>
                <c:pt idx="18">
                  <c:v>0.48961379974499974</c:v>
                </c:pt>
                <c:pt idx="19">
                  <c:v>0.68027239066499978</c:v>
                </c:pt>
                <c:pt idx="20">
                  <c:v>0.85511499265499991</c:v>
                </c:pt>
                <c:pt idx="21">
                  <c:v>1.0637676458745</c:v>
                </c:pt>
                <c:pt idx="22">
                  <c:v>1.3051071348000001</c:v>
                </c:pt>
                <c:pt idx="23">
                  <c:v>1.3866493315920001</c:v>
                </c:pt>
                <c:pt idx="24">
                  <c:v>1.4895764754255003</c:v>
                </c:pt>
                <c:pt idx="25">
                  <c:v>1.841839752669</c:v>
                </c:pt>
                <c:pt idx="26">
                  <c:v>1.8384332187480001</c:v>
                </c:pt>
                <c:pt idx="27">
                  <c:v>2.1160301357264997</c:v>
                </c:pt>
                <c:pt idx="28">
                  <c:v>2.4590358917774999</c:v>
                </c:pt>
                <c:pt idx="29">
                  <c:v>2.9911731540284991</c:v>
                </c:pt>
                <c:pt idx="30">
                  <c:v>3.4214867115345</c:v>
                </c:pt>
                <c:pt idx="31">
                  <c:v>3.1826804979480006</c:v>
                </c:pt>
              </c:numCache>
            </c:numRef>
          </c:val>
          <c:extLst>
            <c:ext xmlns:c16="http://schemas.microsoft.com/office/drawing/2014/chart" uri="{C3380CC4-5D6E-409C-BE32-E72D297353CC}">
              <c16:uniqueId val="{00000001-8E7B-4578-A7D1-66D8DE36B7B6}"/>
            </c:ext>
          </c:extLst>
        </c:ser>
        <c:ser>
          <c:idx val="3"/>
          <c:order val="2"/>
          <c:tx>
            <c:strRef>
              <c:f>'page 73'!$N$68</c:f>
              <c:strCache>
                <c:ptCount val="1"/>
                <c:pt idx="0">
                  <c:v>Biomasse</c:v>
                </c:pt>
              </c:strCache>
            </c:strRef>
          </c:tx>
          <c:spPr>
            <a:solidFill>
              <a:srgbClr val="00800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73'!$N$69:$N$100</c:f>
              <c:numCache>
                <c:formatCode>0.0</c:formatCode>
                <c:ptCount val="32"/>
                <c:pt idx="0">
                  <c:v>9.7691767366666689</c:v>
                </c:pt>
                <c:pt idx="1">
                  <c:v>11.313577779583296</c:v>
                </c:pt>
                <c:pt idx="2">
                  <c:v>10.983946644999968</c:v>
                </c:pt>
                <c:pt idx="3">
                  <c:v>10.54535404125004</c:v>
                </c:pt>
                <c:pt idx="4">
                  <c:v>9.4590831912500004</c:v>
                </c:pt>
                <c:pt idx="5">
                  <c:v>9.5891825166666713</c:v>
                </c:pt>
                <c:pt idx="6">
                  <c:v>10.295282453750026</c:v>
                </c:pt>
                <c:pt idx="7">
                  <c:v>9.3460852274999979</c:v>
                </c:pt>
                <c:pt idx="8">
                  <c:v>9.3545642545833356</c:v>
                </c:pt>
                <c:pt idx="9">
                  <c:v>8.8450583229166657</c:v>
                </c:pt>
                <c:pt idx="10">
                  <c:v>8.4334314137500037</c:v>
                </c:pt>
                <c:pt idx="11">
                  <c:v>8.5412941920833294</c:v>
                </c:pt>
                <c:pt idx="12">
                  <c:v>8.0435872445833372</c:v>
                </c:pt>
                <c:pt idx="13">
                  <c:v>8.5708633062500024</c:v>
                </c:pt>
                <c:pt idx="14">
                  <c:v>8.6348501049999964</c:v>
                </c:pt>
                <c:pt idx="15">
                  <c:v>9.0788883937499989</c:v>
                </c:pt>
                <c:pt idx="16">
                  <c:v>8.1093415025000031</c:v>
                </c:pt>
                <c:pt idx="17">
                  <c:v>8.3204573345833328</c:v>
                </c:pt>
                <c:pt idx="18">
                  <c:v>8.7725447279166726</c:v>
                </c:pt>
                <c:pt idx="19">
                  <c:v>8.9911603191666654</c:v>
                </c:pt>
                <c:pt idx="20">
                  <c:v>10.338035857916672</c:v>
                </c:pt>
                <c:pt idx="21">
                  <c:v>8.5742589774624989</c:v>
                </c:pt>
                <c:pt idx="22">
                  <c:v>9.6647575420200003</c:v>
                </c:pt>
                <c:pt idx="23">
                  <c:v>10.671279822344168</c:v>
                </c:pt>
                <c:pt idx="24">
                  <c:v>9.1619989573758325</c:v>
                </c:pt>
                <c:pt idx="25">
                  <c:v>9.9304472107925008</c:v>
                </c:pt>
                <c:pt idx="26">
                  <c:v>10.716149018440834</c:v>
                </c:pt>
                <c:pt idx="27">
                  <c:v>10.390868938403335</c:v>
                </c:pt>
                <c:pt idx="28">
                  <c:v>10.34249346158875</c:v>
                </c:pt>
                <c:pt idx="29">
                  <c:v>10.376001883969165</c:v>
                </c:pt>
                <c:pt idx="30">
                  <c:v>9.8591739899741668</c:v>
                </c:pt>
                <c:pt idx="31">
                  <c:v>11.210171482346666</c:v>
                </c:pt>
              </c:numCache>
            </c:numRef>
          </c:val>
          <c:extLst>
            <c:ext xmlns:c16="http://schemas.microsoft.com/office/drawing/2014/chart" uri="{C3380CC4-5D6E-409C-BE32-E72D297353CC}">
              <c16:uniqueId val="{00000002-8E7B-4578-A7D1-66D8DE36B7B6}"/>
            </c:ext>
          </c:extLst>
        </c:ser>
        <c:ser>
          <c:idx val="4"/>
          <c:order val="3"/>
          <c:tx>
            <c:strRef>
              <c:f>'page 73'!$O$68</c:f>
              <c:strCache>
                <c:ptCount val="1"/>
                <c:pt idx="0">
                  <c:v>Déchets renouvelables</c:v>
                </c:pt>
              </c:strCache>
            </c:strRef>
          </c:tx>
          <c:spPr>
            <a:solidFill>
              <a:schemeClr val="accent3">
                <a:lumMod val="75000"/>
              </a:schemeClr>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73'!$O$69:$O$100</c:f>
              <c:numCache>
                <c:formatCode>0.0</c:formatCode>
                <c:ptCount val="32"/>
                <c:pt idx="0">
                  <c:v>0.57301503874999948</c:v>
                </c:pt>
                <c:pt idx="1">
                  <c:v>0.62665981291666673</c:v>
                </c:pt>
                <c:pt idx="2">
                  <c:v>0.62744800416666691</c:v>
                </c:pt>
                <c:pt idx="3">
                  <c:v>0.62826007999999967</c:v>
                </c:pt>
                <c:pt idx="4">
                  <c:v>0.63296534291666684</c:v>
                </c:pt>
                <c:pt idx="5">
                  <c:v>0.72095614791666629</c:v>
                </c:pt>
                <c:pt idx="6">
                  <c:v>0.74453023166666643</c:v>
                </c:pt>
                <c:pt idx="7">
                  <c:v>0.75721294541666651</c:v>
                </c:pt>
                <c:pt idx="8">
                  <c:v>0.78023768375000002</c:v>
                </c:pt>
                <c:pt idx="9">
                  <c:v>0.8726471366666666</c:v>
                </c:pt>
                <c:pt idx="10">
                  <c:v>0.92856094625000007</c:v>
                </c:pt>
                <c:pt idx="11">
                  <c:v>0.96570147333333267</c:v>
                </c:pt>
                <c:pt idx="12">
                  <c:v>1.0214719754166648</c:v>
                </c:pt>
                <c:pt idx="13">
                  <c:v>1.0707936400000004</c:v>
                </c:pt>
                <c:pt idx="14">
                  <c:v>1.1520489924999964</c:v>
                </c:pt>
                <c:pt idx="15">
                  <c:v>1.0579198495833357</c:v>
                </c:pt>
                <c:pt idx="16">
                  <c:v>1.0217824750000024</c:v>
                </c:pt>
                <c:pt idx="17">
                  <c:v>1.0782958831633354</c:v>
                </c:pt>
                <c:pt idx="18">
                  <c:v>1.1268149063237507</c:v>
                </c:pt>
                <c:pt idx="19">
                  <c:v>1.2033627746408304</c:v>
                </c:pt>
                <c:pt idx="20">
                  <c:v>1.2199376484370876</c:v>
                </c:pt>
                <c:pt idx="21">
                  <c:v>1.1518709090466668</c:v>
                </c:pt>
                <c:pt idx="22">
                  <c:v>1.2148847215254166</c:v>
                </c:pt>
                <c:pt idx="23">
                  <c:v>1.2611806154383336</c:v>
                </c:pt>
                <c:pt idx="24">
                  <c:v>1.2730117960233331</c:v>
                </c:pt>
                <c:pt idx="25">
                  <c:v>1.2268134706333331</c:v>
                </c:pt>
                <c:pt idx="26">
                  <c:v>1.2523976809166668</c:v>
                </c:pt>
                <c:pt idx="27">
                  <c:v>1.2741381929733333</c:v>
                </c:pt>
                <c:pt idx="28">
                  <c:v>1.2627194274887503</c:v>
                </c:pt>
                <c:pt idx="29">
                  <c:v>1.2598437236554167</c:v>
                </c:pt>
                <c:pt idx="30">
                  <c:v>1.2442829892675003</c:v>
                </c:pt>
                <c:pt idx="31">
                  <c:v>1.2562497865166666</c:v>
                </c:pt>
              </c:numCache>
            </c:numRef>
          </c:val>
          <c:extLst>
            <c:ext xmlns:c16="http://schemas.microsoft.com/office/drawing/2014/chart" uri="{C3380CC4-5D6E-409C-BE32-E72D297353CC}">
              <c16:uniqueId val="{00000003-8E7B-4578-A7D1-66D8DE36B7B6}"/>
            </c:ext>
          </c:extLst>
        </c:ser>
        <c:ser>
          <c:idx val="5"/>
          <c:order val="4"/>
          <c:tx>
            <c:strRef>
              <c:f>'page 73'!$P$68</c:f>
              <c:strCache>
                <c:ptCount val="1"/>
                <c:pt idx="0">
                  <c:v>Biocarburants</c:v>
                </c:pt>
              </c:strCache>
            </c:strRef>
          </c:tx>
          <c:spPr>
            <a:solidFill>
              <a:schemeClr val="accent4">
                <a:lumMod val="60000"/>
                <a:lumOff val="40000"/>
              </a:schemeClr>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73'!$P$69:$P$100</c:f>
              <c:numCache>
                <c:formatCode>0.0</c:formatCode>
                <c:ptCount val="32"/>
                <c:pt idx="0">
                  <c:v>0</c:v>
                </c:pt>
                <c:pt idx="1">
                  <c:v>0</c:v>
                </c:pt>
                <c:pt idx="2">
                  <c:v>2.865982807916665E-3</c:v>
                </c:pt>
                <c:pt idx="3">
                  <c:v>2.5140649686249968E-2</c:v>
                </c:pt>
                <c:pt idx="4">
                  <c:v>8.163592945083338E-2</c:v>
                </c:pt>
                <c:pt idx="5">
                  <c:v>0.16004937480291648</c:v>
                </c:pt>
                <c:pt idx="6">
                  <c:v>0.23031380635958315</c:v>
                </c:pt>
                <c:pt idx="7">
                  <c:v>0.27571873366041622</c:v>
                </c:pt>
                <c:pt idx="8">
                  <c:v>0.25775346661458326</c:v>
                </c:pt>
                <c:pt idx="9">
                  <c:v>0.27095894224000028</c:v>
                </c:pt>
                <c:pt idx="10">
                  <c:v>0.3246654580545828</c:v>
                </c:pt>
                <c:pt idx="11">
                  <c:v>0.32389532354958356</c:v>
                </c:pt>
                <c:pt idx="12">
                  <c:v>0.34692796768000023</c:v>
                </c:pt>
                <c:pt idx="13">
                  <c:v>0.38091850037499969</c:v>
                </c:pt>
                <c:pt idx="14">
                  <c:v>0.39930007570833392</c:v>
                </c:pt>
                <c:pt idx="15">
                  <c:v>0.64503009084208363</c:v>
                </c:pt>
                <c:pt idx="16">
                  <c:v>0.67636382190999977</c:v>
                </c:pt>
                <c:pt idx="17">
                  <c:v>1.1275865216729128</c:v>
                </c:pt>
                <c:pt idx="18">
                  <c:v>2.079013254354162</c:v>
                </c:pt>
                <c:pt idx="19">
                  <c:v>2.3263718398024991</c:v>
                </c:pt>
                <c:pt idx="20">
                  <c:v>2.2678308441378774</c:v>
                </c:pt>
                <c:pt idx="21">
                  <c:v>2.2583998583405411</c:v>
                </c:pt>
                <c:pt idx="22">
                  <c:v>2.6345001813356279</c:v>
                </c:pt>
                <c:pt idx="23">
                  <c:v>2.4551150787102771</c:v>
                </c:pt>
                <c:pt idx="24">
                  <c:v>2.5161886464126297</c:v>
                </c:pt>
                <c:pt idx="25">
                  <c:v>2.6492416905943124</c:v>
                </c:pt>
                <c:pt idx="26">
                  <c:v>2.4329107207723832</c:v>
                </c:pt>
                <c:pt idx="27">
                  <c:v>2.3729205770683799</c:v>
                </c:pt>
                <c:pt idx="28">
                  <c:v>2.685521203139595</c:v>
                </c:pt>
                <c:pt idx="29">
                  <c:v>2.5232401712849031</c:v>
                </c:pt>
                <c:pt idx="30">
                  <c:v>2.3487740447973042</c:v>
                </c:pt>
                <c:pt idx="31">
                  <c:v>1.9015307773895893</c:v>
                </c:pt>
              </c:numCache>
            </c:numRef>
          </c:val>
          <c:extLst>
            <c:ext xmlns:c16="http://schemas.microsoft.com/office/drawing/2014/chart" uri="{C3380CC4-5D6E-409C-BE32-E72D297353CC}">
              <c16:uniqueId val="{00000004-8E7B-4578-A7D1-66D8DE36B7B6}"/>
            </c:ext>
          </c:extLst>
        </c:ser>
        <c:ser>
          <c:idx val="6"/>
          <c:order val="5"/>
          <c:tx>
            <c:strRef>
              <c:f>'page 73'!$Q$68</c:f>
              <c:strCache>
                <c:ptCount val="1"/>
                <c:pt idx="0">
                  <c:v>Pompes à chaleur</c:v>
                </c:pt>
              </c:strCache>
            </c:strRef>
          </c:tx>
          <c:spPr>
            <a:solidFill>
              <a:sysClr val="window" lastClr="FFFFFF"/>
            </a:solidFill>
            <a:ln w="12700">
              <a:solidFill>
                <a:srgbClr val="000000"/>
              </a:solidFill>
              <a:prstDash val="dashDot"/>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73'!$Q$69:$Q$100</c:f>
              <c:numCache>
                <c:formatCode>0.0</c:formatCode>
                <c:ptCount val="32"/>
                <c:pt idx="0">
                  <c:v>0</c:v>
                </c:pt>
                <c:pt idx="1">
                  <c:v>0</c:v>
                </c:pt>
                <c:pt idx="2">
                  <c:v>0</c:v>
                </c:pt>
                <c:pt idx="3">
                  <c:v>0</c:v>
                </c:pt>
                <c:pt idx="4">
                  <c:v>0</c:v>
                </c:pt>
                <c:pt idx="5">
                  <c:v>0</c:v>
                </c:pt>
                <c:pt idx="6">
                  <c:v>0</c:v>
                </c:pt>
                <c:pt idx="7">
                  <c:v>0</c:v>
                </c:pt>
                <c:pt idx="8">
                  <c:v>0</c:v>
                </c:pt>
                <c:pt idx="9">
                  <c:v>0</c:v>
                </c:pt>
                <c:pt idx="10">
                  <c:v>1.1618518589723159E-2</c:v>
                </c:pt>
                <c:pt idx="11">
                  <c:v>2.6093138433245486E-2</c:v>
                </c:pt>
                <c:pt idx="12">
                  <c:v>4.6270660849872525E-2</c:v>
                </c:pt>
                <c:pt idx="13">
                  <c:v>7.7776736933677551E-2</c:v>
                </c:pt>
                <c:pt idx="14">
                  <c:v>0.11111614282446536</c:v>
                </c:pt>
                <c:pt idx="15">
                  <c:v>0.20909445046331498</c:v>
                </c:pt>
                <c:pt idx="16">
                  <c:v>0.35658496137568618</c:v>
                </c:pt>
                <c:pt idx="17">
                  <c:v>0.52934069193855648</c:v>
                </c:pt>
                <c:pt idx="18">
                  <c:v>0.78938662072959509</c:v>
                </c:pt>
                <c:pt idx="19">
                  <c:v>1.0152924057341612</c:v>
                </c:pt>
                <c:pt idx="20">
                  <c:v>1.3198882663449367</c:v>
                </c:pt>
                <c:pt idx="21">
                  <c:v>1.1561863755633335</c:v>
                </c:pt>
                <c:pt idx="22">
                  <c:v>1.4543311327066668</c:v>
                </c:pt>
                <c:pt idx="23">
                  <c:v>1.7111103949362501</c:v>
                </c:pt>
                <c:pt idx="24">
                  <c:v>1.5333281978525</c:v>
                </c:pt>
                <c:pt idx="25">
                  <c:v>1.7952140795370832</c:v>
                </c:pt>
                <c:pt idx="26">
                  <c:v>2.1240069846683332</c:v>
                </c:pt>
                <c:pt idx="27">
                  <c:v>2.2395217625024997</c:v>
                </c:pt>
                <c:pt idx="28">
                  <c:v>2.388215092736667</c:v>
                </c:pt>
                <c:pt idx="29">
                  <c:v>2.7255603267374999</c:v>
                </c:pt>
                <c:pt idx="30">
                  <c:v>2.8296292300850001</c:v>
                </c:pt>
                <c:pt idx="31">
                  <c:v>3.6795276625479167</c:v>
                </c:pt>
              </c:numCache>
            </c:numRef>
          </c:val>
          <c:extLst>
            <c:ext xmlns:c16="http://schemas.microsoft.com/office/drawing/2014/chart" uri="{C3380CC4-5D6E-409C-BE32-E72D297353CC}">
              <c16:uniqueId val="{00000005-8E7B-4578-A7D1-66D8DE36B7B6}"/>
            </c:ext>
          </c:extLst>
        </c:ser>
        <c:ser>
          <c:idx val="7"/>
          <c:order val="6"/>
          <c:tx>
            <c:strRef>
              <c:f>'page 73'!$R$68</c:f>
              <c:strCache>
                <c:ptCount val="1"/>
                <c:pt idx="0">
                  <c:v>Photovoltaïque</c:v>
                </c:pt>
              </c:strCache>
            </c:strRef>
          </c:tx>
          <c:spPr>
            <a:solidFill>
              <a:srgbClr val="7030A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73'!$R$69:$R$100</c:f>
              <c:numCache>
                <c:formatCode>0.0</c:formatCode>
                <c:ptCount val="32"/>
                <c:pt idx="0">
                  <c:v>0</c:v>
                </c:pt>
                <c:pt idx="1">
                  <c:v>0</c:v>
                </c:pt>
                <c:pt idx="2">
                  <c:v>2.6311257000000002E-5</c:v>
                </c:pt>
                <c:pt idx="3">
                  <c:v>3.9122947500000004E-5</c:v>
                </c:pt>
                <c:pt idx="4">
                  <c:v>5.2278576000000006E-5</c:v>
                </c:pt>
                <c:pt idx="5">
                  <c:v>6.5090266500000008E-5</c:v>
                </c:pt>
                <c:pt idx="6">
                  <c:v>1.022355705E-4</c:v>
                </c:pt>
                <c:pt idx="7">
                  <c:v>1.4832326250000002E-4</c:v>
                </c:pt>
                <c:pt idx="8">
                  <c:v>1.8383486099999999E-4</c:v>
                </c:pt>
                <c:pt idx="9">
                  <c:v>2.0859839700000004E-4</c:v>
                </c:pt>
                <c:pt idx="10">
                  <c:v>4.4909704350000007E-4</c:v>
                </c:pt>
                <c:pt idx="11">
                  <c:v>5.2975050449999999E-4</c:v>
                </c:pt>
                <c:pt idx="12">
                  <c:v>6.10833888E-4</c:v>
                </c:pt>
                <c:pt idx="13">
                  <c:v>6.6784161150000012E-4</c:v>
                </c:pt>
                <c:pt idx="14">
                  <c:v>7.2639705600000015E-4</c:v>
                </c:pt>
                <c:pt idx="15">
                  <c:v>9.0292323450000007E-4</c:v>
                </c:pt>
                <c:pt idx="16">
                  <c:v>1.0406704035E-3</c:v>
                </c:pt>
                <c:pt idx="17">
                  <c:v>1.5109196340000002E-3</c:v>
                </c:pt>
                <c:pt idx="18">
                  <c:v>3.5848657740000008E-3</c:v>
                </c:pt>
                <c:pt idx="19">
                  <c:v>1.4958809449500001E-2</c:v>
                </c:pt>
                <c:pt idx="20">
                  <c:v>5.3310390000000006E-2</c:v>
                </c:pt>
                <c:pt idx="21">
                  <c:v>0.20067097003800002</c:v>
                </c:pt>
                <c:pt idx="22">
                  <c:v>0.38073386299199996</c:v>
                </c:pt>
                <c:pt idx="23">
                  <c:v>0.44656875526199996</c:v>
                </c:pt>
                <c:pt idx="24">
                  <c:v>0.54957612263400002</c:v>
                </c:pt>
                <c:pt idx="25">
                  <c:v>0.66670119907649994</c:v>
                </c:pt>
                <c:pt idx="26">
                  <c:v>0.74460556364249986</c:v>
                </c:pt>
                <c:pt idx="27">
                  <c:v>0.82427458810200005</c:v>
                </c:pt>
                <c:pt idx="28">
                  <c:v>0.93646836748500006</c:v>
                </c:pt>
                <c:pt idx="29">
                  <c:v>1.0513752157965</c:v>
                </c:pt>
                <c:pt idx="30">
                  <c:v>1.1520540369239998</c:v>
                </c:pt>
                <c:pt idx="31">
                  <c:v>1.2976925043424723</c:v>
                </c:pt>
              </c:numCache>
            </c:numRef>
          </c:val>
          <c:extLst>
            <c:ext xmlns:c16="http://schemas.microsoft.com/office/drawing/2014/chart" uri="{C3380CC4-5D6E-409C-BE32-E72D297353CC}">
              <c16:uniqueId val="{00000006-8E7B-4578-A7D1-66D8DE36B7B6}"/>
            </c:ext>
          </c:extLst>
        </c:ser>
        <c:ser>
          <c:idx val="8"/>
          <c:order val="7"/>
          <c:tx>
            <c:strRef>
              <c:f>'page 73'!$S$68</c:f>
              <c:strCache>
                <c:ptCount val="1"/>
                <c:pt idx="0">
                  <c:v>Autres renouvelables</c:v>
                </c:pt>
              </c:strCache>
            </c:strRef>
          </c:tx>
          <c:spPr>
            <a:solidFill>
              <a:srgbClr val="00B0F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73'!$S$69:$S$100</c:f>
              <c:numCache>
                <c:formatCode>0.0</c:formatCode>
                <c:ptCount val="32"/>
                <c:pt idx="0">
                  <c:v>0.25039696240183607</c:v>
                </c:pt>
                <c:pt idx="1">
                  <c:v>0.25177365067749635</c:v>
                </c:pt>
                <c:pt idx="2">
                  <c:v>0.26842499813271653</c:v>
                </c:pt>
                <c:pt idx="3">
                  <c:v>0.26813498196799107</c:v>
                </c:pt>
                <c:pt idx="4">
                  <c:v>0.27524551796467156</c:v>
                </c:pt>
                <c:pt idx="5">
                  <c:v>0.28223689855198147</c:v>
                </c:pt>
                <c:pt idx="6">
                  <c:v>0.27833525632618367</c:v>
                </c:pt>
                <c:pt idx="7">
                  <c:v>0.28055429653304825</c:v>
                </c:pt>
                <c:pt idx="8">
                  <c:v>0.2788308900918518</c:v>
                </c:pt>
                <c:pt idx="9">
                  <c:v>0.29709973019185953</c:v>
                </c:pt>
                <c:pt idx="10">
                  <c:v>0.33952664165811319</c:v>
                </c:pt>
                <c:pt idx="11">
                  <c:v>0.35425037903849543</c:v>
                </c:pt>
                <c:pt idx="12">
                  <c:v>0.39072691470517468</c:v>
                </c:pt>
                <c:pt idx="13">
                  <c:v>0.39763830104604242</c:v>
                </c:pt>
                <c:pt idx="14">
                  <c:v>0.41188088827203934</c:v>
                </c:pt>
                <c:pt idx="15">
                  <c:v>0.4982615952941824</c:v>
                </c:pt>
                <c:pt idx="16">
                  <c:v>0.50824850389250276</c:v>
                </c:pt>
                <c:pt idx="17">
                  <c:v>0.52063737039071467</c:v>
                </c:pt>
                <c:pt idx="18">
                  <c:v>0.56870216132219875</c:v>
                </c:pt>
                <c:pt idx="19">
                  <c:v>0.64187162220362792</c:v>
                </c:pt>
                <c:pt idx="20">
                  <c:v>0.71908534493487353</c:v>
                </c:pt>
                <c:pt idx="21">
                  <c:v>0.83796908146350002</c:v>
                </c:pt>
                <c:pt idx="22">
                  <c:v>0.91826529597366657</c:v>
                </c:pt>
                <c:pt idx="23">
                  <c:v>1.05829446016525</c:v>
                </c:pt>
                <c:pt idx="24">
                  <c:v>1.0952656216681667</c:v>
                </c:pt>
                <c:pt idx="25">
                  <c:v>1.1938669999526665</c:v>
                </c:pt>
                <c:pt idx="26">
                  <c:v>1.2949661467545834</c:v>
                </c:pt>
                <c:pt idx="27">
                  <c:v>1.4489834365982501</c:v>
                </c:pt>
                <c:pt idx="28">
                  <c:v>1.5328885782116668</c:v>
                </c:pt>
                <c:pt idx="29">
                  <c:v>1.6620408655684167</c:v>
                </c:pt>
                <c:pt idx="30">
                  <c:v>1.8469361065300836</c:v>
                </c:pt>
                <c:pt idx="31">
                  <c:v>2.0813649995415968</c:v>
                </c:pt>
              </c:numCache>
            </c:numRef>
          </c:val>
          <c:extLst>
            <c:ext xmlns:c16="http://schemas.microsoft.com/office/drawing/2014/chart" uri="{C3380CC4-5D6E-409C-BE32-E72D297353CC}">
              <c16:uniqueId val="{00000007-8E7B-4578-A7D1-66D8DE36B7B6}"/>
            </c:ext>
          </c:extLst>
        </c:ser>
        <c:dLbls>
          <c:showLegendKey val="0"/>
          <c:showVal val="0"/>
          <c:showCatName val="0"/>
          <c:showSerName val="0"/>
          <c:showPercent val="0"/>
          <c:showBubbleSize val="0"/>
        </c:dLbls>
        <c:axId val="901046976"/>
        <c:axId val="901047392"/>
      </c:areaChart>
      <c:catAx>
        <c:axId val="9010469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1047392"/>
        <c:crosses val="autoZero"/>
        <c:auto val="1"/>
        <c:lblAlgn val="ctr"/>
        <c:lblOffset val="100"/>
        <c:tickLblSkip val="2"/>
        <c:tickMarkSkip val="1"/>
        <c:noMultiLvlLbl val="0"/>
      </c:catAx>
      <c:valAx>
        <c:axId val="901047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Mtoe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104697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008000"/>
              </a:solidFill>
              <a:ln w="19050">
                <a:solidFill>
                  <a:schemeClr val="lt1"/>
                </a:solidFill>
              </a:ln>
              <a:effectLst/>
            </c:spPr>
            <c:extLst>
              <c:ext xmlns:c16="http://schemas.microsoft.com/office/drawing/2014/chart" uri="{C3380CC4-5D6E-409C-BE32-E72D297353CC}">
                <c16:uniqueId val="{00000001-8BC6-41C4-B198-351829384FFD}"/>
              </c:ext>
            </c:extLst>
          </c:dPt>
          <c:dPt>
            <c:idx val="1"/>
            <c:bubble3D val="0"/>
            <c:spPr>
              <a:solidFill>
                <a:srgbClr val="0070C0"/>
              </a:solidFill>
              <a:ln w="19050">
                <a:solidFill>
                  <a:schemeClr val="lt1"/>
                </a:solidFill>
              </a:ln>
              <a:effectLst/>
            </c:spPr>
            <c:extLst>
              <c:ext xmlns:c16="http://schemas.microsoft.com/office/drawing/2014/chart" uri="{C3380CC4-5D6E-409C-BE32-E72D297353CC}">
                <c16:uniqueId val="{00000003-8BC6-41C4-B198-351829384FFD}"/>
              </c:ext>
            </c:extLst>
          </c:dPt>
          <c:dPt>
            <c:idx val="2"/>
            <c:bubble3D val="0"/>
            <c:spPr>
              <a:noFill/>
              <a:ln w="12700">
                <a:solidFill>
                  <a:schemeClr val="tx1"/>
                </a:solidFill>
                <a:prstDash val="dashDot"/>
              </a:ln>
              <a:effectLst/>
            </c:spPr>
            <c:extLst>
              <c:ext xmlns:c16="http://schemas.microsoft.com/office/drawing/2014/chart" uri="{C3380CC4-5D6E-409C-BE32-E72D297353CC}">
                <c16:uniqueId val="{00000005-8BC6-41C4-B198-351829384FFD}"/>
              </c:ext>
            </c:extLst>
          </c:dPt>
          <c:dPt>
            <c:idx val="3"/>
            <c:bubble3D val="0"/>
            <c:spPr>
              <a:solidFill>
                <a:srgbClr val="92D050"/>
              </a:solidFill>
              <a:ln w="19050">
                <a:solidFill>
                  <a:schemeClr val="lt1"/>
                </a:solidFill>
              </a:ln>
              <a:effectLst/>
            </c:spPr>
            <c:extLst>
              <c:ext xmlns:c16="http://schemas.microsoft.com/office/drawing/2014/chart" uri="{C3380CC4-5D6E-409C-BE32-E72D297353CC}">
                <c16:uniqueId val="{00000007-8BC6-41C4-B198-351829384FFD}"/>
              </c:ext>
            </c:extLst>
          </c:dPt>
          <c:dPt>
            <c:idx val="4"/>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9-8BC6-41C4-B198-351829384FFD}"/>
              </c:ext>
            </c:extLst>
          </c:dPt>
          <c:dPt>
            <c:idx val="5"/>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B-8BC6-41C4-B198-351829384FFD}"/>
              </c:ext>
            </c:extLst>
          </c:dPt>
          <c:dPt>
            <c:idx val="6"/>
            <c:bubble3D val="0"/>
            <c:spPr>
              <a:solidFill>
                <a:srgbClr val="7030A0"/>
              </a:solidFill>
              <a:ln w="19050">
                <a:solidFill>
                  <a:schemeClr val="lt1"/>
                </a:solidFill>
              </a:ln>
              <a:effectLst/>
            </c:spPr>
            <c:extLst>
              <c:ext xmlns:c16="http://schemas.microsoft.com/office/drawing/2014/chart" uri="{C3380CC4-5D6E-409C-BE32-E72D297353CC}">
                <c16:uniqueId val="{0000000D-8BC6-41C4-B198-351829384FFD}"/>
              </c:ext>
            </c:extLst>
          </c:dPt>
          <c:dPt>
            <c:idx val="7"/>
            <c:bubble3D val="0"/>
            <c:spPr>
              <a:solidFill>
                <a:schemeClr val="accent3">
                  <a:lumMod val="75000"/>
                </a:schemeClr>
              </a:solidFill>
              <a:ln w="19050">
                <a:solidFill>
                  <a:schemeClr val="lt1"/>
                </a:solidFill>
              </a:ln>
              <a:effectLst/>
            </c:spPr>
            <c:extLst>
              <c:ext xmlns:c16="http://schemas.microsoft.com/office/drawing/2014/chart" uri="{C3380CC4-5D6E-409C-BE32-E72D297353CC}">
                <c16:uniqueId val="{0000000F-8BC6-41C4-B198-351829384FFD}"/>
              </c:ext>
            </c:extLst>
          </c:dPt>
          <c:dPt>
            <c:idx val="8"/>
            <c:bubble3D val="0"/>
            <c:spPr>
              <a:solidFill>
                <a:srgbClr val="FFC000"/>
              </a:solidFill>
              <a:ln w="19050">
                <a:solidFill>
                  <a:schemeClr val="lt1"/>
                </a:solidFill>
              </a:ln>
              <a:effectLst/>
            </c:spPr>
            <c:extLst>
              <c:ext xmlns:c16="http://schemas.microsoft.com/office/drawing/2014/chart" uri="{C3380CC4-5D6E-409C-BE32-E72D297353CC}">
                <c16:uniqueId val="{00000011-8BC6-41C4-B198-351829384FFD}"/>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8BC6-41C4-B198-351829384FFD}"/>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8BC6-41C4-B198-351829384FFD}"/>
              </c:ext>
            </c:extLst>
          </c:dPt>
          <c:dLbls>
            <c:dLbl>
              <c:idx val="4"/>
              <c:layout>
                <c:manualLayout>
                  <c:x val="-6.4024726791036546E-2"/>
                  <c:y val="-1.263157894736845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BC6-41C4-B198-351829384FFD}"/>
                </c:ext>
              </c:extLst>
            </c:dLbl>
            <c:dLbl>
              <c:idx val="6"/>
              <c:layout>
                <c:manualLayout>
                  <c:x val="-0.20532067557125511"/>
                  <c:y val="-2.947368421052631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BC6-41C4-B198-351829384FFD}"/>
                </c:ext>
              </c:extLst>
            </c:dLbl>
            <c:dLbl>
              <c:idx val="7"/>
              <c:layout>
                <c:manualLayout>
                  <c:x val="3.7531736394745559E-2"/>
                  <c:y val="0.2315789473684210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8BC6-41C4-B198-351829384FFD}"/>
                </c:ext>
              </c:extLst>
            </c:dLbl>
            <c:dLbl>
              <c:idx val="8"/>
              <c:layout>
                <c:manualLayout>
                  <c:x val="-0.20973617397063693"/>
                  <c:y val="-0.1305263157894737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8BC6-41C4-B198-351829384FFD}"/>
                </c:ext>
              </c:extLst>
            </c:dLbl>
            <c:dLbl>
              <c:idx val="9"/>
              <c:layout>
                <c:manualLayout>
                  <c:x val="-7.2855723589800234E-2"/>
                  <c:y val="-0.1473684210526315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8BC6-41C4-B198-351829384FFD}"/>
                </c:ext>
              </c:extLst>
            </c:dLbl>
            <c:dLbl>
              <c:idx val="10"/>
              <c:layout>
                <c:manualLayout>
                  <c:x val="9.9348713986091186E-2"/>
                  <c:y val="-0.1557894736842105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8BC6-41C4-B198-351829384F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'page 72'!$L$8:$L$18</c:f>
              <c:strCache>
                <c:ptCount val="11"/>
                <c:pt idx="0">
                  <c:v>Biomasse</c:v>
                </c:pt>
                <c:pt idx="1">
                  <c:v>Hydraulique renouvelable*</c:v>
                </c:pt>
                <c:pt idx="2">
                  <c:v>Pompes à chaleur</c:v>
                </c:pt>
                <c:pt idx="3">
                  <c:v>Éolien</c:v>
                </c:pt>
                <c:pt idx="4">
                  <c:v>Biocarburants</c:v>
                </c:pt>
                <c:pt idx="5">
                  <c:v>Biogaz</c:v>
                </c:pt>
                <c:pt idx="6">
                  <c:v>Solaire photovoltaïque</c:v>
                </c:pt>
                <c:pt idx="7">
                  <c:v>Déchets renouvelables</c:v>
                </c:pt>
                <c:pt idx="8">
                  <c:v>Géothermie</c:v>
                </c:pt>
                <c:pt idx="9">
                  <c:v>Solaire thermique</c:v>
                </c:pt>
                <c:pt idx="10">
                  <c:v>Énergies marines</c:v>
                </c:pt>
              </c:strCache>
            </c:strRef>
          </c:cat>
          <c:val>
            <c:numRef>
              <c:f>'page 72'!$M$8:$M$18</c:f>
              <c:numCache>
                <c:formatCode>0.000</c:formatCode>
                <c:ptCount val="11"/>
                <c:pt idx="0">
                  <c:v>130.37432888888887</c:v>
                </c:pt>
                <c:pt idx="1">
                  <c:v>58.856656132884424</c:v>
                </c:pt>
                <c:pt idx="2">
                  <c:v>42.792918055555553</c:v>
                </c:pt>
                <c:pt idx="3">
                  <c:v>37.014584000000006</c:v>
                </c:pt>
                <c:pt idx="4">
                  <c:v>22.114808801465255</c:v>
                </c:pt>
                <c:pt idx="5">
                  <c:v>15.817609722222223</c:v>
                </c:pt>
                <c:pt idx="6">
                  <c:v>15.092167824927426</c:v>
                </c:pt>
                <c:pt idx="7">
                  <c:v>14.610188888888889</c:v>
                </c:pt>
                <c:pt idx="8">
                  <c:v>5.549536388888888</c:v>
                </c:pt>
                <c:pt idx="9">
                  <c:v>2.3553447222222221</c:v>
                </c:pt>
                <c:pt idx="10">
                  <c:v>0.48379052600000005</c:v>
                </c:pt>
              </c:numCache>
            </c:numRef>
          </c:val>
          <c:extLst>
            <c:ext xmlns:c16="http://schemas.microsoft.com/office/drawing/2014/chart" uri="{C3380CC4-5D6E-409C-BE32-E72D297353CC}">
              <c16:uniqueId val="{00000016-8BC6-41C4-B198-351829384FFD}"/>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Industries agro-alimentaires</c:v>
          </c:tx>
          <c:spPr>
            <a:ln w="19050" cap="rnd">
              <a:solidFill>
                <a:srgbClr val="008000"/>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[IPI_202206.xls]Feuil1!$D$302:$D$391</c:f>
              <c:numCache>
                <c:formatCode>0.0</c:formatCode>
                <c:ptCount val="90"/>
                <c:pt idx="0">
                  <c:v>98.76</c:v>
                </c:pt>
                <c:pt idx="1">
                  <c:v>98.2</c:v>
                </c:pt>
                <c:pt idx="2">
                  <c:v>100.24</c:v>
                </c:pt>
                <c:pt idx="3">
                  <c:v>99.76</c:v>
                </c:pt>
                <c:pt idx="4">
                  <c:v>100.45</c:v>
                </c:pt>
                <c:pt idx="5">
                  <c:v>100.86</c:v>
                </c:pt>
                <c:pt idx="6">
                  <c:v>100.43</c:v>
                </c:pt>
                <c:pt idx="7">
                  <c:v>99.93</c:v>
                </c:pt>
                <c:pt idx="8">
                  <c:v>100.98</c:v>
                </c:pt>
                <c:pt idx="9">
                  <c:v>100.1</c:v>
                </c:pt>
                <c:pt idx="10">
                  <c:v>99.77</c:v>
                </c:pt>
                <c:pt idx="11">
                  <c:v>100.52</c:v>
                </c:pt>
                <c:pt idx="12">
                  <c:v>100.76</c:v>
                </c:pt>
                <c:pt idx="13">
                  <c:v>99.97</c:v>
                </c:pt>
                <c:pt idx="14">
                  <c:v>100</c:v>
                </c:pt>
                <c:pt idx="15">
                  <c:v>98.24</c:v>
                </c:pt>
                <c:pt idx="16">
                  <c:v>97.74</c:v>
                </c:pt>
                <c:pt idx="17">
                  <c:v>97.54</c:v>
                </c:pt>
                <c:pt idx="18">
                  <c:v>98.82</c:v>
                </c:pt>
                <c:pt idx="19">
                  <c:v>99.99</c:v>
                </c:pt>
                <c:pt idx="20">
                  <c:v>100.51</c:v>
                </c:pt>
                <c:pt idx="21">
                  <c:v>99.01</c:v>
                </c:pt>
                <c:pt idx="22">
                  <c:v>100.12</c:v>
                </c:pt>
                <c:pt idx="23">
                  <c:v>99.63</c:v>
                </c:pt>
                <c:pt idx="24">
                  <c:v>97.5</c:v>
                </c:pt>
                <c:pt idx="25">
                  <c:v>98.93</c:v>
                </c:pt>
                <c:pt idx="26">
                  <c:v>98.98</c:v>
                </c:pt>
                <c:pt idx="27">
                  <c:v>98.38</c:v>
                </c:pt>
                <c:pt idx="28">
                  <c:v>99.66</c:v>
                </c:pt>
                <c:pt idx="29">
                  <c:v>99.02</c:v>
                </c:pt>
                <c:pt idx="30">
                  <c:v>99.52</c:v>
                </c:pt>
                <c:pt idx="31">
                  <c:v>100.35</c:v>
                </c:pt>
                <c:pt idx="32">
                  <c:v>99.79</c:v>
                </c:pt>
                <c:pt idx="33">
                  <c:v>99.19</c:v>
                </c:pt>
                <c:pt idx="34">
                  <c:v>99.96</c:v>
                </c:pt>
                <c:pt idx="35">
                  <c:v>98.92</c:v>
                </c:pt>
                <c:pt idx="36">
                  <c:v>98.92</c:v>
                </c:pt>
                <c:pt idx="37">
                  <c:v>98.86</c:v>
                </c:pt>
                <c:pt idx="38">
                  <c:v>100.19</c:v>
                </c:pt>
                <c:pt idx="39">
                  <c:v>99.83</c:v>
                </c:pt>
                <c:pt idx="40">
                  <c:v>100.39</c:v>
                </c:pt>
                <c:pt idx="41">
                  <c:v>99.24</c:v>
                </c:pt>
                <c:pt idx="42">
                  <c:v>98.84</c:v>
                </c:pt>
                <c:pt idx="43">
                  <c:v>100.21</c:v>
                </c:pt>
                <c:pt idx="44">
                  <c:v>98.48</c:v>
                </c:pt>
                <c:pt idx="45">
                  <c:v>99.26</c:v>
                </c:pt>
                <c:pt idx="46">
                  <c:v>97.89</c:v>
                </c:pt>
                <c:pt idx="47">
                  <c:v>99.25</c:v>
                </c:pt>
                <c:pt idx="48">
                  <c:v>100.07</c:v>
                </c:pt>
                <c:pt idx="49">
                  <c:v>99.62</c:v>
                </c:pt>
                <c:pt idx="50">
                  <c:v>98.83</c:v>
                </c:pt>
                <c:pt idx="51">
                  <c:v>100.22</c:v>
                </c:pt>
                <c:pt idx="52">
                  <c:v>99.47</c:v>
                </c:pt>
                <c:pt idx="53">
                  <c:v>98.89</c:v>
                </c:pt>
                <c:pt idx="54">
                  <c:v>98.08</c:v>
                </c:pt>
                <c:pt idx="55">
                  <c:v>97.95</c:v>
                </c:pt>
                <c:pt idx="56">
                  <c:v>99.86</c:v>
                </c:pt>
                <c:pt idx="57">
                  <c:v>98.99</c:v>
                </c:pt>
                <c:pt idx="58">
                  <c:v>98.94</c:v>
                </c:pt>
                <c:pt idx="59">
                  <c:v>98.69</c:v>
                </c:pt>
                <c:pt idx="60">
                  <c:v>98.55</c:v>
                </c:pt>
                <c:pt idx="61">
                  <c:v>100.31</c:v>
                </c:pt>
                <c:pt idx="62">
                  <c:v>96.89</c:v>
                </c:pt>
                <c:pt idx="63">
                  <c:v>89.49</c:v>
                </c:pt>
                <c:pt idx="64">
                  <c:v>91.55</c:v>
                </c:pt>
                <c:pt idx="65">
                  <c:v>97.49</c:v>
                </c:pt>
                <c:pt idx="66">
                  <c:v>99.25</c:v>
                </c:pt>
                <c:pt idx="67">
                  <c:v>98.29</c:v>
                </c:pt>
                <c:pt idx="68">
                  <c:v>99.1</c:v>
                </c:pt>
                <c:pt idx="69">
                  <c:v>98.04</c:v>
                </c:pt>
                <c:pt idx="70">
                  <c:v>97.95</c:v>
                </c:pt>
                <c:pt idx="71">
                  <c:v>96.7</c:v>
                </c:pt>
                <c:pt idx="72">
                  <c:v>98.94</c:v>
                </c:pt>
                <c:pt idx="73">
                  <c:v>96.85</c:v>
                </c:pt>
                <c:pt idx="74">
                  <c:v>98.82</c:v>
                </c:pt>
                <c:pt idx="75">
                  <c:v>97.93</c:v>
                </c:pt>
                <c:pt idx="76">
                  <c:v>99.26</c:v>
                </c:pt>
                <c:pt idx="77">
                  <c:v>100.1</c:v>
                </c:pt>
                <c:pt idx="78">
                  <c:v>102.39</c:v>
                </c:pt>
                <c:pt idx="79">
                  <c:v>100.19</c:v>
                </c:pt>
                <c:pt idx="80">
                  <c:v>99.45</c:v>
                </c:pt>
                <c:pt idx="81">
                  <c:v>101.09</c:v>
                </c:pt>
                <c:pt idx="82">
                  <c:v>101.79</c:v>
                </c:pt>
                <c:pt idx="83">
                  <c:v>99.96</c:v>
                </c:pt>
                <c:pt idx="84">
                  <c:v>101.42</c:v>
                </c:pt>
                <c:pt idx="85">
                  <c:v>101.73</c:v>
                </c:pt>
                <c:pt idx="86">
                  <c:v>101.68</c:v>
                </c:pt>
                <c:pt idx="87">
                  <c:v>99.86</c:v>
                </c:pt>
                <c:pt idx="88">
                  <c:v>99.21</c:v>
                </c:pt>
                <c:pt idx="89">
                  <c:v>101.42</c:v>
                </c:pt>
              </c:numCache>
            </c:numRef>
          </c:val>
          <c:smooth val="0"/>
          <c:extLst>
            <c:ext xmlns:c16="http://schemas.microsoft.com/office/drawing/2014/chart" uri="{C3380CC4-5D6E-409C-BE32-E72D297353CC}">
              <c16:uniqueId val="{00000000-58DA-4C1D-B778-BB5EA8529FA8}"/>
            </c:ext>
          </c:extLst>
        </c:ser>
        <c:ser>
          <c:idx val="2"/>
          <c:order val="1"/>
          <c:tx>
            <c:v>Cokéfaction-raffinage</c:v>
          </c:tx>
          <c:spPr>
            <a:ln w="15875" cap="rnd">
              <a:solidFill>
                <a:schemeClr val="accent3"/>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[IPI_202206.xls]Feuil1!$E$302:$E$391</c:f>
              <c:numCache>
                <c:formatCode>0.0</c:formatCode>
                <c:ptCount val="90"/>
                <c:pt idx="0">
                  <c:v>101.51</c:v>
                </c:pt>
                <c:pt idx="1">
                  <c:v>105.07</c:v>
                </c:pt>
                <c:pt idx="2">
                  <c:v>115.1</c:v>
                </c:pt>
                <c:pt idx="3">
                  <c:v>101.71</c:v>
                </c:pt>
                <c:pt idx="4">
                  <c:v>100.63</c:v>
                </c:pt>
                <c:pt idx="5">
                  <c:v>91.43</c:v>
                </c:pt>
                <c:pt idx="6">
                  <c:v>91.15</c:v>
                </c:pt>
                <c:pt idx="7">
                  <c:v>88.61</c:v>
                </c:pt>
                <c:pt idx="8">
                  <c:v>105.49</c:v>
                </c:pt>
                <c:pt idx="9">
                  <c:v>105.58</c:v>
                </c:pt>
                <c:pt idx="10">
                  <c:v>98.9</c:v>
                </c:pt>
                <c:pt idx="11">
                  <c:v>94.83</c:v>
                </c:pt>
                <c:pt idx="12">
                  <c:v>99.27</c:v>
                </c:pt>
                <c:pt idx="13">
                  <c:v>101.23</c:v>
                </c:pt>
                <c:pt idx="14">
                  <c:v>101.9</c:v>
                </c:pt>
                <c:pt idx="15">
                  <c:v>103.54</c:v>
                </c:pt>
                <c:pt idx="16">
                  <c:v>81.290000000000006</c:v>
                </c:pt>
                <c:pt idx="17">
                  <c:v>71.33</c:v>
                </c:pt>
                <c:pt idx="18">
                  <c:v>100.42</c:v>
                </c:pt>
                <c:pt idx="19">
                  <c:v>99.59</c:v>
                </c:pt>
                <c:pt idx="20">
                  <c:v>98.3</c:v>
                </c:pt>
                <c:pt idx="21">
                  <c:v>102.02</c:v>
                </c:pt>
                <c:pt idx="22">
                  <c:v>112.74</c:v>
                </c:pt>
                <c:pt idx="23">
                  <c:v>106.58</c:v>
                </c:pt>
                <c:pt idx="24">
                  <c:v>97</c:v>
                </c:pt>
                <c:pt idx="25">
                  <c:v>89.43</c:v>
                </c:pt>
                <c:pt idx="26">
                  <c:v>94.02</c:v>
                </c:pt>
                <c:pt idx="27">
                  <c:v>99.38</c:v>
                </c:pt>
                <c:pt idx="28">
                  <c:v>99.9</c:v>
                </c:pt>
                <c:pt idx="29">
                  <c:v>104</c:v>
                </c:pt>
                <c:pt idx="30">
                  <c:v>96.96</c:v>
                </c:pt>
                <c:pt idx="31">
                  <c:v>98.2</c:v>
                </c:pt>
                <c:pt idx="32">
                  <c:v>98.43</c:v>
                </c:pt>
                <c:pt idx="33">
                  <c:v>99.22</c:v>
                </c:pt>
                <c:pt idx="34">
                  <c:v>104.88</c:v>
                </c:pt>
                <c:pt idx="35">
                  <c:v>101.14</c:v>
                </c:pt>
                <c:pt idx="36">
                  <c:v>99.94</c:v>
                </c:pt>
                <c:pt idx="37">
                  <c:v>98.48</c:v>
                </c:pt>
                <c:pt idx="38">
                  <c:v>93.12</c:v>
                </c:pt>
                <c:pt idx="39">
                  <c:v>86.53</c:v>
                </c:pt>
                <c:pt idx="40">
                  <c:v>71.510000000000005</c:v>
                </c:pt>
                <c:pt idx="41">
                  <c:v>92.24</c:v>
                </c:pt>
                <c:pt idx="42">
                  <c:v>95.23</c:v>
                </c:pt>
                <c:pt idx="43">
                  <c:v>96.75</c:v>
                </c:pt>
                <c:pt idx="44">
                  <c:v>98.79</c:v>
                </c:pt>
                <c:pt idx="45">
                  <c:v>99.19</c:v>
                </c:pt>
                <c:pt idx="46">
                  <c:v>91.04</c:v>
                </c:pt>
                <c:pt idx="47">
                  <c:v>94.41</c:v>
                </c:pt>
                <c:pt idx="48">
                  <c:v>98.53</c:v>
                </c:pt>
                <c:pt idx="49">
                  <c:v>98.44</c:v>
                </c:pt>
                <c:pt idx="50">
                  <c:v>93.47</c:v>
                </c:pt>
                <c:pt idx="51">
                  <c:v>90.85</c:v>
                </c:pt>
                <c:pt idx="52">
                  <c:v>88.9</c:v>
                </c:pt>
                <c:pt idx="53">
                  <c:v>78.72</c:v>
                </c:pt>
                <c:pt idx="54">
                  <c:v>84.78</c:v>
                </c:pt>
                <c:pt idx="55">
                  <c:v>88.7</c:v>
                </c:pt>
                <c:pt idx="56">
                  <c:v>78.150000000000006</c:v>
                </c:pt>
                <c:pt idx="57">
                  <c:v>67.959999999999994</c:v>
                </c:pt>
                <c:pt idx="58">
                  <c:v>67.81</c:v>
                </c:pt>
                <c:pt idx="59">
                  <c:v>68.86</c:v>
                </c:pt>
                <c:pt idx="60">
                  <c:v>63.94</c:v>
                </c:pt>
                <c:pt idx="61">
                  <c:v>67.209999999999994</c:v>
                </c:pt>
                <c:pt idx="62">
                  <c:v>43.47</c:v>
                </c:pt>
                <c:pt idx="63">
                  <c:v>45.82</c:v>
                </c:pt>
                <c:pt idx="64">
                  <c:v>51.16</c:v>
                </c:pt>
                <c:pt idx="65">
                  <c:v>60.58</c:v>
                </c:pt>
                <c:pt idx="66">
                  <c:v>56.73</c:v>
                </c:pt>
                <c:pt idx="67">
                  <c:v>51.7</c:v>
                </c:pt>
                <c:pt idx="68">
                  <c:v>62.78</c:v>
                </c:pt>
                <c:pt idx="69">
                  <c:v>70.290000000000006</c:v>
                </c:pt>
                <c:pt idx="70">
                  <c:v>63.56</c:v>
                </c:pt>
                <c:pt idx="71">
                  <c:v>44.97</c:v>
                </c:pt>
                <c:pt idx="72">
                  <c:v>47.65</c:v>
                </c:pt>
                <c:pt idx="73">
                  <c:v>53.31</c:v>
                </c:pt>
                <c:pt idx="74">
                  <c:v>55.41</c:v>
                </c:pt>
                <c:pt idx="75">
                  <c:v>54.73</c:v>
                </c:pt>
                <c:pt idx="76">
                  <c:v>56.25</c:v>
                </c:pt>
                <c:pt idx="77">
                  <c:v>61.95</c:v>
                </c:pt>
                <c:pt idx="78">
                  <c:v>58.75</c:v>
                </c:pt>
                <c:pt idx="79">
                  <c:v>61.58</c:v>
                </c:pt>
                <c:pt idx="80">
                  <c:v>60.94</c:v>
                </c:pt>
                <c:pt idx="81">
                  <c:v>62.05</c:v>
                </c:pt>
                <c:pt idx="82">
                  <c:v>67.17</c:v>
                </c:pt>
                <c:pt idx="83">
                  <c:v>65.739999999999995</c:v>
                </c:pt>
                <c:pt idx="84">
                  <c:v>69.12</c:v>
                </c:pt>
                <c:pt idx="85">
                  <c:v>69.66</c:v>
                </c:pt>
                <c:pt idx="86">
                  <c:v>70.599999999999994</c:v>
                </c:pt>
                <c:pt idx="87">
                  <c:v>70.81</c:v>
                </c:pt>
                <c:pt idx="88">
                  <c:v>74.77</c:v>
                </c:pt>
                <c:pt idx="89">
                  <c:v>72.48</c:v>
                </c:pt>
              </c:numCache>
            </c:numRef>
          </c:val>
          <c:smooth val="0"/>
          <c:extLst>
            <c:ext xmlns:c16="http://schemas.microsoft.com/office/drawing/2014/chart" uri="{C3380CC4-5D6E-409C-BE32-E72D297353CC}">
              <c16:uniqueId val="{00000001-58DA-4C1D-B778-BB5EA8529FA8}"/>
            </c:ext>
          </c:extLst>
        </c:ser>
        <c:ser>
          <c:idx val="3"/>
          <c:order val="2"/>
          <c:tx>
            <c:v>Fabrication de biens d'équipement</c:v>
          </c:tx>
          <c:spPr>
            <a:ln w="15875" cap="rnd">
              <a:solidFill>
                <a:schemeClr val="accent6">
                  <a:lumMod val="75000"/>
                </a:schemeClr>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[IPI_202206.xls]Feuil1!$F$302:$F$391</c:f>
              <c:numCache>
                <c:formatCode>0.0</c:formatCode>
                <c:ptCount val="90"/>
                <c:pt idx="0">
                  <c:v>98.49</c:v>
                </c:pt>
                <c:pt idx="1">
                  <c:v>97.34</c:v>
                </c:pt>
                <c:pt idx="2">
                  <c:v>98.73</c:v>
                </c:pt>
                <c:pt idx="3">
                  <c:v>99.85</c:v>
                </c:pt>
                <c:pt idx="4">
                  <c:v>103.21</c:v>
                </c:pt>
                <c:pt idx="5">
                  <c:v>103.3</c:v>
                </c:pt>
                <c:pt idx="6">
                  <c:v>97.13</c:v>
                </c:pt>
                <c:pt idx="7">
                  <c:v>99.74</c:v>
                </c:pt>
                <c:pt idx="8">
                  <c:v>104.46</c:v>
                </c:pt>
                <c:pt idx="9">
                  <c:v>101.13</c:v>
                </c:pt>
                <c:pt idx="10">
                  <c:v>98.18</c:v>
                </c:pt>
                <c:pt idx="11">
                  <c:v>98.45</c:v>
                </c:pt>
                <c:pt idx="12">
                  <c:v>98.39</c:v>
                </c:pt>
                <c:pt idx="13">
                  <c:v>100.68</c:v>
                </c:pt>
                <c:pt idx="14">
                  <c:v>97.37</c:v>
                </c:pt>
                <c:pt idx="15">
                  <c:v>98.24</c:v>
                </c:pt>
                <c:pt idx="16">
                  <c:v>97.87</c:v>
                </c:pt>
                <c:pt idx="17">
                  <c:v>96.4</c:v>
                </c:pt>
                <c:pt idx="18">
                  <c:v>96.15</c:v>
                </c:pt>
                <c:pt idx="19">
                  <c:v>99.99</c:v>
                </c:pt>
                <c:pt idx="20">
                  <c:v>98.96</c:v>
                </c:pt>
                <c:pt idx="21">
                  <c:v>94.78</c:v>
                </c:pt>
                <c:pt idx="22">
                  <c:v>100.42</c:v>
                </c:pt>
                <c:pt idx="23">
                  <c:v>100.3</c:v>
                </c:pt>
                <c:pt idx="24">
                  <c:v>97.36</c:v>
                </c:pt>
                <c:pt idx="25">
                  <c:v>99.97</c:v>
                </c:pt>
                <c:pt idx="26">
                  <c:v>100.85</c:v>
                </c:pt>
                <c:pt idx="27">
                  <c:v>100.57</c:v>
                </c:pt>
                <c:pt idx="28">
                  <c:v>104.98</c:v>
                </c:pt>
                <c:pt idx="29">
                  <c:v>102.2</c:v>
                </c:pt>
                <c:pt idx="30">
                  <c:v>101.58</c:v>
                </c:pt>
                <c:pt idx="31">
                  <c:v>100.81</c:v>
                </c:pt>
                <c:pt idx="32">
                  <c:v>101.44</c:v>
                </c:pt>
                <c:pt idx="33">
                  <c:v>104.39</c:v>
                </c:pt>
                <c:pt idx="34">
                  <c:v>101.28</c:v>
                </c:pt>
                <c:pt idx="35">
                  <c:v>106.73</c:v>
                </c:pt>
                <c:pt idx="36">
                  <c:v>99.87</c:v>
                </c:pt>
                <c:pt idx="37">
                  <c:v>99.74</c:v>
                </c:pt>
                <c:pt idx="38">
                  <c:v>102.42</c:v>
                </c:pt>
                <c:pt idx="39">
                  <c:v>98.75</c:v>
                </c:pt>
                <c:pt idx="40">
                  <c:v>99.47</c:v>
                </c:pt>
                <c:pt idx="41">
                  <c:v>100.59</c:v>
                </c:pt>
                <c:pt idx="42">
                  <c:v>101.28</c:v>
                </c:pt>
                <c:pt idx="43">
                  <c:v>102.07</c:v>
                </c:pt>
                <c:pt idx="44">
                  <c:v>99.45</c:v>
                </c:pt>
                <c:pt idx="45">
                  <c:v>101.94</c:v>
                </c:pt>
                <c:pt idx="46">
                  <c:v>99.93</c:v>
                </c:pt>
                <c:pt idx="47">
                  <c:v>99.57</c:v>
                </c:pt>
                <c:pt idx="48">
                  <c:v>103.67</c:v>
                </c:pt>
                <c:pt idx="49">
                  <c:v>102.45</c:v>
                </c:pt>
                <c:pt idx="50">
                  <c:v>105.51</c:v>
                </c:pt>
                <c:pt idx="51">
                  <c:v>107.74</c:v>
                </c:pt>
                <c:pt idx="52">
                  <c:v>105.2</c:v>
                </c:pt>
                <c:pt idx="53">
                  <c:v>102.95</c:v>
                </c:pt>
                <c:pt idx="54">
                  <c:v>102.18</c:v>
                </c:pt>
                <c:pt idx="55">
                  <c:v>101.21</c:v>
                </c:pt>
                <c:pt idx="56">
                  <c:v>104.18</c:v>
                </c:pt>
                <c:pt idx="57">
                  <c:v>100.81</c:v>
                </c:pt>
                <c:pt idx="58">
                  <c:v>101.01</c:v>
                </c:pt>
                <c:pt idx="59">
                  <c:v>98.59</c:v>
                </c:pt>
                <c:pt idx="60">
                  <c:v>101.7</c:v>
                </c:pt>
                <c:pt idx="61">
                  <c:v>102.11</c:v>
                </c:pt>
                <c:pt idx="62">
                  <c:v>77.75</c:v>
                </c:pt>
                <c:pt idx="63">
                  <c:v>60.54</c:v>
                </c:pt>
                <c:pt idx="64">
                  <c:v>77.760000000000005</c:v>
                </c:pt>
                <c:pt idx="65">
                  <c:v>89.68</c:v>
                </c:pt>
                <c:pt idx="66">
                  <c:v>95.38</c:v>
                </c:pt>
                <c:pt idx="67">
                  <c:v>92.22</c:v>
                </c:pt>
                <c:pt idx="68">
                  <c:v>93.99</c:v>
                </c:pt>
                <c:pt idx="69">
                  <c:v>96.48</c:v>
                </c:pt>
                <c:pt idx="70">
                  <c:v>97.42</c:v>
                </c:pt>
                <c:pt idx="71">
                  <c:v>95.2</c:v>
                </c:pt>
                <c:pt idx="72">
                  <c:v>101.84</c:v>
                </c:pt>
                <c:pt idx="73">
                  <c:v>97.62</c:v>
                </c:pt>
                <c:pt idx="74">
                  <c:v>98.78</c:v>
                </c:pt>
                <c:pt idx="75">
                  <c:v>100.45</c:v>
                </c:pt>
                <c:pt idx="76">
                  <c:v>98.24</c:v>
                </c:pt>
                <c:pt idx="77">
                  <c:v>98.12</c:v>
                </c:pt>
                <c:pt idx="78">
                  <c:v>97.97</c:v>
                </c:pt>
                <c:pt idx="79">
                  <c:v>99.11</c:v>
                </c:pt>
                <c:pt idx="80">
                  <c:v>99.9</c:v>
                </c:pt>
                <c:pt idx="81">
                  <c:v>99.5</c:v>
                </c:pt>
                <c:pt idx="82">
                  <c:v>98.71</c:v>
                </c:pt>
                <c:pt idx="83">
                  <c:v>100.18</c:v>
                </c:pt>
                <c:pt idx="84">
                  <c:v>100.95</c:v>
                </c:pt>
                <c:pt idx="85">
                  <c:v>101.46</c:v>
                </c:pt>
                <c:pt idx="86">
                  <c:v>100.08</c:v>
                </c:pt>
                <c:pt idx="87">
                  <c:v>99.56</c:v>
                </c:pt>
                <c:pt idx="88">
                  <c:v>99.8</c:v>
                </c:pt>
                <c:pt idx="89">
                  <c:v>103.29</c:v>
                </c:pt>
              </c:numCache>
            </c:numRef>
          </c:val>
          <c:smooth val="0"/>
          <c:extLst>
            <c:ext xmlns:c16="http://schemas.microsoft.com/office/drawing/2014/chart" uri="{C3380CC4-5D6E-409C-BE32-E72D297353CC}">
              <c16:uniqueId val="{00000002-58DA-4C1D-B778-BB5EA8529FA8}"/>
            </c:ext>
          </c:extLst>
        </c:ser>
        <c:ser>
          <c:idx val="4"/>
          <c:order val="3"/>
          <c:tx>
            <c:v>Fabrication de matériels de transport</c:v>
          </c:tx>
          <c:spPr>
            <a:ln w="15875" cap="rnd">
              <a:solidFill>
                <a:srgbClr val="FF0000"/>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[IPI_202206.xls]Feuil1!$G$302:$G$391</c:f>
              <c:numCache>
                <c:formatCode>0.0</c:formatCode>
                <c:ptCount val="90"/>
                <c:pt idx="0">
                  <c:v>98.48</c:v>
                </c:pt>
                <c:pt idx="1">
                  <c:v>102.18</c:v>
                </c:pt>
                <c:pt idx="2">
                  <c:v>100.19</c:v>
                </c:pt>
                <c:pt idx="3">
                  <c:v>97.36</c:v>
                </c:pt>
                <c:pt idx="4">
                  <c:v>100.85</c:v>
                </c:pt>
                <c:pt idx="5">
                  <c:v>99.71</c:v>
                </c:pt>
                <c:pt idx="6">
                  <c:v>96.9</c:v>
                </c:pt>
                <c:pt idx="7">
                  <c:v>103.44</c:v>
                </c:pt>
                <c:pt idx="8">
                  <c:v>102.81</c:v>
                </c:pt>
                <c:pt idx="9">
                  <c:v>101.24</c:v>
                </c:pt>
                <c:pt idx="10">
                  <c:v>97.61</c:v>
                </c:pt>
                <c:pt idx="11">
                  <c:v>99.23</c:v>
                </c:pt>
                <c:pt idx="12">
                  <c:v>106.65</c:v>
                </c:pt>
                <c:pt idx="13">
                  <c:v>105.46</c:v>
                </c:pt>
                <c:pt idx="14">
                  <c:v>101.73</c:v>
                </c:pt>
                <c:pt idx="15">
                  <c:v>107.93</c:v>
                </c:pt>
                <c:pt idx="16">
                  <c:v>103.3</c:v>
                </c:pt>
                <c:pt idx="17">
                  <c:v>105.05</c:v>
                </c:pt>
                <c:pt idx="18">
                  <c:v>100.78</c:v>
                </c:pt>
                <c:pt idx="19">
                  <c:v>105.08</c:v>
                </c:pt>
                <c:pt idx="20">
                  <c:v>101.2</c:v>
                </c:pt>
                <c:pt idx="21">
                  <c:v>104.83</c:v>
                </c:pt>
                <c:pt idx="22">
                  <c:v>105.54</c:v>
                </c:pt>
                <c:pt idx="23">
                  <c:v>103.46</c:v>
                </c:pt>
                <c:pt idx="24">
                  <c:v>104.85</c:v>
                </c:pt>
                <c:pt idx="25">
                  <c:v>103.56</c:v>
                </c:pt>
                <c:pt idx="26">
                  <c:v>108.81</c:v>
                </c:pt>
                <c:pt idx="27">
                  <c:v>103.47</c:v>
                </c:pt>
                <c:pt idx="28">
                  <c:v>109.49</c:v>
                </c:pt>
                <c:pt idx="29">
                  <c:v>105.97</c:v>
                </c:pt>
                <c:pt idx="30">
                  <c:v>109.54</c:v>
                </c:pt>
                <c:pt idx="31">
                  <c:v>114.11</c:v>
                </c:pt>
                <c:pt idx="32">
                  <c:v>111.78</c:v>
                </c:pt>
                <c:pt idx="33">
                  <c:v>112.38</c:v>
                </c:pt>
                <c:pt idx="34">
                  <c:v>112.79</c:v>
                </c:pt>
                <c:pt idx="35">
                  <c:v>111.92</c:v>
                </c:pt>
                <c:pt idx="36">
                  <c:v>112.36</c:v>
                </c:pt>
                <c:pt idx="37">
                  <c:v>108.73</c:v>
                </c:pt>
                <c:pt idx="38">
                  <c:v>107.91</c:v>
                </c:pt>
                <c:pt idx="39">
                  <c:v>116.05</c:v>
                </c:pt>
                <c:pt idx="40">
                  <c:v>111.7</c:v>
                </c:pt>
                <c:pt idx="41">
                  <c:v>116.15</c:v>
                </c:pt>
                <c:pt idx="42">
                  <c:v>117.05</c:v>
                </c:pt>
                <c:pt idx="43">
                  <c:v>114.09</c:v>
                </c:pt>
                <c:pt idx="44">
                  <c:v>112.46</c:v>
                </c:pt>
                <c:pt idx="45">
                  <c:v>112.23</c:v>
                </c:pt>
                <c:pt idx="46">
                  <c:v>112.31</c:v>
                </c:pt>
                <c:pt idx="47">
                  <c:v>119.86</c:v>
                </c:pt>
                <c:pt idx="48">
                  <c:v>114.91</c:v>
                </c:pt>
                <c:pt idx="49">
                  <c:v>117.11</c:v>
                </c:pt>
                <c:pt idx="50">
                  <c:v>116.82</c:v>
                </c:pt>
                <c:pt idx="51">
                  <c:v>113.87</c:v>
                </c:pt>
                <c:pt idx="52">
                  <c:v>117.5</c:v>
                </c:pt>
                <c:pt idx="53">
                  <c:v>112.2</c:v>
                </c:pt>
                <c:pt idx="54">
                  <c:v>113</c:v>
                </c:pt>
                <c:pt idx="55">
                  <c:v>113.33</c:v>
                </c:pt>
                <c:pt idx="56">
                  <c:v>113.24</c:v>
                </c:pt>
                <c:pt idx="57">
                  <c:v>110.8</c:v>
                </c:pt>
                <c:pt idx="58">
                  <c:v>112.17</c:v>
                </c:pt>
                <c:pt idx="59">
                  <c:v>105.75</c:v>
                </c:pt>
                <c:pt idx="60">
                  <c:v>104.71</c:v>
                </c:pt>
                <c:pt idx="61">
                  <c:v>110.49</c:v>
                </c:pt>
                <c:pt idx="62">
                  <c:v>72.930000000000007</c:v>
                </c:pt>
                <c:pt idx="63">
                  <c:v>39.35</c:v>
                </c:pt>
                <c:pt idx="64">
                  <c:v>56.26</c:v>
                </c:pt>
                <c:pt idx="65">
                  <c:v>75.45</c:v>
                </c:pt>
                <c:pt idx="66">
                  <c:v>80.5</c:v>
                </c:pt>
                <c:pt idx="67">
                  <c:v>82.7</c:v>
                </c:pt>
                <c:pt idx="68">
                  <c:v>92.99</c:v>
                </c:pt>
                <c:pt idx="69">
                  <c:v>90.76</c:v>
                </c:pt>
                <c:pt idx="70">
                  <c:v>90.15</c:v>
                </c:pt>
                <c:pt idx="71">
                  <c:v>90.83</c:v>
                </c:pt>
                <c:pt idx="72">
                  <c:v>89.6</c:v>
                </c:pt>
                <c:pt idx="73">
                  <c:v>81.44</c:v>
                </c:pt>
                <c:pt idx="74">
                  <c:v>83.46</c:v>
                </c:pt>
                <c:pt idx="75">
                  <c:v>82.86</c:v>
                </c:pt>
                <c:pt idx="76">
                  <c:v>79.540000000000006</c:v>
                </c:pt>
                <c:pt idx="77">
                  <c:v>78.53</c:v>
                </c:pt>
                <c:pt idx="78">
                  <c:v>83.15</c:v>
                </c:pt>
                <c:pt idx="79">
                  <c:v>82.23</c:v>
                </c:pt>
                <c:pt idx="80">
                  <c:v>75.36</c:v>
                </c:pt>
                <c:pt idx="81">
                  <c:v>83.22</c:v>
                </c:pt>
                <c:pt idx="82">
                  <c:v>77.040000000000006</c:v>
                </c:pt>
                <c:pt idx="83">
                  <c:v>85.41</c:v>
                </c:pt>
                <c:pt idx="84">
                  <c:v>81.45</c:v>
                </c:pt>
                <c:pt idx="85">
                  <c:v>80.36</c:v>
                </c:pt>
                <c:pt idx="86">
                  <c:v>77.75</c:v>
                </c:pt>
                <c:pt idx="87">
                  <c:v>81.78</c:v>
                </c:pt>
                <c:pt idx="88">
                  <c:v>83.57</c:v>
                </c:pt>
                <c:pt idx="89">
                  <c:v>85.94</c:v>
                </c:pt>
              </c:numCache>
            </c:numRef>
          </c:val>
          <c:smooth val="0"/>
          <c:extLst>
            <c:ext xmlns:c16="http://schemas.microsoft.com/office/drawing/2014/chart" uri="{C3380CC4-5D6E-409C-BE32-E72D297353CC}">
              <c16:uniqueId val="{00000003-58DA-4C1D-B778-BB5EA8529FA8}"/>
            </c:ext>
          </c:extLst>
        </c:ser>
        <c:ser>
          <c:idx val="5"/>
          <c:order val="4"/>
          <c:tx>
            <c:v>Fabrication d'autres produits industriels</c:v>
          </c:tx>
          <c:spPr>
            <a:ln w="15875" cap="rnd">
              <a:solidFill>
                <a:srgbClr val="0070C0"/>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[IPI_202206.xls]Feuil1!$H$302:$H$391</c:f>
              <c:numCache>
                <c:formatCode>0.0</c:formatCode>
                <c:ptCount val="90"/>
                <c:pt idx="0">
                  <c:v>99.28</c:v>
                </c:pt>
                <c:pt idx="1">
                  <c:v>99.23</c:v>
                </c:pt>
                <c:pt idx="2">
                  <c:v>99.64</c:v>
                </c:pt>
                <c:pt idx="3">
                  <c:v>99.81</c:v>
                </c:pt>
                <c:pt idx="4">
                  <c:v>100.15</c:v>
                </c:pt>
                <c:pt idx="5">
                  <c:v>99.64</c:v>
                </c:pt>
                <c:pt idx="6">
                  <c:v>99.3</c:v>
                </c:pt>
                <c:pt idx="7">
                  <c:v>99.85</c:v>
                </c:pt>
                <c:pt idx="8">
                  <c:v>100.3</c:v>
                </c:pt>
                <c:pt idx="9">
                  <c:v>99.87</c:v>
                </c:pt>
                <c:pt idx="10">
                  <c:v>100.54</c:v>
                </c:pt>
                <c:pt idx="11">
                  <c:v>102.4</c:v>
                </c:pt>
                <c:pt idx="12">
                  <c:v>102.3</c:v>
                </c:pt>
                <c:pt idx="13">
                  <c:v>99.9</c:v>
                </c:pt>
                <c:pt idx="14">
                  <c:v>99.27</c:v>
                </c:pt>
                <c:pt idx="15">
                  <c:v>100.19</c:v>
                </c:pt>
                <c:pt idx="16">
                  <c:v>100.39</c:v>
                </c:pt>
                <c:pt idx="17">
                  <c:v>99.3</c:v>
                </c:pt>
                <c:pt idx="18">
                  <c:v>100.13</c:v>
                </c:pt>
                <c:pt idx="19">
                  <c:v>101.46</c:v>
                </c:pt>
                <c:pt idx="20">
                  <c:v>100.3</c:v>
                </c:pt>
                <c:pt idx="21">
                  <c:v>98.59</c:v>
                </c:pt>
                <c:pt idx="22">
                  <c:v>102.57</c:v>
                </c:pt>
                <c:pt idx="23">
                  <c:v>100.53</c:v>
                </c:pt>
                <c:pt idx="24">
                  <c:v>100.52</c:v>
                </c:pt>
                <c:pt idx="25">
                  <c:v>101.1</c:v>
                </c:pt>
                <c:pt idx="26">
                  <c:v>102.65</c:v>
                </c:pt>
                <c:pt idx="27">
                  <c:v>102.04</c:v>
                </c:pt>
                <c:pt idx="28">
                  <c:v>103.6</c:v>
                </c:pt>
                <c:pt idx="29">
                  <c:v>103.28</c:v>
                </c:pt>
                <c:pt idx="30">
                  <c:v>103.28</c:v>
                </c:pt>
                <c:pt idx="31">
                  <c:v>102.77</c:v>
                </c:pt>
                <c:pt idx="32">
                  <c:v>104.21</c:v>
                </c:pt>
                <c:pt idx="33">
                  <c:v>105.82</c:v>
                </c:pt>
                <c:pt idx="34">
                  <c:v>105.85</c:v>
                </c:pt>
                <c:pt idx="35">
                  <c:v>107.09</c:v>
                </c:pt>
                <c:pt idx="36">
                  <c:v>102.83</c:v>
                </c:pt>
                <c:pt idx="37">
                  <c:v>102.72</c:v>
                </c:pt>
                <c:pt idx="38">
                  <c:v>104.84</c:v>
                </c:pt>
                <c:pt idx="39">
                  <c:v>104.97</c:v>
                </c:pt>
                <c:pt idx="40">
                  <c:v>103.23</c:v>
                </c:pt>
                <c:pt idx="41">
                  <c:v>105.13</c:v>
                </c:pt>
                <c:pt idx="42">
                  <c:v>103.85</c:v>
                </c:pt>
                <c:pt idx="43">
                  <c:v>105.03</c:v>
                </c:pt>
                <c:pt idx="44">
                  <c:v>104.34</c:v>
                </c:pt>
                <c:pt idx="45">
                  <c:v>105.39</c:v>
                </c:pt>
                <c:pt idx="46">
                  <c:v>104.68</c:v>
                </c:pt>
                <c:pt idx="47">
                  <c:v>105.4</c:v>
                </c:pt>
                <c:pt idx="48">
                  <c:v>105.2</c:v>
                </c:pt>
                <c:pt idx="49">
                  <c:v>106.07</c:v>
                </c:pt>
                <c:pt idx="50">
                  <c:v>105.24</c:v>
                </c:pt>
                <c:pt idx="51">
                  <c:v>105.27</c:v>
                </c:pt>
                <c:pt idx="52">
                  <c:v>107.06</c:v>
                </c:pt>
                <c:pt idx="53">
                  <c:v>104.66</c:v>
                </c:pt>
                <c:pt idx="54">
                  <c:v>105.47</c:v>
                </c:pt>
                <c:pt idx="55">
                  <c:v>104.47</c:v>
                </c:pt>
                <c:pt idx="56">
                  <c:v>105.61</c:v>
                </c:pt>
                <c:pt idx="57">
                  <c:v>106.93</c:v>
                </c:pt>
                <c:pt idx="58">
                  <c:v>105.14</c:v>
                </c:pt>
                <c:pt idx="59">
                  <c:v>104.03</c:v>
                </c:pt>
                <c:pt idx="60">
                  <c:v>104.25</c:v>
                </c:pt>
                <c:pt idx="61">
                  <c:v>105.87</c:v>
                </c:pt>
                <c:pt idx="62">
                  <c:v>85.1</c:v>
                </c:pt>
                <c:pt idx="63">
                  <c:v>66.14</c:v>
                </c:pt>
                <c:pt idx="64">
                  <c:v>82.63</c:v>
                </c:pt>
                <c:pt idx="65">
                  <c:v>93.49</c:v>
                </c:pt>
                <c:pt idx="66">
                  <c:v>97.75</c:v>
                </c:pt>
                <c:pt idx="67">
                  <c:v>99.45</c:v>
                </c:pt>
                <c:pt idx="68">
                  <c:v>100.74</c:v>
                </c:pt>
                <c:pt idx="69">
                  <c:v>102.28</c:v>
                </c:pt>
                <c:pt idx="70">
                  <c:v>103.22</c:v>
                </c:pt>
                <c:pt idx="71">
                  <c:v>102.02</c:v>
                </c:pt>
                <c:pt idx="72">
                  <c:v>105.47</c:v>
                </c:pt>
                <c:pt idx="73">
                  <c:v>100.92</c:v>
                </c:pt>
                <c:pt idx="74">
                  <c:v>101.79</c:v>
                </c:pt>
                <c:pt idx="75">
                  <c:v>102.26</c:v>
                </c:pt>
                <c:pt idx="76">
                  <c:v>101.66</c:v>
                </c:pt>
                <c:pt idx="77">
                  <c:v>102.05</c:v>
                </c:pt>
                <c:pt idx="78">
                  <c:v>101.59</c:v>
                </c:pt>
                <c:pt idx="79">
                  <c:v>103.36</c:v>
                </c:pt>
                <c:pt idx="80">
                  <c:v>102.35</c:v>
                </c:pt>
                <c:pt idx="81">
                  <c:v>102.32</c:v>
                </c:pt>
                <c:pt idx="82">
                  <c:v>102.23</c:v>
                </c:pt>
                <c:pt idx="83">
                  <c:v>101.1</c:v>
                </c:pt>
                <c:pt idx="84">
                  <c:v>105.21</c:v>
                </c:pt>
                <c:pt idx="85">
                  <c:v>103.55</c:v>
                </c:pt>
                <c:pt idx="86">
                  <c:v>103.95</c:v>
                </c:pt>
                <c:pt idx="87">
                  <c:v>102.6</c:v>
                </c:pt>
                <c:pt idx="88">
                  <c:v>104.14</c:v>
                </c:pt>
                <c:pt idx="89">
                  <c:v>104.13</c:v>
                </c:pt>
              </c:numCache>
            </c:numRef>
          </c:val>
          <c:smooth val="0"/>
          <c:extLst>
            <c:ext xmlns:c16="http://schemas.microsoft.com/office/drawing/2014/chart" uri="{C3380CC4-5D6E-409C-BE32-E72D297353CC}">
              <c16:uniqueId val="{00000004-58DA-4C1D-B778-BB5EA8529FA8}"/>
            </c:ext>
          </c:extLst>
        </c:ser>
        <c:dLbls>
          <c:showLegendKey val="0"/>
          <c:showVal val="0"/>
          <c:showCatName val="0"/>
          <c:showSerName val="0"/>
          <c:showPercent val="0"/>
          <c:showBubbleSize val="0"/>
        </c:dLbls>
        <c:smooth val="0"/>
        <c:axId val="1955831119"/>
        <c:axId val="1955835695"/>
      </c:lineChart>
      <c:catAx>
        <c:axId val="195583111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5835695"/>
        <c:crosses val="autoZero"/>
        <c:auto val="1"/>
        <c:lblAlgn val="ctr"/>
        <c:lblOffset val="100"/>
        <c:noMultiLvlLbl val="0"/>
      </c:catAx>
      <c:valAx>
        <c:axId val="195583569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5831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9900"/>
            </a:solidFill>
            <a:ln>
              <a:noFill/>
            </a:ln>
            <a:effectLst/>
          </c:spPr>
          <c:invertIfNegative val="0"/>
          <c:cat>
            <c:numRef>
              <c:f>'[Donnees-recensement agricole.xlsx]Nombres exploitations'!$B$5:$G$5</c:f>
              <c:numCache>
                <c:formatCode>General</c:formatCode>
                <c:ptCount val="6"/>
                <c:pt idx="0">
                  <c:v>1970</c:v>
                </c:pt>
                <c:pt idx="1">
                  <c:v>1979</c:v>
                </c:pt>
                <c:pt idx="2">
                  <c:v>1988</c:v>
                </c:pt>
                <c:pt idx="3">
                  <c:v>2000</c:v>
                </c:pt>
                <c:pt idx="4">
                  <c:v>2010</c:v>
                </c:pt>
                <c:pt idx="5">
                  <c:v>2020</c:v>
                </c:pt>
              </c:numCache>
            </c:numRef>
          </c:cat>
          <c:val>
            <c:numRef>
              <c:f>'[Donnees-recensement agricole.xlsx]Nombres exploitations'!$B$7:$G$7</c:f>
              <c:numCache>
                <c:formatCode>General</c:formatCode>
                <c:ptCount val="6"/>
                <c:pt idx="0">
                  <c:v>1587.6</c:v>
                </c:pt>
                <c:pt idx="1">
                  <c:v>1262.7</c:v>
                </c:pt>
                <c:pt idx="2">
                  <c:v>1016.8</c:v>
                </c:pt>
                <c:pt idx="3">
                  <c:v>663.8</c:v>
                </c:pt>
                <c:pt idx="4">
                  <c:v>490</c:v>
                </c:pt>
                <c:pt idx="5">
                  <c:v>390</c:v>
                </c:pt>
              </c:numCache>
            </c:numRef>
          </c:val>
          <c:extLst>
            <c:ext xmlns:c16="http://schemas.microsoft.com/office/drawing/2014/chart" uri="{C3380CC4-5D6E-409C-BE32-E72D297353CC}">
              <c16:uniqueId val="{00000000-AB75-4487-9C86-687D616681C7}"/>
            </c:ext>
          </c:extLst>
        </c:ser>
        <c:dLbls>
          <c:showLegendKey val="0"/>
          <c:showVal val="0"/>
          <c:showCatName val="0"/>
          <c:showSerName val="0"/>
          <c:showPercent val="0"/>
          <c:showBubbleSize val="0"/>
        </c:dLbls>
        <c:gapWidth val="219"/>
        <c:overlap val="-27"/>
        <c:axId val="189202063"/>
        <c:axId val="189204559"/>
      </c:barChart>
      <c:catAx>
        <c:axId val="189202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04559"/>
        <c:crosses val="autoZero"/>
        <c:auto val="1"/>
        <c:lblAlgn val="ctr"/>
        <c:lblOffset val="100"/>
        <c:noMultiLvlLbl val="0"/>
      </c:catAx>
      <c:valAx>
        <c:axId val="1892045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farms (in thousands)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020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8381452318461"/>
          <c:y val="2.7777777777777776E-2"/>
          <c:w val="0.84396062992125986"/>
          <c:h val="0.8416746864975212"/>
        </c:manualLayout>
      </c:layout>
      <c:lineChart>
        <c:grouping val="standard"/>
        <c:varyColors val="0"/>
        <c:ser>
          <c:idx val="0"/>
          <c:order val="0"/>
          <c:spPr>
            <a:ln w="28575" cap="rnd">
              <a:solidFill>
                <a:srgbClr val="0070C0"/>
              </a:solidFill>
              <a:round/>
            </a:ln>
            <a:effectLst/>
          </c:spPr>
          <c:marker>
            <c:symbol val="circle"/>
            <c:size val="5"/>
            <c:spPr>
              <a:solidFill>
                <a:srgbClr val="0070C0"/>
              </a:solidFill>
              <a:ln w="9525">
                <a:solidFill>
                  <a:srgbClr val="0070C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'[Donnees-recensement agricole.xlsx]Surface moyenne'!$B$5:$G$5</c:f>
              <c:numCache>
                <c:formatCode>General</c:formatCode>
                <c:ptCount val="6"/>
                <c:pt idx="0">
                  <c:v>1970</c:v>
                </c:pt>
                <c:pt idx="1">
                  <c:v>1979</c:v>
                </c:pt>
                <c:pt idx="2">
                  <c:v>1988</c:v>
                </c:pt>
                <c:pt idx="3">
                  <c:v>2000</c:v>
                </c:pt>
                <c:pt idx="4">
                  <c:v>2010</c:v>
                </c:pt>
                <c:pt idx="5">
                  <c:v>2020</c:v>
                </c:pt>
              </c:numCache>
            </c:numRef>
          </c:cat>
          <c:val>
            <c:numRef>
              <c:f>'[Donnees-recensement agricole.xlsx]Surface moyenne'!$B$6:$G$6</c:f>
              <c:numCache>
                <c:formatCode>General</c:formatCode>
                <c:ptCount val="6"/>
                <c:pt idx="0">
                  <c:v>19</c:v>
                </c:pt>
                <c:pt idx="1">
                  <c:v>23</c:v>
                </c:pt>
                <c:pt idx="2">
                  <c:v>28</c:v>
                </c:pt>
                <c:pt idx="3">
                  <c:v>42</c:v>
                </c:pt>
                <c:pt idx="4">
                  <c:v>55</c:v>
                </c:pt>
                <c:pt idx="5">
                  <c:v>69</c:v>
                </c:pt>
              </c:numCache>
            </c:numRef>
          </c:val>
          <c:smooth val="0"/>
          <c:extLst>
            <c:ext xmlns:c16="http://schemas.microsoft.com/office/drawing/2014/chart" uri="{C3380CC4-5D6E-409C-BE32-E72D297353CC}">
              <c16:uniqueId val="{00000000-C414-429F-BE17-566E3705321F}"/>
            </c:ext>
          </c:extLst>
        </c:ser>
        <c:dLbls>
          <c:showLegendKey val="0"/>
          <c:showVal val="0"/>
          <c:showCatName val="0"/>
          <c:showSerName val="0"/>
          <c:showPercent val="0"/>
          <c:showBubbleSize val="0"/>
        </c:dLbls>
        <c:marker val="1"/>
        <c:smooth val="0"/>
        <c:axId val="189212463"/>
        <c:axId val="189213295"/>
      </c:lineChart>
      <c:catAx>
        <c:axId val="18921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13295"/>
        <c:crosses val="autoZero"/>
        <c:auto val="1"/>
        <c:lblAlgn val="ctr"/>
        <c:lblOffset val="100"/>
        <c:noMultiLvlLbl val="0"/>
      </c:catAx>
      <c:valAx>
        <c:axId val="1892132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 Mha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124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24759405074366"/>
          <c:y val="5.0925925925925923E-2"/>
          <c:w val="0.76793110236220474"/>
          <c:h val="0.8416746864975212"/>
        </c:manualLayout>
      </c:layout>
      <c:barChart>
        <c:barDir val="col"/>
        <c:grouping val="clustered"/>
        <c:varyColors val="0"/>
        <c:ser>
          <c:idx val="1"/>
          <c:order val="1"/>
          <c:tx>
            <c:v>2020</c:v>
          </c:tx>
          <c:spPr>
            <a:solidFill>
              <a:srgbClr val="009900"/>
            </a:solidFill>
            <a:ln>
              <a:noFill/>
            </a:ln>
            <a:effectLst/>
          </c:spPr>
          <c:invertIfNegative val="0"/>
          <c:cat>
            <c:strRef>
              <c:f>'[Donnees-recensement agricole.xlsx]Nombres exploitations'!$D$21:$D$25</c:f>
              <c:strCache>
                <c:ptCount val="5"/>
                <c:pt idx="0">
                  <c:v>&lt; 20 ha</c:v>
                </c:pt>
                <c:pt idx="1">
                  <c:v>20 - 50 ha</c:v>
                </c:pt>
                <c:pt idx="2">
                  <c:v>50 - 100 ha</c:v>
                </c:pt>
                <c:pt idx="3">
                  <c:v>100 - 200 ha</c:v>
                </c:pt>
                <c:pt idx="4">
                  <c:v>&gt;= 200 ha</c:v>
                </c:pt>
              </c:strCache>
            </c:strRef>
          </c:cat>
          <c:val>
            <c:numRef>
              <c:f>'[Donnees-recensement agricole.xlsx]Nombres exploitations'!$C$21:$C$25</c:f>
              <c:numCache>
                <c:formatCode>General</c:formatCode>
                <c:ptCount val="5"/>
                <c:pt idx="0">
                  <c:v>147063</c:v>
                </c:pt>
                <c:pt idx="1">
                  <c:v>64369</c:v>
                </c:pt>
                <c:pt idx="2">
                  <c:v>77592</c:v>
                </c:pt>
                <c:pt idx="3">
                  <c:v>73554</c:v>
                </c:pt>
                <c:pt idx="4">
                  <c:v>27201</c:v>
                </c:pt>
              </c:numCache>
            </c:numRef>
          </c:val>
          <c:extLst>
            <c:ext xmlns:c16="http://schemas.microsoft.com/office/drawing/2014/chart" uri="{C3380CC4-5D6E-409C-BE32-E72D297353CC}">
              <c16:uniqueId val="{00000000-940A-4B2A-B3BE-23460D739272}"/>
            </c:ext>
          </c:extLst>
        </c:ser>
        <c:dLbls>
          <c:showLegendKey val="0"/>
          <c:showVal val="0"/>
          <c:showCatName val="0"/>
          <c:showSerName val="0"/>
          <c:showPercent val="0"/>
          <c:showBubbleSize val="0"/>
        </c:dLbls>
        <c:gapWidth val="219"/>
        <c:overlap val="-27"/>
        <c:axId val="283571248"/>
        <c:axId val="283574576"/>
      </c:barChart>
      <c:barChart>
        <c:barDir val="col"/>
        <c:grouping val="clustered"/>
        <c:varyColors val="0"/>
        <c:ser>
          <c:idx val="0"/>
          <c:order val="0"/>
          <c:tx>
            <c:v>2010</c:v>
          </c:tx>
          <c:spPr>
            <a:solidFill>
              <a:srgbClr val="009900">
                <a:alpha val="49804"/>
              </a:srgbClr>
            </a:solidFill>
            <a:ln>
              <a:noFill/>
            </a:ln>
            <a:effectLst/>
          </c:spPr>
          <c:invertIfNegative val="0"/>
          <c:cat>
            <c:strRef>
              <c:f>'[Donnees-recensement agricole.xlsx]Nombres exploitations'!$D$21:$D$25</c:f>
              <c:strCache>
                <c:ptCount val="5"/>
                <c:pt idx="0">
                  <c:v>&lt; 20 ha</c:v>
                </c:pt>
                <c:pt idx="1">
                  <c:v>20 - 50 ha</c:v>
                </c:pt>
                <c:pt idx="2">
                  <c:v>50 - 100 ha</c:v>
                </c:pt>
                <c:pt idx="3">
                  <c:v>100 - 200 ha</c:v>
                </c:pt>
                <c:pt idx="4">
                  <c:v>&gt;= 200 ha</c:v>
                </c:pt>
              </c:strCache>
            </c:strRef>
          </c:cat>
          <c:val>
            <c:numRef>
              <c:f>'[Donnees-recensement agricole.xlsx]Nombres exploitations'!$B$21:$B$25</c:f>
              <c:numCache>
                <c:formatCode>General</c:formatCode>
                <c:ptCount val="5"/>
                <c:pt idx="0">
                  <c:v>211406</c:v>
                </c:pt>
                <c:pt idx="1">
                  <c:v>87915</c:v>
                </c:pt>
                <c:pt idx="2">
                  <c:v>97437</c:v>
                </c:pt>
                <c:pt idx="3">
                  <c:v>72620</c:v>
                </c:pt>
                <c:pt idx="4">
                  <c:v>20590</c:v>
                </c:pt>
              </c:numCache>
            </c:numRef>
          </c:val>
          <c:extLst>
            <c:ext xmlns:c16="http://schemas.microsoft.com/office/drawing/2014/chart" uri="{C3380CC4-5D6E-409C-BE32-E72D297353CC}">
              <c16:uniqueId val="{00000001-940A-4B2A-B3BE-23460D739272}"/>
            </c:ext>
          </c:extLst>
        </c:ser>
        <c:dLbls>
          <c:showLegendKey val="0"/>
          <c:showVal val="0"/>
          <c:showCatName val="0"/>
          <c:showSerName val="0"/>
          <c:showPercent val="0"/>
          <c:showBubbleSize val="0"/>
        </c:dLbls>
        <c:gapWidth val="150"/>
        <c:overlap val="-27"/>
        <c:axId val="283547952"/>
        <c:axId val="283547120"/>
      </c:barChart>
      <c:valAx>
        <c:axId val="283574576"/>
        <c:scaling>
          <c:orientation val="minMax"/>
          <c:max val="25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283571248"/>
        <c:crosses val="max"/>
        <c:crossBetween val="between"/>
      </c:valAx>
      <c:catAx>
        <c:axId val="2835712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3574576"/>
        <c:crosses val="autoZero"/>
        <c:auto val="1"/>
        <c:lblAlgn val="ctr"/>
        <c:lblOffset val="100"/>
        <c:noMultiLvlLbl val="0"/>
      </c:catAx>
      <c:valAx>
        <c:axId val="283547120"/>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3547952"/>
        <c:crosses val="autoZero"/>
        <c:crossBetween val="between"/>
      </c:valAx>
      <c:catAx>
        <c:axId val="283547952"/>
        <c:scaling>
          <c:orientation val="minMax"/>
        </c:scaling>
        <c:delete val="1"/>
        <c:axPos val="b"/>
        <c:numFmt formatCode="General" sourceLinked="1"/>
        <c:majorTickMark val="out"/>
        <c:minorTickMark val="none"/>
        <c:tickLblPos val="nextTo"/>
        <c:crossAx val="283547120"/>
        <c:crosses val="autoZero"/>
        <c:auto val="1"/>
        <c:lblAlgn val="ctr"/>
        <c:lblOffset val="100"/>
        <c:noMultiLvlLbl val="0"/>
      </c:catAx>
      <c:spPr>
        <a:noFill/>
        <a:ln>
          <a:noFill/>
        </a:ln>
        <a:effectLst/>
      </c:spPr>
    </c:plotArea>
    <c:legend>
      <c:legendPos val="r"/>
      <c:layout>
        <c:manualLayout>
          <c:xMode val="edge"/>
          <c:yMode val="edge"/>
          <c:x val="0.46909295713035881"/>
          <c:y val="0.17187445319335085"/>
          <c:w val="9.4795931758530169E-2"/>
          <c:h val="0.1562510936132983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t>Changes in household size in France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'[demo-couple-taille-menage-nombre.xlsx]Données'!$B$3:$I$3</c:f>
              <c:numCache>
                <c:formatCode>General</c:formatCode>
                <c:ptCount val="8"/>
                <c:pt idx="0">
                  <c:v>1968</c:v>
                </c:pt>
                <c:pt idx="1">
                  <c:v>1975</c:v>
                </c:pt>
                <c:pt idx="2">
                  <c:v>1982</c:v>
                </c:pt>
                <c:pt idx="3">
                  <c:v>1990</c:v>
                </c:pt>
                <c:pt idx="4">
                  <c:v>1999</c:v>
                </c:pt>
                <c:pt idx="5">
                  <c:v>2008</c:v>
                </c:pt>
                <c:pt idx="6">
                  <c:v>2013</c:v>
                </c:pt>
                <c:pt idx="7">
                  <c:v>2019</c:v>
                </c:pt>
              </c:numCache>
            </c:numRef>
          </c:cat>
          <c:val>
            <c:numRef>
              <c:f>'[demo-couple-taille-menage-nombre.xlsx]Données'!$B$4:$I$4</c:f>
              <c:numCache>
                <c:formatCode>#,##0.00</c:formatCode>
                <c:ptCount val="8"/>
                <c:pt idx="0">
                  <c:v>3.08</c:v>
                </c:pt>
                <c:pt idx="1">
                  <c:v>2.9</c:v>
                </c:pt>
                <c:pt idx="2">
                  <c:v>2.72</c:v>
                </c:pt>
                <c:pt idx="3">
                  <c:v>2.59</c:v>
                </c:pt>
                <c:pt idx="4">
                  <c:v>2.42</c:v>
                </c:pt>
                <c:pt idx="5">
                  <c:v>2.29</c:v>
                </c:pt>
                <c:pt idx="6">
                  <c:v>2.25</c:v>
                </c:pt>
                <c:pt idx="7">
                  <c:v>2.19</c:v>
                </c:pt>
              </c:numCache>
            </c:numRef>
          </c:val>
          <c:extLst>
            <c:ext xmlns:c16="http://schemas.microsoft.com/office/drawing/2014/chart" uri="{C3380CC4-5D6E-409C-BE32-E72D297353CC}">
              <c16:uniqueId val="{00000000-79DD-4CFC-B34E-D7E57FF36843}"/>
            </c:ext>
          </c:extLst>
        </c:ser>
        <c:dLbls>
          <c:showLegendKey val="0"/>
          <c:showVal val="0"/>
          <c:showCatName val="0"/>
          <c:showSerName val="0"/>
          <c:showPercent val="0"/>
          <c:showBubbleSize val="0"/>
        </c:dLbls>
        <c:gapWidth val="219"/>
        <c:overlap val="-27"/>
        <c:axId val="655928400"/>
        <c:axId val="655927568"/>
      </c:barChart>
      <c:catAx>
        <c:axId val="65592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927568"/>
        <c:crosses val="autoZero"/>
        <c:auto val="1"/>
        <c:lblAlgn val="ctr"/>
        <c:lblOffset val="100"/>
        <c:noMultiLvlLbl val="0"/>
      </c:catAx>
      <c:valAx>
        <c:axId val="6559275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928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05555555555557"/>
          <c:y val="0"/>
          <c:w val="0.69166666666666665"/>
          <c:h val="1"/>
        </c:manualLayout>
      </c:layout>
      <c:doughnutChart>
        <c:varyColors val="1"/>
        <c:ser>
          <c:idx val="0"/>
          <c:order val="0"/>
          <c:dPt>
            <c:idx val="0"/>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1-23AD-45C8-BCB5-E0B330C3D59C}"/>
              </c:ext>
            </c:extLst>
          </c:dPt>
          <c:dPt>
            <c:idx val="1"/>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3-23AD-45C8-BCB5-E0B330C3D59C}"/>
              </c:ext>
            </c:extLst>
          </c:dPt>
          <c:dPt>
            <c:idx val="2"/>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5-23AD-45C8-BCB5-E0B330C3D59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'[Donnees-recensement agricole.xlsx]Feuil1'!$A$3:$A$5</c:f>
              <c:strCache>
                <c:ptCount val="3"/>
                <c:pt idx="0">
                  <c:v>élevage de bovins</c:v>
                </c:pt>
                <c:pt idx="1">
                  <c:v>Autres</c:v>
                </c:pt>
                <c:pt idx="2">
                  <c:v>Grandes cultures</c:v>
                </c:pt>
              </c:strCache>
            </c:strRef>
          </c:cat>
          <c:val>
            <c:numRef>
              <c:f>'[Donnees-recensement agricole.xlsx]Feuil1'!$B$3:$B$5</c:f>
              <c:numCache>
                <c:formatCode>General</c:formatCode>
                <c:ptCount val="3"/>
                <c:pt idx="0">
                  <c:v>8837471.3000000007</c:v>
                </c:pt>
                <c:pt idx="1">
                  <c:v>8286246.29</c:v>
                </c:pt>
                <c:pt idx="2">
                  <c:v>9757093.6099999994</c:v>
                </c:pt>
              </c:numCache>
            </c:numRef>
          </c:val>
          <c:extLst>
            <c:ext xmlns:c16="http://schemas.microsoft.com/office/drawing/2014/chart" uri="{C3380CC4-5D6E-409C-BE32-E72D297353CC}">
              <c16:uniqueId val="{00000006-23AD-45C8-BCB5-E0B330C3D59C}"/>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'[Donnees-recensement agricole.xlsx]Emplois'!$B$5:$B$10</c:f>
              <c:numCache>
                <c:formatCode>General</c:formatCode>
                <c:ptCount val="6"/>
                <c:pt idx="0">
                  <c:v>1970</c:v>
                </c:pt>
                <c:pt idx="1">
                  <c:v>1979</c:v>
                </c:pt>
                <c:pt idx="2">
                  <c:v>1988</c:v>
                </c:pt>
                <c:pt idx="3">
                  <c:v>2000</c:v>
                </c:pt>
                <c:pt idx="4">
                  <c:v>2010</c:v>
                </c:pt>
                <c:pt idx="5">
                  <c:v>2020</c:v>
                </c:pt>
              </c:numCache>
            </c:numRef>
          </c:cat>
          <c:val>
            <c:numRef>
              <c:f>'[Donnees-recensement agricole.xlsx]Emplois'!$C$5:$C$10</c:f>
              <c:numCache>
                <c:formatCode>#,##0</c:formatCode>
                <c:ptCount val="6"/>
                <c:pt idx="0">
                  <c:v>2368689</c:v>
                </c:pt>
                <c:pt idx="1">
                  <c:v>1864468</c:v>
                </c:pt>
                <c:pt idx="2">
                  <c:v>1439209</c:v>
                </c:pt>
                <c:pt idx="3">
                  <c:v>949390</c:v>
                </c:pt>
                <c:pt idx="4">
                  <c:v>739697</c:v>
                </c:pt>
                <c:pt idx="5">
                  <c:v>659459</c:v>
                </c:pt>
              </c:numCache>
            </c:numRef>
          </c:val>
          <c:extLst>
            <c:ext xmlns:c16="http://schemas.microsoft.com/office/drawing/2014/chart" uri="{C3380CC4-5D6E-409C-BE32-E72D297353CC}">
              <c16:uniqueId val="{00000000-4078-4C24-A7F2-F88180F7BCF8}"/>
            </c:ext>
          </c:extLst>
        </c:ser>
        <c:dLbls>
          <c:showLegendKey val="0"/>
          <c:showVal val="0"/>
          <c:showCatName val="0"/>
          <c:showSerName val="0"/>
          <c:showPercent val="0"/>
          <c:showBubbleSize val="0"/>
        </c:dLbls>
        <c:gapWidth val="219"/>
        <c:overlap val="-27"/>
        <c:axId val="555015231"/>
        <c:axId val="555018143"/>
      </c:barChart>
      <c:catAx>
        <c:axId val="555015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5018143"/>
        <c:crosses val="autoZero"/>
        <c:auto val="1"/>
        <c:lblAlgn val="ctr"/>
        <c:lblOffset val="100"/>
        <c:noMultiLvlLbl val="0"/>
      </c:catAx>
      <c:valAx>
        <c:axId val="555018143"/>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550152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'[Donnees-foret.xlsx]Nombres exploitations'!$B$7:$B$12</c:f>
              <c:numCache>
                <c:formatCode>General</c:formatCode>
                <c:ptCount val="5"/>
                <c:pt idx="0">
                  <c:v>1840</c:v>
                </c:pt>
                <c:pt idx="1">
                  <c:v>1985</c:v>
                </c:pt>
                <c:pt idx="2">
                  <c:v>2010</c:v>
                </c:pt>
                <c:pt idx="3">
                  <c:v>2020</c:v>
                </c:pt>
                <c:pt idx="4">
                  <c:v>2021</c:v>
                </c:pt>
              </c:numCache>
              <c:extLst/>
            </c:numRef>
          </c:cat>
          <c:val>
            <c:numRef>
              <c:f>'[Donnees-foret.xlsx]Nombres exploitations'!$C$7:$C$12</c:f>
              <c:numCache>
                <c:formatCode>General</c:formatCode>
                <c:ptCount val="5"/>
                <c:pt idx="0">
                  <c:v>8.9</c:v>
                </c:pt>
                <c:pt idx="1">
                  <c:v>14.1</c:v>
                </c:pt>
                <c:pt idx="2">
                  <c:v>16.2</c:v>
                </c:pt>
                <c:pt idx="3">
                  <c:v>17</c:v>
                </c:pt>
                <c:pt idx="4">
                  <c:v>17.100000000000001</c:v>
                </c:pt>
              </c:numCache>
              <c:extLst/>
            </c:numRef>
          </c:val>
          <c:smooth val="0"/>
          <c:extLst>
            <c:ext xmlns:c16="http://schemas.microsoft.com/office/drawing/2014/chart" uri="{C3380CC4-5D6E-409C-BE32-E72D297353CC}">
              <c16:uniqueId val="{00000000-B878-4353-AFBF-601563D094F2}"/>
            </c:ext>
          </c:extLst>
        </c:ser>
        <c:dLbls>
          <c:showLegendKey val="0"/>
          <c:showVal val="0"/>
          <c:showCatName val="0"/>
          <c:showSerName val="0"/>
          <c:showPercent val="0"/>
          <c:showBubbleSize val="0"/>
        </c:dLbls>
        <c:marker val="1"/>
        <c:smooth val="0"/>
        <c:axId val="550925504"/>
        <c:axId val="550928416"/>
      </c:lineChart>
      <c:catAx>
        <c:axId val="55092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0928416"/>
        <c:crosses val="autoZero"/>
        <c:auto val="1"/>
        <c:lblAlgn val="ctr"/>
        <c:lblOffset val="100"/>
        <c:noMultiLvlLbl val="0"/>
      </c:catAx>
      <c:valAx>
        <c:axId val="550928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in millions of hectares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0925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none"/>
          </c:marker>
          <c:cat>
            <c:strRef>
              <c:f>'Table10s1 2020 KP'!$C$5:$AG$5</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'Table10s1 2020 KP'!$B$66:$AG$66</c:f>
              <c:numCache>
                <c:formatCode>#,##0.00</c:formatCode>
                <c:ptCount val="32"/>
                <c:pt idx="0">
                  <c:v>544086.40504911111</c:v>
                </c:pt>
                <c:pt idx="1">
                  <c:v>544086.40504911111</c:v>
                </c:pt>
                <c:pt idx="2">
                  <c:v>570962.02802198369</c:v>
                </c:pt>
                <c:pt idx="3">
                  <c:v>558761.48139002267</c:v>
                </c:pt>
                <c:pt idx="4">
                  <c:v>538607.00659237534</c:v>
                </c:pt>
                <c:pt idx="5">
                  <c:v>531225.91024468816</c:v>
                </c:pt>
                <c:pt idx="6">
                  <c:v>536475.5337036486</c:v>
                </c:pt>
                <c:pt idx="7">
                  <c:v>553485.94359310728</c:v>
                </c:pt>
                <c:pt idx="8">
                  <c:v>545922.67050468712</c:v>
                </c:pt>
                <c:pt idx="9">
                  <c:v>560386.15043782734</c:v>
                </c:pt>
                <c:pt idx="10">
                  <c:v>554867.11994159315</c:v>
                </c:pt>
                <c:pt idx="11">
                  <c:v>549005.16597447393</c:v>
                </c:pt>
                <c:pt idx="12">
                  <c:v>554193.13177749154</c:v>
                </c:pt>
                <c:pt idx="13">
                  <c:v>548609.74198328948</c:v>
                </c:pt>
                <c:pt idx="14">
                  <c:v>551646.16316215997</c:v>
                </c:pt>
                <c:pt idx="15">
                  <c:v>550620.67427753832</c:v>
                </c:pt>
                <c:pt idx="16">
                  <c:v>551391.12523150397</c:v>
                </c:pt>
                <c:pt idx="17">
                  <c:v>540907.81148848508</c:v>
                </c:pt>
                <c:pt idx="18">
                  <c:v>531573.97496341891</c:v>
                </c:pt>
                <c:pt idx="19">
                  <c:v>526060.65166725894</c:v>
                </c:pt>
                <c:pt idx="20">
                  <c:v>503435.02484599233</c:v>
                </c:pt>
                <c:pt idx="21">
                  <c:v>507468.01065307524</c:v>
                </c:pt>
                <c:pt idx="22">
                  <c:v>483263.82111423649</c:v>
                </c:pt>
                <c:pt idx="23">
                  <c:v>484765.89626947796</c:v>
                </c:pt>
                <c:pt idx="24">
                  <c:v>485605.33033086371</c:v>
                </c:pt>
                <c:pt idx="25">
                  <c:v>454613.67943939561</c:v>
                </c:pt>
                <c:pt idx="26">
                  <c:v>457923.74571373034</c:v>
                </c:pt>
                <c:pt idx="27">
                  <c:v>459328.85856765567</c:v>
                </c:pt>
                <c:pt idx="28">
                  <c:v>462591.21677460393</c:v>
                </c:pt>
                <c:pt idx="29">
                  <c:v>443321.35981431091</c:v>
                </c:pt>
                <c:pt idx="30">
                  <c:v>434539.77351930039</c:v>
                </c:pt>
                <c:pt idx="31">
                  <c:v>392962.56817549694</c:v>
                </c:pt>
              </c:numCache>
            </c:numRef>
          </c:val>
          <c:smooth val="0"/>
          <c:extLst>
            <c:ext xmlns:c16="http://schemas.microsoft.com/office/drawing/2014/chart" uri="{C3380CC4-5D6E-409C-BE32-E72D297353CC}">
              <c16:uniqueId val="{00000000-BB96-40F3-BE46-35615F3EABE3}"/>
            </c:ext>
          </c:extLst>
        </c:ser>
        <c:dLbls>
          <c:showLegendKey val="0"/>
          <c:showVal val="0"/>
          <c:showCatName val="0"/>
          <c:showSerName val="0"/>
          <c:showPercent val="0"/>
          <c:showBubbleSize val="0"/>
        </c:dLbls>
        <c:smooth val="0"/>
        <c:axId val="1802293328"/>
        <c:axId val="1802293744"/>
      </c:lineChart>
      <c:catAx>
        <c:axId val="1802293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293744"/>
        <c:crosses val="autoZero"/>
        <c:auto val="1"/>
        <c:lblAlgn val="ctr"/>
        <c:lblOffset val="100"/>
        <c:noMultiLvlLbl val="0"/>
      </c:catAx>
      <c:valAx>
        <c:axId val="1802293744"/>
        <c:scaling>
          <c:orientation val="minMax"/>
          <c:min val="350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293328"/>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Feuil1!$A$2</c:f>
              <c:strCache>
                <c:ptCount val="1"/>
                <c:pt idx="0">
                  <c:v>Total CO2 without LULUCF (ktCO2e)</c:v>
                </c:pt>
              </c:strCache>
            </c:strRef>
          </c:tx>
          <c:spPr>
            <a:ln w="28575" cap="rnd">
              <a:solidFill>
                <a:srgbClr val="0070C0"/>
              </a:solidFill>
              <a:round/>
            </a:ln>
            <a:effectLst/>
          </c:spPr>
          <c:marker>
            <c:symbol val="none"/>
          </c:marker>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Feuil1!$B$2:$AF$2</c:f>
              <c:numCache>
                <c:formatCode>#,##0.00</c:formatCode>
                <c:ptCount val="31"/>
                <c:pt idx="0">
                  <c:v>398424.78532408905</c:v>
                </c:pt>
                <c:pt idx="1">
                  <c:v>423829.90153383813</c:v>
                </c:pt>
                <c:pt idx="2">
                  <c:v>412416.79477735213</c:v>
                </c:pt>
                <c:pt idx="3">
                  <c:v>394185.24174654949</c:v>
                </c:pt>
                <c:pt idx="4">
                  <c:v>388285.63889003603</c:v>
                </c:pt>
                <c:pt idx="5">
                  <c:v>392915.76549670496</c:v>
                </c:pt>
                <c:pt idx="6">
                  <c:v>408192.69049333554</c:v>
                </c:pt>
                <c:pt idx="7">
                  <c:v>400997.00414214388</c:v>
                </c:pt>
                <c:pt idx="8">
                  <c:v>421028.68041011202</c:v>
                </c:pt>
                <c:pt idx="9">
                  <c:v>419846.19485597673</c:v>
                </c:pt>
                <c:pt idx="10">
                  <c:v>414788.46582102479</c:v>
                </c:pt>
                <c:pt idx="11">
                  <c:v>419885.47362370859</c:v>
                </c:pt>
                <c:pt idx="12">
                  <c:v>416153.26320098824</c:v>
                </c:pt>
                <c:pt idx="13">
                  <c:v>421022.74666209542</c:v>
                </c:pt>
                <c:pt idx="14">
                  <c:v>422718.52018262749</c:v>
                </c:pt>
                <c:pt idx="15">
                  <c:v>425443.52929001697</c:v>
                </c:pt>
                <c:pt idx="16">
                  <c:v>415775.69997673534</c:v>
                </c:pt>
                <c:pt idx="17">
                  <c:v>406199.8367996763</c:v>
                </c:pt>
                <c:pt idx="18">
                  <c:v>400458.75953964918</c:v>
                </c:pt>
                <c:pt idx="19">
                  <c:v>381064.54724852322</c:v>
                </c:pt>
                <c:pt idx="20">
                  <c:v>386872.04363761254</c:v>
                </c:pt>
                <c:pt idx="21">
                  <c:v>364820.42197580863</c:v>
                </c:pt>
                <c:pt idx="22">
                  <c:v>367030.67419662949</c:v>
                </c:pt>
                <c:pt idx="23">
                  <c:v>368559.42753313773</c:v>
                </c:pt>
                <c:pt idx="24">
                  <c:v>337005.913838982</c:v>
                </c:pt>
                <c:pt idx="25">
                  <c:v>341630.94012947823</c:v>
                </c:pt>
                <c:pt idx="26">
                  <c:v>344723.13088031148</c:v>
                </c:pt>
                <c:pt idx="27">
                  <c:v>347604.96204895398</c:v>
                </c:pt>
                <c:pt idx="28">
                  <c:v>332613.39061371255</c:v>
                </c:pt>
                <c:pt idx="29">
                  <c:v>326725.12715566665</c:v>
                </c:pt>
                <c:pt idx="30">
                  <c:v>289389.56840048026</c:v>
                </c:pt>
              </c:numCache>
            </c:numRef>
          </c:val>
          <c:smooth val="0"/>
          <c:extLst>
            <c:ext xmlns:c16="http://schemas.microsoft.com/office/drawing/2014/chart" uri="{C3380CC4-5D6E-409C-BE32-E72D297353CC}">
              <c16:uniqueId val="{00000000-5263-4D94-8FCD-E116F45F999E}"/>
            </c:ext>
          </c:extLst>
        </c:ser>
        <c:ser>
          <c:idx val="1"/>
          <c:order val="1"/>
          <c:tx>
            <c:strRef>
              <c:f>Feuil1!$A$4</c:f>
              <c:strCache>
                <c:ptCount val="1"/>
                <c:pt idx="0">
                  <c:v>Total CH4 without LULUCF (ktCO2e)</c:v>
                </c:pt>
              </c:strCache>
            </c:strRef>
          </c:tx>
          <c:spPr>
            <a:ln w="28575" cap="rnd">
              <a:solidFill>
                <a:srgbClr val="FF0000"/>
              </a:solidFill>
              <a:round/>
            </a:ln>
            <a:effectLst/>
          </c:spPr>
          <c:marker>
            <c:symbol val="none"/>
          </c:marker>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Feuil1!$B$4:$AF$4</c:f>
              <c:numCache>
                <c:formatCode>#,##0.00</c:formatCode>
                <c:ptCount val="31"/>
                <c:pt idx="0">
                  <c:v>69160.887685564332</c:v>
                </c:pt>
                <c:pt idx="1">
                  <c:v>69635.134280578728</c:v>
                </c:pt>
                <c:pt idx="2">
                  <c:v>69725.10207072433</c:v>
                </c:pt>
                <c:pt idx="3">
                  <c:v>70132.02589236958</c:v>
                </c:pt>
                <c:pt idx="4">
                  <c:v>70008.341088475412</c:v>
                </c:pt>
                <c:pt idx="5">
                  <c:v>70382.891401414279</c:v>
                </c:pt>
                <c:pt idx="6">
                  <c:v>69469.141672755854</c:v>
                </c:pt>
                <c:pt idx="7">
                  <c:v>68227.259262175008</c:v>
                </c:pt>
                <c:pt idx="8">
                  <c:v>68272.562368023864</c:v>
                </c:pt>
                <c:pt idx="9">
                  <c:v>68230.621431522028</c:v>
                </c:pt>
                <c:pt idx="10">
                  <c:v>68602.737988942536</c:v>
                </c:pt>
                <c:pt idx="11">
                  <c:v>68469.112684498978</c:v>
                </c:pt>
                <c:pt idx="12">
                  <c:v>66886.643263460166</c:v>
                </c:pt>
                <c:pt idx="13">
                  <c:v>65915.608050286552</c:v>
                </c:pt>
                <c:pt idx="14">
                  <c:v>64547.963432315235</c:v>
                </c:pt>
                <c:pt idx="15">
                  <c:v>63631.542532106003</c:v>
                </c:pt>
                <c:pt idx="16">
                  <c:v>63117.289311490909</c:v>
                </c:pt>
                <c:pt idx="17">
                  <c:v>62829.659260703673</c:v>
                </c:pt>
                <c:pt idx="18">
                  <c:v>63099.52500627609</c:v>
                </c:pt>
                <c:pt idx="19">
                  <c:v>61973.752261157322</c:v>
                </c:pt>
                <c:pt idx="20">
                  <c:v>61663.316953056674</c:v>
                </c:pt>
                <c:pt idx="21">
                  <c:v>60479.262967944545</c:v>
                </c:pt>
                <c:pt idx="22">
                  <c:v>59243.344755409613</c:v>
                </c:pt>
                <c:pt idx="23">
                  <c:v>59079.337590736068</c:v>
                </c:pt>
                <c:pt idx="24">
                  <c:v>58786.533343461328</c:v>
                </c:pt>
                <c:pt idx="25">
                  <c:v>57862.105200362465</c:v>
                </c:pt>
                <c:pt idx="26">
                  <c:v>57432.208740445109</c:v>
                </c:pt>
                <c:pt idx="27">
                  <c:v>57010.639486160166</c:v>
                </c:pt>
                <c:pt idx="28">
                  <c:v>56238.674336289274</c:v>
                </c:pt>
                <c:pt idx="29">
                  <c:v>55739.695805502131</c:v>
                </c:pt>
                <c:pt idx="30">
                  <c:v>54641.714722103658</c:v>
                </c:pt>
              </c:numCache>
            </c:numRef>
          </c:val>
          <c:smooth val="0"/>
          <c:extLst>
            <c:ext xmlns:c16="http://schemas.microsoft.com/office/drawing/2014/chart" uri="{C3380CC4-5D6E-409C-BE32-E72D297353CC}">
              <c16:uniqueId val="{00000001-5263-4D94-8FCD-E116F45F999E}"/>
            </c:ext>
          </c:extLst>
        </c:ser>
        <c:ser>
          <c:idx val="2"/>
          <c:order val="2"/>
          <c:tx>
            <c:strRef>
              <c:f>Feuil1!$A$8</c:f>
              <c:strCache>
                <c:ptCount val="1"/>
                <c:pt idx="0">
                  <c:v>Total N2O without LULUCF (ktCO2e)</c:v>
                </c:pt>
              </c:strCache>
            </c:strRef>
          </c:tx>
          <c:spPr>
            <a:ln w="28575" cap="rnd">
              <a:solidFill>
                <a:srgbClr val="00B050"/>
              </a:solidFill>
              <a:round/>
            </a:ln>
            <a:effectLst/>
          </c:spPr>
          <c:marker>
            <c:symbol val="none"/>
          </c:marker>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Feuil1!$B$8:$AF$8</c:f>
              <c:numCache>
                <c:formatCode>#,##0.00</c:formatCode>
                <c:ptCount val="31"/>
                <c:pt idx="0">
                  <c:v>64724.840442819645</c:v>
                </c:pt>
                <c:pt idx="1">
                  <c:v>65314.485263662515</c:v>
                </c:pt>
                <c:pt idx="2">
                  <c:v>65007.104923401785</c:v>
                </c:pt>
                <c:pt idx="3">
                  <c:v>64262.373406009545</c:v>
                </c:pt>
                <c:pt idx="4">
                  <c:v>64384.747054651656</c:v>
                </c:pt>
                <c:pt idx="5">
                  <c:v>65937.12161988669</c:v>
                </c:pt>
                <c:pt idx="6">
                  <c:v>67460.964529685094</c:v>
                </c:pt>
                <c:pt idx="7">
                  <c:v>67391.895294987655</c:v>
                </c:pt>
                <c:pt idx="8">
                  <c:v>60774.014759813115</c:v>
                </c:pt>
                <c:pt idx="9">
                  <c:v>54716.471502665212</c:v>
                </c:pt>
                <c:pt idx="10">
                  <c:v>53680.537749272575</c:v>
                </c:pt>
                <c:pt idx="11">
                  <c:v>53370.787446489339</c:v>
                </c:pt>
                <c:pt idx="12">
                  <c:v>50639.520284229511</c:v>
                </c:pt>
                <c:pt idx="13">
                  <c:v>48860.839147158491</c:v>
                </c:pt>
                <c:pt idx="14">
                  <c:v>47200.387059196823</c:v>
                </c:pt>
                <c:pt idx="15">
                  <c:v>46307.447276390252</c:v>
                </c:pt>
                <c:pt idx="16">
                  <c:v>44917.834162870146</c:v>
                </c:pt>
                <c:pt idx="17">
                  <c:v>44974.630822830957</c:v>
                </c:pt>
                <c:pt idx="18">
                  <c:v>44234.596303633472</c:v>
                </c:pt>
                <c:pt idx="19">
                  <c:v>42654.636900892205</c:v>
                </c:pt>
                <c:pt idx="20">
                  <c:v>40477.950558242614</c:v>
                </c:pt>
                <c:pt idx="21">
                  <c:v>38878.980199922364</c:v>
                </c:pt>
                <c:pt idx="22">
                  <c:v>39163.801332396717</c:v>
                </c:pt>
                <c:pt idx="23">
                  <c:v>38930.283475850403</c:v>
                </c:pt>
                <c:pt idx="24">
                  <c:v>40062.956068585561</c:v>
                </c:pt>
                <c:pt idx="25">
                  <c:v>39895.490687987513</c:v>
                </c:pt>
                <c:pt idx="26">
                  <c:v>38789.926547989024</c:v>
                </c:pt>
                <c:pt idx="27">
                  <c:v>40162.029094124264</c:v>
                </c:pt>
                <c:pt idx="28">
                  <c:v>38500.054921787887</c:v>
                </c:pt>
                <c:pt idx="29">
                  <c:v>38071.442997228092</c:v>
                </c:pt>
                <c:pt idx="30">
                  <c:v>36297.324169319545</c:v>
                </c:pt>
              </c:numCache>
            </c:numRef>
          </c:val>
          <c:smooth val="0"/>
          <c:extLst>
            <c:ext xmlns:c16="http://schemas.microsoft.com/office/drawing/2014/chart" uri="{C3380CC4-5D6E-409C-BE32-E72D297353CC}">
              <c16:uniqueId val="{00000002-5263-4D94-8FCD-E116F45F999E}"/>
            </c:ext>
          </c:extLst>
        </c:ser>
        <c:ser>
          <c:idx val="3"/>
          <c:order val="3"/>
          <c:tx>
            <c:strRef>
              <c:f>Feuil1!$A$12</c:f>
              <c:strCache>
                <c:ptCount val="1"/>
                <c:pt idx="0">
                  <c:v>Total gaz fluorés (ktCO2e)</c:v>
                </c:pt>
              </c:strCache>
            </c:strRef>
          </c:tx>
          <c:spPr>
            <a:ln w="28575" cap="rnd">
              <a:solidFill>
                <a:schemeClr val="accent3"/>
              </a:solidFill>
              <a:round/>
            </a:ln>
            <a:effectLst/>
          </c:spPr>
          <c:marker>
            <c:symbol val="none"/>
          </c:marker>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Feuil1!$B$12:$AF$12</c:f>
              <c:numCache>
                <c:formatCode>#,##0.00</c:formatCode>
                <c:ptCount val="31"/>
                <c:pt idx="0">
                  <c:v>11775.891596638055</c:v>
                </c:pt>
                <c:pt idx="1">
                  <c:v>12180.858855584369</c:v>
                </c:pt>
                <c:pt idx="2">
                  <c:v>11610.666721392568</c:v>
                </c:pt>
                <c:pt idx="3">
                  <c:v>10025.371360579766</c:v>
                </c:pt>
                <c:pt idx="4">
                  <c:v>8544.9896059714047</c:v>
                </c:pt>
                <c:pt idx="5">
                  <c:v>7257.6249228524539</c:v>
                </c:pt>
                <c:pt idx="6">
                  <c:v>8357.946017167058</c:v>
                </c:pt>
                <c:pt idx="7">
                  <c:v>9300.7957147597372</c:v>
                </c:pt>
                <c:pt idx="8">
                  <c:v>10306.914622306958</c:v>
                </c:pt>
                <c:pt idx="9">
                  <c:v>12066.577731172534</c:v>
                </c:pt>
                <c:pt idx="10">
                  <c:v>11941.942313900689</c:v>
                </c:pt>
                <c:pt idx="11">
                  <c:v>12459.204022177471</c:v>
                </c:pt>
                <c:pt idx="12">
                  <c:v>14923.216108873314</c:v>
                </c:pt>
                <c:pt idx="13">
                  <c:v>15852.047134074186</c:v>
                </c:pt>
                <c:pt idx="14">
                  <c:v>16148.725771944184</c:v>
                </c:pt>
                <c:pt idx="15">
                  <c:v>16012.881353173305</c:v>
                </c:pt>
                <c:pt idx="16">
                  <c:v>17098.501637388665</c:v>
                </c:pt>
                <c:pt idx="17">
                  <c:v>17557.498480207938</c:v>
                </c:pt>
                <c:pt idx="18">
                  <c:v>18263.522417700187</c:v>
                </c:pt>
                <c:pt idx="19">
                  <c:v>17763.485235419597</c:v>
                </c:pt>
                <c:pt idx="20">
                  <c:v>18447.527104163426</c:v>
                </c:pt>
                <c:pt idx="21">
                  <c:v>19085.929970560956</c:v>
                </c:pt>
                <c:pt idx="22">
                  <c:v>19339.032385042174</c:v>
                </c:pt>
                <c:pt idx="23">
                  <c:v>19046.051331139508</c:v>
                </c:pt>
                <c:pt idx="24">
                  <c:v>18762.534289166782</c:v>
                </c:pt>
                <c:pt idx="25">
                  <c:v>18535.34738843812</c:v>
                </c:pt>
                <c:pt idx="26">
                  <c:v>18383.987847378088</c:v>
                </c:pt>
                <c:pt idx="27">
                  <c:v>17811.787057873556</c:v>
                </c:pt>
                <c:pt idx="28">
                  <c:v>15964.626710949149</c:v>
                </c:pt>
                <c:pt idx="29">
                  <c:v>14005.467606631551</c:v>
                </c:pt>
                <c:pt idx="30">
                  <c:v>12635.711029729535</c:v>
                </c:pt>
              </c:numCache>
            </c:numRef>
          </c:val>
          <c:smooth val="0"/>
          <c:extLst>
            <c:ext xmlns:c16="http://schemas.microsoft.com/office/drawing/2014/chart" uri="{C3380CC4-5D6E-409C-BE32-E72D297353CC}">
              <c16:uniqueId val="{00000003-5263-4D94-8FCD-E116F45F999E}"/>
            </c:ext>
          </c:extLst>
        </c:ser>
        <c:dLbls>
          <c:showLegendKey val="0"/>
          <c:showVal val="0"/>
          <c:showCatName val="0"/>
          <c:showSerName val="0"/>
          <c:showPercent val="0"/>
          <c:showBubbleSize val="0"/>
        </c:dLbls>
        <c:smooth val="0"/>
        <c:axId val="1965540799"/>
        <c:axId val="1965545375"/>
      </c:lineChart>
      <c:catAx>
        <c:axId val="1965540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5545375"/>
        <c:crosses val="autoZero"/>
        <c:auto val="1"/>
        <c:lblAlgn val="ctr"/>
        <c:lblOffset val="100"/>
        <c:noMultiLvlLbl val="0"/>
      </c:catAx>
      <c:valAx>
        <c:axId val="19655453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55407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Feuil1!$A$9</c:f>
              <c:strCache>
                <c:ptCount val="1"/>
                <c:pt idx="0">
                  <c:v>Total HFCs+PFCs (ktCO2e)</c:v>
                </c:pt>
              </c:strCache>
            </c:strRef>
          </c:tx>
          <c:spPr>
            <a:solidFill>
              <a:srgbClr val="0070C0"/>
            </a:solidFill>
            <a:ln>
              <a:noFill/>
            </a:ln>
            <a:effectLst/>
          </c:spPr>
          <c:invertIfNegative val="0"/>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Feuil1!$B$9:$AF$9</c:f>
              <c:numCache>
                <c:formatCode>#,##0.00</c:formatCode>
                <c:ptCount val="31"/>
                <c:pt idx="0">
                  <c:v>9604.6665271304155</c:v>
                </c:pt>
                <c:pt idx="1">
                  <c:v>9946.9202890802462</c:v>
                </c:pt>
                <c:pt idx="2">
                  <c:v>9336.3273333666966</c:v>
                </c:pt>
                <c:pt idx="3">
                  <c:v>7709.8516211587375</c:v>
                </c:pt>
                <c:pt idx="4">
                  <c:v>6079.1710397782963</c:v>
                </c:pt>
                <c:pt idx="5">
                  <c:v>4766.8984222921581</c:v>
                </c:pt>
                <c:pt idx="6">
                  <c:v>5857.0490300168221</c:v>
                </c:pt>
                <c:pt idx="7">
                  <c:v>6813.4163742111723</c:v>
                </c:pt>
                <c:pt idx="8">
                  <c:v>7696.033803647425</c:v>
                </c:pt>
                <c:pt idx="9">
                  <c:v>9752.687497271043</c:v>
                </c:pt>
                <c:pt idx="10">
                  <c:v>9733.2025430754693</c:v>
                </c:pt>
                <c:pt idx="11">
                  <c:v>10613.908809811499</c:v>
                </c:pt>
                <c:pt idx="12">
                  <c:v>13297.232782184301</c:v>
                </c:pt>
                <c:pt idx="13">
                  <c:v>14236.707697821159</c:v>
                </c:pt>
                <c:pt idx="14">
                  <c:v>14507.182404778776</c:v>
                </c:pt>
                <c:pt idx="15">
                  <c:v>14622.489578696477</c:v>
                </c:pt>
                <c:pt idx="16">
                  <c:v>15815.019850953942</c:v>
                </c:pt>
                <c:pt idx="17">
                  <c:v>16378.691455684726</c:v>
                </c:pt>
                <c:pt idx="18">
                  <c:v>17085.275974385324</c:v>
                </c:pt>
                <c:pt idx="19">
                  <c:v>16765.682383712065</c:v>
                </c:pt>
                <c:pt idx="20">
                  <c:v>17547.474472928167</c:v>
                </c:pt>
                <c:pt idx="21">
                  <c:v>18402.836974075562</c:v>
                </c:pt>
                <c:pt idx="22">
                  <c:v>18652.415852675858</c:v>
                </c:pt>
                <c:pt idx="23">
                  <c:v>18442.079453670674</c:v>
                </c:pt>
                <c:pt idx="24">
                  <c:v>18277.640057978169</c:v>
                </c:pt>
                <c:pt idx="25">
                  <c:v>18030.866529797542</c:v>
                </c:pt>
                <c:pt idx="26">
                  <c:v>17871.175175864337</c:v>
                </c:pt>
                <c:pt idx="27">
                  <c:v>17344.896636135745</c:v>
                </c:pt>
                <c:pt idx="28">
                  <c:v>15524.172828919465</c:v>
                </c:pt>
                <c:pt idx="29">
                  <c:v>13607.820512736003</c:v>
                </c:pt>
                <c:pt idx="30">
                  <c:v>12278.816496961015</c:v>
                </c:pt>
              </c:numCache>
            </c:numRef>
          </c:val>
          <c:extLst>
            <c:ext xmlns:c16="http://schemas.microsoft.com/office/drawing/2014/chart" uri="{C3380CC4-5D6E-409C-BE32-E72D297353CC}">
              <c16:uniqueId val="{00000000-FFF6-4023-A49B-9F77624ED813}"/>
            </c:ext>
          </c:extLst>
        </c:ser>
        <c:ser>
          <c:idx val="1"/>
          <c:order val="1"/>
          <c:tx>
            <c:strRef>
              <c:f>Feuil1!$A$10</c:f>
              <c:strCache>
                <c:ptCount val="1"/>
                <c:pt idx="0">
                  <c:v>Total SF6 (ktCO2e)</c:v>
                </c:pt>
              </c:strCache>
            </c:strRef>
          </c:tx>
          <c:spPr>
            <a:solidFill>
              <a:srgbClr val="00B050"/>
            </a:solidFill>
            <a:ln>
              <a:noFill/>
            </a:ln>
            <a:effectLst/>
          </c:spPr>
          <c:invertIfNegative val="0"/>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Feuil1!$B$10:$AF$10</c:f>
              <c:numCache>
                <c:formatCode>#,##0.00</c:formatCode>
                <c:ptCount val="31"/>
                <c:pt idx="0">
                  <c:v>2154.744186309204</c:v>
                </c:pt>
                <c:pt idx="1">
                  <c:v>2217.4576833056881</c:v>
                </c:pt>
                <c:pt idx="2">
                  <c:v>2256.210416507472</c:v>
                </c:pt>
                <c:pt idx="3">
                  <c:v>2295.577870750788</c:v>
                </c:pt>
                <c:pt idx="4">
                  <c:v>2443.8825106558438</c:v>
                </c:pt>
                <c:pt idx="5">
                  <c:v>2466.59683946934</c:v>
                </c:pt>
                <c:pt idx="6">
                  <c:v>2494.6370632690441</c:v>
                </c:pt>
                <c:pt idx="7">
                  <c:v>2475.9185365035601</c:v>
                </c:pt>
                <c:pt idx="8">
                  <c:v>2593.703923993668</c:v>
                </c:pt>
                <c:pt idx="9">
                  <c:v>2292.7350616642202</c:v>
                </c:pt>
                <c:pt idx="10">
                  <c:v>2180.3301783313441</c:v>
                </c:pt>
                <c:pt idx="11">
                  <c:v>1825.40351853882</c:v>
                </c:pt>
                <c:pt idx="12">
                  <c:v>1597.5376322446441</c:v>
                </c:pt>
                <c:pt idx="13">
                  <c:v>1579.7946160704601</c:v>
                </c:pt>
                <c:pt idx="14">
                  <c:v>1611.0763784374681</c:v>
                </c:pt>
                <c:pt idx="15">
                  <c:v>1354.8469542942601</c:v>
                </c:pt>
                <c:pt idx="16">
                  <c:v>1252.2121864347239</c:v>
                </c:pt>
                <c:pt idx="17">
                  <c:v>1149.0510245232119</c:v>
                </c:pt>
                <c:pt idx="18">
                  <c:v>1136.140843314864</c:v>
                </c:pt>
                <c:pt idx="19">
                  <c:v>951.44885170753196</c:v>
                </c:pt>
                <c:pt idx="20">
                  <c:v>875.09543123525998</c:v>
                </c:pt>
                <c:pt idx="21">
                  <c:v>650.96339648539197</c:v>
                </c:pt>
                <c:pt idx="22">
                  <c:v>655.26093236631596</c:v>
                </c:pt>
                <c:pt idx="23">
                  <c:v>583.57267746883201</c:v>
                </c:pt>
                <c:pt idx="24">
                  <c:v>474.26463118861199</c:v>
                </c:pt>
                <c:pt idx="25">
                  <c:v>498.10935944058002</c:v>
                </c:pt>
                <c:pt idx="26">
                  <c:v>506.57886484975199</c:v>
                </c:pt>
                <c:pt idx="27">
                  <c:v>461.052063541812</c:v>
                </c:pt>
                <c:pt idx="28">
                  <c:v>432.81643634168398</c:v>
                </c:pt>
                <c:pt idx="29">
                  <c:v>385.396416635496</c:v>
                </c:pt>
                <c:pt idx="30">
                  <c:v>346.603901236524</c:v>
                </c:pt>
              </c:numCache>
            </c:numRef>
          </c:val>
          <c:extLst>
            <c:ext xmlns:c16="http://schemas.microsoft.com/office/drawing/2014/chart" uri="{C3380CC4-5D6E-409C-BE32-E72D297353CC}">
              <c16:uniqueId val="{00000001-FFF6-4023-A49B-9F77624ED813}"/>
            </c:ext>
          </c:extLst>
        </c:ser>
        <c:ser>
          <c:idx val="2"/>
          <c:order val="2"/>
          <c:tx>
            <c:strRef>
              <c:f>Feuil1!$A$11</c:f>
              <c:strCache>
                <c:ptCount val="1"/>
                <c:pt idx="0">
                  <c:v>Total NF3 (ktCO2e)</c:v>
                </c:pt>
              </c:strCache>
            </c:strRef>
          </c:tx>
          <c:spPr>
            <a:solidFill>
              <a:schemeClr val="accent3"/>
            </a:solidFill>
            <a:ln>
              <a:noFill/>
            </a:ln>
            <a:effectLst/>
          </c:spPr>
          <c:invertIfNegative val="0"/>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Feuil1!$B$11:$AF$11</c:f>
              <c:numCache>
                <c:formatCode>#,##0.00</c:formatCode>
                <c:ptCount val="31"/>
                <c:pt idx="0">
                  <c:v>16.480883198436</c:v>
                </c:pt>
                <c:pt idx="1">
                  <c:v>16.480883198436</c:v>
                </c:pt>
                <c:pt idx="2">
                  <c:v>18.1289715184</c:v>
                </c:pt>
                <c:pt idx="3">
                  <c:v>19.941868670240002</c:v>
                </c:pt>
                <c:pt idx="4">
                  <c:v>21.936055537264</c:v>
                </c:pt>
                <c:pt idx="5">
                  <c:v>24.129661090955999</c:v>
                </c:pt>
                <c:pt idx="6">
                  <c:v>6.2599238811919999</c:v>
                </c:pt>
                <c:pt idx="7">
                  <c:v>11.460804045004</c:v>
                </c:pt>
                <c:pt idx="8">
                  <c:v>17.176894665864001</c:v>
                </c:pt>
                <c:pt idx="9">
                  <c:v>21.155172237272001</c:v>
                </c:pt>
                <c:pt idx="10">
                  <c:v>28.409592493876001</c:v>
                </c:pt>
                <c:pt idx="11">
                  <c:v>19.891693827152</c:v>
                </c:pt>
                <c:pt idx="12">
                  <c:v>28.445694444368002</c:v>
                </c:pt>
                <c:pt idx="13">
                  <c:v>35.544820182568003</c:v>
                </c:pt>
                <c:pt idx="14">
                  <c:v>30.466988727939999</c:v>
                </c:pt>
                <c:pt idx="15">
                  <c:v>35.544820182568003</c:v>
                </c:pt>
                <c:pt idx="16">
                  <c:v>31.269600000000001</c:v>
                </c:pt>
                <c:pt idx="17">
                  <c:v>29.756</c:v>
                </c:pt>
                <c:pt idx="18">
                  <c:v>42.105600000000003</c:v>
                </c:pt>
                <c:pt idx="19">
                  <c:v>46.353999999999999</c:v>
                </c:pt>
                <c:pt idx="20">
                  <c:v>24.9572</c:v>
                </c:pt>
                <c:pt idx="21">
                  <c:v>32.129600000000003</c:v>
                </c:pt>
                <c:pt idx="22">
                  <c:v>31.355599999999999</c:v>
                </c:pt>
                <c:pt idx="23">
                  <c:v>20.3992</c:v>
                </c:pt>
                <c:pt idx="24">
                  <c:v>10.6296</c:v>
                </c:pt>
                <c:pt idx="25">
                  <c:v>6.3714991999999997</c:v>
                </c:pt>
                <c:pt idx="26">
                  <c:v>6.2338066640000003</c:v>
                </c:pt>
                <c:pt idx="27">
                  <c:v>5.8383581959999997</c:v>
                </c:pt>
                <c:pt idx="28">
                  <c:v>7.6374456879999997</c:v>
                </c:pt>
                <c:pt idx="29">
                  <c:v>12.250677260052001</c:v>
                </c:pt>
                <c:pt idx="30">
                  <c:v>10.290631531996</c:v>
                </c:pt>
              </c:numCache>
            </c:numRef>
          </c:val>
          <c:extLst>
            <c:ext xmlns:c16="http://schemas.microsoft.com/office/drawing/2014/chart" uri="{C3380CC4-5D6E-409C-BE32-E72D297353CC}">
              <c16:uniqueId val="{00000002-FFF6-4023-A49B-9F77624ED813}"/>
            </c:ext>
          </c:extLst>
        </c:ser>
        <c:dLbls>
          <c:showLegendKey val="0"/>
          <c:showVal val="0"/>
          <c:showCatName val="0"/>
          <c:showSerName val="0"/>
          <c:showPercent val="0"/>
          <c:showBubbleSize val="0"/>
        </c:dLbls>
        <c:gapWidth val="150"/>
        <c:overlap val="100"/>
        <c:axId val="1943772143"/>
        <c:axId val="1943776303"/>
      </c:barChart>
      <c:catAx>
        <c:axId val="1943772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3776303"/>
        <c:crosses val="autoZero"/>
        <c:auto val="1"/>
        <c:lblAlgn val="ctr"/>
        <c:lblOffset val="100"/>
        <c:noMultiLvlLbl val="0"/>
      </c:catAx>
      <c:valAx>
        <c:axId val="194377630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37721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243529053953652E-2"/>
          <c:y val="9.9151537932792064E-2"/>
          <c:w val="0.97375647094604634"/>
          <c:h val="0.81094141731470015"/>
        </c:manualLayout>
      </c:layout>
      <c:pie3DChart>
        <c:varyColors val="1"/>
        <c:ser>
          <c:idx val="0"/>
          <c:order val="0"/>
          <c:dPt>
            <c:idx val="0"/>
            <c:bubble3D val="0"/>
            <c:spPr>
              <a:solidFill>
                <a:srgbClr val="0000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D5C-42D0-88B2-154DB0B05575}"/>
              </c:ext>
            </c:extLst>
          </c:dPt>
          <c:dPt>
            <c:idx val="1"/>
            <c:bubble3D val="0"/>
            <c:spPr>
              <a:solidFill>
                <a:schemeClr val="accent4">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D5C-42D0-88B2-154DB0B05575}"/>
              </c:ext>
            </c:extLst>
          </c:dPt>
          <c:dPt>
            <c:idx val="2"/>
            <c:bubble3D val="0"/>
            <c:spPr>
              <a:solidFill>
                <a:schemeClr val="accent3">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0D5C-42D0-88B2-154DB0B05575}"/>
              </c:ext>
            </c:extLst>
          </c:dPt>
          <c:dPt>
            <c:idx val="3"/>
            <c:bubble3D val="0"/>
            <c:spPr>
              <a:solidFill>
                <a:srgbClr val="CC33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0D5C-42D0-88B2-154DB0B05575}"/>
              </c:ext>
            </c:extLst>
          </c:dPt>
          <c:dPt>
            <c:idx val="4"/>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0D5C-42D0-88B2-154DB0B05575}"/>
              </c:ext>
            </c:extLst>
          </c:dPt>
          <c:dPt>
            <c:idx val="5"/>
            <c:bubble3D val="0"/>
            <c:spPr>
              <a:solidFill>
                <a:srgbClr val="FF99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0D5C-42D0-88B2-154DB0B05575}"/>
              </c:ext>
            </c:extLst>
          </c:dPt>
          <c:dLbls>
            <c:dLbl>
              <c:idx val="3"/>
              <c:layout>
                <c:manualLayout>
                  <c:x val="-9.7955694122870238E-2"/>
                  <c:y val="-0.24821875497630008"/>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9675233595800521"/>
                      <c:h val="0.346447865541471"/>
                    </c:manualLayout>
                  </c15:layout>
                </c:ext>
                <c:ext xmlns:c16="http://schemas.microsoft.com/office/drawing/2014/chart" uri="{C3380CC4-5D6E-409C-BE32-E72D297353CC}">
                  <c16:uniqueId val="{00000007-0D5C-42D0-88B2-154DB0B0557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('CO2'!$B$6,'CO2'!$B$16,'CO2'!$B$26,'CO2'!$B$31,'CO2'!$B$34,'CO2'!$B$38)</c:f>
              <c:strCache>
                <c:ptCount val="6"/>
                <c:pt idx="0">
                  <c:v>Industrie de l'énergie</c:v>
                </c:pt>
                <c:pt idx="1">
                  <c:v>Industrie manufacturière et construction</c:v>
                </c:pt>
                <c:pt idx="2">
                  <c:v>Traitement centralisé des déchets</c:v>
                </c:pt>
                <c:pt idx="3">
                  <c:v>Usage des bâtiments et activités résidentiels/tertiaires</c:v>
                </c:pt>
                <c:pt idx="4">
                  <c:v>Agriculture</c:v>
                </c:pt>
                <c:pt idx="5">
                  <c:v>Transport</c:v>
                </c:pt>
              </c:strCache>
            </c:strRef>
          </c:cat>
          <c:val>
            <c:numRef>
              <c:f>('CO2'!$AG$6,'CO2'!$AG$16,'CO2'!$AG$26,'CO2'!$AG$31,'CO2'!$AG$34,'CO2'!$AG$38)</c:f>
              <c:numCache>
                <c:formatCode>0.0</c:formatCode>
                <c:ptCount val="6"/>
                <c:pt idx="0" formatCode="#\ ##0.0">
                  <c:v>39.35301834295548</c:v>
                </c:pt>
                <c:pt idx="1">
                  <c:v>67.88189120071759</c:v>
                </c:pt>
                <c:pt idx="2" formatCode="#\ ##0.0">
                  <c:v>1.3399714452006217</c:v>
                </c:pt>
                <c:pt idx="3" formatCode="#\ ##0.0">
                  <c:v>60.40529898764462</c:v>
                </c:pt>
                <c:pt idx="4" formatCode="#\ ##0.0">
                  <c:v>11.205319898128888</c:v>
                </c:pt>
                <c:pt idx="5" formatCode="#\ ##0.0">
                  <c:v>109.20406852583315</c:v>
                </c:pt>
              </c:numCache>
            </c:numRef>
          </c:val>
          <c:extLst>
            <c:ext xmlns:c16="http://schemas.microsoft.com/office/drawing/2014/chart" uri="{C3380CC4-5D6E-409C-BE32-E72D297353CC}">
              <c16:uniqueId val="{0000000C-0D5C-42D0-88B2-154DB0B05575}"/>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6075392150784371E-3"/>
          <c:y val="9.512033630808836E-2"/>
          <c:w val="0.82880591894517119"/>
          <c:h val="0.79526132085972034"/>
        </c:manualLayout>
      </c:layout>
      <c:pie3DChart>
        <c:varyColors val="1"/>
        <c:ser>
          <c:idx val="0"/>
          <c:order val="0"/>
          <c:dPt>
            <c:idx val="0"/>
            <c:bubble3D val="0"/>
            <c:spPr>
              <a:solidFill>
                <a:srgbClr val="0000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F12A-4255-9D26-505CABFC2324}"/>
              </c:ext>
            </c:extLst>
          </c:dPt>
          <c:dPt>
            <c:idx val="1"/>
            <c:bubble3D val="0"/>
            <c:spPr>
              <a:solidFill>
                <a:schemeClr val="accent4">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F12A-4255-9D26-505CABFC2324}"/>
              </c:ext>
            </c:extLst>
          </c:dPt>
          <c:dPt>
            <c:idx val="2"/>
            <c:bubble3D val="0"/>
            <c:spPr>
              <a:solidFill>
                <a:schemeClr val="accent3">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F12A-4255-9D26-505CABFC2324}"/>
              </c:ext>
            </c:extLst>
          </c:dPt>
          <c:dPt>
            <c:idx val="3"/>
            <c:bubble3D val="0"/>
            <c:spPr>
              <a:solidFill>
                <a:srgbClr val="CC33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F12A-4255-9D26-505CABFC2324}"/>
              </c:ext>
            </c:extLst>
          </c:dPt>
          <c:dPt>
            <c:idx val="4"/>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F12A-4255-9D26-505CABFC2324}"/>
              </c:ext>
            </c:extLst>
          </c:dPt>
          <c:dPt>
            <c:idx val="5"/>
            <c:bubble3D val="0"/>
            <c:spPr>
              <a:solidFill>
                <a:srgbClr val="FF99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F12A-4255-9D26-505CABFC2324}"/>
              </c:ext>
            </c:extLst>
          </c:dPt>
          <c:dLbls>
            <c:dLbl>
              <c:idx val="3"/>
              <c:layout>
                <c:manualLayout>
                  <c:x val="8.8743009486018973E-2"/>
                  <c:y val="-1.0873219499247987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4677173621013909"/>
                      <c:h val="0.17785429503443276"/>
                    </c:manualLayout>
                  </c15:layout>
                </c:ext>
                <c:ext xmlns:c16="http://schemas.microsoft.com/office/drawing/2014/chart" uri="{C3380CC4-5D6E-409C-BE32-E72D297353CC}">
                  <c16:uniqueId val="{00000007-F12A-4255-9D26-505CABFC232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('CH4'!$B$6,'CH4'!$B$16,'CH4'!$B$26,'CH4'!$B$31,'CH4'!$B$34,'CH4'!$B$38)</c:f>
              <c:strCache>
                <c:ptCount val="6"/>
                <c:pt idx="0">
                  <c:v>Industrie de l'énergie</c:v>
                </c:pt>
                <c:pt idx="1">
                  <c:v>Industrie manufacturière et construction</c:v>
                </c:pt>
                <c:pt idx="2">
                  <c:v>Traitement centralisé des déchets</c:v>
                </c:pt>
                <c:pt idx="3">
                  <c:v>Usage des bâtiments et activités résidentiels/tertiaires</c:v>
                </c:pt>
                <c:pt idx="4">
                  <c:v>Agriculture</c:v>
                </c:pt>
                <c:pt idx="5">
                  <c:v>Transport</c:v>
                </c:pt>
              </c:strCache>
            </c:strRef>
          </c:cat>
          <c:val>
            <c:numRef>
              <c:f>('CH4'!$AG$6,'CH4'!$AG$16,'CH4'!$AG$26,'CH4'!$AG$31,'CH4'!$AG$34,'CH4'!$AG$38)</c:f>
              <c:numCache>
                <c:formatCode>0.0</c:formatCode>
                <c:ptCount val="6"/>
                <c:pt idx="0" formatCode="#,##0">
                  <c:v>898.23098146005168</c:v>
                </c:pt>
                <c:pt idx="1">
                  <c:v>233.72306990880742</c:v>
                </c:pt>
                <c:pt idx="2" formatCode="#,##0">
                  <c:v>12948.73579313242</c:v>
                </c:pt>
                <c:pt idx="3" formatCode="#,##0">
                  <c:v>3406.4142004123587</c:v>
                </c:pt>
                <c:pt idx="4" formatCode="#,##0">
                  <c:v>37009.782735566434</c:v>
                </c:pt>
                <c:pt idx="5" formatCode="#\ ##0.0">
                  <c:v>144.82794162357609</c:v>
                </c:pt>
              </c:numCache>
            </c:numRef>
          </c:val>
          <c:extLst>
            <c:ext xmlns:c16="http://schemas.microsoft.com/office/drawing/2014/chart" uri="{C3380CC4-5D6E-409C-BE32-E72D297353CC}">
              <c16:uniqueId val="{0000000C-F12A-4255-9D26-505CABFC2324}"/>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0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206887600588393E-2"/>
          <c:y val="9.8098514384731036E-2"/>
          <c:w val="0.83470710391970238"/>
          <c:h val="0.8038029712305379"/>
        </c:manualLayout>
      </c:layout>
      <c:pie3DChart>
        <c:varyColors val="1"/>
        <c:ser>
          <c:idx val="0"/>
          <c:order val="0"/>
          <c:dPt>
            <c:idx val="0"/>
            <c:bubble3D val="0"/>
            <c:spPr>
              <a:solidFill>
                <a:srgbClr val="0000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4202-4338-AA11-347CDA14AD42}"/>
              </c:ext>
            </c:extLst>
          </c:dPt>
          <c:dPt>
            <c:idx val="1"/>
            <c:bubble3D val="0"/>
            <c:spPr>
              <a:solidFill>
                <a:schemeClr val="accent4">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4202-4338-AA11-347CDA14AD42}"/>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4202-4338-AA11-347CDA14AD42}"/>
              </c:ext>
            </c:extLst>
          </c:dPt>
          <c:dPt>
            <c:idx val="3"/>
            <c:bubble3D val="0"/>
            <c:spPr>
              <a:solidFill>
                <a:srgbClr val="CC33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4202-4338-AA11-347CDA14AD42}"/>
              </c:ext>
            </c:extLst>
          </c:dPt>
          <c:dPt>
            <c:idx val="4"/>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4202-4338-AA11-347CDA14AD42}"/>
              </c:ext>
            </c:extLst>
          </c:dPt>
          <c:dPt>
            <c:idx val="5"/>
            <c:bubble3D val="0"/>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4202-4338-AA11-347CDA14AD42}"/>
              </c:ext>
            </c:extLst>
          </c:dPt>
          <c:dLbls>
            <c:dLbl>
              <c:idx val="0"/>
              <c:layout>
                <c:manualLayout>
                  <c:x val="0"/>
                  <c:y val="-0.14293988424595566"/>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202-4338-AA11-347CDA14AD42}"/>
                </c:ext>
              </c:extLst>
            </c:dLbl>
            <c:dLbl>
              <c:idx val="1"/>
              <c:layout>
                <c:manualLayout>
                  <c:x val="1.9780002374074953E-2"/>
                  <c:y val="-6.4560496799913991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202-4338-AA11-347CDA14AD42}"/>
                </c:ext>
              </c:extLst>
            </c:dLbl>
            <c:dLbl>
              <c:idx val="2"/>
              <c:layout>
                <c:manualLayout>
                  <c:x val="2.2664907271206482E-2"/>
                  <c:y val="0.11288025889967637"/>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4202-4338-AA11-347CDA14AD42}"/>
                </c:ext>
              </c:extLst>
            </c:dLbl>
            <c:dLbl>
              <c:idx val="3"/>
              <c:layout>
                <c:manualLayout>
                  <c:x val="-0.17752914177185145"/>
                  <c:y val="0.18789896201706807"/>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15:layout>
                    <c:manualLayout>
                      <c:w val="0.20577343409963197"/>
                      <c:h val="0.17179617332063646"/>
                    </c:manualLayout>
                  </c15:layout>
                </c:ext>
                <c:ext xmlns:c16="http://schemas.microsoft.com/office/drawing/2014/chart" uri="{C3380CC4-5D6E-409C-BE32-E72D297353CC}">
                  <c16:uniqueId val="{00000007-4202-4338-AA11-347CDA14AD42}"/>
                </c:ext>
              </c:extLst>
            </c:dLbl>
            <c:dLbl>
              <c:idx val="5"/>
              <c:layout>
                <c:manualLayout>
                  <c:x val="1.8421319194397184E-2"/>
                  <c:y val="-0.21923994982779524"/>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4202-4338-AA11-347CDA14AD4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(N2O!$B$6,N2O!$B$16,N2O!$B$26,N2O!$B$31,N2O!$B$34,N2O!$B$38)</c:f>
              <c:strCache>
                <c:ptCount val="6"/>
                <c:pt idx="0">
                  <c:v>Industrie de l'énergie</c:v>
                </c:pt>
                <c:pt idx="1">
                  <c:v>Industrie manufacturière et construction</c:v>
                </c:pt>
                <c:pt idx="2">
                  <c:v>Traitement centralisé des déchets</c:v>
                </c:pt>
                <c:pt idx="3">
                  <c:v>Usage des bâtiments et activités résidentiels/tertiaires</c:v>
                </c:pt>
                <c:pt idx="4">
                  <c:v>Agriculture</c:v>
                </c:pt>
                <c:pt idx="5">
                  <c:v>Transport</c:v>
                </c:pt>
              </c:strCache>
            </c:strRef>
          </c:cat>
          <c:val>
            <c:numRef>
              <c:f>(N2O!$AG$6,N2O!$AG$16,N2O!$AG$26,N2O!$AG$31,N2O!$AG$34,N2O!$AG$38)</c:f>
              <c:numCache>
                <c:formatCode>0</c:formatCode>
                <c:ptCount val="6"/>
                <c:pt idx="0" formatCode="#\ ##0.0">
                  <c:v>401.0030418160373</c:v>
                </c:pt>
                <c:pt idx="1">
                  <c:v>1131.2365421868685</c:v>
                </c:pt>
                <c:pt idx="2" formatCode="#,##0">
                  <c:v>389.08455996234392</c:v>
                </c:pt>
                <c:pt idx="3" formatCode="#,##0">
                  <c:v>709.06128980240226</c:v>
                </c:pt>
                <c:pt idx="4" formatCode="#,##0">
                  <c:v>32511.394863030204</c:v>
                </c:pt>
                <c:pt idx="5">
                  <c:v>1155.5438725217018</c:v>
                </c:pt>
              </c:numCache>
            </c:numRef>
          </c:val>
          <c:extLst>
            <c:ext xmlns:c16="http://schemas.microsoft.com/office/drawing/2014/chart" uri="{C3380CC4-5D6E-409C-BE32-E72D297353CC}">
              <c16:uniqueId val="{0000000C-4202-4338-AA11-347CDA14AD42}"/>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00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63C5-4C49-97F3-987C4BF4CD9C}"/>
              </c:ext>
            </c:extLst>
          </c:dPt>
          <c:dPt>
            <c:idx val="1"/>
            <c:bubble3D val="0"/>
            <c:spPr>
              <a:solidFill>
                <a:schemeClr val="accent4">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63C5-4C49-97F3-987C4BF4CD9C}"/>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63C5-4C49-97F3-987C4BF4CD9C}"/>
              </c:ext>
            </c:extLst>
          </c:dPt>
          <c:dPt>
            <c:idx val="3"/>
            <c:bubble3D val="0"/>
            <c:spPr>
              <a:solidFill>
                <a:srgbClr val="CC33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63C5-4C49-97F3-987C4BF4CD9C}"/>
              </c:ext>
            </c:extLst>
          </c:dPt>
          <c:dPt>
            <c:idx val="4"/>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63C5-4C49-97F3-987C4BF4CD9C}"/>
              </c:ext>
            </c:extLst>
          </c:dPt>
          <c:dPt>
            <c:idx val="5"/>
            <c:bubble3D val="0"/>
            <c:spPr>
              <a:solidFill>
                <a:srgbClr val="FF99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63C5-4C49-97F3-987C4BF4CD9C}"/>
              </c:ext>
            </c:extLst>
          </c:dPt>
          <c:dLbls>
            <c:dLbl>
              <c:idx val="1"/>
              <c:layout>
                <c:manualLayout>
                  <c:x val="-3.4329415719586774E-2"/>
                  <c:y val="-5.022814455885323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3C5-4C49-97F3-987C4BF4CD9C}"/>
                </c:ext>
              </c:extLst>
            </c:dLbl>
            <c:dLbl>
              <c:idx val="2"/>
              <c:layout>
                <c:manualLayout>
                  <c:x val="-0.10939510939510941"/>
                  <c:y val="0.33653812504206204"/>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19626769626769625"/>
                      <c:h val="0.18461538461538463"/>
                    </c:manualLayout>
                  </c15:layout>
                </c:ext>
                <c:ext xmlns:c16="http://schemas.microsoft.com/office/drawing/2014/chart" uri="{C3380CC4-5D6E-409C-BE32-E72D297353CC}">
                  <c16:uniqueId val="{00000005-63C5-4C49-97F3-987C4BF4CD9C}"/>
                </c:ext>
              </c:extLst>
            </c:dLbl>
            <c:dLbl>
              <c:idx val="3"/>
              <c:layout>
                <c:manualLayout>
                  <c:x val="0.15373009524787962"/>
                  <c:y val="-0.30556141059290676"/>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15:layout>
                    <c:manualLayout>
                      <c:w val="0.31815563595091156"/>
                      <c:h val="0.18418816878659397"/>
                    </c:manualLayout>
                  </c15:layout>
                </c:ext>
                <c:ext xmlns:c16="http://schemas.microsoft.com/office/drawing/2014/chart" uri="{C3380CC4-5D6E-409C-BE32-E72D297353CC}">
                  <c16:uniqueId val="{00000007-63C5-4C49-97F3-987C4BF4CD9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(GF_total!$B$6,GF_total!$B$16,GF_total!$B$26,GF_total!$B$31,GF_total!$B$34,GF_total!$B$38)</c:f>
              <c:strCache>
                <c:ptCount val="6"/>
                <c:pt idx="0">
                  <c:v>Industrie de l'énergie</c:v>
                </c:pt>
                <c:pt idx="1">
                  <c:v>Industrie manufacturière et construction</c:v>
                </c:pt>
                <c:pt idx="2">
                  <c:v>Traitement centralisé des déchets</c:v>
                </c:pt>
                <c:pt idx="3">
                  <c:v>Usage des bâtiments et activités résidentiels/tertiaires</c:v>
                </c:pt>
                <c:pt idx="4">
                  <c:v>Agriculture</c:v>
                </c:pt>
                <c:pt idx="5">
                  <c:v>Transport</c:v>
                </c:pt>
              </c:strCache>
            </c:strRef>
          </c:cat>
          <c:val>
            <c:numRef>
              <c:f>(GF_total!$AG$6,GF_total!$AG$16,GF_total!$AG$26,GF_total!$AG$31,GF_total!$AG$34,GF_total!$AG$38)</c:f>
              <c:numCache>
                <c:formatCode>0.0</c:formatCode>
                <c:ptCount val="6"/>
                <c:pt idx="0" formatCode="#\ ##0.0">
                  <c:v>180.82742831869439</c:v>
                </c:pt>
                <c:pt idx="1">
                  <c:v>3260.7305214655412</c:v>
                </c:pt>
                <c:pt idx="2" formatCode="#,##0">
                  <c:v>0</c:v>
                </c:pt>
                <c:pt idx="3" formatCode="#,##0">
                  <c:v>6463.2546714455957</c:v>
                </c:pt>
                <c:pt idx="4" formatCode="#\ ##0.0">
                  <c:v>156.99602384822947</c:v>
                </c:pt>
                <c:pt idx="5" formatCode="#,##0">
                  <c:v>2572.1522385154417</c:v>
                </c:pt>
              </c:numCache>
            </c:numRef>
          </c:val>
          <c:extLst>
            <c:ext xmlns:c16="http://schemas.microsoft.com/office/drawing/2014/chart" uri="{C3380CC4-5D6E-409C-BE32-E72D297353CC}">
              <c16:uniqueId val="{0000000C-63C5-4C49-97F3-987C4BF4CD9C}"/>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b="1" i="0">
                <a:effectLst/>
              </a:rPr>
              <a:t>Changes in gross domestic product and its components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cat>
            <c:strRef>
              <c:f>'[econ-gen-pib-composante-niveaux.xlsx]Variation'!$B$4:$BU$4</c:f>
              <c:strCache>
                <c:ptCount val="72"/>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 (r)</c:v>
                </c:pt>
                <c:pt idx="71">
                  <c:v>2021</c:v>
                </c:pt>
              </c:strCache>
            </c:strRef>
          </c:cat>
          <c:val>
            <c:numRef>
              <c:f>'[econ-gen-pib-composante-niveaux.xlsx]Variation'!$B$6:$BU$6</c:f>
              <c:numCache>
                <c:formatCode>0.00</c:formatCode>
                <c:ptCount val="72"/>
                <c:pt idx="1">
                  <c:v>5.7915205751008161</c:v>
                </c:pt>
                <c:pt idx="2">
                  <c:v>3.1140340643000126</c:v>
                </c:pt>
                <c:pt idx="3">
                  <c:v>3.4562299611219744</c:v>
                </c:pt>
                <c:pt idx="4">
                  <c:v>5.5783202169756629</c:v>
                </c:pt>
                <c:pt idx="5">
                  <c:v>5.3118715081295269</c:v>
                </c:pt>
                <c:pt idx="6">
                  <c:v>4.9878537067476918</c:v>
                </c:pt>
                <c:pt idx="7">
                  <c:v>5.5167140022331838</c:v>
                </c:pt>
                <c:pt idx="8">
                  <c:v>2.6957138517922523</c:v>
                </c:pt>
                <c:pt idx="9">
                  <c:v>2.6714248060294516</c:v>
                </c:pt>
                <c:pt idx="10">
                  <c:v>7.991952490657857</c:v>
                </c:pt>
                <c:pt idx="11">
                  <c:v>4.9801328654921964</c:v>
                </c:pt>
                <c:pt idx="12">
                  <c:v>6.8435349894101352</c:v>
                </c:pt>
                <c:pt idx="13">
                  <c:v>6.2335562409420602</c:v>
                </c:pt>
                <c:pt idx="14">
                  <c:v>6.6522007523007494</c:v>
                </c:pt>
                <c:pt idx="15">
                  <c:v>4.8614266159140076</c:v>
                </c:pt>
                <c:pt idx="16">
                  <c:v>5.2518335853441096</c:v>
                </c:pt>
                <c:pt idx="17">
                  <c:v>4.921231291395662</c:v>
                </c:pt>
                <c:pt idx="18">
                  <c:v>4.491318970307236</c:v>
                </c:pt>
                <c:pt idx="19">
                  <c:v>7.109450090492123</c:v>
                </c:pt>
                <c:pt idx="20">
                  <c:v>6.1086776161701382</c:v>
                </c:pt>
                <c:pt idx="21">
                  <c:v>5.3167529060566645</c:v>
                </c:pt>
                <c:pt idx="22">
                  <c:v>4.5113716279088267</c:v>
                </c:pt>
                <c:pt idx="23">
                  <c:v>6.3445648648693247</c:v>
                </c:pt>
                <c:pt idx="24">
                  <c:v>4.300840710124481</c:v>
                </c:pt>
                <c:pt idx="25">
                  <c:v>-0.95986732915473771</c:v>
                </c:pt>
                <c:pt idx="26">
                  <c:v>4.3567555213391467</c:v>
                </c:pt>
                <c:pt idx="27">
                  <c:v>3.4642923591339927</c:v>
                </c:pt>
                <c:pt idx="28">
                  <c:v>3.9785494684846006</c:v>
                </c:pt>
                <c:pt idx="29">
                  <c:v>3.5500003763460319</c:v>
                </c:pt>
                <c:pt idx="30">
                  <c:v>1.578801227543472</c:v>
                </c:pt>
                <c:pt idx="31">
                  <c:v>1.0690127567103236</c:v>
                </c:pt>
                <c:pt idx="32">
                  <c:v>2.5053613656013645</c:v>
                </c:pt>
                <c:pt idx="33">
                  <c:v>1.2408529155249708</c:v>
                </c:pt>
                <c:pt idx="34">
                  <c:v>1.5137078700597635</c:v>
                </c:pt>
                <c:pt idx="35">
                  <c:v>1.6228216501735664</c:v>
                </c:pt>
                <c:pt idx="36">
                  <c:v>2.3372356023942134</c:v>
                </c:pt>
                <c:pt idx="37">
                  <c:v>2.5619086940664828</c:v>
                </c:pt>
                <c:pt idx="38">
                  <c:v>4.7431850612703892</c:v>
                </c:pt>
                <c:pt idx="39">
                  <c:v>4.3438199588953443</c:v>
                </c:pt>
                <c:pt idx="40">
                  <c:v>2.9239517418556944</c:v>
                </c:pt>
                <c:pt idx="41">
                  <c:v>1.0481802223057461</c:v>
                </c:pt>
                <c:pt idx="42">
                  <c:v>1.599346499772953</c:v>
                </c:pt>
                <c:pt idx="43">
                  <c:v>-0.62865884690903773</c:v>
                </c:pt>
                <c:pt idx="44">
                  <c:v>2.3583717439036875</c:v>
                </c:pt>
                <c:pt idx="45">
                  <c:v>2.1066514052863345</c:v>
                </c:pt>
                <c:pt idx="46">
                  <c:v>1.4129960153012031</c:v>
                </c:pt>
                <c:pt idx="47">
                  <c:v>2.3363293667502121</c:v>
                </c:pt>
                <c:pt idx="48">
                  <c:v>3.5886293379519576</c:v>
                </c:pt>
                <c:pt idx="49">
                  <c:v>3.4213523597998647</c:v>
                </c:pt>
                <c:pt idx="50">
                  <c:v>3.9237124557617533</c:v>
                </c:pt>
                <c:pt idx="51">
                  <c:v>1.9837121146298784</c:v>
                </c:pt>
                <c:pt idx="52">
                  <c:v>1.1355417436921877</c:v>
                </c:pt>
                <c:pt idx="53">
                  <c:v>0.82312299739531747</c:v>
                </c:pt>
                <c:pt idx="54">
                  <c:v>2.8297965845113593</c:v>
                </c:pt>
                <c:pt idx="55">
                  <c:v>1.6631821300672787</c:v>
                </c:pt>
                <c:pt idx="56">
                  <c:v>2.4493454013939959</c:v>
                </c:pt>
                <c:pt idx="57">
                  <c:v>2.4247397856175255</c:v>
                </c:pt>
                <c:pt idx="58">
                  <c:v>0.25493676773214635</c:v>
                </c:pt>
                <c:pt idx="59">
                  <c:v>-2.8733254071543848</c:v>
                </c:pt>
                <c:pt idx="60">
                  <c:v>1.9494589034497962</c:v>
                </c:pt>
                <c:pt idx="61">
                  <c:v>2.1926797158413205</c:v>
                </c:pt>
                <c:pt idx="62">
                  <c:v>0.31316447000195713</c:v>
                </c:pt>
                <c:pt idx="63">
                  <c:v>0.57632357018284808</c:v>
                </c:pt>
                <c:pt idx="64">
                  <c:v>0.95616872389891217</c:v>
                </c:pt>
                <c:pt idx="65">
                  <c:v>1.1129123415815301</c:v>
                </c:pt>
                <c:pt idx="66">
                  <c:v>1.0954625842420105</c:v>
                </c:pt>
                <c:pt idx="67">
                  <c:v>2.2914075239161487</c:v>
                </c:pt>
                <c:pt idx="68">
                  <c:v>1.8650985399017161</c:v>
                </c:pt>
                <c:pt idx="69">
                  <c:v>1.8429691288388148</c:v>
                </c:pt>
                <c:pt idx="70">
                  <c:v>-7.7845944942534722</c:v>
                </c:pt>
                <c:pt idx="71">
                  <c:v>6.8165798490547092</c:v>
                </c:pt>
              </c:numCache>
            </c:numRef>
          </c:val>
          <c:smooth val="0"/>
          <c:extLst>
            <c:ext xmlns:c16="http://schemas.microsoft.com/office/drawing/2014/chart" uri="{C3380CC4-5D6E-409C-BE32-E72D297353CC}">
              <c16:uniqueId val="{00000000-89A0-4423-91F1-9E5095208108}"/>
            </c:ext>
          </c:extLst>
        </c:ser>
        <c:dLbls>
          <c:showLegendKey val="0"/>
          <c:showVal val="0"/>
          <c:showCatName val="0"/>
          <c:showSerName val="0"/>
          <c:showPercent val="0"/>
          <c:showBubbleSize val="0"/>
        </c:dLbls>
        <c:smooth val="0"/>
        <c:axId val="2145370912"/>
        <c:axId val="2145368000"/>
      </c:lineChart>
      <c:catAx>
        <c:axId val="214537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368000"/>
        <c:crossesAt val="-10"/>
        <c:auto val="1"/>
        <c:lblAlgn val="l"/>
        <c:lblOffset val="100"/>
        <c:noMultiLvlLbl val="0"/>
      </c:catAx>
      <c:valAx>
        <c:axId val="21453680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370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71168641663443"/>
          <c:y val="5.1442009632568474E-2"/>
          <c:w val="0.86651350934818416"/>
          <c:h val="0.81153412698412697"/>
        </c:manualLayout>
      </c:layout>
      <c:areaChart>
        <c:grouping val="stacked"/>
        <c:varyColors val="0"/>
        <c:ser>
          <c:idx val="0"/>
          <c:order val="0"/>
          <c:tx>
            <c:v>Transport routier</c:v>
          </c:tx>
          <c:spPr>
            <a:solidFill>
              <a:srgbClr val="5F4979"/>
            </a:solidFill>
            <a:ln w="3175">
              <a:solidFill>
                <a:schemeClr val="bg1"/>
              </a:solidFill>
            </a:ln>
            <a:effectLst/>
          </c:spPr>
          <c:dLbls>
            <c:dLbl>
              <c:idx val="0"/>
              <c:layout>
                <c:manualLayout>
                  <c:x val="1.6462962962962964E-2"/>
                  <c:y val="5.0396825396825398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8BEF-4689-928F-EAC0F76EF4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'Transports-Emissions'!$AK$28:$BO$28</c:f>
              <c:numCache>
                <c:formatCode>0.0</c:formatCode>
                <c:ptCount val="31"/>
                <c:pt idx="0">
                  <c:v>115.93530200919605</c:v>
                </c:pt>
                <c:pt idx="1">
                  <c:v>118.99776812496094</c:v>
                </c:pt>
                <c:pt idx="2">
                  <c:v>121.93494112264918</c:v>
                </c:pt>
                <c:pt idx="3">
                  <c:v>122.80509877128587</c:v>
                </c:pt>
                <c:pt idx="4">
                  <c:v>124.37310916930119</c:v>
                </c:pt>
                <c:pt idx="5">
                  <c:v>125.26664695701163</c:v>
                </c:pt>
                <c:pt idx="6">
                  <c:v>125.14136595039587</c:v>
                </c:pt>
                <c:pt idx="7">
                  <c:v>127.64807378426678</c:v>
                </c:pt>
                <c:pt idx="8">
                  <c:v>131.10862220453461</c:v>
                </c:pt>
                <c:pt idx="9">
                  <c:v>133.34983967857261</c:v>
                </c:pt>
                <c:pt idx="10">
                  <c:v>133.55775213159947</c:v>
                </c:pt>
                <c:pt idx="11">
                  <c:v>137.27944231345688</c:v>
                </c:pt>
                <c:pt idx="12">
                  <c:v>139.13352297941074</c:v>
                </c:pt>
                <c:pt idx="13">
                  <c:v>138.00864282683395</c:v>
                </c:pt>
                <c:pt idx="14">
                  <c:v>138.62405317113036</c:v>
                </c:pt>
                <c:pt idx="15">
                  <c:v>136.44259870039198</c:v>
                </c:pt>
                <c:pt idx="16">
                  <c:v>136.81975166241625</c:v>
                </c:pt>
                <c:pt idx="17">
                  <c:v>136.06633662434908</c:v>
                </c:pt>
                <c:pt idx="18">
                  <c:v>130.50293860701328</c:v>
                </c:pt>
                <c:pt idx="19">
                  <c:v>128.93906762812571</c:v>
                </c:pt>
                <c:pt idx="20">
                  <c:v>130.18547974316687</c:v>
                </c:pt>
                <c:pt idx="21">
                  <c:v>131.18885730567226</c:v>
                </c:pt>
                <c:pt idx="22">
                  <c:v>129.49923773212868</c:v>
                </c:pt>
                <c:pt idx="23">
                  <c:v>128.94165147639603</c:v>
                </c:pt>
                <c:pt idx="24">
                  <c:v>129.19753893645557</c:v>
                </c:pt>
                <c:pt idx="25">
                  <c:v>130.59358637731555</c:v>
                </c:pt>
                <c:pt idx="26">
                  <c:v>130.6924645287128</c:v>
                </c:pt>
                <c:pt idx="27">
                  <c:v>130.70397534379293</c:v>
                </c:pt>
                <c:pt idx="28">
                  <c:v>127.58688999049537</c:v>
                </c:pt>
                <c:pt idx="29">
                  <c:v>127.24159004004339</c:v>
                </c:pt>
                <c:pt idx="30">
                  <c:v>106.88471031118725</c:v>
                </c:pt>
              </c:numCache>
            </c:numRef>
          </c:val>
          <c:extLst>
            <c:ext xmlns:c16="http://schemas.microsoft.com/office/drawing/2014/chart" uri="{C3380CC4-5D6E-409C-BE32-E72D297353CC}">
              <c16:uniqueId val="{00000001-8BEF-4689-928F-EAC0F76EF444}"/>
            </c:ext>
          </c:extLst>
        </c:ser>
        <c:ser>
          <c:idx val="1"/>
          <c:order val="1"/>
          <c:tx>
            <c:strRef>
              <c:f>'Transports-Emissions'!$E$29</c:f>
              <c:strCache>
                <c:ptCount val="1"/>
                <c:pt idx="0">
                  <c:v>Transport ferroviaire</c:v>
                </c:pt>
              </c:strCache>
            </c:strRef>
          </c:tx>
          <c:spPr>
            <a:solidFill>
              <a:srgbClr val="71588F"/>
            </a:solidFill>
            <a:ln w="3175">
              <a:solidFill>
                <a:schemeClr val="bg1"/>
              </a:solidFill>
            </a:ln>
            <a:effectLst/>
          </c:spPr>
          <c:dLbls>
            <c:dLbl>
              <c:idx val="0"/>
              <c:delete val="1"/>
              <c:extLst>
                <c:ext xmlns:c15="http://schemas.microsoft.com/office/drawing/2012/chart" uri="{CE6537A1-D6FC-4f65-9D91-7224C49458BB}"/>
                <c:ext xmlns:c16="http://schemas.microsoft.com/office/drawing/2014/chart" uri="{C3380CC4-5D6E-409C-BE32-E72D297353CC}">
                  <c16:uniqueId val="{00000002-8BEF-4689-928F-EAC0F76EF4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'Transports-Emissions'!$AK$29:$BO$29</c:f>
              <c:numCache>
                <c:formatCode>0.0</c:formatCode>
                <c:ptCount val="31"/>
                <c:pt idx="0">
                  <c:v>1.0949178027572364</c:v>
                </c:pt>
                <c:pt idx="1">
                  <c:v>1.0605994835663384</c:v>
                </c:pt>
                <c:pt idx="2">
                  <c:v>1.0099391076178688</c:v>
                </c:pt>
                <c:pt idx="3">
                  <c:v>0.93449327892041756</c:v>
                </c:pt>
                <c:pt idx="4">
                  <c:v>0.86776321382700383</c:v>
                </c:pt>
                <c:pt idx="5">
                  <c:v>0.82908701283408659</c:v>
                </c:pt>
                <c:pt idx="6">
                  <c:v>0.8029397220219735</c:v>
                </c:pt>
                <c:pt idx="7">
                  <c:v>0.79531342886844048</c:v>
                </c:pt>
                <c:pt idx="8">
                  <c:v>0.75690959548814918</c:v>
                </c:pt>
                <c:pt idx="9">
                  <c:v>0.76492544790434869</c:v>
                </c:pt>
                <c:pt idx="10">
                  <c:v>0.78300785036495568</c:v>
                </c:pt>
                <c:pt idx="11">
                  <c:v>0.74914190594878838</c:v>
                </c:pt>
                <c:pt idx="12">
                  <c:v>0.77495702493367913</c:v>
                </c:pt>
                <c:pt idx="13">
                  <c:v>0.74599205823774939</c:v>
                </c:pt>
                <c:pt idx="14">
                  <c:v>0.73847920809980727</c:v>
                </c:pt>
                <c:pt idx="15">
                  <c:v>0.67374758465297457</c:v>
                </c:pt>
                <c:pt idx="16">
                  <c:v>0.65270893046450895</c:v>
                </c:pt>
                <c:pt idx="17">
                  <c:v>0.61806526335248779</c:v>
                </c:pt>
                <c:pt idx="18">
                  <c:v>0.62914652913054503</c:v>
                </c:pt>
                <c:pt idx="19">
                  <c:v>0.57848682860765654</c:v>
                </c:pt>
                <c:pt idx="20">
                  <c:v>0.5538338110140828</c:v>
                </c:pt>
                <c:pt idx="21">
                  <c:v>0.56752972037661453</c:v>
                </c:pt>
                <c:pt idx="22">
                  <c:v>0.55650876144795292</c:v>
                </c:pt>
                <c:pt idx="23">
                  <c:v>0.55209867414804759</c:v>
                </c:pt>
                <c:pt idx="24">
                  <c:v>0.47647068969781875</c:v>
                </c:pt>
                <c:pt idx="25">
                  <c:v>0.47237576079572774</c:v>
                </c:pt>
                <c:pt idx="26">
                  <c:v>0.44673511397698018</c:v>
                </c:pt>
                <c:pt idx="27">
                  <c:v>0.4678076109847954</c:v>
                </c:pt>
                <c:pt idx="28">
                  <c:v>0.42107830222791115</c:v>
                </c:pt>
                <c:pt idx="29">
                  <c:v>0.41946079465007874</c:v>
                </c:pt>
                <c:pt idx="30">
                  <c:v>0.3572940947048836</c:v>
                </c:pt>
              </c:numCache>
            </c:numRef>
          </c:val>
          <c:extLst>
            <c:ext xmlns:c16="http://schemas.microsoft.com/office/drawing/2014/chart" uri="{C3380CC4-5D6E-409C-BE32-E72D297353CC}">
              <c16:uniqueId val="{00000003-8BEF-4689-928F-EAC0F76EF444}"/>
            </c:ext>
          </c:extLst>
        </c:ser>
        <c:ser>
          <c:idx val="2"/>
          <c:order val="2"/>
          <c:tx>
            <c:strRef>
              <c:f>'Transports-Emissions'!$E$30</c:f>
              <c:strCache>
                <c:ptCount val="1"/>
                <c:pt idx="0">
                  <c:v>Transport fluvial de marchandises</c:v>
                </c:pt>
              </c:strCache>
            </c:strRef>
          </c:tx>
          <c:spPr>
            <a:blipFill>
              <a:blip xmlns:r="http://schemas.openxmlformats.org/officeDocument/2006/relationships" r:embed="rId3"/>
              <a:stretch>
                <a:fillRect/>
              </a:stretch>
            </a:blipFill>
            <a:ln w="3175">
              <a:solidFill>
                <a:schemeClr val="bg1"/>
              </a:solidFill>
            </a:ln>
            <a:effectLst/>
          </c:spPr>
          <c:dLbls>
            <c:dLbl>
              <c:idx val="0"/>
              <c:delete val="1"/>
              <c:extLst>
                <c:ext xmlns:c15="http://schemas.microsoft.com/office/drawing/2012/chart" uri="{CE6537A1-D6FC-4f65-9D91-7224C49458BB}"/>
                <c:ext xmlns:c16="http://schemas.microsoft.com/office/drawing/2014/chart" uri="{C3380CC4-5D6E-409C-BE32-E72D297353CC}">
                  <c16:uniqueId val="{00000004-8BEF-4689-928F-EAC0F76EF4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'Transports-Emissions'!$AK$30:$BO$30</c:f>
              <c:numCache>
                <c:formatCode>0.0</c:formatCode>
                <c:ptCount val="31"/>
                <c:pt idx="0">
                  <c:v>0.12799061778070339</c:v>
                </c:pt>
                <c:pt idx="1">
                  <c:v>0.14138979078191866</c:v>
                </c:pt>
                <c:pt idx="2">
                  <c:v>0.14810537454562533</c:v>
                </c:pt>
                <c:pt idx="3">
                  <c:v>9.5603221519853163E-2</c:v>
                </c:pt>
                <c:pt idx="4">
                  <c:v>9.7213287850946462E-2</c:v>
                </c:pt>
                <c:pt idx="5">
                  <c:v>9.6482312857441382E-2</c:v>
                </c:pt>
                <c:pt idx="6">
                  <c:v>9.8253348500773524E-2</c:v>
                </c:pt>
                <c:pt idx="7">
                  <c:v>9.4155928665758018E-2</c:v>
                </c:pt>
                <c:pt idx="8">
                  <c:v>0.10347695685609357</c:v>
                </c:pt>
                <c:pt idx="9">
                  <c:v>0.12255804906205411</c:v>
                </c:pt>
                <c:pt idx="10">
                  <c:v>0.12312060970495779</c:v>
                </c:pt>
                <c:pt idx="11">
                  <c:v>0.10647211312871102</c:v>
                </c:pt>
                <c:pt idx="12">
                  <c:v>0.11516307796408815</c:v>
                </c:pt>
                <c:pt idx="13">
                  <c:v>0.11829156667839651</c:v>
                </c:pt>
                <c:pt idx="14">
                  <c:v>0.12206307127728634</c:v>
                </c:pt>
                <c:pt idx="15">
                  <c:v>0.13563015765638589</c:v>
                </c:pt>
                <c:pt idx="16">
                  <c:v>0.13538635069904886</c:v>
                </c:pt>
                <c:pt idx="17">
                  <c:v>0.12723435714356718</c:v>
                </c:pt>
                <c:pt idx="18">
                  <c:v>0.12973775316396144</c:v>
                </c:pt>
                <c:pt idx="19">
                  <c:v>0.13825392512863782</c:v>
                </c:pt>
                <c:pt idx="20">
                  <c:v>0.14459568483608412</c:v>
                </c:pt>
                <c:pt idx="21">
                  <c:v>0.14102458849439484</c:v>
                </c:pt>
                <c:pt idx="22">
                  <c:v>0.13296503542445592</c:v>
                </c:pt>
                <c:pt idx="23">
                  <c:v>0.13274793776948368</c:v>
                </c:pt>
                <c:pt idx="24">
                  <c:v>0.12759248703434203</c:v>
                </c:pt>
                <c:pt idx="25">
                  <c:v>0.12185652311160132</c:v>
                </c:pt>
                <c:pt idx="26">
                  <c:v>0.1099867250264244</c:v>
                </c:pt>
                <c:pt idx="27">
                  <c:v>0.10387795313554821</c:v>
                </c:pt>
                <c:pt idx="28">
                  <c:v>0.11006022264678669</c:v>
                </c:pt>
                <c:pt idx="29">
                  <c:v>0.11402701648773479</c:v>
                </c:pt>
                <c:pt idx="30">
                  <c:v>0.12265875406260562</c:v>
                </c:pt>
              </c:numCache>
            </c:numRef>
          </c:val>
          <c:extLst>
            <c:ext xmlns:c16="http://schemas.microsoft.com/office/drawing/2014/chart" uri="{C3380CC4-5D6E-409C-BE32-E72D297353CC}">
              <c16:uniqueId val="{00000005-8BEF-4689-928F-EAC0F76EF444}"/>
            </c:ext>
          </c:extLst>
        </c:ser>
        <c:ser>
          <c:idx val="3"/>
          <c:order val="3"/>
          <c:tx>
            <c:strRef>
              <c:f>'Transports-Emissions'!$E$31</c:f>
              <c:strCache>
                <c:ptCount val="1"/>
                <c:pt idx="0">
                  <c:v>Transport maritime domestique</c:v>
                </c:pt>
              </c:strCache>
            </c:strRef>
          </c:tx>
          <c:spPr>
            <a:solidFill>
              <a:srgbClr val="A99BB5"/>
            </a:solidFill>
            <a:ln w="3175">
              <a:solidFill>
                <a:schemeClr val="bg1"/>
              </a:solidFill>
            </a:ln>
            <a:effectLst/>
          </c:spPr>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'Transports-Emissions'!$AK$31:$BO$31</c:f>
              <c:numCache>
                <c:formatCode>0.0</c:formatCode>
                <c:ptCount val="31"/>
                <c:pt idx="0">
                  <c:v>1.7219927695284267</c:v>
                </c:pt>
                <c:pt idx="1">
                  <c:v>1.8785735917402833</c:v>
                </c:pt>
                <c:pt idx="2">
                  <c:v>1.7130328612721926</c:v>
                </c:pt>
                <c:pt idx="3">
                  <c:v>1.9166492240065403</c:v>
                </c:pt>
                <c:pt idx="4">
                  <c:v>1.8257353968533625</c:v>
                </c:pt>
                <c:pt idx="5">
                  <c:v>1.7704089950375077</c:v>
                </c:pt>
                <c:pt idx="6">
                  <c:v>1.7347104466287242</c:v>
                </c:pt>
                <c:pt idx="7">
                  <c:v>1.7688786855797587</c:v>
                </c:pt>
                <c:pt idx="8">
                  <c:v>1.8035115333717424</c:v>
                </c:pt>
                <c:pt idx="9">
                  <c:v>1.9247002815704715</c:v>
                </c:pt>
                <c:pt idx="10">
                  <c:v>1.8620462321157536</c:v>
                </c:pt>
                <c:pt idx="11">
                  <c:v>1.9906375808624688</c:v>
                </c:pt>
                <c:pt idx="12">
                  <c:v>1.9653609256851321</c:v>
                </c:pt>
                <c:pt idx="13">
                  <c:v>2.0158543390334041</c:v>
                </c:pt>
                <c:pt idx="14">
                  <c:v>1.8721115600576461</c:v>
                </c:pt>
                <c:pt idx="15">
                  <c:v>1.8420668656624164</c:v>
                </c:pt>
                <c:pt idx="16">
                  <c:v>1.7161831479233314</c:v>
                </c:pt>
                <c:pt idx="17">
                  <c:v>1.6570848677760899</c:v>
                </c:pt>
                <c:pt idx="18">
                  <c:v>1.5938602340258614</c:v>
                </c:pt>
                <c:pt idx="19">
                  <c:v>1.6347779787714862</c:v>
                </c:pt>
                <c:pt idx="20">
                  <c:v>1.5969921892203198</c:v>
                </c:pt>
                <c:pt idx="21">
                  <c:v>1.6702985998416213</c:v>
                </c:pt>
                <c:pt idx="22">
                  <c:v>1.6838057462333829</c:v>
                </c:pt>
                <c:pt idx="23">
                  <c:v>1.5524856209280951</c:v>
                </c:pt>
                <c:pt idx="24">
                  <c:v>1.5440458276906455</c:v>
                </c:pt>
                <c:pt idx="25">
                  <c:v>1.5435550623095435</c:v>
                </c:pt>
                <c:pt idx="26">
                  <c:v>1.4952533892884274</c:v>
                </c:pt>
                <c:pt idx="27">
                  <c:v>1.6438880729238061</c:v>
                </c:pt>
                <c:pt idx="28">
                  <c:v>1.5902744439908127</c:v>
                </c:pt>
                <c:pt idx="29">
                  <c:v>1.5959299037296057</c:v>
                </c:pt>
                <c:pt idx="30">
                  <c:v>1.6017840310111553</c:v>
                </c:pt>
              </c:numCache>
            </c:numRef>
          </c:val>
          <c:extLst>
            <c:ext xmlns:c16="http://schemas.microsoft.com/office/drawing/2014/chart" uri="{C3380CC4-5D6E-409C-BE32-E72D297353CC}">
              <c16:uniqueId val="{00000006-8BEF-4689-928F-EAC0F76EF444}"/>
            </c:ext>
          </c:extLst>
        </c:ser>
        <c:ser>
          <c:idx val="4"/>
          <c:order val="4"/>
          <c:tx>
            <c:strRef>
              <c:f>'Transports-Emissions'!$E$32</c:f>
              <c:strCache>
                <c:ptCount val="1"/>
                <c:pt idx="0">
                  <c:v>Transport autres navigations</c:v>
                </c:pt>
              </c:strCache>
            </c:strRef>
          </c:tx>
          <c:spPr>
            <a:solidFill>
              <a:srgbClr val="C8C0D4"/>
            </a:solidFill>
            <a:ln w="3175">
              <a:solidFill>
                <a:schemeClr val="bg1"/>
              </a:solidFill>
            </a:ln>
            <a:effectLst/>
          </c:spPr>
          <c:dLbls>
            <c:dLbl>
              <c:idx val="0"/>
              <c:delete val="1"/>
              <c:extLst>
                <c:ext xmlns:c15="http://schemas.microsoft.com/office/drawing/2012/chart" uri="{CE6537A1-D6FC-4f65-9D91-7224C49458BB}"/>
                <c:ext xmlns:c16="http://schemas.microsoft.com/office/drawing/2014/chart" uri="{C3380CC4-5D6E-409C-BE32-E72D297353CC}">
                  <c16:uniqueId val="{00000007-8BEF-4689-928F-EAC0F76EF4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'Transports-Emissions'!$AK$32:$BO$32</c:f>
              <c:numCache>
                <c:formatCode>0.0</c:formatCode>
                <c:ptCount val="31"/>
                <c:pt idx="0">
                  <c:v>0.66441307362513269</c:v>
                </c:pt>
                <c:pt idx="1">
                  <c:v>0.68346676879902923</c:v>
                </c:pt>
                <c:pt idx="2">
                  <c:v>0.70293164595456503</c:v>
                </c:pt>
                <c:pt idx="3">
                  <c:v>0.73593500523056976</c:v>
                </c:pt>
                <c:pt idx="4">
                  <c:v>0.75153999868453036</c:v>
                </c:pt>
                <c:pt idx="5">
                  <c:v>0.78924193704465029</c:v>
                </c:pt>
                <c:pt idx="6">
                  <c:v>0.80855875999235061</c:v>
                </c:pt>
                <c:pt idx="7">
                  <c:v>0.83158053026023204</c:v>
                </c:pt>
                <c:pt idx="8">
                  <c:v>0.88734893718868935</c:v>
                </c:pt>
                <c:pt idx="9">
                  <c:v>0.90887602505536458</c:v>
                </c:pt>
                <c:pt idx="10">
                  <c:v>0.84530524436546417</c:v>
                </c:pt>
                <c:pt idx="11">
                  <c:v>0.90524340015998039</c:v>
                </c:pt>
                <c:pt idx="12">
                  <c:v>0.97138863477023374</c:v>
                </c:pt>
                <c:pt idx="13">
                  <c:v>0.98735444578992948</c:v>
                </c:pt>
                <c:pt idx="14">
                  <c:v>1.0103251357998344</c:v>
                </c:pt>
                <c:pt idx="15">
                  <c:v>0.95995799733448572</c:v>
                </c:pt>
                <c:pt idx="16">
                  <c:v>0.95493770097601449</c:v>
                </c:pt>
                <c:pt idx="17">
                  <c:v>0.97161091928139487</c:v>
                </c:pt>
                <c:pt idx="18">
                  <c:v>0.93959189975077317</c:v>
                </c:pt>
                <c:pt idx="19">
                  <c:v>0.9549430205723809</c:v>
                </c:pt>
                <c:pt idx="20">
                  <c:v>0.96627730987241955</c:v>
                </c:pt>
                <c:pt idx="21">
                  <c:v>0.95383120182735937</c:v>
                </c:pt>
                <c:pt idx="22">
                  <c:v>1.0093614294381805</c:v>
                </c:pt>
                <c:pt idx="23">
                  <c:v>1.0174685264266259</c:v>
                </c:pt>
                <c:pt idx="24">
                  <c:v>1.0215413655836059</c:v>
                </c:pt>
                <c:pt idx="25">
                  <c:v>1.023629044399029</c:v>
                </c:pt>
                <c:pt idx="26">
                  <c:v>1.0309851398105714</c:v>
                </c:pt>
                <c:pt idx="27">
                  <c:v>1.0297798161575751</c:v>
                </c:pt>
                <c:pt idx="28">
                  <c:v>1.0309159230898379</c:v>
                </c:pt>
                <c:pt idx="29">
                  <c:v>1.0440292315086996</c:v>
                </c:pt>
                <c:pt idx="30">
                  <c:v>1.033573092036002</c:v>
                </c:pt>
              </c:numCache>
            </c:numRef>
          </c:val>
          <c:extLst>
            <c:ext xmlns:c16="http://schemas.microsoft.com/office/drawing/2014/chart" uri="{C3380CC4-5D6E-409C-BE32-E72D297353CC}">
              <c16:uniqueId val="{00000008-8BEF-4689-928F-EAC0F76EF444}"/>
            </c:ext>
          </c:extLst>
        </c:ser>
        <c:ser>
          <c:idx val="5"/>
          <c:order val="5"/>
          <c:tx>
            <c:strRef>
              <c:f>'Transports-Emissions'!$E$33</c:f>
              <c:strCache>
                <c:ptCount val="1"/>
                <c:pt idx="0">
                  <c:v>Transport aérien français</c:v>
                </c:pt>
              </c:strCache>
            </c:strRef>
          </c:tx>
          <c:spPr>
            <a:solidFill>
              <a:srgbClr val="E5E1EB"/>
            </a:solidFill>
            <a:ln w="3175">
              <a:solidFill>
                <a:schemeClr val="bg1"/>
              </a:solidFill>
            </a:ln>
            <a:effectLst/>
          </c:spPr>
          <c:dLbls>
            <c:dLbl>
              <c:idx val="0"/>
              <c:layout>
                <c:manualLayout>
                  <c:x val="1.175925925925926E-3"/>
                  <c:y val="-5.2916666666666667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extLst>
                <c:ext xmlns:c15="http://schemas.microsoft.com/office/drawing/2012/chart" uri="{CE6537A1-D6FC-4f65-9D91-7224C49458BB}">
                  <c15:layout>
                    <c:manualLayout>
                      <c:w val="0.25330611111111112"/>
                      <c:h val="9.3586904761904774E-2"/>
                    </c:manualLayout>
                  </c15:layout>
                </c:ext>
                <c:ext xmlns:c16="http://schemas.microsoft.com/office/drawing/2014/chart" uri="{C3380CC4-5D6E-409C-BE32-E72D297353CC}">
                  <c16:uniqueId val="{00000009-8BEF-4689-928F-EAC0F76EF4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'Transports-Emissions'!$AK$33:$BO$33</c:f>
              <c:numCache>
                <c:formatCode>0.0</c:formatCode>
                <c:ptCount val="31"/>
                <c:pt idx="0">
                  <c:v>4.1694599588445849</c:v>
                </c:pt>
                <c:pt idx="1">
                  <c:v>4.2683829125085211</c:v>
                </c:pt>
                <c:pt idx="2">
                  <c:v>4.2132425606059112</c:v>
                </c:pt>
                <c:pt idx="3">
                  <c:v>4.2033736197495291</c:v>
                </c:pt>
                <c:pt idx="4">
                  <c:v>4.3822494603463404</c:v>
                </c:pt>
                <c:pt idx="5">
                  <c:v>5.0084564544461525</c:v>
                </c:pt>
                <c:pt idx="6">
                  <c:v>5.5586317667529199</c:v>
                </c:pt>
                <c:pt idx="7">
                  <c:v>5.6976697916181989</c:v>
                </c:pt>
                <c:pt idx="8">
                  <c:v>5.8849711272145298</c:v>
                </c:pt>
                <c:pt idx="9">
                  <c:v>6.0431522902653532</c:v>
                </c:pt>
                <c:pt idx="10">
                  <c:v>6.2123774814447499</c:v>
                </c:pt>
                <c:pt idx="11">
                  <c:v>5.8387300047453339</c:v>
                </c:pt>
                <c:pt idx="12">
                  <c:v>5.6429390300861018</c:v>
                </c:pt>
                <c:pt idx="13">
                  <c:v>5.1272296903770984</c:v>
                </c:pt>
                <c:pt idx="14">
                  <c:v>5.1816131664216227</c:v>
                </c:pt>
                <c:pt idx="15">
                  <c:v>5.0074987021151047</c:v>
                </c:pt>
                <c:pt idx="16">
                  <c:v>4.7731919824529276</c:v>
                </c:pt>
                <c:pt idx="17">
                  <c:v>4.6938539904966365</c:v>
                </c:pt>
                <c:pt idx="18">
                  <c:v>4.7133576721881782</c:v>
                </c:pt>
                <c:pt idx="19">
                  <c:v>4.6540351362164198</c:v>
                </c:pt>
                <c:pt idx="20">
                  <c:v>4.6018828730134729</c:v>
                </c:pt>
                <c:pt idx="21">
                  <c:v>4.649542562421467</c:v>
                </c:pt>
                <c:pt idx="22">
                  <c:v>4.6716281651237894</c:v>
                </c:pt>
                <c:pt idx="23">
                  <c:v>4.6069214453749252</c:v>
                </c:pt>
                <c:pt idx="24">
                  <c:v>4.4240526689567181</c:v>
                </c:pt>
                <c:pt idx="25">
                  <c:v>4.4140582224606559</c:v>
                </c:pt>
                <c:pt idx="26">
                  <c:v>4.5573531967203245</c:v>
                </c:pt>
                <c:pt idx="27">
                  <c:v>4.7103036543468493</c:v>
                </c:pt>
                <c:pt idx="28">
                  <c:v>4.9483897353031709</c:v>
                </c:pt>
                <c:pt idx="29">
                  <c:v>5.0222004091614414</c:v>
                </c:pt>
                <c:pt idx="30">
                  <c:v>3.076572295491967</c:v>
                </c:pt>
              </c:numCache>
            </c:numRef>
          </c:val>
          <c:extLst>
            <c:ext xmlns:c16="http://schemas.microsoft.com/office/drawing/2014/chart" uri="{C3380CC4-5D6E-409C-BE32-E72D297353CC}">
              <c16:uniqueId val="{0000000A-8BEF-4689-928F-EAC0F76EF444}"/>
            </c:ext>
          </c:extLst>
        </c:ser>
        <c:dLbls>
          <c:showLegendKey val="0"/>
          <c:showVal val="0"/>
          <c:showCatName val="0"/>
          <c:showSerName val="0"/>
          <c:showPercent val="0"/>
          <c:showBubbleSize val="0"/>
        </c:dLbls>
        <c:axId val="1265678520"/>
        <c:axId val="1265682456"/>
      </c:areaChart>
      <c:catAx>
        <c:axId val="1265678520"/>
        <c:scaling>
          <c:orientation val="minMax"/>
        </c:scaling>
        <c:delete val="0"/>
        <c:axPos val="b"/>
        <c:numFmt formatCode="General" sourceLinked="1"/>
        <c:majorTickMark val="out"/>
        <c:minorTickMark val="none"/>
        <c:tickLblPos val="nextTo"/>
        <c:spPr>
          <a:noFill/>
          <a:ln w="9525" cap="flat" cmpd="sng" algn="ctr">
            <a:solidFill>
              <a:schemeClr val="bg1">
                <a:lumMod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265682456"/>
        <c:crosses val="autoZero"/>
        <c:auto val="1"/>
        <c:lblAlgn val="ctr"/>
        <c:lblOffset val="100"/>
        <c:noMultiLvlLbl val="0"/>
      </c:catAx>
      <c:valAx>
        <c:axId val="1265682456"/>
        <c:scaling>
          <c:orientation val="minMax"/>
          <c:min val="0"/>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rebuchet MS" panose="020B0603020202020204" pitchFamily="34" charset="0"/>
                    <a:ea typeface="+mn-ea"/>
                    <a:cs typeface="+mn-cs"/>
                  </a:defRPr>
                </a:pPr>
                <a:r>
                  <a:rPr lang="en-GB" sz="800" b="0" i="0">
                    <a:effectLst/>
                  </a:rPr>
                  <a:t>million tonnes of CO</a:t>
                </a:r>
                <a:r>
                  <a:rPr lang="en-GB" sz="800" b="0" i="0" baseline="-25000">
                    <a:effectLst/>
                  </a:rPr>
                  <a:t>2</a:t>
                </a:r>
                <a:r>
                  <a:rPr lang="en-GB" sz="800" b="0" i="0">
                    <a:effectLst/>
                  </a:rPr>
                  <a:t> equivalent</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title>
        <c:numFmt formatCode="General" sourceLinked="0"/>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265678520"/>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rebuchet MS" panose="020B0603020202020204" pitchFamily="34" charset="0"/>
        </a:defRPr>
      </a:pPr>
      <a:endParaRPr lang="en-US"/>
    </a:p>
  </c:txPr>
  <c:externalData r:id="rId4">
    <c:autoUpdate val="0"/>
  </c:externalData>
  <c:userShapes r:id="rId5"/>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645716108873306E-3"/>
          <c:y val="1.7766558403618932E-2"/>
          <c:w val="0.8307733389745573"/>
          <c:h val="0.79775192768519299"/>
        </c:manualLayout>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9B81-4DED-8724-7A5D182DF4CA}"/>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9B81-4DED-8724-7A5D182DF4CA}"/>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9B81-4DED-8724-7A5D182DF4CA}"/>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9B81-4DED-8724-7A5D182DF4CA}"/>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9B81-4DED-8724-7A5D182DF4CA}"/>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9B81-4DED-8724-7A5D182DF4CA}"/>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9B81-4DED-8724-7A5D182DF4CA}"/>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F-9B81-4DED-8724-7A5D182DF4CA}"/>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1-9B81-4DED-8724-7A5D182DF4CA}"/>
              </c:ext>
            </c:extLst>
          </c:dPt>
          <c:dLbls>
            <c:dLbl>
              <c:idx val="2"/>
              <c:layout>
                <c:manualLayout>
                  <c:x val="-0.2005399133509668"/>
                  <c:y val="-5.7551803761226095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9B81-4DED-8724-7A5D182DF4CA}"/>
                </c:ext>
              </c:extLst>
            </c:dLbl>
            <c:dLbl>
              <c:idx val="3"/>
              <c:layout>
                <c:manualLayout>
                  <c:x val="7.8504509222187185E-2"/>
                  <c:y val="-0.17386351812752424"/>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9B81-4DED-8724-7A5D182DF4CA}"/>
                </c:ext>
              </c:extLst>
            </c:dLbl>
            <c:dLbl>
              <c:idx val="4"/>
              <c:layout>
                <c:manualLayout>
                  <c:x val="0.1604866942832322"/>
                  <c:y val="-6.3068641120002378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9B81-4DED-8724-7A5D182DF4CA}"/>
                </c:ext>
              </c:extLst>
            </c:dLbl>
            <c:dLbl>
              <c:idx val="8"/>
              <c:layout>
                <c:manualLayout>
                  <c:x val="-0.2438952535689701"/>
                  <c:y val="9.6673832623940914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1-9B81-4DED-8724-7A5D182DF4C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CO2e!$B$39:$B$47</c:f>
              <c:strCache>
                <c:ptCount val="9"/>
                <c:pt idx="0">
                  <c:v>VP</c:v>
                </c:pt>
                <c:pt idx="1">
                  <c:v>VUL</c:v>
                </c:pt>
                <c:pt idx="2">
                  <c:v>PL (y.c. bus et cars)</c:v>
                </c:pt>
                <c:pt idx="3">
                  <c:v>Deux roues</c:v>
                </c:pt>
                <c:pt idx="4">
                  <c:v>Transport ferroviaire</c:v>
                </c:pt>
                <c:pt idx="5">
                  <c:v>Transport fluvial de marchandises</c:v>
                </c:pt>
                <c:pt idx="6">
                  <c:v>Transport maritime domestique</c:v>
                </c:pt>
                <c:pt idx="7">
                  <c:v>Transport autres navigations</c:v>
                </c:pt>
                <c:pt idx="8">
                  <c:v>Transport aérien français</c:v>
                </c:pt>
              </c:strCache>
            </c:strRef>
          </c:cat>
          <c:val>
            <c:numRef>
              <c:f>CO2e!$AG$39:$AG$47</c:f>
              <c:numCache>
                <c:formatCode>0.0</c:formatCode>
                <c:ptCount val="9"/>
                <c:pt idx="0">
                  <c:v>58.729197275689558</c:v>
                </c:pt>
                <c:pt idx="1">
                  <c:v>16.583170715624043</c:v>
                </c:pt>
                <c:pt idx="2">
                  <c:v>30.404037919339892</c:v>
                </c:pt>
                <c:pt idx="3">
                  <c:v>1.1683044005337553</c:v>
                </c:pt>
                <c:pt idx="4">
                  <c:v>0.3572940947048836</c:v>
                </c:pt>
                <c:pt idx="5">
                  <c:v>0.12265875406260562</c:v>
                </c:pt>
                <c:pt idx="6">
                  <c:v>1.6017840310111553</c:v>
                </c:pt>
                <c:pt idx="7">
                  <c:v>1.033573092036002</c:v>
                </c:pt>
                <c:pt idx="8">
                  <c:v>3.076572295491967</c:v>
                </c:pt>
              </c:numCache>
            </c:numRef>
          </c:val>
          <c:extLst>
            <c:ext xmlns:c16="http://schemas.microsoft.com/office/drawing/2014/chart" uri="{C3380CC4-5D6E-409C-BE32-E72D297353CC}">
              <c16:uniqueId val="{00000012-9B81-4DED-8724-7A5D182DF4CA}"/>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CO2e!$B$43</c:f>
              <c:strCache>
                <c:ptCount val="1"/>
                <c:pt idx="0">
                  <c:v>Transport ferroviaire</c:v>
                </c:pt>
              </c:strCache>
            </c:strRef>
          </c:tx>
          <c:spPr>
            <a:ln w="28575" cap="rnd">
              <a:solidFill>
                <a:schemeClr val="accent1"/>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CO2e!$C$43:$AG$43</c:f>
              <c:numCache>
                <c:formatCode>0.0</c:formatCode>
                <c:ptCount val="19"/>
                <c:pt idx="0">
                  <c:v>1.0949178027572364</c:v>
                </c:pt>
                <c:pt idx="1">
                  <c:v>0.82908701283408659</c:v>
                </c:pt>
                <c:pt idx="2">
                  <c:v>0.78300785036495568</c:v>
                </c:pt>
                <c:pt idx="3">
                  <c:v>0.67374758465297457</c:v>
                </c:pt>
                <c:pt idx="4">
                  <c:v>0.65270893046450895</c:v>
                </c:pt>
                <c:pt idx="5">
                  <c:v>0.61806526335248779</c:v>
                </c:pt>
                <c:pt idx="6">
                  <c:v>0.62914652913054503</c:v>
                </c:pt>
                <c:pt idx="7">
                  <c:v>0.57848682860765654</c:v>
                </c:pt>
                <c:pt idx="8">
                  <c:v>0.5538338110140828</c:v>
                </c:pt>
                <c:pt idx="9">
                  <c:v>0.56752972037661453</c:v>
                </c:pt>
                <c:pt idx="10">
                  <c:v>0.55650876144795292</c:v>
                </c:pt>
                <c:pt idx="11">
                  <c:v>0.55209867414804759</c:v>
                </c:pt>
                <c:pt idx="12">
                  <c:v>0.47647068969781875</c:v>
                </c:pt>
                <c:pt idx="13">
                  <c:v>0.47237576079572774</c:v>
                </c:pt>
                <c:pt idx="14">
                  <c:v>0.44673511397698018</c:v>
                </c:pt>
                <c:pt idx="15">
                  <c:v>0.4678076109847954</c:v>
                </c:pt>
                <c:pt idx="16">
                  <c:v>0.42107830222791115</c:v>
                </c:pt>
                <c:pt idx="17">
                  <c:v>0.41946079465007874</c:v>
                </c:pt>
                <c:pt idx="18">
                  <c:v>0.3572940947048836</c:v>
                </c:pt>
              </c:numCache>
            </c:numRef>
          </c:val>
          <c:smooth val="0"/>
          <c:extLst>
            <c:ext xmlns:c16="http://schemas.microsoft.com/office/drawing/2014/chart" uri="{C3380CC4-5D6E-409C-BE32-E72D297353CC}">
              <c16:uniqueId val="{00000000-4B28-407A-B187-00098A5942C4}"/>
            </c:ext>
          </c:extLst>
        </c:ser>
        <c:ser>
          <c:idx val="1"/>
          <c:order val="1"/>
          <c:tx>
            <c:strRef>
              <c:f>CO2e!$B$44</c:f>
              <c:strCache>
                <c:ptCount val="1"/>
                <c:pt idx="0">
                  <c:v>Transport fluvial de marchandises</c:v>
                </c:pt>
              </c:strCache>
            </c:strRef>
          </c:tx>
          <c:spPr>
            <a:ln w="28575" cap="rnd">
              <a:solidFill>
                <a:schemeClr val="accent2"/>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CO2e!$C$44:$AG$44</c:f>
              <c:numCache>
                <c:formatCode>0.0</c:formatCode>
                <c:ptCount val="19"/>
                <c:pt idx="0">
                  <c:v>0.12799061778070339</c:v>
                </c:pt>
                <c:pt idx="1">
                  <c:v>9.6482312857441382E-2</c:v>
                </c:pt>
                <c:pt idx="2">
                  <c:v>0.12312060970495779</c:v>
                </c:pt>
                <c:pt idx="3">
                  <c:v>0.13563015765638589</c:v>
                </c:pt>
                <c:pt idx="4">
                  <c:v>0.13538635069904886</c:v>
                </c:pt>
                <c:pt idx="5">
                  <c:v>0.12723435714356718</c:v>
                </c:pt>
                <c:pt idx="6">
                  <c:v>0.12973775316396144</c:v>
                </c:pt>
                <c:pt idx="7">
                  <c:v>0.13825392512863782</c:v>
                </c:pt>
                <c:pt idx="8">
                  <c:v>0.14459568483608412</c:v>
                </c:pt>
                <c:pt idx="9">
                  <c:v>0.14102458849439484</c:v>
                </c:pt>
                <c:pt idx="10">
                  <c:v>0.13296503542445592</c:v>
                </c:pt>
                <c:pt idx="11">
                  <c:v>0.13274793776948368</c:v>
                </c:pt>
                <c:pt idx="12">
                  <c:v>0.12759248703434203</c:v>
                </c:pt>
                <c:pt idx="13">
                  <c:v>0.12185652311160132</c:v>
                </c:pt>
                <c:pt idx="14">
                  <c:v>0.1099867250264244</c:v>
                </c:pt>
                <c:pt idx="15">
                  <c:v>0.10387795313554821</c:v>
                </c:pt>
                <c:pt idx="16">
                  <c:v>0.11006022264678669</c:v>
                </c:pt>
                <c:pt idx="17">
                  <c:v>0.11402701648773479</c:v>
                </c:pt>
                <c:pt idx="18">
                  <c:v>0.12265875406260562</c:v>
                </c:pt>
              </c:numCache>
            </c:numRef>
          </c:val>
          <c:smooth val="0"/>
          <c:extLst>
            <c:ext xmlns:c16="http://schemas.microsoft.com/office/drawing/2014/chart" uri="{C3380CC4-5D6E-409C-BE32-E72D297353CC}">
              <c16:uniqueId val="{00000001-4B28-407A-B187-00098A5942C4}"/>
            </c:ext>
          </c:extLst>
        </c:ser>
        <c:ser>
          <c:idx val="2"/>
          <c:order val="2"/>
          <c:tx>
            <c:strRef>
              <c:f>CO2e!$B$45</c:f>
              <c:strCache>
                <c:ptCount val="1"/>
                <c:pt idx="0">
                  <c:v>Transport maritime domestique</c:v>
                </c:pt>
              </c:strCache>
            </c:strRef>
          </c:tx>
          <c:spPr>
            <a:ln w="28575" cap="rnd">
              <a:solidFill>
                <a:schemeClr val="accent3"/>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CO2e!$C$45:$AG$45</c:f>
              <c:numCache>
                <c:formatCode>0.0</c:formatCode>
                <c:ptCount val="19"/>
                <c:pt idx="0">
                  <c:v>1.7219927695284267</c:v>
                </c:pt>
                <c:pt idx="1">
                  <c:v>1.7704089950375077</c:v>
                </c:pt>
                <c:pt idx="2">
                  <c:v>1.8620462321157536</c:v>
                </c:pt>
                <c:pt idx="3">
                  <c:v>1.8420668656624164</c:v>
                </c:pt>
                <c:pt idx="4">
                  <c:v>1.7161831479233314</c:v>
                </c:pt>
                <c:pt idx="5">
                  <c:v>1.6570848677760899</c:v>
                </c:pt>
                <c:pt idx="6">
                  <c:v>1.5938602340258614</c:v>
                </c:pt>
                <c:pt idx="7">
                  <c:v>1.6347779787714862</c:v>
                </c:pt>
                <c:pt idx="8">
                  <c:v>1.5969921892203198</c:v>
                </c:pt>
                <c:pt idx="9">
                  <c:v>1.6702985998416213</c:v>
                </c:pt>
                <c:pt idx="10">
                  <c:v>1.6838057462333829</c:v>
                </c:pt>
                <c:pt idx="11">
                  <c:v>1.5524856209280951</c:v>
                </c:pt>
                <c:pt idx="12">
                  <c:v>1.5440458276906455</c:v>
                </c:pt>
                <c:pt idx="13">
                  <c:v>1.5435550623095435</c:v>
                </c:pt>
                <c:pt idx="14">
                  <c:v>1.4952533892884274</c:v>
                </c:pt>
                <c:pt idx="15">
                  <c:v>1.6438880729238061</c:v>
                </c:pt>
                <c:pt idx="16">
                  <c:v>1.5902744439908127</c:v>
                </c:pt>
                <c:pt idx="17">
                  <c:v>1.5959299037296057</c:v>
                </c:pt>
                <c:pt idx="18">
                  <c:v>1.6017840310111553</c:v>
                </c:pt>
              </c:numCache>
            </c:numRef>
          </c:val>
          <c:smooth val="0"/>
          <c:extLst>
            <c:ext xmlns:c16="http://schemas.microsoft.com/office/drawing/2014/chart" uri="{C3380CC4-5D6E-409C-BE32-E72D297353CC}">
              <c16:uniqueId val="{00000002-4B28-407A-B187-00098A5942C4}"/>
            </c:ext>
          </c:extLst>
        </c:ser>
        <c:ser>
          <c:idx val="3"/>
          <c:order val="3"/>
          <c:tx>
            <c:strRef>
              <c:f>CO2e!$B$46</c:f>
              <c:strCache>
                <c:ptCount val="1"/>
                <c:pt idx="0">
                  <c:v>Transport autres navigations</c:v>
                </c:pt>
              </c:strCache>
            </c:strRef>
          </c:tx>
          <c:spPr>
            <a:ln w="28575" cap="rnd">
              <a:solidFill>
                <a:schemeClr val="accent4"/>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CO2e!$C$46:$AG$46</c:f>
              <c:numCache>
                <c:formatCode>0.0</c:formatCode>
                <c:ptCount val="19"/>
                <c:pt idx="0">
                  <c:v>0.66441307362513269</c:v>
                </c:pt>
                <c:pt idx="1">
                  <c:v>0.78924193704465029</c:v>
                </c:pt>
                <c:pt idx="2">
                  <c:v>0.84530524436546417</c:v>
                </c:pt>
                <c:pt idx="3">
                  <c:v>0.95995799733448572</c:v>
                </c:pt>
                <c:pt idx="4">
                  <c:v>0.95493770097601449</c:v>
                </c:pt>
                <c:pt idx="5">
                  <c:v>0.97161091928139487</c:v>
                </c:pt>
                <c:pt idx="6">
                  <c:v>0.93959189975077317</c:v>
                </c:pt>
                <c:pt idx="7">
                  <c:v>0.9549430205723809</c:v>
                </c:pt>
                <c:pt idx="8">
                  <c:v>0.96627730987241955</c:v>
                </c:pt>
                <c:pt idx="9">
                  <c:v>0.95383120182735937</c:v>
                </c:pt>
                <c:pt idx="10">
                  <c:v>1.0093614294381805</c:v>
                </c:pt>
                <c:pt idx="11">
                  <c:v>1.0174685264266259</c:v>
                </c:pt>
                <c:pt idx="12">
                  <c:v>1.0215413655836059</c:v>
                </c:pt>
                <c:pt idx="13">
                  <c:v>1.023629044399029</c:v>
                </c:pt>
                <c:pt idx="14">
                  <c:v>1.0309851398105714</c:v>
                </c:pt>
                <c:pt idx="15">
                  <c:v>1.0297798161575751</c:v>
                </c:pt>
                <c:pt idx="16">
                  <c:v>1.0309159230898379</c:v>
                </c:pt>
                <c:pt idx="17">
                  <c:v>1.0440292315086996</c:v>
                </c:pt>
                <c:pt idx="18">
                  <c:v>1.033573092036002</c:v>
                </c:pt>
              </c:numCache>
            </c:numRef>
          </c:val>
          <c:smooth val="0"/>
          <c:extLst>
            <c:ext xmlns:c16="http://schemas.microsoft.com/office/drawing/2014/chart" uri="{C3380CC4-5D6E-409C-BE32-E72D297353CC}">
              <c16:uniqueId val="{00000003-4B28-407A-B187-00098A5942C4}"/>
            </c:ext>
          </c:extLst>
        </c:ser>
        <c:ser>
          <c:idx val="4"/>
          <c:order val="4"/>
          <c:tx>
            <c:strRef>
              <c:f>CO2e!$B$47</c:f>
              <c:strCache>
                <c:ptCount val="1"/>
                <c:pt idx="0">
                  <c:v>Transport aérien français</c:v>
                </c:pt>
              </c:strCache>
            </c:strRef>
          </c:tx>
          <c:spPr>
            <a:ln w="28575" cap="rnd">
              <a:solidFill>
                <a:schemeClr val="accent5"/>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CO2e!$C$47:$AG$47</c:f>
              <c:numCache>
                <c:formatCode>0.0</c:formatCode>
                <c:ptCount val="19"/>
                <c:pt idx="0">
                  <c:v>4.1694599588445849</c:v>
                </c:pt>
                <c:pt idx="1">
                  <c:v>5.0084564544461525</c:v>
                </c:pt>
                <c:pt idx="2">
                  <c:v>6.2123774814447499</c:v>
                </c:pt>
                <c:pt idx="3">
                  <c:v>5.0074987021151047</c:v>
                </c:pt>
                <c:pt idx="4">
                  <c:v>4.7731919824529276</c:v>
                </c:pt>
                <c:pt idx="5">
                  <c:v>4.6938539904966365</c:v>
                </c:pt>
                <c:pt idx="6">
                  <c:v>4.7133576721881782</c:v>
                </c:pt>
                <c:pt idx="7">
                  <c:v>4.6540351362164198</c:v>
                </c:pt>
                <c:pt idx="8">
                  <c:v>4.6018828730134729</c:v>
                </c:pt>
                <c:pt idx="9">
                  <c:v>4.649542562421467</c:v>
                </c:pt>
                <c:pt idx="10">
                  <c:v>4.6716281651237894</c:v>
                </c:pt>
                <c:pt idx="11">
                  <c:v>4.6069214453749252</c:v>
                </c:pt>
                <c:pt idx="12">
                  <c:v>4.4240526689567181</c:v>
                </c:pt>
                <c:pt idx="13">
                  <c:v>4.4140582224606559</c:v>
                </c:pt>
                <c:pt idx="14">
                  <c:v>4.5573531967203245</c:v>
                </c:pt>
                <c:pt idx="15">
                  <c:v>4.7103036543468493</c:v>
                </c:pt>
                <c:pt idx="16">
                  <c:v>4.9483897353031709</c:v>
                </c:pt>
                <c:pt idx="17">
                  <c:v>5.0222004091614414</c:v>
                </c:pt>
                <c:pt idx="18">
                  <c:v>3.076572295491967</c:v>
                </c:pt>
              </c:numCache>
            </c:numRef>
          </c:val>
          <c:smooth val="0"/>
          <c:extLst>
            <c:ext xmlns:c16="http://schemas.microsoft.com/office/drawing/2014/chart" uri="{C3380CC4-5D6E-409C-BE32-E72D297353CC}">
              <c16:uniqueId val="{00000004-4B28-407A-B187-00098A5942C4}"/>
            </c:ext>
          </c:extLst>
        </c:ser>
        <c:dLbls>
          <c:showLegendKey val="0"/>
          <c:showVal val="0"/>
          <c:showCatName val="0"/>
          <c:showSerName val="0"/>
          <c:showPercent val="0"/>
          <c:showBubbleSize val="0"/>
        </c:dLbls>
        <c:smooth val="0"/>
        <c:axId val="1595057632"/>
        <c:axId val="1595058880"/>
      </c:lineChart>
      <c:catAx>
        <c:axId val="159505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5058880"/>
        <c:crosses val="autoZero"/>
        <c:auto val="1"/>
        <c:lblAlgn val="ctr"/>
        <c:lblOffset val="100"/>
        <c:noMultiLvlLbl val="0"/>
      </c:catAx>
      <c:valAx>
        <c:axId val="1595058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MtCO2</a:t>
                </a:r>
                <a:r>
                  <a:rPr lang="en-GB" baseline="-25000"/>
                  <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505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Usage résidentiel</c:v>
          </c:tx>
          <c:spPr>
            <a:ln w="28575" cap="rnd">
              <a:solidFill>
                <a:schemeClr val="accent1"/>
              </a:solidFill>
              <a:round/>
            </a:ln>
            <a:effectLst/>
          </c:spPr>
          <c:marker>
            <c:symbol val="none"/>
          </c:marker>
          <c:cat>
            <c:numRef>
              <c:f>'[Donnees-GES.xlsx]Secteur RT'!$AK$5:$BO$5</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'[Donnees-GES.xlsx]Secteur RT'!$AK$13:$BO$13</c:f>
              <c:numCache>
                <c:formatCode>0.0</c:formatCode>
                <c:ptCount val="31"/>
                <c:pt idx="0">
                  <c:v>61.35139945757394</c:v>
                </c:pt>
                <c:pt idx="1">
                  <c:v>69.009118229717785</c:v>
                </c:pt>
                <c:pt idx="2">
                  <c:v>67.925646089717787</c:v>
                </c:pt>
                <c:pt idx="3">
                  <c:v>66.089694709056829</c:v>
                </c:pt>
                <c:pt idx="4">
                  <c:v>62.31057046806545</c:v>
                </c:pt>
                <c:pt idx="5">
                  <c:v>62.219180189834184</c:v>
                </c:pt>
                <c:pt idx="6">
                  <c:v>68.901038937388435</c:v>
                </c:pt>
                <c:pt idx="7">
                  <c:v>64.939697916248122</c:v>
                </c:pt>
                <c:pt idx="8">
                  <c:v>67.284128221261781</c:v>
                </c:pt>
                <c:pt idx="9">
                  <c:v>68.030120287940363</c:v>
                </c:pt>
                <c:pt idx="10">
                  <c:v>65.950490339329747</c:v>
                </c:pt>
                <c:pt idx="11">
                  <c:v>69.711364027932618</c:v>
                </c:pt>
                <c:pt idx="12">
                  <c:v>66.90307019482016</c:v>
                </c:pt>
                <c:pt idx="13">
                  <c:v>68.216758672090236</c:v>
                </c:pt>
                <c:pt idx="14">
                  <c:v>72.002855154531886</c:v>
                </c:pt>
                <c:pt idx="15">
                  <c:v>71.088784574976373</c:v>
                </c:pt>
                <c:pt idx="16">
                  <c:v>68.310254203749849</c:v>
                </c:pt>
                <c:pt idx="17">
                  <c:v>60.775816706021004</c:v>
                </c:pt>
                <c:pt idx="18">
                  <c:v>65.905769303798024</c:v>
                </c:pt>
                <c:pt idx="19">
                  <c:v>65.498212783156262</c:v>
                </c:pt>
                <c:pt idx="20">
                  <c:v>63.494988401250922</c:v>
                </c:pt>
                <c:pt idx="21">
                  <c:v>56.086460384698341</c:v>
                </c:pt>
                <c:pt idx="22">
                  <c:v>60.528971233854797</c:v>
                </c:pt>
                <c:pt idx="23">
                  <c:v>61.843001052819744</c:v>
                </c:pt>
                <c:pt idx="24">
                  <c:v>49.41408642383837</c:v>
                </c:pt>
                <c:pt idx="25">
                  <c:v>51.593507817839203</c:v>
                </c:pt>
                <c:pt idx="26">
                  <c:v>52.879149810662561</c:v>
                </c:pt>
                <c:pt idx="27">
                  <c:v>51.827432653068719</c:v>
                </c:pt>
                <c:pt idx="28">
                  <c:v>48.165272488356322</c:v>
                </c:pt>
                <c:pt idx="29">
                  <c:v>46.588579741977981</c:v>
                </c:pt>
                <c:pt idx="30">
                  <c:v>44.822878292290277</c:v>
                </c:pt>
              </c:numCache>
            </c:numRef>
          </c:val>
          <c:smooth val="0"/>
          <c:extLst>
            <c:ext xmlns:c16="http://schemas.microsoft.com/office/drawing/2014/chart" uri="{C3380CC4-5D6E-409C-BE32-E72D297353CC}">
              <c16:uniqueId val="{00000000-E13C-4204-8536-FEE3F5EF7D26}"/>
            </c:ext>
          </c:extLst>
        </c:ser>
        <c:ser>
          <c:idx val="1"/>
          <c:order val="1"/>
          <c:tx>
            <c:v>Usage tertiaire</c:v>
          </c:tx>
          <c:spPr>
            <a:ln w="28575" cap="rnd">
              <a:solidFill>
                <a:schemeClr val="accent2"/>
              </a:solidFill>
              <a:round/>
            </a:ln>
            <a:effectLst/>
          </c:spPr>
          <c:marker>
            <c:symbol val="none"/>
          </c:marker>
          <c:cat>
            <c:numRef>
              <c:f>'[Donnees-GES.xlsx]Secteur RT'!$AK$5:$BO$5</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'[Donnees-GES.xlsx]Secteur RT'!$AK$19:$BO$19</c:f>
              <c:numCache>
                <c:formatCode>0.0</c:formatCode>
                <c:ptCount val="31"/>
                <c:pt idx="0">
                  <c:v>31.429846118191257</c:v>
                </c:pt>
                <c:pt idx="1">
                  <c:v>33.36694628776803</c:v>
                </c:pt>
                <c:pt idx="2">
                  <c:v>30.661210118959673</c:v>
                </c:pt>
                <c:pt idx="3">
                  <c:v>28.92935282770495</c:v>
                </c:pt>
                <c:pt idx="4">
                  <c:v>26.331852349082535</c:v>
                </c:pt>
                <c:pt idx="5">
                  <c:v>26.348038074547436</c:v>
                </c:pt>
                <c:pt idx="6">
                  <c:v>29.576332018829159</c:v>
                </c:pt>
                <c:pt idx="7">
                  <c:v>28.68479590207286</c:v>
                </c:pt>
                <c:pt idx="8">
                  <c:v>30.983688691940685</c:v>
                </c:pt>
                <c:pt idx="9">
                  <c:v>31.983474067933336</c:v>
                </c:pt>
                <c:pt idx="10">
                  <c:v>30.404793694535826</c:v>
                </c:pt>
                <c:pt idx="11">
                  <c:v>32.199469296573476</c:v>
                </c:pt>
                <c:pt idx="12">
                  <c:v>30.672564656573414</c:v>
                </c:pt>
                <c:pt idx="13">
                  <c:v>34.773023365080732</c:v>
                </c:pt>
                <c:pt idx="14">
                  <c:v>35.653947467334078</c:v>
                </c:pt>
                <c:pt idx="15">
                  <c:v>35.413440253982728</c:v>
                </c:pt>
                <c:pt idx="16">
                  <c:v>33.612561590214412</c:v>
                </c:pt>
                <c:pt idx="17">
                  <c:v>33.858939452612447</c:v>
                </c:pt>
                <c:pt idx="18">
                  <c:v>35.86166182519321</c:v>
                </c:pt>
                <c:pt idx="19">
                  <c:v>38.226988830559534</c:v>
                </c:pt>
                <c:pt idx="20">
                  <c:v>38.806534371814159</c:v>
                </c:pt>
                <c:pt idx="21">
                  <c:v>32.233614201598961</c:v>
                </c:pt>
                <c:pt idx="22">
                  <c:v>34.079868324528498</c:v>
                </c:pt>
                <c:pt idx="23">
                  <c:v>35.212356895597587</c:v>
                </c:pt>
                <c:pt idx="24">
                  <c:v>31.6683641105869</c:v>
                </c:pt>
                <c:pt idx="25">
                  <c:v>32.535124089922476</c:v>
                </c:pt>
                <c:pt idx="26">
                  <c:v>31.163998258700378</c:v>
                </c:pt>
                <c:pt idx="27">
                  <c:v>31.603943774911407</c:v>
                </c:pt>
                <c:pt idx="28">
                  <c:v>30.14740626979016</c:v>
                </c:pt>
                <c:pt idx="29">
                  <c:v>28.81688420482536</c:v>
                </c:pt>
                <c:pt idx="30">
                  <c:v>26.1611508570147</c:v>
                </c:pt>
              </c:numCache>
            </c:numRef>
          </c:val>
          <c:smooth val="0"/>
          <c:extLst>
            <c:ext xmlns:c16="http://schemas.microsoft.com/office/drawing/2014/chart" uri="{C3380CC4-5D6E-409C-BE32-E72D297353CC}">
              <c16:uniqueId val="{00000001-E13C-4204-8536-FEE3F5EF7D26}"/>
            </c:ext>
          </c:extLst>
        </c:ser>
        <c:ser>
          <c:idx val="2"/>
          <c:order val="2"/>
          <c:tx>
            <c:v>Gaz fluorés</c:v>
          </c:tx>
          <c:spPr>
            <a:ln w="28575" cap="rnd">
              <a:solidFill>
                <a:srgbClr val="FFC000"/>
              </a:solidFill>
              <a:round/>
            </a:ln>
            <a:effectLst/>
          </c:spPr>
          <c:marker>
            <c:symbol val="none"/>
          </c:marker>
          <c:val>
            <c:numRef>
              <c:f>'[Donnees-GES.xlsx]Secteur RT'!$AK$46:$BO$46</c:f>
              <c:numCache>
                <c:formatCode>General</c:formatCode>
                <c:ptCount val="31"/>
                <c:pt idx="0">
                  <c:v>0.14254093181072858</c:v>
                </c:pt>
                <c:pt idx="1">
                  <c:v>0.14300487671166173</c:v>
                </c:pt>
                <c:pt idx="2">
                  <c:v>0.14369468685547757</c:v>
                </c:pt>
                <c:pt idx="3">
                  <c:v>0.16019830170180388</c:v>
                </c:pt>
                <c:pt idx="4">
                  <c:v>0.35273895045245746</c:v>
                </c:pt>
                <c:pt idx="5">
                  <c:v>0.85659300449270903</c:v>
                </c:pt>
                <c:pt idx="6">
                  <c:v>1.6683193584758556</c:v>
                </c:pt>
                <c:pt idx="7">
                  <c:v>2.2035642317343744</c:v>
                </c:pt>
                <c:pt idx="8">
                  <c:v>2.4722278691745974</c:v>
                </c:pt>
                <c:pt idx="9">
                  <c:v>2.8971466080217079</c:v>
                </c:pt>
                <c:pt idx="10">
                  <c:v>3.6324915299123002</c:v>
                </c:pt>
                <c:pt idx="11">
                  <c:v>4.1944248758964608</c:v>
                </c:pt>
                <c:pt idx="12">
                  <c:v>4.8286440866300442</c:v>
                </c:pt>
                <c:pt idx="13">
                  <c:v>5.6354613080833786</c:v>
                </c:pt>
                <c:pt idx="14">
                  <c:v>6.424836571239724</c:v>
                </c:pt>
                <c:pt idx="15">
                  <c:v>7.1146506206430216</c:v>
                </c:pt>
                <c:pt idx="16">
                  <c:v>7.9084157410896436</c:v>
                </c:pt>
                <c:pt idx="17">
                  <c:v>8.6282314912722065</c:v>
                </c:pt>
                <c:pt idx="18">
                  <c:v>9.2462769815010919</c:v>
                </c:pt>
                <c:pt idx="19">
                  <c:v>9.2854675774741633</c:v>
                </c:pt>
                <c:pt idx="20">
                  <c:v>9.760429864018672</c:v>
                </c:pt>
                <c:pt idx="21">
                  <c:v>10.145762238945927</c:v>
                </c:pt>
                <c:pt idx="22">
                  <c:v>10.180793303291708</c:v>
                </c:pt>
                <c:pt idx="23">
                  <c:v>10.145072865902993</c:v>
                </c:pt>
                <c:pt idx="24">
                  <c:v>10.161111923159629</c:v>
                </c:pt>
                <c:pt idx="25">
                  <c:v>10.089855018315905</c:v>
                </c:pt>
                <c:pt idx="26">
                  <c:v>9.9318594934463142</c:v>
                </c:pt>
                <c:pt idx="27">
                  <c:v>9.604824465323567</c:v>
                </c:pt>
                <c:pt idx="28">
                  <c:v>8.4787004640180594</c:v>
                </c:pt>
                <c:pt idx="29">
                  <c:v>7.2079287668582541</c:v>
                </c:pt>
                <c:pt idx="30">
                  <c:v>6.4632546714455961</c:v>
                </c:pt>
              </c:numCache>
            </c:numRef>
          </c:val>
          <c:smooth val="0"/>
          <c:extLst>
            <c:ext xmlns:c16="http://schemas.microsoft.com/office/drawing/2014/chart" uri="{C3380CC4-5D6E-409C-BE32-E72D297353CC}">
              <c16:uniqueId val="{00000002-E13C-4204-8536-FEE3F5EF7D26}"/>
            </c:ext>
          </c:extLst>
        </c:ser>
        <c:dLbls>
          <c:showLegendKey val="0"/>
          <c:showVal val="0"/>
          <c:showCatName val="0"/>
          <c:showSerName val="0"/>
          <c:showPercent val="0"/>
          <c:showBubbleSize val="0"/>
        </c:dLbls>
        <c:smooth val="0"/>
        <c:axId val="738084112"/>
        <c:axId val="738080368"/>
      </c:lineChart>
      <c:catAx>
        <c:axId val="73808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8080368"/>
        <c:crosses val="autoZero"/>
        <c:auto val="1"/>
        <c:lblAlgn val="ctr"/>
        <c:lblOffset val="100"/>
        <c:noMultiLvlLbl val="0"/>
      </c:catAx>
      <c:valAx>
        <c:axId val="738080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MtCO2</a:t>
                </a:r>
                <a:r>
                  <a:rPr lang="en-GB" baseline="-25000"/>
                  <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808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83457152601687"/>
          <c:y val="4.0344764349899136E-2"/>
          <c:w val="0.86201462105372417"/>
          <c:h val="0.63239450652750562"/>
        </c:manualLayout>
      </c:layout>
      <c:areaChart>
        <c:grouping val="stacked"/>
        <c:varyColors val="0"/>
        <c:ser>
          <c:idx val="0"/>
          <c:order val="0"/>
          <c:tx>
            <c:strRef>
              <c:f>CO2e!$B$17</c:f>
              <c:strCache>
                <c:ptCount val="1"/>
                <c:pt idx="0">
                  <c:v>Chimie</c:v>
                </c:pt>
              </c:strCache>
            </c:strRef>
          </c:tx>
          <c:spPr>
            <a:solidFill>
              <a:schemeClr val="accent1"/>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CO2e!$C$17:$AG$17</c:f>
              <c:numCache>
                <c:formatCode>0.0</c:formatCode>
                <c:ptCount val="19"/>
                <c:pt idx="0">
                  <c:v>52.734253828471466</c:v>
                </c:pt>
                <c:pt idx="1">
                  <c:v>54.071255790965367</c:v>
                </c:pt>
                <c:pt idx="2">
                  <c:v>39.784696107240457</c:v>
                </c:pt>
                <c:pt idx="3">
                  <c:v>34.975546331355687</c:v>
                </c:pt>
                <c:pt idx="4">
                  <c:v>32.455810301828109</c:v>
                </c:pt>
                <c:pt idx="5">
                  <c:v>32.016637388020101</c:v>
                </c:pt>
                <c:pt idx="6">
                  <c:v>30.369779208200654</c:v>
                </c:pt>
                <c:pt idx="7">
                  <c:v>27.409282774953606</c:v>
                </c:pt>
                <c:pt idx="8">
                  <c:v>26.276654251075612</c:v>
                </c:pt>
                <c:pt idx="9">
                  <c:v>24.76798618580424</c:v>
                </c:pt>
                <c:pt idx="10">
                  <c:v>23.988800586081023</c:v>
                </c:pt>
                <c:pt idx="11">
                  <c:v>23.603241426323187</c:v>
                </c:pt>
                <c:pt idx="12">
                  <c:v>23.072420629929287</c:v>
                </c:pt>
                <c:pt idx="13">
                  <c:v>22.122054164897765</c:v>
                </c:pt>
                <c:pt idx="14">
                  <c:v>21.549323392272672</c:v>
                </c:pt>
                <c:pt idx="15">
                  <c:v>21.463608938036327</c:v>
                </c:pt>
                <c:pt idx="16">
                  <c:v>21.044025470903044</c:v>
                </c:pt>
                <c:pt idx="17">
                  <c:v>20.047494185967775</c:v>
                </c:pt>
                <c:pt idx="18">
                  <c:v>18.66739798697877</c:v>
                </c:pt>
              </c:numCache>
            </c:numRef>
          </c:val>
          <c:extLst>
            <c:ext xmlns:c16="http://schemas.microsoft.com/office/drawing/2014/chart" uri="{C3380CC4-5D6E-409C-BE32-E72D297353CC}">
              <c16:uniqueId val="{00000000-D973-4F99-923E-7E868A35E22C}"/>
            </c:ext>
          </c:extLst>
        </c:ser>
        <c:ser>
          <c:idx val="1"/>
          <c:order val="1"/>
          <c:tx>
            <c:strRef>
              <c:f>CO2e!$B$18</c:f>
              <c:strCache>
                <c:ptCount val="1"/>
                <c:pt idx="0">
                  <c:v>Construction</c:v>
                </c:pt>
              </c:strCache>
            </c:strRef>
          </c:tx>
          <c:spPr>
            <a:solidFill>
              <a:schemeClr val="accent2"/>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CO2e!$C$18:$AG$18</c:f>
              <c:numCache>
                <c:formatCode>0.0</c:formatCode>
                <c:ptCount val="19"/>
                <c:pt idx="0">
                  <c:v>3.5476935039180337</c:v>
                </c:pt>
                <c:pt idx="1">
                  <c:v>3.2148418942316908</c:v>
                </c:pt>
                <c:pt idx="2">
                  <c:v>3.981725757924873</c:v>
                </c:pt>
                <c:pt idx="3">
                  <c:v>5.2869590533931898</c:v>
                </c:pt>
                <c:pt idx="4">
                  <c:v>5.2046746383273792</c:v>
                </c:pt>
                <c:pt idx="5">
                  <c:v>4.4155449087463552</c:v>
                </c:pt>
                <c:pt idx="6">
                  <c:v>3.8951005186235488</c:v>
                </c:pt>
                <c:pt idx="7">
                  <c:v>3.1924187867754559</c:v>
                </c:pt>
                <c:pt idx="8">
                  <c:v>2.9467881739871791</c:v>
                </c:pt>
                <c:pt idx="9">
                  <c:v>4.2371242333396717</c:v>
                </c:pt>
                <c:pt idx="10">
                  <c:v>4.0490134728459903</c:v>
                </c:pt>
                <c:pt idx="11">
                  <c:v>4.063377299811199</c:v>
                </c:pt>
                <c:pt idx="12">
                  <c:v>3.9585571911221917</c:v>
                </c:pt>
                <c:pt idx="13">
                  <c:v>3.880662102379524</c:v>
                </c:pt>
                <c:pt idx="14">
                  <c:v>3.8061956590738193</c:v>
                </c:pt>
                <c:pt idx="15">
                  <c:v>3.7115356272466391</c:v>
                </c:pt>
                <c:pt idx="16">
                  <c:v>3.7373535655981276</c:v>
                </c:pt>
                <c:pt idx="17">
                  <c:v>3.8248142161496217</c:v>
                </c:pt>
                <c:pt idx="18">
                  <c:v>3.6460300943439941</c:v>
                </c:pt>
              </c:numCache>
            </c:numRef>
          </c:val>
          <c:extLst>
            <c:ext xmlns:c16="http://schemas.microsoft.com/office/drawing/2014/chart" uri="{C3380CC4-5D6E-409C-BE32-E72D297353CC}">
              <c16:uniqueId val="{00000001-D973-4F99-923E-7E868A35E22C}"/>
            </c:ext>
          </c:extLst>
        </c:ser>
        <c:ser>
          <c:idx val="2"/>
          <c:order val="2"/>
          <c:tx>
            <c:strRef>
              <c:f>CO2e!$B$19</c:f>
              <c:strCache>
                <c:ptCount val="1"/>
                <c:pt idx="0">
                  <c:v>Biens d'équipements, matériels de transport</c:v>
                </c:pt>
              </c:strCache>
            </c:strRef>
          </c:tx>
          <c:spPr>
            <a:solidFill>
              <a:schemeClr val="accent3"/>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CO2e!$C$19:$AG$19</c:f>
              <c:numCache>
                <c:formatCode>0.0</c:formatCode>
                <c:ptCount val="19"/>
                <c:pt idx="0">
                  <c:v>5.2311043175352721</c:v>
                </c:pt>
                <c:pt idx="1">
                  <c:v>6.1648013047192549</c:v>
                </c:pt>
                <c:pt idx="2">
                  <c:v>5.8721471991633996</c:v>
                </c:pt>
                <c:pt idx="3">
                  <c:v>5.8660946859636471</c:v>
                </c:pt>
                <c:pt idx="4">
                  <c:v>5.2455186387917196</c:v>
                </c:pt>
                <c:pt idx="5">
                  <c:v>4.857694158431487</c:v>
                </c:pt>
                <c:pt idx="6">
                  <c:v>5.0883674546139277</c:v>
                </c:pt>
                <c:pt idx="7">
                  <c:v>4.0564256185893068</c:v>
                </c:pt>
                <c:pt idx="8">
                  <c:v>4.5503072107977269</c:v>
                </c:pt>
                <c:pt idx="9">
                  <c:v>3.7601022779946591</c:v>
                </c:pt>
                <c:pt idx="10">
                  <c:v>3.7584024992976315</c:v>
                </c:pt>
                <c:pt idx="11">
                  <c:v>3.7644891011766339</c:v>
                </c:pt>
                <c:pt idx="12">
                  <c:v>3.0344187110527034</c:v>
                </c:pt>
                <c:pt idx="13">
                  <c:v>3.1563939297235821</c:v>
                </c:pt>
                <c:pt idx="14">
                  <c:v>3.2499303378680744</c:v>
                </c:pt>
                <c:pt idx="15">
                  <c:v>3.2602700567823626</c:v>
                </c:pt>
                <c:pt idx="16">
                  <c:v>3.1670083652603114</c:v>
                </c:pt>
                <c:pt idx="17">
                  <c:v>3.0311976784588817</c:v>
                </c:pt>
                <c:pt idx="18">
                  <c:v>2.8082119613071908</c:v>
                </c:pt>
              </c:numCache>
            </c:numRef>
          </c:val>
          <c:extLst>
            <c:ext xmlns:c16="http://schemas.microsoft.com/office/drawing/2014/chart" uri="{C3380CC4-5D6E-409C-BE32-E72D297353CC}">
              <c16:uniqueId val="{00000002-D973-4F99-923E-7E868A35E22C}"/>
            </c:ext>
          </c:extLst>
        </c:ser>
        <c:ser>
          <c:idx val="3"/>
          <c:order val="3"/>
          <c:tx>
            <c:strRef>
              <c:f>CO2e!$B$20</c:f>
              <c:strCache>
                <c:ptCount val="1"/>
                <c:pt idx="0">
                  <c:v>Agro-alimentaire</c:v>
                </c:pt>
              </c:strCache>
            </c:strRef>
          </c:tx>
          <c:spPr>
            <a:solidFill>
              <a:schemeClr val="accent4"/>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CO2e!$C$20:$AG$20</c:f>
              <c:numCache>
                <c:formatCode>0.0</c:formatCode>
                <c:ptCount val="19"/>
                <c:pt idx="0">
                  <c:v>8.6620890448238974</c:v>
                </c:pt>
                <c:pt idx="1">
                  <c:v>10.891010329534543</c:v>
                </c:pt>
                <c:pt idx="2">
                  <c:v>10.535188785905186</c:v>
                </c:pt>
                <c:pt idx="3">
                  <c:v>11.133001579810788</c:v>
                </c:pt>
                <c:pt idx="4">
                  <c:v>11.354679848768846</c:v>
                </c:pt>
                <c:pt idx="5">
                  <c:v>11.452002806006044</c:v>
                </c:pt>
                <c:pt idx="6">
                  <c:v>10.810937602831499</c:v>
                </c:pt>
                <c:pt idx="7">
                  <c:v>10.010557255011399</c:v>
                </c:pt>
                <c:pt idx="8">
                  <c:v>11.136587823653112</c:v>
                </c:pt>
                <c:pt idx="9">
                  <c:v>10.553501467132088</c:v>
                </c:pt>
                <c:pt idx="10">
                  <c:v>10.069527216569249</c:v>
                </c:pt>
                <c:pt idx="11">
                  <c:v>10.25679241866276</c:v>
                </c:pt>
                <c:pt idx="12">
                  <c:v>9.9780157047823739</c:v>
                </c:pt>
                <c:pt idx="13">
                  <c:v>9.8653341416415827</c:v>
                </c:pt>
                <c:pt idx="14">
                  <c:v>9.9393233909969858</c:v>
                </c:pt>
                <c:pt idx="15">
                  <c:v>9.3399199650085709</c:v>
                </c:pt>
                <c:pt idx="16">
                  <c:v>9.4266674603216156</c:v>
                </c:pt>
                <c:pt idx="17">
                  <c:v>9.3217825704540953</c:v>
                </c:pt>
                <c:pt idx="18">
                  <c:v>8.295128191104844</c:v>
                </c:pt>
              </c:numCache>
            </c:numRef>
          </c:val>
          <c:extLst>
            <c:ext xmlns:c16="http://schemas.microsoft.com/office/drawing/2014/chart" uri="{C3380CC4-5D6E-409C-BE32-E72D297353CC}">
              <c16:uniqueId val="{00000003-D973-4F99-923E-7E868A35E22C}"/>
            </c:ext>
          </c:extLst>
        </c:ser>
        <c:ser>
          <c:idx val="4"/>
          <c:order val="4"/>
          <c:tx>
            <c:strRef>
              <c:f>CO2e!$B$21</c:f>
              <c:strCache>
                <c:ptCount val="1"/>
                <c:pt idx="0">
                  <c:v>Métallurgie des métaux ferreux</c:v>
                </c:pt>
              </c:strCache>
            </c:strRef>
          </c:tx>
          <c:spPr>
            <a:solidFill>
              <a:schemeClr val="accent5"/>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CO2e!$C$21:$AG$21</c:f>
              <c:numCache>
                <c:formatCode>0.0</c:formatCode>
                <c:ptCount val="19"/>
                <c:pt idx="0">
                  <c:v>25.263880692365788</c:v>
                </c:pt>
                <c:pt idx="1">
                  <c:v>21.91370813984285</c:v>
                </c:pt>
                <c:pt idx="2">
                  <c:v>25.031171856519855</c:v>
                </c:pt>
                <c:pt idx="3">
                  <c:v>24.714380508571136</c:v>
                </c:pt>
                <c:pt idx="4">
                  <c:v>25.55000804222685</c:v>
                </c:pt>
                <c:pt idx="5">
                  <c:v>26.441991166774063</c:v>
                </c:pt>
                <c:pt idx="6">
                  <c:v>24.038061149105594</c:v>
                </c:pt>
                <c:pt idx="7">
                  <c:v>15.117040472718609</c:v>
                </c:pt>
                <c:pt idx="8">
                  <c:v>19.181244832345911</c:v>
                </c:pt>
                <c:pt idx="9">
                  <c:v>17.492238938567318</c:v>
                </c:pt>
                <c:pt idx="10">
                  <c:v>16.83365961023393</c:v>
                </c:pt>
                <c:pt idx="11">
                  <c:v>18.353002989251539</c:v>
                </c:pt>
                <c:pt idx="12">
                  <c:v>17.921020363824798</c:v>
                </c:pt>
                <c:pt idx="13">
                  <c:v>17.550574565116545</c:v>
                </c:pt>
                <c:pt idx="14">
                  <c:v>17.104871247773801</c:v>
                </c:pt>
                <c:pt idx="15">
                  <c:v>18.461766987604001</c:v>
                </c:pt>
                <c:pt idx="16">
                  <c:v>18.221305349133814</c:v>
                </c:pt>
                <c:pt idx="17">
                  <c:v>16.772806025599685</c:v>
                </c:pt>
                <c:pt idx="18">
                  <c:v>14.353981340952052</c:v>
                </c:pt>
              </c:numCache>
            </c:numRef>
          </c:val>
          <c:extLst>
            <c:ext xmlns:c16="http://schemas.microsoft.com/office/drawing/2014/chart" uri="{C3380CC4-5D6E-409C-BE32-E72D297353CC}">
              <c16:uniqueId val="{00000004-D973-4F99-923E-7E868A35E22C}"/>
            </c:ext>
          </c:extLst>
        </c:ser>
        <c:ser>
          <c:idx val="5"/>
          <c:order val="5"/>
          <c:tx>
            <c:strRef>
              <c:f>CO2e!$B$22</c:f>
              <c:strCache>
                <c:ptCount val="1"/>
                <c:pt idx="0">
                  <c:v>Métallurgie des métaux non-ferreux</c:v>
                </c:pt>
              </c:strCache>
            </c:strRef>
          </c:tx>
          <c:spPr>
            <a:solidFill>
              <a:schemeClr val="accent6"/>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CO2e!$C$22:$AG$22</c:f>
              <c:numCache>
                <c:formatCode>0.0</c:formatCode>
                <c:ptCount val="19"/>
                <c:pt idx="0">
                  <c:v>7.9767645888192176</c:v>
                </c:pt>
                <c:pt idx="1">
                  <c:v>6.2694562347128624</c:v>
                </c:pt>
                <c:pt idx="2">
                  <c:v>6.0870166467530638</c:v>
                </c:pt>
                <c:pt idx="3">
                  <c:v>3.9177201929521779</c:v>
                </c:pt>
                <c:pt idx="4">
                  <c:v>4.0956981179463687</c:v>
                </c:pt>
                <c:pt idx="5">
                  <c:v>3.7412739564612374</c:v>
                </c:pt>
                <c:pt idx="6">
                  <c:v>3.2475013466263478</c:v>
                </c:pt>
                <c:pt idx="7">
                  <c:v>2.5397770668404878</c:v>
                </c:pt>
                <c:pt idx="8">
                  <c:v>2.8549173667586607</c:v>
                </c:pt>
                <c:pt idx="9">
                  <c:v>2.7990367356104855</c:v>
                </c:pt>
                <c:pt idx="10">
                  <c:v>2.8363072069103596</c:v>
                </c:pt>
                <c:pt idx="11">
                  <c:v>2.636305690004332</c:v>
                </c:pt>
                <c:pt idx="12">
                  <c:v>2.5873521278155418</c:v>
                </c:pt>
                <c:pt idx="13">
                  <c:v>2.6626010305849093</c:v>
                </c:pt>
                <c:pt idx="14">
                  <c:v>3.1913442781213575</c:v>
                </c:pt>
                <c:pt idx="15">
                  <c:v>3.070680697386805</c:v>
                </c:pt>
                <c:pt idx="16">
                  <c:v>2.7823551829679585</c:v>
                </c:pt>
                <c:pt idx="17">
                  <c:v>2.6736793479809542</c:v>
                </c:pt>
                <c:pt idx="18">
                  <c:v>2.3621875413653162</c:v>
                </c:pt>
              </c:numCache>
            </c:numRef>
          </c:val>
          <c:extLst>
            <c:ext xmlns:c16="http://schemas.microsoft.com/office/drawing/2014/chart" uri="{C3380CC4-5D6E-409C-BE32-E72D297353CC}">
              <c16:uniqueId val="{00000005-D973-4F99-923E-7E868A35E22C}"/>
            </c:ext>
          </c:extLst>
        </c:ser>
        <c:ser>
          <c:idx val="6"/>
          <c:order val="6"/>
          <c:tx>
            <c:strRef>
              <c:f>CO2e!$B$23</c:f>
              <c:strCache>
                <c:ptCount val="1"/>
                <c:pt idx="0">
                  <c:v>Minéraux non-métalliques, matériaux de construction</c:v>
                </c:pt>
              </c:strCache>
            </c:strRef>
          </c:tx>
          <c:spPr>
            <a:solidFill>
              <a:schemeClr val="accent1">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CO2e!$C$23:$AG$23</c:f>
              <c:numCache>
                <c:formatCode>0.0</c:formatCode>
                <c:ptCount val="19"/>
                <c:pt idx="0">
                  <c:v>30.139889186186355</c:v>
                </c:pt>
                <c:pt idx="1">
                  <c:v>26.575749008299056</c:v>
                </c:pt>
                <c:pt idx="2">
                  <c:v>25.256091069137927</c:v>
                </c:pt>
                <c:pt idx="3">
                  <c:v>25.133295150455236</c:v>
                </c:pt>
                <c:pt idx="4">
                  <c:v>26.318436175593039</c:v>
                </c:pt>
                <c:pt idx="5">
                  <c:v>26.424129960606731</c:v>
                </c:pt>
                <c:pt idx="6">
                  <c:v>25.127873079333785</c:v>
                </c:pt>
                <c:pt idx="7">
                  <c:v>22.026872967814569</c:v>
                </c:pt>
                <c:pt idx="8">
                  <c:v>22.79702406403581</c:v>
                </c:pt>
                <c:pt idx="9">
                  <c:v>22.584262905915857</c:v>
                </c:pt>
                <c:pt idx="10">
                  <c:v>21.273736457149855</c:v>
                </c:pt>
                <c:pt idx="11">
                  <c:v>20.823057974642982</c:v>
                </c:pt>
                <c:pt idx="12">
                  <c:v>20.22754274307497</c:v>
                </c:pt>
                <c:pt idx="13">
                  <c:v>19.118761159671333</c:v>
                </c:pt>
                <c:pt idx="14">
                  <c:v>19.339659150408011</c:v>
                </c:pt>
                <c:pt idx="15">
                  <c:v>18.612850473411683</c:v>
                </c:pt>
                <c:pt idx="16">
                  <c:v>19.400463756184237</c:v>
                </c:pt>
                <c:pt idx="17">
                  <c:v>19.420750390792925</c:v>
                </c:pt>
                <c:pt idx="18">
                  <c:v>17.698385404693244</c:v>
                </c:pt>
              </c:numCache>
            </c:numRef>
          </c:val>
          <c:extLst>
            <c:ext xmlns:c16="http://schemas.microsoft.com/office/drawing/2014/chart" uri="{C3380CC4-5D6E-409C-BE32-E72D297353CC}">
              <c16:uniqueId val="{00000006-D973-4F99-923E-7E868A35E22C}"/>
            </c:ext>
          </c:extLst>
        </c:ser>
        <c:ser>
          <c:idx val="7"/>
          <c:order val="7"/>
          <c:tx>
            <c:strRef>
              <c:f>CO2e!$B$24</c:f>
              <c:strCache>
                <c:ptCount val="1"/>
                <c:pt idx="0">
                  <c:v>Papier, carton</c:v>
                </c:pt>
              </c:strCache>
            </c:strRef>
          </c:tx>
          <c:spPr>
            <a:solidFill>
              <a:schemeClr val="accent2">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CO2e!$C$24:$AG$24</c:f>
              <c:numCache>
                <c:formatCode>0.0</c:formatCode>
                <c:ptCount val="19"/>
                <c:pt idx="0">
                  <c:v>4.5329512447847984</c:v>
                </c:pt>
                <c:pt idx="1">
                  <c:v>5.2296965557799506</c:v>
                </c:pt>
                <c:pt idx="2">
                  <c:v>5.2811699208708873</c:v>
                </c:pt>
                <c:pt idx="3">
                  <c:v>4.0788442795346604</c:v>
                </c:pt>
                <c:pt idx="4">
                  <c:v>4.0047685750992352</c:v>
                </c:pt>
                <c:pt idx="5">
                  <c:v>3.6629584749661985</c:v>
                </c:pt>
                <c:pt idx="6">
                  <c:v>3.2597572518688334</c:v>
                </c:pt>
                <c:pt idx="7">
                  <c:v>2.7819670777641257</c:v>
                </c:pt>
                <c:pt idx="8">
                  <c:v>2.9767966970655593</c:v>
                </c:pt>
                <c:pt idx="9">
                  <c:v>2.4826462203608655</c:v>
                </c:pt>
                <c:pt idx="10">
                  <c:v>2.5111859706677371</c:v>
                </c:pt>
                <c:pt idx="11">
                  <c:v>2.8879463817182209</c:v>
                </c:pt>
                <c:pt idx="12">
                  <c:v>2.7269630243072434</c:v>
                </c:pt>
                <c:pt idx="13">
                  <c:v>2.6507904654532735</c:v>
                </c:pt>
                <c:pt idx="14">
                  <c:v>2.7308125015041051</c:v>
                </c:pt>
                <c:pt idx="15">
                  <c:v>2.5213745430299226</c:v>
                </c:pt>
                <c:pt idx="16">
                  <c:v>2.5538010543844947</c:v>
                </c:pt>
                <c:pt idx="17">
                  <c:v>2.4346563319116266</c:v>
                </c:pt>
                <c:pt idx="18">
                  <c:v>2.3047333897876312</c:v>
                </c:pt>
              </c:numCache>
            </c:numRef>
          </c:val>
          <c:extLst>
            <c:ext xmlns:c16="http://schemas.microsoft.com/office/drawing/2014/chart" uri="{C3380CC4-5D6E-409C-BE32-E72D297353CC}">
              <c16:uniqueId val="{00000007-D973-4F99-923E-7E868A35E22C}"/>
            </c:ext>
          </c:extLst>
        </c:ser>
        <c:ser>
          <c:idx val="8"/>
          <c:order val="8"/>
          <c:tx>
            <c:strRef>
              <c:f>CO2e!$B$25</c:f>
              <c:strCache>
                <c:ptCount val="1"/>
                <c:pt idx="0">
                  <c:v>Autres industries manufacturières</c:v>
                </c:pt>
              </c:strCache>
            </c:strRef>
          </c:tx>
          <c:spPr>
            <a:solidFill>
              <a:schemeClr val="accent3">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CO2e!$C$25:$AG$25</c:f>
              <c:numCache>
                <c:formatCode>0.0</c:formatCode>
                <c:ptCount val="19"/>
                <c:pt idx="0">
                  <c:v>4.7224448976901545</c:v>
                </c:pt>
                <c:pt idx="1">
                  <c:v>5.1775062001132142</c:v>
                </c:pt>
                <c:pt idx="2">
                  <c:v>4.8100929210713774</c:v>
                </c:pt>
                <c:pt idx="3">
                  <c:v>4.1264328666235199</c:v>
                </c:pt>
                <c:pt idx="4">
                  <c:v>3.9142664480499154</c:v>
                </c:pt>
                <c:pt idx="5">
                  <c:v>3.8381354077014818</c:v>
                </c:pt>
                <c:pt idx="6">
                  <c:v>3.738990398611564</c:v>
                </c:pt>
                <c:pt idx="7">
                  <c:v>3.0319785118592422</c:v>
                </c:pt>
                <c:pt idx="8">
                  <c:v>3.0649757984432529</c:v>
                </c:pt>
                <c:pt idx="9">
                  <c:v>2.8388489221023425</c:v>
                </c:pt>
                <c:pt idx="10">
                  <c:v>2.6662279777220608</c:v>
                </c:pt>
                <c:pt idx="11">
                  <c:v>2.6809341930357529</c:v>
                </c:pt>
                <c:pt idx="12">
                  <c:v>2.6424833292810375</c:v>
                </c:pt>
                <c:pt idx="13">
                  <c:v>2.8266556159414038</c:v>
                </c:pt>
                <c:pt idx="14">
                  <c:v>2.7753654227074698</c:v>
                </c:pt>
                <c:pt idx="15">
                  <c:v>2.9826589010162268</c:v>
                </c:pt>
                <c:pt idx="16">
                  <c:v>2.7378890938993043</c:v>
                </c:pt>
                <c:pt idx="17">
                  <c:v>2.5574865697172258</c:v>
                </c:pt>
                <c:pt idx="18">
                  <c:v>2.3715254237457652</c:v>
                </c:pt>
              </c:numCache>
            </c:numRef>
          </c:val>
          <c:extLst>
            <c:ext xmlns:c16="http://schemas.microsoft.com/office/drawing/2014/chart" uri="{C3380CC4-5D6E-409C-BE32-E72D297353CC}">
              <c16:uniqueId val="{00000008-D973-4F99-923E-7E868A35E22C}"/>
            </c:ext>
          </c:extLst>
        </c:ser>
        <c:dLbls>
          <c:showLegendKey val="0"/>
          <c:showVal val="0"/>
          <c:showCatName val="0"/>
          <c:showSerName val="0"/>
          <c:showPercent val="0"/>
          <c:showBubbleSize val="0"/>
        </c:dLbls>
        <c:axId val="981203584"/>
        <c:axId val="981218976"/>
      </c:areaChart>
      <c:catAx>
        <c:axId val="9812035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218976"/>
        <c:crosses val="autoZero"/>
        <c:auto val="1"/>
        <c:lblAlgn val="ctr"/>
        <c:lblOffset val="100"/>
        <c:noMultiLvlLbl val="0"/>
      </c:catAx>
      <c:valAx>
        <c:axId val="981218976"/>
        <c:scaling>
          <c:orientation val="minMax"/>
          <c:max val="1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a:t>
                </a:r>
                <a:r>
                  <a:rPr lang="en-GB"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203584"/>
        <c:crosses val="autoZero"/>
        <c:crossBetween val="midCat"/>
        <c:majorUnit val="20"/>
      </c:valAx>
      <c:spPr>
        <a:noFill/>
        <a:ln>
          <a:noFill/>
        </a:ln>
        <a:effectLst/>
      </c:spPr>
    </c:plotArea>
    <c:legend>
      <c:legendPos val="b"/>
      <c:layout>
        <c:manualLayout>
          <c:xMode val="edge"/>
          <c:yMode val="edge"/>
          <c:x val="5.6142664465485458E-2"/>
          <c:y val="0.78521077034818654"/>
          <c:w val="0.91715192458827388"/>
          <c:h val="0.195831811139140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'Secteur énergie'!$A$8</c:f>
              <c:strCache>
                <c:ptCount val="1"/>
                <c:pt idx="0">
                  <c:v>Production d'électricité et chauffage urbain</c:v>
                </c:pt>
              </c:strCache>
            </c:strRef>
          </c:tx>
          <c:spPr>
            <a:solidFill>
              <a:schemeClr val="accent1"/>
            </a:solidFill>
            <a:ln>
              <a:noFill/>
            </a:ln>
            <a:effectLst/>
          </c:spPr>
          <c:cat>
            <c:numRef>
              <c:f>'Secteur énergie'!$B$4:$AF$4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'Secteur énergie'!$B$8:$AF$8</c:f>
              <c:numCache>
                <c:formatCode>#\ ##0.0</c:formatCode>
                <c:ptCount val="31"/>
                <c:pt idx="0">
                  <c:v>47.37267322530893</c:v>
                </c:pt>
                <c:pt idx="1">
                  <c:v>48.222825768382457</c:v>
                </c:pt>
                <c:pt idx="2">
                  <c:v>49.01970067494382</c:v>
                </c:pt>
                <c:pt idx="3">
                  <c:v>36.720515200392768</c:v>
                </c:pt>
                <c:pt idx="4">
                  <c:v>32.804453275311921</c:v>
                </c:pt>
                <c:pt idx="5">
                  <c:v>35.391071279763736</c:v>
                </c:pt>
                <c:pt idx="6">
                  <c:v>39.579659485037247</c:v>
                </c:pt>
                <c:pt idx="7">
                  <c:v>35.288713146953292</c:v>
                </c:pt>
                <c:pt idx="8">
                  <c:v>47.866016123268892</c:v>
                </c:pt>
                <c:pt idx="9">
                  <c:v>41.373449823245338</c:v>
                </c:pt>
                <c:pt idx="10">
                  <c:v>40.872715354019093</c:v>
                </c:pt>
                <c:pt idx="11">
                  <c:v>34.214816861377599</c:v>
                </c:pt>
                <c:pt idx="12">
                  <c:v>38.041542468575479</c:v>
                </c:pt>
                <c:pt idx="13">
                  <c:v>41.300601239119423</c:v>
                </c:pt>
                <c:pt idx="14">
                  <c:v>39.877984966747363</c:v>
                </c:pt>
                <c:pt idx="15">
                  <c:v>45.485713646075745</c:v>
                </c:pt>
                <c:pt idx="16">
                  <c:v>41.320617491874913</c:v>
                </c:pt>
                <c:pt idx="17">
                  <c:v>41.234598680839134</c:v>
                </c:pt>
                <c:pt idx="18">
                  <c:v>40.413866536323809</c:v>
                </c:pt>
                <c:pt idx="19">
                  <c:v>39.233231339941952</c:v>
                </c:pt>
                <c:pt idx="20">
                  <c:v>40.978430009056048</c:v>
                </c:pt>
                <c:pt idx="21">
                  <c:v>35.784785073011768</c:v>
                </c:pt>
                <c:pt idx="22">
                  <c:v>40.022715071777235</c:v>
                </c:pt>
                <c:pt idx="23">
                  <c:v>38.502237269483238</c:v>
                </c:pt>
                <c:pt idx="24">
                  <c:v>24.79536122277748</c:v>
                </c:pt>
                <c:pt idx="25">
                  <c:v>27.886857750964403</c:v>
                </c:pt>
                <c:pt idx="26">
                  <c:v>31.592094284909692</c:v>
                </c:pt>
                <c:pt idx="27">
                  <c:v>35.846005092177116</c:v>
                </c:pt>
                <c:pt idx="28">
                  <c:v>27.031569991371853</c:v>
                </c:pt>
                <c:pt idx="29">
                  <c:v>25.65195727422228</c:v>
                </c:pt>
                <c:pt idx="30">
                  <c:v>23.127071131081003</c:v>
                </c:pt>
              </c:numCache>
            </c:numRef>
          </c:val>
          <c:extLst>
            <c:ext xmlns:c16="http://schemas.microsoft.com/office/drawing/2014/chart" uri="{C3380CC4-5D6E-409C-BE32-E72D297353CC}">
              <c16:uniqueId val="{00000000-F695-4EA2-88DC-E7F1CFEBAE67}"/>
            </c:ext>
          </c:extLst>
        </c:ser>
        <c:ser>
          <c:idx val="1"/>
          <c:order val="1"/>
          <c:tx>
            <c:strRef>
              <c:f>'Secteur énergie'!$A$9</c:f>
              <c:strCache>
                <c:ptCount val="1"/>
                <c:pt idx="0">
                  <c:v>Raffinage du pétrole</c:v>
                </c:pt>
              </c:strCache>
            </c:strRef>
          </c:tx>
          <c:spPr>
            <a:solidFill>
              <a:schemeClr val="accent2"/>
            </a:solidFill>
            <a:ln>
              <a:noFill/>
            </a:ln>
            <a:effectLst/>
          </c:spPr>
          <c:cat>
            <c:numRef>
              <c:f>'Secteur énergie'!$B$4:$AF$4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'Secteur énergie'!$B$9:$AF$9</c:f>
              <c:numCache>
                <c:formatCode>#\ ##0.0</c:formatCode>
                <c:ptCount val="31"/>
                <c:pt idx="0">
                  <c:v>15.251422764695873</c:v>
                </c:pt>
                <c:pt idx="1">
                  <c:v>15.529628347722449</c:v>
                </c:pt>
                <c:pt idx="2">
                  <c:v>15.697414781732133</c:v>
                </c:pt>
                <c:pt idx="3">
                  <c:v>15.68948270971276</c:v>
                </c:pt>
                <c:pt idx="4">
                  <c:v>16.394388891854181</c:v>
                </c:pt>
                <c:pt idx="5">
                  <c:v>16.544431864778957</c:v>
                </c:pt>
                <c:pt idx="6">
                  <c:v>17.341251728815031</c:v>
                </c:pt>
                <c:pt idx="7">
                  <c:v>18.149900985638158</c:v>
                </c:pt>
                <c:pt idx="8">
                  <c:v>17.927246641717286</c:v>
                </c:pt>
                <c:pt idx="9">
                  <c:v>17.181511865606637</c:v>
                </c:pt>
                <c:pt idx="10">
                  <c:v>17.215338551993739</c:v>
                </c:pt>
                <c:pt idx="11">
                  <c:v>17.310646166631908</c:v>
                </c:pt>
                <c:pt idx="12">
                  <c:v>16.432385099100969</c:v>
                </c:pt>
                <c:pt idx="13">
                  <c:v>16.398710552285728</c:v>
                </c:pt>
                <c:pt idx="14">
                  <c:v>16.810246110239191</c:v>
                </c:pt>
                <c:pt idx="15">
                  <c:v>16.917926804055202</c:v>
                </c:pt>
                <c:pt idx="16">
                  <c:v>17.351260440593862</c:v>
                </c:pt>
                <c:pt idx="17">
                  <c:v>17.507302938806934</c:v>
                </c:pt>
                <c:pt idx="18">
                  <c:v>17.599187219568041</c:v>
                </c:pt>
                <c:pt idx="19">
                  <c:v>16.647199429235982</c:v>
                </c:pt>
                <c:pt idx="20">
                  <c:v>14.786015907259445</c:v>
                </c:pt>
                <c:pt idx="21">
                  <c:v>14.309123048067212</c:v>
                </c:pt>
                <c:pt idx="22">
                  <c:v>11.718743119726623</c:v>
                </c:pt>
                <c:pt idx="23">
                  <c:v>10.946932045819578</c:v>
                </c:pt>
                <c:pt idx="24">
                  <c:v>10.886056442466705</c:v>
                </c:pt>
                <c:pt idx="25">
                  <c:v>10.465753289789342</c:v>
                </c:pt>
                <c:pt idx="26">
                  <c:v>10.195395027819725</c:v>
                </c:pt>
                <c:pt idx="27">
                  <c:v>9.6063874259821187</c:v>
                </c:pt>
                <c:pt idx="28">
                  <c:v>9.0984111149560132</c:v>
                </c:pt>
                <c:pt idx="29">
                  <c:v>8.723585007844127</c:v>
                </c:pt>
                <c:pt idx="30">
                  <c:v>7.346514401039447</c:v>
                </c:pt>
              </c:numCache>
            </c:numRef>
          </c:val>
          <c:extLst>
            <c:ext xmlns:c16="http://schemas.microsoft.com/office/drawing/2014/chart" uri="{C3380CC4-5D6E-409C-BE32-E72D297353CC}">
              <c16:uniqueId val="{00000001-F695-4EA2-88DC-E7F1CFEBAE67}"/>
            </c:ext>
          </c:extLst>
        </c:ser>
        <c:ser>
          <c:idx val="2"/>
          <c:order val="2"/>
          <c:tx>
            <c:strRef>
              <c:f>'Secteur énergie'!$A$15</c:f>
              <c:strCache>
                <c:ptCount val="1"/>
                <c:pt idx="0">
                  <c:v>Transformation des CMS et autres</c:v>
                </c:pt>
              </c:strCache>
            </c:strRef>
          </c:tx>
          <c:spPr>
            <a:solidFill>
              <a:schemeClr val="accent3"/>
            </a:solidFill>
            <a:ln>
              <a:noFill/>
            </a:ln>
            <a:effectLst/>
          </c:spPr>
          <c:cat>
            <c:numRef>
              <c:f>'Secteur énergie'!$B$4:$AF$4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'Secteur énergie'!$B$15:$AF$15</c:f>
              <c:numCache>
                <c:formatCode>#\ ##0.0</c:formatCode>
                <c:ptCount val="31"/>
                <c:pt idx="0">
                  <c:v>12.718977981015289</c:v>
                </c:pt>
                <c:pt idx="1">
                  <c:v>12.617818482540661</c:v>
                </c:pt>
                <c:pt idx="2">
                  <c:v>12.650910044976623</c:v>
                </c:pt>
                <c:pt idx="3">
                  <c:v>12.38809741332191</c:v>
                </c:pt>
                <c:pt idx="4">
                  <c:v>12.467753729147519</c:v>
                </c:pt>
                <c:pt idx="5">
                  <c:v>12.247872422895709</c:v>
                </c:pt>
                <c:pt idx="6">
                  <c:v>11.035608253821549</c:v>
                </c:pt>
                <c:pt idx="7">
                  <c:v>10.188455994776303</c:v>
                </c:pt>
                <c:pt idx="8">
                  <c:v>10.201631322524452</c:v>
                </c:pt>
                <c:pt idx="9">
                  <c:v>10.101309167460641</c:v>
                </c:pt>
                <c:pt idx="10">
                  <c:v>9.0995325979407937</c:v>
                </c:pt>
                <c:pt idx="11">
                  <c:v>8.5157513017746638</c:v>
                </c:pt>
                <c:pt idx="12">
                  <c:v>7.8461288635920612</c:v>
                </c:pt>
                <c:pt idx="13">
                  <c:v>7.8430585345568264</c:v>
                </c:pt>
                <c:pt idx="14">
                  <c:v>7.264978608833724</c:v>
                </c:pt>
                <c:pt idx="15">
                  <c:v>6.719214329258218</c:v>
                </c:pt>
                <c:pt idx="16">
                  <c:v>6.4384732136396163</c:v>
                </c:pt>
                <c:pt idx="17">
                  <c:v>6.0431493082990118</c:v>
                </c:pt>
                <c:pt idx="18">
                  <c:v>5.9296775568811579</c:v>
                </c:pt>
                <c:pt idx="19">
                  <c:v>5.5688082214574832</c:v>
                </c:pt>
                <c:pt idx="20">
                  <c:v>5.4687937872838823</c:v>
                </c:pt>
                <c:pt idx="21">
                  <c:v>5.2201588285953271</c:v>
                </c:pt>
                <c:pt idx="22">
                  <c:v>5.0126389936001194</c:v>
                </c:pt>
                <c:pt idx="23">
                  <c:v>4.9516078058445796</c:v>
                </c:pt>
                <c:pt idx="24">
                  <c:v>4.7639166408910132</c:v>
                </c:pt>
                <c:pt idx="25">
                  <c:v>4.6873659849002971</c:v>
                </c:pt>
                <c:pt idx="26">
                  <c:v>4.6213016776206359</c:v>
                </c:pt>
                <c:pt idx="27">
                  <c:v>4.625192114035686</c:v>
                </c:pt>
                <c:pt idx="28">
                  <c:v>4.5331728755618164</c:v>
                </c:pt>
                <c:pt idx="29">
                  <c:v>4.437733142226306</c:v>
                </c:pt>
                <c:pt idx="30">
                  <c:v>3.3963919513858278</c:v>
                </c:pt>
              </c:numCache>
            </c:numRef>
          </c:val>
          <c:extLst>
            <c:ext xmlns:c16="http://schemas.microsoft.com/office/drawing/2014/chart" uri="{C3380CC4-5D6E-409C-BE32-E72D297353CC}">
              <c16:uniqueId val="{00000002-F695-4EA2-88DC-E7F1CFEBAE67}"/>
            </c:ext>
          </c:extLst>
        </c:ser>
        <c:ser>
          <c:idx val="3"/>
          <c:order val="3"/>
          <c:tx>
            <c:strRef>
              <c:f>'Secteur énergie'!$A$16</c:f>
              <c:strCache>
                <c:ptCount val="1"/>
                <c:pt idx="0">
                  <c:v>Valorisation énergétique des déchets</c:v>
                </c:pt>
              </c:strCache>
            </c:strRef>
          </c:tx>
          <c:spPr>
            <a:solidFill>
              <a:schemeClr val="accent4"/>
            </a:solidFill>
            <a:ln>
              <a:noFill/>
            </a:ln>
            <a:effectLst/>
          </c:spPr>
          <c:cat>
            <c:numRef>
              <c:f>'Secteur énergie'!$B$4:$AF$4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'Secteur énergie'!$B$16:$AF$16</c:f>
              <c:numCache>
                <c:formatCode>#\ ##0.0</c:formatCode>
                <c:ptCount val="31"/>
                <c:pt idx="0">
                  <c:v>2.747489777589049</c:v>
                </c:pt>
                <c:pt idx="1">
                  <c:v>3.0035154180580323</c:v>
                </c:pt>
                <c:pt idx="2">
                  <c:v>3.2595410585270139</c:v>
                </c:pt>
                <c:pt idx="3">
                  <c:v>3.517364373136989</c:v>
                </c:pt>
                <c:pt idx="4">
                  <c:v>3.5424613439784847</c:v>
                </c:pt>
                <c:pt idx="5">
                  <c:v>3.5675583148199812</c:v>
                </c:pt>
                <c:pt idx="6">
                  <c:v>3.5322329823006888</c:v>
                </c:pt>
                <c:pt idx="7">
                  <c:v>3.5607610114804884</c:v>
                </c:pt>
                <c:pt idx="8">
                  <c:v>3.5710183817886336</c:v>
                </c:pt>
                <c:pt idx="9">
                  <c:v>3.9584995170731392</c:v>
                </c:pt>
                <c:pt idx="10">
                  <c:v>4.1588355194383855</c:v>
                </c:pt>
                <c:pt idx="11">
                  <c:v>4.4503189349378296</c:v>
                </c:pt>
                <c:pt idx="12">
                  <c:v>4.7431370415646068</c:v>
                </c:pt>
                <c:pt idx="13">
                  <c:v>4.9389197086711771</c:v>
                </c:pt>
                <c:pt idx="14">
                  <c:v>5.1315840560683883</c:v>
                </c:pt>
                <c:pt idx="15">
                  <c:v>5.10050530142846</c:v>
                </c:pt>
                <c:pt idx="16">
                  <c:v>4.9559484631786894</c:v>
                </c:pt>
                <c:pt idx="17">
                  <c:v>4.860029461478768</c:v>
                </c:pt>
                <c:pt idx="18">
                  <c:v>4.8338435887353839</c:v>
                </c:pt>
                <c:pt idx="19">
                  <c:v>5.1695358134892695</c:v>
                </c:pt>
                <c:pt idx="20">
                  <c:v>5.6064796887889585</c:v>
                </c:pt>
                <c:pt idx="21">
                  <c:v>5.743269771880211</c:v>
                </c:pt>
                <c:pt idx="22">
                  <c:v>5.9918634280118415</c:v>
                </c:pt>
                <c:pt idx="23">
                  <c:v>6.3082804403791233</c:v>
                </c:pt>
                <c:pt idx="24">
                  <c:v>6.6289858110497635</c:v>
                </c:pt>
                <c:pt idx="25">
                  <c:v>6.7963095069918742</c:v>
                </c:pt>
                <c:pt idx="26">
                  <c:v>6.986259809144669</c:v>
                </c:pt>
                <c:pt idx="27">
                  <c:v>7.1344659718933459</c:v>
                </c:pt>
                <c:pt idx="28">
                  <c:v>7.2367178949572084</c:v>
                </c:pt>
                <c:pt idx="29">
                  <c:v>7.1375256571048844</c:v>
                </c:pt>
                <c:pt idx="30">
                  <c:v>6.9631023110439827</c:v>
                </c:pt>
              </c:numCache>
            </c:numRef>
          </c:val>
          <c:extLst>
            <c:ext xmlns:c16="http://schemas.microsoft.com/office/drawing/2014/chart" uri="{C3380CC4-5D6E-409C-BE32-E72D297353CC}">
              <c16:uniqueId val="{00000003-F695-4EA2-88DC-E7F1CFEBAE67}"/>
            </c:ext>
          </c:extLst>
        </c:ser>
        <c:dLbls>
          <c:showLegendKey val="0"/>
          <c:showVal val="0"/>
          <c:showCatName val="0"/>
          <c:showSerName val="0"/>
          <c:showPercent val="0"/>
          <c:showBubbleSize val="0"/>
        </c:dLbls>
        <c:axId val="981196512"/>
        <c:axId val="981197760"/>
      </c:areaChart>
      <c:catAx>
        <c:axId val="9811965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197760"/>
        <c:crosses val="autoZero"/>
        <c:auto val="1"/>
        <c:lblAlgn val="ctr"/>
        <c:lblOffset val="100"/>
        <c:noMultiLvlLbl val="0"/>
      </c:catAx>
      <c:valAx>
        <c:axId val="981197760"/>
        <c:scaling>
          <c:orientation val="minMax"/>
          <c:max val="8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a:t>
                </a:r>
                <a:r>
                  <a:rPr lang="en-GB"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1965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Feuil2!$A$9</c:f>
              <c:strCache>
                <c:ptCount val="1"/>
                <c:pt idx="0">
                  <c:v>Culture</c:v>
                </c:pt>
              </c:strCache>
            </c:strRef>
          </c:tx>
          <c:spPr>
            <a:ln w="28575" cap="rnd">
              <a:solidFill>
                <a:schemeClr val="accent1"/>
              </a:solidFill>
              <a:round/>
            </a:ln>
            <a:effectLst/>
          </c:spPr>
          <c:marker>
            <c:symbol val="none"/>
          </c:marker>
          <c:cat>
            <c:numRef>
              <c:f>Feuil2!$B$3:$AF$3</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Feuil2!$B$9:$AF$9</c:f>
              <c:numCache>
                <c:formatCode>#\ ##0.0</c:formatCode>
                <c:ptCount val="31"/>
                <c:pt idx="0">
                  <c:v>35.892640866678875</c:v>
                </c:pt>
                <c:pt idx="1">
                  <c:v>36.17690170149848</c:v>
                </c:pt>
                <c:pt idx="2">
                  <c:v>35.329319917499468</c:v>
                </c:pt>
                <c:pt idx="3">
                  <c:v>34.646728942929123</c:v>
                </c:pt>
                <c:pt idx="4">
                  <c:v>34.063641166515097</c:v>
                </c:pt>
                <c:pt idx="5">
                  <c:v>34.554516380166817</c:v>
                </c:pt>
                <c:pt idx="6">
                  <c:v>35.099035250068447</c:v>
                </c:pt>
                <c:pt idx="7">
                  <c:v>35.629445604037876</c:v>
                </c:pt>
                <c:pt idx="8">
                  <c:v>35.847976186836348</c:v>
                </c:pt>
                <c:pt idx="9">
                  <c:v>36.119980446646203</c:v>
                </c:pt>
                <c:pt idx="10">
                  <c:v>36.484914966209537</c:v>
                </c:pt>
                <c:pt idx="11">
                  <c:v>36.03361612671366</c:v>
                </c:pt>
                <c:pt idx="12">
                  <c:v>35.544141505387621</c:v>
                </c:pt>
                <c:pt idx="13">
                  <c:v>33.951346465039023</c:v>
                </c:pt>
                <c:pt idx="14">
                  <c:v>35.073767892860964</c:v>
                </c:pt>
                <c:pt idx="15">
                  <c:v>34.188364069269518</c:v>
                </c:pt>
                <c:pt idx="16">
                  <c:v>33.660426633599499</c:v>
                </c:pt>
                <c:pt idx="17">
                  <c:v>34.339092133252009</c:v>
                </c:pt>
                <c:pt idx="18">
                  <c:v>34.605810893688485</c:v>
                </c:pt>
                <c:pt idx="19">
                  <c:v>34.120048062098476</c:v>
                </c:pt>
                <c:pt idx="20">
                  <c:v>33.407088705293447</c:v>
                </c:pt>
                <c:pt idx="21">
                  <c:v>32.8882197816014</c:v>
                </c:pt>
                <c:pt idx="22">
                  <c:v>33.546177960886929</c:v>
                </c:pt>
                <c:pt idx="23">
                  <c:v>33.122208194087705</c:v>
                </c:pt>
                <c:pt idx="24">
                  <c:v>34.268057573785647</c:v>
                </c:pt>
                <c:pt idx="25">
                  <c:v>33.968427656733908</c:v>
                </c:pt>
                <c:pt idx="26">
                  <c:v>33.160527974529955</c:v>
                </c:pt>
                <c:pt idx="27">
                  <c:v>33.911779299780378</c:v>
                </c:pt>
                <c:pt idx="28">
                  <c:v>33.070024839649477</c:v>
                </c:pt>
                <c:pt idx="29">
                  <c:v>32.731809844078271</c:v>
                </c:pt>
                <c:pt idx="30">
                  <c:v>31.103399637284113</c:v>
                </c:pt>
              </c:numCache>
            </c:numRef>
          </c:val>
          <c:smooth val="0"/>
          <c:extLst>
            <c:ext xmlns:c16="http://schemas.microsoft.com/office/drawing/2014/chart" uri="{C3380CC4-5D6E-409C-BE32-E72D297353CC}">
              <c16:uniqueId val="{00000000-6846-460B-9CF5-4FBBEFEC1D59}"/>
            </c:ext>
          </c:extLst>
        </c:ser>
        <c:ser>
          <c:idx val="1"/>
          <c:order val="1"/>
          <c:tx>
            <c:strRef>
              <c:f>Feuil2!$A$10</c:f>
              <c:strCache>
                <c:ptCount val="1"/>
                <c:pt idx="0">
                  <c:v>Fermentation entérique</c:v>
                </c:pt>
              </c:strCache>
            </c:strRef>
          </c:tx>
          <c:spPr>
            <a:ln w="28575" cap="rnd">
              <a:solidFill>
                <a:schemeClr val="accent2"/>
              </a:solidFill>
              <a:round/>
            </a:ln>
            <a:effectLst/>
          </c:spPr>
          <c:marker>
            <c:symbol val="none"/>
          </c:marker>
          <c:cat>
            <c:numRef>
              <c:f>Feuil2!$B$3:$AF$3</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Feuil2!$B$10:$AF$10</c:f>
              <c:numCache>
                <c:formatCode>#\ ##0.0</c:formatCode>
                <c:ptCount val="31"/>
                <c:pt idx="0">
                  <c:v>38.630537891313168</c:v>
                </c:pt>
                <c:pt idx="1">
                  <c:v>37.999783626371098</c:v>
                </c:pt>
                <c:pt idx="2">
                  <c:v>37.451823325006117</c:v>
                </c:pt>
                <c:pt idx="3">
                  <c:v>37.13551757644796</c:v>
                </c:pt>
                <c:pt idx="4">
                  <c:v>37.272813927323888</c:v>
                </c:pt>
                <c:pt idx="5">
                  <c:v>37.463729526353518</c:v>
                </c:pt>
                <c:pt idx="6">
                  <c:v>37.422899187872808</c:v>
                </c:pt>
                <c:pt idx="7">
                  <c:v>37.014044405266354</c:v>
                </c:pt>
                <c:pt idx="8">
                  <c:v>36.785966283954302</c:v>
                </c:pt>
                <c:pt idx="9">
                  <c:v>36.770292985466376</c:v>
                </c:pt>
                <c:pt idx="10">
                  <c:v>38.104344043074903</c:v>
                </c:pt>
                <c:pt idx="11">
                  <c:v>38.111411228709478</c:v>
                </c:pt>
                <c:pt idx="12">
                  <c:v>37.202305600936313</c:v>
                </c:pt>
                <c:pt idx="13">
                  <c:v>36.103271126396955</c:v>
                </c:pt>
                <c:pt idx="14">
                  <c:v>35.589907827800268</c:v>
                </c:pt>
                <c:pt idx="15">
                  <c:v>35.427239659049285</c:v>
                </c:pt>
                <c:pt idx="16">
                  <c:v>35.470759850561301</c:v>
                </c:pt>
                <c:pt idx="17">
                  <c:v>35.685050332818413</c:v>
                </c:pt>
                <c:pt idx="18">
                  <c:v>36.096522845939027</c:v>
                </c:pt>
                <c:pt idx="19">
                  <c:v>35.749793841591604</c:v>
                </c:pt>
                <c:pt idx="20">
                  <c:v>35.594168648680366</c:v>
                </c:pt>
                <c:pt idx="21">
                  <c:v>35.003780105054915</c:v>
                </c:pt>
                <c:pt idx="22">
                  <c:v>34.644140540383802</c:v>
                </c:pt>
                <c:pt idx="23">
                  <c:v>34.707882452507462</c:v>
                </c:pt>
                <c:pt idx="24">
                  <c:v>35.187918501180924</c:v>
                </c:pt>
                <c:pt idx="25">
                  <c:v>35.333731216332296</c:v>
                </c:pt>
                <c:pt idx="26">
                  <c:v>35.131075874739729</c:v>
                </c:pt>
                <c:pt idx="27">
                  <c:v>34.750496640426832</c:v>
                </c:pt>
                <c:pt idx="28">
                  <c:v>34.220263251958912</c:v>
                </c:pt>
                <c:pt idx="29">
                  <c:v>33.643712552778318</c:v>
                </c:pt>
                <c:pt idx="30">
                  <c:v>33.136510471699538</c:v>
                </c:pt>
              </c:numCache>
            </c:numRef>
          </c:val>
          <c:smooth val="0"/>
          <c:extLst>
            <c:ext xmlns:c16="http://schemas.microsoft.com/office/drawing/2014/chart" uri="{C3380CC4-5D6E-409C-BE32-E72D297353CC}">
              <c16:uniqueId val="{00000001-6846-460B-9CF5-4FBBEFEC1D59}"/>
            </c:ext>
          </c:extLst>
        </c:ser>
        <c:ser>
          <c:idx val="2"/>
          <c:order val="2"/>
          <c:tx>
            <c:strRef>
              <c:f>Feuil2!$A$11</c:f>
              <c:strCache>
                <c:ptCount val="1"/>
                <c:pt idx="0">
                  <c:v>Déjections animales</c:v>
                </c:pt>
              </c:strCache>
            </c:strRef>
          </c:tx>
          <c:spPr>
            <a:ln w="28575" cap="rnd">
              <a:solidFill>
                <a:schemeClr val="accent3"/>
              </a:solidFill>
              <a:round/>
            </a:ln>
            <a:effectLst/>
          </c:spPr>
          <c:marker>
            <c:symbol val="none"/>
          </c:marker>
          <c:cat>
            <c:numRef>
              <c:f>Feuil2!$B$3:$AF$3</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Feuil2!$B$11:$AF$11</c:f>
              <c:numCache>
                <c:formatCode>#\ ##0.0</c:formatCode>
                <c:ptCount val="31"/>
                <c:pt idx="0">
                  <c:v>6.2797745072230136</c:v>
                </c:pt>
                <c:pt idx="1">
                  <c:v>6.1979463356041213</c:v>
                </c:pt>
                <c:pt idx="2">
                  <c:v>6.1616316838078573</c:v>
                </c:pt>
                <c:pt idx="3">
                  <c:v>6.1650320212671126</c:v>
                </c:pt>
                <c:pt idx="4">
                  <c:v>6.2176092969895285</c:v>
                </c:pt>
                <c:pt idx="5">
                  <c:v>6.2629360758055634</c:v>
                </c:pt>
                <c:pt idx="6">
                  <c:v>6.1910597824968709</c:v>
                </c:pt>
                <c:pt idx="7">
                  <c:v>6.3958317742604178</c:v>
                </c:pt>
                <c:pt idx="8">
                  <c:v>6.3516644161882692</c:v>
                </c:pt>
                <c:pt idx="9">
                  <c:v>6.5528478141292652</c:v>
                </c:pt>
                <c:pt idx="10">
                  <c:v>6.7024971058081944</c:v>
                </c:pt>
                <c:pt idx="11">
                  <c:v>6.6600132078645764</c:v>
                </c:pt>
                <c:pt idx="12">
                  <c:v>6.6948159990547014</c:v>
                </c:pt>
                <c:pt idx="13">
                  <c:v>6.6970862879201327</c:v>
                </c:pt>
                <c:pt idx="14">
                  <c:v>6.4021673382679705</c:v>
                </c:pt>
                <c:pt idx="15">
                  <c:v>6.4026602663362659</c:v>
                </c:pt>
                <c:pt idx="16">
                  <c:v>6.519302960225084</c:v>
                </c:pt>
                <c:pt idx="17">
                  <c:v>6.4974376108817742</c:v>
                </c:pt>
                <c:pt idx="18">
                  <c:v>6.5480496569253379</c:v>
                </c:pt>
                <c:pt idx="19">
                  <c:v>6.518094337643018</c:v>
                </c:pt>
                <c:pt idx="20">
                  <c:v>6.2017863546150229</c:v>
                </c:pt>
                <c:pt idx="21">
                  <c:v>6.5902201489572274</c:v>
                </c:pt>
                <c:pt idx="22">
                  <c:v>6.2299846152917704</c:v>
                </c:pt>
                <c:pt idx="23">
                  <c:v>6.1240729254340014</c:v>
                </c:pt>
                <c:pt idx="24">
                  <c:v>6.4529065590099428</c:v>
                </c:pt>
                <c:pt idx="25">
                  <c:v>6.4178166799771628</c:v>
                </c:pt>
                <c:pt idx="26">
                  <c:v>6.1963122259900389</c:v>
                </c:pt>
                <c:pt idx="27">
                  <c:v>6.1734606313418139</c:v>
                </c:pt>
                <c:pt idx="28">
                  <c:v>6.2591880290201551</c:v>
                </c:pt>
                <c:pt idx="29">
                  <c:v>6.1221649248881347</c:v>
                </c:pt>
                <c:pt idx="30">
                  <c:v>6.1462366915273225</c:v>
                </c:pt>
              </c:numCache>
            </c:numRef>
          </c:val>
          <c:smooth val="0"/>
          <c:extLst>
            <c:ext xmlns:c16="http://schemas.microsoft.com/office/drawing/2014/chart" uri="{C3380CC4-5D6E-409C-BE32-E72D297353CC}">
              <c16:uniqueId val="{00000002-6846-460B-9CF5-4FBBEFEC1D59}"/>
            </c:ext>
          </c:extLst>
        </c:ser>
        <c:ser>
          <c:idx val="3"/>
          <c:order val="3"/>
          <c:tx>
            <c:v>Consommation d'énergie</c:v>
          </c:tx>
          <c:spPr>
            <a:ln w="28575" cap="rnd">
              <a:solidFill>
                <a:schemeClr val="accent4"/>
              </a:solidFill>
              <a:round/>
            </a:ln>
            <a:effectLst/>
          </c:spPr>
          <c:marker>
            <c:symbol val="none"/>
          </c:marker>
          <c:val>
            <c:numRef>
              <c:f>Feuil2!$B$13:$AF$13</c:f>
              <c:numCache>
                <c:formatCode>#\ ##0.0</c:formatCode>
                <c:ptCount val="31"/>
                <c:pt idx="0">
                  <c:v>10.682947011017697</c:v>
                </c:pt>
                <c:pt idx="1">
                  <c:v>10.679382173456736</c:v>
                </c:pt>
                <c:pt idx="2">
                  <c:v>10.983485521738773</c:v>
                </c:pt>
                <c:pt idx="3">
                  <c:v>11.085233497544646</c:v>
                </c:pt>
                <c:pt idx="4">
                  <c:v>10.915333434331309</c:v>
                </c:pt>
                <c:pt idx="5">
                  <c:v>11.010233087877049</c:v>
                </c:pt>
                <c:pt idx="6">
                  <c:v>11.323013941261975</c:v>
                </c:pt>
                <c:pt idx="7">
                  <c:v>11.259971837280855</c:v>
                </c:pt>
                <c:pt idx="8">
                  <c:v>11.502534156948334</c:v>
                </c:pt>
                <c:pt idx="9">
                  <c:v>11.540479507946037</c:v>
                </c:pt>
                <c:pt idx="10">
                  <c:v>11.672424769926952</c:v>
                </c:pt>
                <c:pt idx="11">
                  <c:v>11.732069804489859</c:v>
                </c:pt>
                <c:pt idx="12">
                  <c:v>11.359430066445409</c:v>
                </c:pt>
                <c:pt idx="13">
                  <c:v>11.202238416955723</c:v>
                </c:pt>
                <c:pt idx="14">
                  <c:v>11.869417928404596</c:v>
                </c:pt>
                <c:pt idx="15">
                  <c:v>11.564194835097915</c:v>
                </c:pt>
                <c:pt idx="16">
                  <c:v>11.265514739689378</c:v>
                </c:pt>
                <c:pt idx="17">
                  <c:v>11.104741702653603</c:v>
                </c:pt>
                <c:pt idx="18">
                  <c:v>11.487228603012795</c:v>
                </c:pt>
                <c:pt idx="19">
                  <c:v>11.558459440717863</c:v>
                </c:pt>
                <c:pt idx="20">
                  <c:v>11.165585682556847</c:v>
                </c:pt>
                <c:pt idx="21">
                  <c:v>11.017614366796165</c:v>
                </c:pt>
                <c:pt idx="22">
                  <c:v>10.429171644486775</c:v>
                </c:pt>
                <c:pt idx="23">
                  <c:v>11.13393586694793</c:v>
                </c:pt>
                <c:pt idx="24">
                  <c:v>11.109674044956733</c:v>
                </c:pt>
                <c:pt idx="25">
                  <c:v>11.004725489255069</c:v>
                </c:pt>
                <c:pt idx="26">
                  <c:v>10.268642905744578</c:v>
                </c:pt>
                <c:pt idx="27">
                  <c:v>9.856827111950432</c:v>
                </c:pt>
                <c:pt idx="28">
                  <c:v>9.9475213113637331</c:v>
                </c:pt>
                <c:pt idx="29">
                  <c:v>9.8038462862177944</c:v>
                </c:pt>
                <c:pt idx="30">
                  <c:v>10.340338485756435</c:v>
                </c:pt>
              </c:numCache>
            </c:numRef>
          </c:val>
          <c:smooth val="0"/>
          <c:extLst>
            <c:ext xmlns:c16="http://schemas.microsoft.com/office/drawing/2014/chart" uri="{C3380CC4-5D6E-409C-BE32-E72D297353CC}">
              <c16:uniqueId val="{00000003-6846-460B-9CF5-4FBBEFEC1D59}"/>
            </c:ext>
          </c:extLst>
        </c:ser>
        <c:dLbls>
          <c:showLegendKey val="0"/>
          <c:showVal val="0"/>
          <c:showCatName val="0"/>
          <c:showSerName val="0"/>
          <c:showPercent val="0"/>
          <c:showBubbleSize val="0"/>
        </c:dLbls>
        <c:smooth val="0"/>
        <c:axId val="931714144"/>
        <c:axId val="931712896"/>
      </c:lineChart>
      <c:catAx>
        <c:axId val="93171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1712896"/>
        <c:crosses val="autoZero"/>
        <c:auto val="1"/>
        <c:lblAlgn val="ctr"/>
        <c:lblOffset val="100"/>
        <c:noMultiLvlLbl val="0"/>
      </c:catAx>
      <c:valAx>
        <c:axId val="931712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a:t>
                </a:r>
                <a:r>
                  <a:rPr lang="en-GB"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1714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Feuil2!$A$17</c:f>
              <c:strCache>
                <c:ptCount val="1"/>
                <c:pt idx="0">
                  <c:v>CO2</c:v>
                </c:pt>
              </c:strCache>
            </c:strRef>
          </c:tx>
          <c:spPr>
            <a:solidFill>
              <a:schemeClr val="accent1"/>
            </a:solidFill>
            <a:ln>
              <a:noFill/>
            </a:ln>
            <a:effectLst/>
          </c:spPr>
          <c:val>
            <c:numRef>
              <c:f>Feuil2!$B$17:$AF$17</c:f>
              <c:numCache>
                <c:formatCode>#\ ##0.0</c:formatCode>
                <c:ptCount val="31"/>
                <c:pt idx="0">
                  <c:v>11.649966521752932</c:v>
                </c:pt>
                <c:pt idx="1">
                  <c:v>11.652741836508252</c:v>
                </c:pt>
                <c:pt idx="2">
                  <c:v>11.782132046946064</c:v>
                </c:pt>
                <c:pt idx="3">
                  <c:v>12.003593678994511</c:v>
                </c:pt>
                <c:pt idx="4">
                  <c:v>11.80827689150602</c:v>
                </c:pt>
                <c:pt idx="5">
                  <c:v>12.023836885993568</c:v>
                </c:pt>
                <c:pt idx="6">
                  <c:v>12.273141025787448</c:v>
                </c:pt>
                <c:pt idx="7">
                  <c:v>12.372288049874536</c:v>
                </c:pt>
                <c:pt idx="8">
                  <c:v>12.607638782705983</c:v>
                </c:pt>
                <c:pt idx="9">
                  <c:v>12.626450026719823</c:v>
                </c:pt>
                <c:pt idx="10">
                  <c:v>12.670446846532432</c:v>
                </c:pt>
                <c:pt idx="11">
                  <c:v>12.698460154411086</c:v>
                </c:pt>
                <c:pt idx="12">
                  <c:v>12.317813712762842</c:v>
                </c:pt>
                <c:pt idx="13">
                  <c:v>12.198864006922101</c:v>
                </c:pt>
                <c:pt idx="14">
                  <c:v>12.806837857894438</c:v>
                </c:pt>
                <c:pt idx="15">
                  <c:v>12.511184780991682</c:v>
                </c:pt>
                <c:pt idx="16">
                  <c:v>12.156477640986296</c:v>
                </c:pt>
                <c:pt idx="17">
                  <c:v>12.033591359385342</c:v>
                </c:pt>
                <c:pt idx="18">
                  <c:v>12.41625000183133</c:v>
                </c:pt>
                <c:pt idx="19">
                  <c:v>12.559923237711207</c:v>
                </c:pt>
                <c:pt idx="20">
                  <c:v>12.149364766674667</c:v>
                </c:pt>
                <c:pt idx="21">
                  <c:v>12.056565488870735</c:v>
                </c:pt>
                <c:pt idx="22">
                  <c:v>11.608042312183105</c:v>
                </c:pt>
                <c:pt idx="23">
                  <c:v>12.144162333194975</c:v>
                </c:pt>
                <c:pt idx="24">
                  <c:v>12.166407062629808</c:v>
                </c:pt>
                <c:pt idx="25">
                  <c:v>12.112606617552046</c:v>
                </c:pt>
                <c:pt idx="26">
                  <c:v>11.438226176444495</c:v>
                </c:pt>
                <c:pt idx="27">
                  <c:v>11.007693608692307</c:v>
                </c:pt>
                <c:pt idx="28">
                  <c:v>11.171777077410034</c:v>
                </c:pt>
                <c:pt idx="29">
                  <c:v>10.899302763354489</c:v>
                </c:pt>
                <c:pt idx="30">
                  <c:v>11.205319898128888</c:v>
                </c:pt>
              </c:numCache>
            </c:numRef>
          </c:val>
          <c:extLst>
            <c:ext xmlns:c16="http://schemas.microsoft.com/office/drawing/2014/chart" uri="{C3380CC4-5D6E-409C-BE32-E72D297353CC}">
              <c16:uniqueId val="{00000000-6D55-4532-A704-097F4225F914}"/>
            </c:ext>
          </c:extLst>
        </c:ser>
        <c:ser>
          <c:idx val="1"/>
          <c:order val="1"/>
          <c:tx>
            <c:strRef>
              <c:f>Feuil2!$A$19</c:f>
              <c:strCache>
                <c:ptCount val="1"/>
                <c:pt idx="0">
                  <c:v>CH4</c:v>
                </c:pt>
              </c:strCache>
            </c:strRef>
          </c:tx>
          <c:spPr>
            <a:solidFill>
              <a:schemeClr val="accent2"/>
            </a:solidFill>
            <a:ln>
              <a:noFill/>
            </a:ln>
            <a:effectLst/>
          </c:spPr>
          <c:val>
            <c:numRef>
              <c:f>Feuil2!$B$19:$AF$19</c:f>
              <c:numCache>
                <c:formatCode>#,##0</c:formatCode>
                <c:ptCount val="31"/>
                <c:pt idx="0">
                  <c:v>42.237556065495561</c:v>
                </c:pt>
                <c:pt idx="1">
                  <c:v>41.575404087774679</c:v>
                </c:pt>
                <c:pt idx="2">
                  <c:v>41.045604247604494</c:v>
                </c:pt>
                <c:pt idx="3">
                  <c:v>40.754798022766245</c:v>
                </c:pt>
                <c:pt idx="4">
                  <c:v>40.940118059381149</c:v>
                </c:pt>
                <c:pt idx="5">
                  <c:v>41.163706463445777</c:v>
                </c:pt>
                <c:pt idx="6">
                  <c:v>41.050822291592937</c:v>
                </c:pt>
                <c:pt idx="7">
                  <c:v>40.871414027624908</c:v>
                </c:pt>
                <c:pt idx="8">
                  <c:v>40.613155451510025</c:v>
                </c:pt>
                <c:pt idx="9">
                  <c:v>40.808715313267129</c:v>
                </c:pt>
                <c:pt idx="10">
                  <c:v>42.215612857937053</c:v>
                </c:pt>
                <c:pt idx="11">
                  <c:v>42.18884676059492</c:v>
                </c:pt>
                <c:pt idx="12">
                  <c:v>41.360917523570919</c:v>
                </c:pt>
                <c:pt idx="13">
                  <c:v>40.319639472215123</c:v>
                </c:pt>
                <c:pt idx="14">
                  <c:v>39.557863992679778</c:v>
                </c:pt>
                <c:pt idx="15">
                  <c:v>39.389039734260926</c:v>
                </c:pt>
                <c:pt idx="16">
                  <c:v>39.540740646220613</c:v>
                </c:pt>
                <c:pt idx="17">
                  <c:v>39.702262959185177</c:v>
                </c:pt>
                <c:pt idx="18">
                  <c:v>40.128366534132645</c:v>
                </c:pt>
                <c:pt idx="19">
                  <c:v>39.800800738809897</c:v>
                </c:pt>
                <c:pt idx="20">
                  <c:v>39.339602033602858</c:v>
                </c:pt>
                <c:pt idx="21">
                  <c:v>39.147253164815041</c:v>
                </c:pt>
                <c:pt idx="22">
                  <c:v>38.449612891248357</c:v>
                </c:pt>
                <c:pt idx="23">
                  <c:v>38.406635735153834</c:v>
                </c:pt>
                <c:pt idx="24">
                  <c:v>39.185905234966938</c:v>
                </c:pt>
                <c:pt idx="25">
                  <c:v>39.292368682657766</c:v>
                </c:pt>
                <c:pt idx="26">
                  <c:v>38.890163004509255</c:v>
                </c:pt>
                <c:pt idx="27">
                  <c:v>38.537469647467894</c:v>
                </c:pt>
                <c:pt idx="28">
                  <c:v>38.110130851733707</c:v>
                </c:pt>
                <c:pt idx="29">
                  <c:v>37.455993999669971</c:v>
                </c:pt>
                <c:pt idx="30">
                  <c:v>37.009782735566432</c:v>
                </c:pt>
              </c:numCache>
            </c:numRef>
          </c:val>
          <c:extLst>
            <c:ext xmlns:c16="http://schemas.microsoft.com/office/drawing/2014/chart" uri="{C3380CC4-5D6E-409C-BE32-E72D297353CC}">
              <c16:uniqueId val="{00000001-6D55-4532-A704-097F4225F914}"/>
            </c:ext>
          </c:extLst>
        </c:ser>
        <c:ser>
          <c:idx val="2"/>
          <c:order val="2"/>
          <c:tx>
            <c:strRef>
              <c:f>Feuil2!$A$21</c:f>
              <c:strCache>
                <c:ptCount val="1"/>
                <c:pt idx="0">
                  <c:v>N2O</c:v>
                </c:pt>
              </c:strCache>
            </c:strRef>
          </c:tx>
          <c:spPr>
            <a:solidFill>
              <a:schemeClr val="accent3"/>
            </a:solidFill>
            <a:ln>
              <a:noFill/>
            </a:ln>
            <a:effectLst/>
          </c:spPr>
          <c:val>
            <c:numRef>
              <c:f>Feuil2!$B$21:$AF$21</c:f>
              <c:numCache>
                <c:formatCode>#,##0</c:formatCode>
                <c:ptCount val="31"/>
                <c:pt idx="0">
                  <c:v>37.59837768898425</c:v>
                </c:pt>
                <c:pt idx="1">
                  <c:v>37.825867912647489</c:v>
                </c:pt>
                <c:pt idx="2">
                  <c:v>37.098524153501643</c:v>
                </c:pt>
                <c:pt idx="3">
                  <c:v>36.274120336428091</c:v>
                </c:pt>
                <c:pt idx="4">
                  <c:v>35.721002874272678</c:v>
                </c:pt>
                <c:pt idx="5">
                  <c:v>36.1038717207636</c:v>
                </c:pt>
                <c:pt idx="6">
                  <c:v>36.712044844319699</c:v>
                </c:pt>
                <c:pt idx="7">
                  <c:v>37.055591543346061</c:v>
                </c:pt>
                <c:pt idx="8">
                  <c:v>37.267346809711249</c:v>
                </c:pt>
                <c:pt idx="9">
                  <c:v>37.548435414200902</c:v>
                </c:pt>
                <c:pt idx="10">
                  <c:v>38.078121180550113</c:v>
                </c:pt>
                <c:pt idx="11">
                  <c:v>37.649803452771543</c:v>
                </c:pt>
                <c:pt idx="12">
                  <c:v>37.121961935490297</c:v>
                </c:pt>
                <c:pt idx="13">
                  <c:v>35.435438817174614</c:v>
                </c:pt>
                <c:pt idx="14">
                  <c:v>36.570559136759563</c:v>
                </c:pt>
                <c:pt idx="15">
                  <c:v>35.682234314500334</c:v>
                </c:pt>
                <c:pt idx="16">
                  <c:v>35.21878589686834</c:v>
                </c:pt>
                <c:pt idx="17">
                  <c:v>35.890467461035264</c:v>
                </c:pt>
                <c:pt idx="18">
                  <c:v>36.192995463601648</c:v>
                </c:pt>
                <c:pt idx="19">
                  <c:v>35.58567170552984</c:v>
                </c:pt>
                <c:pt idx="20">
                  <c:v>34.879662590868165</c:v>
                </c:pt>
                <c:pt idx="21">
                  <c:v>34.296015748723946</c:v>
                </c:pt>
                <c:pt idx="22">
                  <c:v>34.791819557617828</c:v>
                </c:pt>
                <c:pt idx="23">
                  <c:v>34.537301370628299</c:v>
                </c:pt>
                <c:pt idx="24">
                  <c:v>35.66624438133649</c:v>
                </c:pt>
                <c:pt idx="25">
                  <c:v>35.319735478051243</c:v>
                </c:pt>
                <c:pt idx="26">
                  <c:v>34.428179908089689</c:v>
                </c:pt>
                <c:pt idx="27">
                  <c:v>35.147555269489743</c:v>
                </c:pt>
                <c:pt idx="28">
                  <c:v>34.215096714230107</c:v>
                </c:pt>
                <c:pt idx="29">
                  <c:v>33.946243631351088</c:v>
                </c:pt>
                <c:pt idx="30">
                  <c:v>32.511394863030205</c:v>
                </c:pt>
              </c:numCache>
            </c:numRef>
          </c:val>
          <c:extLst>
            <c:ext xmlns:c16="http://schemas.microsoft.com/office/drawing/2014/chart" uri="{C3380CC4-5D6E-409C-BE32-E72D297353CC}">
              <c16:uniqueId val="{00000002-6D55-4532-A704-097F4225F914}"/>
            </c:ext>
          </c:extLst>
        </c:ser>
        <c:dLbls>
          <c:showLegendKey val="0"/>
          <c:showVal val="0"/>
          <c:showCatName val="0"/>
          <c:showSerName val="0"/>
          <c:showPercent val="0"/>
          <c:showBubbleSize val="0"/>
        </c:dLbls>
        <c:axId val="936984720"/>
        <c:axId val="936985136"/>
      </c:areaChart>
      <c:catAx>
        <c:axId val="936984720"/>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6985136"/>
        <c:crosses val="autoZero"/>
        <c:auto val="1"/>
        <c:lblAlgn val="ctr"/>
        <c:lblOffset val="100"/>
        <c:noMultiLvlLbl val="0"/>
      </c:catAx>
      <c:valAx>
        <c:axId val="936985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a:t>
                </a:r>
                <a:r>
                  <a:rPr lang="en-GB"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69847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strRef>
              <c:f>CO2e!$B$49</c:f>
              <c:strCache>
                <c:ptCount val="1"/>
                <c:pt idx="0">
                  <c:v>Forêts</c:v>
                </c:pt>
              </c:strCache>
            </c:strRef>
          </c:tx>
          <c:spPr>
            <a:solidFill>
              <a:schemeClr val="accent1"/>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CO2e!$C$49:$AG$49</c:f>
              <c:numCache>
                <c:formatCode>0.0</c:formatCode>
                <c:ptCount val="19"/>
                <c:pt idx="0">
                  <c:v>-38.556030718484806</c:v>
                </c:pt>
                <c:pt idx="1">
                  <c:v>-43.826164985669806</c:v>
                </c:pt>
                <c:pt idx="2">
                  <c:v>-32.80220195420906</c:v>
                </c:pt>
                <c:pt idx="3">
                  <c:v>-64.66909450315751</c:v>
                </c:pt>
                <c:pt idx="4">
                  <c:v>-68.292858660547267</c:v>
                </c:pt>
                <c:pt idx="5">
                  <c:v>-69.680556038195917</c:v>
                </c:pt>
                <c:pt idx="6">
                  <c:v>-71.913553174691771</c:v>
                </c:pt>
                <c:pt idx="7">
                  <c:v>-61.910864516942276</c:v>
                </c:pt>
                <c:pt idx="8">
                  <c:v>-58.463497293397324</c:v>
                </c:pt>
                <c:pt idx="9">
                  <c:v>-56.771671051195341</c:v>
                </c:pt>
                <c:pt idx="10">
                  <c:v>-59.266648887402035</c:v>
                </c:pt>
                <c:pt idx="11">
                  <c:v>-62.245234013037724</c:v>
                </c:pt>
                <c:pt idx="12">
                  <c:v>-55.496936670325383</c:v>
                </c:pt>
                <c:pt idx="13">
                  <c:v>-51.968046389946565</c:v>
                </c:pt>
                <c:pt idx="14">
                  <c:v>-42.577560357010896</c:v>
                </c:pt>
                <c:pt idx="15">
                  <c:v>-33.110833066672278</c:v>
                </c:pt>
                <c:pt idx="16">
                  <c:v>-30.520630324867568</c:v>
                </c:pt>
                <c:pt idx="17">
                  <c:v>-29.072682389621331</c:v>
                </c:pt>
                <c:pt idx="18">
                  <c:v>-30.426852240103759</c:v>
                </c:pt>
              </c:numCache>
            </c:numRef>
          </c:val>
          <c:extLst>
            <c:ext xmlns:c16="http://schemas.microsoft.com/office/drawing/2014/chart" uri="{C3380CC4-5D6E-409C-BE32-E72D297353CC}">
              <c16:uniqueId val="{00000000-272D-45F9-8732-043758869DC6}"/>
            </c:ext>
          </c:extLst>
        </c:ser>
        <c:ser>
          <c:idx val="1"/>
          <c:order val="1"/>
          <c:tx>
            <c:strRef>
              <c:f>CO2e!$B$50</c:f>
              <c:strCache>
                <c:ptCount val="1"/>
                <c:pt idx="0">
                  <c:v>Terres cultivées</c:v>
                </c:pt>
              </c:strCache>
            </c:strRef>
          </c:tx>
          <c:spPr>
            <a:solidFill>
              <a:schemeClr val="accent2"/>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CO2e!$C$50:$AG$50</c:f>
              <c:numCache>
                <c:formatCode>0.0</c:formatCode>
                <c:ptCount val="19"/>
                <c:pt idx="0">
                  <c:v>23.157596726586927</c:v>
                </c:pt>
                <c:pt idx="1">
                  <c:v>22.602064528259131</c:v>
                </c:pt>
                <c:pt idx="2">
                  <c:v>21.030593950270458</c:v>
                </c:pt>
                <c:pt idx="3">
                  <c:v>18.379037808477715</c:v>
                </c:pt>
                <c:pt idx="4">
                  <c:v>18.677651480933562</c:v>
                </c:pt>
                <c:pt idx="5">
                  <c:v>19.314633650967394</c:v>
                </c:pt>
                <c:pt idx="6">
                  <c:v>20.685421288752487</c:v>
                </c:pt>
                <c:pt idx="7">
                  <c:v>20.06267713560332</c:v>
                </c:pt>
                <c:pt idx="8">
                  <c:v>19.784843959488029</c:v>
                </c:pt>
                <c:pt idx="9">
                  <c:v>18.752861864197573</c:v>
                </c:pt>
                <c:pt idx="10">
                  <c:v>17.343137227965883</c:v>
                </c:pt>
                <c:pt idx="11">
                  <c:v>16.036134989598352</c:v>
                </c:pt>
                <c:pt idx="12">
                  <c:v>15.25136282704681</c:v>
                </c:pt>
                <c:pt idx="13">
                  <c:v>14.759662562554967</c:v>
                </c:pt>
                <c:pt idx="14">
                  <c:v>14.058986836110378</c:v>
                </c:pt>
                <c:pt idx="15">
                  <c:v>13.53764139450727</c:v>
                </c:pt>
                <c:pt idx="16">
                  <c:v>13.234114476327623</c:v>
                </c:pt>
                <c:pt idx="17">
                  <c:v>13.485906543849604</c:v>
                </c:pt>
                <c:pt idx="18">
                  <c:v>13.256410179963668</c:v>
                </c:pt>
              </c:numCache>
            </c:numRef>
          </c:val>
          <c:extLst>
            <c:ext xmlns:c16="http://schemas.microsoft.com/office/drawing/2014/chart" uri="{C3380CC4-5D6E-409C-BE32-E72D297353CC}">
              <c16:uniqueId val="{00000001-272D-45F9-8732-043758869DC6}"/>
            </c:ext>
          </c:extLst>
        </c:ser>
        <c:ser>
          <c:idx val="2"/>
          <c:order val="2"/>
          <c:tx>
            <c:strRef>
              <c:f>CO2e!$B$51</c:f>
              <c:strCache>
                <c:ptCount val="1"/>
                <c:pt idx="0">
                  <c:v>Prairies</c:v>
                </c:pt>
              </c:strCache>
            </c:strRef>
          </c:tx>
          <c:spPr>
            <a:solidFill>
              <a:schemeClr val="accent3"/>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CO2e!$C$51:$AG$51</c:f>
              <c:numCache>
                <c:formatCode>0.0</c:formatCode>
                <c:ptCount val="19"/>
                <c:pt idx="0">
                  <c:v>-13.718426119186153</c:v>
                </c:pt>
                <c:pt idx="1">
                  <c:v>-14.813934788129568</c:v>
                </c:pt>
                <c:pt idx="2">
                  <c:v>-14.228279371725785</c:v>
                </c:pt>
                <c:pt idx="3">
                  <c:v>-9.4077424065297812</c:v>
                </c:pt>
                <c:pt idx="4">
                  <c:v>-8.4983128680803617</c:v>
                </c:pt>
                <c:pt idx="5">
                  <c:v>-7.6578549869033665</c:v>
                </c:pt>
                <c:pt idx="6">
                  <c:v>-8.1685321737970664</c:v>
                </c:pt>
                <c:pt idx="7">
                  <c:v>-8.7895106928446207</c:v>
                </c:pt>
                <c:pt idx="8">
                  <c:v>-9.6830302468569354</c:v>
                </c:pt>
                <c:pt idx="9">
                  <c:v>-10.323705474410948</c:v>
                </c:pt>
                <c:pt idx="10">
                  <c:v>-9.9523778666190932</c:v>
                </c:pt>
                <c:pt idx="11">
                  <c:v>-9.6412260060836292</c:v>
                </c:pt>
                <c:pt idx="12">
                  <c:v>-9.2270475971385952</c:v>
                </c:pt>
                <c:pt idx="13">
                  <c:v>-8.9416038937447624</c:v>
                </c:pt>
                <c:pt idx="14">
                  <c:v>-8.7140118861463165</c:v>
                </c:pt>
                <c:pt idx="15">
                  <c:v>-8.5253231933675284</c:v>
                </c:pt>
                <c:pt idx="16">
                  <c:v>-8.3226281928555075</c:v>
                </c:pt>
                <c:pt idx="17">
                  <c:v>-8.2470574100285265</c:v>
                </c:pt>
                <c:pt idx="18">
                  <c:v>-8.3102349091807426</c:v>
                </c:pt>
              </c:numCache>
            </c:numRef>
          </c:val>
          <c:extLst>
            <c:ext xmlns:c16="http://schemas.microsoft.com/office/drawing/2014/chart" uri="{C3380CC4-5D6E-409C-BE32-E72D297353CC}">
              <c16:uniqueId val="{00000002-272D-45F9-8732-043758869DC6}"/>
            </c:ext>
          </c:extLst>
        </c:ser>
        <c:ser>
          <c:idx val="3"/>
          <c:order val="3"/>
          <c:tx>
            <c:strRef>
              <c:f>CO2e!$B$52</c:f>
              <c:strCache>
                <c:ptCount val="1"/>
                <c:pt idx="0">
                  <c:v>Zones humides</c:v>
                </c:pt>
              </c:strCache>
            </c:strRef>
          </c:tx>
          <c:spPr>
            <a:solidFill>
              <a:schemeClr val="accent4"/>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CO2e!$C$52:$AG$52</c:f>
              <c:numCache>
                <c:formatCode>0.0</c:formatCode>
                <c:ptCount val="19"/>
                <c:pt idx="0">
                  <c:v>0.3655921806344653</c:v>
                </c:pt>
                <c:pt idx="1">
                  <c:v>0.23122534344234474</c:v>
                </c:pt>
                <c:pt idx="2">
                  <c:v>0.23977030571991187</c:v>
                </c:pt>
                <c:pt idx="3">
                  <c:v>0.53564595573555762</c:v>
                </c:pt>
                <c:pt idx="4">
                  <c:v>0.70929109372778509</c:v>
                </c:pt>
                <c:pt idx="5">
                  <c:v>0.86417716672070222</c:v>
                </c:pt>
                <c:pt idx="6">
                  <c:v>0.34565470423579636</c:v>
                </c:pt>
                <c:pt idx="7">
                  <c:v>0.4912914268001376</c:v>
                </c:pt>
                <c:pt idx="8">
                  <c:v>0.36237774986799343</c:v>
                </c:pt>
                <c:pt idx="9">
                  <c:v>0.52223250997482629</c:v>
                </c:pt>
                <c:pt idx="10">
                  <c:v>0.52199665473672185</c:v>
                </c:pt>
                <c:pt idx="11">
                  <c:v>0.52177259226052275</c:v>
                </c:pt>
                <c:pt idx="12">
                  <c:v>0.52155973290813351</c:v>
                </c:pt>
                <c:pt idx="13">
                  <c:v>0.52135751652336382</c:v>
                </c:pt>
                <c:pt idx="14">
                  <c:v>0.50515703461390837</c:v>
                </c:pt>
                <c:pt idx="15">
                  <c:v>0.50497453432665362</c:v>
                </c:pt>
                <c:pt idx="16">
                  <c:v>0.50480115905376177</c:v>
                </c:pt>
                <c:pt idx="17">
                  <c:v>0.50463645254451428</c:v>
                </c:pt>
                <c:pt idx="18">
                  <c:v>0.50447998136072947</c:v>
                </c:pt>
              </c:numCache>
            </c:numRef>
          </c:val>
          <c:extLst>
            <c:ext xmlns:c16="http://schemas.microsoft.com/office/drawing/2014/chart" uri="{C3380CC4-5D6E-409C-BE32-E72D297353CC}">
              <c16:uniqueId val="{00000003-272D-45F9-8732-043758869DC6}"/>
            </c:ext>
          </c:extLst>
        </c:ser>
        <c:ser>
          <c:idx val="4"/>
          <c:order val="4"/>
          <c:tx>
            <c:strRef>
              <c:f>CO2e!$B$53</c:f>
              <c:strCache>
                <c:ptCount val="1"/>
                <c:pt idx="0">
                  <c:v>Zones artificialisées</c:v>
                </c:pt>
              </c:strCache>
            </c:strRef>
          </c:tx>
          <c:spPr>
            <a:solidFill>
              <a:schemeClr val="accent5"/>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CO2e!$C$53:$AG$53</c:f>
              <c:numCache>
                <c:formatCode>0.0</c:formatCode>
                <c:ptCount val="19"/>
                <c:pt idx="0">
                  <c:v>9.8652900991892807</c:v>
                </c:pt>
                <c:pt idx="1">
                  <c:v>10.054988852153873</c:v>
                </c:pt>
                <c:pt idx="2">
                  <c:v>9.8910057323021583</c:v>
                </c:pt>
                <c:pt idx="3">
                  <c:v>11.346302120517862</c:v>
                </c:pt>
                <c:pt idx="4">
                  <c:v>12.125591925409006</c:v>
                </c:pt>
                <c:pt idx="5">
                  <c:v>12.771998826774428</c:v>
                </c:pt>
                <c:pt idx="6">
                  <c:v>13.854171584943122</c:v>
                </c:pt>
                <c:pt idx="7">
                  <c:v>13.452732709768656</c:v>
                </c:pt>
                <c:pt idx="8">
                  <c:v>12.678535973974936</c:v>
                </c:pt>
                <c:pt idx="9">
                  <c:v>12.446306334037523</c:v>
                </c:pt>
                <c:pt idx="10">
                  <c:v>12.336601189537047</c:v>
                </c:pt>
                <c:pt idx="11">
                  <c:v>12.201550579013542</c:v>
                </c:pt>
                <c:pt idx="12">
                  <c:v>11.996487114031419</c:v>
                </c:pt>
                <c:pt idx="13">
                  <c:v>11.910552046286549</c:v>
                </c:pt>
                <c:pt idx="14">
                  <c:v>11.756609730140006</c:v>
                </c:pt>
                <c:pt idx="15">
                  <c:v>11.679384111642412</c:v>
                </c:pt>
                <c:pt idx="16">
                  <c:v>11.655792616873988</c:v>
                </c:pt>
                <c:pt idx="17">
                  <c:v>11.544818694700677</c:v>
                </c:pt>
                <c:pt idx="18">
                  <c:v>11.527153064196877</c:v>
                </c:pt>
              </c:numCache>
            </c:numRef>
          </c:val>
          <c:extLst>
            <c:ext xmlns:c16="http://schemas.microsoft.com/office/drawing/2014/chart" uri="{C3380CC4-5D6E-409C-BE32-E72D297353CC}">
              <c16:uniqueId val="{00000004-272D-45F9-8732-043758869DC6}"/>
            </c:ext>
          </c:extLst>
        </c:ser>
        <c:ser>
          <c:idx val="5"/>
          <c:order val="5"/>
          <c:tx>
            <c:strRef>
              <c:f>CO2e!$B$54</c:f>
              <c:strCache>
                <c:ptCount val="1"/>
                <c:pt idx="0">
                  <c:v>Autres terres</c:v>
                </c:pt>
              </c:strCache>
            </c:strRef>
          </c:tx>
          <c:spPr>
            <a:solidFill>
              <a:schemeClr val="accent6"/>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CO2e!$C$54:$AG$54</c:f>
              <c:numCache>
                <c:formatCode>0.0</c:formatCode>
                <c:ptCount val="1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5-272D-45F9-8732-043758869DC6}"/>
            </c:ext>
          </c:extLst>
        </c:ser>
        <c:ser>
          <c:idx val="6"/>
          <c:order val="6"/>
          <c:tx>
            <c:strRef>
              <c:f>CO2e!$B$55</c:f>
              <c:strCache>
                <c:ptCount val="1"/>
                <c:pt idx="0">
                  <c:v>Produits bois</c:v>
                </c:pt>
              </c:strCache>
            </c:strRef>
          </c:tx>
          <c:spPr>
            <a:solidFill>
              <a:schemeClr val="accent1">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CO2e!$C$55:$AG$55</c:f>
              <c:numCache>
                <c:formatCode>0.0</c:formatCode>
                <c:ptCount val="19"/>
                <c:pt idx="0">
                  <c:v>-5.1002122148034168</c:v>
                </c:pt>
                <c:pt idx="1">
                  <c:v>-3.0424782551861651</c:v>
                </c:pt>
                <c:pt idx="2">
                  <c:v>-5.1411799323141993</c:v>
                </c:pt>
                <c:pt idx="3">
                  <c:v>-4.1116425846107125</c:v>
                </c:pt>
                <c:pt idx="4">
                  <c:v>-4.2734615954006516</c:v>
                </c:pt>
                <c:pt idx="5">
                  <c:v>-4.4730357476992237</c:v>
                </c:pt>
                <c:pt idx="6">
                  <c:v>-3.412415016375518</c:v>
                </c:pt>
                <c:pt idx="7">
                  <c:v>-1.3342940948224111</c:v>
                </c:pt>
                <c:pt idx="8">
                  <c:v>-3.4250455541907905</c:v>
                </c:pt>
                <c:pt idx="9">
                  <c:v>-3.4494218346385987</c:v>
                </c:pt>
                <c:pt idx="10">
                  <c:v>-2.3218470982345769</c:v>
                </c:pt>
                <c:pt idx="11">
                  <c:v>-1.7914336698607676</c:v>
                </c:pt>
                <c:pt idx="12">
                  <c:v>-1.7722981591590081</c:v>
                </c:pt>
                <c:pt idx="13">
                  <c:v>-1.1589103813598343</c:v>
                </c:pt>
                <c:pt idx="14">
                  <c:v>-0.88290714394730441</c:v>
                </c:pt>
                <c:pt idx="15">
                  <c:v>-1.1078970457115194</c:v>
                </c:pt>
                <c:pt idx="16">
                  <c:v>-0.91399244923293199</c:v>
                </c:pt>
                <c:pt idx="17">
                  <c:v>-0.76784586201262883</c:v>
                </c:pt>
                <c:pt idx="18">
                  <c:v>-0.81443052748049238</c:v>
                </c:pt>
              </c:numCache>
            </c:numRef>
          </c:val>
          <c:extLst>
            <c:ext xmlns:c16="http://schemas.microsoft.com/office/drawing/2014/chart" uri="{C3380CC4-5D6E-409C-BE32-E72D297353CC}">
              <c16:uniqueId val="{00000006-272D-45F9-8732-043758869DC6}"/>
            </c:ext>
          </c:extLst>
        </c:ser>
        <c:ser>
          <c:idx val="7"/>
          <c:order val="7"/>
          <c:tx>
            <c:strRef>
              <c:f>CO2e!$B$56</c:f>
              <c:strCache>
                <c:ptCount val="1"/>
                <c:pt idx="0">
                  <c:v>Barrages</c:v>
                </c:pt>
              </c:strCache>
            </c:strRef>
          </c:tx>
          <c:spPr>
            <a:solidFill>
              <a:schemeClr val="accent2">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CO2e!$C$56:$AG$56</c:f>
              <c:numCache>
                <c:formatCode>0.0</c:formatCode>
                <c:ptCount val="19"/>
                <c:pt idx="0">
                  <c:v>0</c:v>
                </c:pt>
                <c:pt idx="1">
                  <c:v>3.915025</c:v>
                </c:pt>
                <c:pt idx="2">
                  <c:v>1.3010726666666668</c:v>
                </c:pt>
                <c:pt idx="3">
                  <c:v>0.61630966666666664</c:v>
                </c:pt>
                <c:pt idx="4">
                  <c:v>0.55154333333333327</c:v>
                </c:pt>
                <c:pt idx="5">
                  <c:v>0.49894433333333321</c:v>
                </c:pt>
                <c:pt idx="6">
                  <c:v>0.45590066666666662</c:v>
                </c:pt>
                <c:pt idx="7">
                  <c:v>0.42034033333333337</c:v>
                </c:pt>
                <c:pt idx="8">
                  <c:v>0.39077933333333331</c:v>
                </c:pt>
                <c:pt idx="9">
                  <c:v>0.36601466666666665</c:v>
                </c:pt>
                <c:pt idx="10">
                  <c:v>0.3451723333333333</c:v>
                </c:pt>
                <c:pt idx="11">
                  <c:v>0.32752966666666666</c:v>
                </c:pt>
                <c:pt idx="12">
                  <c:v>0.31249333333333335</c:v>
                </c:pt>
                <c:pt idx="13">
                  <c:v>0.29965833333333336</c:v>
                </c:pt>
                <c:pt idx="14">
                  <c:v>0.28866766666666671</c:v>
                </c:pt>
                <c:pt idx="15">
                  <c:v>0.27923433333333336</c:v>
                </c:pt>
                <c:pt idx="16">
                  <c:v>0.27108966666666667</c:v>
                </c:pt>
                <c:pt idx="17">
                  <c:v>0.26406466666666667</c:v>
                </c:pt>
                <c:pt idx="18">
                  <c:v>0.25799033333333332</c:v>
                </c:pt>
              </c:numCache>
            </c:numRef>
          </c:val>
          <c:extLst>
            <c:ext xmlns:c16="http://schemas.microsoft.com/office/drawing/2014/chart" uri="{C3380CC4-5D6E-409C-BE32-E72D297353CC}">
              <c16:uniqueId val="{00000007-272D-45F9-8732-043758869DC6}"/>
            </c:ext>
          </c:extLst>
        </c:ser>
        <c:dLbls>
          <c:showLegendKey val="0"/>
          <c:showVal val="0"/>
          <c:showCatName val="0"/>
          <c:showSerName val="0"/>
          <c:showPercent val="0"/>
          <c:showBubbleSize val="0"/>
        </c:dLbls>
        <c:axId val="1002136672"/>
        <c:axId val="1002139168"/>
      </c:areaChart>
      <c:catAx>
        <c:axId val="10021366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2139168"/>
        <c:crosses val="autoZero"/>
        <c:auto val="1"/>
        <c:lblAlgn val="ctr"/>
        <c:lblOffset val="100"/>
        <c:noMultiLvlLbl val="0"/>
      </c:catAx>
      <c:valAx>
        <c:axId val="100213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a:t>
                </a:r>
                <a:r>
                  <a:rPr lang="en-GB"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213667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CO2e!$B$27</c:f>
              <c:strCache>
                <c:ptCount val="1"/>
                <c:pt idx="0">
                  <c:v>Stockage des déchets</c:v>
                </c:pt>
              </c:strCache>
            </c:strRef>
          </c:tx>
          <c:spPr>
            <a:solidFill>
              <a:schemeClr val="accent1"/>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CO2e!$C$27:$AG$27</c:f>
              <c:numCache>
                <c:formatCode>#\ ##0.0</c:formatCode>
                <c:ptCount val="19"/>
                <c:pt idx="0">
                  <c:v>12.562649693458168</c:v>
                </c:pt>
                <c:pt idx="1">
                  <c:v>14.913942189762247</c:v>
                </c:pt>
                <c:pt idx="2">
                  <c:v>15.996058971690086</c:v>
                </c:pt>
                <c:pt idx="3">
                  <c:v>16.42456224267697</c:v>
                </c:pt>
                <c:pt idx="4">
                  <c:v>16.345808351285037</c:v>
                </c:pt>
                <c:pt idx="5">
                  <c:v>16.34101980304732</c:v>
                </c:pt>
                <c:pt idx="6">
                  <c:v>16.276765979229332</c:v>
                </c:pt>
                <c:pt idx="7">
                  <c:v>15.637229054993359</c:v>
                </c:pt>
                <c:pt idx="8">
                  <c:v>15.587556917328682</c:v>
                </c:pt>
                <c:pt idx="9">
                  <c:v>15.026017321920538</c:v>
                </c:pt>
                <c:pt idx="10">
                  <c:v>14.301627318074292</c:v>
                </c:pt>
                <c:pt idx="11">
                  <c:v>14.139229028858585</c:v>
                </c:pt>
                <c:pt idx="12">
                  <c:v>13.500847154071421</c:v>
                </c:pt>
                <c:pt idx="13">
                  <c:v>12.443078143730112</c:v>
                </c:pt>
                <c:pt idx="14">
                  <c:v>12.362994753717333</c:v>
                </c:pt>
                <c:pt idx="15">
                  <c:v>12.431258927120819</c:v>
                </c:pt>
                <c:pt idx="16">
                  <c:v>12.154860707897452</c:v>
                </c:pt>
                <c:pt idx="17">
                  <c:v>12.372257856884017</c:v>
                </c:pt>
                <c:pt idx="18">
                  <c:v>11.964888857866121</c:v>
                </c:pt>
              </c:numCache>
            </c:numRef>
          </c:val>
          <c:extLst>
            <c:ext xmlns:c16="http://schemas.microsoft.com/office/drawing/2014/chart" uri="{C3380CC4-5D6E-409C-BE32-E72D297353CC}">
              <c16:uniqueId val="{00000000-2FA1-4821-B019-1EF696A8270F}"/>
            </c:ext>
          </c:extLst>
        </c:ser>
        <c:ser>
          <c:idx val="1"/>
          <c:order val="1"/>
          <c:tx>
            <c:strRef>
              <c:f>CO2e!$B$28</c:f>
              <c:strCache>
                <c:ptCount val="1"/>
                <c:pt idx="0">
                  <c:v>Incinération sans récupération d'énergie</c:v>
                </c:pt>
              </c:strCache>
            </c:strRef>
          </c:tx>
          <c:spPr>
            <a:solidFill>
              <a:schemeClr val="accent2"/>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CO2e!$C$28:$AG$28</c:f>
              <c:numCache>
                <c:formatCode>#\ ##0.0</c:formatCode>
                <c:ptCount val="19"/>
                <c:pt idx="0">
                  <c:v>2.0598491221945849</c:v>
                </c:pt>
                <c:pt idx="1">
                  <c:v>2.0330052710887832</c:v>
                </c:pt>
                <c:pt idx="2">
                  <c:v>1.4641453358013399</c:v>
                </c:pt>
                <c:pt idx="3">
                  <c:v>1.3684087799427287</c:v>
                </c:pt>
                <c:pt idx="4">
                  <c:v>1.4282862994866949</c:v>
                </c:pt>
                <c:pt idx="5">
                  <c:v>1.3260019504500415</c:v>
                </c:pt>
                <c:pt idx="6">
                  <c:v>1.3462238666290363</c:v>
                </c:pt>
                <c:pt idx="7">
                  <c:v>1.3351475185000139</c:v>
                </c:pt>
                <c:pt idx="8">
                  <c:v>1.3946402319216378</c:v>
                </c:pt>
                <c:pt idx="9">
                  <c:v>1.4415819773881391</c:v>
                </c:pt>
                <c:pt idx="10">
                  <c:v>1.3630681881926749</c:v>
                </c:pt>
                <c:pt idx="11">
                  <c:v>1.3394720687477963</c:v>
                </c:pt>
                <c:pt idx="12">
                  <c:v>1.5717093480834587</c:v>
                </c:pt>
                <c:pt idx="13">
                  <c:v>1.3481204427102358</c:v>
                </c:pt>
                <c:pt idx="14">
                  <c:v>1.3353424018122659</c:v>
                </c:pt>
                <c:pt idx="15">
                  <c:v>1.2922790379453646</c:v>
                </c:pt>
                <c:pt idx="16">
                  <c:v>1.2121533184303088</c:v>
                </c:pt>
                <c:pt idx="17">
                  <c:v>1.5106172982492405</c:v>
                </c:pt>
                <c:pt idx="18">
                  <c:v>1.4021656220489382</c:v>
                </c:pt>
              </c:numCache>
            </c:numRef>
          </c:val>
          <c:extLst>
            <c:ext xmlns:c16="http://schemas.microsoft.com/office/drawing/2014/chart" uri="{C3380CC4-5D6E-409C-BE32-E72D297353CC}">
              <c16:uniqueId val="{00000001-2FA1-4821-B019-1EF696A8270F}"/>
            </c:ext>
          </c:extLst>
        </c:ser>
        <c:ser>
          <c:idx val="2"/>
          <c:order val="2"/>
          <c:tx>
            <c:strRef>
              <c:f>CO2e!$B$29</c:f>
              <c:strCache>
                <c:ptCount val="1"/>
                <c:pt idx="0">
                  <c:v>Autres traitements des déchets solides</c:v>
                </c:pt>
              </c:strCache>
            </c:strRef>
          </c:tx>
          <c:spPr>
            <a:solidFill>
              <a:schemeClr val="accent3"/>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CO2e!$C$29:$AG$29</c:f>
              <c:numCache>
                <c:formatCode>#\ ##0.0</c:formatCode>
                <c:ptCount val="19"/>
                <c:pt idx="0">
                  <c:v>0.13118979357951957</c:v>
                </c:pt>
                <c:pt idx="1">
                  <c:v>0.17998422480966622</c:v>
                </c:pt>
                <c:pt idx="2">
                  <c:v>0.35122453520009322</c:v>
                </c:pt>
                <c:pt idx="3">
                  <c:v>0.46983824588389145</c:v>
                </c:pt>
                <c:pt idx="4">
                  <c:v>0.49351478697203022</c:v>
                </c:pt>
                <c:pt idx="5">
                  <c:v>0.5051712058700536</c:v>
                </c:pt>
                <c:pt idx="6">
                  <c:v>0.51638794481863692</c:v>
                </c:pt>
                <c:pt idx="7">
                  <c:v>0.53609927221513454</c:v>
                </c:pt>
                <c:pt idx="8">
                  <c:v>0.55352266217373902</c:v>
                </c:pt>
                <c:pt idx="9">
                  <c:v>0.66513387254567791</c:v>
                </c:pt>
                <c:pt idx="10">
                  <c:v>0.77672697910521094</c:v>
                </c:pt>
                <c:pt idx="11">
                  <c:v>0.83026559945562994</c:v>
                </c:pt>
                <c:pt idx="12">
                  <c:v>0.88392418349803625</c:v>
                </c:pt>
                <c:pt idx="13">
                  <c:v>0.87901685961584608</c:v>
                </c:pt>
                <c:pt idx="14">
                  <c:v>0.8741511447850473</c:v>
                </c:pt>
                <c:pt idx="15">
                  <c:v>0.90743819943340664</c:v>
                </c:pt>
                <c:pt idx="16">
                  <c:v>0.94071937567220154</c:v>
                </c:pt>
                <c:pt idx="17">
                  <c:v>0.94262794239420566</c:v>
                </c:pt>
                <c:pt idx="18">
                  <c:v>0.94453642184945374</c:v>
                </c:pt>
              </c:numCache>
            </c:numRef>
          </c:val>
          <c:extLst>
            <c:ext xmlns:c16="http://schemas.microsoft.com/office/drawing/2014/chart" uri="{C3380CC4-5D6E-409C-BE32-E72D297353CC}">
              <c16:uniqueId val="{00000002-2FA1-4821-B019-1EF696A8270F}"/>
            </c:ext>
          </c:extLst>
        </c:ser>
        <c:ser>
          <c:idx val="3"/>
          <c:order val="3"/>
          <c:tx>
            <c:strRef>
              <c:f>CO2e!$B$30</c:f>
              <c:strCache>
                <c:ptCount val="1"/>
                <c:pt idx="0">
                  <c:v>Traitement des eaux usées</c:v>
                </c:pt>
              </c:strCache>
            </c:strRef>
          </c:tx>
          <c:spPr>
            <a:solidFill>
              <a:schemeClr val="accent4"/>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CO2e!$C$30:$AG$30</c:f>
              <c:numCache>
                <c:formatCode>#\ ##0.0</c:formatCode>
                <c:ptCount val="19"/>
                <c:pt idx="0">
                  <c:v>0.44985930294484727</c:v>
                </c:pt>
                <c:pt idx="1">
                  <c:v>0.46921428451264996</c:v>
                </c:pt>
                <c:pt idx="2">
                  <c:v>0.44583728781446708</c:v>
                </c:pt>
                <c:pt idx="3">
                  <c:v>0.40376385288924599</c:v>
                </c:pt>
                <c:pt idx="4">
                  <c:v>0.41165367975679557</c:v>
                </c:pt>
                <c:pt idx="5">
                  <c:v>0.3830433886702786</c:v>
                </c:pt>
                <c:pt idx="6">
                  <c:v>0.39153181966077172</c:v>
                </c:pt>
                <c:pt idx="7">
                  <c:v>0.40354043528422401</c:v>
                </c:pt>
                <c:pt idx="8">
                  <c:v>0.42135392172056629</c:v>
                </c:pt>
                <c:pt idx="9">
                  <c:v>0.37184319141911487</c:v>
                </c:pt>
                <c:pt idx="10">
                  <c:v>0.38184547638318589</c:v>
                </c:pt>
                <c:pt idx="11">
                  <c:v>0.38077189832289016</c:v>
                </c:pt>
                <c:pt idx="12">
                  <c:v>0.35226436709674225</c:v>
                </c:pt>
                <c:pt idx="13">
                  <c:v>0.37438767945400653</c:v>
                </c:pt>
                <c:pt idx="14">
                  <c:v>0.35853112392671843</c:v>
                </c:pt>
                <c:pt idx="15">
                  <c:v>0.358899863380574</c:v>
                </c:pt>
                <c:pt idx="16">
                  <c:v>0.37084795583368946</c:v>
                </c:pt>
                <c:pt idx="17">
                  <c:v>0.36499162240264504</c:v>
                </c:pt>
                <c:pt idx="18">
                  <c:v>0.36620089653087329</c:v>
                </c:pt>
              </c:numCache>
            </c:numRef>
          </c:val>
          <c:extLst>
            <c:ext xmlns:c16="http://schemas.microsoft.com/office/drawing/2014/chart" uri="{C3380CC4-5D6E-409C-BE32-E72D297353CC}">
              <c16:uniqueId val="{00000003-2FA1-4821-B019-1EF696A8270F}"/>
            </c:ext>
          </c:extLst>
        </c:ser>
        <c:dLbls>
          <c:showLegendKey val="0"/>
          <c:showVal val="0"/>
          <c:showCatName val="0"/>
          <c:showSerName val="0"/>
          <c:showPercent val="0"/>
          <c:showBubbleSize val="0"/>
        </c:dLbls>
        <c:axId val="1007731056"/>
        <c:axId val="1007736880"/>
      </c:areaChart>
      <c:catAx>
        <c:axId val="10077310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7736880"/>
        <c:crosses val="autoZero"/>
        <c:auto val="1"/>
        <c:lblAlgn val="ctr"/>
        <c:lblOffset val="100"/>
        <c:noMultiLvlLbl val="0"/>
      </c:catAx>
      <c:valAx>
        <c:axId val="100773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a:t>
                </a:r>
                <a:r>
                  <a:rPr lang="en-GB"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77310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2"/>
          <c:tx>
            <c:v>Solde extérieur (échelle de droite)</c:v>
          </c:tx>
          <c:spPr>
            <a:solidFill>
              <a:srgbClr val="0070C0"/>
            </a:solidFill>
            <a:ln>
              <a:noFill/>
            </a:ln>
            <a:effectLst/>
          </c:spPr>
          <c:invertIfNegative val="0"/>
          <c:cat>
            <c:numRef>
              <c:f>'[econ-com-ext-solde-balance-com.xlsx]Feuil2'!$A$5:$A$55</c:f>
              <c:numCache>
                <c:formatCode>General</c:formatCode>
                <c:ptCount val="51"/>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numCache>
            </c:numRef>
          </c:cat>
          <c:val>
            <c:numRef>
              <c:f>'[econ-com-ext-solde-balance-com.xlsx]Feuil2'!$F$5:$F$55</c:f>
              <c:numCache>
                <c:formatCode>#\ ##0.0</c:formatCode>
                <c:ptCount val="51"/>
                <c:pt idx="0">
                  <c:v>0.871</c:v>
                </c:pt>
                <c:pt idx="1">
                  <c:v>1.0720000000000001</c:v>
                </c:pt>
                <c:pt idx="2">
                  <c:v>1.0109999999999999</c:v>
                </c:pt>
                <c:pt idx="3">
                  <c:v>-2.5710000000000002</c:v>
                </c:pt>
                <c:pt idx="4">
                  <c:v>1.0309999999999999</c:v>
                </c:pt>
                <c:pt idx="5">
                  <c:v>-3.1880000000000002</c:v>
                </c:pt>
                <c:pt idx="6">
                  <c:v>-1.746</c:v>
                </c:pt>
                <c:pt idx="7">
                  <c:v>0.33400000000000002</c:v>
                </c:pt>
                <c:pt idx="8">
                  <c:v>-2.0659999999999998</c:v>
                </c:pt>
                <c:pt idx="9">
                  <c:v>-9.4489999999999998</c:v>
                </c:pt>
                <c:pt idx="10">
                  <c:v>-9.0530000000000008</c:v>
                </c:pt>
                <c:pt idx="11">
                  <c:v>-14.25</c:v>
                </c:pt>
                <c:pt idx="12">
                  <c:v>-6.6470000000000002</c:v>
                </c:pt>
                <c:pt idx="13">
                  <c:v>-3.036</c:v>
                </c:pt>
                <c:pt idx="14">
                  <c:v>-3.6760000000000002</c:v>
                </c:pt>
                <c:pt idx="15">
                  <c:v>1.9E-2</c:v>
                </c:pt>
                <c:pt idx="16">
                  <c:v>-4.819</c:v>
                </c:pt>
                <c:pt idx="17">
                  <c:v>-8.2789999999999999</c:v>
                </c:pt>
                <c:pt idx="18">
                  <c:v>-10.602</c:v>
                </c:pt>
                <c:pt idx="19">
                  <c:v>-12.154999999999999</c:v>
                </c:pt>
                <c:pt idx="20">
                  <c:v>-9.8689999999999998</c:v>
                </c:pt>
                <c:pt idx="21">
                  <c:v>-0.29599999999999999</c:v>
                </c:pt>
                <c:pt idx="22">
                  <c:v>8.2910000000000004</c:v>
                </c:pt>
                <c:pt idx="23">
                  <c:v>5.7510000000000003</c:v>
                </c:pt>
                <c:pt idx="24">
                  <c:v>8.5440000000000005</c:v>
                </c:pt>
                <c:pt idx="25">
                  <c:v>10.911</c:v>
                </c:pt>
                <c:pt idx="26">
                  <c:v>23.114999999999998</c:v>
                </c:pt>
                <c:pt idx="27">
                  <c:v>19.338000000000001</c:v>
                </c:pt>
                <c:pt idx="28">
                  <c:v>13.029</c:v>
                </c:pt>
                <c:pt idx="29">
                  <c:v>-5.383</c:v>
                </c:pt>
                <c:pt idx="30">
                  <c:v>-1.5329999999999999</c:v>
                </c:pt>
                <c:pt idx="31">
                  <c:v>3.548</c:v>
                </c:pt>
                <c:pt idx="32">
                  <c:v>-0.23100000000000001</c:v>
                </c:pt>
                <c:pt idx="33">
                  <c:v>-5.7389999999999999</c:v>
                </c:pt>
                <c:pt idx="34">
                  <c:v>-24.213000000000001</c:v>
                </c:pt>
                <c:pt idx="35">
                  <c:v>-29.928000000000001</c:v>
                </c:pt>
                <c:pt idx="36">
                  <c:v>-42.494</c:v>
                </c:pt>
                <c:pt idx="37">
                  <c:v>-56.219000000000001</c:v>
                </c:pt>
                <c:pt idx="38">
                  <c:v>-45.39</c:v>
                </c:pt>
                <c:pt idx="39">
                  <c:v>-52.445</c:v>
                </c:pt>
                <c:pt idx="40">
                  <c:v>-75.010999999999996</c:v>
                </c:pt>
                <c:pt idx="41">
                  <c:v>-67.882000000000005</c:v>
                </c:pt>
                <c:pt idx="42">
                  <c:v>-62.006999999999998</c:v>
                </c:pt>
                <c:pt idx="43">
                  <c:v>-56.31</c:v>
                </c:pt>
                <c:pt idx="44">
                  <c:v>-42.734000000000002</c:v>
                </c:pt>
                <c:pt idx="45">
                  <c:v>-44.491</c:v>
                </c:pt>
                <c:pt idx="46">
                  <c:v>-58.241</c:v>
                </c:pt>
                <c:pt idx="47">
                  <c:v>-62.823999999999998</c:v>
                </c:pt>
                <c:pt idx="48">
                  <c:v>-58.021000000000001</c:v>
                </c:pt>
                <c:pt idx="49">
                  <c:v>-64.573999999999998</c:v>
                </c:pt>
                <c:pt idx="50">
                  <c:v>-84.816999999999993</c:v>
                </c:pt>
              </c:numCache>
            </c:numRef>
          </c:val>
          <c:extLst>
            <c:ext xmlns:c16="http://schemas.microsoft.com/office/drawing/2014/chart" uri="{C3380CC4-5D6E-409C-BE32-E72D297353CC}">
              <c16:uniqueId val="{00000000-C5AB-4ABB-86AA-288278BFF95B}"/>
            </c:ext>
          </c:extLst>
        </c:ser>
        <c:dLbls>
          <c:showLegendKey val="0"/>
          <c:showVal val="0"/>
          <c:showCatName val="0"/>
          <c:showSerName val="0"/>
          <c:showPercent val="0"/>
          <c:showBubbleSize val="0"/>
        </c:dLbls>
        <c:gapWidth val="219"/>
        <c:overlap val="-27"/>
        <c:axId val="298229536"/>
        <c:axId val="298226208"/>
      </c:barChart>
      <c:lineChart>
        <c:grouping val="standard"/>
        <c:varyColors val="0"/>
        <c:ser>
          <c:idx val="1"/>
          <c:order val="0"/>
          <c:tx>
            <c:v>Exportations</c:v>
          </c:tx>
          <c:spPr>
            <a:ln w="28575" cap="rnd">
              <a:solidFill>
                <a:srgbClr val="FFC000"/>
              </a:solidFill>
              <a:round/>
            </a:ln>
            <a:effectLst/>
          </c:spPr>
          <c:marker>
            <c:symbol val="none"/>
          </c:marker>
          <c:cat>
            <c:numRef>
              <c:f>'[econ-com-ext-solde-balance-com.xlsx]Feuil2'!$A$5:$A$55</c:f>
              <c:numCache>
                <c:formatCode>General</c:formatCode>
                <c:ptCount val="51"/>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numCache>
            </c:numRef>
          </c:cat>
          <c:val>
            <c:numRef>
              <c:f>'[econ-com-ext-solde-balance-com.xlsx]Feuil2'!$B$5:$B$55</c:f>
              <c:numCache>
                <c:formatCode>#\ ##0.0</c:formatCode>
                <c:ptCount val="51"/>
                <c:pt idx="0">
                  <c:v>17.57</c:v>
                </c:pt>
                <c:pt idx="1">
                  <c:v>20.335000000000001</c:v>
                </c:pt>
                <c:pt idx="2">
                  <c:v>24.766999999999999</c:v>
                </c:pt>
                <c:pt idx="3">
                  <c:v>33.957000000000001</c:v>
                </c:pt>
                <c:pt idx="4">
                  <c:v>34.636000000000003</c:v>
                </c:pt>
                <c:pt idx="5">
                  <c:v>41.57</c:v>
                </c:pt>
                <c:pt idx="6">
                  <c:v>48.694000000000003</c:v>
                </c:pt>
                <c:pt idx="7">
                  <c:v>54.432000000000002</c:v>
                </c:pt>
                <c:pt idx="8">
                  <c:v>65.055999999999997</c:v>
                </c:pt>
                <c:pt idx="9">
                  <c:v>74.676000000000002</c:v>
                </c:pt>
                <c:pt idx="10">
                  <c:v>87.78</c:v>
                </c:pt>
                <c:pt idx="11">
                  <c:v>96.378</c:v>
                </c:pt>
                <c:pt idx="12">
                  <c:v>110.17400000000001</c:v>
                </c:pt>
                <c:pt idx="13">
                  <c:v>129.70400000000001</c:v>
                </c:pt>
                <c:pt idx="14">
                  <c:v>138.249</c:v>
                </c:pt>
                <c:pt idx="15">
                  <c:v>131.62</c:v>
                </c:pt>
                <c:pt idx="16">
                  <c:v>135.52099999999999</c:v>
                </c:pt>
                <c:pt idx="17">
                  <c:v>149.512</c:v>
                </c:pt>
                <c:pt idx="18">
                  <c:v>171.328</c:v>
                </c:pt>
                <c:pt idx="19">
                  <c:v>175.959</c:v>
                </c:pt>
                <c:pt idx="20">
                  <c:v>182.18100000000001</c:v>
                </c:pt>
                <c:pt idx="21">
                  <c:v>186.601</c:v>
                </c:pt>
                <c:pt idx="22">
                  <c:v>177.94499999999999</c:v>
                </c:pt>
                <c:pt idx="23">
                  <c:v>198.91399999999999</c:v>
                </c:pt>
                <c:pt idx="24">
                  <c:v>216.251</c:v>
                </c:pt>
                <c:pt idx="25">
                  <c:v>225.55600000000001</c:v>
                </c:pt>
                <c:pt idx="26">
                  <c:v>260.40499999999997</c:v>
                </c:pt>
                <c:pt idx="27">
                  <c:v>277.47500000000002</c:v>
                </c:pt>
                <c:pt idx="28">
                  <c:v>286.12</c:v>
                </c:pt>
                <c:pt idx="29">
                  <c:v>329.11</c:v>
                </c:pt>
                <c:pt idx="30">
                  <c:v>335.21899999999999</c:v>
                </c:pt>
                <c:pt idx="31">
                  <c:v>333.423</c:v>
                </c:pt>
                <c:pt idx="32">
                  <c:v>327.654</c:v>
                </c:pt>
                <c:pt idx="33">
                  <c:v>345.25599999999997</c:v>
                </c:pt>
                <c:pt idx="34">
                  <c:v>360.375</c:v>
                </c:pt>
                <c:pt idx="35">
                  <c:v>394.62200000000001</c:v>
                </c:pt>
                <c:pt idx="36">
                  <c:v>406.48500000000001</c:v>
                </c:pt>
                <c:pt idx="37">
                  <c:v>417.63499999999999</c:v>
                </c:pt>
                <c:pt idx="38">
                  <c:v>346.48200000000003</c:v>
                </c:pt>
                <c:pt idx="39">
                  <c:v>395.03899999999999</c:v>
                </c:pt>
                <c:pt idx="40">
                  <c:v>428.94499999999999</c:v>
                </c:pt>
                <c:pt idx="41">
                  <c:v>442.23399999999998</c:v>
                </c:pt>
                <c:pt idx="42">
                  <c:v>436.33</c:v>
                </c:pt>
                <c:pt idx="43">
                  <c:v>436.82400000000001</c:v>
                </c:pt>
                <c:pt idx="44">
                  <c:v>455.84800000000001</c:v>
                </c:pt>
                <c:pt idx="45">
                  <c:v>453.16300000000001</c:v>
                </c:pt>
                <c:pt idx="46">
                  <c:v>473.65899999999999</c:v>
                </c:pt>
                <c:pt idx="47">
                  <c:v>491.88400000000001</c:v>
                </c:pt>
                <c:pt idx="48">
                  <c:v>508.82600000000002</c:v>
                </c:pt>
                <c:pt idx="49">
                  <c:v>428.48200000000003</c:v>
                </c:pt>
                <c:pt idx="50">
                  <c:v>500.86200000000002</c:v>
                </c:pt>
              </c:numCache>
            </c:numRef>
          </c:val>
          <c:smooth val="0"/>
          <c:extLst>
            <c:ext xmlns:c16="http://schemas.microsoft.com/office/drawing/2014/chart" uri="{C3380CC4-5D6E-409C-BE32-E72D297353CC}">
              <c16:uniqueId val="{00000001-C5AB-4ABB-86AA-288278BFF95B}"/>
            </c:ext>
          </c:extLst>
        </c:ser>
        <c:ser>
          <c:idx val="2"/>
          <c:order val="1"/>
          <c:tx>
            <c:v>Importations</c:v>
          </c:tx>
          <c:spPr>
            <a:ln w="28575" cap="rnd">
              <a:solidFill>
                <a:srgbClr val="00B050"/>
              </a:solidFill>
              <a:round/>
            </a:ln>
            <a:effectLst/>
          </c:spPr>
          <c:marker>
            <c:symbol val="none"/>
          </c:marker>
          <c:cat>
            <c:numRef>
              <c:f>'[econ-com-ext-solde-balance-com.xlsx]Feuil2'!$A$5:$A$55</c:f>
              <c:numCache>
                <c:formatCode>General</c:formatCode>
                <c:ptCount val="51"/>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numCache>
            </c:numRef>
          </c:cat>
          <c:val>
            <c:numRef>
              <c:f>'[econ-com-ext-solde-balance-com.xlsx]Feuil2'!$D$5:$D$55</c:f>
              <c:numCache>
                <c:formatCode>#\ ##0.0</c:formatCode>
                <c:ptCount val="51"/>
                <c:pt idx="0">
                  <c:v>16.699000000000002</c:v>
                </c:pt>
                <c:pt idx="1">
                  <c:v>19.263000000000002</c:v>
                </c:pt>
                <c:pt idx="2">
                  <c:v>23.756</c:v>
                </c:pt>
                <c:pt idx="3">
                  <c:v>36.527999999999999</c:v>
                </c:pt>
                <c:pt idx="4">
                  <c:v>33.604999999999997</c:v>
                </c:pt>
                <c:pt idx="5">
                  <c:v>44.758000000000003</c:v>
                </c:pt>
                <c:pt idx="6">
                  <c:v>50.44</c:v>
                </c:pt>
                <c:pt idx="7">
                  <c:v>54.097999999999999</c:v>
                </c:pt>
                <c:pt idx="8">
                  <c:v>67.122</c:v>
                </c:pt>
                <c:pt idx="9">
                  <c:v>84.125</c:v>
                </c:pt>
                <c:pt idx="10">
                  <c:v>96.832999999999998</c:v>
                </c:pt>
                <c:pt idx="11">
                  <c:v>110.628</c:v>
                </c:pt>
                <c:pt idx="12">
                  <c:v>116.821</c:v>
                </c:pt>
                <c:pt idx="13">
                  <c:v>132.74</c:v>
                </c:pt>
                <c:pt idx="14">
                  <c:v>141.92500000000001</c:v>
                </c:pt>
                <c:pt idx="15">
                  <c:v>131.601</c:v>
                </c:pt>
                <c:pt idx="16">
                  <c:v>140.34</c:v>
                </c:pt>
                <c:pt idx="17">
                  <c:v>157.791</c:v>
                </c:pt>
                <c:pt idx="18">
                  <c:v>181.93</c:v>
                </c:pt>
                <c:pt idx="19">
                  <c:v>188.114</c:v>
                </c:pt>
                <c:pt idx="20">
                  <c:v>192.05</c:v>
                </c:pt>
                <c:pt idx="21">
                  <c:v>186.89699999999999</c:v>
                </c:pt>
                <c:pt idx="22">
                  <c:v>169.654</c:v>
                </c:pt>
                <c:pt idx="23">
                  <c:v>193.16300000000001</c:v>
                </c:pt>
                <c:pt idx="24">
                  <c:v>207.70699999999999</c:v>
                </c:pt>
                <c:pt idx="25">
                  <c:v>214.64500000000001</c:v>
                </c:pt>
                <c:pt idx="26">
                  <c:v>237.29</c:v>
                </c:pt>
                <c:pt idx="27">
                  <c:v>258.137</c:v>
                </c:pt>
                <c:pt idx="28">
                  <c:v>273.09100000000001</c:v>
                </c:pt>
                <c:pt idx="29">
                  <c:v>334.49299999999999</c:v>
                </c:pt>
                <c:pt idx="30">
                  <c:v>336.75200000000001</c:v>
                </c:pt>
                <c:pt idx="31">
                  <c:v>329.875</c:v>
                </c:pt>
                <c:pt idx="32">
                  <c:v>327.88499999999999</c:v>
                </c:pt>
                <c:pt idx="33">
                  <c:v>350.995</c:v>
                </c:pt>
                <c:pt idx="34">
                  <c:v>384.58800000000002</c:v>
                </c:pt>
                <c:pt idx="35">
                  <c:v>424.55</c:v>
                </c:pt>
                <c:pt idx="36">
                  <c:v>448.97899999999998</c:v>
                </c:pt>
                <c:pt idx="37">
                  <c:v>473.85399999999998</c:v>
                </c:pt>
                <c:pt idx="38">
                  <c:v>391.87200000000001</c:v>
                </c:pt>
                <c:pt idx="39">
                  <c:v>447.48399999999998</c:v>
                </c:pt>
                <c:pt idx="40">
                  <c:v>503.95600000000002</c:v>
                </c:pt>
                <c:pt idx="41">
                  <c:v>510.11599999999999</c:v>
                </c:pt>
                <c:pt idx="42">
                  <c:v>498.33699999999999</c:v>
                </c:pt>
                <c:pt idx="43">
                  <c:v>493.13400000000001</c:v>
                </c:pt>
                <c:pt idx="44">
                  <c:v>498.58199999999999</c:v>
                </c:pt>
                <c:pt idx="45">
                  <c:v>497.654</c:v>
                </c:pt>
                <c:pt idx="46">
                  <c:v>531.9</c:v>
                </c:pt>
                <c:pt idx="47">
                  <c:v>554.70799999999997</c:v>
                </c:pt>
                <c:pt idx="48">
                  <c:v>566.84699999999998</c:v>
                </c:pt>
                <c:pt idx="49">
                  <c:v>493.05599999999998</c:v>
                </c:pt>
                <c:pt idx="50">
                  <c:v>585.67899999999997</c:v>
                </c:pt>
              </c:numCache>
            </c:numRef>
          </c:val>
          <c:smooth val="0"/>
          <c:extLst>
            <c:ext xmlns:c16="http://schemas.microsoft.com/office/drawing/2014/chart" uri="{C3380CC4-5D6E-409C-BE32-E72D297353CC}">
              <c16:uniqueId val="{00000002-C5AB-4ABB-86AA-288278BFF95B}"/>
            </c:ext>
          </c:extLst>
        </c:ser>
        <c:dLbls>
          <c:showLegendKey val="0"/>
          <c:showVal val="0"/>
          <c:showCatName val="0"/>
          <c:showSerName val="0"/>
          <c:showPercent val="0"/>
          <c:showBubbleSize val="0"/>
        </c:dLbls>
        <c:marker val="1"/>
        <c:smooth val="0"/>
        <c:axId val="143314816"/>
        <c:axId val="143298592"/>
      </c:lineChart>
      <c:catAx>
        <c:axId val="14331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298592"/>
        <c:crossesAt val="-600"/>
        <c:auto val="1"/>
        <c:lblAlgn val="ctr"/>
        <c:lblOffset val="100"/>
        <c:noMultiLvlLbl val="0"/>
      </c:catAx>
      <c:valAx>
        <c:axId val="143298592"/>
        <c:scaling>
          <c:orientation val="minMax"/>
          <c:max val="600"/>
          <c:min val="-6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314816"/>
        <c:crosses val="autoZero"/>
        <c:crossBetween val="between"/>
      </c:valAx>
      <c:valAx>
        <c:axId val="298226208"/>
        <c:scaling>
          <c:orientation val="minMax"/>
          <c:max val="100"/>
          <c:min val="-100"/>
        </c:scaling>
        <c:delete val="0"/>
        <c:axPos val="r"/>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8229536"/>
        <c:crosses val="max"/>
        <c:crossBetween val="between"/>
      </c:valAx>
      <c:catAx>
        <c:axId val="298229536"/>
        <c:scaling>
          <c:orientation val="minMax"/>
        </c:scaling>
        <c:delete val="1"/>
        <c:axPos val="b"/>
        <c:numFmt formatCode="General" sourceLinked="1"/>
        <c:majorTickMark val="out"/>
        <c:minorTickMark val="none"/>
        <c:tickLblPos val="nextTo"/>
        <c:crossAx val="298226208"/>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400" b="0" i="0" baseline="0">
                <a:effectLst/>
              </a:rPr>
              <a:t>Emissions excluding LULUCF, Kyoto scope</a:t>
            </a:r>
            <a:endParaRPr lang="fr-FR"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5"/>
          <c:order val="0"/>
          <c:tx>
            <c:strRef>
              <c:f>Feuil1!$B$37</c:f>
              <c:strCache>
                <c:ptCount val="1"/>
                <c:pt idx="0">
                  <c:v>Historique</c:v>
                </c:pt>
              </c:strCache>
            </c:strRef>
          </c:tx>
          <c:spPr>
            <a:ln w="19050" cap="rnd">
              <a:solidFill>
                <a:schemeClr val="accent1"/>
              </a:solidFill>
              <a:round/>
            </a:ln>
            <a:effectLst/>
          </c:spPr>
          <c:marker>
            <c:symbol val="none"/>
          </c:marker>
          <c:xVal>
            <c:numRef>
              <c:f>Feuil1!$B$40:$AE$40</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Feuil1!$B$41:$AE$41</c:f>
              <c:numCache>
                <c:formatCode>0.00</c:formatCode>
                <c:ptCount val="30"/>
                <c:pt idx="0">
                  <c:v>544.08640504911114</c:v>
                </c:pt>
                <c:pt idx="1">
                  <c:v>570.96202802198366</c:v>
                </c:pt>
                <c:pt idx="2">
                  <c:v>558.76148139002271</c:v>
                </c:pt>
                <c:pt idx="3">
                  <c:v>538.60700659237534</c:v>
                </c:pt>
                <c:pt idx="4">
                  <c:v>531.22591024468818</c:v>
                </c:pt>
                <c:pt idx="5">
                  <c:v>536.47553370364858</c:v>
                </c:pt>
                <c:pt idx="6">
                  <c:v>553.48594359310732</c:v>
                </c:pt>
                <c:pt idx="7">
                  <c:v>545.92267050468718</c:v>
                </c:pt>
                <c:pt idx="8">
                  <c:v>560.38615043782738</c:v>
                </c:pt>
                <c:pt idx="9">
                  <c:v>554.86711994159316</c:v>
                </c:pt>
                <c:pt idx="10">
                  <c:v>549.00516597447393</c:v>
                </c:pt>
                <c:pt idx="11">
                  <c:v>554.19313177749154</c:v>
                </c:pt>
                <c:pt idx="12">
                  <c:v>548.6097419832895</c:v>
                </c:pt>
                <c:pt idx="13">
                  <c:v>551.64616316215995</c:v>
                </c:pt>
                <c:pt idx="14">
                  <c:v>550.62067427753834</c:v>
                </c:pt>
                <c:pt idx="15">
                  <c:v>551.39112523150402</c:v>
                </c:pt>
                <c:pt idx="16">
                  <c:v>540.90781148848509</c:v>
                </c:pt>
                <c:pt idx="17">
                  <c:v>531.57397496341889</c:v>
                </c:pt>
                <c:pt idx="18">
                  <c:v>526.06065166725898</c:v>
                </c:pt>
                <c:pt idx="19">
                  <c:v>503.43502484599236</c:v>
                </c:pt>
                <c:pt idx="20">
                  <c:v>507.46801065307523</c:v>
                </c:pt>
                <c:pt idx="21">
                  <c:v>483.26382111423646</c:v>
                </c:pt>
                <c:pt idx="22">
                  <c:v>484.76589626947793</c:v>
                </c:pt>
                <c:pt idx="23">
                  <c:v>485.60533033086369</c:v>
                </c:pt>
                <c:pt idx="24">
                  <c:v>454.61367943939558</c:v>
                </c:pt>
                <c:pt idx="25">
                  <c:v>457.92374571373034</c:v>
                </c:pt>
                <c:pt idx="26">
                  <c:v>459.32885856765569</c:v>
                </c:pt>
                <c:pt idx="27">
                  <c:v>462.59121677460394</c:v>
                </c:pt>
                <c:pt idx="28">
                  <c:v>443.32135981431094</c:v>
                </c:pt>
                <c:pt idx="29">
                  <c:v>434.53977351930041</c:v>
                </c:pt>
              </c:numCache>
            </c:numRef>
          </c:yVal>
          <c:smooth val="0"/>
          <c:extLst>
            <c:ext xmlns:c16="http://schemas.microsoft.com/office/drawing/2014/chart" uri="{C3380CC4-5D6E-409C-BE32-E72D297353CC}">
              <c16:uniqueId val="{00000000-14DE-45BC-9AD8-B688167DDCAE}"/>
            </c:ext>
          </c:extLst>
        </c:ser>
        <c:ser>
          <c:idx val="2"/>
          <c:order val="3"/>
          <c:tx>
            <c:strRef>
              <c:f>Feuil1!$B$8</c:f>
              <c:strCache>
                <c:ptCount val="1"/>
                <c:pt idx="0">
                  <c:v>AME 2021</c:v>
                </c:pt>
              </c:strCache>
            </c:strRef>
          </c:tx>
          <c:spPr>
            <a:ln w="19050" cap="rnd">
              <a:solidFill>
                <a:schemeClr val="accent2"/>
              </a:solidFill>
              <a:round/>
            </a:ln>
            <a:effectLst/>
          </c:spPr>
          <c:marker>
            <c:symbol val="none"/>
          </c:marker>
          <c:xVal>
            <c:numRef>
              <c:f>Feuil1!$D$5:$K$5</c:f>
              <c:numCache>
                <c:formatCode>General</c:formatCode>
                <c:ptCount val="8"/>
                <c:pt idx="0">
                  <c:v>2019</c:v>
                </c:pt>
                <c:pt idx="1">
                  <c:v>2020</c:v>
                </c:pt>
                <c:pt idx="2">
                  <c:v>2025</c:v>
                </c:pt>
                <c:pt idx="3">
                  <c:v>2030</c:v>
                </c:pt>
                <c:pt idx="4">
                  <c:v>2035</c:v>
                </c:pt>
                <c:pt idx="5">
                  <c:v>2040</c:v>
                </c:pt>
                <c:pt idx="6">
                  <c:v>2045</c:v>
                </c:pt>
                <c:pt idx="7">
                  <c:v>2050</c:v>
                </c:pt>
              </c:numCache>
            </c:numRef>
          </c:xVal>
          <c:yVal>
            <c:numRef>
              <c:f>Feuil1!$D$8:$K$8</c:f>
              <c:numCache>
                <c:formatCode>General</c:formatCode>
                <c:ptCount val="8"/>
                <c:pt idx="0">
                  <c:v>435.99862392302089</c:v>
                </c:pt>
                <c:pt idx="1">
                  <c:v>398.67635445806309</c:v>
                </c:pt>
                <c:pt idx="2">
                  <c:v>391.78846839189674</c:v>
                </c:pt>
                <c:pt idx="3">
                  <c:v>366.868028052792</c:v>
                </c:pt>
                <c:pt idx="4">
                  <c:v>354.37127993244144</c:v>
                </c:pt>
                <c:pt idx="5">
                  <c:v>341.30837616422247</c:v>
                </c:pt>
                <c:pt idx="6">
                  <c:v>335.75300362113018</c:v>
                </c:pt>
                <c:pt idx="7">
                  <c:v>329.65294392142027</c:v>
                </c:pt>
              </c:numCache>
            </c:numRef>
          </c:yVal>
          <c:smooth val="0"/>
          <c:extLst>
            <c:ext xmlns:c16="http://schemas.microsoft.com/office/drawing/2014/chart" uri="{C3380CC4-5D6E-409C-BE32-E72D297353CC}">
              <c16:uniqueId val="{00000001-14DE-45BC-9AD8-B688167DDCAE}"/>
            </c:ext>
          </c:extLst>
        </c:ser>
        <c:ser>
          <c:idx val="3"/>
          <c:order val="4"/>
          <c:tx>
            <c:strRef>
              <c:f>Feuil1!$B$9</c:f>
              <c:strCache>
                <c:ptCount val="1"/>
                <c:pt idx="0">
                  <c:v>AME 2018</c:v>
                </c:pt>
              </c:strCache>
            </c:strRef>
          </c:tx>
          <c:spPr>
            <a:ln w="19050" cap="rnd">
              <a:solidFill>
                <a:schemeClr val="accent3"/>
              </a:solidFill>
              <a:prstDash val="sysDash"/>
              <a:round/>
            </a:ln>
            <a:effectLst/>
          </c:spPr>
          <c:marker>
            <c:symbol val="none"/>
          </c:marker>
          <c:xVal>
            <c:numRef>
              <c:f>Feuil1!$C$5:$K$5</c:f>
              <c:numCache>
                <c:formatCode>General</c:formatCode>
                <c:ptCount val="9"/>
                <c:pt idx="0">
                  <c:v>2015</c:v>
                </c:pt>
                <c:pt idx="1">
                  <c:v>2019</c:v>
                </c:pt>
                <c:pt idx="2">
                  <c:v>2020</c:v>
                </c:pt>
                <c:pt idx="3">
                  <c:v>2025</c:v>
                </c:pt>
                <c:pt idx="4">
                  <c:v>2030</c:v>
                </c:pt>
                <c:pt idx="5">
                  <c:v>2035</c:v>
                </c:pt>
                <c:pt idx="6">
                  <c:v>2040</c:v>
                </c:pt>
                <c:pt idx="7">
                  <c:v>2045</c:v>
                </c:pt>
                <c:pt idx="8">
                  <c:v>2050</c:v>
                </c:pt>
              </c:numCache>
            </c:numRef>
          </c:xVal>
          <c:yVal>
            <c:numRef>
              <c:f>Feuil1!$C$9:$K$9</c:f>
              <c:numCache>
                <c:formatCode>0</c:formatCode>
                <c:ptCount val="9"/>
                <c:pt idx="0" formatCode="General">
                  <c:v>458.06</c:v>
                </c:pt>
                <c:pt idx="1">
                  <c:v>461.92667063409959</c:v>
                </c:pt>
                <c:pt idx="2">
                  <c:v>461.34423984830323</c:v>
                </c:pt>
                <c:pt idx="3">
                  <c:v>434.44156850991612</c:v>
                </c:pt>
                <c:pt idx="4">
                  <c:v>416.45147252204612</c:v>
                </c:pt>
                <c:pt idx="5">
                  <c:v>406.20611511207682</c:v>
                </c:pt>
                <c:pt idx="6">
                  <c:v>395.96075770210757</c:v>
                </c:pt>
                <c:pt idx="7">
                  <c:v>385.71540029213827</c:v>
                </c:pt>
                <c:pt idx="8">
                  <c:v>375.47004288216897</c:v>
                </c:pt>
              </c:numCache>
            </c:numRef>
          </c:yVal>
          <c:smooth val="0"/>
          <c:extLst>
            <c:ext xmlns:c16="http://schemas.microsoft.com/office/drawing/2014/chart" uri="{C3380CC4-5D6E-409C-BE32-E72D297353CC}">
              <c16:uniqueId val="{00000002-14DE-45BC-9AD8-B688167DDCAE}"/>
            </c:ext>
          </c:extLst>
        </c:ser>
        <c:ser>
          <c:idx val="4"/>
          <c:order val="5"/>
          <c:tx>
            <c:strRef>
              <c:f>Feuil1!$B$10</c:f>
              <c:strCache>
                <c:ptCount val="1"/>
                <c:pt idx="0">
                  <c:v>AMS 2018</c:v>
                </c:pt>
              </c:strCache>
            </c:strRef>
          </c:tx>
          <c:spPr>
            <a:ln w="19050" cap="rnd">
              <a:solidFill>
                <a:schemeClr val="accent4"/>
              </a:solidFill>
              <a:round/>
            </a:ln>
            <a:effectLst/>
          </c:spPr>
          <c:marker>
            <c:symbol val="none"/>
          </c:marker>
          <c:xVal>
            <c:numRef>
              <c:f>Feuil1!$C$5:$K$5</c:f>
              <c:numCache>
                <c:formatCode>General</c:formatCode>
                <c:ptCount val="9"/>
                <c:pt idx="0">
                  <c:v>2015</c:v>
                </c:pt>
                <c:pt idx="1">
                  <c:v>2019</c:v>
                </c:pt>
                <c:pt idx="2">
                  <c:v>2020</c:v>
                </c:pt>
                <c:pt idx="3">
                  <c:v>2025</c:v>
                </c:pt>
                <c:pt idx="4">
                  <c:v>2030</c:v>
                </c:pt>
                <c:pt idx="5">
                  <c:v>2035</c:v>
                </c:pt>
                <c:pt idx="6">
                  <c:v>2040</c:v>
                </c:pt>
                <c:pt idx="7">
                  <c:v>2045</c:v>
                </c:pt>
                <c:pt idx="8">
                  <c:v>2050</c:v>
                </c:pt>
              </c:numCache>
            </c:numRef>
          </c:xVal>
          <c:yVal>
            <c:numRef>
              <c:f>Feuil1!$C$10:$K$10</c:f>
              <c:numCache>
                <c:formatCode>General</c:formatCode>
                <c:ptCount val="9"/>
                <c:pt idx="0">
                  <c:v>464</c:v>
                </c:pt>
                <c:pt idx="1">
                  <c:v>443.039446299845</c:v>
                </c:pt>
                <c:pt idx="2">
                  <c:v>436.41988941580001</c:v>
                </c:pt>
                <c:pt idx="3">
                  <c:v>370.32988626425703</c:v>
                </c:pt>
                <c:pt idx="4">
                  <c:v>310.13413489554699</c:v>
                </c:pt>
                <c:pt idx="5">
                  <c:v>248.77767375783901</c:v>
                </c:pt>
                <c:pt idx="6">
                  <c:v>187.42121262013001</c:v>
                </c:pt>
                <c:pt idx="7">
                  <c:v>126.064751482422</c:v>
                </c:pt>
                <c:pt idx="8">
                  <c:v>64.708290344713603</c:v>
                </c:pt>
              </c:numCache>
            </c:numRef>
          </c:yVal>
          <c:smooth val="0"/>
          <c:extLst>
            <c:ext xmlns:c16="http://schemas.microsoft.com/office/drawing/2014/chart" uri="{C3380CC4-5D6E-409C-BE32-E72D297353CC}">
              <c16:uniqueId val="{00000003-14DE-45BC-9AD8-B688167DDCAE}"/>
            </c:ext>
          </c:extLst>
        </c:ser>
        <c:dLbls>
          <c:showLegendKey val="0"/>
          <c:showVal val="0"/>
          <c:showCatName val="0"/>
          <c:showSerName val="0"/>
          <c:showPercent val="0"/>
          <c:showBubbleSize val="0"/>
        </c:dLbls>
        <c:axId val="858766223"/>
        <c:axId val="858778703"/>
        <c:extLst>
          <c:ext xmlns:c15="http://schemas.microsoft.com/office/drawing/2012/chart" uri="{02D57815-91ED-43cb-92C2-25804820EDAC}">
            <c15:filteredScatterSeries>
              <c15:ser>
                <c:idx val="0"/>
                <c:order val="1"/>
                <c:tx>
                  <c:strRef>
                    <c:extLst>
                      <c:ext uri="{02D57815-91ED-43cb-92C2-25804820EDAC}">
                        <c15:formulaRef>
                          <c15:sqref>Feuil1!$B$6</c15:sqref>
                        </c15:formulaRef>
                      </c:ext>
                    </c:extLst>
                    <c:strCache>
                      <c:ptCount val="1"/>
                      <c:pt idx="0">
                        <c:v>AME 2023</c:v>
                      </c:pt>
                    </c:strCache>
                  </c:strRef>
                </c:tx>
                <c:spPr>
                  <a:ln w="19050" cap="rnd">
                    <a:solidFill>
                      <a:schemeClr val="accent1"/>
                    </a:solidFill>
                    <a:round/>
                  </a:ln>
                  <a:effectLst/>
                </c:spPr>
                <c:marker>
                  <c:symbol val="none"/>
                </c:marker>
                <c:xVal>
                  <c:numRef>
                    <c:extLst>
                      <c:ext uri="{02D57815-91ED-43cb-92C2-25804820EDAC}">
                        <c15:formulaRef>
                          <c15:sqref>Feuil1!$D$5:$K$5</c15:sqref>
                        </c15:formulaRef>
                      </c:ext>
                    </c:extLst>
                    <c:numCache>
                      <c:formatCode>General</c:formatCode>
                      <c:ptCount val="8"/>
                      <c:pt idx="0">
                        <c:v>2019</c:v>
                      </c:pt>
                      <c:pt idx="1">
                        <c:v>2020</c:v>
                      </c:pt>
                      <c:pt idx="2">
                        <c:v>2025</c:v>
                      </c:pt>
                      <c:pt idx="3">
                        <c:v>2030</c:v>
                      </c:pt>
                      <c:pt idx="4">
                        <c:v>2035</c:v>
                      </c:pt>
                      <c:pt idx="5">
                        <c:v>2040</c:v>
                      </c:pt>
                      <c:pt idx="6">
                        <c:v>2045</c:v>
                      </c:pt>
                      <c:pt idx="7">
                        <c:v>2050</c:v>
                      </c:pt>
                    </c:numCache>
                  </c:numRef>
                </c:xVal>
                <c:yVal>
                  <c:numRef>
                    <c:extLst>
                      <c:ext uri="{02D57815-91ED-43cb-92C2-25804820EDAC}">
                        <c15:formulaRef>
                          <c15:sqref>Feuil1!$D$6:$K$6</c15:sqref>
                        </c15:formulaRef>
                      </c:ext>
                    </c:extLst>
                    <c:numCache>
                      <c:formatCode>General</c:formatCode>
                      <c:ptCount val="8"/>
                      <c:pt idx="0">
                        <c:v>434.53977351930047</c:v>
                      </c:pt>
                      <c:pt idx="1">
                        <c:v>392.96256817549704</c:v>
                      </c:pt>
                      <c:pt idx="2">
                        <c:v>377.09788602996173</c:v>
                      </c:pt>
                      <c:pt idx="3">
                        <c:v>343.63385358868788</c:v>
                      </c:pt>
                      <c:pt idx="4">
                        <c:v>315.13747104973652</c:v>
                      </c:pt>
                      <c:pt idx="5">
                        <c:v>292.77935612400171</c:v>
                      </c:pt>
                      <c:pt idx="6">
                        <c:v>276.25805690686485</c:v>
                      </c:pt>
                      <c:pt idx="7">
                        <c:v>270.84150851693789</c:v>
                      </c:pt>
                    </c:numCache>
                  </c:numRef>
                </c:yVal>
                <c:smooth val="0"/>
                <c:extLst>
                  <c:ext xmlns:c16="http://schemas.microsoft.com/office/drawing/2014/chart" uri="{C3380CC4-5D6E-409C-BE32-E72D297353CC}">
                    <c16:uniqueId val="{00000004-14DE-45BC-9AD8-B688167DDCAE}"/>
                  </c:ext>
                </c:extLst>
              </c15:ser>
            </c15:filteredScatterSeries>
            <c15:filteredScatterSeries>
              <c15:ser>
                <c:idx val="1"/>
                <c:order val="2"/>
                <c:tx>
                  <c:strRef>
                    <c:extLst xmlns:c15="http://schemas.microsoft.com/office/drawing/2012/chart">
                      <c:ext xmlns:c15="http://schemas.microsoft.com/office/drawing/2012/chart" uri="{02D57815-91ED-43cb-92C2-25804820EDAC}">
                        <c15:formulaRef>
                          <c15:sqref>Feuil1!$B$7</c15:sqref>
                        </c15:formulaRef>
                      </c:ext>
                    </c:extLst>
                    <c:strCache>
                      <c:ptCount val="1"/>
                      <c:pt idx="0">
                        <c:v>AMS 2023 run 1</c:v>
                      </c:pt>
                    </c:strCache>
                  </c:strRef>
                </c:tx>
                <c:spPr>
                  <a:ln w="19050" cap="rnd">
                    <a:solidFill>
                      <a:schemeClr val="accent2"/>
                    </a:solidFill>
                    <a:round/>
                  </a:ln>
                  <a:effectLst/>
                </c:spPr>
                <c:marker>
                  <c:symbol val="none"/>
                </c:marker>
                <c:xVal>
                  <c:numRef>
                    <c:extLst xmlns:c15="http://schemas.microsoft.com/office/drawing/2012/chart">
                      <c:ext xmlns:c15="http://schemas.microsoft.com/office/drawing/2012/chart" uri="{02D57815-91ED-43cb-92C2-25804820EDAC}">
                        <c15:formulaRef>
                          <c15:sqref>Feuil1!$D$5:$K$5</c15:sqref>
                        </c15:formulaRef>
                      </c:ext>
                    </c:extLst>
                    <c:numCache>
                      <c:formatCode>General</c:formatCode>
                      <c:ptCount val="8"/>
                      <c:pt idx="0">
                        <c:v>2019</c:v>
                      </c:pt>
                      <c:pt idx="1">
                        <c:v>2020</c:v>
                      </c:pt>
                      <c:pt idx="2">
                        <c:v>2025</c:v>
                      </c:pt>
                      <c:pt idx="3">
                        <c:v>2030</c:v>
                      </c:pt>
                      <c:pt idx="4">
                        <c:v>2035</c:v>
                      </c:pt>
                      <c:pt idx="5">
                        <c:v>2040</c:v>
                      </c:pt>
                      <c:pt idx="6">
                        <c:v>2045</c:v>
                      </c:pt>
                      <c:pt idx="7">
                        <c:v>2050</c:v>
                      </c:pt>
                    </c:numCache>
                  </c:numRef>
                </c:xVal>
                <c:yVal>
                  <c:numRef>
                    <c:extLst xmlns:c15="http://schemas.microsoft.com/office/drawing/2012/chart">
                      <c:ext xmlns:c15="http://schemas.microsoft.com/office/drawing/2012/chart" uri="{02D57815-91ED-43cb-92C2-25804820EDAC}">
                        <c15:formulaRef>
                          <c15:sqref>Feuil1!$D$7:$K$7</c15:sqref>
                        </c15:formulaRef>
                      </c:ext>
                    </c:extLst>
                    <c:numCache>
                      <c:formatCode>General</c:formatCode>
                      <c:ptCount val="8"/>
                      <c:pt idx="0">
                        <c:v>434.64710333829277</c:v>
                      </c:pt>
                      <c:pt idx="1">
                        <c:v>393</c:v>
                      </c:pt>
                      <c:pt idx="2">
                        <c:v>344.44911670728897</c:v>
                      </c:pt>
                      <c:pt idx="3">
                        <c:v>264.99272560385185</c:v>
                      </c:pt>
                      <c:pt idx="4">
                        <c:v>202.04721000805864</c:v>
                      </c:pt>
                      <c:pt idx="5">
                        <c:v>147.14954133525498</c:v>
                      </c:pt>
                      <c:pt idx="6">
                        <c:v>113.32881193066169</c:v>
                      </c:pt>
                      <c:pt idx="7">
                        <c:v>87.02033564931736</c:v>
                      </c:pt>
                    </c:numCache>
                  </c:numRef>
                </c:yVal>
                <c:smooth val="0"/>
                <c:extLst xmlns:c15="http://schemas.microsoft.com/office/drawing/2012/chart">
                  <c:ext xmlns:c16="http://schemas.microsoft.com/office/drawing/2014/chart" uri="{C3380CC4-5D6E-409C-BE32-E72D297353CC}">
                    <c16:uniqueId val="{00000005-14DE-45BC-9AD8-B688167DDCAE}"/>
                  </c:ext>
                </c:extLst>
              </c15:ser>
            </c15:filteredScatterSeries>
          </c:ext>
        </c:extLst>
      </c:scatterChart>
      <c:valAx>
        <c:axId val="8587662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778703"/>
        <c:crosses val="autoZero"/>
        <c:crossBetween val="midCat"/>
      </c:valAx>
      <c:valAx>
        <c:axId val="8587787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sz="1000" b="0" i="0" baseline="0">
                    <a:effectLst/>
                  </a:rPr>
                  <a:t>MtCO2e</a:t>
                </a:r>
                <a:endParaRPr lang="fr-FR" sz="1000">
                  <a:effectLst/>
                </a:endParaRPr>
              </a:p>
            </c:rich>
          </c:tx>
          <c:layout>
            <c:manualLayout>
              <c:xMode val="edge"/>
              <c:yMode val="edge"/>
              <c:x val="1.9255455712451863E-2"/>
              <c:y val="0.4217539863325740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76622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Emissions with LULUCF, Kyoto scope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Feuil1!$A$12</c:f>
              <c:strCache>
                <c:ptCount val="1"/>
                <c:pt idx="0">
                  <c:v>Historique</c:v>
                </c:pt>
              </c:strCache>
            </c:strRef>
          </c:tx>
          <c:spPr>
            <a:ln w="19050" cap="rnd">
              <a:solidFill>
                <a:schemeClr val="accent1"/>
              </a:solidFill>
              <a:round/>
            </a:ln>
            <a:effectLst/>
          </c:spPr>
          <c:marker>
            <c:symbol val="none"/>
          </c:marker>
          <c:xVal>
            <c:numRef>
              <c:f>Feuil1!$B$11:$AL$11</c:f>
              <c:numCache>
                <c:formatCode>General</c:formatCode>
                <c:ptCount val="3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2025</c:v>
                </c:pt>
                <c:pt idx="32">
                  <c:v>2030</c:v>
                </c:pt>
                <c:pt idx="33">
                  <c:v>2035</c:v>
                </c:pt>
                <c:pt idx="34">
                  <c:v>2040</c:v>
                </c:pt>
                <c:pt idx="35">
                  <c:v>2045</c:v>
                </c:pt>
                <c:pt idx="36">
                  <c:v>2050</c:v>
                </c:pt>
              </c:numCache>
            </c:numRef>
          </c:xVal>
          <c:yVal>
            <c:numRef>
              <c:f>Feuil1!$B$12:$AL$12</c:f>
              <c:numCache>
                <c:formatCode>General</c:formatCode>
                <c:ptCount val="37"/>
                <c:pt idx="0">
                  <c:v>522.1</c:v>
                </c:pt>
                <c:pt idx="1">
                  <c:v>548</c:v>
                </c:pt>
                <c:pt idx="2">
                  <c:v>539.6</c:v>
                </c:pt>
                <c:pt idx="3">
                  <c:v>515.79999999999995</c:v>
                </c:pt>
                <c:pt idx="4">
                  <c:v>510.4</c:v>
                </c:pt>
                <c:pt idx="5">
                  <c:v>513.79999999999995</c:v>
                </c:pt>
                <c:pt idx="6">
                  <c:v>525.79999999999995</c:v>
                </c:pt>
                <c:pt idx="7">
                  <c:v>518.29999999999995</c:v>
                </c:pt>
                <c:pt idx="8">
                  <c:v>529.70000000000005</c:v>
                </c:pt>
                <c:pt idx="9">
                  <c:v>520.29999999999995</c:v>
                </c:pt>
                <c:pt idx="10">
                  <c:v>531</c:v>
                </c:pt>
                <c:pt idx="11">
                  <c:v>524.29999999999995</c:v>
                </c:pt>
                <c:pt idx="12">
                  <c:v>509.2</c:v>
                </c:pt>
                <c:pt idx="13">
                  <c:v>510.7</c:v>
                </c:pt>
                <c:pt idx="14">
                  <c:v>506.4</c:v>
                </c:pt>
                <c:pt idx="15">
                  <c:v>506.5</c:v>
                </c:pt>
                <c:pt idx="16">
                  <c:v>494.4</c:v>
                </c:pt>
                <c:pt idx="17">
                  <c:v>485.1</c:v>
                </c:pt>
                <c:pt idx="18">
                  <c:v>478.1</c:v>
                </c:pt>
                <c:pt idx="19">
                  <c:v>466.5</c:v>
                </c:pt>
                <c:pt idx="20">
                  <c:v>472.3</c:v>
                </c:pt>
                <c:pt idx="21">
                  <c:v>447.8</c:v>
                </c:pt>
                <c:pt idx="22">
                  <c:v>447</c:v>
                </c:pt>
                <c:pt idx="23">
                  <c:v>444.7</c:v>
                </c:pt>
                <c:pt idx="24">
                  <c:v>419.7</c:v>
                </c:pt>
                <c:pt idx="25">
                  <c:v>426.5</c:v>
                </c:pt>
                <c:pt idx="26">
                  <c:v>426.2</c:v>
                </c:pt>
                <c:pt idx="27">
                  <c:v>431.3</c:v>
                </c:pt>
                <c:pt idx="28">
                  <c:v>413.9</c:v>
                </c:pt>
                <c:pt idx="29">
                  <c:v>405.3</c:v>
                </c:pt>
                <c:pt idx="30">
                  <c:v>364.9</c:v>
                </c:pt>
              </c:numCache>
            </c:numRef>
          </c:yVal>
          <c:smooth val="1"/>
          <c:extLst>
            <c:ext xmlns:c16="http://schemas.microsoft.com/office/drawing/2014/chart" uri="{C3380CC4-5D6E-409C-BE32-E72D297353CC}">
              <c16:uniqueId val="{00000000-ACA6-499A-8DE3-EA3601727657}"/>
            </c:ext>
          </c:extLst>
        </c:ser>
        <c:ser>
          <c:idx val="1"/>
          <c:order val="1"/>
          <c:tx>
            <c:strRef>
              <c:f>Feuil1!$A$13</c:f>
              <c:strCache>
                <c:ptCount val="1"/>
                <c:pt idx="0">
                  <c:v>AME 2021</c:v>
                </c:pt>
              </c:strCache>
            </c:strRef>
          </c:tx>
          <c:spPr>
            <a:ln w="19050" cap="rnd">
              <a:solidFill>
                <a:schemeClr val="accent2"/>
              </a:solidFill>
              <a:round/>
            </a:ln>
            <a:effectLst/>
          </c:spPr>
          <c:marker>
            <c:symbol val="none"/>
          </c:marker>
          <c:xVal>
            <c:numRef>
              <c:f>Feuil1!$B$11:$AL$11</c:f>
              <c:numCache>
                <c:formatCode>General</c:formatCode>
                <c:ptCount val="3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2025</c:v>
                </c:pt>
                <c:pt idx="32">
                  <c:v>2030</c:v>
                </c:pt>
                <c:pt idx="33">
                  <c:v>2035</c:v>
                </c:pt>
                <c:pt idx="34">
                  <c:v>2040</c:v>
                </c:pt>
                <c:pt idx="35">
                  <c:v>2045</c:v>
                </c:pt>
                <c:pt idx="36">
                  <c:v>2050</c:v>
                </c:pt>
              </c:numCache>
            </c:numRef>
          </c:xVal>
          <c:yVal>
            <c:numRef>
              <c:f>Feuil1!$B$13:$AL$13</c:f>
              <c:numCache>
                <c:formatCode>General</c:formatCode>
                <c:ptCount val="37"/>
                <c:pt idx="25">
                  <c:v>426.50043226744629</c:v>
                </c:pt>
                <c:pt idx="26">
                  <c:v>426.2</c:v>
                </c:pt>
                <c:pt idx="27">
                  <c:v>431.3</c:v>
                </c:pt>
                <c:pt idx="28">
                  <c:v>413.85654830380076</c:v>
                </c:pt>
                <c:pt idx="29">
                  <c:v>405.26011353185726</c:v>
                </c:pt>
                <c:pt idx="30">
                  <c:v>365.83810838823354</c:v>
                </c:pt>
                <c:pt idx="31">
                  <c:v>363.3494446901102</c:v>
                </c:pt>
                <c:pt idx="32">
                  <c:v>340.61787712910399</c:v>
                </c:pt>
                <c:pt idx="33">
                  <c:v>332.88583206956412</c:v>
                </c:pt>
                <c:pt idx="34">
                  <c:v>321.96914458128549</c:v>
                </c:pt>
                <c:pt idx="35">
                  <c:v>319.68309215016956</c:v>
                </c:pt>
                <c:pt idx="36">
                  <c:v>317.02609314185935</c:v>
                </c:pt>
              </c:numCache>
            </c:numRef>
          </c:yVal>
          <c:smooth val="1"/>
          <c:extLst>
            <c:ext xmlns:c16="http://schemas.microsoft.com/office/drawing/2014/chart" uri="{C3380CC4-5D6E-409C-BE32-E72D297353CC}">
              <c16:uniqueId val="{00000001-ACA6-499A-8DE3-EA3601727657}"/>
            </c:ext>
          </c:extLst>
        </c:ser>
        <c:ser>
          <c:idx val="3"/>
          <c:order val="2"/>
          <c:tx>
            <c:strRef>
              <c:f>Feuil1!$A$15</c:f>
              <c:strCache>
                <c:ptCount val="1"/>
                <c:pt idx="0">
                  <c:v>AMS 2018</c:v>
                </c:pt>
              </c:strCache>
            </c:strRef>
          </c:tx>
          <c:spPr>
            <a:ln w="19050" cap="rnd">
              <a:solidFill>
                <a:schemeClr val="accent4"/>
              </a:solidFill>
              <a:round/>
            </a:ln>
            <a:effectLst/>
          </c:spPr>
          <c:marker>
            <c:symbol val="none"/>
          </c:marker>
          <c:xVal>
            <c:numRef>
              <c:f>Feuil1!$B$11:$AL$11</c:f>
              <c:numCache>
                <c:formatCode>General</c:formatCode>
                <c:ptCount val="3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2025</c:v>
                </c:pt>
                <c:pt idx="32">
                  <c:v>2030</c:v>
                </c:pt>
                <c:pt idx="33">
                  <c:v>2035</c:v>
                </c:pt>
                <c:pt idx="34">
                  <c:v>2040</c:v>
                </c:pt>
                <c:pt idx="35">
                  <c:v>2045</c:v>
                </c:pt>
                <c:pt idx="36">
                  <c:v>2050</c:v>
                </c:pt>
              </c:numCache>
            </c:numRef>
          </c:xVal>
          <c:yVal>
            <c:numRef>
              <c:f>Feuil1!$B$15:$AL$15</c:f>
              <c:numCache>
                <c:formatCode>General</c:formatCode>
                <c:ptCount val="37"/>
                <c:pt idx="25">
                  <c:v>423</c:v>
                </c:pt>
                <c:pt idx="26">
                  <c:v>420</c:v>
                </c:pt>
                <c:pt idx="27">
                  <c:v>416</c:v>
                </c:pt>
                <c:pt idx="28">
                  <c:v>410</c:v>
                </c:pt>
                <c:pt idx="29">
                  <c:v>404</c:v>
                </c:pt>
                <c:pt idx="30">
                  <c:v>397</c:v>
                </c:pt>
                <c:pt idx="31">
                  <c:v>332.65882083722499</c:v>
                </c:pt>
                <c:pt idx="32">
                  <c:v>269.97418729286602</c:v>
                </c:pt>
                <c:pt idx="33">
                  <c:v>201.870785391467</c:v>
                </c:pt>
                <c:pt idx="34">
                  <c:v>133.767383490068</c:v>
                </c:pt>
                <c:pt idx="35">
                  <c:v>65.663981588668904</c:v>
                </c:pt>
                <c:pt idx="36">
                  <c:v>-2.43942031273011</c:v>
                </c:pt>
              </c:numCache>
            </c:numRef>
          </c:yVal>
          <c:smooth val="1"/>
          <c:extLst>
            <c:ext xmlns:c16="http://schemas.microsoft.com/office/drawing/2014/chart" uri="{C3380CC4-5D6E-409C-BE32-E72D297353CC}">
              <c16:uniqueId val="{00000002-ACA6-499A-8DE3-EA3601727657}"/>
            </c:ext>
          </c:extLst>
        </c:ser>
        <c:ser>
          <c:idx val="2"/>
          <c:order val="3"/>
          <c:tx>
            <c:strRef>
              <c:f>Feuil1!$A$16</c:f>
              <c:strCache>
                <c:ptCount val="1"/>
                <c:pt idx="0">
                  <c:v>AME 2018</c:v>
                </c:pt>
              </c:strCache>
            </c:strRef>
          </c:tx>
          <c:spPr>
            <a:ln w="19050" cap="rnd">
              <a:solidFill>
                <a:schemeClr val="accent3"/>
              </a:solidFill>
              <a:prstDash val="sysDash"/>
              <a:round/>
            </a:ln>
            <a:effectLst/>
          </c:spPr>
          <c:marker>
            <c:symbol val="none"/>
          </c:marker>
          <c:xVal>
            <c:numRef>
              <c:f>Feuil1!$AA$11:$AL$11</c:f>
              <c:numCache>
                <c:formatCode>General</c:formatCode>
                <c:ptCount val="12"/>
                <c:pt idx="0">
                  <c:v>2015</c:v>
                </c:pt>
                <c:pt idx="1">
                  <c:v>2016</c:v>
                </c:pt>
                <c:pt idx="2">
                  <c:v>2017</c:v>
                </c:pt>
                <c:pt idx="3">
                  <c:v>2018</c:v>
                </c:pt>
                <c:pt idx="4">
                  <c:v>2019</c:v>
                </c:pt>
                <c:pt idx="5">
                  <c:v>2020</c:v>
                </c:pt>
                <c:pt idx="6">
                  <c:v>2025</c:v>
                </c:pt>
                <c:pt idx="7">
                  <c:v>2030</c:v>
                </c:pt>
                <c:pt idx="8">
                  <c:v>2035</c:v>
                </c:pt>
                <c:pt idx="9">
                  <c:v>2040</c:v>
                </c:pt>
                <c:pt idx="10">
                  <c:v>2045</c:v>
                </c:pt>
                <c:pt idx="11">
                  <c:v>2050</c:v>
                </c:pt>
              </c:numCache>
            </c:numRef>
          </c:xVal>
          <c:yVal>
            <c:numRef>
              <c:f>Feuil1!$AA$16:$AL$16</c:f>
              <c:numCache>
                <c:formatCode>General</c:formatCode>
                <c:ptCount val="12"/>
                <c:pt idx="0">
                  <c:v>417.23</c:v>
                </c:pt>
                <c:pt idx="1">
                  <c:v>421.59</c:v>
                </c:pt>
                <c:pt idx="2">
                  <c:v>421.90249999999997</c:v>
                </c:pt>
                <c:pt idx="3">
                  <c:v>422.21499999999997</c:v>
                </c:pt>
                <c:pt idx="4">
                  <c:v>422.52749999999997</c:v>
                </c:pt>
                <c:pt idx="5">
                  <c:v>422.84</c:v>
                </c:pt>
                <c:pt idx="6">
                  <c:v>402.84</c:v>
                </c:pt>
                <c:pt idx="7">
                  <c:v>387.41</c:v>
                </c:pt>
                <c:pt idx="8">
                  <c:v>381.02</c:v>
                </c:pt>
                <c:pt idx="9">
                  <c:v>374.63</c:v>
                </c:pt>
                <c:pt idx="10">
                  <c:v>368.24</c:v>
                </c:pt>
                <c:pt idx="11">
                  <c:v>361.85</c:v>
                </c:pt>
              </c:numCache>
            </c:numRef>
          </c:yVal>
          <c:smooth val="1"/>
          <c:extLst>
            <c:ext xmlns:c16="http://schemas.microsoft.com/office/drawing/2014/chart" uri="{C3380CC4-5D6E-409C-BE32-E72D297353CC}">
              <c16:uniqueId val="{00000003-ACA6-499A-8DE3-EA3601727657}"/>
            </c:ext>
          </c:extLst>
        </c:ser>
        <c:dLbls>
          <c:showLegendKey val="0"/>
          <c:showVal val="0"/>
          <c:showCatName val="0"/>
          <c:showSerName val="0"/>
          <c:showPercent val="0"/>
          <c:showBubbleSize val="0"/>
        </c:dLbls>
        <c:axId val="2087189263"/>
        <c:axId val="2087190511"/>
      </c:scatterChart>
      <c:valAx>
        <c:axId val="2087189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7190511"/>
        <c:crosses val="autoZero"/>
        <c:crossBetween val="midCat"/>
      </c:valAx>
      <c:valAx>
        <c:axId val="20871905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718926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 21 by sector</a:t>
            </a:r>
          </a:p>
        </c:rich>
      </c:tx>
      <c:overlay val="0"/>
      <c:spPr>
        <a:noFill/>
        <a:ln>
          <a:noFill/>
        </a:ln>
        <a:effectLst/>
      </c:spPr>
    </c:title>
    <c:autoTitleDeleted val="0"/>
    <c:plotArea>
      <c:layout/>
      <c:scatterChart>
        <c:scatterStyle val="smoothMarker"/>
        <c:varyColors val="0"/>
        <c:ser>
          <c:idx val="20"/>
          <c:order val="0"/>
          <c:tx>
            <c:strRef>
              <c:f>Feuil7!$B$5</c:f>
              <c:strCache>
                <c:ptCount val="1"/>
                <c:pt idx="0">
                  <c:v>Energy </c:v>
                </c:pt>
              </c:strCache>
            </c:strRef>
          </c:tx>
          <c:spPr>
            <a:ln>
              <a:solidFill>
                <a:schemeClr val="accent1"/>
              </a:solidFill>
            </a:ln>
          </c:spPr>
          <c:marker>
            <c:symbol val="none"/>
          </c:marker>
          <c:xVal>
            <c:numRef>
              <c:f>Feuil7!$C$4:$I$4</c:f>
              <c:numCache>
                <c:formatCode>General</c:formatCode>
                <c:ptCount val="7"/>
                <c:pt idx="0">
                  <c:v>1990</c:v>
                </c:pt>
                <c:pt idx="1">
                  <c:v>1995</c:v>
                </c:pt>
                <c:pt idx="2">
                  <c:v>2000</c:v>
                </c:pt>
                <c:pt idx="3">
                  <c:v>2005</c:v>
                </c:pt>
                <c:pt idx="4">
                  <c:v>2010</c:v>
                </c:pt>
                <c:pt idx="5">
                  <c:v>2015</c:v>
                </c:pt>
                <c:pt idx="6">
                  <c:v>2019</c:v>
                </c:pt>
              </c:numCache>
            </c:numRef>
          </c:xVal>
          <c:yVal>
            <c:numRef>
              <c:f>Feuil7!$C$5:$I$5</c:f>
              <c:numCache>
                <c:formatCode>General</c:formatCode>
                <c:ptCount val="7"/>
                <c:pt idx="0">
                  <c:v>367272</c:v>
                </c:pt>
                <c:pt idx="1">
                  <c:v>366079</c:v>
                </c:pt>
                <c:pt idx="2">
                  <c:v>381989</c:v>
                </c:pt>
                <c:pt idx="3">
                  <c:v>390391</c:v>
                </c:pt>
                <c:pt idx="4">
                  <c:v>357711</c:v>
                </c:pt>
                <c:pt idx="5">
                  <c:v>313634</c:v>
                </c:pt>
                <c:pt idx="6">
                  <c:v>297313</c:v>
                </c:pt>
              </c:numCache>
            </c:numRef>
          </c:yVal>
          <c:smooth val="1"/>
          <c:extLst>
            <c:ext xmlns:c16="http://schemas.microsoft.com/office/drawing/2014/chart" uri="{C3380CC4-5D6E-409C-BE32-E72D297353CC}">
              <c16:uniqueId val="{00000000-E4A1-428D-B0D9-DE2FC8FF1816}"/>
            </c:ext>
          </c:extLst>
        </c:ser>
        <c:ser>
          <c:idx val="21"/>
          <c:order val="1"/>
          <c:tx>
            <c:strRef>
              <c:f>Feuil7!$B$6</c:f>
              <c:strCache>
                <c:ptCount val="1"/>
                <c:pt idx="0">
                  <c:v>Energy (projections)</c:v>
                </c:pt>
              </c:strCache>
            </c:strRef>
          </c:tx>
          <c:spPr>
            <a:ln>
              <a:solidFill>
                <a:schemeClr val="accent1"/>
              </a:solidFill>
              <a:prstDash val="sysDash"/>
            </a:ln>
          </c:spPr>
          <c:marker>
            <c:symbol val="none"/>
          </c:marker>
          <c:xVal>
            <c:numRef>
              <c:f>Feuil7!$I$4:$N$4</c:f>
              <c:numCache>
                <c:formatCode>General</c:formatCode>
                <c:ptCount val="6"/>
                <c:pt idx="0">
                  <c:v>2019</c:v>
                </c:pt>
                <c:pt idx="1">
                  <c:v>2020</c:v>
                </c:pt>
                <c:pt idx="2">
                  <c:v>2025</c:v>
                </c:pt>
                <c:pt idx="3">
                  <c:v>2030</c:v>
                </c:pt>
                <c:pt idx="4">
                  <c:v>2035</c:v>
                </c:pt>
                <c:pt idx="5">
                  <c:v>2050</c:v>
                </c:pt>
              </c:numCache>
            </c:numRef>
          </c:xVal>
          <c:yVal>
            <c:numRef>
              <c:f>Feuil7!$I$6:$N$6</c:f>
              <c:numCache>
                <c:formatCode>General</c:formatCode>
                <c:ptCount val="6"/>
                <c:pt idx="0">
                  <c:v>297313</c:v>
                </c:pt>
                <c:pt idx="1">
                  <c:v>264395</c:v>
                </c:pt>
                <c:pt idx="2">
                  <c:v>261598</c:v>
                </c:pt>
                <c:pt idx="3">
                  <c:v>240639</c:v>
                </c:pt>
                <c:pt idx="4">
                  <c:v>231245</c:v>
                </c:pt>
                <c:pt idx="5">
                  <c:v>211199</c:v>
                </c:pt>
              </c:numCache>
            </c:numRef>
          </c:yVal>
          <c:smooth val="1"/>
          <c:extLst>
            <c:ext xmlns:c16="http://schemas.microsoft.com/office/drawing/2014/chart" uri="{C3380CC4-5D6E-409C-BE32-E72D297353CC}">
              <c16:uniqueId val="{00000001-E4A1-428D-B0D9-DE2FC8FF1816}"/>
            </c:ext>
          </c:extLst>
        </c:ser>
        <c:ser>
          <c:idx val="22"/>
          <c:order val="2"/>
          <c:tx>
            <c:strRef>
              <c:f>Feuil7!$B$7</c:f>
              <c:strCache>
                <c:ptCount val="1"/>
                <c:pt idx="0">
                  <c:v>IPPU</c:v>
                </c:pt>
              </c:strCache>
            </c:strRef>
          </c:tx>
          <c:spPr>
            <a:ln>
              <a:solidFill>
                <a:schemeClr val="accent2"/>
              </a:solidFill>
            </a:ln>
          </c:spPr>
          <c:marker>
            <c:symbol val="none"/>
          </c:marker>
          <c:xVal>
            <c:numRef>
              <c:f>Feuil7!$C$4:$I$4</c:f>
              <c:numCache>
                <c:formatCode>General</c:formatCode>
                <c:ptCount val="7"/>
                <c:pt idx="0">
                  <c:v>1990</c:v>
                </c:pt>
                <c:pt idx="1">
                  <c:v>1995</c:v>
                </c:pt>
                <c:pt idx="2">
                  <c:v>2000</c:v>
                </c:pt>
                <c:pt idx="3">
                  <c:v>2005</c:v>
                </c:pt>
                <c:pt idx="4">
                  <c:v>2010</c:v>
                </c:pt>
                <c:pt idx="5">
                  <c:v>2015</c:v>
                </c:pt>
                <c:pt idx="6">
                  <c:v>2019</c:v>
                </c:pt>
              </c:numCache>
            </c:numRef>
          </c:xVal>
          <c:yVal>
            <c:numRef>
              <c:f>Feuil7!$C$7:$I$7</c:f>
              <c:numCache>
                <c:formatCode>General</c:formatCode>
                <c:ptCount val="7"/>
                <c:pt idx="0">
                  <c:v>78729</c:v>
                </c:pt>
                <c:pt idx="1">
                  <c:v>71997</c:v>
                </c:pt>
                <c:pt idx="2">
                  <c:v>64668</c:v>
                </c:pt>
                <c:pt idx="3">
                  <c:v>63620</c:v>
                </c:pt>
                <c:pt idx="4">
                  <c:v>53798</c:v>
                </c:pt>
                <c:pt idx="5">
                  <c:v>50664</c:v>
                </c:pt>
                <c:pt idx="6">
                  <c:v>46564</c:v>
                </c:pt>
              </c:numCache>
            </c:numRef>
          </c:yVal>
          <c:smooth val="1"/>
          <c:extLst>
            <c:ext xmlns:c16="http://schemas.microsoft.com/office/drawing/2014/chart" uri="{C3380CC4-5D6E-409C-BE32-E72D297353CC}">
              <c16:uniqueId val="{00000002-E4A1-428D-B0D9-DE2FC8FF1816}"/>
            </c:ext>
          </c:extLst>
        </c:ser>
        <c:ser>
          <c:idx val="0"/>
          <c:order val="3"/>
          <c:tx>
            <c:strRef>
              <c:f>Feuil7!$B$8</c:f>
              <c:strCache>
                <c:ptCount val="1"/>
                <c:pt idx="0">
                  <c:v>IPPU (projections)</c:v>
                </c:pt>
              </c:strCache>
            </c:strRef>
          </c:tx>
          <c:spPr>
            <a:ln>
              <a:solidFill>
                <a:schemeClr val="accent2"/>
              </a:solidFill>
              <a:prstDash val="sysDash"/>
            </a:ln>
          </c:spPr>
          <c:marker>
            <c:symbol val="none"/>
          </c:marker>
          <c:xVal>
            <c:numRef>
              <c:f>Feuil7!$I$4:$N$4</c:f>
              <c:numCache>
                <c:formatCode>General</c:formatCode>
                <c:ptCount val="6"/>
                <c:pt idx="0">
                  <c:v>2019</c:v>
                </c:pt>
                <c:pt idx="1">
                  <c:v>2020</c:v>
                </c:pt>
                <c:pt idx="2">
                  <c:v>2025</c:v>
                </c:pt>
                <c:pt idx="3">
                  <c:v>2030</c:v>
                </c:pt>
                <c:pt idx="4">
                  <c:v>2035</c:v>
                </c:pt>
                <c:pt idx="5">
                  <c:v>2050</c:v>
                </c:pt>
              </c:numCache>
            </c:numRef>
          </c:xVal>
          <c:yVal>
            <c:numRef>
              <c:f>Feuil7!$I$8:$N$8</c:f>
              <c:numCache>
                <c:formatCode>General</c:formatCode>
                <c:ptCount val="6"/>
                <c:pt idx="0">
                  <c:v>46564</c:v>
                </c:pt>
                <c:pt idx="1">
                  <c:v>43717</c:v>
                </c:pt>
                <c:pt idx="2">
                  <c:v>41701</c:v>
                </c:pt>
                <c:pt idx="3">
                  <c:v>39058</c:v>
                </c:pt>
                <c:pt idx="4">
                  <c:v>36794</c:v>
                </c:pt>
                <c:pt idx="5">
                  <c:v>33455</c:v>
                </c:pt>
              </c:numCache>
            </c:numRef>
          </c:yVal>
          <c:smooth val="1"/>
          <c:extLst>
            <c:ext xmlns:c16="http://schemas.microsoft.com/office/drawing/2014/chart" uri="{C3380CC4-5D6E-409C-BE32-E72D297353CC}">
              <c16:uniqueId val="{00000003-E4A1-428D-B0D9-DE2FC8FF1816}"/>
            </c:ext>
          </c:extLst>
        </c:ser>
        <c:ser>
          <c:idx val="23"/>
          <c:order val="4"/>
          <c:tx>
            <c:strRef>
              <c:f>Feuil7!$B$9</c:f>
              <c:strCache>
                <c:ptCount val="1"/>
                <c:pt idx="0">
                  <c:v>Agriculture (excluding energy) </c:v>
                </c:pt>
              </c:strCache>
            </c:strRef>
          </c:tx>
          <c:spPr>
            <a:ln>
              <a:solidFill>
                <a:schemeClr val="accent3"/>
              </a:solidFill>
            </a:ln>
          </c:spPr>
          <c:marker>
            <c:symbol val="none"/>
          </c:marker>
          <c:xVal>
            <c:numRef>
              <c:f>Feuil7!$C$4:$I$4</c:f>
              <c:numCache>
                <c:formatCode>General</c:formatCode>
                <c:ptCount val="7"/>
                <c:pt idx="0">
                  <c:v>1990</c:v>
                </c:pt>
                <c:pt idx="1">
                  <c:v>1995</c:v>
                </c:pt>
                <c:pt idx="2">
                  <c:v>2000</c:v>
                </c:pt>
                <c:pt idx="3">
                  <c:v>2005</c:v>
                </c:pt>
                <c:pt idx="4">
                  <c:v>2010</c:v>
                </c:pt>
                <c:pt idx="5">
                  <c:v>2015</c:v>
                </c:pt>
                <c:pt idx="6">
                  <c:v>2019</c:v>
                </c:pt>
              </c:numCache>
            </c:numRef>
          </c:xVal>
          <c:yVal>
            <c:numRef>
              <c:f>Feuil7!$C$9:$I$9</c:f>
              <c:numCache>
                <c:formatCode>General</c:formatCode>
                <c:ptCount val="7"/>
                <c:pt idx="0">
                  <c:v>80803</c:v>
                </c:pt>
                <c:pt idx="1">
                  <c:v>78281</c:v>
                </c:pt>
                <c:pt idx="2">
                  <c:v>81292</c:v>
                </c:pt>
                <c:pt idx="3">
                  <c:v>76018</c:v>
                </c:pt>
                <c:pt idx="4">
                  <c:v>75203</c:v>
                </c:pt>
                <c:pt idx="5">
                  <c:v>75720</c:v>
                </c:pt>
                <c:pt idx="6">
                  <c:v>72498</c:v>
                </c:pt>
              </c:numCache>
            </c:numRef>
          </c:yVal>
          <c:smooth val="1"/>
          <c:extLst>
            <c:ext xmlns:c16="http://schemas.microsoft.com/office/drawing/2014/chart" uri="{C3380CC4-5D6E-409C-BE32-E72D297353CC}">
              <c16:uniqueId val="{00000004-E4A1-428D-B0D9-DE2FC8FF1816}"/>
            </c:ext>
          </c:extLst>
        </c:ser>
        <c:ser>
          <c:idx val="1"/>
          <c:order val="5"/>
          <c:tx>
            <c:strRef>
              <c:f>Feuil7!$B$10</c:f>
              <c:strCache>
                <c:ptCount val="1"/>
                <c:pt idx="0">
                  <c:v>Agriculture (projections)</c:v>
                </c:pt>
              </c:strCache>
            </c:strRef>
          </c:tx>
          <c:spPr>
            <a:ln w="19050" cap="rnd">
              <a:solidFill>
                <a:schemeClr val="accent3"/>
              </a:solidFill>
              <a:prstDash val="sysDash"/>
              <a:round/>
            </a:ln>
            <a:effectLst/>
          </c:spPr>
          <c:marker>
            <c:symbol val="none"/>
          </c:marker>
          <c:xVal>
            <c:numRef>
              <c:f>Feuil7!$I$4:$N$4</c:f>
              <c:numCache>
                <c:formatCode>General</c:formatCode>
                <c:ptCount val="6"/>
                <c:pt idx="0">
                  <c:v>2019</c:v>
                </c:pt>
                <c:pt idx="1">
                  <c:v>2020</c:v>
                </c:pt>
                <c:pt idx="2">
                  <c:v>2025</c:v>
                </c:pt>
                <c:pt idx="3">
                  <c:v>2030</c:v>
                </c:pt>
                <c:pt idx="4">
                  <c:v>2035</c:v>
                </c:pt>
                <c:pt idx="5">
                  <c:v>2050</c:v>
                </c:pt>
              </c:numCache>
            </c:numRef>
          </c:xVal>
          <c:yVal>
            <c:numRef>
              <c:f>Feuil7!$I$10:$N$10</c:f>
              <c:numCache>
                <c:formatCode>General</c:formatCode>
                <c:ptCount val="6"/>
                <c:pt idx="0">
                  <c:v>72498</c:v>
                </c:pt>
                <c:pt idx="1">
                  <c:v>73050</c:v>
                </c:pt>
                <c:pt idx="2">
                  <c:v>72080</c:v>
                </c:pt>
                <c:pt idx="3">
                  <c:v>71043</c:v>
                </c:pt>
                <c:pt idx="4">
                  <c:v>70093</c:v>
                </c:pt>
                <c:pt idx="5">
                  <c:v>68253</c:v>
                </c:pt>
              </c:numCache>
            </c:numRef>
          </c:yVal>
          <c:smooth val="1"/>
          <c:extLst>
            <c:ext xmlns:c16="http://schemas.microsoft.com/office/drawing/2014/chart" uri="{C3380CC4-5D6E-409C-BE32-E72D297353CC}">
              <c16:uniqueId val="{00000005-E4A1-428D-B0D9-DE2FC8FF1816}"/>
            </c:ext>
          </c:extLst>
        </c:ser>
        <c:ser>
          <c:idx val="24"/>
          <c:order val="6"/>
          <c:tx>
            <c:strRef>
              <c:f>Feuil7!$B$11</c:f>
              <c:strCache>
                <c:ptCount val="1"/>
                <c:pt idx="0">
                  <c:v>LULUCF </c:v>
                </c:pt>
              </c:strCache>
            </c:strRef>
          </c:tx>
          <c:spPr>
            <a:ln>
              <a:solidFill>
                <a:schemeClr val="accent4"/>
              </a:solidFill>
            </a:ln>
          </c:spPr>
          <c:marker>
            <c:symbol val="none"/>
          </c:marker>
          <c:xVal>
            <c:numRef>
              <c:f>Feuil7!$C$4:$I$4</c:f>
              <c:numCache>
                <c:formatCode>General</c:formatCode>
                <c:ptCount val="7"/>
                <c:pt idx="0">
                  <c:v>1990</c:v>
                </c:pt>
                <c:pt idx="1">
                  <c:v>1995</c:v>
                </c:pt>
                <c:pt idx="2">
                  <c:v>2000</c:v>
                </c:pt>
                <c:pt idx="3">
                  <c:v>2005</c:v>
                </c:pt>
                <c:pt idx="4">
                  <c:v>2010</c:v>
                </c:pt>
                <c:pt idx="5">
                  <c:v>2015</c:v>
                </c:pt>
                <c:pt idx="6">
                  <c:v>2019</c:v>
                </c:pt>
              </c:numCache>
            </c:numRef>
          </c:xVal>
          <c:yVal>
            <c:numRef>
              <c:f>Feuil7!$C$11:$I$11</c:f>
              <c:numCache>
                <c:formatCode>General</c:formatCode>
                <c:ptCount val="7"/>
                <c:pt idx="0">
                  <c:v>-23986</c:v>
                </c:pt>
                <c:pt idx="1">
                  <c:v>-24879</c:v>
                </c:pt>
                <c:pt idx="2">
                  <c:v>-19709</c:v>
                </c:pt>
                <c:pt idx="3">
                  <c:v>-47311</c:v>
                </c:pt>
                <c:pt idx="4">
                  <c:v>-38355</c:v>
                </c:pt>
                <c:pt idx="5">
                  <c:v>-34577</c:v>
                </c:pt>
                <c:pt idx="6">
                  <c:v>-12288</c:v>
                </c:pt>
              </c:numCache>
            </c:numRef>
          </c:yVal>
          <c:smooth val="1"/>
          <c:extLst>
            <c:ext xmlns:c16="http://schemas.microsoft.com/office/drawing/2014/chart" uri="{C3380CC4-5D6E-409C-BE32-E72D297353CC}">
              <c16:uniqueId val="{00000006-E4A1-428D-B0D9-DE2FC8FF1816}"/>
            </c:ext>
          </c:extLst>
        </c:ser>
        <c:ser>
          <c:idx val="2"/>
          <c:order val="7"/>
          <c:tx>
            <c:strRef>
              <c:f>Feuil7!$B$12</c:f>
              <c:strCache>
                <c:ptCount val="1"/>
                <c:pt idx="0">
                  <c:v>LULUCF (projections)</c:v>
                </c:pt>
              </c:strCache>
            </c:strRef>
          </c:tx>
          <c:spPr>
            <a:ln>
              <a:solidFill>
                <a:schemeClr val="accent4"/>
              </a:solidFill>
              <a:prstDash val="sysDash"/>
            </a:ln>
          </c:spPr>
          <c:marker>
            <c:symbol val="none"/>
          </c:marker>
          <c:xVal>
            <c:numRef>
              <c:f>Feuil7!$I$4:$N$4</c:f>
              <c:numCache>
                <c:formatCode>General</c:formatCode>
                <c:ptCount val="6"/>
                <c:pt idx="0">
                  <c:v>2019</c:v>
                </c:pt>
                <c:pt idx="1">
                  <c:v>2020</c:v>
                </c:pt>
                <c:pt idx="2">
                  <c:v>2025</c:v>
                </c:pt>
                <c:pt idx="3">
                  <c:v>2030</c:v>
                </c:pt>
                <c:pt idx="4">
                  <c:v>2035</c:v>
                </c:pt>
                <c:pt idx="5">
                  <c:v>2050</c:v>
                </c:pt>
              </c:numCache>
            </c:numRef>
          </c:xVal>
          <c:yVal>
            <c:numRef>
              <c:f>Feuil7!$I$12:$N$12</c:f>
              <c:numCache>
                <c:formatCode>General</c:formatCode>
                <c:ptCount val="6"/>
                <c:pt idx="0">
                  <c:v>-12288</c:v>
                </c:pt>
                <c:pt idx="1">
                  <c:v>-32838</c:v>
                </c:pt>
                <c:pt idx="2">
                  <c:v>-28746</c:v>
                </c:pt>
                <c:pt idx="3">
                  <c:v>-26431</c:v>
                </c:pt>
                <c:pt idx="4">
                  <c:v>-21560</c:v>
                </c:pt>
                <c:pt idx="5">
                  <c:v>-12627</c:v>
                </c:pt>
              </c:numCache>
            </c:numRef>
          </c:yVal>
          <c:smooth val="1"/>
          <c:extLst>
            <c:ext xmlns:c16="http://schemas.microsoft.com/office/drawing/2014/chart" uri="{C3380CC4-5D6E-409C-BE32-E72D297353CC}">
              <c16:uniqueId val="{00000007-E4A1-428D-B0D9-DE2FC8FF1816}"/>
            </c:ext>
          </c:extLst>
        </c:ser>
        <c:dLbls>
          <c:showLegendKey val="0"/>
          <c:showVal val="0"/>
          <c:showCatName val="0"/>
          <c:showSerName val="0"/>
          <c:showPercent val="0"/>
          <c:showBubbleSize val="0"/>
        </c:dLbls>
        <c:axId val="1424416096"/>
        <c:axId val="1424419424"/>
      </c:scatterChart>
      <c:valAx>
        <c:axId val="1424416096"/>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19424"/>
        <c:crosses val="autoZero"/>
        <c:crossBetween val="midCat"/>
      </c:valAx>
      <c:valAx>
        <c:axId val="1424419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sz="1000" b="0" i="0" u="none" strike="noStrike" baseline="0">
                    <a:effectLst/>
                  </a:rPr>
                  <a:t>ktCO</a:t>
                </a:r>
                <a:r>
                  <a:rPr lang="en-GB" sz="1000" b="0" i="0" u="none" strike="noStrike" baseline="-25000">
                    <a:effectLst/>
                  </a:rPr>
                  <a:t>2e</a:t>
                </a:r>
                <a:endParaRPr lang="fr-F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16096"/>
        <c:crosses val="autoZero"/>
        <c:crossBetween val="midCat"/>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ln>
      <a:noFill/>
    </a:ln>
  </c:spPr>
  <c:txPr>
    <a:bodyPr/>
    <a:lstStyle/>
    <a:p>
      <a:pPr>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AMS</a:t>
            </a:r>
            <a:r>
              <a:rPr lang="fr-FR" baseline="0"/>
              <a:t> 18 by sector</a:t>
            </a:r>
            <a:endParaRPr lang="fr-FR"/>
          </a:p>
        </c:rich>
      </c:tx>
      <c:overlay val="0"/>
      <c:spPr>
        <a:noFill/>
        <a:ln>
          <a:noFill/>
        </a:ln>
        <a:effectLst/>
      </c:spPr>
    </c:title>
    <c:autoTitleDeleted val="0"/>
    <c:plotArea>
      <c:layout/>
      <c:scatterChart>
        <c:scatterStyle val="smoothMarker"/>
        <c:varyColors val="0"/>
        <c:ser>
          <c:idx val="20"/>
          <c:order val="0"/>
          <c:tx>
            <c:strRef>
              <c:f>'Feuil7 (2)'!$B$5</c:f>
              <c:strCache>
                <c:ptCount val="1"/>
                <c:pt idx="0">
                  <c:v>Energy </c:v>
                </c:pt>
              </c:strCache>
            </c:strRef>
          </c:tx>
          <c:spPr>
            <a:ln>
              <a:solidFill>
                <a:schemeClr val="accent1"/>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(2)'!$C$5:$I$5</c:f>
              <c:numCache>
                <c:formatCode>General</c:formatCode>
                <c:ptCount val="7"/>
                <c:pt idx="0">
                  <c:v>367272</c:v>
                </c:pt>
                <c:pt idx="1">
                  <c:v>366079</c:v>
                </c:pt>
                <c:pt idx="2">
                  <c:v>381989</c:v>
                </c:pt>
                <c:pt idx="3">
                  <c:v>390391</c:v>
                </c:pt>
                <c:pt idx="4">
                  <c:v>357711</c:v>
                </c:pt>
                <c:pt idx="5">
                  <c:v>313634</c:v>
                </c:pt>
                <c:pt idx="6">
                  <c:v>297313</c:v>
                </c:pt>
              </c:numCache>
            </c:numRef>
          </c:yVal>
          <c:smooth val="1"/>
          <c:extLst>
            <c:ext xmlns:c16="http://schemas.microsoft.com/office/drawing/2014/chart" uri="{C3380CC4-5D6E-409C-BE32-E72D297353CC}">
              <c16:uniqueId val="{00000000-17D1-4021-8423-2C105A47A736}"/>
            </c:ext>
          </c:extLst>
        </c:ser>
        <c:ser>
          <c:idx val="21"/>
          <c:order val="1"/>
          <c:tx>
            <c:strRef>
              <c:f>'Feuil7 (2)'!$B$6</c:f>
              <c:strCache>
                <c:ptCount val="1"/>
                <c:pt idx="0">
                  <c:v>Energy (projections)</c:v>
                </c:pt>
              </c:strCache>
            </c:strRef>
          </c:tx>
          <c:spPr>
            <a:ln>
              <a:solidFill>
                <a:schemeClr val="accent1"/>
              </a:solidFill>
              <a:prstDash val="sysDash"/>
            </a:ln>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(2)'!$I$6:$N$6</c:f>
              <c:numCache>
                <c:formatCode>General</c:formatCode>
                <c:ptCount val="6"/>
                <c:pt idx="0">
                  <c:v>297313</c:v>
                </c:pt>
                <c:pt idx="1">
                  <c:v>305017</c:v>
                </c:pt>
                <c:pt idx="2">
                  <c:v>253350</c:v>
                </c:pt>
                <c:pt idx="3">
                  <c:v>203515</c:v>
                </c:pt>
                <c:pt idx="4">
                  <c:v>151385</c:v>
                </c:pt>
                <c:pt idx="5">
                  <c:v>-5007</c:v>
                </c:pt>
              </c:numCache>
            </c:numRef>
          </c:yVal>
          <c:smooth val="1"/>
          <c:extLst>
            <c:ext xmlns:c16="http://schemas.microsoft.com/office/drawing/2014/chart" uri="{C3380CC4-5D6E-409C-BE32-E72D297353CC}">
              <c16:uniqueId val="{00000001-17D1-4021-8423-2C105A47A736}"/>
            </c:ext>
          </c:extLst>
        </c:ser>
        <c:ser>
          <c:idx val="22"/>
          <c:order val="2"/>
          <c:tx>
            <c:strRef>
              <c:f>'Feuil7 (2)'!$B$7</c:f>
              <c:strCache>
                <c:ptCount val="1"/>
                <c:pt idx="0">
                  <c:v>IPPU</c:v>
                </c:pt>
              </c:strCache>
            </c:strRef>
          </c:tx>
          <c:spPr>
            <a:ln>
              <a:solidFill>
                <a:schemeClr val="accent2"/>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(2)'!$C$7:$I$7</c:f>
              <c:numCache>
                <c:formatCode>General</c:formatCode>
                <c:ptCount val="7"/>
                <c:pt idx="0">
                  <c:v>78729</c:v>
                </c:pt>
                <c:pt idx="1">
                  <c:v>71997</c:v>
                </c:pt>
                <c:pt idx="2">
                  <c:v>64668</c:v>
                </c:pt>
                <c:pt idx="3">
                  <c:v>63620</c:v>
                </c:pt>
                <c:pt idx="4">
                  <c:v>53798</c:v>
                </c:pt>
                <c:pt idx="5">
                  <c:v>50664</c:v>
                </c:pt>
                <c:pt idx="6">
                  <c:v>46564</c:v>
                </c:pt>
              </c:numCache>
            </c:numRef>
          </c:yVal>
          <c:smooth val="1"/>
          <c:extLst>
            <c:ext xmlns:c16="http://schemas.microsoft.com/office/drawing/2014/chart" uri="{C3380CC4-5D6E-409C-BE32-E72D297353CC}">
              <c16:uniqueId val="{00000002-17D1-4021-8423-2C105A47A736}"/>
            </c:ext>
          </c:extLst>
        </c:ser>
        <c:ser>
          <c:idx val="0"/>
          <c:order val="3"/>
          <c:tx>
            <c:strRef>
              <c:f>'Feuil7 (2)'!$B$8</c:f>
              <c:strCache>
                <c:ptCount val="1"/>
                <c:pt idx="0">
                  <c:v>IPPU (projections)</c:v>
                </c:pt>
              </c:strCache>
            </c:strRef>
          </c:tx>
          <c:spPr>
            <a:ln>
              <a:solidFill>
                <a:schemeClr val="accent2"/>
              </a:solidFill>
              <a:prstDash val="sysDash"/>
            </a:ln>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(2)'!$I$8:$N$8</c:f>
              <c:numCache>
                <c:formatCode>General</c:formatCode>
                <c:ptCount val="6"/>
                <c:pt idx="0">
                  <c:v>46564</c:v>
                </c:pt>
                <c:pt idx="1">
                  <c:v>41371</c:v>
                </c:pt>
                <c:pt idx="2">
                  <c:v>32979</c:v>
                </c:pt>
                <c:pt idx="3">
                  <c:v>27368</c:v>
                </c:pt>
                <c:pt idx="4">
                  <c:v>24409</c:v>
                </c:pt>
                <c:pt idx="5">
                  <c:v>15534</c:v>
                </c:pt>
              </c:numCache>
            </c:numRef>
          </c:yVal>
          <c:smooth val="1"/>
          <c:extLst>
            <c:ext xmlns:c16="http://schemas.microsoft.com/office/drawing/2014/chart" uri="{C3380CC4-5D6E-409C-BE32-E72D297353CC}">
              <c16:uniqueId val="{00000003-17D1-4021-8423-2C105A47A736}"/>
            </c:ext>
          </c:extLst>
        </c:ser>
        <c:ser>
          <c:idx val="23"/>
          <c:order val="4"/>
          <c:tx>
            <c:strRef>
              <c:f>'Feuil7 (2)'!$B$9</c:f>
              <c:strCache>
                <c:ptCount val="1"/>
                <c:pt idx="0">
                  <c:v>Agriculture (excluding energy) </c:v>
                </c:pt>
              </c:strCache>
            </c:strRef>
          </c:tx>
          <c:spPr>
            <a:ln>
              <a:solidFill>
                <a:schemeClr val="accent3"/>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(2)'!$C$9:$I$9</c:f>
              <c:numCache>
                <c:formatCode>General</c:formatCode>
                <c:ptCount val="7"/>
                <c:pt idx="0">
                  <c:v>80803</c:v>
                </c:pt>
                <c:pt idx="1">
                  <c:v>78281</c:v>
                </c:pt>
                <c:pt idx="2">
                  <c:v>81292</c:v>
                </c:pt>
                <c:pt idx="3">
                  <c:v>76018</c:v>
                </c:pt>
                <c:pt idx="4">
                  <c:v>75203</c:v>
                </c:pt>
                <c:pt idx="5">
                  <c:v>75720</c:v>
                </c:pt>
                <c:pt idx="6">
                  <c:v>72498</c:v>
                </c:pt>
              </c:numCache>
            </c:numRef>
          </c:yVal>
          <c:smooth val="1"/>
          <c:extLst>
            <c:ext xmlns:c16="http://schemas.microsoft.com/office/drawing/2014/chart" uri="{C3380CC4-5D6E-409C-BE32-E72D297353CC}">
              <c16:uniqueId val="{00000004-17D1-4021-8423-2C105A47A736}"/>
            </c:ext>
          </c:extLst>
        </c:ser>
        <c:ser>
          <c:idx val="1"/>
          <c:order val="5"/>
          <c:tx>
            <c:strRef>
              <c:f>'Feuil7 (2)'!$B$10</c:f>
              <c:strCache>
                <c:ptCount val="1"/>
                <c:pt idx="0">
                  <c:v>Agriculture (projections)</c:v>
                </c:pt>
              </c:strCache>
            </c:strRef>
          </c:tx>
          <c:spPr>
            <a:ln w="19050" cap="rnd">
              <a:solidFill>
                <a:schemeClr val="accent3"/>
              </a:solidFill>
              <a:prstDash val="sysDash"/>
              <a:round/>
            </a:ln>
            <a:effectLst/>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(2)'!$I$10:$N$10</c:f>
              <c:numCache>
                <c:formatCode>General</c:formatCode>
                <c:ptCount val="6"/>
                <c:pt idx="0">
                  <c:v>72498</c:v>
                </c:pt>
                <c:pt idx="1">
                  <c:v>73646</c:v>
                </c:pt>
                <c:pt idx="2">
                  <c:v>69007</c:v>
                </c:pt>
                <c:pt idx="3">
                  <c:v>65227</c:v>
                </c:pt>
                <c:pt idx="4">
                  <c:v>62117</c:v>
                </c:pt>
                <c:pt idx="5">
                  <c:v>47831</c:v>
                </c:pt>
              </c:numCache>
            </c:numRef>
          </c:yVal>
          <c:smooth val="1"/>
          <c:extLst>
            <c:ext xmlns:c16="http://schemas.microsoft.com/office/drawing/2014/chart" uri="{C3380CC4-5D6E-409C-BE32-E72D297353CC}">
              <c16:uniqueId val="{00000005-17D1-4021-8423-2C105A47A736}"/>
            </c:ext>
          </c:extLst>
        </c:ser>
        <c:ser>
          <c:idx val="24"/>
          <c:order val="6"/>
          <c:tx>
            <c:strRef>
              <c:f>'Feuil7 (2)'!$B$11</c:f>
              <c:strCache>
                <c:ptCount val="1"/>
                <c:pt idx="0">
                  <c:v>LULUCF </c:v>
                </c:pt>
              </c:strCache>
            </c:strRef>
          </c:tx>
          <c:spPr>
            <a:ln>
              <a:solidFill>
                <a:schemeClr val="accent4"/>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(2)'!$C$11:$I$11</c:f>
              <c:numCache>
                <c:formatCode>General</c:formatCode>
                <c:ptCount val="7"/>
                <c:pt idx="0">
                  <c:v>-23986</c:v>
                </c:pt>
                <c:pt idx="1">
                  <c:v>-24879</c:v>
                </c:pt>
                <c:pt idx="2">
                  <c:v>-19709</c:v>
                </c:pt>
                <c:pt idx="3">
                  <c:v>-47311</c:v>
                </c:pt>
                <c:pt idx="4">
                  <c:v>-38355</c:v>
                </c:pt>
                <c:pt idx="5">
                  <c:v>-34577</c:v>
                </c:pt>
                <c:pt idx="6">
                  <c:v>-12288</c:v>
                </c:pt>
              </c:numCache>
            </c:numRef>
          </c:yVal>
          <c:smooth val="1"/>
          <c:extLst>
            <c:ext xmlns:c16="http://schemas.microsoft.com/office/drawing/2014/chart" uri="{C3380CC4-5D6E-409C-BE32-E72D297353CC}">
              <c16:uniqueId val="{00000006-17D1-4021-8423-2C105A47A736}"/>
            </c:ext>
          </c:extLst>
        </c:ser>
        <c:ser>
          <c:idx val="2"/>
          <c:order val="7"/>
          <c:tx>
            <c:strRef>
              <c:f>'Feuil7 (2)'!$B$12</c:f>
              <c:strCache>
                <c:ptCount val="1"/>
                <c:pt idx="0">
                  <c:v>LULUCF (projections)</c:v>
                </c:pt>
              </c:strCache>
            </c:strRef>
          </c:tx>
          <c:spPr>
            <a:ln>
              <a:solidFill>
                <a:schemeClr val="accent4"/>
              </a:solidFill>
              <a:prstDash val="sysDash"/>
            </a:ln>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(2)'!$I$12:$N$12</c:f>
              <c:numCache>
                <c:formatCode>General</c:formatCode>
                <c:ptCount val="6"/>
                <c:pt idx="0">
                  <c:v>-12288</c:v>
                </c:pt>
                <c:pt idx="1">
                  <c:v>-38995</c:v>
                </c:pt>
                <c:pt idx="2">
                  <c:v>-37671</c:v>
                </c:pt>
                <c:pt idx="3">
                  <c:v>-40160</c:v>
                </c:pt>
                <c:pt idx="4">
                  <c:v>-45205</c:v>
                </c:pt>
                <c:pt idx="5">
                  <c:v>-67148</c:v>
                </c:pt>
              </c:numCache>
            </c:numRef>
          </c:yVal>
          <c:smooth val="1"/>
          <c:extLst>
            <c:ext xmlns:c16="http://schemas.microsoft.com/office/drawing/2014/chart" uri="{C3380CC4-5D6E-409C-BE32-E72D297353CC}">
              <c16:uniqueId val="{00000007-17D1-4021-8423-2C105A47A736}"/>
            </c:ext>
          </c:extLst>
        </c:ser>
        <c:ser>
          <c:idx val="3"/>
          <c:order val="8"/>
          <c:tx>
            <c:strRef>
              <c:f>'Feuil7 (2)'!$B$13</c:f>
              <c:strCache>
                <c:ptCount val="1"/>
                <c:pt idx="0">
                  <c:v>Waste </c:v>
                </c:pt>
              </c:strCache>
            </c:strRef>
          </c:tx>
          <c:spPr>
            <a:ln>
              <a:solidFill>
                <a:schemeClr val="accent6"/>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(2)'!$C$13:$I$13</c:f>
              <c:numCache>
                <c:formatCode>General</c:formatCode>
                <c:ptCount val="7"/>
                <c:pt idx="0">
                  <c:v>17283</c:v>
                </c:pt>
                <c:pt idx="1">
                  <c:v>20118</c:v>
                </c:pt>
                <c:pt idx="2">
                  <c:v>21056</c:v>
                </c:pt>
                <c:pt idx="3">
                  <c:v>21362</c:v>
                </c:pt>
                <c:pt idx="4">
                  <c:v>20756</c:v>
                </c:pt>
                <c:pt idx="5">
                  <c:v>17905</c:v>
                </c:pt>
                <c:pt idx="6">
                  <c:v>18165</c:v>
                </c:pt>
              </c:numCache>
            </c:numRef>
          </c:yVal>
          <c:smooth val="1"/>
          <c:extLst>
            <c:ext xmlns:c16="http://schemas.microsoft.com/office/drawing/2014/chart" uri="{C3380CC4-5D6E-409C-BE32-E72D297353CC}">
              <c16:uniqueId val="{00000008-17D1-4021-8423-2C105A47A736}"/>
            </c:ext>
          </c:extLst>
        </c:ser>
        <c:ser>
          <c:idx val="4"/>
          <c:order val="9"/>
          <c:tx>
            <c:strRef>
              <c:f>'Feuil7 (2)'!$B$14</c:f>
              <c:strCache>
                <c:ptCount val="1"/>
                <c:pt idx="0">
                  <c:v>Waste (projections)</c:v>
                </c:pt>
              </c:strCache>
            </c:strRef>
          </c:tx>
          <c:spPr>
            <a:ln>
              <a:prstDash val="sysDash"/>
            </a:ln>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(2)'!$I$14:$N$14</c:f>
              <c:numCache>
                <c:formatCode>General</c:formatCode>
                <c:ptCount val="6"/>
                <c:pt idx="0">
                  <c:v>18165</c:v>
                </c:pt>
                <c:pt idx="1">
                  <c:v>14345</c:v>
                </c:pt>
                <c:pt idx="2">
                  <c:v>12325</c:v>
                </c:pt>
                <c:pt idx="3">
                  <c:v>10983</c:v>
                </c:pt>
                <c:pt idx="4">
                  <c:v>9786</c:v>
                </c:pt>
                <c:pt idx="5">
                  <c:v>6193</c:v>
                </c:pt>
              </c:numCache>
            </c:numRef>
          </c:yVal>
          <c:smooth val="1"/>
          <c:extLst>
            <c:ext xmlns:c16="http://schemas.microsoft.com/office/drawing/2014/chart" uri="{C3380CC4-5D6E-409C-BE32-E72D297353CC}">
              <c16:uniqueId val="{00000009-17D1-4021-8423-2C105A47A736}"/>
            </c:ext>
          </c:extLst>
        </c:ser>
        <c:dLbls>
          <c:showLegendKey val="0"/>
          <c:showVal val="0"/>
          <c:showCatName val="0"/>
          <c:showSerName val="0"/>
          <c:showPercent val="0"/>
          <c:showBubbleSize val="0"/>
        </c:dLbls>
        <c:axId val="1424416096"/>
        <c:axId val="1424419424"/>
      </c:scatterChart>
      <c:valAx>
        <c:axId val="1424416096"/>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19424"/>
        <c:crosses val="autoZero"/>
        <c:crossBetween val="midCat"/>
      </c:valAx>
      <c:valAx>
        <c:axId val="1424419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sz="1000" b="0" i="0" u="none" strike="noStrike" baseline="0">
                    <a:effectLst/>
                  </a:rPr>
                  <a:t>ktCO</a:t>
                </a:r>
                <a:r>
                  <a:rPr lang="en-GB" sz="1000" b="0" i="0" u="none" strike="noStrike" baseline="-25000">
                    <a:effectLst/>
                  </a:rPr>
                  <a:t>2e</a:t>
                </a:r>
                <a:endParaRPr lang="fr-F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16096"/>
        <c:crosses val="autoZero"/>
        <c:crossBetween val="midCat"/>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ln>
      <a:noFill/>
    </a:ln>
  </c:spPr>
  <c:txPr>
    <a:bodyPr/>
    <a:lstStyle/>
    <a:p>
      <a:pPr>
        <a:defRPr/>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 2021 by Energy sector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Feuil9!$C$5</c:f>
              <c:strCache>
                <c:ptCount val="1"/>
                <c:pt idx="0">
                  <c:v>Energy industry </c:v>
                </c:pt>
              </c:strCache>
            </c:strRef>
          </c:tx>
          <c:spPr>
            <a:ln w="19050" cap="rnd">
              <a:solidFill>
                <a:schemeClr val="accent1"/>
              </a:solidFill>
              <a:round/>
            </a:ln>
            <a:effectLst/>
          </c:spPr>
          <c:marker>
            <c:symbol val="none"/>
          </c:marker>
          <c:xVal>
            <c:numRef>
              <c:f>Feuil9!$D$4:$O$4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Feuil9!$D$5:$O$5</c:f>
              <c:numCache>
                <c:formatCode>General</c:formatCode>
                <c:ptCount val="12"/>
                <c:pt idx="0">
                  <c:v>66338</c:v>
                </c:pt>
                <c:pt idx="1">
                  <c:v>55802</c:v>
                </c:pt>
                <c:pt idx="2">
                  <c:v>62526</c:v>
                </c:pt>
                <c:pt idx="3">
                  <c:v>66972</c:v>
                </c:pt>
                <c:pt idx="4">
                  <c:v>60134</c:v>
                </c:pt>
                <c:pt idx="5">
                  <c:v>44988</c:v>
                </c:pt>
                <c:pt idx="6">
                  <c:v>41680</c:v>
                </c:pt>
                <c:pt idx="7">
                  <c:v>49721</c:v>
                </c:pt>
                <c:pt idx="8">
                  <c:v>49450</c:v>
                </c:pt>
                <c:pt idx="9">
                  <c:v>48836</c:v>
                </c:pt>
                <c:pt idx="10">
                  <c:v>48946</c:v>
                </c:pt>
                <c:pt idx="11">
                  <c:v>30247</c:v>
                </c:pt>
              </c:numCache>
            </c:numRef>
          </c:yVal>
          <c:smooth val="0"/>
          <c:extLst>
            <c:ext xmlns:c16="http://schemas.microsoft.com/office/drawing/2014/chart" uri="{C3380CC4-5D6E-409C-BE32-E72D297353CC}">
              <c16:uniqueId val="{00000000-D02B-4A02-ADE0-594AA04842E8}"/>
            </c:ext>
          </c:extLst>
        </c:ser>
        <c:ser>
          <c:idx val="1"/>
          <c:order val="1"/>
          <c:tx>
            <c:strRef>
              <c:f>Feuil9!$C$6</c:f>
              <c:strCache>
                <c:ptCount val="1"/>
                <c:pt idx="0">
                  <c:v>Manufacturing and construction </c:v>
                </c:pt>
              </c:strCache>
            </c:strRef>
          </c:tx>
          <c:spPr>
            <a:ln w="19050" cap="rnd">
              <a:solidFill>
                <a:schemeClr val="accent2"/>
              </a:solidFill>
              <a:round/>
            </a:ln>
            <a:effectLst/>
          </c:spPr>
          <c:marker>
            <c:symbol val="none"/>
          </c:marker>
          <c:xVal>
            <c:numRef>
              <c:f>Feuil9!$D$4:$O$4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Feuil9!$D$6:$O$6</c:f>
              <c:numCache>
                <c:formatCode>General</c:formatCode>
                <c:ptCount val="12"/>
                <c:pt idx="0">
                  <c:v>76164</c:v>
                </c:pt>
                <c:pt idx="1">
                  <c:v>80423</c:v>
                </c:pt>
                <c:pt idx="2">
                  <c:v>75532</c:v>
                </c:pt>
                <c:pt idx="3">
                  <c:v>71990</c:v>
                </c:pt>
                <c:pt idx="4">
                  <c:v>62105</c:v>
                </c:pt>
                <c:pt idx="5">
                  <c:v>51963</c:v>
                </c:pt>
                <c:pt idx="6">
                  <c:v>48031</c:v>
                </c:pt>
                <c:pt idx="7">
                  <c:v>47344</c:v>
                </c:pt>
                <c:pt idx="8">
                  <c:v>49895</c:v>
                </c:pt>
                <c:pt idx="9">
                  <c:v>48956</c:v>
                </c:pt>
                <c:pt idx="10">
                  <c:v>49242</c:v>
                </c:pt>
                <c:pt idx="11">
                  <c:v>50182</c:v>
                </c:pt>
              </c:numCache>
            </c:numRef>
          </c:yVal>
          <c:smooth val="0"/>
          <c:extLst>
            <c:ext xmlns:c16="http://schemas.microsoft.com/office/drawing/2014/chart" uri="{C3380CC4-5D6E-409C-BE32-E72D297353CC}">
              <c16:uniqueId val="{00000001-D02B-4A02-ADE0-594AA04842E8}"/>
            </c:ext>
          </c:extLst>
        </c:ser>
        <c:ser>
          <c:idx val="2"/>
          <c:order val="2"/>
          <c:tx>
            <c:strRef>
              <c:f>Feuil9!$C$7</c:f>
              <c:strCache>
                <c:ptCount val="1"/>
                <c:pt idx="0">
                  <c:v>Transport </c:v>
                </c:pt>
              </c:strCache>
            </c:strRef>
          </c:tx>
          <c:spPr>
            <a:ln w="19050" cap="rnd">
              <a:solidFill>
                <a:schemeClr val="accent3"/>
              </a:solidFill>
              <a:round/>
            </a:ln>
            <a:effectLst/>
          </c:spPr>
          <c:marker>
            <c:symbol val="none"/>
          </c:marker>
          <c:xVal>
            <c:numRef>
              <c:f>Feuil9!$D$4:$O$4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Feuil9!$D$7:$O$7</c:f>
              <c:numCache>
                <c:formatCode>General</c:formatCode>
                <c:ptCount val="12"/>
                <c:pt idx="0">
                  <c:v>122293</c:v>
                </c:pt>
                <c:pt idx="1">
                  <c:v>132329</c:v>
                </c:pt>
                <c:pt idx="2">
                  <c:v>141051</c:v>
                </c:pt>
                <c:pt idx="3">
                  <c:v>142041</c:v>
                </c:pt>
                <c:pt idx="4">
                  <c:v>133750</c:v>
                </c:pt>
                <c:pt idx="5">
                  <c:v>133744</c:v>
                </c:pt>
                <c:pt idx="6">
                  <c:v>131725</c:v>
                </c:pt>
                <c:pt idx="7">
                  <c:v>104084</c:v>
                </c:pt>
                <c:pt idx="8">
                  <c:v>114627</c:v>
                </c:pt>
                <c:pt idx="9">
                  <c:v>102181</c:v>
                </c:pt>
                <c:pt idx="10">
                  <c:v>96593</c:v>
                </c:pt>
                <c:pt idx="11">
                  <c:v>83729</c:v>
                </c:pt>
              </c:numCache>
            </c:numRef>
          </c:yVal>
          <c:smooth val="0"/>
          <c:extLst>
            <c:ext xmlns:c16="http://schemas.microsoft.com/office/drawing/2014/chart" uri="{C3380CC4-5D6E-409C-BE32-E72D297353CC}">
              <c16:uniqueId val="{00000002-D02B-4A02-ADE0-594AA04842E8}"/>
            </c:ext>
          </c:extLst>
        </c:ser>
        <c:ser>
          <c:idx val="3"/>
          <c:order val="3"/>
          <c:tx>
            <c:strRef>
              <c:f>Feuil9!$C$8</c:f>
              <c:strCache>
                <c:ptCount val="1"/>
                <c:pt idx="0">
                  <c:v>Other sectors </c:v>
                </c:pt>
              </c:strCache>
            </c:strRef>
          </c:tx>
          <c:spPr>
            <a:ln w="19050" cap="rnd">
              <a:solidFill>
                <a:schemeClr val="accent4"/>
              </a:solidFill>
              <a:round/>
            </a:ln>
            <a:effectLst/>
          </c:spPr>
          <c:marker>
            <c:symbol val="none"/>
          </c:marker>
          <c:xVal>
            <c:numRef>
              <c:f>Feuil9!$D$4:$O$4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Feuil9!$D$8:$O$8</c:f>
              <c:numCache>
                <c:formatCode>General</c:formatCode>
                <c:ptCount val="12"/>
                <c:pt idx="0">
                  <c:v>102477</c:v>
                </c:pt>
                <c:pt idx="1">
                  <c:v>97525</c:v>
                </c:pt>
                <c:pt idx="2">
                  <c:v>102881</c:v>
                </c:pt>
                <c:pt idx="3">
                  <c:v>109388</c:v>
                </c:pt>
                <c:pt idx="4">
                  <c:v>101722</c:v>
                </c:pt>
                <c:pt idx="5">
                  <c:v>82940</c:v>
                </c:pt>
                <c:pt idx="6">
                  <c:v>75877</c:v>
                </c:pt>
                <c:pt idx="7">
                  <c:v>73985</c:v>
                </c:pt>
                <c:pt idx="8">
                  <c:v>67291</c:v>
                </c:pt>
                <c:pt idx="9">
                  <c:v>60718</c:v>
                </c:pt>
                <c:pt idx="10">
                  <c:v>57402</c:v>
                </c:pt>
                <c:pt idx="11">
                  <c:v>47041</c:v>
                </c:pt>
              </c:numCache>
            </c:numRef>
          </c:yVal>
          <c:smooth val="0"/>
          <c:extLst>
            <c:ext xmlns:c16="http://schemas.microsoft.com/office/drawing/2014/chart" uri="{C3380CC4-5D6E-409C-BE32-E72D297353CC}">
              <c16:uniqueId val="{00000003-D02B-4A02-ADE0-594AA04842E8}"/>
            </c:ext>
          </c:extLst>
        </c:ser>
        <c:dLbls>
          <c:showLegendKey val="0"/>
          <c:showVal val="0"/>
          <c:showCatName val="0"/>
          <c:showSerName val="0"/>
          <c:showPercent val="0"/>
          <c:showBubbleSize val="0"/>
        </c:dLbls>
        <c:axId val="560246367"/>
        <c:axId val="560246783"/>
      </c:scatterChart>
      <c:valAx>
        <c:axId val="560246367"/>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46783"/>
        <c:crosses val="autoZero"/>
        <c:crossBetween val="midCat"/>
      </c:valAx>
      <c:valAx>
        <c:axId val="5602467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4636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AMS 2018 by Energy sector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'Feuil9 (2)'!$C$5</c:f>
              <c:strCache>
                <c:ptCount val="1"/>
                <c:pt idx="0">
                  <c:v>Energy industry </c:v>
                </c:pt>
              </c:strCache>
            </c:strRef>
          </c:tx>
          <c:spPr>
            <a:ln w="19050" cap="rnd">
              <a:solidFill>
                <a:schemeClr val="accent1"/>
              </a:solidFill>
              <a:round/>
            </a:ln>
            <a:effectLst/>
          </c:spPr>
          <c:marker>
            <c:symbol val="none"/>
          </c:marker>
          <c:xVal>
            <c:numRef>
              <c:f>'Feuil9 (2)'!$D$4:$O$4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 (2)'!$D$5:$O$5</c:f>
              <c:numCache>
                <c:formatCode>General</c:formatCode>
                <c:ptCount val="12"/>
                <c:pt idx="0" formatCode="_(* #,##0.00_);_(* \(#,##0.00\);_(* &quot;-&quot;??_);_(@_)">
                  <c:v>66338</c:v>
                </c:pt>
                <c:pt idx="1">
                  <c:v>55802</c:v>
                </c:pt>
                <c:pt idx="2">
                  <c:v>62526</c:v>
                </c:pt>
                <c:pt idx="3">
                  <c:v>66972</c:v>
                </c:pt>
                <c:pt idx="4">
                  <c:v>60134</c:v>
                </c:pt>
                <c:pt idx="5">
                  <c:v>44988</c:v>
                </c:pt>
                <c:pt idx="6">
                  <c:v>41680</c:v>
                </c:pt>
                <c:pt idx="7">
                  <c:v>51390</c:v>
                </c:pt>
                <c:pt idx="8">
                  <c:v>35549</c:v>
                </c:pt>
                <c:pt idx="9">
                  <c:v>30007</c:v>
                </c:pt>
                <c:pt idx="10">
                  <c:v>19242</c:v>
                </c:pt>
                <c:pt idx="11">
                  <c:v>-13050</c:v>
                </c:pt>
              </c:numCache>
            </c:numRef>
          </c:yVal>
          <c:smooth val="0"/>
          <c:extLst>
            <c:ext xmlns:c16="http://schemas.microsoft.com/office/drawing/2014/chart" uri="{C3380CC4-5D6E-409C-BE32-E72D297353CC}">
              <c16:uniqueId val="{00000000-BD6A-4F3F-8DE9-8455EB623DB3}"/>
            </c:ext>
          </c:extLst>
        </c:ser>
        <c:ser>
          <c:idx val="1"/>
          <c:order val="1"/>
          <c:tx>
            <c:strRef>
              <c:f>'Feuil9 (2)'!$C$6</c:f>
              <c:strCache>
                <c:ptCount val="1"/>
                <c:pt idx="0">
                  <c:v>Manufacturing and construction </c:v>
                </c:pt>
              </c:strCache>
            </c:strRef>
          </c:tx>
          <c:spPr>
            <a:ln w="19050" cap="rnd">
              <a:solidFill>
                <a:schemeClr val="accent2"/>
              </a:solidFill>
              <a:round/>
            </a:ln>
            <a:effectLst/>
          </c:spPr>
          <c:marker>
            <c:symbol val="none"/>
          </c:marker>
          <c:xVal>
            <c:numRef>
              <c:f>'Feuil9 (2)'!$D$4:$O$4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 (2)'!$D$6:$O$6</c:f>
              <c:numCache>
                <c:formatCode>General</c:formatCode>
                <c:ptCount val="12"/>
                <c:pt idx="0">
                  <c:v>76164</c:v>
                </c:pt>
                <c:pt idx="1">
                  <c:v>80423</c:v>
                </c:pt>
                <c:pt idx="2">
                  <c:v>75532</c:v>
                </c:pt>
                <c:pt idx="3">
                  <c:v>71990</c:v>
                </c:pt>
                <c:pt idx="4">
                  <c:v>62105</c:v>
                </c:pt>
                <c:pt idx="5">
                  <c:v>51963</c:v>
                </c:pt>
                <c:pt idx="6">
                  <c:v>48031</c:v>
                </c:pt>
                <c:pt idx="7">
                  <c:v>43570</c:v>
                </c:pt>
                <c:pt idx="8">
                  <c:v>38146</c:v>
                </c:pt>
                <c:pt idx="9">
                  <c:v>30122</c:v>
                </c:pt>
                <c:pt idx="10">
                  <c:v>23105</c:v>
                </c:pt>
                <c:pt idx="11">
                  <c:v>2056</c:v>
                </c:pt>
              </c:numCache>
            </c:numRef>
          </c:yVal>
          <c:smooth val="0"/>
          <c:extLst>
            <c:ext xmlns:c16="http://schemas.microsoft.com/office/drawing/2014/chart" uri="{C3380CC4-5D6E-409C-BE32-E72D297353CC}">
              <c16:uniqueId val="{00000001-BD6A-4F3F-8DE9-8455EB623DB3}"/>
            </c:ext>
          </c:extLst>
        </c:ser>
        <c:ser>
          <c:idx val="2"/>
          <c:order val="2"/>
          <c:tx>
            <c:strRef>
              <c:f>'Feuil9 (2)'!$C$7</c:f>
              <c:strCache>
                <c:ptCount val="1"/>
                <c:pt idx="0">
                  <c:v>Transport </c:v>
                </c:pt>
              </c:strCache>
            </c:strRef>
          </c:tx>
          <c:spPr>
            <a:ln w="19050" cap="rnd">
              <a:solidFill>
                <a:schemeClr val="accent3"/>
              </a:solidFill>
              <a:round/>
            </a:ln>
            <a:effectLst/>
          </c:spPr>
          <c:marker>
            <c:symbol val="none"/>
          </c:marker>
          <c:xVal>
            <c:numRef>
              <c:f>'Feuil9 (2)'!$D$4:$O$4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 (2)'!$D$7:$O$7</c:f>
              <c:numCache>
                <c:formatCode>General</c:formatCode>
                <c:ptCount val="12"/>
                <c:pt idx="0">
                  <c:v>122293</c:v>
                </c:pt>
                <c:pt idx="1">
                  <c:v>132329</c:v>
                </c:pt>
                <c:pt idx="2">
                  <c:v>141051</c:v>
                </c:pt>
                <c:pt idx="3">
                  <c:v>142041</c:v>
                </c:pt>
                <c:pt idx="4">
                  <c:v>133750</c:v>
                </c:pt>
                <c:pt idx="5">
                  <c:v>133744</c:v>
                </c:pt>
                <c:pt idx="6">
                  <c:v>131725</c:v>
                </c:pt>
                <c:pt idx="7">
                  <c:v>126491</c:v>
                </c:pt>
                <c:pt idx="8">
                  <c:v>110958</c:v>
                </c:pt>
                <c:pt idx="9">
                  <c:v>94288</c:v>
                </c:pt>
                <c:pt idx="10">
                  <c:v>71522</c:v>
                </c:pt>
                <c:pt idx="11">
                  <c:v>3221</c:v>
                </c:pt>
              </c:numCache>
            </c:numRef>
          </c:yVal>
          <c:smooth val="0"/>
          <c:extLst>
            <c:ext xmlns:c16="http://schemas.microsoft.com/office/drawing/2014/chart" uri="{C3380CC4-5D6E-409C-BE32-E72D297353CC}">
              <c16:uniqueId val="{00000002-BD6A-4F3F-8DE9-8455EB623DB3}"/>
            </c:ext>
          </c:extLst>
        </c:ser>
        <c:ser>
          <c:idx val="3"/>
          <c:order val="3"/>
          <c:tx>
            <c:strRef>
              <c:f>'Feuil9 (2)'!$C$8</c:f>
              <c:strCache>
                <c:ptCount val="1"/>
                <c:pt idx="0">
                  <c:v>Other sectors </c:v>
                </c:pt>
              </c:strCache>
            </c:strRef>
          </c:tx>
          <c:spPr>
            <a:ln w="19050" cap="rnd">
              <a:solidFill>
                <a:schemeClr val="accent4"/>
              </a:solidFill>
              <a:round/>
            </a:ln>
            <a:effectLst/>
          </c:spPr>
          <c:marker>
            <c:symbol val="none"/>
          </c:marker>
          <c:xVal>
            <c:numRef>
              <c:f>'Feuil9 (2)'!$D$4:$O$4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 (2)'!$D$8:$O$8</c:f>
              <c:numCache>
                <c:formatCode>General</c:formatCode>
                <c:ptCount val="12"/>
                <c:pt idx="0">
                  <c:v>102477</c:v>
                </c:pt>
                <c:pt idx="1">
                  <c:v>97525</c:v>
                </c:pt>
                <c:pt idx="2">
                  <c:v>102881</c:v>
                </c:pt>
                <c:pt idx="3">
                  <c:v>109388</c:v>
                </c:pt>
                <c:pt idx="4">
                  <c:v>101722</c:v>
                </c:pt>
                <c:pt idx="5">
                  <c:v>82940</c:v>
                </c:pt>
                <c:pt idx="6">
                  <c:v>75877</c:v>
                </c:pt>
                <c:pt idx="7">
                  <c:v>83566</c:v>
                </c:pt>
                <c:pt idx="8">
                  <c:v>68697</c:v>
                </c:pt>
                <c:pt idx="9">
                  <c:v>49099</c:v>
                </c:pt>
                <c:pt idx="10">
                  <c:v>37516</c:v>
                </c:pt>
                <c:pt idx="11">
                  <c:v>2766</c:v>
                </c:pt>
              </c:numCache>
            </c:numRef>
          </c:yVal>
          <c:smooth val="0"/>
          <c:extLst>
            <c:ext xmlns:c16="http://schemas.microsoft.com/office/drawing/2014/chart" uri="{C3380CC4-5D6E-409C-BE32-E72D297353CC}">
              <c16:uniqueId val="{00000003-BD6A-4F3F-8DE9-8455EB623DB3}"/>
            </c:ext>
          </c:extLst>
        </c:ser>
        <c:dLbls>
          <c:showLegendKey val="0"/>
          <c:showVal val="0"/>
          <c:showCatName val="0"/>
          <c:showSerName val="0"/>
          <c:showPercent val="0"/>
          <c:showBubbleSize val="0"/>
        </c:dLbls>
        <c:axId val="560246367"/>
        <c:axId val="560246783"/>
      </c:scatterChart>
      <c:valAx>
        <c:axId val="560246367"/>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46783"/>
        <c:crosses val="autoZero"/>
        <c:crossBetween val="midCat"/>
      </c:valAx>
      <c:valAx>
        <c:axId val="5602467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4636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AME21</a:t>
            </a:r>
            <a:r>
              <a:rPr lang="fr-FR" baseline="0"/>
              <a:t> excluding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131950802661295"/>
          <c:y val="0.17155110819480898"/>
          <c:w val="0.86383553073307695"/>
          <c:h val="0.50301326917468647"/>
        </c:manualLayout>
      </c:layout>
      <c:scatterChart>
        <c:scatterStyle val="lineMarker"/>
        <c:varyColors val="0"/>
        <c:ser>
          <c:idx val="0"/>
          <c:order val="0"/>
          <c:tx>
            <c:strRef>
              <c:f>Feuil11!$B$5</c:f>
              <c:strCache>
                <c:ptCount val="1"/>
                <c:pt idx="0">
                  <c:v>CO2 excluding LULUCF </c:v>
                </c:pt>
              </c:strCache>
            </c:strRef>
          </c:tx>
          <c:spPr>
            <a:ln w="19050" cap="rnd">
              <a:solidFill>
                <a:schemeClr val="accent1"/>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Feuil11!$C$5:$I$5</c:f>
              <c:numCache>
                <c:formatCode>General</c:formatCode>
                <c:ptCount val="7"/>
                <c:pt idx="0">
                  <c:v>398425</c:v>
                </c:pt>
                <c:pt idx="1">
                  <c:v>392916</c:v>
                </c:pt>
                <c:pt idx="2">
                  <c:v>414788</c:v>
                </c:pt>
                <c:pt idx="3">
                  <c:v>425444</c:v>
                </c:pt>
                <c:pt idx="4">
                  <c:v>386872</c:v>
                </c:pt>
                <c:pt idx="5">
                  <c:v>341631</c:v>
                </c:pt>
                <c:pt idx="6">
                  <c:v>326725</c:v>
                </c:pt>
              </c:numCache>
            </c:numRef>
          </c:yVal>
          <c:smooth val="0"/>
          <c:extLst>
            <c:ext xmlns:c16="http://schemas.microsoft.com/office/drawing/2014/chart" uri="{C3380CC4-5D6E-409C-BE32-E72D297353CC}">
              <c16:uniqueId val="{00000000-8807-42B0-B372-11C7AB0CD0F2}"/>
            </c:ext>
          </c:extLst>
        </c:ser>
        <c:ser>
          <c:idx val="1"/>
          <c:order val="1"/>
          <c:tx>
            <c:strRef>
              <c:f>Feuil11!$B$7</c:f>
              <c:strCache>
                <c:ptCount val="1"/>
                <c:pt idx="0">
                  <c:v>CH4 excluding LULUCF </c:v>
                </c:pt>
              </c:strCache>
            </c:strRef>
          </c:tx>
          <c:spPr>
            <a:ln w="19050" cap="rnd">
              <a:solidFill>
                <a:schemeClr val="accent2"/>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Feuil11!$C$7:$I$7</c:f>
              <c:numCache>
                <c:formatCode>General</c:formatCode>
                <c:ptCount val="7"/>
                <c:pt idx="0">
                  <c:v>69161</c:v>
                </c:pt>
                <c:pt idx="1">
                  <c:v>70383</c:v>
                </c:pt>
                <c:pt idx="2">
                  <c:v>68603</c:v>
                </c:pt>
                <c:pt idx="3">
                  <c:v>63632</c:v>
                </c:pt>
                <c:pt idx="4">
                  <c:v>61663</c:v>
                </c:pt>
                <c:pt idx="5">
                  <c:v>57862</c:v>
                </c:pt>
                <c:pt idx="6">
                  <c:v>55740</c:v>
                </c:pt>
              </c:numCache>
            </c:numRef>
          </c:yVal>
          <c:smooth val="0"/>
          <c:extLst>
            <c:ext xmlns:c16="http://schemas.microsoft.com/office/drawing/2014/chart" uri="{C3380CC4-5D6E-409C-BE32-E72D297353CC}">
              <c16:uniqueId val="{00000001-8807-42B0-B372-11C7AB0CD0F2}"/>
            </c:ext>
          </c:extLst>
        </c:ser>
        <c:ser>
          <c:idx val="2"/>
          <c:order val="2"/>
          <c:tx>
            <c:strRef>
              <c:f>Feuil11!$B$9</c:f>
              <c:strCache>
                <c:ptCount val="1"/>
                <c:pt idx="0">
                  <c:v>N2O excluding LULUCF </c:v>
                </c:pt>
              </c:strCache>
            </c:strRef>
          </c:tx>
          <c:spPr>
            <a:ln w="19050" cap="rnd">
              <a:solidFill>
                <a:schemeClr val="accent3"/>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Feuil11!$C$9:$I$9</c:f>
              <c:numCache>
                <c:formatCode>General</c:formatCode>
                <c:ptCount val="7"/>
                <c:pt idx="0">
                  <c:v>64725</c:v>
                </c:pt>
                <c:pt idx="1">
                  <c:v>65937</c:v>
                </c:pt>
                <c:pt idx="2">
                  <c:v>53681</c:v>
                </c:pt>
                <c:pt idx="3">
                  <c:v>46307</c:v>
                </c:pt>
                <c:pt idx="4">
                  <c:v>40478</c:v>
                </c:pt>
                <c:pt idx="5">
                  <c:v>39895</c:v>
                </c:pt>
                <c:pt idx="6">
                  <c:v>38071</c:v>
                </c:pt>
              </c:numCache>
            </c:numRef>
          </c:yVal>
          <c:smooth val="0"/>
          <c:extLst>
            <c:ext xmlns:c16="http://schemas.microsoft.com/office/drawing/2014/chart" uri="{C3380CC4-5D6E-409C-BE32-E72D297353CC}">
              <c16:uniqueId val="{00000002-8807-42B0-B372-11C7AB0CD0F2}"/>
            </c:ext>
          </c:extLst>
        </c:ser>
        <c:ser>
          <c:idx val="3"/>
          <c:order val="3"/>
          <c:tx>
            <c:strRef>
              <c:f>Feuil11!$B$11</c:f>
              <c:strCache>
                <c:ptCount val="1"/>
                <c:pt idx="0">
                  <c:v>HFCs </c:v>
                </c:pt>
              </c:strCache>
            </c:strRef>
          </c:tx>
          <c:spPr>
            <a:ln w="19050" cap="rnd">
              <a:solidFill>
                <a:schemeClr val="accent4"/>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Feuil11!$C$11:$I$11</c:f>
              <c:numCache>
                <c:formatCode>General</c:formatCode>
                <c:ptCount val="7"/>
                <c:pt idx="0">
                  <c:v>4402</c:v>
                </c:pt>
                <c:pt idx="1">
                  <c:v>1702</c:v>
                </c:pt>
                <c:pt idx="2">
                  <c:v>6736</c:v>
                </c:pt>
                <c:pt idx="3">
                  <c:v>12862</c:v>
                </c:pt>
                <c:pt idx="4">
                  <c:v>16930</c:v>
                </c:pt>
                <c:pt idx="5">
                  <c:v>17494</c:v>
                </c:pt>
                <c:pt idx="6">
                  <c:v>12992</c:v>
                </c:pt>
              </c:numCache>
            </c:numRef>
          </c:yVal>
          <c:smooth val="0"/>
          <c:extLst>
            <c:ext xmlns:c16="http://schemas.microsoft.com/office/drawing/2014/chart" uri="{C3380CC4-5D6E-409C-BE32-E72D297353CC}">
              <c16:uniqueId val="{00000003-8807-42B0-B372-11C7AB0CD0F2}"/>
            </c:ext>
          </c:extLst>
        </c:ser>
        <c:ser>
          <c:idx val="4"/>
          <c:order val="4"/>
          <c:tx>
            <c:strRef>
              <c:f>Feuil11!$B$13</c:f>
              <c:strCache>
                <c:ptCount val="1"/>
                <c:pt idx="0">
                  <c:v>PFCs </c:v>
                </c:pt>
              </c:strCache>
            </c:strRef>
          </c:tx>
          <c:spPr>
            <a:ln w="19050" cap="rnd">
              <a:solidFill>
                <a:schemeClr val="accent5"/>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Feuil11!$C$13:$I$13</c:f>
              <c:numCache>
                <c:formatCode>General</c:formatCode>
                <c:ptCount val="7"/>
                <c:pt idx="0">
                  <c:v>5202</c:v>
                </c:pt>
                <c:pt idx="1">
                  <c:v>3065</c:v>
                </c:pt>
                <c:pt idx="2">
                  <c:v>2997</c:v>
                </c:pt>
                <c:pt idx="3">
                  <c:v>1760</c:v>
                </c:pt>
                <c:pt idx="4">
                  <c:v>617</c:v>
                </c:pt>
                <c:pt idx="5">
                  <c:v>537</c:v>
                </c:pt>
                <c:pt idx="6">
                  <c:v>615</c:v>
                </c:pt>
              </c:numCache>
            </c:numRef>
          </c:yVal>
          <c:smooth val="0"/>
          <c:extLst>
            <c:ext xmlns:c16="http://schemas.microsoft.com/office/drawing/2014/chart" uri="{C3380CC4-5D6E-409C-BE32-E72D297353CC}">
              <c16:uniqueId val="{00000004-8807-42B0-B372-11C7AB0CD0F2}"/>
            </c:ext>
          </c:extLst>
        </c:ser>
        <c:ser>
          <c:idx val="5"/>
          <c:order val="5"/>
          <c:tx>
            <c:strRef>
              <c:f>Feuil11!$B$15</c:f>
              <c:strCache>
                <c:ptCount val="1"/>
                <c:pt idx="0">
                  <c:v>SF6 </c:v>
                </c:pt>
              </c:strCache>
            </c:strRef>
          </c:tx>
          <c:spPr>
            <a:ln w="19050" cap="rnd">
              <a:solidFill>
                <a:schemeClr val="accent6"/>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Feuil11!$C$15:$I$15</c:f>
              <c:numCache>
                <c:formatCode>General</c:formatCode>
                <c:ptCount val="7"/>
                <c:pt idx="0">
                  <c:v>2155</c:v>
                </c:pt>
                <c:pt idx="1">
                  <c:v>2467</c:v>
                </c:pt>
                <c:pt idx="2">
                  <c:v>2180</c:v>
                </c:pt>
                <c:pt idx="3">
                  <c:v>1355</c:v>
                </c:pt>
                <c:pt idx="4">
                  <c:v>875</c:v>
                </c:pt>
                <c:pt idx="5">
                  <c:v>498</c:v>
                </c:pt>
                <c:pt idx="6">
                  <c:v>385</c:v>
                </c:pt>
              </c:numCache>
            </c:numRef>
          </c:yVal>
          <c:smooth val="0"/>
          <c:extLst>
            <c:ext xmlns:c16="http://schemas.microsoft.com/office/drawing/2014/chart" uri="{C3380CC4-5D6E-409C-BE32-E72D297353CC}">
              <c16:uniqueId val="{00000005-8807-42B0-B372-11C7AB0CD0F2}"/>
            </c:ext>
          </c:extLst>
        </c:ser>
        <c:ser>
          <c:idx val="6"/>
          <c:order val="6"/>
          <c:tx>
            <c:strRef>
              <c:f>Feuil11!$B$17</c:f>
              <c:strCache>
                <c:ptCount val="1"/>
                <c:pt idx="0">
                  <c:v>NF3 </c:v>
                </c:pt>
              </c:strCache>
            </c:strRef>
          </c:tx>
          <c:spPr>
            <a:ln w="19050" cap="rnd">
              <a:solidFill>
                <a:schemeClr val="accent1">
                  <a:lumMod val="60000"/>
                </a:schemeClr>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Feuil11!$C$17:$I$17</c:f>
              <c:numCache>
                <c:formatCode>General</c:formatCode>
                <c:ptCount val="7"/>
                <c:pt idx="0">
                  <c:v>16</c:v>
                </c:pt>
                <c:pt idx="1">
                  <c:v>6</c:v>
                </c:pt>
                <c:pt idx="2">
                  <c:v>20</c:v>
                </c:pt>
                <c:pt idx="3">
                  <c:v>31</c:v>
                </c:pt>
                <c:pt idx="4">
                  <c:v>32</c:v>
                </c:pt>
                <c:pt idx="5">
                  <c:v>6</c:v>
                </c:pt>
                <c:pt idx="6">
                  <c:v>10</c:v>
                </c:pt>
              </c:numCache>
            </c:numRef>
          </c:yVal>
          <c:smooth val="0"/>
          <c:extLst>
            <c:ext xmlns:c16="http://schemas.microsoft.com/office/drawing/2014/chart" uri="{C3380CC4-5D6E-409C-BE32-E72D297353CC}">
              <c16:uniqueId val="{00000006-8807-42B0-B372-11C7AB0CD0F2}"/>
            </c:ext>
          </c:extLst>
        </c:ser>
        <c:ser>
          <c:idx val="7"/>
          <c:order val="7"/>
          <c:tx>
            <c:strRef>
              <c:f>Feuil11!$B$6</c:f>
              <c:strCache>
                <c:ptCount val="1"/>
                <c:pt idx="0">
                  <c:v>CO2 excluding LULUCF (projections)</c:v>
                </c:pt>
              </c:strCache>
            </c:strRef>
          </c:tx>
          <c:spPr>
            <a:ln w="19050" cap="rnd">
              <a:solidFill>
                <a:schemeClr val="accent1"/>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Feuil11!$I$6:$N$6</c:f>
              <c:numCache>
                <c:formatCode>General</c:formatCode>
                <c:ptCount val="6"/>
                <c:pt idx="0">
                  <c:v>326725</c:v>
                </c:pt>
                <c:pt idx="1">
                  <c:v>291487</c:v>
                </c:pt>
                <c:pt idx="2">
                  <c:v>292205</c:v>
                </c:pt>
                <c:pt idx="3">
                  <c:v>272039</c:v>
                </c:pt>
                <c:pt idx="4">
                  <c:v>262355</c:v>
                </c:pt>
                <c:pt idx="5">
                  <c:v>241265</c:v>
                </c:pt>
              </c:numCache>
            </c:numRef>
          </c:yVal>
          <c:smooth val="0"/>
          <c:extLst>
            <c:ext xmlns:c16="http://schemas.microsoft.com/office/drawing/2014/chart" uri="{C3380CC4-5D6E-409C-BE32-E72D297353CC}">
              <c16:uniqueId val="{00000007-8807-42B0-B372-11C7AB0CD0F2}"/>
            </c:ext>
          </c:extLst>
        </c:ser>
        <c:ser>
          <c:idx val="8"/>
          <c:order val="8"/>
          <c:tx>
            <c:strRef>
              <c:f>Feuil11!$B$8</c:f>
              <c:strCache>
                <c:ptCount val="1"/>
                <c:pt idx="0">
                  <c:v>CH4 excluding LULUCF (projections)</c:v>
                </c:pt>
              </c:strCache>
            </c:strRef>
          </c:tx>
          <c:spPr>
            <a:ln w="19050" cap="rnd">
              <a:solidFill>
                <a:schemeClr val="accent2"/>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Feuil11!$I$8:$N$8</c:f>
              <c:numCache>
                <c:formatCode>General</c:formatCode>
                <c:ptCount val="6"/>
                <c:pt idx="0">
                  <c:v>55740</c:v>
                </c:pt>
                <c:pt idx="1">
                  <c:v>55161</c:v>
                </c:pt>
                <c:pt idx="2">
                  <c:v>53575</c:v>
                </c:pt>
                <c:pt idx="3">
                  <c:v>52448</c:v>
                </c:pt>
                <c:pt idx="4">
                  <c:v>51718</c:v>
                </c:pt>
                <c:pt idx="5">
                  <c:v>51049</c:v>
                </c:pt>
              </c:numCache>
            </c:numRef>
          </c:yVal>
          <c:smooth val="0"/>
          <c:extLst>
            <c:ext xmlns:c16="http://schemas.microsoft.com/office/drawing/2014/chart" uri="{C3380CC4-5D6E-409C-BE32-E72D297353CC}">
              <c16:uniqueId val="{00000008-8807-42B0-B372-11C7AB0CD0F2}"/>
            </c:ext>
          </c:extLst>
        </c:ser>
        <c:ser>
          <c:idx val="9"/>
          <c:order val="9"/>
          <c:tx>
            <c:strRef>
              <c:f>Feuil11!$B$10</c:f>
              <c:strCache>
                <c:ptCount val="1"/>
                <c:pt idx="0">
                  <c:v>N2O excluding LULUCF (projections)</c:v>
                </c:pt>
              </c:strCache>
            </c:strRef>
          </c:tx>
          <c:spPr>
            <a:ln w="19050" cap="rnd">
              <a:solidFill>
                <a:schemeClr val="accent3"/>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Feuil11!$I$10:$N$10</c:f>
              <c:numCache>
                <c:formatCode>General</c:formatCode>
                <c:ptCount val="6"/>
                <c:pt idx="0">
                  <c:v>38071</c:v>
                </c:pt>
                <c:pt idx="1">
                  <c:v>38446</c:v>
                </c:pt>
                <c:pt idx="2">
                  <c:v>37839</c:v>
                </c:pt>
                <c:pt idx="3">
                  <c:v>36921</c:v>
                </c:pt>
                <c:pt idx="4">
                  <c:v>36417</c:v>
                </c:pt>
                <c:pt idx="5">
                  <c:v>35003</c:v>
                </c:pt>
              </c:numCache>
            </c:numRef>
          </c:yVal>
          <c:smooth val="0"/>
          <c:extLst>
            <c:ext xmlns:c16="http://schemas.microsoft.com/office/drawing/2014/chart" uri="{C3380CC4-5D6E-409C-BE32-E72D297353CC}">
              <c16:uniqueId val="{00000009-8807-42B0-B372-11C7AB0CD0F2}"/>
            </c:ext>
          </c:extLst>
        </c:ser>
        <c:ser>
          <c:idx val="10"/>
          <c:order val="10"/>
          <c:tx>
            <c:strRef>
              <c:f>Feuil11!$B$12</c:f>
              <c:strCache>
                <c:ptCount val="1"/>
                <c:pt idx="0">
                  <c:v>HFCs (projections)</c:v>
                </c:pt>
              </c:strCache>
            </c:strRef>
          </c:tx>
          <c:spPr>
            <a:ln w="19050" cap="rnd">
              <a:solidFill>
                <a:schemeClr val="accent4"/>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Feuil11!$I$12:$N$12</c:f>
              <c:numCache>
                <c:formatCode>General</c:formatCode>
                <c:ptCount val="6"/>
                <c:pt idx="0">
                  <c:v>12992</c:v>
                </c:pt>
                <c:pt idx="1">
                  <c:v>12721</c:v>
                </c:pt>
                <c:pt idx="2">
                  <c:v>7816</c:v>
                </c:pt>
                <c:pt idx="3">
                  <c:v>5052</c:v>
                </c:pt>
                <c:pt idx="4">
                  <c:v>3427</c:v>
                </c:pt>
                <c:pt idx="5">
                  <c:v>1830</c:v>
                </c:pt>
              </c:numCache>
            </c:numRef>
          </c:yVal>
          <c:smooth val="0"/>
          <c:extLst>
            <c:ext xmlns:c16="http://schemas.microsoft.com/office/drawing/2014/chart" uri="{C3380CC4-5D6E-409C-BE32-E72D297353CC}">
              <c16:uniqueId val="{0000000A-8807-42B0-B372-11C7AB0CD0F2}"/>
            </c:ext>
          </c:extLst>
        </c:ser>
        <c:ser>
          <c:idx val="11"/>
          <c:order val="11"/>
          <c:tx>
            <c:strRef>
              <c:f>Feuil11!$B$14</c:f>
              <c:strCache>
                <c:ptCount val="1"/>
                <c:pt idx="0">
                  <c:v>PFCs (projections)</c:v>
                </c:pt>
              </c:strCache>
            </c:strRef>
          </c:tx>
          <c:spPr>
            <a:ln w="19050" cap="rnd">
              <a:solidFill>
                <a:schemeClr val="accent6">
                  <a:lumMod val="60000"/>
                </a:schemeClr>
              </a:solidFill>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Feuil11!$I$14:$N$14</c:f>
              <c:numCache>
                <c:formatCode>General</c:formatCode>
                <c:ptCount val="6"/>
                <c:pt idx="0">
                  <c:v>615</c:v>
                </c:pt>
                <c:pt idx="1">
                  <c:v>462</c:v>
                </c:pt>
                <c:pt idx="2">
                  <c:v>290</c:v>
                </c:pt>
                <c:pt idx="3">
                  <c:v>217</c:v>
                </c:pt>
                <c:pt idx="4">
                  <c:v>156</c:v>
                </c:pt>
                <c:pt idx="5">
                  <c:v>130</c:v>
                </c:pt>
              </c:numCache>
            </c:numRef>
          </c:yVal>
          <c:smooth val="0"/>
          <c:extLst>
            <c:ext xmlns:c16="http://schemas.microsoft.com/office/drawing/2014/chart" uri="{C3380CC4-5D6E-409C-BE32-E72D297353CC}">
              <c16:uniqueId val="{0000000B-8807-42B0-B372-11C7AB0CD0F2}"/>
            </c:ext>
          </c:extLst>
        </c:ser>
        <c:ser>
          <c:idx val="12"/>
          <c:order val="12"/>
          <c:tx>
            <c:strRef>
              <c:f>Feuil11!$B$16</c:f>
              <c:strCache>
                <c:ptCount val="1"/>
                <c:pt idx="0">
                  <c:v>SF6 (projections)</c:v>
                </c:pt>
              </c:strCache>
            </c:strRef>
          </c:tx>
          <c:spPr>
            <a:ln w="19050" cap="rnd">
              <a:solidFill>
                <a:schemeClr val="accent1">
                  <a:lumMod val="80000"/>
                  <a:lumOff val="20000"/>
                </a:schemeClr>
              </a:solidFill>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Feuil11!$I$16:$N$16</c:f>
              <c:numCache>
                <c:formatCode>General</c:formatCode>
                <c:ptCount val="6"/>
                <c:pt idx="0">
                  <c:v>385</c:v>
                </c:pt>
                <c:pt idx="1">
                  <c:v>387</c:v>
                </c:pt>
                <c:pt idx="2">
                  <c:v>358</c:v>
                </c:pt>
                <c:pt idx="3">
                  <c:v>359</c:v>
                </c:pt>
                <c:pt idx="4">
                  <c:v>360</c:v>
                </c:pt>
                <c:pt idx="5">
                  <c:v>363</c:v>
                </c:pt>
              </c:numCache>
            </c:numRef>
          </c:yVal>
          <c:smooth val="0"/>
          <c:extLst>
            <c:ext xmlns:c16="http://schemas.microsoft.com/office/drawing/2014/chart" uri="{C3380CC4-5D6E-409C-BE32-E72D297353CC}">
              <c16:uniqueId val="{0000000C-8807-42B0-B372-11C7AB0CD0F2}"/>
            </c:ext>
          </c:extLst>
        </c:ser>
        <c:ser>
          <c:idx val="13"/>
          <c:order val="13"/>
          <c:tx>
            <c:strRef>
              <c:f>Feuil11!$B$18</c:f>
              <c:strCache>
                <c:ptCount val="1"/>
                <c:pt idx="0">
                  <c:v>NF3 (projections)</c:v>
                </c:pt>
              </c:strCache>
            </c:strRef>
          </c:tx>
          <c:spPr>
            <a:ln w="19050" cap="rnd">
              <a:solidFill>
                <a:schemeClr val="accent2">
                  <a:lumMod val="80000"/>
                  <a:lumOff val="20000"/>
                </a:schemeClr>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Feuil11!$I$18:$N$18</c:f>
              <c:numCache>
                <c:formatCode>General</c:formatCode>
                <c:ptCount val="6"/>
                <c:pt idx="0">
                  <c:v>10</c:v>
                </c:pt>
                <c:pt idx="1">
                  <c:v>9</c:v>
                </c:pt>
                <c:pt idx="2">
                  <c:v>10</c:v>
                </c:pt>
                <c:pt idx="3">
                  <c:v>10</c:v>
                </c:pt>
                <c:pt idx="4">
                  <c:v>10</c:v>
                </c:pt>
                <c:pt idx="5">
                  <c:v>10</c:v>
                </c:pt>
              </c:numCache>
            </c:numRef>
          </c:yVal>
          <c:smooth val="0"/>
          <c:extLst>
            <c:ext xmlns:c16="http://schemas.microsoft.com/office/drawing/2014/chart" uri="{C3380CC4-5D6E-409C-BE32-E72D297353CC}">
              <c16:uniqueId val="{0000000D-8807-42B0-B372-11C7AB0CD0F2}"/>
            </c:ext>
          </c:extLst>
        </c:ser>
        <c:dLbls>
          <c:showLegendKey val="0"/>
          <c:showVal val="0"/>
          <c:showCatName val="0"/>
          <c:showSerName val="0"/>
          <c:showPercent val="0"/>
          <c:showBubbleSize val="0"/>
        </c:dLbls>
        <c:axId val="563831263"/>
        <c:axId val="563830015"/>
      </c:scatterChart>
      <c:valAx>
        <c:axId val="563831263"/>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layout>
        <c:manualLayout>
          <c:xMode val="edge"/>
          <c:yMode val="edge"/>
          <c:x val="0"/>
          <c:y val="0.76626166520851557"/>
          <c:w val="1"/>
          <c:h val="0.2059605570137065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AME21</a:t>
            </a:r>
            <a:r>
              <a:rPr lang="fr-FR" baseline="0"/>
              <a:t> including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0259398018796"/>
          <c:y val="0.17155110819480898"/>
          <c:w val="0.81802244729489459"/>
          <c:h val="0.51227252843394577"/>
        </c:manualLayout>
      </c:layout>
      <c:scatterChart>
        <c:scatterStyle val="lineMarker"/>
        <c:varyColors val="0"/>
        <c:ser>
          <c:idx val="0"/>
          <c:order val="0"/>
          <c:tx>
            <c:strRef>
              <c:f>'Feuil11 (2)'!$B$5</c:f>
              <c:strCache>
                <c:ptCount val="1"/>
                <c:pt idx="0">
                  <c:v>CO2 including LULUCF </c:v>
                </c:pt>
              </c:strCache>
            </c:strRef>
          </c:tx>
          <c:spPr>
            <a:ln w="19050" cap="rnd">
              <a:solidFill>
                <a:schemeClr val="accent1"/>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(2)'!$C$5:$I$5</c:f>
              <c:numCache>
                <c:formatCode>General</c:formatCode>
                <c:ptCount val="7"/>
                <c:pt idx="0">
                  <c:v>370280</c:v>
                </c:pt>
                <c:pt idx="1">
                  <c:v>361121</c:v>
                </c:pt>
                <c:pt idx="2">
                  <c:v>390194</c:v>
                </c:pt>
                <c:pt idx="3">
                  <c:v>373972</c:v>
                </c:pt>
                <c:pt idx="4">
                  <c:v>344171</c:v>
                </c:pt>
                <c:pt idx="5">
                  <c:v>303032</c:v>
                </c:pt>
                <c:pt idx="6">
                  <c:v>310432</c:v>
                </c:pt>
              </c:numCache>
            </c:numRef>
          </c:yVal>
          <c:smooth val="0"/>
          <c:extLst>
            <c:ext xmlns:c16="http://schemas.microsoft.com/office/drawing/2014/chart" uri="{C3380CC4-5D6E-409C-BE32-E72D297353CC}">
              <c16:uniqueId val="{00000000-986E-4C8E-983A-6B1D2B143E22}"/>
            </c:ext>
          </c:extLst>
        </c:ser>
        <c:ser>
          <c:idx val="1"/>
          <c:order val="1"/>
          <c:tx>
            <c:strRef>
              <c:f>'Feuil11 (2)'!$B$7</c:f>
              <c:strCache>
                <c:ptCount val="1"/>
                <c:pt idx="0">
                  <c:v>CH4 including LULUCF </c:v>
                </c:pt>
              </c:strCache>
            </c:strRef>
          </c:tx>
          <c:spPr>
            <a:ln w="19050" cap="rnd">
              <a:solidFill>
                <a:schemeClr val="accent2"/>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(2)'!$C$7:$I$7</c:f>
              <c:numCache>
                <c:formatCode>General</c:formatCode>
                <c:ptCount val="7"/>
                <c:pt idx="0">
                  <c:v>70094</c:v>
                </c:pt>
                <c:pt idx="1">
                  <c:v>74053</c:v>
                </c:pt>
                <c:pt idx="2">
                  <c:v>70296</c:v>
                </c:pt>
                <c:pt idx="3">
                  <c:v>64820</c:v>
                </c:pt>
                <c:pt idx="4">
                  <c:v>62793</c:v>
                </c:pt>
                <c:pt idx="5">
                  <c:v>58940</c:v>
                </c:pt>
                <c:pt idx="6">
                  <c:v>56877</c:v>
                </c:pt>
              </c:numCache>
            </c:numRef>
          </c:yVal>
          <c:smooth val="0"/>
          <c:extLst>
            <c:ext xmlns:c16="http://schemas.microsoft.com/office/drawing/2014/chart" uri="{C3380CC4-5D6E-409C-BE32-E72D297353CC}">
              <c16:uniqueId val="{00000001-986E-4C8E-983A-6B1D2B143E22}"/>
            </c:ext>
          </c:extLst>
        </c:ser>
        <c:ser>
          <c:idx val="2"/>
          <c:order val="2"/>
          <c:tx>
            <c:strRef>
              <c:f>'Feuil11 (2)'!$B$9</c:f>
              <c:strCache>
                <c:ptCount val="1"/>
                <c:pt idx="0">
                  <c:v>N2O including LULUCF </c:v>
                </c:pt>
              </c:strCache>
            </c:strRef>
          </c:tx>
          <c:spPr>
            <a:ln w="19050" cap="rnd">
              <a:solidFill>
                <a:schemeClr val="accent3"/>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(2)'!$C$9:$I$9</c:f>
              <c:numCache>
                <c:formatCode>General</c:formatCode>
                <c:ptCount val="7"/>
                <c:pt idx="0">
                  <c:v>67951</c:v>
                </c:pt>
                <c:pt idx="1">
                  <c:v>69183</c:v>
                </c:pt>
                <c:pt idx="2">
                  <c:v>56873</c:v>
                </c:pt>
                <c:pt idx="3">
                  <c:v>49279</c:v>
                </c:pt>
                <c:pt idx="4">
                  <c:v>43694</c:v>
                </c:pt>
                <c:pt idx="5">
                  <c:v>42840</c:v>
                </c:pt>
                <c:pt idx="6">
                  <c:v>40939</c:v>
                </c:pt>
              </c:numCache>
            </c:numRef>
          </c:yVal>
          <c:smooth val="0"/>
          <c:extLst>
            <c:ext xmlns:c16="http://schemas.microsoft.com/office/drawing/2014/chart" uri="{C3380CC4-5D6E-409C-BE32-E72D297353CC}">
              <c16:uniqueId val="{00000002-986E-4C8E-983A-6B1D2B143E22}"/>
            </c:ext>
          </c:extLst>
        </c:ser>
        <c:ser>
          <c:idx val="3"/>
          <c:order val="3"/>
          <c:tx>
            <c:strRef>
              <c:f>'Feuil11 (2)'!$B$11</c:f>
              <c:strCache>
                <c:ptCount val="1"/>
                <c:pt idx="0">
                  <c:v>HFCs </c:v>
                </c:pt>
              </c:strCache>
            </c:strRef>
          </c:tx>
          <c:spPr>
            <a:ln w="19050" cap="rnd">
              <a:solidFill>
                <a:schemeClr val="accent4"/>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(2)'!$C$11:$I$11</c:f>
              <c:numCache>
                <c:formatCode>General</c:formatCode>
                <c:ptCount val="7"/>
                <c:pt idx="0">
                  <c:v>4402</c:v>
                </c:pt>
                <c:pt idx="1">
                  <c:v>1702</c:v>
                </c:pt>
                <c:pt idx="2">
                  <c:v>6736</c:v>
                </c:pt>
                <c:pt idx="3">
                  <c:v>12862</c:v>
                </c:pt>
                <c:pt idx="4">
                  <c:v>16930</c:v>
                </c:pt>
                <c:pt idx="5">
                  <c:v>17494</c:v>
                </c:pt>
                <c:pt idx="6">
                  <c:v>12992</c:v>
                </c:pt>
              </c:numCache>
            </c:numRef>
          </c:yVal>
          <c:smooth val="0"/>
          <c:extLst>
            <c:ext xmlns:c16="http://schemas.microsoft.com/office/drawing/2014/chart" uri="{C3380CC4-5D6E-409C-BE32-E72D297353CC}">
              <c16:uniqueId val="{00000003-986E-4C8E-983A-6B1D2B143E22}"/>
            </c:ext>
          </c:extLst>
        </c:ser>
        <c:ser>
          <c:idx val="4"/>
          <c:order val="4"/>
          <c:tx>
            <c:strRef>
              <c:f>'Feuil11 (2)'!$B$13</c:f>
              <c:strCache>
                <c:ptCount val="1"/>
                <c:pt idx="0">
                  <c:v>PFCs </c:v>
                </c:pt>
              </c:strCache>
            </c:strRef>
          </c:tx>
          <c:spPr>
            <a:ln w="19050" cap="rnd">
              <a:solidFill>
                <a:schemeClr val="accent5"/>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(2)'!$C$13:$I$13</c:f>
              <c:numCache>
                <c:formatCode>General</c:formatCode>
                <c:ptCount val="7"/>
                <c:pt idx="0">
                  <c:v>5202</c:v>
                </c:pt>
                <c:pt idx="1">
                  <c:v>3065</c:v>
                </c:pt>
                <c:pt idx="2">
                  <c:v>2997</c:v>
                </c:pt>
                <c:pt idx="3">
                  <c:v>1760</c:v>
                </c:pt>
                <c:pt idx="4">
                  <c:v>617</c:v>
                </c:pt>
                <c:pt idx="5">
                  <c:v>537</c:v>
                </c:pt>
                <c:pt idx="6">
                  <c:v>615</c:v>
                </c:pt>
              </c:numCache>
            </c:numRef>
          </c:yVal>
          <c:smooth val="0"/>
          <c:extLst>
            <c:ext xmlns:c16="http://schemas.microsoft.com/office/drawing/2014/chart" uri="{C3380CC4-5D6E-409C-BE32-E72D297353CC}">
              <c16:uniqueId val="{00000004-986E-4C8E-983A-6B1D2B143E22}"/>
            </c:ext>
          </c:extLst>
        </c:ser>
        <c:ser>
          <c:idx val="5"/>
          <c:order val="5"/>
          <c:tx>
            <c:strRef>
              <c:f>'Feuil11 (2)'!$B$15</c:f>
              <c:strCache>
                <c:ptCount val="1"/>
                <c:pt idx="0">
                  <c:v>SF6 </c:v>
                </c:pt>
              </c:strCache>
            </c:strRef>
          </c:tx>
          <c:spPr>
            <a:ln w="19050" cap="rnd">
              <a:solidFill>
                <a:schemeClr val="accent6"/>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(2)'!$C$15:$I$15</c:f>
              <c:numCache>
                <c:formatCode>General</c:formatCode>
                <c:ptCount val="7"/>
                <c:pt idx="0">
                  <c:v>2155</c:v>
                </c:pt>
                <c:pt idx="1">
                  <c:v>2467</c:v>
                </c:pt>
                <c:pt idx="2">
                  <c:v>2180</c:v>
                </c:pt>
                <c:pt idx="3">
                  <c:v>1355</c:v>
                </c:pt>
                <c:pt idx="4">
                  <c:v>875</c:v>
                </c:pt>
                <c:pt idx="5">
                  <c:v>498</c:v>
                </c:pt>
                <c:pt idx="6">
                  <c:v>385</c:v>
                </c:pt>
              </c:numCache>
            </c:numRef>
          </c:yVal>
          <c:smooth val="0"/>
          <c:extLst>
            <c:ext xmlns:c16="http://schemas.microsoft.com/office/drawing/2014/chart" uri="{C3380CC4-5D6E-409C-BE32-E72D297353CC}">
              <c16:uniqueId val="{00000005-986E-4C8E-983A-6B1D2B143E22}"/>
            </c:ext>
          </c:extLst>
        </c:ser>
        <c:ser>
          <c:idx val="6"/>
          <c:order val="6"/>
          <c:tx>
            <c:strRef>
              <c:f>'Feuil11 (2)'!$B$17</c:f>
              <c:strCache>
                <c:ptCount val="1"/>
                <c:pt idx="0">
                  <c:v>NF3 </c:v>
                </c:pt>
              </c:strCache>
            </c:strRef>
          </c:tx>
          <c:spPr>
            <a:ln w="19050" cap="rnd">
              <a:solidFill>
                <a:schemeClr val="accent1">
                  <a:lumMod val="60000"/>
                </a:schemeClr>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(2)'!$C$17:$I$17</c:f>
              <c:numCache>
                <c:formatCode>General</c:formatCode>
                <c:ptCount val="7"/>
                <c:pt idx="0">
                  <c:v>16</c:v>
                </c:pt>
                <c:pt idx="1">
                  <c:v>6</c:v>
                </c:pt>
                <c:pt idx="2">
                  <c:v>20</c:v>
                </c:pt>
                <c:pt idx="3">
                  <c:v>31</c:v>
                </c:pt>
                <c:pt idx="4">
                  <c:v>32</c:v>
                </c:pt>
                <c:pt idx="5">
                  <c:v>6</c:v>
                </c:pt>
                <c:pt idx="6">
                  <c:v>10</c:v>
                </c:pt>
              </c:numCache>
            </c:numRef>
          </c:yVal>
          <c:smooth val="0"/>
          <c:extLst>
            <c:ext xmlns:c16="http://schemas.microsoft.com/office/drawing/2014/chart" uri="{C3380CC4-5D6E-409C-BE32-E72D297353CC}">
              <c16:uniqueId val="{00000006-986E-4C8E-983A-6B1D2B143E22}"/>
            </c:ext>
          </c:extLst>
        </c:ser>
        <c:ser>
          <c:idx val="7"/>
          <c:order val="7"/>
          <c:tx>
            <c:strRef>
              <c:f>'Feuil11 (2)'!$B$6</c:f>
              <c:strCache>
                <c:ptCount val="1"/>
                <c:pt idx="0">
                  <c:v>CO2 including LULUCF (projections)</c:v>
                </c:pt>
              </c:strCache>
            </c:strRef>
          </c:tx>
          <c:spPr>
            <a:ln w="19050" cap="rnd">
              <a:solidFill>
                <a:schemeClr val="accent1"/>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(2)'!$I$6:$N$6</c:f>
              <c:numCache>
                <c:formatCode>General</c:formatCode>
                <c:ptCount val="6"/>
                <c:pt idx="0">
                  <c:v>310432</c:v>
                </c:pt>
                <c:pt idx="1">
                  <c:v>254402</c:v>
                </c:pt>
                <c:pt idx="2">
                  <c:v>259213</c:v>
                </c:pt>
                <c:pt idx="3">
                  <c:v>241362</c:v>
                </c:pt>
                <c:pt idx="4">
                  <c:v>236549</c:v>
                </c:pt>
                <c:pt idx="5">
                  <c:v>224391</c:v>
                </c:pt>
              </c:numCache>
            </c:numRef>
          </c:yVal>
          <c:smooth val="0"/>
          <c:extLst>
            <c:ext xmlns:c16="http://schemas.microsoft.com/office/drawing/2014/chart" uri="{C3380CC4-5D6E-409C-BE32-E72D297353CC}">
              <c16:uniqueId val="{00000007-986E-4C8E-983A-6B1D2B143E22}"/>
            </c:ext>
          </c:extLst>
        </c:ser>
        <c:ser>
          <c:idx val="8"/>
          <c:order val="8"/>
          <c:tx>
            <c:strRef>
              <c:f>'Feuil11 (2)'!$B$8</c:f>
              <c:strCache>
                <c:ptCount val="1"/>
                <c:pt idx="0">
                  <c:v>CH4 including LULUCF (projections)</c:v>
                </c:pt>
              </c:strCache>
            </c:strRef>
          </c:tx>
          <c:spPr>
            <a:ln w="19050" cap="rnd">
              <a:solidFill>
                <a:schemeClr val="accent2"/>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(2)'!$I$8:$N$8</c:f>
              <c:numCache>
                <c:formatCode>General</c:formatCode>
                <c:ptCount val="6"/>
                <c:pt idx="0">
                  <c:v>56877</c:v>
                </c:pt>
                <c:pt idx="1">
                  <c:v>56289</c:v>
                </c:pt>
                <c:pt idx="2">
                  <c:v>54702</c:v>
                </c:pt>
                <c:pt idx="3">
                  <c:v>53575</c:v>
                </c:pt>
                <c:pt idx="4">
                  <c:v>52845</c:v>
                </c:pt>
                <c:pt idx="5">
                  <c:v>52176</c:v>
                </c:pt>
              </c:numCache>
            </c:numRef>
          </c:yVal>
          <c:smooth val="0"/>
          <c:extLst>
            <c:ext xmlns:c16="http://schemas.microsoft.com/office/drawing/2014/chart" uri="{C3380CC4-5D6E-409C-BE32-E72D297353CC}">
              <c16:uniqueId val="{00000008-986E-4C8E-983A-6B1D2B143E22}"/>
            </c:ext>
          </c:extLst>
        </c:ser>
        <c:ser>
          <c:idx val="9"/>
          <c:order val="9"/>
          <c:tx>
            <c:strRef>
              <c:f>'Feuil11 (2)'!$B$10</c:f>
              <c:strCache>
                <c:ptCount val="1"/>
                <c:pt idx="0">
                  <c:v>N2O including LULUCF (projections)</c:v>
                </c:pt>
              </c:strCache>
            </c:strRef>
          </c:tx>
          <c:spPr>
            <a:ln w="19050" cap="rnd">
              <a:solidFill>
                <a:schemeClr val="accent3"/>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(2)'!$I$10:$N$10</c:f>
              <c:numCache>
                <c:formatCode>General</c:formatCode>
                <c:ptCount val="6"/>
                <c:pt idx="0">
                  <c:v>40939</c:v>
                </c:pt>
                <c:pt idx="1">
                  <c:v>41566</c:v>
                </c:pt>
                <c:pt idx="2">
                  <c:v>40958</c:v>
                </c:pt>
                <c:pt idx="3">
                  <c:v>40040</c:v>
                </c:pt>
                <c:pt idx="4">
                  <c:v>39537</c:v>
                </c:pt>
                <c:pt idx="5">
                  <c:v>38123</c:v>
                </c:pt>
              </c:numCache>
            </c:numRef>
          </c:yVal>
          <c:smooth val="0"/>
          <c:extLst>
            <c:ext xmlns:c16="http://schemas.microsoft.com/office/drawing/2014/chart" uri="{C3380CC4-5D6E-409C-BE32-E72D297353CC}">
              <c16:uniqueId val="{00000009-986E-4C8E-983A-6B1D2B143E22}"/>
            </c:ext>
          </c:extLst>
        </c:ser>
        <c:ser>
          <c:idx val="10"/>
          <c:order val="10"/>
          <c:tx>
            <c:strRef>
              <c:f>'Feuil11 (2)'!$B$12</c:f>
              <c:strCache>
                <c:ptCount val="1"/>
                <c:pt idx="0">
                  <c:v>HFCs (projections)</c:v>
                </c:pt>
              </c:strCache>
            </c:strRef>
          </c:tx>
          <c:spPr>
            <a:ln w="19050" cap="rnd">
              <a:solidFill>
                <a:schemeClr val="accent4"/>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(2)'!$I$12:$N$12</c:f>
              <c:numCache>
                <c:formatCode>General</c:formatCode>
                <c:ptCount val="6"/>
                <c:pt idx="0">
                  <c:v>12992</c:v>
                </c:pt>
                <c:pt idx="1">
                  <c:v>12721</c:v>
                </c:pt>
                <c:pt idx="2">
                  <c:v>7816</c:v>
                </c:pt>
                <c:pt idx="3">
                  <c:v>5052</c:v>
                </c:pt>
                <c:pt idx="4">
                  <c:v>3427</c:v>
                </c:pt>
                <c:pt idx="5">
                  <c:v>1830</c:v>
                </c:pt>
              </c:numCache>
            </c:numRef>
          </c:yVal>
          <c:smooth val="0"/>
          <c:extLst>
            <c:ext xmlns:c16="http://schemas.microsoft.com/office/drawing/2014/chart" uri="{C3380CC4-5D6E-409C-BE32-E72D297353CC}">
              <c16:uniqueId val="{0000000A-986E-4C8E-983A-6B1D2B143E22}"/>
            </c:ext>
          </c:extLst>
        </c:ser>
        <c:ser>
          <c:idx val="11"/>
          <c:order val="11"/>
          <c:tx>
            <c:strRef>
              <c:f>'Feuil11 (2)'!$B$14</c:f>
              <c:strCache>
                <c:ptCount val="1"/>
                <c:pt idx="0">
                  <c:v>PFCs (projections)</c:v>
                </c:pt>
              </c:strCache>
            </c:strRef>
          </c:tx>
          <c:spPr>
            <a:ln w="19050" cap="rnd">
              <a:solidFill>
                <a:schemeClr val="accent6">
                  <a:lumMod val="60000"/>
                </a:schemeClr>
              </a:solidFill>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(2)'!$I$14:$N$14</c:f>
              <c:numCache>
                <c:formatCode>General</c:formatCode>
                <c:ptCount val="6"/>
                <c:pt idx="0">
                  <c:v>615</c:v>
                </c:pt>
                <c:pt idx="1">
                  <c:v>462</c:v>
                </c:pt>
                <c:pt idx="2">
                  <c:v>290</c:v>
                </c:pt>
                <c:pt idx="3">
                  <c:v>217</c:v>
                </c:pt>
                <c:pt idx="4">
                  <c:v>156</c:v>
                </c:pt>
                <c:pt idx="5">
                  <c:v>130</c:v>
                </c:pt>
              </c:numCache>
            </c:numRef>
          </c:yVal>
          <c:smooth val="0"/>
          <c:extLst>
            <c:ext xmlns:c16="http://schemas.microsoft.com/office/drawing/2014/chart" uri="{C3380CC4-5D6E-409C-BE32-E72D297353CC}">
              <c16:uniqueId val="{0000000B-986E-4C8E-983A-6B1D2B143E22}"/>
            </c:ext>
          </c:extLst>
        </c:ser>
        <c:ser>
          <c:idx val="12"/>
          <c:order val="12"/>
          <c:tx>
            <c:strRef>
              <c:f>'Feuil11 (2)'!$B$16</c:f>
              <c:strCache>
                <c:ptCount val="1"/>
                <c:pt idx="0">
                  <c:v>SF6 (projections)</c:v>
                </c:pt>
              </c:strCache>
            </c:strRef>
          </c:tx>
          <c:spPr>
            <a:ln w="19050" cap="rnd">
              <a:solidFill>
                <a:schemeClr val="accent1">
                  <a:lumMod val="80000"/>
                  <a:lumOff val="20000"/>
                </a:schemeClr>
              </a:solidFill>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(2)'!$I$16:$N$16</c:f>
              <c:numCache>
                <c:formatCode>General</c:formatCode>
                <c:ptCount val="6"/>
                <c:pt idx="0">
                  <c:v>385</c:v>
                </c:pt>
                <c:pt idx="1">
                  <c:v>387</c:v>
                </c:pt>
                <c:pt idx="2">
                  <c:v>358</c:v>
                </c:pt>
                <c:pt idx="3">
                  <c:v>359</c:v>
                </c:pt>
                <c:pt idx="4">
                  <c:v>360</c:v>
                </c:pt>
                <c:pt idx="5">
                  <c:v>363</c:v>
                </c:pt>
              </c:numCache>
            </c:numRef>
          </c:yVal>
          <c:smooth val="0"/>
          <c:extLst>
            <c:ext xmlns:c16="http://schemas.microsoft.com/office/drawing/2014/chart" uri="{C3380CC4-5D6E-409C-BE32-E72D297353CC}">
              <c16:uniqueId val="{0000000C-986E-4C8E-983A-6B1D2B143E22}"/>
            </c:ext>
          </c:extLst>
        </c:ser>
        <c:ser>
          <c:idx val="13"/>
          <c:order val="13"/>
          <c:tx>
            <c:strRef>
              <c:f>'Feuil11 (2)'!$B$18</c:f>
              <c:strCache>
                <c:ptCount val="1"/>
                <c:pt idx="0">
                  <c:v>NF3 (projections)</c:v>
                </c:pt>
              </c:strCache>
            </c:strRef>
          </c:tx>
          <c:spPr>
            <a:ln w="19050" cap="rnd">
              <a:solidFill>
                <a:schemeClr val="accent5"/>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(2)'!$I$18:$N$18</c:f>
              <c:numCache>
                <c:formatCode>General</c:formatCode>
                <c:ptCount val="6"/>
                <c:pt idx="0">
                  <c:v>10</c:v>
                </c:pt>
                <c:pt idx="1">
                  <c:v>9</c:v>
                </c:pt>
                <c:pt idx="2">
                  <c:v>10</c:v>
                </c:pt>
                <c:pt idx="3">
                  <c:v>10</c:v>
                </c:pt>
                <c:pt idx="4">
                  <c:v>10</c:v>
                </c:pt>
                <c:pt idx="5">
                  <c:v>10</c:v>
                </c:pt>
              </c:numCache>
            </c:numRef>
          </c:yVal>
          <c:smooth val="0"/>
          <c:extLst>
            <c:ext xmlns:c16="http://schemas.microsoft.com/office/drawing/2014/chart" uri="{C3380CC4-5D6E-409C-BE32-E72D297353CC}">
              <c16:uniqueId val="{0000000D-986E-4C8E-983A-6B1D2B143E22}"/>
            </c:ext>
          </c:extLst>
        </c:ser>
        <c:dLbls>
          <c:showLegendKey val="0"/>
          <c:showVal val="0"/>
          <c:showCatName val="0"/>
          <c:showSerName val="0"/>
          <c:showPercent val="0"/>
          <c:showBubbleSize val="0"/>
        </c:dLbls>
        <c:axId val="563831263"/>
        <c:axId val="563830015"/>
      </c:scatterChart>
      <c:valAx>
        <c:axId val="563831263"/>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layout>
        <c:manualLayout>
          <c:xMode val="edge"/>
          <c:yMode val="edge"/>
          <c:x val="0"/>
          <c:y val="0.77299832312627592"/>
          <c:w val="1"/>
          <c:h val="0.1992238990959463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AMS18</a:t>
            </a:r>
            <a:r>
              <a:rPr lang="fr-FR" baseline="0"/>
              <a:t> excluding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11369145149666"/>
          <c:y val="0.13267110408191457"/>
          <c:w val="0.8192251829726972"/>
          <c:h val="0.57626518489700063"/>
        </c:manualLayout>
      </c:layout>
      <c:scatterChart>
        <c:scatterStyle val="lineMarker"/>
        <c:varyColors val="0"/>
        <c:ser>
          <c:idx val="0"/>
          <c:order val="0"/>
          <c:tx>
            <c:strRef>
              <c:f>'Feuil11 (3)'!$B$5</c:f>
              <c:strCache>
                <c:ptCount val="1"/>
                <c:pt idx="0">
                  <c:v>CO2 excluding LULUCF </c:v>
                </c:pt>
              </c:strCache>
            </c:strRef>
          </c:tx>
          <c:spPr>
            <a:ln w="19050" cap="rnd">
              <a:solidFill>
                <a:schemeClr val="accent1"/>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(3)'!$C$5:$I$5</c:f>
              <c:numCache>
                <c:formatCode>General</c:formatCode>
                <c:ptCount val="7"/>
                <c:pt idx="0">
                  <c:v>398425</c:v>
                </c:pt>
                <c:pt idx="1">
                  <c:v>392916</c:v>
                </c:pt>
                <c:pt idx="2">
                  <c:v>414788</c:v>
                </c:pt>
                <c:pt idx="3">
                  <c:v>425444</c:v>
                </c:pt>
                <c:pt idx="4">
                  <c:v>386872</c:v>
                </c:pt>
                <c:pt idx="5">
                  <c:v>341631</c:v>
                </c:pt>
                <c:pt idx="6">
                  <c:v>326725</c:v>
                </c:pt>
              </c:numCache>
            </c:numRef>
          </c:yVal>
          <c:smooth val="0"/>
          <c:extLst>
            <c:ext xmlns:c16="http://schemas.microsoft.com/office/drawing/2014/chart" uri="{C3380CC4-5D6E-409C-BE32-E72D297353CC}">
              <c16:uniqueId val="{00000000-0EB9-472E-8B2A-C9CF1A6F378C}"/>
            </c:ext>
          </c:extLst>
        </c:ser>
        <c:ser>
          <c:idx val="1"/>
          <c:order val="1"/>
          <c:tx>
            <c:strRef>
              <c:f>'Feuil11 (3)'!$B$7</c:f>
              <c:strCache>
                <c:ptCount val="1"/>
                <c:pt idx="0">
                  <c:v>CH4 excluding LULUCF </c:v>
                </c:pt>
              </c:strCache>
            </c:strRef>
          </c:tx>
          <c:spPr>
            <a:ln w="19050" cap="rnd">
              <a:solidFill>
                <a:schemeClr val="accent2"/>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(3)'!$C$7:$I$7</c:f>
              <c:numCache>
                <c:formatCode>General</c:formatCode>
                <c:ptCount val="7"/>
                <c:pt idx="0">
                  <c:v>69161</c:v>
                </c:pt>
                <c:pt idx="1">
                  <c:v>70383</c:v>
                </c:pt>
                <c:pt idx="2">
                  <c:v>68603</c:v>
                </c:pt>
                <c:pt idx="3">
                  <c:v>63632</c:v>
                </c:pt>
                <c:pt idx="4">
                  <c:v>61663</c:v>
                </c:pt>
                <c:pt idx="5">
                  <c:v>57862</c:v>
                </c:pt>
                <c:pt idx="6">
                  <c:v>55740</c:v>
                </c:pt>
              </c:numCache>
            </c:numRef>
          </c:yVal>
          <c:smooth val="0"/>
          <c:extLst>
            <c:ext xmlns:c16="http://schemas.microsoft.com/office/drawing/2014/chart" uri="{C3380CC4-5D6E-409C-BE32-E72D297353CC}">
              <c16:uniqueId val="{00000001-0EB9-472E-8B2A-C9CF1A6F378C}"/>
            </c:ext>
          </c:extLst>
        </c:ser>
        <c:ser>
          <c:idx val="2"/>
          <c:order val="2"/>
          <c:tx>
            <c:strRef>
              <c:f>'Feuil11 (3)'!$B$9</c:f>
              <c:strCache>
                <c:ptCount val="1"/>
                <c:pt idx="0">
                  <c:v>N2O excluding LULUCF </c:v>
                </c:pt>
              </c:strCache>
            </c:strRef>
          </c:tx>
          <c:spPr>
            <a:ln w="19050" cap="rnd">
              <a:solidFill>
                <a:schemeClr val="accent3"/>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(3)'!$C$9:$I$9</c:f>
              <c:numCache>
                <c:formatCode>General</c:formatCode>
                <c:ptCount val="7"/>
                <c:pt idx="0">
                  <c:v>64725</c:v>
                </c:pt>
                <c:pt idx="1">
                  <c:v>65937</c:v>
                </c:pt>
                <c:pt idx="2">
                  <c:v>53681</c:v>
                </c:pt>
                <c:pt idx="3">
                  <c:v>46307</c:v>
                </c:pt>
                <c:pt idx="4">
                  <c:v>40478</c:v>
                </c:pt>
                <c:pt idx="5">
                  <c:v>39895</c:v>
                </c:pt>
                <c:pt idx="6">
                  <c:v>38071</c:v>
                </c:pt>
              </c:numCache>
            </c:numRef>
          </c:yVal>
          <c:smooth val="0"/>
          <c:extLst>
            <c:ext xmlns:c16="http://schemas.microsoft.com/office/drawing/2014/chart" uri="{C3380CC4-5D6E-409C-BE32-E72D297353CC}">
              <c16:uniqueId val="{00000002-0EB9-472E-8B2A-C9CF1A6F378C}"/>
            </c:ext>
          </c:extLst>
        </c:ser>
        <c:ser>
          <c:idx val="3"/>
          <c:order val="3"/>
          <c:tx>
            <c:strRef>
              <c:f>'Feuil11 (3)'!$B$11</c:f>
              <c:strCache>
                <c:ptCount val="1"/>
                <c:pt idx="0">
                  <c:v>HFCs </c:v>
                </c:pt>
              </c:strCache>
            </c:strRef>
          </c:tx>
          <c:spPr>
            <a:ln w="19050" cap="rnd">
              <a:solidFill>
                <a:schemeClr val="accent4"/>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(3)'!$C$11:$I$11</c:f>
              <c:numCache>
                <c:formatCode>General</c:formatCode>
                <c:ptCount val="7"/>
                <c:pt idx="0">
                  <c:v>4402</c:v>
                </c:pt>
                <c:pt idx="1">
                  <c:v>1702</c:v>
                </c:pt>
                <c:pt idx="2">
                  <c:v>6736</c:v>
                </c:pt>
                <c:pt idx="3">
                  <c:v>12862</c:v>
                </c:pt>
                <c:pt idx="4">
                  <c:v>16930</c:v>
                </c:pt>
                <c:pt idx="5">
                  <c:v>17494</c:v>
                </c:pt>
                <c:pt idx="6">
                  <c:v>12992</c:v>
                </c:pt>
              </c:numCache>
            </c:numRef>
          </c:yVal>
          <c:smooth val="0"/>
          <c:extLst>
            <c:ext xmlns:c16="http://schemas.microsoft.com/office/drawing/2014/chart" uri="{C3380CC4-5D6E-409C-BE32-E72D297353CC}">
              <c16:uniqueId val="{00000003-0EB9-472E-8B2A-C9CF1A6F378C}"/>
            </c:ext>
          </c:extLst>
        </c:ser>
        <c:ser>
          <c:idx val="4"/>
          <c:order val="4"/>
          <c:tx>
            <c:strRef>
              <c:f>'Feuil11 (3)'!$B$13</c:f>
              <c:strCache>
                <c:ptCount val="1"/>
                <c:pt idx="0">
                  <c:v>PFCs </c:v>
                </c:pt>
              </c:strCache>
            </c:strRef>
          </c:tx>
          <c:spPr>
            <a:ln w="19050" cap="rnd">
              <a:solidFill>
                <a:schemeClr val="accent5"/>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(3)'!$C$13:$I$13</c:f>
              <c:numCache>
                <c:formatCode>General</c:formatCode>
                <c:ptCount val="7"/>
                <c:pt idx="0">
                  <c:v>5202</c:v>
                </c:pt>
                <c:pt idx="1">
                  <c:v>3065</c:v>
                </c:pt>
                <c:pt idx="2">
                  <c:v>2997</c:v>
                </c:pt>
                <c:pt idx="3">
                  <c:v>1760</c:v>
                </c:pt>
                <c:pt idx="4">
                  <c:v>617</c:v>
                </c:pt>
                <c:pt idx="5">
                  <c:v>537</c:v>
                </c:pt>
                <c:pt idx="6">
                  <c:v>615</c:v>
                </c:pt>
              </c:numCache>
            </c:numRef>
          </c:yVal>
          <c:smooth val="0"/>
          <c:extLst>
            <c:ext xmlns:c16="http://schemas.microsoft.com/office/drawing/2014/chart" uri="{C3380CC4-5D6E-409C-BE32-E72D297353CC}">
              <c16:uniqueId val="{00000004-0EB9-472E-8B2A-C9CF1A6F378C}"/>
            </c:ext>
          </c:extLst>
        </c:ser>
        <c:ser>
          <c:idx val="5"/>
          <c:order val="5"/>
          <c:tx>
            <c:strRef>
              <c:f>'Feuil11 (3)'!$B$15</c:f>
              <c:strCache>
                <c:ptCount val="1"/>
                <c:pt idx="0">
                  <c:v>SF6 </c:v>
                </c:pt>
              </c:strCache>
            </c:strRef>
          </c:tx>
          <c:spPr>
            <a:ln w="19050" cap="rnd">
              <a:solidFill>
                <a:schemeClr val="accent6"/>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(3)'!$C$15:$I$15</c:f>
              <c:numCache>
                <c:formatCode>General</c:formatCode>
                <c:ptCount val="7"/>
                <c:pt idx="0">
                  <c:v>2155</c:v>
                </c:pt>
                <c:pt idx="1">
                  <c:v>2467</c:v>
                </c:pt>
                <c:pt idx="2">
                  <c:v>2180</c:v>
                </c:pt>
                <c:pt idx="3">
                  <c:v>1355</c:v>
                </c:pt>
                <c:pt idx="4">
                  <c:v>875</c:v>
                </c:pt>
                <c:pt idx="5">
                  <c:v>498</c:v>
                </c:pt>
                <c:pt idx="6">
                  <c:v>385</c:v>
                </c:pt>
              </c:numCache>
            </c:numRef>
          </c:yVal>
          <c:smooth val="0"/>
          <c:extLst>
            <c:ext xmlns:c16="http://schemas.microsoft.com/office/drawing/2014/chart" uri="{C3380CC4-5D6E-409C-BE32-E72D297353CC}">
              <c16:uniqueId val="{00000005-0EB9-472E-8B2A-C9CF1A6F378C}"/>
            </c:ext>
          </c:extLst>
        </c:ser>
        <c:ser>
          <c:idx val="6"/>
          <c:order val="6"/>
          <c:tx>
            <c:strRef>
              <c:f>'Feuil11 (3)'!$B$17</c:f>
              <c:strCache>
                <c:ptCount val="1"/>
                <c:pt idx="0">
                  <c:v>NF3 </c:v>
                </c:pt>
              </c:strCache>
            </c:strRef>
          </c:tx>
          <c:spPr>
            <a:ln w="19050" cap="rnd">
              <a:solidFill>
                <a:schemeClr val="accent1">
                  <a:lumMod val="60000"/>
                </a:schemeClr>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(3)'!$C$17:$I$17</c:f>
              <c:numCache>
                <c:formatCode>General</c:formatCode>
                <c:ptCount val="7"/>
                <c:pt idx="0">
                  <c:v>16</c:v>
                </c:pt>
                <c:pt idx="1">
                  <c:v>6</c:v>
                </c:pt>
                <c:pt idx="2">
                  <c:v>20</c:v>
                </c:pt>
                <c:pt idx="3">
                  <c:v>31</c:v>
                </c:pt>
                <c:pt idx="4">
                  <c:v>32</c:v>
                </c:pt>
                <c:pt idx="5">
                  <c:v>6</c:v>
                </c:pt>
                <c:pt idx="6">
                  <c:v>10</c:v>
                </c:pt>
              </c:numCache>
            </c:numRef>
          </c:yVal>
          <c:smooth val="0"/>
          <c:extLst>
            <c:ext xmlns:c16="http://schemas.microsoft.com/office/drawing/2014/chart" uri="{C3380CC4-5D6E-409C-BE32-E72D297353CC}">
              <c16:uniqueId val="{00000006-0EB9-472E-8B2A-C9CF1A6F378C}"/>
            </c:ext>
          </c:extLst>
        </c:ser>
        <c:ser>
          <c:idx val="7"/>
          <c:order val="7"/>
          <c:tx>
            <c:strRef>
              <c:f>'Feuil11 (3)'!$B$6</c:f>
              <c:strCache>
                <c:ptCount val="1"/>
                <c:pt idx="0">
                  <c:v>CO2 excluding LULUCF (projections)</c:v>
                </c:pt>
              </c:strCache>
            </c:strRef>
          </c:tx>
          <c:spPr>
            <a:ln w="19050" cap="rnd">
              <a:solidFill>
                <a:schemeClr val="accent1"/>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(3)'!$I$6:$N$6</c:f>
              <c:numCache>
                <c:formatCode>General</c:formatCode>
                <c:ptCount val="6"/>
                <c:pt idx="0">
                  <c:v>326725</c:v>
                </c:pt>
                <c:pt idx="1">
                  <c:v>325904</c:v>
                </c:pt>
                <c:pt idx="2">
                  <c:v>273167</c:v>
                </c:pt>
                <c:pt idx="3">
                  <c:v>220992</c:v>
                </c:pt>
                <c:pt idx="4">
                  <c:v>167257</c:v>
                </c:pt>
                <c:pt idx="5">
                  <c:v>6447</c:v>
                </c:pt>
              </c:numCache>
            </c:numRef>
          </c:yVal>
          <c:smooth val="0"/>
          <c:extLst>
            <c:ext xmlns:c16="http://schemas.microsoft.com/office/drawing/2014/chart" uri="{C3380CC4-5D6E-409C-BE32-E72D297353CC}">
              <c16:uniqueId val="{00000007-0EB9-472E-8B2A-C9CF1A6F378C}"/>
            </c:ext>
          </c:extLst>
        </c:ser>
        <c:ser>
          <c:idx val="8"/>
          <c:order val="8"/>
          <c:tx>
            <c:strRef>
              <c:f>'Feuil11 (3)'!$B$8</c:f>
              <c:strCache>
                <c:ptCount val="1"/>
                <c:pt idx="0">
                  <c:v>CH4 excluding LULUCF (projections)</c:v>
                </c:pt>
              </c:strCache>
            </c:strRef>
          </c:tx>
          <c:spPr>
            <a:ln w="19050" cap="rnd">
              <a:solidFill>
                <a:schemeClr val="accent2"/>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(3)'!$I$8:$N$8</c:f>
              <c:numCache>
                <c:formatCode>General</c:formatCode>
                <c:ptCount val="6"/>
                <c:pt idx="0">
                  <c:v>55740</c:v>
                </c:pt>
                <c:pt idx="1">
                  <c:v>52531</c:v>
                </c:pt>
                <c:pt idx="2">
                  <c:v>47947</c:v>
                </c:pt>
                <c:pt idx="3">
                  <c:v>44507</c:v>
                </c:pt>
                <c:pt idx="4">
                  <c:v>41496</c:v>
                </c:pt>
                <c:pt idx="5">
                  <c:v>32465</c:v>
                </c:pt>
              </c:numCache>
            </c:numRef>
          </c:yVal>
          <c:smooth val="0"/>
          <c:extLst>
            <c:ext xmlns:c16="http://schemas.microsoft.com/office/drawing/2014/chart" uri="{C3380CC4-5D6E-409C-BE32-E72D297353CC}">
              <c16:uniqueId val="{00000008-0EB9-472E-8B2A-C9CF1A6F378C}"/>
            </c:ext>
          </c:extLst>
        </c:ser>
        <c:ser>
          <c:idx val="9"/>
          <c:order val="9"/>
          <c:tx>
            <c:strRef>
              <c:f>'Feuil11 (3)'!$B$10</c:f>
              <c:strCache>
                <c:ptCount val="1"/>
                <c:pt idx="0">
                  <c:v>N2O excluding LULUCF (projections)</c:v>
                </c:pt>
              </c:strCache>
            </c:strRef>
          </c:tx>
          <c:spPr>
            <a:ln w="19050" cap="rnd">
              <a:solidFill>
                <a:schemeClr val="accent3"/>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(3)'!$I$10:$N$10</c:f>
              <c:numCache>
                <c:formatCode>General</c:formatCode>
                <c:ptCount val="6"/>
                <c:pt idx="0">
                  <c:v>38071</c:v>
                </c:pt>
                <c:pt idx="1">
                  <c:v>40268</c:v>
                </c:pt>
                <c:pt idx="2">
                  <c:v>37693</c:v>
                </c:pt>
                <c:pt idx="3">
                  <c:v>35559</c:v>
                </c:pt>
                <c:pt idx="4">
                  <c:v>33721</c:v>
                </c:pt>
                <c:pt idx="5">
                  <c:v>22856</c:v>
                </c:pt>
              </c:numCache>
            </c:numRef>
          </c:yVal>
          <c:smooth val="0"/>
          <c:extLst>
            <c:ext xmlns:c16="http://schemas.microsoft.com/office/drawing/2014/chart" uri="{C3380CC4-5D6E-409C-BE32-E72D297353CC}">
              <c16:uniqueId val="{00000009-0EB9-472E-8B2A-C9CF1A6F378C}"/>
            </c:ext>
          </c:extLst>
        </c:ser>
        <c:ser>
          <c:idx val="10"/>
          <c:order val="10"/>
          <c:tx>
            <c:strRef>
              <c:f>'Feuil11 (3)'!$B$12</c:f>
              <c:strCache>
                <c:ptCount val="1"/>
                <c:pt idx="0">
                  <c:v>HFCs (projections)</c:v>
                </c:pt>
              </c:strCache>
            </c:strRef>
          </c:tx>
          <c:spPr>
            <a:ln w="19050" cap="rnd">
              <a:solidFill>
                <a:schemeClr val="accent4"/>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(3)'!$I$12:$N$12</c:f>
              <c:numCache>
                <c:formatCode>General</c:formatCode>
                <c:ptCount val="6"/>
                <c:pt idx="0">
                  <c:v>12992</c:v>
                </c:pt>
                <c:pt idx="1">
                  <c:v>14731</c:v>
                </c:pt>
                <c:pt idx="2">
                  <c:v>7995</c:v>
                </c:pt>
                <c:pt idx="3">
                  <c:v>5241</c:v>
                </c:pt>
                <c:pt idx="4">
                  <c:v>4458</c:v>
                </c:pt>
                <c:pt idx="5">
                  <c:v>2109</c:v>
                </c:pt>
              </c:numCache>
            </c:numRef>
          </c:yVal>
          <c:smooth val="0"/>
          <c:extLst>
            <c:ext xmlns:c16="http://schemas.microsoft.com/office/drawing/2014/chart" uri="{C3380CC4-5D6E-409C-BE32-E72D297353CC}">
              <c16:uniqueId val="{0000000A-0EB9-472E-8B2A-C9CF1A6F378C}"/>
            </c:ext>
          </c:extLst>
        </c:ser>
        <c:ser>
          <c:idx val="11"/>
          <c:order val="11"/>
          <c:tx>
            <c:strRef>
              <c:f>'Feuil11 (3)'!$B$14</c:f>
              <c:strCache>
                <c:ptCount val="1"/>
                <c:pt idx="0">
                  <c:v>PFCs (projections)</c:v>
                </c:pt>
              </c:strCache>
            </c:strRef>
          </c:tx>
          <c:spPr>
            <a:ln w="19050" cap="rnd">
              <a:solidFill>
                <a:schemeClr val="accent6">
                  <a:lumMod val="60000"/>
                </a:schemeClr>
              </a:solidFill>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(3)'!$I$14:$N$14</c:f>
              <c:numCache>
                <c:formatCode>General</c:formatCode>
                <c:ptCount val="6"/>
                <c:pt idx="0">
                  <c:v>615</c:v>
                </c:pt>
                <c:pt idx="1">
                  <c:v>479</c:v>
                </c:pt>
                <c:pt idx="2">
                  <c:v>395</c:v>
                </c:pt>
                <c:pt idx="3">
                  <c:v>330</c:v>
                </c:pt>
                <c:pt idx="4">
                  <c:v>299</c:v>
                </c:pt>
                <c:pt idx="5">
                  <c:v>205</c:v>
                </c:pt>
              </c:numCache>
            </c:numRef>
          </c:yVal>
          <c:smooth val="0"/>
          <c:extLst>
            <c:ext xmlns:c16="http://schemas.microsoft.com/office/drawing/2014/chart" uri="{C3380CC4-5D6E-409C-BE32-E72D297353CC}">
              <c16:uniqueId val="{0000000B-0EB9-472E-8B2A-C9CF1A6F378C}"/>
            </c:ext>
          </c:extLst>
        </c:ser>
        <c:ser>
          <c:idx val="12"/>
          <c:order val="12"/>
          <c:tx>
            <c:strRef>
              <c:f>'Feuil11 (3)'!$B$16</c:f>
              <c:strCache>
                <c:ptCount val="1"/>
                <c:pt idx="0">
                  <c:v>SF6 (projections)</c:v>
                </c:pt>
              </c:strCache>
            </c:strRef>
          </c:tx>
          <c:spPr>
            <a:ln w="19050" cap="rnd">
              <a:solidFill>
                <a:schemeClr val="accent1">
                  <a:lumMod val="80000"/>
                  <a:lumOff val="20000"/>
                </a:schemeClr>
              </a:solidFill>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(3)'!$I$16:$N$16</c:f>
              <c:numCache>
                <c:formatCode>General</c:formatCode>
                <c:ptCount val="6"/>
                <c:pt idx="0">
                  <c:v>385</c:v>
                </c:pt>
                <c:pt idx="1">
                  <c:v>458</c:v>
                </c:pt>
                <c:pt idx="2">
                  <c:v>459</c:v>
                </c:pt>
                <c:pt idx="3">
                  <c:v>460</c:v>
                </c:pt>
                <c:pt idx="4">
                  <c:v>460</c:v>
                </c:pt>
                <c:pt idx="5">
                  <c:v>463</c:v>
                </c:pt>
              </c:numCache>
            </c:numRef>
          </c:yVal>
          <c:smooth val="0"/>
          <c:extLst>
            <c:ext xmlns:c16="http://schemas.microsoft.com/office/drawing/2014/chart" uri="{C3380CC4-5D6E-409C-BE32-E72D297353CC}">
              <c16:uniqueId val="{0000000C-0EB9-472E-8B2A-C9CF1A6F378C}"/>
            </c:ext>
          </c:extLst>
        </c:ser>
        <c:ser>
          <c:idx val="13"/>
          <c:order val="13"/>
          <c:tx>
            <c:strRef>
              <c:f>'Feuil11 (3)'!$B$18</c:f>
              <c:strCache>
                <c:ptCount val="1"/>
                <c:pt idx="0">
                  <c:v>NF3 (projections)</c:v>
                </c:pt>
              </c:strCache>
            </c:strRef>
          </c:tx>
          <c:spPr>
            <a:ln w="19050" cap="rnd">
              <a:solidFill>
                <a:schemeClr val="accent5"/>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(3)'!$I$18:$N$18</c:f>
              <c:numCache>
                <c:formatCode>General</c:formatCode>
                <c:ptCount val="6"/>
                <c:pt idx="0">
                  <c:v>10</c:v>
                </c:pt>
                <c:pt idx="1">
                  <c:v>6</c:v>
                </c:pt>
                <c:pt idx="2">
                  <c:v>6</c:v>
                </c:pt>
                <c:pt idx="3">
                  <c:v>6</c:v>
                </c:pt>
                <c:pt idx="4">
                  <c:v>6</c:v>
                </c:pt>
                <c:pt idx="5">
                  <c:v>6</c:v>
                </c:pt>
              </c:numCache>
            </c:numRef>
          </c:yVal>
          <c:smooth val="0"/>
          <c:extLst>
            <c:ext xmlns:c16="http://schemas.microsoft.com/office/drawing/2014/chart" uri="{C3380CC4-5D6E-409C-BE32-E72D297353CC}">
              <c16:uniqueId val="{0000000D-0EB9-472E-8B2A-C9CF1A6F378C}"/>
            </c:ext>
          </c:extLst>
        </c:ser>
        <c:dLbls>
          <c:showLegendKey val="0"/>
          <c:showVal val="0"/>
          <c:showCatName val="0"/>
          <c:showSerName val="0"/>
          <c:showPercent val="0"/>
          <c:showBubbleSize val="0"/>
        </c:dLbls>
        <c:axId val="563831263"/>
        <c:axId val="563830015"/>
      </c:scatterChart>
      <c:valAx>
        <c:axId val="563831263"/>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layout>
        <c:manualLayout>
          <c:xMode val="edge"/>
          <c:yMode val="edge"/>
          <c:x val="0"/>
          <c:y val="0.79417300281073888"/>
          <c:w val="1"/>
          <c:h val="0.1843447200678862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AMS18</a:t>
            </a:r>
            <a:r>
              <a:rPr lang="fr-FR" baseline="0"/>
              <a:t> including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'Feuil11 (4)'!$B$5</c:f>
              <c:strCache>
                <c:ptCount val="1"/>
                <c:pt idx="0">
                  <c:v>CO2 including LULUCF </c:v>
                </c:pt>
              </c:strCache>
            </c:strRef>
          </c:tx>
          <c:spPr>
            <a:ln w="19050" cap="rnd">
              <a:solidFill>
                <a:schemeClr val="accent1"/>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(4)'!$C$5:$I$5</c:f>
              <c:numCache>
                <c:formatCode>General</c:formatCode>
                <c:ptCount val="7"/>
                <c:pt idx="0">
                  <c:v>370280</c:v>
                </c:pt>
                <c:pt idx="1">
                  <c:v>361121</c:v>
                </c:pt>
                <c:pt idx="2">
                  <c:v>390194</c:v>
                </c:pt>
                <c:pt idx="3">
                  <c:v>373972</c:v>
                </c:pt>
                <c:pt idx="4">
                  <c:v>344171</c:v>
                </c:pt>
                <c:pt idx="5">
                  <c:v>303032</c:v>
                </c:pt>
                <c:pt idx="6">
                  <c:v>310432</c:v>
                </c:pt>
              </c:numCache>
            </c:numRef>
          </c:yVal>
          <c:smooth val="1"/>
          <c:extLst>
            <c:ext xmlns:c16="http://schemas.microsoft.com/office/drawing/2014/chart" uri="{C3380CC4-5D6E-409C-BE32-E72D297353CC}">
              <c16:uniqueId val="{00000000-ECDA-4ECD-9403-A76970DA0591}"/>
            </c:ext>
          </c:extLst>
        </c:ser>
        <c:ser>
          <c:idx val="1"/>
          <c:order val="1"/>
          <c:tx>
            <c:strRef>
              <c:f>'Feuil11 (4)'!$B$7</c:f>
              <c:strCache>
                <c:ptCount val="1"/>
                <c:pt idx="0">
                  <c:v>CH4 including LULUCF </c:v>
                </c:pt>
              </c:strCache>
            </c:strRef>
          </c:tx>
          <c:spPr>
            <a:ln w="19050" cap="rnd">
              <a:solidFill>
                <a:schemeClr val="accent2"/>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(4)'!$C$7:$I$7</c:f>
              <c:numCache>
                <c:formatCode>General</c:formatCode>
                <c:ptCount val="7"/>
                <c:pt idx="0">
                  <c:v>70094</c:v>
                </c:pt>
                <c:pt idx="1">
                  <c:v>74053</c:v>
                </c:pt>
                <c:pt idx="2">
                  <c:v>70296</c:v>
                </c:pt>
                <c:pt idx="3">
                  <c:v>64820</c:v>
                </c:pt>
                <c:pt idx="4">
                  <c:v>62793</c:v>
                </c:pt>
                <c:pt idx="5">
                  <c:v>58940</c:v>
                </c:pt>
                <c:pt idx="6">
                  <c:v>56877</c:v>
                </c:pt>
              </c:numCache>
            </c:numRef>
          </c:yVal>
          <c:smooth val="1"/>
          <c:extLst>
            <c:ext xmlns:c16="http://schemas.microsoft.com/office/drawing/2014/chart" uri="{C3380CC4-5D6E-409C-BE32-E72D297353CC}">
              <c16:uniqueId val="{00000001-ECDA-4ECD-9403-A76970DA0591}"/>
            </c:ext>
          </c:extLst>
        </c:ser>
        <c:ser>
          <c:idx val="2"/>
          <c:order val="2"/>
          <c:tx>
            <c:strRef>
              <c:f>'Feuil11 (4)'!$B$9</c:f>
              <c:strCache>
                <c:ptCount val="1"/>
                <c:pt idx="0">
                  <c:v>N2O including LULUCF </c:v>
                </c:pt>
              </c:strCache>
            </c:strRef>
          </c:tx>
          <c:spPr>
            <a:ln w="19050" cap="rnd">
              <a:solidFill>
                <a:schemeClr val="accent3"/>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(4)'!$C$9:$I$9</c:f>
              <c:numCache>
                <c:formatCode>General</c:formatCode>
                <c:ptCount val="7"/>
                <c:pt idx="0">
                  <c:v>67951</c:v>
                </c:pt>
                <c:pt idx="1">
                  <c:v>69183</c:v>
                </c:pt>
                <c:pt idx="2">
                  <c:v>56873</c:v>
                </c:pt>
                <c:pt idx="3">
                  <c:v>49279</c:v>
                </c:pt>
                <c:pt idx="4">
                  <c:v>43694</c:v>
                </c:pt>
                <c:pt idx="5">
                  <c:v>42840</c:v>
                </c:pt>
                <c:pt idx="6">
                  <c:v>40939</c:v>
                </c:pt>
              </c:numCache>
            </c:numRef>
          </c:yVal>
          <c:smooth val="1"/>
          <c:extLst>
            <c:ext xmlns:c16="http://schemas.microsoft.com/office/drawing/2014/chart" uri="{C3380CC4-5D6E-409C-BE32-E72D297353CC}">
              <c16:uniqueId val="{00000002-ECDA-4ECD-9403-A76970DA0591}"/>
            </c:ext>
          </c:extLst>
        </c:ser>
        <c:ser>
          <c:idx val="3"/>
          <c:order val="3"/>
          <c:tx>
            <c:strRef>
              <c:f>'Feuil11 (4)'!$B$11</c:f>
              <c:strCache>
                <c:ptCount val="1"/>
                <c:pt idx="0">
                  <c:v>HFCs </c:v>
                </c:pt>
              </c:strCache>
            </c:strRef>
          </c:tx>
          <c:spPr>
            <a:ln w="19050" cap="rnd">
              <a:solidFill>
                <a:schemeClr val="accent4"/>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(4)'!$C$11:$I$11</c:f>
              <c:numCache>
                <c:formatCode>General</c:formatCode>
                <c:ptCount val="7"/>
                <c:pt idx="0">
                  <c:v>4402</c:v>
                </c:pt>
                <c:pt idx="1">
                  <c:v>1702</c:v>
                </c:pt>
                <c:pt idx="2">
                  <c:v>6736</c:v>
                </c:pt>
                <c:pt idx="3">
                  <c:v>12862</c:v>
                </c:pt>
                <c:pt idx="4">
                  <c:v>16930</c:v>
                </c:pt>
                <c:pt idx="5">
                  <c:v>17494</c:v>
                </c:pt>
                <c:pt idx="6">
                  <c:v>12992</c:v>
                </c:pt>
              </c:numCache>
            </c:numRef>
          </c:yVal>
          <c:smooth val="1"/>
          <c:extLst>
            <c:ext xmlns:c16="http://schemas.microsoft.com/office/drawing/2014/chart" uri="{C3380CC4-5D6E-409C-BE32-E72D297353CC}">
              <c16:uniqueId val="{00000003-ECDA-4ECD-9403-A76970DA0591}"/>
            </c:ext>
          </c:extLst>
        </c:ser>
        <c:ser>
          <c:idx val="4"/>
          <c:order val="4"/>
          <c:tx>
            <c:strRef>
              <c:f>'Feuil11 (4)'!$B$13</c:f>
              <c:strCache>
                <c:ptCount val="1"/>
                <c:pt idx="0">
                  <c:v>PFCs </c:v>
                </c:pt>
              </c:strCache>
            </c:strRef>
          </c:tx>
          <c:spPr>
            <a:ln w="19050" cap="rnd">
              <a:solidFill>
                <a:schemeClr val="accent5"/>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(4)'!$C$13:$I$13</c:f>
              <c:numCache>
                <c:formatCode>General</c:formatCode>
                <c:ptCount val="7"/>
                <c:pt idx="0">
                  <c:v>5202</c:v>
                </c:pt>
                <c:pt idx="1">
                  <c:v>3065</c:v>
                </c:pt>
                <c:pt idx="2">
                  <c:v>2997</c:v>
                </c:pt>
                <c:pt idx="3">
                  <c:v>1760</c:v>
                </c:pt>
                <c:pt idx="4">
                  <c:v>617</c:v>
                </c:pt>
                <c:pt idx="5">
                  <c:v>537</c:v>
                </c:pt>
                <c:pt idx="6">
                  <c:v>615</c:v>
                </c:pt>
              </c:numCache>
            </c:numRef>
          </c:yVal>
          <c:smooth val="1"/>
          <c:extLst>
            <c:ext xmlns:c16="http://schemas.microsoft.com/office/drawing/2014/chart" uri="{C3380CC4-5D6E-409C-BE32-E72D297353CC}">
              <c16:uniqueId val="{00000004-ECDA-4ECD-9403-A76970DA0591}"/>
            </c:ext>
          </c:extLst>
        </c:ser>
        <c:ser>
          <c:idx val="5"/>
          <c:order val="5"/>
          <c:tx>
            <c:strRef>
              <c:f>'Feuil11 (4)'!$B$15</c:f>
              <c:strCache>
                <c:ptCount val="1"/>
                <c:pt idx="0">
                  <c:v>SF6 </c:v>
                </c:pt>
              </c:strCache>
            </c:strRef>
          </c:tx>
          <c:spPr>
            <a:ln w="19050" cap="rnd">
              <a:solidFill>
                <a:schemeClr val="accent6"/>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(4)'!$C$15:$I$15</c:f>
              <c:numCache>
                <c:formatCode>General</c:formatCode>
                <c:ptCount val="7"/>
                <c:pt idx="0">
                  <c:v>2155</c:v>
                </c:pt>
                <c:pt idx="1">
                  <c:v>2467</c:v>
                </c:pt>
                <c:pt idx="2">
                  <c:v>2180</c:v>
                </c:pt>
                <c:pt idx="3">
                  <c:v>1355</c:v>
                </c:pt>
                <c:pt idx="4">
                  <c:v>875</c:v>
                </c:pt>
                <c:pt idx="5">
                  <c:v>498</c:v>
                </c:pt>
                <c:pt idx="6">
                  <c:v>385</c:v>
                </c:pt>
              </c:numCache>
            </c:numRef>
          </c:yVal>
          <c:smooth val="1"/>
          <c:extLst>
            <c:ext xmlns:c16="http://schemas.microsoft.com/office/drawing/2014/chart" uri="{C3380CC4-5D6E-409C-BE32-E72D297353CC}">
              <c16:uniqueId val="{00000005-ECDA-4ECD-9403-A76970DA0591}"/>
            </c:ext>
          </c:extLst>
        </c:ser>
        <c:ser>
          <c:idx val="6"/>
          <c:order val="6"/>
          <c:tx>
            <c:strRef>
              <c:f>'Feuil11 (4)'!$B$17</c:f>
              <c:strCache>
                <c:ptCount val="1"/>
                <c:pt idx="0">
                  <c:v>NF3 </c:v>
                </c:pt>
              </c:strCache>
            </c:strRef>
          </c:tx>
          <c:spPr>
            <a:ln w="19050" cap="rnd">
              <a:solidFill>
                <a:schemeClr val="accent1">
                  <a:lumMod val="60000"/>
                </a:schemeClr>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(4)'!$C$17:$I$17</c:f>
              <c:numCache>
                <c:formatCode>General</c:formatCode>
                <c:ptCount val="7"/>
                <c:pt idx="0">
                  <c:v>16</c:v>
                </c:pt>
                <c:pt idx="1">
                  <c:v>6</c:v>
                </c:pt>
                <c:pt idx="2">
                  <c:v>20</c:v>
                </c:pt>
                <c:pt idx="3">
                  <c:v>31</c:v>
                </c:pt>
                <c:pt idx="4">
                  <c:v>32</c:v>
                </c:pt>
                <c:pt idx="5">
                  <c:v>6</c:v>
                </c:pt>
                <c:pt idx="6">
                  <c:v>10</c:v>
                </c:pt>
              </c:numCache>
            </c:numRef>
          </c:yVal>
          <c:smooth val="1"/>
          <c:extLst>
            <c:ext xmlns:c16="http://schemas.microsoft.com/office/drawing/2014/chart" uri="{C3380CC4-5D6E-409C-BE32-E72D297353CC}">
              <c16:uniqueId val="{00000006-ECDA-4ECD-9403-A76970DA0591}"/>
            </c:ext>
          </c:extLst>
        </c:ser>
        <c:ser>
          <c:idx val="7"/>
          <c:order val="7"/>
          <c:tx>
            <c:strRef>
              <c:f>'Feuil11 (4)'!$B$6</c:f>
              <c:strCache>
                <c:ptCount val="1"/>
                <c:pt idx="0">
                  <c:v>CO2 including LULUCF (projections)</c:v>
                </c:pt>
              </c:strCache>
            </c:strRef>
          </c:tx>
          <c:spPr>
            <a:ln w="19050" cap="rnd">
              <a:solidFill>
                <a:schemeClr val="accent1"/>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(4)'!$I$6:$N$6</c:f>
              <c:numCache>
                <c:formatCode>General</c:formatCode>
                <c:ptCount val="6"/>
                <c:pt idx="0">
                  <c:v>310432</c:v>
                </c:pt>
                <c:pt idx="1">
                  <c:v>282686</c:v>
                </c:pt>
                <c:pt idx="2">
                  <c:v>231263</c:v>
                </c:pt>
                <c:pt idx="3">
                  <c:v>176617</c:v>
                </c:pt>
                <c:pt idx="4">
                  <c:v>117863</c:v>
                </c:pt>
                <c:pt idx="5">
                  <c:v>-64813</c:v>
                </c:pt>
              </c:numCache>
            </c:numRef>
          </c:yVal>
          <c:smooth val="1"/>
          <c:extLst>
            <c:ext xmlns:c16="http://schemas.microsoft.com/office/drawing/2014/chart" uri="{C3380CC4-5D6E-409C-BE32-E72D297353CC}">
              <c16:uniqueId val="{00000007-ECDA-4ECD-9403-A76970DA0591}"/>
            </c:ext>
          </c:extLst>
        </c:ser>
        <c:ser>
          <c:idx val="8"/>
          <c:order val="8"/>
          <c:tx>
            <c:strRef>
              <c:f>'Feuil11 (4)'!$B$8</c:f>
              <c:strCache>
                <c:ptCount val="1"/>
                <c:pt idx="0">
                  <c:v>CH4 including LULUCF (projections)</c:v>
                </c:pt>
              </c:strCache>
            </c:strRef>
          </c:tx>
          <c:spPr>
            <a:ln w="19050" cap="rnd">
              <a:solidFill>
                <a:schemeClr val="tx2"/>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(4)'!$I$8:$N$8</c:f>
              <c:numCache>
                <c:formatCode>General</c:formatCode>
                <c:ptCount val="6"/>
                <c:pt idx="0">
                  <c:v>56877</c:v>
                </c:pt>
                <c:pt idx="1">
                  <c:v>53671</c:v>
                </c:pt>
                <c:pt idx="2">
                  <c:v>49093</c:v>
                </c:pt>
                <c:pt idx="3">
                  <c:v>45641</c:v>
                </c:pt>
                <c:pt idx="4">
                  <c:v>42610</c:v>
                </c:pt>
                <c:pt idx="5">
                  <c:v>33519</c:v>
                </c:pt>
              </c:numCache>
            </c:numRef>
          </c:yVal>
          <c:smooth val="1"/>
          <c:extLst>
            <c:ext xmlns:c16="http://schemas.microsoft.com/office/drawing/2014/chart" uri="{C3380CC4-5D6E-409C-BE32-E72D297353CC}">
              <c16:uniqueId val="{00000008-ECDA-4ECD-9403-A76970DA0591}"/>
            </c:ext>
          </c:extLst>
        </c:ser>
        <c:ser>
          <c:idx val="9"/>
          <c:order val="9"/>
          <c:tx>
            <c:strRef>
              <c:f>'Feuil11 (4)'!$B$10</c:f>
              <c:strCache>
                <c:ptCount val="1"/>
                <c:pt idx="0">
                  <c:v>N2O including LULUCF (projections)</c:v>
                </c:pt>
              </c:strCache>
            </c:strRef>
          </c:tx>
          <c:spPr>
            <a:ln w="19050" cap="rnd">
              <a:solidFill>
                <a:schemeClr val="accent3"/>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(4)'!$I$10:$N$10</c:f>
              <c:numCache>
                <c:formatCode>General</c:formatCode>
                <c:ptCount val="6"/>
                <c:pt idx="0">
                  <c:v>40939</c:v>
                </c:pt>
                <c:pt idx="1">
                  <c:v>43352</c:v>
                </c:pt>
                <c:pt idx="2">
                  <c:v>40778</c:v>
                </c:pt>
                <c:pt idx="3">
                  <c:v>38641</c:v>
                </c:pt>
                <c:pt idx="4">
                  <c:v>36797</c:v>
                </c:pt>
                <c:pt idx="5">
                  <c:v>25914</c:v>
                </c:pt>
              </c:numCache>
            </c:numRef>
          </c:yVal>
          <c:smooth val="1"/>
          <c:extLst>
            <c:ext xmlns:c16="http://schemas.microsoft.com/office/drawing/2014/chart" uri="{C3380CC4-5D6E-409C-BE32-E72D297353CC}">
              <c16:uniqueId val="{00000009-ECDA-4ECD-9403-A76970DA0591}"/>
            </c:ext>
          </c:extLst>
        </c:ser>
        <c:ser>
          <c:idx val="10"/>
          <c:order val="10"/>
          <c:tx>
            <c:strRef>
              <c:f>'Feuil11 (4)'!$B$12</c:f>
              <c:strCache>
                <c:ptCount val="1"/>
                <c:pt idx="0">
                  <c:v>HFCs (projections)</c:v>
                </c:pt>
              </c:strCache>
            </c:strRef>
          </c:tx>
          <c:spPr>
            <a:ln w="19050" cap="rnd">
              <a:solidFill>
                <a:schemeClr val="accent4"/>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(4)'!$I$12:$N$12</c:f>
              <c:numCache>
                <c:formatCode>General</c:formatCode>
                <c:ptCount val="6"/>
                <c:pt idx="0">
                  <c:v>12992</c:v>
                </c:pt>
                <c:pt idx="1">
                  <c:v>14731</c:v>
                </c:pt>
                <c:pt idx="2">
                  <c:v>7995</c:v>
                </c:pt>
                <c:pt idx="3">
                  <c:v>5241</c:v>
                </c:pt>
                <c:pt idx="4">
                  <c:v>4458</c:v>
                </c:pt>
                <c:pt idx="5">
                  <c:v>2109</c:v>
                </c:pt>
              </c:numCache>
            </c:numRef>
          </c:yVal>
          <c:smooth val="1"/>
          <c:extLst>
            <c:ext xmlns:c16="http://schemas.microsoft.com/office/drawing/2014/chart" uri="{C3380CC4-5D6E-409C-BE32-E72D297353CC}">
              <c16:uniqueId val="{0000000A-ECDA-4ECD-9403-A76970DA0591}"/>
            </c:ext>
          </c:extLst>
        </c:ser>
        <c:ser>
          <c:idx val="11"/>
          <c:order val="11"/>
          <c:tx>
            <c:strRef>
              <c:f>'Feuil11 (4)'!$B$14</c:f>
              <c:strCache>
                <c:ptCount val="1"/>
                <c:pt idx="0">
                  <c:v>PFCs (projections)</c:v>
                </c:pt>
              </c:strCache>
            </c:strRef>
          </c:tx>
          <c:spPr>
            <a:ln w="19050" cap="rnd">
              <a:solidFill>
                <a:schemeClr val="accent6"/>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(4)'!$I$14:$N$14</c:f>
              <c:numCache>
                <c:formatCode>General</c:formatCode>
                <c:ptCount val="6"/>
                <c:pt idx="0">
                  <c:v>615</c:v>
                </c:pt>
                <c:pt idx="1">
                  <c:v>479</c:v>
                </c:pt>
                <c:pt idx="2">
                  <c:v>395</c:v>
                </c:pt>
                <c:pt idx="3">
                  <c:v>330</c:v>
                </c:pt>
                <c:pt idx="4">
                  <c:v>299</c:v>
                </c:pt>
                <c:pt idx="5">
                  <c:v>205</c:v>
                </c:pt>
              </c:numCache>
            </c:numRef>
          </c:yVal>
          <c:smooth val="1"/>
          <c:extLst>
            <c:ext xmlns:c16="http://schemas.microsoft.com/office/drawing/2014/chart" uri="{C3380CC4-5D6E-409C-BE32-E72D297353CC}">
              <c16:uniqueId val="{0000000B-ECDA-4ECD-9403-A76970DA0591}"/>
            </c:ext>
          </c:extLst>
        </c:ser>
        <c:ser>
          <c:idx val="12"/>
          <c:order val="12"/>
          <c:tx>
            <c:strRef>
              <c:f>'Feuil11 (4)'!$B$16</c:f>
              <c:strCache>
                <c:ptCount val="1"/>
                <c:pt idx="0">
                  <c:v>SF6 (projections)</c:v>
                </c:pt>
              </c:strCache>
            </c:strRef>
          </c:tx>
          <c:spPr>
            <a:ln w="19050" cap="rnd">
              <a:solidFill>
                <a:schemeClr val="accent6">
                  <a:lumMod val="75000"/>
                </a:schemeClr>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(4)'!$I$16:$N$16</c:f>
              <c:numCache>
                <c:formatCode>General</c:formatCode>
                <c:ptCount val="6"/>
                <c:pt idx="0">
                  <c:v>385</c:v>
                </c:pt>
                <c:pt idx="1">
                  <c:v>458</c:v>
                </c:pt>
                <c:pt idx="2">
                  <c:v>459</c:v>
                </c:pt>
                <c:pt idx="3">
                  <c:v>460</c:v>
                </c:pt>
                <c:pt idx="4">
                  <c:v>460</c:v>
                </c:pt>
                <c:pt idx="5">
                  <c:v>463</c:v>
                </c:pt>
              </c:numCache>
            </c:numRef>
          </c:yVal>
          <c:smooth val="1"/>
          <c:extLst>
            <c:ext xmlns:c16="http://schemas.microsoft.com/office/drawing/2014/chart" uri="{C3380CC4-5D6E-409C-BE32-E72D297353CC}">
              <c16:uniqueId val="{0000000C-ECDA-4ECD-9403-A76970DA0591}"/>
            </c:ext>
          </c:extLst>
        </c:ser>
        <c:ser>
          <c:idx val="13"/>
          <c:order val="13"/>
          <c:tx>
            <c:strRef>
              <c:f>'Feuil11 (4)'!$B$18</c:f>
              <c:strCache>
                <c:ptCount val="1"/>
                <c:pt idx="0">
                  <c:v>NF3 (projections)</c:v>
                </c:pt>
              </c:strCache>
            </c:strRef>
          </c:tx>
          <c:spPr>
            <a:ln w="19050" cap="rnd">
              <a:solidFill>
                <a:schemeClr val="accent1">
                  <a:lumMod val="90000"/>
                  <a:lumOff val="10000"/>
                </a:schemeClr>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(4)'!$I$18:$N$18</c:f>
              <c:numCache>
                <c:formatCode>General</c:formatCode>
                <c:ptCount val="6"/>
                <c:pt idx="0">
                  <c:v>10</c:v>
                </c:pt>
                <c:pt idx="1">
                  <c:v>6</c:v>
                </c:pt>
                <c:pt idx="2">
                  <c:v>6</c:v>
                </c:pt>
                <c:pt idx="3">
                  <c:v>6</c:v>
                </c:pt>
                <c:pt idx="4">
                  <c:v>6</c:v>
                </c:pt>
                <c:pt idx="5">
                  <c:v>6</c:v>
                </c:pt>
              </c:numCache>
            </c:numRef>
          </c:yVal>
          <c:smooth val="1"/>
          <c:extLst>
            <c:ext xmlns:c16="http://schemas.microsoft.com/office/drawing/2014/chart" uri="{C3380CC4-5D6E-409C-BE32-E72D297353CC}">
              <c16:uniqueId val="{0000000D-ECDA-4ECD-9403-A76970DA0591}"/>
            </c:ext>
          </c:extLst>
        </c:ser>
        <c:dLbls>
          <c:showLegendKey val="0"/>
          <c:showVal val="0"/>
          <c:showCatName val="0"/>
          <c:showSerName val="0"/>
          <c:showPercent val="0"/>
          <c:showBubbleSize val="0"/>
        </c:dLbls>
        <c:axId val="563831263"/>
        <c:axId val="563830015"/>
      </c:scatterChart>
      <c:valAx>
        <c:axId val="563831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stacked"/>
        <c:varyColors val="0"/>
        <c:ser>
          <c:idx val="0"/>
          <c:order val="0"/>
          <c:tx>
            <c:v>Transport ferroviaire</c:v>
          </c:tx>
          <c:spPr>
            <a:solidFill>
              <a:srgbClr val="0070C0"/>
            </a:solidFill>
            <a:ln>
              <a:noFill/>
            </a:ln>
            <a:effectLst/>
          </c:spPr>
          <c:cat>
            <c:numRef>
              <c:f>'[2021_comptes_transports_e_transport_marchandises_v2.xlsx]E1.a1'!$B$3:$AI$3</c:f>
              <c:numCache>
                <c:formatCode>0</c:formatCode>
                <c:ptCount val="34"/>
                <c:pt idx="0">
                  <c:v>1984</c:v>
                </c:pt>
                <c:pt idx="1">
                  <c:v>1985</c:v>
                </c:pt>
                <c:pt idx="2">
                  <c:v>1986</c:v>
                </c:pt>
                <c:pt idx="3">
                  <c:v>1987</c:v>
                </c:pt>
                <c:pt idx="4">
                  <c:v>1988</c:v>
                </c:pt>
                <c:pt idx="5">
                  <c:v>1989</c:v>
                </c:pt>
                <c:pt idx="6">
                  <c:v>1990</c:v>
                </c:pt>
                <c:pt idx="7">
                  <c:v>1991</c:v>
                </c:pt>
                <c:pt idx="8">
                  <c:v>1992</c:v>
                </c:pt>
                <c:pt idx="9">
                  <c:v>1993</c:v>
                </c:pt>
                <c:pt idx="10">
                  <c:v>1994</c:v>
                </c:pt>
                <c:pt idx="11">
                  <c:v>1995</c:v>
                </c:pt>
                <c:pt idx="12">
                  <c:v>1996</c:v>
                </c:pt>
                <c:pt idx="13">
                  <c:v>1997</c:v>
                </c:pt>
                <c:pt idx="14">
                  <c:v>1998</c:v>
                </c:pt>
                <c:pt idx="15">
                  <c:v>1999</c:v>
                </c:pt>
                <c:pt idx="16">
                  <c:v>2000</c:v>
                </c:pt>
                <c:pt idx="17">
                  <c:v>2001</c:v>
                </c:pt>
                <c:pt idx="18">
                  <c:v>2002</c:v>
                </c:pt>
                <c:pt idx="19">
                  <c:v>2003</c:v>
                </c:pt>
                <c:pt idx="20">
                  <c:v>2004</c:v>
                </c:pt>
                <c:pt idx="21">
                  <c:v>2005</c:v>
                </c:pt>
                <c:pt idx="22">
                  <c:v>2006</c:v>
                </c:pt>
                <c:pt idx="23">
                  <c:v>2007</c:v>
                </c:pt>
                <c:pt idx="24">
                  <c:v>2008</c:v>
                </c:pt>
                <c:pt idx="25">
                  <c:v>2009</c:v>
                </c:pt>
                <c:pt idx="26">
                  <c:v>2010</c:v>
                </c:pt>
                <c:pt idx="27">
                  <c:v>2011</c:v>
                </c:pt>
                <c:pt idx="28">
                  <c:v>2012</c:v>
                </c:pt>
                <c:pt idx="29">
                  <c:v>2013</c:v>
                </c:pt>
                <c:pt idx="30">
                  <c:v>2014</c:v>
                </c:pt>
                <c:pt idx="31">
                  <c:v>2015</c:v>
                </c:pt>
                <c:pt idx="32">
                  <c:v>2016</c:v>
                </c:pt>
                <c:pt idx="33">
                  <c:v>2017</c:v>
                </c:pt>
              </c:numCache>
            </c:numRef>
          </c:cat>
          <c:val>
            <c:numRef>
              <c:f>'[2021_comptes_transports_e_transport_marchandises_v2.xlsx]E1.a1'!$B$4:$AJ$4,'[2021_comptes_transports_e_transport_marchandises_v2.xlsx]E1.a1'!$AQ$4:$AS$4</c:f>
              <c:numCache>
                <c:formatCode>#\ ##0.0</c:formatCode>
                <c:ptCount val="38"/>
                <c:pt idx="0">
                  <c:v>57.749000000000002</c:v>
                </c:pt>
                <c:pt idx="1">
                  <c:v>56.058999999999997</c:v>
                </c:pt>
                <c:pt idx="2">
                  <c:v>52.686</c:v>
                </c:pt>
                <c:pt idx="3">
                  <c:v>52.707000000000001</c:v>
                </c:pt>
                <c:pt idx="4">
                  <c:v>52.945999999999998</c:v>
                </c:pt>
                <c:pt idx="5">
                  <c:v>53.712000000000003</c:v>
                </c:pt>
                <c:pt idx="6">
                  <c:v>52.24</c:v>
                </c:pt>
                <c:pt idx="7">
                  <c:v>52.430011</c:v>
                </c:pt>
                <c:pt idx="8">
                  <c:v>51.180591</c:v>
                </c:pt>
                <c:pt idx="9">
                  <c:v>45.582509000000002</c:v>
                </c:pt>
                <c:pt idx="10">
                  <c:v>48.871257999999997</c:v>
                </c:pt>
                <c:pt idx="11">
                  <c:v>48.266067999999997</c:v>
                </c:pt>
                <c:pt idx="12">
                  <c:v>50.113</c:v>
                </c:pt>
                <c:pt idx="13">
                  <c:v>54.246000000000002</c:v>
                </c:pt>
                <c:pt idx="14">
                  <c:v>54.099525</c:v>
                </c:pt>
                <c:pt idx="15">
                  <c:v>54.53801500294</c:v>
                </c:pt>
                <c:pt idx="16">
                  <c:v>57.725754642223997</c:v>
                </c:pt>
                <c:pt idx="17">
                  <c:v>51.718302252256997</c:v>
                </c:pt>
                <c:pt idx="18">
                  <c:v>51.288192553031003</c:v>
                </c:pt>
                <c:pt idx="19">
                  <c:v>48.057268754623998</c:v>
                </c:pt>
                <c:pt idx="20">
                  <c:v>46.348370260433001</c:v>
                </c:pt>
                <c:pt idx="21">
                  <c:v>40.701180450133002</c:v>
                </c:pt>
                <c:pt idx="22">
                  <c:v>41.178920252944998</c:v>
                </c:pt>
                <c:pt idx="23">
                  <c:v>42.6118598758936</c:v>
                </c:pt>
                <c:pt idx="24">
                  <c:v>40.436129085262202</c:v>
                </c:pt>
                <c:pt idx="25">
                  <c:v>32.1291690572275</c:v>
                </c:pt>
                <c:pt idx="26">
                  <c:v>29.9647515529957</c:v>
                </c:pt>
                <c:pt idx="27">
                  <c:v>34.201586813471003</c:v>
                </c:pt>
                <c:pt idx="28">
                  <c:v>32.538902999999998</c:v>
                </c:pt>
                <c:pt idx="29">
                  <c:v>32.2301126139986</c:v>
                </c:pt>
                <c:pt idx="30">
                  <c:v>32.596312499881599</c:v>
                </c:pt>
                <c:pt idx="31">
                  <c:v>36.328056893000003</c:v>
                </c:pt>
                <c:pt idx="32">
                  <c:v>34.724299999999999</c:v>
                </c:pt>
                <c:pt idx="33">
                  <c:v>35.654600000000002</c:v>
                </c:pt>
                <c:pt idx="34">
                  <c:v>34.1633</c:v>
                </c:pt>
                <c:pt idx="35">
                  <c:v>33.893100000000004</c:v>
                </c:pt>
                <c:pt idx="36">
                  <c:v>31.281700000000001</c:v>
                </c:pt>
                <c:pt idx="37">
                  <c:v>35.751300000000001</c:v>
                </c:pt>
              </c:numCache>
            </c:numRef>
          </c:val>
          <c:extLst>
            <c:ext xmlns:c16="http://schemas.microsoft.com/office/drawing/2014/chart" uri="{C3380CC4-5D6E-409C-BE32-E72D297353CC}">
              <c16:uniqueId val="{00000000-E8EB-45D4-98A2-EFE85BF77F5A}"/>
            </c:ext>
          </c:extLst>
        </c:ser>
        <c:ser>
          <c:idx val="1"/>
          <c:order val="1"/>
          <c:tx>
            <c:v>Transport routier</c:v>
          </c:tx>
          <c:spPr>
            <a:solidFill>
              <a:srgbClr val="FFC000"/>
            </a:solidFill>
            <a:ln w="25400">
              <a:noFill/>
            </a:ln>
            <a:effectLst/>
          </c:spPr>
          <c:val>
            <c:numRef>
              <c:f>'[2021_comptes_transports_e_transport_marchandises_v2.xlsx]E1.a1'!$B$10:$AJ$10,'[2021_comptes_transports_e_transport_marchandises_v2.xlsx]E1.a1'!$AQ$10,'[2021_comptes_transports_e_transport_marchandises_v2.xlsx]E1.a1'!$AR$10,'[2021_comptes_transports_e_transport_marchandises_v2.xlsx]E1.a1'!$AS$10</c:f>
              <c:numCache>
                <c:formatCode>0.0</c:formatCode>
                <c:ptCount val="38"/>
                <c:pt idx="0">
                  <c:v>125.883261763853</c:v>
                </c:pt>
                <c:pt idx="1">
                  <c:v>128.41773876381799</c:v>
                </c:pt>
                <c:pt idx="2">
                  <c:v>134.59800392918001</c:v>
                </c:pt>
                <c:pt idx="3">
                  <c:v>144.51500159377599</c:v>
                </c:pt>
                <c:pt idx="4">
                  <c:v>161.10934855145101</c:v>
                </c:pt>
                <c:pt idx="5">
                  <c:v>168.637945959847</c:v>
                </c:pt>
                <c:pt idx="6">
                  <c:v>195.71571949801401</c:v>
                </c:pt>
                <c:pt idx="7">
                  <c:v>201.086547261916</c:v>
                </c:pt>
                <c:pt idx="8">
                  <c:v>206.65833831589401</c:v>
                </c:pt>
                <c:pt idx="9">
                  <c:v>202.582492823085</c:v>
                </c:pt>
                <c:pt idx="10">
                  <c:v>217.72231105738101</c:v>
                </c:pt>
                <c:pt idx="11">
                  <c:v>232.902005978338</c:v>
                </c:pt>
                <c:pt idx="12">
                  <c:v>237.471330909497</c:v>
                </c:pt>
                <c:pt idx="13">
                  <c:v>246.953993789967</c:v>
                </c:pt>
                <c:pt idx="14">
                  <c:v>257.64902268944002</c:v>
                </c:pt>
                <c:pt idx="15">
                  <c:v>266.69847652687099</c:v>
                </c:pt>
                <c:pt idx="16">
                  <c:v>276.81732737618103</c:v>
                </c:pt>
                <c:pt idx="17">
                  <c:v>290.44946576625199</c:v>
                </c:pt>
                <c:pt idx="18">
                  <c:v>293.40466064730703</c:v>
                </c:pt>
                <c:pt idx="19">
                  <c:v>297.01678351073201</c:v>
                </c:pt>
                <c:pt idx="20">
                  <c:v>314.93268721507599</c:v>
                </c:pt>
                <c:pt idx="21">
                  <c:v>314.769890644138</c:v>
                </c:pt>
                <c:pt idx="22">
                  <c:v>328.31053952344598</c:v>
                </c:pt>
                <c:pt idx="23">
                  <c:v>340.86517427341403</c:v>
                </c:pt>
                <c:pt idx="24">
                  <c:v>327.453616289639</c:v>
                </c:pt>
                <c:pt idx="25">
                  <c:v>284.486543985558</c:v>
                </c:pt>
                <c:pt idx="26">
                  <c:v>301.08508231604401</c:v>
                </c:pt>
                <c:pt idx="27">
                  <c:v>301.95206886146298</c:v>
                </c:pt>
                <c:pt idx="28">
                  <c:v>285.90828242319401</c:v>
                </c:pt>
                <c:pt idx="29">
                  <c:v>288.61794456426497</c:v>
                </c:pt>
                <c:pt idx="30">
                  <c:v>288.53234107900755</c:v>
                </c:pt>
                <c:pt idx="31">
                  <c:v>281.92484480309156</c:v>
                </c:pt>
                <c:pt idx="32">
                  <c:v>289.01068657781599</c:v>
                </c:pt>
                <c:pt idx="33">
                  <c:v>308.28884234000623</c:v>
                </c:pt>
                <c:pt idx="34" formatCode="#\ ##0.0">
                  <c:v>317.29340269264549</c:v>
                </c:pt>
                <c:pt idx="35" formatCode="#\ ##0.0">
                  <c:v>296.78758110365834</c:v>
                </c:pt>
                <c:pt idx="36" formatCode="#\ ##0.0">
                  <c:v>286.97452616945088</c:v>
                </c:pt>
                <c:pt idx="37">
                  <c:v>292.00913466950681</c:v>
                </c:pt>
              </c:numCache>
            </c:numRef>
          </c:val>
          <c:extLst>
            <c:ext xmlns:c16="http://schemas.microsoft.com/office/drawing/2014/chart" uri="{C3380CC4-5D6E-409C-BE32-E72D297353CC}">
              <c16:uniqueId val="{00000001-E8EB-45D4-98A2-EFE85BF77F5A}"/>
            </c:ext>
          </c:extLst>
        </c:ser>
        <c:ser>
          <c:idx val="2"/>
          <c:order val="2"/>
          <c:tx>
            <c:v>Transport fluvial</c:v>
          </c:tx>
          <c:spPr>
            <a:solidFill>
              <a:srgbClr val="00B050"/>
            </a:solidFill>
            <a:ln w="25400">
              <a:noFill/>
            </a:ln>
            <a:effectLst/>
          </c:spPr>
          <c:val>
            <c:numRef>
              <c:f>'[2021_comptes_transports_e_transport_marchandises_v2.xlsx]E1.a1'!$B$22:$AJ$22,'[2021_comptes_transports_e_transport_marchandises_v2.xlsx]E1.a1'!$AQ$22,'[2021_comptes_transports_e_transport_marchandises_v2.xlsx]E1.a1'!$AR$22,'[2021_comptes_transports_e_transport_marchandises_v2.xlsx]E1.a1'!$AS$22</c:f>
              <c:numCache>
                <c:formatCode>#\ ##0.0</c:formatCode>
                <c:ptCount val="38"/>
                <c:pt idx="0">
                  <c:v>7.9539999999999997</c:v>
                </c:pt>
                <c:pt idx="1">
                  <c:v>7.5890000000000004</c:v>
                </c:pt>
                <c:pt idx="2">
                  <c:v>6.9930000000000003</c:v>
                </c:pt>
                <c:pt idx="3">
                  <c:v>6.6859999999999999</c:v>
                </c:pt>
                <c:pt idx="4">
                  <c:v>6.6440000000000001</c:v>
                </c:pt>
                <c:pt idx="5">
                  <c:v>6.7519999999999998</c:v>
                </c:pt>
                <c:pt idx="6">
                  <c:v>7.1639999999999997</c:v>
                </c:pt>
                <c:pt idx="7">
                  <c:v>6.8339999999999996</c:v>
                </c:pt>
                <c:pt idx="8">
                  <c:v>6.9109999999999996</c:v>
                </c:pt>
                <c:pt idx="9">
                  <c:v>5.95</c:v>
                </c:pt>
                <c:pt idx="10">
                  <c:v>5.593</c:v>
                </c:pt>
                <c:pt idx="11">
                  <c:v>5.8650000000000002</c:v>
                </c:pt>
                <c:pt idx="12">
                  <c:v>5.7439999999999998</c:v>
                </c:pt>
                <c:pt idx="13">
                  <c:v>5.681820782</c:v>
                </c:pt>
                <c:pt idx="14">
                  <c:v>6.2066160080000001</c:v>
                </c:pt>
                <c:pt idx="15">
                  <c:v>6.8291568080000005</c:v>
                </c:pt>
                <c:pt idx="16">
                  <c:v>7.2604887309999997</c:v>
                </c:pt>
                <c:pt idx="17">
                  <c:v>6.7157216340000003</c:v>
                </c:pt>
                <c:pt idx="18">
                  <c:v>6.9393910649999997</c:v>
                </c:pt>
                <c:pt idx="19">
                  <c:v>6.8893911499999998</c:v>
                </c:pt>
                <c:pt idx="20">
                  <c:v>7.3141958340000004</c:v>
                </c:pt>
                <c:pt idx="21">
                  <c:v>7.8557629599999999</c:v>
                </c:pt>
                <c:pt idx="22">
                  <c:v>7.9504648500000004</c:v>
                </c:pt>
                <c:pt idx="23">
                  <c:v>7.5444022149999999</c:v>
                </c:pt>
                <c:pt idx="24">
                  <c:v>7.5037168990000005</c:v>
                </c:pt>
                <c:pt idx="25">
                  <c:v>7.4227809410000001</c:v>
                </c:pt>
                <c:pt idx="26">
                  <c:v>8.0596076720000003</c:v>
                </c:pt>
                <c:pt idx="27">
                  <c:v>7.8636435870000003</c:v>
                </c:pt>
                <c:pt idx="28">
                  <c:v>7.8296116019999999</c:v>
                </c:pt>
                <c:pt idx="29">
                  <c:v>7.9115401370000003</c:v>
                </c:pt>
                <c:pt idx="30">
                  <c:v>7.7516347300000001</c:v>
                </c:pt>
                <c:pt idx="31">
                  <c:v>7.4611168299999999</c:v>
                </c:pt>
                <c:pt idx="32">
                  <c:v>6.8364299009999998</c:v>
                </c:pt>
                <c:pt idx="33">
                  <c:v>6.7146486020000005</c:v>
                </c:pt>
                <c:pt idx="34">
                  <c:v>6.7016106449999997</c:v>
                </c:pt>
                <c:pt idx="35">
                  <c:v>7.3572701570000003</c:v>
                </c:pt>
                <c:pt idx="36">
                  <c:v>6.5212725449999995</c:v>
                </c:pt>
                <c:pt idx="37">
                  <c:v>6.7822857569999995</c:v>
                </c:pt>
              </c:numCache>
            </c:numRef>
          </c:val>
          <c:extLst>
            <c:ext xmlns:c16="http://schemas.microsoft.com/office/drawing/2014/chart" uri="{C3380CC4-5D6E-409C-BE32-E72D297353CC}">
              <c16:uniqueId val="{00000002-E8EB-45D4-98A2-EFE85BF77F5A}"/>
            </c:ext>
          </c:extLst>
        </c:ser>
        <c:ser>
          <c:idx val="3"/>
          <c:order val="3"/>
          <c:tx>
            <c:v>Oléoducs</c:v>
          </c:tx>
          <c:spPr>
            <a:solidFill>
              <a:schemeClr val="bg1">
                <a:lumMod val="50000"/>
              </a:schemeClr>
            </a:solidFill>
            <a:ln w="25400">
              <a:noFill/>
            </a:ln>
            <a:effectLst/>
          </c:spPr>
          <c:val>
            <c:numRef>
              <c:f>'[2021_comptes_transports_e_transport_marchandises_v2.xlsx]E1.a1'!$B$30:$AJ$30,'[2021_comptes_transports_e_transport_marchandises_v2.xlsx]E1.a1'!$AQ$30,'[2021_comptes_transports_e_transport_marchandises_v2.xlsx]E1.a1'!$AR$30,'[2021_comptes_transports_e_transport_marchandises_v2.xlsx]E1.a1'!$AS$30</c:f>
              <c:numCache>
                <c:formatCode>#\ ##0.0</c:formatCode>
                <c:ptCount val="38"/>
                <c:pt idx="0">
                  <c:v>25.859000000000002</c:v>
                </c:pt>
                <c:pt idx="1">
                  <c:v>24.141999999999999</c:v>
                </c:pt>
                <c:pt idx="2">
                  <c:v>26.977</c:v>
                </c:pt>
                <c:pt idx="3">
                  <c:v>25.254999999999999</c:v>
                </c:pt>
                <c:pt idx="4">
                  <c:v>29.283999999999999</c:v>
                </c:pt>
                <c:pt idx="5">
                  <c:v>22.969000000000001</c:v>
                </c:pt>
                <c:pt idx="6">
                  <c:v>19.609000000000002</c:v>
                </c:pt>
                <c:pt idx="7">
                  <c:v>22.501000000000001</c:v>
                </c:pt>
                <c:pt idx="8">
                  <c:v>23.381</c:v>
                </c:pt>
                <c:pt idx="9">
                  <c:v>23.312000000000001</c:v>
                </c:pt>
                <c:pt idx="10">
                  <c:v>22.187000000000001</c:v>
                </c:pt>
                <c:pt idx="11">
                  <c:v>22.274999999999999</c:v>
                </c:pt>
                <c:pt idx="12">
                  <c:v>21.908999999999999</c:v>
                </c:pt>
                <c:pt idx="13">
                  <c:v>22.088999999999999</c:v>
                </c:pt>
                <c:pt idx="14">
                  <c:v>21.582000000000001</c:v>
                </c:pt>
                <c:pt idx="15">
                  <c:v>21.321999999999999</c:v>
                </c:pt>
                <c:pt idx="16">
                  <c:v>21.669</c:v>
                </c:pt>
                <c:pt idx="17">
                  <c:v>22.14</c:v>
                </c:pt>
                <c:pt idx="18">
                  <c:v>20.954000000000001</c:v>
                </c:pt>
                <c:pt idx="19">
                  <c:v>22.146999999999998</c:v>
                </c:pt>
                <c:pt idx="20">
                  <c:v>20.559000000000001</c:v>
                </c:pt>
                <c:pt idx="21">
                  <c:v>20.856000000000002</c:v>
                </c:pt>
                <c:pt idx="22">
                  <c:v>22.199000000000002</c:v>
                </c:pt>
                <c:pt idx="23">
                  <c:v>21.140999999999998</c:v>
                </c:pt>
                <c:pt idx="24">
                  <c:v>20.917999999999999</c:v>
                </c:pt>
                <c:pt idx="25">
                  <c:v>19.481424363999999</c:v>
                </c:pt>
                <c:pt idx="26">
                  <c:v>17.607453721999999</c:v>
                </c:pt>
                <c:pt idx="27">
                  <c:v>17.206684074599998</c:v>
                </c:pt>
                <c:pt idx="28">
                  <c:v>15.151308542800001</c:v>
                </c:pt>
                <c:pt idx="29">
                  <c:v>11.520723741799999</c:v>
                </c:pt>
                <c:pt idx="30">
                  <c:v>11.054919406</c:v>
                </c:pt>
                <c:pt idx="31">
                  <c:v>11.442554056040001</c:v>
                </c:pt>
                <c:pt idx="32">
                  <c:v>11.37304163828</c:v>
                </c:pt>
                <c:pt idx="33">
                  <c:v>11.972708157</c:v>
                </c:pt>
                <c:pt idx="34">
                  <c:v>12.448928791</c:v>
                </c:pt>
                <c:pt idx="35">
                  <c:v>12.1620504860377</c:v>
                </c:pt>
                <c:pt idx="36">
                  <c:v>9.5138505356014402</c:v>
                </c:pt>
                <c:pt idx="37">
                  <c:v>9.2297626712716294</c:v>
                </c:pt>
              </c:numCache>
            </c:numRef>
          </c:val>
          <c:extLst>
            <c:ext xmlns:c16="http://schemas.microsoft.com/office/drawing/2014/chart" uri="{C3380CC4-5D6E-409C-BE32-E72D297353CC}">
              <c16:uniqueId val="{00000003-E8EB-45D4-98A2-EFE85BF77F5A}"/>
            </c:ext>
          </c:extLst>
        </c:ser>
        <c:dLbls>
          <c:showLegendKey val="0"/>
          <c:showVal val="0"/>
          <c:showCatName val="0"/>
          <c:showSerName val="0"/>
          <c:showPercent val="0"/>
          <c:showBubbleSize val="0"/>
        </c:dLbls>
        <c:axId val="2028043999"/>
        <c:axId val="2028029023"/>
      </c:areaChart>
      <c:catAx>
        <c:axId val="2028043999"/>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8029023"/>
        <c:crosses val="autoZero"/>
        <c:auto val="1"/>
        <c:lblAlgn val="ctr"/>
        <c:lblOffset val="100"/>
        <c:tickLblSkip val="3"/>
        <c:tickMarkSkip val="1"/>
        <c:noMultiLvlLbl val="0"/>
      </c:catAx>
      <c:valAx>
        <c:axId val="20280290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billion tonne-kilometres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804399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AME21</a:t>
            </a:r>
            <a:r>
              <a:rPr lang="fr-FR" baseline="0"/>
              <a:t> excluding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131950802661295"/>
          <c:y val="0.17155110819480898"/>
          <c:w val="0.86383553073307695"/>
          <c:h val="0.50301326917468647"/>
        </c:manualLayout>
      </c:layout>
      <c:scatterChart>
        <c:scatterStyle val="lineMarker"/>
        <c:varyColors val="0"/>
        <c:ser>
          <c:idx val="0"/>
          <c:order val="0"/>
          <c:tx>
            <c:strRef>
              <c:f>Feuil11!$B$5</c:f>
              <c:strCache>
                <c:ptCount val="1"/>
                <c:pt idx="0">
                  <c:v>CO2 excluding LULUCF </c:v>
                </c:pt>
              </c:strCache>
            </c:strRef>
          </c:tx>
          <c:spPr>
            <a:ln w="19050" cap="rnd">
              <a:solidFill>
                <a:schemeClr val="accent1"/>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Feuil11!$C$5:$I$5</c:f>
              <c:numCache>
                <c:formatCode>General</c:formatCode>
                <c:ptCount val="7"/>
                <c:pt idx="0">
                  <c:v>398425</c:v>
                </c:pt>
                <c:pt idx="1">
                  <c:v>392916</c:v>
                </c:pt>
                <c:pt idx="2">
                  <c:v>414788</c:v>
                </c:pt>
                <c:pt idx="3">
                  <c:v>425444</c:v>
                </c:pt>
                <c:pt idx="4">
                  <c:v>386872</c:v>
                </c:pt>
                <c:pt idx="5">
                  <c:v>341631</c:v>
                </c:pt>
                <c:pt idx="6">
                  <c:v>326725</c:v>
                </c:pt>
              </c:numCache>
            </c:numRef>
          </c:yVal>
          <c:smooth val="0"/>
          <c:extLst>
            <c:ext xmlns:c16="http://schemas.microsoft.com/office/drawing/2014/chart" uri="{C3380CC4-5D6E-409C-BE32-E72D297353CC}">
              <c16:uniqueId val="{00000000-B927-4D1C-B033-AFEABB2138C4}"/>
            </c:ext>
          </c:extLst>
        </c:ser>
        <c:ser>
          <c:idx val="1"/>
          <c:order val="1"/>
          <c:tx>
            <c:strRef>
              <c:f>Feuil11!$B$7</c:f>
              <c:strCache>
                <c:ptCount val="1"/>
                <c:pt idx="0">
                  <c:v>CH4 excluding LULUCF </c:v>
                </c:pt>
              </c:strCache>
            </c:strRef>
          </c:tx>
          <c:spPr>
            <a:ln w="19050" cap="rnd">
              <a:solidFill>
                <a:schemeClr val="accent2"/>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Feuil11!$C$7:$I$7</c:f>
              <c:numCache>
                <c:formatCode>General</c:formatCode>
                <c:ptCount val="7"/>
                <c:pt idx="0">
                  <c:v>69161</c:v>
                </c:pt>
                <c:pt idx="1">
                  <c:v>70383</c:v>
                </c:pt>
                <c:pt idx="2">
                  <c:v>68603</c:v>
                </c:pt>
                <c:pt idx="3">
                  <c:v>63632</c:v>
                </c:pt>
                <c:pt idx="4">
                  <c:v>61663</c:v>
                </c:pt>
                <c:pt idx="5">
                  <c:v>57862</c:v>
                </c:pt>
                <c:pt idx="6">
                  <c:v>55740</c:v>
                </c:pt>
              </c:numCache>
            </c:numRef>
          </c:yVal>
          <c:smooth val="0"/>
          <c:extLst>
            <c:ext xmlns:c16="http://schemas.microsoft.com/office/drawing/2014/chart" uri="{C3380CC4-5D6E-409C-BE32-E72D297353CC}">
              <c16:uniqueId val="{00000001-B927-4D1C-B033-AFEABB2138C4}"/>
            </c:ext>
          </c:extLst>
        </c:ser>
        <c:ser>
          <c:idx val="2"/>
          <c:order val="2"/>
          <c:tx>
            <c:strRef>
              <c:f>Feuil11!$B$9</c:f>
              <c:strCache>
                <c:ptCount val="1"/>
                <c:pt idx="0">
                  <c:v>N2O excluding LULUCF </c:v>
                </c:pt>
              </c:strCache>
            </c:strRef>
          </c:tx>
          <c:spPr>
            <a:ln w="19050" cap="rnd">
              <a:solidFill>
                <a:schemeClr val="accent3"/>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Feuil11!$C$9:$I$9</c:f>
              <c:numCache>
                <c:formatCode>General</c:formatCode>
                <c:ptCount val="7"/>
                <c:pt idx="0">
                  <c:v>64725</c:v>
                </c:pt>
                <c:pt idx="1">
                  <c:v>65937</c:v>
                </c:pt>
                <c:pt idx="2">
                  <c:v>53681</c:v>
                </c:pt>
                <c:pt idx="3">
                  <c:v>46307</c:v>
                </c:pt>
                <c:pt idx="4">
                  <c:v>40478</c:v>
                </c:pt>
                <c:pt idx="5">
                  <c:v>39895</c:v>
                </c:pt>
                <c:pt idx="6">
                  <c:v>38071</c:v>
                </c:pt>
              </c:numCache>
            </c:numRef>
          </c:yVal>
          <c:smooth val="0"/>
          <c:extLst>
            <c:ext xmlns:c16="http://schemas.microsoft.com/office/drawing/2014/chart" uri="{C3380CC4-5D6E-409C-BE32-E72D297353CC}">
              <c16:uniqueId val="{00000002-B927-4D1C-B033-AFEABB2138C4}"/>
            </c:ext>
          </c:extLst>
        </c:ser>
        <c:ser>
          <c:idx val="3"/>
          <c:order val="3"/>
          <c:tx>
            <c:strRef>
              <c:f>Feuil11!$B$11</c:f>
              <c:strCache>
                <c:ptCount val="1"/>
                <c:pt idx="0">
                  <c:v>HFCs </c:v>
                </c:pt>
              </c:strCache>
            </c:strRef>
          </c:tx>
          <c:spPr>
            <a:ln w="19050" cap="rnd">
              <a:solidFill>
                <a:schemeClr val="accent4"/>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Feuil11!$C$11:$I$11</c:f>
              <c:numCache>
                <c:formatCode>General</c:formatCode>
                <c:ptCount val="7"/>
                <c:pt idx="0">
                  <c:v>4402</c:v>
                </c:pt>
                <c:pt idx="1">
                  <c:v>1702</c:v>
                </c:pt>
                <c:pt idx="2">
                  <c:v>6736</c:v>
                </c:pt>
                <c:pt idx="3">
                  <c:v>12862</c:v>
                </c:pt>
                <c:pt idx="4">
                  <c:v>16930</c:v>
                </c:pt>
                <c:pt idx="5">
                  <c:v>17494</c:v>
                </c:pt>
                <c:pt idx="6">
                  <c:v>12992</c:v>
                </c:pt>
              </c:numCache>
            </c:numRef>
          </c:yVal>
          <c:smooth val="0"/>
          <c:extLst>
            <c:ext xmlns:c16="http://schemas.microsoft.com/office/drawing/2014/chart" uri="{C3380CC4-5D6E-409C-BE32-E72D297353CC}">
              <c16:uniqueId val="{00000003-B927-4D1C-B033-AFEABB2138C4}"/>
            </c:ext>
          </c:extLst>
        </c:ser>
        <c:ser>
          <c:idx val="4"/>
          <c:order val="4"/>
          <c:tx>
            <c:strRef>
              <c:f>Feuil11!$B$13</c:f>
              <c:strCache>
                <c:ptCount val="1"/>
                <c:pt idx="0">
                  <c:v>PFCs </c:v>
                </c:pt>
              </c:strCache>
            </c:strRef>
          </c:tx>
          <c:spPr>
            <a:ln w="19050" cap="rnd">
              <a:solidFill>
                <a:schemeClr val="accent5"/>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Feuil11!$C$13:$I$13</c:f>
              <c:numCache>
                <c:formatCode>General</c:formatCode>
                <c:ptCount val="7"/>
                <c:pt idx="0">
                  <c:v>5202</c:v>
                </c:pt>
                <c:pt idx="1">
                  <c:v>3065</c:v>
                </c:pt>
                <c:pt idx="2">
                  <c:v>2997</c:v>
                </c:pt>
                <c:pt idx="3">
                  <c:v>1760</c:v>
                </c:pt>
                <c:pt idx="4">
                  <c:v>617</c:v>
                </c:pt>
                <c:pt idx="5">
                  <c:v>537</c:v>
                </c:pt>
                <c:pt idx="6">
                  <c:v>615</c:v>
                </c:pt>
              </c:numCache>
            </c:numRef>
          </c:yVal>
          <c:smooth val="0"/>
          <c:extLst>
            <c:ext xmlns:c16="http://schemas.microsoft.com/office/drawing/2014/chart" uri="{C3380CC4-5D6E-409C-BE32-E72D297353CC}">
              <c16:uniqueId val="{00000004-B927-4D1C-B033-AFEABB2138C4}"/>
            </c:ext>
          </c:extLst>
        </c:ser>
        <c:ser>
          <c:idx val="5"/>
          <c:order val="5"/>
          <c:tx>
            <c:strRef>
              <c:f>Feuil11!$B$15</c:f>
              <c:strCache>
                <c:ptCount val="1"/>
                <c:pt idx="0">
                  <c:v>SF6 </c:v>
                </c:pt>
              </c:strCache>
            </c:strRef>
          </c:tx>
          <c:spPr>
            <a:ln w="19050" cap="rnd">
              <a:solidFill>
                <a:schemeClr val="accent6"/>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Feuil11!$C$15:$I$15</c:f>
              <c:numCache>
                <c:formatCode>General</c:formatCode>
                <c:ptCount val="7"/>
                <c:pt idx="0">
                  <c:v>2155</c:v>
                </c:pt>
                <c:pt idx="1">
                  <c:v>2467</c:v>
                </c:pt>
                <c:pt idx="2">
                  <c:v>2180</c:v>
                </c:pt>
                <c:pt idx="3">
                  <c:v>1355</c:v>
                </c:pt>
                <c:pt idx="4">
                  <c:v>875</c:v>
                </c:pt>
                <c:pt idx="5">
                  <c:v>498</c:v>
                </c:pt>
                <c:pt idx="6">
                  <c:v>385</c:v>
                </c:pt>
              </c:numCache>
            </c:numRef>
          </c:yVal>
          <c:smooth val="0"/>
          <c:extLst>
            <c:ext xmlns:c16="http://schemas.microsoft.com/office/drawing/2014/chart" uri="{C3380CC4-5D6E-409C-BE32-E72D297353CC}">
              <c16:uniqueId val="{00000005-B927-4D1C-B033-AFEABB2138C4}"/>
            </c:ext>
          </c:extLst>
        </c:ser>
        <c:ser>
          <c:idx val="6"/>
          <c:order val="6"/>
          <c:tx>
            <c:strRef>
              <c:f>Feuil11!$B$17</c:f>
              <c:strCache>
                <c:ptCount val="1"/>
                <c:pt idx="0">
                  <c:v>NF3 </c:v>
                </c:pt>
              </c:strCache>
            </c:strRef>
          </c:tx>
          <c:spPr>
            <a:ln w="19050" cap="rnd">
              <a:solidFill>
                <a:schemeClr val="accent1">
                  <a:lumMod val="60000"/>
                </a:schemeClr>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Feuil11!$C$17:$I$17</c:f>
              <c:numCache>
                <c:formatCode>General</c:formatCode>
                <c:ptCount val="7"/>
                <c:pt idx="0">
                  <c:v>16</c:v>
                </c:pt>
                <c:pt idx="1">
                  <c:v>6</c:v>
                </c:pt>
                <c:pt idx="2">
                  <c:v>20</c:v>
                </c:pt>
                <c:pt idx="3">
                  <c:v>31</c:v>
                </c:pt>
                <c:pt idx="4">
                  <c:v>32</c:v>
                </c:pt>
                <c:pt idx="5">
                  <c:v>6</c:v>
                </c:pt>
                <c:pt idx="6">
                  <c:v>10</c:v>
                </c:pt>
              </c:numCache>
            </c:numRef>
          </c:yVal>
          <c:smooth val="0"/>
          <c:extLst>
            <c:ext xmlns:c16="http://schemas.microsoft.com/office/drawing/2014/chart" uri="{C3380CC4-5D6E-409C-BE32-E72D297353CC}">
              <c16:uniqueId val="{00000006-B927-4D1C-B033-AFEABB2138C4}"/>
            </c:ext>
          </c:extLst>
        </c:ser>
        <c:ser>
          <c:idx val="7"/>
          <c:order val="7"/>
          <c:tx>
            <c:strRef>
              <c:f>Feuil11!$B$6</c:f>
              <c:strCache>
                <c:ptCount val="1"/>
                <c:pt idx="0">
                  <c:v>CO2 excluding LULUCF (projections)</c:v>
                </c:pt>
              </c:strCache>
            </c:strRef>
          </c:tx>
          <c:spPr>
            <a:ln w="19050" cap="rnd">
              <a:solidFill>
                <a:schemeClr val="accent1"/>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Feuil11!$I$6:$N$6</c:f>
              <c:numCache>
                <c:formatCode>General</c:formatCode>
                <c:ptCount val="6"/>
                <c:pt idx="0">
                  <c:v>326725</c:v>
                </c:pt>
                <c:pt idx="1">
                  <c:v>291487</c:v>
                </c:pt>
                <c:pt idx="2">
                  <c:v>292205</c:v>
                </c:pt>
                <c:pt idx="3">
                  <c:v>272039</c:v>
                </c:pt>
                <c:pt idx="4">
                  <c:v>262355</c:v>
                </c:pt>
                <c:pt idx="5">
                  <c:v>241265</c:v>
                </c:pt>
              </c:numCache>
            </c:numRef>
          </c:yVal>
          <c:smooth val="0"/>
          <c:extLst>
            <c:ext xmlns:c16="http://schemas.microsoft.com/office/drawing/2014/chart" uri="{C3380CC4-5D6E-409C-BE32-E72D297353CC}">
              <c16:uniqueId val="{00000007-B927-4D1C-B033-AFEABB2138C4}"/>
            </c:ext>
          </c:extLst>
        </c:ser>
        <c:ser>
          <c:idx val="8"/>
          <c:order val="8"/>
          <c:tx>
            <c:strRef>
              <c:f>Feuil11!$B$8</c:f>
              <c:strCache>
                <c:ptCount val="1"/>
                <c:pt idx="0">
                  <c:v>CH4 excluding LULUCF (projections)</c:v>
                </c:pt>
              </c:strCache>
            </c:strRef>
          </c:tx>
          <c:spPr>
            <a:ln w="19050" cap="rnd">
              <a:solidFill>
                <a:schemeClr val="accent2"/>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Feuil11!$I$8:$N$8</c:f>
              <c:numCache>
                <c:formatCode>General</c:formatCode>
                <c:ptCount val="6"/>
                <c:pt idx="0">
                  <c:v>55740</c:v>
                </c:pt>
                <c:pt idx="1">
                  <c:v>55161</c:v>
                </c:pt>
                <c:pt idx="2">
                  <c:v>53575</c:v>
                </c:pt>
                <c:pt idx="3">
                  <c:v>52448</c:v>
                </c:pt>
                <c:pt idx="4">
                  <c:v>51718</c:v>
                </c:pt>
                <c:pt idx="5">
                  <c:v>51049</c:v>
                </c:pt>
              </c:numCache>
            </c:numRef>
          </c:yVal>
          <c:smooth val="0"/>
          <c:extLst>
            <c:ext xmlns:c16="http://schemas.microsoft.com/office/drawing/2014/chart" uri="{C3380CC4-5D6E-409C-BE32-E72D297353CC}">
              <c16:uniqueId val="{00000008-B927-4D1C-B033-AFEABB2138C4}"/>
            </c:ext>
          </c:extLst>
        </c:ser>
        <c:ser>
          <c:idx val="9"/>
          <c:order val="9"/>
          <c:tx>
            <c:strRef>
              <c:f>Feuil11!$B$10</c:f>
              <c:strCache>
                <c:ptCount val="1"/>
                <c:pt idx="0">
                  <c:v>N2O excluding LULUCF (projections)</c:v>
                </c:pt>
              </c:strCache>
            </c:strRef>
          </c:tx>
          <c:spPr>
            <a:ln w="19050" cap="rnd">
              <a:solidFill>
                <a:schemeClr val="accent3"/>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Feuil11!$I$10:$N$10</c:f>
              <c:numCache>
                <c:formatCode>General</c:formatCode>
                <c:ptCount val="6"/>
                <c:pt idx="0">
                  <c:v>38071</c:v>
                </c:pt>
                <c:pt idx="1">
                  <c:v>38446</c:v>
                </c:pt>
                <c:pt idx="2">
                  <c:v>37839</c:v>
                </c:pt>
                <c:pt idx="3">
                  <c:v>36921</c:v>
                </c:pt>
                <c:pt idx="4">
                  <c:v>36417</c:v>
                </c:pt>
                <c:pt idx="5">
                  <c:v>35003</c:v>
                </c:pt>
              </c:numCache>
            </c:numRef>
          </c:yVal>
          <c:smooth val="0"/>
          <c:extLst>
            <c:ext xmlns:c16="http://schemas.microsoft.com/office/drawing/2014/chart" uri="{C3380CC4-5D6E-409C-BE32-E72D297353CC}">
              <c16:uniqueId val="{00000009-B927-4D1C-B033-AFEABB2138C4}"/>
            </c:ext>
          </c:extLst>
        </c:ser>
        <c:ser>
          <c:idx val="10"/>
          <c:order val="10"/>
          <c:tx>
            <c:strRef>
              <c:f>Feuil11!$B$12</c:f>
              <c:strCache>
                <c:ptCount val="1"/>
                <c:pt idx="0">
                  <c:v>HFCs (projections)</c:v>
                </c:pt>
              </c:strCache>
            </c:strRef>
          </c:tx>
          <c:spPr>
            <a:ln w="19050" cap="rnd">
              <a:solidFill>
                <a:schemeClr val="accent4"/>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Feuil11!$I$12:$N$12</c:f>
              <c:numCache>
                <c:formatCode>General</c:formatCode>
                <c:ptCount val="6"/>
                <c:pt idx="0">
                  <c:v>12992</c:v>
                </c:pt>
                <c:pt idx="1">
                  <c:v>12721</c:v>
                </c:pt>
                <c:pt idx="2">
                  <c:v>7816</c:v>
                </c:pt>
                <c:pt idx="3">
                  <c:v>5052</c:v>
                </c:pt>
                <c:pt idx="4">
                  <c:v>3427</c:v>
                </c:pt>
                <c:pt idx="5">
                  <c:v>1830</c:v>
                </c:pt>
              </c:numCache>
            </c:numRef>
          </c:yVal>
          <c:smooth val="0"/>
          <c:extLst>
            <c:ext xmlns:c16="http://schemas.microsoft.com/office/drawing/2014/chart" uri="{C3380CC4-5D6E-409C-BE32-E72D297353CC}">
              <c16:uniqueId val="{0000000A-B927-4D1C-B033-AFEABB2138C4}"/>
            </c:ext>
          </c:extLst>
        </c:ser>
        <c:ser>
          <c:idx val="11"/>
          <c:order val="11"/>
          <c:tx>
            <c:strRef>
              <c:f>Feuil11!$B$14</c:f>
              <c:strCache>
                <c:ptCount val="1"/>
                <c:pt idx="0">
                  <c:v>PFCs (projections)</c:v>
                </c:pt>
              </c:strCache>
            </c:strRef>
          </c:tx>
          <c:spPr>
            <a:ln w="19050" cap="rnd">
              <a:solidFill>
                <a:schemeClr val="accent6">
                  <a:lumMod val="60000"/>
                </a:schemeClr>
              </a:solidFill>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Feuil11!$I$14:$N$14</c:f>
              <c:numCache>
                <c:formatCode>General</c:formatCode>
                <c:ptCount val="6"/>
                <c:pt idx="0">
                  <c:v>615</c:v>
                </c:pt>
                <c:pt idx="1">
                  <c:v>462</c:v>
                </c:pt>
                <c:pt idx="2">
                  <c:v>290</c:v>
                </c:pt>
                <c:pt idx="3">
                  <c:v>217</c:v>
                </c:pt>
                <c:pt idx="4">
                  <c:v>156</c:v>
                </c:pt>
                <c:pt idx="5">
                  <c:v>130</c:v>
                </c:pt>
              </c:numCache>
            </c:numRef>
          </c:yVal>
          <c:smooth val="0"/>
          <c:extLst>
            <c:ext xmlns:c16="http://schemas.microsoft.com/office/drawing/2014/chart" uri="{C3380CC4-5D6E-409C-BE32-E72D297353CC}">
              <c16:uniqueId val="{0000000B-B927-4D1C-B033-AFEABB2138C4}"/>
            </c:ext>
          </c:extLst>
        </c:ser>
        <c:ser>
          <c:idx val="12"/>
          <c:order val="12"/>
          <c:tx>
            <c:strRef>
              <c:f>Feuil11!$B$16</c:f>
              <c:strCache>
                <c:ptCount val="1"/>
                <c:pt idx="0">
                  <c:v>SF6 (projections)</c:v>
                </c:pt>
              </c:strCache>
            </c:strRef>
          </c:tx>
          <c:spPr>
            <a:ln w="19050" cap="rnd">
              <a:solidFill>
                <a:schemeClr val="accent1">
                  <a:lumMod val="80000"/>
                  <a:lumOff val="20000"/>
                </a:schemeClr>
              </a:solidFill>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Feuil11!$I$16:$N$16</c:f>
              <c:numCache>
                <c:formatCode>General</c:formatCode>
                <c:ptCount val="6"/>
                <c:pt idx="0">
                  <c:v>385</c:v>
                </c:pt>
                <c:pt idx="1">
                  <c:v>387</c:v>
                </c:pt>
                <c:pt idx="2">
                  <c:v>358</c:v>
                </c:pt>
                <c:pt idx="3">
                  <c:v>359</c:v>
                </c:pt>
                <c:pt idx="4">
                  <c:v>360</c:v>
                </c:pt>
                <c:pt idx="5">
                  <c:v>363</c:v>
                </c:pt>
              </c:numCache>
            </c:numRef>
          </c:yVal>
          <c:smooth val="0"/>
          <c:extLst>
            <c:ext xmlns:c16="http://schemas.microsoft.com/office/drawing/2014/chart" uri="{C3380CC4-5D6E-409C-BE32-E72D297353CC}">
              <c16:uniqueId val="{0000000C-B927-4D1C-B033-AFEABB2138C4}"/>
            </c:ext>
          </c:extLst>
        </c:ser>
        <c:ser>
          <c:idx val="13"/>
          <c:order val="13"/>
          <c:tx>
            <c:strRef>
              <c:f>Feuil11!$B$18</c:f>
              <c:strCache>
                <c:ptCount val="1"/>
                <c:pt idx="0">
                  <c:v>NF3 (projections)</c:v>
                </c:pt>
              </c:strCache>
            </c:strRef>
          </c:tx>
          <c:spPr>
            <a:ln w="19050" cap="rnd">
              <a:solidFill>
                <a:schemeClr val="accent2">
                  <a:lumMod val="80000"/>
                  <a:lumOff val="20000"/>
                </a:schemeClr>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Feuil11!$I$18:$N$18</c:f>
              <c:numCache>
                <c:formatCode>General</c:formatCode>
                <c:ptCount val="6"/>
                <c:pt idx="0">
                  <c:v>10</c:v>
                </c:pt>
                <c:pt idx="1">
                  <c:v>9</c:v>
                </c:pt>
                <c:pt idx="2">
                  <c:v>10</c:v>
                </c:pt>
                <c:pt idx="3">
                  <c:v>10</c:v>
                </c:pt>
                <c:pt idx="4">
                  <c:v>10</c:v>
                </c:pt>
                <c:pt idx="5">
                  <c:v>10</c:v>
                </c:pt>
              </c:numCache>
            </c:numRef>
          </c:yVal>
          <c:smooth val="0"/>
          <c:extLst>
            <c:ext xmlns:c16="http://schemas.microsoft.com/office/drawing/2014/chart" uri="{C3380CC4-5D6E-409C-BE32-E72D297353CC}">
              <c16:uniqueId val="{0000000D-B927-4D1C-B033-AFEABB2138C4}"/>
            </c:ext>
          </c:extLst>
        </c:ser>
        <c:dLbls>
          <c:showLegendKey val="0"/>
          <c:showVal val="0"/>
          <c:showCatName val="0"/>
          <c:showSerName val="0"/>
          <c:showPercent val="0"/>
          <c:showBubbleSize val="0"/>
        </c:dLbls>
        <c:axId val="563831263"/>
        <c:axId val="563830015"/>
      </c:scatterChart>
      <c:valAx>
        <c:axId val="563831263"/>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layout>
        <c:manualLayout>
          <c:xMode val="edge"/>
          <c:yMode val="edge"/>
          <c:x val="0"/>
          <c:y val="0.76626166520851557"/>
          <c:w val="1"/>
          <c:h val="0.2059605570137065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'1. Population'!$R$48</c:f>
              <c:strCache>
                <c:ptCount val="1"/>
                <c:pt idx="0">
                  <c:v>AME/AMS 2018</c:v>
                </c:pt>
              </c:strCache>
            </c:strRef>
          </c:tx>
          <c:spPr>
            <a:ln w="19050" cap="rnd">
              <a:solidFill>
                <a:srgbClr val="92D050"/>
              </a:solidFill>
              <a:round/>
            </a:ln>
            <a:effectLst/>
          </c:spPr>
          <c:marker>
            <c:symbol val="circle"/>
            <c:size val="5"/>
            <c:spPr>
              <a:solidFill>
                <a:srgbClr val="92D050"/>
              </a:solidFill>
              <a:ln w="9525">
                <a:solidFill>
                  <a:srgbClr val="92D050"/>
                </a:solidFill>
              </a:ln>
              <a:effectLst/>
            </c:spPr>
          </c:marker>
          <c:xVal>
            <c:numRef>
              <c:f>'1. Population'!$B$15:$AH$15</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'1. Population'!$B$16:$AH$16</c:f>
              <c:numCache>
                <c:formatCode>General</c:formatCode>
                <c:ptCount val="33"/>
                <c:pt idx="2">
                  <c:v>67.819999999999993</c:v>
                </c:pt>
                <c:pt idx="7">
                  <c:v>69.093000000000004</c:v>
                </c:pt>
                <c:pt idx="12">
                  <c:v>70.281000000000006</c:v>
                </c:pt>
                <c:pt idx="17">
                  <c:v>71.417000000000002</c:v>
                </c:pt>
                <c:pt idx="22">
                  <c:v>72.448999999999998</c:v>
                </c:pt>
                <c:pt idx="27">
                  <c:v>73.311999999999998</c:v>
                </c:pt>
                <c:pt idx="32">
                  <c:v>74.025000000000006</c:v>
                </c:pt>
              </c:numCache>
            </c:numRef>
          </c:yVal>
          <c:smooth val="1"/>
          <c:extLst>
            <c:ext xmlns:c16="http://schemas.microsoft.com/office/drawing/2014/chart" uri="{C3380CC4-5D6E-409C-BE32-E72D297353CC}">
              <c16:uniqueId val="{00000000-ADBD-455C-BE8C-3957F6F86659}"/>
            </c:ext>
          </c:extLst>
        </c:ser>
        <c:ser>
          <c:idx val="2"/>
          <c:order val="1"/>
          <c:tx>
            <c:strRef>
              <c:f>'1. Population'!$A$18</c:f>
              <c:strCache>
                <c:ptCount val="1"/>
                <c:pt idx="0">
                  <c:v>insee fécondité basse</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'1. Population'!$B$15:$AH$15</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'1. Population'!$B$18:$AH$18</c:f>
              <c:numCache>
                <c:formatCode>#\ ##0.000</c:formatCode>
                <c:ptCount val="33"/>
                <c:pt idx="0">
                  <c:v>67.240666000000004</c:v>
                </c:pt>
                <c:pt idx="1">
                  <c:v>67.483286000000007</c:v>
                </c:pt>
                <c:pt idx="2">
                  <c:v>67.707069000000004</c:v>
                </c:pt>
                <c:pt idx="3">
                  <c:v>67.911946</c:v>
                </c:pt>
                <c:pt idx="4">
                  <c:v>68.111450000000005</c:v>
                </c:pt>
                <c:pt idx="5">
                  <c:v>68.305942000000002</c:v>
                </c:pt>
                <c:pt idx="6">
                  <c:v>68.495774999999995</c:v>
                </c:pt>
                <c:pt idx="7">
                  <c:v>68.681546999999995</c:v>
                </c:pt>
                <c:pt idx="8">
                  <c:v>68.863999000000007</c:v>
                </c:pt>
                <c:pt idx="9">
                  <c:v>69.043799000000007</c:v>
                </c:pt>
                <c:pt idx="10">
                  <c:v>69.221366000000003</c:v>
                </c:pt>
                <c:pt idx="11">
                  <c:v>69.396844000000002</c:v>
                </c:pt>
                <c:pt idx="12">
                  <c:v>69.570370999999994</c:v>
                </c:pt>
                <c:pt idx="13">
                  <c:v>69.742040000000003</c:v>
                </c:pt>
                <c:pt idx="14">
                  <c:v>69.911619999999999</c:v>
                </c:pt>
                <c:pt idx="15">
                  <c:v>70.078540000000004</c:v>
                </c:pt>
                <c:pt idx="16">
                  <c:v>70.242058</c:v>
                </c:pt>
                <c:pt idx="17">
                  <c:v>70.401514000000006</c:v>
                </c:pt>
                <c:pt idx="18">
                  <c:v>70.556419000000005</c:v>
                </c:pt>
                <c:pt idx="19">
                  <c:v>70.706194999999994</c:v>
                </c:pt>
                <c:pt idx="20">
                  <c:v>70.850144</c:v>
                </c:pt>
                <c:pt idx="21">
                  <c:v>70.987558000000007</c:v>
                </c:pt>
                <c:pt idx="22">
                  <c:v>71.117945000000006</c:v>
                </c:pt>
                <c:pt idx="23">
                  <c:v>71.240915999999999</c:v>
                </c:pt>
                <c:pt idx="24">
                  <c:v>71.355704000000003</c:v>
                </c:pt>
                <c:pt idx="25">
                  <c:v>71.461843000000002</c:v>
                </c:pt>
                <c:pt idx="26">
                  <c:v>71.559078</c:v>
                </c:pt>
                <c:pt idx="27">
                  <c:v>71.647525000000002</c:v>
                </c:pt>
                <c:pt idx="28">
                  <c:v>71.727486999999996</c:v>
                </c:pt>
                <c:pt idx="29">
                  <c:v>71.799098000000001</c:v>
                </c:pt>
                <c:pt idx="30">
                  <c:v>71.862482999999997</c:v>
                </c:pt>
                <c:pt idx="31">
                  <c:v>71.917776000000003</c:v>
                </c:pt>
                <c:pt idx="32">
                  <c:v>71.965277999999998</c:v>
                </c:pt>
              </c:numCache>
            </c:numRef>
          </c:yVal>
          <c:smooth val="1"/>
          <c:extLst>
            <c:ext xmlns:c16="http://schemas.microsoft.com/office/drawing/2014/chart" uri="{C3380CC4-5D6E-409C-BE32-E72D297353CC}">
              <c16:uniqueId val="{00000001-ADBD-455C-BE8C-3957F6F86659}"/>
            </c:ext>
          </c:extLst>
        </c:ser>
        <c:ser>
          <c:idx val="1"/>
          <c:order val="2"/>
          <c:tx>
            <c:strRef>
              <c:f>'1. Population'!$R$49</c:f>
              <c:strCache>
                <c:ptCount val="1"/>
                <c:pt idx="0">
                  <c:v>AME 2021</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'1. Population'!$B$15:$AH$15</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'1. Population'!$B$35:$AH$35</c:f>
              <c:numCache>
                <c:formatCode>0.0</c:formatCode>
                <c:ptCount val="33"/>
                <c:pt idx="0" formatCode="#\ ##0.000">
                  <c:v>66.98</c:v>
                </c:pt>
                <c:pt idx="1">
                  <c:v>67.012883000000002</c:v>
                </c:pt>
                <c:pt idx="2" formatCode="0.00">
                  <c:v>67.204763</c:v>
                </c:pt>
                <c:pt idx="3" formatCode="0.00">
                  <c:v>67.388433000000006</c:v>
                </c:pt>
                <c:pt idx="4" formatCode="0.00">
                  <c:v>67.575000000000003</c:v>
                </c:pt>
                <c:pt idx="5" formatCode="0.00">
                  <c:v>67.765465000000006</c:v>
                </c:pt>
                <c:pt idx="6" formatCode="0.00">
                  <c:v>67.955439999999996</c:v>
                </c:pt>
                <c:pt idx="7" formatCode="0.00">
                  <c:v>68.145742999999996</c:v>
                </c:pt>
                <c:pt idx="8" formatCode="0.00">
                  <c:v>68.335445000000007</c:v>
                </c:pt>
                <c:pt idx="9" formatCode="0.00">
                  <c:v>68.526661000000004</c:v>
                </c:pt>
                <c:pt idx="10" formatCode="0.00">
                  <c:v>68.718934000000004</c:v>
                </c:pt>
                <c:pt idx="11" formatCode="0.00">
                  <c:v>68.916612999999998</c:v>
                </c:pt>
                <c:pt idx="12" formatCode="0.00">
                  <c:v>69.116879999999995</c:v>
                </c:pt>
                <c:pt idx="13" formatCode="0.00">
                  <c:v>69.319056000000003</c:v>
                </c:pt>
                <c:pt idx="14" formatCode="0.00">
                  <c:v>69.521761999999995</c:v>
                </c:pt>
                <c:pt idx="15" formatCode="0.00">
                  <c:v>69.722271000000006</c:v>
                </c:pt>
                <c:pt idx="16" formatCode="0.00">
                  <c:v>69.91583</c:v>
                </c:pt>
                <c:pt idx="17" formatCode="0.00">
                  <c:v>70.104962</c:v>
                </c:pt>
                <c:pt idx="18" formatCode="0.00">
                  <c:v>70.288808000000003</c:v>
                </c:pt>
                <c:pt idx="19" formatCode="0.00">
                  <c:v>70.465976999999995</c:v>
                </c:pt>
                <c:pt idx="20" formatCode="0.00">
                  <c:v>70.633769999999998</c:v>
                </c:pt>
                <c:pt idx="21" formatCode="0.00">
                  <c:v>70.788492000000005</c:v>
                </c:pt>
                <c:pt idx="22" formatCode="0.00">
                  <c:v>70.926210999999995</c:v>
                </c:pt>
                <c:pt idx="23" formatCode="General">
                  <c:v>71.046882993855363</c:v>
                </c:pt>
                <c:pt idx="24" formatCode="General">
                  <c:v>71.166557698505329</c:v>
                </c:pt>
                <c:pt idx="25" formatCode="General">
                  <c:v>71.269278486663197</c:v>
                </c:pt>
                <c:pt idx="26" formatCode="General">
                  <c:v>71.366015539588574</c:v>
                </c:pt>
                <c:pt idx="27" formatCode="General">
                  <c:v>71.459760724897706</c:v>
                </c:pt>
                <c:pt idx="28" formatCode="General">
                  <c:v>71.533560126098507</c:v>
                </c:pt>
                <c:pt idx="29" formatCode="General">
                  <c:v>71.606362238093894</c:v>
                </c:pt>
                <c:pt idx="30" formatCode="General">
                  <c:v>71.671186036445945</c:v>
                </c:pt>
                <c:pt idx="31" formatCode="General">
                  <c:v>71.726036942743846</c:v>
                </c:pt>
                <c:pt idx="32" formatCode="General">
                  <c:v>71.776898692220072</c:v>
                </c:pt>
              </c:numCache>
            </c:numRef>
          </c:yVal>
          <c:smooth val="1"/>
          <c:extLst>
            <c:ext xmlns:c16="http://schemas.microsoft.com/office/drawing/2014/chart" uri="{C3380CC4-5D6E-409C-BE32-E72D297353CC}">
              <c16:uniqueId val="{00000002-ADBD-455C-BE8C-3957F6F86659}"/>
            </c:ext>
          </c:extLst>
        </c:ser>
        <c:ser>
          <c:idx val="3"/>
          <c:order val="3"/>
          <c:tx>
            <c:strRef>
              <c:f>'1. Population'!$A$19</c:f>
              <c:strCache>
                <c:ptCount val="1"/>
                <c:pt idx="0">
                  <c:v>Observé</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'1. Population'!$B$15:$AH$15</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'1. Population'!$B$19:$AH$19</c:f>
              <c:numCache>
                <c:formatCode>#\ ##0.000</c:formatCode>
                <c:ptCount val="33"/>
                <c:pt idx="0">
                  <c:v>66.98</c:v>
                </c:pt>
                <c:pt idx="1">
                  <c:v>67.06</c:v>
                </c:pt>
              </c:numCache>
            </c:numRef>
          </c:yVal>
          <c:smooth val="1"/>
          <c:extLst>
            <c:ext xmlns:c16="http://schemas.microsoft.com/office/drawing/2014/chart" uri="{C3380CC4-5D6E-409C-BE32-E72D297353CC}">
              <c16:uniqueId val="{00000003-ADBD-455C-BE8C-3957F6F86659}"/>
            </c:ext>
          </c:extLst>
        </c:ser>
        <c:dLbls>
          <c:showLegendKey val="0"/>
          <c:showVal val="0"/>
          <c:showCatName val="0"/>
          <c:showSerName val="0"/>
          <c:showPercent val="0"/>
          <c:showBubbleSize val="0"/>
        </c:dLbls>
        <c:axId val="303495456"/>
        <c:axId val="303494624"/>
      </c:scatterChart>
      <c:valAx>
        <c:axId val="303495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3494624"/>
        <c:crosses val="autoZero"/>
        <c:crossBetween val="midCat"/>
      </c:valAx>
      <c:valAx>
        <c:axId val="303494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million inhabitants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3495456"/>
        <c:crosses val="autoZero"/>
        <c:crossBetween val="midCat"/>
      </c:valAx>
      <c:spPr>
        <a:noFill/>
        <a:ln>
          <a:noFill/>
        </a:ln>
        <a:effectLst/>
      </c:spPr>
    </c:plotArea>
    <c:legend>
      <c:legendPos val="b"/>
      <c:layout>
        <c:manualLayout>
          <c:xMode val="edge"/>
          <c:yMode val="edge"/>
          <c:x val="8.3921612063694695E-2"/>
          <c:y val="0.92022457323666795"/>
          <c:w val="0.84892320589419079"/>
          <c:h val="6.87504751749365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'VA industrielle'!$B$20</c:f>
              <c:strCache>
                <c:ptCount val="1"/>
                <c:pt idx="0">
                  <c:v>AMS 18</c:v>
                </c:pt>
              </c:strCache>
            </c:strRef>
          </c:tx>
          <c:spPr>
            <a:ln w="19050" cap="rnd">
              <a:solidFill>
                <a:srgbClr val="92D050"/>
              </a:solidFill>
              <a:round/>
            </a:ln>
            <a:effectLst/>
          </c:spPr>
          <c:marker>
            <c:symbol val="none"/>
          </c:marker>
          <c:xVal>
            <c:numRef>
              <c:f>'VA industrielle'!$C$19:$AI$19</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'VA industrielle'!$C$20:$AI$20</c:f>
              <c:numCache>
                <c:formatCode>General</c:formatCode>
                <c:ptCount val="33"/>
                <c:pt idx="0">
                  <c:v>100</c:v>
                </c:pt>
                <c:pt idx="1">
                  <c:v>101.4</c:v>
                </c:pt>
                <c:pt idx="2">
                  <c:v>102.81960000000001</c:v>
                </c:pt>
                <c:pt idx="3">
                  <c:v>103.847796</c:v>
                </c:pt>
                <c:pt idx="4">
                  <c:v>104.88627396</c:v>
                </c:pt>
                <c:pt idx="5">
                  <c:v>105.93513669959999</c:v>
                </c:pt>
                <c:pt idx="6">
                  <c:v>106.99448806659599</c:v>
                </c:pt>
                <c:pt idx="7">
                  <c:v>108.06443294726195</c:v>
                </c:pt>
                <c:pt idx="8">
                  <c:v>109.25314170968181</c:v>
                </c:pt>
                <c:pt idx="9">
                  <c:v>110.45492626848831</c:v>
                </c:pt>
                <c:pt idx="10">
                  <c:v>111.66993045744167</c:v>
                </c:pt>
                <c:pt idx="11">
                  <c:v>112.89829969247351</c:v>
                </c:pt>
                <c:pt idx="12">
                  <c:v>114.14018098909071</c:v>
                </c:pt>
                <c:pt idx="13">
                  <c:v>115.62400334194888</c:v>
                </c:pt>
                <c:pt idx="14">
                  <c:v>117.12711538539421</c:v>
                </c:pt>
                <c:pt idx="15">
                  <c:v>118.64976788540432</c:v>
                </c:pt>
                <c:pt idx="16">
                  <c:v>120.19221486791456</c:v>
                </c:pt>
                <c:pt idx="17">
                  <c:v>121.75471366119743</c:v>
                </c:pt>
                <c:pt idx="18">
                  <c:v>123.33752493879298</c:v>
                </c:pt>
                <c:pt idx="19">
                  <c:v>124.94091276299727</c:v>
                </c:pt>
                <c:pt idx="20">
                  <c:v>126.56514462891623</c:v>
                </c:pt>
                <c:pt idx="21">
                  <c:v>128.21049150909212</c:v>
                </c:pt>
                <c:pt idx="22">
                  <c:v>129.87722789871032</c:v>
                </c:pt>
                <c:pt idx="23">
                  <c:v>131.56563186139354</c:v>
                </c:pt>
                <c:pt idx="24">
                  <c:v>133.27598507559165</c:v>
                </c:pt>
                <c:pt idx="25">
                  <c:v>135.00857288157434</c:v>
                </c:pt>
                <c:pt idx="26">
                  <c:v>136.76368432903479</c:v>
                </c:pt>
                <c:pt idx="27">
                  <c:v>138.54161222531224</c:v>
                </c:pt>
                <c:pt idx="28">
                  <c:v>140.34265318424127</c:v>
                </c:pt>
                <c:pt idx="29">
                  <c:v>142.1671076756364</c:v>
                </c:pt>
                <c:pt idx="30">
                  <c:v>144.01528007541967</c:v>
                </c:pt>
                <c:pt idx="31">
                  <c:v>145.8874787164001</c:v>
                </c:pt>
                <c:pt idx="32">
                  <c:v>147.78401593971327</c:v>
                </c:pt>
              </c:numCache>
            </c:numRef>
          </c:yVal>
          <c:smooth val="1"/>
          <c:extLst>
            <c:ext xmlns:c16="http://schemas.microsoft.com/office/drawing/2014/chart" uri="{C3380CC4-5D6E-409C-BE32-E72D297353CC}">
              <c16:uniqueId val="{00000000-020F-489A-8CA7-45DFD1928C97}"/>
            </c:ext>
          </c:extLst>
        </c:ser>
        <c:ser>
          <c:idx val="1"/>
          <c:order val="1"/>
          <c:tx>
            <c:strRef>
              <c:f>'VA industrielle'!$B$22</c:f>
              <c:strCache>
                <c:ptCount val="1"/>
                <c:pt idx="0">
                  <c:v>AME 21</c:v>
                </c:pt>
              </c:strCache>
            </c:strRef>
          </c:tx>
          <c:spPr>
            <a:ln w="19050" cap="rnd">
              <a:solidFill>
                <a:schemeClr val="accent2"/>
              </a:solidFill>
              <a:round/>
            </a:ln>
            <a:effectLst/>
          </c:spPr>
          <c:marker>
            <c:symbol val="none"/>
          </c:marker>
          <c:xVal>
            <c:numRef>
              <c:f>'VA industrielle'!$C$19:$AI$19</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'VA industrielle'!$C$22:$AI$22</c:f>
              <c:numCache>
                <c:formatCode>General</c:formatCode>
                <c:ptCount val="33"/>
                <c:pt idx="0">
                  <c:v>100</c:v>
                </c:pt>
                <c:pt idx="1">
                  <c:v>101.31539403407143</c:v>
                </c:pt>
                <c:pt idx="2">
                  <c:v>92.958615750341849</c:v>
                </c:pt>
                <c:pt idx="3">
                  <c:v>99.838582535791048</c:v>
                </c:pt>
                <c:pt idx="4">
                  <c:v>101.6070362109557</c:v>
                </c:pt>
                <c:pt idx="5">
                  <c:v>103.27448067683179</c:v>
                </c:pt>
                <c:pt idx="6">
                  <c:v>104.91629154979603</c:v>
                </c:pt>
                <c:pt idx="7">
                  <c:v>105.83343399148264</c:v>
                </c:pt>
                <c:pt idx="8">
                  <c:v>106.89176833139746</c:v>
                </c:pt>
                <c:pt idx="9">
                  <c:v>107.96068601471143</c:v>
                </c:pt>
                <c:pt idx="10">
                  <c:v>109.04029287485854</c:v>
                </c:pt>
                <c:pt idx="11">
                  <c:v>110.13069580360713</c:v>
                </c:pt>
                <c:pt idx="12">
                  <c:v>111.2320027616432</c:v>
                </c:pt>
                <c:pt idx="13">
                  <c:v>112.67801879754455</c:v>
                </c:pt>
                <c:pt idx="14">
                  <c:v>114.14283304191262</c:v>
                </c:pt>
                <c:pt idx="15">
                  <c:v>115.62668987145747</c:v>
                </c:pt>
                <c:pt idx="16">
                  <c:v>117.12983683978641</c:v>
                </c:pt>
                <c:pt idx="17">
                  <c:v>118.65252471870362</c:v>
                </c:pt>
                <c:pt idx="18">
                  <c:v>120.19500754004675</c:v>
                </c:pt>
                <c:pt idx="19">
                  <c:v>121.75754263806733</c:v>
                </c:pt>
                <c:pt idx="20">
                  <c:v>123.34039069236219</c:v>
                </c:pt>
                <c:pt idx="21">
                  <c:v>124.94381577136289</c:v>
                </c:pt>
                <c:pt idx="22">
                  <c:v>126.5680853763906</c:v>
                </c:pt>
                <c:pt idx="23">
                  <c:v>128.21347048628365</c:v>
                </c:pt>
                <c:pt idx="24">
                  <c:v>129.88024560260533</c:v>
                </c:pt>
                <c:pt idx="25">
                  <c:v>131.56868879543919</c:v>
                </c:pt>
                <c:pt idx="26">
                  <c:v>133.27908174977989</c:v>
                </c:pt>
                <c:pt idx="27">
                  <c:v>135.01170981252702</c:v>
                </c:pt>
                <c:pt idx="28">
                  <c:v>136.76686204008985</c:v>
                </c:pt>
                <c:pt idx="29">
                  <c:v>138.54483124661101</c:v>
                </c:pt>
                <c:pt idx="30">
                  <c:v>140.34591405281694</c:v>
                </c:pt>
                <c:pt idx="31">
                  <c:v>142.17041093550355</c:v>
                </c:pt>
                <c:pt idx="32">
                  <c:v>144.01862627766508</c:v>
                </c:pt>
              </c:numCache>
            </c:numRef>
          </c:yVal>
          <c:smooth val="1"/>
          <c:extLst>
            <c:ext xmlns:c16="http://schemas.microsoft.com/office/drawing/2014/chart" uri="{C3380CC4-5D6E-409C-BE32-E72D297353CC}">
              <c16:uniqueId val="{00000001-020F-489A-8CA7-45DFD1928C97}"/>
            </c:ext>
          </c:extLst>
        </c:ser>
        <c:ser>
          <c:idx val="2"/>
          <c:order val="2"/>
          <c:tx>
            <c:strRef>
              <c:f>'VA industrielle'!$B$21</c:f>
              <c:strCache>
                <c:ptCount val="1"/>
                <c:pt idx="0">
                  <c:v>AME 18</c:v>
                </c:pt>
              </c:strCache>
            </c:strRef>
          </c:tx>
          <c:spPr>
            <a:ln w="19050" cap="rnd">
              <a:solidFill>
                <a:schemeClr val="accent3"/>
              </a:solidFill>
              <a:round/>
            </a:ln>
            <a:effectLst/>
          </c:spPr>
          <c:marker>
            <c:symbol val="none"/>
          </c:marker>
          <c:xVal>
            <c:numRef>
              <c:f>'VA industrielle'!$C$19:$AI$19</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'VA industrielle'!$C$21:$AI$21</c:f>
              <c:numCache>
                <c:formatCode>General</c:formatCode>
                <c:ptCount val="33"/>
                <c:pt idx="0">
                  <c:v>100</c:v>
                </c:pt>
                <c:pt idx="1">
                  <c:v>101.69999999999999</c:v>
                </c:pt>
                <c:pt idx="2">
                  <c:v>103.42889999999998</c:v>
                </c:pt>
                <c:pt idx="3">
                  <c:v>105.18719129999998</c:v>
                </c:pt>
                <c:pt idx="4">
                  <c:v>106.97537355209997</c:v>
                </c:pt>
                <c:pt idx="5">
                  <c:v>108.79395490248565</c:v>
                </c:pt>
                <c:pt idx="6">
                  <c:v>110.6434521358279</c:v>
                </c:pt>
                <c:pt idx="7">
                  <c:v>112.52439082213697</c:v>
                </c:pt>
                <c:pt idx="8">
                  <c:v>114.43730546611329</c:v>
                </c:pt>
                <c:pt idx="9">
                  <c:v>116.3827396590372</c:v>
                </c:pt>
                <c:pt idx="10">
                  <c:v>118.36124623324082</c:v>
                </c:pt>
                <c:pt idx="11">
                  <c:v>120.3733874192059</c:v>
                </c:pt>
                <c:pt idx="12">
                  <c:v>122.41973500533238</c:v>
                </c:pt>
                <c:pt idx="13">
                  <c:v>122.90941394535372</c:v>
                </c:pt>
                <c:pt idx="14">
                  <c:v>123.40105160113514</c:v>
                </c:pt>
                <c:pt idx="15">
                  <c:v>123.89465580753968</c:v>
                </c:pt>
                <c:pt idx="16">
                  <c:v>124.39023443076984</c:v>
                </c:pt>
                <c:pt idx="17">
                  <c:v>124.88779536849292</c:v>
                </c:pt>
                <c:pt idx="18">
                  <c:v>125.38734654996689</c:v>
                </c:pt>
                <c:pt idx="19">
                  <c:v>125.88889593616676</c:v>
                </c:pt>
                <c:pt idx="20">
                  <c:v>126.39245151991143</c:v>
                </c:pt>
                <c:pt idx="21">
                  <c:v>126.89802132599108</c:v>
                </c:pt>
                <c:pt idx="22">
                  <c:v>127.40561341129505</c:v>
                </c:pt>
                <c:pt idx="23">
                  <c:v>127.91523586494023</c:v>
                </c:pt>
                <c:pt idx="24">
                  <c:v>128.42689680839999</c:v>
                </c:pt>
                <c:pt idx="25">
                  <c:v>128.94060439563358</c:v>
                </c:pt>
                <c:pt idx="26">
                  <c:v>129.45636681321611</c:v>
                </c:pt>
                <c:pt idx="27">
                  <c:v>129.97419228046897</c:v>
                </c:pt>
                <c:pt idx="28">
                  <c:v>130.49408904959085</c:v>
                </c:pt>
                <c:pt idx="29">
                  <c:v>131.01606540578922</c:v>
                </c:pt>
                <c:pt idx="30">
                  <c:v>131.54012966741237</c:v>
                </c:pt>
                <c:pt idx="31">
                  <c:v>132.06629018608203</c:v>
                </c:pt>
                <c:pt idx="32">
                  <c:v>132.59455534682635</c:v>
                </c:pt>
              </c:numCache>
            </c:numRef>
          </c:yVal>
          <c:smooth val="1"/>
          <c:extLst>
            <c:ext xmlns:c16="http://schemas.microsoft.com/office/drawing/2014/chart" uri="{C3380CC4-5D6E-409C-BE32-E72D297353CC}">
              <c16:uniqueId val="{00000002-020F-489A-8CA7-45DFD1928C97}"/>
            </c:ext>
          </c:extLst>
        </c:ser>
        <c:ser>
          <c:idx val="3"/>
          <c:order val="3"/>
          <c:tx>
            <c:strRef>
              <c:f>'VA industrielle'!$B$23</c:f>
              <c:strCache>
                <c:ptCount val="1"/>
                <c:pt idx="0">
                  <c:v>Ecref</c:v>
                </c:pt>
              </c:strCache>
            </c:strRef>
          </c:tx>
          <c:spPr>
            <a:ln w="19050" cap="rnd">
              <a:solidFill>
                <a:schemeClr val="accent4"/>
              </a:solidFill>
              <a:round/>
            </a:ln>
            <a:effectLst/>
          </c:spPr>
          <c:marker>
            <c:symbol val="none"/>
          </c:marker>
          <c:xVal>
            <c:numRef>
              <c:f>'VA industrielle'!$C$19:$AI$19</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'VA industrielle'!$C$23:$AI$23</c:f>
              <c:numCache>
                <c:formatCode>General</c:formatCode>
                <c:ptCount val="33"/>
                <c:pt idx="0">
                  <c:v>100</c:v>
                </c:pt>
                <c:pt idx="1">
                  <c:v>100.63783042559504</c:v>
                </c:pt>
                <c:pt idx="2">
                  <c:v>92.625754616218259</c:v>
                </c:pt>
                <c:pt idx="3">
                  <c:v>99.481085992367824</c:v>
                </c:pt>
                <c:pt idx="4">
                  <c:v>101.24320728520073</c:v>
                </c:pt>
                <c:pt idx="5">
                  <c:v>102.90468105700484</c:v>
                </c:pt>
                <c:pt idx="6">
                  <c:v>104.54061302326656</c:v>
                </c:pt>
                <c:pt idx="7">
                  <c:v>105.08110065776448</c:v>
                </c:pt>
                <c:pt idx="8">
                  <c:v>105.62438267881321</c:v>
                </c:pt>
                <c:pt idx="9">
                  <c:v>106.17047353372975</c:v>
                </c:pt>
                <c:pt idx="10">
                  <c:v>106.71938774452549</c:v>
                </c:pt>
                <c:pt idx="11">
                  <c:v>107.2711399082924</c:v>
                </c:pt>
                <c:pt idx="12">
                  <c:v>108.05230346096782</c:v>
                </c:pt>
                <c:pt idx="13">
                  <c:v>108.83915555668055</c:v>
                </c:pt>
                <c:pt idx="14">
                  <c:v>109.63173762020236</c:v>
                </c:pt>
                <c:pt idx="15">
                  <c:v>110.43009137796604</c:v>
                </c:pt>
                <c:pt idx="16">
                  <c:v>111.23425886026213</c:v>
                </c:pt>
                <c:pt idx="17">
                  <c:v>112.37338782445211</c:v>
                </c:pt>
                <c:pt idx="18">
                  <c:v>113.5241823924799</c:v>
                </c:pt>
                <c:pt idx="19">
                  <c:v>114.68676202958358</c:v>
                </c:pt>
                <c:pt idx="20">
                  <c:v>115.86124742442206</c:v>
                </c:pt>
                <c:pt idx="21">
                  <c:v>117.04776050160399</c:v>
                </c:pt>
                <c:pt idx="22">
                  <c:v>118.55991178126332</c:v>
                </c:pt>
                <c:pt idx="23">
                  <c:v>120.09159868879607</c:v>
                </c:pt>
                <c:pt idx="24">
                  <c:v>121.64307360685834</c:v>
                </c:pt>
                <c:pt idx="25">
                  <c:v>123.21459217866206</c:v>
                </c:pt>
                <c:pt idx="26">
                  <c:v>124.80641335009842</c:v>
                </c:pt>
                <c:pt idx="27">
                  <c:v>126.62502696554596</c:v>
                </c:pt>
                <c:pt idx="28">
                  <c:v>128.47014046504202</c:v>
                </c:pt>
                <c:pt idx="29">
                  <c:v>130.34213999100226</c:v>
                </c:pt>
                <c:pt idx="30">
                  <c:v>132.24141731250714</c:v>
                </c:pt>
                <c:pt idx="31">
                  <c:v>134.16836990729072</c:v>
                </c:pt>
                <c:pt idx="32">
                  <c:v>136.11526444239439</c:v>
                </c:pt>
              </c:numCache>
            </c:numRef>
          </c:yVal>
          <c:smooth val="1"/>
          <c:extLst>
            <c:ext xmlns:c16="http://schemas.microsoft.com/office/drawing/2014/chart" uri="{C3380CC4-5D6E-409C-BE32-E72D297353CC}">
              <c16:uniqueId val="{00000003-020F-489A-8CA7-45DFD1928C97}"/>
            </c:ext>
          </c:extLst>
        </c:ser>
        <c:dLbls>
          <c:showLegendKey val="0"/>
          <c:showVal val="0"/>
          <c:showCatName val="0"/>
          <c:showSerName val="0"/>
          <c:showPercent val="0"/>
          <c:showBubbleSize val="0"/>
        </c:dLbls>
        <c:axId val="348033520"/>
        <c:axId val="348033936"/>
      </c:scatterChart>
      <c:valAx>
        <c:axId val="348033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033936"/>
        <c:crosses val="autoZero"/>
        <c:crossBetween val="midCat"/>
      </c:valAx>
      <c:valAx>
        <c:axId val="348033936"/>
        <c:scaling>
          <c:orientation val="minMax"/>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0335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[parc_vp_france_2022.xlsx]Feuil1!$A$6</c:f>
              <c:strCache>
                <c:ptCount val="1"/>
                <c:pt idx="0">
                  <c:v>Diesel</c:v>
                </c:pt>
              </c:strCache>
            </c:strRef>
          </c:tx>
          <c:spPr>
            <a:solidFill>
              <a:srgbClr val="0070C0"/>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[parc_vp_france_2022.xlsx]Feuil1!$B$6:$M$6</c:f>
              <c:numCache>
                <c:formatCode>#,##0</c:formatCode>
                <c:ptCount val="12"/>
                <c:pt idx="0">
                  <c:v>21038823</c:v>
                </c:pt>
                <c:pt idx="1">
                  <c:v>21872011</c:v>
                </c:pt>
                <c:pt idx="2">
                  <c:v>22478830</c:v>
                </c:pt>
                <c:pt idx="3">
                  <c:v>22988264</c:v>
                </c:pt>
                <c:pt idx="4">
                  <c:v>23462745</c:v>
                </c:pt>
                <c:pt idx="5">
                  <c:v>23770171</c:v>
                </c:pt>
                <c:pt idx="6">
                  <c:v>23896221</c:v>
                </c:pt>
                <c:pt idx="7">
                  <c:v>23807940</c:v>
                </c:pt>
                <c:pt idx="8">
                  <c:v>23256595</c:v>
                </c:pt>
                <c:pt idx="9">
                  <c:v>22678554</c:v>
                </c:pt>
                <c:pt idx="10">
                  <c:v>22115986</c:v>
                </c:pt>
                <c:pt idx="11">
                  <c:v>21499745.243000001</c:v>
                </c:pt>
              </c:numCache>
            </c:numRef>
          </c:val>
          <c:extLst>
            <c:ext xmlns:c16="http://schemas.microsoft.com/office/drawing/2014/chart" uri="{C3380CC4-5D6E-409C-BE32-E72D297353CC}">
              <c16:uniqueId val="{00000000-9A09-4208-867E-6CBDED8753A7}"/>
            </c:ext>
          </c:extLst>
        </c:ser>
        <c:ser>
          <c:idx val="1"/>
          <c:order val="1"/>
          <c:tx>
            <c:strRef>
              <c:f>[parc_vp_france_2022.xlsx]Feuil1!$A$7</c:f>
              <c:strCache>
                <c:ptCount val="1"/>
                <c:pt idx="0">
                  <c:v>Electrique</c:v>
                </c:pt>
              </c:strCache>
            </c:strRef>
          </c:tx>
          <c:spPr>
            <a:solidFill>
              <a:srgbClr val="FFFF00"/>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[parc_vp_france_2022.xlsx]Feuil1!$B$7:$M$7</c:f>
              <c:numCache>
                <c:formatCode>#,##0</c:formatCode>
                <c:ptCount val="12"/>
                <c:pt idx="0">
                  <c:v>1724</c:v>
                </c:pt>
                <c:pt idx="1">
                  <c:v>4251</c:v>
                </c:pt>
                <c:pt idx="2">
                  <c:v>9473</c:v>
                </c:pt>
                <c:pt idx="3">
                  <c:v>17154</c:v>
                </c:pt>
                <c:pt idx="4">
                  <c:v>25950</c:v>
                </c:pt>
                <c:pt idx="5">
                  <c:v>41901</c:v>
                </c:pt>
                <c:pt idx="6">
                  <c:v>61338</c:v>
                </c:pt>
                <c:pt idx="7">
                  <c:v>82488</c:v>
                </c:pt>
                <c:pt idx="8">
                  <c:v>106495</c:v>
                </c:pt>
                <c:pt idx="9">
                  <c:v>141357</c:v>
                </c:pt>
                <c:pt idx="10">
                  <c:v>244975</c:v>
                </c:pt>
                <c:pt idx="11">
                  <c:v>402669.49400000001</c:v>
                </c:pt>
              </c:numCache>
            </c:numRef>
          </c:val>
          <c:extLst>
            <c:ext xmlns:c16="http://schemas.microsoft.com/office/drawing/2014/chart" uri="{C3380CC4-5D6E-409C-BE32-E72D297353CC}">
              <c16:uniqueId val="{00000001-9A09-4208-867E-6CBDED8753A7}"/>
            </c:ext>
          </c:extLst>
        </c:ser>
        <c:ser>
          <c:idx val="2"/>
          <c:order val="2"/>
          <c:tx>
            <c:strRef>
              <c:f>[parc_vp_france_2022.xlsx]Feuil1!$A$8</c:f>
              <c:strCache>
                <c:ptCount val="1"/>
                <c:pt idx="0">
                  <c:v>Essence</c:v>
                </c:pt>
              </c:strCache>
            </c:strRef>
          </c:tx>
          <c:spPr>
            <a:solidFill>
              <a:srgbClr val="00B050"/>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[parc_vp_france_2022.xlsx]Feuil1!$B$8:$M$8</c:f>
              <c:numCache>
                <c:formatCode>#,##0</c:formatCode>
                <c:ptCount val="12"/>
                <c:pt idx="0">
                  <c:v>13714846</c:v>
                </c:pt>
                <c:pt idx="1">
                  <c:v>13454950</c:v>
                </c:pt>
                <c:pt idx="2">
                  <c:v>13104700</c:v>
                </c:pt>
                <c:pt idx="3">
                  <c:v>12954726</c:v>
                </c:pt>
                <c:pt idx="4">
                  <c:v>12977184</c:v>
                </c:pt>
                <c:pt idx="5">
                  <c:v>13191444</c:v>
                </c:pt>
                <c:pt idx="6">
                  <c:v>13546624</c:v>
                </c:pt>
                <c:pt idx="7">
                  <c:v>14083332</c:v>
                </c:pt>
                <c:pt idx="8">
                  <c:v>14727390</c:v>
                </c:pt>
                <c:pt idx="9">
                  <c:v>15466896</c:v>
                </c:pt>
                <c:pt idx="10">
                  <c:v>15962631</c:v>
                </c:pt>
                <c:pt idx="11">
                  <c:v>16638448.879999999</c:v>
                </c:pt>
              </c:numCache>
            </c:numRef>
          </c:val>
          <c:extLst>
            <c:ext xmlns:c16="http://schemas.microsoft.com/office/drawing/2014/chart" uri="{C3380CC4-5D6E-409C-BE32-E72D297353CC}">
              <c16:uniqueId val="{00000002-9A09-4208-867E-6CBDED8753A7}"/>
            </c:ext>
          </c:extLst>
        </c:ser>
        <c:ser>
          <c:idx val="3"/>
          <c:order val="3"/>
          <c:tx>
            <c:strRef>
              <c:f>[parc_vp_france_2022.xlsx]Feuil1!$A$9</c:f>
              <c:strCache>
                <c:ptCount val="1"/>
                <c:pt idx="0">
                  <c:v>Gaz</c:v>
                </c:pt>
              </c:strCache>
            </c:strRef>
          </c:tx>
          <c:spPr>
            <a:solidFill>
              <a:schemeClr val="accent4"/>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[parc_vp_france_2022.xlsx]Feuil1!$B$9:$M$9</c:f>
              <c:numCache>
                <c:formatCode>#,##0</c:formatCode>
                <c:ptCount val="12"/>
                <c:pt idx="0">
                  <c:v>208660</c:v>
                </c:pt>
                <c:pt idx="1">
                  <c:v>204679</c:v>
                </c:pt>
                <c:pt idx="2">
                  <c:v>190628</c:v>
                </c:pt>
                <c:pt idx="3">
                  <c:v>185101</c:v>
                </c:pt>
                <c:pt idx="4">
                  <c:v>178090</c:v>
                </c:pt>
                <c:pt idx="5">
                  <c:v>172736</c:v>
                </c:pt>
                <c:pt idx="6">
                  <c:v>165551</c:v>
                </c:pt>
                <c:pt idx="7">
                  <c:v>159414</c:v>
                </c:pt>
                <c:pt idx="8">
                  <c:v>152438</c:v>
                </c:pt>
                <c:pt idx="9">
                  <c:v>145791</c:v>
                </c:pt>
                <c:pt idx="10">
                  <c:v>153887</c:v>
                </c:pt>
                <c:pt idx="11">
                  <c:v>194718.397</c:v>
                </c:pt>
              </c:numCache>
            </c:numRef>
          </c:val>
          <c:extLst>
            <c:ext xmlns:c16="http://schemas.microsoft.com/office/drawing/2014/chart" uri="{C3380CC4-5D6E-409C-BE32-E72D297353CC}">
              <c16:uniqueId val="{00000003-9A09-4208-867E-6CBDED8753A7}"/>
            </c:ext>
          </c:extLst>
        </c:ser>
        <c:ser>
          <c:idx val="4"/>
          <c:order val="4"/>
          <c:tx>
            <c:strRef>
              <c:f>[parc_vp_france_2022.xlsx]Feuil1!$A$10</c:f>
              <c:strCache>
                <c:ptCount val="1"/>
                <c:pt idx="0">
                  <c:v>Hydrogène et autre ZE</c:v>
                </c:pt>
              </c:strCache>
            </c:strRef>
          </c:tx>
          <c:spPr>
            <a:solidFill>
              <a:srgbClr val="49311F"/>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[parc_vp_france_2022.xlsx]Feuil1!$B$10:$M$10</c:f>
              <c:numCache>
                <c:formatCode>#,##0</c:formatCode>
                <c:ptCount val="12"/>
                <c:pt idx="0">
                  <c:v>5</c:v>
                </c:pt>
                <c:pt idx="1">
                  <c:v>13</c:v>
                </c:pt>
                <c:pt idx="2">
                  <c:v>12</c:v>
                </c:pt>
                <c:pt idx="3">
                  <c:v>12</c:v>
                </c:pt>
                <c:pt idx="4">
                  <c:v>15</c:v>
                </c:pt>
                <c:pt idx="5">
                  <c:v>26</c:v>
                </c:pt>
                <c:pt idx="6">
                  <c:v>38</c:v>
                </c:pt>
                <c:pt idx="7">
                  <c:v>92</c:v>
                </c:pt>
                <c:pt idx="8">
                  <c:v>123</c:v>
                </c:pt>
                <c:pt idx="9">
                  <c:v>184</c:v>
                </c:pt>
                <c:pt idx="10">
                  <c:v>339</c:v>
                </c:pt>
                <c:pt idx="11">
                  <c:v>385.67599999999999</c:v>
                </c:pt>
              </c:numCache>
            </c:numRef>
          </c:val>
          <c:extLst>
            <c:ext xmlns:c16="http://schemas.microsoft.com/office/drawing/2014/chart" uri="{C3380CC4-5D6E-409C-BE32-E72D297353CC}">
              <c16:uniqueId val="{00000004-9A09-4208-867E-6CBDED8753A7}"/>
            </c:ext>
          </c:extLst>
        </c:ser>
        <c:ser>
          <c:idx val="5"/>
          <c:order val="5"/>
          <c:tx>
            <c:strRef>
              <c:f>[parc_vp_france_2022.xlsx]Feuil1!$A$11</c:f>
              <c:strCache>
                <c:ptCount val="1"/>
                <c:pt idx="0">
                  <c:v>Inconnu</c:v>
                </c:pt>
              </c:strCache>
            </c:strRef>
          </c:tx>
          <c:spPr>
            <a:solidFill>
              <a:schemeClr val="accent6"/>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[parc_vp_france_2022.xlsx]Feuil1!$B$11:$M$11</c:f>
              <c:numCache>
                <c:formatCode>#,##0</c:formatCode>
                <c:ptCount val="12"/>
                <c:pt idx="0">
                  <c:v>335501</c:v>
                </c:pt>
                <c:pt idx="1">
                  <c:v>4349</c:v>
                </c:pt>
                <c:pt idx="2">
                  <c:v>4204</c:v>
                </c:pt>
                <c:pt idx="3">
                  <c:v>3973</c:v>
                </c:pt>
                <c:pt idx="4">
                  <c:v>3899</c:v>
                </c:pt>
                <c:pt idx="5">
                  <c:v>3823</c:v>
                </c:pt>
                <c:pt idx="6">
                  <c:v>3704</c:v>
                </c:pt>
                <c:pt idx="7">
                  <c:v>3552</c:v>
                </c:pt>
                <c:pt idx="8">
                  <c:v>3391</c:v>
                </c:pt>
                <c:pt idx="9">
                  <c:v>3136</c:v>
                </c:pt>
                <c:pt idx="10">
                  <c:v>2687</c:v>
                </c:pt>
                <c:pt idx="11">
                  <c:v>2621.913</c:v>
                </c:pt>
              </c:numCache>
            </c:numRef>
          </c:val>
          <c:extLst>
            <c:ext xmlns:c16="http://schemas.microsoft.com/office/drawing/2014/chart" uri="{C3380CC4-5D6E-409C-BE32-E72D297353CC}">
              <c16:uniqueId val="{00000005-9A09-4208-867E-6CBDED8753A7}"/>
            </c:ext>
          </c:extLst>
        </c:ser>
        <c:dLbls>
          <c:showLegendKey val="0"/>
          <c:showVal val="0"/>
          <c:showCatName val="0"/>
          <c:showSerName val="0"/>
          <c:showPercent val="0"/>
          <c:showBubbleSize val="0"/>
        </c:dLbls>
        <c:gapWidth val="150"/>
        <c:overlap val="100"/>
        <c:axId val="1547749839"/>
        <c:axId val="1547736943"/>
      </c:barChart>
      <c:lineChart>
        <c:grouping val="standard"/>
        <c:varyColors val="0"/>
        <c:ser>
          <c:idx val="6"/>
          <c:order val="6"/>
          <c:tx>
            <c:strRef>
              <c:f>[parc_vp_france_2022.xlsx]Feuil1!$A$13</c:f>
              <c:strCache>
                <c:ptCount val="1"/>
                <c:pt idx="0">
                  <c:v>Taux diéselisation (échelle de droite)</c:v>
                </c:pt>
              </c:strCache>
            </c:strRef>
          </c:tx>
          <c:spPr>
            <a:ln w="28575" cap="rnd">
              <a:solidFill>
                <a:srgbClr val="FF0000"/>
              </a:solidFill>
              <a:round/>
            </a:ln>
            <a:effectLst/>
          </c:spPr>
          <c:marker>
            <c:symbol val="none"/>
          </c:marker>
          <c:val>
            <c:numRef>
              <c:f>[parc_vp_france_2022.xlsx]Feuil1!$B$13:$M$13</c:f>
              <c:numCache>
                <c:formatCode>0.00%</c:formatCode>
                <c:ptCount val="12"/>
                <c:pt idx="0">
                  <c:v>0.5960080974382711</c:v>
                </c:pt>
                <c:pt idx="1">
                  <c:v>0.61541517445022131</c:v>
                </c:pt>
                <c:pt idx="2">
                  <c:v>0.62811350456483173</c:v>
                </c:pt>
                <c:pt idx="3">
                  <c:v>0.63592679567448607</c:v>
                </c:pt>
                <c:pt idx="4">
                  <c:v>0.64022101904221862</c:v>
                </c:pt>
                <c:pt idx="5">
                  <c:v>0.63932507875651012</c:v>
                </c:pt>
                <c:pt idx="6">
                  <c:v>0.63429827924558912</c:v>
                </c:pt>
                <c:pt idx="7">
                  <c:v>0.62427704377433901</c:v>
                </c:pt>
                <c:pt idx="8">
                  <c:v>0.60807227717346291</c:v>
                </c:pt>
                <c:pt idx="9">
                  <c:v>0.5900354454913761</c:v>
                </c:pt>
                <c:pt idx="10">
                  <c:v>0.57473221830118915</c:v>
                </c:pt>
                <c:pt idx="11">
                  <c:v>0.55499556032713726</c:v>
                </c:pt>
              </c:numCache>
            </c:numRef>
          </c:val>
          <c:smooth val="0"/>
          <c:extLst>
            <c:ext xmlns:c16="http://schemas.microsoft.com/office/drawing/2014/chart" uri="{C3380CC4-5D6E-409C-BE32-E72D297353CC}">
              <c16:uniqueId val="{00000006-9A09-4208-867E-6CBDED8753A7}"/>
            </c:ext>
          </c:extLst>
        </c:ser>
        <c:dLbls>
          <c:showLegendKey val="0"/>
          <c:showVal val="0"/>
          <c:showCatName val="0"/>
          <c:showSerName val="0"/>
          <c:showPercent val="0"/>
          <c:showBubbleSize val="0"/>
        </c:dLbls>
        <c:marker val="1"/>
        <c:smooth val="0"/>
        <c:axId val="1546251199"/>
        <c:axId val="1546250367"/>
      </c:lineChart>
      <c:catAx>
        <c:axId val="1547749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7736943"/>
        <c:crosses val="autoZero"/>
        <c:auto val="1"/>
        <c:lblAlgn val="ctr"/>
        <c:lblOffset val="100"/>
        <c:noMultiLvlLbl val="0"/>
      </c:catAx>
      <c:valAx>
        <c:axId val="15477369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7749839"/>
        <c:crosses val="autoZero"/>
        <c:crossBetween val="between"/>
      </c:valAx>
      <c:valAx>
        <c:axId val="1546250367"/>
        <c:scaling>
          <c:orientation val="minMax"/>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6251199"/>
        <c:crosses val="max"/>
        <c:crossBetween val="between"/>
      </c:valAx>
      <c:catAx>
        <c:axId val="1546251199"/>
        <c:scaling>
          <c:orientation val="minMax"/>
        </c:scaling>
        <c:delete val="1"/>
        <c:axPos val="b"/>
        <c:majorTickMark val="out"/>
        <c:minorTickMark val="none"/>
        <c:tickLblPos val="nextTo"/>
        <c:crossAx val="1546250367"/>
        <c:crosses val="autoZero"/>
        <c:auto val="1"/>
        <c:lblAlgn val="ctr"/>
        <c:lblOffset val="100"/>
        <c:noMultiLvlLbl val="0"/>
      </c:catAx>
      <c:spPr>
        <a:noFill/>
        <a:ln>
          <a:noFill/>
        </a:ln>
        <a:effectLst/>
      </c:spPr>
    </c:plotArea>
    <c:legend>
      <c:legendPos val="b"/>
      <c:layout>
        <c:manualLayout>
          <c:xMode val="edge"/>
          <c:yMode val="edge"/>
          <c:x val="6.5654316415893574E-2"/>
          <c:y val="0.68380504520268304"/>
          <c:w val="0.879004898521348"/>
          <c:h val="0.288417177019539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[parc_vul_france_2022_0.xlsx]Feuil1!$A$6</c:f>
              <c:strCache>
                <c:ptCount val="1"/>
                <c:pt idx="0">
                  <c:v>Biodiesel</c:v>
                </c:pt>
              </c:strCache>
            </c:strRef>
          </c:tx>
          <c:spPr>
            <a:solidFill>
              <a:srgbClr val="CC3399"/>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[parc_vul_france_2022_0.xlsx]Feuil1!$B$6:$M$6</c:f>
              <c:numCache>
                <c:formatCode>#,##0</c:formatCode>
                <c:ptCount val="12"/>
                <c:pt idx="0">
                  <c:v>0</c:v>
                </c:pt>
                <c:pt idx="1">
                  <c:v>0</c:v>
                </c:pt>
                <c:pt idx="2">
                  <c:v>0</c:v>
                </c:pt>
                <c:pt idx="3">
                  <c:v>0</c:v>
                </c:pt>
                <c:pt idx="4">
                  <c:v>0</c:v>
                </c:pt>
                <c:pt idx="5">
                  <c:v>0</c:v>
                </c:pt>
                <c:pt idx="6">
                  <c:v>0</c:v>
                </c:pt>
                <c:pt idx="7">
                  <c:v>0</c:v>
                </c:pt>
                <c:pt idx="8">
                  <c:v>0</c:v>
                </c:pt>
                <c:pt idx="9">
                  <c:v>0</c:v>
                </c:pt>
                <c:pt idx="10">
                  <c:v>0</c:v>
                </c:pt>
                <c:pt idx="11">
                  <c:v>1</c:v>
                </c:pt>
              </c:numCache>
            </c:numRef>
          </c:val>
          <c:extLst>
            <c:ext xmlns:c16="http://schemas.microsoft.com/office/drawing/2014/chart" uri="{C3380CC4-5D6E-409C-BE32-E72D297353CC}">
              <c16:uniqueId val="{00000000-8BFA-4B9B-A8C7-DC993E65AB40}"/>
            </c:ext>
          </c:extLst>
        </c:ser>
        <c:ser>
          <c:idx val="1"/>
          <c:order val="1"/>
          <c:tx>
            <c:strRef>
              <c:f>[parc_vul_france_2022_0.xlsx]Feuil1!$A$7</c:f>
              <c:strCache>
                <c:ptCount val="1"/>
                <c:pt idx="0">
                  <c:v>Diesel</c:v>
                </c:pt>
              </c:strCache>
            </c:strRef>
          </c:tx>
          <c:spPr>
            <a:solidFill>
              <a:srgbClr val="0070C0"/>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[parc_vul_france_2022_0.xlsx]Feuil1!$B$7:$M$7</c:f>
              <c:numCache>
                <c:formatCode>#,##0</c:formatCode>
                <c:ptCount val="12"/>
                <c:pt idx="0">
                  <c:v>5065073</c:v>
                </c:pt>
                <c:pt idx="1">
                  <c:v>5218229</c:v>
                </c:pt>
                <c:pt idx="2">
                  <c:v>5320138</c:v>
                </c:pt>
                <c:pt idx="3">
                  <c:v>5438076</c:v>
                </c:pt>
                <c:pt idx="4">
                  <c:v>5559842</c:v>
                </c:pt>
                <c:pt idx="5">
                  <c:v>5666152</c:v>
                </c:pt>
                <c:pt idx="6">
                  <c:v>5802292</c:v>
                </c:pt>
                <c:pt idx="7">
                  <c:v>5953380</c:v>
                </c:pt>
                <c:pt idx="8">
                  <c:v>6024786</c:v>
                </c:pt>
                <c:pt idx="9">
                  <c:v>5984501</c:v>
                </c:pt>
                <c:pt idx="10">
                  <c:v>5971915</c:v>
                </c:pt>
                <c:pt idx="11">
                  <c:v>5966195.1540000001</c:v>
                </c:pt>
              </c:numCache>
            </c:numRef>
          </c:val>
          <c:extLst>
            <c:ext xmlns:c16="http://schemas.microsoft.com/office/drawing/2014/chart" uri="{C3380CC4-5D6E-409C-BE32-E72D297353CC}">
              <c16:uniqueId val="{00000001-8BFA-4B9B-A8C7-DC993E65AB40}"/>
            </c:ext>
          </c:extLst>
        </c:ser>
        <c:ser>
          <c:idx val="2"/>
          <c:order val="2"/>
          <c:tx>
            <c:strRef>
              <c:f>[parc_vul_france_2022_0.xlsx]Feuil1!$A$8</c:f>
              <c:strCache>
                <c:ptCount val="1"/>
                <c:pt idx="0">
                  <c:v>Electrique</c:v>
                </c:pt>
              </c:strCache>
            </c:strRef>
          </c:tx>
          <c:spPr>
            <a:solidFill>
              <a:schemeClr val="accent3"/>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[parc_vul_france_2022_0.xlsx]Feuil1!$B$8:$M$8</c:f>
              <c:numCache>
                <c:formatCode>#,##0</c:formatCode>
                <c:ptCount val="12"/>
                <c:pt idx="0">
                  <c:v>3793</c:v>
                </c:pt>
                <c:pt idx="1">
                  <c:v>4664</c:v>
                </c:pt>
                <c:pt idx="2">
                  <c:v>7578</c:v>
                </c:pt>
                <c:pt idx="3">
                  <c:v>12027</c:v>
                </c:pt>
                <c:pt idx="4">
                  <c:v>15531</c:v>
                </c:pt>
                <c:pt idx="5">
                  <c:v>19485</c:v>
                </c:pt>
                <c:pt idx="6">
                  <c:v>24428</c:v>
                </c:pt>
                <c:pt idx="7">
                  <c:v>29206</c:v>
                </c:pt>
                <c:pt idx="8">
                  <c:v>35469</c:v>
                </c:pt>
                <c:pt idx="9">
                  <c:v>41315</c:v>
                </c:pt>
                <c:pt idx="10">
                  <c:v>48643</c:v>
                </c:pt>
                <c:pt idx="11">
                  <c:v>58964.625</c:v>
                </c:pt>
              </c:numCache>
            </c:numRef>
          </c:val>
          <c:extLst>
            <c:ext xmlns:c16="http://schemas.microsoft.com/office/drawing/2014/chart" uri="{C3380CC4-5D6E-409C-BE32-E72D297353CC}">
              <c16:uniqueId val="{00000002-8BFA-4B9B-A8C7-DC993E65AB40}"/>
            </c:ext>
          </c:extLst>
        </c:ser>
        <c:ser>
          <c:idx val="3"/>
          <c:order val="3"/>
          <c:tx>
            <c:strRef>
              <c:f>[parc_vul_france_2022_0.xlsx]Feuil1!$A$9</c:f>
              <c:strCache>
                <c:ptCount val="1"/>
                <c:pt idx="0">
                  <c:v>Essence</c:v>
                </c:pt>
              </c:strCache>
            </c:strRef>
          </c:tx>
          <c:spPr>
            <a:solidFill>
              <a:srgbClr val="00B050"/>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[parc_vul_france_2022_0.xlsx]Feuil1!$B$9:$M$9</c:f>
              <c:numCache>
                <c:formatCode>#,##0</c:formatCode>
                <c:ptCount val="12"/>
                <c:pt idx="0">
                  <c:v>326445</c:v>
                </c:pt>
                <c:pt idx="1">
                  <c:v>304101</c:v>
                </c:pt>
                <c:pt idx="2">
                  <c:v>281820</c:v>
                </c:pt>
                <c:pt idx="3">
                  <c:v>268338</c:v>
                </c:pt>
                <c:pt idx="4">
                  <c:v>255901</c:v>
                </c:pt>
                <c:pt idx="5">
                  <c:v>244112</c:v>
                </c:pt>
                <c:pt idx="6">
                  <c:v>234235</c:v>
                </c:pt>
                <c:pt idx="7">
                  <c:v>230005</c:v>
                </c:pt>
                <c:pt idx="8">
                  <c:v>226987</c:v>
                </c:pt>
                <c:pt idx="9">
                  <c:v>221839</c:v>
                </c:pt>
                <c:pt idx="10">
                  <c:v>218406</c:v>
                </c:pt>
                <c:pt idx="11">
                  <c:v>234482.20799999998</c:v>
                </c:pt>
              </c:numCache>
            </c:numRef>
          </c:val>
          <c:extLst>
            <c:ext xmlns:c16="http://schemas.microsoft.com/office/drawing/2014/chart" uri="{C3380CC4-5D6E-409C-BE32-E72D297353CC}">
              <c16:uniqueId val="{00000003-8BFA-4B9B-A8C7-DC993E65AB40}"/>
            </c:ext>
          </c:extLst>
        </c:ser>
        <c:ser>
          <c:idx val="4"/>
          <c:order val="4"/>
          <c:tx>
            <c:strRef>
              <c:f>[parc_vul_france_2022_0.xlsx]Feuil1!$A$10</c:f>
              <c:strCache>
                <c:ptCount val="1"/>
                <c:pt idx="0">
                  <c:v>Gaz</c:v>
                </c:pt>
              </c:strCache>
            </c:strRef>
          </c:tx>
          <c:spPr>
            <a:solidFill>
              <a:srgbClr val="EA5433"/>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[parc_vul_france_2022_0.xlsx]Feuil1!$B$10:$M$10</c:f>
              <c:numCache>
                <c:formatCode>#,##0</c:formatCode>
                <c:ptCount val="12"/>
                <c:pt idx="0">
                  <c:v>24411</c:v>
                </c:pt>
                <c:pt idx="1">
                  <c:v>21779</c:v>
                </c:pt>
                <c:pt idx="2">
                  <c:v>19647</c:v>
                </c:pt>
                <c:pt idx="3">
                  <c:v>18646</c:v>
                </c:pt>
                <c:pt idx="4">
                  <c:v>18144</c:v>
                </c:pt>
                <c:pt idx="5">
                  <c:v>17672</c:v>
                </c:pt>
                <c:pt idx="6">
                  <c:v>17461</c:v>
                </c:pt>
                <c:pt idx="7">
                  <c:v>17177</c:v>
                </c:pt>
                <c:pt idx="8">
                  <c:v>16841</c:v>
                </c:pt>
                <c:pt idx="9">
                  <c:v>16605</c:v>
                </c:pt>
                <c:pt idx="10">
                  <c:v>16827</c:v>
                </c:pt>
                <c:pt idx="11">
                  <c:v>17932.983</c:v>
                </c:pt>
              </c:numCache>
            </c:numRef>
          </c:val>
          <c:extLst>
            <c:ext xmlns:c16="http://schemas.microsoft.com/office/drawing/2014/chart" uri="{C3380CC4-5D6E-409C-BE32-E72D297353CC}">
              <c16:uniqueId val="{00000004-8BFA-4B9B-A8C7-DC993E65AB40}"/>
            </c:ext>
          </c:extLst>
        </c:ser>
        <c:ser>
          <c:idx val="5"/>
          <c:order val="5"/>
          <c:tx>
            <c:strRef>
              <c:f>[parc_vul_france_2022_0.xlsx]Feuil1!$A$11</c:f>
              <c:strCache>
                <c:ptCount val="1"/>
                <c:pt idx="0">
                  <c:v>Hydrogène et autre ZE</c:v>
                </c:pt>
              </c:strCache>
            </c:strRef>
          </c:tx>
          <c:spPr>
            <a:solidFill>
              <a:schemeClr val="accent6"/>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[parc_vul_france_2022_0.xlsx]Feuil1!$B$11:$M$11</c:f>
              <c:numCache>
                <c:formatCode>#,##0</c:formatCode>
                <c:ptCount val="12"/>
                <c:pt idx="0">
                  <c:v>6</c:v>
                </c:pt>
                <c:pt idx="1">
                  <c:v>7</c:v>
                </c:pt>
                <c:pt idx="2">
                  <c:v>6</c:v>
                </c:pt>
                <c:pt idx="3">
                  <c:v>4</c:v>
                </c:pt>
                <c:pt idx="4">
                  <c:v>15</c:v>
                </c:pt>
                <c:pt idx="5">
                  <c:v>68</c:v>
                </c:pt>
                <c:pt idx="6">
                  <c:v>89</c:v>
                </c:pt>
                <c:pt idx="7">
                  <c:v>161</c:v>
                </c:pt>
                <c:pt idx="8">
                  <c:v>192</c:v>
                </c:pt>
                <c:pt idx="9">
                  <c:v>185</c:v>
                </c:pt>
                <c:pt idx="10">
                  <c:v>173</c:v>
                </c:pt>
                <c:pt idx="11">
                  <c:v>182.012</c:v>
                </c:pt>
              </c:numCache>
            </c:numRef>
          </c:val>
          <c:extLst>
            <c:ext xmlns:c16="http://schemas.microsoft.com/office/drawing/2014/chart" uri="{C3380CC4-5D6E-409C-BE32-E72D297353CC}">
              <c16:uniqueId val="{00000005-8BFA-4B9B-A8C7-DC993E65AB40}"/>
            </c:ext>
          </c:extLst>
        </c:ser>
        <c:ser>
          <c:idx val="6"/>
          <c:order val="6"/>
          <c:tx>
            <c:strRef>
              <c:f>[parc_vul_france_2022_0.xlsx]Feuil1!$A$12</c:f>
              <c:strCache>
                <c:ptCount val="1"/>
                <c:pt idx="0">
                  <c:v>Inconnu</c:v>
                </c:pt>
              </c:strCache>
            </c:strRef>
          </c:tx>
          <c:spPr>
            <a:solidFill>
              <a:schemeClr val="accent6"/>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[parc_vul_france_2022_0.xlsx]Feuil1!$B$12:$M$12</c:f>
              <c:numCache>
                <c:formatCode>#,##0</c:formatCode>
                <c:ptCount val="12"/>
                <c:pt idx="0">
                  <c:v>20778</c:v>
                </c:pt>
                <c:pt idx="1">
                  <c:v>1855</c:v>
                </c:pt>
                <c:pt idx="2">
                  <c:v>1701</c:v>
                </c:pt>
                <c:pt idx="3">
                  <c:v>1641</c:v>
                </c:pt>
                <c:pt idx="4">
                  <c:v>1607</c:v>
                </c:pt>
                <c:pt idx="5">
                  <c:v>1674</c:v>
                </c:pt>
                <c:pt idx="6">
                  <c:v>1734</c:v>
                </c:pt>
                <c:pt idx="7">
                  <c:v>1795</c:v>
                </c:pt>
                <c:pt idx="8">
                  <c:v>1746</c:v>
                </c:pt>
                <c:pt idx="9">
                  <c:v>1578</c:v>
                </c:pt>
                <c:pt idx="10">
                  <c:v>1467</c:v>
                </c:pt>
                <c:pt idx="11">
                  <c:v>1379.79</c:v>
                </c:pt>
              </c:numCache>
            </c:numRef>
          </c:val>
          <c:extLst>
            <c:ext xmlns:c16="http://schemas.microsoft.com/office/drawing/2014/chart" uri="{C3380CC4-5D6E-409C-BE32-E72D297353CC}">
              <c16:uniqueId val="{00000006-8BFA-4B9B-A8C7-DC993E65AB40}"/>
            </c:ext>
          </c:extLst>
        </c:ser>
        <c:dLbls>
          <c:showLegendKey val="0"/>
          <c:showVal val="0"/>
          <c:showCatName val="0"/>
          <c:showSerName val="0"/>
          <c:showPercent val="0"/>
          <c:showBubbleSize val="0"/>
        </c:dLbls>
        <c:gapWidth val="150"/>
        <c:overlap val="100"/>
        <c:axId val="1546252863"/>
        <c:axId val="1546252031"/>
      </c:barChart>
      <c:lineChart>
        <c:grouping val="standard"/>
        <c:varyColors val="0"/>
        <c:ser>
          <c:idx val="7"/>
          <c:order val="7"/>
          <c:tx>
            <c:strRef>
              <c:f>[parc_vul_france_2022_0.xlsx]Feuil1!$A$14</c:f>
              <c:strCache>
                <c:ptCount val="1"/>
                <c:pt idx="0">
                  <c:v>Taux diésélisation (échelle de droite)</c:v>
                </c:pt>
              </c:strCache>
            </c:strRef>
          </c:tx>
          <c:spPr>
            <a:ln w="28575" cap="rnd">
              <a:solidFill>
                <a:srgbClr val="FF0000"/>
              </a:solidFill>
              <a:round/>
            </a:ln>
            <a:effectLst/>
          </c:spPr>
          <c:marker>
            <c:symbol val="none"/>
          </c:marker>
          <c:val>
            <c:numRef>
              <c:f>[parc_vul_france_2022_0.xlsx]Feuil1!$B$14:$M$14</c:f>
              <c:numCache>
                <c:formatCode>0.00%</c:formatCode>
                <c:ptCount val="12"/>
                <c:pt idx="0">
                  <c:v>0.9309929995482038</c:v>
                </c:pt>
                <c:pt idx="1">
                  <c:v>0.94011387886250852</c:v>
                </c:pt>
                <c:pt idx="2">
                  <c:v>0.94481298693456983</c:v>
                </c:pt>
                <c:pt idx="3">
                  <c:v>0.94760933251456947</c:v>
                </c:pt>
                <c:pt idx="4">
                  <c:v>0.95023141185156823</c:v>
                </c:pt>
                <c:pt idx="5">
                  <c:v>0.95242843405030253</c:v>
                </c:pt>
                <c:pt idx="6">
                  <c:v>0.95428682984336632</c:v>
                </c:pt>
                <c:pt idx="7">
                  <c:v>0.95533435049434157</c:v>
                </c:pt>
                <c:pt idx="8">
                  <c:v>0.95540214661511591</c:v>
                </c:pt>
                <c:pt idx="9">
                  <c:v>0.95507166188186665</c:v>
                </c:pt>
                <c:pt idx="10">
                  <c:v>0.95437169023517798</c:v>
                </c:pt>
                <c:pt idx="11">
                  <c:v>0.9501615302350146</c:v>
                </c:pt>
              </c:numCache>
            </c:numRef>
          </c:val>
          <c:smooth val="0"/>
          <c:extLst>
            <c:ext xmlns:c16="http://schemas.microsoft.com/office/drawing/2014/chart" uri="{C3380CC4-5D6E-409C-BE32-E72D297353CC}">
              <c16:uniqueId val="{00000007-8BFA-4B9B-A8C7-DC993E65AB40}"/>
            </c:ext>
          </c:extLst>
        </c:ser>
        <c:dLbls>
          <c:showLegendKey val="0"/>
          <c:showVal val="0"/>
          <c:showCatName val="0"/>
          <c:showSerName val="0"/>
          <c:showPercent val="0"/>
          <c:showBubbleSize val="0"/>
        </c:dLbls>
        <c:marker val="1"/>
        <c:smooth val="0"/>
        <c:axId val="1330288655"/>
        <c:axId val="1445764351"/>
      </c:lineChart>
      <c:catAx>
        <c:axId val="1546252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6252031"/>
        <c:crosses val="autoZero"/>
        <c:auto val="1"/>
        <c:lblAlgn val="ctr"/>
        <c:lblOffset val="100"/>
        <c:noMultiLvlLbl val="0"/>
      </c:catAx>
      <c:valAx>
        <c:axId val="15462520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6252863"/>
        <c:crosses val="autoZero"/>
        <c:crossBetween val="between"/>
      </c:valAx>
      <c:valAx>
        <c:axId val="1445764351"/>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0288655"/>
        <c:crosses val="max"/>
        <c:crossBetween val="between"/>
      </c:valAx>
      <c:catAx>
        <c:axId val="1330288655"/>
        <c:scaling>
          <c:orientation val="minMax"/>
        </c:scaling>
        <c:delete val="1"/>
        <c:axPos val="b"/>
        <c:majorTickMark val="out"/>
        <c:minorTickMark val="none"/>
        <c:tickLblPos val="nextTo"/>
        <c:crossAx val="144576435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'[sect-ind-auto-immat-energie.xlsx]Données'!$A$5</c:f>
              <c:strCache>
                <c:ptCount val="1"/>
                <c:pt idx="0">
                  <c:v>Essence</c:v>
                </c:pt>
              </c:strCache>
            </c:strRef>
          </c:tx>
          <c:spPr>
            <a:solidFill>
              <a:srgbClr val="0070C0"/>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'[sect-ind-auto-immat-energie.xlsx]Données'!$B$5:$U$5</c:f>
              <c:numCache>
                <c:formatCode>#\ ##0.0</c:formatCode>
                <c:ptCount val="20"/>
                <c:pt idx="0">
                  <c:v>981.21600000000001</c:v>
                </c:pt>
                <c:pt idx="1">
                  <c:v>784.74800000000005</c:v>
                </c:pt>
                <c:pt idx="2">
                  <c:v>668.92</c:v>
                </c:pt>
                <c:pt idx="3">
                  <c:v>632.44600000000003</c:v>
                </c:pt>
                <c:pt idx="4">
                  <c:v>644.25300000000004</c:v>
                </c:pt>
                <c:pt idx="5">
                  <c:v>570.93499999999995</c:v>
                </c:pt>
                <c:pt idx="6">
                  <c:v>533.14099999999996</c:v>
                </c:pt>
                <c:pt idx="7" formatCode="&quot;(r) &quot;#\ ##0.0">
                  <c:v>455.96499999999997</c:v>
                </c:pt>
                <c:pt idx="8">
                  <c:v>635.38400000000001</c:v>
                </c:pt>
                <c:pt idx="9">
                  <c:v>567.827</c:v>
                </c:pt>
                <c:pt idx="10">
                  <c:v>573.50199999999995</c:v>
                </c:pt>
                <c:pt idx="11">
                  <c:v>471.24299999999999</c:v>
                </c:pt>
                <c:pt idx="12">
                  <c:v>532.10400000000004</c:v>
                </c:pt>
                <c:pt idx="13">
                  <c:v>592.92700000000002</c:v>
                </c:pt>
                <c:pt idx="14">
                  <c:v>739.37400000000002</c:v>
                </c:pt>
                <c:pt idx="15">
                  <c:v>883.11500000000001</c:v>
                </c:pt>
                <c:pt idx="16">
                  <c:v>1004.312</c:v>
                </c:pt>
                <c:pt idx="17">
                  <c:v>1188.1220000000001</c:v>
                </c:pt>
                <c:pt idx="18">
                  <c:v>1281.7929999999999</c:v>
                </c:pt>
                <c:pt idx="19">
                  <c:v>774.38300000000004</c:v>
                </c:pt>
              </c:numCache>
            </c:numRef>
          </c:val>
          <c:extLst>
            <c:ext xmlns:c16="http://schemas.microsoft.com/office/drawing/2014/chart" uri="{C3380CC4-5D6E-409C-BE32-E72D297353CC}">
              <c16:uniqueId val="{00000000-2A80-4F68-8747-5A5C22D24365}"/>
            </c:ext>
          </c:extLst>
        </c:ser>
        <c:ser>
          <c:idx val="1"/>
          <c:order val="1"/>
          <c:tx>
            <c:strRef>
              <c:f>'[sect-ind-auto-immat-energie.xlsx]Données'!$A$6</c:f>
              <c:strCache>
                <c:ptCount val="1"/>
                <c:pt idx="0">
                  <c:v>Diesel</c:v>
                </c:pt>
              </c:strCache>
            </c:strRef>
          </c:tx>
          <c:spPr>
            <a:solidFill>
              <a:srgbClr val="FFC000"/>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'[sect-ind-auto-immat-energie.xlsx]Données'!$B$6:$U$6</c:f>
              <c:numCache>
                <c:formatCode>#\ ##0.0</c:formatCode>
                <c:ptCount val="20"/>
                <c:pt idx="0">
                  <c:v>1267.76</c:v>
                </c:pt>
                <c:pt idx="1">
                  <c:v>1354.933</c:v>
                </c:pt>
                <c:pt idx="2">
                  <c:v>1389.0229999999999</c:v>
                </c:pt>
                <c:pt idx="3">
                  <c:v>1429.2919999999999</c:v>
                </c:pt>
                <c:pt idx="4">
                  <c:v>1466.5450000000001</c:v>
                </c:pt>
                <c:pt idx="5">
                  <c:v>1463.501</c:v>
                </c:pt>
                <c:pt idx="6">
                  <c:v>1562.961</c:v>
                </c:pt>
                <c:pt idx="7" formatCode="&quot;(r) &quot;#\ ##0.0">
                  <c:v>1620.617</c:v>
                </c:pt>
                <c:pt idx="8">
                  <c:v>1628.413</c:v>
                </c:pt>
                <c:pt idx="9">
                  <c:v>1593.12</c:v>
                </c:pt>
                <c:pt idx="10">
                  <c:v>1595.7840000000001</c:v>
                </c:pt>
                <c:pt idx="11" formatCode="&quot;(r) &quot;#\ ##0.0">
                  <c:v>1384.5419999999999</c:v>
                </c:pt>
                <c:pt idx="12">
                  <c:v>1199.7249999999999</c:v>
                </c:pt>
                <c:pt idx="13">
                  <c:v>1146.6579999999999</c:v>
                </c:pt>
                <c:pt idx="14">
                  <c:v>1097.1220000000001</c:v>
                </c:pt>
                <c:pt idx="15">
                  <c:v>1050.403</c:v>
                </c:pt>
                <c:pt idx="16">
                  <c:v>998.11500000000001</c:v>
                </c:pt>
                <c:pt idx="17">
                  <c:v>844.83</c:v>
                </c:pt>
                <c:pt idx="18">
                  <c:v>755.57299999999998</c:v>
                </c:pt>
                <c:pt idx="19">
                  <c:v>504.178</c:v>
                </c:pt>
              </c:numCache>
            </c:numRef>
          </c:val>
          <c:extLst>
            <c:ext xmlns:c16="http://schemas.microsoft.com/office/drawing/2014/chart" uri="{C3380CC4-5D6E-409C-BE32-E72D297353CC}">
              <c16:uniqueId val="{00000001-2A80-4F68-8747-5A5C22D24365}"/>
            </c:ext>
          </c:extLst>
        </c:ser>
        <c:ser>
          <c:idx val="2"/>
          <c:order val="2"/>
          <c:tx>
            <c:v>Hybride</c:v>
          </c:tx>
          <c:spPr>
            <a:solidFill>
              <a:srgbClr val="FF0000"/>
            </a:solidFill>
            <a:ln>
              <a:noFill/>
            </a:ln>
            <a:effectLst/>
          </c:spPr>
          <c:invertIfNegative val="0"/>
          <c:dPt>
            <c:idx val="19"/>
            <c:invertIfNegative val="0"/>
            <c:bubble3D val="0"/>
            <c:spPr>
              <a:solidFill>
                <a:srgbClr val="FF0000"/>
              </a:solidFill>
              <a:ln>
                <a:noFill/>
              </a:ln>
              <a:effectLst/>
            </c:spPr>
            <c:extLst>
              <c:ext xmlns:c16="http://schemas.microsoft.com/office/drawing/2014/chart" uri="{C3380CC4-5D6E-409C-BE32-E72D297353CC}">
                <c16:uniqueId val="{00000003-2A80-4F68-8747-5A5C22D24365}"/>
              </c:ext>
            </c:extLst>
          </c:dPt>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'[sect-ind-auto-immat-energie.xlsx]Données'!$B$7:$U$7</c:f>
              <c:numCache>
                <c:formatCode>#\ ##0.0</c:formatCode>
                <c:ptCount val="20"/>
                <c:pt idx="0">
                  <c:v>8.5000000000000006E-2</c:v>
                </c:pt>
                <c:pt idx="1">
                  <c:v>5.0999999999999997E-2</c:v>
                </c:pt>
                <c:pt idx="2">
                  <c:v>3.5999999999999997E-2</c:v>
                </c:pt>
                <c:pt idx="3">
                  <c:v>0.66900000000000004</c:v>
                </c:pt>
                <c:pt idx="4">
                  <c:v>2.8570000000000002</c:v>
                </c:pt>
                <c:pt idx="5">
                  <c:v>6.4139999999999997</c:v>
                </c:pt>
                <c:pt idx="6">
                  <c:v>7.1779999999999999</c:v>
                </c:pt>
                <c:pt idx="7">
                  <c:v>8.4649999999999999</c:v>
                </c:pt>
                <c:pt idx="8">
                  <c:v>9.907</c:v>
                </c:pt>
                <c:pt idx="9">
                  <c:v>9.673</c:v>
                </c:pt>
                <c:pt idx="10">
                  <c:v>13.638999999999999</c:v>
                </c:pt>
                <c:pt idx="11" formatCode="&quot;(r) &quot;#\ ##0.0">
                  <c:v>27.881</c:v>
                </c:pt>
                <c:pt idx="12">
                  <c:v>46.744999999999997</c:v>
                </c:pt>
                <c:pt idx="13">
                  <c:v>43.134999999999998</c:v>
                </c:pt>
                <c:pt idx="14">
                  <c:v>61.616999999999997</c:v>
                </c:pt>
                <c:pt idx="15">
                  <c:v>58.389000000000003</c:v>
                </c:pt>
                <c:pt idx="16">
                  <c:v>81.558999999999997</c:v>
                </c:pt>
                <c:pt idx="17">
                  <c:v>106.369</c:v>
                </c:pt>
                <c:pt idx="18">
                  <c:v>125.435</c:v>
                </c:pt>
                <c:pt idx="19">
                  <c:v>243.67500000000001</c:v>
                </c:pt>
              </c:numCache>
            </c:numRef>
          </c:val>
          <c:extLst>
            <c:ext xmlns:c16="http://schemas.microsoft.com/office/drawing/2014/chart" uri="{C3380CC4-5D6E-409C-BE32-E72D297353CC}">
              <c16:uniqueId val="{00000004-2A80-4F68-8747-5A5C22D24365}"/>
            </c:ext>
          </c:extLst>
        </c:ser>
        <c:ser>
          <c:idx val="3"/>
          <c:order val="3"/>
          <c:tx>
            <c:strRef>
              <c:f>'[sect-ind-auto-immat-energie.xlsx]Données'!$A$8</c:f>
              <c:strCache>
                <c:ptCount val="1"/>
                <c:pt idx="0">
                  <c:v>Électricité  </c:v>
                </c:pt>
              </c:strCache>
            </c:strRef>
          </c:tx>
          <c:spPr>
            <a:solidFill>
              <a:srgbClr val="00B050"/>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'[sect-ind-auto-immat-energie.xlsx]Données'!$B$8:$U$8</c:f>
              <c:numCache>
                <c:formatCode>#\ ##0.0</c:formatCode>
                <c:ptCount val="20"/>
                <c:pt idx="0">
                  <c:v>0.40699999999999997</c:v>
                </c:pt>
                <c:pt idx="1">
                  <c:v>0.31</c:v>
                </c:pt>
                <c:pt idx="2">
                  <c:v>0.113</c:v>
                </c:pt>
                <c:pt idx="3">
                  <c:v>0.46</c:v>
                </c:pt>
                <c:pt idx="4">
                  <c:v>6.0000000000000001E-3</c:v>
                </c:pt>
                <c:pt idx="5">
                  <c:v>1.4E-2</c:v>
                </c:pt>
                <c:pt idx="6">
                  <c:v>1E-3</c:v>
                </c:pt>
                <c:pt idx="7">
                  <c:v>0</c:v>
                </c:pt>
                <c:pt idx="8">
                  <c:v>0.01</c:v>
                </c:pt>
                <c:pt idx="9">
                  <c:v>0.17100000000000001</c:v>
                </c:pt>
                <c:pt idx="10">
                  <c:v>2.63</c:v>
                </c:pt>
                <c:pt idx="11">
                  <c:v>5.6630000000000003</c:v>
                </c:pt>
                <c:pt idx="12">
                  <c:v>8.7789999999999999</c:v>
                </c:pt>
                <c:pt idx="13">
                  <c:v>10.561</c:v>
                </c:pt>
                <c:pt idx="14">
                  <c:v>17.268000000000001</c:v>
                </c:pt>
                <c:pt idx="15">
                  <c:v>21.751000000000001</c:v>
                </c:pt>
                <c:pt idx="16">
                  <c:v>24.91</c:v>
                </c:pt>
                <c:pt idx="17">
                  <c:v>31.059000000000001</c:v>
                </c:pt>
                <c:pt idx="18">
                  <c:v>42.764000000000003</c:v>
                </c:pt>
                <c:pt idx="19">
                  <c:v>110.907</c:v>
                </c:pt>
              </c:numCache>
            </c:numRef>
          </c:val>
          <c:extLst>
            <c:ext xmlns:c16="http://schemas.microsoft.com/office/drawing/2014/chart" uri="{C3380CC4-5D6E-409C-BE32-E72D297353CC}">
              <c16:uniqueId val="{00000005-2A80-4F68-8747-5A5C22D24365}"/>
            </c:ext>
          </c:extLst>
        </c:ser>
        <c:ser>
          <c:idx val="4"/>
          <c:order val="4"/>
          <c:tx>
            <c:strRef>
              <c:f>'[sect-ind-auto-immat-energie.xlsx]Données'!$A$9</c:f>
              <c:strCache>
                <c:ptCount val="1"/>
                <c:pt idx="0">
                  <c:v>Bicarburation (essence + GPL + GNV)</c:v>
                </c:pt>
              </c:strCache>
            </c:strRef>
          </c:tx>
          <c:spPr>
            <a:solidFill>
              <a:schemeClr val="accent5"/>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'[sect-ind-auto-immat-energie.xlsx]Données'!$B$9:$U$9</c:f>
              <c:numCache>
                <c:formatCode>#\ ##0.0</c:formatCode>
                <c:ptCount val="20"/>
                <c:pt idx="0">
                  <c:v>5.2629999999999999</c:v>
                </c:pt>
                <c:pt idx="1">
                  <c:v>5.0289999999999999</c:v>
                </c:pt>
                <c:pt idx="2">
                  <c:v>3.863</c:v>
                </c:pt>
                <c:pt idx="3">
                  <c:v>2.875</c:v>
                </c:pt>
                <c:pt idx="4">
                  <c:v>4.0140000000000002</c:v>
                </c:pt>
                <c:pt idx="5">
                  <c:v>4.585</c:v>
                </c:pt>
                <c:pt idx="6">
                  <c:v>3.4140000000000001</c:v>
                </c:pt>
                <c:pt idx="7">
                  <c:v>2.6440000000000001</c:v>
                </c:pt>
                <c:pt idx="8">
                  <c:v>25.173999999999999</c:v>
                </c:pt>
                <c:pt idx="9">
                  <c:v>75.713999999999999</c:v>
                </c:pt>
                <c:pt idx="10">
                  <c:v>12.055</c:v>
                </c:pt>
                <c:pt idx="11">
                  <c:v>2.0569999999999999</c:v>
                </c:pt>
                <c:pt idx="12">
                  <c:v>2.8370000000000002</c:v>
                </c:pt>
                <c:pt idx="13">
                  <c:v>2.2959999999999998</c:v>
                </c:pt>
                <c:pt idx="14">
                  <c:v>1.5529999999999999</c:v>
                </c:pt>
                <c:pt idx="15">
                  <c:v>0.41899999999999998</c:v>
                </c:pt>
                <c:pt idx="16">
                  <c:v>1.03</c:v>
                </c:pt>
                <c:pt idx="17">
                  <c:v>2.266</c:v>
                </c:pt>
                <c:pt idx="18">
                  <c:v>2.1</c:v>
                </c:pt>
                <c:pt idx="19">
                  <c:v>16.64</c:v>
                </c:pt>
              </c:numCache>
            </c:numRef>
          </c:val>
          <c:extLst>
            <c:ext xmlns:c16="http://schemas.microsoft.com/office/drawing/2014/chart" uri="{C3380CC4-5D6E-409C-BE32-E72D297353CC}">
              <c16:uniqueId val="{00000006-2A80-4F68-8747-5A5C22D24365}"/>
            </c:ext>
          </c:extLst>
        </c:ser>
        <c:ser>
          <c:idx val="5"/>
          <c:order val="5"/>
          <c:tx>
            <c:v>Autres</c:v>
          </c:tx>
          <c:spPr>
            <a:solidFill>
              <a:schemeClr val="accent6"/>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'[sect-ind-auto-immat-energie.xlsx]Données'!$B$10:$U$10</c:f>
              <c:numCache>
                <c:formatCode>#\ ##0.0</c:formatCode>
                <c:ptCount val="20"/>
                <c:pt idx="0">
                  <c:v>0</c:v>
                </c:pt>
                <c:pt idx="1">
                  <c:v>0</c:v>
                </c:pt>
                <c:pt idx="2">
                  <c:v>0</c:v>
                </c:pt>
                <c:pt idx="3">
                  <c:v>0</c:v>
                </c:pt>
                <c:pt idx="4">
                  <c:v>0</c:v>
                </c:pt>
                <c:pt idx="5">
                  <c:v>8.9999999999999993E-3</c:v>
                </c:pt>
                <c:pt idx="6">
                  <c:v>2.82</c:v>
                </c:pt>
                <c:pt idx="7">
                  <c:v>3.238</c:v>
                </c:pt>
                <c:pt idx="8">
                  <c:v>3.2989999999999999</c:v>
                </c:pt>
                <c:pt idx="9">
                  <c:v>5.0860000000000003</c:v>
                </c:pt>
                <c:pt idx="10" formatCode="&quot;(r) &quot;#\ ##0.0">
                  <c:v>6.58</c:v>
                </c:pt>
                <c:pt idx="11" formatCode="&quot;(r) &quot;#\ ##0.0">
                  <c:v>7.3520000000000003</c:v>
                </c:pt>
                <c:pt idx="12" formatCode="&quot;(r) &quot;#\ ##0.0">
                  <c:v>0.25700000000000001</c:v>
                </c:pt>
                <c:pt idx="13">
                  <c:v>0.3</c:v>
                </c:pt>
                <c:pt idx="14">
                  <c:v>0.28799999999999998</c:v>
                </c:pt>
                <c:pt idx="15" formatCode="&quot;(r) &quot;#\ ##0.0">
                  <c:v>1.079</c:v>
                </c:pt>
                <c:pt idx="16">
                  <c:v>0.81799999999999995</c:v>
                </c:pt>
                <c:pt idx="17">
                  <c:v>0.78300000000000003</c:v>
                </c:pt>
                <c:pt idx="18">
                  <c:v>6.6020000000000003</c:v>
                </c:pt>
                <c:pt idx="19">
                  <c:v>0.32500000000000001</c:v>
                </c:pt>
              </c:numCache>
            </c:numRef>
          </c:val>
          <c:extLst>
            <c:ext xmlns:c16="http://schemas.microsoft.com/office/drawing/2014/chart" uri="{C3380CC4-5D6E-409C-BE32-E72D297353CC}">
              <c16:uniqueId val="{00000007-2A80-4F68-8747-5A5C22D24365}"/>
            </c:ext>
          </c:extLst>
        </c:ser>
        <c:dLbls>
          <c:showLegendKey val="0"/>
          <c:showVal val="0"/>
          <c:showCatName val="0"/>
          <c:showSerName val="0"/>
          <c:showPercent val="0"/>
          <c:showBubbleSize val="0"/>
        </c:dLbls>
        <c:gapWidth val="150"/>
        <c:overlap val="100"/>
        <c:axId val="1438619871"/>
        <c:axId val="1438621951"/>
      </c:barChart>
      <c:catAx>
        <c:axId val="143861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621951"/>
        <c:crosses val="autoZero"/>
        <c:auto val="1"/>
        <c:lblAlgn val="ctr"/>
        <c:lblOffset val="100"/>
        <c:noMultiLvlLbl val="0"/>
      </c:catAx>
      <c:valAx>
        <c:axId val="14386219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61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 dans les transports</c:v>
          </c:tx>
          <c:spPr>
            <a:ln w="28575" cap="rnd">
              <a:solidFill>
                <a:srgbClr val="0070C0"/>
              </a:solidFill>
              <a:round/>
            </a:ln>
            <a:effectLst/>
          </c:spPr>
          <c:marker>
            <c:symbol val="circle"/>
            <c:size val="5"/>
            <c:spPr>
              <a:solidFill>
                <a:srgbClr val="0070C0"/>
              </a:solidFill>
              <a:ln w="9525">
                <a:solidFill>
                  <a:srgbClr val="0070C0"/>
                </a:solidFill>
              </a:ln>
              <a:effectLst/>
            </c:spPr>
          </c:marker>
          <c:cat>
            <c:numRef>
              <c:f>[chiffres_cles_enr_edition2022.xlsx]P1_G12!$B$28:$B$43</c:f>
              <c:numCache>
                <c:formatCode>General</c:formatCode>
                <c:ptCount val="16"/>
                <c:pt idx="0">
                  <c:v>2005</c:v>
                </c:pt>
                <c:pt idx="1">
                  <c:v>2006</c:v>
                </c:pt>
                <c:pt idx="2">
                  <c:v>2007</c:v>
                </c:pt>
                <c:pt idx="3">
                  <c:v>2008</c:v>
                </c:pt>
                <c:pt idx="4">
                  <c:v>2009</c:v>
                </c:pt>
                <c:pt idx="5">
                  <c:v>2010</c:v>
                </c:pt>
                <c:pt idx="6">
                  <c:v>2011</c:v>
                </c:pt>
                <c:pt idx="7">
                  <c:v>2012</c:v>
                </c:pt>
                <c:pt idx="8">
                  <c:v>2013</c:v>
                </c:pt>
                <c:pt idx="9">
                  <c:v>2014</c:v>
                </c:pt>
                <c:pt idx="10" formatCode="0">
                  <c:v>2015</c:v>
                </c:pt>
                <c:pt idx="11">
                  <c:v>2016</c:v>
                </c:pt>
                <c:pt idx="12">
                  <c:v>2017</c:v>
                </c:pt>
                <c:pt idx="13">
                  <c:v>2018</c:v>
                </c:pt>
                <c:pt idx="14">
                  <c:v>2019</c:v>
                </c:pt>
                <c:pt idx="15">
                  <c:v>2020</c:v>
                </c:pt>
              </c:numCache>
            </c:numRef>
          </c:cat>
          <c:val>
            <c:numRef>
              <c:f>[chiffres_cles_enr_edition2022.xlsx]P1_G12!$E$28:$E$43</c:f>
              <c:numCache>
                <c:formatCode>#,##0</c:formatCode>
                <c:ptCount val="16"/>
                <c:pt idx="0">
                  <c:v>2.0045140521553741</c:v>
                </c:pt>
                <c:pt idx="1">
                  <c:v>2.2700328207264966</c:v>
                </c:pt>
                <c:pt idx="2">
                  <c:v>3.8694227782672277</c:v>
                </c:pt>
                <c:pt idx="3">
                  <c:v>5.99804853755602</c:v>
                </c:pt>
                <c:pt idx="4">
                  <c:v>6.3694611159745937</c:v>
                </c:pt>
                <c:pt idx="5">
                  <c:v>6.3168243003511524</c:v>
                </c:pt>
                <c:pt idx="6">
                  <c:v>7.2155644786303945</c:v>
                </c:pt>
                <c:pt idx="7">
                  <c:v>7.414453942912262</c:v>
                </c:pt>
                <c:pt idx="8">
                  <c:v>7.5997618556082021</c:v>
                </c:pt>
                <c:pt idx="9">
                  <c:v>8.2487056899540292</c:v>
                </c:pt>
                <c:pt idx="10">
                  <c:v>8.3658052037828217</c:v>
                </c:pt>
                <c:pt idx="11">
                  <c:v>8.4054482206803485</c:v>
                </c:pt>
                <c:pt idx="12">
                  <c:v>8.7646795048089814</c:v>
                </c:pt>
                <c:pt idx="13">
                  <c:v>8.963053008825284</c:v>
                </c:pt>
                <c:pt idx="14">
                  <c:v>9.2483940535166038</c:v>
                </c:pt>
                <c:pt idx="15">
                  <c:v>9.2198264865512272</c:v>
                </c:pt>
              </c:numCache>
            </c:numRef>
          </c:val>
          <c:smooth val="0"/>
          <c:extLst>
            <c:ext xmlns:c16="http://schemas.microsoft.com/office/drawing/2014/chart" uri="{C3380CC4-5D6E-409C-BE32-E72D297353CC}">
              <c16:uniqueId val="{00000000-779A-4518-B1B1-B5AE9E0B161A}"/>
            </c:ext>
          </c:extLst>
        </c:ser>
        <c:ser>
          <c:idx val="1"/>
          <c:order val="1"/>
          <c:tx>
            <c:v>Objectif 2020</c:v>
          </c:tx>
          <c:spPr>
            <a:ln w="28575" cap="rnd">
              <a:noFill/>
              <a:round/>
            </a:ln>
            <a:effectLst/>
          </c:spPr>
          <c:marker>
            <c:symbol val="circle"/>
            <c:size val="5"/>
            <c:spPr>
              <a:solidFill>
                <a:schemeClr val="bg2"/>
              </a:solidFill>
              <a:ln w="9525">
                <a:noFill/>
              </a:ln>
              <a:effectLst/>
            </c:spPr>
          </c:marker>
          <c:val>
            <c:numRef>
              <c:f>[chiffres_cles_enr_edition2022.xlsx]P1_G12!$F$28:$F$43</c:f>
              <c:numCache>
                <c:formatCode>General</c:formatCode>
                <c:ptCount val="16"/>
                <c:pt idx="15">
                  <c:v>10</c:v>
                </c:pt>
              </c:numCache>
            </c:numRef>
          </c:val>
          <c:smooth val="0"/>
          <c:extLst>
            <c:ext xmlns:c16="http://schemas.microsoft.com/office/drawing/2014/chart" uri="{C3380CC4-5D6E-409C-BE32-E72D297353CC}">
              <c16:uniqueId val="{00000001-779A-4518-B1B1-B5AE9E0B161A}"/>
            </c:ext>
          </c:extLst>
        </c:ser>
        <c:dLbls>
          <c:showLegendKey val="0"/>
          <c:showVal val="0"/>
          <c:showCatName val="0"/>
          <c:showSerName val="0"/>
          <c:showPercent val="0"/>
          <c:showBubbleSize val="0"/>
        </c:dLbls>
        <c:marker val="1"/>
        <c:smooth val="0"/>
        <c:axId val="750499407"/>
        <c:axId val="750488591"/>
      </c:lineChart>
      <c:catAx>
        <c:axId val="750499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0488591"/>
        <c:crosses val="autoZero"/>
        <c:auto val="1"/>
        <c:lblAlgn val="ctr"/>
        <c:lblOffset val="100"/>
        <c:noMultiLvlLbl val="0"/>
      </c:catAx>
      <c:valAx>
        <c:axId val="7504885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0499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6.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8.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0.39583</cdr:x>
      <cdr:y>0.40278</cdr:y>
    </cdr:from>
    <cdr:to>
      <cdr:x>0.64792</cdr:x>
      <cdr:y>0.61458</cdr:y>
    </cdr:to>
    <cdr:sp macro="" textlink="">
      <cdr:nvSpPr>
        <cdr:cNvPr id="2" name="ZoneTexte 1"/>
        <cdr:cNvSpPr txBox="1"/>
      </cdr:nvSpPr>
      <cdr:spPr>
        <a:xfrm xmlns:a="http://schemas.openxmlformats.org/drawingml/2006/main">
          <a:off x="1809750" y="1104900"/>
          <a:ext cx="1152525" cy="581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fr-FR" sz="1100" b="1"/>
            <a:t>Total : </a:t>
          </a:r>
        </a:p>
        <a:p xmlns:a="http://schemas.openxmlformats.org/drawingml/2006/main">
          <a:pPr algn="ctr"/>
          <a:r>
            <a:rPr lang="fr-FR" sz="1100" b="1"/>
            <a:t>269 000 km²</a:t>
          </a:r>
        </a:p>
      </cdr:txBody>
    </cdr:sp>
  </cdr:relSizeAnchor>
</c:userShapes>
</file>

<file path=word/drawings/drawing2.xml><?xml version="1.0" encoding="utf-8"?>
<c:userShapes xmlns:c="http://schemas.openxmlformats.org/drawingml/2006/chart">
  <cdr:relSizeAnchor xmlns:cdr="http://schemas.openxmlformats.org/drawingml/2006/chartDrawing">
    <cdr:from>
      <cdr:x>0.53383</cdr:x>
      <cdr:y>0.09615</cdr:y>
    </cdr:from>
    <cdr:to>
      <cdr:x>0.53383</cdr:x>
      <cdr:y>0.13017</cdr:y>
    </cdr:to>
    <cdr:cxnSp macro="">
      <cdr:nvCxnSpPr>
        <cdr:cNvPr id="9" name="Connecteur droit 8">
          <a:extLst xmlns:a="http://schemas.openxmlformats.org/drawingml/2006/main">
            <a:ext uri="{FF2B5EF4-FFF2-40B4-BE49-F238E27FC236}">
              <a16:creationId xmlns:a16="http://schemas.microsoft.com/office/drawing/2014/main" id="{DE5B8C6D-5257-4E4F-8848-03740E06D5FE}"/>
            </a:ext>
          </a:extLst>
        </cdr:cNvPr>
        <cdr:cNvCxnSpPr/>
      </cdr:nvCxnSpPr>
      <cdr:spPr>
        <a:xfrm xmlns:a="http://schemas.openxmlformats.org/drawingml/2006/main">
          <a:off x="2882693" y="242305"/>
          <a:ext cx="0" cy="85730"/>
        </a:xfrm>
        <a:prstGeom xmlns:a="http://schemas.openxmlformats.org/drawingml/2006/main" prst="line">
          <a:avLst/>
        </a:prstGeom>
        <a:ln xmlns:a="http://schemas.openxmlformats.org/drawingml/2006/main">
          <a:solidFill>
            <a:srgbClr val="7030A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0.79257</cdr:x>
      <cdr:y>0.07686</cdr:y>
    </cdr:from>
    <cdr:to>
      <cdr:x>0.88606</cdr:x>
      <cdr:y>0.14868</cdr:y>
    </cdr:to>
    <cdr:sp macro="" textlink="">
      <cdr:nvSpPr>
        <cdr:cNvPr id="10" name="ZoneTexte 1">
          <a:extLst xmlns:a="http://schemas.openxmlformats.org/drawingml/2006/main">
            <a:ext uri="{FF2B5EF4-FFF2-40B4-BE49-F238E27FC236}">
              <a16:creationId xmlns:a16="http://schemas.microsoft.com/office/drawing/2014/main" id="{E23E46F3-493A-4B04-BC9F-CF1A59EF62FC}"/>
            </a:ext>
          </a:extLst>
        </cdr:cNvPr>
        <cdr:cNvSpPr txBox="1"/>
      </cdr:nvSpPr>
      <cdr:spPr>
        <a:xfrm xmlns:a="http://schemas.openxmlformats.org/drawingml/2006/main">
          <a:off x="4279900" y="193675"/>
          <a:ext cx="504846" cy="1809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r-FR" sz="800">
              <a:latin typeface="Trebuchet MS" panose="020B0603020202020204" pitchFamily="34" charset="0"/>
            </a:rPr>
            <a:t>Autres</a:t>
          </a:r>
        </a:p>
      </cdr:txBody>
    </cdr:sp>
  </cdr:relSizeAnchor>
  <cdr:relSizeAnchor xmlns:cdr="http://schemas.openxmlformats.org/drawingml/2006/chartDrawing">
    <cdr:from>
      <cdr:x>0.83075</cdr:x>
      <cdr:y>0.13985</cdr:y>
    </cdr:from>
    <cdr:to>
      <cdr:x>0.83075</cdr:x>
      <cdr:y>0.19947</cdr:y>
    </cdr:to>
    <cdr:cxnSp macro="">
      <cdr:nvCxnSpPr>
        <cdr:cNvPr id="11" name="Connecteur droit 10">
          <a:extLst xmlns:a="http://schemas.openxmlformats.org/drawingml/2006/main">
            <a:ext uri="{FF2B5EF4-FFF2-40B4-BE49-F238E27FC236}">
              <a16:creationId xmlns:a16="http://schemas.microsoft.com/office/drawing/2014/main" id="{2C21EA56-E235-4CD5-99FB-DAB4537887B4}"/>
            </a:ext>
          </a:extLst>
        </cdr:cNvPr>
        <cdr:cNvCxnSpPr/>
      </cdr:nvCxnSpPr>
      <cdr:spPr>
        <a:xfrm xmlns:a="http://schemas.openxmlformats.org/drawingml/2006/main" flipH="1">
          <a:off x="4486068" y="352425"/>
          <a:ext cx="0" cy="150235"/>
        </a:xfrm>
        <a:prstGeom xmlns:a="http://schemas.openxmlformats.org/drawingml/2006/main" prst="line">
          <a:avLst/>
        </a:prstGeom>
        <a:ln xmlns:a="http://schemas.openxmlformats.org/drawingml/2006/main">
          <a:solidFill>
            <a:srgbClr val="7030A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hème Office">
  <a:themeElements>
    <a:clrScheme name="GOUVERNEMENT PPT">
      <a:dk1>
        <a:srgbClr val="000000"/>
      </a:dk1>
      <a:lt1>
        <a:srgbClr val="FFFFFF"/>
      </a:lt1>
      <a:dk2>
        <a:srgbClr val="000091"/>
      </a:dk2>
      <a:lt2>
        <a:srgbClr val="E1000F"/>
      </a:lt2>
      <a:accent1>
        <a:srgbClr val="005841"/>
      </a:accent1>
      <a:accent2>
        <a:srgbClr val="21215A"/>
      </a:accent2>
      <a:accent3>
        <a:srgbClr val="FFD500"/>
      </a:accent3>
      <a:accent4>
        <a:srgbClr val="EA5433"/>
      </a:accent4>
      <a:accent5>
        <a:srgbClr val="8C2237"/>
      </a:accent5>
      <a:accent6>
        <a:srgbClr val="49311F"/>
      </a:accent6>
      <a:hlink>
        <a:srgbClr val="000000"/>
      </a:hlink>
      <a:folHlink>
        <a:srgbClr val="000000"/>
      </a:folHlink>
    </a:clrScheme>
    <a:fontScheme name="GOUVERNEMENT PPT">
      <a:majorFont>
        <a:latin typeface="Marianne"/>
        <a:ea typeface=""/>
        <a:cs typeface=""/>
      </a:majorFont>
      <a:minorFont>
        <a:latin typeface="Mariann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NC Submission" ma:contentTypeID="0x0101001FA945B3443244438EF3675AF0DF0D3D00235752C2D8300F4D9968B1A001C59A41" ma:contentTypeVersion="2" ma:contentTypeDescription="National Communication Submission Content Type" ma:contentTypeScope="" ma:versionID="60292ed444e994c802f5758afe27c882">
  <xsd:schema xmlns:xsd="http://www.w3.org/2001/XMLSchema" xmlns:xs="http://www.w3.org/2001/XMLSchema" xmlns:p="http://schemas.microsoft.com/office/2006/metadata/properties" xmlns:ns2="e797f6dd-fd82-440c-8368-2d31177d6268" targetNamespace="http://schemas.microsoft.com/office/2006/metadata/properties" ma:root="true" ma:fieldsID="313ea55eeae046745620c338e30844ec" ns2:_="">
    <xsd:import namespace="e797f6dd-fd82-440c-8368-2d31177d6268"/>
    <xsd:element name="properties">
      <xsd:complexType>
        <xsd:sequence>
          <xsd:element name="documentManagement">
            <xsd:complexType>
              <xsd:all>
                <xsd:element ref="ns2:SubmissionStatus" minOccurs="0"/>
                <xsd:element ref="ns2:Party" minOccurs="0"/>
                <xsd:element ref="ns2:SubmissionCycle" minOccurs="0"/>
                <xsd:element ref="ns2:SubmissionNumber" minOccurs="0"/>
                <xsd:element ref="ns2:RecordType" minOccurs="0"/>
                <xsd:element ref="ns2:SubmissionDate" minOccurs="0"/>
                <xsd:element ref="ns2:UNF3CLanguage" minOccurs="0"/>
                <xsd:element ref="ns2:PartyComment" minOccurs="0"/>
                <xsd:element ref="ns2:SecretariatComment" minOccurs="0"/>
                <xsd:element ref="ns2:AnnexIPar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97f6dd-fd82-440c-8368-2d31177d6268" elementFormDefault="qualified">
    <xsd:import namespace="http://schemas.microsoft.com/office/2006/documentManagement/types"/>
    <xsd:import namespace="http://schemas.microsoft.com/office/infopath/2007/PartnerControls"/>
    <xsd:element name="SubmissionStatus" ma:index="8" nillable="true" ma:displayName="Submission Status" ma:internalName="SubmissionStatus">
      <xsd:simpleType>
        <xsd:restriction base="dms:Choice">
          <xsd:enumeration value="Submitted"/>
          <xsd:enumeration value="Validated"/>
          <xsd:enumeration value="Published"/>
          <xsd:enumeration value="Rejected"/>
        </xsd:restriction>
      </xsd:simpleType>
    </xsd:element>
    <xsd:element name="Party" ma:index="9" nillable="true" ma:displayName="Party" ma:internalName="Party">
      <xsd:simpleType>
        <xsd:restriction base="dms:Text"/>
      </xsd:simpleType>
    </xsd:element>
    <xsd:element name="SubmissionCycle" ma:index="10" nillable="true" ma:displayName="Submission Cycle" ma:internalName="SubmissionCycle">
      <xsd:simpleType>
        <xsd:restriction base="dms:Choice">
          <xsd:enumeration value="NC1"/>
          <xsd:enumeration value="NC2"/>
          <xsd:enumeration value="NC3"/>
          <xsd:enumeration value="NC4"/>
          <xsd:enumeration value="NC5"/>
          <xsd:enumeration value="NC6"/>
          <xsd:enumeration value="NC7"/>
          <xsd:enumeration value="NC8"/>
          <xsd:enumeration value="NC9"/>
          <xsd:enumeration value="NC10"/>
          <xsd:enumeration value="BR1"/>
          <xsd:enumeration value="BR2"/>
          <xsd:enumeration value="BR3"/>
          <xsd:enumeration value="BR4"/>
          <xsd:enumeration value="BR5"/>
          <xsd:enumeration value="BUR1"/>
          <xsd:enumeration value="BUR2"/>
          <xsd:enumeration value="BUR3"/>
          <xsd:enumeration value="BUR4"/>
          <xsd:enumeration value="BUR5"/>
        </xsd:restriction>
      </xsd:simpleType>
    </xsd:element>
    <xsd:element name="SubmissionNumber" ma:index="11" nillable="true" ma:displayName="Submission Number" ma:internalName="SubmissionNumber">
      <xsd:simpleType>
        <xsd:restriction base="dms:Choice">
          <xsd:enumeration value="1"/>
          <xsd:enumeration value="2"/>
          <xsd:enumeration value="3"/>
          <xsd:enumeration value="4"/>
          <xsd:enumeration value="5"/>
          <xsd:enumeration value="6"/>
          <xsd:enumeration value="7"/>
          <xsd:enumeration value="8"/>
          <xsd:enumeration value="9"/>
          <xsd:enumeration value="10"/>
          <xsd:enumeration value="11"/>
          <xsd:enumeration value="12"/>
          <xsd:enumeration value="13"/>
          <xsd:enumeration value="14"/>
          <xsd:enumeration value="15"/>
        </xsd:restriction>
      </xsd:simpleType>
    </xsd:element>
    <xsd:element name="RecordType" ma:index="12" nillable="true" ma:displayName="Record Type" ma:internalName="RecordType">
      <xsd:simpleType>
        <xsd:restriction base="dms:Choice">
          <xsd:enumeration value="National Communication"/>
          <xsd:enumeration value="Biennial Report"/>
          <xsd:enumeration value="Biennial Update Report"/>
          <xsd:enumeration value="National Inventory Report"/>
          <xsd:enumeration value="Additional Information"/>
          <xsd:enumeration value="Cover Letter"/>
          <xsd:enumeration value="Acknowlegement of receipt"/>
          <xsd:enumeration value="Communication"/>
        </xsd:restriction>
      </xsd:simpleType>
    </xsd:element>
    <xsd:element name="SubmissionDate" ma:index="13" nillable="true" ma:displayName="Submission Date" ma:internalName="SubmissionDate">
      <xsd:simpleType>
        <xsd:restriction base="dms:DateTime"/>
      </xsd:simpleType>
    </xsd:element>
    <xsd:element name="UNF3CLanguage" ma:index="14" nillable="true" ma:displayName="Language" ma:internalName="UNF3CLanguage">
      <xsd:simpleType>
        <xsd:restriction base="dms:Choice">
          <xsd:enumeration value="English"/>
          <xsd:enumeration value="Arabic"/>
          <xsd:enumeration value="Chinese"/>
          <xsd:enumeration value="French"/>
          <xsd:enumeration value="Spanish"/>
          <xsd:enumeration value="Russian"/>
        </xsd:restriction>
      </xsd:simpleType>
    </xsd:element>
    <xsd:element name="PartyComment" ma:index="15" nillable="true" ma:displayName="Party Comment" ma:internalName="PartyComment">
      <xsd:simpleType>
        <xsd:restriction base="dms:Note">
          <xsd:maxLength value="255"/>
        </xsd:restriction>
      </xsd:simpleType>
    </xsd:element>
    <xsd:element name="SecretariatComment" ma:index="16" nillable="true" ma:displayName="Secretariat Comment" ma:internalName="SecretariatComment">
      <xsd:simpleType>
        <xsd:restriction base="dms:Note">
          <xsd:maxLength value="255"/>
        </xsd:restriction>
      </xsd:simpleType>
    </xsd:element>
    <xsd:element name="AnnexIParty" ma:index="17" nillable="true" ma:displayName="Annex I Party" ma:internalName="AnnexIParty">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arty xmlns="e797f6dd-fd82-440c-8368-2d31177d6268">France</Party>
    <SubmissionCycle xmlns="e797f6dd-fd82-440c-8368-2d31177d6268" xsi:nil="true"/>
    <SecretariatComment xmlns="e797f6dd-fd82-440c-8368-2d31177d6268" xsi:nil="true"/>
    <SubmissionStatus xmlns="e797f6dd-fd82-440c-8368-2d31177d6268" xsi:nil="true"/>
    <PartyComment xmlns="e797f6dd-fd82-440c-8368-2d31177d6268" xsi:nil="true"/>
    <SubmissionNumber xmlns="e797f6dd-fd82-440c-8368-2d31177d6268" xsi:nil="true"/>
    <AnnexIParty xmlns="e797f6dd-fd82-440c-8368-2d31177d6268" xsi:nil="true"/>
    <RecordType xmlns="e797f6dd-fd82-440c-8368-2d31177d6268" xsi:nil="true"/>
    <UNF3CLanguage xmlns="e797f6dd-fd82-440c-8368-2d31177d6268" xsi:nil="true"/>
    <SubmissionDate xmlns="e797f6dd-fd82-440c-8368-2d31177d6268" xsi:nil="true"/>
  </documentManagement>
</p:properties>
</file>

<file path=customXml/itemProps1.xml><?xml version="1.0" encoding="utf-8"?>
<ds:datastoreItem xmlns:ds="http://schemas.openxmlformats.org/officeDocument/2006/customXml" ds:itemID="{D470E1FE-6B7B-4BAF-B361-1319D26D8AE5}">
  <ds:schemaRefs>
    <ds:schemaRef ds:uri="http://schemas.openxmlformats.org/officeDocument/2006/bibliography"/>
  </ds:schemaRefs>
</ds:datastoreItem>
</file>

<file path=customXml/itemProps2.xml><?xml version="1.0" encoding="utf-8"?>
<ds:datastoreItem xmlns:ds="http://schemas.openxmlformats.org/officeDocument/2006/customXml" ds:itemID="{0C2FD6CD-FCB5-4102-9EBB-D5A69FA93C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97f6dd-fd82-440c-8368-2d31177d62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A5E948-32F4-4CE1-9111-A41CCD481145}">
  <ds:schemaRefs>
    <ds:schemaRef ds:uri="http://schemas.microsoft.com/sharepoint/v3/contenttype/forms"/>
  </ds:schemaRefs>
</ds:datastoreItem>
</file>

<file path=customXml/itemProps4.xml><?xml version="1.0" encoding="utf-8"?>
<ds:datastoreItem xmlns:ds="http://schemas.openxmlformats.org/officeDocument/2006/customXml" ds:itemID="{F6E67BBF-FC11-4F79-A667-FEC4EE4D869C}">
  <ds:schemaRefs>
    <ds:schemaRef ds:uri="http://schemas.microsoft.com/office/2006/metadata/properties"/>
    <ds:schemaRef ds:uri="http://schemas.microsoft.com/office/infopath/2007/PartnerControls"/>
    <ds:schemaRef ds:uri="e797f6dd-fd82-440c-8368-2d31177d6268"/>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117376</Words>
  <Characters>669047</Characters>
  <Application>Microsoft Office Word</Application>
  <DocSecurity>0</DocSecurity>
  <Lines>5575</Lines>
  <Paragraphs>1569</Paragraphs>
  <ScaleCrop>false</ScaleCrop>
  <HeadingPairs>
    <vt:vector size="2" baseType="variant">
      <vt:variant>
        <vt:lpstr>Titre</vt:lpstr>
      </vt:variant>
      <vt:variant>
        <vt:i4>1</vt:i4>
      </vt:variant>
    </vt:vector>
  </HeadingPairs>
  <TitlesOfParts>
    <vt:vector size="1" baseType="lpstr">
      <vt:lpstr>GOUVERNEMENT</vt:lpstr>
    </vt:vector>
  </TitlesOfParts>
  <Manager>GOUVERNEMENT</Manager>
  <Company>GOUVERNEMENT</Company>
  <LinksUpToDate>false</LinksUpToDate>
  <CharactersWithSpaces>784854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NC/NC8/2023</dc:title>
  <dc:subject>GOUVERNEMENT</dc:subject>
  <dc:creator>FONDEVILLE Coralie</dc:creator>
  <cp:keywords/>
  <dc:description/>
  <cp:lastModifiedBy>Lolo Gardesie-Grove</cp:lastModifiedBy>
  <cp:revision>2</cp:revision>
  <cp:lastPrinted>2023-06-22T15:13:00Z</cp:lastPrinted>
  <dcterms:created xsi:type="dcterms:W3CDTF">2023-07-17T10:06:00Z</dcterms:created>
  <dcterms:modified xsi:type="dcterms:W3CDTF">2023-07-17T10:06:00Z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0x0101001FA945B3443244438EF3675AF0DF0D3D00235752C2D8300F4D9968B1A001C59A41</vt:lpwstr>
  </property>
</Properties>
</file>